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4.xml" ContentType="application/vnd.openxmlformats-officedocument.drawingml.chart+xml"/>
  <Override PartName="/word/charts/chart15.xml" ContentType="application/vnd.openxmlformats-officedocument.drawingml.chart+xml"/>
  <Override PartName="/word/drawings/drawing2.xml" ContentType="application/vnd.openxmlformats-officedocument.drawingml.chartshapes+xml"/>
  <Override PartName="/word/charts/chart16.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0.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1.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2.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3.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4.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5.xml" ContentType="application/vnd.openxmlformats-officedocument.drawingml.chart+xml"/>
  <Override PartName="/word/charts/style18.xml" ContentType="application/vnd.ms-office.chartstyle+xml"/>
  <Override PartName="/word/charts/colors18.xml" ContentType="application/vnd.ms-office.chartcolorstyle+xml"/>
  <Override PartName="/word/drawings/drawing3.xml" ContentType="application/vnd.openxmlformats-officedocument.drawingml.chartshapes+xml"/>
  <Override PartName="/word/charts/chart26.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7.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8.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9.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30.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31.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32.xml" ContentType="application/vnd.openxmlformats-officedocument.drawingml.chart+xml"/>
  <Override PartName="/word/charts/style25.xml" ContentType="application/vnd.ms-office.chartstyle+xml"/>
  <Override PartName="/word/charts/colors25.xml" ContentType="application/vnd.ms-office.chartcolorstyle+xml"/>
  <Override PartName="/word/drawings/drawing4.xml" ContentType="application/vnd.openxmlformats-officedocument.drawingml.chartshapes+xml"/>
  <Override PartName="/word/charts/chart33.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4.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5.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1.xml" ContentType="application/vnd.openxmlformats-officedocument.themeOverride+xml"/>
  <Override PartName="/word/charts/chart36.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7.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8.xml" ContentType="application/vnd.openxmlformats-officedocument.drawingml.chart+xml"/>
  <Override PartName="/word/drawings/drawing5.xml" ContentType="application/vnd.openxmlformats-officedocument.drawingml.chartshapes+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4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4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4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45.xml" ContentType="application/vnd.openxmlformats-officedocument.drawingml.chart+xml"/>
  <Override PartName="/word/charts/style35.xml" ContentType="application/vnd.ms-office.chartstyle+xml"/>
  <Override PartName="/word/charts/colors35.xml" ContentType="application/vnd.ms-office.chartcolorstyle+xml"/>
  <Override PartName="/word/drawings/drawing6.xml" ContentType="application/vnd.openxmlformats-officedocument.drawingml.chartshapes+xml"/>
  <Override PartName="/word/charts/chart4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4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48.xml" ContentType="application/vnd.openxmlformats-officedocument.drawingml.chart+xml"/>
  <Override PartName="/word/charts/style38.xml" ContentType="application/vnd.ms-office.chartstyle+xml"/>
  <Override PartName="/word/charts/colors38.xml" ContentType="application/vnd.ms-office.chartcolorstyle+xml"/>
  <Override PartName="/word/drawings/drawing7.xml" ContentType="application/vnd.openxmlformats-officedocument.drawingml.chartshapes+xml"/>
  <Override PartName="/word/charts/chart49.xml" ContentType="application/vnd.openxmlformats-officedocument.drawingml.chart+xml"/>
  <Override PartName="/word/charts/style39.xml" ContentType="application/vnd.ms-office.chartstyle+xml"/>
  <Override PartName="/word/charts/colors39.xml" ContentType="application/vnd.ms-office.chartcolorstyle+xml"/>
  <Override PartName="/word/drawings/drawing8.xml" ContentType="application/vnd.openxmlformats-officedocument.drawingml.chartshapes+xml"/>
  <Override PartName="/word/charts/chart50.xml" ContentType="application/vnd.openxmlformats-officedocument.drawingml.chart+xml"/>
  <Override PartName="/word/charts/style40.xml" ContentType="application/vnd.ms-office.chartstyle+xml"/>
  <Override PartName="/word/charts/colors40.xml" ContentType="application/vnd.ms-office.chartcolorstyle+xml"/>
  <Override PartName="/word/drawings/drawing9.xml" ContentType="application/vnd.openxmlformats-officedocument.drawingml.chartshapes+xml"/>
  <Override PartName="/word/charts/chart5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5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5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5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55.xml" ContentType="application/vnd.openxmlformats-officedocument.drawingml.chart+xml"/>
  <Override PartName="/word/charts/chart56.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57.xml" ContentType="application/vnd.openxmlformats-officedocument.drawingml.chart+xml"/>
  <Override PartName="/word/charts/style46.xml" ContentType="application/vnd.ms-office.chartstyle+xml"/>
  <Override PartName="/word/charts/colors46.xml" ContentType="application/vnd.ms-office.chartcolorstyle+xml"/>
  <Override PartName="/word/drawings/drawing10.xml" ContentType="application/vnd.openxmlformats-officedocument.drawingml.chartshapes+xml"/>
  <Override PartName="/word/charts/chart58.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59.xml" ContentType="application/vnd.openxmlformats-officedocument.drawingml.chart+xml"/>
  <Override PartName="/word/charts/style48.xml" ContentType="application/vnd.ms-office.chartstyle+xml"/>
  <Override PartName="/word/charts/colors48.xml" ContentType="application/vnd.ms-office.chartcolorstyle+xml"/>
  <Override PartName="/word/drawings/drawing11.xml" ContentType="application/vnd.openxmlformats-officedocument.drawingml.chartshapes+xml"/>
  <Override PartName="/word/charts/chart60.xml" ContentType="application/vnd.openxmlformats-officedocument.drawingml.chart+xml"/>
  <Override PartName="/word/charts/style49.xml" ContentType="application/vnd.ms-office.chartstyle+xml"/>
  <Override PartName="/word/charts/colors49.xml" ContentType="application/vnd.ms-office.chartcolorstyle+xml"/>
  <Override PartName="/word/drawings/drawing12.xml" ContentType="application/vnd.openxmlformats-officedocument.drawingml.chartshapes+xml"/>
  <Override PartName="/word/charts/chart61.xml" ContentType="application/vnd.openxmlformats-officedocument.drawingml.chart+xml"/>
  <Override PartName="/word/charts/style50.xml" ContentType="application/vnd.ms-office.chartstyle+xml"/>
  <Override PartName="/word/charts/colors50.xml" ContentType="application/vnd.ms-office.chartcolorstyle+xml"/>
  <Override PartName="/word/drawings/drawing13.xml" ContentType="application/vnd.openxmlformats-officedocument.drawingml.chartshapes+xml"/>
  <Override PartName="/word/charts/chart62.xml" ContentType="application/vnd.openxmlformats-officedocument.drawingml.chart+xml"/>
  <Override PartName="/word/charts/style51.xml" ContentType="application/vnd.ms-office.chartstyle+xml"/>
  <Override PartName="/word/charts/colors51.xml" ContentType="application/vnd.ms-office.chartcolorstyle+xml"/>
  <Override PartName="/word/drawings/drawing14.xml" ContentType="application/vnd.openxmlformats-officedocument.drawingml.chartshapes+xml"/>
  <Override PartName="/word/charts/chart63.xml" ContentType="application/vnd.openxmlformats-officedocument.drawingml.chart+xml"/>
  <Override PartName="/word/theme/themeOverride2.xml" ContentType="application/vnd.openxmlformats-officedocument.themeOverride+xml"/>
  <Override PartName="/word/drawings/drawing15.xml" ContentType="application/vnd.openxmlformats-officedocument.drawingml.chartshapes+xml"/>
  <Override PartName="/word/charts/chart64.xml" ContentType="application/vnd.openxmlformats-officedocument.drawingml.chart+xml"/>
  <Override PartName="/word/charts/style52.xml" ContentType="application/vnd.ms-office.chartstyle+xml"/>
  <Override PartName="/word/charts/colors52.xml" ContentType="application/vnd.ms-office.chartcolorstyle+xml"/>
  <Override PartName="/word/drawings/drawing16.xml" ContentType="application/vnd.openxmlformats-officedocument.drawingml.chartshapes+xml"/>
  <Override PartName="/word/charts/chart65.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66.xml" ContentType="application/vnd.openxmlformats-officedocument.drawingml.chart+xml"/>
  <Override PartName="/word/charts/style54.xml" ContentType="application/vnd.ms-office.chartstyle+xml"/>
  <Override PartName="/word/charts/colors54.xml" ContentType="application/vnd.ms-office.chartcolorstyle+xml"/>
  <Override PartName="/word/drawings/drawing17.xml" ContentType="application/vnd.openxmlformats-officedocument.drawingml.chartshapes+xml"/>
  <Override PartName="/word/charts/chart67.xml" ContentType="application/vnd.openxmlformats-officedocument.drawingml.chart+xml"/>
  <Override PartName="/word/charts/style55.xml" ContentType="application/vnd.ms-office.chartstyle+xml"/>
  <Override PartName="/word/charts/colors55.xml" ContentType="application/vnd.ms-office.chartcolorstyle+xml"/>
  <Override PartName="/word/drawings/drawing18.xml" ContentType="application/vnd.openxmlformats-officedocument.drawingml.chartshapes+xml"/>
  <Override PartName="/word/charts/chart68.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69.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70.xml" ContentType="application/vnd.openxmlformats-officedocument.drawingml.chart+xml"/>
  <Override PartName="/word/charts/style58.xml" ContentType="application/vnd.ms-office.chartstyle+xml"/>
  <Override PartName="/word/charts/colors58.xml" ContentType="application/vnd.ms-office.chartcolorstyle+xml"/>
  <Override PartName="/word/drawings/drawing19.xml" ContentType="application/vnd.openxmlformats-officedocument.drawingml.chartshapes+xml"/>
  <Override PartName="/word/charts/chart71.xml" ContentType="application/vnd.openxmlformats-officedocument.drawingml.chart+xml"/>
  <Override PartName="/word/charts/style59.xml" ContentType="application/vnd.ms-office.chartstyle+xml"/>
  <Override PartName="/word/charts/colors59.xml" ContentType="application/vnd.ms-office.chartcolorstyle+xml"/>
  <Override PartName="/word/theme/themeOverride3.xml" ContentType="application/vnd.openxmlformats-officedocument.themeOverride+xml"/>
  <Override PartName="/word/charts/chart72.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73.xml" ContentType="application/vnd.openxmlformats-officedocument.drawingml.chart+xml"/>
  <Override PartName="/word/charts/style61.xml" ContentType="application/vnd.ms-office.chartstyle+xml"/>
  <Override PartName="/word/charts/colors61.xml" ContentType="application/vnd.ms-office.chartcolorstyle+xml"/>
  <Override PartName="/word/drawings/drawing20.xml" ContentType="application/vnd.openxmlformats-officedocument.drawingml.chartshapes+xml"/>
  <Override PartName="/word/charts/chart74.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75.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76.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77.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78.xml" ContentType="application/vnd.openxmlformats-officedocument.drawingml.chart+xml"/>
  <Override PartName="/word/charts/style66.xml" ContentType="application/vnd.ms-office.chartstyle+xml"/>
  <Override PartName="/word/charts/colors66.xml" ContentType="application/vnd.ms-office.chartcolorstyle+xml"/>
  <Override PartName="/word/drawings/drawing21.xml" ContentType="application/vnd.openxmlformats-officedocument.drawingml.chartshapes+xml"/>
  <Override PartName="/word/charts/chart79.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80.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81.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82.xml" ContentType="application/vnd.openxmlformats-officedocument.drawingml.chart+xml"/>
  <Override PartName="/word/charts/style70.xml" ContentType="application/vnd.ms-office.chartstyle+xml"/>
  <Override PartName="/word/charts/colors70.xml" ContentType="application/vnd.ms-office.chartcolorstyle+xml"/>
  <Override PartName="/word/drawings/drawing22.xml" ContentType="application/vnd.openxmlformats-officedocument.drawingml.chartshapes+xml"/>
  <Override PartName="/word/charts/chart83.xml" ContentType="application/vnd.openxmlformats-officedocument.drawingml.chart+xml"/>
  <Override PartName="/word/charts/style71.xml" ContentType="application/vnd.ms-office.chartstyle+xml"/>
  <Override PartName="/word/charts/colors71.xml" ContentType="application/vnd.ms-office.chartcolorstyle+xml"/>
  <Override PartName="/word/drawings/drawing23.xml" ContentType="application/vnd.openxmlformats-officedocument.drawingml.chartshapes+xml"/>
  <Override PartName="/word/charts/chart84.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85.xml" ContentType="application/vnd.openxmlformats-officedocument.drawingml.chart+xml"/>
  <Override PartName="/word/charts/style73.xml" ContentType="application/vnd.ms-office.chartstyle+xml"/>
  <Override PartName="/word/charts/colors73.xml" ContentType="application/vnd.ms-office.chartcolorstyle+xml"/>
  <Override PartName="/word/drawings/drawing24.xml" ContentType="application/vnd.openxmlformats-officedocument.drawingml.chartshapes+xml"/>
  <Override PartName="/word/charts/chart86.xml" ContentType="application/vnd.openxmlformats-officedocument.drawingml.chart+xml"/>
  <Override PartName="/word/charts/style74.xml" ContentType="application/vnd.ms-office.chartstyle+xml"/>
  <Override PartName="/word/charts/colors74.xml" ContentType="application/vnd.ms-office.chartcolorstyle+xml"/>
  <Override PartName="/word/drawings/drawing25.xml" ContentType="application/vnd.openxmlformats-officedocument.drawingml.chartshapes+xml"/>
  <Override PartName="/word/charts/chart87.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88.xml" ContentType="application/vnd.openxmlformats-officedocument.drawingml.chart+xml"/>
  <Override PartName="/word/charts/style76.xml" ContentType="application/vnd.ms-office.chartstyle+xml"/>
  <Override PartName="/word/charts/colors76.xml" ContentType="application/vnd.ms-office.chartcolorstyle+xml"/>
  <Override PartName="/word/footer2.xml" ContentType="application/vnd.openxmlformats-officedocument.wordprocessingml.footer+xml"/>
  <Override PartName="/word/charts/chart89.xml" ContentType="application/vnd.openxmlformats-officedocument.drawingml.chart+xml"/>
  <Override PartName="/word/charts/style77.xml" ContentType="application/vnd.ms-office.chartstyle+xml"/>
  <Override PartName="/word/charts/colors77.xml" ContentType="application/vnd.ms-office.chartcolorstyle+xml"/>
  <Override PartName="/word/footer3.xml" ContentType="application/vnd.openxmlformats-officedocument.wordprocessingml.footer+xml"/>
  <Override PartName="/word/charts/chart90.xml" ContentType="application/vnd.openxmlformats-officedocument.drawingml.chart+xml"/>
  <Override PartName="/word/charts/style78.xml" ContentType="application/vnd.ms-office.chartstyle+xml"/>
  <Override PartName="/word/charts/colors78.xml" ContentType="application/vnd.ms-office.chartcolorstyle+xml"/>
  <Override PartName="/word/charts/chart91.xml" ContentType="application/vnd.openxmlformats-officedocument.drawingml.chart+xml"/>
  <Override PartName="/word/charts/style79.xml" ContentType="application/vnd.ms-office.chartstyle+xml"/>
  <Override PartName="/word/charts/colors79.xml" ContentType="application/vnd.ms-office.chartcolorstyle+xml"/>
  <Override PartName="/word/charts/chart92.xml" ContentType="application/vnd.openxmlformats-officedocument.drawingml.chart+xml"/>
  <Override PartName="/word/charts/style80.xml" ContentType="application/vnd.ms-office.chartstyle+xml"/>
  <Override PartName="/word/charts/colors80.xml" ContentType="application/vnd.ms-office.chartcolorstyle+xml"/>
  <Override PartName="/word/drawings/drawing26.xml" ContentType="application/vnd.openxmlformats-officedocument.drawingml.chartshapes+xml"/>
  <Override PartName="/word/charts/chart93.xml" ContentType="application/vnd.openxmlformats-officedocument.drawingml.chart+xml"/>
  <Override PartName="/word/charts/style81.xml" ContentType="application/vnd.ms-office.chartstyle+xml"/>
  <Override PartName="/word/charts/colors81.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charts/chart94.xml" ContentType="application/vnd.openxmlformats-officedocument.drawingml.chart+xml"/>
  <Override PartName="/word/charts/style82.xml" ContentType="application/vnd.ms-office.chartstyle+xml"/>
  <Override PartName="/word/charts/colors82.xml" ContentType="application/vnd.ms-office.chartcolorstyle+xml"/>
  <Override PartName="/word/charts/chart95.xml" ContentType="application/vnd.openxmlformats-officedocument.drawingml.chart+xml"/>
  <Override PartName="/word/charts/style83.xml" ContentType="application/vnd.ms-office.chartstyle+xml"/>
  <Override PartName="/word/charts/colors8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0C804F" w14:textId="77777777" w:rsidR="009B7C4D" w:rsidRPr="00CA2564" w:rsidRDefault="009B7C4D" w:rsidP="009B7C4D"/>
    <w:p w14:paraId="12A35003" w14:textId="77777777" w:rsidR="009B7C4D" w:rsidRPr="00CA2564" w:rsidRDefault="009B7C4D" w:rsidP="009B7C4D"/>
    <w:p w14:paraId="1E413991" w14:textId="77777777" w:rsidR="009B7C4D" w:rsidRPr="00CA2564" w:rsidRDefault="009B7C4D" w:rsidP="009B7C4D"/>
    <w:p w14:paraId="474A252D" w14:textId="77777777" w:rsidR="009B7C4D" w:rsidRPr="00CA2564" w:rsidRDefault="009B7C4D" w:rsidP="009B7C4D"/>
    <w:p w14:paraId="0280FD5A" w14:textId="7680B32B" w:rsidR="009B7C4D" w:rsidRPr="00B37B6C" w:rsidRDefault="00B37B6C" w:rsidP="00B37B6C">
      <w:pPr>
        <w:spacing w:after="0"/>
        <w:jc w:val="center"/>
        <w:rPr>
          <w:noProof/>
          <w:color w:val="0070C0"/>
          <w:sz w:val="40"/>
          <w:szCs w:val="56"/>
          <w:lang w:eastAsia="sk-SK"/>
        </w:rPr>
      </w:pPr>
      <w:r w:rsidRPr="00B37B6C">
        <w:rPr>
          <w:noProof/>
          <w:color w:val="0070C0"/>
          <w:sz w:val="40"/>
          <w:szCs w:val="56"/>
          <w:lang w:eastAsia="sk-SK"/>
        </w:rPr>
        <w:t xml:space="preserve">Externá príloha č. </w:t>
      </w:r>
      <w:r w:rsidR="000D2802">
        <w:rPr>
          <w:noProof/>
          <w:color w:val="0070C0"/>
          <w:sz w:val="40"/>
          <w:szCs w:val="56"/>
          <w:lang w:eastAsia="sk-SK"/>
        </w:rPr>
        <w:t>2</w:t>
      </w:r>
      <w:bookmarkStart w:id="0" w:name="_GoBack"/>
      <w:bookmarkEnd w:id="0"/>
    </w:p>
    <w:p w14:paraId="29841C8B" w14:textId="77777777" w:rsidR="009B7C4D" w:rsidRPr="00CA2564" w:rsidRDefault="009B7C4D" w:rsidP="009B7C4D"/>
    <w:p w14:paraId="4C47D8D7" w14:textId="77777777" w:rsidR="009B7C4D" w:rsidRPr="00CA2564" w:rsidRDefault="009B7C4D" w:rsidP="009B7C4D"/>
    <w:p w14:paraId="7B568080" w14:textId="77777777" w:rsidR="009B7C4D" w:rsidRPr="00CA2564" w:rsidRDefault="009B7C4D" w:rsidP="009B7C4D"/>
    <w:p w14:paraId="408CAAE2" w14:textId="77777777" w:rsidR="009B7C4D" w:rsidRPr="00CA2564" w:rsidRDefault="009B7C4D" w:rsidP="009B7C4D"/>
    <w:p w14:paraId="6F8467A8" w14:textId="5F9665B9" w:rsidR="009B7C4D" w:rsidRPr="00CA2564" w:rsidRDefault="00D262E4" w:rsidP="009B7C4D">
      <w:pPr>
        <w:spacing w:after="0"/>
        <w:jc w:val="center"/>
        <w:rPr>
          <w:color w:val="2E74B5" w:themeColor="accent1" w:themeShade="BF"/>
          <w:sz w:val="48"/>
          <w:szCs w:val="56"/>
        </w:rPr>
      </w:pPr>
      <w:r w:rsidRPr="00CA2564">
        <w:rPr>
          <w:color w:val="0070C0"/>
          <w:sz w:val="52"/>
          <w:szCs w:val="56"/>
        </w:rPr>
        <w:t>Revízia výdavkov na skupiny ohrozené chudobou alebo sociálnym vylúčením</w:t>
      </w:r>
    </w:p>
    <w:p w14:paraId="458983C7" w14:textId="77777777" w:rsidR="009B7C4D" w:rsidRPr="00CA2564" w:rsidRDefault="009B7C4D" w:rsidP="009B7C4D">
      <w:pPr>
        <w:spacing w:after="0"/>
        <w:jc w:val="center"/>
        <w:rPr>
          <w:noProof/>
          <w:color w:val="2E74B5" w:themeColor="accent1" w:themeShade="BF"/>
          <w:sz w:val="40"/>
          <w:szCs w:val="56"/>
          <w:lang w:eastAsia="sk-SK"/>
        </w:rPr>
      </w:pPr>
    </w:p>
    <w:p w14:paraId="47914AED" w14:textId="27C94A14" w:rsidR="009B7C4D" w:rsidRPr="00CA2564" w:rsidRDefault="009B7C4D" w:rsidP="009B7C4D">
      <w:pPr>
        <w:spacing w:after="0"/>
        <w:jc w:val="center"/>
        <w:rPr>
          <w:noProof/>
          <w:color w:val="2E74B5" w:themeColor="accent1" w:themeShade="BF"/>
          <w:sz w:val="40"/>
          <w:szCs w:val="56"/>
          <w:lang w:eastAsia="sk-SK"/>
        </w:rPr>
      </w:pPr>
      <w:r w:rsidRPr="00446021">
        <w:rPr>
          <w:noProof/>
          <w:color w:val="0070C0"/>
          <w:sz w:val="40"/>
          <w:szCs w:val="56"/>
          <w:lang w:eastAsia="sk-SK"/>
        </w:rPr>
        <mc:AlternateContent>
          <mc:Choice Requires="wps">
            <w:drawing>
              <wp:anchor distT="0" distB="0" distL="114300" distR="114300" simplePos="0" relativeHeight="251665408" behindDoc="0" locked="0" layoutInCell="1" allowOverlap="1" wp14:anchorId="450784F4" wp14:editId="4C845FD4">
                <wp:simplePos x="0" y="0"/>
                <wp:positionH relativeFrom="margin">
                  <wp:align>left</wp:align>
                </wp:positionH>
                <wp:positionV relativeFrom="paragraph">
                  <wp:posOffset>33878</wp:posOffset>
                </wp:positionV>
                <wp:extent cx="59376" cy="285008"/>
                <wp:effectExtent l="0" t="0" r="0" b="0"/>
                <wp:wrapNone/>
                <wp:docPr id="9" name="Obdĺžnik 9"/>
                <wp:cNvGraphicFramePr/>
                <a:graphic xmlns:a="http://schemas.openxmlformats.org/drawingml/2006/main">
                  <a:graphicData uri="http://schemas.microsoft.com/office/word/2010/wordprocessingShape">
                    <wps:wsp>
                      <wps:cNvSpPr/>
                      <wps:spPr>
                        <a:xfrm>
                          <a:off x="0" y="0"/>
                          <a:ext cx="59376" cy="285008"/>
                        </a:xfrm>
                        <a:prstGeom prst="rect">
                          <a:avLst/>
                        </a:prstGeom>
                        <a:solidFill>
                          <a:srgbClr val="5B9BD5"/>
                        </a:solidFill>
                        <a:ln w="12700" cap="flat" cmpd="sng" algn="ctr">
                          <a:solidFill>
                            <a:srgbClr val="5B9BD5">
                              <a:shade val="50000"/>
                            </a:srgbClr>
                          </a:solidFill>
                          <a:prstDash val="solid"/>
                          <a:miter lim="800000"/>
                        </a:ln>
                        <a:effectLst/>
                        <a:scene3d>
                          <a:camera prst="orthographicFront">
                            <a:rot lat="300000" lon="5400000" rev="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333087" id="Obdĺžnik 9" o:spid="_x0000_s1026" style="position:absolute;margin-left:0;margin-top:2.65pt;width:4.7pt;height:22.45pt;z-index:2516654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" fillcolor="#5b9bd5" strokecolor="#41719c" strokeweight="1pt">
                <w10:wrap anchorx="margin"/>
              </v:rect>
            </w:pict>
          </mc:Fallback>
        </mc:AlternateContent>
      </w:r>
      <w:r w:rsidRPr="00446021">
        <w:rPr>
          <w:noProof/>
          <w:color w:val="0070C0"/>
          <w:sz w:val="40"/>
          <w:szCs w:val="56"/>
          <w:lang w:eastAsia="sk-SK"/>
        </w:rPr>
        <mc:AlternateContent>
          <mc:Choice Requires="wps">
            <w:drawing>
              <wp:anchor distT="0" distB="0" distL="114300" distR="114300" simplePos="0" relativeHeight="251664384" behindDoc="0" locked="0" layoutInCell="1" allowOverlap="1" wp14:anchorId="0D5D2408" wp14:editId="493BFC7B">
                <wp:simplePos x="0" y="0"/>
                <wp:positionH relativeFrom="page">
                  <wp:posOffset>-95250</wp:posOffset>
                </wp:positionH>
                <wp:positionV relativeFrom="paragraph">
                  <wp:posOffset>6601460</wp:posOffset>
                </wp:positionV>
                <wp:extent cx="7754587" cy="140970"/>
                <wp:effectExtent l="0" t="0" r="18415" b="11430"/>
                <wp:wrapNone/>
                <wp:docPr id="13" name="Obdĺžnik 13"/>
                <wp:cNvGraphicFramePr/>
                <a:graphic xmlns:a="http://schemas.openxmlformats.org/drawingml/2006/main">
                  <a:graphicData uri="http://schemas.microsoft.com/office/word/2010/wordprocessingShape">
                    <wps:wsp>
                      <wps:cNvSpPr/>
                      <wps:spPr>
                        <a:xfrm>
                          <a:off x="0" y="0"/>
                          <a:ext cx="7754587" cy="140970"/>
                        </a:xfrm>
                        <a:prstGeom prst="rect">
                          <a:avLst/>
                        </a:prstGeom>
                        <a:solidFill>
                          <a:srgbClr val="5B9BD5"/>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ECFA0" id="Obdĺžnik 13" o:spid="_x0000_s1026" style="position:absolute;margin-left:-7.5pt;margin-top:519.8pt;width:610.6pt;height:11.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" fillcolor="#5b9bd5" strokecolor="#5b9bd5" strokeweight="1pt">
                <w10:wrap anchorx="page"/>
              </v:rect>
            </w:pict>
          </mc:Fallback>
        </mc:AlternateContent>
      </w:r>
      <w:bookmarkStart w:id="1" w:name="_Toc454919371"/>
      <w:r w:rsidRPr="00446021">
        <w:rPr>
          <w:noProof/>
          <w:color w:val="0070C0"/>
          <w:sz w:val="40"/>
          <w:szCs w:val="56"/>
          <w:lang w:eastAsia="sk-SK"/>
        </w:rPr>
        <w:t xml:space="preserve">Záverečná </w:t>
      </w:r>
      <w:r w:rsidRPr="00446021">
        <w:rPr>
          <w:color w:val="0070C0"/>
          <w:sz w:val="40"/>
          <w:szCs w:val="56"/>
        </w:rPr>
        <w:t>správa</w:t>
      </w:r>
      <w:r w:rsidRPr="00CA2564">
        <w:rPr>
          <w:color w:val="2E74B5" w:themeColor="accent1" w:themeShade="BF"/>
          <w:sz w:val="40"/>
          <w:szCs w:val="56"/>
        </w:rPr>
        <w:t xml:space="preserve"> </w:t>
      </w:r>
      <w:r w:rsidRPr="00CA2564">
        <w:rPr>
          <w:color w:val="2E74B5" w:themeColor="accent1" w:themeShade="BF"/>
          <w:sz w:val="40"/>
          <w:szCs w:val="56"/>
        </w:rPr>
        <w:br/>
      </w:r>
    </w:p>
    <w:bookmarkEnd w:id="1"/>
    <w:p w14:paraId="2BF43393" w14:textId="77777777" w:rsidR="009B7C4D" w:rsidRPr="00CA2564" w:rsidRDefault="009B7C4D" w:rsidP="009B7C4D">
      <w:pPr>
        <w:spacing w:after="0"/>
        <w:jc w:val="center"/>
        <w:rPr>
          <w:noProof/>
          <w:color w:val="2E74B5" w:themeColor="accent1" w:themeShade="BF"/>
          <w:sz w:val="40"/>
          <w:szCs w:val="56"/>
          <w:lang w:eastAsia="sk-SK"/>
        </w:rPr>
      </w:pPr>
    </w:p>
    <w:p w14:paraId="526B6133" w14:textId="77777777" w:rsidR="009B7C4D" w:rsidRPr="00CA2564" w:rsidRDefault="009B7C4D" w:rsidP="009B7C4D">
      <w:pPr>
        <w:spacing w:after="0"/>
        <w:jc w:val="center"/>
        <w:rPr>
          <w:noProof/>
          <w:color w:val="2E74B5" w:themeColor="accent1" w:themeShade="BF"/>
          <w:sz w:val="40"/>
          <w:szCs w:val="56"/>
          <w:lang w:eastAsia="sk-SK"/>
        </w:rPr>
      </w:pPr>
    </w:p>
    <w:p w14:paraId="7C7CB059" w14:textId="77777777" w:rsidR="009B7C4D" w:rsidRPr="00CA2564" w:rsidRDefault="009B7C4D" w:rsidP="009B7C4D">
      <w:pPr>
        <w:spacing w:after="0"/>
        <w:jc w:val="center"/>
        <w:rPr>
          <w:noProof/>
          <w:color w:val="2E74B5" w:themeColor="accent1" w:themeShade="BF"/>
          <w:sz w:val="40"/>
          <w:szCs w:val="56"/>
          <w:lang w:eastAsia="sk-SK"/>
        </w:rPr>
      </w:pPr>
    </w:p>
    <w:p w14:paraId="568649D5" w14:textId="77777777" w:rsidR="009B7C4D" w:rsidRPr="00CA2564" w:rsidRDefault="009B7C4D" w:rsidP="009B7C4D">
      <w:pPr>
        <w:spacing w:after="0"/>
        <w:jc w:val="center"/>
        <w:rPr>
          <w:noProof/>
          <w:color w:val="2E74B5" w:themeColor="accent1" w:themeShade="BF"/>
          <w:sz w:val="40"/>
          <w:szCs w:val="56"/>
          <w:lang w:eastAsia="sk-SK"/>
        </w:rPr>
      </w:pPr>
    </w:p>
    <w:p w14:paraId="78CB41D3" w14:textId="3DB44FB6" w:rsidR="009B7C4D" w:rsidRPr="00CA2564" w:rsidRDefault="00155D56" w:rsidP="009B7C4D">
      <w:r w:rsidRPr="000939E3">
        <w:rPr>
          <w:noProof/>
          <w:lang w:eastAsia="sk-SK"/>
        </w:rPr>
        <mc:AlternateContent>
          <mc:Choice Requires="wps">
            <w:drawing>
              <wp:anchor distT="0" distB="0" distL="114300" distR="114300" simplePos="0" relativeHeight="251667456" behindDoc="0" locked="0" layoutInCell="1" allowOverlap="1" wp14:anchorId="1103619C" wp14:editId="0744C50E">
                <wp:simplePos x="0" y="0"/>
                <wp:positionH relativeFrom="page">
                  <wp:align>center</wp:align>
                </wp:positionH>
                <wp:positionV relativeFrom="paragraph">
                  <wp:posOffset>1902460</wp:posOffset>
                </wp:positionV>
                <wp:extent cx="3233318" cy="326003"/>
                <wp:effectExtent l="0" t="0" r="5715" b="0"/>
                <wp:wrapNone/>
                <wp:docPr id="28000" name="Textové pole 28000"/>
                <wp:cNvGraphicFramePr/>
                <a:graphic xmlns:a="http://schemas.openxmlformats.org/drawingml/2006/main">
                  <a:graphicData uri="http://schemas.microsoft.com/office/word/2010/wordprocessingShape">
                    <wps:wsp>
                      <wps:cNvSpPr txBox="1"/>
                      <wps:spPr>
                        <a:xfrm>
                          <a:off x="0" y="0"/>
                          <a:ext cx="3233318" cy="3260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ECF2CF" w14:textId="77777777" w:rsidR="00155D56" w:rsidRPr="00E1413A" w:rsidRDefault="00155D56" w:rsidP="00155D56">
                            <w:pPr>
                              <w:jc w:val="center"/>
                              <w:rPr>
                                <w:color w:val="0070C0"/>
                              </w:rPr>
                            </w:pPr>
                            <w:r w:rsidRPr="00E1413A">
                              <w:rPr>
                                <w:color w:val="0070C0"/>
                              </w:rPr>
                              <w:t>Tento projekt je podporený z Európskeho sociálneho fondu</w:t>
                            </w:r>
                          </w:p>
                          <w:p w14:paraId="742BD240" w14:textId="77777777" w:rsidR="00155D56" w:rsidRDefault="00155D56" w:rsidP="00155D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03619C" id="_x0000_t202" coordsize="21600,21600" o:spt="202" path="m,l,21600r21600,l21600,xe">
                <v:stroke joinstyle="miter"/>
                <v:path gradientshapeok="t" o:connecttype="rect"/>
              </v:shapetype>
              <v:shape id="Textové pole 28000" o:spid="_x0000_s1026" type="#_x0000_t202" style="position:absolute;left:0;text-align:left;margin-left:0;margin-top:149.8pt;width:254.6pt;height:25.65pt;z-index:2516674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" fillcolor="white [3201]" stroked="f" strokeweight=".5pt">
                <v:textbox>
                  <w:txbxContent>
                    <w:p w14:paraId="43ECF2CF" w14:textId="77777777" w:rsidR="00155D56" w:rsidRPr="00E1413A" w:rsidRDefault="00155D56" w:rsidP="00155D56">
                      <w:pPr>
                        <w:jc w:val="center"/>
                        <w:rPr>
                          <w:color w:val="0070C0"/>
                        </w:rPr>
                      </w:pPr>
                      <w:r w:rsidRPr="00E1413A">
                        <w:rPr>
                          <w:color w:val="0070C0"/>
                        </w:rPr>
                        <w:t>Tento projekt je podporený z Európskeho sociálneho fondu</w:t>
                      </w:r>
                    </w:p>
                    <w:p w14:paraId="742BD240" w14:textId="77777777" w:rsidR="00155D56" w:rsidRDefault="00155D56" w:rsidP="00155D56"/>
                  </w:txbxContent>
                </v:textbox>
                <w10:wrap anchorx="page"/>
              </v:shape>
            </w:pict>
          </mc:Fallback>
        </mc:AlternateContent>
      </w:r>
      <w:r w:rsidR="009B7C4D" w:rsidRPr="00CA2564">
        <w:rPr>
          <w:noProof/>
          <w:lang w:eastAsia="sk-SK"/>
        </w:rPr>
        <w:drawing>
          <wp:anchor distT="0" distB="0" distL="114300" distR="114300" simplePos="0" relativeHeight="251662336" behindDoc="0" locked="1" layoutInCell="1" allowOverlap="1" wp14:anchorId="73147530" wp14:editId="4962CFBC">
            <wp:simplePos x="0" y="0"/>
            <wp:positionH relativeFrom="page">
              <wp:align>right</wp:align>
            </wp:positionH>
            <wp:positionV relativeFrom="margin">
              <wp:align>bottom</wp:align>
            </wp:positionV>
            <wp:extent cx="3610800" cy="900000"/>
            <wp:effectExtent l="0" t="0" r="0" b="0"/>
            <wp:wrapSquare wrapText="bothSides"/>
            <wp:docPr id="24" name="Obrázok 24" descr="U:\IFP_NEW\4_STRUKTURAL\4_4_Agenda\18_Spending reviews\Informatizacia\01_Final_report\logos\logo-EU-ESF-farba-sv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IFP_NEW\4_STRUKTURAL\4_4_Agenda\18_Spending reviews\Informatizacia\01_Final_report\logos\logo-EU-ESF-farba-sv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08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7C4D" w:rsidRPr="00CA2564">
        <w:rPr>
          <w:noProof/>
          <w:lang w:eastAsia="sk-SK"/>
        </w:rPr>
        <w:drawing>
          <wp:anchor distT="0" distB="0" distL="114300" distR="114300" simplePos="0" relativeHeight="251661312" behindDoc="0" locked="1" layoutInCell="1" allowOverlap="1" wp14:anchorId="318E0B30" wp14:editId="31500016">
            <wp:simplePos x="0" y="0"/>
            <wp:positionH relativeFrom="page">
              <wp:align>left</wp:align>
            </wp:positionH>
            <wp:positionV relativeFrom="margin">
              <wp:align>bottom</wp:align>
            </wp:positionV>
            <wp:extent cx="3607200" cy="900000"/>
            <wp:effectExtent l="0" t="0" r="0" b="0"/>
            <wp:wrapSquare wrapText="bothSides"/>
            <wp:docPr id="20" name="Obrázok 20" descr="U:\IFP_NEW\4_STRUKTURAL\4_4_Agenda\18_Spending reviews\Informatizacia\01_Final_report\logos\logo-OP-EVS-farba-sv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IFP_NEW\4_STRUKTURAL\4_4_Agenda\18_Spending reviews\Informatizacia\01_Final_report\logos\logo-OP-EVS-farba-svk.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72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7C4D" w:rsidRPr="00CA2564">
        <w:br w:type="page"/>
      </w:r>
      <w:r w:rsidR="009B7C4D" w:rsidRPr="00CA2564">
        <w:rPr>
          <w:b/>
          <w:noProof/>
          <w:sz w:val="20"/>
          <w:lang w:eastAsia="sk-SK"/>
        </w:rPr>
        <mc:AlternateContent>
          <mc:Choice Requires="wps">
            <w:drawing>
              <wp:anchor distT="0" distB="0" distL="114300" distR="114300" simplePos="0" relativeHeight="251660288" behindDoc="0" locked="1" layoutInCell="1" allowOverlap="1" wp14:anchorId="6520290D" wp14:editId="73FBAE84">
                <wp:simplePos x="0" y="0"/>
                <wp:positionH relativeFrom="margin">
                  <wp:posOffset>711200</wp:posOffset>
                </wp:positionH>
                <wp:positionV relativeFrom="page">
                  <wp:posOffset>7264400</wp:posOffset>
                </wp:positionV>
                <wp:extent cx="4362450" cy="414020"/>
                <wp:effectExtent l="0" t="0" r="0" b="508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414020"/>
                        </a:xfrm>
                        <a:prstGeom prst="rect">
                          <a:avLst/>
                        </a:prstGeom>
                        <a:solidFill>
                          <a:srgbClr val="FFFFFF"/>
                        </a:solidFill>
                        <a:ln w="9525">
                          <a:noFill/>
                          <a:miter lim="800000"/>
                          <a:headEnd/>
                          <a:tailEnd/>
                        </a:ln>
                      </wps:spPr>
                      <wps:txbx>
                        <w:txbxContent>
                          <w:p w14:paraId="1A577FA9" w14:textId="47BB1534" w:rsidR="00155D56" w:rsidRDefault="00281D6C" w:rsidP="00155D56">
                            <w:pPr>
                              <w:jc w:val="center"/>
                              <w:rPr>
                                <w:color w:val="0070C0"/>
                                <w:sz w:val="40"/>
                                <w:szCs w:val="40"/>
                              </w:rPr>
                            </w:pPr>
                            <w:r>
                              <w:rPr>
                                <w:color w:val="0070C0"/>
                                <w:sz w:val="40"/>
                                <w:szCs w:val="40"/>
                              </w:rPr>
                              <w:t>Zverejnené v mar</w:t>
                            </w:r>
                            <w:r w:rsidR="00155D56">
                              <w:rPr>
                                <w:color w:val="0070C0"/>
                                <w:sz w:val="40"/>
                                <w:szCs w:val="40"/>
                              </w:rPr>
                              <w:t>c</w:t>
                            </w:r>
                            <w:r>
                              <w:rPr>
                                <w:color w:val="0070C0"/>
                                <w:sz w:val="40"/>
                                <w:szCs w:val="40"/>
                              </w:rPr>
                              <w:t>i</w:t>
                            </w:r>
                            <w:r w:rsidR="00155D56">
                              <w:rPr>
                                <w:color w:val="0070C0"/>
                                <w:sz w:val="40"/>
                                <w:szCs w:val="40"/>
                              </w:rPr>
                              <w:t xml:space="preserve"> 2020</w:t>
                            </w:r>
                          </w:p>
                          <w:p w14:paraId="39143C15" w14:textId="5CCAA0DC" w:rsidR="00FA29AF" w:rsidRDefault="00FA29AF" w:rsidP="009B7C4D">
                            <w:pPr>
                              <w:jc w:val="center"/>
                              <w:rPr>
                                <w:color w:val="0070C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20290D" id="_x0000_t202" coordsize="21600,21600" o:spt="202" path="m,l,21600r21600,l21600,xe">
                <v:stroke joinstyle="miter"/>
                <v:path gradientshapeok="t" o:connecttype="rect"/>
              </v:shapetype>
              <v:shape id="Text Box 2" o:spid="_x0000_s1027" type="#_x0000_t202" style="position:absolute;left:0;text-align:left;margin-left:56pt;margin-top:572pt;width:343.5pt;height:32.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" stroked="f">
                <v:textbox>
                  <w:txbxContent>
                    <w:p w14:paraId="1A577FA9" w14:textId="47BB1534" w:rsidR="00155D56" w:rsidRDefault="00281D6C" w:rsidP="00155D56">
                      <w:pPr>
                        <w:jc w:val="center"/>
                        <w:rPr>
                          <w:color w:val="0070C0"/>
                          <w:sz w:val="40"/>
                          <w:szCs w:val="40"/>
                        </w:rPr>
                      </w:pPr>
                      <w:bookmarkStart w:id="2" w:name="_GoBack"/>
                      <w:r>
                        <w:rPr>
                          <w:color w:val="0070C0"/>
                          <w:sz w:val="40"/>
                          <w:szCs w:val="40"/>
                        </w:rPr>
                        <w:t>Zverejnené v mar</w:t>
                      </w:r>
                      <w:r w:rsidR="00155D56">
                        <w:rPr>
                          <w:color w:val="0070C0"/>
                          <w:sz w:val="40"/>
                          <w:szCs w:val="40"/>
                        </w:rPr>
                        <w:t>c</w:t>
                      </w:r>
                      <w:r>
                        <w:rPr>
                          <w:color w:val="0070C0"/>
                          <w:sz w:val="40"/>
                          <w:szCs w:val="40"/>
                        </w:rPr>
                        <w:t>i</w:t>
                      </w:r>
                      <w:r w:rsidR="00155D56">
                        <w:rPr>
                          <w:color w:val="0070C0"/>
                          <w:sz w:val="40"/>
                          <w:szCs w:val="40"/>
                        </w:rPr>
                        <w:t xml:space="preserve"> 2020</w:t>
                      </w:r>
                    </w:p>
                    <w:bookmarkEnd w:id="2"/>
                    <w:p w14:paraId="39143C15" w14:textId="5CCAA0DC" w:rsidR="00FA29AF" w:rsidRDefault="00FA29AF" w:rsidP="009B7C4D">
                      <w:pPr>
                        <w:jc w:val="center"/>
                        <w:rPr>
                          <w:color w:val="0070C0"/>
                          <w:sz w:val="40"/>
                          <w:szCs w:val="40"/>
                        </w:rPr>
                      </w:pPr>
                    </w:p>
                  </w:txbxContent>
                </v:textbox>
                <w10:wrap anchorx="margin" anchory="page"/>
                <w10:anchorlock/>
              </v:shape>
            </w:pict>
          </mc:Fallback>
        </mc:AlternateContent>
      </w:r>
    </w:p>
    <w:tbl>
      <w:tblPr>
        <w:tblpPr w:leftFromText="141" w:rightFromText="141" w:horzAnchor="margin" w:tblpY="438"/>
        <w:tblW w:w="0" w:type="auto"/>
        <w:tblLook w:val="04A0" w:firstRow="1" w:lastRow="0" w:firstColumn="1" w:lastColumn="0" w:noHBand="0" w:noVBand="1"/>
      </w:tblPr>
      <w:tblGrid>
        <w:gridCol w:w="3020"/>
        <w:gridCol w:w="1511"/>
        <w:gridCol w:w="1510"/>
        <w:gridCol w:w="3021"/>
      </w:tblGrid>
      <w:tr w:rsidR="00D262E4" w:rsidRPr="00CA2564" w14:paraId="4B6CA392" w14:textId="77777777" w:rsidTr="009A17F2">
        <w:trPr>
          <w:trHeight w:val="1259"/>
        </w:trPr>
        <w:tc>
          <w:tcPr>
            <w:tcW w:w="4531" w:type="dxa"/>
            <w:gridSpan w:val="2"/>
          </w:tcPr>
          <w:p w14:paraId="26FF2275" w14:textId="77777777" w:rsidR="00D262E4" w:rsidRPr="00CA2564" w:rsidRDefault="00D262E4" w:rsidP="00D262E4">
            <w:pPr>
              <w:jc w:val="center"/>
            </w:pPr>
            <w:r w:rsidRPr="00CA2564">
              <w:rPr>
                <w:noProof/>
                <w:lang w:eastAsia="sk-SK"/>
              </w:rPr>
              <w:lastRenderedPageBreak/>
              <w:drawing>
                <wp:inline distT="0" distB="0" distL="0" distR="0" wp14:anchorId="0FF5EEBE" wp14:editId="68D4A1AD">
                  <wp:extent cx="1924216" cy="465964"/>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fsrlogo.jpg"/>
                          <pic:cNvPicPr/>
                        </pic:nvPicPr>
                        <pic:blipFill>
                          <a:blip r:embed="rId10">
                            <a:extLst>
                              <a:ext uri="{28A0092B-C50C-407E-A947-70E740481C1C}">
                                <a14:useLocalDpi xmlns:a14="http://schemas.microsoft.com/office/drawing/2010/main" val="0"/>
                              </a:ext>
                            </a:extLst>
                          </a:blip>
                          <a:stretch>
                            <a:fillRect/>
                          </a:stretch>
                        </pic:blipFill>
                        <pic:spPr>
                          <a:xfrm>
                            <a:off x="0" y="0"/>
                            <a:ext cx="1924216" cy="465964"/>
                          </a:xfrm>
                          <a:prstGeom prst="rect">
                            <a:avLst/>
                          </a:prstGeom>
                        </pic:spPr>
                      </pic:pic>
                    </a:graphicData>
                  </a:graphic>
                </wp:inline>
              </w:drawing>
            </w:r>
          </w:p>
        </w:tc>
        <w:tc>
          <w:tcPr>
            <w:tcW w:w="4531" w:type="dxa"/>
            <w:gridSpan w:val="2"/>
          </w:tcPr>
          <w:p w14:paraId="24D99D1A" w14:textId="77777777" w:rsidR="00D262E4" w:rsidRPr="00CA2564" w:rsidRDefault="00D262E4" w:rsidP="00D262E4">
            <w:pPr>
              <w:jc w:val="center"/>
            </w:pPr>
            <w:r w:rsidRPr="00CA2564">
              <w:rPr>
                <w:noProof/>
                <w:lang w:eastAsia="sk-SK"/>
              </w:rPr>
              <w:drawing>
                <wp:inline distT="0" distB="0" distL="0" distR="0" wp14:anchorId="404B49F6" wp14:editId="236145CD">
                  <wp:extent cx="1916430" cy="607060"/>
                  <wp:effectExtent l="0" t="0" r="7620" b="254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icepremier.gov.sk/wp-content/uploads/2016/05/UPVSR-1.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916430" cy="6070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262E4" w:rsidRPr="00CA2564" w14:paraId="7BDFA9AB" w14:textId="77777777" w:rsidTr="009A17F2">
        <w:trPr>
          <w:trHeight w:val="1259"/>
        </w:trPr>
        <w:tc>
          <w:tcPr>
            <w:tcW w:w="4531" w:type="dxa"/>
            <w:gridSpan w:val="2"/>
          </w:tcPr>
          <w:p w14:paraId="21CBE990" w14:textId="77777777" w:rsidR="00D262E4" w:rsidRPr="00CA2564" w:rsidRDefault="00D262E4" w:rsidP="00D262E4">
            <w:pPr>
              <w:jc w:val="center"/>
            </w:pPr>
            <w:r w:rsidRPr="00CA2564">
              <w:rPr>
                <w:noProof/>
                <w:lang w:eastAsia="sk-SK"/>
              </w:rPr>
              <w:drawing>
                <wp:inline distT="0" distB="0" distL="0" distR="0" wp14:anchorId="65BF7E5F" wp14:editId="7E5FE57D">
                  <wp:extent cx="1916430" cy="605155"/>
                  <wp:effectExtent l="0" t="0" r="7620" b="4445"/>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icepremier.gov.sk/wp-content/uploads/2016/05/UPVSR-1.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916430" cy="6051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gridSpan w:val="2"/>
          </w:tcPr>
          <w:p w14:paraId="26CC04C4" w14:textId="77777777" w:rsidR="00D262E4" w:rsidRPr="00CA2564" w:rsidRDefault="00D262E4" w:rsidP="00D262E4">
            <w:pPr>
              <w:jc w:val="center"/>
            </w:pPr>
            <w:r w:rsidRPr="00CA2564">
              <w:rPr>
                <w:noProof/>
                <w:lang w:eastAsia="sk-SK"/>
              </w:rPr>
              <w:drawing>
                <wp:inline distT="0" distB="0" distL="0" distR="0" wp14:anchorId="3FF3EA97" wp14:editId="0B7B7834">
                  <wp:extent cx="1915200" cy="470822"/>
                  <wp:effectExtent l="0" t="0" r="0" b="5715"/>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vsr.png"/>
                          <pic:cNvPicPr/>
                        </pic:nvPicPr>
                        <pic:blipFill rotWithShape="1">
                          <a:blip r:embed="rId13">
                            <a:extLst>
                              <a:ext uri="{28A0092B-C50C-407E-A947-70E740481C1C}">
                                <a14:useLocalDpi xmlns:a14="http://schemas.microsoft.com/office/drawing/2010/main" val="0"/>
                              </a:ext>
                            </a:extLst>
                          </a:blip>
                          <a:srcRect l="9281" t="27374" r="9860" b="26991"/>
                          <a:stretch/>
                        </pic:blipFill>
                        <pic:spPr bwMode="auto">
                          <a:xfrm>
                            <a:off x="0" y="0"/>
                            <a:ext cx="1915200" cy="470822"/>
                          </a:xfrm>
                          <a:prstGeom prst="rect">
                            <a:avLst/>
                          </a:prstGeom>
                          <a:ln>
                            <a:noFill/>
                          </a:ln>
                          <a:extLst>
                            <a:ext uri="{53640926-AAD7-44D8-BBD7-CCE9431645EC}">
                              <a14:shadowObscured xmlns:a14="http://schemas.microsoft.com/office/drawing/2010/main"/>
                            </a:ext>
                          </a:extLst>
                        </pic:spPr>
                      </pic:pic>
                    </a:graphicData>
                  </a:graphic>
                </wp:inline>
              </w:drawing>
            </w:r>
          </w:p>
        </w:tc>
      </w:tr>
      <w:tr w:rsidR="00D262E4" w:rsidRPr="00CA2564" w14:paraId="2B08EC82" w14:textId="77777777" w:rsidTr="00D262E4">
        <w:tc>
          <w:tcPr>
            <w:tcW w:w="9062" w:type="dxa"/>
            <w:gridSpan w:val="4"/>
          </w:tcPr>
          <w:p w14:paraId="4E7CF67D" w14:textId="77777777" w:rsidR="00D262E4" w:rsidRPr="00CA2564" w:rsidRDefault="00D262E4" w:rsidP="00D262E4">
            <w:pPr>
              <w:jc w:val="center"/>
            </w:pPr>
            <w:r w:rsidRPr="00CA2564">
              <w:rPr>
                <w:noProof/>
                <w:lang w:eastAsia="sk-SK"/>
              </w:rPr>
              <w:drawing>
                <wp:inline distT="0" distB="0" distL="0" distR="0" wp14:anchorId="1ABF1219" wp14:editId="2F260D31">
                  <wp:extent cx="2156400" cy="655200"/>
                  <wp:effectExtent l="0" t="0" r="0" b="0"/>
                  <wp:docPr id="28002" name="Obrázok 28002" descr="VÃ½sledok vyhÄ¾adÃ¡vania obrÃ¡zkov pre dopyt ministerstvo zdravotnict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Ã½sledok vyhÄ¾adÃ¡vania obrÃ¡zkov pre dopyt ministerstvo zdravotnictv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6400" cy="655200"/>
                          </a:xfrm>
                          <a:prstGeom prst="rect">
                            <a:avLst/>
                          </a:prstGeom>
                          <a:noFill/>
                          <a:ln>
                            <a:noFill/>
                          </a:ln>
                        </pic:spPr>
                      </pic:pic>
                    </a:graphicData>
                  </a:graphic>
                </wp:inline>
              </w:drawing>
            </w:r>
          </w:p>
        </w:tc>
      </w:tr>
      <w:tr w:rsidR="009A17F2" w:rsidRPr="00CA2564" w14:paraId="004FC99B" w14:textId="77777777" w:rsidTr="009A17F2">
        <w:tc>
          <w:tcPr>
            <w:tcW w:w="3020" w:type="dxa"/>
          </w:tcPr>
          <w:p w14:paraId="1CC1E185" w14:textId="1D2D6A11" w:rsidR="009A17F2" w:rsidRPr="00CA2564" w:rsidRDefault="009A17F2" w:rsidP="00D262E4">
            <w:pPr>
              <w:jc w:val="center"/>
              <w:rPr>
                <w:noProof/>
                <w:lang w:eastAsia="sk-SK"/>
              </w:rPr>
            </w:pPr>
            <w:r w:rsidRPr="00CA2564">
              <w:object w:dxaOrig="1185" w:dyaOrig="1545" w14:anchorId="6DCAEE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2pt;height:79.2pt" o:ole="">
                  <v:imagedata r:id="rId15" o:title=""/>
                </v:shape>
                <o:OLEObject Type="Embed" ProgID="PBrush" ShapeID="_x0000_i1025" DrawAspect="Content" ObjectID="_1651045781" r:id="rId16"/>
              </w:object>
            </w:r>
          </w:p>
        </w:tc>
        <w:tc>
          <w:tcPr>
            <w:tcW w:w="3021" w:type="dxa"/>
            <w:gridSpan w:val="2"/>
          </w:tcPr>
          <w:p w14:paraId="1065FB90" w14:textId="41C9DE94" w:rsidR="009A17F2" w:rsidRPr="00CA2564" w:rsidRDefault="009A17F2" w:rsidP="00D262E4">
            <w:pPr>
              <w:jc w:val="center"/>
              <w:rPr>
                <w:noProof/>
                <w:lang w:eastAsia="sk-SK"/>
              </w:rPr>
            </w:pPr>
            <w:r w:rsidRPr="00CA2564">
              <w:rPr>
                <w:b/>
                <w:noProof/>
                <w:sz w:val="36"/>
                <w:szCs w:val="36"/>
                <w:lang w:eastAsia="sk-SK"/>
              </w:rPr>
              <w:drawing>
                <wp:inline distT="0" distB="0" distL="0" distR="0" wp14:anchorId="786CB7A4" wp14:editId="7DCE13A6">
                  <wp:extent cx="838200" cy="957546"/>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6537" cy="967070"/>
                          </a:xfrm>
                          <a:prstGeom prst="rect">
                            <a:avLst/>
                          </a:prstGeom>
                          <a:noFill/>
                          <a:ln>
                            <a:noFill/>
                          </a:ln>
                        </pic:spPr>
                      </pic:pic>
                    </a:graphicData>
                  </a:graphic>
                </wp:inline>
              </w:drawing>
            </w:r>
          </w:p>
        </w:tc>
        <w:tc>
          <w:tcPr>
            <w:tcW w:w="3021" w:type="dxa"/>
          </w:tcPr>
          <w:p w14:paraId="612DD148" w14:textId="26D02446" w:rsidR="009A17F2" w:rsidRDefault="009A17F2" w:rsidP="0068595B">
            <w:pPr>
              <w:spacing w:after="0"/>
              <w:jc w:val="center"/>
              <w:rPr>
                <w:noProof/>
                <w:sz w:val="4"/>
                <w:szCs w:val="4"/>
                <w:lang w:eastAsia="sk-SK"/>
              </w:rPr>
            </w:pPr>
          </w:p>
          <w:p w14:paraId="4CB35270" w14:textId="77777777" w:rsidR="00D57D9B" w:rsidRPr="009A17F2" w:rsidRDefault="00D57D9B" w:rsidP="0068595B">
            <w:pPr>
              <w:spacing w:after="0"/>
              <w:jc w:val="center"/>
              <w:rPr>
                <w:noProof/>
                <w:sz w:val="4"/>
                <w:szCs w:val="4"/>
                <w:lang w:eastAsia="sk-SK"/>
              </w:rPr>
            </w:pPr>
          </w:p>
          <w:p w14:paraId="33708FF7" w14:textId="16D11D2A" w:rsidR="009A17F2" w:rsidRPr="00CA2564" w:rsidRDefault="003F6A00" w:rsidP="0068595B">
            <w:pPr>
              <w:jc w:val="center"/>
              <w:rPr>
                <w:noProof/>
                <w:lang w:eastAsia="sk-SK"/>
              </w:rPr>
            </w:pPr>
            <w:r>
              <w:rPr>
                <w:b/>
                <w:noProof/>
                <w:lang w:eastAsia="sk-SK"/>
              </w:rPr>
              <w:drawing>
                <wp:inline distT="0" distB="0" distL="0" distR="0" wp14:anchorId="4A74E111" wp14:editId="007D57B1">
                  <wp:extent cx="1076960" cy="887013"/>
                  <wp:effectExtent l="0" t="0" r="0" b="8890"/>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2364" cy="891464"/>
                          </a:xfrm>
                          <a:prstGeom prst="rect">
                            <a:avLst/>
                          </a:prstGeom>
                          <a:noFill/>
                          <a:ln>
                            <a:noFill/>
                          </a:ln>
                        </pic:spPr>
                      </pic:pic>
                    </a:graphicData>
                  </a:graphic>
                </wp:inline>
              </w:drawing>
            </w:r>
          </w:p>
        </w:tc>
      </w:tr>
    </w:tbl>
    <w:p w14:paraId="5CC26532" w14:textId="77777777" w:rsidR="009B7C4D" w:rsidRPr="00CA2564" w:rsidRDefault="009B7C4D" w:rsidP="009B7C4D">
      <w:pPr>
        <w:jc w:val="left"/>
        <w:rPr>
          <w:b/>
          <w:sz w:val="36"/>
          <w:szCs w:val="36"/>
        </w:rPr>
      </w:pPr>
    </w:p>
    <w:p w14:paraId="28B10482" w14:textId="77777777" w:rsidR="009B7C4D" w:rsidRPr="00CA2564" w:rsidRDefault="009B7C4D" w:rsidP="009B7C4D">
      <w:pPr>
        <w:rPr>
          <w:b/>
        </w:rPr>
      </w:pPr>
    </w:p>
    <w:p w14:paraId="1D15B014" w14:textId="77777777" w:rsidR="009B7C4D" w:rsidRPr="00CA2564" w:rsidRDefault="009B7C4D" w:rsidP="009B7C4D">
      <w:pPr>
        <w:rPr>
          <w:b/>
        </w:rPr>
      </w:pPr>
    </w:p>
    <w:p w14:paraId="07E1AFBC" w14:textId="00ADC25D" w:rsidR="005B19BA" w:rsidRDefault="005B19BA" w:rsidP="005B19BA">
      <w:r>
        <w:t xml:space="preserve">Jedným zo zadaní projektu Hodnota za peniaze je revízia výdavkov verejnej správy. Tento materiál Ministerstva financií SR je hodnotením efektívnosti politík s dopadom </w:t>
      </w:r>
      <w:r w:rsidRPr="000856A9">
        <w:t>na sociálne začleňovanie skupín ohrozených chudobou alebo sociálnym vylúčením v zmysle uznesenia vlády SR č. 478/2017, úloha B.1. Dokument vznikol spoluprácou medzi Útvarom hodnoty za peniaze</w:t>
      </w:r>
      <w:r>
        <w:t xml:space="preserve"> pod vedením Štefana Kišša,</w:t>
      </w:r>
      <w:r w:rsidRPr="000856A9">
        <w:t> Inštitútom</w:t>
      </w:r>
      <w:r>
        <w:t xml:space="preserve"> vzdelávacej politiky pod vedením Michala Rehúša a Inštitútom sociálnej politiky pod vedením Lucie Fašungovej. Hlavným autorom je Tomáš Hellebrandt (ÚHP). Autorkou kapitol 4 a 6 </w:t>
      </w:r>
      <w:r w:rsidRPr="007F06C9">
        <w:t xml:space="preserve">je Michaela Bednárik (IVP), ktorá je tiež spoluautorkou kapitoly 5. Spoluautorkou kapitol 4, 7 a 8 je Laura Salomonsová (ISP). </w:t>
      </w:r>
      <w:r w:rsidR="007F22BF">
        <w:t xml:space="preserve">Spoluautorom kapitoly 9 je Filip Markovič (ÚHP). </w:t>
      </w:r>
      <w:r w:rsidRPr="007F06C9">
        <w:t>Na príprave materiálu sa tiež podieľali Alexandra Ostertágová a Samo Varsik (IVP), Zuzana Čarnogurská, Katarína Valková, Martina Erdelyiová a Marek Bojko (ÚHP), Zuzana Baranovičová a Michal Jerga (Implementačná jednotka).</w:t>
      </w:r>
    </w:p>
    <w:p w14:paraId="32AEE1CC" w14:textId="77777777" w:rsidR="005B19BA" w:rsidRDefault="005B19BA" w:rsidP="005B19BA">
      <w:r w:rsidRPr="00F12A1A">
        <w:rPr>
          <w:b/>
        </w:rPr>
        <w:t>Poďakovanie:</w:t>
      </w:r>
      <w:r>
        <w:t xml:space="preserve"> </w:t>
      </w:r>
    </w:p>
    <w:p w14:paraId="6AE58209" w14:textId="369A1B8C" w:rsidR="005B19BA" w:rsidRPr="00721BF1" w:rsidRDefault="005B19BA" w:rsidP="005B19BA">
      <w:r w:rsidRPr="00721BF1">
        <w:t xml:space="preserve">Za hodnotné návrhy a pripomienky počas prípravy </w:t>
      </w:r>
      <w:r>
        <w:t xml:space="preserve">záverečnej </w:t>
      </w:r>
      <w:r w:rsidRPr="00721BF1">
        <w:t>správy ďakujeme</w:t>
      </w:r>
      <w:r>
        <w:t xml:space="preserve">, Matejovi Kurianovi, Jurajovi Machovi a Adamovi Marekovi z Útvaru hodnoty za peniaze, </w:t>
      </w:r>
      <w:r w:rsidRPr="00721BF1">
        <w:t xml:space="preserve">kolegom z Ministerstva financií </w:t>
      </w:r>
      <w:r>
        <w:t xml:space="preserve">SR </w:t>
      </w:r>
      <w:r w:rsidRPr="00721BF1">
        <w:t xml:space="preserve">z Inštitútu finančnej politiky a Sekcie rozpočtovej politiky, </w:t>
      </w:r>
      <w:r>
        <w:t xml:space="preserve">kolegom z Ministerstva školstva, vedy, výskumu a športu SR, kolegom z Ministerstva práce, sociálnych vecí a rodiny SR, kolegom z Ministerstva dopravy a výstavby SR, kolegom z Ministerstva zdravotníctva SR, Splnomocnencovi vlády SR pre rómske komunity Ábelovi Ravaszovi, Petrovi Dráľovi (To dá rozum), Lucii Kišš (SlovakAid), Zuzane Kusej a Jarmile Lajčákovej (Kancelária prezidentky SR), Márii Machajdíkovej (SOCIA), </w:t>
      </w:r>
      <w:r w:rsidR="00193A68">
        <w:t xml:space="preserve">Vladislavovi Matejovi (Asociácia poskytovateľov a podporovateľov včasnej intervencie), </w:t>
      </w:r>
      <w:r>
        <w:t>Darine Ondrušovej (Inštitút pre výskum práce a rodiny) a Kataríne Smatanovej (Slovenská technická univerzita). Osobitné poďakovanie patrí recenzentom záverečnej správy revízie Veronike Antalovej (Inštitút environmentálnej politiky), Lucii Mýtnej Kurekovej (Slovenská akadémia vied) a Zuzane Polačkovej (Slovenská akadémia vied) ako aj všetkým účastníkom diskusie v rámci recenzného konania.</w:t>
      </w:r>
    </w:p>
    <w:p w14:paraId="01BA72CF" w14:textId="77777777" w:rsidR="005B19BA" w:rsidRDefault="005B19BA" w:rsidP="005B19BA">
      <w:r w:rsidRPr="00C33E7E">
        <w:t>Chyby a opomenutia zo</w:t>
      </w:r>
      <w:r>
        <w:t>stávajú zodpovednosťou autorov.</w:t>
      </w:r>
    </w:p>
    <w:sdt>
      <w:sdtPr>
        <w:rPr>
          <w:rFonts w:ascii="Arial Narrow" w:eastAsiaTheme="minorHAnsi" w:hAnsi="Arial Narrow" w:cstheme="minorBidi"/>
          <w:color w:val="auto"/>
          <w:sz w:val="22"/>
          <w:szCs w:val="22"/>
          <w:lang w:eastAsia="en-US"/>
        </w:rPr>
        <w:id w:val="-1413623614"/>
        <w:docPartObj>
          <w:docPartGallery w:val="Table of Contents"/>
          <w:docPartUnique/>
        </w:docPartObj>
      </w:sdtPr>
      <w:sdtEndPr>
        <w:rPr>
          <w:b/>
          <w:bCs/>
          <w:szCs w:val="20"/>
        </w:rPr>
      </w:sdtEndPr>
      <w:sdtContent>
        <w:p w14:paraId="43FA67AC" w14:textId="77777777" w:rsidR="00D36722" w:rsidRPr="00CA2564" w:rsidRDefault="00D36722" w:rsidP="00D36722">
          <w:pPr>
            <w:pStyle w:val="Hlavikaobsahu"/>
            <w:spacing w:before="0" w:after="240" w:line="276" w:lineRule="auto"/>
          </w:pPr>
          <w:r w:rsidRPr="00CA2564">
            <w:rPr>
              <w:rFonts w:ascii="Arial Narrow" w:hAnsi="Arial Narrow"/>
              <w:color w:val="0070C0"/>
            </w:rPr>
            <w:t>OBSAH</w:t>
          </w:r>
        </w:p>
        <w:p w14:paraId="37D07227" w14:textId="77777777" w:rsidR="00242EBE" w:rsidRDefault="00A23F74">
          <w:pPr>
            <w:pStyle w:val="Obsah1"/>
            <w:tabs>
              <w:tab w:val="right" w:leader="dot" w:pos="9080"/>
            </w:tabs>
            <w:rPr>
              <w:rFonts w:asciiTheme="minorHAnsi" w:eastAsiaTheme="minorEastAsia" w:hAnsiTheme="minorHAnsi"/>
              <w:noProof/>
              <w:szCs w:val="22"/>
              <w:lang w:eastAsia="sk-SK"/>
            </w:rPr>
          </w:pPr>
          <w:r w:rsidRPr="00CA2564">
            <w:rPr>
              <w:b/>
              <w:bCs/>
            </w:rPr>
            <w:fldChar w:fldCharType="begin"/>
          </w:r>
          <w:r w:rsidRPr="00CA2564">
            <w:rPr>
              <w:b/>
              <w:bCs/>
            </w:rPr>
            <w:instrText xml:space="preserve"> TOC \o "1-2" \h \z \u </w:instrText>
          </w:r>
          <w:r w:rsidRPr="00CA2564">
            <w:rPr>
              <w:b/>
              <w:bCs/>
            </w:rPr>
            <w:fldChar w:fldCharType="separate"/>
          </w:r>
          <w:hyperlink w:anchor="_Toc34657698" w:history="1">
            <w:r w:rsidR="00242EBE" w:rsidRPr="00B23003">
              <w:rPr>
                <w:rStyle w:val="Hypertextovprepojenie"/>
                <w:noProof/>
              </w:rPr>
              <w:t>Úvod a zhrnutie</w:t>
            </w:r>
            <w:r w:rsidR="00242EBE">
              <w:rPr>
                <w:noProof/>
                <w:webHidden/>
              </w:rPr>
              <w:tab/>
            </w:r>
            <w:r w:rsidR="00242EBE">
              <w:rPr>
                <w:noProof/>
                <w:webHidden/>
              </w:rPr>
              <w:fldChar w:fldCharType="begin"/>
            </w:r>
            <w:r w:rsidR="00242EBE">
              <w:rPr>
                <w:noProof/>
                <w:webHidden/>
              </w:rPr>
              <w:instrText xml:space="preserve"> PAGEREF _Toc34657698 \h </w:instrText>
            </w:r>
            <w:r w:rsidR="00242EBE">
              <w:rPr>
                <w:noProof/>
                <w:webHidden/>
              </w:rPr>
            </w:r>
            <w:r w:rsidR="00242EBE">
              <w:rPr>
                <w:noProof/>
                <w:webHidden/>
              </w:rPr>
              <w:fldChar w:fldCharType="separate"/>
            </w:r>
            <w:r w:rsidR="00FA29AF">
              <w:rPr>
                <w:noProof/>
                <w:webHidden/>
              </w:rPr>
              <w:t>8</w:t>
            </w:r>
            <w:r w:rsidR="00242EBE">
              <w:rPr>
                <w:noProof/>
                <w:webHidden/>
              </w:rPr>
              <w:fldChar w:fldCharType="end"/>
            </w:r>
          </w:hyperlink>
        </w:p>
        <w:p w14:paraId="52B81D6E" w14:textId="77777777" w:rsidR="00242EBE" w:rsidRDefault="000D2802">
          <w:pPr>
            <w:pStyle w:val="Obsah1"/>
            <w:tabs>
              <w:tab w:val="left" w:pos="440"/>
              <w:tab w:val="right" w:leader="dot" w:pos="9080"/>
            </w:tabs>
            <w:rPr>
              <w:rFonts w:asciiTheme="minorHAnsi" w:eastAsiaTheme="minorEastAsia" w:hAnsiTheme="minorHAnsi"/>
              <w:noProof/>
              <w:szCs w:val="22"/>
              <w:lang w:eastAsia="sk-SK"/>
            </w:rPr>
          </w:pPr>
          <w:hyperlink w:anchor="_Toc34657699" w:history="1">
            <w:r w:rsidR="00242EBE" w:rsidRPr="00B23003">
              <w:rPr>
                <w:rStyle w:val="Hypertextovprepojenie"/>
                <w:noProof/>
              </w:rPr>
              <w:t>1.</w:t>
            </w:r>
            <w:r w:rsidR="00242EBE">
              <w:rPr>
                <w:rFonts w:asciiTheme="minorHAnsi" w:eastAsiaTheme="minorEastAsia" w:hAnsiTheme="minorHAnsi"/>
                <w:noProof/>
                <w:szCs w:val="22"/>
                <w:lang w:eastAsia="sk-SK"/>
              </w:rPr>
              <w:tab/>
            </w:r>
            <w:r w:rsidR="00242EBE" w:rsidRPr="00B23003">
              <w:rPr>
                <w:rStyle w:val="Hypertextovprepojenie"/>
                <w:noProof/>
              </w:rPr>
              <w:t>Opatrenia revízie výdavkov</w:t>
            </w:r>
            <w:r w:rsidR="00242EBE">
              <w:rPr>
                <w:noProof/>
                <w:webHidden/>
              </w:rPr>
              <w:tab/>
            </w:r>
            <w:r w:rsidR="00242EBE">
              <w:rPr>
                <w:noProof/>
                <w:webHidden/>
              </w:rPr>
              <w:fldChar w:fldCharType="begin"/>
            </w:r>
            <w:r w:rsidR="00242EBE">
              <w:rPr>
                <w:noProof/>
                <w:webHidden/>
              </w:rPr>
              <w:instrText xml:space="preserve"> PAGEREF _Toc34657699 \h </w:instrText>
            </w:r>
            <w:r w:rsidR="00242EBE">
              <w:rPr>
                <w:noProof/>
                <w:webHidden/>
              </w:rPr>
            </w:r>
            <w:r w:rsidR="00242EBE">
              <w:rPr>
                <w:noProof/>
                <w:webHidden/>
              </w:rPr>
              <w:fldChar w:fldCharType="separate"/>
            </w:r>
            <w:r w:rsidR="00FA29AF">
              <w:rPr>
                <w:noProof/>
                <w:webHidden/>
              </w:rPr>
              <w:t>12</w:t>
            </w:r>
            <w:r w:rsidR="00242EBE">
              <w:rPr>
                <w:noProof/>
                <w:webHidden/>
              </w:rPr>
              <w:fldChar w:fldCharType="end"/>
            </w:r>
          </w:hyperlink>
        </w:p>
        <w:p w14:paraId="7C4DE7F0" w14:textId="77777777" w:rsidR="00242EBE" w:rsidRDefault="000D2802">
          <w:pPr>
            <w:pStyle w:val="Obsah2"/>
            <w:tabs>
              <w:tab w:val="left" w:pos="880"/>
              <w:tab w:val="right" w:leader="dot" w:pos="9080"/>
            </w:tabs>
            <w:rPr>
              <w:rFonts w:asciiTheme="minorHAnsi" w:eastAsiaTheme="minorEastAsia" w:hAnsiTheme="minorHAnsi"/>
              <w:noProof/>
              <w:szCs w:val="22"/>
              <w:lang w:eastAsia="sk-SK"/>
            </w:rPr>
          </w:pPr>
          <w:hyperlink w:anchor="_Toc34657700" w:history="1">
            <w:r w:rsidR="00242EBE" w:rsidRPr="00B23003">
              <w:rPr>
                <w:rStyle w:val="Hypertextovprepojenie"/>
                <w:noProof/>
              </w:rPr>
              <w:t>1.1.</w:t>
            </w:r>
            <w:r w:rsidR="00242EBE">
              <w:rPr>
                <w:rFonts w:asciiTheme="minorHAnsi" w:eastAsiaTheme="minorEastAsia" w:hAnsiTheme="minorHAnsi"/>
                <w:noProof/>
                <w:szCs w:val="22"/>
                <w:lang w:eastAsia="sk-SK"/>
              </w:rPr>
              <w:tab/>
            </w:r>
            <w:r w:rsidR="00242EBE" w:rsidRPr="00B23003">
              <w:rPr>
                <w:rStyle w:val="Hypertextovprepojenie"/>
                <w:noProof/>
              </w:rPr>
              <w:t>Hodnota</w:t>
            </w:r>
            <w:r w:rsidR="00242EBE">
              <w:rPr>
                <w:noProof/>
                <w:webHidden/>
              </w:rPr>
              <w:tab/>
            </w:r>
            <w:r w:rsidR="00242EBE">
              <w:rPr>
                <w:noProof/>
                <w:webHidden/>
              </w:rPr>
              <w:fldChar w:fldCharType="begin"/>
            </w:r>
            <w:r w:rsidR="00242EBE">
              <w:rPr>
                <w:noProof/>
                <w:webHidden/>
              </w:rPr>
              <w:instrText xml:space="preserve"> PAGEREF _Toc34657700 \h </w:instrText>
            </w:r>
            <w:r w:rsidR="00242EBE">
              <w:rPr>
                <w:noProof/>
                <w:webHidden/>
              </w:rPr>
            </w:r>
            <w:r w:rsidR="00242EBE">
              <w:rPr>
                <w:noProof/>
                <w:webHidden/>
              </w:rPr>
              <w:fldChar w:fldCharType="separate"/>
            </w:r>
            <w:r w:rsidR="00FA29AF">
              <w:rPr>
                <w:noProof/>
                <w:webHidden/>
              </w:rPr>
              <w:t>12</w:t>
            </w:r>
            <w:r w:rsidR="00242EBE">
              <w:rPr>
                <w:noProof/>
                <w:webHidden/>
              </w:rPr>
              <w:fldChar w:fldCharType="end"/>
            </w:r>
          </w:hyperlink>
        </w:p>
        <w:p w14:paraId="53C7E05E" w14:textId="77777777" w:rsidR="00242EBE" w:rsidRDefault="000D2802">
          <w:pPr>
            <w:pStyle w:val="Obsah2"/>
            <w:tabs>
              <w:tab w:val="left" w:pos="880"/>
              <w:tab w:val="right" w:leader="dot" w:pos="9080"/>
            </w:tabs>
            <w:rPr>
              <w:rFonts w:asciiTheme="minorHAnsi" w:eastAsiaTheme="minorEastAsia" w:hAnsiTheme="minorHAnsi"/>
              <w:noProof/>
              <w:szCs w:val="22"/>
              <w:lang w:eastAsia="sk-SK"/>
            </w:rPr>
          </w:pPr>
          <w:hyperlink w:anchor="_Toc34657701" w:history="1">
            <w:r w:rsidR="00242EBE" w:rsidRPr="00B23003">
              <w:rPr>
                <w:rStyle w:val="Hypertextovprepojenie"/>
                <w:noProof/>
              </w:rPr>
              <w:t>1.2.</w:t>
            </w:r>
            <w:r w:rsidR="00242EBE">
              <w:rPr>
                <w:rFonts w:asciiTheme="minorHAnsi" w:eastAsiaTheme="minorEastAsia" w:hAnsiTheme="minorHAnsi"/>
                <w:noProof/>
                <w:szCs w:val="22"/>
                <w:lang w:eastAsia="sk-SK"/>
              </w:rPr>
              <w:tab/>
            </w:r>
            <w:r w:rsidR="00242EBE" w:rsidRPr="00B23003">
              <w:rPr>
                <w:rStyle w:val="Hypertextovprepojenie"/>
                <w:noProof/>
              </w:rPr>
              <w:t>Úspora</w:t>
            </w:r>
            <w:r w:rsidR="00242EBE">
              <w:rPr>
                <w:noProof/>
                <w:webHidden/>
              </w:rPr>
              <w:tab/>
            </w:r>
            <w:r w:rsidR="00242EBE">
              <w:rPr>
                <w:noProof/>
                <w:webHidden/>
              </w:rPr>
              <w:fldChar w:fldCharType="begin"/>
            </w:r>
            <w:r w:rsidR="00242EBE">
              <w:rPr>
                <w:noProof/>
                <w:webHidden/>
              </w:rPr>
              <w:instrText xml:space="preserve"> PAGEREF _Toc34657701 \h </w:instrText>
            </w:r>
            <w:r w:rsidR="00242EBE">
              <w:rPr>
                <w:noProof/>
                <w:webHidden/>
              </w:rPr>
            </w:r>
            <w:r w:rsidR="00242EBE">
              <w:rPr>
                <w:noProof/>
                <w:webHidden/>
              </w:rPr>
              <w:fldChar w:fldCharType="separate"/>
            </w:r>
            <w:r w:rsidR="00FA29AF">
              <w:rPr>
                <w:noProof/>
                <w:webHidden/>
              </w:rPr>
              <w:t>23</w:t>
            </w:r>
            <w:r w:rsidR="00242EBE">
              <w:rPr>
                <w:noProof/>
                <w:webHidden/>
              </w:rPr>
              <w:fldChar w:fldCharType="end"/>
            </w:r>
          </w:hyperlink>
        </w:p>
        <w:p w14:paraId="35F74B7E" w14:textId="77777777" w:rsidR="00242EBE" w:rsidRDefault="000D2802">
          <w:pPr>
            <w:pStyle w:val="Obsah2"/>
            <w:tabs>
              <w:tab w:val="left" w:pos="880"/>
              <w:tab w:val="right" w:leader="dot" w:pos="9080"/>
            </w:tabs>
            <w:rPr>
              <w:rFonts w:asciiTheme="minorHAnsi" w:eastAsiaTheme="minorEastAsia" w:hAnsiTheme="minorHAnsi"/>
              <w:noProof/>
              <w:szCs w:val="22"/>
              <w:lang w:eastAsia="sk-SK"/>
            </w:rPr>
          </w:pPr>
          <w:hyperlink w:anchor="_Toc34657702" w:history="1">
            <w:r w:rsidR="00242EBE" w:rsidRPr="00B23003">
              <w:rPr>
                <w:rStyle w:val="Hypertextovprepojenie"/>
                <w:bCs/>
                <w:noProof/>
              </w:rPr>
              <w:t>1.3.</w:t>
            </w:r>
            <w:r w:rsidR="00242EBE">
              <w:rPr>
                <w:rFonts w:asciiTheme="minorHAnsi" w:eastAsiaTheme="minorEastAsia" w:hAnsiTheme="minorHAnsi"/>
                <w:noProof/>
                <w:szCs w:val="22"/>
                <w:lang w:eastAsia="sk-SK"/>
              </w:rPr>
              <w:tab/>
            </w:r>
            <w:r w:rsidR="00242EBE" w:rsidRPr="00B23003">
              <w:rPr>
                <w:rStyle w:val="Hypertextovprepojenie"/>
                <w:noProof/>
              </w:rPr>
              <w:t>Riadenie a nefinančné opatrenia</w:t>
            </w:r>
            <w:r w:rsidR="00242EBE">
              <w:rPr>
                <w:noProof/>
                <w:webHidden/>
              </w:rPr>
              <w:tab/>
            </w:r>
            <w:r w:rsidR="00242EBE">
              <w:rPr>
                <w:noProof/>
                <w:webHidden/>
              </w:rPr>
              <w:fldChar w:fldCharType="begin"/>
            </w:r>
            <w:r w:rsidR="00242EBE">
              <w:rPr>
                <w:noProof/>
                <w:webHidden/>
              </w:rPr>
              <w:instrText xml:space="preserve"> PAGEREF _Toc34657702 \h </w:instrText>
            </w:r>
            <w:r w:rsidR="00242EBE">
              <w:rPr>
                <w:noProof/>
                <w:webHidden/>
              </w:rPr>
            </w:r>
            <w:r w:rsidR="00242EBE">
              <w:rPr>
                <w:noProof/>
                <w:webHidden/>
              </w:rPr>
              <w:fldChar w:fldCharType="separate"/>
            </w:r>
            <w:r w:rsidR="00FA29AF">
              <w:rPr>
                <w:noProof/>
                <w:webHidden/>
              </w:rPr>
              <w:t>24</w:t>
            </w:r>
            <w:r w:rsidR="00242EBE">
              <w:rPr>
                <w:noProof/>
                <w:webHidden/>
              </w:rPr>
              <w:fldChar w:fldCharType="end"/>
            </w:r>
          </w:hyperlink>
        </w:p>
        <w:p w14:paraId="6B17F657" w14:textId="77777777" w:rsidR="00242EBE" w:rsidRDefault="000D2802">
          <w:pPr>
            <w:pStyle w:val="Obsah2"/>
            <w:tabs>
              <w:tab w:val="left" w:pos="880"/>
              <w:tab w:val="right" w:leader="dot" w:pos="9080"/>
            </w:tabs>
            <w:rPr>
              <w:rFonts w:asciiTheme="minorHAnsi" w:eastAsiaTheme="minorEastAsia" w:hAnsiTheme="minorHAnsi"/>
              <w:noProof/>
              <w:szCs w:val="22"/>
              <w:lang w:eastAsia="sk-SK"/>
            </w:rPr>
          </w:pPr>
          <w:hyperlink w:anchor="_Toc34657703" w:history="1">
            <w:r w:rsidR="00242EBE" w:rsidRPr="00B23003">
              <w:rPr>
                <w:rStyle w:val="Hypertextovprepojenie"/>
                <w:noProof/>
              </w:rPr>
              <w:t>1.4.</w:t>
            </w:r>
            <w:r w:rsidR="00242EBE">
              <w:rPr>
                <w:rFonts w:asciiTheme="minorHAnsi" w:eastAsiaTheme="minorEastAsia" w:hAnsiTheme="minorHAnsi"/>
                <w:noProof/>
                <w:szCs w:val="22"/>
                <w:lang w:eastAsia="sk-SK"/>
              </w:rPr>
              <w:tab/>
            </w:r>
            <w:r w:rsidR="00242EBE" w:rsidRPr="00B23003">
              <w:rPr>
                <w:rStyle w:val="Hypertextovprepojenie"/>
                <w:noProof/>
              </w:rPr>
              <w:t>Dáta a metodika</w:t>
            </w:r>
            <w:r w:rsidR="00242EBE">
              <w:rPr>
                <w:noProof/>
                <w:webHidden/>
              </w:rPr>
              <w:tab/>
            </w:r>
            <w:r w:rsidR="00242EBE">
              <w:rPr>
                <w:noProof/>
                <w:webHidden/>
              </w:rPr>
              <w:fldChar w:fldCharType="begin"/>
            </w:r>
            <w:r w:rsidR="00242EBE">
              <w:rPr>
                <w:noProof/>
                <w:webHidden/>
              </w:rPr>
              <w:instrText xml:space="preserve"> PAGEREF _Toc34657703 \h </w:instrText>
            </w:r>
            <w:r w:rsidR="00242EBE">
              <w:rPr>
                <w:noProof/>
                <w:webHidden/>
              </w:rPr>
            </w:r>
            <w:r w:rsidR="00242EBE">
              <w:rPr>
                <w:noProof/>
                <w:webHidden/>
              </w:rPr>
              <w:fldChar w:fldCharType="separate"/>
            </w:r>
            <w:r w:rsidR="00FA29AF">
              <w:rPr>
                <w:noProof/>
                <w:webHidden/>
              </w:rPr>
              <w:t>30</w:t>
            </w:r>
            <w:r w:rsidR="00242EBE">
              <w:rPr>
                <w:noProof/>
                <w:webHidden/>
              </w:rPr>
              <w:fldChar w:fldCharType="end"/>
            </w:r>
          </w:hyperlink>
        </w:p>
        <w:p w14:paraId="11525215" w14:textId="77777777" w:rsidR="00242EBE" w:rsidRDefault="000D2802">
          <w:pPr>
            <w:pStyle w:val="Obsah2"/>
            <w:tabs>
              <w:tab w:val="left" w:pos="880"/>
              <w:tab w:val="right" w:leader="dot" w:pos="9080"/>
            </w:tabs>
            <w:rPr>
              <w:rFonts w:asciiTheme="minorHAnsi" w:eastAsiaTheme="minorEastAsia" w:hAnsiTheme="minorHAnsi"/>
              <w:noProof/>
              <w:szCs w:val="22"/>
              <w:lang w:eastAsia="sk-SK"/>
            </w:rPr>
          </w:pPr>
          <w:hyperlink w:anchor="_Toc34657704" w:history="1">
            <w:r w:rsidR="00242EBE" w:rsidRPr="00B23003">
              <w:rPr>
                <w:rStyle w:val="Hypertextovprepojenie"/>
                <w:noProof/>
              </w:rPr>
              <w:t>1.5.</w:t>
            </w:r>
            <w:r w:rsidR="00242EBE">
              <w:rPr>
                <w:rFonts w:asciiTheme="minorHAnsi" w:eastAsiaTheme="minorEastAsia" w:hAnsiTheme="minorHAnsi"/>
                <w:noProof/>
                <w:szCs w:val="22"/>
                <w:lang w:eastAsia="sk-SK"/>
              </w:rPr>
              <w:tab/>
            </w:r>
            <w:r w:rsidR="00242EBE" w:rsidRPr="00B23003">
              <w:rPr>
                <w:rStyle w:val="Hypertextovprepojenie"/>
                <w:noProof/>
              </w:rPr>
              <w:t>Analytické opatrenia</w:t>
            </w:r>
            <w:r w:rsidR="00242EBE">
              <w:rPr>
                <w:noProof/>
                <w:webHidden/>
              </w:rPr>
              <w:tab/>
            </w:r>
            <w:r w:rsidR="00242EBE">
              <w:rPr>
                <w:noProof/>
                <w:webHidden/>
              </w:rPr>
              <w:fldChar w:fldCharType="begin"/>
            </w:r>
            <w:r w:rsidR="00242EBE">
              <w:rPr>
                <w:noProof/>
                <w:webHidden/>
              </w:rPr>
              <w:instrText xml:space="preserve"> PAGEREF _Toc34657704 \h </w:instrText>
            </w:r>
            <w:r w:rsidR="00242EBE">
              <w:rPr>
                <w:noProof/>
                <w:webHidden/>
              </w:rPr>
            </w:r>
            <w:r w:rsidR="00242EBE">
              <w:rPr>
                <w:noProof/>
                <w:webHidden/>
              </w:rPr>
              <w:fldChar w:fldCharType="separate"/>
            </w:r>
            <w:r w:rsidR="00FA29AF">
              <w:rPr>
                <w:noProof/>
                <w:webHidden/>
              </w:rPr>
              <w:t>33</w:t>
            </w:r>
            <w:r w:rsidR="00242EBE">
              <w:rPr>
                <w:noProof/>
                <w:webHidden/>
              </w:rPr>
              <w:fldChar w:fldCharType="end"/>
            </w:r>
          </w:hyperlink>
        </w:p>
        <w:p w14:paraId="1E23A774" w14:textId="77777777" w:rsidR="00242EBE" w:rsidRDefault="000D2802">
          <w:pPr>
            <w:pStyle w:val="Obsah1"/>
            <w:tabs>
              <w:tab w:val="left" w:pos="440"/>
              <w:tab w:val="right" w:leader="dot" w:pos="9080"/>
            </w:tabs>
            <w:rPr>
              <w:rFonts w:asciiTheme="minorHAnsi" w:eastAsiaTheme="minorEastAsia" w:hAnsiTheme="minorHAnsi"/>
              <w:noProof/>
              <w:szCs w:val="22"/>
              <w:lang w:eastAsia="sk-SK"/>
            </w:rPr>
          </w:pPr>
          <w:hyperlink w:anchor="_Toc34657705" w:history="1">
            <w:r w:rsidR="00242EBE" w:rsidRPr="00B23003">
              <w:rPr>
                <w:rStyle w:val="Hypertextovprepojenie"/>
                <w:noProof/>
              </w:rPr>
              <w:t>2.</w:t>
            </w:r>
            <w:r w:rsidR="00242EBE">
              <w:rPr>
                <w:rFonts w:asciiTheme="minorHAnsi" w:eastAsiaTheme="minorEastAsia" w:hAnsiTheme="minorHAnsi"/>
                <w:noProof/>
                <w:szCs w:val="22"/>
                <w:lang w:eastAsia="sk-SK"/>
              </w:rPr>
              <w:tab/>
            </w:r>
            <w:r w:rsidR="00242EBE" w:rsidRPr="00B23003">
              <w:rPr>
                <w:rStyle w:val="Hypertextovprepojenie"/>
                <w:noProof/>
              </w:rPr>
              <w:t>Sociálne začleňovanie a diagnostika ohrozených skupín</w:t>
            </w:r>
            <w:r w:rsidR="00242EBE">
              <w:rPr>
                <w:noProof/>
                <w:webHidden/>
              </w:rPr>
              <w:tab/>
            </w:r>
            <w:r w:rsidR="00242EBE">
              <w:rPr>
                <w:noProof/>
                <w:webHidden/>
              </w:rPr>
              <w:fldChar w:fldCharType="begin"/>
            </w:r>
            <w:r w:rsidR="00242EBE">
              <w:rPr>
                <w:noProof/>
                <w:webHidden/>
              </w:rPr>
              <w:instrText xml:space="preserve"> PAGEREF _Toc34657705 \h </w:instrText>
            </w:r>
            <w:r w:rsidR="00242EBE">
              <w:rPr>
                <w:noProof/>
                <w:webHidden/>
              </w:rPr>
            </w:r>
            <w:r w:rsidR="00242EBE">
              <w:rPr>
                <w:noProof/>
                <w:webHidden/>
              </w:rPr>
              <w:fldChar w:fldCharType="separate"/>
            </w:r>
            <w:r w:rsidR="00FA29AF">
              <w:rPr>
                <w:noProof/>
                <w:webHidden/>
              </w:rPr>
              <w:t>35</w:t>
            </w:r>
            <w:r w:rsidR="00242EBE">
              <w:rPr>
                <w:noProof/>
                <w:webHidden/>
              </w:rPr>
              <w:fldChar w:fldCharType="end"/>
            </w:r>
          </w:hyperlink>
        </w:p>
        <w:p w14:paraId="58DBCCFA" w14:textId="77777777" w:rsidR="00242EBE" w:rsidRDefault="000D2802">
          <w:pPr>
            <w:pStyle w:val="Obsah1"/>
            <w:tabs>
              <w:tab w:val="left" w:pos="440"/>
              <w:tab w:val="right" w:leader="dot" w:pos="9080"/>
            </w:tabs>
            <w:rPr>
              <w:rFonts w:asciiTheme="minorHAnsi" w:eastAsiaTheme="minorEastAsia" w:hAnsiTheme="minorHAnsi"/>
              <w:noProof/>
              <w:szCs w:val="22"/>
              <w:lang w:eastAsia="sk-SK"/>
            </w:rPr>
          </w:pPr>
          <w:hyperlink w:anchor="_Toc34657706" w:history="1">
            <w:r w:rsidR="00242EBE" w:rsidRPr="00B23003">
              <w:rPr>
                <w:rStyle w:val="Hypertextovprepojenie"/>
                <w:noProof/>
              </w:rPr>
              <w:t>3.</w:t>
            </w:r>
            <w:r w:rsidR="00242EBE">
              <w:rPr>
                <w:rFonts w:asciiTheme="minorHAnsi" w:eastAsiaTheme="minorEastAsia" w:hAnsiTheme="minorHAnsi"/>
                <w:noProof/>
                <w:szCs w:val="22"/>
                <w:lang w:eastAsia="sk-SK"/>
              </w:rPr>
              <w:tab/>
            </w:r>
            <w:r w:rsidR="00242EBE" w:rsidRPr="00B23003">
              <w:rPr>
                <w:rStyle w:val="Hypertextovprepojenie"/>
                <w:noProof/>
              </w:rPr>
              <w:t>Výdavky na sociálne začleňovanie</w:t>
            </w:r>
            <w:r w:rsidR="00242EBE">
              <w:rPr>
                <w:noProof/>
                <w:webHidden/>
              </w:rPr>
              <w:tab/>
            </w:r>
            <w:r w:rsidR="00242EBE">
              <w:rPr>
                <w:noProof/>
                <w:webHidden/>
              </w:rPr>
              <w:fldChar w:fldCharType="begin"/>
            </w:r>
            <w:r w:rsidR="00242EBE">
              <w:rPr>
                <w:noProof/>
                <w:webHidden/>
              </w:rPr>
              <w:instrText xml:space="preserve"> PAGEREF _Toc34657706 \h </w:instrText>
            </w:r>
            <w:r w:rsidR="00242EBE">
              <w:rPr>
                <w:noProof/>
                <w:webHidden/>
              </w:rPr>
            </w:r>
            <w:r w:rsidR="00242EBE">
              <w:rPr>
                <w:noProof/>
                <w:webHidden/>
              </w:rPr>
              <w:fldChar w:fldCharType="separate"/>
            </w:r>
            <w:r w:rsidR="00FA29AF">
              <w:rPr>
                <w:noProof/>
                <w:webHidden/>
              </w:rPr>
              <w:t>41</w:t>
            </w:r>
            <w:r w:rsidR="00242EBE">
              <w:rPr>
                <w:noProof/>
                <w:webHidden/>
              </w:rPr>
              <w:fldChar w:fldCharType="end"/>
            </w:r>
          </w:hyperlink>
        </w:p>
        <w:p w14:paraId="035389BC" w14:textId="77777777" w:rsidR="00242EBE" w:rsidRDefault="000D2802">
          <w:pPr>
            <w:pStyle w:val="Obsah2"/>
            <w:tabs>
              <w:tab w:val="left" w:pos="880"/>
              <w:tab w:val="right" w:leader="dot" w:pos="9080"/>
            </w:tabs>
            <w:rPr>
              <w:rFonts w:asciiTheme="minorHAnsi" w:eastAsiaTheme="minorEastAsia" w:hAnsiTheme="minorHAnsi"/>
              <w:noProof/>
              <w:szCs w:val="22"/>
              <w:lang w:eastAsia="sk-SK"/>
            </w:rPr>
          </w:pPr>
          <w:hyperlink w:anchor="_Toc34657707" w:history="1">
            <w:r w:rsidR="00242EBE" w:rsidRPr="00B23003">
              <w:rPr>
                <w:rStyle w:val="Hypertextovprepojenie"/>
                <w:noProof/>
              </w:rPr>
              <w:t>3.1.</w:t>
            </w:r>
            <w:r w:rsidR="00242EBE">
              <w:rPr>
                <w:rFonts w:asciiTheme="minorHAnsi" w:eastAsiaTheme="minorEastAsia" w:hAnsiTheme="minorHAnsi"/>
                <w:noProof/>
                <w:szCs w:val="22"/>
                <w:lang w:eastAsia="sk-SK"/>
              </w:rPr>
              <w:tab/>
            </w:r>
            <w:r w:rsidR="00242EBE" w:rsidRPr="00B23003">
              <w:rPr>
                <w:rStyle w:val="Hypertextovprepojenie"/>
                <w:noProof/>
              </w:rPr>
              <w:t>Výdavky na sociálne začleňovanie v oblasti vzdelávania</w:t>
            </w:r>
            <w:r w:rsidR="00242EBE">
              <w:rPr>
                <w:noProof/>
                <w:webHidden/>
              </w:rPr>
              <w:tab/>
            </w:r>
            <w:r w:rsidR="00242EBE">
              <w:rPr>
                <w:noProof/>
                <w:webHidden/>
              </w:rPr>
              <w:fldChar w:fldCharType="begin"/>
            </w:r>
            <w:r w:rsidR="00242EBE">
              <w:rPr>
                <w:noProof/>
                <w:webHidden/>
              </w:rPr>
              <w:instrText xml:space="preserve"> PAGEREF _Toc34657707 \h </w:instrText>
            </w:r>
            <w:r w:rsidR="00242EBE">
              <w:rPr>
                <w:noProof/>
                <w:webHidden/>
              </w:rPr>
            </w:r>
            <w:r w:rsidR="00242EBE">
              <w:rPr>
                <w:noProof/>
                <w:webHidden/>
              </w:rPr>
              <w:fldChar w:fldCharType="separate"/>
            </w:r>
            <w:r w:rsidR="00FA29AF">
              <w:rPr>
                <w:noProof/>
                <w:webHidden/>
              </w:rPr>
              <w:t>41</w:t>
            </w:r>
            <w:r w:rsidR="00242EBE">
              <w:rPr>
                <w:noProof/>
                <w:webHidden/>
              </w:rPr>
              <w:fldChar w:fldCharType="end"/>
            </w:r>
          </w:hyperlink>
        </w:p>
        <w:p w14:paraId="36D7AEE4" w14:textId="77777777" w:rsidR="00242EBE" w:rsidRDefault="000D2802">
          <w:pPr>
            <w:pStyle w:val="Obsah2"/>
            <w:tabs>
              <w:tab w:val="left" w:pos="880"/>
              <w:tab w:val="right" w:leader="dot" w:pos="9080"/>
            </w:tabs>
            <w:rPr>
              <w:rFonts w:asciiTheme="minorHAnsi" w:eastAsiaTheme="minorEastAsia" w:hAnsiTheme="minorHAnsi"/>
              <w:noProof/>
              <w:szCs w:val="22"/>
              <w:lang w:eastAsia="sk-SK"/>
            </w:rPr>
          </w:pPr>
          <w:hyperlink w:anchor="_Toc34657708" w:history="1">
            <w:r w:rsidR="00242EBE" w:rsidRPr="00B23003">
              <w:rPr>
                <w:rStyle w:val="Hypertextovprepojenie"/>
                <w:noProof/>
              </w:rPr>
              <w:t>3.2.</w:t>
            </w:r>
            <w:r w:rsidR="00242EBE">
              <w:rPr>
                <w:rFonts w:asciiTheme="minorHAnsi" w:eastAsiaTheme="minorEastAsia" w:hAnsiTheme="minorHAnsi"/>
                <w:noProof/>
                <w:szCs w:val="22"/>
                <w:lang w:eastAsia="sk-SK"/>
              </w:rPr>
              <w:tab/>
            </w:r>
            <w:r w:rsidR="00242EBE" w:rsidRPr="00B23003">
              <w:rPr>
                <w:rStyle w:val="Hypertextovprepojenie"/>
                <w:noProof/>
              </w:rPr>
              <w:t>Výdavky na sociálne začleňovanie v oblasti politík trhu práce a sociálnych politík</w:t>
            </w:r>
            <w:r w:rsidR="00242EBE">
              <w:rPr>
                <w:noProof/>
                <w:webHidden/>
              </w:rPr>
              <w:tab/>
            </w:r>
            <w:r w:rsidR="00242EBE">
              <w:rPr>
                <w:noProof/>
                <w:webHidden/>
              </w:rPr>
              <w:fldChar w:fldCharType="begin"/>
            </w:r>
            <w:r w:rsidR="00242EBE">
              <w:rPr>
                <w:noProof/>
                <w:webHidden/>
              </w:rPr>
              <w:instrText xml:space="preserve"> PAGEREF _Toc34657708 \h </w:instrText>
            </w:r>
            <w:r w:rsidR="00242EBE">
              <w:rPr>
                <w:noProof/>
                <w:webHidden/>
              </w:rPr>
            </w:r>
            <w:r w:rsidR="00242EBE">
              <w:rPr>
                <w:noProof/>
                <w:webHidden/>
              </w:rPr>
              <w:fldChar w:fldCharType="separate"/>
            </w:r>
            <w:r w:rsidR="00FA29AF">
              <w:rPr>
                <w:noProof/>
                <w:webHidden/>
              </w:rPr>
              <w:t>43</w:t>
            </w:r>
            <w:r w:rsidR="00242EBE">
              <w:rPr>
                <w:noProof/>
                <w:webHidden/>
              </w:rPr>
              <w:fldChar w:fldCharType="end"/>
            </w:r>
          </w:hyperlink>
        </w:p>
        <w:p w14:paraId="0B5D2026" w14:textId="77777777" w:rsidR="00242EBE" w:rsidRDefault="000D2802">
          <w:pPr>
            <w:pStyle w:val="Obsah2"/>
            <w:tabs>
              <w:tab w:val="left" w:pos="880"/>
              <w:tab w:val="right" w:leader="dot" w:pos="9080"/>
            </w:tabs>
            <w:rPr>
              <w:rFonts w:asciiTheme="minorHAnsi" w:eastAsiaTheme="minorEastAsia" w:hAnsiTheme="minorHAnsi"/>
              <w:noProof/>
              <w:szCs w:val="22"/>
              <w:lang w:eastAsia="sk-SK"/>
            </w:rPr>
          </w:pPr>
          <w:hyperlink w:anchor="_Toc34657709" w:history="1">
            <w:r w:rsidR="00242EBE" w:rsidRPr="00B23003">
              <w:rPr>
                <w:rStyle w:val="Hypertextovprepojenie"/>
                <w:noProof/>
              </w:rPr>
              <w:t>3.3.</w:t>
            </w:r>
            <w:r w:rsidR="00242EBE">
              <w:rPr>
                <w:rFonts w:asciiTheme="minorHAnsi" w:eastAsiaTheme="minorEastAsia" w:hAnsiTheme="minorHAnsi"/>
                <w:noProof/>
                <w:szCs w:val="22"/>
                <w:lang w:eastAsia="sk-SK"/>
              </w:rPr>
              <w:tab/>
            </w:r>
            <w:r w:rsidR="00242EBE" w:rsidRPr="00B23003">
              <w:rPr>
                <w:rStyle w:val="Hypertextovprepojenie"/>
                <w:noProof/>
              </w:rPr>
              <w:t>Výdavky na sociálne začleňovanie v oblasti bývania a infraštruktúry</w:t>
            </w:r>
            <w:r w:rsidR="00242EBE">
              <w:rPr>
                <w:noProof/>
                <w:webHidden/>
              </w:rPr>
              <w:tab/>
            </w:r>
            <w:r w:rsidR="00242EBE">
              <w:rPr>
                <w:noProof/>
                <w:webHidden/>
              </w:rPr>
              <w:fldChar w:fldCharType="begin"/>
            </w:r>
            <w:r w:rsidR="00242EBE">
              <w:rPr>
                <w:noProof/>
                <w:webHidden/>
              </w:rPr>
              <w:instrText xml:space="preserve"> PAGEREF _Toc34657709 \h </w:instrText>
            </w:r>
            <w:r w:rsidR="00242EBE">
              <w:rPr>
                <w:noProof/>
                <w:webHidden/>
              </w:rPr>
            </w:r>
            <w:r w:rsidR="00242EBE">
              <w:rPr>
                <w:noProof/>
                <w:webHidden/>
              </w:rPr>
              <w:fldChar w:fldCharType="separate"/>
            </w:r>
            <w:r w:rsidR="00FA29AF">
              <w:rPr>
                <w:noProof/>
                <w:webHidden/>
              </w:rPr>
              <w:t>45</w:t>
            </w:r>
            <w:r w:rsidR="00242EBE">
              <w:rPr>
                <w:noProof/>
                <w:webHidden/>
              </w:rPr>
              <w:fldChar w:fldCharType="end"/>
            </w:r>
          </w:hyperlink>
        </w:p>
        <w:p w14:paraId="0EA70895" w14:textId="77777777" w:rsidR="00242EBE" w:rsidRDefault="000D2802">
          <w:pPr>
            <w:pStyle w:val="Obsah2"/>
            <w:tabs>
              <w:tab w:val="left" w:pos="880"/>
              <w:tab w:val="right" w:leader="dot" w:pos="9080"/>
            </w:tabs>
            <w:rPr>
              <w:rFonts w:asciiTheme="minorHAnsi" w:eastAsiaTheme="minorEastAsia" w:hAnsiTheme="minorHAnsi"/>
              <w:noProof/>
              <w:szCs w:val="22"/>
              <w:lang w:eastAsia="sk-SK"/>
            </w:rPr>
          </w:pPr>
          <w:hyperlink w:anchor="_Toc34657710" w:history="1">
            <w:r w:rsidR="00242EBE" w:rsidRPr="00B23003">
              <w:rPr>
                <w:rStyle w:val="Hypertextovprepojenie"/>
                <w:noProof/>
              </w:rPr>
              <w:t>3.4.</w:t>
            </w:r>
            <w:r w:rsidR="00242EBE">
              <w:rPr>
                <w:rFonts w:asciiTheme="minorHAnsi" w:eastAsiaTheme="minorEastAsia" w:hAnsiTheme="minorHAnsi"/>
                <w:noProof/>
                <w:szCs w:val="22"/>
                <w:lang w:eastAsia="sk-SK"/>
              </w:rPr>
              <w:tab/>
            </w:r>
            <w:r w:rsidR="00242EBE" w:rsidRPr="00B23003">
              <w:rPr>
                <w:rStyle w:val="Hypertextovprepojenie"/>
                <w:noProof/>
              </w:rPr>
              <w:t>Výdavky na sociálne začleňovanie v oblasti zdravia</w:t>
            </w:r>
            <w:r w:rsidR="00242EBE">
              <w:rPr>
                <w:noProof/>
                <w:webHidden/>
              </w:rPr>
              <w:tab/>
            </w:r>
            <w:r w:rsidR="00242EBE">
              <w:rPr>
                <w:noProof/>
                <w:webHidden/>
              </w:rPr>
              <w:fldChar w:fldCharType="begin"/>
            </w:r>
            <w:r w:rsidR="00242EBE">
              <w:rPr>
                <w:noProof/>
                <w:webHidden/>
              </w:rPr>
              <w:instrText xml:space="preserve"> PAGEREF _Toc34657710 \h </w:instrText>
            </w:r>
            <w:r w:rsidR="00242EBE">
              <w:rPr>
                <w:noProof/>
                <w:webHidden/>
              </w:rPr>
            </w:r>
            <w:r w:rsidR="00242EBE">
              <w:rPr>
                <w:noProof/>
                <w:webHidden/>
              </w:rPr>
              <w:fldChar w:fldCharType="separate"/>
            </w:r>
            <w:r w:rsidR="00FA29AF">
              <w:rPr>
                <w:noProof/>
                <w:webHidden/>
              </w:rPr>
              <w:t>45</w:t>
            </w:r>
            <w:r w:rsidR="00242EBE">
              <w:rPr>
                <w:noProof/>
                <w:webHidden/>
              </w:rPr>
              <w:fldChar w:fldCharType="end"/>
            </w:r>
          </w:hyperlink>
        </w:p>
        <w:p w14:paraId="3900E723" w14:textId="77777777" w:rsidR="00242EBE" w:rsidRDefault="000D2802">
          <w:pPr>
            <w:pStyle w:val="Obsah2"/>
            <w:tabs>
              <w:tab w:val="left" w:pos="880"/>
              <w:tab w:val="right" w:leader="dot" w:pos="9080"/>
            </w:tabs>
            <w:rPr>
              <w:rFonts w:asciiTheme="minorHAnsi" w:eastAsiaTheme="minorEastAsia" w:hAnsiTheme="minorHAnsi"/>
              <w:noProof/>
              <w:szCs w:val="22"/>
              <w:lang w:eastAsia="sk-SK"/>
            </w:rPr>
          </w:pPr>
          <w:hyperlink w:anchor="_Toc34657711" w:history="1">
            <w:r w:rsidR="00242EBE" w:rsidRPr="00B23003">
              <w:rPr>
                <w:rStyle w:val="Hypertextovprepojenie"/>
                <w:noProof/>
              </w:rPr>
              <w:t>3.5.</w:t>
            </w:r>
            <w:r w:rsidR="00242EBE">
              <w:rPr>
                <w:rFonts w:asciiTheme="minorHAnsi" w:eastAsiaTheme="minorEastAsia" w:hAnsiTheme="minorHAnsi"/>
                <w:noProof/>
                <w:szCs w:val="22"/>
                <w:lang w:eastAsia="sk-SK"/>
              </w:rPr>
              <w:tab/>
            </w:r>
            <w:r w:rsidR="00242EBE" w:rsidRPr="00B23003">
              <w:rPr>
                <w:rStyle w:val="Hypertextovprepojenie"/>
                <w:noProof/>
              </w:rPr>
              <w:t>Výdavky na sociálne začleňovanie zo zdrojov EŠIF a spolufinancovania</w:t>
            </w:r>
            <w:r w:rsidR="00242EBE">
              <w:rPr>
                <w:noProof/>
                <w:webHidden/>
              </w:rPr>
              <w:tab/>
            </w:r>
            <w:r w:rsidR="00242EBE">
              <w:rPr>
                <w:noProof/>
                <w:webHidden/>
              </w:rPr>
              <w:fldChar w:fldCharType="begin"/>
            </w:r>
            <w:r w:rsidR="00242EBE">
              <w:rPr>
                <w:noProof/>
                <w:webHidden/>
              </w:rPr>
              <w:instrText xml:space="preserve"> PAGEREF _Toc34657711 \h </w:instrText>
            </w:r>
            <w:r w:rsidR="00242EBE">
              <w:rPr>
                <w:noProof/>
                <w:webHidden/>
              </w:rPr>
            </w:r>
            <w:r w:rsidR="00242EBE">
              <w:rPr>
                <w:noProof/>
                <w:webHidden/>
              </w:rPr>
              <w:fldChar w:fldCharType="separate"/>
            </w:r>
            <w:r w:rsidR="00FA29AF">
              <w:rPr>
                <w:noProof/>
                <w:webHidden/>
              </w:rPr>
              <w:t>45</w:t>
            </w:r>
            <w:r w:rsidR="00242EBE">
              <w:rPr>
                <w:noProof/>
                <w:webHidden/>
              </w:rPr>
              <w:fldChar w:fldCharType="end"/>
            </w:r>
          </w:hyperlink>
        </w:p>
        <w:p w14:paraId="72B00D97" w14:textId="77777777" w:rsidR="00242EBE" w:rsidRDefault="000D2802">
          <w:pPr>
            <w:pStyle w:val="Obsah1"/>
            <w:tabs>
              <w:tab w:val="left" w:pos="440"/>
              <w:tab w:val="right" w:leader="dot" w:pos="9080"/>
            </w:tabs>
            <w:rPr>
              <w:rFonts w:asciiTheme="minorHAnsi" w:eastAsiaTheme="minorEastAsia" w:hAnsiTheme="minorHAnsi"/>
              <w:noProof/>
              <w:szCs w:val="22"/>
              <w:lang w:eastAsia="sk-SK"/>
            </w:rPr>
          </w:pPr>
          <w:hyperlink w:anchor="_Toc34657712" w:history="1">
            <w:r w:rsidR="00242EBE" w:rsidRPr="00B23003">
              <w:rPr>
                <w:rStyle w:val="Hypertextovprepojenie"/>
                <w:noProof/>
              </w:rPr>
              <w:t>4.</w:t>
            </w:r>
            <w:r w:rsidR="00242EBE">
              <w:rPr>
                <w:rFonts w:asciiTheme="minorHAnsi" w:eastAsiaTheme="minorEastAsia" w:hAnsiTheme="minorHAnsi"/>
                <w:noProof/>
                <w:szCs w:val="22"/>
                <w:lang w:eastAsia="sk-SK"/>
              </w:rPr>
              <w:tab/>
            </w:r>
            <w:r w:rsidR="00242EBE" w:rsidRPr="00B23003">
              <w:rPr>
                <w:rStyle w:val="Hypertextovprepojenie"/>
                <w:noProof/>
              </w:rPr>
              <w:t>Starostlivosť o znevýhodnené deti v ranom veku</w:t>
            </w:r>
            <w:r w:rsidR="00242EBE">
              <w:rPr>
                <w:noProof/>
                <w:webHidden/>
              </w:rPr>
              <w:tab/>
            </w:r>
            <w:r w:rsidR="00242EBE">
              <w:rPr>
                <w:noProof/>
                <w:webHidden/>
              </w:rPr>
              <w:fldChar w:fldCharType="begin"/>
            </w:r>
            <w:r w:rsidR="00242EBE">
              <w:rPr>
                <w:noProof/>
                <w:webHidden/>
              </w:rPr>
              <w:instrText xml:space="preserve"> PAGEREF _Toc34657712 \h </w:instrText>
            </w:r>
            <w:r w:rsidR="00242EBE">
              <w:rPr>
                <w:noProof/>
                <w:webHidden/>
              </w:rPr>
            </w:r>
            <w:r w:rsidR="00242EBE">
              <w:rPr>
                <w:noProof/>
                <w:webHidden/>
              </w:rPr>
              <w:fldChar w:fldCharType="separate"/>
            </w:r>
            <w:r w:rsidR="00FA29AF">
              <w:rPr>
                <w:noProof/>
                <w:webHidden/>
              </w:rPr>
              <w:t>49</w:t>
            </w:r>
            <w:r w:rsidR="00242EBE">
              <w:rPr>
                <w:noProof/>
                <w:webHidden/>
              </w:rPr>
              <w:fldChar w:fldCharType="end"/>
            </w:r>
          </w:hyperlink>
        </w:p>
        <w:p w14:paraId="67065EED" w14:textId="77777777" w:rsidR="00242EBE" w:rsidRDefault="000D2802">
          <w:pPr>
            <w:pStyle w:val="Obsah1"/>
            <w:tabs>
              <w:tab w:val="left" w:pos="440"/>
              <w:tab w:val="right" w:leader="dot" w:pos="9080"/>
            </w:tabs>
            <w:rPr>
              <w:rFonts w:asciiTheme="minorHAnsi" w:eastAsiaTheme="minorEastAsia" w:hAnsiTheme="minorHAnsi"/>
              <w:noProof/>
              <w:szCs w:val="22"/>
              <w:lang w:eastAsia="sk-SK"/>
            </w:rPr>
          </w:pPr>
          <w:hyperlink w:anchor="_Toc34657713" w:history="1">
            <w:r w:rsidR="00242EBE" w:rsidRPr="00B23003">
              <w:rPr>
                <w:rStyle w:val="Hypertextovprepojenie"/>
                <w:noProof/>
              </w:rPr>
              <w:t>5.</w:t>
            </w:r>
            <w:r w:rsidR="00242EBE">
              <w:rPr>
                <w:rFonts w:asciiTheme="minorHAnsi" w:eastAsiaTheme="minorEastAsia" w:hAnsiTheme="minorHAnsi"/>
                <w:noProof/>
                <w:szCs w:val="22"/>
                <w:lang w:eastAsia="sk-SK"/>
              </w:rPr>
              <w:tab/>
            </w:r>
            <w:r w:rsidR="00242EBE" w:rsidRPr="00B23003">
              <w:rPr>
                <w:rStyle w:val="Hypertextovprepojenie"/>
                <w:noProof/>
              </w:rPr>
              <w:t>Vzdelávanie detí so sociálnym znevýhodnením</w:t>
            </w:r>
            <w:r w:rsidR="00242EBE">
              <w:rPr>
                <w:noProof/>
                <w:webHidden/>
              </w:rPr>
              <w:tab/>
            </w:r>
            <w:r w:rsidR="00242EBE">
              <w:rPr>
                <w:noProof/>
                <w:webHidden/>
              </w:rPr>
              <w:fldChar w:fldCharType="begin"/>
            </w:r>
            <w:r w:rsidR="00242EBE">
              <w:rPr>
                <w:noProof/>
                <w:webHidden/>
              </w:rPr>
              <w:instrText xml:space="preserve"> PAGEREF _Toc34657713 \h </w:instrText>
            </w:r>
            <w:r w:rsidR="00242EBE">
              <w:rPr>
                <w:noProof/>
                <w:webHidden/>
              </w:rPr>
            </w:r>
            <w:r w:rsidR="00242EBE">
              <w:rPr>
                <w:noProof/>
                <w:webHidden/>
              </w:rPr>
              <w:fldChar w:fldCharType="separate"/>
            </w:r>
            <w:r w:rsidR="00FA29AF">
              <w:rPr>
                <w:noProof/>
                <w:webHidden/>
              </w:rPr>
              <w:t>55</w:t>
            </w:r>
            <w:r w:rsidR="00242EBE">
              <w:rPr>
                <w:noProof/>
                <w:webHidden/>
              </w:rPr>
              <w:fldChar w:fldCharType="end"/>
            </w:r>
          </w:hyperlink>
        </w:p>
        <w:p w14:paraId="7A749AB6" w14:textId="77777777" w:rsidR="00242EBE" w:rsidRDefault="000D2802">
          <w:pPr>
            <w:pStyle w:val="Obsah2"/>
            <w:tabs>
              <w:tab w:val="left" w:pos="880"/>
              <w:tab w:val="right" w:leader="dot" w:pos="9080"/>
            </w:tabs>
            <w:rPr>
              <w:rFonts w:asciiTheme="minorHAnsi" w:eastAsiaTheme="minorEastAsia" w:hAnsiTheme="minorHAnsi"/>
              <w:noProof/>
              <w:szCs w:val="22"/>
              <w:lang w:eastAsia="sk-SK"/>
            </w:rPr>
          </w:pPr>
          <w:hyperlink w:anchor="_Toc34657714" w:history="1">
            <w:r w:rsidR="00242EBE" w:rsidRPr="00B23003">
              <w:rPr>
                <w:rStyle w:val="Hypertextovprepojenie"/>
                <w:noProof/>
              </w:rPr>
              <w:t>5.1.</w:t>
            </w:r>
            <w:r w:rsidR="00242EBE">
              <w:rPr>
                <w:rFonts w:asciiTheme="minorHAnsi" w:eastAsiaTheme="minorEastAsia" w:hAnsiTheme="minorHAnsi"/>
                <w:noProof/>
                <w:szCs w:val="22"/>
                <w:lang w:eastAsia="sk-SK"/>
              </w:rPr>
              <w:tab/>
            </w:r>
            <w:r w:rsidR="00242EBE" w:rsidRPr="00B23003">
              <w:rPr>
                <w:rStyle w:val="Hypertextovprepojenie"/>
                <w:noProof/>
              </w:rPr>
              <w:t>Vzdelávanie v materských školách</w:t>
            </w:r>
            <w:r w:rsidR="00242EBE">
              <w:rPr>
                <w:noProof/>
                <w:webHidden/>
              </w:rPr>
              <w:tab/>
            </w:r>
            <w:r w:rsidR="00242EBE">
              <w:rPr>
                <w:noProof/>
                <w:webHidden/>
              </w:rPr>
              <w:fldChar w:fldCharType="begin"/>
            </w:r>
            <w:r w:rsidR="00242EBE">
              <w:rPr>
                <w:noProof/>
                <w:webHidden/>
              </w:rPr>
              <w:instrText xml:space="preserve"> PAGEREF _Toc34657714 \h </w:instrText>
            </w:r>
            <w:r w:rsidR="00242EBE">
              <w:rPr>
                <w:noProof/>
                <w:webHidden/>
              </w:rPr>
            </w:r>
            <w:r w:rsidR="00242EBE">
              <w:rPr>
                <w:noProof/>
                <w:webHidden/>
              </w:rPr>
              <w:fldChar w:fldCharType="separate"/>
            </w:r>
            <w:r w:rsidR="00FA29AF">
              <w:rPr>
                <w:noProof/>
                <w:webHidden/>
              </w:rPr>
              <w:t>57</w:t>
            </w:r>
            <w:r w:rsidR="00242EBE">
              <w:rPr>
                <w:noProof/>
                <w:webHidden/>
              </w:rPr>
              <w:fldChar w:fldCharType="end"/>
            </w:r>
          </w:hyperlink>
        </w:p>
        <w:p w14:paraId="6660388B" w14:textId="77777777" w:rsidR="00242EBE" w:rsidRDefault="000D2802">
          <w:pPr>
            <w:pStyle w:val="Obsah2"/>
            <w:tabs>
              <w:tab w:val="left" w:pos="880"/>
              <w:tab w:val="right" w:leader="dot" w:pos="9080"/>
            </w:tabs>
            <w:rPr>
              <w:rFonts w:asciiTheme="minorHAnsi" w:eastAsiaTheme="minorEastAsia" w:hAnsiTheme="minorHAnsi"/>
              <w:noProof/>
              <w:szCs w:val="22"/>
              <w:lang w:eastAsia="sk-SK"/>
            </w:rPr>
          </w:pPr>
          <w:hyperlink w:anchor="_Toc34657715" w:history="1">
            <w:r w:rsidR="00242EBE" w:rsidRPr="00B23003">
              <w:rPr>
                <w:rStyle w:val="Hypertextovprepojenie"/>
                <w:noProof/>
              </w:rPr>
              <w:t>5.2.</w:t>
            </w:r>
            <w:r w:rsidR="00242EBE">
              <w:rPr>
                <w:rFonts w:asciiTheme="minorHAnsi" w:eastAsiaTheme="minorEastAsia" w:hAnsiTheme="minorHAnsi"/>
                <w:noProof/>
                <w:szCs w:val="22"/>
                <w:lang w:eastAsia="sk-SK"/>
              </w:rPr>
              <w:tab/>
            </w:r>
            <w:r w:rsidR="00242EBE" w:rsidRPr="00B23003">
              <w:rPr>
                <w:rStyle w:val="Hypertextovprepojenie"/>
                <w:noProof/>
              </w:rPr>
              <w:t>Vzdelávanie v základných školách</w:t>
            </w:r>
            <w:r w:rsidR="00242EBE">
              <w:rPr>
                <w:noProof/>
                <w:webHidden/>
              </w:rPr>
              <w:tab/>
            </w:r>
            <w:r w:rsidR="00242EBE">
              <w:rPr>
                <w:noProof/>
                <w:webHidden/>
              </w:rPr>
              <w:fldChar w:fldCharType="begin"/>
            </w:r>
            <w:r w:rsidR="00242EBE">
              <w:rPr>
                <w:noProof/>
                <w:webHidden/>
              </w:rPr>
              <w:instrText xml:space="preserve"> PAGEREF _Toc34657715 \h </w:instrText>
            </w:r>
            <w:r w:rsidR="00242EBE">
              <w:rPr>
                <w:noProof/>
                <w:webHidden/>
              </w:rPr>
            </w:r>
            <w:r w:rsidR="00242EBE">
              <w:rPr>
                <w:noProof/>
                <w:webHidden/>
              </w:rPr>
              <w:fldChar w:fldCharType="separate"/>
            </w:r>
            <w:r w:rsidR="00FA29AF">
              <w:rPr>
                <w:noProof/>
                <w:webHidden/>
              </w:rPr>
              <w:t>63</w:t>
            </w:r>
            <w:r w:rsidR="00242EBE">
              <w:rPr>
                <w:noProof/>
                <w:webHidden/>
              </w:rPr>
              <w:fldChar w:fldCharType="end"/>
            </w:r>
          </w:hyperlink>
        </w:p>
        <w:p w14:paraId="1466133A" w14:textId="77777777" w:rsidR="00242EBE" w:rsidRDefault="000D2802">
          <w:pPr>
            <w:pStyle w:val="Obsah2"/>
            <w:tabs>
              <w:tab w:val="left" w:pos="880"/>
              <w:tab w:val="right" w:leader="dot" w:pos="9080"/>
            </w:tabs>
            <w:rPr>
              <w:rFonts w:asciiTheme="minorHAnsi" w:eastAsiaTheme="minorEastAsia" w:hAnsiTheme="minorHAnsi"/>
              <w:noProof/>
              <w:szCs w:val="22"/>
              <w:lang w:eastAsia="sk-SK"/>
            </w:rPr>
          </w:pPr>
          <w:hyperlink w:anchor="_Toc34657716" w:history="1">
            <w:r w:rsidR="00242EBE" w:rsidRPr="00B23003">
              <w:rPr>
                <w:rStyle w:val="Hypertextovprepojenie"/>
                <w:noProof/>
              </w:rPr>
              <w:t>5.3.</w:t>
            </w:r>
            <w:r w:rsidR="00242EBE">
              <w:rPr>
                <w:rFonts w:asciiTheme="minorHAnsi" w:eastAsiaTheme="minorEastAsia" w:hAnsiTheme="minorHAnsi"/>
                <w:noProof/>
                <w:szCs w:val="22"/>
                <w:lang w:eastAsia="sk-SK"/>
              </w:rPr>
              <w:tab/>
            </w:r>
            <w:r w:rsidR="00242EBE" w:rsidRPr="00B23003">
              <w:rPr>
                <w:rStyle w:val="Hypertextovprepojenie"/>
                <w:noProof/>
              </w:rPr>
              <w:t>Predčasné ukončovanie školskej dochádzky</w:t>
            </w:r>
            <w:r w:rsidR="00242EBE">
              <w:rPr>
                <w:noProof/>
                <w:webHidden/>
              </w:rPr>
              <w:tab/>
            </w:r>
            <w:r w:rsidR="00242EBE">
              <w:rPr>
                <w:noProof/>
                <w:webHidden/>
              </w:rPr>
              <w:fldChar w:fldCharType="begin"/>
            </w:r>
            <w:r w:rsidR="00242EBE">
              <w:rPr>
                <w:noProof/>
                <w:webHidden/>
              </w:rPr>
              <w:instrText xml:space="preserve"> PAGEREF _Toc34657716 \h </w:instrText>
            </w:r>
            <w:r w:rsidR="00242EBE">
              <w:rPr>
                <w:noProof/>
                <w:webHidden/>
              </w:rPr>
            </w:r>
            <w:r w:rsidR="00242EBE">
              <w:rPr>
                <w:noProof/>
                <w:webHidden/>
              </w:rPr>
              <w:fldChar w:fldCharType="separate"/>
            </w:r>
            <w:r w:rsidR="00FA29AF">
              <w:rPr>
                <w:noProof/>
                <w:webHidden/>
              </w:rPr>
              <w:t>74</w:t>
            </w:r>
            <w:r w:rsidR="00242EBE">
              <w:rPr>
                <w:noProof/>
                <w:webHidden/>
              </w:rPr>
              <w:fldChar w:fldCharType="end"/>
            </w:r>
          </w:hyperlink>
        </w:p>
        <w:p w14:paraId="2AFC4CAC" w14:textId="77777777" w:rsidR="00242EBE" w:rsidRDefault="000D2802">
          <w:pPr>
            <w:pStyle w:val="Obsah2"/>
            <w:tabs>
              <w:tab w:val="left" w:pos="880"/>
              <w:tab w:val="right" w:leader="dot" w:pos="9080"/>
            </w:tabs>
            <w:rPr>
              <w:rFonts w:asciiTheme="minorHAnsi" w:eastAsiaTheme="minorEastAsia" w:hAnsiTheme="minorHAnsi"/>
              <w:noProof/>
              <w:szCs w:val="22"/>
              <w:lang w:eastAsia="sk-SK"/>
            </w:rPr>
          </w:pPr>
          <w:hyperlink w:anchor="_Toc34657717" w:history="1">
            <w:r w:rsidR="00242EBE" w:rsidRPr="00B23003">
              <w:rPr>
                <w:rStyle w:val="Hypertextovprepojenie"/>
                <w:noProof/>
              </w:rPr>
              <w:t>5.4.</w:t>
            </w:r>
            <w:r w:rsidR="00242EBE">
              <w:rPr>
                <w:rFonts w:asciiTheme="minorHAnsi" w:eastAsiaTheme="minorEastAsia" w:hAnsiTheme="minorHAnsi"/>
                <w:noProof/>
                <w:szCs w:val="22"/>
                <w:lang w:eastAsia="sk-SK"/>
              </w:rPr>
              <w:tab/>
            </w:r>
            <w:r w:rsidR="00242EBE" w:rsidRPr="00B23003">
              <w:rPr>
                <w:rStyle w:val="Hypertextovprepojenie"/>
                <w:noProof/>
              </w:rPr>
              <w:t>Stredoškolské vzdelávanie</w:t>
            </w:r>
            <w:r w:rsidR="00242EBE">
              <w:rPr>
                <w:noProof/>
                <w:webHidden/>
              </w:rPr>
              <w:tab/>
            </w:r>
            <w:r w:rsidR="00242EBE">
              <w:rPr>
                <w:noProof/>
                <w:webHidden/>
              </w:rPr>
              <w:fldChar w:fldCharType="begin"/>
            </w:r>
            <w:r w:rsidR="00242EBE">
              <w:rPr>
                <w:noProof/>
                <w:webHidden/>
              </w:rPr>
              <w:instrText xml:space="preserve"> PAGEREF _Toc34657717 \h </w:instrText>
            </w:r>
            <w:r w:rsidR="00242EBE">
              <w:rPr>
                <w:noProof/>
                <w:webHidden/>
              </w:rPr>
            </w:r>
            <w:r w:rsidR="00242EBE">
              <w:rPr>
                <w:noProof/>
                <w:webHidden/>
              </w:rPr>
              <w:fldChar w:fldCharType="separate"/>
            </w:r>
            <w:r w:rsidR="00FA29AF">
              <w:rPr>
                <w:noProof/>
                <w:webHidden/>
              </w:rPr>
              <w:t>78</w:t>
            </w:r>
            <w:r w:rsidR="00242EBE">
              <w:rPr>
                <w:noProof/>
                <w:webHidden/>
              </w:rPr>
              <w:fldChar w:fldCharType="end"/>
            </w:r>
          </w:hyperlink>
        </w:p>
        <w:p w14:paraId="2C162998" w14:textId="77777777" w:rsidR="00242EBE" w:rsidRDefault="000D2802">
          <w:pPr>
            <w:pStyle w:val="Obsah2"/>
            <w:tabs>
              <w:tab w:val="left" w:pos="880"/>
              <w:tab w:val="right" w:leader="dot" w:pos="9080"/>
            </w:tabs>
            <w:rPr>
              <w:rFonts w:asciiTheme="minorHAnsi" w:eastAsiaTheme="minorEastAsia" w:hAnsiTheme="minorHAnsi"/>
              <w:noProof/>
              <w:szCs w:val="22"/>
              <w:lang w:eastAsia="sk-SK"/>
            </w:rPr>
          </w:pPr>
          <w:hyperlink w:anchor="_Toc34657718" w:history="1">
            <w:r w:rsidR="00242EBE" w:rsidRPr="00B23003">
              <w:rPr>
                <w:rStyle w:val="Hypertextovprepojenie"/>
                <w:noProof/>
              </w:rPr>
              <w:t>5.5.</w:t>
            </w:r>
            <w:r w:rsidR="00242EBE">
              <w:rPr>
                <w:rFonts w:asciiTheme="minorHAnsi" w:eastAsiaTheme="minorEastAsia" w:hAnsiTheme="minorHAnsi"/>
                <w:noProof/>
                <w:szCs w:val="22"/>
                <w:lang w:eastAsia="sk-SK"/>
              </w:rPr>
              <w:tab/>
            </w:r>
            <w:r w:rsidR="00242EBE" w:rsidRPr="00B23003">
              <w:rPr>
                <w:rStyle w:val="Hypertextovprepojenie"/>
                <w:noProof/>
              </w:rPr>
              <w:t>Vysokoškolské vzdelávanie</w:t>
            </w:r>
            <w:r w:rsidR="00242EBE">
              <w:rPr>
                <w:noProof/>
                <w:webHidden/>
              </w:rPr>
              <w:tab/>
            </w:r>
            <w:r w:rsidR="00242EBE">
              <w:rPr>
                <w:noProof/>
                <w:webHidden/>
              </w:rPr>
              <w:fldChar w:fldCharType="begin"/>
            </w:r>
            <w:r w:rsidR="00242EBE">
              <w:rPr>
                <w:noProof/>
                <w:webHidden/>
              </w:rPr>
              <w:instrText xml:space="preserve"> PAGEREF _Toc34657718 \h </w:instrText>
            </w:r>
            <w:r w:rsidR="00242EBE">
              <w:rPr>
                <w:noProof/>
                <w:webHidden/>
              </w:rPr>
            </w:r>
            <w:r w:rsidR="00242EBE">
              <w:rPr>
                <w:noProof/>
                <w:webHidden/>
              </w:rPr>
              <w:fldChar w:fldCharType="separate"/>
            </w:r>
            <w:r w:rsidR="00FA29AF">
              <w:rPr>
                <w:noProof/>
                <w:webHidden/>
              </w:rPr>
              <w:t>79</w:t>
            </w:r>
            <w:r w:rsidR="00242EBE">
              <w:rPr>
                <w:noProof/>
                <w:webHidden/>
              </w:rPr>
              <w:fldChar w:fldCharType="end"/>
            </w:r>
          </w:hyperlink>
        </w:p>
        <w:p w14:paraId="69466E27" w14:textId="77777777" w:rsidR="00242EBE" w:rsidRDefault="000D2802">
          <w:pPr>
            <w:pStyle w:val="Obsah1"/>
            <w:tabs>
              <w:tab w:val="left" w:pos="440"/>
              <w:tab w:val="right" w:leader="dot" w:pos="9080"/>
            </w:tabs>
            <w:rPr>
              <w:rFonts w:asciiTheme="minorHAnsi" w:eastAsiaTheme="minorEastAsia" w:hAnsiTheme="minorHAnsi"/>
              <w:noProof/>
              <w:szCs w:val="22"/>
              <w:lang w:eastAsia="sk-SK"/>
            </w:rPr>
          </w:pPr>
          <w:hyperlink w:anchor="_Toc34657719" w:history="1">
            <w:r w:rsidR="00242EBE" w:rsidRPr="00B23003">
              <w:rPr>
                <w:rStyle w:val="Hypertextovprepojenie"/>
                <w:noProof/>
              </w:rPr>
              <w:t>6.</w:t>
            </w:r>
            <w:r w:rsidR="00242EBE">
              <w:rPr>
                <w:rFonts w:asciiTheme="minorHAnsi" w:eastAsiaTheme="minorEastAsia" w:hAnsiTheme="minorHAnsi"/>
                <w:noProof/>
                <w:szCs w:val="22"/>
                <w:lang w:eastAsia="sk-SK"/>
              </w:rPr>
              <w:tab/>
            </w:r>
            <w:r w:rsidR="00242EBE" w:rsidRPr="00B23003">
              <w:rPr>
                <w:rStyle w:val="Hypertextovprepojenie"/>
                <w:noProof/>
              </w:rPr>
              <w:t>Vzdelávanie detí so zdravotným znevýhodnením</w:t>
            </w:r>
            <w:r w:rsidR="00242EBE">
              <w:rPr>
                <w:noProof/>
                <w:webHidden/>
              </w:rPr>
              <w:tab/>
            </w:r>
            <w:r w:rsidR="00242EBE">
              <w:rPr>
                <w:noProof/>
                <w:webHidden/>
              </w:rPr>
              <w:fldChar w:fldCharType="begin"/>
            </w:r>
            <w:r w:rsidR="00242EBE">
              <w:rPr>
                <w:noProof/>
                <w:webHidden/>
              </w:rPr>
              <w:instrText xml:space="preserve"> PAGEREF _Toc34657719 \h </w:instrText>
            </w:r>
            <w:r w:rsidR="00242EBE">
              <w:rPr>
                <w:noProof/>
                <w:webHidden/>
              </w:rPr>
            </w:r>
            <w:r w:rsidR="00242EBE">
              <w:rPr>
                <w:noProof/>
                <w:webHidden/>
              </w:rPr>
              <w:fldChar w:fldCharType="separate"/>
            </w:r>
            <w:r w:rsidR="00FA29AF">
              <w:rPr>
                <w:noProof/>
                <w:webHidden/>
              </w:rPr>
              <w:t>80</w:t>
            </w:r>
            <w:r w:rsidR="00242EBE">
              <w:rPr>
                <w:noProof/>
                <w:webHidden/>
              </w:rPr>
              <w:fldChar w:fldCharType="end"/>
            </w:r>
          </w:hyperlink>
        </w:p>
        <w:p w14:paraId="4DFCC860" w14:textId="77777777" w:rsidR="00242EBE" w:rsidRDefault="000D2802">
          <w:pPr>
            <w:pStyle w:val="Obsah2"/>
            <w:tabs>
              <w:tab w:val="left" w:pos="880"/>
              <w:tab w:val="right" w:leader="dot" w:pos="9080"/>
            </w:tabs>
            <w:rPr>
              <w:rFonts w:asciiTheme="minorHAnsi" w:eastAsiaTheme="minorEastAsia" w:hAnsiTheme="minorHAnsi"/>
              <w:noProof/>
              <w:szCs w:val="22"/>
              <w:lang w:eastAsia="sk-SK"/>
            </w:rPr>
          </w:pPr>
          <w:hyperlink w:anchor="_Toc34657720" w:history="1">
            <w:r w:rsidR="00242EBE" w:rsidRPr="00B23003">
              <w:rPr>
                <w:rStyle w:val="Hypertextovprepojenie"/>
                <w:noProof/>
              </w:rPr>
              <w:t>6.1.</w:t>
            </w:r>
            <w:r w:rsidR="00242EBE">
              <w:rPr>
                <w:rFonts w:asciiTheme="minorHAnsi" w:eastAsiaTheme="minorEastAsia" w:hAnsiTheme="minorHAnsi"/>
                <w:noProof/>
                <w:szCs w:val="22"/>
                <w:lang w:eastAsia="sk-SK"/>
              </w:rPr>
              <w:tab/>
            </w:r>
            <w:r w:rsidR="00242EBE" w:rsidRPr="00B23003">
              <w:rPr>
                <w:rStyle w:val="Hypertextovprepojenie"/>
                <w:noProof/>
              </w:rPr>
              <w:t>Vzdelávanie v materských školách</w:t>
            </w:r>
            <w:r w:rsidR="00242EBE">
              <w:rPr>
                <w:noProof/>
                <w:webHidden/>
              </w:rPr>
              <w:tab/>
            </w:r>
            <w:r w:rsidR="00242EBE">
              <w:rPr>
                <w:noProof/>
                <w:webHidden/>
              </w:rPr>
              <w:fldChar w:fldCharType="begin"/>
            </w:r>
            <w:r w:rsidR="00242EBE">
              <w:rPr>
                <w:noProof/>
                <w:webHidden/>
              </w:rPr>
              <w:instrText xml:space="preserve"> PAGEREF _Toc34657720 \h </w:instrText>
            </w:r>
            <w:r w:rsidR="00242EBE">
              <w:rPr>
                <w:noProof/>
                <w:webHidden/>
              </w:rPr>
            </w:r>
            <w:r w:rsidR="00242EBE">
              <w:rPr>
                <w:noProof/>
                <w:webHidden/>
              </w:rPr>
              <w:fldChar w:fldCharType="separate"/>
            </w:r>
            <w:r w:rsidR="00FA29AF">
              <w:rPr>
                <w:noProof/>
                <w:webHidden/>
              </w:rPr>
              <w:t>81</w:t>
            </w:r>
            <w:r w:rsidR="00242EBE">
              <w:rPr>
                <w:noProof/>
                <w:webHidden/>
              </w:rPr>
              <w:fldChar w:fldCharType="end"/>
            </w:r>
          </w:hyperlink>
        </w:p>
        <w:p w14:paraId="759FEE87" w14:textId="77777777" w:rsidR="00242EBE" w:rsidRDefault="000D2802">
          <w:pPr>
            <w:pStyle w:val="Obsah2"/>
            <w:tabs>
              <w:tab w:val="left" w:pos="880"/>
              <w:tab w:val="right" w:leader="dot" w:pos="9080"/>
            </w:tabs>
            <w:rPr>
              <w:rFonts w:asciiTheme="minorHAnsi" w:eastAsiaTheme="minorEastAsia" w:hAnsiTheme="minorHAnsi"/>
              <w:noProof/>
              <w:szCs w:val="22"/>
              <w:lang w:eastAsia="sk-SK"/>
            </w:rPr>
          </w:pPr>
          <w:hyperlink w:anchor="_Toc34657721" w:history="1">
            <w:r w:rsidR="00242EBE" w:rsidRPr="00B23003">
              <w:rPr>
                <w:rStyle w:val="Hypertextovprepojenie"/>
                <w:noProof/>
              </w:rPr>
              <w:t>6.2.</w:t>
            </w:r>
            <w:r w:rsidR="00242EBE">
              <w:rPr>
                <w:rFonts w:asciiTheme="minorHAnsi" w:eastAsiaTheme="minorEastAsia" w:hAnsiTheme="minorHAnsi"/>
                <w:noProof/>
                <w:szCs w:val="22"/>
                <w:lang w:eastAsia="sk-SK"/>
              </w:rPr>
              <w:tab/>
            </w:r>
            <w:r w:rsidR="00242EBE" w:rsidRPr="00B23003">
              <w:rPr>
                <w:rStyle w:val="Hypertextovprepojenie"/>
                <w:noProof/>
              </w:rPr>
              <w:t>Vzdelávanie v základných školách</w:t>
            </w:r>
            <w:r w:rsidR="00242EBE">
              <w:rPr>
                <w:noProof/>
                <w:webHidden/>
              </w:rPr>
              <w:tab/>
            </w:r>
            <w:r w:rsidR="00242EBE">
              <w:rPr>
                <w:noProof/>
                <w:webHidden/>
              </w:rPr>
              <w:fldChar w:fldCharType="begin"/>
            </w:r>
            <w:r w:rsidR="00242EBE">
              <w:rPr>
                <w:noProof/>
                <w:webHidden/>
              </w:rPr>
              <w:instrText xml:space="preserve"> PAGEREF _Toc34657721 \h </w:instrText>
            </w:r>
            <w:r w:rsidR="00242EBE">
              <w:rPr>
                <w:noProof/>
                <w:webHidden/>
              </w:rPr>
            </w:r>
            <w:r w:rsidR="00242EBE">
              <w:rPr>
                <w:noProof/>
                <w:webHidden/>
              </w:rPr>
              <w:fldChar w:fldCharType="separate"/>
            </w:r>
            <w:r w:rsidR="00FA29AF">
              <w:rPr>
                <w:noProof/>
                <w:webHidden/>
              </w:rPr>
              <w:t>88</w:t>
            </w:r>
            <w:r w:rsidR="00242EBE">
              <w:rPr>
                <w:noProof/>
                <w:webHidden/>
              </w:rPr>
              <w:fldChar w:fldCharType="end"/>
            </w:r>
          </w:hyperlink>
        </w:p>
        <w:p w14:paraId="138EA137" w14:textId="77777777" w:rsidR="00242EBE" w:rsidRDefault="000D2802">
          <w:pPr>
            <w:pStyle w:val="Obsah2"/>
            <w:tabs>
              <w:tab w:val="left" w:pos="880"/>
              <w:tab w:val="right" w:leader="dot" w:pos="9080"/>
            </w:tabs>
            <w:rPr>
              <w:rFonts w:asciiTheme="minorHAnsi" w:eastAsiaTheme="minorEastAsia" w:hAnsiTheme="minorHAnsi"/>
              <w:noProof/>
              <w:szCs w:val="22"/>
              <w:lang w:eastAsia="sk-SK"/>
            </w:rPr>
          </w:pPr>
          <w:hyperlink w:anchor="_Toc34657722" w:history="1">
            <w:r w:rsidR="00242EBE" w:rsidRPr="00B23003">
              <w:rPr>
                <w:rStyle w:val="Hypertextovprepojenie"/>
                <w:noProof/>
              </w:rPr>
              <w:t>6.3.</w:t>
            </w:r>
            <w:r w:rsidR="00242EBE">
              <w:rPr>
                <w:rFonts w:asciiTheme="minorHAnsi" w:eastAsiaTheme="minorEastAsia" w:hAnsiTheme="minorHAnsi"/>
                <w:noProof/>
                <w:szCs w:val="22"/>
                <w:lang w:eastAsia="sk-SK"/>
              </w:rPr>
              <w:tab/>
            </w:r>
            <w:r w:rsidR="00242EBE" w:rsidRPr="00B23003">
              <w:rPr>
                <w:rStyle w:val="Hypertextovprepojenie"/>
                <w:noProof/>
              </w:rPr>
              <w:t>Predčasné ukončovanie školskej dochádzky</w:t>
            </w:r>
            <w:r w:rsidR="00242EBE">
              <w:rPr>
                <w:noProof/>
                <w:webHidden/>
              </w:rPr>
              <w:tab/>
            </w:r>
            <w:r w:rsidR="00242EBE">
              <w:rPr>
                <w:noProof/>
                <w:webHidden/>
              </w:rPr>
              <w:fldChar w:fldCharType="begin"/>
            </w:r>
            <w:r w:rsidR="00242EBE">
              <w:rPr>
                <w:noProof/>
                <w:webHidden/>
              </w:rPr>
              <w:instrText xml:space="preserve"> PAGEREF _Toc34657722 \h </w:instrText>
            </w:r>
            <w:r w:rsidR="00242EBE">
              <w:rPr>
                <w:noProof/>
                <w:webHidden/>
              </w:rPr>
            </w:r>
            <w:r w:rsidR="00242EBE">
              <w:rPr>
                <w:noProof/>
                <w:webHidden/>
              </w:rPr>
              <w:fldChar w:fldCharType="separate"/>
            </w:r>
            <w:r w:rsidR="00FA29AF">
              <w:rPr>
                <w:noProof/>
                <w:webHidden/>
              </w:rPr>
              <w:t>104</w:t>
            </w:r>
            <w:r w:rsidR="00242EBE">
              <w:rPr>
                <w:noProof/>
                <w:webHidden/>
              </w:rPr>
              <w:fldChar w:fldCharType="end"/>
            </w:r>
          </w:hyperlink>
        </w:p>
        <w:p w14:paraId="61CB6B4F" w14:textId="77777777" w:rsidR="00242EBE" w:rsidRDefault="000D2802">
          <w:pPr>
            <w:pStyle w:val="Obsah2"/>
            <w:tabs>
              <w:tab w:val="left" w:pos="880"/>
              <w:tab w:val="right" w:leader="dot" w:pos="9080"/>
            </w:tabs>
            <w:rPr>
              <w:rFonts w:asciiTheme="minorHAnsi" w:eastAsiaTheme="minorEastAsia" w:hAnsiTheme="minorHAnsi"/>
              <w:noProof/>
              <w:szCs w:val="22"/>
              <w:lang w:eastAsia="sk-SK"/>
            </w:rPr>
          </w:pPr>
          <w:hyperlink w:anchor="_Toc34657723" w:history="1">
            <w:r w:rsidR="00242EBE" w:rsidRPr="00B23003">
              <w:rPr>
                <w:rStyle w:val="Hypertextovprepojenie"/>
                <w:noProof/>
              </w:rPr>
              <w:t>6.4.</w:t>
            </w:r>
            <w:r w:rsidR="00242EBE">
              <w:rPr>
                <w:rFonts w:asciiTheme="minorHAnsi" w:eastAsiaTheme="minorEastAsia" w:hAnsiTheme="minorHAnsi"/>
                <w:noProof/>
                <w:szCs w:val="22"/>
                <w:lang w:eastAsia="sk-SK"/>
              </w:rPr>
              <w:tab/>
            </w:r>
            <w:r w:rsidR="00242EBE" w:rsidRPr="00B23003">
              <w:rPr>
                <w:rStyle w:val="Hypertextovprepojenie"/>
                <w:noProof/>
              </w:rPr>
              <w:t>Vzdelávanie v stredných školách</w:t>
            </w:r>
            <w:r w:rsidR="00242EBE">
              <w:rPr>
                <w:noProof/>
                <w:webHidden/>
              </w:rPr>
              <w:tab/>
            </w:r>
            <w:r w:rsidR="00242EBE">
              <w:rPr>
                <w:noProof/>
                <w:webHidden/>
              </w:rPr>
              <w:fldChar w:fldCharType="begin"/>
            </w:r>
            <w:r w:rsidR="00242EBE">
              <w:rPr>
                <w:noProof/>
                <w:webHidden/>
              </w:rPr>
              <w:instrText xml:space="preserve"> PAGEREF _Toc34657723 \h </w:instrText>
            </w:r>
            <w:r w:rsidR="00242EBE">
              <w:rPr>
                <w:noProof/>
                <w:webHidden/>
              </w:rPr>
            </w:r>
            <w:r w:rsidR="00242EBE">
              <w:rPr>
                <w:noProof/>
                <w:webHidden/>
              </w:rPr>
              <w:fldChar w:fldCharType="separate"/>
            </w:r>
            <w:r w:rsidR="00FA29AF">
              <w:rPr>
                <w:noProof/>
                <w:webHidden/>
              </w:rPr>
              <w:t>104</w:t>
            </w:r>
            <w:r w:rsidR="00242EBE">
              <w:rPr>
                <w:noProof/>
                <w:webHidden/>
              </w:rPr>
              <w:fldChar w:fldCharType="end"/>
            </w:r>
          </w:hyperlink>
        </w:p>
        <w:p w14:paraId="53E0959B" w14:textId="77777777" w:rsidR="00242EBE" w:rsidRDefault="000D2802">
          <w:pPr>
            <w:pStyle w:val="Obsah2"/>
            <w:tabs>
              <w:tab w:val="left" w:pos="880"/>
              <w:tab w:val="right" w:leader="dot" w:pos="9080"/>
            </w:tabs>
            <w:rPr>
              <w:rFonts w:asciiTheme="minorHAnsi" w:eastAsiaTheme="minorEastAsia" w:hAnsiTheme="minorHAnsi"/>
              <w:noProof/>
              <w:szCs w:val="22"/>
              <w:lang w:eastAsia="sk-SK"/>
            </w:rPr>
          </w:pPr>
          <w:hyperlink w:anchor="_Toc34657724" w:history="1">
            <w:r w:rsidR="00242EBE" w:rsidRPr="00B23003">
              <w:rPr>
                <w:rStyle w:val="Hypertextovprepojenie"/>
                <w:noProof/>
              </w:rPr>
              <w:t>6.5.</w:t>
            </w:r>
            <w:r w:rsidR="00242EBE">
              <w:rPr>
                <w:rFonts w:asciiTheme="minorHAnsi" w:eastAsiaTheme="minorEastAsia" w:hAnsiTheme="minorHAnsi"/>
                <w:noProof/>
                <w:szCs w:val="22"/>
                <w:lang w:eastAsia="sk-SK"/>
              </w:rPr>
              <w:tab/>
            </w:r>
            <w:r w:rsidR="00242EBE" w:rsidRPr="00B23003">
              <w:rPr>
                <w:rStyle w:val="Hypertextovprepojenie"/>
                <w:noProof/>
              </w:rPr>
              <w:t>Vysokoškolské vzdelávanie</w:t>
            </w:r>
            <w:r w:rsidR="00242EBE">
              <w:rPr>
                <w:noProof/>
                <w:webHidden/>
              </w:rPr>
              <w:tab/>
            </w:r>
            <w:r w:rsidR="00242EBE">
              <w:rPr>
                <w:noProof/>
                <w:webHidden/>
              </w:rPr>
              <w:fldChar w:fldCharType="begin"/>
            </w:r>
            <w:r w:rsidR="00242EBE">
              <w:rPr>
                <w:noProof/>
                <w:webHidden/>
              </w:rPr>
              <w:instrText xml:space="preserve"> PAGEREF _Toc34657724 \h </w:instrText>
            </w:r>
            <w:r w:rsidR="00242EBE">
              <w:rPr>
                <w:noProof/>
                <w:webHidden/>
              </w:rPr>
            </w:r>
            <w:r w:rsidR="00242EBE">
              <w:rPr>
                <w:noProof/>
                <w:webHidden/>
              </w:rPr>
              <w:fldChar w:fldCharType="separate"/>
            </w:r>
            <w:r w:rsidR="00FA29AF">
              <w:rPr>
                <w:noProof/>
                <w:webHidden/>
              </w:rPr>
              <w:t>108</w:t>
            </w:r>
            <w:r w:rsidR="00242EBE">
              <w:rPr>
                <w:noProof/>
                <w:webHidden/>
              </w:rPr>
              <w:fldChar w:fldCharType="end"/>
            </w:r>
          </w:hyperlink>
        </w:p>
        <w:p w14:paraId="69D84854" w14:textId="77777777" w:rsidR="00242EBE" w:rsidRDefault="000D2802">
          <w:pPr>
            <w:pStyle w:val="Obsah1"/>
            <w:tabs>
              <w:tab w:val="left" w:pos="440"/>
              <w:tab w:val="right" w:leader="dot" w:pos="9080"/>
            </w:tabs>
            <w:rPr>
              <w:rFonts w:asciiTheme="minorHAnsi" w:eastAsiaTheme="minorEastAsia" w:hAnsiTheme="minorHAnsi"/>
              <w:noProof/>
              <w:szCs w:val="22"/>
              <w:lang w:eastAsia="sk-SK"/>
            </w:rPr>
          </w:pPr>
          <w:hyperlink w:anchor="_Toc34657725" w:history="1">
            <w:r w:rsidR="00242EBE" w:rsidRPr="00B23003">
              <w:rPr>
                <w:rStyle w:val="Hypertextovprepojenie"/>
                <w:noProof/>
              </w:rPr>
              <w:t>7.</w:t>
            </w:r>
            <w:r w:rsidR="00242EBE">
              <w:rPr>
                <w:rFonts w:asciiTheme="minorHAnsi" w:eastAsiaTheme="minorEastAsia" w:hAnsiTheme="minorHAnsi"/>
                <w:noProof/>
                <w:szCs w:val="22"/>
                <w:lang w:eastAsia="sk-SK"/>
              </w:rPr>
              <w:tab/>
            </w:r>
            <w:r w:rsidR="00242EBE" w:rsidRPr="00B23003">
              <w:rPr>
                <w:rStyle w:val="Hypertextovprepojenie"/>
                <w:noProof/>
              </w:rPr>
              <w:t>Začleňovanie ohrozených skupín na trhu práce</w:t>
            </w:r>
            <w:r w:rsidR="00242EBE">
              <w:rPr>
                <w:noProof/>
                <w:webHidden/>
              </w:rPr>
              <w:tab/>
            </w:r>
            <w:r w:rsidR="00242EBE">
              <w:rPr>
                <w:noProof/>
                <w:webHidden/>
              </w:rPr>
              <w:fldChar w:fldCharType="begin"/>
            </w:r>
            <w:r w:rsidR="00242EBE">
              <w:rPr>
                <w:noProof/>
                <w:webHidden/>
              </w:rPr>
              <w:instrText xml:space="preserve"> PAGEREF _Toc34657725 \h </w:instrText>
            </w:r>
            <w:r w:rsidR="00242EBE">
              <w:rPr>
                <w:noProof/>
                <w:webHidden/>
              </w:rPr>
            </w:r>
            <w:r w:rsidR="00242EBE">
              <w:rPr>
                <w:noProof/>
                <w:webHidden/>
              </w:rPr>
              <w:fldChar w:fldCharType="separate"/>
            </w:r>
            <w:r w:rsidR="00FA29AF">
              <w:rPr>
                <w:noProof/>
                <w:webHidden/>
              </w:rPr>
              <w:t>110</w:t>
            </w:r>
            <w:r w:rsidR="00242EBE">
              <w:rPr>
                <w:noProof/>
                <w:webHidden/>
              </w:rPr>
              <w:fldChar w:fldCharType="end"/>
            </w:r>
          </w:hyperlink>
        </w:p>
        <w:p w14:paraId="295BA35F" w14:textId="77777777" w:rsidR="00242EBE" w:rsidRDefault="000D2802">
          <w:pPr>
            <w:pStyle w:val="Obsah2"/>
            <w:tabs>
              <w:tab w:val="left" w:pos="880"/>
              <w:tab w:val="right" w:leader="dot" w:pos="9080"/>
            </w:tabs>
            <w:rPr>
              <w:rFonts w:asciiTheme="minorHAnsi" w:eastAsiaTheme="minorEastAsia" w:hAnsiTheme="minorHAnsi"/>
              <w:noProof/>
              <w:szCs w:val="22"/>
              <w:lang w:eastAsia="sk-SK"/>
            </w:rPr>
          </w:pPr>
          <w:hyperlink w:anchor="_Toc34657726" w:history="1">
            <w:r w:rsidR="00242EBE" w:rsidRPr="00B23003">
              <w:rPr>
                <w:rStyle w:val="Hypertextovprepojenie"/>
                <w:noProof/>
              </w:rPr>
              <w:t>7.1.</w:t>
            </w:r>
            <w:r w:rsidR="00242EBE">
              <w:rPr>
                <w:rFonts w:asciiTheme="minorHAnsi" w:eastAsiaTheme="minorEastAsia" w:hAnsiTheme="minorHAnsi"/>
                <w:noProof/>
                <w:szCs w:val="22"/>
                <w:lang w:eastAsia="sk-SK"/>
              </w:rPr>
              <w:tab/>
            </w:r>
            <w:r w:rsidR="00242EBE" w:rsidRPr="00B23003">
              <w:rPr>
                <w:rStyle w:val="Hypertextovprepojenie"/>
                <w:noProof/>
              </w:rPr>
              <w:t>Situácia ohrozených skupín na trhu práce</w:t>
            </w:r>
            <w:r w:rsidR="00242EBE">
              <w:rPr>
                <w:noProof/>
                <w:webHidden/>
              </w:rPr>
              <w:tab/>
            </w:r>
            <w:r w:rsidR="00242EBE">
              <w:rPr>
                <w:noProof/>
                <w:webHidden/>
              </w:rPr>
              <w:fldChar w:fldCharType="begin"/>
            </w:r>
            <w:r w:rsidR="00242EBE">
              <w:rPr>
                <w:noProof/>
                <w:webHidden/>
              </w:rPr>
              <w:instrText xml:space="preserve"> PAGEREF _Toc34657726 \h </w:instrText>
            </w:r>
            <w:r w:rsidR="00242EBE">
              <w:rPr>
                <w:noProof/>
                <w:webHidden/>
              </w:rPr>
            </w:r>
            <w:r w:rsidR="00242EBE">
              <w:rPr>
                <w:noProof/>
                <w:webHidden/>
              </w:rPr>
              <w:fldChar w:fldCharType="separate"/>
            </w:r>
            <w:r w:rsidR="00FA29AF">
              <w:rPr>
                <w:noProof/>
                <w:webHidden/>
              </w:rPr>
              <w:t>111</w:t>
            </w:r>
            <w:r w:rsidR="00242EBE">
              <w:rPr>
                <w:noProof/>
                <w:webHidden/>
              </w:rPr>
              <w:fldChar w:fldCharType="end"/>
            </w:r>
          </w:hyperlink>
        </w:p>
        <w:p w14:paraId="3B9739B8" w14:textId="77777777" w:rsidR="00242EBE" w:rsidRDefault="000D2802">
          <w:pPr>
            <w:pStyle w:val="Obsah2"/>
            <w:tabs>
              <w:tab w:val="left" w:pos="880"/>
              <w:tab w:val="right" w:leader="dot" w:pos="9080"/>
            </w:tabs>
            <w:rPr>
              <w:rFonts w:asciiTheme="minorHAnsi" w:eastAsiaTheme="minorEastAsia" w:hAnsiTheme="minorHAnsi"/>
              <w:noProof/>
              <w:szCs w:val="22"/>
              <w:lang w:eastAsia="sk-SK"/>
            </w:rPr>
          </w:pPr>
          <w:hyperlink w:anchor="_Toc34657727" w:history="1">
            <w:r w:rsidR="00242EBE" w:rsidRPr="00B23003">
              <w:rPr>
                <w:rStyle w:val="Hypertextovprepojenie"/>
                <w:noProof/>
              </w:rPr>
              <w:t>7.2.</w:t>
            </w:r>
            <w:r w:rsidR="00242EBE">
              <w:rPr>
                <w:rFonts w:asciiTheme="minorHAnsi" w:eastAsiaTheme="minorEastAsia" w:hAnsiTheme="minorHAnsi"/>
                <w:noProof/>
                <w:szCs w:val="22"/>
                <w:lang w:eastAsia="sk-SK"/>
              </w:rPr>
              <w:tab/>
            </w:r>
            <w:r w:rsidR="00242EBE" w:rsidRPr="00B23003">
              <w:rPr>
                <w:rStyle w:val="Hypertextovprepojenie"/>
                <w:noProof/>
              </w:rPr>
              <w:t>Služby zamestnanosti a sociálna ekonomika</w:t>
            </w:r>
            <w:r w:rsidR="00242EBE">
              <w:rPr>
                <w:noProof/>
                <w:webHidden/>
              </w:rPr>
              <w:tab/>
            </w:r>
            <w:r w:rsidR="00242EBE">
              <w:rPr>
                <w:noProof/>
                <w:webHidden/>
              </w:rPr>
              <w:fldChar w:fldCharType="begin"/>
            </w:r>
            <w:r w:rsidR="00242EBE">
              <w:rPr>
                <w:noProof/>
                <w:webHidden/>
              </w:rPr>
              <w:instrText xml:space="preserve"> PAGEREF _Toc34657727 \h </w:instrText>
            </w:r>
            <w:r w:rsidR="00242EBE">
              <w:rPr>
                <w:noProof/>
                <w:webHidden/>
              </w:rPr>
            </w:r>
            <w:r w:rsidR="00242EBE">
              <w:rPr>
                <w:noProof/>
                <w:webHidden/>
              </w:rPr>
              <w:fldChar w:fldCharType="separate"/>
            </w:r>
            <w:r w:rsidR="00FA29AF">
              <w:rPr>
                <w:noProof/>
                <w:webHidden/>
              </w:rPr>
              <w:t>117</w:t>
            </w:r>
            <w:r w:rsidR="00242EBE">
              <w:rPr>
                <w:noProof/>
                <w:webHidden/>
              </w:rPr>
              <w:fldChar w:fldCharType="end"/>
            </w:r>
          </w:hyperlink>
        </w:p>
        <w:p w14:paraId="338E2940" w14:textId="77777777" w:rsidR="00242EBE" w:rsidRDefault="000D2802">
          <w:pPr>
            <w:pStyle w:val="Obsah2"/>
            <w:tabs>
              <w:tab w:val="left" w:pos="880"/>
              <w:tab w:val="right" w:leader="dot" w:pos="9080"/>
            </w:tabs>
            <w:rPr>
              <w:rFonts w:asciiTheme="minorHAnsi" w:eastAsiaTheme="minorEastAsia" w:hAnsiTheme="minorHAnsi"/>
              <w:noProof/>
              <w:szCs w:val="22"/>
              <w:lang w:eastAsia="sk-SK"/>
            </w:rPr>
          </w:pPr>
          <w:hyperlink w:anchor="_Toc34657728" w:history="1">
            <w:r w:rsidR="00242EBE" w:rsidRPr="00B23003">
              <w:rPr>
                <w:rStyle w:val="Hypertextovprepojenie"/>
                <w:noProof/>
              </w:rPr>
              <w:t>7.3.</w:t>
            </w:r>
            <w:r w:rsidR="00242EBE">
              <w:rPr>
                <w:rFonts w:asciiTheme="minorHAnsi" w:eastAsiaTheme="minorEastAsia" w:hAnsiTheme="minorHAnsi"/>
                <w:noProof/>
                <w:szCs w:val="22"/>
                <w:lang w:eastAsia="sk-SK"/>
              </w:rPr>
              <w:tab/>
            </w:r>
            <w:r w:rsidR="00242EBE" w:rsidRPr="00B23003">
              <w:rPr>
                <w:rStyle w:val="Hypertextovprepojenie"/>
                <w:noProof/>
              </w:rPr>
              <w:t>Politiky trhu práce zamerané na osoby so zdravotným postihnutím</w:t>
            </w:r>
            <w:r w:rsidR="00242EBE">
              <w:rPr>
                <w:noProof/>
                <w:webHidden/>
              </w:rPr>
              <w:tab/>
            </w:r>
            <w:r w:rsidR="00242EBE">
              <w:rPr>
                <w:noProof/>
                <w:webHidden/>
              </w:rPr>
              <w:fldChar w:fldCharType="begin"/>
            </w:r>
            <w:r w:rsidR="00242EBE">
              <w:rPr>
                <w:noProof/>
                <w:webHidden/>
              </w:rPr>
              <w:instrText xml:space="preserve"> PAGEREF _Toc34657728 \h </w:instrText>
            </w:r>
            <w:r w:rsidR="00242EBE">
              <w:rPr>
                <w:noProof/>
                <w:webHidden/>
              </w:rPr>
            </w:r>
            <w:r w:rsidR="00242EBE">
              <w:rPr>
                <w:noProof/>
                <w:webHidden/>
              </w:rPr>
              <w:fldChar w:fldCharType="separate"/>
            </w:r>
            <w:r w:rsidR="00FA29AF">
              <w:rPr>
                <w:noProof/>
                <w:webHidden/>
              </w:rPr>
              <w:t>126</w:t>
            </w:r>
            <w:r w:rsidR="00242EBE">
              <w:rPr>
                <w:noProof/>
                <w:webHidden/>
              </w:rPr>
              <w:fldChar w:fldCharType="end"/>
            </w:r>
          </w:hyperlink>
        </w:p>
        <w:p w14:paraId="6FD15B2E" w14:textId="77777777" w:rsidR="00242EBE" w:rsidRDefault="000D2802">
          <w:pPr>
            <w:pStyle w:val="Obsah2"/>
            <w:tabs>
              <w:tab w:val="left" w:pos="880"/>
              <w:tab w:val="right" w:leader="dot" w:pos="9080"/>
            </w:tabs>
            <w:rPr>
              <w:rFonts w:asciiTheme="minorHAnsi" w:eastAsiaTheme="minorEastAsia" w:hAnsiTheme="minorHAnsi"/>
              <w:noProof/>
              <w:szCs w:val="22"/>
              <w:lang w:eastAsia="sk-SK"/>
            </w:rPr>
          </w:pPr>
          <w:hyperlink w:anchor="_Toc34657729" w:history="1">
            <w:r w:rsidR="00242EBE" w:rsidRPr="00B23003">
              <w:rPr>
                <w:rStyle w:val="Hypertextovprepojenie"/>
                <w:noProof/>
              </w:rPr>
              <w:t>7.4.</w:t>
            </w:r>
            <w:r w:rsidR="00242EBE">
              <w:rPr>
                <w:rFonts w:asciiTheme="minorHAnsi" w:eastAsiaTheme="minorEastAsia" w:hAnsiTheme="minorHAnsi"/>
                <w:noProof/>
                <w:szCs w:val="22"/>
                <w:lang w:eastAsia="sk-SK"/>
              </w:rPr>
              <w:tab/>
            </w:r>
            <w:r w:rsidR="00242EBE" w:rsidRPr="00B23003">
              <w:rPr>
                <w:rStyle w:val="Hypertextovprepojenie"/>
                <w:noProof/>
              </w:rPr>
              <w:t>Politiky zamerané na zosúladenie pracovného a rodinného života</w:t>
            </w:r>
            <w:r w:rsidR="00242EBE">
              <w:rPr>
                <w:noProof/>
                <w:webHidden/>
              </w:rPr>
              <w:tab/>
            </w:r>
            <w:r w:rsidR="00242EBE">
              <w:rPr>
                <w:noProof/>
                <w:webHidden/>
              </w:rPr>
              <w:fldChar w:fldCharType="begin"/>
            </w:r>
            <w:r w:rsidR="00242EBE">
              <w:rPr>
                <w:noProof/>
                <w:webHidden/>
              </w:rPr>
              <w:instrText xml:space="preserve"> PAGEREF _Toc34657729 \h </w:instrText>
            </w:r>
            <w:r w:rsidR="00242EBE">
              <w:rPr>
                <w:noProof/>
                <w:webHidden/>
              </w:rPr>
            </w:r>
            <w:r w:rsidR="00242EBE">
              <w:rPr>
                <w:noProof/>
                <w:webHidden/>
              </w:rPr>
              <w:fldChar w:fldCharType="separate"/>
            </w:r>
            <w:r w:rsidR="00FA29AF">
              <w:rPr>
                <w:noProof/>
                <w:webHidden/>
              </w:rPr>
              <w:t>131</w:t>
            </w:r>
            <w:r w:rsidR="00242EBE">
              <w:rPr>
                <w:noProof/>
                <w:webHidden/>
              </w:rPr>
              <w:fldChar w:fldCharType="end"/>
            </w:r>
          </w:hyperlink>
        </w:p>
        <w:p w14:paraId="4DA3F93C" w14:textId="77777777" w:rsidR="00242EBE" w:rsidRDefault="000D2802">
          <w:pPr>
            <w:pStyle w:val="Obsah2"/>
            <w:tabs>
              <w:tab w:val="left" w:pos="880"/>
              <w:tab w:val="right" w:leader="dot" w:pos="9080"/>
            </w:tabs>
            <w:rPr>
              <w:rFonts w:asciiTheme="minorHAnsi" w:eastAsiaTheme="minorEastAsia" w:hAnsiTheme="minorHAnsi"/>
              <w:noProof/>
              <w:szCs w:val="22"/>
              <w:lang w:eastAsia="sk-SK"/>
            </w:rPr>
          </w:pPr>
          <w:hyperlink w:anchor="_Toc34657730" w:history="1">
            <w:r w:rsidR="00242EBE" w:rsidRPr="00B23003">
              <w:rPr>
                <w:rStyle w:val="Hypertextovprepojenie"/>
                <w:noProof/>
              </w:rPr>
              <w:t>7.5.</w:t>
            </w:r>
            <w:r w:rsidR="00242EBE">
              <w:rPr>
                <w:rFonts w:asciiTheme="minorHAnsi" w:eastAsiaTheme="minorEastAsia" w:hAnsiTheme="minorHAnsi"/>
                <w:noProof/>
                <w:szCs w:val="22"/>
                <w:lang w:eastAsia="sk-SK"/>
              </w:rPr>
              <w:tab/>
            </w:r>
            <w:r w:rsidR="00242EBE" w:rsidRPr="00B23003">
              <w:rPr>
                <w:rStyle w:val="Hypertextovprepojenie"/>
                <w:noProof/>
              </w:rPr>
              <w:t>Pomoc s riešením dlhových problémov</w:t>
            </w:r>
            <w:r w:rsidR="00242EBE">
              <w:rPr>
                <w:noProof/>
                <w:webHidden/>
              </w:rPr>
              <w:tab/>
            </w:r>
            <w:r w:rsidR="00242EBE">
              <w:rPr>
                <w:noProof/>
                <w:webHidden/>
              </w:rPr>
              <w:fldChar w:fldCharType="begin"/>
            </w:r>
            <w:r w:rsidR="00242EBE">
              <w:rPr>
                <w:noProof/>
                <w:webHidden/>
              </w:rPr>
              <w:instrText xml:space="preserve"> PAGEREF _Toc34657730 \h </w:instrText>
            </w:r>
            <w:r w:rsidR="00242EBE">
              <w:rPr>
                <w:noProof/>
                <w:webHidden/>
              </w:rPr>
            </w:r>
            <w:r w:rsidR="00242EBE">
              <w:rPr>
                <w:noProof/>
                <w:webHidden/>
              </w:rPr>
              <w:fldChar w:fldCharType="separate"/>
            </w:r>
            <w:r w:rsidR="00FA29AF">
              <w:rPr>
                <w:noProof/>
                <w:webHidden/>
              </w:rPr>
              <w:t>135</w:t>
            </w:r>
            <w:r w:rsidR="00242EBE">
              <w:rPr>
                <w:noProof/>
                <w:webHidden/>
              </w:rPr>
              <w:fldChar w:fldCharType="end"/>
            </w:r>
          </w:hyperlink>
        </w:p>
        <w:p w14:paraId="269D40A6" w14:textId="77777777" w:rsidR="00242EBE" w:rsidRDefault="000D2802">
          <w:pPr>
            <w:pStyle w:val="Obsah1"/>
            <w:tabs>
              <w:tab w:val="left" w:pos="440"/>
              <w:tab w:val="right" w:leader="dot" w:pos="9080"/>
            </w:tabs>
            <w:rPr>
              <w:rFonts w:asciiTheme="minorHAnsi" w:eastAsiaTheme="minorEastAsia" w:hAnsiTheme="minorHAnsi"/>
              <w:noProof/>
              <w:szCs w:val="22"/>
              <w:lang w:eastAsia="sk-SK"/>
            </w:rPr>
          </w:pPr>
          <w:hyperlink w:anchor="_Toc34657731" w:history="1">
            <w:r w:rsidR="00242EBE" w:rsidRPr="00B23003">
              <w:rPr>
                <w:rStyle w:val="Hypertextovprepojenie"/>
                <w:noProof/>
              </w:rPr>
              <w:t>8.</w:t>
            </w:r>
            <w:r w:rsidR="00242EBE">
              <w:rPr>
                <w:rFonts w:asciiTheme="minorHAnsi" w:eastAsiaTheme="minorEastAsia" w:hAnsiTheme="minorHAnsi"/>
                <w:noProof/>
                <w:szCs w:val="22"/>
                <w:lang w:eastAsia="sk-SK"/>
              </w:rPr>
              <w:tab/>
            </w:r>
            <w:r w:rsidR="00242EBE" w:rsidRPr="00B23003">
              <w:rPr>
                <w:rStyle w:val="Hypertextovprepojenie"/>
                <w:noProof/>
              </w:rPr>
              <w:t>Sociálne zabezpečenie a rodinná politika</w:t>
            </w:r>
            <w:r w:rsidR="00242EBE">
              <w:rPr>
                <w:noProof/>
                <w:webHidden/>
              </w:rPr>
              <w:tab/>
            </w:r>
            <w:r w:rsidR="00242EBE">
              <w:rPr>
                <w:noProof/>
                <w:webHidden/>
              </w:rPr>
              <w:fldChar w:fldCharType="begin"/>
            </w:r>
            <w:r w:rsidR="00242EBE">
              <w:rPr>
                <w:noProof/>
                <w:webHidden/>
              </w:rPr>
              <w:instrText xml:space="preserve"> PAGEREF _Toc34657731 \h </w:instrText>
            </w:r>
            <w:r w:rsidR="00242EBE">
              <w:rPr>
                <w:noProof/>
                <w:webHidden/>
              </w:rPr>
            </w:r>
            <w:r w:rsidR="00242EBE">
              <w:rPr>
                <w:noProof/>
                <w:webHidden/>
              </w:rPr>
              <w:fldChar w:fldCharType="separate"/>
            </w:r>
            <w:r w:rsidR="00FA29AF">
              <w:rPr>
                <w:noProof/>
                <w:webHidden/>
              </w:rPr>
              <w:t>137</w:t>
            </w:r>
            <w:r w:rsidR="00242EBE">
              <w:rPr>
                <w:noProof/>
                <w:webHidden/>
              </w:rPr>
              <w:fldChar w:fldCharType="end"/>
            </w:r>
          </w:hyperlink>
        </w:p>
        <w:p w14:paraId="79C5EF93" w14:textId="77777777" w:rsidR="00242EBE" w:rsidRDefault="000D2802">
          <w:pPr>
            <w:pStyle w:val="Obsah2"/>
            <w:tabs>
              <w:tab w:val="left" w:pos="880"/>
              <w:tab w:val="right" w:leader="dot" w:pos="9080"/>
            </w:tabs>
            <w:rPr>
              <w:rFonts w:asciiTheme="minorHAnsi" w:eastAsiaTheme="minorEastAsia" w:hAnsiTheme="minorHAnsi"/>
              <w:noProof/>
              <w:szCs w:val="22"/>
              <w:lang w:eastAsia="sk-SK"/>
            </w:rPr>
          </w:pPr>
          <w:hyperlink w:anchor="_Toc34657732" w:history="1">
            <w:r w:rsidR="00242EBE" w:rsidRPr="00B23003">
              <w:rPr>
                <w:rStyle w:val="Hypertextovprepojenie"/>
                <w:noProof/>
              </w:rPr>
              <w:t>8.1.</w:t>
            </w:r>
            <w:r w:rsidR="00242EBE">
              <w:rPr>
                <w:rFonts w:asciiTheme="minorHAnsi" w:eastAsiaTheme="minorEastAsia" w:hAnsiTheme="minorHAnsi"/>
                <w:noProof/>
                <w:szCs w:val="22"/>
                <w:lang w:eastAsia="sk-SK"/>
              </w:rPr>
              <w:tab/>
            </w:r>
            <w:r w:rsidR="00242EBE" w:rsidRPr="00B23003">
              <w:rPr>
                <w:rStyle w:val="Hypertextovprepojenie"/>
                <w:noProof/>
              </w:rPr>
              <w:t>Pomoc v hmotnej núdzi</w:t>
            </w:r>
            <w:r w:rsidR="00242EBE">
              <w:rPr>
                <w:noProof/>
                <w:webHidden/>
              </w:rPr>
              <w:tab/>
            </w:r>
            <w:r w:rsidR="00242EBE">
              <w:rPr>
                <w:noProof/>
                <w:webHidden/>
              </w:rPr>
              <w:fldChar w:fldCharType="begin"/>
            </w:r>
            <w:r w:rsidR="00242EBE">
              <w:rPr>
                <w:noProof/>
                <w:webHidden/>
              </w:rPr>
              <w:instrText xml:space="preserve"> PAGEREF _Toc34657732 \h </w:instrText>
            </w:r>
            <w:r w:rsidR="00242EBE">
              <w:rPr>
                <w:noProof/>
                <w:webHidden/>
              </w:rPr>
            </w:r>
            <w:r w:rsidR="00242EBE">
              <w:rPr>
                <w:noProof/>
                <w:webHidden/>
              </w:rPr>
              <w:fldChar w:fldCharType="separate"/>
            </w:r>
            <w:r w:rsidR="00FA29AF">
              <w:rPr>
                <w:noProof/>
                <w:webHidden/>
              </w:rPr>
              <w:t>138</w:t>
            </w:r>
            <w:r w:rsidR="00242EBE">
              <w:rPr>
                <w:noProof/>
                <w:webHidden/>
              </w:rPr>
              <w:fldChar w:fldCharType="end"/>
            </w:r>
          </w:hyperlink>
        </w:p>
        <w:p w14:paraId="3984E159" w14:textId="77777777" w:rsidR="00242EBE" w:rsidRDefault="000D2802">
          <w:pPr>
            <w:pStyle w:val="Obsah2"/>
            <w:tabs>
              <w:tab w:val="left" w:pos="880"/>
              <w:tab w:val="right" w:leader="dot" w:pos="9080"/>
            </w:tabs>
            <w:rPr>
              <w:rFonts w:asciiTheme="minorHAnsi" w:eastAsiaTheme="minorEastAsia" w:hAnsiTheme="minorHAnsi"/>
              <w:noProof/>
              <w:szCs w:val="22"/>
              <w:lang w:eastAsia="sk-SK"/>
            </w:rPr>
          </w:pPr>
          <w:hyperlink w:anchor="_Toc34657733" w:history="1">
            <w:r w:rsidR="00242EBE" w:rsidRPr="00B23003">
              <w:rPr>
                <w:rStyle w:val="Hypertextovprepojenie"/>
                <w:noProof/>
              </w:rPr>
              <w:t>8.2.</w:t>
            </w:r>
            <w:r w:rsidR="00242EBE">
              <w:rPr>
                <w:rFonts w:asciiTheme="minorHAnsi" w:eastAsiaTheme="minorEastAsia" w:hAnsiTheme="minorHAnsi"/>
                <w:noProof/>
                <w:szCs w:val="22"/>
                <w:lang w:eastAsia="sk-SK"/>
              </w:rPr>
              <w:tab/>
            </w:r>
            <w:r w:rsidR="00242EBE" w:rsidRPr="00B23003">
              <w:rPr>
                <w:rStyle w:val="Hypertextovprepojenie"/>
                <w:noProof/>
              </w:rPr>
              <w:t>Podpora rodín s deťmi</w:t>
            </w:r>
            <w:r w:rsidR="00242EBE">
              <w:rPr>
                <w:noProof/>
                <w:webHidden/>
              </w:rPr>
              <w:tab/>
            </w:r>
            <w:r w:rsidR="00242EBE">
              <w:rPr>
                <w:noProof/>
                <w:webHidden/>
              </w:rPr>
              <w:fldChar w:fldCharType="begin"/>
            </w:r>
            <w:r w:rsidR="00242EBE">
              <w:rPr>
                <w:noProof/>
                <w:webHidden/>
              </w:rPr>
              <w:instrText xml:space="preserve"> PAGEREF _Toc34657733 \h </w:instrText>
            </w:r>
            <w:r w:rsidR="00242EBE">
              <w:rPr>
                <w:noProof/>
                <w:webHidden/>
              </w:rPr>
            </w:r>
            <w:r w:rsidR="00242EBE">
              <w:rPr>
                <w:noProof/>
                <w:webHidden/>
              </w:rPr>
              <w:fldChar w:fldCharType="separate"/>
            </w:r>
            <w:r w:rsidR="00FA29AF">
              <w:rPr>
                <w:noProof/>
                <w:webHidden/>
              </w:rPr>
              <w:t>146</w:t>
            </w:r>
            <w:r w:rsidR="00242EBE">
              <w:rPr>
                <w:noProof/>
                <w:webHidden/>
              </w:rPr>
              <w:fldChar w:fldCharType="end"/>
            </w:r>
          </w:hyperlink>
        </w:p>
        <w:p w14:paraId="39C5F26B" w14:textId="77777777" w:rsidR="00242EBE" w:rsidRDefault="000D2802">
          <w:pPr>
            <w:pStyle w:val="Obsah2"/>
            <w:tabs>
              <w:tab w:val="left" w:pos="880"/>
              <w:tab w:val="right" w:leader="dot" w:pos="9080"/>
            </w:tabs>
            <w:rPr>
              <w:rFonts w:asciiTheme="minorHAnsi" w:eastAsiaTheme="minorEastAsia" w:hAnsiTheme="minorHAnsi"/>
              <w:noProof/>
              <w:szCs w:val="22"/>
              <w:lang w:eastAsia="sk-SK"/>
            </w:rPr>
          </w:pPr>
          <w:hyperlink w:anchor="_Toc34657734" w:history="1">
            <w:r w:rsidR="00242EBE" w:rsidRPr="00B23003">
              <w:rPr>
                <w:rStyle w:val="Hypertextovprepojenie"/>
                <w:noProof/>
              </w:rPr>
              <w:t>8.3.</w:t>
            </w:r>
            <w:r w:rsidR="00242EBE">
              <w:rPr>
                <w:rFonts w:asciiTheme="minorHAnsi" w:eastAsiaTheme="minorEastAsia" w:hAnsiTheme="minorHAnsi"/>
                <w:noProof/>
                <w:szCs w:val="22"/>
                <w:lang w:eastAsia="sk-SK"/>
              </w:rPr>
              <w:tab/>
            </w:r>
            <w:r w:rsidR="00242EBE" w:rsidRPr="00B23003">
              <w:rPr>
                <w:rStyle w:val="Hypertextovprepojenie"/>
                <w:noProof/>
              </w:rPr>
              <w:t>Vybrané daňové výdavky</w:t>
            </w:r>
            <w:r w:rsidR="00242EBE">
              <w:rPr>
                <w:noProof/>
                <w:webHidden/>
              </w:rPr>
              <w:tab/>
            </w:r>
            <w:r w:rsidR="00242EBE">
              <w:rPr>
                <w:noProof/>
                <w:webHidden/>
              </w:rPr>
              <w:fldChar w:fldCharType="begin"/>
            </w:r>
            <w:r w:rsidR="00242EBE">
              <w:rPr>
                <w:noProof/>
                <w:webHidden/>
              </w:rPr>
              <w:instrText xml:space="preserve"> PAGEREF _Toc34657734 \h </w:instrText>
            </w:r>
            <w:r w:rsidR="00242EBE">
              <w:rPr>
                <w:noProof/>
                <w:webHidden/>
              </w:rPr>
            </w:r>
            <w:r w:rsidR="00242EBE">
              <w:rPr>
                <w:noProof/>
                <w:webHidden/>
              </w:rPr>
              <w:fldChar w:fldCharType="separate"/>
            </w:r>
            <w:r w:rsidR="00FA29AF">
              <w:rPr>
                <w:noProof/>
                <w:webHidden/>
              </w:rPr>
              <w:t>150</w:t>
            </w:r>
            <w:r w:rsidR="00242EBE">
              <w:rPr>
                <w:noProof/>
                <w:webHidden/>
              </w:rPr>
              <w:fldChar w:fldCharType="end"/>
            </w:r>
          </w:hyperlink>
        </w:p>
        <w:p w14:paraId="79F1B99A" w14:textId="77777777" w:rsidR="00242EBE" w:rsidRDefault="000D2802">
          <w:pPr>
            <w:pStyle w:val="Obsah2"/>
            <w:tabs>
              <w:tab w:val="left" w:pos="880"/>
              <w:tab w:val="right" w:leader="dot" w:pos="9080"/>
            </w:tabs>
            <w:rPr>
              <w:rFonts w:asciiTheme="minorHAnsi" w:eastAsiaTheme="minorEastAsia" w:hAnsiTheme="minorHAnsi"/>
              <w:noProof/>
              <w:szCs w:val="22"/>
              <w:lang w:eastAsia="sk-SK"/>
            </w:rPr>
          </w:pPr>
          <w:hyperlink w:anchor="_Toc34657735" w:history="1">
            <w:r w:rsidR="00242EBE" w:rsidRPr="00B23003">
              <w:rPr>
                <w:rStyle w:val="Hypertextovprepojenie"/>
                <w:noProof/>
              </w:rPr>
              <w:t>8.4.</w:t>
            </w:r>
            <w:r w:rsidR="00242EBE">
              <w:rPr>
                <w:rFonts w:asciiTheme="minorHAnsi" w:eastAsiaTheme="minorEastAsia" w:hAnsiTheme="minorHAnsi"/>
                <w:noProof/>
                <w:szCs w:val="22"/>
                <w:lang w:eastAsia="sk-SK"/>
              </w:rPr>
              <w:tab/>
            </w:r>
            <w:r w:rsidR="00242EBE" w:rsidRPr="00B23003">
              <w:rPr>
                <w:rStyle w:val="Hypertextovprepojenie"/>
                <w:noProof/>
              </w:rPr>
              <w:t>Podpora osôb so zdravotným postihnutím</w:t>
            </w:r>
            <w:r w:rsidR="00242EBE">
              <w:rPr>
                <w:noProof/>
                <w:webHidden/>
              </w:rPr>
              <w:tab/>
            </w:r>
            <w:r w:rsidR="00242EBE">
              <w:rPr>
                <w:noProof/>
                <w:webHidden/>
              </w:rPr>
              <w:fldChar w:fldCharType="begin"/>
            </w:r>
            <w:r w:rsidR="00242EBE">
              <w:rPr>
                <w:noProof/>
                <w:webHidden/>
              </w:rPr>
              <w:instrText xml:space="preserve"> PAGEREF _Toc34657735 \h </w:instrText>
            </w:r>
            <w:r w:rsidR="00242EBE">
              <w:rPr>
                <w:noProof/>
                <w:webHidden/>
              </w:rPr>
            </w:r>
            <w:r w:rsidR="00242EBE">
              <w:rPr>
                <w:noProof/>
                <w:webHidden/>
              </w:rPr>
              <w:fldChar w:fldCharType="separate"/>
            </w:r>
            <w:r w:rsidR="00FA29AF">
              <w:rPr>
                <w:noProof/>
                <w:webHidden/>
              </w:rPr>
              <w:t>152</w:t>
            </w:r>
            <w:r w:rsidR="00242EBE">
              <w:rPr>
                <w:noProof/>
                <w:webHidden/>
              </w:rPr>
              <w:fldChar w:fldCharType="end"/>
            </w:r>
          </w:hyperlink>
        </w:p>
        <w:p w14:paraId="496A34C4" w14:textId="77777777" w:rsidR="00242EBE" w:rsidRDefault="000D2802">
          <w:pPr>
            <w:pStyle w:val="Obsah1"/>
            <w:tabs>
              <w:tab w:val="left" w:pos="440"/>
              <w:tab w:val="right" w:leader="dot" w:pos="9080"/>
            </w:tabs>
            <w:rPr>
              <w:rFonts w:asciiTheme="minorHAnsi" w:eastAsiaTheme="minorEastAsia" w:hAnsiTheme="minorHAnsi"/>
              <w:noProof/>
              <w:szCs w:val="22"/>
              <w:lang w:eastAsia="sk-SK"/>
            </w:rPr>
          </w:pPr>
          <w:hyperlink w:anchor="_Toc34657736" w:history="1">
            <w:r w:rsidR="00242EBE" w:rsidRPr="00B23003">
              <w:rPr>
                <w:rStyle w:val="Hypertextovprepojenie"/>
                <w:noProof/>
              </w:rPr>
              <w:t>9.</w:t>
            </w:r>
            <w:r w:rsidR="00242EBE">
              <w:rPr>
                <w:rFonts w:asciiTheme="minorHAnsi" w:eastAsiaTheme="minorEastAsia" w:hAnsiTheme="minorHAnsi"/>
                <w:noProof/>
                <w:szCs w:val="22"/>
                <w:lang w:eastAsia="sk-SK"/>
              </w:rPr>
              <w:tab/>
            </w:r>
            <w:r w:rsidR="00242EBE" w:rsidRPr="00B23003">
              <w:rPr>
                <w:rStyle w:val="Hypertextovprepojenie"/>
                <w:noProof/>
              </w:rPr>
              <w:t>Dostupnosť bývania a základnej infraštruktúry</w:t>
            </w:r>
            <w:r w:rsidR="00242EBE">
              <w:rPr>
                <w:noProof/>
                <w:webHidden/>
              </w:rPr>
              <w:tab/>
            </w:r>
            <w:r w:rsidR="00242EBE">
              <w:rPr>
                <w:noProof/>
                <w:webHidden/>
              </w:rPr>
              <w:fldChar w:fldCharType="begin"/>
            </w:r>
            <w:r w:rsidR="00242EBE">
              <w:rPr>
                <w:noProof/>
                <w:webHidden/>
              </w:rPr>
              <w:instrText xml:space="preserve"> PAGEREF _Toc34657736 \h </w:instrText>
            </w:r>
            <w:r w:rsidR="00242EBE">
              <w:rPr>
                <w:noProof/>
                <w:webHidden/>
              </w:rPr>
            </w:r>
            <w:r w:rsidR="00242EBE">
              <w:rPr>
                <w:noProof/>
                <w:webHidden/>
              </w:rPr>
              <w:fldChar w:fldCharType="separate"/>
            </w:r>
            <w:r w:rsidR="00FA29AF">
              <w:rPr>
                <w:noProof/>
                <w:webHidden/>
              </w:rPr>
              <w:t>159</w:t>
            </w:r>
            <w:r w:rsidR="00242EBE">
              <w:rPr>
                <w:noProof/>
                <w:webHidden/>
              </w:rPr>
              <w:fldChar w:fldCharType="end"/>
            </w:r>
          </w:hyperlink>
        </w:p>
        <w:p w14:paraId="0A772BBB" w14:textId="77777777" w:rsidR="00242EBE" w:rsidRDefault="000D2802">
          <w:pPr>
            <w:pStyle w:val="Obsah2"/>
            <w:tabs>
              <w:tab w:val="left" w:pos="880"/>
              <w:tab w:val="right" w:leader="dot" w:pos="9080"/>
            </w:tabs>
            <w:rPr>
              <w:rFonts w:asciiTheme="minorHAnsi" w:eastAsiaTheme="minorEastAsia" w:hAnsiTheme="minorHAnsi"/>
              <w:noProof/>
              <w:szCs w:val="22"/>
              <w:lang w:eastAsia="sk-SK"/>
            </w:rPr>
          </w:pPr>
          <w:hyperlink w:anchor="_Toc34657737" w:history="1">
            <w:r w:rsidR="00242EBE" w:rsidRPr="00B23003">
              <w:rPr>
                <w:rStyle w:val="Hypertextovprepojenie"/>
                <w:noProof/>
              </w:rPr>
              <w:t>9.1.</w:t>
            </w:r>
            <w:r w:rsidR="00242EBE">
              <w:rPr>
                <w:rFonts w:asciiTheme="minorHAnsi" w:eastAsiaTheme="minorEastAsia" w:hAnsiTheme="minorHAnsi"/>
                <w:noProof/>
                <w:szCs w:val="22"/>
                <w:lang w:eastAsia="sk-SK"/>
              </w:rPr>
              <w:tab/>
            </w:r>
            <w:r w:rsidR="00242EBE" w:rsidRPr="00B23003">
              <w:rPr>
                <w:rStyle w:val="Hypertextovprepojenie"/>
                <w:noProof/>
              </w:rPr>
              <w:t>Kvalita a dostupnosť bývania na Slovensku</w:t>
            </w:r>
            <w:r w:rsidR="00242EBE">
              <w:rPr>
                <w:noProof/>
                <w:webHidden/>
              </w:rPr>
              <w:tab/>
            </w:r>
            <w:r w:rsidR="00242EBE">
              <w:rPr>
                <w:noProof/>
                <w:webHidden/>
              </w:rPr>
              <w:fldChar w:fldCharType="begin"/>
            </w:r>
            <w:r w:rsidR="00242EBE">
              <w:rPr>
                <w:noProof/>
                <w:webHidden/>
              </w:rPr>
              <w:instrText xml:space="preserve"> PAGEREF _Toc34657737 \h </w:instrText>
            </w:r>
            <w:r w:rsidR="00242EBE">
              <w:rPr>
                <w:noProof/>
                <w:webHidden/>
              </w:rPr>
            </w:r>
            <w:r w:rsidR="00242EBE">
              <w:rPr>
                <w:noProof/>
                <w:webHidden/>
              </w:rPr>
              <w:fldChar w:fldCharType="separate"/>
            </w:r>
            <w:r w:rsidR="00FA29AF">
              <w:rPr>
                <w:noProof/>
                <w:webHidden/>
              </w:rPr>
              <w:t>160</w:t>
            </w:r>
            <w:r w:rsidR="00242EBE">
              <w:rPr>
                <w:noProof/>
                <w:webHidden/>
              </w:rPr>
              <w:fldChar w:fldCharType="end"/>
            </w:r>
          </w:hyperlink>
        </w:p>
        <w:p w14:paraId="18D56753" w14:textId="77777777" w:rsidR="00242EBE" w:rsidRDefault="000D2802">
          <w:pPr>
            <w:pStyle w:val="Obsah2"/>
            <w:tabs>
              <w:tab w:val="left" w:pos="880"/>
              <w:tab w:val="right" w:leader="dot" w:pos="9080"/>
            </w:tabs>
            <w:rPr>
              <w:rFonts w:asciiTheme="minorHAnsi" w:eastAsiaTheme="minorEastAsia" w:hAnsiTheme="minorHAnsi"/>
              <w:noProof/>
              <w:szCs w:val="22"/>
              <w:lang w:eastAsia="sk-SK"/>
            </w:rPr>
          </w:pPr>
          <w:hyperlink w:anchor="_Toc34657738" w:history="1">
            <w:r w:rsidR="00242EBE" w:rsidRPr="00B23003">
              <w:rPr>
                <w:rStyle w:val="Hypertextovprepojenie"/>
                <w:noProof/>
              </w:rPr>
              <w:t>9.2.</w:t>
            </w:r>
            <w:r w:rsidR="00242EBE">
              <w:rPr>
                <w:rFonts w:asciiTheme="minorHAnsi" w:eastAsiaTheme="minorEastAsia" w:hAnsiTheme="minorHAnsi"/>
                <w:noProof/>
                <w:szCs w:val="22"/>
                <w:lang w:eastAsia="sk-SK"/>
              </w:rPr>
              <w:tab/>
            </w:r>
            <w:r w:rsidR="00242EBE" w:rsidRPr="00B23003">
              <w:rPr>
                <w:rStyle w:val="Hypertextovprepojenie"/>
                <w:noProof/>
              </w:rPr>
              <w:t>Nájomné bývanie s regulovaným nájmom</w:t>
            </w:r>
            <w:r w:rsidR="00242EBE">
              <w:rPr>
                <w:noProof/>
                <w:webHidden/>
              </w:rPr>
              <w:tab/>
            </w:r>
            <w:r w:rsidR="00242EBE">
              <w:rPr>
                <w:noProof/>
                <w:webHidden/>
              </w:rPr>
              <w:fldChar w:fldCharType="begin"/>
            </w:r>
            <w:r w:rsidR="00242EBE">
              <w:rPr>
                <w:noProof/>
                <w:webHidden/>
              </w:rPr>
              <w:instrText xml:space="preserve"> PAGEREF _Toc34657738 \h </w:instrText>
            </w:r>
            <w:r w:rsidR="00242EBE">
              <w:rPr>
                <w:noProof/>
                <w:webHidden/>
              </w:rPr>
            </w:r>
            <w:r w:rsidR="00242EBE">
              <w:rPr>
                <w:noProof/>
                <w:webHidden/>
              </w:rPr>
              <w:fldChar w:fldCharType="separate"/>
            </w:r>
            <w:r w:rsidR="00FA29AF">
              <w:rPr>
                <w:noProof/>
                <w:webHidden/>
              </w:rPr>
              <w:t>164</w:t>
            </w:r>
            <w:r w:rsidR="00242EBE">
              <w:rPr>
                <w:noProof/>
                <w:webHidden/>
              </w:rPr>
              <w:fldChar w:fldCharType="end"/>
            </w:r>
          </w:hyperlink>
        </w:p>
        <w:p w14:paraId="4DE98C14" w14:textId="77777777" w:rsidR="00242EBE" w:rsidRDefault="000D2802">
          <w:pPr>
            <w:pStyle w:val="Obsah2"/>
            <w:tabs>
              <w:tab w:val="left" w:pos="880"/>
              <w:tab w:val="right" w:leader="dot" w:pos="9080"/>
            </w:tabs>
            <w:rPr>
              <w:rFonts w:asciiTheme="minorHAnsi" w:eastAsiaTheme="minorEastAsia" w:hAnsiTheme="minorHAnsi"/>
              <w:noProof/>
              <w:szCs w:val="22"/>
              <w:lang w:eastAsia="sk-SK"/>
            </w:rPr>
          </w:pPr>
          <w:hyperlink w:anchor="_Toc34657739" w:history="1">
            <w:r w:rsidR="00242EBE" w:rsidRPr="00B23003">
              <w:rPr>
                <w:rStyle w:val="Hypertextovprepojenie"/>
                <w:noProof/>
              </w:rPr>
              <w:t>9.3.</w:t>
            </w:r>
            <w:r w:rsidR="00242EBE">
              <w:rPr>
                <w:rFonts w:asciiTheme="minorHAnsi" w:eastAsiaTheme="minorEastAsia" w:hAnsiTheme="minorHAnsi"/>
                <w:noProof/>
                <w:szCs w:val="22"/>
                <w:lang w:eastAsia="sk-SK"/>
              </w:rPr>
              <w:tab/>
            </w:r>
            <w:r w:rsidR="00242EBE" w:rsidRPr="00B23003">
              <w:rPr>
                <w:rStyle w:val="Hypertextovprepojenie"/>
                <w:noProof/>
              </w:rPr>
              <w:t>Pomoc ľuďom v bytovej núdzi</w:t>
            </w:r>
            <w:r w:rsidR="00242EBE">
              <w:rPr>
                <w:noProof/>
                <w:webHidden/>
              </w:rPr>
              <w:tab/>
            </w:r>
            <w:r w:rsidR="00242EBE">
              <w:rPr>
                <w:noProof/>
                <w:webHidden/>
              </w:rPr>
              <w:fldChar w:fldCharType="begin"/>
            </w:r>
            <w:r w:rsidR="00242EBE">
              <w:rPr>
                <w:noProof/>
                <w:webHidden/>
              </w:rPr>
              <w:instrText xml:space="preserve"> PAGEREF _Toc34657739 \h </w:instrText>
            </w:r>
            <w:r w:rsidR="00242EBE">
              <w:rPr>
                <w:noProof/>
                <w:webHidden/>
              </w:rPr>
            </w:r>
            <w:r w:rsidR="00242EBE">
              <w:rPr>
                <w:noProof/>
                <w:webHidden/>
              </w:rPr>
              <w:fldChar w:fldCharType="separate"/>
            </w:r>
            <w:r w:rsidR="00FA29AF">
              <w:rPr>
                <w:noProof/>
                <w:webHidden/>
              </w:rPr>
              <w:t>170</w:t>
            </w:r>
            <w:r w:rsidR="00242EBE">
              <w:rPr>
                <w:noProof/>
                <w:webHidden/>
              </w:rPr>
              <w:fldChar w:fldCharType="end"/>
            </w:r>
          </w:hyperlink>
        </w:p>
        <w:p w14:paraId="13AFCC8F" w14:textId="77777777" w:rsidR="00242EBE" w:rsidRDefault="000D2802">
          <w:pPr>
            <w:pStyle w:val="Obsah2"/>
            <w:tabs>
              <w:tab w:val="left" w:pos="880"/>
              <w:tab w:val="right" w:leader="dot" w:pos="9080"/>
            </w:tabs>
            <w:rPr>
              <w:rFonts w:asciiTheme="minorHAnsi" w:eastAsiaTheme="minorEastAsia" w:hAnsiTheme="minorHAnsi"/>
              <w:noProof/>
              <w:szCs w:val="22"/>
              <w:lang w:eastAsia="sk-SK"/>
            </w:rPr>
          </w:pPr>
          <w:hyperlink w:anchor="_Toc34657740" w:history="1">
            <w:r w:rsidR="00242EBE" w:rsidRPr="00B23003">
              <w:rPr>
                <w:rStyle w:val="Hypertextovprepojenie"/>
                <w:noProof/>
              </w:rPr>
              <w:t>9.4.</w:t>
            </w:r>
            <w:r w:rsidR="00242EBE">
              <w:rPr>
                <w:rFonts w:asciiTheme="minorHAnsi" w:eastAsiaTheme="minorEastAsia" w:hAnsiTheme="minorHAnsi"/>
                <w:noProof/>
                <w:szCs w:val="22"/>
                <w:lang w:eastAsia="sk-SK"/>
              </w:rPr>
              <w:tab/>
            </w:r>
            <w:r w:rsidR="00242EBE" w:rsidRPr="00B23003">
              <w:rPr>
                <w:rStyle w:val="Hypertextovprepojenie"/>
                <w:noProof/>
              </w:rPr>
              <w:t>Svojpomocná výstavba a budovanie infraštruktúry v prostredí MRK</w:t>
            </w:r>
            <w:r w:rsidR="00242EBE">
              <w:rPr>
                <w:noProof/>
                <w:webHidden/>
              </w:rPr>
              <w:tab/>
            </w:r>
            <w:r w:rsidR="00242EBE">
              <w:rPr>
                <w:noProof/>
                <w:webHidden/>
              </w:rPr>
              <w:fldChar w:fldCharType="begin"/>
            </w:r>
            <w:r w:rsidR="00242EBE">
              <w:rPr>
                <w:noProof/>
                <w:webHidden/>
              </w:rPr>
              <w:instrText xml:space="preserve"> PAGEREF _Toc34657740 \h </w:instrText>
            </w:r>
            <w:r w:rsidR="00242EBE">
              <w:rPr>
                <w:noProof/>
                <w:webHidden/>
              </w:rPr>
            </w:r>
            <w:r w:rsidR="00242EBE">
              <w:rPr>
                <w:noProof/>
                <w:webHidden/>
              </w:rPr>
              <w:fldChar w:fldCharType="separate"/>
            </w:r>
            <w:r w:rsidR="00FA29AF">
              <w:rPr>
                <w:noProof/>
                <w:webHidden/>
              </w:rPr>
              <w:t>175</w:t>
            </w:r>
            <w:r w:rsidR="00242EBE">
              <w:rPr>
                <w:noProof/>
                <w:webHidden/>
              </w:rPr>
              <w:fldChar w:fldCharType="end"/>
            </w:r>
          </w:hyperlink>
        </w:p>
        <w:p w14:paraId="5A475600" w14:textId="77777777" w:rsidR="00242EBE" w:rsidRDefault="000D2802">
          <w:pPr>
            <w:pStyle w:val="Obsah2"/>
            <w:tabs>
              <w:tab w:val="left" w:pos="880"/>
              <w:tab w:val="right" w:leader="dot" w:pos="9080"/>
            </w:tabs>
            <w:rPr>
              <w:rFonts w:asciiTheme="minorHAnsi" w:eastAsiaTheme="minorEastAsia" w:hAnsiTheme="minorHAnsi"/>
              <w:noProof/>
              <w:szCs w:val="22"/>
              <w:lang w:eastAsia="sk-SK"/>
            </w:rPr>
          </w:pPr>
          <w:hyperlink w:anchor="_Toc34657741" w:history="1">
            <w:r w:rsidR="00242EBE" w:rsidRPr="00B23003">
              <w:rPr>
                <w:rStyle w:val="Hypertextovprepojenie"/>
                <w:noProof/>
              </w:rPr>
              <w:t>9.5.</w:t>
            </w:r>
            <w:r w:rsidR="00242EBE">
              <w:rPr>
                <w:rFonts w:asciiTheme="minorHAnsi" w:eastAsiaTheme="minorEastAsia" w:hAnsiTheme="minorHAnsi"/>
                <w:noProof/>
                <w:szCs w:val="22"/>
                <w:lang w:eastAsia="sk-SK"/>
              </w:rPr>
              <w:tab/>
            </w:r>
            <w:r w:rsidR="00242EBE" w:rsidRPr="00B23003">
              <w:rPr>
                <w:rStyle w:val="Hypertextovprepojenie"/>
                <w:noProof/>
              </w:rPr>
              <w:t>Príspevok na bývanie</w:t>
            </w:r>
            <w:r w:rsidR="00242EBE">
              <w:rPr>
                <w:noProof/>
                <w:webHidden/>
              </w:rPr>
              <w:tab/>
            </w:r>
            <w:r w:rsidR="00242EBE">
              <w:rPr>
                <w:noProof/>
                <w:webHidden/>
              </w:rPr>
              <w:fldChar w:fldCharType="begin"/>
            </w:r>
            <w:r w:rsidR="00242EBE">
              <w:rPr>
                <w:noProof/>
                <w:webHidden/>
              </w:rPr>
              <w:instrText xml:space="preserve"> PAGEREF _Toc34657741 \h </w:instrText>
            </w:r>
            <w:r w:rsidR="00242EBE">
              <w:rPr>
                <w:noProof/>
                <w:webHidden/>
              </w:rPr>
            </w:r>
            <w:r w:rsidR="00242EBE">
              <w:rPr>
                <w:noProof/>
                <w:webHidden/>
              </w:rPr>
              <w:fldChar w:fldCharType="separate"/>
            </w:r>
            <w:r w:rsidR="00FA29AF">
              <w:rPr>
                <w:noProof/>
                <w:webHidden/>
              </w:rPr>
              <w:t>178</w:t>
            </w:r>
            <w:r w:rsidR="00242EBE">
              <w:rPr>
                <w:noProof/>
                <w:webHidden/>
              </w:rPr>
              <w:fldChar w:fldCharType="end"/>
            </w:r>
          </w:hyperlink>
        </w:p>
        <w:p w14:paraId="7DBB25D9" w14:textId="77777777" w:rsidR="00242EBE" w:rsidRDefault="000D2802">
          <w:pPr>
            <w:pStyle w:val="Obsah1"/>
            <w:tabs>
              <w:tab w:val="left" w:pos="660"/>
              <w:tab w:val="right" w:leader="dot" w:pos="9080"/>
            </w:tabs>
            <w:rPr>
              <w:rFonts w:asciiTheme="minorHAnsi" w:eastAsiaTheme="minorEastAsia" w:hAnsiTheme="minorHAnsi"/>
              <w:noProof/>
              <w:szCs w:val="22"/>
              <w:lang w:eastAsia="sk-SK"/>
            </w:rPr>
          </w:pPr>
          <w:hyperlink w:anchor="_Toc34657742" w:history="1">
            <w:r w:rsidR="00242EBE" w:rsidRPr="00B23003">
              <w:rPr>
                <w:rStyle w:val="Hypertextovprepojenie"/>
                <w:noProof/>
              </w:rPr>
              <w:t>10.</w:t>
            </w:r>
            <w:r w:rsidR="00242EBE">
              <w:rPr>
                <w:rFonts w:asciiTheme="minorHAnsi" w:eastAsiaTheme="minorEastAsia" w:hAnsiTheme="minorHAnsi"/>
                <w:noProof/>
                <w:szCs w:val="22"/>
                <w:lang w:eastAsia="sk-SK"/>
              </w:rPr>
              <w:tab/>
            </w:r>
            <w:r w:rsidR="00242EBE" w:rsidRPr="00B23003">
              <w:rPr>
                <w:rStyle w:val="Hypertextovprepojenie"/>
                <w:noProof/>
              </w:rPr>
              <w:t>Dostupnosť zdravotnej starostlivosti</w:t>
            </w:r>
            <w:r w:rsidR="00242EBE">
              <w:rPr>
                <w:noProof/>
                <w:webHidden/>
              </w:rPr>
              <w:tab/>
            </w:r>
            <w:r w:rsidR="00242EBE">
              <w:rPr>
                <w:noProof/>
                <w:webHidden/>
              </w:rPr>
              <w:fldChar w:fldCharType="begin"/>
            </w:r>
            <w:r w:rsidR="00242EBE">
              <w:rPr>
                <w:noProof/>
                <w:webHidden/>
              </w:rPr>
              <w:instrText xml:space="preserve"> PAGEREF _Toc34657742 \h </w:instrText>
            </w:r>
            <w:r w:rsidR="00242EBE">
              <w:rPr>
                <w:noProof/>
                <w:webHidden/>
              </w:rPr>
            </w:r>
            <w:r w:rsidR="00242EBE">
              <w:rPr>
                <w:noProof/>
                <w:webHidden/>
              </w:rPr>
              <w:fldChar w:fldCharType="separate"/>
            </w:r>
            <w:r w:rsidR="00FA29AF">
              <w:rPr>
                <w:noProof/>
                <w:webHidden/>
              </w:rPr>
              <w:t>182</w:t>
            </w:r>
            <w:r w:rsidR="00242EBE">
              <w:rPr>
                <w:noProof/>
                <w:webHidden/>
              </w:rPr>
              <w:fldChar w:fldCharType="end"/>
            </w:r>
          </w:hyperlink>
        </w:p>
        <w:p w14:paraId="0FA7EC99" w14:textId="77777777" w:rsidR="00242EBE" w:rsidRDefault="000D2802">
          <w:pPr>
            <w:pStyle w:val="Obsah2"/>
            <w:tabs>
              <w:tab w:val="left" w:pos="880"/>
              <w:tab w:val="right" w:leader="dot" w:pos="9080"/>
            </w:tabs>
            <w:rPr>
              <w:rFonts w:asciiTheme="minorHAnsi" w:eastAsiaTheme="minorEastAsia" w:hAnsiTheme="minorHAnsi"/>
              <w:noProof/>
              <w:szCs w:val="22"/>
              <w:lang w:eastAsia="sk-SK"/>
            </w:rPr>
          </w:pPr>
          <w:hyperlink w:anchor="_Toc34657743" w:history="1">
            <w:r w:rsidR="00242EBE" w:rsidRPr="00B23003">
              <w:rPr>
                <w:rStyle w:val="Hypertextovprepojenie"/>
                <w:noProof/>
              </w:rPr>
              <w:t>10.1.</w:t>
            </w:r>
            <w:r w:rsidR="00242EBE">
              <w:rPr>
                <w:rFonts w:asciiTheme="minorHAnsi" w:eastAsiaTheme="minorEastAsia" w:hAnsiTheme="minorHAnsi"/>
                <w:noProof/>
                <w:szCs w:val="22"/>
                <w:lang w:eastAsia="sk-SK"/>
              </w:rPr>
              <w:tab/>
            </w:r>
            <w:r w:rsidR="00242EBE" w:rsidRPr="00B23003">
              <w:rPr>
                <w:rStyle w:val="Hypertextovprepojenie"/>
                <w:noProof/>
              </w:rPr>
              <w:t>Zdravotný stav sociálne znevýhodnených ľudí</w:t>
            </w:r>
            <w:r w:rsidR="00242EBE">
              <w:rPr>
                <w:noProof/>
                <w:webHidden/>
              </w:rPr>
              <w:tab/>
            </w:r>
            <w:r w:rsidR="00242EBE">
              <w:rPr>
                <w:noProof/>
                <w:webHidden/>
              </w:rPr>
              <w:fldChar w:fldCharType="begin"/>
            </w:r>
            <w:r w:rsidR="00242EBE">
              <w:rPr>
                <w:noProof/>
                <w:webHidden/>
              </w:rPr>
              <w:instrText xml:space="preserve"> PAGEREF _Toc34657743 \h </w:instrText>
            </w:r>
            <w:r w:rsidR="00242EBE">
              <w:rPr>
                <w:noProof/>
                <w:webHidden/>
              </w:rPr>
            </w:r>
            <w:r w:rsidR="00242EBE">
              <w:rPr>
                <w:noProof/>
                <w:webHidden/>
              </w:rPr>
              <w:fldChar w:fldCharType="separate"/>
            </w:r>
            <w:r w:rsidR="00FA29AF">
              <w:rPr>
                <w:noProof/>
                <w:webHidden/>
              </w:rPr>
              <w:t>182</w:t>
            </w:r>
            <w:r w:rsidR="00242EBE">
              <w:rPr>
                <w:noProof/>
                <w:webHidden/>
              </w:rPr>
              <w:fldChar w:fldCharType="end"/>
            </w:r>
          </w:hyperlink>
        </w:p>
        <w:p w14:paraId="382C5950" w14:textId="77777777" w:rsidR="00242EBE" w:rsidRDefault="000D2802">
          <w:pPr>
            <w:pStyle w:val="Obsah2"/>
            <w:tabs>
              <w:tab w:val="left" w:pos="880"/>
              <w:tab w:val="right" w:leader="dot" w:pos="9080"/>
            </w:tabs>
            <w:rPr>
              <w:rFonts w:asciiTheme="minorHAnsi" w:eastAsiaTheme="minorEastAsia" w:hAnsiTheme="minorHAnsi"/>
              <w:noProof/>
              <w:szCs w:val="22"/>
              <w:lang w:eastAsia="sk-SK"/>
            </w:rPr>
          </w:pPr>
          <w:hyperlink w:anchor="_Toc34657744" w:history="1">
            <w:r w:rsidR="00242EBE" w:rsidRPr="00B23003">
              <w:rPr>
                <w:rStyle w:val="Hypertextovprepojenie"/>
                <w:noProof/>
              </w:rPr>
              <w:t>10.2.</w:t>
            </w:r>
            <w:r w:rsidR="00242EBE">
              <w:rPr>
                <w:rFonts w:asciiTheme="minorHAnsi" w:eastAsiaTheme="minorEastAsia" w:hAnsiTheme="minorHAnsi"/>
                <w:noProof/>
                <w:szCs w:val="22"/>
                <w:lang w:eastAsia="sk-SK"/>
              </w:rPr>
              <w:tab/>
            </w:r>
            <w:r w:rsidR="00242EBE" w:rsidRPr="00B23003">
              <w:rPr>
                <w:rStyle w:val="Hypertextovprepojenie"/>
                <w:noProof/>
              </w:rPr>
              <w:t>Využívanie zdravotnej starostlivosti v prostredí MRK</w:t>
            </w:r>
            <w:r w:rsidR="00242EBE">
              <w:rPr>
                <w:noProof/>
                <w:webHidden/>
              </w:rPr>
              <w:tab/>
            </w:r>
            <w:r w:rsidR="00242EBE">
              <w:rPr>
                <w:noProof/>
                <w:webHidden/>
              </w:rPr>
              <w:fldChar w:fldCharType="begin"/>
            </w:r>
            <w:r w:rsidR="00242EBE">
              <w:rPr>
                <w:noProof/>
                <w:webHidden/>
              </w:rPr>
              <w:instrText xml:space="preserve"> PAGEREF _Toc34657744 \h </w:instrText>
            </w:r>
            <w:r w:rsidR="00242EBE">
              <w:rPr>
                <w:noProof/>
                <w:webHidden/>
              </w:rPr>
            </w:r>
            <w:r w:rsidR="00242EBE">
              <w:rPr>
                <w:noProof/>
                <w:webHidden/>
              </w:rPr>
              <w:fldChar w:fldCharType="separate"/>
            </w:r>
            <w:r w:rsidR="00FA29AF">
              <w:rPr>
                <w:noProof/>
                <w:webHidden/>
              </w:rPr>
              <w:t>184</w:t>
            </w:r>
            <w:r w:rsidR="00242EBE">
              <w:rPr>
                <w:noProof/>
                <w:webHidden/>
              </w:rPr>
              <w:fldChar w:fldCharType="end"/>
            </w:r>
          </w:hyperlink>
        </w:p>
        <w:p w14:paraId="186B2097" w14:textId="77777777" w:rsidR="00242EBE" w:rsidRDefault="000D2802">
          <w:pPr>
            <w:pStyle w:val="Obsah2"/>
            <w:tabs>
              <w:tab w:val="left" w:pos="880"/>
              <w:tab w:val="right" w:leader="dot" w:pos="9080"/>
            </w:tabs>
            <w:rPr>
              <w:rFonts w:asciiTheme="minorHAnsi" w:eastAsiaTheme="minorEastAsia" w:hAnsiTheme="minorHAnsi"/>
              <w:noProof/>
              <w:szCs w:val="22"/>
              <w:lang w:eastAsia="sk-SK"/>
            </w:rPr>
          </w:pPr>
          <w:hyperlink w:anchor="_Toc34657745" w:history="1">
            <w:r w:rsidR="00242EBE" w:rsidRPr="00B23003">
              <w:rPr>
                <w:rStyle w:val="Hypertextovprepojenie"/>
                <w:noProof/>
              </w:rPr>
              <w:t>10.3.</w:t>
            </w:r>
            <w:r w:rsidR="00242EBE">
              <w:rPr>
                <w:rFonts w:asciiTheme="minorHAnsi" w:eastAsiaTheme="minorEastAsia" w:hAnsiTheme="minorHAnsi"/>
                <w:noProof/>
                <w:szCs w:val="22"/>
                <w:lang w:eastAsia="sk-SK"/>
              </w:rPr>
              <w:tab/>
            </w:r>
            <w:r w:rsidR="00242EBE" w:rsidRPr="00B23003">
              <w:rPr>
                <w:rStyle w:val="Hypertextovprepojenie"/>
                <w:noProof/>
              </w:rPr>
              <w:t>Prekážky v dostupnosti zdravotnej starostlivosti a diskriminácia</w:t>
            </w:r>
            <w:r w:rsidR="00242EBE">
              <w:rPr>
                <w:noProof/>
                <w:webHidden/>
              </w:rPr>
              <w:tab/>
            </w:r>
            <w:r w:rsidR="00242EBE">
              <w:rPr>
                <w:noProof/>
                <w:webHidden/>
              </w:rPr>
              <w:fldChar w:fldCharType="begin"/>
            </w:r>
            <w:r w:rsidR="00242EBE">
              <w:rPr>
                <w:noProof/>
                <w:webHidden/>
              </w:rPr>
              <w:instrText xml:space="preserve"> PAGEREF _Toc34657745 \h </w:instrText>
            </w:r>
            <w:r w:rsidR="00242EBE">
              <w:rPr>
                <w:noProof/>
                <w:webHidden/>
              </w:rPr>
            </w:r>
            <w:r w:rsidR="00242EBE">
              <w:rPr>
                <w:noProof/>
                <w:webHidden/>
              </w:rPr>
              <w:fldChar w:fldCharType="separate"/>
            </w:r>
            <w:r w:rsidR="00FA29AF">
              <w:rPr>
                <w:noProof/>
                <w:webHidden/>
              </w:rPr>
              <w:t>185</w:t>
            </w:r>
            <w:r w:rsidR="00242EBE">
              <w:rPr>
                <w:noProof/>
                <w:webHidden/>
              </w:rPr>
              <w:fldChar w:fldCharType="end"/>
            </w:r>
          </w:hyperlink>
        </w:p>
        <w:p w14:paraId="60CE021E" w14:textId="77777777" w:rsidR="00242EBE" w:rsidRDefault="000D2802">
          <w:pPr>
            <w:pStyle w:val="Obsah2"/>
            <w:tabs>
              <w:tab w:val="left" w:pos="880"/>
              <w:tab w:val="right" w:leader="dot" w:pos="9080"/>
            </w:tabs>
            <w:rPr>
              <w:rFonts w:asciiTheme="minorHAnsi" w:eastAsiaTheme="minorEastAsia" w:hAnsiTheme="minorHAnsi"/>
              <w:noProof/>
              <w:szCs w:val="22"/>
              <w:lang w:eastAsia="sk-SK"/>
            </w:rPr>
          </w:pPr>
          <w:hyperlink w:anchor="_Toc34657746" w:history="1">
            <w:r w:rsidR="00242EBE" w:rsidRPr="00B23003">
              <w:rPr>
                <w:rStyle w:val="Hypertextovprepojenie"/>
                <w:noProof/>
              </w:rPr>
              <w:t>10.4.</w:t>
            </w:r>
            <w:r w:rsidR="00242EBE">
              <w:rPr>
                <w:rFonts w:asciiTheme="minorHAnsi" w:eastAsiaTheme="minorEastAsia" w:hAnsiTheme="minorHAnsi"/>
                <w:noProof/>
                <w:szCs w:val="22"/>
                <w:lang w:eastAsia="sk-SK"/>
              </w:rPr>
              <w:tab/>
            </w:r>
            <w:r w:rsidR="00242EBE" w:rsidRPr="00B23003">
              <w:rPr>
                <w:rStyle w:val="Hypertextovprepojenie"/>
                <w:noProof/>
              </w:rPr>
              <w:t>Opatrenia na podporu dopytu po preventívnej zdravotnej starostlivosti</w:t>
            </w:r>
            <w:r w:rsidR="00242EBE">
              <w:rPr>
                <w:noProof/>
                <w:webHidden/>
              </w:rPr>
              <w:tab/>
            </w:r>
            <w:r w:rsidR="00242EBE">
              <w:rPr>
                <w:noProof/>
                <w:webHidden/>
              </w:rPr>
              <w:fldChar w:fldCharType="begin"/>
            </w:r>
            <w:r w:rsidR="00242EBE">
              <w:rPr>
                <w:noProof/>
                <w:webHidden/>
              </w:rPr>
              <w:instrText xml:space="preserve"> PAGEREF _Toc34657746 \h </w:instrText>
            </w:r>
            <w:r w:rsidR="00242EBE">
              <w:rPr>
                <w:noProof/>
                <w:webHidden/>
              </w:rPr>
            </w:r>
            <w:r w:rsidR="00242EBE">
              <w:rPr>
                <w:noProof/>
                <w:webHidden/>
              </w:rPr>
              <w:fldChar w:fldCharType="separate"/>
            </w:r>
            <w:r w:rsidR="00FA29AF">
              <w:rPr>
                <w:noProof/>
                <w:webHidden/>
              </w:rPr>
              <w:t>187</w:t>
            </w:r>
            <w:r w:rsidR="00242EBE">
              <w:rPr>
                <w:noProof/>
                <w:webHidden/>
              </w:rPr>
              <w:fldChar w:fldCharType="end"/>
            </w:r>
          </w:hyperlink>
        </w:p>
        <w:p w14:paraId="5A341AC1" w14:textId="77777777" w:rsidR="00242EBE" w:rsidRDefault="000D2802">
          <w:pPr>
            <w:pStyle w:val="Obsah1"/>
            <w:tabs>
              <w:tab w:val="left" w:pos="660"/>
              <w:tab w:val="right" w:leader="dot" w:pos="9080"/>
            </w:tabs>
            <w:rPr>
              <w:rFonts w:asciiTheme="minorHAnsi" w:eastAsiaTheme="minorEastAsia" w:hAnsiTheme="minorHAnsi"/>
              <w:noProof/>
              <w:szCs w:val="22"/>
              <w:lang w:eastAsia="sk-SK"/>
            </w:rPr>
          </w:pPr>
          <w:hyperlink w:anchor="_Toc34657747" w:history="1">
            <w:r w:rsidR="00242EBE" w:rsidRPr="00B23003">
              <w:rPr>
                <w:rStyle w:val="Hypertextovprepojenie"/>
                <w:noProof/>
              </w:rPr>
              <w:t>11.</w:t>
            </w:r>
            <w:r w:rsidR="00242EBE">
              <w:rPr>
                <w:rFonts w:asciiTheme="minorHAnsi" w:eastAsiaTheme="minorEastAsia" w:hAnsiTheme="minorHAnsi"/>
                <w:noProof/>
                <w:szCs w:val="22"/>
                <w:lang w:eastAsia="sk-SK"/>
              </w:rPr>
              <w:tab/>
            </w:r>
            <w:r w:rsidR="00242EBE" w:rsidRPr="00B23003">
              <w:rPr>
                <w:rStyle w:val="Hypertextovprepojenie"/>
                <w:noProof/>
              </w:rPr>
              <w:t>Podporné programy pre obce s prítomnosťou MRK</w:t>
            </w:r>
            <w:r w:rsidR="00242EBE">
              <w:rPr>
                <w:noProof/>
                <w:webHidden/>
              </w:rPr>
              <w:tab/>
            </w:r>
            <w:r w:rsidR="00242EBE">
              <w:rPr>
                <w:noProof/>
                <w:webHidden/>
              </w:rPr>
              <w:fldChar w:fldCharType="begin"/>
            </w:r>
            <w:r w:rsidR="00242EBE">
              <w:rPr>
                <w:noProof/>
                <w:webHidden/>
              </w:rPr>
              <w:instrText xml:space="preserve"> PAGEREF _Toc34657747 \h </w:instrText>
            </w:r>
            <w:r w:rsidR="00242EBE">
              <w:rPr>
                <w:noProof/>
                <w:webHidden/>
              </w:rPr>
            </w:r>
            <w:r w:rsidR="00242EBE">
              <w:rPr>
                <w:noProof/>
                <w:webHidden/>
              </w:rPr>
              <w:fldChar w:fldCharType="separate"/>
            </w:r>
            <w:r w:rsidR="00FA29AF">
              <w:rPr>
                <w:noProof/>
                <w:webHidden/>
              </w:rPr>
              <w:t>188</w:t>
            </w:r>
            <w:r w:rsidR="00242EBE">
              <w:rPr>
                <w:noProof/>
                <w:webHidden/>
              </w:rPr>
              <w:fldChar w:fldCharType="end"/>
            </w:r>
          </w:hyperlink>
        </w:p>
        <w:p w14:paraId="1BF3407F" w14:textId="77777777" w:rsidR="00242EBE" w:rsidRDefault="000D2802">
          <w:pPr>
            <w:pStyle w:val="Obsah2"/>
            <w:tabs>
              <w:tab w:val="left" w:pos="880"/>
              <w:tab w:val="right" w:leader="dot" w:pos="9080"/>
            </w:tabs>
            <w:rPr>
              <w:rFonts w:asciiTheme="minorHAnsi" w:eastAsiaTheme="minorEastAsia" w:hAnsiTheme="minorHAnsi"/>
              <w:noProof/>
              <w:szCs w:val="22"/>
              <w:lang w:eastAsia="sk-SK"/>
            </w:rPr>
          </w:pPr>
          <w:hyperlink w:anchor="_Toc34657748" w:history="1">
            <w:r w:rsidR="00242EBE" w:rsidRPr="00B23003">
              <w:rPr>
                <w:rStyle w:val="Hypertextovprepojenie"/>
                <w:noProof/>
              </w:rPr>
              <w:t>11.1.</w:t>
            </w:r>
            <w:r w:rsidR="00242EBE">
              <w:rPr>
                <w:rFonts w:asciiTheme="minorHAnsi" w:eastAsiaTheme="minorEastAsia" w:hAnsiTheme="minorHAnsi"/>
                <w:noProof/>
                <w:szCs w:val="22"/>
                <w:lang w:eastAsia="sk-SK"/>
              </w:rPr>
              <w:tab/>
            </w:r>
            <w:r w:rsidR="00242EBE" w:rsidRPr="00B23003">
              <w:rPr>
                <w:rStyle w:val="Hypertextovprepojenie"/>
                <w:noProof/>
              </w:rPr>
              <w:t>Rozsah a dopad podporných programov</w:t>
            </w:r>
            <w:r w:rsidR="00242EBE">
              <w:rPr>
                <w:noProof/>
                <w:webHidden/>
              </w:rPr>
              <w:tab/>
            </w:r>
            <w:r w:rsidR="00242EBE">
              <w:rPr>
                <w:noProof/>
                <w:webHidden/>
              </w:rPr>
              <w:fldChar w:fldCharType="begin"/>
            </w:r>
            <w:r w:rsidR="00242EBE">
              <w:rPr>
                <w:noProof/>
                <w:webHidden/>
              </w:rPr>
              <w:instrText xml:space="preserve"> PAGEREF _Toc34657748 \h </w:instrText>
            </w:r>
            <w:r w:rsidR="00242EBE">
              <w:rPr>
                <w:noProof/>
                <w:webHidden/>
              </w:rPr>
            </w:r>
            <w:r w:rsidR="00242EBE">
              <w:rPr>
                <w:noProof/>
                <w:webHidden/>
              </w:rPr>
              <w:fldChar w:fldCharType="separate"/>
            </w:r>
            <w:r w:rsidR="00FA29AF">
              <w:rPr>
                <w:noProof/>
                <w:webHidden/>
              </w:rPr>
              <w:t>188</w:t>
            </w:r>
            <w:r w:rsidR="00242EBE">
              <w:rPr>
                <w:noProof/>
                <w:webHidden/>
              </w:rPr>
              <w:fldChar w:fldCharType="end"/>
            </w:r>
          </w:hyperlink>
        </w:p>
        <w:p w14:paraId="5DFE0E91" w14:textId="77777777" w:rsidR="00242EBE" w:rsidRDefault="000D2802">
          <w:pPr>
            <w:pStyle w:val="Obsah2"/>
            <w:tabs>
              <w:tab w:val="left" w:pos="880"/>
              <w:tab w:val="right" w:leader="dot" w:pos="9080"/>
            </w:tabs>
            <w:rPr>
              <w:rFonts w:asciiTheme="minorHAnsi" w:eastAsiaTheme="minorEastAsia" w:hAnsiTheme="minorHAnsi"/>
              <w:noProof/>
              <w:szCs w:val="22"/>
              <w:lang w:eastAsia="sk-SK"/>
            </w:rPr>
          </w:pPr>
          <w:hyperlink w:anchor="_Toc34657749" w:history="1">
            <w:r w:rsidR="00242EBE" w:rsidRPr="00B23003">
              <w:rPr>
                <w:rStyle w:val="Hypertextovprepojenie"/>
                <w:noProof/>
              </w:rPr>
              <w:t>11.2.</w:t>
            </w:r>
            <w:r w:rsidR="00242EBE">
              <w:rPr>
                <w:rFonts w:asciiTheme="minorHAnsi" w:eastAsiaTheme="minorEastAsia" w:hAnsiTheme="minorHAnsi"/>
                <w:noProof/>
                <w:szCs w:val="22"/>
                <w:lang w:eastAsia="sk-SK"/>
              </w:rPr>
              <w:tab/>
            </w:r>
            <w:r w:rsidR="00242EBE" w:rsidRPr="00B23003">
              <w:rPr>
                <w:rStyle w:val="Hypertextovprepojenie"/>
                <w:noProof/>
              </w:rPr>
              <w:t>Riadenie podporných programov a problém udržateľnosti</w:t>
            </w:r>
            <w:r w:rsidR="00242EBE">
              <w:rPr>
                <w:noProof/>
                <w:webHidden/>
              </w:rPr>
              <w:tab/>
            </w:r>
            <w:r w:rsidR="00242EBE">
              <w:rPr>
                <w:noProof/>
                <w:webHidden/>
              </w:rPr>
              <w:fldChar w:fldCharType="begin"/>
            </w:r>
            <w:r w:rsidR="00242EBE">
              <w:rPr>
                <w:noProof/>
                <w:webHidden/>
              </w:rPr>
              <w:instrText xml:space="preserve"> PAGEREF _Toc34657749 \h </w:instrText>
            </w:r>
            <w:r w:rsidR="00242EBE">
              <w:rPr>
                <w:noProof/>
                <w:webHidden/>
              </w:rPr>
            </w:r>
            <w:r w:rsidR="00242EBE">
              <w:rPr>
                <w:noProof/>
                <w:webHidden/>
              </w:rPr>
              <w:fldChar w:fldCharType="separate"/>
            </w:r>
            <w:r w:rsidR="00FA29AF">
              <w:rPr>
                <w:noProof/>
                <w:webHidden/>
              </w:rPr>
              <w:t>192</w:t>
            </w:r>
            <w:r w:rsidR="00242EBE">
              <w:rPr>
                <w:noProof/>
                <w:webHidden/>
              </w:rPr>
              <w:fldChar w:fldCharType="end"/>
            </w:r>
          </w:hyperlink>
        </w:p>
        <w:p w14:paraId="7681C6FC" w14:textId="77777777" w:rsidR="00242EBE" w:rsidRDefault="000D2802">
          <w:pPr>
            <w:pStyle w:val="Obsah1"/>
            <w:tabs>
              <w:tab w:val="left" w:pos="660"/>
              <w:tab w:val="right" w:leader="dot" w:pos="9080"/>
            </w:tabs>
            <w:rPr>
              <w:rFonts w:asciiTheme="minorHAnsi" w:eastAsiaTheme="minorEastAsia" w:hAnsiTheme="minorHAnsi"/>
              <w:noProof/>
              <w:szCs w:val="22"/>
              <w:lang w:eastAsia="sk-SK"/>
            </w:rPr>
          </w:pPr>
          <w:hyperlink w:anchor="_Toc34657750" w:history="1">
            <w:r w:rsidR="00242EBE" w:rsidRPr="00B23003">
              <w:rPr>
                <w:rStyle w:val="Hypertextovprepojenie"/>
                <w:noProof/>
              </w:rPr>
              <w:t>12.</w:t>
            </w:r>
            <w:r w:rsidR="00242EBE">
              <w:rPr>
                <w:rFonts w:asciiTheme="minorHAnsi" w:eastAsiaTheme="minorEastAsia" w:hAnsiTheme="minorHAnsi"/>
                <w:noProof/>
                <w:szCs w:val="22"/>
                <w:lang w:eastAsia="sk-SK"/>
              </w:rPr>
              <w:tab/>
            </w:r>
            <w:r w:rsidR="00242EBE" w:rsidRPr="00B23003">
              <w:rPr>
                <w:rStyle w:val="Hypertextovprepojenie"/>
                <w:noProof/>
              </w:rPr>
              <w:t>Použitá literatúra</w:t>
            </w:r>
            <w:r w:rsidR="00242EBE">
              <w:rPr>
                <w:noProof/>
                <w:webHidden/>
              </w:rPr>
              <w:tab/>
            </w:r>
            <w:r w:rsidR="00242EBE">
              <w:rPr>
                <w:noProof/>
                <w:webHidden/>
              </w:rPr>
              <w:fldChar w:fldCharType="begin"/>
            </w:r>
            <w:r w:rsidR="00242EBE">
              <w:rPr>
                <w:noProof/>
                <w:webHidden/>
              </w:rPr>
              <w:instrText xml:space="preserve"> PAGEREF _Toc34657750 \h </w:instrText>
            </w:r>
            <w:r w:rsidR="00242EBE">
              <w:rPr>
                <w:noProof/>
                <w:webHidden/>
              </w:rPr>
            </w:r>
            <w:r w:rsidR="00242EBE">
              <w:rPr>
                <w:noProof/>
                <w:webHidden/>
              </w:rPr>
              <w:fldChar w:fldCharType="separate"/>
            </w:r>
            <w:r w:rsidR="00FA29AF">
              <w:rPr>
                <w:noProof/>
                <w:webHidden/>
              </w:rPr>
              <w:t>195</w:t>
            </w:r>
            <w:r w:rsidR="00242EBE">
              <w:rPr>
                <w:noProof/>
                <w:webHidden/>
              </w:rPr>
              <w:fldChar w:fldCharType="end"/>
            </w:r>
          </w:hyperlink>
        </w:p>
        <w:p w14:paraId="6BBBAA7B" w14:textId="77777777" w:rsidR="00242EBE" w:rsidRDefault="000D2802">
          <w:pPr>
            <w:pStyle w:val="Obsah1"/>
            <w:tabs>
              <w:tab w:val="left" w:pos="660"/>
              <w:tab w:val="right" w:leader="dot" w:pos="9080"/>
            </w:tabs>
            <w:rPr>
              <w:rFonts w:asciiTheme="minorHAnsi" w:eastAsiaTheme="minorEastAsia" w:hAnsiTheme="minorHAnsi"/>
              <w:noProof/>
              <w:szCs w:val="22"/>
              <w:lang w:eastAsia="sk-SK"/>
            </w:rPr>
          </w:pPr>
          <w:hyperlink w:anchor="_Toc34657751" w:history="1">
            <w:r w:rsidR="00242EBE" w:rsidRPr="00B23003">
              <w:rPr>
                <w:rStyle w:val="Hypertextovprepojenie"/>
                <w:noProof/>
              </w:rPr>
              <w:t>13.</w:t>
            </w:r>
            <w:r w:rsidR="00242EBE">
              <w:rPr>
                <w:rFonts w:asciiTheme="minorHAnsi" w:eastAsiaTheme="minorEastAsia" w:hAnsiTheme="minorHAnsi"/>
                <w:noProof/>
                <w:szCs w:val="22"/>
                <w:lang w:eastAsia="sk-SK"/>
              </w:rPr>
              <w:tab/>
            </w:r>
            <w:r w:rsidR="00242EBE" w:rsidRPr="00B23003">
              <w:rPr>
                <w:rStyle w:val="Hypertextovprepojenie"/>
                <w:noProof/>
              </w:rPr>
              <w:t>Prílohy</w:t>
            </w:r>
            <w:r w:rsidR="00242EBE">
              <w:rPr>
                <w:noProof/>
                <w:webHidden/>
              </w:rPr>
              <w:tab/>
            </w:r>
            <w:r w:rsidR="00242EBE">
              <w:rPr>
                <w:noProof/>
                <w:webHidden/>
              </w:rPr>
              <w:fldChar w:fldCharType="begin"/>
            </w:r>
            <w:r w:rsidR="00242EBE">
              <w:rPr>
                <w:noProof/>
                <w:webHidden/>
              </w:rPr>
              <w:instrText xml:space="preserve"> PAGEREF _Toc34657751 \h </w:instrText>
            </w:r>
            <w:r w:rsidR="00242EBE">
              <w:rPr>
                <w:noProof/>
                <w:webHidden/>
              </w:rPr>
            </w:r>
            <w:r w:rsidR="00242EBE">
              <w:rPr>
                <w:noProof/>
                <w:webHidden/>
              </w:rPr>
              <w:fldChar w:fldCharType="separate"/>
            </w:r>
            <w:r w:rsidR="00FA29AF">
              <w:rPr>
                <w:noProof/>
                <w:webHidden/>
              </w:rPr>
              <w:t>209</w:t>
            </w:r>
            <w:r w:rsidR="00242EBE">
              <w:rPr>
                <w:noProof/>
                <w:webHidden/>
              </w:rPr>
              <w:fldChar w:fldCharType="end"/>
            </w:r>
          </w:hyperlink>
        </w:p>
        <w:p w14:paraId="4FD3A903" w14:textId="4D488AF1" w:rsidR="00D36722" w:rsidRPr="00CA2564" w:rsidRDefault="00A23F74">
          <w:r w:rsidRPr="00CA2564">
            <w:rPr>
              <w:b/>
              <w:bCs/>
            </w:rPr>
            <w:fldChar w:fldCharType="end"/>
          </w:r>
        </w:p>
      </w:sdtContent>
    </w:sdt>
    <w:p w14:paraId="0607A964" w14:textId="77777777" w:rsidR="007D19EB" w:rsidRPr="00CA2564" w:rsidRDefault="007D19EB"/>
    <w:p w14:paraId="6EFA17E0" w14:textId="77777777" w:rsidR="007D19EB" w:rsidRPr="00CA2564" w:rsidRDefault="007D19EB">
      <w:pPr>
        <w:spacing w:after="160"/>
        <w:jc w:val="left"/>
      </w:pPr>
      <w:r w:rsidRPr="00CA2564">
        <w:br w:type="page"/>
      </w:r>
    </w:p>
    <w:p w14:paraId="0B72CF35" w14:textId="650FD3FD" w:rsidR="007D19EB" w:rsidRDefault="007D19EB" w:rsidP="0068465E">
      <w:pPr>
        <w:rPr>
          <w:rFonts w:eastAsiaTheme="majorEastAsia" w:cstheme="majorBidi"/>
          <w:color w:val="0070C0"/>
          <w:sz w:val="32"/>
          <w:szCs w:val="32"/>
        </w:rPr>
      </w:pPr>
      <w:r w:rsidRPr="0068465E">
        <w:rPr>
          <w:rFonts w:eastAsiaTheme="majorEastAsia" w:cstheme="majorBidi"/>
          <w:color w:val="0070C0"/>
          <w:sz w:val="32"/>
          <w:szCs w:val="32"/>
        </w:rPr>
        <w:lastRenderedPageBreak/>
        <w:t xml:space="preserve">Zoznam </w:t>
      </w:r>
      <w:r w:rsidR="002B2EA6" w:rsidRPr="0068465E">
        <w:rPr>
          <w:rFonts w:eastAsiaTheme="majorEastAsia" w:cstheme="majorBidi"/>
          <w:color w:val="0070C0"/>
          <w:sz w:val="32"/>
          <w:szCs w:val="32"/>
        </w:rPr>
        <w:t>t</w:t>
      </w:r>
      <w:r w:rsidRPr="0068465E">
        <w:rPr>
          <w:rFonts w:eastAsiaTheme="majorEastAsia" w:cstheme="majorBidi"/>
          <w:color w:val="0070C0"/>
          <w:sz w:val="32"/>
          <w:szCs w:val="32"/>
        </w:rPr>
        <w:t>abuliek a</w:t>
      </w:r>
      <w:r w:rsidR="006B527D">
        <w:rPr>
          <w:rFonts w:eastAsiaTheme="majorEastAsia" w:cstheme="majorBidi"/>
          <w:color w:val="0070C0"/>
          <w:sz w:val="32"/>
          <w:szCs w:val="32"/>
        </w:rPr>
        <w:t> </w:t>
      </w:r>
      <w:r w:rsidRPr="0068465E">
        <w:rPr>
          <w:rFonts w:eastAsiaTheme="majorEastAsia" w:cstheme="majorBidi"/>
          <w:color w:val="0070C0"/>
          <w:sz w:val="32"/>
          <w:szCs w:val="32"/>
        </w:rPr>
        <w:t>grafov</w:t>
      </w:r>
    </w:p>
    <w:p w14:paraId="4AE78252" w14:textId="344F2324" w:rsidR="006B527D" w:rsidRPr="00867E22" w:rsidRDefault="006B527D" w:rsidP="0068465E">
      <w:pPr>
        <w:rPr>
          <w:rStyle w:val="Intenzvnezvraznenie"/>
          <w:i w:val="0"/>
          <w:color w:val="0070C0"/>
        </w:rPr>
      </w:pPr>
      <w:r w:rsidRPr="00867E22">
        <w:rPr>
          <w:rStyle w:val="Intenzvnezvraznenie"/>
          <w:i w:val="0"/>
          <w:color w:val="0070C0"/>
        </w:rPr>
        <w:t>Zoznam tabuliek</w:t>
      </w:r>
    </w:p>
    <w:p w14:paraId="1D575821" w14:textId="77777777" w:rsidR="004B2E4E" w:rsidRPr="004B2E4E" w:rsidRDefault="006B527D">
      <w:pPr>
        <w:pStyle w:val="Zoznamobrzkov"/>
        <w:tabs>
          <w:tab w:val="right" w:leader="dot" w:pos="9080"/>
        </w:tabs>
        <w:rPr>
          <w:rFonts w:asciiTheme="minorHAnsi" w:eastAsiaTheme="minorEastAsia" w:hAnsiTheme="minorHAnsi"/>
          <w:noProof/>
          <w:lang w:eastAsia="sk-SK"/>
        </w:rPr>
      </w:pPr>
      <w:r w:rsidRPr="004B2E4E">
        <w:fldChar w:fldCharType="begin"/>
      </w:r>
      <w:r w:rsidRPr="004B2E4E">
        <w:instrText xml:space="preserve"> TOC \c "Tabuľka" </w:instrText>
      </w:r>
      <w:r w:rsidRPr="004B2E4E">
        <w:fldChar w:fldCharType="separate"/>
      </w:r>
      <w:r w:rsidR="004B2E4E" w:rsidRPr="004B2E4E">
        <w:rPr>
          <w:noProof/>
        </w:rPr>
        <w:t>Tabuľka 1: Kľúčové ukazovatele sociálneho vylúčenia, 2018 (% populácie)</w:t>
      </w:r>
      <w:r w:rsidR="004B2E4E" w:rsidRPr="004B2E4E">
        <w:rPr>
          <w:noProof/>
        </w:rPr>
        <w:tab/>
      </w:r>
      <w:r w:rsidR="004B2E4E" w:rsidRPr="004B2E4E">
        <w:rPr>
          <w:noProof/>
        </w:rPr>
        <w:fldChar w:fldCharType="begin"/>
      </w:r>
      <w:r w:rsidR="004B2E4E" w:rsidRPr="004B2E4E">
        <w:rPr>
          <w:noProof/>
        </w:rPr>
        <w:instrText xml:space="preserve"> PAGEREF _Toc34156840 \h </w:instrText>
      </w:r>
      <w:r w:rsidR="004B2E4E" w:rsidRPr="004B2E4E">
        <w:rPr>
          <w:noProof/>
        </w:rPr>
      </w:r>
      <w:r w:rsidR="004B2E4E" w:rsidRPr="004B2E4E">
        <w:rPr>
          <w:noProof/>
        </w:rPr>
        <w:fldChar w:fldCharType="separate"/>
      </w:r>
      <w:r w:rsidR="00FA29AF">
        <w:rPr>
          <w:noProof/>
        </w:rPr>
        <w:t>37</w:t>
      </w:r>
      <w:r w:rsidR="004B2E4E" w:rsidRPr="004B2E4E">
        <w:rPr>
          <w:noProof/>
        </w:rPr>
        <w:fldChar w:fldCharType="end"/>
      </w:r>
    </w:p>
    <w:p w14:paraId="3ADCA243" w14:textId="77777777" w:rsidR="004B2E4E" w:rsidRPr="004B2E4E" w:rsidRDefault="004B2E4E">
      <w:pPr>
        <w:pStyle w:val="Zoznamobrzkov"/>
        <w:tabs>
          <w:tab w:val="right" w:leader="dot" w:pos="9080"/>
        </w:tabs>
        <w:rPr>
          <w:rFonts w:asciiTheme="minorHAnsi" w:eastAsiaTheme="minorEastAsia" w:hAnsiTheme="minorHAnsi"/>
          <w:noProof/>
          <w:lang w:eastAsia="sk-SK"/>
        </w:rPr>
      </w:pPr>
      <w:r w:rsidRPr="004B2E4E">
        <w:rPr>
          <w:noProof/>
        </w:rPr>
        <w:t>Tabuľka 2: Výdavky na sociálne začleňovanie v oblasti vzdelávania (mil. eur)</w:t>
      </w:r>
      <w:r w:rsidRPr="004B2E4E">
        <w:rPr>
          <w:noProof/>
        </w:rPr>
        <w:tab/>
      </w:r>
      <w:r w:rsidRPr="004B2E4E">
        <w:rPr>
          <w:noProof/>
        </w:rPr>
        <w:fldChar w:fldCharType="begin"/>
      </w:r>
      <w:r w:rsidRPr="004B2E4E">
        <w:rPr>
          <w:noProof/>
        </w:rPr>
        <w:instrText xml:space="preserve"> PAGEREF _Toc34156841 \h </w:instrText>
      </w:r>
      <w:r w:rsidRPr="004B2E4E">
        <w:rPr>
          <w:noProof/>
        </w:rPr>
      </w:r>
      <w:r w:rsidRPr="004B2E4E">
        <w:rPr>
          <w:noProof/>
        </w:rPr>
        <w:fldChar w:fldCharType="separate"/>
      </w:r>
      <w:r w:rsidR="00FA29AF">
        <w:rPr>
          <w:noProof/>
        </w:rPr>
        <w:t>42</w:t>
      </w:r>
      <w:r w:rsidRPr="004B2E4E">
        <w:rPr>
          <w:noProof/>
        </w:rPr>
        <w:fldChar w:fldCharType="end"/>
      </w:r>
    </w:p>
    <w:p w14:paraId="3D49A7A0" w14:textId="77777777" w:rsidR="004B2E4E" w:rsidRPr="004B2E4E" w:rsidRDefault="004B2E4E">
      <w:pPr>
        <w:pStyle w:val="Zoznamobrzkov"/>
        <w:tabs>
          <w:tab w:val="right" w:leader="dot" w:pos="9080"/>
        </w:tabs>
        <w:rPr>
          <w:rFonts w:asciiTheme="minorHAnsi" w:eastAsiaTheme="minorEastAsia" w:hAnsiTheme="minorHAnsi"/>
          <w:noProof/>
          <w:lang w:eastAsia="sk-SK"/>
        </w:rPr>
      </w:pPr>
      <w:r w:rsidRPr="004B2E4E">
        <w:rPr>
          <w:noProof/>
        </w:rPr>
        <w:t>Tabuľka 3: Výdavky na sociálne začleňovanie v oblasti trhu práce a sociálnych politík (mil. eur)</w:t>
      </w:r>
      <w:r w:rsidRPr="004B2E4E">
        <w:rPr>
          <w:noProof/>
        </w:rPr>
        <w:tab/>
      </w:r>
      <w:r w:rsidRPr="004B2E4E">
        <w:rPr>
          <w:noProof/>
        </w:rPr>
        <w:fldChar w:fldCharType="begin"/>
      </w:r>
      <w:r w:rsidRPr="004B2E4E">
        <w:rPr>
          <w:noProof/>
        </w:rPr>
        <w:instrText xml:space="preserve"> PAGEREF _Toc34156842 \h </w:instrText>
      </w:r>
      <w:r w:rsidRPr="004B2E4E">
        <w:rPr>
          <w:noProof/>
        </w:rPr>
      </w:r>
      <w:r w:rsidRPr="004B2E4E">
        <w:rPr>
          <w:noProof/>
        </w:rPr>
        <w:fldChar w:fldCharType="separate"/>
      </w:r>
      <w:r w:rsidR="00FA29AF">
        <w:rPr>
          <w:noProof/>
        </w:rPr>
        <w:t>44</w:t>
      </w:r>
      <w:r w:rsidRPr="004B2E4E">
        <w:rPr>
          <w:noProof/>
        </w:rPr>
        <w:fldChar w:fldCharType="end"/>
      </w:r>
    </w:p>
    <w:p w14:paraId="4DB0834F" w14:textId="77777777" w:rsidR="004B2E4E" w:rsidRPr="004B2E4E" w:rsidRDefault="004B2E4E">
      <w:pPr>
        <w:pStyle w:val="Zoznamobrzkov"/>
        <w:tabs>
          <w:tab w:val="right" w:leader="dot" w:pos="9080"/>
        </w:tabs>
        <w:rPr>
          <w:rFonts w:asciiTheme="minorHAnsi" w:eastAsiaTheme="minorEastAsia" w:hAnsiTheme="minorHAnsi"/>
          <w:noProof/>
          <w:lang w:eastAsia="sk-SK"/>
        </w:rPr>
      </w:pPr>
      <w:r w:rsidRPr="004B2E4E">
        <w:rPr>
          <w:noProof/>
        </w:rPr>
        <w:t>Tabuľka 4: Výdavky na sociálne začleňovanie v oblasti bývania a infraštruktúry (mil. eur)</w:t>
      </w:r>
      <w:r w:rsidRPr="004B2E4E">
        <w:rPr>
          <w:noProof/>
        </w:rPr>
        <w:tab/>
      </w:r>
      <w:r w:rsidRPr="004B2E4E">
        <w:rPr>
          <w:noProof/>
        </w:rPr>
        <w:fldChar w:fldCharType="begin"/>
      </w:r>
      <w:r w:rsidRPr="004B2E4E">
        <w:rPr>
          <w:noProof/>
        </w:rPr>
        <w:instrText xml:space="preserve"> PAGEREF _Toc34156843 \h </w:instrText>
      </w:r>
      <w:r w:rsidRPr="004B2E4E">
        <w:rPr>
          <w:noProof/>
        </w:rPr>
      </w:r>
      <w:r w:rsidRPr="004B2E4E">
        <w:rPr>
          <w:noProof/>
        </w:rPr>
        <w:fldChar w:fldCharType="separate"/>
      </w:r>
      <w:r w:rsidR="00FA29AF">
        <w:rPr>
          <w:noProof/>
        </w:rPr>
        <w:t>45</w:t>
      </w:r>
      <w:r w:rsidRPr="004B2E4E">
        <w:rPr>
          <w:noProof/>
        </w:rPr>
        <w:fldChar w:fldCharType="end"/>
      </w:r>
    </w:p>
    <w:p w14:paraId="07AA53E8" w14:textId="77777777" w:rsidR="004B2E4E" w:rsidRPr="004B2E4E" w:rsidRDefault="004B2E4E">
      <w:pPr>
        <w:pStyle w:val="Zoznamobrzkov"/>
        <w:tabs>
          <w:tab w:val="right" w:leader="dot" w:pos="9080"/>
        </w:tabs>
        <w:rPr>
          <w:rFonts w:asciiTheme="minorHAnsi" w:eastAsiaTheme="minorEastAsia" w:hAnsiTheme="minorHAnsi"/>
          <w:noProof/>
          <w:lang w:eastAsia="sk-SK"/>
        </w:rPr>
      </w:pPr>
      <w:r w:rsidRPr="004B2E4E">
        <w:rPr>
          <w:noProof/>
        </w:rPr>
        <w:t>Tabuľka 5: Výdavky na sociálne začleňovanie skupín ohrozených chudobou alebo sociálnym vylúčením zo zdrojov EŠIF a spolufinancovania (mil. eur, 2018)</w:t>
      </w:r>
      <w:r w:rsidRPr="004B2E4E">
        <w:rPr>
          <w:noProof/>
        </w:rPr>
        <w:tab/>
      </w:r>
      <w:r w:rsidRPr="004B2E4E">
        <w:rPr>
          <w:noProof/>
        </w:rPr>
        <w:fldChar w:fldCharType="begin"/>
      </w:r>
      <w:r w:rsidRPr="004B2E4E">
        <w:rPr>
          <w:noProof/>
        </w:rPr>
        <w:instrText xml:space="preserve"> PAGEREF _Toc34156844 \h </w:instrText>
      </w:r>
      <w:r w:rsidRPr="004B2E4E">
        <w:rPr>
          <w:noProof/>
        </w:rPr>
      </w:r>
      <w:r w:rsidRPr="004B2E4E">
        <w:rPr>
          <w:noProof/>
        </w:rPr>
        <w:fldChar w:fldCharType="separate"/>
      </w:r>
      <w:r w:rsidR="00FA29AF">
        <w:rPr>
          <w:noProof/>
        </w:rPr>
        <w:t>46</w:t>
      </w:r>
      <w:r w:rsidRPr="004B2E4E">
        <w:rPr>
          <w:noProof/>
        </w:rPr>
        <w:fldChar w:fldCharType="end"/>
      </w:r>
    </w:p>
    <w:p w14:paraId="2C619578" w14:textId="77777777" w:rsidR="004B2E4E" w:rsidRPr="004B2E4E" w:rsidRDefault="004B2E4E">
      <w:pPr>
        <w:pStyle w:val="Zoznamobrzkov"/>
        <w:tabs>
          <w:tab w:val="right" w:leader="dot" w:pos="9080"/>
        </w:tabs>
        <w:rPr>
          <w:rFonts w:asciiTheme="minorHAnsi" w:eastAsiaTheme="minorEastAsia" w:hAnsiTheme="minorHAnsi"/>
          <w:noProof/>
          <w:lang w:eastAsia="sk-SK"/>
        </w:rPr>
      </w:pPr>
      <w:r w:rsidRPr="004B2E4E">
        <w:rPr>
          <w:noProof/>
        </w:rPr>
        <w:t xml:space="preserve">Tabuľka 6: </w:t>
      </w:r>
      <w:r w:rsidRPr="004B2E4E">
        <w:rPr>
          <w:rFonts w:eastAsia="Arial Narrow" w:cs="Arial Narrow"/>
          <w:noProof/>
          <w:color w:val="000000"/>
        </w:rPr>
        <w:t>Základné údaje o poskytovateľoch služby včasnej intervencie, 2018</w:t>
      </w:r>
      <w:r w:rsidRPr="004B2E4E">
        <w:rPr>
          <w:noProof/>
        </w:rPr>
        <w:tab/>
      </w:r>
      <w:r w:rsidRPr="004B2E4E">
        <w:rPr>
          <w:noProof/>
        </w:rPr>
        <w:fldChar w:fldCharType="begin"/>
      </w:r>
      <w:r w:rsidRPr="004B2E4E">
        <w:rPr>
          <w:noProof/>
        </w:rPr>
        <w:instrText xml:space="preserve"> PAGEREF _Toc34156845 \h </w:instrText>
      </w:r>
      <w:r w:rsidRPr="004B2E4E">
        <w:rPr>
          <w:noProof/>
        </w:rPr>
      </w:r>
      <w:r w:rsidRPr="004B2E4E">
        <w:rPr>
          <w:noProof/>
        </w:rPr>
        <w:fldChar w:fldCharType="separate"/>
      </w:r>
      <w:r w:rsidR="00FA29AF">
        <w:rPr>
          <w:noProof/>
        </w:rPr>
        <w:t>51</w:t>
      </w:r>
      <w:r w:rsidRPr="004B2E4E">
        <w:rPr>
          <w:noProof/>
        </w:rPr>
        <w:fldChar w:fldCharType="end"/>
      </w:r>
    </w:p>
    <w:p w14:paraId="36AFDA30" w14:textId="77777777" w:rsidR="004B2E4E" w:rsidRPr="004B2E4E" w:rsidRDefault="004B2E4E">
      <w:pPr>
        <w:pStyle w:val="Zoznamobrzkov"/>
        <w:tabs>
          <w:tab w:val="right" w:leader="dot" w:pos="9080"/>
        </w:tabs>
        <w:rPr>
          <w:rFonts w:asciiTheme="minorHAnsi" w:eastAsiaTheme="minorEastAsia" w:hAnsiTheme="minorHAnsi"/>
          <w:noProof/>
          <w:lang w:eastAsia="sk-SK"/>
        </w:rPr>
      </w:pPr>
      <w:r w:rsidRPr="004B2E4E">
        <w:rPr>
          <w:noProof/>
        </w:rPr>
        <w:t xml:space="preserve">Tabuľka 7: </w:t>
      </w:r>
      <w:r w:rsidRPr="004B2E4E">
        <w:rPr>
          <w:noProof/>
          <w:color w:val="000000"/>
        </w:rPr>
        <w:t>Základné údaje o Centrách špeciálno-pedagogického poradenstva, 2018</w:t>
      </w:r>
      <w:r w:rsidRPr="004B2E4E">
        <w:rPr>
          <w:noProof/>
        </w:rPr>
        <w:tab/>
      </w:r>
      <w:r w:rsidRPr="004B2E4E">
        <w:rPr>
          <w:noProof/>
        </w:rPr>
        <w:fldChar w:fldCharType="begin"/>
      </w:r>
      <w:r w:rsidRPr="004B2E4E">
        <w:rPr>
          <w:noProof/>
        </w:rPr>
        <w:instrText xml:space="preserve"> PAGEREF _Toc34156846 \h </w:instrText>
      </w:r>
      <w:r w:rsidRPr="004B2E4E">
        <w:rPr>
          <w:noProof/>
        </w:rPr>
      </w:r>
      <w:r w:rsidRPr="004B2E4E">
        <w:rPr>
          <w:noProof/>
        </w:rPr>
        <w:fldChar w:fldCharType="separate"/>
      </w:r>
      <w:r w:rsidR="00FA29AF">
        <w:rPr>
          <w:noProof/>
        </w:rPr>
        <w:t>52</w:t>
      </w:r>
      <w:r w:rsidRPr="004B2E4E">
        <w:rPr>
          <w:noProof/>
        </w:rPr>
        <w:fldChar w:fldCharType="end"/>
      </w:r>
    </w:p>
    <w:p w14:paraId="135222C1" w14:textId="77777777" w:rsidR="004B2E4E" w:rsidRPr="004B2E4E" w:rsidRDefault="004B2E4E">
      <w:pPr>
        <w:pStyle w:val="Zoznamobrzkov"/>
        <w:tabs>
          <w:tab w:val="right" w:leader="dot" w:pos="9080"/>
        </w:tabs>
        <w:rPr>
          <w:rFonts w:asciiTheme="minorHAnsi" w:eastAsiaTheme="minorEastAsia" w:hAnsiTheme="minorHAnsi"/>
          <w:noProof/>
          <w:lang w:eastAsia="sk-SK"/>
        </w:rPr>
      </w:pPr>
      <w:r w:rsidRPr="004B2E4E">
        <w:rPr>
          <w:noProof/>
        </w:rPr>
        <w:t>Tabuľka 8: Prehľad podpory pre deti v materských školách (2019)</w:t>
      </w:r>
      <w:r w:rsidRPr="004B2E4E">
        <w:rPr>
          <w:noProof/>
        </w:rPr>
        <w:tab/>
      </w:r>
      <w:r w:rsidRPr="004B2E4E">
        <w:rPr>
          <w:noProof/>
        </w:rPr>
        <w:fldChar w:fldCharType="begin"/>
      </w:r>
      <w:r w:rsidRPr="004B2E4E">
        <w:rPr>
          <w:noProof/>
        </w:rPr>
        <w:instrText xml:space="preserve"> PAGEREF _Toc34156847 \h </w:instrText>
      </w:r>
      <w:r w:rsidRPr="004B2E4E">
        <w:rPr>
          <w:noProof/>
        </w:rPr>
      </w:r>
      <w:r w:rsidRPr="004B2E4E">
        <w:rPr>
          <w:noProof/>
        </w:rPr>
        <w:fldChar w:fldCharType="separate"/>
      </w:r>
      <w:r w:rsidR="00FA29AF">
        <w:rPr>
          <w:noProof/>
        </w:rPr>
        <w:t>59</w:t>
      </w:r>
      <w:r w:rsidRPr="004B2E4E">
        <w:rPr>
          <w:noProof/>
        </w:rPr>
        <w:fldChar w:fldCharType="end"/>
      </w:r>
    </w:p>
    <w:p w14:paraId="510C0C3F" w14:textId="77777777" w:rsidR="004B2E4E" w:rsidRPr="004B2E4E" w:rsidRDefault="004B2E4E">
      <w:pPr>
        <w:pStyle w:val="Zoznamobrzkov"/>
        <w:tabs>
          <w:tab w:val="right" w:leader="dot" w:pos="9080"/>
        </w:tabs>
        <w:rPr>
          <w:rFonts w:asciiTheme="minorHAnsi" w:eastAsiaTheme="minorEastAsia" w:hAnsiTheme="minorHAnsi"/>
          <w:noProof/>
          <w:lang w:eastAsia="sk-SK"/>
        </w:rPr>
      </w:pPr>
      <w:r w:rsidRPr="004B2E4E">
        <w:rPr>
          <w:noProof/>
        </w:rPr>
        <w:t>Tabuľka 9: Podiel žiakov podľa príslušnosti k SZP a MRK, ktorí opakovali ročník v š. r. 2018/19 (%)</w:t>
      </w:r>
      <w:r w:rsidRPr="004B2E4E">
        <w:rPr>
          <w:noProof/>
        </w:rPr>
        <w:tab/>
      </w:r>
      <w:r w:rsidRPr="004B2E4E">
        <w:rPr>
          <w:noProof/>
        </w:rPr>
        <w:fldChar w:fldCharType="begin"/>
      </w:r>
      <w:r w:rsidRPr="004B2E4E">
        <w:rPr>
          <w:noProof/>
        </w:rPr>
        <w:instrText xml:space="preserve"> PAGEREF _Toc34156848 \h </w:instrText>
      </w:r>
      <w:r w:rsidRPr="004B2E4E">
        <w:rPr>
          <w:noProof/>
        </w:rPr>
      </w:r>
      <w:r w:rsidRPr="004B2E4E">
        <w:rPr>
          <w:noProof/>
        </w:rPr>
        <w:fldChar w:fldCharType="separate"/>
      </w:r>
      <w:r w:rsidR="00FA29AF">
        <w:rPr>
          <w:noProof/>
        </w:rPr>
        <w:t>64</w:t>
      </w:r>
      <w:r w:rsidRPr="004B2E4E">
        <w:rPr>
          <w:noProof/>
        </w:rPr>
        <w:fldChar w:fldCharType="end"/>
      </w:r>
    </w:p>
    <w:p w14:paraId="563EA753" w14:textId="77777777" w:rsidR="004B2E4E" w:rsidRPr="004B2E4E" w:rsidRDefault="004B2E4E">
      <w:pPr>
        <w:pStyle w:val="Zoznamobrzkov"/>
        <w:tabs>
          <w:tab w:val="right" w:leader="dot" w:pos="9080"/>
        </w:tabs>
        <w:rPr>
          <w:rFonts w:asciiTheme="minorHAnsi" w:eastAsiaTheme="minorEastAsia" w:hAnsiTheme="minorHAnsi"/>
          <w:noProof/>
          <w:lang w:eastAsia="sk-SK"/>
        </w:rPr>
      </w:pPr>
      <w:r w:rsidRPr="004B2E4E">
        <w:rPr>
          <w:noProof/>
        </w:rPr>
        <w:t xml:space="preserve">Tabuľka 10: Podiel žiakov </w:t>
      </w:r>
      <w:r w:rsidRPr="004B2E4E">
        <w:rPr>
          <w:noProof/>
          <w:color w:val="000000"/>
        </w:rPr>
        <w:t xml:space="preserve">podľa PHN a MRK, ktorí sú </w:t>
      </w:r>
      <w:r w:rsidRPr="004B2E4E">
        <w:rPr>
          <w:noProof/>
        </w:rPr>
        <w:t>v špeciálnom školstve v š. r. 2018/19 (%)</w:t>
      </w:r>
      <w:r w:rsidRPr="004B2E4E">
        <w:rPr>
          <w:noProof/>
        </w:rPr>
        <w:tab/>
      </w:r>
      <w:r w:rsidRPr="004B2E4E">
        <w:rPr>
          <w:noProof/>
        </w:rPr>
        <w:fldChar w:fldCharType="begin"/>
      </w:r>
      <w:r w:rsidRPr="004B2E4E">
        <w:rPr>
          <w:noProof/>
        </w:rPr>
        <w:instrText xml:space="preserve"> PAGEREF _Toc34156849 \h </w:instrText>
      </w:r>
      <w:r w:rsidRPr="004B2E4E">
        <w:rPr>
          <w:noProof/>
        </w:rPr>
      </w:r>
      <w:r w:rsidRPr="004B2E4E">
        <w:rPr>
          <w:noProof/>
        </w:rPr>
        <w:fldChar w:fldCharType="separate"/>
      </w:r>
      <w:r w:rsidR="00FA29AF">
        <w:rPr>
          <w:noProof/>
        </w:rPr>
        <w:t>65</w:t>
      </w:r>
      <w:r w:rsidRPr="004B2E4E">
        <w:rPr>
          <w:noProof/>
        </w:rPr>
        <w:fldChar w:fldCharType="end"/>
      </w:r>
    </w:p>
    <w:p w14:paraId="3CA5FE35" w14:textId="77777777" w:rsidR="004B2E4E" w:rsidRPr="004B2E4E" w:rsidRDefault="004B2E4E">
      <w:pPr>
        <w:pStyle w:val="Zoznamobrzkov"/>
        <w:tabs>
          <w:tab w:val="right" w:leader="dot" w:pos="9080"/>
        </w:tabs>
        <w:rPr>
          <w:rFonts w:asciiTheme="minorHAnsi" w:eastAsiaTheme="minorEastAsia" w:hAnsiTheme="minorHAnsi"/>
          <w:noProof/>
          <w:lang w:eastAsia="sk-SK"/>
        </w:rPr>
      </w:pPr>
      <w:r w:rsidRPr="004B2E4E">
        <w:rPr>
          <w:noProof/>
        </w:rPr>
        <w:t>Tabuľka 11: Podiel 6-ročných žiakov podľa príslušnosti k SZP a MRK, ktorí sú v 0. ročníku v š.r. 2018/19 (%)</w:t>
      </w:r>
      <w:r w:rsidRPr="004B2E4E">
        <w:rPr>
          <w:noProof/>
        </w:rPr>
        <w:tab/>
      </w:r>
      <w:r w:rsidRPr="004B2E4E">
        <w:rPr>
          <w:noProof/>
        </w:rPr>
        <w:fldChar w:fldCharType="begin"/>
      </w:r>
      <w:r w:rsidRPr="004B2E4E">
        <w:rPr>
          <w:noProof/>
        </w:rPr>
        <w:instrText xml:space="preserve"> PAGEREF _Toc34156850 \h </w:instrText>
      </w:r>
      <w:r w:rsidRPr="004B2E4E">
        <w:rPr>
          <w:noProof/>
        </w:rPr>
      </w:r>
      <w:r w:rsidRPr="004B2E4E">
        <w:rPr>
          <w:noProof/>
        </w:rPr>
        <w:fldChar w:fldCharType="separate"/>
      </w:r>
      <w:r w:rsidR="00FA29AF">
        <w:rPr>
          <w:noProof/>
        </w:rPr>
        <w:t>66</w:t>
      </w:r>
      <w:r w:rsidRPr="004B2E4E">
        <w:rPr>
          <w:noProof/>
        </w:rPr>
        <w:fldChar w:fldCharType="end"/>
      </w:r>
    </w:p>
    <w:p w14:paraId="4716160A" w14:textId="77777777" w:rsidR="004B2E4E" w:rsidRPr="004B2E4E" w:rsidRDefault="004B2E4E">
      <w:pPr>
        <w:pStyle w:val="Zoznamobrzkov"/>
        <w:tabs>
          <w:tab w:val="right" w:leader="dot" w:pos="9080"/>
        </w:tabs>
        <w:rPr>
          <w:rFonts w:asciiTheme="minorHAnsi" w:eastAsiaTheme="minorEastAsia" w:hAnsiTheme="minorHAnsi"/>
          <w:noProof/>
          <w:lang w:eastAsia="sk-SK"/>
        </w:rPr>
      </w:pPr>
      <w:r w:rsidRPr="004B2E4E">
        <w:rPr>
          <w:bCs/>
          <w:noProof/>
        </w:rPr>
        <w:t>Tabuľka 12: Vývoj SZP príspevku</w:t>
      </w:r>
      <w:r w:rsidRPr="004B2E4E">
        <w:rPr>
          <w:noProof/>
        </w:rPr>
        <w:tab/>
      </w:r>
      <w:r w:rsidRPr="004B2E4E">
        <w:rPr>
          <w:noProof/>
        </w:rPr>
        <w:fldChar w:fldCharType="begin"/>
      </w:r>
      <w:r w:rsidRPr="004B2E4E">
        <w:rPr>
          <w:noProof/>
        </w:rPr>
        <w:instrText xml:space="preserve"> PAGEREF _Toc34156851 \h </w:instrText>
      </w:r>
      <w:r w:rsidRPr="004B2E4E">
        <w:rPr>
          <w:noProof/>
        </w:rPr>
      </w:r>
      <w:r w:rsidRPr="004B2E4E">
        <w:rPr>
          <w:noProof/>
        </w:rPr>
        <w:fldChar w:fldCharType="separate"/>
      </w:r>
      <w:r w:rsidR="00FA29AF">
        <w:rPr>
          <w:noProof/>
        </w:rPr>
        <w:t>68</w:t>
      </w:r>
      <w:r w:rsidRPr="004B2E4E">
        <w:rPr>
          <w:noProof/>
        </w:rPr>
        <w:fldChar w:fldCharType="end"/>
      </w:r>
    </w:p>
    <w:p w14:paraId="35584EDB" w14:textId="77777777" w:rsidR="004B2E4E" w:rsidRPr="004B2E4E" w:rsidRDefault="004B2E4E">
      <w:pPr>
        <w:pStyle w:val="Zoznamobrzkov"/>
        <w:tabs>
          <w:tab w:val="right" w:leader="dot" w:pos="9080"/>
        </w:tabs>
        <w:rPr>
          <w:rFonts w:asciiTheme="minorHAnsi" w:eastAsiaTheme="minorEastAsia" w:hAnsiTheme="minorHAnsi"/>
          <w:noProof/>
          <w:lang w:eastAsia="sk-SK"/>
        </w:rPr>
      </w:pPr>
      <w:r w:rsidRPr="004B2E4E">
        <w:rPr>
          <w:noProof/>
        </w:rPr>
        <w:t>Tabuľka 13: Podiel žiakov s ukončenou PŠD v š. r. 2017/18 nepokračujúcich vo vzdelávaní (%)</w:t>
      </w:r>
      <w:r w:rsidRPr="004B2E4E">
        <w:rPr>
          <w:noProof/>
        </w:rPr>
        <w:tab/>
      </w:r>
      <w:r w:rsidRPr="004B2E4E">
        <w:rPr>
          <w:noProof/>
        </w:rPr>
        <w:fldChar w:fldCharType="begin"/>
      </w:r>
      <w:r w:rsidRPr="004B2E4E">
        <w:rPr>
          <w:noProof/>
        </w:rPr>
        <w:instrText xml:space="preserve"> PAGEREF _Toc34156852 \h </w:instrText>
      </w:r>
      <w:r w:rsidRPr="004B2E4E">
        <w:rPr>
          <w:noProof/>
        </w:rPr>
      </w:r>
      <w:r w:rsidRPr="004B2E4E">
        <w:rPr>
          <w:noProof/>
        </w:rPr>
        <w:fldChar w:fldCharType="separate"/>
      </w:r>
      <w:r w:rsidR="00FA29AF">
        <w:rPr>
          <w:noProof/>
        </w:rPr>
        <w:t>74</w:t>
      </w:r>
      <w:r w:rsidRPr="004B2E4E">
        <w:rPr>
          <w:noProof/>
        </w:rPr>
        <w:fldChar w:fldCharType="end"/>
      </w:r>
    </w:p>
    <w:p w14:paraId="17D5FD81" w14:textId="77777777" w:rsidR="004B2E4E" w:rsidRPr="004B2E4E" w:rsidRDefault="004B2E4E">
      <w:pPr>
        <w:pStyle w:val="Zoznamobrzkov"/>
        <w:tabs>
          <w:tab w:val="right" w:leader="dot" w:pos="9080"/>
        </w:tabs>
        <w:rPr>
          <w:rFonts w:asciiTheme="minorHAnsi" w:eastAsiaTheme="minorEastAsia" w:hAnsiTheme="minorHAnsi"/>
          <w:noProof/>
          <w:lang w:eastAsia="sk-SK"/>
        </w:rPr>
      </w:pPr>
      <w:r w:rsidRPr="004B2E4E">
        <w:rPr>
          <w:noProof/>
        </w:rPr>
        <w:t>Tabuľka 14: Podiel 16-ročných detí vo vzdelávacom systéme v š. r. 2018/19 (%)</w:t>
      </w:r>
      <w:r w:rsidRPr="004B2E4E">
        <w:rPr>
          <w:noProof/>
        </w:rPr>
        <w:tab/>
      </w:r>
      <w:r w:rsidRPr="004B2E4E">
        <w:rPr>
          <w:noProof/>
        </w:rPr>
        <w:fldChar w:fldCharType="begin"/>
      </w:r>
      <w:r w:rsidRPr="004B2E4E">
        <w:rPr>
          <w:noProof/>
        </w:rPr>
        <w:instrText xml:space="preserve"> PAGEREF _Toc34156853 \h </w:instrText>
      </w:r>
      <w:r w:rsidRPr="004B2E4E">
        <w:rPr>
          <w:noProof/>
        </w:rPr>
      </w:r>
      <w:r w:rsidRPr="004B2E4E">
        <w:rPr>
          <w:noProof/>
        </w:rPr>
        <w:fldChar w:fldCharType="separate"/>
      </w:r>
      <w:r w:rsidR="00FA29AF">
        <w:rPr>
          <w:noProof/>
        </w:rPr>
        <w:t>78</w:t>
      </w:r>
      <w:r w:rsidRPr="004B2E4E">
        <w:rPr>
          <w:noProof/>
        </w:rPr>
        <w:fldChar w:fldCharType="end"/>
      </w:r>
    </w:p>
    <w:p w14:paraId="076AFE75" w14:textId="77777777" w:rsidR="004B2E4E" w:rsidRPr="004B2E4E" w:rsidRDefault="004B2E4E">
      <w:pPr>
        <w:pStyle w:val="Zoznamobrzkov"/>
        <w:tabs>
          <w:tab w:val="right" w:leader="dot" w:pos="9080"/>
        </w:tabs>
        <w:rPr>
          <w:rFonts w:asciiTheme="minorHAnsi" w:eastAsiaTheme="minorEastAsia" w:hAnsiTheme="minorHAnsi"/>
          <w:noProof/>
          <w:lang w:eastAsia="sk-SK"/>
        </w:rPr>
      </w:pPr>
      <w:r w:rsidRPr="004B2E4E">
        <w:rPr>
          <w:noProof/>
        </w:rPr>
        <w:t>Tabuľka 15</w:t>
      </w:r>
      <w:r w:rsidRPr="004B2E4E">
        <w:rPr>
          <w:iCs/>
          <w:noProof/>
        </w:rPr>
        <w:t>: Podiel 19 až 23-ročných ľudí podľa PHN a MRK, ktorí sú alebo boli zapísaní na VŠ v SR (%)</w:t>
      </w:r>
      <w:r w:rsidRPr="004B2E4E">
        <w:rPr>
          <w:noProof/>
        </w:rPr>
        <w:tab/>
      </w:r>
      <w:r w:rsidRPr="004B2E4E">
        <w:rPr>
          <w:noProof/>
        </w:rPr>
        <w:fldChar w:fldCharType="begin"/>
      </w:r>
      <w:r w:rsidRPr="004B2E4E">
        <w:rPr>
          <w:noProof/>
        </w:rPr>
        <w:instrText xml:space="preserve"> PAGEREF _Toc34156854 \h </w:instrText>
      </w:r>
      <w:r w:rsidRPr="004B2E4E">
        <w:rPr>
          <w:noProof/>
        </w:rPr>
      </w:r>
      <w:r w:rsidRPr="004B2E4E">
        <w:rPr>
          <w:noProof/>
        </w:rPr>
        <w:fldChar w:fldCharType="separate"/>
      </w:r>
      <w:r w:rsidR="00FA29AF">
        <w:rPr>
          <w:noProof/>
        </w:rPr>
        <w:t>79</w:t>
      </w:r>
      <w:r w:rsidRPr="004B2E4E">
        <w:rPr>
          <w:noProof/>
        </w:rPr>
        <w:fldChar w:fldCharType="end"/>
      </w:r>
    </w:p>
    <w:p w14:paraId="2EB071A6" w14:textId="77777777" w:rsidR="004B2E4E" w:rsidRPr="004B2E4E" w:rsidRDefault="004B2E4E">
      <w:pPr>
        <w:pStyle w:val="Zoznamobrzkov"/>
        <w:tabs>
          <w:tab w:val="right" w:leader="dot" w:pos="9080"/>
        </w:tabs>
        <w:rPr>
          <w:rFonts w:asciiTheme="minorHAnsi" w:eastAsiaTheme="minorEastAsia" w:hAnsiTheme="minorHAnsi"/>
          <w:noProof/>
          <w:lang w:eastAsia="sk-SK"/>
        </w:rPr>
      </w:pPr>
      <w:r w:rsidRPr="004B2E4E">
        <w:rPr>
          <w:noProof/>
        </w:rPr>
        <w:t>Tabuľka 16:</w:t>
      </w:r>
      <w:r w:rsidRPr="004B2E4E">
        <w:rPr>
          <w:bCs/>
          <w:noProof/>
        </w:rPr>
        <w:t xml:space="preserve"> Počet žiakov so ZZ v základných školách podľa druhu ZZ (2018)</w:t>
      </w:r>
      <w:r w:rsidRPr="004B2E4E">
        <w:rPr>
          <w:noProof/>
        </w:rPr>
        <w:tab/>
      </w:r>
      <w:r w:rsidRPr="004B2E4E">
        <w:rPr>
          <w:noProof/>
        </w:rPr>
        <w:fldChar w:fldCharType="begin"/>
      </w:r>
      <w:r w:rsidRPr="004B2E4E">
        <w:rPr>
          <w:noProof/>
        </w:rPr>
        <w:instrText xml:space="preserve"> PAGEREF _Toc34156855 \h </w:instrText>
      </w:r>
      <w:r w:rsidRPr="004B2E4E">
        <w:rPr>
          <w:noProof/>
        </w:rPr>
      </w:r>
      <w:r w:rsidRPr="004B2E4E">
        <w:rPr>
          <w:noProof/>
        </w:rPr>
        <w:fldChar w:fldCharType="separate"/>
      </w:r>
      <w:r w:rsidR="00FA29AF">
        <w:rPr>
          <w:noProof/>
        </w:rPr>
        <w:t>89</w:t>
      </w:r>
      <w:r w:rsidRPr="004B2E4E">
        <w:rPr>
          <w:noProof/>
        </w:rPr>
        <w:fldChar w:fldCharType="end"/>
      </w:r>
    </w:p>
    <w:p w14:paraId="4204A80C" w14:textId="77777777" w:rsidR="004B2E4E" w:rsidRPr="004B2E4E" w:rsidRDefault="004B2E4E">
      <w:pPr>
        <w:pStyle w:val="Zoznamobrzkov"/>
        <w:tabs>
          <w:tab w:val="right" w:leader="dot" w:pos="9080"/>
        </w:tabs>
        <w:rPr>
          <w:rFonts w:asciiTheme="minorHAnsi" w:eastAsiaTheme="minorEastAsia" w:hAnsiTheme="minorHAnsi"/>
          <w:noProof/>
          <w:lang w:eastAsia="sk-SK"/>
        </w:rPr>
      </w:pPr>
      <w:r w:rsidRPr="004B2E4E">
        <w:rPr>
          <w:noProof/>
        </w:rPr>
        <w:t>Tabuľka 17: Rozdelenie skupín žiakov podľa druhu zdrav. znevýhodnenia a spôsobu vzdelávania (%)</w:t>
      </w:r>
      <w:r w:rsidRPr="004B2E4E">
        <w:rPr>
          <w:noProof/>
        </w:rPr>
        <w:tab/>
      </w:r>
      <w:r w:rsidRPr="004B2E4E">
        <w:rPr>
          <w:noProof/>
        </w:rPr>
        <w:fldChar w:fldCharType="begin"/>
      </w:r>
      <w:r w:rsidRPr="004B2E4E">
        <w:rPr>
          <w:noProof/>
        </w:rPr>
        <w:instrText xml:space="preserve"> PAGEREF _Toc34156856 \h </w:instrText>
      </w:r>
      <w:r w:rsidRPr="004B2E4E">
        <w:rPr>
          <w:noProof/>
        </w:rPr>
      </w:r>
      <w:r w:rsidRPr="004B2E4E">
        <w:rPr>
          <w:noProof/>
        </w:rPr>
        <w:fldChar w:fldCharType="separate"/>
      </w:r>
      <w:r w:rsidR="00FA29AF">
        <w:rPr>
          <w:noProof/>
        </w:rPr>
        <w:t>90</w:t>
      </w:r>
      <w:r w:rsidRPr="004B2E4E">
        <w:rPr>
          <w:noProof/>
        </w:rPr>
        <w:fldChar w:fldCharType="end"/>
      </w:r>
    </w:p>
    <w:p w14:paraId="47AFBDC9" w14:textId="77777777" w:rsidR="004B2E4E" w:rsidRPr="004B2E4E" w:rsidRDefault="004B2E4E">
      <w:pPr>
        <w:pStyle w:val="Zoznamobrzkov"/>
        <w:tabs>
          <w:tab w:val="right" w:leader="dot" w:pos="9080"/>
        </w:tabs>
        <w:rPr>
          <w:rFonts w:asciiTheme="minorHAnsi" w:eastAsiaTheme="minorEastAsia" w:hAnsiTheme="minorHAnsi"/>
          <w:noProof/>
          <w:lang w:eastAsia="sk-SK"/>
        </w:rPr>
      </w:pPr>
      <w:r w:rsidRPr="004B2E4E">
        <w:rPr>
          <w:noProof/>
        </w:rPr>
        <w:t>Tabuľka 18: Výsledky Testovania T9 (2018) – Priemerná úspešnosť (%)</w:t>
      </w:r>
      <w:r w:rsidRPr="004B2E4E">
        <w:rPr>
          <w:noProof/>
        </w:rPr>
        <w:tab/>
      </w:r>
      <w:r w:rsidRPr="004B2E4E">
        <w:rPr>
          <w:noProof/>
        </w:rPr>
        <w:fldChar w:fldCharType="begin"/>
      </w:r>
      <w:r w:rsidRPr="004B2E4E">
        <w:rPr>
          <w:noProof/>
        </w:rPr>
        <w:instrText xml:space="preserve"> PAGEREF _Toc34156857 \h </w:instrText>
      </w:r>
      <w:r w:rsidRPr="004B2E4E">
        <w:rPr>
          <w:noProof/>
        </w:rPr>
      </w:r>
      <w:r w:rsidRPr="004B2E4E">
        <w:rPr>
          <w:noProof/>
        </w:rPr>
        <w:fldChar w:fldCharType="separate"/>
      </w:r>
      <w:r w:rsidR="00FA29AF">
        <w:rPr>
          <w:noProof/>
        </w:rPr>
        <w:t>91</w:t>
      </w:r>
      <w:r w:rsidRPr="004B2E4E">
        <w:rPr>
          <w:noProof/>
        </w:rPr>
        <w:fldChar w:fldCharType="end"/>
      </w:r>
    </w:p>
    <w:p w14:paraId="3C10914D" w14:textId="77777777" w:rsidR="004B2E4E" w:rsidRPr="004B2E4E" w:rsidRDefault="004B2E4E">
      <w:pPr>
        <w:pStyle w:val="Zoznamobrzkov"/>
        <w:tabs>
          <w:tab w:val="right" w:leader="dot" w:pos="9080"/>
        </w:tabs>
        <w:rPr>
          <w:rFonts w:asciiTheme="minorHAnsi" w:eastAsiaTheme="minorEastAsia" w:hAnsiTheme="minorHAnsi"/>
          <w:noProof/>
          <w:lang w:eastAsia="sk-SK"/>
        </w:rPr>
      </w:pPr>
      <w:r w:rsidRPr="004B2E4E">
        <w:rPr>
          <w:noProof/>
        </w:rPr>
        <w:t>Tabuľka 19: Miera PUŠD žiakov so ZZ podľa vzdelávacieho prúdu (2017/18)</w:t>
      </w:r>
      <w:r w:rsidRPr="004B2E4E">
        <w:rPr>
          <w:noProof/>
        </w:rPr>
        <w:tab/>
      </w:r>
      <w:r w:rsidRPr="004B2E4E">
        <w:rPr>
          <w:noProof/>
        </w:rPr>
        <w:fldChar w:fldCharType="begin"/>
      </w:r>
      <w:r w:rsidRPr="004B2E4E">
        <w:rPr>
          <w:noProof/>
        </w:rPr>
        <w:instrText xml:space="preserve"> PAGEREF _Toc34156858 \h </w:instrText>
      </w:r>
      <w:r w:rsidRPr="004B2E4E">
        <w:rPr>
          <w:noProof/>
        </w:rPr>
      </w:r>
      <w:r w:rsidRPr="004B2E4E">
        <w:rPr>
          <w:noProof/>
        </w:rPr>
        <w:fldChar w:fldCharType="separate"/>
      </w:r>
      <w:r w:rsidR="00FA29AF">
        <w:rPr>
          <w:noProof/>
        </w:rPr>
        <w:t>104</w:t>
      </w:r>
      <w:r w:rsidRPr="004B2E4E">
        <w:rPr>
          <w:noProof/>
        </w:rPr>
        <w:fldChar w:fldCharType="end"/>
      </w:r>
    </w:p>
    <w:p w14:paraId="62A3032C" w14:textId="77777777" w:rsidR="004B2E4E" w:rsidRPr="004B2E4E" w:rsidRDefault="004B2E4E">
      <w:pPr>
        <w:pStyle w:val="Zoznamobrzkov"/>
        <w:tabs>
          <w:tab w:val="right" w:leader="dot" w:pos="9080"/>
        </w:tabs>
        <w:rPr>
          <w:rFonts w:asciiTheme="minorHAnsi" w:eastAsiaTheme="minorEastAsia" w:hAnsiTheme="minorHAnsi"/>
          <w:noProof/>
          <w:lang w:eastAsia="sk-SK"/>
        </w:rPr>
      </w:pPr>
      <w:r w:rsidRPr="004B2E4E">
        <w:rPr>
          <w:noProof/>
        </w:rPr>
        <w:t xml:space="preserve">Tabuľka 20: </w:t>
      </w:r>
      <w:r w:rsidRPr="004B2E4E">
        <w:rPr>
          <w:bCs/>
          <w:noProof/>
        </w:rPr>
        <w:t>Počet žiakov so ZZ v stredných školách podľa druhu ZZ, 2018</w:t>
      </w:r>
      <w:r w:rsidRPr="004B2E4E">
        <w:rPr>
          <w:noProof/>
        </w:rPr>
        <w:tab/>
      </w:r>
      <w:r w:rsidRPr="004B2E4E">
        <w:rPr>
          <w:noProof/>
        </w:rPr>
        <w:fldChar w:fldCharType="begin"/>
      </w:r>
      <w:r w:rsidRPr="004B2E4E">
        <w:rPr>
          <w:noProof/>
        </w:rPr>
        <w:instrText xml:space="preserve"> PAGEREF _Toc34156859 \h </w:instrText>
      </w:r>
      <w:r w:rsidRPr="004B2E4E">
        <w:rPr>
          <w:noProof/>
        </w:rPr>
      </w:r>
      <w:r w:rsidRPr="004B2E4E">
        <w:rPr>
          <w:noProof/>
        </w:rPr>
        <w:fldChar w:fldCharType="separate"/>
      </w:r>
      <w:r w:rsidR="00FA29AF">
        <w:rPr>
          <w:noProof/>
        </w:rPr>
        <w:t>104</w:t>
      </w:r>
      <w:r w:rsidRPr="004B2E4E">
        <w:rPr>
          <w:noProof/>
        </w:rPr>
        <w:fldChar w:fldCharType="end"/>
      </w:r>
    </w:p>
    <w:p w14:paraId="22BDA4C6" w14:textId="77777777" w:rsidR="004B2E4E" w:rsidRPr="004B2E4E" w:rsidRDefault="004B2E4E">
      <w:pPr>
        <w:pStyle w:val="Zoznamobrzkov"/>
        <w:tabs>
          <w:tab w:val="right" w:leader="dot" w:pos="9080"/>
        </w:tabs>
        <w:rPr>
          <w:rFonts w:asciiTheme="minorHAnsi" w:eastAsiaTheme="minorEastAsia" w:hAnsiTheme="minorHAnsi"/>
          <w:noProof/>
          <w:lang w:eastAsia="sk-SK"/>
        </w:rPr>
      </w:pPr>
      <w:r w:rsidRPr="004B2E4E">
        <w:rPr>
          <w:noProof/>
        </w:rPr>
        <w:t>Tabuľka 21:</w:t>
      </w:r>
      <w:r w:rsidRPr="004B2E4E">
        <w:rPr>
          <w:bCs/>
          <w:noProof/>
        </w:rPr>
        <w:t xml:space="preserve"> Zastúpenie žiakov bez ZZ a so ZZ na jednotlivých druhoch bežných stredných škôl (%)</w:t>
      </w:r>
      <w:r w:rsidRPr="004B2E4E">
        <w:rPr>
          <w:noProof/>
        </w:rPr>
        <w:tab/>
      </w:r>
      <w:r w:rsidRPr="004B2E4E">
        <w:rPr>
          <w:noProof/>
        </w:rPr>
        <w:fldChar w:fldCharType="begin"/>
      </w:r>
      <w:r w:rsidRPr="004B2E4E">
        <w:rPr>
          <w:noProof/>
        </w:rPr>
        <w:instrText xml:space="preserve"> PAGEREF _Toc34156860 \h </w:instrText>
      </w:r>
      <w:r w:rsidRPr="004B2E4E">
        <w:rPr>
          <w:noProof/>
        </w:rPr>
      </w:r>
      <w:r w:rsidRPr="004B2E4E">
        <w:rPr>
          <w:noProof/>
        </w:rPr>
        <w:fldChar w:fldCharType="separate"/>
      </w:r>
      <w:r w:rsidR="00FA29AF">
        <w:rPr>
          <w:noProof/>
        </w:rPr>
        <w:t>105</w:t>
      </w:r>
      <w:r w:rsidRPr="004B2E4E">
        <w:rPr>
          <w:noProof/>
        </w:rPr>
        <w:fldChar w:fldCharType="end"/>
      </w:r>
    </w:p>
    <w:p w14:paraId="60670815" w14:textId="77777777" w:rsidR="004B2E4E" w:rsidRPr="004B2E4E" w:rsidRDefault="004B2E4E">
      <w:pPr>
        <w:pStyle w:val="Zoznamobrzkov"/>
        <w:tabs>
          <w:tab w:val="right" w:leader="dot" w:pos="9080"/>
        </w:tabs>
        <w:rPr>
          <w:rFonts w:asciiTheme="minorHAnsi" w:eastAsiaTheme="minorEastAsia" w:hAnsiTheme="minorHAnsi"/>
          <w:noProof/>
          <w:lang w:eastAsia="sk-SK"/>
        </w:rPr>
      </w:pPr>
      <w:r w:rsidRPr="004B2E4E">
        <w:rPr>
          <w:noProof/>
        </w:rPr>
        <w:t>Tabuľka 22:</w:t>
      </w:r>
      <w:r w:rsidRPr="004B2E4E">
        <w:rPr>
          <w:bCs/>
          <w:noProof/>
        </w:rPr>
        <w:t xml:space="preserve"> Podiel študentov s jednotlivými druhmi zdravotných znevýhodnení (2018)</w:t>
      </w:r>
      <w:r w:rsidRPr="004B2E4E">
        <w:rPr>
          <w:noProof/>
        </w:rPr>
        <w:tab/>
      </w:r>
      <w:r w:rsidRPr="004B2E4E">
        <w:rPr>
          <w:noProof/>
        </w:rPr>
        <w:fldChar w:fldCharType="begin"/>
      </w:r>
      <w:r w:rsidRPr="004B2E4E">
        <w:rPr>
          <w:noProof/>
        </w:rPr>
        <w:instrText xml:space="preserve"> PAGEREF _Toc34156861 \h </w:instrText>
      </w:r>
      <w:r w:rsidRPr="004B2E4E">
        <w:rPr>
          <w:noProof/>
        </w:rPr>
      </w:r>
      <w:r w:rsidRPr="004B2E4E">
        <w:rPr>
          <w:noProof/>
        </w:rPr>
        <w:fldChar w:fldCharType="separate"/>
      </w:r>
      <w:r w:rsidR="00FA29AF">
        <w:rPr>
          <w:noProof/>
        </w:rPr>
        <w:t>108</w:t>
      </w:r>
      <w:r w:rsidRPr="004B2E4E">
        <w:rPr>
          <w:noProof/>
        </w:rPr>
        <w:fldChar w:fldCharType="end"/>
      </w:r>
    </w:p>
    <w:p w14:paraId="6BAE0AC2" w14:textId="77777777" w:rsidR="004B2E4E" w:rsidRPr="004B2E4E" w:rsidRDefault="004B2E4E">
      <w:pPr>
        <w:pStyle w:val="Zoznamobrzkov"/>
        <w:tabs>
          <w:tab w:val="right" w:leader="dot" w:pos="9080"/>
        </w:tabs>
        <w:rPr>
          <w:rFonts w:asciiTheme="minorHAnsi" w:eastAsiaTheme="minorEastAsia" w:hAnsiTheme="minorHAnsi"/>
          <w:noProof/>
          <w:lang w:eastAsia="sk-SK"/>
        </w:rPr>
      </w:pPr>
      <w:r w:rsidRPr="004B2E4E">
        <w:rPr>
          <w:noProof/>
        </w:rPr>
        <w:t>Tabuľka 23: Prehľad zamerania jednotlivých nástrojov začleňovania na trhu práce na cieľové skupiny revízie</w:t>
      </w:r>
      <w:r w:rsidRPr="004B2E4E">
        <w:rPr>
          <w:noProof/>
        </w:rPr>
        <w:tab/>
      </w:r>
      <w:r w:rsidRPr="004B2E4E">
        <w:rPr>
          <w:noProof/>
        </w:rPr>
        <w:fldChar w:fldCharType="begin"/>
      </w:r>
      <w:r w:rsidRPr="004B2E4E">
        <w:rPr>
          <w:noProof/>
        </w:rPr>
        <w:instrText xml:space="preserve"> PAGEREF _Toc34156862 \h </w:instrText>
      </w:r>
      <w:r w:rsidRPr="004B2E4E">
        <w:rPr>
          <w:noProof/>
        </w:rPr>
      </w:r>
      <w:r w:rsidRPr="004B2E4E">
        <w:rPr>
          <w:noProof/>
        </w:rPr>
        <w:fldChar w:fldCharType="separate"/>
      </w:r>
      <w:r w:rsidR="00FA29AF">
        <w:rPr>
          <w:noProof/>
        </w:rPr>
        <w:t>117</w:t>
      </w:r>
      <w:r w:rsidRPr="004B2E4E">
        <w:rPr>
          <w:noProof/>
        </w:rPr>
        <w:fldChar w:fldCharType="end"/>
      </w:r>
    </w:p>
    <w:p w14:paraId="0EDF9B5B" w14:textId="77777777" w:rsidR="004B2E4E" w:rsidRPr="004B2E4E" w:rsidRDefault="004B2E4E">
      <w:pPr>
        <w:pStyle w:val="Zoznamobrzkov"/>
        <w:tabs>
          <w:tab w:val="right" w:leader="dot" w:pos="9080"/>
        </w:tabs>
        <w:rPr>
          <w:rFonts w:asciiTheme="minorHAnsi" w:eastAsiaTheme="minorEastAsia" w:hAnsiTheme="minorHAnsi"/>
          <w:noProof/>
          <w:lang w:eastAsia="sk-SK"/>
        </w:rPr>
      </w:pPr>
      <w:r w:rsidRPr="004B2E4E">
        <w:rPr>
          <w:noProof/>
        </w:rPr>
        <w:t>Tabuľka 24: Účasť UoZ na vybratých nástrojoch AOTP okrem aktivačných prác v roku 2017 (%)</w:t>
      </w:r>
      <w:r w:rsidRPr="004B2E4E">
        <w:rPr>
          <w:noProof/>
        </w:rPr>
        <w:tab/>
      </w:r>
      <w:r w:rsidRPr="004B2E4E">
        <w:rPr>
          <w:noProof/>
        </w:rPr>
        <w:fldChar w:fldCharType="begin"/>
      </w:r>
      <w:r w:rsidRPr="004B2E4E">
        <w:rPr>
          <w:noProof/>
        </w:rPr>
        <w:instrText xml:space="preserve"> PAGEREF _Toc34156863 \h </w:instrText>
      </w:r>
      <w:r w:rsidRPr="004B2E4E">
        <w:rPr>
          <w:noProof/>
        </w:rPr>
      </w:r>
      <w:r w:rsidRPr="004B2E4E">
        <w:rPr>
          <w:noProof/>
        </w:rPr>
        <w:fldChar w:fldCharType="separate"/>
      </w:r>
      <w:r w:rsidR="00FA29AF">
        <w:rPr>
          <w:noProof/>
        </w:rPr>
        <w:t>120</w:t>
      </w:r>
      <w:r w:rsidRPr="004B2E4E">
        <w:rPr>
          <w:noProof/>
        </w:rPr>
        <w:fldChar w:fldCharType="end"/>
      </w:r>
    </w:p>
    <w:p w14:paraId="3357B4AC" w14:textId="77777777" w:rsidR="004B2E4E" w:rsidRPr="004B2E4E" w:rsidRDefault="004B2E4E">
      <w:pPr>
        <w:pStyle w:val="Zoznamobrzkov"/>
        <w:tabs>
          <w:tab w:val="right" w:leader="dot" w:pos="9080"/>
        </w:tabs>
        <w:rPr>
          <w:rFonts w:asciiTheme="minorHAnsi" w:eastAsiaTheme="minorEastAsia" w:hAnsiTheme="minorHAnsi"/>
          <w:noProof/>
          <w:lang w:eastAsia="sk-SK"/>
        </w:rPr>
      </w:pPr>
      <w:r w:rsidRPr="004B2E4E">
        <w:rPr>
          <w:noProof/>
        </w:rPr>
        <w:t>Tabuľka 25: Možnosti plnenia zákonnej povinnosti zamestnávania OZP</w:t>
      </w:r>
      <w:r w:rsidRPr="004B2E4E">
        <w:rPr>
          <w:noProof/>
        </w:rPr>
        <w:tab/>
      </w:r>
      <w:r w:rsidRPr="004B2E4E">
        <w:rPr>
          <w:noProof/>
        </w:rPr>
        <w:fldChar w:fldCharType="begin"/>
      </w:r>
      <w:r w:rsidRPr="004B2E4E">
        <w:rPr>
          <w:noProof/>
        </w:rPr>
        <w:instrText xml:space="preserve"> PAGEREF _Toc34156864 \h </w:instrText>
      </w:r>
      <w:r w:rsidRPr="004B2E4E">
        <w:rPr>
          <w:noProof/>
        </w:rPr>
      </w:r>
      <w:r w:rsidRPr="004B2E4E">
        <w:rPr>
          <w:noProof/>
        </w:rPr>
        <w:fldChar w:fldCharType="separate"/>
      </w:r>
      <w:r w:rsidR="00FA29AF">
        <w:rPr>
          <w:noProof/>
        </w:rPr>
        <w:t>129</w:t>
      </w:r>
      <w:r w:rsidRPr="004B2E4E">
        <w:rPr>
          <w:noProof/>
        </w:rPr>
        <w:fldChar w:fldCharType="end"/>
      </w:r>
    </w:p>
    <w:p w14:paraId="46BAF051" w14:textId="77777777" w:rsidR="004B2E4E" w:rsidRPr="004B2E4E" w:rsidRDefault="004B2E4E">
      <w:pPr>
        <w:pStyle w:val="Zoznamobrzkov"/>
        <w:tabs>
          <w:tab w:val="right" w:leader="dot" w:pos="9080"/>
        </w:tabs>
        <w:rPr>
          <w:rFonts w:asciiTheme="minorHAnsi" w:eastAsiaTheme="minorEastAsia" w:hAnsiTheme="minorHAnsi"/>
          <w:noProof/>
          <w:lang w:eastAsia="sk-SK"/>
        </w:rPr>
      </w:pPr>
      <w:r w:rsidRPr="004B2E4E">
        <w:rPr>
          <w:noProof/>
        </w:rPr>
        <w:t>Tabuľka 26: Systém kvót pre osoby so zdravotným znevýhodnením vo vybraných krajinách EÚ</w:t>
      </w:r>
      <w:r w:rsidRPr="004B2E4E">
        <w:rPr>
          <w:noProof/>
        </w:rPr>
        <w:tab/>
      </w:r>
      <w:r w:rsidRPr="004B2E4E">
        <w:rPr>
          <w:noProof/>
        </w:rPr>
        <w:fldChar w:fldCharType="begin"/>
      </w:r>
      <w:r w:rsidRPr="004B2E4E">
        <w:rPr>
          <w:noProof/>
        </w:rPr>
        <w:instrText xml:space="preserve"> PAGEREF _Toc34156865 \h </w:instrText>
      </w:r>
      <w:r w:rsidRPr="004B2E4E">
        <w:rPr>
          <w:noProof/>
        </w:rPr>
      </w:r>
      <w:r w:rsidRPr="004B2E4E">
        <w:rPr>
          <w:noProof/>
        </w:rPr>
        <w:fldChar w:fldCharType="separate"/>
      </w:r>
      <w:r w:rsidR="00FA29AF">
        <w:rPr>
          <w:noProof/>
        </w:rPr>
        <w:t>130</w:t>
      </w:r>
      <w:r w:rsidRPr="004B2E4E">
        <w:rPr>
          <w:noProof/>
        </w:rPr>
        <w:fldChar w:fldCharType="end"/>
      </w:r>
    </w:p>
    <w:p w14:paraId="0CA2385C" w14:textId="77777777" w:rsidR="004B2E4E" w:rsidRPr="004B2E4E" w:rsidRDefault="004B2E4E">
      <w:pPr>
        <w:pStyle w:val="Zoznamobrzkov"/>
        <w:tabs>
          <w:tab w:val="right" w:leader="dot" w:pos="9080"/>
        </w:tabs>
        <w:rPr>
          <w:rFonts w:asciiTheme="minorHAnsi" w:eastAsiaTheme="minorEastAsia" w:hAnsiTheme="minorHAnsi"/>
          <w:noProof/>
          <w:lang w:eastAsia="sk-SK"/>
        </w:rPr>
      </w:pPr>
      <w:r w:rsidRPr="004B2E4E">
        <w:rPr>
          <w:noProof/>
        </w:rPr>
        <w:t>Tabuľka 27: Podiel detí narodených v roku 2017, ktorých rodičia nedostali príspevok pri narodení dieťaťa (%)</w:t>
      </w:r>
      <w:r w:rsidRPr="004B2E4E">
        <w:rPr>
          <w:noProof/>
        </w:rPr>
        <w:tab/>
      </w:r>
      <w:r w:rsidRPr="004B2E4E">
        <w:rPr>
          <w:noProof/>
        </w:rPr>
        <w:fldChar w:fldCharType="begin"/>
      </w:r>
      <w:r w:rsidRPr="004B2E4E">
        <w:rPr>
          <w:noProof/>
        </w:rPr>
        <w:instrText xml:space="preserve"> PAGEREF _Toc34156866 \h </w:instrText>
      </w:r>
      <w:r w:rsidRPr="004B2E4E">
        <w:rPr>
          <w:noProof/>
        </w:rPr>
      </w:r>
      <w:r w:rsidRPr="004B2E4E">
        <w:rPr>
          <w:noProof/>
        </w:rPr>
        <w:fldChar w:fldCharType="separate"/>
      </w:r>
      <w:r w:rsidR="00FA29AF">
        <w:rPr>
          <w:noProof/>
        </w:rPr>
        <w:t>149</w:t>
      </w:r>
      <w:r w:rsidRPr="004B2E4E">
        <w:rPr>
          <w:noProof/>
        </w:rPr>
        <w:fldChar w:fldCharType="end"/>
      </w:r>
    </w:p>
    <w:p w14:paraId="4658C83C" w14:textId="77777777" w:rsidR="004B2E4E" w:rsidRPr="004B2E4E" w:rsidRDefault="004B2E4E">
      <w:pPr>
        <w:pStyle w:val="Zoznamobrzkov"/>
        <w:tabs>
          <w:tab w:val="right" w:leader="dot" w:pos="9080"/>
        </w:tabs>
        <w:rPr>
          <w:rFonts w:asciiTheme="minorHAnsi" w:eastAsiaTheme="minorEastAsia" w:hAnsiTheme="minorHAnsi"/>
          <w:noProof/>
          <w:lang w:eastAsia="sk-SK"/>
        </w:rPr>
      </w:pPr>
      <w:r w:rsidRPr="004B2E4E">
        <w:rPr>
          <w:noProof/>
        </w:rPr>
        <w:t>Tabuľka 28: Výška jednorazového peňažného príspevku ako podiel celkovej ceny pomôcky alebo služby</w:t>
      </w:r>
      <w:r w:rsidRPr="004B2E4E">
        <w:rPr>
          <w:noProof/>
        </w:rPr>
        <w:tab/>
      </w:r>
      <w:r w:rsidRPr="004B2E4E">
        <w:rPr>
          <w:noProof/>
        </w:rPr>
        <w:fldChar w:fldCharType="begin"/>
      </w:r>
      <w:r w:rsidRPr="004B2E4E">
        <w:rPr>
          <w:noProof/>
        </w:rPr>
        <w:instrText xml:space="preserve"> PAGEREF _Toc34156867 \h </w:instrText>
      </w:r>
      <w:r w:rsidRPr="004B2E4E">
        <w:rPr>
          <w:noProof/>
        </w:rPr>
      </w:r>
      <w:r w:rsidRPr="004B2E4E">
        <w:rPr>
          <w:noProof/>
        </w:rPr>
        <w:fldChar w:fldCharType="separate"/>
      </w:r>
      <w:r w:rsidR="00FA29AF">
        <w:rPr>
          <w:noProof/>
        </w:rPr>
        <w:t>156</w:t>
      </w:r>
      <w:r w:rsidRPr="004B2E4E">
        <w:rPr>
          <w:noProof/>
        </w:rPr>
        <w:fldChar w:fldCharType="end"/>
      </w:r>
    </w:p>
    <w:p w14:paraId="57068315" w14:textId="77777777" w:rsidR="004B2E4E" w:rsidRPr="004B2E4E" w:rsidRDefault="004B2E4E">
      <w:pPr>
        <w:pStyle w:val="Zoznamobrzkov"/>
        <w:tabs>
          <w:tab w:val="right" w:leader="dot" w:pos="9080"/>
        </w:tabs>
        <w:rPr>
          <w:rFonts w:asciiTheme="minorHAnsi" w:eastAsiaTheme="minorEastAsia" w:hAnsiTheme="minorHAnsi"/>
          <w:noProof/>
          <w:lang w:eastAsia="sk-SK"/>
        </w:rPr>
      </w:pPr>
      <w:r w:rsidRPr="004B2E4E">
        <w:rPr>
          <w:noProof/>
        </w:rPr>
        <w:t>Tabuľka 29: Očakávaná dĺžka dožitia pri narodení, 2015</w:t>
      </w:r>
      <w:r w:rsidRPr="004B2E4E">
        <w:rPr>
          <w:noProof/>
        </w:rPr>
        <w:tab/>
      </w:r>
      <w:r w:rsidRPr="004B2E4E">
        <w:rPr>
          <w:noProof/>
        </w:rPr>
        <w:fldChar w:fldCharType="begin"/>
      </w:r>
      <w:r w:rsidRPr="004B2E4E">
        <w:rPr>
          <w:noProof/>
        </w:rPr>
        <w:instrText xml:space="preserve"> PAGEREF _Toc34156868 \h </w:instrText>
      </w:r>
      <w:r w:rsidRPr="004B2E4E">
        <w:rPr>
          <w:noProof/>
        </w:rPr>
      </w:r>
      <w:r w:rsidRPr="004B2E4E">
        <w:rPr>
          <w:noProof/>
        </w:rPr>
        <w:fldChar w:fldCharType="separate"/>
      </w:r>
      <w:r w:rsidR="00FA29AF">
        <w:rPr>
          <w:noProof/>
        </w:rPr>
        <w:t>182</w:t>
      </w:r>
      <w:r w:rsidRPr="004B2E4E">
        <w:rPr>
          <w:noProof/>
        </w:rPr>
        <w:fldChar w:fldCharType="end"/>
      </w:r>
    </w:p>
    <w:p w14:paraId="2FDF9BF0" w14:textId="77777777" w:rsidR="004B2E4E" w:rsidRPr="004B2E4E" w:rsidRDefault="004B2E4E">
      <w:pPr>
        <w:pStyle w:val="Zoznamobrzkov"/>
        <w:tabs>
          <w:tab w:val="right" w:leader="dot" w:pos="9080"/>
        </w:tabs>
        <w:rPr>
          <w:rFonts w:asciiTheme="minorHAnsi" w:eastAsiaTheme="minorEastAsia" w:hAnsiTheme="minorHAnsi"/>
          <w:noProof/>
          <w:lang w:eastAsia="sk-SK"/>
        </w:rPr>
      </w:pPr>
      <w:r w:rsidRPr="004B2E4E">
        <w:rPr>
          <w:noProof/>
        </w:rPr>
        <w:t>Tabuľka 30: Dojčenská úmrtnosť (na 1000 živonarodených detí), priemer rokov 2006 – 2015</w:t>
      </w:r>
      <w:r w:rsidRPr="004B2E4E">
        <w:rPr>
          <w:noProof/>
        </w:rPr>
        <w:tab/>
      </w:r>
      <w:r w:rsidRPr="004B2E4E">
        <w:rPr>
          <w:noProof/>
        </w:rPr>
        <w:fldChar w:fldCharType="begin"/>
      </w:r>
      <w:r w:rsidRPr="004B2E4E">
        <w:rPr>
          <w:noProof/>
        </w:rPr>
        <w:instrText xml:space="preserve"> PAGEREF _Toc34156869 \h </w:instrText>
      </w:r>
      <w:r w:rsidRPr="004B2E4E">
        <w:rPr>
          <w:noProof/>
        </w:rPr>
      </w:r>
      <w:r w:rsidRPr="004B2E4E">
        <w:rPr>
          <w:noProof/>
        </w:rPr>
        <w:fldChar w:fldCharType="separate"/>
      </w:r>
      <w:r w:rsidR="00FA29AF">
        <w:rPr>
          <w:noProof/>
        </w:rPr>
        <w:t>183</w:t>
      </w:r>
      <w:r w:rsidRPr="004B2E4E">
        <w:rPr>
          <w:noProof/>
        </w:rPr>
        <w:fldChar w:fldCharType="end"/>
      </w:r>
    </w:p>
    <w:p w14:paraId="306E21D3" w14:textId="77777777" w:rsidR="004B2E4E" w:rsidRPr="004B2E4E" w:rsidRDefault="004B2E4E">
      <w:pPr>
        <w:pStyle w:val="Zoznamobrzkov"/>
        <w:tabs>
          <w:tab w:val="right" w:leader="dot" w:pos="9080"/>
        </w:tabs>
        <w:rPr>
          <w:rFonts w:asciiTheme="minorHAnsi" w:eastAsiaTheme="minorEastAsia" w:hAnsiTheme="minorHAnsi"/>
          <w:noProof/>
          <w:lang w:eastAsia="sk-SK"/>
        </w:rPr>
      </w:pPr>
      <w:r w:rsidRPr="004B2E4E">
        <w:rPr>
          <w:noProof/>
        </w:rPr>
        <w:t>Tabuľka 31: Počet pracovníkov v rámci podporených SSKI</w:t>
      </w:r>
      <w:r w:rsidRPr="004B2E4E">
        <w:rPr>
          <w:noProof/>
        </w:rPr>
        <w:tab/>
      </w:r>
      <w:r w:rsidRPr="004B2E4E">
        <w:rPr>
          <w:noProof/>
        </w:rPr>
        <w:fldChar w:fldCharType="begin"/>
      </w:r>
      <w:r w:rsidRPr="004B2E4E">
        <w:rPr>
          <w:noProof/>
        </w:rPr>
        <w:instrText xml:space="preserve"> PAGEREF _Toc34156870 \h </w:instrText>
      </w:r>
      <w:r w:rsidRPr="004B2E4E">
        <w:rPr>
          <w:noProof/>
        </w:rPr>
      </w:r>
      <w:r w:rsidRPr="004B2E4E">
        <w:rPr>
          <w:noProof/>
        </w:rPr>
        <w:fldChar w:fldCharType="separate"/>
      </w:r>
      <w:r w:rsidR="00FA29AF">
        <w:rPr>
          <w:noProof/>
        </w:rPr>
        <w:t>192</w:t>
      </w:r>
      <w:r w:rsidRPr="004B2E4E">
        <w:rPr>
          <w:noProof/>
        </w:rPr>
        <w:fldChar w:fldCharType="end"/>
      </w:r>
    </w:p>
    <w:p w14:paraId="4E83EE35" w14:textId="25F71845" w:rsidR="007D19EB" w:rsidRPr="00CA2564" w:rsidRDefault="006B527D">
      <w:r w:rsidRPr="004B2E4E">
        <w:fldChar w:fldCharType="end"/>
      </w:r>
    </w:p>
    <w:p w14:paraId="04E68928" w14:textId="78569152" w:rsidR="008048FF" w:rsidRPr="00867E22" w:rsidRDefault="008048FF" w:rsidP="008048FF">
      <w:pPr>
        <w:rPr>
          <w:rStyle w:val="Intenzvnezvraznenie"/>
          <w:i w:val="0"/>
          <w:color w:val="0070C0"/>
        </w:rPr>
      </w:pPr>
      <w:r w:rsidRPr="00867E22">
        <w:rPr>
          <w:rStyle w:val="Intenzvnezvraznenie"/>
          <w:i w:val="0"/>
          <w:color w:val="0070C0"/>
        </w:rPr>
        <w:t>Zoznam grafov</w:t>
      </w:r>
    </w:p>
    <w:p w14:paraId="1BA25C0A" w14:textId="77777777" w:rsidR="00E528F7" w:rsidRPr="00E528F7" w:rsidRDefault="008048FF">
      <w:pPr>
        <w:pStyle w:val="Zoznamobrzkov"/>
        <w:tabs>
          <w:tab w:val="right" w:leader="dot" w:pos="9080"/>
        </w:tabs>
        <w:rPr>
          <w:rFonts w:asciiTheme="minorHAnsi" w:eastAsiaTheme="minorEastAsia" w:hAnsiTheme="minorHAnsi"/>
          <w:noProof/>
          <w:lang w:eastAsia="sk-SK"/>
        </w:rPr>
      </w:pPr>
      <w:r w:rsidRPr="00E528F7">
        <w:fldChar w:fldCharType="begin"/>
      </w:r>
      <w:r w:rsidRPr="00E528F7">
        <w:instrText xml:space="preserve"> TOC \c "Graf" </w:instrText>
      </w:r>
      <w:r w:rsidRPr="00E528F7">
        <w:fldChar w:fldCharType="separate"/>
      </w:r>
      <w:r w:rsidR="00E528F7" w:rsidRPr="00E528F7">
        <w:rPr>
          <w:noProof/>
        </w:rPr>
        <w:t>Graf 1: Miera rizika chudoby alebo sociálneho vylúčenia (%)</w:t>
      </w:r>
      <w:r w:rsidR="00E528F7" w:rsidRPr="00E528F7">
        <w:rPr>
          <w:noProof/>
        </w:rPr>
        <w:tab/>
      </w:r>
      <w:r w:rsidR="00E528F7" w:rsidRPr="00E528F7">
        <w:rPr>
          <w:noProof/>
        </w:rPr>
        <w:fldChar w:fldCharType="begin"/>
      </w:r>
      <w:r w:rsidR="00E528F7" w:rsidRPr="00E528F7">
        <w:rPr>
          <w:noProof/>
        </w:rPr>
        <w:instrText xml:space="preserve"> PAGEREF _Toc34157559 \h </w:instrText>
      </w:r>
      <w:r w:rsidR="00E528F7" w:rsidRPr="00E528F7">
        <w:rPr>
          <w:noProof/>
        </w:rPr>
      </w:r>
      <w:r w:rsidR="00E528F7" w:rsidRPr="00E528F7">
        <w:rPr>
          <w:noProof/>
        </w:rPr>
        <w:fldChar w:fldCharType="separate"/>
      </w:r>
      <w:r w:rsidR="00FA29AF">
        <w:rPr>
          <w:noProof/>
        </w:rPr>
        <w:t>35</w:t>
      </w:r>
      <w:r w:rsidR="00E528F7" w:rsidRPr="00E528F7">
        <w:rPr>
          <w:noProof/>
        </w:rPr>
        <w:fldChar w:fldCharType="end"/>
      </w:r>
    </w:p>
    <w:p w14:paraId="3EB1B031"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2: Miera závažnej materiálnej deprivácie (%)</w:t>
      </w:r>
      <w:r w:rsidRPr="00E528F7">
        <w:rPr>
          <w:noProof/>
        </w:rPr>
        <w:tab/>
      </w:r>
      <w:r w:rsidRPr="00E528F7">
        <w:rPr>
          <w:noProof/>
        </w:rPr>
        <w:fldChar w:fldCharType="begin"/>
      </w:r>
      <w:r w:rsidRPr="00E528F7">
        <w:rPr>
          <w:noProof/>
        </w:rPr>
        <w:instrText xml:space="preserve"> PAGEREF _Toc34157560 \h </w:instrText>
      </w:r>
      <w:r w:rsidRPr="00E528F7">
        <w:rPr>
          <w:noProof/>
        </w:rPr>
      </w:r>
      <w:r w:rsidRPr="00E528F7">
        <w:rPr>
          <w:noProof/>
        </w:rPr>
        <w:fldChar w:fldCharType="separate"/>
      </w:r>
      <w:r w:rsidR="00FA29AF">
        <w:rPr>
          <w:noProof/>
        </w:rPr>
        <w:t>35</w:t>
      </w:r>
      <w:r w:rsidRPr="00E528F7">
        <w:rPr>
          <w:noProof/>
        </w:rPr>
        <w:fldChar w:fldCharType="end"/>
      </w:r>
    </w:p>
    <w:p w14:paraId="41C1295C"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3: Kľúčové ukazovatele sociálneho vylúčenia, 2018 (% populácie)</w:t>
      </w:r>
      <w:r w:rsidRPr="00E528F7">
        <w:rPr>
          <w:noProof/>
        </w:rPr>
        <w:tab/>
      </w:r>
      <w:r w:rsidRPr="00E528F7">
        <w:rPr>
          <w:noProof/>
        </w:rPr>
        <w:fldChar w:fldCharType="begin"/>
      </w:r>
      <w:r w:rsidRPr="00E528F7">
        <w:rPr>
          <w:noProof/>
        </w:rPr>
        <w:instrText xml:space="preserve"> PAGEREF _Toc34157561 \h </w:instrText>
      </w:r>
      <w:r w:rsidRPr="00E528F7">
        <w:rPr>
          <w:noProof/>
        </w:rPr>
      </w:r>
      <w:r w:rsidRPr="00E528F7">
        <w:rPr>
          <w:noProof/>
        </w:rPr>
        <w:fldChar w:fldCharType="separate"/>
      </w:r>
      <w:r w:rsidR="00FA29AF">
        <w:rPr>
          <w:noProof/>
        </w:rPr>
        <w:t>37</w:t>
      </w:r>
      <w:r w:rsidRPr="00E528F7">
        <w:rPr>
          <w:noProof/>
        </w:rPr>
        <w:fldChar w:fldCharType="end"/>
      </w:r>
    </w:p>
    <w:p w14:paraId="2A5C74EE"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4: Kľúčové ukazovatele sociálneho vylúčenia, 2017 (% členov vybratých ohrozených skupín)</w:t>
      </w:r>
      <w:r w:rsidRPr="00E528F7">
        <w:rPr>
          <w:noProof/>
        </w:rPr>
        <w:tab/>
      </w:r>
      <w:r w:rsidRPr="00E528F7">
        <w:rPr>
          <w:noProof/>
        </w:rPr>
        <w:fldChar w:fldCharType="begin"/>
      </w:r>
      <w:r w:rsidRPr="00E528F7">
        <w:rPr>
          <w:noProof/>
        </w:rPr>
        <w:instrText xml:space="preserve"> PAGEREF _Toc34157562 \h </w:instrText>
      </w:r>
      <w:r w:rsidRPr="00E528F7">
        <w:rPr>
          <w:noProof/>
        </w:rPr>
      </w:r>
      <w:r w:rsidRPr="00E528F7">
        <w:rPr>
          <w:noProof/>
        </w:rPr>
        <w:fldChar w:fldCharType="separate"/>
      </w:r>
      <w:r w:rsidR="00FA29AF">
        <w:rPr>
          <w:noProof/>
        </w:rPr>
        <w:t>38</w:t>
      </w:r>
      <w:r w:rsidRPr="00E528F7">
        <w:rPr>
          <w:noProof/>
        </w:rPr>
        <w:fldChar w:fldCharType="end"/>
      </w:r>
    </w:p>
    <w:p w14:paraId="37FEA561"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5: Miera rizika chudoby alebo sociálneho vylúčenia vybratých skupín, 2018 (%)</w:t>
      </w:r>
      <w:r w:rsidRPr="00E528F7">
        <w:rPr>
          <w:noProof/>
        </w:rPr>
        <w:tab/>
      </w:r>
      <w:r w:rsidRPr="00E528F7">
        <w:rPr>
          <w:noProof/>
        </w:rPr>
        <w:fldChar w:fldCharType="begin"/>
      </w:r>
      <w:r w:rsidRPr="00E528F7">
        <w:rPr>
          <w:noProof/>
        </w:rPr>
        <w:instrText xml:space="preserve"> PAGEREF _Toc34157563 \h </w:instrText>
      </w:r>
      <w:r w:rsidRPr="00E528F7">
        <w:rPr>
          <w:noProof/>
        </w:rPr>
      </w:r>
      <w:r w:rsidRPr="00E528F7">
        <w:rPr>
          <w:noProof/>
        </w:rPr>
        <w:fldChar w:fldCharType="separate"/>
      </w:r>
      <w:r w:rsidR="00FA29AF">
        <w:rPr>
          <w:noProof/>
        </w:rPr>
        <w:t>38</w:t>
      </w:r>
      <w:r w:rsidRPr="00E528F7">
        <w:rPr>
          <w:noProof/>
        </w:rPr>
        <w:fldChar w:fldCharType="end"/>
      </w:r>
    </w:p>
    <w:p w14:paraId="3F1B48B0"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6: Výber ukazovateľov sociálneho vylúčenia v MRK, 2016 (%)</w:t>
      </w:r>
      <w:r w:rsidRPr="00E528F7">
        <w:rPr>
          <w:noProof/>
        </w:rPr>
        <w:tab/>
      </w:r>
      <w:r w:rsidRPr="00E528F7">
        <w:rPr>
          <w:noProof/>
        </w:rPr>
        <w:fldChar w:fldCharType="begin"/>
      </w:r>
      <w:r w:rsidRPr="00E528F7">
        <w:rPr>
          <w:noProof/>
        </w:rPr>
        <w:instrText xml:space="preserve"> PAGEREF _Toc34157564 \h </w:instrText>
      </w:r>
      <w:r w:rsidRPr="00E528F7">
        <w:rPr>
          <w:noProof/>
        </w:rPr>
      </w:r>
      <w:r w:rsidRPr="00E528F7">
        <w:rPr>
          <w:noProof/>
        </w:rPr>
        <w:fldChar w:fldCharType="separate"/>
      </w:r>
      <w:r w:rsidR="00FA29AF">
        <w:rPr>
          <w:noProof/>
        </w:rPr>
        <w:t>38</w:t>
      </w:r>
      <w:r w:rsidRPr="00E528F7">
        <w:rPr>
          <w:noProof/>
        </w:rPr>
        <w:fldChar w:fldCharType="end"/>
      </w:r>
    </w:p>
    <w:p w14:paraId="14C06899"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 xml:space="preserve">Graf </w:t>
      </w:r>
      <w:r w:rsidRPr="00E528F7">
        <w:rPr>
          <w:iCs/>
          <w:noProof/>
        </w:rPr>
        <w:t>7</w:t>
      </w:r>
      <w:r w:rsidRPr="00E528F7">
        <w:rPr>
          <w:noProof/>
        </w:rPr>
        <w:t>: Čisté výdavky na sociálnu ochranu bez dávok spojených s chorobou a starobou, 2016 (% HDP)</w:t>
      </w:r>
      <w:r w:rsidRPr="00E528F7">
        <w:rPr>
          <w:noProof/>
        </w:rPr>
        <w:tab/>
      </w:r>
      <w:r w:rsidRPr="00E528F7">
        <w:rPr>
          <w:noProof/>
        </w:rPr>
        <w:fldChar w:fldCharType="begin"/>
      </w:r>
      <w:r w:rsidRPr="00E528F7">
        <w:rPr>
          <w:noProof/>
        </w:rPr>
        <w:instrText xml:space="preserve"> PAGEREF _Toc34157565 \h </w:instrText>
      </w:r>
      <w:r w:rsidRPr="00E528F7">
        <w:rPr>
          <w:noProof/>
        </w:rPr>
      </w:r>
      <w:r w:rsidRPr="00E528F7">
        <w:rPr>
          <w:noProof/>
        </w:rPr>
        <w:fldChar w:fldCharType="separate"/>
      </w:r>
      <w:r w:rsidR="00FA29AF">
        <w:rPr>
          <w:noProof/>
        </w:rPr>
        <w:t>43</w:t>
      </w:r>
      <w:r w:rsidRPr="00E528F7">
        <w:rPr>
          <w:noProof/>
        </w:rPr>
        <w:fldChar w:fldCharType="end"/>
      </w:r>
    </w:p>
    <w:p w14:paraId="34797532"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 xml:space="preserve">Graf </w:t>
      </w:r>
      <w:r w:rsidRPr="00E528F7">
        <w:rPr>
          <w:iCs/>
          <w:noProof/>
        </w:rPr>
        <w:t>8</w:t>
      </w:r>
      <w:r w:rsidRPr="00E528F7">
        <w:rPr>
          <w:noProof/>
        </w:rPr>
        <w:t>: Alokácia, kontrahovanie a čerpanie pre výzvy v rámci PO 5 (mil. eur, k 31.12.2018)</w:t>
      </w:r>
      <w:r w:rsidRPr="00E528F7">
        <w:rPr>
          <w:noProof/>
        </w:rPr>
        <w:tab/>
      </w:r>
      <w:r w:rsidRPr="00E528F7">
        <w:rPr>
          <w:noProof/>
        </w:rPr>
        <w:fldChar w:fldCharType="begin"/>
      </w:r>
      <w:r w:rsidRPr="00E528F7">
        <w:rPr>
          <w:noProof/>
        </w:rPr>
        <w:instrText xml:space="preserve"> PAGEREF _Toc34157566 \h </w:instrText>
      </w:r>
      <w:r w:rsidRPr="00E528F7">
        <w:rPr>
          <w:noProof/>
        </w:rPr>
      </w:r>
      <w:r w:rsidRPr="00E528F7">
        <w:rPr>
          <w:noProof/>
        </w:rPr>
        <w:fldChar w:fldCharType="separate"/>
      </w:r>
      <w:r w:rsidR="00FA29AF">
        <w:rPr>
          <w:noProof/>
        </w:rPr>
        <w:t>48</w:t>
      </w:r>
      <w:r w:rsidRPr="00E528F7">
        <w:rPr>
          <w:noProof/>
        </w:rPr>
        <w:fldChar w:fldCharType="end"/>
      </w:r>
    </w:p>
    <w:p w14:paraId="3291E12C"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 xml:space="preserve">Graf </w:t>
      </w:r>
      <w:r w:rsidRPr="00E528F7">
        <w:rPr>
          <w:iCs/>
          <w:noProof/>
        </w:rPr>
        <w:t>9</w:t>
      </w:r>
      <w:r w:rsidRPr="00E528F7">
        <w:rPr>
          <w:noProof/>
        </w:rPr>
        <w:t>: Alokácia, kontrahovanie a čerpanie pre výzvy v rámci PO 6 (mil. eur, k 31.12.2018)</w:t>
      </w:r>
      <w:r w:rsidRPr="00E528F7">
        <w:rPr>
          <w:noProof/>
        </w:rPr>
        <w:tab/>
      </w:r>
      <w:r w:rsidRPr="00E528F7">
        <w:rPr>
          <w:noProof/>
        </w:rPr>
        <w:fldChar w:fldCharType="begin"/>
      </w:r>
      <w:r w:rsidRPr="00E528F7">
        <w:rPr>
          <w:noProof/>
        </w:rPr>
        <w:instrText xml:space="preserve"> PAGEREF _Toc34157567 \h </w:instrText>
      </w:r>
      <w:r w:rsidRPr="00E528F7">
        <w:rPr>
          <w:noProof/>
        </w:rPr>
      </w:r>
      <w:r w:rsidRPr="00E528F7">
        <w:rPr>
          <w:noProof/>
        </w:rPr>
        <w:fldChar w:fldCharType="separate"/>
      </w:r>
      <w:r w:rsidR="00FA29AF">
        <w:rPr>
          <w:noProof/>
        </w:rPr>
        <w:t>48</w:t>
      </w:r>
      <w:r w:rsidRPr="00E528F7">
        <w:rPr>
          <w:noProof/>
        </w:rPr>
        <w:fldChar w:fldCharType="end"/>
      </w:r>
    </w:p>
    <w:p w14:paraId="21781EF1"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10: Zaškolenosť detí podľa veku, š.r. 2018/19 (%)</w:t>
      </w:r>
      <w:r w:rsidRPr="00E528F7">
        <w:rPr>
          <w:noProof/>
        </w:rPr>
        <w:tab/>
      </w:r>
      <w:r w:rsidRPr="00E528F7">
        <w:rPr>
          <w:noProof/>
        </w:rPr>
        <w:fldChar w:fldCharType="begin"/>
      </w:r>
      <w:r w:rsidRPr="00E528F7">
        <w:rPr>
          <w:noProof/>
        </w:rPr>
        <w:instrText xml:space="preserve"> PAGEREF _Toc34157568 \h </w:instrText>
      </w:r>
      <w:r w:rsidRPr="00E528F7">
        <w:rPr>
          <w:noProof/>
        </w:rPr>
      </w:r>
      <w:r w:rsidRPr="00E528F7">
        <w:rPr>
          <w:noProof/>
        </w:rPr>
        <w:fldChar w:fldCharType="separate"/>
      </w:r>
      <w:r w:rsidR="00FA29AF">
        <w:rPr>
          <w:noProof/>
        </w:rPr>
        <w:t>58</w:t>
      </w:r>
      <w:r w:rsidRPr="00E528F7">
        <w:rPr>
          <w:noProof/>
        </w:rPr>
        <w:fldChar w:fldCharType="end"/>
      </w:r>
    </w:p>
    <w:p w14:paraId="1847C1BE"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11: Podiel detí začínajúcich PŠD v nultom ročníku v š.r. 201</w:t>
      </w:r>
      <w:r w:rsidRPr="00E528F7">
        <w:rPr>
          <w:iCs/>
          <w:noProof/>
        </w:rPr>
        <w:t>8</w:t>
      </w:r>
      <w:r w:rsidRPr="00E528F7">
        <w:rPr>
          <w:noProof/>
        </w:rPr>
        <w:t>/19 (%)</w:t>
      </w:r>
      <w:r w:rsidRPr="00E528F7">
        <w:rPr>
          <w:noProof/>
        </w:rPr>
        <w:tab/>
      </w:r>
      <w:r w:rsidRPr="00E528F7">
        <w:rPr>
          <w:noProof/>
        </w:rPr>
        <w:fldChar w:fldCharType="begin"/>
      </w:r>
      <w:r w:rsidRPr="00E528F7">
        <w:rPr>
          <w:noProof/>
        </w:rPr>
        <w:instrText xml:space="preserve"> PAGEREF _Toc34157569 \h </w:instrText>
      </w:r>
      <w:r w:rsidRPr="00E528F7">
        <w:rPr>
          <w:noProof/>
        </w:rPr>
      </w:r>
      <w:r w:rsidRPr="00E528F7">
        <w:rPr>
          <w:noProof/>
        </w:rPr>
        <w:fldChar w:fldCharType="separate"/>
      </w:r>
      <w:r w:rsidR="00FA29AF">
        <w:rPr>
          <w:noProof/>
        </w:rPr>
        <w:t>58</w:t>
      </w:r>
      <w:r w:rsidRPr="00E528F7">
        <w:rPr>
          <w:noProof/>
        </w:rPr>
        <w:fldChar w:fldCharType="end"/>
      </w:r>
    </w:p>
    <w:p w14:paraId="13E066B9"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lastRenderedPageBreak/>
        <w:t>Graf 12: Podiel</w:t>
      </w:r>
      <w:r w:rsidRPr="00E528F7">
        <w:rPr>
          <w:iCs/>
          <w:noProof/>
        </w:rPr>
        <w:t xml:space="preserve"> </w:t>
      </w:r>
      <w:r w:rsidRPr="00E528F7">
        <w:rPr>
          <w:noProof/>
        </w:rPr>
        <w:t>prvákov ZŠ v š.r. 2017/18, ktorí opakovali ročník v š.r. 2018/19 (%)</w:t>
      </w:r>
      <w:r w:rsidRPr="00E528F7">
        <w:rPr>
          <w:noProof/>
        </w:rPr>
        <w:tab/>
      </w:r>
      <w:r w:rsidRPr="00E528F7">
        <w:rPr>
          <w:noProof/>
        </w:rPr>
        <w:fldChar w:fldCharType="begin"/>
      </w:r>
      <w:r w:rsidRPr="00E528F7">
        <w:rPr>
          <w:noProof/>
        </w:rPr>
        <w:instrText xml:space="preserve"> PAGEREF _Toc34157570 \h </w:instrText>
      </w:r>
      <w:r w:rsidRPr="00E528F7">
        <w:rPr>
          <w:noProof/>
        </w:rPr>
      </w:r>
      <w:r w:rsidRPr="00E528F7">
        <w:rPr>
          <w:noProof/>
        </w:rPr>
        <w:fldChar w:fldCharType="separate"/>
      </w:r>
      <w:r w:rsidR="00FA29AF">
        <w:rPr>
          <w:noProof/>
        </w:rPr>
        <w:t>58</w:t>
      </w:r>
      <w:r w:rsidRPr="00E528F7">
        <w:rPr>
          <w:noProof/>
        </w:rPr>
        <w:fldChar w:fldCharType="end"/>
      </w:r>
    </w:p>
    <w:p w14:paraId="22D192BD"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13: Zloženie obyvateľov v obciach podľa počtu MŠ/ŠMŠ (%)</w:t>
      </w:r>
      <w:r w:rsidRPr="00E528F7">
        <w:rPr>
          <w:noProof/>
        </w:rPr>
        <w:tab/>
      </w:r>
      <w:r w:rsidRPr="00E528F7">
        <w:rPr>
          <w:noProof/>
        </w:rPr>
        <w:fldChar w:fldCharType="begin"/>
      </w:r>
      <w:r w:rsidRPr="00E528F7">
        <w:rPr>
          <w:noProof/>
        </w:rPr>
        <w:instrText xml:space="preserve"> PAGEREF _Toc34157571 \h </w:instrText>
      </w:r>
      <w:r w:rsidRPr="00E528F7">
        <w:rPr>
          <w:noProof/>
        </w:rPr>
      </w:r>
      <w:r w:rsidRPr="00E528F7">
        <w:rPr>
          <w:noProof/>
        </w:rPr>
        <w:fldChar w:fldCharType="separate"/>
      </w:r>
      <w:r w:rsidR="00FA29AF">
        <w:rPr>
          <w:noProof/>
        </w:rPr>
        <w:t>61</w:t>
      </w:r>
      <w:r w:rsidRPr="00E528F7">
        <w:rPr>
          <w:noProof/>
        </w:rPr>
        <w:fldChar w:fldCharType="end"/>
      </w:r>
    </w:p>
    <w:p w14:paraId="5CF713BB"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14: Podiel detí z MRK a kapacity MŠ v obci</w:t>
      </w:r>
      <w:r w:rsidRPr="00E528F7">
        <w:rPr>
          <w:noProof/>
        </w:rPr>
        <w:tab/>
      </w:r>
      <w:r w:rsidRPr="00E528F7">
        <w:rPr>
          <w:noProof/>
        </w:rPr>
        <w:fldChar w:fldCharType="begin"/>
      </w:r>
      <w:r w:rsidRPr="00E528F7">
        <w:rPr>
          <w:noProof/>
        </w:rPr>
        <w:instrText xml:space="preserve"> PAGEREF _Toc34157572 \h </w:instrText>
      </w:r>
      <w:r w:rsidRPr="00E528F7">
        <w:rPr>
          <w:noProof/>
        </w:rPr>
      </w:r>
      <w:r w:rsidRPr="00E528F7">
        <w:rPr>
          <w:noProof/>
        </w:rPr>
        <w:fldChar w:fldCharType="separate"/>
      </w:r>
      <w:r w:rsidR="00FA29AF">
        <w:rPr>
          <w:noProof/>
        </w:rPr>
        <w:t>61</w:t>
      </w:r>
      <w:r w:rsidRPr="00E528F7">
        <w:rPr>
          <w:noProof/>
        </w:rPr>
        <w:fldChar w:fldCharType="end"/>
      </w:r>
    </w:p>
    <w:p w14:paraId="0DBCDA2F"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15: Kapacity MŠ a zaškolenosť v obci</w:t>
      </w:r>
      <w:r w:rsidRPr="00E528F7">
        <w:rPr>
          <w:noProof/>
        </w:rPr>
        <w:tab/>
      </w:r>
      <w:r w:rsidRPr="00E528F7">
        <w:rPr>
          <w:noProof/>
        </w:rPr>
        <w:fldChar w:fldCharType="begin"/>
      </w:r>
      <w:r w:rsidRPr="00E528F7">
        <w:rPr>
          <w:noProof/>
        </w:rPr>
        <w:instrText xml:space="preserve"> PAGEREF _Toc34157573 \h </w:instrText>
      </w:r>
      <w:r w:rsidRPr="00E528F7">
        <w:rPr>
          <w:noProof/>
        </w:rPr>
      </w:r>
      <w:r w:rsidRPr="00E528F7">
        <w:rPr>
          <w:noProof/>
        </w:rPr>
        <w:fldChar w:fldCharType="separate"/>
      </w:r>
      <w:r w:rsidR="00FA29AF">
        <w:rPr>
          <w:noProof/>
        </w:rPr>
        <w:t>61</w:t>
      </w:r>
      <w:r w:rsidRPr="00E528F7">
        <w:rPr>
          <w:noProof/>
        </w:rPr>
        <w:fldChar w:fldCharType="end"/>
      </w:r>
    </w:p>
    <w:p w14:paraId="210AEA1C"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 xml:space="preserve">Graf 16: </w:t>
      </w:r>
      <w:r w:rsidRPr="00E528F7">
        <w:rPr>
          <w:iCs/>
          <w:noProof/>
        </w:rPr>
        <w:t>Podiel znevýhodnených skupín na všetkých žiakoch podľa ročníka ZŠ v š.r. 2018/19 (%)</w:t>
      </w:r>
      <w:r w:rsidRPr="00E528F7">
        <w:rPr>
          <w:noProof/>
        </w:rPr>
        <w:tab/>
      </w:r>
      <w:r w:rsidRPr="00E528F7">
        <w:rPr>
          <w:noProof/>
        </w:rPr>
        <w:fldChar w:fldCharType="begin"/>
      </w:r>
      <w:r w:rsidRPr="00E528F7">
        <w:rPr>
          <w:noProof/>
        </w:rPr>
        <w:instrText xml:space="preserve"> PAGEREF _Toc34157574 \h </w:instrText>
      </w:r>
      <w:r w:rsidRPr="00E528F7">
        <w:rPr>
          <w:noProof/>
        </w:rPr>
      </w:r>
      <w:r w:rsidRPr="00E528F7">
        <w:rPr>
          <w:noProof/>
        </w:rPr>
        <w:fldChar w:fldCharType="separate"/>
      </w:r>
      <w:r w:rsidR="00FA29AF">
        <w:rPr>
          <w:noProof/>
        </w:rPr>
        <w:t>65</w:t>
      </w:r>
      <w:r w:rsidRPr="00E528F7">
        <w:rPr>
          <w:noProof/>
        </w:rPr>
        <w:fldChar w:fldCharType="end"/>
      </w:r>
    </w:p>
    <w:p w14:paraId="3AC3EE04"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17</w:t>
      </w:r>
      <w:r w:rsidRPr="00E528F7">
        <w:rPr>
          <w:iCs/>
          <w:noProof/>
        </w:rPr>
        <w:t xml:space="preserve">: </w:t>
      </w:r>
      <w:r w:rsidRPr="00E528F7">
        <w:rPr>
          <w:noProof/>
        </w:rPr>
        <w:t>Uplatnenie žiakov s predčasne ukončenou dochádzkou na trhu práce v roku 2016</w:t>
      </w:r>
      <w:r w:rsidRPr="00E528F7">
        <w:rPr>
          <w:noProof/>
        </w:rPr>
        <w:tab/>
      </w:r>
      <w:r w:rsidRPr="00E528F7">
        <w:rPr>
          <w:noProof/>
        </w:rPr>
        <w:fldChar w:fldCharType="begin"/>
      </w:r>
      <w:r w:rsidRPr="00E528F7">
        <w:rPr>
          <w:noProof/>
        </w:rPr>
        <w:instrText xml:space="preserve"> PAGEREF _Toc34157575 \h </w:instrText>
      </w:r>
      <w:r w:rsidRPr="00E528F7">
        <w:rPr>
          <w:noProof/>
        </w:rPr>
      </w:r>
      <w:r w:rsidRPr="00E528F7">
        <w:rPr>
          <w:noProof/>
        </w:rPr>
        <w:fldChar w:fldCharType="separate"/>
      </w:r>
      <w:r w:rsidR="00FA29AF">
        <w:rPr>
          <w:noProof/>
        </w:rPr>
        <w:t>74</w:t>
      </w:r>
      <w:r w:rsidRPr="00E528F7">
        <w:rPr>
          <w:noProof/>
        </w:rPr>
        <w:fldChar w:fldCharType="end"/>
      </w:r>
    </w:p>
    <w:p w14:paraId="098EF1FD"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 xml:space="preserve">Graf </w:t>
      </w:r>
      <w:r w:rsidRPr="00E528F7">
        <w:rPr>
          <w:iCs/>
          <w:noProof/>
        </w:rPr>
        <w:t>18</w:t>
      </w:r>
      <w:r w:rsidRPr="00E528F7">
        <w:rPr>
          <w:noProof/>
        </w:rPr>
        <w:t>: Podiel absolventov F odborov v š.r. 2017/18, ktorí vstúpili do zamestnania do konca roka 2018 (%)</w:t>
      </w:r>
      <w:r w:rsidRPr="00E528F7">
        <w:rPr>
          <w:noProof/>
        </w:rPr>
        <w:tab/>
      </w:r>
      <w:r w:rsidRPr="00E528F7">
        <w:rPr>
          <w:noProof/>
        </w:rPr>
        <w:fldChar w:fldCharType="begin"/>
      </w:r>
      <w:r w:rsidRPr="00E528F7">
        <w:rPr>
          <w:noProof/>
        </w:rPr>
        <w:instrText xml:space="preserve"> PAGEREF _Toc34157576 \h </w:instrText>
      </w:r>
      <w:r w:rsidRPr="00E528F7">
        <w:rPr>
          <w:noProof/>
        </w:rPr>
      </w:r>
      <w:r w:rsidRPr="00E528F7">
        <w:rPr>
          <w:noProof/>
        </w:rPr>
        <w:fldChar w:fldCharType="separate"/>
      </w:r>
      <w:r w:rsidR="00FA29AF">
        <w:rPr>
          <w:noProof/>
        </w:rPr>
        <w:t>75</w:t>
      </w:r>
      <w:r w:rsidRPr="00E528F7">
        <w:rPr>
          <w:noProof/>
        </w:rPr>
        <w:fldChar w:fldCharType="end"/>
      </w:r>
    </w:p>
    <w:p w14:paraId="4BE624EA"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19</w:t>
      </w:r>
      <w:r w:rsidRPr="00E528F7">
        <w:rPr>
          <w:iCs/>
          <w:noProof/>
        </w:rPr>
        <w:t>: Podiel znevýhodnených skupín na všetkých žiakoch podľa ročníka SŠ v š.r. 2018/19 (%)</w:t>
      </w:r>
      <w:r w:rsidRPr="00E528F7">
        <w:rPr>
          <w:noProof/>
        </w:rPr>
        <w:tab/>
      </w:r>
      <w:r w:rsidRPr="00E528F7">
        <w:rPr>
          <w:noProof/>
        </w:rPr>
        <w:fldChar w:fldCharType="begin"/>
      </w:r>
      <w:r w:rsidRPr="00E528F7">
        <w:rPr>
          <w:noProof/>
        </w:rPr>
        <w:instrText xml:space="preserve"> PAGEREF _Toc34157577 \h </w:instrText>
      </w:r>
      <w:r w:rsidRPr="00E528F7">
        <w:rPr>
          <w:noProof/>
        </w:rPr>
      </w:r>
      <w:r w:rsidRPr="00E528F7">
        <w:rPr>
          <w:noProof/>
        </w:rPr>
        <w:fldChar w:fldCharType="separate"/>
      </w:r>
      <w:r w:rsidR="00FA29AF">
        <w:rPr>
          <w:noProof/>
        </w:rPr>
        <w:t>78</w:t>
      </w:r>
      <w:r w:rsidRPr="00E528F7">
        <w:rPr>
          <w:noProof/>
        </w:rPr>
        <w:fldChar w:fldCharType="end"/>
      </w:r>
    </w:p>
    <w:p w14:paraId="57231314"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bCs/>
          <w:noProof/>
        </w:rPr>
        <w:t>Graf 20</w:t>
      </w:r>
      <w:r w:rsidRPr="00E528F7">
        <w:rPr>
          <w:bCs/>
          <w:iCs/>
          <w:noProof/>
        </w:rPr>
        <w:t>: Rozdelenie stredoškolákov medzi druhmi škôl v š.r. 2018/19 (%)</w:t>
      </w:r>
      <w:r w:rsidRPr="00E528F7">
        <w:rPr>
          <w:noProof/>
        </w:rPr>
        <w:tab/>
      </w:r>
      <w:r w:rsidRPr="00E528F7">
        <w:rPr>
          <w:noProof/>
        </w:rPr>
        <w:fldChar w:fldCharType="begin"/>
      </w:r>
      <w:r w:rsidRPr="00E528F7">
        <w:rPr>
          <w:noProof/>
        </w:rPr>
        <w:instrText xml:space="preserve"> PAGEREF _Toc34157578 \h </w:instrText>
      </w:r>
      <w:r w:rsidRPr="00E528F7">
        <w:rPr>
          <w:noProof/>
        </w:rPr>
      </w:r>
      <w:r w:rsidRPr="00E528F7">
        <w:rPr>
          <w:noProof/>
        </w:rPr>
        <w:fldChar w:fldCharType="separate"/>
      </w:r>
      <w:r w:rsidR="00FA29AF">
        <w:rPr>
          <w:noProof/>
        </w:rPr>
        <w:t>78</w:t>
      </w:r>
      <w:r w:rsidRPr="00E528F7">
        <w:rPr>
          <w:noProof/>
        </w:rPr>
        <w:fldChar w:fldCharType="end"/>
      </w:r>
    </w:p>
    <w:p w14:paraId="779FB995"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21</w:t>
      </w:r>
      <w:r w:rsidRPr="00E528F7">
        <w:rPr>
          <w:iCs/>
          <w:noProof/>
        </w:rPr>
        <w:t xml:space="preserve">: </w:t>
      </w:r>
      <w:r w:rsidRPr="00E528F7">
        <w:rPr>
          <w:bCs/>
          <w:noProof/>
        </w:rPr>
        <w:t>Miera zaškolenosti detí so ZZ a detí bez ZZ v MŠ</w:t>
      </w:r>
      <w:r w:rsidRPr="00E528F7">
        <w:rPr>
          <w:noProof/>
        </w:rPr>
        <w:tab/>
      </w:r>
      <w:r w:rsidRPr="00E528F7">
        <w:rPr>
          <w:noProof/>
        </w:rPr>
        <w:fldChar w:fldCharType="begin"/>
      </w:r>
      <w:r w:rsidRPr="00E528F7">
        <w:rPr>
          <w:noProof/>
        </w:rPr>
        <w:instrText xml:space="preserve"> PAGEREF _Toc34157579 \h </w:instrText>
      </w:r>
      <w:r w:rsidRPr="00E528F7">
        <w:rPr>
          <w:noProof/>
        </w:rPr>
      </w:r>
      <w:r w:rsidRPr="00E528F7">
        <w:rPr>
          <w:noProof/>
        </w:rPr>
        <w:fldChar w:fldCharType="separate"/>
      </w:r>
      <w:r w:rsidR="00FA29AF">
        <w:rPr>
          <w:noProof/>
        </w:rPr>
        <w:t>82</w:t>
      </w:r>
      <w:r w:rsidRPr="00E528F7">
        <w:rPr>
          <w:noProof/>
        </w:rPr>
        <w:fldChar w:fldCharType="end"/>
      </w:r>
    </w:p>
    <w:p w14:paraId="459F88BB"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22</w:t>
      </w:r>
      <w:r w:rsidRPr="00E528F7">
        <w:rPr>
          <w:iCs/>
          <w:noProof/>
        </w:rPr>
        <w:t xml:space="preserve">: </w:t>
      </w:r>
      <w:r w:rsidRPr="00E528F7">
        <w:rPr>
          <w:bCs/>
          <w:noProof/>
        </w:rPr>
        <w:t>Miera zaškolenosti predškolákov so ZZ podľa druhu ZZ, 2017/18</w:t>
      </w:r>
      <w:r w:rsidRPr="00E528F7">
        <w:rPr>
          <w:noProof/>
        </w:rPr>
        <w:tab/>
      </w:r>
      <w:r w:rsidRPr="00E528F7">
        <w:rPr>
          <w:noProof/>
        </w:rPr>
        <w:fldChar w:fldCharType="begin"/>
      </w:r>
      <w:r w:rsidRPr="00E528F7">
        <w:rPr>
          <w:noProof/>
        </w:rPr>
        <w:instrText xml:space="preserve"> PAGEREF _Toc34157580 \h </w:instrText>
      </w:r>
      <w:r w:rsidRPr="00E528F7">
        <w:rPr>
          <w:noProof/>
        </w:rPr>
      </w:r>
      <w:r w:rsidRPr="00E528F7">
        <w:rPr>
          <w:noProof/>
        </w:rPr>
        <w:fldChar w:fldCharType="separate"/>
      </w:r>
      <w:r w:rsidR="00FA29AF">
        <w:rPr>
          <w:noProof/>
        </w:rPr>
        <w:t>82</w:t>
      </w:r>
      <w:r w:rsidRPr="00E528F7">
        <w:rPr>
          <w:noProof/>
        </w:rPr>
        <w:fldChar w:fldCharType="end"/>
      </w:r>
    </w:p>
    <w:p w14:paraId="144D54AA"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23: Podiel predškolákov so ZZ vzdelávaných v bežnom a špeciálnom prúde</w:t>
      </w:r>
      <w:r w:rsidRPr="00E528F7">
        <w:rPr>
          <w:noProof/>
        </w:rPr>
        <w:tab/>
      </w:r>
      <w:r w:rsidRPr="00E528F7">
        <w:rPr>
          <w:noProof/>
        </w:rPr>
        <w:fldChar w:fldCharType="begin"/>
      </w:r>
      <w:r w:rsidRPr="00E528F7">
        <w:rPr>
          <w:noProof/>
        </w:rPr>
        <w:instrText xml:space="preserve"> PAGEREF _Toc34157581 \h </w:instrText>
      </w:r>
      <w:r w:rsidRPr="00E528F7">
        <w:rPr>
          <w:noProof/>
        </w:rPr>
      </w:r>
      <w:r w:rsidRPr="00E528F7">
        <w:rPr>
          <w:noProof/>
        </w:rPr>
        <w:fldChar w:fldCharType="separate"/>
      </w:r>
      <w:r w:rsidR="00FA29AF">
        <w:rPr>
          <w:noProof/>
        </w:rPr>
        <w:t>83</w:t>
      </w:r>
      <w:r w:rsidRPr="00E528F7">
        <w:rPr>
          <w:noProof/>
        </w:rPr>
        <w:fldChar w:fldCharType="end"/>
      </w:r>
    </w:p>
    <w:p w14:paraId="75B5B25B"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24: Podiel žiakov s jednotlivými druhmi zdravotného znevýhodnenia v bežnom a špeciálnom prúde (2018)</w:t>
      </w:r>
      <w:r w:rsidRPr="00E528F7">
        <w:rPr>
          <w:noProof/>
        </w:rPr>
        <w:tab/>
      </w:r>
      <w:r w:rsidRPr="00E528F7">
        <w:rPr>
          <w:noProof/>
        </w:rPr>
        <w:fldChar w:fldCharType="begin"/>
      </w:r>
      <w:r w:rsidRPr="00E528F7">
        <w:rPr>
          <w:noProof/>
        </w:rPr>
        <w:instrText xml:space="preserve"> PAGEREF _Toc34157582 \h </w:instrText>
      </w:r>
      <w:r w:rsidRPr="00E528F7">
        <w:rPr>
          <w:noProof/>
        </w:rPr>
      </w:r>
      <w:r w:rsidRPr="00E528F7">
        <w:rPr>
          <w:noProof/>
        </w:rPr>
        <w:fldChar w:fldCharType="separate"/>
      </w:r>
      <w:r w:rsidR="00FA29AF">
        <w:rPr>
          <w:noProof/>
        </w:rPr>
        <w:t>89</w:t>
      </w:r>
      <w:r w:rsidRPr="00E528F7">
        <w:rPr>
          <w:noProof/>
        </w:rPr>
        <w:fldChar w:fldCharType="end"/>
      </w:r>
    </w:p>
    <w:p w14:paraId="56883A87"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25: Podiel znevýhodnených žiakov v špeciálnych školách v PO a KE kraji v š.r. 2017/18</w:t>
      </w:r>
      <w:r w:rsidRPr="00E528F7">
        <w:rPr>
          <w:noProof/>
        </w:rPr>
        <w:tab/>
      </w:r>
      <w:r w:rsidRPr="00E528F7">
        <w:rPr>
          <w:noProof/>
        </w:rPr>
        <w:fldChar w:fldCharType="begin"/>
      </w:r>
      <w:r w:rsidRPr="00E528F7">
        <w:rPr>
          <w:noProof/>
        </w:rPr>
        <w:instrText xml:space="preserve"> PAGEREF _Toc34157583 \h </w:instrText>
      </w:r>
      <w:r w:rsidRPr="00E528F7">
        <w:rPr>
          <w:noProof/>
        </w:rPr>
      </w:r>
      <w:r w:rsidRPr="00E528F7">
        <w:rPr>
          <w:noProof/>
        </w:rPr>
        <w:fldChar w:fldCharType="separate"/>
      </w:r>
      <w:r w:rsidR="00FA29AF">
        <w:rPr>
          <w:noProof/>
        </w:rPr>
        <w:t>90</w:t>
      </w:r>
      <w:r w:rsidRPr="00E528F7">
        <w:rPr>
          <w:noProof/>
        </w:rPr>
        <w:fldChar w:fldCharType="end"/>
      </w:r>
    </w:p>
    <w:p w14:paraId="433A356B"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26:</w:t>
      </w:r>
      <w:r w:rsidRPr="00E528F7">
        <w:rPr>
          <w:bCs/>
          <w:noProof/>
        </w:rPr>
        <w:t xml:space="preserve"> Podiel žiakov so zdravotným znevýhodnením v jednotlivých vzdelávacích prúdoch</w:t>
      </w:r>
      <w:r w:rsidRPr="00E528F7">
        <w:rPr>
          <w:noProof/>
        </w:rPr>
        <w:tab/>
      </w:r>
      <w:r w:rsidRPr="00E528F7">
        <w:rPr>
          <w:noProof/>
        </w:rPr>
        <w:fldChar w:fldCharType="begin"/>
      </w:r>
      <w:r w:rsidRPr="00E528F7">
        <w:rPr>
          <w:noProof/>
        </w:rPr>
        <w:instrText xml:space="preserve"> PAGEREF _Toc34157584 \h </w:instrText>
      </w:r>
      <w:r w:rsidRPr="00E528F7">
        <w:rPr>
          <w:noProof/>
        </w:rPr>
      </w:r>
      <w:r w:rsidRPr="00E528F7">
        <w:rPr>
          <w:noProof/>
        </w:rPr>
        <w:fldChar w:fldCharType="separate"/>
      </w:r>
      <w:r w:rsidR="00FA29AF">
        <w:rPr>
          <w:noProof/>
        </w:rPr>
        <w:t>91</w:t>
      </w:r>
      <w:r w:rsidRPr="00E528F7">
        <w:rPr>
          <w:noProof/>
        </w:rPr>
        <w:fldChar w:fldCharType="end"/>
      </w:r>
    </w:p>
    <w:p w14:paraId="2B2024B0"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27: Počet žiakov so zdravotným znevýhodnením v jednotlivých vzdelávacích prúdoch</w:t>
      </w:r>
      <w:r w:rsidRPr="00E528F7">
        <w:rPr>
          <w:noProof/>
        </w:rPr>
        <w:tab/>
      </w:r>
      <w:r w:rsidRPr="00E528F7">
        <w:rPr>
          <w:noProof/>
        </w:rPr>
        <w:fldChar w:fldCharType="begin"/>
      </w:r>
      <w:r w:rsidRPr="00E528F7">
        <w:rPr>
          <w:noProof/>
        </w:rPr>
        <w:instrText xml:space="preserve"> PAGEREF _Toc34157585 \h </w:instrText>
      </w:r>
      <w:r w:rsidRPr="00E528F7">
        <w:rPr>
          <w:noProof/>
        </w:rPr>
      </w:r>
      <w:r w:rsidRPr="00E528F7">
        <w:rPr>
          <w:noProof/>
        </w:rPr>
        <w:fldChar w:fldCharType="separate"/>
      </w:r>
      <w:r w:rsidR="00FA29AF">
        <w:rPr>
          <w:noProof/>
        </w:rPr>
        <w:t>91</w:t>
      </w:r>
      <w:r w:rsidRPr="00E528F7">
        <w:rPr>
          <w:noProof/>
        </w:rPr>
        <w:fldChar w:fldCharType="end"/>
      </w:r>
    </w:p>
    <w:p w14:paraId="0B2C2D1D"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28: Počet žiadaných a pridelených pedagogických asistentov</w:t>
      </w:r>
      <w:r w:rsidRPr="00E528F7">
        <w:rPr>
          <w:noProof/>
        </w:rPr>
        <w:tab/>
      </w:r>
      <w:r w:rsidRPr="00E528F7">
        <w:rPr>
          <w:noProof/>
        </w:rPr>
        <w:fldChar w:fldCharType="begin"/>
      </w:r>
      <w:r w:rsidRPr="00E528F7">
        <w:rPr>
          <w:noProof/>
        </w:rPr>
        <w:instrText xml:space="preserve"> PAGEREF _Toc34157586 \h </w:instrText>
      </w:r>
      <w:r w:rsidRPr="00E528F7">
        <w:rPr>
          <w:noProof/>
        </w:rPr>
      </w:r>
      <w:r w:rsidRPr="00E528F7">
        <w:rPr>
          <w:noProof/>
        </w:rPr>
        <w:fldChar w:fldCharType="separate"/>
      </w:r>
      <w:r w:rsidR="00FA29AF">
        <w:rPr>
          <w:noProof/>
        </w:rPr>
        <w:t>96</w:t>
      </w:r>
      <w:r w:rsidRPr="00E528F7">
        <w:rPr>
          <w:noProof/>
        </w:rPr>
        <w:fldChar w:fldCharType="end"/>
      </w:r>
    </w:p>
    <w:p w14:paraId="38CB555A"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29: Podiel žiakov s jednotlivými druhmi ZZ v bežných a špeciálnych stredných školách, 2018</w:t>
      </w:r>
      <w:r w:rsidRPr="00E528F7">
        <w:rPr>
          <w:noProof/>
        </w:rPr>
        <w:tab/>
      </w:r>
      <w:r w:rsidRPr="00E528F7">
        <w:rPr>
          <w:noProof/>
        </w:rPr>
        <w:fldChar w:fldCharType="begin"/>
      </w:r>
      <w:r w:rsidRPr="00E528F7">
        <w:rPr>
          <w:noProof/>
        </w:rPr>
        <w:instrText xml:space="preserve"> PAGEREF _Toc34157587 \h </w:instrText>
      </w:r>
      <w:r w:rsidRPr="00E528F7">
        <w:rPr>
          <w:noProof/>
        </w:rPr>
      </w:r>
      <w:r w:rsidRPr="00E528F7">
        <w:rPr>
          <w:noProof/>
        </w:rPr>
        <w:fldChar w:fldCharType="separate"/>
      </w:r>
      <w:r w:rsidR="00FA29AF">
        <w:rPr>
          <w:noProof/>
        </w:rPr>
        <w:t>105</w:t>
      </w:r>
      <w:r w:rsidRPr="00E528F7">
        <w:rPr>
          <w:noProof/>
        </w:rPr>
        <w:fldChar w:fldCharType="end"/>
      </w:r>
    </w:p>
    <w:p w14:paraId="6B9630CA"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30: Miera zamestnanosti podľa príslušnosti k MRK a pohlavia (%, populácia vo veku 15-64 rokov)</w:t>
      </w:r>
      <w:r w:rsidRPr="00E528F7">
        <w:rPr>
          <w:noProof/>
        </w:rPr>
        <w:tab/>
      </w:r>
      <w:r w:rsidRPr="00E528F7">
        <w:rPr>
          <w:noProof/>
        </w:rPr>
        <w:fldChar w:fldCharType="begin"/>
      </w:r>
      <w:r w:rsidRPr="00E528F7">
        <w:rPr>
          <w:noProof/>
        </w:rPr>
        <w:instrText xml:space="preserve"> PAGEREF _Toc34157588 \h </w:instrText>
      </w:r>
      <w:r w:rsidRPr="00E528F7">
        <w:rPr>
          <w:noProof/>
        </w:rPr>
      </w:r>
      <w:r w:rsidRPr="00E528F7">
        <w:rPr>
          <w:noProof/>
        </w:rPr>
        <w:fldChar w:fldCharType="separate"/>
      </w:r>
      <w:r w:rsidR="00FA29AF">
        <w:rPr>
          <w:noProof/>
        </w:rPr>
        <w:t>111</w:t>
      </w:r>
      <w:r w:rsidRPr="00E528F7">
        <w:rPr>
          <w:noProof/>
        </w:rPr>
        <w:fldChar w:fldCharType="end"/>
      </w:r>
    </w:p>
    <w:p w14:paraId="7BDAA014"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31: Vývoj zamestnanosti (medziročný rast v %, populácia vo veku 15-64 rokov)</w:t>
      </w:r>
      <w:r w:rsidRPr="00E528F7">
        <w:rPr>
          <w:noProof/>
        </w:rPr>
        <w:tab/>
      </w:r>
      <w:r w:rsidRPr="00E528F7">
        <w:rPr>
          <w:noProof/>
        </w:rPr>
        <w:fldChar w:fldCharType="begin"/>
      </w:r>
      <w:r w:rsidRPr="00E528F7">
        <w:rPr>
          <w:noProof/>
        </w:rPr>
        <w:instrText xml:space="preserve"> PAGEREF _Toc34157589 \h </w:instrText>
      </w:r>
      <w:r w:rsidRPr="00E528F7">
        <w:rPr>
          <w:noProof/>
        </w:rPr>
      </w:r>
      <w:r w:rsidRPr="00E528F7">
        <w:rPr>
          <w:noProof/>
        </w:rPr>
        <w:fldChar w:fldCharType="separate"/>
      </w:r>
      <w:r w:rsidR="00FA29AF">
        <w:rPr>
          <w:noProof/>
        </w:rPr>
        <w:t>111</w:t>
      </w:r>
      <w:r w:rsidRPr="00E528F7">
        <w:rPr>
          <w:noProof/>
        </w:rPr>
        <w:fldChar w:fldCharType="end"/>
      </w:r>
    </w:p>
    <w:p w14:paraId="0D3C1249"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32</w:t>
      </w:r>
      <w:r w:rsidRPr="00E528F7">
        <w:rPr>
          <w:iCs/>
          <w:noProof/>
        </w:rPr>
        <w:t>: Miera nezamestnanosti podľa výška dosiahnutého vzdelania, 20 až 64 rokov, 2018 (%)</w:t>
      </w:r>
      <w:r w:rsidRPr="00E528F7">
        <w:rPr>
          <w:noProof/>
        </w:rPr>
        <w:tab/>
      </w:r>
      <w:r w:rsidRPr="00E528F7">
        <w:rPr>
          <w:noProof/>
        </w:rPr>
        <w:fldChar w:fldCharType="begin"/>
      </w:r>
      <w:r w:rsidRPr="00E528F7">
        <w:rPr>
          <w:noProof/>
        </w:rPr>
        <w:instrText xml:space="preserve"> PAGEREF _Toc34157590 \h </w:instrText>
      </w:r>
      <w:r w:rsidRPr="00E528F7">
        <w:rPr>
          <w:noProof/>
        </w:rPr>
      </w:r>
      <w:r w:rsidRPr="00E528F7">
        <w:rPr>
          <w:noProof/>
        </w:rPr>
        <w:fldChar w:fldCharType="separate"/>
      </w:r>
      <w:r w:rsidR="00FA29AF">
        <w:rPr>
          <w:noProof/>
        </w:rPr>
        <w:t>112</w:t>
      </w:r>
      <w:r w:rsidRPr="00E528F7">
        <w:rPr>
          <w:noProof/>
        </w:rPr>
        <w:fldChar w:fldCharType="end"/>
      </w:r>
    </w:p>
    <w:p w14:paraId="5496271A"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33: Zamestnanosť ľudí vo veku 20 až 64 rokov (%)</w:t>
      </w:r>
      <w:r w:rsidRPr="00E528F7">
        <w:rPr>
          <w:noProof/>
        </w:rPr>
        <w:tab/>
      </w:r>
      <w:r w:rsidRPr="00E528F7">
        <w:rPr>
          <w:noProof/>
        </w:rPr>
        <w:fldChar w:fldCharType="begin"/>
      </w:r>
      <w:r w:rsidRPr="00E528F7">
        <w:rPr>
          <w:noProof/>
        </w:rPr>
        <w:instrText xml:space="preserve"> PAGEREF _Toc34157591 \h </w:instrText>
      </w:r>
      <w:r w:rsidRPr="00E528F7">
        <w:rPr>
          <w:noProof/>
        </w:rPr>
      </w:r>
      <w:r w:rsidRPr="00E528F7">
        <w:rPr>
          <w:noProof/>
        </w:rPr>
        <w:fldChar w:fldCharType="separate"/>
      </w:r>
      <w:r w:rsidR="00FA29AF">
        <w:rPr>
          <w:noProof/>
        </w:rPr>
        <w:t>115</w:t>
      </w:r>
      <w:r w:rsidRPr="00E528F7">
        <w:rPr>
          <w:noProof/>
        </w:rPr>
        <w:fldChar w:fldCharType="end"/>
      </w:r>
    </w:p>
    <w:p w14:paraId="1F66ED35"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34: Vývoj miery zamestnanosti invalidných dôchodcov (%)</w:t>
      </w:r>
      <w:r w:rsidRPr="00E528F7">
        <w:rPr>
          <w:noProof/>
        </w:rPr>
        <w:tab/>
      </w:r>
      <w:r w:rsidRPr="00E528F7">
        <w:rPr>
          <w:noProof/>
        </w:rPr>
        <w:fldChar w:fldCharType="begin"/>
      </w:r>
      <w:r w:rsidRPr="00E528F7">
        <w:rPr>
          <w:noProof/>
        </w:rPr>
        <w:instrText xml:space="preserve"> PAGEREF _Toc34157592 \h </w:instrText>
      </w:r>
      <w:r w:rsidRPr="00E528F7">
        <w:rPr>
          <w:noProof/>
        </w:rPr>
      </w:r>
      <w:r w:rsidRPr="00E528F7">
        <w:rPr>
          <w:noProof/>
        </w:rPr>
        <w:fldChar w:fldCharType="separate"/>
      </w:r>
      <w:r w:rsidR="00FA29AF">
        <w:rPr>
          <w:noProof/>
        </w:rPr>
        <w:t>115</w:t>
      </w:r>
      <w:r w:rsidRPr="00E528F7">
        <w:rPr>
          <w:noProof/>
        </w:rPr>
        <w:fldChar w:fldCharType="end"/>
      </w:r>
    </w:p>
    <w:p w14:paraId="4AA6DF26"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35: Zamestnanosť osamelých matiek a matiek v úplných rodinách (%, 2014)</w:t>
      </w:r>
      <w:r w:rsidRPr="00E528F7">
        <w:rPr>
          <w:noProof/>
        </w:rPr>
        <w:tab/>
      </w:r>
      <w:r w:rsidRPr="00E528F7">
        <w:rPr>
          <w:noProof/>
        </w:rPr>
        <w:fldChar w:fldCharType="begin"/>
      </w:r>
      <w:r w:rsidRPr="00E528F7">
        <w:rPr>
          <w:noProof/>
        </w:rPr>
        <w:instrText xml:space="preserve"> PAGEREF _Toc34157593 \h </w:instrText>
      </w:r>
      <w:r w:rsidRPr="00E528F7">
        <w:rPr>
          <w:noProof/>
        </w:rPr>
      </w:r>
      <w:r w:rsidRPr="00E528F7">
        <w:rPr>
          <w:noProof/>
        </w:rPr>
        <w:fldChar w:fldCharType="separate"/>
      </w:r>
      <w:r w:rsidR="00FA29AF">
        <w:rPr>
          <w:noProof/>
        </w:rPr>
        <w:t>116</w:t>
      </w:r>
      <w:r w:rsidRPr="00E528F7">
        <w:rPr>
          <w:noProof/>
        </w:rPr>
        <w:fldChar w:fldCharType="end"/>
      </w:r>
    </w:p>
    <w:p w14:paraId="7ECB86EC"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36: Zamestnanosť rodičov podľa druhu rodín a veku najmladšieho dieťaťa (%, 2011)</w:t>
      </w:r>
      <w:r w:rsidRPr="00E528F7">
        <w:rPr>
          <w:noProof/>
        </w:rPr>
        <w:tab/>
      </w:r>
      <w:r w:rsidRPr="00E528F7">
        <w:rPr>
          <w:noProof/>
        </w:rPr>
        <w:fldChar w:fldCharType="begin"/>
      </w:r>
      <w:r w:rsidRPr="00E528F7">
        <w:rPr>
          <w:noProof/>
        </w:rPr>
        <w:instrText xml:space="preserve"> PAGEREF _Toc34157594 \h </w:instrText>
      </w:r>
      <w:r w:rsidRPr="00E528F7">
        <w:rPr>
          <w:noProof/>
        </w:rPr>
      </w:r>
      <w:r w:rsidRPr="00E528F7">
        <w:rPr>
          <w:noProof/>
        </w:rPr>
        <w:fldChar w:fldCharType="separate"/>
      </w:r>
      <w:r w:rsidR="00FA29AF">
        <w:rPr>
          <w:noProof/>
        </w:rPr>
        <w:t>116</w:t>
      </w:r>
      <w:r w:rsidRPr="00E528F7">
        <w:rPr>
          <w:noProof/>
        </w:rPr>
        <w:fldChar w:fldCharType="end"/>
      </w:r>
    </w:p>
    <w:p w14:paraId="61040EEF"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37: Výdavky na AOTP a miera dlhodobej nezamestnanosti (2017)</w:t>
      </w:r>
      <w:r w:rsidRPr="00E528F7">
        <w:rPr>
          <w:noProof/>
        </w:rPr>
        <w:tab/>
      </w:r>
      <w:r w:rsidRPr="00E528F7">
        <w:rPr>
          <w:noProof/>
        </w:rPr>
        <w:fldChar w:fldCharType="begin"/>
      </w:r>
      <w:r w:rsidRPr="00E528F7">
        <w:rPr>
          <w:noProof/>
        </w:rPr>
        <w:instrText xml:space="preserve"> PAGEREF _Toc34157595 \h </w:instrText>
      </w:r>
      <w:r w:rsidRPr="00E528F7">
        <w:rPr>
          <w:noProof/>
        </w:rPr>
      </w:r>
      <w:r w:rsidRPr="00E528F7">
        <w:rPr>
          <w:noProof/>
        </w:rPr>
        <w:fldChar w:fldCharType="separate"/>
      </w:r>
      <w:r w:rsidR="00FA29AF">
        <w:rPr>
          <w:noProof/>
        </w:rPr>
        <w:t>119</w:t>
      </w:r>
      <w:r w:rsidRPr="00E528F7">
        <w:rPr>
          <w:noProof/>
        </w:rPr>
        <w:fldChar w:fldCharType="end"/>
      </w:r>
    </w:p>
    <w:p w14:paraId="73BDC2C2"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38: Výdavky na AOTP podľa nástroja (2017, % HDP)</w:t>
      </w:r>
      <w:r w:rsidRPr="00E528F7">
        <w:rPr>
          <w:noProof/>
        </w:rPr>
        <w:tab/>
      </w:r>
      <w:r w:rsidRPr="00E528F7">
        <w:rPr>
          <w:noProof/>
        </w:rPr>
        <w:fldChar w:fldCharType="begin"/>
      </w:r>
      <w:r w:rsidRPr="00E528F7">
        <w:rPr>
          <w:noProof/>
        </w:rPr>
        <w:instrText xml:space="preserve"> PAGEREF _Toc34157596 \h </w:instrText>
      </w:r>
      <w:r w:rsidRPr="00E528F7">
        <w:rPr>
          <w:noProof/>
        </w:rPr>
      </w:r>
      <w:r w:rsidRPr="00E528F7">
        <w:rPr>
          <w:noProof/>
        </w:rPr>
        <w:fldChar w:fldCharType="separate"/>
      </w:r>
      <w:r w:rsidR="00FA29AF">
        <w:rPr>
          <w:noProof/>
        </w:rPr>
        <w:t>119</w:t>
      </w:r>
      <w:r w:rsidRPr="00E528F7">
        <w:rPr>
          <w:noProof/>
        </w:rPr>
        <w:fldChar w:fldCharType="end"/>
      </w:r>
    </w:p>
    <w:p w14:paraId="51E587CF"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39</w:t>
      </w:r>
      <w:r w:rsidRPr="00E528F7">
        <w:rPr>
          <w:iCs/>
          <w:noProof/>
        </w:rPr>
        <w:t>: Štruktúra nástrojov AOTP podľa účasti (v % z celkového počtu účastníkov), 2017</w:t>
      </w:r>
      <w:r w:rsidRPr="00E528F7">
        <w:rPr>
          <w:noProof/>
        </w:rPr>
        <w:tab/>
      </w:r>
      <w:r w:rsidRPr="00E528F7">
        <w:rPr>
          <w:noProof/>
        </w:rPr>
        <w:fldChar w:fldCharType="begin"/>
      </w:r>
      <w:r w:rsidRPr="00E528F7">
        <w:rPr>
          <w:noProof/>
        </w:rPr>
        <w:instrText xml:space="preserve"> PAGEREF _Toc34157597 \h </w:instrText>
      </w:r>
      <w:r w:rsidRPr="00E528F7">
        <w:rPr>
          <w:noProof/>
        </w:rPr>
      </w:r>
      <w:r w:rsidRPr="00E528F7">
        <w:rPr>
          <w:noProof/>
        </w:rPr>
        <w:fldChar w:fldCharType="separate"/>
      </w:r>
      <w:r w:rsidR="00FA29AF">
        <w:rPr>
          <w:noProof/>
        </w:rPr>
        <w:t>121</w:t>
      </w:r>
      <w:r w:rsidRPr="00E528F7">
        <w:rPr>
          <w:noProof/>
        </w:rPr>
        <w:fldChar w:fldCharType="end"/>
      </w:r>
    </w:p>
    <w:p w14:paraId="6D97E970"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40: Vývoj a štruktúra výdavkov na AOTP pre OZP (mil. eur)</w:t>
      </w:r>
      <w:r w:rsidRPr="00E528F7">
        <w:rPr>
          <w:noProof/>
        </w:rPr>
        <w:tab/>
      </w:r>
      <w:r w:rsidRPr="00E528F7">
        <w:rPr>
          <w:noProof/>
        </w:rPr>
        <w:fldChar w:fldCharType="begin"/>
      </w:r>
      <w:r w:rsidRPr="00E528F7">
        <w:rPr>
          <w:noProof/>
        </w:rPr>
        <w:instrText xml:space="preserve"> PAGEREF _Toc34157598 \h </w:instrText>
      </w:r>
      <w:r w:rsidRPr="00E528F7">
        <w:rPr>
          <w:noProof/>
        </w:rPr>
      </w:r>
      <w:r w:rsidRPr="00E528F7">
        <w:rPr>
          <w:noProof/>
        </w:rPr>
        <w:fldChar w:fldCharType="separate"/>
      </w:r>
      <w:r w:rsidR="00FA29AF">
        <w:rPr>
          <w:noProof/>
        </w:rPr>
        <w:t>126</w:t>
      </w:r>
      <w:r w:rsidRPr="00E528F7">
        <w:rPr>
          <w:noProof/>
        </w:rPr>
        <w:fldChar w:fldCharType="end"/>
      </w:r>
    </w:p>
    <w:p w14:paraId="77E35456"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41: Podpora pracovných miest v chránenom prostredí a na otvorenom trhu práce</w:t>
      </w:r>
      <w:r w:rsidRPr="00E528F7">
        <w:rPr>
          <w:noProof/>
        </w:rPr>
        <w:tab/>
      </w:r>
      <w:r w:rsidRPr="00E528F7">
        <w:rPr>
          <w:noProof/>
        </w:rPr>
        <w:fldChar w:fldCharType="begin"/>
      </w:r>
      <w:r w:rsidRPr="00E528F7">
        <w:rPr>
          <w:noProof/>
        </w:rPr>
        <w:instrText xml:space="preserve"> PAGEREF _Toc34157599 \h </w:instrText>
      </w:r>
      <w:r w:rsidRPr="00E528F7">
        <w:rPr>
          <w:noProof/>
        </w:rPr>
      </w:r>
      <w:r w:rsidRPr="00E528F7">
        <w:rPr>
          <w:noProof/>
        </w:rPr>
        <w:fldChar w:fldCharType="separate"/>
      </w:r>
      <w:r w:rsidR="00FA29AF">
        <w:rPr>
          <w:noProof/>
        </w:rPr>
        <w:t>126</w:t>
      </w:r>
      <w:r w:rsidRPr="00E528F7">
        <w:rPr>
          <w:noProof/>
        </w:rPr>
        <w:fldChar w:fldCharType="end"/>
      </w:r>
    </w:p>
    <w:p w14:paraId="672761BF"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42: Plnenie povinného podielu podľa spôsobu (tisíc)</w:t>
      </w:r>
      <w:r w:rsidRPr="00E528F7">
        <w:rPr>
          <w:noProof/>
        </w:rPr>
        <w:tab/>
      </w:r>
      <w:r w:rsidRPr="00E528F7">
        <w:rPr>
          <w:noProof/>
        </w:rPr>
        <w:fldChar w:fldCharType="begin"/>
      </w:r>
      <w:r w:rsidRPr="00E528F7">
        <w:rPr>
          <w:noProof/>
        </w:rPr>
        <w:instrText xml:space="preserve"> PAGEREF _Toc34157600 \h </w:instrText>
      </w:r>
      <w:r w:rsidRPr="00E528F7">
        <w:rPr>
          <w:noProof/>
        </w:rPr>
      </w:r>
      <w:r w:rsidRPr="00E528F7">
        <w:rPr>
          <w:noProof/>
        </w:rPr>
        <w:fldChar w:fldCharType="separate"/>
      </w:r>
      <w:r w:rsidR="00FA29AF">
        <w:rPr>
          <w:noProof/>
        </w:rPr>
        <w:t>129</w:t>
      </w:r>
      <w:r w:rsidRPr="00E528F7">
        <w:rPr>
          <w:noProof/>
        </w:rPr>
        <w:fldChar w:fldCharType="end"/>
      </w:r>
    </w:p>
    <w:p w14:paraId="6CDDDBFD"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43: Podiel subjektov zamestnávajúcich viac ako povinný počet OZP (%)</w:t>
      </w:r>
      <w:r w:rsidRPr="00E528F7">
        <w:rPr>
          <w:noProof/>
        </w:rPr>
        <w:tab/>
      </w:r>
      <w:r w:rsidRPr="00E528F7">
        <w:rPr>
          <w:noProof/>
        </w:rPr>
        <w:fldChar w:fldCharType="begin"/>
      </w:r>
      <w:r w:rsidRPr="00E528F7">
        <w:rPr>
          <w:noProof/>
        </w:rPr>
        <w:instrText xml:space="preserve"> PAGEREF _Toc34157601 \h </w:instrText>
      </w:r>
      <w:r w:rsidRPr="00E528F7">
        <w:rPr>
          <w:noProof/>
        </w:rPr>
      </w:r>
      <w:r w:rsidRPr="00E528F7">
        <w:rPr>
          <w:noProof/>
        </w:rPr>
        <w:fldChar w:fldCharType="separate"/>
      </w:r>
      <w:r w:rsidR="00FA29AF">
        <w:rPr>
          <w:noProof/>
        </w:rPr>
        <w:t>129</w:t>
      </w:r>
      <w:r w:rsidRPr="00E528F7">
        <w:rPr>
          <w:noProof/>
        </w:rPr>
        <w:fldChar w:fldCharType="end"/>
      </w:r>
    </w:p>
    <w:p w14:paraId="164D5F91"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44: Účasť detí vo veku do 3 rokov na formálnej a neformálnej starostlivosti (%, 2017)</w:t>
      </w:r>
      <w:r w:rsidRPr="00E528F7">
        <w:rPr>
          <w:noProof/>
        </w:rPr>
        <w:tab/>
      </w:r>
      <w:r w:rsidRPr="00E528F7">
        <w:rPr>
          <w:noProof/>
        </w:rPr>
        <w:fldChar w:fldCharType="begin"/>
      </w:r>
      <w:r w:rsidRPr="00E528F7">
        <w:rPr>
          <w:noProof/>
        </w:rPr>
        <w:instrText xml:space="preserve"> PAGEREF _Toc34157602 \h </w:instrText>
      </w:r>
      <w:r w:rsidRPr="00E528F7">
        <w:rPr>
          <w:noProof/>
        </w:rPr>
      </w:r>
      <w:r w:rsidRPr="00E528F7">
        <w:rPr>
          <w:noProof/>
        </w:rPr>
        <w:fldChar w:fldCharType="separate"/>
      </w:r>
      <w:r w:rsidR="00FA29AF">
        <w:rPr>
          <w:noProof/>
        </w:rPr>
        <w:t>132</w:t>
      </w:r>
      <w:r w:rsidRPr="00E528F7">
        <w:rPr>
          <w:noProof/>
        </w:rPr>
        <w:fldChar w:fldCharType="end"/>
      </w:r>
    </w:p>
    <w:p w14:paraId="3157EB75"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45: Počet detí podporených pp. na starostlivosť o dieťa podľa kraja a výšky poplatku (december 2019)</w:t>
      </w:r>
      <w:r w:rsidRPr="00E528F7">
        <w:rPr>
          <w:noProof/>
        </w:rPr>
        <w:tab/>
      </w:r>
      <w:r w:rsidRPr="00E528F7">
        <w:rPr>
          <w:noProof/>
        </w:rPr>
        <w:fldChar w:fldCharType="begin"/>
      </w:r>
      <w:r w:rsidRPr="00E528F7">
        <w:rPr>
          <w:noProof/>
        </w:rPr>
        <w:instrText xml:space="preserve"> PAGEREF _Toc34157603 \h </w:instrText>
      </w:r>
      <w:r w:rsidRPr="00E528F7">
        <w:rPr>
          <w:noProof/>
        </w:rPr>
      </w:r>
      <w:r w:rsidRPr="00E528F7">
        <w:rPr>
          <w:noProof/>
        </w:rPr>
        <w:fldChar w:fldCharType="separate"/>
      </w:r>
      <w:r w:rsidR="00FA29AF">
        <w:rPr>
          <w:noProof/>
        </w:rPr>
        <w:t>132</w:t>
      </w:r>
      <w:r w:rsidRPr="00E528F7">
        <w:rPr>
          <w:noProof/>
        </w:rPr>
        <w:fldChar w:fldCharType="end"/>
      </w:r>
    </w:p>
    <w:p w14:paraId="14F0C0AC"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46</w:t>
      </w:r>
      <w:r w:rsidRPr="00E528F7">
        <w:rPr>
          <w:iCs/>
          <w:noProof/>
        </w:rPr>
        <w:t>: Vývoj pomoci v hmotnej núdzi</w:t>
      </w:r>
      <w:r w:rsidRPr="00E528F7">
        <w:rPr>
          <w:noProof/>
        </w:rPr>
        <w:tab/>
      </w:r>
      <w:r w:rsidRPr="00E528F7">
        <w:rPr>
          <w:noProof/>
        </w:rPr>
        <w:fldChar w:fldCharType="begin"/>
      </w:r>
      <w:r w:rsidRPr="00E528F7">
        <w:rPr>
          <w:noProof/>
        </w:rPr>
        <w:instrText xml:space="preserve"> PAGEREF _Toc34157604 \h </w:instrText>
      </w:r>
      <w:r w:rsidRPr="00E528F7">
        <w:rPr>
          <w:noProof/>
        </w:rPr>
      </w:r>
      <w:r w:rsidRPr="00E528F7">
        <w:rPr>
          <w:noProof/>
        </w:rPr>
        <w:fldChar w:fldCharType="separate"/>
      </w:r>
      <w:r w:rsidR="00FA29AF">
        <w:rPr>
          <w:noProof/>
        </w:rPr>
        <w:t>139</w:t>
      </w:r>
      <w:r w:rsidRPr="00E528F7">
        <w:rPr>
          <w:noProof/>
        </w:rPr>
        <w:fldChar w:fldCharType="end"/>
      </w:r>
    </w:p>
    <w:p w14:paraId="731C3FCD"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47</w:t>
      </w:r>
      <w:r w:rsidRPr="00E528F7">
        <w:rPr>
          <w:iCs/>
          <w:noProof/>
        </w:rPr>
        <w:t>: Životné minimum a pomoc v hmotnej núdzi ako podiel stredného príjmu v hospodárstve (%)</w:t>
      </w:r>
      <w:r w:rsidRPr="00E528F7">
        <w:rPr>
          <w:noProof/>
        </w:rPr>
        <w:tab/>
      </w:r>
      <w:r w:rsidRPr="00E528F7">
        <w:rPr>
          <w:noProof/>
        </w:rPr>
        <w:fldChar w:fldCharType="begin"/>
      </w:r>
      <w:r w:rsidRPr="00E528F7">
        <w:rPr>
          <w:noProof/>
        </w:rPr>
        <w:instrText xml:space="preserve"> PAGEREF _Toc34157605 \h </w:instrText>
      </w:r>
      <w:r w:rsidRPr="00E528F7">
        <w:rPr>
          <w:noProof/>
        </w:rPr>
      </w:r>
      <w:r w:rsidRPr="00E528F7">
        <w:rPr>
          <w:noProof/>
        </w:rPr>
        <w:fldChar w:fldCharType="separate"/>
      </w:r>
      <w:r w:rsidR="00FA29AF">
        <w:rPr>
          <w:noProof/>
        </w:rPr>
        <w:t>139</w:t>
      </w:r>
      <w:r w:rsidRPr="00E528F7">
        <w:rPr>
          <w:noProof/>
        </w:rPr>
        <w:fldChar w:fldCharType="end"/>
      </w:r>
    </w:p>
    <w:p w14:paraId="1DC899F4"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 xml:space="preserve">Graf </w:t>
      </w:r>
      <w:r w:rsidRPr="00E528F7">
        <w:rPr>
          <w:iCs/>
          <w:noProof/>
        </w:rPr>
        <w:t>48</w:t>
      </w:r>
      <w:r w:rsidRPr="00E528F7">
        <w:rPr>
          <w:noProof/>
        </w:rPr>
        <w:t>: Minimálny garantovaný príjem ako percento stredného príjmu v hospodárstve, 2018</w:t>
      </w:r>
      <w:r w:rsidRPr="00E528F7">
        <w:rPr>
          <w:noProof/>
        </w:rPr>
        <w:tab/>
      </w:r>
      <w:r w:rsidRPr="00E528F7">
        <w:rPr>
          <w:noProof/>
        </w:rPr>
        <w:fldChar w:fldCharType="begin"/>
      </w:r>
      <w:r w:rsidRPr="00E528F7">
        <w:rPr>
          <w:noProof/>
        </w:rPr>
        <w:instrText xml:space="preserve"> PAGEREF _Toc34157606 \h </w:instrText>
      </w:r>
      <w:r w:rsidRPr="00E528F7">
        <w:rPr>
          <w:noProof/>
        </w:rPr>
      </w:r>
      <w:r w:rsidRPr="00E528F7">
        <w:rPr>
          <w:noProof/>
        </w:rPr>
        <w:fldChar w:fldCharType="separate"/>
      </w:r>
      <w:r w:rsidR="00FA29AF">
        <w:rPr>
          <w:noProof/>
        </w:rPr>
        <w:t>140</w:t>
      </w:r>
      <w:r w:rsidRPr="00E528F7">
        <w:rPr>
          <w:noProof/>
        </w:rPr>
        <w:fldChar w:fldCharType="end"/>
      </w:r>
    </w:p>
    <w:p w14:paraId="33C6F07F"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49</w:t>
      </w:r>
      <w:r w:rsidRPr="00E528F7">
        <w:rPr>
          <w:iCs/>
          <w:noProof/>
        </w:rPr>
        <w:t>: Podiel UoZ v systéme PHN, ktorým vznikol nárok na aktivačný príspevok (%)</w:t>
      </w:r>
      <w:r w:rsidRPr="00E528F7">
        <w:rPr>
          <w:noProof/>
        </w:rPr>
        <w:tab/>
      </w:r>
      <w:r w:rsidRPr="00E528F7">
        <w:rPr>
          <w:noProof/>
        </w:rPr>
        <w:fldChar w:fldCharType="begin"/>
      </w:r>
      <w:r w:rsidRPr="00E528F7">
        <w:rPr>
          <w:noProof/>
        </w:rPr>
        <w:instrText xml:space="preserve"> PAGEREF _Toc34157607 \h </w:instrText>
      </w:r>
      <w:r w:rsidRPr="00E528F7">
        <w:rPr>
          <w:noProof/>
        </w:rPr>
      </w:r>
      <w:r w:rsidRPr="00E528F7">
        <w:rPr>
          <w:noProof/>
        </w:rPr>
        <w:fldChar w:fldCharType="separate"/>
      </w:r>
      <w:r w:rsidR="00FA29AF">
        <w:rPr>
          <w:noProof/>
        </w:rPr>
        <w:t>143</w:t>
      </w:r>
      <w:r w:rsidRPr="00E528F7">
        <w:rPr>
          <w:noProof/>
        </w:rPr>
        <w:fldChar w:fldCharType="end"/>
      </w:r>
    </w:p>
    <w:p w14:paraId="7204FD38"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50</w:t>
      </w:r>
      <w:r w:rsidRPr="00E528F7">
        <w:rPr>
          <w:iCs/>
          <w:noProof/>
        </w:rPr>
        <w:t>: Podiel populácie v obci, ktorý tvoria UoZ v systéme PHN a pokrytie aktivačného príspevku, 2018</w:t>
      </w:r>
      <w:r w:rsidRPr="00E528F7">
        <w:rPr>
          <w:noProof/>
        </w:rPr>
        <w:tab/>
      </w:r>
      <w:r w:rsidRPr="00E528F7">
        <w:rPr>
          <w:noProof/>
        </w:rPr>
        <w:fldChar w:fldCharType="begin"/>
      </w:r>
      <w:r w:rsidRPr="00E528F7">
        <w:rPr>
          <w:noProof/>
        </w:rPr>
        <w:instrText xml:space="preserve"> PAGEREF _Toc34157608 \h </w:instrText>
      </w:r>
      <w:r w:rsidRPr="00E528F7">
        <w:rPr>
          <w:noProof/>
        </w:rPr>
      </w:r>
      <w:r w:rsidRPr="00E528F7">
        <w:rPr>
          <w:noProof/>
        </w:rPr>
        <w:fldChar w:fldCharType="separate"/>
      </w:r>
      <w:r w:rsidR="00FA29AF">
        <w:rPr>
          <w:noProof/>
        </w:rPr>
        <w:t>143</w:t>
      </w:r>
      <w:r w:rsidRPr="00E528F7">
        <w:rPr>
          <w:noProof/>
        </w:rPr>
        <w:fldChar w:fldCharType="end"/>
      </w:r>
    </w:p>
    <w:p w14:paraId="44733951"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51: Vývoj osobitného príspevku</w:t>
      </w:r>
      <w:r w:rsidRPr="00E528F7">
        <w:rPr>
          <w:noProof/>
        </w:rPr>
        <w:tab/>
      </w:r>
      <w:r w:rsidRPr="00E528F7">
        <w:rPr>
          <w:noProof/>
        </w:rPr>
        <w:fldChar w:fldCharType="begin"/>
      </w:r>
      <w:r w:rsidRPr="00E528F7">
        <w:rPr>
          <w:noProof/>
        </w:rPr>
        <w:instrText xml:space="preserve"> PAGEREF _Toc34157609 \h </w:instrText>
      </w:r>
      <w:r w:rsidRPr="00E528F7">
        <w:rPr>
          <w:noProof/>
        </w:rPr>
      </w:r>
      <w:r w:rsidRPr="00E528F7">
        <w:rPr>
          <w:noProof/>
        </w:rPr>
        <w:fldChar w:fldCharType="separate"/>
      </w:r>
      <w:r w:rsidR="00FA29AF">
        <w:rPr>
          <w:noProof/>
        </w:rPr>
        <w:t>145</w:t>
      </w:r>
      <w:r w:rsidRPr="00E528F7">
        <w:rPr>
          <w:noProof/>
        </w:rPr>
        <w:fldChar w:fldCharType="end"/>
      </w:r>
    </w:p>
    <w:p w14:paraId="136AA887"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52: Kumulatívny podiel prijímateľov OP, ktorí sa vrátili do evidencie UoZ podľa dĺžky poberania OP</w:t>
      </w:r>
      <w:r w:rsidRPr="00E528F7">
        <w:rPr>
          <w:noProof/>
        </w:rPr>
        <w:tab/>
      </w:r>
      <w:r w:rsidRPr="00E528F7">
        <w:rPr>
          <w:noProof/>
        </w:rPr>
        <w:fldChar w:fldCharType="begin"/>
      </w:r>
      <w:r w:rsidRPr="00E528F7">
        <w:rPr>
          <w:noProof/>
        </w:rPr>
        <w:instrText xml:space="preserve"> PAGEREF _Toc34157610 \h </w:instrText>
      </w:r>
      <w:r w:rsidRPr="00E528F7">
        <w:rPr>
          <w:noProof/>
        </w:rPr>
      </w:r>
      <w:r w:rsidRPr="00E528F7">
        <w:rPr>
          <w:noProof/>
        </w:rPr>
        <w:fldChar w:fldCharType="separate"/>
      </w:r>
      <w:r w:rsidR="00FA29AF">
        <w:rPr>
          <w:noProof/>
        </w:rPr>
        <w:t>145</w:t>
      </w:r>
      <w:r w:rsidRPr="00E528F7">
        <w:rPr>
          <w:noProof/>
        </w:rPr>
        <w:fldChar w:fldCharType="end"/>
      </w:r>
    </w:p>
    <w:p w14:paraId="7DCFFD2F"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53</w:t>
      </w:r>
      <w:r w:rsidRPr="00E528F7">
        <w:rPr>
          <w:iCs/>
          <w:noProof/>
        </w:rPr>
        <w:t>: Pasca inaktivity: efektívna daň pri nástupe s platom na úrovni minimálnej mzdy, 2018 (%)</w:t>
      </w:r>
      <w:r w:rsidRPr="00E528F7">
        <w:rPr>
          <w:noProof/>
        </w:rPr>
        <w:tab/>
      </w:r>
      <w:r w:rsidRPr="00E528F7">
        <w:rPr>
          <w:noProof/>
        </w:rPr>
        <w:fldChar w:fldCharType="begin"/>
      </w:r>
      <w:r w:rsidRPr="00E528F7">
        <w:rPr>
          <w:noProof/>
        </w:rPr>
        <w:instrText xml:space="preserve"> PAGEREF _Toc34157611 \h </w:instrText>
      </w:r>
      <w:r w:rsidRPr="00E528F7">
        <w:rPr>
          <w:noProof/>
        </w:rPr>
      </w:r>
      <w:r w:rsidRPr="00E528F7">
        <w:rPr>
          <w:noProof/>
        </w:rPr>
        <w:fldChar w:fldCharType="separate"/>
      </w:r>
      <w:r w:rsidR="00FA29AF">
        <w:rPr>
          <w:noProof/>
        </w:rPr>
        <w:t>146</w:t>
      </w:r>
      <w:r w:rsidRPr="00E528F7">
        <w:rPr>
          <w:noProof/>
        </w:rPr>
        <w:fldChar w:fldCharType="end"/>
      </w:r>
    </w:p>
    <w:p w14:paraId="2F30F27B"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54</w:t>
      </w:r>
      <w:r w:rsidRPr="00E528F7">
        <w:rPr>
          <w:iCs/>
          <w:noProof/>
        </w:rPr>
        <w:t xml:space="preserve">: </w:t>
      </w:r>
      <w:r w:rsidRPr="00E528F7">
        <w:rPr>
          <w:noProof/>
        </w:rPr>
        <w:t>Vývoj príjmu z dávok a z práce za min. mzdu pre dlhodobo nezamestnaného občana (eur)</w:t>
      </w:r>
      <w:r w:rsidRPr="00E528F7">
        <w:rPr>
          <w:noProof/>
        </w:rPr>
        <w:tab/>
      </w:r>
      <w:r w:rsidRPr="00E528F7">
        <w:rPr>
          <w:noProof/>
        </w:rPr>
        <w:fldChar w:fldCharType="begin"/>
      </w:r>
      <w:r w:rsidRPr="00E528F7">
        <w:rPr>
          <w:noProof/>
        </w:rPr>
        <w:instrText xml:space="preserve"> PAGEREF _Toc34157612 \h </w:instrText>
      </w:r>
      <w:r w:rsidRPr="00E528F7">
        <w:rPr>
          <w:noProof/>
        </w:rPr>
      </w:r>
      <w:r w:rsidRPr="00E528F7">
        <w:rPr>
          <w:noProof/>
        </w:rPr>
        <w:fldChar w:fldCharType="separate"/>
      </w:r>
      <w:r w:rsidR="00FA29AF">
        <w:rPr>
          <w:noProof/>
        </w:rPr>
        <w:t>146</w:t>
      </w:r>
      <w:r w:rsidRPr="00E528F7">
        <w:rPr>
          <w:noProof/>
        </w:rPr>
        <w:fldChar w:fldCharType="end"/>
      </w:r>
    </w:p>
    <w:p w14:paraId="03D31CA6"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55: Miera rizika chudoby detí do 16 rokov pred a po sociálnych transferoch, 2018</w:t>
      </w:r>
      <w:r w:rsidRPr="00E528F7">
        <w:rPr>
          <w:noProof/>
        </w:rPr>
        <w:tab/>
      </w:r>
      <w:r w:rsidRPr="00E528F7">
        <w:rPr>
          <w:noProof/>
        </w:rPr>
        <w:fldChar w:fldCharType="begin"/>
      </w:r>
      <w:r w:rsidRPr="00E528F7">
        <w:rPr>
          <w:noProof/>
        </w:rPr>
        <w:instrText xml:space="preserve"> PAGEREF _Toc34157613 \h </w:instrText>
      </w:r>
      <w:r w:rsidRPr="00E528F7">
        <w:rPr>
          <w:noProof/>
        </w:rPr>
      </w:r>
      <w:r w:rsidRPr="00E528F7">
        <w:rPr>
          <w:noProof/>
        </w:rPr>
        <w:fldChar w:fldCharType="separate"/>
      </w:r>
      <w:r w:rsidR="00FA29AF">
        <w:rPr>
          <w:noProof/>
        </w:rPr>
        <w:t>147</w:t>
      </w:r>
      <w:r w:rsidRPr="00E528F7">
        <w:rPr>
          <w:noProof/>
        </w:rPr>
        <w:fldChar w:fldCharType="end"/>
      </w:r>
    </w:p>
    <w:p w14:paraId="54FEB61D"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56: Relatívna hĺbka chudoby detí, 2018</w:t>
      </w:r>
      <w:r w:rsidRPr="00E528F7">
        <w:rPr>
          <w:noProof/>
        </w:rPr>
        <w:tab/>
      </w:r>
      <w:r w:rsidRPr="00E528F7">
        <w:rPr>
          <w:noProof/>
        </w:rPr>
        <w:fldChar w:fldCharType="begin"/>
      </w:r>
      <w:r w:rsidRPr="00E528F7">
        <w:rPr>
          <w:noProof/>
        </w:rPr>
        <w:instrText xml:space="preserve"> PAGEREF _Toc34157614 \h </w:instrText>
      </w:r>
      <w:r w:rsidRPr="00E528F7">
        <w:rPr>
          <w:noProof/>
        </w:rPr>
      </w:r>
      <w:r w:rsidRPr="00E528F7">
        <w:rPr>
          <w:noProof/>
        </w:rPr>
        <w:fldChar w:fldCharType="separate"/>
      </w:r>
      <w:r w:rsidR="00FA29AF">
        <w:rPr>
          <w:noProof/>
        </w:rPr>
        <w:t>147</w:t>
      </w:r>
      <w:r w:rsidRPr="00E528F7">
        <w:rPr>
          <w:noProof/>
        </w:rPr>
        <w:fldChar w:fldCharType="end"/>
      </w:r>
    </w:p>
    <w:p w14:paraId="4A9D5E03"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57: Dopad rodičovského príspevku na príjem domácnosti 2 dospelých a 2 detí (2020)</w:t>
      </w:r>
      <w:r w:rsidRPr="00E528F7">
        <w:rPr>
          <w:noProof/>
        </w:rPr>
        <w:tab/>
      </w:r>
      <w:r w:rsidRPr="00E528F7">
        <w:rPr>
          <w:noProof/>
        </w:rPr>
        <w:fldChar w:fldCharType="begin"/>
      </w:r>
      <w:r w:rsidRPr="00E528F7">
        <w:rPr>
          <w:noProof/>
        </w:rPr>
        <w:instrText xml:space="preserve"> PAGEREF _Toc34157615 \h </w:instrText>
      </w:r>
      <w:r w:rsidRPr="00E528F7">
        <w:rPr>
          <w:noProof/>
        </w:rPr>
      </w:r>
      <w:r w:rsidRPr="00E528F7">
        <w:rPr>
          <w:noProof/>
        </w:rPr>
        <w:fldChar w:fldCharType="separate"/>
      </w:r>
      <w:r w:rsidR="00FA29AF">
        <w:rPr>
          <w:noProof/>
        </w:rPr>
        <w:t>148</w:t>
      </w:r>
      <w:r w:rsidRPr="00E528F7">
        <w:rPr>
          <w:noProof/>
        </w:rPr>
        <w:fldChar w:fldCharType="end"/>
      </w:r>
    </w:p>
    <w:p w14:paraId="122C6D03"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58: Príjem rodiny dvoch dospelých bez vlastného príjmu pred a po narodení prvého dieťaťa, (eur, 2020)</w:t>
      </w:r>
      <w:r w:rsidRPr="00E528F7">
        <w:rPr>
          <w:noProof/>
        </w:rPr>
        <w:tab/>
      </w:r>
      <w:r w:rsidRPr="00E528F7">
        <w:rPr>
          <w:noProof/>
        </w:rPr>
        <w:fldChar w:fldCharType="begin"/>
      </w:r>
      <w:r w:rsidRPr="00E528F7">
        <w:rPr>
          <w:noProof/>
        </w:rPr>
        <w:instrText xml:space="preserve"> PAGEREF _Toc34157616 \h </w:instrText>
      </w:r>
      <w:r w:rsidRPr="00E528F7">
        <w:rPr>
          <w:noProof/>
        </w:rPr>
      </w:r>
      <w:r w:rsidRPr="00E528F7">
        <w:rPr>
          <w:noProof/>
        </w:rPr>
        <w:fldChar w:fldCharType="separate"/>
      </w:r>
      <w:r w:rsidR="00FA29AF">
        <w:rPr>
          <w:noProof/>
        </w:rPr>
        <w:t>148</w:t>
      </w:r>
      <w:r w:rsidRPr="00E528F7">
        <w:rPr>
          <w:noProof/>
        </w:rPr>
        <w:fldChar w:fldCharType="end"/>
      </w:r>
    </w:p>
    <w:p w14:paraId="4D5ED059"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 xml:space="preserve">Graf </w:t>
      </w:r>
      <w:r w:rsidRPr="00E528F7">
        <w:rPr>
          <w:iCs/>
          <w:noProof/>
        </w:rPr>
        <w:t>59</w:t>
      </w:r>
      <w:r w:rsidRPr="00E528F7">
        <w:rPr>
          <w:noProof/>
        </w:rPr>
        <w:t>: Miera rizika chudoby osôb so zdrav. znevýhodnením pred a po soc. transferoch (%, 2018)</w:t>
      </w:r>
      <w:r w:rsidRPr="00E528F7">
        <w:rPr>
          <w:noProof/>
        </w:rPr>
        <w:tab/>
      </w:r>
      <w:r w:rsidRPr="00E528F7">
        <w:rPr>
          <w:noProof/>
        </w:rPr>
        <w:fldChar w:fldCharType="begin"/>
      </w:r>
      <w:r w:rsidRPr="00E528F7">
        <w:rPr>
          <w:noProof/>
        </w:rPr>
        <w:instrText xml:space="preserve"> PAGEREF _Toc34157617 \h </w:instrText>
      </w:r>
      <w:r w:rsidRPr="00E528F7">
        <w:rPr>
          <w:noProof/>
        </w:rPr>
      </w:r>
      <w:r w:rsidRPr="00E528F7">
        <w:rPr>
          <w:noProof/>
        </w:rPr>
        <w:fldChar w:fldCharType="separate"/>
      </w:r>
      <w:r w:rsidR="00FA29AF">
        <w:rPr>
          <w:noProof/>
        </w:rPr>
        <w:t>152</w:t>
      </w:r>
      <w:r w:rsidRPr="00E528F7">
        <w:rPr>
          <w:noProof/>
        </w:rPr>
        <w:fldChar w:fldCharType="end"/>
      </w:r>
    </w:p>
    <w:p w14:paraId="496BD261"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60: Štruktúra výdavkov na kompenzáciu sociálnych dôsledkov ŤZP, mil. eur</w:t>
      </w:r>
      <w:r w:rsidRPr="00E528F7">
        <w:rPr>
          <w:noProof/>
        </w:rPr>
        <w:tab/>
      </w:r>
      <w:r w:rsidRPr="00E528F7">
        <w:rPr>
          <w:noProof/>
        </w:rPr>
        <w:fldChar w:fldCharType="begin"/>
      </w:r>
      <w:r w:rsidRPr="00E528F7">
        <w:rPr>
          <w:noProof/>
        </w:rPr>
        <w:instrText xml:space="preserve"> PAGEREF _Toc34157618 \h </w:instrText>
      </w:r>
      <w:r w:rsidRPr="00E528F7">
        <w:rPr>
          <w:noProof/>
        </w:rPr>
      </w:r>
      <w:r w:rsidRPr="00E528F7">
        <w:rPr>
          <w:noProof/>
        </w:rPr>
        <w:fldChar w:fldCharType="separate"/>
      </w:r>
      <w:r w:rsidR="00FA29AF">
        <w:rPr>
          <w:noProof/>
        </w:rPr>
        <w:t>153</w:t>
      </w:r>
      <w:r w:rsidRPr="00E528F7">
        <w:rPr>
          <w:noProof/>
        </w:rPr>
        <w:fldChar w:fldCharType="end"/>
      </w:r>
    </w:p>
    <w:p w14:paraId="4872AA3B"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61: Príspevok na opatrovanie jednej osoby s ŤZP osobou v produktívnom veku</w:t>
      </w:r>
      <w:r w:rsidRPr="00E528F7">
        <w:rPr>
          <w:noProof/>
        </w:rPr>
        <w:tab/>
      </w:r>
      <w:r w:rsidRPr="00E528F7">
        <w:rPr>
          <w:noProof/>
        </w:rPr>
        <w:fldChar w:fldCharType="begin"/>
      </w:r>
      <w:r w:rsidRPr="00E528F7">
        <w:rPr>
          <w:noProof/>
        </w:rPr>
        <w:instrText xml:space="preserve"> PAGEREF _Toc34157619 \h </w:instrText>
      </w:r>
      <w:r w:rsidRPr="00E528F7">
        <w:rPr>
          <w:noProof/>
        </w:rPr>
      </w:r>
      <w:r w:rsidRPr="00E528F7">
        <w:rPr>
          <w:noProof/>
        </w:rPr>
        <w:fldChar w:fldCharType="separate"/>
      </w:r>
      <w:r w:rsidR="00FA29AF">
        <w:rPr>
          <w:noProof/>
        </w:rPr>
        <w:t>153</w:t>
      </w:r>
      <w:r w:rsidRPr="00E528F7">
        <w:rPr>
          <w:noProof/>
        </w:rPr>
        <w:fldChar w:fldCharType="end"/>
      </w:r>
    </w:p>
    <w:p w14:paraId="71F96ED9"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 xml:space="preserve">Graf </w:t>
      </w:r>
      <w:r w:rsidRPr="00E528F7">
        <w:rPr>
          <w:iCs/>
          <w:noProof/>
        </w:rPr>
        <w:t>62</w:t>
      </w:r>
      <w:r w:rsidRPr="00E528F7">
        <w:rPr>
          <w:noProof/>
        </w:rPr>
        <w:t>: Daň z participácie pri príspevku na osobnú asistenciu (%, 2018)</w:t>
      </w:r>
      <w:r w:rsidRPr="00E528F7">
        <w:rPr>
          <w:noProof/>
        </w:rPr>
        <w:tab/>
      </w:r>
      <w:r w:rsidRPr="00E528F7">
        <w:rPr>
          <w:noProof/>
        </w:rPr>
        <w:fldChar w:fldCharType="begin"/>
      </w:r>
      <w:r w:rsidRPr="00E528F7">
        <w:rPr>
          <w:noProof/>
        </w:rPr>
        <w:instrText xml:space="preserve"> PAGEREF _Toc34157620 \h </w:instrText>
      </w:r>
      <w:r w:rsidRPr="00E528F7">
        <w:rPr>
          <w:noProof/>
        </w:rPr>
      </w:r>
      <w:r w:rsidRPr="00E528F7">
        <w:rPr>
          <w:noProof/>
        </w:rPr>
        <w:fldChar w:fldCharType="separate"/>
      </w:r>
      <w:r w:rsidR="00FA29AF">
        <w:rPr>
          <w:noProof/>
        </w:rPr>
        <w:t>155</w:t>
      </w:r>
      <w:r w:rsidRPr="00E528F7">
        <w:rPr>
          <w:noProof/>
        </w:rPr>
        <w:fldChar w:fldCharType="end"/>
      </w:r>
    </w:p>
    <w:p w14:paraId="091E7DBC"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lastRenderedPageBreak/>
        <w:t>Graf 63: Priemerné invalidné dôchodky ako % stredného ekvivalentného disponibilného príjmu</w:t>
      </w:r>
      <w:r w:rsidRPr="00E528F7">
        <w:rPr>
          <w:noProof/>
        </w:rPr>
        <w:tab/>
      </w:r>
      <w:r w:rsidRPr="00E528F7">
        <w:rPr>
          <w:noProof/>
        </w:rPr>
        <w:fldChar w:fldCharType="begin"/>
      </w:r>
      <w:r w:rsidRPr="00E528F7">
        <w:rPr>
          <w:noProof/>
        </w:rPr>
        <w:instrText xml:space="preserve"> PAGEREF _Toc34157621 \h </w:instrText>
      </w:r>
      <w:r w:rsidRPr="00E528F7">
        <w:rPr>
          <w:noProof/>
        </w:rPr>
      </w:r>
      <w:r w:rsidRPr="00E528F7">
        <w:rPr>
          <w:noProof/>
        </w:rPr>
        <w:fldChar w:fldCharType="separate"/>
      </w:r>
      <w:r w:rsidR="00FA29AF">
        <w:rPr>
          <w:noProof/>
        </w:rPr>
        <w:t>157</w:t>
      </w:r>
      <w:r w:rsidRPr="00E528F7">
        <w:rPr>
          <w:noProof/>
        </w:rPr>
        <w:fldChar w:fldCharType="end"/>
      </w:r>
    </w:p>
    <w:p w14:paraId="71CA555C"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64: Zmena vo výške príjmu z práce po priznaní invalidity</w:t>
      </w:r>
      <w:r w:rsidRPr="00E528F7">
        <w:rPr>
          <w:noProof/>
        </w:rPr>
        <w:tab/>
      </w:r>
      <w:r w:rsidRPr="00E528F7">
        <w:rPr>
          <w:noProof/>
        </w:rPr>
        <w:fldChar w:fldCharType="begin"/>
      </w:r>
      <w:r w:rsidRPr="00E528F7">
        <w:rPr>
          <w:noProof/>
        </w:rPr>
        <w:instrText xml:space="preserve"> PAGEREF _Toc34157622 \h </w:instrText>
      </w:r>
      <w:r w:rsidRPr="00E528F7">
        <w:rPr>
          <w:noProof/>
        </w:rPr>
      </w:r>
      <w:r w:rsidRPr="00E528F7">
        <w:rPr>
          <w:noProof/>
        </w:rPr>
        <w:fldChar w:fldCharType="separate"/>
      </w:r>
      <w:r w:rsidR="00FA29AF">
        <w:rPr>
          <w:noProof/>
        </w:rPr>
        <w:t>157</w:t>
      </w:r>
      <w:r w:rsidRPr="00E528F7">
        <w:rPr>
          <w:noProof/>
        </w:rPr>
        <w:fldChar w:fldCharType="end"/>
      </w:r>
    </w:p>
    <w:p w14:paraId="7A398FDF"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 xml:space="preserve">Graf </w:t>
      </w:r>
      <w:r w:rsidRPr="00E528F7">
        <w:rPr>
          <w:iCs/>
          <w:noProof/>
        </w:rPr>
        <w:t>65</w:t>
      </w:r>
      <w:r w:rsidRPr="00E528F7">
        <w:rPr>
          <w:noProof/>
        </w:rPr>
        <w:t>: Miera závažnej deprivácie v bývaní, 2018 (%)</w:t>
      </w:r>
      <w:r w:rsidRPr="00E528F7">
        <w:rPr>
          <w:noProof/>
        </w:rPr>
        <w:tab/>
      </w:r>
      <w:r w:rsidRPr="00E528F7">
        <w:rPr>
          <w:noProof/>
        </w:rPr>
        <w:fldChar w:fldCharType="begin"/>
      </w:r>
      <w:r w:rsidRPr="00E528F7">
        <w:rPr>
          <w:noProof/>
        </w:rPr>
        <w:instrText xml:space="preserve"> PAGEREF _Toc34157623 \h </w:instrText>
      </w:r>
      <w:r w:rsidRPr="00E528F7">
        <w:rPr>
          <w:noProof/>
        </w:rPr>
      </w:r>
      <w:r w:rsidRPr="00E528F7">
        <w:rPr>
          <w:noProof/>
        </w:rPr>
        <w:fldChar w:fldCharType="separate"/>
      </w:r>
      <w:r w:rsidR="00FA29AF">
        <w:rPr>
          <w:noProof/>
        </w:rPr>
        <w:t>160</w:t>
      </w:r>
      <w:r w:rsidRPr="00E528F7">
        <w:rPr>
          <w:noProof/>
        </w:rPr>
        <w:fldChar w:fldCharType="end"/>
      </w:r>
    </w:p>
    <w:p w14:paraId="0D515C1F"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66: Miera závažnej deprivácie v bývaní v populácii pod hranicou rizika chudoby (%)</w:t>
      </w:r>
      <w:r w:rsidRPr="00E528F7">
        <w:rPr>
          <w:noProof/>
        </w:rPr>
        <w:tab/>
      </w:r>
      <w:r w:rsidRPr="00E528F7">
        <w:rPr>
          <w:noProof/>
        </w:rPr>
        <w:fldChar w:fldCharType="begin"/>
      </w:r>
      <w:r w:rsidRPr="00E528F7">
        <w:rPr>
          <w:noProof/>
        </w:rPr>
        <w:instrText xml:space="preserve"> PAGEREF _Toc34157624 \h </w:instrText>
      </w:r>
      <w:r w:rsidRPr="00E528F7">
        <w:rPr>
          <w:noProof/>
        </w:rPr>
      </w:r>
      <w:r w:rsidRPr="00E528F7">
        <w:rPr>
          <w:noProof/>
        </w:rPr>
        <w:fldChar w:fldCharType="separate"/>
      </w:r>
      <w:r w:rsidR="00FA29AF">
        <w:rPr>
          <w:noProof/>
        </w:rPr>
        <w:t>160</w:t>
      </w:r>
      <w:r w:rsidRPr="00E528F7">
        <w:rPr>
          <w:noProof/>
        </w:rPr>
        <w:fldChar w:fldCharType="end"/>
      </w:r>
    </w:p>
    <w:p w14:paraId="0547B95A"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67: Rozdelenie populácie naprieč kvalitatívnymi kategóriami bytov (%)</w:t>
      </w:r>
      <w:r w:rsidRPr="00E528F7">
        <w:rPr>
          <w:noProof/>
        </w:rPr>
        <w:tab/>
      </w:r>
      <w:r w:rsidRPr="00E528F7">
        <w:rPr>
          <w:noProof/>
        </w:rPr>
        <w:fldChar w:fldCharType="begin"/>
      </w:r>
      <w:r w:rsidRPr="00E528F7">
        <w:rPr>
          <w:noProof/>
        </w:rPr>
        <w:instrText xml:space="preserve"> PAGEREF _Toc34157625 \h </w:instrText>
      </w:r>
      <w:r w:rsidRPr="00E528F7">
        <w:rPr>
          <w:noProof/>
        </w:rPr>
      </w:r>
      <w:r w:rsidRPr="00E528F7">
        <w:rPr>
          <w:noProof/>
        </w:rPr>
        <w:fldChar w:fldCharType="separate"/>
      </w:r>
      <w:r w:rsidR="00FA29AF">
        <w:rPr>
          <w:noProof/>
        </w:rPr>
        <w:t>160</w:t>
      </w:r>
      <w:r w:rsidRPr="00E528F7">
        <w:rPr>
          <w:noProof/>
        </w:rPr>
        <w:fldChar w:fldCharType="end"/>
      </w:r>
    </w:p>
    <w:p w14:paraId="2B9E6BFE"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 xml:space="preserve">Graf </w:t>
      </w:r>
      <w:r w:rsidRPr="00E528F7">
        <w:rPr>
          <w:iCs/>
          <w:noProof/>
        </w:rPr>
        <w:t>68</w:t>
      </w:r>
      <w:r w:rsidRPr="00E528F7">
        <w:rPr>
          <w:noProof/>
        </w:rPr>
        <w:t>: Ukazovatele kvality bývania, 2016 (% populácie)</w:t>
      </w:r>
      <w:r w:rsidRPr="00E528F7">
        <w:rPr>
          <w:noProof/>
        </w:rPr>
        <w:tab/>
      </w:r>
      <w:r w:rsidRPr="00E528F7">
        <w:rPr>
          <w:noProof/>
        </w:rPr>
        <w:fldChar w:fldCharType="begin"/>
      </w:r>
      <w:r w:rsidRPr="00E528F7">
        <w:rPr>
          <w:noProof/>
        </w:rPr>
        <w:instrText xml:space="preserve"> PAGEREF _Toc34157626 \h </w:instrText>
      </w:r>
      <w:r w:rsidRPr="00E528F7">
        <w:rPr>
          <w:noProof/>
        </w:rPr>
      </w:r>
      <w:r w:rsidRPr="00E528F7">
        <w:rPr>
          <w:noProof/>
        </w:rPr>
        <w:fldChar w:fldCharType="separate"/>
      </w:r>
      <w:r w:rsidR="00FA29AF">
        <w:rPr>
          <w:noProof/>
        </w:rPr>
        <w:t>161</w:t>
      </w:r>
      <w:r w:rsidRPr="00E528F7">
        <w:rPr>
          <w:noProof/>
        </w:rPr>
        <w:fldChar w:fldCharType="end"/>
      </w:r>
    </w:p>
    <w:p w14:paraId="77A1AEE2"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 xml:space="preserve">Graf </w:t>
      </w:r>
      <w:r w:rsidRPr="00E528F7">
        <w:rPr>
          <w:iCs/>
          <w:noProof/>
        </w:rPr>
        <w:t>69</w:t>
      </w:r>
      <w:r w:rsidRPr="00E528F7">
        <w:rPr>
          <w:noProof/>
        </w:rPr>
        <w:t>: Rozdelenie obyvateľov rómskych komunít podľa druhu osídlenia (%)</w:t>
      </w:r>
      <w:r w:rsidRPr="00E528F7">
        <w:rPr>
          <w:noProof/>
        </w:rPr>
        <w:tab/>
      </w:r>
      <w:r w:rsidRPr="00E528F7">
        <w:rPr>
          <w:noProof/>
        </w:rPr>
        <w:fldChar w:fldCharType="begin"/>
      </w:r>
      <w:r w:rsidRPr="00E528F7">
        <w:rPr>
          <w:noProof/>
        </w:rPr>
        <w:instrText xml:space="preserve"> PAGEREF _Toc34157627 \h </w:instrText>
      </w:r>
      <w:r w:rsidRPr="00E528F7">
        <w:rPr>
          <w:noProof/>
        </w:rPr>
      </w:r>
      <w:r w:rsidRPr="00E528F7">
        <w:rPr>
          <w:noProof/>
        </w:rPr>
        <w:fldChar w:fldCharType="separate"/>
      </w:r>
      <w:r w:rsidR="00FA29AF">
        <w:rPr>
          <w:noProof/>
        </w:rPr>
        <w:t>162</w:t>
      </w:r>
      <w:r w:rsidRPr="00E528F7">
        <w:rPr>
          <w:noProof/>
        </w:rPr>
        <w:fldChar w:fldCharType="end"/>
      </w:r>
    </w:p>
    <w:p w14:paraId="10BF1C79"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70: Rozdelenie obyvateľov rómskych komunít naprieč druhmi bývania podľa typu osídlenia (%)</w:t>
      </w:r>
      <w:r w:rsidRPr="00E528F7">
        <w:rPr>
          <w:noProof/>
        </w:rPr>
        <w:tab/>
      </w:r>
      <w:r w:rsidRPr="00E528F7">
        <w:rPr>
          <w:noProof/>
        </w:rPr>
        <w:fldChar w:fldCharType="begin"/>
      </w:r>
      <w:r w:rsidRPr="00E528F7">
        <w:rPr>
          <w:noProof/>
        </w:rPr>
        <w:instrText xml:space="preserve"> PAGEREF _Toc34157628 \h </w:instrText>
      </w:r>
      <w:r w:rsidRPr="00E528F7">
        <w:rPr>
          <w:noProof/>
        </w:rPr>
      </w:r>
      <w:r w:rsidRPr="00E528F7">
        <w:rPr>
          <w:noProof/>
        </w:rPr>
        <w:fldChar w:fldCharType="separate"/>
      </w:r>
      <w:r w:rsidR="00FA29AF">
        <w:rPr>
          <w:noProof/>
        </w:rPr>
        <w:t>163</w:t>
      </w:r>
      <w:r w:rsidRPr="00E528F7">
        <w:rPr>
          <w:noProof/>
        </w:rPr>
        <w:fldChar w:fldCharType="end"/>
      </w:r>
    </w:p>
    <w:p w14:paraId="0EB417EA"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71</w:t>
      </w:r>
      <w:r w:rsidRPr="00E528F7">
        <w:rPr>
          <w:iCs/>
          <w:noProof/>
        </w:rPr>
        <w:t xml:space="preserve">: </w:t>
      </w:r>
      <w:r w:rsidRPr="00E528F7">
        <w:rPr>
          <w:noProof/>
        </w:rPr>
        <w:t>Podiel obyvateľov rómskych komunít žijúci v osídlení s menej ako 50 % pokrytím inžin. sieti (%)</w:t>
      </w:r>
      <w:r w:rsidRPr="00E528F7">
        <w:rPr>
          <w:noProof/>
        </w:rPr>
        <w:tab/>
      </w:r>
      <w:r w:rsidRPr="00E528F7">
        <w:rPr>
          <w:noProof/>
        </w:rPr>
        <w:fldChar w:fldCharType="begin"/>
      </w:r>
      <w:r w:rsidRPr="00E528F7">
        <w:rPr>
          <w:noProof/>
        </w:rPr>
        <w:instrText xml:space="preserve"> PAGEREF _Toc34157629 \h </w:instrText>
      </w:r>
      <w:r w:rsidRPr="00E528F7">
        <w:rPr>
          <w:noProof/>
        </w:rPr>
      </w:r>
      <w:r w:rsidRPr="00E528F7">
        <w:rPr>
          <w:noProof/>
        </w:rPr>
        <w:fldChar w:fldCharType="separate"/>
      </w:r>
      <w:r w:rsidR="00FA29AF">
        <w:rPr>
          <w:noProof/>
        </w:rPr>
        <w:t>163</w:t>
      </w:r>
      <w:r w:rsidRPr="00E528F7">
        <w:rPr>
          <w:noProof/>
        </w:rPr>
        <w:fldChar w:fldCharType="end"/>
      </w:r>
    </w:p>
    <w:p w14:paraId="2E062A33"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72</w:t>
      </w:r>
      <w:r w:rsidRPr="00E528F7">
        <w:rPr>
          <w:iCs/>
          <w:noProof/>
        </w:rPr>
        <w:t>: Zdroj vody v rómskych osídleniach (% populácie osídlenia)</w:t>
      </w:r>
      <w:r w:rsidRPr="00E528F7">
        <w:rPr>
          <w:noProof/>
        </w:rPr>
        <w:tab/>
      </w:r>
      <w:r w:rsidRPr="00E528F7">
        <w:rPr>
          <w:noProof/>
        </w:rPr>
        <w:fldChar w:fldCharType="begin"/>
      </w:r>
      <w:r w:rsidRPr="00E528F7">
        <w:rPr>
          <w:noProof/>
        </w:rPr>
        <w:instrText xml:space="preserve"> PAGEREF _Toc34157630 \h </w:instrText>
      </w:r>
      <w:r w:rsidRPr="00E528F7">
        <w:rPr>
          <w:noProof/>
        </w:rPr>
      </w:r>
      <w:r w:rsidRPr="00E528F7">
        <w:rPr>
          <w:noProof/>
        </w:rPr>
        <w:fldChar w:fldCharType="separate"/>
      </w:r>
      <w:r w:rsidR="00FA29AF">
        <w:rPr>
          <w:noProof/>
        </w:rPr>
        <w:t>164</w:t>
      </w:r>
      <w:r w:rsidRPr="00E528F7">
        <w:rPr>
          <w:noProof/>
        </w:rPr>
        <w:fldChar w:fldCharType="end"/>
      </w:r>
    </w:p>
    <w:p w14:paraId="3D8DB73A"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73: Podiel populácie v nájomnom bývaní (%, 2018)</w:t>
      </w:r>
      <w:r w:rsidRPr="00E528F7">
        <w:rPr>
          <w:noProof/>
        </w:rPr>
        <w:tab/>
      </w:r>
      <w:r w:rsidRPr="00E528F7">
        <w:rPr>
          <w:noProof/>
        </w:rPr>
        <w:fldChar w:fldCharType="begin"/>
      </w:r>
      <w:r w:rsidRPr="00E528F7">
        <w:rPr>
          <w:noProof/>
        </w:rPr>
        <w:instrText xml:space="preserve"> PAGEREF _Toc34157631 \h </w:instrText>
      </w:r>
      <w:r w:rsidRPr="00E528F7">
        <w:rPr>
          <w:noProof/>
        </w:rPr>
      </w:r>
      <w:r w:rsidRPr="00E528F7">
        <w:rPr>
          <w:noProof/>
        </w:rPr>
        <w:fldChar w:fldCharType="separate"/>
      </w:r>
      <w:r w:rsidR="00FA29AF">
        <w:rPr>
          <w:noProof/>
        </w:rPr>
        <w:t>166</w:t>
      </w:r>
      <w:r w:rsidRPr="00E528F7">
        <w:rPr>
          <w:noProof/>
        </w:rPr>
        <w:fldChar w:fldCharType="end"/>
      </w:r>
    </w:p>
    <w:p w14:paraId="00BAF79A"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74: Vývoj ponuky nájomného bývania s regulovaným nájmom</w:t>
      </w:r>
      <w:r w:rsidRPr="00E528F7">
        <w:rPr>
          <w:noProof/>
        </w:rPr>
        <w:tab/>
      </w:r>
      <w:r w:rsidRPr="00E528F7">
        <w:rPr>
          <w:noProof/>
        </w:rPr>
        <w:fldChar w:fldCharType="begin"/>
      </w:r>
      <w:r w:rsidRPr="00E528F7">
        <w:rPr>
          <w:noProof/>
        </w:rPr>
        <w:instrText xml:space="preserve"> PAGEREF _Toc34157632 \h </w:instrText>
      </w:r>
      <w:r w:rsidRPr="00E528F7">
        <w:rPr>
          <w:noProof/>
        </w:rPr>
      </w:r>
      <w:r w:rsidRPr="00E528F7">
        <w:rPr>
          <w:noProof/>
        </w:rPr>
        <w:fldChar w:fldCharType="separate"/>
      </w:r>
      <w:r w:rsidR="00FA29AF">
        <w:rPr>
          <w:noProof/>
        </w:rPr>
        <w:t>166</w:t>
      </w:r>
      <w:r w:rsidRPr="00E528F7">
        <w:rPr>
          <w:noProof/>
        </w:rPr>
        <w:fldChar w:fldCharType="end"/>
      </w:r>
    </w:p>
    <w:p w14:paraId="1FB98605"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75: Podpora z MDV SR podľa účelu použitia (mil. eur)</w:t>
      </w:r>
      <w:r w:rsidRPr="00E528F7">
        <w:rPr>
          <w:noProof/>
        </w:rPr>
        <w:tab/>
      </w:r>
      <w:r w:rsidRPr="00E528F7">
        <w:rPr>
          <w:noProof/>
        </w:rPr>
        <w:fldChar w:fldCharType="begin"/>
      </w:r>
      <w:r w:rsidRPr="00E528F7">
        <w:rPr>
          <w:noProof/>
        </w:rPr>
        <w:instrText xml:space="preserve"> PAGEREF _Toc34157633 \h </w:instrText>
      </w:r>
      <w:r w:rsidRPr="00E528F7">
        <w:rPr>
          <w:noProof/>
        </w:rPr>
      </w:r>
      <w:r w:rsidRPr="00E528F7">
        <w:rPr>
          <w:noProof/>
        </w:rPr>
        <w:fldChar w:fldCharType="separate"/>
      </w:r>
      <w:r w:rsidR="00FA29AF">
        <w:rPr>
          <w:noProof/>
        </w:rPr>
        <w:t>167</w:t>
      </w:r>
      <w:r w:rsidRPr="00E528F7">
        <w:rPr>
          <w:noProof/>
        </w:rPr>
        <w:fldChar w:fldCharType="end"/>
      </w:r>
    </w:p>
    <w:p w14:paraId="2B5734B4"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76: Podpora zo ŠFRB podľa účelu použitia (mil. eur)</w:t>
      </w:r>
      <w:r w:rsidRPr="00E528F7">
        <w:rPr>
          <w:noProof/>
        </w:rPr>
        <w:tab/>
      </w:r>
      <w:r w:rsidRPr="00E528F7">
        <w:rPr>
          <w:noProof/>
        </w:rPr>
        <w:fldChar w:fldCharType="begin"/>
      </w:r>
      <w:r w:rsidRPr="00E528F7">
        <w:rPr>
          <w:noProof/>
        </w:rPr>
        <w:instrText xml:space="preserve"> PAGEREF _Toc34157634 \h </w:instrText>
      </w:r>
      <w:r w:rsidRPr="00E528F7">
        <w:rPr>
          <w:noProof/>
        </w:rPr>
      </w:r>
      <w:r w:rsidRPr="00E528F7">
        <w:rPr>
          <w:noProof/>
        </w:rPr>
        <w:fldChar w:fldCharType="separate"/>
      </w:r>
      <w:r w:rsidR="00FA29AF">
        <w:rPr>
          <w:noProof/>
        </w:rPr>
        <w:t>167</w:t>
      </w:r>
      <w:r w:rsidRPr="00E528F7">
        <w:rPr>
          <w:noProof/>
        </w:rPr>
        <w:fldChar w:fldCharType="end"/>
      </w:r>
    </w:p>
    <w:p w14:paraId="4B8D95EC"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77: Pokrytie príspevku na bývanie podľa podielu MRK medzi osobami v systéme PHN v obci (2018)</w:t>
      </w:r>
      <w:r w:rsidRPr="00E528F7">
        <w:rPr>
          <w:noProof/>
        </w:rPr>
        <w:tab/>
      </w:r>
      <w:r w:rsidRPr="00E528F7">
        <w:rPr>
          <w:noProof/>
        </w:rPr>
        <w:fldChar w:fldCharType="begin"/>
      </w:r>
      <w:r w:rsidRPr="00E528F7">
        <w:rPr>
          <w:noProof/>
        </w:rPr>
        <w:instrText xml:space="preserve"> PAGEREF _Toc34157635 \h </w:instrText>
      </w:r>
      <w:r w:rsidRPr="00E528F7">
        <w:rPr>
          <w:noProof/>
        </w:rPr>
      </w:r>
      <w:r w:rsidRPr="00E528F7">
        <w:rPr>
          <w:noProof/>
        </w:rPr>
        <w:fldChar w:fldCharType="separate"/>
      </w:r>
      <w:r w:rsidR="00FA29AF">
        <w:rPr>
          <w:noProof/>
        </w:rPr>
        <w:t>179</w:t>
      </w:r>
      <w:r w:rsidRPr="00E528F7">
        <w:rPr>
          <w:noProof/>
        </w:rPr>
        <w:fldChar w:fldCharType="end"/>
      </w:r>
    </w:p>
    <w:p w14:paraId="11BD6D98"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78: Podiel domácnosti v spodnom príjmovom kvintile, ktoré dostávajú príspevok na bývanie (2017)</w:t>
      </w:r>
      <w:r w:rsidRPr="00E528F7">
        <w:rPr>
          <w:noProof/>
        </w:rPr>
        <w:tab/>
      </w:r>
      <w:r w:rsidRPr="00E528F7">
        <w:rPr>
          <w:noProof/>
        </w:rPr>
        <w:fldChar w:fldCharType="begin"/>
      </w:r>
      <w:r w:rsidRPr="00E528F7">
        <w:rPr>
          <w:noProof/>
        </w:rPr>
        <w:instrText xml:space="preserve"> PAGEREF _Toc34157636 \h </w:instrText>
      </w:r>
      <w:r w:rsidRPr="00E528F7">
        <w:rPr>
          <w:noProof/>
        </w:rPr>
      </w:r>
      <w:r w:rsidRPr="00E528F7">
        <w:rPr>
          <w:noProof/>
        </w:rPr>
        <w:fldChar w:fldCharType="separate"/>
      </w:r>
      <w:r w:rsidR="00FA29AF">
        <w:rPr>
          <w:noProof/>
        </w:rPr>
        <w:t>179</w:t>
      </w:r>
      <w:r w:rsidRPr="00E528F7">
        <w:rPr>
          <w:noProof/>
        </w:rPr>
        <w:fldChar w:fldCharType="end"/>
      </w:r>
    </w:p>
    <w:p w14:paraId="2B221CC3"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79</w:t>
      </w:r>
      <w:r w:rsidRPr="00E528F7">
        <w:rPr>
          <w:iCs/>
          <w:noProof/>
        </w:rPr>
        <w:t xml:space="preserve">: </w:t>
      </w:r>
      <w:r w:rsidRPr="00E528F7">
        <w:rPr>
          <w:rFonts w:eastAsia="Calibri" w:cs="Times New Roman"/>
          <w:iCs/>
          <w:noProof/>
        </w:rPr>
        <w:t>Dojčenská úmrtnosť (na 1000 živonarodených detí) podľa veku matky, 2006 – 2015</w:t>
      </w:r>
      <w:r w:rsidRPr="00E528F7">
        <w:rPr>
          <w:noProof/>
        </w:rPr>
        <w:tab/>
      </w:r>
      <w:r w:rsidRPr="00E528F7">
        <w:rPr>
          <w:noProof/>
        </w:rPr>
        <w:fldChar w:fldCharType="begin"/>
      </w:r>
      <w:r w:rsidRPr="00E528F7">
        <w:rPr>
          <w:noProof/>
        </w:rPr>
        <w:instrText xml:space="preserve"> PAGEREF _Toc34157637 \h </w:instrText>
      </w:r>
      <w:r w:rsidRPr="00E528F7">
        <w:rPr>
          <w:noProof/>
        </w:rPr>
      </w:r>
      <w:r w:rsidRPr="00E528F7">
        <w:rPr>
          <w:noProof/>
        </w:rPr>
        <w:fldChar w:fldCharType="separate"/>
      </w:r>
      <w:r w:rsidR="00FA29AF">
        <w:rPr>
          <w:noProof/>
        </w:rPr>
        <w:t>183</w:t>
      </w:r>
      <w:r w:rsidRPr="00E528F7">
        <w:rPr>
          <w:noProof/>
        </w:rPr>
        <w:fldChar w:fldCharType="end"/>
      </w:r>
    </w:p>
    <w:p w14:paraId="56B635B0"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80: Podiel osôb v populácii, ktorým sa poskytuje kompenzácia sociálnych dôsledkov ŤZP, 2018 (%)</w:t>
      </w:r>
      <w:r w:rsidRPr="00E528F7">
        <w:rPr>
          <w:noProof/>
        </w:rPr>
        <w:tab/>
      </w:r>
      <w:r w:rsidRPr="00E528F7">
        <w:rPr>
          <w:noProof/>
        </w:rPr>
        <w:fldChar w:fldCharType="begin"/>
      </w:r>
      <w:r w:rsidRPr="00E528F7">
        <w:rPr>
          <w:noProof/>
        </w:rPr>
        <w:instrText xml:space="preserve"> PAGEREF _Toc34157638 \h </w:instrText>
      </w:r>
      <w:r w:rsidRPr="00E528F7">
        <w:rPr>
          <w:noProof/>
        </w:rPr>
      </w:r>
      <w:r w:rsidRPr="00E528F7">
        <w:rPr>
          <w:noProof/>
        </w:rPr>
        <w:fldChar w:fldCharType="separate"/>
      </w:r>
      <w:r w:rsidR="00FA29AF">
        <w:rPr>
          <w:noProof/>
        </w:rPr>
        <w:t>184</w:t>
      </w:r>
      <w:r w:rsidRPr="00E528F7">
        <w:rPr>
          <w:noProof/>
        </w:rPr>
        <w:fldChar w:fldCharType="end"/>
      </w:r>
    </w:p>
    <w:p w14:paraId="27367A67"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 xml:space="preserve">Graf </w:t>
      </w:r>
      <w:r w:rsidRPr="00E528F7">
        <w:rPr>
          <w:iCs/>
          <w:noProof/>
        </w:rPr>
        <w:t>81</w:t>
      </w:r>
      <w:r w:rsidRPr="00E528F7">
        <w:rPr>
          <w:noProof/>
        </w:rPr>
        <w:t xml:space="preserve">: </w:t>
      </w:r>
      <w:r w:rsidRPr="00E528F7">
        <w:rPr>
          <w:rFonts w:eastAsia="Calibri" w:cs="Times New Roman"/>
          <w:noProof/>
        </w:rPr>
        <w:t>Priemerné výdavky VZP na hlavu podľa veku – MRK ako % slovenského priemeru, 2016</w:t>
      </w:r>
      <w:r w:rsidRPr="00E528F7">
        <w:rPr>
          <w:noProof/>
        </w:rPr>
        <w:tab/>
      </w:r>
      <w:r w:rsidRPr="00E528F7">
        <w:rPr>
          <w:noProof/>
        </w:rPr>
        <w:fldChar w:fldCharType="begin"/>
      </w:r>
      <w:r w:rsidRPr="00E528F7">
        <w:rPr>
          <w:noProof/>
        </w:rPr>
        <w:instrText xml:space="preserve"> PAGEREF _Toc34157639 \h </w:instrText>
      </w:r>
      <w:r w:rsidRPr="00E528F7">
        <w:rPr>
          <w:noProof/>
        </w:rPr>
      </w:r>
      <w:r w:rsidRPr="00E528F7">
        <w:rPr>
          <w:noProof/>
        </w:rPr>
        <w:fldChar w:fldCharType="separate"/>
      </w:r>
      <w:r w:rsidR="00FA29AF">
        <w:rPr>
          <w:noProof/>
        </w:rPr>
        <w:t>185</w:t>
      </w:r>
      <w:r w:rsidRPr="00E528F7">
        <w:rPr>
          <w:noProof/>
        </w:rPr>
        <w:fldChar w:fldCharType="end"/>
      </w:r>
    </w:p>
    <w:p w14:paraId="7002969C"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82</w:t>
      </w:r>
      <w:r w:rsidRPr="00E528F7">
        <w:rPr>
          <w:iCs/>
          <w:noProof/>
        </w:rPr>
        <w:t>: Dôvody nevyhľadania lekárskeho vyšetrenia 6 a viac ročných so zdravotnými problémami</w:t>
      </w:r>
      <w:r w:rsidRPr="00E528F7">
        <w:rPr>
          <w:noProof/>
        </w:rPr>
        <w:t xml:space="preserve"> (%)</w:t>
      </w:r>
      <w:r w:rsidRPr="00E528F7">
        <w:rPr>
          <w:noProof/>
        </w:rPr>
        <w:tab/>
      </w:r>
      <w:r w:rsidRPr="00E528F7">
        <w:rPr>
          <w:noProof/>
        </w:rPr>
        <w:fldChar w:fldCharType="begin"/>
      </w:r>
      <w:r w:rsidRPr="00E528F7">
        <w:rPr>
          <w:noProof/>
        </w:rPr>
        <w:instrText xml:space="preserve"> PAGEREF _Toc34157640 \h </w:instrText>
      </w:r>
      <w:r w:rsidRPr="00E528F7">
        <w:rPr>
          <w:noProof/>
        </w:rPr>
      </w:r>
      <w:r w:rsidRPr="00E528F7">
        <w:rPr>
          <w:noProof/>
        </w:rPr>
        <w:fldChar w:fldCharType="separate"/>
      </w:r>
      <w:r w:rsidR="00FA29AF">
        <w:rPr>
          <w:noProof/>
        </w:rPr>
        <w:t>186</w:t>
      </w:r>
      <w:r w:rsidRPr="00E528F7">
        <w:rPr>
          <w:noProof/>
        </w:rPr>
        <w:fldChar w:fldCharType="end"/>
      </w:r>
    </w:p>
    <w:p w14:paraId="2E58CCAB" w14:textId="77777777" w:rsidR="00E528F7" w:rsidRPr="00E528F7" w:rsidRDefault="00E528F7">
      <w:pPr>
        <w:pStyle w:val="Zoznamobrzkov"/>
        <w:tabs>
          <w:tab w:val="right" w:leader="dot" w:pos="9080"/>
        </w:tabs>
        <w:rPr>
          <w:rFonts w:asciiTheme="minorHAnsi" w:eastAsiaTheme="minorEastAsia" w:hAnsiTheme="minorHAnsi"/>
          <w:noProof/>
          <w:lang w:eastAsia="sk-SK"/>
        </w:rPr>
      </w:pPr>
      <w:r w:rsidRPr="00E528F7">
        <w:rPr>
          <w:noProof/>
        </w:rPr>
        <w:t>Graf 83</w:t>
      </w:r>
      <w:r w:rsidRPr="00E528F7">
        <w:rPr>
          <w:iCs/>
          <w:noProof/>
        </w:rPr>
        <w:t>: Podiel populácie žijúcej v obci vzdialenej 10 a viac km od najbližšej lekárskej ambulancie (%)</w:t>
      </w:r>
      <w:r w:rsidRPr="00E528F7">
        <w:rPr>
          <w:noProof/>
        </w:rPr>
        <w:tab/>
      </w:r>
      <w:r w:rsidRPr="00E528F7">
        <w:rPr>
          <w:noProof/>
        </w:rPr>
        <w:fldChar w:fldCharType="begin"/>
      </w:r>
      <w:r w:rsidRPr="00E528F7">
        <w:rPr>
          <w:noProof/>
        </w:rPr>
        <w:instrText xml:space="preserve"> PAGEREF _Toc34157641 \h </w:instrText>
      </w:r>
      <w:r w:rsidRPr="00E528F7">
        <w:rPr>
          <w:noProof/>
        </w:rPr>
      </w:r>
      <w:r w:rsidRPr="00E528F7">
        <w:rPr>
          <w:noProof/>
        </w:rPr>
        <w:fldChar w:fldCharType="separate"/>
      </w:r>
      <w:r w:rsidR="00FA29AF">
        <w:rPr>
          <w:noProof/>
        </w:rPr>
        <w:t>186</w:t>
      </w:r>
      <w:r w:rsidRPr="00E528F7">
        <w:rPr>
          <w:noProof/>
        </w:rPr>
        <w:fldChar w:fldCharType="end"/>
      </w:r>
    </w:p>
    <w:p w14:paraId="31135F77" w14:textId="4E89509D" w:rsidR="00FE237D" w:rsidRPr="00E528F7" w:rsidRDefault="008048FF">
      <w:pPr>
        <w:spacing w:after="160"/>
        <w:jc w:val="left"/>
      </w:pPr>
      <w:r w:rsidRPr="00E528F7">
        <w:fldChar w:fldCharType="end"/>
      </w:r>
    </w:p>
    <w:p w14:paraId="7A7481B3" w14:textId="77777777" w:rsidR="00FE237D" w:rsidRPr="00E528F7" w:rsidRDefault="00FE237D" w:rsidP="00FE237D">
      <w:pPr>
        <w:sectPr w:rsidR="00FE237D" w:rsidRPr="00E528F7" w:rsidSect="00D00621">
          <w:footerReference w:type="default" r:id="rId19"/>
          <w:type w:val="continuous"/>
          <w:pgSz w:w="11906" w:h="16838" w:code="9"/>
          <w:pgMar w:top="1440" w:right="1376" w:bottom="1440" w:left="1440" w:header="720" w:footer="720" w:gutter="0"/>
          <w:cols w:space="720"/>
          <w:docGrid w:linePitch="360"/>
        </w:sectPr>
      </w:pPr>
    </w:p>
    <w:p w14:paraId="0E873F2D" w14:textId="7A6686AD" w:rsidR="007D19EB" w:rsidRPr="00CA2564" w:rsidRDefault="008B69F7" w:rsidP="0068465E">
      <w:pPr>
        <w:pStyle w:val="Nadpis1"/>
        <w:numPr>
          <w:ilvl w:val="0"/>
          <w:numId w:val="0"/>
        </w:numPr>
        <w:tabs>
          <w:tab w:val="left" w:pos="5505"/>
        </w:tabs>
        <w:ind w:left="426" w:hanging="426"/>
      </w:pPr>
      <w:bookmarkStart w:id="2" w:name="_Toc34657698"/>
      <w:r w:rsidRPr="00CA2564">
        <w:lastRenderedPageBreak/>
        <w:t>Úvod a zhrnutie</w:t>
      </w:r>
      <w:bookmarkEnd w:id="2"/>
    </w:p>
    <w:tbl>
      <w:tblPr>
        <w:tblW w:w="0" w:type="auto"/>
        <w:shd w:val="clear" w:color="auto" w:fill="BDD6EE" w:themeFill="accent1" w:themeFillTint="66"/>
        <w:tblLook w:val="04A0" w:firstRow="1" w:lastRow="0" w:firstColumn="1" w:lastColumn="0" w:noHBand="0" w:noVBand="1"/>
      </w:tblPr>
      <w:tblGrid>
        <w:gridCol w:w="9026"/>
      </w:tblGrid>
      <w:tr w:rsidR="00A319CC" w:rsidRPr="0073651C" w14:paraId="1136774C" w14:textId="77777777" w:rsidTr="00793156">
        <w:tc>
          <w:tcPr>
            <w:tcW w:w="9062" w:type="dxa"/>
            <w:shd w:val="clear" w:color="auto" w:fill="BDD6EE" w:themeFill="accent1" w:themeFillTint="66"/>
          </w:tcPr>
          <w:p w14:paraId="4FF9B10A" w14:textId="59AAD754" w:rsidR="00E546A2" w:rsidRPr="00985D2E" w:rsidRDefault="00E546A2" w:rsidP="00E546A2">
            <w:pPr>
              <w:spacing w:before="120"/>
              <w:rPr>
                <w:i/>
              </w:rPr>
            </w:pPr>
            <w:r w:rsidRPr="00985D2E">
              <w:rPr>
                <w:i/>
              </w:rPr>
              <w:t xml:space="preserve">Revízia výdavkov je súčasťou vládneho projektu Hodnota za peniaze, v rámci ktorého reformuje pravidlá, nastavuje procesy a posilňuje inštitúcie, ktoré podporia prijímanie dobrých </w:t>
            </w:r>
            <w:r w:rsidR="00354442">
              <w:rPr>
                <w:i/>
              </w:rPr>
              <w:t>rozhodnutí vo verejnom záujme a </w:t>
            </w:r>
            <w:r w:rsidRPr="00985D2E">
              <w:rPr>
                <w:i/>
              </w:rPr>
              <w:t>významne zvýšia hodnotu za peniaze v slovenskom verejnom sektore.</w:t>
            </w:r>
          </w:p>
          <w:p w14:paraId="3909A9EB" w14:textId="77777777" w:rsidR="00E546A2" w:rsidRPr="00985D2E" w:rsidRDefault="00E546A2" w:rsidP="00E546A2">
            <w:pPr>
              <w:rPr>
                <w:i/>
              </w:rPr>
            </w:pPr>
            <w:r w:rsidRPr="00985D2E">
              <w:rPr>
                <w:i/>
              </w:rPr>
              <w:t>V roku 2019 boli revíziou výdavkov zhodnotené výdavky s dopadom na sociálne začleňovanie skupín ohrozených chudobou a sociálnym vylúčením, výdavky na zamestnanosť a odmeňovanie vo verejnej správe, výdavky na poľnohospodárstvo a verejné výdavky na zdravotníctvo. Priebežné správy identifikujú oblasti, kde existuje najväčší priestor na zlepšenie efektívnosti. Záverečné správy následne pomenujú opatrenia s akčným plánom ich plnenia. Vláda schvaľuje záverečné správy revízií spolu s Programom stability SR. V roku 2020 budú zverejnené záverečné správy revízie výdavkov na  kultúru, vnútro a obranu.</w:t>
            </w:r>
          </w:p>
          <w:p w14:paraId="1DE0E305" w14:textId="42C87BAE" w:rsidR="00B70F74" w:rsidRPr="00AF6438" w:rsidRDefault="00E546A2" w:rsidP="00E546A2">
            <w:pPr>
              <w:rPr>
                <w:bCs/>
                <w:i/>
                <w:szCs w:val="22"/>
              </w:rPr>
            </w:pPr>
            <w:r w:rsidRPr="00985D2E">
              <w:rPr>
                <w:i/>
              </w:rPr>
              <w:t>Revízia výdavkov si dala za úlohu prehodnotiť väčšinu verejných výdavkov počas volebného obdobia. Tento cieľ je po prvom volebnom období jej fungovania splnený. Navrhnuté opatrenia umožnia fiškálnu úsporu, lepšie verejné služby pre občanov a/alebo presun financií na priority vlády. Revízia výdavkov prináša opatrenia, ktoré sú dlhodobo udržateľné.</w:t>
            </w:r>
          </w:p>
          <w:p w14:paraId="5771ECC4" w14:textId="0C33155C" w:rsidR="00B70F74" w:rsidRPr="00AF6438" w:rsidRDefault="00B70F74" w:rsidP="00D20D85">
            <w:pPr>
              <w:rPr>
                <w:bCs/>
                <w:i/>
                <w:szCs w:val="22"/>
              </w:rPr>
            </w:pPr>
            <w:r w:rsidRPr="00AF6438">
              <w:rPr>
                <w:bCs/>
                <w:i/>
                <w:szCs w:val="22"/>
              </w:rPr>
              <w:t>Vo vyspelých krajinách je revízia výdavkov štandardný nástroj, ktorý v</w:t>
            </w:r>
            <w:r w:rsidR="00354442">
              <w:rPr>
                <w:bCs/>
                <w:i/>
                <w:szCs w:val="22"/>
              </w:rPr>
              <w:t>ládam pomáha hľadať priestor vo </w:t>
            </w:r>
            <w:r w:rsidRPr="00AF6438">
              <w:rPr>
                <w:bCs/>
                <w:i/>
                <w:szCs w:val="22"/>
              </w:rPr>
              <w:t>verejných politikách na efektívnejšie využívanie verejných prostriedk</w:t>
            </w:r>
            <w:r w:rsidR="00354442">
              <w:rPr>
                <w:bCs/>
                <w:i/>
                <w:szCs w:val="22"/>
              </w:rPr>
              <w:t>ov, ako aj úspory nevyhnutné na </w:t>
            </w:r>
            <w:r w:rsidRPr="00AF6438">
              <w:rPr>
                <w:bCs/>
                <w:i/>
                <w:szCs w:val="22"/>
              </w:rPr>
              <w:t xml:space="preserve">splnenie národných aj európskych fiškálnych záväzkov. </w:t>
            </w:r>
          </w:p>
          <w:p w14:paraId="3568D169" w14:textId="56E71CD5" w:rsidR="00A319CC" w:rsidRPr="0073651C" w:rsidRDefault="00B70F74" w:rsidP="00E546A2">
            <w:pPr>
              <w:rPr>
                <w:bCs/>
                <w:i/>
                <w:szCs w:val="22"/>
              </w:rPr>
            </w:pPr>
            <w:r w:rsidRPr="00AF6438">
              <w:rPr>
                <w:bCs/>
                <w:i/>
                <w:szCs w:val="22"/>
              </w:rPr>
              <w:t>Záverečná správa revízie výdavkov na skupiny ohrozené chudobou alebo sociálnym vylúčením vyčísľuje výdavky na súčasné politiky sociálnej ochrany a začleňovania, hodnotí ich efektivitu a dostupnosť a skúma existujúce nastavenie zberu dát. Revízia tiež pomenúva medzery v súčasn</w:t>
            </w:r>
            <w:r w:rsidR="00354442">
              <w:rPr>
                <w:bCs/>
                <w:i/>
                <w:szCs w:val="22"/>
              </w:rPr>
              <w:t>om systéme verejných politík na </w:t>
            </w:r>
            <w:r w:rsidRPr="00AF6438">
              <w:rPr>
                <w:bCs/>
                <w:i/>
                <w:szCs w:val="22"/>
              </w:rPr>
              <w:t xml:space="preserve">základe poznatkov z odbornej literatúry, diskusií s odborníkmi pracujúcimi v teréne a príkladov dobrej praxe doma a v zahraničí. Na základe týchto zistení navrhuje opatrenia </w:t>
            </w:r>
            <w:r w:rsidRPr="00AF6438">
              <w:rPr>
                <w:i/>
                <w:szCs w:val="22"/>
              </w:rPr>
              <w:t>s cieľom zlepšiť spoločenské začlenenie ohrozených skupín a odomknúť tak nevyužitý potenciál pre rast ekonomiky.</w:t>
            </w:r>
          </w:p>
        </w:tc>
      </w:tr>
    </w:tbl>
    <w:p w14:paraId="0D22642B" w14:textId="15E8F4E4" w:rsidR="00B70F74" w:rsidRPr="00AF6438" w:rsidRDefault="00B70F74" w:rsidP="00D20D85">
      <w:pPr>
        <w:spacing w:before="200"/>
        <w:rPr>
          <w:b/>
          <w:szCs w:val="22"/>
        </w:rPr>
      </w:pPr>
      <w:r w:rsidRPr="00AF6438">
        <w:rPr>
          <w:b/>
          <w:bCs/>
          <w:szCs w:val="22"/>
        </w:rPr>
        <w:t xml:space="preserve">Chudoba a sociálne vylúčenie ovplyvňujú celú spoločnosť a prinášajú významné ekonomické náklady. </w:t>
      </w:r>
      <w:r w:rsidRPr="00AF6438">
        <w:rPr>
          <w:szCs w:val="22"/>
        </w:rPr>
        <w:t>Okrem ľudsko-právnej výzvy predstavujú aj obmedzenie výkonu ekonomiky v pod</w:t>
      </w:r>
      <w:r w:rsidR="00927787">
        <w:rPr>
          <w:szCs w:val="22"/>
        </w:rPr>
        <w:t>obe nevyužitých príležitostí na </w:t>
      </w:r>
      <w:r w:rsidRPr="00AF6438">
        <w:rPr>
          <w:szCs w:val="22"/>
        </w:rPr>
        <w:t>rozvoj ľudského potenciálu. Podľa OECD by zvýšenie zamestnanosti a produktivity práce ľudí z prostredia marginalizovaných rómskych komunít na úroveň slovenského priemeru do roku</w:t>
      </w:r>
      <w:r w:rsidR="005E5072">
        <w:rPr>
          <w:szCs w:val="22"/>
        </w:rPr>
        <w:t xml:space="preserve"> 2060 zvýšilo HDP o viac ako 12 </w:t>
      </w:r>
      <w:r w:rsidRPr="00AF6438">
        <w:rPr>
          <w:szCs w:val="22"/>
        </w:rPr>
        <w:t>% a príjmy verejných financií o 5 % HDP (Geva a kol., 2018).</w:t>
      </w:r>
    </w:p>
    <w:p w14:paraId="7B698F33" w14:textId="2C0D7CC9" w:rsidR="00B70F74" w:rsidRPr="00AF6438" w:rsidRDefault="00B70F74" w:rsidP="00D20D85">
      <w:pPr>
        <w:rPr>
          <w:szCs w:val="22"/>
        </w:rPr>
      </w:pPr>
      <w:r w:rsidRPr="00AF6438">
        <w:rPr>
          <w:b/>
          <w:szCs w:val="22"/>
        </w:rPr>
        <w:t>V roku 2018 žilo na Slovensku v ohrození chudobou alebo sociálnym vylúčením 16,3 % populácie, čo je pod priemerom krajín EÚ</w:t>
      </w:r>
      <w:r w:rsidR="00822CD1">
        <w:rPr>
          <w:b/>
          <w:szCs w:val="22"/>
        </w:rPr>
        <w:t>15 (21,5</w:t>
      </w:r>
      <w:r w:rsidRPr="00AF6438">
        <w:rPr>
          <w:b/>
          <w:szCs w:val="22"/>
        </w:rPr>
        <w:t xml:space="preserve"> %)</w:t>
      </w:r>
      <w:r w:rsidR="00822CD1">
        <w:rPr>
          <w:b/>
          <w:szCs w:val="22"/>
        </w:rPr>
        <w:t xml:space="preserve"> aj V3 (19,1 %)</w:t>
      </w:r>
      <w:r w:rsidRPr="00AF6438">
        <w:rPr>
          <w:b/>
          <w:szCs w:val="22"/>
        </w:rPr>
        <w:t xml:space="preserve">, niektoré skupiny obyvateľstva sú však ohrozené výrazne viac. </w:t>
      </w:r>
      <w:r w:rsidRPr="00AF6438">
        <w:rPr>
          <w:szCs w:val="22"/>
        </w:rPr>
        <w:t>Ide najmä o deti zo sociálne znevýhodneného prostredia</w:t>
      </w:r>
      <w:r w:rsidR="005E5072">
        <w:rPr>
          <w:szCs w:val="22"/>
        </w:rPr>
        <w:t xml:space="preserve"> </w:t>
      </w:r>
      <w:r w:rsidRPr="00AF6438">
        <w:rPr>
          <w:szCs w:val="22"/>
        </w:rPr>
        <w:t>a o ľudí z prostredia marginalizovaných rómskych komunít (MRK). Zvýšenej miere ohrozenia sú vystavení aj osa</w:t>
      </w:r>
      <w:r w:rsidR="00927787">
        <w:rPr>
          <w:szCs w:val="22"/>
        </w:rPr>
        <w:t>melí rodičia s deťmi a osoby so </w:t>
      </w:r>
      <w:r w:rsidRPr="00AF6438">
        <w:rPr>
          <w:szCs w:val="22"/>
        </w:rPr>
        <w:t>zdravotným znevýhodnením. Štatistiky ohrozenia pre ľudí bez domova neexistujú, nepochybne však patria k najviac ohrozeným.</w:t>
      </w:r>
    </w:p>
    <w:p w14:paraId="1BA77F9B" w14:textId="77777777" w:rsidR="00B70F74" w:rsidRPr="00AF6438" w:rsidRDefault="00B70F74" w:rsidP="00D20D85">
      <w:pPr>
        <w:rPr>
          <w:szCs w:val="22"/>
        </w:rPr>
      </w:pPr>
      <w:r w:rsidRPr="00AF6438">
        <w:rPr>
          <w:b/>
          <w:szCs w:val="22"/>
        </w:rPr>
        <w:t xml:space="preserve">Revízia odhaduje verejné výdavky na sociálnu inklúziu ľudí ohrozených chudobou alebo sociálnym vylúčením v roku 2018 na 2 611 miliónov eur, čo predstavuje približne 2,9 % HDP a 7,1 % celkových verejných výdavkov. </w:t>
      </w:r>
      <w:r w:rsidRPr="00AF6438">
        <w:rPr>
          <w:szCs w:val="22"/>
        </w:rPr>
        <w:t xml:space="preserve">Z toho zhruba 10 % tvorili zdroje EÚ a spolufinancovanie. Porovnateľné údaje za iné krajiny nie sú dostupné, ale na základe širšej definície výdavkov na sociálnu ochranu patrí Slovensko do spodnej tretiny krajín EÚ. </w:t>
      </w:r>
    </w:p>
    <w:p w14:paraId="03D71C54" w14:textId="2DBF0AFF" w:rsidR="00B70F74" w:rsidRPr="00231BE7" w:rsidRDefault="00B70F74" w:rsidP="00E546A2">
      <w:pPr>
        <w:spacing w:after="160"/>
        <w:jc w:val="left"/>
        <w:rPr>
          <w:bCs/>
          <w:color w:val="0070C0"/>
          <w:szCs w:val="22"/>
        </w:rPr>
      </w:pPr>
      <w:r w:rsidRPr="00231BE7">
        <w:rPr>
          <w:bCs/>
          <w:color w:val="0070C0"/>
          <w:szCs w:val="22"/>
        </w:rPr>
        <w:t>Starostlivosť o znevýhodnené deti v ranom veku</w:t>
      </w:r>
    </w:p>
    <w:p w14:paraId="51EF0B12" w14:textId="050F9991" w:rsidR="004E0099" w:rsidRPr="00AF6438" w:rsidRDefault="004E0099" w:rsidP="004E0099">
      <w:pPr>
        <w:rPr>
          <w:szCs w:val="22"/>
        </w:rPr>
      </w:pPr>
      <w:r w:rsidRPr="00AF6438">
        <w:rPr>
          <w:b/>
          <w:szCs w:val="22"/>
        </w:rPr>
        <w:t xml:space="preserve">Služby starostlivosti o deti v ranom veku, ktorých cieľom je </w:t>
      </w:r>
      <w:r>
        <w:rPr>
          <w:b/>
          <w:szCs w:val="22"/>
        </w:rPr>
        <w:t xml:space="preserve">znížiť riziko </w:t>
      </w:r>
      <w:r w:rsidRPr="00AF6438">
        <w:rPr>
          <w:b/>
          <w:szCs w:val="22"/>
        </w:rPr>
        <w:t>sociálne</w:t>
      </w:r>
      <w:r>
        <w:rPr>
          <w:b/>
          <w:szCs w:val="22"/>
        </w:rPr>
        <w:t xml:space="preserve">ho </w:t>
      </w:r>
      <w:r w:rsidR="00EC7B8C">
        <w:rPr>
          <w:b/>
          <w:szCs w:val="22"/>
        </w:rPr>
        <w:t>vylúčenia</w:t>
      </w:r>
      <w:r w:rsidRPr="00AF6438">
        <w:rPr>
          <w:b/>
          <w:szCs w:val="22"/>
        </w:rPr>
        <w:t xml:space="preserve">, sú dnes dostupné iba zlomku znevýhodnených detí. </w:t>
      </w:r>
      <w:r w:rsidRPr="00D82B9D">
        <w:rPr>
          <w:bCs/>
          <w:color w:val="212121"/>
          <w:szCs w:val="22"/>
        </w:rPr>
        <w:t xml:space="preserve">Nárok na ranú starostlivosť majú v súčasnosti iba deti </w:t>
      </w:r>
      <w:r w:rsidRPr="00D82B9D">
        <w:rPr>
          <w:bCs/>
          <w:color w:val="212121"/>
          <w:szCs w:val="22"/>
        </w:rPr>
        <w:lastRenderedPageBreak/>
        <w:t>so</w:t>
      </w:r>
      <w:r w:rsidR="00203993">
        <w:rPr>
          <w:bCs/>
          <w:color w:val="212121"/>
          <w:szCs w:val="22"/>
        </w:rPr>
        <w:t> </w:t>
      </w:r>
      <w:r w:rsidRPr="00D82B9D">
        <w:rPr>
          <w:bCs/>
          <w:color w:val="212121"/>
          <w:szCs w:val="22"/>
        </w:rPr>
        <w:t>zdravotným postihnutím, aj tie ale majú v dôsledku rôznych prekážok k týmto službám obmedzený prístup.</w:t>
      </w:r>
      <w:r w:rsidRPr="00AF6438">
        <w:rPr>
          <w:szCs w:val="22"/>
        </w:rPr>
        <w:t xml:space="preserve"> Pre deti žijúce v nepriaznivej sociálnej situácii a deti s oneskoreným vývinom a ich rodiny služby s takýmto zameraním</w:t>
      </w:r>
      <w:r>
        <w:rPr>
          <w:szCs w:val="22"/>
        </w:rPr>
        <w:t xml:space="preserve"> neexistujú</w:t>
      </w:r>
      <w:r w:rsidRPr="00AF6438">
        <w:rPr>
          <w:szCs w:val="22"/>
        </w:rPr>
        <w:t xml:space="preserve">. Investície do ľudského kapitálu </w:t>
      </w:r>
      <w:r w:rsidRPr="00AF6438">
        <w:rPr>
          <w:rFonts w:eastAsia="Arial Narrow" w:cs="Arial Narrow"/>
          <w:color w:val="000000"/>
          <w:szCs w:val="22"/>
        </w:rPr>
        <w:t xml:space="preserve">v ranom veku pritom majú vyššiu návratnosť ako investície uskutočnené v neskorších fázach života. </w:t>
      </w:r>
      <w:r w:rsidRPr="00AF6438">
        <w:rPr>
          <w:szCs w:val="22"/>
        </w:rPr>
        <w:t>Zodpovednosť za starostlivosť o deti v ranom veku je rozdelená medzi tri rezorty a</w:t>
      </w:r>
      <w:r>
        <w:rPr>
          <w:szCs w:val="22"/>
        </w:rPr>
        <w:t> </w:t>
      </w:r>
      <w:r w:rsidRPr="00AF6438">
        <w:rPr>
          <w:szCs w:val="22"/>
        </w:rPr>
        <w:t>samosprávy</w:t>
      </w:r>
      <w:r>
        <w:rPr>
          <w:szCs w:val="22"/>
        </w:rPr>
        <w:t xml:space="preserve">. Nedostatočná spolupráca týchto aktérov </w:t>
      </w:r>
      <w:r w:rsidRPr="00D82B9D">
        <w:rPr>
          <w:bCs/>
          <w:color w:val="212121"/>
          <w:szCs w:val="22"/>
        </w:rPr>
        <w:t>negatívne vplýva na dostupnosť a kvalitu služieb.</w:t>
      </w:r>
    </w:p>
    <w:p w14:paraId="6A67D2DA" w14:textId="77777777" w:rsidR="00B70F74" w:rsidRPr="00231BE7" w:rsidRDefault="00B70F74" w:rsidP="00D20D85">
      <w:pPr>
        <w:rPr>
          <w:bCs/>
          <w:color w:val="0070C0"/>
          <w:szCs w:val="22"/>
        </w:rPr>
      </w:pPr>
      <w:r w:rsidRPr="00231BE7">
        <w:rPr>
          <w:bCs/>
          <w:color w:val="0070C0"/>
          <w:szCs w:val="22"/>
        </w:rPr>
        <w:t>Vzdelávanie</w:t>
      </w:r>
    </w:p>
    <w:p w14:paraId="28BD1832" w14:textId="7D6C5F3A" w:rsidR="004E0099" w:rsidRPr="00AF6438" w:rsidRDefault="004E0099" w:rsidP="004E0099">
      <w:pPr>
        <w:rPr>
          <w:szCs w:val="22"/>
        </w:rPr>
      </w:pPr>
      <w:r w:rsidRPr="00AF6438">
        <w:rPr>
          <w:b/>
          <w:szCs w:val="22"/>
        </w:rPr>
        <w:t xml:space="preserve">Slovenský vzdelávací systém nedokáže dostatočne začleňovať deti zo sociálne znevýhodneného prostredia a nástroje cielené na túto skupinu pokrývajú iba polovicu detí ohrozených chudobou alebo sociálnym vylúčením. </w:t>
      </w:r>
      <w:r w:rsidRPr="00AF6438">
        <w:rPr>
          <w:szCs w:val="22"/>
        </w:rPr>
        <w:t>Dopad socioekonomického zázemia na výsledky žiakov je výrazne vyšší ako v iných vyspelých krajinách. V porovnaní s ostatnými deťmi majú sociálne znevýhodnené deti</w:t>
      </w:r>
      <w:r>
        <w:rPr>
          <w:szCs w:val="22"/>
        </w:rPr>
        <w:t xml:space="preserve"> takmer</w:t>
      </w:r>
      <w:r w:rsidRPr="00AF6438">
        <w:rPr>
          <w:szCs w:val="22"/>
        </w:rPr>
        <w:t xml:space="preserve"> </w:t>
      </w:r>
      <w:r>
        <w:rPr>
          <w:szCs w:val="22"/>
        </w:rPr>
        <w:t>o polovicu nižšiu</w:t>
      </w:r>
      <w:r w:rsidRPr="00AF6438">
        <w:rPr>
          <w:szCs w:val="22"/>
        </w:rPr>
        <w:t xml:space="preserve"> účasť na predprimárnom vzdelávaní, naopak viac ako štvornásobne vyššie zastúpenie v špeciálnom školstve a osemnásobne vyššiu mieru opakovania ročníka. Dvojnásobne vyšší podiel </w:t>
      </w:r>
      <w:r>
        <w:rPr>
          <w:szCs w:val="22"/>
        </w:rPr>
        <w:t xml:space="preserve">z nich </w:t>
      </w:r>
      <w:r w:rsidR="00A35E92">
        <w:rPr>
          <w:szCs w:val="22"/>
        </w:rPr>
        <w:t>nepokračuje vo vzdelávaní po </w:t>
      </w:r>
      <w:r w:rsidRPr="00AF6438">
        <w:rPr>
          <w:szCs w:val="22"/>
        </w:rPr>
        <w:t xml:space="preserve">ukončení povinnej školskej dochádzky. Žiaci z prostredia MRK </w:t>
      </w:r>
      <w:r>
        <w:rPr>
          <w:szCs w:val="22"/>
        </w:rPr>
        <w:t xml:space="preserve">dosahujú ešte horšie výsledky a </w:t>
      </w:r>
      <w:r w:rsidRPr="00AF6438">
        <w:rPr>
          <w:szCs w:val="22"/>
        </w:rPr>
        <w:t>v rámci bežného vzdelávacieho prúdu</w:t>
      </w:r>
      <w:r>
        <w:rPr>
          <w:szCs w:val="22"/>
        </w:rPr>
        <w:t xml:space="preserve"> sú</w:t>
      </w:r>
      <w:r w:rsidRPr="00AF6438">
        <w:rPr>
          <w:szCs w:val="22"/>
        </w:rPr>
        <w:t xml:space="preserve"> často vyčleňovaní do priestorovo oddelených škôl alebo tried.</w:t>
      </w:r>
      <w:r w:rsidRPr="00AF6438" w:rsidDel="00FC6A87">
        <w:rPr>
          <w:szCs w:val="22"/>
        </w:rPr>
        <w:t xml:space="preserve"> </w:t>
      </w:r>
    </w:p>
    <w:p w14:paraId="7956049C" w14:textId="08E13C5C" w:rsidR="004E0099" w:rsidRDefault="004E0099" w:rsidP="004E0099">
      <w:pPr>
        <w:rPr>
          <w:szCs w:val="22"/>
        </w:rPr>
      </w:pPr>
      <w:r w:rsidRPr="00AF6438">
        <w:rPr>
          <w:b/>
          <w:szCs w:val="22"/>
        </w:rPr>
        <w:t xml:space="preserve">Deti so zdravotným znevýhodnením </w:t>
      </w:r>
      <w:r>
        <w:rPr>
          <w:b/>
          <w:szCs w:val="22"/>
        </w:rPr>
        <w:t>majú nižšiu účasť na predpr</w:t>
      </w:r>
      <w:r w:rsidR="00927787">
        <w:rPr>
          <w:b/>
          <w:szCs w:val="22"/>
        </w:rPr>
        <w:t>imárnom vzdelávaní ako deti bez </w:t>
      </w:r>
      <w:r>
        <w:rPr>
          <w:b/>
          <w:szCs w:val="22"/>
        </w:rPr>
        <w:t xml:space="preserve">znevýhodnenia a v základných školách navštevujú špeciálny prúd vo vyššej miere v porovnaní s inými európskymi krajinami. </w:t>
      </w:r>
      <w:r w:rsidRPr="00983555">
        <w:rPr>
          <w:bCs/>
          <w:color w:val="000000" w:themeColor="text1"/>
          <w:szCs w:val="22"/>
        </w:rPr>
        <w:t>V roku 2014 sa v špeciálnom prúde vzdelávalo</w:t>
      </w:r>
      <w:r>
        <w:rPr>
          <w:bCs/>
          <w:color w:val="000000" w:themeColor="text1"/>
          <w:szCs w:val="22"/>
        </w:rPr>
        <w:t xml:space="preserve"> takmer </w:t>
      </w:r>
      <w:r w:rsidRPr="00AF6438">
        <w:rPr>
          <w:bCs/>
          <w:color w:val="000000" w:themeColor="text1"/>
          <w:szCs w:val="22"/>
        </w:rPr>
        <w:t>6 % žiakov základných škôl</w:t>
      </w:r>
      <w:r>
        <w:rPr>
          <w:bCs/>
          <w:color w:val="000000" w:themeColor="text1"/>
          <w:szCs w:val="22"/>
        </w:rPr>
        <w:t>,</w:t>
      </w:r>
      <w:r w:rsidRPr="00AF6438">
        <w:rPr>
          <w:bCs/>
          <w:color w:val="000000" w:themeColor="text1"/>
          <w:szCs w:val="22"/>
        </w:rPr>
        <w:t xml:space="preserve"> kým priemer vybraných krajín EÚ </w:t>
      </w:r>
      <w:r>
        <w:rPr>
          <w:bCs/>
          <w:color w:val="000000" w:themeColor="text1"/>
          <w:szCs w:val="22"/>
        </w:rPr>
        <w:t>bol</w:t>
      </w:r>
      <w:r w:rsidR="00A03E59">
        <w:rPr>
          <w:bCs/>
          <w:color w:val="000000" w:themeColor="text1"/>
          <w:szCs w:val="22"/>
        </w:rPr>
        <w:t xml:space="preserve"> menej ako 2 %.</w:t>
      </w:r>
      <w:r w:rsidRPr="00983555">
        <w:t xml:space="preserve"> </w:t>
      </w:r>
      <w:r w:rsidRPr="00AF6438">
        <w:rPr>
          <w:bCs/>
          <w:color w:val="000000" w:themeColor="text1"/>
          <w:szCs w:val="22"/>
        </w:rPr>
        <w:t xml:space="preserve">Školy bežného prúdu často nie </w:t>
      </w:r>
      <w:r w:rsidR="00A03E59">
        <w:rPr>
          <w:bCs/>
          <w:color w:val="000000" w:themeColor="text1"/>
          <w:szCs w:val="22"/>
        </w:rPr>
        <w:t>sú na vzdelávanie</w:t>
      </w:r>
      <w:r w:rsidRPr="00AF6438">
        <w:rPr>
          <w:bCs/>
          <w:color w:val="000000" w:themeColor="text1"/>
          <w:szCs w:val="22"/>
        </w:rPr>
        <w:t xml:space="preserve"> detí</w:t>
      </w:r>
      <w:r>
        <w:rPr>
          <w:bCs/>
          <w:color w:val="000000" w:themeColor="text1"/>
          <w:szCs w:val="22"/>
        </w:rPr>
        <w:t xml:space="preserve"> so zdravotným znevýhodnením</w:t>
      </w:r>
      <w:r w:rsidRPr="00AF6438">
        <w:rPr>
          <w:bCs/>
          <w:color w:val="000000" w:themeColor="text1"/>
          <w:szCs w:val="22"/>
        </w:rPr>
        <w:t xml:space="preserve"> dostatočne pripravené tak po technickej (debarierizácia) ako aj personálnej stránke (</w:t>
      </w:r>
      <w:r>
        <w:rPr>
          <w:bCs/>
          <w:color w:val="000000" w:themeColor="text1"/>
          <w:szCs w:val="22"/>
        </w:rPr>
        <w:t xml:space="preserve">nedostupné vzdelávanie učiteľov a </w:t>
      </w:r>
      <w:r w:rsidRPr="00AF6438">
        <w:rPr>
          <w:bCs/>
          <w:color w:val="000000" w:themeColor="text1"/>
          <w:szCs w:val="22"/>
        </w:rPr>
        <w:t>nedostatok pedagogických asistentov a odborných zamestnancov). Ž</w:t>
      </w:r>
      <w:r w:rsidRPr="00AF6438">
        <w:rPr>
          <w:szCs w:val="22"/>
        </w:rPr>
        <w:t>iakom s mentálnym postihnutím nie je umožnené získať nižšie stredné vzdelanie (ukončená základná škola) a pokračovať vo vzdelávaní v bežných stredných školách.</w:t>
      </w:r>
    </w:p>
    <w:p w14:paraId="23026353" w14:textId="7B030566" w:rsidR="006559AB" w:rsidRPr="00AF6438" w:rsidRDefault="006559AB" w:rsidP="004E0099">
      <w:pPr>
        <w:rPr>
          <w:szCs w:val="22"/>
        </w:rPr>
      </w:pPr>
      <w:r w:rsidRPr="006559AB">
        <w:rPr>
          <w:b/>
          <w:bCs/>
        </w:rPr>
        <w:t>Výdavky na podporu znevýhodnených detí vo vzdelávaní sú nedostatočné.</w:t>
      </w:r>
      <w:r w:rsidRPr="00CE6CC5">
        <w:t xml:space="preserve"> Ich značná časť je koncentrovaná do základných škôl a zameraná prevažne na intervenčné a kompenzačné opatrenia. Výdavky na preventívne opatrenia a na podporu zvyšovania zaškolenosti v materských školách, ktoré majú najvyššiu návratnosť a najväčší potenciál pozitívne ovplyvniť ďalší úspech detí, sú minimálne</w:t>
      </w:r>
      <w:r>
        <w:t>.</w:t>
      </w:r>
    </w:p>
    <w:p w14:paraId="4932C492" w14:textId="77777777" w:rsidR="00B70F74" w:rsidRPr="00231BE7" w:rsidRDefault="00B70F74" w:rsidP="00D20D85">
      <w:pPr>
        <w:rPr>
          <w:bCs/>
          <w:color w:val="0070C0"/>
          <w:szCs w:val="22"/>
        </w:rPr>
      </w:pPr>
      <w:r w:rsidRPr="00231BE7">
        <w:rPr>
          <w:bCs/>
          <w:color w:val="0070C0"/>
          <w:szCs w:val="22"/>
        </w:rPr>
        <w:t>Trh práce</w:t>
      </w:r>
    </w:p>
    <w:p w14:paraId="3BABE3DD" w14:textId="062EE042" w:rsidR="00B70F74" w:rsidRPr="00AF6438" w:rsidRDefault="00B70F74" w:rsidP="00D20D85">
      <w:pPr>
        <w:spacing w:before="160"/>
        <w:rPr>
          <w:iCs/>
          <w:szCs w:val="22"/>
          <w:lang w:eastAsia="sk-SK"/>
        </w:rPr>
      </w:pPr>
      <w:r w:rsidRPr="00AF6438">
        <w:rPr>
          <w:b/>
          <w:szCs w:val="22"/>
        </w:rPr>
        <w:t xml:space="preserve">Nedostatočná inklúzia vo vzdelávaní sa následne premieta do výrazných rozdielov v uplatnení na trhu práce. </w:t>
      </w:r>
      <w:r w:rsidRPr="00AF6438">
        <w:rPr>
          <w:iCs/>
          <w:szCs w:val="22"/>
          <w:lang w:eastAsia="sk-SK"/>
        </w:rPr>
        <w:t>Spomedzi krajín EÚ je na Slovensku s náskokom najvyššia miera nezamestnanosti ľudí s nízkym vzdelaním, až 29 %</w:t>
      </w:r>
      <w:r w:rsidR="00943C34">
        <w:rPr>
          <w:iCs/>
          <w:szCs w:val="22"/>
          <w:lang w:eastAsia="sk-SK"/>
        </w:rPr>
        <w:t>. Pre porovnanie priemer krajín EÚ15 je 14</w:t>
      </w:r>
      <w:r w:rsidRPr="00AF6438">
        <w:rPr>
          <w:iCs/>
          <w:szCs w:val="22"/>
          <w:lang w:eastAsia="sk-SK"/>
        </w:rPr>
        <w:t xml:space="preserve"> %</w:t>
      </w:r>
      <w:r w:rsidR="00943C34">
        <w:rPr>
          <w:iCs/>
          <w:szCs w:val="22"/>
          <w:lang w:eastAsia="sk-SK"/>
        </w:rPr>
        <w:t xml:space="preserve"> a priemer V3 je 10 %</w:t>
      </w:r>
      <w:r w:rsidRPr="00AF6438">
        <w:rPr>
          <w:iCs/>
          <w:szCs w:val="22"/>
          <w:lang w:eastAsia="sk-SK"/>
        </w:rPr>
        <w:t>. Vplyv vzdelania na mieru nezamestnanosti patrí k najvyšším v EÚ.</w:t>
      </w:r>
    </w:p>
    <w:p w14:paraId="4C51726C" w14:textId="56844FEE" w:rsidR="00B70F74" w:rsidRPr="00AF6438" w:rsidRDefault="00B70F74" w:rsidP="00D20D85">
      <w:pPr>
        <w:spacing w:before="160"/>
        <w:rPr>
          <w:szCs w:val="22"/>
        </w:rPr>
      </w:pPr>
      <w:r w:rsidRPr="00AF6438">
        <w:rPr>
          <w:b/>
          <w:szCs w:val="22"/>
        </w:rPr>
        <w:t xml:space="preserve">Úrady práce nemajú kapacity na účinnú a rýchlu pomoc znevýhodneným a ťažko uplatniteľným uchádzačom o zamestnanie. </w:t>
      </w:r>
      <w:r w:rsidRPr="00AF6438">
        <w:rPr>
          <w:szCs w:val="22"/>
        </w:rPr>
        <w:t>Profilácia uchádzačov o zamestnanie s cieľom identifikovať tých s najväč</w:t>
      </w:r>
      <w:r w:rsidR="0070047D">
        <w:rPr>
          <w:szCs w:val="22"/>
        </w:rPr>
        <w:t xml:space="preserve">šími prekážkami </w:t>
      </w:r>
      <w:r w:rsidRPr="00AF6438">
        <w:rPr>
          <w:szCs w:val="22"/>
        </w:rPr>
        <w:t xml:space="preserve">nepoužíva sofistikované štatistické nástroje, ktoré sa osvedčili v iných krajinách. Individuálna práca s ťažko uplatniteľnými klientmi sa z kapacitných dôvodov nerealizuje. Na najchudobnejších uchádzačov o zamestnanie je cielený najmenej efektívny nástroj pomoci v podobe aktivačných prác. </w:t>
      </w:r>
    </w:p>
    <w:p w14:paraId="6B9F6A9B" w14:textId="77777777" w:rsidR="00B70F74" w:rsidRPr="00AF6438" w:rsidRDefault="00B70F74" w:rsidP="00D20D85">
      <w:pPr>
        <w:rPr>
          <w:rFonts w:cs="Times New Roman"/>
          <w:szCs w:val="22"/>
        </w:rPr>
      </w:pPr>
      <w:r w:rsidRPr="00AF6438">
        <w:rPr>
          <w:rFonts w:cs="Times New Roman"/>
          <w:b/>
          <w:szCs w:val="22"/>
        </w:rPr>
        <w:t xml:space="preserve">Podpora zamestnávania osôb so zdravotným postihnutím je cielená najmä na chránené dielne a chránené pracoviská. </w:t>
      </w:r>
      <w:r w:rsidRPr="00AF6438">
        <w:rPr>
          <w:rFonts w:cs="Times New Roman"/>
          <w:szCs w:val="22"/>
        </w:rPr>
        <w:t xml:space="preserve">Hoci pre určité skupiny zdravotne postihnutých predstavuje zamestnávanie v chránených dielňach nenahraditeľný nástroj inklúzie, v chránených dielňach sú zamestnávaní aj ľudia, ktorí by sa s adekvátnou podporou dokázali uplatniť na otvorenom trhu práce. </w:t>
      </w:r>
    </w:p>
    <w:p w14:paraId="5DC9A030" w14:textId="1580486A" w:rsidR="00B70F74" w:rsidRPr="00936EB0" w:rsidRDefault="00580449" w:rsidP="00D20D85">
      <w:pPr>
        <w:rPr>
          <w:bCs/>
          <w:szCs w:val="22"/>
        </w:rPr>
      </w:pPr>
      <w:r>
        <w:rPr>
          <w:b/>
          <w:bCs/>
          <w:szCs w:val="22"/>
        </w:rPr>
        <w:t>Zamestnanosť</w:t>
      </w:r>
      <w:r w:rsidR="00B70F74" w:rsidRPr="00AF6438">
        <w:rPr>
          <w:b/>
          <w:bCs/>
          <w:szCs w:val="22"/>
        </w:rPr>
        <w:t xml:space="preserve"> osamelých rodičov, zvlášť matiek s malými deťmi obmedzuje slabá dostupnosť jaslí ako aj materských škôl. </w:t>
      </w:r>
      <w:r w:rsidR="00943C34">
        <w:rPr>
          <w:bCs/>
          <w:szCs w:val="22"/>
        </w:rPr>
        <w:t>Iba 5 %</w:t>
      </w:r>
      <w:r>
        <w:rPr>
          <w:bCs/>
          <w:szCs w:val="22"/>
        </w:rPr>
        <w:t xml:space="preserve"> detí</w:t>
      </w:r>
      <w:r w:rsidR="00B70F74" w:rsidRPr="00AF6438">
        <w:rPr>
          <w:bCs/>
          <w:szCs w:val="22"/>
        </w:rPr>
        <w:t xml:space="preserve"> </w:t>
      </w:r>
      <w:r w:rsidR="00961328">
        <w:rPr>
          <w:bCs/>
          <w:szCs w:val="22"/>
        </w:rPr>
        <w:t>do 3</w:t>
      </w:r>
      <w:r>
        <w:rPr>
          <w:bCs/>
          <w:szCs w:val="22"/>
        </w:rPr>
        <w:t xml:space="preserve"> rokov </w:t>
      </w:r>
      <w:r w:rsidRPr="00AF6438">
        <w:rPr>
          <w:bCs/>
          <w:szCs w:val="22"/>
        </w:rPr>
        <w:t xml:space="preserve">veku </w:t>
      </w:r>
      <w:r w:rsidR="00943C34">
        <w:rPr>
          <w:bCs/>
          <w:szCs w:val="22"/>
        </w:rPr>
        <w:t>využíva zari</w:t>
      </w:r>
      <w:r w:rsidR="0076417D">
        <w:rPr>
          <w:bCs/>
          <w:szCs w:val="22"/>
        </w:rPr>
        <w:t>adenia formálnej starostlivosti, čo je najmenej v rámci EÚ (priemer krajín EÚ15 je 42 % detí a priemer V3 je 11 %)</w:t>
      </w:r>
      <w:r w:rsidR="00936EB0">
        <w:rPr>
          <w:bCs/>
          <w:szCs w:val="22"/>
        </w:rPr>
        <w:t xml:space="preserve">. </w:t>
      </w:r>
      <w:r w:rsidR="00936EB0" w:rsidRPr="00936EB0">
        <w:t>Pomoc rodičom uplatniť sa na trhu práce je aktuálne poskytovaná prostredníctvom</w:t>
      </w:r>
      <w:r w:rsidR="00936EB0">
        <w:t xml:space="preserve"> príspevkov pre zamestnávateľov, komplexná podpora osamelých rodičov chýba.</w:t>
      </w:r>
    </w:p>
    <w:p w14:paraId="1B133039" w14:textId="239621D8" w:rsidR="00B70F74" w:rsidRPr="00231BE7" w:rsidRDefault="00B70F74" w:rsidP="00D20D85">
      <w:pPr>
        <w:rPr>
          <w:rFonts w:cs="Times New Roman"/>
          <w:color w:val="0070C0"/>
          <w:szCs w:val="22"/>
        </w:rPr>
      </w:pPr>
      <w:r w:rsidRPr="00231BE7">
        <w:rPr>
          <w:color w:val="0070C0"/>
          <w:szCs w:val="22"/>
        </w:rPr>
        <w:lastRenderedPageBreak/>
        <w:t>Sociálne politiky</w:t>
      </w:r>
    </w:p>
    <w:p w14:paraId="4A2DCBEE" w14:textId="3A7756D7" w:rsidR="00B70F74" w:rsidRPr="00AF6438" w:rsidRDefault="00B70F74" w:rsidP="00D20D85">
      <w:pPr>
        <w:spacing w:before="160"/>
        <w:rPr>
          <w:szCs w:val="22"/>
        </w:rPr>
      </w:pPr>
      <w:r w:rsidRPr="00AF6438">
        <w:rPr>
          <w:b/>
          <w:szCs w:val="22"/>
        </w:rPr>
        <w:t>Hoci podiel detí žijúcich pod hranicou rizika chudoby je na Slovensku blízko priemeru EÚ</w:t>
      </w:r>
      <w:r w:rsidR="00F27984">
        <w:rPr>
          <w:b/>
          <w:szCs w:val="22"/>
        </w:rPr>
        <w:t>15</w:t>
      </w:r>
      <w:r w:rsidRPr="00AF6438">
        <w:rPr>
          <w:b/>
          <w:szCs w:val="22"/>
        </w:rPr>
        <w:t xml:space="preserve">, príjem týchto rodín zaostáva za touto hranicou výrazne viac ako v iných krajinách. </w:t>
      </w:r>
      <w:r w:rsidRPr="00AF6438">
        <w:rPr>
          <w:szCs w:val="22"/>
        </w:rPr>
        <w:t xml:space="preserve">Jedným z dôvodov je relatívne nízka úroveň pomoci v hmotnej núdzi – príjem rodín odkázaných na túto pomoc </w:t>
      </w:r>
      <w:r w:rsidR="00F27984">
        <w:rPr>
          <w:szCs w:val="22"/>
        </w:rPr>
        <w:t xml:space="preserve">ako podiel stredného príjmu v hospodárstve </w:t>
      </w:r>
      <w:r w:rsidRPr="00AF6438">
        <w:rPr>
          <w:szCs w:val="22"/>
        </w:rPr>
        <w:t>je v porovnaní s priemerom EÚ</w:t>
      </w:r>
      <w:r w:rsidR="00F27984">
        <w:rPr>
          <w:szCs w:val="22"/>
        </w:rPr>
        <w:t>15</w:t>
      </w:r>
      <w:r w:rsidRPr="00AF6438">
        <w:rPr>
          <w:szCs w:val="22"/>
        </w:rPr>
        <w:t xml:space="preserve"> zhruba polovičný. Výška pomoci zostala od roku 2009 do roku 2019 nezmenená, čo spôsobilo pokles oproti hranici rizika chudoby o vyše 20 %.</w:t>
      </w:r>
      <w:r w:rsidRPr="00AF6438">
        <w:rPr>
          <w:b/>
          <w:szCs w:val="22"/>
        </w:rPr>
        <w:t xml:space="preserve"> V ochrane osôb so zdravotným znevýhodnením pred chudobou zaznamenáva Slovensko podľa dostupných údajov vyššie výdavky v pomere k HDP aj lepšie výsledky ako je priemer krajín EÚ</w:t>
      </w:r>
      <w:r w:rsidR="00881127">
        <w:rPr>
          <w:b/>
          <w:szCs w:val="22"/>
        </w:rPr>
        <w:t>15</w:t>
      </w:r>
      <w:r w:rsidRPr="00AF6438">
        <w:rPr>
          <w:b/>
          <w:szCs w:val="22"/>
        </w:rPr>
        <w:t>, hoci porovnateľnosť údajov medzi krajinami je obmedzená.</w:t>
      </w:r>
    </w:p>
    <w:p w14:paraId="59F53F67" w14:textId="77777777" w:rsidR="00B70F74" w:rsidRPr="00231BE7" w:rsidRDefault="00B70F74" w:rsidP="00D20D85">
      <w:pPr>
        <w:rPr>
          <w:bCs/>
          <w:color w:val="0070C0"/>
          <w:szCs w:val="22"/>
        </w:rPr>
      </w:pPr>
      <w:r w:rsidRPr="00231BE7">
        <w:rPr>
          <w:bCs/>
          <w:color w:val="0070C0"/>
          <w:szCs w:val="22"/>
        </w:rPr>
        <w:t>Bývanie a infraštruktúra</w:t>
      </w:r>
    </w:p>
    <w:p w14:paraId="308E395F" w14:textId="27A97ED5" w:rsidR="00B70F74" w:rsidRPr="00AF6438" w:rsidRDefault="00B70F74" w:rsidP="00D20D85">
      <w:pPr>
        <w:rPr>
          <w:b/>
          <w:color w:val="000000" w:themeColor="text1"/>
          <w:szCs w:val="22"/>
        </w:rPr>
      </w:pPr>
      <w:r w:rsidRPr="00AF6438">
        <w:rPr>
          <w:b/>
          <w:color w:val="000000" w:themeColor="text1"/>
          <w:szCs w:val="22"/>
        </w:rPr>
        <w:t xml:space="preserve">V preľudnenom bývaní nízkej kvality býva na Slovensku </w:t>
      </w:r>
      <w:r w:rsidR="00B42B63">
        <w:rPr>
          <w:b/>
          <w:color w:val="000000" w:themeColor="text1"/>
          <w:szCs w:val="22"/>
        </w:rPr>
        <w:t>14,3 % ľ</w:t>
      </w:r>
      <w:r w:rsidR="00E75D5A">
        <w:rPr>
          <w:b/>
          <w:color w:val="000000" w:themeColor="text1"/>
          <w:szCs w:val="22"/>
        </w:rPr>
        <w:t>udí žujúcich pod hranicou rizika</w:t>
      </w:r>
      <w:r w:rsidR="00B42B63">
        <w:rPr>
          <w:b/>
          <w:color w:val="000000" w:themeColor="text1"/>
          <w:szCs w:val="22"/>
        </w:rPr>
        <w:t xml:space="preserve"> chudoby, </w:t>
      </w:r>
      <w:r w:rsidR="00F57B35">
        <w:rPr>
          <w:b/>
          <w:color w:val="000000" w:themeColor="text1"/>
          <w:szCs w:val="22"/>
        </w:rPr>
        <w:t xml:space="preserve">čo je </w:t>
      </w:r>
      <w:r w:rsidR="00B42B63">
        <w:rPr>
          <w:b/>
          <w:color w:val="000000" w:themeColor="text1"/>
          <w:szCs w:val="22"/>
        </w:rPr>
        <w:t xml:space="preserve">dvojnásobok krajín EÚ15 (7,1 %) a viac ako priemer V3 (11,9 %). </w:t>
      </w:r>
      <w:r w:rsidRPr="00AF6438">
        <w:rPr>
          <w:color w:val="000000" w:themeColor="text1"/>
          <w:szCs w:val="22"/>
        </w:rPr>
        <w:t>K najproblémovejším lokalitám z pohľadu kvality bývania a infraštruktúry patria viaceré koncentrované rómske osídlenia.</w:t>
      </w:r>
      <w:r w:rsidRPr="00AF6438">
        <w:rPr>
          <w:b/>
          <w:color w:val="000000" w:themeColor="text1"/>
          <w:szCs w:val="22"/>
        </w:rPr>
        <w:t xml:space="preserve"> </w:t>
      </w:r>
      <w:r w:rsidRPr="00AF6438">
        <w:rPr>
          <w:color w:val="000000" w:themeColor="text1"/>
          <w:szCs w:val="22"/>
        </w:rPr>
        <w:t xml:space="preserve">Od finančnej dostupnosti a polohy bývania závisí prístup k verejným službám a na trh práce. Zlé podmienky </w:t>
      </w:r>
      <w:r w:rsidR="00A35E92">
        <w:rPr>
          <w:color w:val="000000" w:themeColor="text1"/>
          <w:szCs w:val="22"/>
        </w:rPr>
        <w:t>bývania tiež priamo vplývajú na </w:t>
      </w:r>
      <w:r w:rsidRPr="00AF6438">
        <w:rPr>
          <w:color w:val="000000" w:themeColor="text1"/>
          <w:szCs w:val="22"/>
        </w:rPr>
        <w:t xml:space="preserve">ľudské zdravie a školské výsledky detí. Ponuka cenovo dostupného nájomného bývania s regulovaným nájmom je jedna z najnižších v rámci EÚ. </w:t>
      </w:r>
      <w:r w:rsidRPr="00AF6438">
        <w:rPr>
          <w:szCs w:val="22"/>
        </w:rPr>
        <w:t>Na Slovensku v takomto bývaní žije iba 1,5 % populácie</w:t>
      </w:r>
      <w:r w:rsidR="00927787">
        <w:rPr>
          <w:szCs w:val="22"/>
        </w:rPr>
        <w:t>, výrazne menej ako </w:t>
      </w:r>
      <w:r w:rsidR="00B42B63">
        <w:rPr>
          <w:szCs w:val="22"/>
        </w:rPr>
        <w:t>priemer</w:t>
      </w:r>
      <w:r w:rsidRPr="00AF6438">
        <w:rPr>
          <w:szCs w:val="22"/>
        </w:rPr>
        <w:t xml:space="preserve"> EÚ</w:t>
      </w:r>
      <w:r w:rsidR="00B42B63">
        <w:rPr>
          <w:szCs w:val="22"/>
        </w:rPr>
        <w:t>15 (8,5 %) aj V3 (8,8 %)</w:t>
      </w:r>
      <w:r w:rsidRPr="00AF6438">
        <w:rPr>
          <w:szCs w:val="22"/>
        </w:rPr>
        <w:t xml:space="preserve">. </w:t>
      </w:r>
      <w:r w:rsidRPr="00AF6438">
        <w:rPr>
          <w:color w:val="000000" w:themeColor="text1"/>
          <w:szCs w:val="22"/>
        </w:rPr>
        <w:t xml:space="preserve">Príspevok na bývanie v rámci pomoci v hmotnej núdzi je v porovnaní s obdobnou podporou v zahraničí príliš úzko cielený, nízky a málo citlivý na životné podmienky prijímateľov. </w:t>
      </w:r>
    </w:p>
    <w:p w14:paraId="5B3BBB04" w14:textId="513F7187" w:rsidR="00B70F74" w:rsidRPr="00A613C4" w:rsidRDefault="00A613C4" w:rsidP="00D20D85">
      <w:pPr>
        <w:rPr>
          <w:color w:val="000000" w:themeColor="text1"/>
          <w:szCs w:val="22"/>
        </w:rPr>
      </w:pPr>
      <w:r w:rsidRPr="00A613C4">
        <w:rPr>
          <w:b/>
        </w:rPr>
        <w:t>Slovensko zatiaľ nemá ucelenú koncepciu riešenia bezdomovectva na národnej úrovni.</w:t>
      </w:r>
      <w:r>
        <w:t xml:space="preserve"> </w:t>
      </w:r>
      <w:r w:rsidR="00B70F74" w:rsidRPr="00A613C4">
        <w:rPr>
          <w:bCs/>
          <w:szCs w:val="22"/>
        </w:rPr>
        <w:t>Prepájanie sociálnych služieb zameraných na pomoc ľuďom v bytovej núdzi do uceleného systému nie je legislatívne ukotvené. To negatívne vplýva na kvalitu života ľudí bez domova a zvyšuje verejné výdavky</w:t>
      </w:r>
      <w:r w:rsidR="00B70F74" w:rsidRPr="00AF6438">
        <w:rPr>
          <w:bCs/>
          <w:szCs w:val="22"/>
        </w:rPr>
        <w:t xml:space="preserve"> spojené s bezdomovectvom. </w:t>
      </w:r>
      <w:r w:rsidR="00B70F74" w:rsidRPr="00AF6438">
        <w:rPr>
          <w:color w:val="000000" w:themeColor="text1"/>
          <w:szCs w:val="22"/>
        </w:rPr>
        <w:t xml:space="preserve">O ľuďoch bez domova a ľuďoch ohrozených stratou bývania sa systematicky nezbierajú údaje, ktoré by umožňovali lepšie plánovanie verejných politík. </w:t>
      </w:r>
    </w:p>
    <w:p w14:paraId="1D826990" w14:textId="77777777" w:rsidR="00B70F74" w:rsidRPr="00231BE7" w:rsidRDefault="00B70F74" w:rsidP="00D20D85">
      <w:pPr>
        <w:spacing w:before="160"/>
        <w:rPr>
          <w:bCs/>
          <w:color w:val="0070C0"/>
          <w:szCs w:val="22"/>
        </w:rPr>
      </w:pPr>
      <w:r w:rsidRPr="00231BE7">
        <w:rPr>
          <w:bCs/>
          <w:color w:val="0070C0"/>
          <w:szCs w:val="22"/>
        </w:rPr>
        <w:t>Zdravotná starostlivosť</w:t>
      </w:r>
    </w:p>
    <w:p w14:paraId="2F187C60" w14:textId="6F13089A" w:rsidR="00B70F74" w:rsidRPr="00AF6438" w:rsidRDefault="00B70F74" w:rsidP="00D20D85">
      <w:pPr>
        <w:spacing w:before="160"/>
        <w:rPr>
          <w:szCs w:val="22"/>
        </w:rPr>
      </w:pPr>
      <w:r w:rsidRPr="00AF6438">
        <w:rPr>
          <w:b/>
          <w:szCs w:val="22"/>
        </w:rPr>
        <w:t xml:space="preserve">Ľudia žijúci v sociálne znevýhodnenom prostredí sa v porovnaní s priemerom Slovenska dožívajú o sedem rokov menej a dojčenská úmrtnosť je v tomto prostredí vyše dvojnásobná. </w:t>
      </w:r>
      <w:r w:rsidRPr="00AF6438">
        <w:rPr>
          <w:szCs w:val="22"/>
        </w:rPr>
        <w:t xml:space="preserve">Spotreba zdravotnej starostlivosti je napriek tomu výrazne podpriemerná, predovšetkým v mladších vekových skupinách. To naznačuje nižšiu dostupnosť a využívanie preventívnej zdravotnej starostlivosti. Na rozdiel od väčšiny ostatných </w:t>
      </w:r>
      <w:r w:rsidR="000B3329">
        <w:rPr>
          <w:szCs w:val="22"/>
        </w:rPr>
        <w:t xml:space="preserve">vyspelých </w:t>
      </w:r>
      <w:r w:rsidRPr="00AF6438">
        <w:rPr>
          <w:szCs w:val="22"/>
        </w:rPr>
        <w:t>krajín na Slovensku úplne absentujú opatrenia na zmiernenie finančnej záťaže spoluúčasti pacien</w:t>
      </w:r>
      <w:r w:rsidR="00927787">
        <w:rPr>
          <w:szCs w:val="22"/>
        </w:rPr>
        <w:t>tov na </w:t>
      </w:r>
      <w:r w:rsidRPr="00AF6438">
        <w:rPr>
          <w:szCs w:val="22"/>
        </w:rPr>
        <w:t xml:space="preserve">financovaní zdravotnej starostlivosti v dôsledku nízkeho príjmu. Fyzická dostupnosť zdravotníckych zariadení (zvlášť gynekologických ambulancií) v obciach s početnou populáciou MRK je problémová. </w:t>
      </w:r>
    </w:p>
    <w:p w14:paraId="59683827" w14:textId="77777777" w:rsidR="00B70F74" w:rsidRPr="00231BE7" w:rsidRDefault="00B70F74" w:rsidP="00D20D85">
      <w:pPr>
        <w:spacing w:before="160"/>
        <w:rPr>
          <w:bCs/>
          <w:color w:val="0070C0"/>
          <w:szCs w:val="22"/>
        </w:rPr>
      </w:pPr>
      <w:r w:rsidRPr="00231BE7">
        <w:rPr>
          <w:bCs/>
          <w:color w:val="0070C0"/>
          <w:szCs w:val="22"/>
        </w:rPr>
        <w:t>Podporné programy v prostredí marginalizovaných rómskych komunít</w:t>
      </w:r>
    </w:p>
    <w:p w14:paraId="0E3F22BD" w14:textId="4EF511AD" w:rsidR="00B70F74" w:rsidRPr="00AF6438" w:rsidRDefault="00B70F74" w:rsidP="00D20D85">
      <w:pPr>
        <w:spacing w:before="160"/>
        <w:rPr>
          <w:szCs w:val="22"/>
        </w:rPr>
      </w:pPr>
      <w:r w:rsidRPr="00AF6438">
        <w:rPr>
          <w:b/>
          <w:szCs w:val="22"/>
        </w:rPr>
        <w:t>Obce s prítomnosťou MRK majú prístup k viacerým podporným programom financovaným z eurofondov, nie všetk</w:t>
      </w:r>
      <w:r w:rsidR="0070047D">
        <w:rPr>
          <w:b/>
          <w:szCs w:val="22"/>
        </w:rPr>
        <w:t xml:space="preserve">y ich využívajú v plnej miere. </w:t>
      </w:r>
      <w:r w:rsidRPr="00AF6438">
        <w:rPr>
          <w:szCs w:val="22"/>
        </w:rPr>
        <w:t>Programy sú zamerané na zlepšenie prístupu k sociálnej a právnej pomoci, poradenstvu, verejným službám, zdravotnej starostlivosti ako aj preventívnym aktivitám v oblasti zdravia či kriminality. Nie všetky obce plne využívajú možnosti, ktoré tieto programy poskytujú</w:t>
      </w:r>
      <w:r w:rsidR="00A56755">
        <w:rPr>
          <w:szCs w:val="22"/>
        </w:rPr>
        <w:t>,</w:t>
      </w:r>
      <w:r w:rsidRPr="00AF6438">
        <w:rPr>
          <w:szCs w:val="22"/>
        </w:rPr>
        <w:t xml:space="preserve"> napriek ich pozitívnemu hodnoteniu zo strany klientov, pracovníkov, predstaviteľov samospráv aj odborníkov. </w:t>
      </w:r>
    </w:p>
    <w:p w14:paraId="272455B9" w14:textId="77777777" w:rsidR="00B70F74" w:rsidRPr="00231BE7" w:rsidRDefault="00B70F74" w:rsidP="00D20D85">
      <w:pPr>
        <w:spacing w:before="160"/>
        <w:rPr>
          <w:bCs/>
          <w:color w:val="0070C0"/>
          <w:szCs w:val="22"/>
        </w:rPr>
      </w:pPr>
      <w:r w:rsidRPr="00231BE7">
        <w:rPr>
          <w:bCs/>
          <w:color w:val="0070C0"/>
          <w:szCs w:val="22"/>
        </w:rPr>
        <w:t>Navrhované opatrenia</w:t>
      </w:r>
    </w:p>
    <w:p w14:paraId="37F9625D" w14:textId="28C8016C" w:rsidR="00B70F74" w:rsidRPr="00AF6438" w:rsidRDefault="00B70F74" w:rsidP="00D20D85">
      <w:pPr>
        <w:spacing w:before="160"/>
        <w:rPr>
          <w:szCs w:val="22"/>
          <w:highlight w:val="yellow"/>
        </w:rPr>
      </w:pPr>
      <w:r w:rsidRPr="006445A1">
        <w:rPr>
          <w:b/>
          <w:szCs w:val="22"/>
        </w:rPr>
        <w:t>Revízia navrhuje opatrenia pre zvýšenie sociálnej inklúzie v celkovej hodnote 263 miliónov eur, z toho v pr</w:t>
      </w:r>
      <w:r w:rsidR="006445A1" w:rsidRPr="006445A1">
        <w:rPr>
          <w:b/>
          <w:szCs w:val="22"/>
        </w:rPr>
        <w:t>vom roku je realizovateľných 107</w:t>
      </w:r>
      <w:r w:rsidRPr="006445A1">
        <w:rPr>
          <w:b/>
          <w:szCs w:val="22"/>
        </w:rPr>
        <w:t xml:space="preserve"> miliónov eur. </w:t>
      </w:r>
      <w:r w:rsidRPr="006445A1">
        <w:rPr>
          <w:b/>
          <w:bCs/>
          <w:szCs w:val="22"/>
        </w:rPr>
        <w:t xml:space="preserve">Implementácia hodnotových opatrení bude okrem iného závisieť od možností štátneho rozpočtu a od priorít vlády. </w:t>
      </w:r>
      <w:r w:rsidRPr="006445A1">
        <w:rPr>
          <w:szCs w:val="22"/>
        </w:rPr>
        <w:t xml:space="preserve">Z celkovej obálky predstavuje 42 miliónov jednorazové výdavky (investície a projekty) a 221 miliónov </w:t>
      </w:r>
      <w:r w:rsidR="00696A09" w:rsidRPr="006445A1">
        <w:rPr>
          <w:szCs w:val="22"/>
        </w:rPr>
        <w:t>je</w:t>
      </w:r>
      <w:r w:rsidRPr="006445A1">
        <w:rPr>
          <w:szCs w:val="22"/>
        </w:rPr>
        <w:t xml:space="preserve"> potenciál dodat</w:t>
      </w:r>
      <w:r w:rsidR="00927787">
        <w:rPr>
          <w:szCs w:val="22"/>
        </w:rPr>
        <w:t>očných každoročných výdavkov na </w:t>
      </w:r>
      <w:r w:rsidRPr="006445A1">
        <w:rPr>
          <w:szCs w:val="22"/>
        </w:rPr>
        <w:t>systematické opatrenia oproti súčasnému stavu. Dve tretiny</w:t>
      </w:r>
      <w:r w:rsidRPr="006445A1">
        <w:rPr>
          <w:b/>
          <w:szCs w:val="22"/>
        </w:rPr>
        <w:t xml:space="preserve"> </w:t>
      </w:r>
      <w:r w:rsidRPr="006445A1">
        <w:rPr>
          <w:szCs w:val="22"/>
        </w:rPr>
        <w:t xml:space="preserve">z celkového balíka (66 %) je určených na ranú </w:t>
      </w:r>
      <w:r w:rsidRPr="006445A1">
        <w:rPr>
          <w:szCs w:val="22"/>
        </w:rPr>
        <w:lastRenderedPageBreak/>
        <w:t>starostlivosť a vzdelávanie. Okolo 20 % by malo</w:t>
      </w:r>
      <w:r w:rsidR="005B2F63">
        <w:rPr>
          <w:szCs w:val="22"/>
        </w:rPr>
        <w:t xml:space="preserve"> smerovať do podpory bývania, 12</w:t>
      </w:r>
      <w:r w:rsidRPr="006445A1">
        <w:rPr>
          <w:szCs w:val="22"/>
        </w:rPr>
        <w:t xml:space="preserve"> % na posilnenie politík trhu práce a sociálnych politík. Do zvyšnýc</w:t>
      </w:r>
      <w:r w:rsidR="005B2F63">
        <w:rPr>
          <w:szCs w:val="22"/>
        </w:rPr>
        <w:t>h oblastí by malo smerovať 2</w:t>
      </w:r>
      <w:r w:rsidRPr="006445A1">
        <w:rPr>
          <w:szCs w:val="22"/>
        </w:rPr>
        <w:t xml:space="preserve"> % z celkového balíka. Nie všetky opatr</w:t>
      </w:r>
      <w:r w:rsidR="00927787">
        <w:rPr>
          <w:szCs w:val="22"/>
        </w:rPr>
        <w:t>enia je </w:t>
      </w:r>
      <w:r w:rsidRPr="006445A1">
        <w:rPr>
          <w:szCs w:val="22"/>
        </w:rPr>
        <w:t>možné naplniť hneď, vyžadujú si postupný nábeh, niektoré</w:t>
      </w:r>
      <w:r w:rsidRPr="00AF6438">
        <w:rPr>
          <w:szCs w:val="22"/>
        </w:rPr>
        <w:t xml:space="preserve"> až 10 rokov.</w:t>
      </w:r>
    </w:p>
    <w:p w14:paraId="753F608D" w14:textId="62F7F330" w:rsidR="00B70F74" w:rsidRPr="00AF6438" w:rsidRDefault="00B70F74" w:rsidP="00D20D85">
      <w:pPr>
        <w:rPr>
          <w:szCs w:val="22"/>
        </w:rPr>
      </w:pPr>
      <w:r w:rsidRPr="00AF6438">
        <w:rPr>
          <w:b/>
          <w:szCs w:val="22"/>
        </w:rPr>
        <w:t xml:space="preserve">Odstraňovanie bariér v prístupe ku vzdelávaniu a posilnenie prvkov inkluzívneho vzdelávania sú kľúčové pre vyrovnávanie šancí vo vzdelávaní a zlepšovanie možností pre znevýhodnené deti realizovať svoj potenciál. </w:t>
      </w:r>
      <w:r w:rsidRPr="00AF6438">
        <w:rPr>
          <w:szCs w:val="22"/>
        </w:rPr>
        <w:t>Najdôležitejší nástroj v tomto smere predstavujú kvalitní pedagógovia schopní prispôsobiť výučbu konkrétnym potrebám jednotlivých detí. Veľká časť navrhovaných výdavkov do vz</w:t>
      </w:r>
      <w:r w:rsidR="00927787">
        <w:rPr>
          <w:szCs w:val="22"/>
        </w:rPr>
        <w:t>delávania (125 miliónov eur) je </w:t>
      </w:r>
      <w:r w:rsidR="00AE4878" w:rsidRPr="00AF6438">
        <w:rPr>
          <w:szCs w:val="22"/>
        </w:rPr>
        <w:t>preto určená na rozvoj personálnych kapacít v materských a základných školách</w:t>
      </w:r>
      <w:r w:rsidR="00AE4878">
        <w:rPr>
          <w:szCs w:val="22"/>
        </w:rPr>
        <w:t>. Ide o výdavky na</w:t>
      </w:r>
      <w:r w:rsidR="00AE4878" w:rsidRPr="00AF6438">
        <w:rPr>
          <w:szCs w:val="22"/>
        </w:rPr>
        <w:t xml:space="preserve"> </w:t>
      </w:r>
      <w:r w:rsidR="00AE4878">
        <w:rPr>
          <w:szCs w:val="22"/>
        </w:rPr>
        <w:t xml:space="preserve">zlepšenie </w:t>
      </w:r>
      <w:r w:rsidR="00AE4878" w:rsidRPr="00AF6438">
        <w:rPr>
          <w:szCs w:val="22"/>
        </w:rPr>
        <w:t>prípravy a celoživotného vzdelávania učiteľov</w:t>
      </w:r>
      <w:r w:rsidR="00AE4878">
        <w:rPr>
          <w:szCs w:val="22"/>
        </w:rPr>
        <w:t xml:space="preserve"> a ďalších aktérov pôsobiacich v školstve</w:t>
      </w:r>
      <w:r w:rsidR="00927787">
        <w:rPr>
          <w:szCs w:val="22"/>
        </w:rPr>
        <w:t xml:space="preserve"> na prácu so </w:t>
      </w:r>
      <w:r w:rsidR="00AE4878" w:rsidRPr="00AF6438">
        <w:rPr>
          <w:szCs w:val="22"/>
        </w:rPr>
        <w:t>znevýhodnenými deťmi a navýšenie počtu odborných zamestnancov a pedagogických asistentov.</w:t>
      </w:r>
    </w:p>
    <w:p w14:paraId="5A70A79B" w14:textId="3176434F" w:rsidR="00AE4878" w:rsidRPr="00AF6438" w:rsidRDefault="00AE4878" w:rsidP="00AE4878">
      <w:pPr>
        <w:rPr>
          <w:szCs w:val="22"/>
        </w:rPr>
      </w:pPr>
      <w:r w:rsidRPr="00AF6438">
        <w:rPr>
          <w:szCs w:val="22"/>
        </w:rPr>
        <w:t xml:space="preserve">Revízia tiež navrhuje pokračovať v </w:t>
      </w:r>
      <w:r>
        <w:rPr>
          <w:szCs w:val="22"/>
        </w:rPr>
        <w:t xml:space="preserve">zlepšovaní dostupnosti </w:t>
      </w:r>
      <w:r w:rsidRPr="00AF6438">
        <w:rPr>
          <w:szCs w:val="22"/>
        </w:rPr>
        <w:t>materských škôl</w:t>
      </w:r>
      <w:r>
        <w:rPr>
          <w:szCs w:val="22"/>
        </w:rPr>
        <w:t xml:space="preserve"> budovaním kapacít</w:t>
      </w:r>
      <w:r w:rsidRPr="00AF6438">
        <w:rPr>
          <w:szCs w:val="22"/>
        </w:rPr>
        <w:t xml:space="preserve"> </w:t>
      </w:r>
      <w:r>
        <w:rPr>
          <w:szCs w:val="22"/>
        </w:rPr>
        <w:t xml:space="preserve">a </w:t>
      </w:r>
      <w:r w:rsidRPr="00AF6438">
        <w:rPr>
          <w:szCs w:val="22"/>
        </w:rPr>
        <w:t>rozšíriť definíciu sociálneho znevýhodnenia s cieľom zachytiť väčší podiel ohrozených detí</w:t>
      </w:r>
      <w:r>
        <w:rPr>
          <w:szCs w:val="22"/>
        </w:rPr>
        <w:t xml:space="preserve">. Pre zlepšenie situácie detí z MRK je kľúčové podniknúť kroky </w:t>
      </w:r>
      <w:r w:rsidRPr="002B7E80">
        <w:t xml:space="preserve">proti </w:t>
      </w:r>
      <w:r>
        <w:t xml:space="preserve">ich </w:t>
      </w:r>
      <w:r w:rsidRPr="002B7E80">
        <w:t xml:space="preserve">nadpriemernému zastúpeniu v špeciálnom školstve ako aj proti </w:t>
      </w:r>
      <w:r>
        <w:t xml:space="preserve">ich </w:t>
      </w:r>
      <w:r w:rsidRPr="002B7E80">
        <w:t>priestorovému vyčleňovaniu v bežnom školstve</w:t>
      </w:r>
      <w:r>
        <w:rPr>
          <w:szCs w:val="22"/>
        </w:rPr>
        <w:t xml:space="preserve"> </w:t>
      </w:r>
      <w:r w:rsidRPr="00AF6438">
        <w:rPr>
          <w:szCs w:val="22"/>
        </w:rPr>
        <w:t xml:space="preserve">a zohľadniť jazykové potreby </w:t>
      </w:r>
      <w:r>
        <w:rPr>
          <w:szCs w:val="22"/>
        </w:rPr>
        <w:t xml:space="preserve">rómskych </w:t>
      </w:r>
      <w:r w:rsidRPr="00AF6438">
        <w:rPr>
          <w:szCs w:val="22"/>
        </w:rPr>
        <w:t xml:space="preserve">detí, ktorých materinský jazyk nie je slovenčina. Ďalej je </w:t>
      </w:r>
      <w:r>
        <w:rPr>
          <w:szCs w:val="22"/>
        </w:rPr>
        <w:t>dôležité</w:t>
      </w:r>
      <w:r w:rsidRPr="00AF6438">
        <w:rPr>
          <w:szCs w:val="22"/>
        </w:rPr>
        <w:t xml:space="preserve"> metodicky a finančne podporiť debarierizáciu škôl na všetkých úrovniach vzdelávania pre žiakov so zdravotným znevýhodnením. Celkovú pripravenosť znevýhodnených detí na vzdelávanie navrhuje revízia posilniť rozšírením ranej starostlivosti a účinnejšou spoluprácou medzi rezortmi pôsobiacimi v tejto oblasti.</w:t>
      </w:r>
    </w:p>
    <w:p w14:paraId="7C3FF00E" w14:textId="3738C94D" w:rsidR="00B70F74" w:rsidRPr="00AF6438" w:rsidRDefault="00B70F74" w:rsidP="00D20D85">
      <w:pPr>
        <w:spacing w:before="160"/>
        <w:rPr>
          <w:rFonts w:cs="Times New Roman"/>
          <w:szCs w:val="22"/>
        </w:rPr>
      </w:pPr>
      <w:r w:rsidRPr="00AF6438">
        <w:rPr>
          <w:b/>
          <w:szCs w:val="22"/>
        </w:rPr>
        <w:t>Pomoc ťažko uplatniteľným uchádzačom o zamestnanie na trhu práce je potreb</w:t>
      </w:r>
      <w:r w:rsidR="00DB09BD">
        <w:rPr>
          <w:b/>
          <w:szCs w:val="22"/>
        </w:rPr>
        <w:t>né založiť na </w:t>
      </w:r>
      <w:r w:rsidRPr="00AF6438">
        <w:rPr>
          <w:b/>
          <w:szCs w:val="22"/>
        </w:rPr>
        <w:t xml:space="preserve">sofistikovanej profilácii a na ňu nadväzujúcej včasnej, odbornej a individualizovanej pomoci. </w:t>
      </w:r>
      <w:r w:rsidRPr="00AF6438">
        <w:rPr>
          <w:szCs w:val="22"/>
        </w:rPr>
        <w:t xml:space="preserve">Uchádzači o zamestnanie aj úrady práce by mali byť motivovaní, aby vo väčšej miere uprednostňovali účinnejšie nástroje pomoci pred aktivačnými prácami. </w:t>
      </w:r>
      <w:r w:rsidRPr="00AF6438">
        <w:rPr>
          <w:rFonts w:cs="Times New Roman"/>
          <w:szCs w:val="22"/>
        </w:rPr>
        <w:t>Existuje tiež priestor na pod</w:t>
      </w:r>
      <w:r w:rsidR="00DB09BD">
        <w:rPr>
          <w:rFonts w:cs="Times New Roman"/>
          <w:szCs w:val="22"/>
        </w:rPr>
        <w:t>poru dopytu po zamestnancoch so </w:t>
      </w:r>
      <w:r w:rsidRPr="00AF6438">
        <w:rPr>
          <w:rFonts w:cs="Times New Roman"/>
          <w:szCs w:val="22"/>
        </w:rPr>
        <w:t>zdravotným znevýhodnením zo strany zamestnávateľov prostredníctvom striktnejšieho nastavenia systému kvót.</w:t>
      </w:r>
    </w:p>
    <w:p w14:paraId="3BE93548" w14:textId="4AAF8019" w:rsidR="00B70F74" w:rsidRPr="00AF6438" w:rsidRDefault="00B70F74" w:rsidP="00D20D85">
      <w:pPr>
        <w:spacing w:before="160"/>
        <w:rPr>
          <w:szCs w:val="22"/>
        </w:rPr>
      </w:pPr>
      <w:r w:rsidRPr="00AF6438">
        <w:rPr>
          <w:rFonts w:cs="Times New Roman"/>
          <w:b/>
          <w:szCs w:val="22"/>
        </w:rPr>
        <w:t xml:space="preserve">Podpora detí žijúcich v hlbokej chudobe si okrem rozšírenia príležitostí vo vzdelávaní a účinnejšej pomoci pre ich rodičov pri hľadaní práce vyžaduje aj posilnenie sociálnej ochrany. </w:t>
      </w:r>
      <w:r w:rsidRPr="00AF6438">
        <w:rPr>
          <w:szCs w:val="22"/>
        </w:rPr>
        <w:t>Život v hlbokej chudobe má totiž preukázateľné negatívne dopady na ich kognitívny a emocionálny vývin a obmedzuje ich schopnosť plne využiť príležitosti, ktoré im vzdelávací systém ponúka. Za týmto účelom je potrebné napraviť relatívny pokles pomoci v hmotnej núdzi oproti hranici chudoby pre rodiny s deťmi a rozšíriť nárok na prí</w:t>
      </w:r>
      <w:r w:rsidR="00423AA9">
        <w:rPr>
          <w:szCs w:val="22"/>
        </w:rPr>
        <w:t>spevok na nezaopatrené dieťa na </w:t>
      </w:r>
      <w:r w:rsidRPr="00AF6438">
        <w:rPr>
          <w:szCs w:val="22"/>
        </w:rPr>
        <w:t xml:space="preserve">deti v predškolskom veku. Motivácia pracovať oproti poberaniu sociálnych dávok pre rodičov by po zavedení navrhovaných opatrení zostala aj naďalej výrazne vyššia ako vo väčšine krajín EÚ. </w:t>
      </w:r>
    </w:p>
    <w:p w14:paraId="7CADF015" w14:textId="37AC7A60" w:rsidR="00B70F74" w:rsidRPr="00AF6438" w:rsidRDefault="009B2A24" w:rsidP="00D20D85">
      <w:pPr>
        <w:rPr>
          <w:b/>
          <w:szCs w:val="22"/>
        </w:rPr>
      </w:pPr>
      <w:r>
        <w:rPr>
          <w:b/>
          <w:szCs w:val="22"/>
        </w:rPr>
        <w:t xml:space="preserve">Dostupnosť bývania pre ohrozené skupiny </w:t>
      </w:r>
      <w:r w:rsidR="00696A09">
        <w:rPr>
          <w:b/>
          <w:szCs w:val="22"/>
        </w:rPr>
        <w:t>navrhuje revízia</w:t>
      </w:r>
      <w:r>
        <w:rPr>
          <w:b/>
          <w:szCs w:val="22"/>
        </w:rPr>
        <w:t xml:space="preserve"> posilniť</w:t>
      </w:r>
      <w:r w:rsidR="00B70F74" w:rsidRPr="00AF6438">
        <w:rPr>
          <w:b/>
          <w:szCs w:val="22"/>
        </w:rPr>
        <w:t xml:space="preserve"> </w:t>
      </w:r>
      <w:r>
        <w:rPr>
          <w:b/>
          <w:szCs w:val="22"/>
        </w:rPr>
        <w:t>upravením príspev</w:t>
      </w:r>
      <w:r w:rsidR="00B70F74" w:rsidRPr="00AF6438">
        <w:rPr>
          <w:b/>
          <w:szCs w:val="22"/>
        </w:rPr>
        <w:t>k</w:t>
      </w:r>
      <w:r>
        <w:rPr>
          <w:b/>
          <w:szCs w:val="22"/>
        </w:rPr>
        <w:t>u na bývanie a vytvorením podmienok</w:t>
      </w:r>
      <w:r w:rsidR="00B70F74" w:rsidRPr="00AF6438">
        <w:rPr>
          <w:b/>
          <w:szCs w:val="22"/>
        </w:rPr>
        <w:t xml:space="preserve"> pre účinnejšiu pomoc ľuďom bez domova. </w:t>
      </w:r>
      <w:r w:rsidR="00B70F74" w:rsidRPr="00AF6438">
        <w:rPr>
          <w:szCs w:val="22"/>
        </w:rPr>
        <w:t xml:space="preserve">Príspevok na bývanie by mal byť v súlade s medzinárodnou praxou poskytovaný nezávisle od pomoci v hmotnej núdzi širšiemu okruhu obyvateľov zohľadňujúc pritom zloženie domácnosti, ako aj reálne náklady spojené s bývaním. </w:t>
      </w:r>
      <w:r w:rsidR="00A31B9E">
        <w:rPr>
          <w:szCs w:val="22"/>
        </w:rPr>
        <w:t xml:space="preserve">Účinnejšia prevencia a riešenie problému bezdomovectva si vyžaduje prijatie národnej </w:t>
      </w:r>
      <w:r w:rsidR="00EC7B8C">
        <w:rPr>
          <w:szCs w:val="22"/>
        </w:rPr>
        <w:t>stratégie</w:t>
      </w:r>
      <w:r w:rsidR="00A31B9E">
        <w:rPr>
          <w:szCs w:val="22"/>
        </w:rPr>
        <w:t xml:space="preserve"> a </w:t>
      </w:r>
      <w:r w:rsidR="00B70F74" w:rsidRPr="00AF6438">
        <w:rPr>
          <w:color w:val="000000" w:themeColor="text1"/>
          <w:szCs w:val="22"/>
        </w:rPr>
        <w:t xml:space="preserve">zavedenie pravidelného zberu údajov o tejto skupine. </w:t>
      </w:r>
      <w:r w:rsidR="00B70F74" w:rsidRPr="00AF6438">
        <w:rPr>
          <w:szCs w:val="22"/>
        </w:rPr>
        <w:t>Pozitívne skúsenosti zo zahraničia so stratégiou „housing first“ (bývanie ako prvé) by bolo vhodné pilotne overiť aj v podmienkach Slovenska.</w:t>
      </w:r>
    </w:p>
    <w:p w14:paraId="37E0492B" w14:textId="66074827" w:rsidR="00B70F74" w:rsidRPr="006445A1" w:rsidRDefault="00B70F74" w:rsidP="00D20D85">
      <w:pPr>
        <w:spacing w:before="160"/>
        <w:rPr>
          <w:b/>
          <w:szCs w:val="22"/>
        </w:rPr>
      </w:pPr>
      <w:r w:rsidRPr="00AF6438">
        <w:rPr>
          <w:b/>
          <w:szCs w:val="22"/>
        </w:rPr>
        <w:t>Medzi dôležité opatrenia v ostatných oblastiach patrí účinnejšia ochrana</w:t>
      </w:r>
      <w:r w:rsidR="00A35E92">
        <w:rPr>
          <w:b/>
          <w:szCs w:val="22"/>
        </w:rPr>
        <w:t xml:space="preserve"> nízkopríjmových pacientov pred </w:t>
      </w:r>
      <w:r w:rsidRPr="00AF6438">
        <w:rPr>
          <w:b/>
          <w:szCs w:val="22"/>
        </w:rPr>
        <w:t>doplatkami za lieky a rozšírenie pokrytia podporných programov v obc</w:t>
      </w:r>
      <w:r w:rsidR="00423AA9">
        <w:rPr>
          <w:b/>
          <w:szCs w:val="22"/>
        </w:rPr>
        <w:t>iach s prítomnosťou MRK spolu s </w:t>
      </w:r>
      <w:r w:rsidRPr="006445A1">
        <w:rPr>
          <w:b/>
          <w:szCs w:val="22"/>
        </w:rPr>
        <w:t>účinnejšou vzájomnou koordináciou týchto programov na regionálnej úrovni.</w:t>
      </w:r>
    </w:p>
    <w:p w14:paraId="16155DF8" w14:textId="5DDB8E70" w:rsidR="00D262E4" w:rsidRPr="00B70F74" w:rsidRDefault="00B70F74" w:rsidP="00D20D85">
      <w:pPr>
        <w:spacing w:before="160"/>
        <w:rPr>
          <w:szCs w:val="22"/>
        </w:rPr>
      </w:pPr>
      <w:r w:rsidRPr="006445A1">
        <w:rPr>
          <w:b/>
          <w:szCs w:val="22"/>
        </w:rPr>
        <w:t>Úspory spojené s odstránením alebo obmedzením menej efektívnych existujúcich nástrojov verejných politík zameranýc</w:t>
      </w:r>
      <w:r w:rsidR="00A74116" w:rsidRPr="006445A1">
        <w:rPr>
          <w:b/>
          <w:szCs w:val="22"/>
        </w:rPr>
        <w:t>h na inklúziu sú odhadnuté na 13,7</w:t>
      </w:r>
      <w:r w:rsidRPr="006445A1">
        <w:rPr>
          <w:b/>
          <w:szCs w:val="22"/>
        </w:rPr>
        <w:t xml:space="preserve"> miliónov eur, z toho v prvom roku </w:t>
      </w:r>
      <w:r w:rsidR="00A74116" w:rsidRPr="006445A1">
        <w:rPr>
          <w:b/>
          <w:szCs w:val="22"/>
        </w:rPr>
        <w:t>je realizovateľný</w:t>
      </w:r>
      <w:r w:rsidR="000D7291" w:rsidRPr="006445A1">
        <w:rPr>
          <w:b/>
          <w:szCs w:val="22"/>
        </w:rPr>
        <w:t>ch</w:t>
      </w:r>
      <w:r w:rsidR="00A74116" w:rsidRPr="006445A1">
        <w:rPr>
          <w:b/>
          <w:szCs w:val="22"/>
        </w:rPr>
        <w:t xml:space="preserve"> 1,4 milión</w:t>
      </w:r>
      <w:r w:rsidR="000D7291" w:rsidRPr="006445A1">
        <w:rPr>
          <w:b/>
          <w:szCs w:val="22"/>
        </w:rPr>
        <w:t>a</w:t>
      </w:r>
      <w:r w:rsidRPr="006445A1">
        <w:rPr>
          <w:b/>
          <w:szCs w:val="22"/>
        </w:rPr>
        <w:t xml:space="preserve"> eur.</w:t>
      </w:r>
      <w:r w:rsidRPr="006445A1">
        <w:rPr>
          <w:szCs w:val="22"/>
        </w:rPr>
        <w:t xml:space="preserve"> Najväčší podiel úspor (96 %) je identifikovaný vo vzdelávaní, kde zvýšenie inklúzie umožní zrušenie nultých ročníkov</w:t>
      </w:r>
      <w:r w:rsidRPr="00AF6438">
        <w:rPr>
          <w:szCs w:val="22"/>
        </w:rPr>
        <w:t xml:space="preserve"> a postupné zníženie podielu žiakov vzdelávaných v špeciálnom školstve. Ďalšie úspory je možné získať obmedzením podpory aktivačných prác v rámci politík trhu p</w:t>
      </w:r>
      <w:r w:rsidR="00423AA9">
        <w:rPr>
          <w:szCs w:val="22"/>
        </w:rPr>
        <w:t>ráce. Zdroje získané z úspor je </w:t>
      </w:r>
      <w:r w:rsidRPr="00AF6438">
        <w:rPr>
          <w:szCs w:val="22"/>
        </w:rPr>
        <w:t xml:space="preserve">potrebné </w:t>
      </w:r>
      <w:r w:rsidRPr="00AF6438">
        <w:rPr>
          <w:bCs/>
          <w:szCs w:val="22"/>
        </w:rPr>
        <w:t xml:space="preserve">realokovať </w:t>
      </w:r>
      <w:r w:rsidR="000D7291">
        <w:rPr>
          <w:bCs/>
          <w:szCs w:val="22"/>
        </w:rPr>
        <w:t>do</w:t>
      </w:r>
      <w:r w:rsidRPr="00AF6438">
        <w:rPr>
          <w:bCs/>
          <w:szCs w:val="22"/>
        </w:rPr>
        <w:t xml:space="preserve"> podpor</w:t>
      </w:r>
      <w:r w:rsidR="000D7291">
        <w:rPr>
          <w:bCs/>
          <w:szCs w:val="22"/>
        </w:rPr>
        <w:t>y</w:t>
      </w:r>
      <w:r w:rsidRPr="00AF6438">
        <w:rPr>
          <w:bCs/>
          <w:szCs w:val="22"/>
        </w:rPr>
        <w:t xml:space="preserve"> hodnotových opatrení v danej oblasti</w:t>
      </w:r>
      <w:r w:rsidRPr="00AF6438">
        <w:rPr>
          <w:szCs w:val="22"/>
        </w:rPr>
        <w:t>.</w:t>
      </w:r>
      <w:r w:rsidR="00D262E4" w:rsidRPr="00CA2564">
        <w:rPr>
          <w:b/>
        </w:rPr>
        <w:br w:type="page"/>
      </w:r>
    </w:p>
    <w:p w14:paraId="4DB30C8D" w14:textId="7C76080C" w:rsidR="00A56317" w:rsidRPr="00CA2564" w:rsidRDefault="00A56317" w:rsidP="00A56317">
      <w:pPr>
        <w:pStyle w:val="Nadpis1"/>
      </w:pPr>
      <w:bookmarkStart w:id="3" w:name="_Toc34657699"/>
      <w:bookmarkStart w:id="4" w:name="_Hlk25427496"/>
      <w:r>
        <w:lastRenderedPageBreak/>
        <w:t>Opatrenia revízie výdavkov</w:t>
      </w:r>
      <w:bookmarkEnd w:id="3"/>
    </w:p>
    <w:p w14:paraId="4F9D1212" w14:textId="2CE5DC69" w:rsidR="00CA3920" w:rsidRDefault="00CA3920" w:rsidP="00F24F22">
      <w:pPr>
        <w:tabs>
          <w:tab w:val="left" w:pos="2977"/>
        </w:tabs>
        <w:spacing w:before="240"/>
        <w:rPr>
          <w:bCs/>
        </w:rPr>
      </w:pPr>
      <w:r w:rsidRPr="00CA2564">
        <w:rPr>
          <w:b/>
        </w:rPr>
        <w:t>Úlohou revízie je identifikovať a prehodnotiť výdavky a nástroje verejných politík</w:t>
      </w:r>
      <w:r w:rsidRPr="00CA2564">
        <w:rPr>
          <w:b/>
          <w:bCs/>
        </w:rPr>
        <w:t xml:space="preserve"> s dopadom na sociálne začleňovanie skupín ohrozených chudobou alebo sociálnym vylúčením.</w:t>
      </w:r>
      <w:r w:rsidR="0070047D">
        <w:rPr>
          <w:b/>
          <w:bCs/>
        </w:rPr>
        <w:t xml:space="preserve"> </w:t>
      </w:r>
      <w:r>
        <w:t xml:space="preserve">Navrhované opatrenia sú zamerané na </w:t>
      </w:r>
      <w:r>
        <w:rPr>
          <w:bCs/>
        </w:rPr>
        <w:t>zv</w:t>
      </w:r>
      <w:r w:rsidR="004E29D7">
        <w:rPr>
          <w:bCs/>
        </w:rPr>
        <w:t>ý</w:t>
      </w:r>
      <w:r>
        <w:rPr>
          <w:bCs/>
        </w:rPr>
        <w:t xml:space="preserve">šenie efektivity, adekvátnosti a dostupnosti </w:t>
      </w:r>
      <w:r w:rsidRPr="00CA2564">
        <w:rPr>
          <w:bCs/>
        </w:rPr>
        <w:t xml:space="preserve">súčasných </w:t>
      </w:r>
      <w:r>
        <w:rPr>
          <w:bCs/>
        </w:rPr>
        <w:t>nástrojov pomoci pre širší okruh ohrozených ľudí ako aj skúšanie nových nástrojov, ktoré sa osvedčili v zahraničí alebo v mimovládnom sektore na Slovensku.</w:t>
      </w:r>
      <w:r w:rsidRPr="00CA2564">
        <w:rPr>
          <w:bCs/>
        </w:rPr>
        <w:t xml:space="preserve"> </w:t>
      </w:r>
      <w:r w:rsidR="00F656E3">
        <w:rPr>
          <w:bCs/>
        </w:rPr>
        <w:t>Revízia tiež pomenúva medzery v zbere dát, ktoré obmedzujú plánovanie investícií do nástrojov pomoci a hodnotenie ich efektivity, a navrhuje ich odstránenie. Niektoré dôležité otázky v súvislosti so sociálnym začleňovaním oh</w:t>
      </w:r>
      <w:r w:rsidR="00FE145F">
        <w:rPr>
          <w:bCs/>
        </w:rPr>
        <w:t>ro</w:t>
      </w:r>
      <w:r w:rsidR="00F656E3">
        <w:rPr>
          <w:bCs/>
        </w:rPr>
        <w:t>zených skupín nebolo možné v revízii dostatočne komplexne zodpovedať. V týchto prípadoch revízia navrhuje dodatočné analytické opatrenia.</w:t>
      </w:r>
      <w:r w:rsidR="0055528D">
        <w:rPr>
          <w:bCs/>
        </w:rPr>
        <w:t xml:space="preserve"> Pri hodnotových a úsporných opatreniach je uvedený odhadnutý dopad na verejné výdavky. Pri ostatných opatreniach </w:t>
      </w:r>
      <w:r w:rsidR="007037C7">
        <w:rPr>
          <w:bCs/>
        </w:rPr>
        <w:t>sú prípadné v</w:t>
      </w:r>
      <w:r w:rsidR="0055528D">
        <w:rPr>
          <w:bCs/>
        </w:rPr>
        <w:t>ýdavky potrebné na ich realizáciu dostatočne nízke</w:t>
      </w:r>
      <w:r w:rsidR="00951520">
        <w:rPr>
          <w:bCs/>
        </w:rPr>
        <w:t>,</w:t>
      </w:r>
      <w:r w:rsidR="0055528D">
        <w:rPr>
          <w:bCs/>
        </w:rPr>
        <w:t xml:space="preserve"> aby ich bolo možné pokryť z existujúcich zdrojov zodpovedného rezortu.</w:t>
      </w:r>
    </w:p>
    <w:p w14:paraId="3D5E2881" w14:textId="53D04778" w:rsidR="00C97E5C" w:rsidRPr="00DD25F7" w:rsidRDefault="00C97E5C" w:rsidP="00773905">
      <w:pPr>
        <w:spacing w:before="240"/>
        <w:rPr>
          <w:bCs/>
        </w:rPr>
      </w:pPr>
      <w:r w:rsidRPr="00586EE7">
        <w:rPr>
          <w:b/>
          <w:bCs/>
        </w:rPr>
        <w:t>Veľká časť opatrení j</w:t>
      </w:r>
      <w:r w:rsidR="00951520">
        <w:rPr>
          <w:b/>
          <w:bCs/>
        </w:rPr>
        <w:t>e</w:t>
      </w:r>
      <w:r w:rsidR="00CF2E3A">
        <w:rPr>
          <w:b/>
          <w:bCs/>
        </w:rPr>
        <w:t xml:space="preserve"> zameraná</w:t>
      </w:r>
      <w:r w:rsidRPr="00586EE7">
        <w:rPr>
          <w:b/>
          <w:bCs/>
        </w:rPr>
        <w:t xml:space="preserve"> na </w:t>
      </w:r>
      <w:r w:rsidR="00586EE7" w:rsidRPr="00586EE7">
        <w:rPr>
          <w:b/>
          <w:bCs/>
        </w:rPr>
        <w:t xml:space="preserve">znevýhodnené </w:t>
      </w:r>
      <w:r w:rsidRPr="00586EE7">
        <w:rPr>
          <w:b/>
          <w:bCs/>
        </w:rPr>
        <w:t>deti a</w:t>
      </w:r>
      <w:r w:rsidR="00586EE7" w:rsidRPr="00586EE7">
        <w:rPr>
          <w:b/>
          <w:bCs/>
        </w:rPr>
        <w:t> ich rodiny</w:t>
      </w:r>
      <w:r w:rsidRPr="00586EE7">
        <w:rPr>
          <w:b/>
          <w:bCs/>
        </w:rPr>
        <w:t xml:space="preserve">. Tento dôraz </w:t>
      </w:r>
      <w:r w:rsidR="00B24660">
        <w:rPr>
          <w:b/>
          <w:bCs/>
        </w:rPr>
        <w:t>vyplýva</w:t>
      </w:r>
      <w:r w:rsidRPr="00586EE7">
        <w:rPr>
          <w:b/>
          <w:bCs/>
        </w:rPr>
        <w:t xml:space="preserve"> z</w:t>
      </w:r>
      <w:r w:rsidR="00586EE7" w:rsidRPr="00586EE7">
        <w:rPr>
          <w:b/>
          <w:bCs/>
        </w:rPr>
        <w:t xml:space="preserve">o skutočnosti, že intervencie v detstve majú vyššiu účinnosť a rýchlejšiu návratnosť ako intervencie v neskorších fázach života. </w:t>
      </w:r>
      <w:r w:rsidR="00DD25F7" w:rsidRPr="00DD25F7">
        <w:rPr>
          <w:bCs/>
        </w:rPr>
        <w:t>Ľ</w:t>
      </w:r>
      <w:r w:rsidR="005D4403">
        <w:rPr>
          <w:bCs/>
        </w:rPr>
        <w:t>udsk</w:t>
      </w:r>
      <w:r w:rsidR="00DD25F7" w:rsidRPr="00DD25F7">
        <w:rPr>
          <w:bCs/>
        </w:rPr>
        <w:t xml:space="preserve">ý mozog sa totiž najintenzívnejšie </w:t>
      </w:r>
      <w:r w:rsidR="000E6473" w:rsidRPr="00DD25F7">
        <w:rPr>
          <w:bCs/>
        </w:rPr>
        <w:t>vyvíja</w:t>
      </w:r>
      <w:r w:rsidR="00DD25F7" w:rsidRPr="00DD25F7">
        <w:rPr>
          <w:bCs/>
        </w:rPr>
        <w:t xml:space="preserve"> práve v</w:t>
      </w:r>
      <w:r w:rsidR="00103671">
        <w:rPr>
          <w:bCs/>
        </w:rPr>
        <w:t> detstve. Opatrenia zamerané na komplexnú starostlivosť v ranom veku a dostupné a kvalitné vzdelávanie majú potenciál znížiť vplyv zdravotného alebo sociálneho znevýhodnenia na kvalitu života a začlenenie do spoločnosti a neskôr na trhu práce oveľa efektívnej</w:t>
      </w:r>
      <w:r w:rsidR="00742BA4">
        <w:rPr>
          <w:bCs/>
        </w:rPr>
        <w:t>šie ako kompenzačné opatrenia v</w:t>
      </w:r>
      <w:r w:rsidR="00103671">
        <w:rPr>
          <w:bCs/>
        </w:rPr>
        <w:t xml:space="preserve"> dospelosti. </w:t>
      </w:r>
    </w:p>
    <w:p w14:paraId="472304EC" w14:textId="11D88587" w:rsidR="002F2A14" w:rsidRPr="00F24F22" w:rsidRDefault="002F2A14" w:rsidP="00773905">
      <w:pPr>
        <w:spacing w:before="240"/>
        <w:rPr>
          <w:b/>
          <w:bCs/>
        </w:rPr>
      </w:pPr>
      <w:r w:rsidRPr="00F24F22">
        <w:rPr>
          <w:b/>
          <w:bCs/>
        </w:rPr>
        <w:t>Sociálne vylúčenie je viacrozmerný problém. Navrhované opatrenia v rôznych oblastiach verejných politík na seba nadväzujú a ich efektívnosť v znižovaní sociálneho vylúčenia ci</w:t>
      </w:r>
      <w:r w:rsidR="002709F1">
        <w:rPr>
          <w:b/>
          <w:bCs/>
        </w:rPr>
        <w:t>eľových skupín bude závisieť od </w:t>
      </w:r>
      <w:r w:rsidRPr="00F24F22">
        <w:rPr>
          <w:b/>
          <w:bCs/>
        </w:rPr>
        <w:t xml:space="preserve">spolupráce a koordinácie viacerých rezortov. </w:t>
      </w:r>
      <w:r w:rsidRPr="00FC1891">
        <w:rPr>
          <w:b/>
          <w:bCs/>
        </w:rPr>
        <w:t xml:space="preserve">Rizikom pre implementáciu navrhovaných opatrení je, </w:t>
      </w:r>
      <w:r w:rsidR="002709F1">
        <w:rPr>
          <w:rFonts w:cstheme="minorHAnsi"/>
          <w:b/>
        </w:rPr>
        <w:t>že </w:t>
      </w:r>
      <w:r w:rsidR="00FC1891" w:rsidRPr="00D41517">
        <w:rPr>
          <w:rFonts w:cstheme="minorHAnsi"/>
          <w:b/>
        </w:rPr>
        <w:t>neustále uplatňovanie rezortného prístupu bez vzájomného prepojenia jednotlivých politík</w:t>
      </w:r>
      <w:r w:rsidR="00FC1891" w:rsidRPr="00FC1891" w:rsidDel="00FC1891">
        <w:rPr>
          <w:b/>
          <w:bCs/>
        </w:rPr>
        <w:t xml:space="preserve"> </w:t>
      </w:r>
      <w:r w:rsidRPr="00FC1891">
        <w:rPr>
          <w:b/>
          <w:bCs/>
        </w:rPr>
        <w:t>obmedzí</w:t>
      </w:r>
      <w:r w:rsidRPr="00F24F22">
        <w:rPr>
          <w:b/>
          <w:bCs/>
        </w:rPr>
        <w:t xml:space="preserve"> účinok pozitívnych synergií naprieč oblasťami.</w:t>
      </w:r>
    </w:p>
    <w:p w14:paraId="73DFF53B" w14:textId="1286F19F" w:rsidR="004304E3" w:rsidRPr="004304E3" w:rsidRDefault="00172D55" w:rsidP="00FC78C5">
      <w:pPr>
        <w:pStyle w:val="Nadpis2"/>
        <w:spacing w:before="240"/>
      </w:pPr>
      <w:bookmarkStart w:id="5" w:name="_Ref34064967"/>
      <w:bookmarkStart w:id="6" w:name="_Toc34657700"/>
      <w:r>
        <w:t>Hodnota</w:t>
      </w:r>
      <w:bookmarkEnd w:id="5"/>
      <w:bookmarkEnd w:id="6"/>
    </w:p>
    <w:p w14:paraId="2953A06D" w14:textId="2DE31CF2" w:rsidR="00E940F9" w:rsidRPr="00E940F9" w:rsidRDefault="00E940F9" w:rsidP="00E940F9">
      <w:pPr>
        <w:rPr>
          <w:bCs/>
          <w:szCs w:val="22"/>
        </w:rPr>
      </w:pPr>
      <w:bookmarkStart w:id="7" w:name="_Hlk24457797"/>
      <w:r w:rsidRPr="002E09A4">
        <w:rPr>
          <w:b/>
        </w:rPr>
        <w:t>Revízia navrhuje opatrenia pre zvýšenie sociálnej inklúzie v celkovej hodnote 262,8 miliónov eur, z toho v prvom roku je realizovateľných 107,1 miliónov eur</w:t>
      </w:r>
      <w:r w:rsidRPr="002E09A4">
        <w:rPr>
          <w:b/>
          <w:bCs/>
          <w:szCs w:val="22"/>
        </w:rPr>
        <w:t>.</w:t>
      </w:r>
      <w:r w:rsidRPr="002E09A4">
        <w:rPr>
          <w:bCs/>
          <w:szCs w:val="22"/>
        </w:rPr>
        <w:t xml:space="preserve"> Revízia identifikuje tzv. potenciál hodnotových opatrení,</w:t>
      </w:r>
      <w:r>
        <w:rPr>
          <w:bCs/>
          <w:szCs w:val="22"/>
        </w:rPr>
        <w:t xml:space="preserve"> teda potrebné cieľové navýšenie zdrojov v danej oblasti.</w:t>
      </w:r>
      <w:r>
        <w:rPr>
          <w:rStyle w:val="Odkaznapoznmkupodiarou"/>
          <w:bCs/>
          <w:szCs w:val="22"/>
        </w:rPr>
        <w:footnoteReference w:id="1"/>
      </w:r>
      <w:r>
        <w:rPr>
          <w:bCs/>
          <w:szCs w:val="22"/>
        </w:rPr>
        <w:t xml:space="preserve"> Pri kapitálových a projektových výdavkoch (napr. investície do kapacít materských škôl alebo pilotné projekty) v celkovej hodnote 42,2 miliónov eur ide o celkovú hodnotu investície alebo projektu. Pri</w:t>
      </w:r>
      <w:r w:rsidR="00DC4284">
        <w:rPr>
          <w:bCs/>
          <w:szCs w:val="22"/>
        </w:rPr>
        <w:t xml:space="preserve"> bežných výdavkoch v hodnote 220,6</w:t>
      </w:r>
      <w:r>
        <w:rPr>
          <w:bCs/>
          <w:szCs w:val="22"/>
        </w:rPr>
        <w:t xml:space="preserve"> miliónov eur predstavuje potenciál </w:t>
      </w:r>
      <w:r w:rsidRPr="00E940F9">
        <w:rPr>
          <w:bCs/>
          <w:szCs w:val="22"/>
        </w:rPr>
        <w:t xml:space="preserve">konečnú hodnotu ročných výdavkov po plnej implementácii opatrenia. Revízia určuje horizont plnenia, teda počet rokov, počas ktorých sa potenciál dosiahne. Výdavky v prvom roku (2021) sú vypočítané za predpokladu rovnomerného (lineárneho) navyšovania zdrojov počas horizontu plnenia. </w:t>
      </w:r>
    </w:p>
    <w:p w14:paraId="2339C662" w14:textId="0027BCCC" w:rsidR="001F1A77" w:rsidRPr="00E940F9" w:rsidRDefault="00E940F9">
      <w:pPr>
        <w:rPr>
          <w:bCs/>
          <w:szCs w:val="22"/>
        </w:rPr>
      </w:pPr>
      <w:r w:rsidRPr="00E940F9">
        <w:rPr>
          <w:b/>
          <w:bCs/>
          <w:szCs w:val="22"/>
        </w:rPr>
        <w:t xml:space="preserve">Implementácia hodnotových opatrení bude okrem iného závisieť od </w:t>
      </w:r>
      <w:r w:rsidR="002709F1">
        <w:rPr>
          <w:b/>
          <w:bCs/>
          <w:szCs w:val="22"/>
        </w:rPr>
        <w:t>možností štátneho rozpočtu a od </w:t>
      </w:r>
      <w:r w:rsidRPr="00E940F9">
        <w:rPr>
          <w:b/>
          <w:bCs/>
          <w:szCs w:val="22"/>
        </w:rPr>
        <w:t xml:space="preserve">priorít vlády. </w:t>
      </w:r>
      <w:r w:rsidRPr="00E940F9">
        <w:rPr>
          <w:bCs/>
          <w:szCs w:val="22"/>
        </w:rPr>
        <w:t>Na financovanie navrhovaných opatrení je možné okrem zdrojov z úsp</w:t>
      </w:r>
      <w:r w:rsidR="00DC4284">
        <w:rPr>
          <w:bCs/>
          <w:szCs w:val="22"/>
        </w:rPr>
        <w:t>or v tejto revízii (podkapitola </w:t>
      </w:r>
      <w:r w:rsidRPr="00E940F9">
        <w:rPr>
          <w:bCs/>
          <w:szCs w:val="22"/>
        </w:rPr>
        <w:t>1.2) použiť časť z úspor identifikovaných v predošlých revíziách výdavkov schválených vládou. Celkový potenciál týchto úspor predstavuje 880 miliónov eur, z toho 375 miliónov je dosiahnuteľných v prvom roku (Hagara, Kišš a Ódor, 2019). Finančný priestor na realizáciu opatrení je tiež možné zvýšiť čo najväčším zapojením zdrojov európskych štrukturálnych a investičných fondov.</w:t>
      </w:r>
      <w:r w:rsidR="001F1A77">
        <w:br w:type="page"/>
      </w:r>
    </w:p>
    <w:tbl>
      <w:tblPr>
        <w:tblW w:w="9072" w:type="dxa"/>
        <w:tblCellMar>
          <w:left w:w="70" w:type="dxa"/>
          <w:right w:w="70" w:type="dxa"/>
        </w:tblCellMar>
        <w:tblLook w:val="04A0" w:firstRow="1" w:lastRow="0" w:firstColumn="1" w:lastColumn="0" w:noHBand="0" w:noVBand="1"/>
      </w:tblPr>
      <w:tblGrid>
        <w:gridCol w:w="324"/>
        <w:gridCol w:w="4857"/>
        <w:gridCol w:w="1053"/>
        <w:gridCol w:w="996"/>
        <w:gridCol w:w="569"/>
        <w:gridCol w:w="1273"/>
      </w:tblGrid>
      <w:tr w:rsidR="00FC78C5" w:rsidRPr="00893C52" w14:paraId="01A6A1BB" w14:textId="77777777" w:rsidTr="00F322D1">
        <w:trPr>
          <w:trHeight w:hRule="exact" w:val="227"/>
        </w:trPr>
        <w:tc>
          <w:tcPr>
            <w:tcW w:w="324" w:type="dxa"/>
            <w:vMerge w:val="restart"/>
            <w:tcBorders>
              <w:top w:val="single" w:sz="4" w:space="0" w:color="auto"/>
              <w:left w:val="nil"/>
              <w:bottom w:val="single" w:sz="4" w:space="0" w:color="000000"/>
              <w:right w:val="nil"/>
            </w:tcBorders>
            <w:shd w:val="clear" w:color="000000" w:fill="DDEBF7"/>
            <w:vAlign w:val="center"/>
            <w:hideMark/>
          </w:tcPr>
          <w:p w14:paraId="777EEF5B" w14:textId="2A3A8CD6" w:rsidR="00FC78C5" w:rsidRPr="00893C52" w:rsidRDefault="00FC78C5" w:rsidP="001328BF">
            <w:pPr>
              <w:spacing w:after="0" w:line="240" w:lineRule="auto"/>
              <w:rPr>
                <w:rFonts w:eastAsia="Times New Roman" w:cs="Times New Roman"/>
                <w:color w:val="000000"/>
                <w:sz w:val="20"/>
                <w:lang w:eastAsia="sk-SK"/>
              </w:rPr>
            </w:pPr>
          </w:p>
        </w:tc>
        <w:tc>
          <w:tcPr>
            <w:tcW w:w="4857" w:type="dxa"/>
            <w:vMerge w:val="restart"/>
            <w:tcBorders>
              <w:top w:val="single" w:sz="4" w:space="0" w:color="auto"/>
              <w:left w:val="nil"/>
              <w:bottom w:val="single" w:sz="4" w:space="0" w:color="000000"/>
              <w:right w:val="nil"/>
            </w:tcBorders>
            <w:shd w:val="clear" w:color="000000" w:fill="DDEBF7"/>
            <w:vAlign w:val="center"/>
            <w:hideMark/>
          </w:tcPr>
          <w:p w14:paraId="5BB16540" w14:textId="77777777" w:rsidR="00FC78C5" w:rsidRPr="00893C52" w:rsidRDefault="00FC78C5" w:rsidP="00452DBC">
            <w:pPr>
              <w:spacing w:after="0" w:line="240" w:lineRule="auto"/>
              <w:jc w:val="left"/>
              <w:rPr>
                <w:rFonts w:eastAsia="Times New Roman" w:cs="Times New Roman"/>
                <w:color w:val="000000"/>
                <w:sz w:val="20"/>
                <w:lang w:eastAsia="sk-SK"/>
              </w:rPr>
            </w:pPr>
            <w:r w:rsidRPr="00893C52">
              <w:rPr>
                <w:rFonts w:eastAsia="Times New Roman" w:cs="Times New Roman"/>
                <w:color w:val="000000"/>
                <w:sz w:val="20"/>
                <w:lang w:eastAsia="sk-SK"/>
              </w:rPr>
              <w:t>Úloha</w:t>
            </w:r>
          </w:p>
        </w:tc>
        <w:tc>
          <w:tcPr>
            <w:tcW w:w="1053" w:type="dxa"/>
            <w:vMerge w:val="restart"/>
            <w:tcBorders>
              <w:top w:val="single" w:sz="4" w:space="0" w:color="auto"/>
              <w:left w:val="nil"/>
              <w:bottom w:val="single" w:sz="4" w:space="0" w:color="000000"/>
              <w:right w:val="nil"/>
            </w:tcBorders>
            <w:shd w:val="clear" w:color="000000" w:fill="DDEBF7"/>
            <w:vAlign w:val="center"/>
            <w:hideMark/>
          </w:tcPr>
          <w:p w14:paraId="3F86375E" w14:textId="442D56B4" w:rsidR="00FC78C5" w:rsidRDefault="00FC78C5" w:rsidP="001328BF">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202</w:t>
            </w:r>
            <w:r w:rsidR="00517D4B">
              <w:rPr>
                <w:rFonts w:eastAsia="Times New Roman" w:cs="Times New Roman"/>
                <w:color w:val="000000"/>
                <w:sz w:val="20"/>
                <w:lang w:eastAsia="sk-SK"/>
              </w:rPr>
              <w:t>1</w:t>
            </w:r>
            <w:r>
              <w:rPr>
                <w:rFonts w:eastAsia="Times New Roman" w:cs="Times New Roman"/>
                <w:color w:val="000000"/>
                <w:sz w:val="20"/>
                <w:lang w:eastAsia="sk-SK"/>
              </w:rPr>
              <w:t xml:space="preserve"> </w:t>
            </w:r>
          </w:p>
          <w:p w14:paraId="1B06F94D" w14:textId="77777777" w:rsidR="00FC78C5" w:rsidRPr="00893C52" w:rsidRDefault="00FC78C5" w:rsidP="001328BF">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(mil. eur)</w:t>
            </w:r>
          </w:p>
        </w:tc>
        <w:tc>
          <w:tcPr>
            <w:tcW w:w="996" w:type="dxa"/>
            <w:vMerge w:val="restart"/>
            <w:tcBorders>
              <w:top w:val="single" w:sz="4" w:space="0" w:color="auto"/>
              <w:left w:val="nil"/>
              <w:bottom w:val="single" w:sz="4" w:space="0" w:color="000000"/>
              <w:right w:val="nil"/>
            </w:tcBorders>
            <w:shd w:val="clear" w:color="000000" w:fill="DDEBF7"/>
            <w:vAlign w:val="center"/>
            <w:hideMark/>
          </w:tcPr>
          <w:p w14:paraId="7596C4E1" w14:textId="77777777" w:rsidR="00FC78C5" w:rsidRPr="00893C52" w:rsidRDefault="00FC78C5" w:rsidP="001328BF">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Potenciál (mil. eur)</w:t>
            </w:r>
          </w:p>
        </w:tc>
        <w:tc>
          <w:tcPr>
            <w:tcW w:w="569" w:type="dxa"/>
            <w:vMerge w:val="restart"/>
            <w:tcBorders>
              <w:top w:val="single" w:sz="4" w:space="0" w:color="auto"/>
              <w:left w:val="nil"/>
              <w:bottom w:val="single" w:sz="4" w:space="0" w:color="000000"/>
              <w:right w:val="nil"/>
            </w:tcBorders>
            <w:shd w:val="clear" w:color="000000" w:fill="DDEBF7"/>
            <w:vAlign w:val="center"/>
            <w:hideMark/>
          </w:tcPr>
          <w:p w14:paraId="340BD7A3" w14:textId="77777777" w:rsidR="00FC78C5" w:rsidRPr="00893C52" w:rsidRDefault="00FC78C5" w:rsidP="001328BF">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Horiz.</w:t>
            </w:r>
            <w:r w:rsidRPr="00893C52">
              <w:rPr>
                <w:rFonts w:eastAsia="Times New Roman" w:cs="Times New Roman"/>
                <w:color w:val="000000"/>
                <w:sz w:val="20"/>
                <w:lang w:eastAsia="sk-SK"/>
              </w:rPr>
              <w:t xml:space="preserve"> (roky)</w:t>
            </w:r>
          </w:p>
        </w:tc>
        <w:tc>
          <w:tcPr>
            <w:tcW w:w="1273" w:type="dxa"/>
            <w:vMerge w:val="restart"/>
            <w:tcBorders>
              <w:top w:val="single" w:sz="4" w:space="0" w:color="auto"/>
              <w:left w:val="nil"/>
              <w:bottom w:val="single" w:sz="4" w:space="0" w:color="000000"/>
              <w:right w:val="nil"/>
            </w:tcBorders>
            <w:shd w:val="clear" w:color="000000" w:fill="DDEBF7"/>
            <w:vAlign w:val="center"/>
            <w:hideMark/>
          </w:tcPr>
          <w:p w14:paraId="455C5145" w14:textId="77777777" w:rsidR="00FC78C5" w:rsidRPr="00893C52" w:rsidRDefault="00FC78C5" w:rsidP="001328BF">
            <w:pPr>
              <w:spacing w:after="0" w:line="240" w:lineRule="auto"/>
              <w:jc w:val="center"/>
              <w:rPr>
                <w:rFonts w:eastAsia="Times New Roman" w:cs="Times New Roman"/>
                <w:color w:val="000000"/>
                <w:sz w:val="20"/>
                <w:lang w:eastAsia="sk-SK"/>
              </w:rPr>
            </w:pPr>
            <w:r w:rsidRPr="00893C52">
              <w:rPr>
                <w:rFonts w:eastAsia="Times New Roman" w:cs="Times New Roman"/>
                <w:color w:val="000000"/>
                <w:sz w:val="20"/>
                <w:lang w:eastAsia="sk-SK"/>
              </w:rPr>
              <w:t>Zodpovednosť</w:t>
            </w:r>
          </w:p>
        </w:tc>
      </w:tr>
      <w:tr w:rsidR="00FC78C5" w:rsidRPr="00893C52" w14:paraId="77830B8A" w14:textId="77777777" w:rsidTr="00F322D1">
        <w:trPr>
          <w:trHeight w:val="450"/>
        </w:trPr>
        <w:tc>
          <w:tcPr>
            <w:tcW w:w="324" w:type="dxa"/>
            <w:vMerge/>
            <w:tcBorders>
              <w:top w:val="single" w:sz="4" w:space="0" w:color="auto"/>
              <w:left w:val="nil"/>
              <w:bottom w:val="single" w:sz="4" w:space="0" w:color="000000"/>
              <w:right w:val="nil"/>
            </w:tcBorders>
            <w:vAlign w:val="center"/>
            <w:hideMark/>
          </w:tcPr>
          <w:p w14:paraId="7097385B" w14:textId="77777777" w:rsidR="00FC78C5" w:rsidRPr="00893C52" w:rsidRDefault="00FC78C5" w:rsidP="001328BF">
            <w:pPr>
              <w:spacing w:after="0" w:line="240" w:lineRule="auto"/>
              <w:rPr>
                <w:rFonts w:eastAsia="Times New Roman" w:cs="Times New Roman"/>
                <w:color w:val="000000"/>
                <w:sz w:val="20"/>
                <w:lang w:eastAsia="sk-SK"/>
              </w:rPr>
            </w:pPr>
          </w:p>
        </w:tc>
        <w:tc>
          <w:tcPr>
            <w:tcW w:w="4857" w:type="dxa"/>
            <w:vMerge/>
            <w:tcBorders>
              <w:top w:val="single" w:sz="4" w:space="0" w:color="auto"/>
              <w:left w:val="nil"/>
              <w:bottom w:val="single" w:sz="4" w:space="0" w:color="000000"/>
              <w:right w:val="nil"/>
            </w:tcBorders>
            <w:vAlign w:val="center"/>
            <w:hideMark/>
          </w:tcPr>
          <w:p w14:paraId="7459E874" w14:textId="77777777" w:rsidR="00FC78C5" w:rsidRPr="00893C52" w:rsidRDefault="00FC78C5" w:rsidP="00452DBC">
            <w:pPr>
              <w:spacing w:after="0" w:line="240" w:lineRule="auto"/>
              <w:jc w:val="left"/>
              <w:rPr>
                <w:rFonts w:eastAsia="Times New Roman" w:cs="Times New Roman"/>
                <w:color w:val="000000"/>
                <w:sz w:val="20"/>
                <w:lang w:eastAsia="sk-SK"/>
              </w:rPr>
            </w:pPr>
          </w:p>
        </w:tc>
        <w:tc>
          <w:tcPr>
            <w:tcW w:w="1053" w:type="dxa"/>
            <w:vMerge/>
            <w:tcBorders>
              <w:top w:val="single" w:sz="4" w:space="0" w:color="auto"/>
              <w:left w:val="nil"/>
              <w:bottom w:val="single" w:sz="4" w:space="0" w:color="000000"/>
              <w:right w:val="nil"/>
            </w:tcBorders>
            <w:vAlign w:val="center"/>
            <w:hideMark/>
          </w:tcPr>
          <w:p w14:paraId="38379703" w14:textId="77777777" w:rsidR="00FC78C5" w:rsidRPr="00893C52" w:rsidRDefault="00FC78C5" w:rsidP="001328BF">
            <w:pPr>
              <w:spacing w:after="0" w:line="240" w:lineRule="auto"/>
              <w:rPr>
                <w:rFonts w:eastAsia="Times New Roman" w:cs="Times New Roman"/>
                <w:color w:val="000000"/>
                <w:sz w:val="20"/>
                <w:lang w:eastAsia="sk-SK"/>
              </w:rPr>
            </w:pPr>
          </w:p>
        </w:tc>
        <w:tc>
          <w:tcPr>
            <w:tcW w:w="996" w:type="dxa"/>
            <w:vMerge/>
            <w:tcBorders>
              <w:top w:val="single" w:sz="4" w:space="0" w:color="auto"/>
              <w:left w:val="nil"/>
              <w:bottom w:val="single" w:sz="4" w:space="0" w:color="000000"/>
              <w:right w:val="nil"/>
            </w:tcBorders>
            <w:vAlign w:val="center"/>
            <w:hideMark/>
          </w:tcPr>
          <w:p w14:paraId="47A92515" w14:textId="77777777" w:rsidR="00FC78C5" w:rsidRPr="00893C52" w:rsidRDefault="00FC78C5" w:rsidP="001328BF">
            <w:pPr>
              <w:spacing w:after="0" w:line="240" w:lineRule="auto"/>
              <w:rPr>
                <w:rFonts w:eastAsia="Times New Roman" w:cs="Times New Roman"/>
                <w:color w:val="000000"/>
                <w:sz w:val="20"/>
                <w:lang w:eastAsia="sk-SK"/>
              </w:rPr>
            </w:pPr>
          </w:p>
        </w:tc>
        <w:tc>
          <w:tcPr>
            <w:tcW w:w="569" w:type="dxa"/>
            <w:vMerge/>
            <w:tcBorders>
              <w:top w:val="single" w:sz="4" w:space="0" w:color="auto"/>
              <w:left w:val="nil"/>
              <w:bottom w:val="single" w:sz="4" w:space="0" w:color="000000"/>
              <w:right w:val="nil"/>
            </w:tcBorders>
            <w:vAlign w:val="center"/>
            <w:hideMark/>
          </w:tcPr>
          <w:p w14:paraId="3F006C0C" w14:textId="77777777" w:rsidR="00FC78C5" w:rsidRPr="00893C52" w:rsidRDefault="00FC78C5" w:rsidP="001328BF">
            <w:pPr>
              <w:spacing w:after="0" w:line="240" w:lineRule="auto"/>
              <w:rPr>
                <w:rFonts w:eastAsia="Times New Roman" w:cs="Times New Roman"/>
                <w:color w:val="000000"/>
                <w:sz w:val="20"/>
                <w:lang w:eastAsia="sk-SK"/>
              </w:rPr>
            </w:pPr>
          </w:p>
        </w:tc>
        <w:tc>
          <w:tcPr>
            <w:tcW w:w="1273" w:type="dxa"/>
            <w:vMerge/>
            <w:tcBorders>
              <w:top w:val="single" w:sz="4" w:space="0" w:color="auto"/>
              <w:left w:val="nil"/>
              <w:bottom w:val="single" w:sz="4" w:space="0" w:color="000000"/>
              <w:right w:val="nil"/>
            </w:tcBorders>
            <w:vAlign w:val="center"/>
            <w:hideMark/>
          </w:tcPr>
          <w:p w14:paraId="0E3DE4E6" w14:textId="77777777" w:rsidR="00FC78C5" w:rsidRPr="00893C52" w:rsidRDefault="00FC78C5" w:rsidP="001328BF">
            <w:pPr>
              <w:spacing w:after="0" w:line="240" w:lineRule="auto"/>
              <w:rPr>
                <w:rFonts w:eastAsia="Times New Roman" w:cs="Times New Roman"/>
                <w:color w:val="000000"/>
                <w:sz w:val="20"/>
                <w:lang w:eastAsia="sk-SK"/>
              </w:rPr>
            </w:pPr>
          </w:p>
        </w:tc>
      </w:tr>
      <w:tr w:rsidR="00000253" w:rsidRPr="00893C52" w14:paraId="6201D068" w14:textId="77777777" w:rsidTr="004A2670">
        <w:trPr>
          <w:trHeight w:val="476"/>
        </w:trPr>
        <w:tc>
          <w:tcPr>
            <w:tcW w:w="324" w:type="dxa"/>
            <w:tcBorders>
              <w:top w:val="nil"/>
              <w:left w:val="nil"/>
              <w:bottom w:val="single" w:sz="4" w:space="0" w:color="auto"/>
              <w:right w:val="nil"/>
            </w:tcBorders>
            <w:shd w:val="clear" w:color="000000" w:fill="FFFFFF"/>
            <w:vAlign w:val="center"/>
            <w:hideMark/>
          </w:tcPr>
          <w:p w14:paraId="1E2F14D4" w14:textId="77777777" w:rsidR="00000253" w:rsidRPr="00893C52" w:rsidRDefault="00000253" w:rsidP="004A2670">
            <w:pPr>
              <w:spacing w:after="0" w:line="240" w:lineRule="auto"/>
              <w:jc w:val="center"/>
              <w:rPr>
                <w:rFonts w:eastAsia="Times New Roman" w:cs="Times New Roman"/>
                <w:b/>
                <w:bCs/>
                <w:color w:val="000000"/>
                <w:sz w:val="20"/>
                <w:lang w:eastAsia="sk-SK"/>
              </w:rPr>
            </w:pPr>
            <w:r w:rsidRPr="00893C52">
              <w:rPr>
                <w:rFonts w:eastAsia="Times New Roman" w:cs="Times New Roman"/>
                <w:b/>
                <w:bCs/>
                <w:color w:val="000000"/>
                <w:sz w:val="20"/>
                <w:lang w:eastAsia="sk-SK"/>
              </w:rPr>
              <w:t> </w:t>
            </w:r>
          </w:p>
        </w:tc>
        <w:tc>
          <w:tcPr>
            <w:tcW w:w="4857" w:type="dxa"/>
            <w:tcBorders>
              <w:top w:val="nil"/>
              <w:left w:val="nil"/>
              <w:bottom w:val="single" w:sz="4" w:space="0" w:color="auto"/>
              <w:right w:val="nil"/>
            </w:tcBorders>
            <w:shd w:val="clear" w:color="000000" w:fill="FFFFFF"/>
            <w:vAlign w:val="center"/>
            <w:hideMark/>
          </w:tcPr>
          <w:p w14:paraId="0F3EB899" w14:textId="0205F292" w:rsidR="00000253" w:rsidRPr="00893C52" w:rsidRDefault="00000253" w:rsidP="004A2670">
            <w:pPr>
              <w:spacing w:after="0" w:line="240" w:lineRule="auto"/>
              <w:jc w:val="left"/>
              <w:rPr>
                <w:rFonts w:eastAsia="Times New Roman" w:cs="Times New Roman"/>
                <w:b/>
                <w:bCs/>
                <w:color w:val="000000"/>
                <w:sz w:val="20"/>
                <w:lang w:eastAsia="sk-SK"/>
              </w:rPr>
            </w:pPr>
            <w:r>
              <w:rPr>
                <w:rFonts w:eastAsia="Times New Roman" w:cs="Times New Roman"/>
                <w:b/>
                <w:bCs/>
                <w:color w:val="000000"/>
                <w:sz w:val="20"/>
                <w:lang w:eastAsia="sk-SK"/>
              </w:rPr>
              <w:t>S</w:t>
            </w:r>
            <w:r w:rsidRPr="00893C52">
              <w:rPr>
                <w:rFonts w:eastAsia="Times New Roman" w:cs="Times New Roman"/>
                <w:b/>
                <w:bCs/>
                <w:color w:val="000000"/>
                <w:sz w:val="20"/>
                <w:lang w:eastAsia="sk-SK"/>
              </w:rPr>
              <w:t xml:space="preserve">tarostlivosť </w:t>
            </w:r>
            <w:r>
              <w:rPr>
                <w:rFonts w:eastAsia="Times New Roman" w:cs="Times New Roman"/>
                <w:b/>
                <w:bCs/>
                <w:color w:val="000000"/>
                <w:sz w:val="20"/>
                <w:lang w:eastAsia="sk-SK"/>
              </w:rPr>
              <w:t>o znevýhodnené deti v ranom veku</w:t>
            </w:r>
          </w:p>
        </w:tc>
        <w:tc>
          <w:tcPr>
            <w:tcW w:w="1053" w:type="dxa"/>
            <w:tcBorders>
              <w:top w:val="nil"/>
              <w:left w:val="nil"/>
              <w:bottom w:val="single" w:sz="4" w:space="0" w:color="auto"/>
              <w:right w:val="nil"/>
            </w:tcBorders>
            <w:shd w:val="clear" w:color="000000" w:fill="FFFFFF"/>
            <w:vAlign w:val="center"/>
            <w:hideMark/>
          </w:tcPr>
          <w:p w14:paraId="743C862B" w14:textId="41449182" w:rsidR="00000253" w:rsidRPr="00452DBC" w:rsidRDefault="0061567E" w:rsidP="004A2670">
            <w:pPr>
              <w:spacing w:after="0" w:line="240" w:lineRule="auto"/>
              <w:jc w:val="center"/>
              <w:rPr>
                <w:rFonts w:eastAsia="Times New Roman" w:cs="Times New Roman"/>
                <w:b/>
                <w:bCs/>
                <w:color w:val="000000"/>
                <w:sz w:val="20"/>
                <w:lang w:val="en-US" w:eastAsia="sk-SK"/>
              </w:rPr>
            </w:pPr>
            <w:r>
              <w:rPr>
                <w:rFonts w:eastAsia="Times New Roman" w:cs="Times New Roman"/>
                <w:b/>
                <w:bCs/>
                <w:color w:val="000000"/>
                <w:sz w:val="20"/>
                <w:lang w:eastAsia="sk-SK"/>
              </w:rPr>
              <w:t>0,6</w:t>
            </w:r>
          </w:p>
        </w:tc>
        <w:tc>
          <w:tcPr>
            <w:tcW w:w="996" w:type="dxa"/>
            <w:tcBorders>
              <w:top w:val="nil"/>
              <w:left w:val="nil"/>
              <w:bottom w:val="single" w:sz="4" w:space="0" w:color="auto"/>
              <w:right w:val="nil"/>
            </w:tcBorders>
            <w:shd w:val="clear" w:color="000000" w:fill="FFFFFF"/>
            <w:vAlign w:val="center"/>
            <w:hideMark/>
          </w:tcPr>
          <w:p w14:paraId="50F40F7D" w14:textId="039DC7CB" w:rsidR="00000253" w:rsidRPr="00893C52" w:rsidRDefault="0061567E" w:rsidP="004A2670">
            <w:pPr>
              <w:spacing w:after="0" w:line="240" w:lineRule="auto"/>
              <w:jc w:val="center"/>
              <w:rPr>
                <w:rFonts w:eastAsia="Times New Roman" w:cs="Times New Roman"/>
                <w:b/>
                <w:bCs/>
                <w:color w:val="000000"/>
                <w:sz w:val="20"/>
                <w:lang w:eastAsia="sk-SK"/>
              </w:rPr>
            </w:pPr>
            <w:r>
              <w:rPr>
                <w:rFonts w:eastAsia="Times New Roman" w:cs="Times New Roman"/>
                <w:b/>
                <w:bCs/>
                <w:color w:val="000000"/>
                <w:sz w:val="20"/>
                <w:lang w:eastAsia="sk-SK"/>
              </w:rPr>
              <w:t>4,9</w:t>
            </w:r>
          </w:p>
        </w:tc>
        <w:tc>
          <w:tcPr>
            <w:tcW w:w="569" w:type="dxa"/>
            <w:tcBorders>
              <w:top w:val="nil"/>
              <w:left w:val="nil"/>
              <w:bottom w:val="single" w:sz="4" w:space="0" w:color="auto"/>
              <w:right w:val="nil"/>
            </w:tcBorders>
            <w:shd w:val="clear" w:color="000000" w:fill="FFFFFF"/>
            <w:vAlign w:val="center"/>
            <w:hideMark/>
          </w:tcPr>
          <w:p w14:paraId="3E030F98" w14:textId="77777777" w:rsidR="00000253" w:rsidRPr="00893C52" w:rsidRDefault="00000253" w:rsidP="004A2670">
            <w:pPr>
              <w:spacing w:after="0" w:line="240" w:lineRule="auto"/>
              <w:jc w:val="center"/>
              <w:rPr>
                <w:rFonts w:eastAsia="Times New Roman" w:cs="Times New Roman"/>
                <w:b/>
                <w:bCs/>
                <w:color w:val="000000"/>
                <w:sz w:val="20"/>
                <w:lang w:eastAsia="sk-SK"/>
              </w:rPr>
            </w:pPr>
          </w:p>
        </w:tc>
        <w:tc>
          <w:tcPr>
            <w:tcW w:w="1273" w:type="dxa"/>
            <w:tcBorders>
              <w:top w:val="nil"/>
              <w:left w:val="nil"/>
              <w:bottom w:val="single" w:sz="4" w:space="0" w:color="auto"/>
              <w:right w:val="nil"/>
            </w:tcBorders>
            <w:shd w:val="clear" w:color="000000" w:fill="FFFFFF"/>
            <w:vAlign w:val="center"/>
            <w:hideMark/>
          </w:tcPr>
          <w:p w14:paraId="167A0440" w14:textId="77777777" w:rsidR="00000253" w:rsidRPr="00893C52" w:rsidRDefault="00000253" w:rsidP="004A2670">
            <w:pPr>
              <w:spacing w:after="0" w:line="240" w:lineRule="auto"/>
              <w:rPr>
                <w:rFonts w:eastAsia="Times New Roman" w:cs="Times New Roman"/>
                <w:b/>
                <w:bCs/>
                <w:color w:val="000000"/>
                <w:sz w:val="20"/>
                <w:lang w:eastAsia="sk-SK"/>
              </w:rPr>
            </w:pPr>
            <w:r w:rsidRPr="00893C52">
              <w:rPr>
                <w:rFonts w:eastAsia="Times New Roman" w:cs="Times New Roman"/>
                <w:b/>
                <w:bCs/>
                <w:color w:val="000000"/>
                <w:sz w:val="20"/>
                <w:lang w:eastAsia="sk-SK"/>
              </w:rPr>
              <w:t> </w:t>
            </w:r>
          </w:p>
        </w:tc>
      </w:tr>
      <w:tr w:rsidR="00000253" w:rsidRPr="00893C52" w14:paraId="4E0479E2" w14:textId="77777777" w:rsidTr="00452DBC">
        <w:trPr>
          <w:trHeight w:val="238"/>
        </w:trPr>
        <w:tc>
          <w:tcPr>
            <w:tcW w:w="324" w:type="dxa"/>
            <w:tcBorders>
              <w:top w:val="nil"/>
              <w:left w:val="nil"/>
              <w:bottom w:val="single" w:sz="4" w:space="0" w:color="auto"/>
              <w:right w:val="nil"/>
            </w:tcBorders>
            <w:shd w:val="clear" w:color="000000" w:fill="FFFFFF"/>
            <w:vAlign w:val="center"/>
            <w:hideMark/>
          </w:tcPr>
          <w:p w14:paraId="7AA518B8" w14:textId="77777777" w:rsidR="00000253" w:rsidRPr="00893C52" w:rsidRDefault="00000253" w:rsidP="004A2670">
            <w:pPr>
              <w:spacing w:after="0" w:line="240" w:lineRule="auto"/>
              <w:jc w:val="center"/>
              <w:rPr>
                <w:rFonts w:eastAsia="Times New Roman" w:cs="Times New Roman"/>
                <w:color w:val="000000"/>
                <w:sz w:val="20"/>
                <w:lang w:eastAsia="sk-SK"/>
              </w:rPr>
            </w:pPr>
            <w:r w:rsidRPr="00893C52">
              <w:rPr>
                <w:rFonts w:eastAsia="Times New Roman" w:cs="Times New Roman"/>
                <w:color w:val="000000"/>
                <w:sz w:val="20"/>
                <w:lang w:eastAsia="sk-SK"/>
              </w:rPr>
              <w:t>1</w:t>
            </w:r>
          </w:p>
        </w:tc>
        <w:tc>
          <w:tcPr>
            <w:tcW w:w="4857" w:type="dxa"/>
            <w:tcBorders>
              <w:top w:val="nil"/>
              <w:left w:val="nil"/>
              <w:bottom w:val="single" w:sz="4" w:space="0" w:color="auto"/>
              <w:right w:val="nil"/>
            </w:tcBorders>
            <w:shd w:val="clear" w:color="000000" w:fill="FFFFFF"/>
            <w:vAlign w:val="center"/>
            <w:hideMark/>
          </w:tcPr>
          <w:p w14:paraId="2AB23D1C" w14:textId="77777777" w:rsidR="00000253" w:rsidRPr="00893C52" w:rsidRDefault="00000253" w:rsidP="004A2670">
            <w:pPr>
              <w:spacing w:after="0" w:line="240" w:lineRule="auto"/>
              <w:jc w:val="left"/>
              <w:rPr>
                <w:rFonts w:eastAsia="Times New Roman" w:cs="Times New Roman"/>
                <w:color w:val="000000"/>
                <w:sz w:val="20"/>
                <w:lang w:eastAsia="sk-SK"/>
              </w:rPr>
            </w:pPr>
            <w:r w:rsidRPr="00E41495">
              <w:rPr>
                <w:sz w:val="20"/>
                <w:lang w:eastAsia="sk-SK"/>
              </w:rPr>
              <w:t>Podporiť poskytovanie ranej starostlivosti deťom vo veku 0 až 3 roky žijúcim v prostredí MRK</w:t>
            </w:r>
          </w:p>
        </w:tc>
        <w:tc>
          <w:tcPr>
            <w:tcW w:w="1053" w:type="dxa"/>
            <w:tcBorders>
              <w:top w:val="nil"/>
              <w:left w:val="nil"/>
              <w:bottom w:val="single" w:sz="4" w:space="0" w:color="auto"/>
              <w:right w:val="nil"/>
            </w:tcBorders>
            <w:shd w:val="clear" w:color="000000" w:fill="FFFFFF"/>
            <w:vAlign w:val="center"/>
            <w:hideMark/>
          </w:tcPr>
          <w:p w14:paraId="12DF352A" w14:textId="77777777" w:rsidR="00000253" w:rsidRPr="00893C52" w:rsidRDefault="00000253" w:rsidP="004A2670">
            <w:pPr>
              <w:spacing w:after="0" w:line="240" w:lineRule="auto"/>
              <w:jc w:val="center"/>
              <w:rPr>
                <w:rFonts w:eastAsia="Times New Roman" w:cs="Times New Roman"/>
                <w:color w:val="000000"/>
                <w:sz w:val="20"/>
                <w:lang w:eastAsia="sk-SK"/>
              </w:rPr>
            </w:pPr>
            <w:r>
              <w:rPr>
                <w:color w:val="000000"/>
                <w:sz w:val="20"/>
              </w:rPr>
              <w:t>0,6</w:t>
            </w:r>
          </w:p>
        </w:tc>
        <w:tc>
          <w:tcPr>
            <w:tcW w:w="996" w:type="dxa"/>
            <w:tcBorders>
              <w:top w:val="nil"/>
              <w:left w:val="nil"/>
              <w:bottom w:val="single" w:sz="4" w:space="0" w:color="auto"/>
              <w:right w:val="nil"/>
            </w:tcBorders>
            <w:shd w:val="clear" w:color="000000" w:fill="FFFFFF"/>
            <w:vAlign w:val="center"/>
            <w:hideMark/>
          </w:tcPr>
          <w:p w14:paraId="18074581" w14:textId="77777777" w:rsidR="00000253" w:rsidRPr="00893C52" w:rsidRDefault="00000253" w:rsidP="004A2670">
            <w:pPr>
              <w:spacing w:after="0" w:line="240" w:lineRule="auto"/>
              <w:jc w:val="center"/>
              <w:rPr>
                <w:rFonts w:eastAsia="Times New Roman" w:cs="Times New Roman"/>
                <w:color w:val="000000"/>
                <w:sz w:val="20"/>
                <w:lang w:eastAsia="sk-SK"/>
              </w:rPr>
            </w:pPr>
            <w:r>
              <w:rPr>
                <w:color w:val="000000"/>
                <w:sz w:val="20"/>
              </w:rPr>
              <w:t>4,9</w:t>
            </w:r>
          </w:p>
        </w:tc>
        <w:tc>
          <w:tcPr>
            <w:tcW w:w="569" w:type="dxa"/>
            <w:tcBorders>
              <w:top w:val="nil"/>
              <w:left w:val="nil"/>
              <w:bottom w:val="single" w:sz="4" w:space="0" w:color="auto"/>
              <w:right w:val="nil"/>
            </w:tcBorders>
            <w:shd w:val="clear" w:color="000000" w:fill="FFFFFF"/>
            <w:vAlign w:val="center"/>
            <w:hideMark/>
          </w:tcPr>
          <w:p w14:paraId="6A023702" w14:textId="77777777" w:rsidR="00000253" w:rsidRPr="00893C52" w:rsidRDefault="00000253" w:rsidP="004A2670">
            <w:pPr>
              <w:spacing w:after="0" w:line="240" w:lineRule="auto"/>
              <w:jc w:val="center"/>
              <w:rPr>
                <w:rFonts w:eastAsia="Times New Roman" w:cs="Times New Roman"/>
                <w:color w:val="000000"/>
                <w:sz w:val="20"/>
                <w:lang w:eastAsia="sk-SK"/>
              </w:rPr>
            </w:pPr>
            <w:r>
              <w:rPr>
                <w:rFonts w:cs="Calibri"/>
                <w:color w:val="000000"/>
                <w:sz w:val="20"/>
              </w:rPr>
              <w:t>8</w:t>
            </w:r>
          </w:p>
        </w:tc>
        <w:tc>
          <w:tcPr>
            <w:tcW w:w="1273" w:type="dxa"/>
            <w:tcBorders>
              <w:top w:val="nil"/>
              <w:left w:val="nil"/>
              <w:bottom w:val="single" w:sz="4" w:space="0" w:color="auto"/>
              <w:right w:val="nil"/>
            </w:tcBorders>
            <w:shd w:val="clear" w:color="000000" w:fill="FFFFFF"/>
            <w:vAlign w:val="center"/>
            <w:hideMark/>
          </w:tcPr>
          <w:p w14:paraId="72053D10" w14:textId="0B3E5F92" w:rsidR="00000253" w:rsidRPr="00893C52" w:rsidRDefault="00000253" w:rsidP="004A2670">
            <w:pPr>
              <w:spacing w:after="0" w:line="240" w:lineRule="auto"/>
              <w:rPr>
                <w:rFonts w:eastAsia="Times New Roman" w:cs="Times New Roman"/>
                <w:color w:val="000000"/>
                <w:sz w:val="20"/>
                <w:lang w:eastAsia="sk-SK"/>
              </w:rPr>
            </w:pPr>
            <w:r>
              <w:rPr>
                <w:rFonts w:eastAsia="Times New Roman" w:cs="Times New Roman"/>
                <w:color w:val="000000"/>
                <w:sz w:val="20"/>
                <w:lang w:eastAsia="sk-SK"/>
              </w:rPr>
              <w:t>MŠVVaŠ</w:t>
            </w:r>
            <w:r w:rsidR="000128EF">
              <w:rPr>
                <w:rFonts w:eastAsia="Times New Roman" w:cs="Times New Roman"/>
                <w:color w:val="000000"/>
                <w:sz w:val="20"/>
                <w:lang w:eastAsia="sk-SK"/>
              </w:rPr>
              <w:t>, MPSVaR</w:t>
            </w:r>
          </w:p>
        </w:tc>
      </w:tr>
      <w:tr w:rsidR="004218A0" w:rsidRPr="00893C52" w14:paraId="26A3797F" w14:textId="77777777" w:rsidTr="00452DBC">
        <w:trPr>
          <w:trHeight w:val="476"/>
        </w:trPr>
        <w:tc>
          <w:tcPr>
            <w:tcW w:w="324" w:type="dxa"/>
            <w:tcBorders>
              <w:top w:val="single" w:sz="4" w:space="0" w:color="auto"/>
              <w:left w:val="nil"/>
              <w:bottom w:val="single" w:sz="4" w:space="0" w:color="auto"/>
              <w:right w:val="nil"/>
            </w:tcBorders>
            <w:shd w:val="clear" w:color="000000" w:fill="FFFFFF"/>
            <w:vAlign w:val="center"/>
            <w:hideMark/>
          </w:tcPr>
          <w:p w14:paraId="795EB1FA" w14:textId="77777777" w:rsidR="004218A0" w:rsidRPr="00893C52" w:rsidRDefault="004218A0" w:rsidP="004218A0">
            <w:pPr>
              <w:spacing w:after="0" w:line="240" w:lineRule="auto"/>
              <w:jc w:val="center"/>
              <w:rPr>
                <w:rFonts w:eastAsia="Times New Roman" w:cs="Times New Roman"/>
                <w:b/>
                <w:bCs/>
                <w:color w:val="000000"/>
                <w:sz w:val="20"/>
                <w:lang w:eastAsia="sk-SK"/>
              </w:rPr>
            </w:pPr>
            <w:r w:rsidRPr="00893C52">
              <w:rPr>
                <w:rFonts w:eastAsia="Times New Roman" w:cs="Times New Roman"/>
                <w:b/>
                <w:bCs/>
                <w:color w:val="000000"/>
                <w:sz w:val="20"/>
                <w:lang w:eastAsia="sk-SK"/>
              </w:rPr>
              <w:t> </w:t>
            </w:r>
          </w:p>
        </w:tc>
        <w:tc>
          <w:tcPr>
            <w:tcW w:w="4857" w:type="dxa"/>
            <w:tcBorders>
              <w:top w:val="single" w:sz="4" w:space="0" w:color="auto"/>
              <w:left w:val="nil"/>
              <w:bottom w:val="single" w:sz="4" w:space="0" w:color="auto"/>
              <w:right w:val="nil"/>
            </w:tcBorders>
            <w:shd w:val="clear" w:color="000000" w:fill="FFFFFF"/>
            <w:vAlign w:val="center"/>
            <w:hideMark/>
          </w:tcPr>
          <w:p w14:paraId="40DEC5F9" w14:textId="6A480E82" w:rsidR="004218A0" w:rsidRPr="00893C52" w:rsidRDefault="00000253" w:rsidP="00452DBC">
            <w:pPr>
              <w:spacing w:after="0" w:line="240" w:lineRule="auto"/>
              <w:jc w:val="left"/>
              <w:rPr>
                <w:rFonts w:eastAsia="Times New Roman" w:cs="Times New Roman"/>
                <w:b/>
                <w:bCs/>
                <w:color w:val="000000"/>
                <w:sz w:val="20"/>
                <w:lang w:eastAsia="sk-SK"/>
              </w:rPr>
            </w:pPr>
            <w:r>
              <w:rPr>
                <w:rFonts w:eastAsia="Times New Roman" w:cs="Times New Roman"/>
                <w:b/>
                <w:bCs/>
                <w:color w:val="000000"/>
                <w:sz w:val="20"/>
                <w:lang w:eastAsia="sk-SK"/>
              </w:rPr>
              <w:t>P</w:t>
            </w:r>
            <w:r w:rsidR="004218A0" w:rsidRPr="00893C52">
              <w:rPr>
                <w:rFonts w:eastAsia="Times New Roman" w:cs="Times New Roman"/>
                <w:b/>
                <w:bCs/>
                <w:color w:val="000000"/>
                <w:sz w:val="20"/>
                <w:lang w:eastAsia="sk-SK"/>
              </w:rPr>
              <w:t>redprimárne vzdelávanie</w:t>
            </w:r>
          </w:p>
        </w:tc>
        <w:tc>
          <w:tcPr>
            <w:tcW w:w="1053" w:type="dxa"/>
            <w:tcBorders>
              <w:top w:val="single" w:sz="4" w:space="0" w:color="auto"/>
              <w:left w:val="nil"/>
              <w:bottom w:val="single" w:sz="4" w:space="0" w:color="auto"/>
              <w:right w:val="nil"/>
            </w:tcBorders>
            <w:shd w:val="clear" w:color="000000" w:fill="FFFFFF"/>
            <w:vAlign w:val="center"/>
            <w:hideMark/>
          </w:tcPr>
          <w:p w14:paraId="3D5DA891" w14:textId="6353F2DB" w:rsidR="004218A0" w:rsidRPr="00893C52" w:rsidRDefault="004218A0" w:rsidP="004218A0">
            <w:pPr>
              <w:spacing w:after="0" w:line="240" w:lineRule="auto"/>
              <w:jc w:val="center"/>
              <w:rPr>
                <w:rFonts w:eastAsia="Times New Roman" w:cs="Times New Roman"/>
                <w:b/>
                <w:bCs/>
                <w:color w:val="000000"/>
                <w:sz w:val="20"/>
                <w:lang w:eastAsia="sk-SK"/>
              </w:rPr>
            </w:pPr>
            <w:bookmarkStart w:id="8" w:name="RANGE!C3"/>
            <w:r>
              <w:rPr>
                <w:b/>
                <w:bCs/>
                <w:color w:val="000000"/>
                <w:sz w:val="20"/>
              </w:rPr>
              <w:t>1</w:t>
            </w:r>
            <w:r w:rsidR="00505BD6">
              <w:rPr>
                <w:b/>
                <w:bCs/>
                <w:color w:val="000000"/>
                <w:sz w:val="20"/>
              </w:rPr>
              <w:t>1,</w:t>
            </w:r>
            <w:bookmarkEnd w:id="8"/>
            <w:r w:rsidR="00DC4284">
              <w:rPr>
                <w:b/>
                <w:bCs/>
                <w:color w:val="000000"/>
                <w:sz w:val="20"/>
              </w:rPr>
              <w:t>8</w:t>
            </w:r>
          </w:p>
        </w:tc>
        <w:tc>
          <w:tcPr>
            <w:tcW w:w="996" w:type="dxa"/>
            <w:tcBorders>
              <w:top w:val="single" w:sz="4" w:space="0" w:color="auto"/>
              <w:left w:val="nil"/>
              <w:bottom w:val="single" w:sz="4" w:space="0" w:color="auto"/>
              <w:right w:val="nil"/>
            </w:tcBorders>
            <w:shd w:val="clear" w:color="000000" w:fill="FFFFFF"/>
            <w:vAlign w:val="center"/>
            <w:hideMark/>
          </w:tcPr>
          <w:p w14:paraId="4D18849D" w14:textId="5FEAFEE7" w:rsidR="004218A0" w:rsidRPr="00893C52" w:rsidRDefault="00DC4284" w:rsidP="004218A0">
            <w:pPr>
              <w:spacing w:after="0" w:line="240" w:lineRule="auto"/>
              <w:jc w:val="center"/>
              <w:rPr>
                <w:rFonts w:eastAsia="Times New Roman" w:cs="Times New Roman"/>
                <w:b/>
                <w:bCs/>
                <w:color w:val="000000"/>
                <w:sz w:val="20"/>
                <w:lang w:eastAsia="sk-SK"/>
              </w:rPr>
            </w:pPr>
            <w:r>
              <w:rPr>
                <w:b/>
                <w:bCs/>
                <w:color w:val="000000"/>
                <w:sz w:val="20"/>
              </w:rPr>
              <w:t>78,2</w:t>
            </w:r>
          </w:p>
        </w:tc>
        <w:tc>
          <w:tcPr>
            <w:tcW w:w="569" w:type="dxa"/>
            <w:tcBorders>
              <w:top w:val="single" w:sz="4" w:space="0" w:color="auto"/>
              <w:left w:val="nil"/>
              <w:bottom w:val="single" w:sz="4" w:space="0" w:color="auto"/>
              <w:right w:val="nil"/>
            </w:tcBorders>
            <w:shd w:val="clear" w:color="000000" w:fill="FFFFFF"/>
            <w:vAlign w:val="center"/>
            <w:hideMark/>
          </w:tcPr>
          <w:p w14:paraId="40A44EE1" w14:textId="6019257F" w:rsidR="004218A0" w:rsidRPr="00893C52" w:rsidRDefault="004218A0" w:rsidP="004218A0">
            <w:pPr>
              <w:spacing w:after="0" w:line="240" w:lineRule="auto"/>
              <w:jc w:val="center"/>
              <w:rPr>
                <w:rFonts w:eastAsia="Times New Roman" w:cs="Times New Roman"/>
                <w:b/>
                <w:bCs/>
                <w:color w:val="000000"/>
                <w:sz w:val="20"/>
                <w:lang w:eastAsia="sk-SK"/>
              </w:rPr>
            </w:pPr>
          </w:p>
        </w:tc>
        <w:tc>
          <w:tcPr>
            <w:tcW w:w="1273" w:type="dxa"/>
            <w:tcBorders>
              <w:top w:val="single" w:sz="4" w:space="0" w:color="auto"/>
              <w:left w:val="nil"/>
              <w:bottom w:val="single" w:sz="4" w:space="0" w:color="auto"/>
              <w:right w:val="nil"/>
            </w:tcBorders>
            <w:shd w:val="clear" w:color="000000" w:fill="FFFFFF"/>
            <w:vAlign w:val="center"/>
            <w:hideMark/>
          </w:tcPr>
          <w:p w14:paraId="7A72F164" w14:textId="77777777" w:rsidR="004218A0" w:rsidRPr="00893C52" w:rsidRDefault="004218A0" w:rsidP="004218A0">
            <w:pPr>
              <w:spacing w:after="0" w:line="240" w:lineRule="auto"/>
              <w:rPr>
                <w:rFonts w:eastAsia="Times New Roman" w:cs="Times New Roman"/>
                <w:b/>
                <w:bCs/>
                <w:color w:val="000000"/>
                <w:sz w:val="20"/>
                <w:lang w:eastAsia="sk-SK"/>
              </w:rPr>
            </w:pPr>
            <w:r w:rsidRPr="00893C52">
              <w:rPr>
                <w:rFonts w:eastAsia="Times New Roman" w:cs="Times New Roman"/>
                <w:b/>
                <w:bCs/>
                <w:color w:val="000000"/>
                <w:sz w:val="20"/>
                <w:lang w:eastAsia="sk-SK"/>
              </w:rPr>
              <w:t> </w:t>
            </w:r>
          </w:p>
        </w:tc>
      </w:tr>
      <w:tr w:rsidR="00BA7250" w:rsidRPr="00893C52" w14:paraId="5BA0088F" w14:textId="77777777" w:rsidTr="00452DBC">
        <w:trPr>
          <w:trHeight w:val="238"/>
        </w:trPr>
        <w:tc>
          <w:tcPr>
            <w:tcW w:w="324" w:type="dxa"/>
            <w:tcBorders>
              <w:top w:val="single" w:sz="4" w:space="0" w:color="auto"/>
              <w:left w:val="nil"/>
              <w:bottom w:val="dotted" w:sz="4" w:space="0" w:color="auto"/>
              <w:right w:val="nil"/>
            </w:tcBorders>
            <w:shd w:val="clear" w:color="000000" w:fill="FFFFFF"/>
            <w:vAlign w:val="center"/>
            <w:hideMark/>
          </w:tcPr>
          <w:p w14:paraId="733F6E82" w14:textId="77777777" w:rsidR="00BA7250" w:rsidRPr="00893C52" w:rsidRDefault="00BA7250" w:rsidP="00BA7250">
            <w:pPr>
              <w:spacing w:after="0" w:line="240" w:lineRule="auto"/>
              <w:jc w:val="center"/>
              <w:rPr>
                <w:rFonts w:eastAsia="Times New Roman" w:cs="Times New Roman"/>
                <w:color w:val="000000"/>
                <w:sz w:val="20"/>
                <w:lang w:eastAsia="sk-SK"/>
              </w:rPr>
            </w:pPr>
            <w:r w:rsidRPr="00893C52">
              <w:rPr>
                <w:rFonts w:eastAsia="Times New Roman" w:cs="Times New Roman"/>
                <w:color w:val="000000"/>
                <w:sz w:val="20"/>
                <w:lang w:eastAsia="sk-SK"/>
              </w:rPr>
              <w:t>2</w:t>
            </w:r>
          </w:p>
        </w:tc>
        <w:tc>
          <w:tcPr>
            <w:tcW w:w="4857" w:type="dxa"/>
            <w:tcBorders>
              <w:top w:val="single" w:sz="4" w:space="0" w:color="auto"/>
              <w:left w:val="nil"/>
              <w:bottom w:val="dotted" w:sz="4" w:space="0" w:color="auto"/>
              <w:right w:val="nil"/>
            </w:tcBorders>
            <w:shd w:val="clear" w:color="000000" w:fill="FFFFFF"/>
            <w:vAlign w:val="center"/>
            <w:hideMark/>
          </w:tcPr>
          <w:p w14:paraId="637F770C" w14:textId="1866DE84" w:rsidR="00BA7250" w:rsidRPr="00893C52" w:rsidRDefault="00487460" w:rsidP="00452DBC">
            <w:pPr>
              <w:spacing w:after="0" w:line="240" w:lineRule="auto"/>
              <w:jc w:val="left"/>
              <w:rPr>
                <w:rFonts w:eastAsia="Times New Roman" w:cs="Times New Roman"/>
                <w:color w:val="000000"/>
                <w:sz w:val="20"/>
                <w:lang w:eastAsia="sk-SK"/>
              </w:rPr>
            </w:pPr>
            <w:r>
              <w:rPr>
                <w:rFonts w:eastAsia="Times New Roman" w:cs="Times New Roman"/>
                <w:color w:val="000000"/>
                <w:sz w:val="20"/>
                <w:lang w:eastAsia="sk-SK"/>
              </w:rPr>
              <w:t>Investovať</w:t>
            </w:r>
            <w:r w:rsidR="00BA7250" w:rsidRPr="00893C52">
              <w:rPr>
                <w:rFonts w:eastAsia="Times New Roman" w:cs="Times New Roman"/>
                <w:color w:val="000000"/>
                <w:sz w:val="20"/>
                <w:lang w:eastAsia="sk-SK"/>
              </w:rPr>
              <w:t xml:space="preserve"> do kapacít a debarierizácie </w:t>
            </w:r>
            <w:r w:rsidR="00BA7250">
              <w:rPr>
                <w:rFonts w:eastAsia="Times New Roman" w:cs="Times New Roman"/>
                <w:color w:val="000000"/>
                <w:sz w:val="20"/>
                <w:lang w:eastAsia="sk-SK"/>
              </w:rPr>
              <w:t>MŠ</w:t>
            </w:r>
          </w:p>
        </w:tc>
        <w:tc>
          <w:tcPr>
            <w:tcW w:w="1053" w:type="dxa"/>
            <w:tcBorders>
              <w:top w:val="single" w:sz="4" w:space="0" w:color="auto"/>
              <w:left w:val="nil"/>
              <w:bottom w:val="dotted" w:sz="4" w:space="0" w:color="auto"/>
              <w:right w:val="nil"/>
            </w:tcBorders>
            <w:shd w:val="clear" w:color="000000" w:fill="FFFFFF"/>
            <w:vAlign w:val="center"/>
            <w:hideMark/>
          </w:tcPr>
          <w:p w14:paraId="2C06F116" w14:textId="3A64EC5C" w:rsidR="00BA7250" w:rsidRPr="00893C52" w:rsidRDefault="00BA7250" w:rsidP="00BA7250">
            <w:pPr>
              <w:spacing w:after="0" w:line="240" w:lineRule="auto"/>
              <w:jc w:val="center"/>
              <w:rPr>
                <w:rFonts w:eastAsia="Times New Roman" w:cs="Times New Roman"/>
                <w:color w:val="000000"/>
                <w:sz w:val="20"/>
                <w:lang w:eastAsia="sk-SK"/>
              </w:rPr>
            </w:pPr>
            <w:r>
              <w:rPr>
                <w:color w:val="000000"/>
                <w:sz w:val="20"/>
              </w:rPr>
              <w:t>4,9</w:t>
            </w:r>
          </w:p>
        </w:tc>
        <w:tc>
          <w:tcPr>
            <w:tcW w:w="996" w:type="dxa"/>
            <w:tcBorders>
              <w:top w:val="single" w:sz="4" w:space="0" w:color="auto"/>
              <w:left w:val="nil"/>
              <w:bottom w:val="dotted" w:sz="4" w:space="0" w:color="auto"/>
              <w:right w:val="nil"/>
            </w:tcBorders>
            <w:shd w:val="clear" w:color="000000" w:fill="FFFFFF"/>
            <w:vAlign w:val="center"/>
            <w:hideMark/>
          </w:tcPr>
          <w:p w14:paraId="215B97C9" w14:textId="57A03CD0" w:rsidR="00BA7250" w:rsidRPr="00893C52" w:rsidRDefault="00BA7250" w:rsidP="00BA7250">
            <w:pPr>
              <w:spacing w:after="0" w:line="240" w:lineRule="auto"/>
              <w:jc w:val="center"/>
              <w:rPr>
                <w:rFonts w:eastAsia="Times New Roman" w:cs="Times New Roman"/>
                <w:color w:val="000000"/>
                <w:sz w:val="20"/>
                <w:lang w:eastAsia="sk-SK"/>
              </w:rPr>
            </w:pPr>
            <w:r>
              <w:rPr>
                <w:color w:val="000000"/>
                <w:sz w:val="20"/>
              </w:rPr>
              <w:t>35,0</w:t>
            </w:r>
          </w:p>
        </w:tc>
        <w:tc>
          <w:tcPr>
            <w:tcW w:w="569" w:type="dxa"/>
            <w:tcBorders>
              <w:top w:val="single" w:sz="4" w:space="0" w:color="auto"/>
              <w:left w:val="nil"/>
              <w:bottom w:val="dotted" w:sz="4" w:space="0" w:color="auto"/>
              <w:right w:val="nil"/>
            </w:tcBorders>
            <w:shd w:val="clear" w:color="000000" w:fill="FFFFFF"/>
            <w:vAlign w:val="center"/>
            <w:hideMark/>
          </w:tcPr>
          <w:p w14:paraId="51DAB5BD" w14:textId="4FF52E7E" w:rsidR="00BA7250" w:rsidRPr="00893C52" w:rsidRDefault="00BA7250" w:rsidP="00BA7250">
            <w:pPr>
              <w:spacing w:after="0" w:line="240" w:lineRule="auto"/>
              <w:jc w:val="center"/>
              <w:rPr>
                <w:rFonts w:eastAsia="Times New Roman" w:cs="Times New Roman"/>
                <w:color w:val="000000"/>
                <w:sz w:val="20"/>
                <w:lang w:eastAsia="sk-SK"/>
              </w:rPr>
            </w:pPr>
            <w:r>
              <w:rPr>
                <w:rFonts w:cs="Calibri"/>
                <w:color w:val="000000"/>
                <w:sz w:val="20"/>
              </w:rPr>
              <w:t>8</w:t>
            </w:r>
          </w:p>
        </w:tc>
        <w:tc>
          <w:tcPr>
            <w:tcW w:w="1273" w:type="dxa"/>
            <w:tcBorders>
              <w:top w:val="single" w:sz="4" w:space="0" w:color="auto"/>
              <w:left w:val="nil"/>
              <w:bottom w:val="dotted" w:sz="4" w:space="0" w:color="auto"/>
              <w:right w:val="nil"/>
            </w:tcBorders>
            <w:shd w:val="clear" w:color="000000" w:fill="FFFFFF"/>
            <w:vAlign w:val="center"/>
            <w:hideMark/>
          </w:tcPr>
          <w:p w14:paraId="4E7AE495" w14:textId="77777777" w:rsidR="00BA7250" w:rsidRPr="00893C52" w:rsidRDefault="00BA7250" w:rsidP="00BA7250">
            <w:pPr>
              <w:spacing w:after="0" w:line="240" w:lineRule="auto"/>
              <w:rPr>
                <w:rFonts w:eastAsia="Times New Roman" w:cs="Times New Roman"/>
                <w:color w:val="000000"/>
                <w:sz w:val="20"/>
                <w:lang w:eastAsia="sk-SK"/>
              </w:rPr>
            </w:pPr>
            <w:r w:rsidRPr="00893C52">
              <w:rPr>
                <w:rFonts w:eastAsia="Times New Roman" w:cs="Times New Roman"/>
                <w:color w:val="000000"/>
                <w:sz w:val="20"/>
                <w:lang w:eastAsia="sk-SK"/>
              </w:rPr>
              <w:t>MŠVVaŠ, MV</w:t>
            </w:r>
          </w:p>
        </w:tc>
      </w:tr>
      <w:tr w:rsidR="00BA7250" w:rsidRPr="00893C52" w14:paraId="648E2F50" w14:textId="77777777" w:rsidTr="00F322D1">
        <w:trPr>
          <w:trHeight w:val="238"/>
        </w:trPr>
        <w:tc>
          <w:tcPr>
            <w:tcW w:w="324" w:type="dxa"/>
            <w:tcBorders>
              <w:top w:val="nil"/>
              <w:left w:val="nil"/>
              <w:bottom w:val="dotted" w:sz="4" w:space="0" w:color="auto"/>
              <w:right w:val="nil"/>
            </w:tcBorders>
            <w:shd w:val="clear" w:color="000000" w:fill="FFFFFF"/>
            <w:vAlign w:val="center"/>
            <w:hideMark/>
          </w:tcPr>
          <w:p w14:paraId="267C3F9B" w14:textId="4B11E11C" w:rsidR="00BA7250" w:rsidRPr="00893C52" w:rsidRDefault="00BA7250" w:rsidP="00BA7250">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3</w:t>
            </w:r>
          </w:p>
        </w:tc>
        <w:tc>
          <w:tcPr>
            <w:tcW w:w="4857" w:type="dxa"/>
            <w:tcBorders>
              <w:top w:val="nil"/>
              <w:left w:val="nil"/>
              <w:bottom w:val="dotted" w:sz="4" w:space="0" w:color="auto"/>
              <w:right w:val="nil"/>
            </w:tcBorders>
            <w:shd w:val="clear" w:color="000000" w:fill="FFFFFF"/>
            <w:vAlign w:val="center"/>
            <w:hideMark/>
          </w:tcPr>
          <w:p w14:paraId="07A0D49C" w14:textId="73094519" w:rsidR="00BA7250" w:rsidRPr="00893C52" w:rsidRDefault="00BA7250" w:rsidP="00452DBC">
            <w:pPr>
              <w:spacing w:after="0" w:line="240" w:lineRule="auto"/>
              <w:jc w:val="left"/>
              <w:rPr>
                <w:rFonts w:eastAsia="Times New Roman" w:cs="Times New Roman"/>
                <w:color w:val="000000"/>
                <w:sz w:val="20"/>
                <w:lang w:eastAsia="sk-SK"/>
              </w:rPr>
            </w:pPr>
            <w:r>
              <w:rPr>
                <w:rFonts w:eastAsia="Times New Roman" w:cs="Times New Roman"/>
                <w:color w:val="000000"/>
                <w:sz w:val="20"/>
                <w:lang w:eastAsia="sk-SK"/>
              </w:rPr>
              <w:t>Zabezpečiť autobusové spojenie</w:t>
            </w:r>
            <w:r w:rsidRPr="00586F22">
              <w:rPr>
                <w:rFonts w:eastAsia="Times New Roman" w:cs="Times New Roman"/>
                <w:color w:val="000000"/>
                <w:sz w:val="20"/>
                <w:lang w:eastAsia="sk-SK"/>
              </w:rPr>
              <w:t xml:space="preserve"> medzi segreg</w:t>
            </w:r>
            <w:r>
              <w:rPr>
                <w:rFonts w:eastAsia="Times New Roman" w:cs="Times New Roman"/>
                <w:color w:val="000000"/>
                <w:sz w:val="20"/>
                <w:lang w:eastAsia="sk-SK"/>
              </w:rPr>
              <w:t>ovanými</w:t>
            </w:r>
            <w:r w:rsidRPr="00586F22">
              <w:rPr>
                <w:rFonts w:eastAsia="Times New Roman" w:cs="Times New Roman"/>
                <w:color w:val="000000"/>
                <w:sz w:val="20"/>
                <w:lang w:eastAsia="sk-SK"/>
              </w:rPr>
              <w:t xml:space="preserve"> osídleniami a MŠ/ZŠ</w:t>
            </w:r>
          </w:p>
        </w:tc>
        <w:tc>
          <w:tcPr>
            <w:tcW w:w="1053" w:type="dxa"/>
            <w:tcBorders>
              <w:top w:val="nil"/>
              <w:left w:val="nil"/>
              <w:bottom w:val="dotted" w:sz="4" w:space="0" w:color="auto"/>
              <w:right w:val="nil"/>
            </w:tcBorders>
            <w:shd w:val="clear" w:color="000000" w:fill="FFFFFF"/>
            <w:vAlign w:val="center"/>
            <w:hideMark/>
          </w:tcPr>
          <w:p w14:paraId="40091A19" w14:textId="60E1C35B" w:rsidR="00BA7250" w:rsidRPr="00893C52" w:rsidRDefault="00BA7250" w:rsidP="00BA7250">
            <w:pPr>
              <w:spacing w:after="0" w:line="240" w:lineRule="auto"/>
              <w:jc w:val="center"/>
              <w:rPr>
                <w:rFonts w:eastAsia="Times New Roman" w:cs="Times New Roman"/>
                <w:color w:val="000000"/>
                <w:sz w:val="20"/>
                <w:lang w:eastAsia="sk-SK"/>
              </w:rPr>
            </w:pPr>
            <w:r>
              <w:rPr>
                <w:color w:val="000000"/>
                <w:sz w:val="20"/>
              </w:rPr>
              <w:t>0,4</w:t>
            </w:r>
          </w:p>
        </w:tc>
        <w:tc>
          <w:tcPr>
            <w:tcW w:w="996" w:type="dxa"/>
            <w:tcBorders>
              <w:top w:val="nil"/>
              <w:left w:val="nil"/>
              <w:bottom w:val="dotted" w:sz="4" w:space="0" w:color="auto"/>
              <w:right w:val="nil"/>
            </w:tcBorders>
            <w:shd w:val="clear" w:color="000000" w:fill="FFFFFF"/>
            <w:vAlign w:val="center"/>
            <w:hideMark/>
          </w:tcPr>
          <w:p w14:paraId="383AF81D" w14:textId="1DD9CB72" w:rsidR="00BA7250" w:rsidRPr="00893C52" w:rsidRDefault="00BA7250" w:rsidP="00BA7250">
            <w:pPr>
              <w:spacing w:after="0" w:line="240" w:lineRule="auto"/>
              <w:jc w:val="center"/>
              <w:rPr>
                <w:rFonts w:eastAsia="Times New Roman" w:cs="Times New Roman"/>
                <w:color w:val="000000"/>
                <w:sz w:val="20"/>
                <w:lang w:eastAsia="sk-SK"/>
              </w:rPr>
            </w:pPr>
            <w:r>
              <w:rPr>
                <w:color w:val="000000"/>
                <w:sz w:val="20"/>
              </w:rPr>
              <w:t>0,4</w:t>
            </w:r>
          </w:p>
        </w:tc>
        <w:tc>
          <w:tcPr>
            <w:tcW w:w="569" w:type="dxa"/>
            <w:tcBorders>
              <w:top w:val="nil"/>
              <w:left w:val="nil"/>
              <w:bottom w:val="dotted" w:sz="4" w:space="0" w:color="auto"/>
              <w:right w:val="nil"/>
            </w:tcBorders>
            <w:shd w:val="clear" w:color="000000" w:fill="FFFFFF"/>
            <w:vAlign w:val="center"/>
            <w:hideMark/>
          </w:tcPr>
          <w:p w14:paraId="494D51DE" w14:textId="3461E84A" w:rsidR="00BA7250" w:rsidRPr="00893C52" w:rsidRDefault="00BA7250" w:rsidP="00BA7250">
            <w:pPr>
              <w:spacing w:after="0" w:line="240" w:lineRule="auto"/>
              <w:jc w:val="center"/>
              <w:rPr>
                <w:rFonts w:eastAsia="Times New Roman" w:cs="Times New Roman"/>
                <w:color w:val="000000"/>
                <w:sz w:val="20"/>
                <w:lang w:eastAsia="sk-SK"/>
              </w:rPr>
            </w:pPr>
            <w:r>
              <w:rPr>
                <w:rFonts w:cs="Calibri"/>
                <w:color w:val="000000"/>
                <w:sz w:val="20"/>
              </w:rPr>
              <w:t>1</w:t>
            </w:r>
          </w:p>
        </w:tc>
        <w:tc>
          <w:tcPr>
            <w:tcW w:w="1273" w:type="dxa"/>
            <w:tcBorders>
              <w:top w:val="nil"/>
              <w:left w:val="nil"/>
              <w:bottom w:val="dotted" w:sz="4" w:space="0" w:color="auto"/>
              <w:right w:val="nil"/>
            </w:tcBorders>
            <w:shd w:val="clear" w:color="000000" w:fill="FFFFFF"/>
            <w:vAlign w:val="center"/>
            <w:hideMark/>
          </w:tcPr>
          <w:p w14:paraId="364A899D" w14:textId="2E5B4875" w:rsidR="00BA7250" w:rsidRPr="00893C52" w:rsidRDefault="00BA7250" w:rsidP="00BA7250">
            <w:pPr>
              <w:spacing w:after="0" w:line="240" w:lineRule="auto"/>
              <w:rPr>
                <w:rFonts w:eastAsia="Times New Roman" w:cs="Times New Roman"/>
                <w:color w:val="000000"/>
                <w:sz w:val="20"/>
                <w:lang w:eastAsia="sk-SK"/>
              </w:rPr>
            </w:pPr>
            <w:r>
              <w:rPr>
                <w:rFonts w:eastAsia="Times New Roman" w:cs="Times New Roman"/>
                <w:color w:val="000000"/>
                <w:sz w:val="20"/>
                <w:lang w:eastAsia="sk-SK"/>
              </w:rPr>
              <w:t>MŠVVaŠ, MV, MDV, obce</w:t>
            </w:r>
          </w:p>
        </w:tc>
      </w:tr>
      <w:tr w:rsidR="00BA7250" w:rsidRPr="00893C52" w14:paraId="39008518" w14:textId="77777777" w:rsidTr="00F322D1">
        <w:trPr>
          <w:trHeight w:val="238"/>
        </w:trPr>
        <w:tc>
          <w:tcPr>
            <w:tcW w:w="324" w:type="dxa"/>
            <w:tcBorders>
              <w:top w:val="nil"/>
              <w:left w:val="nil"/>
              <w:bottom w:val="dotted" w:sz="4" w:space="0" w:color="auto"/>
              <w:right w:val="nil"/>
            </w:tcBorders>
            <w:shd w:val="clear" w:color="000000" w:fill="FFFFFF"/>
            <w:vAlign w:val="center"/>
            <w:hideMark/>
          </w:tcPr>
          <w:p w14:paraId="3DBA03C1" w14:textId="78CEC50C" w:rsidR="00BA7250" w:rsidRPr="00893C52" w:rsidRDefault="00BA7250" w:rsidP="00BA7250">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4</w:t>
            </w:r>
          </w:p>
        </w:tc>
        <w:tc>
          <w:tcPr>
            <w:tcW w:w="4857" w:type="dxa"/>
            <w:tcBorders>
              <w:top w:val="nil"/>
              <w:left w:val="nil"/>
              <w:bottom w:val="dotted" w:sz="4" w:space="0" w:color="auto"/>
              <w:right w:val="nil"/>
            </w:tcBorders>
            <w:shd w:val="clear" w:color="000000" w:fill="FFFFFF"/>
            <w:vAlign w:val="center"/>
            <w:hideMark/>
          </w:tcPr>
          <w:p w14:paraId="242EC7F9" w14:textId="66ACB09D" w:rsidR="00BA7250" w:rsidRPr="00893C52" w:rsidRDefault="00BA7250" w:rsidP="00452DBC">
            <w:pPr>
              <w:spacing w:after="0" w:line="240" w:lineRule="auto"/>
              <w:jc w:val="left"/>
              <w:rPr>
                <w:rFonts w:eastAsia="Times New Roman" w:cs="Times New Roman"/>
                <w:color w:val="000000"/>
                <w:sz w:val="20"/>
                <w:lang w:eastAsia="sk-SK"/>
              </w:rPr>
            </w:pPr>
            <w:r>
              <w:rPr>
                <w:rFonts w:eastAsia="Times New Roman" w:cs="Times New Roman"/>
                <w:color w:val="000000"/>
                <w:sz w:val="20"/>
                <w:lang w:eastAsia="sk-SK"/>
              </w:rPr>
              <w:t>Posilniť rozvoj</w:t>
            </w:r>
            <w:r w:rsidRPr="00893C52">
              <w:rPr>
                <w:rFonts w:eastAsia="Times New Roman" w:cs="Times New Roman"/>
                <w:color w:val="000000"/>
                <w:sz w:val="20"/>
                <w:lang w:eastAsia="sk-SK"/>
              </w:rPr>
              <w:t xml:space="preserve"> personáln</w:t>
            </w:r>
            <w:r>
              <w:rPr>
                <w:rFonts w:eastAsia="Times New Roman" w:cs="Times New Roman"/>
                <w:color w:val="000000"/>
                <w:sz w:val="20"/>
                <w:lang w:eastAsia="sk-SK"/>
              </w:rPr>
              <w:t>ych</w:t>
            </w:r>
            <w:r w:rsidRPr="00893C52">
              <w:rPr>
                <w:rFonts w:eastAsia="Times New Roman" w:cs="Times New Roman"/>
                <w:color w:val="000000"/>
                <w:sz w:val="20"/>
                <w:lang w:eastAsia="sk-SK"/>
              </w:rPr>
              <w:t xml:space="preserve"> kapac</w:t>
            </w:r>
            <w:r>
              <w:rPr>
                <w:rFonts w:eastAsia="Times New Roman" w:cs="Times New Roman"/>
                <w:color w:val="000000"/>
                <w:sz w:val="20"/>
                <w:lang w:eastAsia="sk-SK"/>
              </w:rPr>
              <w:t>ít</w:t>
            </w:r>
            <w:r w:rsidRPr="00893C52">
              <w:rPr>
                <w:rFonts w:eastAsia="Times New Roman" w:cs="Times New Roman"/>
                <w:color w:val="000000"/>
                <w:sz w:val="20"/>
                <w:lang w:eastAsia="sk-SK"/>
              </w:rPr>
              <w:t xml:space="preserve"> pre inklúziu v </w:t>
            </w:r>
            <w:r>
              <w:rPr>
                <w:rFonts w:eastAsia="Times New Roman" w:cs="Times New Roman"/>
                <w:color w:val="000000"/>
                <w:sz w:val="20"/>
                <w:lang w:eastAsia="sk-SK"/>
              </w:rPr>
              <w:t>MŠ</w:t>
            </w:r>
          </w:p>
        </w:tc>
        <w:tc>
          <w:tcPr>
            <w:tcW w:w="1053" w:type="dxa"/>
            <w:tcBorders>
              <w:top w:val="nil"/>
              <w:left w:val="nil"/>
              <w:bottom w:val="dotted" w:sz="4" w:space="0" w:color="auto"/>
              <w:right w:val="nil"/>
            </w:tcBorders>
            <w:shd w:val="clear" w:color="000000" w:fill="FFFFFF"/>
            <w:vAlign w:val="center"/>
            <w:hideMark/>
          </w:tcPr>
          <w:p w14:paraId="31BA7286" w14:textId="4BE97F34" w:rsidR="00BA7250" w:rsidRPr="00893C52" w:rsidRDefault="00DC4284" w:rsidP="00BA7250">
            <w:pPr>
              <w:spacing w:after="0" w:line="240" w:lineRule="auto"/>
              <w:jc w:val="center"/>
              <w:rPr>
                <w:rFonts w:eastAsia="Times New Roman" w:cs="Times New Roman"/>
                <w:color w:val="000000"/>
                <w:sz w:val="20"/>
                <w:lang w:eastAsia="sk-SK"/>
              </w:rPr>
            </w:pPr>
            <w:r>
              <w:rPr>
                <w:color w:val="000000"/>
                <w:sz w:val="20"/>
              </w:rPr>
              <w:t>4,4</w:t>
            </w:r>
          </w:p>
        </w:tc>
        <w:tc>
          <w:tcPr>
            <w:tcW w:w="996" w:type="dxa"/>
            <w:tcBorders>
              <w:top w:val="nil"/>
              <w:left w:val="nil"/>
              <w:bottom w:val="dotted" w:sz="4" w:space="0" w:color="auto"/>
              <w:right w:val="nil"/>
            </w:tcBorders>
            <w:shd w:val="clear" w:color="000000" w:fill="FFFFFF"/>
            <w:vAlign w:val="center"/>
            <w:hideMark/>
          </w:tcPr>
          <w:p w14:paraId="58C85B11" w14:textId="33EFBBEA" w:rsidR="00BA7250" w:rsidRPr="00893C52" w:rsidRDefault="00DC4284" w:rsidP="00BA7250">
            <w:pPr>
              <w:spacing w:after="0" w:line="240" w:lineRule="auto"/>
              <w:jc w:val="center"/>
              <w:rPr>
                <w:rFonts w:eastAsia="Times New Roman" w:cs="Times New Roman"/>
                <w:color w:val="000000"/>
                <w:sz w:val="20"/>
                <w:lang w:eastAsia="sk-SK"/>
              </w:rPr>
            </w:pPr>
            <w:r>
              <w:rPr>
                <w:color w:val="000000"/>
                <w:sz w:val="20"/>
              </w:rPr>
              <w:t>40,7</w:t>
            </w:r>
          </w:p>
        </w:tc>
        <w:tc>
          <w:tcPr>
            <w:tcW w:w="569" w:type="dxa"/>
            <w:tcBorders>
              <w:top w:val="nil"/>
              <w:left w:val="nil"/>
              <w:bottom w:val="dotted" w:sz="4" w:space="0" w:color="auto"/>
              <w:right w:val="nil"/>
            </w:tcBorders>
            <w:shd w:val="clear" w:color="000000" w:fill="FFFFFF"/>
            <w:vAlign w:val="center"/>
            <w:hideMark/>
          </w:tcPr>
          <w:p w14:paraId="195A7398" w14:textId="176D1CC3" w:rsidR="00BA7250" w:rsidRPr="00893C52" w:rsidRDefault="00BA7250" w:rsidP="00BA7250">
            <w:pPr>
              <w:spacing w:after="0" w:line="240" w:lineRule="auto"/>
              <w:jc w:val="center"/>
              <w:rPr>
                <w:rFonts w:eastAsia="Times New Roman" w:cs="Times New Roman"/>
                <w:color w:val="000000"/>
                <w:sz w:val="20"/>
                <w:lang w:eastAsia="sk-SK"/>
              </w:rPr>
            </w:pPr>
            <w:r>
              <w:rPr>
                <w:rFonts w:cs="Calibri"/>
                <w:color w:val="000000"/>
                <w:sz w:val="20"/>
              </w:rPr>
              <w:t>10</w:t>
            </w:r>
          </w:p>
        </w:tc>
        <w:tc>
          <w:tcPr>
            <w:tcW w:w="1273" w:type="dxa"/>
            <w:tcBorders>
              <w:top w:val="nil"/>
              <w:left w:val="nil"/>
              <w:bottom w:val="dotted" w:sz="4" w:space="0" w:color="auto"/>
              <w:right w:val="nil"/>
            </w:tcBorders>
            <w:shd w:val="clear" w:color="000000" w:fill="FFFFFF"/>
            <w:vAlign w:val="center"/>
            <w:hideMark/>
          </w:tcPr>
          <w:p w14:paraId="3E114E95" w14:textId="77777777" w:rsidR="00BA7250" w:rsidRPr="00893C52" w:rsidRDefault="00BA7250" w:rsidP="00BA7250">
            <w:pPr>
              <w:spacing w:after="0" w:line="240" w:lineRule="auto"/>
              <w:rPr>
                <w:rFonts w:eastAsia="Times New Roman" w:cs="Times New Roman"/>
                <w:color w:val="000000"/>
                <w:sz w:val="20"/>
                <w:lang w:eastAsia="sk-SK"/>
              </w:rPr>
            </w:pPr>
            <w:r w:rsidRPr="00893C52">
              <w:rPr>
                <w:rFonts w:eastAsia="Times New Roman" w:cs="Times New Roman"/>
                <w:color w:val="000000"/>
                <w:sz w:val="20"/>
                <w:lang w:eastAsia="sk-SK"/>
              </w:rPr>
              <w:t>MŠVVaŠ, MV</w:t>
            </w:r>
          </w:p>
        </w:tc>
      </w:tr>
      <w:tr w:rsidR="00BA7250" w:rsidRPr="00893C52" w14:paraId="262F5E53" w14:textId="77777777" w:rsidTr="00F322D1">
        <w:trPr>
          <w:trHeight w:val="238"/>
        </w:trPr>
        <w:tc>
          <w:tcPr>
            <w:tcW w:w="324" w:type="dxa"/>
            <w:tcBorders>
              <w:top w:val="nil"/>
              <w:left w:val="nil"/>
              <w:bottom w:val="nil"/>
              <w:right w:val="nil"/>
            </w:tcBorders>
            <w:shd w:val="clear" w:color="000000" w:fill="FFFFFF"/>
            <w:vAlign w:val="center"/>
            <w:hideMark/>
          </w:tcPr>
          <w:p w14:paraId="63FEB0D3" w14:textId="1C976607" w:rsidR="00BA7250" w:rsidRPr="00893C52" w:rsidRDefault="00BA7250" w:rsidP="00BA7250">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5</w:t>
            </w:r>
          </w:p>
        </w:tc>
        <w:tc>
          <w:tcPr>
            <w:tcW w:w="4857" w:type="dxa"/>
            <w:tcBorders>
              <w:top w:val="nil"/>
              <w:left w:val="nil"/>
              <w:bottom w:val="nil"/>
              <w:right w:val="nil"/>
            </w:tcBorders>
            <w:shd w:val="clear" w:color="000000" w:fill="FFFFFF"/>
            <w:vAlign w:val="center"/>
            <w:hideMark/>
          </w:tcPr>
          <w:p w14:paraId="3CD276F4" w14:textId="3D733609" w:rsidR="00BA7250" w:rsidRPr="008C44B9" w:rsidRDefault="00BA7250" w:rsidP="00452DBC">
            <w:pPr>
              <w:spacing w:after="0" w:line="240" w:lineRule="auto"/>
              <w:jc w:val="left"/>
              <w:rPr>
                <w:rFonts w:eastAsia="Times New Roman" w:cs="Times New Roman"/>
                <w:color w:val="000000"/>
                <w:sz w:val="20"/>
                <w:lang w:eastAsia="sk-SK"/>
              </w:rPr>
            </w:pPr>
            <w:bookmarkStart w:id="9" w:name="RANGE!B9"/>
            <w:r w:rsidRPr="00BA7250">
              <w:rPr>
                <w:rFonts w:eastAsia="Times New Roman" w:cs="Times New Roman"/>
                <w:color w:val="000000"/>
                <w:sz w:val="20"/>
                <w:lang w:eastAsia="sk-SK"/>
              </w:rPr>
              <w:t xml:space="preserve">Posilniť ponuku vzdelávania </w:t>
            </w:r>
            <w:r>
              <w:rPr>
                <w:rFonts w:eastAsia="Times New Roman" w:cs="Times New Roman"/>
                <w:color w:val="000000"/>
                <w:sz w:val="20"/>
                <w:lang w:eastAsia="sk-SK"/>
              </w:rPr>
              <w:t>pedag</w:t>
            </w:r>
            <w:r w:rsidR="00487460">
              <w:rPr>
                <w:rFonts w:eastAsia="Times New Roman" w:cs="Times New Roman"/>
                <w:color w:val="000000"/>
                <w:sz w:val="20"/>
                <w:lang w:eastAsia="sk-SK"/>
              </w:rPr>
              <w:t>ogických</w:t>
            </w:r>
            <w:r w:rsidRPr="00BA7250">
              <w:rPr>
                <w:rFonts w:eastAsia="Times New Roman" w:cs="Times New Roman"/>
                <w:color w:val="000000"/>
                <w:sz w:val="20"/>
                <w:lang w:eastAsia="sk-SK"/>
              </w:rPr>
              <w:t xml:space="preserve"> a odborných zamestnancov v</w:t>
            </w:r>
            <w:r>
              <w:rPr>
                <w:rFonts w:eastAsia="Times New Roman" w:cs="Times New Roman"/>
                <w:color w:val="000000"/>
                <w:sz w:val="20"/>
                <w:lang w:eastAsia="sk-SK"/>
              </w:rPr>
              <w:t> MŠ</w:t>
            </w:r>
            <w:r w:rsidRPr="00BA7250">
              <w:rPr>
                <w:rFonts w:eastAsia="Times New Roman" w:cs="Times New Roman"/>
                <w:color w:val="000000"/>
                <w:sz w:val="20"/>
                <w:lang w:eastAsia="sk-SK"/>
              </w:rPr>
              <w:t xml:space="preserve"> pre prácu s deťmi zo </w:t>
            </w:r>
            <w:r>
              <w:rPr>
                <w:rFonts w:eastAsia="Times New Roman" w:cs="Times New Roman"/>
                <w:color w:val="000000"/>
                <w:sz w:val="20"/>
                <w:lang w:eastAsia="sk-SK"/>
              </w:rPr>
              <w:t>SZP</w:t>
            </w:r>
            <w:r w:rsidRPr="00BA7250">
              <w:rPr>
                <w:rFonts w:eastAsia="Times New Roman" w:cs="Times New Roman"/>
                <w:color w:val="000000"/>
                <w:sz w:val="20"/>
                <w:lang w:eastAsia="sk-SK"/>
              </w:rPr>
              <w:t xml:space="preserve"> a so </w:t>
            </w:r>
            <w:r>
              <w:rPr>
                <w:rFonts w:eastAsia="Times New Roman" w:cs="Times New Roman"/>
                <w:color w:val="000000"/>
                <w:sz w:val="20"/>
                <w:lang w:eastAsia="sk-SK"/>
              </w:rPr>
              <w:t>ZZ</w:t>
            </w:r>
            <w:bookmarkEnd w:id="9"/>
          </w:p>
        </w:tc>
        <w:tc>
          <w:tcPr>
            <w:tcW w:w="1053" w:type="dxa"/>
            <w:tcBorders>
              <w:top w:val="nil"/>
              <w:left w:val="nil"/>
              <w:bottom w:val="nil"/>
              <w:right w:val="nil"/>
            </w:tcBorders>
            <w:shd w:val="clear" w:color="000000" w:fill="FFFFFF"/>
            <w:vAlign w:val="center"/>
            <w:hideMark/>
          </w:tcPr>
          <w:p w14:paraId="712A427C" w14:textId="176F076E" w:rsidR="00BA7250" w:rsidRPr="00893C52" w:rsidRDefault="00BA7250" w:rsidP="00BA7250">
            <w:pPr>
              <w:spacing w:after="0" w:line="240" w:lineRule="auto"/>
              <w:jc w:val="center"/>
              <w:rPr>
                <w:rFonts w:eastAsia="Times New Roman" w:cs="Times New Roman"/>
                <w:color w:val="000000"/>
                <w:sz w:val="20"/>
                <w:lang w:eastAsia="sk-SK"/>
              </w:rPr>
            </w:pPr>
            <w:r>
              <w:rPr>
                <w:color w:val="000000"/>
                <w:sz w:val="20"/>
              </w:rPr>
              <w:t>2,1</w:t>
            </w:r>
          </w:p>
        </w:tc>
        <w:tc>
          <w:tcPr>
            <w:tcW w:w="996" w:type="dxa"/>
            <w:tcBorders>
              <w:top w:val="nil"/>
              <w:left w:val="nil"/>
              <w:bottom w:val="nil"/>
              <w:right w:val="nil"/>
            </w:tcBorders>
            <w:shd w:val="clear" w:color="000000" w:fill="FFFFFF"/>
            <w:vAlign w:val="center"/>
            <w:hideMark/>
          </w:tcPr>
          <w:p w14:paraId="7D4572B3" w14:textId="640E6992" w:rsidR="00BA7250" w:rsidRPr="00893C52" w:rsidRDefault="00BA7250" w:rsidP="00BA7250">
            <w:pPr>
              <w:spacing w:after="0" w:line="240" w:lineRule="auto"/>
              <w:jc w:val="center"/>
              <w:rPr>
                <w:rFonts w:eastAsia="Times New Roman" w:cs="Times New Roman"/>
                <w:color w:val="000000"/>
                <w:sz w:val="20"/>
                <w:lang w:eastAsia="sk-SK"/>
              </w:rPr>
            </w:pPr>
            <w:r>
              <w:rPr>
                <w:color w:val="000000"/>
                <w:sz w:val="20"/>
              </w:rPr>
              <w:t>2,1</w:t>
            </w:r>
          </w:p>
        </w:tc>
        <w:tc>
          <w:tcPr>
            <w:tcW w:w="569" w:type="dxa"/>
            <w:tcBorders>
              <w:top w:val="nil"/>
              <w:left w:val="nil"/>
              <w:bottom w:val="nil"/>
              <w:right w:val="nil"/>
            </w:tcBorders>
            <w:shd w:val="clear" w:color="000000" w:fill="FFFFFF"/>
            <w:vAlign w:val="center"/>
            <w:hideMark/>
          </w:tcPr>
          <w:p w14:paraId="6C4E2D58" w14:textId="213ACEAA" w:rsidR="00BA7250" w:rsidRPr="00893C52" w:rsidRDefault="00BA7250" w:rsidP="00BA7250">
            <w:pPr>
              <w:spacing w:after="0" w:line="240" w:lineRule="auto"/>
              <w:jc w:val="center"/>
              <w:rPr>
                <w:rFonts w:eastAsia="Times New Roman" w:cs="Times New Roman"/>
                <w:color w:val="000000"/>
                <w:sz w:val="20"/>
                <w:lang w:eastAsia="sk-SK"/>
              </w:rPr>
            </w:pPr>
            <w:r>
              <w:rPr>
                <w:rFonts w:cs="Calibri"/>
                <w:color w:val="000000"/>
                <w:sz w:val="20"/>
              </w:rPr>
              <w:t>1</w:t>
            </w:r>
          </w:p>
        </w:tc>
        <w:tc>
          <w:tcPr>
            <w:tcW w:w="1273" w:type="dxa"/>
            <w:tcBorders>
              <w:top w:val="nil"/>
              <w:left w:val="nil"/>
              <w:bottom w:val="nil"/>
              <w:right w:val="nil"/>
            </w:tcBorders>
            <w:shd w:val="clear" w:color="000000" w:fill="FFFFFF"/>
            <w:vAlign w:val="center"/>
            <w:hideMark/>
          </w:tcPr>
          <w:p w14:paraId="0E2E6D9A" w14:textId="77777777" w:rsidR="00BA7250" w:rsidRPr="00893C52" w:rsidRDefault="00BA7250" w:rsidP="00BA7250">
            <w:pPr>
              <w:spacing w:after="0" w:line="240" w:lineRule="auto"/>
              <w:rPr>
                <w:rFonts w:eastAsia="Times New Roman" w:cs="Times New Roman"/>
                <w:color w:val="000000"/>
                <w:sz w:val="20"/>
                <w:lang w:eastAsia="sk-SK"/>
              </w:rPr>
            </w:pPr>
            <w:r w:rsidRPr="00893C52">
              <w:rPr>
                <w:rFonts w:eastAsia="Times New Roman" w:cs="Times New Roman"/>
                <w:color w:val="000000"/>
                <w:sz w:val="20"/>
                <w:lang w:eastAsia="sk-SK"/>
              </w:rPr>
              <w:t>MŠVVaŠ</w:t>
            </w:r>
          </w:p>
        </w:tc>
      </w:tr>
      <w:tr w:rsidR="00BA7250" w:rsidRPr="00893C52" w14:paraId="5B61AEAB" w14:textId="77777777" w:rsidTr="00F322D1">
        <w:trPr>
          <w:trHeight w:val="476"/>
        </w:trPr>
        <w:tc>
          <w:tcPr>
            <w:tcW w:w="324" w:type="dxa"/>
            <w:tcBorders>
              <w:top w:val="single" w:sz="4" w:space="0" w:color="auto"/>
              <w:left w:val="nil"/>
              <w:bottom w:val="single" w:sz="4" w:space="0" w:color="auto"/>
              <w:right w:val="nil"/>
            </w:tcBorders>
            <w:shd w:val="clear" w:color="000000" w:fill="FFFFFF"/>
            <w:vAlign w:val="center"/>
            <w:hideMark/>
          </w:tcPr>
          <w:p w14:paraId="02426488" w14:textId="77777777" w:rsidR="00BA7250" w:rsidRPr="00893C52" w:rsidRDefault="00BA7250" w:rsidP="00BA7250">
            <w:pPr>
              <w:spacing w:after="0" w:line="240" w:lineRule="auto"/>
              <w:jc w:val="center"/>
              <w:rPr>
                <w:rFonts w:eastAsia="Times New Roman" w:cs="Times New Roman"/>
                <w:b/>
                <w:bCs/>
                <w:color w:val="000000"/>
                <w:sz w:val="20"/>
                <w:lang w:eastAsia="sk-SK"/>
              </w:rPr>
            </w:pPr>
            <w:r w:rsidRPr="00893C52">
              <w:rPr>
                <w:rFonts w:eastAsia="Times New Roman" w:cs="Times New Roman"/>
                <w:b/>
                <w:bCs/>
                <w:color w:val="000000"/>
                <w:sz w:val="20"/>
                <w:lang w:eastAsia="sk-SK"/>
              </w:rPr>
              <w:t> </w:t>
            </w:r>
          </w:p>
        </w:tc>
        <w:tc>
          <w:tcPr>
            <w:tcW w:w="4857" w:type="dxa"/>
            <w:tcBorders>
              <w:top w:val="single" w:sz="4" w:space="0" w:color="auto"/>
              <w:left w:val="nil"/>
              <w:bottom w:val="single" w:sz="4" w:space="0" w:color="auto"/>
              <w:right w:val="nil"/>
            </w:tcBorders>
            <w:shd w:val="clear" w:color="000000" w:fill="FFFFFF"/>
            <w:vAlign w:val="center"/>
            <w:hideMark/>
          </w:tcPr>
          <w:p w14:paraId="481768BB" w14:textId="77777777" w:rsidR="00BA7250" w:rsidRPr="00893C52" w:rsidRDefault="00BA7250" w:rsidP="00452DBC">
            <w:pPr>
              <w:spacing w:after="0" w:line="240" w:lineRule="auto"/>
              <w:jc w:val="left"/>
              <w:rPr>
                <w:rFonts w:eastAsia="Times New Roman" w:cs="Times New Roman"/>
                <w:b/>
                <w:bCs/>
                <w:color w:val="000000"/>
                <w:sz w:val="20"/>
                <w:lang w:eastAsia="sk-SK"/>
              </w:rPr>
            </w:pPr>
            <w:r w:rsidRPr="00893C52">
              <w:rPr>
                <w:rFonts w:eastAsia="Times New Roman" w:cs="Times New Roman"/>
                <w:b/>
                <w:bCs/>
                <w:color w:val="000000"/>
                <w:sz w:val="20"/>
                <w:lang w:eastAsia="sk-SK"/>
              </w:rPr>
              <w:t>Vzdelávanie v základných a stredných školách</w:t>
            </w:r>
          </w:p>
        </w:tc>
        <w:tc>
          <w:tcPr>
            <w:tcW w:w="1053" w:type="dxa"/>
            <w:tcBorders>
              <w:top w:val="single" w:sz="4" w:space="0" w:color="auto"/>
              <w:left w:val="nil"/>
              <w:bottom w:val="single" w:sz="4" w:space="0" w:color="auto"/>
              <w:right w:val="nil"/>
            </w:tcBorders>
            <w:shd w:val="clear" w:color="000000" w:fill="FFFFFF"/>
            <w:vAlign w:val="center"/>
            <w:hideMark/>
          </w:tcPr>
          <w:p w14:paraId="4519B809" w14:textId="3E74757D" w:rsidR="00BA7250" w:rsidRPr="00893C52" w:rsidRDefault="00DC4284" w:rsidP="00BA7250">
            <w:pPr>
              <w:spacing w:after="0" w:line="240" w:lineRule="auto"/>
              <w:jc w:val="center"/>
              <w:rPr>
                <w:rFonts w:eastAsia="Times New Roman" w:cs="Times New Roman"/>
                <w:b/>
                <w:bCs/>
                <w:color w:val="000000"/>
                <w:sz w:val="20"/>
                <w:lang w:eastAsia="sk-SK"/>
              </w:rPr>
            </w:pPr>
            <w:r>
              <w:rPr>
                <w:b/>
                <w:bCs/>
                <w:color w:val="000000"/>
                <w:sz w:val="20"/>
              </w:rPr>
              <w:t>16,6</w:t>
            </w:r>
          </w:p>
        </w:tc>
        <w:tc>
          <w:tcPr>
            <w:tcW w:w="996" w:type="dxa"/>
            <w:tcBorders>
              <w:top w:val="single" w:sz="4" w:space="0" w:color="auto"/>
              <w:left w:val="nil"/>
              <w:bottom w:val="single" w:sz="4" w:space="0" w:color="auto"/>
              <w:right w:val="nil"/>
            </w:tcBorders>
            <w:shd w:val="clear" w:color="000000" w:fill="FFFFFF"/>
            <w:vAlign w:val="center"/>
            <w:hideMark/>
          </w:tcPr>
          <w:p w14:paraId="06B6038B" w14:textId="56AF066C" w:rsidR="00BA7250" w:rsidRPr="00893C52" w:rsidRDefault="00DC4284" w:rsidP="00BA7250">
            <w:pPr>
              <w:spacing w:after="0" w:line="240" w:lineRule="auto"/>
              <w:jc w:val="center"/>
              <w:rPr>
                <w:rFonts w:eastAsia="Times New Roman" w:cs="Times New Roman"/>
                <w:b/>
                <w:bCs/>
                <w:color w:val="000000"/>
                <w:sz w:val="20"/>
                <w:lang w:eastAsia="sk-SK"/>
              </w:rPr>
            </w:pPr>
            <w:r>
              <w:rPr>
                <w:b/>
                <w:bCs/>
                <w:color w:val="000000"/>
                <w:sz w:val="20"/>
              </w:rPr>
              <w:t>90,5</w:t>
            </w:r>
          </w:p>
        </w:tc>
        <w:tc>
          <w:tcPr>
            <w:tcW w:w="569" w:type="dxa"/>
            <w:tcBorders>
              <w:top w:val="single" w:sz="4" w:space="0" w:color="auto"/>
              <w:left w:val="nil"/>
              <w:bottom w:val="single" w:sz="4" w:space="0" w:color="auto"/>
              <w:right w:val="nil"/>
            </w:tcBorders>
            <w:shd w:val="clear" w:color="000000" w:fill="FFFFFF"/>
            <w:vAlign w:val="center"/>
            <w:hideMark/>
          </w:tcPr>
          <w:p w14:paraId="0FB2AFE9" w14:textId="3FC05D77" w:rsidR="00BA7250" w:rsidRPr="00893C52" w:rsidRDefault="00BA7250" w:rsidP="00BA7250">
            <w:pPr>
              <w:spacing w:after="0" w:line="240" w:lineRule="auto"/>
              <w:jc w:val="center"/>
              <w:rPr>
                <w:rFonts w:eastAsia="Times New Roman" w:cs="Times New Roman"/>
                <w:b/>
                <w:bCs/>
                <w:color w:val="000000"/>
                <w:sz w:val="20"/>
                <w:lang w:eastAsia="sk-SK"/>
              </w:rPr>
            </w:pPr>
          </w:p>
        </w:tc>
        <w:tc>
          <w:tcPr>
            <w:tcW w:w="1273" w:type="dxa"/>
            <w:tcBorders>
              <w:top w:val="single" w:sz="4" w:space="0" w:color="auto"/>
              <w:left w:val="nil"/>
              <w:bottom w:val="single" w:sz="4" w:space="0" w:color="auto"/>
              <w:right w:val="nil"/>
            </w:tcBorders>
            <w:shd w:val="clear" w:color="000000" w:fill="FFFFFF"/>
            <w:vAlign w:val="center"/>
            <w:hideMark/>
          </w:tcPr>
          <w:p w14:paraId="55132AE6" w14:textId="77777777" w:rsidR="00BA7250" w:rsidRPr="00893C52" w:rsidRDefault="00BA7250" w:rsidP="00BA7250">
            <w:pPr>
              <w:spacing w:after="0" w:line="240" w:lineRule="auto"/>
              <w:rPr>
                <w:rFonts w:eastAsia="Times New Roman" w:cs="Times New Roman"/>
                <w:b/>
                <w:bCs/>
                <w:color w:val="000000"/>
                <w:sz w:val="20"/>
                <w:lang w:eastAsia="sk-SK"/>
              </w:rPr>
            </w:pPr>
            <w:r w:rsidRPr="00893C52">
              <w:rPr>
                <w:rFonts w:eastAsia="Times New Roman" w:cs="Times New Roman"/>
                <w:b/>
                <w:bCs/>
                <w:color w:val="000000"/>
                <w:sz w:val="20"/>
                <w:lang w:eastAsia="sk-SK"/>
              </w:rPr>
              <w:t> </w:t>
            </w:r>
          </w:p>
        </w:tc>
      </w:tr>
      <w:tr w:rsidR="00BA7250" w:rsidRPr="00893C52" w14:paraId="0F375B2B" w14:textId="77777777" w:rsidTr="00F322D1">
        <w:trPr>
          <w:trHeight w:val="238"/>
        </w:trPr>
        <w:tc>
          <w:tcPr>
            <w:tcW w:w="324" w:type="dxa"/>
            <w:tcBorders>
              <w:top w:val="nil"/>
              <w:left w:val="nil"/>
              <w:bottom w:val="dotted" w:sz="4" w:space="0" w:color="auto"/>
              <w:right w:val="nil"/>
            </w:tcBorders>
            <w:shd w:val="clear" w:color="000000" w:fill="FFFFFF"/>
            <w:vAlign w:val="center"/>
            <w:hideMark/>
          </w:tcPr>
          <w:p w14:paraId="4D76AC4A" w14:textId="4ED2EF4E" w:rsidR="00BA7250" w:rsidRPr="00893C52" w:rsidRDefault="00BA7250" w:rsidP="00BA7250">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6</w:t>
            </w:r>
          </w:p>
        </w:tc>
        <w:tc>
          <w:tcPr>
            <w:tcW w:w="4857" w:type="dxa"/>
            <w:tcBorders>
              <w:top w:val="nil"/>
              <w:left w:val="nil"/>
              <w:bottom w:val="dotted" w:sz="4" w:space="0" w:color="auto"/>
              <w:right w:val="nil"/>
            </w:tcBorders>
            <w:shd w:val="clear" w:color="000000" w:fill="FFFFFF"/>
            <w:vAlign w:val="center"/>
            <w:hideMark/>
          </w:tcPr>
          <w:p w14:paraId="5CBC6860" w14:textId="20629965" w:rsidR="00BA7250" w:rsidRPr="00893C52" w:rsidRDefault="00BA7250" w:rsidP="00452DBC">
            <w:pPr>
              <w:spacing w:after="0" w:line="240" w:lineRule="auto"/>
              <w:jc w:val="left"/>
              <w:rPr>
                <w:rFonts w:eastAsia="Times New Roman" w:cs="Times New Roman"/>
                <w:color w:val="000000"/>
                <w:sz w:val="20"/>
                <w:lang w:eastAsia="sk-SK"/>
              </w:rPr>
            </w:pPr>
            <w:r>
              <w:rPr>
                <w:rFonts w:eastAsia="Times New Roman" w:cs="Times New Roman"/>
                <w:color w:val="000000"/>
                <w:sz w:val="20"/>
                <w:lang w:eastAsia="sk-SK"/>
              </w:rPr>
              <w:t>Posilniť r</w:t>
            </w:r>
            <w:r w:rsidRPr="00893C52">
              <w:rPr>
                <w:rFonts w:eastAsia="Times New Roman" w:cs="Times New Roman"/>
                <w:color w:val="000000"/>
                <w:sz w:val="20"/>
                <w:lang w:eastAsia="sk-SK"/>
              </w:rPr>
              <w:t>ozvoj personálnych kapacít pre inklúziu v ZŠ a SŠ</w:t>
            </w:r>
          </w:p>
        </w:tc>
        <w:tc>
          <w:tcPr>
            <w:tcW w:w="1053" w:type="dxa"/>
            <w:tcBorders>
              <w:top w:val="nil"/>
              <w:left w:val="nil"/>
              <w:bottom w:val="dotted" w:sz="4" w:space="0" w:color="auto"/>
              <w:right w:val="nil"/>
            </w:tcBorders>
            <w:shd w:val="clear" w:color="000000" w:fill="FFFFFF"/>
            <w:vAlign w:val="center"/>
            <w:hideMark/>
          </w:tcPr>
          <w:p w14:paraId="42FD0E61" w14:textId="762CBCE8" w:rsidR="00BA7250" w:rsidRPr="00893C52" w:rsidRDefault="00BA7250" w:rsidP="00BA7250">
            <w:pPr>
              <w:spacing w:after="0" w:line="240" w:lineRule="auto"/>
              <w:jc w:val="center"/>
              <w:rPr>
                <w:rFonts w:eastAsia="Times New Roman" w:cs="Times New Roman"/>
                <w:color w:val="000000"/>
                <w:sz w:val="20"/>
                <w:lang w:eastAsia="sk-SK"/>
              </w:rPr>
            </w:pPr>
            <w:r>
              <w:rPr>
                <w:color w:val="000000"/>
                <w:sz w:val="20"/>
              </w:rPr>
              <w:t>8,6</w:t>
            </w:r>
          </w:p>
        </w:tc>
        <w:tc>
          <w:tcPr>
            <w:tcW w:w="996" w:type="dxa"/>
            <w:tcBorders>
              <w:top w:val="nil"/>
              <w:left w:val="nil"/>
              <w:bottom w:val="dotted" w:sz="4" w:space="0" w:color="auto"/>
              <w:right w:val="nil"/>
            </w:tcBorders>
            <w:shd w:val="clear" w:color="000000" w:fill="FFFFFF"/>
            <w:vAlign w:val="center"/>
            <w:hideMark/>
          </w:tcPr>
          <w:p w14:paraId="011D8179" w14:textId="23809932" w:rsidR="00BA7250" w:rsidRPr="00893C52" w:rsidRDefault="00BA7250" w:rsidP="00BA7250">
            <w:pPr>
              <w:spacing w:after="0" w:line="240" w:lineRule="auto"/>
              <w:jc w:val="center"/>
              <w:rPr>
                <w:rFonts w:eastAsia="Times New Roman" w:cs="Times New Roman"/>
                <w:color w:val="000000"/>
                <w:sz w:val="20"/>
                <w:lang w:eastAsia="sk-SK"/>
              </w:rPr>
            </w:pPr>
            <w:r>
              <w:rPr>
                <w:color w:val="000000"/>
                <w:sz w:val="20"/>
              </w:rPr>
              <w:t>74,7</w:t>
            </w:r>
          </w:p>
        </w:tc>
        <w:tc>
          <w:tcPr>
            <w:tcW w:w="569" w:type="dxa"/>
            <w:tcBorders>
              <w:top w:val="nil"/>
              <w:left w:val="nil"/>
              <w:bottom w:val="dotted" w:sz="4" w:space="0" w:color="auto"/>
              <w:right w:val="nil"/>
            </w:tcBorders>
            <w:shd w:val="clear" w:color="000000" w:fill="FFFFFF"/>
            <w:vAlign w:val="center"/>
            <w:hideMark/>
          </w:tcPr>
          <w:p w14:paraId="63FCB773" w14:textId="7E76321A" w:rsidR="00BA7250" w:rsidRPr="00893C52" w:rsidRDefault="00BA7250" w:rsidP="00BA7250">
            <w:pPr>
              <w:spacing w:after="0" w:line="240" w:lineRule="auto"/>
              <w:jc w:val="center"/>
              <w:rPr>
                <w:rFonts w:eastAsia="Times New Roman" w:cs="Times New Roman"/>
                <w:color w:val="000000"/>
                <w:sz w:val="20"/>
                <w:lang w:eastAsia="sk-SK"/>
              </w:rPr>
            </w:pPr>
            <w:r>
              <w:rPr>
                <w:rFonts w:cs="Calibri"/>
                <w:color w:val="000000"/>
                <w:sz w:val="20"/>
              </w:rPr>
              <w:t>10</w:t>
            </w:r>
          </w:p>
        </w:tc>
        <w:tc>
          <w:tcPr>
            <w:tcW w:w="1273" w:type="dxa"/>
            <w:tcBorders>
              <w:top w:val="nil"/>
              <w:left w:val="nil"/>
              <w:bottom w:val="dotted" w:sz="4" w:space="0" w:color="auto"/>
              <w:right w:val="nil"/>
            </w:tcBorders>
            <w:shd w:val="clear" w:color="000000" w:fill="FFFFFF"/>
            <w:vAlign w:val="center"/>
            <w:hideMark/>
          </w:tcPr>
          <w:p w14:paraId="7116B554" w14:textId="77777777" w:rsidR="00BA7250" w:rsidRPr="00893C52" w:rsidRDefault="00BA7250" w:rsidP="00BA7250">
            <w:pPr>
              <w:spacing w:after="0" w:line="240" w:lineRule="auto"/>
              <w:rPr>
                <w:rFonts w:eastAsia="Times New Roman" w:cs="Times New Roman"/>
                <w:color w:val="000000"/>
                <w:sz w:val="20"/>
                <w:lang w:eastAsia="sk-SK"/>
              </w:rPr>
            </w:pPr>
            <w:r w:rsidRPr="00893C52">
              <w:rPr>
                <w:rFonts w:eastAsia="Times New Roman" w:cs="Times New Roman"/>
                <w:color w:val="000000"/>
                <w:sz w:val="20"/>
                <w:lang w:eastAsia="sk-SK"/>
              </w:rPr>
              <w:t>MŠVVaŠ</w:t>
            </w:r>
          </w:p>
        </w:tc>
      </w:tr>
      <w:tr w:rsidR="00BA7250" w:rsidRPr="00893C52" w14:paraId="7CBE4A64" w14:textId="77777777" w:rsidTr="00F322D1">
        <w:trPr>
          <w:trHeight w:val="238"/>
        </w:trPr>
        <w:tc>
          <w:tcPr>
            <w:tcW w:w="324" w:type="dxa"/>
            <w:tcBorders>
              <w:top w:val="nil"/>
              <w:left w:val="nil"/>
              <w:bottom w:val="dotted" w:sz="4" w:space="0" w:color="auto"/>
              <w:right w:val="nil"/>
            </w:tcBorders>
            <w:shd w:val="clear" w:color="000000" w:fill="FFFFFF"/>
            <w:vAlign w:val="center"/>
            <w:hideMark/>
          </w:tcPr>
          <w:p w14:paraId="59B139A4" w14:textId="05FA9F7D" w:rsidR="00BA7250" w:rsidRPr="00893C52" w:rsidRDefault="00BA7250" w:rsidP="00BA7250">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7</w:t>
            </w:r>
          </w:p>
        </w:tc>
        <w:tc>
          <w:tcPr>
            <w:tcW w:w="4857" w:type="dxa"/>
            <w:tcBorders>
              <w:top w:val="nil"/>
              <w:left w:val="nil"/>
              <w:bottom w:val="dotted" w:sz="4" w:space="0" w:color="auto"/>
              <w:right w:val="nil"/>
            </w:tcBorders>
            <w:shd w:val="clear" w:color="000000" w:fill="FFFFFF"/>
            <w:vAlign w:val="center"/>
            <w:hideMark/>
          </w:tcPr>
          <w:p w14:paraId="7EFD2B2E" w14:textId="7446F7CE" w:rsidR="00BA7250" w:rsidRPr="00893C52" w:rsidRDefault="00BA7250" w:rsidP="00452DBC">
            <w:pPr>
              <w:spacing w:after="0" w:line="240" w:lineRule="auto"/>
              <w:jc w:val="left"/>
              <w:rPr>
                <w:rFonts w:eastAsia="Times New Roman" w:cs="Times New Roman"/>
                <w:color w:val="000000"/>
                <w:sz w:val="20"/>
                <w:lang w:eastAsia="sk-SK"/>
              </w:rPr>
            </w:pPr>
            <w:r>
              <w:rPr>
                <w:rFonts w:eastAsia="Times New Roman" w:cs="Times New Roman"/>
                <w:color w:val="000000"/>
                <w:sz w:val="20"/>
                <w:lang w:eastAsia="sk-SK"/>
              </w:rPr>
              <w:t xml:space="preserve">Posilniť podporu </w:t>
            </w:r>
            <w:r w:rsidRPr="00893C52">
              <w:rPr>
                <w:rFonts w:eastAsia="Times New Roman" w:cs="Times New Roman"/>
                <w:color w:val="000000"/>
                <w:sz w:val="20"/>
                <w:lang w:eastAsia="sk-SK"/>
              </w:rPr>
              <w:t>žiakov</w:t>
            </w:r>
            <w:r>
              <w:rPr>
                <w:rFonts w:eastAsia="Times New Roman" w:cs="Times New Roman"/>
                <w:color w:val="000000"/>
                <w:sz w:val="20"/>
                <w:lang w:eastAsia="sk-SK"/>
              </w:rPr>
              <w:t xml:space="preserve"> zo SZP vo vzdelávacom procese</w:t>
            </w:r>
          </w:p>
        </w:tc>
        <w:tc>
          <w:tcPr>
            <w:tcW w:w="1053" w:type="dxa"/>
            <w:tcBorders>
              <w:top w:val="nil"/>
              <w:left w:val="nil"/>
              <w:bottom w:val="dotted" w:sz="4" w:space="0" w:color="auto"/>
              <w:right w:val="nil"/>
            </w:tcBorders>
            <w:shd w:val="clear" w:color="000000" w:fill="FFFFFF"/>
            <w:vAlign w:val="center"/>
            <w:hideMark/>
          </w:tcPr>
          <w:p w14:paraId="516E8569" w14:textId="6CF581F9" w:rsidR="00BA7250" w:rsidRPr="00893C52" w:rsidRDefault="00BA7250" w:rsidP="00BA7250">
            <w:pPr>
              <w:spacing w:after="0" w:line="240" w:lineRule="auto"/>
              <w:jc w:val="center"/>
              <w:rPr>
                <w:rFonts w:eastAsia="Times New Roman" w:cs="Times New Roman"/>
                <w:color w:val="000000"/>
                <w:sz w:val="20"/>
                <w:lang w:eastAsia="sk-SK"/>
              </w:rPr>
            </w:pPr>
            <w:r>
              <w:rPr>
                <w:color w:val="000000"/>
                <w:sz w:val="20"/>
              </w:rPr>
              <w:t>4,2</w:t>
            </w:r>
          </w:p>
        </w:tc>
        <w:tc>
          <w:tcPr>
            <w:tcW w:w="996" w:type="dxa"/>
            <w:tcBorders>
              <w:top w:val="nil"/>
              <w:left w:val="nil"/>
              <w:bottom w:val="dotted" w:sz="4" w:space="0" w:color="auto"/>
              <w:right w:val="nil"/>
            </w:tcBorders>
            <w:shd w:val="clear" w:color="000000" w:fill="FFFFFF"/>
            <w:vAlign w:val="center"/>
            <w:hideMark/>
          </w:tcPr>
          <w:p w14:paraId="1800F72C" w14:textId="00A59A36" w:rsidR="00BA7250" w:rsidRPr="00893C52" w:rsidRDefault="00BA7250" w:rsidP="00BA7250">
            <w:pPr>
              <w:spacing w:after="0" w:line="240" w:lineRule="auto"/>
              <w:jc w:val="center"/>
              <w:rPr>
                <w:rFonts w:eastAsia="Times New Roman" w:cs="Times New Roman"/>
                <w:color w:val="000000"/>
                <w:sz w:val="20"/>
                <w:lang w:eastAsia="sk-SK"/>
              </w:rPr>
            </w:pPr>
            <w:r>
              <w:rPr>
                <w:color w:val="000000"/>
                <w:sz w:val="20"/>
              </w:rPr>
              <w:t>4,2</w:t>
            </w:r>
          </w:p>
        </w:tc>
        <w:tc>
          <w:tcPr>
            <w:tcW w:w="569" w:type="dxa"/>
            <w:tcBorders>
              <w:top w:val="nil"/>
              <w:left w:val="nil"/>
              <w:bottom w:val="dotted" w:sz="4" w:space="0" w:color="auto"/>
              <w:right w:val="nil"/>
            </w:tcBorders>
            <w:shd w:val="clear" w:color="000000" w:fill="FFFFFF"/>
            <w:vAlign w:val="center"/>
            <w:hideMark/>
          </w:tcPr>
          <w:p w14:paraId="78170748" w14:textId="56FB7D4F" w:rsidR="00BA7250" w:rsidRPr="00893C52" w:rsidRDefault="00BA7250" w:rsidP="00BA7250">
            <w:pPr>
              <w:spacing w:after="0" w:line="240" w:lineRule="auto"/>
              <w:jc w:val="center"/>
              <w:rPr>
                <w:rFonts w:eastAsia="Times New Roman" w:cs="Times New Roman"/>
                <w:color w:val="000000"/>
                <w:sz w:val="20"/>
                <w:lang w:eastAsia="sk-SK"/>
              </w:rPr>
            </w:pPr>
            <w:r>
              <w:rPr>
                <w:rFonts w:cs="Calibri"/>
                <w:color w:val="000000"/>
                <w:sz w:val="20"/>
              </w:rPr>
              <w:t>1</w:t>
            </w:r>
          </w:p>
        </w:tc>
        <w:tc>
          <w:tcPr>
            <w:tcW w:w="1273" w:type="dxa"/>
            <w:tcBorders>
              <w:top w:val="nil"/>
              <w:left w:val="nil"/>
              <w:bottom w:val="dotted" w:sz="4" w:space="0" w:color="auto"/>
              <w:right w:val="nil"/>
            </w:tcBorders>
            <w:shd w:val="clear" w:color="000000" w:fill="FFFFFF"/>
            <w:vAlign w:val="center"/>
            <w:hideMark/>
          </w:tcPr>
          <w:p w14:paraId="267F4D1E" w14:textId="77777777" w:rsidR="00BA7250" w:rsidRPr="00893C52" w:rsidRDefault="00BA7250" w:rsidP="00BA7250">
            <w:pPr>
              <w:spacing w:after="0" w:line="240" w:lineRule="auto"/>
              <w:rPr>
                <w:rFonts w:eastAsia="Times New Roman" w:cs="Times New Roman"/>
                <w:color w:val="000000"/>
                <w:sz w:val="20"/>
                <w:lang w:eastAsia="sk-SK"/>
              </w:rPr>
            </w:pPr>
            <w:r w:rsidRPr="00893C52">
              <w:rPr>
                <w:rFonts w:eastAsia="Times New Roman" w:cs="Times New Roman"/>
                <w:color w:val="000000"/>
                <w:sz w:val="20"/>
                <w:lang w:eastAsia="sk-SK"/>
              </w:rPr>
              <w:t>MŠVVaŠ</w:t>
            </w:r>
          </w:p>
        </w:tc>
      </w:tr>
      <w:tr w:rsidR="00BA7250" w:rsidRPr="00893C52" w14:paraId="268C6C57" w14:textId="77777777" w:rsidTr="00F322D1">
        <w:trPr>
          <w:trHeight w:val="238"/>
        </w:trPr>
        <w:tc>
          <w:tcPr>
            <w:tcW w:w="324" w:type="dxa"/>
            <w:tcBorders>
              <w:top w:val="nil"/>
              <w:left w:val="nil"/>
              <w:bottom w:val="dotted" w:sz="4" w:space="0" w:color="auto"/>
              <w:right w:val="nil"/>
            </w:tcBorders>
            <w:shd w:val="clear" w:color="000000" w:fill="FFFFFF"/>
            <w:vAlign w:val="center"/>
            <w:hideMark/>
          </w:tcPr>
          <w:p w14:paraId="2B38DE02" w14:textId="7C288B56" w:rsidR="00BA7250" w:rsidRPr="00893C52" w:rsidRDefault="00BA7250" w:rsidP="00BA7250">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8</w:t>
            </w:r>
          </w:p>
        </w:tc>
        <w:tc>
          <w:tcPr>
            <w:tcW w:w="4857" w:type="dxa"/>
            <w:tcBorders>
              <w:top w:val="nil"/>
              <w:left w:val="nil"/>
              <w:bottom w:val="dotted" w:sz="4" w:space="0" w:color="auto"/>
              <w:right w:val="nil"/>
            </w:tcBorders>
            <w:shd w:val="clear" w:color="000000" w:fill="FFFFFF"/>
            <w:vAlign w:val="center"/>
            <w:hideMark/>
          </w:tcPr>
          <w:p w14:paraId="3FA9B9FC" w14:textId="35C0DC87" w:rsidR="00BA7250" w:rsidRPr="00893C52" w:rsidRDefault="00BA7250" w:rsidP="00452DBC">
            <w:pPr>
              <w:spacing w:after="0" w:line="240" w:lineRule="auto"/>
              <w:jc w:val="left"/>
              <w:rPr>
                <w:rFonts w:eastAsia="Times New Roman" w:cs="Times New Roman"/>
                <w:color w:val="000000"/>
                <w:sz w:val="20"/>
                <w:lang w:eastAsia="sk-SK"/>
              </w:rPr>
            </w:pPr>
            <w:r>
              <w:rPr>
                <w:rFonts w:eastAsia="Times New Roman" w:cs="Times New Roman"/>
                <w:color w:val="000000"/>
                <w:sz w:val="20"/>
                <w:lang w:eastAsia="sk-SK"/>
              </w:rPr>
              <w:t>Rozšíriť ponuku v</w:t>
            </w:r>
            <w:r w:rsidRPr="00893C52">
              <w:rPr>
                <w:rFonts w:eastAsia="Times New Roman" w:cs="Times New Roman"/>
                <w:color w:val="000000"/>
                <w:sz w:val="20"/>
                <w:lang w:eastAsia="sk-SK"/>
              </w:rPr>
              <w:t>zdelávani</w:t>
            </w:r>
            <w:r>
              <w:rPr>
                <w:rFonts w:eastAsia="Times New Roman" w:cs="Times New Roman"/>
                <w:color w:val="000000"/>
                <w:sz w:val="20"/>
                <w:lang w:eastAsia="sk-SK"/>
              </w:rPr>
              <w:t>a</w:t>
            </w:r>
            <w:r w:rsidRPr="00893C52">
              <w:rPr>
                <w:rFonts w:eastAsia="Times New Roman" w:cs="Times New Roman"/>
                <w:color w:val="000000"/>
                <w:sz w:val="20"/>
                <w:lang w:eastAsia="sk-SK"/>
              </w:rPr>
              <w:t xml:space="preserve"> učiteľov v ZŠ </w:t>
            </w:r>
            <w:r>
              <w:rPr>
                <w:rFonts w:eastAsia="Times New Roman" w:cs="Times New Roman"/>
                <w:color w:val="000000"/>
                <w:sz w:val="20"/>
                <w:lang w:eastAsia="sk-SK"/>
              </w:rPr>
              <w:t xml:space="preserve">a iných aktérov </w:t>
            </w:r>
            <w:r w:rsidRPr="00893C52">
              <w:rPr>
                <w:rFonts w:eastAsia="Times New Roman" w:cs="Times New Roman"/>
                <w:color w:val="000000"/>
                <w:sz w:val="20"/>
                <w:lang w:eastAsia="sk-SK"/>
              </w:rPr>
              <w:t>pre prácu so znevýhodnenými žiakmi</w:t>
            </w:r>
          </w:p>
        </w:tc>
        <w:tc>
          <w:tcPr>
            <w:tcW w:w="1053" w:type="dxa"/>
            <w:tcBorders>
              <w:top w:val="nil"/>
              <w:left w:val="nil"/>
              <w:bottom w:val="dotted" w:sz="4" w:space="0" w:color="auto"/>
              <w:right w:val="nil"/>
            </w:tcBorders>
            <w:shd w:val="clear" w:color="000000" w:fill="FFFFFF"/>
            <w:vAlign w:val="center"/>
            <w:hideMark/>
          </w:tcPr>
          <w:p w14:paraId="6D50C86B" w14:textId="3297B1F8" w:rsidR="00BA7250" w:rsidRPr="00893C52" w:rsidRDefault="00BA7250" w:rsidP="00BA7250">
            <w:pPr>
              <w:spacing w:after="0" w:line="240" w:lineRule="auto"/>
              <w:jc w:val="center"/>
              <w:rPr>
                <w:rFonts w:eastAsia="Times New Roman" w:cs="Times New Roman"/>
                <w:color w:val="000000"/>
                <w:sz w:val="20"/>
                <w:lang w:eastAsia="sk-SK"/>
              </w:rPr>
            </w:pPr>
            <w:r>
              <w:rPr>
                <w:color w:val="000000"/>
                <w:sz w:val="20"/>
              </w:rPr>
              <w:t>2,5</w:t>
            </w:r>
          </w:p>
        </w:tc>
        <w:tc>
          <w:tcPr>
            <w:tcW w:w="996" w:type="dxa"/>
            <w:tcBorders>
              <w:top w:val="nil"/>
              <w:left w:val="nil"/>
              <w:bottom w:val="dotted" w:sz="4" w:space="0" w:color="auto"/>
              <w:right w:val="nil"/>
            </w:tcBorders>
            <w:shd w:val="clear" w:color="000000" w:fill="FFFFFF"/>
            <w:vAlign w:val="center"/>
            <w:hideMark/>
          </w:tcPr>
          <w:p w14:paraId="4F25A2D6" w14:textId="2F35AB41" w:rsidR="00BA7250" w:rsidRPr="00893C52" w:rsidRDefault="00BA7250" w:rsidP="00BA7250">
            <w:pPr>
              <w:spacing w:after="0" w:line="240" w:lineRule="auto"/>
              <w:jc w:val="center"/>
              <w:rPr>
                <w:rFonts w:eastAsia="Times New Roman" w:cs="Times New Roman"/>
                <w:color w:val="000000"/>
                <w:sz w:val="20"/>
                <w:lang w:eastAsia="sk-SK"/>
              </w:rPr>
            </w:pPr>
            <w:r>
              <w:rPr>
                <w:color w:val="000000"/>
                <w:sz w:val="20"/>
              </w:rPr>
              <w:t>7,6</w:t>
            </w:r>
          </w:p>
        </w:tc>
        <w:tc>
          <w:tcPr>
            <w:tcW w:w="569" w:type="dxa"/>
            <w:tcBorders>
              <w:top w:val="nil"/>
              <w:left w:val="nil"/>
              <w:bottom w:val="dotted" w:sz="4" w:space="0" w:color="auto"/>
              <w:right w:val="nil"/>
            </w:tcBorders>
            <w:shd w:val="clear" w:color="000000" w:fill="FFFFFF"/>
            <w:vAlign w:val="center"/>
            <w:hideMark/>
          </w:tcPr>
          <w:p w14:paraId="71E4D038" w14:textId="402EE623" w:rsidR="00BA7250" w:rsidRPr="00893C52" w:rsidRDefault="00BA7250" w:rsidP="00BA7250">
            <w:pPr>
              <w:spacing w:after="0" w:line="240" w:lineRule="auto"/>
              <w:jc w:val="center"/>
              <w:rPr>
                <w:rFonts w:eastAsia="Times New Roman" w:cs="Times New Roman"/>
                <w:color w:val="000000"/>
                <w:sz w:val="20"/>
                <w:lang w:eastAsia="sk-SK"/>
              </w:rPr>
            </w:pPr>
            <w:r>
              <w:rPr>
                <w:rFonts w:cs="Calibri"/>
                <w:color w:val="000000"/>
                <w:sz w:val="20"/>
              </w:rPr>
              <w:t>3</w:t>
            </w:r>
          </w:p>
        </w:tc>
        <w:tc>
          <w:tcPr>
            <w:tcW w:w="1273" w:type="dxa"/>
            <w:tcBorders>
              <w:top w:val="nil"/>
              <w:left w:val="nil"/>
              <w:bottom w:val="dotted" w:sz="4" w:space="0" w:color="auto"/>
              <w:right w:val="nil"/>
            </w:tcBorders>
            <w:shd w:val="clear" w:color="000000" w:fill="FFFFFF"/>
            <w:vAlign w:val="center"/>
            <w:hideMark/>
          </w:tcPr>
          <w:p w14:paraId="7214E46F" w14:textId="77777777" w:rsidR="00BA7250" w:rsidRPr="00893C52" w:rsidRDefault="00BA7250" w:rsidP="00BA7250">
            <w:pPr>
              <w:spacing w:after="0" w:line="240" w:lineRule="auto"/>
              <w:rPr>
                <w:rFonts w:eastAsia="Times New Roman" w:cs="Times New Roman"/>
                <w:color w:val="000000"/>
                <w:sz w:val="20"/>
                <w:lang w:eastAsia="sk-SK"/>
              </w:rPr>
            </w:pPr>
            <w:r w:rsidRPr="00893C52">
              <w:rPr>
                <w:rFonts w:eastAsia="Times New Roman" w:cs="Times New Roman"/>
                <w:color w:val="000000"/>
                <w:sz w:val="20"/>
                <w:lang w:eastAsia="sk-SK"/>
              </w:rPr>
              <w:t>MŠVVaŠ</w:t>
            </w:r>
          </w:p>
        </w:tc>
      </w:tr>
      <w:tr w:rsidR="00B85177" w:rsidRPr="00893C52" w14:paraId="668C20D4" w14:textId="77777777" w:rsidTr="00F322D1">
        <w:trPr>
          <w:trHeight w:val="238"/>
        </w:trPr>
        <w:tc>
          <w:tcPr>
            <w:tcW w:w="324" w:type="dxa"/>
            <w:tcBorders>
              <w:top w:val="nil"/>
              <w:left w:val="nil"/>
              <w:bottom w:val="dotted" w:sz="4" w:space="0" w:color="auto"/>
              <w:right w:val="nil"/>
            </w:tcBorders>
            <w:shd w:val="clear" w:color="000000" w:fill="FFFFFF"/>
            <w:vAlign w:val="center"/>
          </w:tcPr>
          <w:p w14:paraId="7424FC60" w14:textId="6BF8F228" w:rsidR="00B85177" w:rsidRDefault="00B85177" w:rsidP="00B85177">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9</w:t>
            </w:r>
          </w:p>
        </w:tc>
        <w:tc>
          <w:tcPr>
            <w:tcW w:w="4857" w:type="dxa"/>
            <w:tcBorders>
              <w:top w:val="nil"/>
              <w:left w:val="nil"/>
              <w:bottom w:val="dotted" w:sz="4" w:space="0" w:color="auto"/>
              <w:right w:val="nil"/>
            </w:tcBorders>
            <w:shd w:val="clear" w:color="000000" w:fill="FFFFFF"/>
            <w:vAlign w:val="center"/>
          </w:tcPr>
          <w:p w14:paraId="49F2E69C" w14:textId="714D35F9" w:rsidR="00B85177" w:rsidRPr="00590AE7" w:rsidRDefault="00B85177" w:rsidP="00B85177">
            <w:pPr>
              <w:spacing w:after="0" w:line="240" w:lineRule="auto"/>
              <w:jc w:val="left"/>
              <w:rPr>
                <w:rFonts w:eastAsia="Times New Roman" w:cs="Times New Roman"/>
                <w:color w:val="000000"/>
                <w:sz w:val="20"/>
                <w:lang w:eastAsia="sk-SK"/>
              </w:rPr>
            </w:pPr>
            <w:r>
              <w:rPr>
                <w:bCs/>
                <w:sz w:val="20"/>
              </w:rPr>
              <w:t xml:space="preserve">Zaviesť flexibilný </w:t>
            </w:r>
            <w:r w:rsidRPr="00590AE7">
              <w:rPr>
                <w:bCs/>
                <w:sz w:val="20"/>
              </w:rPr>
              <w:t xml:space="preserve">normatív pre </w:t>
            </w:r>
            <w:r>
              <w:rPr>
                <w:bCs/>
                <w:sz w:val="20"/>
              </w:rPr>
              <w:t xml:space="preserve">druhošancové </w:t>
            </w:r>
            <w:r w:rsidRPr="00590AE7">
              <w:rPr>
                <w:bCs/>
                <w:sz w:val="20"/>
              </w:rPr>
              <w:t>vzdelávani</w:t>
            </w:r>
            <w:r>
              <w:rPr>
                <w:bCs/>
                <w:sz w:val="20"/>
              </w:rPr>
              <w:t>e</w:t>
            </w:r>
          </w:p>
        </w:tc>
        <w:tc>
          <w:tcPr>
            <w:tcW w:w="1053" w:type="dxa"/>
            <w:tcBorders>
              <w:top w:val="nil"/>
              <w:left w:val="nil"/>
              <w:bottom w:val="dotted" w:sz="4" w:space="0" w:color="auto"/>
              <w:right w:val="nil"/>
            </w:tcBorders>
            <w:shd w:val="clear" w:color="000000" w:fill="FFFFFF"/>
            <w:vAlign w:val="center"/>
          </w:tcPr>
          <w:p w14:paraId="0685D2B4" w14:textId="729B7CA5" w:rsidR="00B85177" w:rsidRPr="00893C52" w:rsidRDefault="00DC4284" w:rsidP="00B85177">
            <w:pPr>
              <w:spacing w:after="0" w:line="240" w:lineRule="auto"/>
              <w:jc w:val="center"/>
              <w:rPr>
                <w:rFonts w:eastAsia="Times New Roman" w:cs="Times New Roman"/>
                <w:color w:val="000000"/>
                <w:sz w:val="20"/>
                <w:lang w:eastAsia="sk-SK"/>
              </w:rPr>
            </w:pPr>
            <w:r>
              <w:rPr>
                <w:color w:val="000000"/>
                <w:sz w:val="20"/>
              </w:rPr>
              <w:t>0,8</w:t>
            </w:r>
          </w:p>
        </w:tc>
        <w:tc>
          <w:tcPr>
            <w:tcW w:w="996" w:type="dxa"/>
            <w:tcBorders>
              <w:top w:val="nil"/>
              <w:left w:val="nil"/>
              <w:bottom w:val="dotted" w:sz="4" w:space="0" w:color="auto"/>
              <w:right w:val="nil"/>
            </w:tcBorders>
            <w:shd w:val="clear" w:color="000000" w:fill="FFFFFF"/>
            <w:vAlign w:val="center"/>
          </w:tcPr>
          <w:p w14:paraId="56F109AC" w14:textId="071BCAF0" w:rsidR="00B85177" w:rsidRPr="00893C52" w:rsidRDefault="00DC4284" w:rsidP="00B85177">
            <w:pPr>
              <w:spacing w:after="0" w:line="240" w:lineRule="auto"/>
              <w:jc w:val="center"/>
              <w:rPr>
                <w:rFonts w:eastAsia="Times New Roman" w:cs="Times New Roman"/>
                <w:color w:val="000000"/>
                <w:sz w:val="20"/>
                <w:lang w:eastAsia="sk-SK"/>
              </w:rPr>
            </w:pPr>
            <w:r>
              <w:rPr>
                <w:color w:val="000000"/>
                <w:sz w:val="20"/>
              </w:rPr>
              <w:t>0,8</w:t>
            </w:r>
          </w:p>
        </w:tc>
        <w:tc>
          <w:tcPr>
            <w:tcW w:w="569" w:type="dxa"/>
            <w:tcBorders>
              <w:top w:val="nil"/>
              <w:left w:val="nil"/>
              <w:bottom w:val="dotted" w:sz="4" w:space="0" w:color="auto"/>
              <w:right w:val="nil"/>
            </w:tcBorders>
            <w:shd w:val="clear" w:color="000000" w:fill="FFFFFF"/>
            <w:vAlign w:val="center"/>
          </w:tcPr>
          <w:p w14:paraId="780CF3DB" w14:textId="3ACC4D58" w:rsidR="00B85177" w:rsidRPr="00893C52" w:rsidRDefault="00B85177" w:rsidP="00B85177">
            <w:pPr>
              <w:spacing w:after="0" w:line="240" w:lineRule="auto"/>
              <w:jc w:val="center"/>
              <w:rPr>
                <w:rFonts w:eastAsia="Times New Roman" w:cs="Times New Roman"/>
                <w:color w:val="000000"/>
                <w:sz w:val="20"/>
                <w:lang w:eastAsia="sk-SK"/>
              </w:rPr>
            </w:pPr>
            <w:r>
              <w:rPr>
                <w:color w:val="000000"/>
                <w:sz w:val="20"/>
              </w:rPr>
              <w:t>1</w:t>
            </w:r>
          </w:p>
        </w:tc>
        <w:tc>
          <w:tcPr>
            <w:tcW w:w="1273" w:type="dxa"/>
            <w:tcBorders>
              <w:top w:val="nil"/>
              <w:left w:val="nil"/>
              <w:bottom w:val="dotted" w:sz="4" w:space="0" w:color="auto"/>
              <w:right w:val="nil"/>
            </w:tcBorders>
            <w:shd w:val="clear" w:color="000000" w:fill="FFFFFF"/>
            <w:vAlign w:val="center"/>
          </w:tcPr>
          <w:p w14:paraId="23F419BD" w14:textId="77777777" w:rsidR="00B85177" w:rsidRPr="00893C52" w:rsidRDefault="00B85177" w:rsidP="00B85177">
            <w:pPr>
              <w:spacing w:after="0" w:line="240" w:lineRule="auto"/>
              <w:rPr>
                <w:rFonts w:eastAsia="Times New Roman" w:cs="Times New Roman"/>
                <w:color w:val="000000"/>
                <w:sz w:val="20"/>
                <w:lang w:eastAsia="sk-SK"/>
              </w:rPr>
            </w:pPr>
            <w:r w:rsidRPr="00893C52">
              <w:rPr>
                <w:rFonts w:eastAsia="Times New Roman" w:cs="Times New Roman"/>
                <w:color w:val="000000"/>
                <w:sz w:val="20"/>
                <w:lang w:eastAsia="sk-SK"/>
              </w:rPr>
              <w:t>MŠVVaŠ</w:t>
            </w:r>
          </w:p>
        </w:tc>
      </w:tr>
      <w:tr w:rsidR="00BA7250" w:rsidRPr="00893C52" w14:paraId="74FB4A2C" w14:textId="77777777" w:rsidTr="00452DBC">
        <w:trPr>
          <w:trHeight w:val="238"/>
        </w:trPr>
        <w:tc>
          <w:tcPr>
            <w:tcW w:w="324" w:type="dxa"/>
            <w:tcBorders>
              <w:top w:val="nil"/>
              <w:left w:val="nil"/>
              <w:bottom w:val="dotted" w:sz="4" w:space="0" w:color="auto"/>
              <w:right w:val="nil"/>
            </w:tcBorders>
            <w:shd w:val="clear" w:color="000000" w:fill="FFFFFF"/>
            <w:vAlign w:val="center"/>
            <w:hideMark/>
          </w:tcPr>
          <w:p w14:paraId="28D4558F" w14:textId="6036F963" w:rsidR="00BA7250" w:rsidRPr="00893C52" w:rsidRDefault="00BA7250" w:rsidP="00BA7250">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10</w:t>
            </w:r>
          </w:p>
        </w:tc>
        <w:tc>
          <w:tcPr>
            <w:tcW w:w="4857" w:type="dxa"/>
            <w:tcBorders>
              <w:top w:val="nil"/>
              <w:left w:val="nil"/>
              <w:bottom w:val="dotted" w:sz="4" w:space="0" w:color="auto"/>
              <w:right w:val="nil"/>
            </w:tcBorders>
            <w:shd w:val="clear" w:color="000000" w:fill="FFFFFF"/>
            <w:vAlign w:val="center"/>
            <w:hideMark/>
          </w:tcPr>
          <w:p w14:paraId="74E3220B" w14:textId="1C7948DD" w:rsidR="00BA7250" w:rsidRPr="00893C52" w:rsidRDefault="00BA7250" w:rsidP="00452DBC">
            <w:pPr>
              <w:spacing w:after="0" w:line="240" w:lineRule="auto"/>
              <w:jc w:val="left"/>
              <w:rPr>
                <w:rFonts w:eastAsia="Times New Roman" w:cs="Times New Roman"/>
                <w:color w:val="000000"/>
                <w:sz w:val="20"/>
                <w:lang w:eastAsia="sk-SK"/>
              </w:rPr>
            </w:pPr>
            <w:r>
              <w:rPr>
                <w:rFonts w:eastAsia="Times New Roman" w:cs="Times New Roman"/>
                <w:color w:val="000000"/>
                <w:sz w:val="20"/>
                <w:lang w:eastAsia="sk-SK"/>
              </w:rPr>
              <w:t>Zvýšiť objem zdrojov na d</w:t>
            </w:r>
            <w:r w:rsidRPr="00893C52">
              <w:rPr>
                <w:rFonts w:eastAsia="Times New Roman" w:cs="Times New Roman"/>
                <w:color w:val="000000"/>
                <w:sz w:val="20"/>
                <w:lang w:eastAsia="sk-SK"/>
              </w:rPr>
              <w:t>ebarierizáci</w:t>
            </w:r>
            <w:r>
              <w:rPr>
                <w:rFonts w:eastAsia="Times New Roman" w:cs="Times New Roman"/>
                <w:color w:val="000000"/>
                <w:sz w:val="20"/>
                <w:lang w:eastAsia="sk-SK"/>
              </w:rPr>
              <w:t>u</w:t>
            </w:r>
            <w:r w:rsidRPr="00893C52">
              <w:rPr>
                <w:rFonts w:eastAsia="Times New Roman" w:cs="Times New Roman"/>
                <w:color w:val="000000"/>
                <w:sz w:val="20"/>
                <w:lang w:eastAsia="sk-SK"/>
              </w:rPr>
              <w:t xml:space="preserve"> </w:t>
            </w:r>
            <w:r>
              <w:rPr>
                <w:rFonts w:eastAsia="Times New Roman" w:cs="Times New Roman"/>
                <w:color w:val="000000"/>
                <w:sz w:val="20"/>
                <w:lang w:eastAsia="sk-SK"/>
              </w:rPr>
              <w:t>ZŠ a SŠ</w:t>
            </w:r>
          </w:p>
        </w:tc>
        <w:tc>
          <w:tcPr>
            <w:tcW w:w="1053" w:type="dxa"/>
            <w:tcBorders>
              <w:top w:val="nil"/>
              <w:left w:val="nil"/>
              <w:bottom w:val="dotted" w:sz="4" w:space="0" w:color="auto"/>
              <w:right w:val="nil"/>
            </w:tcBorders>
            <w:shd w:val="clear" w:color="000000" w:fill="FFFFFF"/>
            <w:vAlign w:val="center"/>
            <w:hideMark/>
          </w:tcPr>
          <w:p w14:paraId="489DEAB2" w14:textId="3DB860BF" w:rsidR="00BA7250" w:rsidRPr="00893C52" w:rsidRDefault="00BA7250" w:rsidP="00BA7250">
            <w:pPr>
              <w:spacing w:after="0" w:line="240" w:lineRule="auto"/>
              <w:jc w:val="center"/>
              <w:rPr>
                <w:rFonts w:eastAsia="Times New Roman" w:cs="Times New Roman"/>
                <w:color w:val="000000"/>
                <w:sz w:val="20"/>
                <w:lang w:eastAsia="sk-SK"/>
              </w:rPr>
            </w:pPr>
            <w:r>
              <w:rPr>
                <w:color w:val="000000"/>
                <w:sz w:val="20"/>
              </w:rPr>
              <w:t>0,2</w:t>
            </w:r>
          </w:p>
        </w:tc>
        <w:tc>
          <w:tcPr>
            <w:tcW w:w="996" w:type="dxa"/>
            <w:tcBorders>
              <w:top w:val="nil"/>
              <w:left w:val="nil"/>
              <w:bottom w:val="dotted" w:sz="4" w:space="0" w:color="auto"/>
              <w:right w:val="nil"/>
            </w:tcBorders>
            <w:shd w:val="clear" w:color="000000" w:fill="FFFFFF"/>
            <w:vAlign w:val="center"/>
            <w:hideMark/>
          </w:tcPr>
          <w:p w14:paraId="6D417B50" w14:textId="53729241" w:rsidR="00BA7250" w:rsidRPr="00893C52" w:rsidRDefault="00BA7250" w:rsidP="00BA7250">
            <w:pPr>
              <w:spacing w:after="0" w:line="240" w:lineRule="auto"/>
              <w:jc w:val="center"/>
              <w:rPr>
                <w:rFonts w:eastAsia="Times New Roman" w:cs="Times New Roman"/>
                <w:color w:val="000000"/>
                <w:sz w:val="20"/>
                <w:lang w:eastAsia="sk-SK"/>
              </w:rPr>
            </w:pPr>
            <w:r>
              <w:rPr>
                <w:color w:val="000000"/>
                <w:sz w:val="20"/>
              </w:rPr>
              <w:t>0,6</w:t>
            </w:r>
          </w:p>
        </w:tc>
        <w:tc>
          <w:tcPr>
            <w:tcW w:w="569" w:type="dxa"/>
            <w:tcBorders>
              <w:top w:val="nil"/>
              <w:left w:val="nil"/>
              <w:bottom w:val="dotted" w:sz="4" w:space="0" w:color="auto"/>
              <w:right w:val="nil"/>
            </w:tcBorders>
            <w:shd w:val="clear" w:color="000000" w:fill="FFFFFF"/>
            <w:vAlign w:val="center"/>
            <w:hideMark/>
          </w:tcPr>
          <w:p w14:paraId="0424A54D" w14:textId="5C56B2F9" w:rsidR="00BA7250" w:rsidRPr="00893C52" w:rsidRDefault="00BA7250" w:rsidP="00BA7250">
            <w:pPr>
              <w:spacing w:after="0" w:line="240" w:lineRule="auto"/>
              <w:jc w:val="center"/>
              <w:rPr>
                <w:rFonts w:eastAsia="Times New Roman" w:cs="Times New Roman"/>
                <w:color w:val="000000"/>
                <w:sz w:val="20"/>
                <w:lang w:eastAsia="sk-SK"/>
              </w:rPr>
            </w:pPr>
            <w:r>
              <w:rPr>
                <w:rFonts w:cs="Calibri"/>
                <w:color w:val="000000"/>
                <w:sz w:val="20"/>
              </w:rPr>
              <w:t>3</w:t>
            </w:r>
          </w:p>
        </w:tc>
        <w:tc>
          <w:tcPr>
            <w:tcW w:w="1273" w:type="dxa"/>
            <w:tcBorders>
              <w:top w:val="nil"/>
              <w:left w:val="nil"/>
              <w:bottom w:val="dotted" w:sz="4" w:space="0" w:color="auto"/>
              <w:right w:val="nil"/>
            </w:tcBorders>
            <w:shd w:val="clear" w:color="000000" w:fill="FFFFFF"/>
            <w:vAlign w:val="center"/>
            <w:hideMark/>
          </w:tcPr>
          <w:p w14:paraId="0CE62A8E" w14:textId="77777777" w:rsidR="00BA7250" w:rsidRPr="00893C52" w:rsidRDefault="00BA7250" w:rsidP="00BA7250">
            <w:pPr>
              <w:spacing w:after="0" w:line="240" w:lineRule="auto"/>
              <w:rPr>
                <w:rFonts w:eastAsia="Times New Roman" w:cs="Times New Roman"/>
                <w:color w:val="000000"/>
                <w:sz w:val="20"/>
                <w:lang w:eastAsia="sk-SK"/>
              </w:rPr>
            </w:pPr>
            <w:r w:rsidRPr="00893C52">
              <w:rPr>
                <w:rFonts w:eastAsia="Times New Roman" w:cs="Times New Roman"/>
                <w:color w:val="000000"/>
                <w:sz w:val="20"/>
                <w:lang w:eastAsia="sk-SK"/>
              </w:rPr>
              <w:t>MŠVVaŠ</w:t>
            </w:r>
          </w:p>
        </w:tc>
      </w:tr>
      <w:tr w:rsidR="00BA7250" w:rsidRPr="00893C52" w14:paraId="2A81982B" w14:textId="77777777" w:rsidTr="00452DBC">
        <w:trPr>
          <w:trHeight w:val="238"/>
        </w:trPr>
        <w:tc>
          <w:tcPr>
            <w:tcW w:w="324" w:type="dxa"/>
            <w:tcBorders>
              <w:top w:val="dotted" w:sz="4" w:space="0" w:color="auto"/>
              <w:left w:val="nil"/>
              <w:bottom w:val="dotted" w:sz="4" w:space="0" w:color="auto"/>
              <w:right w:val="nil"/>
            </w:tcBorders>
            <w:shd w:val="clear" w:color="000000" w:fill="FFFFFF"/>
            <w:vAlign w:val="center"/>
            <w:hideMark/>
          </w:tcPr>
          <w:p w14:paraId="675969DA" w14:textId="7A40CCD7" w:rsidR="00BA7250" w:rsidRPr="00893C52" w:rsidRDefault="00BA7250" w:rsidP="00BA7250">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11</w:t>
            </w:r>
          </w:p>
        </w:tc>
        <w:tc>
          <w:tcPr>
            <w:tcW w:w="4857" w:type="dxa"/>
            <w:tcBorders>
              <w:top w:val="dotted" w:sz="4" w:space="0" w:color="auto"/>
              <w:left w:val="nil"/>
              <w:bottom w:val="dotted" w:sz="4" w:space="0" w:color="auto"/>
              <w:right w:val="nil"/>
            </w:tcBorders>
            <w:shd w:val="clear" w:color="000000" w:fill="FFFFFF"/>
            <w:vAlign w:val="center"/>
            <w:hideMark/>
          </w:tcPr>
          <w:p w14:paraId="6C3EB160" w14:textId="3A1C8F1D" w:rsidR="00BA7250" w:rsidRPr="00893C52" w:rsidRDefault="00BA7250" w:rsidP="00452DBC">
            <w:pPr>
              <w:spacing w:after="0" w:line="240" w:lineRule="auto"/>
              <w:jc w:val="left"/>
              <w:rPr>
                <w:rFonts w:eastAsia="Times New Roman" w:cs="Times New Roman"/>
                <w:color w:val="000000"/>
                <w:sz w:val="20"/>
                <w:lang w:eastAsia="sk-SK"/>
              </w:rPr>
            </w:pPr>
            <w:r>
              <w:rPr>
                <w:rFonts w:eastAsia="Times New Roman" w:cs="Times New Roman"/>
                <w:color w:val="000000"/>
                <w:sz w:val="20"/>
                <w:lang w:eastAsia="sk-SK"/>
              </w:rPr>
              <w:t>Pilotne overiť úpravu škol</w:t>
            </w:r>
            <w:r w:rsidR="00487460">
              <w:rPr>
                <w:rFonts w:eastAsia="Times New Roman" w:cs="Times New Roman"/>
                <w:color w:val="000000"/>
                <w:sz w:val="20"/>
                <w:lang w:eastAsia="sk-SK"/>
              </w:rPr>
              <w:t>ských</w:t>
            </w:r>
            <w:r>
              <w:rPr>
                <w:rFonts w:eastAsia="Times New Roman" w:cs="Times New Roman"/>
                <w:color w:val="000000"/>
                <w:sz w:val="20"/>
                <w:lang w:eastAsia="sk-SK"/>
              </w:rPr>
              <w:t xml:space="preserve"> obvodov na desegregačnom princípe</w:t>
            </w:r>
          </w:p>
        </w:tc>
        <w:tc>
          <w:tcPr>
            <w:tcW w:w="1053" w:type="dxa"/>
            <w:tcBorders>
              <w:top w:val="dotted" w:sz="4" w:space="0" w:color="auto"/>
              <w:left w:val="nil"/>
              <w:bottom w:val="dotted" w:sz="4" w:space="0" w:color="auto"/>
              <w:right w:val="nil"/>
            </w:tcBorders>
            <w:shd w:val="clear" w:color="000000" w:fill="FFFFFF"/>
            <w:vAlign w:val="center"/>
            <w:hideMark/>
          </w:tcPr>
          <w:p w14:paraId="3C27A045" w14:textId="558A102A" w:rsidR="00BA7250" w:rsidRPr="00893C52" w:rsidRDefault="00BA7250" w:rsidP="00BA7250">
            <w:pPr>
              <w:spacing w:after="0" w:line="240" w:lineRule="auto"/>
              <w:jc w:val="center"/>
              <w:rPr>
                <w:rFonts w:eastAsia="Times New Roman" w:cs="Times New Roman"/>
                <w:color w:val="000000"/>
                <w:sz w:val="20"/>
                <w:lang w:eastAsia="sk-SK"/>
              </w:rPr>
            </w:pPr>
            <w:r>
              <w:rPr>
                <w:color w:val="000000"/>
                <w:sz w:val="20"/>
              </w:rPr>
              <w:t>0,1</w:t>
            </w:r>
          </w:p>
        </w:tc>
        <w:tc>
          <w:tcPr>
            <w:tcW w:w="996" w:type="dxa"/>
            <w:tcBorders>
              <w:top w:val="dotted" w:sz="4" w:space="0" w:color="auto"/>
              <w:left w:val="nil"/>
              <w:bottom w:val="dotted" w:sz="4" w:space="0" w:color="auto"/>
              <w:right w:val="nil"/>
            </w:tcBorders>
            <w:shd w:val="clear" w:color="000000" w:fill="FFFFFF"/>
            <w:vAlign w:val="center"/>
            <w:hideMark/>
          </w:tcPr>
          <w:p w14:paraId="573C3C39" w14:textId="525473C0" w:rsidR="00BA7250" w:rsidRPr="00893C52" w:rsidRDefault="00BA7250" w:rsidP="00BA7250">
            <w:pPr>
              <w:spacing w:after="0" w:line="240" w:lineRule="auto"/>
              <w:jc w:val="center"/>
              <w:rPr>
                <w:rFonts w:eastAsia="Times New Roman" w:cs="Times New Roman"/>
                <w:color w:val="000000"/>
                <w:sz w:val="20"/>
                <w:lang w:eastAsia="sk-SK"/>
              </w:rPr>
            </w:pPr>
            <w:r>
              <w:rPr>
                <w:color w:val="000000"/>
                <w:sz w:val="20"/>
              </w:rPr>
              <w:t>0,8</w:t>
            </w:r>
          </w:p>
        </w:tc>
        <w:tc>
          <w:tcPr>
            <w:tcW w:w="569" w:type="dxa"/>
            <w:tcBorders>
              <w:top w:val="dotted" w:sz="4" w:space="0" w:color="auto"/>
              <w:left w:val="nil"/>
              <w:bottom w:val="dotted" w:sz="4" w:space="0" w:color="auto"/>
              <w:right w:val="nil"/>
            </w:tcBorders>
            <w:shd w:val="clear" w:color="000000" w:fill="FFFFFF"/>
            <w:vAlign w:val="center"/>
            <w:hideMark/>
          </w:tcPr>
          <w:p w14:paraId="3CDF49A6" w14:textId="4E0BD74D" w:rsidR="00BA7250" w:rsidRPr="00893C52" w:rsidRDefault="00BA7250" w:rsidP="00BA7250">
            <w:pPr>
              <w:spacing w:after="0" w:line="240" w:lineRule="auto"/>
              <w:jc w:val="center"/>
              <w:rPr>
                <w:rFonts w:eastAsia="Times New Roman" w:cs="Times New Roman"/>
                <w:color w:val="000000"/>
                <w:sz w:val="20"/>
                <w:lang w:eastAsia="sk-SK"/>
              </w:rPr>
            </w:pPr>
            <w:r>
              <w:rPr>
                <w:rFonts w:cs="Calibri"/>
                <w:color w:val="000000"/>
                <w:sz w:val="20"/>
              </w:rPr>
              <w:t>8</w:t>
            </w:r>
          </w:p>
        </w:tc>
        <w:tc>
          <w:tcPr>
            <w:tcW w:w="1273" w:type="dxa"/>
            <w:tcBorders>
              <w:top w:val="dotted" w:sz="4" w:space="0" w:color="auto"/>
              <w:left w:val="nil"/>
              <w:bottom w:val="dotted" w:sz="4" w:space="0" w:color="auto"/>
              <w:right w:val="nil"/>
            </w:tcBorders>
            <w:shd w:val="clear" w:color="000000" w:fill="FFFFFF"/>
            <w:vAlign w:val="center"/>
            <w:hideMark/>
          </w:tcPr>
          <w:p w14:paraId="5D193135" w14:textId="77777777" w:rsidR="00BA7250" w:rsidRPr="00893C52" w:rsidRDefault="00BA7250" w:rsidP="00BA7250">
            <w:pPr>
              <w:spacing w:after="0" w:line="240" w:lineRule="auto"/>
              <w:rPr>
                <w:rFonts w:eastAsia="Times New Roman" w:cs="Times New Roman"/>
                <w:color w:val="000000"/>
                <w:sz w:val="20"/>
                <w:lang w:eastAsia="sk-SK"/>
              </w:rPr>
            </w:pPr>
            <w:r w:rsidRPr="00893C52">
              <w:rPr>
                <w:rFonts w:eastAsia="Times New Roman" w:cs="Times New Roman"/>
                <w:color w:val="000000"/>
                <w:sz w:val="20"/>
                <w:lang w:eastAsia="sk-SK"/>
              </w:rPr>
              <w:t>MŠVVaŠ, MV</w:t>
            </w:r>
          </w:p>
        </w:tc>
      </w:tr>
      <w:tr w:rsidR="00BA7250" w:rsidRPr="00893C52" w14:paraId="7A03504C" w14:textId="77777777" w:rsidTr="00452DBC">
        <w:trPr>
          <w:trHeight w:val="238"/>
        </w:trPr>
        <w:tc>
          <w:tcPr>
            <w:tcW w:w="324" w:type="dxa"/>
            <w:tcBorders>
              <w:top w:val="dotted" w:sz="4" w:space="0" w:color="auto"/>
              <w:left w:val="nil"/>
              <w:bottom w:val="nil"/>
              <w:right w:val="nil"/>
            </w:tcBorders>
            <w:shd w:val="clear" w:color="000000" w:fill="FFFFFF"/>
            <w:vAlign w:val="center"/>
          </w:tcPr>
          <w:p w14:paraId="253F77EB" w14:textId="347838BB" w:rsidR="00BA7250" w:rsidRDefault="00BA7250" w:rsidP="00BA7250">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12</w:t>
            </w:r>
          </w:p>
        </w:tc>
        <w:tc>
          <w:tcPr>
            <w:tcW w:w="4857" w:type="dxa"/>
            <w:tcBorders>
              <w:top w:val="dotted" w:sz="4" w:space="0" w:color="auto"/>
              <w:left w:val="nil"/>
              <w:bottom w:val="nil"/>
              <w:right w:val="nil"/>
            </w:tcBorders>
            <w:shd w:val="clear" w:color="000000" w:fill="FFFFFF"/>
            <w:vAlign w:val="center"/>
          </w:tcPr>
          <w:p w14:paraId="0EE82972" w14:textId="628C7F27" w:rsidR="00BA7250" w:rsidRPr="0066443F" w:rsidRDefault="00487460" w:rsidP="00452DBC">
            <w:pPr>
              <w:spacing w:after="0" w:line="240" w:lineRule="auto"/>
              <w:jc w:val="left"/>
              <w:rPr>
                <w:rFonts w:eastAsia="Times New Roman" w:cs="Times New Roman"/>
                <w:color w:val="000000"/>
                <w:sz w:val="20"/>
                <w:lang w:eastAsia="sk-SK"/>
              </w:rPr>
            </w:pPr>
            <w:r>
              <w:rPr>
                <w:rFonts w:eastAsia="Times New Roman" w:cs="Times New Roman"/>
                <w:color w:val="000000"/>
                <w:sz w:val="20"/>
                <w:lang w:eastAsia="sk-SK"/>
              </w:rPr>
              <w:t>Podporiť presun žiakov zo špeciálneho do bežného prúdu</w:t>
            </w:r>
          </w:p>
        </w:tc>
        <w:tc>
          <w:tcPr>
            <w:tcW w:w="1053" w:type="dxa"/>
            <w:tcBorders>
              <w:top w:val="dotted" w:sz="4" w:space="0" w:color="auto"/>
              <w:left w:val="nil"/>
              <w:bottom w:val="nil"/>
              <w:right w:val="nil"/>
            </w:tcBorders>
            <w:shd w:val="clear" w:color="000000" w:fill="FFFFFF"/>
            <w:vAlign w:val="center"/>
          </w:tcPr>
          <w:p w14:paraId="7B8AC14B" w14:textId="71733C21" w:rsidR="00BA7250" w:rsidRDefault="00BA7250" w:rsidP="00BA7250">
            <w:pPr>
              <w:spacing w:after="0" w:line="240" w:lineRule="auto"/>
              <w:jc w:val="center"/>
              <w:rPr>
                <w:color w:val="000000"/>
                <w:sz w:val="20"/>
              </w:rPr>
            </w:pPr>
            <w:r>
              <w:rPr>
                <w:color w:val="000000"/>
                <w:sz w:val="20"/>
              </w:rPr>
              <w:t>0,2</w:t>
            </w:r>
          </w:p>
        </w:tc>
        <w:tc>
          <w:tcPr>
            <w:tcW w:w="996" w:type="dxa"/>
            <w:tcBorders>
              <w:top w:val="dotted" w:sz="4" w:space="0" w:color="auto"/>
              <w:left w:val="nil"/>
              <w:bottom w:val="nil"/>
              <w:right w:val="nil"/>
            </w:tcBorders>
            <w:shd w:val="clear" w:color="000000" w:fill="FFFFFF"/>
            <w:vAlign w:val="center"/>
          </w:tcPr>
          <w:p w14:paraId="15265402" w14:textId="0179DB86" w:rsidR="00BA7250" w:rsidRDefault="00BA7250" w:rsidP="00BA7250">
            <w:pPr>
              <w:spacing w:after="0" w:line="240" w:lineRule="auto"/>
              <w:jc w:val="center"/>
              <w:rPr>
                <w:color w:val="000000"/>
                <w:sz w:val="20"/>
              </w:rPr>
            </w:pPr>
            <w:r>
              <w:rPr>
                <w:color w:val="000000"/>
                <w:sz w:val="20"/>
              </w:rPr>
              <w:t>1,8</w:t>
            </w:r>
          </w:p>
        </w:tc>
        <w:tc>
          <w:tcPr>
            <w:tcW w:w="569" w:type="dxa"/>
            <w:tcBorders>
              <w:top w:val="dotted" w:sz="4" w:space="0" w:color="auto"/>
              <w:left w:val="nil"/>
              <w:bottom w:val="nil"/>
              <w:right w:val="nil"/>
            </w:tcBorders>
            <w:shd w:val="clear" w:color="000000" w:fill="FFFFFF"/>
            <w:vAlign w:val="center"/>
          </w:tcPr>
          <w:p w14:paraId="7A718AA5" w14:textId="374F7632" w:rsidR="00BA7250" w:rsidRDefault="00BA7250" w:rsidP="00BA7250">
            <w:pPr>
              <w:spacing w:after="0" w:line="240" w:lineRule="auto"/>
              <w:jc w:val="center"/>
              <w:rPr>
                <w:rFonts w:cs="Calibri"/>
                <w:color w:val="000000"/>
                <w:sz w:val="20"/>
              </w:rPr>
            </w:pPr>
            <w:r>
              <w:rPr>
                <w:rFonts w:cs="Calibri"/>
                <w:color w:val="000000"/>
                <w:sz w:val="20"/>
              </w:rPr>
              <w:t>8</w:t>
            </w:r>
          </w:p>
        </w:tc>
        <w:tc>
          <w:tcPr>
            <w:tcW w:w="1273" w:type="dxa"/>
            <w:tcBorders>
              <w:top w:val="dotted" w:sz="4" w:space="0" w:color="auto"/>
              <w:left w:val="nil"/>
              <w:bottom w:val="nil"/>
              <w:right w:val="nil"/>
            </w:tcBorders>
            <w:shd w:val="clear" w:color="000000" w:fill="FFFFFF"/>
            <w:vAlign w:val="center"/>
          </w:tcPr>
          <w:p w14:paraId="70E0C570" w14:textId="7EC4DD13" w:rsidR="00BA7250" w:rsidRPr="00BA7250" w:rsidRDefault="00BA7250" w:rsidP="00BA7250">
            <w:pPr>
              <w:spacing w:after="0"/>
              <w:rPr>
                <w:color w:val="000000"/>
                <w:sz w:val="20"/>
              </w:rPr>
            </w:pPr>
            <w:r>
              <w:rPr>
                <w:color w:val="000000"/>
                <w:sz w:val="20"/>
              </w:rPr>
              <w:t>MŠVVaŠ, MV</w:t>
            </w:r>
          </w:p>
        </w:tc>
      </w:tr>
      <w:tr w:rsidR="00BA7250" w:rsidRPr="00893C52" w14:paraId="0390BC4D" w14:textId="77777777" w:rsidTr="00F322D1">
        <w:trPr>
          <w:trHeight w:val="476"/>
        </w:trPr>
        <w:tc>
          <w:tcPr>
            <w:tcW w:w="324" w:type="dxa"/>
            <w:tcBorders>
              <w:top w:val="single" w:sz="4" w:space="0" w:color="auto"/>
              <w:left w:val="nil"/>
              <w:bottom w:val="single" w:sz="4" w:space="0" w:color="auto"/>
              <w:right w:val="nil"/>
            </w:tcBorders>
            <w:shd w:val="clear" w:color="000000" w:fill="FFFFFF"/>
            <w:vAlign w:val="center"/>
            <w:hideMark/>
          </w:tcPr>
          <w:p w14:paraId="48B78243" w14:textId="77777777" w:rsidR="00BA7250" w:rsidRPr="00893C52" w:rsidRDefault="00BA7250" w:rsidP="00BA7250">
            <w:pPr>
              <w:spacing w:after="0" w:line="240" w:lineRule="auto"/>
              <w:jc w:val="center"/>
              <w:rPr>
                <w:rFonts w:eastAsia="Times New Roman" w:cs="Times New Roman"/>
                <w:b/>
                <w:bCs/>
                <w:color w:val="000000"/>
                <w:sz w:val="20"/>
                <w:lang w:eastAsia="sk-SK"/>
              </w:rPr>
            </w:pPr>
            <w:r w:rsidRPr="00893C52">
              <w:rPr>
                <w:rFonts w:eastAsia="Times New Roman" w:cs="Times New Roman"/>
                <w:b/>
                <w:bCs/>
                <w:color w:val="000000"/>
                <w:sz w:val="20"/>
                <w:lang w:eastAsia="sk-SK"/>
              </w:rPr>
              <w:t> </w:t>
            </w:r>
          </w:p>
        </w:tc>
        <w:tc>
          <w:tcPr>
            <w:tcW w:w="4857" w:type="dxa"/>
            <w:tcBorders>
              <w:top w:val="single" w:sz="4" w:space="0" w:color="auto"/>
              <w:left w:val="nil"/>
              <w:bottom w:val="single" w:sz="4" w:space="0" w:color="auto"/>
              <w:right w:val="nil"/>
            </w:tcBorders>
            <w:shd w:val="clear" w:color="000000" w:fill="FFFFFF"/>
            <w:vAlign w:val="center"/>
            <w:hideMark/>
          </w:tcPr>
          <w:p w14:paraId="430D199C" w14:textId="77777777" w:rsidR="00BA7250" w:rsidRPr="00893C52" w:rsidRDefault="00BA7250" w:rsidP="00452DBC">
            <w:pPr>
              <w:spacing w:after="0" w:line="240" w:lineRule="auto"/>
              <w:jc w:val="left"/>
              <w:rPr>
                <w:rFonts w:eastAsia="Times New Roman" w:cs="Times New Roman"/>
                <w:b/>
                <w:bCs/>
                <w:color w:val="000000"/>
                <w:sz w:val="20"/>
                <w:lang w:eastAsia="sk-SK"/>
              </w:rPr>
            </w:pPr>
            <w:r w:rsidRPr="00893C52">
              <w:rPr>
                <w:rFonts w:eastAsia="Times New Roman" w:cs="Times New Roman"/>
                <w:b/>
                <w:bCs/>
                <w:color w:val="000000"/>
                <w:sz w:val="20"/>
                <w:lang w:eastAsia="sk-SK"/>
              </w:rPr>
              <w:t>Politiky trhu práce a sociálne politiky</w:t>
            </w:r>
          </w:p>
        </w:tc>
        <w:tc>
          <w:tcPr>
            <w:tcW w:w="1053" w:type="dxa"/>
            <w:tcBorders>
              <w:top w:val="single" w:sz="4" w:space="0" w:color="auto"/>
              <w:left w:val="nil"/>
              <w:bottom w:val="single" w:sz="4" w:space="0" w:color="auto"/>
              <w:right w:val="nil"/>
            </w:tcBorders>
            <w:shd w:val="clear" w:color="000000" w:fill="FFFFFF"/>
            <w:vAlign w:val="center"/>
            <w:hideMark/>
          </w:tcPr>
          <w:p w14:paraId="689C4445" w14:textId="5C3708DC" w:rsidR="00BA7250" w:rsidRPr="00893C52" w:rsidRDefault="00DC4284" w:rsidP="00BA7250">
            <w:pPr>
              <w:spacing w:after="0" w:line="240" w:lineRule="auto"/>
              <w:jc w:val="center"/>
              <w:rPr>
                <w:rFonts w:eastAsia="Times New Roman" w:cs="Times New Roman"/>
                <w:b/>
                <w:bCs/>
                <w:color w:val="000000"/>
                <w:sz w:val="20"/>
                <w:lang w:eastAsia="sk-SK"/>
              </w:rPr>
            </w:pPr>
            <w:r>
              <w:rPr>
                <w:b/>
                <w:bCs/>
                <w:color w:val="000000"/>
                <w:sz w:val="20"/>
              </w:rPr>
              <w:t>26,0</w:t>
            </w:r>
          </w:p>
        </w:tc>
        <w:tc>
          <w:tcPr>
            <w:tcW w:w="996" w:type="dxa"/>
            <w:tcBorders>
              <w:top w:val="single" w:sz="4" w:space="0" w:color="auto"/>
              <w:left w:val="nil"/>
              <w:bottom w:val="single" w:sz="4" w:space="0" w:color="auto"/>
              <w:right w:val="nil"/>
            </w:tcBorders>
            <w:shd w:val="clear" w:color="000000" w:fill="FFFFFF"/>
            <w:vAlign w:val="center"/>
            <w:hideMark/>
          </w:tcPr>
          <w:p w14:paraId="4DF3F9A9" w14:textId="04457DF0" w:rsidR="00BA7250" w:rsidRPr="00893C52" w:rsidRDefault="00DC4284" w:rsidP="00BA7250">
            <w:pPr>
              <w:spacing w:after="0" w:line="240" w:lineRule="auto"/>
              <w:jc w:val="center"/>
              <w:rPr>
                <w:rFonts w:eastAsia="Times New Roman" w:cs="Times New Roman"/>
                <w:b/>
                <w:bCs/>
                <w:color w:val="000000"/>
                <w:sz w:val="20"/>
                <w:lang w:eastAsia="sk-SK"/>
              </w:rPr>
            </w:pPr>
            <w:r>
              <w:rPr>
                <w:b/>
                <w:bCs/>
                <w:color w:val="000000"/>
                <w:sz w:val="20"/>
              </w:rPr>
              <w:t>28,7</w:t>
            </w:r>
          </w:p>
        </w:tc>
        <w:tc>
          <w:tcPr>
            <w:tcW w:w="569" w:type="dxa"/>
            <w:tcBorders>
              <w:top w:val="single" w:sz="4" w:space="0" w:color="auto"/>
              <w:left w:val="nil"/>
              <w:bottom w:val="single" w:sz="4" w:space="0" w:color="auto"/>
              <w:right w:val="nil"/>
            </w:tcBorders>
            <w:shd w:val="clear" w:color="000000" w:fill="FFFFFF"/>
            <w:vAlign w:val="center"/>
            <w:hideMark/>
          </w:tcPr>
          <w:p w14:paraId="23BDA622" w14:textId="79F06A75" w:rsidR="00BA7250" w:rsidRPr="00893C52" w:rsidRDefault="00BA7250" w:rsidP="00BA7250">
            <w:pPr>
              <w:spacing w:after="0" w:line="240" w:lineRule="auto"/>
              <w:jc w:val="center"/>
              <w:rPr>
                <w:rFonts w:eastAsia="Times New Roman" w:cs="Times New Roman"/>
                <w:b/>
                <w:bCs/>
                <w:color w:val="000000"/>
                <w:sz w:val="20"/>
                <w:lang w:eastAsia="sk-SK"/>
              </w:rPr>
            </w:pPr>
          </w:p>
        </w:tc>
        <w:tc>
          <w:tcPr>
            <w:tcW w:w="1273" w:type="dxa"/>
            <w:tcBorders>
              <w:top w:val="single" w:sz="4" w:space="0" w:color="auto"/>
              <w:left w:val="nil"/>
              <w:bottom w:val="single" w:sz="4" w:space="0" w:color="auto"/>
              <w:right w:val="nil"/>
            </w:tcBorders>
            <w:shd w:val="clear" w:color="000000" w:fill="FFFFFF"/>
            <w:vAlign w:val="center"/>
            <w:hideMark/>
          </w:tcPr>
          <w:p w14:paraId="3D9B22BF" w14:textId="77777777" w:rsidR="00BA7250" w:rsidRPr="00893C52" w:rsidRDefault="00BA7250" w:rsidP="00BA7250">
            <w:pPr>
              <w:spacing w:after="0" w:line="240" w:lineRule="auto"/>
              <w:rPr>
                <w:rFonts w:eastAsia="Times New Roman" w:cs="Times New Roman"/>
                <w:b/>
                <w:bCs/>
                <w:color w:val="000000"/>
                <w:sz w:val="20"/>
                <w:lang w:eastAsia="sk-SK"/>
              </w:rPr>
            </w:pPr>
            <w:r w:rsidRPr="00893C52">
              <w:rPr>
                <w:rFonts w:eastAsia="Times New Roman" w:cs="Times New Roman"/>
                <w:b/>
                <w:bCs/>
                <w:color w:val="000000"/>
                <w:sz w:val="20"/>
                <w:lang w:eastAsia="sk-SK"/>
              </w:rPr>
              <w:t> </w:t>
            </w:r>
          </w:p>
        </w:tc>
      </w:tr>
      <w:tr w:rsidR="00BA7250" w:rsidRPr="00893C52" w14:paraId="7922BEFD" w14:textId="77777777" w:rsidTr="00F322D1">
        <w:trPr>
          <w:trHeight w:val="238"/>
        </w:trPr>
        <w:tc>
          <w:tcPr>
            <w:tcW w:w="324" w:type="dxa"/>
            <w:tcBorders>
              <w:top w:val="nil"/>
              <w:left w:val="nil"/>
              <w:bottom w:val="dotted" w:sz="4" w:space="0" w:color="auto"/>
              <w:right w:val="nil"/>
            </w:tcBorders>
            <w:shd w:val="clear" w:color="000000" w:fill="FFFFFF"/>
            <w:vAlign w:val="center"/>
            <w:hideMark/>
          </w:tcPr>
          <w:p w14:paraId="62949150" w14:textId="77777777" w:rsidR="00BA7250" w:rsidRPr="00893C52" w:rsidRDefault="00BA7250" w:rsidP="00BA7250">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13</w:t>
            </w:r>
          </w:p>
        </w:tc>
        <w:tc>
          <w:tcPr>
            <w:tcW w:w="4857" w:type="dxa"/>
            <w:tcBorders>
              <w:top w:val="nil"/>
              <w:left w:val="nil"/>
              <w:bottom w:val="dotted" w:sz="4" w:space="0" w:color="auto"/>
              <w:right w:val="nil"/>
            </w:tcBorders>
            <w:shd w:val="clear" w:color="000000" w:fill="FFFFFF"/>
            <w:vAlign w:val="center"/>
            <w:hideMark/>
          </w:tcPr>
          <w:p w14:paraId="7897A4DE" w14:textId="42F6DEE6" w:rsidR="00BA7250" w:rsidRPr="00E474C5" w:rsidRDefault="00BA7250" w:rsidP="00452DBC">
            <w:pPr>
              <w:spacing w:after="0" w:line="240" w:lineRule="auto"/>
              <w:jc w:val="left"/>
              <w:rPr>
                <w:rFonts w:eastAsia="Times New Roman" w:cs="Times New Roman"/>
                <w:color w:val="000000"/>
                <w:sz w:val="20"/>
                <w:lang w:eastAsia="sk-SK"/>
              </w:rPr>
            </w:pPr>
            <w:bookmarkStart w:id="10" w:name="RANGE!B18"/>
            <w:r w:rsidRPr="00BA7250">
              <w:rPr>
                <w:rFonts w:eastAsia="Times New Roman" w:cs="Times New Roman"/>
                <w:color w:val="000000"/>
                <w:sz w:val="20"/>
                <w:lang w:eastAsia="sk-SK"/>
              </w:rPr>
              <w:t>Zabezpečiť individuálnu prácu s</w:t>
            </w:r>
            <w:r>
              <w:rPr>
                <w:rFonts w:eastAsia="Times New Roman" w:cs="Times New Roman"/>
                <w:color w:val="000000"/>
                <w:sz w:val="20"/>
                <w:lang w:eastAsia="sk-SK"/>
              </w:rPr>
              <w:t>o znevýh</w:t>
            </w:r>
            <w:r w:rsidR="00487460">
              <w:rPr>
                <w:rFonts w:eastAsia="Times New Roman" w:cs="Times New Roman"/>
                <w:color w:val="000000"/>
                <w:sz w:val="20"/>
                <w:lang w:eastAsia="sk-SK"/>
              </w:rPr>
              <w:t>odnenými</w:t>
            </w:r>
            <w:r>
              <w:rPr>
                <w:rFonts w:eastAsia="Times New Roman" w:cs="Times New Roman"/>
                <w:color w:val="000000"/>
                <w:sz w:val="20"/>
                <w:lang w:eastAsia="sk-SK"/>
              </w:rPr>
              <w:t xml:space="preserve"> skupinami na trhu práce</w:t>
            </w:r>
            <w:r w:rsidRPr="00E474C5" w:rsidDel="00E474C5">
              <w:rPr>
                <w:rFonts w:eastAsia="Times New Roman" w:cs="Times New Roman"/>
                <w:color w:val="000000"/>
                <w:sz w:val="20"/>
                <w:lang w:eastAsia="sk-SK"/>
              </w:rPr>
              <w:t xml:space="preserve"> </w:t>
            </w:r>
            <w:bookmarkEnd w:id="10"/>
          </w:p>
        </w:tc>
        <w:tc>
          <w:tcPr>
            <w:tcW w:w="1053" w:type="dxa"/>
            <w:tcBorders>
              <w:top w:val="nil"/>
              <w:left w:val="nil"/>
              <w:bottom w:val="dotted" w:sz="4" w:space="0" w:color="auto"/>
              <w:right w:val="nil"/>
            </w:tcBorders>
            <w:shd w:val="clear" w:color="000000" w:fill="FFFFFF"/>
            <w:vAlign w:val="center"/>
            <w:hideMark/>
          </w:tcPr>
          <w:p w14:paraId="6C9CCDAF" w14:textId="09070E9B" w:rsidR="00BA7250" w:rsidRPr="00893C52" w:rsidRDefault="00BA7250" w:rsidP="00BA7250">
            <w:pPr>
              <w:spacing w:after="0" w:line="240" w:lineRule="auto"/>
              <w:jc w:val="center"/>
              <w:rPr>
                <w:rFonts w:eastAsia="Times New Roman" w:cs="Times New Roman"/>
                <w:color w:val="000000"/>
                <w:sz w:val="20"/>
                <w:lang w:eastAsia="sk-SK"/>
              </w:rPr>
            </w:pPr>
            <w:r>
              <w:rPr>
                <w:color w:val="000000"/>
                <w:sz w:val="20"/>
              </w:rPr>
              <w:t>1,1</w:t>
            </w:r>
          </w:p>
        </w:tc>
        <w:tc>
          <w:tcPr>
            <w:tcW w:w="996" w:type="dxa"/>
            <w:tcBorders>
              <w:top w:val="nil"/>
              <w:left w:val="nil"/>
              <w:bottom w:val="dotted" w:sz="4" w:space="0" w:color="auto"/>
              <w:right w:val="nil"/>
            </w:tcBorders>
            <w:shd w:val="clear" w:color="000000" w:fill="FFFFFF"/>
            <w:vAlign w:val="center"/>
            <w:hideMark/>
          </w:tcPr>
          <w:p w14:paraId="568BA849" w14:textId="07F30277" w:rsidR="00BA7250" w:rsidRPr="00893C52" w:rsidRDefault="00BA7250" w:rsidP="00BA7250">
            <w:pPr>
              <w:spacing w:after="0" w:line="240" w:lineRule="auto"/>
              <w:jc w:val="center"/>
              <w:rPr>
                <w:rFonts w:eastAsia="Times New Roman" w:cs="Times New Roman"/>
                <w:color w:val="000000"/>
                <w:sz w:val="20"/>
                <w:lang w:eastAsia="sk-SK"/>
              </w:rPr>
            </w:pPr>
            <w:r>
              <w:rPr>
                <w:color w:val="000000"/>
                <w:sz w:val="20"/>
              </w:rPr>
              <w:t>3,3</w:t>
            </w:r>
          </w:p>
        </w:tc>
        <w:tc>
          <w:tcPr>
            <w:tcW w:w="569" w:type="dxa"/>
            <w:tcBorders>
              <w:top w:val="nil"/>
              <w:left w:val="nil"/>
              <w:bottom w:val="dotted" w:sz="4" w:space="0" w:color="auto"/>
              <w:right w:val="nil"/>
            </w:tcBorders>
            <w:shd w:val="clear" w:color="000000" w:fill="FFFFFF"/>
            <w:vAlign w:val="center"/>
            <w:hideMark/>
          </w:tcPr>
          <w:p w14:paraId="46C3E025" w14:textId="6EA55BD1" w:rsidR="00BA7250" w:rsidRPr="00893C52" w:rsidRDefault="00BA7250" w:rsidP="00BA7250">
            <w:pPr>
              <w:spacing w:after="0" w:line="240" w:lineRule="auto"/>
              <w:jc w:val="center"/>
              <w:rPr>
                <w:rFonts w:eastAsia="Times New Roman" w:cs="Times New Roman"/>
                <w:color w:val="000000"/>
                <w:sz w:val="20"/>
                <w:lang w:eastAsia="sk-SK"/>
              </w:rPr>
            </w:pPr>
            <w:r>
              <w:rPr>
                <w:rFonts w:cs="Calibri"/>
                <w:color w:val="000000"/>
                <w:sz w:val="20"/>
              </w:rPr>
              <w:t>3</w:t>
            </w:r>
          </w:p>
        </w:tc>
        <w:tc>
          <w:tcPr>
            <w:tcW w:w="1273" w:type="dxa"/>
            <w:tcBorders>
              <w:top w:val="nil"/>
              <w:left w:val="nil"/>
              <w:bottom w:val="dotted" w:sz="4" w:space="0" w:color="auto"/>
              <w:right w:val="nil"/>
            </w:tcBorders>
            <w:shd w:val="clear" w:color="000000" w:fill="FFFFFF"/>
            <w:vAlign w:val="center"/>
            <w:hideMark/>
          </w:tcPr>
          <w:p w14:paraId="637ACD4C" w14:textId="77777777" w:rsidR="00BA7250" w:rsidRPr="00893C52" w:rsidRDefault="00BA7250" w:rsidP="00BA7250">
            <w:pPr>
              <w:spacing w:after="0" w:line="240" w:lineRule="auto"/>
              <w:rPr>
                <w:rFonts w:eastAsia="Times New Roman" w:cs="Times New Roman"/>
                <w:color w:val="000000"/>
                <w:sz w:val="20"/>
                <w:lang w:eastAsia="sk-SK"/>
              </w:rPr>
            </w:pPr>
            <w:r w:rsidRPr="00893C52">
              <w:rPr>
                <w:rFonts w:eastAsia="Times New Roman" w:cs="Times New Roman"/>
                <w:color w:val="000000"/>
                <w:sz w:val="20"/>
                <w:lang w:eastAsia="sk-SK"/>
              </w:rPr>
              <w:t>MPSVaR</w:t>
            </w:r>
          </w:p>
        </w:tc>
      </w:tr>
      <w:tr w:rsidR="00BA7250" w:rsidRPr="00893C52" w14:paraId="1191A327" w14:textId="77777777" w:rsidTr="00F322D1">
        <w:trPr>
          <w:trHeight w:val="238"/>
        </w:trPr>
        <w:tc>
          <w:tcPr>
            <w:tcW w:w="324" w:type="dxa"/>
            <w:tcBorders>
              <w:top w:val="nil"/>
              <w:left w:val="nil"/>
              <w:bottom w:val="dotted" w:sz="4" w:space="0" w:color="auto"/>
              <w:right w:val="nil"/>
            </w:tcBorders>
            <w:shd w:val="clear" w:color="000000" w:fill="FFFFFF"/>
            <w:vAlign w:val="center"/>
            <w:hideMark/>
          </w:tcPr>
          <w:p w14:paraId="4505DCB5" w14:textId="77777777" w:rsidR="00BA7250" w:rsidRPr="00893C52" w:rsidRDefault="00BA7250" w:rsidP="00BA7250">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14</w:t>
            </w:r>
          </w:p>
        </w:tc>
        <w:tc>
          <w:tcPr>
            <w:tcW w:w="4857" w:type="dxa"/>
            <w:tcBorders>
              <w:top w:val="nil"/>
              <w:left w:val="nil"/>
              <w:bottom w:val="dotted" w:sz="4" w:space="0" w:color="auto"/>
              <w:right w:val="nil"/>
            </w:tcBorders>
            <w:shd w:val="clear" w:color="000000" w:fill="FFFFFF"/>
            <w:vAlign w:val="center"/>
            <w:hideMark/>
          </w:tcPr>
          <w:p w14:paraId="0CF0DBB5" w14:textId="0091638C" w:rsidR="00BA7250" w:rsidRPr="00893C52" w:rsidRDefault="00BA7250" w:rsidP="00452DBC">
            <w:pPr>
              <w:spacing w:after="0" w:line="240" w:lineRule="auto"/>
              <w:jc w:val="left"/>
              <w:rPr>
                <w:rFonts w:eastAsia="Times New Roman" w:cs="Times New Roman"/>
                <w:color w:val="000000"/>
                <w:sz w:val="20"/>
                <w:lang w:eastAsia="sk-SK"/>
              </w:rPr>
            </w:pPr>
            <w:r>
              <w:rPr>
                <w:rFonts w:eastAsia="Times New Roman" w:cs="Times New Roman"/>
                <w:color w:val="000000"/>
                <w:sz w:val="20"/>
                <w:lang w:eastAsia="sk-SK"/>
              </w:rPr>
              <w:t>Zabezpečiť d</w:t>
            </w:r>
            <w:r w:rsidRPr="00893C52">
              <w:rPr>
                <w:rFonts w:eastAsia="Times New Roman" w:cs="Times New Roman"/>
                <w:color w:val="000000"/>
                <w:sz w:val="20"/>
                <w:lang w:eastAsia="sk-SK"/>
              </w:rPr>
              <w:t>ebarierizáci</w:t>
            </w:r>
            <w:r>
              <w:rPr>
                <w:rFonts w:eastAsia="Times New Roman" w:cs="Times New Roman"/>
                <w:color w:val="000000"/>
                <w:sz w:val="20"/>
                <w:lang w:eastAsia="sk-SK"/>
              </w:rPr>
              <w:t>u</w:t>
            </w:r>
            <w:r w:rsidRPr="00893C52">
              <w:rPr>
                <w:rFonts w:eastAsia="Times New Roman" w:cs="Times New Roman"/>
                <w:color w:val="000000"/>
                <w:sz w:val="20"/>
                <w:lang w:eastAsia="sk-SK"/>
              </w:rPr>
              <w:t xml:space="preserve"> úradov práce</w:t>
            </w:r>
          </w:p>
        </w:tc>
        <w:tc>
          <w:tcPr>
            <w:tcW w:w="1053" w:type="dxa"/>
            <w:tcBorders>
              <w:top w:val="nil"/>
              <w:left w:val="nil"/>
              <w:bottom w:val="dotted" w:sz="4" w:space="0" w:color="auto"/>
              <w:right w:val="nil"/>
            </w:tcBorders>
            <w:shd w:val="clear" w:color="000000" w:fill="FFFFFF"/>
            <w:vAlign w:val="center"/>
            <w:hideMark/>
          </w:tcPr>
          <w:p w14:paraId="0F295AF7" w14:textId="23035C6D" w:rsidR="00BA7250" w:rsidRPr="0007676D" w:rsidRDefault="00BA7250" w:rsidP="00BA7250">
            <w:pPr>
              <w:spacing w:after="0" w:line="240" w:lineRule="auto"/>
              <w:jc w:val="center"/>
              <w:rPr>
                <w:rFonts w:eastAsia="Times New Roman" w:cs="Times New Roman"/>
                <w:color w:val="000000"/>
                <w:sz w:val="20"/>
                <w:highlight w:val="yellow"/>
                <w:lang w:eastAsia="sk-SK"/>
              </w:rPr>
            </w:pPr>
            <w:r>
              <w:rPr>
                <w:color w:val="000000"/>
                <w:sz w:val="20"/>
              </w:rPr>
              <w:t>0,6</w:t>
            </w:r>
          </w:p>
        </w:tc>
        <w:tc>
          <w:tcPr>
            <w:tcW w:w="996" w:type="dxa"/>
            <w:tcBorders>
              <w:top w:val="nil"/>
              <w:left w:val="nil"/>
              <w:bottom w:val="dotted" w:sz="4" w:space="0" w:color="auto"/>
              <w:right w:val="nil"/>
            </w:tcBorders>
            <w:shd w:val="clear" w:color="000000" w:fill="FFFFFF"/>
            <w:vAlign w:val="center"/>
            <w:hideMark/>
          </w:tcPr>
          <w:p w14:paraId="40936FA6" w14:textId="638948A8" w:rsidR="00BA7250" w:rsidRPr="0007676D" w:rsidRDefault="00BA7250" w:rsidP="00BA7250">
            <w:pPr>
              <w:spacing w:after="0" w:line="240" w:lineRule="auto"/>
              <w:jc w:val="center"/>
              <w:rPr>
                <w:rFonts w:eastAsia="Times New Roman" w:cs="Times New Roman"/>
                <w:color w:val="000000"/>
                <w:sz w:val="20"/>
                <w:highlight w:val="yellow"/>
                <w:lang w:eastAsia="sk-SK"/>
              </w:rPr>
            </w:pPr>
            <w:r>
              <w:rPr>
                <w:color w:val="000000"/>
                <w:sz w:val="20"/>
              </w:rPr>
              <w:t>0,6</w:t>
            </w:r>
          </w:p>
        </w:tc>
        <w:tc>
          <w:tcPr>
            <w:tcW w:w="569" w:type="dxa"/>
            <w:tcBorders>
              <w:top w:val="nil"/>
              <w:left w:val="nil"/>
              <w:bottom w:val="dotted" w:sz="4" w:space="0" w:color="auto"/>
              <w:right w:val="nil"/>
            </w:tcBorders>
            <w:shd w:val="clear" w:color="000000" w:fill="FFFFFF"/>
            <w:vAlign w:val="center"/>
            <w:hideMark/>
          </w:tcPr>
          <w:p w14:paraId="732F1CCD" w14:textId="37C8251A" w:rsidR="00BA7250" w:rsidRPr="00893C52" w:rsidRDefault="00BA7250" w:rsidP="00BA7250">
            <w:pPr>
              <w:spacing w:after="0" w:line="240" w:lineRule="auto"/>
              <w:jc w:val="center"/>
              <w:rPr>
                <w:rFonts w:eastAsia="Times New Roman" w:cs="Times New Roman"/>
                <w:color w:val="000000"/>
                <w:sz w:val="20"/>
                <w:lang w:eastAsia="sk-SK"/>
              </w:rPr>
            </w:pPr>
            <w:r>
              <w:rPr>
                <w:rFonts w:cs="Calibri"/>
                <w:color w:val="000000"/>
                <w:sz w:val="20"/>
              </w:rPr>
              <w:t>1</w:t>
            </w:r>
          </w:p>
        </w:tc>
        <w:tc>
          <w:tcPr>
            <w:tcW w:w="1273" w:type="dxa"/>
            <w:tcBorders>
              <w:top w:val="nil"/>
              <w:left w:val="nil"/>
              <w:bottom w:val="dotted" w:sz="4" w:space="0" w:color="auto"/>
              <w:right w:val="nil"/>
            </w:tcBorders>
            <w:shd w:val="clear" w:color="000000" w:fill="FFFFFF"/>
            <w:vAlign w:val="center"/>
            <w:hideMark/>
          </w:tcPr>
          <w:p w14:paraId="7170DB15" w14:textId="77777777" w:rsidR="00BA7250" w:rsidRPr="00893C52" w:rsidRDefault="00BA7250" w:rsidP="00BA7250">
            <w:pPr>
              <w:spacing w:after="0" w:line="240" w:lineRule="auto"/>
              <w:rPr>
                <w:rFonts w:eastAsia="Times New Roman" w:cs="Times New Roman"/>
                <w:color w:val="000000"/>
                <w:sz w:val="20"/>
                <w:lang w:eastAsia="sk-SK"/>
              </w:rPr>
            </w:pPr>
            <w:r w:rsidRPr="00893C52">
              <w:rPr>
                <w:rFonts w:eastAsia="Times New Roman" w:cs="Times New Roman"/>
                <w:color w:val="000000"/>
                <w:sz w:val="20"/>
                <w:lang w:eastAsia="sk-SK"/>
              </w:rPr>
              <w:t>MPSVaR</w:t>
            </w:r>
          </w:p>
        </w:tc>
      </w:tr>
      <w:tr w:rsidR="00BA7250" w:rsidRPr="00893C52" w14:paraId="11D5F40E" w14:textId="77777777" w:rsidTr="00F322D1">
        <w:trPr>
          <w:trHeight w:val="238"/>
        </w:trPr>
        <w:tc>
          <w:tcPr>
            <w:tcW w:w="324" w:type="dxa"/>
            <w:tcBorders>
              <w:top w:val="nil"/>
              <w:left w:val="nil"/>
              <w:bottom w:val="dotted" w:sz="4" w:space="0" w:color="auto"/>
              <w:right w:val="nil"/>
            </w:tcBorders>
            <w:shd w:val="clear" w:color="000000" w:fill="FFFFFF"/>
            <w:vAlign w:val="center"/>
            <w:hideMark/>
          </w:tcPr>
          <w:p w14:paraId="1B2CBFA6" w14:textId="77777777" w:rsidR="00BA7250" w:rsidRPr="00893C52" w:rsidRDefault="00BA7250" w:rsidP="00BA7250">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15</w:t>
            </w:r>
          </w:p>
        </w:tc>
        <w:tc>
          <w:tcPr>
            <w:tcW w:w="4857" w:type="dxa"/>
            <w:tcBorders>
              <w:top w:val="nil"/>
              <w:left w:val="nil"/>
              <w:bottom w:val="dotted" w:sz="4" w:space="0" w:color="auto"/>
              <w:right w:val="nil"/>
            </w:tcBorders>
            <w:shd w:val="clear" w:color="000000" w:fill="FFFFFF"/>
            <w:vAlign w:val="center"/>
            <w:hideMark/>
          </w:tcPr>
          <w:p w14:paraId="1EC10ACA" w14:textId="75C5C6B1" w:rsidR="00BA7250" w:rsidRPr="00893C52" w:rsidRDefault="00BA7250" w:rsidP="00452DBC">
            <w:pPr>
              <w:spacing w:after="0" w:line="240" w:lineRule="auto"/>
              <w:jc w:val="left"/>
              <w:rPr>
                <w:rFonts w:eastAsia="Times New Roman" w:cs="Times New Roman"/>
                <w:color w:val="000000"/>
                <w:sz w:val="20"/>
                <w:lang w:eastAsia="sk-SK"/>
              </w:rPr>
            </w:pPr>
            <w:r w:rsidRPr="00893C52">
              <w:rPr>
                <w:rFonts w:eastAsia="Times New Roman" w:cs="Times New Roman"/>
                <w:color w:val="000000"/>
                <w:sz w:val="20"/>
                <w:lang w:eastAsia="sk-SK"/>
              </w:rPr>
              <w:t>Z</w:t>
            </w:r>
            <w:r>
              <w:rPr>
                <w:rFonts w:eastAsia="Times New Roman" w:cs="Times New Roman"/>
                <w:color w:val="000000"/>
                <w:sz w:val="20"/>
                <w:lang w:eastAsia="sk-SK"/>
              </w:rPr>
              <w:t>výšiť a rozšíriť</w:t>
            </w:r>
            <w:r w:rsidRPr="00893C52">
              <w:rPr>
                <w:rFonts w:eastAsia="Times New Roman" w:cs="Times New Roman"/>
                <w:color w:val="000000"/>
                <w:sz w:val="20"/>
                <w:lang w:eastAsia="sk-SK"/>
              </w:rPr>
              <w:t xml:space="preserve"> pomoc v hmotnej núdzi</w:t>
            </w:r>
          </w:p>
        </w:tc>
        <w:tc>
          <w:tcPr>
            <w:tcW w:w="1053" w:type="dxa"/>
            <w:tcBorders>
              <w:top w:val="nil"/>
              <w:left w:val="nil"/>
              <w:bottom w:val="dotted" w:sz="4" w:space="0" w:color="auto"/>
              <w:right w:val="nil"/>
            </w:tcBorders>
            <w:shd w:val="clear" w:color="000000" w:fill="FFFFFF"/>
            <w:vAlign w:val="center"/>
            <w:hideMark/>
          </w:tcPr>
          <w:p w14:paraId="6EC7A5CC" w14:textId="55BCF3B8" w:rsidR="00BA7250" w:rsidRPr="00893C52" w:rsidRDefault="00BA7250" w:rsidP="00BA7250">
            <w:pPr>
              <w:spacing w:after="0" w:line="240" w:lineRule="auto"/>
              <w:jc w:val="center"/>
              <w:rPr>
                <w:rFonts w:eastAsia="Times New Roman" w:cs="Times New Roman"/>
                <w:color w:val="000000"/>
                <w:sz w:val="20"/>
                <w:lang w:eastAsia="sk-SK"/>
              </w:rPr>
            </w:pPr>
            <w:r>
              <w:rPr>
                <w:color w:val="000000"/>
                <w:sz w:val="20"/>
              </w:rPr>
              <w:t>22,8</w:t>
            </w:r>
          </w:p>
        </w:tc>
        <w:tc>
          <w:tcPr>
            <w:tcW w:w="996" w:type="dxa"/>
            <w:tcBorders>
              <w:top w:val="nil"/>
              <w:left w:val="nil"/>
              <w:bottom w:val="dotted" w:sz="4" w:space="0" w:color="auto"/>
              <w:right w:val="nil"/>
            </w:tcBorders>
            <w:shd w:val="clear" w:color="000000" w:fill="FFFFFF"/>
            <w:vAlign w:val="center"/>
            <w:hideMark/>
          </w:tcPr>
          <w:p w14:paraId="7C3068B5" w14:textId="15BFDC56" w:rsidR="00BA7250" w:rsidRPr="00893C52" w:rsidRDefault="00BA7250" w:rsidP="00BA7250">
            <w:pPr>
              <w:spacing w:after="0" w:line="240" w:lineRule="auto"/>
              <w:jc w:val="center"/>
              <w:rPr>
                <w:rFonts w:eastAsia="Times New Roman" w:cs="Times New Roman"/>
                <w:color w:val="000000"/>
                <w:sz w:val="20"/>
                <w:lang w:eastAsia="sk-SK"/>
              </w:rPr>
            </w:pPr>
            <w:r>
              <w:rPr>
                <w:color w:val="000000"/>
                <w:sz w:val="20"/>
              </w:rPr>
              <w:t>22,8</w:t>
            </w:r>
          </w:p>
        </w:tc>
        <w:tc>
          <w:tcPr>
            <w:tcW w:w="569" w:type="dxa"/>
            <w:tcBorders>
              <w:top w:val="nil"/>
              <w:left w:val="nil"/>
              <w:bottom w:val="dotted" w:sz="4" w:space="0" w:color="auto"/>
              <w:right w:val="nil"/>
            </w:tcBorders>
            <w:shd w:val="clear" w:color="000000" w:fill="FFFFFF"/>
            <w:vAlign w:val="center"/>
            <w:hideMark/>
          </w:tcPr>
          <w:p w14:paraId="682DF3A5" w14:textId="4B166B03" w:rsidR="00BA7250" w:rsidRPr="00893C52" w:rsidRDefault="00BA7250" w:rsidP="00BA7250">
            <w:pPr>
              <w:spacing w:after="0" w:line="240" w:lineRule="auto"/>
              <w:jc w:val="center"/>
              <w:rPr>
                <w:rFonts w:eastAsia="Times New Roman" w:cs="Times New Roman"/>
                <w:color w:val="000000"/>
                <w:sz w:val="20"/>
                <w:lang w:eastAsia="sk-SK"/>
              </w:rPr>
            </w:pPr>
            <w:r>
              <w:rPr>
                <w:rFonts w:cs="Calibri"/>
                <w:color w:val="000000"/>
                <w:sz w:val="20"/>
              </w:rPr>
              <w:t>1</w:t>
            </w:r>
          </w:p>
        </w:tc>
        <w:tc>
          <w:tcPr>
            <w:tcW w:w="1273" w:type="dxa"/>
            <w:tcBorders>
              <w:top w:val="nil"/>
              <w:left w:val="nil"/>
              <w:bottom w:val="dotted" w:sz="4" w:space="0" w:color="auto"/>
              <w:right w:val="nil"/>
            </w:tcBorders>
            <w:shd w:val="clear" w:color="000000" w:fill="FFFFFF"/>
            <w:vAlign w:val="center"/>
            <w:hideMark/>
          </w:tcPr>
          <w:p w14:paraId="45E8DF93" w14:textId="77777777" w:rsidR="00BA7250" w:rsidRPr="00893C52" w:rsidRDefault="00BA7250" w:rsidP="00BA7250">
            <w:pPr>
              <w:spacing w:after="0" w:line="240" w:lineRule="auto"/>
              <w:rPr>
                <w:rFonts w:eastAsia="Times New Roman" w:cs="Times New Roman"/>
                <w:color w:val="000000"/>
                <w:sz w:val="20"/>
                <w:lang w:eastAsia="sk-SK"/>
              </w:rPr>
            </w:pPr>
            <w:r w:rsidRPr="00893C52">
              <w:rPr>
                <w:rFonts w:eastAsia="Times New Roman" w:cs="Times New Roman"/>
                <w:color w:val="000000"/>
                <w:sz w:val="20"/>
                <w:lang w:eastAsia="sk-SK"/>
              </w:rPr>
              <w:t>MPSVaR</w:t>
            </w:r>
          </w:p>
        </w:tc>
      </w:tr>
      <w:tr w:rsidR="00BA7250" w:rsidRPr="00893C52" w14:paraId="3CD68F45" w14:textId="77777777" w:rsidTr="00F322D1">
        <w:trPr>
          <w:trHeight w:val="238"/>
        </w:trPr>
        <w:tc>
          <w:tcPr>
            <w:tcW w:w="324" w:type="dxa"/>
            <w:tcBorders>
              <w:top w:val="nil"/>
              <w:left w:val="nil"/>
              <w:bottom w:val="dotted" w:sz="4" w:space="0" w:color="auto"/>
              <w:right w:val="nil"/>
            </w:tcBorders>
            <w:shd w:val="clear" w:color="000000" w:fill="FFFFFF"/>
            <w:vAlign w:val="center"/>
            <w:hideMark/>
          </w:tcPr>
          <w:p w14:paraId="580074E8" w14:textId="77777777" w:rsidR="00BA7250" w:rsidRPr="00893C52" w:rsidRDefault="00BA7250" w:rsidP="00BA7250">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16</w:t>
            </w:r>
          </w:p>
        </w:tc>
        <w:tc>
          <w:tcPr>
            <w:tcW w:w="4857" w:type="dxa"/>
            <w:tcBorders>
              <w:top w:val="nil"/>
              <w:left w:val="nil"/>
              <w:bottom w:val="dotted" w:sz="4" w:space="0" w:color="auto"/>
              <w:right w:val="nil"/>
            </w:tcBorders>
            <w:shd w:val="clear" w:color="000000" w:fill="FFFFFF"/>
            <w:vAlign w:val="center"/>
            <w:hideMark/>
          </w:tcPr>
          <w:p w14:paraId="2491CE7C" w14:textId="4B5B5CC1" w:rsidR="00BA7250" w:rsidRPr="00893C52" w:rsidRDefault="00BA7250" w:rsidP="00452DBC">
            <w:pPr>
              <w:spacing w:after="0" w:line="240" w:lineRule="auto"/>
              <w:jc w:val="left"/>
              <w:rPr>
                <w:rFonts w:eastAsia="Times New Roman" w:cs="Times New Roman"/>
                <w:color w:val="000000"/>
                <w:sz w:val="20"/>
                <w:lang w:eastAsia="sk-SK"/>
              </w:rPr>
            </w:pPr>
            <w:bookmarkStart w:id="11" w:name="RANGE!B21"/>
            <w:r w:rsidRPr="00893C52">
              <w:rPr>
                <w:rFonts w:eastAsia="Times New Roman" w:cs="Times New Roman"/>
                <w:color w:val="000000"/>
                <w:sz w:val="20"/>
                <w:lang w:eastAsia="sk-SK"/>
              </w:rPr>
              <w:t>Zvýš</w:t>
            </w:r>
            <w:r>
              <w:rPr>
                <w:rFonts w:eastAsia="Times New Roman" w:cs="Times New Roman"/>
                <w:color w:val="000000"/>
                <w:sz w:val="20"/>
                <w:lang w:eastAsia="sk-SK"/>
              </w:rPr>
              <w:t>iť</w:t>
            </w:r>
            <w:r w:rsidRPr="00893C52">
              <w:rPr>
                <w:rFonts w:eastAsia="Times New Roman" w:cs="Times New Roman"/>
                <w:color w:val="000000"/>
                <w:sz w:val="20"/>
                <w:lang w:eastAsia="sk-SK"/>
              </w:rPr>
              <w:t xml:space="preserve"> dostupnos</w:t>
            </w:r>
            <w:r>
              <w:rPr>
                <w:rFonts w:eastAsia="Times New Roman" w:cs="Times New Roman"/>
                <w:color w:val="000000"/>
                <w:sz w:val="20"/>
                <w:lang w:eastAsia="sk-SK"/>
              </w:rPr>
              <w:t>ť</w:t>
            </w:r>
            <w:r w:rsidRPr="00893C52">
              <w:rPr>
                <w:rFonts w:eastAsia="Times New Roman" w:cs="Times New Roman"/>
                <w:color w:val="000000"/>
                <w:sz w:val="20"/>
                <w:lang w:eastAsia="sk-SK"/>
              </w:rPr>
              <w:t xml:space="preserve"> príspevku pri narodení dieťaťa</w:t>
            </w:r>
            <w:bookmarkEnd w:id="11"/>
          </w:p>
        </w:tc>
        <w:tc>
          <w:tcPr>
            <w:tcW w:w="1053" w:type="dxa"/>
            <w:tcBorders>
              <w:top w:val="nil"/>
              <w:left w:val="nil"/>
              <w:bottom w:val="dotted" w:sz="4" w:space="0" w:color="auto"/>
              <w:right w:val="nil"/>
            </w:tcBorders>
            <w:shd w:val="clear" w:color="000000" w:fill="FFFFFF"/>
            <w:vAlign w:val="center"/>
            <w:hideMark/>
          </w:tcPr>
          <w:p w14:paraId="08AB3B99" w14:textId="1EE40634" w:rsidR="00BA7250" w:rsidRPr="00893C52" w:rsidRDefault="00BA7250" w:rsidP="00BA7250">
            <w:pPr>
              <w:spacing w:after="0" w:line="240" w:lineRule="auto"/>
              <w:jc w:val="center"/>
              <w:rPr>
                <w:rFonts w:eastAsia="Times New Roman" w:cs="Times New Roman"/>
                <w:color w:val="000000"/>
                <w:sz w:val="20"/>
                <w:lang w:eastAsia="sk-SK"/>
              </w:rPr>
            </w:pPr>
            <w:r>
              <w:rPr>
                <w:color w:val="000000"/>
                <w:sz w:val="20"/>
              </w:rPr>
              <w:t>0,8</w:t>
            </w:r>
          </w:p>
        </w:tc>
        <w:tc>
          <w:tcPr>
            <w:tcW w:w="996" w:type="dxa"/>
            <w:tcBorders>
              <w:top w:val="nil"/>
              <w:left w:val="nil"/>
              <w:bottom w:val="dotted" w:sz="4" w:space="0" w:color="auto"/>
              <w:right w:val="nil"/>
            </w:tcBorders>
            <w:shd w:val="clear" w:color="000000" w:fill="FFFFFF"/>
            <w:vAlign w:val="center"/>
            <w:hideMark/>
          </w:tcPr>
          <w:p w14:paraId="2C1A1A2D" w14:textId="144C2F0F" w:rsidR="00BA7250" w:rsidRPr="00893C52" w:rsidRDefault="00BA7250" w:rsidP="00BA7250">
            <w:pPr>
              <w:spacing w:after="0" w:line="240" w:lineRule="auto"/>
              <w:jc w:val="center"/>
              <w:rPr>
                <w:rFonts w:eastAsia="Times New Roman" w:cs="Times New Roman"/>
                <w:color w:val="000000"/>
                <w:sz w:val="20"/>
                <w:lang w:eastAsia="sk-SK"/>
              </w:rPr>
            </w:pPr>
            <w:r>
              <w:rPr>
                <w:color w:val="000000"/>
                <w:sz w:val="20"/>
              </w:rPr>
              <w:t>0,8</w:t>
            </w:r>
          </w:p>
        </w:tc>
        <w:tc>
          <w:tcPr>
            <w:tcW w:w="569" w:type="dxa"/>
            <w:tcBorders>
              <w:top w:val="nil"/>
              <w:left w:val="nil"/>
              <w:bottom w:val="dotted" w:sz="4" w:space="0" w:color="auto"/>
              <w:right w:val="nil"/>
            </w:tcBorders>
            <w:shd w:val="clear" w:color="000000" w:fill="FFFFFF"/>
            <w:vAlign w:val="center"/>
            <w:hideMark/>
          </w:tcPr>
          <w:p w14:paraId="006AEFAB" w14:textId="5075AB3F" w:rsidR="00BA7250" w:rsidRPr="00893C52" w:rsidRDefault="00BA7250" w:rsidP="00BA7250">
            <w:pPr>
              <w:spacing w:after="0" w:line="240" w:lineRule="auto"/>
              <w:jc w:val="center"/>
              <w:rPr>
                <w:rFonts w:eastAsia="Times New Roman" w:cs="Times New Roman"/>
                <w:color w:val="000000"/>
                <w:sz w:val="20"/>
                <w:lang w:eastAsia="sk-SK"/>
              </w:rPr>
            </w:pPr>
            <w:r>
              <w:rPr>
                <w:rFonts w:cs="Calibri"/>
                <w:color w:val="000000"/>
                <w:sz w:val="20"/>
              </w:rPr>
              <w:t>1</w:t>
            </w:r>
          </w:p>
        </w:tc>
        <w:tc>
          <w:tcPr>
            <w:tcW w:w="1273" w:type="dxa"/>
            <w:tcBorders>
              <w:top w:val="nil"/>
              <w:left w:val="nil"/>
              <w:bottom w:val="dotted" w:sz="4" w:space="0" w:color="auto"/>
              <w:right w:val="nil"/>
            </w:tcBorders>
            <w:shd w:val="clear" w:color="000000" w:fill="FFFFFF"/>
            <w:vAlign w:val="center"/>
            <w:hideMark/>
          </w:tcPr>
          <w:p w14:paraId="217912E5" w14:textId="77777777" w:rsidR="00BA7250" w:rsidRPr="00893C52" w:rsidRDefault="00BA7250" w:rsidP="00BA7250">
            <w:pPr>
              <w:spacing w:after="0" w:line="240" w:lineRule="auto"/>
              <w:rPr>
                <w:rFonts w:eastAsia="Times New Roman" w:cs="Times New Roman"/>
                <w:color w:val="000000"/>
                <w:sz w:val="20"/>
                <w:lang w:eastAsia="sk-SK"/>
              </w:rPr>
            </w:pPr>
            <w:r w:rsidRPr="00893C52">
              <w:rPr>
                <w:rFonts w:eastAsia="Times New Roman" w:cs="Times New Roman"/>
                <w:color w:val="000000"/>
                <w:sz w:val="20"/>
                <w:lang w:eastAsia="sk-SK"/>
              </w:rPr>
              <w:t>MPSVaR</w:t>
            </w:r>
          </w:p>
        </w:tc>
      </w:tr>
      <w:tr w:rsidR="00BA7250" w:rsidRPr="00893C52" w14:paraId="1AA50DEE" w14:textId="77777777" w:rsidTr="00F322D1">
        <w:trPr>
          <w:trHeight w:val="476"/>
        </w:trPr>
        <w:tc>
          <w:tcPr>
            <w:tcW w:w="324" w:type="dxa"/>
            <w:tcBorders>
              <w:top w:val="nil"/>
              <w:left w:val="nil"/>
              <w:bottom w:val="dotted" w:sz="4" w:space="0" w:color="auto"/>
              <w:right w:val="nil"/>
            </w:tcBorders>
            <w:shd w:val="clear" w:color="000000" w:fill="FFFFFF"/>
            <w:vAlign w:val="center"/>
            <w:hideMark/>
          </w:tcPr>
          <w:p w14:paraId="55A96460" w14:textId="6797C85C" w:rsidR="00BA7250" w:rsidRPr="00893C52" w:rsidRDefault="00EF63D6" w:rsidP="00BA7250">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17</w:t>
            </w:r>
          </w:p>
        </w:tc>
        <w:tc>
          <w:tcPr>
            <w:tcW w:w="4857" w:type="dxa"/>
            <w:tcBorders>
              <w:top w:val="nil"/>
              <w:left w:val="nil"/>
              <w:bottom w:val="dotted" w:sz="4" w:space="0" w:color="auto"/>
              <w:right w:val="nil"/>
            </w:tcBorders>
            <w:shd w:val="clear" w:color="000000" w:fill="FFFFFF"/>
            <w:vAlign w:val="center"/>
            <w:hideMark/>
          </w:tcPr>
          <w:p w14:paraId="5E7C8C37" w14:textId="7785A4A6" w:rsidR="00BA7250" w:rsidRPr="00893C52" w:rsidRDefault="00BA7250" w:rsidP="00452DBC">
            <w:pPr>
              <w:spacing w:after="0" w:line="240" w:lineRule="auto"/>
              <w:jc w:val="left"/>
              <w:rPr>
                <w:rFonts w:eastAsia="Times New Roman" w:cs="Times New Roman"/>
                <w:color w:val="000000"/>
                <w:sz w:val="20"/>
                <w:lang w:eastAsia="sk-SK"/>
              </w:rPr>
            </w:pPr>
            <w:bookmarkStart w:id="12" w:name="RANGE!B23"/>
            <w:r>
              <w:rPr>
                <w:rFonts w:eastAsia="Times New Roman" w:cs="Times New Roman"/>
                <w:color w:val="000000"/>
                <w:sz w:val="20"/>
                <w:lang w:eastAsia="sk-SK"/>
              </w:rPr>
              <w:t>Znížiť spoluúčasť osoby s ŤZP pri jednorazových peňažných príspevkoch</w:t>
            </w:r>
            <w:r w:rsidR="0070047D">
              <w:rPr>
                <w:rFonts w:eastAsia="Times New Roman" w:cs="Times New Roman"/>
                <w:color w:val="000000"/>
                <w:sz w:val="20"/>
                <w:lang w:eastAsia="sk-SK"/>
              </w:rPr>
              <w:t xml:space="preserve"> na </w:t>
            </w:r>
            <w:r w:rsidRPr="00893C52">
              <w:rPr>
                <w:rFonts w:eastAsia="Times New Roman" w:cs="Times New Roman"/>
                <w:color w:val="000000"/>
                <w:sz w:val="20"/>
                <w:lang w:eastAsia="sk-SK"/>
              </w:rPr>
              <w:t xml:space="preserve">kompenzáciu </w:t>
            </w:r>
            <w:r>
              <w:rPr>
                <w:rFonts w:eastAsia="Times New Roman" w:cs="Times New Roman"/>
                <w:color w:val="000000"/>
                <w:sz w:val="20"/>
                <w:lang w:eastAsia="sk-SK"/>
              </w:rPr>
              <w:t>sociálnych</w:t>
            </w:r>
            <w:r w:rsidRPr="00893C52">
              <w:rPr>
                <w:rFonts w:eastAsia="Times New Roman" w:cs="Times New Roman"/>
                <w:color w:val="000000"/>
                <w:sz w:val="20"/>
                <w:lang w:eastAsia="sk-SK"/>
              </w:rPr>
              <w:t xml:space="preserve"> dôsledkov ŤZP</w:t>
            </w:r>
            <w:bookmarkEnd w:id="12"/>
          </w:p>
        </w:tc>
        <w:tc>
          <w:tcPr>
            <w:tcW w:w="1053" w:type="dxa"/>
            <w:tcBorders>
              <w:top w:val="nil"/>
              <w:left w:val="nil"/>
              <w:bottom w:val="dotted" w:sz="4" w:space="0" w:color="auto"/>
              <w:right w:val="nil"/>
            </w:tcBorders>
            <w:shd w:val="clear" w:color="000000" w:fill="FFFFFF"/>
            <w:vAlign w:val="center"/>
            <w:hideMark/>
          </w:tcPr>
          <w:p w14:paraId="6B1C15E9" w14:textId="2C16AB7C" w:rsidR="00BA7250" w:rsidRPr="00893C52" w:rsidRDefault="00BA7250" w:rsidP="00BA7250">
            <w:pPr>
              <w:spacing w:after="0" w:line="240" w:lineRule="auto"/>
              <w:jc w:val="center"/>
              <w:rPr>
                <w:rFonts w:eastAsia="Times New Roman" w:cs="Times New Roman"/>
                <w:color w:val="000000"/>
                <w:sz w:val="20"/>
                <w:lang w:eastAsia="sk-SK"/>
              </w:rPr>
            </w:pPr>
            <w:r>
              <w:rPr>
                <w:color w:val="000000"/>
                <w:sz w:val="20"/>
              </w:rPr>
              <w:t>0,2</w:t>
            </w:r>
          </w:p>
        </w:tc>
        <w:tc>
          <w:tcPr>
            <w:tcW w:w="996" w:type="dxa"/>
            <w:tcBorders>
              <w:top w:val="nil"/>
              <w:left w:val="nil"/>
              <w:bottom w:val="dotted" w:sz="4" w:space="0" w:color="auto"/>
              <w:right w:val="nil"/>
            </w:tcBorders>
            <w:shd w:val="clear" w:color="000000" w:fill="FFFFFF"/>
            <w:vAlign w:val="center"/>
            <w:hideMark/>
          </w:tcPr>
          <w:p w14:paraId="2F81761E" w14:textId="0ED0D0F3" w:rsidR="00BA7250" w:rsidRPr="00893C52" w:rsidRDefault="00BA7250" w:rsidP="00BA7250">
            <w:pPr>
              <w:spacing w:after="0" w:line="240" w:lineRule="auto"/>
              <w:jc w:val="center"/>
              <w:rPr>
                <w:rFonts w:eastAsia="Times New Roman" w:cs="Times New Roman"/>
                <w:color w:val="000000"/>
                <w:sz w:val="20"/>
                <w:lang w:eastAsia="sk-SK"/>
              </w:rPr>
            </w:pPr>
            <w:r>
              <w:rPr>
                <w:color w:val="000000"/>
                <w:sz w:val="20"/>
              </w:rPr>
              <w:t>0,2</w:t>
            </w:r>
          </w:p>
        </w:tc>
        <w:tc>
          <w:tcPr>
            <w:tcW w:w="569" w:type="dxa"/>
            <w:tcBorders>
              <w:top w:val="nil"/>
              <w:left w:val="nil"/>
              <w:bottom w:val="dotted" w:sz="4" w:space="0" w:color="auto"/>
              <w:right w:val="nil"/>
            </w:tcBorders>
            <w:shd w:val="clear" w:color="000000" w:fill="FFFFFF"/>
            <w:vAlign w:val="center"/>
            <w:hideMark/>
          </w:tcPr>
          <w:p w14:paraId="149D3B16" w14:textId="190CD5FE" w:rsidR="00BA7250" w:rsidRPr="00893C52" w:rsidRDefault="00BA7250" w:rsidP="00BA7250">
            <w:pPr>
              <w:spacing w:after="0" w:line="240" w:lineRule="auto"/>
              <w:jc w:val="center"/>
              <w:rPr>
                <w:rFonts w:eastAsia="Times New Roman" w:cs="Times New Roman"/>
                <w:color w:val="000000"/>
                <w:sz w:val="20"/>
                <w:lang w:eastAsia="sk-SK"/>
              </w:rPr>
            </w:pPr>
            <w:r>
              <w:rPr>
                <w:rFonts w:cs="Calibri"/>
                <w:color w:val="000000"/>
                <w:sz w:val="20"/>
              </w:rPr>
              <w:t>1</w:t>
            </w:r>
          </w:p>
        </w:tc>
        <w:tc>
          <w:tcPr>
            <w:tcW w:w="1273" w:type="dxa"/>
            <w:tcBorders>
              <w:top w:val="nil"/>
              <w:left w:val="nil"/>
              <w:bottom w:val="dotted" w:sz="4" w:space="0" w:color="auto"/>
              <w:right w:val="nil"/>
            </w:tcBorders>
            <w:shd w:val="clear" w:color="000000" w:fill="FFFFFF"/>
            <w:vAlign w:val="center"/>
            <w:hideMark/>
          </w:tcPr>
          <w:p w14:paraId="6EF07AD4" w14:textId="77777777" w:rsidR="00BA7250" w:rsidRPr="00893C52" w:rsidRDefault="00BA7250" w:rsidP="00BA7250">
            <w:pPr>
              <w:spacing w:after="0" w:line="240" w:lineRule="auto"/>
              <w:rPr>
                <w:rFonts w:eastAsia="Times New Roman" w:cs="Times New Roman"/>
                <w:color w:val="000000"/>
                <w:sz w:val="20"/>
                <w:lang w:eastAsia="sk-SK"/>
              </w:rPr>
            </w:pPr>
            <w:r w:rsidRPr="00893C52">
              <w:rPr>
                <w:rFonts w:eastAsia="Times New Roman" w:cs="Times New Roman"/>
                <w:color w:val="000000"/>
                <w:sz w:val="20"/>
                <w:lang w:eastAsia="sk-SK"/>
              </w:rPr>
              <w:t>MPSVaR</w:t>
            </w:r>
          </w:p>
        </w:tc>
      </w:tr>
      <w:tr w:rsidR="00BA7250" w:rsidRPr="00893C52" w14:paraId="2F225AB1" w14:textId="77777777" w:rsidTr="00F322D1">
        <w:trPr>
          <w:trHeight w:val="238"/>
        </w:trPr>
        <w:tc>
          <w:tcPr>
            <w:tcW w:w="324" w:type="dxa"/>
            <w:tcBorders>
              <w:top w:val="nil"/>
              <w:left w:val="nil"/>
              <w:bottom w:val="nil"/>
              <w:right w:val="nil"/>
            </w:tcBorders>
            <w:shd w:val="clear" w:color="000000" w:fill="FFFFFF"/>
            <w:vAlign w:val="center"/>
            <w:hideMark/>
          </w:tcPr>
          <w:p w14:paraId="49142120" w14:textId="06344AB8" w:rsidR="00BA7250" w:rsidRPr="00893C52" w:rsidRDefault="00EF63D6" w:rsidP="00BA7250">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18</w:t>
            </w:r>
          </w:p>
        </w:tc>
        <w:tc>
          <w:tcPr>
            <w:tcW w:w="4857" w:type="dxa"/>
            <w:tcBorders>
              <w:top w:val="nil"/>
              <w:left w:val="nil"/>
              <w:bottom w:val="nil"/>
              <w:right w:val="nil"/>
            </w:tcBorders>
            <w:shd w:val="clear" w:color="000000" w:fill="FFFFFF"/>
            <w:vAlign w:val="center"/>
            <w:hideMark/>
          </w:tcPr>
          <w:p w14:paraId="2447B546" w14:textId="3D5D8005" w:rsidR="00BA7250" w:rsidRPr="004C3FEF" w:rsidRDefault="00BA7250" w:rsidP="00452DBC">
            <w:pPr>
              <w:spacing w:after="0" w:line="240" w:lineRule="auto"/>
              <w:jc w:val="left"/>
              <w:rPr>
                <w:rFonts w:eastAsia="Times New Roman" w:cs="Times New Roman"/>
                <w:color w:val="000000"/>
                <w:sz w:val="20"/>
                <w:lang w:eastAsia="sk-SK"/>
              </w:rPr>
            </w:pPr>
            <w:r w:rsidRPr="00BA7250">
              <w:rPr>
                <w:rFonts w:eastAsia="Times New Roman" w:cs="Times New Roman"/>
                <w:color w:val="000000"/>
                <w:sz w:val="20"/>
                <w:lang w:eastAsia="sk-SK"/>
              </w:rPr>
              <w:t>Realizovať pilotné projekty pomoci ľuďom, ktorí prešli osobným bankrotom a osamelým rodičom</w:t>
            </w:r>
          </w:p>
        </w:tc>
        <w:tc>
          <w:tcPr>
            <w:tcW w:w="1053" w:type="dxa"/>
            <w:tcBorders>
              <w:top w:val="nil"/>
              <w:left w:val="nil"/>
              <w:bottom w:val="nil"/>
              <w:right w:val="nil"/>
            </w:tcBorders>
            <w:shd w:val="clear" w:color="000000" w:fill="FFFFFF"/>
            <w:vAlign w:val="center"/>
            <w:hideMark/>
          </w:tcPr>
          <w:p w14:paraId="6E020070" w14:textId="44A6F632" w:rsidR="00BA7250" w:rsidRPr="00893C52" w:rsidRDefault="00BA7250" w:rsidP="00BA7250">
            <w:pPr>
              <w:spacing w:after="0" w:line="240" w:lineRule="auto"/>
              <w:jc w:val="center"/>
              <w:rPr>
                <w:rFonts w:eastAsia="Times New Roman" w:cs="Times New Roman"/>
                <w:color w:val="000000"/>
                <w:sz w:val="20"/>
                <w:lang w:eastAsia="sk-SK"/>
              </w:rPr>
            </w:pPr>
            <w:r>
              <w:rPr>
                <w:color w:val="000000"/>
                <w:sz w:val="20"/>
              </w:rPr>
              <w:t>0,5</w:t>
            </w:r>
          </w:p>
        </w:tc>
        <w:tc>
          <w:tcPr>
            <w:tcW w:w="996" w:type="dxa"/>
            <w:tcBorders>
              <w:top w:val="nil"/>
              <w:left w:val="nil"/>
              <w:bottom w:val="nil"/>
              <w:right w:val="nil"/>
            </w:tcBorders>
            <w:shd w:val="clear" w:color="000000" w:fill="FFFFFF"/>
            <w:vAlign w:val="center"/>
            <w:hideMark/>
          </w:tcPr>
          <w:p w14:paraId="5DD7C9DD" w14:textId="2AC31B36" w:rsidR="00BA7250" w:rsidRPr="00893C52" w:rsidRDefault="00BA7250" w:rsidP="00BA7250">
            <w:pPr>
              <w:spacing w:after="0" w:line="240" w:lineRule="auto"/>
              <w:jc w:val="center"/>
              <w:rPr>
                <w:rFonts w:eastAsia="Times New Roman" w:cs="Times New Roman"/>
                <w:color w:val="000000"/>
                <w:sz w:val="20"/>
                <w:lang w:eastAsia="sk-SK"/>
              </w:rPr>
            </w:pPr>
            <w:r>
              <w:rPr>
                <w:color w:val="000000"/>
                <w:sz w:val="20"/>
              </w:rPr>
              <w:t>1,0</w:t>
            </w:r>
          </w:p>
        </w:tc>
        <w:tc>
          <w:tcPr>
            <w:tcW w:w="569" w:type="dxa"/>
            <w:tcBorders>
              <w:top w:val="nil"/>
              <w:left w:val="nil"/>
              <w:bottom w:val="nil"/>
              <w:right w:val="nil"/>
            </w:tcBorders>
            <w:shd w:val="clear" w:color="000000" w:fill="FFFFFF"/>
            <w:vAlign w:val="center"/>
            <w:hideMark/>
          </w:tcPr>
          <w:p w14:paraId="3A6802D2" w14:textId="0783F1FB" w:rsidR="00BA7250" w:rsidRPr="00893C52" w:rsidRDefault="00BA7250" w:rsidP="00BA7250">
            <w:pPr>
              <w:spacing w:after="0" w:line="240" w:lineRule="auto"/>
              <w:jc w:val="center"/>
              <w:rPr>
                <w:rFonts w:eastAsia="Times New Roman" w:cs="Times New Roman"/>
                <w:color w:val="000000"/>
                <w:sz w:val="20"/>
                <w:lang w:eastAsia="sk-SK"/>
              </w:rPr>
            </w:pPr>
            <w:r>
              <w:rPr>
                <w:rFonts w:cs="Calibri"/>
                <w:color w:val="000000"/>
                <w:sz w:val="20"/>
              </w:rPr>
              <w:t>2</w:t>
            </w:r>
          </w:p>
        </w:tc>
        <w:tc>
          <w:tcPr>
            <w:tcW w:w="1273" w:type="dxa"/>
            <w:tcBorders>
              <w:top w:val="nil"/>
              <w:left w:val="nil"/>
              <w:bottom w:val="nil"/>
              <w:right w:val="nil"/>
            </w:tcBorders>
            <w:shd w:val="clear" w:color="000000" w:fill="FFFFFF"/>
            <w:vAlign w:val="center"/>
            <w:hideMark/>
          </w:tcPr>
          <w:p w14:paraId="4340FC78" w14:textId="77777777" w:rsidR="00BA7250" w:rsidRPr="00893C52" w:rsidRDefault="00BA7250" w:rsidP="00BA7250">
            <w:pPr>
              <w:spacing w:after="0" w:line="240" w:lineRule="auto"/>
              <w:rPr>
                <w:rFonts w:eastAsia="Times New Roman" w:cs="Times New Roman"/>
                <w:color w:val="000000"/>
                <w:sz w:val="20"/>
                <w:lang w:eastAsia="sk-SK"/>
              </w:rPr>
            </w:pPr>
            <w:r>
              <w:rPr>
                <w:rFonts w:eastAsia="Times New Roman" w:cs="Times New Roman"/>
                <w:color w:val="000000"/>
                <w:sz w:val="20"/>
                <w:lang w:eastAsia="sk-SK"/>
              </w:rPr>
              <w:t>ÚPSVaR, MS</w:t>
            </w:r>
          </w:p>
        </w:tc>
      </w:tr>
      <w:tr w:rsidR="00BA7250" w:rsidRPr="00893C52" w14:paraId="5D170B52" w14:textId="77777777" w:rsidTr="00F322D1">
        <w:trPr>
          <w:trHeight w:val="476"/>
        </w:trPr>
        <w:tc>
          <w:tcPr>
            <w:tcW w:w="324" w:type="dxa"/>
            <w:tcBorders>
              <w:top w:val="single" w:sz="4" w:space="0" w:color="auto"/>
              <w:left w:val="nil"/>
              <w:bottom w:val="single" w:sz="4" w:space="0" w:color="auto"/>
              <w:right w:val="nil"/>
            </w:tcBorders>
            <w:shd w:val="clear" w:color="000000" w:fill="FFFFFF"/>
            <w:vAlign w:val="center"/>
            <w:hideMark/>
          </w:tcPr>
          <w:p w14:paraId="53FDFCA2" w14:textId="77777777" w:rsidR="00BA7250" w:rsidRPr="00893C52" w:rsidRDefault="00BA7250" w:rsidP="00BA7250">
            <w:pPr>
              <w:spacing w:after="0" w:line="240" w:lineRule="auto"/>
              <w:jc w:val="center"/>
              <w:rPr>
                <w:rFonts w:eastAsia="Times New Roman" w:cs="Times New Roman"/>
                <w:b/>
                <w:bCs/>
                <w:color w:val="000000"/>
                <w:sz w:val="20"/>
                <w:lang w:eastAsia="sk-SK"/>
              </w:rPr>
            </w:pPr>
            <w:r w:rsidRPr="00893C52">
              <w:rPr>
                <w:rFonts w:eastAsia="Times New Roman" w:cs="Times New Roman"/>
                <w:b/>
                <w:bCs/>
                <w:color w:val="000000"/>
                <w:sz w:val="20"/>
                <w:lang w:eastAsia="sk-SK"/>
              </w:rPr>
              <w:t> </w:t>
            </w:r>
          </w:p>
        </w:tc>
        <w:tc>
          <w:tcPr>
            <w:tcW w:w="4857" w:type="dxa"/>
            <w:tcBorders>
              <w:top w:val="single" w:sz="4" w:space="0" w:color="auto"/>
              <w:left w:val="nil"/>
              <w:bottom w:val="single" w:sz="4" w:space="0" w:color="auto"/>
              <w:right w:val="nil"/>
            </w:tcBorders>
            <w:shd w:val="clear" w:color="000000" w:fill="FFFFFF"/>
            <w:vAlign w:val="center"/>
            <w:hideMark/>
          </w:tcPr>
          <w:p w14:paraId="51D1C5DE" w14:textId="77777777" w:rsidR="00BA7250" w:rsidRPr="00893C52" w:rsidRDefault="00BA7250" w:rsidP="00452DBC">
            <w:pPr>
              <w:spacing w:after="0" w:line="240" w:lineRule="auto"/>
              <w:jc w:val="left"/>
              <w:rPr>
                <w:rFonts w:eastAsia="Times New Roman" w:cs="Times New Roman"/>
                <w:b/>
                <w:bCs/>
                <w:color w:val="000000"/>
                <w:sz w:val="20"/>
                <w:lang w:eastAsia="sk-SK"/>
              </w:rPr>
            </w:pPr>
            <w:r w:rsidRPr="00893C52">
              <w:rPr>
                <w:rFonts w:eastAsia="Times New Roman" w:cs="Times New Roman"/>
                <w:b/>
                <w:bCs/>
                <w:color w:val="000000"/>
                <w:sz w:val="20"/>
                <w:lang w:eastAsia="sk-SK"/>
              </w:rPr>
              <w:t>Zdravotníctvo</w:t>
            </w:r>
          </w:p>
        </w:tc>
        <w:tc>
          <w:tcPr>
            <w:tcW w:w="1053" w:type="dxa"/>
            <w:tcBorders>
              <w:top w:val="single" w:sz="4" w:space="0" w:color="auto"/>
              <w:left w:val="nil"/>
              <w:bottom w:val="single" w:sz="4" w:space="0" w:color="auto"/>
              <w:right w:val="nil"/>
            </w:tcBorders>
            <w:shd w:val="clear" w:color="000000" w:fill="FFFFFF"/>
            <w:vAlign w:val="center"/>
            <w:hideMark/>
          </w:tcPr>
          <w:p w14:paraId="77A0A884" w14:textId="4C830982" w:rsidR="00BA7250" w:rsidRPr="00893C52" w:rsidRDefault="00BA7250" w:rsidP="00BA7250">
            <w:pPr>
              <w:spacing w:after="0" w:line="240" w:lineRule="auto"/>
              <w:jc w:val="center"/>
              <w:rPr>
                <w:rFonts w:eastAsia="Times New Roman" w:cs="Times New Roman"/>
                <w:b/>
                <w:bCs/>
                <w:color w:val="000000"/>
                <w:sz w:val="20"/>
                <w:lang w:eastAsia="sk-SK"/>
              </w:rPr>
            </w:pPr>
            <w:r>
              <w:rPr>
                <w:b/>
                <w:bCs/>
                <w:color w:val="000000"/>
                <w:sz w:val="20"/>
              </w:rPr>
              <w:t>1,4</w:t>
            </w:r>
          </w:p>
        </w:tc>
        <w:tc>
          <w:tcPr>
            <w:tcW w:w="996" w:type="dxa"/>
            <w:tcBorders>
              <w:top w:val="single" w:sz="4" w:space="0" w:color="auto"/>
              <w:left w:val="nil"/>
              <w:bottom w:val="single" w:sz="4" w:space="0" w:color="auto"/>
              <w:right w:val="nil"/>
            </w:tcBorders>
            <w:shd w:val="clear" w:color="000000" w:fill="FFFFFF"/>
            <w:vAlign w:val="center"/>
            <w:hideMark/>
          </w:tcPr>
          <w:p w14:paraId="696DCC1B" w14:textId="4BB3BBAC" w:rsidR="00BA7250" w:rsidRPr="00893C52" w:rsidRDefault="00BA7250" w:rsidP="00BA7250">
            <w:pPr>
              <w:spacing w:after="0" w:line="240" w:lineRule="auto"/>
              <w:jc w:val="center"/>
              <w:rPr>
                <w:rFonts w:eastAsia="Times New Roman" w:cs="Times New Roman"/>
                <w:b/>
                <w:bCs/>
                <w:color w:val="000000"/>
                <w:sz w:val="20"/>
                <w:lang w:eastAsia="sk-SK"/>
              </w:rPr>
            </w:pPr>
            <w:r>
              <w:rPr>
                <w:b/>
                <w:bCs/>
                <w:color w:val="000000"/>
                <w:sz w:val="20"/>
              </w:rPr>
              <w:t>1,4</w:t>
            </w:r>
          </w:p>
        </w:tc>
        <w:tc>
          <w:tcPr>
            <w:tcW w:w="569" w:type="dxa"/>
            <w:tcBorders>
              <w:top w:val="single" w:sz="4" w:space="0" w:color="auto"/>
              <w:left w:val="nil"/>
              <w:bottom w:val="single" w:sz="4" w:space="0" w:color="auto"/>
              <w:right w:val="nil"/>
            </w:tcBorders>
            <w:shd w:val="clear" w:color="000000" w:fill="FFFFFF"/>
            <w:vAlign w:val="center"/>
            <w:hideMark/>
          </w:tcPr>
          <w:p w14:paraId="343C2743" w14:textId="1730F55B" w:rsidR="00BA7250" w:rsidRPr="00893C52" w:rsidRDefault="00BA7250" w:rsidP="00BA7250">
            <w:pPr>
              <w:spacing w:after="0" w:line="240" w:lineRule="auto"/>
              <w:jc w:val="center"/>
              <w:rPr>
                <w:rFonts w:eastAsia="Times New Roman" w:cs="Times New Roman"/>
                <w:b/>
                <w:bCs/>
                <w:color w:val="000000"/>
                <w:sz w:val="20"/>
                <w:lang w:eastAsia="sk-SK"/>
              </w:rPr>
            </w:pPr>
          </w:p>
        </w:tc>
        <w:tc>
          <w:tcPr>
            <w:tcW w:w="1273" w:type="dxa"/>
            <w:tcBorders>
              <w:top w:val="single" w:sz="4" w:space="0" w:color="auto"/>
              <w:left w:val="nil"/>
              <w:bottom w:val="single" w:sz="4" w:space="0" w:color="auto"/>
              <w:right w:val="nil"/>
            </w:tcBorders>
            <w:shd w:val="clear" w:color="000000" w:fill="FFFFFF"/>
            <w:vAlign w:val="center"/>
            <w:hideMark/>
          </w:tcPr>
          <w:p w14:paraId="02BB0E0F" w14:textId="77777777" w:rsidR="00BA7250" w:rsidRPr="00893C52" w:rsidRDefault="00BA7250" w:rsidP="00BA7250">
            <w:pPr>
              <w:spacing w:after="0" w:line="240" w:lineRule="auto"/>
              <w:rPr>
                <w:rFonts w:eastAsia="Times New Roman" w:cs="Times New Roman"/>
                <w:b/>
                <w:bCs/>
                <w:color w:val="000000"/>
                <w:sz w:val="20"/>
                <w:lang w:eastAsia="sk-SK"/>
              </w:rPr>
            </w:pPr>
            <w:r w:rsidRPr="00893C52">
              <w:rPr>
                <w:rFonts w:eastAsia="Times New Roman" w:cs="Times New Roman"/>
                <w:b/>
                <w:bCs/>
                <w:color w:val="000000"/>
                <w:sz w:val="20"/>
                <w:lang w:eastAsia="sk-SK"/>
              </w:rPr>
              <w:t> </w:t>
            </w:r>
          </w:p>
        </w:tc>
      </w:tr>
      <w:tr w:rsidR="00BA7250" w:rsidRPr="00893C52" w14:paraId="57E6D3D1" w14:textId="77777777" w:rsidTr="00F322D1">
        <w:trPr>
          <w:trHeight w:val="238"/>
        </w:trPr>
        <w:tc>
          <w:tcPr>
            <w:tcW w:w="324" w:type="dxa"/>
            <w:tcBorders>
              <w:top w:val="nil"/>
              <w:left w:val="nil"/>
              <w:bottom w:val="dotted" w:sz="4" w:space="0" w:color="auto"/>
              <w:right w:val="nil"/>
            </w:tcBorders>
            <w:shd w:val="clear" w:color="000000" w:fill="FFFFFF"/>
            <w:vAlign w:val="center"/>
            <w:hideMark/>
          </w:tcPr>
          <w:p w14:paraId="581A39A2" w14:textId="25698576" w:rsidR="00BA7250" w:rsidRPr="00893C52" w:rsidRDefault="00EF63D6" w:rsidP="00BA7250">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19</w:t>
            </w:r>
          </w:p>
        </w:tc>
        <w:tc>
          <w:tcPr>
            <w:tcW w:w="4857" w:type="dxa"/>
            <w:tcBorders>
              <w:top w:val="nil"/>
              <w:left w:val="nil"/>
              <w:bottom w:val="dotted" w:sz="4" w:space="0" w:color="auto"/>
              <w:right w:val="nil"/>
            </w:tcBorders>
            <w:shd w:val="clear" w:color="000000" w:fill="FFFFFF"/>
            <w:vAlign w:val="center"/>
            <w:hideMark/>
          </w:tcPr>
          <w:p w14:paraId="0121DB77" w14:textId="4A32F5F9" w:rsidR="00BA7250" w:rsidRPr="00893C52" w:rsidRDefault="00BA7250" w:rsidP="00452DBC">
            <w:pPr>
              <w:spacing w:after="0" w:line="240" w:lineRule="auto"/>
              <w:jc w:val="left"/>
              <w:rPr>
                <w:rFonts w:eastAsia="Times New Roman" w:cs="Times New Roman"/>
                <w:color w:val="000000"/>
                <w:sz w:val="20"/>
                <w:lang w:eastAsia="sk-SK"/>
              </w:rPr>
            </w:pPr>
            <w:bookmarkStart w:id="13" w:name="RANGE!B26"/>
            <w:r>
              <w:rPr>
                <w:rFonts w:eastAsia="Times New Roman" w:cs="Times New Roman"/>
                <w:color w:val="000000"/>
                <w:sz w:val="20"/>
                <w:lang w:eastAsia="sk-SK"/>
              </w:rPr>
              <w:t>Zvýšiť ochranu</w:t>
            </w:r>
            <w:r w:rsidRPr="00893C52">
              <w:rPr>
                <w:rFonts w:eastAsia="Times New Roman" w:cs="Times New Roman"/>
                <w:color w:val="000000"/>
                <w:sz w:val="20"/>
                <w:lang w:eastAsia="sk-SK"/>
              </w:rPr>
              <w:t xml:space="preserve"> pred doplatkami za lieky</w:t>
            </w:r>
            <w:bookmarkEnd w:id="13"/>
            <w:r>
              <w:rPr>
                <w:rFonts w:eastAsia="Times New Roman" w:cs="Times New Roman"/>
                <w:color w:val="000000"/>
                <w:sz w:val="20"/>
                <w:lang w:eastAsia="sk-SK"/>
              </w:rPr>
              <w:t xml:space="preserve"> na základe príjmu</w:t>
            </w:r>
          </w:p>
        </w:tc>
        <w:tc>
          <w:tcPr>
            <w:tcW w:w="1053" w:type="dxa"/>
            <w:tcBorders>
              <w:top w:val="nil"/>
              <w:left w:val="nil"/>
              <w:bottom w:val="dotted" w:sz="4" w:space="0" w:color="auto"/>
              <w:right w:val="nil"/>
            </w:tcBorders>
            <w:shd w:val="clear" w:color="000000" w:fill="FFFFFF"/>
            <w:vAlign w:val="center"/>
            <w:hideMark/>
          </w:tcPr>
          <w:p w14:paraId="0AED0F05" w14:textId="5B616590" w:rsidR="00BA7250" w:rsidRPr="00893C52" w:rsidRDefault="00BA7250" w:rsidP="00BA7250">
            <w:pPr>
              <w:spacing w:after="0" w:line="240" w:lineRule="auto"/>
              <w:jc w:val="center"/>
              <w:rPr>
                <w:rFonts w:eastAsia="Times New Roman" w:cs="Times New Roman"/>
                <w:color w:val="000000"/>
                <w:sz w:val="20"/>
                <w:lang w:eastAsia="sk-SK"/>
              </w:rPr>
            </w:pPr>
            <w:r>
              <w:rPr>
                <w:color w:val="000000"/>
                <w:sz w:val="20"/>
              </w:rPr>
              <w:t>1,3</w:t>
            </w:r>
          </w:p>
        </w:tc>
        <w:tc>
          <w:tcPr>
            <w:tcW w:w="996" w:type="dxa"/>
            <w:tcBorders>
              <w:top w:val="nil"/>
              <w:left w:val="nil"/>
              <w:bottom w:val="dotted" w:sz="4" w:space="0" w:color="auto"/>
              <w:right w:val="nil"/>
            </w:tcBorders>
            <w:shd w:val="clear" w:color="000000" w:fill="FFFFFF"/>
            <w:vAlign w:val="center"/>
            <w:hideMark/>
          </w:tcPr>
          <w:p w14:paraId="4365DB6E" w14:textId="16BDD827" w:rsidR="00BA7250" w:rsidRPr="00893C52" w:rsidRDefault="00BA7250" w:rsidP="00BA7250">
            <w:pPr>
              <w:spacing w:after="0" w:line="240" w:lineRule="auto"/>
              <w:jc w:val="center"/>
              <w:rPr>
                <w:rFonts w:eastAsia="Times New Roman" w:cs="Times New Roman"/>
                <w:color w:val="000000"/>
                <w:sz w:val="20"/>
                <w:lang w:eastAsia="sk-SK"/>
              </w:rPr>
            </w:pPr>
            <w:r>
              <w:rPr>
                <w:color w:val="000000"/>
                <w:sz w:val="20"/>
              </w:rPr>
              <w:t>1,3</w:t>
            </w:r>
          </w:p>
        </w:tc>
        <w:tc>
          <w:tcPr>
            <w:tcW w:w="569" w:type="dxa"/>
            <w:tcBorders>
              <w:top w:val="nil"/>
              <w:left w:val="nil"/>
              <w:bottom w:val="dotted" w:sz="4" w:space="0" w:color="auto"/>
              <w:right w:val="nil"/>
            </w:tcBorders>
            <w:shd w:val="clear" w:color="000000" w:fill="FFFFFF"/>
            <w:vAlign w:val="center"/>
            <w:hideMark/>
          </w:tcPr>
          <w:p w14:paraId="359FDB2C" w14:textId="343C0D73" w:rsidR="00BA7250" w:rsidRPr="00893C52" w:rsidRDefault="00BA7250" w:rsidP="00BA7250">
            <w:pPr>
              <w:spacing w:after="0" w:line="240" w:lineRule="auto"/>
              <w:jc w:val="center"/>
              <w:rPr>
                <w:rFonts w:eastAsia="Times New Roman" w:cs="Times New Roman"/>
                <w:color w:val="000000"/>
                <w:sz w:val="20"/>
                <w:lang w:eastAsia="sk-SK"/>
              </w:rPr>
            </w:pPr>
            <w:r>
              <w:rPr>
                <w:rFonts w:cs="Calibri"/>
                <w:color w:val="000000"/>
                <w:sz w:val="20"/>
              </w:rPr>
              <w:t>1</w:t>
            </w:r>
          </w:p>
        </w:tc>
        <w:tc>
          <w:tcPr>
            <w:tcW w:w="1273" w:type="dxa"/>
            <w:tcBorders>
              <w:top w:val="nil"/>
              <w:left w:val="nil"/>
              <w:bottom w:val="dotted" w:sz="4" w:space="0" w:color="auto"/>
              <w:right w:val="nil"/>
            </w:tcBorders>
            <w:shd w:val="clear" w:color="000000" w:fill="FFFFFF"/>
            <w:vAlign w:val="center"/>
            <w:hideMark/>
          </w:tcPr>
          <w:p w14:paraId="50A7FECD" w14:textId="77777777" w:rsidR="00BA7250" w:rsidRPr="00893C52" w:rsidRDefault="00BA7250" w:rsidP="00BA7250">
            <w:pPr>
              <w:spacing w:after="0" w:line="240" w:lineRule="auto"/>
              <w:rPr>
                <w:rFonts w:eastAsia="Times New Roman" w:cs="Times New Roman"/>
                <w:color w:val="000000"/>
                <w:sz w:val="20"/>
                <w:lang w:eastAsia="sk-SK"/>
              </w:rPr>
            </w:pPr>
            <w:r w:rsidRPr="00893C52">
              <w:rPr>
                <w:rFonts w:eastAsia="Times New Roman" w:cs="Times New Roman"/>
                <w:color w:val="000000"/>
                <w:sz w:val="20"/>
                <w:lang w:eastAsia="sk-SK"/>
              </w:rPr>
              <w:t>MZ</w:t>
            </w:r>
          </w:p>
        </w:tc>
      </w:tr>
      <w:tr w:rsidR="00BA7250" w:rsidRPr="00893C52" w14:paraId="2CF41495" w14:textId="77777777" w:rsidTr="00F322D1">
        <w:trPr>
          <w:trHeight w:val="238"/>
        </w:trPr>
        <w:tc>
          <w:tcPr>
            <w:tcW w:w="324" w:type="dxa"/>
            <w:tcBorders>
              <w:top w:val="nil"/>
              <w:left w:val="nil"/>
              <w:bottom w:val="nil"/>
              <w:right w:val="nil"/>
            </w:tcBorders>
            <w:shd w:val="clear" w:color="000000" w:fill="FFFFFF"/>
            <w:vAlign w:val="center"/>
            <w:hideMark/>
          </w:tcPr>
          <w:p w14:paraId="4D58CE7E" w14:textId="7A1BC43E" w:rsidR="00BA7250" w:rsidRPr="00893C52" w:rsidRDefault="00EF63D6" w:rsidP="00BA7250">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20</w:t>
            </w:r>
          </w:p>
        </w:tc>
        <w:tc>
          <w:tcPr>
            <w:tcW w:w="4857" w:type="dxa"/>
            <w:tcBorders>
              <w:top w:val="nil"/>
              <w:left w:val="nil"/>
              <w:bottom w:val="nil"/>
              <w:right w:val="nil"/>
            </w:tcBorders>
            <w:shd w:val="clear" w:color="000000" w:fill="FFFFFF"/>
            <w:vAlign w:val="center"/>
            <w:hideMark/>
          </w:tcPr>
          <w:p w14:paraId="62F6A23F" w14:textId="57BB1009" w:rsidR="00BA7250" w:rsidRPr="00893C52" w:rsidRDefault="00BA7250" w:rsidP="00452DBC">
            <w:pPr>
              <w:spacing w:after="0" w:line="240" w:lineRule="auto"/>
              <w:jc w:val="left"/>
              <w:rPr>
                <w:rFonts w:eastAsia="Times New Roman" w:cs="Times New Roman"/>
                <w:color w:val="000000"/>
                <w:sz w:val="20"/>
                <w:lang w:eastAsia="sk-SK"/>
              </w:rPr>
            </w:pPr>
            <w:bookmarkStart w:id="14" w:name="RANGE!B27"/>
            <w:r w:rsidRPr="00893C52">
              <w:rPr>
                <w:rFonts w:eastAsia="Times New Roman" w:cs="Times New Roman"/>
                <w:color w:val="000000"/>
                <w:sz w:val="20"/>
                <w:lang w:eastAsia="sk-SK"/>
              </w:rPr>
              <w:t>Pilot</w:t>
            </w:r>
            <w:r>
              <w:rPr>
                <w:rFonts w:eastAsia="Times New Roman" w:cs="Times New Roman"/>
                <w:color w:val="000000"/>
                <w:sz w:val="20"/>
                <w:lang w:eastAsia="sk-SK"/>
              </w:rPr>
              <w:t>ne overiť p</w:t>
            </w:r>
            <w:r w:rsidRPr="00893C52">
              <w:rPr>
                <w:rFonts w:eastAsia="Times New Roman" w:cs="Times New Roman"/>
                <w:color w:val="000000"/>
                <w:sz w:val="20"/>
                <w:lang w:eastAsia="sk-SK"/>
              </w:rPr>
              <w:t>odmienené tra</w:t>
            </w:r>
            <w:r>
              <w:rPr>
                <w:rFonts w:eastAsia="Times New Roman" w:cs="Times New Roman"/>
                <w:color w:val="000000"/>
                <w:sz w:val="20"/>
                <w:lang w:eastAsia="sk-SK"/>
              </w:rPr>
              <w:t>n</w:t>
            </w:r>
            <w:r w:rsidRPr="00893C52">
              <w:rPr>
                <w:rFonts w:eastAsia="Times New Roman" w:cs="Times New Roman"/>
                <w:color w:val="000000"/>
                <w:sz w:val="20"/>
                <w:lang w:eastAsia="sk-SK"/>
              </w:rPr>
              <w:t>sfery pri preventív</w:t>
            </w:r>
            <w:r w:rsidR="00A128D4">
              <w:rPr>
                <w:rFonts w:eastAsia="Times New Roman" w:cs="Times New Roman"/>
                <w:color w:val="000000"/>
                <w:sz w:val="20"/>
                <w:lang w:eastAsia="sk-SK"/>
              </w:rPr>
              <w:t>nych</w:t>
            </w:r>
            <w:r w:rsidRPr="00893C52">
              <w:rPr>
                <w:rFonts w:eastAsia="Times New Roman" w:cs="Times New Roman"/>
                <w:color w:val="000000"/>
                <w:sz w:val="20"/>
                <w:lang w:eastAsia="sk-SK"/>
              </w:rPr>
              <w:t xml:space="preserve"> prehliadkach</w:t>
            </w:r>
            <w:bookmarkEnd w:id="14"/>
          </w:p>
        </w:tc>
        <w:tc>
          <w:tcPr>
            <w:tcW w:w="1053" w:type="dxa"/>
            <w:tcBorders>
              <w:top w:val="nil"/>
              <w:left w:val="nil"/>
              <w:bottom w:val="nil"/>
              <w:right w:val="nil"/>
            </w:tcBorders>
            <w:shd w:val="clear" w:color="000000" w:fill="FFFFFF"/>
            <w:vAlign w:val="center"/>
            <w:hideMark/>
          </w:tcPr>
          <w:p w14:paraId="2ABB2900" w14:textId="5BE56FCE" w:rsidR="00BA7250" w:rsidRPr="00893C52" w:rsidRDefault="00BA7250" w:rsidP="00BA7250">
            <w:pPr>
              <w:spacing w:after="0" w:line="240" w:lineRule="auto"/>
              <w:jc w:val="center"/>
              <w:rPr>
                <w:rFonts w:eastAsia="Times New Roman" w:cs="Times New Roman"/>
                <w:color w:val="000000"/>
                <w:sz w:val="20"/>
                <w:lang w:eastAsia="sk-SK"/>
              </w:rPr>
            </w:pPr>
            <w:r>
              <w:rPr>
                <w:color w:val="000000"/>
                <w:sz w:val="20"/>
              </w:rPr>
              <w:t>0,1</w:t>
            </w:r>
          </w:p>
        </w:tc>
        <w:tc>
          <w:tcPr>
            <w:tcW w:w="996" w:type="dxa"/>
            <w:tcBorders>
              <w:top w:val="nil"/>
              <w:left w:val="nil"/>
              <w:bottom w:val="nil"/>
              <w:right w:val="nil"/>
            </w:tcBorders>
            <w:shd w:val="clear" w:color="000000" w:fill="FFFFFF"/>
            <w:vAlign w:val="center"/>
            <w:hideMark/>
          </w:tcPr>
          <w:p w14:paraId="69209DDE" w14:textId="521F4124" w:rsidR="00BA7250" w:rsidRPr="00893C52" w:rsidRDefault="00BA7250" w:rsidP="00BA7250">
            <w:pPr>
              <w:spacing w:after="0" w:line="240" w:lineRule="auto"/>
              <w:jc w:val="center"/>
              <w:rPr>
                <w:rFonts w:eastAsia="Times New Roman" w:cs="Times New Roman"/>
                <w:color w:val="000000"/>
                <w:sz w:val="20"/>
                <w:lang w:eastAsia="sk-SK"/>
              </w:rPr>
            </w:pPr>
            <w:r>
              <w:rPr>
                <w:color w:val="000000"/>
                <w:sz w:val="20"/>
              </w:rPr>
              <w:t>0,1</w:t>
            </w:r>
          </w:p>
        </w:tc>
        <w:tc>
          <w:tcPr>
            <w:tcW w:w="569" w:type="dxa"/>
            <w:tcBorders>
              <w:top w:val="nil"/>
              <w:left w:val="nil"/>
              <w:bottom w:val="nil"/>
              <w:right w:val="nil"/>
            </w:tcBorders>
            <w:shd w:val="clear" w:color="000000" w:fill="FFFFFF"/>
            <w:vAlign w:val="center"/>
            <w:hideMark/>
          </w:tcPr>
          <w:p w14:paraId="235548AF" w14:textId="5C752518" w:rsidR="00BA7250" w:rsidRPr="00893C52" w:rsidRDefault="00BA7250" w:rsidP="00BA7250">
            <w:pPr>
              <w:spacing w:after="0" w:line="240" w:lineRule="auto"/>
              <w:jc w:val="center"/>
              <w:rPr>
                <w:rFonts w:eastAsia="Times New Roman" w:cs="Times New Roman"/>
                <w:color w:val="000000"/>
                <w:sz w:val="20"/>
                <w:lang w:eastAsia="sk-SK"/>
              </w:rPr>
            </w:pPr>
            <w:r>
              <w:rPr>
                <w:rFonts w:cs="Calibri"/>
                <w:color w:val="000000"/>
                <w:sz w:val="20"/>
              </w:rPr>
              <w:t>2</w:t>
            </w:r>
          </w:p>
        </w:tc>
        <w:tc>
          <w:tcPr>
            <w:tcW w:w="1273" w:type="dxa"/>
            <w:tcBorders>
              <w:top w:val="nil"/>
              <w:left w:val="nil"/>
              <w:bottom w:val="nil"/>
              <w:right w:val="nil"/>
            </w:tcBorders>
            <w:shd w:val="clear" w:color="000000" w:fill="FFFFFF"/>
            <w:vAlign w:val="center"/>
            <w:hideMark/>
          </w:tcPr>
          <w:p w14:paraId="19D21ECB" w14:textId="77777777" w:rsidR="00BA7250" w:rsidRPr="00893C52" w:rsidRDefault="00BA7250" w:rsidP="00BA7250">
            <w:pPr>
              <w:spacing w:after="0" w:line="240" w:lineRule="auto"/>
              <w:rPr>
                <w:rFonts w:eastAsia="Times New Roman" w:cs="Times New Roman"/>
                <w:color w:val="000000"/>
                <w:sz w:val="20"/>
                <w:lang w:eastAsia="sk-SK"/>
              </w:rPr>
            </w:pPr>
            <w:r w:rsidRPr="00893C52">
              <w:rPr>
                <w:rFonts w:eastAsia="Times New Roman" w:cs="Times New Roman"/>
                <w:color w:val="000000"/>
                <w:sz w:val="20"/>
                <w:lang w:eastAsia="sk-SK"/>
              </w:rPr>
              <w:t>MZ</w:t>
            </w:r>
          </w:p>
        </w:tc>
      </w:tr>
      <w:tr w:rsidR="00BA7250" w:rsidRPr="00893C52" w14:paraId="30A18B31" w14:textId="77777777" w:rsidTr="00F322D1">
        <w:trPr>
          <w:trHeight w:val="476"/>
        </w:trPr>
        <w:tc>
          <w:tcPr>
            <w:tcW w:w="324" w:type="dxa"/>
            <w:tcBorders>
              <w:top w:val="single" w:sz="4" w:space="0" w:color="auto"/>
              <w:left w:val="nil"/>
              <w:bottom w:val="single" w:sz="4" w:space="0" w:color="auto"/>
              <w:right w:val="nil"/>
            </w:tcBorders>
            <w:shd w:val="clear" w:color="000000" w:fill="FFFFFF"/>
            <w:vAlign w:val="center"/>
            <w:hideMark/>
          </w:tcPr>
          <w:p w14:paraId="2AC672DE" w14:textId="77777777" w:rsidR="00BA7250" w:rsidRPr="00893C52" w:rsidRDefault="00BA7250" w:rsidP="00BA7250">
            <w:pPr>
              <w:spacing w:after="0" w:line="240" w:lineRule="auto"/>
              <w:jc w:val="center"/>
              <w:rPr>
                <w:rFonts w:eastAsia="Times New Roman" w:cs="Times New Roman"/>
                <w:b/>
                <w:bCs/>
                <w:color w:val="000000"/>
                <w:sz w:val="20"/>
                <w:lang w:eastAsia="sk-SK"/>
              </w:rPr>
            </w:pPr>
            <w:r w:rsidRPr="00893C52">
              <w:rPr>
                <w:rFonts w:eastAsia="Times New Roman" w:cs="Times New Roman"/>
                <w:b/>
                <w:bCs/>
                <w:color w:val="000000"/>
                <w:sz w:val="20"/>
                <w:lang w:eastAsia="sk-SK"/>
              </w:rPr>
              <w:t> </w:t>
            </w:r>
          </w:p>
        </w:tc>
        <w:tc>
          <w:tcPr>
            <w:tcW w:w="4857" w:type="dxa"/>
            <w:tcBorders>
              <w:top w:val="single" w:sz="4" w:space="0" w:color="auto"/>
              <w:left w:val="nil"/>
              <w:bottom w:val="single" w:sz="4" w:space="0" w:color="auto"/>
              <w:right w:val="nil"/>
            </w:tcBorders>
            <w:shd w:val="clear" w:color="000000" w:fill="FFFFFF"/>
            <w:vAlign w:val="center"/>
            <w:hideMark/>
          </w:tcPr>
          <w:p w14:paraId="1A318737" w14:textId="77777777" w:rsidR="00BA7250" w:rsidRPr="00893C52" w:rsidRDefault="00BA7250" w:rsidP="00452DBC">
            <w:pPr>
              <w:spacing w:after="0" w:line="240" w:lineRule="auto"/>
              <w:jc w:val="left"/>
              <w:rPr>
                <w:rFonts w:eastAsia="Times New Roman" w:cs="Times New Roman"/>
                <w:b/>
                <w:bCs/>
                <w:color w:val="000000"/>
                <w:sz w:val="20"/>
                <w:lang w:eastAsia="sk-SK"/>
              </w:rPr>
            </w:pPr>
            <w:r w:rsidRPr="00893C52">
              <w:rPr>
                <w:rFonts w:eastAsia="Times New Roman" w:cs="Times New Roman"/>
                <w:b/>
                <w:bCs/>
                <w:color w:val="000000"/>
                <w:sz w:val="20"/>
                <w:lang w:eastAsia="sk-SK"/>
              </w:rPr>
              <w:t>Bývanie a infraštruktúra</w:t>
            </w:r>
          </w:p>
        </w:tc>
        <w:tc>
          <w:tcPr>
            <w:tcW w:w="1053" w:type="dxa"/>
            <w:tcBorders>
              <w:top w:val="single" w:sz="4" w:space="0" w:color="auto"/>
              <w:left w:val="nil"/>
              <w:bottom w:val="single" w:sz="4" w:space="0" w:color="auto"/>
              <w:right w:val="nil"/>
            </w:tcBorders>
            <w:shd w:val="clear" w:color="000000" w:fill="FFFFFF"/>
            <w:vAlign w:val="center"/>
            <w:hideMark/>
          </w:tcPr>
          <w:p w14:paraId="791D1747" w14:textId="3285D84D" w:rsidR="00BA7250" w:rsidRPr="00893C52" w:rsidRDefault="00BA7250" w:rsidP="00BA7250">
            <w:pPr>
              <w:spacing w:after="0" w:line="240" w:lineRule="auto"/>
              <w:jc w:val="center"/>
              <w:rPr>
                <w:rFonts w:eastAsia="Times New Roman" w:cs="Times New Roman"/>
                <w:b/>
                <w:bCs/>
                <w:color w:val="000000"/>
                <w:sz w:val="20"/>
                <w:lang w:eastAsia="sk-SK"/>
              </w:rPr>
            </w:pPr>
            <w:r>
              <w:rPr>
                <w:b/>
                <w:bCs/>
                <w:color w:val="000000"/>
                <w:sz w:val="20"/>
              </w:rPr>
              <w:t>49,7</w:t>
            </w:r>
          </w:p>
        </w:tc>
        <w:tc>
          <w:tcPr>
            <w:tcW w:w="996" w:type="dxa"/>
            <w:tcBorders>
              <w:top w:val="single" w:sz="4" w:space="0" w:color="auto"/>
              <w:left w:val="nil"/>
              <w:bottom w:val="single" w:sz="4" w:space="0" w:color="auto"/>
              <w:right w:val="nil"/>
            </w:tcBorders>
            <w:shd w:val="clear" w:color="000000" w:fill="FFFFFF"/>
            <w:vAlign w:val="center"/>
            <w:hideMark/>
          </w:tcPr>
          <w:p w14:paraId="6C12F7E0" w14:textId="36737EC9" w:rsidR="00BA7250" w:rsidRPr="00893C52" w:rsidRDefault="00BA7250" w:rsidP="00BA7250">
            <w:pPr>
              <w:spacing w:after="0" w:line="240" w:lineRule="auto"/>
              <w:jc w:val="center"/>
              <w:rPr>
                <w:rFonts w:eastAsia="Times New Roman" w:cs="Times New Roman"/>
                <w:b/>
                <w:bCs/>
                <w:color w:val="000000"/>
                <w:sz w:val="20"/>
                <w:lang w:eastAsia="sk-SK"/>
              </w:rPr>
            </w:pPr>
            <w:r>
              <w:rPr>
                <w:b/>
                <w:bCs/>
                <w:color w:val="000000"/>
                <w:sz w:val="20"/>
              </w:rPr>
              <w:t>51,6</w:t>
            </w:r>
          </w:p>
        </w:tc>
        <w:tc>
          <w:tcPr>
            <w:tcW w:w="569" w:type="dxa"/>
            <w:tcBorders>
              <w:top w:val="single" w:sz="4" w:space="0" w:color="auto"/>
              <w:left w:val="nil"/>
              <w:bottom w:val="single" w:sz="4" w:space="0" w:color="auto"/>
              <w:right w:val="nil"/>
            </w:tcBorders>
            <w:shd w:val="clear" w:color="000000" w:fill="FFFFFF"/>
            <w:vAlign w:val="center"/>
            <w:hideMark/>
          </w:tcPr>
          <w:p w14:paraId="2EBC3A99" w14:textId="4C41586F" w:rsidR="00BA7250" w:rsidRPr="00893C52" w:rsidRDefault="00BA7250" w:rsidP="00BA7250">
            <w:pPr>
              <w:spacing w:after="0" w:line="240" w:lineRule="auto"/>
              <w:jc w:val="center"/>
              <w:rPr>
                <w:rFonts w:eastAsia="Times New Roman" w:cs="Times New Roman"/>
                <w:b/>
                <w:bCs/>
                <w:color w:val="000000"/>
                <w:sz w:val="20"/>
                <w:lang w:eastAsia="sk-SK"/>
              </w:rPr>
            </w:pPr>
          </w:p>
        </w:tc>
        <w:tc>
          <w:tcPr>
            <w:tcW w:w="1273" w:type="dxa"/>
            <w:tcBorders>
              <w:top w:val="single" w:sz="4" w:space="0" w:color="auto"/>
              <w:left w:val="nil"/>
              <w:bottom w:val="single" w:sz="4" w:space="0" w:color="auto"/>
              <w:right w:val="nil"/>
            </w:tcBorders>
            <w:shd w:val="clear" w:color="000000" w:fill="FFFFFF"/>
            <w:vAlign w:val="center"/>
            <w:hideMark/>
          </w:tcPr>
          <w:p w14:paraId="0620BA8E" w14:textId="77777777" w:rsidR="00BA7250" w:rsidRPr="00893C52" w:rsidRDefault="00BA7250" w:rsidP="00BA7250">
            <w:pPr>
              <w:spacing w:after="0" w:line="240" w:lineRule="auto"/>
              <w:rPr>
                <w:rFonts w:eastAsia="Times New Roman" w:cs="Times New Roman"/>
                <w:b/>
                <w:bCs/>
                <w:color w:val="000000"/>
                <w:sz w:val="20"/>
                <w:lang w:eastAsia="sk-SK"/>
              </w:rPr>
            </w:pPr>
            <w:r w:rsidRPr="00893C52">
              <w:rPr>
                <w:rFonts w:eastAsia="Times New Roman" w:cs="Times New Roman"/>
                <w:b/>
                <w:bCs/>
                <w:color w:val="000000"/>
                <w:sz w:val="20"/>
                <w:lang w:eastAsia="sk-SK"/>
              </w:rPr>
              <w:t> </w:t>
            </w:r>
          </w:p>
        </w:tc>
      </w:tr>
      <w:tr w:rsidR="00BA7250" w:rsidRPr="00893C52" w14:paraId="7530CCA3" w14:textId="77777777" w:rsidTr="00F322D1">
        <w:trPr>
          <w:trHeight w:val="238"/>
        </w:trPr>
        <w:tc>
          <w:tcPr>
            <w:tcW w:w="324" w:type="dxa"/>
            <w:tcBorders>
              <w:top w:val="nil"/>
              <w:left w:val="nil"/>
              <w:bottom w:val="dotted" w:sz="4" w:space="0" w:color="auto"/>
              <w:right w:val="nil"/>
            </w:tcBorders>
            <w:shd w:val="clear" w:color="000000" w:fill="FFFFFF"/>
            <w:vAlign w:val="center"/>
            <w:hideMark/>
          </w:tcPr>
          <w:p w14:paraId="406593B8" w14:textId="58ED2349" w:rsidR="00BA7250" w:rsidRPr="00893C52" w:rsidRDefault="00EF63D6" w:rsidP="00BA7250">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21</w:t>
            </w:r>
          </w:p>
        </w:tc>
        <w:tc>
          <w:tcPr>
            <w:tcW w:w="4857" w:type="dxa"/>
            <w:tcBorders>
              <w:top w:val="nil"/>
              <w:left w:val="nil"/>
              <w:bottom w:val="dotted" w:sz="4" w:space="0" w:color="auto"/>
              <w:right w:val="nil"/>
            </w:tcBorders>
            <w:shd w:val="clear" w:color="000000" w:fill="FFFFFF"/>
            <w:vAlign w:val="center"/>
            <w:hideMark/>
          </w:tcPr>
          <w:p w14:paraId="13E0C72C" w14:textId="38E1814A" w:rsidR="00BA7250" w:rsidRPr="00893C52" w:rsidRDefault="00BA7250" w:rsidP="00452DBC">
            <w:pPr>
              <w:spacing w:after="0" w:line="240" w:lineRule="auto"/>
              <w:jc w:val="left"/>
              <w:rPr>
                <w:rFonts w:eastAsia="Times New Roman" w:cs="Times New Roman"/>
                <w:color w:val="000000"/>
                <w:sz w:val="20"/>
                <w:lang w:eastAsia="sk-SK"/>
              </w:rPr>
            </w:pPr>
            <w:r>
              <w:rPr>
                <w:rFonts w:eastAsia="Times New Roman" w:cs="Times New Roman"/>
                <w:color w:val="000000"/>
                <w:sz w:val="20"/>
                <w:lang w:eastAsia="sk-SK"/>
              </w:rPr>
              <w:t>Upraviť podmienky poskytovania</w:t>
            </w:r>
            <w:r w:rsidRPr="00893C52">
              <w:rPr>
                <w:rFonts w:eastAsia="Times New Roman" w:cs="Times New Roman"/>
                <w:color w:val="000000"/>
                <w:sz w:val="20"/>
                <w:lang w:eastAsia="sk-SK"/>
              </w:rPr>
              <w:t xml:space="preserve"> príspev</w:t>
            </w:r>
            <w:r>
              <w:rPr>
                <w:rFonts w:eastAsia="Times New Roman" w:cs="Times New Roman"/>
                <w:color w:val="000000"/>
                <w:sz w:val="20"/>
                <w:lang w:eastAsia="sk-SK"/>
              </w:rPr>
              <w:t>ku</w:t>
            </w:r>
            <w:r w:rsidRPr="00893C52">
              <w:rPr>
                <w:rFonts w:eastAsia="Times New Roman" w:cs="Times New Roman"/>
                <w:color w:val="000000"/>
                <w:sz w:val="20"/>
                <w:lang w:eastAsia="sk-SK"/>
              </w:rPr>
              <w:t xml:space="preserve"> na bývanie</w:t>
            </w:r>
          </w:p>
        </w:tc>
        <w:tc>
          <w:tcPr>
            <w:tcW w:w="1053" w:type="dxa"/>
            <w:tcBorders>
              <w:top w:val="nil"/>
              <w:left w:val="nil"/>
              <w:bottom w:val="dotted" w:sz="4" w:space="0" w:color="auto"/>
              <w:right w:val="nil"/>
            </w:tcBorders>
            <w:shd w:val="clear" w:color="000000" w:fill="FFFFFF"/>
            <w:vAlign w:val="center"/>
            <w:hideMark/>
          </w:tcPr>
          <w:p w14:paraId="3145A7D8" w14:textId="603F9BC0" w:rsidR="00BA7250" w:rsidRPr="00893C52" w:rsidRDefault="00BA7250" w:rsidP="00BA7250">
            <w:pPr>
              <w:spacing w:after="0" w:line="240" w:lineRule="auto"/>
              <w:jc w:val="center"/>
              <w:rPr>
                <w:rFonts w:eastAsia="Times New Roman" w:cs="Times New Roman"/>
                <w:color w:val="000000"/>
                <w:sz w:val="20"/>
                <w:lang w:eastAsia="sk-SK"/>
              </w:rPr>
            </w:pPr>
            <w:r>
              <w:rPr>
                <w:color w:val="000000"/>
                <w:sz w:val="20"/>
              </w:rPr>
              <w:t>48,7</w:t>
            </w:r>
          </w:p>
        </w:tc>
        <w:tc>
          <w:tcPr>
            <w:tcW w:w="996" w:type="dxa"/>
            <w:tcBorders>
              <w:top w:val="nil"/>
              <w:left w:val="nil"/>
              <w:bottom w:val="dotted" w:sz="4" w:space="0" w:color="auto"/>
              <w:right w:val="nil"/>
            </w:tcBorders>
            <w:shd w:val="clear" w:color="000000" w:fill="FFFFFF"/>
            <w:vAlign w:val="center"/>
            <w:hideMark/>
          </w:tcPr>
          <w:p w14:paraId="5844E089" w14:textId="53BA62D6" w:rsidR="00BA7250" w:rsidRPr="00893C52" w:rsidRDefault="00BA7250" w:rsidP="00BA7250">
            <w:pPr>
              <w:spacing w:after="0" w:line="240" w:lineRule="auto"/>
              <w:jc w:val="center"/>
              <w:rPr>
                <w:rFonts w:eastAsia="Times New Roman" w:cs="Times New Roman"/>
                <w:color w:val="000000"/>
                <w:sz w:val="20"/>
                <w:lang w:eastAsia="sk-SK"/>
              </w:rPr>
            </w:pPr>
            <w:r>
              <w:rPr>
                <w:color w:val="000000"/>
                <w:sz w:val="20"/>
              </w:rPr>
              <w:t>48,7</w:t>
            </w:r>
          </w:p>
        </w:tc>
        <w:tc>
          <w:tcPr>
            <w:tcW w:w="569" w:type="dxa"/>
            <w:tcBorders>
              <w:top w:val="nil"/>
              <w:left w:val="nil"/>
              <w:bottom w:val="dotted" w:sz="4" w:space="0" w:color="auto"/>
              <w:right w:val="nil"/>
            </w:tcBorders>
            <w:shd w:val="clear" w:color="000000" w:fill="FFFFFF"/>
            <w:vAlign w:val="center"/>
            <w:hideMark/>
          </w:tcPr>
          <w:p w14:paraId="6566C427" w14:textId="255A25BC" w:rsidR="00BA7250" w:rsidRPr="00893C52" w:rsidRDefault="00BA7250" w:rsidP="00BA7250">
            <w:pPr>
              <w:spacing w:after="0" w:line="240" w:lineRule="auto"/>
              <w:jc w:val="center"/>
              <w:rPr>
                <w:rFonts w:eastAsia="Times New Roman" w:cs="Times New Roman"/>
                <w:color w:val="000000"/>
                <w:sz w:val="20"/>
                <w:lang w:eastAsia="sk-SK"/>
              </w:rPr>
            </w:pPr>
            <w:r>
              <w:rPr>
                <w:rFonts w:cs="Calibri"/>
                <w:color w:val="000000"/>
                <w:sz w:val="20"/>
              </w:rPr>
              <w:t>1</w:t>
            </w:r>
          </w:p>
        </w:tc>
        <w:tc>
          <w:tcPr>
            <w:tcW w:w="1273" w:type="dxa"/>
            <w:tcBorders>
              <w:top w:val="nil"/>
              <w:left w:val="nil"/>
              <w:bottom w:val="dotted" w:sz="4" w:space="0" w:color="auto"/>
              <w:right w:val="nil"/>
            </w:tcBorders>
            <w:shd w:val="clear" w:color="000000" w:fill="FFFFFF"/>
            <w:vAlign w:val="center"/>
            <w:hideMark/>
          </w:tcPr>
          <w:p w14:paraId="32800AF3" w14:textId="77777777" w:rsidR="00BA7250" w:rsidRPr="00893C52" w:rsidRDefault="00BA7250" w:rsidP="00BA7250">
            <w:pPr>
              <w:spacing w:after="0" w:line="240" w:lineRule="auto"/>
              <w:rPr>
                <w:rFonts w:eastAsia="Times New Roman" w:cs="Times New Roman"/>
                <w:color w:val="000000"/>
                <w:sz w:val="20"/>
                <w:lang w:eastAsia="sk-SK"/>
              </w:rPr>
            </w:pPr>
            <w:r w:rsidRPr="00893C52">
              <w:rPr>
                <w:rFonts w:eastAsia="Times New Roman" w:cs="Times New Roman"/>
                <w:color w:val="000000"/>
                <w:sz w:val="20"/>
                <w:lang w:eastAsia="sk-SK"/>
              </w:rPr>
              <w:t>MPSVaR</w:t>
            </w:r>
          </w:p>
        </w:tc>
      </w:tr>
      <w:tr w:rsidR="00BA7250" w:rsidRPr="00893C52" w14:paraId="51920331" w14:textId="77777777" w:rsidTr="00F322D1">
        <w:trPr>
          <w:trHeight w:val="238"/>
        </w:trPr>
        <w:tc>
          <w:tcPr>
            <w:tcW w:w="324" w:type="dxa"/>
            <w:tcBorders>
              <w:top w:val="nil"/>
              <w:left w:val="nil"/>
              <w:bottom w:val="nil"/>
              <w:right w:val="nil"/>
            </w:tcBorders>
            <w:shd w:val="clear" w:color="000000" w:fill="FFFFFF"/>
            <w:vAlign w:val="center"/>
            <w:hideMark/>
          </w:tcPr>
          <w:p w14:paraId="6C278A8A" w14:textId="00BEEA30" w:rsidR="00BA7250" w:rsidRPr="00893C52" w:rsidRDefault="00EF63D6" w:rsidP="00BA7250">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22</w:t>
            </w:r>
          </w:p>
        </w:tc>
        <w:tc>
          <w:tcPr>
            <w:tcW w:w="4857" w:type="dxa"/>
            <w:tcBorders>
              <w:top w:val="nil"/>
              <w:left w:val="nil"/>
              <w:bottom w:val="nil"/>
              <w:right w:val="nil"/>
            </w:tcBorders>
            <w:shd w:val="clear" w:color="000000" w:fill="FFFFFF"/>
            <w:vAlign w:val="center"/>
            <w:hideMark/>
          </w:tcPr>
          <w:p w14:paraId="43FABDC1" w14:textId="3E29C9AD" w:rsidR="00BA7250" w:rsidRPr="00893C52" w:rsidRDefault="00BA7250" w:rsidP="00452DBC">
            <w:pPr>
              <w:spacing w:after="0" w:line="240" w:lineRule="auto"/>
              <w:jc w:val="left"/>
              <w:rPr>
                <w:rFonts w:eastAsia="Times New Roman" w:cs="Times New Roman"/>
                <w:color w:val="000000"/>
                <w:sz w:val="20"/>
                <w:lang w:eastAsia="sk-SK"/>
              </w:rPr>
            </w:pPr>
            <w:r w:rsidRPr="00893C52">
              <w:rPr>
                <w:rFonts w:eastAsia="Times New Roman" w:cs="Times New Roman"/>
                <w:color w:val="000000"/>
                <w:sz w:val="20"/>
                <w:lang w:eastAsia="sk-SK"/>
              </w:rPr>
              <w:t>Pilot</w:t>
            </w:r>
            <w:r>
              <w:rPr>
                <w:rFonts w:eastAsia="Times New Roman" w:cs="Times New Roman"/>
                <w:color w:val="000000"/>
                <w:sz w:val="20"/>
                <w:lang w:eastAsia="sk-SK"/>
              </w:rPr>
              <w:t>ne overiť prístup „h</w:t>
            </w:r>
            <w:r w:rsidRPr="00893C52">
              <w:rPr>
                <w:rFonts w:eastAsia="Times New Roman" w:cs="Times New Roman"/>
                <w:color w:val="000000"/>
                <w:sz w:val="20"/>
                <w:lang w:eastAsia="sk-SK"/>
              </w:rPr>
              <w:t>ousing first</w:t>
            </w:r>
            <w:r>
              <w:rPr>
                <w:rFonts w:eastAsia="Times New Roman" w:cs="Times New Roman"/>
                <w:color w:val="000000"/>
                <w:sz w:val="20"/>
                <w:lang w:eastAsia="sk-SK"/>
              </w:rPr>
              <w:t>“</w:t>
            </w:r>
            <w:r w:rsidRPr="00893C52">
              <w:rPr>
                <w:rFonts w:eastAsia="Times New Roman" w:cs="Times New Roman"/>
                <w:color w:val="000000"/>
                <w:sz w:val="20"/>
                <w:lang w:eastAsia="sk-SK"/>
              </w:rPr>
              <w:t xml:space="preserve"> ako riešenie bezdomovectva</w:t>
            </w:r>
          </w:p>
        </w:tc>
        <w:tc>
          <w:tcPr>
            <w:tcW w:w="1053" w:type="dxa"/>
            <w:tcBorders>
              <w:top w:val="nil"/>
              <w:left w:val="nil"/>
              <w:bottom w:val="nil"/>
              <w:right w:val="nil"/>
            </w:tcBorders>
            <w:shd w:val="clear" w:color="000000" w:fill="FFFFFF"/>
            <w:vAlign w:val="center"/>
            <w:hideMark/>
          </w:tcPr>
          <w:p w14:paraId="054E6511" w14:textId="1C88BC7A" w:rsidR="00BA7250" w:rsidRPr="00893C52" w:rsidRDefault="00BA7250" w:rsidP="00BA7250">
            <w:pPr>
              <w:spacing w:after="0" w:line="240" w:lineRule="auto"/>
              <w:jc w:val="center"/>
              <w:rPr>
                <w:rFonts w:eastAsia="Times New Roman" w:cs="Times New Roman"/>
                <w:color w:val="000000"/>
                <w:sz w:val="20"/>
                <w:lang w:eastAsia="sk-SK"/>
              </w:rPr>
            </w:pPr>
            <w:r>
              <w:rPr>
                <w:color w:val="000000"/>
                <w:sz w:val="20"/>
              </w:rPr>
              <w:t>1,0</w:t>
            </w:r>
          </w:p>
        </w:tc>
        <w:tc>
          <w:tcPr>
            <w:tcW w:w="996" w:type="dxa"/>
            <w:tcBorders>
              <w:top w:val="nil"/>
              <w:left w:val="nil"/>
              <w:bottom w:val="nil"/>
              <w:right w:val="nil"/>
            </w:tcBorders>
            <w:shd w:val="clear" w:color="000000" w:fill="FFFFFF"/>
            <w:vAlign w:val="center"/>
            <w:hideMark/>
          </w:tcPr>
          <w:p w14:paraId="2B87E963" w14:textId="2EE4371E" w:rsidR="00BA7250" w:rsidRPr="00893C52" w:rsidRDefault="00BA7250" w:rsidP="00BA7250">
            <w:pPr>
              <w:spacing w:after="0" w:line="240" w:lineRule="auto"/>
              <w:jc w:val="center"/>
              <w:rPr>
                <w:rFonts w:eastAsia="Times New Roman" w:cs="Times New Roman"/>
                <w:color w:val="000000"/>
                <w:sz w:val="20"/>
                <w:lang w:eastAsia="sk-SK"/>
              </w:rPr>
            </w:pPr>
            <w:r>
              <w:rPr>
                <w:color w:val="000000"/>
                <w:sz w:val="20"/>
              </w:rPr>
              <w:t>2,9</w:t>
            </w:r>
          </w:p>
        </w:tc>
        <w:tc>
          <w:tcPr>
            <w:tcW w:w="569" w:type="dxa"/>
            <w:tcBorders>
              <w:top w:val="nil"/>
              <w:left w:val="nil"/>
              <w:bottom w:val="nil"/>
              <w:right w:val="nil"/>
            </w:tcBorders>
            <w:shd w:val="clear" w:color="000000" w:fill="FFFFFF"/>
            <w:vAlign w:val="center"/>
            <w:hideMark/>
          </w:tcPr>
          <w:p w14:paraId="181134E3" w14:textId="4EAC5258" w:rsidR="00BA7250" w:rsidRPr="00893C52" w:rsidRDefault="00BA7250" w:rsidP="00BA7250">
            <w:pPr>
              <w:spacing w:after="0" w:line="240" w:lineRule="auto"/>
              <w:jc w:val="center"/>
              <w:rPr>
                <w:rFonts w:eastAsia="Times New Roman" w:cs="Times New Roman"/>
                <w:color w:val="000000"/>
                <w:sz w:val="20"/>
                <w:lang w:eastAsia="sk-SK"/>
              </w:rPr>
            </w:pPr>
            <w:r>
              <w:rPr>
                <w:rFonts w:cs="Calibri"/>
                <w:color w:val="000000"/>
                <w:sz w:val="20"/>
              </w:rPr>
              <w:t>8</w:t>
            </w:r>
          </w:p>
        </w:tc>
        <w:tc>
          <w:tcPr>
            <w:tcW w:w="1273" w:type="dxa"/>
            <w:tcBorders>
              <w:top w:val="nil"/>
              <w:left w:val="nil"/>
              <w:bottom w:val="nil"/>
              <w:right w:val="nil"/>
            </w:tcBorders>
            <w:shd w:val="clear" w:color="000000" w:fill="FFFFFF"/>
            <w:vAlign w:val="center"/>
            <w:hideMark/>
          </w:tcPr>
          <w:p w14:paraId="6726AB99" w14:textId="6C8AB1B1" w:rsidR="00BA7250" w:rsidRPr="00893C52" w:rsidRDefault="00BA7250" w:rsidP="00BA7250">
            <w:pPr>
              <w:spacing w:after="0" w:line="240" w:lineRule="auto"/>
              <w:rPr>
                <w:rFonts w:eastAsia="Times New Roman" w:cs="Times New Roman"/>
                <w:color w:val="000000"/>
                <w:sz w:val="20"/>
                <w:lang w:eastAsia="sk-SK"/>
              </w:rPr>
            </w:pPr>
            <w:r w:rsidRPr="00893C52">
              <w:rPr>
                <w:rFonts w:eastAsia="Times New Roman" w:cs="Times New Roman"/>
                <w:color w:val="000000"/>
                <w:sz w:val="20"/>
                <w:lang w:eastAsia="sk-SK"/>
              </w:rPr>
              <w:t>MV, MPSVaR</w:t>
            </w:r>
            <w:r w:rsidR="00C02AE2">
              <w:rPr>
                <w:rFonts w:eastAsia="Times New Roman" w:cs="Times New Roman"/>
                <w:color w:val="000000"/>
                <w:sz w:val="20"/>
                <w:lang w:eastAsia="sk-SK"/>
              </w:rPr>
              <w:t>, MDV</w:t>
            </w:r>
          </w:p>
        </w:tc>
      </w:tr>
      <w:tr w:rsidR="00BA7250" w:rsidRPr="00893C52" w14:paraId="43292C27" w14:textId="77777777" w:rsidTr="00F322D1">
        <w:trPr>
          <w:trHeight w:val="476"/>
        </w:trPr>
        <w:tc>
          <w:tcPr>
            <w:tcW w:w="324" w:type="dxa"/>
            <w:tcBorders>
              <w:top w:val="single" w:sz="4" w:space="0" w:color="auto"/>
              <w:left w:val="nil"/>
              <w:bottom w:val="single" w:sz="4" w:space="0" w:color="auto"/>
              <w:right w:val="nil"/>
            </w:tcBorders>
            <w:shd w:val="clear" w:color="000000" w:fill="FFFFFF"/>
            <w:vAlign w:val="center"/>
            <w:hideMark/>
          </w:tcPr>
          <w:p w14:paraId="680149B4" w14:textId="77777777" w:rsidR="00BA7250" w:rsidRPr="00893C52" w:rsidRDefault="00BA7250" w:rsidP="00BA7250">
            <w:pPr>
              <w:spacing w:after="0" w:line="240" w:lineRule="auto"/>
              <w:jc w:val="center"/>
              <w:rPr>
                <w:rFonts w:eastAsia="Times New Roman" w:cs="Times New Roman"/>
                <w:b/>
                <w:bCs/>
                <w:color w:val="000000"/>
                <w:sz w:val="20"/>
                <w:lang w:eastAsia="sk-SK"/>
              </w:rPr>
            </w:pPr>
            <w:r w:rsidRPr="00893C52">
              <w:rPr>
                <w:rFonts w:eastAsia="Times New Roman" w:cs="Times New Roman"/>
                <w:b/>
                <w:bCs/>
                <w:color w:val="000000"/>
                <w:sz w:val="20"/>
                <w:lang w:eastAsia="sk-SK"/>
              </w:rPr>
              <w:t> </w:t>
            </w:r>
          </w:p>
        </w:tc>
        <w:tc>
          <w:tcPr>
            <w:tcW w:w="4857" w:type="dxa"/>
            <w:tcBorders>
              <w:top w:val="single" w:sz="4" w:space="0" w:color="auto"/>
              <w:left w:val="nil"/>
              <w:bottom w:val="single" w:sz="4" w:space="0" w:color="auto"/>
              <w:right w:val="nil"/>
            </w:tcBorders>
            <w:shd w:val="clear" w:color="000000" w:fill="FFFFFF"/>
            <w:vAlign w:val="center"/>
            <w:hideMark/>
          </w:tcPr>
          <w:p w14:paraId="1475748E" w14:textId="0BCAE6FA" w:rsidR="00BA7250" w:rsidRPr="00893C52" w:rsidRDefault="00BA7250" w:rsidP="00452DBC">
            <w:pPr>
              <w:spacing w:after="0" w:line="240" w:lineRule="auto"/>
              <w:jc w:val="left"/>
              <w:rPr>
                <w:rFonts w:eastAsia="Times New Roman" w:cs="Times New Roman"/>
                <w:b/>
                <w:bCs/>
                <w:color w:val="000000"/>
                <w:sz w:val="20"/>
                <w:lang w:eastAsia="sk-SK"/>
              </w:rPr>
            </w:pPr>
            <w:r w:rsidRPr="00893C52">
              <w:rPr>
                <w:rFonts w:eastAsia="Times New Roman" w:cs="Times New Roman"/>
                <w:b/>
                <w:bCs/>
                <w:color w:val="000000"/>
                <w:sz w:val="20"/>
                <w:lang w:eastAsia="sk-SK"/>
              </w:rPr>
              <w:t xml:space="preserve">Podporné programy </w:t>
            </w:r>
            <w:r>
              <w:rPr>
                <w:rFonts w:eastAsia="Times New Roman" w:cs="Times New Roman"/>
                <w:b/>
                <w:bCs/>
                <w:color w:val="000000"/>
                <w:sz w:val="20"/>
                <w:lang w:eastAsia="sk-SK"/>
              </w:rPr>
              <w:t>pre obce s prítomnosťou</w:t>
            </w:r>
            <w:r w:rsidRPr="00893C52">
              <w:rPr>
                <w:rFonts w:eastAsia="Times New Roman" w:cs="Times New Roman"/>
                <w:b/>
                <w:bCs/>
                <w:color w:val="000000"/>
                <w:sz w:val="20"/>
                <w:lang w:eastAsia="sk-SK"/>
              </w:rPr>
              <w:t> MRK</w:t>
            </w:r>
          </w:p>
        </w:tc>
        <w:tc>
          <w:tcPr>
            <w:tcW w:w="1053" w:type="dxa"/>
            <w:tcBorders>
              <w:top w:val="single" w:sz="4" w:space="0" w:color="auto"/>
              <w:left w:val="nil"/>
              <w:bottom w:val="single" w:sz="4" w:space="0" w:color="auto"/>
              <w:right w:val="nil"/>
            </w:tcBorders>
            <w:shd w:val="clear" w:color="000000" w:fill="FFFFFF"/>
            <w:vAlign w:val="center"/>
            <w:hideMark/>
          </w:tcPr>
          <w:p w14:paraId="79053038" w14:textId="567657B1" w:rsidR="00BA7250" w:rsidRPr="00893C52" w:rsidRDefault="00BA7250" w:rsidP="00BA7250">
            <w:pPr>
              <w:spacing w:after="0" w:line="240" w:lineRule="auto"/>
              <w:jc w:val="center"/>
              <w:rPr>
                <w:rFonts w:eastAsia="Times New Roman" w:cs="Times New Roman"/>
                <w:b/>
                <w:bCs/>
                <w:color w:val="000000"/>
                <w:sz w:val="20"/>
                <w:lang w:eastAsia="sk-SK"/>
              </w:rPr>
            </w:pPr>
            <w:r>
              <w:rPr>
                <w:b/>
                <w:bCs/>
                <w:color w:val="000000"/>
                <w:sz w:val="20"/>
              </w:rPr>
              <w:t>0,9</w:t>
            </w:r>
          </w:p>
        </w:tc>
        <w:tc>
          <w:tcPr>
            <w:tcW w:w="996" w:type="dxa"/>
            <w:tcBorders>
              <w:top w:val="single" w:sz="4" w:space="0" w:color="auto"/>
              <w:left w:val="nil"/>
              <w:bottom w:val="single" w:sz="4" w:space="0" w:color="auto"/>
              <w:right w:val="nil"/>
            </w:tcBorders>
            <w:shd w:val="clear" w:color="000000" w:fill="FFFFFF"/>
            <w:vAlign w:val="center"/>
            <w:hideMark/>
          </w:tcPr>
          <w:p w14:paraId="5717BCDE" w14:textId="79D110BD" w:rsidR="00BA7250" w:rsidRPr="00893C52" w:rsidRDefault="00BA7250" w:rsidP="00BA7250">
            <w:pPr>
              <w:spacing w:after="0" w:line="240" w:lineRule="auto"/>
              <w:jc w:val="center"/>
              <w:rPr>
                <w:rFonts w:eastAsia="Times New Roman" w:cs="Times New Roman"/>
                <w:b/>
                <w:bCs/>
                <w:color w:val="000000"/>
                <w:sz w:val="20"/>
                <w:lang w:eastAsia="sk-SK"/>
              </w:rPr>
            </w:pPr>
            <w:r>
              <w:rPr>
                <w:b/>
                <w:bCs/>
                <w:color w:val="000000"/>
                <w:sz w:val="20"/>
              </w:rPr>
              <w:t>7,5</w:t>
            </w:r>
          </w:p>
        </w:tc>
        <w:tc>
          <w:tcPr>
            <w:tcW w:w="569" w:type="dxa"/>
            <w:tcBorders>
              <w:top w:val="single" w:sz="4" w:space="0" w:color="auto"/>
              <w:left w:val="nil"/>
              <w:bottom w:val="single" w:sz="4" w:space="0" w:color="auto"/>
              <w:right w:val="nil"/>
            </w:tcBorders>
            <w:shd w:val="clear" w:color="000000" w:fill="FFFFFF"/>
            <w:vAlign w:val="center"/>
            <w:hideMark/>
          </w:tcPr>
          <w:p w14:paraId="44B57979" w14:textId="1A466321" w:rsidR="00BA7250" w:rsidRPr="00893C52" w:rsidRDefault="00BA7250" w:rsidP="00BA7250">
            <w:pPr>
              <w:spacing w:after="0" w:line="240" w:lineRule="auto"/>
              <w:jc w:val="center"/>
              <w:rPr>
                <w:rFonts w:eastAsia="Times New Roman" w:cs="Times New Roman"/>
                <w:b/>
                <w:bCs/>
                <w:color w:val="000000"/>
                <w:sz w:val="20"/>
                <w:lang w:eastAsia="sk-SK"/>
              </w:rPr>
            </w:pPr>
          </w:p>
        </w:tc>
        <w:tc>
          <w:tcPr>
            <w:tcW w:w="1273" w:type="dxa"/>
            <w:tcBorders>
              <w:top w:val="single" w:sz="4" w:space="0" w:color="auto"/>
              <w:left w:val="nil"/>
              <w:bottom w:val="single" w:sz="4" w:space="0" w:color="auto"/>
              <w:right w:val="nil"/>
            </w:tcBorders>
            <w:shd w:val="clear" w:color="000000" w:fill="FFFFFF"/>
            <w:vAlign w:val="center"/>
            <w:hideMark/>
          </w:tcPr>
          <w:p w14:paraId="0101F539" w14:textId="77777777" w:rsidR="00BA7250" w:rsidRPr="00893C52" w:rsidRDefault="00BA7250" w:rsidP="00BA7250">
            <w:pPr>
              <w:spacing w:after="0" w:line="240" w:lineRule="auto"/>
              <w:rPr>
                <w:rFonts w:eastAsia="Times New Roman" w:cs="Times New Roman"/>
                <w:b/>
                <w:bCs/>
                <w:color w:val="000000"/>
                <w:sz w:val="20"/>
                <w:lang w:eastAsia="sk-SK"/>
              </w:rPr>
            </w:pPr>
            <w:r w:rsidRPr="00893C52">
              <w:rPr>
                <w:rFonts w:eastAsia="Times New Roman" w:cs="Times New Roman"/>
                <w:b/>
                <w:bCs/>
                <w:color w:val="000000"/>
                <w:sz w:val="20"/>
                <w:lang w:eastAsia="sk-SK"/>
              </w:rPr>
              <w:t> </w:t>
            </w:r>
          </w:p>
        </w:tc>
      </w:tr>
      <w:tr w:rsidR="00BA7250" w:rsidRPr="00893C52" w14:paraId="00E2477C" w14:textId="77777777" w:rsidTr="00F322D1">
        <w:trPr>
          <w:trHeight w:val="238"/>
        </w:trPr>
        <w:tc>
          <w:tcPr>
            <w:tcW w:w="324" w:type="dxa"/>
            <w:tcBorders>
              <w:top w:val="nil"/>
              <w:left w:val="nil"/>
              <w:bottom w:val="dotted" w:sz="4" w:space="0" w:color="auto"/>
              <w:right w:val="nil"/>
            </w:tcBorders>
            <w:shd w:val="clear" w:color="000000" w:fill="FFFFFF"/>
            <w:vAlign w:val="center"/>
            <w:hideMark/>
          </w:tcPr>
          <w:p w14:paraId="1D8FA099" w14:textId="0311DA62" w:rsidR="00BA7250" w:rsidRPr="00893C52" w:rsidRDefault="00EF63D6" w:rsidP="00BA7250">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23</w:t>
            </w:r>
          </w:p>
        </w:tc>
        <w:tc>
          <w:tcPr>
            <w:tcW w:w="4857" w:type="dxa"/>
            <w:tcBorders>
              <w:top w:val="nil"/>
              <w:left w:val="nil"/>
              <w:bottom w:val="dotted" w:sz="4" w:space="0" w:color="auto"/>
              <w:right w:val="nil"/>
            </w:tcBorders>
            <w:shd w:val="clear" w:color="000000" w:fill="FFFFFF"/>
            <w:vAlign w:val="center"/>
            <w:hideMark/>
          </w:tcPr>
          <w:p w14:paraId="2A10D703" w14:textId="3E631F82" w:rsidR="00BA7250" w:rsidRPr="00893C52" w:rsidRDefault="00BA7250" w:rsidP="00452DBC">
            <w:pPr>
              <w:spacing w:after="0" w:line="240" w:lineRule="auto"/>
              <w:jc w:val="left"/>
              <w:rPr>
                <w:rFonts w:eastAsia="Times New Roman" w:cs="Times New Roman"/>
                <w:color w:val="000000"/>
                <w:sz w:val="20"/>
                <w:lang w:eastAsia="sk-SK"/>
              </w:rPr>
            </w:pPr>
            <w:r>
              <w:rPr>
                <w:rFonts w:eastAsia="Times New Roman" w:cs="Times New Roman"/>
                <w:color w:val="000000"/>
                <w:sz w:val="20"/>
                <w:lang w:eastAsia="sk-SK"/>
              </w:rPr>
              <w:t>Zab</w:t>
            </w:r>
            <w:r w:rsidR="00A128D4">
              <w:rPr>
                <w:rFonts w:eastAsia="Times New Roman" w:cs="Times New Roman"/>
                <w:color w:val="000000"/>
                <w:sz w:val="20"/>
                <w:lang w:eastAsia="sk-SK"/>
              </w:rPr>
              <w:t>e</w:t>
            </w:r>
            <w:r>
              <w:rPr>
                <w:rFonts w:eastAsia="Times New Roman" w:cs="Times New Roman"/>
                <w:color w:val="000000"/>
                <w:sz w:val="20"/>
                <w:lang w:eastAsia="sk-SK"/>
              </w:rPr>
              <w:t>zpečiť</w:t>
            </w:r>
            <w:r w:rsidRPr="00893C52">
              <w:rPr>
                <w:rFonts w:eastAsia="Times New Roman" w:cs="Times New Roman"/>
                <w:color w:val="000000"/>
                <w:sz w:val="20"/>
                <w:lang w:eastAsia="sk-SK"/>
              </w:rPr>
              <w:t xml:space="preserve"> podpor</w:t>
            </w:r>
            <w:r>
              <w:rPr>
                <w:rFonts w:eastAsia="Times New Roman" w:cs="Times New Roman"/>
                <w:color w:val="000000"/>
                <w:sz w:val="20"/>
                <w:lang w:eastAsia="sk-SK"/>
              </w:rPr>
              <w:t>u</w:t>
            </w:r>
            <w:r w:rsidRPr="00893C52">
              <w:rPr>
                <w:rFonts w:eastAsia="Times New Roman" w:cs="Times New Roman"/>
                <w:color w:val="000000"/>
                <w:sz w:val="20"/>
                <w:lang w:eastAsia="sk-SK"/>
              </w:rPr>
              <w:t xml:space="preserve"> terénnych pracovníkov v ďalšom štúdiu</w:t>
            </w:r>
          </w:p>
        </w:tc>
        <w:tc>
          <w:tcPr>
            <w:tcW w:w="1053" w:type="dxa"/>
            <w:tcBorders>
              <w:top w:val="nil"/>
              <w:left w:val="nil"/>
              <w:bottom w:val="dotted" w:sz="4" w:space="0" w:color="auto"/>
              <w:right w:val="nil"/>
            </w:tcBorders>
            <w:shd w:val="clear" w:color="000000" w:fill="FFFFFF"/>
            <w:vAlign w:val="center"/>
            <w:hideMark/>
          </w:tcPr>
          <w:p w14:paraId="6315683A" w14:textId="0A01A212" w:rsidR="00BA7250" w:rsidRPr="00893C52" w:rsidRDefault="00BA7250" w:rsidP="00BA7250">
            <w:pPr>
              <w:spacing w:after="0" w:line="240" w:lineRule="auto"/>
              <w:jc w:val="center"/>
              <w:rPr>
                <w:rFonts w:eastAsia="Times New Roman" w:cs="Times New Roman"/>
                <w:color w:val="000000"/>
                <w:sz w:val="20"/>
                <w:lang w:eastAsia="sk-SK"/>
              </w:rPr>
            </w:pPr>
            <w:r>
              <w:rPr>
                <w:color w:val="000000"/>
                <w:sz w:val="20"/>
              </w:rPr>
              <w:t>0,0</w:t>
            </w:r>
          </w:p>
        </w:tc>
        <w:tc>
          <w:tcPr>
            <w:tcW w:w="996" w:type="dxa"/>
            <w:tcBorders>
              <w:top w:val="nil"/>
              <w:left w:val="nil"/>
              <w:bottom w:val="dotted" w:sz="4" w:space="0" w:color="auto"/>
              <w:right w:val="nil"/>
            </w:tcBorders>
            <w:shd w:val="clear" w:color="000000" w:fill="FFFFFF"/>
            <w:vAlign w:val="center"/>
            <w:hideMark/>
          </w:tcPr>
          <w:p w14:paraId="474C669E" w14:textId="292CAE49" w:rsidR="00BA7250" w:rsidRPr="00893C52" w:rsidRDefault="00BA7250" w:rsidP="00BA7250">
            <w:pPr>
              <w:spacing w:after="0" w:line="240" w:lineRule="auto"/>
              <w:jc w:val="center"/>
              <w:rPr>
                <w:rFonts w:eastAsia="Times New Roman" w:cs="Times New Roman"/>
                <w:color w:val="000000"/>
                <w:sz w:val="20"/>
                <w:lang w:eastAsia="sk-SK"/>
              </w:rPr>
            </w:pPr>
            <w:r>
              <w:rPr>
                <w:color w:val="000000"/>
                <w:sz w:val="20"/>
              </w:rPr>
              <w:t>0,3</w:t>
            </w:r>
          </w:p>
        </w:tc>
        <w:tc>
          <w:tcPr>
            <w:tcW w:w="569" w:type="dxa"/>
            <w:tcBorders>
              <w:top w:val="nil"/>
              <w:left w:val="nil"/>
              <w:bottom w:val="dotted" w:sz="4" w:space="0" w:color="auto"/>
              <w:right w:val="nil"/>
            </w:tcBorders>
            <w:shd w:val="clear" w:color="000000" w:fill="FFFFFF"/>
            <w:vAlign w:val="center"/>
            <w:hideMark/>
          </w:tcPr>
          <w:p w14:paraId="5909844D" w14:textId="441A230C" w:rsidR="00BA7250" w:rsidRPr="00893C52" w:rsidRDefault="00BA7250" w:rsidP="00BA7250">
            <w:pPr>
              <w:spacing w:after="0" w:line="240" w:lineRule="auto"/>
              <w:jc w:val="center"/>
              <w:rPr>
                <w:rFonts w:eastAsia="Times New Roman" w:cs="Times New Roman"/>
                <w:color w:val="000000"/>
                <w:sz w:val="20"/>
                <w:lang w:eastAsia="sk-SK"/>
              </w:rPr>
            </w:pPr>
            <w:r>
              <w:rPr>
                <w:rFonts w:cs="Calibri"/>
                <w:color w:val="000000"/>
                <w:sz w:val="20"/>
              </w:rPr>
              <w:t>7</w:t>
            </w:r>
          </w:p>
        </w:tc>
        <w:tc>
          <w:tcPr>
            <w:tcW w:w="1273" w:type="dxa"/>
            <w:tcBorders>
              <w:top w:val="nil"/>
              <w:left w:val="nil"/>
              <w:bottom w:val="dotted" w:sz="4" w:space="0" w:color="auto"/>
              <w:right w:val="nil"/>
            </w:tcBorders>
            <w:shd w:val="clear" w:color="000000" w:fill="FFFFFF"/>
            <w:vAlign w:val="center"/>
            <w:hideMark/>
          </w:tcPr>
          <w:p w14:paraId="5D25740F" w14:textId="77777777" w:rsidR="00BA7250" w:rsidRPr="00893C52" w:rsidRDefault="00BA7250" w:rsidP="00BA7250">
            <w:pPr>
              <w:spacing w:after="0" w:line="240" w:lineRule="auto"/>
              <w:rPr>
                <w:rFonts w:eastAsia="Times New Roman" w:cs="Times New Roman"/>
                <w:color w:val="000000"/>
                <w:sz w:val="20"/>
                <w:lang w:eastAsia="sk-SK"/>
              </w:rPr>
            </w:pPr>
            <w:r w:rsidRPr="00893C52">
              <w:rPr>
                <w:rFonts w:eastAsia="Times New Roman" w:cs="Times New Roman"/>
                <w:color w:val="000000"/>
                <w:sz w:val="20"/>
                <w:lang w:eastAsia="sk-SK"/>
              </w:rPr>
              <w:t>MPSVaR, MV</w:t>
            </w:r>
          </w:p>
        </w:tc>
      </w:tr>
      <w:tr w:rsidR="00BA7250" w:rsidRPr="00893C52" w14:paraId="6ECBD6C2" w14:textId="77777777" w:rsidTr="00F322D1">
        <w:trPr>
          <w:trHeight w:val="238"/>
        </w:trPr>
        <w:tc>
          <w:tcPr>
            <w:tcW w:w="324" w:type="dxa"/>
            <w:tcBorders>
              <w:top w:val="nil"/>
              <w:left w:val="nil"/>
              <w:bottom w:val="dotted" w:sz="4" w:space="0" w:color="auto"/>
              <w:right w:val="nil"/>
            </w:tcBorders>
            <w:shd w:val="clear" w:color="000000" w:fill="FFFFFF"/>
            <w:vAlign w:val="center"/>
            <w:hideMark/>
          </w:tcPr>
          <w:p w14:paraId="03DCFFF8" w14:textId="43A4DB2E" w:rsidR="00BA7250" w:rsidRPr="00893C52" w:rsidRDefault="00EF63D6" w:rsidP="00BA7250">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24</w:t>
            </w:r>
          </w:p>
        </w:tc>
        <w:tc>
          <w:tcPr>
            <w:tcW w:w="4857" w:type="dxa"/>
            <w:tcBorders>
              <w:top w:val="nil"/>
              <w:left w:val="nil"/>
              <w:bottom w:val="dotted" w:sz="4" w:space="0" w:color="auto"/>
              <w:right w:val="nil"/>
            </w:tcBorders>
            <w:shd w:val="clear" w:color="000000" w:fill="FFFFFF"/>
            <w:vAlign w:val="center"/>
            <w:hideMark/>
          </w:tcPr>
          <w:p w14:paraId="50548F1B" w14:textId="26468B41" w:rsidR="00BA7250" w:rsidRPr="00893C52" w:rsidRDefault="00BA7250" w:rsidP="00452DBC">
            <w:pPr>
              <w:spacing w:after="0" w:line="240" w:lineRule="auto"/>
              <w:jc w:val="left"/>
              <w:rPr>
                <w:rFonts w:eastAsia="Times New Roman" w:cs="Times New Roman"/>
                <w:color w:val="000000"/>
                <w:sz w:val="20"/>
                <w:lang w:eastAsia="sk-SK"/>
              </w:rPr>
            </w:pPr>
            <w:r w:rsidRPr="00893C52">
              <w:rPr>
                <w:rFonts w:eastAsia="Times New Roman" w:cs="Times New Roman"/>
                <w:color w:val="000000"/>
                <w:sz w:val="20"/>
                <w:lang w:eastAsia="sk-SK"/>
              </w:rPr>
              <w:t>Rozšír</w:t>
            </w:r>
            <w:r>
              <w:rPr>
                <w:rFonts w:eastAsia="Times New Roman" w:cs="Times New Roman"/>
                <w:color w:val="000000"/>
                <w:sz w:val="20"/>
                <w:lang w:eastAsia="sk-SK"/>
              </w:rPr>
              <w:t>iť</w:t>
            </w:r>
            <w:r w:rsidRPr="00893C52">
              <w:rPr>
                <w:rFonts w:eastAsia="Times New Roman" w:cs="Times New Roman"/>
                <w:color w:val="000000"/>
                <w:sz w:val="20"/>
                <w:lang w:eastAsia="sk-SK"/>
              </w:rPr>
              <w:t xml:space="preserve"> program </w:t>
            </w:r>
            <w:r>
              <w:rPr>
                <w:rFonts w:eastAsia="Times New Roman" w:cs="Times New Roman"/>
                <w:color w:val="000000"/>
                <w:sz w:val="20"/>
                <w:lang w:eastAsia="sk-SK"/>
              </w:rPr>
              <w:t>TSP o obce, v ktorých chýba</w:t>
            </w:r>
          </w:p>
        </w:tc>
        <w:tc>
          <w:tcPr>
            <w:tcW w:w="1053" w:type="dxa"/>
            <w:tcBorders>
              <w:top w:val="nil"/>
              <w:left w:val="nil"/>
              <w:bottom w:val="dotted" w:sz="4" w:space="0" w:color="auto"/>
              <w:right w:val="nil"/>
            </w:tcBorders>
            <w:shd w:val="clear" w:color="000000" w:fill="FFFFFF"/>
            <w:vAlign w:val="center"/>
            <w:hideMark/>
          </w:tcPr>
          <w:p w14:paraId="5702E51E" w14:textId="1D7958C5" w:rsidR="00BA7250" w:rsidRPr="00893C52" w:rsidRDefault="00BA7250" w:rsidP="00BA7250">
            <w:pPr>
              <w:spacing w:after="0" w:line="240" w:lineRule="auto"/>
              <w:jc w:val="center"/>
              <w:rPr>
                <w:rFonts w:eastAsia="Times New Roman" w:cs="Times New Roman"/>
                <w:color w:val="000000"/>
                <w:sz w:val="20"/>
                <w:lang w:eastAsia="sk-SK"/>
              </w:rPr>
            </w:pPr>
            <w:r>
              <w:rPr>
                <w:color w:val="000000"/>
                <w:sz w:val="20"/>
              </w:rPr>
              <w:t>0,3</w:t>
            </w:r>
          </w:p>
        </w:tc>
        <w:tc>
          <w:tcPr>
            <w:tcW w:w="996" w:type="dxa"/>
            <w:tcBorders>
              <w:top w:val="nil"/>
              <w:left w:val="nil"/>
              <w:bottom w:val="dotted" w:sz="4" w:space="0" w:color="auto"/>
              <w:right w:val="nil"/>
            </w:tcBorders>
            <w:shd w:val="clear" w:color="000000" w:fill="FFFFFF"/>
            <w:vAlign w:val="center"/>
            <w:hideMark/>
          </w:tcPr>
          <w:p w14:paraId="251C967A" w14:textId="2069C10D" w:rsidR="00BA7250" w:rsidRPr="00893C52" w:rsidRDefault="00BA7250" w:rsidP="00BA7250">
            <w:pPr>
              <w:spacing w:after="0" w:line="240" w:lineRule="auto"/>
              <w:jc w:val="center"/>
              <w:rPr>
                <w:rFonts w:eastAsia="Times New Roman" w:cs="Times New Roman"/>
                <w:color w:val="000000"/>
                <w:sz w:val="20"/>
                <w:lang w:eastAsia="sk-SK"/>
              </w:rPr>
            </w:pPr>
            <w:r>
              <w:rPr>
                <w:color w:val="000000"/>
                <w:sz w:val="20"/>
              </w:rPr>
              <w:t>2,0</w:t>
            </w:r>
          </w:p>
        </w:tc>
        <w:tc>
          <w:tcPr>
            <w:tcW w:w="569" w:type="dxa"/>
            <w:tcBorders>
              <w:top w:val="nil"/>
              <w:left w:val="nil"/>
              <w:bottom w:val="dotted" w:sz="4" w:space="0" w:color="auto"/>
              <w:right w:val="nil"/>
            </w:tcBorders>
            <w:shd w:val="clear" w:color="000000" w:fill="FFFFFF"/>
            <w:vAlign w:val="center"/>
            <w:hideMark/>
          </w:tcPr>
          <w:p w14:paraId="54C59358" w14:textId="2052525E" w:rsidR="00BA7250" w:rsidRPr="00893C52" w:rsidRDefault="00BA7250" w:rsidP="00BA7250">
            <w:pPr>
              <w:spacing w:after="0" w:line="240" w:lineRule="auto"/>
              <w:jc w:val="center"/>
              <w:rPr>
                <w:rFonts w:eastAsia="Times New Roman" w:cs="Times New Roman"/>
                <w:color w:val="000000"/>
                <w:sz w:val="20"/>
                <w:lang w:eastAsia="sk-SK"/>
              </w:rPr>
            </w:pPr>
            <w:r>
              <w:rPr>
                <w:rFonts w:cs="Calibri"/>
                <w:color w:val="000000"/>
                <w:sz w:val="20"/>
              </w:rPr>
              <w:t>8</w:t>
            </w:r>
          </w:p>
        </w:tc>
        <w:tc>
          <w:tcPr>
            <w:tcW w:w="1273" w:type="dxa"/>
            <w:tcBorders>
              <w:top w:val="nil"/>
              <w:left w:val="nil"/>
              <w:bottom w:val="dotted" w:sz="4" w:space="0" w:color="auto"/>
              <w:right w:val="nil"/>
            </w:tcBorders>
            <w:shd w:val="clear" w:color="000000" w:fill="FFFFFF"/>
            <w:vAlign w:val="center"/>
            <w:hideMark/>
          </w:tcPr>
          <w:p w14:paraId="3AB28CAF" w14:textId="77777777" w:rsidR="00BA7250" w:rsidRPr="00893C52" w:rsidRDefault="00BA7250" w:rsidP="00BA7250">
            <w:pPr>
              <w:spacing w:after="0" w:line="240" w:lineRule="auto"/>
              <w:rPr>
                <w:rFonts w:eastAsia="Times New Roman" w:cs="Times New Roman"/>
                <w:color w:val="000000"/>
                <w:sz w:val="20"/>
                <w:lang w:eastAsia="sk-SK"/>
              </w:rPr>
            </w:pPr>
            <w:r w:rsidRPr="00893C52">
              <w:rPr>
                <w:rFonts w:eastAsia="Times New Roman" w:cs="Times New Roman"/>
                <w:color w:val="000000"/>
                <w:sz w:val="20"/>
                <w:lang w:eastAsia="sk-SK"/>
              </w:rPr>
              <w:t>MPSVaR, MV</w:t>
            </w:r>
          </w:p>
        </w:tc>
      </w:tr>
      <w:tr w:rsidR="00BA7250" w:rsidRPr="00893C52" w14:paraId="5FCD8E4E" w14:textId="77777777" w:rsidTr="00F322D1">
        <w:trPr>
          <w:trHeight w:val="238"/>
        </w:trPr>
        <w:tc>
          <w:tcPr>
            <w:tcW w:w="324" w:type="dxa"/>
            <w:tcBorders>
              <w:top w:val="nil"/>
              <w:left w:val="nil"/>
              <w:bottom w:val="dotted" w:sz="4" w:space="0" w:color="auto"/>
              <w:right w:val="nil"/>
            </w:tcBorders>
            <w:shd w:val="clear" w:color="000000" w:fill="FFFFFF"/>
            <w:vAlign w:val="center"/>
            <w:hideMark/>
          </w:tcPr>
          <w:p w14:paraId="1CFAD1BB" w14:textId="14CC60FA" w:rsidR="00BA7250" w:rsidRPr="00893C52" w:rsidRDefault="00EF63D6" w:rsidP="00BA7250">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25</w:t>
            </w:r>
          </w:p>
        </w:tc>
        <w:tc>
          <w:tcPr>
            <w:tcW w:w="4857" w:type="dxa"/>
            <w:tcBorders>
              <w:top w:val="nil"/>
              <w:left w:val="nil"/>
              <w:bottom w:val="dotted" w:sz="4" w:space="0" w:color="auto"/>
              <w:right w:val="nil"/>
            </w:tcBorders>
            <w:shd w:val="clear" w:color="000000" w:fill="FFFFFF"/>
            <w:vAlign w:val="center"/>
            <w:hideMark/>
          </w:tcPr>
          <w:p w14:paraId="5D4CB325" w14:textId="230A19F6" w:rsidR="00BA7250" w:rsidRPr="00893C52" w:rsidRDefault="00BA7250" w:rsidP="00452DBC">
            <w:pPr>
              <w:spacing w:after="0" w:line="240" w:lineRule="auto"/>
              <w:jc w:val="left"/>
              <w:rPr>
                <w:rFonts w:eastAsia="Times New Roman" w:cs="Times New Roman"/>
                <w:color w:val="000000"/>
                <w:sz w:val="20"/>
                <w:lang w:eastAsia="sk-SK"/>
              </w:rPr>
            </w:pPr>
            <w:r w:rsidRPr="00893C52">
              <w:rPr>
                <w:rFonts w:eastAsia="Times New Roman" w:cs="Times New Roman"/>
                <w:color w:val="000000"/>
                <w:sz w:val="20"/>
                <w:lang w:eastAsia="sk-SK"/>
              </w:rPr>
              <w:t>Rozšír</w:t>
            </w:r>
            <w:r>
              <w:rPr>
                <w:rFonts w:eastAsia="Times New Roman" w:cs="Times New Roman"/>
                <w:color w:val="000000"/>
                <w:sz w:val="20"/>
                <w:lang w:eastAsia="sk-SK"/>
              </w:rPr>
              <w:t>iť</w:t>
            </w:r>
            <w:r w:rsidRPr="00893C52">
              <w:rPr>
                <w:rFonts w:eastAsia="Times New Roman" w:cs="Times New Roman"/>
                <w:color w:val="000000"/>
                <w:sz w:val="20"/>
                <w:lang w:eastAsia="sk-SK"/>
              </w:rPr>
              <w:t xml:space="preserve"> program Zdravých komunít</w:t>
            </w:r>
            <w:r>
              <w:rPr>
                <w:rFonts w:eastAsia="Times New Roman" w:cs="Times New Roman"/>
                <w:color w:val="000000"/>
                <w:sz w:val="20"/>
                <w:lang w:eastAsia="sk-SK"/>
              </w:rPr>
              <w:t xml:space="preserve"> o obce, v ktorých chýba</w:t>
            </w:r>
          </w:p>
        </w:tc>
        <w:tc>
          <w:tcPr>
            <w:tcW w:w="1053" w:type="dxa"/>
            <w:tcBorders>
              <w:top w:val="nil"/>
              <w:left w:val="nil"/>
              <w:bottom w:val="dotted" w:sz="4" w:space="0" w:color="auto"/>
              <w:right w:val="nil"/>
            </w:tcBorders>
            <w:shd w:val="clear" w:color="000000" w:fill="FFFFFF"/>
            <w:vAlign w:val="center"/>
            <w:hideMark/>
          </w:tcPr>
          <w:p w14:paraId="628185D4" w14:textId="21738E7F" w:rsidR="00BA7250" w:rsidRPr="00893C52" w:rsidRDefault="00BA7250" w:rsidP="00BA7250">
            <w:pPr>
              <w:spacing w:after="0" w:line="240" w:lineRule="auto"/>
              <w:jc w:val="center"/>
              <w:rPr>
                <w:rFonts w:eastAsia="Times New Roman" w:cs="Times New Roman"/>
                <w:color w:val="000000"/>
                <w:sz w:val="20"/>
                <w:lang w:eastAsia="sk-SK"/>
              </w:rPr>
            </w:pPr>
            <w:r>
              <w:rPr>
                <w:color w:val="000000"/>
                <w:sz w:val="20"/>
              </w:rPr>
              <w:t>0,1</w:t>
            </w:r>
          </w:p>
        </w:tc>
        <w:tc>
          <w:tcPr>
            <w:tcW w:w="996" w:type="dxa"/>
            <w:tcBorders>
              <w:top w:val="nil"/>
              <w:left w:val="nil"/>
              <w:bottom w:val="dotted" w:sz="4" w:space="0" w:color="auto"/>
              <w:right w:val="nil"/>
            </w:tcBorders>
            <w:shd w:val="clear" w:color="000000" w:fill="FFFFFF"/>
            <w:vAlign w:val="center"/>
            <w:hideMark/>
          </w:tcPr>
          <w:p w14:paraId="1DF80BBB" w14:textId="3159C192" w:rsidR="00BA7250" w:rsidRPr="00893C52" w:rsidRDefault="00BA7250" w:rsidP="00BA7250">
            <w:pPr>
              <w:spacing w:after="0" w:line="240" w:lineRule="auto"/>
              <w:jc w:val="center"/>
              <w:rPr>
                <w:rFonts w:eastAsia="Times New Roman" w:cs="Times New Roman"/>
                <w:color w:val="000000"/>
                <w:sz w:val="20"/>
                <w:lang w:eastAsia="sk-SK"/>
              </w:rPr>
            </w:pPr>
            <w:r>
              <w:rPr>
                <w:color w:val="000000"/>
                <w:sz w:val="20"/>
              </w:rPr>
              <w:t>0,7</w:t>
            </w:r>
          </w:p>
        </w:tc>
        <w:tc>
          <w:tcPr>
            <w:tcW w:w="569" w:type="dxa"/>
            <w:tcBorders>
              <w:top w:val="nil"/>
              <w:left w:val="nil"/>
              <w:bottom w:val="dotted" w:sz="4" w:space="0" w:color="auto"/>
              <w:right w:val="nil"/>
            </w:tcBorders>
            <w:shd w:val="clear" w:color="000000" w:fill="FFFFFF"/>
            <w:vAlign w:val="center"/>
            <w:hideMark/>
          </w:tcPr>
          <w:p w14:paraId="4FE6C61F" w14:textId="487A8810" w:rsidR="00BA7250" w:rsidRPr="00893C52" w:rsidRDefault="00BA7250" w:rsidP="00BA7250">
            <w:pPr>
              <w:spacing w:after="0" w:line="240" w:lineRule="auto"/>
              <w:jc w:val="center"/>
              <w:rPr>
                <w:rFonts w:eastAsia="Times New Roman" w:cs="Times New Roman"/>
                <w:color w:val="000000"/>
                <w:sz w:val="20"/>
                <w:lang w:eastAsia="sk-SK"/>
              </w:rPr>
            </w:pPr>
            <w:r>
              <w:rPr>
                <w:rFonts w:cs="Calibri"/>
                <w:color w:val="000000"/>
                <w:sz w:val="20"/>
              </w:rPr>
              <w:t>8</w:t>
            </w:r>
          </w:p>
        </w:tc>
        <w:tc>
          <w:tcPr>
            <w:tcW w:w="1273" w:type="dxa"/>
            <w:tcBorders>
              <w:top w:val="nil"/>
              <w:left w:val="nil"/>
              <w:bottom w:val="dotted" w:sz="4" w:space="0" w:color="auto"/>
              <w:right w:val="nil"/>
            </w:tcBorders>
            <w:shd w:val="clear" w:color="000000" w:fill="FFFFFF"/>
            <w:vAlign w:val="center"/>
            <w:hideMark/>
          </w:tcPr>
          <w:p w14:paraId="634B6E26" w14:textId="77777777" w:rsidR="00BA7250" w:rsidRPr="00893C52" w:rsidRDefault="00BA7250" w:rsidP="00BA7250">
            <w:pPr>
              <w:spacing w:after="0" w:line="240" w:lineRule="auto"/>
              <w:rPr>
                <w:rFonts w:eastAsia="Times New Roman" w:cs="Times New Roman"/>
                <w:color w:val="000000"/>
                <w:sz w:val="20"/>
                <w:lang w:eastAsia="sk-SK"/>
              </w:rPr>
            </w:pPr>
            <w:r w:rsidRPr="00893C52">
              <w:rPr>
                <w:rFonts w:eastAsia="Times New Roman" w:cs="Times New Roman"/>
                <w:color w:val="000000"/>
                <w:sz w:val="20"/>
                <w:lang w:eastAsia="sk-SK"/>
              </w:rPr>
              <w:t>MZ</w:t>
            </w:r>
          </w:p>
        </w:tc>
      </w:tr>
      <w:tr w:rsidR="00BA7250" w:rsidRPr="00893C52" w14:paraId="7AE891AE" w14:textId="77777777" w:rsidTr="00F322D1">
        <w:trPr>
          <w:trHeight w:val="238"/>
        </w:trPr>
        <w:tc>
          <w:tcPr>
            <w:tcW w:w="324" w:type="dxa"/>
            <w:tcBorders>
              <w:top w:val="nil"/>
              <w:left w:val="nil"/>
              <w:bottom w:val="nil"/>
              <w:right w:val="nil"/>
            </w:tcBorders>
            <w:shd w:val="clear" w:color="000000" w:fill="FFFFFF"/>
            <w:vAlign w:val="center"/>
            <w:hideMark/>
          </w:tcPr>
          <w:p w14:paraId="6BD932C1" w14:textId="48C1D64E" w:rsidR="00BA7250" w:rsidRPr="00893C52" w:rsidRDefault="00EF63D6" w:rsidP="00BA7250">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26</w:t>
            </w:r>
          </w:p>
        </w:tc>
        <w:tc>
          <w:tcPr>
            <w:tcW w:w="4857" w:type="dxa"/>
            <w:tcBorders>
              <w:top w:val="nil"/>
              <w:left w:val="nil"/>
              <w:bottom w:val="nil"/>
              <w:right w:val="nil"/>
            </w:tcBorders>
            <w:shd w:val="clear" w:color="000000" w:fill="FFFFFF"/>
            <w:vAlign w:val="center"/>
            <w:hideMark/>
          </w:tcPr>
          <w:p w14:paraId="067D0FF3" w14:textId="7A4C6EF5" w:rsidR="00BA7250" w:rsidRPr="00893C52" w:rsidRDefault="00BA7250" w:rsidP="00452DBC">
            <w:pPr>
              <w:spacing w:after="0" w:line="240" w:lineRule="auto"/>
              <w:jc w:val="left"/>
              <w:rPr>
                <w:rFonts w:eastAsia="Times New Roman" w:cs="Times New Roman"/>
                <w:color w:val="000000"/>
                <w:sz w:val="20"/>
                <w:lang w:eastAsia="sk-SK"/>
              </w:rPr>
            </w:pPr>
            <w:r w:rsidRPr="00893C52">
              <w:rPr>
                <w:rFonts w:eastAsia="Times New Roman" w:cs="Times New Roman"/>
                <w:color w:val="000000"/>
                <w:sz w:val="20"/>
                <w:lang w:eastAsia="sk-SK"/>
              </w:rPr>
              <w:t>Rozšír</w:t>
            </w:r>
            <w:r>
              <w:rPr>
                <w:rFonts w:eastAsia="Times New Roman" w:cs="Times New Roman"/>
                <w:color w:val="000000"/>
                <w:sz w:val="20"/>
                <w:lang w:eastAsia="sk-SK"/>
              </w:rPr>
              <w:t>iť</w:t>
            </w:r>
            <w:r w:rsidRPr="00893C52">
              <w:rPr>
                <w:rFonts w:eastAsia="Times New Roman" w:cs="Times New Roman"/>
                <w:color w:val="000000"/>
                <w:sz w:val="20"/>
                <w:lang w:eastAsia="sk-SK"/>
              </w:rPr>
              <w:t xml:space="preserve"> program </w:t>
            </w:r>
            <w:r>
              <w:rPr>
                <w:rFonts w:eastAsia="Times New Roman" w:cs="Times New Roman"/>
                <w:color w:val="000000"/>
                <w:sz w:val="20"/>
                <w:lang w:eastAsia="sk-SK"/>
              </w:rPr>
              <w:t>MOPS o obce, v ktorých chýba</w:t>
            </w:r>
          </w:p>
        </w:tc>
        <w:tc>
          <w:tcPr>
            <w:tcW w:w="1053" w:type="dxa"/>
            <w:tcBorders>
              <w:top w:val="nil"/>
              <w:left w:val="nil"/>
              <w:bottom w:val="nil"/>
              <w:right w:val="nil"/>
            </w:tcBorders>
            <w:shd w:val="clear" w:color="000000" w:fill="FFFFFF"/>
            <w:vAlign w:val="center"/>
            <w:hideMark/>
          </w:tcPr>
          <w:p w14:paraId="06D99E3E" w14:textId="1DC88228" w:rsidR="00BA7250" w:rsidRPr="00893C52" w:rsidRDefault="00BA7250" w:rsidP="00BA7250">
            <w:pPr>
              <w:spacing w:after="0" w:line="240" w:lineRule="auto"/>
              <w:jc w:val="center"/>
              <w:rPr>
                <w:rFonts w:eastAsia="Times New Roman" w:cs="Times New Roman"/>
                <w:color w:val="000000"/>
                <w:sz w:val="20"/>
                <w:lang w:eastAsia="sk-SK"/>
              </w:rPr>
            </w:pPr>
            <w:r>
              <w:rPr>
                <w:color w:val="000000"/>
                <w:sz w:val="20"/>
              </w:rPr>
              <w:t>0,6</w:t>
            </w:r>
          </w:p>
        </w:tc>
        <w:tc>
          <w:tcPr>
            <w:tcW w:w="996" w:type="dxa"/>
            <w:tcBorders>
              <w:top w:val="nil"/>
              <w:left w:val="nil"/>
              <w:bottom w:val="nil"/>
              <w:right w:val="nil"/>
            </w:tcBorders>
            <w:shd w:val="clear" w:color="000000" w:fill="FFFFFF"/>
            <w:vAlign w:val="center"/>
            <w:hideMark/>
          </w:tcPr>
          <w:p w14:paraId="65987681" w14:textId="23AB2C5C" w:rsidR="00BA7250" w:rsidRPr="00893C52" w:rsidRDefault="00BA7250" w:rsidP="00BA7250">
            <w:pPr>
              <w:spacing w:after="0" w:line="240" w:lineRule="auto"/>
              <w:jc w:val="center"/>
              <w:rPr>
                <w:rFonts w:eastAsia="Times New Roman" w:cs="Times New Roman"/>
                <w:color w:val="000000"/>
                <w:sz w:val="20"/>
                <w:lang w:eastAsia="sk-SK"/>
              </w:rPr>
            </w:pPr>
            <w:r>
              <w:rPr>
                <w:color w:val="000000"/>
                <w:sz w:val="20"/>
              </w:rPr>
              <w:t>4,5</w:t>
            </w:r>
          </w:p>
        </w:tc>
        <w:tc>
          <w:tcPr>
            <w:tcW w:w="569" w:type="dxa"/>
            <w:tcBorders>
              <w:top w:val="nil"/>
              <w:left w:val="nil"/>
              <w:bottom w:val="nil"/>
              <w:right w:val="nil"/>
            </w:tcBorders>
            <w:shd w:val="clear" w:color="000000" w:fill="FFFFFF"/>
            <w:vAlign w:val="center"/>
            <w:hideMark/>
          </w:tcPr>
          <w:p w14:paraId="250725BB" w14:textId="50A3DA8B" w:rsidR="00BA7250" w:rsidRPr="00893C52" w:rsidRDefault="00BA7250" w:rsidP="00BA7250">
            <w:pPr>
              <w:spacing w:after="0" w:line="240" w:lineRule="auto"/>
              <w:jc w:val="center"/>
              <w:rPr>
                <w:rFonts w:eastAsia="Times New Roman" w:cs="Times New Roman"/>
                <w:color w:val="000000"/>
                <w:sz w:val="20"/>
                <w:lang w:eastAsia="sk-SK"/>
              </w:rPr>
            </w:pPr>
            <w:r>
              <w:rPr>
                <w:rFonts w:cs="Calibri"/>
                <w:color w:val="000000"/>
                <w:sz w:val="20"/>
              </w:rPr>
              <w:t>8</w:t>
            </w:r>
          </w:p>
        </w:tc>
        <w:tc>
          <w:tcPr>
            <w:tcW w:w="1273" w:type="dxa"/>
            <w:tcBorders>
              <w:top w:val="nil"/>
              <w:left w:val="nil"/>
              <w:bottom w:val="nil"/>
              <w:right w:val="nil"/>
            </w:tcBorders>
            <w:shd w:val="clear" w:color="000000" w:fill="FFFFFF"/>
            <w:vAlign w:val="center"/>
            <w:hideMark/>
          </w:tcPr>
          <w:p w14:paraId="1E3F3BDF" w14:textId="77777777" w:rsidR="00BA7250" w:rsidRPr="00893C52" w:rsidRDefault="00BA7250" w:rsidP="00BA7250">
            <w:pPr>
              <w:spacing w:after="0" w:line="240" w:lineRule="auto"/>
              <w:rPr>
                <w:rFonts w:eastAsia="Times New Roman" w:cs="Times New Roman"/>
                <w:color w:val="000000"/>
                <w:sz w:val="20"/>
                <w:lang w:eastAsia="sk-SK"/>
              </w:rPr>
            </w:pPr>
            <w:r w:rsidRPr="00893C52">
              <w:rPr>
                <w:rFonts w:eastAsia="Times New Roman" w:cs="Times New Roman"/>
                <w:color w:val="000000"/>
                <w:sz w:val="20"/>
                <w:lang w:eastAsia="sk-SK"/>
              </w:rPr>
              <w:t>MV</w:t>
            </w:r>
          </w:p>
        </w:tc>
      </w:tr>
      <w:tr w:rsidR="004218A0" w:rsidRPr="00893C52" w14:paraId="7267B52A" w14:textId="77777777" w:rsidTr="00F322D1">
        <w:trPr>
          <w:trHeight w:val="476"/>
        </w:trPr>
        <w:tc>
          <w:tcPr>
            <w:tcW w:w="324" w:type="dxa"/>
            <w:tcBorders>
              <w:top w:val="single" w:sz="4" w:space="0" w:color="auto"/>
              <w:left w:val="nil"/>
              <w:bottom w:val="single" w:sz="4" w:space="0" w:color="auto"/>
              <w:right w:val="nil"/>
            </w:tcBorders>
            <w:shd w:val="clear" w:color="000000" w:fill="FFFFFF"/>
            <w:vAlign w:val="center"/>
            <w:hideMark/>
          </w:tcPr>
          <w:p w14:paraId="4729BED7" w14:textId="77777777" w:rsidR="004218A0" w:rsidRPr="00893C52" w:rsidRDefault="004218A0" w:rsidP="004218A0">
            <w:pPr>
              <w:spacing w:after="0" w:line="240" w:lineRule="auto"/>
              <w:jc w:val="center"/>
              <w:rPr>
                <w:rFonts w:eastAsia="Times New Roman" w:cs="Times New Roman"/>
                <w:b/>
                <w:bCs/>
                <w:color w:val="000000"/>
                <w:sz w:val="20"/>
                <w:lang w:eastAsia="sk-SK"/>
              </w:rPr>
            </w:pPr>
            <w:r w:rsidRPr="00893C52">
              <w:rPr>
                <w:rFonts w:eastAsia="Times New Roman" w:cs="Times New Roman"/>
                <w:b/>
                <w:bCs/>
                <w:color w:val="000000"/>
                <w:sz w:val="20"/>
                <w:lang w:eastAsia="sk-SK"/>
              </w:rPr>
              <w:t> </w:t>
            </w:r>
          </w:p>
        </w:tc>
        <w:tc>
          <w:tcPr>
            <w:tcW w:w="4857" w:type="dxa"/>
            <w:tcBorders>
              <w:top w:val="single" w:sz="4" w:space="0" w:color="auto"/>
              <w:left w:val="nil"/>
              <w:bottom w:val="single" w:sz="4" w:space="0" w:color="auto"/>
              <w:right w:val="nil"/>
            </w:tcBorders>
            <w:shd w:val="clear" w:color="000000" w:fill="FFFFFF"/>
            <w:vAlign w:val="center"/>
            <w:hideMark/>
          </w:tcPr>
          <w:p w14:paraId="278B170C" w14:textId="77777777" w:rsidR="004218A0" w:rsidRPr="00893C52" w:rsidRDefault="004218A0" w:rsidP="00452DBC">
            <w:pPr>
              <w:spacing w:after="0" w:line="240" w:lineRule="auto"/>
              <w:jc w:val="left"/>
              <w:rPr>
                <w:rFonts w:eastAsia="Times New Roman" w:cs="Times New Roman"/>
                <w:b/>
                <w:bCs/>
                <w:color w:val="000000"/>
                <w:sz w:val="20"/>
                <w:lang w:eastAsia="sk-SK"/>
              </w:rPr>
            </w:pPr>
            <w:r w:rsidRPr="00893C52">
              <w:rPr>
                <w:rFonts w:eastAsia="Times New Roman" w:cs="Times New Roman"/>
                <w:b/>
                <w:bCs/>
                <w:color w:val="000000"/>
                <w:sz w:val="20"/>
                <w:lang w:eastAsia="sk-SK"/>
              </w:rPr>
              <w:t>CELKOM</w:t>
            </w:r>
          </w:p>
        </w:tc>
        <w:tc>
          <w:tcPr>
            <w:tcW w:w="1053" w:type="dxa"/>
            <w:tcBorders>
              <w:top w:val="single" w:sz="4" w:space="0" w:color="auto"/>
              <w:left w:val="nil"/>
              <w:bottom w:val="single" w:sz="4" w:space="0" w:color="auto"/>
              <w:right w:val="nil"/>
            </w:tcBorders>
            <w:shd w:val="clear" w:color="000000" w:fill="FFFFFF"/>
            <w:vAlign w:val="center"/>
            <w:hideMark/>
          </w:tcPr>
          <w:p w14:paraId="1DFFF224" w14:textId="0D9A4CEB" w:rsidR="004218A0" w:rsidRPr="00893C52" w:rsidRDefault="00DC4284" w:rsidP="004218A0">
            <w:pPr>
              <w:spacing w:after="0" w:line="240" w:lineRule="auto"/>
              <w:jc w:val="center"/>
              <w:rPr>
                <w:rFonts w:eastAsia="Times New Roman" w:cs="Times New Roman"/>
                <w:b/>
                <w:bCs/>
                <w:color w:val="000000"/>
                <w:sz w:val="20"/>
                <w:lang w:eastAsia="sk-SK"/>
              </w:rPr>
            </w:pPr>
            <w:r>
              <w:rPr>
                <w:b/>
                <w:bCs/>
                <w:color w:val="000000"/>
                <w:sz w:val="20"/>
              </w:rPr>
              <w:t>107,1</w:t>
            </w:r>
          </w:p>
        </w:tc>
        <w:tc>
          <w:tcPr>
            <w:tcW w:w="996" w:type="dxa"/>
            <w:tcBorders>
              <w:top w:val="single" w:sz="4" w:space="0" w:color="auto"/>
              <w:left w:val="nil"/>
              <w:bottom w:val="single" w:sz="4" w:space="0" w:color="auto"/>
              <w:right w:val="nil"/>
            </w:tcBorders>
            <w:shd w:val="clear" w:color="000000" w:fill="FFFFFF"/>
            <w:vAlign w:val="center"/>
            <w:hideMark/>
          </w:tcPr>
          <w:p w14:paraId="7EF90D31" w14:textId="7E775C1C" w:rsidR="004218A0" w:rsidRPr="00893C52" w:rsidRDefault="00DC4284" w:rsidP="004218A0">
            <w:pPr>
              <w:spacing w:after="0" w:line="240" w:lineRule="auto"/>
              <w:jc w:val="center"/>
              <w:rPr>
                <w:rFonts w:eastAsia="Times New Roman" w:cs="Times New Roman"/>
                <w:b/>
                <w:bCs/>
                <w:color w:val="000000"/>
                <w:sz w:val="20"/>
                <w:lang w:eastAsia="sk-SK"/>
              </w:rPr>
            </w:pPr>
            <w:r>
              <w:rPr>
                <w:b/>
                <w:bCs/>
                <w:color w:val="000000"/>
                <w:sz w:val="20"/>
              </w:rPr>
              <w:t>262,8</w:t>
            </w:r>
          </w:p>
        </w:tc>
        <w:tc>
          <w:tcPr>
            <w:tcW w:w="569" w:type="dxa"/>
            <w:tcBorders>
              <w:top w:val="single" w:sz="4" w:space="0" w:color="auto"/>
              <w:left w:val="nil"/>
              <w:bottom w:val="single" w:sz="4" w:space="0" w:color="auto"/>
              <w:right w:val="nil"/>
            </w:tcBorders>
            <w:shd w:val="clear" w:color="000000" w:fill="FFFFFF"/>
            <w:vAlign w:val="center"/>
            <w:hideMark/>
          </w:tcPr>
          <w:p w14:paraId="337C00E5" w14:textId="1955BBB7" w:rsidR="004218A0" w:rsidRPr="00893C52" w:rsidRDefault="004218A0" w:rsidP="004218A0">
            <w:pPr>
              <w:spacing w:after="0" w:line="240" w:lineRule="auto"/>
              <w:jc w:val="center"/>
              <w:rPr>
                <w:rFonts w:eastAsia="Times New Roman" w:cs="Times New Roman"/>
                <w:b/>
                <w:bCs/>
                <w:color w:val="000000"/>
                <w:sz w:val="20"/>
                <w:lang w:eastAsia="sk-SK"/>
              </w:rPr>
            </w:pPr>
          </w:p>
        </w:tc>
        <w:tc>
          <w:tcPr>
            <w:tcW w:w="1273" w:type="dxa"/>
            <w:tcBorders>
              <w:top w:val="single" w:sz="4" w:space="0" w:color="auto"/>
              <w:left w:val="nil"/>
              <w:bottom w:val="single" w:sz="4" w:space="0" w:color="auto"/>
              <w:right w:val="nil"/>
            </w:tcBorders>
            <w:shd w:val="clear" w:color="000000" w:fill="FFFFFF"/>
            <w:vAlign w:val="center"/>
            <w:hideMark/>
          </w:tcPr>
          <w:p w14:paraId="373B20D7" w14:textId="77777777" w:rsidR="004218A0" w:rsidRPr="00893C52" w:rsidRDefault="004218A0" w:rsidP="004218A0">
            <w:pPr>
              <w:spacing w:after="0" w:line="240" w:lineRule="auto"/>
              <w:rPr>
                <w:rFonts w:eastAsia="Times New Roman" w:cs="Times New Roman"/>
                <w:b/>
                <w:bCs/>
                <w:color w:val="000000"/>
                <w:sz w:val="20"/>
                <w:lang w:eastAsia="sk-SK"/>
              </w:rPr>
            </w:pPr>
            <w:r w:rsidRPr="00893C52">
              <w:rPr>
                <w:rFonts w:eastAsia="Times New Roman" w:cs="Times New Roman"/>
                <w:b/>
                <w:bCs/>
                <w:color w:val="000000"/>
                <w:sz w:val="20"/>
                <w:lang w:eastAsia="sk-SK"/>
              </w:rPr>
              <w:t> </w:t>
            </w:r>
          </w:p>
        </w:tc>
      </w:tr>
      <w:bookmarkEnd w:id="7"/>
    </w:tbl>
    <w:p w14:paraId="2E27CE9C" w14:textId="1A112927" w:rsidR="00A616C6" w:rsidRDefault="00A616C6" w:rsidP="00A616C6">
      <w:pPr>
        <w:spacing w:after="0" w:line="240" w:lineRule="auto"/>
        <w:rPr>
          <w:b/>
          <w:bCs/>
          <w:sz w:val="4"/>
          <w:szCs w:val="4"/>
        </w:rPr>
      </w:pPr>
    </w:p>
    <w:p w14:paraId="1F64784A" w14:textId="6C676E6B" w:rsidR="00A616C6" w:rsidRDefault="00A616C6" w:rsidP="00A616C6">
      <w:pPr>
        <w:spacing w:after="0" w:line="240" w:lineRule="auto"/>
        <w:rPr>
          <w:b/>
          <w:bCs/>
          <w:sz w:val="4"/>
          <w:szCs w:val="4"/>
        </w:rPr>
      </w:pPr>
    </w:p>
    <w:p w14:paraId="57040045" w14:textId="4F8B4B94" w:rsidR="00A616C6" w:rsidRDefault="00A616C6" w:rsidP="00A616C6">
      <w:pPr>
        <w:spacing w:after="0" w:line="240" w:lineRule="auto"/>
        <w:rPr>
          <w:b/>
          <w:bCs/>
          <w:sz w:val="4"/>
          <w:szCs w:val="4"/>
        </w:rPr>
      </w:pPr>
    </w:p>
    <w:p w14:paraId="2DDF57EA" w14:textId="6C3C7C1B" w:rsidR="00A616C6" w:rsidRDefault="00A616C6" w:rsidP="00A616C6">
      <w:pPr>
        <w:spacing w:after="0" w:line="240" w:lineRule="auto"/>
        <w:rPr>
          <w:b/>
          <w:bCs/>
          <w:sz w:val="4"/>
          <w:szCs w:val="4"/>
        </w:rPr>
      </w:pPr>
    </w:p>
    <w:p w14:paraId="6771F850" w14:textId="77777777" w:rsidR="00A616C6" w:rsidRPr="00452DBC" w:rsidRDefault="00A616C6" w:rsidP="00452DBC">
      <w:pPr>
        <w:spacing w:after="0" w:line="240" w:lineRule="auto"/>
        <w:rPr>
          <w:b/>
          <w:bCs/>
          <w:sz w:val="4"/>
          <w:szCs w:val="4"/>
        </w:rPr>
      </w:pPr>
    </w:p>
    <w:p w14:paraId="734153B2" w14:textId="77777777" w:rsidR="00B85177" w:rsidRDefault="00B85177">
      <w:pPr>
        <w:spacing w:after="160"/>
        <w:jc w:val="left"/>
        <w:rPr>
          <w:bCs/>
          <w:color w:val="0070C0"/>
        </w:rPr>
      </w:pPr>
      <w:r>
        <w:rPr>
          <w:bCs/>
          <w:color w:val="0070C0"/>
        </w:rPr>
        <w:br w:type="page"/>
      </w:r>
    </w:p>
    <w:p w14:paraId="4C98AB76" w14:textId="070C05A6" w:rsidR="004F1697" w:rsidRPr="00231BE7" w:rsidRDefault="00000253" w:rsidP="00452DBC">
      <w:pPr>
        <w:spacing w:after="160"/>
        <w:jc w:val="left"/>
        <w:rPr>
          <w:bCs/>
          <w:color w:val="0070C0"/>
        </w:rPr>
      </w:pPr>
      <w:r w:rsidRPr="00231BE7">
        <w:rPr>
          <w:bCs/>
          <w:color w:val="0070C0"/>
        </w:rPr>
        <w:lastRenderedPageBreak/>
        <w:t>S</w:t>
      </w:r>
      <w:r w:rsidR="004F1697" w:rsidRPr="00231BE7">
        <w:rPr>
          <w:bCs/>
          <w:color w:val="0070C0"/>
        </w:rPr>
        <w:t xml:space="preserve">tarostlivosť </w:t>
      </w:r>
      <w:r w:rsidRPr="00231BE7">
        <w:rPr>
          <w:bCs/>
          <w:color w:val="0070C0"/>
        </w:rPr>
        <w:t>o znevýhodnené deti v ranom veku</w:t>
      </w:r>
    </w:p>
    <w:p w14:paraId="30014DDC" w14:textId="7F73D800" w:rsidR="00083380" w:rsidRDefault="00083380" w:rsidP="00000253">
      <w:pPr>
        <w:spacing w:before="200"/>
      </w:pPr>
      <w:r w:rsidRPr="00D41517">
        <w:rPr>
          <w:b/>
          <w:bCs/>
          <w:szCs w:val="22"/>
        </w:rPr>
        <w:t>1.</w:t>
      </w:r>
      <w:r>
        <w:rPr>
          <w:b/>
          <w:bCs/>
          <w:szCs w:val="22"/>
        </w:rPr>
        <w:t xml:space="preserve"> </w:t>
      </w:r>
      <w:r w:rsidRPr="00837A88">
        <w:rPr>
          <w:b/>
          <w:bCs/>
          <w:szCs w:val="22"/>
        </w:rPr>
        <w:t xml:space="preserve">Opatrenie: </w:t>
      </w:r>
      <w:r w:rsidRPr="00452DBC">
        <w:rPr>
          <w:b/>
          <w:szCs w:val="22"/>
          <w:lang w:eastAsia="sk-SK"/>
        </w:rPr>
        <w:t xml:space="preserve">Podporiť poskytovanie ranej starostlivosti deťom vo veku 0 až 3 roky žijúcim v prostredí </w:t>
      </w:r>
      <w:r w:rsidR="00000253">
        <w:rPr>
          <w:b/>
          <w:szCs w:val="22"/>
          <w:lang w:eastAsia="sk-SK"/>
        </w:rPr>
        <w:t>marginalizovaných rómskych komunít</w:t>
      </w:r>
      <w:r w:rsidR="00A128D4">
        <w:rPr>
          <w:b/>
          <w:szCs w:val="22"/>
          <w:lang w:eastAsia="sk-SK"/>
        </w:rPr>
        <w:t xml:space="preserve"> (potenciál 4,9 miliónov eur)</w:t>
      </w:r>
      <w:r w:rsidRPr="00D41517">
        <w:rPr>
          <w:rFonts w:eastAsia="Times New Roman" w:cs="Times New Roman"/>
          <w:b/>
          <w:color w:val="000000"/>
          <w:szCs w:val="22"/>
          <w:lang w:eastAsia="sk-SK"/>
        </w:rPr>
        <w:t xml:space="preserve">. </w:t>
      </w:r>
      <w:r w:rsidRPr="004A2670">
        <w:t xml:space="preserve">Dostupnosť a kvalita starostlivosti v ranom detstve sú pre budúci život </w:t>
      </w:r>
      <w:r w:rsidR="00000253" w:rsidRPr="00452DBC">
        <w:t xml:space="preserve">znevýhodnených </w:t>
      </w:r>
      <w:r w:rsidRPr="004A2670">
        <w:t xml:space="preserve">detí </w:t>
      </w:r>
      <w:r w:rsidRPr="00000253">
        <w:t>určujúce. Základy pre rozvoj rôznych zručností sa totiž v ľudskom mozgu najintenzívnejšie vyvíjajú práve v prvých rokoch života</w:t>
      </w:r>
      <w:r w:rsidR="00000253">
        <w:t xml:space="preserve"> (kapitola </w:t>
      </w:r>
      <w:r w:rsidR="00000253">
        <w:fldChar w:fldCharType="begin"/>
      </w:r>
      <w:r w:rsidR="00000253">
        <w:instrText xml:space="preserve"> REF _Ref33198253 \r \h </w:instrText>
      </w:r>
      <w:r w:rsidR="00000253">
        <w:fldChar w:fldCharType="separate"/>
      </w:r>
      <w:r w:rsidR="00FA29AF">
        <w:t>4</w:t>
      </w:r>
      <w:r w:rsidR="00000253">
        <w:fldChar w:fldCharType="end"/>
      </w:r>
      <w:r w:rsidR="00000253">
        <w:t>)</w:t>
      </w:r>
      <w:r w:rsidRPr="004A2670">
        <w:t xml:space="preserve">. </w:t>
      </w:r>
      <w:r w:rsidRPr="00000253">
        <w:rPr>
          <w:lang w:eastAsia="sk-SK"/>
        </w:rPr>
        <w:t>Priestorovú</w:t>
      </w:r>
      <w:r w:rsidR="002709F1">
        <w:rPr>
          <w:lang w:eastAsia="sk-SK"/>
        </w:rPr>
        <w:t xml:space="preserve"> koncentráciu chudoby, jej </w:t>
      </w:r>
      <w:r w:rsidRPr="0078791C">
        <w:rPr>
          <w:lang w:eastAsia="sk-SK"/>
        </w:rPr>
        <w:t>medzigeneračnú reprodukciu a následne slabé výsledky detí z MRK v oblasti vzdelávania by mal riešiť operatívne vytvorený program na podporu ranej starostlivosti zameranej špecificky na túto skupinu.</w:t>
      </w:r>
      <w:r w:rsidRPr="00D41517">
        <w:rPr>
          <w:b/>
          <w:lang w:eastAsia="sk-SK"/>
        </w:rPr>
        <w:t xml:space="preserve"> </w:t>
      </w:r>
      <w:r w:rsidR="002709F1">
        <w:t>Program by </w:t>
      </w:r>
      <w:r>
        <w:t>mal zahŕňať návštevu rodín s deťmi vo veku 0-3 roky vyškolenými pracovníčkami z komunity, ktoré sa s deťmi a ich rodičmi (najčastejšie matkami) budú venovať rôznym hrám a aktivitám zacieleným na psycho-sociálnu stimuláciu (</w:t>
      </w:r>
      <w:r w:rsidRPr="008138CF">
        <w:t>jem</w:t>
      </w:r>
      <w:r>
        <w:t>ná</w:t>
      </w:r>
      <w:r w:rsidRPr="008138CF">
        <w:t xml:space="preserve"> a hrub</w:t>
      </w:r>
      <w:r>
        <w:t>á</w:t>
      </w:r>
      <w:r w:rsidRPr="008138CF">
        <w:t xml:space="preserve"> motorik</w:t>
      </w:r>
      <w:r>
        <w:t>a</w:t>
      </w:r>
      <w:r w:rsidRPr="008138CF">
        <w:t>, kognitívn</w:t>
      </w:r>
      <w:r>
        <w:t>e</w:t>
      </w:r>
      <w:r w:rsidRPr="008138CF">
        <w:t>, jazykov</w:t>
      </w:r>
      <w:r>
        <w:t>é</w:t>
      </w:r>
      <w:r w:rsidRPr="008138CF">
        <w:t>, komunikačn</w:t>
      </w:r>
      <w:r>
        <w:t>é</w:t>
      </w:r>
      <w:r w:rsidRPr="008138CF">
        <w:t xml:space="preserve"> schopnost</w:t>
      </w:r>
      <w:r>
        <w:t>i,</w:t>
      </w:r>
      <w:r w:rsidRPr="008138CF">
        <w:t xml:space="preserve"> socio-emocionáln</w:t>
      </w:r>
      <w:r>
        <w:t>a</w:t>
      </w:r>
      <w:r w:rsidRPr="008138CF">
        <w:t xml:space="preserve"> oblas</w:t>
      </w:r>
      <w:r>
        <w:t xml:space="preserve">ť). </w:t>
      </w:r>
      <w:r w:rsidR="00000253">
        <w:t xml:space="preserve">Spoluprácu s pracovníčkami by mal nadviazať aj rezort zdravotníctva v súvislosti s administráciou novozavedeného skríningu psychomotorického vývinu detí vo veku 0 až 3 rokov. </w:t>
      </w:r>
      <w:r w:rsidRPr="00623612">
        <w:t xml:space="preserve">Okrem toho </w:t>
      </w:r>
      <w:r>
        <w:t>by mal program poskytovať poradenstvo matkám a</w:t>
      </w:r>
      <w:r w:rsidRPr="00623612">
        <w:t xml:space="preserve"> tehotným ženám a </w:t>
      </w:r>
      <w:r>
        <w:t>poskytovať</w:t>
      </w:r>
      <w:r w:rsidRPr="00623612">
        <w:t xml:space="preserve"> </w:t>
      </w:r>
      <w:r>
        <w:t>skupinové vzdelávanie pre rodičov.</w:t>
      </w:r>
    </w:p>
    <w:p w14:paraId="59C96DC6" w14:textId="37D8A0D2" w:rsidR="00000253" w:rsidRPr="00231BE7" w:rsidRDefault="00000253" w:rsidP="00452DBC">
      <w:pPr>
        <w:spacing w:before="200"/>
        <w:rPr>
          <w:bCs/>
        </w:rPr>
      </w:pPr>
      <w:r w:rsidRPr="00231BE7">
        <w:rPr>
          <w:bCs/>
          <w:color w:val="0070C0"/>
        </w:rPr>
        <w:t>Predprimárne vzdelávanie</w:t>
      </w:r>
    </w:p>
    <w:p w14:paraId="6F9DF3AC" w14:textId="20F39643" w:rsidR="00E3402B" w:rsidRDefault="00EF5802" w:rsidP="00046111">
      <w:pPr>
        <w:spacing w:before="200"/>
      </w:pPr>
      <w:r w:rsidRPr="00131228">
        <w:rPr>
          <w:b/>
        </w:rPr>
        <w:t xml:space="preserve">2. Opatrenie: </w:t>
      </w:r>
      <w:r w:rsidR="00487460">
        <w:rPr>
          <w:b/>
        </w:rPr>
        <w:t>Investovať</w:t>
      </w:r>
      <w:r w:rsidRPr="00131228">
        <w:rPr>
          <w:b/>
        </w:rPr>
        <w:t xml:space="preserve"> do kapacít a debarierizácie materských škôl</w:t>
      </w:r>
      <w:r w:rsidR="00A128D4">
        <w:rPr>
          <w:b/>
        </w:rPr>
        <w:t xml:space="preserve"> (potenciál 35</w:t>
      </w:r>
      <w:r w:rsidR="00D05492">
        <w:rPr>
          <w:b/>
        </w:rPr>
        <w:t>,0</w:t>
      </w:r>
      <w:r w:rsidR="00A128D4">
        <w:rPr>
          <w:b/>
        </w:rPr>
        <w:t xml:space="preserve"> miliónov eur)</w:t>
      </w:r>
      <w:r w:rsidRPr="00131228">
        <w:rPr>
          <w:b/>
        </w:rPr>
        <w:t xml:space="preserve">. </w:t>
      </w:r>
      <w:r w:rsidRPr="00131228">
        <w:rPr>
          <w:bCs/>
        </w:rPr>
        <w:t>Slovensko má v porovnaní s priemerom krajín E</w:t>
      </w:r>
      <w:r w:rsidRPr="00131228">
        <w:t xml:space="preserve">Ú nízku mieru zaškolenosti detí </w:t>
      </w:r>
      <w:r w:rsidR="00A94A43">
        <w:t>v predprimárnom vzdelávaní</w:t>
      </w:r>
      <w:r w:rsidRPr="00131228">
        <w:t xml:space="preserve">. Zaškolenosť je ešte nižšia v rámci ohrozených skupín detí, ktoré z kvalitného predprimárneho vzdelávania benefitujú najviac. Jednou z príčin sú aj nedostatočné kapacity materských škôl. </w:t>
      </w:r>
      <w:r w:rsidR="00B13FE4">
        <w:t xml:space="preserve">Medzi miesta </w:t>
      </w:r>
      <w:r w:rsidR="00CC0993">
        <w:t>s</w:t>
      </w:r>
      <w:r w:rsidR="00B13FE4">
        <w:t xml:space="preserve"> najväčším obmedzením kapacít patria viaceré obce s prítomnosťou marginalizovaných rómskych komunít </w:t>
      </w:r>
      <w:r>
        <w:t xml:space="preserve">(podkapitola </w:t>
      </w:r>
      <w:r>
        <w:rPr>
          <w:highlight w:val="yellow"/>
        </w:rPr>
        <w:fldChar w:fldCharType="begin"/>
      </w:r>
      <w:r>
        <w:instrText xml:space="preserve"> REF _Ref25566821 \r \h </w:instrText>
      </w:r>
      <w:r>
        <w:rPr>
          <w:highlight w:val="yellow"/>
        </w:rPr>
      </w:r>
      <w:r>
        <w:rPr>
          <w:highlight w:val="yellow"/>
        </w:rPr>
        <w:fldChar w:fldCharType="separate"/>
      </w:r>
      <w:r w:rsidR="00FA29AF">
        <w:t>5.1</w:t>
      </w:r>
      <w:r>
        <w:rPr>
          <w:highlight w:val="yellow"/>
        </w:rPr>
        <w:fldChar w:fldCharType="end"/>
      </w:r>
      <w:r>
        <w:t>)</w:t>
      </w:r>
      <w:r w:rsidRPr="00131228">
        <w:t xml:space="preserve">. </w:t>
      </w:r>
      <w:r w:rsidR="00B13FE4">
        <w:t>P</w:t>
      </w:r>
      <w:r w:rsidRPr="00131228">
        <w:t xml:space="preserve">rekážkou pre prijímanie detí so </w:t>
      </w:r>
      <w:r w:rsidR="00B13FE4">
        <w:t>zdravotným znevýhodnením</w:t>
      </w:r>
      <w:r w:rsidRPr="00131228">
        <w:t xml:space="preserve"> je aj bariérové prostredie mnohých </w:t>
      </w:r>
      <w:r w:rsidR="00B13FE4">
        <w:t>materských škôl</w:t>
      </w:r>
      <w:r w:rsidRPr="00131228">
        <w:t>. Na rozdiel od základných škôl, štát vôbec nepodporuje debarierizáciu materských škôl</w:t>
      </w:r>
      <w:r>
        <w:t xml:space="preserve"> (podkapitola </w:t>
      </w:r>
      <w:r>
        <w:rPr>
          <w:highlight w:val="yellow"/>
        </w:rPr>
        <w:fldChar w:fldCharType="begin"/>
      </w:r>
      <w:r>
        <w:instrText xml:space="preserve"> REF _Ref25756903 \r \h </w:instrText>
      </w:r>
      <w:r>
        <w:rPr>
          <w:highlight w:val="yellow"/>
        </w:rPr>
      </w:r>
      <w:r>
        <w:rPr>
          <w:highlight w:val="yellow"/>
        </w:rPr>
        <w:fldChar w:fldCharType="separate"/>
      </w:r>
      <w:r w:rsidR="00FA29AF">
        <w:t>6.1</w:t>
      </w:r>
      <w:r>
        <w:rPr>
          <w:highlight w:val="yellow"/>
        </w:rPr>
        <w:fldChar w:fldCharType="end"/>
      </w:r>
      <w:r>
        <w:t>)</w:t>
      </w:r>
      <w:r w:rsidRPr="00131228">
        <w:t xml:space="preserve">. </w:t>
      </w:r>
    </w:p>
    <w:p w14:paraId="5B09B775" w14:textId="1999FE7B" w:rsidR="00EF5802" w:rsidRDefault="00EF5802" w:rsidP="00046111">
      <w:pPr>
        <w:spacing w:before="200"/>
      </w:pPr>
      <w:r w:rsidRPr="00131228">
        <w:t>Opatrenie</w:t>
      </w:r>
      <w:r>
        <w:t xml:space="preserve"> zahŕňa:</w:t>
      </w:r>
    </w:p>
    <w:p w14:paraId="01417C8D" w14:textId="1CE9B843" w:rsidR="002242E9" w:rsidRPr="00131228" w:rsidRDefault="002242E9" w:rsidP="00046111">
      <w:pPr>
        <w:pStyle w:val="Odsekzoznamu"/>
        <w:numPr>
          <w:ilvl w:val="0"/>
          <w:numId w:val="23"/>
        </w:numPr>
        <w:ind w:left="714" w:hanging="357"/>
      </w:pPr>
      <w:r w:rsidRPr="00131228">
        <w:t xml:space="preserve">Dobudovanie kapacít potrebných </w:t>
      </w:r>
      <w:r w:rsidRPr="00131228">
        <w:rPr>
          <w:rFonts w:eastAsia="Times New Roman" w:cs="Times New Roman"/>
          <w:color w:val="000000"/>
          <w:szCs w:val="22"/>
          <w:lang w:eastAsia="sk-SK"/>
        </w:rPr>
        <w:t>pre zavedenie povinného predprimárneho vzdelávania od 5 rokov a právneho nároku na miesto v</w:t>
      </w:r>
      <w:r w:rsidR="00946D55">
        <w:rPr>
          <w:rFonts w:eastAsia="Times New Roman" w:cs="Times New Roman"/>
          <w:color w:val="000000"/>
          <w:szCs w:val="22"/>
          <w:lang w:eastAsia="sk-SK"/>
        </w:rPr>
        <w:t> materskej škole</w:t>
      </w:r>
      <w:r w:rsidRPr="00131228">
        <w:rPr>
          <w:rFonts w:eastAsia="Times New Roman" w:cs="Times New Roman"/>
          <w:color w:val="000000"/>
          <w:szCs w:val="22"/>
          <w:lang w:eastAsia="sk-SK"/>
        </w:rPr>
        <w:t xml:space="preserve"> pre 3- a 4-ročné deti</w:t>
      </w:r>
      <w:r w:rsidRPr="00131228">
        <w:t xml:space="preserve">. Celkové kapitálové výdavky na toto opatrenie nad rámec zdrojov vyčlenených na tento účel v aktuálnom programovom </w:t>
      </w:r>
      <w:r w:rsidR="00C45C4F">
        <w:t>období predstavujú 92,7</w:t>
      </w:r>
      <w:r w:rsidRPr="00131228">
        <w:t xml:space="preserve"> miliónov </w:t>
      </w:r>
      <w:r w:rsidR="00C45C4F">
        <w:t>eur. Z toho odhadom 34,4</w:t>
      </w:r>
      <w:r w:rsidRPr="00131228">
        <w:t xml:space="preserve"> miliónov eur </w:t>
      </w:r>
      <w:r w:rsidR="001D5F9C">
        <w:t>predstavujú</w:t>
      </w:r>
      <w:r w:rsidRPr="00131228">
        <w:t xml:space="preserve"> nové miesta v</w:t>
      </w:r>
      <w:r w:rsidR="00946D55">
        <w:t> materských školách</w:t>
      </w:r>
      <w:r w:rsidR="002709F1">
        <w:t>, na </w:t>
      </w:r>
      <w:r w:rsidRPr="00131228">
        <w:t xml:space="preserve">ktoré </w:t>
      </w:r>
      <w:r w:rsidR="001D5F9C">
        <w:t>nastúpia</w:t>
      </w:r>
      <w:r w:rsidRPr="00131228">
        <w:t xml:space="preserve"> deti zo </w:t>
      </w:r>
      <w:r w:rsidR="00946D55">
        <w:t>sociálne znevýhodneného prostredia</w:t>
      </w:r>
      <w:r w:rsidRPr="00131228">
        <w:t xml:space="preserve"> alebo </w:t>
      </w:r>
      <w:r w:rsidR="00946D55">
        <w:t>deti so zdravotným znevýhodnením</w:t>
      </w:r>
      <w:r w:rsidRPr="00131228">
        <w:t>.</w:t>
      </w:r>
    </w:p>
    <w:p w14:paraId="4853E68B" w14:textId="2F827477" w:rsidR="002242E9" w:rsidRDefault="002242E9" w:rsidP="00046111">
      <w:pPr>
        <w:pStyle w:val="Odsekzoznamu"/>
        <w:numPr>
          <w:ilvl w:val="0"/>
          <w:numId w:val="23"/>
        </w:numPr>
        <w:spacing w:before="240"/>
      </w:pPr>
      <w:r w:rsidRPr="00131228">
        <w:t>Finančn</w:t>
      </w:r>
      <w:r w:rsidR="00F16AF6">
        <w:t>á</w:t>
      </w:r>
      <w:r w:rsidRPr="00131228">
        <w:t xml:space="preserve"> podpor</w:t>
      </w:r>
      <w:r w:rsidR="00F16AF6">
        <w:t>a</w:t>
      </w:r>
      <w:r w:rsidRPr="00131228">
        <w:t xml:space="preserve"> formou </w:t>
      </w:r>
      <w:r w:rsidRPr="00131228">
        <w:rPr>
          <w:szCs w:val="22"/>
        </w:rPr>
        <w:t xml:space="preserve">rozvojového projektu pre debarierizáciu materských škôl v hodnote </w:t>
      </w:r>
      <w:r w:rsidR="00334AA4">
        <w:rPr>
          <w:szCs w:val="22"/>
        </w:rPr>
        <w:t>6</w:t>
      </w:r>
      <w:r w:rsidRPr="00131228">
        <w:rPr>
          <w:szCs w:val="22"/>
        </w:rPr>
        <w:t xml:space="preserve">00 tisíc eur </w:t>
      </w:r>
      <w:r w:rsidR="00432AFB" w:rsidRPr="00432AFB">
        <w:t xml:space="preserve">spolu s </w:t>
      </w:r>
      <w:r w:rsidR="00946D55">
        <w:rPr>
          <w:szCs w:val="22"/>
        </w:rPr>
        <w:t>vytvorením</w:t>
      </w:r>
      <w:r w:rsidRPr="00452DBC">
        <w:rPr>
          <w:szCs w:val="22"/>
        </w:rPr>
        <w:t xml:space="preserve"> manuálu pre debarierizáciu školského prostredia, ktorý školám umožní identifikovať nedostatky a optimálny stav.</w:t>
      </w:r>
      <w:r w:rsidRPr="00432AFB">
        <w:t xml:space="preserve"> Toto opatrenie je nevyhnutné aj v súvislosti</w:t>
      </w:r>
      <w:r w:rsidRPr="00131228">
        <w:t xml:space="preserve"> so zavedením povinného predprimárneho vzdelávania, v rámci ktorého budú deti so </w:t>
      </w:r>
      <w:r w:rsidR="00946D55">
        <w:t xml:space="preserve">zdravotným </w:t>
      </w:r>
      <w:r w:rsidR="00A10DED">
        <w:t>znevýhodnení</w:t>
      </w:r>
      <w:r w:rsidR="000E6473">
        <w:t>m</w:t>
      </w:r>
      <w:r w:rsidRPr="00131228">
        <w:t xml:space="preserve"> povinné navštevovať materské školy.</w:t>
      </w:r>
    </w:p>
    <w:p w14:paraId="4E200302" w14:textId="2CA07B12" w:rsidR="00D43E87" w:rsidRDefault="00BA7250" w:rsidP="00046111">
      <w:r>
        <w:rPr>
          <w:rFonts w:eastAsia="Times New Roman" w:cs="Times New Roman"/>
          <w:b/>
          <w:color w:val="000000"/>
          <w:szCs w:val="22"/>
          <w:lang w:eastAsia="sk-SK"/>
        </w:rPr>
        <w:t>3</w:t>
      </w:r>
      <w:r w:rsidR="00D43E87" w:rsidRPr="00131228">
        <w:rPr>
          <w:rFonts w:eastAsia="Times New Roman" w:cs="Times New Roman"/>
          <w:b/>
          <w:color w:val="000000"/>
          <w:szCs w:val="22"/>
          <w:lang w:eastAsia="sk-SK"/>
        </w:rPr>
        <w:t xml:space="preserve">. Opatrenie: </w:t>
      </w:r>
      <w:r w:rsidR="006C61A8">
        <w:rPr>
          <w:rFonts w:eastAsia="Times New Roman" w:cs="Times New Roman"/>
          <w:b/>
          <w:color w:val="000000"/>
          <w:szCs w:val="22"/>
          <w:lang w:eastAsia="sk-SK"/>
        </w:rPr>
        <w:t>Zabezpečiť a</w:t>
      </w:r>
      <w:r w:rsidR="00D43E87" w:rsidRPr="00131228">
        <w:rPr>
          <w:rFonts w:eastAsia="Times New Roman" w:cs="Times New Roman"/>
          <w:b/>
          <w:color w:val="000000"/>
          <w:szCs w:val="22"/>
          <w:lang w:eastAsia="sk-SK"/>
        </w:rPr>
        <w:t>utobusové spojenie medzi segregovanými osídleniami a materskými a základnými školami</w:t>
      </w:r>
      <w:r w:rsidR="00A128D4">
        <w:rPr>
          <w:rFonts w:eastAsia="Times New Roman" w:cs="Times New Roman"/>
          <w:b/>
          <w:color w:val="000000"/>
          <w:szCs w:val="22"/>
          <w:lang w:eastAsia="sk-SK"/>
        </w:rPr>
        <w:t xml:space="preserve"> (potenciál </w:t>
      </w:r>
      <w:r w:rsidR="00D05492">
        <w:rPr>
          <w:rFonts w:eastAsia="Times New Roman" w:cs="Times New Roman"/>
          <w:b/>
          <w:color w:val="000000"/>
          <w:szCs w:val="22"/>
          <w:lang w:eastAsia="sk-SK"/>
        </w:rPr>
        <w:t>0,4</w:t>
      </w:r>
      <w:r w:rsidR="00A128D4">
        <w:rPr>
          <w:rFonts w:eastAsia="Times New Roman" w:cs="Times New Roman"/>
          <w:b/>
          <w:color w:val="000000"/>
          <w:szCs w:val="22"/>
          <w:lang w:eastAsia="sk-SK"/>
        </w:rPr>
        <w:t xml:space="preserve"> </w:t>
      </w:r>
      <w:r w:rsidR="00CA7B64">
        <w:rPr>
          <w:rFonts w:eastAsia="Times New Roman" w:cs="Times New Roman"/>
          <w:b/>
          <w:color w:val="000000"/>
          <w:szCs w:val="22"/>
          <w:lang w:eastAsia="sk-SK"/>
        </w:rPr>
        <w:t>milióna</w:t>
      </w:r>
      <w:r w:rsidR="00A128D4">
        <w:rPr>
          <w:rFonts w:eastAsia="Times New Roman" w:cs="Times New Roman"/>
          <w:b/>
          <w:color w:val="000000"/>
          <w:szCs w:val="22"/>
          <w:lang w:eastAsia="sk-SK"/>
        </w:rPr>
        <w:t xml:space="preserve"> eur)</w:t>
      </w:r>
      <w:r w:rsidR="00D43E87" w:rsidRPr="00131228">
        <w:rPr>
          <w:rFonts w:eastAsia="Times New Roman" w:cs="Times New Roman"/>
          <w:b/>
          <w:color w:val="000000"/>
          <w:szCs w:val="22"/>
          <w:lang w:eastAsia="sk-SK"/>
        </w:rPr>
        <w:t xml:space="preserve">. </w:t>
      </w:r>
      <w:r w:rsidR="00CA7B64" w:rsidRPr="00452DBC">
        <w:rPr>
          <w:rFonts w:eastAsia="Times New Roman" w:cs="Times New Roman"/>
          <w:color w:val="000000"/>
          <w:szCs w:val="22"/>
          <w:lang w:eastAsia="sk-SK"/>
        </w:rPr>
        <w:t xml:space="preserve">Miera zaškolenosti v materských školách </w:t>
      </w:r>
      <w:r w:rsidR="00CA7B64">
        <w:rPr>
          <w:rFonts w:eastAsia="Times New Roman" w:cs="Times New Roman"/>
          <w:color w:val="000000"/>
          <w:szCs w:val="22"/>
          <w:lang w:eastAsia="sk-SK"/>
        </w:rPr>
        <w:t xml:space="preserve">je v prostredí MRK výrazne nižšia a priemerný počet vymeškaných hodín v základnej škole je výrazne vyšší ako v prostredí majority. Jedným z dôvodov je ťažká dostupnosť škôl z mnohých segregovaných osídlení mimo obce. </w:t>
      </w:r>
      <w:r w:rsidR="00D43E87" w:rsidRPr="00302E2B">
        <w:t xml:space="preserve">Zo 191 </w:t>
      </w:r>
      <w:r w:rsidR="00CA7B64">
        <w:t xml:space="preserve">takýchto </w:t>
      </w:r>
      <w:r w:rsidR="00D43E87" w:rsidRPr="00302E2B">
        <w:t>osídlení je 49 (t. j. 26 %)</w:t>
      </w:r>
      <w:r w:rsidR="00CA7B64">
        <w:t xml:space="preserve"> </w:t>
      </w:r>
      <w:r w:rsidR="00D43E87" w:rsidRPr="00302E2B">
        <w:t>od najbližšej obce s</w:t>
      </w:r>
      <w:r w:rsidR="00CA7B64">
        <w:t>o školou</w:t>
      </w:r>
      <w:r w:rsidR="00D43E87" w:rsidRPr="00302E2B">
        <w:t xml:space="preserve"> vzdialen</w:t>
      </w:r>
      <w:r w:rsidR="00CA7B64">
        <w:t>ých</w:t>
      </w:r>
      <w:r w:rsidR="00D43E87" w:rsidRPr="00302E2B">
        <w:t xml:space="preserve"> viac ako 2 km (</w:t>
      </w:r>
      <w:r w:rsidR="002407F1">
        <w:t>priemerná vzdialenosť je 3,5 </w:t>
      </w:r>
      <w:r w:rsidR="00D43E87" w:rsidRPr="003217C3">
        <w:t xml:space="preserve">km). </w:t>
      </w:r>
      <w:r w:rsidR="00A0315D">
        <w:t>Systémová p</w:t>
      </w:r>
      <w:r w:rsidR="00D43E87" w:rsidRPr="003217C3">
        <w:t xml:space="preserve">odpora na zlepšenie dostupnosti </w:t>
      </w:r>
      <w:r w:rsidR="00CA7B64">
        <w:t>škôl</w:t>
      </w:r>
      <w:r w:rsidR="00D43E87" w:rsidRPr="003217C3">
        <w:t xml:space="preserve"> vo forme </w:t>
      </w:r>
      <w:r w:rsidR="00D43E87">
        <w:t>školských autobusov neexistuje</w:t>
      </w:r>
      <w:r w:rsidR="00AE54A8">
        <w:t xml:space="preserve"> (podkapitola </w:t>
      </w:r>
      <w:r w:rsidR="00AE54A8">
        <w:fldChar w:fldCharType="begin"/>
      </w:r>
      <w:r w:rsidR="00AE54A8">
        <w:instrText xml:space="preserve"> REF _Ref25310222 \r \h </w:instrText>
      </w:r>
      <w:r w:rsidR="00AE54A8">
        <w:fldChar w:fldCharType="separate"/>
      </w:r>
      <w:r w:rsidR="00FA29AF">
        <w:t>5.1</w:t>
      </w:r>
      <w:r w:rsidR="00AE54A8">
        <w:fldChar w:fldCharType="end"/>
      </w:r>
      <w:r w:rsidR="00AE54A8">
        <w:t>)</w:t>
      </w:r>
      <w:r w:rsidR="00D43E87">
        <w:t>.</w:t>
      </w:r>
    </w:p>
    <w:p w14:paraId="4A638EA2" w14:textId="3124F323" w:rsidR="00334AA4" w:rsidRDefault="00BA7250" w:rsidP="00046111">
      <w:r>
        <w:rPr>
          <w:b/>
          <w:szCs w:val="22"/>
        </w:rPr>
        <w:t>4</w:t>
      </w:r>
      <w:r w:rsidR="00FC78C5">
        <w:rPr>
          <w:b/>
          <w:szCs w:val="22"/>
        </w:rPr>
        <w:t xml:space="preserve">. Opatrenie: </w:t>
      </w:r>
      <w:r w:rsidR="006C61A8">
        <w:rPr>
          <w:b/>
          <w:szCs w:val="22"/>
        </w:rPr>
        <w:t>Posilniť r</w:t>
      </w:r>
      <w:r w:rsidR="00FC78C5">
        <w:rPr>
          <w:b/>
          <w:szCs w:val="22"/>
        </w:rPr>
        <w:t>ozvoj personálnych kapacít pre inklúziu v materských školách</w:t>
      </w:r>
      <w:r w:rsidR="00A128D4">
        <w:rPr>
          <w:b/>
          <w:szCs w:val="22"/>
        </w:rPr>
        <w:t xml:space="preserve"> </w:t>
      </w:r>
      <w:r w:rsidR="00A128D4">
        <w:rPr>
          <w:rFonts w:eastAsia="Times New Roman" w:cs="Times New Roman"/>
          <w:b/>
          <w:color w:val="000000"/>
          <w:szCs w:val="22"/>
          <w:lang w:eastAsia="sk-SK"/>
        </w:rPr>
        <w:t xml:space="preserve">(potenciál </w:t>
      </w:r>
      <w:r w:rsidR="003839C0">
        <w:rPr>
          <w:rFonts w:eastAsia="Times New Roman" w:cs="Times New Roman"/>
          <w:b/>
          <w:color w:val="000000"/>
          <w:szCs w:val="22"/>
          <w:lang w:eastAsia="sk-SK"/>
        </w:rPr>
        <w:t>40,7</w:t>
      </w:r>
      <w:r w:rsidR="00A128D4">
        <w:rPr>
          <w:rFonts w:eastAsia="Times New Roman" w:cs="Times New Roman"/>
          <w:b/>
          <w:color w:val="000000"/>
          <w:szCs w:val="22"/>
          <w:lang w:eastAsia="sk-SK"/>
        </w:rPr>
        <w:t xml:space="preserve"> miliónov eur)</w:t>
      </w:r>
      <w:r w:rsidR="00FC78C5">
        <w:rPr>
          <w:b/>
          <w:szCs w:val="22"/>
        </w:rPr>
        <w:t xml:space="preserve">. </w:t>
      </w:r>
      <w:r w:rsidR="00FC78C5">
        <w:t>T</w:t>
      </w:r>
      <w:r w:rsidR="00FC78C5" w:rsidRPr="00FA68C1">
        <w:t>akmer polovicu detí, ktoré v rámci zavedenia povinného predprimárneho vzdelávania pribudnú v</w:t>
      </w:r>
      <w:r w:rsidR="00CA7B64">
        <w:t> materských školách</w:t>
      </w:r>
      <w:r w:rsidR="00FC78C5">
        <w:t>,</w:t>
      </w:r>
      <w:r w:rsidR="00FC78C5" w:rsidRPr="00FA68C1">
        <w:t xml:space="preserve"> tvoria deti zo </w:t>
      </w:r>
      <w:r w:rsidR="00CA7B64">
        <w:t>sociálne znevýhodneného prostredia</w:t>
      </w:r>
      <w:r w:rsidR="00FC78C5" w:rsidRPr="00FA68C1">
        <w:t xml:space="preserve"> a</w:t>
      </w:r>
      <w:r w:rsidR="00CA7B64">
        <w:t> det</w:t>
      </w:r>
      <w:r w:rsidR="00CD254D">
        <w:t>i</w:t>
      </w:r>
      <w:r w:rsidR="00CA7B64">
        <w:t xml:space="preserve"> </w:t>
      </w:r>
      <w:r w:rsidR="00FC78C5" w:rsidRPr="00FA68C1">
        <w:t xml:space="preserve">so </w:t>
      </w:r>
      <w:r w:rsidR="00CA7B64">
        <w:t>zdravotným znevýhodnením</w:t>
      </w:r>
      <w:r w:rsidR="00FC78C5">
        <w:t>.</w:t>
      </w:r>
      <w:r w:rsidR="00FC78C5" w:rsidRPr="00FA68C1">
        <w:t xml:space="preserve"> </w:t>
      </w:r>
      <w:r w:rsidR="00FC78C5">
        <w:t>Potreba špecializovaného personálu podporujúceho prácu učiteľov s týmito d</w:t>
      </w:r>
      <w:r w:rsidR="002709F1">
        <w:t>eťmi však nie je (na rozdiel od </w:t>
      </w:r>
      <w:r w:rsidR="00FC78C5">
        <w:t>základných škôl) zohľadnená vo financovaní bežných materských škôl</w:t>
      </w:r>
      <w:r w:rsidR="00AE54A8">
        <w:t xml:space="preserve"> (podkapitoly </w:t>
      </w:r>
      <w:r w:rsidR="00AE54A8">
        <w:fldChar w:fldCharType="begin"/>
      </w:r>
      <w:r w:rsidR="00AE54A8">
        <w:instrText xml:space="preserve"> REF _Ref25310222 \r \h </w:instrText>
      </w:r>
      <w:r w:rsidR="00AE54A8">
        <w:fldChar w:fldCharType="separate"/>
      </w:r>
      <w:r w:rsidR="00FA29AF">
        <w:t>5.1</w:t>
      </w:r>
      <w:r w:rsidR="00AE54A8">
        <w:fldChar w:fldCharType="end"/>
      </w:r>
      <w:r w:rsidR="00AE54A8">
        <w:t xml:space="preserve"> a </w:t>
      </w:r>
      <w:r w:rsidR="00AE54A8">
        <w:fldChar w:fldCharType="begin"/>
      </w:r>
      <w:r w:rsidR="00AE54A8">
        <w:instrText xml:space="preserve"> REF _Ref25756903 \r \h </w:instrText>
      </w:r>
      <w:r w:rsidR="00AE54A8">
        <w:fldChar w:fldCharType="separate"/>
      </w:r>
      <w:r w:rsidR="00FA29AF">
        <w:t>6.1</w:t>
      </w:r>
      <w:r w:rsidR="00AE54A8">
        <w:fldChar w:fldCharType="end"/>
      </w:r>
      <w:r w:rsidR="00AE54A8">
        <w:t>)</w:t>
      </w:r>
      <w:r w:rsidR="00FC78C5">
        <w:t>.</w:t>
      </w:r>
      <w:r w:rsidR="005F3ADB">
        <w:t xml:space="preserve"> </w:t>
      </w:r>
      <w:r w:rsidR="00FC78C5" w:rsidRPr="00346F57">
        <w:t xml:space="preserve">Na úrovni </w:t>
      </w:r>
      <w:r w:rsidR="005F3ADB">
        <w:t>materských škôl</w:t>
      </w:r>
      <w:r w:rsidR="00FC78C5" w:rsidRPr="00346F57">
        <w:t xml:space="preserve"> </w:t>
      </w:r>
      <w:r w:rsidR="00FC78C5">
        <w:t xml:space="preserve">tiež </w:t>
      </w:r>
      <w:r w:rsidR="00FC78C5" w:rsidRPr="00346F57">
        <w:t xml:space="preserve">chýba systematická jazyková podpora </w:t>
      </w:r>
      <w:r w:rsidR="00E20B6D">
        <w:t xml:space="preserve">rómskych </w:t>
      </w:r>
      <w:r w:rsidR="00FC78C5" w:rsidRPr="00346F57">
        <w:t>detí</w:t>
      </w:r>
      <w:r w:rsidR="00E20B6D">
        <w:t xml:space="preserve">, ktorých </w:t>
      </w:r>
      <w:r w:rsidR="00FC78C5" w:rsidRPr="00346F57">
        <w:t>materinským jazykom</w:t>
      </w:r>
      <w:r w:rsidR="00E20B6D">
        <w:t xml:space="preserve"> nie je slovenčina</w:t>
      </w:r>
      <w:r w:rsidR="00FC78C5" w:rsidRPr="00346F57">
        <w:t xml:space="preserve">. Zamestnávanie </w:t>
      </w:r>
      <w:r w:rsidR="005F3ADB">
        <w:t>podporného personálu</w:t>
      </w:r>
      <w:r w:rsidR="00E20B6D">
        <w:t xml:space="preserve"> </w:t>
      </w:r>
      <w:r w:rsidR="005F3ADB">
        <w:t>ovládajúceho</w:t>
      </w:r>
      <w:r w:rsidR="00E20B6D">
        <w:t xml:space="preserve"> jazyk rómskej menšiny </w:t>
      </w:r>
      <w:r w:rsidR="00FC78C5" w:rsidRPr="00346F57">
        <w:t>nie je podporované</w:t>
      </w:r>
      <w:r w:rsidR="005F3ADB">
        <w:t xml:space="preserve"> a ponuka na trhu práce je obmedzená </w:t>
      </w:r>
      <w:r w:rsidR="00FC78C5">
        <w:rPr>
          <w:rFonts w:eastAsia="Times New Roman" w:cs="Times New Roman"/>
          <w:color w:val="000000"/>
          <w:szCs w:val="22"/>
          <w:lang w:eastAsia="sk-SK"/>
        </w:rPr>
        <w:t>nízk</w:t>
      </w:r>
      <w:r w:rsidR="005F3ADB">
        <w:rPr>
          <w:rFonts w:eastAsia="Times New Roman" w:cs="Times New Roman"/>
          <w:color w:val="000000"/>
          <w:szCs w:val="22"/>
          <w:lang w:eastAsia="sk-SK"/>
        </w:rPr>
        <w:t>ym</w:t>
      </w:r>
      <w:r w:rsidR="00FC78C5">
        <w:rPr>
          <w:rFonts w:eastAsia="Times New Roman" w:cs="Times New Roman"/>
          <w:color w:val="000000"/>
          <w:szCs w:val="22"/>
          <w:lang w:eastAsia="sk-SK"/>
        </w:rPr>
        <w:t xml:space="preserve"> dosiahnut</w:t>
      </w:r>
      <w:r w:rsidR="005F3ADB">
        <w:rPr>
          <w:rFonts w:eastAsia="Times New Roman" w:cs="Times New Roman"/>
          <w:color w:val="000000"/>
          <w:szCs w:val="22"/>
          <w:lang w:eastAsia="sk-SK"/>
        </w:rPr>
        <w:t>ým</w:t>
      </w:r>
      <w:r w:rsidR="00FC78C5">
        <w:rPr>
          <w:rFonts w:eastAsia="Times New Roman" w:cs="Times New Roman"/>
          <w:color w:val="000000"/>
          <w:szCs w:val="22"/>
          <w:lang w:eastAsia="sk-SK"/>
        </w:rPr>
        <w:t xml:space="preserve"> vzdelan</w:t>
      </w:r>
      <w:r w:rsidR="005F3ADB">
        <w:rPr>
          <w:rFonts w:eastAsia="Times New Roman" w:cs="Times New Roman"/>
          <w:color w:val="000000"/>
          <w:szCs w:val="22"/>
          <w:lang w:eastAsia="sk-SK"/>
        </w:rPr>
        <w:t>ím</w:t>
      </w:r>
      <w:r w:rsidR="00FC78C5">
        <w:rPr>
          <w:rFonts w:eastAsia="Times New Roman" w:cs="Times New Roman"/>
          <w:color w:val="000000"/>
          <w:szCs w:val="22"/>
          <w:lang w:eastAsia="sk-SK"/>
        </w:rPr>
        <w:t xml:space="preserve"> v prostredí MRK</w:t>
      </w:r>
      <w:r w:rsidR="00FC78C5" w:rsidRPr="00EC0EB0">
        <w:rPr>
          <w:rFonts w:eastAsia="Times New Roman" w:cs="Times New Roman"/>
          <w:color w:val="000000"/>
          <w:szCs w:val="22"/>
          <w:lang w:eastAsia="sk-SK"/>
        </w:rPr>
        <w:t xml:space="preserve">. </w:t>
      </w:r>
      <w:r w:rsidR="00FC78C5" w:rsidRPr="00346F57">
        <w:t xml:space="preserve">Zahraničné výskumy </w:t>
      </w:r>
      <w:r w:rsidR="00FC78C5" w:rsidRPr="00346F57">
        <w:lastRenderedPageBreak/>
        <w:t>pritom demonštrujú, že zastúpenie pracovníka z menšiny v pracovnom kolekt</w:t>
      </w:r>
      <w:r w:rsidR="002709F1">
        <w:t>íve školy má pozitívny dopad na </w:t>
      </w:r>
      <w:r w:rsidR="00FC78C5" w:rsidRPr="00346F57">
        <w:t xml:space="preserve">účasť ako aj výsledky detí vo </w:t>
      </w:r>
      <w:r w:rsidR="00FC78C5" w:rsidRPr="006A5A5E">
        <w:t>vzdelávaní</w:t>
      </w:r>
      <w:r w:rsidR="00AE54A8">
        <w:t xml:space="preserve"> (podkapitola </w:t>
      </w:r>
      <w:r w:rsidR="00AE54A8">
        <w:fldChar w:fldCharType="begin"/>
      </w:r>
      <w:r w:rsidR="00AE54A8">
        <w:instrText xml:space="preserve"> REF _Ref25310222 \r \h </w:instrText>
      </w:r>
      <w:r w:rsidR="00AE54A8">
        <w:fldChar w:fldCharType="separate"/>
      </w:r>
      <w:r w:rsidR="00FA29AF">
        <w:t>5.1</w:t>
      </w:r>
      <w:r w:rsidR="00AE54A8">
        <w:fldChar w:fldCharType="end"/>
      </w:r>
      <w:r w:rsidR="00AE54A8">
        <w:t>)</w:t>
      </w:r>
      <w:r w:rsidR="00FC78C5" w:rsidRPr="006A5A5E">
        <w:t>.</w:t>
      </w:r>
      <w:r w:rsidR="00FC78C5">
        <w:t xml:space="preserve"> </w:t>
      </w:r>
    </w:p>
    <w:p w14:paraId="5B63C2EE" w14:textId="6863C84C" w:rsidR="00FC78C5" w:rsidRDefault="00FC78C5" w:rsidP="00046111">
      <w:r>
        <w:t>Opatrenie zahŕňa:</w:t>
      </w:r>
    </w:p>
    <w:p w14:paraId="1D3A16F4" w14:textId="54FB39BE" w:rsidR="00FC78C5" w:rsidRDefault="00FC78C5" w:rsidP="000029A4">
      <w:pPr>
        <w:pStyle w:val="Odsekzoznamu"/>
        <w:numPr>
          <w:ilvl w:val="0"/>
          <w:numId w:val="24"/>
        </w:numPr>
        <w:ind w:left="714" w:hanging="357"/>
      </w:pPr>
      <w:r w:rsidRPr="00855B9C">
        <w:rPr>
          <w:rFonts w:eastAsia="Times New Roman" w:cs="Times New Roman"/>
          <w:bCs/>
          <w:color w:val="000000"/>
          <w:szCs w:val="22"/>
          <w:lang w:eastAsia="sk-SK"/>
        </w:rPr>
        <w:t>Poskytovanie finančných prostriedkov zriaďovateľom na pedagogických asistentov, pomocných vychovávateľov</w:t>
      </w:r>
      <w:r w:rsidR="005F3ADB" w:rsidRPr="00FA68C1">
        <w:rPr>
          <w:rStyle w:val="Odkaznapoznmkupodiarou"/>
        </w:rPr>
        <w:footnoteReference w:id="2"/>
      </w:r>
      <w:r w:rsidRPr="00855B9C">
        <w:rPr>
          <w:rFonts w:eastAsia="Times New Roman" w:cs="Times New Roman"/>
          <w:bCs/>
          <w:color w:val="000000"/>
          <w:szCs w:val="22"/>
          <w:lang w:eastAsia="sk-SK"/>
        </w:rPr>
        <w:t xml:space="preserve"> a odborných zamestnancov</w:t>
      </w:r>
      <w:r w:rsidR="005F3ADB">
        <w:rPr>
          <w:rStyle w:val="Odkaznapoznmkupodiarou"/>
        </w:rPr>
        <w:footnoteReference w:id="3"/>
      </w:r>
      <w:r w:rsidRPr="00855B9C">
        <w:rPr>
          <w:rFonts w:eastAsia="Times New Roman" w:cs="Times New Roman"/>
          <w:bCs/>
          <w:color w:val="000000"/>
          <w:szCs w:val="22"/>
          <w:lang w:eastAsia="sk-SK"/>
        </w:rPr>
        <w:t xml:space="preserve"> v materských školách vo výške 50 % ich tarifného platu v hodnote </w:t>
      </w:r>
      <w:r w:rsidR="00BF4A75" w:rsidRPr="00855B9C">
        <w:rPr>
          <w:rFonts w:eastAsia="Times New Roman" w:cs="Times New Roman"/>
          <w:bCs/>
          <w:color w:val="000000"/>
          <w:szCs w:val="22"/>
          <w:lang w:eastAsia="sk-SK"/>
        </w:rPr>
        <w:t>32,3</w:t>
      </w:r>
      <w:r w:rsidRPr="00855B9C">
        <w:rPr>
          <w:rFonts w:eastAsia="Times New Roman" w:cs="Times New Roman"/>
          <w:bCs/>
          <w:color w:val="000000"/>
          <w:szCs w:val="22"/>
          <w:lang w:eastAsia="sk-SK"/>
        </w:rPr>
        <w:t xml:space="preserve"> miliónov eur. </w:t>
      </w:r>
      <w:r w:rsidRPr="00855B9C">
        <w:rPr>
          <w:bCs/>
        </w:rPr>
        <w:t>Príspevky štátu na pedagogických asistentov a pomocných vychovávateľov by mali zohľadňovať počet detí</w:t>
      </w:r>
      <w:r>
        <w:t xml:space="preserve"> zo </w:t>
      </w:r>
      <w:r w:rsidR="00FE4A8A">
        <w:t>sociálne znevýhodneného prostredia</w:t>
      </w:r>
      <w:r>
        <w:t xml:space="preserve"> a detí so </w:t>
      </w:r>
      <w:r w:rsidR="00FE4A8A">
        <w:t>zdravotným znevýhodnením</w:t>
      </w:r>
      <w:r>
        <w:t xml:space="preserve"> v</w:t>
      </w:r>
      <w:r w:rsidR="00FE4A8A">
        <w:t> </w:t>
      </w:r>
      <w:r w:rsidR="00FE4A8A" w:rsidRPr="00855B9C">
        <w:rPr>
          <w:szCs w:val="22"/>
        </w:rPr>
        <w:t>materskej škole</w:t>
      </w:r>
      <w:r w:rsidRPr="00855B9C">
        <w:rPr>
          <w:szCs w:val="22"/>
        </w:rPr>
        <w:t>. Keďže z prítomnosti odborných zamestnancov benefitujú všetky deti, ich počty by mal</w:t>
      </w:r>
      <w:r w:rsidR="00DA07AF">
        <w:rPr>
          <w:szCs w:val="22"/>
        </w:rPr>
        <w:t>i byť určené podľa počtu tried</w:t>
      </w:r>
      <w:r w:rsidRPr="00855B9C">
        <w:rPr>
          <w:sz w:val="20"/>
        </w:rPr>
        <w:t xml:space="preserve">. </w:t>
      </w:r>
      <w:r>
        <w:t xml:space="preserve">V prípade </w:t>
      </w:r>
      <w:r w:rsidR="00FE4A8A">
        <w:t>materských škôl</w:t>
      </w:r>
      <w:r>
        <w:t xml:space="preserve"> s väčším počtom znevýhodnených detí by počet podporených úväzkov mal závisieť od rozdelenia znevýhodnených detí naprieč triedami, aby sa podporil princíp desegregácie v rámci </w:t>
      </w:r>
      <w:r w:rsidR="00FE4A8A">
        <w:t>škôl</w:t>
      </w:r>
      <w:r>
        <w:t>.</w:t>
      </w:r>
    </w:p>
    <w:p w14:paraId="588F5718" w14:textId="6B95F398" w:rsidR="00FC78C5" w:rsidRPr="00A42958" w:rsidRDefault="00FC78C5" w:rsidP="00046111">
      <w:pPr>
        <w:pStyle w:val="Odsekzoznamu"/>
        <w:numPr>
          <w:ilvl w:val="0"/>
          <w:numId w:val="24"/>
        </w:numPr>
        <w:ind w:left="714" w:hanging="357"/>
      </w:pPr>
      <w:r>
        <w:t>Poskytovanie plného financovania</w:t>
      </w:r>
      <w:r w:rsidR="00385513">
        <w:t xml:space="preserve"> na</w:t>
      </w:r>
      <w:r>
        <w:t xml:space="preserve"> rómsky </w:t>
      </w:r>
      <w:r w:rsidR="00385513">
        <w:t xml:space="preserve">a maďarsky </w:t>
      </w:r>
      <w:r>
        <w:t xml:space="preserve">hovoriacich </w:t>
      </w:r>
      <w:r w:rsidRPr="006A5A5E">
        <w:rPr>
          <w:rFonts w:eastAsia="Times New Roman" w:cs="Times New Roman"/>
          <w:color w:val="000000"/>
          <w:szCs w:val="22"/>
          <w:lang w:eastAsia="sk-SK"/>
        </w:rPr>
        <w:t>pedagogických asistentov/pomocných vychovávateľov</w:t>
      </w:r>
      <w:r>
        <w:rPr>
          <w:szCs w:val="22"/>
        </w:rPr>
        <w:t>, ktorých materské školy vo vybratých obciach s</w:t>
      </w:r>
      <w:r w:rsidR="00385513">
        <w:rPr>
          <w:szCs w:val="22"/>
        </w:rPr>
        <w:t> </w:t>
      </w:r>
      <w:r>
        <w:rPr>
          <w:szCs w:val="22"/>
        </w:rPr>
        <w:t>rómsky</w:t>
      </w:r>
      <w:r w:rsidR="00385513">
        <w:rPr>
          <w:szCs w:val="22"/>
        </w:rPr>
        <w:t>/maďarsky</w:t>
      </w:r>
      <w:r>
        <w:rPr>
          <w:szCs w:val="22"/>
        </w:rPr>
        <w:t xml:space="preserve"> hovoriacou </w:t>
      </w:r>
      <w:r w:rsidR="00385513">
        <w:rPr>
          <w:szCs w:val="22"/>
        </w:rPr>
        <w:t xml:space="preserve">rómskou </w:t>
      </w:r>
      <w:r>
        <w:rPr>
          <w:szCs w:val="22"/>
        </w:rPr>
        <w:t xml:space="preserve">menšinou zamestnajú </w:t>
      </w:r>
      <w:r w:rsidRPr="006A5A5E">
        <w:rPr>
          <w:szCs w:val="22"/>
        </w:rPr>
        <w:t xml:space="preserve">v súlade s § </w:t>
      </w:r>
      <w:r>
        <w:rPr>
          <w:szCs w:val="22"/>
        </w:rPr>
        <w:t xml:space="preserve">8(a) antidiskriminačného zákona v hodnote </w:t>
      </w:r>
      <w:r w:rsidR="00385513">
        <w:rPr>
          <w:szCs w:val="22"/>
        </w:rPr>
        <w:t>7</w:t>
      </w:r>
      <w:r w:rsidR="00330FD7">
        <w:rPr>
          <w:szCs w:val="22"/>
        </w:rPr>
        <w:t>,6 </w:t>
      </w:r>
      <w:r>
        <w:rPr>
          <w:szCs w:val="22"/>
        </w:rPr>
        <w:t>miliónov eur.</w:t>
      </w:r>
    </w:p>
    <w:p w14:paraId="4F05B536" w14:textId="4689EBFB" w:rsidR="00AC1BC2" w:rsidRPr="004B27DD" w:rsidRDefault="00AC1BC2" w:rsidP="00046111">
      <w:pPr>
        <w:pStyle w:val="Odsekzoznamu"/>
        <w:numPr>
          <w:ilvl w:val="0"/>
          <w:numId w:val="24"/>
        </w:numPr>
        <w:ind w:left="714" w:hanging="357"/>
      </w:pPr>
      <w:r>
        <w:rPr>
          <w:szCs w:val="22"/>
        </w:rPr>
        <w:t xml:space="preserve">Zavedenie </w:t>
      </w:r>
      <w:r w:rsidR="00E20B6D">
        <w:rPr>
          <w:szCs w:val="22"/>
        </w:rPr>
        <w:t xml:space="preserve">vstupnej prípravy zameranej </w:t>
      </w:r>
      <w:r w:rsidR="00F23397">
        <w:rPr>
          <w:rFonts w:eastAsia="Times New Roman" w:cs="Times New Roman"/>
          <w:color w:val="000000"/>
          <w:szCs w:val="22"/>
          <w:lang w:eastAsia="sk-SK"/>
        </w:rPr>
        <w:t>na</w:t>
      </w:r>
      <w:r w:rsidR="00FE4A8A">
        <w:rPr>
          <w:rFonts w:eastAsia="Times New Roman" w:cs="Times New Roman"/>
          <w:color w:val="000000"/>
          <w:szCs w:val="22"/>
          <w:lang w:eastAsia="sk-SK"/>
        </w:rPr>
        <w:t xml:space="preserve"> prácu s deťmi v materskej škole</w:t>
      </w:r>
      <w:r w:rsidR="002709F1">
        <w:rPr>
          <w:szCs w:val="22"/>
        </w:rPr>
        <w:t xml:space="preserve"> pre ľudí začínajúcich na </w:t>
      </w:r>
      <w:r>
        <w:rPr>
          <w:szCs w:val="22"/>
        </w:rPr>
        <w:t xml:space="preserve">pozícii pomocného vychovávateľa bez ukončeného </w:t>
      </w:r>
      <w:r w:rsidR="00E20B6D" w:rsidRPr="00E41495">
        <w:rPr>
          <w:bCs/>
        </w:rPr>
        <w:t xml:space="preserve">úplného stredného vzdelania </w:t>
      </w:r>
      <w:r>
        <w:rPr>
          <w:szCs w:val="22"/>
        </w:rPr>
        <w:t xml:space="preserve">v hodnote </w:t>
      </w:r>
      <w:r w:rsidR="002843B2">
        <w:rPr>
          <w:szCs w:val="22"/>
        </w:rPr>
        <w:t>128 tisíc</w:t>
      </w:r>
      <w:r>
        <w:rPr>
          <w:szCs w:val="22"/>
        </w:rPr>
        <w:t xml:space="preserve"> eur. Toto opatrenie spolu s </w:t>
      </w:r>
      <w:r w:rsidRPr="00452DBC">
        <w:rPr>
          <w:bCs/>
        </w:rPr>
        <w:t xml:space="preserve">prechodným obdobím pre dosiahnutie </w:t>
      </w:r>
      <w:r w:rsidR="00F23397" w:rsidRPr="00E41495">
        <w:rPr>
          <w:bCs/>
        </w:rPr>
        <w:t xml:space="preserve">úplného stredného vzdelania </w:t>
      </w:r>
      <w:r w:rsidRPr="00452DBC">
        <w:rPr>
          <w:bCs/>
        </w:rPr>
        <w:t>(</w:t>
      </w:r>
      <w:r>
        <w:rPr>
          <w:bCs/>
        </w:rPr>
        <w:t xml:space="preserve">nefinančné opatrenie </w:t>
      </w:r>
      <w:r w:rsidR="00FE350B">
        <w:rPr>
          <w:bCs/>
        </w:rPr>
        <w:t>7</w:t>
      </w:r>
      <w:r>
        <w:rPr>
          <w:bCs/>
        </w:rPr>
        <w:t xml:space="preserve">) má za cieľ zvýšiť podiel </w:t>
      </w:r>
      <w:r w:rsidRPr="00683890">
        <w:rPr>
          <w:bCs/>
        </w:rPr>
        <w:t>pomocných vychovávateľov</w:t>
      </w:r>
      <w:r>
        <w:rPr>
          <w:bCs/>
        </w:rPr>
        <w:t xml:space="preserve"> pochádzajú</w:t>
      </w:r>
      <w:r w:rsidR="00FE4A8A">
        <w:rPr>
          <w:bCs/>
        </w:rPr>
        <w:t>cich z MRK</w:t>
      </w:r>
      <w:r>
        <w:rPr>
          <w:bCs/>
        </w:rPr>
        <w:t>.</w:t>
      </w:r>
    </w:p>
    <w:p w14:paraId="0E0D265D" w14:textId="01B34E6D" w:rsidR="00FC78C5" w:rsidRPr="004B27DD" w:rsidRDefault="00FC78C5" w:rsidP="00046111">
      <w:pPr>
        <w:pStyle w:val="Odsekzoznamu"/>
        <w:numPr>
          <w:ilvl w:val="0"/>
          <w:numId w:val="24"/>
        </w:numPr>
        <w:ind w:left="714" w:hanging="357"/>
      </w:pPr>
      <w:r w:rsidRPr="004B27DD">
        <w:rPr>
          <w:szCs w:val="22"/>
        </w:rPr>
        <w:t xml:space="preserve">Uskutočnenie pilotnej štipendijnej schémy pre </w:t>
      </w:r>
      <w:r w:rsidRPr="004B27DD">
        <w:rPr>
          <w:rFonts w:eastAsia="Times New Roman" w:cs="Times New Roman"/>
          <w:color w:val="000000"/>
          <w:szCs w:val="22"/>
          <w:lang w:eastAsia="sk-SK"/>
        </w:rPr>
        <w:t xml:space="preserve">mladých ľudí so znalosťou rómskeho jazyka </w:t>
      </w:r>
      <w:r>
        <w:rPr>
          <w:rFonts w:eastAsia="Times New Roman" w:cs="Times New Roman"/>
          <w:color w:val="000000"/>
          <w:szCs w:val="22"/>
          <w:lang w:eastAsia="sk-SK"/>
        </w:rPr>
        <w:t xml:space="preserve">na </w:t>
      </w:r>
      <w:r w:rsidRPr="004B27DD">
        <w:rPr>
          <w:rFonts w:eastAsia="Times New Roman" w:cs="Times New Roman"/>
          <w:color w:val="000000"/>
          <w:szCs w:val="22"/>
          <w:lang w:eastAsia="sk-SK"/>
        </w:rPr>
        <w:t>dokončenie si potrebného vzdelania pre prácu pedagogického asistenta, pomocnéh</w:t>
      </w:r>
      <w:r>
        <w:rPr>
          <w:rFonts w:eastAsia="Times New Roman" w:cs="Times New Roman"/>
          <w:color w:val="000000"/>
          <w:szCs w:val="22"/>
          <w:lang w:eastAsia="sk-SK"/>
        </w:rPr>
        <w:t>o vychovávateľa alebo učiteľa v</w:t>
      </w:r>
      <w:r w:rsidR="002709F1">
        <w:rPr>
          <w:rFonts w:eastAsia="Times New Roman" w:cs="Times New Roman"/>
          <w:color w:val="000000"/>
          <w:szCs w:val="22"/>
          <w:lang w:eastAsia="sk-SK"/>
        </w:rPr>
        <w:t> </w:t>
      </w:r>
      <w:r w:rsidRPr="004B27DD">
        <w:rPr>
          <w:rFonts w:eastAsia="Times New Roman" w:cs="Times New Roman"/>
          <w:color w:val="000000"/>
          <w:szCs w:val="22"/>
          <w:lang w:eastAsia="sk-SK"/>
        </w:rPr>
        <w:t>materskej škole</w:t>
      </w:r>
      <w:r>
        <w:rPr>
          <w:rFonts w:eastAsia="Times New Roman" w:cs="Times New Roman"/>
          <w:color w:val="000000"/>
          <w:szCs w:val="22"/>
          <w:lang w:eastAsia="sk-SK"/>
        </w:rPr>
        <w:t xml:space="preserve"> v hodnote 71</w:t>
      </w:r>
      <w:r w:rsidR="00B72A2C">
        <w:rPr>
          <w:rFonts w:eastAsia="Times New Roman" w:cs="Times New Roman"/>
          <w:color w:val="000000"/>
          <w:szCs w:val="22"/>
          <w:lang w:eastAsia="sk-SK"/>
        </w:rPr>
        <w:t>0</w:t>
      </w:r>
      <w:r>
        <w:rPr>
          <w:rFonts w:eastAsia="Times New Roman" w:cs="Times New Roman"/>
          <w:color w:val="000000"/>
          <w:szCs w:val="22"/>
          <w:lang w:eastAsia="sk-SK"/>
        </w:rPr>
        <w:t xml:space="preserve"> tisíc eur</w:t>
      </w:r>
      <w:r w:rsidRPr="004B27DD">
        <w:rPr>
          <w:rFonts w:eastAsia="Times New Roman" w:cs="Times New Roman"/>
          <w:color w:val="000000"/>
          <w:szCs w:val="22"/>
          <w:lang w:eastAsia="sk-SK"/>
        </w:rPr>
        <w:t xml:space="preserve">. </w:t>
      </w:r>
      <w:r>
        <w:rPr>
          <w:rFonts w:eastAsia="Times New Roman" w:cs="Times New Roman"/>
          <w:szCs w:val="22"/>
          <w:lang w:eastAsia="sk-SK"/>
        </w:rPr>
        <w:t>Účastníkom by</w:t>
      </w:r>
      <w:r w:rsidRPr="004B27DD">
        <w:rPr>
          <w:rFonts w:eastAsia="Times New Roman" w:cs="Times New Roman"/>
          <w:color w:val="000000"/>
          <w:szCs w:val="22"/>
          <w:lang w:eastAsia="sk-SK"/>
        </w:rPr>
        <w:t xml:space="preserve"> boli uhradené náklady na dokončenie základnej školy/stredoškolské štúdium v relevantnom </w:t>
      </w:r>
      <w:r>
        <w:rPr>
          <w:rFonts w:eastAsia="Times New Roman" w:cs="Times New Roman"/>
          <w:color w:val="000000"/>
          <w:szCs w:val="22"/>
          <w:lang w:eastAsia="sk-SK"/>
        </w:rPr>
        <w:t xml:space="preserve">študijnom </w:t>
      </w:r>
      <w:r w:rsidRPr="004B27DD">
        <w:rPr>
          <w:rFonts w:eastAsia="Times New Roman" w:cs="Times New Roman"/>
          <w:color w:val="000000"/>
          <w:szCs w:val="22"/>
          <w:lang w:eastAsia="sk-SK"/>
        </w:rPr>
        <w:t>odbore.</w:t>
      </w:r>
      <w:r>
        <w:rPr>
          <w:rFonts w:eastAsia="Times New Roman" w:cs="Times New Roman"/>
          <w:color w:val="000000"/>
          <w:szCs w:val="22"/>
          <w:lang w:eastAsia="sk-SK"/>
        </w:rPr>
        <w:t xml:space="preserve"> </w:t>
      </w:r>
      <w:r w:rsidRPr="004B27DD">
        <w:rPr>
          <w:rFonts w:eastAsia="Times New Roman" w:cs="Times New Roman"/>
          <w:szCs w:val="22"/>
          <w:lang w:eastAsia="sk-SK"/>
        </w:rPr>
        <w:t>Absolventi by po ukončení štúdia museli odpracovať určitú dobu v školstve.</w:t>
      </w:r>
    </w:p>
    <w:p w14:paraId="7ED2AEF5" w14:textId="2E9A9332" w:rsidR="00FC78C5" w:rsidRDefault="00BA7250" w:rsidP="00046111">
      <w:r>
        <w:rPr>
          <w:rFonts w:eastAsia="Times New Roman" w:cs="Times New Roman"/>
          <w:b/>
          <w:szCs w:val="22"/>
          <w:lang w:eastAsia="sk-SK"/>
        </w:rPr>
        <w:t>5</w:t>
      </w:r>
      <w:r w:rsidR="00FC78C5" w:rsidRPr="00EA59EE">
        <w:rPr>
          <w:rFonts w:eastAsia="Times New Roman" w:cs="Times New Roman"/>
          <w:b/>
          <w:szCs w:val="22"/>
          <w:lang w:eastAsia="sk-SK"/>
        </w:rPr>
        <w:t xml:space="preserve">. </w:t>
      </w:r>
      <w:r w:rsidR="00FC78C5" w:rsidRPr="003E284B">
        <w:rPr>
          <w:rFonts w:eastAsia="Times New Roman" w:cs="Times New Roman"/>
          <w:b/>
          <w:szCs w:val="22"/>
          <w:lang w:eastAsia="sk-SK"/>
        </w:rPr>
        <w:t xml:space="preserve">Opatrenie: </w:t>
      </w:r>
      <w:r w:rsidR="006C61A8">
        <w:rPr>
          <w:rFonts w:eastAsia="Times New Roman" w:cs="Times New Roman"/>
          <w:b/>
          <w:color w:val="000000"/>
          <w:szCs w:val="22"/>
          <w:lang w:eastAsia="sk-SK"/>
        </w:rPr>
        <w:t>Posilniť</w:t>
      </w:r>
      <w:r w:rsidR="00FC78C5" w:rsidRPr="003E284B">
        <w:rPr>
          <w:rFonts w:eastAsia="Times New Roman" w:cs="Times New Roman"/>
          <w:b/>
          <w:color w:val="000000"/>
          <w:szCs w:val="22"/>
          <w:lang w:eastAsia="sk-SK"/>
        </w:rPr>
        <w:t xml:space="preserve"> </w:t>
      </w:r>
      <w:r w:rsidR="009F09BB">
        <w:rPr>
          <w:rFonts w:eastAsia="Times New Roman" w:cs="Times New Roman"/>
          <w:b/>
          <w:color w:val="000000"/>
          <w:szCs w:val="22"/>
          <w:lang w:eastAsia="sk-SK"/>
        </w:rPr>
        <w:t xml:space="preserve">ponuku </w:t>
      </w:r>
      <w:r w:rsidR="00FC78C5" w:rsidRPr="003E284B">
        <w:rPr>
          <w:rFonts w:eastAsia="Times New Roman" w:cs="Times New Roman"/>
          <w:b/>
          <w:color w:val="000000"/>
          <w:szCs w:val="22"/>
          <w:lang w:eastAsia="sk-SK"/>
        </w:rPr>
        <w:t>vzdelávani</w:t>
      </w:r>
      <w:r w:rsidR="009F09BB">
        <w:rPr>
          <w:rFonts w:eastAsia="Times New Roman" w:cs="Times New Roman"/>
          <w:b/>
          <w:color w:val="000000"/>
          <w:szCs w:val="22"/>
          <w:lang w:eastAsia="sk-SK"/>
        </w:rPr>
        <w:t>a</w:t>
      </w:r>
      <w:r w:rsidR="00FC78C5" w:rsidRPr="003E284B">
        <w:rPr>
          <w:rFonts w:eastAsia="Times New Roman" w:cs="Times New Roman"/>
          <w:b/>
          <w:color w:val="000000"/>
          <w:szCs w:val="22"/>
          <w:lang w:eastAsia="sk-SK"/>
        </w:rPr>
        <w:t xml:space="preserve"> </w:t>
      </w:r>
      <w:r w:rsidR="008C44B9">
        <w:rPr>
          <w:rFonts w:eastAsia="Times New Roman" w:cs="Times New Roman"/>
          <w:b/>
          <w:color w:val="000000"/>
          <w:szCs w:val="22"/>
          <w:lang w:eastAsia="sk-SK"/>
        </w:rPr>
        <w:t>pedagogických a odborných zamestnancov</w:t>
      </w:r>
      <w:r w:rsidR="008C44B9" w:rsidRPr="003E284B">
        <w:rPr>
          <w:rFonts w:eastAsia="Times New Roman" w:cs="Times New Roman"/>
          <w:b/>
          <w:color w:val="000000"/>
          <w:szCs w:val="22"/>
          <w:lang w:eastAsia="sk-SK"/>
        </w:rPr>
        <w:t xml:space="preserve"> </w:t>
      </w:r>
      <w:r w:rsidR="00FC78C5" w:rsidRPr="003E284B">
        <w:rPr>
          <w:rFonts w:eastAsia="Times New Roman" w:cs="Times New Roman"/>
          <w:b/>
          <w:color w:val="000000"/>
          <w:szCs w:val="22"/>
          <w:lang w:eastAsia="sk-SK"/>
        </w:rPr>
        <w:t>v</w:t>
      </w:r>
      <w:r w:rsidR="006C61A8">
        <w:rPr>
          <w:rFonts w:eastAsia="Times New Roman" w:cs="Times New Roman"/>
          <w:b/>
          <w:color w:val="000000"/>
          <w:szCs w:val="22"/>
          <w:lang w:eastAsia="sk-SK"/>
        </w:rPr>
        <w:t> materských školách</w:t>
      </w:r>
      <w:r w:rsidR="00FC78C5" w:rsidRPr="003E284B">
        <w:rPr>
          <w:rFonts w:eastAsia="Times New Roman" w:cs="Times New Roman"/>
          <w:b/>
          <w:color w:val="000000"/>
          <w:szCs w:val="22"/>
          <w:lang w:eastAsia="sk-SK"/>
        </w:rPr>
        <w:t xml:space="preserve"> pre prácu s deťmi </w:t>
      </w:r>
      <w:r w:rsidR="008C44B9">
        <w:rPr>
          <w:rFonts w:eastAsia="Times New Roman" w:cs="Times New Roman"/>
          <w:b/>
          <w:color w:val="000000"/>
          <w:szCs w:val="22"/>
          <w:lang w:eastAsia="sk-SK"/>
        </w:rPr>
        <w:t xml:space="preserve">zo sociálne znevýhodneného prostredia a </w:t>
      </w:r>
      <w:r w:rsidR="00FC78C5" w:rsidRPr="003E284B">
        <w:rPr>
          <w:rFonts w:eastAsia="Times New Roman" w:cs="Times New Roman"/>
          <w:b/>
          <w:color w:val="000000"/>
          <w:szCs w:val="22"/>
          <w:lang w:eastAsia="sk-SK"/>
        </w:rPr>
        <w:t>so zdravotným znevýhodnením</w:t>
      </w:r>
      <w:r w:rsidR="00A128D4">
        <w:rPr>
          <w:rFonts w:eastAsia="Times New Roman" w:cs="Times New Roman"/>
          <w:b/>
          <w:color w:val="000000"/>
          <w:szCs w:val="22"/>
          <w:lang w:eastAsia="sk-SK"/>
        </w:rPr>
        <w:t xml:space="preserve"> (potenciál </w:t>
      </w:r>
      <w:r w:rsidR="00D05492">
        <w:rPr>
          <w:rFonts w:eastAsia="Times New Roman" w:cs="Times New Roman"/>
          <w:b/>
          <w:color w:val="000000"/>
          <w:szCs w:val="22"/>
          <w:lang w:eastAsia="sk-SK"/>
        </w:rPr>
        <w:t>2,1</w:t>
      </w:r>
      <w:r w:rsidR="00B20C48">
        <w:rPr>
          <w:rFonts w:eastAsia="Times New Roman" w:cs="Times New Roman"/>
          <w:b/>
          <w:color w:val="000000"/>
          <w:szCs w:val="22"/>
          <w:lang w:eastAsia="sk-SK"/>
        </w:rPr>
        <w:t xml:space="preserve"> milióny</w:t>
      </w:r>
      <w:r w:rsidR="00A128D4">
        <w:rPr>
          <w:rFonts w:eastAsia="Times New Roman" w:cs="Times New Roman"/>
          <w:b/>
          <w:color w:val="000000"/>
          <w:szCs w:val="22"/>
          <w:lang w:eastAsia="sk-SK"/>
        </w:rPr>
        <w:t xml:space="preserve"> eur)</w:t>
      </w:r>
      <w:r w:rsidR="00FC78C5" w:rsidRPr="003E284B">
        <w:rPr>
          <w:rFonts w:eastAsia="Times New Roman" w:cs="Times New Roman"/>
          <w:b/>
          <w:color w:val="000000"/>
          <w:szCs w:val="22"/>
          <w:lang w:eastAsia="sk-SK"/>
        </w:rPr>
        <w:t>.</w:t>
      </w:r>
      <w:r w:rsidR="00FC78C5">
        <w:rPr>
          <w:rFonts w:eastAsia="Times New Roman" w:cs="Times New Roman"/>
          <w:b/>
          <w:color w:val="000000"/>
          <w:szCs w:val="22"/>
          <w:lang w:eastAsia="sk-SK"/>
        </w:rPr>
        <w:t xml:space="preserve"> </w:t>
      </w:r>
      <w:r w:rsidR="00FC78C5" w:rsidRPr="008157AC">
        <w:t xml:space="preserve">V rámci ponuky akreditovaných kurzov ďalšieho vzdelávania boli v roku 2018 zo 117 kurzov pre cieľovú skupinu učiteľov </w:t>
      </w:r>
      <w:r w:rsidR="00AE54A8">
        <w:t>materských škôl</w:t>
      </w:r>
      <w:r w:rsidR="00FC78C5" w:rsidRPr="008157AC">
        <w:t xml:space="preserve"> dostupné len tri programy zameran</w:t>
      </w:r>
      <w:r w:rsidR="006502E9">
        <w:t>é špecificky na vzdelávanie detí</w:t>
      </w:r>
      <w:r w:rsidR="00FC78C5" w:rsidRPr="008157AC">
        <w:t xml:space="preserve"> so </w:t>
      </w:r>
      <w:r w:rsidR="00AE54A8">
        <w:t>zdravotným znevýhodnením</w:t>
      </w:r>
      <w:r w:rsidR="00FC78C5" w:rsidRPr="008157AC">
        <w:t xml:space="preserve"> a tri programy sa venu</w:t>
      </w:r>
      <w:r w:rsidR="00FC78C5">
        <w:t>jú inklúzii v triede všeobecne</w:t>
      </w:r>
      <w:r w:rsidR="00FC608C">
        <w:t xml:space="preserve"> (podkapitoly </w:t>
      </w:r>
      <w:r w:rsidR="00FC608C">
        <w:fldChar w:fldCharType="begin"/>
      </w:r>
      <w:r w:rsidR="00FC608C">
        <w:instrText xml:space="preserve"> REF _Ref25310222 \r \h </w:instrText>
      </w:r>
      <w:r w:rsidR="00FC608C">
        <w:fldChar w:fldCharType="separate"/>
      </w:r>
      <w:r w:rsidR="00FA29AF">
        <w:t>5.1</w:t>
      </w:r>
      <w:r w:rsidR="00FC608C">
        <w:fldChar w:fldCharType="end"/>
      </w:r>
      <w:r w:rsidR="00FC608C">
        <w:t xml:space="preserve"> a </w:t>
      </w:r>
      <w:r w:rsidR="00FC608C">
        <w:fldChar w:fldCharType="begin"/>
      </w:r>
      <w:r w:rsidR="00FC608C">
        <w:instrText xml:space="preserve"> REF _Ref25756903 \r \h </w:instrText>
      </w:r>
      <w:r w:rsidR="00FC608C">
        <w:fldChar w:fldCharType="separate"/>
      </w:r>
      <w:r w:rsidR="00FA29AF">
        <w:t>6.1</w:t>
      </w:r>
      <w:r w:rsidR="00FC608C">
        <w:fldChar w:fldCharType="end"/>
      </w:r>
      <w:r w:rsidR="00FC608C">
        <w:t>)</w:t>
      </w:r>
      <w:r w:rsidR="00FC78C5">
        <w:t xml:space="preserve">. Opatrenie predpokladá vytvorenie </w:t>
      </w:r>
      <w:r w:rsidR="007D6B4E">
        <w:t>jedného nového kurzu zameraného na</w:t>
      </w:r>
      <w:r w:rsidR="002709F1">
        <w:t xml:space="preserve"> tému medzigeneračnej chudoby a </w:t>
      </w:r>
      <w:r w:rsidR="00FC78C5">
        <w:t>šiestich</w:t>
      </w:r>
      <w:r w:rsidR="00FC78C5" w:rsidRPr="008157AC">
        <w:t xml:space="preserve"> nových kurzov zameraných na vzdelávanie detí so špecifickými druhmi zdravotného znevýhodnenia (ľahké mentálne postihnutie, zrakové postihnutie, autizmus, poruchy správania, poruchy aktivity a pozornosti, poruchy učenia)</w:t>
      </w:r>
      <w:r w:rsidR="00FC78C5">
        <w:t>, ktoré momentálne nie sú dostupné.</w:t>
      </w:r>
    </w:p>
    <w:p w14:paraId="730E9AAD" w14:textId="49C30B38" w:rsidR="004F1697" w:rsidRPr="00452DBC" w:rsidRDefault="004F1697" w:rsidP="00046111">
      <w:pPr>
        <w:rPr>
          <w:bCs/>
          <w:color w:val="0070C0"/>
        </w:rPr>
      </w:pPr>
      <w:r w:rsidRPr="00231BE7">
        <w:rPr>
          <w:bCs/>
          <w:color w:val="0070C0"/>
        </w:rPr>
        <w:t>Vzdelávanie v základných a stredných školách</w:t>
      </w:r>
    </w:p>
    <w:p w14:paraId="738EEA82" w14:textId="578550A2" w:rsidR="00FC78C5" w:rsidRPr="007E48C4" w:rsidRDefault="00BA7250" w:rsidP="00046111">
      <w:r>
        <w:rPr>
          <w:b/>
        </w:rPr>
        <w:t>6</w:t>
      </w:r>
      <w:r w:rsidR="00FC78C5" w:rsidRPr="00662A84">
        <w:rPr>
          <w:b/>
        </w:rPr>
        <w:t xml:space="preserve">. Opatrenie: </w:t>
      </w:r>
      <w:r w:rsidR="007C2BBD">
        <w:rPr>
          <w:b/>
        </w:rPr>
        <w:t>Posilniť r</w:t>
      </w:r>
      <w:r w:rsidR="00FC78C5" w:rsidRPr="00662A84">
        <w:rPr>
          <w:b/>
        </w:rPr>
        <w:t>ozvoj personálnych kapacít pre inklúziu v základných a stredných školách</w:t>
      </w:r>
      <w:r w:rsidR="00A128D4">
        <w:rPr>
          <w:b/>
        </w:rPr>
        <w:t xml:space="preserve"> </w:t>
      </w:r>
      <w:r w:rsidR="00A128D4">
        <w:rPr>
          <w:rFonts w:eastAsia="Times New Roman" w:cs="Times New Roman"/>
          <w:b/>
          <w:color w:val="000000"/>
          <w:szCs w:val="22"/>
          <w:lang w:eastAsia="sk-SK"/>
        </w:rPr>
        <w:t xml:space="preserve">(potenciál </w:t>
      </w:r>
      <w:r w:rsidR="00D05492">
        <w:rPr>
          <w:rFonts w:eastAsia="Times New Roman" w:cs="Times New Roman"/>
          <w:b/>
          <w:color w:val="000000"/>
          <w:szCs w:val="22"/>
          <w:lang w:eastAsia="sk-SK"/>
        </w:rPr>
        <w:t>74,7</w:t>
      </w:r>
      <w:r w:rsidR="00A128D4">
        <w:rPr>
          <w:rFonts w:eastAsia="Times New Roman" w:cs="Times New Roman"/>
          <w:b/>
          <w:color w:val="000000"/>
          <w:szCs w:val="22"/>
          <w:lang w:eastAsia="sk-SK"/>
        </w:rPr>
        <w:t xml:space="preserve"> miliónov eur)</w:t>
      </w:r>
      <w:r w:rsidR="00FC78C5" w:rsidRPr="00662A84">
        <w:rPr>
          <w:b/>
        </w:rPr>
        <w:t>.</w:t>
      </w:r>
      <w:r w:rsidR="00FC78C5">
        <w:rPr>
          <w:b/>
        </w:rPr>
        <w:t xml:space="preserve"> </w:t>
      </w:r>
      <w:r w:rsidR="00FC78C5" w:rsidRPr="007E48C4">
        <w:t xml:space="preserve">Hoci </w:t>
      </w:r>
      <w:r w:rsidR="00FC78C5">
        <w:t xml:space="preserve">financovanie základných škôl zohľadňuje potreby sociálne a zdravotne znevýhodnených žiakov, výška podpory nie je postačujúca. Na zdravotne znevýhodnených žiakov dostávajú školy navýšené normatívy, </w:t>
      </w:r>
      <w:r w:rsidR="00FC78C5" w:rsidRPr="005D2E47">
        <w:t xml:space="preserve">tieto však </w:t>
      </w:r>
      <w:r w:rsidR="00FC78C5">
        <w:t>nepokrývajú ročné osobné náklady</w:t>
      </w:r>
      <w:r w:rsidR="00FC78C5" w:rsidRPr="005D2E47">
        <w:t xml:space="preserve"> odborného zamestnanca.</w:t>
      </w:r>
      <w:r w:rsidR="00FC78C5">
        <w:t xml:space="preserve"> </w:t>
      </w:r>
      <w:r w:rsidR="002709F1">
        <w:t>Na žiakov zo </w:t>
      </w:r>
      <w:r w:rsidR="00900528">
        <w:t>sociálne znevýhodneného prostredia</w:t>
      </w:r>
      <w:r w:rsidR="000E10B2">
        <w:t xml:space="preserve"> dostávajú školy príspevok, ten však </w:t>
      </w:r>
      <w:r w:rsidR="000E10B2" w:rsidRPr="00535D34">
        <w:t xml:space="preserve">pokrýva iba </w:t>
      </w:r>
      <w:r w:rsidR="000E10B2" w:rsidRPr="00D41517">
        <w:t>39</w:t>
      </w:r>
      <w:r w:rsidR="000E10B2" w:rsidRPr="00535D34">
        <w:t xml:space="preserve"> % žiakov</w:t>
      </w:r>
      <w:r w:rsidR="000E10B2">
        <w:t xml:space="preserve"> ohrozených chudobou alebo sociálnym vylúčením</w:t>
      </w:r>
      <w:r w:rsidR="00900528">
        <w:t>, jeho v</w:t>
      </w:r>
      <w:r w:rsidR="000E10B2">
        <w:t>ýška je nestabilná a</w:t>
      </w:r>
      <w:r w:rsidR="000E10B2" w:rsidRPr="005D2E47">
        <w:t xml:space="preserve"> nepostačuje na pokrytie všetkých výdavkov uvedených v školskom zákone. </w:t>
      </w:r>
      <w:r w:rsidR="00900528">
        <w:t xml:space="preserve">Hoci </w:t>
      </w:r>
      <w:r w:rsidR="00FC78C5">
        <w:t xml:space="preserve">na 92 % </w:t>
      </w:r>
      <w:r w:rsidR="00FC78C5" w:rsidRPr="005D2E47">
        <w:t>bežných základných škôl</w:t>
      </w:r>
      <w:r w:rsidR="00FC78C5">
        <w:t xml:space="preserve"> sa vzdeláva aspoň jeden </w:t>
      </w:r>
      <w:r w:rsidR="00900528">
        <w:t xml:space="preserve">znevýhodnený </w:t>
      </w:r>
      <w:r w:rsidR="00FC78C5">
        <w:t>žiak</w:t>
      </w:r>
      <w:r w:rsidR="00900528">
        <w:t>, menej ako polovica škôl (</w:t>
      </w:r>
      <w:r w:rsidR="00900528" w:rsidRPr="005D2E47">
        <w:t>39 %</w:t>
      </w:r>
      <w:r w:rsidR="00900528">
        <w:t>) má aspo</w:t>
      </w:r>
      <w:r w:rsidR="003D1392">
        <w:t>ň jedného odborného zamestnanca</w:t>
      </w:r>
      <w:r w:rsidR="00FC78C5">
        <w:t xml:space="preserve">. </w:t>
      </w:r>
      <w:r w:rsidR="00FC78C5" w:rsidRPr="008615AA">
        <w:rPr>
          <w:bCs/>
        </w:rPr>
        <w:t xml:space="preserve">Potreby detí so zdravotným </w:t>
      </w:r>
      <w:r w:rsidR="00FC78C5" w:rsidRPr="008615AA">
        <w:rPr>
          <w:bCs/>
        </w:rPr>
        <w:lastRenderedPageBreak/>
        <w:t>znevýhodnením nie sú zohľadnené vo financovaní školských klubov detí zriaďovaných obcami pri bežných základných školách</w:t>
      </w:r>
      <w:r w:rsidR="00900528">
        <w:rPr>
          <w:bCs/>
        </w:rPr>
        <w:t xml:space="preserve"> </w:t>
      </w:r>
      <w:r w:rsidR="00900528">
        <w:t xml:space="preserve">(podkapitoly </w:t>
      </w:r>
      <w:r w:rsidR="00900528">
        <w:fldChar w:fldCharType="begin"/>
      </w:r>
      <w:r w:rsidR="00900528">
        <w:instrText xml:space="preserve"> REF _Ref25652405 \r \h </w:instrText>
      </w:r>
      <w:r w:rsidR="00900528">
        <w:fldChar w:fldCharType="separate"/>
      </w:r>
      <w:r w:rsidR="00FA29AF">
        <w:t>5.2</w:t>
      </w:r>
      <w:r w:rsidR="00900528">
        <w:fldChar w:fldCharType="end"/>
      </w:r>
      <w:r w:rsidR="00900528">
        <w:t xml:space="preserve"> a </w:t>
      </w:r>
      <w:r w:rsidR="00900528">
        <w:fldChar w:fldCharType="begin"/>
      </w:r>
      <w:r w:rsidR="00900528">
        <w:instrText xml:space="preserve"> REF _Ref25743147 \r \h </w:instrText>
      </w:r>
      <w:r w:rsidR="00900528">
        <w:fldChar w:fldCharType="separate"/>
      </w:r>
      <w:r w:rsidR="00FA29AF">
        <w:t>6.2</w:t>
      </w:r>
      <w:r w:rsidR="00900528">
        <w:fldChar w:fldCharType="end"/>
      </w:r>
      <w:r w:rsidR="00900528">
        <w:t>)</w:t>
      </w:r>
      <w:r w:rsidR="00FC78C5" w:rsidRPr="008615AA">
        <w:rPr>
          <w:bCs/>
        </w:rPr>
        <w:t>.</w:t>
      </w:r>
    </w:p>
    <w:p w14:paraId="4CC760A8" w14:textId="780B64FD" w:rsidR="00FC78C5" w:rsidRDefault="00FC78C5" w:rsidP="00046111">
      <w:r>
        <w:t xml:space="preserve">V súčasnosti sa vyčleňujú zdroje na osobné náklady pedagogických asistentov pre žiakov so </w:t>
      </w:r>
      <w:r w:rsidR="00900528">
        <w:t>zdravotným znevýhodnením</w:t>
      </w:r>
      <w:r>
        <w:t xml:space="preserve"> spoločne pre základné a stredné školy. Keďže dopyt po prostriedkoch na pedagogických asistentov je každoročne vyšší ako je vyčlenený objem zdrojov možno sa domnievať, že žiaci v základných školách plniaci povinnú školskú dochádzku sú pri vyhodnocovaní požiadaviek uprednostňovaní pred žiakmi na stredných školách</w:t>
      </w:r>
      <w:r w:rsidR="00900528">
        <w:t xml:space="preserve"> (podkapitola </w:t>
      </w:r>
      <w:r w:rsidR="00900528">
        <w:fldChar w:fldCharType="begin"/>
      </w:r>
      <w:r w:rsidR="00900528">
        <w:instrText xml:space="preserve"> REF _Ref25743147 \r \h </w:instrText>
      </w:r>
      <w:r w:rsidR="00900528">
        <w:fldChar w:fldCharType="separate"/>
      </w:r>
      <w:r w:rsidR="00FA29AF">
        <w:t>6.2</w:t>
      </w:r>
      <w:r w:rsidR="00900528">
        <w:fldChar w:fldCharType="end"/>
      </w:r>
      <w:r w:rsidR="00900528">
        <w:t>)</w:t>
      </w:r>
      <w:r>
        <w:t>.</w:t>
      </w:r>
    </w:p>
    <w:p w14:paraId="37864819" w14:textId="77777777" w:rsidR="00FC78C5" w:rsidRDefault="00FC78C5" w:rsidP="00046111">
      <w:r>
        <w:t>Opatrenie zahŕňa:</w:t>
      </w:r>
    </w:p>
    <w:p w14:paraId="3588BAC7" w14:textId="3D9F2FC2" w:rsidR="00FC78C5" w:rsidRPr="00F96A3D" w:rsidRDefault="00FC78C5" w:rsidP="00046111">
      <w:pPr>
        <w:pStyle w:val="Odsekzoznamu"/>
        <w:numPr>
          <w:ilvl w:val="0"/>
          <w:numId w:val="26"/>
        </w:numPr>
        <w:ind w:left="714" w:hanging="357"/>
        <w:rPr>
          <w:szCs w:val="22"/>
        </w:rPr>
      </w:pPr>
      <w:r w:rsidRPr="00F96A3D">
        <w:t xml:space="preserve">Financovanie </w:t>
      </w:r>
      <w:r>
        <w:t xml:space="preserve">odborných zamestnancov na bežných základných školách v hodnote 32,9 miliónov eur. </w:t>
      </w:r>
      <w:r w:rsidRPr="00F96A3D">
        <w:rPr>
          <w:szCs w:val="22"/>
        </w:rPr>
        <w:t>Každá škola bez ohľadu na počet žiakov so zdravotným znevýho</w:t>
      </w:r>
      <w:r w:rsidR="002709F1">
        <w:rPr>
          <w:szCs w:val="22"/>
        </w:rPr>
        <w:t>dnením alebo na počet žiakov zo </w:t>
      </w:r>
      <w:r w:rsidRPr="00F96A3D">
        <w:rPr>
          <w:szCs w:val="22"/>
        </w:rPr>
        <w:t>sociálne znevýhodneného prostredia by mala dostať nenormatívne</w:t>
      </w:r>
      <w:r w:rsidR="002709F1">
        <w:rPr>
          <w:szCs w:val="22"/>
        </w:rPr>
        <w:t xml:space="preserve"> účelovo viazané prostriedky na </w:t>
      </w:r>
      <w:r w:rsidRPr="00F96A3D">
        <w:rPr>
          <w:szCs w:val="22"/>
        </w:rPr>
        <w:t xml:space="preserve">vyčíslený úväzok </w:t>
      </w:r>
      <w:r w:rsidR="00BE798A">
        <w:rPr>
          <w:szCs w:val="22"/>
        </w:rPr>
        <w:t>dvoch odborných zamestnancov</w:t>
      </w:r>
      <w:r w:rsidRPr="00F96A3D">
        <w:rPr>
          <w:szCs w:val="22"/>
        </w:rPr>
        <w:t xml:space="preserve"> podľa veľkosti školy. Opatrenie predstavuje istý základ inkluzívneho prostredia, na ktorý nadväzujú navýšené normatívy na žiakov so </w:t>
      </w:r>
      <w:r w:rsidR="00037708">
        <w:rPr>
          <w:szCs w:val="22"/>
        </w:rPr>
        <w:t>zdravotným znevýhodnením</w:t>
      </w:r>
      <w:r w:rsidRPr="00F96A3D">
        <w:rPr>
          <w:szCs w:val="22"/>
        </w:rPr>
        <w:t xml:space="preserve"> a žiakov zo </w:t>
      </w:r>
      <w:r w:rsidR="00037708">
        <w:rPr>
          <w:szCs w:val="22"/>
        </w:rPr>
        <w:t>sociálne znevýhodneného prostredia</w:t>
      </w:r>
      <w:r w:rsidRPr="00F96A3D">
        <w:rPr>
          <w:szCs w:val="22"/>
        </w:rPr>
        <w:t>, ktoré umožňujú navýšiť počet odborných zamestnancov podľa počtu a potrieb znevýhodnených žiakov v škole.</w:t>
      </w:r>
    </w:p>
    <w:p w14:paraId="59723A02" w14:textId="296B95AD" w:rsidR="00FC78C5" w:rsidRDefault="00FC78C5" w:rsidP="00046111">
      <w:pPr>
        <w:pStyle w:val="Odsekzoznamu"/>
        <w:numPr>
          <w:ilvl w:val="0"/>
          <w:numId w:val="25"/>
        </w:numPr>
        <w:ind w:left="714" w:hanging="357"/>
      </w:pPr>
      <w:r>
        <w:t xml:space="preserve">Navýšený normatív na vzdelávanie žiakov </w:t>
      </w:r>
      <w:r w:rsidR="00037708">
        <w:t>zo sociálne znevýhodne</w:t>
      </w:r>
      <w:r w:rsidR="00A2069A">
        <w:t>ného pro</w:t>
      </w:r>
      <w:r w:rsidR="00037708">
        <w:t>stredia (SZP)</w:t>
      </w:r>
      <w:r>
        <w:t xml:space="preserve"> podľa rozšírenej definície v</w:t>
      </w:r>
      <w:r w:rsidR="007E5601">
        <w:t> </w:t>
      </w:r>
      <w:r>
        <w:t>hodnote</w:t>
      </w:r>
      <w:r w:rsidR="007E5601">
        <w:t xml:space="preserve"> 21,7</w:t>
      </w:r>
      <w:r>
        <w:t xml:space="preserve"> miliónov eur. Pri počte žiakov zo SZP vyššom ako 50 bude škola povinná zafinancovať pôsobenie </w:t>
      </w:r>
      <w:r w:rsidRPr="005D2E47">
        <w:t>pedagogick</w:t>
      </w:r>
      <w:r>
        <w:t>ého</w:t>
      </w:r>
      <w:r w:rsidRPr="005D2E47">
        <w:t xml:space="preserve"> asistent</w:t>
      </w:r>
      <w:r>
        <w:t>a</w:t>
      </w:r>
      <w:r w:rsidRPr="005D2E47">
        <w:t xml:space="preserve"> alebo odborn</w:t>
      </w:r>
      <w:r>
        <w:t>ého</w:t>
      </w:r>
      <w:r w:rsidRPr="00D245BA">
        <w:t xml:space="preserve"> zamestnanc</w:t>
      </w:r>
      <w:r>
        <w:t>a v škole</w:t>
      </w:r>
      <w:r w:rsidRPr="00D245BA">
        <w:t xml:space="preserve"> (podľa výberu školy)</w:t>
      </w:r>
      <w:r>
        <w:t xml:space="preserve">. Odhad výdavkov počíta </w:t>
      </w:r>
      <w:r w:rsidRPr="00D245BA">
        <w:t>so zmenou definície žiaka zo SZP, v súlade s ktorou sa zvýši počet žiakov zo SZP, a tým aj pokrytie žiakov ohrozených chudobou alebo sociálnym vylúčením podpornými nástrojmi</w:t>
      </w:r>
      <w:r>
        <w:t xml:space="preserve"> (nefinančné opatrenie </w:t>
      </w:r>
      <w:r w:rsidR="00FE350B">
        <w:t>4</w:t>
      </w:r>
      <w:r>
        <w:t>).</w:t>
      </w:r>
    </w:p>
    <w:p w14:paraId="0E285724" w14:textId="56E7C8C7" w:rsidR="00FC78C5" w:rsidRPr="00FC1716" w:rsidRDefault="00FC78C5" w:rsidP="00046111">
      <w:pPr>
        <w:pStyle w:val="Odsekzoznamu"/>
        <w:numPr>
          <w:ilvl w:val="0"/>
          <w:numId w:val="25"/>
        </w:numPr>
        <w:ind w:left="714" w:hanging="357"/>
        <w:rPr>
          <w:bCs/>
        </w:rPr>
      </w:pPr>
      <w:r>
        <w:rPr>
          <w:bCs/>
        </w:rPr>
        <w:t>Umožnenie bežným školám so školským klubom detí (ŠKD)</w:t>
      </w:r>
      <w:r w:rsidRPr="00FC1716">
        <w:rPr>
          <w:bCs/>
        </w:rPr>
        <w:t xml:space="preserve">, ktoré navštevujú deti so </w:t>
      </w:r>
      <w:r w:rsidR="00037708">
        <w:rPr>
          <w:bCs/>
        </w:rPr>
        <w:t>zdravotným znevýhodnením</w:t>
      </w:r>
      <w:r w:rsidRPr="00FC1716">
        <w:rPr>
          <w:bCs/>
        </w:rPr>
        <w:t>, žiadať v rámci predkladania žiadostí na osobné náklady na úväzky pedagogických asistentov o extra úväzky na pedagogických asistentov/p</w:t>
      </w:r>
      <w:r>
        <w:rPr>
          <w:bCs/>
        </w:rPr>
        <w:t xml:space="preserve">omocných vychovávateľov pre ŠKD v hodnote </w:t>
      </w:r>
      <w:r w:rsidR="007E5601">
        <w:rPr>
          <w:rFonts w:eastAsia="Times New Roman" w:cs="Times New Roman"/>
          <w:color w:val="000000"/>
          <w:szCs w:val="22"/>
          <w:lang w:eastAsia="sk-SK"/>
        </w:rPr>
        <w:t xml:space="preserve">9,7 </w:t>
      </w:r>
      <w:r w:rsidRPr="00FC1716">
        <w:rPr>
          <w:rFonts w:eastAsia="Times New Roman" w:cs="Times New Roman"/>
          <w:color w:val="000000"/>
          <w:szCs w:val="22"/>
          <w:lang w:eastAsia="sk-SK"/>
        </w:rPr>
        <w:t>miliónov eur</w:t>
      </w:r>
      <w:r>
        <w:rPr>
          <w:rFonts w:eastAsia="Times New Roman" w:cs="Times New Roman"/>
          <w:color w:val="000000"/>
          <w:szCs w:val="22"/>
          <w:lang w:eastAsia="sk-SK"/>
        </w:rPr>
        <w:t>.</w:t>
      </w:r>
    </w:p>
    <w:p w14:paraId="3CA3AF95" w14:textId="0951A715" w:rsidR="00FC78C5" w:rsidRDefault="00FC78C5" w:rsidP="00046111">
      <w:pPr>
        <w:pStyle w:val="Odsekzoznamu"/>
        <w:numPr>
          <w:ilvl w:val="0"/>
          <w:numId w:val="25"/>
        </w:numPr>
        <w:ind w:left="714" w:hanging="357"/>
        <w:rPr>
          <w:szCs w:val="22"/>
        </w:rPr>
      </w:pPr>
      <w:r>
        <w:t xml:space="preserve">Samostatné zbieranie požiadaviek na pedagogických asistentov v stredných školách a vyčlenenie samostatného objemu </w:t>
      </w:r>
      <w:r w:rsidR="000E10B2">
        <w:t xml:space="preserve">nenormatívnych </w:t>
      </w:r>
      <w:r>
        <w:t>zdrojov na ich osobné náklady</w:t>
      </w:r>
      <w:r w:rsidRPr="00FC1716">
        <w:rPr>
          <w:szCs w:val="22"/>
        </w:rPr>
        <w:t xml:space="preserve"> v hodnote </w:t>
      </w:r>
      <w:r>
        <w:rPr>
          <w:szCs w:val="22"/>
        </w:rPr>
        <w:t>5,7 miliónov eur.</w:t>
      </w:r>
    </w:p>
    <w:p w14:paraId="6E93C71C" w14:textId="6D6993F5" w:rsidR="00FC78C5" w:rsidRDefault="00FC78C5" w:rsidP="00046111">
      <w:pPr>
        <w:pStyle w:val="Odsekzoznamu"/>
        <w:numPr>
          <w:ilvl w:val="0"/>
          <w:numId w:val="25"/>
        </w:numPr>
        <w:ind w:left="714" w:hanging="357"/>
        <w:rPr>
          <w:szCs w:val="22"/>
        </w:rPr>
      </w:pPr>
      <w:r w:rsidRPr="00B22951">
        <w:rPr>
          <w:szCs w:val="22"/>
        </w:rPr>
        <w:t>Rozvojový projekt s pravidelnou finančnou alokáciou na podporu mentoringu a tútoringu</w:t>
      </w:r>
      <w:r w:rsidR="00900528">
        <w:rPr>
          <w:rStyle w:val="Odkaznapoznmkupodiarou"/>
        </w:rPr>
        <w:footnoteReference w:id="4"/>
      </w:r>
      <w:r w:rsidRPr="00B22951">
        <w:rPr>
          <w:szCs w:val="22"/>
        </w:rPr>
        <w:t xml:space="preserve"> slabo prospievajúcich žiakov na druhom stupni bežných základných škôl a na stredných školách</w:t>
      </w:r>
      <w:r w:rsidR="00321BFB">
        <w:rPr>
          <w:szCs w:val="22"/>
        </w:rPr>
        <w:t xml:space="preserve"> v hodnote 4,7 </w:t>
      </w:r>
      <w:r w:rsidR="00AC4870">
        <w:rPr>
          <w:szCs w:val="22"/>
        </w:rPr>
        <w:t>miliónov eur</w:t>
      </w:r>
      <w:r w:rsidRPr="00B22951">
        <w:rPr>
          <w:szCs w:val="22"/>
        </w:rPr>
        <w:t>.</w:t>
      </w:r>
    </w:p>
    <w:p w14:paraId="28AB7113" w14:textId="2AAE9C3D" w:rsidR="00FC78C5" w:rsidRDefault="00BA7250" w:rsidP="00046111">
      <w:pPr>
        <w:rPr>
          <w:rFonts w:eastAsia="Times New Roman" w:cs="Times New Roman"/>
          <w:bCs/>
          <w:color w:val="000000"/>
          <w:szCs w:val="22"/>
          <w:lang w:eastAsia="sk-SK"/>
        </w:rPr>
      </w:pPr>
      <w:r>
        <w:rPr>
          <w:b/>
          <w:szCs w:val="22"/>
        </w:rPr>
        <w:t>7</w:t>
      </w:r>
      <w:r w:rsidR="00FC78C5" w:rsidRPr="00B22951">
        <w:rPr>
          <w:b/>
          <w:szCs w:val="22"/>
        </w:rPr>
        <w:t>. O</w:t>
      </w:r>
      <w:r w:rsidR="00FC78C5">
        <w:rPr>
          <w:b/>
          <w:szCs w:val="22"/>
        </w:rPr>
        <w:t xml:space="preserve">patrenie: </w:t>
      </w:r>
      <w:r w:rsidR="007C2BBD">
        <w:rPr>
          <w:b/>
          <w:szCs w:val="22"/>
        </w:rPr>
        <w:t>Posilniť p</w:t>
      </w:r>
      <w:r w:rsidR="00FC78C5" w:rsidRPr="00B22951">
        <w:rPr>
          <w:b/>
          <w:szCs w:val="22"/>
        </w:rPr>
        <w:t>odpor</w:t>
      </w:r>
      <w:r w:rsidR="007C2BBD">
        <w:rPr>
          <w:b/>
          <w:szCs w:val="22"/>
        </w:rPr>
        <w:t>u</w:t>
      </w:r>
      <w:r w:rsidR="00FC78C5" w:rsidRPr="00B22951">
        <w:rPr>
          <w:b/>
          <w:szCs w:val="22"/>
        </w:rPr>
        <w:t xml:space="preserve"> žiakov</w:t>
      </w:r>
      <w:r w:rsidR="00FC78C5">
        <w:rPr>
          <w:b/>
          <w:szCs w:val="22"/>
        </w:rPr>
        <w:t xml:space="preserve"> </w:t>
      </w:r>
      <w:r w:rsidR="007C2BBD">
        <w:rPr>
          <w:b/>
          <w:szCs w:val="22"/>
        </w:rPr>
        <w:t xml:space="preserve">zo sociálne znevýhodneného prostredia </w:t>
      </w:r>
      <w:r w:rsidR="00FC78C5">
        <w:rPr>
          <w:b/>
          <w:szCs w:val="22"/>
        </w:rPr>
        <w:t>vo vzdelávacom procese</w:t>
      </w:r>
      <w:r w:rsidR="00A128D4">
        <w:rPr>
          <w:b/>
          <w:szCs w:val="22"/>
        </w:rPr>
        <w:t xml:space="preserve"> </w:t>
      </w:r>
      <w:r w:rsidR="00A128D4">
        <w:rPr>
          <w:rFonts w:eastAsia="Times New Roman" w:cs="Times New Roman"/>
          <w:b/>
          <w:color w:val="000000"/>
          <w:szCs w:val="22"/>
          <w:lang w:eastAsia="sk-SK"/>
        </w:rPr>
        <w:t xml:space="preserve">(potenciál </w:t>
      </w:r>
      <w:r w:rsidR="00D05492">
        <w:rPr>
          <w:rFonts w:eastAsia="Times New Roman" w:cs="Times New Roman"/>
          <w:b/>
          <w:color w:val="000000"/>
          <w:szCs w:val="22"/>
          <w:lang w:eastAsia="sk-SK"/>
        </w:rPr>
        <w:t>4,2</w:t>
      </w:r>
      <w:r w:rsidR="007370C4">
        <w:rPr>
          <w:rFonts w:eastAsia="Times New Roman" w:cs="Times New Roman"/>
          <w:b/>
          <w:color w:val="000000"/>
          <w:szCs w:val="22"/>
          <w:lang w:eastAsia="sk-SK"/>
        </w:rPr>
        <w:t xml:space="preserve"> milióny</w:t>
      </w:r>
      <w:r w:rsidR="00A128D4">
        <w:rPr>
          <w:rFonts w:eastAsia="Times New Roman" w:cs="Times New Roman"/>
          <w:b/>
          <w:color w:val="000000"/>
          <w:szCs w:val="22"/>
          <w:lang w:eastAsia="sk-SK"/>
        </w:rPr>
        <w:t xml:space="preserve"> eur)</w:t>
      </w:r>
      <w:r w:rsidR="00FC78C5">
        <w:rPr>
          <w:b/>
          <w:szCs w:val="22"/>
        </w:rPr>
        <w:t xml:space="preserve">. </w:t>
      </w:r>
      <w:r w:rsidR="00FC78C5" w:rsidRPr="0061327B">
        <w:rPr>
          <w:szCs w:val="22"/>
        </w:rPr>
        <w:t xml:space="preserve">Aktuálne sú </w:t>
      </w:r>
      <w:r w:rsidR="00FC78C5">
        <w:rPr>
          <w:szCs w:val="22"/>
        </w:rPr>
        <w:t xml:space="preserve">žiaci zo </w:t>
      </w:r>
      <w:r w:rsidR="005107D9">
        <w:rPr>
          <w:szCs w:val="22"/>
        </w:rPr>
        <w:t>sociálne znevýhodneného prostredia</w:t>
      </w:r>
      <w:r w:rsidR="00FC78C5">
        <w:rPr>
          <w:szCs w:val="22"/>
        </w:rPr>
        <w:t xml:space="preserve"> podporovaní prostredníctvom príspevku, z ktorého môžu školy financovať okrem materiálnej podpory aj pedagogických asistentov alebo odborných zamestnancov. Ako už bolo spomenuté, príspevok je v aktuálnej podobe nepostačujúci.</w:t>
      </w:r>
      <w:r w:rsidR="005107D9">
        <w:t xml:space="preserve"> </w:t>
      </w:r>
      <w:r w:rsidR="00FC78C5">
        <w:t xml:space="preserve">Účasť žiakov zo </w:t>
      </w:r>
      <w:r w:rsidR="005107D9">
        <w:rPr>
          <w:szCs w:val="22"/>
        </w:rPr>
        <w:t xml:space="preserve">sociálne znevýhodneného prostredia </w:t>
      </w:r>
      <w:r w:rsidR="00FC78C5">
        <w:t xml:space="preserve">v školských kluboch detí je nízka. Ide pritom o dôležitú zložku celodenného výchovno-vzdelávacieho systému, ktorý má potenciál prispieť k zlepšovaniu </w:t>
      </w:r>
      <w:r w:rsidR="005107D9">
        <w:t xml:space="preserve">ich </w:t>
      </w:r>
      <w:r w:rsidR="00FC78C5">
        <w:t>výsledkov</w:t>
      </w:r>
      <w:r w:rsidR="005107D9">
        <w:t xml:space="preserve"> (podkapitola </w:t>
      </w:r>
      <w:r w:rsidR="005107D9">
        <w:fldChar w:fldCharType="begin"/>
      </w:r>
      <w:r w:rsidR="005107D9">
        <w:instrText xml:space="preserve"> REF _Ref25652405 \r \h </w:instrText>
      </w:r>
      <w:r w:rsidR="005107D9">
        <w:fldChar w:fldCharType="separate"/>
      </w:r>
      <w:r w:rsidR="00FA29AF">
        <w:t>5.2</w:t>
      </w:r>
      <w:r w:rsidR="005107D9">
        <w:fldChar w:fldCharType="end"/>
      </w:r>
      <w:r w:rsidR="005107D9">
        <w:t>)</w:t>
      </w:r>
      <w:r w:rsidR="00FC78C5">
        <w:t xml:space="preserve">. </w:t>
      </w:r>
      <w:r w:rsidR="00FC78C5">
        <w:rPr>
          <w:szCs w:val="22"/>
        </w:rPr>
        <w:t xml:space="preserve">Na stredných školách sú sociálne znevýhodnení žiaci podporovaní štipendiom. </w:t>
      </w:r>
      <w:r w:rsidR="00FC78C5">
        <w:rPr>
          <w:bCs/>
        </w:rPr>
        <w:t xml:space="preserve">Jeho </w:t>
      </w:r>
      <w:r w:rsidR="00FC78C5" w:rsidRPr="00701A26">
        <w:rPr>
          <w:bCs/>
        </w:rPr>
        <w:t xml:space="preserve">výška je </w:t>
      </w:r>
      <w:r w:rsidR="00FC78C5">
        <w:rPr>
          <w:bCs/>
        </w:rPr>
        <w:t xml:space="preserve">však </w:t>
      </w:r>
      <w:r w:rsidR="00FC78C5" w:rsidRPr="00701A26">
        <w:rPr>
          <w:bCs/>
        </w:rPr>
        <w:t xml:space="preserve">nízka (priemer 36 eur), nepokrýva výdavky spojené so stredoškolským štúdiom (napr. cestovné, ubytovanie, učebnice a pomôcky). </w:t>
      </w:r>
      <w:r w:rsidR="005107D9">
        <w:rPr>
          <w:bCs/>
        </w:rPr>
        <w:t>To</w:t>
      </w:r>
      <w:r w:rsidR="00FC78C5">
        <w:rPr>
          <w:bCs/>
        </w:rPr>
        <w:t xml:space="preserve"> môže niektorých chudobných žiakov viesť k uprednostneniu práce (vrátane šedej ekonomiky), </w:t>
      </w:r>
      <w:r w:rsidR="00FC78C5" w:rsidRPr="00F734E0">
        <w:rPr>
          <w:bCs/>
        </w:rPr>
        <w:t>a v prípade plnoletých osôb k uprednostneniu aktivačných čin</w:t>
      </w:r>
      <w:r w:rsidR="002709F1">
        <w:rPr>
          <w:bCs/>
        </w:rPr>
        <w:t>ností, ktoré vytvárajú nárok na </w:t>
      </w:r>
      <w:r w:rsidR="00FC78C5" w:rsidRPr="00F734E0">
        <w:rPr>
          <w:bCs/>
        </w:rPr>
        <w:t>aktivačný príspevok</w:t>
      </w:r>
      <w:r w:rsidR="005107D9">
        <w:rPr>
          <w:bCs/>
        </w:rPr>
        <w:t xml:space="preserve"> (podkapitola </w:t>
      </w:r>
      <w:r w:rsidR="005107D9">
        <w:rPr>
          <w:bCs/>
        </w:rPr>
        <w:fldChar w:fldCharType="begin"/>
      </w:r>
      <w:r w:rsidR="005107D9">
        <w:rPr>
          <w:bCs/>
        </w:rPr>
        <w:instrText xml:space="preserve"> REF _Ref25310253 \r \h </w:instrText>
      </w:r>
      <w:r w:rsidR="005107D9">
        <w:rPr>
          <w:bCs/>
        </w:rPr>
      </w:r>
      <w:r w:rsidR="005107D9">
        <w:rPr>
          <w:bCs/>
        </w:rPr>
        <w:fldChar w:fldCharType="separate"/>
      </w:r>
      <w:r w:rsidR="00FA29AF">
        <w:rPr>
          <w:bCs/>
        </w:rPr>
        <w:t>5.4</w:t>
      </w:r>
      <w:r w:rsidR="005107D9">
        <w:rPr>
          <w:bCs/>
        </w:rPr>
        <w:fldChar w:fldCharType="end"/>
      </w:r>
      <w:r w:rsidR="005107D9">
        <w:rPr>
          <w:bCs/>
        </w:rPr>
        <w:t>)</w:t>
      </w:r>
      <w:r w:rsidR="00FC78C5" w:rsidRPr="00F734E0">
        <w:rPr>
          <w:bCs/>
        </w:rPr>
        <w:t>.</w:t>
      </w:r>
    </w:p>
    <w:p w14:paraId="541D9D6C" w14:textId="77777777" w:rsidR="00FC78C5" w:rsidRDefault="00FC78C5" w:rsidP="00046111">
      <w:pPr>
        <w:rPr>
          <w:rFonts w:eastAsia="Times New Roman" w:cs="Times New Roman"/>
          <w:bCs/>
          <w:color w:val="000000"/>
          <w:szCs w:val="22"/>
          <w:lang w:eastAsia="sk-SK"/>
        </w:rPr>
      </w:pPr>
      <w:r>
        <w:rPr>
          <w:rFonts w:eastAsia="Times New Roman" w:cs="Times New Roman"/>
          <w:bCs/>
          <w:color w:val="000000"/>
          <w:szCs w:val="22"/>
          <w:lang w:eastAsia="sk-SK"/>
        </w:rPr>
        <w:lastRenderedPageBreak/>
        <w:t>Opatrenie zahŕňa:</w:t>
      </w:r>
    </w:p>
    <w:p w14:paraId="0F2D28EE" w14:textId="2F0E9CCC" w:rsidR="00FC78C5" w:rsidRPr="001157B8" w:rsidRDefault="00FC78C5" w:rsidP="00046111">
      <w:pPr>
        <w:pStyle w:val="Odsekzoznamu"/>
        <w:numPr>
          <w:ilvl w:val="0"/>
          <w:numId w:val="27"/>
        </w:numPr>
        <w:rPr>
          <w:bCs/>
        </w:rPr>
      </w:pPr>
      <w:r>
        <w:rPr>
          <w:bCs/>
        </w:rPr>
        <w:t xml:space="preserve">Reformovaný príspevok pre žiakov zo sociálne znevýhodneného prostredia. </w:t>
      </w:r>
      <w:r w:rsidRPr="00CC6E6E">
        <w:rPr>
          <w:rFonts w:eastAsia="Times New Roman" w:cs="Times New Roman"/>
          <w:color w:val="000000"/>
          <w:szCs w:val="22"/>
          <w:lang w:eastAsia="sk-SK"/>
        </w:rPr>
        <w:t>V nadväznosti na nový normatív pre žiako</w:t>
      </w:r>
      <w:r>
        <w:rPr>
          <w:rFonts w:eastAsia="Times New Roman" w:cs="Times New Roman"/>
          <w:color w:val="000000"/>
          <w:szCs w:val="22"/>
          <w:lang w:eastAsia="sk-SK"/>
        </w:rPr>
        <w:t xml:space="preserve">v zo </w:t>
      </w:r>
      <w:r w:rsidR="005107D9">
        <w:rPr>
          <w:rFonts w:eastAsia="Times New Roman" w:cs="Times New Roman"/>
          <w:color w:val="000000"/>
          <w:szCs w:val="22"/>
          <w:lang w:eastAsia="sk-SK"/>
        </w:rPr>
        <w:t xml:space="preserve">sociálne znevýhodneného prostredia </w:t>
      </w:r>
      <w:r>
        <w:rPr>
          <w:rFonts w:eastAsia="Times New Roman" w:cs="Times New Roman"/>
          <w:color w:val="000000"/>
          <w:szCs w:val="22"/>
          <w:lang w:eastAsia="sk-SK"/>
        </w:rPr>
        <w:t xml:space="preserve">(hodnotové opatrenie </w:t>
      </w:r>
      <w:r w:rsidR="005107D9">
        <w:rPr>
          <w:rFonts w:eastAsia="Times New Roman" w:cs="Times New Roman"/>
          <w:color w:val="000000"/>
          <w:szCs w:val="22"/>
          <w:lang w:eastAsia="sk-SK"/>
        </w:rPr>
        <w:t>6</w:t>
      </w:r>
      <w:r w:rsidRPr="00CC6E6E">
        <w:rPr>
          <w:rFonts w:eastAsia="Times New Roman" w:cs="Times New Roman"/>
          <w:color w:val="000000"/>
          <w:szCs w:val="22"/>
          <w:lang w:eastAsia="sk-SK"/>
        </w:rPr>
        <w:t xml:space="preserve">) by príspevok pokrýval iba </w:t>
      </w:r>
      <w:r w:rsidRPr="00D245BA">
        <w:t xml:space="preserve">materiálne potreby </w:t>
      </w:r>
      <w:r w:rsidR="007370C4">
        <w:t xml:space="preserve">znevýhodnených </w:t>
      </w:r>
      <w:r w:rsidRPr="00D245BA">
        <w:t>žiakov, a to vy</w:t>
      </w:r>
      <w:r w:rsidR="002709F1">
        <w:t>bavenie didaktickou technikou a </w:t>
      </w:r>
      <w:r w:rsidRPr="00D245BA">
        <w:t>učebnými pomôckami, účasť žiakov na aktivitách a zabránenie prenosu nákazy prenosného ochorenia</w:t>
      </w:r>
      <w:r>
        <w:t xml:space="preserve">. Výšku príspevku je preto možné znížiť oproti súčasnosti. Predpokladaná výška </w:t>
      </w:r>
      <w:r w:rsidRPr="00D245BA">
        <w:t xml:space="preserve">príspevku </w:t>
      </w:r>
      <w:r>
        <w:t>je</w:t>
      </w:r>
      <w:r w:rsidRPr="00D245BA">
        <w:t xml:space="preserve"> 50 eur</w:t>
      </w:r>
      <w:r w:rsidR="002709F1">
        <w:t xml:space="preserve"> na </w:t>
      </w:r>
      <w:r>
        <w:t>žiaka za rok</w:t>
      </w:r>
      <w:r w:rsidRPr="00D245BA">
        <w:t>, pričom sa počíta s jeho každoročnou valorizáciou.</w:t>
      </w:r>
      <w:r>
        <w:t xml:space="preserve"> Celkové výdavky predstavujú 3,6</w:t>
      </w:r>
      <w:r w:rsidR="002709F1">
        <w:t> </w:t>
      </w:r>
      <w:r w:rsidR="00AF623E">
        <w:t>miliónov eur</w:t>
      </w:r>
      <w:r>
        <w:t>, čo je o 2,6 milióny eur menej ako výdavky na príspevok v roku 2018.</w:t>
      </w:r>
    </w:p>
    <w:p w14:paraId="5287ED21" w14:textId="4F1805BB" w:rsidR="00FC78C5" w:rsidRPr="001E0C86" w:rsidRDefault="00FC78C5" w:rsidP="00046111">
      <w:pPr>
        <w:pStyle w:val="Odsekzoznamu"/>
        <w:numPr>
          <w:ilvl w:val="0"/>
          <w:numId w:val="27"/>
        </w:numPr>
        <w:rPr>
          <w:bCs/>
          <w:szCs w:val="22"/>
        </w:rPr>
      </w:pPr>
      <w:r>
        <w:rPr>
          <w:bCs/>
        </w:rPr>
        <w:t xml:space="preserve">Povinné odpúšťanie poplatkov za školský klub detí žiakom zo </w:t>
      </w:r>
      <w:r w:rsidR="007370C4">
        <w:rPr>
          <w:bCs/>
        </w:rPr>
        <w:t>sociálne znevýhodneného prostredia</w:t>
      </w:r>
      <w:r w:rsidRPr="001157B8">
        <w:rPr>
          <w:bCs/>
          <w:szCs w:val="22"/>
        </w:rPr>
        <w:t xml:space="preserve">. </w:t>
      </w:r>
      <w:r w:rsidRPr="001157B8">
        <w:rPr>
          <w:szCs w:val="22"/>
        </w:rPr>
        <w:t>Ako kompenzáciu za výpadok v príjmoch zriaďovateľov sa analogicky po vzore materských škôl navrhuje zaviesť príspevok na čiastočnú úhradu nákladov na výchovu a vzdeláva</w:t>
      </w:r>
      <w:r>
        <w:rPr>
          <w:szCs w:val="22"/>
        </w:rPr>
        <w:t>nie v</w:t>
      </w:r>
      <w:r w:rsidR="005107D9">
        <w:rPr>
          <w:szCs w:val="22"/>
        </w:rPr>
        <w:t xml:space="preserve"> školských kluboch detí </w:t>
      </w:r>
      <w:r>
        <w:rPr>
          <w:szCs w:val="22"/>
        </w:rPr>
        <w:t xml:space="preserve">pre </w:t>
      </w:r>
      <w:r w:rsidR="005107D9">
        <w:rPr>
          <w:szCs w:val="22"/>
        </w:rPr>
        <w:t xml:space="preserve">ich </w:t>
      </w:r>
      <w:r>
        <w:rPr>
          <w:szCs w:val="22"/>
        </w:rPr>
        <w:t>zriaďovateľov v súhrnnej hodnote 2,7 milióny eur.</w:t>
      </w:r>
    </w:p>
    <w:p w14:paraId="43A0ED72" w14:textId="599B6A11" w:rsidR="00FC78C5" w:rsidRDefault="00FC78C5" w:rsidP="00046111">
      <w:pPr>
        <w:pStyle w:val="Odsekzoznamu"/>
        <w:numPr>
          <w:ilvl w:val="0"/>
          <w:numId w:val="27"/>
        </w:numPr>
        <w:rPr>
          <w:bCs/>
          <w:szCs w:val="22"/>
        </w:rPr>
      </w:pPr>
      <w:r>
        <w:rPr>
          <w:bCs/>
          <w:szCs w:val="22"/>
        </w:rPr>
        <w:t>Navýšenie stredoškolského štipendia tak, aby najnižšia hodnota bola na úrovni aktivačného príspevku v rámci pomoci v hmotnej núdzi (aktuálne 6</w:t>
      </w:r>
      <w:r w:rsidR="0067502D">
        <w:rPr>
          <w:bCs/>
          <w:szCs w:val="22"/>
        </w:rPr>
        <w:t>7</w:t>
      </w:r>
      <w:r>
        <w:rPr>
          <w:bCs/>
          <w:szCs w:val="22"/>
        </w:rPr>
        <w:t>,</w:t>
      </w:r>
      <w:r w:rsidR="0067502D">
        <w:rPr>
          <w:bCs/>
          <w:szCs w:val="22"/>
        </w:rPr>
        <w:t>9</w:t>
      </w:r>
      <w:r>
        <w:rPr>
          <w:bCs/>
          <w:szCs w:val="22"/>
        </w:rPr>
        <w:t xml:space="preserve">0 eur). Pomer medzi troma úrovňami príspevku by mal zostať nezmenený. Navýšené výdavky na štipendium predstavujú </w:t>
      </w:r>
      <w:r w:rsidR="0067502D">
        <w:rPr>
          <w:bCs/>
          <w:szCs w:val="22"/>
        </w:rPr>
        <w:t>4,1</w:t>
      </w:r>
      <w:r>
        <w:rPr>
          <w:bCs/>
          <w:szCs w:val="22"/>
        </w:rPr>
        <w:t xml:space="preserve"> milióna eur.</w:t>
      </w:r>
    </w:p>
    <w:p w14:paraId="611B5B0F" w14:textId="0A52A467" w:rsidR="00FC78C5" w:rsidRDefault="00BA7250" w:rsidP="00046111">
      <w:r>
        <w:rPr>
          <w:b/>
          <w:bCs/>
          <w:szCs w:val="22"/>
        </w:rPr>
        <w:t>8</w:t>
      </w:r>
      <w:r w:rsidR="00FC78C5" w:rsidRPr="00D8774C">
        <w:rPr>
          <w:b/>
          <w:bCs/>
          <w:szCs w:val="22"/>
        </w:rPr>
        <w:t xml:space="preserve">. Opatrenie: </w:t>
      </w:r>
      <w:r w:rsidR="00E474C5">
        <w:rPr>
          <w:b/>
          <w:bCs/>
          <w:szCs w:val="22"/>
        </w:rPr>
        <w:t>Rozšíriť ponuku v</w:t>
      </w:r>
      <w:r w:rsidR="00FC78C5" w:rsidRPr="00D8774C">
        <w:rPr>
          <w:b/>
          <w:bCs/>
          <w:szCs w:val="22"/>
        </w:rPr>
        <w:t>zdelávani</w:t>
      </w:r>
      <w:r w:rsidR="00E474C5">
        <w:rPr>
          <w:b/>
          <w:bCs/>
          <w:szCs w:val="22"/>
        </w:rPr>
        <w:t>a</w:t>
      </w:r>
      <w:r w:rsidR="00FC78C5" w:rsidRPr="00D8774C">
        <w:rPr>
          <w:b/>
          <w:bCs/>
          <w:szCs w:val="22"/>
        </w:rPr>
        <w:t xml:space="preserve"> učiteľov v</w:t>
      </w:r>
      <w:r w:rsidR="00E474C5">
        <w:rPr>
          <w:b/>
          <w:bCs/>
          <w:szCs w:val="22"/>
        </w:rPr>
        <w:t> základných školách</w:t>
      </w:r>
      <w:r w:rsidR="00FC78C5" w:rsidRPr="00D8774C">
        <w:rPr>
          <w:b/>
          <w:bCs/>
          <w:szCs w:val="22"/>
        </w:rPr>
        <w:t xml:space="preserve"> </w:t>
      </w:r>
      <w:r w:rsidR="00FC78C5">
        <w:rPr>
          <w:b/>
          <w:bCs/>
          <w:szCs w:val="22"/>
        </w:rPr>
        <w:t xml:space="preserve">a iných aktérov </w:t>
      </w:r>
      <w:r w:rsidR="00FC78C5" w:rsidRPr="00D8774C">
        <w:rPr>
          <w:b/>
          <w:bCs/>
          <w:szCs w:val="22"/>
        </w:rPr>
        <w:t>pre</w:t>
      </w:r>
      <w:r w:rsidR="002709F1">
        <w:rPr>
          <w:b/>
          <w:bCs/>
          <w:szCs w:val="22"/>
        </w:rPr>
        <w:t xml:space="preserve"> prácu so </w:t>
      </w:r>
      <w:r w:rsidR="00FC78C5" w:rsidRPr="00D8774C">
        <w:rPr>
          <w:b/>
          <w:bCs/>
          <w:szCs w:val="22"/>
        </w:rPr>
        <w:t>znevýhodnenými žiakmi</w:t>
      </w:r>
      <w:r w:rsidR="00A128D4">
        <w:rPr>
          <w:b/>
          <w:bCs/>
          <w:szCs w:val="22"/>
        </w:rPr>
        <w:t xml:space="preserve"> </w:t>
      </w:r>
      <w:r w:rsidR="00A128D4">
        <w:rPr>
          <w:rFonts w:eastAsia="Times New Roman" w:cs="Times New Roman"/>
          <w:b/>
          <w:color w:val="000000"/>
          <w:szCs w:val="22"/>
          <w:lang w:eastAsia="sk-SK"/>
        </w:rPr>
        <w:t xml:space="preserve">(potenciál </w:t>
      </w:r>
      <w:r w:rsidR="00D05492">
        <w:rPr>
          <w:rFonts w:eastAsia="Times New Roman" w:cs="Times New Roman"/>
          <w:b/>
          <w:color w:val="000000"/>
          <w:szCs w:val="22"/>
          <w:lang w:eastAsia="sk-SK"/>
        </w:rPr>
        <w:t>7,6</w:t>
      </w:r>
      <w:r w:rsidR="00A128D4">
        <w:rPr>
          <w:rFonts w:eastAsia="Times New Roman" w:cs="Times New Roman"/>
          <w:b/>
          <w:color w:val="000000"/>
          <w:szCs w:val="22"/>
          <w:lang w:eastAsia="sk-SK"/>
        </w:rPr>
        <w:t xml:space="preserve"> miliónov eur)</w:t>
      </w:r>
      <w:r w:rsidR="00FC78C5" w:rsidRPr="00D8774C">
        <w:rPr>
          <w:b/>
          <w:bCs/>
          <w:szCs w:val="22"/>
        </w:rPr>
        <w:t>.</w:t>
      </w:r>
      <w:r w:rsidR="00FC78C5">
        <w:rPr>
          <w:b/>
          <w:bCs/>
          <w:szCs w:val="22"/>
        </w:rPr>
        <w:t xml:space="preserve"> </w:t>
      </w:r>
      <w:r w:rsidR="00FC78C5" w:rsidRPr="00063BDB">
        <w:rPr>
          <w:bCs/>
        </w:rPr>
        <w:t xml:space="preserve">Z dostupných výskumov sa javí, že </w:t>
      </w:r>
      <w:r w:rsidR="007370C4">
        <w:rPr>
          <w:bCs/>
        </w:rPr>
        <w:t>príprava budúcich učiteľov ani vzdelávanie existujúcich učiteľov nedostatočne pokrýva</w:t>
      </w:r>
      <w:r w:rsidR="00321BFB">
        <w:rPr>
          <w:bCs/>
        </w:rPr>
        <w:t>jú</w:t>
      </w:r>
      <w:r w:rsidR="007370C4">
        <w:rPr>
          <w:bCs/>
        </w:rPr>
        <w:t xml:space="preserve"> </w:t>
      </w:r>
      <w:r w:rsidR="00FC78C5" w:rsidRPr="00063BDB">
        <w:rPr>
          <w:bCs/>
        </w:rPr>
        <w:t>vzdelávanie žiakov s rôznorodými potrebami a efektívnu individualizáciu vo vzdelávaní.</w:t>
      </w:r>
      <w:r w:rsidR="00FC78C5" w:rsidRPr="007A45C8">
        <w:rPr>
          <w:rStyle w:val="Odkaznapoznmkupodiarou"/>
          <w:bCs/>
        </w:rPr>
        <w:t xml:space="preserve"> </w:t>
      </w:r>
      <w:r w:rsidR="00970AA0" w:rsidRPr="003745A2">
        <w:t>V rámci súčasnej ponuky akreditovanýc</w:t>
      </w:r>
      <w:r w:rsidR="00970AA0">
        <w:t>h programov ďalšieho vzdelávania je však</w:t>
      </w:r>
      <w:r w:rsidR="00970AA0" w:rsidRPr="003745A2">
        <w:t xml:space="preserve"> zo 679 </w:t>
      </w:r>
      <w:r w:rsidR="00970AA0">
        <w:t>programov</w:t>
      </w:r>
      <w:r w:rsidR="00970AA0" w:rsidRPr="003745A2">
        <w:t xml:space="preserve"> pre cieľovú skupinu učiteľov ZŠ aktuálne dostupných len päť programov zameran</w:t>
      </w:r>
      <w:r w:rsidR="00321BFB">
        <w:t>ých</w:t>
      </w:r>
      <w:r w:rsidR="00970AA0" w:rsidRPr="003745A2">
        <w:t xml:space="preserve"> špecificky na v</w:t>
      </w:r>
      <w:r w:rsidR="00970AA0">
        <w:t>zdelávanie deti so zdravotným znevýhodnením</w:t>
      </w:r>
      <w:r w:rsidR="00970AA0" w:rsidRPr="003745A2">
        <w:t xml:space="preserve"> a 12 programov sa venuje inklúzii v triede všeobecne.</w:t>
      </w:r>
      <w:r w:rsidR="00970AA0">
        <w:t xml:space="preserve"> </w:t>
      </w:r>
      <w:r w:rsidR="00FC78C5">
        <w:t xml:space="preserve">Výzvu predstavuje tiež výučba slovenského jazyka ako druhého jazyka, keďže viac ako polovica Rómov na Slovensku považuje za svoj materinský jazyk rómčinu. </w:t>
      </w:r>
      <w:r w:rsidR="00FC78C5" w:rsidRPr="00991267">
        <w:t xml:space="preserve">Napriek tomu školy s vyučujúcim jazykom rómskym neexistujú a výučba slovenčiny ako druhého jazyka nie je </w:t>
      </w:r>
      <w:r w:rsidR="00FC78C5">
        <w:t xml:space="preserve">dostupná </w:t>
      </w:r>
      <w:r w:rsidR="00FC78C5" w:rsidRPr="00991267">
        <w:t>na školách s</w:t>
      </w:r>
      <w:r w:rsidR="00FC78C5">
        <w:t> vyučujúcim jazykom slovenským</w:t>
      </w:r>
      <w:r w:rsidR="00970AA0">
        <w:t xml:space="preserve"> ani maďarským</w:t>
      </w:r>
      <w:r w:rsidR="00FC78C5">
        <w:t>.</w:t>
      </w:r>
      <w:r w:rsidR="007370C4">
        <w:t xml:space="preserve"> </w:t>
      </w:r>
      <w:r w:rsidR="00FC78C5">
        <w:t>Osobitn</w:t>
      </w:r>
      <w:r w:rsidR="007370C4">
        <w:t>ým</w:t>
      </w:r>
      <w:r w:rsidR="00FC78C5">
        <w:t xml:space="preserve"> </w:t>
      </w:r>
      <w:r w:rsidR="007370C4">
        <w:t xml:space="preserve">problémom </w:t>
      </w:r>
      <w:r w:rsidR="00FC78C5">
        <w:t>zostáva priestorové vyčleňovani</w:t>
      </w:r>
      <w:r w:rsidR="007370C4">
        <w:t>e</w:t>
      </w:r>
      <w:r w:rsidR="00FC78C5">
        <w:t xml:space="preserve"> znevýhodnených žiakov v rámci bežného prúdu či už v rámci škôl alebo medzi školami</w:t>
      </w:r>
      <w:r w:rsidR="007370C4">
        <w:t xml:space="preserve"> (podkapitola </w:t>
      </w:r>
      <w:r w:rsidR="007370C4">
        <w:fldChar w:fldCharType="begin"/>
      </w:r>
      <w:r w:rsidR="007370C4">
        <w:instrText xml:space="preserve"> REF _Ref25652405 \r \h </w:instrText>
      </w:r>
      <w:r w:rsidR="007370C4">
        <w:fldChar w:fldCharType="separate"/>
      </w:r>
      <w:r w:rsidR="00FA29AF">
        <w:t>5.2</w:t>
      </w:r>
      <w:r w:rsidR="007370C4">
        <w:fldChar w:fldCharType="end"/>
      </w:r>
      <w:r w:rsidR="007370C4">
        <w:t>).</w:t>
      </w:r>
    </w:p>
    <w:p w14:paraId="71812B35" w14:textId="77777777" w:rsidR="00FC78C5" w:rsidRDefault="00FC78C5" w:rsidP="00046111">
      <w:r>
        <w:t>Opatrenie zahŕňa:</w:t>
      </w:r>
    </w:p>
    <w:p w14:paraId="03638B84" w14:textId="77777777" w:rsidR="00FC78C5" w:rsidRDefault="00FC78C5" w:rsidP="00046111">
      <w:pPr>
        <w:pStyle w:val="Odsekzoznamu"/>
        <w:numPr>
          <w:ilvl w:val="0"/>
          <w:numId w:val="28"/>
        </w:numPr>
        <w:ind w:left="714" w:hanging="357"/>
        <w:rPr>
          <w:bCs/>
          <w:szCs w:val="22"/>
        </w:rPr>
      </w:pPr>
      <w:r w:rsidRPr="006A5BAE">
        <w:rPr>
          <w:rFonts w:eastAsia="Times New Roman" w:cs="Times New Roman"/>
          <w:color w:val="000000"/>
          <w:szCs w:val="22"/>
          <w:lang w:eastAsia="sk-SK"/>
        </w:rPr>
        <w:t>Grantový program pre vysoké školy pripravujúce budúcich učiteľov na transformáciu študijných programov smerom k väčšej inkluzívnosti v hodnote 1,5 miliónov eur.</w:t>
      </w:r>
      <w:r>
        <w:rPr>
          <w:rFonts w:eastAsia="Times New Roman" w:cs="Times New Roman"/>
          <w:color w:val="000000"/>
          <w:szCs w:val="22"/>
          <w:lang w:eastAsia="sk-SK"/>
        </w:rPr>
        <w:t xml:space="preserve"> </w:t>
      </w:r>
      <w:r>
        <w:rPr>
          <w:bCs/>
          <w:szCs w:val="22"/>
        </w:rPr>
        <w:t xml:space="preserve">Povinnou súčasťou transformačných projektov by malo byť aj kurikulum zamerané na nadobúdanie zručností v oblasti diagnostiky jazykových potrieb detí. </w:t>
      </w:r>
      <w:r>
        <w:rPr>
          <w:rFonts w:eastAsia="Times New Roman" w:cs="Times New Roman"/>
          <w:color w:val="000000"/>
          <w:szCs w:val="22"/>
          <w:lang w:eastAsia="sk-SK"/>
        </w:rPr>
        <w:t xml:space="preserve">Z tohto </w:t>
      </w:r>
      <w:r w:rsidRPr="006A5BAE">
        <w:rPr>
          <w:rFonts w:eastAsia="Times New Roman" w:cs="Times New Roman"/>
          <w:color w:val="000000"/>
          <w:szCs w:val="22"/>
          <w:lang w:eastAsia="sk-SK"/>
        </w:rPr>
        <w:t xml:space="preserve">programu by sa financovali tri najlepšie transformačné projekty spomedzi </w:t>
      </w:r>
      <w:r w:rsidRPr="006A5BAE">
        <w:rPr>
          <w:bCs/>
          <w:szCs w:val="22"/>
        </w:rPr>
        <w:t>fakúlt, ktoré poskytujú študijné programy pripravujúce budúcich učiteľov.</w:t>
      </w:r>
    </w:p>
    <w:p w14:paraId="1CEBF2CA" w14:textId="1C55F643" w:rsidR="00FC78C5" w:rsidRPr="00B97722" w:rsidRDefault="00FC78C5" w:rsidP="00046111">
      <w:pPr>
        <w:pStyle w:val="Odsekzoznamu"/>
        <w:numPr>
          <w:ilvl w:val="0"/>
          <w:numId w:val="28"/>
        </w:numPr>
        <w:rPr>
          <w:bCs/>
          <w:szCs w:val="22"/>
        </w:rPr>
      </w:pPr>
      <w:r>
        <w:t xml:space="preserve">Vytvorenie </w:t>
      </w:r>
      <w:r w:rsidR="002843B2">
        <w:t xml:space="preserve">a realizácia </w:t>
      </w:r>
      <w:r w:rsidR="00970AA0">
        <w:t xml:space="preserve">nového kurzu </w:t>
      </w:r>
      <w:r w:rsidR="00752E3F">
        <w:t xml:space="preserve">pre učiteľov </w:t>
      </w:r>
      <w:r w:rsidR="00970AA0">
        <w:t>zameraného na med</w:t>
      </w:r>
      <w:r w:rsidR="004F06F3">
        <w:t>zigeneračnú chudobu a jej vplyv</w:t>
      </w:r>
      <w:r w:rsidR="00970AA0">
        <w:t xml:space="preserve"> na vzdelávanie a vytvorenie </w:t>
      </w:r>
      <w:r>
        <w:t>šiestich</w:t>
      </w:r>
      <w:r w:rsidRPr="008157AC">
        <w:t xml:space="preserve"> nových kurzov vzdelávania za</w:t>
      </w:r>
      <w:r w:rsidR="002709F1">
        <w:t>meraných na vzdelávanie detí so </w:t>
      </w:r>
      <w:r w:rsidRPr="008157AC">
        <w:t>špecifickými druhmi zdravotného znevýhodnenia</w:t>
      </w:r>
      <w:r>
        <w:t xml:space="preserve">, ktoré momentálne nie sú dostupné </w:t>
      </w:r>
      <w:r w:rsidRPr="008157AC">
        <w:t>(ľahké mentálne postihnutie, zrakové postihnutie</w:t>
      </w:r>
      <w:r w:rsidR="00970AA0">
        <w:t xml:space="preserve"> a narušená komunikačná schopnosť</w:t>
      </w:r>
      <w:r w:rsidR="00752E3F">
        <w:t xml:space="preserve">), v hodnote </w:t>
      </w:r>
      <w:r>
        <w:t>4 milióny eur.</w:t>
      </w:r>
    </w:p>
    <w:p w14:paraId="22CDECD3" w14:textId="2F2C6218" w:rsidR="00FC78C5" w:rsidRPr="00B97722" w:rsidRDefault="00FC78C5" w:rsidP="00046111">
      <w:pPr>
        <w:pStyle w:val="Odsekzoznamu"/>
        <w:numPr>
          <w:ilvl w:val="0"/>
          <w:numId w:val="28"/>
        </w:numPr>
        <w:rPr>
          <w:bCs/>
          <w:szCs w:val="22"/>
        </w:rPr>
      </w:pPr>
      <w:r>
        <w:t xml:space="preserve">Vytvorenie </w:t>
      </w:r>
      <w:r w:rsidR="002843B2">
        <w:t xml:space="preserve">a realizácia </w:t>
      </w:r>
      <w:r>
        <w:t xml:space="preserve">vzdelávacieho programu zameraného na problematiku segregácie vo vzdelávaní pre riaditeľov </w:t>
      </w:r>
      <w:r w:rsidR="00752E3F">
        <w:t>materských a základných škôl</w:t>
      </w:r>
      <w:r>
        <w:t xml:space="preserve">, starostov obcí </w:t>
      </w:r>
      <w:r w:rsidR="00781D51">
        <w:t xml:space="preserve">ako zriaďovateľov škôl </w:t>
      </w:r>
      <w:r>
        <w:t>a úradní</w:t>
      </w:r>
      <w:r w:rsidR="00781D51">
        <w:t>kov okresných úradov v hodnote 1,</w:t>
      </w:r>
      <w:r w:rsidR="005255A8">
        <w:t>5</w:t>
      </w:r>
      <w:r w:rsidR="00781D51">
        <w:t xml:space="preserve"> milióna </w:t>
      </w:r>
      <w:r>
        <w:t>eur.</w:t>
      </w:r>
    </w:p>
    <w:p w14:paraId="51033265" w14:textId="13A166B4" w:rsidR="00FC78C5" w:rsidRDefault="00FC78C5" w:rsidP="00046111">
      <w:pPr>
        <w:pStyle w:val="Odsekzoznamu"/>
        <w:numPr>
          <w:ilvl w:val="0"/>
          <w:numId w:val="28"/>
        </w:numPr>
      </w:pPr>
      <w:r w:rsidRPr="00B97722">
        <w:rPr>
          <w:rFonts w:eastAsia="Times New Roman" w:cs="Times New Roman"/>
          <w:color w:val="000000"/>
          <w:szCs w:val="22"/>
          <w:lang w:eastAsia="sk-SK"/>
        </w:rPr>
        <w:t xml:space="preserve">Rozšírenie ponuky programov </w:t>
      </w:r>
      <w:r w:rsidR="002843B2">
        <w:rPr>
          <w:rFonts w:eastAsia="Times New Roman" w:cs="Times New Roman"/>
          <w:color w:val="000000"/>
          <w:szCs w:val="22"/>
          <w:lang w:eastAsia="sk-SK"/>
        </w:rPr>
        <w:t xml:space="preserve">a realizácia </w:t>
      </w:r>
      <w:r w:rsidRPr="00B97722">
        <w:rPr>
          <w:rFonts w:eastAsia="Times New Roman" w:cs="Times New Roman"/>
          <w:color w:val="000000"/>
          <w:szCs w:val="22"/>
          <w:lang w:eastAsia="sk-SK"/>
        </w:rPr>
        <w:t xml:space="preserve">vzdelávania </w:t>
      </w:r>
      <w:r w:rsidR="00752E3F">
        <w:rPr>
          <w:rFonts w:eastAsia="Times New Roman" w:cs="Times New Roman"/>
          <w:color w:val="000000"/>
          <w:szCs w:val="22"/>
          <w:lang w:eastAsia="sk-SK"/>
        </w:rPr>
        <w:t xml:space="preserve">pre učiteľov </w:t>
      </w:r>
      <w:r w:rsidR="002709F1">
        <w:rPr>
          <w:rFonts w:eastAsia="Times New Roman" w:cs="Times New Roman"/>
          <w:color w:val="000000"/>
          <w:szCs w:val="22"/>
          <w:lang w:eastAsia="sk-SK"/>
        </w:rPr>
        <w:t>o programy zamerané na </w:t>
      </w:r>
      <w:r w:rsidRPr="00B97722">
        <w:rPr>
          <w:rFonts w:eastAsia="Times New Roman" w:cs="Times New Roman"/>
          <w:color w:val="000000"/>
          <w:szCs w:val="22"/>
          <w:lang w:eastAsia="sk-SK"/>
        </w:rPr>
        <w:t>nadobúdanie kompetencií vo výučbe slovenského jazyka ako druhého jazyka v hodnote 618 tisíc eur.</w:t>
      </w:r>
      <w:r>
        <w:rPr>
          <w:rFonts w:eastAsia="Times New Roman" w:cs="Times New Roman"/>
          <w:color w:val="000000"/>
          <w:szCs w:val="22"/>
          <w:lang w:eastAsia="sk-SK"/>
        </w:rPr>
        <w:t xml:space="preserve"> Toto opatrenie nadväzuje na nefinančné opatrenie </w:t>
      </w:r>
      <w:r w:rsidR="00FE350B">
        <w:rPr>
          <w:rFonts w:eastAsia="Times New Roman" w:cs="Times New Roman"/>
          <w:color w:val="000000"/>
          <w:szCs w:val="22"/>
          <w:lang w:eastAsia="sk-SK"/>
        </w:rPr>
        <w:t>10</w:t>
      </w:r>
      <w:r>
        <w:rPr>
          <w:rFonts w:eastAsia="Times New Roman" w:cs="Times New Roman"/>
          <w:color w:val="000000"/>
          <w:szCs w:val="22"/>
          <w:lang w:eastAsia="sk-SK"/>
        </w:rPr>
        <w:t xml:space="preserve">, ktoré predpokladá </w:t>
      </w:r>
      <w:r>
        <w:t>formalizáciu výučby</w:t>
      </w:r>
      <w:r w:rsidRPr="00EA38EE">
        <w:t xml:space="preserve"> slovensk</w:t>
      </w:r>
      <w:r>
        <w:t>ého jazyka ako druhého jazyka.</w:t>
      </w:r>
    </w:p>
    <w:p w14:paraId="02B11B12" w14:textId="08C1E157" w:rsidR="00FC78C5" w:rsidRPr="00590AE7" w:rsidRDefault="00BA7250" w:rsidP="00046111">
      <w:pPr>
        <w:rPr>
          <w:bCs/>
          <w:szCs w:val="22"/>
        </w:rPr>
      </w:pPr>
      <w:r>
        <w:rPr>
          <w:b/>
          <w:szCs w:val="22"/>
        </w:rPr>
        <w:t>9</w:t>
      </w:r>
      <w:r w:rsidR="00FC78C5">
        <w:rPr>
          <w:b/>
          <w:szCs w:val="22"/>
        </w:rPr>
        <w:t xml:space="preserve">. Opatrenie: </w:t>
      </w:r>
      <w:r w:rsidR="00970AA0">
        <w:rPr>
          <w:b/>
          <w:szCs w:val="22"/>
        </w:rPr>
        <w:t>Zaviesť flexibiln</w:t>
      </w:r>
      <w:r w:rsidR="00A128D4">
        <w:rPr>
          <w:b/>
          <w:szCs w:val="22"/>
        </w:rPr>
        <w:t>ý</w:t>
      </w:r>
      <w:r w:rsidR="00970AA0">
        <w:rPr>
          <w:b/>
          <w:szCs w:val="22"/>
        </w:rPr>
        <w:t xml:space="preserve"> </w:t>
      </w:r>
      <w:r w:rsidR="00FC78C5">
        <w:rPr>
          <w:b/>
          <w:szCs w:val="22"/>
        </w:rPr>
        <w:t>normatív pre druhošancové vzdelávani</w:t>
      </w:r>
      <w:r w:rsidR="00970AA0">
        <w:rPr>
          <w:b/>
          <w:szCs w:val="22"/>
        </w:rPr>
        <w:t>e</w:t>
      </w:r>
      <w:r w:rsidR="00A128D4">
        <w:rPr>
          <w:b/>
          <w:szCs w:val="22"/>
        </w:rPr>
        <w:t xml:space="preserve"> </w:t>
      </w:r>
      <w:r w:rsidR="00A128D4">
        <w:rPr>
          <w:rFonts w:eastAsia="Times New Roman" w:cs="Times New Roman"/>
          <w:b/>
          <w:color w:val="000000"/>
          <w:szCs w:val="22"/>
          <w:lang w:eastAsia="sk-SK"/>
        </w:rPr>
        <w:t xml:space="preserve">(potenciál </w:t>
      </w:r>
      <w:r w:rsidR="00DC4284">
        <w:rPr>
          <w:rFonts w:eastAsia="Times New Roman" w:cs="Times New Roman"/>
          <w:b/>
          <w:color w:val="000000"/>
          <w:szCs w:val="22"/>
          <w:lang w:eastAsia="sk-SK"/>
        </w:rPr>
        <w:t>0,8</w:t>
      </w:r>
      <w:r w:rsidR="00B85177">
        <w:rPr>
          <w:rFonts w:eastAsia="Times New Roman" w:cs="Times New Roman"/>
          <w:b/>
          <w:color w:val="000000"/>
          <w:szCs w:val="22"/>
          <w:lang w:eastAsia="sk-SK"/>
        </w:rPr>
        <w:t xml:space="preserve"> milióna</w:t>
      </w:r>
      <w:r w:rsidR="00A128D4">
        <w:rPr>
          <w:rFonts w:eastAsia="Times New Roman" w:cs="Times New Roman"/>
          <w:b/>
          <w:color w:val="000000"/>
          <w:szCs w:val="22"/>
          <w:lang w:eastAsia="sk-SK"/>
        </w:rPr>
        <w:t xml:space="preserve"> eur)</w:t>
      </w:r>
      <w:r w:rsidR="00FC78C5">
        <w:rPr>
          <w:b/>
          <w:szCs w:val="22"/>
        </w:rPr>
        <w:t xml:space="preserve">. </w:t>
      </w:r>
      <w:r w:rsidR="00FC78C5">
        <w:rPr>
          <w:bCs/>
        </w:rPr>
        <w:t xml:space="preserve">Vzdelávanie na získanie nižšieho stredného vzdelania (druhošancové vzdelávanie) umožňuje ľuďom s predčasne ukončenou školskou dochádzkou </w:t>
      </w:r>
      <w:r w:rsidR="00FC78C5" w:rsidRPr="00E3306E">
        <w:rPr>
          <w:bCs/>
        </w:rPr>
        <w:t>dokončiť si základné vzdelanie s možnos</w:t>
      </w:r>
      <w:r w:rsidR="002709F1">
        <w:rPr>
          <w:bCs/>
        </w:rPr>
        <w:t>ťou pokračovať vo vzdelávaní na </w:t>
      </w:r>
      <w:r w:rsidR="00FC78C5" w:rsidRPr="00E3306E">
        <w:rPr>
          <w:bCs/>
        </w:rPr>
        <w:t>vyšších stupňoch</w:t>
      </w:r>
      <w:r w:rsidR="00FC78C5" w:rsidRPr="003F02CA">
        <w:rPr>
          <w:bCs/>
        </w:rPr>
        <w:t xml:space="preserve">. </w:t>
      </w:r>
      <w:r w:rsidR="006F4D37" w:rsidRPr="003F02CA">
        <w:rPr>
          <w:bCs/>
        </w:rPr>
        <w:t xml:space="preserve">Výška normatívu na žiaka v druhošancovom vzdelávaní </w:t>
      </w:r>
      <w:r w:rsidR="006F4D37">
        <w:rPr>
          <w:bCs/>
        </w:rPr>
        <w:t xml:space="preserve">je však stanovená staticky (10 % </w:t>
      </w:r>
      <w:r w:rsidR="006F4D37">
        <w:rPr>
          <w:bCs/>
        </w:rPr>
        <w:lastRenderedPageBreak/>
        <w:t xml:space="preserve">bežného normatívu). Nemusí tak </w:t>
      </w:r>
      <w:r w:rsidR="006F4D37" w:rsidRPr="003F02CA">
        <w:rPr>
          <w:bCs/>
        </w:rPr>
        <w:t>zodpoved</w:t>
      </w:r>
      <w:r w:rsidR="006F4D37">
        <w:rPr>
          <w:bCs/>
        </w:rPr>
        <w:t>ať</w:t>
      </w:r>
      <w:r w:rsidR="006F4D37" w:rsidRPr="003F02CA">
        <w:rPr>
          <w:bCs/>
        </w:rPr>
        <w:t xml:space="preserve"> rozsahu obsahu vzdelávania, ktorý </w:t>
      </w:r>
      <w:r w:rsidR="006F4D37">
        <w:rPr>
          <w:bCs/>
        </w:rPr>
        <w:t>v súlade s potrebami žiakov</w:t>
      </w:r>
      <w:r w:rsidR="0070047D">
        <w:rPr>
          <w:bCs/>
        </w:rPr>
        <w:t xml:space="preserve"> </w:t>
      </w:r>
      <w:r w:rsidR="006F4D37" w:rsidRPr="00590AE7">
        <w:rPr>
          <w:bCs/>
        </w:rPr>
        <w:t>urč</w:t>
      </w:r>
      <w:r w:rsidR="006F4D37">
        <w:rPr>
          <w:bCs/>
        </w:rPr>
        <w:t>uje riaditeľ školy</w:t>
      </w:r>
      <w:r w:rsidR="006F4D37" w:rsidRPr="00590AE7">
        <w:rPr>
          <w:bCs/>
        </w:rPr>
        <w:t xml:space="preserve">, čo môže </w:t>
      </w:r>
      <w:r w:rsidR="00CE7764">
        <w:rPr>
          <w:bCs/>
        </w:rPr>
        <w:t xml:space="preserve">byť dôvodom nízkej ponuky týchto kurzov </w:t>
      </w:r>
      <w:r w:rsidR="00FC78C5">
        <w:rPr>
          <w:bCs/>
        </w:rPr>
        <w:t>(podkapitola</w:t>
      </w:r>
      <w:r w:rsidR="00957BB0">
        <w:rPr>
          <w:bCs/>
        </w:rPr>
        <w:t xml:space="preserve"> </w:t>
      </w:r>
      <w:r w:rsidR="00957BB0">
        <w:rPr>
          <w:bCs/>
        </w:rPr>
        <w:fldChar w:fldCharType="begin"/>
      </w:r>
      <w:r w:rsidR="00957BB0">
        <w:rPr>
          <w:bCs/>
        </w:rPr>
        <w:instrText xml:space="preserve"> REF _Ref34380112 \r \h </w:instrText>
      </w:r>
      <w:r w:rsidR="00957BB0">
        <w:rPr>
          <w:bCs/>
        </w:rPr>
      </w:r>
      <w:r w:rsidR="00957BB0">
        <w:rPr>
          <w:bCs/>
        </w:rPr>
        <w:fldChar w:fldCharType="separate"/>
      </w:r>
      <w:r w:rsidR="00FA29AF">
        <w:rPr>
          <w:bCs/>
        </w:rPr>
        <w:t>5.3</w:t>
      </w:r>
      <w:r w:rsidR="00957BB0">
        <w:rPr>
          <w:bCs/>
        </w:rPr>
        <w:fldChar w:fldCharType="end"/>
      </w:r>
      <w:r w:rsidR="00FC78C5">
        <w:rPr>
          <w:bCs/>
        </w:rPr>
        <w:t>)</w:t>
      </w:r>
      <w:r w:rsidR="00FC78C5" w:rsidRPr="00590AE7">
        <w:rPr>
          <w:bCs/>
        </w:rPr>
        <w:t>.</w:t>
      </w:r>
    </w:p>
    <w:p w14:paraId="5F6834DD" w14:textId="62174710" w:rsidR="00FC78C5" w:rsidRPr="00006325" w:rsidRDefault="00BA7250" w:rsidP="00046111">
      <w:r>
        <w:rPr>
          <w:b/>
          <w:szCs w:val="22"/>
        </w:rPr>
        <w:t>10</w:t>
      </w:r>
      <w:r w:rsidR="00FC78C5" w:rsidRPr="00063BDB">
        <w:rPr>
          <w:b/>
          <w:szCs w:val="22"/>
        </w:rPr>
        <w:t xml:space="preserve">. Opatrenie: </w:t>
      </w:r>
      <w:r w:rsidR="00E474C5">
        <w:rPr>
          <w:b/>
          <w:szCs w:val="22"/>
        </w:rPr>
        <w:t>Zvýšiť objem zdrojov na d</w:t>
      </w:r>
      <w:r w:rsidR="00FC78C5">
        <w:rPr>
          <w:b/>
          <w:szCs w:val="22"/>
        </w:rPr>
        <w:t>ebarierizáci</w:t>
      </w:r>
      <w:r w:rsidR="00E474C5">
        <w:rPr>
          <w:b/>
          <w:szCs w:val="22"/>
        </w:rPr>
        <w:t>u</w:t>
      </w:r>
      <w:r w:rsidR="00FC78C5" w:rsidRPr="00063BDB">
        <w:rPr>
          <w:b/>
          <w:szCs w:val="22"/>
        </w:rPr>
        <w:t xml:space="preserve"> </w:t>
      </w:r>
      <w:r w:rsidR="0085370B">
        <w:rPr>
          <w:b/>
          <w:szCs w:val="22"/>
        </w:rPr>
        <w:t xml:space="preserve">základných a </w:t>
      </w:r>
      <w:r w:rsidR="00FC78C5" w:rsidRPr="00063BDB">
        <w:rPr>
          <w:b/>
          <w:szCs w:val="22"/>
        </w:rPr>
        <w:t>stredných škôl</w:t>
      </w:r>
      <w:r w:rsidR="00A128D4">
        <w:rPr>
          <w:b/>
          <w:szCs w:val="22"/>
        </w:rPr>
        <w:t xml:space="preserve"> </w:t>
      </w:r>
      <w:r w:rsidR="00A128D4">
        <w:rPr>
          <w:rFonts w:eastAsia="Times New Roman" w:cs="Times New Roman"/>
          <w:b/>
          <w:color w:val="000000"/>
          <w:szCs w:val="22"/>
          <w:lang w:eastAsia="sk-SK"/>
        </w:rPr>
        <w:t xml:space="preserve">(potenciál </w:t>
      </w:r>
      <w:r w:rsidR="00D05492">
        <w:rPr>
          <w:rFonts w:eastAsia="Times New Roman" w:cs="Times New Roman"/>
          <w:b/>
          <w:color w:val="000000"/>
          <w:szCs w:val="22"/>
          <w:lang w:eastAsia="sk-SK"/>
        </w:rPr>
        <w:t>0,6</w:t>
      </w:r>
      <w:r w:rsidR="0048648C">
        <w:rPr>
          <w:rFonts w:eastAsia="Times New Roman" w:cs="Times New Roman"/>
          <w:b/>
          <w:color w:val="000000"/>
          <w:szCs w:val="22"/>
          <w:lang w:eastAsia="sk-SK"/>
        </w:rPr>
        <w:t xml:space="preserve"> milióna</w:t>
      </w:r>
      <w:r w:rsidR="00A128D4">
        <w:rPr>
          <w:rFonts w:eastAsia="Times New Roman" w:cs="Times New Roman"/>
          <w:b/>
          <w:color w:val="000000"/>
          <w:szCs w:val="22"/>
          <w:lang w:eastAsia="sk-SK"/>
        </w:rPr>
        <w:t xml:space="preserve"> eur)</w:t>
      </w:r>
      <w:r w:rsidR="00FC78C5" w:rsidRPr="00063BDB">
        <w:rPr>
          <w:b/>
          <w:szCs w:val="22"/>
        </w:rPr>
        <w:t xml:space="preserve">. </w:t>
      </w:r>
      <w:r w:rsidR="0085370B">
        <w:rPr>
          <w:szCs w:val="22"/>
        </w:rPr>
        <w:t xml:space="preserve">Od roku 2015 je na debarierizáciu základných a stredných škôl pravidelne vyčleňovaných </w:t>
      </w:r>
      <w:r w:rsidR="006F4D37">
        <w:rPr>
          <w:szCs w:val="22"/>
        </w:rPr>
        <w:t>3</w:t>
      </w:r>
      <w:r w:rsidR="0085370B">
        <w:rPr>
          <w:szCs w:val="22"/>
        </w:rPr>
        <w:t xml:space="preserve">00 tisíc eur. O prostriedky sa v súčasnosti môžu uchádzať len školy, ktoré už vzdelávajú žiakov so </w:t>
      </w:r>
      <w:r w:rsidR="0048648C">
        <w:rPr>
          <w:szCs w:val="22"/>
        </w:rPr>
        <w:t xml:space="preserve">zdravotným znevýhodnením (podkapitola </w:t>
      </w:r>
      <w:r w:rsidR="0048648C">
        <w:rPr>
          <w:szCs w:val="22"/>
        </w:rPr>
        <w:fldChar w:fldCharType="begin"/>
      </w:r>
      <w:r w:rsidR="0048648C">
        <w:rPr>
          <w:szCs w:val="22"/>
        </w:rPr>
        <w:instrText xml:space="preserve"> REF _Ref25743147 \r \h </w:instrText>
      </w:r>
      <w:r w:rsidR="0048648C">
        <w:rPr>
          <w:szCs w:val="22"/>
        </w:rPr>
      </w:r>
      <w:r w:rsidR="0048648C">
        <w:rPr>
          <w:szCs w:val="22"/>
        </w:rPr>
        <w:fldChar w:fldCharType="separate"/>
      </w:r>
      <w:r w:rsidR="00FA29AF">
        <w:rPr>
          <w:szCs w:val="22"/>
        </w:rPr>
        <w:t>6.2</w:t>
      </w:r>
      <w:r w:rsidR="0048648C">
        <w:rPr>
          <w:szCs w:val="22"/>
        </w:rPr>
        <w:fldChar w:fldCharType="end"/>
      </w:r>
      <w:r w:rsidR="0048648C">
        <w:rPr>
          <w:szCs w:val="22"/>
        </w:rPr>
        <w:t>)</w:t>
      </w:r>
      <w:r w:rsidR="0085370B">
        <w:rPr>
          <w:szCs w:val="22"/>
        </w:rPr>
        <w:t xml:space="preserve">. S cieľom zvyšovať prístupnosť všetkých škôl by malo byť umožnené uchádzať sa o prostriedky všetkým školám </w:t>
      </w:r>
      <w:r w:rsidR="0066579E">
        <w:rPr>
          <w:szCs w:val="22"/>
        </w:rPr>
        <w:t>(nefinančné opatrenie 1</w:t>
      </w:r>
      <w:r w:rsidR="00FE350B">
        <w:rPr>
          <w:szCs w:val="22"/>
        </w:rPr>
        <w:t>5</w:t>
      </w:r>
      <w:r w:rsidR="0085370B">
        <w:rPr>
          <w:szCs w:val="22"/>
        </w:rPr>
        <w:t xml:space="preserve">). Bude preto nevyhnutné navýšiť objem zdrojov pre základné </w:t>
      </w:r>
      <w:r w:rsidR="00EC7B8C">
        <w:rPr>
          <w:szCs w:val="22"/>
        </w:rPr>
        <w:t>školy (z </w:t>
      </w:r>
      <w:r w:rsidR="006F4D37">
        <w:rPr>
          <w:szCs w:val="22"/>
        </w:rPr>
        <w:t>300 tisíc na 600 tisíc eur) a vytvoriť samostatný rozvojový projekt pre stredné školy (300 tisíc eur)</w:t>
      </w:r>
      <w:r w:rsidR="0085370B">
        <w:rPr>
          <w:szCs w:val="22"/>
        </w:rPr>
        <w:t>.</w:t>
      </w:r>
    </w:p>
    <w:p w14:paraId="6D5CA405" w14:textId="643386DE" w:rsidR="00120841" w:rsidRPr="004C1D86" w:rsidRDefault="00BA7250" w:rsidP="00046111">
      <w:pPr>
        <w:rPr>
          <w:szCs w:val="22"/>
        </w:rPr>
      </w:pPr>
      <w:r>
        <w:rPr>
          <w:b/>
          <w:szCs w:val="22"/>
        </w:rPr>
        <w:t>11</w:t>
      </w:r>
      <w:r w:rsidR="00FC78C5">
        <w:rPr>
          <w:b/>
          <w:szCs w:val="22"/>
        </w:rPr>
        <w:t xml:space="preserve">. Opatrenie: </w:t>
      </w:r>
      <w:r w:rsidR="00120841">
        <w:rPr>
          <w:b/>
          <w:szCs w:val="22"/>
        </w:rPr>
        <w:t>Pilotne overiť úpravu školských obvodov na desegregačnom princípe</w:t>
      </w:r>
      <w:r w:rsidR="00A128D4">
        <w:rPr>
          <w:b/>
          <w:szCs w:val="22"/>
        </w:rPr>
        <w:t xml:space="preserve"> </w:t>
      </w:r>
      <w:r w:rsidR="00A128D4">
        <w:rPr>
          <w:rFonts w:eastAsia="Times New Roman" w:cs="Times New Roman"/>
          <w:b/>
          <w:color w:val="000000"/>
          <w:szCs w:val="22"/>
          <w:lang w:eastAsia="sk-SK"/>
        </w:rPr>
        <w:t xml:space="preserve">(potenciál </w:t>
      </w:r>
      <w:r w:rsidR="00D05492">
        <w:rPr>
          <w:rFonts w:eastAsia="Times New Roman" w:cs="Times New Roman"/>
          <w:b/>
          <w:color w:val="000000"/>
          <w:szCs w:val="22"/>
          <w:lang w:eastAsia="sk-SK"/>
        </w:rPr>
        <w:t>0,8</w:t>
      </w:r>
      <w:r w:rsidR="00064F13">
        <w:rPr>
          <w:rFonts w:eastAsia="Times New Roman" w:cs="Times New Roman"/>
          <w:b/>
          <w:color w:val="000000"/>
          <w:szCs w:val="22"/>
          <w:lang w:eastAsia="sk-SK"/>
        </w:rPr>
        <w:t xml:space="preserve"> milióna</w:t>
      </w:r>
      <w:r w:rsidR="00A128D4">
        <w:rPr>
          <w:rFonts w:eastAsia="Times New Roman" w:cs="Times New Roman"/>
          <w:b/>
          <w:color w:val="000000"/>
          <w:szCs w:val="22"/>
          <w:lang w:eastAsia="sk-SK"/>
        </w:rPr>
        <w:t xml:space="preserve"> eur)</w:t>
      </w:r>
      <w:r w:rsidR="00FC78C5">
        <w:rPr>
          <w:b/>
          <w:szCs w:val="22"/>
        </w:rPr>
        <w:t xml:space="preserve">. </w:t>
      </w:r>
      <w:r w:rsidR="00FC78C5" w:rsidRPr="009E4FFA">
        <w:t xml:space="preserve">V rámci vytvárania školských obvodov </w:t>
      </w:r>
      <w:r w:rsidR="00FC78C5" w:rsidRPr="009E4FFA">
        <w:rPr>
          <w:szCs w:val="22"/>
        </w:rPr>
        <w:t xml:space="preserve">dochádza k prípadom, kedy v dôsledku toho, ako je školský obvod </w:t>
      </w:r>
      <w:r w:rsidR="00FC78C5">
        <w:rPr>
          <w:szCs w:val="22"/>
        </w:rPr>
        <w:t>vymedzený</w:t>
      </w:r>
      <w:r w:rsidR="00FC78C5" w:rsidRPr="009E4FFA">
        <w:rPr>
          <w:szCs w:val="22"/>
        </w:rPr>
        <w:t xml:space="preserve">, sú žiaci z MRK koncentrovaní na jednej škole bez ohľadu na vzdialenosť od iných dostupných škôl a bez ohľadu na voľné kapacity iných škôl. </w:t>
      </w:r>
      <w:r w:rsidR="00FC78C5" w:rsidRPr="009E4FFA">
        <w:t>Takýto stav je nežiaduci, pretože sociálno-ekonomické a etnické zloženie tried a škôl patrí medzi najdôležitejšie premenné vysvetľujúce systematicky nízko dosahované vzdelávacie výsledky a</w:t>
      </w:r>
      <w:r w:rsidR="00B508C8">
        <w:t> </w:t>
      </w:r>
      <w:r w:rsidR="00FC78C5" w:rsidRPr="005D6947">
        <w:t>výstupy</w:t>
      </w:r>
      <w:r w:rsidR="00B508C8">
        <w:t xml:space="preserve"> (podkapitola </w:t>
      </w:r>
      <w:r w:rsidR="00B508C8">
        <w:fldChar w:fldCharType="begin"/>
      </w:r>
      <w:r w:rsidR="00B508C8">
        <w:instrText xml:space="preserve"> REF _Ref25652405 \r \h </w:instrText>
      </w:r>
      <w:r w:rsidR="00B508C8">
        <w:fldChar w:fldCharType="separate"/>
      </w:r>
      <w:r w:rsidR="00FA29AF">
        <w:t>5.2</w:t>
      </w:r>
      <w:r w:rsidR="00B508C8">
        <w:fldChar w:fldCharType="end"/>
      </w:r>
      <w:r w:rsidR="00B508C8">
        <w:t>)</w:t>
      </w:r>
      <w:r w:rsidR="00FC78C5" w:rsidRPr="005D6947">
        <w:t>.</w:t>
      </w:r>
      <w:r w:rsidR="004C6AED" w:rsidRPr="00040CE3">
        <w:rPr>
          <w:szCs w:val="22"/>
        </w:rPr>
        <w:t xml:space="preserve"> </w:t>
      </w:r>
      <w:r w:rsidR="00040CE3" w:rsidRPr="00452DBC">
        <w:rPr>
          <w:rFonts w:eastAsia="Times New Roman" w:cs="Times New Roman"/>
          <w:color w:val="000000"/>
          <w:szCs w:val="22"/>
          <w:lang w:eastAsia="sk-SK"/>
        </w:rPr>
        <w:t xml:space="preserve">Cieľom pilotu je otestovať dobrovoľnú zmenu školských obvodov </w:t>
      </w:r>
      <w:r w:rsidR="00040CE3">
        <w:rPr>
          <w:rFonts w:eastAsia="Times New Roman" w:cs="Times New Roman"/>
          <w:color w:val="000000"/>
          <w:szCs w:val="22"/>
          <w:lang w:eastAsia="sk-SK"/>
        </w:rPr>
        <w:t xml:space="preserve">v jednej väčšej obci alebo menšom meste </w:t>
      </w:r>
      <w:r w:rsidR="00040CE3" w:rsidRPr="00452DBC">
        <w:rPr>
          <w:rFonts w:eastAsia="Times New Roman" w:cs="Times New Roman"/>
          <w:color w:val="000000"/>
          <w:szCs w:val="22"/>
          <w:lang w:eastAsia="sk-SK"/>
        </w:rPr>
        <w:t xml:space="preserve">tak, aby </w:t>
      </w:r>
      <w:r w:rsidR="00EC7B8C">
        <w:rPr>
          <w:rFonts w:eastAsia="Times New Roman" w:cs="Times New Roman"/>
          <w:color w:val="000000"/>
          <w:szCs w:val="22"/>
          <w:lang w:eastAsia="sk-SK"/>
        </w:rPr>
        <w:t>postupom času došlo k prerozdele</w:t>
      </w:r>
      <w:r w:rsidR="00040CE3">
        <w:rPr>
          <w:rFonts w:eastAsia="Times New Roman" w:cs="Times New Roman"/>
          <w:color w:val="000000"/>
          <w:szCs w:val="22"/>
          <w:lang w:eastAsia="sk-SK"/>
        </w:rPr>
        <w:t xml:space="preserve">niu žiakov </w:t>
      </w:r>
      <w:r w:rsidR="00040CE3" w:rsidRPr="00452DBC">
        <w:rPr>
          <w:rFonts w:eastAsia="Times New Roman" w:cs="Times New Roman"/>
          <w:color w:val="000000"/>
          <w:szCs w:val="22"/>
          <w:lang w:eastAsia="sk-SK"/>
        </w:rPr>
        <w:t xml:space="preserve">zo </w:t>
      </w:r>
      <w:r w:rsidR="00040CE3">
        <w:rPr>
          <w:rFonts w:eastAsia="Times New Roman" w:cs="Times New Roman"/>
          <w:color w:val="000000"/>
          <w:szCs w:val="22"/>
          <w:lang w:eastAsia="sk-SK"/>
        </w:rPr>
        <w:t>sociálne znevýhodneného prostredia</w:t>
      </w:r>
      <w:r w:rsidR="00040CE3" w:rsidRPr="00452DBC">
        <w:rPr>
          <w:rFonts w:eastAsia="Times New Roman" w:cs="Times New Roman"/>
          <w:color w:val="000000"/>
          <w:szCs w:val="22"/>
          <w:lang w:eastAsia="sk-SK"/>
        </w:rPr>
        <w:t xml:space="preserve"> </w:t>
      </w:r>
      <w:r w:rsidR="00040CE3">
        <w:rPr>
          <w:rFonts w:eastAsia="Times New Roman" w:cs="Times New Roman"/>
          <w:color w:val="000000"/>
          <w:szCs w:val="22"/>
          <w:lang w:eastAsia="sk-SK"/>
        </w:rPr>
        <w:t xml:space="preserve">zo škôl, kde boli pred tým koncentrovaní do škôl kde mali nízke zastúpenie. </w:t>
      </w:r>
      <w:r w:rsidR="004C6AED" w:rsidRPr="005D6947">
        <w:rPr>
          <w:szCs w:val="22"/>
        </w:rPr>
        <w:t>Opatrenie</w:t>
      </w:r>
      <w:r w:rsidR="004C6AED">
        <w:rPr>
          <w:szCs w:val="22"/>
        </w:rPr>
        <w:t xml:space="preserve"> </w:t>
      </w:r>
      <w:r w:rsidR="004C6AED" w:rsidRPr="00466D4A">
        <w:rPr>
          <w:szCs w:val="22"/>
        </w:rPr>
        <w:t>okrem iného</w:t>
      </w:r>
      <w:r w:rsidR="004C6AED">
        <w:rPr>
          <w:szCs w:val="22"/>
        </w:rPr>
        <w:t xml:space="preserve"> predpokladá </w:t>
      </w:r>
      <w:r w:rsidR="00120841" w:rsidRPr="00D41517">
        <w:rPr>
          <w:szCs w:val="22"/>
        </w:rPr>
        <w:t xml:space="preserve">vytvorenie </w:t>
      </w:r>
      <w:r w:rsidR="00120841" w:rsidRPr="009C52A8">
        <w:t xml:space="preserve">metodického materiálu o tvorbe školských obvodov na desegregačnom princípe (dáta a metodika opatrenie </w:t>
      </w:r>
      <w:r w:rsidR="00FE350B">
        <w:t>8</w:t>
      </w:r>
      <w:r w:rsidR="00120841" w:rsidRPr="009C52A8">
        <w:t>).</w:t>
      </w:r>
    </w:p>
    <w:p w14:paraId="32E8AE84" w14:textId="0F3F6D81" w:rsidR="00916DE2" w:rsidRDefault="00916DE2" w:rsidP="00046111">
      <w:r>
        <w:rPr>
          <w:rFonts w:eastAsia="Times New Roman" w:cs="Times New Roman"/>
          <w:b/>
          <w:color w:val="000000"/>
          <w:lang w:eastAsia="sk-SK"/>
        </w:rPr>
        <w:t>1</w:t>
      </w:r>
      <w:r w:rsidR="00BA7250">
        <w:rPr>
          <w:rFonts w:eastAsia="Times New Roman" w:cs="Times New Roman"/>
          <w:b/>
          <w:color w:val="000000"/>
          <w:lang w:eastAsia="sk-SK"/>
        </w:rPr>
        <w:t>2</w:t>
      </w:r>
      <w:r>
        <w:rPr>
          <w:rFonts w:eastAsia="Times New Roman" w:cs="Times New Roman"/>
          <w:b/>
          <w:color w:val="000000"/>
          <w:lang w:eastAsia="sk-SK"/>
        </w:rPr>
        <w:t xml:space="preserve">. Opatrenie: </w:t>
      </w:r>
      <w:r w:rsidR="00487460">
        <w:rPr>
          <w:rFonts w:eastAsia="Times New Roman" w:cs="Times New Roman"/>
          <w:b/>
          <w:color w:val="000000"/>
          <w:lang w:eastAsia="sk-SK"/>
        </w:rPr>
        <w:t>Podporiť presun žiakov zo špeciálneho do bežného prúdu</w:t>
      </w:r>
      <w:r w:rsidR="00D05492">
        <w:rPr>
          <w:rFonts w:eastAsia="Times New Roman" w:cs="Times New Roman"/>
          <w:b/>
          <w:color w:val="000000"/>
          <w:lang w:eastAsia="sk-SK"/>
        </w:rPr>
        <w:t xml:space="preserve"> </w:t>
      </w:r>
      <w:r w:rsidR="00A128D4">
        <w:rPr>
          <w:rFonts w:eastAsia="Times New Roman" w:cs="Times New Roman"/>
          <w:b/>
          <w:color w:val="000000"/>
          <w:szCs w:val="22"/>
          <w:lang w:eastAsia="sk-SK"/>
        </w:rPr>
        <w:t xml:space="preserve">(potenciál </w:t>
      </w:r>
      <w:r w:rsidR="00D05492">
        <w:rPr>
          <w:rFonts w:eastAsia="Times New Roman" w:cs="Times New Roman"/>
          <w:b/>
          <w:color w:val="000000"/>
          <w:szCs w:val="22"/>
          <w:lang w:eastAsia="sk-SK"/>
        </w:rPr>
        <w:t>1,8</w:t>
      </w:r>
      <w:r w:rsidR="00064F13">
        <w:rPr>
          <w:rFonts w:eastAsia="Times New Roman" w:cs="Times New Roman"/>
          <w:b/>
          <w:color w:val="000000"/>
          <w:szCs w:val="22"/>
          <w:lang w:eastAsia="sk-SK"/>
        </w:rPr>
        <w:t xml:space="preserve"> milióna</w:t>
      </w:r>
      <w:r w:rsidR="00A128D4">
        <w:rPr>
          <w:rFonts w:eastAsia="Times New Roman" w:cs="Times New Roman"/>
          <w:b/>
          <w:color w:val="000000"/>
          <w:szCs w:val="22"/>
          <w:lang w:eastAsia="sk-SK"/>
        </w:rPr>
        <w:t xml:space="preserve"> eur)</w:t>
      </w:r>
      <w:r>
        <w:rPr>
          <w:rFonts w:eastAsia="Times New Roman" w:cs="Times New Roman"/>
          <w:b/>
          <w:color w:val="000000"/>
          <w:lang w:eastAsia="sk-SK"/>
        </w:rPr>
        <w:t xml:space="preserve">. </w:t>
      </w:r>
      <w:r>
        <w:t>Žiaci zo sociálne znevýhodneného prostredia sú nadmerne zastúpení v špeciálnom školstve, najmä kvôli diagnostike ľahkého</w:t>
      </w:r>
      <w:r w:rsidR="004E765B">
        <w:t xml:space="preserve"> mentálneho postihnutia. To naz</w:t>
      </w:r>
      <w:r>
        <w:t>n</w:t>
      </w:r>
      <w:r w:rsidR="004E765B">
        <w:t>a</w:t>
      </w:r>
      <w:r>
        <w:t>čuje</w:t>
      </w:r>
      <w:r>
        <w:rPr>
          <w:bCs/>
          <w:szCs w:val="22"/>
        </w:rPr>
        <w:t xml:space="preserve"> </w:t>
      </w:r>
      <w:r w:rsidRPr="00AF3394">
        <w:rPr>
          <w:bCs/>
          <w:szCs w:val="22"/>
        </w:rPr>
        <w:t>nedostatky v používaní diagnostických nástrojov ako aj v procese diagnostiky</w:t>
      </w:r>
      <w:r w:rsidR="004B0142">
        <w:rPr>
          <w:bCs/>
          <w:szCs w:val="22"/>
        </w:rPr>
        <w:t xml:space="preserve"> (podkapitola </w:t>
      </w:r>
      <w:r w:rsidR="004B0142">
        <w:rPr>
          <w:bCs/>
          <w:szCs w:val="22"/>
        </w:rPr>
        <w:fldChar w:fldCharType="begin"/>
      </w:r>
      <w:r w:rsidR="004B0142">
        <w:rPr>
          <w:bCs/>
          <w:szCs w:val="22"/>
        </w:rPr>
        <w:instrText xml:space="preserve"> REF _Ref25652405 \r \h </w:instrText>
      </w:r>
      <w:r w:rsidR="004B0142">
        <w:rPr>
          <w:bCs/>
          <w:szCs w:val="22"/>
        </w:rPr>
      </w:r>
      <w:r w:rsidR="004B0142">
        <w:rPr>
          <w:bCs/>
          <w:szCs w:val="22"/>
        </w:rPr>
        <w:fldChar w:fldCharType="separate"/>
      </w:r>
      <w:r w:rsidR="00FA29AF">
        <w:rPr>
          <w:bCs/>
          <w:szCs w:val="22"/>
        </w:rPr>
        <w:t>5.2</w:t>
      </w:r>
      <w:r w:rsidR="004B0142">
        <w:rPr>
          <w:bCs/>
          <w:szCs w:val="22"/>
        </w:rPr>
        <w:fldChar w:fldCharType="end"/>
      </w:r>
      <w:r w:rsidR="004B0142">
        <w:rPr>
          <w:bCs/>
          <w:szCs w:val="22"/>
        </w:rPr>
        <w:t>)</w:t>
      </w:r>
      <w:r w:rsidRPr="00AF3394">
        <w:rPr>
          <w:bCs/>
          <w:szCs w:val="22"/>
        </w:rPr>
        <w:t>.</w:t>
      </w:r>
      <w:r w:rsidR="00B508C8">
        <w:t xml:space="preserve"> </w:t>
      </w:r>
      <w:r w:rsidRPr="00C6635D">
        <w:t xml:space="preserve">Súčasťou posilňovania inkluzívneho modelu vzdelávania je okrem </w:t>
      </w:r>
      <w:r w:rsidRPr="00916DE2">
        <w:t xml:space="preserve">iného aj </w:t>
      </w:r>
      <w:r w:rsidRPr="00D41517">
        <w:rPr>
          <w:rFonts w:eastAsia="Times New Roman" w:cs="Times New Roman"/>
          <w:color w:val="000000"/>
          <w:lang w:eastAsia="sk-SK"/>
        </w:rPr>
        <w:t xml:space="preserve">zníženie celkového podielu žiakov so </w:t>
      </w:r>
      <w:r w:rsidR="00B508C8">
        <w:rPr>
          <w:rFonts w:eastAsia="Times New Roman" w:cs="Times New Roman"/>
          <w:color w:val="000000"/>
          <w:lang w:eastAsia="sk-SK"/>
        </w:rPr>
        <w:t>zdravotným znevýhodnením</w:t>
      </w:r>
      <w:r w:rsidRPr="00D41517">
        <w:rPr>
          <w:rFonts w:eastAsia="Times New Roman" w:cs="Times New Roman"/>
          <w:color w:val="000000"/>
          <w:lang w:eastAsia="sk-SK"/>
        </w:rPr>
        <w:t xml:space="preserve"> v špeciálnom prúde</w:t>
      </w:r>
      <w:r w:rsidRPr="00916DE2">
        <w:t xml:space="preserve">. </w:t>
      </w:r>
      <w:r>
        <w:t>V súčasnosti najkomplikovan</w:t>
      </w:r>
      <w:r w:rsidR="00B508C8">
        <w:t>e</w:t>
      </w:r>
      <w:r>
        <w:t xml:space="preserve">jším je prechod </w:t>
      </w:r>
      <w:r w:rsidR="00B508C8">
        <w:t xml:space="preserve">do bežného prúdu </w:t>
      </w:r>
      <w:r>
        <w:t xml:space="preserve">žiakov s mentálnym postihnutím, ktorí sa vzdelávajú podľa odlišného kurikula s nižšími obsahovými a výkonovými štandardmi. To </w:t>
      </w:r>
      <w:r w:rsidR="00B508C8">
        <w:t>z</w:t>
      </w:r>
      <w:r>
        <w:t xml:space="preserve">nemožňuje </w:t>
      </w:r>
      <w:r w:rsidR="00EC7B8C">
        <w:t>individualizáciu</w:t>
      </w:r>
      <w:r>
        <w:t xml:space="preserve"> ich vzdelávania, nemusí zodpovedať ich potenciálu a spôsobuje, že sú po prechode do bežného prúdu s učivom apriórne pozadu</w:t>
      </w:r>
      <w:r w:rsidR="004B0142">
        <w:t xml:space="preserve"> (podkapitola </w:t>
      </w:r>
      <w:r w:rsidR="004B0142">
        <w:fldChar w:fldCharType="begin"/>
      </w:r>
      <w:r w:rsidR="004B0142">
        <w:instrText xml:space="preserve"> REF _Ref25743147 \r \h </w:instrText>
      </w:r>
      <w:r w:rsidR="004B0142">
        <w:fldChar w:fldCharType="separate"/>
      </w:r>
      <w:r w:rsidR="00FA29AF">
        <w:t>6.2</w:t>
      </w:r>
      <w:r w:rsidR="004B0142">
        <w:fldChar w:fldCharType="end"/>
      </w:r>
      <w:r w:rsidR="004B0142">
        <w:t>)</w:t>
      </w:r>
      <w:r>
        <w:t>.</w:t>
      </w:r>
    </w:p>
    <w:p w14:paraId="72E37E07" w14:textId="7BB4E000" w:rsidR="00916DE2" w:rsidRDefault="00916DE2" w:rsidP="00046111">
      <w:r>
        <w:t>Opatrenie zahŕňa:</w:t>
      </w:r>
    </w:p>
    <w:p w14:paraId="268D31E0" w14:textId="2908EE74" w:rsidR="00916DE2" w:rsidRPr="00D41517" w:rsidRDefault="00916DE2" w:rsidP="00046111">
      <w:pPr>
        <w:pStyle w:val="Odsekzoznamu"/>
        <w:numPr>
          <w:ilvl w:val="0"/>
          <w:numId w:val="52"/>
        </w:numPr>
      </w:pPr>
      <w:r w:rsidRPr="004C1D86">
        <w:rPr>
          <w:szCs w:val="22"/>
        </w:rPr>
        <w:t xml:space="preserve">Povinnú každoročnú rediagnostiku žiakov s ľahkým mentálnym postihnutím na prvom stupni bežných </w:t>
      </w:r>
      <w:r w:rsidR="00F16AF6" w:rsidRPr="00D41517">
        <w:rPr>
          <w:szCs w:val="22"/>
        </w:rPr>
        <w:t>a špeciá</w:t>
      </w:r>
      <w:r w:rsidRPr="00D41517">
        <w:rPr>
          <w:szCs w:val="22"/>
        </w:rPr>
        <w:t>lnych základných škôl v hodnote 100 tisíc eur ročne.</w:t>
      </w:r>
    </w:p>
    <w:p w14:paraId="675E4E48" w14:textId="75CE096A" w:rsidR="00916DE2" w:rsidRPr="00D41517" w:rsidRDefault="00916DE2" w:rsidP="00046111">
      <w:pPr>
        <w:pStyle w:val="Odsekzoznamu"/>
        <w:numPr>
          <w:ilvl w:val="0"/>
          <w:numId w:val="52"/>
        </w:numPr>
      </w:pPr>
      <w:r w:rsidRPr="00D41517">
        <w:rPr>
          <w:szCs w:val="22"/>
        </w:rPr>
        <w:t xml:space="preserve">Pilotný projekt transformácie špeciálnej základnej školy na bežnú základnú školu alebo zdrojové centrum v hodnote 500 tisíc eur. </w:t>
      </w:r>
      <w:r w:rsidR="00B508C8">
        <w:t>Ú</w:t>
      </w:r>
      <w:r w:rsidR="00B508C8" w:rsidRPr="00C6635D">
        <w:t xml:space="preserve">lohou </w:t>
      </w:r>
      <w:r w:rsidR="00B508C8">
        <w:t xml:space="preserve">zdrojového centra </w:t>
      </w:r>
      <w:r w:rsidR="00B508C8" w:rsidRPr="00C6635D">
        <w:t xml:space="preserve">by mala byť podpora bežných škôl </w:t>
      </w:r>
      <w:r w:rsidR="00B508C8">
        <w:t xml:space="preserve">pri </w:t>
      </w:r>
      <w:r w:rsidR="00B508C8" w:rsidRPr="00C6635D">
        <w:t xml:space="preserve">inklúzii žiakov so </w:t>
      </w:r>
      <w:r w:rsidR="00B508C8">
        <w:t xml:space="preserve">zdravotným znevýhodnením v bežných triedach </w:t>
      </w:r>
      <w:r w:rsidR="00B508C8" w:rsidRPr="00C6635D">
        <w:t>(tvorba a distribúcia materiálov a metodík, podpora</w:t>
      </w:r>
      <w:r w:rsidR="00B508C8" w:rsidRPr="00B754FE">
        <w:t xml:space="preserve"> </w:t>
      </w:r>
      <w:r w:rsidR="00B508C8">
        <w:t xml:space="preserve">učiteľov, </w:t>
      </w:r>
      <w:r w:rsidR="00B508C8" w:rsidRPr="00B754FE">
        <w:t>rodičov</w:t>
      </w:r>
      <w:r w:rsidR="00B508C8">
        <w:t xml:space="preserve"> a </w:t>
      </w:r>
      <w:r w:rsidR="00B508C8" w:rsidRPr="00B754FE">
        <w:t>individuálna pomoc žiakom).</w:t>
      </w:r>
    </w:p>
    <w:p w14:paraId="08A21D38" w14:textId="27EE1A97" w:rsidR="00916DE2" w:rsidRDefault="00916DE2" w:rsidP="00046111">
      <w:pPr>
        <w:pStyle w:val="Odsekzoznamu"/>
        <w:numPr>
          <w:ilvl w:val="0"/>
          <w:numId w:val="52"/>
        </w:numPr>
      </w:pPr>
      <w:r w:rsidRPr="009C52A8">
        <w:t>Pilotný projekt zrušenia špeciálnych tried v</w:t>
      </w:r>
      <w:r>
        <w:t xml:space="preserve"> 16</w:t>
      </w:r>
      <w:r w:rsidRPr="009C52A8">
        <w:t xml:space="preserve"> základných školách</w:t>
      </w:r>
      <w:r>
        <w:t xml:space="preserve"> v hodnote 1,2 milióna eur</w:t>
      </w:r>
      <w:r w:rsidRPr="009C52A8">
        <w:t>.</w:t>
      </w:r>
    </w:p>
    <w:p w14:paraId="65025F73" w14:textId="21697D77" w:rsidR="00916DE2" w:rsidRDefault="00916DE2" w:rsidP="00046111">
      <w:pPr>
        <w:rPr>
          <w:bCs/>
          <w:szCs w:val="22"/>
        </w:rPr>
      </w:pPr>
      <w:r>
        <w:t>K znížen</w:t>
      </w:r>
      <w:r w:rsidR="004B0142">
        <w:t>i</w:t>
      </w:r>
      <w:r>
        <w:t xml:space="preserve">u podielu žiakov vzdelávaných v špeciálnom prúde </w:t>
      </w:r>
      <w:r w:rsidRPr="00CE0EFC">
        <w:t xml:space="preserve">prispeje tiež </w:t>
      </w:r>
      <w:r w:rsidR="00CE0EFC" w:rsidRPr="00D41517">
        <w:rPr>
          <w:szCs w:val="22"/>
        </w:rPr>
        <w:t>vypracovanie metodického materiálu o prechode žiakov zo špeciálnych do bežných š</w:t>
      </w:r>
      <w:r w:rsidR="00FE350B">
        <w:rPr>
          <w:szCs w:val="22"/>
        </w:rPr>
        <w:t>kôl (dáta a metodika opatrenie 7</w:t>
      </w:r>
      <w:r w:rsidR="00CE0EFC" w:rsidRPr="00D41517">
        <w:rPr>
          <w:szCs w:val="22"/>
        </w:rPr>
        <w:t>)</w:t>
      </w:r>
      <w:r w:rsidR="00CE0EFC" w:rsidRPr="00CE0EFC">
        <w:t xml:space="preserve"> a</w:t>
      </w:r>
      <w:r w:rsidR="002709F1">
        <w:t> zavedenie väčšieho dôrazu na </w:t>
      </w:r>
      <w:r w:rsidR="007227C7">
        <w:t>využívanie všeobecného</w:t>
      </w:r>
      <w:r w:rsidR="00083EDF">
        <w:t xml:space="preserve"> kurikula v prípade žiakov so zdravotným znevýhodnením</w:t>
      </w:r>
      <w:r w:rsidR="007227C7">
        <w:t xml:space="preserve"> </w:t>
      </w:r>
      <w:r w:rsidR="00CE0EFC" w:rsidRPr="00D41517">
        <w:rPr>
          <w:bCs/>
          <w:szCs w:val="22"/>
        </w:rPr>
        <w:t>(</w:t>
      </w:r>
      <w:r w:rsidR="00C91037">
        <w:rPr>
          <w:bCs/>
          <w:szCs w:val="22"/>
        </w:rPr>
        <w:t>nefinančné</w:t>
      </w:r>
      <w:r w:rsidR="00CE0EFC" w:rsidRPr="00D41517">
        <w:rPr>
          <w:bCs/>
          <w:szCs w:val="22"/>
        </w:rPr>
        <w:t xml:space="preserve"> opatrenie </w:t>
      </w:r>
      <w:r w:rsidR="00FE350B">
        <w:rPr>
          <w:bCs/>
          <w:szCs w:val="22"/>
        </w:rPr>
        <w:t>11</w:t>
      </w:r>
      <w:r w:rsidR="00CE0EFC" w:rsidRPr="00D41517">
        <w:rPr>
          <w:bCs/>
          <w:szCs w:val="22"/>
        </w:rPr>
        <w:t>).</w:t>
      </w:r>
    </w:p>
    <w:p w14:paraId="5A9238FC" w14:textId="5F639610" w:rsidR="004F1697" w:rsidRPr="00452DBC" w:rsidRDefault="004F1697" w:rsidP="00083EDF">
      <w:pPr>
        <w:spacing w:after="160"/>
        <w:jc w:val="left"/>
        <w:rPr>
          <w:bCs/>
          <w:color w:val="0070C0"/>
        </w:rPr>
      </w:pPr>
      <w:r w:rsidRPr="00231BE7">
        <w:rPr>
          <w:bCs/>
          <w:color w:val="0070C0"/>
        </w:rPr>
        <w:t>Politiky trhu práce a sociálne politiky</w:t>
      </w:r>
    </w:p>
    <w:p w14:paraId="1CC27859" w14:textId="628D84BF" w:rsidR="00FC78C5" w:rsidRPr="008B336A" w:rsidRDefault="00FC78C5" w:rsidP="00046111">
      <w:pPr>
        <w:spacing w:before="160"/>
        <w:rPr>
          <w:rFonts w:eastAsia="Times New Roman" w:cs="Times New Roman"/>
          <w:color w:val="000000"/>
          <w:lang w:eastAsia="sk-SK"/>
        </w:rPr>
      </w:pPr>
      <w:r>
        <w:rPr>
          <w:rFonts w:eastAsia="Times New Roman" w:cs="Times New Roman"/>
          <w:b/>
          <w:color w:val="000000"/>
          <w:lang w:eastAsia="sk-SK"/>
        </w:rPr>
        <w:t>13</w:t>
      </w:r>
      <w:r w:rsidRPr="00063BDB">
        <w:rPr>
          <w:rFonts w:eastAsia="Times New Roman" w:cs="Times New Roman"/>
          <w:b/>
          <w:color w:val="000000"/>
          <w:lang w:eastAsia="sk-SK"/>
        </w:rPr>
        <w:t xml:space="preserve">. </w:t>
      </w:r>
      <w:r w:rsidRPr="00356BE9">
        <w:rPr>
          <w:rFonts w:eastAsia="Times New Roman" w:cs="Times New Roman"/>
          <w:b/>
          <w:color w:val="000000"/>
          <w:szCs w:val="22"/>
          <w:lang w:eastAsia="sk-SK"/>
        </w:rPr>
        <w:t xml:space="preserve">Opatrenie: </w:t>
      </w:r>
      <w:r w:rsidR="000E7D20">
        <w:rPr>
          <w:rFonts w:eastAsia="Times New Roman" w:cs="Times New Roman"/>
          <w:b/>
          <w:color w:val="000000"/>
          <w:szCs w:val="22"/>
          <w:lang w:eastAsia="sk-SK"/>
        </w:rPr>
        <w:t xml:space="preserve">Zabezpečiť individuálnu prácu </w:t>
      </w:r>
      <w:r w:rsidR="00497BC0">
        <w:rPr>
          <w:rFonts w:eastAsia="Times New Roman" w:cs="Times New Roman"/>
          <w:b/>
          <w:color w:val="000000"/>
          <w:szCs w:val="22"/>
          <w:lang w:eastAsia="sk-SK"/>
        </w:rPr>
        <w:t>so znevýhodnenými skupinami na trhu práce</w:t>
      </w:r>
      <w:r w:rsidR="00D05492">
        <w:rPr>
          <w:rFonts w:eastAsia="Times New Roman" w:cs="Times New Roman"/>
          <w:b/>
          <w:color w:val="000000"/>
          <w:szCs w:val="22"/>
          <w:lang w:eastAsia="sk-SK"/>
        </w:rPr>
        <w:t xml:space="preserve"> (potenciál 3,3</w:t>
      </w:r>
      <w:r w:rsidR="003F3D91">
        <w:rPr>
          <w:rFonts w:eastAsia="Times New Roman" w:cs="Times New Roman"/>
          <w:b/>
          <w:color w:val="000000"/>
          <w:szCs w:val="22"/>
          <w:lang w:eastAsia="sk-SK"/>
        </w:rPr>
        <w:t> </w:t>
      </w:r>
      <w:r w:rsidR="00064F13">
        <w:rPr>
          <w:rFonts w:eastAsia="Times New Roman" w:cs="Times New Roman"/>
          <w:b/>
          <w:color w:val="000000"/>
          <w:szCs w:val="22"/>
          <w:lang w:eastAsia="sk-SK"/>
        </w:rPr>
        <w:t>milióny</w:t>
      </w:r>
      <w:r w:rsidR="00D05492">
        <w:rPr>
          <w:rFonts w:eastAsia="Times New Roman" w:cs="Times New Roman"/>
          <w:b/>
          <w:color w:val="000000"/>
          <w:szCs w:val="22"/>
          <w:lang w:eastAsia="sk-SK"/>
        </w:rPr>
        <w:t xml:space="preserve"> eur)</w:t>
      </w:r>
      <w:r w:rsidRPr="00356BE9">
        <w:rPr>
          <w:rFonts w:eastAsia="Times New Roman" w:cs="Times New Roman"/>
          <w:b/>
          <w:color w:val="000000"/>
          <w:szCs w:val="22"/>
          <w:lang w:eastAsia="sk-SK"/>
        </w:rPr>
        <w:t>.</w:t>
      </w:r>
      <w:r>
        <w:rPr>
          <w:rFonts w:eastAsia="Times New Roman" w:cs="Times New Roman"/>
          <w:b/>
          <w:color w:val="000000"/>
          <w:lang w:eastAsia="sk-SK"/>
        </w:rPr>
        <w:t xml:space="preserve"> </w:t>
      </w:r>
      <w:r w:rsidR="00943073" w:rsidRPr="008B336A">
        <w:t>Úrady práce nemajú dostatočné kapacity na individuálnu podporu ťažšie uplatniteľných uchádzačov o zamestnanie pri hľadaní a udržaní si vhodného zamestnania s oh</w:t>
      </w:r>
      <w:r w:rsidR="00943073">
        <w:t xml:space="preserve">ľadom na ich špecifické potreby (napr. </w:t>
      </w:r>
      <w:r w:rsidR="00943073">
        <w:rPr>
          <w:rFonts w:eastAsia="Arial Narrow" w:cs="Arial Narrow"/>
        </w:rPr>
        <w:t>odborné poradenstvo</w:t>
      </w:r>
      <w:r w:rsidR="00943073" w:rsidRPr="00CA2564">
        <w:rPr>
          <w:rFonts w:eastAsia="Arial Narrow" w:cs="Arial Narrow"/>
        </w:rPr>
        <w:t>, zisťovanie odborných schopností a zručností uchádzačov, príp</w:t>
      </w:r>
      <w:r w:rsidR="00943073">
        <w:rPr>
          <w:rFonts w:eastAsia="Arial Narrow" w:cs="Arial Narrow"/>
        </w:rPr>
        <w:t>rava</w:t>
      </w:r>
      <w:r w:rsidR="00943073" w:rsidRPr="00CA2564">
        <w:rPr>
          <w:rFonts w:eastAsia="Arial Narrow" w:cs="Arial Narrow"/>
        </w:rPr>
        <w:t xml:space="preserve"> na zamestnanie, sprostredkovanie vhodného zamestnania, poskytovanie odborného poradenstva zamestnávateľovi pri úprave pracovného miesta a pracovných podmienok pre potreby </w:t>
      </w:r>
      <w:r w:rsidR="00943073">
        <w:rPr>
          <w:rFonts w:eastAsia="Arial Narrow" w:cs="Arial Narrow"/>
        </w:rPr>
        <w:t>znevýhodnenej osoby</w:t>
      </w:r>
      <w:r w:rsidR="00943073" w:rsidRPr="00CA2564">
        <w:rPr>
          <w:rFonts w:eastAsia="Arial Narrow" w:cs="Arial Narrow"/>
        </w:rPr>
        <w:t xml:space="preserve"> a „mentoring“ či asistenciu </w:t>
      </w:r>
      <w:r w:rsidR="00943073" w:rsidRPr="00CA2564">
        <w:rPr>
          <w:rFonts w:eastAsia="Arial Narrow" w:cs="Arial Narrow"/>
        </w:rPr>
        <w:lastRenderedPageBreak/>
        <w:t>po</w:t>
      </w:r>
      <w:r w:rsidR="002709F1">
        <w:rPr>
          <w:rFonts w:eastAsia="Arial Narrow" w:cs="Arial Narrow"/>
        </w:rPr>
        <w:t> </w:t>
      </w:r>
      <w:r w:rsidR="00943073" w:rsidRPr="00CA2564">
        <w:rPr>
          <w:rFonts w:eastAsia="Arial Narrow" w:cs="Arial Narrow"/>
        </w:rPr>
        <w:t>nástupe</w:t>
      </w:r>
      <w:r w:rsidR="00943073">
        <w:rPr>
          <w:rFonts w:eastAsia="Arial Narrow" w:cs="Arial Narrow"/>
        </w:rPr>
        <w:t xml:space="preserve"> </w:t>
      </w:r>
      <w:r w:rsidR="00943073" w:rsidRPr="00CA2564">
        <w:rPr>
          <w:rFonts w:eastAsia="Arial Narrow" w:cs="Arial Narrow"/>
        </w:rPr>
        <w:t>do zamestnania</w:t>
      </w:r>
      <w:r w:rsidR="00943073">
        <w:rPr>
          <w:rFonts w:eastAsia="Arial Narrow" w:cs="Arial Narrow"/>
        </w:rPr>
        <w:t xml:space="preserve">). V niektorých krajinách je tento druh </w:t>
      </w:r>
      <w:r w:rsidR="00943073">
        <w:rPr>
          <w:rFonts w:eastAsia="Arial Narrow" w:cs="Times New Roman"/>
        </w:rPr>
        <w:t xml:space="preserve">individualizovaných verejných </w:t>
      </w:r>
      <w:r w:rsidR="00943073" w:rsidRPr="00063BDB">
        <w:rPr>
          <w:rFonts w:eastAsia="Arial Narrow" w:cs="Times New Roman"/>
        </w:rPr>
        <w:t xml:space="preserve">služieb zamestnanosti </w:t>
      </w:r>
      <w:r w:rsidR="00205CF8">
        <w:rPr>
          <w:rFonts w:eastAsia="Arial Narrow" w:cs="Arial Narrow"/>
        </w:rPr>
        <w:t>poskytovaný neštátny</w:t>
      </w:r>
      <w:r w:rsidR="00943073">
        <w:rPr>
          <w:rFonts w:eastAsia="Arial Narrow" w:cs="Arial Narrow"/>
        </w:rPr>
        <w:t>mi poskytovateľmi, čo pri správnom nastav</w:t>
      </w:r>
      <w:r w:rsidR="00A10DED">
        <w:rPr>
          <w:rFonts w:eastAsia="Arial Narrow" w:cs="Arial Narrow"/>
        </w:rPr>
        <w:t>e</w:t>
      </w:r>
      <w:r w:rsidR="00205CF8">
        <w:rPr>
          <w:rFonts w:eastAsia="Arial Narrow" w:cs="Arial Narrow"/>
        </w:rPr>
        <w:t>ní podmienok môže predstav</w:t>
      </w:r>
      <w:r w:rsidR="00943073">
        <w:rPr>
          <w:rFonts w:eastAsia="Arial Narrow" w:cs="Arial Narrow"/>
        </w:rPr>
        <w:t>ovať nákladovo efektívnu alter</w:t>
      </w:r>
      <w:r w:rsidR="00A10DED">
        <w:rPr>
          <w:rFonts w:eastAsia="Arial Narrow" w:cs="Arial Narrow"/>
        </w:rPr>
        <w:t>n</w:t>
      </w:r>
      <w:r w:rsidR="00943073">
        <w:rPr>
          <w:rFonts w:eastAsia="Arial Narrow" w:cs="Arial Narrow"/>
        </w:rPr>
        <w:t>atívu</w:t>
      </w:r>
      <w:r w:rsidR="00D81ABB">
        <w:rPr>
          <w:rFonts w:eastAsia="Arial Narrow" w:cs="Arial Narrow"/>
        </w:rPr>
        <w:t xml:space="preserve"> </w:t>
      </w:r>
      <w:r w:rsidRPr="00CA2564">
        <w:rPr>
          <w:rFonts w:eastAsia="Arial Narrow" w:cs="Arial Narrow"/>
        </w:rPr>
        <w:t xml:space="preserve">(podkapitola </w:t>
      </w:r>
      <w:r w:rsidR="00E8546B">
        <w:rPr>
          <w:rFonts w:eastAsia="Arial Narrow" w:cs="Arial Narrow"/>
        </w:rPr>
        <w:fldChar w:fldCharType="begin"/>
      </w:r>
      <w:r w:rsidR="00E8546B">
        <w:rPr>
          <w:rFonts w:eastAsia="Arial Narrow" w:cs="Arial Narrow"/>
        </w:rPr>
        <w:instrText xml:space="preserve"> REF _Ref25309580 \r \h </w:instrText>
      </w:r>
      <w:r w:rsidR="00E8546B">
        <w:rPr>
          <w:rFonts w:eastAsia="Arial Narrow" w:cs="Arial Narrow"/>
        </w:rPr>
      </w:r>
      <w:r w:rsidR="00E8546B">
        <w:rPr>
          <w:rFonts w:eastAsia="Arial Narrow" w:cs="Arial Narrow"/>
        </w:rPr>
        <w:fldChar w:fldCharType="separate"/>
      </w:r>
      <w:r w:rsidR="00FA29AF">
        <w:rPr>
          <w:rFonts w:eastAsia="Arial Narrow" w:cs="Arial Narrow"/>
        </w:rPr>
        <w:t>7.2</w:t>
      </w:r>
      <w:r w:rsidR="00E8546B">
        <w:rPr>
          <w:rFonts w:eastAsia="Arial Narrow" w:cs="Arial Narrow"/>
        </w:rPr>
        <w:fldChar w:fldCharType="end"/>
      </w:r>
      <w:r w:rsidRPr="00CA2564">
        <w:rPr>
          <w:rFonts w:eastAsia="Arial Narrow" w:cs="Arial Narrow"/>
        </w:rPr>
        <w:t>).</w:t>
      </w:r>
    </w:p>
    <w:p w14:paraId="2C6E57F3" w14:textId="511135EB" w:rsidR="00D81ABB" w:rsidRDefault="00943073" w:rsidP="00046111">
      <w:pPr>
        <w:spacing w:before="160"/>
        <w:rPr>
          <w:rFonts w:eastAsia="Arial Narrow" w:cs="Arial Narrow"/>
        </w:rPr>
      </w:pPr>
      <w:r>
        <w:rPr>
          <w:rFonts w:eastAsia="Arial Narrow" w:cs="Times New Roman"/>
        </w:rPr>
        <w:t>Opatrenie predpokladá</w:t>
      </w:r>
      <w:r w:rsidRPr="004C2392">
        <w:rPr>
          <w:rFonts w:eastAsia="Arial Narrow" w:cs="Times New Roman"/>
        </w:rPr>
        <w:t xml:space="preserve"> </w:t>
      </w:r>
      <w:r>
        <w:rPr>
          <w:rFonts w:eastAsia="Arial Narrow" w:cs="Times New Roman"/>
        </w:rPr>
        <w:t xml:space="preserve">intenzívnejšiu </w:t>
      </w:r>
      <w:r w:rsidRPr="004C2392">
        <w:rPr>
          <w:rFonts w:eastAsia="Arial Narrow" w:cs="Times New Roman"/>
        </w:rPr>
        <w:t>spoluprác</w:t>
      </w:r>
      <w:r w:rsidR="00A10DED">
        <w:rPr>
          <w:rFonts w:eastAsia="Arial Narrow" w:cs="Times New Roman"/>
        </w:rPr>
        <w:t>u</w:t>
      </w:r>
      <w:r w:rsidRPr="004C2392">
        <w:rPr>
          <w:rFonts w:eastAsia="Arial Narrow" w:cs="Times New Roman"/>
        </w:rPr>
        <w:t xml:space="preserve"> s neštátnymi službami zamestnanosti, resp. inými vybranými subjektmi zameranými na tento druh činností</w:t>
      </w:r>
      <w:r w:rsidRPr="00D41517">
        <w:rPr>
          <w:rFonts w:eastAsia="Arial Narrow" w:cs="Times New Roman"/>
          <w:b/>
        </w:rPr>
        <w:t xml:space="preserve"> </w:t>
      </w:r>
      <w:r>
        <w:rPr>
          <w:rFonts w:eastAsia="Arial Narrow" w:cs="Times New Roman"/>
        </w:rPr>
        <w:t>alebo posilnenie štátnych kapacít v tejto oblasti, prípadne kombináciu týchto prístupov. V oboch prípadoch je potrebné naviazať časť financovania na do</w:t>
      </w:r>
      <w:r w:rsidR="002709F1">
        <w:rPr>
          <w:rFonts w:eastAsia="Arial Narrow" w:cs="Times New Roman"/>
        </w:rPr>
        <w:t>siahnuté výsledky pri </w:t>
      </w:r>
      <w:r>
        <w:rPr>
          <w:rFonts w:eastAsia="Arial Narrow" w:cs="Times New Roman"/>
        </w:rPr>
        <w:t xml:space="preserve">umiestňovaní uchádzačov na trh práce. V prípade outsourcovania je potrebné nastaviť jasnú </w:t>
      </w:r>
      <w:r w:rsidRPr="00D41517">
        <w:rPr>
          <w:rFonts w:eastAsia="Arial Narrow" w:cs="Arial Narrow"/>
        </w:rPr>
        <w:t>spoluprác</w:t>
      </w:r>
      <w:r>
        <w:rPr>
          <w:rFonts w:eastAsia="Arial Narrow" w:cs="Arial Narrow"/>
        </w:rPr>
        <w:t>u</w:t>
      </w:r>
      <w:r w:rsidR="002709F1">
        <w:rPr>
          <w:rFonts w:eastAsia="Arial Narrow" w:cs="Arial Narrow"/>
        </w:rPr>
        <w:t xml:space="preserve"> s </w:t>
      </w:r>
      <w:r w:rsidRPr="00D41517">
        <w:rPr>
          <w:rFonts w:eastAsia="Arial Narrow" w:cs="Arial Narrow"/>
        </w:rPr>
        <w:t>úradmi práce, systematické a udržateľné financovanie a zber údajov o</w:t>
      </w:r>
      <w:r>
        <w:rPr>
          <w:rFonts w:eastAsia="Arial Narrow" w:cs="Arial Narrow"/>
        </w:rPr>
        <w:t> </w:t>
      </w:r>
      <w:r w:rsidRPr="00D41517">
        <w:rPr>
          <w:rFonts w:eastAsia="Arial Narrow" w:cs="Arial Narrow"/>
        </w:rPr>
        <w:t>činnosti</w:t>
      </w:r>
      <w:r>
        <w:rPr>
          <w:rFonts w:eastAsia="Arial Narrow" w:cs="Arial Narrow"/>
        </w:rPr>
        <w:t xml:space="preserve"> poskytovateľov</w:t>
      </w:r>
      <w:r w:rsidRPr="00D41517">
        <w:rPr>
          <w:rFonts w:eastAsia="Arial Narrow" w:cs="Arial Narrow"/>
        </w:rPr>
        <w:t xml:space="preserve">. </w:t>
      </w:r>
      <w:r w:rsidRPr="00583D91">
        <w:rPr>
          <w:rFonts w:eastAsia="Arial Narrow" w:cs="Arial Narrow"/>
        </w:rPr>
        <w:t>C</w:t>
      </w:r>
      <w:r w:rsidRPr="00AB28DA">
        <w:rPr>
          <w:rFonts w:eastAsia="Arial Narrow" w:cs="Arial Narrow"/>
        </w:rPr>
        <w:t xml:space="preserve">ieľom by malo byť, aby </w:t>
      </w:r>
      <w:r>
        <w:rPr>
          <w:rFonts w:eastAsia="Arial Narrow" w:cs="Arial Narrow"/>
        </w:rPr>
        <w:t>takýchto poskytovateľov</w:t>
      </w:r>
      <w:r w:rsidRPr="00AB28DA">
        <w:rPr>
          <w:rFonts w:eastAsia="Arial Narrow" w:cs="Arial Narrow"/>
        </w:rPr>
        <w:t xml:space="preserve"> bolo v územnom obvode každého úradu práce </w:t>
      </w:r>
      <w:r>
        <w:rPr>
          <w:rFonts w:eastAsia="Arial Narrow" w:cs="Arial Narrow"/>
        </w:rPr>
        <w:t>viacero</w:t>
      </w:r>
      <w:r w:rsidRPr="00AB28DA">
        <w:rPr>
          <w:rFonts w:eastAsia="Arial Narrow" w:cs="Arial Narrow"/>
        </w:rPr>
        <w:t xml:space="preserve"> s cieľom zabezpečiť </w:t>
      </w:r>
      <w:r>
        <w:rPr>
          <w:rFonts w:eastAsia="Arial Narrow" w:cs="Arial Narrow"/>
        </w:rPr>
        <w:t>konkurenčné prostredie a požadovanú kvalitu služieb</w:t>
      </w:r>
      <w:r w:rsidRPr="00AB28DA">
        <w:rPr>
          <w:rFonts w:eastAsia="Arial Narrow" w:cs="Arial Narrow"/>
        </w:rPr>
        <w:t xml:space="preserve">. Za predpokladu zavedenia systému profilácie uchádzačov o zamestnanie hneď pri zaradení do evidencie </w:t>
      </w:r>
      <w:r>
        <w:rPr>
          <w:rFonts w:eastAsia="Arial Narrow" w:cs="Arial Narrow"/>
        </w:rPr>
        <w:t xml:space="preserve">(analytické opatrenie 7) </w:t>
      </w:r>
      <w:r w:rsidRPr="00AB28DA">
        <w:rPr>
          <w:rFonts w:eastAsia="Arial Narrow" w:cs="Arial Narrow"/>
        </w:rPr>
        <w:t xml:space="preserve">môže byť odhadnuté riziko dlhodobej nezamestnanosti použité ako kritérium na smerovanie rizikových klientov </w:t>
      </w:r>
      <w:r>
        <w:rPr>
          <w:rFonts w:eastAsia="Arial Narrow" w:cs="Arial Narrow"/>
        </w:rPr>
        <w:t>do tohto druhu individualizovanej pomoci</w:t>
      </w:r>
      <w:r w:rsidRPr="00AB28DA">
        <w:rPr>
          <w:rFonts w:eastAsia="Arial Narrow" w:cs="Arial Narrow"/>
        </w:rPr>
        <w:t xml:space="preserve"> ako aj na nastavenie finančnej kompenzácie. </w:t>
      </w:r>
    </w:p>
    <w:p w14:paraId="50FF8181" w14:textId="4F33E575" w:rsidR="00FC78C5" w:rsidRDefault="00FC78C5" w:rsidP="00046111">
      <w:pPr>
        <w:spacing w:before="160"/>
      </w:pPr>
      <w:r>
        <w:rPr>
          <w:rFonts w:eastAsia="Times New Roman" w:cs="Times New Roman"/>
          <w:b/>
          <w:color w:val="000000"/>
          <w:lang w:eastAsia="sk-SK"/>
        </w:rPr>
        <w:t>14</w:t>
      </w:r>
      <w:r w:rsidRPr="00CA2564">
        <w:rPr>
          <w:rFonts w:eastAsia="Times New Roman" w:cs="Times New Roman"/>
          <w:b/>
          <w:color w:val="000000"/>
          <w:lang w:eastAsia="sk-SK"/>
        </w:rPr>
        <w:t xml:space="preserve">. Opatrenie: </w:t>
      </w:r>
      <w:r w:rsidR="00C70688">
        <w:rPr>
          <w:rFonts w:eastAsia="Times New Roman" w:cs="Times New Roman"/>
          <w:b/>
          <w:color w:val="000000"/>
          <w:lang w:eastAsia="sk-SK"/>
        </w:rPr>
        <w:t>Zabezpečiť debarierizáciu úradov práce</w:t>
      </w:r>
      <w:r w:rsidR="00D05492">
        <w:rPr>
          <w:rFonts w:eastAsia="Times New Roman" w:cs="Times New Roman"/>
          <w:b/>
          <w:color w:val="000000"/>
          <w:lang w:eastAsia="sk-SK"/>
        </w:rPr>
        <w:t xml:space="preserve"> </w:t>
      </w:r>
      <w:r w:rsidR="00D05492">
        <w:rPr>
          <w:rFonts w:eastAsia="Times New Roman" w:cs="Times New Roman"/>
          <w:b/>
          <w:color w:val="000000"/>
          <w:szCs w:val="22"/>
          <w:lang w:eastAsia="sk-SK"/>
        </w:rPr>
        <w:t>(potenciál 0,6</w:t>
      </w:r>
      <w:r w:rsidR="00064F13">
        <w:rPr>
          <w:rFonts w:eastAsia="Times New Roman" w:cs="Times New Roman"/>
          <w:b/>
          <w:color w:val="000000"/>
          <w:szCs w:val="22"/>
          <w:lang w:eastAsia="sk-SK"/>
        </w:rPr>
        <w:t xml:space="preserve"> milióna</w:t>
      </w:r>
      <w:r w:rsidR="00D05492">
        <w:rPr>
          <w:rFonts w:eastAsia="Times New Roman" w:cs="Times New Roman"/>
          <w:b/>
          <w:color w:val="000000"/>
          <w:szCs w:val="22"/>
          <w:lang w:eastAsia="sk-SK"/>
        </w:rPr>
        <w:t xml:space="preserve"> eur)</w:t>
      </w:r>
      <w:r w:rsidR="00C70688">
        <w:rPr>
          <w:rFonts w:eastAsia="Times New Roman" w:cs="Times New Roman"/>
          <w:b/>
          <w:color w:val="000000"/>
          <w:lang w:eastAsia="sk-SK"/>
        </w:rPr>
        <w:t xml:space="preserve">. </w:t>
      </w:r>
      <w:r w:rsidR="004D17CA">
        <w:t>Bariérové prostre</w:t>
      </w:r>
      <w:r w:rsidR="00205CF8">
        <w:t>d</w:t>
      </w:r>
      <w:r w:rsidR="002709F1">
        <w:t>ie na </w:t>
      </w:r>
      <w:r w:rsidR="004D17CA">
        <w:t xml:space="preserve">niektorých úradoch práce môže </w:t>
      </w:r>
      <w:r w:rsidRPr="00CA2564">
        <w:t>obmedzovať prístup k evidencii uchá</w:t>
      </w:r>
      <w:r w:rsidR="002709F1">
        <w:t>dzačov o zamestnanie pre ľudí s </w:t>
      </w:r>
      <w:r w:rsidRPr="00CA2564">
        <w:t xml:space="preserve">obmedzenou mobilitou (podkapitola </w:t>
      </w:r>
      <w:r w:rsidR="00E8546B">
        <w:fldChar w:fldCharType="begin"/>
      </w:r>
      <w:r w:rsidR="00E8546B">
        <w:instrText xml:space="preserve"> REF _Ref25309927 \r \h </w:instrText>
      </w:r>
      <w:r w:rsidR="00E8546B">
        <w:fldChar w:fldCharType="separate"/>
      </w:r>
      <w:r w:rsidR="00FA29AF">
        <w:t>7.2</w:t>
      </w:r>
      <w:r w:rsidR="00E8546B">
        <w:fldChar w:fldCharType="end"/>
      </w:r>
      <w:r w:rsidRPr="00CA2564">
        <w:t>).</w:t>
      </w:r>
    </w:p>
    <w:p w14:paraId="04931224" w14:textId="521ACD2B" w:rsidR="00FC78C5" w:rsidRDefault="00FC78C5" w:rsidP="00046111">
      <w:pPr>
        <w:spacing w:before="160"/>
      </w:pPr>
      <w:r>
        <w:rPr>
          <w:b/>
        </w:rPr>
        <w:t>15</w:t>
      </w:r>
      <w:r w:rsidRPr="00A40DE2">
        <w:rPr>
          <w:b/>
        </w:rPr>
        <w:t>. Opatrenie: Z</w:t>
      </w:r>
      <w:r w:rsidR="00623288">
        <w:rPr>
          <w:b/>
        </w:rPr>
        <w:t>výšiť a rozšíriť</w:t>
      </w:r>
      <w:r w:rsidRPr="00A40DE2">
        <w:rPr>
          <w:b/>
        </w:rPr>
        <w:t xml:space="preserve"> pomoc v hmotnej núdzi</w:t>
      </w:r>
      <w:r w:rsidR="00D05492">
        <w:rPr>
          <w:b/>
        </w:rPr>
        <w:t xml:space="preserve"> </w:t>
      </w:r>
      <w:r w:rsidR="00D05492">
        <w:rPr>
          <w:rFonts w:eastAsia="Times New Roman" w:cs="Times New Roman"/>
          <w:b/>
          <w:color w:val="000000"/>
          <w:szCs w:val="22"/>
          <w:lang w:eastAsia="sk-SK"/>
        </w:rPr>
        <w:t>(potenciál 22,8 miliónov eur)</w:t>
      </w:r>
      <w:r w:rsidRPr="00A40DE2">
        <w:rPr>
          <w:b/>
        </w:rPr>
        <w:t>.</w:t>
      </w:r>
      <w:r>
        <w:rPr>
          <w:b/>
        </w:rPr>
        <w:t xml:space="preserve"> </w:t>
      </w:r>
      <w:r w:rsidRPr="00CA2564">
        <w:t>Pomoc v hmotnej núdzi</w:t>
      </w:r>
      <w:r w:rsidR="00353647">
        <w:t xml:space="preserve"> (PHN)</w:t>
      </w:r>
      <w:r w:rsidRPr="00CA2564">
        <w:t xml:space="preserve"> je na Slovensku</w:t>
      </w:r>
      <w:r>
        <w:t xml:space="preserve"> v pomere k strednému príjmu v hospodárstve</w:t>
      </w:r>
      <w:r w:rsidRPr="00CA2564">
        <w:t xml:space="preserve"> podstatne </w:t>
      </w:r>
      <w:r>
        <w:t>nižšia</w:t>
      </w:r>
      <w:r w:rsidRPr="00CA2564">
        <w:t xml:space="preserve"> ako obdobná sociálna pomoc vo väčšine ostatných krajín EÚ</w:t>
      </w:r>
      <w:r w:rsidR="00064F13">
        <w:t xml:space="preserve"> (podkapitola </w:t>
      </w:r>
      <w:r w:rsidR="00064F13">
        <w:fldChar w:fldCharType="begin"/>
      </w:r>
      <w:r w:rsidR="00064F13">
        <w:instrText xml:space="preserve"> REF _Ref33184817 \r \h </w:instrText>
      </w:r>
      <w:r w:rsidR="00064F13">
        <w:fldChar w:fldCharType="separate"/>
      </w:r>
      <w:r w:rsidR="00FA29AF">
        <w:t>8.1</w:t>
      </w:r>
      <w:r w:rsidR="00064F13">
        <w:fldChar w:fldCharType="end"/>
      </w:r>
      <w:r w:rsidR="00064F13">
        <w:t xml:space="preserve">), čo okrem iného prispieva k situácii kedy </w:t>
      </w:r>
      <w:r w:rsidRPr="00CA2564">
        <w:t xml:space="preserve">chudobné deti žijú výrazne hlbšie pod hranicou rizika chudoby ako chudobné deti v EÚ aj ostatných krajinách V4 (podkapitola </w:t>
      </w:r>
      <w:r w:rsidR="00E8546B">
        <w:fldChar w:fldCharType="begin"/>
      </w:r>
      <w:r w:rsidR="00E8546B">
        <w:instrText xml:space="preserve"> REF _Ref25309947 \r \h </w:instrText>
      </w:r>
      <w:r w:rsidR="00E8546B">
        <w:fldChar w:fldCharType="separate"/>
      </w:r>
      <w:r w:rsidR="00FA29AF">
        <w:t>8.2</w:t>
      </w:r>
      <w:r w:rsidR="00E8546B">
        <w:fldChar w:fldCharType="end"/>
      </w:r>
      <w:r w:rsidRPr="00CA2564">
        <w:t>).</w:t>
      </w:r>
      <w:r w:rsidR="00064F13">
        <w:rPr>
          <w:bCs/>
        </w:rPr>
        <w:t xml:space="preserve"> </w:t>
      </w:r>
      <w:r>
        <w:rPr>
          <w:bCs/>
        </w:rPr>
        <w:t xml:space="preserve">Aktivačný príspevok v rámci </w:t>
      </w:r>
      <w:r w:rsidR="00064F13">
        <w:rPr>
          <w:bCs/>
        </w:rPr>
        <w:t>pomoci v hmotnej núdzi</w:t>
      </w:r>
      <w:r>
        <w:rPr>
          <w:bCs/>
        </w:rPr>
        <w:t xml:space="preserve"> sa a</w:t>
      </w:r>
      <w:r w:rsidRPr="00447A03">
        <w:rPr>
          <w:bCs/>
        </w:rPr>
        <w:t xml:space="preserve">ktuálne </w:t>
      </w:r>
      <w:r>
        <w:rPr>
          <w:bCs/>
        </w:rPr>
        <w:t xml:space="preserve">vypláca v rovnakej výške </w:t>
      </w:r>
      <w:r w:rsidR="002709F1">
        <w:rPr>
          <w:bCs/>
        </w:rPr>
        <w:t>z titulu účasti na </w:t>
      </w:r>
      <w:r w:rsidR="00064F13">
        <w:rPr>
          <w:bCs/>
        </w:rPr>
        <w:t xml:space="preserve">aktivačných prácach ako z titulu účasti na efektívnejších nástrojoch aktívnych opatrení trhu práce ako </w:t>
      </w:r>
      <w:r w:rsidR="00C626EA">
        <w:rPr>
          <w:bCs/>
        </w:rPr>
        <w:t xml:space="preserve">je </w:t>
      </w:r>
      <w:r w:rsidR="00064F13">
        <w:rPr>
          <w:bCs/>
        </w:rPr>
        <w:t>napríklad vzdelávanie (</w:t>
      </w:r>
      <w:r w:rsidR="00064F13">
        <w:t xml:space="preserve">podkapitola </w:t>
      </w:r>
      <w:r w:rsidR="00064F13">
        <w:fldChar w:fldCharType="begin"/>
      </w:r>
      <w:r w:rsidR="00064F13">
        <w:instrText xml:space="preserve"> REF _Ref25309960 \r \h </w:instrText>
      </w:r>
      <w:r w:rsidR="00064F13">
        <w:fldChar w:fldCharType="separate"/>
      </w:r>
      <w:r w:rsidR="00FA29AF">
        <w:t>7.2</w:t>
      </w:r>
      <w:r w:rsidR="00064F13">
        <w:fldChar w:fldCharType="end"/>
      </w:r>
      <w:r w:rsidR="00064F13">
        <w:rPr>
          <w:bCs/>
        </w:rPr>
        <w:t xml:space="preserve">). </w:t>
      </w:r>
      <w:r w:rsidR="00C626EA">
        <w:rPr>
          <w:bCs/>
        </w:rPr>
        <w:t xml:space="preserve">Súbeh sociálnej pomoci s príjmom zo zamestnania v podobe osobitného príspevku motivuje </w:t>
      </w:r>
      <w:r>
        <w:t xml:space="preserve">prijímateľov PHN hľadať si prácu. O túto motiváciu však prichádzajú </w:t>
      </w:r>
      <w:r w:rsidR="00C626EA">
        <w:t xml:space="preserve">niektorí </w:t>
      </w:r>
      <w:r>
        <w:t>rodičia, ktorí z dôvodu získania nároku na rodičovský príspevok prišli o nárok na PHN</w:t>
      </w:r>
      <w:r w:rsidR="00C626EA">
        <w:t xml:space="preserve"> </w:t>
      </w:r>
      <w:r w:rsidRPr="00CA2564">
        <w:t xml:space="preserve">(podkapitola </w:t>
      </w:r>
      <w:r w:rsidR="00E8546B">
        <w:fldChar w:fldCharType="begin"/>
      </w:r>
      <w:r w:rsidR="00E8546B">
        <w:instrText xml:space="preserve"> REF _Ref25309966 \r \h </w:instrText>
      </w:r>
      <w:r w:rsidR="00E8546B">
        <w:fldChar w:fldCharType="separate"/>
      </w:r>
      <w:r w:rsidR="00FA29AF">
        <w:t>8.2</w:t>
      </w:r>
      <w:r w:rsidR="00E8546B">
        <w:fldChar w:fldCharType="end"/>
      </w:r>
      <w:r w:rsidRPr="00CA2564">
        <w:t>)</w:t>
      </w:r>
      <w:r>
        <w:rPr>
          <w:bCs/>
        </w:rPr>
        <w:t>.</w:t>
      </w:r>
    </w:p>
    <w:p w14:paraId="192BAF85" w14:textId="77777777" w:rsidR="00FC78C5" w:rsidRDefault="00FC78C5" w:rsidP="00046111">
      <w:pPr>
        <w:spacing w:before="160"/>
      </w:pPr>
      <w:r>
        <w:t>Opatrenie zahŕňa:</w:t>
      </w:r>
    </w:p>
    <w:p w14:paraId="3BF93CE3" w14:textId="71ABD7BF" w:rsidR="00FC78C5" w:rsidRDefault="00FC78C5" w:rsidP="00046111">
      <w:pPr>
        <w:pStyle w:val="Odsekzoznamu"/>
        <w:numPr>
          <w:ilvl w:val="0"/>
          <w:numId w:val="30"/>
        </w:numPr>
        <w:spacing w:before="160"/>
        <w:rPr>
          <w:szCs w:val="22"/>
        </w:rPr>
      </w:pPr>
      <w:r w:rsidRPr="00072D06">
        <w:rPr>
          <w:szCs w:val="22"/>
        </w:rPr>
        <w:t xml:space="preserve">Naviazanie </w:t>
      </w:r>
      <w:r w:rsidRPr="00072D06">
        <w:t>maximálnej výšky nárokov v systéme PHN</w:t>
      </w:r>
      <w:r>
        <w:t xml:space="preserve"> pre rodiny s deťmi</w:t>
      </w:r>
      <w:r w:rsidRPr="00072D06">
        <w:t xml:space="preserve"> (po vyňatí príspevku na bývanie – hodnotové opatrenie 2</w:t>
      </w:r>
      <w:r w:rsidR="008C1905">
        <w:t>2</w:t>
      </w:r>
      <w:r w:rsidRPr="00072D06">
        <w:t>) spolu s prídavkom na dieťa na ekvivalent ž</w:t>
      </w:r>
      <w:r w:rsidR="002709F1">
        <w:t>ivotného minima jednotlivca bez </w:t>
      </w:r>
      <w:r w:rsidRPr="00072D06">
        <w:t xml:space="preserve">detí </w:t>
      </w:r>
      <w:r>
        <w:t>zohľadňujúc veľkosť a zloženie</w:t>
      </w:r>
      <w:r w:rsidRPr="00072D06">
        <w:t xml:space="preserve"> domácnosti použitím OECD ekvivalenčnej škály (</w:t>
      </w:r>
      <w:r w:rsidRPr="00072D06">
        <w:fldChar w:fldCharType="begin"/>
      </w:r>
      <w:r w:rsidRPr="00072D06">
        <w:instrText xml:space="preserve"> REF _Ref21088099 \h  \* MERGEFORMAT </w:instrText>
      </w:r>
      <w:r w:rsidRPr="00072D06">
        <w:fldChar w:fldCharType="separate"/>
      </w:r>
      <w:r w:rsidR="00FA29AF" w:rsidRPr="00FA29AF">
        <w:rPr>
          <w:iCs/>
        </w:rPr>
        <w:t>Box 20</w:t>
      </w:r>
      <w:r w:rsidRPr="00072D06">
        <w:fldChar w:fldCharType="end"/>
      </w:r>
      <w:r w:rsidRPr="00072D06">
        <w:t xml:space="preserve">, podkapitola </w:t>
      </w:r>
      <w:r w:rsidR="00E8546B">
        <w:fldChar w:fldCharType="begin"/>
      </w:r>
      <w:r w:rsidR="00E8546B">
        <w:instrText xml:space="preserve"> REF _Ref25310027 \r \h </w:instrText>
      </w:r>
      <w:r w:rsidR="00E8546B">
        <w:fldChar w:fldCharType="separate"/>
      </w:r>
      <w:r w:rsidR="00FA29AF">
        <w:t>8.1</w:t>
      </w:r>
      <w:r w:rsidR="00E8546B">
        <w:fldChar w:fldCharType="end"/>
      </w:r>
      <w:r w:rsidRPr="00072D06">
        <w:t>).</w:t>
      </w:r>
      <w:r w:rsidRPr="00072D06">
        <w:rPr>
          <w:rStyle w:val="Odkaznapoznmkupodiarou"/>
        </w:rPr>
        <w:footnoteReference w:id="5"/>
      </w:r>
      <w:r w:rsidRPr="00072D06">
        <w:t xml:space="preserve"> </w:t>
      </w:r>
      <w:r w:rsidRPr="00072D06">
        <w:rPr>
          <w:szCs w:val="22"/>
        </w:rPr>
        <w:t xml:space="preserve">Súčasťou opatrenia je rozšírenie príspevku na nezaopatrené dieťa na všetky deti v systéme PHN od narodenia až po </w:t>
      </w:r>
      <w:r w:rsidRPr="00F80708">
        <w:rPr>
          <w:szCs w:val="22"/>
        </w:rPr>
        <w:t>ukončenie povinnej školskej dochádzky</w:t>
      </w:r>
      <w:r w:rsidR="00DF7308">
        <w:rPr>
          <w:szCs w:val="22"/>
        </w:rPr>
        <w:t>, od 3 rokov veku dieťaťa podmienené jeho účasťou vo vzdelávaní</w:t>
      </w:r>
      <w:r w:rsidRPr="00F80708">
        <w:rPr>
          <w:szCs w:val="22"/>
        </w:rPr>
        <w:t>.</w:t>
      </w:r>
      <w:r>
        <w:rPr>
          <w:szCs w:val="22"/>
        </w:rPr>
        <w:t xml:space="preserve"> Tieto zmeny by predstavovali navýšenie výdavkov o </w:t>
      </w:r>
      <w:r w:rsidRPr="004B2FB9">
        <w:rPr>
          <w:szCs w:val="22"/>
        </w:rPr>
        <w:t>2</w:t>
      </w:r>
      <w:r w:rsidR="00F322D1">
        <w:rPr>
          <w:szCs w:val="22"/>
        </w:rPr>
        <w:t>2</w:t>
      </w:r>
      <w:r w:rsidRPr="004B2FB9">
        <w:rPr>
          <w:szCs w:val="22"/>
        </w:rPr>
        <w:t>,0</w:t>
      </w:r>
      <w:r w:rsidR="002709F1">
        <w:rPr>
          <w:szCs w:val="22"/>
        </w:rPr>
        <w:t> </w:t>
      </w:r>
      <w:r>
        <w:rPr>
          <w:szCs w:val="22"/>
        </w:rPr>
        <w:t>miliónov eur.</w:t>
      </w:r>
    </w:p>
    <w:p w14:paraId="63A19373" w14:textId="31CD2F71" w:rsidR="00FC78C5" w:rsidRPr="006024D7" w:rsidRDefault="00FC78C5" w:rsidP="00046111">
      <w:pPr>
        <w:pStyle w:val="Odsekzoznamu"/>
        <w:numPr>
          <w:ilvl w:val="0"/>
          <w:numId w:val="30"/>
        </w:numPr>
        <w:spacing w:before="160"/>
        <w:rPr>
          <w:szCs w:val="22"/>
        </w:rPr>
      </w:pPr>
      <w:r>
        <w:rPr>
          <w:szCs w:val="22"/>
        </w:rPr>
        <w:t xml:space="preserve">Zavedenie tretej úrovne aktivačného príspevku na úrovni </w:t>
      </w:r>
      <w:r w:rsidR="00011516">
        <w:rPr>
          <w:szCs w:val="22"/>
        </w:rPr>
        <w:t>101</w:t>
      </w:r>
      <w:r>
        <w:rPr>
          <w:szCs w:val="22"/>
        </w:rPr>
        <w:t>,</w:t>
      </w:r>
      <w:r w:rsidR="00011516">
        <w:rPr>
          <w:szCs w:val="22"/>
        </w:rPr>
        <w:t>8</w:t>
      </w:r>
      <w:r>
        <w:rPr>
          <w:szCs w:val="22"/>
        </w:rPr>
        <w:t xml:space="preserve">0 eur, </w:t>
      </w:r>
      <w:r w:rsidRPr="007C3377">
        <w:rPr>
          <w:rFonts w:cs="NeueHaasGroteskText W02"/>
        </w:rPr>
        <w:t>na ktorú by mali nárok uchádzači o zamestnanie v systéme PHN</w:t>
      </w:r>
      <w:r w:rsidRPr="007C3377">
        <w:t>, ktorí sa zúčastňujú na vzdelávaní alebo si zvyšujú kvalifikáciu</w:t>
      </w:r>
      <w:r w:rsidR="00733375">
        <w:t xml:space="preserve"> (vrátane druhošancového vzdelávania)</w:t>
      </w:r>
      <w:r>
        <w:t xml:space="preserve">. Cieľom je podpora dopytu po účasti na týchto nástrojoch na úkor aktivačných prác. Dodatočné výdavky predstavujú </w:t>
      </w:r>
      <w:r w:rsidR="00011516">
        <w:t>500 tisíc</w:t>
      </w:r>
      <w:r>
        <w:t xml:space="preserve"> eur.</w:t>
      </w:r>
    </w:p>
    <w:p w14:paraId="48A28B74" w14:textId="0127F69C" w:rsidR="00FC78C5" w:rsidRPr="006B119E" w:rsidRDefault="00FC78C5" w:rsidP="00046111">
      <w:pPr>
        <w:pStyle w:val="Odsekzoznamu"/>
        <w:numPr>
          <w:ilvl w:val="0"/>
          <w:numId w:val="30"/>
        </w:numPr>
        <w:spacing w:before="160"/>
        <w:rPr>
          <w:szCs w:val="22"/>
        </w:rPr>
      </w:pPr>
      <w:r>
        <w:rPr>
          <w:bCs/>
        </w:rPr>
        <w:t xml:space="preserve">Ponechanie </w:t>
      </w:r>
      <w:r w:rsidRPr="006B0D04">
        <w:rPr>
          <w:bCs/>
        </w:rPr>
        <w:t xml:space="preserve">nároku </w:t>
      </w:r>
      <w:r w:rsidRPr="006B0D04">
        <w:rPr>
          <w:bCs/>
          <w:szCs w:val="22"/>
        </w:rPr>
        <w:t>na osobitný príspevok pre dlhodobo nezamestnaných alebo neaktívnych rodičov, ktorí stratili nárok na pomoc v hmotnej núdzi z dôvodu získania nároku na rodičovský príspevok, a ktorí sa následne zamestnajú. Možnosť získať osobitný príspevok by mala trvať po dobu dvoch rokov od straty nároku na PHN.</w:t>
      </w:r>
      <w:r>
        <w:rPr>
          <w:bCs/>
          <w:szCs w:val="22"/>
        </w:rPr>
        <w:t xml:space="preserve"> Dodatočné výdavky predstavujú </w:t>
      </w:r>
      <w:r w:rsidR="008D064F">
        <w:rPr>
          <w:bCs/>
          <w:szCs w:val="22"/>
        </w:rPr>
        <w:t>298</w:t>
      </w:r>
      <w:r>
        <w:rPr>
          <w:bCs/>
          <w:szCs w:val="22"/>
        </w:rPr>
        <w:t xml:space="preserve"> tisíc eur.</w:t>
      </w:r>
    </w:p>
    <w:p w14:paraId="1ECCB177" w14:textId="496AD23B" w:rsidR="00FC78C5" w:rsidRDefault="00FC78C5" w:rsidP="00046111">
      <w:pPr>
        <w:spacing w:before="160"/>
      </w:pPr>
      <w:r>
        <w:rPr>
          <w:rFonts w:eastAsia="Times New Roman" w:cs="Times New Roman"/>
          <w:b/>
          <w:color w:val="000000"/>
          <w:lang w:eastAsia="sk-SK"/>
        </w:rPr>
        <w:lastRenderedPageBreak/>
        <w:t>16</w:t>
      </w:r>
      <w:r w:rsidRPr="00CA2564">
        <w:rPr>
          <w:rFonts w:eastAsia="Times New Roman" w:cs="Times New Roman"/>
          <w:b/>
          <w:color w:val="000000"/>
          <w:lang w:eastAsia="sk-SK"/>
        </w:rPr>
        <w:t xml:space="preserve">. </w:t>
      </w:r>
      <w:r w:rsidRPr="000215FC">
        <w:rPr>
          <w:rFonts w:eastAsia="Times New Roman" w:cs="Times New Roman"/>
          <w:b/>
          <w:color w:val="000000"/>
          <w:szCs w:val="22"/>
          <w:lang w:eastAsia="sk-SK"/>
        </w:rPr>
        <w:t xml:space="preserve">Opatrenie: </w:t>
      </w:r>
      <w:r w:rsidRPr="00B51B2F">
        <w:rPr>
          <w:rFonts w:eastAsia="Times New Roman" w:cs="Times New Roman"/>
          <w:b/>
          <w:color w:val="000000"/>
          <w:szCs w:val="22"/>
          <w:lang w:eastAsia="sk-SK"/>
        </w:rPr>
        <w:t>Zvýš</w:t>
      </w:r>
      <w:r w:rsidR="0021600E">
        <w:rPr>
          <w:rFonts w:eastAsia="Times New Roman" w:cs="Times New Roman"/>
          <w:b/>
          <w:color w:val="000000"/>
          <w:szCs w:val="22"/>
          <w:lang w:eastAsia="sk-SK"/>
        </w:rPr>
        <w:t>iť</w:t>
      </w:r>
      <w:r w:rsidRPr="00B51B2F">
        <w:rPr>
          <w:rFonts w:eastAsia="Times New Roman" w:cs="Times New Roman"/>
          <w:b/>
          <w:color w:val="000000"/>
          <w:szCs w:val="22"/>
          <w:lang w:eastAsia="sk-SK"/>
        </w:rPr>
        <w:t xml:space="preserve"> dostupnos</w:t>
      </w:r>
      <w:r w:rsidR="0021600E">
        <w:rPr>
          <w:rFonts w:eastAsia="Times New Roman" w:cs="Times New Roman"/>
          <w:b/>
          <w:color w:val="000000"/>
          <w:szCs w:val="22"/>
          <w:lang w:eastAsia="sk-SK"/>
        </w:rPr>
        <w:t>ť</w:t>
      </w:r>
      <w:r w:rsidRPr="00B51B2F">
        <w:rPr>
          <w:rFonts w:eastAsia="Times New Roman" w:cs="Times New Roman"/>
          <w:b/>
          <w:color w:val="000000"/>
          <w:szCs w:val="22"/>
          <w:lang w:eastAsia="sk-SK"/>
        </w:rPr>
        <w:t xml:space="preserve"> príspevku pri narodení dieťaťa</w:t>
      </w:r>
      <w:r w:rsidR="00D05492">
        <w:rPr>
          <w:rFonts w:eastAsia="Times New Roman" w:cs="Times New Roman"/>
          <w:b/>
          <w:color w:val="000000"/>
          <w:szCs w:val="22"/>
          <w:lang w:eastAsia="sk-SK"/>
        </w:rPr>
        <w:t xml:space="preserve"> (potenciál 0,8</w:t>
      </w:r>
      <w:r w:rsidR="008A41A7">
        <w:rPr>
          <w:rFonts w:eastAsia="Times New Roman" w:cs="Times New Roman"/>
          <w:b/>
          <w:color w:val="000000"/>
          <w:szCs w:val="22"/>
          <w:lang w:eastAsia="sk-SK"/>
        </w:rPr>
        <w:t xml:space="preserve"> milióna</w:t>
      </w:r>
      <w:r w:rsidR="00D05492">
        <w:rPr>
          <w:rFonts w:eastAsia="Times New Roman" w:cs="Times New Roman"/>
          <w:b/>
          <w:color w:val="000000"/>
          <w:szCs w:val="22"/>
          <w:lang w:eastAsia="sk-SK"/>
        </w:rPr>
        <w:t xml:space="preserve"> eur)</w:t>
      </w:r>
      <w:r w:rsidRPr="00B51B2F">
        <w:rPr>
          <w:rFonts w:eastAsia="Times New Roman" w:cs="Times New Roman"/>
          <w:b/>
          <w:color w:val="000000"/>
          <w:szCs w:val="22"/>
          <w:lang w:eastAsia="sk-SK"/>
        </w:rPr>
        <w:t>.</w:t>
      </w:r>
      <w:r w:rsidRPr="00B51B2F">
        <w:rPr>
          <w:rFonts w:eastAsia="Times New Roman" w:cs="Times New Roman"/>
          <w:color w:val="000000"/>
          <w:szCs w:val="22"/>
          <w:lang w:eastAsia="sk-SK"/>
        </w:rPr>
        <w:t xml:space="preserve"> Na príspevok aktuálne strácajú nárok matky, ktoré nesplnia povinnosť pravidelnej účasti na preventívnych prehliadkach alebo </w:t>
      </w:r>
      <w:r w:rsidRPr="00B51B2F">
        <w:rPr>
          <w:szCs w:val="22"/>
        </w:rPr>
        <w:t>zotrvania v zdravotníckom zariadení po pôrode až do prepustenia</w:t>
      </w:r>
      <w:r w:rsidR="00934FAF">
        <w:rPr>
          <w:szCs w:val="22"/>
        </w:rPr>
        <w:t xml:space="preserve"> (podkapitola </w:t>
      </w:r>
      <w:r w:rsidR="00934FAF">
        <w:rPr>
          <w:szCs w:val="22"/>
        </w:rPr>
        <w:fldChar w:fldCharType="begin"/>
      </w:r>
      <w:r w:rsidR="00934FAF">
        <w:rPr>
          <w:szCs w:val="22"/>
        </w:rPr>
        <w:instrText xml:space="preserve"> REF _Ref33185355 \r \h </w:instrText>
      </w:r>
      <w:r w:rsidR="00934FAF">
        <w:rPr>
          <w:szCs w:val="22"/>
        </w:rPr>
      </w:r>
      <w:r w:rsidR="00934FAF">
        <w:rPr>
          <w:szCs w:val="22"/>
        </w:rPr>
        <w:fldChar w:fldCharType="separate"/>
      </w:r>
      <w:r w:rsidR="00FA29AF">
        <w:rPr>
          <w:szCs w:val="22"/>
        </w:rPr>
        <w:t>8.2</w:t>
      </w:r>
      <w:r w:rsidR="00934FAF">
        <w:rPr>
          <w:szCs w:val="22"/>
        </w:rPr>
        <w:fldChar w:fldCharType="end"/>
      </w:r>
      <w:r w:rsidR="00934FAF">
        <w:rPr>
          <w:szCs w:val="22"/>
        </w:rPr>
        <w:t>)</w:t>
      </w:r>
      <w:r w:rsidRPr="00B51B2F">
        <w:rPr>
          <w:szCs w:val="22"/>
        </w:rPr>
        <w:t>.</w:t>
      </w:r>
      <w:r w:rsidRPr="00B51B2F">
        <w:rPr>
          <w:rFonts w:eastAsia="Times New Roman" w:cs="Times New Roman"/>
          <w:color w:val="000000"/>
          <w:szCs w:val="22"/>
          <w:lang w:eastAsia="sk-SK"/>
        </w:rPr>
        <w:t xml:space="preserve"> </w:t>
      </w:r>
      <w:r w:rsidRPr="00B51B2F">
        <w:rPr>
          <w:szCs w:val="22"/>
        </w:rPr>
        <w:t>Ženy z marginalizovaných rómskych komunít však čelia horšej dostupnosti gynekologických ambulancií ako ženy z majority a v</w:t>
      </w:r>
      <w:r w:rsidR="00B22A5E">
        <w:rPr>
          <w:szCs w:val="22"/>
        </w:rPr>
        <w:t> nemocniciach sú častejšie vysta</w:t>
      </w:r>
      <w:r w:rsidRPr="00B51B2F">
        <w:rPr>
          <w:szCs w:val="22"/>
        </w:rPr>
        <w:t xml:space="preserve">vené </w:t>
      </w:r>
      <w:r w:rsidR="00770B0F">
        <w:rPr>
          <w:szCs w:val="22"/>
        </w:rPr>
        <w:t>zlému prístupu</w:t>
      </w:r>
      <w:r w:rsidR="00770B0F" w:rsidRPr="00B51B2F">
        <w:rPr>
          <w:szCs w:val="22"/>
        </w:rPr>
        <w:t xml:space="preserve"> </w:t>
      </w:r>
      <w:r w:rsidR="00A10DED">
        <w:rPr>
          <w:szCs w:val="22"/>
        </w:rPr>
        <w:t>čo objektívne s</w:t>
      </w:r>
      <w:r w:rsidRPr="00B51B2F">
        <w:rPr>
          <w:szCs w:val="22"/>
        </w:rPr>
        <w:t>ťažuje ich schopnosť splniť pod</w:t>
      </w:r>
      <w:r w:rsidR="001374BD">
        <w:rPr>
          <w:szCs w:val="22"/>
        </w:rPr>
        <w:t>mi</w:t>
      </w:r>
      <w:r w:rsidRPr="00B51B2F">
        <w:rPr>
          <w:szCs w:val="22"/>
        </w:rPr>
        <w:t xml:space="preserve">enky nároku na príspevok (podkapitola </w:t>
      </w:r>
      <w:r w:rsidR="00E8546B">
        <w:rPr>
          <w:szCs w:val="22"/>
        </w:rPr>
        <w:fldChar w:fldCharType="begin"/>
      </w:r>
      <w:r w:rsidR="00E8546B">
        <w:rPr>
          <w:szCs w:val="22"/>
        </w:rPr>
        <w:instrText xml:space="preserve"> REF _Ref25310043 \r \h </w:instrText>
      </w:r>
      <w:r w:rsidR="00E8546B">
        <w:rPr>
          <w:szCs w:val="22"/>
        </w:rPr>
      </w:r>
      <w:r w:rsidR="00E8546B">
        <w:rPr>
          <w:szCs w:val="22"/>
        </w:rPr>
        <w:fldChar w:fldCharType="separate"/>
      </w:r>
      <w:r w:rsidR="00FA29AF">
        <w:rPr>
          <w:szCs w:val="22"/>
        </w:rPr>
        <w:t>10.3</w:t>
      </w:r>
      <w:r w:rsidR="00E8546B">
        <w:rPr>
          <w:szCs w:val="22"/>
        </w:rPr>
        <w:fldChar w:fldCharType="end"/>
      </w:r>
      <w:r w:rsidRPr="00B51B2F">
        <w:rPr>
          <w:szCs w:val="22"/>
        </w:rPr>
        <w:t xml:space="preserve">). Opatrenie predpokladá, že takýmto matkám by sa príspevok vyplácal </w:t>
      </w:r>
      <w:r w:rsidR="00C07054">
        <w:rPr>
          <w:szCs w:val="22"/>
        </w:rPr>
        <w:t xml:space="preserve">v polovičnej výške </w:t>
      </w:r>
      <w:r w:rsidRPr="00B51B2F">
        <w:rPr>
          <w:szCs w:val="22"/>
        </w:rPr>
        <w:t>prostredníctvom inštitútu osobitného príjemcu</w:t>
      </w:r>
      <w:r w:rsidR="00934FAF">
        <w:rPr>
          <w:szCs w:val="22"/>
        </w:rPr>
        <w:t xml:space="preserve"> </w:t>
      </w:r>
      <w:r w:rsidR="00934FAF">
        <w:t xml:space="preserve">(podkapitola </w:t>
      </w:r>
      <w:r w:rsidR="00934FAF">
        <w:fldChar w:fldCharType="begin"/>
      </w:r>
      <w:r w:rsidR="00934FAF">
        <w:instrText xml:space="preserve"> REF _Ref25310050 \r \h </w:instrText>
      </w:r>
      <w:r w:rsidR="00934FAF">
        <w:fldChar w:fldCharType="separate"/>
      </w:r>
      <w:r w:rsidR="00FA29AF">
        <w:t>8.2</w:t>
      </w:r>
      <w:r w:rsidR="00934FAF">
        <w:fldChar w:fldCharType="end"/>
      </w:r>
      <w:r w:rsidR="00934FAF">
        <w:t>)</w:t>
      </w:r>
      <w:r w:rsidRPr="00B51B2F">
        <w:rPr>
          <w:szCs w:val="22"/>
        </w:rPr>
        <w:t xml:space="preserve">. </w:t>
      </w:r>
      <w:r w:rsidRPr="00D3189B">
        <w:t xml:space="preserve">Matke by v tomto prípade bola obmedzená voľnosť nakladať s príspevkom </w:t>
      </w:r>
      <w:r>
        <w:t xml:space="preserve">tak, </w:t>
      </w:r>
      <w:r w:rsidRPr="00D3189B">
        <w:t>ako ona uzná za vhodné, ale účel dávky, ktorým je zabezpečenie nevyhnutných potrieb novorodenca</w:t>
      </w:r>
      <w:r>
        <w:t>,</w:t>
      </w:r>
      <w:r w:rsidRPr="00D3189B">
        <w:t xml:space="preserve"> by bol</w:t>
      </w:r>
      <w:r w:rsidR="00C07054">
        <w:t xml:space="preserve"> aspoň čiastočne</w:t>
      </w:r>
      <w:r w:rsidRPr="00D3189B">
        <w:t xml:space="preserve"> zachovaný a dieťa by nebolo trestané </w:t>
      </w:r>
      <w:r w:rsidR="00C07054">
        <w:t xml:space="preserve">úplným </w:t>
      </w:r>
      <w:r w:rsidRPr="00D3189B">
        <w:t xml:space="preserve">odňatím príspevku. </w:t>
      </w:r>
    </w:p>
    <w:p w14:paraId="1FAC4D12" w14:textId="2CA5AEA3" w:rsidR="00F457F2" w:rsidRDefault="00EF63D6" w:rsidP="00046111">
      <w:pPr>
        <w:spacing w:before="160"/>
      </w:pPr>
      <w:r>
        <w:rPr>
          <w:rFonts w:eastAsia="Times New Roman" w:cs="Times New Roman"/>
          <w:b/>
          <w:color w:val="000000"/>
          <w:lang w:eastAsia="sk-SK"/>
        </w:rPr>
        <w:t>17</w:t>
      </w:r>
      <w:r w:rsidR="00FC78C5" w:rsidRPr="00CA2564">
        <w:rPr>
          <w:rFonts w:eastAsia="Times New Roman" w:cs="Times New Roman"/>
          <w:b/>
          <w:color w:val="000000"/>
          <w:lang w:eastAsia="sk-SK"/>
        </w:rPr>
        <w:t xml:space="preserve">. </w:t>
      </w:r>
      <w:r w:rsidR="00FC78C5" w:rsidRPr="0086069B">
        <w:rPr>
          <w:rFonts w:eastAsia="Times New Roman" w:cs="Times New Roman"/>
          <w:b/>
          <w:color w:val="000000"/>
          <w:szCs w:val="22"/>
          <w:lang w:eastAsia="sk-SK"/>
        </w:rPr>
        <w:t>Opatrenie: Zníž</w:t>
      </w:r>
      <w:r w:rsidR="0021600E">
        <w:rPr>
          <w:rFonts w:eastAsia="Times New Roman" w:cs="Times New Roman"/>
          <w:b/>
          <w:color w:val="000000"/>
          <w:szCs w:val="22"/>
          <w:lang w:eastAsia="sk-SK"/>
        </w:rPr>
        <w:t>iť</w:t>
      </w:r>
      <w:r w:rsidR="00FC78C5" w:rsidRPr="0086069B">
        <w:rPr>
          <w:rFonts w:eastAsia="Times New Roman" w:cs="Times New Roman"/>
          <w:b/>
          <w:color w:val="000000"/>
          <w:szCs w:val="22"/>
          <w:lang w:eastAsia="sk-SK"/>
        </w:rPr>
        <w:t xml:space="preserve"> spoluúčas</w:t>
      </w:r>
      <w:r w:rsidR="0021600E">
        <w:rPr>
          <w:rFonts w:eastAsia="Times New Roman" w:cs="Times New Roman"/>
          <w:b/>
          <w:color w:val="000000"/>
          <w:szCs w:val="22"/>
          <w:lang w:eastAsia="sk-SK"/>
        </w:rPr>
        <w:t>ť</w:t>
      </w:r>
      <w:r w:rsidR="00FC78C5" w:rsidRPr="0086069B">
        <w:rPr>
          <w:rFonts w:eastAsia="Times New Roman" w:cs="Times New Roman"/>
          <w:b/>
          <w:color w:val="000000"/>
          <w:szCs w:val="22"/>
          <w:lang w:eastAsia="sk-SK"/>
        </w:rPr>
        <w:t xml:space="preserve"> </w:t>
      </w:r>
      <w:r w:rsidR="004135C9">
        <w:rPr>
          <w:rFonts w:eastAsia="Times New Roman" w:cs="Times New Roman"/>
          <w:b/>
          <w:color w:val="000000"/>
          <w:szCs w:val="22"/>
          <w:lang w:eastAsia="sk-SK"/>
        </w:rPr>
        <w:t xml:space="preserve">osoby s ťažkým zdravotným postihnutím </w:t>
      </w:r>
      <w:r w:rsidR="00FC78C5" w:rsidRPr="0086069B">
        <w:rPr>
          <w:rFonts w:eastAsia="Times New Roman" w:cs="Times New Roman"/>
          <w:b/>
          <w:color w:val="000000"/>
          <w:szCs w:val="22"/>
          <w:lang w:eastAsia="sk-SK"/>
        </w:rPr>
        <w:t xml:space="preserve">pri </w:t>
      </w:r>
      <w:r w:rsidR="00CC3ECC">
        <w:rPr>
          <w:rFonts w:eastAsia="Times New Roman" w:cs="Times New Roman"/>
          <w:b/>
          <w:color w:val="000000"/>
          <w:szCs w:val="22"/>
          <w:lang w:eastAsia="sk-SK"/>
        </w:rPr>
        <w:t xml:space="preserve">jednorazových </w:t>
      </w:r>
      <w:r w:rsidR="00FC78C5">
        <w:rPr>
          <w:rFonts w:eastAsia="Times New Roman" w:cs="Times New Roman"/>
          <w:b/>
          <w:color w:val="000000"/>
          <w:szCs w:val="22"/>
          <w:lang w:eastAsia="sk-SK"/>
        </w:rPr>
        <w:t>peňažných príspevkoch na kompenzáciu sociálnych dôsledkov ťažkého zdravotného postihnutia</w:t>
      </w:r>
      <w:r w:rsidR="00D05492">
        <w:rPr>
          <w:rFonts w:eastAsia="Times New Roman" w:cs="Times New Roman"/>
          <w:b/>
          <w:color w:val="000000"/>
          <w:szCs w:val="22"/>
          <w:lang w:eastAsia="sk-SK"/>
        </w:rPr>
        <w:t xml:space="preserve"> (potenciál 0,2</w:t>
      </w:r>
      <w:r w:rsidR="006128BF">
        <w:rPr>
          <w:rFonts w:eastAsia="Times New Roman" w:cs="Times New Roman"/>
          <w:b/>
          <w:color w:val="000000"/>
          <w:szCs w:val="22"/>
          <w:lang w:eastAsia="sk-SK"/>
        </w:rPr>
        <w:t> </w:t>
      </w:r>
      <w:r w:rsidR="00840930">
        <w:rPr>
          <w:rFonts w:eastAsia="Times New Roman" w:cs="Times New Roman"/>
          <w:b/>
          <w:color w:val="000000"/>
          <w:szCs w:val="22"/>
          <w:lang w:eastAsia="sk-SK"/>
        </w:rPr>
        <w:t>milióna</w:t>
      </w:r>
      <w:r w:rsidR="00D05492">
        <w:rPr>
          <w:rFonts w:eastAsia="Times New Roman" w:cs="Times New Roman"/>
          <w:b/>
          <w:color w:val="000000"/>
          <w:szCs w:val="22"/>
          <w:lang w:eastAsia="sk-SK"/>
        </w:rPr>
        <w:t xml:space="preserve"> eur)</w:t>
      </w:r>
      <w:r w:rsidR="00FC78C5" w:rsidRPr="0086069B">
        <w:rPr>
          <w:rFonts w:eastAsia="Times New Roman" w:cs="Times New Roman"/>
          <w:b/>
          <w:color w:val="000000"/>
          <w:szCs w:val="22"/>
          <w:lang w:eastAsia="sk-SK"/>
        </w:rPr>
        <w:t>.</w:t>
      </w:r>
      <w:r w:rsidR="00FC78C5">
        <w:rPr>
          <w:rFonts w:eastAsia="Times New Roman" w:cs="Times New Roman"/>
          <w:b/>
          <w:color w:val="000000"/>
          <w:lang w:eastAsia="sk-SK"/>
        </w:rPr>
        <w:t xml:space="preserve"> </w:t>
      </w:r>
      <w:r w:rsidR="00840930">
        <w:t>Tieto príspevky počítajú so s</w:t>
      </w:r>
      <w:r w:rsidR="00FC78C5" w:rsidRPr="00CA2564">
        <w:t>poluúčas</w:t>
      </w:r>
      <w:r w:rsidR="00840930">
        <w:t>ťou</w:t>
      </w:r>
      <w:r w:rsidR="00FC78C5" w:rsidRPr="00CA2564">
        <w:t xml:space="preserve"> prijímateľa</w:t>
      </w:r>
      <w:r w:rsidR="00630729">
        <w:t xml:space="preserve"> pri</w:t>
      </w:r>
      <w:r w:rsidR="00840930">
        <w:t xml:space="preserve"> kúpe pomôcky alebo služby, ktorá v prípade ľudí s príjmom do dvojnásobku sumy životného minima</w:t>
      </w:r>
      <w:r w:rsidR="00840930" w:rsidRPr="00CA2564">
        <w:t xml:space="preserve"> </w:t>
      </w:r>
      <w:r w:rsidR="00840930">
        <w:t xml:space="preserve">predstavuje </w:t>
      </w:r>
      <w:r w:rsidR="00FC78C5" w:rsidRPr="00CA2564">
        <w:t xml:space="preserve">5 % až 15 % </w:t>
      </w:r>
      <w:r w:rsidR="002709F1">
        <w:t>z celkovej ceny. To </w:t>
      </w:r>
      <w:r w:rsidR="00FC78C5" w:rsidRPr="00CA2564">
        <w:t>môže byť bariérou pre najchudobnejšie osoby so zdravotným postihnutím.</w:t>
      </w:r>
      <w:r w:rsidR="00840930">
        <w:rPr>
          <w:color w:val="000000"/>
          <w:szCs w:val="22"/>
        </w:rPr>
        <w:t xml:space="preserve"> </w:t>
      </w:r>
    </w:p>
    <w:p w14:paraId="204630C1" w14:textId="3E8A0708" w:rsidR="00FC78C5" w:rsidRDefault="00FC78C5" w:rsidP="00452DBC">
      <w:pPr>
        <w:spacing w:before="160"/>
      </w:pPr>
      <w:r>
        <w:rPr>
          <w:color w:val="000000"/>
          <w:szCs w:val="22"/>
        </w:rPr>
        <w:t xml:space="preserve">V prípade peňažného príspevku na </w:t>
      </w:r>
      <w:r w:rsidRPr="00FD7E66">
        <w:rPr>
          <w:color w:val="000000"/>
          <w:szCs w:val="22"/>
        </w:rPr>
        <w:t xml:space="preserve">kúpu pomôcky, výcvik používania pomôcky, úpravu pomôcky, úpravu osobného motorového vozidla, úpravu bytu, úpravu rodinného domu a úpravu garáže sa </w:t>
      </w:r>
      <w:r w:rsidRPr="00FD7E66">
        <w:t>predpokladá</w:t>
      </w:r>
      <w:r>
        <w:t xml:space="preserve"> </w:t>
      </w:r>
      <w:r w:rsidRPr="00FD7E66">
        <w:t>zníženie miery spoluúčasti pre osoby s príjmom pod</w:t>
      </w:r>
      <w:r>
        <w:t xml:space="preserve"> hranicou životného minima z 5 % na 2 % pri cene nad 1 659,70 eur. </w:t>
      </w:r>
      <w:r>
        <w:rPr>
          <w:color w:val="000000"/>
          <w:szCs w:val="22"/>
        </w:rPr>
        <w:t xml:space="preserve">V prípade peňažného príspevku na opravu pomôcky sa </w:t>
      </w:r>
      <w:r>
        <w:t xml:space="preserve">predpokladá zníženie miery spoluúčasti pre osoby s príjmom pod hranicou životného minima z 5 % na 2 % pri cene nad 829,85 eur. </w:t>
      </w:r>
      <w:r w:rsidR="00F71933">
        <w:t xml:space="preserve">Pri peňažnom príspevku na kúpu osobného motorového vozidla sa predpokladá zníženie spoluúčasti z 15 % na 10 % pri príjme pod hranicou životného minima. V prípade kúpy zdvíhacieho zariadenia sa predpokladá </w:t>
      </w:r>
      <w:r w:rsidR="00F71933" w:rsidRPr="00FD7E66">
        <w:t>zníženie miery spoluúčasti pre osoby s príjmom pod</w:t>
      </w:r>
      <w:r w:rsidR="00F71933">
        <w:t xml:space="preserve"> hranicou životného minima z 5 % na 2 %, </w:t>
      </w:r>
      <w:r w:rsidR="00F71933" w:rsidRPr="00FD7E66">
        <w:t xml:space="preserve">pre osoby </w:t>
      </w:r>
      <w:r w:rsidR="00F71933">
        <w:t>s príjmom do štvornásobku životného minima z 20 % na 15 %</w:t>
      </w:r>
      <w:r w:rsidR="0070047D">
        <w:t xml:space="preserve"> </w:t>
      </w:r>
      <w:r w:rsidR="00F71933">
        <w:t>a pre osoby s príjmom do päťnásobku životného minima z 30 % na 20 %</w:t>
      </w:r>
      <w:r w:rsidR="00840930">
        <w:t xml:space="preserve"> (podkapitola </w:t>
      </w:r>
      <w:r w:rsidR="00840930">
        <w:fldChar w:fldCharType="begin"/>
      </w:r>
      <w:r w:rsidR="00840930">
        <w:instrText xml:space="preserve"> REF _Ref25409741 \r \h </w:instrText>
      </w:r>
      <w:r w:rsidR="00840930">
        <w:fldChar w:fldCharType="separate"/>
      </w:r>
      <w:r w:rsidR="00FA29AF">
        <w:t>8.4</w:t>
      </w:r>
      <w:r w:rsidR="00840930">
        <w:fldChar w:fldCharType="end"/>
      </w:r>
      <w:r w:rsidR="00840930">
        <w:t>)</w:t>
      </w:r>
      <w:r w:rsidR="00F71933">
        <w:t>.</w:t>
      </w:r>
    </w:p>
    <w:p w14:paraId="33C1567F" w14:textId="04A342CA" w:rsidR="0046182D" w:rsidRDefault="00EF63D6" w:rsidP="00046111">
      <w:pPr>
        <w:spacing w:before="160"/>
      </w:pPr>
      <w:r>
        <w:rPr>
          <w:rFonts w:eastAsia="Times New Roman" w:cs="Times New Roman"/>
          <w:b/>
          <w:color w:val="000000"/>
          <w:lang w:eastAsia="sk-SK"/>
        </w:rPr>
        <w:t>18</w:t>
      </w:r>
      <w:r w:rsidR="00FC78C5" w:rsidRPr="00CA2564">
        <w:rPr>
          <w:rFonts w:eastAsia="Times New Roman" w:cs="Times New Roman"/>
          <w:b/>
          <w:color w:val="000000"/>
          <w:lang w:eastAsia="sk-SK"/>
        </w:rPr>
        <w:t xml:space="preserve">. Opatrenie: </w:t>
      </w:r>
      <w:r w:rsidR="004C3FEF">
        <w:rPr>
          <w:rFonts w:eastAsia="Times New Roman" w:cs="Times New Roman"/>
          <w:b/>
          <w:color w:val="000000"/>
          <w:lang w:eastAsia="sk-SK"/>
        </w:rPr>
        <w:t>Realizovať p</w:t>
      </w:r>
      <w:r w:rsidR="00FC78C5" w:rsidRPr="00CA2564">
        <w:rPr>
          <w:rFonts w:eastAsia="Times New Roman" w:cs="Times New Roman"/>
          <w:b/>
          <w:color w:val="000000"/>
          <w:lang w:eastAsia="sk-SK"/>
        </w:rPr>
        <w:t>ilot</w:t>
      </w:r>
      <w:r w:rsidR="00FC78C5">
        <w:rPr>
          <w:rFonts w:eastAsia="Times New Roman" w:cs="Times New Roman"/>
          <w:b/>
          <w:color w:val="000000"/>
          <w:lang w:eastAsia="sk-SK"/>
        </w:rPr>
        <w:t>né projekty</w:t>
      </w:r>
      <w:r w:rsidR="004C3FEF">
        <w:rPr>
          <w:rFonts w:eastAsia="Times New Roman" w:cs="Times New Roman"/>
          <w:b/>
          <w:color w:val="000000"/>
          <w:lang w:eastAsia="sk-SK"/>
        </w:rPr>
        <w:t xml:space="preserve"> pomoci ľuďom, ktorí prešli osobným bankrotom a osamelým rodičom</w:t>
      </w:r>
      <w:r w:rsidR="00D05492">
        <w:rPr>
          <w:rFonts w:eastAsia="Times New Roman" w:cs="Times New Roman"/>
          <w:b/>
          <w:color w:val="000000"/>
          <w:lang w:eastAsia="sk-SK"/>
        </w:rPr>
        <w:t xml:space="preserve"> </w:t>
      </w:r>
      <w:r w:rsidR="00D05492">
        <w:rPr>
          <w:rFonts w:eastAsia="Times New Roman" w:cs="Times New Roman"/>
          <w:b/>
          <w:color w:val="000000"/>
          <w:szCs w:val="22"/>
          <w:lang w:eastAsia="sk-SK"/>
        </w:rPr>
        <w:t>(potenciál 1,0</w:t>
      </w:r>
      <w:r w:rsidR="00840930">
        <w:rPr>
          <w:rFonts w:eastAsia="Times New Roman" w:cs="Times New Roman"/>
          <w:b/>
          <w:color w:val="000000"/>
          <w:szCs w:val="22"/>
          <w:lang w:eastAsia="sk-SK"/>
        </w:rPr>
        <w:t xml:space="preserve"> milión</w:t>
      </w:r>
      <w:r w:rsidR="00D05492">
        <w:rPr>
          <w:rFonts w:eastAsia="Times New Roman" w:cs="Times New Roman"/>
          <w:b/>
          <w:color w:val="000000"/>
          <w:szCs w:val="22"/>
          <w:lang w:eastAsia="sk-SK"/>
        </w:rPr>
        <w:t xml:space="preserve"> eur)</w:t>
      </w:r>
      <w:r w:rsidR="00FC78C5">
        <w:rPr>
          <w:rFonts w:eastAsia="Times New Roman" w:cs="Times New Roman"/>
          <w:b/>
          <w:color w:val="000000"/>
          <w:lang w:eastAsia="sk-SK"/>
        </w:rPr>
        <w:t xml:space="preserve">. </w:t>
      </w:r>
      <w:r w:rsidR="00840930">
        <w:rPr>
          <w:bCs/>
        </w:rPr>
        <w:t>Hoci j</w:t>
      </w:r>
      <w:r w:rsidR="0046182D" w:rsidRPr="00C45892">
        <w:rPr>
          <w:bCs/>
        </w:rPr>
        <w:t>ednoduchý</w:t>
      </w:r>
      <w:r w:rsidR="0046182D" w:rsidRPr="00CA2564">
        <w:t xml:space="preserve"> a rýchly proces osobného bankrotu, ktorý priniesla novela zákona od marca 2017, pomáha riešiť dlhové problémy z</w:t>
      </w:r>
      <w:r w:rsidR="00840930">
        <w:t> </w:t>
      </w:r>
      <w:r w:rsidR="0046182D" w:rsidRPr="00CA2564">
        <w:t>minulosti</w:t>
      </w:r>
      <w:r w:rsidR="00840930">
        <w:t>, z</w:t>
      </w:r>
      <w:r w:rsidR="0046182D" w:rsidRPr="00CA2564">
        <w:t>atiaľ neexistuje žiadne systémové opatrenie, ktoré by sa zameriavalo na prevenciu pred ďalším upadnutím oddlžených osôb do dlhov v budúcnosti. Inštitút osobného bankrotu pritom často využívajú práve skupiny obyvateľov, ktoré majú najväčšie problémy s finančnou gramotnosťou</w:t>
      </w:r>
      <w:r w:rsidR="0046182D">
        <w:t xml:space="preserve"> (podkapitola </w:t>
      </w:r>
      <w:r w:rsidR="0046182D">
        <w:fldChar w:fldCharType="begin"/>
      </w:r>
      <w:r w:rsidR="0046182D">
        <w:instrText xml:space="preserve"> REF _Ref25310085 \r \h </w:instrText>
      </w:r>
      <w:r w:rsidR="0046182D">
        <w:fldChar w:fldCharType="separate"/>
      </w:r>
      <w:r w:rsidR="00FA29AF">
        <w:t>7.5</w:t>
      </w:r>
      <w:r w:rsidR="0046182D">
        <w:fldChar w:fldCharType="end"/>
      </w:r>
      <w:r w:rsidR="0046182D">
        <w:t>)</w:t>
      </w:r>
      <w:r w:rsidR="0046182D" w:rsidRPr="00CA2564">
        <w:t>.</w:t>
      </w:r>
    </w:p>
    <w:p w14:paraId="2FD74067" w14:textId="4EC24098" w:rsidR="00162C43" w:rsidRDefault="0046182D" w:rsidP="00046111">
      <w:pPr>
        <w:spacing w:before="160"/>
      </w:pPr>
      <w:r w:rsidRPr="002C6E48">
        <w:rPr>
          <w:bCs/>
        </w:rPr>
        <w:t>Osamelí rodičia potrebujú špecifickú individualizovanú formu pomoci na trhu práce, ktorá na Slovensku chýba. Dobrá prax zo zahraničia ukazuje dôležitosť holistického prístupu pri riešení problémov so zamestnaním osamelých rodičov. Úspešná pracovná integrácia si vyžaduje koordináciu špecializovaných odborníkov, napríklad z oblasti finančného poradenstva, psychologickej podpory, osobnostného rozvoja aj rozvoja</w:t>
      </w:r>
      <w:r>
        <w:t xml:space="preserve"> zručností, obzvlášť dôležitá je pomoc pri jednaní s potenciálnymi zamestnávateľmi o podmienkach zamestnania (podkapitola </w:t>
      </w:r>
      <w:r>
        <w:fldChar w:fldCharType="begin"/>
      </w:r>
      <w:r>
        <w:instrText xml:space="preserve"> REF _Ref25310134 \r \h </w:instrText>
      </w:r>
      <w:r>
        <w:fldChar w:fldCharType="separate"/>
      </w:r>
      <w:r w:rsidR="00FA29AF">
        <w:t>7.4</w:t>
      </w:r>
      <w:r>
        <w:fldChar w:fldCharType="end"/>
      </w:r>
      <w:r>
        <w:t xml:space="preserve">). </w:t>
      </w:r>
    </w:p>
    <w:p w14:paraId="13C6A5DE" w14:textId="375CF65C" w:rsidR="0061700B" w:rsidRPr="003839C0" w:rsidRDefault="00162C43" w:rsidP="003839C0">
      <w:pPr>
        <w:spacing w:before="160"/>
        <w:rPr>
          <w:rFonts w:eastAsia="Times New Roman" w:cs="Times New Roman"/>
          <w:bCs/>
          <w:color w:val="000000"/>
          <w:lang w:eastAsia="sk-SK"/>
        </w:rPr>
      </w:pPr>
      <w:r>
        <w:t>Oba pilotné projekty je možné re</w:t>
      </w:r>
      <w:r w:rsidR="000C09C0">
        <w:t>a</w:t>
      </w:r>
      <w:r>
        <w:t xml:space="preserve">lizovať so zapojením </w:t>
      </w:r>
      <w:r w:rsidRPr="00063BDB">
        <w:rPr>
          <w:rFonts w:eastAsia="Arial Narrow" w:cs="Times New Roman"/>
        </w:rPr>
        <w:t>neštátnych subjektov</w:t>
      </w:r>
      <w:r>
        <w:rPr>
          <w:rFonts w:eastAsia="Arial Narrow" w:cs="Times New Roman"/>
        </w:rPr>
        <w:t xml:space="preserve"> (napr. agentúr p</w:t>
      </w:r>
      <w:r w:rsidR="0000392D">
        <w:rPr>
          <w:rFonts w:eastAsia="Arial Narrow" w:cs="Times New Roman"/>
        </w:rPr>
        <w:t>odporovaného zamestnávania</w:t>
      </w:r>
      <w:r>
        <w:rPr>
          <w:rFonts w:eastAsia="Arial Narrow" w:cs="Times New Roman"/>
        </w:rPr>
        <w:t>)</w:t>
      </w:r>
      <w:r w:rsidRPr="00497BC0">
        <w:rPr>
          <w:rFonts w:eastAsia="Arial Narrow" w:cs="Times New Roman"/>
        </w:rPr>
        <w:t xml:space="preserve"> </w:t>
      </w:r>
      <w:r w:rsidRPr="00211BB3">
        <w:rPr>
          <w:rFonts w:eastAsia="Arial Narrow" w:cs="Times New Roman"/>
        </w:rPr>
        <w:t>, resp. iných vy</w:t>
      </w:r>
      <w:r w:rsidR="0070047D">
        <w:rPr>
          <w:rFonts w:eastAsia="Arial Narrow" w:cs="Times New Roman"/>
        </w:rPr>
        <w:t xml:space="preserve">braných </w:t>
      </w:r>
      <w:r w:rsidRPr="00211BB3">
        <w:t>subjektov</w:t>
      </w:r>
      <w:r w:rsidRPr="00063BDB">
        <w:rPr>
          <w:rFonts w:eastAsia="Arial Narrow" w:cs="Times New Roman"/>
        </w:rPr>
        <w:t xml:space="preserve"> </w:t>
      </w:r>
      <w:r>
        <w:rPr>
          <w:rFonts w:eastAsia="Arial Narrow" w:cs="Times New Roman"/>
        </w:rPr>
        <w:t>zameraných na poskytovanie</w:t>
      </w:r>
      <w:r w:rsidRPr="00063BDB">
        <w:rPr>
          <w:rFonts w:eastAsia="Arial Narrow" w:cs="Times New Roman"/>
        </w:rPr>
        <w:t xml:space="preserve"> </w:t>
      </w:r>
      <w:r>
        <w:rPr>
          <w:rFonts w:eastAsia="Arial Narrow" w:cs="Times New Roman"/>
        </w:rPr>
        <w:t xml:space="preserve">individualizovaných verejných </w:t>
      </w:r>
      <w:r w:rsidRPr="00063BDB">
        <w:rPr>
          <w:rFonts w:eastAsia="Arial Narrow" w:cs="Times New Roman"/>
        </w:rPr>
        <w:t>služieb zamestnanosti pre ťažko zamestnateľných uchádzačov o</w:t>
      </w:r>
      <w:r>
        <w:rPr>
          <w:rFonts w:eastAsia="Arial Narrow" w:cs="Times New Roman"/>
        </w:rPr>
        <w:t> </w:t>
      </w:r>
      <w:r w:rsidRPr="00063BDB">
        <w:rPr>
          <w:rFonts w:eastAsia="Arial Narrow" w:cs="Times New Roman"/>
        </w:rPr>
        <w:t>zamestnanie</w:t>
      </w:r>
      <w:r>
        <w:rPr>
          <w:rFonts w:eastAsia="Arial Narrow" w:cs="Times New Roman"/>
        </w:rPr>
        <w:t xml:space="preserve"> (hodnotové opatrenie 13)</w:t>
      </w:r>
      <w:r w:rsidR="00E43079">
        <w:rPr>
          <w:rFonts w:eastAsia="Arial Narrow" w:cs="Times New Roman"/>
        </w:rPr>
        <w:t xml:space="preserve">. Súčasťou projektov by malo byť zmapovanie a vyhodnotenie východiskovej situácie (finančnej gramotnosti a </w:t>
      </w:r>
      <w:r w:rsidR="00E43079">
        <w:rPr>
          <w:bCs/>
        </w:rPr>
        <w:t>rizika opätovného upadnutia do dlhov v prípade prvého projektu a prekážok zamestnania resp. zotrvania v zamestnaní osamelých rodičov v prípade druhého projektu)</w:t>
      </w:r>
      <w:r w:rsidR="00A62C35">
        <w:rPr>
          <w:bCs/>
        </w:rPr>
        <w:t xml:space="preserve"> ako aj porovnanie výsledkov poskytnutých intervencií oproti kontrolnej skupine</w:t>
      </w:r>
      <w:r w:rsidR="00E43079">
        <w:rPr>
          <w:bCs/>
        </w:rPr>
        <w:t>. Výstupom oboch projektov by mali byť odporúčania a metodika pre prácu s cieľovou skupinou na systematickej báze</w:t>
      </w:r>
      <w:r w:rsidR="00A62C35">
        <w:rPr>
          <w:rFonts w:eastAsia="Times New Roman" w:cs="Times New Roman"/>
          <w:bCs/>
          <w:color w:val="000000"/>
          <w:lang w:eastAsia="sk-SK"/>
        </w:rPr>
        <w:t>.</w:t>
      </w:r>
    </w:p>
    <w:p w14:paraId="7A05CCBB" w14:textId="65725333" w:rsidR="004F1697" w:rsidRPr="00452DBC" w:rsidRDefault="004F1697" w:rsidP="00452DBC">
      <w:pPr>
        <w:rPr>
          <w:bCs/>
          <w:color w:val="0070C0"/>
        </w:rPr>
      </w:pPr>
      <w:r w:rsidRPr="00231BE7">
        <w:rPr>
          <w:bCs/>
          <w:color w:val="0070C0"/>
        </w:rPr>
        <w:t>Zdravotníctvo</w:t>
      </w:r>
    </w:p>
    <w:p w14:paraId="02282FC4" w14:textId="42ED65D4" w:rsidR="00FC78C5" w:rsidRDefault="00EF63D6" w:rsidP="00046111">
      <w:pPr>
        <w:spacing w:before="160"/>
        <w:rPr>
          <w:rFonts w:eastAsia="Times New Roman" w:cs="Times New Roman"/>
          <w:color w:val="000000"/>
          <w:lang w:eastAsia="sk-SK"/>
        </w:rPr>
      </w:pPr>
      <w:r>
        <w:rPr>
          <w:rFonts w:eastAsia="Times New Roman" w:cs="Times New Roman"/>
          <w:b/>
          <w:color w:val="000000"/>
          <w:lang w:eastAsia="sk-SK"/>
        </w:rPr>
        <w:t>19</w:t>
      </w:r>
      <w:r w:rsidR="00FC78C5" w:rsidRPr="00CA2564">
        <w:rPr>
          <w:rFonts w:eastAsia="Times New Roman" w:cs="Times New Roman"/>
          <w:b/>
          <w:color w:val="000000"/>
          <w:lang w:eastAsia="sk-SK"/>
        </w:rPr>
        <w:t xml:space="preserve">. </w:t>
      </w:r>
      <w:r w:rsidR="00FC78C5" w:rsidRPr="00B40F05">
        <w:rPr>
          <w:rFonts w:eastAsia="Times New Roman" w:cs="Times New Roman"/>
          <w:b/>
          <w:color w:val="000000"/>
          <w:szCs w:val="22"/>
          <w:lang w:eastAsia="sk-SK"/>
        </w:rPr>
        <w:t>Opatrenie: Zvýš</w:t>
      </w:r>
      <w:r w:rsidR="005C224C">
        <w:rPr>
          <w:rFonts w:eastAsia="Times New Roman" w:cs="Times New Roman"/>
          <w:b/>
          <w:color w:val="000000"/>
          <w:szCs w:val="22"/>
          <w:lang w:eastAsia="sk-SK"/>
        </w:rPr>
        <w:t>iť</w:t>
      </w:r>
      <w:r w:rsidR="00FC78C5" w:rsidRPr="00B40F05">
        <w:rPr>
          <w:rFonts w:eastAsia="Times New Roman" w:cs="Times New Roman"/>
          <w:b/>
          <w:color w:val="000000"/>
          <w:szCs w:val="22"/>
          <w:lang w:eastAsia="sk-SK"/>
        </w:rPr>
        <w:t xml:space="preserve"> ochran</w:t>
      </w:r>
      <w:r w:rsidR="005C224C">
        <w:rPr>
          <w:rFonts w:eastAsia="Times New Roman" w:cs="Times New Roman"/>
          <w:b/>
          <w:color w:val="000000"/>
          <w:szCs w:val="22"/>
          <w:lang w:eastAsia="sk-SK"/>
        </w:rPr>
        <w:t>u</w:t>
      </w:r>
      <w:r w:rsidR="00FC78C5" w:rsidRPr="00B40F05">
        <w:rPr>
          <w:rFonts w:eastAsia="Times New Roman" w:cs="Times New Roman"/>
          <w:b/>
          <w:color w:val="000000"/>
          <w:szCs w:val="22"/>
          <w:lang w:eastAsia="sk-SK"/>
        </w:rPr>
        <w:t xml:space="preserve"> pred doplatkami za lieky</w:t>
      </w:r>
      <w:r w:rsidR="005C224C">
        <w:rPr>
          <w:rFonts w:eastAsia="Times New Roman" w:cs="Times New Roman"/>
          <w:b/>
          <w:color w:val="000000"/>
          <w:szCs w:val="22"/>
          <w:lang w:eastAsia="sk-SK"/>
        </w:rPr>
        <w:t xml:space="preserve"> na základe príjmu</w:t>
      </w:r>
      <w:r w:rsidR="00D05492">
        <w:rPr>
          <w:rFonts w:eastAsia="Times New Roman" w:cs="Times New Roman"/>
          <w:b/>
          <w:color w:val="000000"/>
          <w:szCs w:val="22"/>
          <w:lang w:eastAsia="sk-SK"/>
        </w:rPr>
        <w:t xml:space="preserve"> (potenciál 1,3 miliónov eur)</w:t>
      </w:r>
      <w:r w:rsidR="00FC78C5" w:rsidRPr="00B40F05">
        <w:rPr>
          <w:rFonts w:eastAsia="Times New Roman" w:cs="Times New Roman"/>
          <w:b/>
          <w:color w:val="000000"/>
          <w:szCs w:val="22"/>
          <w:lang w:eastAsia="sk-SK"/>
        </w:rPr>
        <w:t>.</w:t>
      </w:r>
      <w:r w:rsidR="00FC78C5">
        <w:rPr>
          <w:rFonts w:eastAsia="Times New Roman" w:cs="Times New Roman"/>
          <w:b/>
          <w:color w:val="000000"/>
          <w:lang w:eastAsia="sk-SK"/>
        </w:rPr>
        <w:t xml:space="preserve"> </w:t>
      </w:r>
      <w:r w:rsidR="00FC78C5" w:rsidRPr="00CA2564">
        <w:t xml:space="preserve">Slovensko je jednou z mála krajín, ktoré nemajú žiadne opatrenia na zmiernenie finančnej záťaže v dôsledku </w:t>
      </w:r>
      <w:r w:rsidR="00FC78C5" w:rsidRPr="00CA2564">
        <w:lastRenderedPageBreak/>
        <w:t>nízkeho príjmu. Slovenská legislatíva ochraňuje pred vysokými doplatkami za lieky dôchodcov, deti do 6 rokov veku a zdravotne postihnutých. Časť doplatku, ktorá prekračuje zákonom stanovený limit</w:t>
      </w:r>
      <w:r w:rsidR="00FC78C5">
        <w:t>,</w:t>
      </w:r>
      <w:r w:rsidR="00FC78C5" w:rsidRPr="00CA2564">
        <w:t xml:space="preserve"> sa pre tieto skupiny dodatočne prepláca </w:t>
      </w:r>
      <w:r w:rsidR="00FC78C5" w:rsidRPr="00CA2564">
        <w:rPr>
          <w:rFonts w:eastAsia="Times New Roman" w:cs="Times New Roman"/>
          <w:color w:val="000000"/>
          <w:lang w:eastAsia="sk-SK"/>
        </w:rPr>
        <w:t xml:space="preserve">(podkapitola </w:t>
      </w:r>
      <w:r w:rsidR="00E8546B">
        <w:rPr>
          <w:rFonts w:eastAsia="Times New Roman" w:cs="Times New Roman"/>
          <w:color w:val="000000"/>
          <w:lang w:eastAsia="sk-SK"/>
        </w:rPr>
        <w:fldChar w:fldCharType="begin"/>
      </w:r>
      <w:r w:rsidR="00E8546B">
        <w:rPr>
          <w:rFonts w:eastAsia="Times New Roman" w:cs="Times New Roman"/>
          <w:color w:val="000000"/>
          <w:lang w:eastAsia="sk-SK"/>
        </w:rPr>
        <w:instrText xml:space="preserve"> REF _Ref25310146 \r \h </w:instrText>
      </w:r>
      <w:r w:rsidR="00E8546B">
        <w:rPr>
          <w:rFonts w:eastAsia="Times New Roman" w:cs="Times New Roman"/>
          <w:color w:val="000000"/>
          <w:lang w:eastAsia="sk-SK"/>
        </w:rPr>
      </w:r>
      <w:r w:rsidR="00E8546B">
        <w:rPr>
          <w:rFonts w:eastAsia="Times New Roman" w:cs="Times New Roman"/>
          <w:color w:val="000000"/>
          <w:lang w:eastAsia="sk-SK"/>
        </w:rPr>
        <w:fldChar w:fldCharType="separate"/>
      </w:r>
      <w:r w:rsidR="00FA29AF">
        <w:rPr>
          <w:rFonts w:eastAsia="Times New Roman" w:cs="Times New Roman"/>
          <w:color w:val="000000"/>
          <w:lang w:eastAsia="sk-SK"/>
        </w:rPr>
        <w:t>10.3</w:t>
      </w:r>
      <w:r w:rsidR="00E8546B">
        <w:rPr>
          <w:rFonts w:eastAsia="Times New Roman" w:cs="Times New Roman"/>
          <w:color w:val="000000"/>
          <w:lang w:eastAsia="sk-SK"/>
        </w:rPr>
        <w:fldChar w:fldCharType="end"/>
      </w:r>
      <w:r w:rsidR="00FC78C5" w:rsidRPr="00CA2564">
        <w:rPr>
          <w:rFonts w:eastAsia="Times New Roman" w:cs="Times New Roman"/>
          <w:color w:val="000000"/>
          <w:lang w:eastAsia="sk-SK"/>
        </w:rPr>
        <w:t>)</w:t>
      </w:r>
      <w:r w:rsidR="00FC78C5" w:rsidRPr="00CA2564">
        <w:t>.</w:t>
      </w:r>
      <w:r w:rsidR="00FC78C5">
        <w:t xml:space="preserve"> Opatrenie </w:t>
      </w:r>
      <w:r w:rsidR="00FC78C5" w:rsidRPr="00B40F05">
        <w:t xml:space="preserve">predpokladá zaradenie </w:t>
      </w:r>
      <w:r w:rsidR="00FC78C5" w:rsidRPr="00B40F05">
        <w:rPr>
          <w:rFonts w:eastAsia="Times New Roman" w:cs="Times New Roman"/>
          <w:color w:val="000000"/>
          <w:lang w:eastAsia="sk-SK"/>
        </w:rPr>
        <w:t>ľudí s príjmom pod hranicou životného minima medzi chránené skupiny.</w:t>
      </w:r>
    </w:p>
    <w:p w14:paraId="5ABD23F4" w14:textId="2F848CB8" w:rsidR="00FC78C5" w:rsidRDefault="00EF63D6" w:rsidP="00046111">
      <w:pPr>
        <w:spacing w:before="160"/>
      </w:pPr>
      <w:r>
        <w:rPr>
          <w:rFonts w:eastAsia="Times New Roman" w:cs="Times New Roman"/>
          <w:b/>
          <w:color w:val="000000"/>
          <w:lang w:eastAsia="sk-SK"/>
        </w:rPr>
        <w:t>20</w:t>
      </w:r>
      <w:r w:rsidR="00FC78C5" w:rsidRPr="00317762">
        <w:rPr>
          <w:rFonts w:eastAsia="Times New Roman" w:cs="Times New Roman"/>
          <w:b/>
          <w:color w:val="000000"/>
          <w:lang w:eastAsia="sk-SK"/>
        </w:rPr>
        <w:t xml:space="preserve">. </w:t>
      </w:r>
      <w:r w:rsidR="00FC78C5" w:rsidRPr="00317762">
        <w:rPr>
          <w:rFonts w:eastAsia="Times New Roman" w:cs="Times New Roman"/>
          <w:b/>
          <w:color w:val="000000"/>
          <w:szCs w:val="22"/>
          <w:lang w:eastAsia="sk-SK"/>
        </w:rPr>
        <w:t xml:space="preserve">Opatrenie: </w:t>
      </w:r>
      <w:r w:rsidR="00FC78C5">
        <w:rPr>
          <w:rFonts w:eastAsia="Times New Roman" w:cs="Times New Roman"/>
          <w:b/>
          <w:color w:val="000000"/>
          <w:szCs w:val="22"/>
          <w:lang w:eastAsia="sk-SK"/>
        </w:rPr>
        <w:t>Pilot</w:t>
      </w:r>
      <w:r w:rsidR="004E68A6">
        <w:rPr>
          <w:rFonts w:eastAsia="Times New Roman" w:cs="Times New Roman"/>
          <w:b/>
          <w:color w:val="000000"/>
          <w:szCs w:val="22"/>
          <w:lang w:eastAsia="sk-SK"/>
        </w:rPr>
        <w:t>ne overiť</w:t>
      </w:r>
      <w:r w:rsidR="00FC78C5">
        <w:rPr>
          <w:rFonts w:eastAsia="Times New Roman" w:cs="Times New Roman"/>
          <w:b/>
          <w:color w:val="000000"/>
          <w:szCs w:val="22"/>
          <w:lang w:eastAsia="sk-SK"/>
        </w:rPr>
        <w:t xml:space="preserve"> </w:t>
      </w:r>
      <w:r w:rsidR="004E68A6">
        <w:rPr>
          <w:rFonts w:eastAsia="Times New Roman" w:cs="Times New Roman"/>
          <w:b/>
          <w:color w:val="000000"/>
          <w:szCs w:val="22"/>
          <w:lang w:eastAsia="sk-SK"/>
        </w:rPr>
        <w:t>p</w:t>
      </w:r>
      <w:r w:rsidR="00FC78C5">
        <w:rPr>
          <w:rFonts w:eastAsia="Times New Roman" w:cs="Times New Roman"/>
          <w:b/>
          <w:color w:val="000000"/>
          <w:szCs w:val="22"/>
          <w:lang w:eastAsia="sk-SK"/>
        </w:rPr>
        <w:t>odmienené transfery pri preventívnych prehliadkach</w:t>
      </w:r>
      <w:r w:rsidR="00D05492">
        <w:rPr>
          <w:rFonts w:eastAsia="Times New Roman" w:cs="Times New Roman"/>
          <w:b/>
          <w:color w:val="000000"/>
          <w:szCs w:val="22"/>
          <w:lang w:eastAsia="sk-SK"/>
        </w:rPr>
        <w:t xml:space="preserve"> (potenciál 0,1 miliónov eur)</w:t>
      </w:r>
      <w:r w:rsidR="00FC78C5">
        <w:rPr>
          <w:rFonts w:eastAsia="Times New Roman" w:cs="Times New Roman"/>
          <w:b/>
          <w:color w:val="000000"/>
          <w:szCs w:val="22"/>
          <w:lang w:eastAsia="sk-SK"/>
        </w:rPr>
        <w:t xml:space="preserve">. </w:t>
      </w:r>
      <w:r w:rsidR="00FC78C5" w:rsidRPr="00CA2564">
        <w:t xml:space="preserve">Výdavky verejného zdravotného poistenia na </w:t>
      </w:r>
      <w:r w:rsidR="00FC78C5">
        <w:t>poistencov z prostredia</w:t>
      </w:r>
      <w:r w:rsidR="00FC78C5" w:rsidRPr="00CA2564">
        <w:t xml:space="preserve"> MRK vo vekovej skupine 5 a</w:t>
      </w:r>
      <w:r w:rsidR="002709F1">
        <w:t>ž 19 sú až </w:t>
      </w:r>
      <w:r w:rsidR="00FC78C5" w:rsidRPr="00CA2564">
        <w:t>o 38 % nižšie ako v celkovej populácii, čo naznač</w:t>
      </w:r>
      <w:r w:rsidR="002C073A">
        <w:t>uje</w:t>
      </w:r>
      <w:r w:rsidR="00FC78C5" w:rsidRPr="00CA2564">
        <w:t xml:space="preserve"> nedostatočné využívanie preventívnej zdravotnej starostlivosti. To môže negatívne vplývať na zdravotný stav (a výdavky) v neskorších rokoch ako aj na mieru dožitia. Oveľa vyšší podiel </w:t>
      </w:r>
      <w:r w:rsidR="00FC78C5">
        <w:t>príslušníkov r</w:t>
      </w:r>
      <w:r w:rsidR="00FC78C5" w:rsidRPr="00CA2564">
        <w:t>óm</w:t>
      </w:r>
      <w:r w:rsidR="00FC78C5">
        <w:t>skych komunít</w:t>
      </w:r>
      <w:r w:rsidR="00FC78C5" w:rsidRPr="00CA2564">
        <w:t xml:space="preserve"> žije viac ako 10 kilometrov od najbližšej lekárskej ambulancie</w:t>
      </w:r>
      <w:r w:rsidR="003D44C1">
        <w:t>,</w:t>
      </w:r>
      <w:r w:rsidR="00FC78C5" w:rsidRPr="00CA2564">
        <w:t xml:space="preserve"> pričom najhoršia dostupnosť je v prípade gynekológov a pediatrov. Podmienené finančné transfery kompenzujúce peňažné aj nepeňažné náklady spojené s návštevou lekára sa v iných krajinách ukázali ako účinný nástroj podpory dopytu po preventívnej zdr</w:t>
      </w:r>
      <w:r w:rsidR="00EF236D">
        <w:t xml:space="preserve">avotnej starostlivosti (podkapitola </w:t>
      </w:r>
      <w:r w:rsidR="00EF236D">
        <w:fldChar w:fldCharType="begin"/>
      </w:r>
      <w:r w:rsidR="00EF236D">
        <w:instrText xml:space="preserve"> REF _Ref33434131 \r \h </w:instrText>
      </w:r>
      <w:r w:rsidR="00EF236D">
        <w:fldChar w:fldCharType="separate"/>
      </w:r>
      <w:r w:rsidR="00FA29AF">
        <w:t>10.4</w:t>
      </w:r>
      <w:r w:rsidR="00EF236D">
        <w:fldChar w:fldCharType="end"/>
      </w:r>
      <w:r w:rsidR="00FC78C5" w:rsidRPr="00CA2564">
        <w:t>).</w:t>
      </w:r>
      <w:r w:rsidR="00FC78C5">
        <w:t xml:space="preserve"> </w:t>
      </w:r>
      <w:r w:rsidR="00435017">
        <w:t xml:space="preserve">Podpora </w:t>
      </w:r>
      <w:r w:rsidR="00FC78C5">
        <w:t>by mal</w:t>
      </w:r>
      <w:r w:rsidR="00435017">
        <w:t>a</w:t>
      </w:r>
      <w:r w:rsidR="00FC78C5">
        <w:t xml:space="preserve"> byť zameran</w:t>
      </w:r>
      <w:r w:rsidR="00435017">
        <w:t>á</w:t>
      </w:r>
      <w:r w:rsidR="00FC78C5">
        <w:t xml:space="preserve"> najmä na tehotné ženy a deti.</w:t>
      </w:r>
    </w:p>
    <w:p w14:paraId="59A85860" w14:textId="77777777" w:rsidR="00AB73EC" w:rsidRPr="00231BE7" w:rsidRDefault="00AB73EC" w:rsidP="00046111">
      <w:pPr>
        <w:rPr>
          <w:bCs/>
          <w:color w:val="0070C0"/>
        </w:rPr>
      </w:pPr>
      <w:r w:rsidRPr="00231BE7">
        <w:rPr>
          <w:bCs/>
          <w:color w:val="0070C0"/>
        </w:rPr>
        <w:t>Bývanie a infraštruktúra</w:t>
      </w:r>
    </w:p>
    <w:p w14:paraId="53A72C02" w14:textId="15B4059D" w:rsidR="00FC78C5" w:rsidRDefault="00EF63D6" w:rsidP="00046111">
      <w:pPr>
        <w:spacing w:before="160"/>
      </w:pPr>
      <w:r>
        <w:rPr>
          <w:rFonts w:eastAsia="Times New Roman" w:cs="Times New Roman"/>
          <w:b/>
          <w:color w:val="000000"/>
          <w:lang w:eastAsia="sk-SK"/>
        </w:rPr>
        <w:t>21</w:t>
      </w:r>
      <w:r w:rsidR="00FC78C5" w:rsidRPr="00CA2564">
        <w:rPr>
          <w:rFonts w:eastAsia="Times New Roman" w:cs="Times New Roman"/>
          <w:b/>
          <w:color w:val="000000"/>
          <w:lang w:eastAsia="sk-SK"/>
        </w:rPr>
        <w:t xml:space="preserve">. Opatrenie: </w:t>
      </w:r>
      <w:r w:rsidR="00E130A9">
        <w:rPr>
          <w:rFonts w:eastAsia="Times New Roman" w:cs="Times New Roman"/>
          <w:b/>
          <w:color w:val="000000"/>
          <w:lang w:eastAsia="sk-SK"/>
        </w:rPr>
        <w:t xml:space="preserve">Upraviť podmienky poskytovania </w:t>
      </w:r>
      <w:r w:rsidR="00FC78C5">
        <w:rPr>
          <w:rFonts w:eastAsia="Times New Roman" w:cs="Times New Roman"/>
          <w:b/>
          <w:color w:val="000000"/>
          <w:lang w:eastAsia="sk-SK"/>
        </w:rPr>
        <w:t>príspev</w:t>
      </w:r>
      <w:r w:rsidR="00E130A9">
        <w:rPr>
          <w:rFonts w:eastAsia="Times New Roman" w:cs="Times New Roman"/>
          <w:b/>
          <w:color w:val="000000"/>
          <w:lang w:eastAsia="sk-SK"/>
        </w:rPr>
        <w:t>ku</w:t>
      </w:r>
      <w:r w:rsidR="00FC78C5">
        <w:rPr>
          <w:rFonts w:eastAsia="Times New Roman" w:cs="Times New Roman"/>
          <w:b/>
          <w:color w:val="000000"/>
          <w:lang w:eastAsia="sk-SK"/>
        </w:rPr>
        <w:t xml:space="preserve"> na bývanie</w:t>
      </w:r>
      <w:r w:rsidR="00D05492">
        <w:rPr>
          <w:rFonts w:eastAsia="Times New Roman" w:cs="Times New Roman"/>
          <w:b/>
          <w:color w:val="000000"/>
          <w:lang w:eastAsia="sk-SK"/>
        </w:rPr>
        <w:t xml:space="preserve"> </w:t>
      </w:r>
      <w:r w:rsidR="00D05492">
        <w:rPr>
          <w:rFonts w:eastAsia="Times New Roman" w:cs="Times New Roman"/>
          <w:b/>
          <w:color w:val="000000"/>
          <w:szCs w:val="22"/>
          <w:lang w:eastAsia="sk-SK"/>
        </w:rPr>
        <w:t>(potenciál 48,7 miliónov eur)</w:t>
      </w:r>
      <w:r w:rsidR="00FC78C5">
        <w:rPr>
          <w:rFonts w:eastAsia="Times New Roman" w:cs="Times New Roman"/>
          <w:b/>
          <w:color w:val="000000"/>
          <w:lang w:eastAsia="sk-SK"/>
        </w:rPr>
        <w:t xml:space="preserve">. </w:t>
      </w:r>
      <w:r w:rsidR="005D6947">
        <w:rPr>
          <w:bCs/>
        </w:rPr>
        <w:t>Aktuálna n</w:t>
      </w:r>
      <w:r w:rsidR="00FC78C5" w:rsidRPr="00CA2564">
        <w:rPr>
          <w:bCs/>
        </w:rPr>
        <w:t xml:space="preserve">aviazanosť príspevku na bývanie na pomoc v hmotnej núdzi ako aj reštriktívne podmienky nároku spôsobujú veľmi nízku dostupnosť tohto druhu pomoci pre nízkopríjmové domácnosti v porovnaní s inými krajinami. Podmienky nároku a výška príspevku </w:t>
      </w:r>
      <w:r w:rsidR="005D6947">
        <w:rPr>
          <w:bCs/>
        </w:rPr>
        <w:t>v zahraničí bežne</w:t>
      </w:r>
      <w:r w:rsidR="00FC78C5">
        <w:rPr>
          <w:bCs/>
        </w:rPr>
        <w:t xml:space="preserve"> závis</w:t>
      </w:r>
      <w:r w:rsidR="005D6947">
        <w:rPr>
          <w:bCs/>
        </w:rPr>
        <w:t>ia</w:t>
      </w:r>
      <w:r w:rsidR="00FC78C5">
        <w:rPr>
          <w:bCs/>
        </w:rPr>
        <w:t xml:space="preserve"> </w:t>
      </w:r>
      <w:r w:rsidR="00FC78C5" w:rsidRPr="00CA2564">
        <w:rPr>
          <w:bCs/>
        </w:rPr>
        <w:t>od pr</w:t>
      </w:r>
      <w:r w:rsidR="002709F1">
        <w:rPr>
          <w:bCs/>
        </w:rPr>
        <w:t>íjmu domácnosti, jej zloženia a </w:t>
      </w:r>
      <w:r w:rsidR="00FC78C5" w:rsidRPr="00CA2564">
        <w:rPr>
          <w:bCs/>
        </w:rPr>
        <w:t>nákladov na bývanie</w:t>
      </w:r>
      <w:r w:rsidR="005D6947">
        <w:rPr>
          <w:bCs/>
        </w:rPr>
        <w:t xml:space="preserve"> </w:t>
      </w:r>
      <w:r w:rsidR="00FC78C5" w:rsidRPr="00CA2564">
        <w:rPr>
          <w:bCs/>
        </w:rPr>
        <w:t xml:space="preserve">(podkapitola </w:t>
      </w:r>
      <w:r w:rsidR="00E8546B">
        <w:rPr>
          <w:bCs/>
        </w:rPr>
        <w:fldChar w:fldCharType="begin"/>
      </w:r>
      <w:r w:rsidR="00E8546B">
        <w:rPr>
          <w:bCs/>
        </w:rPr>
        <w:instrText xml:space="preserve"> REF _Ref25310163 \r \h </w:instrText>
      </w:r>
      <w:r w:rsidR="00E8546B">
        <w:rPr>
          <w:bCs/>
        </w:rPr>
      </w:r>
      <w:r w:rsidR="00E8546B">
        <w:rPr>
          <w:bCs/>
        </w:rPr>
        <w:fldChar w:fldCharType="separate"/>
      </w:r>
      <w:r w:rsidR="00FA29AF">
        <w:rPr>
          <w:bCs/>
        </w:rPr>
        <w:t>9.5</w:t>
      </w:r>
      <w:r w:rsidR="00E8546B">
        <w:rPr>
          <w:bCs/>
        </w:rPr>
        <w:fldChar w:fldCharType="end"/>
      </w:r>
      <w:r w:rsidR="00FC78C5" w:rsidRPr="00CA2564">
        <w:rPr>
          <w:bCs/>
        </w:rPr>
        <w:t>).</w:t>
      </w:r>
      <w:r w:rsidR="00552F49">
        <w:rPr>
          <w:bCs/>
        </w:rPr>
        <w:t xml:space="preserve"> </w:t>
      </w:r>
      <w:r w:rsidR="004D319C">
        <w:t>Presné výdavky na toto opatrenie budú závisieť od konkrétnej podoby príspevku na bývanie</w:t>
      </w:r>
      <w:r w:rsidR="00BE76D1">
        <w:t xml:space="preserve">. Celkové výdavky na samostatný príspevok na bývanie sú </w:t>
      </w:r>
      <w:r w:rsidR="00DA333C">
        <w:t xml:space="preserve">na základe zjednodušeného scenára </w:t>
      </w:r>
      <w:r w:rsidR="00BE76D1">
        <w:t>odhadnuté na 74,2 miliónov eur z čoho 48,7 miliónov eur predstavujú dodatočné výdavky oproti aktuálnemu odhadu výdavkov na príspevok na bývanie v rámci pomoci v hmotnej núdzi</w:t>
      </w:r>
      <w:r w:rsidR="004D319C">
        <w:t xml:space="preserve"> (</w:t>
      </w:r>
      <w:r w:rsidR="00947C94">
        <w:fldChar w:fldCharType="begin"/>
      </w:r>
      <w:r w:rsidR="00947C94">
        <w:instrText xml:space="preserve"> REF _Ref34129538 \h  \* MERGEFORMAT </w:instrText>
      </w:r>
      <w:r w:rsidR="00947C94">
        <w:fldChar w:fldCharType="separate"/>
      </w:r>
      <w:r w:rsidR="00FA29AF" w:rsidRPr="00FA29AF">
        <w:t>Príloha 40</w:t>
      </w:r>
      <w:r w:rsidR="00947C94">
        <w:fldChar w:fldCharType="end"/>
      </w:r>
      <w:r w:rsidR="004D319C">
        <w:t>).</w:t>
      </w:r>
    </w:p>
    <w:p w14:paraId="7777BD66" w14:textId="45FCBF4C" w:rsidR="00A22F76" w:rsidRDefault="00EF63D6" w:rsidP="00452DBC">
      <w:pPr>
        <w:spacing w:before="160"/>
      </w:pPr>
      <w:r>
        <w:rPr>
          <w:rFonts w:eastAsia="Times New Roman" w:cs="Times New Roman"/>
          <w:b/>
          <w:color w:val="000000"/>
          <w:lang w:eastAsia="sk-SK"/>
        </w:rPr>
        <w:t>22</w:t>
      </w:r>
      <w:r w:rsidR="00FC78C5" w:rsidRPr="00CA2564">
        <w:rPr>
          <w:rFonts w:eastAsia="Times New Roman" w:cs="Times New Roman"/>
          <w:b/>
          <w:color w:val="000000"/>
          <w:lang w:eastAsia="sk-SK"/>
        </w:rPr>
        <w:t xml:space="preserve">. Opatrenie: </w:t>
      </w:r>
      <w:r w:rsidR="00FC78C5">
        <w:rPr>
          <w:rFonts w:eastAsia="Times New Roman" w:cs="Times New Roman"/>
          <w:b/>
          <w:color w:val="000000"/>
          <w:lang w:eastAsia="sk-SK"/>
        </w:rPr>
        <w:t>Pilot</w:t>
      </w:r>
      <w:r w:rsidR="00E130A9">
        <w:rPr>
          <w:rFonts w:eastAsia="Times New Roman" w:cs="Times New Roman"/>
          <w:b/>
          <w:color w:val="000000"/>
          <w:lang w:eastAsia="sk-SK"/>
        </w:rPr>
        <w:t>ne overiť</w:t>
      </w:r>
      <w:r w:rsidR="00FC78C5">
        <w:rPr>
          <w:rFonts w:eastAsia="Times New Roman" w:cs="Times New Roman"/>
          <w:b/>
          <w:color w:val="000000"/>
          <w:lang w:eastAsia="sk-SK"/>
        </w:rPr>
        <w:t xml:space="preserve"> </w:t>
      </w:r>
      <w:r w:rsidR="00AF6EF7">
        <w:rPr>
          <w:rFonts w:eastAsia="Times New Roman" w:cs="Times New Roman"/>
          <w:b/>
          <w:color w:val="000000"/>
          <w:lang w:eastAsia="sk-SK"/>
        </w:rPr>
        <w:t xml:space="preserve">prístup </w:t>
      </w:r>
      <w:r w:rsidR="00E130A9">
        <w:rPr>
          <w:rFonts w:eastAsia="Times New Roman" w:cs="Times New Roman"/>
          <w:b/>
          <w:color w:val="000000"/>
          <w:lang w:eastAsia="sk-SK"/>
        </w:rPr>
        <w:t>„h</w:t>
      </w:r>
      <w:r w:rsidR="00FC78C5">
        <w:rPr>
          <w:rFonts w:eastAsia="Times New Roman" w:cs="Times New Roman"/>
          <w:b/>
          <w:color w:val="000000"/>
          <w:lang w:eastAsia="sk-SK"/>
        </w:rPr>
        <w:t>ousing first</w:t>
      </w:r>
      <w:r w:rsidR="00E130A9">
        <w:rPr>
          <w:rFonts w:eastAsia="Times New Roman" w:cs="Times New Roman"/>
          <w:b/>
          <w:color w:val="000000"/>
          <w:lang w:eastAsia="sk-SK"/>
        </w:rPr>
        <w:t>“</w:t>
      </w:r>
      <w:r w:rsidR="00FC78C5">
        <w:rPr>
          <w:rFonts w:eastAsia="Times New Roman" w:cs="Times New Roman"/>
          <w:b/>
          <w:color w:val="000000"/>
          <w:lang w:eastAsia="sk-SK"/>
        </w:rPr>
        <w:t xml:space="preserve"> ako riešenie bezdomovectva</w:t>
      </w:r>
      <w:r w:rsidR="00D05492">
        <w:rPr>
          <w:rFonts w:eastAsia="Times New Roman" w:cs="Times New Roman"/>
          <w:b/>
          <w:color w:val="000000"/>
          <w:lang w:eastAsia="sk-SK"/>
        </w:rPr>
        <w:t xml:space="preserve"> </w:t>
      </w:r>
      <w:r w:rsidR="00D05492">
        <w:rPr>
          <w:rFonts w:eastAsia="Times New Roman" w:cs="Times New Roman"/>
          <w:b/>
          <w:color w:val="000000"/>
          <w:szCs w:val="22"/>
          <w:lang w:eastAsia="sk-SK"/>
        </w:rPr>
        <w:t>(potenciál 2,9 miliónov eur)</w:t>
      </w:r>
      <w:r w:rsidR="00FC78C5">
        <w:rPr>
          <w:rFonts w:eastAsia="Times New Roman" w:cs="Times New Roman"/>
          <w:b/>
          <w:color w:val="000000"/>
          <w:lang w:eastAsia="sk-SK"/>
        </w:rPr>
        <w:t xml:space="preserve">. </w:t>
      </w:r>
      <w:r w:rsidR="00FC78C5" w:rsidRPr="00CA2564">
        <w:rPr>
          <w:rFonts w:eastAsia="Times New Roman" w:cs="Times New Roman"/>
          <w:color w:val="000000"/>
          <w:lang w:eastAsia="sk-SK"/>
        </w:rPr>
        <w:t xml:space="preserve">V rámci stratégie </w:t>
      </w:r>
      <w:r w:rsidR="00FC78C5" w:rsidRPr="00CA2564">
        <w:t>„housing-first“ je</w:t>
      </w:r>
      <w:r w:rsidR="009B7B4E">
        <w:t xml:space="preserve"> vybraným</w:t>
      </w:r>
      <w:r w:rsidR="00FC78C5" w:rsidRPr="00CA2564">
        <w:t xml:space="preserve"> ľuďom v bytovej núdzi ponúknutý okamžitý prístup k stálemu, cenovo dostupnému bývaniu v prirodzenom, spoločensky integrovanom prostredí. Hodnotenie pilotných projektov </w:t>
      </w:r>
      <w:r w:rsidR="00FC78C5">
        <w:t xml:space="preserve">v zahraničí </w:t>
      </w:r>
      <w:r w:rsidR="00FC78C5" w:rsidRPr="00CA2564">
        <w:t xml:space="preserve">naznačuje, že </w:t>
      </w:r>
      <w:r w:rsidR="006D0D08">
        <w:t>tento prístup môže byť efektívnejší v porovnaní s alternatívami</w:t>
      </w:r>
      <w:r w:rsidR="00FC78C5" w:rsidRPr="00CA2564">
        <w:t xml:space="preserve"> (podkapitola </w:t>
      </w:r>
      <w:r w:rsidR="0010591A">
        <w:fldChar w:fldCharType="begin"/>
      </w:r>
      <w:r w:rsidR="0010591A">
        <w:instrText xml:space="preserve"> REF _Ref25310178 \r \h </w:instrText>
      </w:r>
      <w:r w:rsidR="0010591A">
        <w:fldChar w:fldCharType="separate"/>
      </w:r>
      <w:r w:rsidR="00FA29AF">
        <w:t>9.3</w:t>
      </w:r>
      <w:r w:rsidR="0010591A">
        <w:fldChar w:fldCharType="end"/>
      </w:r>
      <w:r w:rsidR="00FC78C5" w:rsidRPr="00CA2564">
        <w:t>).</w:t>
      </w:r>
      <w:r w:rsidR="006D0D08">
        <w:t xml:space="preserve"> </w:t>
      </w:r>
      <w:r w:rsidR="00CF7E9F" w:rsidRPr="00A062BA">
        <w:t xml:space="preserve">Pilotný projekt má slúžiť predovšetkým na otestovanie záujmu, aplikácie a potenciálnej úspešnosti projektu v podmienkach Slovenska. </w:t>
      </w:r>
    </w:p>
    <w:p w14:paraId="0092C71E" w14:textId="49BA4435" w:rsidR="00CF7E9F" w:rsidRPr="00A062BA" w:rsidRDefault="00CF7E9F" w:rsidP="00452DBC">
      <w:pPr>
        <w:spacing w:before="160"/>
      </w:pPr>
      <w:r w:rsidRPr="00A062BA">
        <w:t xml:space="preserve">Pre zistenie skutočných efektov poskytnutia bývania je potrebné uskutočniť experiment, ktorý umožní porovnanie skupiny domácností v poskytnutom bývaní (intervenčná skupina) s domácnosťami, ktoré túto možnosť nedostali (kontrolná skupina). Do výdavkov sú zahrnuté sprievodné sociálne služby, finančná pomoc s úhradou časti nákladov na bývanie účastníkov projektu, a hodnotenie projektu. Keďže Slovensko má dlhodobý problém s kapacitou voľných nájomných bytových jednotiek, náklady tiež zahŕňajú zvýšenie dotácií Ministerstva dopravy a výstavby SR na obstaranie </w:t>
      </w:r>
      <w:r w:rsidR="008C6F29">
        <w:t xml:space="preserve">(stavbu, kúpu alebo dlhodobý prenájom) </w:t>
      </w:r>
      <w:r w:rsidRPr="00A062BA">
        <w:t>a vybavenie vhodných priestorov na bývanie pre 50 domácností v intervenčnej skupine (</w:t>
      </w:r>
      <w:r w:rsidR="00947C94">
        <w:fldChar w:fldCharType="begin"/>
      </w:r>
      <w:r w:rsidR="00947C94">
        <w:instrText xml:space="preserve"> REF _Ref34129538 \h  \* MERGEFORMAT </w:instrText>
      </w:r>
      <w:r w:rsidR="00947C94">
        <w:fldChar w:fldCharType="separate"/>
      </w:r>
      <w:r w:rsidR="00FA29AF" w:rsidRPr="00FA29AF">
        <w:t>Príloha 40</w:t>
      </w:r>
      <w:r w:rsidR="00947C94">
        <w:fldChar w:fldCharType="end"/>
      </w:r>
      <w:r w:rsidRPr="00A062BA">
        <w:t>). Zvýšená štátna podpora je opodstatnená</w:t>
      </w:r>
      <w:r w:rsidR="00B7126D">
        <w:t>,</w:t>
      </w:r>
      <w:r w:rsidRPr="00A062BA">
        <w:t xml:space="preserve"> keďže ponuka nájomných bytov s reg</w:t>
      </w:r>
      <w:r w:rsidR="00B7126D">
        <w:t>ulovaným nájmom je v kompetencii</w:t>
      </w:r>
      <w:r w:rsidRPr="00A062BA">
        <w:t xml:space="preserve"> obcí</w:t>
      </w:r>
      <w:r w:rsidR="00B7126D">
        <w:t>,</w:t>
      </w:r>
      <w:r w:rsidRPr="00A062BA">
        <w:t xml:space="preserve"> kým úspory spojené so stratégiou housing first vzniknú predovšetkým na výdavkoch štátu (napr. na zdravotnú starostlivosť a zásahy polície).</w:t>
      </w:r>
    </w:p>
    <w:p w14:paraId="057EC0B2" w14:textId="08B358F0" w:rsidR="003839C0" w:rsidRPr="00452DBC" w:rsidRDefault="003839C0" w:rsidP="00083EDF">
      <w:pPr>
        <w:spacing w:after="160"/>
        <w:jc w:val="left"/>
        <w:rPr>
          <w:bCs/>
          <w:color w:val="0070C0"/>
        </w:rPr>
      </w:pPr>
      <w:r w:rsidRPr="00231BE7">
        <w:rPr>
          <w:bCs/>
          <w:color w:val="0070C0"/>
        </w:rPr>
        <w:t>Podporné programy pre obce s prítomnosťou marginalizovaných rómskych komunít</w:t>
      </w:r>
    </w:p>
    <w:p w14:paraId="03BBCA7F" w14:textId="0652E23B" w:rsidR="00FC78C5" w:rsidRDefault="00EF63D6" w:rsidP="00046111">
      <w:pPr>
        <w:spacing w:before="160"/>
      </w:pPr>
      <w:r>
        <w:rPr>
          <w:b/>
          <w:szCs w:val="22"/>
        </w:rPr>
        <w:t>23</w:t>
      </w:r>
      <w:r w:rsidR="00FC78C5" w:rsidRPr="00BE1786">
        <w:rPr>
          <w:b/>
          <w:szCs w:val="22"/>
        </w:rPr>
        <w:t xml:space="preserve">. Opatrenie: </w:t>
      </w:r>
      <w:r w:rsidR="00E130A9">
        <w:rPr>
          <w:b/>
          <w:szCs w:val="22"/>
        </w:rPr>
        <w:t xml:space="preserve">Zabezpečiť </w:t>
      </w:r>
      <w:r w:rsidR="00FC78C5">
        <w:rPr>
          <w:b/>
          <w:szCs w:val="22"/>
        </w:rPr>
        <w:t>podpor</w:t>
      </w:r>
      <w:r w:rsidR="00E130A9">
        <w:rPr>
          <w:b/>
          <w:szCs w:val="22"/>
        </w:rPr>
        <w:t>u</w:t>
      </w:r>
      <w:r w:rsidR="00FC78C5">
        <w:rPr>
          <w:b/>
          <w:szCs w:val="22"/>
        </w:rPr>
        <w:t xml:space="preserve"> terénnych pracovníkov v ďalšom štúdiu</w:t>
      </w:r>
      <w:r w:rsidR="00D05492">
        <w:rPr>
          <w:b/>
          <w:szCs w:val="22"/>
        </w:rPr>
        <w:t xml:space="preserve"> </w:t>
      </w:r>
      <w:r w:rsidR="00D05492">
        <w:rPr>
          <w:rFonts w:eastAsia="Times New Roman" w:cs="Times New Roman"/>
          <w:b/>
          <w:color w:val="000000"/>
          <w:szCs w:val="22"/>
          <w:lang w:eastAsia="sk-SK"/>
        </w:rPr>
        <w:t>(potenciál 0,3 miliónov eur)</w:t>
      </w:r>
      <w:r w:rsidR="00FC78C5">
        <w:rPr>
          <w:b/>
          <w:szCs w:val="22"/>
        </w:rPr>
        <w:t xml:space="preserve">. </w:t>
      </w:r>
      <w:r w:rsidR="00FC78C5" w:rsidRPr="00D95A46">
        <w:t>Terénna sociálna práca</w:t>
      </w:r>
      <w:r w:rsidR="0000392D">
        <w:t xml:space="preserve"> </w:t>
      </w:r>
      <w:r w:rsidR="00FC78C5">
        <w:t>je na Slovensku realizovaná terénnymi sociálnymi pracovníkmi a terénnymi pracovníkmi. Kvalifi</w:t>
      </w:r>
      <w:r w:rsidR="00B7126D">
        <w:t>kačným pre</w:t>
      </w:r>
      <w:r w:rsidR="00FC78C5">
        <w:t>dpokladom na pozíciu terénneho sociálneho pracovníka je ukončeni</w:t>
      </w:r>
      <w:r w:rsidR="00540891">
        <w:t>e</w:t>
      </w:r>
      <w:r w:rsidR="00FC78C5">
        <w:t xml:space="preserve"> vysokoškolského vzdelania II</w:t>
      </w:r>
      <w:r w:rsidR="00B7126D">
        <w:t>.</w:t>
      </w:r>
      <w:r w:rsidR="00FC78C5">
        <w:t xml:space="preserve"> stupňa. Terénnym pracovníkom postačuje </w:t>
      </w:r>
      <w:r w:rsidR="00FC78C5">
        <w:rPr>
          <w:rFonts w:eastAsia="Calibri" w:cs="Calibri"/>
        </w:rPr>
        <w:t>neúplné stredoškolské vzdelanie resp. nižšie stredné odborné vzdelanie.</w:t>
      </w:r>
      <w:r w:rsidR="00FC78C5">
        <w:t xml:space="preserve"> Pre ďalší kariérny rast terénnych pracovníkov by bolo vhod</w:t>
      </w:r>
      <w:r w:rsidR="002709F1">
        <w:t>né podporiť ich snahu zvýšiť si </w:t>
      </w:r>
      <w:r w:rsidR="00FC78C5">
        <w:t xml:space="preserve">kvalifikáciu aj prostredníctvom ďalšieho štúdia na strednej a vysokej škole, a umožniť im postúpiť na pozíciu terénneho sociálneho pracovníka. Keďže nízke dosiahnuté vzdelanie je často prekážkou pre ľudí z MRK získať </w:t>
      </w:r>
      <w:r w:rsidR="00FC78C5">
        <w:lastRenderedPageBreak/>
        <w:t xml:space="preserve">zamestnanie vyžadujúce vyššiu kvalifikáciu, toto opatrenie by postupom času mohlo pomôcť zvýšiť zastúpenie ľudí z MRK medzi terénnymi sociálnymi pracovníkmi (podkapitola </w:t>
      </w:r>
      <w:r w:rsidR="0010591A">
        <w:fldChar w:fldCharType="begin"/>
      </w:r>
      <w:r w:rsidR="0010591A">
        <w:instrText xml:space="preserve"> REF _Ref25310196 \r \h </w:instrText>
      </w:r>
      <w:r w:rsidR="0010591A">
        <w:fldChar w:fldCharType="separate"/>
      </w:r>
      <w:r w:rsidR="00FA29AF">
        <w:t>11.1</w:t>
      </w:r>
      <w:r w:rsidR="0010591A">
        <w:fldChar w:fldCharType="end"/>
      </w:r>
      <w:r w:rsidR="00FC78C5">
        <w:t>).</w:t>
      </w:r>
    </w:p>
    <w:p w14:paraId="565418F7" w14:textId="199ECB7D" w:rsidR="00FC78C5" w:rsidRPr="007C6A24" w:rsidRDefault="00EF63D6" w:rsidP="00046111">
      <w:pPr>
        <w:spacing w:before="160"/>
      </w:pPr>
      <w:r>
        <w:rPr>
          <w:b/>
        </w:rPr>
        <w:t>24</w:t>
      </w:r>
      <w:r w:rsidR="00FC78C5" w:rsidRPr="00181986">
        <w:rPr>
          <w:b/>
        </w:rPr>
        <w:t>. Rozšír</w:t>
      </w:r>
      <w:r w:rsidR="00E130A9">
        <w:rPr>
          <w:b/>
        </w:rPr>
        <w:t>iť</w:t>
      </w:r>
      <w:r w:rsidR="00FC78C5" w:rsidRPr="00181986">
        <w:rPr>
          <w:b/>
        </w:rPr>
        <w:t xml:space="preserve"> program terénnej sociálnej práce</w:t>
      </w:r>
      <w:r w:rsidR="00AD5B60">
        <w:rPr>
          <w:b/>
        </w:rPr>
        <w:t xml:space="preserve"> o obce, v ktorých chýba</w:t>
      </w:r>
      <w:r w:rsidR="00D05492">
        <w:rPr>
          <w:b/>
        </w:rPr>
        <w:t xml:space="preserve"> </w:t>
      </w:r>
      <w:r w:rsidR="00D05492">
        <w:rPr>
          <w:rFonts w:eastAsia="Times New Roman" w:cs="Times New Roman"/>
          <w:b/>
          <w:color w:val="000000"/>
          <w:szCs w:val="22"/>
          <w:lang w:eastAsia="sk-SK"/>
        </w:rPr>
        <w:t>(potenciál 2,0 miliónov eur)</w:t>
      </w:r>
      <w:r w:rsidR="00FC78C5" w:rsidRPr="00181986">
        <w:rPr>
          <w:b/>
        </w:rPr>
        <w:t>.</w:t>
      </w:r>
      <w:r w:rsidR="00FC78C5">
        <w:rPr>
          <w:b/>
        </w:rPr>
        <w:t xml:space="preserve"> </w:t>
      </w:r>
      <w:r w:rsidR="00FC78C5">
        <w:rPr>
          <w:rFonts w:eastAsia="Times New Roman" w:cs="Times New Roman"/>
          <w:color w:val="000000"/>
          <w:lang w:eastAsia="sk-SK"/>
        </w:rPr>
        <w:t xml:space="preserve">Terénna sociálna práca </w:t>
      </w:r>
      <w:r w:rsidR="00FC78C5" w:rsidRPr="00CA2564">
        <w:rPr>
          <w:rFonts w:eastAsia="Times New Roman" w:cs="Times New Roman"/>
          <w:color w:val="000000"/>
          <w:lang w:eastAsia="sk-SK"/>
        </w:rPr>
        <w:t>je jedinečným nástrojom, ktor</w:t>
      </w:r>
      <w:r w:rsidR="00FC78C5">
        <w:rPr>
          <w:rFonts w:eastAsia="Times New Roman" w:cs="Times New Roman"/>
          <w:color w:val="000000"/>
          <w:lang w:eastAsia="sk-SK"/>
        </w:rPr>
        <w:t>ý</w:t>
      </w:r>
      <w:r w:rsidR="00FC78C5" w:rsidRPr="00CA2564">
        <w:rPr>
          <w:rFonts w:eastAsia="Times New Roman" w:cs="Times New Roman"/>
          <w:color w:val="000000"/>
          <w:lang w:eastAsia="sk-SK"/>
        </w:rPr>
        <w:t xml:space="preserve"> zlepšuje prístup najzraniteľnejších skupín obyvateľov k nástrojom </w:t>
      </w:r>
      <w:r w:rsidR="00FC78C5" w:rsidRPr="007C6A24">
        <w:rPr>
          <w:rFonts w:eastAsia="Times New Roman" w:cs="Times New Roman"/>
          <w:color w:val="000000"/>
          <w:lang w:eastAsia="sk-SK"/>
        </w:rPr>
        <w:t>sociálnej pomoci a k verejným službám</w:t>
      </w:r>
      <w:r w:rsidR="00FC78C5" w:rsidRPr="007C6A24">
        <w:t>. Jej prínos potvrdzuje kvalitatívne hodnotenie, ktoré zistilo pozitívny dopad jednotlivých okruhov intervencií na situáciu klientov a komunity.</w:t>
      </w:r>
      <w:r w:rsidR="00FC78C5">
        <w:t xml:space="preserve"> </w:t>
      </w:r>
      <w:r w:rsidR="00A22F76">
        <w:t>T</w:t>
      </w:r>
      <w:r w:rsidR="00FC78C5">
        <w:t>áto služba</w:t>
      </w:r>
      <w:r w:rsidR="00A22F76">
        <w:t xml:space="preserve"> však nie je</w:t>
      </w:r>
      <w:r w:rsidR="00FC78C5">
        <w:t xml:space="preserve"> dostupná vo všetkých obciach s príslušnosťou MRK, ktoré by ju potrebovali</w:t>
      </w:r>
      <w:r w:rsidR="00622CE6">
        <w:rPr>
          <w:szCs w:val="22"/>
        </w:rPr>
        <w:t xml:space="preserve"> (podkapitola</w:t>
      </w:r>
      <w:r w:rsidR="004177A4">
        <w:rPr>
          <w:szCs w:val="22"/>
        </w:rPr>
        <w:t xml:space="preserve"> </w:t>
      </w:r>
      <w:r w:rsidR="004177A4">
        <w:rPr>
          <w:szCs w:val="22"/>
        </w:rPr>
        <w:fldChar w:fldCharType="begin"/>
      </w:r>
      <w:r w:rsidR="004177A4">
        <w:rPr>
          <w:szCs w:val="22"/>
        </w:rPr>
        <w:instrText xml:space="preserve"> REF _Ref25310196 \r \h </w:instrText>
      </w:r>
      <w:r w:rsidR="004177A4">
        <w:rPr>
          <w:szCs w:val="22"/>
        </w:rPr>
      </w:r>
      <w:r w:rsidR="004177A4">
        <w:rPr>
          <w:szCs w:val="22"/>
        </w:rPr>
        <w:fldChar w:fldCharType="separate"/>
      </w:r>
      <w:r w:rsidR="00FA29AF">
        <w:rPr>
          <w:szCs w:val="22"/>
        </w:rPr>
        <w:t>11.1</w:t>
      </w:r>
      <w:r w:rsidR="004177A4">
        <w:rPr>
          <w:szCs w:val="22"/>
        </w:rPr>
        <w:fldChar w:fldCharType="end"/>
      </w:r>
      <w:r w:rsidR="00622CE6">
        <w:rPr>
          <w:szCs w:val="22"/>
        </w:rPr>
        <w:t>)</w:t>
      </w:r>
      <w:r w:rsidR="00FC78C5" w:rsidRPr="007C6A24">
        <w:rPr>
          <w:szCs w:val="22"/>
        </w:rPr>
        <w:t xml:space="preserve">. Pre doplnenie kapacít v týchto obciach by bolo potrebné vytvoriť </w:t>
      </w:r>
      <w:r w:rsidR="00FC78C5">
        <w:rPr>
          <w:szCs w:val="22"/>
        </w:rPr>
        <w:t xml:space="preserve">odhadom okolo </w:t>
      </w:r>
      <w:r w:rsidR="00FC78C5" w:rsidRPr="007C6A24">
        <w:rPr>
          <w:szCs w:val="22"/>
        </w:rPr>
        <w:t xml:space="preserve">102 </w:t>
      </w:r>
      <w:r w:rsidR="00FC78C5">
        <w:rPr>
          <w:szCs w:val="22"/>
        </w:rPr>
        <w:t xml:space="preserve">dodatočných </w:t>
      </w:r>
      <w:r w:rsidR="00FC78C5" w:rsidRPr="007C6A24">
        <w:rPr>
          <w:szCs w:val="22"/>
        </w:rPr>
        <w:t>pracovných miest pre terénnych sociálnych pracovníkov a</w:t>
      </w:r>
      <w:r w:rsidR="00FC78C5">
        <w:rPr>
          <w:szCs w:val="22"/>
        </w:rPr>
        <w:t> </w:t>
      </w:r>
      <w:r w:rsidR="00FC78C5" w:rsidRPr="007C6A24">
        <w:rPr>
          <w:szCs w:val="22"/>
        </w:rPr>
        <w:t>47</w:t>
      </w:r>
      <w:r w:rsidR="00FC78C5">
        <w:rPr>
          <w:szCs w:val="22"/>
        </w:rPr>
        <w:t xml:space="preserve"> dodatočných</w:t>
      </w:r>
      <w:r w:rsidR="00FC78C5" w:rsidRPr="007C6A24">
        <w:rPr>
          <w:szCs w:val="22"/>
        </w:rPr>
        <w:t xml:space="preserve"> pracovných miest pre terénnych pracovníkov</w:t>
      </w:r>
      <w:r w:rsidR="000D287F">
        <w:rPr>
          <w:szCs w:val="22"/>
        </w:rPr>
        <w:t xml:space="preserve"> (</w:t>
      </w:r>
      <w:r w:rsidR="00947C94">
        <w:fldChar w:fldCharType="begin"/>
      </w:r>
      <w:r w:rsidR="00947C94">
        <w:instrText xml:space="preserve"> REF _Ref34129538 \h  \* MERGEFORMAT </w:instrText>
      </w:r>
      <w:r w:rsidR="00947C94">
        <w:fldChar w:fldCharType="separate"/>
      </w:r>
      <w:r w:rsidR="00FA29AF" w:rsidRPr="00FA29AF">
        <w:t>Príloha 40</w:t>
      </w:r>
      <w:r w:rsidR="00947C94">
        <w:fldChar w:fldCharType="end"/>
      </w:r>
      <w:r w:rsidR="000D287F">
        <w:rPr>
          <w:szCs w:val="22"/>
        </w:rPr>
        <w:t>)</w:t>
      </w:r>
      <w:r w:rsidR="00FC78C5">
        <w:rPr>
          <w:szCs w:val="22"/>
        </w:rPr>
        <w:t>.</w:t>
      </w:r>
      <w:r w:rsidR="008E59E0">
        <w:rPr>
          <w:szCs w:val="22"/>
        </w:rPr>
        <w:t xml:space="preserve"> Miera rozšírenia bude závisieť aj od záujmu samotných obcí, ktorých súhlas a spolupráca je podmienkou pre realizáciu programu.</w:t>
      </w:r>
    </w:p>
    <w:p w14:paraId="734EA9B9" w14:textId="6883A64D" w:rsidR="00FC78C5" w:rsidRPr="00934430" w:rsidRDefault="00EF63D6" w:rsidP="00046111">
      <w:pPr>
        <w:rPr>
          <w:bCs/>
        </w:rPr>
      </w:pPr>
      <w:r>
        <w:rPr>
          <w:b/>
        </w:rPr>
        <w:t>25</w:t>
      </w:r>
      <w:r w:rsidR="00FC78C5" w:rsidRPr="00181986">
        <w:rPr>
          <w:b/>
        </w:rPr>
        <w:t xml:space="preserve">. </w:t>
      </w:r>
      <w:r w:rsidR="00E130A9" w:rsidRPr="00181986">
        <w:rPr>
          <w:b/>
        </w:rPr>
        <w:t>Rozšír</w:t>
      </w:r>
      <w:r w:rsidR="00E130A9">
        <w:rPr>
          <w:b/>
        </w:rPr>
        <w:t>iť</w:t>
      </w:r>
      <w:r w:rsidR="00E130A9" w:rsidRPr="00181986">
        <w:rPr>
          <w:b/>
        </w:rPr>
        <w:t xml:space="preserve"> </w:t>
      </w:r>
      <w:r w:rsidR="00FC78C5" w:rsidRPr="00181986">
        <w:rPr>
          <w:b/>
        </w:rPr>
        <w:t>program Zdravých komunít</w:t>
      </w:r>
      <w:r w:rsidR="00AD5B60">
        <w:rPr>
          <w:b/>
        </w:rPr>
        <w:t xml:space="preserve"> o obce, v ktorých chýba</w:t>
      </w:r>
      <w:r w:rsidR="00D05492">
        <w:rPr>
          <w:b/>
        </w:rPr>
        <w:t xml:space="preserve"> </w:t>
      </w:r>
      <w:r w:rsidR="00D05492">
        <w:rPr>
          <w:rFonts w:eastAsia="Times New Roman" w:cs="Times New Roman"/>
          <w:b/>
          <w:color w:val="000000"/>
          <w:szCs w:val="22"/>
          <w:lang w:eastAsia="sk-SK"/>
        </w:rPr>
        <w:t>(potenciál 0,7 miliónov eur)</w:t>
      </w:r>
      <w:r w:rsidR="00FC78C5" w:rsidRPr="00181986">
        <w:rPr>
          <w:b/>
        </w:rPr>
        <w:t>.</w:t>
      </w:r>
      <w:r w:rsidR="00FC78C5">
        <w:rPr>
          <w:b/>
        </w:rPr>
        <w:t xml:space="preserve"> </w:t>
      </w:r>
      <w:r w:rsidR="00FC78C5" w:rsidRPr="00934430">
        <w:rPr>
          <w:bCs/>
        </w:rPr>
        <w:t xml:space="preserve">Projekt Zdravé komunity </w:t>
      </w:r>
      <w:r w:rsidR="00FC78C5" w:rsidRPr="00CA2564">
        <w:t xml:space="preserve">realizuje </w:t>
      </w:r>
      <w:r w:rsidR="00FC78C5">
        <w:t xml:space="preserve">v prostredí MRK osvetové aktivity, </w:t>
      </w:r>
      <w:r w:rsidR="00FC78C5" w:rsidRPr="00CA2564">
        <w:t xml:space="preserve">zdravotnú mediáciu (napr. komunikácia medzi </w:t>
      </w:r>
      <w:r w:rsidR="002709F1">
        <w:t>ľuďmi z </w:t>
      </w:r>
      <w:r w:rsidR="00FC78C5">
        <w:t>prostredia</w:t>
      </w:r>
      <w:r w:rsidR="00FC78C5" w:rsidRPr="00CA2564">
        <w:t xml:space="preserve"> MRK a zdravotníckymi zariadeniami)</w:t>
      </w:r>
      <w:r w:rsidR="00FC78C5">
        <w:t xml:space="preserve"> a ďalšiu podporu zdravia</w:t>
      </w:r>
      <w:r w:rsidR="00FC78C5" w:rsidRPr="00CA2564">
        <w:t>.</w:t>
      </w:r>
      <w:r w:rsidR="00FC78C5">
        <w:t xml:space="preserve"> </w:t>
      </w:r>
      <w:r w:rsidR="00A22F76">
        <w:t xml:space="preserve">Program je pozitívne hodnotený </w:t>
      </w:r>
      <w:r w:rsidR="00FC78C5">
        <w:t xml:space="preserve">spolupracujúcimi lekármi prvého kontaktu </w:t>
      </w:r>
      <w:r w:rsidR="00A95960" w:rsidRPr="00D43126">
        <w:rPr>
          <w:szCs w:val="22"/>
        </w:rPr>
        <w:t>(podkapitola</w:t>
      </w:r>
      <w:r w:rsidR="004177A4">
        <w:rPr>
          <w:szCs w:val="22"/>
        </w:rPr>
        <w:t xml:space="preserve"> </w:t>
      </w:r>
      <w:r w:rsidR="004177A4">
        <w:rPr>
          <w:szCs w:val="22"/>
        </w:rPr>
        <w:fldChar w:fldCharType="begin"/>
      </w:r>
      <w:r w:rsidR="004177A4">
        <w:rPr>
          <w:szCs w:val="22"/>
        </w:rPr>
        <w:instrText xml:space="preserve"> REF _Ref25310196 \r \h </w:instrText>
      </w:r>
      <w:r w:rsidR="004177A4">
        <w:rPr>
          <w:szCs w:val="22"/>
        </w:rPr>
      </w:r>
      <w:r w:rsidR="004177A4">
        <w:rPr>
          <w:szCs w:val="22"/>
        </w:rPr>
        <w:fldChar w:fldCharType="separate"/>
      </w:r>
      <w:r w:rsidR="00FA29AF">
        <w:rPr>
          <w:szCs w:val="22"/>
        </w:rPr>
        <w:t>11.1</w:t>
      </w:r>
      <w:r w:rsidR="004177A4">
        <w:rPr>
          <w:szCs w:val="22"/>
        </w:rPr>
        <w:fldChar w:fldCharType="end"/>
      </w:r>
      <w:r w:rsidR="00A95960" w:rsidRPr="00D43126">
        <w:rPr>
          <w:szCs w:val="22"/>
        </w:rPr>
        <w:t>)</w:t>
      </w:r>
      <w:r w:rsidR="00FC78C5" w:rsidRPr="00D43126">
        <w:rPr>
          <w:rFonts w:cs="GTAmerica-Regular"/>
          <w:szCs w:val="22"/>
        </w:rPr>
        <w:t>.</w:t>
      </w:r>
      <w:r w:rsidR="00D43126" w:rsidRPr="00D43126">
        <w:rPr>
          <w:rFonts w:cs="GTAmerica-Regular"/>
          <w:szCs w:val="22"/>
        </w:rPr>
        <w:t xml:space="preserve"> </w:t>
      </w:r>
      <w:r w:rsidR="00D43126" w:rsidRPr="00D41517">
        <w:t>Opatrenie predpokladá rozšírenie programu Zdravé komunity tak, aby dosiahol úplné pokrytie MRK. Za týmto účelom by bolo potrebných zamestnať ďalších približne 50 asistentov a 10 koordinátorov osvety zdravia</w:t>
      </w:r>
      <w:r w:rsidR="000D287F">
        <w:t xml:space="preserve"> (</w:t>
      </w:r>
      <w:r w:rsidR="00947C94">
        <w:fldChar w:fldCharType="begin"/>
      </w:r>
      <w:r w:rsidR="00947C94">
        <w:instrText xml:space="preserve"> REF _Ref34129538 \h  \* MERGEFORMAT </w:instrText>
      </w:r>
      <w:r w:rsidR="00947C94">
        <w:fldChar w:fldCharType="separate"/>
      </w:r>
      <w:r w:rsidR="00FA29AF" w:rsidRPr="00FA29AF">
        <w:t>Príloha 40</w:t>
      </w:r>
      <w:r w:rsidR="00947C94">
        <w:fldChar w:fldCharType="end"/>
      </w:r>
      <w:r w:rsidR="000D287F">
        <w:t>)</w:t>
      </w:r>
      <w:r w:rsidR="00D43126" w:rsidRPr="00D41517">
        <w:t>.</w:t>
      </w:r>
      <w:r w:rsidR="000D287F">
        <w:t xml:space="preserve"> </w:t>
      </w:r>
      <w:r w:rsidR="000D287F">
        <w:rPr>
          <w:szCs w:val="22"/>
        </w:rPr>
        <w:t>Miera rozšírenia bude závisieť aj od záujmu samotných obcí, ktorých súhlas a spolupráca je podmienkou pre realizáciu programu.</w:t>
      </w:r>
    </w:p>
    <w:p w14:paraId="2B7B2530" w14:textId="2E1539AF" w:rsidR="00FC78C5" w:rsidRPr="00D41517" w:rsidRDefault="00EF63D6" w:rsidP="00452DBC">
      <w:pPr>
        <w:rPr>
          <w:sz w:val="20"/>
        </w:rPr>
      </w:pPr>
      <w:r>
        <w:rPr>
          <w:b/>
        </w:rPr>
        <w:t>26</w:t>
      </w:r>
      <w:r w:rsidR="00FC78C5" w:rsidRPr="00181986">
        <w:rPr>
          <w:b/>
        </w:rPr>
        <w:t xml:space="preserve">. </w:t>
      </w:r>
      <w:r w:rsidR="00E130A9" w:rsidRPr="00181986">
        <w:rPr>
          <w:b/>
        </w:rPr>
        <w:t>Rozšír</w:t>
      </w:r>
      <w:r w:rsidR="00E130A9">
        <w:rPr>
          <w:b/>
        </w:rPr>
        <w:t>iť</w:t>
      </w:r>
      <w:r w:rsidR="00E130A9" w:rsidRPr="00181986">
        <w:rPr>
          <w:b/>
        </w:rPr>
        <w:t xml:space="preserve"> </w:t>
      </w:r>
      <w:r w:rsidR="00FC78C5" w:rsidRPr="00181986">
        <w:rPr>
          <w:b/>
        </w:rPr>
        <w:t xml:space="preserve">program </w:t>
      </w:r>
      <w:r w:rsidR="00BB5C78">
        <w:rPr>
          <w:b/>
        </w:rPr>
        <w:t>mestských občianskych poriadkových služieb</w:t>
      </w:r>
      <w:r w:rsidR="00AD5B60">
        <w:rPr>
          <w:b/>
        </w:rPr>
        <w:t xml:space="preserve"> o obce, v ktorých chýba</w:t>
      </w:r>
      <w:r w:rsidR="00AD5B60" w:rsidRPr="00181986" w:rsidDel="00BB5C78">
        <w:rPr>
          <w:b/>
        </w:rPr>
        <w:t xml:space="preserve"> </w:t>
      </w:r>
      <w:r w:rsidR="0083345A">
        <w:rPr>
          <w:rFonts w:eastAsia="Times New Roman" w:cs="Times New Roman"/>
          <w:b/>
          <w:color w:val="000000"/>
          <w:szCs w:val="22"/>
          <w:lang w:eastAsia="sk-SK"/>
        </w:rPr>
        <w:t>(potenciál 4,5 </w:t>
      </w:r>
      <w:r w:rsidR="00D05492">
        <w:rPr>
          <w:rFonts w:eastAsia="Times New Roman" w:cs="Times New Roman"/>
          <w:b/>
          <w:color w:val="000000"/>
          <w:szCs w:val="22"/>
          <w:lang w:eastAsia="sk-SK"/>
        </w:rPr>
        <w:t>miliónov eur)</w:t>
      </w:r>
      <w:r w:rsidR="00FC78C5" w:rsidRPr="00181986">
        <w:rPr>
          <w:b/>
        </w:rPr>
        <w:t>.</w:t>
      </w:r>
      <w:r w:rsidR="00FC78C5">
        <w:rPr>
          <w:b/>
        </w:rPr>
        <w:t xml:space="preserve"> </w:t>
      </w:r>
      <w:r w:rsidR="00663927">
        <w:t>Činnosť p</w:t>
      </w:r>
      <w:r w:rsidR="00FC78C5" w:rsidRPr="00CA2564">
        <w:t>ríslušní</w:t>
      </w:r>
      <w:r w:rsidR="00663927">
        <w:t>kov</w:t>
      </w:r>
      <w:r w:rsidR="00FC78C5" w:rsidRPr="00CA2564">
        <w:t xml:space="preserve"> </w:t>
      </w:r>
      <w:r w:rsidR="00FC78C5">
        <w:t>miestn</w:t>
      </w:r>
      <w:r w:rsidR="00540891">
        <w:t>y</w:t>
      </w:r>
      <w:r w:rsidR="00FC78C5">
        <w:t>ch občianskych poriadkových služi</w:t>
      </w:r>
      <w:r w:rsidR="00663927">
        <w:t>e</w:t>
      </w:r>
      <w:r w:rsidR="00FC78C5">
        <w:t xml:space="preserve">b </w:t>
      </w:r>
      <w:r w:rsidR="00FC78C5" w:rsidRPr="00CA2564">
        <w:t xml:space="preserve">je zameraná na ochranu verejného poriadku, súkromného a verejného </w:t>
      </w:r>
      <w:r w:rsidR="00FC78C5" w:rsidRPr="005B06E4">
        <w:t xml:space="preserve">majetku, detí a mládeže pred negatívnymi javmi, životného prostredia a plynulosti a bezpečnosti cestnej premávky. </w:t>
      </w:r>
      <w:r w:rsidR="00663927">
        <w:t>V</w:t>
      </w:r>
      <w:r w:rsidR="00FC78C5" w:rsidRPr="005B06E4">
        <w:t xml:space="preserve">ýskum z USA naznačuje, že poriadkové hliadky majú mierny ale konzistentný dopad na zníženie trestnej činnosti. </w:t>
      </w:r>
      <w:r w:rsidR="00FC78C5">
        <w:t>O pozitívnom vnímaní programu svedčí aj vysoký záujem o účasť</w:t>
      </w:r>
      <w:r w:rsidR="00FC78C5" w:rsidRPr="00CA2564">
        <w:t xml:space="preserve"> zo strany obcí s príslušnosťou MRK</w:t>
      </w:r>
      <w:r w:rsidR="00A95960">
        <w:t xml:space="preserve"> </w:t>
      </w:r>
      <w:r w:rsidR="00A95960">
        <w:rPr>
          <w:szCs w:val="22"/>
        </w:rPr>
        <w:t>(podkapitola</w:t>
      </w:r>
      <w:r w:rsidR="004177A4">
        <w:rPr>
          <w:szCs w:val="22"/>
        </w:rPr>
        <w:t xml:space="preserve"> </w:t>
      </w:r>
      <w:r w:rsidR="004177A4">
        <w:rPr>
          <w:szCs w:val="22"/>
        </w:rPr>
        <w:fldChar w:fldCharType="begin"/>
      </w:r>
      <w:r w:rsidR="004177A4">
        <w:rPr>
          <w:szCs w:val="22"/>
        </w:rPr>
        <w:instrText xml:space="preserve"> REF _Ref25310196 \r \h </w:instrText>
      </w:r>
      <w:r w:rsidR="004177A4">
        <w:rPr>
          <w:szCs w:val="22"/>
        </w:rPr>
      </w:r>
      <w:r w:rsidR="004177A4">
        <w:rPr>
          <w:szCs w:val="22"/>
        </w:rPr>
        <w:fldChar w:fldCharType="separate"/>
      </w:r>
      <w:r w:rsidR="00FA29AF">
        <w:rPr>
          <w:szCs w:val="22"/>
        </w:rPr>
        <w:t>11.1</w:t>
      </w:r>
      <w:r w:rsidR="004177A4">
        <w:rPr>
          <w:szCs w:val="22"/>
        </w:rPr>
        <w:fldChar w:fldCharType="end"/>
      </w:r>
      <w:r w:rsidR="00A95960">
        <w:rPr>
          <w:szCs w:val="22"/>
        </w:rPr>
        <w:t>)</w:t>
      </w:r>
      <w:r w:rsidR="00FC78C5">
        <w:t>.</w:t>
      </w:r>
      <w:r w:rsidR="000D287F">
        <w:t xml:space="preserve"> Opatrenie predpokladá rozšírenie programu </w:t>
      </w:r>
      <w:r w:rsidR="0083345A">
        <w:t xml:space="preserve">miestnych občianskych poriadkových služieb </w:t>
      </w:r>
      <w:r w:rsidR="000D287F">
        <w:t>na všetky obce</w:t>
      </w:r>
      <w:r w:rsidR="00304301">
        <w:t>,</w:t>
      </w:r>
      <w:r w:rsidR="000D287F">
        <w:t xml:space="preserve"> v ktorých žije minimálne 80 osôb v prostredí </w:t>
      </w:r>
      <w:r w:rsidR="000D287F" w:rsidRPr="004135C9">
        <w:rPr>
          <w:szCs w:val="22"/>
        </w:rPr>
        <w:t>MRK</w:t>
      </w:r>
      <w:r w:rsidR="000D287F">
        <w:rPr>
          <w:szCs w:val="22"/>
        </w:rPr>
        <w:t xml:space="preserve"> (</w:t>
      </w:r>
      <w:r w:rsidR="00947C94">
        <w:fldChar w:fldCharType="begin"/>
      </w:r>
      <w:r w:rsidR="00947C94">
        <w:instrText xml:space="preserve"> REF _Ref34129538 \h  \* MERGEFORMAT </w:instrText>
      </w:r>
      <w:r w:rsidR="00947C94">
        <w:fldChar w:fldCharType="separate"/>
      </w:r>
      <w:r w:rsidR="00FA29AF" w:rsidRPr="00FA29AF">
        <w:t>Príloha 40</w:t>
      </w:r>
      <w:r w:rsidR="00947C94">
        <w:fldChar w:fldCharType="end"/>
      </w:r>
      <w:r w:rsidR="000D287F">
        <w:rPr>
          <w:szCs w:val="22"/>
        </w:rPr>
        <w:t>)</w:t>
      </w:r>
      <w:r w:rsidR="000D287F" w:rsidRPr="004135C9">
        <w:rPr>
          <w:szCs w:val="22"/>
        </w:rPr>
        <w:t xml:space="preserve">. </w:t>
      </w:r>
      <w:r w:rsidR="000D287F">
        <w:rPr>
          <w:szCs w:val="22"/>
        </w:rPr>
        <w:t>Miera rozšírenia bude závisieť</w:t>
      </w:r>
      <w:r w:rsidR="000D287F" w:rsidRPr="00D41517">
        <w:rPr>
          <w:szCs w:val="22"/>
        </w:rPr>
        <w:t xml:space="preserve"> od ochoty a sch</w:t>
      </w:r>
      <w:r w:rsidR="002709F1">
        <w:rPr>
          <w:szCs w:val="22"/>
        </w:rPr>
        <w:t>opnosti samospráv zapojiť sa do </w:t>
      </w:r>
      <w:r w:rsidR="000D287F" w:rsidRPr="00D41517">
        <w:rPr>
          <w:szCs w:val="22"/>
        </w:rPr>
        <w:t>programu.</w:t>
      </w:r>
    </w:p>
    <w:p w14:paraId="35C38F67" w14:textId="284BA23A" w:rsidR="00A22588" w:rsidRDefault="00A22588">
      <w:pPr>
        <w:spacing w:after="160"/>
        <w:jc w:val="left"/>
        <w:rPr>
          <w:rFonts w:eastAsiaTheme="majorEastAsia" w:cstheme="majorBidi"/>
          <w:color w:val="0070C0"/>
          <w:sz w:val="26"/>
          <w:szCs w:val="26"/>
        </w:rPr>
      </w:pPr>
      <w:bookmarkStart w:id="15" w:name="_Toc29370993"/>
      <w:bookmarkStart w:id="16" w:name="_Toc30769053"/>
      <w:bookmarkStart w:id="17" w:name="_Toc30769933"/>
      <w:bookmarkStart w:id="18" w:name="_Toc30771765"/>
      <w:bookmarkStart w:id="19" w:name="_Toc30778547"/>
      <w:bookmarkStart w:id="20" w:name="_Toc32339429"/>
      <w:bookmarkEnd w:id="15"/>
      <w:bookmarkEnd w:id="16"/>
      <w:bookmarkEnd w:id="17"/>
      <w:bookmarkEnd w:id="18"/>
      <w:bookmarkEnd w:id="19"/>
      <w:bookmarkEnd w:id="20"/>
      <w:r>
        <w:br w:type="page"/>
      </w:r>
    </w:p>
    <w:p w14:paraId="6204A9C8" w14:textId="0F406DDE" w:rsidR="00CB04BA" w:rsidRDefault="00172D55" w:rsidP="00677F81">
      <w:pPr>
        <w:pStyle w:val="Nadpis2"/>
        <w:spacing w:before="240"/>
      </w:pPr>
      <w:bookmarkStart w:id="21" w:name="_Toc34657701"/>
      <w:r>
        <w:lastRenderedPageBreak/>
        <w:t>Úspora</w:t>
      </w:r>
      <w:bookmarkEnd w:id="21"/>
    </w:p>
    <w:p w14:paraId="34886C5F" w14:textId="2079C698" w:rsidR="00A22588" w:rsidRPr="00A22588" w:rsidRDefault="00A22588" w:rsidP="00A22588">
      <w:pPr>
        <w:spacing w:before="200"/>
        <w:rPr>
          <w:bCs/>
          <w:szCs w:val="22"/>
        </w:rPr>
      </w:pPr>
      <w:r>
        <w:rPr>
          <w:b/>
          <w:bCs/>
          <w:szCs w:val="22"/>
        </w:rPr>
        <w:t>Úsporné o</w:t>
      </w:r>
      <w:r w:rsidRPr="00C72E59">
        <w:rPr>
          <w:b/>
          <w:bCs/>
          <w:szCs w:val="22"/>
        </w:rPr>
        <w:t xml:space="preserve">patrenia </w:t>
      </w:r>
      <w:r>
        <w:rPr>
          <w:b/>
          <w:bCs/>
          <w:szCs w:val="22"/>
        </w:rPr>
        <w:t xml:space="preserve">revízie </w:t>
      </w:r>
      <w:r w:rsidRPr="00C72E59">
        <w:rPr>
          <w:b/>
          <w:bCs/>
          <w:szCs w:val="22"/>
        </w:rPr>
        <w:t xml:space="preserve">predstavujú </w:t>
      </w:r>
      <w:r>
        <w:rPr>
          <w:b/>
          <w:bCs/>
          <w:szCs w:val="22"/>
        </w:rPr>
        <w:t>úsporu vo výške 13,7</w:t>
      </w:r>
      <w:r w:rsidRPr="00C72E59">
        <w:rPr>
          <w:b/>
          <w:bCs/>
          <w:szCs w:val="22"/>
        </w:rPr>
        <w:t xml:space="preserve"> miliónov</w:t>
      </w:r>
      <w:r w:rsidR="002709F1">
        <w:rPr>
          <w:b/>
          <w:bCs/>
          <w:szCs w:val="22"/>
        </w:rPr>
        <w:t>, z toho vo prvom roku je </w:t>
      </w:r>
      <w:r>
        <w:rPr>
          <w:b/>
          <w:bCs/>
          <w:szCs w:val="22"/>
        </w:rPr>
        <w:t>realizovateľných 1,4 milióna eur</w:t>
      </w:r>
      <w:r w:rsidRPr="00C72E59">
        <w:rPr>
          <w:b/>
          <w:bCs/>
          <w:szCs w:val="22"/>
        </w:rPr>
        <w:t>.</w:t>
      </w:r>
      <w:r>
        <w:rPr>
          <w:bCs/>
          <w:szCs w:val="22"/>
        </w:rPr>
        <w:t xml:space="preserve"> Revízia identifikuje tzv. potenciál úsporných opatrení, teda objem zdrojov, ktoré by bolo vhodné realokovať na podporu hodnotových opatrení v danej oblasti.</w:t>
      </w:r>
      <w:r>
        <w:rPr>
          <w:rStyle w:val="Odkaznapoznmkupodiarou"/>
          <w:bCs/>
          <w:szCs w:val="22"/>
        </w:rPr>
        <w:footnoteReference w:id="6"/>
      </w:r>
      <w:r>
        <w:rPr>
          <w:bCs/>
          <w:szCs w:val="22"/>
        </w:rPr>
        <w:t xml:space="preserve"> Revízia určuje horizont plnenia, teda počet rokov, počas ktorých sa potenciál dosiahne. Úspory v prv</w:t>
      </w:r>
      <w:r w:rsidR="002709F1">
        <w:rPr>
          <w:bCs/>
          <w:szCs w:val="22"/>
        </w:rPr>
        <w:t>om roku (2021) sú vypočítané za </w:t>
      </w:r>
      <w:r>
        <w:rPr>
          <w:bCs/>
          <w:szCs w:val="22"/>
        </w:rPr>
        <w:t xml:space="preserve">predpokladu rovnomerného (lineárneho) znižovania výdavkov počas horizontu plnenia. </w:t>
      </w:r>
    </w:p>
    <w:tbl>
      <w:tblPr>
        <w:tblW w:w="9072" w:type="dxa"/>
        <w:tblCellMar>
          <w:left w:w="70" w:type="dxa"/>
          <w:right w:w="70" w:type="dxa"/>
        </w:tblCellMar>
        <w:tblLook w:val="04A0" w:firstRow="1" w:lastRow="0" w:firstColumn="1" w:lastColumn="0" w:noHBand="0" w:noVBand="1"/>
      </w:tblPr>
      <w:tblGrid>
        <w:gridCol w:w="323"/>
        <w:gridCol w:w="4922"/>
        <w:gridCol w:w="851"/>
        <w:gridCol w:w="850"/>
        <w:gridCol w:w="851"/>
        <w:gridCol w:w="1275"/>
      </w:tblGrid>
      <w:tr w:rsidR="00EE486A" w:rsidRPr="00893C52" w14:paraId="4D272240" w14:textId="77777777" w:rsidTr="001328BF">
        <w:trPr>
          <w:trHeight w:hRule="exact" w:val="227"/>
        </w:trPr>
        <w:tc>
          <w:tcPr>
            <w:tcW w:w="323" w:type="dxa"/>
            <w:vMerge w:val="restart"/>
            <w:tcBorders>
              <w:top w:val="single" w:sz="4" w:space="0" w:color="auto"/>
              <w:left w:val="nil"/>
              <w:bottom w:val="single" w:sz="4" w:space="0" w:color="000000"/>
              <w:right w:val="nil"/>
            </w:tcBorders>
            <w:shd w:val="clear" w:color="000000" w:fill="DDEBF7"/>
            <w:vAlign w:val="center"/>
            <w:hideMark/>
          </w:tcPr>
          <w:p w14:paraId="61566D10" w14:textId="77777777" w:rsidR="00EE486A" w:rsidRPr="00893C52" w:rsidRDefault="00EE486A" w:rsidP="001328BF">
            <w:pPr>
              <w:spacing w:after="0" w:line="240" w:lineRule="auto"/>
              <w:rPr>
                <w:rFonts w:eastAsia="Times New Roman" w:cs="Times New Roman"/>
                <w:color w:val="000000"/>
                <w:sz w:val="20"/>
                <w:lang w:eastAsia="sk-SK"/>
              </w:rPr>
            </w:pPr>
            <w:bookmarkStart w:id="22" w:name="_Hlk24457822"/>
          </w:p>
        </w:tc>
        <w:tc>
          <w:tcPr>
            <w:tcW w:w="4922" w:type="dxa"/>
            <w:vMerge w:val="restart"/>
            <w:tcBorders>
              <w:top w:val="single" w:sz="4" w:space="0" w:color="auto"/>
              <w:left w:val="nil"/>
              <w:bottom w:val="single" w:sz="4" w:space="0" w:color="000000"/>
              <w:right w:val="nil"/>
            </w:tcBorders>
            <w:shd w:val="clear" w:color="000000" w:fill="DDEBF7"/>
            <w:vAlign w:val="center"/>
            <w:hideMark/>
          </w:tcPr>
          <w:p w14:paraId="4BA2F8A5" w14:textId="77777777" w:rsidR="00EE486A" w:rsidRPr="00893C52" w:rsidRDefault="00EE486A" w:rsidP="001328BF">
            <w:pPr>
              <w:spacing w:after="0" w:line="240" w:lineRule="auto"/>
              <w:rPr>
                <w:rFonts w:eastAsia="Times New Roman" w:cs="Times New Roman"/>
                <w:color w:val="000000"/>
                <w:sz w:val="20"/>
                <w:lang w:eastAsia="sk-SK"/>
              </w:rPr>
            </w:pPr>
            <w:r w:rsidRPr="00893C52">
              <w:rPr>
                <w:rFonts w:eastAsia="Times New Roman" w:cs="Times New Roman"/>
                <w:color w:val="000000"/>
                <w:sz w:val="20"/>
                <w:lang w:eastAsia="sk-SK"/>
              </w:rPr>
              <w:t>Úloha</w:t>
            </w:r>
          </w:p>
        </w:tc>
        <w:tc>
          <w:tcPr>
            <w:tcW w:w="851" w:type="dxa"/>
            <w:vMerge w:val="restart"/>
            <w:tcBorders>
              <w:top w:val="single" w:sz="4" w:space="0" w:color="auto"/>
              <w:left w:val="nil"/>
              <w:bottom w:val="single" w:sz="4" w:space="0" w:color="000000"/>
              <w:right w:val="nil"/>
            </w:tcBorders>
            <w:shd w:val="clear" w:color="000000" w:fill="DDEBF7"/>
            <w:vAlign w:val="center"/>
            <w:hideMark/>
          </w:tcPr>
          <w:p w14:paraId="4629B91E" w14:textId="3F4DF2CF" w:rsidR="00EE486A" w:rsidRDefault="00EE486A" w:rsidP="001328BF">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202</w:t>
            </w:r>
            <w:r w:rsidR="00517D4B">
              <w:rPr>
                <w:rFonts w:eastAsia="Times New Roman" w:cs="Times New Roman"/>
                <w:color w:val="000000"/>
                <w:sz w:val="20"/>
                <w:lang w:eastAsia="sk-SK"/>
              </w:rPr>
              <w:t>1</w:t>
            </w:r>
            <w:r>
              <w:rPr>
                <w:rFonts w:eastAsia="Times New Roman" w:cs="Times New Roman"/>
                <w:color w:val="000000"/>
                <w:sz w:val="20"/>
                <w:lang w:eastAsia="sk-SK"/>
              </w:rPr>
              <w:t xml:space="preserve"> </w:t>
            </w:r>
          </w:p>
          <w:p w14:paraId="49AF924F" w14:textId="77777777" w:rsidR="00EE486A" w:rsidRPr="00893C52" w:rsidRDefault="00EE486A" w:rsidP="001328BF">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(mil. eur)</w:t>
            </w:r>
          </w:p>
        </w:tc>
        <w:tc>
          <w:tcPr>
            <w:tcW w:w="850" w:type="dxa"/>
            <w:vMerge w:val="restart"/>
            <w:tcBorders>
              <w:top w:val="single" w:sz="4" w:space="0" w:color="auto"/>
              <w:left w:val="nil"/>
              <w:bottom w:val="single" w:sz="4" w:space="0" w:color="000000"/>
              <w:right w:val="nil"/>
            </w:tcBorders>
            <w:shd w:val="clear" w:color="000000" w:fill="DDEBF7"/>
            <w:vAlign w:val="center"/>
            <w:hideMark/>
          </w:tcPr>
          <w:p w14:paraId="6F8CB571" w14:textId="77777777" w:rsidR="00EE486A" w:rsidRPr="00893C52" w:rsidRDefault="00EE486A" w:rsidP="001328BF">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Potenciál (mil. eur)</w:t>
            </w:r>
          </w:p>
        </w:tc>
        <w:tc>
          <w:tcPr>
            <w:tcW w:w="851" w:type="dxa"/>
            <w:vMerge w:val="restart"/>
            <w:tcBorders>
              <w:top w:val="single" w:sz="4" w:space="0" w:color="auto"/>
              <w:left w:val="nil"/>
              <w:bottom w:val="single" w:sz="4" w:space="0" w:color="000000"/>
              <w:right w:val="nil"/>
            </w:tcBorders>
            <w:shd w:val="clear" w:color="000000" w:fill="DDEBF7"/>
            <w:vAlign w:val="center"/>
            <w:hideMark/>
          </w:tcPr>
          <w:p w14:paraId="04199A9A" w14:textId="77777777" w:rsidR="00EE486A" w:rsidRPr="00893C52" w:rsidRDefault="00EE486A" w:rsidP="001328BF">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Horizont</w:t>
            </w:r>
            <w:r w:rsidRPr="00893C52">
              <w:rPr>
                <w:rFonts w:eastAsia="Times New Roman" w:cs="Times New Roman"/>
                <w:color w:val="000000"/>
                <w:sz w:val="20"/>
                <w:lang w:eastAsia="sk-SK"/>
              </w:rPr>
              <w:t xml:space="preserve"> (roky)</w:t>
            </w:r>
          </w:p>
        </w:tc>
        <w:tc>
          <w:tcPr>
            <w:tcW w:w="1275" w:type="dxa"/>
            <w:vMerge w:val="restart"/>
            <w:tcBorders>
              <w:top w:val="single" w:sz="4" w:space="0" w:color="auto"/>
              <w:left w:val="nil"/>
              <w:bottom w:val="single" w:sz="4" w:space="0" w:color="000000"/>
              <w:right w:val="nil"/>
            </w:tcBorders>
            <w:shd w:val="clear" w:color="000000" w:fill="DDEBF7"/>
            <w:vAlign w:val="center"/>
            <w:hideMark/>
          </w:tcPr>
          <w:p w14:paraId="654CC4CF" w14:textId="77777777" w:rsidR="00EE486A" w:rsidRPr="00893C52" w:rsidRDefault="00EE486A" w:rsidP="001328BF">
            <w:pPr>
              <w:spacing w:after="0" w:line="240" w:lineRule="auto"/>
              <w:jc w:val="center"/>
              <w:rPr>
                <w:rFonts w:eastAsia="Times New Roman" w:cs="Times New Roman"/>
                <w:color w:val="000000"/>
                <w:sz w:val="20"/>
                <w:lang w:eastAsia="sk-SK"/>
              </w:rPr>
            </w:pPr>
            <w:r w:rsidRPr="00893C52">
              <w:rPr>
                <w:rFonts w:eastAsia="Times New Roman" w:cs="Times New Roman"/>
                <w:color w:val="000000"/>
                <w:sz w:val="20"/>
                <w:lang w:eastAsia="sk-SK"/>
              </w:rPr>
              <w:t>Zodpovednosť</w:t>
            </w:r>
          </w:p>
        </w:tc>
      </w:tr>
      <w:tr w:rsidR="00EE486A" w:rsidRPr="00893C52" w14:paraId="6175D27C" w14:textId="77777777" w:rsidTr="001328BF">
        <w:trPr>
          <w:trHeight w:val="450"/>
        </w:trPr>
        <w:tc>
          <w:tcPr>
            <w:tcW w:w="323" w:type="dxa"/>
            <w:vMerge/>
            <w:tcBorders>
              <w:top w:val="single" w:sz="4" w:space="0" w:color="auto"/>
              <w:left w:val="nil"/>
              <w:bottom w:val="single" w:sz="4" w:space="0" w:color="000000"/>
              <w:right w:val="nil"/>
            </w:tcBorders>
            <w:vAlign w:val="center"/>
            <w:hideMark/>
          </w:tcPr>
          <w:p w14:paraId="7159BE0C" w14:textId="77777777" w:rsidR="00EE486A" w:rsidRPr="00893C52" w:rsidRDefault="00EE486A" w:rsidP="001328BF">
            <w:pPr>
              <w:spacing w:after="0" w:line="240" w:lineRule="auto"/>
              <w:rPr>
                <w:rFonts w:eastAsia="Times New Roman" w:cs="Times New Roman"/>
                <w:color w:val="000000"/>
                <w:sz w:val="20"/>
                <w:lang w:eastAsia="sk-SK"/>
              </w:rPr>
            </w:pPr>
          </w:p>
        </w:tc>
        <w:tc>
          <w:tcPr>
            <w:tcW w:w="4922" w:type="dxa"/>
            <w:vMerge/>
            <w:tcBorders>
              <w:top w:val="single" w:sz="4" w:space="0" w:color="auto"/>
              <w:left w:val="nil"/>
              <w:bottom w:val="single" w:sz="4" w:space="0" w:color="000000"/>
              <w:right w:val="nil"/>
            </w:tcBorders>
            <w:vAlign w:val="center"/>
            <w:hideMark/>
          </w:tcPr>
          <w:p w14:paraId="1ADCD988" w14:textId="77777777" w:rsidR="00EE486A" w:rsidRPr="00893C52" w:rsidRDefault="00EE486A" w:rsidP="001328BF">
            <w:pPr>
              <w:spacing w:after="0" w:line="240" w:lineRule="auto"/>
              <w:rPr>
                <w:rFonts w:eastAsia="Times New Roman" w:cs="Times New Roman"/>
                <w:color w:val="000000"/>
                <w:sz w:val="20"/>
                <w:lang w:eastAsia="sk-SK"/>
              </w:rPr>
            </w:pPr>
          </w:p>
        </w:tc>
        <w:tc>
          <w:tcPr>
            <w:tcW w:w="851" w:type="dxa"/>
            <w:vMerge/>
            <w:tcBorders>
              <w:top w:val="single" w:sz="4" w:space="0" w:color="auto"/>
              <w:left w:val="nil"/>
              <w:bottom w:val="single" w:sz="4" w:space="0" w:color="000000"/>
              <w:right w:val="nil"/>
            </w:tcBorders>
            <w:vAlign w:val="center"/>
            <w:hideMark/>
          </w:tcPr>
          <w:p w14:paraId="259203F5" w14:textId="77777777" w:rsidR="00EE486A" w:rsidRPr="00893C52" w:rsidRDefault="00EE486A" w:rsidP="001328BF">
            <w:pPr>
              <w:spacing w:after="0" w:line="240" w:lineRule="auto"/>
              <w:rPr>
                <w:rFonts w:eastAsia="Times New Roman" w:cs="Times New Roman"/>
                <w:color w:val="000000"/>
                <w:sz w:val="20"/>
                <w:lang w:eastAsia="sk-SK"/>
              </w:rPr>
            </w:pPr>
          </w:p>
        </w:tc>
        <w:tc>
          <w:tcPr>
            <w:tcW w:w="850" w:type="dxa"/>
            <w:vMerge/>
            <w:tcBorders>
              <w:top w:val="single" w:sz="4" w:space="0" w:color="auto"/>
              <w:left w:val="nil"/>
              <w:bottom w:val="single" w:sz="4" w:space="0" w:color="000000"/>
              <w:right w:val="nil"/>
            </w:tcBorders>
            <w:vAlign w:val="center"/>
            <w:hideMark/>
          </w:tcPr>
          <w:p w14:paraId="6DAEA7C4" w14:textId="77777777" w:rsidR="00EE486A" w:rsidRPr="00893C52" w:rsidRDefault="00EE486A" w:rsidP="001328BF">
            <w:pPr>
              <w:spacing w:after="0" w:line="240" w:lineRule="auto"/>
              <w:rPr>
                <w:rFonts w:eastAsia="Times New Roman" w:cs="Times New Roman"/>
                <w:color w:val="000000"/>
                <w:sz w:val="20"/>
                <w:lang w:eastAsia="sk-SK"/>
              </w:rPr>
            </w:pPr>
          </w:p>
        </w:tc>
        <w:tc>
          <w:tcPr>
            <w:tcW w:w="851" w:type="dxa"/>
            <w:vMerge/>
            <w:tcBorders>
              <w:top w:val="single" w:sz="4" w:space="0" w:color="auto"/>
              <w:left w:val="nil"/>
              <w:bottom w:val="single" w:sz="4" w:space="0" w:color="000000"/>
              <w:right w:val="nil"/>
            </w:tcBorders>
            <w:vAlign w:val="center"/>
            <w:hideMark/>
          </w:tcPr>
          <w:p w14:paraId="6066FB45" w14:textId="77777777" w:rsidR="00EE486A" w:rsidRPr="00893C52" w:rsidRDefault="00EE486A" w:rsidP="001328BF">
            <w:pPr>
              <w:spacing w:after="0" w:line="240" w:lineRule="auto"/>
              <w:rPr>
                <w:rFonts w:eastAsia="Times New Roman" w:cs="Times New Roman"/>
                <w:color w:val="000000"/>
                <w:sz w:val="20"/>
                <w:lang w:eastAsia="sk-SK"/>
              </w:rPr>
            </w:pPr>
          </w:p>
        </w:tc>
        <w:tc>
          <w:tcPr>
            <w:tcW w:w="1275" w:type="dxa"/>
            <w:vMerge/>
            <w:tcBorders>
              <w:top w:val="single" w:sz="4" w:space="0" w:color="auto"/>
              <w:left w:val="nil"/>
              <w:bottom w:val="single" w:sz="4" w:space="0" w:color="000000"/>
              <w:right w:val="nil"/>
            </w:tcBorders>
            <w:vAlign w:val="center"/>
            <w:hideMark/>
          </w:tcPr>
          <w:p w14:paraId="69C263A6" w14:textId="77777777" w:rsidR="00EE486A" w:rsidRPr="00893C52" w:rsidRDefault="00EE486A" w:rsidP="001328BF">
            <w:pPr>
              <w:spacing w:after="0" w:line="240" w:lineRule="auto"/>
              <w:rPr>
                <w:rFonts w:eastAsia="Times New Roman" w:cs="Times New Roman"/>
                <w:color w:val="000000"/>
                <w:sz w:val="20"/>
                <w:lang w:eastAsia="sk-SK"/>
              </w:rPr>
            </w:pPr>
          </w:p>
        </w:tc>
      </w:tr>
      <w:tr w:rsidR="00B94A90" w:rsidRPr="00893C52" w14:paraId="7C42BC1F" w14:textId="77777777" w:rsidTr="001328BF">
        <w:trPr>
          <w:trHeight w:val="476"/>
        </w:trPr>
        <w:tc>
          <w:tcPr>
            <w:tcW w:w="323" w:type="dxa"/>
            <w:tcBorders>
              <w:top w:val="nil"/>
              <w:left w:val="nil"/>
              <w:bottom w:val="single" w:sz="4" w:space="0" w:color="auto"/>
              <w:right w:val="nil"/>
            </w:tcBorders>
            <w:shd w:val="clear" w:color="000000" w:fill="FFFFFF"/>
            <w:vAlign w:val="center"/>
            <w:hideMark/>
          </w:tcPr>
          <w:p w14:paraId="0018D091" w14:textId="77777777" w:rsidR="00B94A90" w:rsidRPr="00893C52" w:rsidRDefault="00B94A90" w:rsidP="00B94A90">
            <w:pPr>
              <w:spacing w:after="0" w:line="240" w:lineRule="auto"/>
              <w:jc w:val="center"/>
              <w:rPr>
                <w:rFonts w:eastAsia="Times New Roman" w:cs="Times New Roman"/>
                <w:b/>
                <w:bCs/>
                <w:color w:val="000000"/>
                <w:sz w:val="20"/>
                <w:lang w:eastAsia="sk-SK"/>
              </w:rPr>
            </w:pPr>
            <w:r w:rsidRPr="00893C52">
              <w:rPr>
                <w:rFonts w:eastAsia="Times New Roman" w:cs="Times New Roman"/>
                <w:b/>
                <w:bCs/>
                <w:color w:val="000000"/>
                <w:sz w:val="20"/>
                <w:lang w:eastAsia="sk-SK"/>
              </w:rPr>
              <w:t> </w:t>
            </w:r>
          </w:p>
        </w:tc>
        <w:tc>
          <w:tcPr>
            <w:tcW w:w="4922" w:type="dxa"/>
            <w:tcBorders>
              <w:top w:val="nil"/>
              <w:left w:val="nil"/>
              <w:bottom w:val="single" w:sz="4" w:space="0" w:color="auto"/>
              <w:right w:val="nil"/>
            </w:tcBorders>
            <w:shd w:val="clear" w:color="000000" w:fill="FFFFFF"/>
            <w:vAlign w:val="center"/>
            <w:hideMark/>
          </w:tcPr>
          <w:p w14:paraId="53060545" w14:textId="77777777" w:rsidR="00B94A90" w:rsidRPr="00893C52" w:rsidRDefault="00B94A90" w:rsidP="00B94A90">
            <w:pPr>
              <w:spacing w:after="0" w:line="240" w:lineRule="auto"/>
              <w:rPr>
                <w:rFonts w:eastAsia="Times New Roman" w:cs="Times New Roman"/>
                <w:b/>
                <w:bCs/>
                <w:color w:val="000000"/>
                <w:sz w:val="20"/>
                <w:lang w:eastAsia="sk-SK"/>
              </w:rPr>
            </w:pPr>
            <w:r>
              <w:rPr>
                <w:rFonts w:eastAsia="Times New Roman" w:cs="Times New Roman"/>
                <w:b/>
                <w:bCs/>
                <w:color w:val="000000"/>
                <w:sz w:val="20"/>
                <w:lang w:eastAsia="sk-SK"/>
              </w:rPr>
              <w:t>Vzdelávanie</w:t>
            </w:r>
          </w:p>
        </w:tc>
        <w:tc>
          <w:tcPr>
            <w:tcW w:w="851" w:type="dxa"/>
            <w:tcBorders>
              <w:top w:val="nil"/>
              <w:left w:val="nil"/>
              <w:bottom w:val="single" w:sz="4" w:space="0" w:color="auto"/>
              <w:right w:val="nil"/>
            </w:tcBorders>
            <w:shd w:val="clear" w:color="000000" w:fill="FFFFFF"/>
            <w:vAlign w:val="center"/>
            <w:hideMark/>
          </w:tcPr>
          <w:p w14:paraId="2905038F" w14:textId="45489847" w:rsidR="00B94A90" w:rsidRPr="00893C52" w:rsidRDefault="00A22588" w:rsidP="00D41517">
            <w:pPr>
              <w:spacing w:after="0" w:line="240" w:lineRule="auto"/>
              <w:jc w:val="center"/>
              <w:rPr>
                <w:rFonts w:eastAsia="Times New Roman" w:cs="Times New Roman"/>
                <w:b/>
                <w:bCs/>
                <w:color w:val="000000"/>
                <w:sz w:val="20"/>
                <w:lang w:eastAsia="sk-SK"/>
              </w:rPr>
            </w:pPr>
            <w:r>
              <w:rPr>
                <w:b/>
                <w:bCs/>
                <w:color w:val="000000"/>
                <w:sz w:val="20"/>
              </w:rPr>
              <w:t>0,8</w:t>
            </w:r>
          </w:p>
        </w:tc>
        <w:tc>
          <w:tcPr>
            <w:tcW w:w="850" w:type="dxa"/>
            <w:tcBorders>
              <w:top w:val="nil"/>
              <w:left w:val="nil"/>
              <w:bottom w:val="single" w:sz="4" w:space="0" w:color="auto"/>
              <w:right w:val="nil"/>
            </w:tcBorders>
            <w:shd w:val="clear" w:color="000000" w:fill="FFFFFF"/>
            <w:vAlign w:val="center"/>
            <w:hideMark/>
          </w:tcPr>
          <w:p w14:paraId="40663DBF" w14:textId="1A51BA4A" w:rsidR="00B94A90" w:rsidRPr="00893C52" w:rsidRDefault="00A22588" w:rsidP="00D41517">
            <w:pPr>
              <w:spacing w:after="0" w:line="240" w:lineRule="auto"/>
              <w:jc w:val="center"/>
              <w:rPr>
                <w:rFonts w:eastAsia="Times New Roman" w:cs="Times New Roman"/>
                <w:b/>
                <w:bCs/>
                <w:color w:val="000000"/>
                <w:sz w:val="20"/>
                <w:lang w:eastAsia="sk-SK"/>
              </w:rPr>
            </w:pPr>
            <w:r>
              <w:rPr>
                <w:b/>
                <w:bCs/>
                <w:color w:val="000000"/>
                <w:sz w:val="20"/>
              </w:rPr>
              <w:t>13,1</w:t>
            </w:r>
          </w:p>
        </w:tc>
        <w:tc>
          <w:tcPr>
            <w:tcW w:w="851" w:type="dxa"/>
            <w:tcBorders>
              <w:top w:val="nil"/>
              <w:left w:val="nil"/>
              <w:bottom w:val="single" w:sz="4" w:space="0" w:color="auto"/>
              <w:right w:val="nil"/>
            </w:tcBorders>
            <w:shd w:val="clear" w:color="000000" w:fill="FFFFFF"/>
            <w:vAlign w:val="center"/>
            <w:hideMark/>
          </w:tcPr>
          <w:p w14:paraId="2D5B9617" w14:textId="77777777" w:rsidR="00B94A90" w:rsidRPr="00893C52" w:rsidRDefault="00B94A90" w:rsidP="00B94A90">
            <w:pPr>
              <w:spacing w:after="0" w:line="240" w:lineRule="auto"/>
              <w:jc w:val="center"/>
              <w:rPr>
                <w:rFonts w:eastAsia="Times New Roman" w:cs="Times New Roman"/>
                <w:b/>
                <w:bCs/>
                <w:color w:val="000000"/>
                <w:sz w:val="20"/>
                <w:lang w:eastAsia="sk-SK"/>
              </w:rPr>
            </w:pPr>
            <w:r w:rsidRPr="00893C52">
              <w:rPr>
                <w:rFonts w:eastAsia="Times New Roman" w:cs="Times New Roman"/>
                <w:b/>
                <w:bCs/>
                <w:color w:val="000000"/>
                <w:sz w:val="20"/>
                <w:lang w:eastAsia="sk-SK"/>
              </w:rPr>
              <w:t> </w:t>
            </w:r>
          </w:p>
        </w:tc>
        <w:tc>
          <w:tcPr>
            <w:tcW w:w="1275" w:type="dxa"/>
            <w:tcBorders>
              <w:top w:val="nil"/>
              <w:left w:val="nil"/>
              <w:bottom w:val="single" w:sz="4" w:space="0" w:color="auto"/>
              <w:right w:val="nil"/>
            </w:tcBorders>
            <w:shd w:val="clear" w:color="000000" w:fill="FFFFFF"/>
            <w:vAlign w:val="center"/>
            <w:hideMark/>
          </w:tcPr>
          <w:p w14:paraId="2D99B1B2" w14:textId="77777777" w:rsidR="00B94A90" w:rsidRPr="00893C52" w:rsidRDefault="00B94A90" w:rsidP="00B94A90">
            <w:pPr>
              <w:spacing w:after="0" w:line="240" w:lineRule="auto"/>
              <w:rPr>
                <w:rFonts w:eastAsia="Times New Roman" w:cs="Times New Roman"/>
                <w:b/>
                <w:bCs/>
                <w:color w:val="000000"/>
                <w:sz w:val="20"/>
                <w:lang w:eastAsia="sk-SK"/>
              </w:rPr>
            </w:pPr>
            <w:r w:rsidRPr="00893C52">
              <w:rPr>
                <w:rFonts w:eastAsia="Times New Roman" w:cs="Times New Roman"/>
                <w:b/>
                <w:bCs/>
                <w:color w:val="000000"/>
                <w:sz w:val="20"/>
                <w:lang w:eastAsia="sk-SK"/>
              </w:rPr>
              <w:t> </w:t>
            </w:r>
          </w:p>
        </w:tc>
      </w:tr>
      <w:tr w:rsidR="00B94A90" w:rsidRPr="00893C52" w14:paraId="29E21BCB" w14:textId="77777777" w:rsidTr="001328BF">
        <w:trPr>
          <w:trHeight w:val="238"/>
        </w:trPr>
        <w:tc>
          <w:tcPr>
            <w:tcW w:w="323" w:type="dxa"/>
            <w:tcBorders>
              <w:top w:val="nil"/>
              <w:left w:val="nil"/>
              <w:bottom w:val="dotted" w:sz="4" w:space="0" w:color="auto"/>
              <w:right w:val="nil"/>
            </w:tcBorders>
            <w:shd w:val="clear" w:color="000000" w:fill="FFFFFF"/>
            <w:vAlign w:val="center"/>
            <w:hideMark/>
          </w:tcPr>
          <w:p w14:paraId="2737F5E3" w14:textId="77777777" w:rsidR="00B94A90" w:rsidRPr="00893C52" w:rsidRDefault="00B94A90" w:rsidP="00B94A90">
            <w:pPr>
              <w:spacing w:after="0" w:line="240" w:lineRule="auto"/>
              <w:jc w:val="center"/>
              <w:rPr>
                <w:rFonts w:eastAsia="Times New Roman" w:cs="Times New Roman"/>
                <w:color w:val="000000"/>
                <w:sz w:val="20"/>
                <w:lang w:eastAsia="sk-SK"/>
              </w:rPr>
            </w:pPr>
            <w:r w:rsidRPr="00893C52">
              <w:rPr>
                <w:rFonts w:eastAsia="Times New Roman" w:cs="Times New Roman"/>
                <w:color w:val="000000"/>
                <w:sz w:val="20"/>
                <w:lang w:eastAsia="sk-SK"/>
              </w:rPr>
              <w:t>1</w:t>
            </w:r>
          </w:p>
        </w:tc>
        <w:tc>
          <w:tcPr>
            <w:tcW w:w="4922" w:type="dxa"/>
            <w:tcBorders>
              <w:top w:val="nil"/>
              <w:left w:val="nil"/>
              <w:bottom w:val="dotted" w:sz="4" w:space="0" w:color="auto"/>
              <w:right w:val="nil"/>
            </w:tcBorders>
            <w:shd w:val="clear" w:color="000000" w:fill="FFFFFF"/>
            <w:vAlign w:val="center"/>
            <w:hideMark/>
          </w:tcPr>
          <w:p w14:paraId="28E0CC6C" w14:textId="77777777" w:rsidR="00B94A90" w:rsidRPr="00893C52" w:rsidRDefault="00B94A90" w:rsidP="00B94A90">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Zrušiť nultý ročník základných škôl</w:t>
            </w:r>
          </w:p>
        </w:tc>
        <w:tc>
          <w:tcPr>
            <w:tcW w:w="851" w:type="dxa"/>
            <w:tcBorders>
              <w:top w:val="nil"/>
              <w:left w:val="nil"/>
              <w:bottom w:val="dotted" w:sz="4" w:space="0" w:color="auto"/>
              <w:right w:val="nil"/>
            </w:tcBorders>
            <w:shd w:val="clear" w:color="000000" w:fill="FFFFFF"/>
            <w:vAlign w:val="center"/>
            <w:hideMark/>
          </w:tcPr>
          <w:p w14:paraId="530F2599" w14:textId="560852CC" w:rsidR="00B94A90" w:rsidRPr="00893C52" w:rsidRDefault="00A22588" w:rsidP="00D41517">
            <w:pPr>
              <w:spacing w:after="0" w:line="240" w:lineRule="auto"/>
              <w:jc w:val="center"/>
              <w:rPr>
                <w:rFonts w:eastAsia="Times New Roman" w:cs="Times New Roman"/>
                <w:color w:val="000000"/>
                <w:sz w:val="20"/>
                <w:lang w:eastAsia="sk-SK"/>
              </w:rPr>
            </w:pPr>
            <w:r>
              <w:rPr>
                <w:color w:val="000000"/>
                <w:sz w:val="20"/>
              </w:rPr>
              <w:t>0,0</w:t>
            </w:r>
          </w:p>
        </w:tc>
        <w:tc>
          <w:tcPr>
            <w:tcW w:w="850" w:type="dxa"/>
            <w:tcBorders>
              <w:top w:val="nil"/>
              <w:left w:val="nil"/>
              <w:bottom w:val="dotted" w:sz="4" w:space="0" w:color="auto"/>
              <w:right w:val="nil"/>
            </w:tcBorders>
            <w:shd w:val="clear" w:color="000000" w:fill="FFFFFF"/>
            <w:vAlign w:val="center"/>
            <w:hideMark/>
          </w:tcPr>
          <w:p w14:paraId="07223AAC" w14:textId="4BB8CD83" w:rsidR="00B94A90" w:rsidRPr="00893C52" w:rsidRDefault="00B94A90" w:rsidP="00D41517">
            <w:pPr>
              <w:spacing w:after="0" w:line="240" w:lineRule="auto"/>
              <w:jc w:val="center"/>
              <w:rPr>
                <w:rFonts w:eastAsia="Times New Roman" w:cs="Times New Roman"/>
                <w:color w:val="000000"/>
                <w:sz w:val="20"/>
                <w:lang w:eastAsia="sk-SK"/>
              </w:rPr>
            </w:pPr>
            <w:r>
              <w:rPr>
                <w:color w:val="000000"/>
                <w:sz w:val="20"/>
              </w:rPr>
              <w:t>5,0</w:t>
            </w:r>
          </w:p>
        </w:tc>
        <w:tc>
          <w:tcPr>
            <w:tcW w:w="851" w:type="dxa"/>
            <w:tcBorders>
              <w:top w:val="nil"/>
              <w:left w:val="nil"/>
              <w:bottom w:val="dotted" w:sz="4" w:space="0" w:color="auto"/>
              <w:right w:val="nil"/>
            </w:tcBorders>
            <w:shd w:val="clear" w:color="000000" w:fill="FFFFFF"/>
            <w:vAlign w:val="center"/>
            <w:hideMark/>
          </w:tcPr>
          <w:p w14:paraId="47319507" w14:textId="0BB0E84B" w:rsidR="00B94A90" w:rsidRPr="00893C52" w:rsidRDefault="00B94A90" w:rsidP="00B94A90">
            <w:pPr>
              <w:spacing w:after="0" w:line="240" w:lineRule="auto"/>
              <w:jc w:val="center"/>
              <w:rPr>
                <w:rFonts w:eastAsia="Times New Roman" w:cs="Times New Roman"/>
                <w:color w:val="000000"/>
                <w:sz w:val="20"/>
                <w:lang w:eastAsia="sk-SK"/>
              </w:rPr>
            </w:pPr>
            <w:r>
              <w:rPr>
                <w:color w:val="000000"/>
                <w:sz w:val="20"/>
              </w:rPr>
              <w:t>2</w:t>
            </w:r>
          </w:p>
        </w:tc>
        <w:tc>
          <w:tcPr>
            <w:tcW w:w="1275" w:type="dxa"/>
            <w:tcBorders>
              <w:top w:val="nil"/>
              <w:left w:val="nil"/>
              <w:bottom w:val="dotted" w:sz="4" w:space="0" w:color="auto"/>
              <w:right w:val="nil"/>
            </w:tcBorders>
            <w:shd w:val="clear" w:color="000000" w:fill="FFFFFF"/>
            <w:vAlign w:val="center"/>
            <w:hideMark/>
          </w:tcPr>
          <w:p w14:paraId="542EFE64" w14:textId="77777777" w:rsidR="00B94A90" w:rsidRPr="00893C52" w:rsidRDefault="00B94A90" w:rsidP="00B94A90">
            <w:pPr>
              <w:spacing w:after="0" w:line="240" w:lineRule="auto"/>
              <w:rPr>
                <w:rFonts w:eastAsia="Times New Roman" w:cs="Times New Roman"/>
                <w:color w:val="000000"/>
                <w:sz w:val="20"/>
                <w:lang w:eastAsia="sk-SK"/>
              </w:rPr>
            </w:pPr>
            <w:r>
              <w:rPr>
                <w:rFonts w:eastAsia="Times New Roman" w:cs="Times New Roman"/>
                <w:color w:val="000000"/>
                <w:sz w:val="20"/>
                <w:lang w:eastAsia="sk-SK"/>
              </w:rPr>
              <w:t>MŠVVaŠ</w:t>
            </w:r>
          </w:p>
        </w:tc>
      </w:tr>
      <w:tr w:rsidR="00B94A90" w:rsidRPr="00893C52" w14:paraId="6DEC3519" w14:textId="77777777" w:rsidTr="001328BF">
        <w:trPr>
          <w:trHeight w:val="238"/>
        </w:trPr>
        <w:tc>
          <w:tcPr>
            <w:tcW w:w="323" w:type="dxa"/>
            <w:tcBorders>
              <w:top w:val="nil"/>
              <w:left w:val="nil"/>
              <w:bottom w:val="dotted" w:sz="4" w:space="0" w:color="auto"/>
              <w:right w:val="nil"/>
            </w:tcBorders>
            <w:shd w:val="clear" w:color="000000" w:fill="FFFFFF"/>
            <w:vAlign w:val="center"/>
            <w:hideMark/>
          </w:tcPr>
          <w:p w14:paraId="62510FF0" w14:textId="77777777" w:rsidR="00B94A90" w:rsidRPr="00893C52" w:rsidRDefault="00B94A90" w:rsidP="00B94A90">
            <w:pPr>
              <w:spacing w:after="0" w:line="240" w:lineRule="auto"/>
              <w:jc w:val="center"/>
              <w:rPr>
                <w:rFonts w:eastAsia="Times New Roman" w:cs="Times New Roman"/>
                <w:color w:val="000000"/>
                <w:sz w:val="20"/>
                <w:lang w:eastAsia="sk-SK"/>
              </w:rPr>
            </w:pPr>
            <w:r w:rsidRPr="00893C52">
              <w:rPr>
                <w:rFonts w:eastAsia="Times New Roman" w:cs="Times New Roman"/>
                <w:color w:val="000000"/>
                <w:sz w:val="20"/>
                <w:lang w:eastAsia="sk-SK"/>
              </w:rPr>
              <w:t>2</w:t>
            </w:r>
          </w:p>
        </w:tc>
        <w:tc>
          <w:tcPr>
            <w:tcW w:w="4922" w:type="dxa"/>
            <w:tcBorders>
              <w:top w:val="nil"/>
              <w:left w:val="nil"/>
              <w:bottom w:val="dotted" w:sz="4" w:space="0" w:color="auto"/>
              <w:right w:val="nil"/>
            </w:tcBorders>
            <w:shd w:val="clear" w:color="000000" w:fill="FFFFFF"/>
            <w:vAlign w:val="center"/>
            <w:hideMark/>
          </w:tcPr>
          <w:p w14:paraId="5ADD582E" w14:textId="1CCC4696" w:rsidR="00B94A90" w:rsidRPr="00893C52" w:rsidRDefault="00B94A90" w:rsidP="00B94A90">
            <w:pPr>
              <w:spacing w:after="0" w:line="240" w:lineRule="auto"/>
              <w:jc w:val="left"/>
              <w:rPr>
                <w:rFonts w:eastAsia="Times New Roman" w:cs="Times New Roman"/>
                <w:color w:val="000000"/>
                <w:sz w:val="20"/>
                <w:lang w:eastAsia="sk-SK"/>
              </w:rPr>
            </w:pPr>
            <w:r>
              <w:rPr>
                <w:rFonts w:eastAsia="Times New Roman" w:cs="Times New Roman"/>
                <w:color w:val="000000"/>
                <w:sz w:val="20"/>
                <w:lang w:eastAsia="sk-SK"/>
              </w:rPr>
              <w:t xml:space="preserve">Znížiť zastúpenie </w:t>
            </w:r>
            <w:r w:rsidRPr="00CA2564">
              <w:rPr>
                <w:rFonts w:eastAsia="Times New Roman" w:cs="Times New Roman"/>
                <w:color w:val="000000"/>
                <w:sz w:val="20"/>
                <w:lang w:eastAsia="sk-SK"/>
              </w:rPr>
              <w:t>žiakov z MRK medzi žiakmi s ľahkým mentálnym postihnutím</w:t>
            </w:r>
          </w:p>
        </w:tc>
        <w:tc>
          <w:tcPr>
            <w:tcW w:w="851" w:type="dxa"/>
            <w:tcBorders>
              <w:top w:val="nil"/>
              <w:left w:val="nil"/>
              <w:bottom w:val="dotted" w:sz="4" w:space="0" w:color="auto"/>
              <w:right w:val="nil"/>
            </w:tcBorders>
            <w:shd w:val="clear" w:color="000000" w:fill="FFFFFF"/>
            <w:vAlign w:val="center"/>
            <w:hideMark/>
          </w:tcPr>
          <w:p w14:paraId="788CCF6C" w14:textId="3ECB335C" w:rsidR="00B94A90" w:rsidRPr="00893C52" w:rsidRDefault="00B94A90" w:rsidP="00D41517">
            <w:pPr>
              <w:spacing w:after="0" w:line="240" w:lineRule="auto"/>
              <w:jc w:val="center"/>
              <w:rPr>
                <w:rFonts w:eastAsia="Times New Roman" w:cs="Times New Roman"/>
                <w:color w:val="000000"/>
                <w:sz w:val="20"/>
                <w:lang w:eastAsia="sk-SK"/>
              </w:rPr>
            </w:pPr>
            <w:r>
              <w:rPr>
                <w:color w:val="000000"/>
                <w:sz w:val="20"/>
              </w:rPr>
              <w:t>0,8</w:t>
            </w:r>
          </w:p>
        </w:tc>
        <w:tc>
          <w:tcPr>
            <w:tcW w:w="850" w:type="dxa"/>
            <w:tcBorders>
              <w:top w:val="nil"/>
              <w:left w:val="nil"/>
              <w:bottom w:val="dotted" w:sz="4" w:space="0" w:color="auto"/>
              <w:right w:val="nil"/>
            </w:tcBorders>
            <w:shd w:val="clear" w:color="000000" w:fill="FFFFFF"/>
            <w:vAlign w:val="center"/>
            <w:hideMark/>
          </w:tcPr>
          <w:p w14:paraId="4CFE65F5" w14:textId="63BCAAF4" w:rsidR="00B94A90" w:rsidRPr="00893C52" w:rsidRDefault="00B94A90" w:rsidP="00D41517">
            <w:pPr>
              <w:spacing w:after="0" w:line="240" w:lineRule="auto"/>
              <w:jc w:val="center"/>
              <w:rPr>
                <w:rFonts w:eastAsia="Times New Roman" w:cs="Times New Roman"/>
                <w:color w:val="000000"/>
                <w:sz w:val="20"/>
                <w:lang w:eastAsia="sk-SK"/>
              </w:rPr>
            </w:pPr>
            <w:r>
              <w:rPr>
                <w:color w:val="000000"/>
                <w:sz w:val="20"/>
              </w:rPr>
              <w:t>8,1</w:t>
            </w:r>
          </w:p>
        </w:tc>
        <w:tc>
          <w:tcPr>
            <w:tcW w:w="851" w:type="dxa"/>
            <w:tcBorders>
              <w:top w:val="nil"/>
              <w:left w:val="nil"/>
              <w:bottom w:val="dotted" w:sz="4" w:space="0" w:color="auto"/>
              <w:right w:val="nil"/>
            </w:tcBorders>
            <w:shd w:val="clear" w:color="000000" w:fill="FFFFFF"/>
            <w:vAlign w:val="center"/>
            <w:hideMark/>
          </w:tcPr>
          <w:p w14:paraId="569A4E6E" w14:textId="57F730E6" w:rsidR="00B94A90" w:rsidRPr="00893C52" w:rsidRDefault="00B94A90" w:rsidP="00B94A90">
            <w:pPr>
              <w:spacing w:after="0" w:line="240" w:lineRule="auto"/>
              <w:jc w:val="center"/>
              <w:rPr>
                <w:rFonts w:eastAsia="Times New Roman" w:cs="Times New Roman"/>
                <w:color w:val="000000"/>
                <w:sz w:val="20"/>
                <w:lang w:eastAsia="sk-SK"/>
              </w:rPr>
            </w:pPr>
            <w:r>
              <w:rPr>
                <w:color w:val="000000"/>
                <w:sz w:val="20"/>
              </w:rPr>
              <w:t>10</w:t>
            </w:r>
          </w:p>
        </w:tc>
        <w:tc>
          <w:tcPr>
            <w:tcW w:w="1275" w:type="dxa"/>
            <w:tcBorders>
              <w:top w:val="nil"/>
              <w:left w:val="nil"/>
              <w:bottom w:val="dotted" w:sz="4" w:space="0" w:color="auto"/>
              <w:right w:val="nil"/>
            </w:tcBorders>
            <w:shd w:val="clear" w:color="000000" w:fill="FFFFFF"/>
            <w:vAlign w:val="center"/>
            <w:hideMark/>
          </w:tcPr>
          <w:p w14:paraId="78BFB769" w14:textId="77777777" w:rsidR="00B94A90" w:rsidRPr="00893C52" w:rsidRDefault="00B94A90" w:rsidP="00B94A90">
            <w:pPr>
              <w:spacing w:after="0" w:line="240" w:lineRule="auto"/>
              <w:rPr>
                <w:rFonts w:eastAsia="Times New Roman" w:cs="Times New Roman"/>
                <w:color w:val="000000"/>
                <w:sz w:val="20"/>
                <w:lang w:eastAsia="sk-SK"/>
              </w:rPr>
            </w:pPr>
            <w:r w:rsidRPr="00893C52">
              <w:rPr>
                <w:rFonts w:eastAsia="Times New Roman" w:cs="Times New Roman"/>
                <w:color w:val="000000"/>
                <w:sz w:val="20"/>
                <w:lang w:eastAsia="sk-SK"/>
              </w:rPr>
              <w:t>MŠVVaŠ, MV</w:t>
            </w:r>
          </w:p>
        </w:tc>
      </w:tr>
      <w:tr w:rsidR="00B94A90" w:rsidRPr="00893C52" w14:paraId="0C411DFB" w14:textId="77777777" w:rsidTr="001328BF">
        <w:trPr>
          <w:trHeight w:val="476"/>
        </w:trPr>
        <w:tc>
          <w:tcPr>
            <w:tcW w:w="323" w:type="dxa"/>
            <w:tcBorders>
              <w:top w:val="single" w:sz="4" w:space="0" w:color="auto"/>
              <w:left w:val="nil"/>
              <w:bottom w:val="single" w:sz="4" w:space="0" w:color="auto"/>
              <w:right w:val="nil"/>
            </w:tcBorders>
            <w:shd w:val="clear" w:color="000000" w:fill="FFFFFF"/>
            <w:vAlign w:val="center"/>
            <w:hideMark/>
          </w:tcPr>
          <w:p w14:paraId="725DC4DC" w14:textId="77777777" w:rsidR="00B94A90" w:rsidRPr="00893C52" w:rsidRDefault="00B94A90" w:rsidP="00B94A90">
            <w:pPr>
              <w:spacing w:after="0" w:line="240" w:lineRule="auto"/>
              <w:jc w:val="center"/>
              <w:rPr>
                <w:rFonts w:eastAsia="Times New Roman" w:cs="Times New Roman"/>
                <w:b/>
                <w:bCs/>
                <w:color w:val="000000"/>
                <w:sz w:val="20"/>
                <w:lang w:eastAsia="sk-SK"/>
              </w:rPr>
            </w:pPr>
            <w:r w:rsidRPr="00893C52">
              <w:rPr>
                <w:rFonts w:eastAsia="Times New Roman" w:cs="Times New Roman"/>
                <w:b/>
                <w:bCs/>
                <w:color w:val="000000"/>
                <w:sz w:val="20"/>
                <w:lang w:eastAsia="sk-SK"/>
              </w:rPr>
              <w:t> </w:t>
            </w:r>
          </w:p>
        </w:tc>
        <w:tc>
          <w:tcPr>
            <w:tcW w:w="4922" w:type="dxa"/>
            <w:tcBorders>
              <w:top w:val="single" w:sz="4" w:space="0" w:color="auto"/>
              <w:left w:val="nil"/>
              <w:bottom w:val="single" w:sz="4" w:space="0" w:color="auto"/>
              <w:right w:val="nil"/>
            </w:tcBorders>
            <w:shd w:val="clear" w:color="000000" w:fill="FFFFFF"/>
            <w:vAlign w:val="center"/>
            <w:hideMark/>
          </w:tcPr>
          <w:p w14:paraId="1256156D" w14:textId="77777777" w:rsidR="00B94A90" w:rsidRPr="0061064D" w:rsidRDefault="00B94A90" w:rsidP="00B94A90">
            <w:pPr>
              <w:spacing w:after="0" w:line="240" w:lineRule="auto"/>
              <w:jc w:val="left"/>
              <w:rPr>
                <w:b/>
                <w:bCs/>
                <w:color w:val="000000"/>
                <w:sz w:val="20"/>
              </w:rPr>
            </w:pPr>
            <w:r>
              <w:rPr>
                <w:b/>
                <w:bCs/>
                <w:color w:val="000000"/>
                <w:sz w:val="20"/>
              </w:rPr>
              <w:t>Politiky trhu práce a sociálne politiky</w:t>
            </w:r>
          </w:p>
        </w:tc>
        <w:tc>
          <w:tcPr>
            <w:tcW w:w="851" w:type="dxa"/>
            <w:tcBorders>
              <w:top w:val="single" w:sz="4" w:space="0" w:color="auto"/>
              <w:left w:val="nil"/>
              <w:bottom w:val="single" w:sz="4" w:space="0" w:color="auto"/>
              <w:right w:val="nil"/>
            </w:tcBorders>
            <w:shd w:val="clear" w:color="000000" w:fill="FFFFFF"/>
            <w:vAlign w:val="center"/>
            <w:hideMark/>
          </w:tcPr>
          <w:p w14:paraId="0B80A07C" w14:textId="620F591A" w:rsidR="00B94A90" w:rsidRPr="00893C52" w:rsidRDefault="00B94A90" w:rsidP="00D41517">
            <w:pPr>
              <w:spacing w:after="0" w:line="240" w:lineRule="auto"/>
              <w:jc w:val="center"/>
              <w:rPr>
                <w:rFonts w:eastAsia="Times New Roman" w:cs="Times New Roman"/>
                <w:b/>
                <w:bCs/>
                <w:color w:val="000000"/>
                <w:sz w:val="20"/>
                <w:lang w:eastAsia="sk-SK"/>
              </w:rPr>
            </w:pPr>
            <w:r>
              <w:rPr>
                <w:b/>
                <w:bCs/>
                <w:color w:val="000000"/>
                <w:sz w:val="20"/>
              </w:rPr>
              <w:t>0,6</w:t>
            </w:r>
          </w:p>
        </w:tc>
        <w:tc>
          <w:tcPr>
            <w:tcW w:w="850" w:type="dxa"/>
            <w:tcBorders>
              <w:top w:val="single" w:sz="4" w:space="0" w:color="auto"/>
              <w:left w:val="nil"/>
              <w:bottom w:val="single" w:sz="4" w:space="0" w:color="auto"/>
              <w:right w:val="nil"/>
            </w:tcBorders>
            <w:shd w:val="clear" w:color="000000" w:fill="FFFFFF"/>
            <w:vAlign w:val="center"/>
            <w:hideMark/>
          </w:tcPr>
          <w:p w14:paraId="60997D20" w14:textId="506934C8" w:rsidR="00B94A90" w:rsidRPr="00893C52" w:rsidRDefault="00B94A90" w:rsidP="00D41517">
            <w:pPr>
              <w:spacing w:after="0" w:line="240" w:lineRule="auto"/>
              <w:jc w:val="center"/>
              <w:rPr>
                <w:rFonts w:eastAsia="Times New Roman" w:cs="Times New Roman"/>
                <w:b/>
                <w:bCs/>
                <w:color w:val="000000"/>
                <w:sz w:val="20"/>
                <w:lang w:eastAsia="sk-SK"/>
              </w:rPr>
            </w:pPr>
            <w:r>
              <w:rPr>
                <w:b/>
                <w:bCs/>
                <w:color w:val="000000"/>
                <w:sz w:val="20"/>
              </w:rPr>
              <w:t>0,6</w:t>
            </w:r>
          </w:p>
        </w:tc>
        <w:tc>
          <w:tcPr>
            <w:tcW w:w="851" w:type="dxa"/>
            <w:tcBorders>
              <w:top w:val="single" w:sz="4" w:space="0" w:color="auto"/>
              <w:left w:val="nil"/>
              <w:bottom w:val="single" w:sz="4" w:space="0" w:color="auto"/>
              <w:right w:val="nil"/>
            </w:tcBorders>
            <w:shd w:val="clear" w:color="000000" w:fill="FFFFFF"/>
            <w:vAlign w:val="center"/>
            <w:hideMark/>
          </w:tcPr>
          <w:p w14:paraId="7B622AC9" w14:textId="6F1ACDA5" w:rsidR="00B94A90" w:rsidRPr="00893C52" w:rsidRDefault="00B94A90" w:rsidP="00B94A90">
            <w:pPr>
              <w:spacing w:after="0" w:line="240" w:lineRule="auto"/>
              <w:jc w:val="center"/>
              <w:rPr>
                <w:rFonts w:eastAsia="Times New Roman" w:cs="Times New Roman"/>
                <w:b/>
                <w:bCs/>
                <w:color w:val="000000"/>
                <w:sz w:val="20"/>
                <w:lang w:eastAsia="sk-SK"/>
              </w:rPr>
            </w:pPr>
            <w:r>
              <w:rPr>
                <w:b/>
                <w:bCs/>
                <w:color w:val="000000"/>
                <w:sz w:val="20"/>
              </w:rPr>
              <w:t> </w:t>
            </w:r>
          </w:p>
        </w:tc>
        <w:tc>
          <w:tcPr>
            <w:tcW w:w="1275" w:type="dxa"/>
            <w:tcBorders>
              <w:top w:val="single" w:sz="4" w:space="0" w:color="auto"/>
              <w:left w:val="nil"/>
              <w:bottom w:val="single" w:sz="4" w:space="0" w:color="auto"/>
              <w:right w:val="nil"/>
            </w:tcBorders>
            <w:shd w:val="clear" w:color="000000" w:fill="FFFFFF"/>
            <w:vAlign w:val="center"/>
            <w:hideMark/>
          </w:tcPr>
          <w:p w14:paraId="00104C05" w14:textId="77777777" w:rsidR="00B94A90" w:rsidRPr="00893C52" w:rsidRDefault="00B94A90" w:rsidP="00B94A90">
            <w:pPr>
              <w:spacing w:after="0" w:line="240" w:lineRule="auto"/>
              <w:rPr>
                <w:rFonts w:eastAsia="Times New Roman" w:cs="Times New Roman"/>
                <w:b/>
                <w:bCs/>
                <w:color w:val="000000"/>
                <w:sz w:val="20"/>
                <w:lang w:eastAsia="sk-SK"/>
              </w:rPr>
            </w:pPr>
            <w:r w:rsidRPr="00893C52">
              <w:rPr>
                <w:rFonts w:eastAsia="Times New Roman" w:cs="Times New Roman"/>
                <w:b/>
                <w:bCs/>
                <w:color w:val="000000"/>
                <w:sz w:val="20"/>
                <w:lang w:eastAsia="sk-SK"/>
              </w:rPr>
              <w:t> </w:t>
            </w:r>
          </w:p>
        </w:tc>
      </w:tr>
      <w:tr w:rsidR="00B94A90" w:rsidRPr="00893C52" w14:paraId="18A6C437" w14:textId="77777777" w:rsidTr="001328BF">
        <w:trPr>
          <w:trHeight w:val="238"/>
        </w:trPr>
        <w:tc>
          <w:tcPr>
            <w:tcW w:w="323" w:type="dxa"/>
            <w:tcBorders>
              <w:top w:val="single" w:sz="4" w:space="0" w:color="auto"/>
              <w:left w:val="nil"/>
              <w:bottom w:val="single" w:sz="4" w:space="0" w:color="auto"/>
              <w:right w:val="nil"/>
            </w:tcBorders>
            <w:shd w:val="clear" w:color="000000" w:fill="FFFFFF"/>
            <w:vAlign w:val="center"/>
            <w:hideMark/>
          </w:tcPr>
          <w:p w14:paraId="3927E892" w14:textId="37E318F4" w:rsidR="00B94A90" w:rsidRPr="00893C52" w:rsidRDefault="00A22588" w:rsidP="00B94A90">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3</w:t>
            </w:r>
          </w:p>
        </w:tc>
        <w:tc>
          <w:tcPr>
            <w:tcW w:w="4922" w:type="dxa"/>
            <w:tcBorders>
              <w:top w:val="single" w:sz="4" w:space="0" w:color="auto"/>
              <w:left w:val="nil"/>
              <w:bottom w:val="single" w:sz="4" w:space="0" w:color="auto"/>
              <w:right w:val="nil"/>
            </w:tcBorders>
            <w:shd w:val="clear" w:color="000000" w:fill="FFFFFF"/>
            <w:vAlign w:val="center"/>
            <w:hideMark/>
          </w:tcPr>
          <w:p w14:paraId="4B120DFC" w14:textId="34E80A49" w:rsidR="00B94A90" w:rsidRPr="00893C52" w:rsidRDefault="00B94A90" w:rsidP="00B94A90">
            <w:pPr>
              <w:spacing w:after="0" w:line="240" w:lineRule="auto"/>
              <w:jc w:val="left"/>
              <w:rPr>
                <w:rFonts w:eastAsia="Times New Roman" w:cs="Times New Roman"/>
                <w:color w:val="000000"/>
                <w:sz w:val="20"/>
                <w:lang w:eastAsia="sk-SK"/>
              </w:rPr>
            </w:pPr>
            <w:r>
              <w:rPr>
                <w:rFonts w:eastAsia="Times New Roman" w:cs="Times New Roman"/>
                <w:color w:val="000000"/>
                <w:sz w:val="20"/>
                <w:lang w:eastAsia="sk-SK"/>
              </w:rPr>
              <w:t>Podmieniť podporu aktivačných prác rozvojom zručností účastníkov</w:t>
            </w:r>
          </w:p>
        </w:tc>
        <w:tc>
          <w:tcPr>
            <w:tcW w:w="851" w:type="dxa"/>
            <w:tcBorders>
              <w:top w:val="single" w:sz="4" w:space="0" w:color="auto"/>
              <w:left w:val="nil"/>
              <w:bottom w:val="single" w:sz="4" w:space="0" w:color="auto"/>
              <w:right w:val="nil"/>
            </w:tcBorders>
            <w:shd w:val="clear" w:color="000000" w:fill="FFFFFF"/>
            <w:vAlign w:val="center"/>
            <w:hideMark/>
          </w:tcPr>
          <w:p w14:paraId="0EAF6839" w14:textId="01DA1929" w:rsidR="00B94A90" w:rsidRPr="00893C52" w:rsidRDefault="00B94A90" w:rsidP="00D41517">
            <w:pPr>
              <w:spacing w:after="0" w:line="240" w:lineRule="auto"/>
              <w:jc w:val="center"/>
              <w:rPr>
                <w:rFonts w:eastAsia="Times New Roman" w:cs="Times New Roman"/>
                <w:color w:val="000000"/>
                <w:sz w:val="20"/>
                <w:lang w:eastAsia="sk-SK"/>
              </w:rPr>
            </w:pPr>
            <w:r>
              <w:rPr>
                <w:color w:val="000000"/>
                <w:sz w:val="20"/>
              </w:rPr>
              <w:t>0,6</w:t>
            </w:r>
          </w:p>
        </w:tc>
        <w:tc>
          <w:tcPr>
            <w:tcW w:w="850" w:type="dxa"/>
            <w:tcBorders>
              <w:top w:val="single" w:sz="4" w:space="0" w:color="auto"/>
              <w:left w:val="nil"/>
              <w:bottom w:val="single" w:sz="4" w:space="0" w:color="auto"/>
              <w:right w:val="nil"/>
            </w:tcBorders>
            <w:shd w:val="clear" w:color="000000" w:fill="FFFFFF"/>
            <w:vAlign w:val="center"/>
            <w:hideMark/>
          </w:tcPr>
          <w:p w14:paraId="7A3E06DB" w14:textId="44DF5EA6" w:rsidR="00B94A90" w:rsidRPr="00893C52" w:rsidRDefault="00B94A90" w:rsidP="00D41517">
            <w:pPr>
              <w:spacing w:after="0" w:line="240" w:lineRule="auto"/>
              <w:jc w:val="center"/>
              <w:rPr>
                <w:rFonts w:eastAsia="Times New Roman" w:cs="Times New Roman"/>
                <w:color w:val="000000"/>
                <w:sz w:val="20"/>
                <w:lang w:eastAsia="sk-SK"/>
              </w:rPr>
            </w:pPr>
            <w:r>
              <w:rPr>
                <w:color w:val="000000"/>
                <w:sz w:val="20"/>
              </w:rPr>
              <w:t>0,6</w:t>
            </w:r>
          </w:p>
        </w:tc>
        <w:tc>
          <w:tcPr>
            <w:tcW w:w="851" w:type="dxa"/>
            <w:tcBorders>
              <w:top w:val="single" w:sz="4" w:space="0" w:color="auto"/>
              <w:left w:val="nil"/>
              <w:bottom w:val="single" w:sz="4" w:space="0" w:color="auto"/>
              <w:right w:val="nil"/>
            </w:tcBorders>
            <w:shd w:val="clear" w:color="000000" w:fill="FFFFFF"/>
            <w:vAlign w:val="center"/>
            <w:hideMark/>
          </w:tcPr>
          <w:p w14:paraId="3899E995" w14:textId="483ECEC3" w:rsidR="00B94A90" w:rsidRPr="00D41517" w:rsidRDefault="00B94A90" w:rsidP="00D41517">
            <w:pPr>
              <w:spacing w:after="0" w:line="240" w:lineRule="auto"/>
              <w:jc w:val="center"/>
              <w:rPr>
                <w:color w:val="000000"/>
                <w:sz w:val="20"/>
              </w:rPr>
            </w:pPr>
            <w:r>
              <w:rPr>
                <w:color w:val="000000"/>
                <w:sz w:val="20"/>
              </w:rPr>
              <w:t>1</w:t>
            </w:r>
          </w:p>
        </w:tc>
        <w:tc>
          <w:tcPr>
            <w:tcW w:w="1275" w:type="dxa"/>
            <w:tcBorders>
              <w:top w:val="single" w:sz="4" w:space="0" w:color="auto"/>
              <w:left w:val="nil"/>
              <w:bottom w:val="single" w:sz="4" w:space="0" w:color="auto"/>
              <w:right w:val="nil"/>
            </w:tcBorders>
            <w:shd w:val="clear" w:color="000000" w:fill="FFFFFF"/>
            <w:vAlign w:val="center"/>
            <w:hideMark/>
          </w:tcPr>
          <w:p w14:paraId="03A2D3DF" w14:textId="77777777" w:rsidR="00B94A90" w:rsidRPr="00893C52" w:rsidRDefault="00B94A90" w:rsidP="00B94A90">
            <w:pPr>
              <w:spacing w:after="0" w:line="240" w:lineRule="auto"/>
              <w:rPr>
                <w:rFonts w:eastAsia="Times New Roman" w:cs="Times New Roman"/>
                <w:color w:val="000000"/>
                <w:sz w:val="20"/>
                <w:lang w:eastAsia="sk-SK"/>
              </w:rPr>
            </w:pPr>
            <w:r>
              <w:rPr>
                <w:rFonts w:eastAsia="Times New Roman" w:cs="Times New Roman"/>
                <w:color w:val="000000"/>
                <w:sz w:val="20"/>
                <w:lang w:eastAsia="sk-SK"/>
              </w:rPr>
              <w:t>MPSVaR</w:t>
            </w:r>
          </w:p>
        </w:tc>
      </w:tr>
      <w:tr w:rsidR="00B94A90" w:rsidRPr="00893C52" w14:paraId="1E0577F8" w14:textId="77777777" w:rsidTr="001328BF">
        <w:trPr>
          <w:trHeight w:val="476"/>
        </w:trPr>
        <w:tc>
          <w:tcPr>
            <w:tcW w:w="323" w:type="dxa"/>
            <w:tcBorders>
              <w:top w:val="single" w:sz="4" w:space="0" w:color="auto"/>
              <w:left w:val="nil"/>
              <w:bottom w:val="single" w:sz="4" w:space="0" w:color="auto"/>
              <w:right w:val="nil"/>
            </w:tcBorders>
            <w:shd w:val="clear" w:color="000000" w:fill="FFFFFF"/>
            <w:vAlign w:val="center"/>
          </w:tcPr>
          <w:p w14:paraId="50C24048" w14:textId="1A368652" w:rsidR="00B94A90" w:rsidRDefault="00B94A90" w:rsidP="00B94A90">
            <w:pPr>
              <w:spacing w:after="0" w:line="240" w:lineRule="auto"/>
              <w:jc w:val="center"/>
              <w:rPr>
                <w:rFonts w:eastAsia="Times New Roman" w:cs="Times New Roman"/>
                <w:color w:val="000000"/>
                <w:sz w:val="20"/>
                <w:lang w:eastAsia="sk-SK"/>
              </w:rPr>
            </w:pPr>
          </w:p>
        </w:tc>
        <w:tc>
          <w:tcPr>
            <w:tcW w:w="4922" w:type="dxa"/>
            <w:tcBorders>
              <w:top w:val="single" w:sz="4" w:space="0" w:color="auto"/>
              <w:left w:val="nil"/>
              <w:bottom w:val="single" w:sz="4" w:space="0" w:color="auto"/>
              <w:right w:val="nil"/>
            </w:tcBorders>
            <w:shd w:val="clear" w:color="000000" w:fill="FFFFFF"/>
            <w:vAlign w:val="center"/>
          </w:tcPr>
          <w:p w14:paraId="4728DCE1" w14:textId="77777777" w:rsidR="00B94A90" w:rsidRPr="0061064D" w:rsidRDefault="00B94A90" w:rsidP="00B94A90">
            <w:pPr>
              <w:spacing w:after="0" w:line="240" w:lineRule="auto"/>
              <w:jc w:val="left"/>
              <w:rPr>
                <w:rFonts w:eastAsia="Times New Roman" w:cs="Times New Roman"/>
                <w:b/>
                <w:color w:val="000000"/>
                <w:sz w:val="20"/>
                <w:lang w:eastAsia="sk-SK"/>
              </w:rPr>
            </w:pPr>
            <w:r>
              <w:rPr>
                <w:rFonts w:eastAsia="Times New Roman" w:cs="Times New Roman"/>
                <w:b/>
                <w:color w:val="000000"/>
                <w:sz w:val="20"/>
                <w:lang w:eastAsia="sk-SK"/>
              </w:rPr>
              <w:t>CELKOM</w:t>
            </w:r>
          </w:p>
        </w:tc>
        <w:tc>
          <w:tcPr>
            <w:tcW w:w="851" w:type="dxa"/>
            <w:tcBorders>
              <w:top w:val="single" w:sz="4" w:space="0" w:color="auto"/>
              <w:left w:val="nil"/>
              <w:bottom w:val="single" w:sz="4" w:space="0" w:color="auto"/>
              <w:right w:val="nil"/>
            </w:tcBorders>
            <w:shd w:val="clear" w:color="000000" w:fill="FFFFFF"/>
            <w:vAlign w:val="center"/>
          </w:tcPr>
          <w:p w14:paraId="05AE6B99" w14:textId="4D3BA24F" w:rsidR="00B94A90" w:rsidRPr="00893C52" w:rsidRDefault="00A22588" w:rsidP="00D41517">
            <w:pPr>
              <w:spacing w:after="0" w:line="240" w:lineRule="auto"/>
              <w:jc w:val="center"/>
              <w:rPr>
                <w:rFonts w:eastAsia="Times New Roman" w:cs="Times New Roman"/>
                <w:color w:val="000000"/>
                <w:sz w:val="20"/>
                <w:lang w:eastAsia="sk-SK"/>
              </w:rPr>
            </w:pPr>
            <w:r>
              <w:rPr>
                <w:b/>
                <w:bCs/>
                <w:color w:val="000000"/>
                <w:sz w:val="20"/>
              </w:rPr>
              <w:t>1,4</w:t>
            </w:r>
          </w:p>
        </w:tc>
        <w:tc>
          <w:tcPr>
            <w:tcW w:w="850" w:type="dxa"/>
            <w:tcBorders>
              <w:top w:val="single" w:sz="4" w:space="0" w:color="auto"/>
              <w:left w:val="nil"/>
              <w:bottom w:val="single" w:sz="4" w:space="0" w:color="auto"/>
              <w:right w:val="nil"/>
            </w:tcBorders>
            <w:shd w:val="clear" w:color="000000" w:fill="FFFFFF"/>
            <w:vAlign w:val="center"/>
          </w:tcPr>
          <w:p w14:paraId="0F62877B" w14:textId="24D6AB1E" w:rsidR="00B94A90" w:rsidRPr="00893C52" w:rsidRDefault="00A22588" w:rsidP="00D41517">
            <w:pPr>
              <w:spacing w:after="0" w:line="240" w:lineRule="auto"/>
              <w:jc w:val="center"/>
              <w:rPr>
                <w:rFonts w:eastAsia="Times New Roman" w:cs="Times New Roman"/>
                <w:color w:val="000000"/>
                <w:sz w:val="20"/>
                <w:lang w:eastAsia="sk-SK"/>
              </w:rPr>
            </w:pPr>
            <w:r>
              <w:rPr>
                <w:b/>
                <w:bCs/>
                <w:color w:val="000000"/>
                <w:sz w:val="20"/>
              </w:rPr>
              <w:t>13,7</w:t>
            </w:r>
          </w:p>
        </w:tc>
        <w:tc>
          <w:tcPr>
            <w:tcW w:w="851" w:type="dxa"/>
            <w:tcBorders>
              <w:top w:val="single" w:sz="4" w:space="0" w:color="auto"/>
              <w:left w:val="nil"/>
              <w:bottom w:val="single" w:sz="4" w:space="0" w:color="auto"/>
              <w:right w:val="nil"/>
            </w:tcBorders>
            <w:shd w:val="clear" w:color="000000" w:fill="FFFFFF"/>
            <w:vAlign w:val="center"/>
          </w:tcPr>
          <w:p w14:paraId="51F42451" w14:textId="77777777" w:rsidR="00B94A90" w:rsidRPr="00893C52" w:rsidRDefault="00B94A90" w:rsidP="00B94A90">
            <w:pPr>
              <w:spacing w:after="0" w:line="240" w:lineRule="auto"/>
              <w:jc w:val="center"/>
              <w:rPr>
                <w:rFonts w:eastAsia="Times New Roman" w:cs="Times New Roman"/>
                <w:color w:val="000000"/>
                <w:sz w:val="20"/>
                <w:lang w:eastAsia="sk-SK"/>
              </w:rPr>
            </w:pPr>
          </w:p>
        </w:tc>
        <w:tc>
          <w:tcPr>
            <w:tcW w:w="1275" w:type="dxa"/>
            <w:tcBorders>
              <w:top w:val="single" w:sz="4" w:space="0" w:color="auto"/>
              <w:left w:val="nil"/>
              <w:bottom w:val="single" w:sz="4" w:space="0" w:color="auto"/>
              <w:right w:val="nil"/>
            </w:tcBorders>
            <w:shd w:val="clear" w:color="000000" w:fill="FFFFFF"/>
            <w:vAlign w:val="center"/>
          </w:tcPr>
          <w:p w14:paraId="1E221ED4" w14:textId="77777777" w:rsidR="00B94A90" w:rsidRPr="00893C52" w:rsidRDefault="00B94A90" w:rsidP="00B94A90">
            <w:pPr>
              <w:spacing w:after="0" w:line="240" w:lineRule="auto"/>
              <w:rPr>
                <w:rFonts w:eastAsia="Times New Roman" w:cs="Times New Roman"/>
                <w:color w:val="000000"/>
                <w:sz w:val="20"/>
                <w:lang w:eastAsia="sk-SK"/>
              </w:rPr>
            </w:pPr>
          </w:p>
        </w:tc>
      </w:tr>
    </w:tbl>
    <w:bookmarkEnd w:id="22"/>
    <w:p w14:paraId="11599790" w14:textId="0BBECF59" w:rsidR="004F1697" w:rsidRPr="00452DBC" w:rsidRDefault="004F1697" w:rsidP="00677F81">
      <w:pPr>
        <w:spacing w:before="200"/>
        <w:rPr>
          <w:bCs/>
          <w:color w:val="0070C0"/>
        </w:rPr>
      </w:pPr>
      <w:r w:rsidRPr="00231BE7">
        <w:rPr>
          <w:bCs/>
          <w:color w:val="0070C0"/>
        </w:rPr>
        <w:t>Vzdelávanie</w:t>
      </w:r>
    </w:p>
    <w:p w14:paraId="74ED99AD" w14:textId="5E6F69A0" w:rsidR="0055528D" w:rsidRDefault="0055528D" w:rsidP="00EE486A">
      <w:pPr>
        <w:spacing w:before="160"/>
      </w:pPr>
      <w:r w:rsidRPr="00CA2564">
        <w:rPr>
          <w:b/>
        </w:rPr>
        <w:t xml:space="preserve">1. Opatrenie: </w:t>
      </w:r>
      <w:r w:rsidRPr="00CA2564">
        <w:rPr>
          <w:rFonts w:eastAsia="Times New Roman" w:cs="Times New Roman"/>
          <w:b/>
          <w:color w:val="000000"/>
          <w:szCs w:val="22"/>
          <w:lang w:eastAsia="sk-SK"/>
        </w:rPr>
        <w:t>Zrušiť nultý ročník základných škôl</w:t>
      </w:r>
      <w:r>
        <w:rPr>
          <w:rFonts w:eastAsia="Times New Roman" w:cs="Times New Roman"/>
          <w:b/>
          <w:color w:val="000000"/>
          <w:szCs w:val="22"/>
          <w:lang w:eastAsia="sk-SK"/>
        </w:rPr>
        <w:t xml:space="preserve"> (potenciál </w:t>
      </w:r>
      <w:r w:rsidR="002A001B">
        <w:rPr>
          <w:rFonts w:eastAsia="Times New Roman" w:cs="Times New Roman"/>
          <w:b/>
          <w:color w:val="000000"/>
          <w:szCs w:val="22"/>
          <w:lang w:eastAsia="sk-SK"/>
        </w:rPr>
        <w:t>5,0</w:t>
      </w:r>
      <w:r>
        <w:rPr>
          <w:rFonts w:eastAsia="Times New Roman" w:cs="Times New Roman"/>
          <w:b/>
          <w:color w:val="000000"/>
          <w:szCs w:val="22"/>
          <w:lang w:eastAsia="sk-SK"/>
        </w:rPr>
        <w:t xml:space="preserve"> miliónov eur)</w:t>
      </w:r>
      <w:r w:rsidRPr="00CA2564">
        <w:rPr>
          <w:rFonts w:eastAsia="Times New Roman" w:cs="Times New Roman"/>
          <w:b/>
          <w:color w:val="000000"/>
          <w:szCs w:val="22"/>
          <w:lang w:eastAsia="sk-SK"/>
        </w:rPr>
        <w:t xml:space="preserve">. </w:t>
      </w:r>
      <w:r w:rsidRPr="00CA2564">
        <w:t>Nultý ročník sa považu</w:t>
      </w:r>
      <w:r w:rsidR="002709F1">
        <w:t>je za </w:t>
      </w:r>
      <w:r w:rsidRPr="00CA2564">
        <w:t>prvý rok plnenia po</w:t>
      </w:r>
      <w:r w:rsidR="002A001B">
        <w:t>vinnej školskej dochádzky</w:t>
      </w:r>
      <w:r w:rsidRPr="001A28E7">
        <w:t xml:space="preserve">, čo </w:t>
      </w:r>
      <w:r w:rsidRPr="0046488A">
        <w:t xml:space="preserve">v prípade opakovania </w:t>
      </w:r>
      <w:r w:rsidR="002A001B">
        <w:t>ročníka znižuje šancu ukončiť základnú školu</w:t>
      </w:r>
      <w:r w:rsidRPr="001A28E7">
        <w:t xml:space="preserve">. </w:t>
      </w:r>
      <w:r>
        <w:t>Zároveň sa v ňom koncentrujú žiaci z</w:t>
      </w:r>
      <w:r w:rsidR="002A001B">
        <w:t> </w:t>
      </w:r>
      <w:r>
        <w:t>MRK</w:t>
      </w:r>
      <w:r w:rsidR="002A001B">
        <w:t xml:space="preserve"> a táto koncentrácia následne pretrváva vo vyšších ročníkoch (podkapitola </w:t>
      </w:r>
      <w:r w:rsidR="002A001B">
        <w:fldChar w:fldCharType="begin"/>
      </w:r>
      <w:r w:rsidR="002A001B">
        <w:instrText xml:space="preserve"> REF _Ref25652405 \r \h </w:instrText>
      </w:r>
      <w:r w:rsidR="002A001B">
        <w:fldChar w:fldCharType="separate"/>
      </w:r>
      <w:r w:rsidR="00FA29AF">
        <w:t>5.2</w:t>
      </w:r>
      <w:r w:rsidR="002A001B">
        <w:fldChar w:fldCharType="end"/>
      </w:r>
      <w:r w:rsidR="002A001B">
        <w:t>)</w:t>
      </w:r>
      <w:r>
        <w:t>. Z</w:t>
      </w:r>
      <w:r w:rsidRPr="00CA2564">
        <w:t>avedenie povinn</w:t>
      </w:r>
      <w:r>
        <w:t>ého</w:t>
      </w:r>
      <w:r w:rsidRPr="00CA2564">
        <w:t xml:space="preserve"> </w:t>
      </w:r>
      <w:r>
        <w:t xml:space="preserve">predprimárneho vzdelávania od 5 rokov by </w:t>
      </w:r>
      <w:r w:rsidRPr="00CA2564">
        <w:t>za predpokladu</w:t>
      </w:r>
      <w:r>
        <w:t xml:space="preserve"> odstránenia existujúcich bariér v prístupe k predprimárnemu vzdelávaniu a v procese predprimárneho vzdelávania</w:t>
      </w:r>
      <w:r w:rsidRPr="00CA2564">
        <w:t xml:space="preserve"> malo </w:t>
      </w:r>
      <w:r>
        <w:t>cieľ dosahovania školskej spôsobilosti napĺňať efektívnejšie a tým nultý ročník nahradiť</w:t>
      </w:r>
      <w:r w:rsidR="002A001B">
        <w:t>.</w:t>
      </w:r>
    </w:p>
    <w:p w14:paraId="4A5566A1" w14:textId="1CA74F4B" w:rsidR="00EE486A" w:rsidRPr="005315DA" w:rsidRDefault="00EE486A" w:rsidP="00EE486A">
      <w:pPr>
        <w:spacing w:before="160"/>
      </w:pPr>
      <w:r w:rsidRPr="00CA2564">
        <w:rPr>
          <w:b/>
        </w:rPr>
        <w:t xml:space="preserve">2. </w:t>
      </w:r>
      <w:r w:rsidRPr="005315DA">
        <w:rPr>
          <w:b/>
          <w:szCs w:val="22"/>
        </w:rPr>
        <w:t xml:space="preserve">Opatrenie: </w:t>
      </w:r>
      <w:r w:rsidR="00C87440">
        <w:rPr>
          <w:rFonts w:eastAsia="Times New Roman" w:cs="Times New Roman"/>
          <w:b/>
          <w:color w:val="000000"/>
          <w:szCs w:val="22"/>
          <w:lang w:eastAsia="sk-SK"/>
        </w:rPr>
        <w:t>Znížiť</w:t>
      </w:r>
      <w:r w:rsidR="00C87440" w:rsidRPr="005315DA">
        <w:rPr>
          <w:rFonts w:eastAsia="Times New Roman" w:cs="Times New Roman"/>
          <w:b/>
          <w:color w:val="000000"/>
          <w:szCs w:val="22"/>
          <w:lang w:eastAsia="sk-SK"/>
        </w:rPr>
        <w:t xml:space="preserve"> </w:t>
      </w:r>
      <w:r w:rsidRPr="005315DA">
        <w:rPr>
          <w:rFonts w:eastAsia="Times New Roman" w:cs="Times New Roman"/>
          <w:b/>
          <w:color w:val="000000"/>
          <w:szCs w:val="22"/>
          <w:lang w:eastAsia="sk-SK"/>
        </w:rPr>
        <w:t>zastúpenie žiakov z MRK medzi žiakmi s ľahkým mentálnym postihnutím</w:t>
      </w:r>
      <w:r w:rsidR="00D05492">
        <w:rPr>
          <w:rFonts w:eastAsia="Times New Roman" w:cs="Times New Roman"/>
          <w:b/>
          <w:color w:val="000000"/>
          <w:szCs w:val="22"/>
          <w:lang w:eastAsia="sk-SK"/>
        </w:rPr>
        <w:t xml:space="preserve"> (potenciál </w:t>
      </w:r>
      <w:r w:rsidR="002A001B">
        <w:rPr>
          <w:rFonts w:eastAsia="Times New Roman" w:cs="Times New Roman"/>
          <w:b/>
          <w:color w:val="000000"/>
          <w:szCs w:val="22"/>
          <w:lang w:eastAsia="sk-SK"/>
        </w:rPr>
        <w:t>8,1</w:t>
      </w:r>
      <w:r w:rsidR="00454CD3">
        <w:rPr>
          <w:rFonts w:eastAsia="Times New Roman" w:cs="Times New Roman"/>
          <w:b/>
          <w:color w:val="000000"/>
          <w:szCs w:val="22"/>
          <w:lang w:eastAsia="sk-SK"/>
        </w:rPr>
        <w:t> </w:t>
      </w:r>
      <w:r w:rsidR="00D05492">
        <w:rPr>
          <w:rFonts w:eastAsia="Times New Roman" w:cs="Times New Roman"/>
          <w:b/>
          <w:color w:val="000000"/>
          <w:szCs w:val="22"/>
          <w:lang w:eastAsia="sk-SK"/>
        </w:rPr>
        <w:t>miliónov eur)</w:t>
      </w:r>
      <w:r w:rsidRPr="005315DA">
        <w:rPr>
          <w:rFonts w:eastAsia="Times New Roman" w:cs="Times New Roman"/>
          <w:b/>
          <w:color w:val="000000"/>
          <w:szCs w:val="22"/>
          <w:lang w:eastAsia="sk-SK"/>
        </w:rPr>
        <w:t>.</w:t>
      </w:r>
      <w:r>
        <w:rPr>
          <w:rFonts w:eastAsia="Times New Roman" w:cs="Times New Roman"/>
          <w:b/>
          <w:color w:val="000000"/>
          <w:szCs w:val="22"/>
          <w:lang w:eastAsia="sk-SK"/>
        </w:rPr>
        <w:t xml:space="preserve"> </w:t>
      </w:r>
      <w:r w:rsidRPr="00CA2564">
        <w:rPr>
          <w:iCs/>
          <w:color w:val="000000" w:themeColor="text1"/>
        </w:rPr>
        <w:t>Nadmerné zastúpenie žiakov z MRK medzi žiakmi s ľahkým mentálnym postihnutím predstavovalo v školskom roku 2017/18 navýšenie výdavkov na vzdelávanie z dôvodu rozdielnych normatívov o 8,1 miliónov eur</w:t>
      </w:r>
      <w:r w:rsidR="002A001B">
        <w:rPr>
          <w:iCs/>
          <w:color w:val="000000" w:themeColor="text1"/>
        </w:rPr>
        <w:t xml:space="preserve"> (podkapitola </w:t>
      </w:r>
      <w:r w:rsidR="003F32C9">
        <w:rPr>
          <w:iCs/>
          <w:color w:val="000000" w:themeColor="text1"/>
          <w:highlight w:val="yellow"/>
        </w:rPr>
        <w:fldChar w:fldCharType="begin"/>
      </w:r>
      <w:r w:rsidR="003F32C9">
        <w:rPr>
          <w:iCs/>
          <w:color w:val="000000" w:themeColor="text1"/>
        </w:rPr>
        <w:instrText xml:space="preserve"> REF _Ref25743147 \r \h </w:instrText>
      </w:r>
      <w:r w:rsidR="003F32C9">
        <w:rPr>
          <w:iCs/>
          <w:color w:val="000000" w:themeColor="text1"/>
          <w:highlight w:val="yellow"/>
        </w:rPr>
      </w:r>
      <w:r w:rsidR="003F32C9">
        <w:rPr>
          <w:iCs/>
          <w:color w:val="000000" w:themeColor="text1"/>
          <w:highlight w:val="yellow"/>
        </w:rPr>
        <w:fldChar w:fldCharType="separate"/>
      </w:r>
      <w:r w:rsidR="00FA29AF">
        <w:rPr>
          <w:iCs/>
          <w:color w:val="000000" w:themeColor="text1"/>
        </w:rPr>
        <w:t>6.2</w:t>
      </w:r>
      <w:r w:rsidR="003F32C9">
        <w:rPr>
          <w:iCs/>
          <w:color w:val="000000" w:themeColor="text1"/>
          <w:highlight w:val="yellow"/>
        </w:rPr>
        <w:fldChar w:fldCharType="end"/>
      </w:r>
      <w:r w:rsidR="002A001B">
        <w:rPr>
          <w:iCs/>
          <w:color w:val="000000" w:themeColor="text1"/>
        </w:rPr>
        <w:t xml:space="preserve">). </w:t>
      </w:r>
      <w:r w:rsidR="002A001B">
        <w:t>Posilnením prvkov</w:t>
      </w:r>
      <w:r w:rsidR="002A001B" w:rsidRPr="00CA2564">
        <w:t xml:space="preserve"> </w:t>
      </w:r>
      <w:r w:rsidRPr="00CA2564">
        <w:t>inklúzie vo vzdelávacom systéme vďaka hodnotovým opatreniam</w:t>
      </w:r>
      <w:r w:rsidR="002A001B">
        <w:t xml:space="preserve"> </w:t>
      </w:r>
      <w:r w:rsidRPr="00CA2564">
        <w:t>dôjde k lepšej pripravenosti vzdelávať žiakov z MRK spolu s ostatnými žiakmi a výsledne k zníženej miere diagnostikovania ľahkého mentálneho postihnutia v MRK.</w:t>
      </w:r>
    </w:p>
    <w:p w14:paraId="520F0BED" w14:textId="37585CDB" w:rsidR="004F1697" w:rsidRPr="00452DBC" w:rsidRDefault="004F1697" w:rsidP="00452DBC">
      <w:pPr>
        <w:spacing w:before="200"/>
        <w:rPr>
          <w:bCs/>
          <w:color w:val="0070C0"/>
        </w:rPr>
      </w:pPr>
      <w:r w:rsidRPr="00231BE7">
        <w:rPr>
          <w:bCs/>
          <w:color w:val="0070C0"/>
        </w:rPr>
        <w:t>Politiky trhu práce a sociálne politiky</w:t>
      </w:r>
    </w:p>
    <w:p w14:paraId="72EE69E1" w14:textId="2CB1E418" w:rsidR="00CE5E79" w:rsidRPr="00A22588" w:rsidRDefault="00A22588" w:rsidP="00A22588">
      <w:r>
        <w:rPr>
          <w:b/>
        </w:rPr>
        <w:t>3</w:t>
      </w:r>
      <w:r w:rsidR="00EE486A" w:rsidRPr="00D3189B">
        <w:rPr>
          <w:b/>
        </w:rPr>
        <w:t xml:space="preserve">. </w:t>
      </w:r>
      <w:r w:rsidR="00EE486A" w:rsidRPr="005315DA">
        <w:rPr>
          <w:b/>
          <w:szCs w:val="22"/>
        </w:rPr>
        <w:t xml:space="preserve">Opatrenie: </w:t>
      </w:r>
      <w:r w:rsidR="0083272F">
        <w:rPr>
          <w:rFonts w:eastAsia="Times New Roman" w:cs="Times New Roman"/>
          <w:b/>
          <w:color w:val="000000"/>
          <w:szCs w:val="22"/>
          <w:lang w:eastAsia="sk-SK"/>
        </w:rPr>
        <w:t>Podmieniť</w:t>
      </w:r>
      <w:r w:rsidR="0083272F" w:rsidRPr="005315DA">
        <w:rPr>
          <w:rFonts w:eastAsia="Times New Roman" w:cs="Times New Roman"/>
          <w:b/>
          <w:color w:val="000000"/>
          <w:szCs w:val="22"/>
          <w:lang w:eastAsia="sk-SK"/>
        </w:rPr>
        <w:t xml:space="preserve"> </w:t>
      </w:r>
      <w:r w:rsidR="00EE486A" w:rsidRPr="005315DA">
        <w:rPr>
          <w:rFonts w:eastAsia="Times New Roman" w:cs="Times New Roman"/>
          <w:b/>
          <w:color w:val="000000"/>
          <w:szCs w:val="22"/>
          <w:lang w:eastAsia="sk-SK"/>
        </w:rPr>
        <w:t>p</w:t>
      </w:r>
      <w:r w:rsidR="00621D22">
        <w:rPr>
          <w:rFonts w:eastAsia="Times New Roman" w:cs="Times New Roman"/>
          <w:b/>
          <w:color w:val="000000"/>
          <w:szCs w:val="22"/>
          <w:lang w:eastAsia="sk-SK"/>
        </w:rPr>
        <w:t>odporu</w:t>
      </w:r>
      <w:r w:rsidR="00EE486A" w:rsidRPr="005315DA">
        <w:rPr>
          <w:rFonts w:eastAsia="Times New Roman" w:cs="Times New Roman"/>
          <w:b/>
          <w:color w:val="000000"/>
          <w:szCs w:val="22"/>
          <w:lang w:eastAsia="sk-SK"/>
        </w:rPr>
        <w:t xml:space="preserve"> aktivačn</w:t>
      </w:r>
      <w:r w:rsidR="00621D22">
        <w:rPr>
          <w:rFonts w:eastAsia="Times New Roman" w:cs="Times New Roman"/>
          <w:b/>
          <w:color w:val="000000"/>
          <w:szCs w:val="22"/>
          <w:lang w:eastAsia="sk-SK"/>
        </w:rPr>
        <w:t>ých</w:t>
      </w:r>
      <w:r w:rsidR="00EE486A" w:rsidRPr="005315DA">
        <w:rPr>
          <w:rFonts w:eastAsia="Times New Roman" w:cs="Times New Roman"/>
          <w:b/>
          <w:color w:val="000000"/>
          <w:szCs w:val="22"/>
          <w:lang w:eastAsia="sk-SK"/>
        </w:rPr>
        <w:t xml:space="preserve"> prác </w:t>
      </w:r>
      <w:r w:rsidR="0083272F">
        <w:rPr>
          <w:rFonts w:eastAsia="Times New Roman" w:cs="Times New Roman"/>
          <w:b/>
          <w:color w:val="000000"/>
          <w:szCs w:val="22"/>
          <w:lang w:eastAsia="sk-SK"/>
        </w:rPr>
        <w:t>rozvojom zručností</w:t>
      </w:r>
      <w:r w:rsidR="00A87AE3">
        <w:rPr>
          <w:rFonts w:eastAsia="Times New Roman" w:cs="Times New Roman"/>
          <w:b/>
          <w:color w:val="000000"/>
          <w:szCs w:val="22"/>
          <w:lang w:eastAsia="sk-SK"/>
        </w:rPr>
        <w:t xml:space="preserve"> účastníkov</w:t>
      </w:r>
      <w:r w:rsidR="00D05492">
        <w:rPr>
          <w:rFonts w:eastAsia="Times New Roman" w:cs="Times New Roman"/>
          <w:b/>
          <w:color w:val="000000"/>
          <w:szCs w:val="22"/>
          <w:lang w:eastAsia="sk-SK"/>
        </w:rPr>
        <w:t xml:space="preserve"> (potenciál </w:t>
      </w:r>
      <w:r w:rsidR="002A001B">
        <w:rPr>
          <w:rFonts w:eastAsia="Times New Roman" w:cs="Times New Roman"/>
          <w:b/>
          <w:color w:val="000000"/>
          <w:szCs w:val="22"/>
          <w:lang w:eastAsia="sk-SK"/>
        </w:rPr>
        <w:t>0,6 milióna</w:t>
      </w:r>
      <w:r w:rsidR="00D05492">
        <w:rPr>
          <w:rFonts w:eastAsia="Times New Roman" w:cs="Times New Roman"/>
          <w:b/>
          <w:color w:val="000000"/>
          <w:szCs w:val="22"/>
          <w:lang w:eastAsia="sk-SK"/>
        </w:rPr>
        <w:t xml:space="preserve"> eur)</w:t>
      </w:r>
      <w:r w:rsidR="00EE486A" w:rsidRPr="005315DA">
        <w:rPr>
          <w:b/>
          <w:szCs w:val="22"/>
        </w:rPr>
        <w:t>.</w:t>
      </w:r>
      <w:r w:rsidR="00EE486A">
        <w:rPr>
          <w:b/>
        </w:rPr>
        <w:t xml:space="preserve"> </w:t>
      </w:r>
      <w:r w:rsidR="00EE486A" w:rsidRPr="00D3189B">
        <w:rPr>
          <w:rFonts w:eastAsia="Times New Roman" w:cs="Helvetica"/>
          <w:szCs w:val="22"/>
          <w:lang w:eastAsia="sk-SK"/>
        </w:rPr>
        <w:t xml:space="preserve">Hoci zákon </w:t>
      </w:r>
      <w:r w:rsidR="00D85470">
        <w:rPr>
          <w:rFonts w:eastAsia="Times New Roman" w:cs="Helvetica"/>
          <w:szCs w:val="22"/>
          <w:lang w:eastAsia="sk-SK"/>
        </w:rPr>
        <w:t>o službách zamestnanosti</w:t>
      </w:r>
      <w:r w:rsidR="00D85470" w:rsidRPr="00D3189B">
        <w:rPr>
          <w:rFonts w:eastAsia="Times New Roman" w:cs="Helvetica"/>
          <w:szCs w:val="22"/>
          <w:lang w:eastAsia="sk-SK"/>
        </w:rPr>
        <w:t xml:space="preserve"> </w:t>
      </w:r>
      <w:r w:rsidR="00EE486A" w:rsidRPr="00D3189B">
        <w:rPr>
          <w:rFonts w:eastAsia="Times New Roman" w:cs="Helvetica"/>
          <w:szCs w:val="22"/>
          <w:lang w:eastAsia="sk-SK"/>
        </w:rPr>
        <w:t>umožňuje</w:t>
      </w:r>
      <w:r w:rsidR="00EE486A">
        <w:rPr>
          <w:rFonts w:eastAsia="Times New Roman" w:cs="Helvetica"/>
          <w:b/>
          <w:szCs w:val="22"/>
          <w:lang w:eastAsia="sk-SK"/>
        </w:rPr>
        <w:t xml:space="preserve"> </w:t>
      </w:r>
      <w:r w:rsidR="00EE486A">
        <w:rPr>
          <w:rFonts w:cs="NeueHaasGroteskText W02"/>
        </w:rPr>
        <w:t>zahrnúť do aktivačných prác relatívne širokú škálu aktivít, v praxi aktivačné práce obsahujú</w:t>
      </w:r>
      <w:r w:rsidR="00EE486A" w:rsidRPr="00CA2564">
        <w:rPr>
          <w:rFonts w:cs="NeueHaasGroteskText W02"/>
        </w:rPr>
        <w:t xml:space="preserve"> prevažne nekvalifikované aktivity bez ďalšej nadstavby ako napríklad </w:t>
      </w:r>
      <w:r w:rsidR="00EE486A" w:rsidRPr="009C6F2F">
        <w:rPr>
          <w:rFonts w:cs="NeueHaasGroteskText W02"/>
        </w:rPr>
        <w:t>zametanie ulíc, zbieranie odpadkov, odhŕňanie snehu atď</w:t>
      </w:r>
      <w:r w:rsidR="000D431D">
        <w:rPr>
          <w:rFonts w:cs="NeueHaasGroteskText W02"/>
        </w:rPr>
        <w:t>.</w:t>
      </w:r>
      <w:r w:rsidR="00EE486A" w:rsidRPr="009C6F2F">
        <w:rPr>
          <w:rFonts w:cs="NeueHaasGroteskText W02"/>
        </w:rPr>
        <w:t xml:space="preserve"> </w:t>
      </w:r>
      <w:r w:rsidR="00EE486A" w:rsidRPr="009C6F2F">
        <w:rPr>
          <w:rFonts w:eastAsia="Times New Roman" w:cs="Helvetica"/>
          <w:szCs w:val="22"/>
          <w:lang w:eastAsia="sk-SK"/>
        </w:rPr>
        <w:t xml:space="preserve">(podkapitola </w:t>
      </w:r>
      <w:r w:rsidR="0010591A">
        <w:rPr>
          <w:rFonts w:eastAsia="Times New Roman" w:cs="Helvetica"/>
          <w:szCs w:val="22"/>
          <w:lang w:eastAsia="sk-SK"/>
        </w:rPr>
        <w:fldChar w:fldCharType="begin"/>
      </w:r>
      <w:r w:rsidR="0010591A">
        <w:rPr>
          <w:rFonts w:eastAsia="Times New Roman" w:cs="Helvetica"/>
          <w:szCs w:val="22"/>
          <w:lang w:eastAsia="sk-SK"/>
        </w:rPr>
        <w:instrText xml:space="preserve"> REF _Ref25310266 \r \h </w:instrText>
      </w:r>
      <w:r w:rsidR="0010591A">
        <w:rPr>
          <w:rFonts w:eastAsia="Times New Roman" w:cs="Helvetica"/>
          <w:szCs w:val="22"/>
          <w:lang w:eastAsia="sk-SK"/>
        </w:rPr>
      </w:r>
      <w:r w:rsidR="0010591A">
        <w:rPr>
          <w:rFonts w:eastAsia="Times New Roman" w:cs="Helvetica"/>
          <w:szCs w:val="22"/>
          <w:lang w:eastAsia="sk-SK"/>
        </w:rPr>
        <w:fldChar w:fldCharType="separate"/>
      </w:r>
      <w:r w:rsidR="00FA29AF">
        <w:rPr>
          <w:rFonts w:eastAsia="Times New Roman" w:cs="Helvetica"/>
          <w:szCs w:val="22"/>
          <w:lang w:eastAsia="sk-SK"/>
        </w:rPr>
        <w:t>7.2</w:t>
      </w:r>
      <w:r w:rsidR="0010591A">
        <w:rPr>
          <w:rFonts w:eastAsia="Times New Roman" w:cs="Helvetica"/>
          <w:szCs w:val="22"/>
          <w:lang w:eastAsia="sk-SK"/>
        </w:rPr>
        <w:fldChar w:fldCharType="end"/>
      </w:r>
      <w:r w:rsidR="00EE486A" w:rsidRPr="009C6F2F">
        <w:rPr>
          <w:rFonts w:eastAsia="Times New Roman" w:cs="Helvetica"/>
          <w:szCs w:val="22"/>
          <w:lang w:eastAsia="sk-SK"/>
        </w:rPr>
        <w:t>)</w:t>
      </w:r>
      <w:r w:rsidR="00EE486A" w:rsidRPr="009C6F2F">
        <w:rPr>
          <w:rFonts w:cs="NeueHaasGroteskText W02"/>
        </w:rPr>
        <w:t xml:space="preserve">. Opatrenie predpokladá podmienenie príspevku na </w:t>
      </w:r>
      <w:r w:rsidR="00EE486A" w:rsidRPr="009C6F2F">
        <w:rPr>
          <w:rFonts w:eastAsia="Times New Roman" w:cs="Helvetica"/>
          <w:szCs w:val="22"/>
          <w:lang w:eastAsia="sk-SK"/>
        </w:rPr>
        <w:t>aktivačnú činnosť formou menších obecných služieb pre obec alebo formou menších služieb pre samosprávny kraj</w:t>
      </w:r>
      <w:r w:rsidR="00EE486A">
        <w:rPr>
          <w:rFonts w:eastAsia="Times New Roman" w:cs="Helvetica"/>
          <w:szCs w:val="22"/>
          <w:lang w:eastAsia="sk-SK"/>
        </w:rPr>
        <w:t xml:space="preserve"> poskytnutím práce s vyššou pridanou hodnotou a možnosťami </w:t>
      </w:r>
      <w:r w:rsidR="00EE486A" w:rsidRPr="00AB28DA">
        <w:rPr>
          <w:rFonts w:eastAsia="Times New Roman" w:cs="Helvetica"/>
          <w:szCs w:val="22"/>
          <w:lang w:eastAsia="sk-SK"/>
        </w:rPr>
        <w:t>rozvoja zručností</w:t>
      </w:r>
      <w:r w:rsidR="00EE486A">
        <w:rPr>
          <w:rFonts w:eastAsia="Times New Roman" w:cs="Helvetica"/>
          <w:szCs w:val="22"/>
          <w:lang w:eastAsia="sk-SK"/>
        </w:rPr>
        <w:t xml:space="preserve"> účastníkov</w:t>
      </w:r>
      <w:r w:rsidR="00EE486A" w:rsidRPr="009C6F2F">
        <w:rPr>
          <w:rFonts w:cs="NeueHaasGroteskText W02"/>
        </w:rPr>
        <w:t xml:space="preserve">. </w:t>
      </w:r>
      <w:r w:rsidR="00EE486A">
        <w:rPr>
          <w:rFonts w:cs="NeueHaasGroteskText W02"/>
        </w:rPr>
        <w:t>Cieľom</w:t>
      </w:r>
      <w:r w:rsidR="002709F1">
        <w:rPr>
          <w:rFonts w:cs="NeueHaasGroteskText W02"/>
        </w:rPr>
        <w:t xml:space="preserve"> je </w:t>
      </w:r>
      <w:r w:rsidR="00EE486A" w:rsidRPr="009C6F2F">
        <w:rPr>
          <w:rFonts w:cs="NeueHaasGroteskText W02"/>
        </w:rPr>
        <w:t>motivovať obce a samosprávy k vytváraniu príležitostí pre rozvoj zručností účastníkov a tak napomáhať ich</w:t>
      </w:r>
      <w:r w:rsidR="00EE486A">
        <w:rPr>
          <w:rFonts w:cs="NeueHaasGroteskText W02"/>
        </w:rPr>
        <w:t xml:space="preserve"> posunu k sofistikovanejším nástrojom aktivácie a eventuálne k začleneniu na pracovnom trhu.</w:t>
      </w:r>
      <w:r w:rsidR="00EE486A" w:rsidRPr="00A54101">
        <w:rPr>
          <w:rFonts w:eastAsia="Times New Roman" w:cs="Helvetica"/>
          <w:szCs w:val="22"/>
          <w:lang w:eastAsia="sk-SK"/>
        </w:rPr>
        <w:t xml:space="preserve"> </w:t>
      </w:r>
      <w:r w:rsidR="00A54101" w:rsidRPr="00D41517">
        <w:rPr>
          <w:rFonts w:eastAsia="Times New Roman" w:cs="Times New Roman"/>
          <w:color w:val="000000"/>
          <w:szCs w:val="22"/>
          <w:lang w:eastAsia="sk-SK"/>
        </w:rPr>
        <w:t>Výpočet úspory predpokladá zníženie výdavkov o 25 %</w:t>
      </w:r>
      <w:r w:rsidR="00A54101">
        <w:rPr>
          <w:rFonts w:eastAsia="Times New Roman" w:cs="Times New Roman"/>
          <w:color w:val="000000"/>
          <w:szCs w:val="22"/>
          <w:lang w:eastAsia="sk-SK"/>
        </w:rPr>
        <w:t xml:space="preserve"> (</w:t>
      </w:r>
      <w:r w:rsidR="00947C94">
        <w:fldChar w:fldCharType="begin"/>
      </w:r>
      <w:r w:rsidR="00947C94">
        <w:instrText xml:space="preserve"> REF _Ref34129538 \h  \* MERGEFORMAT </w:instrText>
      </w:r>
      <w:r w:rsidR="00947C94">
        <w:fldChar w:fldCharType="separate"/>
      </w:r>
      <w:r w:rsidR="00FA29AF" w:rsidRPr="00FA29AF">
        <w:t>Príloha 40</w:t>
      </w:r>
      <w:r w:rsidR="00947C94">
        <w:fldChar w:fldCharType="end"/>
      </w:r>
      <w:r w:rsidR="00A54101">
        <w:rPr>
          <w:rFonts w:eastAsia="Times New Roman" w:cs="Times New Roman"/>
          <w:color w:val="000000"/>
          <w:szCs w:val="22"/>
          <w:lang w:eastAsia="sk-SK"/>
        </w:rPr>
        <w:t>)</w:t>
      </w:r>
      <w:r w:rsidR="00A54101" w:rsidRPr="00D41517">
        <w:rPr>
          <w:rFonts w:eastAsia="Times New Roman" w:cs="Times New Roman"/>
          <w:color w:val="000000"/>
          <w:szCs w:val="22"/>
          <w:lang w:eastAsia="sk-SK"/>
        </w:rPr>
        <w:t xml:space="preserve">. </w:t>
      </w:r>
      <w:r w:rsidR="00A54101">
        <w:rPr>
          <w:rFonts w:eastAsia="Times New Roman" w:cs="Helvetica"/>
          <w:szCs w:val="22"/>
          <w:lang w:eastAsia="sk-SK"/>
        </w:rPr>
        <w:t>Reálna úspora</w:t>
      </w:r>
      <w:r w:rsidR="00EE486A">
        <w:rPr>
          <w:rFonts w:eastAsia="Times New Roman" w:cs="Helvetica"/>
          <w:szCs w:val="22"/>
          <w:lang w:eastAsia="sk-SK"/>
        </w:rPr>
        <w:t xml:space="preserve"> bude závisieť od toho, koľko obcí a samospráv splní navrhnuté podmienky nároku na príspevok.</w:t>
      </w:r>
    </w:p>
    <w:p w14:paraId="73109127" w14:textId="6C3F29AD" w:rsidR="00231BE7" w:rsidRPr="00CE5E79" w:rsidRDefault="00172D55" w:rsidP="00231BE7">
      <w:pPr>
        <w:pStyle w:val="Nadpis2"/>
        <w:spacing w:before="240"/>
        <w:rPr>
          <w:bCs/>
        </w:rPr>
      </w:pPr>
      <w:bookmarkStart w:id="23" w:name="_Toc34657702"/>
      <w:r>
        <w:lastRenderedPageBreak/>
        <w:t>Riadenie a nefinančné opatrenia</w:t>
      </w:r>
      <w:bookmarkEnd w:id="23"/>
      <w:r w:rsidR="00644541" w:rsidRPr="00CE3549">
        <w:rPr>
          <w:bCs/>
        </w:rPr>
        <w:t xml:space="preserve"> </w:t>
      </w:r>
    </w:p>
    <w:tbl>
      <w:tblPr>
        <w:tblW w:w="9072" w:type="dxa"/>
        <w:tblCellMar>
          <w:left w:w="70" w:type="dxa"/>
          <w:right w:w="70" w:type="dxa"/>
        </w:tblCellMar>
        <w:tblLook w:val="04A0" w:firstRow="1" w:lastRow="0" w:firstColumn="1" w:lastColumn="0" w:noHBand="0" w:noVBand="1"/>
      </w:tblPr>
      <w:tblGrid>
        <w:gridCol w:w="506"/>
        <w:gridCol w:w="7291"/>
        <w:gridCol w:w="1275"/>
      </w:tblGrid>
      <w:tr w:rsidR="005975CD" w:rsidRPr="00893C52" w14:paraId="521A7129" w14:textId="77777777" w:rsidTr="005975CD">
        <w:trPr>
          <w:trHeight w:hRule="exact" w:val="227"/>
        </w:trPr>
        <w:tc>
          <w:tcPr>
            <w:tcW w:w="506" w:type="dxa"/>
            <w:vMerge w:val="restart"/>
            <w:tcBorders>
              <w:top w:val="single" w:sz="4" w:space="0" w:color="auto"/>
              <w:left w:val="nil"/>
              <w:bottom w:val="single" w:sz="4" w:space="0" w:color="000000"/>
              <w:right w:val="nil"/>
            </w:tcBorders>
            <w:shd w:val="clear" w:color="000000" w:fill="DDEBF7"/>
            <w:vAlign w:val="center"/>
            <w:hideMark/>
          </w:tcPr>
          <w:p w14:paraId="486ECBF7" w14:textId="77777777" w:rsidR="005975CD" w:rsidRPr="00893C52" w:rsidRDefault="005975CD" w:rsidP="001328BF">
            <w:pPr>
              <w:spacing w:after="0" w:line="240" w:lineRule="auto"/>
              <w:rPr>
                <w:rFonts w:eastAsia="Times New Roman" w:cs="Times New Roman"/>
                <w:color w:val="000000"/>
                <w:sz w:val="20"/>
                <w:lang w:eastAsia="sk-SK"/>
              </w:rPr>
            </w:pPr>
            <w:bookmarkStart w:id="24" w:name="_Hlk24457834"/>
          </w:p>
        </w:tc>
        <w:tc>
          <w:tcPr>
            <w:tcW w:w="7291" w:type="dxa"/>
            <w:vMerge w:val="restart"/>
            <w:tcBorders>
              <w:top w:val="single" w:sz="4" w:space="0" w:color="auto"/>
              <w:left w:val="nil"/>
              <w:bottom w:val="single" w:sz="4" w:space="0" w:color="000000"/>
              <w:right w:val="nil"/>
            </w:tcBorders>
            <w:shd w:val="clear" w:color="000000" w:fill="DDEBF7"/>
            <w:vAlign w:val="center"/>
            <w:hideMark/>
          </w:tcPr>
          <w:p w14:paraId="5D93A4F6" w14:textId="77777777" w:rsidR="005975CD" w:rsidRPr="00893C52" w:rsidRDefault="005975CD" w:rsidP="001328BF">
            <w:pPr>
              <w:spacing w:after="0" w:line="240" w:lineRule="auto"/>
              <w:rPr>
                <w:rFonts w:eastAsia="Times New Roman" w:cs="Times New Roman"/>
                <w:color w:val="000000"/>
                <w:sz w:val="20"/>
                <w:lang w:eastAsia="sk-SK"/>
              </w:rPr>
            </w:pPr>
            <w:r w:rsidRPr="00893C52">
              <w:rPr>
                <w:rFonts w:eastAsia="Times New Roman" w:cs="Times New Roman"/>
                <w:color w:val="000000"/>
                <w:sz w:val="20"/>
                <w:lang w:eastAsia="sk-SK"/>
              </w:rPr>
              <w:t>Úloha</w:t>
            </w:r>
          </w:p>
        </w:tc>
        <w:tc>
          <w:tcPr>
            <w:tcW w:w="1275" w:type="dxa"/>
            <w:vMerge w:val="restart"/>
            <w:tcBorders>
              <w:top w:val="single" w:sz="4" w:space="0" w:color="auto"/>
              <w:left w:val="nil"/>
              <w:bottom w:val="single" w:sz="4" w:space="0" w:color="000000"/>
              <w:right w:val="nil"/>
            </w:tcBorders>
            <w:shd w:val="clear" w:color="000000" w:fill="DDEBF7"/>
            <w:vAlign w:val="center"/>
            <w:hideMark/>
          </w:tcPr>
          <w:p w14:paraId="330E9943" w14:textId="77777777" w:rsidR="005975CD" w:rsidRPr="00893C52" w:rsidRDefault="005975CD" w:rsidP="001328BF">
            <w:pPr>
              <w:spacing w:after="0" w:line="240" w:lineRule="auto"/>
              <w:jc w:val="center"/>
              <w:rPr>
                <w:rFonts w:eastAsia="Times New Roman" w:cs="Times New Roman"/>
                <w:color w:val="000000"/>
                <w:sz w:val="20"/>
                <w:lang w:eastAsia="sk-SK"/>
              </w:rPr>
            </w:pPr>
            <w:r w:rsidRPr="00893C52">
              <w:rPr>
                <w:rFonts w:eastAsia="Times New Roman" w:cs="Times New Roman"/>
                <w:color w:val="000000"/>
                <w:sz w:val="20"/>
                <w:lang w:eastAsia="sk-SK"/>
              </w:rPr>
              <w:t>Zodpovednosť</w:t>
            </w:r>
          </w:p>
        </w:tc>
      </w:tr>
      <w:tr w:rsidR="005975CD" w:rsidRPr="00893C52" w14:paraId="1961F59B" w14:textId="77777777" w:rsidTr="005975CD">
        <w:trPr>
          <w:trHeight w:val="450"/>
        </w:trPr>
        <w:tc>
          <w:tcPr>
            <w:tcW w:w="506" w:type="dxa"/>
            <w:vMerge/>
            <w:tcBorders>
              <w:top w:val="single" w:sz="4" w:space="0" w:color="auto"/>
              <w:left w:val="nil"/>
              <w:bottom w:val="single" w:sz="4" w:space="0" w:color="000000"/>
              <w:right w:val="nil"/>
            </w:tcBorders>
            <w:vAlign w:val="center"/>
            <w:hideMark/>
          </w:tcPr>
          <w:p w14:paraId="5B741938" w14:textId="77777777" w:rsidR="005975CD" w:rsidRPr="00893C52" w:rsidRDefault="005975CD" w:rsidP="001328BF">
            <w:pPr>
              <w:spacing w:after="0" w:line="240" w:lineRule="auto"/>
              <w:rPr>
                <w:rFonts w:eastAsia="Times New Roman" w:cs="Times New Roman"/>
                <w:color w:val="000000"/>
                <w:sz w:val="20"/>
                <w:lang w:eastAsia="sk-SK"/>
              </w:rPr>
            </w:pPr>
          </w:p>
        </w:tc>
        <w:tc>
          <w:tcPr>
            <w:tcW w:w="7291" w:type="dxa"/>
            <w:vMerge/>
            <w:tcBorders>
              <w:top w:val="single" w:sz="4" w:space="0" w:color="auto"/>
              <w:left w:val="nil"/>
              <w:bottom w:val="single" w:sz="4" w:space="0" w:color="000000"/>
              <w:right w:val="nil"/>
            </w:tcBorders>
            <w:vAlign w:val="center"/>
            <w:hideMark/>
          </w:tcPr>
          <w:p w14:paraId="0FF865B1" w14:textId="77777777" w:rsidR="005975CD" w:rsidRPr="00893C52" w:rsidRDefault="005975CD" w:rsidP="001328BF">
            <w:pPr>
              <w:spacing w:after="0" w:line="240" w:lineRule="auto"/>
              <w:rPr>
                <w:rFonts w:eastAsia="Times New Roman" w:cs="Times New Roman"/>
                <w:color w:val="000000"/>
                <w:sz w:val="20"/>
                <w:lang w:eastAsia="sk-SK"/>
              </w:rPr>
            </w:pPr>
          </w:p>
        </w:tc>
        <w:tc>
          <w:tcPr>
            <w:tcW w:w="1275" w:type="dxa"/>
            <w:vMerge/>
            <w:tcBorders>
              <w:top w:val="single" w:sz="4" w:space="0" w:color="auto"/>
              <w:left w:val="nil"/>
              <w:bottom w:val="single" w:sz="4" w:space="0" w:color="000000"/>
              <w:right w:val="nil"/>
            </w:tcBorders>
            <w:vAlign w:val="center"/>
            <w:hideMark/>
          </w:tcPr>
          <w:p w14:paraId="1638BAC6" w14:textId="77777777" w:rsidR="005975CD" w:rsidRPr="00893C52" w:rsidRDefault="005975CD" w:rsidP="001328BF">
            <w:pPr>
              <w:spacing w:after="0" w:line="240" w:lineRule="auto"/>
              <w:rPr>
                <w:rFonts w:eastAsia="Times New Roman" w:cs="Times New Roman"/>
                <w:color w:val="000000"/>
                <w:sz w:val="20"/>
                <w:lang w:eastAsia="sk-SK"/>
              </w:rPr>
            </w:pPr>
          </w:p>
        </w:tc>
      </w:tr>
      <w:tr w:rsidR="004A2670" w:rsidRPr="00893C52" w14:paraId="68B5D406" w14:textId="77777777" w:rsidTr="004A2670">
        <w:trPr>
          <w:trHeight w:val="476"/>
        </w:trPr>
        <w:tc>
          <w:tcPr>
            <w:tcW w:w="506" w:type="dxa"/>
            <w:tcBorders>
              <w:top w:val="nil"/>
              <w:left w:val="nil"/>
              <w:bottom w:val="single" w:sz="4" w:space="0" w:color="auto"/>
              <w:right w:val="nil"/>
            </w:tcBorders>
            <w:shd w:val="clear" w:color="000000" w:fill="FFFFFF"/>
            <w:vAlign w:val="center"/>
            <w:hideMark/>
          </w:tcPr>
          <w:p w14:paraId="314D16B5" w14:textId="77777777" w:rsidR="004A2670" w:rsidRPr="00893C52" w:rsidRDefault="004A2670" w:rsidP="004A2670">
            <w:pPr>
              <w:spacing w:after="0" w:line="240" w:lineRule="auto"/>
              <w:jc w:val="center"/>
              <w:rPr>
                <w:rFonts w:eastAsia="Times New Roman" w:cs="Times New Roman"/>
                <w:b/>
                <w:bCs/>
                <w:color w:val="000000"/>
                <w:sz w:val="20"/>
                <w:lang w:eastAsia="sk-SK"/>
              </w:rPr>
            </w:pPr>
            <w:r w:rsidRPr="00893C52">
              <w:rPr>
                <w:rFonts w:eastAsia="Times New Roman" w:cs="Times New Roman"/>
                <w:b/>
                <w:bCs/>
                <w:color w:val="000000"/>
                <w:sz w:val="20"/>
                <w:lang w:eastAsia="sk-SK"/>
              </w:rPr>
              <w:t> </w:t>
            </w:r>
          </w:p>
        </w:tc>
        <w:tc>
          <w:tcPr>
            <w:tcW w:w="7291" w:type="dxa"/>
            <w:tcBorders>
              <w:top w:val="nil"/>
              <w:left w:val="nil"/>
              <w:bottom w:val="single" w:sz="4" w:space="0" w:color="auto"/>
              <w:right w:val="nil"/>
            </w:tcBorders>
            <w:shd w:val="clear" w:color="000000" w:fill="FFFFFF"/>
            <w:vAlign w:val="center"/>
            <w:hideMark/>
          </w:tcPr>
          <w:p w14:paraId="756CF5B7" w14:textId="329D7C4E" w:rsidR="004A2670" w:rsidRPr="00137B27" w:rsidRDefault="00EC7B8C" w:rsidP="00EC7B8C">
            <w:pPr>
              <w:spacing w:after="0" w:line="240" w:lineRule="auto"/>
              <w:rPr>
                <w:rFonts w:eastAsia="Times New Roman" w:cs="Times New Roman"/>
                <w:b/>
                <w:bCs/>
                <w:color w:val="000000"/>
                <w:sz w:val="20"/>
                <w:lang w:eastAsia="sk-SK"/>
              </w:rPr>
            </w:pPr>
            <w:r>
              <w:rPr>
                <w:rFonts w:eastAsia="Times New Roman" w:cs="Times New Roman"/>
                <w:b/>
                <w:bCs/>
                <w:color w:val="000000"/>
                <w:sz w:val="20"/>
                <w:lang w:eastAsia="sk-SK"/>
              </w:rPr>
              <w:t>Starostlivosť</w:t>
            </w:r>
            <w:r w:rsidR="004A2670" w:rsidRPr="00137B27">
              <w:rPr>
                <w:rFonts w:eastAsia="Times New Roman" w:cs="Times New Roman"/>
                <w:b/>
                <w:bCs/>
                <w:color w:val="000000"/>
                <w:sz w:val="20"/>
                <w:lang w:eastAsia="sk-SK"/>
              </w:rPr>
              <w:t xml:space="preserve"> o </w:t>
            </w:r>
            <w:r w:rsidRPr="00137B27">
              <w:rPr>
                <w:rFonts w:eastAsia="Times New Roman" w:cs="Times New Roman"/>
                <w:b/>
                <w:bCs/>
                <w:color w:val="000000"/>
                <w:sz w:val="20"/>
                <w:lang w:eastAsia="sk-SK"/>
              </w:rPr>
              <w:t xml:space="preserve">znevýhodnené </w:t>
            </w:r>
            <w:r w:rsidR="004A2670" w:rsidRPr="00137B27">
              <w:rPr>
                <w:rFonts w:eastAsia="Times New Roman" w:cs="Times New Roman"/>
                <w:b/>
                <w:bCs/>
                <w:color w:val="000000"/>
                <w:sz w:val="20"/>
                <w:lang w:eastAsia="sk-SK"/>
              </w:rPr>
              <w:t>deti v ranom veku</w:t>
            </w:r>
          </w:p>
        </w:tc>
        <w:tc>
          <w:tcPr>
            <w:tcW w:w="1275" w:type="dxa"/>
            <w:tcBorders>
              <w:top w:val="nil"/>
              <w:left w:val="nil"/>
              <w:bottom w:val="single" w:sz="4" w:space="0" w:color="auto"/>
              <w:right w:val="nil"/>
            </w:tcBorders>
            <w:shd w:val="clear" w:color="000000" w:fill="FFFFFF"/>
            <w:vAlign w:val="center"/>
            <w:hideMark/>
          </w:tcPr>
          <w:p w14:paraId="701B771F" w14:textId="77777777" w:rsidR="004A2670" w:rsidRPr="00893C52" w:rsidRDefault="004A2670" w:rsidP="004A2670">
            <w:pPr>
              <w:spacing w:after="0" w:line="240" w:lineRule="auto"/>
              <w:rPr>
                <w:rFonts w:eastAsia="Times New Roman" w:cs="Times New Roman"/>
                <w:b/>
                <w:bCs/>
                <w:color w:val="000000"/>
                <w:sz w:val="20"/>
                <w:lang w:eastAsia="sk-SK"/>
              </w:rPr>
            </w:pPr>
            <w:r w:rsidRPr="00893C52">
              <w:rPr>
                <w:rFonts w:eastAsia="Times New Roman" w:cs="Times New Roman"/>
                <w:b/>
                <w:bCs/>
                <w:color w:val="000000"/>
                <w:sz w:val="20"/>
                <w:lang w:eastAsia="sk-SK"/>
              </w:rPr>
              <w:t> </w:t>
            </w:r>
          </w:p>
        </w:tc>
      </w:tr>
      <w:tr w:rsidR="004A2670" w:rsidRPr="004A2670" w14:paraId="738119CC" w14:textId="77777777" w:rsidTr="004A2670">
        <w:trPr>
          <w:trHeight w:val="238"/>
        </w:trPr>
        <w:tc>
          <w:tcPr>
            <w:tcW w:w="506" w:type="dxa"/>
            <w:tcBorders>
              <w:top w:val="nil"/>
              <w:left w:val="nil"/>
              <w:bottom w:val="dotted" w:sz="4" w:space="0" w:color="auto"/>
              <w:right w:val="nil"/>
            </w:tcBorders>
            <w:shd w:val="clear" w:color="000000" w:fill="FFFFFF"/>
            <w:vAlign w:val="center"/>
          </w:tcPr>
          <w:p w14:paraId="2293DC73" w14:textId="77777777" w:rsidR="004A2670" w:rsidRPr="004A2670" w:rsidRDefault="004A2670" w:rsidP="004A2670">
            <w:pPr>
              <w:spacing w:after="0" w:line="240" w:lineRule="auto"/>
              <w:jc w:val="center"/>
              <w:rPr>
                <w:rFonts w:eastAsia="Times New Roman" w:cs="Times New Roman"/>
                <w:color w:val="000000"/>
                <w:sz w:val="20"/>
                <w:lang w:eastAsia="sk-SK"/>
              </w:rPr>
            </w:pPr>
            <w:r w:rsidRPr="004A2670">
              <w:rPr>
                <w:rFonts w:eastAsia="Times New Roman" w:cs="Times New Roman"/>
                <w:color w:val="000000"/>
                <w:sz w:val="20"/>
                <w:lang w:eastAsia="sk-SK"/>
              </w:rPr>
              <w:t>1</w:t>
            </w:r>
          </w:p>
        </w:tc>
        <w:tc>
          <w:tcPr>
            <w:tcW w:w="7291" w:type="dxa"/>
            <w:tcBorders>
              <w:top w:val="nil"/>
              <w:left w:val="nil"/>
              <w:bottom w:val="dotted" w:sz="4" w:space="0" w:color="auto"/>
              <w:right w:val="nil"/>
            </w:tcBorders>
            <w:shd w:val="clear" w:color="000000" w:fill="FFFFFF"/>
            <w:vAlign w:val="center"/>
          </w:tcPr>
          <w:p w14:paraId="1D7CDB55" w14:textId="04BE4D09" w:rsidR="004A2670" w:rsidRPr="004A2670" w:rsidRDefault="004A2670" w:rsidP="004A2670">
            <w:pPr>
              <w:spacing w:after="0" w:line="240" w:lineRule="auto"/>
              <w:rPr>
                <w:rFonts w:eastAsia="Times New Roman" w:cs="Times New Roman"/>
                <w:color w:val="000000"/>
                <w:sz w:val="20"/>
                <w:lang w:eastAsia="sk-SK"/>
              </w:rPr>
            </w:pPr>
            <w:r w:rsidRPr="00452DBC">
              <w:rPr>
                <w:sz w:val="20"/>
              </w:rPr>
              <w:t>Vytvoriť nadrezortnú stratégiu ranej starostlivosti o znevýhodnené deti</w:t>
            </w:r>
          </w:p>
        </w:tc>
        <w:tc>
          <w:tcPr>
            <w:tcW w:w="1275" w:type="dxa"/>
            <w:tcBorders>
              <w:top w:val="nil"/>
              <w:left w:val="nil"/>
              <w:bottom w:val="dotted" w:sz="4" w:space="0" w:color="auto"/>
              <w:right w:val="nil"/>
            </w:tcBorders>
            <w:shd w:val="clear" w:color="000000" w:fill="FFFFFF"/>
            <w:vAlign w:val="center"/>
          </w:tcPr>
          <w:p w14:paraId="59F6FE28" w14:textId="3CA6E28A" w:rsidR="004A2670" w:rsidRPr="004A2670" w:rsidRDefault="004A2670" w:rsidP="004A2670">
            <w:pPr>
              <w:spacing w:after="0" w:line="240" w:lineRule="auto"/>
              <w:rPr>
                <w:rFonts w:eastAsia="Times New Roman" w:cs="Times New Roman"/>
                <w:color w:val="000000"/>
                <w:sz w:val="20"/>
                <w:lang w:eastAsia="sk-SK"/>
              </w:rPr>
            </w:pPr>
            <w:r w:rsidRPr="00893C52">
              <w:rPr>
                <w:rFonts w:eastAsia="Times New Roman" w:cs="Times New Roman"/>
                <w:color w:val="000000"/>
                <w:sz w:val="20"/>
                <w:lang w:eastAsia="sk-SK"/>
              </w:rPr>
              <w:t>MŠVVaŠ</w:t>
            </w:r>
            <w:r>
              <w:rPr>
                <w:rFonts w:eastAsia="Times New Roman" w:cs="Times New Roman"/>
                <w:color w:val="000000"/>
                <w:sz w:val="20"/>
                <w:lang w:eastAsia="sk-SK"/>
              </w:rPr>
              <w:t>, MPSVaR, MZ</w:t>
            </w:r>
          </w:p>
        </w:tc>
      </w:tr>
      <w:tr w:rsidR="004A2670" w:rsidRPr="004A2670" w14:paraId="40D804A8" w14:textId="77777777" w:rsidTr="00452DBC">
        <w:trPr>
          <w:trHeight w:val="238"/>
        </w:trPr>
        <w:tc>
          <w:tcPr>
            <w:tcW w:w="506" w:type="dxa"/>
            <w:tcBorders>
              <w:top w:val="nil"/>
              <w:left w:val="nil"/>
              <w:bottom w:val="single" w:sz="4" w:space="0" w:color="auto"/>
              <w:right w:val="nil"/>
            </w:tcBorders>
            <w:shd w:val="clear" w:color="000000" w:fill="FFFFFF"/>
            <w:vAlign w:val="center"/>
            <w:hideMark/>
          </w:tcPr>
          <w:p w14:paraId="24B335DE" w14:textId="52358D6D" w:rsidR="004A2670" w:rsidRPr="004A2670" w:rsidRDefault="00FE350B" w:rsidP="004A2670">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2</w:t>
            </w:r>
          </w:p>
        </w:tc>
        <w:tc>
          <w:tcPr>
            <w:tcW w:w="7291" w:type="dxa"/>
            <w:tcBorders>
              <w:top w:val="nil"/>
              <w:left w:val="nil"/>
              <w:bottom w:val="single" w:sz="4" w:space="0" w:color="auto"/>
              <w:right w:val="nil"/>
            </w:tcBorders>
            <w:shd w:val="clear" w:color="000000" w:fill="FFFFFF"/>
            <w:vAlign w:val="center"/>
            <w:hideMark/>
          </w:tcPr>
          <w:p w14:paraId="0A263D79" w14:textId="056DDEED" w:rsidR="004A2670" w:rsidRPr="004A2670" w:rsidRDefault="004A2670" w:rsidP="004A2670">
            <w:pPr>
              <w:spacing w:after="0" w:line="240" w:lineRule="auto"/>
              <w:rPr>
                <w:rFonts w:eastAsia="Times New Roman" w:cs="Times New Roman"/>
                <w:color w:val="000000"/>
                <w:sz w:val="20"/>
                <w:lang w:eastAsia="sk-SK"/>
              </w:rPr>
            </w:pPr>
            <w:r w:rsidRPr="00452DBC">
              <w:rPr>
                <w:sz w:val="20"/>
              </w:rPr>
              <w:t>Zohľadniť špecifiká ranej starostlivosti pri tvorbe štandardov školských zariadení poradenstva a prevencie</w:t>
            </w:r>
          </w:p>
        </w:tc>
        <w:tc>
          <w:tcPr>
            <w:tcW w:w="1275" w:type="dxa"/>
            <w:tcBorders>
              <w:top w:val="nil"/>
              <w:left w:val="nil"/>
              <w:bottom w:val="single" w:sz="4" w:space="0" w:color="auto"/>
              <w:right w:val="nil"/>
            </w:tcBorders>
            <w:shd w:val="clear" w:color="000000" w:fill="FFFFFF"/>
            <w:vAlign w:val="center"/>
            <w:hideMark/>
          </w:tcPr>
          <w:p w14:paraId="78110ACB" w14:textId="199EF0E1" w:rsidR="004A2670" w:rsidRPr="004A2670" w:rsidRDefault="004A2670" w:rsidP="004A2670">
            <w:pPr>
              <w:spacing w:after="0" w:line="240" w:lineRule="auto"/>
              <w:rPr>
                <w:rFonts w:eastAsia="Times New Roman" w:cs="Times New Roman"/>
                <w:color w:val="000000"/>
                <w:sz w:val="20"/>
                <w:lang w:eastAsia="sk-SK"/>
              </w:rPr>
            </w:pPr>
            <w:r w:rsidRPr="00893C52">
              <w:rPr>
                <w:rFonts w:eastAsia="Times New Roman" w:cs="Times New Roman"/>
                <w:color w:val="000000"/>
                <w:sz w:val="20"/>
                <w:lang w:eastAsia="sk-SK"/>
              </w:rPr>
              <w:t>MŠVVaŠ</w:t>
            </w:r>
          </w:p>
        </w:tc>
      </w:tr>
      <w:tr w:rsidR="005975CD" w:rsidRPr="00893C52" w14:paraId="1D5F7520" w14:textId="77777777" w:rsidTr="00452DBC">
        <w:trPr>
          <w:trHeight w:val="476"/>
        </w:trPr>
        <w:tc>
          <w:tcPr>
            <w:tcW w:w="506" w:type="dxa"/>
            <w:tcBorders>
              <w:top w:val="single" w:sz="4" w:space="0" w:color="auto"/>
              <w:left w:val="nil"/>
              <w:bottom w:val="single" w:sz="4" w:space="0" w:color="auto"/>
              <w:right w:val="nil"/>
            </w:tcBorders>
            <w:shd w:val="clear" w:color="000000" w:fill="FFFFFF"/>
            <w:vAlign w:val="center"/>
            <w:hideMark/>
          </w:tcPr>
          <w:p w14:paraId="5E17ED36" w14:textId="77777777" w:rsidR="005975CD" w:rsidRPr="00893C52" w:rsidRDefault="005975CD" w:rsidP="001328BF">
            <w:pPr>
              <w:spacing w:after="0" w:line="240" w:lineRule="auto"/>
              <w:jc w:val="center"/>
              <w:rPr>
                <w:rFonts w:eastAsia="Times New Roman" w:cs="Times New Roman"/>
                <w:b/>
                <w:bCs/>
                <w:color w:val="000000"/>
                <w:sz w:val="20"/>
                <w:lang w:eastAsia="sk-SK"/>
              </w:rPr>
            </w:pPr>
            <w:r w:rsidRPr="00893C52">
              <w:rPr>
                <w:rFonts w:eastAsia="Times New Roman" w:cs="Times New Roman"/>
                <w:b/>
                <w:bCs/>
                <w:color w:val="000000"/>
                <w:sz w:val="20"/>
                <w:lang w:eastAsia="sk-SK"/>
              </w:rPr>
              <w:t> </w:t>
            </w:r>
          </w:p>
        </w:tc>
        <w:tc>
          <w:tcPr>
            <w:tcW w:w="7291" w:type="dxa"/>
            <w:tcBorders>
              <w:top w:val="single" w:sz="4" w:space="0" w:color="auto"/>
              <w:left w:val="nil"/>
              <w:bottom w:val="single" w:sz="4" w:space="0" w:color="auto"/>
              <w:right w:val="nil"/>
            </w:tcBorders>
            <w:shd w:val="clear" w:color="000000" w:fill="FFFFFF"/>
            <w:vAlign w:val="center"/>
            <w:hideMark/>
          </w:tcPr>
          <w:p w14:paraId="56F40968" w14:textId="77777777" w:rsidR="005975CD" w:rsidRPr="00893C52" w:rsidRDefault="005975CD" w:rsidP="001328BF">
            <w:pPr>
              <w:spacing w:after="0" w:line="240" w:lineRule="auto"/>
              <w:rPr>
                <w:rFonts w:eastAsia="Times New Roman" w:cs="Times New Roman"/>
                <w:b/>
                <w:bCs/>
                <w:color w:val="000000"/>
                <w:sz w:val="20"/>
                <w:lang w:eastAsia="sk-SK"/>
              </w:rPr>
            </w:pPr>
            <w:r>
              <w:rPr>
                <w:rFonts w:eastAsia="Times New Roman" w:cs="Times New Roman"/>
                <w:b/>
                <w:bCs/>
                <w:color w:val="000000"/>
                <w:sz w:val="20"/>
                <w:lang w:eastAsia="sk-SK"/>
              </w:rPr>
              <w:t>P</w:t>
            </w:r>
            <w:r w:rsidRPr="00893C52">
              <w:rPr>
                <w:rFonts w:eastAsia="Times New Roman" w:cs="Times New Roman"/>
                <w:b/>
                <w:bCs/>
                <w:color w:val="000000"/>
                <w:sz w:val="20"/>
                <w:lang w:eastAsia="sk-SK"/>
              </w:rPr>
              <w:t>redprimárne vzdelávanie</w:t>
            </w:r>
          </w:p>
        </w:tc>
        <w:tc>
          <w:tcPr>
            <w:tcW w:w="1275" w:type="dxa"/>
            <w:tcBorders>
              <w:top w:val="single" w:sz="4" w:space="0" w:color="auto"/>
              <w:left w:val="nil"/>
              <w:bottom w:val="single" w:sz="4" w:space="0" w:color="auto"/>
              <w:right w:val="nil"/>
            </w:tcBorders>
            <w:shd w:val="clear" w:color="000000" w:fill="FFFFFF"/>
            <w:vAlign w:val="center"/>
            <w:hideMark/>
          </w:tcPr>
          <w:p w14:paraId="559A5944" w14:textId="77777777" w:rsidR="005975CD" w:rsidRPr="00893C52" w:rsidRDefault="005975CD" w:rsidP="001328BF">
            <w:pPr>
              <w:spacing w:after="0" w:line="240" w:lineRule="auto"/>
              <w:rPr>
                <w:rFonts w:eastAsia="Times New Roman" w:cs="Times New Roman"/>
                <w:b/>
                <w:bCs/>
                <w:color w:val="000000"/>
                <w:sz w:val="20"/>
                <w:lang w:eastAsia="sk-SK"/>
              </w:rPr>
            </w:pPr>
            <w:r w:rsidRPr="00893C52">
              <w:rPr>
                <w:rFonts w:eastAsia="Times New Roman" w:cs="Times New Roman"/>
                <w:b/>
                <w:bCs/>
                <w:color w:val="000000"/>
                <w:sz w:val="20"/>
                <w:lang w:eastAsia="sk-SK"/>
              </w:rPr>
              <w:t> </w:t>
            </w:r>
          </w:p>
        </w:tc>
      </w:tr>
      <w:tr w:rsidR="005975CD" w:rsidRPr="00893C52" w14:paraId="359D2BA3" w14:textId="77777777" w:rsidTr="005975CD">
        <w:trPr>
          <w:trHeight w:val="238"/>
        </w:trPr>
        <w:tc>
          <w:tcPr>
            <w:tcW w:w="506" w:type="dxa"/>
            <w:tcBorders>
              <w:top w:val="nil"/>
              <w:left w:val="nil"/>
              <w:bottom w:val="dotted" w:sz="4" w:space="0" w:color="auto"/>
              <w:right w:val="nil"/>
            </w:tcBorders>
            <w:shd w:val="clear" w:color="000000" w:fill="FFFFFF"/>
            <w:vAlign w:val="center"/>
          </w:tcPr>
          <w:p w14:paraId="721D03EB" w14:textId="139C8DEE" w:rsidR="005975CD" w:rsidRPr="00893C52" w:rsidRDefault="00FE350B" w:rsidP="001328BF">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3</w:t>
            </w:r>
          </w:p>
        </w:tc>
        <w:tc>
          <w:tcPr>
            <w:tcW w:w="7291" w:type="dxa"/>
            <w:tcBorders>
              <w:top w:val="nil"/>
              <w:left w:val="nil"/>
              <w:bottom w:val="dotted" w:sz="4" w:space="0" w:color="auto"/>
              <w:right w:val="nil"/>
            </w:tcBorders>
            <w:shd w:val="clear" w:color="000000" w:fill="FFFFFF"/>
            <w:vAlign w:val="center"/>
          </w:tcPr>
          <w:p w14:paraId="5E2C5085" w14:textId="4AD41306" w:rsidR="005975CD" w:rsidRPr="00C111EA" w:rsidRDefault="005975CD" w:rsidP="001328BF">
            <w:pPr>
              <w:spacing w:after="0" w:line="240" w:lineRule="auto"/>
              <w:rPr>
                <w:rFonts w:eastAsia="Times New Roman" w:cs="Times New Roman"/>
                <w:color w:val="000000"/>
                <w:sz w:val="20"/>
                <w:lang w:eastAsia="sk-SK"/>
              </w:rPr>
            </w:pPr>
            <w:r>
              <w:rPr>
                <w:rFonts w:eastAsia="Times New Roman" w:cs="Times New Roman"/>
                <w:color w:val="000000"/>
                <w:sz w:val="20"/>
                <w:lang w:eastAsia="sk-SK"/>
              </w:rPr>
              <w:t>Zadefinovať pojem segregácia (platí pre všetky stupne vzdelávania)</w:t>
            </w:r>
          </w:p>
        </w:tc>
        <w:tc>
          <w:tcPr>
            <w:tcW w:w="1275" w:type="dxa"/>
            <w:tcBorders>
              <w:top w:val="nil"/>
              <w:left w:val="nil"/>
              <w:bottom w:val="dotted" w:sz="4" w:space="0" w:color="auto"/>
              <w:right w:val="nil"/>
            </w:tcBorders>
            <w:shd w:val="clear" w:color="000000" w:fill="FFFFFF"/>
            <w:vAlign w:val="center"/>
          </w:tcPr>
          <w:p w14:paraId="2E776652" w14:textId="77777777" w:rsidR="005975CD" w:rsidRDefault="005975CD" w:rsidP="001328BF">
            <w:pPr>
              <w:spacing w:after="0" w:line="240" w:lineRule="auto"/>
              <w:rPr>
                <w:rFonts w:eastAsia="Times New Roman" w:cs="Times New Roman"/>
                <w:color w:val="000000"/>
                <w:sz w:val="20"/>
                <w:lang w:eastAsia="sk-SK"/>
              </w:rPr>
            </w:pPr>
            <w:r w:rsidRPr="00893C52">
              <w:rPr>
                <w:rFonts w:eastAsia="Times New Roman" w:cs="Times New Roman"/>
                <w:color w:val="000000"/>
                <w:sz w:val="20"/>
                <w:lang w:eastAsia="sk-SK"/>
              </w:rPr>
              <w:t>MŠVVaŠ</w:t>
            </w:r>
          </w:p>
        </w:tc>
      </w:tr>
      <w:tr w:rsidR="005975CD" w:rsidRPr="00893C52" w14:paraId="6CCE3A8A" w14:textId="77777777" w:rsidTr="005975CD">
        <w:trPr>
          <w:trHeight w:val="238"/>
        </w:trPr>
        <w:tc>
          <w:tcPr>
            <w:tcW w:w="506" w:type="dxa"/>
            <w:tcBorders>
              <w:top w:val="nil"/>
              <w:left w:val="nil"/>
              <w:bottom w:val="dotted" w:sz="4" w:space="0" w:color="auto"/>
              <w:right w:val="nil"/>
            </w:tcBorders>
            <w:shd w:val="clear" w:color="000000" w:fill="FFFFFF"/>
            <w:vAlign w:val="center"/>
            <w:hideMark/>
          </w:tcPr>
          <w:p w14:paraId="699FC981" w14:textId="56AB45D3" w:rsidR="005975CD" w:rsidRPr="00893C52" w:rsidRDefault="00FE350B" w:rsidP="001328BF">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4</w:t>
            </w:r>
          </w:p>
        </w:tc>
        <w:tc>
          <w:tcPr>
            <w:tcW w:w="7291" w:type="dxa"/>
            <w:tcBorders>
              <w:top w:val="nil"/>
              <w:left w:val="nil"/>
              <w:bottom w:val="dotted" w:sz="4" w:space="0" w:color="auto"/>
              <w:right w:val="nil"/>
            </w:tcBorders>
            <w:shd w:val="clear" w:color="000000" w:fill="FFFFFF"/>
            <w:vAlign w:val="center"/>
            <w:hideMark/>
          </w:tcPr>
          <w:p w14:paraId="32024A08" w14:textId="77777777" w:rsidR="005975CD" w:rsidRPr="00893C52" w:rsidRDefault="005975CD" w:rsidP="001328BF">
            <w:pPr>
              <w:spacing w:after="0" w:line="240" w:lineRule="auto"/>
              <w:rPr>
                <w:rFonts w:eastAsia="Times New Roman" w:cs="Times New Roman"/>
                <w:color w:val="000000"/>
                <w:sz w:val="20"/>
                <w:lang w:eastAsia="sk-SK"/>
              </w:rPr>
            </w:pPr>
            <w:r w:rsidRPr="00C111EA">
              <w:rPr>
                <w:rFonts w:eastAsia="Times New Roman" w:cs="Times New Roman"/>
                <w:color w:val="000000"/>
                <w:sz w:val="20"/>
                <w:lang w:eastAsia="sk-SK"/>
              </w:rPr>
              <w:t>Rozšíriť definíciu sociálne znevýhodneného prostredia</w:t>
            </w:r>
            <w:r>
              <w:rPr>
                <w:rFonts w:eastAsia="Times New Roman" w:cs="Times New Roman"/>
                <w:color w:val="000000"/>
                <w:sz w:val="20"/>
                <w:lang w:eastAsia="sk-SK"/>
              </w:rPr>
              <w:t xml:space="preserve"> (platí aj pre ZŠ)</w:t>
            </w:r>
          </w:p>
        </w:tc>
        <w:tc>
          <w:tcPr>
            <w:tcW w:w="1275" w:type="dxa"/>
            <w:tcBorders>
              <w:top w:val="nil"/>
              <w:left w:val="nil"/>
              <w:bottom w:val="dotted" w:sz="4" w:space="0" w:color="auto"/>
              <w:right w:val="nil"/>
            </w:tcBorders>
            <w:shd w:val="clear" w:color="000000" w:fill="FFFFFF"/>
            <w:vAlign w:val="center"/>
            <w:hideMark/>
          </w:tcPr>
          <w:p w14:paraId="2EFE4C9F" w14:textId="77777777" w:rsidR="005975CD" w:rsidRPr="00893C52" w:rsidRDefault="005975CD" w:rsidP="001328BF">
            <w:pPr>
              <w:spacing w:after="0" w:line="240" w:lineRule="auto"/>
              <w:rPr>
                <w:rFonts w:eastAsia="Times New Roman" w:cs="Times New Roman"/>
                <w:color w:val="000000"/>
                <w:sz w:val="20"/>
                <w:lang w:eastAsia="sk-SK"/>
              </w:rPr>
            </w:pPr>
            <w:r>
              <w:rPr>
                <w:rFonts w:eastAsia="Times New Roman" w:cs="Times New Roman"/>
                <w:color w:val="000000"/>
                <w:sz w:val="20"/>
                <w:lang w:eastAsia="sk-SK"/>
              </w:rPr>
              <w:t>MŠVVaŠ</w:t>
            </w:r>
          </w:p>
        </w:tc>
      </w:tr>
      <w:tr w:rsidR="005975CD" w:rsidRPr="00893C52" w14:paraId="6210F895" w14:textId="77777777" w:rsidTr="005975CD">
        <w:trPr>
          <w:trHeight w:val="238"/>
        </w:trPr>
        <w:tc>
          <w:tcPr>
            <w:tcW w:w="506" w:type="dxa"/>
            <w:tcBorders>
              <w:top w:val="nil"/>
              <w:left w:val="nil"/>
              <w:bottom w:val="dotted" w:sz="4" w:space="0" w:color="auto"/>
              <w:right w:val="nil"/>
            </w:tcBorders>
            <w:shd w:val="clear" w:color="000000" w:fill="FFFFFF"/>
            <w:vAlign w:val="center"/>
            <w:hideMark/>
          </w:tcPr>
          <w:p w14:paraId="3EA8A49D" w14:textId="0E44EFA8" w:rsidR="005975CD" w:rsidRPr="00893C52" w:rsidRDefault="00FE350B" w:rsidP="001328BF">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5</w:t>
            </w:r>
          </w:p>
        </w:tc>
        <w:tc>
          <w:tcPr>
            <w:tcW w:w="7291" w:type="dxa"/>
            <w:tcBorders>
              <w:top w:val="nil"/>
              <w:left w:val="nil"/>
              <w:bottom w:val="dotted" w:sz="4" w:space="0" w:color="auto"/>
              <w:right w:val="nil"/>
            </w:tcBorders>
            <w:shd w:val="clear" w:color="000000" w:fill="FFFFFF"/>
            <w:vAlign w:val="center"/>
            <w:hideMark/>
          </w:tcPr>
          <w:p w14:paraId="66BFE4D6" w14:textId="77777777" w:rsidR="005975CD" w:rsidRPr="00893C52" w:rsidRDefault="005975CD" w:rsidP="001328BF">
            <w:pPr>
              <w:spacing w:after="0" w:line="240" w:lineRule="auto"/>
              <w:rPr>
                <w:rFonts w:eastAsia="Times New Roman" w:cs="Times New Roman"/>
                <w:color w:val="000000"/>
                <w:sz w:val="20"/>
                <w:lang w:eastAsia="sk-SK"/>
              </w:rPr>
            </w:pPr>
            <w:r w:rsidRPr="00122028">
              <w:rPr>
                <w:rFonts w:eastAsia="Times New Roman" w:cs="Times New Roman"/>
                <w:color w:val="000000"/>
                <w:sz w:val="20"/>
                <w:lang w:eastAsia="sk-SK"/>
              </w:rPr>
              <w:t>Zrušiť ustanovenie o</w:t>
            </w:r>
            <w:r>
              <w:rPr>
                <w:rFonts w:eastAsia="Times New Roman" w:cs="Times New Roman"/>
                <w:color w:val="000000"/>
                <w:sz w:val="20"/>
                <w:lang w:eastAsia="sk-SK"/>
              </w:rPr>
              <w:t> vytváraní menších tried určených</w:t>
            </w:r>
            <w:r w:rsidRPr="00122028">
              <w:rPr>
                <w:rFonts w:eastAsia="Times New Roman" w:cs="Times New Roman"/>
                <w:color w:val="000000"/>
                <w:sz w:val="20"/>
                <w:lang w:eastAsia="sk-SK"/>
              </w:rPr>
              <w:t xml:space="preserve"> </w:t>
            </w:r>
            <w:r>
              <w:rPr>
                <w:rFonts w:eastAsia="Times New Roman" w:cs="Times New Roman"/>
                <w:color w:val="000000"/>
                <w:sz w:val="20"/>
                <w:lang w:eastAsia="sk-SK"/>
              </w:rPr>
              <w:t>výlučne pre deti zo SZP</w:t>
            </w:r>
          </w:p>
        </w:tc>
        <w:tc>
          <w:tcPr>
            <w:tcW w:w="1275" w:type="dxa"/>
            <w:tcBorders>
              <w:top w:val="nil"/>
              <w:left w:val="nil"/>
              <w:bottom w:val="dotted" w:sz="4" w:space="0" w:color="auto"/>
              <w:right w:val="nil"/>
            </w:tcBorders>
            <w:shd w:val="clear" w:color="000000" w:fill="FFFFFF"/>
            <w:vAlign w:val="center"/>
            <w:hideMark/>
          </w:tcPr>
          <w:p w14:paraId="1E98AC26" w14:textId="77777777" w:rsidR="005975CD" w:rsidRPr="00893C52" w:rsidRDefault="005975CD" w:rsidP="001328BF">
            <w:pPr>
              <w:spacing w:after="0" w:line="240" w:lineRule="auto"/>
              <w:rPr>
                <w:rFonts w:eastAsia="Times New Roman" w:cs="Times New Roman"/>
                <w:color w:val="000000"/>
                <w:sz w:val="20"/>
                <w:lang w:eastAsia="sk-SK"/>
              </w:rPr>
            </w:pPr>
            <w:r>
              <w:rPr>
                <w:rFonts w:eastAsia="Times New Roman" w:cs="Times New Roman"/>
                <w:color w:val="000000"/>
                <w:sz w:val="20"/>
                <w:lang w:eastAsia="sk-SK"/>
              </w:rPr>
              <w:t>MŠVVaŠ</w:t>
            </w:r>
          </w:p>
        </w:tc>
      </w:tr>
      <w:tr w:rsidR="003E66DD" w:rsidRPr="00893C52" w14:paraId="56600144" w14:textId="77777777" w:rsidTr="00D2678C">
        <w:trPr>
          <w:trHeight w:val="238"/>
        </w:trPr>
        <w:tc>
          <w:tcPr>
            <w:tcW w:w="506" w:type="dxa"/>
            <w:tcBorders>
              <w:top w:val="nil"/>
              <w:left w:val="nil"/>
              <w:bottom w:val="dotted" w:sz="4" w:space="0" w:color="auto"/>
              <w:right w:val="nil"/>
            </w:tcBorders>
            <w:shd w:val="clear" w:color="000000" w:fill="FFFFFF"/>
            <w:vAlign w:val="center"/>
          </w:tcPr>
          <w:p w14:paraId="2CA49700" w14:textId="7EE3A8D8" w:rsidR="003E66DD" w:rsidRDefault="00FE350B" w:rsidP="00D2678C">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6</w:t>
            </w:r>
          </w:p>
        </w:tc>
        <w:tc>
          <w:tcPr>
            <w:tcW w:w="7291" w:type="dxa"/>
            <w:tcBorders>
              <w:top w:val="nil"/>
              <w:left w:val="nil"/>
              <w:bottom w:val="dotted" w:sz="4" w:space="0" w:color="auto"/>
              <w:right w:val="nil"/>
            </w:tcBorders>
            <w:shd w:val="clear" w:color="000000" w:fill="FFFFFF"/>
            <w:vAlign w:val="center"/>
          </w:tcPr>
          <w:p w14:paraId="41419E83" w14:textId="77777777" w:rsidR="003E66DD" w:rsidRPr="00C111EA" w:rsidRDefault="003E66DD" w:rsidP="00D2678C">
            <w:pPr>
              <w:spacing w:after="0" w:line="240" w:lineRule="auto"/>
              <w:rPr>
                <w:rFonts w:eastAsia="Times New Roman" w:cs="Times New Roman"/>
                <w:color w:val="000000"/>
                <w:sz w:val="20"/>
                <w:lang w:eastAsia="sk-SK"/>
              </w:rPr>
            </w:pPr>
            <w:r w:rsidRPr="00B36BCB">
              <w:rPr>
                <w:rFonts w:eastAsia="Times New Roman" w:cs="Times New Roman"/>
                <w:color w:val="000000"/>
                <w:sz w:val="20"/>
                <w:lang w:eastAsia="sk-SK"/>
              </w:rPr>
              <w:t>Zrušiť ustanovenie o zaradení maximálne dvoch detí so špeciálnymi potrebami v jednej triede MŠ</w:t>
            </w:r>
          </w:p>
        </w:tc>
        <w:tc>
          <w:tcPr>
            <w:tcW w:w="1275" w:type="dxa"/>
            <w:tcBorders>
              <w:top w:val="nil"/>
              <w:left w:val="nil"/>
              <w:bottom w:val="dotted" w:sz="4" w:space="0" w:color="auto"/>
              <w:right w:val="nil"/>
            </w:tcBorders>
            <w:shd w:val="clear" w:color="000000" w:fill="FFFFFF"/>
            <w:vAlign w:val="center"/>
          </w:tcPr>
          <w:p w14:paraId="0D6AD452" w14:textId="77777777" w:rsidR="003E66DD" w:rsidRPr="00893C52" w:rsidRDefault="003E66DD" w:rsidP="00D2678C">
            <w:pPr>
              <w:spacing w:after="0" w:line="240" w:lineRule="auto"/>
              <w:rPr>
                <w:rFonts w:eastAsia="Times New Roman" w:cs="Times New Roman"/>
                <w:color w:val="000000"/>
                <w:sz w:val="20"/>
                <w:lang w:eastAsia="sk-SK"/>
              </w:rPr>
            </w:pPr>
            <w:r w:rsidRPr="00893C52">
              <w:rPr>
                <w:rFonts w:eastAsia="Times New Roman" w:cs="Times New Roman"/>
                <w:color w:val="000000"/>
                <w:sz w:val="20"/>
                <w:lang w:eastAsia="sk-SK"/>
              </w:rPr>
              <w:t>MŠVVaŠ</w:t>
            </w:r>
          </w:p>
        </w:tc>
      </w:tr>
      <w:tr w:rsidR="005975CD" w:rsidRPr="00893C52" w14:paraId="6798AC90" w14:textId="77777777" w:rsidTr="005975CD">
        <w:trPr>
          <w:trHeight w:val="238"/>
        </w:trPr>
        <w:tc>
          <w:tcPr>
            <w:tcW w:w="506" w:type="dxa"/>
            <w:tcBorders>
              <w:top w:val="nil"/>
              <w:left w:val="nil"/>
              <w:bottom w:val="dotted" w:sz="4" w:space="0" w:color="auto"/>
              <w:right w:val="nil"/>
            </w:tcBorders>
            <w:shd w:val="clear" w:color="000000" w:fill="FFFFFF"/>
            <w:vAlign w:val="center"/>
            <w:hideMark/>
          </w:tcPr>
          <w:p w14:paraId="401D509C" w14:textId="449B8C5E" w:rsidR="005975CD" w:rsidRPr="00893C52" w:rsidRDefault="00FE350B" w:rsidP="001328BF">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7</w:t>
            </w:r>
          </w:p>
        </w:tc>
        <w:tc>
          <w:tcPr>
            <w:tcW w:w="7291" w:type="dxa"/>
            <w:tcBorders>
              <w:top w:val="nil"/>
              <w:left w:val="nil"/>
              <w:bottom w:val="dotted" w:sz="4" w:space="0" w:color="auto"/>
              <w:right w:val="nil"/>
            </w:tcBorders>
            <w:shd w:val="clear" w:color="000000" w:fill="FFFFFF"/>
            <w:vAlign w:val="center"/>
            <w:hideMark/>
          </w:tcPr>
          <w:p w14:paraId="3FAA3A67" w14:textId="4D2742BB" w:rsidR="005975CD" w:rsidRPr="004F4C0B" w:rsidRDefault="005975CD" w:rsidP="001328BF">
            <w:pPr>
              <w:spacing w:after="0" w:line="240" w:lineRule="auto"/>
              <w:rPr>
                <w:rFonts w:eastAsia="Times New Roman" w:cs="Times New Roman"/>
                <w:color w:val="000000"/>
                <w:sz w:val="20"/>
                <w:lang w:eastAsia="sk-SK"/>
              </w:rPr>
            </w:pPr>
            <w:r w:rsidRPr="00452DBC">
              <w:rPr>
                <w:bCs/>
                <w:sz w:val="20"/>
              </w:rPr>
              <w:t xml:space="preserve">Ustanoviť prechodné obdobie </w:t>
            </w:r>
            <w:r w:rsidRPr="00452DBC">
              <w:rPr>
                <w:sz w:val="20"/>
              </w:rPr>
              <w:t>pre pomocných vychovávateľov na dosiahnutie kvalifikačného predpokladu stredné</w:t>
            </w:r>
            <w:r w:rsidR="002E4400">
              <w:rPr>
                <w:sz w:val="20"/>
              </w:rPr>
              <w:t>ho vzdelania</w:t>
            </w:r>
          </w:p>
        </w:tc>
        <w:tc>
          <w:tcPr>
            <w:tcW w:w="1275" w:type="dxa"/>
            <w:tcBorders>
              <w:top w:val="nil"/>
              <w:left w:val="nil"/>
              <w:bottom w:val="dotted" w:sz="4" w:space="0" w:color="auto"/>
              <w:right w:val="nil"/>
            </w:tcBorders>
            <w:shd w:val="clear" w:color="000000" w:fill="FFFFFF"/>
            <w:vAlign w:val="center"/>
            <w:hideMark/>
          </w:tcPr>
          <w:p w14:paraId="1525D63D" w14:textId="77777777" w:rsidR="005975CD" w:rsidRPr="00893C52" w:rsidRDefault="005975CD" w:rsidP="001328BF">
            <w:pPr>
              <w:spacing w:after="0" w:line="240" w:lineRule="auto"/>
              <w:rPr>
                <w:rFonts w:eastAsia="Times New Roman" w:cs="Times New Roman"/>
                <w:color w:val="000000"/>
                <w:sz w:val="20"/>
                <w:lang w:eastAsia="sk-SK"/>
              </w:rPr>
            </w:pPr>
            <w:r w:rsidRPr="00893C52">
              <w:rPr>
                <w:rFonts w:eastAsia="Times New Roman" w:cs="Times New Roman"/>
                <w:color w:val="000000"/>
                <w:sz w:val="20"/>
                <w:lang w:eastAsia="sk-SK"/>
              </w:rPr>
              <w:t>MŠVVaŠ</w:t>
            </w:r>
          </w:p>
        </w:tc>
      </w:tr>
      <w:tr w:rsidR="005975CD" w:rsidRPr="00893C52" w14:paraId="189C2FCE" w14:textId="77777777" w:rsidTr="005975CD">
        <w:trPr>
          <w:trHeight w:val="238"/>
        </w:trPr>
        <w:tc>
          <w:tcPr>
            <w:tcW w:w="506" w:type="dxa"/>
            <w:tcBorders>
              <w:top w:val="nil"/>
              <w:left w:val="nil"/>
              <w:bottom w:val="dotted" w:sz="4" w:space="0" w:color="auto"/>
              <w:right w:val="nil"/>
            </w:tcBorders>
            <w:shd w:val="clear" w:color="000000" w:fill="FFFFFF"/>
            <w:vAlign w:val="center"/>
            <w:hideMark/>
          </w:tcPr>
          <w:p w14:paraId="5811E0C5" w14:textId="1A268F47" w:rsidR="005975CD" w:rsidRPr="00893C52" w:rsidRDefault="00FE350B" w:rsidP="001328BF">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8</w:t>
            </w:r>
          </w:p>
        </w:tc>
        <w:tc>
          <w:tcPr>
            <w:tcW w:w="7291" w:type="dxa"/>
            <w:tcBorders>
              <w:top w:val="nil"/>
              <w:left w:val="nil"/>
              <w:bottom w:val="dotted" w:sz="4" w:space="0" w:color="auto"/>
              <w:right w:val="nil"/>
            </w:tcBorders>
            <w:shd w:val="clear" w:color="000000" w:fill="FFFFFF"/>
            <w:vAlign w:val="center"/>
            <w:hideMark/>
          </w:tcPr>
          <w:p w14:paraId="40E8D9B5" w14:textId="77777777" w:rsidR="005975CD" w:rsidRPr="00893C52" w:rsidRDefault="005975CD" w:rsidP="001328BF">
            <w:pPr>
              <w:spacing w:after="0" w:line="240" w:lineRule="auto"/>
              <w:rPr>
                <w:rFonts w:eastAsia="Times New Roman" w:cs="Times New Roman"/>
                <w:color w:val="000000"/>
                <w:sz w:val="20"/>
                <w:lang w:eastAsia="sk-SK"/>
              </w:rPr>
            </w:pPr>
            <w:r w:rsidRPr="00122028">
              <w:rPr>
                <w:rFonts w:eastAsia="Times New Roman" w:cs="Times New Roman"/>
                <w:color w:val="000000"/>
                <w:sz w:val="20"/>
                <w:lang w:eastAsia="sk-SK"/>
              </w:rPr>
              <w:t xml:space="preserve">Zrušiť možnosť rozhodnúť </w:t>
            </w:r>
            <w:r>
              <w:rPr>
                <w:rFonts w:eastAsia="Times New Roman" w:cs="Times New Roman"/>
                <w:color w:val="000000"/>
                <w:sz w:val="20"/>
                <w:lang w:eastAsia="sk-SK"/>
              </w:rPr>
              <w:t>o neprijatí dieťaťa so ZZ do MŠ</w:t>
            </w:r>
          </w:p>
        </w:tc>
        <w:tc>
          <w:tcPr>
            <w:tcW w:w="1275" w:type="dxa"/>
            <w:tcBorders>
              <w:top w:val="nil"/>
              <w:left w:val="nil"/>
              <w:bottom w:val="dotted" w:sz="4" w:space="0" w:color="auto"/>
              <w:right w:val="nil"/>
            </w:tcBorders>
            <w:shd w:val="clear" w:color="000000" w:fill="FFFFFF"/>
            <w:vAlign w:val="center"/>
            <w:hideMark/>
          </w:tcPr>
          <w:p w14:paraId="2B05CD28" w14:textId="77777777" w:rsidR="005975CD" w:rsidRPr="00893C52" w:rsidRDefault="005975CD" w:rsidP="001328BF">
            <w:pPr>
              <w:spacing w:after="0" w:line="240" w:lineRule="auto"/>
              <w:rPr>
                <w:rFonts w:eastAsia="Times New Roman" w:cs="Times New Roman"/>
                <w:color w:val="000000"/>
                <w:sz w:val="20"/>
                <w:lang w:eastAsia="sk-SK"/>
              </w:rPr>
            </w:pPr>
            <w:r>
              <w:rPr>
                <w:rFonts w:eastAsia="Times New Roman" w:cs="Times New Roman"/>
                <w:color w:val="000000"/>
                <w:sz w:val="20"/>
                <w:lang w:eastAsia="sk-SK"/>
              </w:rPr>
              <w:t>MŠVVaŠ</w:t>
            </w:r>
          </w:p>
        </w:tc>
      </w:tr>
      <w:tr w:rsidR="005975CD" w:rsidRPr="00893C52" w14:paraId="2C71F7DF" w14:textId="77777777" w:rsidTr="005975CD">
        <w:trPr>
          <w:trHeight w:val="476"/>
        </w:trPr>
        <w:tc>
          <w:tcPr>
            <w:tcW w:w="506" w:type="dxa"/>
            <w:tcBorders>
              <w:top w:val="single" w:sz="4" w:space="0" w:color="auto"/>
              <w:left w:val="nil"/>
              <w:bottom w:val="single" w:sz="4" w:space="0" w:color="auto"/>
              <w:right w:val="nil"/>
            </w:tcBorders>
            <w:shd w:val="clear" w:color="000000" w:fill="FFFFFF"/>
            <w:vAlign w:val="center"/>
            <w:hideMark/>
          </w:tcPr>
          <w:p w14:paraId="3AE2B51F" w14:textId="77777777" w:rsidR="005975CD" w:rsidRPr="00893C52" w:rsidRDefault="005975CD" w:rsidP="001328BF">
            <w:pPr>
              <w:spacing w:after="0" w:line="240" w:lineRule="auto"/>
              <w:jc w:val="center"/>
              <w:rPr>
                <w:rFonts w:eastAsia="Times New Roman" w:cs="Times New Roman"/>
                <w:b/>
                <w:bCs/>
                <w:color w:val="000000"/>
                <w:sz w:val="20"/>
                <w:lang w:eastAsia="sk-SK"/>
              </w:rPr>
            </w:pPr>
            <w:r w:rsidRPr="00893C52">
              <w:rPr>
                <w:rFonts w:eastAsia="Times New Roman" w:cs="Times New Roman"/>
                <w:b/>
                <w:bCs/>
                <w:color w:val="000000"/>
                <w:sz w:val="20"/>
                <w:lang w:eastAsia="sk-SK"/>
              </w:rPr>
              <w:t> </w:t>
            </w:r>
          </w:p>
        </w:tc>
        <w:tc>
          <w:tcPr>
            <w:tcW w:w="7291" w:type="dxa"/>
            <w:tcBorders>
              <w:top w:val="single" w:sz="4" w:space="0" w:color="auto"/>
              <w:left w:val="nil"/>
              <w:bottom w:val="single" w:sz="4" w:space="0" w:color="auto"/>
              <w:right w:val="nil"/>
            </w:tcBorders>
            <w:shd w:val="clear" w:color="000000" w:fill="FFFFFF"/>
            <w:vAlign w:val="center"/>
            <w:hideMark/>
          </w:tcPr>
          <w:p w14:paraId="264B4473" w14:textId="0292942A" w:rsidR="005975CD" w:rsidRPr="00893C52" w:rsidRDefault="005975CD" w:rsidP="001328BF">
            <w:pPr>
              <w:spacing w:after="0" w:line="240" w:lineRule="auto"/>
              <w:rPr>
                <w:rFonts w:eastAsia="Times New Roman" w:cs="Times New Roman"/>
                <w:b/>
                <w:bCs/>
                <w:color w:val="000000"/>
                <w:sz w:val="20"/>
                <w:lang w:eastAsia="sk-SK"/>
              </w:rPr>
            </w:pPr>
            <w:r w:rsidRPr="00893C52">
              <w:rPr>
                <w:rFonts w:eastAsia="Times New Roman" w:cs="Times New Roman"/>
                <w:b/>
                <w:bCs/>
                <w:color w:val="000000"/>
                <w:sz w:val="20"/>
                <w:lang w:eastAsia="sk-SK"/>
              </w:rPr>
              <w:t>Vzde</w:t>
            </w:r>
            <w:r>
              <w:rPr>
                <w:rFonts w:eastAsia="Times New Roman" w:cs="Times New Roman"/>
                <w:b/>
                <w:bCs/>
                <w:color w:val="000000"/>
                <w:sz w:val="20"/>
                <w:lang w:eastAsia="sk-SK"/>
              </w:rPr>
              <w:t>lávanie v základných</w:t>
            </w:r>
            <w:r w:rsidRPr="00893C52">
              <w:rPr>
                <w:rFonts w:eastAsia="Times New Roman" w:cs="Times New Roman"/>
                <w:b/>
                <w:bCs/>
                <w:color w:val="000000"/>
                <w:sz w:val="20"/>
                <w:lang w:eastAsia="sk-SK"/>
              </w:rPr>
              <w:t xml:space="preserve"> </w:t>
            </w:r>
            <w:r w:rsidR="004F1697">
              <w:rPr>
                <w:rFonts w:eastAsia="Times New Roman" w:cs="Times New Roman"/>
                <w:b/>
                <w:bCs/>
                <w:color w:val="000000"/>
                <w:sz w:val="20"/>
                <w:lang w:eastAsia="sk-SK"/>
              </w:rPr>
              <w:t xml:space="preserve">a stredných </w:t>
            </w:r>
            <w:r w:rsidRPr="00893C52">
              <w:rPr>
                <w:rFonts w:eastAsia="Times New Roman" w:cs="Times New Roman"/>
                <w:b/>
                <w:bCs/>
                <w:color w:val="000000"/>
                <w:sz w:val="20"/>
                <w:lang w:eastAsia="sk-SK"/>
              </w:rPr>
              <w:t>školách</w:t>
            </w:r>
          </w:p>
        </w:tc>
        <w:tc>
          <w:tcPr>
            <w:tcW w:w="1275" w:type="dxa"/>
            <w:tcBorders>
              <w:top w:val="single" w:sz="4" w:space="0" w:color="auto"/>
              <w:left w:val="nil"/>
              <w:bottom w:val="single" w:sz="4" w:space="0" w:color="auto"/>
              <w:right w:val="nil"/>
            </w:tcBorders>
            <w:shd w:val="clear" w:color="000000" w:fill="FFFFFF"/>
            <w:vAlign w:val="center"/>
            <w:hideMark/>
          </w:tcPr>
          <w:p w14:paraId="469710F2" w14:textId="77777777" w:rsidR="005975CD" w:rsidRPr="00893C52" w:rsidRDefault="005975CD" w:rsidP="001328BF">
            <w:pPr>
              <w:spacing w:after="0" w:line="240" w:lineRule="auto"/>
              <w:rPr>
                <w:rFonts w:eastAsia="Times New Roman" w:cs="Times New Roman"/>
                <w:b/>
                <w:bCs/>
                <w:color w:val="000000"/>
                <w:sz w:val="20"/>
                <w:lang w:eastAsia="sk-SK"/>
              </w:rPr>
            </w:pPr>
            <w:r w:rsidRPr="00893C52">
              <w:rPr>
                <w:rFonts w:eastAsia="Times New Roman" w:cs="Times New Roman"/>
                <w:b/>
                <w:bCs/>
                <w:color w:val="000000"/>
                <w:sz w:val="20"/>
                <w:lang w:eastAsia="sk-SK"/>
              </w:rPr>
              <w:t> </w:t>
            </w:r>
          </w:p>
        </w:tc>
      </w:tr>
      <w:tr w:rsidR="005975CD" w:rsidRPr="00893C52" w14:paraId="758A1532" w14:textId="77777777" w:rsidTr="005975CD">
        <w:trPr>
          <w:trHeight w:val="238"/>
        </w:trPr>
        <w:tc>
          <w:tcPr>
            <w:tcW w:w="506" w:type="dxa"/>
            <w:tcBorders>
              <w:top w:val="nil"/>
              <w:left w:val="nil"/>
              <w:bottom w:val="dotted" w:sz="4" w:space="0" w:color="auto"/>
              <w:right w:val="nil"/>
            </w:tcBorders>
            <w:shd w:val="clear" w:color="000000" w:fill="FFFFFF"/>
            <w:vAlign w:val="center"/>
            <w:hideMark/>
          </w:tcPr>
          <w:p w14:paraId="2B3EE554" w14:textId="1B57BF1A" w:rsidR="005975CD" w:rsidRPr="00893C52" w:rsidRDefault="00FE350B" w:rsidP="001328BF">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9</w:t>
            </w:r>
          </w:p>
        </w:tc>
        <w:tc>
          <w:tcPr>
            <w:tcW w:w="7291" w:type="dxa"/>
            <w:tcBorders>
              <w:top w:val="nil"/>
              <w:left w:val="nil"/>
              <w:bottom w:val="dotted" w:sz="4" w:space="0" w:color="auto"/>
              <w:right w:val="nil"/>
            </w:tcBorders>
            <w:shd w:val="clear" w:color="000000" w:fill="FFFFFF"/>
            <w:vAlign w:val="center"/>
            <w:hideMark/>
          </w:tcPr>
          <w:p w14:paraId="26F08DA6" w14:textId="77777777" w:rsidR="005975CD" w:rsidRPr="002F447F" w:rsidRDefault="005975CD" w:rsidP="001328BF">
            <w:pPr>
              <w:spacing w:after="0" w:line="240" w:lineRule="auto"/>
              <w:rPr>
                <w:rFonts w:eastAsia="Times New Roman" w:cs="Times New Roman"/>
                <w:bCs/>
                <w:color w:val="000000"/>
                <w:sz w:val="20"/>
                <w:lang w:eastAsia="sk-SK"/>
              </w:rPr>
            </w:pPr>
            <w:r w:rsidRPr="002F447F">
              <w:rPr>
                <w:bCs/>
                <w:sz w:val="20"/>
              </w:rPr>
              <w:t>Zvýšiť minimálny rozsah výučby rómskeho jazyka v prvých ročníkoch ZŠ a postupne zabezpečiť reálnu nárokovateľnosť</w:t>
            </w:r>
          </w:p>
        </w:tc>
        <w:tc>
          <w:tcPr>
            <w:tcW w:w="1275" w:type="dxa"/>
            <w:tcBorders>
              <w:top w:val="nil"/>
              <w:left w:val="nil"/>
              <w:bottom w:val="dotted" w:sz="4" w:space="0" w:color="auto"/>
              <w:right w:val="nil"/>
            </w:tcBorders>
            <w:shd w:val="clear" w:color="000000" w:fill="FFFFFF"/>
            <w:vAlign w:val="center"/>
            <w:hideMark/>
          </w:tcPr>
          <w:p w14:paraId="6F71A313" w14:textId="77777777" w:rsidR="005975CD" w:rsidRPr="00893C52" w:rsidRDefault="005975CD" w:rsidP="001328BF">
            <w:pPr>
              <w:spacing w:after="0" w:line="240" w:lineRule="auto"/>
              <w:rPr>
                <w:rFonts w:eastAsia="Times New Roman" w:cs="Times New Roman"/>
                <w:color w:val="000000"/>
                <w:sz w:val="20"/>
                <w:lang w:eastAsia="sk-SK"/>
              </w:rPr>
            </w:pPr>
            <w:r w:rsidRPr="00893C52">
              <w:rPr>
                <w:rFonts w:eastAsia="Times New Roman" w:cs="Times New Roman"/>
                <w:color w:val="000000"/>
                <w:sz w:val="20"/>
                <w:lang w:eastAsia="sk-SK"/>
              </w:rPr>
              <w:t>MŠVVaŠ</w:t>
            </w:r>
          </w:p>
        </w:tc>
      </w:tr>
      <w:tr w:rsidR="005975CD" w:rsidRPr="00893C52" w14:paraId="24719F36" w14:textId="77777777" w:rsidTr="005975CD">
        <w:trPr>
          <w:trHeight w:val="238"/>
        </w:trPr>
        <w:tc>
          <w:tcPr>
            <w:tcW w:w="506" w:type="dxa"/>
            <w:tcBorders>
              <w:top w:val="nil"/>
              <w:left w:val="nil"/>
              <w:bottom w:val="dotted" w:sz="4" w:space="0" w:color="auto"/>
              <w:right w:val="nil"/>
            </w:tcBorders>
            <w:shd w:val="clear" w:color="000000" w:fill="FFFFFF"/>
            <w:vAlign w:val="center"/>
            <w:hideMark/>
          </w:tcPr>
          <w:p w14:paraId="4D5C24C3" w14:textId="2986C933" w:rsidR="005975CD" w:rsidRPr="00893C52" w:rsidRDefault="00FE350B" w:rsidP="001328BF">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10</w:t>
            </w:r>
          </w:p>
        </w:tc>
        <w:tc>
          <w:tcPr>
            <w:tcW w:w="7291" w:type="dxa"/>
            <w:tcBorders>
              <w:top w:val="nil"/>
              <w:left w:val="nil"/>
              <w:bottom w:val="dotted" w:sz="4" w:space="0" w:color="auto"/>
              <w:right w:val="nil"/>
            </w:tcBorders>
            <w:shd w:val="clear" w:color="000000" w:fill="FFFFFF"/>
            <w:vAlign w:val="center"/>
            <w:hideMark/>
          </w:tcPr>
          <w:p w14:paraId="62FB2195" w14:textId="77777777" w:rsidR="005975CD" w:rsidRPr="00893C52" w:rsidRDefault="005975CD" w:rsidP="001328BF">
            <w:pPr>
              <w:spacing w:after="0" w:line="240" w:lineRule="auto"/>
              <w:rPr>
                <w:rFonts w:eastAsia="Times New Roman" w:cs="Times New Roman"/>
                <w:color w:val="000000"/>
                <w:sz w:val="20"/>
                <w:lang w:eastAsia="sk-SK"/>
              </w:rPr>
            </w:pPr>
            <w:r w:rsidRPr="00C111EA">
              <w:rPr>
                <w:rFonts w:eastAsia="Times New Roman" w:cs="Times New Roman"/>
                <w:color w:val="000000"/>
                <w:sz w:val="20"/>
                <w:lang w:eastAsia="sk-SK"/>
              </w:rPr>
              <w:t>Formalizovať výučbu slovenského jazyka ako druhého jazyka</w:t>
            </w:r>
          </w:p>
        </w:tc>
        <w:tc>
          <w:tcPr>
            <w:tcW w:w="1275" w:type="dxa"/>
            <w:tcBorders>
              <w:top w:val="nil"/>
              <w:left w:val="nil"/>
              <w:bottom w:val="dotted" w:sz="4" w:space="0" w:color="auto"/>
              <w:right w:val="nil"/>
            </w:tcBorders>
            <w:shd w:val="clear" w:color="000000" w:fill="FFFFFF"/>
            <w:vAlign w:val="center"/>
            <w:hideMark/>
          </w:tcPr>
          <w:p w14:paraId="6FB240EC" w14:textId="77777777" w:rsidR="005975CD" w:rsidRPr="00893C52" w:rsidRDefault="005975CD" w:rsidP="001328BF">
            <w:pPr>
              <w:spacing w:after="0" w:line="240" w:lineRule="auto"/>
              <w:rPr>
                <w:rFonts w:eastAsia="Times New Roman" w:cs="Times New Roman"/>
                <w:color w:val="000000"/>
                <w:sz w:val="20"/>
                <w:lang w:eastAsia="sk-SK"/>
              </w:rPr>
            </w:pPr>
            <w:r w:rsidRPr="00893C52">
              <w:rPr>
                <w:rFonts w:eastAsia="Times New Roman" w:cs="Times New Roman"/>
                <w:color w:val="000000"/>
                <w:sz w:val="20"/>
                <w:lang w:eastAsia="sk-SK"/>
              </w:rPr>
              <w:t>MŠVVaŠ</w:t>
            </w:r>
          </w:p>
        </w:tc>
      </w:tr>
      <w:tr w:rsidR="005975CD" w:rsidRPr="00893C52" w14:paraId="5D85D191" w14:textId="77777777" w:rsidTr="005975CD">
        <w:trPr>
          <w:trHeight w:val="238"/>
        </w:trPr>
        <w:tc>
          <w:tcPr>
            <w:tcW w:w="506" w:type="dxa"/>
            <w:tcBorders>
              <w:top w:val="nil"/>
              <w:left w:val="nil"/>
              <w:bottom w:val="dotted" w:sz="4" w:space="0" w:color="auto"/>
              <w:right w:val="nil"/>
            </w:tcBorders>
            <w:shd w:val="clear" w:color="000000" w:fill="FFFFFF"/>
            <w:vAlign w:val="center"/>
          </w:tcPr>
          <w:p w14:paraId="128CA330" w14:textId="0CDBE877" w:rsidR="005975CD" w:rsidRDefault="003E66DD" w:rsidP="001328BF">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1</w:t>
            </w:r>
            <w:r w:rsidR="00FE350B">
              <w:rPr>
                <w:rFonts w:eastAsia="Times New Roman" w:cs="Times New Roman"/>
                <w:color w:val="000000"/>
                <w:sz w:val="20"/>
                <w:lang w:eastAsia="sk-SK"/>
              </w:rPr>
              <w:t>1</w:t>
            </w:r>
          </w:p>
        </w:tc>
        <w:tc>
          <w:tcPr>
            <w:tcW w:w="7291" w:type="dxa"/>
            <w:tcBorders>
              <w:top w:val="nil"/>
              <w:left w:val="nil"/>
              <w:bottom w:val="dotted" w:sz="4" w:space="0" w:color="auto"/>
              <w:right w:val="nil"/>
            </w:tcBorders>
            <w:shd w:val="clear" w:color="000000" w:fill="FFFFFF"/>
            <w:vAlign w:val="center"/>
          </w:tcPr>
          <w:p w14:paraId="385D317E" w14:textId="0A5C2F3B" w:rsidR="005975CD" w:rsidRPr="00C111EA" w:rsidRDefault="001D2301" w:rsidP="001328BF">
            <w:pPr>
              <w:spacing w:after="0" w:line="240" w:lineRule="auto"/>
              <w:rPr>
                <w:rFonts w:eastAsia="Times New Roman" w:cs="Times New Roman"/>
                <w:color w:val="000000"/>
                <w:sz w:val="20"/>
                <w:lang w:eastAsia="sk-SK"/>
              </w:rPr>
            </w:pPr>
            <w:r w:rsidRPr="00341AD6">
              <w:rPr>
                <w:rFonts w:eastAsia="Times New Roman" w:cs="Times New Roman"/>
                <w:color w:val="000000"/>
                <w:sz w:val="20"/>
                <w:lang w:eastAsia="sk-SK"/>
              </w:rPr>
              <w:t>Zav</w:t>
            </w:r>
            <w:r>
              <w:rPr>
                <w:rFonts w:eastAsia="Times New Roman" w:cs="Times New Roman"/>
                <w:color w:val="000000"/>
                <w:sz w:val="20"/>
                <w:lang w:eastAsia="sk-SK"/>
              </w:rPr>
              <w:t>iesť</w:t>
            </w:r>
            <w:r w:rsidRPr="00341AD6">
              <w:rPr>
                <w:rFonts w:eastAsia="Times New Roman" w:cs="Times New Roman"/>
                <w:color w:val="000000"/>
                <w:sz w:val="20"/>
                <w:lang w:eastAsia="sk-SK"/>
              </w:rPr>
              <w:t xml:space="preserve"> väčš</w:t>
            </w:r>
            <w:r>
              <w:rPr>
                <w:rFonts w:eastAsia="Times New Roman" w:cs="Times New Roman"/>
                <w:color w:val="000000"/>
                <w:sz w:val="20"/>
                <w:lang w:eastAsia="sk-SK"/>
              </w:rPr>
              <w:t>í</w:t>
            </w:r>
            <w:r w:rsidRPr="00341AD6">
              <w:rPr>
                <w:rFonts w:eastAsia="Times New Roman" w:cs="Times New Roman"/>
                <w:color w:val="000000"/>
                <w:sz w:val="20"/>
                <w:lang w:eastAsia="sk-SK"/>
              </w:rPr>
              <w:t xml:space="preserve"> dôraz na využívanie všeobecného kurikula v prípade žiakov so všetkými druhmi ZZ</w:t>
            </w:r>
          </w:p>
        </w:tc>
        <w:tc>
          <w:tcPr>
            <w:tcW w:w="1275" w:type="dxa"/>
            <w:tcBorders>
              <w:top w:val="nil"/>
              <w:left w:val="nil"/>
              <w:bottom w:val="dotted" w:sz="4" w:space="0" w:color="auto"/>
              <w:right w:val="nil"/>
            </w:tcBorders>
            <w:shd w:val="clear" w:color="000000" w:fill="FFFFFF"/>
            <w:vAlign w:val="center"/>
          </w:tcPr>
          <w:p w14:paraId="49585A1C" w14:textId="01339663" w:rsidR="005975CD" w:rsidRPr="00893C52" w:rsidRDefault="005975CD" w:rsidP="001328BF">
            <w:pPr>
              <w:spacing w:after="0" w:line="240" w:lineRule="auto"/>
              <w:rPr>
                <w:rFonts w:eastAsia="Times New Roman" w:cs="Times New Roman"/>
                <w:color w:val="000000"/>
                <w:sz w:val="20"/>
                <w:lang w:eastAsia="sk-SK"/>
              </w:rPr>
            </w:pPr>
            <w:r w:rsidRPr="00893C52">
              <w:rPr>
                <w:rFonts w:eastAsia="Times New Roman" w:cs="Times New Roman"/>
                <w:color w:val="000000"/>
                <w:sz w:val="20"/>
                <w:lang w:eastAsia="sk-SK"/>
              </w:rPr>
              <w:t>MŠVVaŠ</w:t>
            </w:r>
          </w:p>
        </w:tc>
      </w:tr>
      <w:tr w:rsidR="005975CD" w:rsidRPr="00893C52" w14:paraId="2271DD9B" w14:textId="77777777" w:rsidTr="005975CD">
        <w:trPr>
          <w:trHeight w:val="238"/>
        </w:trPr>
        <w:tc>
          <w:tcPr>
            <w:tcW w:w="506" w:type="dxa"/>
            <w:tcBorders>
              <w:top w:val="nil"/>
              <w:left w:val="nil"/>
              <w:bottom w:val="dotted" w:sz="4" w:space="0" w:color="auto"/>
              <w:right w:val="nil"/>
            </w:tcBorders>
            <w:shd w:val="clear" w:color="000000" w:fill="FFFFFF"/>
            <w:vAlign w:val="center"/>
            <w:hideMark/>
          </w:tcPr>
          <w:p w14:paraId="35F5AFA9" w14:textId="0BB35B26" w:rsidR="005975CD" w:rsidRPr="00893C52" w:rsidRDefault="005975CD" w:rsidP="001328BF">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1</w:t>
            </w:r>
            <w:r w:rsidR="00FE350B">
              <w:rPr>
                <w:rFonts w:eastAsia="Times New Roman" w:cs="Times New Roman"/>
                <w:color w:val="000000"/>
                <w:sz w:val="20"/>
                <w:lang w:eastAsia="sk-SK"/>
              </w:rPr>
              <w:t>2</w:t>
            </w:r>
          </w:p>
        </w:tc>
        <w:tc>
          <w:tcPr>
            <w:tcW w:w="7291" w:type="dxa"/>
            <w:tcBorders>
              <w:top w:val="nil"/>
              <w:left w:val="nil"/>
              <w:bottom w:val="dotted" w:sz="4" w:space="0" w:color="auto"/>
              <w:right w:val="nil"/>
            </w:tcBorders>
            <w:shd w:val="clear" w:color="000000" w:fill="FFFFFF"/>
            <w:vAlign w:val="center"/>
            <w:hideMark/>
          </w:tcPr>
          <w:p w14:paraId="2D60C674" w14:textId="77777777" w:rsidR="005975CD" w:rsidRPr="00893C52" w:rsidRDefault="005975CD" w:rsidP="001328BF">
            <w:pPr>
              <w:spacing w:after="0" w:line="240" w:lineRule="auto"/>
              <w:rPr>
                <w:rFonts w:eastAsia="Times New Roman" w:cs="Times New Roman"/>
                <w:color w:val="000000"/>
                <w:sz w:val="20"/>
                <w:lang w:eastAsia="sk-SK"/>
              </w:rPr>
            </w:pPr>
            <w:r w:rsidRPr="00C111EA">
              <w:rPr>
                <w:rFonts w:eastAsia="Times New Roman" w:cs="Times New Roman"/>
                <w:color w:val="000000"/>
                <w:sz w:val="20"/>
                <w:lang w:eastAsia="sk-SK"/>
              </w:rPr>
              <w:t>Zrušiť možnosť zriaďovať špecializované triedy</w:t>
            </w:r>
          </w:p>
        </w:tc>
        <w:tc>
          <w:tcPr>
            <w:tcW w:w="1275" w:type="dxa"/>
            <w:tcBorders>
              <w:top w:val="nil"/>
              <w:left w:val="nil"/>
              <w:bottom w:val="dotted" w:sz="4" w:space="0" w:color="auto"/>
              <w:right w:val="nil"/>
            </w:tcBorders>
            <w:shd w:val="clear" w:color="000000" w:fill="FFFFFF"/>
            <w:vAlign w:val="center"/>
            <w:hideMark/>
          </w:tcPr>
          <w:p w14:paraId="3E501CE9" w14:textId="77777777" w:rsidR="005975CD" w:rsidRPr="00893C52" w:rsidRDefault="005975CD" w:rsidP="001328BF">
            <w:pPr>
              <w:spacing w:after="0" w:line="240" w:lineRule="auto"/>
              <w:rPr>
                <w:rFonts w:eastAsia="Times New Roman" w:cs="Times New Roman"/>
                <w:color w:val="000000"/>
                <w:sz w:val="20"/>
                <w:lang w:eastAsia="sk-SK"/>
              </w:rPr>
            </w:pPr>
            <w:r w:rsidRPr="00893C52">
              <w:rPr>
                <w:rFonts w:eastAsia="Times New Roman" w:cs="Times New Roman"/>
                <w:color w:val="000000"/>
                <w:sz w:val="20"/>
                <w:lang w:eastAsia="sk-SK"/>
              </w:rPr>
              <w:t>MŠVVaŠ</w:t>
            </w:r>
          </w:p>
        </w:tc>
      </w:tr>
      <w:tr w:rsidR="005975CD" w:rsidRPr="00893C52" w14:paraId="1910CB62" w14:textId="77777777" w:rsidTr="005975CD">
        <w:trPr>
          <w:trHeight w:val="238"/>
        </w:trPr>
        <w:tc>
          <w:tcPr>
            <w:tcW w:w="506" w:type="dxa"/>
            <w:tcBorders>
              <w:top w:val="nil"/>
              <w:left w:val="nil"/>
              <w:bottom w:val="dotted" w:sz="4" w:space="0" w:color="auto"/>
              <w:right w:val="nil"/>
            </w:tcBorders>
            <w:shd w:val="clear" w:color="000000" w:fill="FFFFFF"/>
            <w:vAlign w:val="center"/>
            <w:hideMark/>
          </w:tcPr>
          <w:p w14:paraId="054F3750" w14:textId="2BE532E6" w:rsidR="005975CD" w:rsidRPr="00893C52" w:rsidRDefault="005975CD" w:rsidP="001328BF">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1</w:t>
            </w:r>
            <w:r w:rsidR="00FE350B">
              <w:rPr>
                <w:rFonts w:eastAsia="Times New Roman" w:cs="Times New Roman"/>
                <w:color w:val="000000"/>
                <w:sz w:val="20"/>
                <w:lang w:eastAsia="sk-SK"/>
              </w:rPr>
              <w:t>3</w:t>
            </w:r>
          </w:p>
        </w:tc>
        <w:tc>
          <w:tcPr>
            <w:tcW w:w="7291" w:type="dxa"/>
            <w:tcBorders>
              <w:top w:val="nil"/>
              <w:left w:val="nil"/>
              <w:bottom w:val="dotted" w:sz="4" w:space="0" w:color="auto"/>
              <w:right w:val="nil"/>
            </w:tcBorders>
            <w:shd w:val="clear" w:color="000000" w:fill="FFFFFF"/>
            <w:vAlign w:val="center"/>
            <w:hideMark/>
          </w:tcPr>
          <w:p w14:paraId="4B09ADC9" w14:textId="70135E90" w:rsidR="005975CD" w:rsidRPr="00893C52" w:rsidRDefault="005975CD" w:rsidP="001328BF">
            <w:pPr>
              <w:spacing w:after="0" w:line="240" w:lineRule="auto"/>
              <w:rPr>
                <w:rFonts w:eastAsia="Times New Roman" w:cs="Times New Roman"/>
                <w:color w:val="000000"/>
                <w:sz w:val="20"/>
                <w:lang w:eastAsia="sk-SK"/>
              </w:rPr>
            </w:pPr>
            <w:r>
              <w:rPr>
                <w:rFonts w:eastAsia="Times New Roman" w:cs="Times New Roman"/>
                <w:color w:val="000000"/>
                <w:sz w:val="20"/>
                <w:lang w:eastAsia="sk-SK"/>
              </w:rPr>
              <w:t>Upraviť pôsobenie pedagogických asistentov</w:t>
            </w:r>
            <w:r w:rsidRPr="00282C76">
              <w:rPr>
                <w:rFonts w:eastAsia="Times New Roman" w:cs="Times New Roman"/>
                <w:color w:val="000000"/>
                <w:sz w:val="20"/>
                <w:lang w:eastAsia="sk-SK"/>
              </w:rPr>
              <w:t xml:space="preserve"> a p</w:t>
            </w:r>
            <w:r>
              <w:rPr>
                <w:rFonts w:eastAsia="Times New Roman" w:cs="Times New Roman"/>
                <w:color w:val="000000"/>
                <w:sz w:val="20"/>
                <w:lang w:eastAsia="sk-SK"/>
              </w:rPr>
              <w:t>omocných vychovávateľov na školách</w:t>
            </w:r>
          </w:p>
        </w:tc>
        <w:tc>
          <w:tcPr>
            <w:tcW w:w="1275" w:type="dxa"/>
            <w:tcBorders>
              <w:top w:val="nil"/>
              <w:left w:val="nil"/>
              <w:bottom w:val="dotted" w:sz="4" w:space="0" w:color="auto"/>
              <w:right w:val="nil"/>
            </w:tcBorders>
            <w:shd w:val="clear" w:color="000000" w:fill="FFFFFF"/>
            <w:vAlign w:val="center"/>
            <w:hideMark/>
          </w:tcPr>
          <w:p w14:paraId="7E4786F1" w14:textId="77777777" w:rsidR="005975CD" w:rsidRPr="00893C52" w:rsidRDefault="005975CD" w:rsidP="001328BF">
            <w:pPr>
              <w:spacing w:after="0" w:line="240" w:lineRule="auto"/>
              <w:rPr>
                <w:rFonts w:eastAsia="Times New Roman" w:cs="Times New Roman"/>
                <w:color w:val="000000"/>
                <w:sz w:val="20"/>
                <w:lang w:eastAsia="sk-SK"/>
              </w:rPr>
            </w:pPr>
            <w:r w:rsidRPr="00893C52">
              <w:rPr>
                <w:rFonts w:eastAsia="Times New Roman" w:cs="Times New Roman"/>
                <w:color w:val="000000"/>
                <w:sz w:val="20"/>
                <w:lang w:eastAsia="sk-SK"/>
              </w:rPr>
              <w:t>MŠVVaŠ</w:t>
            </w:r>
          </w:p>
        </w:tc>
      </w:tr>
      <w:tr w:rsidR="005975CD" w:rsidRPr="00893C52" w14:paraId="0B3DEBEC" w14:textId="77777777" w:rsidTr="005975CD">
        <w:trPr>
          <w:trHeight w:val="238"/>
        </w:trPr>
        <w:tc>
          <w:tcPr>
            <w:tcW w:w="506" w:type="dxa"/>
            <w:tcBorders>
              <w:top w:val="dotted" w:sz="4" w:space="0" w:color="auto"/>
              <w:left w:val="nil"/>
              <w:bottom w:val="dotted" w:sz="4" w:space="0" w:color="auto"/>
              <w:right w:val="nil"/>
            </w:tcBorders>
            <w:shd w:val="clear" w:color="000000" w:fill="FFFFFF"/>
            <w:vAlign w:val="center"/>
          </w:tcPr>
          <w:p w14:paraId="14AD8323" w14:textId="77E0D505" w:rsidR="005975CD" w:rsidRDefault="005975CD" w:rsidP="001328BF">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1</w:t>
            </w:r>
            <w:r w:rsidR="00FE350B">
              <w:rPr>
                <w:rFonts w:eastAsia="Times New Roman" w:cs="Times New Roman"/>
                <w:color w:val="000000"/>
                <w:sz w:val="20"/>
                <w:lang w:eastAsia="sk-SK"/>
              </w:rPr>
              <w:t>4</w:t>
            </w:r>
          </w:p>
        </w:tc>
        <w:tc>
          <w:tcPr>
            <w:tcW w:w="7291" w:type="dxa"/>
            <w:tcBorders>
              <w:top w:val="dotted" w:sz="4" w:space="0" w:color="auto"/>
              <w:left w:val="nil"/>
              <w:bottom w:val="dotted" w:sz="4" w:space="0" w:color="auto"/>
              <w:right w:val="nil"/>
            </w:tcBorders>
            <w:shd w:val="clear" w:color="000000" w:fill="FFFFFF"/>
            <w:vAlign w:val="center"/>
          </w:tcPr>
          <w:p w14:paraId="5F8C92EE" w14:textId="480AE2C6" w:rsidR="005975CD" w:rsidRPr="00893C52" w:rsidRDefault="005975CD" w:rsidP="001328BF">
            <w:pPr>
              <w:spacing w:after="0" w:line="240" w:lineRule="auto"/>
              <w:rPr>
                <w:rFonts w:eastAsia="Times New Roman" w:cs="Times New Roman"/>
                <w:color w:val="000000"/>
                <w:sz w:val="20"/>
                <w:lang w:eastAsia="sk-SK"/>
              </w:rPr>
            </w:pPr>
            <w:r w:rsidRPr="00C111EA">
              <w:rPr>
                <w:sz w:val="20"/>
              </w:rPr>
              <w:t xml:space="preserve">Umožniť žiakom s mentálnym postihnutím s dokončenou </w:t>
            </w:r>
            <w:r>
              <w:rPr>
                <w:sz w:val="20"/>
              </w:rPr>
              <w:t>ZŠ</w:t>
            </w:r>
            <w:r w:rsidRPr="00C111EA">
              <w:rPr>
                <w:sz w:val="20"/>
              </w:rPr>
              <w:t xml:space="preserve"> získať nižš</w:t>
            </w:r>
            <w:r>
              <w:rPr>
                <w:sz w:val="20"/>
              </w:rPr>
              <w:t>i</w:t>
            </w:r>
            <w:r w:rsidRPr="00C111EA">
              <w:rPr>
                <w:sz w:val="20"/>
              </w:rPr>
              <w:t>e stredné vzdelanie</w:t>
            </w:r>
            <w:r>
              <w:rPr>
                <w:sz w:val="20"/>
              </w:rPr>
              <w:t xml:space="preserve"> (ISCED 2)</w:t>
            </w:r>
          </w:p>
        </w:tc>
        <w:tc>
          <w:tcPr>
            <w:tcW w:w="1275" w:type="dxa"/>
            <w:tcBorders>
              <w:top w:val="dotted" w:sz="4" w:space="0" w:color="auto"/>
              <w:left w:val="nil"/>
              <w:bottom w:val="dotted" w:sz="4" w:space="0" w:color="auto"/>
              <w:right w:val="nil"/>
            </w:tcBorders>
            <w:shd w:val="clear" w:color="000000" w:fill="FFFFFF"/>
            <w:vAlign w:val="center"/>
          </w:tcPr>
          <w:p w14:paraId="6CC63721" w14:textId="77777777" w:rsidR="005975CD" w:rsidRPr="00893C52" w:rsidRDefault="005975CD" w:rsidP="001328BF">
            <w:pPr>
              <w:spacing w:after="0" w:line="240" w:lineRule="auto"/>
              <w:rPr>
                <w:rFonts w:eastAsia="Times New Roman" w:cs="Times New Roman"/>
                <w:color w:val="000000"/>
                <w:sz w:val="20"/>
                <w:lang w:eastAsia="sk-SK"/>
              </w:rPr>
            </w:pPr>
            <w:r w:rsidRPr="00893C52">
              <w:rPr>
                <w:rFonts w:eastAsia="Times New Roman" w:cs="Times New Roman"/>
                <w:color w:val="000000"/>
                <w:sz w:val="20"/>
                <w:lang w:eastAsia="sk-SK"/>
              </w:rPr>
              <w:t>MŠVVaŠ</w:t>
            </w:r>
          </w:p>
        </w:tc>
      </w:tr>
      <w:tr w:rsidR="005975CD" w:rsidRPr="00893C52" w14:paraId="26A8A492" w14:textId="77777777" w:rsidTr="005975CD">
        <w:trPr>
          <w:trHeight w:val="238"/>
        </w:trPr>
        <w:tc>
          <w:tcPr>
            <w:tcW w:w="506" w:type="dxa"/>
            <w:tcBorders>
              <w:top w:val="dotted" w:sz="4" w:space="0" w:color="auto"/>
              <w:left w:val="nil"/>
              <w:bottom w:val="nil"/>
              <w:right w:val="nil"/>
            </w:tcBorders>
            <w:shd w:val="clear" w:color="000000" w:fill="FFFFFF"/>
            <w:vAlign w:val="center"/>
          </w:tcPr>
          <w:p w14:paraId="619064D2" w14:textId="02B33ECA" w:rsidR="005975CD" w:rsidRDefault="005975CD" w:rsidP="001328BF">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1</w:t>
            </w:r>
            <w:r w:rsidR="00FE350B">
              <w:rPr>
                <w:rFonts w:eastAsia="Times New Roman" w:cs="Times New Roman"/>
                <w:color w:val="000000"/>
                <w:sz w:val="20"/>
                <w:lang w:eastAsia="sk-SK"/>
              </w:rPr>
              <w:t>5</w:t>
            </w:r>
          </w:p>
        </w:tc>
        <w:tc>
          <w:tcPr>
            <w:tcW w:w="7291" w:type="dxa"/>
            <w:tcBorders>
              <w:top w:val="dotted" w:sz="4" w:space="0" w:color="auto"/>
              <w:left w:val="nil"/>
              <w:bottom w:val="nil"/>
              <w:right w:val="nil"/>
            </w:tcBorders>
            <w:shd w:val="clear" w:color="000000" w:fill="FFFFFF"/>
            <w:vAlign w:val="center"/>
          </w:tcPr>
          <w:p w14:paraId="7B78ACF1" w14:textId="23E046AE" w:rsidR="005975CD" w:rsidRPr="00CB04BA" w:rsidRDefault="005975CD" w:rsidP="001328BF">
            <w:pPr>
              <w:spacing w:after="0" w:line="240" w:lineRule="auto"/>
              <w:rPr>
                <w:rFonts w:eastAsia="Times New Roman" w:cs="Times New Roman"/>
                <w:color w:val="000000"/>
                <w:sz w:val="20"/>
                <w:lang w:eastAsia="sk-SK"/>
              </w:rPr>
            </w:pPr>
            <w:r w:rsidRPr="00D41517">
              <w:rPr>
                <w:sz w:val="20"/>
              </w:rPr>
              <w:t>Umožniť všetkým MŠ, ZŠ a SŠ zapojiť sa do</w:t>
            </w:r>
            <w:r>
              <w:rPr>
                <w:sz w:val="20"/>
              </w:rPr>
              <w:t xml:space="preserve"> </w:t>
            </w:r>
            <w:r w:rsidRPr="00D41517">
              <w:rPr>
                <w:rFonts w:eastAsia="Times New Roman" w:cs="Times New Roman"/>
                <w:color w:val="000000"/>
                <w:sz w:val="20"/>
                <w:lang w:eastAsia="sk-SK"/>
              </w:rPr>
              <w:t>rozvojového projektu pre debarierizáciu</w:t>
            </w:r>
          </w:p>
        </w:tc>
        <w:tc>
          <w:tcPr>
            <w:tcW w:w="1275" w:type="dxa"/>
            <w:tcBorders>
              <w:top w:val="dotted" w:sz="4" w:space="0" w:color="auto"/>
              <w:left w:val="nil"/>
              <w:bottom w:val="nil"/>
              <w:right w:val="nil"/>
            </w:tcBorders>
            <w:shd w:val="clear" w:color="000000" w:fill="FFFFFF"/>
            <w:vAlign w:val="center"/>
          </w:tcPr>
          <w:p w14:paraId="24DBFDE9" w14:textId="77777777" w:rsidR="005975CD" w:rsidRPr="00893C52" w:rsidRDefault="005975CD" w:rsidP="001328BF">
            <w:pPr>
              <w:spacing w:after="0" w:line="240" w:lineRule="auto"/>
              <w:rPr>
                <w:rFonts w:eastAsia="Times New Roman" w:cs="Times New Roman"/>
                <w:color w:val="000000"/>
                <w:sz w:val="20"/>
                <w:lang w:eastAsia="sk-SK"/>
              </w:rPr>
            </w:pPr>
            <w:r w:rsidRPr="00893C52">
              <w:rPr>
                <w:rFonts w:eastAsia="Times New Roman" w:cs="Times New Roman"/>
                <w:color w:val="000000"/>
                <w:sz w:val="20"/>
                <w:lang w:eastAsia="sk-SK"/>
              </w:rPr>
              <w:t>MŠVVaŠ</w:t>
            </w:r>
          </w:p>
        </w:tc>
      </w:tr>
      <w:tr w:rsidR="001D2301" w:rsidRPr="00893C52" w14:paraId="31CA0A92" w14:textId="77777777" w:rsidTr="005975CD">
        <w:trPr>
          <w:trHeight w:val="238"/>
        </w:trPr>
        <w:tc>
          <w:tcPr>
            <w:tcW w:w="506" w:type="dxa"/>
            <w:tcBorders>
              <w:top w:val="dotted" w:sz="4" w:space="0" w:color="auto"/>
              <w:left w:val="nil"/>
              <w:bottom w:val="nil"/>
              <w:right w:val="nil"/>
            </w:tcBorders>
            <w:shd w:val="clear" w:color="000000" w:fill="FFFFFF"/>
            <w:vAlign w:val="center"/>
          </w:tcPr>
          <w:p w14:paraId="3EFF229F" w14:textId="107A6B55" w:rsidR="001D2301" w:rsidRDefault="00FE350B" w:rsidP="001328BF">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16</w:t>
            </w:r>
          </w:p>
        </w:tc>
        <w:tc>
          <w:tcPr>
            <w:tcW w:w="7291" w:type="dxa"/>
            <w:tcBorders>
              <w:top w:val="dotted" w:sz="4" w:space="0" w:color="auto"/>
              <w:left w:val="nil"/>
              <w:bottom w:val="nil"/>
              <w:right w:val="nil"/>
            </w:tcBorders>
            <w:shd w:val="clear" w:color="000000" w:fill="FFFFFF"/>
            <w:vAlign w:val="center"/>
          </w:tcPr>
          <w:p w14:paraId="5CE007C0" w14:textId="2F045204" w:rsidR="001D2301" w:rsidRPr="000A3730" w:rsidRDefault="001D2301" w:rsidP="001328BF">
            <w:pPr>
              <w:spacing w:after="0" w:line="240" w:lineRule="auto"/>
              <w:rPr>
                <w:sz w:val="20"/>
              </w:rPr>
            </w:pPr>
            <w:r w:rsidRPr="00452DBC">
              <w:rPr>
                <w:rFonts w:eastAsia="Times New Roman" w:cs="Times New Roman"/>
                <w:color w:val="000000"/>
                <w:sz w:val="20"/>
                <w:lang w:eastAsia="sk-SK"/>
              </w:rPr>
              <w:t>Umožniť žiakom špeciálnych stredných škôl, odborných učilíšť a praktických škôl zapojiť sa do duálneho vzdelávania</w:t>
            </w:r>
          </w:p>
        </w:tc>
        <w:tc>
          <w:tcPr>
            <w:tcW w:w="1275" w:type="dxa"/>
            <w:tcBorders>
              <w:top w:val="dotted" w:sz="4" w:space="0" w:color="auto"/>
              <w:left w:val="nil"/>
              <w:bottom w:val="nil"/>
              <w:right w:val="nil"/>
            </w:tcBorders>
            <w:shd w:val="clear" w:color="000000" w:fill="FFFFFF"/>
            <w:vAlign w:val="center"/>
          </w:tcPr>
          <w:p w14:paraId="1996305C" w14:textId="589D47DF" w:rsidR="001D2301" w:rsidRPr="00893C52" w:rsidRDefault="001D2301" w:rsidP="001328BF">
            <w:pPr>
              <w:spacing w:after="0" w:line="240" w:lineRule="auto"/>
              <w:rPr>
                <w:rFonts w:eastAsia="Times New Roman" w:cs="Times New Roman"/>
                <w:color w:val="000000"/>
                <w:sz w:val="20"/>
                <w:lang w:eastAsia="sk-SK"/>
              </w:rPr>
            </w:pPr>
            <w:r w:rsidRPr="00893C52">
              <w:rPr>
                <w:rFonts w:eastAsia="Times New Roman" w:cs="Times New Roman"/>
                <w:color w:val="000000"/>
                <w:sz w:val="20"/>
                <w:lang w:eastAsia="sk-SK"/>
              </w:rPr>
              <w:t>MŠVVaŠ</w:t>
            </w:r>
          </w:p>
        </w:tc>
      </w:tr>
      <w:tr w:rsidR="00A22588" w:rsidRPr="00893C52" w14:paraId="3917758C" w14:textId="77777777" w:rsidTr="005975CD">
        <w:trPr>
          <w:trHeight w:val="238"/>
        </w:trPr>
        <w:tc>
          <w:tcPr>
            <w:tcW w:w="506" w:type="dxa"/>
            <w:tcBorders>
              <w:top w:val="dotted" w:sz="4" w:space="0" w:color="auto"/>
              <w:left w:val="nil"/>
              <w:bottom w:val="nil"/>
              <w:right w:val="nil"/>
            </w:tcBorders>
            <w:shd w:val="clear" w:color="000000" w:fill="FFFFFF"/>
            <w:vAlign w:val="center"/>
          </w:tcPr>
          <w:p w14:paraId="26509D6F" w14:textId="605464E2" w:rsidR="00A22588" w:rsidRDefault="00FE350B" w:rsidP="001328BF">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17</w:t>
            </w:r>
          </w:p>
        </w:tc>
        <w:tc>
          <w:tcPr>
            <w:tcW w:w="7291" w:type="dxa"/>
            <w:tcBorders>
              <w:top w:val="dotted" w:sz="4" w:space="0" w:color="auto"/>
              <w:left w:val="nil"/>
              <w:bottom w:val="nil"/>
              <w:right w:val="nil"/>
            </w:tcBorders>
            <w:shd w:val="clear" w:color="000000" w:fill="FFFFFF"/>
            <w:vAlign w:val="center"/>
          </w:tcPr>
          <w:p w14:paraId="7DB463E4" w14:textId="710EAAD5" w:rsidR="00A22588" w:rsidRPr="00452DBC" w:rsidRDefault="00A22588" w:rsidP="001328BF">
            <w:pPr>
              <w:spacing w:after="0" w:line="240" w:lineRule="auto"/>
              <w:rPr>
                <w:rFonts w:eastAsia="Times New Roman" w:cs="Times New Roman"/>
                <w:color w:val="000000"/>
                <w:sz w:val="20"/>
                <w:lang w:eastAsia="sk-SK"/>
              </w:rPr>
            </w:pPr>
            <w:r>
              <w:rPr>
                <w:rFonts w:eastAsia="Times New Roman" w:cs="Times New Roman"/>
                <w:color w:val="000000"/>
                <w:sz w:val="20"/>
                <w:lang w:eastAsia="sk-SK"/>
              </w:rPr>
              <w:t>Regulovať počet</w:t>
            </w:r>
            <w:r w:rsidRPr="00F65895">
              <w:rPr>
                <w:rFonts w:eastAsia="Times New Roman" w:cs="Times New Roman"/>
                <w:color w:val="000000"/>
                <w:sz w:val="20"/>
                <w:lang w:eastAsia="sk-SK"/>
              </w:rPr>
              <w:t xml:space="preserve"> žiakov 1.ročníkov </w:t>
            </w:r>
            <w:r>
              <w:rPr>
                <w:rFonts w:eastAsia="Times New Roman" w:cs="Times New Roman"/>
                <w:color w:val="000000"/>
                <w:sz w:val="20"/>
                <w:lang w:eastAsia="sk-SK"/>
              </w:rPr>
              <w:t xml:space="preserve">SŠ </w:t>
            </w:r>
            <w:r w:rsidRPr="00F65895">
              <w:rPr>
                <w:rFonts w:eastAsia="Times New Roman" w:cs="Times New Roman"/>
                <w:color w:val="000000"/>
                <w:sz w:val="20"/>
                <w:lang w:eastAsia="sk-SK"/>
              </w:rPr>
              <w:t>na F-odboroch</w:t>
            </w:r>
          </w:p>
        </w:tc>
        <w:tc>
          <w:tcPr>
            <w:tcW w:w="1275" w:type="dxa"/>
            <w:tcBorders>
              <w:top w:val="dotted" w:sz="4" w:space="0" w:color="auto"/>
              <w:left w:val="nil"/>
              <w:bottom w:val="nil"/>
              <w:right w:val="nil"/>
            </w:tcBorders>
            <w:shd w:val="clear" w:color="000000" w:fill="FFFFFF"/>
            <w:vAlign w:val="center"/>
          </w:tcPr>
          <w:p w14:paraId="0C69275B" w14:textId="6395C5C8" w:rsidR="00A22588" w:rsidRPr="00893C52" w:rsidRDefault="00A22588" w:rsidP="001328BF">
            <w:pPr>
              <w:spacing w:after="0" w:line="240" w:lineRule="auto"/>
              <w:rPr>
                <w:rFonts w:eastAsia="Times New Roman" w:cs="Times New Roman"/>
                <w:color w:val="000000"/>
                <w:sz w:val="20"/>
                <w:lang w:eastAsia="sk-SK"/>
              </w:rPr>
            </w:pPr>
            <w:r w:rsidRPr="00893C52">
              <w:rPr>
                <w:rFonts w:eastAsia="Times New Roman" w:cs="Times New Roman"/>
                <w:color w:val="000000"/>
                <w:sz w:val="20"/>
                <w:lang w:eastAsia="sk-SK"/>
              </w:rPr>
              <w:t>MŠVVaŠ</w:t>
            </w:r>
          </w:p>
        </w:tc>
      </w:tr>
      <w:tr w:rsidR="005975CD" w:rsidRPr="00893C52" w14:paraId="45AA86EF" w14:textId="77777777" w:rsidTr="005975CD">
        <w:trPr>
          <w:trHeight w:val="476"/>
        </w:trPr>
        <w:tc>
          <w:tcPr>
            <w:tcW w:w="506" w:type="dxa"/>
            <w:tcBorders>
              <w:top w:val="single" w:sz="4" w:space="0" w:color="auto"/>
              <w:left w:val="nil"/>
              <w:bottom w:val="single" w:sz="4" w:space="0" w:color="auto"/>
              <w:right w:val="nil"/>
            </w:tcBorders>
            <w:shd w:val="clear" w:color="000000" w:fill="FFFFFF"/>
            <w:vAlign w:val="center"/>
            <w:hideMark/>
          </w:tcPr>
          <w:p w14:paraId="2EBE2F1C" w14:textId="77777777" w:rsidR="005975CD" w:rsidRPr="00893C52" w:rsidRDefault="005975CD" w:rsidP="001328BF">
            <w:pPr>
              <w:spacing w:after="0" w:line="240" w:lineRule="auto"/>
              <w:jc w:val="center"/>
              <w:rPr>
                <w:rFonts w:eastAsia="Times New Roman" w:cs="Times New Roman"/>
                <w:b/>
                <w:bCs/>
                <w:color w:val="000000"/>
                <w:sz w:val="20"/>
                <w:lang w:eastAsia="sk-SK"/>
              </w:rPr>
            </w:pPr>
            <w:r w:rsidRPr="00893C52">
              <w:rPr>
                <w:rFonts w:eastAsia="Times New Roman" w:cs="Times New Roman"/>
                <w:b/>
                <w:bCs/>
                <w:color w:val="000000"/>
                <w:sz w:val="20"/>
                <w:lang w:eastAsia="sk-SK"/>
              </w:rPr>
              <w:t> </w:t>
            </w:r>
          </w:p>
        </w:tc>
        <w:tc>
          <w:tcPr>
            <w:tcW w:w="7291" w:type="dxa"/>
            <w:tcBorders>
              <w:top w:val="single" w:sz="4" w:space="0" w:color="auto"/>
              <w:left w:val="nil"/>
              <w:bottom w:val="single" w:sz="4" w:space="0" w:color="auto"/>
              <w:right w:val="nil"/>
            </w:tcBorders>
            <w:shd w:val="clear" w:color="000000" w:fill="FFFFFF"/>
            <w:vAlign w:val="center"/>
            <w:hideMark/>
          </w:tcPr>
          <w:p w14:paraId="5122163E" w14:textId="77777777" w:rsidR="005975CD" w:rsidRPr="00893C52" w:rsidRDefault="005975CD" w:rsidP="001328BF">
            <w:pPr>
              <w:spacing w:after="0" w:line="240" w:lineRule="auto"/>
              <w:rPr>
                <w:rFonts w:eastAsia="Times New Roman" w:cs="Times New Roman"/>
                <w:b/>
                <w:bCs/>
                <w:color w:val="000000"/>
                <w:sz w:val="20"/>
                <w:lang w:eastAsia="sk-SK"/>
              </w:rPr>
            </w:pPr>
            <w:r w:rsidRPr="00893C52">
              <w:rPr>
                <w:rFonts w:eastAsia="Times New Roman" w:cs="Times New Roman"/>
                <w:b/>
                <w:bCs/>
                <w:color w:val="000000"/>
                <w:sz w:val="20"/>
                <w:lang w:eastAsia="sk-SK"/>
              </w:rPr>
              <w:t>Politiky trhu práce a sociálne politiky</w:t>
            </w:r>
          </w:p>
        </w:tc>
        <w:tc>
          <w:tcPr>
            <w:tcW w:w="1275" w:type="dxa"/>
            <w:tcBorders>
              <w:top w:val="single" w:sz="4" w:space="0" w:color="auto"/>
              <w:left w:val="nil"/>
              <w:bottom w:val="single" w:sz="4" w:space="0" w:color="auto"/>
              <w:right w:val="nil"/>
            </w:tcBorders>
            <w:shd w:val="clear" w:color="000000" w:fill="FFFFFF"/>
            <w:vAlign w:val="center"/>
            <w:hideMark/>
          </w:tcPr>
          <w:p w14:paraId="0692B807" w14:textId="77777777" w:rsidR="005975CD" w:rsidRPr="00893C52" w:rsidRDefault="005975CD" w:rsidP="001328BF">
            <w:pPr>
              <w:spacing w:after="0" w:line="240" w:lineRule="auto"/>
              <w:rPr>
                <w:rFonts w:eastAsia="Times New Roman" w:cs="Times New Roman"/>
                <w:b/>
                <w:bCs/>
                <w:color w:val="000000"/>
                <w:sz w:val="20"/>
                <w:lang w:eastAsia="sk-SK"/>
              </w:rPr>
            </w:pPr>
            <w:r w:rsidRPr="00893C52">
              <w:rPr>
                <w:rFonts w:eastAsia="Times New Roman" w:cs="Times New Roman"/>
                <w:b/>
                <w:bCs/>
                <w:color w:val="000000"/>
                <w:sz w:val="20"/>
                <w:lang w:eastAsia="sk-SK"/>
              </w:rPr>
              <w:t> </w:t>
            </w:r>
          </w:p>
        </w:tc>
      </w:tr>
      <w:tr w:rsidR="005975CD" w:rsidRPr="00893C52" w14:paraId="4140C6F7" w14:textId="77777777" w:rsidTr="005975CD">
        <w:trPr>
          <w:trHeight w:val="238"/>
        </w:trPr>
        <w:tc>
          <w:tcPr>
            <w:tcW w:w="506" w:type="dxa"/>
            <w:tcBorders>
              <w:top w:val="nil"/>
              <w:left w:val="nil"/>
              <w:bottom w:val="dotted" w:sz="4" w:space="0" w:color="auto"/>
              <w:right w:val="nil"/>
            </w:tcBorders>
            <w:shd w:val="clear" w:color="000000" w:fill="FFFFFF"/>
            <w:vAlign w:val="center"/>
            <w:hideMark/>
          </w:tcPr>
          <w:p w14:paraId="3A0766FA" w14:textId="7A01C4D6" w:rsidR="005975CD" w:rsidRPr="00893C52" w:rsidRDefault="005975CD" w:rsidP="001328BF">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1</w:t>
            </w:r>
            <w:r w:rsidR="00FE350B">
              <w:rPr>
                <w:rFonts w:eastAsia="Times New Roman" w:cs="Times New Roman"/>
                <w:color w:val="000000"/>
                <w:sz w:val="20"/>
                <w:lang w:eastAsia="sk-SK"/>
              </w:rPr>
              <w:t>8</w:t>
            </w:r>
          </w:p>
        </w:tc>
        <w:tc>
          <w:tcPr>
            <w:tcW w:w="7291" w:type="dxa"/>
            <w:tcBorders>
              <w:top w:val="nil"/>
              <w:left w:val="nil"/>
              <w:bottom w:val="dotted" w:sz="4" w:space="0" w:color="auto"/>
              <w:right w:val="nil"/>
            </w:tcBorders>
            <w:shd w:val="clear" w:color="000000" w:fill="FFFFFF"/>
            <w:vAlign w:val="center"/>
            <w:hideMark/>
          </w:tcPr>
          <w:p w14:paraId="49064ABA" w14:textId="1525A358" w:rsidR="005975CD" w:rsidRPr="00893C52" w:rsidRDefault="005975CD" w:rsidP="001328BF">
            <w:pPr>
              <w:spacing w:after="0" w:line="240" w:lineRule="auto"/>
              <w:rPr>
                <w:rFonts w:eastAsia="Times New Roman" w:cs="Times New Roman"/>
                <w:color w:val="000000"/>
                <w:sz w:val="20"/>
                <w:lang w:eastAsia="sk-SK"/>
              </w:rPr>
            </w:pPr>
            <w:r>
              <w:rPr>
                <w:rFonts w:eastAsia="Times New Roman" w:cs="Times New Roman"/>
                <w:color w:val="000000"/>
                <w:sz w:val="20"/>
                <w:lang w:eastAsia="sk-SK"/>
              </w:rPr>
              <w:t>Obmedziť zaraďovanie ľudí s úplným stredným vzdelaním na aktivačné práce</w:t>
            </w:r>
          </w:p>
        </w:tc>
        <w:tc>
          <w:tcPr>
            <w:tcW w:w="1275" w:type="dxa"/>
            <w:tcBorders>
              <w:top w:val="nil"/>
              <w:left w:val="nil"/>
              <w:bottom w:val="dotted" w:sz="4" w:space="0" w:color="auto"/>
              <w:right w:val="nil"/>
            </w:tcBorders>
            <w:shd w:val="clear" w:color="000000" w:fill="FFFFFF"/>
            <w:vAlign w:val="center"/>
            <w:hideMark/>
          </w:tcPr>
          <w:p w14:paraId="37A49DA6" w14:textId="77777777" w:rsidR="005975CD" w:rsidRPr="00893C52" w:rsidRDefault="005975CD" w:rsidP="001328BF">
            <w:pPr>
              <w:spacing w:after="0" w:line="240" w:lineRule="auto"/>
              <w:rPr>
                <w:rFonts w:eastAsia="Times New Roman" w:cs="Times New Roman"/>
                <w:color w:val="000000"/>
                <w:sz w:val="20"/>
                <w:lang w:eastAsia="sk-SK"/>
              </w:rPr>
            </w:pPr>
            <w:r w:rsidRPr="00893C52">
              <w:rPr>
                <w:rFonts w:eastAsia="Times New Roman" w:cs="Times New Roman"/>
                <w:color w:val="000000"/>
                <w:sz w:val="20"/>
                <w:lang w:eastAsia="sk-SK"/>
              </w:rPr>
              <w:t>MPSVaR</w:t>
            </w:r>
          </w:p>
        </w:tc>
      </w:tr>
      <w:tr w:rsidR="005975CD" w:rsidRPr="00893C52" w14:paraId="4A251EA3" w14:textId="77777777" w:rsidTr="005975CD">
        <w:trPr>
          <w:trHeight w:val="238"/>
        </w:trPr>
        <w:tc>
          <w:tcPr>
            <w:tcW w:w="506" w:type="dxa"/>
            <w:tcBorders>
              <w:top w:val="nil"/>
              <w:left w:val="nil"/>
              <w:bottom w:val="dotted" w:sz="4" w:space="0" w:color="auto"/>
              <w:right w:val="nil"/>
            </w:tcBorders>
            <w:shd w:val="clear" w:color="000000" w:fill="FFFFFF"/>
            <w:vAlign w:val="center"/>
            <w:hideMark/>
          </w:tcPr>
          <w:p w14:paraId="6D1DCD84" w14:textId="7DF40044" w:rsidR="005975CD" w:rsidRPr="00893C52" w:rsidRDefault="00FE350B" w:rsidP="001328BF">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19</w:t>
            </w:r>
          </w:p>
        </w:tc>
        <w:tc>
          <w:tcPr>
            <w:tcW w:w="7291" w:type="dxa"/>
            <w:tcBorders>
              <w:top w:val="nil"/>
              <w:left w:val="nil"/>
              <w:bottom w:val="dotted" w:sz="4" w:space="0" w:color="auto"/>
              <w:right w:val="nil"/>
            </w:tcBorders>
            <w:shd w:val="clear" w:color="000000" w:fill="FFFFFF"/>
            <w:vAlign w:val="center"/>
            <w:hideMark/>
          </w:tcPr>
          <w:p w14:paraId="2B622E5A" w14:textId="4ABF88BC" w:rsidR="005975CD" w:rsidRPr="00893C52" w:rsidRDefault="005975CD" w:rsidP="001328BF">
            <w:pPr>
              <w:spacing w:after="0" w:line="240" w:lineRule="auto"/>
              <w:rPr>
                <w:rFonts w:eastAsia="Times New Roman" w:cs="Times New Roman"/>
                <w:color w:val="000000"/>
                <w:sz w:val="20"/>
                <w:lang w:eastAsia="sk-SK"/>
              </w:rPr>
            </w:pPr>
            <w:r>
              <w:rPr>
                <w:rFonts w:eastAsia="Times New Roman" w:cs="Times New Roman"/>
                <w:color w:val="000000"/>
                <w:sz w:val="20"/>
                <w:lang w:eastAsia="sk-SK"/>
              </w:rPr>
              <w:t>Zaviesť formálne hodnotenie účastníkov aktivačných prác v rámci AOTP</w:t>
            </w:r>
          </w:p>
        </w:tc>
        <w:tc>
          <w:tcPr>
            <w:tcW w:w="1275" w:type="dxa"/>
            <w:tcBorders>
              <w:top w:val="nil"/>
              <w:left w:val="nil"/>
              <w:bottom w:val="dotted" w:sz="4" w:space="0" w:color="auto"/>
              <w:right w:val="nil"/>
            </w:tcBorders>
            <w:shd w:val="clear" w:color="000000" w:fill="FFFFFF"/>
            <w:vAlign w:val="center"/>
            <w:hideMark/>
          </w:tcPr>
          <w:p w14:paraId="35E26AB9" w14:textId="77777777" w:rsidR="005975CD" w:rsidRPr="00893C52" w:rsidRDefault="005975CD" w:rsidP="001328BF">
            <w:pPr>
              <w:spacing w:after="0" w:line="240" w:lineRule="auto"/>
              <w:rPr>
                <w:rFonts w:eastAsia="Times New Roman" w:cs="Times New Roman"/>
                <w:color w:val="000000"/>
                <w:sz w:val="20"/>
                <w:lang w:eastAsia="sk-SK"/>
              </w:rPr>
            </w:pPr>
            <w:r w:rsidRPr="00893C52">
              <w:rPr>
                <w:rFonts w:eastAsia="Times New Roman" w:cs="Times New Roman"/>
                <w:color w:val="000000"/>
                <w:sz w:val="20"/>
                <w:lang w:eastAsia="sk-SK"/>
              </w:rPr>
              <w:t>MPSVaR</w:t>
            </w:r>
          </w:p>
        </w:tc>
      </w:tr>
      <w:tr w:rsidR="005975CD" w:rsidRPr="00893C52" w14:paraId="6ABDCE3A" w14:textId="77777777" w:rsidTr="005975CD">
        <w:trPr>
          <w:trHeight w:val="238"/>
        </w:trPr>
        <w:tc>
          <w:tcPr>
            <w:tcW w:w="506" w:type="dxa"/>
            <w:tcBorders>
              <w:top w:val="nil"/>
              <w:left w:val="nil"/>
              <w:bottom w:val="dotted" w:sz="4" w:space="0" w:color="auto"/>
              <w:right w:val="nil"/>
            </w:tcBorders>
            <w:shd w:val="clear" w:color="000000" w:fill="FFFFFF"/>
            <w:vAlign w:val="center"/>
            <w:hideMark/>
          </w:tcPr>
          <w:p w14:paraId="15DFB667" w14:textId="69170B11" w:rsidR="005975CD" w:rsidRPr="00893C52" w:rsidRDefault="00FE350B" w:rsidP="001328BF">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20</w:t>
            </w:r>
          </w:p>
        </w:tc>
        <w:tc>
          <w:tcPr>
            <w:tcW w:w="7291" w:type="dxa"/>
            <w:tcBorders>
              <w:top w:val="nil"/>
              <w:left w:val="nil"/>
              <w:bottom w:val="dotted" w:sz="4" w:space="0" w:color="auto"/>
              <w:right w:val="nil"/>
            </w:tcBorders>
            <w:shd w:val="clear" w:color="000000" w:fill="FFFFFF"/>
            <w:vAlign w:val="center"/>
            <w:hideMark/>
          </w:tcPr>
          <w:p w14:paraId="42655AD2" w14:textId="77777777" w:rsidR="005975CD" w:rsidRPr="00893C52" w:rsidRDefault="005975CD" w:rsidP="001328BF">
            <w:pPr>
              <w:spacing w:after="0" w:line="240" w:lineRule="auto"/>
              <w:rPr>
                <w:rFonts w:eastAsia="Times New Roman" w:cs="Times New Roman"/>
                <w:color w:val="000000"/>
                <w:sz w:val="20"/>
                <w:lang w:eastAsia="sk-SK"/>
              </w:rPr>
            </w:pPr>
            <w:r w:rsidRPr="00CA2564">
              <w:rPr>
                <w:rFonts w:eastAsia="Times New Roman" w:cs="Times New Roman"/>
                <w:color w:val="000000"/>
                <w:sz w:val="20"/>
                <w:lang w:eastAsia="sk-SK"/>
              </w:rPr>
              <w:t>Zvýš</w:t>
            </w:r>
            <w:r>
              <w:rPr>
                <w:rFonts w:eastAsia="Times New Roman" w:cs="Times New Roman"/>
                <w:color w:val="000000"/>
                <w:sz w:val="20"/>
                <w:lang w:eastAsia="sk-SK"/>
              </w:rPr>
              <w:t>iť</w:t>
            </w:r>
            <w:r w:rsidRPr="00CA2564">
              <w:rPr>
                <w:rFonts w:eastAsia="Times New Roman" w:cs="Times New Roman"/>
                <w:color w:val="000000"/>
                <w:sz w:val="20"/>
                <w:lang w:eastAsia="sk-SK"/>
              </w:rPr>
              <w:t xml:space="preserve"> povinn</w:t>
            </w:r>
            <w:r>
              <w:rPr>
                <w:rFonts w:eastAsia="Times New Roman" w:cs="Times New Roman"/>
                <w:color w:val="000000"/>
                <w:sz w:val="20"/>
                <w:lang w:eastAsia="sk-SK"/>
              </w:rPr>
              <w:t>ý</w:t>
            </w:r>
            <w:r w:rsidRPr="00CA2564">
              <w:rPr>
                <w:rFonts w:eastAsia="Times New Roman" w:cs="Times New Roman"/>
                <w:color w:val="000000"/>
                <w:sz w:val="20"/>
                <w:lang w:eastAsia="sk-SK"/>
              </w:rPr>
              <w:t xml:space="preserve"> podiel zamestnávania OZP z 3,2 % na 5 %</w:t>
            </w:r>
          </w:p>
        </w:tc>
        <w:tc>
          <w:tcPr>
            <w:tcW w:w="1275" w:type="dxa"/>
            <w:tcBorders>
              <w:top w:val="nil"/>
              <w:left w:val="nil"/>
              <w:bottom w:val="dotted" w:sz="4" w:space="0" w:color="auto"/>
              <w:right w:val="nil"/>
            </w:tcBorders>
            <w:shd w:val="clear" w:color="000000" w:fill="FFFFFF"/>
            <w:vAlign w:val="center"/>
            <w:hideMark/>
          </w:tcPr>
          <w:p w14:paraId="2743AFD9" w14:textId="77777777" w:rsidR="005975CD" w:rsidRPr="00893C52" w:rsidRDefault="005975CD" w:rsidP="001328BF">
            <w:pPr>
              <w:spacing w:after="0" w:line="240" w:lineRule="auto"/>
              <w:rPr>
                <w:rFonts w:eastAsia="Times New Roman" w:cs="Times New Roman"/>
                <w:color w:val="000000"/>
                <w:sz w:val="20"/>
                <w:lang w:eastAsia="sk-SK"/>
              </w:rPr>
            </w:pPr>
            <w:r w:rsidRPr="00893C52">
              <w:rPr>
                <w:rFonts w:eastAsia="Times New Roman" w:cs="Times New Roman"/>
                <w:color w:val="000000"/>
                <w:sz w:val="20"/>
                <w:lang w:eastAsia="sk-SK"/>
              </w:rPr>
              <w:t>MPSVaR</w:t>
            </w:r>
          </w:p>
        </w:tc>
      </w:tr>
      <w:tr w:rsidR="005975CD" w:rsidRPr="00893C52" w14:paraId="0E38009E" w14:textId="77777777" w:rsidTr="005975CD">
        <w:trPr>
          <w:trHeight w:val="238"/>
        </w:trPr>
        <w:tc>
          <w:tcPr>
            <w:tcW w:w="506" w:type="dxa"/>
            <w:tcBorders>
              <w:top w:val="nil"/>
              <w:left w:val="nil"/>
              <w:bottom w:val="dotted" w:sz="4" w:space="0" w:color="auto"/>
              <w:right w:val="nil"/>
            </w:tcBorders>
            <w:shd w:val="clear" w:color="000000" w:fill="FFFFFF"/>
            <w:vAlign w:val="center"/>
          </w:tcPr>
          <w:p w14:paraId="6CD15808" w14:textId="78B485EF" w:rsidR="005975CD" w:rsidRDefault="00FE350B" w:rsidP="001328BF">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21</w:t>
            </w:r>
          </w:p>
        </w:tc>
        <w:tc>
          <w:tcPr>
            <w:tcW w:w="7291" w:type="dxa"/>
            <w:tcBorders>
              <w:top w:val="nil"/>
              <w:left w:val="nil"/>
              <w:bottom w:val="dotted" w:sz="4" w:space="0" w:color="auto"/>
              <w:right w:val="nil"/>
            </w:tcBorders>
            <w:shd w:val="clear" w:color="000000" w:fill="FFFFFF"/>
            <w:vAlign w:val="center"/>
          </w:tcPr>
          <w:p w14:paraId="362B14C8" w14:textId="70C2372E" w:rsidR="005975CD" w:rsidRDefault="005975CD" w:rsidP="001328BF">
            <w:pPr>
              <w:spacing w:after="0" w:line="240" w:lineRule="auto"/>
              <w:rPr>
                <w:rFonts w:cs="Times New Roman"/>
                <w:sz w:val="20"/>
              </w:rPr>
            </w:pPr>
            <w:r>
              <w:rPr>
                <w:rFonts w:eastAsia="Times New Roman" w:cs="Times New Roman"/>
                <w:color w:val="000000"/>
                <w:sz w:val="20"/>
                <w:lang w:eastAsia="sk-SK"/>
              </w:rPr>
              <w:t>Vypracovať návrh funkčného systému</w:t>
            </w:r>
            <w:r w:rsidRPr="002625D3">
              <w:rPr>
                <w:rFonts w:eastAsia="Times New Roman" w:cs="Times New Roman"/>
                <w:color w:val="000000"/>
                <w:sz w:val="20"/>
                <w:lang w:eastAsia="sk-SK"/>
              </w:rPr>
              <w:t xml:space="preserve"> pracovnej rehabilitácie a rekvalifikácie</w:t>
            </w:r>
          </w:p>
        </w:tc>
        <w:tc>
          <w:tcPr>
            <w:tcW w:w="1275" w:type="dxa"/>
            <w:tcBorders>
              <w:top w:val="nil"/>
              <w:left w:val="nil"/>
              <w:bottom w:val="dotted" w:sz="4" w:space="0" w:color="auto"/>
              <w:right w:val="nil"/>
            </w:tcBorders>
            <w:shd w:val="clear" w:color="000000" w:fill="FFFFFF"/>
            <w:vAlign w:val="center"/>
          </w:tcPr>
          <w:p w14:paraId="147CAE50" w14:textId="2A872D20" w:rsidR="005975CD" w:rsidRPr="00893C52" w:rsidRDefault="005975CD" w:rsidP="001328BF">
            <w:pPr>
              <w:spacing w:after="0" w:line="240" w:lineRule="auto"/>
              <w:rPr>
                <w:rFonts w:eastAsia="Times New Roman" w:cs="Times New Roman"/>
                <w:color w:val="000000"/>
                <w:sz w:val="20"/>
                <w:lang w:eastAsia="sk-SK"/>
              </w:rPr>
            </w:pPr>
            <w:r w:rsidRPr="00893C52">
              <w:rPr>
                <w:rFonts w:eastAsia="Times New Roman" w:cs="Times New Roman"/>
                <w:color w:val="000000"/>
                <w:sz w:val="20"/>
                <w:lang w:eastAsia="sk-SK"/>
              </w:rPr>
              <w:t>MPSVaR</w:t>
            </w:r>
          </w:p>
        </w:tc>
      </w:tr>
      <w:tr w:rsidR="005975CD" w:rsidRPr="00893C52" w14:paraId="56A562A4" w14:textId="77777777" w:rsidTr="005975CD">
        <w:trPr>
          <w:trHeight w:val="238"/>
        </w:trPr>
        <w:tc>
          <w:tcPr>
            <w:tcW w:w="506" w:type="dxa"/>
            <w:tcBorders>
              <w:top w:val="nil"/>
              <w:left w:val="nil"/>
              <w:bottom w:val="dotted" w:sz="4" w:space="0" w:color="auto"/>
              <w:right w:val="nil"/>
            </w:tcBorders>
            <w:shd w:val="clear" w:color="000000" w:fill="FFFFFF"/>
            <w:vAlign w:val="center"/>
            <w:hideMark/>
          </w:tcPr>
          <w:p w14:paraId="0E9D8255" w14:textId="019D99A4" w:rsidR="005975CD" w:rsidRPr="00893C52" w:rsidRDefault="00FE350B" w:rsidP="001328BF">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22</w:t>
            </w:r>
          </w:p>
        </w:tc>
        <w:tc>
          <w:tcPr>
            <w:tcW w:w="7291" w:type="dxa"/>
            <w:tcBorders>
              <w:top w:val="nil"/>
              <w:left w:val="nil"/>
              <w:bottom w:val="dotted" w:sz="4" w:space="0" w:color="auto"/>
              <w:right w:val="nil"/>
            </w:tcBorders>
            <w:shd w:val="clear" w:color="000000" w:fill="FFFFFF"/>
            <w:vAlign w:val="center"/>
            <w:hideMark/>
          </w:tcPr>
          <w:p w14:paraId="4B9DA2A3" w14:textId="47B480E7" w:rsidR="005975CD" w:rsidRPr="00893C52" w:rsidRDefault="005975CD" w:rsidP="001328BF">
            <w:pPr>
              <w:spacing w:after="0" w:line="240" w:lineRule="auto"/>
              <w:rPr>
                <w:rFonts w:eastAsia="Times New Roman" w:cs="Times New Roman"/>
                <w:color w:val="000000"/>
                <w:sz w:val="20"/>
                <w:lang w:eastAsia="sk-SK"/>
              </w:rPr>
            </w:pPr>
            <w:r>
              <w:rPr>
                <w:rFonts w:cs="Times New Roman"/>
                <w:sz w:val="20"/>
              </w:rPr>
              <w:t>V</w:t>
            </w:r>
            <w:r w:rsidRPr="00D3189B">
              <w:rPr>
                <w:rFonts w:cs="Times New Roman"/>
                <w:sz w:val="20"/>
              </w:rPr>
              <w:t>yňa</w:t>
            </w:r>
            <w:r>
              <w:rPr>
                <w:rFonts w:cs="Times New Roman"/>
                <w:sz w:val="20"/>
              </w:rPr>
              <w:t>ť</w:t>
            </w:r>
            <w:r w:rsidR="0070047D">
              <w:rPr>
                <w:rFonts w:cs="Times New Roman"/>
                <w:sz w:val="20"/>
              </w:rPr>
              <w:t xml:space="preserve"> </w:t>
            </w:r>
            <w:r w:rsidRPr="00D3189B">
              <w:rPr>
                <w:rFonts w:cs="Times New Roman"/>
                <w:sz w:val="20"/>
              </w:rPr>
              <w:t>odvod za neplnenie povinného podielu zamestnávania</w:t>
            </w:r>
            <w:r>
              <w:rPr>
                <w:rFonts w:cs="Times New Roman"/>
                <w:sz w:val="20"/>
              </w:rPr>
              <w:t xml:space="preserve"> OZP</w:t>
            </w:r>
            <w:r w:rsidRPr="00D3189B">
              <w:rPr>
                <w:rFonts w:cs="Times New Roman"/>
                <w:sz w:val="20"/>
              </w:rPr>
              <w:t xml:space="preserve"> z </w:t>
            </w:r>
            <w:r>
              <w:rPr>
                <w:rFonts w:cs="Times New Roman"/>
                <w:sz w:val="20"/>
              </w:rPr>
              <w:t>daňových výdavkov zamestnávateľa</w:t>
            </w:r>
          </w:p>
        </w:tc>
        <w:tc>
          <w:tcPr>
            <w:tcW w:w="1275" w:type="dxa"/>
            <w:tcBorders>
              <w:top w:val="nil"/>
              <w:left w:val="nil"/>
              <w:bottom w:val="dotted" w:sz="4" w:space="0" w:color="auto"/>
              <w:right w:val="nil"/>
            </w:tcBorders>
            <w:shd w:val="clear" w:color="000000" w:fill="FFFFFF"/>
            <w:vAlign w:val="center"/>
            <w:hideMark/>
          </w:tcPr>
          <w:p w14:paraId="1DF4E296" w14:textId="08F56AB1" w:rsidR="005975CD" w:rsidRPr="00893C52" w:rsidRDefault="005975CD" w:rsidP="001328BF">
            <w:pPr>
              <w:spacing w:after="0" w:line="240" w:lineRule="auto"/>
              <w:rPr>
                <w:rFonts w:eastAsia="Times New Roman" w:cs="Times New Roman"/>
                <w:color w:val="000000"/>
                <w:sz w:val="20"/>
                <w:lang w:eastAsia="sk-SK"/>
              </w:rPr>
            </w:pPr>
            <w:r w:rsidRPr="00893C52">
              <w:rPr>
                <w:rFonts w:eastAsia="Times New Roman" w:cs="Times New Roman"/>
                <w:color w:val="000000"/>
                <w:sz w:val="20"/>
                <w:lang w:eastAsia="sk-SK"/>
              </w:rPr>
              <w:t>M</w:t>
            </w:r>
            <w:r>
              <w:rPr>
                <w:rFonts w:eastAsia="Times New Roman" w:cs="Times New Roman"/>
                <w:color w:val="000000"/>
                <w:sz w:val="20"/>
                <w:lang w:eastAsia="sk-SK"/>
              </w:rPr>
              <w:t>F</w:t>
            </w:r>
          </w:p>
        </w:tc>
      </w:tr>
      <w:tr w:rsidR="00EC4A0B" w:rsidRPr="00893C52" w14:paraId="52351B52" w14:textId="77777777" w:rsidTr="006228E5">
        <w:trPr>
          <w:trHeight w:val="476"/>
        </w:trPr>
        <w:tc>
          <w:tcPr>
            <w:tcW w:w="506" w:type="dxa"/>
            <w:tcBorders>
              <w:top w:val="single" w:sz="4" w:space="0" w:color="auto"/>
              <w:left w:val="nil"/>
              <w:bottom w:val="single" w:sz="4" w:space="0" w:color="auto"/>
              <w:right w:val="nil"/>
            </w:tcBorders>
            <w:shd w:val="clear" w:color="000000" w:fill="FFFFFF"/>
            <w:vAlign w:val="center"/>
            <w:hideMark/>
          </w:tcPr>
          <w:p w14:paraId="0A4CA47D" w14:textId="77777777" w:rsidR="00EC4A0B" w:rsidRPr="00893C52" w:rsidRDefault="00EC4A0B" w:rsidP="006228E5">
            <w:pPr>
              <w:spacing w:after="0" w:line="240" w:lineRule="auto"/>
              <w:jc w:val="center"/>
              <w:rPr>
                <w:rFonts w:eastAsia="Times New Roman" w:cs="Times New Roman"/>
                <w:b/>
                <w:bCs/>
                <w:color w:val="000000"/>
                <w:sz w:val="20"/>
                <w:lang w:eastAsia="sk-SK"/>
              </w:rPr>
            </w:pPr>
            <w:r w:rsidRPr="00893C52">
              <w:rPr>
                <w:rFonts w:eastAsia="Times New Roman" w:cs="Times New Roman"/>
                <w:b/>
                <w:bCs/>
                <w:color w:val="000000"/>
                <w:sz w:val="20"/>
                <w:lang w:eastAsia="sk-SK"/>
              </w:rPr>
              <w:t> </w:t>
            </w:r>
          </w:p>
        </w:tc>
        <w:tc>
          <w:tcPr>
            <w:tcW w:w="7291" w:type="dxa"/>
            <w:tcBorders>
              <w:top w:val="single" w:sz="4" w:space="0" w:color="auto"/>
              <w:left w:val="nil"/>
              <w:bottom w:val="single" w:sz="4" w:space="0" w:color="auto"/>
              <w:right w:val="nil"/>
            </w:tcBorders>
            <w:shd w:val="clear" w:color="000000" w:fill="FFFFFF"/>
            <w:vAlign w:val="center"/>
            <w:hideMark/>
          </w:tcPr>
          <w:p w14:paraId="394EFDF1" w14:textId="60CEF620" w:rsidR="00EC4A0B" w:rsidRPr="00893C52" w:rsidRDefault="00EC4A0B" w:rsidP="006228E5">
            <w:pPr>
              <w:spacing w:after="0" w:line="240" w:lineRule="auto"/>
              <w:rPr>
                <w:rFonts w:eastAsia="Times New Roman" w:cs="Times New Roman"/>
                <w:b/>
                <w:bCs/>
                <w:color w:val="000000"/>
                <w:sz w:val="20"/>
                <w:lang w:eastAsia="sk-SK"/>
              </w:rPr>
            </w:pPr>
            <w:r w:rsidRPr="00893C52">
              <w:rPr>
                <w:rFonts w:eastAsia="Times New Roman" w:cs="Times New Roman"/>
                <w:b/>
                <w:bCs/>
                <w:color w:val="000000"/>
                <w:sz w:val="20"/>
                <w:lang w:eastAsia="sk-SK"/>
              </w:rPr>
              <w:t>Bývanie a infraštruktúra</w:t>
            </w:r>
          </w:p>
        </w:tc>
        <w:tc>
          <w:tcPr>
            <w:tcW w:w="1275" w:type="dxa"/>
            <w:tcBorders>
              <w:top w:val="single" w:sz="4" w:space="0" w:color="auto"/>
              <w:left w:val="nil"/>
              <w:bottom w:val="single" w:sz="4" w:space="0" w:color="auto"/>
              <w:right w:val="nil"/>
            </w:tcBorders>
            <w:shd w:val="clear" w:color="000000" w:fill="FFFFFF"/>
            <w:vAlign w:val="center"/>
            <w:hideMark/>
          </w:tcPr>
          <w:p w14:paraId="2670D8AD" w14:textId="77777777" w:rsidR="00EC4A0B" w:rsidRPr="00893C52" w:rsidRDefault="00EC4A0B" w:rsidP="006228E5">
            <w:pPr>
              <w:spacing w:after="0" w:line="240" w:lineRule="auto"/>
              <w:rPr>
                <w:rFonts w:eastAsia="Times New Roman" w:cs="Times New Roman"/>
                <w:b/>
                <w:bCs/>
                <w:color w:val="000000"/>
                <w:sz w:val="20"/>
                <w:lang w:eastAsia="sk-SK"/>
              </w:rPr>
            </w:pPr>
            <w:r w:rsidRPr="00893C52">
              <w:rPr>
                <w:rFonts w:eastAsia="Times New Roman" w:cs="Times New Roman"/>
                <w:b/>
                <w:bCs/>
                <w:color w:val="000000"/>
                <w:sz w:val="20"/>
                <w:lang w:eastAsia="sk-SK"/>
              </w:rPr>
              <w:t> </w:t>
            </w:r>
          </w:p>
        </w:tc>
      </w:tr>
      <w:tr w:rsidR="00EC4A0B" w:rsidRPr="00893C52" w14:paraId="1F783639" w14:textId="77777777" w:rsidTr="006228E5">
        <w:trPr>
          <w:trHeight w:val="238"/>
        </w:trPr>
        <w:tc>
          <w:tcPr>
            <w:tcW w:w="506" w:type="dxa"/>
            <w:tcBorders>
              <w:top w:val="nil"/>
              <w:left w:val="nil"/>
              <w:bottom w:val="dotted" w:sz="4" w:space="0" w:color="auto"/>
              <w:right w:val="nil"/>
            </w:tcBorders>
            <w:shd w:val="clear" w:color="000000" w:fill="FFFFFF"/>
            <w:vAlign w:val="center"/>
            <w:hideMark/>
          </w:tcPr>
          <w:p w14:paraId="5A65F4A6" w14:textId="46CFEB82" w:rsidR="00EC4A0B" w:rsidRPr="00893C52" w:rsidRDefault="00FE350B" w:rsidP="006228E5">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23</w:t>
            </w:r>
          </w:p>
        </w:tc>
        <w:tc>
          <w:tcPr>
            <w:tcW w:w="7291" w:type="dxa"/>
            <w:tcBorders>
              <w:top w:val="nil"/>
              <w:left w:val="nil"/>
              <w:bottom w:val="dotted" w:sz="4" w:space="0" w:color="auto"/>
              <w:right w:val="nil"/>
            </w:tcBorders>
            <w:shd w:val="clear" w:color="000000" w:fill="FFFFFF"/>
            <w:vAlign w:val="center"/>
            <w:hideMark/>
          </w:tcPr>
          <w:p w14:paraId="146778AC" w14:textId="588A2EA4" w:rsidR="00EC4A0B" w:rsidRPr="00893C52" w:rsidRDefault="00351F0E" w:rsidP="00351F0E">
            <w:pPr>
              <w:spacing w:after="0" w:line="240" w:lineRule="auto"/>
              <w:rPr>
                <w:rFonts w:eastAsia="Times New Roman" w:cs="Times New Roman"/>
                <w:color w:val="000000"/>
                <w:sz w:val="20"/>
                <w:lang w:eastAsia="sk-SK"/>
              </w:rPr>
            </w:pPr>
            <w:r>
              <w:rPr>
                <w:rFonts w:eastAsia="Times New Roman" w:cs="Times New Roman"/>
                <w:color w:val="000000"/>
                <w:sz w:val="20"/>
                <w:lang w:eastAsia="sk-SK"/>
              </w:rPr>
              <w:t>Vypracovať a prijať národnú stratégiu prevencie a riešenia bezdomovectva</w:t>
            </w:r>
          </w:p>
        </w:tc>
        <w:tc>
          <w:tcPr>
            <w:tcW w:w="1275" w:type="dxa"/>
            <w:tcBorders>
              <w:top w:val="nil"/>
              <w:left w:val="nil"/>
              <w:bottom w:val="dotted" w:sz="4" w:space="0" w:color="auto"/>
              <w:right w:val="nil"/>
            </w:tcBorders>
            <w:shd w:val="clear" w:color="000000" w:fill="FFFFFF"/>
            <w:vAlign w:val="center"/>
            <w:hideMark/>
          </w:tcPr>
          <w:p w14:paraId="608D1555" w14:textId="0A5DA804" w:rsidR="00EC4A0B" w:rsidRPr="00893C52" w:rsidRDefault="00CF0137" w:rsidP="006228E5">
            <w:pPr>
              <w:spacing w:after="0" w:line="240" w:lineRule="auto"/>
              <w:rPr>
                <w:rFonts w:eastAsia="Times New Roman" w:cs="Times New Roman"/>
                <w:color w:val="000000"/>
                <w:sz w:val="20"/>
                <w:lang w:eastAsia="sk-SK"/>
              </w:rPr>
            </w:pPr>
            <w:r>
              <w:rPr>
                <w:rFonts w:eastAsia="Times New Roman" w:cs="Times New Roman"/>
                <w:color w:val="000000"/>
                <w:sz w:val="20"/>
                <w:lang w:eastAsia="sk-SK"/>
              </w:rPr>
              <w:t xml:space="preserve">MV, </w:t>
            </w:r>
            <w:r w:rsidR="00351F0E" w:rsidRPr="00893C52">
              <w:rPr>
                <w:rFonts w:eastAsia="Times New Roman" w:cs="Times New Roman"/>
                <w:color w:val="000000"/>
                <w:sz w:val="20"/>
                <w:lang w:eastAsia="sk-SK"/>
              </w:rPr>
              <w:t>MPSVaR</w:t>
            </w:r>
            <w:r>
              <w:rPr>
                <w:rFonts w:eastAsia="Times New Roman" w:cs="Times New Roman"/>
                <w:color w:val="000000"/>
                <w:sz w:val="20"/>
                <w:lang w:eastAsia="sk-SK"/>
              </w:rPr>
              <w:t>, MZ, MDV, samosprávy</w:t>
            </w:r>
          </w:p>
        </w:tc>
      </w:tr>
      <w:tr w:rsidR="005975CD" w:rsidRPr="00893C52" w14:paraId="5065FDBE" w14:textId="77777777" w:rsidTr="005975CD">
        <w:trPr>
          <w:trHeight w:val="476"/>
        </w:trPr>
        <w:tc>
          <w:tcPr>
            <w:tcW w:w="506" w:type="dxa"/>
            <w:tcBorders>
              <w:top w:val="single" w:sz="4" w:space="0" w:color="auto"/>
              <w:left w:val="nil"/>
              <w:bottom w:val="single" w:sz="4" w:space="0" w:color="auto"/>
              <w:right w:val="nil"/>
            </w:tcBorders>
            <w:shd w:val="clear" w:color="000000" w:fill="FFFFFF"/>
            <w:vAlign w:val="center"/>
            <w:hideMark/>
          </w:tcPr>
          <w:p w14:paraId="1923C674" w14:textId="77777777" w:rsidR="005975CD" w:rsidRPr="00893C52" w:rsidRDefault="005975CD" w:rsidP="001328BF">
            <w:pPr>
              <w:spacing w:after="0" w:line="240" w:lineRule="auto"/>
              <w:jc w:val="center"/>
              <w:rPr>
                <w:rFonts w:eastAsia="Times New Roman" w:cs="Times New Roman"/>
                <w:b/>
                <w:bCs/>
                <w:color w:val="000000"/>
                <w:sz w:val="20"/>
                <w:lang w:eastAsia="sk-SK"/>
              </w:rPr>
            </w:pPr>
            <w:r w:rsidRPr="00893C52">
              <w:rPr>
                <w:rFonts w:eastAsia="Times New Roman" w:cs="Times New Roman"/>
                <w:b/>
                <w:bCs/>
                <w:color w:val="000000"/>
                <w:sz w:val="20"/>
                <w:lang w:eastAsia="sk-SK"/>
              </w:rPr>
              <w:t> </w:t>
            </w:r>
          </w:p>
        </w:tc>
        <w:tc>
          <w:tcPr>
            <w:tcW w:w="7291" w:type="dxa"/>
            <w:tcBorders>
              <w:top w:val="single" w:sz="4" w:space="0" w:color="auto"/>
              <w:left w:val="nil"/>
              <w:bottom w:val="single" w:sz="4" w:space="0" w:color="auto"/>
              <w:right w:val="nil"/>
            </w:tcBorders>
            <w:shd w:val="clear" w:color="000000" w:fill="FFFFFF"/>
            <w:vAlign w:val="center"/>
            <w:hideMark/>
          </w:tcPr>
          <w:p w14:paraId="0C811561" w14:textId="77777777" w:rsidR="005975CD" w:rsidRPr="00893C52" w:rsidRDefault="005975CD" w:rsidP="001328BF">
            <w:pPr>
              <w:spacing w:after="0" w:line="240" w:lineRule="auto"/>
              <w:rPr>
                <w:rFonts w:eastAsia="Times New Roman" w:cs="Times New Roman"/>
                <w:b/>
                <w:bCs/>
                <w:color w:val="000000"/>
                <w:sz w:val="20"/>
                <w:lang w:eastAsia="sk-SK"/>
              </w:rPr>
            </w:pPr>
            <w:r w:rsidRPr="00893C52">
              <w:rPr>
                <w:rFonts w:eastAsia="Times New Roman" w:cs="Times New Roman"/>
                <w:b/>
                <w:bCs/>
                <w:color w:val="000000"/>
                <w:sz w:val="20"/>
                <w:lang w:eastAsia="sk-SK"/>
              </w:rPr>
              <w:t>Zdravotníctvo</w:t>
            </w:r>
          </w:p>
        </w:tc>
        <w:tc>
          <w:tcPr>
            <w:tcW w:w="1275" w:type="dxa"/>
            <w:tcBorders>
              <w:top w:val="single" w:sz="4" w:space="0" w:color="auto"/>
              <w:left w:val="nil"/>
              <w:bottom w:val="single" w:sz="4" w:space="0" w:color="auto"/>
              <w:right w:val="nil"/>
            </w:tcBorders>
            <w:shd w:val="clear" w:color="000000" w:fill="FFFFFF"/>
            <w:vAlign w:val="center"/>
            <w:hideMark/>
          </w:tcPr>
          <w:p w14:paraId="46DE1204" w14:textId="77777777" w:rsidR="005975CD" w:rsidRPr="00893C52" w:rsidRDefault="005975CD" w:rsidP="001328BF">
            <w:pPr>
              <w:spacing w:after="0" w:line="240" w:lineRule="auto"/>
              <w:rPr>
                <w:rFonts w:eastAsia="Times New Roman" w:cs="Times New Roman"/>
                <w:b/>
                <w:bCs/>
                <w:color w:val="000000"/>
                <w:sz w:val="20"/>
                <w:lang w:eastAsia="sk-SK"/>
              </w:rPr>
            </w:pPr>
            <w:r w:rsidRPr="00893C52">
              <w:rPr>
                <w:rFonts w:eastAsia="Times New Roman" w:cs="Times New Roman"/>
                <w:b/>
                <w:bCs/>
                <w:color w:val="000000"/>
                <w:sz w:val="20"/>
                <w:lang w:eastAsia="sk-SK"/>
              </w:rPr>
              <w:t> </w:t>
            </w:r>
          </w:p>
        </w:tc>
      </w:tr>
      <w:tr w:rsidR="005975CD" w:rsidRPr="00893C52" w14:paraId="067082EC" w14:textId="77777777" w:rsidTr="005975CD">
        <w:trPr>
          <w:trHeight w:val="238"/>
        </w:trPr>
        <w:tc>
          <w:tcPr>
            <w:tcW w:w="506" w:type="dxa"/>
            <w:tcBorders>
              <w:top w:val="nil"/>
              <w:left w:val="nil"/>
              <w:bottom w:val="dotted" w:sz="4" w:space="0" w:color="auto"/>
              <w:right w:val="nil"/>
            </w:tcBorders>
            <w:shd w:val="clear" w:color="000000" w:fill="FFFFFF"/>
            <w:vAlign w:val="center"/>
            <w:hideMark/>
          </w:tcPr>
          <w:p w14:paraId="73C43724" w14:textId="30D5F5A0" w:rsidR="005975CD" w:rsidRPr="00893C52" w:rsidRDefault="005975CD" w:rsidP="001328BF">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2</w:t>
            </w:r>
            <w:r w:rsidR="00FE350B">
              <w:rPr>
                <w:rFonts w:eastAsia="Times New Roman" w:cs="Times New Roman"/>
                <w:color w:val="000000"/>
                <w:sz w:val="20"/>
                <w:lang w:eastAsia="sk-SK"/>
              </w:rPr>
              <w:t>4</w:t>
            </w:r>
          </w:p>
        </w:tc>
        <w:tc>
          <w:tcPr>
            <w:tcW w:w="7291" w:type="dxa"/>
            <w:tcBorders>
              <w:top w:val="nil"/>
              <w:left w:val="nil"/>
              <w:bottom w:val="dotted" w:sz="4" w:space="0" w:color="auto"/>
              <w:right w:val="nil"/>
            </w:tcBorders>
            <w:shd w:val="clear" w:color="000000" w:fill="FFFFFF"/>
            <w:vAlign w:val="center"/>
            <w:hideMark/>
          </w:tcPr>
          <w:p w14:paraId="4984471B" w14:textId="1B1CF896" w:rsidR="005975CD" w:rsidRPr="00893C52" w:rsidRDefault="005975CD" w:rsidP="001328BF">
            <w:pPr>
              <w:spacing w:after="0" w:line="240" w:lineRule="auto"/>
              <w:rPr>
                <w:rFonts w:eastAsia="Times New Roman" w:cs="Times New Roman"/>
                <w:color w:val="000000"/>
                <w:sz w:val="20"/>
                <w:lang w:eastAsia="sk-SK"/>
              </w:rPr>
            </w:pPr>
            <w:r>
              <w:rPr>
                <w:rFonts w:eastAsia="Times New Roman" w:cs="Times New Roman"/>
                <w:color w:val="000000"/>
                <w:sz w:val="20"/>
                <w:lang w:eastAsia="sk-SK"/>
              </w:rPr>
              <w:t>Vytvoriť š</w:t>
            </w:r>
            <w:r w:rsidRPr="00CA2564">
              <w:rPr>
                <w:rFonts w:eastAsia="Times New Roman" w:cs="Times New Roman"/>
                <w:color w:val="000000"/>
                <w:sz w:val="20"/>
                <w:lang w:eastAsia="sk-SK"/>
              </w:rPr>
              <w:t>tudijný program ďalšieho vzdelávania pre vybrané zdravotnícke povolania v tematickej oblasti práce s MRK</w:t>
            </w:r>
          </w:p>
        </w:tc>
        <w:tc>
          <w:tcPr>
            <w:tcW w:w="1275" w:type="dxa"/>
            <w:tcBorders>
              <w:top w:val="nil"/>
              <w:left w:val="nil"/>
              <w:bottom w:val="dotted" w:sz="4" w:space="0" w:color="auto"/>
              <w:right w:val="nil"/>
            </w:tcBorders>
            <w:shd w:val="clear" w:color="000000" w:fill="FFFFFF"/>
            <w:vAlign w:val="center"/>
            <w:hideMark/>
          </w:tcPr>
          <w:p w14:paraId="4B293203" w14:textId="77777777" w:rsidR="005975CD" w:rsidRPr="00893C52" w:rsidRDefault="005975CD" w:rsidP="001328BF">
            <w:pPr>
              <w:spacing w:after="0" w:line="240" w:lineRule="auto"/>
              <w:rPr>
                <w:rFonts w:eastAsia="Times New Roman" w:cs="Times New Roman"/>
                <w:color w:val="000000"/>
                <w:sz w:val="20"/>
                <w:lang w:eastAsia="sk-SK"/>
              </w:rPr>
            </w:pPr>
            <w:r w:rsidRPr="00893C52">
              <w:rPr>
                <w:rFonts w:eastAsia="Times New Roman" w:cs="Times New Roman"/>
                <w:color w:val="000000"/>
                <w:sz w:val="20"/>
                <w:lang w:eastAsia="sk-SK"/>
              </w:rPr>
              <w:t>MZ</w:t>
            </w:r>
          </w:p>
        </w:tc>
      </w:tr>
      <w:tr w:rsidR="005975CD" w:rsidRPr="00893C52" w14:paraId="53722378" w14:textId="77777777" w:rsidTr="005975CD">
        <w:trPr>
          <w:trHeight w:val="476"/>
        </w:trPr>
        <w:tc>
          <w:tcPr>
            <w:tcW w:w="506" w:type="dxa"/>
            <w:tcBorders>
              <w:top w:val="single" w:sz="4" w:space="0" w:color="auto"/>
              <w:left w:val="nil"/>
              <w:bottom w:val="single" w:sz="4" w:space="0" w:color="auto"/>
              <w:right w:val="nil"/>
            </w:tcBorders>
            <w:shd w:val="clear" w:color="000000" w:fill="FFFFFF"/>
            <w:vAlign w:val="center"/>
            <w:hideMark/>
          </w:tcPr>
          <w:p w14:paraId="2BED1D44" w14:textId="77777777" w:rsidR="005975CD" w:rsidRPr="00893C52" w:rsidRDefault="005975CD" w:rsidP="001328BF">
            <w:pPr>
              <w:spacing w:after="0" w:line="240" w:lineRule="auto"/>
              <w:jc w:val="center"/>
              <w:rPr>
                <w:rFonts w:eastAsia="Times New Roman" w:cs="Times New Roman"/>
                <w:b/>
                <w:bCs/>
                <w:color w:val="000000"/>
                <w:sz w:val="20"/>
                <w:lang w:eastAsia="sk-SK"/>
              </w:rPr>
            </w:pPr>
            <w:r w:rsidRPr="00893C52">
              <w:rPr>
                <w:rFonts w:eastAsia="Times New Roman" w:cs="Times New Roman"/>
                <w:b/>
                <w:bCs/>
                <w:color w:val="000000"/>
                <w:sz w:val="20"/>
                <w:lang w:eastAsia="sk-SK"/>
              </w:rPr>
              <w:t> </w:t>
            </w:r>
          </w:p>
        </w:tc>
        <w:tc>
          <w:tcPr>
            <w:tcW w:w="7291" w:type="dxa"/>
            <w:tcBorders>
              <w:top w:val="single" w:sz="4" w:space="0" w:color="auto"/>
              <w:left w:val="nil"/>
              <w:bottom w:val="single" w:sz="4" w:space="0" w:color="auto"/>
              <w:right w:val="nil"/>
            </w:tcBorders>
            <w:shd w:val="clear" w:color="000000" w:fill="FFFFFF"/>
            <w:vAlign w:val="center"/>
            <w:hideMark/>
          </w:tcPr>
          <w:p w14:paraId="42888CF3" w14:textId="0D8CABB3" w:rsidR="005975CD" w:rsidRPr="00893C52" w:rsidRDefault="005975CD" w:rsidP="001328BF">
            <w:pPr>
              <w:spacing w:after="0" w:line="240" w:lineRule="auto"/>
              <w:rPr>
                <w:rFonts w:eastAsia="Times New Roman" w:cs="Times New Roman"/>
                <w:b/>
                <w:bCs/>
                <w:color w:val="000000"/>
                <w:sz w:val="20"/>
                <w:lang w:eastAsia="sk-SK"/>
              </w:rPr>
            </w:pPr>
            <w:r w:rsidRPr="00893C52">
              <w:rPr>
                <w:rFonts w:eastAsia="Times New Roman" w:cs="Times New Roman"/>
                <w:b/>
                <w:bCs/>
                <w:color w:val="000000"/>
                <w:sz w:val="20"/>
                <w:lang w:eastAsia="sk-SK"/>
              </w:rPr>
              <w:t xml:space="preserve">Podporné programy </w:t>
            </w:r>
            <w:r w:rsidR="004F1697">
              <w:rPr>
                <w:rFonts w:eastAsia="Times New Roman" w:cs="Times New Roman"/>
                <w:b/>
                <w:bCs/>
                <w:color w:val="000000"/>
                <w:sz w:val="20"/>
                <w:lang w:eastAsia="sk-SK"/>
              </w:rPr>
              <w:t>pre obce s prítomnosťou</w:t>
            </w:r>
            <w:r w:rsidRPr="00893C52">
              <w:rPr>
                <w:rFonts w:eastAsia="Times New Roman" w:cs="Times New Roman"/>
                <w:b/>
                <w:bCs/>
                <w:color w:val="000000"/>
                <w:sz w:val="20"/>
                <w:lang w:eastAsia="sk-SK"/>
              </w:rPr>
              <w:t> MRK</w:t>
            </w:r>
          </w:p>
        </w:tc>
        <w:tc>
          <w:tcPr>
            <w:tcW w:w="1275" w:type="dxa"/>
            <w:tcBorders>
              <w:top w:val="single" w:sz="4" w:space="0" w:color="auto"/>
              <w:left w:val="nil"/>
              <w:bottom w:val="single" w:sz="4" w:space="0" w:color="auto"/>
              <w:right w:val="nil"/>
            </w:tcBorders>
            <w:shd w:val="clear" w:color="000000" w:fill="FFFFFF"/>
            <w:vAlign w:val="center"/>
            <w:hideMark/>
          </w:tcPr>
          <w:p w14:paraId="4B7E9DA2" w14:textId="77777777" w:rsidR="005975CD" w:rsidRPr="00893C52" w:rsidRDefault="005975CD" w:rsidP="001328BF">
            <w:pPr>
              <w:spacing w:after="0" w:line="240" w:lineRule="auto"/>
              <w:rPr>
                <w:rFonts w:eastAsia="Times New Roman" w:cs="Times New Roman"/>
                <w:b/>
                <w:bCs/>
                <w:color w:val="000000"/>
                <w:sz w:val="20"/>
                <w:lang w:eastAsia="sk-SK"/>
              </w:rPr>
            </w:pPr>
            <w:r w:rsidRPr="00893C52">
              <w:rPr>
                <w:rFonts w:eastAsia="Times New Roman" w:cs="Times New Roman"/>
                <w:b/>
                <w:bCs/>
                <w:color w:val="000000"/>
                <w:sz w:val="20"/>
                <w:lang w:eastAsia="sk-SK"/>
              </w:rPr>
              <w:t> </w:t>
            </w:r>
          </w:p>
        </w:tc>
      </w:tr>
      <w:tr w:rsidR="005975CD" w:rsidRPr="00893C52" w14:paraId="42D3B881" w14:textId="77777777" w:rsidTr="005975CD">
        <w:trPr>
          <w:trHeight w:val="238"/>
        </w:trPr>
        <w:tc>
          <w:tcPr>
            <w:tcW w:w="506" w:type="dxa"/>
            <w:tcBorders>
              <w:top w:val="nil"/>
              <w:left w:val="nil"/>
              <w:bottom w:val="dotted" w:sz="4" w:space="0" w:color="auto"/>
              <w:right w:val="nil"/>
            </w:tcBorders>
            <w:shd w:val="clear" w:color="000000" w:fill="FFFFFF"/>
            <w:vAlign w:val="center"/>
            <w:hideMark/>
          </w:tcPr>
          <w:p w14:paraId="5CC7A7B5" w14:textId="08249502" w:rsidR="005975CD" w:rsidRPr="00893C52" w:rsidRDefault="005975CD" w:rsidP="001328BF">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2</w:t>
            </w:r>
            <w:r w:rsidR="00FE350B">
              <w:rPr>
                <w:rFonts w:eastAsia="Times New Roman" w:cs="Times New Roman"/>
                <w:color w:val="000000"/>
                <w:sz w:val="20"/>
                <w:lang w:eastAsia="sk-SK"/>
              </w:rPr>
              <w:t>5</w:t>
            </w:r>
          </w:p>
        </w:tc>
        <w:tc>
          <w:tcPr>
            <w:tcW w:w="7291" w:type="dxa"/>
            <w:tcBorders>
              <w:top w:val="nil"/>
              <w:left w:val="nil"/>
              <w:bottom w:val="dotted" w:sz="4" w:space="0" w:color="auto"/>
              <w:right w:val="nil"/>
            </w:tcBorders>
            <w:shd w:val="clear" w:color="000000" w:fill="FFFFFF"/>
            <w:vAlign w:val="center"/>
            <w:hideMark/>
          </w:tcPr>
          <w:p w14:paraId="7279A0EB" w14:textId="64EB47D9" w:rsidR="005975CD" w:rsidRPr="00893C52" w:rsidRDefault="005975CD" w:rsidP="001328BF">
            <w:pPr>
              <w:spacing w:after="0" w:line="240" w:lineRule="auto"/>
              <w:rPr>
                <w:rFonts w:eastAsia="Times New Roman" w:cs="Times New Roman"/>
                <w:color w:val="000000"/>
                <w:sz w:val="20"/>
                <w:lang w:eastAsia="sk-SK"/>
              </w:rPr>
            </w:pPr>
            <w:r>
              <w:rPr>
                <w:rFonts w:eastAsia="Times New Roman" w:cs="Times New Roman"/>
                <w:color w:val="000000"/>
                <w:sz w:val="20"/>
                <w:lang w:eastAsia="sk-SK"/>
              </w:rPr>
              <w:t>Zaviesť centrálny model riadenia podporných programov a zabezpečiť ich udržateľnosť</w:t>
            </w:r>
          </w:p>
        </w:tc>
        <w:tc>
          <w:tcPr>
            <w:tcW w:w="1275" w:type="dxa"/>
            <w:tcBorders>
              <w:top w:val="nil"/>
              <w:left w:val="nil"/>
              <w:bottom w:val="dotted" w:sz="4" w:space="0" w:color="auto"/>
              <w:right w:val="nil"/>
            </w:tcBorders>
            <w:shd w:val="clear" w:color="000000" w:fill="FFFFFF"/>
            <w:vAlign w:val="center"/>
            <w:hideMark/>
          </w:tcPr>
          <w:p w14:paraId="2FC8BBA7" w14:textId="77777777" w:rsidR="005975CD" w:rsidRPr="00893C52" w:rsidRDefault="005975CD" w:rsidP="001328BF">
            <w:pPr>
              <w:spacing w:after="0" w:line="240" w:lineRule="auto"/>
              <w:rPr>
                <w:rFonts w:eastAsia="Times New Roman" w:cs="Times New Roman"/>
                <w:color w:val="000000"/>
                <w:sz w:val="20"/>
                <w:lang w:eastAsia="sk-SK"/>
              </w:rPr>
            </w:pPr>
            <w:r w:rsidRPr="00893C52">
              <w:rPr>
                <w:rFonts w:eastAsia="Times New Roman" w:cs="Times New Roman"/>
                <w:color w:val="000000"/>
                <w:sz w:val="20"/>
                <w:lang w:eastAsia="sk-SK"/>
              </w:rPr>
              <w:t>MPSVaR, MV</w:t>
            </w:r>
          </w:p>
        </w:tc>
      </w:tr>
      <w:tr w:rsidR="005975CD" w:rsidRPr="00893C52" w14:paraId="01904C15" w14:textId="77777777" w:rsidTr="005975CD">
        <w:trPr>
          <w:trHeight w:val="476"/>
        </w:trPr>
        <w:tc>
          <w:tcPr>
            <w:tcW w:w="506" w:type="dxa"/>
            <w:tcBorders>
              <w:top w:val="dotted" w:sz="4" w:space="0" w:color="auto"/>
              <w:left w:val="nil"/>
              <w:bottom w:val="single" w:sz="4" w:space="0" w:color="auto"/>
              <w:right w:val="nil"/>
            </w:tcBorders>
            <w:shd w:val="clear" w:color="000000" w:fill="FFFFFF"/>
            <w:vAlign w:val="center"/>
            <w:hideMark/>
          </w:tcPr>
          <w:p w14:paraId="4F5A079A" w14:textId="70760351" w:rsidR="005975CD" w:rsidRPr="00893C52" w:rsidRDefault="005975CD" w:rsidP="001328BF">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2</w:t>
            </w:r>
            <w:r w:rsidR="00FE350B">
              <w:rPr>
                <w:rFonts w:eastAsia="Times New Roman" w:cs="Times New Roman"/>
                <w:color w:val="000000"/>
                <w:sz w:val="20"/>
                <w:lang w:eastAsia="sk-SK"/>
              </w:rPr>
              <w:t>6</w:t>
            </w:r>
          </w:p>
        </w:tc>
        <w:tc>
          <w:tcPr>
            <w:tcW w:w="7291" w:type="dxa"/>
            <w:tcBorders>
              <w:top w:val="dotted" w:sz="4" w:space="0" w:color="auto"/>
              <w:left w:val="nil"/>
              <w:bottom w:val="single" w:sz="4" w:space="0" w:color="auto"/>
              <w:right w:val="nil"/>
            </w:tcBorders>
            <w:shd w:val="clear" w:color="000000" w:fill="FFFFFF"/>
            <w:vAlign w:val="center"/>
            <w:hideMark/>
          </w:tcPr>
          <w:p w14:paraId="4BE27783" w14:textId="5870E355" w:rsidR="005975CD" w:rsidRPr="00893C52" w:rsidRDefault="005975CD" w:rsidP="001328BF">
            <w:pPr>
              <w:spacing w:after="0" w:line="240" w:lineRule="auto"/>
              <w:rPr>
                <w:rFonts w:eastAsia="Times New Roman" w:cs="Times New Roman"/>
                <w:color w:val="000000"/>
                <w:sz w:val="20"/>
                <w:lang w:eastAsia="sk-SK"/>
              </w:rPr>
            </w:pPr>
            <w:r>
              <w:rPr>
                <w:rFonts w:eastAsia="Times New Roman" w:cs="Times New Roman"/>
                <w:color w:val="000000"/>
                <w:sz w:val="20"/>
                <w:lang w:eastAsia="sk-SK"/>
              </w:rPr>
              <w:t>Vytvoriť a zabezpečiť fungovanie koordinačných pracovných tímov podporných programov na mikroregionálnej úrovni</w:t>
            </w:r>
          </w:p>
        </w:tc>
        <w:tc>
          <w:tcPr>
            <w:tcW w:w="1275" w:type="dxa"/>
            <w:tcBorders>
              <w:top w:val="dotted" w:sz="4" w:space="0" w:color="auto"/>
              <w:left w:val="nil"/>
              <w:bottom w:val="single" w:sz="4" w:space="0" w:color="auto"/>
              <w:right w:val="nil"/>
            </w:tcBorders>
            <w:shd w:val="clear" w:color="000000" w:fill="FFFFFF"/>
            <w:vAlign w:val="center"/>
            <w:hideMark/>
          </w:tcPr>
          <w:p w14:paraId="561BBF8C" w14:textId="77777777" w:rsidR="005975CD" w:rsidRPr="00893C52" w:rsidRDefault="005975CD" w:rsidP="001328BF">
            <w:pPr>
              <w:spacing w:after="0" w:line="240" w:lineRule="auto"/>
              <w:rPr>
                <w:rFonts w:eastAsia="Times New Roman" w:cs="Times New Roman"/>
                <w:color w:val="000000"/>
                <w:sz w:val="20"/>
                <w:lang w:eastAsia="sk-SK"/>
              </w:rPr>
            </w:pPr>
            <w:r w:rsidRPr="00893C52">
              <w:rPr>
                <w:rFonts w:eastAsia="Times New Roman" w:cs="Times New Roman"/>
                <w:color w:val="000000"/>
                <w:sz w:val="20"/>
                <w:lang w:eastAsia="sk-SK"/>
              </w:rPr>
              <w:t>MPSVaR, MV</w:t>
            </w:r>
            <w:r>
              <w:rPr>
                <w:rFonts w:eastAsia="Times New Roman" w:cs="Times New Roman"/>
                <w:color w:val="000000"/>
                <w:sz w:val="20"/>
                <w:lang w:eastAsia="sk-SK"/>
              </w:rPr>
              <w:t>, MŠVVaŠ, MZ</w:t>
            </w:r>
          </w:p>
        </w:tc>
      </w:tr>
    </w:tbl>
    <w:bookmarkEnd w:id="24"/>
    <w:p w14:paraId="4E2EBA13" w14:textId="692A47A0" w:rsidR="00CE5E79" w:rsidRPr="00231BE7" w:rsidRDefault="00CE5E79" w:rsidP="00CE5E79">
      <w:pPr>
        <w:spacing w:before="200"/>
        <w:rPr>
          <w:bCs/>
          <w:color w:val="0070C0"/>
        </w:rPr>
      </w:pPr>
      <w:r w:rsidRPr="00231BE7">
        <w:rPr>
          <w:bCs/>
          <w:color w:val="0070C0"/>
        </w:rPr>
        <w:lastRenderedPageBreak/>
        <w:t>Starostlivosť o znevýhodnené deti v ranom veku</w:t>
      </w:r>
    </w:p>
    <w:p w14:paraId="16260048" w14:textId="19BF3846" w:rsidR="00CE5E79" w:rsidRDefault="00CE5E79" w:rsidP="00CE5E79">
      <w:pPr>
        <w:pStyle w:val="Textkomentra"/>
        <w:spacing w:before="200" w:line="259" w:lineRule="auto"/>
        <w:rPr>
          <w:rFonts w:eastAsia="Arial Narrow" w:cs="Arial Narrow"/>
          <w:bCs/>
          <w:color w:val="000000"/>
          <w:sz w:val="22"/>
          <w:szCs w:val="22"/>
        </w:rPr>
      </w:pPr>
      <w:r w:rsidRPr="00452DBC">
        <w:rPr>
          <w:b/>
          <w:sz w:val="22"/>
          <w:szCs w:val="22"/>
        </w:rPr>
        <w:t xml:space="preserve">1. Opatrenie: </w:t>
      </w:r>
      <w:r w:rsidRPr="00452DBC">
        <w:rPr>
          <w:b/>
          <w:bCs/>
          <w:sz w:val="22"/>
          <w:szCs w:val="22"/>
        </w:rPr>
        <w:t>Vytvoriť nadrezortnú stratégiu ranej starostlivosti o znevýhodnené deti</w:t>
      </w:r>
      <w:r>
        <w:rPr>
          <w:b/>
          <w:bCs/>
          <w:sz w:val="22"/>
          <w:szCs w:val="22"/>
        </w:rPr>
        <w:t xml:space="preserve">. </w:t>
      </w:r>
      <w:r w:rsidRPr="00452DBC">
        <w:rPr>
          <w:rFonts w:eastAsia="Arial Narrow" w:cs="Arial Narrow"/>
          <w:bCs/>
          <w:color w:val="000000"/>
          <w:sz w:val="22"/>
          <w:szCs w:val="22"/>
        </w:rPr>
        <w:t>Medzirezo</w:t>
      </w:r>
      <w:r w:rsidR="002843B2">
        <w:rPr>
          <w:rFonts w:eastAsia="Arial Narrow" w:cs="Arial Narrow"/>
          <w:bCs/>
          <w:color w:val="000000"/>
          <w:sz w:val="22"/>
          <w:szCs w:val="22"/>
        </w:rPr>
        <w:t>r</w:t>
      </w:r>
      <w:r w:rsidRPr="00452DBC">
        <w:rPr>
          <w:rFonts w:eastAsia="Arial Narrow" w:cs="Arial Narrow"/>
          <w:bCs/>
          <w:color w:val="000000"/>
          <w:sz w:val="22"/>
          <w:szCs w:val="22"/>
        </w:rPr>
        <w:t>tná spolupráca v oblasti ranej starostlivosti znevýhodnených detí je nedostatočná, čo negatívne ovplyvňuje dostupnosť a kvalitu služieb</w:t>
      </w:r>
      <w:r>
        <w:rPr>
          <w:rFonts w:eastAsia="Arial Narrow" w:cs="Arial Narrow"/>
          <w:bCs/>
          <w:color w:val="000000"/>
          <w:sz w:val="22"/>
          <w:szCs w:val="22"/>
        </w:rPr>
        <w:t xml:space="preserve"> (kapitola </w:t>
      </w:r>
      <w:r>
        <w:rPr>
          <w:rFonts w:eastAsia="Arial Narrow" w:cs="Arial Narrow"/>
          <w:bCs/>
          <w:color w:val="000000"/>
          <w:sz w:val="22"/>
          <w:szCs w:val="22"/>
        </w:rPr>
        <w:fldChar w:fldCharType="begin"/>
      </w:r>
      <w:r>
        <w:rPr>
          <w:rFonts w:eastAsia="Arial Narrow" w:cs="Arial Narrow"/>
          <w:bCs/>
          <w:color w:val="000000"/>
          <w:sz w:val="22"/>
          <w:szCs w:val="22"/>
        </w:rPr>
        <w:instrText xml:space="preserve"> REF _Ref33198253 \r \h </w:instrText>
      </w:r>
      <w:r>
        <w:rPr>
          <w:rFonts w:eastAsia="Arial Narrow" w:cs="Arial Narrow"/>
          <w:bCs/>
          <w:color w:val="000000"/>
          <w:sz w:val="22"/>
          <w:szCs w:val="22"/>
        </w:rPr>
      </w:r>
      <w:r>
        <w:rPr>
          <w:rFonts w:eastAsia="Arial Narrow" w:cs="Arial Narrow"/>
          <w:bCs/>
          <w:color w:val="000000"/>
          <w:sz w:val="22"/>
          <w:szCs w:val="22"/>
        </w:rPr>
        <w:fldChar w:fldCharType="separate"/>
      </w:r>
      <w:r w:rsidR="00FA29AF">
        <w:rPr>
          <w:rFonts w:eastAsia="Arial Narrow" w:cs="Arial Narrow"/>
          <w:bCs/>
          <w:color w:val="000000"/>
          <w:sz w:val="22"/>
          <w:szCs w:val="22"/>
        </w:rPr>
        <w:t>4</w:t>
      </w:r>
      <w:r>
        <w:rPr>
          <w:rFonts w:eastAsia="Arial Narrow" w:cs="Arial Narrow"/>
          <w:bCs/>
          <w:color w:val="000000"/>
          <w:sz w:val="22"/>
          <w:szCs w:val="22"/>
        </w:rPr>
        <w:fldChar w:fldCharType="end"/>
      </w:r>
      <w:r>
        <w:rPr>
          <w:rFonts w:eastAsia="Arial Narrow" w:cs="Arial Narrow"/>
          <w:bCs/>
          <w:color w:val="000000"/>
          <w:sz w:val="22"/>
          <w:szCs w:val="22"/>
        </w:rPr>
        <w:t>)</w:t>
      </w:r>
      <w:r w:rsidRPr="00452DBC">
        <w:rPr>
          <w:rFonts w:eastAsia="Arial Narrow" w:cs="Arial Narrow"/>
          <w:bCs/>
          <w:color w:val="000000"/>
          <w:sz w:val="22"/>
          <w:szCs w:val="22"/>
        </w:rPr>
        <w:t>.</w:t>
      </w:r>
      <w:r>
        <w:rPr>
          <w:rFonts w:eastAsia="Arial Narrow" w:cs="Arial Narrow"/>
          <w:bCs/>
          <w:color w:val="000000"/>
          <w:sz w:val="22"/>
          <w:szCs w:val="22"/>
        </w:rPr>
        <w:t xml:space="preserve"> </w:t>
      </w:r>
      <w:r w:rsidRPr="00452DBC">
        <w:rPr>
          <w:rFonts w:eastAsia="Arial Narrow" w:cs="Arial Narrow"/>
          <w:bCs/>
          <w:color w:val="000000"/>
          <w:sz w:val="22"/>
          <w:szCs w:val="22"/>
        </w:rPr>
        <w:t>Revízia navrhuje vypracovať nadrezortnú stratégiu ranej starostlivosti o deti v riziku v gescii úradu vlády, v súlade s ktorou by v budúcnosti mala byť legislatíva v jednotlivých rezortoch upravená tak, aby nárok na prístup k službám malo každé dieťa v riziku. Stratégia by sa tiež mala zaoberať otázkou vytvorenia nadrezortných štandardov a možnosťami spájania finančných zdrojov v odvetvovej pôsobnosti zainteresovaných rezortov v prospech jednotlivca.</w:t>
      </w:r>
    </w:p>
    <w:p w14:paraId="3BAEEEA0" w14:textId="5652F82F" w:rsidR="00A77283" w:rsidRPr="00A77283" w:rsidRDefault="00FE350B" w:rsidP="00452DBC">
      <w:pPr>
        <w:pStyle w:val="Textkomentra"/>
        <w:spacing w:line="259" w:lineRule="auto"/>
        <w:rPr>
          <w:b/>
          <w:szCs w:val="22"/>
        </w:rPr>
      </w:pPr>
      <w:r>
        <w:rPr>
          <w:b/>
          <w:sz w:val="22"/>
          <w:szCs w:val="22"/>
        </w:rPr>
        <w:t>2</w:t>
      </w:r>
      <w:r w:rsidR="00A77283" w:rsidRPr="00A77283">
        <w:rPr>
          <w:b/>
          <w:sz w:val="22"/>
          <w:szCs w:val="22"/>
        </w:rPr>
        <w:t xml:space="preserve">. Opatrenie: </w:t>
      </w:r>
      <w:r w:rsidR="00A77283" w:rsidRPr="00452DBC">
        <w:rPr>
          <w:b/>
          <w:bCs/>
          <w:sz w:val="22"/>
          <w:szCs w:val="22"/>
        </w:rPr>
        <w:t>Zohľadniť špecifiká ranej starostlivosti pri tvorbe štandardov školských zariadení poradenstva a prevencie.</w:t>
      </w:r>
      <w:r w:rsidR="00A77283" w:rsidRPr="00A77283">
        <w:rPr>
          <w:b/>
          <w:sz w:val="22"/>
          <w:szCs w:val="22"/>
        </w:rPr>
        <w:t xml:space="preserve"> </w:t>
      </w:r>
      <w:r w:rsidR="00A77283" w:rsidRPr="00452DBC">
        <w:rPr>
          <w:sz w:val="22"/>
          <w:szCs w:val="22"/>
        </w:rPr>
        <w:t>Štandardy pre poskytovanie starostlivosti v školských zariadeniach poradenstva a prevenc</w:t>
      </w:r>
      <w:r w:rsidR="00600740">
        <w:rPr>
          <w:sz w:val="22"/>
          <w:szCs w:val="22"/>
        </w:rPr>
        <w:t>ie sa aktuálne tvoria v rámci Národného projektu</w:t>
      </w:r>
      <w:r w:rsidR="00A77283" w:rsidRPr="00452DBC">
        <w:rPr>
          <w:sz w:val="22"/>
          <w:szCs w:val="22"/>
        </w:rPr>
        <w:t xml:space="preserve"> Štandardy. Nastavenie štandardov predstavuje jedno z kľúčových východísk aj pre nastavenie budúceho financovania poradenských zariadení. Revízia preto navrhuje, aby </w:t>
      </w:r>
      <w:r w:rsidR="00A77283" w:rsidRPr="00452DBC">
        <w:rPr>
          <w:rFonts w:eastAsia="Arial Narrow" w:cs="Arial Narrow"/>
          <w:color w:val="000000"/>
          <w:sz w:val="22"/>
          <w:szCs w:val="22"/>
        </w:rPr>
        <w:t>štandardy zohľadňovali špecifiká ranej starostlivosti, najmä terénny aspekt a časovú náročnosť výkonov. Tieto špecifiká treba následne zohľadniť v systéme financovania.</w:t>
      </w:r>
    </w:p>
    <w:p w14:paraId="53EF1BE4" w14:textId="60E83393" w:rsidR="004F1697" w:rsidRPr="00231BE7" w:rsidRDefault="004F1697" w:rsidP="004A2670">
      <w:pPr>
        <w:spacing w:before="200"/>
        <w:rPr>
          <w:bCs/>
          <w:color w:val="0070C0"/>
        </w:rPr>
      </w:pPr>
      <w:r w:rsidRPr="00231BE7">
        <w:rPr>
          <w:bCs/>
          <w:color w:val="0070C0"/>
        </w:rPr>
        <w:t>Predprimárne vzdelávanie</w:t>
      </w:r>
    </w:p>
    <w:p w14:paraId="089C44B4" w14:textId="531CC038" w:rsidR="00CE3549" w:rsidRPr="003333E2" w:rsidRDefault="00FE350B" w:rsidP="006B0C40">
      <w:pPr>
        <w:spacing w:before="240"/>
        <w:rPr>
          <w:szCs w:val="22"/>
        </w:rPr>
      </w:pPr>
      <w:r>
        <w:rPr>
          <w:b/>
          <w:szCs w:val="22"/>
        </w:rPr>
        <w:t>3</w:t>
      </w:r>
      <w:r w:rsidR="00CE3549">
        <w:rPr>
          <w:b/>
          <w:szCs w:val="22"/>
        </w:rPr>
        <w:t>. Opatrenie: Zadefinovať pojem segregácia</w:t>
      </w:r>
      <w:r w:rsidR="00437EEF">
        <w:rPr>
          <w:b/>
          <w:szCs w:val="22"/>
        </w:rPr>
        <w:t xml:space="preserve"> (platí pre všetky stupne vzdelávania)</w:t>
      </w:r>
      <w:r w:rsidR="00CE3549">
        <w:rPr>
          <w:b/>
          <w:szCs w:val="22"/>
        </w:rPr>
        <w:t xml:space="preserve">. </w:t>
      </w:r>
      <w:r w:rsidR="00CE3549" w:rsidRPr="003333E2">
        <w:rPr>
          <w:bCs/>
          <w:szCs w:val="22"/>
        </w:rPr>
        <w:t>Segregácia vo vzdelávaní je zakázaná</w:t>
      </w:r>
      <w:r w:rsidR="00CE3549" w:rsidRPr="003333E2">
        <w:rPr>
          <w:bCs/>
          <w:sz w:val="14"/>
          <w:szCs w:val="14"/>
        </w:rPr>
        <w:t xml:space="preserve">, </w:t>
      </w:r>
      <w:r w:rsidR="00CE3549" w:rsidRPr="003333E2">
        <w:rPr>
          <w:bCs/>
          <w:szCs w:val="22"/>
        </w:rPr>
        <w:t xml:space="preserve">školská legislatíva </w:t>
      </w:r>
      <w:r w:rsidR="00CE3549">
        <w:rPr>
          <w:bCs/>
          <w:szCs w:val="22"/>
        </w:rPr>
        <w:t xml:space="preserve">ani metodické usmernenia </w:t>
      </w:r>
      <w:r w:rsidR="00CE3549" w:rsidRPr="003333E2">
        <w:rPr>
          <w:bCs/>
          <w:szCs w:val="22"/>
        </w:rPr>
        <w:t>však presnejšie nedefinuj</w:t>
      </w:r>
      <w:r w:rsidR="00CE3549">
        <w:rPr>
          <w:bCs/>
          <w:szCs w:val="22"/>
        </w:rPr>
        <w:t>ú</w:t>
      </w:r>
      <w:r w:rsidR="00CE3549" w:rsidRPr="003333E2">
        <w:rPr>
          <w:bCs/>
          <w:szCs w:val="22"/>
        </w:rPr>
        <w:t xml:space="preserve">, aké konanie alebo nekonanie znaky segregácie napĺňa. </w:t>
      </w:r>
      <w:r w:rsidR="00CE3549">
        <w:rPr>
          <w:bCs/>
          <w:szCs w:val="22"/>
        </w:rPr>
        <w:t>Pre účinnú elimináciu tohto javu je nevyhnutné, aby tomuto pojmu rozumeli všetci aktéri vzdelávania.</w:t>
      </w:r>
    </w:p>
    <w:p w14:paraId="6E045014" w14:textId="56128E92" w:rsidR="00CE3549" w:rsidRPr="006F0002" w:rsidRDefault="00FE350B" w:rsidP="006B0C40">
      <w:pPr>
        <w:spacing w:before="240"/>
        <w:rPr>
          <w:szCs w:val="22"/>
        </w:rPr>
      </w:pPr>
      <w:r>
        <w:rPr>
          <w:b/>
          <w:szCs w:val="22"/>
        </w:rPr>
        <w:t>4</w:t>
      </w:r>
      <w:r w:rsidR="00CE3549" w:rsidRPr="009C4363">
        <w:rPr>
          <w:b/>
          <w:szCs w:val="22"/>
        </w:rPr>
        <w:t xml:space="preserve">. Opatrenie: </w:t>
      </w:r>
      <w:r w:rsidR="00CE3549" w:rsidRPr="009C4363">
        <w:rPr>
          <w:rFonts w:eastAsia="Times New Roman" w:cs="Times New Roman"/>
          <w:b/>
          <w:color w:val="000000"/>
          <w:szCs w:val="22"/>
          <w:lang w:eastAsia="sk-SK"/>
        </w:rPr>
        <w:t>Rozšíriť definíciu sociálne znevýhodneného prostredia</w:t>
      </w:r>
      <w:r w:rsidR="00437EEF">
        <w:rPr>
          <w:rFonts w:eastAsia="Times New Roman" w:cs="Times New Roman"/>
          <w:b/>
          <w:color w:val="000000"/>
          <w:szCs w:val="22"/>
          <w:lang w:eastAsia="sk-SK"/>
        </w:rPr>
        <w:t xml:space="preserve"> (platí pre materské a základné školy)</w:t>
      </w:r>
      <w:r w:rsidR="00CE3549" w:rsidRPr="009C4363">
        <w:rPr>
          <w:b/>
          <w:szCs w:val="22"/>
        </w:rPr>
        <w:t xml:space="preserve">. </w:t>
      </w:r>
      <w:r w:rsidR="00CE3549" w:rsidRPr="00AC3112">
        <w:t xml:space="preserve">Podmienky nároku </w:t>
      </w:r>
      <w:r w:rsidR="00CE3549">
        <w:t xml:space="preserve">na podporu pre deti zo </w:t>
      </w:r>
      <w:r w:rsidR="00437EEF">
        <w:t xml:space="preserve">sociálne znevýhodneného prostredia (SZP) </w:t>
      </w:r>
      <w:r w:rsidR="00CE3549">
        <w:t xml:space="preserve">zohľadňujú </w:t>
      </w:r>
      <w:r w:rsidR="00CE3549" w:rsidRPr="00AC3112">
        <w:t xml:space="preserve">takmer výlučne </w:t>
      </w:r>
      <w:r w:rsidR="00CE3549">
        <w:t>iba</w:t>
      </w:r>
      <w:r w:rsidR="00CE3549" w:rsidRPr="00AC3112">
        <w:t xml:space="preserve"> príjmovú situáciu rodiny dieťa</w:t>
      </w:r>
      <w:r w:rsidR="00CE3549">
        <w:t>ťa</w:t>
      </w:r>
      <w:r w:rsidR="00CE3549" w:rsidRPr="00AC3112">
        <w:t xml:space="preserve">, zatiaľ čo ostatné faktory uvedené v definícii SZP </w:t>
      </w:r>
      <w:r w:rsidR="00CE3549">
        <w:t>(sociálne, rodinné a kultúrne)</w:t>
      </w:r>
      <w:r w:rsidR="00CE3549" w:rsidRPr="00AC3112">
        <w:t xml:space="preserve"> nie sú brané do úvahy</w:t>
      </w:r>
      <w:r w:rsidR="00CE3549">
        <w:t xml:space="preserve">. </w:t>
      </w:r>
      <w:r w:rsidR="00CE3549" w:rsidRPr="001C7C62">
        <w:t>Príjmová situácia rodiny je navyše definovaná veľmi úzko – zahrnuté sú iba najchudobnejšie rodiny dôsledkom</w:t>
      </w:r>
      <w:r w:rsidR="00CE3549">
        <w:t xml:space="preserve"> čoho</w:t>
      </w:r>
      <w:r w:rsidR="00CE3549" w:rsidRPr="001C7C62">
        <w:t xml:space="preserve"> väčšina detí ohrozených chudobou alebo sociálnym vylúčením zostáva bez podpory</w:t>
      </w:r>
      <w:r w:rsidR="00437EEF">
        <w:t xml:space="preserve"> (úvod kapitoly </w:t>
      </w:r>
      <w:r w:rsidR="00437EEF">
        <w:fldChar w:fldCharType="begin"/>
      </w:r>
      <w:r w:rsidR="00437EEF">
        <w:instrText xml:space="preserve"> REF _Ref33191690 \r \h </w:instrText>
      </w:r>
      <w:r w:rsidR="00437EEF">
        <w:fldChar w:fldCharType="separate"/>
      </w:r>
      <w:r w:rsidR="00FA29AF">
        <w:t>5</w:t>
      </w:r>
      <w:r w:rsidR="00437EEF">
        <w:fldChar w:fldCharType="end"/>
      </w:r>
      <w:r w:rsidR="00437EEF">
        <w:t>)</w:t>
      </w:r>
      <w:r w:rsidR="00CE3549" w:rsidRPr="001C7C62">
        <w:t xml:space="preserve">. </w:t>
      </w:r>
      <w:r w:rsidR="00CE3549">
        <w:t xml:space="preserve">Nová, rozšírená definícia SZP by mala okrem príjmu zohľadňovať </w:t>
      </w:r>
      <w:r w:rsidR="00CE3549" w:rsidRPr="001C7C62">
        <w:t>aj ďalšie v zahraniční bežne používané charakteristiky ako napríklad najvyššie dosiahnuté vzdelanie rodičov, nezamestnanosť rodičov a odlišný materinský jazyk</w:t>
      </w:r>
      <w:r w:rsidR="00CE3549">
        <w:t xml:space="preserve">. Definícia by platila pre materské aj základné školy. Dodatočné výdavky z dôvodu širšej definície SZP sú zohľadnené vo výpočte nového navýšeného normatívu na žiakov zo SZP (hodnotové opatrenie </w:t>
      </w:r>
      <w:r w:rsidR="00437EEF">
        <w:t>6</w:t>
      </w:r>
      <w:r w:rsidR="00CE3549">
        <w:t>).</w:t>
      </w:r>
    </w:p>
    <w:p w14:paraId="3681134A" w14:textId="5922CA26" w:rsidR="00CE3549" w:rsidRDefault="00FE350B" w:rsidP="006B0C40">
      <w:pPr>
        <w:rPr>
          <w:bCs/>
        </w:rPr>
      </w:pPr>
      <w:r>
        <w:rPr>
          <w:b/>
          <w:szCs w:val="22"/>
        </w:rPr>
        <w:t>5</w:t>
      </w:r>
      <w:r w:rsidR="00CE3549" w:rsidRPr="009C4363">
        <w:rPr>
          <w:b/>
          <w:szCs w:val="22"/>
        </w:rPr>
        <w:t xml:space="preserve">. </w:t>
      </w:r>
      <w:r w:rsidR="00CE3549" w:rsidRPr="00AF0981">
        <w:rPr>
          <w:b/>
          <w:szCs w:val="22"/>
        </w:rPr>
        <w:t xml:space="preserve">Opatrenie: </w:t>
      </w:r>
      <w:r w:rsidR="00CE3549" w:rsidRPr="00AF0981">
        <w:rPr>
          <w:rFonts w:eastAsia="Times New Roman" w:cs="Times New Roman"/>
          <w:b/>
          <w:color w:val="000000"/>
          <w:szCs w:val="22"/>
          <w:lang w:eastAsia="sk-SK"/>
        </w:rPr>
        <w:t>Zrušiť ustanovenie o</w:t>
      </w:r>
      <w:r w:rsidR="00CE3549">
        <w:rPr>
          <w:rFonts w:eastAsia="Times New Roman" w:cs="Times New Roman"/>
          <w:b/>
          <w:color w:val="000000"/>
          <w:szCs w:val="22"/>
          <w:lang w:eastAsia="sk-SK"/>
        </w:rPr>
        <w:t> vytváraní menších tried</w:t>
      </w:r>
      <w:r w:rsidR="00CE3549" w:rsidRPr="00AF0981">
        <w:rPr>
          <w:rFonts w:eastAsia="Times New Roman" w:cs="Times New Roman"/>
          <w:b/>
          <w:color w:val="000000"/>
          <w:szCs w:val="22"/>
          <w:lang w:eastAsia="sk-SK"/>
        </w:rPr>
        <w:t xml:space="preserve"> určených </w:t>
      </w:r>
      <w:r w:rsidR="00CE3549">
        <w:rPr>
          <w:rFonts w:eastAsia="Times New Roman" w:cs="Times New Roman"/>
          <w:b/>
          <w:color w:val="000000"/>
          <w:szCs w:val="22"/>
          <w:lang w:eastAsia="sk-SK"/>
        </w:rPr>
        <w:t xml:space="preserve">výlučne </w:t>
      </w:r>
      <w:r w:rsidR="00CE3549" w:rsidRPr="00AF0981">
        <w:rPr>
          <w:rFonts w:eastAsia="Times New Roman" w:cs="Times New Roman"/>
          <w:b/>
          <w:color w:val="000000"/>
          <w:szCs w:val="22"/>
          <w:lang w:eastAsia="sk-SK"/>
        </w:rPr>
        <w:t>pre deti</w:t>
      </w:r>
      <w:r w:rsidR="00437EEF">
        <w:rPr>
          <w:rFonts w:eastAsia="Times New Roman" w:cs="Times New Roman"/>
          <w:b/>
          <w:color w:val="000000"/>
          <w:szCs w:val="22"/>
          <w:lang w:eastAsia="sk-SK"/>
        </w:rPr>
        <w:t xml:space="preserve"> zo sociálne znevýhodneného prostredia</w:t>
      </w:r>
      <w:r w:rsidR="00CE3549" w:rsidRPr="00AF0981">
        <w:rPr>
          <w:rFonts w:eastAsia="Times New Roman" w:cs="Times New Roman"/>
          <w:b/>
          <w:color w:val="000000"/>
          <w:szCs w:val="22"/>
          <w:lang w:eastAsia="sk-SK"/>
        </w:rPr>
        <w:t>.</w:t>
      </w:r>
      <w:r w:rsidR="00CE3549" w:rsidRPr="009C4363">
        <w:rPr>
          <w:rFonts w:eastAsia="Times New Roman" w:cs="Times New Roman"/>
          <w:b/>
          <w:color w:val="000000"/>
          <w:szCs w:val="22"/>
          <w:lang w:eastAsia="sk-SK"/>
        </w:rPr>
        <w:t xml:space="preserve"> </w:t>
      </w:r>
      <w:r w:rsidR="00CE3549">
        <w:t>Toto ustanovenie patrí p</w:t>
      </w:r>
      <w:r w:rsidR="00CE3549" w:rsidRPr="00C5575C">
        <w:t xml:space="preserve">od úpravu organizácie vzdelávania </w:t>
      </w:r>
      <w:r w:rsidR="00CE3549">
        <w:t xml:space="preserve">v materských školách. </w:t>
      </w:r>
      <w:r w:rsidR="00CE3549">
        <w:rPr>
          <w:bCs/>
        </w:rPr>
        <w:t xml:space="preserve">Napriek tomu, že </w:t>
      </w:r>
      <w:r w:rsidR="00437EEF">
        <w:rPr>
          <w:bCs/>
        </w:rPr>
        <w:t xml:space="preserve">školy </w:t>
      </w:r>
      <w:r w:rsidR="00CE3549">
        <w:rPr>
          <w:bCs/>
        </w:rPr>
        <w:t xml:space="preserve">túto možnosť aktuálne nevyužívajú, po zavedení povinnej školskej dochádzky od 5 rokov veku dieťaťa a výsledného zvýšenia počtu predškolákov zo </w:t>
      </w:r>
      <w:r w:rsidR="00437EEF">
        <w:rPr>
          <w:bCs/>
        </w:rPr>
        <w:t xml:space="preserve">sociálne znevýhodneného prostredia </w:t>
      </w:r>
      <w:r w:rsidR="00CE3549">
        <w:rPr>
          <w:bCs/>
        </w:rPr>
        <w:t xml:space="preserve">môže slúžiť ako zámienka na segregáciu znevýhodnených detí v materských školách. </w:t>
      </w:r>
      <w:r w:rsidR="00437EEF">
        <w:rPr>
          <w:bCs/>
        </w:rPr>
        <w:t>M</w:t>
      </w:r>
      <w:r w:rsidR="00CE3549" w:rsidRPr="00C5575C">
        <w:rPr>
          <w:bCs/>
        </w:rPr>
        <w:t>edzinárodn</w:t>
      </w:r>
      <w:r w:rsidR="00437EEF">
        <w:rPr>
          <w:bCs/>
        </w:rPr>
        <w:t>é</w:t>
      </w:r>
      <w:r w:rsidR="00CE3549" w:rsidRPr="00B449B1">
        <w:rPr>
          <w:bCs/>
        </w:rPr>
        <w:t xml:space="preserve"> výskum</w:t>
      </w:r>
      <w:r w:rsidR="00437EEF">
        <w:rPr>
          <w:bCs/>
        </w:rPr>
        <w:t>y</w:t>
      </w:r>
      <w:r w:rsidR="00CE3549" w:rsidRPr="00B449B1">
        <w:rPr>
          <w:bCs/>
        </w:rPr>
        <w:t xml:space="preserve"> pritom potvrdzuj</w:t>
      </w:r>
      <w:r w:rsidR="00437EEF">
        <w:rPr>
          <w:bCs/>
        </w:rPr>
        <w:t>ú</w:t>
      </w:r>
      <w:r w:rsidR="00CE3549" w:rsidRPr="00B449B1">
        <w:rPr>
          <w:bCs/>
        </w:rPr>
        <w:t>, že koncentrovanie znevýhodnených detí v triedach a školách má negatívny dopad na kvalitu vzdelávania</w:t>
      </w:r>
      <w:r w:rsidR="00E02C93">
        <w:rPr>
          <w:bCs/>
        </w:rPr>
        <w:t xml:space="preserve"> (podkapitola </w:t>
      </w:r>
      <w:r w:rsidR="00E02C93">
        <w:rPr>
          <w:bCs/>
        </w:rPr>
        <w:fldChar w:fldCharType="begin"/>
      </w:r>
      <w:r w:rsidR="00E02C93">
        <w:rPr>
          <w:bCs/>
        </w:rPr>
        <w:instrText xml:space="preserve"> REF _Ref25310222 \r \h </w:instrText>
      </w:r>
      <w:r w:rsidR="00E02C93">
        <w:rPr>
          <w:bCs/>
        </w:rPr>
      </w:r>
      <w:r w:rsidR="00E02C93">
        <w:rPr>
          <w:bCs/>
        </w:rPr>
        <w:fldChar w:fldCharType="separate"/>
      </w:r>
      <w:r w:rsidR="00FA29AF">
        <w:rPr>
          <w:bCs/>
        </w:rPr>
        <w:t>5.1</w:t>
      </w:r>
      <w:r w:rsidR="00E02C93">
        <w:rPr>
          <w:bCs/>
        </w:rPr>
        <w:fldChar w:fldCharType="end"/>
      </w:r>
      <w:r w:rsidR="00E02C93">
        <w:rPr>
          <w:bCs/>
        </w:rPr>
        <w:t>)</w:t>
      </w:r>
      <w:r w:rsidR="00CE3549" w:rsidRPr="00B449B1">
        <w:rPr>
          <w:bCs/>
        </w:rPr>
        <w:t>.</w:t>
      </w:r>
    </w:p>
    <w:p w14:paraId="3F984C13" w14:textId="316E36D1" w:rsidR="00DF2DF6" w:rsidRPr="00B36BCB" w:rsidRDefault="00FE350B" w:rsidP="00DF2DF6">
      <w:pPr>
        <w:pStyle w:val="Textkomentra"/>
        <w:spacing w:line="259" w:lineRule="auto"/>
        <w:rPr>
          <w:bCs/>
          <w:sz w:val="22"/>
          <w:szCs w:val="22"/>
        </w:rPr>
      </w:pPr>
      <w:r>
        <w:rPr>
          <w:b/>
          <w:bCs/>
          <w:sz w:val="22"/>
          <w:szCs w:val="22"/>
        </w:rPr>
        <w:t>6</w:t>
      </w:r>
      <w:r w:rsidR="00DF2DF6" w:rsidRPr="00B36BCB">
        <w:rPr>
          <w:b/>
          <w:bCs/>
          <w:sz w:val="22"/>
          <w:szCs w:val="22"/>
        </w:rPr>
        <w:t xml:space="preserve">. Zrušiť ustanovenie o zaradení maximálne dvoch detí so špeciálnymi potrebami v jednej triede </w:t>
      </w:r>
      <w:r w:rsidR="00DF2DF6">
        <w:rPr>
          <w:b/>
          <w:bCs/>
          <w:sz w:val="22"/>
          <w:szCs w:val="22"/>
        </w:rPr>
        <w:t>materskej školy</w:t>
      </w:r>
      <w:r w:rsidR="00DF2DF6" w:rsidRPr="00B36BCB">
        <w:rPr>
          <w:b/>
          <w:bCs/>
          <w:sz w:val="22"/>
          <w:szCs w:val="22"/>
        </w:rPr>
        <w:t>.</w:t>
      </w:r>
      <w:r w:rsidR="00DF2DF6" w:rsidRPr="00B36BCB">
        <w:rPr>
          <w:sz w:val="22"/>
          <w:szCs w:val="22"/>
        </w:rPr>
        <w:t xml:space="preserve"> </w:t>
      </w:r>
      <w:r w:rsidR="00DF2DF6" w:rsidRPr="00B36BCB">
        <w:rPr>
          <w:bCs/>
          <w:sz w:val="22"/>
          <w:szCs w:val="22"/>
        </w:rPr>
        <w:t>Po zavedení povinného predprimárneho vzdelávania sa počet detí so špeciálnymi potrebami v</w:t>
      </w:r>
      <w:r w:rsidR="00DF2DF6">
        <w:rPr>
          <w:bCs/>
          <w:sz w:val="22"/>
          <w:szCs w:val="22"/>
        </w:rPr>
        <w:t> materských školách</w:t>
      </w:r>
      <w:r w:rsidR="00DF2DF6" w:rsidRPr="00B36BCB">
        <w:rPr>
          <w:bCs/>
          <w:sz w:val="22"/>
          <w:szCs w:val="22"/>
        </w:rPr>
        <w:t xml:space="preserve"> zvýši a</w:t>
      </w:r>
      <w:r w:rsidR="00DF2DF6">
        <w:rPr>
          <w:bCs/>
          <w:sz w:val="22"/>
          <w:szCs w:val="22"/>
        </w:rPr>
        <w:t> toto ustanovenie</w:t>
      </w:r>
      <w:r w:rsidR="00DF2DF6" w:rsidRPr="00B36BCB">
        <w:rPr>
          <w:bCs/>
          <w:sz w:val="22"/>
          <w:szCs w:val="22"/>
        </w:rPr>
        <w:t xml:space="preserve"> sa môže v niektorých lokalitách s vyšším výskytom sociálneho (a zdravotného) znevýhodnenia stať ner</w:t>
      </w:r>
      <w:r w:rsidR="00B57EB5">
        <w:rPr>
          <w:bCs/>
          <w:sz w:val="22"/>
          <w:szCs w:val="22"/>
        </w:rPr>
        <w:t>e</w:t>
      </w:r>
      <w:r w:rsidR="00DF2DF6" w:rsidRPr="00B36BCB">
        <w:rPr>
          <w:bCs/>
          <w:sz w:val="22"/>
          <w:szCs w:val="22"/>
        </w:rPr>
        <w:t>alizovateľným</w:t>
      </w:r>
      <w:r w:rsidR="00DF2DF6">
        <w:rPr>
          <w:bCs/>
          <w:sz w:val="22"/>
          <w:szCs w:val="22"/>
        </w:rPr>
        <w:t xml:space="preserve"> (podkapitola </w:t>
      </w:r>
      <w:r w:rsidR="00DF2DF6">
        <w:rPr>
          <w:bCs/>
          <w:sz w:val="22"/>
          <w:szCs w:val="22"/>
        </w:rPr>
        <w:fldChar w:fldCharType="begin"/>
      </w:r>
      <w:r w:rsidR="00DF2DF6">
        <w:rPr>
          <w:bCs/>
          <w:sz w:val="22"/>
          <w:szCs w:val="22"/>
        </w:rPr>
        <w:instrText xml:space="preserve"> REF _Ref25310222 \r \h </w:instrText>
      </w:r>
      <w:r w:rsidR="00DF2DF6">
        <w:rPr>
          <w:bCs/>
          <w:sz w:val="22"/>
          <w:szCs w:val="22"/>
        </w:rPr>
      </w:r>
      <w:r w:rsidR="00DF2DF6">
        <w:rPr>
          <w:bCs/>
          <w:sz w:val="22"/>
          <w:szCs w:val="22"/>
        </w:rPr>
        <w:fldChar w:fldCharType="separate"/>
      </w:r>
      <w:r w:rsidR="00FA29AF">
        <w:rPr>
          <w:bCs/>
          <w:sz w:val="22"/>
          <w:szCs w:val="22"/>
        </w:rPr>
        <w:t>5.1</w:t>
      </w:r>
      <w:r w:rsidR="00DF2DF6">
        <w:rPr>
          <w:bCs/>
          <w:sz w:val="22"/>
          <w:szCs w:val="22"/>
        </w:rPr>
        <w:fldChar w:fldCharType="end"/>
      </w:r>
      <w:r w:rsidR="00DF2DF6">
        <w:rPr>
          <w:bCs/>
          <w:sz w:val="22"/>
          <w:szCs w:val="22"/>
        </w:rPr>
        <w:t>)</w:t>
      </w:r>
      <w:r w:rsidR="00DF2DF6" w:rsidRPr="00B36BCB">
        <w:rPr>
          <w:bCs/>
          <w:sz w:val="22"/>
          <w:szCs w:val="22"/>
        </w:rPr>
        <w:t xml:space="preserve">. Revízia navrhuje toto ustanovenie zrušiť a v súvislosti s distribúciou </w:t>
      </w:r>
      <w:r w:rsidR="00864A53">
        <w:rPr>
          <w:bCs/>
          <w:sz w:val="22"/>
          <w:szCs w:val="22"/>
        </w:rPr>
        <w:t>detí so špeciálnymi potrebami materské školy</w:t>
      </w:r>
      <w:r w:rsidR="00DF2DF6" w:rsidRPr="00B36BCB">
        <w:rPr>
          <w:bCs/>
          <w:sz w:val="22"/>
          <w:szCs w:val="22"/>
        </w:rPr>
        <w:t xml:space="preserve"> metodicky usmerniť.</w:t>
      </w:r>
    </w:p>
    <w:p w14:paraId="7276861A" w14:textId="4400E844" w:rsidR="00AC1BC2" w:rsidRDefault="00FE350B" w:rsidP="00452DBC">
      <w:pPr>
        <w:rPr>
          <w:bCs/>
        </w:rPr>
      </w:pPr>
      <w:r>
        <w:rPr>
          <w:b/>
          <w:szCs w:val="22"/>
        </w:rPr>
        <w:t>7</w:t>
      </w:r>
      <w:r w:rsidR="00CE3549" w:rsidRPr="00452DBC">
        <w:rPr>
          <w:b/>
          <w:szCs w:val="22"/>
        </w:rPr>
        <w:t xml:space="preserve">. Opatrenie: </w:t>
      </w:r>
      <w:r w:rsidR="00A27BFF" w:rsidRPr="00AC1BC2">
        <w:rPr>
          <w:b/>
          <w:bCs/>
        </w:rPr>
        <w:t xml:space="preserve">Ustanoviť prechodné obdobie </w:t>
      </w:r>
      <w:r w:rsidR="004F4C0B" w:rsidRPr="00E41495">
        <w:rPr>
          <w:b/>
        </w:rPr>
        <w:t xml:space="preserve">pre </w:t>
      </w:r>
      <w:r w:rsidR="004F4C0B">
        <w:rPr>
          <w:b/>
        </w:rPr>
        <w:t xml:space="preserve">pomocných vychovávateľov na </w:t>
      </w:r>
      <w:r w:rsidR="004F4C0B" w:rsidRPr="00E41495">
        <w:rPr>
          <w:b/>
        </w:rPr>
        <w:t>dosiahnutie kvalifikačného predpokladu stredné</w:t>
      </w:r>
      <w:r w:rsidR="002E4400">
        <w:rPr>
          <w:b/>
        </w:rPr>
        <w:t>ho</w:t>
      </w:r>
      <w:r w:rsidR="004F4C0B" w:rsidRPr="00E41495">
        <w:rPr>
          <w:b/>
        </w:rPr>
        <w:t xml:space="preserve"> vzdelani</w:t>
      </w:r>
      <w:r w:rsidR="002E4400">
        <w:rPr>
          <w:b/>
        </w:rPr>
        <w:t>a</w:t>
      </w:r>
      <w:r w:rsidR="00CE3549" w:rsidRPr="00452DBC">
        <w:rPr>
          <w:rFonts w:eastAsia="Times New Roman" w:cs="Times New Roman"/>
          <w:b/>
          <w:color w:val="000000"/>
          <w:szCs w:val="22"/>
          <w:lang w:eastAsia="sk-SK"/>
        </w:rPr>
        <w:t xml:space="preserve">. </w:t>
      </w:r>
      <w:r w:rsidR="00437EEF">
        <w:rPr>
          <w:bCs/>
        </w:rPr>
        <w:t>Jednou z bariér</w:t>
      </w:r>
      <w:r w:rsidR="00437EEF" w:rsidRPr="00452DBC">
        <w:rPr>
          <w:bCs/>
        </w:rPr>
        <w:t xml:space="preserve"> </w:t>
      </w:r>
      <w:r w:rsidR="00CE3549" w:rsidRPr="00452DBC">
        <w:rPr>
          <w:bCs/>
        </w:rPr>
        <w:t>pri zamestnávaní pedagogických asistentov/pomocných vychovávateľov</w:t>
      </w:r>
      <w:r w:rsidR="00AC1BC2">
        <w:rPr>
          <w:bCs/>
        </w:rPr>
        <w:t xml:space="preserve"> z prostredia MRK</w:t>
      </w:r>
      <w:r w:rsidR="00CE3549" w:rsidRPr="00452DBC">
        <w:rPr>
          <w:bCs/>
        </w:rPr>
        <w:t xml:space="preserve"> môž</w:t>
      </w:r>
      <w:r w:rsidR="00E02C93">
        <w:rPr>
          <w:bCs/>
        </w:rPr>
        <w:t>e</w:t>
      </w:r>
      <w:r w:rsidR="00CE3549" w:rsidRPr="00452DBC">
        <w:rPr>
          <w:bCs/>
        </w:rPr>
        <w:t xml:space="preserve"> byť kvalifikačn</w:t>
      </w:r>
      <w:r w:rsidR="00E02C93">
        <w:rPr>
          <w:bCs/>
        </w:rPr>
        <w:t>á</w:t>
      </w:r>
      <w:r w:rsidR="00CE3549" w:rsidRPr="00452DBC">
        <w:rPr>
          <w:bCs/>
        </w:rPr>
        <w:t xml:space="preserve"> požiadavk</w:t>
      </w:r>
      <w:r w:rsidR="00E02C93">
        <w:rPr>
          <w:bCs/>
        </w:rPr>
        <w:t>a ukončeného</w:t>
      </w:r>
      <w:r w:rsidR="00CE3549" w:rsidRPr="00452DBC">
        <w:rPr>
          <w:bCs/>
        </w:rPr>
        <w:t xml:space="preserve"> úplné</w:t>
      </w:r>
      <w:r w:rsidR="00E02C93">
        <w:rPr>
          <w:bCs/>
        </w:rPr>
        <w:t>ho</w:t>
      </w:r>
      <w:r w:rsidR="00CE3549" w:rsidRPr="00452DBC">
        <w:rPr>
          <w:bCs/>
        </w:rPr>
        <w:t xml:space="preserve"> stredné</w:t>
      </w:r>
      <w:r w:rsidR="00E02C93">
        <w:rPr>
          <w:bCs/>
        </w:rPr>
        <w:t>ho</w:t>
      </w:r>
      <w:r w:rsidR="00CE3549" w:rsidRPr="00452DBC">
        <w:rPr>
          <w:bCs/>
        </w:rPr>
        <w:t xml:space="preserve"> vzdelani</w:t>
      </w:r>
      <w:r w:rsidR="00E02C93">
        <w:rPr>
          <w:bCs/>
        </w:rPr>
        <w:t>a</w:t>
      </w:r>
      <w:r w:rsidR="00CE3549" w:rsidRPr="00452DBC">
        <w:rPr>
          <w:bCs/>
        </w:rPr>
        <w:t>. Podľa údajov UNDP (2012) túto požiadavku spĺňa iba 17,3 % ľudí z prostredia MRK</w:t>
      </w:r>
      <w:r w:rsidR="00BA1CD6">
        <w:rPr>
          <w:bCs/>
        </w:rPr>
        <w:t xml:space="preserve"> (podkapitola </w:t>
      </w:r>
      <w:r w:rsidR="00BA1CD6">
        <w:rPr>
          <w:bCs/>
        </w:rPr>
        <w:fldChar w:fldCharType="begin"/>
      </w:r>
      <w:r w:rsidR="00BA1CD6">
        <w:rPr>
          <w:bCs/>
        </w:rPr>
        <w:instrText xml:space="preserve"> REF _Ref25310222 \r \h </w:instrText>
      </w:r>
      <w:r w:rsidR="00BA1CD6">
        <w:rPr>
          <w:bCs/>
        </w:rPr>
      </w:r>
      <w:r w:rsidR="00BA1CD6">
        <w:rPr>
          <w:bCs/>
        </w:rPr>
        <w:fldChar w:fldCharType="separate"/>
      </w:r>
      <w:r w:rsidR="00FA29AF">
        <w:rPr>
          <w:bCs/>
        </w:rPr>
        <w:t>5.1</w:t>
      </w:r>
      <w:r w:rsidR="00BA1CD6">
        <w:rPr>
          <w:bCs/>
        </w:rPr>
        <w:fldChar w:fldCharType="end"/>
      </w:r>
      <w:r w:rsidR="00BA1CD6">
        <w:rPr>
          <w:bCs/>
        </w:rPr>
        <w:t>)</w:t>
      </w:r>
      <w:r w:rsidR="00CE3549" w:rsidRPr="00452DBC">
        <w:rPr>
          <w:bCs/>
        </w:rPr>
        <w:t xml:space="preserve">. Vzhľadom </w:t>
      </w:r>
      <w:r w:rsidR="00CE3549" w:rsidRPr="00452DBC">
        <w:rPr>
          <w:bCs/>
        </w:rPr>
        <w:lastRenderedPageBreak/>
        <w:t xml:space="preserve">na nepedagogický charakter činností, ktoré vykonávajú pomocní vychovávatelia, by bolo možné tento kvalifikačný predpoklad v ich prípade </w:t>
      </w:r>
      <w:r w:rsidR="00AC1BC2">
        <w:rPr>
          <w:bCs/>
        </w:rPr>
        <w:t xml:space="preserve">dočasne </w:t>
      </w:r>
      <w:r w:rsidR="00CE3549" w:rsidRPr="00452DBC">
        <w:rPr>
          <w:bCs/>
        </w:rPr>
        <w:t xml:space="preserve">znížiť </w:t>
      </w:r>
      <w:r w:rsidR="00A27BFF" w:rsidRPr="00452DBC">
        <w:rPr>
          <w:bCs/>
        </w:rPr>
        <w:t xml:space="preserve">pri vstupe do zamestnania </w:t>
      </w:r>
      <w:r w:rsidR="00CE3549" w:rsidRPr="00452DBC">
        <w:rPr>
          <w:bCs/>
        </w:rPr>
        <w:t xml:space="preserve">na nižšie stredné vzdelanie (ISCED 2). </w:t>
      </w:r>
      <w:r w:rsidR="00A27BFF" w:rsidRPr="00452DBC">
        <w:rPr>
          <w:bCs/>
        </w:rPr>
        <w:t xml:space="preserve">Pomocným vychovávateľom bez ukončeného úplného stredného vzdelania by sa </w:t>
      </w:r>
      <w:r w:rsidR="00AC1BC2">
        <w:rPr>
          <w:bCs/>
        </w:rPr>
        <w:t xml:space="preserve">pri vstupe do zamestnania stanovila povinnosť </w:t>
      </w:r>
      <w:r w:rsidR="00AC1BC2">
        <w:rPr>
          <w:rFonts w:eastAsia="Times New Roman" w:cs="Times New Roman"/>
          <w:color w:val="000000"/>
          <w:szCs w:val="22"/>
          <w:lang w:eastAsia="sk-SK"/>
        </w:rPr>
        <w:t xml:space="preserve">absolvovať </w:t>
      </w:r>
      <w:r w:rsidR="00E20B6D">
        <w:rPr>
          <w:rFonts w:eastAsia="Times New Roman" w:cs="Times New Roman"/>
          <w:color w:val="000000"/>
          <w:szCs w:val="22"/>
          <w:lang w:eastAsia="sk-SK"/>
        </w:rPr>
        <w:t>základnú prípravu</w:t>
      </w:r>
      <w:r w:rsidR="00AC1BC2">
        <w:rPr>
          <w:rFonts w:eastAsia="Times New Roman" w:cs="Times New Roman"/>
          <w:color w:val="000000"/>
          <w:szCs w:val="22"/>
          <w:lang w:eastAsia="sk-SK"/>
        </w:rPr>
        <w:t xml:space="preserve"> pre prácu s deťmi v</w:t>
      </w:r>
      <w:r w:rsidR="00E02C93">
        <w:rPr>
          <w:rFonts w:eastAsia="Times New Roman" w:cs="Times New Roman"/>
          <w:color w:val="000000"/>
          <w:szCs w:val="22"/>
          <w:lang w:eastAsia="sk-SK"/>
        </w:rPr>
        <w:t> materskej škole</w:t>
      </w:r>
      <w:r w:rsidR="0080427D">
        <w:rPr>
          <w:rFonts w:eastAsia="Times New Roman" w:cs="Times New Roman"/>
          <w:color w:val="000000"/>
          <w:szCs w:val="22"/>
          <w:lang w:eastAsia="sk-SK"/>
        </w:rPr>
        <w:t xml:space="preserve"> </w:t>
      </w:r>
      <w:r w:rsidR="0080427D">
        <w:rPr>
          <w:bCs/>
        </w:rPr>
        <w:t>(hodnotové opatrenie 4)</w:t>
      </w:r>
      <w:r w:rsidR="00AC1BC2">
        <w:rPr>
          <w:rFonts w:eastAsia="Times New Roman" w:cs="Times New Roman"/>
          <w:color w:val="000000"/>
          <w:szCs w:val="22"/>
          <w:lang w:eastAsia="sk-SK"/>
        </w:rPr>
        <w:t xml:space="preserve"> a počas prechodného obdobia </w:t>
      </w:r>
      <w:r w:rsidR="00AC1BC2" w:rsidRPr="00E41495">
        <w:rPr>
          <w:bCs/>
        </w:rPr>
        <w:t>nadobudnúť</w:t>
      </w:r>
      <w:r w:rsidR="007F6878">
        <w:rPr>
          <w:bCs/>
        </w:rPr>
        <w:t xml:space="preserve"> úplné</w:t>
      </w:r>
      <w:r w:rsidR="00AC1BC2" w:rsidRPr="00E41495">
        <w:rPr>
          <w:bCs/>
        </w:rPr>
        <w:t xml:space="preserve"> </w:t>
      </w:r>
      <w:r w:rsidR="007F6878">
        <w:rPr>
          <w:bCs/>
        </w:rPr>
        <w:t>stredné vzdelanie</w:t>
      </w:r>
      <w:r w:rsidR="00AC1BC2">
        <w:rPr>
          <w:bCs/>
        </w:rPr>
        <w:t>.</w:t>
      </w:r>
    </w:p>
    <w:p w14:paraId="3A98D445" w14:textId="65C35EC3" w:rsidR="004322CF" w:rsidRDefault="00FE350B" w:rsidP="006B0C40">
      <w:pPr>
        <w:spacing w:before="200"/>
        <w:rPr>
          <w:bCs/>
        </w:rPr>
      </w:pPr>
      <w:r>
        <w:rPr>
          <w:b/>
        </w:rPr>
        <w:t>8</w:t>
      </w:r>
      <w:r w:rsidR="004322CF" w:rsidRPr="003D39FC">
        <w:rPr>
          <w:b/>
        </w:rPr>
        <w:t xml:space="preserve">. Opatrenie: </w:t>
      </w:r>
      <w:r w:rsidR="004322CF" w:rsidRPr="003D39FC">
        <w:rPr>
          <w:rFonts w:eastAsia="Times New Roman" w:cs="Times New Roman"/>
          <w:b/>
          <w:color w:val="000000"/>
          <w:lang w:eastAsia="sk-SK"/>
        </w:rPr>
        <w:t xml:space="preserve">Zrušiť možnosť rozhodnúť o neprijatí dieťaťa so </w:t>
      </w:r>
      <w:r w:rsidR="00BA1CD6">
        <w:rPr>
          <w:rFonts w:eastAsia="Times New Roman" w:cs="Times New Roman"/>
          <w:b/>
          <w:color w:val="000000"/>
          <w:lang w:eastAsia="sk-SK"/>
        </w:rPr>
        <w:t>zdravotným znevýhodnením</w:t>
      </w:r>
      <w:r w:rsidR="004322CF" w:rsidRPr="003D39FC">
        <w:rPr>
          <w:rFonts w:eastAsia="Times New Roman" w:cs="Times New Roman"/>
          <w:b/>
          <w:color w:val="000000"/>
          <w:lang w:eastAsia="sk-SK"/>
        </w:rPr>
        <w:t xml:space="preserve"> do </w:t>
      </w:r>
      <w:r w:rsidR="00BA1CD6">
        <w:rPr>
          <w:rFonts w:eastAsia="Times New Roman" w:cs="Times New Roman"/>
          <w:b/>
          <w:color w:val="000000"/>
          <w:lang w:eastAsia="sk-SK"/>
        </w:rPr>
        <w:t>materskej školy</w:t>
      </w:r>
      <w:r w:rsidR="004322CF" w:rsidRPr="003D39FC">
        <w:rPr>
          <w:rFonts w:eastAsia="Times New Roman" w:cs="Times New Roman"/>
          <w:color w:val="000000"/>
          <w:sz w:val="20"/>
          <w:lang w:eastAsia="sk-SK"/>
        </w:rPr>
        <w:t>.</w:t>
      </w:r>
      <w:r w:rsidR="004322CF" w:rsidRPr="003D39FC">
        <w:rPr>
          <w:rFonts w:eastAsia="Times New Roman" w:cs="Times New Roman"/>
          <w:color w:val="000000"/>
          <w:lang w:eastAsia="sk-SK"/>
        </w:rPr>
        <w:t xml:space="preserve"> </w:t>
      </w:r>
      <w:r w:rsidR="004322CF" w:rsidRPr="003D39FC">
        <w:rPr>
          <w:bCs/>
        </w:rPr>
        <w:t>Riaditelia bežných materských škôl</w:t>
      </w:r>
      <w:r w:rsidR="004322CF" w:rsidRPr="009A427A">
        <w:rPr>
          <w:bCs/>
        </w:rPr>
        <w:t xml:space="preserve"> majú v súčasnosti možnosť dieťa so zdravotným znevýhodnením neprijať a kapacity špeciálnych materských škôl ako aj ich dostupnosť vo vzťahu k deťom s rôznymi druhmi zdravotného znevýhodnenia zostávajú obmedzené. Tento stav je v rozpore s našimi záväzkami podporovať inkluzívne vzdelávanie a de facto zabraňuje účasti niektorých detí so zdravotným zn</w:t>
      </w:r>
      <w:r w:rsidR="002709F1">
        <w:rPr>
          <w:bCs/>
        </w:rPr>
        <w:t>evýhodnením na </w:t>
      </w:r>
      <w:r w:rsidR="004322CF" w:rsidRPr="009A427A">
        <w:rPr>
          <w:bCs/>
        </w:rPr>
        <w:t>predprimárnom vzdelávaní. Je pritom preukázané, že deti so znevýhodneniami benefitujú z účasti na kvalitnom predprimárnom vzdelávaní najviac</w:t>
      </w:r>
      <w:r w:rsidR="003B45BE">
        <w:rPr>
          <w:bCs/>
        </w:rPr>
        <w:t xml:space="preserve"> (podkapitola </w:t>
      </w:r>
      <w:r w:rsidR="003B45BE">
        <w:rPr>
          <w:bCs/>
        </w:rPr>
        <w:fldChar w:fldCharType="begin"/>
      </w:r>
      <w:r w:rsidR="003B45BE">
        <w:rPr>
          <w:bCs/>
        </w:rPr>
        <w:instrText xml:space="preserve"> REF _Ref25756903 \r \h </w:instrText>
      </w:r>
      <w:r w:rsidR="003B45BE">
        <w:rPr>
          <w:bCs/>
        </w:rPr>
      </w:r>
      <w:r w:rsidR="003B45BE">
        <w:rPr>
          <w:bCs/>
        </w:rPr>
        <w:fldChar w:fldCharType="separate"/>
      </w:r>
      <w:r w:rsidR="00FA29AF">
        <w:rPr>
          <w:bCs/>
        </w:rPr>
        <w:t>6.1</w:t>
      </w:r>
      <w:r w:rsidR="003B45BE">
        <w:rPr>
          <w:bCs/>
        </w:rPr>
        <w:fldChar w:fldCharType="end"/>
      </w:r>
      <w:r w:rsidR="003B45BE">
        <w:rPr>
          <w:bCs/>
        </w:rPr>
        <w:t>)</w:t>
      </w:r>
      <w:r w:rsidR="004322CF" w:rsidRPr="009A427A">
        <w:rPr>
          <w:bCs/>
        </w:rPr>
        <w:t xml:space="preserve">. Realizácii opatrenia by mala predchádzať implementácia viacerých opatrení na podporu detí so </w:t>
      </w:r>
      <w:r w:rsidR="00BA1CD6">
        <w:rPr>
          <w:bCs/>
        </w:rPr>
        <w:t>zdravotným znevýhodnením</w:t>
      </w:r>
      <w:r w:rsidR="00BA1CD6" w:rsidRPr="009A427A">
        <w:rPr>
          <w:bCs/>
        </w:rPr>
        <w:t xml:space="preserve"> </w:t>
      </w:r>
      <w:r w:rsidR="004322CF" w:rsidRPr="009A427A">
        <w:rPr>
          <w:bCs/>
        </w:rPr>
        <w:t xml:space="preserve">v bežných </w:t>
      </w:r>
      <w:r w:rsidR="00BA1CD6">
        <w:rPr>
          <w:bCs/>
        </w:rPr>
        <w:t>materských školách</w:t>
      </w:r>
      <w:r w:rsidR="004322CF" w:rsidRPr="009A427A">
        <w:rPr>
          <w:bCs/>
        </w:rPr>
        <w:t xml:space="preserve"> uvedených v revízii.</w:t>
      </w:r>
    </w:p>
    <w:p w14:paraId="1662ED1D" w14:textId="690BED55" w:rsidR="004F1697" w:rsidRPr="00231BE7" w:rsidRDefault="004F1697" w:rsidP="006B0C40">
      <w:pPr>
        <w:spacing w:before="200"/>
        <w:rPr>
          <w:bCs/>
          <w:color w:val="0070C0"/>
        </w:rPr>
      </w:pPr>
      <w:r w:rsidRPr="00231BE7">
        <w:rPr>
          <w:bCs/>
          <w:color w:val="0070C0"/>
        </w:rPr>
        <w:t>Vzdelávanie v základných a stredných školách</w:t>
      </w:r>
    </w:p>
    <w:p w14:paraId="6BACAF76" w14:textId="0EBCFAF3" w:rsidR="00B11B04" w:rsidRPr="002F447F" w:rsidRDefault="00FE350B" w:rsidP="00452DBC">
      <w:pPr>
        <w:spacing w:before="200"/>
        <w:rPr>
          <w:rFonts w:eastAsia="Calibri" w:cs="Times New Roman"/>
          <w:szCs w:val="22"/>
        </w:rPr>
      </w:pPr>
      <w:r>
        <w:rPr>
          <w:b/>
          <w:szCs w:val="22"/>
        </w:rPr>
        <w:t>9</w:t>
      </w:r>
      <w:r w:rsidR="00B11B04" w:rsidRPr="00915201">
        <w:rPr>
          <w:b/>
          <w:szCs w:val="22"/>
        </w:rPr>
        <w:t xml:space="preserve">. Opatrenie: </w:t>
      </w:r>
      <w:r w:rsidR="00B11B04">
        <w:rPr>
          <w:b/>
          <w:szCs w:val="22"/>
        </w:rPr>
        <w:t>Z</w:t>
      </w:r>
      <w:r w:rsidR="00B11B04" w:rsidRPr="007C351B">
        <w:rPr>
          <w:b/>
          <w:szCs w:val="22"/>
        </w:rPr>
        <w:t>výšiť minimálny rozsah výučby rómske</w:t>
      </w:r>
      <w:r w:rsidR="00FE6762">
        <w:rPr>
          <w:b/>
          <w:szCs w:val="22"/>
        </w:rPr>
        <w:t>ho jazyka v prvých ročníkoch základných škôl</w:t>
      </w:r>
      <w:r w:rsidR="00B11B04">
        <w:rPr>
          <w:b/>
          <w:szCs w:val="22"/>
        </w:rPr>
        <w:t xml:space="preserve"> </w:t>
      </w:r>
      <w:r w:rsidR="002709F1">
        <w:rPr>
          <w:b/>
          <w:szCs w:val="22"/>
        </w:rPr>
        <w:t>a </w:t>
      </w:r>
      <w:r w:rsidR="00B11B04">
        <w:rPr>
          <w:b/>
          <w:szCs w:val="22"/>
        </w:rPr>
        <w:t>p</w:t>
      </w:r>
      <w:r w:rsidR="00B11B04" w:rsidRPr="00915201">
        <w:rPr>
          <w:b/>
          <w:bCs/>
        </w:rPr>
        <w:t>ostupne zabezpečiť reálnu nárokovateľnosť</w:t>
      </w:r>
      <w:r w:rsidR="00B11B04">
        <w:rPr>
          <w:b/>
          <w:bCs/>
        </w:rPr>
        <w:t>.</w:t>
      </w:r>
      <w:r w:rsidR="00B11B04" w:rsidRPr="00915201">
        <w:rPr>
          <w:b/>
          <w:bCs/>
        </w:rPr>
        <w:t xml:space="preserve"> </w:t>
      </w:r>
      <w:r w:rsidR="00B11B04" w:rsidRPr="00B14AA2">
        <w:rPr>
          <w:rFonts w:eastAsia="Calibri" w:cs="Times New Roman"/>
          <w:szCs w:val="22"/>
        </w:rPr>
        <w:t>Prístup k výučbe materinského jazyka preukázateľne zvyšuje školskú úspešnosť, má pozitívny vplyv aj na osvojenie si štátneho jazyka a je kľúčový pre vývin v ďalších kognitívnych oblastiach</w:t>
      </w:r>
      <w:r w:rsidR="00B11B04">
        <w:rPr>
          <w:rFonts w:eastAsia="Calibri" w:cs="Times New Roman"/>
          <w:szCs w:val="22"/>
        </w:rPr>
        <w:t>.</w:t>
      </w:r>
      <w:r w:rsidR="00B11B04" w:rsidRPr="00B14AA2">
        <w:rPr>
          <w:rFonts w:eastAsia="Calibri" w:cs="Times New Roman"/>
          <w:szCs w:val="22"/>
        </w:rPr>
        <w:t xml:space="preserve"> </w:t>
      </w:r>
      <w:r w:rsidR="00B11B04" w:rsidRPr="00B14AA2">
        <w:rPr>
          <w:rFonts w:eastAsia="Calibri" w:cs="Times New Roman"/>
          <w:bCs/>
          <w:szCs w:val="22"/>
        </w:rPr>
        <w:t>Odlišnosť materinského jazyka od vyučovacieho jaz</w:t>
      </w:r>
      <w:r w:rsidR="002709F1">
        <w:rPr>
          <w:rFonts w:eastAsia="Calibri" w:cs="Times New Roman"/>
          <w:bCs/>
          <w:szCs w:val="22"/>
        </w:rPr>
        <w:t>yka má pritom významný vplyv na </w:t>
      </w:r>
      <w:r w:rsidR="00B11B04" w:rsidRPr="00B14AA2">
        <w:rPr>
          <w:rFonts w:eastAsia="Calibri" w:cs="Times New Roman"/>
          <w:bCs/>
          <w:szCs w:val="22"/>
        </w:rPr>
        <w:t>úspešnosť v škole.</w:t>
      </w:r>
      <w:r w:rsidR="00B11B04">
        <w:rPr>
          <w:rFonts w:eastAsia="Calibri" w:cs="Times New Roman"/>
          <w:szCs w:val="22"/>
        </w:rPr>
        <w:t xml:space="preserve"> Súčasná v</w:t>
      </w:r>
      <w:r w:rsidR="00B11B04" w:rsidRPr="00B14AA2">
        <w:rPr>
          <w:rFonts w:eastAsia="Calibri" w:cs="Times New Roman"/>
          <w:szCs w:val="22"/>
        </w:rPr>
        <w:t xml:space="preserve">ýučba </w:t>
      </w:r>
      <w:r w:rsidR="00B11B04">
        <w:rPr>
          <w:rFonts w:eastAsia="Calibri" w:cs="Times New Roman"/>
          <w:szCs w:val="22"/>
        </w:rPr>
        <w:t>rómskeho jazyka</w:t>
      </w:r>
      <w:r w:rsidR="00B11B04" w:rsidRPr="00B14AA2">
        <w:rPr>
          <w:rFonts w:eastAsia="Calibri" w:cs="Times New Roman"/>
          <w:szCs w:val="22"/>
        </w:rPr>
        <w:t xml:space="preserve"> je v prvých rokoch </w:t>
      </w:r>
      <w:r w:rsidR="00B84A0E">
        <w:rPr>
          <w:rFonts w:eastAsia="Calibri" w:cs="Times New Roman"/>
          <w:szCs w:val="22"/>
        </w:rPr>
        <w:t>povinnej školskej dochádzky</w:t>
      </w:r>
      <w:r w:rsidR="00B11B04" w:rsidRPr="00B14AA2">
        <w:rPr>
          <w:rFonts w:eastAsia="Calibri" w:cs="Times New Roman"/>
          <w:szCs w:val="22"/>
        </w:rPr>
        <w:t xml:space="preserve"> nízka</w:t>
      </w:r>
      <w:r w:rsidR="00B84A0E">
        <w:rPr>
          <w:rFonts w:eastAsia="Calibri" w:cs="Times New Roman"/>
          <w:szCs w:val="22"/>
        </w:rPr>
        <w:t xml:space="preserve"> napriek tomu, že</w:t>
      </w:r>
      <w:r w:rsidR="00B11B04" w:rsidRPr="00B14AA2">
        <w:rPr>
          <w:rFonts w:eastAsia="Calibri" w:cs="Times New Roman"/>
          <w:szCs w:val="22"/>
        </w:rPr>
        <w:t xml:space="preserve"> rozvoj materinského jazyka má najvyšší význam v mladšom veku</w:t>
      </w:r>
      <w:r w:rsidR="00B11B04" w:rsidRPr="00F232F4">
        <w:rPr>
          <w:rFonts w:eastAsia="Calibri" w:cs="Times New Roman"/>
          <w:szCs w:val="22"/>
        </w:rPr>
        <w:t xml:space="preserve">. </w:t>
      </w:r>
      <w:r w:rsidR="009D08DA" w:rsidRPr="00452DBC">
        <w:rPr>
          <w:rFonts w:eastAsia="Calibri" w:cs="Times New Roman"/>
          <w:bCs/>
          <w:szCs w:val="22"/>
        </w:rPr>
        <w:t>V roku 2018 poskytovali výučbu rómčiny iba dve základné školy v Kremnici a v Košiciach pre 203 žiakov</w:t>
      </w:r>
      <w:r w:rsidR="009D08DA">
        <w:rPr>
          <w:rFonts w:eastAsia="Calibri" w:cs="Times New Roman"/>
          <w:szCs w:val="22"/>
        </w:rPr>
        <w:t xml:space="preserve"> </w:t>
      </w:r>
      <w:r w:rsidR="00B84A0E">
        <w:rPr>
          <w:rFonts w:eastAsia="Calibri" w:cs="Times New Roman"/>
          <w:szCs w:val="22"/>
        </w:rPr>
        <w:t xml:space="preserve">(podkapitola </w:t>
      </w:r>
      <w:r w:rsidR="00B84A0E">
        <w:rPr>
          <w:rFonts w:eastAsia="Calibri" w:cs="Times New Roman"/>
          <w:szCs w:val="22"/>
        </w:rPr>
        <w:fldChar w:fldCharType="begin"/>
      </w:r>
      <w:r w:rsidR="00B84A0E">
        <w:rPr>
          <w:rFonts w:eastAsia="Calibri" w:cs="Times New Roman"/>
          <w:szCs w:val="22"/>
        </w:rPr>
        <w:instrText xml:space="preserve"> REF _Ref25652405 \r \h </w:instrText>
      </w:r>
      <w:r w:rsidR="00B84A0E">
        <w:rPr>
          <w:rFonts w:eastAsia="Calibri" w:cs="Times New Roman"/>
          <w:szCs w:val="22"/>
        </w:rPr>
      </w:r>
      <w:r w:rsidR="00B84A0E">
        <w:rPr>
          <w:rFonts w:eastAsia="Calibri" w:cs="Times New Roman"/>
          <w:szCs w:val="22"/>
        </w:rPr>
        <w:fldChar w:fldCharType="separate"/>
      </w:r>
      <w:r w:rsidR="00FA29AF">
        <w:rPr>
          <w:rFonts w:eastAsia="Calibri" w:cs="Times New Roman"/>
          <w:szCs w:val="22"/>
        </w:rPr>
        <w:t>5.2</w:t>
      </w:r>
      <w:r w:rsidR="00B84A0E">
        <w:rPr>
          <w:rFonts w:eastAsia="Calibri" w:cs="Times New Roman"/>
          <w:szCs w:val="22"/>
        </w:rPr>
        <w:fldChar w:fldCharType="end"/>
      </w:r>
      <w:r w:rsidR="009D08DA">
        <w:rPr>
          <w:rFonts w:eastAsia="Calibri" w:cs="Times New Roman"/>
          <w:szCs w:val="22"/>
        </w:rPr>
        <w:t>)</w:t>
      </w:r>
      <w:r w:rsidR="00B11B04">
        <w:rPr>
          <w:rFonts w:eastAsia="Calibri" w:cs="Times New Roman"/>
          <w:szCs w:val="22"/>
        </w:rPr>
        <w:t>. Nárokovateľnosť na výučbu rómskeho jazyka je možné zabezpečiť</w:t>
      </w:r>
      <w:r w:rsidR="00B11B04" w:rsidRPr="00AF0981">
        <w:rPr>
          <w:rFonts w:eastAsia="Calibri" w:cs="Times New Roman"/>
          <w:szCs w:val="22"/>
        </w:rPr>
        <w:t xml:space="preserve"> </w:t>
      </w:r>
      <w:r w:rsidR="00B11B04" w:rsidRPr="00AF0981">
        <w:rPr>
          <w:bCs/>
        </w:rPr>
        <w:t>prostredníctvom stanovenia percentuálneho zastúpenia žiakov s rómskym materinským jazykom, od ktorého školy budú mať povinnosť výučbu rómskeho jazyka zabezpečiť</w:t>
      </w:r>
      <w:r w:rsidR="00B11B04" w:rsidRPr="00AF0981">
        <w:rPr>
          <w:rFonts w:eastAsia="Times New Roman" w:cs="Times New Roman"/>
          <w:color w:val="000000"/>
          <w:szCs w:val="22"/>
          <w:lang w:eastAsia="sk-SK"/>
        </w:rPr>
        <w:t>.</w:t>
      </w:r>
      <w:r w:rsidR="00B11B04">
        <w:rPr>
          <w:rFonts w:eastAsia="Calibri" w:cs="Times New Roman"/>
          <w:szCs w:val="22"/>
        </w:rPr>
        <w:t xml:space="preserve"> </w:t>
      </w:r>
    </w:p>
    <w:p w14:paraId="5AD426CB" w14:textId="56E8C2B6" w:rsidR="00B11B04" w:rsidRDefault="00FE350B" w:rsidP="006B0C40">
      <w:pPr>
        <w:rPr>
          <w:bCs/>
        </w:rPr>
      </w:pPr>
      <w:r>
        <w:rPr>
          <w:b/>
          <w:szCs w:val="22"/>
        </w:rPr>
        <w:t>10</w:t>
      </w:r>
      <w:r w:rsidR="00B11B04" w:rsidRPr="009C4363">
        <w:rPr>
          <w:b/>
          <w:szCs w:val="22"/>
        </w:rPr>
        <w:t xml:space="preserve">. Opatrenie: </w:t>
      </w:r>
      <w:r w:rsidR="00B11B04" w:rsidRPr="009C4363">
        <w:rPr>
          <w:rFonts w:eastAsia="Times New Roman" w:cs="Times New Roman"/>
          <w:b/>
          <w:color w:val="000000"/>
          <w:szCs w:val="22"/>
          <w:lang w:eastAsia="sk-SK"/>
        </w:rPr>
        <w:t>Formalizovať výučbu slovenského jazyka ako druhého jazyka</w:t>
      </w:r>
      <w:r w:rsidR="00B11B04">
        <w:rPr>
          <w:rFonts w:eastAsia="Times New Roman" w:cs="Times New Roman"/>
          <w:b/>
          <w:color w:val="000000"/>
          <w:szCs w:val="22"/>
          <w:lang w:eastAsia="sk-SK"/>
        </w:rPr>
        <w:t>.</w:t>
      </w:r>
      <w:r w:rsidR="00B11B04" w:rsidRPr="009C4363">
        <w:rPr>
          <w:rFonts w:eastAsia="Times New Roman" w:cs="Times New Roman"/>
          <w:b/>
          <w:color w:val="000000"/>
          <w:szCs w:val="22"/>
          <w:lang w:eastAsia="sk-SK"/>
        </w:rPr>
        <w:t xml:space="preserve"> </w:t>
      </w:r>
      <w:r w:rsidR="00B11B04" w:rsidRPr="008950BD">
        <w:t xml:space="preserve">Na školách s vyučovacím jazykom slovenským </w:t>
      </w:r>
      <w:r w:rsidR="00CB04BA">
        <w:t xml:space="preserve">ani </w:t>
      </w:r>
      <w:r w:rsidR="0043166A">
        <w:t>maďarským</w:t>
      </w:r>
      <w:r w:rsidR="00CB04BA" w:rsidRPr="008950BD" w:rsidDel="00CB04BA">
        <w:t xml:space="preserve"> </w:t>
      </w:r>
      <w:r w:rsidR="00B11B04" w:rsidRPr="008950BD">
        <w:t xml:space="preserve">nie je dostupná výučba slovenčiny ako druhého jazyka pre žiakov s iným materinským jazykom. </w:t>
      </w:r>
      <w:r w:rsidR="00B11B04" w:rsidRPr="008950BD">
        <w:rPr>
          <w:bCs/>
        </w:rPr>
        <w:t>Keďže väčšina Rómov nepovažuje slove</w:t>
      </w:r>
      <w:r w:rsidR="00B11B04">
        <w:rPr>
          <w:bCs/>
        </w:rPr>
        <w:t>nčinu za svoj materinský jazyk</w:t>
      </w:r>
      <w:r w:rsidR="00791819">
        <w:rPr>
          <w:bCs/>
        </w:rPr>
        <w:t>,</w:t>
      </w:r>
      <w:r w:rsidR="00B11B04">
        <w:rPr>
          <w:bCs/>
        </w:rPr>
        <w:t xml:space="preserve"> </w:t>
      </w:r>
      <w:r w:rsidR="00B11B04" w:rsidRPr="008950BD">
        <w:rPr>
          <w:bCs/>
        </w:rPr>
        <w:t>je pravd</w:t>
      </w:r>
      <w:r w:rsidR="00791819">
        <w:rPr>
          <w:bCs/>
        </w:rPr>
        <w:t>epodobné, že mnoho žiakov z MRK</w:t>
      </w:r>
      <w:r w:rsidR="00B11B04" w:rsidRPr="008950BD">
        <w:rPr>
          <w:bCs/>
        </w:rPr>
        <w:t xml:space="preserve"> vyučovaniu v základnej škole </w:t>
      </w:r>
      <w:r w:rsidR="006B0C40">
        <w:rPr>
          <w:bCs/>
        </w:rPr>
        <w:t xml:space="preserve">dostatočne </w:t>
      </w:r>
      <w:r w:rsidR="00B11B04" w:rsidRPr="008950BD">
        <w:rPr>
          <w:bCs/>
        </w:rPr>
        <w:t>nerozumie</w:t>
      </w:r>
      <w:r w:rsidR="006B0C40">
        <w:rPr>
          <w:bCs/>
        </w:rPr>
        <w:t xml:space="preserve"> (podkapitola </w:t>
      </w:r>
      <w:r w:rsidR="006B0C40">
        <w:rPr>
          <w:bCs/>
        </w:rPr>
        <w:fldChar w:fldCharType="begin"/>
      </w:r>
      <w:r w:rsidR="006B0C40">
        <w:rPr>
          <w:bCs/>
        </w:rPr>
        <w:instrText xml:space="preserve"> REF _Ref25652405 \r \h </w:instrText>
      </w:r>
      <w:r w:rsidR="006B0C40">
        <w:rPr>
          <w:bCs/>
        </w:rPr>
      </w:r>
      <w:r w:rsidR="006B0C40">
        <w:rPr>
          <w:bCs/>
        </w:rPr>
        <w:fldChar w:fldCharType="separate"/>
      </w:r>
      <w:r w:rsidR="00FA29AF">
        <w:rPr>
          <w:bCs/>
        </w:rPr>
        <w:t>5.2</w:t>
      </w:r>
      <w:r w:rsidR="006B0C40">
        <w:rPr>
          <w:bCs/>
        </w:rPr>
        <w:fldChar w:fldCharType="end"/>
      </w:r>
      <w:r w:rsidR="006B0C40">
        <w:rPr>
          <w:bCs/>
        </w:rPr>
        <w:t>)</w:t>
      </w:r>
      <w:r w:rsidR="00B11B04" w:rsidRPr="008950BD">
        <w:rPr>
          <w:bCs/>
        </w:rPr>
        <w:t>.</w:t>
      </w:r>
      <w:r w:rsidR="00B11B04" w:rsidRPr="007E3192">
        <w:rPr>
          <w:bCs/>
        </w:rPr>
        <w:t xml:space="preserve"> </w:t>
      </w:r>
      <w:r w:rsidR="00B11B04">
        <w:rPr>
          <w:bCs/>
        </w:rPr>
        <w:t>Nevyhnutným predpokladom pre výučbu slovenského jazyka ako druhého jazyka je aj príprava učiteľov</w:t>
      </w:r>
      <w:r w:rsidR="00B11B04" w:rsidRPr="007E3192">
        <w:rPr>
          <w:bCs/>
        </w:rPr>
        <w:t> </w:t>
      </w:r>
      <w:r w:rsidR="00B11B04">
        <w:rPr>
          <w:bCs/>
        </w:rPr>
        <w:t>(</w:t>
      </w:r>
      <w:r w:rsidR="00B11B04" w:rsidRPr="007E3192">
        <w:rPr>
          <w:bCs/>
        </w:rPr>
        <w:t>hodnot</w:t>
      </w:r>
      <w:r w:rsidR="00B11B04">
        <w:rPr>
          <w:bCs/>
        </w:rPr>
        <w:t>ové</w:t>
      </w:r>
      <w:r w:rsidR="00B11B04" w:rsidRPr="007E3192">
        <w:rPr>
          <w:bCs/>
        </w:rPr>
        <w:t xml:space="preserve"> opa</w:t>
      </w:r>
      <w:r w:rsidR="00B11B04">
        <w:rPr>
          <w:bCs/>
        </w:rPr>
        <w:t>trenie</w:t>
      </w:r>
      <w:r w:rsidR="00B11B04" w:rsidRPr="007E3192">
        <w:rPr>
          <w:bCs/>
        </w:rPr>
        <w:t xml:space="preserve"> </w:t>
      </w:r>
      <w:r w:rsidR="006B0C40">
        <w:rPr>
          <w:bCs/>
        </w:rPr>
        <w:t>8</w:t>
      </w:r>
      <w:r w:rsidR="00B11B04">
        <w:rPr>
          <w:bCs/>
        </w:rPr>
        <w:t>).</w:t>
      </w:r>
    </w:p>
    <w:p w14:paraId="7F56A574" w14:textId="29978213" w:rsidR="00786970" w:rsidRPr="00452DBC" w:rsidRDefault="003E66DD" w:rsidP="006B0C40">
      <w:pPr>
        <w:pStyle w:val="Textkomentra"/>
        <w:spacing w:line="259" w:lineRule="auto"/>
        <w:rPr>
          <w:b/>
          <w:bCs/>
          <w:sz w:val="22"/>
          <w:szCs w:val="22"/>
        </w:rPr>
      </w:pPr>
      <w:r>
        <w:rPr>
          <w:b/>
          <w:bCs/>
          <w:sz w:val="22"/>
          <w:szCs w:val="22"/>
        </w:rPr>
        <w:t>1</w:t>
      </w:r>
      <w:r w:rsidR="00FE350B">
        <w:rPr>
          <w:b/>
          <w:bCs/>
          <w:sz w:val="22"/>
          <w:szCs w:val="22"/>
        </w:rPr>
        <w:t>1</w:t>
      </w:r>
      <w:r w:rsidR="00786970" w:rsidRPr="00D41517">
        <w:rPr>
          <w:b/>
          <w:bCs/>
          <w:sz w:val="22"/>
          <w:szCs w:val="22"/>
        </w:rPr>
        <w:t xml:space="preserve">. </w:t>
      </w:r>
      <w:r w:rsidR="00786970" w:rsidRPr="000A3730">
        <w:rPr>
          <w:b/>
          <w:bCs/>
          <w:sz w:val="22"/>
          <w:szCs w:val="22"/>
        </w:rPr>
        <w:t xml:space="preserve">Opatrenie: </w:t>
      </w:r>
      <w:r w:rsidR="001D2301" w:rsidRPr="00452DBC">
        <w:rPr>
          <w:rFonts w:eastAsia="Times New Roman" w:cs="Times New Roman"/>
          <w:b/>
          <w:bCs/>
          <w:color w:val="000000"/>
          <w:sz w:val="22"/>
          <w:szCs w:val="22"/>
          <w:lang w:eastAsia="sk-SK"/>
        </w:rPr>
        <w:t xml:space="preserve">Zaviesť väčší dôraz na využívanie všeobecného kurikula v prípade žiakov so všetkými druhmi </w:t>
      </w:r>
      <w:r w:rsidR="001D2301">
        <w:rPr>
          <w:rFonts w:eastAsia="Times New Roman" w:cs="Times New Roman"/>
          <w:b/>
          <w:bCs/>
          <w:color w:val="000000"/>
          <w:sz w:val="22"/>
          <w:szCs w:val="22"/>
          <w:lang w:eastAsia="sk-SK"/>
        </w:rPr>
        <w:t>zdravotného znevýhodnenia</w:t>
      </w:r>
      <w:r w:rsidR="001D2301" w:rsidRPr="000A3730">
        <w:rPr>
          <w:b/>
          <w:bCs/>
          <w:sz w:val="22"/>
          <w:szCs w:val="22"/>
        </w:rPr>
        <w:t>.</w:t>
      </w:r>
      <w:r w:rsidR="001D2301">
        <w:rPr>
          <w:b/>
          <w:bCs/>
          <w:sz w:val="22"/>
          <w:szCs w:val="22"/>
        </w:rPr>
        <w:t xml:space="preserve"> </w:t>
      </w:r>
      <w:r w:rsidR="00786970" w:rsidRPr="00D41517">
        <w:rPr>
          <w:sz w:val="22"/>
          <w:szCs w:val="22"/>
        </w:rPr>
        <w:t xml:space="preserve">Diferenciácia kurikula pre žiakov so </w:t>
      </w:r>
      <w:r w:rsidR="006B0C40">
        <w:rPr>
          <w:sz w:val="22"/>
          <w:szCs w:val="22"/>
        </w:rPr>
        <w:t>zdravotným znevýhodnením</w:t>
      </w:r>
      <w:r w:rsidR="002709F1">
        <w:rPr>
          <w:sz w:val="22"/>
          <w:szCs w:val="22"/>
        </w:rPr>
        <w:t xml:space="preserve"> je </w:t>
      </w:r>
      <w:r w:rsidR="00786970" w:rsidRPr="00D41517">
        <w:rPr>
          <w:sz w:val="22"/>
          <w:szCs w:val="22"/>
        </w:rPr>
        <w:t xml:space="preserve">v protiklade </w:t>
      </w:r>
      <w:r w:rsidR="001D2301">
        <w:rPr>
          <w:sz w:val="22"/>
          <w:szCs w:val="22"/>
        </w:rPr>
        <w:t>so</w:t>
      </w:r>
      <w:r w:rsidR="006B0C40">
        <w:rPr>
          <w:sz w:val="22"/>
          <w:szCs w:val="22"/>
        </w:rPr>
        <w:t> </w:t>
      </w:r>
      <w:r w:rsidR="00786970" w:rsidRPr="00D41517">
        <w:rPr>
          <w:sz w:val="22"/>
          <w:szCs w:val="22"/>
        </w:rPr>
        <w:t>súčasn</w:t>
      </w:r>
      <w:r w:rsidR="006B0C40">
        <w:rPr>
          <w:sz w:val="22"/>
          <w:szCs w:val="22"/>
        </w:rPr>
        <w:t>ou dobrou praxou</w:t>
      </w:r>
      <w:r w:rsidR="00786970" w:rsidRPr="00D41517">
        <w:rPr>
          <w:sz w:val="22"/>
          <w:szCs w:val="22"/>
        </w:rPr>
        <w:t xml:space="preserve"> vo vzdelávaní. Stanovenie špecifického kurikula pre všetkých žiakov s určitou diagnózou neumožňuje zohľadniť ich individuálne potreby a schopnosti. N</w:t>
      </w:r>
      <w:r w:rsidR="002709F1">
        <w:rPr>
          <w:sz w:val="22"/>
          <w:szCs w:val="22"/>
        </w:rPr>
        <w:t>amiesto špecifických kurikúl sa </w:t>
      </w:r>
      <w:r w:rsidR="00786970" w:rsidRPr="00D41517">
        <w:rPr>
          <w:sz w:val="22"/>
          <w:szCs w:val="22"/>
        </w:rPr>
        <w:t>preto odporúča, aby sa všetci žiaci bez ohľadu na znevýhodnenie vzdelávali podľa jednotného štandardu a špecifickým potrebám žiakov sa prispôsoboval len spôsob, akým si kurikulum osvojujú - napr. úprava metodiky výučby, spôsobu inštruovania detí, prispôsobenie času potrebného na zvládnutie úlohy a pod.</w:t>
      </w:r>
      <w:r w:rsidR="006B0C40">
        <w:rPr>
          <w:sz w:val="22"/>
          <w:szCs w:val="22"/>
        </w:rPr>
        <w:t xml:space="preserve"> (podkapitola </w:t>
      </w:r>
      <w:r w:rsidR="006B0C40">
        <w:rPr>
          <w:sz w:val="22"/>
          <w:szCs w:val="22"/>
        </w:rPr>
        <w:fldChar w:fldCharType="begin"/>
      </w:r>
      <w:r w:rsidR="006B0C40">
        <w:rPr>
          <w:sz w:val="22"/>
          <w:szCs w:val="22"/>
        </w:rPr>
        <w:instrText xml:space="preserve"> REF _Ref25743147 \r \h </w:instrText>
      </w:r>
      <w:r w:rsidR="006B0C40">
        <w:rPr>
          <w:sz w:val="22"/>
          <w:szCs w:val="22"/>
        </w:rPr>
      </w:r>
      <w:r w:rsidR="006B0C40">
        <w:rPr>
          <w:sz w:val="22"/>
          <w:szCs w:val="22"/>
        </w:rPr>
        <w:fldChar w:fldCharType="separate"/>
      </w:r>
      <w:r w:rsidR="00FA29AF">
        <w:rPr>
          <w:sz w:val="22"/>
          <w:szCs w:val="22"/>
        </w:rPr>
        <w:t>6.2</w:t>
      </w:r>
      <w:r w:rsidR="006B0C40">
        <w:rPr>
          <w:sz w:val="22"/>
          <w:szCs w:val="22"/>
        </w:rPr>
        <w:fldChar w:fldCharType="end"/>
      </w:r>
      <w:r w:rsidR="0070047D">
        <w:rPr>
          <w:sz w:val="22"/>
          <w:szCs w:val="22"/>
        </w:rPr>
        <w:t>).</w:t>
      </w:r>
      <w:r w:rsidR="00791819">
        <w:rPr>
          <w:sz w:val="22"/>
          <w:szCs w:val="22"/>
        </w:rPr>
        <w:t xml:space="preserve"> Opatrenie</w:t>
      </w:r>
      <w:r w:rsidR="00786970" w:rsidRPr="00D41517">
        <w:rPr>
          <w:sz w:val="22"/>
          <w:szCs w:val="22"/>
        </w:rPr>
        <w:t xml:space="preserve"> predpokladá úpravu legislatívy tak, aby sa všetci žiaci</w:t>
      </w:r>
      <w:r w:rsidR="001D2301">
        <w:rPr>
          <w:sz w:val="22"/>
          <w:szCs w:val="22"/>
        </w:rPr>
        <w:t>, vrátane žiakov s mentálnym postihnutím,</w:t>
      </w:r>
      <w:r w:rsidR="00786970" w:rsidRPr="00D41517">
        <w:rPr>
          <w:sz w:val="22"/>
          <w:szCs w:val="22"/>
        </w:rPr>
        <w:t xml:space="preserve"> primárne vzdelávali podľa všeobecného kurikula.</w:t>
      </w:r>
    </w:p>
    <w:p w14:paraId="17E12D5D" w14:textId="10862716" w:rsidR="00B11B04" w:rsidRPr="007D6378" w:rsidRDefault="0063389D" w:rsidP="006B0C40">
      <w:pPr>
        <w:rPr>
          <w:rFonts w:eastAsia="Times New Roman" w:cs="Times New Roman"/>
          <w:color w:val="000000"/>
          <w:szCs w:val="22"/>
          <w:lang w:eastAsia="sk-SK"/>
        </w:rPr>
      </w:pPr>
      <w:r>
        <w:rPr>
          <w:b/>
          <w:szCs w:val="22"/>
        </w:rPr>
        <w:t>1</w:t>
      </w:r>
      <w:r w:rsidR="00FE350B">
        <w:rPr>
          <w:b/>
          <w:szCs w:val="22"/>
        </w:rPr>
        <w:t>2</w:t>
      </w:r>
      <w:r w:rsidR="00B11B04" w:rsidRPr="009C4363">
        <w:rPr>
          <w:b/>
          <w:szCs w:val="22"/>
        </w:rPr>
        <w:t xml:space="preserve">. Opatrenie: </w:t>
      </w:r>
      <w:r w:rsidR="00B11B04" w:rsidRPr="009C4363">
        <w:rPr>
          <w:rFonts w:eastAsia="Times New Roman" w:cs="Times New Roman"/>
          <w:b/>
          <w:color w:val="000000"/>
          <w:szCs w:val="22"/>
          <w:lang w:eastAsia="sk-SK"/>
        </w:rPr>
        <w:t xml:space="preserve">Zrušiť možnosť zriaďovať špecializované triedy. </w:t>
      </w:r>
      <w:r w:rsidR="00B11B04">
        <w:t>Tie sú určené</w:t>
      </w:r>
      <w:r w:rsidR="00B11B04" w:rsidRPr="00171917">
        <w:t xml:space="preserve"> pre žiakov zo </w:t>
      </w:r>
      <w:r w:rsidR="007C536E">
        <w:t>sociálne znevýhodneného prostredia</w:t>
      </w:r>
      <w:r w:rsidR="00B11B04" w:rsidRPr="00171917">
        <w:t>, ktorí nemajú predpoklad úspešne zvládnuť obsah vzdelávania príslušného ročníka</w:t>
      </w:r>
      <w:r w:rsidR="00DF2DF6">
        <w:t xml:space="preserve"> (podkapitola </w:t>
      </w:r>
      <w:r w:rsidR="00DF2DF6">
        <w:fldChar w:fldCharType="begin"/>
      </w:r>
      <w:r w:rsidR="00DF2DF6">
        <w:instrText xml:space="preserve"> REF _Ref25652405 \r \h </w:instrText>
      </w:r>
      <w:r w:rsidR="00DF2DF6">
        <w:fldChar w:fldCharType="separate"/>
      </w:r>
      <w:r w:rsidR="00FA29AF">
        <w:t>5.2</w:t>
      </w:r>
      <w:r w:rsidR="00DF2DF6">
        <w:fldChar w:fldCharType="end"/>
      </w:r>
      <w:r w:rsidR="00DF2DF6">
        <w:t>)</w:t>
      </w:r>
      <w:r w:rsidR="00B11B04">
        <w:t>.</w:t>
      </w:r>
      <w:r w:rsidR="00B11B04" w:rsidRPr="007D6378">
        <w:rPr>
          <w:rFonts w:eastAsia="Times New Roman" w:cs="Times New Roman"/>
          <w:color w:val="000000"/>
          <w:szCs w:val="22"/>
          <w:lang w:eastAsia="sk-SK"/>
        </w:rPr>
        <w:t xml:space="preserve"> </w:t>
      </w:r>
      <w:r w:rsidR="00B11B04">
        <w:rPr>
          <w:rFonts w:eastAsia="Times New Roman" w:cs="Times New Roman"/>
          <w:color w:val="000000"/>
          <w:szCs w:val="22"/>
          <w:lang w:eastAsia="sk-SK"/>
        </w:rPr>
        <w:t xml:space="preserve">Z pohľadu koncentrácie znevýhodnených žiakov v jednej triede je toto nastavenie problematické. </w:t>
      </w:r>
    </w:p>
    <w:p w14:paraId="63779E40" w14:textId="43803A7B" w:rsidR="0015029B" w:rsidRDefault="00B11B04" w:rsidP="006B0C40">
      <w:pPr>
        <w:rPr>
          <w:bCs/>
          <w:szCs w:val="22"/>
        </w:rPr>
      </w:pPr>
      <w:r>
        <w:rPr>
          <w:rFonts w:eastAsia="Times New Roman" w:cs="Times New Roman"/>
          <w:b/>
          <w:bCs/>
          <w:color w:val="000000"/>
          <w:szCs w:val="22"/>
          <w:lang w:eastAsia="sk-SK"/>
        </w:rPr>
        <w:t>1</w:t>
      </w:r>
      <w:r w:rsidR="00FE350B">
        <w:rPr>
          <w:rFonts w:eastAsia="Times New Roman" w:cs="Times New Roman"/>
          <w:b/>
          <w:bCs/>
          <w:color w:val="000000"/>
          <w:szCs w:val="22"/>
          <w:lang w:eastAsia="sk-SK"/>
        </w:rPr>
        <w:t>3</w:t>
      </w:r>
      <w:r w:rsidRPr="00297387">
        <w:rPr>
          <w:rFonts w:eastAsia="Times New Roman" w:cs="Times New Roman"/>
          <w:b/>
          <w:bCs/>
          <w:color w:val="000000"/>
          <w:szCs w:val="22"/>
          <w:lang w:eastAsia="sk-SK"/>
        </w:rPr>
        <w:t xml:space="preserve">. </w:t>
      </w:r>
      <w:r w:rsidRPr="00A82E7A">
        <w:rPr>
          <w:rFonts w:eastAsia="Times New Roman" w:cs="Times New Roman"/>
          <w:b/>
          <w:bCs/>
          <w:color w:val="000000"/>
          <w:szCs w:val="22"/>
          <w:lang w:eastAsia="sk-SK"/>
        </w:rPr>
        <w:t xml:space="preserve">Opatrenie: </w:t>
      </w:r>
      <w:r w:rsidR="004322CF">
        <w:rPr>
          <w:rFonts w:eastAsia="Times New Roman" w:cs="Times New Roman"/>
          <w:b/>
          <w:color w:val="000000"/>
          <w:szCs w:val="22"/>
          <w:lang w:eastAsia="sk-SK"/>
        </w:rPr>
        <w:t>Upraviť</w:t>
      </w:r>
      <w:r w:rsidRPr="00A82E7A">
        <w:rPr>
          <w:rFonts w:eastAsia="Times New Roman" w:cs="Times New Roman"/>
          <w:b/>
          <w:color w:val="000000"/>
          <w:szCs w:val="22"/>
          <w:lang w:eastAsia="sk-SK"/>
        </w:rPr>
        <w:t xml:space="preserve"> pôsobeni</w:t>
      </w:r>
      <w:r w:rsidR="004322CF">
        <w:rPr>
          <w:rFonts w:eastAsia="Times New Roman" w:cs="Times New Roman"/>
          <w:b/>
          <w:color w:val="000000"/>
          <w:szCs w:val="22"/>
          <w:lang w:eastAsia="sk-SK"/>
        </w:rPr>
        <w:t>e</w:t>
      </w:r>
      <w:r w:rsidRPr="00A82E7A">
        <w:rPr>
          <w:rFonts w:eastAsia="Times New Roman" w:cs="Times New Roman"/>
          <w:b/>
          <w:color w:val="000000"/>
          <w:szCs w:val="22"/>
          <w:lang w:eastAsia="sk-SK"/>
        </w:rPr>
        <w:t xml:space="preserve"> pedagogických asistentov a pomocných vychovávateľov na školách. </w:t>
      </w:r>
      <w:r w:rsidRPr="00297387">
        <w:rPr>
          <w:rFonts w:eastAsia="Times New Roman" w:cs="Times New Roman"/>
          <w:bCs/>
          <w:color w:val="000000"/>
          <w:szCs w:val="22"/>
          <w:lang w:eastAsia="sk-SK"/>
        </w:rPr>
        <w:t>V súčasnosti nie je rola pedagogického asistenta ani pomocného vychovávateľa jasne zadefinovaná, čo môže obmedzovať prístup k podpore, negatívne ovplyvňovať kvalitu vzdelávacieho procesu ako aj efektívnosť prideľovania prostriedkov na osobné náklady týchto podporných pracovníkov.</w:t>
      </w:r>
      <w:r>
        <w:rPr>
          <w:rFonts w:eastAsia="Times New Roman" w:cs="Times New Roman"/>
          <w:bCs/>
          <w:color w:val="000000"/>
          <w:szCs w:val="22"/>
          <w:lang w:eastAsia="sk-SK"/>
        </w:rPr>
        <w:t xml:space="preserve"> </w:t>
      </w:r>
      <w:r w:rsidR="006263D4">
        <w:rPr>
          <w:bCs/>
          <w:szCs w:val="22"/>
        </w:rPr>
        <w:t>D</w:t>
      </w:r>
      <w:r w:rsidRPr="00297387">
        <w:rPr>
          <w:bCs/>
          <w:szCs w:val="22"/>
        </w:rPr>
        <w:t xml:space="preserve">opyt škôl po prostriedkoch </w:t>
      </w:r>
      <w:r w:rsidR="006263D4">
        <w:rPr>
          <w:bCs/>
          <w:szCs w:val="22"/>
        </w:rPr>
        <w:t>u</w:t>
      </w:r>
      <w:r w:rsidR="002709F1">
        <w:rPr>
          <w:bCs/>
          <w:szCs w:val="22"/>
        </w:rPr>
        <w:t>ž </w:t>
      </w:r>
      <w:r w:rsidR="006263D4" w:rsidRPr="00297387">
        <w:rPr>
          <w:bCs/>
          <w:szCs w:val="22"/>
        </w:rPr>
        <w:t xml:space="preserve">niekoľko rokov prevyšuje </w:t>
      </w:r>
      <w:r w:rsidRPr="00297387">
        <w:rPr>
          <w:bCs/>
          <w:szCs w:val="22"/>
        </w:rPr>
        <w:t xml:space="preserve">objem zdrojov vyčlenených na financovanie osobných nákladov pedagogických </w:t>
      </w:r>
      <w:r w:rsidRPr="00297387">
        <w:rPr>
          <w:bCs/>
          <w:szCs w:val="22"/>
        </w:rPr>
        <w:lastRenderedPageBreak/>
        <w:t>asistentov, čo v praxi znamená, že časť požiadaviek škôl zostáva neuspokojená a niektorí znevýhodnení žiaci zostávajú bez podpory. Napriek tomu, že v školách môžu obdobnú rolu ako pedagogickí asistenti plniť aj pomocní vychovávatelia, ich pôsobenie v triedach sa na rozdiel od pedagogických asistentov nepodporuje</w:t>
      </w:r>
      <w:r w:rsidR="00D2678C">
        <w:rPr>
          <w:bCs/>
          <w:szCs w:val="22"/>
        </w:rPr>
        <w:t xml:space="preserve"> (podkapitola </w:t>
      </w:r>
      <w:r w:rsidR="00D2678C">
        <w:rPr>
          <w:bCs/>
          <w:szCs w:val="22"/>
        </w:rPr>
        <w:fldChar w:fldCharType="begin"/>
      </w:r>
      <w:r w:rsidR="00D2678C">
        <w:rPr>
          <w:bCs/>
          <w:szCs w:val="22"/>
        </w:rPr>
        <w:instrText xml:space="preserve"> REF _Ref25743147 \r \h </w:instrText>
      </w:r>
      <w:r w:rsidR="00D2678C">
        <w:rPr>
          <w:bCs/>
          <w:szCs w:val="22"/>
        </w:rPr>
      </w:r>
      <w:r w:rsidR="00D2678C">
        <w:rPr>
          <w:bCs/>
          <w:szCs w:val="22"/>
        </w:rPr>
        <w:fldChar w:fldCharType="separate"/>
      </w:r>
      <w:r w:rsidR="00FA29AF">
        <w:rPr>
          <w:bCs/>
          <w:szCs w:val="22"/>
        </w:rPr>
        <w:t>6.2</w:t>
      </w:r>
      <w:r w:rsidR="00D2678C">
        <w:rPr>
          <w:bCs/>
          <w:szCs w:val="22"/>
        </w:rPr>
        <w:fldChar w:fldCharType="end"/>
      </w:r>
      <w:r w:rsidR="00D2678C">
        <w:rPr>
          <w:bCs/>
          <w:szCs w:val="22"/>
        </w:rPr>
        <w:t>)</w:t>
      </w:r>
      <w:r w:rsidRPr="00297387">
        <w:rPr>
          <w:bCs/>
          <w:szCs w:val="22"/>
        </w:rPr>
        <w:t>.</w:t>
      </w:r>
      <w:r>
        <w:rPr>
          <w:bCs/>
          <w:szCs w:val="22"/>
        </w:rPr>
        <w:t xml:space="preserve"> </w:t>
      </w:r>
    </w:p>
    <w:p w14:paraId="349606AD" w14:textId="7EFEE52C" w:rsidR="00B11B04" w:rsidRPr="00A82E7A" w:rsidRDefault="00B11B04" w:rsidP="006B0C40">
      <w:pPr>
        <w:rPr>
          <w:bCs/>
          <w:szCs w:val="22"/>
        </w:rPr>
      </w:pPr>
      <w:r w:rsidRPr="00A82E7A">
        <w:rPr>
          <w:bCs/>
          <w:szCs w:val="22"/>
        </w:rPr>
        <w:t>Opatrenie zahŕňa:</w:t>
      </w:r>
    </w:p>
    <w:p w14:paraId="7A8AF608" w14:textId="128F976B" w:rsidR="00B11B04" w:rsidRPr="00A82E7A" w:rsidRDefault="00B11B04" w:rsidP="006B0C40">
      <w:pPr>
        <w:pStyle w:val="Odsekzoznamu"/>
        <w:numPr>
          <w:ilvl w:val="0"/>
          <w:numId w:val="32"/>
        </w:numPr>
        <w:rPr>
          <w:bCs/>
          <w:szCs w:val="22"/>
        </w:rPr>
      </w:pPr>
      <w:r w:rsidRPr="00A82E7A">
        <w:rPr>
          <w:rFonts w:eastAsia="Times New Roman" w:cs="Times New Roman"/>
          <w:bCs/>
          <w:color w:val="000000"/>
          <w:szCs w:val="22"/>
          <w:lang w:eastAsia="sk-SK"/>
        </w:rPr>
        <w:t>Jasné</w:t>
      </w:r>
      <w:r w:rsidRPr="00A82E7A">
        <w:rPr>
          <w:rFonts w:eastAsia="Times New Roman" w:cs="Times New Roman"/>
          <w:color w:val="000000"/>
          <w:szCs w:val="22"/>
          <w:lang w:eastAsia="sk-SK"/>
        </w:rPr>
        <w:t xml:space="preserve"> zadefinovanie roly pedagogického asistenta a pomocného vychovávateľa</w:t>
      </w:r>
      <w:r w:rsidR="002843B2">
        <w:rPr>
          <w:rFonts w:eastAsia="Times New Roman" w:cs="Times New Roman"/>
          <w:color w:val="000000"/>
          <w:szCs w:val="22"/>
          <w:lang w:eastAsia="sk-SK"/>
        </w:rPr>
        <w:t>, prípadná diverzifikácia potrebnej kvalifikácie</w:t>
      </w:r>
      <w:r w:rsidRPr="00A82E7A">
        <w:rPr>
          <w:rFonts w:eastAsia="Times New Roman" w:cs="Times New Roman"/>
          <w:color w:val="000000"/>
          <w:szCs w:val="22"/>
          <w:lang w:eastAsia="sk-SK"/>
        </w:rPr>
        <w:t xml:space="preserve"> a vytvorenie metodického materiálu o ich </w:t>
      </w:r>
      <w:r w:rsidR="00CB04BA">
        <w:rPr>
          <w:rFonts w:eastAsia="Times New Roman" w:cs="Times New Roman"/>
          <w:color w:val="000000"/>
          <w:szCs w:val="22"/>
          <w:lang w:eastAsia="sk-SK"/>
        </w:rPr>
        <w:t>pôsobení</w:t>
      </w:r>
      <w:r w:rsidRPr="00A82E7A">
        <w:rPr>
          <w:rFonts w:eastAsia="Times New Roman" w:cs="Times New Roman"/>
          <w:color w:val="000000"/>
          <w:szCs w:val="22"/>
          <w:lang w:eastAsia="sk-SK"/>
        </w:rPr>
        <w:t xml:space="preserve">. </w:t>
      </w:r>
    </w:p>
    <w:p w14:paraId="63D80D17" w14:textId="4A6BDEA1" w:rsidR="00B11B04" w:rsidRPr="00A82E7A" w:rsidRDefault="00B11B04" w:rsidP="006B0C40">
      <w:pPr>
        <w:pStyle w:val="Odsekzoznamu"/>
        <w:numPr>
          <w:ilvl w:val="0"/>
          <w:numId w:val="32"/>
        </w:numPr>
        <w:rPr>
          <w:bCs/>
          <w:szCs w:val="22"/>
        </w:rPr>
      </w:pPr>
      <w:r w:rsidRPr="00A82E7A">
        <w:rPr>
          <w:szCs w:val="22"/>
        </w:rPr>
        <w:t>Transparentnejší proces prideľovania prostriedkov na pedagogických asistentov/pomocných vychovávateľov stanovením a zverejnením jasných kritérií, na základe ktorých budú asistenti prideľovaní a zverejnením počtu požadovaných a pridelených prostriedkov na pedagogických asistentov/pomocných vychovávateľov</w:t>
      </w:r>
      <w:r w:rsidRPr="00A82E7A">
        <w:rPr>
          <w:bCs/>
          <w:szCs w:val="22"/>
        </w:rPr>
        <w:t xml:space="preserve">. Kritéria by mali v prvom rade zohľadňovať potreby žiakov (nie druh </w:t>
      </w:r>
      <w:r w:rsidR="0015029B">
        <w:rPr>
          <w:bCs/>
          <w:szCs w:val="22"/>
        </w:rPr>
        <w:t>zdravotného znevýhodnenia</w:t>
      </w:r>
      <w:r w:rsidRPr="00A82E7A">
        <w:rPr>
          <w:bCs/>
          <w:szCs w:val="22"/>
        </w:rPr>
        <w:t>) a v súlade so zahraničnou dobrou praxou by v relevantných prípadoch malo dochádzať k prehodnocovaniu potrieb a k oslabovaniu prítomnosti asistentov s rastúcim vekom žiakov.</w:t>
      </w:r>
    </w:p>
    <w:p w14:paraId="04F1B3B7" w14:textId="2DF5E792" w:rsidR="004D786F" w:rsidRPr="00892D22" w:rsidRDefault="004D786F" w:rsidP="004D786F">
      <w:pPr>
        <w:pStyle w:val="Odsekzoznamu"/>
        <w:numPr>
          <w:ilvl w:val="0"/>
          <w:numId w:val="32"/>
        </w:numPr>
        <w:rPr>
          <w:bCs/>
          <w:szCs w:val="22"/>
        </w:rPr>
      </w:pPr>
      <w:r>
        <w:rPr>
          <w:color w:val="212121"/>
        </w:rPr>
        <w:t xml:space="preserve">Zavedenie právneho nároku na zabezpečenie pedagogického asistenta/pomocného vychovávateľa, podmienené realizáciou predošlých dvoch podopatrení ako aj vyčlenením dostatočných zdrojov na tento účel. Výpočet dopadov hodnotových opatrení na verejné financie (podkapitola </w:t>
      </w:r>
      <w:r>
        <w:rPr>
          <w:color w:val="212121"/>
        </w:rPr>
        <w:fldChar w:fldCharType="begin"/>
      </w:r>
      <w:r>
        <w:rPr>
          <w:color w:val="212121"/>
        </w:rPr>
        <w:instrText xml:space="preserve"> REF _Ref34064967 \r \h </w:instrText>
      </w:r>
      <w:r>
        <w:rPr>
          <w:color w:val="212121"/>
        </w:rPr>
      </w:r>
      <w:r>
        <w:rPr>
          <w:color w:val="212121"/>
        </w:rPr>
        <w:fldChar w:fldCharType="separate"/>
      </w:r>
      <w:r w:rsidR="00FA29AF">
        <w:rPr>
          <w:color w:val="212121"/>
        </w:rPr>
        <w:t>1.1</w:t>
      </w:r>
      <w:r>
        <w:rPr>
          <w:color w:val="212121"/>
        </w:rPr>
        <w:fldChar w:fldCharType="end"/>
      </w:r>
      <w:r>
        <w:rPr>
          <w:color w:val="212121"/>
        </w:rPr>
        <w:t>) tieto zdroje nezohľadňuje, nakoľko v súčasnosti nie je možné odhadnúť</w:t>
      </w:r>
      <w:r w:rsidR="00083EDF">
        <w:rPr>
          <w:color w:val="212121"/>
        </w:rPr>
        <w:t xml:space="preserve"> objektívne potreby žiakov so zdravotným znevýhodnením</w:t>
      </w:r>
      <w:r>
        <w:rPr>
          <w:color w:val="212121"/>
        </w:rPr>
        <w:t xml:space="preserve"> na pedagogických asistentov/pomocných vychovávateľov na základe dostupných údajov.</w:t>
      </w:r>
    </w:p>
    <w:p w14:paraId="79880706" w14:textId="2B8044AA" w:rsidR="00B11B04" w:rsidRPr="0008277F" w:rsidRDefault="00B11B04" w:rsidP="006B0C40">
      <w:pPr>
        <w:rPr>
          <w:bCs/>
          <w:szCs w:val="22"/>
        </w:rPr>
      </w:pPr>
      <w:r>
        <w:rPr>
          <w:b/>
          <w:szCs w:val="22"/>
        </w:rPr>
        <w:t>1</w:t>
      </w:r>
      <w:r w:rsidR="00FE350B">
        <w:rPr>
          <w:b/>
          <w:szCs w:val="22"/>
        </w:rPr>
        <w:t>4</w:t>
      </w:r>
      <w:r w:rsidRPr="0008277F">
        <w:rPr>
          <w:b/>
          <w:szCs w:val="22"/>
        </w:rPr>
        <w:t xml:space="preserve">. </w:t>
      </w:r>
      <w:r w:rsidRPr="0063704A">
        <w:rPr>
          <w:b/>
          <w:szCs w:val="22"/>
        </w:rPr>
        <w:t xml:space="preserve">Opatrenie: </w:t>
      </w:r>
      <w:r w:rsidRPr="0008277F">
        <w:rPr>
          <w:b/>
          <w:szCs w:val="22"/>
        </w:rPr>
        <w:t>Umožniť žiakom s mentálnym postihnutím s dokončenou základnou školou získať nižšie stredné vzdelanie.</w:t>
      </w:r>
      <w:r w:rsidRPr="009C4363">
        <w:rPr>
          <w:b/>
          <w:szCs w:val="22"/>
        </w:rPr>
        <w:t xml:space="preserve"> </w:t>
      </w:r>
      <w:r w:rsidRPr="0008277F">
        <w:rPr>
          <w:bCs/>
          <w:szCs w:val="22"/>
        </w:rPr>
        <w:t xml:space="preserve">Na rozdiel od žiakov s inými druhmi zdravotných znevýhodnení </w:t>
      </w:r>
      <w:r w:rsidRPr="0008277F">
        <w:rPr>
          <w:bCs/>
        </w:rPr>
        <w:t>žiaci s mentálnym postihnutím nezískavajú úspešným ukončením druhého stupňa základnej školy nižšie stredné vzdelanie</w:t>
      </w:r>
      <w:r>
        <w:rPr>
          <w:bCs/>
        </w:rPr>
        <w:t xml:space="preserve"> (ISCED 2)</w:t>
      </w:r>
      <w:r w:rsidRPr="0008277F">
        <w:rPr>
          <w:bCs/>
        </w:rPr>
        <w:t>, ale iba primárne vzdelanie a nemôžu pokračovať vo vzdelávaní na bežných stredných školách. Viaceré výskumy preukazujú, že v porovnaní so segregovaným spôsobom vzdelávania dosahujú žiaci s mentálnym postihnutím v spoločnom vzdelávaní lepšie vzdelávacie výsledky a vyšší stupeň vzdelania</w:t>
      </w:r>
      <w:r w:rsidR="00D2678C">
        <w:rPr>
          <w:bCs/>
        </w:rPr>
        <w:t xml:space="preserve"> (podkapitola </w:t>
      </w:r>
      <w:r w:rsidR="00D2678C">
        <w:rPr>
          <w:bCs/>
        </w:rPr>
        <w:fldChar w:fldCharType="begin"/>
      </w:r>
      <w:r w:rsidR="00D2678C">
        <w:rPr>
          <w:bCs/>
        </w:rPr>
        <w:instrText xml:space="preserve"> REF _Ref25743147 \r \h </w:instrText>
      </w:r>
      <w:r w:rsidR="00D2678C">
        <w:rPr>
          <w:bCs/>
        </w:rPr>
      </w:r>
      <w:r w:rsidR="00D2678C">
        <w:rPr>
          <w:bCs/>
        </w:rPr>
        <w:fldChar w:fldCharType="separate"/>
      </w:r>
      <w:r w:rsidR="00FA29AF">
        <w:rPr>
          <w:bCs/>
        </w:rPr>
        <w:t>6.2</w:t>
      </w:r>
      <w:r w:rsidR="00D2678C">
        <w:rPr>
          <w:bCs/>
        </w:rPr>
        <w:fldChar w:fldCharType="end"/>
      </w:r>
      <w:r w:rsidR="00D2678C">
        <w:rPr>
          <w:bCs/>
        </w:rPr>
        <w:t>)</w:t>
      </w:r>
      <w:r w:rsidRPr="0008277F">
        <w:rPr>
          <w:bCs/>
        </w:rPr>
        <w:t>.</w:t>
      </w:r>
      <w:r>
        <w:rPr>
          <w:bCs/>
        </w:rPr>
        <w:t xml:space="preserve"> </w:t>
      </w:r>
    </w:p>
    <w:p w14:paraId="72827055" w14:textId="10DA9175" w:rsidR="00B11B04" w:rsidRDefault="00B11B04" w:rsidP="006B0C40">
      <w:pPr>
        <w:rPr>
          <w:bCs/>
          <w:szCs w:val="22"/>
        </w:rPr>
      </w:pPr>
      <w:r>
        <w:rPr>
          <w:b/>
          <w:szCs w:val="22"/>
        </w:rPr>
        <w:t>1</w:t>
      </w:r>
      <w:r w:rsidR="00FE350B">
        <w:rPr>
          <w:b/>
          <w:szCs w:val="22"/>
        </w:rPr>
        <w:t>5</w:t>
      </w:r>
      <w:r w:rsidRPr="006E459E">
        <w:rPr>
          <w:b/>
          <w:szCs w:val="22"/>
        </w:rPr>
        <w:t xml:space="preserve">. Opatrenie: </w:t>
      </w:r>
      <w:r w:rsidR="00CB04BA">
        <w:rPr>
          <w:b/>
          <w:szCs w:val="22"/>
        </w:rPr>
        <w:t xml:space="preserve">Umožniť všetkým </w:t>
      </w:r>
      <w:r w:rsidR="00D2678C">
        <w:rPr>
          <w:b/>
          <w:szCs w:val="22"/>
        </w:rPr>
        <w:t>materským, základným a stredným školám</w:t>
      </w:r>
      <w:r w:rsidR="00CB04BA">
        <w:rPr>
          <w:b/>
          <w:szCs w:val="22"/>
        </w:rPr>
        <w:t xml:space="preserve"> zapojiť sa do </w:t>
      </w:r>
      <w:r w:rsidR="00CB04BA" w:rsidRPr="0063704A">
        <w:rPr>
          <w:rFonts w:eastAsia="Times New Roman" w:cs="Times New Roman"/>
          <w:b/>
          <w:color w:val="000000"/>
          <w:szCs w:val="22"/>
          <w:lang w:eastAsia="sk-SK"/>
        </w:rPr>
        <w:t>rozvojové</w:t>
      </w:r>
      <w:r w:rsidR="00CB04BA">
        <w:rPr>
          <w:rFonts w:eastAsia="Times New Roman" w:cs="Times New Roman"/>
          <w:b/>
          <w:color w:val="000000"/>
          <w:szCs w:val="22"/>
          <w:lang w:eastAsia="sk-SK"/>
        </w:rPr>
        <w:t>ho</w:t>
      </w:r>
      <w:r w:rsidR="00CB04BA" w:rsidRPr="0063704A">
        <w:rPr>
          <w:rFonts w:eastAsia="Times New Roman" w:cs="Times New Roman"/>
          <w:b/>
          <w:color w:val="000000"/>
          <w:szCs w:val="22"/>
          <w:lang w:eastAsia="sk-SK"/>
        </w:rPr>
        <w:t xml:space="preserve"> projektu pre debarierizáciu</w:t>
      </w:r>
      <w:r w:rsidRPr="0063704A">
        <w:rPr>
          <w:b/>
          <w:szCs w:val="22"/>
        </w:rPr>
        <w:t>.</w:t>
      </w:r>
      <w:r>
        <w:rPr>
          <w:b/>
          <w:szCs w:val="22"/>
        </w:rPr>
        <w:t xml:space="preserve"> </w:t>
      </w:r>
      <w:r>
        <w:rPr>
          <w:bCs/>
          <w:szCs w:val="22"/>
        </w:rPr>
        <w:t xml:space="preserve">V súčasnosti platí, že o prostriedky z rozvojového projektu na debarierizáciu školského prostredia sa môžu uchádzať iba bežné základné alebo stredné školy, ktoré už vzdelávajú aspoň jedného žiaka so zdravotným znevýhodnením. Takýto prístup predpokladá, že žiak so zdravotným znevýhodnením má byť najskôr prijatý a vzdelávaný v bariérovom prostredí a k jeho debarierizácii môže dôjsť až následne. </w:t>
      </w:r>
      <w:r w:rsidR="00C91037">
        <w:rPr>
          <w:bCs/>
          <w:szCs w:val="22"/>
        </w:rPr>
        <w:t xml:space="preserve">Toto kritérium de facto zabraňuje školám, aby sa automaticky pripravili na </w:t>
      </w:r>
      <w:r w:rsidR="00D2678C">
        <w:rPr>
          <w:bCs/>
          <w:szCs w:val="22"/>
        </w:rPr>
        <w:t>vzdelávanie takýchto žiakov vopred</w:t>
      </w:r>
      <w:r w:rsidR="00CE065C">
        <w:rPr>
          <w:bCs/>
          <w:szCs w:val="22"/>
        </w:rPr>
        <w:t xml:space="preserve"> (</w:t>
      </w:r>
      <w:r w:rsidR="00141B6D">
        <w:rPr>
          <w:bCs/>
          <w:szCs w:val="22"/>
        </w:rPr>
        <w:t>kapitola </w:t>
      </w:r>
      <w:r w:rsidR="00CE065C">
        <w:rPr>
          <w:bCs/>
          <w:szCs w:val="22"/>
        </w:rPr>
        <w:fldChar w:fldCharType="begin"/>
      </w:r>
      <w:r w:rsidR="00CE065C">
        <w:rPr>
          <w:bCs/>
          <w:szCs w:val="22"/>
        </w:rPr>
        <w:instrText xml:space="preserve"> REF _Ref25227067 \r \h </w:instrText>
      </w:r>
      <w:r w:rsidR="00CE065C">
        <w:rPr>
          <w:bCs/>
          <w:szCs w:val="22"/>
        </w:rPr>
      </w:r>
      <w:r w:rsidR="00CE065C">
        <w:rPr>
          <w:bCs/>
          <w:szCs w:val="22"/>
        </w:rPr>
        <w:fldChar w:fldCharType="separate"/>
      </w:r>
      <w:r w:rsidR="00FA29AF">
        <w:rPr>
          <w:bCs/>
          <w:szCs w:val="22"/>
        </w:rPr>
        <w:t>6</w:t>
      </w:r>
      <w:r w:rsidR="00CE065C">
        <w:rPr>
          <w:bCs/>
          <w:szCs w:val="22"/>
        </w:rPr>
        <w:fldChar w:fldCharType="end"/>
      </w:r>
      <w:r w:rsidR="00D2678C">
        <w:rPr>
          <w:bCs/>
          <w:szCs w:val="22"/>
        </w:rPr>
        <w:t xml:space="preserve">). </w:t>
      </w:r>
    </w:p>
    <w:p w14:paraId="6F89FA4B" w14:textId="16C3B468" w:rsidR="00E33D02" w:rsidRDefault="00E33D02" w:rsidP="00C5042F">
      <w:pPr>
        <w:pStyle w:val="Bezriadkovania"/>
        <w:spacing w:after="240" w:line="259" w:lineRule="auto"/>
        <w:jc w:val="both"/>
        <w:rPr>
          <w:rFonts w:ascii="Arial Narrow" w:hAnsi="Arial Narrow"/>
          <w:bCs/>
        </w:rPr>
      </w:pPr>
      <w:r w:rsidRPr="00452DBC">
        <w:rPr>
          <w:rFonts w:ascii="Arial Narrow" w:hAnsi="Arial Narrow"/>
          <w:b/>
        </w:rPr>
        <w:t>1</w:t>
      </w:r>
      <w:r w:rsidR="00FE350B">
        <w:rPr>
          <w:rFonts w:ascii="Arial Narrow" w:hAnsi="Arial Narrow"/>
          <w:b/>
        </w:rPr>
        <w:t>6</w:t>
      </w:r>
      <w:r w:rsidRPr="00452DBC">
        <w:rPr>
          <w:rFonts w:ascii="Arial Narrow" w:hAnsi="Arial Narrow"/>
          <w:b/>
        </w:rPr>
        <w:t xml:space="preserve">. Opatrenie: </w:t>
      </w:r>
      <w:r w:rsidRPr="00452DBC">
        <w:rPr>
          <w:rFonts w:ascii="Arial Narrow" w:eastAsia="Times New Roman" w:hAnsi="Arial Narrow" w:cs="Times New Roman"/>
          <w:b/>
          <w:color w:val="000000"/>
          <w:lang w:eastAsia="sk-SK"/>
        </w:rPr>
        <w:t>Umožniť žiakom špeciálnych stredných škôl, odborných učilíšť a praktických škôl zapojiť sa do duálneho vzdelávania.</w:t>
      </w:r>
      <w:r w:rsidR="00C5042F" w:rsidRPr="00C5042F">
        <w:rPr>
          <w:rFonts w:ascii="Arial Narrow" w:eastAsia="Times New Roman" w:hAnsi="Arial Narrow" w:cs="Times New Roman"/>
          <w:b/>
          <w:color w:val="000000"/>
          <w:lang w:eastAsia="sk-SK"/>
        </w:rPr>
        <w:t xml:space="preserve"> </w:t>
      </w:r>
      <w:r w:rsidR="00C5042F" w:rsidRPr="00C5042F">
        <w:rPr>
          <w:rFonts w:ascii="Arial Narrow" w:hAnsi="Arial Narrow"/>
          <w:bCs/>
        </w:rPr>
        <w:t xml:space="preserve">V súlade s platnou legislatívou sa do duálneho vzdelávania môžu zapájať iba žiaci bežných stredných odborných škôl. Takýto prístup je v rozpore s medzinárodnou dobrou praxou. Odborníci upozorňujú, že prístup k duálnemu vzdelávaniu by mali mať žiaci všetkých škôl bez ohľadu na ich špeciálne potreby (podkapitola </w:t>
      </w:r>
      <w:r w:rsidR="00C5042F" w:rsidRPr="00C5042F">
        <w:rPr>
          <w:rFonts w:ascii="Arial Narrow" w:hAnsi="Arial Narrow"/>
          <w:bCs/>
        </w:rPr>
        <w:fldChar w:fldCharType="begin"/>
      </w:r>
      <w:r w:rsidR="00C5042F" w:rsidRPr="00C5042F">
        <w:rPr>
          <w:rFonts w:ascii="Arial Narrow" w:hAnsi="Arial Narrow"/>
          <w:bCs/>
        </w:rPr>
        <w:instrText xml:space="preserve"> REF _Ref33278014 \r \h  \* MERGEFORMAT </w:instrText>
      </w:r>
      <w:r w:rsidR="00C5042F" w:rsidRPr="00C5042F">
        <w:rPr>
          <w:rFonts w:ascii="Arial Narrow" w:hAnsi="Arial Narrow"/>
          <w:bCs/>
        </w:rPr>
      </w:r>
      <w:r w:rsidR="00C5042F" w:rsidRPr="00C5042F">
        <w:rPr>
          <w:rFonts w:ascii="Arial Narrow" w:hAnsi="Arial Narrow"/>
          <w:bCs/>
        </w:rPr>
        <w:fldChar w:fldCharType="separate"/>
      </w:r>
      <w:r w:rsidR="00FA29AF">
        <w:rPr>
          <w:rFonts w:ascii="Arial Narrow" w:hAnsi="Arial Narrow"/>
          <w:bCs/>
        </w:rPr>
        <w:t>6.4</w:t>
      </w:r>
      <w:r w:rsidR="00C5042F" w:rsidRPr="00C5042F">
        <w:rPr>
          <w:rFonts w:ascii="Arial Narrow" w:hAnsi="Arial Narrow"/>
          <w:bCs/>
        </w:rPr>
        <w:fldChar w:fldCharType="end"/>
      </w:r>
      <w:r w:rsidR="00C5042F" w:rsidRPr="00C5042F">
        <w:rPr>
          <w:rFonts w:ascii="Arial Narrow" w:hAnsi="Arial Narrow"/>
          <w:bCs/>
        </w:rPr>
        <w:t xml:space="preserve">). </w:t>
      </w:r>
      <w:r w:rsidR="00B438AD">
        <w:rPr>
          <w:rFonts w:ascii="Arial Narrow" w:hAnsi="Arial Narrow"/>
          <w:bCs/>
        </w:rPr>
        <w:t>Opatrenie predpokladá upravenie zákona</w:t>
      </w:r>
      <w:r w:rsidR="00C5042F" w:rsidRPr="00C5042F">
        <w:rPr>
          <w:rFonts w:ascii="Arial Narrow" w:hAnsi="Arial Narrow"/>
          <w:bCs/>
        </w:rPr>
        <w:t xml:space="preserve"> o odbornom vzdelávaní. Na podporu implementácie duálneho vzdel</w:t>
      </w:r>
      <w:r w:rsidR="00083EDF">
        <w:rPr>
          <w:rFonts w:ascii="Arial Narrow" w:hAnsi="Arial Narrow"/>
          <w:bCs/>
        </w:rPr>
        <w:t>ávania vo vzťahu ku žiakom so zdravotným znevýhodnením</w:t>
      </w:r>
      <w:r w:rsidR="00C5042F" w:rsidRPr="00C5042F">
        <w:rPr>
          <w:rFonts w:ascii="Arial Narrow" w:hAnsi="Arial Narrow"/>
          <w:bCs/>
        </w:rPr>
        <w:t xml:space="preserve"> by mohli byť použité doposiaľ nevyčerpané zdroje z Národné</w:t>
      </w:r>
      <w:r w:rsidR="00304498">
        <w:rPr>
          <w:rFonts w:ascii="Arial Narrow" w:hAnsi="Arial Narrow"/>
          <w:bCs/>
        </w:rPr>
        <w:t>ho</w:t>
      </w:r>
      <w:r w:rsidR="00C5042F" w:rsidRPr="00C5042F">
        <w:rPr>
          <w:rFonts w:ascii="Arial Narrow" w:hAnsi="Arial Narrow"/>
          <w:bCs/>
        </w:rPr>
        <w:t xml:space="preserve"> projektu Duálne vzdelávanie.</w:t>
      </w:r>
      <w:r w:rsidR="00C5042F" w:rsidRPr="00C5042F">
        <w:rPr>
          <w:rStyle w:val="Odkaznapoznmkupodiarou"/>
          <w:rFonts w:ascii="Arial Narrow" w:hAnsi="Arial Narrow"/>
          <w:bCs/>
        </w:rPr>
        <w:footnoteReference w:id="7"/>
      </w:r>
    </w:p>
    <w:p w14:paraId="772785A0" w14:textId="0D1D5C4B" w:rsidR="00351F0E" w:rsidRPr="00A22588" w:rsidRDefault="00FE350B" w:rsidP="00A22588">
      <w:pPr>
        <w:spacing w:before="160"/>
      </w:pPr>
      <w:r>
        <w:rPr>
          <w:b/>
        </w:rPr>
        <w:t>17</w:t>
      </w:r>
      <w:r w:rsidR="00A22588" w:rsidRPr="00CA2564">
        <w:rPr>
          <w:b/>
        </w:rPr>
        <w:t xml:space="preserve">. </w:t>
      </w:r>
      <w:r w:rsidR="00A22588" w:rsidRPr="005315DA">
        <w:rPr>
          <w:b/>
          <w:szCs w:val="22"/>
        </w:rPr>
        <w:t xml:space="preserve">Opatrenie: </w:t>
      </w:r>
      <w:r w:rsidR="00A22588" w:rsidRPr="005315DA">
        <w:rPr>
          <w:rFonts w:eastAsia="Times New Roman" w:cs="Times New Roman"/>
          <w:b/>
          <w:color w:val="000000"/>
          <w:szCs w:val="22"/>
          <w:lang w:eastAsia="sk-SK"/>
        </w:rPr>
        <w:t>Regul</w:t>
      </w:r>
      <w:r w:rsidR="00A22588">
        <w:rPr>
          <w:rFonts w:eastAsia="Times New Roman" w:cs="Times New Roman"/>
          <w:b/>
          <w:color w:val="000000"/>
          <w:szCs w:val="22"/>
          <w:lang w:eastAsia="sk-SK"/>
        </w:rPr>
        <w:t>ovať</w:t>
      </w:r>
      <w:r w:rsidR="00A22588" w:rsidRPr="005315DA">
        <w:rPr>
          <w:rFonts w:eastAsia="Times New Roman" w:cs="Times New Roman"/>
          <w:b/>
          <w:color w:val="000000"/>
          <w:szCs w:val="22"/>
          <w:lang w:eastAsia="sk-SK"/>
        </w:rPr>
        <w:t xml:space="preserve"> poč</w:t>
      </w:r>
      <w:r w:rsidR="00A22588">
        <w:rPr>
          <w:rFonts w:eastAsia="Times New Roman" w:cs="Times New Roman"/>
          <w:b/>
          <w:color w:val="000000"/>
          <w:szCs w:val="22"/>
          <w:lang w:eastAsia="sk-SK"/>
        </w:rPr>
        <w:t>et</w:t>
      </w:r>
      <w:r w:rsidR="00A22588" w:rsidRPr="005315DA">
        <w:rPr>
          <w:rFonts w:eastAsia="Times New Roman" w:cs="Times New Roman"/>
          <w:b/>
          <w:color w:val="000000"/>
          <w:szCs w:val="22"/>
          <w:lang w:eastAsia="sk-SK"/>
        </w:rPr>
        <w:t xml:space="preserve"> žiakov 1.ročníkov na F-odboroch.</w:t>
      </w:r>
      <w:r w:rsidR="00A22588">
        <w:rPr>
          <w:rFonts w:eastAsia="Times New Roman" w:cs="Times New Roman"/>
          <w:b/>
          <w:color w:val="000000"/>
          <w:szCs w:val="22"/>
          <w:lang w:eastAsia="sk-SK"/>
        </w:rPr>
        <w:t xml:space="preserve"> </w:t>
      </w:r>
      <w:r w:rsidR="00A22588">
        <w:t xml:space="preserve">Na F-odboroch sa môžu vzdelávať iba žiaci bez ukončenej základnej školy. Absolvovaním F-odboru však </w:t>
      </w:r>
      <w:r w:rsidR="00A22588" w:rsidRPr="00CA2564">
        <w:t>nezíska</w:t>
      </w:r>
      <w:r w:rsidR="00A22588">
        <w:t>jú</w:t>
      </w:r>
      <w:r w:rsidR="00A22588" w:rsidRPr="00CA2564">
        <w:t xml:space="preserve"> nižšie stredné vzdelanie (ekvivalent ukončenej základnej školy), ale iba nižšie stredné odborné vzdelanie</w:t>
      </w:r>
      <w:r w:rsidR="00A22588">
        <w:t>, ktoré im neumožňuje pokračovať ďalej vo vzdelávaní na stredných školách</w:t>
      </w:r>
      <w:r w:rsidR="00A22588" w:rsidRPr="00CA2564">
        <w:t xml:space="preserve">. </w:t>
      </w:r>
      <w:r w:rsidR="00A22588" w:rsidRPr="00CA2564">
        <w:rPr>
          <w:bCs/>
        </w:rPr>
        <w:t>Vzdelávanie na F-odboroch je</w:t>
      </w:r>
      <w:r w:rsidR="00A22588">
        <w:rPr>
          <w:bCs/>
        </w:rPr>
        <w:t xml:space="preserve"> pritom</w:t>
      </w:r>
      <w:r w:rsidR="00A22588" w:rsidRPr="00CA2564">
        <w:rPr>
          <w:bCs/>
        </w:rPr>
        <w:t xml:space="preserve"> približne 2-násobne drahšie oproti vzdelávaniu v bežných základných školách.</w:t>
      </w:r>
      <w:r w:rsidR="00A22588">
        <w:rPr>
          <w:bCs/>
        </w:rPr>
        <w:t xml:space="preserve"> </w:t>
      </w:r>
      <w:r w:rsidR="00A22588" w:rsidRPr="00CA2564">
        <w:t xml:space="preserve">V F-odboroch vo väčšej miere študujú </w:t>
      </w:r>
      <w:r w:rsidR="00A22588">
        <w:t xml:space="preserve">chudobní </w:t>
      </w:r>
      <w:r w:rsidR="00A22588" w:rsidRPr="00CA2564">
        <w:t xml:space="preserve">žiaci </w:t>
      </w:r>
      <w:r w:rsidR="002709F1">
        <w:t>a </w:t>
      </w:r>
      <w:r w:rsidR="00A22588">
        <w:t>žiaci</w:t>
      </w:r>
      <w:r w:rsidR="003B2F27">
        <w:t> z prostredia MRK</w:t>
      </w:r>
      <w:r w:rsidR="00A22588" w:rsidRPr="00CA2564">
        <w:t xml:space="preserve">. Absolventi F odborov majú o niečo lepšie šance nájsť si zamestnanie po ukončení štúdia </w:t>
      </w:r>
      <w:r w:rsidR="00A22588" w:rsidRPr="00CA2564">
        <w:lastRenderedPageBreak/>
        <w:t>ako absolventi s ukončenou základnou školou</w:t>
      </w:r>
      <w:r w:rsidR="00A22588">
        <w:t>,</w:t>
      </w:r>
      <w:r w:rsidR="00A22588" w:rsidRPr="00CA2564">
        <w:t xml:space="preserve"> neplatí to</w:t>
      </w:r>
      <w:r w:rsidR="00A22588">
        <w:t xml:space="preserve"> ale</w:t>
      </w:r>
      <w:r w:rsidR="00A22588" w:rsidRPr="00CA2564">
        <w:t xml:space="preserve"> p</w:t>
      </w:r>
      <w:r w:rsidR="003B2F27">
        <w:t>re všetky F odbory (podkapitola </w:t>
      </w:r>
      <w:r w:rsidR="003B2F27">
        <w:fldChar w:fldCharType="begin"/>
      </w:r>
      <w:r w:rsidR="003B2F27">
        <w:instrText xml:space="preserve"> REF _Ref34380112 \r \h </w:instrText>
      </w:r>
      <w:r w:rsidR="003B2F27">
        <w:fldChar w:fldCharType="separate"/>
      </w:r>
      <w:r w:rsidR="00FA29AF">
        <w:t>5.3</w:t>
      </w:r>
      <w:r w:rsidR="003B2F27">
        <w:fldChar w:fldCharType="end"/>
      </w:r>
      <w:r w:rsidR="00A22588" w:rsidRPr="00CA2564">
        <w:t xml:space="preserve">). </w:t>
      </w:r>
      <w:r w:rsidR="00A22588" w:rsidRPr="001C4DB7">
        <w:t>Na</w:t>
      </w:r>
      <w:r w:rsidR="00A22588">
        <w:t xml:space="preserve">priek tomu však </w:t>
      </w:r>
      <w:r w:rsidR="00A22588" w:rsidRPr="001C4DB7">
        <w:t>počet žiakov v triedach prvých ročníkoch F-odborov nie je</w:t>
      </w:r>
      <w:r w:rsidR="00A22588">
        <w:t xml:space="preserve">, na </w:t>
      </w:r>
      <w:r w:rsidR="00A22588" w:rsidRPr="001C4DB7">
        <w:t>rozdiel od iných odborov odborného vzdelávania</w:t>
      </w:r>
      <w:r w:rsidR="00A22588">
        <w:t>,</w:t>
      </w:r>
      <w:r w:rsidR="00A22588" w:rsidRPr="001C4DB7">
        <w:t xml:space="preserve"> regulovaný podľa dosahovaných výsledkov</w:t>
      </w:r>
      <w:r w:rsidR="00A22588">
        <w:t xml:space="preserve">. </w:t>
      </w:r>
    </w:p>
    <w:p w14:paraId="4C4AC834" w14:textId="681E39FA" w:rsidR="004F1697" w:rsidRPr="00231BE7" w:rsidRDefault="004F1697" w:rsidP="006B0C40">
      <w:pPr>
        <w:spacing w:before="200"/>
        <w:rPr>
          <w:bCs/>
          <w:color w:val="0070C0"/>
        </w:rPr>
      </w:pPr>
      <w:r w:rsidRPr="00231BE7">
        <w:rPr>
          <w:bCs/>
          <w:color w:val="0070C0"/>
        </w:rPr>
        <w:t>Politiky trhu práce a sociálne politiky</w:t>
      </w:r>
    </w:p>
    <w:p w14:paraId="111C5029" w14:textId="62C36895" w:rsidR="00B11B04" w:rsidRPr="0090504F" w:rsidRDefault="00B11B04" w:rsidP="006B0C40">
      <w:pPr>
        <w:spacing w:before="160"/>
        <w:rPr>
          <w:rFonts w:eastAsia="Times New Roman" w:cs="Times New Roman"/>
          <w:color w:val="000000"/>
          <w:sz w:val="20"/>
          <w:lang w:eastAsia="sk-SK"/>
        </w:rPr>
      </w:pPr>
      <w:r w:rsidRPr="0090504F">
        <w:rPr>
          <w:b/>
          <w:szCs w:val="22"/>
        </w:rPr>
        <w:t>1</w:t>
      </w:r>
      <w:r w:rsidR="00FE350B">
        <w:rPr>
          <w:b/>
          <w:szCs w:val="22"/>
        </w:rPr>
        <w:t>8</w:t>
      </w:r>
      <w:r w:rsidRPr="0090504F">
        <w:rPr>
          <w:b/>
          <w:szCs w:val="22"/>
        </w:rPr>
        <w:t xml:space="preserve">. Opatrenie: </w:t>
      </w:r>
      <w:r w:rsidRPr="0090504F">
        <w:rPr>
          <w:rFonts w:eastAsia="Times New Roman" w:cs="Times New Roman"/>
          <w:b/>
          <w:color w:val="000000"/>
          <w:szCs w:val="22"/>
          <w:lang w:eastAsia="sk-SK"/>
        </w:rPr>
        <w:t>Obmedz</w:t>
      </w:r>
      <w:r w:rsidR="00B929BE">
        <w:rPr>
          <w:rFonts w:eastAsia="Times New Roman" w:cs="Times New Roman"/>
          <w:b/>
          <w:color w:val="000000"/>
          <w:szCs w:val="22"/>
          <w:lang w:eastAsia="sk-SK"/>
        </w:rPr>
        <w:t>iť</w:t>
      </w:r>
      <w:r w:rsidRPr="0090504F">
        <w:rPr>
          <w:rFonts w:eastAsia="Times New Roman" w:cs="Times New Roman"/>
          <w:b/>
          <w:color w:val="000000"/>
          <w:szCs w:val="22"/>
          <w:lang w:eastAsia="sk-SK"/>
        </w:rPr>
        <w:t xml:space="preserve"> zaraďovani</w:t>
      </w:r>
      <w:r w:rsidR="00B929BE">
        <w:rPr>
          <w:rFonts w:eastAsia="Times New Roman" w:cs="Times New Roman"/>
          <w:b/>
          <w:color w:val="000000"/>
          <w:szCs w:val="22"/>
          <w:lang w:eastAsia="sk-SK"/>
        </w:rPr>
        <w:t>e</w:t>
      </w:r>
      <w:r w:rsidRPr="0090504F">
        <w:rPr>
          <w:rFonts w:eastAsia="Times New Roman" w:cs="Times New Roman"/>
          <w:b/>
          <w:color w:val="000000"/>
          <w:szCs w:val="22"/>
          <w:lang w:eastAsia="sk-SK"/>
        </w:rPr>
        <w:t xml:space="preserve"> ľudí s úplným stredným vzdelaním na aktivačné práce. </w:t>
      </w:r>
      <w:r w:rsidR="00A10DED">
        <w:t xml:space="preserve">Napriek tomu, že pri aktivačných prácach ide zväčša o jednoduché manuálne práce, až 10 % účastníkov tvorili v roku 2017 uchádzači o zamestnanie s dosiahnutým úplným stredným </w:t>
      </w:r>
      <w:r w:rsidR="00A10DED" w:rsidRPr="00A10DED">
        <w:t>vzdelaním (s maturitou) alebo s vysokoškolským vzdelaním. Procesné pokyny na úradoch práce by mali byť upravené tak, aby po komplexnej profilácii boli uchádzači o zamestnanie, ktorí ukončili úplné stredné vzdelanie a nemali iné</w:t>
      </w:r>
      <w:r w:rsidR="002709F1">
        <w:t xml:space="preserve"> prekážky znemožňujúce účasť na </w:t>
      </w:r>
      <w:r w:rsidR="00A10DED" w:rsidRPr="00A10DED">
        <w:t>iných nástrojoch pomoci, zaraďovaní primárne na iné programy v rámci aktívnych</w:t>
      </w:r>
      <w:r w:rsidR="002709F1">
        <w:t xml:space="preserve"> opatrení trhu práce ako na </w:t>
      </w:r>
      <w:r w:rsidR="00A10DED">
        <w:t>aktivačné práce</w:t>
      </w:r>
      <w:r w:rsidR="008F3C2E">
        <w:t xml:space="preserve"> </w:t>
      </w:r>
      <w:r w:rsidRPr="00443783">
        <w:rPr>
          <w:rFonts w:cs="NeueHaasGroteskText W02"/>
        </w:rPr>
        <w:t xml:space="preserve">(podkapitola </w:t>
      </w:r>
      <w:r w:rsidR="0010591A">
        <w:rPr>
          <w:rFonts w:cs="NeueHaasGroteskText W02"/>
        </w:rPr>
        <w:fldChar w:fldCharType="begin"/>
      </w:r>
      <w:r w:rsidR="0010591A">
        <w:rPr>
          <w:rFonts w:cs="NeueHaasGroteskText W02"/>
        </w:rPr>
        <w:instrText xml:space="preserve"> REF _Ref25310325 \r \h </w:instrText>
      </w:r>
      <w:r w:rsidR="0010591A">
        <w:rPr>
          <w:rFonts w:cs="NeueHaasGroteskText W02"/>
        </w:rPr>
      </w:r>
      <w:r w:rsidR="0010591A">
        <w:rPr>
          <w:rFonts w:cs="NeueHaasGroteskText W02"/>
        </w:rPr>
        <w:fldChar w:fldCharType="separate"/>
      </w:r>
      <w:r w:rsidR="00FA29AF">
        <w:rPr>
          <w:rFonts w:cs="NeueHaasGroteskText W02"/>
        </w:rPr>
        <w:t>7.2</w:t>
      </w:r>
      <w:r w:rsidR="0010591A">
        <w:rPr>
          <w:rFonts w:cs="NeueHaasGroteskText W02"/>
        </w:rPr>
        <w:fldChar w:fldCharType="end"/>
      </w:r>
      <w:r w:rsidRPr="00443783">
        <w:rPr>
          <w:rFonts w:cs="NeueHaasGroteskText W02"/>
        </w:rPr>
        <w:t>).</w:t>
      </w:r>
    </w:p>
    <w:p w14:paraId="063C024D" w14:textId="19E56FB6" w:rsidR="00B11B04" w:rsidRDefault="00FE350B" w:rsidP="006B0C40">
      <w:r>
        <w:rPr>
          <w:rFonts w:cs="NeueHaasGroteskText W02"/>
          <w:b/>
        </w:rPr>
        <w:t>19</w:t>
      </w:r>
      <w:r w:rsidR="00B11B04" w:rsidRPr="00D3189B">
        <w:rPr>
          <w:rFonts w:cs="NeueHaasGroteskText W02"/>
          <w:b/>
        </w:rPr>
        <w:t xml:space="preserve">. Opatrenie: </w:t>
      </w:r>
      <w:r w:rsidR="00B929BE">
        <w:rPr>
          <w:rFonts w:cs="NeueHaasGroteskText W02"/>
          <w:b/>
        </w:rPr>
        <w:t>Zaviesť f</w:t>
      </w:r>
      <w:r w:rsidR="00B11B04">
        <w:rPr>
          <w:rFonts w:cs="NeueHaasGroteskText W02"/>
          <w:b/>
        </w:rPr>
        <w:t xml:space="preserve">ormálne hodnotenie účastníkov </w:t>
      </w:r>
      <w:r w:rsidR="00B11B04" w:rsidRPr="00F232F4">
        <w:rPr>
          <w:rFonts w:cs="NeueHaasGroteskText W02"/>
          <w:b/>
        </w:rPr>
        <w:t>aktivačných prác</w:t>
      </w:r>
      <w:r w:rsidR="00136597" w:rsidRPr="00CE065C">
        <w:rPr>
          <w:rFonts w:cs="NeueHaasGroteskText W02"/>
          <w:b/>
        </w:rPr>
        <w:t xml:space="preserve"> v rámci </w:t>
      </w:r>
      <w:r w:rsidR="00CE065C" w:rsidRPr="00452DBC">
        <w:rPr>
          <w:b/>
        </w:rPr>
        <w:t>aktívnych opatrení trhu práce</w:t>
      </w:r>
      <w:r w:rsidR="00CE065C">
        <w:rPr>
          <w:b/>
        </w:rPr>
        <w:t xml:space="preserve"> (AOTP)</w:t>
      </w:r>
      <w:r w:rsidR="00B11B04" w:rsidRPr="00CE065C">
        <w:rPr>
          <w:rFonts w:cs="NeueHaasGroteskText W02"/>
          <w:b/>
        </w:rPr>
        <w:t>.</w:t>
      </w:r>
      <w:r w:rsidR="00B11B04">
        <w:rPr>
          <w:rFonts w:cs="NeueHaasGroteskText W02"/>
          <w:b/>
        </w:rPr>
        <w:t xml:space="preserve"> </w:t>
      </w:r>
      <w:r w:rsidR="00B11B04">
        <w:rPr>
          <w:rFonts w:cs="NeueHaasGroteskText W02"/>
        </w:rPr>
        <w:t>Aktuálna prax naznačuje, že na aktivačné práce nenadväzujú sofistikovanejšie nástroje AOTP, ktoré by absolventov posunuli bližšie k uplatneniu na trhu práce</w:t>
      </w:r>
      <w:r w:rsidR="00CE065C">
        <w:rPr>
          <w:rFonts w:cs="NeueHaasGroteskText W02"/>
        </w:rPr>
        <w:t xml:space="preserve"> </w:t>
      </w:r>
      <w:r w:rsidR="00B11B04" w:rsidRPr="004A6160">
        <w:t>(pod</w:t>
      </w:r>
      <w:r w:rsidR="00B11B04">
        <w:t xml:space="preserve">kapitola </w:t>
      </w:r>
      <w:r w:rsidR="0010591A">
        <w:fldChar w:fldCharType="begin"/>
      </w:r>
      <w:r w:rsidR="0010591A">
        <w:instrText xml:space="preserve"> REF _Ref25310342 \r \h </w:instrText>
      </w:r>
      <w:r w:rsidR="0010591A">
        <w:fldChar w:fldCharType="separate"/>
      </w:r>
      <w:r w:rsidR="00FA29AF">
        <w:t>7.2</w:t>
      </w:r>
      <w:r w:rsidR="0010591A">
        <w:fldChar w:fldCharType="end"/>
      </w:r>
      <w:r w:rsidR="00B11B04">
        <w:t>). Na hodnotenie úč</w:t>
      </w:r>
      <w:r w:rsidR="00B11B04" w:rsidRPr="004A6160">
        <w:t xml:space="preserve">astníkov </w:t>
      </w:r>
      <w:r w:rsidR="00B11B04" w:rsidRPr="004A6160">
        <w:rPr>
          <w:rFonts w:cs="NeueHaasGroteskText W02"/>
        </w:rPr>
        <w:t>koordinátorom alebo organizátorom</w:t>
      </w:r>
      <w:r w:rsidR="00B11B04">
        <w:rPr>
          <w:rFonts w:cs="NeueHaasGroteskText W02"/>
        </w:rPr>
        <w:t xml:space="preserve"> aktivačných prác</w:t>
      </w:r>
      <w:r w:rsidR="00B11B04" w:rsidRPr="004A6160">
        <w:rPr>
          <w:rFonts w:cs="NeueHaasGroteskText W02"/>
        </w:rPr>
        <w:t xml:space="preserve"> (pracovníkom obce) by mal</w:t>
      </w:r>
      <w:r w:rsidR="00B11B04">
        <w:rPr>
          <w:rFonts w:cs="NeueHaasGroteskText W02"/>
        </w:rPr>
        <w:t>i nadväzovať ďalšie nástroje pomoci.</w:t>
      </w:r>
      <w:r w:rsidR="00B11B04" w:rsidRPr="004A6160">
        <w:rPr>
          <w:rFonts w:cs="NeueHaasGroteskText W02"/>
        </w:rPr>
        <w:t xml:space="preserve"> </w:t>
      </w:r>
      <w:r w:rsidR="00B11B04" w:rsidRPr="004A6160">
        <w:t>Úspešnejším absolventom by mal byť garantovaný prístup k sofistikovanejším nástrojom</w:t>
      </w:r>
      <w:r w:rsidR="00B11B04">
        <w:t xml:space="preserve"> v rámci AOTP</w:t>
      </w:r>
      <w:r w:rsidR="00B11B04" w:rsidRPr="004A6160">
        <w:t xml:space="preserve"> a menej úspešní by mali byť nasmerovaní na intenzívnejšie individualizovan</w:t>
      </w:r>
      <w:r w:rsidR="00B11B04">
        <w:t>é</w:t>
      </w:r>
      <w:r w:rsidR="00F441E9">
        <w:t xml:space="preserve"> odborné poradenstvo </w:t>
      </w:r>
      <w:r w:rsidR="00B11B04">
        <w:t>(hodnotové opatrenie 1</w:t>
      </w:r>
      <w:r w:rsidR="00137AAB">
        <w:t>3</w:t>
      </w:r>
      <w:r w:rsidR="00B11B04">
        <w:t>)</w:t>
      </w:r>
      <w:r w:rsidR="00B11B04" w:rsidRPr="004A6160">
        <w:t xml:space="preserve">. </w:t>
      </w:r>
    </w:p>
    <w:p w14:paraId="3254639D" w14:textId="16F8BB7A" w:rsidR="00B11B04" w:rsidRPr="00CA2564" w:rsidRDefault="00FE350B" w:rsidP="006B0C40">
      <w:r>
        <w:rPr>
          <w:b/>
        </w:rPr>
        <w:t>20</w:t>
      </w:r>
      <w:r w:rsidR="00B11B04" w:rsidRPr="00CA2564">
        <w:rPr>
          <w:b/>
        </w:rPr>
        <w:t>. Opatrenie: Zvýš</w:t>
      </w:r>
      <w:r w:rsidR="00B11B04">
        <w:rPr>
          <w:b/>
        </w:rPr>
        <w:t>iť</w:t>
      </w:r>
      <w:r w:rsidR="00B11B04" w:rsidRPr="00CA2564">
        <w:rPr>
          <w:b/>
        </w:rPr>
        <w:t xml:space="preserve"> povinn</w:t>
      </w:r>
      <w:r w:rsidR="00B11B04">
        <w:rPr>
          <w:b/>
        </w:rPr>
        <w:t>ý</w:t>
      </w:r>
      <w:r w:rsidR="00B11B04" w:rsidRPr="00CA2564">
        <w:rPr>
          <w:b/>
        </w:rPr>
        <w:t xml:space="preserve"> podiel zamestnávania </w:t>
      </w:r>
      <w:r w:rsidR="00CE065C">
        <w:rPr>
          <w:b/>
        </w:rPr>
        <w:t>osôb so zdravotným postihnutím</w:t>
      </w:r>
      <w:r w:rsidR="00B11B04" w:rsidRPr="00CA2564">
        <w:rPr>
          <w:b/>
        </w:rPr>
        <w:t xml:space="preserve"> z 3,2 % na 5 %.</w:t>
      </w:r>
      <w:r w:rsidR="00B11B04" w:rsidRPr="00CA2564">
        <w:rPr>
          <w:rFonts w:eastAsia="Calibri" w:cs="Times New Roman"/>
          <w:b/>
        </w:rPr>
        <w:t xml:space="preserve"> </w:t>
      </w:r>
      <w:r w:rsidR="00B11B04" w:rsidRPr="00CA2564">
        <w:rPr>
          <w:rFonts w:eastAsia="Calibri" w:cs="Times New Roman"/>
        </w:rPr>
        <w:t xml:space="preserve">Slovensko má v porovnaní s okolitými krajinami EÚ nižší povinný podiel zamestnávania osôb so zdravotným </w:t>
      </w:r>
      <w:r w:rsidR="00CE065C">
        <w:rPr>
          <w:rFonts w:eastAsia="Calibri" w:cs="Times New Roman"/>
        </w:rPr>
        <w:t>postihnutím (OZP)</w:t>
      </w:r>
      <w:r w:rsidR="00B11B04" w:rsidRPr="00CA2564">
        <w:rPr>
          <w:rFonts w:eastAsia="Calibri" w:cs="Times New Roman"/>
        </w:rPr>
        <w:t xml:space="preserve">. </w:t>
      </w:r>
      <w:r w:rsidR="00B11B04" w:rsidRPr="00CA2564">
        <w:rPr>
          <w:rFonts w:eastAsia="Arial Narrow" w:cs="Arial Narrow"/>
        </w:rPr>
        <w:t xml:space="preserve">Celkový počet započítaných </w:t>
      </w:r>
      <w:r w:rsidR="00CE065C">
        <w:rPr>
          <w:rFonts w:eastAsia="Arial Narrow" w:cs="Arial Narrow"/>
        </w:rPr>
        <w:t>OZP</w:t>
      </w:r>
      <w:r w:rsidR="00CE065C" w:rsidRPr="00CA2564">
        <w:rPr>
          <w:rFonts w:eastAsia="Arial Narrow" w:cs="Arial Narrow"/>
        </w:rPr>
        <w:t xml:space="preserve"> </w:t>
      </w:r>
      <w:r w:rsidR="00B11B04" w:rsidRPr="00CA2564">
        <w:rPr>
          <w:rFonts w:eastAsia="Arial Narrow" w:cs="Arial Narrow"/>
        </w:rPr>
        <w:t>u všetkých dotknutých zamestnávateľov každý rok však výrazne presahuje počet OZP potrebný na splnenie povinnosti, čo naznačuje, že toto obmedzenie nie je pre väčšinu firiem záväzné</w:t>
      </w:r>
      <w:r w:rsidR="00AF0B7B">
        <w:rPr>
          <w:rFonts w:eastAsia="Arial Narrow" w:cs="Arial Narrow"/>
        </w:rPr>
        <w:t xml:space="preserve"> (podkapitola </w:t>
      </w:r>
      <w:r w:rsidR="00AF0B7B">
        <w:rPr>
          <w:rFonts w:eastAsia="Arial Narrow" w:cs="Arial Narrow"/>
        </w:rPr>
        <w:fldChar w:fldCharType="begin"/>
      </w:r>
      <w:r w:rsidR="00AF0B7B">
        <w:rPr>
          <w:rFonts w:eastAsia="Arial Narrow" w:cs="Arial Narrow"/>
        </w:rPr>
        <w:instrText xml:space="preserve"> REF _Ref34384054 \r \h </w:instrText>
      </w:r>
      <w:r w:rsidR="00AF0B7B">
        <w:rPr>
          <w:rFonts w:eastAsia="Arial Narrow" w:cs="Arial Narrow"/>
        </w:rPr>
      </w:r>
      <w:r w:rsidR="00AF0B7B">
        <w:rPr>
          <w:rFonts w:eastAsia="Arial Narrow" w:cs="Arial Narrow"/>
        </w:rPr>
        <w:fldChar w:fldCharType="separate"/>
      </w:r>
      <w:r w:rsidR="00FA29AF">
        <w:rPr>
          <w:rFonts w:eastAsia="Arial Narrow" w:cs="Arial Narrow"/>
        </w:rPr>
        <w:t>7.3</w:t>
      </w:r>
      <w:r w:rsidR="00AF0B7B">
        <w:rPr>
          <w:rFonts w:eastAsia="Arial Narrow" w:cs="Arial Narrow"/>
        </w:rPr>
        <w:fldChar w:fldCharType="end"/>
      </w:r>
      <w:r w:rsidR="00AF0B7B">
        <w:rPr>
          <w:rFonts w:eastAsia="Arial Narrow" w:cs="Arial Narrow"/>
        </w:rPr>
        <w:t>)</w:t>
      </w:r>
      <w:r w:rsidR="00B11B04">
        <w:rPr>
          <w:rFonts w:eastAsia="Arial Narrow" w:cs="Arial Narrow"/>
        </w:rPr>
        <w:t>. Zvýšením povinného podielu sa p</w:t>
      </w:r>
      <w:r w:rsidR="002709F1">
        <w:rPr>
          <w:rFonts w:eastAsia="Arial Narrow" w:cs="Arial Narrow"/>
        </w:rPr>
        <w:t>odporí nielen integrácia OZP na </w:t>
      </w:r>
      <w:r w:rsidR="00B11B04">
        <w:rPr>
          <w:rFonts w:eastAsia="Arial Narrow" w:cs="Arial Narrow"/>
        </w:rPr>
        <w:t xml:space="preserve">otvorenom trhu práce, </w:t>
      </w:r>
      <w:r w:rsidR="00637C79">
        <w:rPr>
          <w:rFonts w:eastAsia="Arial Narrow" w:cs="Arial Narrow"/>
        </w:rPr>
        <w:t>ale aj v</w:t>
      </w:r>
      <w:r w:rsidR="00CE065C">
        <w:rPr>
          <w:rFonts w:eastAsia="Arial Narrow" w:cs="Arial Narrow"/>
        </w:rPr>
        <w:t>z</w:t>
      </w:r>
      <w:r w:rsidR="00637C79">
        <w:rPr>
          <w:rFonts w:eastAsia="Arial Narrow" w:cs="Arial Narrow"/>
        </w:rPr>
        <w:t>nikajúci sektor sociálneho podnikania</w:t>
      </w:r>
      <w:r w:rsidR="00AF0B7B">
        <w:rPr>
          <w:rFonts w:eastAsia="Arial Narrow" w:cs="Arial Narrow"/>
        </w:rPr>
        <w:t xml:space="preserve"> (podkapitola </w:t>
      </w:r>
      <w:r w:rsidR="00AF0B7B">
        <w:rPr>
          <w:rFonts w:eastAsia="Arial Narrow" w:cs="Arial Narrow"/>
        </w:rPr>
        <w:fldChar w:fldCharType="begin"/>
      </w:r>
      <w:r w:rsidR="00AF0B7B">
        <w:rPr>
          <w:rFonts w:eastAsia="Arial Narrow" w:cs="Arial Narrow"/>
        </w:rPr>
        <w:instrText xml:space="preserve"> REF _Ref25235000 \r \h </w:instrText>
      </w:r>
      <w:r w:rsidR="00AF0B7B">
        <w:rPr>
          <w:rFonts w:eastAsia="Arial Narrow" w:cs="Arial Narrow"/>
        </w:rPr>
      </w:r>
      <w:r w:rsidR="00AF0B7B">
        <w:rPr>
          <w:rFonts w:eastAsia="Arial Narrow" w:cs="Arial Narrow"/>
        </w:rPr>
        <w:fldChar w:fldCharType="separate"/>
      </w:r>
      <w:r w:rsidR="00FA29AF">
        <w:rPr>
          <w:rFonts w:eastAsia="Arial Narrow" w:cs="Arial Narrow"/>
        </w:rPr>
        <w:t>7.2</w:t>
      </w:r>
      <w:r w:rsidR="00AF0B7B">
        <w:rPr>
          <w:rFonts w:eastAsia="Arial Narrow" w:cs="Arial Narrow"/>
        </w:rPr>
        <w:fldChar w:fldCharType="end"/>
      </w:r>
      <w:r w:rsidR="00AF0B7B">
        <w:rPr>
          <w:rFonts w:eastAsia="Arial Narrow" w:cs="Arial Narrow"/>
        </w:rPr>
        <w:t>)</w:t>
      </w:r>
      <w:r w:rsidR="00637C79">
        <w:rPr>
          <w:rFonts w:eastAsia="Arial Narrow" w:cs="Arial Narrow"/>
        </w:rPr>
        <w:t xml:space="preserve">, </w:t>
      </w:r>
      <w:r w:rsidR="00494146">
        <w:t>nakoľko určenú kvótu je možné naplniť</w:t>
      </w:r>
      <w:r w:rsidR="00637C79">
        <w:rPr>
          <w:rFonts w:eastAsia="Arial Narrow" w:cs="Arial Narrow"/>
        </w:rPr>
        <w:t xml:space="preserve"> aj nákupom tovarov a služieb od určených subjektov sociálnej ekonomiky</w:t>
      </w:r>
      <w:r w:rsidR="00B11B04" w:rsidRPr="00CA2564">
        <w:rPr>
          <w:rFonts w:eastAsia="Arial Narrow" w:cs="Arial Narrow"/>
        </w:rPr>
        <w:t>.</w:t>
      </w:r>
    </w:p>
    <w:p w14:paraId="3A684DB5" w14:textId="3E89EB79" w:rsidR="00480309" w:rsidRDefault="00FE350B" w:rsidP="006B0C40">
      <w:pPr>
        <w:spacing w:before="160"/>
        <w:rPr>
          <w:rFonts w:eastAsia="Calibri" w:cs="Times New Roman"/>
        </w:rPr>
      </w:pPr>
      <w:r>
        <w:rPr>
          <w:b/>
        </w:rPr>
        <w:t>21</w:t>
      </w:r>
      <w:r w:rsidR="00480309">
        <w:rPr>
          <w:b/>
        </w:rPr>
        <w:t>.</w:t>
      </w:r>
      <w:r w:rsidR="00480309" w:rsidRPr="00CA2564">
        <w:rPr>
          <w:b/>
        </w:rPr>
        <w:t xml:space="preserve"> Opatrenie: </w:t>
      </w:r>
      <w:r w:rsidR="00103469">
        <w:rPr>
          <w:b/>
        </w:rPr>
        <w:t>Vypracova</w:t>
      </w:r>
      <w:r w:rsidR="00480309">
        <w:rPr>
          <w:b/>
        </w:rPr>
        <w:t xml:space="preserve">ť </w:t>
      </w:r>
      <w:r w:rsidR="00C05BCF">
        <w:rPr>
          <w:b/>
        </w:rPr>
        <w:t>návrh funkčného</w:t>
      </w:r>
      <w:r w:rsidR="00480309">
        <w:rPr>
          <w:b/>
        </w:rPr>
        <w:t xml:space="preserve"> systém</w:t>
      </w:r>
      <w:r w:rsidR="00C05BCF">
        <w:rPr>
          <w:b/>
        </w:rPr>
        <w:t>u</w:t>
      </w:r>
      <w:r w:rsidR="00480309" w:rsidRPr="00CA2564">
        <w:rPr>
          <w:b/>
        </w:rPr>
        <w:t xml:space="preserve"> pracovnej rehabilitácie a rekvalifikácie. </w:t>
      </w:r>
      <w:r w:rsidR="00480309" w:rsidRPr="00CA2564">
        <w:t>Pracovná rehabilitácia a rekvalifikácia je vo viacerých európskych krajinách uprednostňovaná pred chráneným zamestnávaním ako efektívnejší nástroj integrácie osôb so zdravotným postihnu</w:t>
      </w:r>
      <w:r w:rsidR="002709F1">
        <w:t>tím na otvorenom trhu práce. Na </w:t>
      </w:r>
      <w:r w:rsidR="00480309" w:rsidRPr="00CA2564">
        <w:t xml:space="preserve">Slovensku však medzi nástrojmi pomoci </w:t>
      </w:r>
      <w:r w:rsidR="00D11F83">
        <w:t xml:space="preserve">týmto ľuďom </w:t>
      </w:r>
      <w:r w:rsidR="00480309" w:rsidRPr="00CA2564">
        <w:t xml:space="preserve">na trhu práce stále dominuje chránené zamestnávanie. </w:t>
      </w:r>
      <w:r w:rsidR="00480309" w:rsidRPr="00CA2564">
        <w:rPr>
          <w:rFonts w:eastAsia="Calibri" w:cs="Times New Roman"/>
        </w:rPr>
        <w:t>Jasná a presne definovaná koncepcia pracovnej rehabilitácie</w:t>
      </w:r>
      <w:r w:rsidR="00480309" w:rsidRPr="00CA2564">
        <w:t xml:space="preserve"> </w:t>
      </w:r>
      <w:r w:rsidR="00480309" w:rsidRPr="00CA2564">
        <w:rPr>
          <w:rFonts w:eastAsia="Calibri" w:cs="Times New Roman"/>
        </w:rPr>
        <w:t xml:space="preserve">a rekvalifikácie na Slovensku zatiaľ chýba (podkapitola </w:t>
      </w:r>
      <w:r w:rsidR="00480309">
        <w:rPr>
          <w:rFonts w:eastAsia="Calibri" w:cs="Times New Roman"/>
        </w:rPr>
        <w:fldChar w:fldCharType="begin"/>
      </w:r>
      <w:r w:rsidR="00480309">
        <w:rPr>
          <w:rFonts w:eastAsia="Calibri" w:cs="Times New Roman"/>
        </w:rPr>
        <w:instrText xml:space="preserve"> REF _Ref25312265 \r \h </w:instrText>
      </w:r>
      <w:r w:rsidR="00480309">
        <w:rPr>
          <w:rFonts w:eastAsia="Calibri" w:cs="Times New Roman"/>
        </w:rPr>
      </w:r>
      <w:r w:rsidR="00480309">
        <w:rPr>
          <w:rFonts w:eastAsia="Calibri" w:cs="Times New Roman"/>
        </w:rPr>
        <w:fldChar w:fldCharType="separate"/>
      </w:r>
      <w:r w:rsidR="00FA29AF">
        <w:rPr>
          <w:rFonts w:eastAsia="Calibri" w:cs="Times New Roman"/>
        </w:rPr>
        <w:t>7.3</w:t>
      </w:r>
      <w:r w:rsidR="00480309">
        <w:rPr>
          <w:rFonts w:eastAsia="Calibri" w:cs="Times New Roman"/>
        </w:rPr>
        <w:fldChar w:fldCharType="end"/>
      </w:r>
      <w:r w:rsidR="00480309" w:rsidRPr="00CA2564">
        <w:rPr>
          <w:rFonts w:eastAsia="Calibri" w:cs="Times New Roman"/>
        </w:rPr>
        <w:t>).</w:t>
      </w:r>
    </w:p>
    <w:p w14:paraId="6A7E52ED" w14:textId="1026E762" w:rsidR="00B11B04" w:rsidRDefault="00FE350B" w:rsidP="006B0C40">
      <w:pPr>
        <w:rPr>
          <w:rFonts w:eastAsia="Arial Narrow" w:cs="Arial Narrow"/>
        </w:rPr>
      </w:pPr>
      <w:r>
        <w:rPr>
          <w:b/>
        </w:rPr>
        <w:t>22</w:t>
      </w:r>
      <w:r w:rsidR="00B11B04" w:rsidRPr="00CA2564">
        <w:rPr>
          <w:b/>
        </w:rPr>
        <w:t>. Opatrenie</w:t>
      </w:r>
      <w:r w:rsidR="00B11B04" w:rsidRPr="0053317E">
        <w:rPr>
          <w:b/>
          <w:szCs w:val="22"/>
        </w:rPr>
        <w:t xml:space="preserve">: </w:t>
      </w:r>
      <w:r w:rsidR="00B11B04">
        <w:rPr>
          <w:rFonts w:cs="Times New Roman"/>
          <w:b/>
          <w:szCs w:val="22"/>
        </w:rPr>
        <w:t>V</w:t>
      </w:r>
      <w:r w:rsidR="00B11B04" w:rsidRPr="00D3189B">
        <w:rPr>
          <w:rFonts w:cs="Times New Roman"/>
          <w:b/>
          <w:szCs w:val="22"/>
        </w:rPr>
        <w:t>yňa</w:t>
      </w:r>
      <w:r w:rsidR="00B929BE">
        <w:rPr>
          <w:rFonts w:cs="Times New Roman"/>
          <w:b/>
          <w:szCs w:val="22"/>
        </w:rPr>
        <w:t>ť</w:t>
      </w:r>
      <w:r w:rsidR="00B11B04" w:rsidRPr="00D3189B">
        <w:rPr>
          <w:rFonts w:cs="Times New Roman"/>
          <w:b/>
          <w:szCs w:val="22"/>
        </w:rPr>
        <w:t xml:space="preserve"> odvod za neplnenie povinného podielu zamestnávania občanov so zdravotným postihnutím z daňových výdavkov zamestnávateľa</w:t>
      </w:r>
      <w:r w:rsidR="00B11B04" w:rsidRPr="00F041A9">
        <w:rPr>
          <w:b/>
          <w:szCs w:val="22"/>
        </w:rPr>
        <w:t>.</w:t>
      </w:r>
      <w:r w:rsidR="00B11B04" w:rsidRPr="00CA2564">
        <w:rPr>
          <w:b/>
        </w:rPr>
        <w:t xml:space="preserve"> </w:t>
      </w:r>
      <w:r w:rsidR="00B11B04" w:rsidRPr="00CA2564">
        <w:rPr>
          <w:rFonts w:eastAsia="Arial Narrow" w:cs="Arial Narrow"/>
        </w:rPr>
        <w:t xml:space="preserve">Odvod za neplnenie zákonnej povinnosti zamestnávať </w:t>
      </w:r>
      <w:r w:rsidR="00D11F83">
        <w:rPr>
          <w:rFonts w:eastAsia="Arial Narrow" w:cs="Arial Narrow"/>
        </w:rPr>
        <w:t>osoby so zdravotným postihnutím</w:t>
      </w:r>
      <w:r w:rsidR="00D11F83" w:rsidRPr="00CA2564">
        <w:rPr>
          <w:rFonts w:eastAsia="Arial Narrow" w:cs="Arial Narrow"/>
        </w:rPr>
        <w:t xml:space="preserve"> </w:t>
      </w:r>
      <w:r w:rsidR="00B11B04" w:rsidRPr="00CA2564">
        <w:rPr>
          <w:rFonts w:eastAsia="Arial Narrow" w:cs="Arial Narrow"/>
        </w:rPr>
        <w:t xml:space="preserve">si zamestnávatelia môžu zaradiť do daňových výdavkov, čo obmedzuje jeho účinok ako sankcie (podkapitola </w:t>
      </w:r>
      <w:r w:rsidR="0010591A">
        <w:rPr>
          <w:rFonts w:eastAsia="Arial Narrow" w:cs="Arial Narrow"/>
        </w:rPr>
        <w:fldChar w:fldCharType="begin"/>
      </w:r>
      <w:r w:rsidR="0010591A">
        <w:rPr>
          <w:rFonts w:eastAsia="Arial Narrow" w:cs="Arial Narrow"/>
        </w:rPr>
        <w:instrText xml:space="preserve"> REF _Ref25310366 \r \h </w:instrText>
      </w:r>
      <w:r w:rsidR="0010591A">
        <w:rPr>
          <w:rFonts w:eastAsia="Arial Narrow" w:cs="Arial Narrow"/>
        </w:rPr>
      </w:r>
      <w:r w:rsidR="0010591A">
        <w:rPr>
          <w:rFonts w:eastAsia="Arial Narrow" w:cs="Arial Narrow"/>
        </w:rPr>
        <w:fldChar w:fldCharType="separate"/>
      </w:r>
      <w:r w:rsidR="00FA29AF">
        <w:rPr>
          <w:rFonts w:eastAsia="Arial Narrow" w:cs="Arial Narrow"/>
        </w:rPr>
        <w:t>7.3</w:t>
      </w:r>
      <w:r w:rsidR="0010591A">
        <w:rPr>
          <w:rFonts w:eastAsia="Arial Narrow" w:cs="Arial Narrow"/>
        </w:rPr>
        <w:fldChar w:fldCharType="end"/>
      </w:r>
      <w:r w:rsidR="00B11B04" w:rsidRPr="00CA2564">
        <w:rPr>
          <w:rFonts w:eastAsia="Arial Narrow" w:cs="Arial Narrow"/>
        </w:rPr>
        <w:t>).</w:t>
      </w:r>
    </w:p>
    <w:p w14:paraId="5F5266E9" w14:textId="27BE28AC" w:rsidR="00351F0E" w:rsidRPr="00452DBC" w:rsidRDefault="00351F0E" w:rsidP="00351F0E">
      <w:pPr>
        <w:spacing w:before="200"/>
        <w:rPr>
          <w:bCs/>
          <w:color w:val="0070C0"/>
        </w:rPr>
      </w:pPr>
      <w:r>
        <w:rPr>
          <w:bCs/>
          <w:color w:val="0070C0"/>
        </w:rPr>
        <w:t>Bývanie a infraštruktúra</w:t>
      </w:r>
    </w:p>
    <w:p w14:paraId="760CDE60" w14:textId="19FD3871" w:rsidR="00351F0E" w:rsidRPr="00351F0E" w:rsidRDefault="00FE350B" w:rsidP="00351F0E">
      <w:pPr>
        <w:spacing w:before="200"/>
      </w:pPr>
      <w:r>
        <w:rPr>
          <w:b/>
        </w:rPr>
        <w:t>23</w:t>
      </w:r>
      <w:r w:rsidR="00351F0E" w:rsidRPr="00CA2564">
        <w:rPr>
          <w:b/>
        </w:rPr>
        <w:t xml:space="preserve">. Opatrenie: </w:t>
      </w:r>
      <w:r w:rsidR="00351F0E">
        <w:rPr>
          <w:b/>
        </w:rPr>
        <w:t xml:space="preserve">Vypracovať a prijať národnú stratégiu prevencie a riešenia bezdomovectva. </w:t>
      </w:r>
      <w:r w:rsidR="00351F0E" w:rsidRPr="00351F0E">
        <w:t>Slovensko zatiaľ nemá ucelenú koncepciu riešenia bezdomovectva na národnej úrovni.</w:t>
      </w:r>
      <w:r w:rsidR="00351F0E">
        <w:t xml:space="preserve"> </w:t>
      </w:r>
      <w:r w:rsidR="00413802">
        <w:t>Takúto stra</w:t>
      </w:r>
      <w:r w:rsidR="00351F0E" w:rsidRPr="00413802">
        <w:t xml:space="preserve">tégiu má </w:t>
      </w:r>
      <w:r w:rsidR="00351F0E">
        <w:t xml:space="preserve">tretina krajín OECD, pričom skúsenosti Fínska ukazujú, že integrácia politík na národnej úrovni môže viesť k efektívnejšiemu využívaniu verejných financií (podkapitola </w:t>
      </w:r>
      <w:r w:rsidR="00351F0E">
        <w:fldChar w:fldCharType="begin"/>
      </w:r>
      <w:r w:rsidR="00351F0E">
        <w:instrText xml:space="preserve"> REF _Ref33539730 \r \h </w:instrText>
      </w:r>
      <w:r w:rsidR="00351F0E">
        <w:fldChar w:fldCharType="separate"/>
      </w:r>
      <w:r w:rsidR="00FA29AF">
        <w:t>9.3</w:t>
      </w:r>
      <w:r w:rsidR="00351F0E">
        <w:fldChar w:fldCharType="end"/>
      </w:r>
      <w:r w:rsidR="00351F0E">
        <w:t xml:space="preserve">). Účelom stratégie je definovať príčiny bezdomovectva, pomenovať jasné ciele verejných politík v tejto oblasti, identifikovať kľúčové indikátory, ktoré budú priebežne sledované, navrhnúť konkrétne opatrenia na základe </w:t>
      </w:r>
      <w:r w:rsidR="00413802">
        <w:t xml:space="preserve">odborných poznatkov a </w:t>
      </w:r>
      <w:r w:rsidR="00351F0E">
        <w:t>dobrej praxe</w:t>
      </w:r>
      <w:r w:rsidR="00413802">
        <w:t>,</w:t>
      </w:r>
      <w:r w:rsidR="00351F0E">
        <w:t xml:space="preserve"> </w:t>
      </w:r>
      <w:r w:rsidR="00413802">
        <w:t xml:space="preserve">rozdeliť zodpovednosť a za ich implementáciu </w:t>
      </w:r>
      <w:r w:rsidR="00351F0E">
        <w:t>a nastaviť ich financovanie</w:t>
      </w:r>
      <w:r w:rsidR="00413802">
        <w:t>.</w:t>
      </w:r>
      <w:r w:rsidR="00CF0137">
        <w:t xml:space="preserve"> </w:t>
      </w:r>
      <w:r w:rsidR="00EC7B8C">
        <w:t>Stratégia</w:t>
      </w:r>
      <w:r w:rsidR="00CF0137">
        <w:t xml:space="preserve"> by mala byť výsledkom nadrezortnej pracovnej skupiny.</w:t>
      </w:r>
    </w:p>
    <w:p w14:paraId="40AE5442" w14:textId="77777777" w:rsidR="00FE350B" w:rsidRDefault="00FE350B">
      <w:pPr>
        <w:spacing w:after="160"/>
        <w:jc w:val="left"/>
        <w:rPr>
          <w:bCs/>
          <w:color w:val="0070C0"/>
        </w:rPr>
      </w:pPr>
      <w:r>
        <w:rPr>
          <w:bCs/>
          <w:color w:val="0070C0"/>
        </w:rPr>
        <w:br w:type="page"/>
      </w:r>
    </w:p>
    <w:p w14:paraId="6AA319D0" w14:textId="0D1D861A" w:rsidR="004F1697" w:rsidRPr="00452DBC" w:rsidRDefault="004F1697" w:rsidP="00351F0E">
      <w:pPr>
        <w:spacing w:before="200"/>
        <w:rPr>
          <w:bCs/>
          <w:color w:val="0070C0"/>
        </w:rPr>
      </w:pPr>
      <w:r w:rsidRPr="00231BE7">
        <w:rPr>
          <w:bCs/>
          <w:color w:val="0070C0"/>
        </w:rPr>
        <w:lastRenderedPageBreak/>
        <w:t>Zdravotníctvo</w:t>
      </w:r>
    </w:p>
    <w:p w14:paraId="25010C78" w14:textId="4577228B" w:rsidR="00D11F83" w:rsidRPr="00231BE7" w:rsidRDefault="00B11B04" w:rsidP="000A3730">
      <w:pPr>
        <w:spacing w:before="160"/>
      </w:pPr>
      <w:r>
        <w:rPr>
          <w:b/>
        </w:rPr>
        <w:t>2</w:t>
      </w:r>
      <w:r w:rsidR="00FE350B">
        <w:rPr>
          <w:b/>
        </w:rPr>
        <w:t>4</w:t>
      </w:r>
      <w:r w:rsidRPr="00CA2564">
        <w:rPr>
          <w:b/>
        </w:rPr>
        <w:t xml:space="preserve">. Opatrenie: </w:t>
      </w:r>
      <w:r w:rsidR="0093407A">
        <w:rPr>
          <w:b/>
        </w:rPr>
        <w:t>Vytvoriť š</w:t>
      </w:r>
      <w:r w:rsidRPr="00CA2564">
        <w:rPr>
          <w:b/>
        </w:rPr>
        <w:t>tudijný program ďalšieho vzdelávania pre v</w:t>
      </w:r>
      <w:r w:rsidR="0034283E">
        <w:rPr>
          <w:b/>
        </w:rPr>
        <w:t>ybrané zdravotnícke povolania v </w:t>
      </w:r>
      <w:r w:rsidRPr="00CA2564">
        <w:rPr>
          <w:b/>
        </w:rPr>
        <w:t xml:space="preserve">tematickej oblasti práce s MRK. </w:t>
      </w:r>
      <w:r w:rsidRPr="00CA2564">
        <w:t xml:space="preserve">Slovenská republika čelí viacerým žalobám pre priamu a nepriamu diskrimináciu Rómov v oblasti zdravotníctva, ktorá vedie k nižšej kvalite poskytovanej starostlivosti. Zlé skúsenosti Rómov v zdravotníckych zariadeniach môžu byť spôsobené aj nedostatkom zdravotného personálu so znalosťou rómskeho jazyka a špecifík rómskej komunity (podkapitola </w:t>
      </w:r>
      <w:r w:rsidR="0010591A">
        <w:fldChar w:fldCharType="begin"/>
      </w:r>
      <w:r w:rsidR="0010591A">
        <w:instrText xml:space="preserve"> REF _Ref25310430 \r \h </w:instrText>
      </w:r>
      <w:r w:rsidR="0010591A">
        <w:fldChar w:fldCharType="separate"/>
      </w:r>
      <w:r w:rsidR="00FA29AF">
        <w:t>10.3</w:t>
      </w:r>
      <w:r w:rsidR="0010591A">
        <w:fldChar w:fldCharType="end"/>
      </w:r>
      <w:r w:rsidRPr="00CA2564">
        <w:t>).</w:t>
      </w:r>
    </w:p>
    <w:p w14:paraId="0FF184D6" w14:textId="33C547F8" w:rsidR="004F1697" w:rsidRPr="00452DBC" w:rsidRDefault="004F1697" w:rsidP="00452DBC">
      <w:pPr>
        <w:spacing w:before="200"/>
        <w:rPr>
          <w:bCs/>
          <w:color w:val="0070C0"/>
        </w:rPr>
      </w:pPr>
      <w:r w:rsidRPr="00231BE7">
        <w:rPr>
          <w:bCs/>
          <w:color w:val="0070C0"/>
        </w:rPr>
        <w:t>Podporné programy pre obce s prítomnosťou marginalizovaných rómskych komunít</w:t>
      </w:r>
    </w:p>
    <w:p w14:paraId="259612EE" w14:textId="1C7DC900" w:rsidR="00B11B04" w:rsidRDefault="00B11B04" w:rsidP="006B0C40">
      <w:pPr>
        <w:spacing w:before="160"/>
      </w:pPr>
      <w:r>
        <w:rPr>
          <w:rFonts w:eastAsia="Times New Roman" w:cs="Times New Roman"/>
          <w:b/>
          <w:color w:val="000000"/>
          <w:lang w:eastAsia="sk-SK"/>
        </w:rPr>
        <w:t>2</w:t>
      </w:r>
      <w:r w:rsidR="00FE350B">
        <w:rPr>
          <w:rFonts w:eastAsia="Times New Roman" w:cs="Times New Roman"/>
          <w:b/>
          <w:color w:val="000000"/>
          <w:lang w:eastAsia="sk-SK"/>
        </w:rPr>
        <w:t>5</w:t>
      </w:r>
      <w:r w:rsidRPr="00CA2564">
        <w:rPr>
          <w:rFonts w:eastAsia="Times New Roman" w:cs="Times New Roman"/>
          <w:b/>
          <w:color w:val="000000"/>
          <w:lang w:eastAsia="sk-SK"/>
        </w:rPr>
        <w:t xml:space="preserve">. Opatrenie: </w:t>
      </w:r>
      <w:r w:rsidR="0093407A">
        <w:rPr>
          <w:rFonts w:eastAsia="Times New Roman" w:cs="Times New Roman"/>
          <w:b/>
          <w:color w:val="000000"/>
          <w:lang w:eastAsia="sk-SK"/>
        </w:rPr>
        <w:t>Zaviesť c</w:t>
      </w:r>
      <w:r>
        <w:rPr>
          <w:rFonts w:eastAsia="Times New Roman" w:cs="Times New Roman"/>
          <w:b/>
          <w:color w:val="000000"/>
          <w:lang w:eastAsia="sk-SK"/>
        </w:rPr>
        <w:t>entrálny model riadenia podporných programov a</w:t>
      </w:r>
      <w:r w:rsidR="0093407A">
        <w:rPr>
          <w:rFonts w:eastAsia="Times New Roman" w:cs="Times New Roman"/>
          <w:b/>
          <w:color w:val="000000"/>
          <w:lang w:eastAsia="sk-SK"/>
        </w:rPr>
        <w:t xml:space="preserve"> zabezpečiť </w:t>
      </w:r>
      <w:r>
        <w:rPr>
          <w:rFonts w:eastAsia="Times New Roman" w:cs="Times New Roman"/>
          <w:b/>
          <w:color w:val="000000"/>
          <w:lang w:eastAsia="sk-SK"/>
        </w:rPr>
        <w:t xml:space="preserve">ich udržateľnosť. </w:t>
      </w:r>
      <w:r w:rsidRPr="00377D1A">
        <w:rPr>
          <w:rFonts w:eastAsia="Times New Roman" w:cs="Times New Roman"/>
          <w:bCs/>
          <w:color w:val="000000"/>
          <w:lang w:eastAsia="sk-SK"/>
        </w:rPr>
        <w:t xml:space="preserve">Podporné programy </w:t>
      </w:r>
      <w:r>
        <w:rPr>
          <w:rFonts w:eastAsia="Times New Roman" w:cs="Times New Roman"/>
          <w:bCs/>
          <w:color w:val="000000"/>
          <w:lang w:eastAsia="sk-SK"/>
        </w:rPr>
        <w:t xml:space="preserve">ako terénna sociálna práca, vybrané sociálne služby krízovej intervencie, program Zdravé komunity a miestne občianske poriadkové služby sa ukazujú ako kľúčové pre sociálnu inklúziu a zlepšovanie životných podmienok ľudí žijúcich v prostredí MRK. </w:t>
      </w:r>
      <w:r w:rsidR="00D11F83">
        <w:rPr>
          <w:rFonts w:eastAsia="Times New Roman" w:cs="Times New Roman"/>
          <w:bCs/>
          <w:color w:val="000000"/>
          <w:lang w:eastAsia="sk-SK"/>
        </w:rPr>
        <w:t>I</w:t>
      </w:r>
      <w:r>
        <w:rPr>
          <w:rFonts w:eastAsia="Times New Roman" w:cs="Times New Roman"/>
          <w:bCs/>
          <w:color w:val="000000"/>
          <w:lang w:eastAsia="sk-SK"/>
        </w:rPr>
        <w:t xml:space="preserve">ch činnosť </w:t>
      </w:r>
      <w:r w:rsidR="00D11F83">
        <w:rPr>
          <w:rFonts w:eastAsia="Times New Roman" w:cs="Times New Roman"/>
          <w:bCs/>
          <w:color w:val="000000"/>
          <w:lang w:eastAsia="sk-SK"/>
        </w:rPr>
        <w:t xml:space="preserve">je </w:t>
      </w:r>
      <w:r>
        <w:rPr>
          <w:rFonts w:eastAsia="Times New Roman" w:cs="Times New Roman"/>
          <w:bCs/>
          <w:color w:val="000000"/>
          <w:lang w:eastAsia="sk-SK"/>
        </w:rPr>
        <w:t xml:space="preserve">závislá na </w:t>
      </w:r>
      <w:r w:rsidRPr="00CA2564">
        <w:t>externom financovaní z</w:t>
      </w:r>
      <w:r w:rsidR="00D11F83">
        <w:t> </w:t>
      </w:r>
      <w:r w:rsidRPr="00CA2564">
        <w:t>eurofondov</w:t>
      </w:r>
      <w:r w:rsidR="00D11F83">
        <w:t>, čo</w:t>
      </w:r>
      <w:r w:rsidRPr="00CA2564">
        <w:t xml:space="preserve"> vytvára riziká ohľadom dlhodobej udržateľnosti ako aj prerušenia služieb v období prípravy projektov v novom programovom období</w:t>
      </w:r>
      <w:r w:rsidR="00494146">
        <w:t>. Na efekt</w:t>
      </w:r>
      <w:r>
        <w:t xml:space="preserve">ívnosť riadenia niektorých programov negatívne vplýva ich rozdelenie do dvoch národných projektov ako aj </w:t>
      </w:r>
      <w:r w:rsidR="001465F1">
        <w:t>zamestnávanie pracovníkov priamo obcami a následný možný konflik</w:t>
      </w:r>
      <w:r w:rsidR="0070047D">
        <w:t>t medzi profesijnými štandardmi</w:t>
      </w:r>
      <w:r w:rsidR="001465F1">
        <w:t xml:space="preserve"> a plnením obecnej agendy </w:t>
      </w:r>
      <w:r>
        <w:rPr>
          <w:rFonts w:eastAsia="Times New Roman" w:cs="Times New Roman"/>
          <w:color w:val="000000"/>
          <w:lang w:eastAsia="sk-SK"/>
        </w:rPr>
        <w:t>(kapitola</w:t>
      </w:r>
      <w:r w:rsidR="004177A4">
        <w:rPr>
          <w:rFonts w:eastAsia="Times New Roman" w:cs="Times New Roman"/>
          <w:color w:val="000000"/>
          <w:lang w:eastAsia="sk-SK"/>
        </w:rPr>
        <w:t xml:space="preserve"> </w:t>
      </w:r>
      <w:r w:rsidR="004177A4">
        <w:rPr>
          <w:rFonts w:eastAsia="Times New Roman" w:cs="Times New Roman"/>
          <w:color w:val="000000"/>
          <w:lang w:eastAsia="sk-SK"/>
        </w:rPr>
        <w:fldChar w:fldCharType="begin"/>
      </w:r>
      <w:r w:rsidR="004177A4">
        <w:rPr>
          <w:rFonts w:eastAsia="Times New Roman" w:cs="Times New Roman"/>
          <w:color w:val="000000"/>
          <w:lang w:eastAsia="sk-SK"/>
        </w:rPr>
        <w:instrText xml:space="preserve"> REF _Ref25310095 \r \h </w:instrText>
      </w:r>
      <w:r w:rsidR="004177A4">
        <w:rPr>
          <w:rFonts w:eastAsia="Times New Roman" w:cs="Times New Roman"/>
          <w:color w:val="000000"/>
          <w:lang w:eastAsia="sk-SK"/>
        </w:rPr>
      </w:r>
      <w:r w:rsidR="004177A4">
        <w:rPr>
          <w:rFonts w:eastAsia="Times New Roman" w:cs="Times New Roman"/>
          <w:color w:val="000000"/>
          <w:lang w:eastAsia="sk-SK"/>
        </w:rPr>
        <w:fldChar w:fldCharType="separate"/>
      </w:r>
      <w:r w:rsidR="00FA29AF">
        <w:rPr>
          <w:rFonts w:eastAsia="Times New Roman" w:cs="Times New Roman"/>
          <w:color w:val="000000"/>
          <w:lang w:eastAsia="sk-SK"/>
        </w:rPr>
        <w:t>11</w:t>
      </w:r>
      <w:r w:rsidR="004177A4">
        <w:rPr>
          <w:rFonts w:eastAsia="Times New Roman" w:cs="Times New Roman"/>
          <w:color w:val="000000"/>
          <w:lang w:eastAsia="sk-SK"/>
        </w:rPr>
        <w:fldChar w:fldCharType="end"/>
      </w:r>
      <w:r w:rsidRPr="00CA2564">
        <w:rPr>
          <w:rFonts w:eastAsia="Times New Roman" w:cs="Times New Roman"/>
          <w:color w:val="000000"/>
          <w:lang w:eastAsia="sk-SK"/>
        </w:rPr>
        <w:t>)</w:t>
      </w:r>
      <w:r w:rsidRPr="00CA2564">
        <w:t>.</w:t>
      </w:r>
    </w:p>
    <w:p w14:paraId="0960EDDC" w14:textId="512FCD8C" w:rsidR="00B11B04" w:rsidRDefault="00B11B04" w:rsidP="006B0C40">
      <w:pPr>
        <w:spacing w:before="160"/>
      </w:pPr>
      <w:r>
        <w:t xml:space="preserve">Úlohou riadenia jednotlivých programov by mala </w:t>
      </w:r>
      <w:r w:rsidRPr="009808A8">
        <w:t xml:space="preserve">byť poverená jedna organizácia spadajúca pod </w:t>
      </w:r>
      <w:r>
        <w:t>príslušný rezort</w:t>
      </w:r>
      <w:r w:rsidR="00D11F83">
        <w:t>.</w:t>
      </w:r>
      <w:r>
        <w:rPr>
          <w:rStyle w:val="Odkaznapoznmkupodiarou"/>
        </w:rPr>
        <w:footnoteReference w:id="8"/>
      </w:r>
      <w:r w:rsidRPr="009808A8">
        <w:t xml:space="preserve"> </w:t>
      </w:r>
      <w:r>
        <w:t>Riadiaca</w:t>
      </w:r>
      <w:r w:rsidRPr="009808A8">
        <w:t xml:space="preserve"> organizá</w:t>
      </w:r>
      <w:r>
        <w:t>cia</w:t>
      </w:r>
      <w:r w:rsidRPr="009808A8">
        <w:t xml:space="preserve"> by okrem administratívneho a účtovné</w:t>
      </w:r>
      <w:r>
        <w:t>ho vedenia programov poskytovala</w:t>
      </w:r>
      <w:r w:rsidRPr="009808A8">
        <w:t xml:space="preserve"> aj metodickú podporu, supervíziu a monitorovanie. </w:t>
      </w:r>
      <w:r>
        <w:t>Pracovníci</w:t>
      </w:r>
      <w:r w:rsidRPr="009808A8">
        <w:t xml:space="preserve"> by sa stali zamestnancami </w:t>
      </w:r>
      <w:r>
        <w:t>tejto organizácie</w:t>
      </w:r>
      <w:r w:rsidRPr="009808A8">
        <w:t>, nie obcí, čo by posilnilo ich nezávislosť od miestnej politiky a zameranie na potreby klientov.</w:t>
      </w:r>
      <w:r>
        <w:t xml:space="preserve"> Udržateľnosť programov po skončení aktuálneho pr</w:t>
      </w:r>
      <w:r w:rsidR="0070047D">
        <w:t xml:space="preserve">ogramového obdobia je potrebné </w:t>
      </w:r>
      <w:r>
        <w:t>zabezpečiť minimálne preklenujúcim fina</w:t>
      </w:r>
      <w:r w:rsidR="0018220C">
        <w:t xml:space="preserve">ncovaním zo štátneho rozpočtu, </w:t>
      </w:r>
      <w:r>
        <w:t>kým nabehne financovanie z eurofondov v novom programovom období. V dlhodobom horizonte je vhodné presunúť financovanie pod štátny rozpočet.</w:t>
      </w:r>
    </w:p>
    <w:p w14:paraId="10EDFD57" w14:textId="05140AE2" w:rsidR="00B11B04" w:rsidRPr="00B11B04" w:rsidRDefault="00B11B04" w:rsidP="006B0C40">
      <w:r w:rsidRPr="00CA2564">
        <w:rPr>
          <w:b/>
        </w:rPr>
        <w:t>2</w:t>
      </w:r>
      <w:r w:rsidR="00FE350B">
        <w:rPr>
          <w:b/>
        </w:rPr>
        <w:t>6</w:t>
      </w:r>
      <w:r w:rsidRPr="00CA2564">
        <w:rPr>
          <w:b/>
        </w:rPr>
        <w:t>. Opatrenie</w:t>
      </w:r>
      <w:r w:rsidRPr="008627E7">
        <w:rPr>
          <w:b/>
          <w:szCs w:val="22"/>
        </w:rPr>
        <w:t xml:space="preserve">: </w:t>
      </w:r>
      <w:r w:rsidR="002224DE">
        <w:rPr>
          <w:b/>
          <w:szCs w:val="22"/>
        </w:rPr>
        <w:t>Vytvoriť a zabezpečiť fungovanie</w:t>
      </w:r>
      <w:r w:rsidR="0093407A">
        <w:rPr>
          <w:b/>
          <w:szCs w:val="22"/>
        </w:rPr>
        <w:t xml:space="preserve"> k</w:t>
      </w:r>
      <w:r>
        <w:rPr>
          <w:b/>
          <w:szCs w:val="22"/>
        </w:rPr>
        <w:t>oordinačn</w:t>
      </w:r>
      <w:r w:rsidR="002224DE">
        <w:rPr>
          <w:b/>
          <w:szCs w:val="22"/>
        </w:rPr>
        <w:t>ých</w:t>
      </w:r>
      <w:r>
        <w:rPr>
          <w:b/>
          <w:szCs w:val="22"/>
        </w:rPr>
        <w:t xml:space="preserve"> pracovn</w:t>
      </w:r>
      <w:r w:rsidR="002224DE">
        <w:rPr>
          <w:b/>
          <w:szCs w:val="22"/>
        </w:rPr>
        <w:t>ých</w:t>
      </w:r>
      <w:r>
        <w:rPr>
          <w:b/>
          <w:szCs w:val="22"/>
        </w:rPr>
        <w:t xml:space="preserve"> tím</w:t>
      </w:r>
      <w:r w:rsidR="002224DE">
        <w:rPr>
          <w:b/>
          <w:szCs w:val="22"/>
        </w:rPr>
        <w:t>ov</w:t>
      </w:r>
      <w:r>
        <w:rPr>
          <w:b/>
          <w:szCs w:val="22"/>
        </w:rPr>
        <w:t xml:space="preserve"> </w:t>
      </w:r>
      <w:r w:rsidR="0093407A">
        <w:rPr>
          <w:b/>
          <w:szCs w:val="22"/>
        </w:rPr>
        <w:t xml:space="preserve">podporných programov </w:t>
      </w:r>
      <w:r>
        <w:rPr>
          <w:b/>
          <w:szCs w:val="22"/>
        </w:rPr>
        <w:t xml:space="preserve">na </w:t>
      </w:r>
      <w:r w:rsidR="001465F1">
        <w:rPr>
          <w:b/>
          <w:szCs w:val="22"/>
        </w:rPr>
        <w:t>mikro</w:t>
      </w:r>
      <w:r>
        <w:rPr>
          <w:b/>
          <w:szCs w:val="22"/>
        </w:rPr>
        <w:t xml:space="preserve">regionálnej úrovni. </w:t>
      </w:r>
      <w:r w:rsidRPr="00A916C7">
        <w:t xml:space="preserve">Významným nedostatkom v riadení podporných programov </w:t>
      </w:r>
      <w:r>
        <w:t xml:space="preserve">v prostredí MRK </w:t>
      </w:r>
      <w:r w:rsidRPr="00A916C7">
        <w:t>je ich chýbajúca koordinácia. Potenciál pozitívnych synergií tak nie je realizovaný</w:t>
      </w:r>
      <w:r w:rsidR="00D11F83">
        <w:t xml:space="preserve"> </w:t>
      </w:r>
      <w:r>
        <w:t>(kapitola</w:t>
      </w:r>
      <w:r w:rsidR="004177A4">
        <w:t xml:space="preserve"> </w:t>
      </w:r>
      <w:r w:rsidR="004177A4">
        <w:fldChar w:fldCharType="begin"/>
      </w:r>
      <w:r w:rsidR="004177A4">
        <w:instrText xml:space="preserve"> REF _Ref25310095 \r \h </w:instrText>
      </w:r>
      <w:r w:rsidR="004177A4">
        <w:fldChar w:fldCharType="separate"/>
      </w:r>
      <w:r w:rsidR="00FA29AF">
        <w:t>11</w:t>
      </w:r>
      <w:r w:rsidR="004177A4">
        <w:fldChar w:fldCharType="end"/>
      </w:r>
      <w:r>
        <w:t>).</w:t>
      </w:r>
      <w:r w:rsidR="00D11F83">
        <w:t xml:space="preserve"> </w:t>
      </w:r>
      <w:r w:rsidRPr="00D3189B">
        <w:t xml:space="preserve">Tímy by okrem predstaviteľov jednotlivých programov </w:t>
      </w:r>
      <w:r w:rsidR="00D11F83">
        <w:t>mali</w:t>
      </w:r>
      <w:r w:rsidR="00D11F83" w:rsidRPr="00D3189B">
        <w:t xml:space="preserve"> </w:t>
      </w:r>
      <w:r w:rsidRPr="00D3189B">
        <w:t>zahŕňať aj predstaviteľov iných zainteresovaných inštitúcií</w:t>
      </w:r>
      <w:r w:rsidR="0018220C">
        <w:t>,</w:t>
      </w:r>
      <w:r w:rsidRPr="00D3189B">
        <w:t xml:space="preserve"> ako sú napríklad policajní špecialisti pre prácu s rómskymi komunitami, asistenti učiteľa, pracovníci úradov práce, samosprávy či mimovládnych organizácií pôsobiacich v </w:t>
      </w:r>
      <w:r w:rsidR="001465F1">
        <w:t>mikro</w:t>
      </w:r>
      <w:r w:rsidRPr="00D3189B">
        <w:t>regióne. Pravidelne organizované stretnutia by mohli pomôcť transformovať prevažne osobné väzby medzi aktérmi na profesijné väzby, vytvoriť presnejšie vymedzenie hraníc, kompetencií a zodpovednosti medzi programami a zlepšiť pozíciu rómskych pracovníkov programov v interakciách s prevažne nerómskymi pracovníkmi štátnych inštitúcií.</w:t>
      </w:r>
      <w:r w:rsidR="00CD6F81">
        <w:t xml:space="preserve"> Veľkosť územnej jednotky (mikroregiónu) by bolo vhodné určiť na základe počtu obyvateľov, ktorí sú klientmi podporných programov.</w:t>
      </w:r>
    </w:p>
    <w:p w14:paraId="5FC9CF27" w14:textId="77777777" w:rsidR="003D6615" w:rsidRDefault="003D6615">
      <w:pPr>
        <w:spacing w:after="160"/>
        <w:jc w:val="left"/>
        <w:rPr>
          <w:rFonts w:eastAsiaTheme="majorEastAsia" w:cstheme="majorBidi"/>
          <w:color w:val="0070C0"/>
          <w:sz w:val="26"/>
          <w:szCs w:val="26"/>
        </w:rPr>
      </w:pPr>
      <w:r>
        <w:br w:type="page"/>
      </w:r>
    </w:p>
    <w:p w14:paraId="5C519F1D" w14:textId="698649CB" w:rsidR="00C91037" w:rsidRDefault="00172D55" w:rsidP="00CE3549">
      <w:pPr>
        <w:pStyle w:val="Nadpis2"/>
        <w:spacing w:before="240"/>
      </w:pPr>
      <w:bookmarkStart w:id="25" w:name="_Toc34657703"/>
      <w:r>
        <w:lastRenderedPageBreak/>
        <w:t>Dáta a</w:t>
      </w:r>
      <w:r w:rsidR="005837FB">
        <w:t> </w:t>
      </w:r>
      <w:r>
        <w:t>metodika</w:t>
      </w:r>
      <w:bookmarkEnd w:id="25"/>
    </w:p>
    <w:tbl>
      <w:tblPr>
        <w:tblW w:w="9072" w:type="dxa"/>
        <w:tblCellMar>
          <w:left w:w="70" w:type="dxa"/>
          <w:right w:w="70" w:type="dxa"/>
        </w:tblCellMar>
        <w:tblLook w:val="04A0" w:firstRow="1" w:lastRow="0" w:firstColumn="1" w:lastColumn="0" w:noHBand="0" w:noVBand="1"/>
      </w:tblPr>
      <w:tblGrid>
        <w:gridCol w:w="414"/>
        <w:gridCol w:w="7099"/>
        <w:gridCol w:w="1559"/>
      </w:tblGrid>
      <w:tr w:rsidR="005975CD" w:rsidRPr="00893C52" w14:paraId="4C6E9215" w14:textId="77777777" w:rsidTr="00492528">
        <w:trPr>
          <w:trHeight w:hRule="exact" w:val="227"/>
        </w:trPr>
        <w:tc>
          <w:tcPr>
            <w:tcW w:w="414" w:type="dxa"/>
            <w:vMerge w:val="restart"/>
            <w:tcBorders>
              <w:top w:val="single" w:sz="4" w:space="0" w:color="auto"/>
              <w:left w:val="nil"/>
              <w:bottom w:val="single" w:sz="4" w:space="0" w:color="000000"/>
              <w:right w:val="nil"/>
            </w:tcBorders>
            <w:shd w:val="clear" w:color="000000" w:fill="DDEBF7"/>
            <w:vAlign w:val="center"/>
            <w:hideMark/>
          </w:tcPr>
          <w:p w14:paraId="77B42EA2" w14:textId="77777777" w:rsidR="005975CD" w:rsidRPr="00893C52" w:rsidRDefault="005975CD" w:rsidP="001328BF">
            <w:pPr>
              <w:spacing w:after="0" w:line="240" w:lineRule="auto"/>
              <w:rPr>
                <w:rFonts w:eastAsia="Times New Roman" w:cs="Times New Roman"/>
                <w:color w:val="000000"/>
                <w:sz w:val="20"/>
                <w:lang w:eastAsia="sk-SK"/>
              </w:rPr>
            </w:pPr>
            <w:bookmarkStart w:id="26" w:name="_Hlk24457847"/>
          </w:p>
        </w:tc>
        <w:tc>
          <w:tcPr>
            <w:tcW w:w="7099" w:type="dxa"/>
            <w:vMerge w:val="restart"/>
            <w:tcBorders>
              <w:top w:val="single" w:sz="4" w:space="0" w:color="auto"/>
              <w:left w:val="nil"/>
              <w:bottom w:val="single" w:sz="4" w:space="0" w:color="000000"/>
              <w:right w:val="nil"/>
            </w:tcBorders>
            <w:shd w:val="clear" w:color="000000" w:fill="DDEBF7"/>
            <w:vAlign w:val="center"/>
            <w:hideMark/>
          </w:tcPr>
          <w:p w14:paraId="566DF569" w14:textId="77777777" w:rsidR="005975CD" w:rsidRPr="00893C52" w:rsidRDefault="005975CD" w:rsidP="001328BF">
            <w:pPr>
              <w:spacing w:after="0" w:line="240" w:lineRule="auto"/>
              <w:rPr>
                <w:rFonts w:eastAsia="Times New Roman" w:cs="Times New Roman"/>
                <w:color w:val="000000"/>
                <w:sz w:val="20"/>
                <w:lang w:eastAsia="sk-SK"/>
              </w:rPr>
            </w:pPr>
            <w:r w:rsidRPr="00893C52">
              <w:rPr>
                <w:rFonts w:eastAsia="Times New Roman" w:cs="Times New Roman"/>
                <w:color w:val="000000"/>
                <w:sz w:val="20"/>
                <w:lang w:eastAsia="sk-SK"/>
              </w:rPr>
              <w:t>Úloha</w:t>
            </w:r>
          </w:p>
        </w:tc>
        <w:tc>
          <w:tcPr>
            <w:tcW w:w="1559" w:type="dxa"/>
            <w:vMerge w:val="restart"/>
            <w:tcBorders>
              <w:top w:val="single" w:sz="4" w:space="0" w:color="auto"/>
              <w:left w:val="nil"/>
              <w:bottom w:val="single" w:sz="4" w:space="0" w:color="000000"/>
              <w:right w:val="nil"/>
            </w:tcBorders>
            <w:shd w:val="clear" w:color="000000" w:fill="DDEBF7"/>
            <w:vAlign w:val="center"/>
            <w:hideMark/>
          </w:tcPr>
          <w:p w14:paraId="096A41E5" w14:textId="77777777" w:rsidR="005975CD" w:rsidRPr="00893C52" w:rsidRDefault="005975CD" w:rsidP="001328BF">
            <w:pPr>
              <w:spacing w:after="0" w:line="240" w:lineRule="auto"/>
              <w:jc w:val="center"/>
              <w:rPr>
                <w:rFonts w:eastAsia="Times New Roman" w:cs="Times New Roman"/>
                <w:color w:val="000000"/>
                <w:sz w:val="20"/>
                <w:lang w:eastAsia="sk-SK"/>
              </w:rPr>
            </w:pPr>
            <w:r w:rsidRPr="00893C52">
              <w:rPr>
                <w:rFonts w:eastAsia="Times New Roman" w:cs="Times New Roman"/>
                <w:color w:val="000000"/>
                <w:sz w:val="20"/>
                <w:lang w:eastAsia="sk-SK"/>
              </w:rPr>
              <w:t>Zodpovednosť</w:t>
            </w:r>
          </w:p>
        </w:tc>
      </w:tr>
      <w:tr w:rsidR="005975CD" w:rsidRPr="00893C52" w14:paraId="58A4D7C6" w14:textId="77777777" w:rsidTr="00492528">
        <w:trPr>
          <w:trHeight w:val="450"/>
        </w:trPr>
        <w:tc>
          <w:tcPr>
            <w:tcW w:w="414" w:type="dxa"/>
            <w:vMerge/>
            <w:tcBorders>
              <w:top w:val="single" w:sz="4" w:space="0" w:color="auto"/>
              <w:left w:val="nil"/>
              <w:bottom w:val="single" w:sz="4" w:space="0" w:color="000000"/>
              <w:right w:val="nil"/>
            </w:tcBorders>
            <w:vAlign w:val="center"/>
            <w:hideMark/>
          </w:tcPr>
          <w:p w14:paraId="48E709B1" w14:textId="77777777" w:rsidR="005975CD" w:rsidRPr="00893C52" w:rsidRDefault="005975CD" w:rsidP="001328BF">
            <w:pPr>
              <w:spacing w:after="0" w:line="240" w:lineRule="auto"/>
              <w:rPr>
                <w:rFonts w:eastAsia="Times New Roman" w:cs="Times New Roman"/>
                <w:color w:val="000000"/>
                <w:sz w:val="20"/>
                <w:lang w:eastAsia="sk-SK"/>
              </w:rPr>
            </w:pPr>
          </w:p>
        </w:tc>
        <w:tc>
          <w:tcPr>
            <w:tcW w:w="7099" w:type="dxa"/>
            <w:vMerge/>
            <w:tcBorders>
              <w:top w:val="single" w:sz="4" w:space="0" w:color="auto"/>
              <w:left w:val="nil"/>
              <w:bottom w:val="single" w:sz="4" w:space="0" w:color="000000"/>
              <w:right w:val="nil"/>
            </w:tcBorders>
            <w:vAlign w:val="center"/>
            <w:hideMark/>
          </w:tcPr>
          <w:p w14:paraId="626BB1E0" w14:textId="77777777" w:rsidR="005975CD" w:rsidRPr="00893C52" w:rsidRDefault="005975CD" w:rsidP="001328BF">
            <w:pPr>
              <w:spacing w:after="0" w:line="240" w:lineRule="auto"/>
              <w:rPr>
                <w:rFonts w:eastAsia="Times New Roman" w:cs="Times New Roman"/>
                <w:color w:val="000000"/>
                <w:sz w:val="20"/>
                <w:lang w:eastAsia="sk-SK"/>
              </w:rPr>
            </w:pPr>
          </w:p>
        </w:tc>
        <w:tc>
          <w:tcPr>
            <w:tcW w:w="1559" w:type="dxa"/>
            <w:vMerge/>
            <w:tcBorders>
              <w:top w:val="single" w:sz="4" w:space="0" w:color="auto"/>
              <w:left w:val="nil"/>
              <w:bottom w:val="single" w:sz="4" w:space="0" w:color="000000"/>
              <w:right w:val="nil"/>
            </w:tcBorders>
            <w:vAlign w:val="center"/>
            <w:hideMark/>
          </w:tcPr>
          <w:p w14:paraId="39E31B8E" w14:textId="77777777" w:rsidR="005975CD" w:rsidRPr="00893C52" w:rsidRDefault="005975CD" w:rsidP="001328BF">
            <w:pPr>
              <w:spacing w:after="0" w:line="240" w:lineRule="auto"/>
              <w:rPr>
                <w:rFonts w:eastAsia="Times New Roman" w:cs="Times New Roman"/>
                <w:color w:val="000000"/>
                <w:sz w:val="20"/>
                <w:lang w:eastAsia="sk-SK"/>
              </w:rPr>
            </w:pPr>
          </w:p>
        </w:tc>
      </w:tr>
      <w:tr w:rsidR="00FE350B" w:rsidRPr="00893C52" w14:paraId="687FF340" w14:textId="77777777" w:rsidTr="00492528">
        <w:trPr>
          <w:trHeight w:val="476"/>
        </w:trPr>
        <w:tc>
          <w:tcPr>
            <w:tcW w:w="414" w:type="dxa"/>
            <w:tcBorders>
              <w:top w:val="nil"/>
              <w:left w:val="nil"/>
              <w:bottom w:val="single" w:sz="4" w:space="0" w:color="auto"/>
              <w:right w:val="nil"/>
            </w:tcBorders>
            <w:shd w:val="clear" w:color="000000" w:fill="FFFFFF"/>
            <w:vAlign w:val="center"/>
          </w:tcPr>
          <w:p w14:paraId="490568DF" w14:textId="77777777" w:rsidR="00FE350B" w:rsidRPr="00893C52" w:rsidRDefault="00FE350B" w:rsidP="001328BF">
            <w:pPr>
              <w:spacing w:after="0" w:line="240" w:lineRule="auto"/>
              <w:jc w:val="center"/>
              <w:rPr>
                <w:rFonts w:eastAsia="Times New Roman" w:cs="Times New Roman"/>
                <w:b/>
                <w:bCs/>
                <w:color w:val="000000"/>
                <w:sz w:val="20"/>
                <w:lang w:eastAsia="sk-SK"/>
              </w:rPr>
            </w:pPr>
          </w:p>
        </w:tc>
        <w:tc>
          <w:tcPr>
            <w:tcW w:w="7099" w:type="dxa"/>
            <w:tcBorders>
              <w:top w:val="nil"/>
              <w:left w:val="nil"/>
              <w:bottom w:val="single" w:sz="4" w:space="0" w:color="auto"/>
              <w:right w:val="nil"/>
            </w:tcBorders>
            <w:shd w:val="clear" w:color="000000" w:fill="FFFFFF"/>
            <w:vAlign w:val="center"/>
          </w:tcPr>
          <w:p w14:paraId="6F951457" w14:textId="35DD0D9E" w:rsidR="00FE350B" w:rsidRDefault="00FE350B" w:rsidP="001328BF">
            <w:pPr>
              <w:spacing w:after="0" w:line="240" w:lineRule="auto"/>
              <w:rPr>
                <w:rFonts w:eastAsia="Times New Roman" w:cs="Times New Roman"/>
                <w:b/>
                <w:bCs/>
                <w:color w:val="000000"/>
                <w:sz w:val="20"/>
                <w:lang w:eastAsia="sk-SK"/>
              </w:rPr>
            </w:pPr>
            <w:r>
              <w:rPr>
                <w:rFonts w:eastAsia="Times New Roman" w:cs="Times New Roman"/>
                <w:b/>
                <w:bCs/>
                <w:color w:val="000000"/>
                <w:sz w:val="20"/>
                <w:lang w:eastAsia="sk-SK"/>
              </w:rPr>
              <w:t>Starostlivos</w:t>
            </w:r>
            <w:r w:rsidRPr="00137B27">
              <w:rPr>
                <w:rFonts w:eastAsia="Times New Roman" w:cs="Times New Roman"/>
                <w:b/>
                <w:bCs/>
                <w:color w:val="000000"/>
                <w:sz w:val="20"/>
                <w:lang w:eastAsia="sk-SK"/>
              </w:rPr>
              <w:t>ť o znevýhodnené deti v ranom veku</w:t>
            </w:r>
          </w:p>
        </w:tc>
        <w:tc>
          <w:tcPr>
            <w:tcW w:w="1559" w:type="dxa"/>
            <w:tcBorders>
              <w:top w:val="nil"/>
              <w:left w:val="nil"/>
              <w:bottom w:val="single" w:sz="4" w:space="0" w:color="auto"/>
              <w:right w:val="nil"/>
            </w:tcBorders>
            <w:shd w:val="clear" w:color="000000" w:fill="FFFFFF"/>
            <w:vAlign w:val="center"/>
          </w:tcPr>
          <w:p w14:paraId="453A4BEF" w14:textId="77777777" w:rsidR="00FE350B" w:rsidRPr="00893C52" w:rsidRDefault="00FE350B" w:rsidP="001328BF">
            <w:pPr>
              <w:spacing w:after="0" w:line="240" w:lineRule="auto"/>
              <w:jc w:val="left"/>
              <w:rPr>
                <w:rFonts w:eastAsia="Times New Roman" w:cs="Times New Roman"/>
                <w:b/>
                <w:bCs/>
                <w:color w:val="000000"/>
                <w:sz w:val="20"/>
                <w:lang w:eastAsia="sk-SK"/>
              </w:rPr>
            </w:pPr>
          </w:p>
        </w:tc>
      </w:tr>
      <w:tr w:rsidR="00FE350B" w:rsidRPr="00FE350B" w14:paraId="327127B8" w14:textId="77777777" w:rsidTr="00FE350B">
        <w:trPr>
          <w:trHeight w:val="238"/>
        </w:trPr>
        <w:tc>
          <w:tcPr>
            <w:tcW w:w="414" w:type="dxa"/>
            <w:tcBorders>
              <w:top w:val="nil"/>
              <w:left w:val="nil"/>
              <w:bottom w:val="single" w:sz="4" w:space="0" w:color="auto"/>
              <w:right w:val="nil"/>
            </w:tcBorders>
            <w:shd w:val="clear" w:color="000000" w:fill="FFFFFF"/>
            <w:vAlign w:val="center"/>
          </w:tcPr>
          <w:p w14:paraId="0FA3DFE1" w14:textId="7C604481" w:rsidR="00FE350B" w:rsidRPr="00FE350B" w:rsidRDefault="00FE350B" w:rsidP="001328BF">
            <w:pPr>
              <w:spacing w:after="0" w:line="240" w:lineRule="auto"/>
              <w:jc w:val="center"/>
              <w:rPr>
                <w:rFonts w:eastAsia="Times New Roman" w:cs="Times New Roman"/>
                <w:bCs/>
                <w:color w:val="000000"/>
                <w:sz w:val="20"/>
                <w:lang w:eastAsia="sk-SK"/>
              </w:rPr>
            </w:pPr>
            <w:r w:rsidRPr="00FE350B">
              <w:rPr>
                <w:rFonts w:eastAsia="Times New Roman" w:cs="Times New Roman"/>
                <w:bCs/>
                <w:color w:val="000000"/>
                <w:sz w:val="20"/>
                <w:lang w:eastAsia="sk-SK"/>
              </w:rPr>
              <w:t>1</w:t>
            </w:r>
          </w:p>
        </w:tc>
        <w:tc>
          <w:tcPr>
            <w:tcW w:w="7099" w:type="dxa"/>
            <w:tcBorders>
              <w:top w:val="nil"/>
              <w:left w:val="nil"/>
              <w:bottom w:val="single" w:sz="4" w:space="0" w:color="auto"/>
              <w:right w:val="nil"/>
            </w:tcBorders>
            <w:shd w:val="clear" w:color="000000" w:fill="FFFFFF"/>
            <w:vAlign w:val="center"/>
          </w:tcPr>
          <w:p w14:paraId="1CD0775C" w14:textId="00A68308" w:rsidR="00FE350B" w:rsidRPr="00FE350B" w:rsidRDefault="00FE350B" w:rsidP="001328BF">
            <w:pPr>
              <w:spacing w:after="0" w:line="240" w:lineRule="auto"/>
              <w:rPr>
                <w:rFonts w:eastAsia="Times New Roman" w:cs="Times New Roman"/>
                <w:bCs/>
                <w:color w:val="000000"/>
                <w:sz w:val="20"/>
                <w:lang w:eastAsia="sk-SK"/>
              </w:rPr>
            </w:pPr>
            <w:r w:rsidRPr="00B5451C">
              <w:rPr>
                <w:bCs/>
                <w:color w:val="000000"/>
                <w:sz w:val="20"/>
              </w:rPr>
              <w:t>Pravidelne zverejňovať priemerné bežné výdavky na službu včasnej intervencie na úrovni VÚC</w:t>
            </w:r>
          </w:p>
        </w:tc>
        <w:tc>
          <w:tcPr>
            <w:tcW w:w="1559" w:type="dxa"/>
            <w:tcBorders>
              <w:top w:val="nil"/>
              <w:left w:val="nil"/>
              <w:bottom w:val="single" w:sz="4" w:space="0" w:color="auto"/>
              <w:right w:val="nil"/>
            </w:tcBorders>
            <w:shd w:val="clear" w:color="000000" w:fill="FFFFFF"/>
            <w:vAlign w:val="center"/>
          </w:tcPr>
          <w:p w14:paraId="047FB5E1" w14:textId="38724863" w:rsidR="00FE350B" w:rsidRPr="00FE350B" w:rsidRDefault="00FE350B" w:rsidP="001328BF">
            <w:pPr>
              <w:spacing w:after="0" w:line="240" w:lineRule="auto"/>
              <w:jc w:val="left"/>
              <w:rPr>
                <w:rFonts w:eastAsia="Times New Roman" w:cs="Times New Roman"/>
                <w:bCs/>
                <w:color w:val="000000"/>
                <w:sz w:val="20"/>
                <w:lang w:eastAsia="sk-SK"/>
              </w:rPr>
            </w:pPr>
            <w:r>
              <w:rPr>
                <w:rFonts w:eastAsia="Times New Roman" w:cs="Times New Roman"/>
                <w:bCs/>
                <w:color w:val="000000"/>
                <w:sz w:val="20"/>
                <w:lang w:eastAsia="sk-SK"/>
              </w:rPr>
              <w:t>samosprávy</w:t>
            </w:r>
          </w:p>
        </w:tc>
      </w:tr>
      <w:tr w:rsidR="005975CD" w:rsidRPr="00893C52" w14:paraId="1A4B79A5" w14:textId="77777777" w:rsidTr="00492528">
        <w:trPr>
          <w:trHeight w:val="476"/>
        </w:trPr>
        <w:tc>
          <w:tcPr>
            <w:tcW w:w="414" w:type="dxa"/>
            <w:tcBorders>
              <w:top w:val="nil"/>
              <w:left w:val="nil"/>
              <w:bottom w:val="single" w:sz="4" w:space="0" w:color="auto"/>
              <w:right w:val="nil"/>
            </w:tcBorders>
            <w:shd w:val="clear" w:color="000000" w:fill="FFFFFF"/>
            <w:vAlign w:val="center"/>
            <w:hideMark/>
          </w:tcPr>
          <w:p w14:paraId="46F6A1D1" w14:textId="77777777" w:rsidR="005975CD" w:rsidRPr="00893C52" w:rsidRDefault="005975CD" w:rsidP="001328BF">
            <w:pPr>
              <w:spacing w:after="0" w:line="240" w:lineRule="auto"/>
              <w:jc w:val="center"/>
              <w:rPr>
                <w:rFonts w:eastAsia="Times New Roman" w:cs="Times New Roman"/>
                <w:b/>
                <w:bCs/>
                <w:color w:val="000000"/>
                <w:sz w:val="20"/>
                <w:lang w:eastAsia="sk-SK"/>
              </w:rPr>
            </w:pPr>
            <w:r w:rsidRPr="00893C52">
              <w:rPr>
                <w:rFonts w:eastAsia="Times New Roman" w:cs="Times New Roman"/>
                <w:b/>
                <w:bCs/>
                <w:color w:val="000000"/>
                <w:sz w:val="20"/>
                <w:lang w:eastAsia="sk-SK"/>
              </w:rPr>
              <w:t> </w:t>
            </w:r>
          </w:p>
        </w:tc>
        <w:tc>
          <w:tcPr>
            <w:tcW w:w="7099" w:type="dxa"/>
            <w:tcBorders>
              <w:top w:val="nil"/>
              <w:left w:val="nil"/>
              <w:bottom w:val="single" w:sz="4" w:space="0" w:color="auto"/>
              <w:right w:val="nil"/>
            </w:tcBorders>
            <w:shd w:val="clear" w:color="000000" w:fill="FFFFFF"/>
            <w:vAlign w:val="center"/>
            <w:hideMark/>
          </w:tcPr>
          <w:p w14:paraId="7EAAB56D" w14:textId="77777777" w:rsidR="005975CD" w:rsidRPr="00893C52" w:rsidRDefault="005975CD" w:rsidP="001328BF">
            <w:pPr>
              <w:spacing w:after="0" w:line="240" w:lineRule="auto"/>
              <w:rPr>
                <w:rFonts w:eastAsia="Times New Roman" w:cs="Times New Roman"/>
                <w:b/>
                <w:bCs/>
                <w:color w:val="000000"/>
                <w:sz w:val="20"/>
                <w:lang w:eastAsia="sk-SK"/>
              </w:rPr>
            </w:pPr>
            <w:r>
              <w:rPr>
                <w:rFonts w:eastAsia="Times New Roman" w:cs="Times New Roman"/>
                <w:b/>
                <w:bCs/>
                <w:color w:val="000000"/>
                <w:sz w:val="20"/>
                <w:lang w:eastAsia="sk-SK"/>
              </w:rPr>
              <w:t>V</w:t>
            </w:r>
            <w:r w:rsidRPr="00893C52">
              <w:rPr>
                <w:rFonts w:eastAsia="Times New Roman" w:cs="Times New Roman"/>
                <w:b/>
                <w:bCs/>
                <w:color w:val="000000"/>
                <w:sz w:val="20"/>
                <w:lang w:eastAsia="sk-SK"/>
              </w:rPr>
              <w:t>zdelávanie</w:t>
            </w:r>
          </w:p>
        </w:tc>
        <w:tc>
          <w:tcPr>
            <w:tcW w:w="1559" w:type="dxa"/>
            <w:tcBorders>
              <w:top w:val="nil"/>
              <w:left w:val="nil"/>
              <w:bottom w:val="single" w:sz="4" w:space="0" w:color="auto"/>
              <w:right w:val="nil"/>
            </w:tcBorders>
            <w:shd w:val="clear" w:color="000000" w:fill="FFFFFF"/>
            <w:vAlign w:val="center"/>
            <w:hideMark/>
          </w:tcPr>
          <w:p w14:paraId="5323AA5C" w14:textId="77777777" w:rsidR="005975CD" w:rsidRPr="00893C52" w:rsidRDefault="005975CD" w:rsidP="001328BF">
            <w:pPr>
              <w:spacing w:after="0" w:line="240" w:lineRule="auto"/>
              <w:jc w:val="left"/>
              <w:rPr>
                <w:rFonts w:eastAsia="Times New Roman" w:cs="Times New Roman"/>
                <w:b/>
                <w:bCs/>
                <w:color w:val="000000"/>
                <w:sz w:val="20"/>
                <w:lang w:eastAsia="sk-SK"/>
              </w:rPr>
            </w:pPr>
            <w:r w:rsidRPr="00893C52">
              <w:rPr>
                <w:rFonts w:eastAsia="Times New Roman" w:cs="Times New Roman"/>
                <w:b/>
                <w:bCs/>
                <w:color w:val="000000"/>
                <w:sz w:val="20"/>
                <w:lang w:eastAsia="sk-SK"/>
              </w:rPr>
              <w:t> </w:t>
            </w:r>
          </w:p>
        </w:tc>
      </w:tr>
      <w:tr w:rsidR="005975CD" w:rsidRPr="00893C52" w14:paraId="6204FDFC" w14:textId="77777777" w:rsidTr="00492528">
        <w:trPr>
          <w:trHeight w:val="238"/>
        </w:trPr>
        <w:tc>
          <w:tcPr>
            <w:tcW w:w="414" w:type="dxa"/>
            <w:tcBorders>
              <w:top w:val="nil"/>
              <w:left w:val="nil"/>
              <w:bottom w:val="dotted" w:sz="4" w:space="0" w:color="auto"/>
              <w:right w:val="nil"/>
            </w:tcBorders>
            <w:shd w:val="clear" w:color="000000" w:fill="FFFFFF"/>
            <w:vAlign w:val="center"/>
            <w:hideMark/>
          </w:tcPr>
          <w:p w14:paraId="455185CD" w14:textId="3904999D" w:rsidR="005975CD" w:rsidRPr="00893C52" w:rsidRDefault="00FE350B" w:rsidP="001328BF">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2</w:t>
            </w:r>
          </w:p>
        </w:tc>
        <w:tc>
          <w:tcPr>
            <w:tcW w:w="7099" w:type="dxa"/>
            <w:tcBorders>
              <w:top w:val="nil"/>
              <w:left w:val="nil"/>
              <w:bottom w:val="dotted" w:sz="4" w:space="0" w:color="auto"/>
              <w:right w:val="nil"/>
            </w:tcBorders>
            <w:shd w:val="clear" w:color="000000" w:fill="FFFFFF"/>
            <w:vAlign w:val="center"/>
            <w:hideMark/>
          </w:tcPr>
          <w:p w14:paraId="6386E3FC" w14:textId="23625743" w:rsidR="005975CD" w:rsidRPr="00893C52" w:rsidRDefault="005975CD">
            <w:pPr>
              <w:spacing w:after="0" w:line="240" w:lineRule="auto"/>
              <w:rPr>
                <w:rFonts w:eastAsia="Times New Roman" w:cs="Times New Roman"/>
                <w:color w:val="000000"/>
                <w:sz w:val="20"/>
                <w:lang w:eastAsia="sk-SK"/>
              </w:rPr>
            </w:pPr>
            <w:r>
              <w:rPr>
                <w:bCs/>
                <w:sz w:val="20"/>
              </w:rPr>
              <w:t>Zabezpečiť každoročný zber údajov</w:t>
            </w:r>
            <w:r w:rsidRPr="001E7120">
              <w:rPr>
                <w:bCs/>
                <w:sz w:val="20"/>
              </w:rPr>
              <w:t xml:space="preserve"> o materinskom jazyku detí, žiakov a poslucháčov</w:t>
            </w:r>
          </w:p>
        </w:tc>
        <w:tc>
          <w:tcPr>
            <w:tcW w:w="1559" w:type="dxa"/>
            <w:tcBorders>
              <w:top w:val="nil"/>
              <w:left w:val="nil"/>
              <w:bottom w:val="dotted" w:sz="4" w:space="0" w:color="auto"/>
              <w:right w:val="nil"/>
            </w:tcBorders>
            <w:shd w:val="clear" w:color="000000" w:fill="FFFFFF"/>
            <w:vAlign w:val="center"/>
            <w:hideMark/>
          </w:tcPr>
          <w:p w14:paraId="19B8CFB4" w14:textId="77777777" w:rsidR="005975CD" w:rsidRPr="00893C52" w:rsidRDefault="005975CD" w:rsidP="001328BF">
            <w:pPr>
              <w:spacing w:after="0" w:line="240" w:lineRule="auto"/>
              <w:jc w:val="left"/>
              <w:rPr>
                <w:rFonts w:eastAsia="Times New Roman" w:cs="Times New Roman"/>
                <w:color w:val="000000"/>
                <w:sz w:val="20"/>
                <w:lang w:eastAsia="sk-SK"/>
              </w:rPr>
            </w:pPr>
            <w:r>
              <w:rPr>
                <w:rFonts w:eastAsia="Times New Roman" w:cs="Times New Roman"/>
                <w:color w:val="000000"/>
                <w:sz w:val="20"/>
                <w:lang w:eastAsia="sk-SK"/>
              </w:rPr>
              <w:t>MŠVVaŠ</w:t>
            </w:r>
          </w:p>
        </w:tc>
      </w:tr>
      <w:tr w:rsidR="005975CD" w:rsidRPr="00893C52" w14:paraId="560897AD" w14:textId="77777777" w:rsidTr="00492528">
        <w:trPr>
          <w:trHeight w:val="238"/>
        </w:trPr>
        <w:tc>
          <w:tcPr>
            <w:tcW w:w="414" w:type="dxa"/>
            <w:tcBorders>
              <w:top w:val="nil"/>
              <w:left w:val="nil"/>
              <w:bottom w:val="dotted" w:sz="4" w:space="0" w:color="auto"/>
              <w:right w:val="nil"/>
            </w:tcBorders>
            <w:shd w:val="clear" w:color="000000" w:fill="FFFFFF"/>
            <w:vAlign w:val="center"/>
            <w:hideMark/>
          </w:tcPr>
          <w:p w14:paraId="7490A554" w14:textId="2AF7A96C" w:rsidR="005975CD" w:rsidRPr="00893C52" w:rsidRDefault="00FE350B" w:rsidP="001328BF">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3</w:t>
            </w:r>
          </w:p>
        </w:tc>
        <w:tc>
          <w:tcPr>
            <w:tcW w:w="7099" w:type="dxa"/>
            <w:tcBorders>
              <w:top w:val="nil"/>
              <w:left w:val="nil"/>
              <w:bottom w:val="dotted" w:sz="4" w:space="0" w:color="auto"/>
              <w:right w:val="nil"/>
            </w:tcBorders>
            <w:shd w:val="clear" w:color="000000" w:fill="FFFFFF"/>
            <w:vAlign w:val="center"/>
            <w:hideMark/>
          </w:tcPr>
          <w:p w14:paraId="6C238039" w14:textId="69639D9A" w:rsidR="005975CD" w:rsidRPr="00893C52" w:rsidRDefault="005975CD" w:rsidP="001328BF">
            <w:pPr>
              <w:spacing w:after="0" w:line="240" w:lineRule="auto"/>
              <w:rPr>
                <w:rFonts w:eastAsia="Times New Roman" w:cs="Times New Roman"/>
                <w:color w:val="000000"/>
                <w:sz w:val="20"/>
                <w:lang w:eastAsia="sk-SK"/>
              </w:rPr>
            </w:pPr>
            <w:r>
              <w:rPr>
                <w:rFonts w:eastAsia="Times New Roman" w:cs="Times New Roman"/>
                <w:color w:val="000000"/>
                <w:sz w:val="20"/>
                <w:lang w:eastAsia="sk-SK"/>
              </w:rPr>
              <w:t>Zabezpečiť každoročný zber údajov</w:t>
            </w:r>
            <w:r w:rsidRPr="00C111EA">
              <w:rPr>
                <w:rFonts w:eastAsia="Times New Roman" w:cs="Times New Roman"/>
                <w:color w:val="000000"/>
                <w:sz w:val="20"/>
                <w:lang w:eastAsia="sk-SK"/>
              </w:rPr>
              <w:t xml:space="preserve"> o najvyššom dosiahnutom vzdelaní rodičov</w:t>
            </w:r>
          </w:p>
        </w:tc>
        <w:tc>
          <w:tcPr>
            <w:tcW w:w="1559" w:type="dxa"/>
            <w:tcBorders>
              <w:top w:val="nil"/>
              <w:left w:val="nil"/>
              <w:bottom w:val="dotted" w:sz="4" w:space="0" w:color="auto"/>
              <w:right w:val="nil"/>
            </w:tcBorders>
            <w:shd w:val="clear" w:color="000000" w:fill="FFFFFF"/>
            <w:vAlign w:val="center"/>
            <w:hideMark/>
          </w:tcPr>
          <w:p w14:paraId="3FB67739" w14:textId="77777777" w:rsidR="005975CD" w:rsidRPr="00893C52" w:rsidRDefault="005975CD" w:rsidP="001328BF">
            <w:pPr>
              <w:spacing w:after="0" w:line="240" w:lineRule="auto"/>
              <w:jc w:val="left"/>
              <w:rPr>
                <w:rFonts w:eastAsia="Times New Roman" w:cs="Times New Roman"/>
                <w:color w:val="000000"/>
                <w:sz w:val="20"/>
                <w:lang w:eastAsia="sk-SK"/>
              </w:rPr>
            </w:pPr>
            <w:r w:rsidRPr="00893C52">
              <w:rPr>
                <w:rFonts w:eastAsia="Times New Roman" w:cs="Times New Roman"/>
                <w:color w:val="000000"/>
                <w:sz w:val="20"/>
                <w:lang w:eastAsia="sk-SK"/>
              </w:rPr>
              <w:t>MŠVVaŠ</w:t>
            </w:r>
          </w:p>
        </w:tc>
      </w:tr>
      <w:tr w:rsidR="005975CD" w:rsidRPr="00893C52" w14:paraId="23B90897" w14:textId="77777777" w:rsidTr="00492528">
        <w:trPr>
          <w:trHeight w:val="238"/>
        </w:trPr>
        <w:tc>
          <w:tcPr>
            <w:tcW w:w="414" w:type="dxa"/>
            <w:tcBorders>
              <w:top w:val="nil"/>
              <w:left w:val="nil"/>
              <w:bottom w:val="dotted" w:sz="4" w:space="0" w:color="auto"/>
              <w:right w:val="nil"/>
            </w:tcBorders>
            <w:shd w:val="clear" w:color="000000" w:fill="FFFFFF"/>
            <w:vAlign w:val="center"/>
            <w:hideMark/>
          </w:tcPr>
          <w:p w14:paraId="22AFBD1D" w14:textId="6F5B89E0" w:rsidR="005975CD" w:rsidRPr="00893C52" w:rsidRDefault="00FE350B" w:rsidP="001328BF">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4</w:t>
            </w:r>
          </w:p>
        </w:tc>
        <w:tc>
          <w:tcPr>
            <w:tcW w:w="7099" w:type="dxa"/>
            <w:tcBorders>
              <w:top w:val="nil"/>
              <w:left w:val="nil"/>
              <w:bottom w:val="dotted" w:sz="4" w:space="0" w:color="auto"/>
              <w:right w:val="nil"/>
            </w:tcBorders>
            <w:shd w:val="clear" w:color="000000" w:fill="FFFFFF"/>
            <w:vAlign w:val="center"/>
            <w:hideMark/>
          </w:tcPr>
          <w:p w14:paraId="4AF6BF47" w14:textId="37AC8E17" w:rsidR="005975CD" w:rsidRPr="00893C52" w:rsidRDefault="005975CD">
            <w:pPr>
              <w:spacing w:after="0" w:line="240" w:lineRule="auto"/>
              <w:rPr>
                <w:rFonts w:eastAsia="Times New Roman" w:cs="Times New Roman"/>
                <w:color w:val="000000"/>
                <w:sz w:val="20"/>
                <w:lang w:eastAsia="sk-SK"/>
              </w:rPr>
            </w:pPr>
            <w:r>
              <w:rPr>
                <w:rFonts w:eastAsia="Times New Roman" w:cs="Times New Roman"/>
                <w:color w:val="000000"/>
                <w:sz w:val="20"/>
                <w:lang w:eastAsia="sk-SK"/>
              </w:rPr>
              <w:t>Zabezpečiť pravidelné prepájanie</w:t>
            </w:r>
            <w:r w:rsidRPr="00C111EA">
              <w:rPr>
                <w:rFonts w:eastAsia="Times New Roman" w:cs="Times New Roman"/>
                <w:color w:val="000000"/>
                <w:sz w:val="20"/>
                <w:lang w:eastAsia="sk-SK"/>
              </w:rPr>
              <w:t xml:space="preserve"> </w:t>
            </w:r>
            <w:r>
              <w:rPr>
                <w:rFonts w:eastAsia="Times New Roman" w:cs="Times New Roman"/>
                <w:color w:val="000000"/>
                <w:sz w:val="20"/>
                <w:lang w:eastAsia="sk-SK"/>
              </w:rPr>
              <w:t>údajov</w:t>
            </w:r>
            <w:r w:rsidRPr="00C111EA">
              <w:rPr>
                <w:rFonts w:eastAsia="Times New Roman" w:cs="Times New Roman"/>
                <w:color w:val="000000"/>
                <w:sz w:val="20"/>
                <w:lang w:eastAsia="sk-SK"/>
              </w:rPr>
              <w:t xml:space="preserve"> o nezamestnanosti rodičov s </w:t>
            </w:r>
            <w:r>
              <w:rPr>
                <w:rFonts w:eastAsia="Times New Roman" w:cs="Times New Roman"/>
                <w:color w:val="000000"/>
                <w:sz w:val="20"/>
                <w:lang w:eastAsia="sk-SK"/>
              </w:rPr>
              <w:t>údajmi</w:t>
            </w:r>
            <w:r w:rsidRPr="00C111EA">
              <w:rPr>
                <w:rFonts w:eastAsia="Times New Roman" w:cs="Times New Roman"/>
                <w:color w:val="000000"/>
                <w:sz w:val="20"/>
                <w:lang w:eastAsia="sk-SK"/>
              </w:rPr>
              <w:t xml:space="preserve"> o žiakoch</w:t>
            </w:r>
          </w:p>
        </w:tc>
        <w:tc>
          <w:tcPr>
            <w:tcW w:w="1559" w:type="dxa"/>
            <w:tcBorders>
              <w:top w:val="nil"/>
              <w:left w:val="nil"/>
              <w:bottom w:val="dotted" w:sz="4" w:space="0" w:color="auto"/>
              <w:right w:val="nil"/>
            </w:tcBorders>
            <w:shd w:val="clear" w:color="000000" w:fill="FFFFFF"/>
            <w:vAlign w:val="center"/>
            <w:hideMark/>
          </w:tcPr>
          <w:p w14:paraId="75178E3F" w14:textId="77777777" w:rsidR="005975CD" w:rsidRPr="00893C52" w:rsidRDefault="005975CD" w:rsidP="001328BF">
            <w:pPr>
              <w:spacing w:after="0" w:line="240" w:lineRule="auto"/>
              <w:jc w:val="left"/>
              <w:rPr>
                <w:rFonts w:eastAsia="Times New Roman" w:cs="Times New Roman"/>
                <w:color w:val="000000"/>
                <w:sz w:val="20"/>
                <w:lang w:eastAsia="sk-SK"/>
              </w:rPr>
            </w:pPr>
            <w:r>
              <w:rPr>
                <w:rFonts w:eastAsia="Times New Roman" w:cs="Times New Roman"/>
                <w:color w:val="000000"/>
                <w:sz w:val="20"/>
                <w:lang w:eastAsia="sk-SK"/>
              </w:rPr>
              <w:t>MŠVVaŠ, ÚPSVaR</w:t>
            </w:r>
          </w:p>
        </w:tc>
      </w:tr>
      <w:tr w:rsidR="005975CD" w:rsidRPr="00893C52" w14:paraId="6072FA9A" w14:textId="77777777" w:rsidTr="00492528">
        <w:trPr>
          <w:trHeight w:val="238"/>
        </w:trPr>
        <w:tc>
          <w:tcPr>
            <w:tcW w:w="414" w:type="dxa"/>
            <w:tcBorders>
              <w:top w:val="nil"/>
              <w:left w:val="nil"/>
              <w:bottom w:val="dotted" w:sz="4" w:space="0" w:color="auto"/>
              <w:right w:val="nil"/>
            </w:tcBorders>
            <w:shd w:val="clear" w:color="000000" w:fill="FFFFFF"/>
            <w:vAlign w:val="center"/>
          </w:tcPr>
          <w:p w14:paraId="07ED20F8" w14:textId="1BFC5B85" w:rsidR="005975CD" w:rsidRPr="00893C52" w:rsidRDefault="00FE350B" w:rsidP="001328BF">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5</w:t>
            </w:r>
          </w:p>
        </w:tc>
        <w:tc>
          <w:tcPr>
            <w:tcW w:w="7099" w:type="dxa"/>
            <w:tcBorders>
              <w:top w:val="nil"/>
              <w:left w:val="nil"/>
              <w:bottom w:val="dotted" w:sz="4" w:space="0" w:color="auto"/>
              <w:right w:val="nil"/>
            </w:tcBorders>
            <w:shd w:val="clear" w:color="000000" w:fill="FFFFFF"/>
            <w:vAlign w:val="center"/>
          </w:tcPr>
          <w:p w14:paraId="2F1681B1" w14:textId="596DAA24" w:rsidR="005975CD" w:rsidRDefault="005975CD" w:rsidP="001328BF">
            <w:pPr>
              <w:spacing w:after="0" w:line="240" w:lineRule="auto"/>
              <w:rPr>
                <w:sz w:val="20"/>
              </w:rPr>
            </w:pPr>
            <w:r>
              <w:rPr>
                <w:rFonts w:eastAsia="Times New Roman" w:cs="Times New Roman"/>
                <w:color w:val="000000"/>
                <w:sz w:val="20"/>
                <w:lang w:eastAsia="sk-SK"/>
              </w:rPr>
              <w:t>Pravidelne zverejňovať zoznam CŠPP, ktoré majú zriadené úseky ranej starostlivosti</w:t>
            </w:r>
          </w:p>
        </w:tc>
        <w:tc>
          <w:tcPr>
            <w:tcW w:w="1559" w:type="dxa"/>
            <w:tcBorders>
              <w:top w:val="nil"/>
              <w:left w:val="nil"/>
              <w:bottom w:val="dotted" w:sz="4" w:space="0" w:color="auto"/>
              <w:right w:val="nil"/>
            </w:tcBorders>
            <w:shd w:val="clear" w:color="000000" w:fill="FFFFFF"/>
            <w:vAlign w:val="center"/>
          </w:tcPr>
          <w:p w14:paraId="2440AE7F" w14:textId="3F80E55C" w:rsidR="005975CD" w:rsidRDefault="005975CD" w:rsidP="001328BF">
            <w:pPr>
              <w:spacing w:after="0" w:line="240" w:lineRule="auto"/>
              <w:jc w:val="left"/>
              <w:rPr>
                <w:rFonts w:eastAsia="Times New Roman" w:cs="Times New Roman"/>
                <w:color w:val="000000"/>
                <w:sz w:val="20"/>
                <w:lang w:eastAsia="sk-SK"/>
              </w:rPr>
            </w:pPr>
            <w:r w:rsidRPr="00893C52">
              <w:rPr>
                <w:rFonts w:eastAsia="Times New Roman" w:cs="Times New Roman"/>
                <w:color w:val="000000"/>
                <w:sz w:val="20"/>
                <w:lang w:eastAsia="sk-SK"/>
              </w:rPr>
              <w:t>MŠVVaŠ</w:t>
            </w:r>
          </w:p>
        </w:tc>
      </w:tr>
      <w:tr w:rsidR="005975CD" w:rsidRPr="00893C52" w14:paraId="16DA4C21" w14:textId="77777777" w:rsidTr="00492528">
        <w:trPr>
          <w:trHeight w:val="238"/>
        </w:trPr>
        <w:tc>
          <w:tcPr>
            <w:tcW w:w="414" w:type="dxa"/>
            <w:tcBorders>
              <w:top w:val="nil"/>
              <w:left w:val="nil"/>
              <w:bottom w:val="dotted" w:sz="4" w:space="0" w:color="auto"/>
              <w:right w:val="nil"/>
            </w:tcBorders>
            <w:shd w:val="clear" w:color="000000" w:fill="FFFFFF"/>
            <w:vAlign w:val="center"/>
          </w:tcPr>
          <w:p w14:paraId="3604D630" w14:textId="7BC54756" w:rsidR="005975CD" w:rsidRPr="00893C52" w:rsidRDefault="00FE350B" w:rsidP="001328BF">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6</w:t>
            </w:r>
          </w:p>
        </w:tc>
        <w:tc>
          <w:tcPr>
            <w:tcW w:w="7099" w:type="dxa"/>
            <w:tcBorders>
              <w:top w:val="nil"/>
              <w:left w:val="nil"/>
              <w:bottom w:val="dotted" w:sz="4" w:space="0" w:color="auto"/>
              <w:right w:val="nil"/>
            </w:tcBorders>
            <w:shd w:val="clear" w:color="000000" w:fill="FFFFFF"/>
            <w:vAlign w:val="center"/>
          </w:tcPr>
          <w:p w14:paraId="7299CD05" w14:textId="5EEBB0D0" w:rsidR="005975CD" w:rsidRDefault="005975CD" w:rsidP="001328BF">
            <w:pPr>
              <w:spacing w:after="0" w:line="240" w:lineRule="auto"/>
              <w:rPr>
                <w:sz w:val="20"/>
              </w:rPr>
            </w:pPr>
            <w:r>
              <w:rPr>
                <w:sz w:val="20"/>
              </w:rPr>
              <w:t>Nastaviť jednotné a samostatné vykazovanie výdavkov štátnych a neštátnych CŠPP</w:t>
            </w:r>
          </w:p>
        </w:tc>
        <w:tc>
          <w:tcPr>
            <w:tcW w:w="1559" w:type="dxa"/>
            <w:tcBorders>
              <w:top w:val="nil"/>
              <w:left w:val="nil"/>
              <w:bottom w:val="dotted" w:sz="4" w:space="0" w:color="auto"/>
              <w:right w:val="nil"/>
            </w:tcBorders>
            <w:shd w:val="clear" w:color="000000" w:fill="FFFFFF"/>
            <w:vAlign w:val="center"/>
          </w:tcPr>
          <w:p w14:paraId="72E6AF26" w14:textId="4EEBC832" w:rsidR="005975CD" w:rsidRDefault="005975CD" w:rsidP="001328BF">
            <w:pPr>
              <w:spacing w:after="0" w:line="240" w:lineRule="auto"/>
              <w:jc w:val="left"/>
              <w:rPr>
                <w:rFonts w:eastAsia="Times New Roman" w:cs="Times New Roman"/>
                <w:color w:val="000000"/>
                <w:sz w:val="20"/>
                <w:lang w:eastAsia="sk-SK"/>
              </w:rPr>
            </w:pPr>
            <w:r w:rsidRPr="00893C52">
              <w:rPr>
                <w:rFonts w:eastAsia="Times New Roman" w:cs="Times New Roman"/>
                <w:color w:val="000000"/>
                <w:sz w:val="20"/>
                <w:lang w:eastAsia="sk-SK"/>
              </w:rPr>
              <w:t>MŠVVaŠ</w:t>
            </w:r>
          </w:p>
        </w:tc>
      </w:tr>
      <w:tr w:rsidR="005975CD" w:rsidRPr="00893C52" w14:paraId="24ABD2B5" w14:textId="77777777" w:rsidTr="00492528">
        <w:trPr>
          <w:trHeight w:val="238"/>
        </w:trPr>
        <w:tc>
          <w:tcPr>
            <w:tcW w:w="414" w:type="dxa"/>
            <w:tcBorders>
              <w:top w:val="nil"/>
              <w:left w:val="nil"/>
              <w:bottom w:val="dotted" w:sz="4" w:space="0" w:color="auto"/>
              <w:right w:val="nil"/>
            </w:tcBorders>
            <w:shd w:val="clear" w:color="000000" w:fill="FFFFFF"/>
            <w:vAlign w:val="center"/>
          </w:tcPr>
          <w:p w14:paraId="4FA74343" w14:textId="172E0119" w:rsidR="005975CD" w:rsidRPr="00893C52" w:rsidRDefault="00FE350B" w:rsidP="001328BF">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7</w:t>
            </w:r>
          </w:p>
        </w:tc>
        <w:tc>
          <w:tcPr>
            <w:tcW w:w="7099" w:type="dxa"/>
            <w:tcBorders>
              <w:top w:val="nil"/>
              <w:left w:val="nil"/>
              <w:bottom w:val="dotted" w:sz="4" w:space="0" w:color="auto"/>
              <w:right w:val="nil"/>
            </w:tcBorders>
            <w:shd w:val="clear" w:color="000000" w:fill="FFFFFF"/>
            <w:vAlign w:val="center"/>
          </w:tcPr>
          <w:p w14:paraId="5ECC40CC" w14:textId="68BBA180" w:rsidR="005975CD" w:rsidRDefault="005975CD" w:rsidP="001328BF">
            <w:pPr>
              <w:spacing w:after="0" w:line="240" w:lineRule="auto"/>
              <w:rPr>
                <w:sz w:val="20"/>
              </w:rPr>
            </w:pPr>
            <w:r>
              <w:rPr>
                <w:sz w:val="20"/>
              </w:rPr>
              <w:t>Vypracovať metodický materiál o prechode žiakov zo špeciálnych do bežných škôl</w:t>
            </w:r>
          </w:p>
        </w:tc>
        <w:tc>
          <w:tcPr>
            <w:tcW w:w="1559" w:type="dxa"/>
            <w:tcBorders>
              <w:top w:val="nil"/>
              <w:left w:val="nil"/>
              <w:bottom w:val="dotted" w:sz="4" w:space="0" w:color="auto"/>
              <w:right w:val="nil"/>
            </w:tcBorders>
            <w:shd w:val="clear" w:color="000000" w:fill="FFFFFF"/>
            <w:vAlign w:val="center"/>
          </w:tcPr>
          <w:p w14:paraId="67D2FFCA" w14:textId="466C14D5" w:rsidR="005975CD" w:rsidRDefault="005975CD" w:rsidP="001328BF">
            <w:pPr>
              <w:spacing w:after="0" w:line="240" w:lineRule="auto"/>
              <w:jc w:val="left"/>
              <w:rPr>
                <w:rFonts w:eastAsia="Times New Roman" w:cs="Times New Roman"/>
                <w:color w:val="000000"/>
                <w:sz w:val="20"/>
                <w:lang w:eastAsia="sk-SK"/>
              </w:rPr>
            </w:pPr>
            <w:r w:rsidRPr="00893C52">
              <w:rPr>
                <w:rFonts w:eastAsia="Times New Roman" w:cs="Times New Roman"/>
                <w:color w:val="000000"/>
                <w:sz w:val="20"/>
                <w:lang w:eastAsia="sk-SK"/>
              </w:rPr>
              <w:t>MŠVVaŠ</w:t>
            </w:r>
          </w:p>
        </w:tc>
      </w:tr>
      <w:tr w:rsidR="005975CD" w:rsidRPr="00893C52" w14:paraId="281C7ACC" w14:textId="77777777" w:rsidTr="00492528">
        <w:trPr>
          <w:trHeight w:val="238"/>
        </w:trPr>
        <w:tc>
          <w:tcPr>
            <w:tcW w:w="414" w:type="dxa"/>
            <w:tcBorders>
              <w:top w:val="nil"/>
              <w:left w:val="nil"/>
              <w:bottom w:val="dotted" w:sz="4" w:space="0" w:color="auto"/>
              <w:right w:val="nil"/>
            </w:tcBorders>
            <w:shd w:val="clear" w:color="000000" w:fill="FFFFFF"/>
            <w:vAlign w:val="center"/>
            <w:hideMark/>
          </w:tcPr>
          <w:p w14:paraId="0C8B4C85" w14:textId="4BB7FD8A" w:rsidR="005975CD" w:rsidRPr="00893C52" w:rsidRDefault="00FE350B" w:rsidP="001328BF">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8</w:t>
            </w:r>
          </w:p>
        </w:tc>
        <w:tc>
          <w:tcPr>
            <w:tcW w:w="7099" w:type="dxa"/>
            <w:tcBorders>
              <w:top w:val="nil"/>
              <w:left w:val="nil"/>
              <w:bottom w:val="dotted" w:sz="4" w:space="0" w:color="auto"/>
              <w:right w:val="nil"/>
            </w:tcBorders>
            <w:shd w:val="clear" w:color="000000" w:fill="FFFFFF"/>
            <w:vAlign w:val="center"/>
            <w:hideMark/>
          </w:tcPr>
          <w:p w14:paraId="57033E9E" w14:textId="6893AA18" w:rsidR="005975CD" w:rsidRPr="00893C52" w:rsidRDefault="005975CD" w:rsidP="001328BF">
            <w:pPr>
              <w:spacing w:after="0" w:line="240" w:lineRule="auto"/>
              <w:rPr>
                <w:rFonts w:eastAsia="Times New Roman" w:cs="Times New Roman"/>
                <w:color w:val="000000"/>
                <w:sz w:val="20"/>
                <w:lang w:eastAsia="sk-SK"/>
              </w:rPr>
            </w:pPr>
            <w:r>
              <w:rPr>
                <w:sz w:val="20"/>
              </w:rPr>
              <w:t>Vypracovať m</w:t>
            </w:r>
            <w:r w:rsidRPr="00C111EA">
              <w:rPr>
                <w:sz w:val="20"/>
              </w:rPr>
              <w:t>etodický materiál o tvorbe školských obvodov na desegregačnom princípe</w:t>
            </w:r>
          </w:p>
        </w:tc>
        <w:tc>
          <w:tcPr>
            <w:tcW w:w="1559" w:type="dxa"/>
            <w:tcBorders>
              <w:top w:val="nil"/>
              <w:left w:val="nil"/>
              <w:bottom w:val="dotted" w:sz="4" w:space="0" w:color="auto"/>
              <w:right w:val="nil"/>
            </w:tcBorders>
            <w:shd w:val="clear" w:color="000000" w:fill="FFFFFF"/>
            <w:vAlign w:val="center"/>
            <w:hideMark/>
          </w:tcPr>
          <w:p w14:paraId="5A7A7D0E" w14:textId="77777777" w:rsidR="005975CD" w:rsidRPr="00893C52" w:rsidRDefault="005975CD" w:rsidP="001328BF">
            <w:pPr>
              <w:spacing w:after="0" w:line="240" w:lineRule="auto"/>
              <w:jc w:val="left"/>
              <w:rPr>
                <w:rFonts w:eastAsia="Times New Roman" w:cs="Times New Roman"/>
                <w:color w:val="000000"/>
                <w:sz w:val="20"/>
                <w:lang w:eastAsia="sk-SK"/>
              </w:rPr>
            </w:pPr>
            <w:r>
              <w:rPr>
                <w:rFonts w:eastAsia="Times New Roman" w:cs="Times New Roman"/>
                <w:color w:val="000000"/>
                <w:sz w:val="20"/>
                <w:lang w:eastAsia="sk-SK"/>
              </w:rPr>
              <w:t>MŠVVaŠ</w:t>
            </w:r>
          </w:p>
        </w:tc>
      </w:tr>
      <w:tr w:rsidR="005975CD" w:rsidRPr="00893C52" w14:paraId="7FC8C8F1" w14:textId="77777777" w:rsidTr="00492528">
        <w:trPr>
          <w:trHeight w:val="476"/>
        </w:trPr>
        <w:tc>
          <w:tcPr>
            <w:tcW w:w="414" w:type="dxa"/>
            <w:tcBorders>
              <w:top w:val="single" w:sz="4" w:space="0" w:color="auto"/>
              <w:left w:val="nil"/>
              <w:bottom w:val="single" w:sz="4" w:space="0" w:color="auto"/>
              <w:right w:val="nil"/>
            </w:tcBorders>
            <w:shd w:val="clear" w:color="000000" w:fill="FFFFFF"/>
            <w:vAlign w:val="center"/>
            <w:hideMark/>
          </w:tcPr>
          <w:p w14:paraId="679FAF7C" w14:textId="77777777" w:rsidR="005975CD" w:rsidRPr="00893C52" w:rsidRDefault="005975CD" w:rsidP="001328BF">
            <w:pPr>
              <w:spacing w:after="0" w:line="240" w:lineRule="auto"/>
              <w:jc w:val="center"/>
              <w:rPr>
                <w:rFonts w:eastAsia="Times New Roman" w:cs="Times New Roman"/>
                <w:b/>
                <w:bCs/>
                <w:color w:val="000000"/>
                <w:sz w:val="20"/>
                <w:lang w:eastAsia="sk-SK"/>
              </w:rPr>
            </w:pPr>
            <w:r w:rsidRPr="00893C52">
              <w:rPr>
                <w:rFonts w:eastAsia="Times New Roman" w:cs="Times New Roman"/>
                <w:b/>
                <w:bCs/>
                <w:color w:val="000000"/>
                <w:sz w:val="20"/>
                <w:lang w:eastAsia="sk-SK"/>
              </w:rPr>
              <w:t> </w:t>
            </w:r>
          </w:p>
        </w:tc>
        <w:tc>
          <w:tcPr>
            <w:tcW w:w="7099" w:type="dxa"/>
            <w:tcBorders>
              <w:top w:val="single" w:sz="4" w:space="0" w:color="auto"/>
              <w:left w:val="nil"/>
              <w:bottom w:val="single" w:sz="4" w:space="0" w:color="auto"/>
              <w:right w:val="nil"/>
            </w:tcBorders>
            <w:shd w:val="clear" w:color="000000" w:fill="FFFFFF"/>
            <w:vAlign w:val="center"/>
            <w:hideMark/>
          </w:tcPr>
          <w:p w14:paraId="741C1DE8" w14:textId="77777777" w:rsidR="005975CD" w:rsidRPr="00893C52" w:rsidRDefault="005975CD" w:rsidP="001328BF">
            <w:pPr>
              <w:spacing w:after="0" w:line="240" w:lineRule="auto"/>
              <w:rPr>
                <w:rFonts w:eastAsia="Times New Roman" w:cs="Times New Roman"/>
                <w:b/>
                <w:bCs/>
                <w:color w:val="000000"/>
                <w:sz w:val="20"/>
                <w:lang w:eastAsia="sk-SK"/>
              </w:rPr>
            </w:pPr>
            <w:r w:rsidRPr="00893C52">
              <w:rPr>
                <w:rFonts w:eastAsia="Times New Roman" w:cs="Times New Roman"/>
                <w:b/>
                <w:bCs/>
                <w:color w:val="000000"/>
                <w:sz w:val="20"/>
                <w:lang w:eastAsia="sk-SK"/>
              </w:rPr>
              <w:t>Politiky trhu práce a sociálne politiky</w:t>
            </w:r>
          </w:p>
        </w:tc>
        <w:tc>
          <w:tcPr>
            <w:tcW w:w="1559" w:type="dxa"/>
            <w:tcBorders>
              <w:top w:val="single" w:sz="4" w:space="0" w:color="auto"/>
              <w:left w:val="nil"/>
              <w:bottom w:val="single" w:sz="4" w:space="0" w:color="auto"/>
              <w:right w:val="nil"/>
            </w:tcBorders>
            <w:shd w:val="clear" w:color="000000" w:fill="FFFFFF"/>
            <w:vAlign w:val="center"/>
            <w:hideMark/>
          </w:tcPr>
          <w:p w14:paraId="1F725237" w14:textId="77777777" w:rsidR="005975CD" w:rsidRPr="00893C52" w:rsidRDefault="005975CD" w:rsidP="001328BF">
            <w:pPr>
              <w:spacing w:after="0" w:line="240" w:lineRule="auto"/>
              <w:jc w:val="left"/>
              <w:rPr>
                <w:rFonts w:eastAsia="Times New Roman" w:cs="Times New Roman"/>
                <w:b/>
                <w:bCs/>
                <w:color w:val="000000"/>
                <w:sz w:val="20"/>
                <w:lang w:eastAsia="sk-SK"/>
              </w:rPr>
            </w:pPr>
            <w:r w:rsidRPr="00893C52">
              <w:rPr>
                <w:rFonts w:eastAsia="Times New Roman" w:cs="Times New Roman"/>
                <w:b/>
                <w:bCs/>
                <w:color w:val="000000"/>
                <w:sz w:val="20"/>
                <w:lang w:eastAsia="sk-SK"/>
              </w:rPr>
              <w:t> </w:t>
            </w:r>
          </w:p>
        </w:tc>
      </w:tr>
      <w:tr w:rsidR="005975CD" w:rsidRPr="00893C52" w14:paraId="313D17D6" w14:textId="77777777" w:rsidTr="00492528">
        <w:trPr>
          <w:trHeight w:val="238"/>
        </w:trPr>
        <w:tc>
          <w:tcPr>
            <w:tcW w:w="414" w:type="dxa"/>
            <w:tcBorders>
              <w:top w:val="nil"/>
              <w:left w:val="nil"/>
              <w:bottom w:val="dotted" w:sz="4" w:space="0" w:color="auto"/>
              <w:right w:val="nil"/>
            </w:tcBorders>
            <w:shd w:val="clear" w:color="000000" w:fill="FFFFFF"/>
            <w:vAlign w:val="center"/>
          </w:tcPr>
          <w:p w14:paraId="798A5A4E" w14:textId="7F691271" w:rsidR="005975CD" w:rsidRDefault="00FE350B" w:rsidP="001328BF">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9</w:t>
            </w:r>
          </w:p>
        </w:tc>
        <w:tc>
          <w:tcPr>
            <w:tcW w:w="7099" w:type="dxa"/>
            <w:tcBorders>
              <w:top w:val="nil"/>
              <w:left w:val="nil"/>
              <w:bottom w:val="dotted" w:sz="4" w:space="0" w:color="auto"/>
              <w:right w:val="nil"/>
            </w:tcBorders>
            <w:shd w:val="clear" w:color="000000" w:fill="FFFFFF"/>
            <w:vAlign w:val="center"/>
          </w:tcPr>
          <w:p w14:paraId="4BB750A1" w14:textId="42EC2484" w:rsidR="005975CD" w:rsidRPr="00654242" w:rsidRDefault="005975CD" w:rsidP="001328BF">
            <w:pPr>
              <w:spacing w:after="0" w:line="240" w:lineRule="auto"/>
              <w:rPr>
                <w:rFonts w:eastAsia="Times New Roman" w:cs="Times New Roman"/>
                <w:color w:val="000000"/>
                <w:sz w:val="20"/>
                <w:lang w:eastAsia="sk-SK"/>
              </w:rPr>
            </w:pPr>
            <w:r w:rsidRPr="00D41517">
              <w:rPr>
                <w:sz w:val="20"/>
              </w:rPr>
              <w:t>Doplniť reprezentatívne zbery dát o možnosť voľby viacerých etnicít</w:t>
            </w:r>
          </w:p>
        </w:tc>
        <w:tc>
          <w:tcPr>
            <w:tcW w:w="1559" w:type="dxa"/>
            <w:tcBorders>
              <w:top w:val="nil"/>
              <w:left w:val="nil"/>
              <w:bottom w:val="dotted" w:sz="4" w:space="0" w:color="auto"/>
              <w:right w:val="nil"/>
            </w:tcBorders>
            <w:shd w:val="clear" w:color="000000" w:fill="FFFFFF"/>
            <w:vAlign w:val="center"/>
          </w:tcPr>
          <w:p w14:paraId="6FC9F15B" w14:textId="10588D04" w:rsidR="005975CD" w:rsidRDefault="005975CD" w:rsidP="001328BF">
            <w:pPr>
              <w:spacing w:after="0" w:line="240" w:lineRule="auto"/>
              <w:jc w:val="left"/>
              <w:rPr>
                <w:rFonts w:eastAsia="Times New Roman" w:cs="Times New Roman"/>
                <w:color w:val="000000"/>
                <w:sz w:val="20"/>
                <w:lang w:eastAsia="sk-SK"/>
              </w:rPr>
            </w:pPr>
            <w:r>
              <w:rPr>
                <w:rFonts w:eastAsia="Times New Roman" w:cs="Times New Roman"/>
                <w:color w:val="000000"/>
                <w:sz w:val="20"/>
                <w:lang w:eastAsia="sk-SK"/>
              </w:rPr>
              <w:t>ŠÚ</w:t>
            </w:r>
          </w:p>
        </w:tc>
      </w:tr>
      <w:tr w:rsidR="005975CD" w:rsidRPr="00893C52" w14:paraId="6603CCDE" w14:textId="77777777" w:rsidTr="00492528">
        <w:trPr>
          <w:trHeight w:val="238"/>
        </w:trPr>
        <w:tc>
          <w:tcPr>
            <w:tcW w:w="414" w:type="dxa"/>
            <w:tcBorders>
              <w:top w:val="nil"/>
              <w:left w:val="nil"/>
              <w:bottom w:val="dotted" w:sz="4" w:space="0" w:color="auto"/>
              <w:right w:val="nil"/>
            </w:tcBorders>
            <w:shd w:val="clear" w:color="000000" w:fill="FFFFFF"/>
            <w:vAlign w:val="center"/>
          </w:tcPr>
          <w:p w14:paraId="211F3E6A" w14:textId="6E569A16" w:rsidR="005975CD" w:rsidRDefault="00FE350B" w:rsidP="001328BF">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10</w:t>
            </w:r>
          </w:p>
        </w:tc>
        <w:tc>
          <w:tcPr>
            <w:tcW w:w="7099" w:type="dxa"/>
            <w:tcBorders>
              <w:top w:val="nil"/>
              <w:left w:val="nil"/>
              <w:bottom w:val="dotted" w:sz="4" w:space="0" w:color="auto"/>
              <w:right w:val="nil"/>
            </w:tcBorders>
            <w:shd w:val="clear" w:color="000000" w:fill="FFFFFF"/>
            <w:vAlign w:val="center"/>
          </w:tcPr>
          <w:p w14:paraId="46AA359C" w14:textId="2D446CF8" w:rsidR="005975CD" w:rsidRDefault="005975CD" w:rsidP="001328BF">
            <w:pPr>
              <w:spacing w:after="0" w:line="240" w:lineRule="auto"/>
              <w:rPr>
                <w:rFonts w:eastAsia="Times New Roman" w:cs="Times New Roman"/>
                <w:color w:val="000000"/>
                <w:sz w:val="20"/>
                <w:lang w:eastAsia="sk-SK"/>
              </w:rPr>
            </w:pPr>
            <w:r>
              <w:rPr>
                <w:rFonts w:eastAsia="Times New Roman" w:cs="Times New Roman"/>
                <w:color w:val="000000"/>
                <w:sz w:val="20"/>
                <w:lang w:eastAsia="sk-SK"/>
              </w:rPr>
              <w:t xml:space="preserve">Vypracovať metodický pokyn upravujúci postup úradov práce, sociálnych vecí a rodiny </w:t>
            </w:r>
            <w:r w:rsidR="0070047D">
              <w:rPr>
                <w:rFonts w:eastAsia="Times New Roman" w:cs="Times New Roman"/>
                <w:color w:val="000000"/>
                <w:sz w:val="20"/>
                <w:lang w:eastAsia="sk-SK"/>
              </w:rPr>
              <w:t xml:space="preserve">pri sprostredkovaní </w:t>
            </w:r>
            <w:r w:rsidRPr="00ED47F8">
              <w:rPr>
                <w:rFonts w:eastAsia="Times New Roman" w:cs="Times New Roman"/>
                <w:color w:val="000000"/>
                <w:sz w:val="20"/>
                <w:lang w:eastAsia="sk-SK"/>
              </w:rPr>
              <w:t>zamestnania</w:t>
            </w:r>
            <w:r>
              <w:rPr>
                <w:rFonts w:eastAsia="Times New Roman" w:cs="Times New Roman"/>
                <w:color w:val="000000"/>
                <w:sz w:val="20"/>
                <w:lang w:eastAsia="sk-SK"/>
              </w:rPr>
              <w:t xml:space="preserve"> osobám so zdravotným postihnutím</w:t>
            </w:r>
          </w:p>
        </w:tc>
        <w:tc>
          <w:tcPr>
            <w:tcW w:w="1559" w:type="dxa"/>
            <w:tcBorders>
              <w:top w:val="nil"/>
              <w:left w:val="nil"/>
              <w:bottom w:val="dotted" w:sz="4" w:space="0" w:color="auto"/>
              <w:right w:val="nil"/>
            </w:tcBorders>
            <w:shd w:val="clear" w:color="000000" w:fill="FFFFFF"/>
            <w:vAlign w:val="center"/>
          </w:tcPr>
          <w:p w14:paraId="07230858" w14:textId="30165834" w:rsidR="005975CD" w:rsidRDefault="005975CD" w:rsidP="001328BF">
            <w:pPr>
              <w:spacing w:after="0" w:line="240" w:lineRule="auto"/>
              <w:jc w:val="left"/>
              <w:rPr>
                <w:rFonts w:eastAsia="Times New Roman" w:cs="Times New Roman"/>
                <w:color w:val="000000"/>
                <w:sz w:val="20"/>
                <w:lang w:eastAsia="sk-SK"/>
              </w:rPr>
            </w:pPr>
            <w:r>
              <w:rPr>
                <w:rFonts w:eastAsia="Times New Roman" w:cs="Times New Roman"/>
                <w:color w:val="000000"/>
                <w:sz w:val="20"/>
                <w:lang w:eastAsia="sk-SK"/>
              </w:rPr>
              <w:t>MPSVsR</w:t>
            </w:r>
          </w:p>
        </w:tc>
      </w:tr>
      <w:tr w:rsidR="005975CD" w:rsidRPr="00893C52" w14:paraId="20E117F7" w14:textId="77777777" w:rsidTr="00492528">
        <w:trPr>
          <w:trHeight w:val="238"/>
        </w:trPr>
        <w:tc>
          <w:tcPr>
            <w:tcW w:w="414" w:type="dxa"/>
            <w:tcBorders>
              <w:top w:val="nil"/>
              <w:left w:val="nil"/>
              <w:bottom w:val="dotted" w:sz="4" w:space="0" w:color="auto"/>
              <w:right w:val="nil"/>
            </w:tcBorders>
            <w:shd w:val="clear" w:color="000000" w:fill="FFFFFF"/>
            <w:vAlign w:val="center"/>
            <w:hideMark/>
          </w:tcPr>
          <w:p w14:paraId="54D1B1E5" w14:textId="4E7B09A4" w:rsidR="005975CD" w:rsidRPr="00893C52" w:rsidRDefault="00FE350B" w:rsidP="001328BF">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11</w:t>
            </w:r>
          </w:p>
        </w:tc>
        <w:tc>
          <w:tcPr>
            <w:tcW w:w="7099" w:type="dxa"/>
            <w:tcBorders>
              <w:top w:val="nil"/>
              <w:left w:val="nil"/>
              <w:bottom w:val="dotted" w:sz="4" w:space="0" w:color="auto"/>
              <w:right w:val="nil"/>
            </w:tcBorders>
            <w:shd w:val="clear" w:color="000000" w:fill="FFFFFF"/>
            <w:vAlign w:val="center"/>
            <w:hideMark/>
          </w:tcPr>
          <w:p w14:paraId="0BA29136" w14:textId="58A5162C" w:rsidR="005975CD" w:rsidRPr="00893C52" w:rsidRDefault="005975CD" w:rsidP="001328BF">
            <w:pPr>
              <w:spacing w:after="0" w:line="240" w:lineRule="auto"/>
              <w:rPr>
                <w:rFonts w:eastAsia="Times New Roman" w:cs="Times New Roman"/>
                <w:color w:val="000000"/>
                <w:sz w:val="20"/>
                <w:lang w:eastAsia="sk-SK"/>
              </w:rPr>
            </w:pPr>
            <w:r>
              <w:rPr>
                <w:rFonts w:eastAsia="Times New Roman" w:cs="Times New Roman"/>
                <w:color w:val="000000"/>
                <w:sz w:val="20"/>
                <w:lang w:eastAsia="sk-SK"/>
              </w:rPr>
              <w:t>Realizovať dotazníkový prieskum osôb prechádzajúcich osobným bankrotom a zverejniť jeho výsledky</w:t>
            </w:r>
          </w:p>
        </w:tc>
        <w:tc>
          <w:tcPr>
            <w:tcW w:w="1559" w:type="dxa"/>
            <w:tcBorders>
              <w:top w:val="nil"/>
              <w:left w:val="nil"/>
              <w:bottom w:val="dotted" w:sz="4" w:space="0" w:color="auto"/>
              <w:right w:val="nil"/>
            </w:tcBorders>
            <w:shd w:val="clear" w:color="000000" w:fill="FFFFFF"/>
            <w:vAlign w:val="center"/>
            <w:hideMark/>
          </w:tcPr>
          <w:p w14:paraId="5D65AE6B" w14:textId="77777777" w:rsidR="005975CD" w:rsidRPr="00893C52" w:rsidRDefault="005975CD" w:rsidP="001328BF">
            <w:pPr>
              <w:spacing w:after="0" w:line="240" w:lineRule="auto"/>
              <w:jc w:val="left"/>
              <w:rPr>
                <w:rFonts w:eastAsia="Times New Roman" w:cs="Times New Roman"/>
                <w:color w:val="000000"/>
                <w:sz w:val="20"/>
                <w:lang w:eastAsia="sk-SK"/>
              </w:rPr>
            </w:pPr>
            <w:r>
              <w:rPr>
                <w:rFonts w:eastAsia="Times New Roman" w:cs="Times New Roman"/>
                <w:color w:val="000000"/>
                <w:sz w:val="20"/>
                <w:lang w:eastAsia="sk-SK"/>
              </w:rPr>
              <w:t>MS</w:t>
            </w:r>
          </w:p>
        </w:tc>
      </w:tr>
      <w:tr w:rsidR="005975CD" w:rsidRPr="00893C52" w14:paraId="37E14A53" w14:textId="77777777" w:rsidTr="00492528">
        <w:trPr>
          <w:trHeight w:val="238"/>
        </w:trPr>
        <w:tc>
          <w:tcPr>
            <w:tcW w:w="414" w:type="dxa"/>
            <w:tcBorders>
              <w:top w:val="nil"/>
              <w:left w:val="nil"/>
              <w:bottom w:val="dotted" w:sz="4" w:space="0" w:color="auto"/>
              <w:right w:val="nil"/>
            </w:tcBorders>
            <w:shd w:val="clear" w:color="000000" w:fill="FFFFFF"/>
            <w:vAlign w:val="center"/>
            <w:hideMark/>
          </w:tcPr>
          <w:p w14:paraId="76611114" w14:textId="31EE9B5D" w:rsidR="005975CD" w:rsidRPr="00893C52" w:rsidRDefault="00FE350B" w:rsidP="001328BF">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12</w:t>
            </w:r>
          </w:p>
        </w:tc>
        <w:tc>
          <w:tcPr>
            <w:tcW w:w="7099" w:type="dxa"/>
            <w:tcBorders>
              <w:top w:val="nil"/>
              <w:left w:val="nil"/>
              <w:bottom w:val="dotted" w:sz="4" w:space="0" w:color="auto"/>
              <w:right w:val="nil"/>
            </w:tcBorders>
            <w:shd w:val="clear" w:color="000000" w:fill="FFFFFF"/>
            <w:vAlign w:val="center"/>
            <w:hideMark/>
          </w:tcPr>
          <w:p w14:paraId="04D92EDF" w14:textId="351527BB" w:rsidR="005975CD" w:rsidRPr="00893C52" w:rsidRDefault="005975CD" w:rsidP="001328BF">
            <w:pPr>
              <w:spacing w:after="0" w:line="240" w:lineRule="auto"/>
              <w:rPr>
                <w:rFonts w:eastAsia="Times New Roman" w:cs="Times New Roman"/>
                <w:color w:val="000000"/>
                <w:sz w:val="20"/>
                <w:lang w:eastAsia="sk-SK"/>
              </w:rPr>
            </w:pPr>
            <w:r>
              <w:rPr>
                <w:sz w:val="20"/>
              </w:rPr>
              <w:t>Nastaviť systematický a pravidelný z</w:t>
            </w:r>
            <w:r w:rsidRPr="00D3189B">
              <w:rPr>
                <w:sz w:val="20"/>
              </w:rPr>
              <w:t>ber</w:t>
            </w:r>
            <w:r>
              <w:rPr>
                <w:sz w:val="20"/>
              </w:rPr>
              <w:t xml:space="preserve"> údajov o </w:t>
            </w:r>
            <w:r w:rsidRPr="00D3189B">
              <w:rPr>
                <w:sz w:val="20"/>
              </w:rPr>
              <w:t>starostlivost</w:t>
            </w:r>
            <w:r>
              <w:rPr>
                <w:sz w:val="20"/>
              </w:rPr>
              <w:t>i</w:t>
            </w:r>
            <w:r w:rsidRPr="00D3189B">
              <w:rPr>
                <w:sz w:val="20"/>
              </w:rPr>
              <w:t xml:space="preserve"> o deti do troch rokov veku dieťaťa</w:t>
            </w:r>
          </w:p>
        </w:tc>
        <w:tc>
          <w:tcPr>
            <w:tcW w:w="1559" w:type="dxa"/>
            <w:tcBorders>
              <w:top w:val="nil"/>
              <w:left w:val="nil"/>
              <w:bottom w:val="dotted" w:sz="4" w:space="0" w:color="auto"/>
              <w:right w:val="nil"/>
            </w:tcBorders>
            <w:shd w:val="clear" w:color="000000" w:fill="FFFFFF"/>
            <w:vAlign w:val="center"/>
            <w:hideMark/>
          </w:tcPr>
          <w:p w14:paraId="48852B77" w14:textId="77777777" w:rsidR="005975CD" w:rsidRPr="00893C52" w:rsidRDefault="005975CD" w:rsidP="001328BF">
            <w:pPr>
              <w:spacing w:after="0" w:line="240" w:lineRule="auto"/>
              <w:jc w:val="left"/>
              <w:rPr>
                <w:rFonts w:eastAsia="Times New Roman" w:cs="Times New Roman"/>
                <w:color w:val="000000"/>
                <w:sz w:val="20"/>
                <w:lang w:eastAsia="sk-SK"/>
              </w:rPr>
            </w:pPr>
            <w:r w:rsidRPr="00893C52">
              <w:rPr>
                <w:rFonts w:eastAsia="Times New Roman" w:cs="Times New Roman"/>
                <w:color w:val="000000"/>
                <w:sz w:val="20"/>
                <w:lang w:eastAsia="sk-SK"/>
              </w:rPr>
              <w:t>MPSVaR</w:t>
            </w:r>
          </w:p>
        </w:tc>
      </w:tr>
      <w:tr w:rsidR="005975CD" w:rsidRPr="00893C52" w14:paraId="0C89626D" w14:textId="77777777" w:rsidTr="00492528">
        <w:trPr>
          <w:trHeight w:val="476"/>
        </w:trPr>
        <w:tc>
          <w:tcPr>
            <w:tcW w:w="414" w:type="dxa"/>
            <w:tcBorders>
              <w:top w:val="single" w:sz="4" w:space="0" w:color="auto"/>
              <w:left w:val="nil"/>
              <w:bottom w:val="single" w:sz="4" w:space="0" w:color="auto"/>
              <w:right w:val="nil"/>
            </w:tcBorders>
            <w:shd w:val="clear" w:color="000000" w:fill="FFFFFF"/>
            <w:vAlign w:val="center"/>
            <w:hideMark/>
          </w:tcPr>
          <w:p w14:paraId="58ED20AD" w14:textId="77777777" w:rsidR="005975CD" w:rsidRPr="00893C52" w:rsidRDefault="005975CD" w:rsidP="001328BF">
            <w:pPr>
              <w:spacing w:after="0" w:line="240" w:lineRule="auto"/>
              <w:jc w:val="center"/>
              <w:rPr>
                <w:rFonts w:eastAsia="Times New Roman" w:cs="Times New Roman"/>
                <w:b/>
                <w:bCs/>
                <w:color w:val="000000"/>
                <w:sz w:val="20"/>
                <w:lang w:eastAsia="sk-SK"/>
              </w:rPr>
            </w:pPr>
            <w:r w:rsidRPr="00893C52">
              <w:rPr>
                <w:rFonts w:eastAsia="Times New Roman" w:cs="Times New Roman"/>
                <w:b/>
                <w:bCs/>
                <w:color w:val="000000"/>
                <w:sz w:val="20"/>
                <w:lang w:eastAsia="sk-SK"/>
              </w:rPr>
              <w:t> </w:t>
            </w:r>
          </w:p>
        </w:tc>
        <w:tc>
          <w:tcPr>
            <w:tcW w:w="7099" w:type="dxa"/>
            <w:tcBorders>
              <w:top w:val="single" w:sz="4" w:space="0" w:color="auto"/>
              <w:left w:val="nil"/>
              <w:bottom w:val="single" w:sz="4" w:space="0" w:color="auto"/>
              <w:right w:val="nil"/>
            </w:tcBorders>
            <w:shd w:val="clear" w:color="000000" w:fill="FFFFFF"/>
            <w:vAlign w:val="center"/>
            <w:hideMark/>
          </w:tcPr>
          <w:p w14:paraId="1C0B747A" w14:textId="77777777" w:rsidR="005975CD" w:rsidRPr="00893C52" w:rsidRDefault="005975CD" w:rsidP="001328BF">
            <w:pPr>
              <w:spacing w:after="0" w:line="240" w:lineRule="auto"/>
              <w:rPr>
                <w:rFonts w:eastAsia="Times New Roman" w:cs="Times New Roman"/>
                <w:b/>
                <w:bCs/>
                <w:color w:val="000000"/>
                <w:sz w:val="20"/>
                <w:lang w:eastAsia="sk-SK"/>
              </w:rPr>
            </w:pPr>
            <w:r w:rsidRPr="00893C52">
              <w:rPr>
                <w:rFonts w:eastAsia="Times New Roman" w:cs="Times New Roman"/>
                <w:b/>
                <w:bCs/>
                <w:color w:val="000000"/>
                <w:sz w:val="20"/>
                <w:lang w:eastAsia="sk-SK"/>
              </w:rPr>
              <w:t>Bývanie a infraštruktúra</w:t>
            </w:r>
          </w:p>
        </w:tc>
        <w:tc>
          <w:tcPr>
            <w:tcW w:w="1559" w:type="dxa"/>
            <w:tcBorders>
              <w:top w:val="single" w:sz="4" w:space="0" w:color="auto"/>
              <w:left w:val="nil"/>
              <w:bottom w:val="single" w:sz="4" w:space="0" w:color="auto"/>
              <w:right w:val="nil"/>
            </w:tcBorders>
            <w:shd w:val="clear" w:color="000000" w:fill="FFFFFF"/>
            <w:vAlign w:val="center"/>
            <w:hideMark/>
          </w:tcPr>
          <w:p w14:paraId="158438F2" w14:textId="77777777" w:rsidR="005975CD" w:rsidRPr="00893C52" w:rsidRDefault="005975CD" w:rsidP="001328BF">
            <w:pPr>
              <w:spacing w:after="0" w:line="240" w:lineRule="auto"/>
              <w:jc w:val="left"/>
              <w:rPr>
                <w:rFonts w:eastAsia="Times New Roman" w:cs="Times New Roman"/>
                <w:b/>
                <w:bCs/>
                <w:color w:val="000000"/>
                <w:sz w:val="20"/>
                <w:lang w:eastAsia="sk-SK"/>
              </w:rPr>
            </w:pPr>
            <w:r w:rsidRPr="00893C52">
              <w:rPr>
                <w:rFonts w:eastAsia="Times New Roman" w:cs="Times New Roman"/>
                <w:b/>
                <w:bCs/>
                <w:color w:val="000000"/>
                <w:sz w:val="20"/>
                <w:lang w:eastAsia="sk-SK"/>
              </w:rPr>
              <w:t> </w:t>
            </w:r>
          </w:p>
        </w:tc>
      </w:tr>
      <w:tr w:rsidR="005975CD" w:rsidRPr="00893C52" w14:paraId="7E3646D1" w14:textId="77777777" w:rsidTr="00492528">
        <w:trPr>
          <w:trHeight w:val="238"/>
        </w:trPr>
        <w:tc>
          <w:tcPr>
            <w:tcW w:w="414" w:type="dxa"/>
            <w:tcBorders>
              <w:top w:val="single" w:sz="4" w:space="0" w:color="auto"/>
              <w:left w:val="nil"/>
              <w:bottom w:val="single" w:sz="4" w:space="0" w:color="auto"/>
              <w:right w:val="nil"/>
            </w:tcBorders>
            <w:shd w:val="clear" w:color="000000" w:fill="FFFFFF"/>
            <w:vAlign w:val="center"/>
            <w:hideMark/>
          </w:tcPr>
          <w:p w14:paraId="0D91A028" w14:textId="754F3EF8" w:rsidR="005975CD" w:rsidRPr="00893C52" w:rsidRDefault="00FE350B" w:rsidP="001328BF">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13</w:t>
            </w:r>
          </w:p>
        </w:tc>
        <w:tc>
          <w:tcPr>
            <w:tcW w:w="7099" w:type="dxa"/>
            <w:tcBorders>
              <w:top w:val="single" w:sz="4" w:space="0" w:color="auto"/>
              <w:left w:val="nil"/>
              <w:bottom w:val="single" w:sz="4" w:space="0" w:color="auto"/>
              <w:right w:val="nil"/>
            </w:tcBorders>
            <w:shd w:val="clear" w:color="000000" w:fill="FFFFFF"/>
            <w:vAlign w:val="center"/>
            <w:hideMark/>
          </w:tcPr>
          <w:p w14:paraId="26B9C69F" w14:textId="17FFCFAA" w:rsidR="005975CD" w:rsidRPr="00893C52" w:rsidRDefault="005975CD" w:rsidP="001328BF">
            <w:pPr>
              <w:spacing w:after="0" w:line="240" w:lineRule="auto"/>
              <w:rPr>
                <w:rFonts w:eastAsia="Times New Roman" w:cs="Times New Roman"/>
                <w:color w:val="000000"/>
                <w:sz w:val="20"/>
                <w:lang w:eastAsia="sk-SK"/>
              </w:rPr>
            </w:pPr>
            <w:r>
              <w:rPr>
                <w:rFonts w:eastAsia="Times New Roman" w:cs="Times New Roman"/>
                <w:color w:val="000000"/>
                <w:sz w:val="20"/>
                <w:lang w:eastAsia="sk-SK"/>
              </w:rPr>
              <w:t>Nastaviť systematický a pravidelný zber údajov o ľuďoch bez domova a ľuďoch ohrozených stratou bývania</w:t>
            </w:r>
          </w:p>
        </w:tc>
        <w:tc>
          <w:tcPr>
            <w:tcW w:w="1559" w:type="dxa"/>
            <w:tcBorders>
              <w:top w:val="single" w:sz="4" w:space="0" w:color="auto"/>
              <w:left w:val="nil"/>
              <w:bottom w:val="single" w:sz="4" w:space="0" w:color="auto"/>
              <w:right w:val="nil"/>
            </w:tcBorders>
            <w:shd w:val="clear" w:color="000000" w:fill="FFFFFF"/>
            <w:vAlign w:val="center"/>
            <w:hideMark/>
          </w:tcPr>
          <w:p w14:paraId="2D750B11" w14:textId="4BCE6A46" w:rsidR="005975CD" w:rsidRPr="00893C52" w:rsidRDefault="005975CD" w:rsidP="001328BF">
            <w:pPr>
              <w:spacing w:after="0" w:line="240" w:lineRule="auto"/>
              <w:jc w:val="left"/>
              <w:rPr>
                <w:rFonts w:eastAsia="Times New Roman" w:cs="Times New Roman"/>
                <w:color w:val="000000"/>
                <w:sz w:val="20"/>
                <w:lang w:eastAsia="sk-SK"/>
              </w:rPr>
            </w:pPr>
            <w:r>
              <w:rPr>
                <w:rFonts w:eastAsia="Times New Roman" w:cs="Times New Roman"/>
                <w:color w:val="000000"/>
                <w:sz w:val="20"/>
                <w:lang w:eastAsia="sk-SK"/>
              </w:rPr>
              <w:t>MPSVaR</w:t>
            </w:r>
          </w:p>
        </w:tc>
      </w:tr>
    </w:tbl>
    <w:bookmarkEnd w:id="26"/>
    <w:p w14:paraId="0548EA47" w14:textId="40B8D20C" w:rsidR="00FE350B" w:rsidRPr="00231BE7" w:rsidRDefault="00FE350B" w:rsidP="00FE350B">
      <w:pPr>
        <w:spacing w:before="200"/>
        <w:rPr>
          <w:bCs/>
          <w:color w:val="0070C0"/>
        </w:rPr>
      </w:pPr>
      <w:r>
        <w:rPr>
          <w:bCs/>
          <w:color w:val="0070C0"/>
        </w:rPr>
        <w:t>Starostlivosť o znevýhodnené deti v ranom veku</w:t>
      </w:r>
    </w:p>
    <w:p w14:paraId="3D784C82" w14:textId="5E2933ED" w:rsidR="00FE350B" w:rsidRDefault="00FE350B" w:rsidP="00FE350B">
      <w:pPr>
        <w:spacing w:before="200"/>
        <w:rPr>
          <w:b/>
          <w:bCs/>
          <w:szCs w:val="22"/>
        </w:rPr>
      </w:pPr>
      <w:r>
        <w:rPr>
          <w:b/>
          <w:bCs/>
          <w:szCs w:val="22"/>
        </w:rPr>
        <w:t>1</w:t>
      </w:r>
      <w:r w:rsidRPr="001E7120">
        <w:rPr>
          <w:b/>
          <w:bCs/>
          <w:szCs w:val="22"/>
        </w:rPr>
        <w:t xml:space="preserve">. </w:t>
      </w:r>
      <w:r w:rsidRPr="00B6551E">
        <w:rPr>
          <w:b/>
          <w:bCs/>
          <w:szCs w:val="22"/>
        </w:rPr>
        <w:t>Opatrenie:</w:t>
      </w:r>
      <w:r>
        <w:rPr>
          <w:b/>
          <w:bCs/>
          <w:szCs w:val="22"/>
        </w:rPr>
        <w:t xml:space="preserve"> </w:t>
      </w:r>
      <w:r w:rsidRPr="00B57EC3">
        <w:rPr>
          <w:b/>
          <w:bCs/>
          <w:color w:val="000000"/>
        </w:rPr>
        <w:t>Pravidelne zverejňovať priemerné bežné výdavky na službu včasnej intervencie na úrovni VÚC</w:t>
      </w:r>
      <w:r w:rsidRPr="00B6551E">
        <w:rPr>
          <w:b/>
          <w:bCs/>
          <w:szCs w:val="22"/>
        </w:rPr>
        <w:t>.</w:t>
      </w:r>
      <w:r>
        <w:rPr>
          <w:b/>
          <w:bCs/>
          <w:szCs w:val="22"/>
        </w:rPr>
        <w:t xml:space="preserve"> </w:t>
      </w:r>
      <w:r w:rsidRPr="00B57EC3">
        <w:rPr>
          <w:rFonts w:eastAsia="Arial Narrow" w:cs="Arial Narrow"/>
          <w:bCs/>
          <w:color w:val="000000"/>
          <w:szCs w:val="22"/>
        </w:rPr>
        <w:t xml:space="preserve">Príspevky na hodinu služby včasnej intervencie stanovujú VÚC. Výška týchto príspevkov je v súčasnosti rôzna, </w:t>
      </w:r>
      <w:r w:rsidRPr="00B57EC3">
        <w:rPr>
          <w:rFonts w:eastAsia="Arial Narrow" w:cs="Arial Narrow"/>
          <w:color w:val="000000"/>
          <w:szCs w:val="22"/>
        </w:rPr>
        <w:t>od</w:t>
      </w:r>
      <w:r w:rsidRPr="00B57EC3">
        <w:rPr>
          <w:rFonts w:eastAsia="Arial Narrow" w:cs="Arial Narrow"/>
          <w:b/>
          <w:color w:val="000000"/>
          <w:szCs w:val="22"/>
        </w:rPr>
        <w:t xml:space="preserve"> </w:t>
      </w:r>
      <w:r w:rsidRPr="00B57EC3">
        <w:rPr>
          <w:rFonts w:eastAsia="Arial Narrow" w:cs="Arial Narrow"/>
          <w:color w:val="000000"/>
          <w:szCs w:val="22"/>
        </w:rPr>
        <w:t>7,6 eura v Žilinskom kraji po 15 eur v Košickom kraji</w:t>
      </w:r>
      <w:r>
        <w:rPr>
          <w:rFonts w:eastAsia="Arial Narrow" w:cs="Arial Narrow"/>
          <w:color w:val="000000"/>
          <w:szCs w:val="22"/>
        </w:rPr>
        <w:t xml:space="preserve"> (kapitola </w:t>
      </w:r>
      <w:r>
        <w:rPr>
          <w:rFonts w:eastAsia="Arial Narrow" w:cs="Arial Narrow"/>
          <w:color w:val="000000"/>
          <w:szCs w:val="22"/>
        </w:rPr>
        <w:fldChar w:fldCharType="begin"/>
      </w:r>
      <w:r>
        <w:rPr>
          <w:rFonts w:eastAsia="Arial Narrow" w:cs="Arial Narrow"/>
          <w:color w:val="000000"/>
          <w:szCs w:val="22"/>
        </w:rPr>
        <w:instrText xml:space="preserve"> REF _Ref33198253 \r \h </w:instrText>
      </w:r>
      <w:r>
        <w:rPr>
          <w:rFonts w:eastAsia="Arial Narrow" w:cs="Arial Narrow"/>
          <w:color w:val="000000"/>
          <w:szCs w:val="22"/>
        </w:rPr>
      </w:r>
      <w:r>
        <w:rPr>
          <w:rFonts w:eastAsia="Arial Narrow" w:cs="Arial Narrow"/>
          <w:color w:val="000000"/>
          <w:szCs w:val="22"/>
        </w:rPr>
        <w:fldChar w:fldCharType="separate"/>
      </w:r>
      <w:r w:rsidR="00FA29AF">
        <w:rPr>
          <w:rFonts w:eastAsia="Arial Narrow" w:cs="Arial Narrow"/>
          <w:color w:val="000000"/>
          <w:szCs w:val="22"/>
        </w:rPr>
        <w:t>4</w:t>
      </w:r>
      <w:r>
        <w:rPr>
          <w:rFonts w:eastAsia="Arial Narrow" w:cs="Arial Narrow"/>
          <w:color w:val="000000"/>
          <w:szCs w:val="22"/>
        </w:rPr>
        <w:fldChar w:fldCharType="end"/>
      </w:r>
      <w:r>
        <w:rPr>
          <w:rFonts w:eastAsia="Arial Narrow" w:cs="Arial Narrow"/>
          <w:color w:val="000000"/>
          <w:szCs w:val="22"/>
        </w:rPr>
        <w:t xml:space="preserve">). </w:t>
      </w:r>
      <w:r>
        <w:rPr>
          <w:rFonts w:eastAsia="Arial Narrow" w:cs="Arial Narrow"/>
          <w:bCs/>
          <w:color w:val="000000"/>
        </w:rPr>
        <w:t>Opatrenie predpokladá, že vyššie územné celky budú každoročne stanovovať a </w:t>
      </w:r>
      <w:r w:rsidRPr="00B57EC3">
        <w:rPr>
          <w:rFonts w:eastAsia="Arial Narrow" w:cs="Arial Narrow"/>
          <w:bCs/>
          <w:color w:val="000000"/>
        </w:rPr>
        <w:t xml:space="preserve">zverejňovať </w:t>
      </w:r>
      <w:r w:rsidRPr="00B57EC3">
        <w:rPr>
          <w:bCs/>
          <w:color w:val="000000"/>
        </w:rPr>
        <w:t>priemerné bežné výdavky na službu včasnej intervencie, ktoré budú, okrem iného zohľadňovať aj reálne personálne náklady na mzdy odborných zamestnancov, ich supervíziu a vzdelávanie, prevádzkové náklady na prenájom priestorov vrátane nákladov na terénne poskytovanie služieb a pomôcky.</w:t>
      </w:r>
    </w:p>
    <w:p w14:paraId="29DEBDDF" w14:textId="4B1BF257" w:rsidR="004F1697" w:rsidRPr="00231BE7" w:rsidRDefault="004F1697" w:rsidP="00FE350B">
      <w:pPr>
        <w:spacing w:before="200"/>
        <w:rPr>
          <w:bCs/>
          <w:color w:val="0070C0"/>
        </w:rPr>
      </w:pPr>
      <w:r w:rsidRPr="00231BE7">
        <w:rPr>
          <w:bCs/>
          <w:color w:val="0070C0"/>
        </w:rPr>
        <w:t>Vzdelávanie</w:t>
      </w:r>
    </w:p>
    <w:p w14:paraId="75B7B6E2" w14:textId="7F7003B0" w:rsidR="00CE3549" w:rsidRDefault="00F07492" w:rsidP="00CE3549">
      <w:pPr>
        <w:spacing w:before="160"/>
        <w:rPr>
          <w:rFonts w:eastAsia="Calibri" w:cs="Times New Roman"/>
          <w:szCs w:val="22"/>
        </w:rPr>
      </w:pPr>
      <w:r>
        <w:rPr>
          <w:b/>
          <w:bCs/>
          <w:szCs w:val="22"/>
        </w:rPr>
        <w:t>1</w:t>
      </w:r>
      <w:r w:rsidR="00CE3549" w:rsidRPr="001E7120">
        <w:rPr>
          <w:b/>
          <w:bCs/>
          <w:szCs w:val="22"/>
        </w:rPr>
        <w:t xml:space="preserve">. </w:t>
      </w:r>
      <w:r w:rsidR="00CE3549" w:rsidRPr="00B6551E">
        <w:rPr>
          <w:b/>
          <w:bCs/>
          <w:szCs w:val="22"/>
        </w:rPr>
        <w:t>Opatrenie: Z</w:t>
      </w:r>
      <w:r w:rsidR="00CE3549">
        <w:rPr>
          <w:b/>
          <w:bCs/>
          <w:szCs w:val="22"/>
        </w:rPr>
        <w:t>abezpečiť každoročný z</w:t>
      </w:r>
      <w:r w:rsidR="00CE3549" w:rsidRPr="00B6551E">
        <w:rPr>
          <w:b/>
          <w:bCs/>
          <w:szCs w:val="22"/>
        </w:rPr>
        <w:t>ber údajov o materinskom jazyku detí, žiakov a poslucháčov.</w:t>
      </w:r>
      <w:r w:rsidR="00CE3549">
        <w:rPr>
          <w:b/>
          <w:bCs/>
          <w:szCs w:val="22"/>
        </w:rPr>
        <w:t xml:space="preserve"> </w:t>
      </w:r>
      <w:r w:rsidR="00CE3549" w:rsidRPr="00B14AA2">
        <w:rPr>
          <w:rFonts w:eastAsia="Calibri" w:cs="Times New Roman"/>
          <w:bCs/>
          <w:szCs w:val="22"/>
        </w:rPr>
        <w:t xml:space="preserve">Odlišnosť materinského jazyka od vyučovacieho jazyka má </w:t>
      </w:r>
      <w:r w:rsidR="00CE3549">
        <w:rPr>
          <w:rFonts w:eastAsia="Calibri" w:cs="Times New Roman"/>
          <w:bCs/>
          <w:szCs w:val="22"/>
        </w:rPr>
        <w:t>podľa medzinárodných prieskumov</w:t>
      </w:r>
      <w:r w:rsidR="00CE3549" w:rsidRPr="00B14AA2">
        <w:rPr>
          <w:rFonts w:eastAsia="Calibri" w:cs="Times New Roman"/>
          <w:bCs/>
          <w:szCs w:val="22"/>
        </w:rPr>
        <w:t xml:space="preserve"> významný vplyv na </w:t>
      </w:r>
      <w:r w:rsidR="00492528">
        <w:rPr>
          <w:rFonts w:eastAsia="Calibri" w:cs="Times New Roman"/>
          <w:bCs/>
          <w:szCs w:val="22"/>
        </w:rPr>
        <w:t>vzdelávacie výsledky</w:t>
      </w:r>
      <w:r w:rsidR="00CE3549" w:rsidRPr="00B14AA2">
        <w:rPr>
          <w:rFonts w:eastAsia="Calibri" w:cs="Times New Roman"/>
          <w:bCs/>
          <w:szCs w:val="22"/>
        </w:rPr>
        <w:t>.</w:t>
      </w:r>
      <w:r w:rsidR="00CE3549" w:rsidRPr="00B14AA2">
        <w:rPr>
          <w:rFonts w:eastAsia="Calibri" w:cs="Times New Roman"/>
          <w:szCs w:val="22"/>
        </w:rPr>
        <w:t xml:space="preserve"> Slovensko patrí medzi krajiny, kde je </w:t>
      </w:r>
      <w:r w:rsidR="00492528">
        <w:rPr>
          <w:rFonts w:eastAsia="Calibri" w:cs="Times New Roman"/>
          <w:szCs w:val="22"/>
        </w:rPr>
        <w:t>tento vplyv najvýraznejší</w:t>
      </w:r>
      <w:r w:rsidR="00CE3549">
        <w:rPr>
          <w:rFonts w:eastAsia="Calibri" w:cs="Times New Roman"/>
          <w:szCs w:val="22"/>
        </w:rPr>
        <w:t>. Napriek tomu sa administratívne údaje o materinskom jazyku žiakov na Slovensku systematicky nezbierajú a dopad materinského jazyka na vzdelávacie výsledky sa nesleduje</w:t>
      </w:r>
      <w:r w:rsidR="00492528">
        <w:rPr>
          <w:rFonts w:eastAsia="Calibri" w:cs="Times New Roman"/>
          <w:szCs w:val="22"/>
        </w:rPr>
        <w:t xml:space="preserve"> (</w:t>
      </w:r>
      <w:r w:rsidR="00B916FD">
        <w:rPr>
          <w:rFonts w:eastAsia="Calibri" w:cs="Times New Roman"/>
          <w:szCs w:val="22"/>
        </w:rPr>
        <w:t xml:space="preserve">kapitola </w:t>
      </w:r>
      <w:r w:rsidR="00B916FD">
        <w:rPr>
          <w:rFonts w:eastAsia="Calibri" w:cs="Times New Roman"/>
          <w:szCs w:val="22"/>
        </w:rPr>
        <w:fldChar w:fldCharType="begin"/>
      </w:r>
      <w:r w:rsidR="00B916FD">
        <w:rPr>
          <w:rFonts w:eastAsia="Calibri" w:cs="Times New Roman"/>
          <w:szCs w:val="22"/>
        </w:rPr>
        <w:instrText xml:space="preserve"> REF _Ref33197467 \r \h </w:instrText>
      </w:r>
      <w:r w:rsidR="00B916FD">
        <w:rPr>
          <w:rFonts w:eastAsia="Calibri" w:cs="Times New Roman"/>
          <w:szCs w:val="22"/>
        </w:rPr>
      </w:r>
      <w:r w:rsidR="00B916FD">
        <w:rPr>
          <w:rFonts w:eastAsia="Calibri" w:cs="Times New Roman"/>
          <w:szCs w:val="22"/>
        </w:rPr>
        <w:fldChar w:fldCharType="separate"/>
      </w:r>
      <w:r w:rsidR="00FA29AF">
        <w:rPr>
          <w:rFonts w:eastAsia="Calibri" w:cs="Times New Roman"/>
          <w:szCs w:val="22"/>
        </w:rPr>
        <w:t>5</w:t>
      </w:r>
      <w:r w:rsidR="00B916FD">
        <w:rPr>
          <w:rFonts w:eastAsia="Calibri" w:cs="Times New Roman"/>
          <w:szCs w:val="22"/>
        </w:rPr>
        <w:fldChar w:fldCharType="end"/>
      </w:r>
      <w:r w:rsidR="00492528">
        <w:rPr>
          <w:rFonts w:eastAsia="Calibri" w:cs="Times New Roman"/>
          <w:szCs w:val="22"/>
        </w:rPr>
        <w:t>)</w:t>
      </w:r>
      <w:r w:rsidR="00CE3549">
        <w:rPr>
          <w:rFonts w:eastAsia="Calibri" w:cs="Times New Roman"/>
          <w:szCs w:val="22"/>
        </w:rPr>
        <w:t>. Údaje na úrovni jednotlivých žiakov a škôl by mohli pomôcť identifikovať príklady dobrej praxe</w:t>
      </w:r>
      <w:r w:rsidR="002F54D9">
        <w:rPr>
          <w:rFonts w:eastAsia="Calibri" w:cs="Times New Roman"/>
          <w:szCs w:val="22"/>
        </w:rPr>
        <w:t>,</w:t>
      </w:r>
      <w:r w:rsidR="00CE3549">
        <w:rPr>
          <w:rFonts w:eastAsia="Calibri" w:cs="Times New Roman"/>
          <w:szCs w:val="22"/>
        </w:rPr>
        <w:t xml:space="preserve"> ako aj zaostávajúce školy, ktoré potrebujú dodatočné intervencie. Opatrenie predpokladá úpravu školského zákona, úpravu</w:t>
      </w:r>
      <w:r w:rsidR="002E0C75">
        <w:rPr>
          <w:rFonts w:eastAsia="Calibri" w:cs="Times New Roman"/>
          <w:szCs w:val="22"/>
        </w:rPr>
        <w:t xml:space="preserve"> </w:t>
      </w:r>
      <w:r w:rsidR="002E0C75">
        <w:rPr>
          <w:rFonts w:eastAsia="Times New Roman" w:cs="Times New Roman"/>
          <w:bCs/>
          <w:color w:val="000000"/>
          <w:szCs w:val="22"/>
          <w:lang w:eastAsia="sk-SK"/>
        </w:rPr>
        <w:t>rezortného informačného systému ministerstva školstva</w:t>
      </w:r>
      <w:r w:rsidR="00CE3549">
        <w:rPr>
          <w:rFonts w:eastAsia="Calibri" w:cs="Times New Roman"/>
          <w:szCs w:val="22"/>
        </w:rPr>
        <w:t xml:space="preserve"> </w:t>
      </w:r>
      <w:r w:rsidR="002E0C75">
        <w:rPr>
          <w:rFonts w:eastAsia="Calibri" w:cs="Times New Roman"/>
          <w:szCs w:val="22"/>
        </w:rPr>
        <w:t>(</w:t>
      </w:r>
      <w:r w:rsidR="00CE3549">
        <w:rPr>
          <w:rFonts w:eastAsia="Calibri" w:cs="Times New Roman"/>
          <w:szCs w:val="22"/>
        </w:rPr>
        <w:t>RIS MŠVVŠ</w:t>
      </w:r>
      <w:r w:rsidR="002E0C75">
        <w:rPr>
          <w:rFonts w:eastAsia="Calibri" w:cs="Times New Roman"/>
          <w:szCs w:val="22"/>
        </w:rPr>
        <w:t>)</w:t>
      </w:r>
      <w:r w:rsidR="00CE3549">
        <w:rPr>
          <w:rFonts w:eastAsia="Calibri" w:cs="Times New Roman"/>
          <w:szCs w:val="22"/>
        </w:rPr>
        <w:t xml:space="preserve"> a následné sledovanie a vyhodnocovanie príznaku materinského jazyka aj v Testovaní 5 a Testovaní 9.</w:t>
      </w:r>
    </w:p>
    <w:p w14:paraId="18BF5BF9" w14:textId="6D571639" w:rsidR="00644541" w:rsidRDefault="00F07492" w:rsidP="00644541">
      <w:pPr>
        <w:spacing w:before="240"/>
        <w:rPr>
          <w:rFonts w:eastAsia="Times New Roman" w:cs="Times New Roman"/>
          <w:bCs/>
          <w:color w:val="000000"/>
          <w:szCs w:val="22"/>
          <w:lang w:eastAsia="sk-SK"/>
        </w:rPr>
      </w:pPr>
      <w:r>
        <w:rPr>
          <w:b/>
          <w:bCs/>
          <w:szCs w:val="22"/>
        </w:rPr>
        <w:t>2</w:t>
      </w:r>
      <w:r w:rsidR="00644541" w:rsidRPr="00AF297A">
        <w:rPr>
          <w:b/>
          <w:bCs/>
          <w:szCs w:val="22"/>
        </w:rPr>
        <w:t xml:space="preserve">. Opatrenie: </w:t>
      </w:r>
      <w:r w:rsidR="00644541">
        <w:rPr>
          <w:rFonts w:eastAsia="Times New Roman" w:cs="Times New Roman"/>
          <w:b/>
          <w:color w:val="000000"/>
          <w:szCs w:val="22"/>
          <w:lang w:eastAsia="sk-SK"/>
        </w:rPr>
        <w:t>Zabezpečiť každoročný zber údajov</w:t>
      </w:r>
      <w:r w:rsidR="00644541" w:rsidRPr="00AF297A">
        <w:rPr>
          <w:rFonts w:eastAsia="Times New Roman" w:cs="Times New Roman"/>
          <w:b/>
          <w:color w:val="000000"/>
          <w:szCs w:val="22"/>
          <w:lang w:eastAsia="sk-SK"/>
        </w:rPr>
        <w:t xml:space="preserve"> o najvyššom dosiahnutom vzdelaní rodičov. </w:t>
      </w:r>
      <w:r w:rsidR="00644541" w:rsidRPr="00AF297A">
        <w:rPr>
          <w:rFonts w:eastAsia="Times New Roman" w:cs="Times New Roman"/>
          <w:bCs/>
          <w:color w:val="000000"/>
          <w:szCs w:val="22"/>
          <w:lang w:eastAsia="sk-SK"/>
        </w:rPr>
        <w:t>Aj keď súčasné znenie</w:t>
      </w:r>
      <w:r w:rsidR="00644541" w:rsidRPr="00376B03">
        <w:rPr>
          <w:rFonts w:eastAsia="Times New Roman" w:cs="Times New Roman"/>
          <w:bCs/>
          <w:color w:val="000000"/>
          <w:szCs w:val="22"/>
          <w:lang w:eastAsia="sk-SK"/>
        </w:rPr>
        <w:t xml:space="preserve"> školského zákona umožňuje zbierať údaje o najvyššom dosiahnutom vzdelaní rodičov, k zberu týchto dát </w:t>
      </w:r>
      <w:r w:rsidR="00C91037">
        <w:rPr>
          <w:rFonts w:eastAsia="Times New Roman" w:cs="Times New Roman"/>
          <w:bCs/>
          <w:color w:val="000000"/>
          <w:szCs w:val="22"/>
          <w:lang w:eastAsia="sk-SK"/>
        </w:rPr>
        <w:t>v</w:t>
      </w:r>
      <w:r w:rsidR="00047618">
        <w:rPr>
          <w:rFonts w:eastAsia="Times New Roman" w:cs="Times New Roman"/>
          <w:bCs/>
          <w:color w:val="000000"/>
          <w:szCs w:val="22"/>
          <w:lang w:eastAsia="sk-SK"/>
        </w:rPr>
        <w:t> </w:t>
      </w:r>
      <w:r w:rsidR="004E527D">
        <w:rPr>
          <w:rFonts w:eastAsia="Times New Roman" w:cs="Times New Roman"/>
          <w:bCs/>
          <w:color w:val="000000"/>
          <w:szCs w:val="22"/>
          <w:lang w:eastAsia="sk-SK"/>
        </w:rPr>
        <w:t>RIS MŠVVŠ</w:t>
      </w:r>
      <w:r w:rsidR="00047618">
        <w:rPr>
          <w:rFonts w:eastAsia="Times New Roman" w:cs="Times New Roman"/>
          <w:bCs/>
          <w:color w:val="000000"/>
          <w:szCs w:val="22"/>
          <w:lang w:eastAsia="sk-SK"/>
        </w:rPr>
        <w:t xml:space="preserve"> </w:t>
      </w:r>
      <w:r w:rsidR="00644541" w:rsidRPr="00376B03">
        <w:rPr>
          <w:rFonts w:eastAsia="Times New Roman" w:cs="Times New Roman"/>
          <w:bCs/>
          <w:color w:val="000000"/>
          <w:szCs w:val="22"/>
          <w:lang w:eastAsia="sk-SK"/>
        </w:rPr>
        <w:t xml:space="preserve">nedochádza. Ide pritom o dôležitú charakteristiku, ktorú je nevyhnutné sledovať pri </w:t>
      </w:r>
      <w:r w:rsidR="00644541" w:rsidRPr="00376B03">
        <w:rPr>
          <w:rFonts w:eastAsia="Times New Roman" w:cs="Times New Roman"/>
          <w:bCs/>
          <w:color w:val="000000"/>
          <w:szCs w:val="22"/>
          <w:lang w:eastAsia="sk-SK"/>
        </w:rPr>
        <w:lastRenderedPageBreak/>
        <w:t>vyhodnocovaní efektivity vzdelávacieho systému z pohľadu jeho schopnosti úspešne pripravovať všetkých žiakov bez ohľadu na vzdelanostné zázemie rodičov</w:t>
      </w:r>
      <w:r w:rsidR="00047618">
        <w:rPr>
          <w:rFonts w:eastAsia="Times New Roman" w:cs="Times New Roman"/>
          <w:bCs/>
          <w:color w:val="000000"/>
          <w:szCs w:val="22"/>
          <w:lang w:eastAsia="sk-SK"/>
        </w:rPr>
        <w:t xml:space="preserve"> (kapitola </w:t>
      </w:r>
      <w:r w:rsidR="00047618">
        <w:rPr>
          <w:rFonts w:eastAsia="Times New Roman" w:cs="Times New Roman"/>
          <w:bCs/>
          <w:color w:val="000000"/>
          <w:szCs w:val="22"/>
          <w:lang w:eastAsia="sk-SK"/>
        </w:rPr>
        <w:fldChar w:fldCharType="begin"/>
      </w:r>
      <w:r w:rsidR="00047618">
        <w:rPr>
          <w:rFonts w:eastAsia="Times New Roman" w:cs="Times New Roman"/>
          <w:bCs/>
          <w:color w:val="000000"/>
          <w:szCs w:val="22"/>
          <w:lang w:eastAsia="sk-SK"/>
        </w:rPr>
        <w:instrText xml:space="preserve"> REF _Ref33198052 \r \h </w:instrText>
      </w:r>
      <w:r w:rsidR="00047618">
        <w:rPr>
          <w:rFonts w:eastAsia="Times New Roman" w:cs="Times New Roman"/>
          <w:bCs/>
          <w:color w:val="000000"/>
          <w:szCs w:val="22"/>
          <w:lang w:eastAsia="sk-SK"/>
        </w:rPr>
      </w:r>
      <w:r w:rsidR="00047618">
        <w:rPr>
          <w:rFonts w:eastAsia="Times New Roman" w:cs="Times New Roman"/>
          <w:bCs/>
          <w:color w:val="000000"/>
          <w:szCs w:val="22"/>
          <w:lang w:eastAsia="sk-SK"/>
        </w:rPr>
        <w:fldChar w:fldCharType="separate"/>
      </w:r>
      <w:r w:rsidR="00FA29AF">
        <w:rPr>
          <w:rFonts w:eastAsia="Times New Roman" w:cs="Times New Roman"/>
          <w:bCs/>
          <w:color w:val="000000"/>
          <w:szCs w:val="22"/>
          <w:lang w:eastAsia="sk-SK"/>
        </w:rPr>
        <w:t>5</w:t>
      </w:r>
      <w:r w:rsidR="00047618">
        <w:rPr>
          <w:rFonts w:eastAsia="Times New Roman" w:cs="Times New Roman"/>
          <w:bCs/>
          <w:color w:val="000000"/>
          <w:szCs w:val="22"/>
          <w:lang w:eastAsia="sk-SK"/>
        </w:rPr>
        <w:fldChar w:fldCharType="end"/>
      </w:r>
      <w:r w:rsidR="00047618">
        <w:rPr>
          <w:rFonts w:eastAsia="Times New Roman" w:cs="Times New Roman"/>
          <w:bCs/>
          <w:color w:val="000000"/>
          <w:szCs w:val="22"/>
          <w:lang w:eastAsia="sk-SK"/>
        </w:rPr>
        <w:t>)</w:t>
      </w:r>
      <w:r w:rsidR="00644541" w:rsidRPr="00376B03">
        <w:rPr>
          <w:rFonts w:eastAsia="Times New Roman" w:cs="Times New Roman"/>
          <w:bCs/>
          <w:color w:val="000000"/>
          <w:szCs w:val="22"/>
          <w:lang w:eastAsia="sk-SK"/>
        </w:rPr>
        <w:t>.</w:t>
      </w:r>
      <w:r w:rsidR="00644541">
        <w:rPr>
          <w:rFonts w:eastAsia="Times New Roman" w:cs="Times New Roman"/>
          <w:bCs/>
          <w:color w:val="000000"/>
          <w:szCs w:val="22"/>
          <w:lang w:eastAsia="sk-SK"/>
        </w:rPr>
        <w:t xml:space="preserve"> Získané údaje </w:t>
      </w:r>
      <w:r w:rsidR="00C91037">
        <w:rPr>
          <w:rFonts w:eastAsia="Times New Roman" w:cs="Times New Roman"/>
          <w:bCs/>
          <w:color w:val="000000"/>
          <w:szCs w:val="22"/>
          <w:lang w:eastAsia="sk-SK"/>
        </w:rPr>
        <w:t xml:space="preserve">v rámci RIS MŠVVŠ </w:t>
      </w:r>
      <w:r w:rsidR="00644541">
        <w:rPr>
          <w:rFonts w:eastAsia="Times New Roman" w:cs="Times New Roman"/>
          <w:bCs/>
          <w:color w:val="000000"/>
          <w:szCs w:val="22"/>
          <w:lang w:eastAsia="sk-SK"/>
        </w:rPr>
        <w:t xml:space="preserve">by mohli v budúcnosti vstupovať do rozšírenej definície sociálne znevýhodneného prostredia (nefinančné opatrenie </w:t>
      </w:r>
      <w:r w:rsidR="00FE350B">
        <w:rPr>
          <w:rFonts w:eastAsia="Times New Roman" w:cs="Times New Roman"/>
          <w:bCs/>
          <w:color w:val="000000"/>
          <w:szCs w:val="22"/>
          <w:lang w:eastAsia="sk-SK"/>
        </w:rPr>
        <w:t>4</w:t>
      </w:r>
      <w:r w:rsidR="00644541">
        <w:rPr>
          <w:rFonts w:eastAsia="Times New Roman" w:cs="Times New Roman"/>
          <w:bCs/>
          <w:color w:val="000000"/>
          <w:szCs w:val="22"/>
          <w:lang w:eastAsia="sk-SK"/>
        </w:rPr>
        <w:t>).</w:t>
      </w:r>
    </w:p>
    <w:p w14:paraId="043DB55A" w14:textId="306583B0" w:rsidR="00644541" w:rsidRPr="001E7120" w:rsidRDefault="00F07492" w:rsidP="00644541">
      <w:pPr>
        <w:spacing w:before="160"/>
        <w:rPr>
          <w:rFonts w:eastAsia="Times New Roman" w:cs="Times New Roman"/>
          <w:b/>
          <w:color w:val="000000"/>
          <w:szCs w:val="22"/>
          <w:lang w:eastAsia="sk-SK"/>
        </w:rPr>
      </w:pPr>
      <w:r>
        <w:rPr>
          <w:b/>
          <w:bCs/>
          <w:szCs w:val="22"/>
        </w:rPr>
        <w:t>3</w:t>
      </w:r>
      <w:r w:rsidR="00644541" w:rsidRPr="00AF297A">
        <w:rPr>
          <w:b/>
          <w:bCs/>
          <w:szCs w:val="22"/>
        </w:rPr>
        <w:t xml:space="preserve">. Opatrenie: </w:t>
      </w:r>
      <w:r w:rsidR="00644541">
        <w:rPr>
          <w:rFonts w:eastAsia="Times New Roman" w:cs="Times New Roman"/>
          <w:b/>
          <w:color w:val="000000"/>
          <w:szCs w:val="22"/>
          <w:lang w:eastAsia="sk-SK"/>
        </w:rPr>
        <w:t>Zabezpečiť pravidelné prepájanie údajov</w:t>
      </w:r>
      <w:r w:rsidR="00644541" w:rsidRPr="00AF297A">
        <w:rPr>
          <w:rFonts w:eastAsia="Times New Roman" w:cs="Times New Roman"/>
          <w:b/>
          <w:color w:val="000000"/>
          <w:szCs w:val="22"/>
          <w:lang w:eastAsia="sk-SK"/>
        </w:rPr>
        <w:t xml:space="preserve"> o nezamestnanosti rodičov s </w:t>
      </w:r>
      <w:r w:rsidR="00644541">
        <w:rPr>
          <w:rFonts w:eastAsia="Times New Roman" w:cs="Times New Roman"/>
          <w:b/>
          <w:color w:val="000000"/>
          <w:szCs w:val="22"/>
          <w:lang w:eastAsia="sk-SK"/>
        </w:rPr>
        <w:t>údajmi</w:t>
      </w:r>
      <w:r w:rsidR="00644541" w:rsidRPr="00AF297A">
        <w:rPr>
          <w:rFonts w:eastAsia="Times New Roman" w:cs="Times New Roman"/>
          <w:b/>
          <w:color w:val="000000"/>
          <w:szCs w:val="22"/>
          <w:lang w:eastAsia="sk-SK"/>
        </w:rPr>
        <w:t xml:space="preserve"> o žiakoch. </w:t>
      </w:r>
      <w:r w:rsidR="00047618">
        <w:rPr>
          <w:rFonts w:eastAsia="Times New Roman" w:cs="Times New Roman"/>
          <w:color w:val="000000"/>
          <w:szCs w:val="22"/>
          <w:lang w:eastAsia="sk-SK"/>
        </w:rPr>
        <w:t>Ministerstvo školstva</w:t>
      </w:r>
      <w:r w:rsidR="00047618" w:rsidRPr="00AF297A">
        <w:rPr>
          <w:rFonts w:eastAsia="Times New Roman" w:cs="Times New Roman"/>
          <w:color w:val="000000"/>
          <w:szCs w:val="22"/>
          <w:lang w:eastAsia="sk-SK"/>
        </w:rPr>
        <w:t xml:space="preserve"> </w:t>
      </w:r>
      <w:r w:rsidR="00644541" w:rsidRPr="00AF297A">
        <w:rPr>
          <w:rFonts w:eastAsia="Times New Roman" w:cs="Times New Roman"/>
          <w:color w:val="000000"/>
          <w:szCs w:val="22"/>
          <w:lang w:eastAsia="sk-SK"/>
        </w:rPr>
        <w:t>aktuálne</w:t>
      </w:r>
      <w:r w:rsidR="00644541" w:rsidRPr="006F1393">
        <w:rPr>
          <w:rFonts w:eastAsia="Times New Roman" w:cs="Times New Roman"/>
          <w:color w:val="000000"/>
          <w:szCs w:val="22"/>
          <w:lang w:eastAsia="sk-SK"/>
        </w:rPr>
        <w:t xml:space="preserve"> nedisponuje údajmi </w:t>
      </w:r>
      <w:r w:rsidR="00047618">
        <w:rPr>
          <w:rFonts w:eastAsia="Times New Roman" w:cs="Times New Roman"/>
          <w:color w:val="000000"/>
          <w:szCs w:val="22"/>
          <w:lang w:eastAsia="sk-SK"/>
        </w:rPr>
        <w:t>Ústredia práce</w:t>
      </w:r>
      <w:r w:rsidR="00644541" w:rsidRPr="006F1393">
        <w:rPr>
          <w:rFonts w:eastAsia="Times New Roman" w:cs="Times New Roman"/>
          <w:color w:val="000000"/>
          <w:szCs w:val="22"/>
          <w:lang w:eastAsia="sk-SK"/>
        </w:rPr>
        <w:t xml:space="preserve"> z evidencie uchádzačov o zamestnanie. Vzhľadom na navrhované rozšírenie definície sociálne znevýhodneného prostredia o nezamestnanosť rodičov </w:t>
      </w:r>
      <w:r w:rsidR="00047618" w:rsidRPr="006F1393">
        <w:rPr>
          <w:rFonts w:eastAsia="Times New Roman" w:cs="Times New Roman"/>
          <w:color w:val="000000"/>
          <w:szCs w:val="22"/>
          <w:lang w:eastAsia="sk-SK"/>
        </w:rPr>
        <w:t>(</w:t>
      </w:r>
      <w:r w:rsidR="00047618">
        <w:rPr>
          <w:rFonts w:eastAsia="Times New Roman" w:cs="Times New Roman"/>
          <w:bCs/>
          <w:color w:val="000000"/>
          <w:szCs w:val="22"/>
          <w:lang w:eastAsia="sk-SK"/>
        </w:rPr>
        <w:t xml:space="preserve">nefinančné opatrenie </w:t>
      </w:r>
      <w:r w:rsidR="00FE350B">
        <w:rPr>
          <w:rFonts w:eastAsia="Times New Roman" w:cs="Times New Roman"/>
          <w:bCs/>
          <w:color w:val="000000"/>
          <w:szCs w:val="22"/>
          <w:lang w:eastAsia="sk-SK"/>
        </w:rPr>
        <w:t>4</w:t>
      </w:r>
      <w:r w:rsidR="00047618" w:rsidRPr="006F1393">
        <w:rPr>
          <w:rFonts w:eastAsia="Times New Roman" w:cs="Times New Roman"/>
          <w:color w:val="000000"/>
          <w:szCs w:val="22"/>
          <w:lang w:eastAsia="sk-SK"/>
        </w:rPr>
        <w:t xml:space="preserve">) </w:t>
      </w:r>
      <w:r w:rsidR="00644541" w:rsidRPr="006F1393">
        <w:rPr>
          <w:rFonts w:eastAsia="Times New Roman" w:cs="Times New Roman"/>
          <w:color w:val="000000"/>
          <w:szCs w:val="22"/>
          <w:lang w:eastAsia="sk-SK"/>
        </w:rPr>
        <w:t xml:space="preserve">je preto nutné vytvoriť dátový kanál, ktorým bude </w:t>
      </w:r>
      <w:r w:rsidR="00047618">
        <w:rPr>
          <w:rFonts w:eastAsia="Times New Roman" w:cs="Times New Roman"/>
          <w:color w:val="000000"/>
          <w:szCs w:val="22"/>
          <w:lang w:eastAsia="sk-SK"/>
        </w:rPr>
        <w:t xml:space="preserve">Ústredie práce </w:t>
      </w:r>
      <w:r w:rsidR="00644541" w:rsidRPr="006F1393">
        <w:rPr>
          <w:rFonts w:eastAsia="Times New Roman" w:cs="Times New Roman"/>
          <w:color w:val="000000"/>
          <w:szCs w:val="22"/>
          <w:lang w:eastAsia="sk-SK"/>
        </w:rPr>
        <w:t>zdieľať údaje z evidencie uchádzačov o zamestnanie s</w:t>
      </w:r>
      <w:r w:rsidR="00047618">
        <w:rPr>
          <w:rFonts w:eastAsia="Times New Roman" w:cs="Times New Roman"/>
          <w:color w:val="000000"/>
          <w:szCs w:val="22"/>
          <w:lang w:eastAsia="sk-SK"/>
        </w:rPr>
        <w:t> Ministerstvom školstva</w:t>
      </w:r>
      <w:r w:rsidR="00644541" w:rsidRPr="006F1393">
        <w:rPr>
          <w:rFonts w:eastAsia="Times New Roman" w:cs="Times New Roman"/>
          <w:color w:val="000000"/>
          <w:szCs w:val="22"/>
          <w:lang w:eastAsia="sk-SK"/>
        </w:rPr>
        <w:t>.</w:t>
      </w:r>
    </w:p>
    <w:p w14:paraId="3B681415" w14:textId="514A1412" w:rsidR="004D4E7C" w:rsidRPr="004D4E7C" w:rsidRDefault="00F07492" w:rsidP="005837FB">
      <w:pPr>
        <w:spacing w:before="160"/>
        <w:rPr>
          <w:rFonts w:eastAsia="Times New Roman" w:cs="Times New Roman"/>
          <w:color w:val="000000"/>
          <w:szCs w:val="22"/>
          <w:lang w:eastAsia="sk-SK"/>
        </w:rPr>
      </w:pPr>
      <w:r>
        <w:rPr>
          <w:rFonts w:eastAsia="Times New Roman" w:cs="Times New Roman"/>
          <w:b/>
          <w:color w:val="000000"/>
          <w:szCs w:val="22"/>
          <w:lang w:eastAsia="sk-SK"/>
        </w:rPr>
        <w:t>4</w:t>
      </w:r>
      <w:r w:rsidR="004D4E7C" w:rsidRPr="00D41517">
        <w:rPr>
          <w:rFonts w:eastAsia="Times New Roman" w:cs="Times New Roman"/>
          <w:b/>
          <w:color w:val="000000"/>
          <w:szCs w:val="22"/>
          <w:lang w:eastAsia="sk-SK"/>
        </w:rPr>
        <w:t xml:space="preserve">. Opatrenie: </w:t>
      </w:r>
      <w:r w:rsidR="00287253">
        <w:rPr>
          <w:rFonts w:eastAsia="Times New Roman" w:cs="Times New Roman"/>
          <w:b/>
          <w:color w:val="000000"/>
          <w:szCs w:val="22"/>
          <w:lang w:eastAsia="sk-SK"/>
        </w:rPr>
        <w:t>Pravidelne z</w:t>
      </w:r>
      <w:r w:rsidR="004D4E7C" w:rsidRPr="00D41517">
        <w:rPr>
          <w:rFonts w:eastAsia="Times New Roman" w:cs="Times New Roman"/>
          <w:b/>
          <w:color w:val="000000"/>
          <w:szCs w:val="22"/>
          <w:lang w:eastAsia="sk-SK"/>
        </w:rPr>
        <w:t xml:space="preserve">verejňovať </w:t>
      </w:r>
      <w:r w:rsidR="00287253">
        <w:rPr>
          <w:rFonts w:eastAsia="Times New Roman" w:cs="Times New Roman"/>
          <w:b/>
          <w:color w:val="000000"/>
          <w:szCs w:val="22"/>
          <w:lang w:eastAsia="sk-SK"/>
        </w:rPr>
        <w:t>zoznam centier špeciálno-pedagogického poradenstva</w:t>
      </w:r>
      <w:r w:rsidR="004D4E7C" w:rsidRPr="00D41517">
        <w:rPr>
          <w:rFonts w:eastAsia="Times New Roman" w:cs="Times New Roman"/>
          <w:b/>
          <w:color w:val="000000"/>
          <w:szCs w:val="22"/>
          <w:lang w:eastAsia="sk-SK"/>
        </w:rPr>
        <w:t>, ktoré majú zriadené úseky ranej starostlivosti.</w:t>
      </w:r>
      <w:r w:rsidR="004D4E7C" w:rsidRPr="00D41517">
        <w:rPr>
          <w:rFonts w:eastAsia="Times New Roman" w:cs="Times New Roman"/>
          <w:color w:val="000000"/>
          <w:szCs w:val="22"/>
          <w:lang w:eastAsia="sk-SK"/>
        </w:rPr>
        <w:t xml:space="preserve"> </w:t>
      </w:r>
      <w:r w:rsidR="004D4E7C" w:rsidRPr="00CC3ECC">
        <w:rPr>
          <w:szCs w:val="22"/>
        </w:rPr>
        <w:t xml:space="preserve">Informácie o tom, ktoré </w:t>
      </w:r>
      <w:r w:rsidR="0043166A" w:rsidRPr="00CC3ECC">
        <w:rPr>
          <w:szCs w:val="22"/>
        </w:rPr>
        <w:t>Centrá</w:t>
      </w:r>
      <w:r w:rsidR="004D4E7C" w:rsidRPr="00CC3ECC">
        <w:rPr>
          <w:szCs w:val="22"/>
        </w:rPr>
        <w:t xml:space="preserve"> špeciálno-pedagogického poradenstva majú zriadené úseky ranej starostlivosti nie sú verejne dostupné. Obmedzený prístup k </w:t>
      </w:r>
      <w:r w:rsidR="0043166A" w:rsidRPr="00CC3ECC">
        <w:rPr>
          <w:szCs w:val="22"/>
        </w:rPr>
        <w:t>informáciám</w:t>
      </w:r>
      <w:r w:rsidR="004D4E7C" w:rsidRPr="00CC3ECC">
        <w:rPr>
          <w:szCs w:val="22"/>
        </w:rPr>
        <w:t xml:space="preserve"> o týchto službách môže pr</w:t>
      </w:r>
      <w:r w:rsidR="004D4E7C" w:rsidRPr="00410281">
        <w:rPr>
          <w:szCs w:val="22"/>
        </w:rPr>
        <w:t>edstavovať bariéru v</w:t>
      </w:r>
      <w:r w:rsidR="00047618">
        <w:rPr>
          <w:szCs w:val="22"/>
        </w:rPr>
        <w:t> </w:t>
      </w:r>
      <w:r w:rsidR="004D4E7C" w:rsidRPr="00410281">
        <w:rPr>
          <w:szCs w:val="22"/>
        </w:rPr>
        <w:t>prístupe</w:t>
      </w:r>
      <w:r w:rsidR="00047618">
        <w:rPr>
          <w:szCs w:val="22"/>
        </w:rPr>
        <w:t xml:space="preserve"> (kapitola </w:t>
      </w:r>
      <w:r w:rsidR="00047618">
        <w:rPr>
          <w:szCs w:val="22"/>
        </w:rPr>
        <w:fldChar w:fldCharType="begin"/>
      </w:r>
      <w:r w:rsidR="00047618">
        <w:rPr>
          <w:szCs w:val="22"/>
        </w:rPr>
        <w:instrText xml:space="preserve"> REF _Ref33198253 \r \h </w:instrText>
      </w:r>
      <w:r w:rsidR="00047618">
        <w:rPr>
          <w:szCs w:val="22"/>
        </w:rPr>
      </w:r>
      <w:r w:rsidR="00047618">
        <w:rPr>
          <w:szCs w:val="22"/>
        </w:rPr>
        <w:fldChar w:fldCharType="separate"/>
      </w:r>
      <w:r w:rsidR="00FA29AF">
        <w:rPr>
          <w:szCs w:val="22"/>
        </w:rPr>
        <w:t>4</w:t>
      </w:r>
      <w:r w:rsidR="00047618">
        <w:rPr>
          <w:szCs w:val="22"/>
        </w:rPr>
        <w:fldChar w:fldCharType="end"/>
      </w:r>
      <w:r w:rsidR="00047618">
        <w:rPr>
          <w:szCs w:val="22"/>
        </w:rPr>
        <w:t>)</w:t>
      </w:r>
      <w:r w:rsidR="004D4E7C" w:rsidRPr="00410281">
        <w:rPr>
          <w:szCs w:val="22"/>
        </w:rPr>
        <w:t>.</w:t>
      </w:r>
    </w:p>
    <w:p w14:paraId="0B295246" w14:textId="25310D4A" w:rsidR="004D4E7C" w:rsidRDefault="00F07492">
      <w:pPr>
        <w:spacing w:before="160"/>
        <w:rPr>
          <w:rFonts w:eastAsia="Arial Narrow" w:cs="Arial Narrow"/>
          <w:color w:val="000000"/>
          <w:szCs w:val="22"/>
        </w:rPr>
      </w:pPr>
      <w:r>
        <w:rPr>
          <w:rFonts w:eastAsia="Times New Roman" w:cs="Times New Roman"/>
          <w:b/>
          <w:color w:val="000000"/>
          <w:szCs w:val="22"/>
          <w:lang w:eastAsia="sk-SK"/>
        </w:rPr>
        <w:t>5</w:t>
      </w:r>
      <w:r w:rsidR="004D4E7C" w:rsidRPr="00D41517">
        <w:rPr>
          <w:rFonts w:eastAsia="Times New Roman" w:cs="Times New Roman"/>
          <w:b/>
          <w:color w:val="000000"/>
          <w:szCs w:val="22"/>
          <w:lang w:eastAsia="sk-SK"/>
        </w:rPr>
        <w:t xml:space="preserve">. Opatrenie: </w:t>
      </w:r>
      <w:r w:rsidR="00287253" w:rsidRPr="00D41517">
        <w:rPr>
          <w:b/>
          <w:szCs w:val="22"/>
        </w:rPr>
        <w:t xml:space="preserve">Nastaviť jednotné a samostatné vykazovanie výdavkov štátnych a neštátnych </w:t>
      </w:r>
      <w:r w:rsidR="00287253">
        <w:rPr>
          <w:b/>
          <w:szCs w:val="22"/>
        </w:rPr>
        <w:t>centier špeciálno-pedagogického poradenstva</w:t>
      </w:r>
      <w:r w:rsidR="00001B41">
        <w:rPr>
          <w:b/>
          <w:szCs w:val="22"/>
        </w:rPr>
        <w:t xml:space="preserve"> (CŠPP)</w:t>
      </w:r>
      <w:r w:rsidR="004D4E7C" w:rsidRPr="00D41517">
        <w:rPr>
          <w:b/>
          <w:szCs w:val="22"/>
        </w:rPr>
        <w:t>.</w:t>
      </w:r>
      <w:r w:rsidR="004D4E7C" w:rsidRPr="00D41517">
        <w:rPr>
          <w:szCs w:val="22"/>
        </w:rPr>
        <w:t xml:space="preserve"> </w:t>
      </w:r>
      <w:r w:rsidR="004D4E7C" w:rsidRPr="00CC3ECC">
        <w:rPr>
          <w:rFonts w:eastAsia="Arial Narrow" w:cs="Arial Narrow"/>
          <w:color w:val="000000"/>
          <w:szCs w:val="22"/>
        </w:rPr>
        <w:t>Údaje o výdavkoch za takmer všetky štátne CŠPP sa vykazujú spoločne s výdavkami špeciálnych škôl</w:t>
      </w:r>
      <w:sdt>
        <w:sdtPr>
          <w:rPr>
            <w:szCs w:val="22"/>
          </w:rPr>
          <w:tag w:val="goog_rdk_19"/>
          <w:id w:val="1173300654"/>
        </w:sdtPr>
        <w:sdtEndPr/>
        <w:sdtContent/>
      </w:sdt>
      <w:r w:rsidR="004D4E7C" w:rsidRPr="00EE7779">
        <w:rPr>
          <w:rFonts w:eastAsia="Arial Narrow" w:cs="Arial Narrow"/>
          <w:color w:val="000000"/>
          <w:szCs w:val="22"/>
          <w:vertAlign w:val="superscript"/>
        </w:rPr>
        <w:t xml:space="preserve"> </w:t>
      </w:r>
      <w:r w:rsidR="004D4E7C" w:rsidRPr="00EE7779">
        <w:rPr>
          <w:rFonts w:eastAsia="Arial Narrow" w:cs="Arial Narrow"/>
          <w:color w:val="000000"/>
          <w:szCs w:val="22"/>
        </w:rPr>
        <w:t xml:space="preserve">a údaje o výdavkoch neštátnych CŠPP sa </w:t>
      </w:r>
      <w:r w:rsidR="00287253">
        <w:rPr>
          <w:rFonts w:eastAsia="Arial Narrow" w:cs="Arial Narrow"/>
          <w:color w:val="000000"/>
          <w:szCs w:val="22"/>
        </w:rPr>
        <w:t>zbierajú iba čiastočne v rámci š</w:t>
      </w:r>
      <w:r w:rsidR="004D4E7C" w:rsidRPr="00EE7779">
        <w:rPr>
          <w:rFonts w:eastAsia="Arial Narrow" w:cs="Arial Narrow"/>
          <w:color w:val="000000"/>
          <w:szCs w:val="22"/>
        </w:rPr>
        <w:t>t</w:t>
      </w:r>
      <w:r w:rsidR="004D4E7C" w:rsidRPr="000D6493">
        <w:rPr>
          <w:rFonts w:eastAsia="Arial Narrow" w:cs="Arial Narrow"/>
          <w:color w:val="000000"/>
          <w:szCs w:val="22"/>
        </w:rPr>
        <w:t>vrťročného výkazu o práci v</w:t>
      </w:r>
      <w:r w:rsidR="00047618">
        <w:rPr>
          <w:rFonts w:eastAsia="Arial Narrow" w:cs="Arial Narrow"/>
          <w:color w:val="000000"/>
          <w:szCs w:val="22"/>
        </w:rPr>
        <w:t> </w:t>
      </w:r>
      <w:r w:rsidR="004D4E7C" w:rsidRPr="000D6493">
        <w:rPr>
          <w:rFonts w:eastAsia="Arial Narrow" w:cs="Arial Narrow"/>
          <w:color w:val="000000"/>
          <w:szCs w:val="22"/>
        </w:rPr>
        <w:t>školstve</w:t>
      </w:r>
      <w:r w:rsidR="00047618">
        <w:rPr>
          <w:rFonts w:eastAsia="Arial Narrow" w:cs="Arial Narrow"/>
          <w:color w:val="000000"/>
          <w:szCs w:val="22"/>
        </w:rPr>
        <w:t xml:space="preserve"> </w:t>
      </w:r>
      <w:r w:rsidR="00047618">
        <w:rPr>
          <w:szCs w:val="22"/>
        </w:rPr>
        <w:t xml:space="preserve">(kapitola </w:t>
      </w:r>
      <w:r w:rsidR="00047618">
        <w:rPr>
          <w:szCs w:val="22"/>
        </w:rPr>
        <w:fldChar w:fldCharType="begin"/>
      </w:r>
      <w:r w:rsidR="00047618">
        <w:rPr>
          <w:szCs w:val="22"/>
        </w:rPr>
        <w:instrText xml:space="preserve"> REF _Ref33198253 \r \h </w:instrText>
      </w:r>
      <w:r w:rsidR="00047618">
        <w:rPr>
          <w:szCs w:val="22"/>
        </w:rPr>
      </w:r>
      <w:r w:rsidR="00047618">
        <w:rPr>
          <w:szCs w:val="22"/>
        </w:rPr>
        <w:fldChar w:fldCharType="separate"/>
      </w:r>
      <w:r w:rsidR="00FA29AF">
        <w:rPr>
          <w:szCs w:val="22"/>
        </w:rPr>
        <w:t>4</w:t>
      </w:r>
      <w:r w:rsidR="00047618">
        <w:rPr>
          <w:szCs w:val="22"/>
        </w:rPr>
        <w:fldChar w:fldCharType="end"/>
      </w:r>
      <w:r w:rsidR="00047618">
        <w:rPr>
          <w:szCs w:val="22"/>
        </w:rPr>
        <w:t>)</w:t>
      </w:r>
      <w:r w:rsidR="004D4E7C" w:rsidRPr="000D6493">
        <w:rPr>
          <w:rFonts w:eastAsia="Arial Narrow" w:cs="Arial Narrow"/>
          <w:color w:val="000000"/>
          <w:szCs w:val="22"/>
        </w:rPr>
        <w:t>. Opatrenie predpokladá jednotné a sam</w:t>
      </w:r>
      <w:r w:rsidR="004D4E7C" w:rsidRPr="00533C76">
        <w:rPr>
          <w:rFonts w:eastAsia="Arial Narrow" w:cs="Arial Narrow"/>
          <w:color w:val="000000"/>
          <w:szCs w:val="22"/>
        </w:rPr>
        <w:t>ostatné vykazovanie výdavkov štátnych aj neštátnych CŠPP v rámci Správy o hospodárení.</w:t>
      </w:r>
    </w:p>
    <w:p w14:paraId="5DCA9718" w14:textId="72EE7F3D" w:rsidR="004D4E7C" w:rsidRPr="00D41517" w:rsidRDefault="00F07492">
      <w:pPr>
        <w:spacing w:before="160"/>
        <w:rPr>
          <w:rFonts w:eastAsia="Times New Roman" w:cs="Times New Roman"/>
          <w:color w:val="000000"/>
          <w:szCs w:val="22"/>
          <w:lang w:eastAsia="sk-SK"/>
        </w:rPr>
      </w:pPr>
      <w:r>
        <w:rPr>
          <w:rFonts w:eastAsia="Times New Roman" w:cs="Times New Roman"/>
          <w:b/>
          <w:color w:val="000000"/>
          <w:szCs w:val="22"/>
          <w:lang w:eastAsia="sk-SK"/>
        </w:rPr>
        <w:t>6</w:t>
      </w:r>
      <w:r w:rsidR="004D4E7C" w:rsidRPr="00D41517">
        <w:rPr>
          <w:rFonts w:eastAsia="Times New Roman" w:cs="Times New Roman"/>
          <w:b/>
          <w:color w:val="000000"/>
          <w:szCs w:val="22"/>
          <w:lang w:eastAsia="sk-SK"/>
        </w:rPr>
        <w:t>. Opatrenie:</w:t>
      </w:r>
      <w:r w:rsidR="004D4E7C" w:rsidRPr="00D41517">
        <w:rPr>
          <w:b/>
          <w:szCs w:val="22"/>
        </w:rPr>
        <w:t xml:space="preserve"> Vypracovať metodický materiál o prechode žiakov zo špeciálnych do bežných škôl.</w:t>
      </w:r>
      <w:r w:rsidR="004D4E7C" w:rsidRPr="00D41517">
        <w:rPr>
          <w:szCs w:val="22"/>
        </w:rPr>
        <w:t xml:space="preserve"> </w:t>
      </w:r>
      <w:r w:rsidR="004D4E7C" w:rsidRPr="00CC3ECC">
        <w:rPr>
          <w:szCs w:val="22"/>
        </w:rPr>
        <w:t>Slovensko patrí ku</w:t>
      </w:r>
      <w:r w:rsidR="004D4E7C">
        <w:t xml:space="preserve"> krajinám s najvyšším podielom žiakov vzdelávaných v špeciálnych školách. V roku 2018 prestúpilo zo špeciálnych do bežných škôl iba 0,8 % všetkých žiakov špeciálnych škôl. </w:t>
      </w:r>
      <w:r w:rsidR="00047618">
        <w:t>P</w:t>
      </w:r>
      <w:r w:rsidR="004D4E7C" w:rsidRPr="00367DB9">
        <w:t xml:space="preserve">rechod žiakov nie je metodicky bližšie upravený </w:t>
      </w:r>
      <w:r w:rsidR="004D4E7C">
        <w:t xml:space="preserve">a </w:t>
      </w:r>
      <w:r w:rsidR="004D4E7C" w:rsidRPr="00367DB9">
        <w:t>ani nijako špecificky podporovaný</w:t>
      </w:r>
      <w:r w:rsidR="00047618">
        <w:t xml:space="preserve"> (podkapitola </w:t>
      </w:r>
      <w:r w:rsidR="00047618">
        <w:fldChar w:fldCharType="begin"/>
      </w:r>
      <w:r w:rsidR="00047618">
        <w:instrText xml:space="preserve"> REF _Ref25743147 \r \h </w:instrText>
      </w:r>
      <w:r w:rsidR="00047618">
        <w:fldChar w:fldCharType="separate"/>
      </w:r>
      <w:r w:rsidR="00FA29AF">
        <w:t>6.2</w:t>
      </w:r>
      <w:r w:rsidR="00047618">
        <w:fldChar w:fldCharType="end"/>
      </w:r>
      <w:r w:rsidR="00047618">
        <w:t>)</w:t>
      </w:r>
      <w:r w:rsidR="004D4E7C" w:rsidRPr="00367DB9">
        <w:t>.</w:t>
      </w:r>
      <w:r w:rsidR="003862A7">
        <w:t xml:space="preserve"> Opatrenie predpokladá vypracov</w:t>
      </w:r>
      <w:r w:rsidR="004D4E7C">
        <w:t>anie prípadových štúdií o prechode žiakov zo špeciál</w:t>
      </w:r>
      <w:r w:rsidR="003862A7">
        <w:t>n</w:t>
      </w:r>
      <w:r w:rsidR="004D4E7C">
        <w:t>ych do bežných škôl</w:t>
      </w:r>
      <w:r w:rsidR="00047618">
        <w:t xml:space="preserve"> (hodnotové opatrenie 12)</w:t>
      </w:r>
      <w:r w:rsidR="004D4E7C">
        <w:t>, na základe ktorých bude následne vytvorené metodické usmernenie pre všetky školy.</w:t>
      </w:r>
    </w:p>
    <w:p w14:paraId="4566E13D" w14:textId="6394DF3B" w:rsidR="005837FB" w:rsidRDefault="00F07492" w:rsidP="005837FB">
      <w:pPr>
        <w:rPr>
          <w:szCs w:val="22"/>
        </w:rPr>
      </w:pPr>
      <w:r>
        <w:rPr>
          <w:b/>
          <w:szCs w:val="22"/>
        </w:rPr>
        <w:t>7</w:t>
      </w:r>
      <w:r w:rsidR="005837FB" w:rsidRPr="009C4363">
        <w:rPr>
          <w:b/>
          <w:szCs w:val="22"/>
        </w:rPr>
        <w:t xml:space="preserve">. </w:t>
      </w:r>
      <w:r w:rsidR="005837FB" w:rsidRPr="006513E9">
        <w:rPr>
          <w:b/>
          <w:szCs w:val="22"/>
        </w:rPr>
        <w:t xml:space="preserve">Opatrenie: </w:t>
      </w:r>
      <w:r w:rsidR="00287253">
        <w:rPr>
          <w:b/>
          <w:szCs w:val="22"/>
        </w:rPr>
        <w:t xml:space="preserve">Vypracovať </w:t>
      </w:r>
      <w:r w:rsidR="005837FB">
        <w:rPr>
          <w:b/>
          <w:szCs w:val="22"/>
        </w:rPr>
        <w:t>m</w:t>
      </w:r>
      <w:r w:rsidR="005837FB" w:rsidRPr="006513E9">
        <w:rPr>
          <w:b/>
          <w:szCs w:val="22"/>
        </w:rPr>
        <w:t>etodický materiál o tvorbe školských obvodov na desegregačnom princípe.</w:t>
      </w:r>
      <w:r w:rsidR="005837FB" w:rsidRPr="009C4363">
        <w:rPr>
          <w:b/>
          <w:szCs w:val="22"/>
        </w:rPr>
        <w:t xml:space="preserve"> </w:t>
      </w:r>
      <w:r w:rsidR="005837FB">
        <w:rPr>
          <w:szCs w:val="22"/>
        </w:rPr>
        <w:t xml:space="preserve">Toto opatrenie je súčasťou pilotného </w:t>
      </w:r>
      <w:r w:rsidR="005837FB" w:rsidRPr="00AF297A">
        <w:rPr>
          <w:szCs w:val="22"/>
        </w:rPr>
        <w:t xml:space="preserve">projektu úpravy školských obvodov s dôrazom na zvýšenie </w:t>
      </w:r>
      <w:r w:rsidR="0043166A" w:rsidRPr="00AF297A">
        <w:rPr>
          <w:szCs w:val="22"/>
        </w:rPr>
        <w:t>diverzity</w:t>
      </w:r>
      <w:r w:rsidR="005837FB" w:rsidRPr="00AF297A">
        <w:rPr>
          <w:szCs w:val="22"/>
        </w:rPr>
        <w:t xml:space="preserve"> v základných školách (hodno</w:t>
      </w:r>
      <w:r w:rsidR="005837FB">
        <w:rPr>
          <w:szCs w:val="22"/>
        </w:rPr>
        <w:t>tové opatrenie 1</w:t>
      </w:r>
      <w:r w:rsidR="00EE0BB4">
        <w:rPr>
          <w:szCs w:val="22"/>
        </w:rPr>
        <w:t>2</w:t>
      </w:r>
      <w:r w:rsidR="005837FB">
        <w:rPr>
          <w:szCs w:val="22"/>
        </w:rPr>
        <w:t>).</w:t>
      </w:r>
    </w:p>
    <w:p w14:paraId="6126EF1F" w14:textId="40842529" w:rsidR="004F1697" w:rsidRPr="00231BE7" w:rsidRDefault="004F1697" w:rsidP="004F1697">
      <w:pPr>
        <w:spacing w:before="200"/>
        <w:rPr>
          <w:bCs/>
          <w:color w:val="0070C0"/>
        </w:rPr>
      </w:pPr>
      <w:r w:rsidRPr="00231BE7">
        <w:rPr>
          <w:bCs/>
          <w:color w:val="0070C0"/>
        </w:rPr>
        <w:t>Politiky trhu práce a sociálne politiky</w:t>
      </w:r>
    </w:p>
    <w:p w14:paraId="4064CCB3" w14:textId="49833A92" w:rsidR="00654242" w:rsidRDefault="00F07492" w:rsidP="005837FB">
      <w:pPr>
        <w:rPr>
          <w:szCs w:val="22"/>
        </w:rPr>
      </w:pPr>
      <w:r>
        <w:rPr>
          <w:b/>
          <w:szCs w:val="22"/>
        </w:rPr>
        <w:t>8</w:t>
      </w:r>
      <w:r w:rsidR="00654242" w:rsidRPr="00D41517">
        <w:rPr>
          <w:b/>
          <w:szCs w:val="22"/>
        </w:rPr>
        <w:t>. Opatrenie: Doplniť reprezentatívne zbery dát o možnosť voľby viacerých etnicít.</w:t>
      </w:r>
      <w:r w:rsidR="00654242">
        <w:rPr>
          <w:szCs w:val="22"/>
        </w:rPr>
        <w:t xml:space="preserve"> </w:t>
      </w:r>
      <w:r w:rsidR="00654242" w:rsidRPr="00D41517">
        <w:t xml:space="preserve">Výskum zameraný na skúsenosti ľudí z prostredia MRK na trhu práce je obmedzený nízkou kvalitou etnických identifikátorov vo verejne dostupných dátach. </w:t>
      </w:r>
      <w:r w:rsidR="00654242" w:rsidRPr="00654242">
        <w:t xml:space="preserve">Sebaidentifikácia k etnickej alebo národnostnej menšine vedie v prieskumoch k výraznému podhodnoteniu podielu rómskej menšiny na celkovej populácii. </w:t>
      </w:r>
      <w:r w:rsidR="00654242" w:rsidRPr="0015311F">
        <w:t>Zahraničná skúsenosť ukazuje, že možnosť sebaidentifikácie ku viac</w:t>
      </w:r>
      <w:r w:rsidR="003862A7">
        <w:t>erým etnikám/národnostiam</w:t>
      </w:r>
      <w:r w:rsidR="00654242" w:rsidRPr="0015311F">
        <w:t xml:space="preserve"> výrazne zvyšuje presnosť zberu etnických dát (napr. posledný cenzus v Maďarsku)</w:t>
      </w:r>
      <w:r w:rsidR="00654242">
        <w:t xml:space="preserve"> (podkapitola </w:t>
      </w:r>
      <w:r w:rsidR="00654242">
        <w:fldChar w:fldCharType="begin"/>
      </w:r>
      <w:r w:rsidR="00654242">
        <w:instrText xml:space="preserve"> REF _Ref25312612 \r \h </w:instrText>
      </w:r>
      <w:r w:rsidR="00654242">
        <w:fldChar w:fldCharType="separate"/>
      </w:r>
      <w:r w:rsidR="00FA29AF">
        <w:t>7.1</w:t>
      </w:r>
      <w:r w:rsidR="00654242">
        <w:fldChar w:fldCharType="end"/>
      </w:r>
      <w:r w:rsidR="00654242">
        <w:t>).</w:t>
      </w:r>
    </w:p>
    <w:p w14:paraId="487570AB" w14:textId="69A7C726" w:rsidR="002C1049" w:rsidRPr="00D41517" w:rsidRDefault="00F07492" w:rsidP="005837FB">
      <w:pPr>
        <w:rPr>
          <w:b/>
          <w:szCs w:val="22"/>
        </w:rPr>
      </w:pPr>
      <w:r>
        <w:rPr>
          <w:b/>
          <w:szCs w:val="22"/>
        </w:rPr>
        <w:t>9</w:t>
      </w:r>
      <w:r w:rsidR="002C1049" w:rsidRPr="00D41517">
        <w:rPr>
          <w:b/>
          <w:szCs w:val="22"/>
        </w:rPr>
        <w:t xml:space="preserve">. Opatrenie: </w:t>
      </w:r>
      <w:r w:rsidR="00287253">
        <w:rPr>
          <w:rFonts w:eastAsia="Times New Roman" w:cs="Times New Roman"/>
          <w:b/>
          <w:color w:val="000000"/>
          <w:szCs w:val="22"/>
          <w:lang w:eastAsia="sk-SK"/>
        </w:rPr>
        <w:t>Vypracovať</w:t>
      </w:r>
      <w:r w:rsidR="002C1049" w:rsidRPr="00D41517">
        <w:rPr>
          <w:rFonts w:eastAsia="Times New Roman" w:cs="Times New Roman"/>
          <w:b/>
          <w:color w:val="000000"/>
          <w:szCs w:val="22"/>
          <w:lang w:eastAsia="sk-SK"/>
        </w:rPr>
        <w:t xml:space="preserve"> metodický pokyn upravujúci postup úradov práce, sociálnych vec</w:t>
      </w:r>
      <w:r w:rsidR="0070047D">
        <w:rPr>
          <w:rFonts w:eastAsia="Times New Roman" w:cs="Times New Roman"/>
          <w:b/>
          <w:color w:val="000000"/>
          <w:szCs w:val="22"/>
          <w:lang w:eastAsia="sk-SK"/>
        </w:rPr>
        <w:t xml:space="preserve">í a rodiny pri sprostredkovaní </w:t>
      </w:r>
      <w:r w:rsidR="002C1049" w:rsidRPr="00D41517">
        <w:rPr>
          <w:rFonts w:eastAsia="Times New Roman" w:cs="Times New Roman"/>
          <w:b/>
          <w:color w:val="000000"/>
          <w:szCs w:val="22"/>
          <w:lang w:eastAsia="sk-SK"/>
        </w:rPr>
        <w:t xml:space="preserve">zamestnania osobám so zdravotným postihnutím. </w:t>
      </w:r>
      <w:r w:rsidR="002C1049">
        <w:rPr>
          <w:rFonts w:cs="NeueHaasGroteskText W02"/>
        </w:rPr>
        <w:t>Zamestnanci úradov práce, sociálnych vecí a rodiny nie sú pr</w:t>
      </w:r>
      <w:r w:rsidR="00B52C7C">
        <w:rPr>
          <w:rFonts w:cs="NeueHaasGroteskText W02"/>
        </w:rPr>
        <w:t>i vykonávaní služieb súvisiacich</w:t>
      </w:r>
      <w:r w:rsidR="002C1049">
        <w:rPr>
          <w:rFonts w:cs="NeueHaasGroteskText W02"/>
        </w:rPr>
        <w:t xml:space="preserve"> so sprostredkovaním zamestnania riadení jednotnou metodikou či pokynmi zameranými na prácu s uchádzačmi o zamestnanie so zdravotnými prekážkami. Metodický pokyn by mal upravovať postupy od prvého kontaktu úradov práce s osobou so zdravotným postihnutím až po jeho alebo jej </w:t>
      </w:r>
      <w:r w:rsidR="00494146">
        <w:t xml:space="preserve">umiestnenie a podporu zotrvania </w:t>
      </w:r>
      <w:r w:rsidR="002C1049">
        <w:rPr>
          <w:rFonts w:cs="NeueHaasGroteskText W02"/>
        </w:rPr>
        <w:t xml:space="preserve">v zamestnaní, či už priamo </w:t>
      </w:r>
      <w:r w:rsidR="00494146">
        <w:t>alebo prostredníctvom agentúr podporovaného zamestnávania či iných subjektov</w:t>
      </w:r>
      <w:r w:rsidR="002C1049">
        <w:rPr>
          <w:rFonts w:cs="NeueHaasGroteskText W02"/>
        </w:rPr>
        <w:t xml:space="preserve">. Súčasťou metodického pokynu by mal byť dôraz na umiestňovanie </w:t>
      </w:r>
      <w:r w:rsidR="00752BD1">
        <w:rPr>
          <w:rFonts w:cs="NeueHaasGroteskText W02"/>
        </w:rPr>
        <w:t>uchádzačov o zamestnanie so zdravotným postihnutím</w:t>
      </w:r>
      <w:r w:rsidR="002C1049">
        <w:rPr>
          <w:rFonts w:cs="NeueHaasGroteskText W02"/>
        </w:rPr>
        <w:t xml:space="preserve"> primárne na otvorenom trhu práce, pričom zamestnanie v chránených dielňach by malo byť ponúkané iba vybranej skupine </w:t>
      </w:r>
      <w:r w:rsidR="00752BD1">
        <w:rPr>
          <w:rFonts w:cs="NeueHaasGroteskText W02"/>
        </w:rPr>
        <w:t xml:space="preserve">uchádzačov </w:t>
      </w:r>
      <w:r w:rsidR="002C1049">
        <w:rPr>
          <w:rFonts w:cs="NeueHaasGroteskText W02"/>
        </w:rPr>
        <w:t xml:space="preserve">s najväčšími prekážkami na trhu práce. Metodický pokyn by mal obsahovať aj explicitný zákaz odrádzania osôb so zdravotným postihnutím od </w:t>
      </w:r>
      <w:r w:rsidR="0043166A">
        <w:rPr>
          <w:rFonts w:cs="NeueHaasGroteskText W02"/>
        </w:rPr>
        <w:t>registrácie</w:t>
      </w:r>
      <w:r w:rsidR="002C1049">
        <w:rPr>
          <w:rFonts w:cs="NeueHaasGroteskText W02"/>
        </w:rPr>
        <w:t xml:space="preserve"> v evidencii uchádzačov o zamestnanie.</w:t>
      </w:r>
    </w:p>
    <w:p w14:paraId="16DBCB56" w14:textId="015D2FAB" w:rsidR="005837FB" w:rsidRPr="00F1566C" w:rsidRDefault="00F07492" w:rsidP="005837FB">
      <w:pPr>
        <w:spacing w:before="160"/>
      </w:pPr>
      <w:r>
        <w:rPr>
          <w:b/>
        </w:rPr>
        <w:lastRenderedPageBreak/>
        <w:t>10</w:t>
      </w:r>
      <w:r w:rsidR="005837FB" w:rsidRPr="00CA2564">
        <w:rPr>
          <w:b/>
        </w:rPr>
        <w:t xml:space="preserve">. Opatrenie: </w:t>
      </w:r>
      <w:r w:rsidR="00287253">
        <w:rPr>
          <w:b/>
        </w:rPr>
        <w:t>Realizovať d</w:t>
      </w:r>
      <w:r w:rsidR="005837FB">
        <w:rPr>
          <w:b/>
        </w:rPr>
        <w:t>otazníkový prieskum osôb prechádzajúcich osobným bankrotom</w:t>
      </w:r>
      <w:r w:rsidR="00287253">
        <w:rPr>
          <w:b/>
        </w:rPr>
        <w:t xml:space="preserve"> a zverejniť jeho výsledky</w:t>
      </w:r>
      <w:r w:rsidR="005837FB">
        <w:rPr>
          <w:b/>
        </w:rPr>
        <w:t xml:space="preserve">. </w:t>
      </w:r>
      <w:r w:rsidR="005837FB" w:rsidRPr="00CA2564">
        <w:t>Pre účinnú pomoc ľuďom prechádzajúcim osobným bankrotom za účelom zamedziť opakovanému prepadnutiu do dlhových pr</w:t>
      </w:r>
      <w:r w:rsidR="005837FB">
        <w:t xml:space="preserve">oblémov (hodnotové opatrenie </w:t>
      </w:r>
      <w:r w:rsidR="00EE0BB4">
        <w:t>19</w:t>
      </w:r>
      <w:r w:rsidR="005837FB" w:rsidRPr="00CA2564">
        <w:t>) je potrebné hlbšie poznať východiskovú situáciu.</w:t>
      </w:r>
      <w:r w:rsidR="005837FB">
        <w:t xml:space="preserve"> Prieskum by </w:t>
      </w:r>
      <w:r w:rsidR="005837FB" w:rsidRPr="00F1566C">
        <w:t>mal zmapovať a vyhodnotiť situáciu vybranej vzorky osôb prechádzajúcich osobným bankrotom formou dotazníka, ktorý budú tieto osoby vypĺňať pri odovzdávaní žiadosti o osobný bankrot na Centre právnej pomoci.</w:t>
      </w:r>
    </w:p>
    <w:p w14:paraId="0914647C" w14:textId="162AD9AC" w:rsidR="005837FB" w:rsidRDefault="004D4E7C" w:rsidP="005837FB">
      <w:pPr>
        <w:spacing w:before="160"/>
      </w:pPr>
      <w:r>
        <w:rPr>
          <w:b/>
        </w:rPr>
        <w:t>1</w:t>
      </w:r>
      <w:r w:rsidR="00F07492">
        <w:rPr>
          <w:b/>
        </w:rPr>
        <w:t>1</w:t>
      </w:r>
      <w:r w:rsidR="005837FB" w:rsidRPr="00CA2564">
        <w:rPr>
          <w:b/>
        </w:rPr>
        <w:t xml:space="preserve">. </w:t>
      </w:r>
      <w:r w:rsidR="005837FB" w:rsidRPr="00BD6949">
        <w:rPr>
          <w:b/>
        </w:rPr>
        <w:t xml:space="preserve">Opatrenie: </w:t>
      </w:r>
      <w:r w:rsidR="00287253">
        <w:rPr>
          <w:b/>
        </w:rPr>
        <w:t>Nastaviť systematický a pravidelný z</w:t>
      </w:r>
      <w:r w:rsidR="005837FB">
        <w:rPr>
          <w:b/>
        </w:rPr>
        <w:t>ber údajov o</w:t>
      </w:r>
      <w:r w:rsidR="005837FB" w:rsidRPr="00D3189B">
        <w:rPr>
          <w:b/>
        </w:rPr>
        <w:t xml:space="preserve"> starostlivost</w:t>
      </w:r>
      <w:r w:rsidR="005837FB">
        <w:rPr>
          <w:b/>
        </w:rPr>
        <w:t>i</w:t>
      </w:r>
      <w:r w:rsidR="005837FB" w:rsidRPr="00D3189B">
        <w:rPr>
          <w:b/>
        </w:rPr>
        <w:t xml:space="preserve"> o deti do troch rokov veku dieťaťa</w:t>
      </w:r>
      <w:r w:rsidR="005837FB">
        <w:rPr>
          <w:b/>
        </w:rPr>
        <w:t>.</w:t>
      </w:r>
      <w:r w:rsidR="005837FB" w:rsidRPr="00BD6949">
        <w:rPr>
          <w:b/>
        </w:rPr>
        <w:t xml:space="preserve"> </w:t>
      </w:r>
      <w:r w:rsidR="005837FB" w:rsidRPr="00D31E35">
        <w:rPr>
          <w:bCs/>
          <w:iCs/>
          <w:lang w:eastAsia="sk-SK"/>
        </w:rPr>
        <w:t xml:space="preserve">V súčasnosti </w:t>
      </w:r>
      <w:r w:rsidR="0089505F">
        <w:rPr>
          <w:bCs/>
          <w:iCs/>
          <w:lang w:eastAsia="sk-SK"/>
        </w:rPr>
        <w:t>nie sú</w:t>
      </w:r>
      <w:r w:rsidR="0089505F" w:rsidRPr="00D31E35">
        <w:rPr>
          <w:bCs/>
          <w:iCs/>
          <w:lang w:eastAsia="sk-SK"/>
        </w:rPr>
        <w:t xml:space="preserve"> </w:t>
      </w:r>
      <w:r w:rsidR="005837FB" w:rsidRPr="00D31E35">
        <w:rPr>
          <w:bCs/>
          <w:iCs/>
          <w:lang w:eastAsia="sk-SK"/>
        </w:rPr>
        <w:t>administratívne údaje o formách starostlivosti o deti do 3 rokov</w:t>
      </w:r>
      <w:r w:rsidR="005837FB">
        <w:rPr>
          <w:bCs/>
          <w:iCs/>
          <w:lang w:eastAsia="sk-SK"/>
        </w:rPr>
        <w:t xml:space="preserve"> veku</w:t>
      </w:r>
      <w:r w:rsidR="0089505F">
        <w:rPr>
          <w:bCs/>
          <w:iCs/>
          <w:lang w:eastAsia="sk-SK"/>
        </w:rPr>
        <w:t xml:space="preserve"> </w:t>
      </w:r>
      <w:r w:rsidR="0089505F" w:rsidRPr="00D41517">
        <w:rPr>
          <w:bCs/>
          <w:iCs/>
          <w:lang w:eastAsia="sk-SK"/>
        </w:rPr>
        <w:t>vykazované v požadovanej štruktúre a rozsahu.</w:t>
      </w:r>
      <w:r w:rsidR="005837FB" w:rsidRPr="00D31E35">
        <w:rPr>
          <w:bCs/>
          <w:iCs/>
          <w:lang w:eastAsia="sk-SK"/>
        </w:rPr>
        <w:t xml:space="preserve"> </w:t>
      </w:r>
      <w:r w:rsidR="005837FB" w:rsidRPr="00823129">
        <w:rPr>
          <w:iCs/>
        </w:rPr>
        <w:t>Údaje o ponuke formálnej starostlivosti o deti do 3 rokov sú nevyhnutné na prijímanie účinných politík a plánovanie projektov podpory rozširovania kapací</w:t>
      </w:r>
      <w:r w:rsidR="005837FB">
        <w:rPr>
          <w:iCs/>
        </w:rPr>
        <w:t>t zariadení resp. ich výstavby</w:t>
      </w:r>
      <w:r w:rsidR="005837FB">
        <w:t xml:space="preserve"> (podkapitola </w:t>
      </w:r>
      <w:r w:rsidR="00220E4A">
        <w:fldChar w:fldCharType="begin"/>
      </w:r>
      <w:r w:rsidR="00220E4A">
        <w:instrText xml:space="preserve"> REF _Ref25312130 \r \h </w:instrText>
      </w:r>
      <w:r w:rsidR="00220E4A">
        <w:fldChar w:fldCharType="separate"/>
      </w:r>
      <w:r w:rsidR="00FA29AF">
        <w:t>7.4</w:t>
      </w:r>
      <w:r w:rsidR="00220E4A">
        <w:fldChar w:fldCharType="end"/>
      </w:r>
      <w:r w:rsidR="005837FB">
        <w:t>).</w:t>
      </w:r>
    </w:p>
    <w:p w14:paraId="289271FC" w14:textId="77A89797" w:rsidR="004F1697" w:rsidRPr="00452DBC" w:rsidRDefault="004F1697" w:rsidP="00452DBC">
      <w:pPr>
        <w:spacing w:before="200"/>
        <w:rPr>
          <w:bCs/>
          <w:color w:val="0070C0"/>
        </w:rPr>
      </w:pPr>
      <w:r w:rsidRPr="00231BE7">
        <w:rPr>
          <w:bCs/>
          <w:color w:val="0070C0"/>
        </w:rPr>
        <w:t>Bývanie a infraštruktúra</w:t>
      </w:r>
    </w:p>
    <w:p w14:paraId="168C772F" w14:textId="7D41E590" w:rsidR="001B40AB" w:rsidRPr="00F07492" w:rsidRDefault="004D4E7C" w:rsidP="00F07492">
      <w:r>
        <w:rPr>
          <w:rFonts w:eastAsia="Times New Roman" w:cs="Times New Roman"/>
          <w:b/>
          <w:color w:val="000000"/>
          <w:lang w:eastAsia="sk-SK"/>
        </w:rPr>
        <w:t>1</w:t>
      </w:r>
      <w:r w:rsidR="00F07492">
        <w:rPr>
          <w:rFonts w:eastAsia="Times New Roman" w:cs="Times New Roman"/>
          <w:b/>
          <w:color w:val="000000"/>
          <w:lang w:eastAsia="sk-SK"/>
        </w:rPr>
        <w:t>2</w:t>
      </w:r>
      <w:r w:rsidR="005837FB" w:rsidRPr="00CA2564">
        <w:rPr>
          <w:rFonts w:eastAsia="Times New Roman" w:cs="Times New Roman"/>
          <w:b/>
          <w:color w:val="000000"/>
          <w:lang w:eastAsia="sk-SK"/>
        </w:rPr>
        <w:t xml:space="preserve">. Opatrenie: </w:t>
      </w:r>
      <w:r w:rsidR="00B35C43">
        <w:rPr>
          <w:rFonts w:eastAsia="Times New Roman" w:cs="Times New Roman"/>
          <w:b/>
          <w:color w:val="000000"/>
          <w:lang w:eastAsia="sk-SK"/>
        </w:rPr>
        <w:t>Nastaviť s</w:t>
      </w:r>
      <w:r w:rsidR="005837FB" w:rsidRPr="00CA2564">
        <w:rPr>
          <w:rFonts w:eastAsia="Times New Roman" w:cs="Times New Roman"/>
          <w:b/>
          <w:color w:val="000000"/>
          <w:lang w:eastAsia="sk-SK"/>
        </w:rPr>
        <w:t>ystematický a pravidelný zber údajov o ľuďoch bez domova</w:t>
      </w:r>
      <w:r w:rsidR="001E1229">
        <w:rPr>
          <w:rFonts w:eastAsia="Times New Roman" w:cs="Times New Roman"/>
          <w:b/>
          <w:color w:val="000000"/>
          <w:lang w:eastAsia="sk-SK"/>
        </w:rPr>
        <w:t xml:space="preserve"> a ľuďoch ohrozených stratou bývania</w:t>
      </w:r>
      <w:r w:rsidR="005837FB" w:rsidRPr="00CA2564">
        <w:rPr>
          <w:rFonts w:eastAsia="Times New Roman" w:cs="Times New Roman"/>
          <w:b/>
          <w:color w:val="000000"/>
          <w:lang w:eastAsia="sk-SK"/>
        </w:rPr>
        <w:t xml:space="preserve">. </w:t>
      </w:r>
      <w:r w:rsidR="00A1145F" w:rsidRPr="00357E39">
        <w:rPr>
          <w:color w:val="000000" w:themeColor="text1"/>
        </w:rPr>
        <w:t xml:space="preserve">O ľuďoch bez domova </w:t>
      </w:r>
      <w:r w:rsidR="00A1145F">
        <w:rPr>
          <w:color w:val="000000" w:themeColor="text1"/>
        </w:rPr>
        <w:t xml:space="preserve">a ľuďoch ohrozených stratou bývania </w:t>
      </w:r>
      <w:r w:rsidR="00A1145F" w:rsidRPr="00357E39">
        <w:rPr>
          <w:color w:val="000000" w:themeColor="text1"/>
        </w:rPr>
        <w:t>sa systematicky nezbierajú údaje, ktoré by umožňovali lepšie plánovanie verejných politík</w:t>
      </w:r>
      <w:r w:rsidR="00A1145F">
        <w:t xml:space="preserve">. </w:t>
      </w:r>
      <w:r w:rsidR="005837FB" w:rsidRPr="00CA2564">
        <w:t>Tento cieľ by bolo možné dosiahnuť obstaraním a správou softvérového riešenia evidencie klientov pre všetky organizácie, ktoré poskytujú sociálne služby ľuďom bez domova, vrátane služieb poskytovaných terénnou formou, v súlade so všetkými požiadavkami dodržiavania ochrany osobných údajov</w:t>
      </w:r>
      <w:r w:rsidR="003A6C0A">
        <w:t xml:space="preserve"> a nízkoprahového charakteru niektorých sociálnych služieb</w:t>
      </w:r>
      <w:r w:rsidR="005837FB" w:rsidRPr="00CA2564">
        <w:t>. Výhodou takéhoto prístupu oproti príležitostným sčítaniam ľudí bez domova je možnosť sledovať odliv a príliv ľudí bez domova a dĺžku trvania bezdomovectva</w:t>
      </w:r>
      <w:r w:rsidR="00427F58">
        <w:t>,</w:t>
      </w:r>
      <w:r w:rsidR="005837FB" w:rsidRPr="00CA2564">
        <w:t xml:space="preserve"> čo by umožnilo skúmať jeho príčiny a vyhodnocovať účinnosť verejných politík. Skúsenosť so spoločným registrom klientov už majú mnohé európske krajiny, vrátane Dánska, Írska, Holandska, či Belgicka</w:t>
      </w:r>
      <w:r w:rsidR="001E1229">
        <w:t xml:space="preserve">. </w:t>
      </w:r>
      <w:r w:rsidR="00806056">
        <w:t>V prípade ľudí ohrozených stratou bývania je potrebné hľadať spôsoby</w:t>
      </w:r>
      <w:r w:rsidR="00427F58">
        <w:t>,</w:t>
      </w:r>
      <w:r w:rsidR="00806056">
        <w:t xml:space="preserve"> ako ich identifikovať napríklad v spolupráci s verejnými a súkromnými vlastníkmi nájomných b</w:t>
      </w:r>
      <w:r w:rsidR="00427F58">
        <w:t>ytov a ubytovní, detskými domov</w:t>
      </w:r>
      <w:r w:rsidR="00806056">
        <w:t>mi</w:t>
      </w:r>
      <w:r w:rsidR="00165796">
        <w:t>, zdravotnými poisťovňami</w:t>
      </w:r>
      <w:r w:rsidR="00806056">
        <w:t xml:space="preserve"> či úradmi práce (podkapitola </w:t>
      </w:r>
      <w:r w:rsidR="00806056">
        <w:fldChar w:fldCharType="begin"/>
      </w:r>
      <w:r w:rsidR="00806056">
        <w:instrText xml:space="preserve"> REF _Ref31877623 \r \h </w:instrText>
      </w:r>
      <w:r w:rsidR="00806056">
        <w:fldChar w:fldCharType="separate"/>
      </w:r>
      <w:r w:rsidR="00FA29AF">
        <w:t>9.3</w:t>
      </w:r>
      <w:r w:rsidR="00806056">
        <w:fldChar w:fldCharType="end"/>
      </w:r>
      <w:r w:rsidR="00806056">
        <w:t>).</w:t>
      </w:r>
      <w:bookmarkStart w:id="27" w:name="_Toc30769059"/>
      <w:bookmarkStart w:id="28" w:name="_Toc30769939"/>
      <w:bookmarkStart w:id="29" w:name="_Toc30771771"/>
      <w:bookmarkStart w:id="30" w:name="_Toc30778553"/>
      <w:bookmarkStart w:id="31" w:name="_Toc32339435"/>
      <w:bookmarkStart w:id="32" w:name="_Hlk33279028"/>
      <w:bookmarkEnd w:id="27"/>
      <w:bookmarkEnd w:id="28"/>
      <w:bookmarkEnd w:id="29"/>
      <w:bookmarkEnd w:id="30"/>
      <w:bookmarkEnd w:id="31"/>
    </w:p>
    <w:p w14:paraId="1111CB88" w14:textId="77777777" w:rsidR="00FE350B" w:rsidRDefault="00FE350B">
      <w:pPr>
        <w:spacing w:after="160"/>
        <w:jc w:val="left"/>
        <w:rPr>
          <w:rFonts w:eastAsiaTheme="majorEastAsia" w:cstheme="majorBidi"/>
          <w:color w:val="0070C0"/>
          <w:sz w:val="26"/>
          <w:szCs w:val="26"/>
        </w:rPr>
      </w:pPr>
      <w:r>
        <w:br w:type="page"/>
      </w:r>
    </w:p>
    <w:p w14:paraId="2A559529" w14:textId="6DB9EEF9" w:rsidR="00CE3549" w:rsidRPr="004F1697" w:rsidRDefault="00172D55" w:rsidP="004F1697">
      <w:pPr>
        <w:pStyle w:val="Nadpis2"/>
        <w:spacing w:before="240"/>
      </w:pPr>
      <w:bookmarkStart w:id="33" w:name="_Toc34657704"/>
      <w:r>
        <w:lastRenderedPageBreak/>
        <w:t>Analytické opatrenia</w:t>
      </w:r>
      <w:bookmarkEnd w:id="33"/>
    </w:p>
    <w:tbl>
      <w:tblPr>
        <w:tblW w:w="9072" w:type="dxa"/>
        <w:tblCellMar>
          <w:left w:w="70" w:type="dxa"/>
          <w:right w:w="70" w:type="dxa"/>
        </w:tblCellMar>
        <w:tblLook w:val="04A0" w:firstRow="1" w:lastRow="0" w:firstColumn="1" w:lastColumn="0" w:noHBand="0" w:noVBand="1"/>
      </w:tblPr>
      <w:tblGrid>
        <w:gridCol w:w="323"/>
        <w:gridCol w:w="7474"/>
        <w:gridCol w:w="1275"/>
      </w:tblGrid>
      <w:tr w:rsidR="005975CD" w:rsidRPr="00893C52" w14:paraId="06463C69" w14:textId="77777777" w:rsidTr="005975CD">
        <w:trPr>
          <w:trHeight w:hRule="exact" w:val="227"/>
        </w:trPr>
        <w:tc>
          <w:tcPr>
            <w:tcW w:w="323" w:type="dxa"/>
            <w:vMerge w:val="restart"/>
            <w:tcBorders>
              <w:top w:val="single" w:sz="4" w:space="0" w:color="auto"/>
              <w:left w:val="nil"/>
              <w:bottom w:val="single" w:sz="4" w:space="0" w:color="000000"/>
              <w:right w:val="nil"/>
            </w:tcBorders>
            <w:shd w:val="clear" w:color="000000" w:fill="DDEBF7"/>
            <w:vAlign w:val="center"/>
            <w:hideMark/>
          </w:tcPr>
          <w:p w14:paraId="42AE096F" w14:textId="77777777" w:rsidR="005975CD" w:rsidRPr="00893C52" w:rsidRDefault="005975CD" w:rsidP="001328BF">
            <w:pPr>
              <w:spacing w:after="0" w:line="240" w:lineRule="auto"/>
              <w:rPr>
                <w:rFonts w:eastAsia="Times New Roman" w:cs="Times New Roman"/>
                <w:color w:val="000000"/>
                <w:sz w:val="20"/>
                <w:lang w:eastAsia="sk-SK"/>
              </w:rPr>
            </w:pPr>
            <w:bookmarkStart w:id="34" w:name="_Hlk24457856"/>
          </w:p>
        </w:tc>
        <w:tc>
          <w:tcPr>
            <w:tcW w:w="7474" w:type="dxa"/>
            <w:vMerge w:val="restart"/>
            <w:tcBorders>
              <w:top w:val="single" w:sz="4" w:space="0" w:color="auto"/>
              <w:left w:val="nil"/>
              <w:bottom w:val="single" w:sz="4" w:space="0" w:color="000000"/>
              <w:right w:val="nil"/>
            </w:tcBorders>
            <w:shd w:val="clear" w:color="000000" w:fill="DDEBF7"/>
            <w:vAlign w:val="center"/>
            <w:hideMark/>
          </w:tcPr>
          <w:p w14:paraId="29ACD10D" w14:textId="77777777" w:rsidR="005975CD" w:rsidRPr="00893C52" w:rsidRDefault="005975CD" w:rsidP="001328BF">
            <w:pPr>
              <w:spacing w:after="0" w:line="240" w:lineRule="auto"/>
              <w:rPr>
                <w:rFonts w:eastAsia="Times New Roman" w:cs="Times New Roman"/>
                <w:color w:val="000000"/>
                <w:sz w:val="20"/>
                <w:lang w:eastAsia="sk-SK"/>
              </w:rPr>
            </w:pPr>
            <w:r w:rsidRPr="00893C52">
              <w:rPr>
                <w:rFonts w:eastAsia="Times New Roman" w:cs="Times New Roman"/>
                <w:color w:val="000000"/>
                <w:sz w:val="20"/>
                <w:lang w:eastAsia="sk-SK"/>
              </w:rPr>
              <w:t>Úloha</w:t>
            </w:r>
          </w:p>
        </w:tc>
        <w:tc>
          <w:tcPr>
            <w:tcW w:w="1275" w:type="dxa"/>
            <w:vMerge w:val="restart"/>
            <w:tcBorders>
              <w:top w:val="single" w:sz="4" w:space="0" w:color="auto"/>
              <w:left w:val="nil"/>
              <w:bottom w:val="single" w:sz="4" w:space="0" w:color="000000"/>
              <w:right w:val="nil"/>
            </w:tcBorders>
            <w:shd w:val="clear" w:color="000000" w:fill="DDEBF7"/>
            <w:vAlign w:val="center"/>
            <w:hideMark/>
          </w:tcPr>
          <w:p w14:paraId="5BB9E9AB" w14:textId="77777777" w:rsidR="005975CD" w:rsidRPr="00893C52" w:rsidRDefault="005975CD" w:rsidP="001328BF">
            <w:pPr>
              <w:spacing w:after="0" w:line="240" w:lineRule="auto"/>
              <w:jc w:val="center"/>
              <w:rPr>
                <w:rFonts w:eastAsia="Times New Roman" w:cs="Times New Roman"/>
                <w:color w:val="000000"/>
                <w:sz w:val="20"/>
                <w:lang w:eastAsia="sk-SK"/>
              </w:rPr>
            </w:pPr>
            <w:r w:rsidRPr="00893C52">
              <w:rPr>
                <w:rFonts w:eastAsia="Times New Roman" w:cs="Times New Roman"/>
                <w:color w:val="000000"/>
                <w:sz w:val="20"/>
                <w:lang w:eastAsia="sk-SK"/>
              </w:rPr>
              <w:t>Zodpovednosť</w:t>
            </w:r>
          </w:p>
        </w:tc>
      </w:tr>
      <w:tr w:rsidR="005975CD" w:rsidRPr="00893C52" w14:paraId="5133FCFA" w14:textId="77777777" w:rsidTr="005975CD">
        <w:trPr>
          <w:trHeight w:val="450"/>
        </w:trPr>
        <w:tc>
          <w:tcPr>
            <w:tcW w:w="323" w:type="dxa"/>
            <w:vMerge/>
            <w:tcBorders>
              <w:top w:val="single" w:sz="4" w:space="0" w:color="auto"/>
              <w:left w:val="nil"/>
              <w:bottom w:val="single" w:sz="4" w:space="0" w:color="000000"/>
              <w:right w:val="nil"/>
            </w:tcBorders>
            <w:vAlign w:val="center"/>
            <w:hideMark/>
          </w:tcPr>
          <w:p w14:paraId="4F884237" w14:textId="77777777" w:rsidR="005975CD" w:rsidRPr="00893C52" w:rsidRDefault="005975CD" w:rsidP="001328BF">
            <w:pPr>
              <w:spacing w:after="0" w:line="240" w:lineRule="auto"/>
              <w:rPr>
                <w:rFonts w:eastAsia="Times New Roman" w:cs="Times New Roman"/>
                <w:color w:val="000000"/>
                <w:sz w:val="20"/>
                <w:lang w:eastAsia="sk-SK"/>
              </w:rPr>
            </w:pPr>
          </w:p>
        </w:tc>
        <w:tc>
          <w:tcPr>
            <w:tcW w:w="7474" w:type="dxa"/>
            <w:vMerge/>
            <w:tcBorders>
              <w:top w:val="single" w:sz="4" w:space="0" w:color="auto"/>
              <w:left w:val="nil"/>
              <w:bottom w:val="single" w:sz="4" w:space="0" w:color="000000"/>
              <w:right w:val="nil"/>
            </w:tcBorders>
            <w:vAlign w:val="center"/>
            <w:hideMark/>
          </w:tcPr>
          <w:p w14:paraId="3961090E" w14:textId="77777777" w:rsidR="005975CD" w:rsidRPr="00893C52" w:rsidRDefault="005975CD" w:rsidP="001328BF">
            <w:pPr>
              <w:spacing w:after="0" w:line="240" w:lineRule="auto"/>
              <w:rPr>
                <w:rFonts w:eastAsia="Times New Roman" w:cs="Times New Roman"/>
                <w:color w:val="000000"/>
                <w:sz w:val="20"/>
                <w:lang w:eastAsia="sk-SK"/>
              </w:rPr>
            </w:pPr>
          </w:p>
        </w:tc>
        <w:tc>
          <w:tcPr>
            <w:tcW w:w="1275" w:type="dxa"/>
            <w:vMerge/>
            <w:tcBorders>
              <w:top w:val="single" w:sz="4" w:space="0" w:color="auto"/>
              <w:left w:val="nil"/>
              <w:bottom w:val="single" w:sz="4" w:space="0" w:color="000000"/>
              <w:right w:val="nil"/>
            </w:tcBorders>
            <w:vAlign w:val="center"/>
            <w:hideMark/>
          </w:tcPr>
          <w:p w14:paraId="0CB32F8D" w14:textId="77777777" w:rsidR="005975CD" w:rsidRPr="00893C52" w:rsidRDefault="005975CD" w:rsidP="001328BF">
            <w:pPr>
              <w:spacing w:after="0" w:line="240" w:lineRule="auto"/>
              <w:rPr>
                <w:rFonts w:eastAsia="Times New Roman" w:cs="Times New Roman"/>
                <w:color w:val="000000"/>
                <w:sz w:val="20"/>
                <w:lang w:eastAsia="sk-SK"/>
              </w:rPr>
            </w:pPr>
          </w:p>
        </w:tc>
      </w:tr>
      <w:tr w:rsidR="005975CD" w:rsidRPr="00893C52" w14:paraId="68AD2339" w14:textId="77777777" w:rsidTr="005975CD">
        <w:trPr>
          <w:trHeight w:val="476"/>
        </w:trPr>
        <w:tc>
          <w:tcPr>
            <w:tcW w:w="323" w:type="dxa"/>
            <w:tcBorders>
              <w:top w:val="nil"/>
              <w:left w:val="nil"/>
              <w:bottom w:val="single" w:sz="4" w:space="0" w:color="auto"/>
              <w:right w:val="nil"/>
            </w:tcBorders>
            <w:shd w:val="clear" w:color="000000" w:fill="FFFFFF"/>
            <w:vAlign w:val="center"/>
            <w:hideMark/>
          </w:tcPr>
          <w:p w14:paraId="527CEAF8" w14:textId="77777777" w:rsidR="005975CD" w:rsidRPr="00893C52" w:rsidRDefault="005975CD" w:rsidP="001328BF">
            <w:pPr>
              <w:spacing w:after="0" w:line="240" w:lineRule="auto"/>
              <w:jc w:val="center"/>
              <w:rPr>
                <w:rFonts w:eastAsia="Times New Roman" w:cs="Times New Roman"/>
                <w:b/>
                <w:bCs/>
                <w:color w:val="000000"/>
                <w:sz w:val="20"/>
                <w:lang w:eastAsia="sk-SK"/>
              </w:rPr>
            </w:pPr>
            <w:r w:rsidRPr="00893C52">
              <w:rPr>
                <w:rFonts w:eastAsia="Times New Roman" w:cs="Times New Roman"/>
                <w:b/>
                <w:bCs/>
                <w:color w:val="000000"/>
                <w:sz w:val="20"/>
                <w:lang w:eastAsia="sk-SK"/>
              </w:rPr>
              <w:t> </w:t>
            </w:r>
          </w:p>
        </w:tc>
        <w:tc>
          <w:tcPr>
            <w:tcW w:w="7474" w:type="dxa"/>
            <w:tcBorders>
              <w:top w:val="nil"/>
              <w:left w:val="nil"/>
              <w:bottom w:val="single" w:sz="4" w:space="0" w:color="auto"/>
              <w:right w:val="nil"/>
            </w:tcBorders>
            <w:shd w:val="clear" w:color="000000" w:fill="FFFFFF"/>
            <w:vAlign w:val="center"/>
            <w:hideMark/>
          </w:tcPr>
          <w:p w14:paraId="1D4F185E" w14:textId="77777777" w:rsidR="005975CD" w:rsidRPr="00893C52" w:rsidRDefault="005975CD" w:rsidP="001328BF">
            <w:pPr>
              <w:spacing w:after="0" w:line="240" w:lineRule="auto"/>
              <w:rPr>
                <w:rFonts w:eastAsia="Times New Roman" w:cs="Times New Roman"/>
                <w:b/>
                <w:bCs/>
                <w:color w:val="000000"/>
                <w:sz w:val="20"/>
                <w:lang w:eastAsia="sk-SK"/>
              </w:rPr>
            </w:pPr>
            <w:r>
              <w:rPr>
                <w:rFonts w:eastAsia="Times New Roman" w:cs="Times New Roman"/>
                <w:b/>
                <w:bCs/>
                <w:color w:val="000000"/>
                <w:sz w:val="20"/>
                <w:lang w:eastAsia="sk-SK"/>
              </w:rPr>
              <w:t>V</w:t>
            </w:r>
            <w:r w:rsidRPr="00893C52">
              <w:rPr>
                <w:rFonts w:eastAsia="Times New Roman" w:cs="Times New Roman"/>
                <w:b/>
                <w:bCs/>
                <w:color w:val="000000"/>
                <w:sz w:val="20"/>
                <w:lang w:eastAsia="sk-SK"/>
              </w:rPr>
              <w:t>zdelávanie</w:t>
            </w:r>
          </w:p>
        </w:tc>
        <w:tc>
          <w:tcPr>
            <w:tcW w:w="1275" w:type="dxa"/>
            <w:tcBorders>
              <w:top w:val="nil"/>
              <w:left w:val="nil"/>
              <w:bottom w:val="single" w:sz="4" w:space="0" w:color="auto"/>
              <w:right w:val="nil"/>
            </w:tcBorders>
            <w:shd w:val="clear" w:color="000000" w:fill="FFFFFF"/>
            <w:vAlign w:val="center"/>
            <w:hideMark/>
          </w:tcPr>
          <w:p w14:paraId="403C69A1" w14:textId="77777777" w:rsidR="005975CD" w:rsidRPr="00893C52" w:rsidRDefault="005975CD" w:rsidP="001328BF">
            <w:pPr>
              <w:spacing w:after="0" w:line="240" w:lineRule="auto"/>
              <w:jc w:val="left"/>
              <w:rPr>
                <w:rFonts w:eastAsia="Times New Roman" w:cs="Times New Roman"/>
                <w:b/>
                <w:bCs/>
                <w:color w:val="000000"/>
                <w:sz w:val="20"/>
                <w:lang w:eastAsia="sk-SK"/>
              </w:rPr>
            </w:pPr>
            <w:r w:rsidRPr="00893C52">
              <w:rPr>
                <w:rFonts w:eastAsia="Times New Roman" w:cs="Times New Roman"/>
                <w:b/>
                <w:bCs/>
                <w:color w:val="000000"/>
                <w:sz w:val="20"/>
                <w:lang w:eastAsia="sk-SK"/>
              </w:rPr>
              <w:t> </w:t>
            </w:r>
          </w:p>
        </w:tc>
      </w:tr>
      <w:tr w:rsidR="005975CD" w:rsidRPr="00893C52" w14:paraId="3C813CE8" w14:textId="77777777" w:rsidTr="005975CD">
        <w:trPr>
          <w:trHeight w:val="238"/>
        </w:trPr>
        <w:tc>
          <w:tcPr>
            <w:tcW w:w="323" w:type="dxa"/>
            <w:tcBorders>
              <w:top w:val="nil"/>
              <w:left w:val="nil"/>
              <w:bottom w:val="dotted" w:sz="4" w:space="0" w:color="auto"/>
              <w:right w:val="nil"/>
            </w:tcBorders>
            <w:shd w:val="clear" w:color="000000" w:fill="FFFFFF"/>
            <w:vAlign w:val="center"/>
            <w:hideMark/>
          </w:tcPr>
          <w:p w14:paraId="552D2476" w14:textId="77777777" w:rsidR="005975CD" w:rsidRPr="00893C52" w:rsidRDefault="005975CD" w:rsidP="001328BF">
            <w:pPr>
              <w:spacing w:after="0" w:line="240" w:lineRule="auto"/>
              <w:jc w:val="center"/>
              <w:rPr>
                <w:rFonts w:eastAsia="Times New Roman" w:cs="Times New Roman"/>
                <w:color w:val="000000"/>
                <w:sz w:val="20"/>
                <w:lang w:eastAsia="sk-SK"/>
              </w:rPr>
            </w:pPr>
            <w:r w:rsidRPr="00893C52">
              <w:rPr>
                <w:rFonts w:eastAsia="Times New Roman" w:cs="Times New Roman"/>
                <w:color w:val="000000"/>
                <w:sz w:val="20"/>
                <w:lang w:eastAsia="sk-SK"/>
              </w:rPr>
              <w:t>1</w:t>
            </w:r>
          </w:p>
        </w:tc>
        <w:tc>
          <w:tcPr>
            <w:tcW w:w="7474" w:type="dxa"/>
            <w:tcBorders>
              <w:top w:val="nil"/>
              <w:left w:val="nil"/>
              <w:bottom w:val="dotted" w:sz="4" w:space="0" w:color="auto"/>
              <w:right w:val="nil"/>
            </w:tcBorders>
            <w:shd w:val="clear" w:color="000000" w:fill="FFFFFF"/>
            <w:vAlign w:val="center"/>
            <w:hideMark/>
          </w:tcPr>
          <w:p w14:paraId="3FDCAC24" w14:textId="60B5553D" w:rsidR="005975CD" w:rsidRPr="00893C52" w:rsidRDefault="005975CD" w:rsidP="001328BF">
            <w:pPr>
              <w:spacing w:after="0" w:line="240" w:lineRule="auto"/>
              <w:rPr>
                <w:rFonts w:eastAsia="Times New Roman" w:cs="Times New Roman"/>
                <w:color w:val="000000"/>
                <w:sz w:val="20"/>
                <w:lang w:eastAsia="sk-SK"/>
              </w:rPr>
            </w:pPr>
            <w:r>
              <w:rPr>
                <w:rFonts w:eastAsia="Times New Roman" w:cs="Times New Roman"/>
                <w:color w:val="000000"/>
                <w:sz w:val="20"/>
                <w:lang w:eastAsia="sk-SK"/>
              </w:rPr>
              <w:t>Pravidelne m</w:t>
            </w:r>
            <w:r w:rsidRPr="00C111EA">
              <w:rPr>
                <w:rFonts w:eastAsia="Times New Roman" w:cs="Times New Roman"/>
                <w:color w:val="000000"/>
                <w:sz w:val="20"/>
                <w:lang w:eastAsia="sk-SK"/>
              </w:rPr>
              <w:t>onitorovať dopad zavedenia povinného predprimárneho vzdelávania na účasť detí zo SZP/MRK a</w:t>
            </w:r>
            <w:r w:rsidR="00040DE9">
              <w:rPr>
                <w:rFonts w:eastAsia="Times New Roman" w:cs="Times New Roman"/>
                <w:color w:val="000000"/>
                <w:sz w:val="20"/>
                <w:lang w:eastAsia="sk-SK"/>
              </w:rPr>
              <w:t> </w:t>
            </w:r>
            <w:r w:rsidRPr="00C111EA">
              <w:rPr>
                <w:rFonts w:eastAsia="Times New Roman" w:cs="Times New Roman"/>
                <w:color w:val="000000"/>
                <w:sz w:val="20"/>
                <w:lang w:eastAsia="sk-SK"/>
              </w:rPr>
              <w:t>ZZ</w:t>
            </w:r>
            <w:r w:rsidR="00040DE9">
              <w:rPr>
                <w:rFonts w:eastAsia="Times New Roman" w:cs="Times New Roman"/>
                <w:color w:val="000000"/>
                <w:sz w:val="20"/>
                <w:lang w:eastAsia="sk-SK"/>
              </w:rPr>
              <w:t xml:space="preserve"> a zverejniť výsledky</w:t>
            </w:r>
          </w:p>
        </w:tc>
        <w:tc>
          <w:tcPr>
            <w:tcW w:w="1275" w:type="dxa"/>
            <w:tcBorders>
              <w:top w:val="nil"/>
              <w:left w:val="nil"/>
              <w:bottom w:val="dotted" w:sz="4" w:space="0" w:color="auto"/>
              <w:right w:val="nil"/>
            </w:tcBorders>
            <w:shd w:val="clear" w:color="000000" w:fill="FFFFFF"/>
            <w:vAlign w:val="center"/>
            <w:hideMark/>
          </w:tcPr>
          <w:p w14:paraId="0A716D78" w14:textId="77777777" w:rsidR="005975CD" w:rsidRPr="00893C52" w:rsidRDefault="005975CD" w:rsidP="001328BF">
            <w:pPr>
              <w:spacing w:after="0" w:line="240" w:lineRule="auto"/>
              <w:jc w:val="left"/>
              <w:rPr>
                <w:rFonts w:eastAsia="Times New Roman" w:cs="Times New Roman"/>
                <w:color w:val="000000"/>
                <w:sz w:val="20"/>
                <w:lang w:eastAsia="sk-SK"/>
              </w:rPr>
            </w:pPr>
            <w:r>
              <w:rPr>
                <w:rFonts w:eastAsia="Times New Roman" w:cs="Times New Roman"/>
                <w:color w:val="000000"/>
                <w:sz w:val="20"/>
                <w:lang w:eastAsia="sk-SK"/>
              </w:rPr>
              <w:t>MŠVVaŠ</w:t>
            </w:r>
          </w:p>
        </w:tc>
      </w:tr>
      <w:tr w:rsidR="005975CD" w:rsidRPr="00893C52" w14:paraId="3CAFF49C" w14:textId="77777777" w:rsidTr="005975CD">
        <w:trPr>
          <w:trHeight w:val="238"/>
        </w:trPr>
        <w:tc>
          <w:tcPr>
            <w:tcW w:w="323" w:type="dxa"/>
            <w:tcBorders>
              <w:top w:val="nil"/>
              <w:left w:val="nil"/>
              <w:bottom w:val="dotted" w:sz="4" w:space="0" w:color="auto"/>
              <w:right w:val="nil"/>
            </w:tcBorders>
            <w:shd w:val="clear" w:color="000000" w:fill="FFFFFF"/>
            <w:vAlign w:val="center"/>
            <w:hideMark/>
          </w:tcPr>
          <w:p w14:paraId="450A5F7B" w14:textId="77777777" w:rsidR="005975CD" w:rsidRPr="00893C52" w:rsidRDefault="005975CD" w:rsidP="001328BF">
            <w:pPr>
              <w:spacing w:after="0" w:line="240" w:lineRule="auto"/>
              <w:jc w:val="center"/>
              <w:rPr>
                <w:rFonts w:eastAsia="Times New Roman" w:cs="Times New Roman"/>
                <w:color w:val="000000"/>
                <w:sz w:val="20"/>
                <w:lang w:eastAsia="sk-SK"/>
              </w:rPr>
            </w:pPr>
            <w:r w:rsidRPr="00893C52">
              <w:rPr>
                <w:rFonts w:eastAsia="Times New Roman" w:cs="Times New Roman"/>
                <w:color w:val="000000"/>
                <w:sz w:val="20"/>
                <w:lang w:eastAsia="sk-SK"/>
              </w:rPr>
              <w:t>2</w:t>
            </w:r>
          </w:p>
        </w:tc>
        <w:tc>
          <w:tcPr>
            <w:tcW w:w="7474" w:type="dxa"/>
            <w:tcBorders>
              <w:top w:val="nil"/>
              <w:left w:val="nil"/>
              <w:bottom w:val="dotted" w:sz="4" w:space="0" w:color="auto"/>
              <w:right w:val="nil"/>
            </w:tcBorders>
            <w:shd w:val="clear" w:color="000000" w:fill="FFFFFF"/>
            <w:vAlign w:val="center"/>
            <w:hideMark/>
          </w:tcPr>
          <w:p w14:paraId="39FDCB4C" w14:textId="706E4C6A" w:rsidR="005975CD" w:rsidRPr="00893C52" w:rsidRDefault="005975CD" w:rsidP="001328BF">
            <w:pPr>
              <w:spacing w:after="0" w:line="240" w:lineRule="auto"/>
              <w:rPr>
                <w:rFonts w:eastAsia="Times New Roman" w:cs="Times New Roman"/>
                <w:color w:val="000000"/>
                <w:sz w:val="20"/>
                <w:lang w:eastAsia="sk-SK"/>
              </w:rPr>
            </w:pPr>
            <w:r>
              <w:rPr>
                <w:sz w:val="20"/>
              </w:rPr>
              <w:t xml:space="preserve">Uskutočniť </w:t>
            </w:r>
            <w:r w:rsidR="00040DE9">
              <w:rPr>
                <w:sz w:val="20"/>
              </w:rPr>
              <w:t xml:space="preserve">a zverejniť </w:t>
            </w:r>
            <w:r>
              <w:rPr>
                <w:sz w:val="20"/>
              </w:rPr>
              <w:t>v</w:t>
            </w:r>
            <w:r w:rsidRPr="00C111EA">
              <w:rPr>
                <w:sz w:val="20"/>
              </w:rPr>
              <w:t>ýskum o obsahu prípravy budúcich učiteľov MŠ na stredných školách</w:t>
            </w:r>
          </w:p>
        </w:tc>
        <w:tc>
          <w:tcPr>
            <w:tcW w:w="1275" w:type="dxa"/>
            <w:tcBorders>
              <w:top w:val="nil"/>
              <w:left w:val="nil"/>
              <w:bottom w:val="dotted" w:sz="4" w:space="0" w:color="auto"/>
              <w:right w:val="nil"/>
            </w:tcBorders>
            <w:shd w:val="clear" w:color="000000" w:fill="FFFFFF"/>
            <w:vAlign w:val="center"/>
            <w:hideMark/>
          </w:tcPr>
          <w:p w14:paraId="69820969" w14:textId="77777777" w:rsidR="005975CD" w:rsidRPr="00893C52" w:rsidRDefault="005975CD" w:rsidP="001328BF">
            <w:pPr>
              <w:spacing w:after="0" w:line="240" w:lineRule="auto"/>
              <w:jc w:val="left"/>
              <w:rPr>
                <w:rFonts w:eastAsia="Times New Roman" w:cs="Times New Roman"/>
                <w:color w:val="000000"/>
                <w:sz w:val="20"/>
                <w:lang w:eastAsia="sk-SK"/>
              </w:rPr>
            </w:pPr>
            <w:r>
              <w:rPr>
                <w:rFonts w:eastAsia="Times New Roman" w:cs="Times New Roman"/>
                <w:color w:val="000000"/>
                <w:sz w:val="20"/>
                <w:lang w:eastAsia="sk-SK"/>
              </w:rPr>
              <w:t>MŠVVaŠ</w:t>
            </w:r>
          </w:p>
        </w:tc>
      </w:tr>
      <w:tr w:rsidR="005975CD" w:rsidRPr="00893C52" w14:paraId="3CE5E20C" w14:textId="77777777" w:rsidTr="005975CD">
        <w:trPr>
          <w:trHeight w:val="238"/>
        </w:trPr>
        <w:tc>
          <w:tcPr>
            <w:tcW w:w="323" w:type="dxa"/>
            <w:tcBorders>
              <w:top w:val="nil"/>
              <w:left w:val="nil"/>
              <w:bottom w:val="dotted" w:sz="4" w:space="0" w:color="auto"/>
              <w:right w:val="nil"/>
            </w:tcBorders>
            <w:shd w:val="clear" w:color="000000" w:fill="FFFFFF"/>
            <w:vAlign w:val="center"/>
            <w:hideMark/>
          </w:tcPr>
          <w:p w14:paraId="4547DAFD" w14:textId="77777777" w:rsidR="005975CD" w:rsidRPr="00893C52" w:rsidRDefault="005975CD" w:rsidP="001328BF">
            <w:pPr>
              <w:spacing w:after="0" w:line="240" w:lineRule="auto"/>
              <w:jc w:val="center"/>
              <w:rPr>
                <w:rFonts w:eastAsia="Times New Roman" w:cs="Times New Roman"/>
                <w:color w:val="000000"/>
                <w:sz w:val="20"/>
                <w:lang w:eastAsia="sk-SK"/>
              </w:rPr>
            </w:pPr>
            <w:r w:rsidRPr="00893C52">
              <w:rPr>
                <w:rFonts w:eastAsia="Times New Roman" w:cs="Times New Roman"/>
                <w:color w:val="000000"/>
                <w:sz w:val="20"/>
                <w:lang w:eastAsia="sk-SK"/>
              </w:rPr>
              <w:t>3</w:t>
            </w:r>
          </w:p>
        </w:tc>
        <w:tc>
          <w:tcPr>
            <w:tcW w:w="7474" w:type="dxa"/>
            <w:tcBorders>
              <w:top w:val="nil"/>
              <w:left w:val="nil"/>
              <w:bottom w:val="dotted" w:sz="4" w:space="0" w:color="auto"/>
              <w:right w:val="nil"/>
            </w:tcBorders>
            <w:shd w:val="clear" w:color="000000" w:fill="FFFFFF"/>
            <w:vAlign w:val="center"/>
            <w:hideMark/>
          </w:tcPr>
          <w:p w14:paraId="70A8FF56" w14:textId="2EA6A27A" w:rsidR="005975CD" w:rsidRPr="00893C52" w:rsidRDefault="005975CD" w:rsidP="001328BF">
            <w:pPr>
              <w:spacing w:after="0" w:line="240" w:lineRule="auto"/>
              <w:rPr>
                <w:rFonts w:eastAsia="Times New Roman" w:cs="Times New Roman"/>
                <w:color w:val="000000"/>
                <w:sz w:val="20"/>
                <w:lang w:eastAsia="sk-SK"/>
              </w:rPr>
            </w:pPr>
            <w:r>
              <w:rPr>
                <w:sz w:val="20"/>
              </w:rPr>
              <w:t xml:space="preserve">Uskutočniť </w:t>
            </w:r>
            <w:r w:rsidR="00040DE9">
              <w:rPr>
                <w:sz w:val="20"/>
              </w:rPr>
              <w:t xml:space="preserve">a zverejniť </w:t>
            </w:r>
            <w:r>
              <w:rPr>
                <w:sz w:val="20"/>
              </w:rPr>
              <w:t>a</w:t>
            </w:r>
            <w:r w:rsidRPr="00C111EA">
              <w:rPr>
                <w:sz w:val="20"/>
              </w:rPr>
              <w:t xml:space="preserve">udit dostupných a potrebných pomôcok pre deti </w:t>
            </w:r>
            <w:r w:rsidR="00DF7C6D">
              <w:rPr>
                <w:sz w:val="20"/>
              </w:rPr>
              <w:t xml:space="preserve">a žiakov </w:t>
            </w:r>
            <w:r>
              <w:rPr>
                <w:sz w:val="20"/>
              </w:rPr>
              <w:t>so ZZ</w:t>
            </w:r>
          </w:p>
        </w:tc>
        <w:tc>
          <w:tcPr>
            <w:tcW w:w="1275" w:type="dxa"/>
            <w:tcBorders>
              <w:top w:val="nil"/>
              <w:left w:val="nil"/>
              <w:bottom w:val="dotted" w:sz="4" w:space="0" w:color="auto"/>
              <w:right w:val="nil"/>
            </w:tcBorders>
            <w:shd w:val="clear" w:color="000000" w:fill="FFFFFF"/>
            <w:vAlign w:val="center"/>
            <w:hideMark/>
          </w:tcPr>
          <w:p w14:paraId="456132C7" w14:textId="77777777" w:rsidR="005975CD" w:rsidRPr="00893C52" w:rsidRDefault="005975CD" w:rsidP="001328BF">
            <w:pPr>
              <w:spacing w:after="0" w:line="240" w:lineRule="auto"/>
              <w:jc w:val="left"/>
              <w:rPr>
                <w:rFonts w:eastAsia="Times New Roman" w:cs="Times New Roman"/>
                <w:color w:val="000000"/>
                <w:sz w:val="20"/>
                <w:lang w:eastAsia="sk-SK"/>
              </w:rPr>
            </w:pPr>
            <w:r w:rsidRPr="00893C52">
              <w:rPr>
                <w:rFonts w:eastAsia="Times New Roman" w:cs="Times New Roman"/>
                <w:color w:val="000000"/>
                <w:sz w:val="20"/>
                <w:lang w:eastAsia="sk-SK"/>
              </w:rPr>
              <w:t>MŠVVaŠ</w:t>
            </w:r>
          </w:p>
        </w:tc>
      </w:tr>
      <w:tr w:rsidR="00DF7C6D" w:rsidRPr="00893C52" w14:paraId="03119815" w14:textId="77777777" w:rsidTr="005975CD">
        <w:trPr>
          <w:trHeight w:val="238"/>
        </w:trPr>
        <w:tc>
          <w:tcPr>
            <w:tcW w:w="323" w:type="dxa"/>
            <w:tcBorders>
              <w:top w:val="nil"/>
              <w:left w:val="nil"/>
              <w:bottom w:val="dotted" w:sz="4" w:space="0" w:color="auto"/>
              <w:right w:val="nil"/>
            </w:tcBorders>
            <w:shd w:val="clear" w:color="000000" w:fill="FFFFFF"/>
            <w:vAlign w:val="center"/>
          </w:tcPr>
          <w:p w14:paraId="7159871B" w14:textId="55040304" w:rsidR="00DF7C6D" w:rsidRDefault="00DF7C6D" w:rsidP="001328BF">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4</w:t>
            </w:r>
          </w:p>
        </w:tc>
        <w:tc>
          <w:tcPr>
            <w:tcW w:w="7474" w:type="dxa"/>
            <w:tcBorders>
              <w:top w:val="nil"/>
              <w:left w:val="nil"/>
              <w:bottom w:val="dotted" w:sz="4" w:space="0" w:color="auto"/>
              <w:right w:val="nil"/>
            </w:tcBorders>
            <w:shd w:val="clear" w:color="000000" w:fill="FFFFFF"/>
            <w:vAlign w:val="center"/>
          </w:tcPr>
          <w:p w14:paraId="12A0FF57" w14:textId="55CC0F40" w:rsidR="00DF7C6D" w:rsidRPr="000A3730" w:rsidRDefault="00DF7C6D" w:rsidP="001328BF">
            <w:pPr>
              <w:spacing w:after="0" w:line="240" w:lineRule="auto"/>
              <w:rPr>
                <w:sz w:val="20"/>
              </w:rPr>
            </w:pPr>
            <w:r w:rsidRPr="00452DBC">
              <w:rPr>
                <w:sz w:val="20"/>
              </w:rPr>
              <w:t xml:space="preserve">Realizovať </w:t>
            </w:r>
            <w:r w:rsidR="00040DE9">
              <w:rPr>
                <w:sz w:val="20"/>
              </w:rPr>
              <w:t xml:space="preserve">a zverejniť </w:t>
            </w:r>
            <w:r w:rsidRPr="00452DBC">
              <w:rPr>
                <w:sz w:val="20"/>
              </w:rPr>
              <w:t>výskumy zamerané na vzdelávanie žiakov so ZZ</w:t>
            </w:r>
          </w:p>
        </w:tc>
        <w:tc>
          <w:tcPr>
            <w:tcW w:w="1275" w:type="dxa"/>
            <w:tcBorders>
              <w:top w:val="nil"/>
              <w:left w:val="nil"/>
              <w:bottom w:val="dotted" w:sz="4" w:space="0" w:color="auto"/>
              <w:right w:val="nil"/>
            </w:tcBorders>
            <w:shd w:val="clear" w:color="000000" w:fill="FFFFFF"/>
            <w:vAlign w:val="center"/>
          </w:tcPr>
          <w:p w14:paraId="45705FA2" w14:textId="35300CE6" w:rsidR="00DF7C6D" w:rsidRDefault="00DF7C6D" w:rsidP="001328BF">
            <w:pPr>
              <w:spacing w:after="0" w:line="240" w:lineRule="auto"/>
              <w:jc w:val="left"/>
              <w:rPr>
                <w:rFonts w:eastAsia="Times New Roman" w:cs="Times New Roman"/>
                <w:color w:val="000000"/>
                <w:sz w:val="20"/>
                <w:lang w:eastAsia="sk-SK"/>
              </w:rPr>
            </w:pPr>
            <w:r w:rsidRPr="00893C52">
              <w:rPr>
                <w:rFonts w:eastAsia="Times New Roman" w:cs="Times New Roman"/>
                <w:color w:val="000000"/>
                <w:sz w:val="20"/>
                <w:lang w:eastAsia="sk-SK"/>
              </w:rPr>
              <w:t>MŠVVaŠ</w:t>
            </w:r>
          </w:p>
        </w:tc>
      </w:tr>
      <w:tr w:rsidR="005975CD" w:rsidRPr="00893C52" w14:paraId="2C03B89B" w14:textId="77777777" w:rsidTr="005975CD">
        <w:trPr>
          <w:trHeight w:val="238"/>
        </w:trPr>
        <w:tc>
          <w:tcPr>
            <w:tcW w:w="323" w:type="dxa"/>
            <w:tcBorders>
              <w:top w:val="nil"/>
              <w:left w:val="nil"/>
              <w:bottom w:val="dotted" w:sz="4" w:space="0" w:color="auto"/>
              <w:right w:val="nil"/>
            </w:tcBorders>
            <w:shd w:val="clear" w:color="000000" w:fill="FFFFFF"/>
            <w:vAlign w:val="center"/>
            <w:hideMark/>
          </w:tcPr>
          <w:p w14:paraId="5A1DB376" w14:textId="355C39E7" w:rsidR="005975CD" w:rsidRPr="00893C52" w:rsidRDefault="000A3730" w:rsidP="001328BF">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5</w:t>
            </w:r>
          </w:p>
        </w:tc>
        <w:tc>
          <w:tcPr>
            <w:tcW w:w="7474" w:type="dxa"/>
            <w:tcBorders>
              <w:top w:val="nil"/>
              <w:left w:val="nil"/>
              <w:bottom w:val="dotted" w:sz="4" w:space="0" w:color="auto"/>
              <w:right w:val="nil"/>
            </w:tcBorders>
            <w:shd w:val="clear" w:color="000000" w:fill="FFFFFF"/>
            <w:vAlign w:val="center"/>
            <w:hideMark/>
          </w:tcPr>
          <w:p w14:paraId="407A8C2F" w14:textId="5D80D6DC" w:rsidR="005975CD" w:rsidRPr="00893C52" w:rsidRDefault="005975CD" w:rsidP="001328BF">
            <w:pPr>
              <w:spacing w:after="0" w:line="240" w:lineRule="auto"/>
              <w:rPr>
                <w:rFonts w:eastAsia="Times New Roman" w:cs="Times New Roman"/>
                <w:color w:val="000000"/>
                <w:sz w:val="20"/>
                <w:lang w:eastAsia="sk-SK"/>
              </w:rPr>
            </w:pPr>
            <w:r w:rsidRPr="00C111EA">
              <w:rPr>
                <w:sz w:val="20"/>
              </w:rPr>
              <w:t>Vyhodnocovať dopady celoplošných dotácií na obedy</w:t>
            </w:r>
            <w:r>
              <w:rPr>
                <w:sz w:val="20"/>
              </w:rPr>
              <w:t xml:space="preserve"> na vzdelávacie výstupy a</w:t>
            </w:r>
            <w:r w:rsidR="00040DE9">
              <w:rPr>
                <w:sz w:val="20"/>
              </w:rPr>
              <w:t> </w:t>
            </w:r>
            <w:r>
              <w:rPr>
                <w:sz w:val="20"/>
              </w:rPr>
              <w:t>výsledky</w:t>
            </w:r>
            <w:r w:rsidR="00040DE9">
              <w:rPr>
                <w:sz w:val="20"/>
              </w:rPr>
              <w:t xml:space="preserve"> a zverejniť výsledky</w:t>
            </w:r>
          </w:p>
        </w:tc>
        <w:tc>
          <w:tcPr>
            <w:tcW w:w="1275" w:type="dxa"/>
            <w:tcBorders>
              <w:top w:val="nil"/>
              <w:left w:val="nil"/>
              <w:bottom w:val="dotted" w:sz="4" w:space="0" w:color="auto"/>
              <w:right w:val="nil"/>
            </w:tcBorders>
            <w:shd w:val="clear" w:color="000000" w:fill="FFFFFF"/>
            <w:vAlign w:val="center"/>
            <w:hideMark/>
          </w:tcPr>
          <w:p w14:paraId="74459220" w14:textId="77777777" w:rsidR="005975CD" w:rsidRPr="00893C52" w:rsidRDefault="005975CD" w:rsidP="001328BF">
            <w:pPr>
              <w:spacing w:after="0" w:line="240" w:lineRule="auto"/>
              <w:jc w:val="left"/>
              <w:rPr>
                <w:rFonts w:eastAsia="Times New Roman" w:cs="Times New Roman"/>
                <w:color w:val="000000"/>
                <w:sz w:val="20"/>
                <w:lang w:eastAsia="sk-SK"/>
              </w:rPr>
            </w:pPr>
            <w:r>
              <w:rPr>
                <w:rFonts w:eastAsia="Times New Roman" w:cs="Times New Roman"/>
                <w:color w:val="000000"/>
                <w:sz w:val="20"/>
                <w:lang w:eastAsia="sk-SK"/>
              </w:rPr>
              <w:t>MŠVVaŠ</w:t>
            </w:r>
          </w:p>
        </w:tc>
      </w:tr>
      <w:tr w:rsidR="005975CD" w:rsidRPr="00893C52" w14:paraId="52DF8420" w14:textId="77777777" w:rsidTr="005975CD">
        <w:trPr>
          <w:trHeight w:val="238"/>
        </w:trPr>
        <w:tc>
          <w:tcPr>
            <w:tcW w:w="323" w:type="dxa"/>
            <w:tcBorders>
              <w:top w:val="nil"/>
              <w:left w:val="nil"/>
              <w:bottom w:val="dotted" w:sz="4" w:space="0" w:color="auto"/>
              <w:right w:val="nil"/>
            </w:tcBorders>
            <w:shd w:val="clear" w:color="000000" w:fill="FFFFFF"/>
            <w:vAlign w:val="center"/>
          </w:tcPr>
          <w:p w14:paraId="25CDEA34" w14:textId="0A56373B" w:rsidR="005975CD" w:rsidRDefault="000A3730" w:rsidP="001328BF">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6</w:t>
            </w:r>
          </w:p>
        </w:tc>
        <w:tc>
          <w:tcPr>
            <w:tcW w:w="7474" w:type="dxa"/>
            <w:tcBorders>
              <w:top w:val="nil"/>
              <w:left w:val="nil"/>
              <w:bottom w:val="dotted" w:sz="4" w:space="0" w:color="auto"/>
              <w:right w:val="nil"/>
            </w:tcBorders>
            <w:shd w:val="clear" w:color="000000" w:fill="FFFFFF"/>
            <w:vAlign w:val="center"/>
          </w:tcPr>
          <w:p w14:paraId="679E82D6" w14:textId="7D2613A0" w:rsidR="005975CD" w:rsidRPr="00C111EA" w:rsidRDefault="005975CD" w:rsidP="001328BF">
            <w:pPr>
              <w:spacing w:after="0" w:line="240" w:lineRule="auto"/>
              <w:rPr>
                <w:sz w:val="20"/>
              </w:rPr>
            </w:pPr>
            <w:r>
              <w:rPr>
                <w:sz w:val="20"/>
              </w:rPr>
              <w:t xml:space="preserve">Uskutočniť </w:t>
            </w:r>
            <w:r w:rsidR="00040DE9">
              <w:rPr>
                <w:sz w:val="20"/>
              </w:rPr>
              <w:t xml:space="preserve">a zverejniť </w:t>
            </w:r>
            <w:r>
              <w:rPr>
                <w:sz w:val="20"/>
              </w:rPr>
              <w:t>výskum o príčinách a rizikových faktoroch predčasného ukončovania školskej dochádzky</w:t>
            </w:r>
          </w:p>
        </w:tc>
        <w:tc>
          <w:tcPr>
            <w:tcW w:w="1275" w:type="dxa"/>
            <w:tcBorders>
              <w:top w:val="nil"/>
              <w:left w:val="nil"/>
              <w:bottom w:val="dotted" w:sz="4" w:space="0" w:color="auto"/>
              <w:right w:val="nil"/>
            </w:tcBorders>
            <w:shd w:val="clear" w:color="000000" w:fill="FFFFFF"/>
            <w:vAlign w:val="center"/>
          </w:tcPr>
          <w:p w14:paraId="09426313" w14:textId="77777777" w:rsidR="005975CD" w:rsidRDefault="005975CD" w:rsidP="001328BF">
            <w:pPr>
              <w:spacing w:after="0" w:line="240" w:lineRule="auto"/>
              <w:jc w:val="left"/>
              <w:rPr>
                <w:rFonts w:eastAsia="Times New Roman" w:cs="Times New Roman"/>
                <w:color w:val="000000"/>
                <w:sz w:val="20"/>
                <w:lang w:eastAsia="sk-SK"/>
              </w:rPr>
            </w:pPr>
            <w:r>
              <w:rPr>
                <w:rFonts w:eastAsia="Times New Roman" w:cs="Times New Roman"/>
                <w:color w:val="000000"/>
                <w:sz w:val="20"/>
                <w:lang w:eastAsia="sk-SK"/>
              </w:rPr>
              <w:t>MŠVVaŠ</w:t>
            </w:r>
          </w:p>
        </w:tc>
      </w:tr>
      <w:tr w:rsidR="005975CD" w:rsidRPr="00893C52" w14:paraId="7BB06EDE" w14:textId="77777777" w:rsidTr="005975CD">
        <w:trPr>
          <w:trHeight w:val="476"/>
        </w:trPr>
        <w:tc>
          <w:tcPr>
            <w:tcW w:w="323" w:type="dxa"/>
            <w:tcBorders>
              <w:top w:val="single" w:sz="4" w:space="0" w:color="auto"/>
              <w:left w:val="nil"/>
              <w:bottom w:val="single" w:sz="4" w:space="0" w:color="auto"/>
              <w:right w:val="nil"/>
            </w:tcBorders>
            <w:shd w:val="clear" w:color="000000" w:fill="FFFFFF"/>
            <w:vAlign w:val="center"/>
            <w:hideMark/>
          </w:tcPr>
          <w:p w14:paraId="63DCB09D" w14:textId="77777777" w:rsidR="005975CD" w:rsidRPr="00893C52" w:rsidRDefault="005975CD" w:rsidP="001328BF">
            <w:pPr>
              <w:spacing w:after="0" w:line="240" w:lineRule="auto"/>
              <w:jc w:val="center"/>
              <w:rPr>
                <w:rFonts w:eastAsia="Times New Roman" w:cs="Times New Roman"/>
                <w:b/>
                <w:bCs/>
                <w:color w:val="000000"/>
                <w:sz w:val="20"/>
                <w:lang w:eastAsia="sk-SK"/>
              </w:rPr>
            </w:pPr>
            <w:r w:rsidRPr="00893C52">
              <w:rPr>
                <w:rFonts w:eastAsia="Times New Roman" w:cs="Times New Roman"/>
                <w:b/>
                <w:bCs/>
                <w:color w:val="000000"/>
                <w:sz w:val="20"/>
                <w:lang w:eastAsia="sk-SK"/>
              </w:rPr>
              <w:t> </w:t>
            </w:r>
          </w:p>
        </w:tc>
        <w:tc>
          <w:tcPr>
            <w:tcW w:w="7474" w:type="dxa"/>
            <w:tcBorders>
              <w:top w:val="single" w:sz="4" w:space="0" w:color="auto"/>
              <w:left w:val="nil"/>
              <w:bottom w:val="single" w:sz="4" w:space="0" w:color="auto"/>
              <w:right w:val="nil"/>
            </w:tcBorders>
            <w:shd w:val="clear" w:color="000000" w:fill="FFFFFF"/>
            <w:vAlign w:val="center"/>
            <w:hideMark/>
          </w:tcPr>
          <w:p w14:paraId="247073F1" w14:textId="77777777" w:rsidR="005975CD" w:rsidRPr="00893C52" w:rsidRDefault="005975CD" w:rsidP="001328BF">
            <w:pPr>
              <w:spacing w:after="0" w:line="240" w:lineRule="auto"/>
              <w:rPr>
                <w:rFonts w:eastAsia="Times New Roman" w:cs="Times New Roman"/>
                <w:b/>
                <w:bCs/>
                <w:color w:val="000000"/>
                <w:sz w:val="20"/>
                <w:lang w:eastAsia="sk-SK"/>
              </w:rPr>
            </w:pPr>
            <w:r w:rsidRPr="00893C52">
              <w:rPr>
                <w:rFonts w:eastAsia="Times New Roman" w:cs="Times New Roman"/>
                <w:b/>
                <w:bCs/>
                <w:color w:val="000000"/>
                <w:sz w:val="20"/>
                <w:lang w:eastAsia="sk-SK"/>
              </w:rPr>
              <w:t>Politiky trhu práce a sociálne politiky</w:t>
            </w:r>
          </w:p>
        </w:tc>
        <w:tc>
          <w:tcPr>
            <w:tcW w:w="1275" w:type="dxa"/>
            <w:tcBorders>
              <w:top w:val="single" w:sz="4" w:space="0" w:color="auto"/>
              <w:left w:val="nil"/>
              <w:bottom w:val="single" w:sz="4" w:space="0" w:color="auto"/>
              <w:right w:val="nil"/>
            </w:tcBorders>
            <w:shd w:val="clear" w:color="000000" w:fill="FFFFFF"/>
            <w:vAlign w:val="center"/>
            <w:hideMark/>
          </w:tcPr>
          <w:p w14:paraId="2D930195" w14:textId="77777777" w:rsidR="005975CD" w:rsidRPr="00893C52" w:rsidRDefault="005975CD" w:rsidP="001328BF">
            <w:pPr>
              <w:spacing w:after="0" w:line="240" w:lineRule="auto"/>
              <w:jc w:val="left"/>
              <w:rPr>
                <w:rFonts w:eastAsia="Times New Roman" w:cs="Times New Roman"/>
                <w:b/>
                <w:bCs/>
                <w:color w:val="000000"/>
                <w:sz w:val="20"/>
                <w:lang w:eastAsia="sk-SK"/>
              </w:rPr>
            </w:pPr>
            <w:r w:rsidRPr="00893C52">
              <w:rPr>
                <w:rFonts w:eastAsia="Times New Roman" w:cs="Times New Roman"/>
                <w:b/>
                <w:bCs/>
                <w:color w:val="000000"/>
                <w:sz w:val="20"/>
                <w:lang w:eastAsia="sk-SK"/>
              </w:rPr>
              <w:t> </w:t>
            </w:r>
          </w:p>
        </w:tc>
      </w:tr>
      <w:tr w:rsidR="005975CD" w:rsidRPr="00893C52" w14:paraId="67EB0AE3" w14:textId="77777777" w:rsidTr="005975CD">
        <w:trPr>
          <w:trHeight w:val="238"/>
        </w:trPr>
        <w:tc>
          <w:tcPr>
            <w:tcW w:w="323" w:type="dxa"/>
            <w:tcBorders>
              <w:top w:val="single" w:sz="4" w:space="0" w:color="auto"/>
              <w:left w:val="nil"/>
              <w:bottom w:val="dotted" w:sz="4" w:space="0" w:color="auto"/>
              <w:right w:val="nil"/>
            </w:tcBorders>
            <w:shd w:val="clear" w:color="000000" w:fill="FFFFFF"/>
            <w:vAlign w:val="center"/>
            <w:hideMark/>
          </w:tcPr>
          <w:p w14:paraId="3A9A2E43" w14:textId="6F5B4961" w:rsidR="005975CD" w:rsidRPr="00893C52" w:rsidRDefault="000A3730" w:rsidP="001328BF">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7</w:t>
            </w:r>
          </w:p>
        </w:tc>
        <w:tc>
          <w:tcPr>
            <w:tcW w:w="7474" w:type="dxa"/>
            <w:tcBorders>
              <w:top w:val="single" w:sz="4" w:space="0" w:color="auto"/>
              <w:left w:val="nil"/>
              <w:bottom w:val="dotted" w:sz="4" w:space="0" w:color="auto"/>
              <w:right w:val="nil"/>
            </w:tcBorders>
            <w:shd w:val="clear" w:color="000000" w:fill="FFFFFF"/>
            <w:vAlign w:val="center"/>
            <w:hideMark/>
          </w:tcPr>
          <w:p w14:paraId="47EDA4AB" w14:textId="6A7706EC" w:rsidR="005975CD" w:rsidRPr="00893C52" w:rsidRDefault="005975CD" w:rsidP="001328BF">
            <w:pPr>
              <w:spacing w:after="0" w:line="240" w:lineRule="auto"/>
              <w:rPr>
                <w:rFonts w:eastAsia="Times New Roman" w:cs="Times New Roman"/>
                <w:color w:val="000000"/>
                <w:sz w:val="20"/>
                <w:lang w:eastAsia="sk-SK"/>
              </w:rPr>
            </w:pPr>
            <w:r>
              <w:rPr>
                <w:sz w:val="20"/>
              </w:rPr>
              <w:t>Zaviesť profiláciu</w:t>
            </w:r>
            <w:r w:rsidRPr="00D3189B">
              <w:rPr>
                <w:sz w:val="20"/>
              </w:rPr>
              <w:t xml:space="preserve"> u</w:t>
            </w:r>
            <w:r>
              <w:rPr>
                <w:sz w:val="20"/>
              </w:rPr>
              <w:t>chádzačov o zamestnanie založenú</w:t>
            </w:r>
            <w:r w:rsidRPr="00D3189B">
              <w:rPr>
                <w:sz w:val="20"/>
              </w:rPr>
              <w:t xml:space="preserve"> na kvantitatívnych metódach</w:t>
            </w:r>
          </w:p>
        </w:tc>
        <w:tc>
          <w:tcPr>
            <w:tcW w:w="1275" w:type="dxa"/>
            <w:tcBorders>
              <w:top w:val="single" w:sz="4" w:space="0" w:color="auto"/>
              <w:left w:val="nil"/>
              <w:bottom w:val="dotted" w:sz="4" w:space="0" w:color="auto"/>
              <w:right w:val="nil"/>
            </w:tcBorders>
            <w:shd w:val="clear" w:color="000000" w:fill="FFFFFF"/>
            <w:vAlign w:val="center"/>
            <w:hideMark/>
          </w:tcPr>
          <w:p w14:paraId="770A79AE" w14:textId="77777777" w:rsidR="005975CD" w:rsidRPr="00893C52" w:rsidRDefault="005975CD" w:rsidP="001328BF">
            <w:pPr>
              <w:spacing w:after="0" w:line="240" w:lineRule="auto"/>
              <w:jc w:val="left"/>
              <w:rPr>
                <w:rFonts w:eastAsia="Times New Roman" w:cs="Times New Roman"/>
                <w:color w:val="000000"/>
                <w:sz w:val="20"/>
                <w:lang w:eastAsia="sk-SK"/>
              </w:rPr>
            </w:pPr>
            <w:r>
              <w:rPr>
                <w:rFonts w:eastAsia="Times New Roman" w:cs="Times New Roman"/>
                <w:color w:val="000000"/>
                <w:sz w:val="20"/>
                <w:lang w:eastAsia="sk-SK"/>
              </w:rPr>
              <w:t>MPSVaR</w:t>
            </w:r>
          </w:p>
        </w:tc>
      </w:tr>
      <w:tr w:rsidR="005975CD" w:rsidRPr="00893C52" w14:paraId="1CDE54B4" w14:textId="77777777" w:rsidTr="005975CD">
        <w:trPr>
          <w:trHeight w:val="238"/>
        </w:trPr>
        <w:tc>
          <w:tcPr>
            <w:tcW w:w="323" w:type="dxa"/>
            <w:tcBorders>
              <w:top w:val="dotted" w:sz="4" w:space="0" w:color="auto"/>
              <w:left w:val="nil"/>
              <w:bottom w:val="dotted" w:sz="4" w:space="0" w:color="auto"/>
              <w:right w:val="nil"/>
            </w:tcBorders>
            <w:shd w:val="clear" w:color="000000" w:fill="FFFFFF"/>
            <w:vAlign w:val="center"/>
          </w:tcPr>
          <w:p w14:paraId="3F0D8EFD" w14:textId="50FDE526" w:rsidR="005975CD" w:rsidRDefault="000A3730" w:rsidP="001328BF">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8</w:t>
            </w:r>
          </w:p>
        </w:tc>
        <w:tc>
          <w:tcPr>
            <w:tcW w:w="7474" w:type="dxa"/>
            <w:tcBorders>
              <w:top w:val="dotted" w:sz="4" w:space="0" w:color="auto"/>
              <w:left w:val="nil"/>
              <w:bottom w:val="dotted" w:sz="4" w:space="0" w:color="auto"/>
              <w:right w:val="nil"/>
            </w:tcBorders>
            <w:shd w:val="clear" w:color="000000" w:fill="FFFFFF"/>
            <w:vAlign w:val="center"/>
          </w:tcPr>
          <w:p w14:paraId="063368AA" w14:textId="73E7344D" w:rsidR="005975CD" w:rsidRDefault="00040DE9" w:rsidP="00040DE9">
            <w:pPr>
              <w:spacing w:after="0" w:line="240" w:lineRule="auto"/>
              <w:rPr>
                <w:sz w:val="20"/>
              </w:rPr>
            </w:pPr>
            <w:r>
              <w:rPr>
                <w:rFonts w:eastAsia="Times New Roman" w:cs="Times New Roman"/>
                <w:color w:val="000000"/>
                <w:sz w:val="20"/>
                <w:lang w:eastAsia="sk-SK"/>
              </w:rPr>
              <w:t>Vypracovať a zverejniť hodnotenie</w:t>
            </w:r>
            <w:r w:rsidR="005975CD" w:rsidRPr="00CA2564">
              <w:rPr>
                <w:rFonts w:eastAsia="Times New Roman" w:cs="Times New Roman"/>
                <w:color w:val="000000"/>
                <w:sz w:val="20"/>
                <w:lang w:eastAsia="sk-SK"/>
              </w:rPr>
              <w:t xml:space="preserve"> </w:t>
            </w:r>
            <w:r>
              <w:rPr>
                <w:rFonts w:eastAsia="Times New Roman" w:cs="Times New Roman"/>
                <w:color w:val="000000"/>
                <w:sz w:val="20"/>
                <w:lang w:eastAsia="sk-SK"/>
              </w:rPr>
              <w:t>dopadov</w:t>
            </w:r>
            <w:r w:rsidR="005975CD" w:rsidRPr="00CA2564">
              <w:rPr>
                <w:rFonts w:eastAsia="Times New Roman" w:cs="Times New Roman"/>
                <w:color w:val="000000"/>
                <w:sz w:val="20"/>
                <w:lang w:eastAsia="sk-SK"/>
              </w:rPr>
              <w:t xml:space="preserve"> zákona o sociálnej ekonomi</w:t>
            </w:r>
            <w:r w:rsidR="005975CD">
              <w:rPr>
                <w:rFonts w:eastAsia="Times New Roman" w:cs="Times New Roman"/>
                <w:color w:val="000000"/>
                <w:sz w:val="20"/>
                <w:lang w:eastAsia="sk-SK"/>
              </w:rPr>
              <w:t>ke po 3 rokoch od jeho vstupu do platnosti</w:t>
            </w:r>
          </w:p>
        </w:tc>
        <w:tc>
          <w:tcPr>
            <w:tcW w:w="1275" w:type="dxa"/>
            <w:tcBorders>
              <w:top w:val="dotted" w:sz="4" w:space="0" w:color="auto"/>
              <w:left w:val="nil"/>
              <w:bottom w:val="dotted" w:sz="4" w:space="0" w:color="auto"/>
              <w:right w:val="nil"/>
            </w:tcBorders>
            <w:shd w:val="clear" w:color="000000" w:fill="FFFFFF"/>
            <w:vAlign w:val="center"/>
          </w:tcPr>
          <w:p w14:paraId="0C6514DF" w14:textId="77777777" w:rsidR="005975CD" w:rsidRPr="00893C52" w:rsidRDefault="005975CD" w:rsidP="001328BF">
            <w:pPr>
              <w:spacing w:after="0" w:line="240" w:lineRule="auto"/>
              <w:jc w:val="left"/>
              <w:rPr>
                <w:rFonts w:eastAsia="Times New Roman" w:cs="Times New Roman"/>
                <w:color w:val="000000"/>
                <w:sz w:val="20"/>
                <w:lang w:eastAsia="sk-SK"/>
              </w:rPr>
            </w:pPr>
            <w:r>
              <w:rPr>
                <w:rFonts w:eastAsia="Times New Roman" w:cs="Times New Roman"/>
                <w:color w:val="000000"/>
                <w:sz w:val="20"/>
                <w:lang w:eastAsia="sk-SK"/>
              </w:rPr>
              <w:t>MPSVaR</w:t>
            </w:r>
          </w:p>
        </w:tc>
      </w:tr>
      <w:tr w:rsidR="005975CD" w:rsidRPr="00893C52" w14:paraId="0C06D7F2" w14:textId="77777777" w:rsidTr="005975CD">
        <w:trPr>
          <w:trHeight w:val="238"/>
        </w:trPr>
        <w:tc>
          <w:tcPr>
            <w:tcW w:w="323" w:type="dxa"/>
            <w:tcBorders>
              <w:top w:val="dotted" w:sz="4" w:space="0" w:color="auto"/>
              <w:left w:val="nil"/>
              <w:bottom w:val="dotted" w:sz="4" w:space="0" w:color="auto"/>
              <w:right w:val="nil"/>
            </w:tcBorders>
            <w:shd w:val="clear" w:color="000000" w:fill="FFFFFF"/>
            <w:vAlign w:val="center"/>
          </w:tcPr>
          <w:p w14:paraId="18643EE1" w14:textId="191B5304" w:rsidR="005975CD" w:rsidRDefault="000A3730" w:rsidP="001328BF">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9</w:t>
            </w:r>
          </w:p>
        </w:tc>
        <w:tc>
          <w:tcPr>
            <w:tcW w:w="7474" w:type="dxa"/>
            <w:tcBorders>
              <w:top w:val="dotted" w:sz="4" w:space="0" w:color="auto"/>
              <w:left w:val="nil"/>
              <w:bottom w:val="dotted" w:sz="4" w:space="0" w:color="auto"/>
              <w:right w:val="nil"/>
            </w:tcBorders>
            <w:shd w:val="clear" w:color="000000" w:fill="FFFFFF"/>
            <w:vAlign w:val="center"/>
          </w:tcPr>
          <w:p w14:paraId="58CD0E23" w14:textId="02FF5A92" w:rsidR="005975CD" w:rsidRPr="00740E8E" w:rsidRDefault="005975CD" w:rsidP="001328BF">
            <w:pPr>
              <w:spacing w:after="0" w:line="240" w:lineRule="auto"/>
              <w:rPr>
                <w:rFonts w:eastAsia="Times New Roman" w:cs="Times New Roman"/>
                <w:color w:val="000000"/>
                <w:sz w:val="20"/>
                <w:lang w:eastAsia="sk-SK"/>
              </w:rPr>
            </w:pPr>
            <w:r>
              <w:rPr>
                <w:rFonts w:eastAsia="Times New Roman" w:cs="Times New Roman"/>
                <w:color w:val="000000"/>
                <w:sz w:val="20"/>
                <w:lang w:eastAsia="sk-SK"/>
              </w:rPr>
              <w:t>Vypracovať a zverejniť a</w:t>
            </w:r>
            <w:r w:rsidRPr="00740E8E">
              <w:rPr>
                <w:rFonts w:eastAsia="Times New Roman" w:cs="Times New Roman"/>
                <w:color w:val="000000"/>
                <w:sz w:val="20"/>
                <w:lang w:eastAsia="sk-SK"/>
              </w:rPr>
              <w:t>nalýz</w:t>
            </w:r>
            <w:r>
              <w:rPr>
                <w:rFonts w:eastAsia="Times New Roman" w:cs="Times New Roman"/>
                <w:color w:val="000000"/>
                <w:sz w:val="20"/>
                <w:lang w:eastAsia="sk-SK"/>
              </w:rPr>
              <w:t>u</w:t>
            </w:r>
            <w:r w:rsidRPr="00740E8E">
              <w:rPr>
                <w:rFonts w:eastAsia="Times New Roman" w:cs="Times New Roman"/>
                <w:color w:val="000000"/>
                <w:sz w:val="20"/>
                <w:lang w:eastAsia="sk-SK"/>
              </w:rPr>
              <w:t xml:space="preserve"> </w:t>
            </w:r>
            <w:r w:rsidRPr="00740E8E">
              <w:rPr>
                <w:sz w:val="20"/>
              </w:rPr>
              <w:t>využívania možnosti podmieňovať plnú výšku dávky v hmotnej núdzi výkonom verejnoprospešných činností</w:t>
            </w:r>
          </w:p>
        </w:tc>
        <w:tc>
          <w:tcPr>
            <w:tcW w:w="1275" w:type="dxa"/>
            <w:tcBorders>
              <w:top w:val="dotted" w:sz="4" w:space="0" w:color="auto"/>
              <w:left w:val="nil"/>
              <w:bottom w:val="dotted" w:sz="4" w:space="0" w:color="auto"/>
              <w:right w:val="nil"/>
            </w:tcBorders>
            <w:shd w:val="clear" w:color="000000" w:fill="FFFFFF"/>
            <w:vAlign w:val="center"/>
          </w:tcPr>
          <w:p w14:paraId="2E0835DB" w14:textId="77777777" w:rsidR="005975CD" w:rsidRDefault="005975CD" w:rsidP="001328BF">
            <w:pPr>
              <w:spacing w:after="0" w:line="240" w:lineRule="auto"/>
              <w:jc w:val="left"/>
              <w:rPr>
                <w:rFonts w:eastAsia="Times New Roman" w:cs="Times New Roman"/>
                <w:color w:val="000000"/>
                <w:sz w:val="20"/>
                <w:lang w:eastAsia="sk-SK"/>
              </w:rPr>
            </w:pPr>
            <w:r>
              <w:rPr>
                <w:rFonts w:eastAsia="Times New Roman" w:cs="Times New Roman"/>
                <w:color w:val="000000"/>
                <w:sz w:val="20"/>
                <w:lang w:eastAsia="sk-SK"/>
              </w:rPr>
              <w:t>MPSVaR</w:t>
            </w:r>
          </w:p>
        </w:tc>
      </w:tr>
      <w:tr w:rsidR="005975CD" w:rsidRPr="00893C52" w14:paraId="38EDFED0" w14:textId="77777777" w:rsidTr="008041DF">
        <w:trPr>
          <w:trHeight w:val="238"/>
        </w:trPr>
        <w:tc>
          <w:tcPr>
            <w:tcW w:w="323" w:type="dxa"/>
            <w:tcBorders>
              <w:top w:val="dotted" w:sz="4" w:space="0" w:color="auto"/>
              <w:left w:val="nil"/>
              <w:bottom w:val="single" w:sz="4" w:space="0" w:color="auto"/>
              <w:right w:val="nil"/>
            </w:tcBorders>
            <w:shd w:val="clear" w:color="000000" w:fill="FFFFFF"/>
            <w:vAlign w:val="center"/>
            <w:hideMark/>
          </w:tcPr>
          <w:p w14:paraId="1AEB52C2" w14:textId="58CEC9D4" w:rsidR="005975CD" w:rsidRPr="00893C52" w:rsidRDefault="000A3730" w:rsidP="001328BF">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10</w:t>
            </w:r>
          </w:p>
        </w:tc>
        <w:tc>
          <w:tcPr>
            <w:tcW w:w="7474" w:type="dxa"/>
            <w:tcBorders>
              <w:top w:val="dotted" w:sz="4" w:space="0" w:color="auto"/>
              <w:left w:val="nil"/>
              <w:bottom w:val="single" w:sz="4" w:space="0" w:color="auto"/>
              <w:right w:val="nil"/>
            </w:tcBorders>
            <w:shd w:val="clear" w:color="000000" w:fill="FFFFFF"/>
            <w:vAlign w:val="center"/>
            <w:hideMark/>
          </w:tcPr>
          <w:p w14:paraId="50D2913A" w14:textId="747831FD" w:rsidR="005975CD" w:rsidRPr="00893C52" w:rsidRDefault="005975CD">
            <w:pPr>
              <w:spacing w:after="0" w:line="240" w:lineRule="auto"/>
              <w:rPr>
                <w:rFonts w:eastAsia="Times New Roman" w:cs="Times New Roman"/>
                <w:color w:val="000000"/>
                <w:sz w:val="20"/>
                <w:lang w:eastAsia="sk-SK"/>
              </w:rPr>
            </w:pPr>
            <w:r>
              <w:rPr>
                <w:rFonts w:eastAsia="Times New Roman" w:cs="Times New Roman"/>
                <w:color w:val="000000"/>
                <w:sz w:val="20"/>
                <w:lang w:eastAsia="sk-SK"/>
              </w:rPr>
              <w:t>Vypracovať a zverejniť analýzu systému invalidného poistenia</w:t>
            </w:r>
          </w:p>
        </w:tc>
        <w:tc>
          <w:tcPr>
            <w:tcW w:w="1275" w:type="dxa"/>
            <w:tcBorders>
              <w:top w:val="dotted" w:sz="4" w:space="0" w:color="auto"/>
              <w:left w:val="nil"/>
              <w:bottom w:val="single" w:sz="4" w:space="0" w:color="auto"/>
              <w:right w:val="nil"/>
            </w:tcBorders>
            <w:shd w:val="clear" w:color="000000" w:fill="FFFFFF"/>
            <w:vAlign w:val="center"/>
            <w:hideMark/>
          </w:tcPr>
          <w:p w14:paraId="3D27BF98" w14:textId="4222B145" w:rsidR="005975CD" w:rsidRPr="00893C52" w:rsidRDefault="005975CD" w:rsidP="001328BF">
            <w:pPr>
              <w:spacing w:after="0" w:line="240" w:lineRule="auto"/>
              <w:jc w:val="left"/>
              <w:rPr>
                <w:rFonts w:eastAsia="Times New Roman" w:cs="Times New Roman"/>
                <w:color w:val="000000"/>
                <w:sz w:val="20"/>
                <w:lang w:eastAsia="sk-SK"/>
              </w:rPr>
            </w:pPr>
            <w:r>
              <w:rPr>
                <w:rFonts w:eastAsia="Times New Roman" w:cs="Times New Roman"/>
                <w:color w:val="000000"/>
                <w:sz w:val="20"/>
                <w:lang w:eastAsia="sk-SK"/>
              </w:rPr>
              <w:t>MF, MPSVaR</w:t>
            </w:r>
          </w:p>
        </w:tc>
      </w:tr>
      <w:tr w:rsidR="008041DF" w:rsidRPr="00893C52" w14:paraId="00FDE159" w14:textId="77777777" w:rsidTr="008041DF">
        <w:trPr>
          <w:trHeight w:val="476"/>
        </w:trPr>
        <w:tc>
          <w:tcPr>
            <w:tcW w:w="323" w:type="dxa"/>
            <w:tcBorders>
              <w:top w:val="single" w:sz="4" w:space="0" w:color="auto"/>
              <w:left w:val="nil"/>
              <w:bottom w:val="single" w:sz="4" w:space="0" w:color="auto"/>
              <w:right w:val="nil"/>
            </w:tcBorders>
            <w:shd w:val="clear" w:color="000000" w:fill="FFFFFF"/>
            <w:vAlign w:val="center"/>
          </w:tcPr>
          <w:p w14:paraId="257BDDD6" w14:textId="77777777" w:rsidR="008041DF" w:rsidRDefault="008041DF" w:rsidP="001328BF">
            <w:pPr>
              <w:spacing w:after="0" w:line="240" w:lineRule="auto"/>
              <w:jc w:val="center"/>
              <w:rPr>
                <w:rFonts w:eastAsia="Times New Roman" w:cs="Times New Roman"/>
                <w:color w:val="000000"/>
                <w:sz w:val="20"/>
                <w:lang w:eastAsia="sk-SK"/>
              </w:rPr>
            </w:pPr>
          </w:p>
        </w:tc>
        <w:tc>
          <w:tcPr>
            <w:tcW w:w="7474" w:type="dxa"/>
            <w:tcBorders>
              <w:top w:val="single" w:sz="4" w:space="0" w:color="auto"/>
              <w:left w:val="nil"/>
              <w:bottom w:val="single" w:sz="4" w:space="0" w:color="auto"/>
              <w:right w:val="nil"/>
            </w:tcBorders>
            <w:shd w:val="clear" w:color="000000" w:fill="FFFFFF"/>
            <w:vAlign w:val="center"/>
          </w:tcPr>
          <w:p w14:paraId="1BFA3183" w14:textId="0ACAB0A7" w:rsidR="008041DF" w:rsidRPr="008041DF" w:rsidRDefault="008041DF">
            <w:pPr>
              <w:spacing w:after="0" w:line="240" w:lineRule="auto"/>
              <w:rPr>
                <w:rFonts w:eastAsia="Times New Roman" w:cs="Times New Roman"/>
                <w:b/>
                <w:color w:val="000000"/>
                <w:sz w:val="20"/>
                <w:lang w:eastAsia="sk-SK"/>
              </w:rPr>
            </w:pPr>
            <w:r>
              <w:rPr>
                <w:rFonts w:eastAsia="Times New Roman" w:cs="Times New Roman"/>
                <w:b/>
                <w:color w:val="000000"/>
                <w:sz w:val="20"/>
                <w:lang w:eastAsia="sk-SK"/>
              </w:rPr>
              <w:t>Všeobecné</w:t>
            </w:r>
          </w:p>
        </w:tc>
        <w:tc>
          <w:tcPr>
            <w:tcW w:w="1275" w:type="dxa"/>
            <w:tcBorders>
              <w:top w:val="single" w:sz="4" w:space="0" w:color="auto"/>
              <w:left w:val="nil"/>
              <w:bottom w:val="single" w:sz="4" w:space="0" w:color="auto"/>
              <w:right w:val="nil"/>
            </w:tcBorders>
            <w:shd w:val="clear" w:color="000000" w:fill="FFFFFF"/>
            <w:vAlign w:val="center"/>
          </w:tcPr>
          <w:p w14:paraId="684A2F1A" w14:textId="77777777" w:rsidR="008041DF" w:rsidRDefault="008041DF" w:rsidP="001328BF">
            <w:pPr>
              <w:spacing w:after="0" w:line="240" w:lineRule="auto"/>
              <w:jc w:val="left"/>
              <w:rPr>
                <w:rFonts w:eastAsia="Times New Roman" w:cs="Times New Roman"/>
                <w:color w:val="000000"/>
                <w:sz w:val="20"/>
                <w:lang w:eastAsia="sk-SK"/>
              </w:rPr>
            </w:pPr>
          </w:p>
        </w:tc>
      </w:tr>
      <w:tr w:rsidR="008041DF" w:rsidRPr="00893C52" w14:paraId="59F4F585" w14:textId="77777777" w:rsidTr="008041DF">
        <w:trPr>
          <w:trHeight w:val="238"/>
        </w:trPr>
        <w:tc>
          <w:tcPr>
            <w:tcW w:w="323" w:type="dxa"/>
            <w:tcBorders>
              <w:top w:val="single" w:sz="4" w:space="0" w:color="auto"/>
              <w:left w:val="nil"/>
              <w:bottom w:val="single" w:sz="4" w:space="0" w:color="auto"/>
              <w:right w:val="nil"/>
            </w:tcBorders>
            <w:shd w:val="clear" w:color="000000" w:fill="FFFFFF"/>
            <w:vAlign w:val="center"/>
          </w:tcPr>
          <w:p w14:paraId="598E6788" w14:textId="7C816348" w:rsidR="008041DF" w:rsidRDefault="008041DF" w:rsidP="001328BF">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11</w:t>
            </w:r>
          </w:p>
        </w:tc>
        <w:tc>
          <w:tcPr>
            <w:tcW w:w="7474" w:type="dxa"/>
            <w:tcBorders>
              <w:top w:val="single" w:sz="4" w:space="0" w:color="auto"/>
              <w:left w:val="nil"/>
              <w:bottom w:val="single" w:sz="4" w:space="0" w:color="auto"/>
              <w:right w:val="nil"/>
            </w:tcBorders>
            <w:shd w:val="clear" w:color="000000" w:fill="FFFFFF"/>
            <w:vAlign w:val="center"/>
          </w:tcPr>
          <w:p w14:paraId="4726BC0D" w14:textId="5D77A476" w:rsidR="008041DF" w:rsidRDefault="008041DF">
            <w:pPr>
              <w:spacing w:after="0" w:line="240" w:lineRule="auto"/>
              <w:rPr>
                <w:rFonts w:eastAsia="Times New Roman" w:cs="Times New Roman"/>
                <w:color w:val="000000"/>
                <w:sz w:val="20"/>
                <w:lang w:eastAsia="sk-SK"/>
              </w:rPr>
            </w:pPr>
            <w:r w:rsidRPr="00463469">
              <w:rPr>
                <w:sz w:val="20"/>
              </w:rPr>
              <w:t>Priebežne vyhodnocovať efektívnosť existujúcich a navrhovaných nástrojov inklúzie a zverejňovať výsledky</w:t>
            </w:r>
          </w:p>
        </w:tc>
        <w:tc>
          <w:tcPr>
            <w:tcW w:w="1275" w:type="dxa"/>
            <w:tcBorders>
              <w:top w:val="single" w:sz="4" w:space="0" w:color="auto"/>
              <w:left w:val="nil"/>
              <w:bottom w:val="single" w:sz="4" w:space="0" w:color="auto"/>
              <w:right w:val="nil"/>
            </w:tcBorders>
            <w:shd w:val="clear" w:color="000000" w:fill="FFFFFF"/>
            <w:vAlign w:val="center"/>
          </w:tcPr>
          <w:p w14:paraId="34090AED" w14:textId="1CE7B4F0" w:rsidR="008041DF" w:rsidRDefault="008041DF" w:rsidP="001328BF">
            <w:pPr>
              <w:spacing w:after="0" w:line="240" w:lineRule="auto"/>
              <w:jc w:val="left"/>
              <w:rPr>
                <w:rFonts w:eastAsia="Times New Roman" w:cs="Times New Roman"/>
                <w:color w:val="000000"/>
                <w:sz w:val="20"/>
                <w:lang w:eastAsia="sk-SK"/>
              </w:rPr>
            </w:pPr>
            <w:r>
              <w:rPr>
                <w:rFonts w:eastAsia="Times New Roman" w:cs="Times New Roman"/>
                <w:color w:val="000000"/>
                <w:sz w:val="20"/>
                <w:lang w:eastAsia="sk-SK"/>
              </w:rPr>
              <w:t>MF</w:t>
            </w:r>
          </w:p>
        </w:tc>
      </w:tr>
    </w:tbl>
    <w:bookmarkEnd w:id="34"/>
    <w:p w14:paraId="61812225" w14:textId="77777777" w:rsidR="004F1697" w:rsidRPr="00231BE7" w:rsidRDefault="004F1697" w:rsidP="004F1697">
      <w:pPr>
        <w:spacing w:before="200"/>
        <w:rPr>
          <w:bCs/>
          <w:color w:val="0070C0"/>
        </w:rPr>
      </w:pPr>
      <w:r w:rsidRPr="00231BE7">
        <w:rPr>
          <w:bCs/>
          <w:color w:val="0070C0"/>
        </w:rPr>
        <w:t>Vzdelávanie</w:t>
      </w:r>
    </w:p>
    <w:bookmarkEnd w:id="32"/>
    <w:p w14:paraId="706B9341" w14:textId="6CECC382" w:rsidR="004F1697" w:rsidRDefault="004F1697" w:rsidP="004F1697">
      <w:pPr>
        <w:spacing w:before="160"/>
        <w:rPr>
          <w:rFonts w:eastAsia="Times New Roman" w:cs="Times New Roman"/>
          <w:bCs/>
          <w:color w:val="000000"/>
          <w:szCs w:val="22"/>
          <w:lang w:eastAsia="sk-SK"/>
        </w:rPr>
      </w:pPr>
      <w:r w:rsidRPr="00690205">
        <w:rPr>
          <w:b/>
          <w:bCs/>
          <w:szCs w:val="22"/>
        </w:rPr>
        <w:t xml:space="preserve">1. Opatrenie: </w:t>
      </w:r>
      <w:r>
        <w:rPr>
          <w:rFonts w:eastAsia="Times New Roman" w:cs="Times New Roman"/>
          <w:b/>
          <w:color w:val="000000"/>
          <w:szCs w:val="22"/>
          <w:lang w:eastAsia="sk-SK"/>
        </w:rPr>
        <w:t>Pravidelne m</w:t>
      </w:r>
      <w:r w:rsidRPr="00690205">
        <w:rPr>
          <w:rFonts w:eastAsia="Times New Roman" w:cs="Times New Roman"/>
          <w:b/>
          <w:color w:val="000000"/>
          <w:szCs w:val="22"/>
          <w:lang w:eastAsia="sk-SK"/>
        </w:rPr>
        <w:t xml:space="preserve">onitorovať dopad zavedenia povinného predprimárneho vzdelávania na účasť detí zo </w:t>
      </w:r>
      <w:r w:rsidR="00A1145F">
        <w:rPr>
          <w:rFonts w:eastAsia="Times New Roman" w:cs="Times New Roman"/>
          <w:b/>
          <w:color w:val="000000"/>
          <w:szCs w:val="22"/>
          <w:lang w:eastAsia="sk-SK"/>
        </w:rPr>
        <w:t>sociálne znevýhodneného prostredia, MRK a detí so zdravotným znevýhodnením</w:t>
      </w:r>
      <w:r w:rsidR="00083EDF">
        <w:rPr>
          <w:rFonts w:eastAsia="Times New Roman" w:cs="Times New Roman"/>
          <w:b/>
          <w:color w:val="000000"/>
          <w:szCs w:val="22"/>
          <w:lang w:eastAsia="sk-SK"/>
        </w:rPr>
        <w:t xml:space="preserve"> (ZZ)</w:t>
      </w:r>
      <w:r w:rsidRPr="00690205">
        <w:rPr>
          <w:rFonts w:eastAsia="Times New Roman" w:cs="Times New Roman"/>
          <w:b/>
          <w:color w:val="000000"/>
          <w:szCs w:val="22"/>
          <w:lang w:eastAsia="sk-SK"/>
        </w:rPr>
        <w:t xml:space="preserve">. </w:t>
      </w:r>
      <w:r w:rsidRPr="00690205">
        <w:rPr>
          <w:rFonts w:eastAsia="Times New Roman" w:cs="Times New Roman"/>
          <w:bCs/>
          <w:color w:val="000000"/>
          <w:szCs w:val="22"/>
          <w:lang w:eastAsia="sk-SK"/>
        </w:rPr>
        <w:t>Okrem vyčísľovania kvantitatívneho dopadu v zmysle vyčísľovania miery zaškolenosti a participácie znevýhodnených detí na povinnom predprimárnom vzdelávaní bude potrebné v teréne sledovať</w:t>
      </w:r>
      <w:r w:rsidR="00427F58">
        <w:rPr>
          <w:rFonts w:eastAsia="Times New Roman" w:cs="Times New Roman"/>
          <w:bCs/>
          <w:color w:val="000000"/>
          <w:szCs w:val="22"/>
          <w:lang w:eastAsia="sk-SK"/>
        </w:rPr>
        <w:t>,</w:t>
      </w:r>
      <w:r w:rsidRPr="00690205">
        <w:rPr>
          <w:rFonts w:eastAsia="Times New Roman" w:cs="Times New Roman"/>
          <w:bCs/>
          <w:color w:val="000000"/>
          <w:szCs w:val="22"/>
          <w:lang w:eastAsia="sk-SK"/>
        </w:rPr>
        <w:t xml:space="preserve"> či a akým bariéram budú</w:t>
      </w:r>
      <w:r w:rsidR="00427F58">
        <w:rPr>
          <w:rFonts w:eastAsia="Times New Roman" w:cs="Times New Roman"/>
          <w:bCs/>
          <w:color w:val="000000"/>
          <w:szCs w:val="22"/>
          <w:lang w:eastAsia="sk-SK"/>
        </w:rPr>
        <w:t>,</w:t>
      </w:r>
      <w:r w:rsidRPr="00690205">
        <w:rPr>
          <w:rFonts w:eastAsia="Times New Roman" w:cs="Times New Roman"/>
          <w:bCs/>
          <w:color w:val="000000"/>
          <w:szCs w:val="22"/>
          <w:lang w:eastAsia="sk-SK"/>
        </w:rPr>
        <w:t xml:space="preserve"> či už v prístupe alebo v procese vzdelávania</w:t>
      </w:r>
      <w:r w:rsidR="00427F58">
        <w:rPr>
          <w:rFonts w:eastAsia="Times New Roman" w:cs="Times New Roman"/>
          <w:bCs/>
          <w:color w:val="000000"/>
          <w:szCs w:val="22"/>
          <w:lang w:eastAsia="sk-SK"/>
        </w:rPr>
        <w:t>,</w:t>
      </w:r>
      <w:r w:rsidRPr="00690205">
        <w:rPr>
          <w:rFonts w:eastAsia="Times New Roman" w:cs="Times New Roman"/>
          <w:bCs/>
          <w:color w:val="000000"/>
          <w:szCs w:val="22"/>
          <w:lang w:eastAsia="sk-SK"/>
        </w:rPr>
        <w:t xml:space="preserve"> čeliť zákonní zástupcovia</w:t>
      </w:r>
      <w:r>
        <w:rPr>
          <w:rFonts w:eastAsia="Times New Roman" w:cs="Times New Roman"/>
          <w:bCs/>
          <w:color w:val="000000"/>
          <w:szCs w:val="22"/>
          <w:lang w:eastAsia="sk-SK"/>
        </w:rPr>
        <w:t xml:space="preserve"> znevýhodnených detí, materské školy a ich zriaďovatelia. </w:t>
      </w:r>
      <w:r w:rsidR="00E33D02" w:rsidRPr="00CE5A4C">
        <w:rPr>
          <w:bCs/>
        </w:rPr>
        <w:t>V prípade detí so ZZ bude tiež dôležité sledovať, či nedochádza k ich vyčleňovaniu do individuálneho (domáceho) vzdelávania a v nadväznosti na to prehodnotiť plánované zrušenie prípravného ročníka pre žiakov so ZZ. Ak totiž časť detí so ZZ žiadne predprimárne vzdelávanie neabsolvuje, bude žiaduce prípravný ročník zachovať.</w:t>
      </w:r>
      <w:r w:rsidR="00E33D02">
        <w:rPr>
          <w:bCs/>
        </w:rPr>
        <w:t xml:space="preserve"> </w:t>
      </w:r>
      <w:r>
        <w:rPr>
          <w:rFonts w:eastAsia="Times New Roman" w:cs="Times New Roman"/>
          <w:bCs/>
          <w:color w:val="000000"/>
          <w:szCs w:val="22"/>
          <w:lang w:eastAsia="sk-SK"/>
        </w:rPr>
        <w:t xml:space="preserve">Tento monitoring by mohol realizovať Úrad splnomocnenca vlády pre rómske komunity, Komisárka pre osoby so zdravotným postihnutím, mimovládne organizácie alebo vysoké školy. </w:t>
      </w:r>
    </w:p>
    <w:p w14:paraId="69FD2197" w14:textId="3DB6BF2E" w:rsidR="004F1697" w:rsidRDefault="004F1697" w:rsidP="004F1697">
      <w:pPr>
        <w:spacing w:before="160"/>
      </w:pPr>
      <w:r>
        <w:rPr>
          <w:b/>
          <w:bCs/>
          <w:szCs w:val="22"/>
        </w:rPr>
        <w:t>2</w:t>
      </w:r>
      <w:r w:rsidRPr="009C4363">
        <w:rPr>
          <w:b/>
          <w:bCs/>
          <w:szCs w:val="22"/>
        </w:rPr>
        <w:t xml:space="preserve">. Opatrenie: </w:t>
      </w:r>
      <w:r>
        <w:rPr>
          <w:b/>
          <w:szCs w:val="22"/>
        </w:rPr>
        <w:t xml:space="preserve">Uskutočniť </w:t>
      </w:r>
      <w:r w:rsidR="00040DE9">
        <w:rPr>
          <w:b/>
          <w:szCs w:val="22"/>
        </w:rPr>
        <w:t xml:space="preserve">a zverejniť </w:t>
      </w:r>
      <w:r>
        <w:rPr>
          <w:b/>
          <w:szCs w:val="22"/>
        </w:rPr>
        <w:t>v</w:t>
      </w:r>
      <w:r w:rsidRPr="009C4363">
        <w:rPr>
          <w:b/>
          <w:szCs w:val="22"/>
        </w:rPr>
        <w:t xml:space="preserve">ýskum o obsahu prípravy budúcich učiteľov </w:t>
      </w:r>
      <w:r w:rsidR="00A1145F">
        <w:rPr>
          <w:b/>
          <w:szCs w:val="22"/>
        </w:rPr>
        <w:t>materských škôl</w:t>
      </w:r>
      <w:r w:rsidRPr="009C4363">
        <w:rPr>
          <w:b/>
          <w:szCs w:val="22"/>
        </w:rPr>
        <w:t xml:space="preserve"> na stredných školách</w:t>
      </w:r>
      <w:r w:rsidR="0070047D">
        <w:rPr>
          <w:b/>
          <w:szCs w:val="22"/>
        </w:rPr>
        <w:t xml:space="preserve">. </w:t>
      </w:r>
      <w:r w:rsidRPr="006513E9">
        <w:rPr>
          <w:szCs w:val="22"/>
        </w:rPr>
        <w:t>Cieľom opatrenie j</w:t>
      </w:r>
      <w:r w:rsidR="00427F58">
        <w:rPr>
          <w:szCs w:val="22"/>
        </w:rPr>
        <w:t>e</w:t>
      </w:r>
      <w:r w:rsidRPr="006513E9">
        <w:rPr>
          <w:szCs w:val="22"/>
        </w:rPr>
        <w:t xml:space="preserve"> vyhodnotiť</w:t>
      </w:r>
      <w:r w:rsidR="00427F58">
        <w:rPr>
          <w:szCs w:val="22"/>
        </w:rPr>
        <w:t>,</w:t>
      </w:r>
      <w:r w:rsidRPr="006513E9">
        <w:rPr>
          <w:szCs w:val="22"/>
        </w:rPr>
        <w:t xml:space="preserve"> či a do akej miery sú učitelia pripravovaní na vzdelávanie </w:t>
      </w:r>
      <w:r w:rsidR="00A1145F">
        <w:rPr>
          <w:szCs w:val="22"/>
        </w:rPr>
        <w:t xml:space="preserve">znevýhodnených </w:t>
      </w:r>
      <w:r w:rsidRPr="006513E9">
        <w:rPr>
          <w:szCs w:val="22"/>
        </w:rPr>
        <w:t xml:space="preserve">detí, resp. na vzdelávanie detí s rôznorodými potrebami. </w:t>
      </w:r>
      <w:r w:rsidRPr="006513E9">
        <w:t xml:space="preserve">Pripravenosť učiteľov na vzdelávanie </w:t>
      </w:r>
      <w:r w:rsidR="00A1145F">
        <w:t xml:space="preserve">znevýhodnených </w:t>
      </w:r>
      <w:r w:rsidRPr="006513E9">
        <w:t xml:space="preserve">detí možno považovať za kľúčové </w:t>
      </w:r>
      <w:r w:rsidRPr="006513E9">
        <w:rPr>
          <w:bCs/>
        </w:rPr>
        <w:t>pre</w:t>
      </w:r>
      <w:r w:rsidRPr="006513E9">
        <w:t xml:space="preserve"> efektívne uplatňovanie individuálneho prís</w:t>
      </w:r>
      <w:r>
        <w:t>tupu vo vzdelávaní</w:t>
      </w:r>
      <w:r w:rsidR="00B957FD">
        <w:t xml:space="preserve"> (podkapitoly </w:t>
      </w:r>
      <w:r w:rsidR="00B957FD">
        <w:fldChar w:fldCharType="begin"/>
      </w:r>
      <w:r w:rsidR="00B957FD">
        <w:instrText xml:space="preserve"> REF _Ref25310222 \r \h </w:instrText>
      </w:r>
      <w:r w:rsidR="00B957FD">
        <w:fldChar w:fldCharType="separate"/>
      </w:r>
      <w:r w:rsidR="00FA29AF">
        <w:t>5.1</w:t>
      </w:r>
      <w:r w:rsidR="00B957FD">
        <w:fldChar w:fldCharType="end"/>
      </w:r>
      <w:r w:rsidR="00B957FD">
        <w:t xml:space="preserve"> a </w:t>
      </w:r>
      <w:r w:rsidR="00B957FD">
        <w:fldChar w:fldCharType="begin"/>
      </w:r>
      <w:r w:rsidR="00B957FD">
        <w:instrText xml:space="preserve"> REF _Ref25756903 \r \h </w:instrText>
      </w:r>
      <w:r w:rsidR="00B957FD">
        <w:fldChar w:fldCharType="separate"/>
      </w:r>
      <w:r w:rsidR="00FA29AF">
        <w:t>6.1</w:t>
      </w:r>
      <w:r w:rsidR="00B957FD">
        <w:fldChar w:fldCharType="end"/>
      </w:r>
      <w:r w:rsidR="00B957FD">
        <w:t>)</w:t>
      </w:r>
      <w:r w:rsidRPr="00261266">
        <w:t>.</w:t>
      </w:r>
    </w:p>
    <w:p w14:paraId="5A108A7B" w14:textId="551A871E" w:rsidR="004F1697" w:rsidRDefault="004F1697" w:rsidP="004F1697">
      <w:pPr>
        <w:spacing w:before="160"/>
        <w:rPr>
          <w:bCs/>
        </w:rPr>
      </w:pPr>
      <w:r>
        <w:rPr>
          <w:b/>
          <w:bCs/>
          <w:szCs w:val="22"/>
        </w:rPr>
        <w:t>3</w:t>
      </w:r>
      <w:r w:rsidRPr="007868EC">
        <w:rPr>
          <w:b/>
          <w:bCs/>
          <w:szCs w:val="22"/>
        </w:rPr>
        <w:t xml:space="preserve">. Opatrenie: </w:t>
      </w:r>
      <w:r>
        <w:rPr>
          <w:b/>
          <w:szCs w:val="22"/>
        </w:rPr>
        <w:t xml:space="preserve">Uskutočniť </w:t>
      </w:r>
      <w:r w:rsidR="00040DE9">
        <w:rPr>
          <w:b/>
          <w:szCs w:val="22"/>
        </w:rPr>
        <w:t xml:space="preserve">a zverejniť </w:t>
      </w:r>
      <w:r>
        <w:rPr>
          <w:b/>
          <w:szCs w:val="22"/>
        </w:rPr>
        <w:t>a</w:t>
      </w:r>
      <w:r w:rsidRPr="007868EC">
        <w:rPr>
          <w:b/>
          <w:szCs w:val="22"/>
        </w:rPr>
        <w:t xml:space="preserve">udit dostupných a potrebných pomôcok pre deti </w:t>
      </w:r>
      <w:r w:rsidR="00DF7C6D">
        <w:rPr>
          <w:b/>
          <w:szCs w:val="22"/>
        </w:rPr>
        <w:t xml:space="preserve">a žiakov </w:t>
      </w:r>
      <w:r w:rsidRPr="007868EC">
        <w:rPr>
          <w:b/>
          <w:szCs w:val="22"/>
        </w:rPr>
        <w:t xml:space="preserve">so </w:t>
      </w:r>
      <w:r w:rsidR="00A1145F">
        <w:rPr>
          <w:b/>
          <w:szCs w:val="22"/>
        </w:rPr>
        <w:t>zdravotným znevýhodnením</w:t>
      </w:r>
      <w:r w:rsidRPr="007868EC">
        <w:rPr>
          <w:b/>
          <w:szCs w:val="22"/>
        </w:rPr>
        <w:t xml:space="preserve">. </w:t>
      </w:r>
      <w:r w:rsidRPr="007868EC">
        <w:rPr>
          <w:bCs/>
        </w:rPr>
        <w:t xml:space="preserve">Deti so </w:t>
      </w:r>
      <w:r w:rsidR="00A1145F">
        <w:rPr>
          <w:bCs/>
        </w:rPr>
        <w:t>zdravotným znevýhodnením</w:t>
      </w:r>
      <w:r w:rsidR="00A1145F" w:rsidRPr="007868EC">
        <w:rPr>
          <w:bCs/>
        </w:rPr>
        <w:t xml:space="preserve"> </w:t>
      </w:r>
      <w:r w:rsidRPr="007868EC">
        <w:rPr>
          <w:bCs/>
        </w:rPr>
        <w:t>majú právo využívať špeciálne multimediálne, didaktické a kompenzačné pomôcky. Dostupné</w:t>
      </w:r>
      <w:r w:rsidRPr="00427E2F">
        <w:rPr>
          <w:bCs/>
        </w:rPr>
        <w:t xml:space="preserve"> dáta neumožňujú povedať, do akej miery sú pomôcky v</w:t>
      </w:r>
      <w:r>
        <w:rPr>
          <w:bCs/>
        </w:rPr>
        <w:t> </w:t>
      </w:r>
      <w:r w:rsidR="00A1145F">
        <w:rPr>
          <w:bCs/>
        </w:rPr>
        <w:t>školách</w:t>
      </w:r>
      <w:r>
        <w:rPr>
          <w:bCs/>
        </w:rPr>
        <w:t xml:space="preserve">, respektíve v Centrách špeciálno-pedagogického poradenstva </w:t>
      </w:r>
      <w:r w:rsidRPr="00427E2F">
        <w:rPr>
          <w:bCs/>
        </w:rPr>
        <w:t xml:space="preserve">dostupné a ani či alebo aký objem zdrojov </w:t>
      </w:r>
      <w:r w:rsidR="00A1145F">
        <w:rPr>
          <w:bCs/>
        </w:rPr>
        <w:t xml:space="preserve">je </w:t>
      </w:r>
      <w:r w:rsidRPr="00427E2F">
        <w:rPr>
          <w:bCs/>
        </w:rPr>
        <w:t xml:space="preserve">do ich nákupu </w:t>
      </w:r>
      <w:r w:rsidR="00A1145F">
        <w:rPr>
          <w:bCs/>
        </w:rPr>
        <w:t>investovaný</w:t>
      </w:r>
      <w:r w:rsidR="00E8004B">
        <w:rPr>
          <w:bCs/>
        </w:rPr>
        <w:t xml:space="preserve"> (podkapitola </w:t>
      </w:r>
      <w:r w:rsidR="00E8004B">
        <w:rPr>
          <w:bCs/>
        </w:rPr>
        <w:fldChar w:fldCharType="begin"/>
      </w:r>
      <w:r w:rsidR="00E8004B">
        <w:rPr>
          <w:bCs/>
        </w:rPr>
        <w:instrText xml:space="preserve"> REF _Ref25756903 \r \h </w:instrText>
      </w:r>
      <w:r w:rsidR="00E8004B">
        <w:rPr>
          <w:bCs/>
        </w:rPr>
      </w:r>
      <w:r w:rsidR="00E8004B">
        <w:rPr>
          <w:bCs/>
        </w:rPr>
        <w:fldChar w:fldCharType="separate"/>
      </w:r>
      <w:r w:rsidR="00FA29AF">
        <w:rPr>
          <w:bCs/>
        </w:rPr>
        <w:t>6.1</w:t>
      </w:r>
      <w:r w:rsidR="00E8004B">
        <w:rPr>
          <w:bCs/>
        </w:rPr>
        <w:fldChar w:fldCharType="end"/>
      </w:r>
      <w:r w:rsidR="00E8004B">
        <w:rPr>
          <w:bCs/>
        </w:rPr>
        <w:t>)</w:t>
      </w:r>
      <w:r w:rsidRPr="00427E2F">
        <w:rPr>
          <w:bCs/>
        </w:rPr>
        <w:t>.</w:t>
      </w:r>
    </w:p>
    <w:p w14:paraId="6668AF18" w14:textId="1581294D" w:rsidR="00DF7C6D" w:rsidRPr="00452DBC" w:rsidRDefault="00DF7C6D" w:rsidP="004F1697">
      <w:pPr>
        <w:spacing w:before="160"/>
        <w:rPr>
          <w:b/>
          <w:bCs/>
          <w:szCs w:val="22"/>
        </w:rPr>
      </w:pPr>
      <w:r>
        <w:rPr>
          <w:b/>
          <w:bCs/>
          <w:szCs w:val="22"/>
        </w:rPr>
        <w:lastRenderedPageBreak/>
        <w:t>4</w:t>
      </w:r>
      <w:r w:rsidRPr="007868EC">
        <w:rPr>
          <w:b/>
          <w:bCs/>
          <w:szCs w:val="22"/>
        </w:rPr>
        <w:t>. Opatrenie:</w:t>
      </w:r>
      <w:r>
        <w:rPr>
          <w:b/>
          <w:bCs/>
          <w:szCs w:val="22"/>
        </w:rPr>
        <w:t xml:space="preserve"> </w:t>
      </w:r>
      <w:r w:rsidRPr="00B215B2">
        <w:rPr>
          <w:b/>
          <w:bCs/>
        </w:rPr>
        <w:t xml:space="preserve">Realizovať </w:t>
      </w:r>
      <w:r w:rsidR="00040DE9">
        <w:rPr>
          <w:b/>
          <w:bCs/>
        </w:rPr>
        <w:t xml:space="preserve">a zverejniť </w:t>
      </w:r>
      <w:r w:rsidRPr="00B215B2">
        <w:rPr>
          <w:b/>
          <w:bCs/>
        </w:rPr>
        <w:t xml:space="preserve">výskumy zamerané na vzdelávanie žiakov so </w:t>
      </w:r>
      <w:r w:rsidR="00A35D40">
        <w:rPr>
          <w:b/>
          <w:bCs/>
        </w:rPr>
        <w:t>zdravotným znevýhodnením</w:t>
      </w:r>
      <w:r w:rsidRPr="00B215B2">
        <w:rPr>
          <w:b/>
          <w:bCs/>
        </w:rPr>
        <w:t xml:space="preserve">. </w:t>
      </w:r>
      <w:r w:rsidRPr="00B215B2">
        <w:t>Napriek tomu, že žiaci s mentálnym postihnutím a žiaci s poruchami u</w:t>
      </w:r>
      <w:r w:rsidR="000E2EAA">
        <w:t>čenia sú najpočetnejšou skupin</w:t>
      </w:r>
      <w:r w:rsidR="00083EDF">
        <w:t>ou žiakov so zdravotným znevýhodnením</w:t>
      </w:r>
      <w:r w:rsidRPr="00B215B2">
        <w:t xml:space="preserve"> v základnom školstve, výskumy zamerané na metódy a formy ich vzdelávania</w:t>
      </w:r>
      <w:r w:rsidR="000E2EAA">
        <w:t>,</w:t>
      </w:r>
      <w:r w:rsidRPr="00B215B2">
        <w:t xml:space="preserve"> ako aj na ich akademické a sociálne výsledky sa nerealizujú</w:t>
      </w:r>
      <w:r>
        <w:t xml:space="preserve">. </w:t>
      </w:r>
      <w:r w:rsidR="00A35D40">
        <w:rPr>
          <w:bCs/>
        </w:rPr>
        <w:t>T</w:t>
      </w:r>
      <w:r>
        <w:rPr>
          <w:bCs/>
        </w:rPr>
        <w:t>akmer neexistujúce sú výskumy zameran</w:t>
      </w:r>
      <w:r w:rsidR="000E2EAA">
        <w:rPr>
          <w:bCs/>
        </w:rPr>
        <w:t>é</w:t>
      </w:r>
      <w:r>
        <w:rPr>
          <w:bCs/>
        </w:rPr>
        <w:t xml:space="preserve"> na vzdelávanie žiakov s poruchami aktivity a pozornosti, s narušenou komunikačnou schopnosťou alebo s autizmom, a to napriek tomu, že ich počet v ostatných rokov výrazne stúpa. Pre zlepšovanie vzdelávacích výsledkov týchto žiakov je nevyhnutné lepšie a hlbšie poznať </w:t>
      </w:r>
      <w:r>
        <w:t>situáciu ohľadom ich potrieb a (ne)účinných metód a foriem ich vzdelávania</w:t>
      </w:r>
      <w:r w:rsidR="00A35D40">
        <w:t xml:space="preserve"> (podkapitola </w:t>
      </w:r>
      <w:r w:rsidR="00A35D40">
        <w:fldChar w:fldCharType="begin"/>
      </w:r>
      <w:r w:rsidR="00A35D40">
        <w:instrText xml:space="preserve"> REF _Ref25743147 \r \h </w:instrText>
      </w:r>
      <w:r w:rsidR="00A35D40">
        <w:fldChar w:fldCharType="separate"/>
      </w:r>
      <w:r w:rsidR="00FA29AF">
        <w:t>6.2</w:t>
      </w:r>
      <w:r w:rsidR="00A35D40">
        <w:fldChar w:fldCharType="end"/>
      </w:r>
      <w:r w:rsidR="00A35D40">
        <w:t>)</w:t>
      </w:r>
      <w:r>
        <w:t>.</w:t>
      </w:r>
    </w:p>
    <w:p w14:paraId="637AE49D" w14:textId="62866F53" w:rsidR="00BC6F57" w:rsidRDefault="000A3730" w:rsidP="004F1697">
      <w:pPr>
        <w:spacing w:before="160"/>
        <w:rPr>
          <w:bCs/>
          <w:szCs w:val="22"/>
        </w:rPr>
      </w:pPr>
      <w:r>
        <w:rPr>
          <w:b/>
          <w:bCs/>
          <w:szCs w:val="22"/>
        </w:rPr>
        <w:t>5</w:t>
      </w:r>
      <w:r w:rsidR="00BC6F57" w:rsidRPr="007868EC">
        <w:rPr>
          <w:b/>
          <w:bCs/>
          <w:szCs w:val="22"/>
        </w:rPr>
        <w:t xml:space="preserve">. Opatrenie: </w:t>
      </w:r>
      <w:r w:rsidR="00BC6F57" w:rsidRPr="007868EC">
        <w:rPr>
          <w:b/>
          <w:szCs w:val="22"/>
        </w:rPr>
        <w:t>Vyhodnocovať dopady celoplošných dotácií na obedy</w:t>
      </w:r>
      <w:r w:rsidR="00C91037">
        <w:rPr>
          <w:b/>
          <w:szCs w:val="22"/>
        </w:rPr>
        <w:t xml:space="preserve"> na vzdelávacie výstupy a</w:t>
      </w:r>
      <w:r w:rsidR="00040DE9">
        <w:rPr>
          <w:b/>
          <w:szCs w:val="22"/>
        </w:rPr>
        <w:t> </w:t>
      </w:r>
      <w:r w:rsidR="00C91037">
        <w:rPr>
          <w:b/>
          <w:szCs w:val="22"/>
        </w:rPr>
        <w:t>výsledky</w:t>
      </w:r>
      <w:r w:rsidR="00040DE9">
        <w:rPr>
          <w:b/>
          <w:szCs w:val="22"/>
        </w:rPr>
        <w:t xml:space="preserve"> a zverejniť výsledky</w:t>
      </w:r>
      <w:r w:rsidR="00BC6F57" w:rsidRPr="007868EC">
        <w:rPr>
          <w:b/>
          <w:szCs w:val="22"/>
        </w:rPr>
        <w:t xml:space="preserve">. </w:t>
      </w:r>
      <w:r w:rsidR="00BC6F57" w:rsidRPr="007868EC">
        <w:rPr>
          <w:bCs/>
          <w:szCs w:val="22"/>
        </w:rPr>
        <w:t>V súlade s príkladmi dobrej praxe zo</w:t>
      </w:r>
      <w:r w:rsidR="00BC6F57" w:rsidRPr="00427E2F">
        <w:rPr>
          <w:bCs/>
          <w:szCs w:val="22"/>
        </w:rPr>
        <w:t xml:space="preserve"> zahraničia sa predpokladá, že prístup k celoplošným dotáciám na obedy pre všetkých predškolákov v materských školách a pre všetkých žiakov základných škôl bude mať pozitívny vplyv na vzdelávacie výstupy a výsledky žiakov</w:t>
      </w:r>
      <w:r w:rsidR="00E8004B">
        <w:rPr>
          <w:bCs/>
          <w:szCs w:val="22"/>
        </w:rPr>
        <w:t xml:space="preserve"> (podkapitoly </w:t>
      </w:r>
      <w:r w:rsidR="00E8004B">
        <w:rPr>
          <w:bCs/>
          <w:szCs w:val="22"/>
        </w:rPr>
        <w:fldChar w:fldCharType="begin"/>
      </w:r>
      <w:r w:rsidR="00E8004B">
        <w:rPr>
          <w:bCs/>
          <w:szCs w:val="22"/>
        </w:rPr>
        <w:instrText xml:space="preserve"> REF _Ref25310222 \r \h </w:instrText>
      </w:r>
      <w:r w:rsidR="00E8004B">
        <w:rPr>
          <w:bCs/>
          <w:szCs w:val="22"/>
        </w:rPr>
      </w:r>
      <w:r w:rsidR="00E8004B">
        <w:rPr>
          <w:bCs/>
          <w:szCs w:val="22"/>
        </w:rPr>
        <w:fldChar w:fldCharType="separate"/>
      </w:r>
      <w:r w:rsidR="00FA29AF">
        <w:rPr>
          <w:bCs/>
          <w:szCs w:val="22"/>
        </w:rPr>
        <w:t>5.1</w:t>
      </w:r>
      <w:r w:rsidR="00E8004B">
        <w:rPr>
          <w:bCs/>
          <w:szCs w:val="22"/>
        </w:rPr>
        <w:fldChar w:fldCharType="end"/>
      </w:r>
      <w:r w:rsidR="00E8004B">
        <w:rPr>
          <w:bCs/>
          <w:szCs w:val="22"/>
        </w:rPr>
        <w:t xml:space="preserve"> a </w:t>
      </w:r>
      <w:r w:rsidR="00E8004B">
        <w:rPr>
          <w:bCs/>
          <w:szCs w:val="22"/>
        </w:rPr>
        <w:fldChar w:fldCharType="begin"/>
      </w:r>
      <w:r w:rsidR="00E8004B">
        <w:rPr>
          <w:bCs/>
          <w:szCs w:val="22"/>
        </w:rPr>
        <w:instrText xml:space="preserve"> REF _Ref25652405 \r \h </w:instrText>
      </w:r>
      <w:r w:rsidR="00E8004B">
        <w:rPr>
          <w:bCs/>
          <w:szCs w:val="22"/>
        </w:rPr>
      </w:r>
      <w:r w:rsidR="00E8004B">
        <w:rPr>
          <w:bCs/>
          <w:szCs w:val="22"/>
        </w:rPr>
        <w:fldChar w:fldCharType="separate"/>
      </w:r>
      <w:r w:rsidR="00FA29AF">
        <w:rPr>
          <w:bCs/>
          <w:szCs w:val="22"/>
        </w:rPr>
        <w:t>5.2</w:t>
      </w:r>
      <w:r w:rsidR="00E8004B">
        <w:rPr>
          <w:bCs/>
          <w:szCs w:val="22"/>
        </w:rPr>
        <w:fldChar w:fldCharType="end"/>
      </w:r>
      <w:r w:rsidR="00E8004B">
        <w:rPr>
          <w:bCs/>
          <w:szCs w:val="22"/>
        </w:rPr>
        <w:t>)</w:t>
      </w:r>
      <w:r w:rsidR="00BC6F57" w:rsidRPr="00427E2F">
        <w:rPr>
          <w:bCs/>
          <w:szCs w:val="22"/>
        </w:rPr>
        <w:t>. Vyhodnocovanie dopadu predpokladá zber a vyhodnocovanie kvantitatívnych ako aj kvalitatívnych dát týkajúcich sa žiakov a mal by mu predchádzať aj monitoring implementácie opatrenia na úrovni zriaďovateľov a škôl.</w:t>
      </w:r>
    </w:p>
    <w:p w14:paraId="21F22F2F" w14:textId="53E9F06D" w:rsidR="00DD4541" w:rsidRPr="0054746A" w:rsidRDefault="000A3730" w:rsidP="00DD4541">
      <w:pPr>
        <w:spacing w:before="160"/>
        <w:rPr>
          <w:bCs/>
          <w:szCs w:val="22"/>
        </w:rPr>
      </w:pPr>
      <w:r>
        <w:rPr>
          <w:b/>
          <w:bCs/>
          <w:szCs w:val="22"/>
        </w:rPr>
        <w:t>6</w:t>
      </w:r>
      <w:r w:rsidR="00DD4541" w:rsidRPr="00B20F58">
        <w:rPr>
          <w:b/>
          <w:bCs/>
          <w:szCs w:val="22"/>
        </w:rPr>
        <w:t xml:space="preserve">. Opatrenie: </w:t>
      </w:r>
      <w:r w:rsidR="00D21CD8">
        <w:rPr>
          <w:b/>
          <w:bCs/>
          <w:szCs w:val="22"/>
        </w:rPr>
        <w:t xml:space="preserve">Uskutočniť </w:t>
      </w:r>
      <w:r w:rsidR="00040DE9">
        <w:rPr>
          <w:b/>
          <w:bCs/>
          <w:szCs w:val="22"/>
        </w:rPr>
        <w:t xml:space="preserve">a zverejniť </w:t>
      </w:r>
      <w:r w:rsidR="00D21CD8">
        <w:rPr>
          <w:b/>
          <w:bCs/>
          <w:szCs w:val="22"/>
        </w:rPr>
        <w:t>v</w:t>
      </w:r>
      <w:r w:rsidR="00DD4541" w:rsidRPr="00B20F58">
        <w:rPr>
          <w:b/>
          <w:bCs/>
          <w:szCs w:val="22"/>
        </w:rPr>
        <w:t xml:space="preserve">ýskum o príčinách </w:t>
      </w:r>
      <w:r w:rsidR="00C91037">
        <w:rPr>
          <w:b/>
          <w:bCs/>
          <w:szCs w:val="22"/>
        </w:rPr>
        <w:t>a rizikových faktoroch</w:t>
      </w:r>
      <w:r w:rsidR="00C91037" w:rsidRPr="00B20F58">
        <w:rPr>
          <w:b/>
          <w:bCs/>
          <w:szCs w:val="22"/>
        </w:rPr>
        <w:t xml:space="preserve"> </w:t>
      </w:r>
      <w:r w:rsidR="00DD4541" w:rsidRPr="00B20F58">
        <w:rPr>
          <w:b/>
          <w:bCs/>
          <w:szCs w:val="22"/>
        </w:rPr>
        <w:t xml:space="preserve">predčasného ukončovania školskej dochádzky. </w:t>
      </w:r>
      <w:r w:rsidR="00DD4541">
        <w:t>Pre efektívne riešenie problému neustále sa zvyšujúceho počtu žiakov s predčasne ukončenou školskou dochádzkou je nevyhnutné</w:t>
      </w:r>
      <w:r w:rsidR="00DD4541" w:rsidRPr="007B2436">
        <w:t xml:space="preserve"> </w:t>
      </w:r>
      <w:r w:rsidR="00725359">
        <w:t xml:space="preserve">preventívne </w:t>
      </w:r>
      <w:r w:rsidR="00C91037">
        <w:t>identifikovať individuálne, systémové a širšie kontextuálne faktory zapríčiňujúce predčasné ukončovanie školskej dochádzky. Identifikácia faktorov umožní lepšie cieliť a následne aj vyhodnocovať účinnosť individualizovaných intervencií „šitých na mieru“</w:t>
      </w:r>
      <w:r w:rsidR="00E8004B">
        <w:t xml:space="preserve"> (podkapitoly </w:t>
      </w:r>
      <w:r w:rsidR="00493265">
        <w:fldChar w:fldCharType="begin"/>
      </w:r>
      <w:r w:rsidR="00493265">
        <w:instrText xml:space="preserve"> REF _Ref34380112 \r \h </w:instrText>
      </w:r>
      <w:r w:rsidR="00493265">
        <w:fldChar w:fldCharType="separate"/>
      </w:r>
      <w:r w:rsidR="00FA29AF">
        <w:t>5.3</w:t>
      </w:r>
      <w:r w:rsidR="00493265">
        <w:fldChar w:fldCharType="end"/>
      </w:r>
      <w:r w:rsidR="00E8004B">
        <w:t xml:space="preserve"> a </w:t>
      </w:r>
      <w:r w:rsidR="00E8004B">
        <w:fldChar w:fldCharType="begin"/>
      </w:r>
      <w:r w:rsidR="00E8004B">
        <w:instrText xml:space="preserve"> REF _Ref25748816 \r \h </w:instrText>
      </w:r>
      <w:r w:rsidR="00E8004B">
        <w:fldChar w:fldCharType="separate"/>
      </w:r>
      <w:r w:rsidR="00FA29AF">
        <w:t>6.3</w:t>
      </w:r>
      <w:r w:rsidR="00E8004B">
        <w:fldChar w:fldCharType="end"/>
      </w:r>
      <w:r w:rsidR="00E8004B">
        <w:t>)</w:t>
      </w:r>
      <w:r w:rsidR="00DD4541" w:rsidRPr="007B2436">
        <w:t xml:space="preserve">. </w:t>
      </w:r>
    </w:p>
    <w:p w14:paraId="3207DFCD" w14:textId="46E70941" w:rsidR="004F1697" w:rsidRPr="00231BE7" w:rsidRDefault="004F1697" w:rsidP="004F1697">
      <w:pPr>
        <w:spacing w:before="200"/>
        <w:rPr>
          <w:bCs/>
          <w:color w:val="0070C0"/>
        </w:rPr>
      </w:pPr>
      <w:r w:rsidRPr="00231BE7">
        <w:rPr>
          <w:bCs/>
          <w:color w:val="0070C0"/>
        </w:rPr>
        <w:t>Politiky trhu práce a sociálne politiky</w:t>
      </w:r>
    </w:p>
    <w:p w14:paraId="6308E6D4" w14:textId="4ACE92EF" w:rsidR="00DD4541" w:rsidRDefault="000A3730" w:rsidP="00DD4541">
      <w:pPr>
        <w:spacing w:before="160"/>
      </w:pPr>
      <w:r>
        <w:rPr>
          <w:b/>
        </w:rPr>
        <w:t>7</w:t>
      </w:r>
      <w:r w:rsidR="00DD4541" w:rsidRPr="006E4CEC">
        <w:rPr>
          <w:b/>
        </w:rPr>
        <w:t xml:space="preserve">. </w:t>
      </w:r>
      <w:r w:rsidR="00DD4541" w:rsidRPr="0053317E">
        <w:rPr>
          <w:b/>
          <w:szCs w:val="22"/>
        </w:rPr>
        <w:t xml:space="preserve">Opatrenie: </w:t>
      </w:r>
      <w:r w:rsidR="00D21CD8">
        <w:rPr>
          <w:b/>
          <w:szCs w:val="22"/>
        </w:rPr>
        <w:t>Zaviesť p</w:t>
      </w:r>
      <w:r w:rsidR="00DD4541">
        <w:rPr>
          <w:b/>
          <w:szCs w:val="22"/>
        </w:rPr>
        <w:t>rofiláci</w:t>
      </w:r>
      <w:r w:rsidR="00D21CD8">
        <w:rPr>
          <w:b/>
          <w:szCs w:val="22"/>
        </w:rPr>
        <w:t>u</w:t>
      </w:r>
      <w:r w:rsidR="00DD4541">
        <w:rPr>
          <w:b/>
          <w:szCs w:val="22"/>
        </w:rPr>
        <w:t xml:space="preserve"> uchádzačov o zamestnanie založen</w:t>
      </w:r>
      <w:r w:rsidR="00D21CD8">
        <w:rPr>
          <w:b/>
          <w:szCs w:val="22"/>
        </w:rPr>
        <w:t>ú</w:t>
      </w:r>
      <w:r w:rsidR="00DD4541">
        <w:rPr>
          <w:b/>
          <w:szCs w:val="22"/>
        </w:rPr>
        <w:t xml:space="preserve"> na kvantitatívnych metódach. </w:t>
      </w:r>
      <w:r w:rsidR="00DD4541" w:rsidRPr="00D3189B">
        <w:t xml:space="preserve">Profilácia uchádzačov o zamestnanie na Slovensku </w:t>
      </w:r>
      <w:r w:rsidR="00123C3C">
        <w:t xml:space="preserve">nepoužíva </w:t>
      </w:r>
      <w:r w:rsidR="00DD4541" w:rsidRPr="00D3189B">
        <w:t>sofistikovan</w:t>
      </w:r>
      <w:r w:rsidR="00123C3C">
        <w:t>é</w:t>
      </w:r>
      <w:r w:rsidR="00DD4541" w:rsidRPr="00D3189B">
        <w:t xml:space="preserve"> štatistick</w:t>
      </w:r>
      <w:r w:rsidR="00123C3C">
        <w:t>é</w:t>
      </w:r>
      <w:r w:rsidR="00DD4541" w:rsidRPr="00D3189B">
        <w:t xml:space="preserve"> nástroj</w:t>
      </w:r>
      <w:r w:rsidR="00123C3C">
        <w:t>e. Skú</w:t>
      </w:r>
      <w:r w:rsidR="000E2EAA">
        <w:t>s</w:t>
      </w:r>
      <w:r w:rsidR="00123C3C">
        <w:t xml:space="preserve">enosti zo zahraničia pritom ukazujú, že takýto prístup vie </w:t>
      </w:r>
      <w:r w:rsidR="00DD4541">
        <w:t>presnejšie predpovedať dlhodobé zotrvanie uchádzača o zamestnanie v evidencii ako zákonom definované kritériá</w:t>
      </w:r>
      <w:r w:rsidR="00DD4541" w:rsidRPr="00CA2564">
        <w:t xml:space="preserve"> </w:t>
      </w:r>
      <w:r w:rsidR="00DD4541">
        <w:t>znevýhodnenia</w:t>
      </w:r>
      <w:r w:rsidR="008F7526">
        <w:t xml:space="preserve"> a tým pádom efektívnejšie cieliť pomoc na najviac znevýhodnených uchádzačov o zamestnanie</w:t>
      </w:r>
      <w:r w:rsidR="00DD4541">
        <w:t xml:space="preserve"> (podkapitola </w:t>
      </w:r>
      <w:r w:rsidR="00220E4A">
        <w:fldChar w:fldCharType="begin"/>
      </w:r>
      <w:r w:rsidR="00220E4A">
        <w:instrText xml:space="preserve"> REF _Ref25312196 \r \h </w:instrText>
      </w:r>
      <w:r w:rsidR="00220E4A">
        <w:fldChar w:fldCharType="separate"/>
      </w:r>
      <w:r w:rsidR="00FA29AF">
        <w:t>7.2</w:t>
      </w:r>
      <w:r w:rsidR="00220E4A">
        <w:fldChar w:fldCharType="end"/>
      </w:r>
      <w:r w:rsidR="00DD4541">
        <w:t>).</w:t>
      </w:r>
    </w:p>
    <w:p w14:paraId="678C3B2A" w14:textId="1F46AA9F" w:rsidR="00DD4541" w:rsidRPr="00A051A1" w:rsidRDefault="000A3730" w:rsidP="00DD4541">
      <w:r>
        <w:rPr>
          <w:b/>
        </w:rPr>
        <w:t>8</w:t>
      </w:r>
      <w:r w:rsidR="00DD4541" w:rsidRPr="00CA2564">
        <w:rPr>
          <w:b/>
        </w:rPr>
        <w:t xml:space="preserve">. Opatrenie: </w:t>
      </w:r>
      <w:r w:rsidR="00040DE9">
        <w:rPr>
          <w:b/>
        </w:rPr>
        <w:t>Vypracovať a zverejniť hodnotenie</w:t>
      </w:r>
      <w:r w:rsidR="00DD4541" w:rsidRPr="00CA2564">
        <w:rPr>
          <w:b/>
        </w:rPr>
        <w:t xml:space="preserve"> </w:t>
      </w:r>
      <w:r w:rsidR="00040DE9">
        <w:rPr>
          <w:b/>
        </w:rPr>
        <w:t>dopadov</w:t>
      </w:r>
      <w:r w:rsidR="00D21CD8">
        <w:rPr>
          <w:b/>
        </w:rPr>
        <w:t xml:space="preserve"> </w:t>
      </w:r>
      <w:r w:rsidR="00DD4541" w:rsidRPr="00CA2564">
        <w:rPr>
          <w:b/>
        </w:rPr>
        <w:t>zákona o sociálnej ekonomike</w:t>
      </w:r>
      <w:r w:rsidR="00555D41">
        <w:rPr>
          <w:b/>
        </w:rPr>
        <w:t xml:space="preserve"> po troch rokoch od jeho vstupu do platnosti</w:t>
      </w:r>
      <w:r w:rsidR="00DD4541">
        <w:rPr>
          <w:b/>
        </w:rPr>
        <w:t xml:space="preserve">. </w:t>
      </w:r>
      <w:r w:rsidR="00DD4541" w:rsidRPr="00CA2564">
        <w:t xml:space="preserve">Na hodnotenie zákona o sociálnej ekonomike je v tejto revízii priskoro, keďže nadobudol platnosť iba 1. mája 2018. Z pohľadu integrácie znevýhodnených uchádzačov o zamestnanie na trhu práce je však veľmi dôležité zistiť, či sa v praxi osvedčil zámer vytvoriť pomocou integračných sociálnych podnikov efektívny medzitrh práce, ktorý zvyšuje ich šance na uplatnenie sa na otvorenom trhu (podkapitola </w:t>
      </w:r>
      <w:r w:rsidR="00220E4A">
        <w:fldChar w:fldCharType="begin"/>
      </w:r>
      <w:r w:rsidR="00220E4A">
        <w:instrText xml:space="preserve"> REF _Ref25312203 \r \h </w:instrText>
      </w:r>
      <w:r w:rsidR="00220E4A">
        <w:fldChar w:fldCharType="separate"/>
      </w:r>
      <w:r w:rsidR="00FA29AF">
        <w:t>7.2</w:t>
      </w:r>
      <w:r w:rsidR="00220E4A">
        <w:fldChar w:fldCharType="end"/>
      </w:r>
      <w:r w:rsidR="00DD4541" w:rsidRPr="00CA2564">
        <w:t>). V rámci hodnotenia bytovej politiky na Slovensku je tiež potrebné zistiť, či zákon prispel k rozvoju neziskového sektora s</w:t>
      </w:r>
      <w:r w:rsidR="005F2A53">
        <w:t xml:space="preserve"> </w:t>
      </w:r>
      <w:r w:rsidR="00DD4541" w:rsidRPr="00CA2564">
        <w:t xml:space="preserve">nájomným </w:t>
      </w:r>
      <w:r w:rsidR="00DD4541" w:rsidRPr="00B75C23">
        <w:t xml:space="preserve">bývaním prostredníctvom sociálneho podniku bývania (podkapitola </w:t>
      </w:r>
      <w:r w:rsidR="00220E4A">
        <w:fldChar w:fldCharType="begin"/>
      </w:r>
      <w:r w:rsidR="00220E4A">
        <w:instrText xml:space="preserve"> REF _Ref25312211 \r \h </w:instrText>
      </w:r>
      <w:r w:rsidR="00220E4A">
        <w:fldChar w:fldCharType="separate"/>
      </w:r>
      <w:r w:rsidR="00FA29AF">
        <w:t>9.2</w:t>
      </w:r>
      <w:r w:rsidR="00220E4A">
        <w:fldChar w:fldCharType="end"/>
      </w:r>
      <w:r w:rsidR="00DD4541" w:rsidRPr="00B75C23">
        <w:t xml:space="preserve">). </w:t>
      </w:r>
    </w:p>
    <w:p w14:paraId="09C6A688" w14:textId="76B6F9BF" w:rsidR="00DD4541" w:rsidRPr="00984894" w:rsidRDefault="000A3730" w:rsidP="00DD4541">
      <w:pPr>
        <w:rPr>
          <w:b/>
          <w:bCs/>
          <w:sz w:val="20"/>
        </w:rPr>
      </w:pPr>
      <w:r>
        <w:rPr>
          <w:b/>
          <w:bCs/>
        </w:rPr>
        <w:t>9</w:t>
      </w:r>
      <w:r w:rsidR="00DD4541" w:rsidRPr="00740E8E">
        <w:rPr>
          <w:b/>
          <w:bCs/>
        </w:rPr>
        <w:t>. Opatrenie</w:t>
      </w:r>
      <w:r w:rsidR="00DD4541" w:rsidRPr="00FE237D">
        <w:rPr>
          <w:b/>
          <w:bCs/>
          <w:szCs w:val="22"/>
        </w:rPr>
        <w:t xml:space="preserve">: </w:t>
      </w:r>
      <w:r w:rsidR="00D21CD8">
        <w:rPr>
          <w:rFonts w:eastAsia="Times New Roman" w:cs="Times New Roman"/>
          <w:b/>
          <w:bCs/>
          <w:color w:val="000000"/>
          <w:szCs w:val="22"/>
          <w:lang w:eastAsia="sk-SK"/>
        </w:rPr>
        <w:t>Vypracovať a zverejniť a</w:t>
      </w:r>
      <w:r w:rsidR="00DD4541" w:rsidRPr="00D41517">
        <w:rPr>
          <w:rFonts w:eastAsia="Times New Roman" w:cs="Times New Roman"/>
          <w:b/>
          <w:bCs/>
          <w:color w:val="000000"/>
          <w:szCs w:val="22"/>
          <w:lang w:eastAsia="sk-SK"/>
        </w:rPr>
        <w:t>nalýz</w:t>
      </w:r>
      <w:r w:rsidR="00D21CD8">
        <w:rPr>
          <w:rFonts w:eastAsia="Times New Roman" w:cs="Times New Roman"/>
          <w:b/>
          <w:bCs/>
          <w:color w:val="000000"/>
          <w:szCs w:val="22"/>
          <w:lang w:eastAsia="sk-SK"/>
        </w:rPr>
        <w:t>u</w:t>
      </w:r>
      <w:r w:rsidR="00DD4541" w:rsidRPr="00D41517">
        <w:rPr>
          <w:rFonts w:eastAsia="Times New Roman" w:cs="Times New Roman"/>
          <w:b/>
          <w:bCs/>
          <w:color w:val="000000"/>
          <w:szCs w:val="22"/>
          <w:lang w:eastAsia="sk-SK"/>
        </w:rPr>
        <w:t xml:space="preserve"> </w:t>
      </w:r>
      <w:r w:rsidR="00DD4541" w:rsidRPr="00D41517">
        <w:rPr>
          <w:b/>
          <w:bCs/>
          <w:szCs w:val="22"/>
        </w:rPr>
        <w:t>využívania možnosti podmieňovať plnú výšku dávky v hmotnej núdzi výkonom verejnoprospešných činností.</w:t>
      </w:r>
      <w:r w:rsidR="00DD4541" w:rsidRPr="00740E8E">
        <w:rPr>
          <w:b/>
          <w:bCs/>
          <w:sz w:val="20"/>
        </w:rPr>
        <w:t xml:space="preserve"> </w:t>
      </w:r>
      <w:r w:rsidR="00DD4541">
        <w:t xml:space="preserve">Doposiaľ nebolo systematicky skúmané, do akej miery </w:t>
      </w:r>
      <w:r w:rsidR="00FB6E71">
        <w:t xml:space="preserve">obce túto možnosť využívajú, a či </w:t>
      </w:r>
      <w:r w:rsidR="00DD4541">
        <w:t xml:space="preserve">sa stáva, že </w:t>
      </w:r>
      <w:r w:rsidR="00123C3C">
        <w:t>býva využívaná</w:t>
      </w:r>
      <w:r w:rsidR="00DD4541">
        <w:t xml:space="preserve"> aj v prípad</w:t>
      </w:r>
      <w:r w:rsidR="00123C3C">
        <w:t>och</w:t>
      </w:r>
      <w:r w:rsidR="00DD4541">
        <w:t xml:space="preserve">, </w:t>
      </w:r>
      <w:r w:rsidR="00123C3C">
        <w:t>keď</w:t>
      </w:r>
      <w:r w:rsidR="00DD4541">
        <w:t xml:space="preserve"> v rámci obce nie je vyčerpaný potenciál aktivačného príspevku, ktorý domácnostiam umožňuje získať aktiváciou vyšší príjem </w:t>
      </w:r>
      <w:r w:rsidR="00DD4541" w:rsidRPr="006A4947">
        <w:t xml:space="preserve">(podkapitola </w:t>
      </w:r>
      <w:r w:rsidR="00220E4A">
        <w:fldChar w:fldCharType="begin"/>
      </w:r>
      <w:r w:rsidR="00220E4A">
        <w:instrText xml:space="preserve"> REF _Ref25312253 \r \h </w:instrText>
      </w:r>
      <w:r w:rsidR="00220E4A">
        <w:fldChar w:fldCharType="separate"/>
      </w:r>
      <w:r w:rsidR="00FA29AF">
        <w:t>8.1</w:t>
      </w:r>
      <w:r w:rsidR="00220E4A">
        <w:fldChar w:fldCharType="end"/>
      </w:r>
      <w:r w:rsidR="00DD4541" w:rsidRPr="006A4947">
        <w:t>).</w:t>
      </w:r>
    </w:p>
    <w:p w14:paraId="6A3F0942" w14:textId="7F71E5F2" w:rsidR="00DD4541" w:rsidRPr="00DD4541" w:rsidRDefault="000A3730" w:rsidP="00DD4541">
      <w:r>
        <w:rPr>
          <w:b/>
          <w:bCs/>
        </w:rPr>
        <w:t>10</w:t>
      </w:r>
      <w:r w:rsidR="00DD4541" w:rsidRPr="00782615">
        <w:rPr>
          <w:b/>
          <w:bCs/>
        </w:rPr>
        <w:t xml:space="preserve">. Opatrenie: </w:t>
      </w:r>
      <w:r w:rsidR="00D21CD8">
        <w:rPr>
          <w:rFonts w:eastAsia="Arial Narrow" w:cs="Arial Narrow"/>
          <w:b/>
          <w:szCs w:val="22"/>
        </w:rPr>
        <w:t>Vypracovať a zverejniť a</w:t>
      </w:r>
      <w:r w:rsidR="00DD4541" w:rsidRPr="00D3189B">
        <w:rPr>
          <w:rFonts w:eastAsia="Arial Narrow" w:cs="Arial Narrow"/>
          <w:b/>
          <w:szCs w:val="22"/>
        </w:rPr>
        <w:t>nalýz</w:t>
      </w:r>
      <w:r w:rsidR="00D21CD8">
        <w:rPr>
          <w:rFonts w:eastAsia="Arial Narrow" w:cs="Arial Narrow"/>
          <w:b/>
          <w:szCs w:val="22"/>
        </w:rPr>
        <w:t>u</w:t>
      </w:r>
      <w:r w:rsidR="00DD4541" w:rsidRPr="00D3189B">
        <w:rPr>
          <w:rFonts w:eastAsia="Arial Narrow" w:cs="Arial Narrow"/>
          <w:b/>
          <w:szCs w:val="22"/>
        </w:rPr>
        <w:t xml:space="preserve"> systému </w:t>
      </w:r>
      <w:r w:rsidR="00D21CD8">
        <w:rPr>
          <w:rFonts w:eastAsia="Arial Narrow" w:cs="Arial Narrow"/>
          <w:b/>
          <w:szCs w:val="22"/>
        </w:rPr>
        <w:t xml:space="preserve">invalidného </w:t>
      </w:r>
      <w:r w:rsidR="00DD4541" w:rsidRPr="00D3189B">
        <w:rPr>
          <w:rFonts w:eastAsia="Arial Narrow" w:cs="Arial Narrow"/>
          <w:b/>
          <w:szCs w:val="22"/>
        </w:rPr>
        <w:t>poistenia</w:t>
      </w:r>
      <w:r w:rsidR="00DD4541" w:rsidRPr="00782615">
        <w:rPr>
          <w:rFonts w:eastAsia="Times New Roman" w:cs="Times New Roman"/>
          <w:b/>
          <w:bCs/>
          <w:color w:val="000000"/>
          <w:szCs w:val="22"/>
          <w:lang w:eastAsia="sk-SK"/>
        </w:rPr>
        <w:t xml:space="preserve">. </w:t>
      </w:r>
      <w:r w:rsidR="00DD4541" w:rsidRPr="00D3189B">
        <w:rPr>
          <w:rFonts w:eastAsia="Times New Roman" w:cs="Times New Roman"/>
          <w:bCs/>
          <w:color w:val="000000"/>
          <w:szCs w:val="22"/>
          <w:lang w:eastAsia="sk-SK"/>
        </w:rPr>
        <w:t xml:space="preserve">Zamestnanosť </w:t>
      </w:r>
      <w:r w:rsidR="00DF6291">
        <w:rPr>
          <w:rFonts w:eastAsia="Times New Roman" w:cs="Times New Roman"/>
          <w:bCs/>
          <w:color w:val="000000"/>
          <w:szCs w:val="22"/>
          <w:lang w:eastAsia="sk-SK"/>
        </w:rPr>
        <w:t xml:space="preserve">poberateľov </w:t>
      </w:r>
      <w:r w:rsidR="00DD4541" w:rsidRPr="00D3189B">
        <w:rPr>
          <w:rFonts w:eastAsia="Times New Roman" w:cs="Times New Roman"/>
          <w:bCs/>
          <w:color w:val="000000"/>
          <w:szCs w:val="22"/>
          <w:lang w:eastAsia="sk-SK"/>
        </w:rPr>
        <w:t>invalidn</w:t>
      </w:r>
      <w:r w:rsidR="00DF6291">
        <w:rPr>
          <w:rFonts w:eastAsia="Times New Roman" w:cs="Times New Roman"/>
          <w:bCs/>
          <w:color w:val="000000"/>
          <w:szCs w:val="22"/>
          <w:lang w:eastAsia="sk-SK"/>
        </w:rPr>
        <w:t>ého</w:t>
      </w:r>
      <w:r w:rsidR="00DD4541" w:rsidRPr="00D3189B">
        <w:rPr>
          <w:rFonts w:eastAsia="Times New Roman" w:cs="Times New Roman"/>
          <w:bCs/>
          <w:color w:val="000000"/>
          <w:szCs w:val="22"/>
          <w:lang w:eastAsia="sk-SK"/>
        </w:rPr>
        <w:t xml:space="preserve"> dôchod</w:t>
      </w:r>
      <w:r w:rsidR="00DF6291">
        <w:rPr>
          <w:rFonts w:eastAsia="Times New Roman" w:cs="Times New Roman"/>
          <w:bCs/>
          <w:color w:val="000000"/>
          <w:szCs w:val="22"/>
          <w:lang w:eastAsia="sk-SK"/>
        </w:rPr>
        <w:t>ku</w:t>
      </w:r>
      <w:r w:rsidR="00DD4541" w:rsidRPr="00D3189B">
        <w:rPr>
          <w:rFonts w:eastAsia="Times New Roman" w:cs="Times New Roman"/>
          <w:bCs/>
          <w:color w:val="000000"/>
          <w:szCs w:val="22"/>
          <w:lang w:eastAsia="sk-SK"/>
        </w:rPr>
        <w:t xml:space="preserve"> je podstatne nižšia ako je priemer populácie. </w:t>
      </w:r>
      <w:r w:rsidR="00DD4541" w:rsidRPr="00D3189B">
        <w:t>Výška mzdy zamestnancov po uznaní invalidity naznačuje, že aj napriek rozhodnutiu Sociálnej poisťovne o poklese schopnosti vykonávať zárobkovú činnosť</w:t>
      </w:r>
      <w:r w:rsidR="00DD4541">
        <w:t>,</w:t>
      </w:r>
      <w:r w:rsidR="00DD4541" w:rsidRPr="00D3189B">
        <w:t xml:space="preserve"> je časť z nich naďalej schopná vykonávať svoje zamestnanie.</w:t>
      </w:r>
      <w:r w:rsidR="00DD4541" w:rsidRPr="00782615">
        <w:t xml:space="preserve"> </w:t>
      </w:r>
      <w:r w:rsidR="00D63B5B" w:rsidRPr="00F632A6">
        <w:t xml:space="preserve">Tieto </w:t>
      </w:r>
      <w:r w:rsidR="00D63B5B" w:rsidRPr="00D63B5B">
        <w:t>skutočnosti naznačujú, že je možné uvažovať aj o opatreniach s cieľom pozitívneho vplyvu na rozpočet</w:t>
      </w:r>
      <w:r w:rsidR="00D63B5B" w:rsidRPr="00D41517">
        <w:t xml:space="preserve"> verejnej správy</w:t>
      </w:r>
      <w:r w:rsidR="00DD4541" w:rsidRPr="00782615">
        <w:rPr>
          <w:rFonts w:eastAsia="Arial Narrow" w:cs="Arial Narrow"/>
        </w:rPr>
        <w:t xml:space="preserve">. To by mohlo vytvoriť priestor na </w:t>
      </w:r>
      <w:r w:rsidR="00DD4541" w:rsidRPr="00D3189B">
        <w:rPr>
          <w:rFonts w:eastAsia="Arial Narrow" w:cs="Arial Narrow"/>
        </w:rPr>
        <w:t>zlepšenie prístupu podpory pre časť ľudí, ktorým zdravotný stav nedovoľuje pracovať</w:t>
      </w:r>
      <w:r w:rsidR="00DD4541">
        <w:rPr>
          <w:rFonts w:eastAsia="Arial Narrow" w:cs="Arial Narrow"/>
        </w:rPr>
        <w:t>,</w:t>
      </w:r>
      <w:r w:rsidR="00DD4541" w:rsidRPr="00782615">
        <w:t xml:space="preserve"> ale aktuálne nastavené podmienky na získanie invalidného dôchodku nespĺňajú</w:t>
      </w:r>
      <w:r w:rsidR="00DD4541">
        <w:t xml:space="preserve"> (podkapitola </w:t>
      </w:r>
      <w:r w:rsidR="00220E4A">
        <w:fldChar w:fldCharType="begin"/>
      </w:r>
      <w:r w:rsidR="00220E4A">
        <w:instrText xml:space="preserve"> REF _Ref25312274 \r \h </w:instrText>
      </w:r>
      <w:r w:rsidR="00220E4A">
        <w:fldChar w:fldCharType="separate"/>
      </w:r>
      <w:r w:rsidR="00FA29AF">
        <w:t>8.3</w:t>
      </w:r>
      <w:r w:rsidR="00220E4A">
        <w:fldChar w:fldCharType="end"/>
      </w:r>
      <w:r w:rsidR="00DD4541">
        <w:t xml:space="preserve">). Analýza spolu s návrhmi opatrení by mala byť pripravená </w:t>
      </w:r>
      <w:r w:rsidR="00F63445">
        <w:t xml:space="preserve">Inštitútom finančnej politiky </w:t>
      </w:r>
      <w:r w:rsidR="00DD4541">
        <w:t>v rámci odvodovej reformy.</w:t>
      </w:r>
    </w:p>
    <w:p w14:paraId="56AED05D" w14:textId="77777777" w:rsidR="00AE6FE1" w:rsidRPr="00CA2564" w:rsidRDefault="00AE6FE1" w:rsidP="00AE6FE1">
      <w:pPr>
        <w:pStyle w:val="Nadpis1"/>
      </w:pPr>
      <w:bookmarkStart w:id="35" w:name="_Ref25315166"/>
      <w:bookmarkStart w:id="36" w:name="_Ref25321671"/>
      <w:bookmarkStart w:id="37" w:name="_Ref25321815"/>
      <w:bookmarkStart w:id="38" w:name="_Toc34657705"/>
      <w:bookmarkEnd w:id="4"/>
      <w:r>
        <w:lastRenderedPageBreak/>
        <w:t>S</w:t>
      </w:r>
      <w:r w:rsidRPr="00CA2564">
        <w:t>ociálne začleňovanie</w:t>
      </w:r>
      <w:r>
        <w:t xml:space="preserve"> a diagnostika ohrozených skupín</w:t>
      </w:r>
      <w:bookmarkEnd w:id="35"/>
      <w:bookmarkEnd w:id="36"/>
      <w:bookmarkEnd w:id="37"/>
      <w:bookmarkEnd w:id="38"/>
    </w:p>
    <w:p w14:paraId="49908E80" w14:textId="3B138E96" w:rsidR="00763313" w:rsidRPr="00CA2564" w:rsidRDefault="007D702A" w:rsidP="00F218AA">
      <w:pPr>
        <w:rPr>
          <w:b/>
        </w:rPr>
      </w:pPr>
      <w:bookmarkStart w:id="39" w:name="_Toc18860808"/>
      <w:bookmarkStart w:id="40" w:name="_Toc19029401"/>
      <w:bookmarkStart w:id="41" w:name="_Toc19342131"/>
      <w:bookmarkStart w:id="42" w:name="_Toc19342240"/>
      <w:bookmarkStart w:id="43" w:name="_Toc19426414"/>
      <w:bookmarkStart w:id="44" w:name="_Toc19429539"/>
      <w:bookmarkStart w:id="45" w:name="_Toc19460003"/>
      <w:bookmarkStart w:id="46" w:name="_Toc19460285"/>
      <w:bookmarkStart w:id="47" w:name="_Toc19460502"/>
      <w:bookmarkStart w:id="48" w:name="_Toc19464794"/>
      <w:bookmarkStart w:id="49" w:name="_Toc19468387"/>
      <w:bookmarkStart w:id="50" w:name="_Toc19515735"/>
      <w:bookmarkStart w:id="51" w:name="_Toc19517784"/>
      <w:bookmarkStart w:id="52" w:name="_Toc19531834"/>
      <w:bookmarkStart w:id="53" w:name="_Toc19539856"/>
      <w:bookmarkStart w:id="54" w:name="_Toc19686788"/>
      <w:bookmarkStart w:id="55" w:name="_Toc19711432"/>
      <w:bookmarkStart w:id="56" w:name="_Toc19711648"/>
      <w:bookmarkStart w:id="57" w:name="_Toc19723683"/>
      <w:bookmarkStart w:id="58" w:name="_Toc19879944"/>
      <w:bookmarkStart w:id="59" w:name="_Toc19881264"/>
      <w:bookmarkStart w:id="60" w:name="_Toc19885710"/>
      <w:bookmarkStart w:id="61" w:name="_Toc19939724"/>
      <w:bookmarkStart w:id="62" w:name="_Toc19941295"/>
      <w:bookmarkStart w:id="63" w:name="_Toc19943964"/>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Pr>
          <w:b/>
        </w:rPr>
        <w:t>R</w:t>
      </w:r>
      <w:r w:rsidR="00763313" w:rsidRPr="00CA2564">
        <w:rPr>
          <w:b/>
        </w:rPr>
        <w:t>evízi</w:t>
      </w:r>
      <w:r>
        <w:rPr>
          <w:b/>
        </w:rPr>
        <w:t>a</w:t>
      </w:r>
      <w:r w:rsidR="00763313" w:rsidRPr="00CA2564">
        <w:rPr>
          <w:b/>
        </w:rPr>
        <w:t xml:space="preserve"> skúma a vyhodnocuj</w:t>
      </w:r>
      <w:r>
        <w:rPr>
          <w:b/>
        </w:rPr>
        <w:t>e</w:t>
      </w:r>
      <w:r w:rsidR="00763313" w:rsidRPr="00CA2564">
        <w:rPr>
          <w:b/>
        </w:rPr>
        <w:t xml:space="preserve"> politiky viacerých rezortov, pretože sociálne vylúčenie treba chápať ako viacrozmerný problém.</w:t>
      </w:r>
      <w:r w:rsidR="00763313" w:rsidRPr="00CA2564">
        <w:t xml:space="preserve"> „Sociálne vylúčenie znamená obmedzený prístup k zdrojom a príležitostiam spojený s oslabovaním pút jednotlivcov a celých sociálnych skupín k majoritnej spoločnosti, ktoré vyúsťuje do zúžených možností využívať práva spojené s príslušnosťou k danému spoločenstvu a aktívne participovať na jeho živote“ (Gerbery a Džambazovič, 2011). Zdroje a príležitosti nevyhnutné pre sociálne začlenenie sa vzťahujú na viaceré oblasti verejných politík vrátane politík ranej starostlivosti, školstva, trhu práce, sociálnych politík, zdravotníctva</w:t>
      </w:r>
      <w:r w:rsidR="00ED5059">
        <w:t xml:space="preserve"> a </w:t>
      </w:r>
      <w:r w:rsidR="00763313" w:rsidRPr="00CA2564">
        <w:t>bývania.</w:t>
      </w:r>
      <w:r w:rsidR="00763313" w:rsidRPr="00CA2564">
        <w:rPr>
          <w:b/>
        </w:rPr>
        <w:t xml:space="preserve"> </w:t>
      </w:r>
      <w:r w:rsidR="00763313" w:rsidRPr="00CA2564">
        <w:t>Potrebu prierezovej, medzirezortnej revízie konštatovali už dokončené revízie výdavkov na politiky trhu práce a sociálne poli</w:t>
      </w:r>
      <w:r w:rsidR="007F5412">
        <w:t>tiky a na vzdelávanie (ÚHP</w:t>
      </w:r>
      <w:r w:rsidR="00763313" w:rsidRPr="00CA2564">
        <w:t>, 2017, ÚHP a IVP, 2017).</w:t>
      </w:r>
    </w:p>
    <w:p w14:paraId="49B7908D" w14:textId="7F6315C1" w:rsidR="00763313" w:rsidRPr="00CA2564" w:rsidRDefault="00763313" w:rsidP="00F218AA">
      <w:r w:rsidRPr="00CA2564">
        <w:rPr>
          <w:b/>
        </w:rPr>
        <w:t xml:space="preserve">Na Slovensku </w:t>
      </w:r>
      <w:r w:rsidR="00211611">
        <w:rPr>
          <w:b/>
        </w:rPr>
        <w:t>zostal</w:t>
      </w:r>
      <w:r w:rsidR="00211611" w:rsidRPr="00CA2564">
        <w:rPr>
          <w:b/>
        </w:rPr>
        <w:t xml:space="preserve"> </w:t>
      </w:r>
      <w:r w:rsidRPr="00CA2564">
        <w:rPr>
          <w:b/>
        </w:rPr>
        <w:t xml:space="preserve">podiel populácie ohrozenej chudobou alebo sociálnym vylúčením v roku </w:t>
      </w:r>
      <w:r w:rsidR="00211611">
        <w:rPr>
          <w:b/>
        </w:rPr>
        <w:t>2018 nezmenený</w:t>
      </w:r>
      <w:r w:rsidR="00211611" w:rsidRPr="00CA2564">
        <w:rPr>
          <w:b/>
        </w:rPr>
        <w:t xml:space="preserve"> </w:t>
      </w:r>
      <w:r w:rsidRPr="00CA2564">
        <w:rPr>
          <w:b/>
        </w:rPr>
        <w:t>na </w:t>
      </w:r>
      <w:r w:rsidR="00211611">
        <w:rPr>
          <w:b/>
        </w:rPr>
        <w:t xml:space="preserve">úrovni </w:t>
      </w:r>
      <w:r w:rsidRPr="00CA2564">
        <w:rPr>
          <w:b/>
        </w:rPr>
        <w:t xml:space="preserve">16,3 % </w:t>
      </w:r>
      <w:r w:rsidRPr="00CA2564">
        <w:t>(</w:t>
      </w:r>
      <w:r w:rsidRPr="00CA2564">
        <w:fldChar w:fldCharType="begin"/>
      </w:r>
      <w:r w:rsidRPr="00CA2564">
        <w:instrText xml:space="preserve"> REF _Ref522629049 \h  \* MERGEFORMAT </w:instrText>
      </w:r>
      <w:r w:rsidRPr="00CA2564">
        <w:fldChar w:fldCharType="separate"/>
      </w:r>
      <w:r w:rsidR="00FA29AF" w:rsidRPr="00FA29AF">
        <w:t xml:space="preserve">Graf </w:t>
      </w:r>
      <w:r w:rsidR="00FA29AF" w:rsidRPr="00FA29AF">
        <w:rPr>
          <w:noProof/>
        </w:rPr>
        <w:t>1</w:t>
      </w:r>
      <w:r w:rsidRPr="00CA2564">
        <w:fldChar w:fldCharType="end"/>
      </w:r>
      <w:r w:rsidRPr="00CA2564">
        <w:t>). Z rizika chudoby alebo sociálneho vylúčenia sa od roku 2008 podarilo vymaniť 2</w:t>
      </w:r>
      <w:r w:rsidR="00211611">
        <w:t>39</w:t>
      </w:r>
      <w:r w:rsidRPr="00CA2564">
        <w:t>-tisíc ľudí, čím Slovensko naplnilo cieľ v rámci stratégie Európa 2020 znížiť počet ohrozených ľudí najmenej o 170-tisíc do roku 2020. Odrážajúc jeho viacrozmerný charakter, definícia tohto rizika v rámci stratégie Európa 2020 zahŕňa ukazovatele príjmovej chudoby, závažnej materiálnej deprivácie a veľmi nízkej pracovnej intenzity domácností</w:t>
      </w:r>
      <w:r w:rsidR="0047375B">
        <w:t xml:space="preserve"> </w:t>
      </w:r>
      <w:r w:rsidRPr="00CA2564">
        <w:t>(</w:t>
      </w:r>
      <w:r w:rsidR="00E1189C">
        <w:fldChar w:fldCharType="begin"/>
      </w:r>
      <w:r w:rsidR="00E1189C">
        <w:instrText xml:space="preserve"> REF _Ref21079087 \h </w:instrText>
      </w:r>
      <w:r w:rsidR="004538B2">
        <w:instrText xml:space="preserve"> \* MERGEFORMAT </w:instrText>
      </w:r>
      <w:r w:rsidR="00E1189C">
        <w:fldChar w:fldCharType="separate"/>
      </w:r>
      <w:r w:rsidR="00FA29AF" w:rsidRPr="00FA29AF">
        <w:t xml:space="preserve">Box </w:t>
      </w:r>
      <w:r w:rsidR="00FA29AF" w:rsidRPr="00FA29AF">
        <w:rPr>
          <w:noProof/>
        </w:rPr>
        <w:t>1</w:t>
      </w:r>
      <w:r w:rsidR="00E1189C">
        <w:fldChar w:fldCharType="end"/>
      </w:r>
      <w:r w:rsidRPr="00CA2564">
        <w:t>). Slovensko dosahuje v tomto ukazovateli lepšie výsledky ako je priemer EÚ</w:t>
      </w:r>
      <w:r w:rsidR="00D47BB1">
        <w:t>15 aj V3</w:t>
      </w:r>
      <w:r w:rsidRPr="00CA2564">
        <w:t>.</w:t>
      </w:r>
    </w:p>
    <w:tbl>
      <w:tblPr>
        <w:tblW w:w="9072" w:type="dxa"/>
        <w:tblLayout w:type="fixed"/>
        <w:tblLook w:val="04E0" w:firstRow="1" w:lastRow="1" w:firstColumn="1" w:lastColumn="0" w:noHBand="0" w:noVBand="1"/>
      </w:tblPr>
      <w:tblGrid>
        <w:gridCol w:w="4253"/>
        <w:gridCol w:w="303"/>
        <w:gridCol w:w="4516"/>
      </w:tblGrid>
      <w:tr w:rsidR="00763313" w:rsidRPr="00CA2564" w14:paraId="0AB6C8D5" w14:textId="77777777" w:rsidTr="006F08DC">
        <w:trPr>
          <w:trHeight w:val="436"/>
        </w:trPr>
        <w:tc>
          <w:tcPr>
            <w:tcW w:w="4253" w:type="dxa"/>
            <w:tcBorders>
              <w:bottom w:val="single" w:sz="4" w:space="0" w:color="auto"/>
            </w:tcBorders>
          </w:tcPr>
          <w:p w14:paraId="22315913" w14:textId="685E40F3" w:rsidR="00763313" w:rsidRPr="006F08DC" w:rsidRDefault="00763313" w:rsidP="006F08DC">
            <w:pPr>
              <w:spacing w:after="0"/>
              <w:rPr>
                <w:b/>
              </w:rPr>
            </w:pPr>
            <w:bookmarkStart w:id="64" w:name="_Ref522629049"/>
            <w:bookmarkStart w:id="65" w:name="_Toc17469365"/>
            <w:bookmarkStart w:id="66" w:name="_Toc34157559"/>
            <w:r w:rsidRPr="006F08DC">
              <w:rPr>
                <w:b/>
                <w:sz w:val="20"/>
              </w:rPr>
              <w:t xml:space="preserve">Graf </w:t>
            </w:r>
            <w:r w:rsidRPr="006F08DC">
              <w:rPr>
                <w:b/>
                <w:sz w:val="20"/>
              </w:rPr>
              <w:fldChar w:fldCharType="begin"/>
            </w:r>
            <w:r w:rsidRPr="006F08DC">
              <w:rPr>
                <w:b/>
                <w:sz w:val="20"/>
              </w:rPr>
              <w:instrText xml:space="preserve"> SEQ Graf \* ARABIC </w:instrText>
            </w:r>
            <w:r w:rsidRPr="006F08DC">
              <w:rPr>
                <w:b/>
                <w:sz w:val="20"/>
              </w:rPr>
              <w:fldChar w:fldCharType="separate"/>
            </w:r>
            <w:r w:rsidR="00FA29AF">
              <w:rPr>
                <w:b/>
                <w:noProof/>
                <w:sz w:val="20"/>
              </w:rPr>
              <w:t>1</w:t>
            </w:r>
            <w:r w:rsidRPr="006F08DC">
              <w:rPr>
                <w:b/>
                <w:sz w:val="20"/>
              </w:rPr>
              <w:fldChar w:fldCharType="end"/>
            </w:r>
            <w:bookmarkEnd w:id="64"/>
            <w:r w:rsidRPr="006F08DC">
              <w:rPr>
                <w:b/>
                <w:sz w:val="20"/>
              </w:rPr>
              <w:t>: Miera rizika chudoby alebo sociálneho vylúčenia (%)</w:t>
            </w:r>
            <w:bookmarkEnd w:id="65"/>
            <w:bookmarkEnd w:id="66"/>
          </w:p>
        </w:tc>
        <w:tc>
          <w:tcPr>
            <w:tcW w:w="303" w:type="dxa"/>
            <w:tcBorders>
              <w:bottom w:val="nil"/>
            </w:tcBorders>
          </w:tcPr>
          <w:p w14:paraId="5A32FE4D" w14:textId="77777777" w:rsidR="00763313" w:rsidRPr="006F08DC" w:rsidRDefault="00763313" w:rsidP="006F08DC">
            <w:pPr>
              <w:spacing w:after="0"/>
              <w:rPr>
                <w:b/>
                <w:sz w:val="20"/>
              </w:rPr>
            </w:pPr>
          </w:p>
        </w:tc>
        <w:tc>
          <w:tcPr>
            <w:tcW w:w="4516" w:type="dxa"/>
            <w:tcBorders>
              <w:bottom w:val="single" w:sz="4" w:space="0" w:color="auto"/>
            </w:tcBorders>
          </w:tcPr>
          <w:p w14:paraId="7152A5FD" w14:textId="7A7F5FD7" w:rsidR="00763313" w:rsidRPr="006F08DC" w:rsidRDefault="00763313" w:rsidP="006F08DC">
            <w:pPr>
              <w:spacing w:after="0"/>
              <w:jc w:val="left"/>
              <w:rPr>
                <w:b/>
              </w:rPr>
            </w:pPr>
            <w:bookmarkStart w:id="67" w:name="_Ref522629659"/>
            <w:bookmarkStart w:id="68" w:name="_Toc17469366"/>
            <w:bookmarkStart w:id="69" w:name="_Toc34157560"/>
            <w:r w:rsidRPr="006F08DC">
              <w:rPr>
                <w:b/>
                <w:sz w:val="20"/>
              </w:rPr>
              <w:t xml:space="preserve">Graf </w:t>
            </w:r>
            <w:r w:rsidRPr="006F08DC">
              <w:rPr>
                <w:b/>
                <w:sz w:val="20"/>
              </w:rPr>
              <w:fldChar w:fldCharType="begin"/>
            </w:r>
            <w:r w:rsidRPr="006F08DC">
              <w:rPr>
                <w:b/>
                <w:sz w:val="20"/>
              </w:rPr>
              <w:instrText xml:space="preserve"> SEQ Graf \* ARABIC </w:instrText>
            </w:r>
            <w:r w:rsidRPr="006F08DC">
              <w:rPr>
                <w:b/>
                <w:sz w:val="20"/>
              </w:rPr>
              <w:fldChar w:fldCharType="separate"/>
            </w:r>
            <w:r w:rsidR="00FA29AF">
              <w:rPr>
                <w:b/>
                <w:noProof/>
                <w:sz w:val="20"/>
              </w:rPr>
              <w:t>2</w:t>
            </w:r>
            <w:r w:rsidRPr="006F08DC">
              <w:rPr>
                <w:b/>
                <w:sz w:val="20"/>
              </w:rPr>
              <w:fldChar w:fldCharType="end"/>
            </w:r>
            <w:bookmarkEnd w:id="67"/>
            <w:r w:rsidRPr="006F08DC">
              <w:rPr>
                <w:b/>
                <w:sz w:val="20"/>
              </w:rPr>
              <w:t>: Miera závažnej materiálnej deprivácie (%)</w:t>
            </w:r>
            <w:bookmarkEnd w:id="68"/>
            <w:bookmarkEnd w:id="69"/>
          </w:p>
        </w:tc>
      </w:tr>
      <w:tr w:rsidR="00763313" w:rsidRPr="00CA2564" w14:paraId="3684AFEB" w14:textId="77777777" w:rsidTr="009003A3">
        <w:tblPrEx>
          <w:tblCellMar>
            <w:left w:w="70" w:type="dxa"/>
            <w:right w:w="70" w:type="dxa"/>
          </w:tblCellMar>
        </w:tblPrEx>
        <w:trPr>
          <w:trHeight w:val="4176"/>
        </w:trPr>
        <w:tc>
          <w:tcPr>
            <w:tcW w:w="4253" w:type="dxa"/>
            <w:tcBorders>
              <w:top w:val="single" w:sz="4" w:space="0" w:color="auto"/>
              <w:bottom w:val="single" w:sz="4" w:space="0" w:color="auto"/>
            </w:tcBorders>
          </w:tcPr>
          <w:p w14:paraId="214358D7" w14:textId="77777777" w:rsidR="00763313" w:rsidRPr="00CA2564" w:rsidRDefault="00763313" w:rsidP="006F08DC">
            <w:pPr>
              <w:spacing w:after="0"/>
              <w:rPr>
                <w:noProof/>
                <w:sz w:val="4"/>
                <w:szCs w:val="4"/>
              </w:rPr>
            </w:pPr>
            <w:r w:rsidRPr="00CA2564">
              <w:rPr>
                <w:noProof/>
                <w:sz w:val="4"/>
                <w:szCs w:val="4"/>
              </w:rPr>
              <w:t xml:space="preserve"> </w:t>
            </w:r>
          </w:p>
          <w:p w14:paraId="02645721" w14:textId="72C1FCF7" w:rsidR="00763313" w:rsidRDefault="00D47BB1" w:rsidP="006F08DC">
            <w:pPr>
              <w:spacing w:after="0"/>
              <w:rPr>
                <w:sz w:val="4"/>
                <w:szCs w:val="4"/>
              </w:rPr>
            </w:pPr>
            <w:r>
              <w:rPr>
                <w:noProof/>
                <w:lang w:eastAsia="sk-SK"/>
              </w:rPr>
              <w:drawing>
                <wp:inline distT="0" distB="0" distL="0" distR="0" wp14:anchorId="17128778" wp14:editId="0E017586">
                  <wp:extent cx="2611755" cy="2552700"/>
                  <wp:effectExtent l="0" t="0" r="0" b="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55F2396" w14:textId="3FA0442D" w:rsidR="00D47BB1" w:rsidRPr="00CA2564" w:rsidRDefault="00D47BB1" w:rsidP="006F08DC">
            <w:pPr>
              <w:spacing w:after="0"/>
              <w:rPr>
                <w:sz w:val="4"/>
                <w:szCs w:val="4"/>
              </w:rPr>
            </w:pPr>
          </w:p>
        </w:tc>
        <w:tc>
          <w:tcPr>
            <w:tcW w:w="303" w:type="dxa"/>
            <w:tcBorders>
              <w:top w:val="nil"/>
              <w:bottom w:val="nil"/>
            </w:tcBorders>
          </w:tcPr>
          <w:p w14:paraId="4DE4E68A" w14:textId="77777777" w:rsidR="00763313" w:rsidRPr="00CA2564" w:rsidRDefault="00763313" w:rsidP="006F08DC">
            <w:pPr>
              <w:spacing w:after="0"/>
              <w:rPr>
                <w:noProof/>
                <w:sz w:val="4"/>
                <w:szCs w:val="4"/>
              </w:rPr>
            </w:pPr>
          </w:p>
        </w:tc>
        <w:tc>
          <w:tcPr>
            <w:tcW w:w="4516" w:type="dxa"/>
            <w:tcBorders>
              <w:top w:val="single" w:sz="4" w:space="0" w:color="auto"/>
              <w:bottom w:val="single" w:sz="4" w:space="0" w:color="auto"/>
            </w:tcBorders>
          </w:tcPr>
          <w:p w14:paraId="616D2D0C" w14:textId="77777777" w:rsidR="00763313" w:rsidRPr="00CA2564" w:rsidRDefault="00763313" w:rsidP="006F08DC">
            <w:pPr>
              <w:spacing w:after="0"/>
              <w:rPr>
                <w:sz w:val="4"/>
                <w:szCs w:val="4"/>
              </w:rPr>
            </w:pPr>
          </w:p>
          <w:p w14:paraId="4C3208B4" w14:textId="19C8147F" w:rsidR="00D47BB1" w:rsidRPr="00CA2564" w:rsidRDefault="00D47BB1" w:rsidP="006F08DC">
            <w:pPr>
              <w:spacing w:after="0"/>
              <w:ind w:right="-212"/>
              <w:rPr>
                <w:sz w:val="4"/>
                <w:szCs w:val="4"/>
              </w:rPr>
            </w:pPr>
            <w:r>
              <w:rPr>
                <w:noProof/>
                <w:lang w:eastAsia="sk-SK"/>
              </w:rPr>
              <w:drawing>
                <wp:inline distT="0" distB="0" distL="0" distR="0" wp14:anchorId="19110733" wp14:editId="69065FA2">
                  <wp:extent cx="2778760" cy="2552700"/>
                  <wp:effectExtent l="0" t="0" r="2540" b="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763313" w:rsidRPr="00CA2564" w14:paraId="2E06DE39" w14:textId="77777777" w:rsidTr="006F08DC">
        <w:tc>
          <w:tcPr>
            <w:tcW w:w="4253" w:type="dxa"/>
            <w:tcBorders>
              <w:top w:val="single" w:sz="4" w:space="0" w:color="auto"/>
            </w:tcBorders>
          </w:tcPr>
          <w:p w14:paraId="1B5D8BA3" w14:textId="77777777" w:rsidR="00763313" w:rsidRPr="009003A3" w:rsidRDefault="00763313" w:rsidP="006F08DC">
            <w:pPr>
              <w:spacing w:after="0"/>
              <w:jc w:val="right"/>
              <w:rPr>
                <w:bCs/>
                <w:i/>
                <w:noProof/>
                <w:sz w:val="18"/>
                <w:szCs w:val="18"/>
              </w:rPr>
            </w:pPr>
            <w:r w:rsidRPr="009003A3">
              <w:rPr>
                <w:i/>
                <w:noProof/>
                <w:sz w:val="18"/>
                <w:szCs w:val="18"/>
              </w:rPr>
              <w:t xml:space="preserve">Zdroj: Eurostat </w:t>
            </w:r>
          </w:p>
        </w:tc>
        <w:tc>
          <w:tcPr>
            <w:tcW w:w="303" w:type="dxa"/>
            <w:tcBorders>
              <w:top w:val="nil"/>
            </w:tcBorders>
          </w:tcPr>
          <w:p w14:paraId="6EC2A7B5" w14:textId="77777777" w:rsidR="00763313" w:rsidRPr="00CA2564" w:rsidRDefault="00763313" w:rsidP="006F08DC">
            <w:pPr>
              <w:spacing w:after="0"/>
              <w:jc w:val="right"/>
              <w:rPr>
                <w:noProof/>
                <w:sz w:val="18"/>
                <w:szCs w:val="18"/>
              </w:rPr>
            </w:pPr>
          </w:p>
        </w:tc>
        <w:tc>
          <w:tcPr>
            <w:tcW w:w="4516" w:type="dxa"/>
            <w:tcBorders>
              <w:top w:val="single" w:sz="4" w:space="0" w:color="auto"/>
            </w:tcBorders>
          </w:tcPr>
          <w:p w14:paraId="3CA8AD23" w14:textId="77777777" w:rsidR="00763313" w:rsidRPr="009003A3" w:rsidRDefault="00763313" w:rsidP="006F08DC">
            <w:pPr>
              <w:spacing w:after="0"/>
              <w:jc w:val="right"/>
              <w:rPr>
                <w:i/>
                <w:noProof/>
                <w:sz w:val="18"/>
                <w:szCs w:val="18"/>
              </w:rPr>
            </w:pPr>
            <w:r w:rsidRPr="009003A3">
              <w:rPr>
                <w:i/>
                <w:noProof/>
                <w:sz w:val="18"/>
                <w:szCs w:val="18"/>
              </w:rPr>
              <w:t>Zdroj: Eurostat</w:t>
            </w:r>
          </w:p>
        </w:tc>
      </w:tr>
    </w:tbl>
    <w:p w14:paraId="5888079F" w14:textId="348FAE68" w:rsidR="00763313" w:rsidRDefault="00763313" w:rsidP="00F218AA">
      <w:pPr>
        <w:spacing w:before="160"/>
      </w:pPr>
      <w:r w:rsidRPr="00CA2564">
        <w:rPr>
          <w:b/>
        </w:rPr>
        <w:t>Kým miera rizika chudoby a veľmi nízkej pracovnej intenzity domácností je na Slovensku pod priemerom</w:t>
      </w:r>
      <w:r w:rsidR="00CD133F">
        <w:rPr>
          <w:b/>
        </w:rPr>
        <w:t xml:space="preserve"> krajín EU</w:t>
      </w:r>
      <w:r w:rsidR="00D47BB1">
        <w:rPr>
          <w:b/>
        </w:rPr>
        <w:t>15</w:t>
      </w:r>
      <w:r w:rsidRPr="00CA2564">
        <w:rPr>
          <w:b/>
        </w:rPr>
        <w:t xml:space="preserve">, podiel populácie žijúcej v podmienkach závažnej materiálnej deprivácie je </w:t>
      </w:r>
      <w:r w:rsidR="00211611">
        <w:rPr>
          <w:b/>
        </w:rPr>
        <w:t>nad</w:t>
      </w:r>
      <w:r w:rsidRPr="00CA2564">
        <w:rPr>
          <w:b/>
        </w:rPr>
        <w:t>priemerný</w:t>
      </w:r>
      <w:r w:rsidR="00D47BB1">
        <w:rPr>
          <w:b/>
        </w:rPr>
        <w:t xml:space="preserve"> aj v porovnaní s krajinami V3</w:t>
      </w:r>
      <w:r w:rsidRPr="00CA2564">
        <w:rPr>
          <w:b/>
        </w:rPr>
        <w:t xml:space="preserve"> </w:t>
      </w:r>
      <w:r w:rsidRPr="00CA2564">
        <w:t>(</w:t>
      </w:r>
      <w:r w:rsidRPr="00CA2564">
        <w:fldChar w:fldCharType="begin"/>
      </w:r>
      <w:r w:rsidRPr="00CA2564">
        <w:instrText xml:space="preserve"> REF _Ref522629659 \h  \* MERGEFORMAT </w:instrText>
      </w:r>
      <w:r w:rsidRPr="00CA2564">
        <w:fldChar w:fldCharType="separate"/>
      </w:r>
      <w:r w:rsidR="00FA29AF" w:rsidRPr="00FA29AF">
        <w:t>Graf</w:t>
      </w:r>
      <w:r w:rsidR="00FA29AF" w:rsidRPr="00FA29AF">
        <w:rPr>
          <w:sz w:val="20"/>
        </w:rPr>
        <w:t xml:space="preserve"> </w:t>
      </w:r>
      <w:r w:rsidR="00FA29AF" w:rsidRPr="00FA29AF">
        <w:rPr>
          <w:noProof/>
        </w:rPr>
        <w:t>2</w:t>
      </w:r>
      <w:r w:rsidRPr="00CA2564">
        <w:fldChar w:fldCharType="end"/>
      </w:r>
      <w:r w:rsidRPr="00CA2564">
        <w:t>). Závažná materiálna deprivácia vyjadruje neschopnosť dovoliť si kúpiť viaceré veci, ktoré sú všeobecne vnímané ako potrebné pre plnohodnotný život. Na rozdiel od príjmovej chudoby opisuje mieru absolútnej, nie relatívnej núdze v spoločnosti.</w:t>
      </w:r>
    </w:p>
    <w:tbl>
      <w:tblPr>
        <w:tblW w:w="0" w:type="auto"/>
        <w:shd w:val="clear" w:color="auto" w:fill="BDD6EE" w:themeFill="accent1" w:themeFillTint="66"/>
        <w:tblLook w:val="04A0" w:firstRow="1" w:lastRow="0" w:firstColumn="1" w:lastColumn="0" w:noHBand="0" w:noVBand="1"/>
      </w:tblPr>
      <w:tblGrid>
        <w:gridCol w:w="9026"/>
      </w:tblGrid>
      <w:tr w:rsidR="0035005D" w14:paraId="2D22A8F3" w14:textId="77777777" w:rsidTr="00CA3920">
        <w:tc>
          <w:tcPr>
            <w:tcW w:w="9062" w:type="dxa"/>
            <w:shd w:val="clear" w:color="auto" w:fill="BDD6EE" w:themeFill="accent1" w:themeFillTint="66"/>
          </w:tcPr>
          <w:p w14:paraId="06B78DA8" w14:textId="07D2527F" w:rsidR="0035005D" w:rsidRPr="005E124E" w:rsidRDefault="0035005D" w:rsidP="00D41517">
            <w:pPr>
              <w:spacing w:before="120"/>
              <w:rPr>
                <w:b/>
              </w:rPr>
            </w:pPr>
            <w:bookmarkStart w:id="70" w:name="_Ref21079087"/>
            <w:r w:rsidRPr="005E124E">
              <w:rPr>
                <w:b/>
              </w:rPr>
              <w:t xml:space="preserve">Box </w:t>
            </w:r>
            <w:r w:rsidR="00A425AB">
              <w:rPr>
                <w:b/>
              </w:rPr>
              <w:fldChar w:fldCharType="begin"/>
            </w:r>
            <w:r w:rsidR="00A425AB">
              <w:rPr>
                <w:b/>
              </w:rPr>
              <w:instrText xml:space="preserve"> SEQ Box \* ARABIC </w:instrText>
            </w:r>
            <w:r w:rsidR="00A425AB">
              <w:rPr>
                <w:b/>
              </w:rPr>
              <w:fldChar w:fldCharType="separate"/>
            </w:r>
            <w:r w:rsidR="00FA29AF">
              <w:rPr>
                <w:b/>
                <w:noProof/>
              </w:rPr>
              <w:t>1</w:t>
            </w:r>
            <w:r w:rsidR="00A425AB">
              <w:rPr>
                <w:b/>
              </w:rPr>
              <w:fldChar w:fldCharType="end"/>
            </w:r>
            <w:bookmarkEnd w:id="70"/>
            <w:r w:rsidRPr="005E124E">
              <w:rPr>
                <w:b/>
              </w:rPr>
              <w:t>: Kľúčové indikátory sociálneho vylúčenia v rámci stratégie Európa 2020</w:t>
            </w:r>
          </w:p>
          <w:p w14:paraId="4AC20ABF" w14:textId="7ECAA7D0" w:rsidR="0035005D" w:rsidRPr="0047375B" w:rsidRDefault="0035005D" w:rsidP="005E124E">
            <w:r w:rsidRPr="0047375B">
              <w:t>Ukazovatele sociálneho vylúčenia v tejto kapitole boli vybraté spomedzi základných ukazovateľov v rámci stratégie na zabezpečenie inteligentného, udrža</w:t>
            </w:r>
            <w:r w:rsidR="0070047D">
              <w:t xml:space="preserve">teľného a inkluzívneho rastu – </w:t>
            </w:r>
            <w:r w:rsidRPr="0047375B">
              <w:t>Európa 2020.</w:t>
            </w:r>
            <w:r w:rsidRPr="0047375B">
              <w:rPr>
                <w:rStyle w:val="Odkaznapoznmkupodiarou"/>
                <w:rFonts w:cs="NeueHaasGroteskText W02"/>
                <w:b/>
                <w:color w:val="000000"/>
                <w:szCs w:val="22"/>
              </w:rPr>
              <w:footnoteReference w:id="9"/>
            </w:r>
            <w:r w:rsidRPr="0047375B">
              <w:t xml:space="preserve"> Vzhľadom na viacrozmerný charakter sociálneho vylúčenia boli ukazovatele vybraté tak, aby každá z</w:t>
            </w:r>
            <w:r>
              <w:t xml:space="preserve"> hlavných </w:t>
            </w:r>
            <w:r w:rsidRPr="0047375B">
              <w:t>oblastí revízie (vzdelávanie, trh práce, sociálny systém, zdravotníctvo a bývanie) obsahovala aspoň jeden ukazovateľ.</w:t>
            </w:r>
          </w:p>
          <w:p w14:paraId="11231B61" w14:textId="55D9E636" w:rsidR="0035005D" w:rsidRDefault="0035005D" w:rsidP="005E124E">
            <w:r w:rsidRPr="0047375B">
              <w:lastRenderedPageBreak/>
              <w:t xml:space="preserve">Hlavný ukazovateľ, riziko chudoby alebo sociálneho vylúčenia, v sebe zahŕňa tri ukazovatele. Domácnosti, ktoré charakterizuje aspoň jeden z týchto problémov, sú považované za domácnosti </w:t>
            </w:r>
            <w:r w:rsidR="00221128">
              <w:t>ohrozené</w:t>
            </w:r>
            <w:r w:rsidRPr="0047375B">
              <w:t xml:space="preserve"> chudob</w:t>
            </w:r>
            <w:r w:rsidR="00221128">
              <w:t>ou</w:t>
            </w:r>
            <w:r w:rsidR="007E28BC">
              <w:t xml:space="preserve"> alebo sociáln</w:t>
            </w:r>
            <w:r w:rsidR="00221128">
              <w:t>ym</w:t>
            </w:r>
            <w:r w:rsidRPr="0047375B">
              <w:t xml:space="preserve"> vylúčen</w:t>
            </w:r>
            <w:r w:rsidR="00221128">
              <w:t>ím</w:t>
            </w:r>
            <w:r w:rsidRPr="0047375B">
              <w:t>:</w:t>
            </w:r>
          </w:p>
          <w:p w14:paraId="0ADE117D" w14:textId="4CAFCEF0" w:rsidR="0035005D" w:rsidRPr="0047375B" w:rsidRDefault="0035005D" w:rsidP="005E124E">
            <w:pPr>
              <w:pStyle w:val="Odsekzoznamu"/>
              <w:numPr>
                <w:ilvl w:val="0"/>
                <w:numId w:val="4"/>
              </w:numPr>
              <w:autoSpaceDE w:val="0"/>
              <w:autoSpaceDN w:val="0"/>
              <w:adjustRightInd w:val="0"/>
              <w:rPr>
                <w:rFonts w:cs="NeueHaasGroteskText W02"/>
                <w:color w:val="000000"/>
                <w:szCs w:val="22"/>
              </w:rPr>
            </w:pPr>
            <w:r w:rsidRPr="0047375B">
              <w:rPr>
                <w:rFonts w:cs="NeueHaasGroteskText W02"/>
                <w:b/>
                <w:color w:val="000000"/>
                <w:szCs w:val="22"/>
              </w:rPr>
              <w:t>Miera rizika chudoby</w:t>
            </w:r>
            <w:r w:rsidRPr="0047375B">
              <w:rPr>
                <w:rFonts w:cs="NeueHaasGroteskText W02"/>
                <w:color w:val="000000"/>
                <w:szCs w:val="22"/>
              </w:rPr>
              <w:t xml:space="preserve"> </w:t>
            </w:r>
            <w:r w:rsidRPr="0047375B">
              <w:rPr>
                <w:rFonts w:cs="ArialNarrow"/>
                <w:szCs w:val="22"/>
              </w:rPr>
              <w:t xml:space="preserve">predstavuje podiel osôb (v percentách) v celkovej populácii, ktoré žijú v domácnostiach s ekvivalentným disponibilným príjmom pod hranicou rizika chudoby. </w:t>
            </w:r>
            <w:r w:rsidRPr="0047375B">
              <w:rPr>
                <w:szCs w:val="22"/>
              </w:rPr>
              <w:t xml:space="preserve">Medzinárodne používaná hranica rizika chudoby je definovaná ako 60 % mediánu ekvivalentného disponibilného príjmu domácností vrátane sociálnych transferov. Na výpočet ekvivalentnej veľkosti domácnosti sa využíva ekvivalentná </w:t>
            </w:r>
            <w:r w:rsidRPr="00221128">
              <w:rPr>
                <w:szCs w:val="22"/>
              </w:rPr>
              <w:t>škála</w:t>
            </w:r>
            <w:r w:rsidR="00221128" w:rsidRPr="00221128">
              <w:rPr>
                <w:szCs w:val="22"/>
              </w:rPr>
              <w:t xml:space="preserve"> (</w:t>
            </w:r>
            <w:r w:rsidR="00221128" w:rsidRPr="000F5DD5">
              <w:rPr>
                <w:szCs w:val="22"/>
              </w:rPr>
              <w:fldChar w:fldCharType="begin"/>
            </w:r>
            <w:r w:rsidR="00221128" w:rsidRPr="00221128">
              <w:rPr>
                <w:szCs w:val="22"/>
              </w:rPr>
              <w:instrText xml:space="preserve"> REF _Ref21087997 \h </w:instrText>
            </w:r>
            <w:r w:rsidR="00221128" w:rsidRPr="00D41517">
              <w:rPr>
                <w:szCs w:val="22"/>
              </w:rPr>
              <w:instrText xml:space="preserve"> \* MERGEFORMAT </w:instrText>
            </w:r>
            <w:r w:rsidR="00221128" w:rsidRPr="000F5DD5">
              <w:rPr>
                <w:szCs w:val="22"/>
              </w:rPr>
            </w:r>
            <w:r w:rsidR="00221128" w:rsidRPr="000F5DD5">
              <w:rPr>
                <w:szCs w:val="22"/>
              </w:rPr>
              <w:fldChar w:fldCharType="separate"/>
            </w:r>
            <w:r w:rsidR="00FA29AF" w:rsidRPr="00FA29AF">
              <w:rPr>
                <w:iCs/>
              </w:rPr>
              <w:t xml:space="preserve">Box </w:t>
            </w:r>
            <w:r w:rsidR="00FA29AF" w:rsidRPr="00FA29AF">
              <w:rPr>
                <w:iCs/>
                <w:noProof/>
              </w:rPr>
              <w:t>19</w:t>
            </w:r>
            <w:r w:rsidR="00221128" w:rsidRPr="000F5DD5">
              <w:rPr>
                <w:szCs w:val="22"/>
              </w:rPr>
              <w:fldChar w:fldCharType="end"/>
            </w:r>
            <w:r w:rsidR="00221128" w:rsidRPr="00221128">
              <w:rPr>
                <w:szCs w:val="22"/>
              </w:rPr>
              <w:t xml:space="preserve">, </w:t>
            </w:r>
            <w:r w:rsidR="00093482">
              <w:rPr>
                <w:szCs w:val="22"/>
              </w:rPr>
              <w:t>pod</w:t>
            </w:r>
            <w:r w:rsidR="00221128" w:rsidRPr="00221128">
              <w:rPr>
                <w:szCs w:val="22"/>
              </w:rPr>
              <w:t>kapitola</w:t>
            </w:r>
            <w:r w:rsidR="00093482">
              <w:rPr>
                <w:szCs w:val="22"/>
              </w:rPr>
              <w:t xml:space="preserve"> </w:t>
            </w:r>
            <w:r w:rsidR="00093482">
              <w:rPr>
                <w:szCs w:val="22"/>
              </w:rPr>
              <w:fldChar w:fldCharType="begin"/>
            </w:r>
            <w:r w:rsidR="00093482">
              <w:rPr>
                <w:szCs w:val="22"/>
              </w:rPr>
              <w:instrText xml:space="preserve"> REF _Ref33434348 \r \h </w:instrText>
            </w:r>
            <w:r w:rsidR="00093482">
              <w:rPr>
                <w:szCs w:val="22"/>
              </w:rPr>
            </w:r>
            <w:r w:rsidR="00093482">
              <w:rPr>
                <w:szCs w:val="22"/>
              </w:rPr>
              <w:fldChar w:fldCharType="separate"/>
            </w:r>
            <w:r w:rsidR="00FA29AF">
              <w:rPr>
                <w:szCs w:val="22"/>
              </w:rPr>
              <w:t>8.1</w:t>
            </w:r>
            <w:r w:rsidR="00093482">
              <w:rPr>
                <w:szCs w:val="22"/>
              </w:rPr>
              <w:fldChar w:fldCharType="end"/>
            </w:r>
            <w:r w:rsidR="00221128" w:rsidRPr="00221128">
              <w:rPr>
                <w:szCs w:val="22"/>
              </w:rPr>
              <w:t>)</w:t>
            </w:r>
            <w:r w:rsidRPr="00221128">
              <w:rPr>
                <w:szCs w:val="22"/>
              </w:rPr>
              <w:t>.</w:t>
            </w:r>
          </w:p>
          <w:p w14:paraId="04519333" w14:textId="77777777" w:rsidR="0035005D" w:rsidRPr="0047375B" w:rsidRDefault="0035005D" w:rsidP="005E124E">
            <w:pPr>
              <w:pStyle w:val="Odsekzoznamu"/>
              <w:numPr>
                <w:ilvl w:val="0"/>
                <w:numId w:val="4"/>
              </w:numPr>
              <w:autoSpaceDE w:val="0"/>
              <w:autoSpaceDN w:val="0"/>
              <w:adjustRightInd w:val="0"/>
              <w:rPr>
                <w:rFonts w:cs="NeueHaasGroteskText W02"/>
                <w:color w:val="000000"/>
                <w:szCs w:val="22"/>
              </w:rPr>
            </w:pPr>
            <w:r w:rsidRPr="0047375B">
              <w:rPr>
                <w:rFonts w:cs="NeueHaasGroteskText W02"/>
                <w:b/>
                <w:color w:val="000000"/>
                <w:szCs w:val="22"/>
              </w:rPr>
              <w:t>Miera závažnej materiálnej deprivácie</w:t>
            </w:r>
            <w:r w:rsidRPr="0047375B">
              <w:rPr>
                <w:rFonts w:cs="NeueHaasGroteskText W02"/>
                <w:color w:val="000000"/>
                <w:szCs w:val="22"/>
              </w:rPr>
              <w:t xml:space="preserve"> </w:t>
            </w:r>
            <w:r w:rsidRPr="0047375B">
              <w:rPr>
                <w:rFonts w:cs="ArialNarrow"/>
                <w:szCs w:val="22"/>
              </w:rPr>
              <w:t>vyjadruje podiel populácie (v percentách), ktorá žije v domácnostiach čeliacich vynútenému nedostatku v aspoň štyroch z celkovo deviatich deprivačných položiek z dimenzie finančnej záťaže a vlastníctva predmetov dlhodobej spotreby.</w:t>
            </w:r>
            <w:r w:rsidRPr="0047375B">
              <w:rPr>
                <w:rStyle w:val="Odkaznapoznmkupodiarou"/>
                <w:rFonts w:cs="ArialNarrow"/>
                <w:szCs w:val="22"/>
              </w:rPr>
              <w:footnoteReference w:id="10"/>
            </w:r>
          </w:p>
          <w:p w14:paraId="4888B423" w14:textId="77777777" w:rsidR="0035005D" w:rsidRPr="0047375B" w:rsidRDefault="0035005D" w:rsidP="005E124E">
            <w:pPr>
              <w:pStyle w:val="Odsekzoznamu"/>
              <w:numPr>
                <w:ilvl w:val="0"/>
                <w:numId w:val="4"/>
              </w:numPr>
              <w:autoSpaceDE w:val="0"/>
              <w:autoSpaceDN w:val="0"/>
              <w:adjustRightInd w:val="0"/>
              <w:ind w:left="714" w:hanging="357"/>
              <w:rPr>
                <w:rFonts w:cs="NeueHaasGroteskText W02"/>
                <w:color w:val="000000"/>
                <w:szCs w:val="22"/>
              </w:rPr>
            </w:pPr>
            <w:r w:rsidRPr="0047375B">
              <w:rPr>
                <w:rFonts w:cs="NeueHaasGroteskText W02"/>
                <w:b/>
                <w:color w:val="000000"/>
                <w:szCs w:val="22"/>
              </w:rPr>
              <w:t>Miera veľmi nízkej pracovnej intenzity domácností</w:t>
            </w:r>
            <w:r w:rsidRPr="0047375B">
              <w:rPr>
                <w:rFonts w:cs="NeueHaasGroteskText W02"/>
                <w:color w:val="000000"/>
                <w:szCs w:val="22"/>
              </w:rPr>
              <w:t xml:space="preserve"> v</w:t>
            </w:r>
            <w:r w:rsidRPr="0047375B">
              <w:rPr>
                <w:rFonts w:cs="ArialNarrow"/>
                <w:szCs w:val="22"/>
              </w:rPr>
              <w:t>yjadruje podiel osôb, ktoré žijú v domácnostiach s pracovnou intenzitou nižšou ako 20 %, k populácii vo veku 0-59 rokov. Pracovná intenzita domácnosti predstavuje pomer medzi počtom mesiacov, ktoré všetci členovia domácnosti v pracovnom veku odpracovali počas príjmového referenčného obdobia, a celkovým počtom mesiacov, ktoré by mohli byť týmito členmi domácnosti teoreticky odpracované. Definícia pracovného veku sa vzťahuje na osoby vo veku 18-59 rokov, s vylúčením osôb vo veku 18-24 rokov, ktoré sú študentmi.</w:t>
            </w:r>
          </w:p>
          <w:p w14:paraId="3F738DCA" w14:textId="77777777" w:rsidR="0035005D" w:rsidRPr="0047375B" w:rsidRDefault="0035005D" w:rsidP="005E124E">
            <w:r w:rsidRPr="0047375B">
              <w:t>Z ostatných indikátorov boli po jednom vybraté indikátory v oblasti prístupu k vzdelaniu, k zdravotnej starostlivosti a k bývaniu, čo sú tri kľúčové oblasti sociálneho začleňovania:</w:t>
            </w:r>
          </w:p>
          <w:p w14:paraId="4F134783" w14:textId="77777777" w:rsidR="0035005D" w:rsidRPr="0047375B" w:rsidRDefault="0035005D" w:rsidP="00CA3920">
            <w:pPr>
              <w:pStyle w:val="Odsekzoznamu"/>
              <w:numPr>
                <w:ilvl w:val="0"/>
                <w:numId w:val="5"/>
              </w:numPr>
              <w:autoSpaceDE w:val="0"/>
              <w:autoSpaceDN w:val="0"/>
              <w:adjustRightInd w:val="0"/>
              <w:spacing w:before="160"/>
              <w:rPr>
                <w:rFonts w:cs="NeueHaasGroteskText W02"/>
                <w:color w:val="000000"/>
                <w:szCs w:val="22"/>
              </w:rPr>
            </w:pPr>
            <w:r w:rsidRPr="0047375B">
              <w:rPr>
                <w:rFonts w:cs="NeueHaasGroteskText W02"/>
                <w:b/>
                <w:color w:val="000000"/>
                <w:szCs w:val="22"/>
              </w:rPr>
              <w:t>Miera predčasného ukončenia školskej dochádzky mladých</w:t>
            </w:r>
            <w:r w:rsidRPr="0047375B">
              <w:rPr>
                <w:rFonts w:cs="NeueHaasGroteskText W02"/>
                <w:color w:val="000000"/>
                <w:szCs w:val="22"/>
              </w:rPr>
              <w:t xml:space="preserve"> vyjadruje podiel osôb vo veku 18 až 24 rokov, ktoré majú ukončený najviac nižší stupeň stredného vzdelania (ISCED 0 až 2) a nezúčastňovali sa na vzdelávaní alebo školení počas štyroch týždňov pred uskutočnením prieskumu.</w:t>
            </w:r>
          </w:p>
          <w:p w14:paraId="31AB5138" w14:textId="77777777" w:rsidR="0035005D" w:rsidRPr="0047375B" w:rsidRDefault="0035005D" w:rsidP="00CA3920">
            <w:pPr>
              <w:pStyle w:val="Odsekzoznamu"/>
              <w:numPr>
                <w:ilvl w:val="0"/>
                <w:numId w:val="5"/>
              </w:numPr>
              <w:autoSpaceDE w:val="0"/>
              <w:autoSpaceDN w:val="0"/>
              <w:adjustRightInd w:val="0"/>
              <w:spacing w:before="160"/>
              <w:rPr>
                <w:rFonts w:cs="NeueHaasGroteskText W02"/>
                <w:color w:val="000000"/>
                <w:szCs w:val="22"/>
              </w:rPr>
            </w:pPr>
            <w:r w:rsidRPr="0047375B">
              <w:rPr>
                <w:rFonts w:cs="NeueHaasGroteskText W02"/>
                <w:b/>
                <w:color w:val="000000"/>
                <w:szCs w:val="22"/>
              </w:rPr>
              <w:t>Miera nenaplnenej potreby medicínskeho vyšetrenia alebo liečby</w:t>
            </w:r>
            <w:r w:rsidRPr="0047375B">
              <w:rPr>
                <w:rFonts w:cs="NeueHaasGroteskText W02"/>
                <w:color w:val="000000"/>
                <w:szCs w:val="22"/>
              </w:rPr>
              <w:t xml:space="preserve"> vyjadruje podiel osôb v populácii vo veku 16 a viac rokov, ktoré sa v prieskume vyjadrili, že </w:t>
            </w:r>
            <w:r w:rsidRPr="0047375B">
              <w:rPr>
                <w:szCs w:val="22"/>
              </w:rPr>
              <w:t>v priebehu predošlého roka aspoň raz nemali prístup k vyšetreniu alebo liečbe, ktorú potrebovali.</w:t>
            </w:r>
          </w:p>
          <w:p w14:paraId="1457A903" w14:textId="77777777" w:rsidR="0035005D" w:rsidRPr="0047375B" w:rsidRDefault="0035005D" w:rsidP="00CA3920">
            <w:pPr>
              <w:pStyle w:val="Odsekzoznamu"/>
              <w:numPr>
                <w:ilvl w:val="0"/>
                <w:numId w:val="5"/>
              </w:numPr>
              <w:autoSpaceDE w:val="0"/>
              <w:autoSpaceDN w:val="0"/>
              <w:adjustRightInd w:val="0"/>
              <w:spacing w:before="160"/>
              <w:rPr>
                <w:rFonts w:cs="NeueHaasGroteskText W02"/>
                <w:color w:val="000000"/>
                <w:szCs w:val="22"/>
              </w:rPr>
            </w:pPr>
            <w:r w:rsidRPr="0047375B">
              <w:rPr>
                <w:b/>
                <w:szCs w:val="22"/>
              </w:rPr>
              <w:t xml:space="preserve">Miera závažnej deprivácie v bývaní </w:t>
            </w:r>
            <w:r w:rsidRPr="0047375B">
              <w:rPr>
                <w:szCs w:val="22"/>
              </w:rPr>
              <w:t>vyjadruje podiel osôb, ktoré bývajú v preľudnených priestoroch (počet izieb nezodpovedá veľkosti a zloženiu domácnosti) a zároveň čelia aspoň jednému z troch problémov s bývaním: nedostatku svetla v príbytku, zatekajúcej streche, alebo nemá v príbytku sprchu, vaňu ani vnútornú splachovaciu toaletu.</w:t>
            </w:r>
          </w:p>
          <w:p w14:paraId="01FB9F80" w14:textId="77777777" w:rsidR="0035005D" w:rsidRPr="00931184" w:rsidRDefault="0035005D" w:rsidP="005E124E">
            <w:r w:rsidRPr="0047375B">
              <w:t>Údaje sa zakladajú na výberovom štatistickom zisťovaní o príjmoch a životných podmienkach domácností (EU SILC), ktoré na Slovensku každoročne uskutočňuje Štatistický úrad SR. Vzhľadom na metodológiu zberu dát je dôvod predpokladať, že časť sociálne najslabších skupín obyvateľstva, ako sú napríklad ľudia bez domova alebo niektorí obyvatelia segregovaných rómskych osád</w:t>
            </w:r>
            <w:r>
              <w:t>,</w:t>
            </w:r>
            <w:r w:rsidRPr="0047375B">
              <w:t xml:space="preserve"> nie </w:t>
            </w:r>
            <w:r>
              <w:t>je</w:t>
            </w:r>
            <w:r w:rsidRPr="0047375B">
              <w:t xml:space="preserve"> v dostatočnej miere zastúpen</w:t>
            </w:r>
            <w:r>
              <w:t>á</w:t>
            </w:r>
            <w:r w:rsidRPr="0047375B">
              <w:t>.</w:t>
            </w:r>
            <w:bookmarkStart w:id="71" w:name="_Ref25656733"/>
            <w:r w:rsidRPr="0047375B">
              <w:rPr>
                <w:rStyle w:val="Odkaznapoznmkupodiarou"/>
                <w:rFonts w:cs="NeueHaasGroteskText W02"/>
                <w:color w:val="000000"/>
                <w:szCs w:val="22"/>
              </w:rPr>
              <w:footnoteReference w:id="11"/>
            </w:r>
            <w:bookmarkEnd w:id="71"/>
          </w:p>
        </w:tc>
      </w:tr>
    </w:tbl>
    <w:p w14:paraId="24164C0D" w14:textId="77777777" w:rsidR="00C5463F" w:rsidRDefault="00C5463F" w:rsidP="007F3978">
      <w:pPr>
        <w:spacing w:after="0"/>
        <w:rPr>
          <w:b/>
          <w:sz w:val="20"/>
        </w:rPr>
      </w:pPr>
      <w:bookmarkStart w:id="72" w:name="_Ref529263228"/>
      <w:bookmarkStart w:id="73" w:name="_Ref25328835"/>
      <w:bookmarkStart w:id="74" w:name="_Toc17469463"/>
    </w:p>
    <w:p w14:paraId="3E358EFD" w14:textId="77777777" w:rsidR="00D47BB1" w:rsidRDefault="00D47BB1" w:rsidP="007F3978">
      <w:pPr>
        <w:spacing w:after="0"/>
        <w:rPr>
          <w:b/>
          <w:sz w:val="20"/>
        </w:rPr>
      </w:pPr>
    </w:p>
    <w:p w14:paraId="238DB33A" w14:textId="77777777" w:rsidR="00D47BB1" w:rsidRDefault="00D47BB1" w:rsidP="007F3978">
      <w:pPr>
        <w:spacing w:after="0"/>
        <w:rPr>
          <w:b/>
          <w:sz w:val="20"/>
        </w:rPr>
      </w:pPr>
    </w:p>
    <w:p w14:paraId="0E217EBB" w14:textId="77777777" w:rsidR="00D47BB1" w:rsidRDefault="00D47BB1" w:rsidP="007F3978">
      <w:pPr>
        <w:spacing w:after="0"/>
        <w:rPr>
          <w:b/>
          <w:sz w:val="20"/>
        </w:rPr>
      </w:pPr>
    </w:p>
    <w:p w14:paraId="75995392" w14:textId="322BDED0" w:rsidR="00763313" w:rsidRDefault="00763313" w:rsidP="007F3978">
      <w:pPr>
        <w:spacing w:after="0"/>
        <w:rPr>
          <w:b/>
          <w:sz w:val="20"/>
        </w:rPr>
      </w:pPr>
      <w:bookmarkStart w:id="75" w:name="_Ref27739217"/>
      <w:bookmarkStart w:id="76" w:name="_Ref33439531"/>
      <w:bookmarkStart w:id="77" w:name="_Toc34156840"/>
      <w:r w:rsidRPr="007F3978">
        <w:rPr>
          <w:b/>
          <w:sz w:val="20"/>
        </w:rPr>
        <w:lastRenderedPageBreak/>
        <w:t xml:space="preserve">Tabuľka </w:t>
      </w:r>
      <w:r w:rsidRPr="007F3978">
        <w:rPr>
          <w:b/>
          <w:noProof/>
          <w:sz w:val="20"/>
        </w:rPr>
        <w:fldChar w:fldCharType="begin"/>
      </w:r>
      <w:r w:rsidRPr="007F3978">
        <w:rPr>
          <w:b/>
          <w:noProof/>
          <w:sz w:val="20"/>
        </w:rPr>
        <w:instrText xml:space="preserve"> SEQ Tabuľka \* ARABIC </w:instrText>
      </w:r>
      <w:r w:rsidRPr="007F3978">
        <w:rPr>
          <w:b/>
          <w:noProof/>
          <w:sz w:val="20"/>
        </w:rPr>
        <w:fldChar w:fldCharType="separate"/>
      </w:r>
      <w:r w:rsidR="00FA29AF">
        <w:rPr>
          <w:b/>
          <w:noProof/>
          <w:sz w:val="20"/>
        </w:rPr>
        <w:t>1</w:t>
      </w:r>
      <w:r w:rsidRPr="007F3978">
        <w:rPr>
          <w:b/>
          <w:noProof/>
          <w:sz w:val="20"/>
        </w:rPr>
        <w:fldChar w:fldCharType="end"/>
      </w:r>
      <w:bookmarkEnd w:id="72"/>
      <w:bookmarkEnd w:id="73"/>
      <w:bookmarkEnd w:id="75"/>
      <w:bookmarkEnd w:id="76"/>
      <w:r w:rsidRPr="007F3978">
        <w:rPr>
          <w:b/>
          <w:sz w:val="20"/>
        </w:rPr>
        <w:t>: Kľúčové ukazovatele sociálneho vylúčenia, 201</w:t>
      </w:r>
      <w:r w:rsidR="006C3B20">
        <w:rPr>
          <w:b/>
          <w:sz w:val="20"/>
        </w:rPr>
        <w:t>8</w:t>
      </w:r>
      <w:r w:rsidRPr="007F3978">
        <w:rPr>
          <w:b/>
          <w:sz w:val="20"/>
        </w:rPr>
        <w:t xml:space="preserve"> (% populácie)</w:t>
      </w:r>
      <w:bookmarkEnd w:id="74"/>
      <w:bookmarkEnd w:id="77"/>
    </w:p>
    <w:tbl>
      <w:tblPr>
        <w:tblW w:w="9072" w:type="dxa"/>
        <w:tblLayout w:type="fixed"/>
        <w:tblCellMar>
          <w:left w:w="70" w:type="dxa"/>
          <w:right w:w="70" w:type="dxa"/>
        </w:tblCellMar>
        <w:tblLook w:val="04A0" w:firstRow="1" w:lastRow="0" w:firstColumn="1" w:lastColumn="0" w:noHBand="0" w:noVBand="1"/>
      </w:tblPr>
      <w:tblGrid>
        <w:gridCol w:w="4962"/>
        <w:gridCol w:w="1370"/>
        <w:gridCol w:w="1370"/>
        <w:gridCol w:w="1370"/>
      </w:tblGrid>
      <w:tr w:rsidR="005E104E" w:rsidRPr="005E104E" w14:paraId="03C9B2E8" w14:textId="77777777" w:rsidTr="005E104E">
        <w:trPr>
          <w:trHeight w:val="255"/>
        </w:trPr>
        <w:tc>
          <w:tcPr>
            <w:tcW w:w="4962" w:type="dxa"/>
            <w:tcBorders>
              <w:top w:val="single" w:sz="4" w:space="0" w:color="auto"/>
              <w:left w:val="nil"/>
              <w:bottom w:val="single" w:sz="4" w:space="0" w:color="auto"/>
              <w:right w:val="nil"/>
            </w:tcBorders>
            <w:shd w:val="clear" w:color="000000" w:fill="FFFFFF"/>
            <w:noWrap/>
            <w:vAlign w:val="bottom"/>
            <w:hideMark/>
          </w:tcPr>
          <w:p w14:paraId="2248204C" w14:textId="77777777" w:rsidR="005E104E" w:rsidRPr="005E104E" w:rsidRDefault="005E104E" w:rsidP="005E104E">
            <w:pPr>
              <w:spacing w:after="0" w:line="240" w:lineRule="auto"/>
              <w:jc w:val="left"/>
              <w:rPr>
                <w:rFonts w:eastAsia="Times New Roman" w:cs="Times New Roman"/>
                <w:color w:val="000000"/>
                <w:sz w:val="20"/>
                <w:lang w:eastAsia="sk-SK"/>
              </w:rPr>
            </w:pPr>
            <w:r w:rsidRPr="005E104E">
              <w:rPr>
                <w:rFonts w:eastAsia="Times New Roman" w:cs="Times New Roman"/>
                <w:color w:val="000000"/>
                <w:sz w:val="20"/>
                <w:lang w:eastAsia="sk-SK"/>
              </w:rPr>
              <w:t> </w:t>
            </w:r>
          </w:p>
        </w:tc>
        <w:tc>
          <w:tcPr>
            <w:tcW w:w="1370" w:type="dxa"/>
            <w:tcBorders>
              <w:top w:val="single" w:sz="4" w:space="0" w:color="auto"/>
              <w:left w:val="nil"/>
              <w:bottom w:val="single" w:sz="4" w:space="0" w:color="auto"/>
              <w:right w:val="nil"/>
            </w:tcBorders>
            <w:shd w:val="clear" w:color="000000" w:fill="FFFFFF"/>
            <w:noWrap/>
            <w:vAlign w:val="bottom"/>
            <w:hideMark/>
          </w:tcPr>
          <w:p w14:paraId="440BBE6E" w14:textId="77777777" w:rsidR="005E104E" w:rsidRPr="005E104E" w:rsidRDefault="005E104E" w:rsidP="005E104E">
            <w:pPr>
              <w:spacing w:after="0" w:line="240" w:lineRule="auto"/>
              <w:jc w:val="center"/>
              <w:rPr>
                <w:rFonts w:eastAsia="Times New Roman" w:cs="Times New Roman"/>
                <w:b/>
                <w:bCs/>
                <w:color w:val="000000"/>
                <w:sz w:val="20"/>
                <w:lang w:eastAsia="sk-SK"/>
              </w:rPr>
            </w:pPr>
            <w:r w:rsidRPr="005E104E">
              <w:rPr>
                <w:rFonts w:eastAsia="Times New Roman" w:cs="Times New Roman"/>
                <w:b/>
                <w:bCs/>
                <w:color w:val="000000"/>
                <w:sz w:val="20"/>
                <w:lang w:eastAsia="sk-SK"/>
              </w:rPr>
              <w:t>Slovensko</w:t>
            </w:r>
          </w:p>
        </w:tc>
        <w:tc>
          <w:tcPr>
            <w:tcW w:w="1370" w:type="dxa"/>
            <w:tcBorders>
              <w:top w:val="single" w:sz="4" w:space="0" w:color="auto"/>
              <w:left w:val="nil"/>
              <w:bottom w:val="single" w:sz="4" w:space="0" w:color="auto"/>
              <w:right w:val="nil"/>
            </w:tcBorders>
            <w:shd w:val="clear" w:color="000000" w:fill="FFFFFF"/>
            <w:noWrap/>
            <w:vAlign w:val="bottom"/>
            <w:hideMark/>
          </w:tcPr>
          <w:p w14:paraId="11954BFE" w14:textId="77777777" w:rsidR="005E104E" w:rsidRPr="005E104E" w:rsidRDefault="005E104E" w:rsidP="005E104E">
            <w:pPr>
              <w:spacing w:after="0" w:line="240" w:lineRule="auto"/>
              <w:jc w:val="center"/>
              <w:rPr>
                <w:rFonts w:eastAsia="Times New Roman" w:cs="Times New Roman"/>
                <w:b/>
                <w:bCs/>
                <w:color w:val="000000"/>
                <w:sz w:val="20"/>
                <w:lang w:eastAsia="sk-SK"/>
              </w:rPr>
            </w:pPr>
            <w:r w:rsidRPr="005E104E">
              <w:rPr>
                <w:rFonts w:eastAsia="Times New Roman" w:cs="Times New Roman"/>
                <w:b/>
                <w:bCs/>
                <w:color w:val="000000"/>
                <w:sz w:val="20"/>
                <w:lang w:eastAsia="sk-SK"/>
              </w:rPr>
              <w:t>V3</w:t>
            </w:r>
          </w:p>
        </w:tc>
        <w:tc>
          <w:tcPr>
            <w:tcW w:w="1370" w:type="dxa"/>
            <w:tcBorders>
              <w:top w:val="single" w:sz="4" w:space="0" w:color="auto"/>
              <w:left w:val="nil"/>
              <w:bottom w:val="single" w:sz="4" w:space="0" w:color="auto"/>
              <w:right w:val="nil"/>
            </w:tcBorders>
            <w:shd w:val="clear" w:color="000000" w:fill="FFFFFF"/>
            <w:noWrap/>
            <w:vAlign w:val="bottom"/>
            <w:hideMark/>
          </w:tcPr>
          <w:p w14:paraId="2791146F" w14:textId="6795F84A" w:rsidR="005E104E" w:rsidRPr="005E104E" w:rsidRDefault="005E104E" w:rsidP="005E104E">
            <w:pPr>
              <w:spacing w:after="0" w:line="240" w:lineRule="auto"/>
              <w:jc w:val="center"/>
              <w:rPr>
                <w:rFonts w:eastAsia="Times New Roman" w:cs="Times New Roman"/>
                <w:b/>
                <w:bCs/>
                <w:color w:val="000000"/>
                <w:sz w:val="20"/>
                <w:lang w:eastAsia="sk-SK"/>
              </w:rPr>
            </w:pPr>
            <w:r w:rsidRPr="005E104E">
              <w:rPr>
                <w:rFonts w:eastAsia="Times New Roman" w:cs="Times New Roman"/>
                <w:b/>
                <w:bCs/>
                <w:color w:val="000000"/>
                <w:sz w:val="20"/>
                <w:lang w:eastAsia="sk-SK"/>
              </w:rPr>
              <w:t>EÚ15</w:t>
            </w:r>
          </w:p>
        </w:tc>
      </w:tr>
      <w:tr w:rsidR="005E104E" w:rsidRPr="005E104E" w14:paraId="40197173" w14:textId="77777777" w:rsidTr="005E104E">
        <w:trPr>
          <w:trHeight w:val="255"/>
        </w:trPr>
        <w:tc>
          <w:tcPr>
            <w:tcW w:w="4962" w:type="dxa"/>
            <w:tcBorders>
              <w:top w:val="nil"/>
              <w:left w:val="nil"/>
              <w:bottom w:val="nil"/>
              <w:right w:val="nil"/>
            </w:tcBorders>
            <w:shd w:val="clear" w:color="000000" w:fill="FFFFFF"/>
            <w:noWrap/>
            <w:vAlign w:val="bottom"/>
            <w:hideMark/>
          </w:tcPr>
          <w:p w14:paraId="6BE113D1" w14:textId="77777777" w:rsidR="005E104E" w:rsidRPr="005E104E" w:rsidRDefault="005E104E" w:rsidP="005E104E">
            <w:pPr>
              <w:spacing w:after="0" w:line="240" w:lineRule="auto"/>
              <w:jc w:val="left"/>
              <w:rPr>
                <w:rFonts w:eastAsia="Times New Roman" w:cs="Times New Roman"/>
                <w:b/>
                <w:bCs/>
                <w:color w:val="000000"/>
                <w:sz w:val="20"/>
                <w:lang w:eastAsia="sk-SK"/>
              </w:rPr>
            </w:pPr>
            <w:r w:rsidRPr="005E104E">
              <w:rPr>
                <w:rFonts w:eastAsia="Times New Roman" w:cs="Times New Roman"/>
                <w:b/>
                <w:bCs/>
                <w:color w:val="000000"/>
                <w:sz w:val="20"/>
                <w:lang w:eastAsia="sk-SK"/>
              </w:rPr>
              <w:t>Miera rizika chudoby alebo sociálneho vylúčenia</w:t>
            </w:r>
          </w:p>
        </w:tc>
        <w:tc>
          <w:tcPr>
            <w:tcW w:w="1370" w:type="dxa"/>
            <w:tcBorders>
              <w:top w:val="nil"/>
              <w:left w:val="nil"/>
              <w:bottom w:val="nil"/>
              <w:right w:val="nil"/>
            </w:tcBorders>
            <w:shd w:val="clear" w:color="000000" w:fill="FFFFFF"/>
            <w:noWrap/>
            <w:vAlign w:val="bottom"/>
            <w:hideMark/>
          </w:tcPr>
          <w:p w14:paraId="34C23934" w14:textId="77777777" w:rsidR="005E104E" w:rsidRPr="005E104E" w:rsidRDefault="005E104E" w:rsidP="005E104E">
            <w:pPr>
              <w:spacing w:after="0" w:line="240" w:lineRule="auto"/>
              <w:jc w:val="right"/>
              <w:rPr>
                <w:rFonts w:eastAsia="Times New Roman" w:cs="Times New Roman"/>
                <w:b/>
                <w:bCs/>
                <w:color w:val="000000"/>
                <w:sz w:val="20"/>
                <w:lang w:eastAsia="sk-SK"/>
              </w:rPr>
            </w:pPr>
            <w:r w:rsidRPr="005E104E">
              <w:rPr>
                <w:rFonts w:eastAsia="Times New Roman" w:cs="Times New Roman"/>
                <w:b/>
                <w:bCs/>
                <w:color w:val="000000"/>
                <w:sz w:val="20"/>
                <w:lang w:eastAsia="sk-SK"/>
              </w:rPr>
              <w:t>16,3</w:t>
            </w:r>
          </w:p>
        </w:tc>
        <w:tc>
          <w:tcPr>
            <w:tcW w:w="1370" w:type="dxa"/>
            <w:tcBorders>
              <w:top w:val="nil"/>
              <w:left w:val="nil"/>
              <w:bottom w:val="nil"/>
              <w:right w:val="nil"/>
            </w:tcBorders>
            <w:shd w:val="clear" w:color="000000" w:fill="FFFFFF"/>
            <w:noWrap/>
            <w:vAlign w:val="bottom"/>
            <w:hideMark/>
          </w:tcPr>
          <w:p w14:paraId="1A195889" w14:textId="77777777" w:rsidR="005E104E" w:rsidRPr="005E104E" w:rsidRDefault="005E104E" w:rsidP="005E104E">
            <w:pPr>
              <w:spacing w:after="0" w:line="240" w:lineRule="auto"/>
              <w:jc w:val="right"/>
              <w:rPr>
                <w:rFonts w:eastAsia="Times New Roman" w:cs="Times New Roman"/>
                <w:b/>
                <w:bCs/>
                <w:color w:val="000000"/>
                <w:sz w:val="20"/>
                <w:lang w:eastAsia="sk-SK"/>
              </w:rPr>
            </w:pPr>
            <w:r w:rsidRPr="005E104E">
              <w:rPr>
                <w:rFonts w:eastAsia="Times New Roman" w:cs="Times New Roman"/>
                <w:b/>
                <w:bCs/>
                <w:color w:val="000000"/>
                <w:sz w:val="20"/>
                <w:lang w:eastAsia="sk-SK"/>
              </w:rPr>
              <w:t>19,1</w:t>
            </w:r>
          </w:p>
        </w:tc>
        <w:tc>
          <w:tcPr>
            <w:tcW w:w="1370" w:type="dxa"/>
            <w:tcBorders>
              <w:top w:val="nil"/>
              <w:left w:val="nil"/>
              <w:bottom w:val="nil"/>
              <w:right w:val="nil"/>
            </w:tcBorders>
            <w:shd w:val="clear" w:color="000000" w:fill="FFFFFF"/>
            <w:noWrap/>
            <w:vAlign w:val="bottom"/>
            <w:hideMark/>
          </w:tcPr>
          <w:p w14:paraId="59662EAC" w14:textId="77777777" w:rsidR="005E104E" w:rsidRPr="005E104E" w:rsidRDefault="005E104E" w:rsidP="005E104E">
            <w:pPr>
              <w:spacing w:after="0" w:line="240" w:lineRule="auto"/>
              <w:jc w:val="right"/>
              <w:rPr>
                <w:rFonts w:eastAsia="Times New Roman" w:cs="Times New Roman"/>
                <w:b/>
                <w:bCs/>
                <w:color w:val="000000"/>
                <w:sz w:val="20"/>
                <w:lang w:eastAsia="sk-SK"/>
              </w:rPr>
            </w:pPr>
            <w:r w:rsidRPr="005E104E">
              <w:rPr>
                <w:rFonts w:eastAsia="Times New Roman" w:cs="Times New Roman"/>
                <w:b/>
                <w:bCs/>
                <w:color w:val="000000"/>
                <w:sz w:val="20"/>
                <w:lang w:eastAsia="sk-SK"/>
              </w:rPr>
              <w:t>21,5</w:t>
            </w:r>
          </w:p>
        </w:tc>
      </w:tr>
      <w:tr w:rsidR="005E104E" w:rsidRPr="005E104E" w14:paraId="703A6FF9" w14:textId="77777777" w:rsidTr="005E104E">
        <w:trPr>
          <w:trHeight w:val="255"/>
        </w:trPr>
        <w:tc>
          <w:tcPr>
            <w:tcW w:w="4962" w:type="dxa"/>
            <w:tcBorders>
              <w:top w:val="nil"/>
              <w:left w:val="nil"/>
              <w:bottom w:val="nil"/>
              <w:right w:val="nil"/>
            </w:tcBorders>
            <w:shd w:val="clear" w:color="000000" w:fill="FFFFFF"/>
            <w:noWrap/>
            <w:vAlign w:val="bottom"/>
            <w:hideMark/>
          </w:tcPr>
          <w:p w14:paraId="2B221103" w14:textId="77777777" w:rsidR="005E104E" w:rsidRPr="005E104E" w:rsidRDefault="005E104E" w:rsidP="005E104E">
            <w:pPr>
              <w:spacing w:after="0" w:line="240" w:lineRule="auto"/>
              <w:jc w:val="left"/>
              <w:rPr>
                <w:rFonts w:eastAsia="Times New Roman" w:cs="Times New Roman"/>
                <w:color w:val="000000"/>
                <w:sz w:val="20"/>
                <w:lang w:eastAsia="sk-SK"/>
              </w:rPr>
            </w:pPr>
            <w:r w:rsidRPr="005E104E">
              <w:rPr>
                <w:rFonts w:eastAsia="Times New Roman" w:cs="Times New Roman"/>
                <w:color w:val="000000"/>
                <w:sz w:val="20"/>
                <w:lang w:eastAsia="sk-SK"/>
              </w:rPr>
              <w:t>Miera rizika chudoby</w:t>
            </w:r>
          </w:p>
        </w:tc>
        <w:tc>
          <w:tcPr>
            <w:tcW w:w="1370" w:type="dxa"/>
            <w:tcBorders>
              <w:top w:val="nil"/>
              <w:left w:val="nil"/>
              <w:bottom w:val="nil"/>
              <w:right w:val="nil"/>
            </w:tcBorders>
            <w:shd w:val="clear" w:color="000000" w:fill="FFFFFF"/>
            <w:noWrap/>
            <w:vAlign w:val="bottom"/>
            <w:hideMark/>
          </w:tcPr>
          <w:p w14:paraId="54F35776" w14:textId="77777777" w:rsidR="005E104E" w:rsidRPr="005E104E" w:rsidRDefault="005E104E" w:rsidP="005E104E">
            <w:pPr>
              <w:spacing w:after="0" w:line="240" w:lineRule="auto"/>
              <w:jc w:val="right"/>
              <w:rPr>
                <w:rFonts w:eastAsia="Times New Roman" w:cs="Times New Roman"/>
                <w:color w:val="000000"/>
                <w:sz w:val="20"/>
                <w:lang w:eastAsia="sk-SK"/>
              </w:rPr>
            </w:pPr>
            <w:r w:rsidRPr="005E104E">
              <w:rPr>
                <w:rFonts w:eastAsia="Times New Roman" w:cs="Times New Roman"/>
                <w:color w:val="000000"/>
                <w:sz w:val="20"/>
                <w:lang w:eastAsia="sk-SK"/>
              </w:rPr>
              <w:t>12,2</w:t>
            </w:r>
          </w:p>
        </w:tc>
        <w:tc>
          <w:tcPr>
            <w:tcW w:w="1370" w:type="dxa"/>
            <w:tcBorders>
              <w:top w:val="nil"/>
              <w:left w:val="nil"/>
              <w:bottom w:val="nil"/>
              <w:right w:val="nil"/>
            </w:tcBorders>
            <w:shd w:val="clear" w:color="000000" w:fill="FFFFFF"/>
            <w:noWrap/>
            <w:vAlign w:val="bottom"/>
            <w:hideMark/>
          </w:tcPr>
          <w:p w14:paraId="166F2CA0" w14:textId="77777777" w:rsidR="005E104E" w:rsidRPr="005E104E" w:rsidRDefault="005E104E" w:rsidP="005E104E">
            <w:pPr>
              <w:spacing w:after="0" w:line="240" w:lineRule="auto"/>
              <w:jc w:val="right"/>
              <w:rPr>
                <w:rFonts w:eastAsia="Times New Roman" w:cs="Times New Roman"/>
                <w:color w:val="000000"/>
                <w:sz w:val="20"/>
                <w:lang w:eastAsia="sk-SK"/>
              </w:rPr>
            </w:pPr>
            <w:r w:rsidRPr="005E104E">
              <w:rPr>
                <w:rFonts w:eastAsia="Times New Roman" w:cs="Times New Roman"/>
                <w:color w:val="000000"/>
                <w:sz w:val="20"/>
                <w:lang w:eastAsia="sk-SK"/>
              </w:rPr>
              <w:t>12,4</w:t>
            </w:r>
          </w:p>
        </w:tc>
        <w:tc>
          <w:tcPr>
            <w:tcW w:w="1370" w:type="dxa"/>
            <w:tcBorders>
              <w:top w:val="nil"/>
              <w:left w:val="nil"/>
              <w:bottom w:val="nil"/>
              <w:right w:val="nil"/>
            </w:tcBorders>
            <w:shd w:val="clear" w:color="000000" w:fill="FFFFFF"/>
            <w:noWrap/>
            <w:vAlign w:val="bottom"/>
            <w:hideMark/>
          </w:tcPr>
          <w:p w14:paraId="420FB909" w14:textId="77777777" w:rsidR="005E104E" w:rsidRPr="005E104E" w:rsidRDefault="005E104E" w:rsidP="005E104E">
            <w:pPr>
              <w:spacing w:after="0" w:line="240" w:lineRule="auto"/>
              <w:jc w:val="right"/>
              <w:rPr>
                <w:rFonts w:eastAsia="Times New Roman" w:cs="Times New Roman"/>
                <w:color w:val="000000"/>
                <w:sz w:val="20"/>
                <w:lang w:eastAsia="sk-SK"/>
              </w:rPr>
            </w:pPr>
            <w:r w:rsidRPr="005E104E">
              <w:rPr>
                <w:rFonts w:eastAsia="Times New Roman" w:cs="Times New Roman"/>
                <w:color w:val="000000"/>
                <w:sz w:val="20"/>
                <w:lang w:eastAsia="sk-SK"/>
              </w:rPr>
              <w:t>16,3</w:t>
            </w:r>
          </w:p>
        </w:tc>
      </w:tr>
      <w:tr w:rsidR="005E104E" w:rsidRPr="005E104E" w14:paraId="3C28A84E" w14:textId="77777777" w:rsidTr="005E104E">
        <w:trPr>
          <w:trHeight w:val="255"/>
        </w:trPr>
        <w:tc>
          <w:tcPr>
            <w:tcW w:w="4962" w:type="dxa"/>
            <w:tcBorders>
              <w:top w:val="nil"/>
              <w:left w:val="nil"/>
              <w:bottom w:val="nil"/>
              <w:right w:val="nil"/>
            </w:tcBorders>
            <w:shd w:val="clear" w:color="000000" w:fill="FFFFFF"/>
            <w:noWrap/>
            <w:vAlign w:val="bottom"/>
            <w:hideMark/>
          </w:tcPr>
          <w:p w14:paraId="0CE69E45" w14:textId="77777777" w:rsidR="005E104E" w:rsidRPr="005E104E" w:rsidRDefault="005E104E" w:rsidP="005E104E">
            <w:pPr>
              <w:spacing w:after="0" w:line="240" w:lineRule="auto"/>
              <w:jc w:val="left"/>
              <w:rPr>
                <w:rFonts w:eastAsia="Times New Roman" w:cs="Times New Roman"/>
                <w:color w:val="000000"/>
                <w:sz w:val="20"/>
                <w:lang w:eastAsia="sk-SK"/>
              </w:rPr>
            </w:pPr>
            <w:r w:rsidRPr="005E104E">
              <w:rPr>
                <w:rFonts w:eastAsia="Times New Roman" w:cs="Times New Roman"/>
                <w:color w:val="000000"/>
                <w:sz w:val="20"/>
                <w:lang w:eastAsia="sk-SK"/>
              </w:rPr>
              <w:t>Miera závažnej materiálnej deprivácie</w:t>
            </w:r>
          </w:p>
        </w:tc>
        <w:tc>
          <w:tcPr>
            <w:tcW w:w="1370" w:type="dxa"/>
            <w:tcBorders>
              <w:top w:val="nil"/>
              <w:left w:val="nil"/>
              <w:bottom w:val="nil"/>
              <w:right w:val="nil"/>
            </w:tcBorders>
            <w:shd w:val="clear" w:color="000000" w:fill="FFFFFF"/>
            <w:noWrap/>
            <w:vAlign w:val="bottom"/>
            <w:hideMark/>
          </w:tcPr>
          <w:p w14:paraId="06526575" w14:textId="77777777" w:rsidR="005E104E" w:rsidRPr="005E104E" w:rsidRDefault="005E104E" w:rsidP="005E104E">
            <w:pPr>
              <w:spacing w:after="0" w:line="240" w:lineRule="auto"/>
              <w:jc w:val="right"/>
              <w:rPr>
                <w:rFonts w:eastAsia="Times New Roman" w:cs="Times New Roman"/>
                <w:color w:val="000000"/>
                <w:sz w:val="20"/>
                <w:lang w:eastAsia="sk-SK"/>
              </w:rPr>
            </w:pPr>
            <w:r w:rsidRPr="005E104E">
              <w:rPr>
                <w:rFonts w:eastAsia="Times New Roman" w:cs="Times New Roman"/>
                <w:color w:val="000000"/>
                <w:sz w:val="20"/>
                <w:lang w:eastAsia="sk-SK"/>
              </w:rPr>
              <w:t>7,0</w:t>
            </w:r>
          </w:p>
        </w:tc>
        <w:tc>
          <w:tcPr>
            <w:tcW w:w="1370" w:type="dxa"/>
            <w:tcBorders>
              <w:top w:val="nil"/>
              <w:left w:val="nil"/>
              <w:bottom w:val="nil"/>
              <w:right w:val="nil"/>
            </w:tcBorders>
            <w:shd w:val="clear" w:color="000000" w:fill="FFFFFF"/>
            <w:noWrap/>
            <w:vAlign w:val="bottom"/>
            <w:hideMark/>
          </w:tcPr>
          <w:p w14:paraId="220AE94F" w14:textId="77777777" w:rsidR="005E104E" w:rsidRPr="005E104E" w:rsidRDefault="005E104E" w:rsidP="005E104E">
            <w:pPr>
              <w:spacing w:after="0" w:line="240" w:lineRule="auto"/>
              <w:jc w:val="right"/>
              <w:rPr>
                <w:rFonts w:eastAsia="Times New Roman" w:cs="Times New Roman"/>
                <w:color w:val="000000"/>
                <w:sz w:val="20"/>
                <w:lang w:eastAsia="sk-SK"/>
              </w:rPr>
            </w:pPr>
            <w:r w:rsidRPr="005E104E">
              <w:rPr>
                <w:rFonts w:eastAsia="Times New Roman" w:cs="Times New Roman"/>
                <w:color w:val="000000"/>
                <w:sz w:val="20"/>
                <w:lang w:eastAsia="sk-SK"/>
              </w:rPr>
              <w:t>5,9</w:t>
            </w:r>
          </w:p>
        </w:tc>
        <w:tc>
          <w:tcPr>
            <w:tcW w:w="1370" w:type="dxa"/>
            <w:tcBorders>
              <w:top w:val="nil"/>
              <w:left w:val="nil"/>
              <w:bottom w:val="nil"/>
              <w:right w:val="nil"/>
            </w:tcBorders>
            <w:shd w:val="clear" w:color="000000" w:fill="FFFFFF"/>
            <w:noWrap/>
            <w:vAlign w:val="bottom"/>
            <w:hideMark/>
          </w:tcPr>
          <w:p w14:paraId="17A55132" w14:textId="77777777" w:rsidR="005E104E" w:rsidRPr="005E104E" w:rsidRDefault="005E104E" w:rsidP="005E104E">
            <w:pPr>
              <w:spacing w:after="0" w:line="240" w:lineRule="auto"/>
              <w:jc w:val="right"/>
              <w:rPr>
                <w:rFonts w:eastAsia="Times New Roman" w:cs="Times New Roman"/>
                <w:color w:val="000000"/>
                <w:sz w:val="20"/>
                <w:lang w:eastAsia="sk-SK"/>
              </w:rPr>
            </w:pPr>
            <w:r w:rsidRPr="005E104E">
              <w:rPr>
                <w:rFonts w:eastAsia="Times New Roman" w:cs="Times New Roman"/>
                <w:color w:val="000000"/>
                <w:sz w:val="20"/>
                <w:lang w:eastAsia="sk-SK"/>
              </w:rPr>
              <w:t>4,9</w:t>
            </w:r>
          </w:p>
        </w:tc>
      </w:tr>
      <w:tr w:rsidR="005E104E" w:rsidRPr="005E104E" w14:paraId="3303CD8C" w14:textId="77777777" w:rsidTr="005E104E">
        <w:trPr>
          <w:trHeight w:val="255"/>
        </w:trPr>
        <w:tc>
          <w:tcPr>
            <w:tcW w:w="4962" w:type="dxa"/>
            <w:tcBorders>
              <w:top w:val="nil"/>
              <w:left w:val="nil"/>
              <w:bottom w:val="nil"/>
              <w:right w:val="nil"/>
            </w:tcBorders>
            <w:shd w:val="clear" w:color="000000" w:fill="FFFFFF"/>
            <w:noWrap/>
            <w:vAlign w:val="bottom"/>
            <w:hideMark/>
          </w:tcPr>
          <w:p w14:paraId="7ECD9A90" w14:textId="77777777" w:rsidR="005E104E" w:rsidRPr="005E104E" w:rsidRDefault="005E104E" w:rsidP="005E104E">
            <w:pPr>
              <w:spacing w:after="0" w:line="240" w:lineRule="auto"/>
              <w:jc w:val="left"/>
              <w:rPr>
                <w:rFonts w:eastAsia="Times New Roman" w:cs="Times New Roman"/>
                <w:color w:val="000000"/>
                <w:sz w:val="20"/>
                <w:lang w:eastAsia="sk-SK"/>
              </w:rPr>
            </w:pPr>
            <w:r w:rsidRPr="005E104E">
              <w:rPr>
                <w:rFonts w:eastAsia="Times New Roman" w:cs="Times New Roman"/>
                <w:color w:val="000000"/>
                <w:sz w:val="20"/>
                <w:lang w:eastAsia="sk-SK"/>
              </w:rPr>
              <w:t>Miera nízkej pracovnej intenzity domácností</w:t>
            </w:r>
          </w:p>
        </w:tc>
        <w:tc>
          <w:tcPr>
            <w:tcW w:w="1370" w:type="dxa"/>
            <w:tcBorders>
              <w:top w:val="nil"/>
              <w:left w:val="nil"/>
              <w:bottom w:val="nil"/>
              <w:right w:val="nil"/>
            </w:tcBorders>
            <w:shd w:val="clear" w:color="000000" w:fill="FFFFFF"/>
            <w:noWrap/>
            <w:vAlign w:val="bottom"/>
            <w:hideMark/>
          </w:tcPr>
          <w:p w14:paraId="30AF8B89" w14:textId="77777777" w:rsidR="005E104E" w:rsidRPr="005E104E" w:rsidRDefault="005E104E" w:rsidP="005E104E">
            <w:pPr>
              <w:spacing w:after="0" w:line="240" w:lineRule="auto"/>
              <w:jc w:val="right"/>
              <w:rPr>
                <w:rFonts w:eastAsia="Times New Roman" w:cs="Times New Roman"/>
                <w:color w:val="000000"/>
                <w:sz w:val="20"/>
                <w:lang w:eastAsia="sk-SK"/>
              </w:rPr>
            </w:pPr>
            <w:r w:rsidRPr="005E104E">
              <w:rPr>
                <w:rFonts w:eastAsia="Times New Roman" w:cs="Times New Roman"/>
                <w:color w:val="000000"/>
                <w:sz w:val="20"/>
                <w:lang w:eastAsia="sk-SK"/>
              </w:rPr>
              <w:t>5,2</w:t>
            </w:r>
          </w:p>
        </w:tc>
        <w:tc>
          <w:tcPr>
            <w:tcW w:w="1370" w:type="dxa"/>
            <w:tcBorders>
              <w:top w:val="nil"/>
              <w:left w:val="nil"/>
              <w:bottom w:val="nil"/>
              <w:right w:val="nil"/>
            </w:tcBorders>
            <w:shd w:val="clear" w:color="000000" w:fill="FFFFFF"/>
            <w:noWrap/>
            <w:vAlign w:val="bottom"/>
            <w:hideMark/>
          </w:tcPr>
          <w:p w14:paraId="5988DF1C" w14:textId="77777777" w:rsidR="005E104E" w:rsidRPr="005E104E" w:rsidRDefault="005E104E" w:rsidP="005E104E">
            <w:pPr>
              <w:spacing w:after="0" w:line="240" w:lineRule="auto"/>
              <w:jc w:val="right"/>
              <w:rPr>
                <w:rFonts w:eastAsia="Times New Roman" w:cs="Times New Roman"/>
                <w:color w:val="000000"/>
                <w:sz w:val="20"/>
                <w:lang w:eastAsia="sk-SK"/>
              </w:rPr>
            </w:pPr>
            <w:r w:rsidRPr="005E104E">
              <w:rPr>
                <w:rFonts w:eastAsia="Times New Roman" w:cs="Times New Roman"/>
                <w:color w:val="000000"/>
                <w:sz w:val="20"/>
                <w:lang w:eastAsia="sk-SK"/>
              </w:rPr>
              <w:t>5,3</w:t>
            </w:r>
          </w:p>
        </w:tc>
        <w:tc>
          <w:tcPr>
            <w:tcW w:w="1370" w:type="dxa"/>
            <w:tcBorders>
              <w:top w:val="nil"/>
              <w:left w:val="nil"/>
              <w:bottom w:val="nil"/>
              <w:right w:val="nil"/>
            </w:tcBorders>
            <w:shd w:val="clear" w:color="000000" w:fill="FFFFFF"/>
            <w:noWrap/>
            <w:vAlign w:val="bottom"/>
            <w:hideMark/>
          </w:tcPr>
          <w:p w14:paraId="72E414ED" w14:textId="77777777" w:rsidR="005E104E" w:rsidRPr="005E104E" w:rsidRDefault="005E104E" w:rsidP="005E104E">
            <w:pPr>
              <w:spacing w:after="0" w:line="240" w:lineRule="auto"/>
              <w:jc w:val="right"/>
              <w:rPr>
                <w:rFonts w:eastAsia="Times New Roman" w:cs="Times New Roman"/>
                <w:color w:val="000000"/>
                <w:sz w:val="20"/>
                <w:lang w:eastAsia="sk-SK"/>
              </w:rPr>
            </w:pPr>
            <w:r w:rsidRPr="005E104E">
              <w:rPr>
                <w:rFonts w:eastAsia="Times New Roman" w:cs="Times New Roman"/>
                <w:color w:val="000000"/>
                <w:sz w:val="20"/>
                <w:lang w:eastAsia="sk-SK"/>
              </w:rPr>
              <w:t>9,9</w:t>
            </w:r>
          </w:p>
        </w:tc>
      </w:tr>
      <w:tr w:rsidR="005E104E" w:rsidRPr="005E104E" w14:paraId="62E2131C" w14:textId="77777777" w:rsidTr="005E104E">
        <w:trPr>
          <w:trHeight w:val="255"/>
        </w:trPr>
        <w:tc>
          <w:tcPr>
            <w:tcW w:w="4962" w:type="dxa"/>
            <w:tcBorders>
              <w:top w:val="nil"/>
              <w:left w:val="nil"/>
              <w:bottom w:val="nil"/>
              <w:right w:val="nil"/>
            </w:tcBorders>
            <w:shd w:val="clear" w:color="000000" w:fill="FFFFFF"/>
            <w:noWrap/>
            <w:vAlign w:val="bottom"/>
            <w:hideMark/>
          </w:tcPr>
          <w:p w14:paraId="33F13AAB" w14:textId="77777777" w:rsidR="005E104E" w:rsidRPr="005E104E" w:rsidRDefault="005E104E" w:rsidP="005E104E">
            <w:pPr>
              <w:spacing w:after="0" w:line="240" w:lineRule="auto"/>
              <w:jc w:val="left"/>
              <w:rPr>
                <w:rFonts w:eastAsia="Times New Roman" w:cs="Times New Roman"/>
                <w:b/>
                <w:bCs/>
                <w:color w:val="000000"/>
                <w:sz w:val="20"/>
                <w:lang w:eastAsia="sk-SK"/>
              </w:rPr>
            </w:pPr>
            <w:r w:rsidRPr="005E104E">
              <w:rPr>
                <w:rFonts w:eastAsia="Times New Roman" w:cs="Times New Roman"/>
                <w:b/>
                <w:bCs/>
                <w:color w:val="000000"/>
                <w:sz w:val="20"/>
                <w:lang w:eastAsia="sk-SK"/>
              </w:rPr>
              <w:t>Ostatné ukazovatele</w:t>
            </w:r>
          </w:p>
        </w:tc>
        <w:tc>
          <w:tcPr>
            <w:tcW w:w="1370" w:type="dxa"/>
            <w:tcBorders>
              <w:top w:val="nil"/>
              <w:left w:val="nil"/>
              <w:bottom w:val="nil"/>
              <w:right w:val="nil"/>
            </w:tcBorders>
            <w:shd w:val="clear" w:color="000000" w:fill="FFFFFF"/>
            <w:noWrap/>
            <w:vAlign w:val="bottom"/>
            <w:hideMark/>
          </w:tcPr>
          <w:p w14:paraId="48647E8C" w14:textId="77777777" w:rsidR="005E104E" w:rsidRPr="005E104E" w:rsidRDefault="005E104E" w:rsidP="005E104E">
            <w:pPr>
              <w:spacing w:after="0" w:line="240" w:lineRule="auto"/>
              <w:jc w:val="left"/>
              <w:rPr>
                <w:rFonts w:eastAsia="Times New Roman" w:cs="Times New Roman"/>
                <w:color w:val="000000"/>
                <w:sz w:val="20"/>
                <w:lang w:eastAsia="sk-SK"/>
              </w:rPr>
            </w:pPr>
            <w:r w:rsidRPr="005E104E">
              <w:rPr>
                <w:rFonts w:eastAsia="Times New Roman" w:cs="Times New Roman"/>
                <w:color w:val="000000"/>
                <w:sz w:val="20"/>
                <w:lang w:eastAsia="sk-SK"/>
              </w:rPr>
              <w:t> </w:t>
            </w:r>
          </w:p>
        </w:tc>
        <w:tc>
          <w:tcPr>
            <w:tcW w:w="1370" w:type="dxa"/>
            <w:tcBorders>
              <w:top w:val="nil"/>
              <w:left w:val="nil"/>
              <w:bottom w:val="nil"/>
              <w:right w:val="nil"/>
            </w:tcBorders>
            <w:shd w:val="clear" w:color="000000" w:fill="FFFFFF"/>
            <w:noWrap/>
            <w:vAlign w:val="bottom"/>
            <w:hideMark/>
          </w:tcPr>
          <w:p w14:paraId="5257A530" w14:textId="77777777" w:rsidR="005E104E" w:rsidRPr="005E104E" w:rsidRDefault="005E104E" w:rsidP="005E104E">
            <w:pPr>
              <w:spacing w:after="0" w:line="240" w:lineRule="auto"/>
              <w:jc w:val="left"/>
              <w:rPr>
                <w:rFonts w:eastAsia="Times New Roman" w:cs="Times New Roman"/>
                <w:color w:val="000000"/>
                <w:sz w:val="20"/>
                <w:lang w:eastAsia="sk-SK"/>
              </w:rPr>
            </w:pPr>
            <w:r w:rsidRPr="005E104E">
              <w:rPr>
                <w:rFonts w:eastAsia="Times New Roman" w:cs="Times New Roman"/>
                <w:color w:val="000000"/>
                <w:sz w:val="20"/>
                <w:lang w:eastAsia="sk-SK"/>
              </w:rPr>
              <w:t> </w:t>
            </w:r>
          </w:p>
        </w:tc>
        <w:tc>
          <w:tcPr>
            <w:tcW w:w="1370" w:type="dxa"/>
            <w:tcBorders>
              <w:top w:val="nil"/>
              <w:left w:val="nil"/>
              <w:bottom w:val="nil"/>
              <w:right w:val="nil"/>
            </w:tcBorders>
            <w:shd w:val="clear" w:color="000000" w:fill="FFFFFF"/>
            <w:noWrap/>
            <w:vAlign w:val="bottom"/>
            <w:hideMark/>
          </w:tcPr>
          <w:p w14:paraId="07690499" w14:textId="77777777" w:rsidR="005E104E" w:rsidRPr="005E104E" w:rsidRDefault="005E104E" w:rsidP="005E104E">
            <w:pPr>
              <w:spacing w:after="0" w:line="240" w:lineRule="auto"/>
              <w:jc w:val="left"/>
              <w:rPr>
                <w:rFonts w:eastAsia="Times New Roman" w:cs="Times New Roman"/>
                <w:color w:val="000000"/>
                <w:sz w:val="20"/>
                <w:lang w:eastAsia="sk-SK"/>
              </w:rPr>
            </w:pPr>
            <w:r w:rsidRPr="005E104E">
              <w:rPr>
                <w:rFonts w:eastAsia="Times New Roman" w:cs="Times New Roman"/>
                <w:color w:val="000000"/>
                <w:sz w:val="20"/>
                <w:lang w:eastAsia="sk-SK"/>
              </w:rPr>
              <w:t> </w:t>
            </w:r>
          </w:p>
        </w:tc>
      </w:tr>
      <w:tr w:rsidR="005E104E" w:rsidRPr="005E104E" w14:paraId="34EFAC53" w14:textId="77777777" w:rsidTr="005E104E">
        <w:trPr>
          <w:trHeight w:val="255"/>
        </w:trPr>
        <w:tc>
          <w:tcPr>
            <w:tcW w:w="4962" w:type="dxa"/>
            <w:tcBorders>
              <w:top w:val="nil"/>
              <w:left w:val="nil"/>
              <w:bottom w:val="nil"/>
              <w:right w:val="nil"/>
            </w:tcBorders>
            <w:shd w:val="clear" w:color="000000" w:fill="FFFFFF"/>
            <w:noWrap/>
            <w:vAlign w:val="bottom"/>
            <w:hideMark/>
          </w:tcPr>
          <w:p w14:paraId="1603F57D" w14:textId="77777777" w:rsidR="005E104E" w:rsidRPr="005E104E" w:rsidRDefault="005E104E" w:rsidP="005E104E">
            <w:pPr>
              <w:spacing w:after="0" w:line="240" w:lineRule="auto"/>
              <w:jc w:val="left"/>
              <w:rPr>
                <w:rFonts w:eastAsia="Times New Roman" w:cs="Times New Roman"/>
                <w:color w:val="000000"/>
                <w:sz w:val="20"/>
                <w:lang w:eastAsia="sk-SK"/>
              </w:rPr>
            </w:pPr>
            <w:r w:rsidRPr="005E104E">
              <w:rPr>
                <w:rFonts w:eastAsia="Times New Roman" w:cs="Times New Roman"/>
                <w:color w:val="000000"/>
                <w:sz w:val="20"/>
                <w:lang w:eastAsia="sk-SK"/>
              </w:rPr>
              <w:t xml:space="preserve">Miera predčasného ukončenia školskej dochádzky mladých </w:t>
            </w:r>
          </w:p>
        </w:tc>
        <w:tc>
          <w:tcPr>
            <w:tcW w:w="1370" w:type="dxa"/>
            <w:tcBorders>
              <w:top w:val="nil"/>
              <w:left w:val="nil"/>
              <w:bottom w:val="nil"/>
              <w:right w:val="nil"/>
            </w:tcBorders>
            <w:shd w:val="clear" w:color="000000" w:fill="FFFFFF"/>
            <w:noWrap/>
            <w:vAlign w:val="bottom"/>
            <w:hideMark/>
          </w:tcPr>
          <w:p w14:paraId="30ED677F" w14:textId="77777777" w:rsidR="005E104E" w:rsidRPr="005E104E" w:rsidRDefault="005E104E" w:rsidP="005E104E">
            <w:pPr>
              <w:spacing w:after="0" w:line="240" w:lineRule="auto"/>
              <w:jc w:val="right"/>
              <w:rPr>
                <w:rFonts w:eastAsia="Times New Roman" w:cs="Times New Roman"/>
                <w:color w:val="000000"/>
                <w:sz w:val="20"/>
                <w:lang w:eastAsia="sk-SK"/>
              </w:rPr>
            </w:pPr>
            <w:r w:rsidRPr="005E104E">
              <w:rPr>
                <w:rFonts w:eastAsia="Times New Roman" w:cs="Times New Roman"/>
                <w:color w:val="000000"/>
                <w:sz w:val="20"/>
                <w:lang w:eastAsia="sk-SK"/>
              </w:rPr>
              <w:t>8,6</w:t>
            </w:r>
          </w:p>
        </w:tc>
        <w:tc>
          <w:tcPr>
            <w:tcW w:w="1370" w:type="dxa"/>
            <w:tcBorders>
              <w:top w:val="nil"/>
              <w:left w:val="nil"/>
              <w:bottom w:val="nil"/>
              <w:right w:val="nil"/>
            </w:tcBorders>
            <w:shd w:val="clear" w:color="000000" w:fill="FFFFFF"/>
            <w:noWrap/>
            <w:vAlign w:val="bottom"/>
            <w:hideMark/>
          </w:tcPr>
          <w:p w14:paraId="1EA837A0" w14:textId="77777777" w:rsidR="005E104E" w:rsidRPr="005E104E" w:rsidRDefault="005E104E" w:rsidP="005E104E">
            <w:pPr>
              <w:spacing w:after="0" w:line="240" w:lineRule="auto"/>
              <w:jc w:val="right"/>
              <w:rPr>
                <w:rFonts w:eastAsia="Times New Roman" w:cs="Times New Roman"/>
                <w:color w:val="000000"/>
                <w:sz w:val="20"/>
                <w:lang w:eastAsia="sk-SK"/>
              </w:rPr>
            </w:pPr>
            <w:r w:rsidRPr="005E104E">
              <w:rPr>
                <w:rFonts w:eastAsia="Times New Roman" w:cs="Times New Roman"/>
                <w:color w:val="000000"/>
                <w:sz w:val="20"/>
                <w:lang w:eastAsia="sk-SK"/>
              </w:rPr>
              <w:t>7,8</w:t>
            </w:r>
          </w:p>
        </w:tc>
        <w:tc>
          <w:tcPr>
            <w:tcW w:w="1370" w:type="dxa"/>
            <w:tcBorders>
              <w:top w:val="nil"/>
              <w:left w:val="nil"/>
              <w:bottom w:val="nil"/>
              <w:right w:val="nil"/>
            </w:tcBorders>
            <w:shd w:val="clear" w:color="000000" w:fill="FFFFFF"/>
            <w:noWrap/>
            <w:vAlign w:val="bottom"/>
            <w:hideMark/>
          </w:tcPr>
          <w:p w14:paraId="366AA95A" w14:textId="77777777" w:rsidR="005E104E" w:rsidRPr="005E104E" w:rsidRDefault="005E104E" w:rsidP="005E104E">
            <w:pPr>
              <w:spacing w:after="0" w:line="240" w:lineRule="auto"/>
              <w:jc w:val="right"/>
              <w:rPr>
                <w:rFonts w:eastAsia="Times New Roman" w:cs="Times New Roman"/>
                <w:color w:val="000000"/>
                <w:sz w:val="20"/>
                <w:lang w:eastAsia="sk-SK"/>
              </w:rPr>
            </w:pPr>
            <w:r w:rsidRPr="005E104E">
              <w:rPr>
                <w:rFonts w:eastAsia="Times New Roman" w:cs="Times New Roman"/>
                <w:color w:val="000000"/>
                <w:sz w:val="20"/>
                <w:lang w:eastAsia="sk-SK"/>
              </w:rPr>
              <w:t>9,3</w:t>
            </w:r>
          </w:p>
        </w:tc>
      </w:tr>
      <w:tr w:rsidR="005E104E" w:rsidRPr="005E104E" w14:paraId="440C20D4" w14:textId="77777777" w:rsidTr="005E104E">
        <w:trPr>
          <w:trHeight w:val="255"/>
        </w:trPr>
        <w:tc>
          <w:tcPr>
            <w:tcW w:w="4962" w:type="dxa"/>
            <w:tcBorders>
              <w:top w:val="nil"/>
              <w:left w:val="nil"/>
              <w:bottom w:val="nil"/>
              <w:right w:val="nil"/>
            </w:tcBorders>
            <w:shd w:val="clear" w:color="000000" w:fill="FFFFFF"/>
            <w:noWrap/>
            <w:vAlign w:val="bottom"/>
            <w:hideMark/>
          </w:tcPr>
          <w:p w14:paraId="69B2C2B1" w14:textId="77777777" w:rsidR="005E104E" w:rsidRPr="005E104E" w:rsidRDefault="005E104E" w:rsidP="005E104E">
            <w:pPr>
              <w:spacing w:after="0" w:line="240" w:lineRule="auto"/>
              <w:jc w:val="left"/>
              <w:rPr>
                <w:rFonts w:eastAsia="Times New Roman" w:cs="Times New Roman"/>
                <w:color w:val="000000"/>
                <w:sz w:val="20"/>
                <w:lang w:eastAsia="sk-SK"/>
              </w:rPr>
            </w:pPr>
            <w:r w:rsidRPr="005E104E">
              <w:rPr>
                <w:rFonts w:eastAsia="Times New Roman" w:cs="Times New Roman"/>
                <w:color w:val="000000"/>
                <w:sz w:val="20"/>
                <w:lang w:eastAsia="sk-SK"/>
              </w:rPr>
              <w:t xml:space="preserve">Miera nenaplnenej potreby medicínskeho vyšetrenia alebo liečby </w:t>
            </w:r>
          </w:p>
        </w:tc>
        <w:tc>
          <w:tcPr>
            <w:tcW w:w="1370" w:type="dxa"/>
            <w:tcBorders>
              <w:top w:val="nil"/>
              <w:left w:val="nil"/>
              <w:bottom w:val="nil"/>
              <w:right w:val="nil"/>
            </w:tcBorders>
            <w:shd w:val="clear" w:color="000000" w:fill="FFFFFF"/>
            <w:noWrap/>
            <w:vAlign w:val="bottom"/>
            <w:hideMark/>
          </w:tcPr>
          <w:p w14:paraId="09E3F8A4" w14:textId="77777777" w:rsidR="005E104E" w:rsidRPr="005E104E" w:rsidRDefault="005E104E" w:rsidP="005E104E">
            <w:pPr>
              <w:spacing w:after="0" w:line="240" w:lineRule="auto"/>
              <w:jc w:val="right"/>
              <w:rPr>
                <w:rFonts w:eastAsia="Times New Roman" w:cs="Times New Roman"/>
                <w:color w:val="000000"/>
                <w:sz w:val="20"/>
                <w:lang w:eastAsia="sk-SK"/>
              </w:rPr>
            </w:pPr>
            <w:r w:rsidRPr="005E104E">
              <w:rPr>
                <w:rFonts w:eastAsia="Times New Roman" w:cs="Times New Roman"/>
                <w:color w:val="000000"/>
                <w:sz w:val="20"/>
                <w:lang w:eastAsia="sk-SK"/>
              </w:rPr>
              <w:t>2,6</w:t>
            </w:r>
          </w:p>
        </w:tc>
        <w:tc>
          <w:tcPr>
            <w:tcW w:w="1370" w:type="dxa"/>
            <w:tcBorders>
              <w:top w:val="nil"/>
              <w:left w:val="nil"/>
              <w:bottom w:val="nil"/>
              <w:right w:val="nil"/>
            </w:tcBorders>
            <w:shd w:val="clear" w:color="000000" w:fill="FFFFFF"/>
            <w:noWrap/>
            <w:vAlign w:val="bottom"/>
            <w:hideMark/>
          </w:tcPr>
          <w:p w14:paraId="09C6541E" w14:textId="77777777" w:rsidR="005E104E" w:rsidRPr="005E104E" w:rsidRDefault="005E104E" w:rsidP="005E104E">
            <w:pPr>
              <w:spacing w:after="0" w:line="240" w:lineRule="auto"/>
              <w:jc w:val="right"/>
              <w:rPr>
                <w:rFonts w:eastAsia="Times New Roman" w:cs="Times New Roman"/>
                <w:color w:val="000000"/>
                <w:sz w:val="20"/>
                <w:lang w:eastAsia="sk-SK"/>
              </w:rPr>
            </w:pPr>
            <w:r w:rsidRPr="005E104E">
              <w:rPr>
                <w:rFonts w:eastAsia="Times New Roman" w:cs="Times New Roman"/>
                <w:color w:val="000000"/>
                <w:sz w:val="20"/>
                <w:lang w:eastAsia="sk-SK"/>
              </w:rPr>
              <w:t>1,8</w:t>
            </w:r>
          </w:p>
        </w:tc>
        <w:tc>
          <w:tcPr>
            <w:tcW w:w="1370" w:type="dxa"/>
            <w:tcBorders>
              <w:top w:val="nil"/>
              <w:left w:val="nil"/>
              <w:bottom w:val="nil"/>
              <w:right w:val="nil"/>
            </w:tcBorders>
            <w:shd w:val="clear" w:color="000000" w:fill="FFFFFF"/>
            <w:noWrap/>
            <w:vAlign w:val="bottom"/>
            <w:hideMark/>
          </w:tcPr>
          <w:p w14:paraId="1895C0A4" w14:textId="77777777" w:rsidR="005E104E" w:rsidRPr="005E104E" w:rsidRDefault="005E104E" w:rsidP="005E104E">
            <w:pPr>
              <w:spacing w:after="0" w:line="240" w:lineRule="auto"/>
              <w:jc w:val="right"/>
              <w:rPr>
                <w:rFonts w:eastAsia="Times New Roman" w:cs="Times New Roman"/>
                <w:color w:val="000000"/>
                <w:sz w:val="20"/>
                <w:lang w:eastAsia="sk-SK"/>
              </w:rPr>
            </w:pPr>
            <w:r w:rsidRPr="005E104E">
              <w:rPr>
                <w:rFonts w:eastAsia="Times New Roman" w:cs="Times New Roman"/>
                <w:color w:val="000000"/>
                <w:sz w:val="20"/>
                <w:lang w:eastAsia="sk-SK"/>
              </w:rPr>
              <w:t>2,1</w:t>
            </w:r>
          </w:p>
        </w:tc>
      </w:tr>
      <w:tr w:rsidR="005E104E" w:rsidRPr="005E104E" w14:paraId="549AACDB" w14:textId="77777777" w:rsidTr="005E104E">
        <w:trPr>
          <w:trHeight w:val="255"/>
        </w:trPr>
        <w:tc>
          <w:tcPr>
            <w:tcW w:w="4962" w:type="dxa"/>
            <w:tcBorders>
              <w:top w:val="nil"/>
              <w:left w:val="nil"/>
              <w:bottom w:val="nil"/>
              <w:right w:val="nil"/>
            </w:tcBorders>
            <w:shd w:val="clear" w:color="000000" w:fill="FFFFFF"/>
            <w:noWrap/>
            <w:vAlign w:val="bottom"/>
            <w:hideMark/>
          </w:tcPr>
          <w:p w14:paraId="20544946" w14:textId="77777777" w:rsidR="005E104E" w:rsidRPr="005E104E" w:rsidRDefault="005E104E" w:rsidP="005E104E">
            <w:pPr>
              <w:spacing w:after="0" w:line="240" w:lineRule="auto"/>
              <w:jc w:val="left"/>
              <w:rPr>
                <w:rFonts w:eastAsia="Times New Roman" w:cs="Times New Roman"/>
                <w:color w:val="000000"/>
                <w:sz w:val="20"/>
                <w:lang w:eastAsia="sk-SK"/>
              </w:rPr>
            </w:pPr>
            <w:r w:rsidRPr="005E104E">
              <w:rPr>
                <w:rFonts w:eastAsia="Times New Roman" w:cs="Times New Roman"/>
                <w:color w:val="000000"/>
                <w:sz w:val="20"/>
                <w:lang w:eastAsia="sk-SK"/>
              </w:rPr>
              <w:t xml:space="preserve">Miera závažnej deprivácie v bývaní </w:t>
            </w:r>
          </w:p>
        </w:tc>
        <w:tc>
          <w:tcPr>
            <w:tcW w:w="1370" w:type="dxa"/>
            <w:tcBorders>
              <w:top w:val="nil"/>
              <w:left w:val="nil"/>
              <w:bottom w:val="nil"/>
              <w:right w:val="nil"/>
            </w:tcBorders>
            <w:shd w:val="clear" w:color="000000" w:fill="FFFFFF"/>
            <w:noWrap/>
            <w:vAlign w:val="bottom"/>
            <w:hideMark/>
          </w:tcPr>
          <w:p w14:paraId="5C8BB741" w14:textId="77777777" w:rsidR="005E104E" w:rsidRPr="005E104E" w:rsidRDefault="005E104E" w:rsidP="005E104E">
            <w:pPr>
              <w:spacing w:after="0" w:line="240" w:lineRule="auto"/>
              <w:jc w:val="right"/>
              <w:rPr>
                <w:rFonts w:eastAsia="Times New Roman" w:cs="Times New Roman"/>
                <w:color w:val="000000"/>
                <w:sz w:val="20"/>
                <w:lang w:eastAsia="sk-SK"/>
              </w:rPr>
            </w:pPr>
            <w:r w:rsidRPr="005E104E">
              <w:rPr>
                <w:rFonts w:eastAsia="Times New Roman" w:cs="Times New Roman"/>
                <w:color w:val="000000"/>
                <w:sz w:val="20"/>
                <w:lang w:eastAsia="sk-SK"/>
              </w:rPr>
              <w:t>3,7</w:t>
            </w:r>
          </w:p>
        </w:tc>
        <w:tc>
          <w:tcPr>
            <w:tcW w:w="1370" w:type="dxa"/>
            <w:tcBorders>
              <w:top w:val="nil"/>
              <w:left w:val="nil"/>
              <w:bottom w:val="nil"/>
              <w:right w:val="nil"/>
            </w:tcBorders>
            <w:shd w:val="clear" w:color="000000" w:fill="FFFFFF"/>
            <w:noWrap/>
            <w:vAlign w:val="bottom"/>
            <w:hideMark/>
          </w:tcPr>
          <w:p w14:paraId="7702149F" w14:textId="77777777" w:rsidR="005E104E" w:rsidRPr="005E104E" w:rsidRDefault="005E104E" w:rsidP="005E104E">
            <w:pPr>
              <w:spacing w:after="0" w:line="240" w:lineRule="auto"/>
              <w:jc w:val="right"/>
              <w:rPr>
                <w:rFonts w:eastAsia="Times New Roman" w:cs="Times New Roman"/>
                <w:color w:val="000000"/>
                <w:sz w:val="20"/>
                <w:lang w:eastAsia="sk-SK"/>
              </w:rPr>
            </w:pPr>
            <w:r w:rsidRPr="005E104E">
              <w:rPr>
                <w:rFonts w:eastAsia="Times New Roman" w:cs="Times New Roman"/>
                <w:color w:val="000000"/>
                <w:sz w:val="20"/>
                <w:lang w:eastAsia="sk-SK"/>
              </w:rPr>
              <w:t>6,1</w:t>
            </w:r>
          </w:p>
        </w:tc>
        <w:tc>
          <w:tcPr>
            <w:tcW w:w="1370" w:type="dxa"/>
            <w:tcBorders>
              <w:top w:val="nil"/>
              <w:left w:val="nil"/>
              <w:bottom w:val="nil"/>
              <w:right w:val="nil"/>
            </w:tcBorders>
            <w:shd w:val="clear" w:color="000000" w:fill="FFFFFF"/>
            <w:noWrap/>
            <w:vAlign w:val="bottom"/>
            <w:hideMark/>
          </w:tcPr>
          <w:p w14:paraId="25DE1A10" w14:textId="77777777" w:rsidR="005E104E" w:rsidRPr="005E104E" w:rsidRDefault="005E104E" w:rsidP="005E104E">
            <w:pPr>
              <w:spacing w:after="0" w:line="240" w:lineRule="auto"/>
              <w:jc w:val="right"/>
              <w:rPr>
                <w:rFonts w:eastAsia="Times New Roman" w:cs="Times New Roman"/>
                <w:color w:val="000000"/>
                <w:sz w:val="20"/>
                <w:lang w:eastAsia="sk-SK"/>
              </w:rPr>
            </w:pPr>
            <w:r w:rsidRPr="005E104E">
              <w:rPr>
                <w:rFonts w:eastAsia="Times New Roman" w:cs="Times New Roman"/>
                <w:color w:val="000000"/>
                <w:sz w:val="20"/>
                <w:lang w:eastAsia="sk-SK"/>
              </w:rPr>
              <w:t>2,7</w:t>
            </w:r>
          </w:p>
        </w:tc>
      </w:tr>
      <w:tr w:rsidR="005E104E" w:rsidRPr="005E104E" w14:paraId="3570DAFE" w14:textId="77777777" w:rsidTr="005E104E">
        <w:trPr>
          <w:trHeight w:val="125"/>
        </w:trPr>
        <w:tc>
          <w:tcPr>
            <w:tcW w:w="9072" w:type="dxa"/>
            <w:gridSpan w:val="4"/>
            <w:tcBorders>
              <w:top w:val="single" w:sz="4" w:space="0" w:color="auto"/>
              <w:left w:val="nil"/>
              <w:bottom w:val="nil"/>
              <w:right w:val="nil"/>
            </w:tcBorders>
            <w:shd w:val="clear" w:color="000000" w:fill="FFFFFF"/>
            <w:vAlign w:val="bottom"/>
            <w:hideMark/>
          </w:tcPr>
          <w:p w14:paraId="4CE62D9E" w14:textId="77777777" w:rsidR="005E104E" w:rsidRPr="005E104E" w:rsidRDefault="005E104E" w:rsidP="005E104E">
            <w:pPr>
              <w:spacing w:after="0" w:line="240" w:lineRule="auto"/>
              <w:jc w:val="right"/>
              <w:rPr>
                <w:rFonts w:eastAsia="Times New Roman" w:cs="Times New Roman"/>
                <w:i/>
                <w:iCs/>
                <w:color w:val="000000"/>
                <w:sz w:val="18"/>
                <w:szCs w:val="18"/>
                <w:lang w:eastAsia="sk-SK"/>
              </w:rPr>
            </w:pPr>
            <w:r w:rsidRPr="005E104E">
              <w:rPr>
                <w:rFonts w:eastAsia="Times New Roman" w:cs="Times New Roman"/>
                <w:i/>
                <w:iCs/>
                <w:color w:val="000000"/>
                <w:sz w:val="18"/>
                <w:szCs w:val="18"/>
                <w:lang w:eastAsia="sk-SK"/>
              </w:rPr>
              <w:t>Zdroj: Eurostat</w:t>
            </w:r>
          </w:p>
        </w:tc>
      </w:tr>
    </w:tbl>
    <w:p w14:paraId="2C86092D" w14:textId="4C46727F" w:rsidR="00763313" w:rsidRPr="00CA2564" w:rsidRDefault="00EF037C" w:rsidP="005E104E">
      <w:pPr>
        <w:spacing w:before="120"/>
      </w:pPr>
      <w:r>
        <w:rPr>
          <w:b/>
        </w:rPr>
        <w:t xml:space="preserve">Horšie výsledky </w:t>
      </w:r>
      <w:r w:rsidRPr="00CA2564">
        <w:rPr>
          <w:b/>
        </w:rPr>
        <w:t xml:space="preserve">v rámci stratégie Európa 2020 </w:t>
      </w:r>
      <w:r w:rsidR="001C5BC1">
        <w:rPr>
          <w:b/>
        </w:rPr>
        <w:t>v porovnaní s priemerom EÚ</w:t>
      </w:r>
      <w:r w:rsidR="0085651D">
        <w:rPr>
          <w:b/>
        </w:rPr>
        <w:t>15</w:t>
      </w:r>
      <w:r w:rsidR="001C5BC1">
        <w:rPr>
          <w:b/>
        </w:rPr>
        <w:t xml:space="preserve"> </w:t>
      </w:r>
      <w:r w:rsidRPr="00624DB1">
        <w:rPr>
          <w:b/>
        </w:rPr>
        <w:t xml:space="preserve">zaznamenáva Slovensko </w:t>
      </w:r>
      <w:r>
        <w:rPr>
          <w:b/>
        </w:rPr>
        <w:t>v dostupnosti zdravotnej starostlivosti</w:t>
      </w:r>
      <w:r w:rsidR="0085651D">
        <w:rPr>
          <w:b/>
        </w:rPr>
        <w:t xml:space="preserve"> a v miere závažnej deprivácie v bývaní</w:t>
      </w:r>
      <w:r>
        <w:rPr>
          <w:b/>
        </w:rPr>
        <w:t xml:space="preserve"> </w:t>
      </w:r>
      <w:r w:rsidR="00763313" w:rsidRPr="001779B0">
        <w:rPr>
          <w:szCs w:val="22"/>
        </w:rPr>
        <w:t>(</w:t>
      </w:r>
      <w:r w:rsidR="001779B0" w:rsidRPr="001779B0">
        <w:rPr>
          <w:szCs w:val="22"/>
        </w:rPr>
        <w:fldChar w:fldCharType="begin"/>
      </w:r>
      <w:r w:rsidR="001779B0" w:rsidRPr="001779B0">
        <w:rPr>
          <w:szCs w:val="22"/>
        </w:rPr>
        <w:instrText xml:space="preserve"> REF _Ref33439531 \h  \* MERGEFORMAT </w:instrText>
      </w:r>
      <w:r w:rsidR="001779B0" w:rsidRPr="001779B0">
        <w:rPr>
          <w:szCs w:val="22"/>
        </w:rPr>
      </w:r>
      <w:r w:rsidR="001779B0" w:rsidRPr="001779B0">
        <w:rPr>
          <w:szCs w:val="22"/>
        </w:rPr>
        <w:fldChar w:fldCharType="separate"/>
      </w:r>
      <w:r w:rsidR="00FA29AF" w:rsidRPr="00FA29AF">
        <w:rPr>
          <w:szCs w:val="22"/>
        </w:rPr>
        <w:t xml:space="preserve">Tabuľka </w:t>
      </w:r>
      <w:r w:rsidR="00FA29AF" w:rsidRPr="00FA29AF">
        <w:rPr>
          <w:noProof/>
          <w:szCs w:val="22"/>
        </w:rPr>
        <w:t>1</w:t>
      </w:r>
      <w:r w:rsidR="001779B0" w:rsidRPr="001779B0">
        <w:rPr>
          <w:szCs w:val="22"/>
        </w:rPr>
        <w:fldChar w:fldCharType="end"/>
      </w:r>
      <w:r w:rsidR="00763313" w:rsidRPr="001779B0">
        <w:rPr>
          <w:szCs w:val="22"/>
        </w:rPr>
        <w:t>,</w:t>
      </w:r>
      <w:r w:rsidR="00F218AA" w:rsidRPr="001779B0">
        <w:rPr>
          <w:szCs w:val="22"/>
        </w:rPr>
        <w:t xml:space="preserve"> </w:t>
      </w:r>
      <w:r w:rsidR="00F218AA" w:rsidRPr="001779B0">
        <w:rPr>
          <w:szCs w:val="22"/>
        </w:rPr>
        <w:fldChar w:fldCharType="begin"/>
      </w:r>
      <w:r w:rsidR="00F218AA" w:rsidRPr="001779B0">
        <w:rPr>
          <w:szCs w:val="22"/>
        </w:rPr>
        <w:instrText xml:space="preserve"> REF _Ref18399269 \h  \* MERGEFORMAT </w:instrText>
      </w:r>
      <w:r w:rsidR="00F218AA" w:rsidRPr="001779B0">
        <w:rPr>
          <w:szCs w:val="22"/>
        </w:rPr>
      </w:r>
      <w:r w:rsidR="00F218AA" w:rsidRPr="001779B0">
        <w:rPr>
          <w:szCs w:val="22"/>
        </w:rPr>
        <w:fldChar w:fldCharType="separate"/>
      </w:r>
      <w:r w:rsidR="00FA29AF" w:rsidRPr="00FA29AF">
        <w:rPr>
          <w:szCs w:val="22"/>
        </w:rPr>
        <w:t>Graf 3</w:t>
      </w:r>
      <w:r w:rsidR="00F218AA" w:rsidRPr="001779B0">
        <w:rPr>
          <w:szCs w:val="22"/>
        </w:rPr>
        <w:fldChar w:fldCharType="end"/>
      </w:r>
      <w:r w:rsidR="00763313" w:rsidRPr="0068595B">
        <w:t xml:space="preserve">). </w:t>
      </w:r>
      <w:r>
        <w:t>D</w:t>
      </w:r>
      <w:r w:rsidRPr="00CA2564">
        <w:t>ostupnosť zdravotnej starostlivosti</w:t>
      </w:r>
      <w:r w:rsidRPr="00CA2564">
        <w:rPr>
          <w:szCs w:val="22"/>
        </w:rPr>
        <w:t xml:space="preserve"> </w:t>
      </w:r>
      <w:r>
        <w:rPr>
          <w:szCs w:val="22"/>
        </w:rPr>
        <w:t>je meraná</w:t>
      </w:r>
      <w:r w:rsidRPr="00CA2564">
        <w:t xml:space="preserve"> mier</w:t>
      </w:r>
      <w:r>
        <w:t>ou</w:t>
      </w:r>
      <w:r w:rsidRPr="00CA2564">
        <w:t xml:space="preserve"> nenaplnenej potreby medicínskeho vyšetrenia alebo liečby. </w:t>
      </w:r>
      <w:r w:rsidR="00763313" w:rsidRPr="00CA2564">
        <w:t xml:space="preserve">V miere predčasného ukončovania školskej dochádzky </w:t>
      </w:r>
      <w:r>
        <w:t xml:space="preserve">síce </w:t>
      </w:r>
      <w:r w:rsidR="00763313" w:rsidRPr="00CA2564">
        <w:t>dosahuje Slovensko v porovnaní s</w:t>
      </w:r>
      <w:r w:rsidR="0085651D">
        <w:t> </w:t>
      </w:r>
      <w:r w:rsidR="00763313" w:rsidRPr="00CA2564">
        <w:t>EÚ</w:t>
      </w:r>
      <w:r w:rsidR="0085651D">
        <w:t>15</w:t>
      </w:r>
      <w:r w:rsidR="00763313" w:rsidRPr="00CA2564">
        <w:t xml:space="preserve"> lepšie výsledky</w:t>
      </w:r>
      <w:r>
        <w:t>, a</w:t>
      </w:r>
      <w:r w:rsidR="00763313" w:rsidRPr="00CA2564">
        <w:t xml:space="preserve">však za posledných osem rokov sa hodnota tohto ukazovateľa na Slovensku takmer zdvojnásobila zo 4,7 % na </w:t>
      </w:r>
      <w:r w:rsidR="001C5BC1">
        <w:t>8</w:t>
      </w:r>
      <w:r w:rsidR="00763313" w:rsidRPr="00CA2564">
        <w:t>,</w:t>
      </w:r>
      <w:r w:rsidR="001C5BC1">
        <w:t>6</w:t>
      </w:r>
      <w:r w:rsidR="00763313" w:rsidRPr="00CA2564">
        <w:t xml:space="preserve"> %, čím sa nedarí napĺňať národný cieľ stanovený na úroveň 6 %.</w:t>
      </w:r>
    </w:p>
    <w:tbl>
      <w:tblPr>
        <w:tblW w:w="0" w:type="auto"/>
        <w:tblCellMar>
          <w:left w:w="70" w:type="dxa"/>
          <w:right w:w="70" w:type="dxa"/>
        </w:tblCellMar>
        <w:tblLook w:val="04E0" w:firstRow="1" w:lastRow="1" w:firstColumn="1" w:lastColumn="0" w:noHBand="0" w:noVBand="1"/>
      </w:tblPr>
      <w:tblGrid>
        <w:gridCol w:w="5529"/>
        <w:gridCol w:w="3497"/>
      </w:tblGrid>
      <w:tr w:rsidR="00763313" w:rsidRPr="00CA2564" w14:paraId="7B36E583" w14:textId="77777777" w:rsidTr="00D72E68">
        <w:tc>
          <w:tcPr>
            <w:tcW w:w="9072" w:type="dxa"/>
            <w:gridSpan w:val="2"/>
            <w:tcBorders>
              <w:bottom w:val="single" w:sz="4" w:space="0" w:color="auto"/>
            </w:tcBorders>
          </w:tcPr>
          <w:p w14:paraId="2D1AE102" w14:textId="0C37884C" w:rsidR="00763313" w:rsidRPr="006F08DC" w:rsidRDefault="00763313" w:rsidP="00D72E68">
            <w:pPr>
              <w:spacing w:after="0"/>
              <w:jc w:val="left"/>
              <w:rPr>
                <w:b/>
                <w:noProof/>
                <w:sz w:val="20"/>
                <w:highlight w:val="yellow"/>
              </w:rPr>
            </w:pPr>
            <w:bookmarkStart w:id="78" w:name="_Ref18399269"/>
            <w:bookmarkStart w:id="79" w:name="_Toc17469367"/>
            <w:bookmarkStart w:id="80" w:name="_Toc34157561"/>
            <w:r w:rsidRPr="006F08DC">
              <w:rPr>
                <w:b/>
                <w:sz w:val="20"/>
              </w:rPr>
              <w:t xml:space="preserve">Graf </w:t>
            </w:r>
            <w:r w:rsidRPr="006F08DC">
              <w:rPr>
                <w:b/>
                <w:noProof/>
                <w:sz w:val="20"/>
                <w:highlight w:val="yellow"/>
              </w:rPr>
              <w:fldChar w:fldCharType="begin"/>
            </w:r>
            <w:r w:rsidRPr="006F08DC">
              <w:rPr>
                <w:b/>
                <w:noProof/>
                <w:sz w:val="20"/>
              </w:rPr>
              <w:instrText xml:space="preserve"> SEQ Graf \* ARABIC </w:instrText>
            </w:r>
            <w:r w:rsidRPr="006F08DC">
              <w:rPr>
                <w:b/>
                <w:noProof/>
                <w:sz w:val="20"/>
                <w:highlight w:val="yellow"/>
              </w:rPr>
              <w:fldChar w:fldCharType="separate"/>
            </w:r>
            <w:r w:rsidR="00FA29AF">
              <w:rPr>
                <w:b/>
                <w:noProof/>
                <w:sz w:val="20"/>
              </w:rPr>
              <w:t>3</w:t>
            </w:r>
            <w:r w:rsidRPr="006F08DC">
              <w:rPr>
                <w:b/>
                <w:noProof/>
                <w:sz w:val="20"/>
                <w:highlight w:val="yellow"/>
              </w:rPr>
              <w:fldChar w:fldCharType="end"/>
            </w:r>
            <w:bookmarkEnd w:id="78"/>
            <w:r w:rsidRPr="006F08DC">
              <w:rPr>
                <w:b/>
                <w:sz w:val="20"/>
              </w:rPr>
              <w:t>: Kľúčové ukazovatele sociálneho vylúčenia, 201</w:t>
            </w:r>
            <w:r w:rsidR="001C5BC1" w:rsidRPr="006F08DC">
              <w:rPr>
                <w:b/>
                <w:sz w:val="20"/>
              </w:rPr>
              <w:t>8</w:t>
            </w:r>
            <w:r w:rsidRPr="006F08DC">
              <w:rPr>
                <w:b/>
                <w:sz w:val="20"/>
              </w:rPr>
              <w:t xml:space="preserve"> (% populácie)</w:t>
            </w:r>
            <w:bookmarkEnd w:id="79"/>
            <w:bookmarkEnd w:id="80"/>
          </w:p>
        </w:tc>
      </w:tr>
      <w:tr w:rsidR="00763313" w:rsidRPr="00CA2564" w14:paraId="4CA94ED2" w14:textId="77777777" w:rsidTr="0085651D">
        <w:tc>
          <w:tcPr>
            <w:tcW w:w="9072" w:type="dxa"/>
            <w:gridSpan w:val="2"/>
            <w:tcBorders>
              <w:top w:val="single" w:sz="4" w:space="0" w:color="auto"/>
              <w:bottom w:val="single" w:sz="4" w:space="0" w:color="auto"/>
            </w:tcBorders>
          </w:tcPr>
          <w:p w14:paraId="040FBFFD" w14:textId="77777777" w:rsidR="00763313" w:rsidRPr="00CA2564" w:rsidRDefault="00763313" w:rsidP="0085651D">
            <w:pPr>
              <w:spacing w:after="0" w:line="240" w:lineRule="auto"/>
              <w:jc w:val="center"/>
              <w:rPr>
                <w:noProof/>
                <w:sz w:val="4"/>
                <w:szCs w:val="4"/>
              </w:rPr>
            </w:pPr>
          </w:p>
          <w:p w14:paraId="6B4507E0" w14:textId="6931E320" w:rsidR="00763313" w:rsidRPr="00CA2564" w:rsidRDefault="0085651D" w:rsidP="0085651D">
            <w:pPr>
              <w:spacing w:after="0" w:line="240" w:lineRule="auto"/>
              <w:jc w:val="center"/>
              <w:rPr>
                <w:noProof/>
                <w:sz w:val="4"/>
                <w:szCs w:val="4"/>
              </w:rPr>
            </w:pPr>
            <w:r>
              <w:rPr>
                <w:noProof/>
                <w:lang w:eastAsia="sk-SK"/>
              </w:rPr>
              <w:drawing>
                <wp:inline distT="0" distB="0" distL="0" distR="0" wp14:anchorId="39E33C29" wp14:editId="6E41D955">
                  <wp:extent cx="5190490" cy="2686050"/>
                  <wp:effectExtent l="0" t="0" r="0" b="0"/>
                  <wp:docPr id="18" name="Graf 1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xmlns:arto="http://schemas.microsoft.com/office/word/2006/arto"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24C1AB4" w14:textId="77777777" w:rsidR="00763313" w:rsidRPr="00CA2564" w:rsidRDefault="00763313" w:rsidP="00D72E68">
            <w:pPr>
              <w:spacing w:after="0"/>
              <w:jc w:val="center"/>
              <w:rPr>
                <w:sz w:val="4"/>
                <w:szCs w:val="4"/>
              </w:rPr>
            </w:pPr>
          </w:p>
        </w:tc>
      </w:tr>
      <w:tr w:rsidR="00F218AA" w:rsidRPr="007E59BB" w14:paraId="0D5AC7B6" w14:textId="77777777" w:rsidTr="00D72E68">
        <w:tblPrEx>
          <w:tblCellMar>
            <w:left w:w="108" w:type="dxa"/>
            <w:right w:w="108" w:type="dxa"/>
          </w:tblCellMar>
        </w:tblPrEx>
        <w:trPr>
          <w:trHeight w:val="298"/>
        </w:trPr>
        <w:tc>
          <w:tcPr>
            <w:tcW w:w="5529" w:type="dxa"/>
            <w:tcBorders>
              <w:top w:val="single" w:sz="4" w:space="0" w:color="auto"/>
            </w:tcBorders>
          </w:tcPr>
          <w:p w14:paraId="29E7B075" w14:textId="3481B7EE" w:rsidR="00F218AA" w:rsidRPr="009003A3" w:rsidRDefault="00F218AA" w:rsidP="00DC20CE">
            <w:pPr>
              <w:spacing w:after="0"/>
              <w:jc w:val="left"/>
              <w:rPr>
                <w:bCs/>
                <w:i/>
                <w:sz w:val="18"/>
                <w:szCs w:val="18"/>
              </w:rPr>
            </w:pPr>
            <w:r w:rsidRPr="009003A3">
              <w:rPr>
                <w:i/>
                <w:sz w:val="18"/>
                <w:szCs w:val="18"/>
              </w:rPr>
              <w:t>Poznámka: Definície jednotlivých ukazovat</w:t>
            </w:r>
            <w:r w:rsidR="005E76D8" w:rsidRPr="009003A3">
              <w:rPr>
                <w:i/>
                <w:sz w:val="18"/>
                <w:szCs w:val="18"/>
              </w:rPr>
              <w:t>eľov v grafe sú uvedené v</w:t>
            </w:r>
            <w:r w:rsidR="0026401E" w:rsidRPr="009003A3">
              <w:rPr>
                <w:i/>
                <w:sz w:val="18"/>
                <w:szCs w:val="18"/>
              </w:rPr>
              <w:t xml:space="preserve"> </w:t>
            </w:r>
            <w:r w:rsidR="0026401E" w:rsidRPr="009003A3">
              <w:rPr>
                <w:i/>
                <w:sz w:val="18"/>
                <w:szCs w:val="18"/>
              </w:rPr>
              <w:fldChar w:fldCharType="begin"/>
            </w:r>
            <w:r w:rsidR="0026401E" w:rsidRPr="009003A3">
              <w:rPr>
                <w:i/>
                <w:sz w:val="18"/>
                <w:szCs w:val="18"/>
              </w:rPr>
              <w:instrText xml:space="preserve"> REF _Ref21079087 \h  \* MERGEFORMAT </w:instrText>
            </w:r>
            <w:r w:rsidR="0026401E" w:rsidRPr="009003A3">
              <w:rPr>
                <w:i/>
                <w:sz w:val="18"/>
                <w:szCs w:val="18"/>
              </w:rPr>
            </w:r>
            <w:r w:rsidR="0026401E" w:rsidRPr="009003A3">
              <w:rPr>
                <w:i/>
                <w:sz w:val="18"/>
                <w:szCs w:val="18"/>
              </w:rPr>
              <w:fldChar w:fldCharType="separate"/>
            </w:r>
            <w:r w:rsidR="00FA29AF" w:rsidRPr="00FA29AF">
              <w:rPr>
                <w:i/>
                <w:sz w:val="18"/>
                <w:szCs w:val="18"/>
              </w:rPr>
              <w:t xml:space="preserve">Box </w:t>
            </w:r>
            <w:r w:rsidR="00FA29AF" w:rsidRPr="00FA29AF">
              <w:rPr>
                <w:i/>
                <w:noProof/>
                <w:sz w:val="18"/>
                <w:szCs w:val="18"/>
              </w:rPr>
              <w:t>1</w:t>
            </w:r>
            <w:r w:rsidR="0026401E" w:rsidRPr="009003A3">
              <w:rPr>
                <w:i/>
                <w:sz w:val="18"/>
                <w:szCs w:val="18"/>
              </w:rPr>
              <w:fldChar w:fldCharType="end"/>
            </w:r>
          </w:p>
        </w:tc>
        <w:tc>
          <w:tcPr>
            <w:tcW w:w="3543" w:type="dxa"/>
            <w:tcBorders>
              <w:top w:val="single" w:sz="4" w:space="0" w:color="auto"/>
            </w:tcBorders>
          </w:tcPr>
          <w:p w14:paraId="70126933" w14:textId="4D9C65C7" w:rsidR="00F218AA" w:rsidRPr="009003A3" w:rsidRDefault="00F218AA" w:rsidP="00DC20CE">
            <w:pPr>
              <w:spacing w:after="0"/>
              <w:jc w:val="right"/>
              <w:rPr>
                <w:i/>
                <w:sz w:val="18"/>
                <w:szCs w:val="18"/>
              </w:rPr>
            </w:pPr>
            <w:r w:rsidRPr="009003A3">
              <w:rPr>
                <w:i/>
                <w:sz w:val="18"/>
                <w:szCs w:val="18"/>
              </w:rPr>
              <w:t>Zdroj: Eurostat</w:t>
            </w:r>
          </w:p>
        </w:tc>
      </w:tr>
    </w:tbl>
    <w:p w14:paraId="05AD4B81" w14:textId="05C2C7C0" w:rsidR="00763313" w:rsidRDefault="00763313" w:rsidP="00F218AA">
      <w:pPr>
        <w:spacing w:before="160"/>
      </w:pPr>
      <w:r w:rsidRPr="00CA2564">
        <w:rPr>
          <w:b/>
        </w:rPr>
        <w:t>Napriek celkovým výsledkom Slovenska, ktoré zodpovedajú štandardu</w:t>
      </w:r>
      <w:r w:rsidR="0085651D">
        <w:rPr>
          <w:b/>
        </w:rPr>
        <w:t xml:space="preserve"> vyspelých európskych krajín</w:t>
      </w:r>
      <w:r w:rsidRPr="00CA2564">
        <w:rPr>
          <w:b/>
        </w:rPr>
        <w:t xml:space="preserve">, niektoré skupiny obyvateľov čelia podstatne vyššej miere sociálneho vylúčenia. </w:t>
      </w:r>
      <w:r w:rsidRPr="00CA2564">
        <w:t xml:space="preserve">K zvlášť zraniteľným skupinám, ktorých výsledky je možné sledovať v štatistických zisteniach, patria </w:t>
      </w:r>
      <w:r w:rsidR="00825BF7">
        <w:t>ľudia z prostredia</w:t>
      </w:r>
      <w:r w:rsidR="00E35A14">
        <w:t xml:space="preserve"> m</w:t>
      </w:r>
      <w:r w:rsidR="00825BF7">
        <w:t>ar</w:t>
      </w:r>
      <w:r w:rsidR="00E35A14">
        <w:t>ginalizovaných rómskych komunít (MRK)</w:t>
      </w:r>
      <w:r w:rsidRPr="00CA2564">
        <w:t xml:space="preserve">, deti zo sociálne znevýhodneného prostredia (SZP), </w:t>
      </w:r>
      <w:r w:rsidR="00CB0D29">
        <w:t>osamelí rodičia</w:t>
      </w:r>
      <w:r w:rsidRPr="00CA2564">
        <w:t xml:space="preserve"> s deťmi</w:t>
      </w:r>
      <w:r w:rsidR="008D72B4">
        <w:rPr>
          <w:rStyle w:val="Odkaznapoznmkupodiarou"/>
        </w:rPr>
        <w:footnoteReference w:id="12"/>
      </w:r>
      <w:r w:rsidRPr="00CA2564">
        <w:t xml:space="preserve"> a osoby so zdravotným znevýhodnením.</w:t>
      </w:r>
      <w:r w:rsidRPr="00CA2564">
        <w:rPr>
          <w:rStyle w:val="Odkaznapoznmkupodiarou"/>
        </w:rPr>
        <w:footnoteReference w:id="13"/>
      </w:r>
      <w:r w:rsidRPr="00CA2564">
        <w:t xml:space="preserve"> Všetky tieto skupiny zaznamenávajú výrazne horšie výsledky v indikátoroch sociálneho vylúčenia ako celková populácia </w:t>
      </w:r>
      <w:r w:rsidRPr="00390780">
        <w:rPr>
          <w:szCs w:val="22"/>
        </w:rPr>
        <w:t>Slovenska (</w:t>
      </w:r>
      <w:r w:rsidR="00390780" w:rsidRPr="00390780">
        <w:rPr>
          <w:szCs w:val="22"/>
        </w:rPr>
        <w:fldChar w:fldCharType="begin"/>
      </w:r>
      <w:r w:rsidR="00390780" w:rsidRPr="00390780">
        <w:rPr>
          <w:szCs w:val="22"/>
        </w:rPr>
        <w:instrText xml:space="preserve"> REF _Ref21973947 \h </w:instrText>
      </w:r>
      <w:r w:rsidR="00390780">
        <w:rPr>
          <w:szCs w:val="22"/>
        </w:rPr>
        <w:instrText xml:space="preserve"> \* MERGEFORMAT </w:instrText>
      </w:r>
      <w:r w:rsidR="00390780" w:rsidRPr="00390780">
        <w:rPr>
          <w:szCs w:val="22"/>
        </w:rPr>
      </w:r>
      <w:r w:rsidR="00390780" w:rsidRPr="00390780">
        <w:rPr>
          <w:szCs w:val="22"/>
        </w:rPr>
        <w:fldChar w:fldCharType="separate"/>
      </w:r>
      <w:r w:rsidR="00FA29AF" w:rsidRPr="00FA29AF">
        <w:rPr>
          <w:szCs w:val="22"/>
        </w:rPr>
        <w:t xml:space="preserve">Graf </w:t>
      </w:r>
      <w:r w:rsidR="00FA29AF" w:rsidRPr="00FA29AF">
        <w:rPr>
          <w:noProof/>
          <w:szCs w:val="22"/>
        </w:rPr>
        <w:t>4</w:t>
      </w:r>
      <w:r w:rsidR="00390780" w:rsidRPr="00390780">
        <w:rPr>
          <w:szCs w:val="22"/>
        </w:rPr>
        <w:fldChar w:fldCharType="end"/>
      </w:r>
      <w:r w:rsidRPr="00390780">
        <w:rPr>
          <w:szCs w:val="22"/>
        </w:rPr>
        <w:t xml:space="preserve">). </w:t>
      </w:r>
      <w:r w:rsidR="002D2376">
        <w:rPr>
          <w:szCs w:val="22"/>
        </w:rPr>
        <w:t>Vzh</w:t>
      </w:r>
      <w:r w:rsidR="001A3E41">
        <w:rPr>
          <w:szCs w:val="22"/>
        </w:rPr>
        <w:t>ľadom na veľkosť týchto skupín,</w:t>
      </w:r>
      <w:r w:rsidR="002D2376">
        <w:rPr>
          <w:szCs w:val="22"/>
        </w:rPr>
        <w:t xml:space="preserve"> mieru ich sociálneho vylúčenia </w:t>
      </w:r>
      <w:r w:rsidR="001A3E41">
        <w:rPr>
          <w:szCs w:val="22"/>
        </w:rPr>
        <w:t xml:space="preserve">a možnosť ich sledovania v prieskumoch či administratívnych údajoch </w:t>
      </w:r>
      <w:r w:rsidR="002D2376">
        <w:t>boli</w:t>
      </w:r>
      <w:r w:rsidRPr="00CA2564">
        <w:t xml:space="preserve"> vybraté ako cieľové skupiny revízie. Okrem týchto skupín sú v revízii zahrnutí aj ľudia bez domova, ktorých mieru sociálneho vylúčenia nie je možné sledovať v štandardných štatistických zisťovaniach domácností.</w:t>
      </w:r>
      <w:r w:rsidRPr="00CA2564">
        <w:rPr>
          <w:rStyle w:val="Odkaznapoznmkupodiarou"/>
        </w:rPr>
        <w:footnoteReference w:id="14"/>
      </w:r>
      <w:r w:rsidRPr="00CA2564">
        <w:t xml:space="preserve"> </w:t>
      </w:r>
    </w:p>
    <w:tbl>
      <w:tblPr>
        <w:tblW w:w="0" w:type="auto"/>
        <w:tblCellMar>
          <w:left w:w="70" w:type="dxa"/>
          <w:right w:w="70" w:type="dxa"/>
        </w:tblCellMar>
        <w:tblLook w:val="04E0" w:firstRow="1" w:lastRow="1" w:firstColumn="1" w:lastColumn="0" w:noHBand="0" w:noVBand="1"/>
      </w:tblPr>
      <w:tblGrid>
        <w:gridCol w:w="9026"/>
      </w:tblGrid>
      <w:tr w:rsidR="007E59BB" w:rsidRPr="00CA2564" w14:paraId="18023645" w14:textId="77777777" w:rsidTr="008B336A">
        <w:tc>
          <w:tcPr>
            <w:tcW w:w="9072" w:type="dxa"/>
            <w:tcBorders>
              <w:bottom w:val="single" w:sz="4" w:space="0" w:color="auto"/>
            </w:tcBorders>
          </w:tcPr>
          <w:p w14:paraId="163F5DE7" w14:textId="77EBA1FB" w:rsidR="007E59BB" w:rsidRPr="008B336A" w:rsidRDefault="007E59BB" w:rsidP="008B336A">
            <w:pPr>
              <w:spacing w:after="0"/>
              <w:jc w:val="left"/>
              <w:rPr>
                <w:b/>
                <w:noProof/>
                <w:sz w:val="20"/>
                <w:highlight w:val="yellow"/>
              </w:rPr>
            </w:pPr>
            <w:bookmarkStart w:id="81" w:name="_Ref21973947"/>
            <w:bookmarkStart w:id="82" w:name="_Toc34157562"/>
            <w:r w:rsidRPr="008B336A">
              <w:rPr>
                <w:b/>
                <w:sz w:val="20"/>
              </w:rPr>
              <w:lastRenderedPageBreak/>
              <w:t xml:space="preserve">Graf </w:t>
            </w:r>
            <w:r w:rsidRPr="008B336A">
              <w:rPr>
                <w:b/>
                <w:noProof/>
                <w:sz w:val="20"/>
                <w:highlight w:val="yellow"/>
              </w:rPr>
              <w:fldChar w:fldCharType="begin"/>
            </w:r>
            <w:r w:rsidRPr="008B336A">
              <w:rPr>
                <w:b/>
                <w:noProof/>
                <w:sz w:val="20"/>
              </w:rPr>
              <w:instrText xml:space="preserve"> SEQ Graf \* ARABIC </w:instrText>
            </w:r>
            <w:r w:rsidRPr="008B336A">
              <w:rPr>
                <w:b/>
                <w:noProof/>
                <w:sz w:val="20"/>
                <w:highlight w:val="yellow"/>
              </w:rPr>
              <w:fldChar w:fldCharType="separate"/>
            </w:r>
            <w:r w:rsidR="00FA29AF">
              <w:rPr>
                <w:b/>
                <w:noProof/>
                <w:sz w:val="20"/>
              </w:rPr>
              <w:t>4</w:t>
            </w:r>
            <w:r w:rsidRPr="008B336A">
              <w:rPr>
                <w:b/>
                <w:noProof/>
                <w:sz w:val="20"/>
                <w:highlight w:val="yellow"/>
              </w:rPr>
              <w:fldChar w:fldCharType="end"/>
            </w:r>
            <w:bookmarkEnd w:id="81"/>
            <w:r w:rsidRPr="008B336A">
              <w:rPr>
                <w:b/>
                <w:sz w:val="20"/>
              </w:rPr>
              <w:t>: Kľúčové ukazovatele sociálneho vylúčenia, 2017 (% členov vybratých ohrozených skupín)</w:t>
            </w:r>
            <w:bookmarkEnd w:id="82"/>
          </w:p>
        </w:tc>
      </w:tr>
      <w:tr w:rsidR="007E59BB" w:rsidRPr="00CA2564" w14:paraId="2B83736C" w14:textId="77777777" w:rsidTr="008B336A">
        <w:trPr>
          <w:trHeight w:val="3520"/>
        </w:trPr>
        <w:tc>
          <w:tcPr>
            <w:tcW w:w="9072" w:type="dxa"/>
            <w:tcBorders>
              <w:top w:val="single" w:sz="4" w:space="0" w:color="auto"/>
              <w:bottom w:val="single" w:sz="4" w:space="0" w:color="auto"/>
            </w:tcBorders>
          </w:tcPr>
          <w:p w14:paraId="27E8B641" w14:textId="77777777" w:rsidR="007E59BB" w:rsidRPr="00CA2564" w:rsidRDefault="007E59BB" w:rsidP="0067252A">
            <w:pPr>
              <w:spacing w:after="0"/>
              <w:jc w:val="center"/>
              <w:rPr>
                <w:noProof/>
                <w:sz w:val="4"/>
                <w:szCs w:val="4"/>
              </w:rPr>
            </w:pPr>
          </w:p>
          <w:p w14:paraId="25A4B681" w14:textId="7BDCA6CB" w:rsidR="007E59BB" w:rsidRPr="00CA2564" w:rsidRDefault="004E019E" w:rsidP="008B336A">
            <w:pPr>
              <w:spacing w:after="0"/>
              <w:jc w:val="center"/>
              <w:rPr>
                <w:noProof/>
                <w:sz w:val="4"/>
                <w:szCs w:val="4"/>
              </w:rPr>
            </w:pPr>
            <w:r>
              <w:rPr>
                <w:noProof/>
                <w:lang w:eastAsia="sk-SK"/>
              </w:rPr>
              <w:drawing>
                <wp:inline distT="0" distB="0" distL="0" distR="0" wp14:anchorId="5AF7AFC2" wp14:editId="074390D5">
                  <wp:extent cx="5190490" cy="2647950"/>
                  <wp:effectExtent l="0" t="0" r="0" b="0"/>
                  <wp:docPr id="2" name="Graf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7626E99A-BDCA-42C7-AF94-80A2E3D3B8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AFA3301" w14:textId="77777777" w:rsidR="007E59BB" w:rsidRPr="00CA2564" w:rsidRDefault="007E59BB" w:rsidP="008B336A">
            <w:pPr>
              <w:spacing w:after="0"/>
              <w:jc w:val="center"/>
              <w:rPr>
                <w:sz w:val="4"/>
                <w:szCs w:val="4"/>
              </w:rPr>
            </w:pPr>
          </w:p>
        </w:tc>
      </w:tr>
      <w:tr w:rsidR="007E59BB" w:rsidRPr="007E59BB" w14:paraId="6A88CA28" w14:textId="77777777" w:rsidTr="008B336A">
        <w:tblPrEx>
          <w:tblCellMar>
            <w:left w:w="108" w:type="dxa"/>
            <w:right w:w="108" w:type="dxa"/>
          </w:tblCellMar>
        </w:tblPrEx>
        <w:trPr>
          <w:trHeight w:val="298"/>
        </w:trPr>
        <w:tc>
          <w:tcPr>
            <w:tcW w:w="9072" w:type="dxa"/>
            <w:tcBorders>
              <w:top w:val="single" w:sz="4" w:space="0" w:color="auto"/>
            </w:tcBorders>
          </w:tcPr>
          <w:p w14:paraId="4EE85AB1" w14:textId="77777777" w:rsidR="00390780" w:rsidRPr="00094ABE" w:rsidRDefault="00390780" w:rsidP="008B336A">
            <w:pPr>
              <w:spacing w:after="0" w:line="240" w:lineRule="auto"/>
              <w:jc w:val="right"/>
              <w:rPr>
                <w:i/>
                <w:sz w:val="18"/>
                <w:szCs w:val="18"/>
              </w:rPr>
            </w:pPr>
            <w:r w:rsidRPr="00094ABE">
              <w:rPr>
                <w:i/>
                <w:sz w:val="18"/>
                <w:szCs w:val="18"/>
              </w:rPr>
              <w:t>Zdroj: ÚHP na základe údajov EU SILC a FRA (MRK)</w:t>
            </w:r>
          </w:p>
          <w:p w14:paraId="4619E591" w14:textId="4B3F578A" w:rsidR="007E59BB" w:rsidRPr="007E59BB" w:rsidRDefault="00390780" w:rsidP="008B336A">
            <w:pPr>
              <w:spacing w:after="0" w:line="240" w:lineRule="auto"/>
              <w:rPr>
                <w:b/>
                <w:sz w:val="18"/>
                <w:szCs w:val="18"/>
              </w:rPr>
            </w:pPr>
            <w:r w:rsidRPr="00094ABE">
              <w:rPr>
                <w:i/>
                <w:sz w:val="18"/>
                <w:szCs w:val="18"/>
              </w:rPr>
              <w:t xml:space="preserve">Poznámka: </w:t>
            </w:r>
            <w:r w:rsidRPr="00094ABE">
              <w:rPr>
                <w:rFonts w:eastAsia="Times New Roman" w:cs="Times New Roman"/>
                <w:i/>
                <w:color w:val="000000"/>
                <w:sz w:val="18"/>
                <w:szCs w:val="18"/>
              </w:rPr>
              <w:t xml:space="preserve">Údaje za ľudí z prostredia MRK </w:t>
            </w:r>
            <w:r w:rsidR="00430C10" w:rsidRPr="00094ABE">
              <w:rPr>
                <w:rFonts w:eastAsia="Times New Roman" w:cs="Times New Roman"/>
                <w:i/>
                <w:color w:val="000000"/>
                <w:sz w:val="18"/>
                <w:szCs w:val="18"/>
              </w:rPr>
              <w:t xml:space="preserve">a deti zo SZP </w:t>
            </w:r>
            <w:r w:rsidRPr="00094ABE">
              <w:rPr>
                <w:rFonts w:eastAsia="Times New Roman" w:cs="Times New Roman"/>
                <w:i/>
                <w:color w:val="000000"/>
                <w:sz w:val="18"/>
                <w:szCs w:val="18"/>
              </w:rPr>
              <w:t>sú za rok 2016. Údaje o miere závažnej materiálnej deprivácie a o miere závažnej deprivácie v bývaní v MRK nie sú zahrnuté do verejne dostupných údajov FRA. Údaje o nenaplnenej potrebe medicínskeho vyšetrenia alebo liečby a o predčasnom ukončení ško</w:t>
            </w:r>
            <w:r w:rsidR="0070047D" w:rsidRPr="00094ABE">
              <w:rPr>
                <w:rFonts w:eastAsia="Times New Roman" w:cs="Times New Roman"/>
                <w:i/>
                <w:color w:val="000000"/>
                <w:sz w:val="18"/>
                <w:szCs w:val="18"/>
              </w:rPr>
              <w:t xml:space="preserve">lskej dochádzky mladých nie je </w:t>
            </w:r>
            <w:r w:rsidRPr="00094ABE">
              <w:rPr>
                <w:rFonts w:eastAsia="Times New Roman" w:cs="Times New Roman"/>
                <w:i/>
                <w:color w:val="000000"/>
                <w:sz w:val="18"/>
                <w:szCs w:val="18"/>
              </w:rPr>
              <w:t>možné vyčísliť pre deti zo SZP vzhľadom na ich vek.</w:t>
            </w:r>
          </w:p>
        </w:tc>
      </w:tr>
    </w:tbl>
    <w:p w14:paraId="1524BA27" w14:textId="22702B54" w:rsidR="000E7DC4" w:rsidRDefault="00763313" w:rsidP="00CD133F">
      <w:pPr>
        <w:spacing w:before="160"/>
      </w:pPr>
      <w:r w:rsidRPr="00CA2564">
        <w:rPr>
          <w:b/>
        </w:rPr>
        <w:t>V revízii nie sú zahrnutí ľudia v dôchodkovom veku, keďže sociálne začleňovanie tejto skupiny predstavuje odlišný súbor výziev v porovnaní so začleňovaním ľudí v</w:t>
      </w:r>
      <w:r w:rsidR="005314AE">
        <w:rPr>
          <w:b/>
        </w:rPr>
        <w:t xml:space="preserve"> predproduktívnom a </w:t>
      </w:r>
      <w:r w:rsidRPr="00CA2564">
        <w:rPr>
          <w:b/>
        </w:rPr>
        <w:t>produktívnom veku.</w:t>
      </w:r>
      <w:r w:rsidRPr="00CA2564">
        <w:t xml:space="preserve"> Navyše štatistické zisťovania naznačujú, že z pohľadu sociálneho vylúčenia ľudia v dôchodkovom veku nepatria k zvlášť ohrozeným skupinám. Podiel ľudí vo veku 65 rokov a viac, ktorí žijú pod hranicou rizika chudoby je 6,</w:t>
      </w:r>
      <w:r w:rsidR="00A21C93">
        <w:t>4</w:t>
      </w:r>
      <w:r w:rsidRPr="00CA2564">
        <w:t xml:space="preserve"> %, miera závažnej materiálnej deprivácie je v tejto vekovej skupine na úrovni </w:t>
      </w:r>
      <w:r w:rsidR="00A21C93">
        <w:t>7,0</w:t>
      </w:r>
      <w:r w:rsidRPr="00CA2564">
        <w:t xml:space="preserve"> % a miera závažnej deprivácie v bývaní na úrovni 2,</w:t>
      </w:r>
      <w:r w:rsidR="00A21C93">
        <w:t>1</w:t>
      </w:r>
      <w:r w:rsidRPr="00CA2564">
        <w:t xml:space="preserve"> %. Tieto podiely sú </w:t>
      </w:r>
      <w:r w:rsidR="00A21C93">
        <w:t xml:space="preserve">podobné alebo </w:t>
      </w:r>
      <w:r w:rsidRPr="00CA2564">
        <w:t>nižšie ako v celkovej populácii Slovenska (</w:t>
      </w:r>
      <w:r w:rsidR="001779B0" w:rsidRPr="001779B0">
        <w:rPr>
          <w:szCs w:val="22"/>
        </w:rPr>
        <w:fldChar w:fldCharType="begin"/>
      </w:r>
      <w:r w:rsidR="001779B0" w:rsidRPr="001779B0">
        <w:rPr>
          <w:szCs w:val="22"/>
        </w:rPr>
        <w:instrText xml:space="preserve"> REF _Ref33439531 \h  \* MERGEFORMAT </w:instrText>
      </w:r>
      <w:r w:rsidR="001779B0" w:rsidRPr="001779B0">
        <w:rPr>
          <w:szCs w:val="22"/>
        </w:rPr>
      </w:r>
      <w:r w:rsidR="001779B0" w:rsidRPr="001779B0">
        <w:rPr>
          <w:szCs w:val="22"/>
        </w:rPr>
        <w:fldChar w:fldCharType="separate"/>
      </w:r>
      <w:r w:rsidR="00FA29AF" w:rsidRPr="00FA29AF">
        <w:rPr>
          <w:szCs w:val="22"/>
        </w:rPr>
        <w:t xml:space="preserve">Tabuľka </w:t>
      </w:r>
      <w:r w:rsidR="00FA29AF" w:rsidRPr="00FA29AF">
        <w:rPr>
          <w:noProof/>
          <w:szCs w:val="22"/>
        </w:rPr>
        <w:t>1</w:t>
      </w:r>
      <w:r w:rsidR="001779B0" w:rsidRPr="001779B0">
        <w:rPr>
          <w:szCs w:val="22"/>
        </w:rPr>
        <w:fldChar w:fldCharType="end"/>
      </w:r>
      <w:r w:rsidRPr="001779B0">
        <w:rPr>
          <w:szCs w:val="22"/>
        </w:rPr>
        <w:t xml:space="preserve">). </w:t>
      </w:r>
      <w:r w:rsidRPr="00CA2564">
        <w:t>Jediný ukazovateľ, v ktorom starší ľudia zaznamenávajú horšie výsledky ako celková populácia, je miera nenaplnenej potreby medicínskeho vyšetrenia alebo liečby (4,2 %).</w:t>
      </w:r>
      <w:r w:rsidRPr="00CA2564">
        <w:rPr>
          <w:rStyle w:val="Odkaznapoznmkupodiarou"/>
        </w:rPr>
        <w:footnoteReference w:id="15"/>
      </w:r>
      <w:r w:rsidRPr="00CA2564">
        <w:t xml:space="preserve"> </w:t>
      </w:r>
    </w:p>
    <w:tbl>
      <w:tblPr>
        <w:tblW w:w="9025" w:type="dxa"/>
        <w:tblLayout w:type="fixed"/>
        <w:tblLook w:val="04E0" w:firstRow="1" w:lastRow="1" w:firstColumn="1" w:lastColumn="0" w:noHBand="0" w:noVBand="1"/>
      </w:tblPr>
      <w:tblGrid>
        <w:gridCol w:w="4395"/>
        <w:gridCol w:w="236"/>
        <w:gridCol w:w="4394"/>
      </w:tblGrid>
      <w:tr w:rsidR="00763313" w:rsidRPr="00CA2564" w14:paraId="0DAABFD8" w14:textId="77777777" w:rsidTr="008B336A">
        <w:tc>
          <w:tcPr>
            <w:tcW w:w="4395" w:type="dxa"/>
            <w:tcBorders>
              <w:bottom w:val="single" w:sz="4" w:space="0" w:color="auto"/>
            </w:tcBorders>
          </w:tcPr>
          <w:p w14:paraId="0372C848" w14:textId="15020E8B" w:rsidR="00763313" w:rsidRPr="008B336A" w:rsidRDefault="00763313" w:rsidP="008B336A">
            <w:pPr>
              <w:spacing w:after="0"/>
              <w:rPr>
                <w:b/>
              </w:rPr>
            </w:pPr>
            <w:bookmarkStart w:id="83" w:name="_Ref524528254"/>
            <w:bookmarkStart w:id="84" w:name="_Toc17469369"/>
            <w:bookmarkStart w:id="85" w:name="_Toc34157563"/>
            <w:r w:rsidRPr="008B336A">
              <w:rPr>
                <w:b/>
                <w:sz w:val="20"/>
              </w:rPr>
              <w:t xml:space="preserve">Graf </w:t>
            </w:r>
            <w:r w:rsidRPr="008B336A">
              <w:rPr>
                <w:b/>
                <w:sz w:val="20"/>
              </w:rPr>
              <w:fldChar w:fldCharType="begin"/>
            </w:r>
            <w:r w:rsidRPr="008B336A">
              <w:rPr>
                <w:b/>
                <w:sz w:val="20"/>
              </w:rPr>
              <w:instrText xml:space="preserve"> SEQ Graf \* ARABIC </w:instrText>
            </w:r>
            <w:r w:rsidRPr="008B336A">
              <w:rPr>
                <w:b/>
                <w:sz w:val="20"/>
              </w:rPr>
              <w:fldChar w:fldCharType="separate"/>
            </w:r>
            <w:r w:rsidR="00FA29AF">
              <w:rPr>
                <w:b/>
                <w:noProof/>
                <w:sz w:val="20"/>
              </w:rPr>
              <w:t>5</w:t>
            </w:r>
            <w:r w:rsidRPr="008B336A">
              <w:rPr>
                <w:b/>
                <w:sz w:val="20"/>
              </w:rPr>
              <w:fldChar w:fldCharType="end"/>
            </w:r>
            <w:bookmarkEnd w:id="83"/>
            <w:r w:rsidRPr="008B336A">
              <w:rPr>
                <w:b/>
                <w:sz w:val="20"/>
              </w:rPr>
              <w:t>: Miera rizika chudoby alebo sociálneho vylúčenia vybratých skupín, 201</w:t>
            </w:r>
            <w:r w:rsidR="008D4A2A" w:rsidRPr="008B336A">
              <w:rPr>
                <w:b/>
                <w:sz w:val="20"/>
              </w:rPr>
              <w:t>8</w:t>
            </w:r>
            <w:r w:rsidRPr="008B336A">
              <w:rPr>
                <w:b/>
                <w:sz w:val="20"/>
              </w:rPr>
              <w:t xml:space="preserve"> (%)</w:t>
            </w:r>
            <w:bookmarkEnd w:id="84"/>
            <w:bookmarkEnd w:id="85"/>
          </w:p>
        </w:tc>
        <w:tc>
          <w:tcPr>
            <w:tcW w:w="236" w:type="dxa"/>
            <w:tcBorders>
              <w:bottom w:val="nil"/>
            </w:tcBorders>
          </w:tcPr>
          <w:p w14:paraId="657A2EB2" w14:textId="77777777" w:rsidR="00763313" w:rsidRPr="008B336A" w:rsidRDefault="00763313">
            <w:pPr>
              <w:spacing w:after="0"/>
              <w:rPr>
                <w:b/>
                <w:sz w:val="10"/>
              </w:rPr>
            </w:pPr>
          </w:p>
        </w:tc>
        <w:tc>
          <w:tcPr>
            <w:tcW w:w="4394" w:type="dxa"/>
            <w:tcBorders>
              <w:bottom w:val="single" w:sz="4" w:space="0" w:color="auto"/>
            </w:tcBorders>
          </w:tcPr>
          <w:p w14:paraId="1B5E59E1" w14:textId="676BB56D" w:rsidR="00763313" w:rsidRPr="008B336A" w:rsidRDefault="00763313" w:rsidP="008B336A">
            <w:pPr>
              <w:spacing w:after="0"/>
              <w:rPr>
                <w:b/>
              </w:rPr>
            </w:pPr>
            <w:bookmarkStart w:id="86" w:name="_Ref524529015"/>
            <w:bookmarkStart w:id="87" w:name="_Toc17469370"/>
            <w:bookmarkStart w:id="88" w:name="_Toc34157564"/>
            <w:r w:rsidRPr="008B336A">
              <w:rPr>
                <w:b/>
                <w:sz w:val="20"/>
              </w:rPr>
              <w:t xml:space="preserve">Graf </w:t>
            </w:r>
            <w:r w:rsidRPr="008B336A">
              <w:rPr>
                <w:b/>
                <w:sz w:val="20"/>
              </w:rPr>
              <w:fldChar w:fldCharType="begin"/>
            </w:r>
            <w:r w:rsidRPr="008B336A">
              <w:rPr>
                <w:b/>
                <w:sz w:val="20"/>
              </w:rPr>
              <w:instrText xml:space="preserve"> SEQ Graf \* ARABIC </w:instrText>
            </w:r>
            <w:r w:rsidRPr="008B336A">
              <w:rPr>
                <w:b/>
                <w:sz w:val="20"/>
              </w:rPr>
              <w:fldChar w:fldCharType="separate"/>
            </w:r>
            <w:r w:rsidR="00FA29AF">
              <w:rPr>
                <w:b/>
                <w:noProof/>
                <w:sz w:val="20"/>
              </w:rPr>
              <w:t>6</w:t>
            </w:r>
            <w:r w:rsidRPr="008B336A">
              <w:rPr>
                <w:b/>
                <w:sz w:val="20"/>
              </w:rPr>
              <w:fldChar w:fldCharType="end"/>
            </w:r>
            <w:bookmarkEnd w:id="86"/>
            <w:r w:rsidRPr="008B336A">
              <w:rPr>
                <w:b/>
                <w:sz w:val="20"/>
              </w:rPr>
              <w:t>: Výber ukazovateľov sociálneho vylúčenia v </w:t>
            </w:r>
            <w:r w:rsidR="00E35A14" w:rsidRPr="008B336A">
              <w:rPr>
                <w:b/>
                <w:sz w:val="20"/>
              </w:rPr>
              <w:t>MRK</w:t>
            </w:r>
            <w:r w:rsidRPr="008B336A">
              <w:rPr>
                <w:b/>
                <w:sz w:val="20"/>
              </w:rPr>
              <w:t>, 2016 (%)</w:t>
            </w:r>
            <w:bookmarkEnd w:id="87"/>
            <w:bookmarkEnd w:id="88"/>
          </w:p>
        </w:tc>
      </w:tr>
      <w:tr w:rsidR="00763313" w:rsidRPr="004E019E" w14:paraId="24D7B9AC" w14:textId="77777777" w:rsidTr="008B336A">
        <w:tblPrEx>
          <w:tblCellMar>
            <w:left w:w="70" w:type="dxa"/>
            <w:right w:w="70" w:type="dxa"/>
          </w:tblCellMar>
        </w:tblPrEx>
        <w:tc>
          <w:tcPr>
            <w:tcW w:w="4395" w:type="dxa"/>
            <w:tcBorders>
              <w:top w:val="single" w:sz="4" w:space="0" w:color="auto"/>
              <w:bottom w:val="single" w:sz="4" w:space="0" w:color="auto"/>
            </w:tcBorders>
          </w:tcPr>
          <w:p w14:paraId="19F9BF31" w14:textId="77777777" w:rsidR="00763313" w:rsidRPr="004E019E" w:rsidRDefault="00763313" w:rsidP="008B336A">
            <w:pPr>
              <w:spacing w:after="0"/>
              <w:rPr>
                <w:noProof/>
                <w:sz w:val="4"/>
                <w:szCs w:val="4"/>
              </w:rPr>
            </w:pPr>
          </w:p>
          <w:p w14:paraId="1D286763" w14:textId="23081E2B" w:rsidR="004E019E" w:rsidRPr="004E019E" w:rsidRDefault="0083310D" w:rsidP="008B336A">
            <w:pPr>
              <w:spacing w:after="0"/>
              <w:rPr>
                <w:noProof/>
                <w:sz w:val="4"/>
                <w:szCs w:val="4"/>
              </w:rPr>
            </w:pPr>
            <w:r>
              <w:rPr>
                <w:noProof/>
                <w:lang w:eastAsia="sk-SK"/>
              </w:rPr>
              <w:drawing>
                <wp:inline distT="0" distB="0" distL="0" distR="0" wp14:anchorId="097A1810" wp14:editId="64DBED01">
                  <wp:extent cx="2701925" cy="2438400"/>
                  <wp:effectExtent l="0" t="0" r="3175" b="0"/>
                  <wp:docPr id="25" name="Graf 2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arto="http://schemas.microsoft.com/office/word/2006/arto" id="{00000000-0008-0000-1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18563A8" w14:textId="3EB7530C" w:rsidR="004E019E" w:rsidRPr="004E019E" w:rsidRDefault="004E019E" w:rsidP="008B336A">
            <w:pPr>
              <w:spacing w:after="0"/>
              <w:rPr>
                <w:noProof/>
                <w:sz w:val="4"/>
                <w:szCs w:val="4"/>
              </w:rPr>
            </w:pPr>
          </w:p>
        </w:tc>
        <w:tc>
          <w:tcPr>
            <w:tcW w:w="236" w:type="dxa"/>
            <w:tcBorders>
              <w:top w:val="nil"/>
              <w:bottom w:val="nil"/>
            </w:tcBorders>
          </w:tcPr>
          <w:p w14:paraId="254D27D5" w14:textId="77777777" w:rsidR="00763313" w:rsidRPr="004E019E" w:rsidRDefault="00763313" w:rsidP="008B336A">
            <w:pPr>
              <w:spacing w:after="0"/>
              <w:ind w:hanging="212"/>
              <w:rPr>
                <w:noProof/>
                <w:sz w:val="4"/>
                <w:szCs w:val="4"/>
              </w:rPr>
            </w:pPr>
          </w:p>
        </w:tc>
        <w:tc>
          <w:tcPr>
            <w:tcW w:w="4394" w:type="dxa"/>
            <w:tcBorders>
              <w:top w:val="single" w:sz="4" w:space="0" w:color="auto"/>
              <w:bottom w:val="single" w:sz="4" w:space="0" w:color="auto"/>
            </w:tcBorders>
          </w:tcPr>
          <w:p w14:paraId="1BFDDD57" w14:textId="77777777" w:rsidR="00763313" w:rsidRPr="004E019E" w:rsidRDefault="00763313" w:rsidP="008B336A">
            <w:pPr>
              <w:spacing w:after="0"/>
              <w:rPr>
                <w:sz w:val="4"/>
                <w:szCs w:val="4"/>
              </w:rPr>
            </w:pPr>
          </w:p>
          <w:p w14:paraId="7521069A" w14:textId="77777777" w:rsidR="00763313" w:rsidRPr="004E019E" w:rsidRDefault="00763313" w:rsidP="008B336A">
            <w:pPr>
              <w:spacing w:after="0"/>
              <w:rPr>
                <w:sz w:val="4"/>
                <w:szCs w:val="4"/>
              </w:rPr>
            </w:pPr>
            <w:r w:rsidRPr="004E019E">
              <w:rPr>
                <w:noProof/>
                <w:sz w:val="4"/>
                <w:szCs w:val="4"/>
                <w:lang w:eastAsia="sk-SK"/>
              </w:rPr>
              <w:drawing>
                <wp:inline distT="0" distB="0" distL="0" distR="0" wp14:anchorId="0A4340BE" wp14:editId="127C762E">
                  <wp:extent cx="2767965" cy="2476500"/>
                  <wp:effectExtent l="0" t="0" r="0" b="0"/>
                  <wp:docPr id="293" name="Graf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F074466" w14:textId="77777777" w:rsidR="00763313" w:rsidRPr="004E019E" w:rsidRDefault="00763313" w:rsidP="008B336A">
            <w:pPr>
              <w:spacing w:after="0"/>
              <w:rPr>
                <w:sz w:val="4"/>
                <w:szCs w:val="4"/>
              </w:rPr>
            </w:pPr>
          </w:p>
        </w:tc>
      </w:tr>
      <w:tr w:rsidR="00763313" w:rsidRPr="00CA2564" w14:paraId="674F7DAA" w14:textId="77777777" w:rsidTr="008B336A">
        <w:tc>
          <w:tcPr>
            <w:tcW w:w="4395" w:type="dxa"/>
            <w:tcBorders>
              <w:top w:val="single" w:sz="4" w:space="0" w:color="auto"/>
            </w:tcBorders>
          </w:tcPr>
          <w:p w14:paraId="02FAD34E" w14:textId="77777777" w:rsidR="00763313" w:rsidRPr="00094ABE" w:rsidRDefault="00763313" w:rsidP="00DC20CE">
            <w:pPr>
              <w:spacing w:after="0" w:line="240" w:lineRule="auto"/>
              <w:jc w:val="right"/>
              <w:rPr>
                <w:bCs/>
                <w:i/>
                <w:noProof/>
                <w:sz w:val="18"/>
                <w:szCs w:val="18"/>
              </w:rPr>
            </w:pPr>
            <w:r w:rsidRPr="00094ABE">
              <w:rPr>
                <w:i/>
                <w:noProof/>
                <w:sz w:val="18"/>
                <w:szCs w:val="18"/>
              </w:rPr>
              <w:t xml:space="preserve">Zdroj: Eurostat </w:t>
            </w:r>
          </w:p>
        </w:tc>
        <w:tc>
          <w:tcPr>
            <w:tcW w:w="236" w:type="dxa"/>
            <w:tcBorders>
              <w:top w:val="nil"/>
            </w:tcBorders>
          </w:tcPr>
          <w:p w14:paraId="6B890650" w14:textId="77777777" w:rsidR="00763313" w:rsidRPr="00094ABE" w:rsidRDefault="00763313" w:rsidP="00DC20CE">
            <w:pPr>
              <w:spacing w:after="0" w:line="240" w:lineRule="auto"/>
              <w:jc w:val="right"/>
              <w:rPr>
                <w:i/>
                <w:noProof/>
                <w:sz w:val="10"/>
                <w:szCs w:val="18"/>
              </w:rPr>
            </w:pPr>
          </w:p>
        </w:tc>
        <w:tc>
          <w:tcPr>
            <w:tcW w:w="4394" w:type="dxa"/>
            <w:tcBorders>
              <w:top w:val="single" w:sz="4" w:space="0" w:color="auto"/>
            </w:tcBorders>
          </w:tcPr>
          <w:p w14:paraId="02C42700" w14:textId="77777777" w:rsidR="00763313" w:rsidRPr="00094ABE" w:rsidRDefault="00763313" w:rsidP="00DC20CE">
            <w:pPr>
              <w:spacing w:after="0" w:line="240" w:lineRule="auto"/>
              <w:jc w:val="right"/>
              <w:rPr>
                <w:i/>
                <w:noProof/>
                <w:sz w:val="18"/>
                <w:szCs w:val="18"/>
              </w:rPr>
            </w:pPr>
            <w:r w:rsidRPr="00094ABE">
              <w:rPr>
                <w:i/>
                <w:noProof/>
                <w:sz w:val="18"/>
                <w:szCs w:val="18"/>
              </w:rPr>
              <w:t>Zdroj: FRA</w:t>
            </w:r>
          </w:p>
          <w:p w14:paraId="3A18DFD3" w14:textId="77777777" w:rsidR="00763313" w:rsidRPr="00094ABE" w:rsidRDefault="00763313" w:rsidP="00DC20CE">
            <w:pPr>
              <w:spacing w:after="0" w:line="240" w:lineRule="auto"/>
              <w:rPr>
                <w:i/>
                <w:noProof/>
                <w:sz w:val="18"/>
                <w:szCs w:val="18"/>
              </w:rPr>
            </w:pPr>
            <w:r w:rsidRPr="00094ABE">
              <w:rPr>
                <w:i/>
                <w:noProof/>
                <w:sz w:val="18"/>
                <w:szCs w:val="18"/>
              </w:rPr>
              <w:t>Poznámka: Medzi skúmané krajiny patria Bulharsko, Česká Republika, Grécko, Španielsko, Chorvátsko, Maďarsko, Portugalsko, Rumunsko a Slovensko</w:t>
            </w:r>
          </w:p>
        </w:tc>
      </w:tr>
    </w:tbl>
    <w:p w14:paraId="647603FE" w14:textId="04E6A8AC" w:rsidR="0035005D" w:rsidRPr="003D3A4E" w:rsidRDefault="003D3A4E" w:rsidP="003D3A4E">
      <w:pPr>
        <w:spacing w:before="160"/>
      </w:pPr>
      <w:r w:rsidRPr="00CA2564">
        <w:rPr>
          <w:b/>
        </w:rPr>
        <w:lastRenderedPageBreak/>
        <w:t>Niektoré z uvedených ohrozených skupín majú horšie výsledky nielen oproti priemeru Slovenska, ale aj oproti rovnakým skupinám v iných krajinách EÚ</w:t>
      </w:r>
      <w:r w:rsidR="00CD133F">
        <w:rPr>
          <w:b/>
        </w:rPr>
        <w:t>15</w:t>
      </w:r>
      <w:r w:rsidRPr="00CA2564">
        <w:rPr>
          <w:b/>
        </w:rPr>
        <w:t xml:space="preserve">. </w:t>
      </w:r>
      <w:r w:rsidRPr="00CA2564">
        <w:t>Kým miera rizika chudoby alebo sociálneho vylúčenia medzi ľuďmi so zdravotným znevýhodnen</w:t>
      </w:r>
      <w:r w:rsidR="00CD133F">
        <w:t>ím je na Slovensku nižšia ako v</w:t>
      </w:r>
      <w:r w:rsidRPr="00CA2564">
        <w:t xml:space="preserve"> krajinách </w:t>
      </w:r>
      <w:r w:rsidR="00CD133F">
        <w:t xml:space="preserve">V3 </w:t>
      </w:r>
      <w:r w:rsidRPr="00CA2564">
        <w:t>aj v</w:t>
      </w:r>
      <w:r w:rsidR="00CD133F">
        <w:t> </w:t>
      </w:r>
      <w:r w:rsidRPr="00CA2564">
        <w:t>EÚ</w:t>
      </w:r>
      <w:r w:rsidR="00CD133F">
        <w:t>15</w:t>
      </w:r>
      <w:r w:rsidRPr="00CA2564">
        <w:t>, a</w:t>
      </w:r>
      <w:r w:rsidR="00CB0D29">
        <w:t> medzi osamelými rodičmi</w:t>
      </w:r>
      <w:r w:rsidRPr="005F6B48">
        <w:t xml:space="preserve"> s deťmi porovnateľná</w:t>
      </w:r>
      <w:r>
        <w:t xml:space="preserve"> s priemerom EÚ</w:t>
      </w:r>
      <w:r w:rsidRPr="005F6B48">
        <w:t>, deti rodičov s nízkym vzdelaním sú na tom oveľa horšie ako v iných krajinách (</w:t>
      </w:r>
      <w:r w:rsidRPr="005F6B48">
        <w:fldChar w:fldCharType="begin"/>
      </w:r>
      <w:r w:rsidRPr="005F6B48">
        <w:instrText xml:space="preserve"> REF _Ref524528254 \h  \* MERGEFORMAT </w:instrText>
      </w:r>
      <w:r w:rsidRPr="005F6B48">
        <w:fldChar w:fldCharType="separate"/>
      </w:r>
      <w:r w:rsidR="00FA29AF" w:rsidRPr="00FA29AF">
        <w:t xml:space="preserve">Graf </w:t>
      </w:r>
      <w:r w:rsidR="00FA29AF" w:rsidRPr="00FA29AF">
        <w:rPr>
          <w:noProof/>
        </w:rPr>
        <w:t>5</w:t>
      </w:r>
      <w:r w:rsidRPr="005F6B48">
        <w:fldChar w:fldCharType="end"/>
      </w:r>
      <w:r w:rsidRPr="005F6B48">
        <w:t xml:space="preserve">). Pri tejto skupine je Slovensko spolu s Bulharskom </w:t>
      </w:r>
      <w:r>
        <w:t xml:space="preserve">a Litvou </w:t>
      </w:r>
      <w:r w:rsidRPr="005F6B48">
        <w:t>na chvoste krajín EÚ. V dvoch z troch ukazovateľov</w:t>
      </w:r>
      <w:r w:rsidRPr="00CA2564">
        <w:t xml:space="preserve"> sociálneho začleňovania </w:t>
      </w:r>
      <w:r>
        <w:t>ľudí z prostredia MRK</w:t>
      </w:r>
      <w:r w:rsidRPr="00CA2564">
        <w:t xml:space="preserve"> vykazuje Slovensko tiež horšie výsledky ako väčšina ostatných krajín EÚ s početnou rómskou menšinou. Lepšie výsledky zaznamenáva Slovensko iba v miere predčasného ukončenia školskej dochádzky mladých (</w:t>
      </w:r>
      <w:r w:rsidRPr="00CA2564">
        <w:fldChar w:fldCharType="begin"/>
      </w:r>
      <w:r w:rsidRPr="00CA2564">
        <w:instrText xml:space="preserve"> REF _Ref524529015 \h  \* MERGEFORMAT </w:instrText>
      </w:r>
      <w:r w:rsidRPr="00CA2564">
        <w:fldChar w:fldCharType="separate"/>
      </w:r>
      <w:r w:rsidR="00FA29AF" w:rsidRPr="00FA29AF">
        <w:t xml:space="preserve">Graf </w:t>
      </w:r>
      <w:r w:rsidR="00FA29AF" w:rsidRPr="00FA29AF">
        <w:rPr>
          <w:noProof/>
        </w:rPr>
        <w:t>6</w:t>
      </w:r>
      <w:r w:rsidRPr="00CA2564">
        <w:fldChar w:fldCharType="end"/>
      </w:r>
      <w:r w:rsidRPr="00CA2564">
        <w:t>).</w:t>
      </w:r>
      <w:r>
        <w:t xml:space="preserve"> Osobitne zraniteľnou skupinou sú ženy z prostredia MRK, ktoré často čelia viacnásobne diskriminácii z dôvodu ich etnicity ako aj rodu (</w:t>
      </w:r>
      <w:r w:rsidRPr="003D395C">
        <w:fldChar w:fldCharType="begin"/>
      </w:r>
      <w:r w:rsidRPr="003D395C">
        <w:instrText xml:space="preserve"> REF _Ref24484816 \h  \* MERGEFORMAT </w:instrText>
      </w:r>
      <w:r w:rsidRPr="003D395C">
        <w:fldChar w:fldCharType="separate"/>
      </w:r>
      <w:r w:rsidR="00FA29AF" w:rsidRPr="00FA29AF">
        <w:t xml:space="preserve">Box </w:t>
      </w:r>
      <w:r w:rsidR="00FA29AF" w:rsidRPr="00FA29AF">
        <w:rPr>
          <w:noProof/>
        </w:rPr>
        <w:t>2</w:t>
      </w:r>
      <w:r w:rsidRPr="003D395C">
        <w:fldChar w:fldCharType="end"/>
      </w:r>
      <w:r>
        <w:t>).</w:t>
      </w:r>
    </w:p>
    <w:tbl>
      <w:tblPr>
        <w:tblW w:w="0" w:type="auto"/>
        <w:shd w:val="clear" w:color="auto" w:fill="BDD6EE" w:themeFill="accent1" w:themeFillTint="66"/>
        <w:tblLook w:val="04A0" w:firstRow="1" w:lastRow="0" w:firstColumn="1" w:lastColumn="0" w:noHBand="0" w:noVBand="1"/>
      </w:tblPr>
      <w:tblGrid>
        <w:gridCol w:w="9026"/>
      </w:tblGrid>
      <w:tr w:rsidR="0035005D" w:rsidRPr="00CA2564" w14:paraId="7092F976" w14:textId="77777777" w:rsidTr="00CA3920">
        <w:tc>
          <w:tcPr>
            <w:tcW w:w="9062" w:type="dxa"/>
            <w:shd w:val="clear" w:color="auto" w:fill="BDD6EE" w:themeFill="accent1" w:themeFillTint="66"/>
          </w:tcPr>
          <w:p w14:paraId="1E841EC9" w14:textId="3F80DEE7" w:rsidR="0035005D" w:rsidRPr="006E2B6B" w:rsidRDefault="0035005D" w:rsidP="00F46270">
            <w:pPr>
              <w:spacing w:before="120"/>
              <w:rPr>
                <w:b/>
              </w:rPr>
            </w:pPr>
            <w:bookmarkStart w:id="89" w:name="_Ref24484816"/>
            <w:r w:rsidRPr="006E2B6B">
              <w:rPr>
                <w:b/>
              </w:rPr>
              <w:t xml:space="preserve">Box </w:t>
            </w:r>
            <w:r w:rsidR="00A425AB">
              <w:rPr>
                <w:b/>
              </w:rPr>
              <w:fldChar w:fldCharType="begin"/>
            </w:r>
            <w:r w:rsidR="00A425AB">
              <w:rPr>
                <w:b/>
              </w:rPr>
              <w:instrText xml:space="preserve"> SEQ Box \* ARABIC </w:instrText>
            </w:r>
            <w:r w:rsidR="00A425AB">
              <w:rPr>
                <w:b/>
              </w:rPr>
              <w:fldChar w:fldCharType="separate"/>
            </w:r>
            <w:r w:rsidR="00FA29AF">
              <w:rPr>
                <w:b/>
                <w:noProof/>
              </w:rPr>
              <w:t>2</w:t>
            </w:r>
            <w:r w:rsidR="00A425AB">
              <w:rPr>
                <w:b/>
              </w:rPr>
              <w:fldChar w:fldCharType="end"/>
            </w:r>
            <w:bookmarkEnd w:id="89"/>
            <w:r w:rsidRPr="006E2B6B">
              <w:rPr>
                <w:b/>
              </w:rPr>
              <w:t>: Rodovo podmienené znevýhodnenie žien v MRK</w:t>
            </w:r>
          </w:p>
          <w:p w14:paraId="5509E0E0" w14:textId="6EED76F7" w:rsidR="0035005D" w:rsidRPr="00B972C3" w:rsidRDefault="004C79FE" w:rsidP="00F46270">
            <w:pPr>
              <w:spacing w:before="160"/>
            </w:pPr>
            <w:r>
              <w:t>R</w:t>
            </w:r>
            <w:r w:rsidR="0035005D" w:rsidRPr="00B972C3">
              <w:t xml:space="preserve">odové stereotypy </w:t>
            </w:r>
            <w:r w:rsidR="0035005D">
              <w:t>v prostredí MRK do veľkej miery</w:t>
            </w:r>
            <w:r w:rsidR="0035005D" w:rsidRPr="00B972C3">
              <w:t xml:space="preserve"> </w:t>
            </w:r>
            <w:r w:rsidR="008D4A2A">
              <w:t>určujú</w:t>
            </w:r>
            <w:r w:rsidR="008D4A2A" w:rsidRPr="00B972C3">
              <w:t xml:space="preserve"> </w:t>
            </w:r>
            <w:r w:rsidR="0035005D" w:rsidRPr="00B972C3">
              <w:t>životné ciele, výchovu a očakávania od jednotlivcov na základe ich pohlavia</w:t>
            </w:r>
            <w:r w:rsidR="0035005D">
              <w:t xml:space="preserve">, napriek </w:t>
            </w:r>
            <w:r w:rsidR="0035005D" w:rsidRPr="00B972C3">
              <w:t>určit</w:t>
            </w:r>
            <w:r w:rsidR="0035005D">
              <w:t>ým</w:t>
            </w:r>
            <w:r w:rsidR="0035005D" w:rsidRPr="00B972C3">
              <w:t xml:space="preserve"> zmen</w:t>
            </w:r>
            <w:r w:rsidR="0035005D">
              <w:t>ám</w:t>
            </w:r>
            <w:r w:rsidR="0035005D" w:rsidRPr="00B972C3">
              <w:t xml:space="preserve"> v postojoch a</w:t>
            </w:r>
            <w:r w:rsidR="0035005D">
              <w:t> </w:t>
            </w:r>
            <w:r w:rsidR="0035005D" w:rsidRPr="00B972C3">
              <w:t>preferenci</w:t>
            </w:r>
            <w:r w:rsidR="0035005D">
              <w:t>ách smerom k</w:t>
            </w:r>
            <w:r w:rsidR="0035005D" w:rsidRPr="00B972C3">
              <w:t xml:space="preserve"> väčšej rodovej rovnosti.</w:t>
            </w:r>
            <w:r w:rsidR="0035005D">
              <w:t xml:space="preserve"> Od </w:t>
            </w:r>
            <w:r w:rsidR="0035005D" w:rsidRPr="00B972C3">
              <w:t xml:space="preserve">muža sa očakáva naplnenie jeho role ako živiteľa rodiny, </w:t>
            </w:r>
            <w:r w:rsidR="007E28BC">
              <w:t>zatiaľ čo</w:t>
            </w:r>
            <w:r w:rsidR="0035005D" w:rsidRPr="00B972C3">
              <w:t xml:space="preserve"> primárna úloha ženy spočíva v starostlivosti </w:t>
            </w:r>
            <w:r w:rsidR="0035005D">
              <w:t>o</w:t>
            </w:r>
            <w:r w:rsidR="0035005D" w:rsidRPr="00B972C3">
              <w:t xml:space="preserve"> domácnosť. </w:t>
            </w:r>
            <w:r w:rsidR="0035005D">
              <w:t>V rámci rodinného života môže síce ž</w:t>
            </w:r>
            <w:r w:rsidR="0035005D" w:rsidRPr="008378B8">
              <w:t xml:space="preserve">ena </w:t>
            </w:r>
            <w:r w:rsidR="0035005D">
              <w:t>disponovať väčšími rozhodovacími</w:t>
            </w:r>
            <w:r w:rsidR="0070047D">
              <w:t xml:space="preserve"> </w:t>
            </w:r>
            <w:r w:rsidR="0035005D">
              <w:t>právomocami v otázke financií či výchovy,</w:t>
            </w:r>
            <w:r w:rsidR="0035005D" w:rsidRPr="008378B8">
              <w:t xml:space="preserve"> </w:t>
            </w:r>
            <w:r w:rsidR="0035005D">
              <w:t>avšak a</w:t>
            </w:r>
            <w:r w:rsidR="0035005D" w:rsidRPr="00B972C3">
              <w:t>ngažovanie sa vo verejnej</w:t>
            </w:r>
            <w:r w:rsidR="0035005D">
              <w:t xml:space="preserve"> a pracovnej sfére je</w:t>
            </w:r>
            <w:r w:rsidR="0035005D" w:rsidRPr="00B972C3">
              <w:t xml:space="preserve"> vo veľkej miere vyhradené najmä pre mužov. Tento mode</w:t>
            </w:r>
            <w:r w:rsidR="0035005D">
              <w:t>l vedie k situácii značnej</w:t>
            </w:r>
            <w:r w:rsidR="0035005D" w:rsidRPr="00B972C3">
              <w:t xml:space="preserve"> závislosti ženy na svojom partnerovi, výrazne obmedzuje jej samostatnosť a možnosť sebarealizácie mimo rodiny</w:t>
            </w:r>
            <w:r>
              <w:t xml:space="preserve"> </w:t>
            </w:r>
            <w:r w:rsidR="0035005D" w:rsidRPr="00B972C3">
              <w:t>(Filadelfiová, 2012).</w:t>
            </w:r>
          </w:p>
          <w:p w14:paraId="3ADAA259" w14:textId="26D57427" w:rsidR="0035005D" w:rsidRPr="00CA2564" w:rsidRDefault="0035005D" w:rsidP="00087A7D">
            <w:pPr>
              <w:spacing w:before="160"/>
              <w:rPr>
                <w:rFonts w:cs="NeueHaasGroteskText W02"/>
                <w:color w:val="000000"/>
              </w:rPr>
            </w:pPr>
            <w:r w:rsidRPr="00B972C3">
              <w:t xml:space="preserve">Zahraničné skúsenosti potvrdili, že prístup k vzdelaniu, ekonomická inklúzia a zvyšovanie zamestnanosti žien </w:t>
            </w:r>
            <w:r>
              <w:t>prispievajú</w:t>
            </w:r>
            <w:r w:rsidRPr="00B972C3">
              <w:t xml:space="preserve"> nielen </w:t>
            </w:r>
            <w:r>
              <w:t>na ich</w:t>
            </w:r>
            <w:r w:rsidRPr="00B972C3">
              <w:t xml:space="preserve"> emancipáci</w:t>
            </w:r>
            <w:r>
              <w:t>u</w:t>
            </w:r>
            <w:r w:rsidRPr="00B972C3">
              <w:t xml:space="preserve">, ale aj </w:t>
            </w:r>
            <w:r>
              <w:t xml:space="preserve">k </w:t>
            </w:r>
            <w:r w:rsidRPr="00B972C3">
              <w:t>celkovému rozvoju komunity (</w:t>
            </w:r>
            <w:r>
              <w:t>OSN</w:t>
            </w:r>
            <w:r w:rsidRPr="00B972C3">
              <w:t>, 2018</w:t>
            </w:r>
            <w:r w:rsidRPr="009B30AE">
              <w:t>;</w:t>
            </w:r>
            <w:r w:rsidRPr="00B972C3">
              <w:t xml:space="preserve"> IMF, 2018). Napriek tomu, že rodové rozdiely z hľadiska ekonomického postavenia sú na slovenskom trhu práce všeobecné (MPSVR, 2019), v</w:t>
            </w:r>
            <w:r>
              <w:t> </w:t>
            </w:r>
            <w:r w:rsidRPr="00B972C3">
              <w:t>prostredí</w:t>
            </w:r>
            <w:r>
              <w:t xml:space="preserve"> MRK</w:t>
            </w:r>
            <w:r w:rsidRPr="00B972C3">
              <w:t xml:space="preserve"> sa ešte viac umocňujú</w:t>
            </w:r>
            <w:r>
              <w:t xml:space="preserve"> (podkapitola </w:t>
            </w:r>
            <w:r w:rsidR="00522601">
              <w:fldChar w:fldCharType="begin"/>
            </w:r>
            <w:r w:rsidR="00522601">
              <w:instrText xml:space="preserve"> REF _Ref25312612 \r \h </w:instrText>
            </w:r>
            <w:r w:rsidR="00522601">
              <w:fldChar w:fldCharType="separate"/>
            </w:r>
            <w:r w:rsidR="00FA29AF">
              <w:t>7.1</w:t>
            </w:r>
            <w:r w:rsidR="00522601">
              <w:fldChar w:fldCharType="end"/>
            </w:r>
            <w:r>
              <w:t>)</w:t>
            </w:r>
            <w:r w:rsidRPr="00B972C3">
              <w:t>.</w:t>
            </w:r>
            <w:r>
              <w:t xml:space="preserve"> </w:t>
            </w:r>
            <w:r w:rsidR="00087A7D">
              <w:fldChar w:fldCharType="begin"/>
            </w:r>
            <w:r w:rsidR="00087A7D">
              <w:instrText xml:space="preserve"> REF _Ref34130111 \h  \* MERGEFORMAT </w:instrText>
            </w:r>
            <w:r w:rsidR="00087A7D">
              <w:fldChar w:fldCharType="separate"/>
            </w:r>
            <w:r w:rsidR="00FA29AF" w:rsidRPr="00FA29AF">
              <w:t>Príloha 2</w:t>
            </w:r>
            <w:r w:rsidR="00087A7D">
              <w:fldChar w:fldCharType="end"/>
            </w:r>
            <w:r w:rsidRPr="00E0075C">
              <w:t xml:space="preserve"> </w:t>
            </w:r>
            <w:r>
              <w:t>revízie pritom dokumentuje lepšie výsledky žien ako mužov vo vzdelávaní a to tak v prostredí MRK ako aj mimo MRK.</w:t>
            </w:r>
          </w:p>
        </w:tc>
      </w:tr>
    </w:tbl>
    <w:p w14:paraId="3BD6FFEE" w14:textId="5E062EED" w:rsidR="00763313" w:rsidRPr="00CA2564" w:rsidRDefault="00763313" w:rsidP="00F218AA">
      <w:pPr>
        <w:spacing w:before="160"/>
        <w:rPr>
          <w:rFonts w:cs="NeueHaasGroteskText W02"/>
          <w:color w:val="000000"/>
        </w:rPr>
      </w:pPr>
      <w:r w:rsidRPr="00CA2564">
        <w:rPr>
          <w:b/>
        </w:rPr>
        <w:t>Praktickým dôvodom prístupu k problému sociálneho vylúčenia cez konkrétne skupiny je fakt, že celú množinu ľudí ohrozených chudobou alebo sociálnym vylúčením nie je možné identifikovať v administratívnych dátach.</w:t>
      </w:r>
      <w:r w:rsidRPr="00CA2564">
        <w:rPr>
          <w:rStyle w:val="Odkaznapoznmkupodiarou"/>
          <w:b/>
        </w:rPr>
        <w:footnoteReference w:id="16"/>
      </w:r>
      <w:r w:rsidRPr="00CA2564">
        <w:rPr>
          <w:b/>
        </w:rPr>
        <w:t xml:space="preserve"> </w:t>
      </w:r>
      <w:r w:rsidRPr="00CA2564">
        <w:rPr>
          <w:rFonts w:cs="NeueHaasGroteskText W02"/>
          <w:color w:val="000000"/>
        </w:rPr>
        <w:t xml:space="preserve">Prístup cez skupiny, ktoré je možné identifikovať v administratívnych dátach, ponúka širšie analytické možnosti a kvalitnejšie hodnotenie verených politík s cieľom zlepšiť ich nastavenie pre všetkých ľudí v ťažkej sociálnej situácii. Hoci </w:t>
      </w:r>
      <w:r w:rsidR="001A3396">
        <w:rPr>
          <w:rFonts w:cs="NeueHaasGroteskText W02"/>
          <w:color w:val="000000"/>
        </w:rPr>
        <w:t>niektoré</w:t>
      </w:r>
      <w:r w:rsidRPr="00CA2564">
        <w:rPr>
          <w:rFonts w:cs="NeueHaasGroteskText W02"/>
          <w:color w:val="000000"/>
        </w:rPr>
        <w:t xml:space="preserve"> nástroje verejných politík, </w:t>
      </w:r>
      <w:r w:rsidR="001A3396">
        <w:rPr>
          <w:rFonts w:cs="NeueHaasGroteskText W02"/>
          <w:color w:val="000000"/>
        </w:rPr>
        <w:t>napríklad</w:t>
      </w:r>
      <w:r w:rsidRPr="00CA2564">
        <w:rPr>
          <w:rFonts w:cs="NeueHaasGroteskText W02"/>
          <w:color w:val="000000"/>
        </w:rPr>
        <w:t xml:space="preserve"> pomoc v hmotnej núdzi</w:t>
      </w:r>
      <w:r w:rsidR="001A3396">
        <w:rPr>
          <w:rFonts w:cs="NeueHaasGroteskText W02"/>
          <w:color w:val="000000"/>
        </w:rPr>
        <w:t xml:space="preserve"> alebo príspevok pre žiakov zo sociálne znevýhodneného prostredia</w:t>
      </w:r>
      <w:r w:rsidR="00533CD4">
        <w:rPr>
          <w:rFonts w:cs="NeueHaasGroteskText W02"/>
          <w:color w:val="000000"/>
        </w:rPr>
        <w:t xml:space="preserve"> (SZP príspevok)</w:t>
      </w:r>
      <w:r w:rsidRPr="00CA2564">
        <w:rPr>
          <w:rFonts w:cs="NeueHaasGroteskText W02"/>
          <w:color w:val="000000"/>
        </w:rPr>
        <w:t xml:space="preserve">, cielia ľudí so sociálnym znevýhodnením, definícia znevýhodnenia </w:t>
      </w:r>
      <w:r w:rsidR="001A3396">
        <w:rPr>
          <w:rFonts w:cs="NeueHaasGroteskText W02"/>
          <w:color w:val="000000"/>
        </w:rPr>
        <w:t>pre tieto</w:t>
      </w:r>
      <w:r w:rsidRPr="00CA2564">
        <w:rPr>
          <w:rFonts w:cs="NeueHaasGroteskText W02"/>
          <w:color w:val="000000"/>
        </w:rPr>
        <w:t xml:space="preserve"> účel</w:t>
      </w:r>
      <w:r w:rsidR="001A3396">
        <w:rPr>
          <w:rFonts w:cs="NeueHaasGroteskText W02"/>
          <w:color w:val="000000"/>
        </w:rPr>
        <w:t>y</w:t>
      </w:r>
      <w:r w:rsidRPr="00CA2564">
        <w:rPr>
          <w:rFonts w:cs="NeueHaasGroteskText W02"/>
          <w:color w:val="000000"/>
        </w:rPr>
        <w:t xml:space="preserve"> je podstatne užšia ako definícia rizika chudoby alebo sociálneho vylúčenia</w:t>
      </w:r>
      <w:r w:rsidR="0070047D">
        <w:rPr>
          <w:rFonts w:cs="NeueHaasGroteskText W02"/>
          <w:color w:val="000000"/>
        </w:rPr>
        <w:t>.</w:t>
      </w:r>
      <w:r w:rsidR="00533CD4">
        <w:rPr>
          <w:rFonts w:cs="NeueHaasGroteskText W02"/>
          <w:color w:val="000000"/>
        </w:rPr>
        <w:t xml:space="preserve"> P</w:t>
      </w:r>
      <w:r w:rsidR="008A7559">
        <w:rPr>
          <w:rFonts w:cs="NeueHaasGroteskText W02"/>
          <w:color w:val="000000"/>
        </w:rPr>
        <w:t xml:space="preserve">ríjmová hranica, pod ktorou vzniká nárok na pomoc v hmotnej núdzi </w:t>
      </w:r>
      <w:r w:rsidR="00533CD4">
        <w:rPr>
          <w:rFonts w:cs="NeueHaasGroteskText W02"/>
          <w:color w:val="000000"/>
        </w:rPr>
        <w:t>a SZP príspevok</w:t>
      </w:r>
      <w:r w:rsidR="001956BE">
        <w:rPr>
          <w:rFonts w:cs="NeueHaasGroteskText W02"/>
          <w:color w:val="000000"/>
        </w:rPr>
        <w:t>,</w:t>
      </w:r>
      <w:r w:rsidR="00533CD4">
        <w:rPr>
          <w:rFonts w:cs="NeueHaasGroteskText W02"/>
          <w:color w:val="000000"/>
        </w:rPr>
        <w:t xml:space="preserve"> </w:t>
      </w:r>
      <w:r w:rsidR="008A7559">
        <w:rPr>
          <w:rFonts w:cs="NeueHaasGroteskText W02"/>
          <w:color w:val="000000"/>
        </w:rPr>
        <w:t xml:space="preserve">je </w:t>
      </w:r>
      <w:r w:rsidR="003934E0">
        <w:rPr>
          <w:rFonts w:cs="NeueHaasGroteskText W02"/>
          <w:color w:val="000000"/>
        </w:rPr>
        <w:t xml:space="preserve">totiž </w:t>
      </w:r>
      <w:r w:rsidR="008A7559">
        <w:rPr>
          <w:rFonts w:cs="NeueHaasGroteskText W02"/>
          <w:color w:val="000000"/>
        </w:rPr>
        <w:t>hlboko pod hranicou rizika chudoby</w:t>
      </w:r>
      <w:r w:rsidR="00533CD4">
        <w:rPr>
          <w:rFonts w:cs="NeueHaasGroteskText W02"/>
          <w:color w:val="000000"/>
        </w:rPr>
        <w:t xml:space="preserve"> (</w:t>
      </w:r>
      <w:r w:rsidRPr="00CA2564">
        <w:rPr>
          <w:rFonts w:cs="NeueHaasGroteskText W02"/>
          <w:color w:val="000000"/>
        </w:rPr>
        <w:t>podkapitola</w:t>
      </w:r>
      <w:r w:rsidR="00093482">
        <w:rPr>
          <w:rFonts w:cs="NeueHaasGroteskText W02"/>
          <w:color w:val="000000"/>
        </w:rPr>
        <w:t xml:space="preserve"> </w:t>
      </w:r>
      <w:r w:rsidR="00093482">
        <w:rPr>
          <w:rFonts w:cs="NeueHaasGroteskText W02"/>
          <w:color w:val="000000"/>
        </w:rPr>
        <w:fldChar w:fldCharType="begin"/>
      </w:r>
      <w:r w:rsidR="00093482">
        <w:rPr>
          <w:rFonts w:cs="NeueHaasGroteskText W02"/>
          <w:color w:val="000000"/>
        </w:rPr>
        <w:instrText xml:space="preserve"> REF _Ref33434413 \r \h </w:instrText>
      </w:r>
      <w:r w:rsidR="00093482">
        <w:rPr>
          <w:rFonts w:cs="NeueHaasGroteskText W02"/>
          <w:color w:val="000000"/>
        </w:rPr>
      </w:r>
      <w:r w:rsidR="00093482">
        <w:rPr>
          <w:rFonts w:cs="NeueHaasGroteskText W02"/>
          <w:color w:val="000000"/>
        </w:rPr>
        <w:fldChar w:fldCharType="separate"/>
      </w:r>
      <w:r w:rsidR="00FA29AF">
        <w:rPr>
          <w:rFonts w:cs="NeueHaasGroteskText W02"/>
          <w:color w:val="000000"/>
        </w:rPr>
        <w:t>8.1</w:t>
      </w:r>
      <w:r w:rsidR="00093482">
        <w:rPr>
          <w:rFonts w:cs="NeueHaasGroteskText W02"/>
          <w:color w:val="000000"/>
        </w:rPr>
        <w:fldChar w:fldCharType="end"/>
      </w:r>
      <w:r w:rsidRPr="00CA2564">
        <w:rPr>
          <w:rFonts w:cs="NeueHaasGroteskText W02"/>
          <w:color w:val="000000"/>
        </w:rPr>
        <w:t>). Prístup cez uvedené cieľové skupiny umožňuje širšie pokrytie ohrozených ľudí.</w:t>
      </w:r>
    </w:p>
    <w:p w14:paraId="26674663" w14:textId="2E4326F8" w:rsidR="00763313" w:rsidRPr="000823A6" w:rsidRDefault="00763313" w:rsidP="00F218AA">
      <w:pPr>
        <w:spacing w:before="160"/>
      </w:pPr>
      <w:r w:rsidRPr="00CA2564">
        <w:rPr>
          <w:rFonts w:cs="NeueHaasGroteskText W02"/>
          <w:b/>
          <w:color w:val="000000"/>
        </w:rPr>
        <w:t>Druhý</w:t>
      </w:r>
      <w:r w:rsidR="004C79FE">
        <w:rPr>
          <w:rFonts w:cs="NeueHaasGroteskText W02"/>
          <w:b/>
          <w:color w:val="000000"/>
        </w:rPr>
        <w:t>m</w:t>
      </w:r>
      <w:r w:rsidRPr="00CA2564">
        <w:rPr>
          <w:rFonts w:cs="NeueHaasGroteskText W02"/>
          <w:b/>
          <w:color w:val="000000"/>
        </w:rPr>
        <w:t xml:space="preserve"> dôvod</w:t>
      </w:r>
      <w:r w:rsidR="004C79FE">
        <w:rPr>
          <w:rFonts w:cs="NeueHaasGroteskText W02"/>
          <w:b/>
          <w:color w:val="000000"/>
        </w:rPr>
        <w:t>om</w:t>
      </w:r>
      <w:r w:rsidRPr="00CA2564">
        <w:rPr>
          <w:rFonts w:cs="NeueHaasGroteskText W02"/>
          <w:b/>
          <w:color w:val="000000"/>
        </w:rPr>
        <w:t xml:space="preserve"> je fakt, že sociálne vylúčenie je do veľkej miery spojené s určitými charakteristikami jednotlivcov a skupín.</w:t>
      </w:r>
      <w:r w:rsidRPr="00CA2564">
        <w:rPr>
          <w:rFonts w:cs="NeueHaasGroteskText W02"/>
          <w:color w:val="000000"/>
        </w:rPr>
        <w:t xml:space="preserve"> </w:t>
      </w:r>
      <w:r w:rsidRPr="00CA2564">
        <w:t>Vybraté cieľové skupiny zahŕňajú rozmer etnicity, veku, pohlavia</w:t>
      </w:r>
      <w:r w:rsidRPr="00CA2564">
        <w:rPr>
          <w:rStyle w:val="Odkaznapoznmkupodiarou"/>
        </w:rPr>
        <w:footnoteReference w:id="17"/>
      </w:r>
      <w:r w:rsidRPr="00CA2564">
        <w:t xml:space="preserve"> a zdravotného stavu. Na rozdiel od definície cieľovej skupiny na základe výsledkového indikátora, ako napríklad hmotnej núdze, tento prístup nabáda k premýšľaniu nad tým, ako pôsobenie existujúcich noriem a inštitúcií v spoločnosti prispieva k zraniteľnosti konkrétnych skupín a robí určité charakteristiky ľudí rizikovými. Takéto uvažovanie vytvára lepšie predpoklady na riešenie príčin a nie iba dôsledkov sociálneho vylúčenia.</w:t>
      </w:r>
      <w:r w:rsidR="004C79FE">
        <w:t xml:space="preserve"> </w:t>
      </w:r>
      <w:r w:rsidRPr="00CA2564">
        <w:t>Napriek tomu, popri uvedených skupinách</w:t>
      </w:r>
      <w:r w:rsidR="001956BE">
        <w:t>,</w:t>
      </w:r>
      <w:r w:rsidRPr="00CA2564">
        <w:t xml:space="preserve"> </w:t>
      </w:r>
      <w:r w:rsidR="001A32B6">
        <w:t xml:space="preserve">je analýza robená </w:t>
      </w:r>
      <w:r w:rsidRPr="00CA2564">
        <w:t xml:space="preserve">aj na základe poskytovania pomoci v hmotnej </w:t>
      </w:r>
      <w:r w:rsidRPr="001779B0">
        <w:t xml:space="preserve">núdzi </w:t>
      </w:r>
      <w:r w:rsidR="001779B0" w:rsidRPr="001779B0">
        <w:t>(</w:t>
      </w:r>
      <w:r w:rsidR="001779B0" w:rsidRPr="001779B0">
        <w:fldChar w:fldCharType="begin"/>
      </w:r>
      <w:r w:rsidR="001779B0" w:rsidRPr="001779B0">
        <w:instrText xml:space="preserve"> REF _Ref33439692 \h  \* MERGEFORMAT </w:instrText>
      </w:r>
      <w:r w:rsidR="001779B0" w:rsidRPr="001779B0">
        <w:fldChar w:fldCharType="separate"/>
      </w:r>
      <w:r w:rsidR="00FA29AF" w:rsidRPr="00FA29AF">
        <w:t xml:space="preserve">Box </w:t>
      </w:r>
      <w:r w:rsidR="00FA29AF" w:rsidRPr="00FA29AF">
        <w:rPr>
          <w:noProof/>
        </w:rPr>
        <w:t>3</w:t>
      </w:r>
      <w:r w:rsidR="001779B0" w:rsidRPr="001779B0">
        <w:fldChar w:fldCharType="end"/>
      </w:r>
      <w:r w:rsidR="001779B0" w:rsidRPr="001779B0">
        <w:t>).</w:t>
      </w:r>
      <w:r w:rsidRPr="001779B0">
        <w:t xml:space="preserve"> V</w:t>
      </w:r>
      <w:r w:rsidRPr="00CA2564">
        <w:t xml:space="preserve"> prípade detí zo </w:t>
      </w:r>
      <w:r w:rsidRPr="00CA2564">
        <w:lastRenderedPageBreak/>
        <w:t>sociálne znevýhodneného prostredia slúži poskytovanie pomoci v hmotnej núdzi ako proxy pre túto skupinu všade tam, kde deti zo SZP nie sú identifikovateľné v jednotkových dátach.</w:t>
      </w:r>
      <w:r w:rsidRPr="00CA2564">
        <w:rPr>
          <w:rStyle w:val="Odkaznapoznmkupodiarou"/>
        </w:rPr>
        <w:footnoteReference w:id="18"/>
      </w:r>
      <w:r w:rsidRPr="00CA2564">
        <w:t xml:space="preserve"> </w:t>
      </w:r>
    </w:p>
    <w:p w14:paraId="6304151C" w14:textId="613ACF02" w:rsidR="00763313" w:rsidRDefault="00763313" w:rsidP="006E2B6B">
      <w:r w:rsidRPr="00CA2564">
        <w:rPr>
          <w:b/>
        </w:rPr>
        <w:t xml:space="preserve">Hodnotenie verejných politík s dopadom na sociálne začleňovanie musí zohľadniť rôznorodosť nástrojov naprieč oblasťami. </w:t>
      </w:r>
      <w:r w:rsidRPr="00CA2564">
        <w:t>Niektoré z relevantných nástrojov sú cielené (napr. príspevok pre žiakov zo sociálne znevýhodneného prostredia)</w:t>
      </w:r>
      <w:r w:rsidR="00DE79A7">
        <w:t>,</w:t>
      </w:r>
      <w:r w:rsidRPr="00CA2564">
        <w:t xml:space="preserve"> iné sú univerzálne (napr. predprimárne vzdelávanie). Niektoré nástroje sú cielené podľa príjmu (napr. pomoc v hmotnej núdzi)</w:t>
      </w:r>
      <w:r w:rsidR="00DE79A7">
        <w:t>,</w:t>
      </w:r>
      <w:r w:rsidRPr="00CA2564">
        <w:t xml:space="preserve"> iné sú cielené podľa príslušnosti ku konkrétnej skupine (napr. programy zamerané na </w:t>
      </w:r>
      <w:r w:rsidR="00825BF7">
        <w:t>ľudí z prostredia</w:t>
      </w:r>
      <w:r w:rsidRPr="00CA2564">
        <w:t xml:space="preserve"> </w:t>
      </w:r>
      <w:r w:rsidR="001A32B6">
        <w:t>MRK</w:t>
      </w:r>
      <w:r w:rsidRPr="00CA2564">
        <w:t>). Navyše, definícia cieľovej skupiny konkrétneho nástroja nie je jednotná naprieč nástrojmi a rozpočtovými kapitolami a nie vždy zodpovedá presne cieľovým skupinám revízie. Revízia má napriek tomu cieľ hodnotiť všetky politiky a nástroje, ktoré vplývajú na sociálne začleňovanie, poukázať na prípady, keď niektorá z cieľových skupín čelí bariéram v prístupe k pomoci, a podľa možnosti vyhodnotiť efektivitu intervencií na cieľové skupiny revízie.</w:t>
      </w:r>
    </w:p>
    <w:p w14:paraId="72FCDC56" w14:textId="47AF3FE4" w:rsidR="0035005D" w:rsidRDefault="00931184" w:rsidP="0035005D">
      <w:pPr>
        <w:spacing w:before="160"/>
      </w:pPr>
      <w:r w:rsidRPr="00D3189B">
        <w:rPr>
          <w:b/>
        </w:rPr>
        <w:t>Úspešnejšie začleňovanie príslušníkov rizikových skupín do spoločnosti by v dlhodobom horizonte výrazne prispelo k rastu ekonomiky a zvyšovaniu životnej úrovne všetkých obyvateľov.</w:t>
      </w:r>
      <w:r w:rsidR="0034386C">
        <w:t xml:space="preserve"> </w:t>
      </w:r>
      <w:r w:rsidR="0034386C" w:rsidRPr="006E2B6B">
        <w:t xml:space="preserve">Napríklad podľa odhadov OECD </w:t>
      </w:r>
      <w:r w:rsidR="00886031">
        <w:t>vyrovnanie</w:t>
      </w:r>
      <w:r w:rsidR="00886031" w:rsidRPr="006E2B6B">
        <w:t xml:space="preserve"> </w:t>
      </w:r>
      <w:r w:rsidR="0034386C" w:rsidRPr="006E2B6B">
        <w:t xml:space="preserve">zamestnanosti a produktivity práce ľudí z prostredia MRK </w:t>
      </w:r>
      <w:r w:rsidR="00886031">
        <w:t>s</w:t>
      </w:r>
      <w:r w:rsidR="0034386C" w:rsidRPr="006E2B6B">
        <w:t> priemer</w:t>
      </w:r>
      <w:r w:rsidR="00886031">
        <w:t>om</w:t>
      </w:r>
      <w:r w:rsidR="0034386C" w:rsidRPr="006E2B6B">
        <w:t xml:space="preserve"> Slovenska </w:t>
      </w:r>
      <w:r w:rsidR="00F15E53">
        <w:t xml:space="preserve">do roku 2060 </w:t>
      </w:r>
      <w:r w:rsidR="0034386C" w:rsidRPr="006E2B6B">
        <w:t>by zvýšilo HDP o viac ako 12 % a príjmy štátneho rozpočtu o 5 % HDP</w:t>
      </w:r>
      <w:r w:rsidR="00F15E53">
        <w:t xml:space="preserve"> </w:t>
      </w:r>
      <w:r w:rsidR="0034386C" w:rsidRPr="006E2B6B">
        <w:t>(Geva a kol., 2018). Zvýšená kúpyschopnosť ľudí, ktorí pred tým žili na okraji spoločnosti</w:t>
      </w:r>
      <w:r w:rsidR="00DE79A7" w:rsidRPr="006E2B6B">
        <w:t>,</w:t>
      </w:r>
      <w:r w:rsidR="0034386C" w:rsidRPr="006E2B6B">
        <w:t xml:space="preserve"> by významným spôsobom podporila domáci dopyt, vytváranie nových pracovných miest a rast miezd pre všetky skupiny obyvateľstva.</w:t>
      </w:r>
      <w:bookmarkStart w:id="90" w:name="_Ref21078620"/>
      <w:bookmarkStart w:id="91" w:name="_Ref18690892"/>
    </w:p>
    <w:tbl>
      <w:tblPr>
        <w:tblW w:w="0" w:type="auto"/>
        <w:shd w:val="clear" w:color="auto" w:fill="BDD6EE" w:themeFill="accent1" w:themeFillTint="66"/>
        <w:tblLook w:val="04A0" w:firstRow="1" w:lastRow="0" w:firstColumn="1" w:lastColumn="0" w:noHBand="0" w:noVBand="1"/>
      </w:tblPr>
      <w:tblGrid>
        <w:gridCol w:w="9026"/>
      </w:tblGrid>
      <w:tr w:rsidR="00763313" w:rsidRPr="00CA2564" w14:paraId="0E8CEF14" w14:textId="77777777" w:rsidTr="00D262E4">
        <w:tc>
          <w:tcPr>
            <w:tcW w:w="9062" w:type="dxa"/>
            <w:shd w:val="clear" w:color="auto" w:fill="BDD6EE" w:themeFill="accent1" w:themeFillTint="66"/>
          </w:tcPr>
          <w:p w14:paraId="2EAAC883" w14:textId="372F7C3C" w:rsidR="00763313" w:rsidRPr="006E2B6B" w:rsidRDefault="00B22EF6" w:rsidP="00D41517">
            <w:pPr>
              <w:spacing w:before="120"/>
              <w:rPr>
                <w:b/>
              </w:rPr>
            </w:pPr>
            <w:bookmarkStart w:id="92" w:name="_Ref33439692"/>
            <w:bookmarkEnd w:id="90"/>
            <w:bookmarkEnd w:id="91"/>
            <w:r w:rsidRPr="006E2B6B">
              <w:rPr>
                <w:b/>
              </w:rPr>
              <w:t xml:space="preserve">Box </w:t>
            </w:r>
            <w:r>
              <w:rPr>
                <w:b/>
              </w:rPr>
              <w:fldChar w:fldCharType="begin"/>
            </w:r>
            <w:r>
              <w:rPr>
                <w:b/>
              </w:rPr>
              <w:instrText xml:space="preserve"> SEQ Box \* ARABIC </w:instrText>
            </w:r>
            <w:r>
              <w:rPr>
                <w:b/>
              </w:rPr>
              <w:fldChar w:fldCharType="separate"/>
            </w:r>
            <w:r w:rsidR="00FA29AF">
              <w:rPr>
                <w:b/>
                <w:noProof/>
              </w:rPr>
              <w:t>3</w:t>
            </w:r>
            <w:r>
              <w:rPr>
                <w:b/>
              </w:rPr>
              <w:fldChar w:fldCharType="end"/>
            </w:r>
            <w:bookmarkEnd w:id="92"/>
            <w:r w:rsidRPr="006E2B6B">
              <w:rPr>
                <w:b/>
              </w:rPr>
              <w:t xml:space="preserve">: </w:t>
            </w:r>
            <w:r w:rsidR="007254F2" w:rsidRPr="006E2B6B">
              <w:rPr>
                <w:b/>
              </w:rPr>
              <w:t>Identifikácia ľudí z prostredia</w:t>
            </w:r>
            <w:r w:rsidR="00763313" w:rsidRPr="006E2B6B">
              <w:rPr>
                <w:b/>
              </w:rPr>
              <w:t> </w:t>
            </w:r>
            <w:r w:rsidR="00E35A14" w:rsidRPr="006E2B6B">
              <w:rPr>
                <w:b/>
              </w:rPr>
              <w:t>MRK</w:t>
            </w:r>
            <w:r w:rsidR="00763313" w:rsidRPr="006E2B6B">
              <w:rPr>
                <w:b/>
              </w:rPr>
              <w:t xml:space="preserve"> a</w:t>
            </w:r>
            <w:r w:rsidR="007254F2" w:rsidRPr="006E2B6B">
              <w:rPr>
                <w:b/>
              </w:rPr>
              <w:t> porovnávanie s ľuďmi v systéme pomoci v hmotnej núdzi</w:t>
            </w:r>
          </w:p>
          <w:p w14:paraId="68DB0E4C" w14:textId="525335BA" w:rsidR="00763313" w:rsidRPr="00CA2564" w:rsidRDefault="00763313" w:rsidP="001A3396">
            <w:r w:rsidRPr="00CA2564">
              <w:t>Prepojením Atlasu rómskych komunít a administratívnych údajov je možné identifikovať rómsku populáciu v obciach s koncentrovaným</w:t>
            </w:r>
            <w:r w:rsidR="001A32B6">
              <w:t>i</w:t>
            </w:r>
            <w:r w:rsidRPr="00CA2564">
              <w:t xml:space="preserve"> osídlen</w:t>
            </w:r>
            <w:r w:rsidR="001A32B6">
              <w:t>iami</w:t>
            </w:r>
            <w:r w:rsidRPr="00CA2564">
              <w:t xml:space="preserve">. Tieto dáta umožňujú zlepšiť vyhodnocovanie vplyvov integračných politík na rómsku menšinu. V revízii sa pracuje s dátami, ktoré zahŕňajú ľudí žijúcich v koncentrovaných osídleniach ako aj časť rómskej populácie žijúcej v rozptyle s majoritou. Pre túto skupinu, ktorá slúži ako „proxy“ pre menej integrovanú časť rómskej populácie, je v revízii použitá skratka MRK (marginalizované rómske komunity) napriek tomu, že niektorí Rómovia v tejto skupine sú priestorovo integrovaní. Kým </w:t>
            </w:r>
            <w:r w:rsidR="00CC00C0">
              <w:t>podľa Atlasu 2013</w:t>
            </w:r>
            <w:r w:rsidRPr="00CA2564">
              <w:t xml:space="preserve"> tvoria </w:t>
            </w:r>
            <w:r w:rsidR="00825BF7">
              <w:t>ľudia z prostredia</w:t>
            </w:r>
            <w:r w:rsidRPr="00CA2564">
              <w:t xml:space="preserve"> MRK zhruba polovicu populácie rómskych komunít (ÚSVRK, 2018), skupina, s ktorou sa pracu</w:t>
            </w:r>
            <w:r w:rsidR="0070047D">
              <w:t>je v tejto revízii zahŕňa okolo</w:t>
            </w:r>
            <w:r w:rsidRPr="00CA2564">
              <w:t xml:space="preserve"> 71 %</w:t>
            </w:r>
            <w:r w:rsidR="00CC00C0">
              <w:t xml:space="preserve"> (</w:t>
            </w:r>
            <w:r w:rsidR="00C40701">
              <w:t>339 354 osôb</w:t>
            </w:r>
            <w:r w:rsidR="00CC00C0">
              <w:t>)</w:t>
            </w:r>
            <w:r w:rsidRPr="00CA2564">
              <w:t>.</w:t>
            </w:r>
          </w:p>
          <w:p w14:paraId="36C0691B" w14:textId="205205A3" w:rsidR="00763313" w:rsidRPr="00CA2564" w:rsidRDefault="00763313" w:rsidP="001A3396">
            <w:r w:rsidRPr="00CA2564">
              <w:t>Na viacerých miestach revízie je vhodné porovnať výsledky alebo prístup k nástrojom pomoci pre ľudí z MRK a zvyškom populácie. Pre získanie komplexnejšieho obrazu je porovnanie robené v dvoch dimenziách: podľa príslušnosti k MRK a podľa pomoci v hmotnej núdzi (PHN). Za osobu v systéme PHN sa na účel tohto porovnania považuje každý, kto žije v domácnosti, ktorej aspoň jeden mesiac v</w:t>
            </w:r>
            <w:r w:rsidR="00E35A14">
              <w:t> danom roku</w:t>
            </w:r>
            <w:r w:rsidR="0070047D">
              <w:t xml:space="preserve"> bola poskytovaná PHN</w:t>
            </w:r>
            <w:r w:rsidRPr="00CA2564">
              <w:t xml:space="preserve"> podľa údajov ÚPSVR.</w:t>
            </w:r>
            <w:r w:rsidRPr="00CA2564">
              <w:rPr>
                <w:rStyle w:val="Odkaznapoznmkupodiarou"/>
                <w:rFonts w:cs="NeueHaasGroteskText W02"/>
                <w:color w:val="000000"/>
              </w:rPr>
              <w:footnoteReference w:id="19"/>
            </w:r>
            <w:r w:rsidRPr="00CA2564">
              <w:t xml:space="preserve"> Počet takýchto domácností je vyšší ako počet domácností, ktorým sa poskytuje PHN v konkrétnom mesiaci. Zahŕňa tak väčší podiel ľudí s príjmom pod hranicou rizika chudoby (</w:t>
            </w:r>
            <w:r w:rsidR="007C273D">
              <w:t xml:space="preserve">odhadom </w:t>
            </w:r>
            <w:r w:rsidR="007C273D" w:rsidRPr="00D41517">
              <w:t>41</w:t>
            </w:r>
            <w:r w:rsidR="007C273D">
              <w:t> %</w:t>
            </w:r>
            <w:r w:rsidRPr="00CA2564">
              <w:t>).</w:t>
            </w:r>
            <w:r w:rsidRPr="00CA2564">
              <w:rPr>
                <w:rStyle w:val="Odkaznapoznmkupodiarou"/>
              </w:rPr>
              <w:footnoteReference w:id="20"/>
            </w:r>
            <w:r w:rsidRPr="00CA2564">
              <w:t xml:space="preserve"> Takéto členenie umožňuje čiastočne zohľadniť veľké rozdiely v miere chudoby medzi </w:t>
            </w:r>
            <w:r w:rsidR="00825BF7">
              <w:t>ľuďmi z prostredia</w:t>
            </w:r>
            <w:r w:rsidRPr="00CA2564">
              <w:t xml:space="preserve"> MRK a zvyškom populácie a porovnávať napríklad chudobných ľudí z MRK s podobne chudobnými ľuďmi z prostredia mimo MRK alebo ľudí s nižšími a vyššími príjmami v rámci MRK. </w:t>
            </w:r>
          </w:p>
        </w:tc>
      </w:tr>
    </w:tbl>
    <w:p w14:paraId="4FBC8391" w14:textId="126E7CAE" w:rsidR="00763313" w:rsidRPr="00CA2564" w:rsidRDefault="00FA46CA" w:rsidP="00763313">
      <w:pPr>
        <w:pStyle w:val="Nadpis1"/>
      </w:pPr>
      <w:bookmarkStart w:id="93" w:name="_Toc34657706"/>
      <w:r w:rsidRPr="00CA2564">
        <w:lastRenderedPageBreak/>
        <w:t>Výdavky na sociálne začleňovanie</w:t>
      </w:r>
      <w:bookmarkEnd w:id="93"/>
    </w:p>
    <w:p w14:paraId="405652E1" w14:textId="5ACC63D7" w:rsidR="00FA46CA" w:rsidRPr="00CA2564" w:rsidRDefault="00FA46CA" w:rsidP="00EC266C">
      <w:r w:rsidRPr="00CA2564">
        <w:rPr>
          <w:b/>
        </w:rPr>
        <w:t xml:space="preserve">Pod výdavkami na sociálne začleňovanie sa pre potreby revízie rozumejú výdavky na peňažné transfery, služby či nástroje verejných politík, ktoré sú zamerané na zlepšenie príjmovej a sociálnej situácie skupín ohrozených chudobou alebo sociálnym vylúčením a ich lepšie uplatnenie sa v spoločnosti. </w:t>
      </w:r>
      <w:r w:rsidRPr="00CA2564">
        <w:t>V</w:t>
      </w:r>
      <w:r w:rsidR="0070047D">
        <w:t xml:space="preserve"> </w:t>
      </w:r>
      <w:r w:rsidRPr="00CA2564">
        <w:t>prípadoch, kde pomoc spočíva v navýšených výdavkoch z titulu znevýhodnenia v rámci služieb a politík, ktoré sú dostupné aj pre ostatné skupiny obyvateľstva (napr. normatívne financovanie základných škôl)</w:t>
      </w:r>
      <w:r w:rsidR="003C6012">
        <w:t>,</w:t>
      </w:r>
      <w:r w:rsidRPr="00CA2564">
        <w:t xml:space="preserve"> sa za výdavky na začleňovanie počítajú iba dodatočné výdavky oproti situácii, keby všetci prijímatelia podpory alebo užívatelia služby boli bez znevýhodnenia. </w:t>
      </w:r>
      <w:r w:rsidR="00D70EAB">
        <w:t xml:space="preserve">Pri </w:t>
      </w:r>
      <w:r w:rsidRPr="00CA2564">
        <w:t>univerzáln</w:t>
      </w:r>
      <w:r w:rsidR="00D70EAB">
        <w:t>ych</w:t>
      </w:r>
      <w:r w:rsidRPr="00CA2564">
        <w:t xml:space="preserve"> výdavk</w:t>
      </w:r>
      <w:r w:rsidR="00D70EAB">
        <w:t>och</w:t>
      </w:r>
      <w:r w:rsidRPr="00CA2564">
        <w:t xml:space="preserve">, ktoré síce nie sú viazané na sociálnu situáciu jednotlivca, rodiny alebo skupiny, no i tak </w:t>
      </w:r>
      <w:r w:rsidR="00D70EAB">
        <w:t xml:space="preserve">predstavujú významnú podporu a nástroj inklúzie </w:t>
      </w:r>
      <w:r w:rsidRPr="00CA2564">
        <w:t>(napr. podpora rodiny a predprimárne vzdelávanie v materskej škole)</w:t>
      </w:r>
      <w:r w:rsidR="00D70EAB">
        <w:t xml:space="preserve">, </w:t>
      </w:r>
      <w:r w:rsidRPr="00CA2564">
        <w:t>je za výdavky na sociálne začleňovanie pokladaná tá časť celkových výdavkov, ktorá smeruje k ľuďom žijúcim v</w:t>
      </w:r>
      <w:r w:rsidR="007A3C63">
        <w:t> </w:t>
      </w:r>
      <w:r w:rsidRPr="00CA2564">
        <w:t>domácnostiach</w:t>
      </w:r>
      <w:r w:rsidR="007A3C63">
        <w:t xml:space="preserve"> ohrozeným chudobou alebo sociálnym vylúčením</w:t>
      </w:r>
      <w:r w:rsidRPr="00CA2564">
        <w:t>.</w:t>
      </w:r>
      <w:r w:rsidR="007A3C63">
        <w:rPr>
          <w:rStyle w:val="Odkaznapoznmkupodiarou"/>
        </w:rPr>
        <w:footnoteReference w:id="21"/>
      </w:r>
    </w:p>
    <w:p w14:paraId="4AB65894" w14:textId="348DF52F" w:rsidR="00FA46CA" w:rsidRPr="009B30AE" w:rsidRDefault="00D70EAB" w:rsidP="00EC266C">
      <w:r w:rsidRPr="00B97C15">
        <w:rPr>
          <w:b/>
        </w:rPr>
        <w:t>V</w:t>
      </w:r>
      <w:r w:rsidR="00FA46CA" w:rsidRPr="00B97C15">
        <w:rPr>
          <w:b/>
        </w:rPr>
        <w:t xml:space="preserve">erejné výdavky na sociálne začleňovanie skupín ohrozených chudobou alebo sociálnym vylúčením </w:t>
      </w:r>
      <w:r w:rsidR="005F08A8" w:rsidRPr="00B97C15">
        <w:rPr>
          <w:b/>
        </w:rPr>
        <w:t xml:space="preserve">v roku 2018 </w:t>
      </w:r>
      <w:r w:rsidR="00FA46CA" w:rsidRPr="00B97C15">
        <w:rPr>
          <w:b/>
        </w:rPr>
        <w:t xml:space="preserve">tvorili </w:t>
      </w:r>
      <w:r w:rsidR="000533E4" w:rsidRPr="00B97C15">
        <w:rPr>
          <w:b/>
        </w:rPr>
        <w:t xml:space="preserve">2 </w:t>
      </w:r>
      <w:r w:rsidR="000814FE">
        <w:rPr>
          <w:b/>
        </w:rPr>
        <w:t>610</w:t>
      </w:r>
      <w:r w:rsidR="000533E4" w:rsidRPr="00B97C15">
        <w:rPr>
          <w:b/>
        </w:rPr>
        <w:t>,</w:t>
      </w:r>
      <w:r w:rsidR="000814FE">
        <w:rPr>
          <w:b/>
        </w:rPr>
        <w:t>7</w:t>
      </w:r>
      <w:r w:rsidR="00FA46CA" w:rsidRPr="00B97C15">
        <w:rPr>
          <w:b/>
        </w:rPr>
        <w:t xml:space="preserve"> miliónov eur, čo predstavuje </w:t>
      </w:r>
      <w:r w:rsidR="000533E4" w:rsidRPr="00B97C15">
        <w:rPr>
          <w:b/>
        </w:rPr>
        <w:t>2,</w:t>
      </w:r>
      <w:r w:rsidR="000814FE">
        <w:rPr>
          <w:b/>
        </w:rPr>
        <w:t>9</w:t>
      </w:r>
      <w:r w:rsidR="00FA46CA" w:rsidRPr="00B97C15">
        <w:rPr>
          <w:b/>
        </w:rPr>
        <w:t xml:space="preserve"> % HDP a</w:t>
      </w:r>
      <w:r w:rsidR="000533E4" w:rsidRPr="00B97C15">
        <w:rPr>
          <w:b/>
        </w:rPr>
        <w:t> </w:t>
      </w:r>
      <w:r w:rsidR="000814FE">
        <w:rPr>
          <w:b/>
        </w:rPr>
        <w:t>7</w:t>
      </w:r>
      <w:r w:rsidR="000533E4" w:rsidRPr="00B97C15">
        <w:rPr>
          <w:b/>
        </w:rPr>
        <w:t>,</w:t>
      </w:r>
      <w:r w:rsidR="000814FE">
        <w:rPr>
          <w:b/>
        </w:rPr>
        <w:t>1</w:t>
      </w:r>
      <w:r w:rsidR="000533E4" w:rsidRPr="00B97C15">
        <w:rPr>
          <w:b/>
        </w:rPr>
        <w:t xml:space="preserve"> </w:t>
      </w:r>
      <w:r w:rsidR="00FA46CA" w:rsidRPr="00B97C15">
        <w:rPr>
          <w:b/>
        </w:rPr>
        <w:t>% celkových verejných výdavkov.</w:t>
      </w:r>
      <w:r w:rsidR="00FA46CA" w:rsidRPr="00CA2564">
        <w:rPr>
          <w:b/>
        </w:rPr>
        <w:t xml:space="preserve"> </w:t>
      </w:r>
      <w:r w:rsidR="000533E4" w:rsidRPr="009B30AE">
        <w:rPr>
          <w:bCs/>
        </w:rPr>
        <w:t>Najväčším podielom (8</w:t>
      </w:r>
      <w:r w:rsidR="000814FE">
        <w:rPr>
          <w:bCs/>
        </w:rPr>
        <w:t>2</w:t>
      </w:r>
      <w:r w:rsidR="000533E4" w:rsidRPr="009B30AE">
        <w:rPr>
          <w:bCs/>
        </w:rPr>
        <w:t>,</w:t>
      </w:r>
      <w:r w:rsidR="000814FE">
        <w:rPr>
          <w:bCs/>
        </w:rPr>
        <w:t>0</w:t>
      </w:r>
      <w:r w:rsidR="000533E4" w:rsidRPr="009B30AE">
        <w:rPr>
          <w:bCs/>
        </w:rPr>
        <w:t xml:space="preserve"> </w:t>
      </w:r>
      <w:r w:rsidR="00077CFB">
        <w:rPr>
          <w:bCs/>
        </w:rPr>
        <w:t>%) sa na týchto výdavkoch podieľ</w:t>
      </w:r>
      <w:r w:rsidR="000533E4" w:rsidRPr="009B30AE">
        <w:rPr>
          <w:bCs/>
        </w:rPr>
        <w:t xml:space="preserve">al štátny rozpočet, rozpočty samospráv tvorili </w:t>
      </w:r>
      <w:r w:rsidR="000814FE">
        <w:rPr>
          <w:bCs/>
        </w:rPr>
        <w:t>7</w:t>
      </w:r>
      <w:r w:rsidR="000533E4" w:rsidRPr="009B30AE">
        <w:rPr>
          <w:bCs/>
        </w:rPr>
        <w:t>,</w:t>
      </w:r>
      <w:r w:rsidR="000814FE">
        <w:rPr>
          <w:bCs/>
        </w:rPr>
        <w:t>9</w:t>
      </w:r>
      <w:r w:rsidR="000533E4" w:rsidRPr="009B30AE">
        <w:rPr>
          <w:bCs/>
        </w:rPr>
        <w:t xml:space="preserve"> % zdrojov a eurofondy a spolufinancovanie 10,</w:t>
      </w:r>
      <w:r w:rsidR="000814FE">
        <w:rPr>
          <w:bCs/>
        </w:rPr>
        <w:t>2</w:t>
      </w:r>
      <w:r w:rsidR="000533E4" w:rsidRPr="009B30AE">
        <w:rPr>
          <w:bCs/>
        </w:rPr>
        <w:t xml:space="preserve"> %. </w:t>
      </w:r>
      <w:r w:rsidR="000533E4">
        <w:t>Najväčší podiel výdavkov išiel na oblasť politík trhu práce a sociálnych politík (8</w:t>
      </w:r>
      <w:r w:rsidR="000814FE">
        <w:t>5</w:t>
      </w:r>
      <w:r w:rsidR="000533E4">
        <w:t>,</w:t>
      </w:r>
      <w:r w:rsidR="000814FE">
        <w:t>4</w:t>
      </w:r>
      <w:r w:rsidR="000533E4">
        <w:t xml:space="preserve"> %), </w:t>
      </w:r>
      <w:r w:rsidR="000814FE">
        <w:t>11</w:t>
      </w:r>
      <w:r w:rsidR="000533E4">
        <w:t>,</w:t>
      </w:r>
      <w:r w:rsidR="000814FE">
        <w:t>2</w:t>
      </w:r>
      <w:r w:rsidR="000533E4">
        <w:t xml:space="preserve"> % išlo na vzdelávanie, 3,</w:t>
      </w:r>
      <w:r w:rsidR="000814FE">
        <w:t>1</w:t>
      </w:r>
      <w:r w:rsidR="000533E4">
        <w:t xml:space="preserve"> % na bývanie a</w:t>
      </w:r>
      <w:r w:rsidR="00FC78C5">
        <w:t xml:space="preserve"> </w:t>
      </w:r>
      <w:r w:rsidR="000533E4">
        <w:t xml:space="preserve">infraštruktúru, 0,1 % na zdravotníctvo, a 0,2 % na </w:t>
      </w:r>
      <w:r w:rsidR="000814FE">
        <w:t>ostatné oblasti</w:t>
      </w:r>
      <w:r w:rsidR="000533E4">
        <w:t xml:space="preserve">. </w:t>
      </w:r>
      <w:r w:rsidR="00FA46CA" w:rsidRPr="000533E4">
        <w:t>V revízii</w:t>
      </w:r>
      <w:r w:rsidR="00FA46CA" w:rsidRPr="00CA2564">
        <w:t xml:space="preserve"> sú zahrnuté výdavky ministerstva práce, sociálnych vecí a rodiny, ministerstva školstva, vedy, výskumu a športu, ministerstva vnútra</w:t>
      </w:r>
      <w:r w:rsidR="009A219B">
        <w:t xml:space="preserve">, </w:t>
      </w:r>
      <w:r w:rsidR="005F08A8">
        <w:t xml:space="preserve">ministerstva dopravy a výstavby, </w:t>
      </w:r>
      <w:r w:rsidR="00C14134">
        <w:t xml:space="preserve">ministerstva financií, </w:t>
      </w:r>
      <w:r w:rsidR="009A219B">
        <w:t>ministerstva pôdohospodárstva (IROP)</w:t>
      </w:r>
      <w:r w:rsidR="00FA46CA" w:rsidRPr="00CA2564">
        <w:t xml:space="preserve"> ako aj zdroje samospráv.</w:t>
      </w:r>
    </w:p>
    <w:p w14:paraId="5071139C" w14:textId="3BDADB7A" w:rsidR="00FA46CA" w:rsidRPr="00CA2564" w:rsidRDefault="00FA46CA" w:rsidP="00FA46CA">
      <w:pPr>
        <w:pStyle w:val="Nadpis2"/>
      </w:pPr>
      <w:bookmarkStart w:id="94" w:name="_Toc18340922"/>
      <w:bookmarkStart w:id="95" w:name="_Toc34657707"/>
      <w:r w:rsidRPr="00CA2564">
        <w:t>Výdavky na sociálne začleňovanie v oblasti vzdelávania</w:t>
      </w:r>
      <w:bookmarkEnd w:id="94"/>
      <w:bookmarkEnd w:id="95"/>
    </w:p>
    <w:p w14:paraId="167B6B64" w14:textId="77777777" w:rsidR="002A00E0" w:rsidRDefault="00D70EAB" w:rsidP="002A00E0">
      <w:pPr>
        <w:rPr>
          <w:szCs w:val="22"/>
        </w:rPr>
      </w:pPr>
      <w:r>
        <w:rPr>
          <w:b/>
        </w:rPr>
        <w:t>V</w:t>
      </w:r>
      <w:r w:rsidR="00915124">
        <w:rPr>
          <w:b/>
        </w:rPr>
        <w:t>erejné v</w:t>
      </w:r>
      <w:r w:rsidR="00FA46CA" w:rsidRPr="00CA2564">
        <w:rPr>
          <w:b/>
        </w:rPr>
        <w:t xml:space="preserve">ýdavky </w:t>
      </w:r>
      <w:r w:rsidR="00915124" w:rsidRPr="00CA2564">
        <w:rPr>
          <w:b/>
        </w:rPr>
        <w:t xml:space="preserve">na sociálne začleňovanie skupín ohrozených chudobou alebo sociálnym vylúčením v oblasti vzdelávania </w:t>
      </w:r>
      <w:r w:rsidR="00FA46CA" w:rsidRPr="00CA2564">
        <w:rPr>
          <w:b/>
        </w:rPr>
        <w:t>v roku 201</w:t>
      </w:r>
      <w:r>
        <w:rPr>
          <w:b/>
        </w:rPr>
        <w:t>8</w:t>
      </w:r>
      <w:r w:rsidR="00FA46CA" w:rsidRPr="00CA2564">
        <w:rPr>
          <w:b/>
        </w:rPr>
        <w:t xml:space="preserve"> tvorili </w:t>
      </w:r>
      <w:r w:rsidR="00915124">
        <w:rPr>
          <w:b/>
        </w:rPr>
        <w:t>2</w:t>
      </w:r>
      <w:r w:rsidR="007662A5">
        <w:rPr>
          <w:b/>
        </w:rPr>
        <w:t>91</w:t>
      </w:r>
      <w:r w:rsidR="00915124">
        <w:rPr>
          <w:b/>
        </w:rPr>
        <w:t>,</w:t>
      </w:r>
      <w:r w:rsidR="007662A5">
        <w:rPr>
          <w:b/>
        </w:rPr>
        <w:t>4</w:t>
      </w:r>
      <w:r w:rsidR="00FA46CA" w:rsidRPr="00CA2564">
        <w:rPr>
          <w:b/>
        </w:rPr>
        <w:t xml:space="preserve"> miliónov eur, čo predstavuje </w:t>
      </w:r>
      <w:r w:rsidR="004B5ED0">
        <w:rPr>
          <w:b/>
        </w:rPr>
        <w:t>0,</w:t>
      </w:r>
      <w:r w:rsidR="007662A5">
        <w:rPr>
          <w:b/>
        </w:rPr>
        <w:t>32</w:t>
      </w:r>
      <w:r w:rsidR="00FA46CA" w:rsidRPr="00CA2564">
        <w:rPr>
          <w:b/>
        </w:rPr>
        <w:t xml:space="preserve"> % HDP</w:t>
      </w:r>
      <w:r w:rsidR="00321584">
        <w:rPr>
          <w:b/>
        </w:rPr>
        <w:t>,</w:t>
      </w:r>
      <w:r w:rsidR="00FA46CA" w:rsidRPr="00CA2564">
        <w:rPr>
          <w:b/>
        </w:rPr>
        <w:t> </w:t>
      </w:r>
      <w:r w:rsidR="004B5ED0">
        <w:rPr>
          <w:b/>
        </w:rPr>
        <w:t>0,</w:t>
      </w:r>
      <w:r w:rsidR="007662A5">
        <w:rPr>
          <w:b/>
        </w:rPr>
        <w:t>80</w:t>
      </w:r>
      <w:r w:rsidR="00FA46CA" w:rsidRPr="00CA2564">
        <w:rPr>
          <w:b/>
        </w:rPr>
        <w:t xml:space="preserve"> % celkových </w:t>
      </w:r>
      <w:r w:rsidR="00FA46CA" w:rsidRPr="00321584">
        <w:rPr>
          <w:b/>
        </w:rPr>
        <w:t>verejných výdavkov</w:t>
      </w:r>
      <w:r w:rsidR="00FA46CA" w:rsidRPr="00D3189B">
        <w:rPr>
          <w:b/>
        </w:rPr>
        <w:t xml:space="preserve"> </w:t>
      </w:r>
      <w:r w:rsidR="00321584" w:rsidRPr="00D3189B">
        <w:rPr>
          <w:b/>
        </w:rPr>
        <w:t>a</w:t>
      </w:r>
      <w:r w:rsidR="004B5ED0">
        <w:rPr>
          <w:b/>
        </w:rPr>
        <w:t> </w:t>
      </w:r>
      <w:r w:rsidR="007662A5">
        <w:rPr>
          <w:b/>
        </w:rPr>
        <w:t>8</w:t>
      </w:r>
      <w:r w:rsidR="004B5ED0">
        <w:rPr>
          <w:b/>
        </w:rPr>
        <w:t>,</w:t>
      </w:r>
      <w:r w:rsidR="007662A5">
        <w:rPr>
          <w:b/>
        </w:rPr>
        <w:t>4</w:t>
      </w:r>
      <w:r w:rsidR="004B5ED0">
        <w:rPr>
          <w:b/>
        </w:rPr>
        <w:t>6</w:t>
      </w:r>
      <w:r w:rsidR="00321584" w:rsidRPr="00D3189B">
        <w:rPr>
          <w:b/>
        </w:rPr>
        <w:t xml:space="preserve"> % celkových výdavkov na vzdelávanie</w:t>
      </w:r>
      <w:r w:rsidR="00321584">
        <w:t xml:space="preserve"> </w:t>
      </w:r>
      <w:r w:rsidR="000823A6" w:rsidRPr="000823A6">
        <w:rPr>
          <w:szCs w:val="22"/>
        </w:rPr>
        <w:t>(</w:t>
      </w:r>
      <w:r w:rsidR="00BB0CA4" w:rsidRPr="00BB0CA4">
        <w:rPr>
          <w:szCs w:val="22"/>
        </w:rPr>
        <w:fldChar w:fldCharType="begin"/>
      </w:r>
      <w:r w:rsidR="00BB0CA4" w:rsidRPr="00BB0CA4">
        <w:rPr>
          <w:szCs w:val="22"/>
        </w:rPr>
        <w:instrText xml:space="preserve"> REF _Ref34328154 \h  \* MERGEFORMAT </w:instrText>
      </w:r>
      <w:r w:rsidR="00BB0CA4" w:rsidRPr="00BB0CA4">
        <w:rPr>
          <w:szCs w:val="22"/>
        </w:rPr>
      </w:r>
      <w:r w:rsidR="00BB0CA4" w:rsidRPr="00BB0CA4">
        <w:rPr>
          <w:szCs w:val="22"/>
        </w:rPr>
        <w:fldChar w:fldCharType="separate"/>
      </w:r>
      <w:r w:rsidR="00FA29AF" w:rsidRPr="00FA29AF">
        <w:rPr>
          <w:szCs w:val="22"/>
        </w:rPr>
        <w:t xml:space="preserve">Tabuľka </w:t>
      </w:r>
      <w:r w:rsidR="00FA29AF" w:rsidRPr="00FA29AF">
        <w:rPr>
          <w:noProof/>
          <w:szCs w:val="22"/>
        </w:rPr>
        <w:t>2</w:t>
      </w:r>
      <w:r w:rsidR="00BB0CA4" w:rsidRPr="00BB0CA4">
        <w:rPr>
          <w:szCs w:val="22"/>
        </w:rPr>
        <w:fldChar w:fldCharType="end"/>
      </w:r>
      <w:r w:rsidR="00FA46CA" w:rsidRPr="000823A6">
        <w:rPr>
          <w:szCs w:val="22"/>
        </w:rPr>
        <w:t>). Výdavky</w:t>
      </w:r>
      <w:r w:rsidR="00FA46CA" w:rsidRPr="00CA2564">
        <w:t xml:space="preserve"> zahŕňajú rozpočtové prostriedky rezortov školstva, vnútra, práce, sociálnych vecí a rodiny ako aj zdroje samospráv. </w:t>
      </w:r>
      <w:r w:rsidR="004B5ED0">
        <w:t>Z celkových výdavkov</w:t>
      </w:r>
      <w:r w:rsidR="00FA46CA" w:rsidRPr="00CA2564">
        <w:t xml:space="preserve"> </w:t>
      </w:r>
      <w:r w:rsidR="004B5ED0">
        <w:t>predstavuje čerpanie zdrojov</w:t>
      </w:r>
      <w:r w:rsidR="00FA46CA" w:rsidRPr="00CA2564">
        <w:t xml:space="preserve"> EŠIF a spolufinancovania </w:t>
      </w:r>
      <w:r w:rsidR="004B5ED0" w:rsidRPr="009B30AE">
        <w:t>13,7 % (</w:t>
      </w:r>
      <w:r w:rsidR="004B5ED0">
        <w:t>32,5</w:t>
      </w:r>
      <w:r w:rsidR="00FA46CA" w:rsidRPr="00CA2564">
        <w:t xml:space="preserve"> milión</w:t>
      </w:r>
      <w:r>
        <w:t>ov</w:t>
      </w:r>
      <w:r w:rsidR="00FA46CA" w:rsidRPr="00CA2564">
        <w:t xml:space="preserve"> eur</w:t>
      </w:r>
      <w:r w:rsidR="004B5ED0">
        <w:t>)</w:t>
      </w:r>
      <w:r w:rsidR="00FA46CA" w:rsidRPr="00CA2564">
        <w:t>. V</w:t>
      </w:r>
      <w:r w:rsidR="00445BF6">
        <w:t> rámci aktuálneho programového obdobia boli v</w:t>
      </w:r>
      <w:r w:rsidR="00FA46CA" w:rsidRPr="00CA2564">
        <w:t> oblasti vzdelávania do konca roka 201</w:t>
      </w:r>
      <w:r>
        <w:t>8</w:t>
      </w:r>
      <w:r w:rsidR="00FA46CA" w:rsidRPr="00CA2564">
        <w:t xml:space="preserve"> zazmluvnené projekty na sociálne začleňovanie v celkovej hodnote </w:t>
      </w:r>
      <w:r w:rsidR="004B5ED0">
        <w:t>196,4</w:t>
      </w:r>
      <w:r w:rsidR="00FA46CA" w:rsidRPr="00CA2564">
        <w:t xml:space="preserve"> miliónov </w:t>
      </w:r>
      <w:r w:rsidR="00FA46CA" w:rsidRPr="004B5ED0">
        <w:rPr>
          <w:szCs w:val="22"/>
        </w:rPr>
        <w:t>eur</w:t>
      </w:r>
      <w:r w:rsidR="004B5ED0" w:rsidRPr="004B5ED0">
        <w:rPr>
          <w:szCs w:val="22"/>
        </w:rPr>
        <w:t xml:space="preserve"> (</w:t>
      </w:r>
      <w:r w:rsidR="004B5ED0" w:rsidRPr="004B5ED0">
        <w:rPr>
          <w:szCs w:val="22"/>
        </w:rPr>
        <w:fldChar w:fldCharType="begin"/>
      </w:r>
      <w:r w:rsidR="004B5ED0" w:rsidRPr="004B5ED0">
        <w:rPr>
          <w:szCs w:val="22"/>
        </w:rPr>
        <w:instrText xml:space="preserve"> REF _Ref529549960 \h  \* MERGEFORMAT </w:instrText>
      </w:r>
      <w:r w:rsidR="004B5ED0" w:rsidRPr="004B5ED0">
        <w:rPr>
          <w:szCs w:val="22"/>
        </w:rPr>
      </w:r>
      <w:r w:rsidR="004B5ED0" w:rsidRPr="004B5ED0">
        <w:rPr>
          <w:szCs w:val="22"/>
        </w:rPr>
        <w:fldChar w:fldCharType="separate"/>
      </w:r>
      <w:r w:rsidR="00FA29AF" w:rsidRPr="00FA29AF">
        <w:rPr>
          <w:szCs w:val="22"/>
        </w:rPr>
        <w:t xml:space="preserve">Tabuľka </w:t>
      </w:r>
      <w:r w:rsidR="00FA29AF" w:rsidRPr="00FA29AF">
        <w:rPr>
          <w:noProof/>
          <w:szCs w:val="22"/>
        </w:rPr>
        <w:t>5</w:t>
      </w:r>
      <w:r w:rsidR="004B5ED0" w:rsidRPr="004B5ED0">
        <w:rPr>
          <w:szCs w:val="22"/>
        </w:rPr>
        <w:fldChar w:fldCharType="end"/>
      </w:r>
      <w:r w:rsidR="004B5ED0" w:rsidRPr="004B5ED0">
        <w:rPr>
          <w:szCs w:val="22"/>
        </w:rPr>
        <w:t>)</w:t>
      </w:r>
      <w:r w:rsidR="00FA46CA" w:rsidRPr="004B5ED0">
        <w:rPr>
          <w:szCs w:val="22"/>
        </w:rPr>
        <w:t>.</w:t>
      </w:r>
    </w:p>
    <w:p w14:paraId="72432B14" w14:textId="17D3964D" w:rsidR="00790716" w:rsidRDefault="00910F22" w:rsidP="002A00E0">
      <w:pPr>
        <w:rPr>
          <w:b/>
          <w:sz w:val="20"/>
          <w:highlight w:val="yellow"/>
        </w:rPr>
      </w:pPr>
      <w:r w:rsidRPr="00452DBC">
        <w:rPr>
          <w:b/>
        </w:rPr>
        <w:t xml:space="preserve">Výdavky v oblasti vzdelávania </w:t>
      </w:r>
      <w:r w:rsidRPr="005314AE">
        <w:rPr>
          <w:b/>
        </w:rPr>
        <w:t>predstavujú dodatočné finančné zdroje, ktoré do školského systému prichádzajú z titulu znevýhodnenia niektorých detí a žiakov.</w:t>
      </w:r>
      <w:r w:rsidRPr="005314AE">
        <w:rPr>
          <w:rStyle w:val="Odkaznapoznmkupodiarou"/>
          <w:b/>
        </w:rPr>
        <w:footnoteReference w:id="22"/>
      </w:r>
      <w:r w:rsidRPr="005314AE">
        <w:rPr>
          <w:b/>
        </w:rPr>
        <w:t xml:space="preserve"> </w:t>
      </w:r>
      <w:r w:rsidR="005314AE" w:rsidRPr="005314AE">
        <w:t>V roku 2018 dostávali školy na sociálne znevýhodnených žiakov dotácie na obedy v</w:t>
      </w:r>
      <w:r w:rsidR="005314AE">
        <w:t> materských a základných školách</w:t>
      </w:r>
      <w:r w:rsidR="005314AE" w:rsidRPr="005314AE">
        <w:t>,</w:t>
      </w:r>
      <w:r w:rsidR="005314AE">
        <w:t xml:space="preserve"> </w:t>
      </w:r>
      <w:r w:rsidR="005314AE" w:rsidRPr="005314AE">
        <w:t>navýšený normatív na žiakov nultého ročníka v ZŠ, a príspevky na žiakov v ZŠ. Jedinou položkou, ktorej príjemcami nie sú školy resp. ich zriaďovatelia ale žiaci, sú sociálne štipendiá pre stredoškolákov a vysokoškolákov.</w:t>
      </w:r>
      <w:r w:rsidR="005314AE">
        <w:t xml:space="preserve"> </w:t>
      </w:r>
      <w:r w:rsidR="005314AE" w:rsidRPr="005314AE">
        <w:t xml:space="preserve">Na žiakov so zdravotným znevýhodnením dostávajú špeciálne materské školy, bežné a špeciálne základné a stredné školy navýšené </w:t>
      </w:r>
      <w:r w:rsidR="001C459A" w:rsidRPr="005314AE">
        <w:t>normatívy</w:t>
      </w:r>
      <w:r w:rsidR="005314AE" w:rsidRPr="005314AE">
        <w:t xml:space="preserve"> a vysoké školy</w:t>
      </w:r>
      <w:r w:rsidR="005314AE">
        <w:t xml:space="preserve"> dotácie na špecifické potreby študentov. Okrem toho štát vyčleňuje pre základné a stredné školy účelovo viazané zdroje na pedagogických asistentov. V prípade vzdelávania sociálne a zdravotne znevýhodnených žiakov sa bežné a špeciálne školy môžu tiež uchádzať o zdroje z rozvojových projektov.</w:t>
      </w:r>
      <w:r>
        <w:t xml:space="preserve"> </w:t>
      </w:r>
      <w:bookmarkStart w:id="96" w:name="_Ref524604730"/>
      <w:bookmarkStart w:id="97" w:name="_Toc17469464"/>
    </w:p>
    <w:p w14:paraId="13F270E3" w14:textId="77777777" w:rsidR="005314AE" w:rsidRDefault="005314AE" w:rsidP="00FA46CA">
      <w:pPr>
        <w:spacing w:after="0"/>
        <w:rPr>
          <w:b/>
          <w:sz w:val="20"/>
        </w:rPr>
      </w:pPr>
      <w:bookmarkStart w:id="98" w:name="_Ref24484922"/>
    </w:p>
    <w:p w14:paraId="760CF8C2" w14:textId="49E4430B" w:rsidR="00FA46CA" w:rsidRPr="006579F3" w:rsidRDefault="00FA46CA" w:rsidP="00FA46CA">
      <w:pPr>
        <w:spacing w:after="0"/>
        <w:rPr>
          <w:b/>
          <w:sz w:val="20"/>
        </w:rPr>
      </w:pPr>
      <w:bookmarkStart w:id="99" w:name="_Ref34328154"/>
      <w:bookmarkStart w:id="100" w:name="_Toc34156841"/>
      <w:r w:rsidRPr="006579F3">
        <w:rPr>
          <w:b/>
          <w:sz w:val="20"/>
        </w:rPr>
        <w:lastRenderedPageBreak/>
        <w:t xml:space="preserve">Tabuľka </w:t>
      </w:r>
      <w:r w:rsidRPr="006579F3">
        <w:rPr>
          <w:b/>
          <w:noProof/>
          <w:sz w:val="20"/>
        </w:rPr>
        <w:fldChar w:fldCharType="begin"/>
      </w:r>
      <w:r w:rsidRPr="006579F3">
        <w:rPr>
          <w:b/>
          <w:noProof/>
          <w:sz w:val="20"/>
        </w:rPr>
        <w:instrText xml:space="preserve"> SEQ Tabuľka \* ARABIC </w:instrText>
      </w:r>
      <w:r w:rsidRPr="006579F3">
        <w:rPr>
          <w:b/>
          <w:noProof/>
          <w:sz w:val="20"/>
        </w:rPr>
        <w:fldChar w:fldCharType="separate"/>
      </w:r>
      <w:r w:rsidR="00FA29AF">
        <w:rPr>
          <w:b/>
          <w:noProof/>
          <w:sz w:val="20"/>
        </w:rPr>
        <w:t>2</w:t>
      </w:r>
      <w:r w:rsidRPr="006579F3">
        <w:rPr>
          <w:b/>
          <w:noProof/>
          <w:sz w:val="20"/>
        </w:rPr>
        <w:fldChar w:fldCharType="end"/>
      </w:r>
      <w:bookmarkEnd w:id="96"/>
      <w:bookmarkEnd w:id="98"/>
      <w:bookmarkEnd w:id="99"/>
      <w:r w:rsidRPr="006579F3">
        <w:rPr>
          <w:b/>
          <w:sz w:val="20"/>
        </w:rPr>
        <w:t>: Výdavky na sociálne začleňovanie v oblasti vzdelávania (</w:t>
      </w:r>
      <w:r w:rsidR="006579F3">
        <w:rPr>
          <w:b/>
          <w:sz w:val="20"/>
        </w:rPr>
        <w:t>mil. eur</w:t>
      </w:r>
      <w:r w:rsidRPr="006579F3">
        <w:rPr>
          <w:b/>
          <w:sz w:val="20"/>
        </w:rPr>
        <w:t>)</w:t>
      </w:r>
      <w:bookmarkEnd w:id="97"/>
      <w:bookmarkEnd w:id="100"/>
    </w:p>
    <w:tbl>
      <w:tblPr>
        <w:tblW w:w="9072" w:type="dxa"/>
        <w:tblLayout w:type="fixed"/>
        <w:tblCellMar>
          <w:left w:w="70" w:type="dxa"/>
          <w:right w:w="70" w:type="dxa"/>
        </w:tblCellMar>
        <w:tblLook w:val="04A0" w:firstRow="1" w:lastRow="0" w:firstColumn="1" w:lastColumn="0" w:noHBand="0" w:noVBand="1"/>
      </w:tblPr>
      <w:tblGrid>
        <w:gridCol w:w="4536"/>
        <w:gridCol w:w="851"/>
        <w:gridCol w:w="709"/>
        <w:gridCol w:w="850"/>
        <w:gridCol w:w="709"/>
        <w:gridCol w:w="709"/>
        <w:gridCol w:w="708"/>
      </w:tblGrid>
      <w:tr w:rsidR="008C063B" w:rsidRPr="008C063B" w14:paraId="1769BE68" w14:textId="77777777" w:rsidTr="008C063B">
        <w:trPr>
          <w:trHeight w:val="255"/>
        </w:trPr>
        <w:tc>
          <w:tcPr>
            <w:tcW w:w="4536" w:type="dxa"/>
            <w:tcBorders>
              <w:left w:val="nil"/>
              <w:bottom w:val="single" w:sz="4" w:space="0" w:color="auto"/>
              <w:right w:val="nil"/>
            </w:tcBorders>
            <w:shd w:val="clear" w:color="000000" w:fill="FFFFFF"/>
            <w:vAlign w:val="bottom"/>
            <w:hideMark/>
          </w:tcPr>
          <w:p w14:paraId="375DDEA1" w14:textId="77777777" w:rsidR="008C063B" w:rsidRPr="008C063B" w:rsidRDefault="008C063B" w:rsidP="008C063B">
            <w:pPr>
              <w:spacing w:after="0" w:line="240" w:lineRule="auto"/>
              <w:jc w:val="left"/>
              <w:rPr>
                <w:rFonts w:eastAsia="Times New Roman" w:cs="Times New Roman"/>
                <w:color w:val="000000"/>
                <w:sz w:val="20"/>
                <w:lang w:eastAsia="sk-SK"/>
              </w:rPr>
            </w:pPr>
            <w:r w:rsidRPr="008C063B">
              <w:rPr>
                <w:rFonts w:eastAsia="Times New Roman" w:cs="Times New Roman"/>
                <w:color w:val="000000"/>
                <w:sz w:val="20"/>
                <w:lang w:eastAsia="sk-SK"/>
              </w:rPr>
              <w:t> </w:t>
            </w:r>
          </w:p>
        </w:tc>
        <w:tc>
          <w:tcPr>
            <w:tcW w:w="851" w:type="dxa"/>
            <w:tcBorders>
              <w:left w:val="nil"/>
              <w:bottom w:val="single" w:sz="4" w:space="0" w:color="auto"/>
              <w:right w:val="nil"/>
            </w:tcBorders>
            <w:shd w:val="clear" w:color="000000" w:fill="FFFFFF"/>
            <w:vAlign w:val="bottom"/>
            <w:hideMark/>
          </w:tcPr>
          <w:p w14:paraId="2732880D" w14:textId="77777777" w:rsidR="008C063B" w:rsidRPr="008C063B" w:rsidRDefault="008C063B" w:rsidP="008C063B">
            <w:pPr>
              <w:spacing w:after="0" w:line="240" w:lineRule="auto"/>
              <w:jc w:val="center"/>
              <w:rPr>
                <w:rFonts w:eastAsia="Times New Roman" w:cs="Times New Roman"/>
                <w:b/>
                <w:bCs/>
                <w:color w:val="000000"/>
                <w:sz w:val="20"/>
                <w:lang w:eastAsia="sk-SK"/>
              </w:rPr>
            </w:pPr>
            <w:r w:rsidRPr="008C063B">
              <w:rPr>
                <w:rFonts w:eastAsia="Times New Roman" w:cs="Times New Roman"/>
                <w:b/>
                <w:bCs/>
                <w:color w:val="000000"/>
                <w:sz w:val="20"/>
                <w:lang w:eastAsia="sk-SK"/>
              </w:rPr>
              <w:t>Kapitola</w:t>
            </w:r>
          </w:p>
        </w:tc>
        <w:tc>
          <w:tcPr>
            <w:tcW w:w="709" w:type="dxa"/>
            <w:tcBorders>
              <w:left w:val="nil"/>
              <w:bottom w:val="single" w:sz="4" w:space="0" w:color="auto"/>
              <w:right w:val="nil"/>
            </w:tcBorders>
            <w:shd w:val="clear" w:color="000000" w:fill="FFFFFF"/>
            <w:vAlign w:val="bottom"/>
            <w:hideMark/>
          </w:tcPr>
          <w:p w14:paraId="589A3216" w14:textId="77777777" w:rsidR="008C063B" w:rsidRPr="008C063B" w:rsidRDefault="008C063B" w:rsidP="008C063B">
            <w:pPr>
              <w:spacing w:after="0" w:line="240" w:lineRule="auto"/>
              <w:jc w:val="center"/>
              <w:rPr>
                <w:rFonts w:eastAsia="Times New Roman" w:cs="Times New Roman"/>
                <w:b/>
                <w:bCs/>
                <w:color w:val="000000"/>
                <w:sz w:val="20"/>
                <w:lang w:eastAsia="sk-SK"/>
              </w:rPr>
            </w:pPr>
            <w:r w:rsidRPr="008C063B">
              <w:rPr>
                <w:rFonts w:eastAsia="Times New Roman" w:cs="Times New Roman"/>
                <w:b/>
                <w:bCs/>
                <w:color w:val="000000"/>
                <w:sz w:val="20"/>
                <w:lang w:eastAsia="sk-SK"/>
              </w:rPr>
              <w:t>2018 S</w:t>
            </w:r>
          </w:p>
        </w:tc>
        <w:tc>
          <w:tcPr>
            <w:tcW w:w="850" w:type="dxa"/>
            <w:tcBorders>
              <w:left w:val="nil"/>
              <w:bottom w:val="single" w:sz="4" w:space="0" w:color="auto"/>
              <w:right w:val="nil"/>
            </w:tcBorders>
            <w:shd w:val="clear" w:color="000000" w:fill="FFFFFF"/>
            <w:vAlign w:val="bottom"/>
            <w:hideMark/>
          </w:tcPr>
          <w:p w14:paraId="2E806E41" w14:textId="77777777" w:rsidR="008C063B" w:rsidRPr="008C063B" w:rsidRDefault="008C063B" w:rsidP="008C063B">
            <w:pPr>
              <w:spacing w:after="0" w:line="240" w:lineRule="auto"/>
              <w:jc w:val="center"/>
              <w:rPr>
                <w:rFonts w:eastAsia="Times New Roman" w:cs="Times New Roman"/>
                <w:b/>
                <w:bCs/>
                <w:color w:val="000000"/>
                <w:sz w:val="20"/>
                <w:lang w:eastAsia="sk-SK"/>
              </w:rPr>
            </w:pPr>
            <w:r w:rsidRPr="008C063B">
              <w:rPr>
                <w:rFonts w:eastAsia="Times New Roman" w:cs="Times New Roman"/>
                <w:b/>
                <w:bCs/>
                <w:color w:val="000000"/>
                <w:sz w:val="20"/>
                <w:lang w:eastAsia="sk-SK"/>
              </w:rPr>
              <w:t>2019 OS</w:t>
            </w:r>
          </w:p>
        </w:tc>
        <w:tc>
          <w:tcPr>
            <w:tcW w:w="709" w:type="dxa"/>
            <w:tcBorders>
              <w:left w:val="nil"/>
              <w:bottom w:val="single" w:sz="4" w:space="0" w:color="auto"/>
              <w:right w:val="nil"/>
            </w:tcBorders>
            <w:shd w:val="clear" w:color="000000" w:fill="FFFFFF"/>
            <w:vAlign w:val="bottom"/>
            <w:hideMark/>
          </w:tcPr>
          <w:p w14:paraId="10127B8C" w14:textId="735B3680" w:rsidR="008C063B" w:rsidRPr="008C063B" w:rsidRDefault="008C063B" w:rsidP="008C063B">
            <w:pPr>
              <w:spacing w:after="0" w:line="240" w:lineRule="auto"/>
              <w:jc w:val="center"/>
              <w:rPr>
                <w:rFonts w:eastAsia="Times New Roman" w:cs="Times New Roman"/>
                <w:b/>
                <w:bCs/>
                <w:color w:val="000000"/>
                <w:sz w:val="20"/>
                <w:lang w:eastAsia="sk-SK"/>
              </w:rPr>
            </w:pPr>
            <w:r w:rsidRPr="008C063B">
              <w:rPr>
                <w:rFonts w:eastAsia="Times New Roman" w:cs="Times New Roman"/>
                <w:b/>
                <w:bCs/>
                <w:color w:val="000000"/>
                <w:sz w:val="20"/>
                <w:lang w:eastAsia="sk-SK"/>
              </w:rPr>
              <w:t xml:space="preserve">2020 </w:t>
            </w:r>
            <w:r w:rsidR="00CA1FBE">
              <w:rPr>
                <w:rFonts w:eastAsia="Times New Roman" w:cs="Times New Roman"/>
                <w:b/>
                <w:bCs/>
                <w:color w:val="000000"/>
                <w:sz w:val="20"/>
                <w:lang w:eastAsia="sk-SK"/>
              </w:rPr>
              <w:t>R</w:t>
            </w:r>
          </w:p>
        </w:tc>
        <w:tc>
          <w:tcPr>
            <w:tcW w:w="709" w:type="dxa"/>
            <w:tcBorders>
              <w:left w:val="nil"/>
              <w:bottom w:val="single" w:sz="4" w:space="0" w:color="auto"/>
              <w:right w:val="nil"/>
            </w:tcBorders>
            <w:shd w:val="clear" w:color="000000" w:fill="FFFFFF"/>
            <w:vAlign w:val="bottom"/>
            <w:hideMark/>
          </w:tcPr>
          <w:p w14:paraId="301A6BB9" w14:textId="0D46B135" w:rsidR="008C063B" w:rsidRPr="008C063B" w:rsidRDefault="008C063B" w:rsidP="008C063B">
            <w:pPr>
              <w:spacing w:after="0" w:line="240" w:lineRule="auto"/>
              <w:jc w:val="center"/>
              <w:rPr>
                <w:rFonts w:eastAsia="Times New Roman" w:cs="Times New Roman"/>
                <w:b/>
                <w:bCs/>
                <w:color w:val="000000"/>
                <w:sz w:val="20"/>
                <w:lang w:eastAsia="sk-SK"/>
              </w:rPr>
            </w:pPr>
            <w:r w:rsidRPr="008C063B">
              <w:rPr>
                <w:rFonts w:eastAsia="Times New Roman" w:cs="Times New Roman"/>
                <w:b/>
                <w:bCs/>
                <w:color w:val="000000"/>
                <w:sz w:val="20"/>
                <w:lang w:eastAsia="sk-SK"/>
              </w:rPr>
              <w:t xml:space="preserve">2021 </w:t>
            </w:r>
            <w:r w:rsidR="00CA1FBE">
              <w:rPr>
                <w:rFonts w:eastAsia="Times New Roman" w:cs="Times New Roman"/>
                <w:b/>
                <w:bCs/>
                <w:color w:val="000000"/>
                <w:sz w:val="20"/>
                <w:lang w:eastAsia="sk-SK"/>
              </w:rPr>
              <w:t>R</w:t>
            </w:r>
          </w:p>
        </w:tc>
        <w:tc>
          <w:tcPr>
            <w:tcW w:w="708" w:type="dxa"/>
            <w:tcBorders>
              <w:left w:val="nil"/>
              <w:bottom w:val="single" w:sz="4" w:space="0" w:color="auto"/>
              <w:right w:val="nil"/>
            </w:tcBorders>
            <w:shd w:val="clear" w:color="000000" w:fill="FFFFFF"/>
            <w:vAlign w:val="bottom"/>
            <w:hideMark/>
          </w:tcPr>
          <w:p w14:paraId="00A36516" w14:textId="6C08F686" w:rsidR="008C063B" w:rsidRPr="008C063B" w:rsidRDefault="008C063B" w:rsidP="008C063B">
            <w:pPr>
              <w:spacing w:after="0" w:line="240" w:lineRule="auto"/>
              <w:jc w:val="center"/>
              <w:rPr>
                <w:rFonts w:eastAsia="Times New Roman" w:cs="Times New Roman"/>
                <w:b/>
                <w:bCs/>
                <w:color w:val="000000"/>
                <w:sz w:val="20"/>
                <w:lang w:eastAsia="sk-SK"/>
              </w:rPr>
            </w:pPr>
            <w:r w:rsidRPr="008C063B">
              <w:rPr>
                <w:rFonts w:eastAsia="Times New Roman" w:cs="Times New Roman"/>
                <w:b/>
                <w:bCs/>
                <w:color w:val="000000"/>
                <w:sz w:val="20"/>
                <w:lang w:eastAsia="sk-SK"/>
              </w:rPr>
              <w:t xml:space="preserve">2022 </w:t>
            </w:r>
            <w:r w:rsidR="00CA1FBE">
              <w:rPr>
                <w:rFonts w:eastAsia="Times New Roman" w:cs="Times New Roman"/>
                <w:b/>
                <w:bCs/>
                <w:color w:val="000000"/>
                <w:sz w:val="20"/>
                <w:lang w:eastAsia="sk-SK"/>
              </w:rPr>
              <w:t>R</w:t>
            </w:r>
          </w:p>
        </w:tc>
      </w:tr>
      <w:tr w:rsidR="0096767F" w:rsidRPr="008C063B" w14:paraId="5AC34F73" w14:textId="77777777" w:rsidTr="008C063B">
        <w:trPr>
          <w:trHeight w:val="255"/>
        </w:trPr>
        <w:tc>
          <w:tcPr>
            <w:tcW w:w="4536" w:type="dxa"/>
            <w:tcBorders>
              <w:top w:val="nil"/>
              <w:left w:val="nil"/>
              <w:bottom w:val="single" w:sz="4" w:space="0" w:color="auto"/>
              <w:right w:val="nil"/>
            </w:tcBorders>
            <w:shd w:val="clear" w:color="000000" w:fill="FFFFFF"/>
            <w:vAlign w:val="bottom"/>
            <w:hideMark/>
          </w:tcPr>
          <w:p w14:paraId="4EBA6536" w14:textId="0B57A9E9" w:rsidR="0096767F" w:rsidRPr="008C063B" w:rsidRDefault="00725359" w:rsidP="0096767F">
            <w:pPr>
              <w:spacing w:after="0" w:line="240" w:lineRule="auto"/>
              <w:jc w:val="left"/>
              <w:rPr>
                <w:rFonts w:eastAsia="Times New Roman" w:cs="Times New Roman"/>
                <w:b/>
                <w:bCs/>
                <w:color w:val="000000"/>
                <w:sz w:val="20"/>
                <w:lang w:eastAsia="sk-SK"/>
              </w:rPr>
            </w:pPr>
            <w:r>
              <w:rPr>
                <w:rFonts w:eastAsia="Times New Roman" w:cs="Times New Roman"/>
                <w:b/>
                <w:bCs/>
                <w:color w:val="000000"/>
                <w:sz w:val="20"/>
                <w:lang w:eastAsia="sk-SK"/>
              </w:rPr>
              <w:t>Sociálne z</w:t>
            </w:r>
            <w:r w:rsidR="00194E9C">
              <w:rPr>
                <w:rFonts w:eastAsia="Times New Roman" w:cs="Times New Roman"/>
                <w:b/>
                <w:bCs/>
                <w:color w:val="000000"/>
                <w:sz w:val="20"/>
                <w:lang w:eastAsia="sk-SK"/>
              </w:rPr>
              <w:t>n</w:t>
            </w:r>
            <w:r>
              <w:rPr>
                <w:rFonts w:eastAsia="Times New Roman" w:cs="Times New Roman"/>
                <w:b/>
                <w:bCs/>
                <w:color w:val="000000"/>
                <w:sz w:val="20"/>
                <w:lang w:eastAsia="sk-SK"/>
              </w:rPr>
              <w:t>evýhodnené</w:t>
            </w:r>
            <w:r w:rsidR="0096767F" w:rsidRPr="008C063B">
              <w:rPr>
                <w:rFonts w:eastAsia="Times New Roman" w:cs="Times New Roman"/>
                <w:b/>
                <w:bCs/>
                <w:color w:val="000000"/>
                <w:sz w:val="20"/>
                <w:lang w:eastAsia="sk-SK"/>
              </w:rPr>
              <w:t xml:space="preserve"> deti v materských školách</w:t>
            </w:r>
          </w:p>
        </w:tc>
        <w:tc>
          <w:tcPr>
            <w:tcW w:w="851" w:type="dxa"/>
            <w:tcBorders>
              <w:top w:val="nil"/>
              <w:left w:val="nil"/>
              <w:bottom w:val="single" w:sz="4" w:space="0" w:color="auto"/>
              <w:right w:val="nil"/>
            </w:tcBorders>
            <w:shd w:val="clear" w:color="000000" w:fill="FFFFFF"/>
            <w:vAlign w:val="bottom"/>
            <w:hideMark/>
          </w:tcPr>
          <w:p w14:paraId="5FC9AE41" w14:textId="77777777" w:rsidR="0096767F" w:rsidRPr="008C063B" w:rsidRDefault="0096767F" w:rsidP="0096767F">
            <w:pPr>
              <w:spacing w:after="0" w:line="240" w:lineRule="auto"/>
              <w:jc w:val="left"/>
              <w:rPr>
                <w:rFonts w:eastAsia="Times New Roman" w:cs="Times New Roman"/>
                <w:b/>
                <w:bCs/>
                <w:color w:val="000000"/>
                <w:sz w:val="20"/>
                <w:lang w:eastAsia="sk-SK"/>
              </w:rPr>
            </w:pPr>
            <w:r w:rsidRPr="008C063B">
              <w:rPr>
                <w:rFonts w:eastAsia="Times New Roman" w:cs="Times New Roman"/>
                <w:b/>
                <w:bCs/>
                <w:color w:val="000000"/>
                <w:sz w:val="20"/>
                <w:lang w:eastAsia="sk-SK"/>
              </w:rPr>
              <w:t> </w:t>
            </w:r>
          </w:p>
        </w:tc>
        <w:tc>
          <w:tcPr>
            <w:tcW w:w="709" w:type="dxa"/>
            <w:tcBorders>
              <w:top w:val="nil"/>
              <w:left w:val="nil"/>
              <w:bottom w:val="single" w:sz="4" w:space="0" w:color="auto"/>
              <w:right w:val="nil"/>
            </w:tcBorders>
            <w:shd w:val="clear" w:color="000000" w:fill="FFFFFF"/>
            <w:vAlign w:val="bottom"/>
            <w:hideMark/>
          </w:tcPr>
          <w:p w14:paraId="572EEFD8" w14:textId="2A07CE5A" w:rsidR="0096767F" w:rsidRPr="008C063B" w:rsidRDefault="0096767F" w:rsidP="0096767F">
            <w:pPr>
              <w:spacing w:after="0" w:line="240" w:lineRule="auto"/>
              <w:jc w:val="center"/>
              <w:rPr>
                <w:rFonts w:eastAsia="Times New Roman" w:cs="Times New Roman"/>
                <w:b/>
                <w:bCs/>
                <w:color w:val="000000"/>
                <w:sz w:val="20"/>
                <w:lang w:eastAsia="sk-SK"/>
              </w:rPr>
            </w:pPr>
            <w:r>
              <w:rPr>
                <w:b/>
                <w:bCs/>
                <w:color w:val="000000"/>
                <w:sz w:val="20"/>
              </w:rPr>
              <w:t>45,2</w:t>
            </w:r>
          </w:p>
        </w:tc>
        <w:tc>
          <w:tcPr>
            <w:tcW w:w="850" w:type="dxa"/>
            <w:tcBorders>
              <w:top w:val="nil"/>
              <w:left w:val="nil"/>
              <w:bottom w:val="single" w:sz="4" w:space="0" w:color="auto"/>
              <w:right w:val="nil"/>
            </w:tcBorders>
            <w:shd w:val="clear" w:color="000000" w:fill="FFFFFF"/>
            <w:vAlign w:val="bottom"/>
            <w:hideMark/>
          </w:tcPr>
          <w:p w14:paraId="3EB41174" w14:textId="4E82B9E9" w:rsidR="0096767F" w:rsidRPr="008C063B" w:rsidRDefault="0096767F" w:rsidP="0096767F">
            <w:pPr>
              <w:spacing w:after="0" w:line="240" w:lineRule="auto"/>
              <w:jc w:val="center"/>
              <w:rPr>
                <w:rFonts w:eastAsia="Times New Roman" w:cs="Times New Roman"/>
                <w:b/>
                <w:bCs/>
                <w:color w:val="000000"/>
                <w:sz w:val="20"/>
                <w:lang w:eastAsia="sk-SK"/>
              </w:rPr>
            </w:pPr>
            <w:r>
              <w:rPr>
                <w:b/>
                <w:bCs/>
                <w:color w:val="000000"/>
                <w:sz w:val="20"/>
              </w:rPr>
              <w:t>50,8</w:t>
            </w:r>
          </w:p>
        </w:tc>
        <w:tc>
          <w:tcPr>
            <w:tcW w:w="709" w:type="dxa"/>
            <w:tcBorders>
              <w:top w:val="nil"/>
              <w:left w:val="nil"/>
              <w:bottom w:val="single" w:sz="4" w:space="0" w:color="auto"/>
              <w:right w:val="nil"/>
            </w:tcBorders>
            <w:shd w:val="clear" w:color="000000" w:fill="FFFFFF"/>
            <w:vAlign w:val="bottom"/>
            <w:hideMark/>
          </w:tcPr>
          <w:p w14:paraId="1D0E5CC5" w14:textId="4267C919" w:rsidR="0096767F" w:rsidRPr="008C063B" w:rsidRDefault="0096767F" w:rsidP="0096767F">
            <w:pPr>
              <w:spacing w:after="0" w:line="240" w:lineRule="auto"/>
              <w:jc w:val="center"/>
              <w:rPr>
                <w:rFonts w:eastAsia="Times New Roman" w:cs="Times New Roman"/>
                <w:b/>
                <w:bCs/>
                <w:color w:val="000000"/>
                <w:sz w:val="20"/>
                <w:lang w:eastAsia="sk-SK"/>
              </w:rPr>
            </w:pPr>
            <w:r>
              <w:rPr>
                <w:b/>
                <w:bCs/>
                <w:color w:val="000000"/>
                <w:sz w:val="20"/>
              </w:rPr>
              <w:t>52,1</w:t>
            </w:r>
          </w:p>
        </w:tc>
        <w:tc>
          <w:tcPr>
            <w:tcW w:w="709" w:type="dxa"/>
            <w:tcBorders>
              <w:top w:val="nil"/>
              <w:left w:val="nil"/>
              <w:bottom w:val="single" w:sz="4" w:space="0" w:color="auto"/>
              <w:right w:val="nil"/>
            </w:tcBorders>
            <w:shd w:val="clear" w:color="000000" w:fill="FFFFFF"/>
            <w:vAlign w:val="bottom"/>
            <w:hideMark/>
          </w:tcPr>
          <w:p w14:paraId="4B09ABEF" w14:textId="2EE65C54" w:rsidR="0096767F" w:rsidRPr="008C063B" w:rsidRDefault="0096767F" w:rsidP="0096767F">
            <w:pPr>
              <w:spacing w:after="0" w:line="240" w:lineRule="auto"/>
              <w:jc w:val="center"/>
              <w:rPr>
                <w:rFonts w:eastAsia="Times New Roman" w:cs="Times New Roman"/>
                <w:b/>
                <w:bCs/>
                <w:color w:val="000000"/>
                <w:sz w:val="20"/>
                <w:lang w:eastAsia="sk-SK"/>
              </w:rPr>
            </w:pPr>
            <w:r>
              <w:rPr>
                <w:b/>
                <w:bCs/>
                <w:color w:val="000000"/>
                <w:sz w:val="20"/>
              </w:rPr>
              <w:t>60,2</w:t>
            </w:r>
          </w:p>
        </w:tc>
        <w:tc>
          <w:tcPr>
            <w:tcW w:w="708" w:type="dxa"/>
            <w:tcBorders>
              <w:top w:val="nil"/>
              <w:left w:val="nil"/>
              <w:bottom w:val="single" w:sz="4" w:space="0" w:color="auto"/>
              <w:right w:val="nil"/>
            </w:tcBorders>
            <w:shd w:val="clear" w:color="000000" w:fill="FFFFFF"/>
            <w:vAlign w:val="bottom"/>
            <w:hideMark/>
          </w:tcPr>
          <w:p w14:paraId="4D15DCC5" w14:textId="5670E0D9" w:rsidR="0096767F" w:rsidRPr="008C063B" w:rsidRDefault="0096767F" w:rsidP="0096767F">
            <w:pPr>
              <w:spacing w:after="0" w:line="240" w:lineRule="auto"/>
              <w:jc w:val="center"/>
              <w:rPr>
                <w:rFonts w:eastAsia="Times New Roman" w:cs="Times New Roman"/>
                <w:b/>
                <w:bCs/>
                <w:color w:val="000000"/>
                <w:sz w:val="20"/>
                <w:lang w:eastAsia="sk-SK"/>
              </w:rPr>
            </w:pPr>
            <w:r>
              <w:rPr>
                <w:b/>
                <w:bCs/>
                <w:color w:val="000000"/>
                <w:sz w:val="20"/>
              </w:rPr>
              <w:t>69,5</w:t>
            </w:r>
          </w:p>
        </w:tc>
      </w:tr>
      <w:tr w:rsidR="00CD29F2" w:rsidRPr="008C063B" w14:paraId="3D3D69EA" w14:textId="77777777" w:rsidTr="008C063B">
        <w:trPr>
          <w:trHeight w:val="510"/>
        </w:trPr>
        <w:tc>
          <w:tcPr>
            <w:tcW w:w="4536" w:type="dxa"/>
            <w:tcBorders>
              <w:top w:val="nil"/>
              <w:left w:val="nil"/>
              <w:bottom w:val="nil"/>
              <w:right w:val="nil"/>
            </w:tcBorders>
            <w:shd w:val="clear" w:color="000000" w:fill="FFFFFF"/>
            <w:vAlign w:val="bottom"/>
            <w:hideMark/>
          </w:tcPr>
          <w:p w14:paraId="11CBDF79" w14:textId="5BB6EC24" w:rsidR="00CD29F2" w:rsidRPr="008C063B" w:rsidRDefault="0096767F" w:rsidP="00CD29F2">
            <w:pPr>
              <w:spacing w:after="0" w:line="240" w:lineRule="auto"/>
              <w:jc w:val="left"/>
              <w:rPr>
                <w:rFonts w:eastAsia="Times New Roman" w:cs="Times New Roman"/>
                <w:color w:val="000000"/>
                <w:sz w:val="20"/>
                <w:lang w:eastAsia="sk-SK"/>
              </w:rPr>
            </w:pPr>
            <w:r w:rsidRPr="0096767F">
              <w:rPr>
                <w:rFonts w:eastAsia="Times New Roman" w:cs="Times New Roman"/>
                <w:color w:val="000000"/>
                <w:sz w:val="20"/>
                <w:lang w:eastAsia="sk-SK"/>
              </w:rPr>
              <w:t>Suma podielových daní použi</w:t>
            </w:r>
            <w:r>
              <w:rPr>
                <w:rFonts w:eastAsia="Times New Roman" w:cs="Times New Roman"/>
                <w:color w:val="000000"/>
                <w:sz w:val="20"/>
                <w:lang w:eastAsia="sk-SK"/>
              </w:rPr>
              <w:t>tých na predprimárne vzdelávanie</w:t>
            </w:r>
            <w:r w:rsidRPr="0096767F">
              <w:rPr>
                <w:rFonts w:eastAsia="Times New Roman" w:cs="Times New Roman"/>
                <w:color w:val="000000"/>
                <w:sz w:val="20"/>
                <w:lang w:eastAsia="sk-SK"/>
              </w:rPr>
              <w:t xml:space="preserve"> vrátane </w:t>
            </w:r>
            <w:r w:rsidR="000B47C6">
              <w:rPr>
                <w:rFonts w:eastAsia="Times New Roman" w:cs="Times New Roman"/>
                <w:color w:val="000000"/>
                <w:sz w:val="20"/>
                <w:lang w:eastAsia="sk-SK"/>
              </w:rPr>
              <w:t>prísp.</w:t>
            </w:r>
            <w:r w:rsidRPr="0096767F">
              <w:rPr>
                <w:rFonts w:eastAsia="Times New Roman" w:cs="Times New Roman"/>
                <w:color w:val="000000"/>
                <w:sz w:val="20"/>
                <w:lang w:eastAsia="sk-SK"/>
              </w:rPr>
              <w:t xml:space="preserve"> </w:t>
            </w:r>
            <w:r>
              <w:rPr>
                <w:rFonts w:eastAsia="Times New Roman" w:cs="Times New Roman"/>
                <w:color w:val="000000"/>
                <w:sz w:val="20"/>
                <w:lang w:eastAsia="sk-SK"/>
              </w:rPr>
              <w:t>štátu na povinný posledný roč.</w:t>
            </w:r>
          </w:p>
        </w:tc>
        <w:tc>
          <w:tcPr>
            <w:tcW w:w="851" w:type="dxa"/>
            <w:tcBorders>
              <w:top w:val="nil"/>
              <w:left w:val="nil"/>
              <w:bottom w:val="nil"/>
              <w:right w:val="nil"/>
            </w:tcBorders>
            <w:shd w:val="clear" w:color="000000" w:fill="FFFFFF"/>
            <w:vAlign w:val="bottom"/>
            <w:hideMark/>
          </w:tcPr>
          <w:p w14:paraId="5548DFA0" w14:textId="15328085" w:rsidR="00CD29F2" w:rsidRPr="008C063B" w:rsidRDefault="00CD29F2" w:rsidP="00CD29F2">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SS</w:t>
            </w:r>
            <w:r w:rsidR="0096767F">
              <w:rPr>
                <w:rFonts w:eastAsia="Times New Roman" w:cs="Times New Roman"/>
                <w:color w:val="000000"/>
                <w:sz w:val="20"/>
                <w:lang w:eastAsia="sk-SK"/>
              </w:rPr>
              <w:t>/ MŠVVŠ</w:t>
            </w:r>
          </w:p>
        </w:tc>
        <w:tc>
          <w:tcPr>
            <w:tcW w:w="709" w:type="dxa"/>
            <w:tcBorders>
              <w:top w:val="nil"/>
              <w:left w:val="nil"/>
              <w:bottom w:val="nil"/>
              <w:right w:val="nil"/>
            </w:tcBorders>
            <w:shd w:val="clear" w:color="000000" w:fill="FFFFFF"/>
            <w:vAlign w:val="bottom"/>
            <w:hideMark/>
          </w:tcPr>
          <w:p w14:paraId="67B7DF94" w14:textId="229D2D82" w:rsidR="00CD29F2" w:rsidRPr="00CD29F2" w:rsidRDefault="00CD29F2" w:rsidP="00CD29F2">
            <w:pPr>
              <w:spacing w:after="0" w:line="240" w:lineRule="auto"/>
              <w:jc w:val="center"/>
              <w:rPr>
                <w:rFonts w:eastAsia="Times New Roman" w:cs="Times New Roman"/>
                <w:color w:val="BFBFBF" w:themeColor="background1" w:themeShade="BF"/>
                <w:sz w:val="20"/>
                <w:lang w:eastAsia="sk-SK"/>
              </w:rPr>
            </w:pPr>
            <w:r w:rsidRPr="00CD29F2">
              <w:rPr>
                <w:color w:val="BFBFBF" w:themeColor="background1" w:themeShade="BF"/>
                <w:sz w:val="20"/>
              </w:rPr>
              <w:t>396,7</w:t>
            </w:r>
          </w:p>
        </w:tc>
        <w:tc>
          <w:tcPr>
            <w:tcW w:w="850" w:type="dxa"/>
            <w:tcBorders>
              <w:top w:val="nil"/>
              <w:left w:val="nil"/>
              <w:bottom w:val="nil"/>
              <w:right w:val="nil"/>
            </w:tcBorders>
            <w:shd w:val="clear" w:color="000000" w:fill="FFFFFF"/>
            <w:vAlign w:val="bottom"/>
            <w:hideMark/>
          </w:tcPr>
          <w:p w14:paraId="14092488" w14:textId="084ACAAF" w:rsidR="00CD29F2" w:rsidRPr="00CD29F2" w:rsidRDefault="00CD29F2" w:rsidP="00CD29F2">
            <w:pPr>
              <w:spacing w:after="0" w:line="240" w:lineRule="auto"/>
              <w:jc w:val="center"/>
              <w:rPr>
                <w:rFonts w:eastAsia="Times New Roman" w:cs="Times New Roman"/>
                <w:color w:val="BFBFBF" w:themeColor="background1" w:themeShade="BF"/>
                <w:sz w:val="20"/>
                <w:lang w:eastAsia="sk-SK"/>
              </w:rPr>
            </w:pPr>
            <w:r w:rsidRPr="00CD29F2">
              <w:rPr>
                <w:color w:val="BFBFBF" w:themeColor="background1" w:themeShade="BF"/>
                <w:sz w:val="20"/>
              </w:rPr>
              <w:t>438,3</w:t>
            </w:r>
          </w:p>
        </w:tc>
        <w:tc>
          <w:tcPr>
            <w:tcW w:w="709" w:type="dxa"/>
            <w:tcBorders>
              <w:top w:val="nil"/>
              <w:left w:val="nil"/>
              <w:bottom w:val="nil"/>
              <w:right w:val="nil"/>
            </w:tcBorders>
            <w:shd w:val="clear" w:color="000000" w:fill="FFFFFF"/>
            <w:vAlign w:val="bottom"/>
            <w:hideMark/>
          </w:tcPr>
          <w:p w14:paraId="3DCB413C" w14:textId="324F2AF4" w:rsidR="00CD29F2" w:rsidRPr="00CD29F2" w:rsidRDefault="00CD29F2" w:rsidP="00CD29F2">
            <w:pPr>
              <w:spacing w:after="0" w:line="240" w:lineRule="auto"/>
              <w:jc w:val="center"/>
              <w:rPr>
                <w:rFonts w:eastAsia="Times New Roman" w:cs="Times New Roman"/>
                <w:color w:val="BFBFBF" w:themeColor="background1" w:themeShade="BF"/>
                <w:sz w:val="20"/>
                <w:lang w:eastAsia="sk-SK"/>
              </w:rPr>
            </w:pPr>
            <w:r w:rsidRPr="00CD29F2">
              <w:rPr>
                <w:color w:val="BFBFBF" w:themeColor="background1" w:themeShade="BF"/>
                <w:sz w:val="20"/>
              </w:rPr>
              <w:t>448,8</w:t>
            </w:r>
          </w:p>
        </w:tc>
        <w:tc>
          <w:tcPr>
            <w:tcW w:w="709" w:type="dxa"/>
            <w:tcBorders>
              <w:top w:val="nil"/>
              <w:left w:val="nil"/>
              <w:bottom w:val="nil"/>
              <w:right w:val="nil"/>
            </w:tcBorders>
            <w:shd w:val="clear" w:color="000000" w:fill="FFFFFF"/>
            <w:vAlign w:val="bottom"/>
            <w:hideMark/>
          </w:tcPr>
          <w:p w14:paraId="39926DBE" w14:textId="1982E1A9" w:rsidR="00CD29F2" w:rsidRPr="00CD29F2" w:rsidRDefault="00CD29F2" w:rsidP="00CD29F2">
            <w:pPr>
              <w:spacing w:after="0" w:line="240" w:lineRule="auto"/>
              <w:jc w:val="center"/>
              <w:rPr>
                <w:rFonts w:eastAsia="Times New Roman" w:cs="Times New Roman"/>
                <w:color w:val="BFBFBF" w:themeColor="background1" w:themeShade="BF"/>
                <w:sz w:val="20"/>
                <w:lang w:eastAsia="sk-SK"/>
              </w:rPr>
            </w:pPr>
            <w:r w:rsidRPr="00CD29F2">
              <w:rPr>
                <w:color w:val="BFBFBF" w:themeColor="background1" w:themeShade="BF"/>
                <w:sz w:val="20"/>
              </w:rPr>
              <w:t>492,5</w:t>
            </w:r>
          </w:p>
        </w:tc>
        <w:tc>
          <w:tcPr>
            <w:tcW w:w="708" w:type="dxa"/>
            <w:tcBorders>
              <w:top w:val="nil"/>
              <w:left w:val="nil"/>
              <w:bottom w:val="nil"/>
              <w:right w:val="nil"/>
            </w:tcBorders>
            <w:shd w:val="clear" w:color="000000" w:fill="FFFFFF"/>
            <w:vAlign w:val="bottom"/>
            <w:hideMark/>
          </w:tcPr>
          <w:p w14:paraId="4188EEC9" w14:textId="2603D9B1" w:rsidR="00CD29F2" w:rsidRPr="00CD29F2" w:rsidRDefault="00CD29F2" w:rsidP="00CD29F2">
            <w:pPr>
              <w:spacing w:after="0" w:line="240" w:lineRule="auto"/>
              <w:jc w:val="center"/>
              <w:rPr>
                <w:rFonts w:eastAsia="Times New Roman" w:cs="Times New Roman"/>
                <w:color w:val="BFBFBF" w:themeColor="background1" w:themeShade="BF"/>
                <w:sz w:val="20"/>
                <w:lang w:eastAsia="sk-SK"/>
              </w:rPr>
            </w:pPr>
            <w:r w:rsidRPr="00CD29F2">
              <w:rPr>
                <w:color w:val="BFBFBF" w:themeColor="background1" w:themeShade="BF"/>
                <w:sz w:val="20"/>
              </w:rPr>
              <w:t>521,5</w:t>
            </w:r>
          </w:p>
        </w:tc>
      </w:tr>
      <w:tr w:rsidR="0096767F" w:rsidRPr="008C063B" w14:paraId="76262108" w14:textId="77777777" w:rsidTr="008C063B">
        <w:trPr>
          <w:trHeight w:val="255"/>
        </w:trPr>
        <w:tc>
          <w:tcPr>
            <w:tcW w:w="4536" w:type="dxa"/>
            <w:tcBorders>
              <w:top w:val="nil"/>
              <w:left w:val="nil"/>
              <w:bottom w:val="nil"/>
              <w:right w:val="nil"/>
            </w:tcBorders>
            <w:shd w:val="clear" w:color="000000" w:fill="FFFFFF"/>
            <w:vAlign w:val="bottom"/>
            <w:hideMark/>
          </w:tcPr>
          <w:p w14:paraId="78150820" w14:textId="364CB347" w:rsidR="0096767F" w:rsidRPr="008C063B" w:rsidRDefault="0070047D" w:rsidP="0096767F">
            <w:pPr>
              <w:spacing w:after="0" w:line="240" w:lineRule="auto"/>
              <w:jc w:val="left"/>
              <w:rPr>
                <w:rFonts w:eastAsia="Times New Roman" w:cs="Times New Roman"/>
                <w:color w:val="000000"/>
                <w:sz w:val="20"/>
                <w:lang w:eastAsia="sk-SK"/>
              </w:rPr>
            </w:pPr>
            <w:r>
              <w:rPr>
                <w:rFonts w:eastAsia="Times New Roman" w:cs="Times New Roman"/>
                <w:color w:val="000000"/>
                <w:sz w:val="20"/>
                <w:lang w:eastAsia="sk-SK"/>
              </w:rPr>
              <w:t xml:space="preserve">  </w:t>
            </w:r>
            <w:r w:rsidR="0096767F" w:rsidRPr="008C063B">
              <w:rPr>
                <w:rFonts w:eastAsia="Times New Roman" w:cs="Times New Roman"/>
                <w:color w:val="000000"/>
                <w:sz w:val="20"/>
                <w:lang w:eastAsia="sk-SK"/>
              </w:rPr>
              <w:t xml:space="preserve">z toho </w:t>
            </w:r>
            <w:r w:rsidR="0096767F">
              <w:rPr>
                <w:rFonts w:eastAsia="Times New Roman" w:cs="Times New Roman"/>
                <w:color w:val="000000"/>
                <w:sz w:val="20"/>
                <w:lang w:eastAsia="sk-SK"/>
              </w:rPr>
              <w:t>deti ohrozené chudobou alebo soc. vylúčením</w:t>
            </w:r>
          </w:p>
        </w:tc>
        <w:tc>
          <w:tcPr>
            <w:tcW w:w="851" w:type="dxa"/>
            <w:tcBorders>
              <w:top w:val="nil"/>
              <w:left w:val="nil"/>
              <w:bottom w:val="nil"/>
              <w:right w:val="nil"/>
            </w:tcBorders>
            <w:shd w:val="clear" w:color="000000" w:fill="FFFFFF"/>
            <w:vAlign w:val="bottom"/>
            <w:hideMark/>
          </w:tcPr>
          <w:p w14:paraId="59E5B6D3" w14:textId="77777777" w:rsidR="0096767F" w:rsidRPr="008C063B" w:rsidRDefault="0096767F" w:rsidP="0096767F">
            <w:pPr>
              <w:spacing w:after="0" w:line="240" w:lineRule="auto"/>
              <w:jc w:val="center"/>
              <w:rPr>
                <w:rFonts w:eastAsia="Times New Roman" w:cs="Times New Roman"/>
                <w:color w:val="000000"/>
                <w:sz w:val="20"/>
                <w:lang w:eastAsia="sk-SK"/>
              </w:rPr>
            </w:pPr>
            <w:r w:rsidRPr="008C063B">
              <w:rPr>
                <w:rFonts w:eastAsia="Times New Roman" w:cs="Times New Roman"/>
                <w:color w:val="000000"/>
                <w:sz w:val="20"/>
                <w:lang w:eastAsia="sk-SK"/>
              </w:rPr>
              <w:t> </w:t>
            </w:r>
          </w:p>
        </w:tc>
        <w:tc>
          <w:tcPr>
            <w:tcW w:w="709" w:type="dxa"/>
            <w:tcBorders>
              <w:top w:val="nil"/>
              <w:left w:val="nil"/>
              <w:bottom w:val="nil"/>
              <w:right w:val="nil"/>
            </w:tcBorders>
            <w:shd w:val="clear" w:color="000000" w:fill="FFFFFF"/>
            <w:vAlign w:val="bottom"/>
            <w:hideMark/>
          </w:tcPr>
          <w:p w14:paraId="5CA39897" w14:textId="64623FB6" w:rsidR="0096767F" w:rsidRPr="008C063B" w:rsidRDefault="0096767F" w:rsidP="0096767F">
            <w:pPr>
              <w:spacing w:after="0" w:line="240" w:lineRule="auto"/>
              <w:jc w:val="center"/>
              <w:rPr>
                <w:rFonts w:eastAsia="Times New Roman" w:cs="Times New Roman"/>
                <w:sz w:val="20"/>
                <w:lang w:eastAsia="sk-SK"/>
              </w:rPr>
            </w:pPr>
            <w:r>
              <w:rPr>
                <w:color w:val="000000"/>
                <w:sz w:val="20"/>
              </w:rPr>
              <w:t>44,2</w:t>
            </w:r>
          </w:p>
        </w:tc>
        <w:tc>
          <w:tcPr>
            <w:tcW w:w="850" w:type="dxa"/>
            <w:tcBorders>
              <w:top w:val="nil"/>
              <w:left w:val="nil"/>
              <w:bottom w:val="nil"/>
              <w:right w:val="nil"/>
            </w:tcBorders>
            <w:shd w:val="clear" w:color="000000" w:fill="FFFFFF"/>
            <w:vAlign w:val="bottom"/>
            <w:hideMark/>
          </w:tcPr>
          <w:p w14:paraId="0B21ADD4" w14:textId="49137685" w:rsidR="0096767F" w:rsidRPr="008C063B" w:rsidRDefault="0096767F" w:rsidP="0096767F">
            <w:pPr>
              <w:spacing w:after="0" w:line="240" w:lineRule="auto"/>
              <w:jc w:val="center"/>
              <w:rPr>
                <w:rFonts w:eastAsia="Times New Roman" w:cs="Times New Roman"/>
                <w:color w:val="000000"/>
                <w:sz w:val="20"/>
                <w:lang w:eastAsia="sk-SK"/>
              </w:rPr>
            </w:pPr>
            <w:r>
              <w:rPr>
                <w:color w:val="000000"/>
                <w:sz w:val="20"/>
              </w:rPr>
              <w:t>48,8</w:t>
            </w:r>
          </w:p>
        </w:tc>
        <w:tc>
          <w:tcPr>
            <w:tcW w:w="709" w:type="dxa"/>
            <w:tcBorders>
              <w:top w:val="nil"/>
              <w:left w:val="nil"/>
              <w:bottom w:val="nil"/>
              <w:right w:val="nil"/>
            </w:tcBorders>
            <w:shd w:val="clear" w:color="000000" w:fill="FFFFFF"/>
            <w:vAlign w:val="bottom"/>
            <w:hideMark/>
          </w:tcPr>
          <w:p w14:paraId="261650BE" w14:textId="1B702573" w:rsidR="0096767F" w:rsidRPr="008C063B" w:rsidRDefault="0096767F" w:rsidP="0096767F">
            <w:pPr>
              <w:spacing w:after="0" w:line="240" w:lineRule="auto"/>
              <w:jc w:val="center"/>
              <w:rPr>
                <w:rFonts w:eastAsia="Times New Roman" w:cs="Times New Roman"/>
                <w:color w:val="000000"/>
                <w:sz w:val="20"/>
                <w:lang w:eastAsia="sk-SK"/>
              </w:rPr>
            </w:pPr>
            <w:r>
              <w:rPr>
                <w:color w:val="000000"/>
                <w:sz w:val="20"/>
              </w:rPr>
              <w:t>50,0</w:t>
            </w:r>
          </w:p>
        </w:tc>
        <w:tc>
          <w:tcPr>
            <w:tcW w:w="709" w:type="dxa"/>
            <w:tcBorders>
              <w:top w:val="nil"/>
              <w:left w:val="nil"/>
              <w:bottom w:val="nil"/>
              <w:right w:val="nil"/>
            </w:tcBorders>
            <w:shd w:val="clear" w:color="000000" w:fill="FFFFFF"/>
            <w:vAlign w:val="bottom"/>
            <w:hideMark/>
          </w:tcPr>
          <w:p w14:paraId="412461BD" w14:textId="5B6C6D8B" w:rsidR="0096767F" w:rsidRPr="008C063B" w:rsidRDefault="0096767F" w:rsidP="0096767F">
            <w:pPr>
              <w:spacing w:after="0" w:line="240" w:lineRule="auto"/>
              <w:jc w:val="center"/>
              <w:rPr>
                <w:rFonts w:eastAsia="Times New Roman" w:cs="Times New Roman"/>
                <w:color w:val="000000"/>
                <w:sz w:val="20"/>
                <w:lang w:eastAsia="sk-SK"/>
              </w:rPr>
            </w:pPr>
            <w:r>
              <w:rPr>
                <w:color w:val="000000"/>
                <w:sz w:val="20"/>
              </w:rPr>
              <w:t>58,0</w:t>
            </w:r>
          </w:p>
        </w:tc>
        <w:tc>
          <w:tcPr>
            <w:tcW w:w="708" w:type="dxa"/>
            <w:tcBorders>
              <w:top w:val="nil"/>
              <w:left w:val="nil"/>
              <w:bottom w:val="nil"/>
              <w:right w:val="nil"/>
            </w:tcBorders>
            <w:shd w:val="clear" w:color="000000" w:fill="FFFFFF"/>
            <w:vAlign w:val="bottom"/>
            <w:hideMark/>
          </w:tcPr>
          <w:p w14:paraId="2BC66BE6" w14:textId="69B34C21" w:rsidR="0096767F" w:rsidRPr="008C063B" w:rsidRDefault="0096767F" w:rsidP="0096767F">
            <w:pPr>
              <w:spacing w:after="0" w:line="240" w:lineRule="auto"/>
              <w:jc w:val="center"/>
              <w:rPr>
                <w:rFonts w:eastAsia="Times New Roman" w:cs="Times New Roman"/>
                <w:color w:val="000000"/>
                <w:sz w:val="20"/>
                <w:lang w:eastAsia="sk-SK"/>
              </w:rPr>
            </w:pPr>
            <w:r>
              <w:rPr>
                <w:color w:val="000000"/>
                <w:sz w:val="20"/>
              </w:rPr>
              <w:t>67,3</w:t>
            </w:r>
          </w:p>
        </w:tc>
      </w:tr>
      <w:tr w:rsidR="00CD29F2" w:rsidRPr="008C063B" w14:paraId="7EFE77BE" w14:textId="77777777" w:rsidTr="00EE7779">
        <w:trPr>
          <w:trHeight w:val="510"/>
        </w:trPr>
        <w:tc>
          <w:tcPr>
            <w:tcW w:w="4536" w:type="dxa"/>
            <w:tcBorders>
              <w:top w:val="nil"/>
              <w:left w:val="nil"/>
              <w:bottom w:val="nil"/>
              <w:right w:val="nil"/>
            </w:tcBorders>
            <w:shd w:val="clear" w:color="auto" w:fill="auto"/>
            <w:vAlign w:val="bottom"/>
            <w:hideMark/>
          </w:tcPr>
          <w:p w14:paraId="2FCE1EE0" w14:textId="6AACA620" w:rsidR="00CD29F2" w:rsidRPr="008C063B" w:rsidRDefault="00CD29F2" w:rsidP="00CD29F2">
            <w:pPr>
              <w:spacing w:after="0" w:line="240" w:lineRule="auto"/>
              <w:jc w:val="left"/>
              <w:rPr>
                <w:rFonts w:eastAsia="Times New Roman" w:cs="Times New Roman"/>
                <w:sz w:val="20"/>
                <w:lang w:eastAsia="sk-SK"/>
              </w:rPr>
            </w:pPr>
            <w:r w:rsidRPr="008C063B">
              <w:rPr>
                <w:rFonts w:eastAsia="Times New Roman" w:cs="Times New Roman"/>
                <w:sz w:val="20"/>
                <w:lang w:eastAsia="sk-SK"/>
              </w:rPr>
              <w:t>Príspevok na čiastočnú úhradu nákladov na výchovu a vzdelávani</w:t>
            </w:r>
            <w:r>
              <w:rPr>
                <w:rFonts w:eastAsia="Times New Roman" w:cs="Times New Roman"/>
                <w:sz w:val="20"/>
                <w:lang w:eastAsia="sk-SK"/>
              </w:rPr>
              <w:t>e detí materských škôl, ktoré sú v systéme PHN</w:t>
            </w:r>
          </w:p>
        </w:tc>
        <w:tc>
          <w:tcPr>
            <w:tcW w:w="851" w:type="dxa"/>
            <w:tcBorders>
              <w:top w:val="nil"/>
              <w:left w:val="nil"/>
              <w:bottom w:val="nil"/>
              <w:right w:val="nil"/>
            </w:tcBorders>
            <w:shd w:val="clear" w:color="000000" w:fill="FFFFFF"/>
            <w:vAlign w:val="bottom"/>
            <w:hideMark/>
          </w:tcPr>
          <w:p w14:paraId="118351AB" w14:textId="77777777" w:rsidR="00CD29F2" w:rsidRPr="008C063B" w:rsidRDefault="00CD29F2" w:rsidP="00CD29F2">
            <w:pPr>
              <w:spacing w:after="0" w:line="240" w:lineRule="auto"/>
              <w:jc w:val="center"/>
              <w:rPr>
                <w:rFonts w:eastAsia="Times New Roman" w:cs="Times New Roman"/>
                <w:color w:val="000000"/>
                <w:sz w:val="20"/>
                <w:lang w:eastAsia="sk-SK"/>
              </w:rPr>
            </w:pPr>
            <w:r w:rsidRPr="008C063B">
              <w:rPr>
                <w:rFonts w:eastAsia="Times New Roman" w:cs="Times New Roman"/>
                <w:color w:val="000000"/>
                <w:sz w:val="20"/>
                <w:lang w:eastAsia="sk-SK"/>
              </w:rPr>
              <w:t>MŠVVŠ</w:t>
            </w:r>
          </w:p>
        </w:tc>
        <w:tc>
          <w:tcPr>
            <w:tcW w:w="709" w:type="dxa"/>
            <w:tcBorders>
              <w:top w:val="nil"/>
              <w:left w:val="nil"/>
              <w:bottom w:val="nil"/>
              <w:right w:val="nil"/>
            </w:tcBorders>
            <w:shd w:val="clear" w:color="auto" w:fill="auto"/>
            <w:vAlign w:val="center"/>
            <w:hideMark/>
          </w:tcPr>
          <w:p w14:paraId="75E0BBE0" w14:textId="28C469FF" w:rsidR="00CD29F2" w:rsidRPr="008C063B" w:rsidRDefault="00CD29F2" w:rsidP="00CD29F2">
            <w:pPr>
              <w:spacing w:after="0" w:line="240" w:lineRule="auto"/>
              <w:jc w:val="center"/>
              <w:rPr>
                <w:rFonts w:eastAsia="Times New Roman" w:cs="Times New Roman"/>
                <w:color w:val="000000"/>
                <w:sz w:val="20"/>
                <w:lang w:eastAsia="sk-SK"/>
              </w:rPr>
            </w:pPr>
            <w:r>
              <w:rPr>
                <w:color w:val="000000"/>
                <w:sz w:val="20"/>
              </w:rPr>
              <w:t>0,3</w:t>
            </w:r>
          </w:p>
        </w:tc>
        <w:tc>
          <w:tcPr>
            <w:tcW w:w="850" w:type="dxa"/>
            <w:tcBorders>
              <w:top w:val="nil"/>
              <w:left w:val="nil"/>
              <w:bottom w:val="nil"/>
              <w:right w:val="nil"/>
            </w:tcBorders>
            <w:shd w:val="clear" w:color="000000" w:fill="FFFFFF"/>
            <w:vAlign w:val="center"/>
            <w:hideMark/>
          </w:tcPr>
          <w:p w14:paraId="49946767" w14:textId="6C097804" w:rsidR="00CD29F2" w:rsidRPr="008C063B" w:rsidRDefault="00CD29F2" w:rsidP="00CD29F2">
            <w:pPr>
              <w:spacing w:after="0" w:line="240" w:lineRule="auto"/>
              <w:jc w:val="center"/>
              <w:rPr>
                <w:rFonts w:eastAsia="Times New Roman" w:cs="Times New Roman"/>
                <w:color w:val="000000"/>
                <w:sz w:val="20"/>
                <w:lang w:eastAsia="sk-SK"/>
              </w:rPr>
            </w:pPr>
            <w:r>
              <w:rPr>
                <w:color w:val="000000"/>
                <w:sz w:val="20"/>
              </w:rPr>
              <w:t>0,3</w:t>
            </w:r>
          </w:p>
        </w:tc>
        <w:tc>
          <w:tcPr>
            <w:tcW w:w="709" w:type="dxa"/>
            <w:tcBorders>
              <w:top w:val="nil"/>
              <w:left w:val="nil"/>
              <w:bottom w:val="nil"/>
              <w:right w:val="nil"/>
            </w:tcBorders>
            <w:shd w:val="clear" w:color="000000" w:fill="FFFFFF"/>
            <w:vAlign w:val="center"/>
            <w:hideMark/>
          </w:tcPr>
          <w:p w14:paraId="5D4FAAF7" w14:textId="4A0DCBA5" w:rsidR="00CD29F2" w:rsidRPr="008C063B" w:rsidRDefault="00CD29F2" w:rsidP="00CD29F2">
            <w:pPr>
              <w:spacing w:after="0" w:line="240" w:lineRule="auto"/>
              <w:jc w:val="center"/>
              <w:rPr>
                <w:rFonts w:eastAsia="Times New Roman" w:cs="Times New Roman"/>
                <w:color w:val="000000"/>
                <w:sz w:val="20"/>
                <w:lang w:eastAsia="sk-SK"/>
              </w:rPr>
            </w:pPr>
            <w:r>
              <w:rPr>
                <w:color w:val="000000"/>
                <w:sz w:val="20"/>
              </w:rPr>
              <w:t>0,3</w:t>
            </w:r>
          </w:p>
        </w:tc>
        <w:tc>
          <w:tcPr>
            <w:tcW w:w="709" w:type="dxa"/>
            <w:tcBorders>
              <w:top w:val="nil"/>
              <w:left w:val="nil"/>
              <w:bottom w:val="nil"/>
              <w:right w:val="nil"/>
            </w:tcBorders>
            <w:shd w:val="clear" w:color="000000" w:fill="FFFFFF"/>
            <w:vAlign w:val="center"/>
            <w:hideMark/>
          </w:tcPr>
          <w:p w14:paraId="545EA9AF" w14:textId="575611CC" w:rsidR="00CD29F2" w:rsidRPr="008C063B" w:rsidRDefault="00CD29F2" w:rsidP="00CD29F2">
            <w:pPr>
              <w:spacing w:after="0" w:line="240" w:lineRule="auto"/>
              <w:jc w:val="center"/>
              <w:rPr>
                <w:rFonts w:eastAsia="Times New Roman" w:cs="Times New Roman"/>
                <w:color w:val="000000"/>
                <w:sz w:val="20"/>
                <w:lang w:eastAsia="sk-SK"/>
              </w:rPr>
            </w:pPr>
            <w:r>
              <w:rPr>
                <w:color w:val="000000"/>
                <w:sz w:val="20"/>
              </w:rPr>
              <w:t>0,3</w:t>
            </w:r>
          </w:p>
        </w:tc>
        <w:tc>
          <w:tcPr>
            <w:tcW w:w="708" w:type="dxa"/>
            <w:tcBorders>
              <w:top w:val="nil"/>
              <w:left w:val="nil"/>
              <w:bottom w:val="nil"/>
              <w:right w:val="nil"/>
            </w:tcBorders>
            <w:shd w:val="clear" w:color="000000" w:fill="FFFFFF"/>
            <w:vAlign w:val="center"/>
            <w:hideMark/>
          </w:tcPr>
          <w:p w14:paraId="4EA08440" w14:textId="39BCBFA5" w:rsidR="00CD29F2" w:rsidRPr="008C063B" w:rsidRDefault="00CD29F2" w:rsidP="00CD29F2">
            <w:pPr>
              <w:spacing w:after="0" w:line="240" w:lineRule="auto"/>
              <w:jc w:val="center"/>
              <w:rPr>
                <w:rFonts w:eastAsia="Times New Roman" w:cs="Times New Roman"/>
                <w:color w:val="000000"/>
                <w:sz w:val="20"/>
                <w:lang w:eastAsia="sk-SK"/>
              </w:rPr>
            </w:pPr>
            <w:r>
              <w:rPr>
                <w:color w:val="000000"/>
                <w:sz w:val="20"/>
              </w:rPr>
              <w:t>0,3</w:t>
            </w:r>
          </w:p>
        </w:tc>
      </w:tr>
      <w:tr w:rsidR="00CD29F2" w:rsidRPr="008C063B" w14:paraId="0646215C" w14:textId="77777777" w:rsidTr="008C063B">
        <w:trPr>
          <w:trHeight w:val="255"/>
        </w:trPr>
        <w:tc>
          <w:tcPr>
            <w:tcW w:w="4536" w:type="dxa"/>
            <w:tcBorders>
              <w:top w:val="nil"/>
              <w:left w:val="nil"/>
              <w:bottom w:val="nil"/>
              <w:right w:val="nil"/>
            </w:tcBorders>
            <w:shd w:val="clear" w:color="000000" w:fill="FFFFFF"/>
            <w:vAlign w:val="bottom"/>
            <w:hideMark/>
          </w:tcPr>
          <w:p w14:paraId="0344B4D4" w14:textId="595069CD" w:rsidR="00CD29F2" w:rsidRPr="008C063B" w:rsidRDefault="00CD29F2" w:rsidP="00CD29F2">
            <w:pPr>
              <w:spacing w:after="0" w:line="240" w:lineRule="auto"/>
              <w:jc w:val="left"/>
              <w:rPr>
                <w:rFonts w:eastAsia="Times New Roman" w:cs="Times New Roman"/>
                <w:color w:val="000000"/>
                <w:sz w:val="20"/>
                <w:lang w:eastAsia="sk-SK"/>
              </w:rPr>
            </w:pPr>
            <w:r w:rsidRPr="008C063B">
              <w:rPr>
                <w:rFonts w:eastAsia="Times New Roman" w:cs="Times New Roman"/>
                <w:color w:val="000000"/>
                <w:sz w:val="20"/>
                <w:lang w:eastAsia="sk-SK"/>
              </w:rPr>
              <w:t>Dotácia na stravu</w:t>
            </w:r>
          </w:p>
        </w:tc>
        <w:tc>
          <w:tcPr>
            <w:tcW w:w="851" w:type="dxa"/>
            <w:tcBorders>
              <w:top w:val="nil"/>
              <w:left w:val="nil"/>
              <w:bottom w:val="nil"/>
              <w:right w:val="nil"/>
            </w:tcBorders>
            <w:shd w:val="clear" w:color="000000" w:fill="FFFFFF"/>
            <w:vAlign w:val="bottom"/>
            <w:hideMark/>
          </w:tcPr>
          <w:p w14:paraId="7DD9E5C7" w14:textId="77777777" w:rsidR="00CD29F2" w:rsidRPr="008C063B" w:rsidRDefault="00CD29F2" w:rsidP="00CD29F2">
            <w:pPr>
              <w:spacing w:after="0" w:line="240" w:lineRule="auto"/>
              <w:jc w:val="center"/>
              <w:rPr>
                <w:rFonts w:eastAsia="Times New Roman" w:cs="Times New Roman"/>
                <w:color w:val="000000"/>
                <w:sz w:val="20"/>
                <w:lang w:eastAsia="sk-SK"/>
              </w:rPr>
            </w:pPr>
            <w:r w:rsidRPr="008C063B">
              <w:rPr>
                <w:rFonts w:eastAsia="Times New Roman" w:cs="Times New Roman"/>
                <w:color w:val="000000"/>
                <w:sz w:val="20"/>
                <w:lang w:eastAsia="sk-SK"/>
              </w:rPr>
              <w:t>MPSVR</w:t>
            </w:r>
          </w:p>
        </w:tc>
        <w:tc>
          <w:tcPr>
            <w:tcW w:w="709" w:type="dxa"/>
            <w:tcBorders>
              <w:top w:val="nil"/>
              <w:left w:val="nil"/>
              <w:bottom w:val="nil"/>
              <w:right w:val="nil"/>
            </w:tcBorders>
            <w:shd w:val="clear" w:color="000000" w:fill="FFFFFF"/>
            <w:vAlign w:val="bottom"/>
            <w:hideMark/>
          </w:tcPr>
          <w:p w14:paraId="2B510F6A" w14:textId="3B8D402E" w:rsidR="00CD29F2" w:rsidRPr="008C063B" w:rsidRDefault="00CD29F2" w:rsidP="00CD29F2">
            <w:pPr>
              <w:spacing w:after="0" w:line="240" w:lineRule="auto"/>
              <w:jc w:val="center"/>
              <w:rPr>
                <w:rFonts w:eastAsia="Times New Roman" w:cs="Times New Roman"/>
                <w:sz w:val="20"/>
                <w:lang w:eastAsia="sk-SK"/>
              </w:rPr>
            </w:pPr>
            <w:r>
              <w:rPr>
                <w:color w:val="000000"/>
                <w:sz w:val="20"/>
              </w:rPr>
              <w:t>0,7</w:t>
            </w:r>
          </w:p>
        </w:tc>
        <w:tc>
          <w:tcPr>
            <w:tcW w:w="850" w:type="dxa"/>
            <w:tcBorders>
              <w:top w:val="nil"/>
              <w:left w:val="nil"/>
              <w:bottom w:val="nil"/>
              <w:right w:val="nil"/>
            </w:tcBorders>
            <w:shd w:val="clear" w:color="000000" w:fill="FFFFFF"/>
            <w:vAlign w:val="bottom"/>
            <w:hideMark/>
          </w:tcPr>
          <w:p w14:paraId="5FC91352" w14:textId="2AEE0A48" w:rsidR="00CD29F2" w:rsidRPr="008C063B" w:rsidRDefault="00CD29F2" w:rsidP="00CD29F2">
            <w:pPr>
              <w:spacing w:after="0" w:line="240" w:lineRule="auto"/>
              <w:jc w:val="center"/>
              <w:rPr>
                <w:rFonts w:eastAsia="Times New Roman" w:cs="Times New Roman"/>
                <w:color w:val="000000"/>
                <w:sz w:val="20"/>
                <w:lang w:eastAsia="sk-SK"/>
              </w:rPr>
            </w:pPr>
            <w:r>
              <w:rPr>
                <w:color w:val="000000"/>
                <w:sz w:val="20"/>
              </w:rPr>
              <w:t>1,6</w:t>
            </w:r>
          </w:p>
        </w:tc>
        <w:tc>
          <w:tcPr>
            <w:tcW w:w="709" w:type="dxa"/>
            <w:tcBorders>
              <w:top w:val="nil"/>
              <w:left w:val="nil"/>
              <w:bottom w:val="nil"/>
              <w:right w:val="nil"/>
            </w:tcBorders>
            <w:shd w:val="clear" w:color="000000" w:fill="FFFFFF"/>
            <w:vAlign w:val="bottom"/>
            <w:hideMark/>
          </w:tcPr>
          <w:p w14:paraId="3FF72B5F" w14:textId="5C65C344" w:rsidR="00CD29F2" w:rsidRPr="008C063B" w:rsidRDefault="00CD29F2" w:rsidP="00CD29F2">
            <w:pPr>
              <w:spacing w:after="0" w:line="240" w:lineRule="auto"/>
              <w:jc w:val="center"/>
              <w:rPr>
                <w:rFonts w:eastAsia="Times New Roman" w:cs="Times New Roman"/>
                <w:color w:val="000000"/>
                <w:sz w:val="20"/>
                <w:lang w:eastAsia="sk-SK"/>
              </w:rPr>
            </w:pPr>
            <w:r>
              <w:rPr>
                <w:color w:val="000000"/>
                <w:sz w:val="20"/>
              </w:rPr>
              <w:t>1,7</w:t>
            </w:r>
          </w:p>
        </w:tc>
        <w:tc>
          <w:tcPr>
            <w:tcW w:w="709" w:type="dxa"/>
            <w:tcBorders>
              <w:top w:val="nil"/>
              <w:left w:val="nil"/>
              <w:bottom w:val="nil"/>
              <w:right w:val="nil"/>
            </w:tcBorders>
            <w:shd w:val="clear" w:color="000000" w:fill="FFFFFF"/>
            <w:vAlign w:val="bottom"/>
            <w:hideMark/>
          </w:tcPr>
          <w:p w14:paraId="0847BBA6" w14:textId="0957B1F9" w:rsidR="00CD29F2" w:rsidRPr="008C063B" w:rsidRDefault="00CD29F2" w:rsidP="00CD29F2">
            <w:pPr>
              <w:spacing w:after="0" w:line="240" w:lineRule="auto"/>
              <w:jc w:val="center"/>
              <w:rPr>
                <w:rFonts w:eastAsia="Times New Roman" w:cs="Times New Roman"/>
                <w:color w:val="000000"/>
                <w:sz w:val="20"/>
                <w:lang w:eastAsia="sk-SK"/>
              </w:rPr>
            </w:pPr>
            <w:r>
              <w:rPr>
                <w:color w:val="000000"/>
                <w:sz w:val="20"/>
              </w:rPr>
              <w:t>1,7</w:t>
            </w:r>
          </w:p>
        </w:tc>
        <w:tc>
          <w:tcPr>
            <w:tcW w:w="708" w:type="dxa"/>
            <w:tcBorders>
              <w:top w:val="nil"/>
              <w:left w:val="nil"/>
              <w:bottom w:val="nil"/>
              <w:right w:val="nil"/>
            </w:tcBorders>
            <w:shd w:val="clear" w:color="000000" w:fill="FFFFFF"/>
            <w:vAlign w:val="bottom"/>
            <w:hideMark/>
          </w:tcPr>
          <w:p w14:paraId="42F68481" w14:textId="099CE649" w:rsidR="00CD29F2" w:rsidRPr="008C063B" w:rsidRDefault="00CD29F2" w:rsidP="00CD29F2">
            <w:pPr>
              <w:spacing w:after="0" w:line="240" w:lineRule="auto"/>
              <w:jc w:val="center"/>
              <w:rPr>
                <w:rFonts w:eastAsia="Times New Roman" w:cs="Times New Roman"/>
                <w:color w:val="000000"/>
                <w:sz w:val="20"/>
                <w:lang w:eastAsia="sk-SK"/>
              </w:rPr>
            </w:pPr>
            <w:r>
              <w:rPr>
                <w:color w:val="000000"/>
                <w:sz w:val="20"/>
              </w:rPr>
              <w:t>1,7</w:t>
            </w:r>
          </w:p>
        </w:tc>
      </w:tr>
      <w:tr w:rsidR="00CD29F2" w:rsidRPr="008C063B" w14:paraId="337A4F45" w14:textId="77777777" w:rsidTr="008C063B">
        <w:trPr>
          <w:trHeight w:val="255"/>
        </w:trPr>
        <w:tc>
          <w:tcPr>
            <w:tcW w:w="4536" w:type="dxa"/>
            <w:tcBorders>
              <w:top w:val="nil"/>
              <w:left w:val="nil"/>
              <w:bottom w:val="nil"/>
              <w:right w:val="nil"/>
            </w:tcBorders>
            <w:shd w:val="clear" w:color="000000" w:fill="FFFFFF"/>
            <w:vAlign w:val="bottom"/>
            <w:hideMark/>
          </w:tcPr>
          <w:p w14:paraId="4B7A6764" w14:textId="77777777" w:rsidR="00CD29F2" w:rsidRPr="008C063B" w:rsidRDefault="00CD29F2" w:rsidP="00CD29F2">
            <w:pPr>
              <w:spacing w:after="0" w:line="240" w:lineRule="auto"/>
              <w:jc w:val="left"/>
              <w:rPr>
                <w:rFonts w:eastAsia="Times New Roman" w:cs="Times New Roman"/>
                <w:color w:val="000000"/>
                <w:sz w:val="20"/>
                <w:lang w:eastAsia="sk-SK"/>
              </w:rPr>
            </w:pPr>
            <w:r w:rsidRPr="008C063B">
              <w:rPr>
                <w:rFonts w:eastAsia="Times New Roman" w:cs="Times New Roman"/>
                <w:color w:val="000000"/>
                <w:sz w:val="20"/>
                <w:lang w:eastAsia="sk-SK"/>
              </w:rPr>
              <w:t>Dotácia na školské pomôcky</w:t>
            </w:r>
          </w:p>
        </w:tc>
        <w:tc>
          <w:tcPr>
            <w:tcW w:w="851" w:type="dxa"/>
            <w:tcBorders>
              <w:top w:val="nil"/>
              <w:left w:val="nil"/>
              <w:bottom w:val="nil"/>
              <w:right w:val="nil"/>
            </w:tcBorders>
            <w:shd w:val="clear" w:color="000000" w:fill="FFFFFF"/>
            <w:vAlign w:val="bottom"/>
            <w:hideMark/>
          </w:tcPr>
          <w:p w14:paraId="31DD3E2C" w14:textId="77777777" w:rsidR="00CD29F2" w:rsidRPr="008C063B" w:rsidRDefault="00CD29F2" w:rsidP="00CD29F2">
            <w:pPr>
              <w:spacing w:after="0" w:line="240" w:lineRule="auto"/>
              <w:jc w:val="center"/>
              <w:rPr>
                <w:rFonts w:eastAsia="Times New Roman" w:cs="Times New Roman"/>
                <w:color w:val="000000"/>
                <w:sz w:val="20"/>
                <w:lang w:eastAsia="sk-SK"/>
              </w:rPr>
            </w:pPr>
            <w:r w:rsidRPr="008C063B">
              <w:rPr>
                <w:rFonts w:eastAsia="Times New Roman" w:cs="Times New Roman"/>
                <w:color w:val="000000"/>
                <w:sz w:val="20"/>
                <w:lang w:eastAsia="sk-SK"/>
              </w:rPr>
              <w:t>MPSVR</w:t>
            </w:r>
          </w:p>
        </w:tc>
        <w:tc>
          <w:tcPr>
            <w:tcW w:w="709" w:type="dxa"/>
            <w:tcBorders>
              <w:top w:val="nil"/>
              <w:left w:val="nil"/>
              <w:bottom w:val="nil"/>
              <w:right w:val="nil"/>
            </w:tcBorders>
            <w:shd w:val="clear" w:color="000000" w:fill="FFFFFF"/>
            <w:vAlign w:val="bottom"/>
            <w:hideMark/>
          </w:tcPr>
          <w:p w14:paraId="0FA6E578" w14:textId="7369993E" w:rsidR="00CD29F2" w:rsidRPr="008C063B" w:rsidRDefault="00CD29F2" w:rsidP="00CD29F2">
            <w:pPr>
              <w:spacing w:after="0" w:line="240" w:lineRule="auto"/>
              <w:jc w:val="center"/>
              <w:rPr>
                <w:rFonts w:eastAsia="Times New Roman" w:cs="Times New Roman"/>
                <w:sz w:val="20"/>
                <w:lang w:eastAsia="sk-SK"/>
              </w:rPr>
            </w:pPr>
            <w:r>
              <w:rPr>
                <w:color w:val="000000"/>
                <w:sz w:val="20"/>
              </w:rPr>
              <w:t>0,1</w:t>
            </w:r>
          </w:p>
        </w:tc>
        <w:tc>
          <w:tcPr>
            <w:tcW w:w="850" w:type="dxa"/>
            <w:tcBorders>
              <w:top w:val="nil"/>
              <w:left w:val="nil"/>
              <w:bottom w:val="nil"/>
              <w:right w:val="nil"/>
            </w:tcBorders>
            <w:shd w:val="clear" w:color="000000" w:fill="FFFFFF"/>
            <w:vAlign w:val="bottom"/>
            <w:hideMark/>
          </w:tcPr>
          <w:p w14:paraId="10BDEB03" w14:textId="7A4169BA" w:rsidR="00CD29F2" w:rsidRPr="008C063B" w:rsidRDefault="00CD29F2" w:rsidP="00CD29F2">
            <w:pPr>
              <w:spacing w:after="0" w:line="240" w:lineRule="auto"/>
              <w:jc w:val="center"/>
              <w:rPr>
                <w:rFonts w:eastAsia="Times New Roman" w:cs="Times New Roman"/>
                <w:color w:val="000000"/>
                <w:sz w:val="20"/>
                <w:lang w:eastAsia="sk-SK"/>
              </w:rPr>
            </w:pPr>
            <w:r>
              <w:rPr>
                <w:color w:val="000000"/>
                <w:sz w:val="20"/>
              </w:rPr>
              <w:t>0,1</w:t>
            </w:r>
          </w:p>
        </w:tc>
        <w:tc>
          <w:tcPr>
            <w:tcW w:w="709" w:type="dxa"/>
            <w:tcBorders>
              <w:top w:val="nil"/>
              <w:left w:val="nil"/>
              <w:bottom w:val="nil"/>
              <w:right w:val="nil"/>
            </w:tcBorders>
            <w:shd w:val="clear" w:color="000000" w:fill="FFFFFF"/>
            <w:vAlign w:val="bottom"/>
            <w:hideMark/>
          </w:tcPr>
          <w:p w14:paraId="60ED9154" w14:textId="296E0CB6" w:rsidR="00CD29F2" w:rsidRPr="008C063B" w:rsidRDefault="00CD29F2" w:rsidP="00CD29F2">
            <w:pPr>
              <w:spacing w:after="0" w:line="240" w:lineRule="auto"/>
              <w:jc w:val="center"/>
              <w:rPr>
                <w:rFonts w:eastAsia="Times New Roman" w:cs="Times New Roman"/>
                <w:color w:val="000000"/>
                <w:sz w:val="20"/>
                <w:lang w:eastAsia="sk-SK"/>
              </w:rPr>
            </w:pPr>
            <w:r>
              <w:rPr>
                <w:color w:val="000000"/>
                <w:sz w:val="20"/>
              </w:rPr>
              <w:t>0,1</w:t>
            </w:r>
          </w:p>
        </w:tc>
        <w:tc>
          <w:tcPr>
            <w:tcW w:w="709" w:type="dxa"/>
            <w:tcBorders>
              <w:top w:val="nil"/>
              <w:left w:val="nil"/>
              <w:bottom w:val="nil"/>
              <w:right w:val="nil"/>
            </w:tcBorders>
            <w:shd w:val="clear" w:color="000000" w:fill="FFFFFF"/>
            <w:vAlign w:val="bottom"/>
            <w:hideMark/>
          </w:tcPr>
          <w:p w14:paraId="14ED290C" w14:textId="22D10F29" w:rsidR="00CD29F2" w:rsidRPr="008C063B" w:rsidRDefault="00CD29F2" w:rsidP="00CD29F2">
            <w:pPr>
              <w:spacing w:after="0" w:line="240" w:lineRule="auto"/>
              <w:jc w:val="center"/>
              <w:rPr>
                <w:rFonts w:eastAsia="Times New Roman" w:cs="Times New Roman"/>
                <w:color w:val="000000"/>
                <w:sz w:val="20"/>
                <w:lang w:eastAsia="sk-SK"/>
              </w:rPr>
            </w:pPr>
            <w:r>
              <w:rPr>
                <w:color w:val="000000"/>
                <w:sz w:val="20"/>
              </w:rPr>
              <w:t>0,1</w:t>
            </w:r>
          </w:p>
        </w:tc>
        <w:tc>
          <w:tcPr>
            <w:tcW w:w="708" w:type="dxa"/>
            <w:tcBorders>
              <w:top w:val="nil"/>
              <w:left w:val="nil"/>
              <w:bottom w:val="nil"/>
              <w:right w:val="nil"/>
            </w:tcBorders>
            <w:shd w:val="clear" w:color="000000" w:fill="FFFFFF"/>
            <w:vAlign w:val="bottom"/>
            <w:hideMark/>
          </w:tcPr>
          <w:p w14:paraId="694C698E" w14:textId="1CA88846" w:rsidR="00CD29F2" w:rsidRPr="008C063B" w:rsidRDefault="00CD29F2" w:rsidP="00CD29F2">
            <w:pPr>
              <w:spacing w:after="0" w:line="240" w:lineRule="auto"/>
              <w:jc w:val="center"/>
              <w:rPr>
                <w:rFonts w:eastAsia="Times New Roman" w:cs="Times New Roman"/>
                <w:color w:val="000000"/>
                <w:sz w:val="20"/>
                <w:lang w:eastAsia="sk-SK"/>
              </w:rPr>
            </w:pPr>
            <w:r>
              <w:rPr>
                <w:color w:val="000000"/>
                <w:sz w:val="20"/>
              </w:rPr>
              <w:t>0,1</w:t>
            </w:r>
          </w:p>
        </w:tc>
      </w:tr>
      <w:tr w:rsidR="0096767F" w:rsidRPr="008C063B" w14:paraId="1A0E23A5" w14:textId="77777777" w:rsidTr="00790716">
        <w:trPr>
          <w:trHeight w:val="525"/>
        </w:trPr>
        <w:tc>
          <w:tcPr>
            <w:tcW w:w="4536" w:type="dxa"/>
            <w:tcBorders>
              <w:top w:val="single" w:sz="4" w:space="0" w:color="auto"/>
              <w:left w:val="nil"/>
              <w:bottom w:val="single" w:sz="4" w:space="0" w:color="auto"/>
              <w:right w:val="nil"/>
            </w:tcBorders>
            <w:shd w:val="clear" w:color="000000" w:fill="FFFFFF"/>
            <w:vAlign w:val="bottom"/>
            <w:hideMark/>
          </w:tcPr>
          <w:p w14:paraId="0FB0903C" w14:textId="77777777" w:rsidR="0096767F" w:rsidRPr="008C063B" w:rsidRDefault="0096767F" w:rsidP="0096767F">
            <w:pPr>
              <w:spacing w:after="0" w:line="240" w:lineRule="auto"/>
              <w:jc w:val="left"/>
              <w:rPr>
                <w:rFonts w:eastAsia="Times New Roman" w:cs="Times New Roman"/>
                <w:b/>
                <w:bCs/>
                <w:color w:val="000000"/>
                <w:sz w:val="20"/>
                <w:lang w:eastAsia="sk-SK"/>
              </w:rPr>
            </w:pPr>
            <w:r w:rsidRPr="008C063B">
              <w:rPr>
                <w:rFonts w:eastAsia="Times New Roman" w:cs="Times New Roman"/>
                <w:b/>
                <w:bCs/>
                <w:color w:val="000000"/>
                <w:sz w:val="20"/>
                <w:lang w:eastAsia="sk-SK"/>
              </w:rPr>
              <w:t>Žiaci/študenti zo sociálne znevýhodneného prostredia (SZP) a chudobní žiaci/študenti</w:t>
            </w:r>
          </w:p>
        </w:tc>
        <w:tc>
          <w:tcPr>
            <w:tcW w:w="851" w:type="dxa"/>
            <w:tcBorders>
              <w:top w:val="single" w:sz="4" w:space="0" w:color="auto"/>
              <w:left w:val="nil"/>
              <w:bottom w:val="single" w:sz="4" w:space="0" w:color="auto"/>
              <w:right w:val="nil"/>
            </w:tcBorders>
            <w:shd w:val="clear" w:color="000000" w:fill="FFFFFF"/>
            <w:vAlign w:val="bottom"/>
          </w:tcPr>
          <w:p w14:paraId="763FC602" w14:textId="7102B397" w:rsidR="0096767F" w:rsidRPr="008C063B" w:rsidRDefault="0096767F" w:rsidP="0096767F">
            <w:pPr>
              <w:spacing w:after="0" w:line="240" w:lineRule="auto"/>
              <w:jc w:val="left"/>
              <w:rPr>
                <w:rFonts w:eastAsia="Times New Roman" w:cs="Times New Roman"/>
                <w:b/>
                <w:bCs/>
                <w:color w:val="000000"/>
                <w:sz w:val="20"/>
                <w:lang w:eastAsia="sk-SK"/>
              </w:rPr>
            </w:pPr>
          </w:p>
        </w:tc>
        <w:tc>
          <w:tcPr>
            <w:tcW w:w="709" w:type="dxa"/>
            <w:tcBorders>
              <w:top w:val="single" w:sz="4" w:space="0" w:color="auto"/>
              <w:left w:val="nil"/>
              <w:bottom w:val="single" w:sz="4" w:space="0" w:color="auto"/>
              <w:right w:val="nil"/>
            </w:tcBorders>
            <w:shd w:val="clear" w:color="000000" w:fill="FFFFFF"/>
            <w:vAlign w:val="bottom"/>
            <w:hideMark/>
          </w:tcPr>
          <w:p w14:paraId="079C208F" w14:textId="77777777" w:rsidR="0096767F" w:rsidRPr="008C063B" w:rsidRDefault="0096767F" w:rsidP="0096767F">
            <w:pPr>
              <w:spacing w:after="0" w:line="240" w:lineRule="auto"/>
              <w:jc w:val="center"/>
              <w:rPr>
                <w:rFonts w:eastAsia="Times New Roman" w:cs="Times New Roman"/>
                <w:b/>
                <w:bCs/>
                <w:color w:val="000000"/>
                <w:sz w:val="20"/>
                <w:lang w:eastAsia="sk-SK"/>
              </w:rPr>
            </w:pPr>
            <w:r w:rsidRPr="008C063B">
              <w:rPr>
                <w:rFonts w:eastAsia="Times New Roman" w:cs="Times New Roman"/>
                <w:b/>
                <w:bCs/>
                <w:color w:val="000000"/>
                <w:sz w:val="20"/>
                <w:lang w:eastAsia="sk-SK"/>
              </w:rPr>
              <w:t>21,5</w:t>
            </w:r>
          </w:p>
        </w:tc>
        <w:tc>
          <w:tcPr>
            <w:tcW w:w="850" w:type="dxa"/>
            <w:tcBorders>
              <w:top w:val="single" w:sz="4" w:space="0" w:color="auto"/>
              <w:left w:val="nil"/>
              <w:bottom w:val="single" w:sz="4" w:space="0" w:color="auto"/>
              <w:right w:val="nil"/>
            </w:tcBorders>
            <w:shd w:val="clear" w:color="000000" w:fill="FFFFFF"/>
            <w:vAlign w:val="bottom"/>
            <w:hideMark/>
          </w:tcPr>
          <w:p w14:paraId="0B99BBBC" w14:textId="1E7C77A4" w:rsidR="0096767F" w:rsidRPr="008C063B" w:rsidRDefault="0096767F" w:rsidP="0096767F">
            <w:pPr>
              <w:spacing w:after="0" w:line="240" w:lineRule="auto"/>
              <w:jc w:val="center"/>
              <w:rPr>
                <w:rFonts w:eastAsia="Times New Roman" w:cs="Times New Roman"/>
                <w:b/>
                <w:bCs/>
                <w:color w:val="000000"/>
                <w:sz w:val="20"/>
                <w:lang w:eastAsia="sk-SK"/>
              </w:rPr>
            </w:pPr>
            <w:r>
              <w:rPr>
                <w:b/>
                <w:bCs/>
                <w:color w:val="000000"/>
                <w:sz w:val="20"/>
              </w:rPr>
              <w:t>27,9</w:t>
            </w:r>
          </w:p>
        </w:tc>
        <w:tc>
          <w:tcPr>
            <w:tcW w:w="709" w:type="dxa"/>
            <w:tcBorders>
              <w:top w:val="single" w:sz="4" w:space="0" w:color="auto"/>
              <w:left w:val="nil"/>
              <w:bottom w:val="single" w:sz="4" w:space="0" w:color="auto"/>
              <w:right w:val="nil"/>
            </w:tcBorders>
            <w:shd w:val="clear" w:color="000000" w:fill="FFFFFF"/>
            <w:vAlign w:val="bottom"/>
            <w:hideMark/>
          </w:tcPr>
          <w:p w14:paraId="23C3CE1A" w14:textId="28068667" w:rsidR="0096767F" w:rsidRPr="008C063B" w:rsidRDefault="0096767F" w:rsidP="0096767F">
            <w:pPr>
              <w:spacing w:after="0" w:line="240" w:lineRule="auto"/>
              <w:jc w:val="center"/>
              <w:rPr>
                <w:rFonts w:eastAsia="Times New Roman" w:cs="Times New Roman"/>
                <w:b/>
                <w:bCs/>
                <w:color w:val="000000"/>
                <w:sz w:val="20"/>
                <w:lang w:eastAsia="sk-SK"/>
              </w:rPr>
            </w:pPr>
            <w:r>
              <w:rPr>
                <w:b/>
                <w:bCs/>
                <w:color w:val="000000"/>
                <w:sz w:val="20"/>
              </w:rPr>
              <w:t>32,1</w:t>
            </w:r>
          </w:p>
        </w:tc>
        <w:tc>
          <w:tcPr>
            <w:tcW w:w="709" w:type="dxa"/>
            <w:tcBorders>
              <w:top w:val="single" w:sz="4" w:space="0" w:color="auto"/>
              <w:left w:val="nil"/>
              <w:bottom w:val="single" w:sz="4" w:space="0" w:color="auto"/>
              <w:right w:val="nil"/>
            </w:tcBorders>
            <w:shd w:val="clear" w:color="000000" w:fill="FFFFFF"/>
            <w:vAlign w:val="bottom"/>
            <w:hideMark/>
          </w:tcPr>
          <w:p w14:paraId="29C674C4" w14:textId="1D5EDD42" w:rsidR="0096767F" w:rsidRPr="008C063B" w:rsidRDefault="0096767F" w:rsidP="0096767F">
            <w:pPr>
              <w:spacing w:after="0" w:line="240" w:lineRule="auto"/>
              <w:jc w:val="center"/>
              <w:rPr>
                <w:rFonts w:eastAsia="Times New Roman" w:cs="Times New Roman"/>
                <w:b/>
                <w:bCs/>
                <w:color w:val="000000"/>
                <w:sz w:val="20"/>
                <w:lang w:eastAsia="sk-SK"/>
              </w:rPr>
            </w:pPr>
            <w:r>
              <w:rPr>
                <w:b/>
                <w:bCs/>
                <w:color w:val="000000"/>
                <w:sz w:val="20"/>
              </w:rPr>
              <w:t>32,4</w:t>
            </w:r>
          </w:p>
        </w:tc>
        <w:tc>
          <w:tcPr>
            <w:tcW w:w="708" w:type="dxa"/>
            <w:tcBorders>
              <w:top w:val="single" w:sz="4" w:space="0" w:color="auto"/>
              <w:left w:val="nil"/>
              <w:bottom w:val="single" w:sz="4" w:space="0" w:color="auto"/>
              <w:right w:val="nil"/>
            </w:tcBorders>
            <w:shd w:val="clear" w:color="000000" w:fill="FFFFFF"/>
            <w:vAlign w:val="bottom"/>
            <w:hideMark/>
          </w:tcPr>
          <w:p w14:paraId="3D7A5B52" w14:textId="5B5AFD86" w:rsidR="0096767F" w:rsidRPr="008C063B" w:rsidRDefault="0096767F" w:rsidP="0096767F">
            <w:pPr>
              <w:spacing w:after="0" w:line="240" w:lineRule="auto"/>
              <w:jc w:val="center"/>
              <w:rPr>
                <w:rFonts w:eastAsia="Times New Roman" w:cs="Times New Roman"/>
                <w:b/>
                <w:bCs/>
                <w:color w:val="000000"/>
                <w:sz w:val="20"/>
                <w:lang w:eastAsia="sk-SK"/>
              </w:rPr>
            </w:pPr>
            <w:r>
              <w:rPr>
                <w:b/>
                <w:bCs/>
                <w:color w:val="000000"/>
                <w:sz w:val="20"/>
              </w:rPr>
              <w:t>30,4</w:t>
            </w:r>
          </w:p>
        </w:tc>
      </w:tr>
      <w:tr w:rsidR="0096767F" w:rsidRPr="008C063B" w14:paraId="5C15EC1C" w14:textId="77777777" w:rsidTr="008C063B">
        <w:trPr>
          <w:trHeight w:val="255"/>
        </w:trPr>
        <w:tc>
          <w:tcPr>
            <w:tcW w:w="4536" w:type="dxa"/>
            <w:tcBorders>
              <w:top w:val="nil"/>
              <w:left w:val="nil"/>
              <w:bottom w:val="nil"/>
              <w:right w:val="nil"/>
            </w:tcBorders>
            <w:shd w:val="clear" w:color="000000" w:fill="FFFFFF"/>
            <w:vAlign w:val="bottom"/>
            <w:hideMark/>
          </w:tcPr>
          <w:p w14:paraId="2B7A3607" w14:textId="77777777" w:rsidR="0096767F" w:rsidRPr="008C063B" w:rsidRDefault="0096767F" w:rsidP="0096767F">
            <w:pPr>
              <w:spacing w:after="0" w:line="240" w:lineRule="auto"/>
              <w:jc w:val="left"/>
              <w:rPr>
                <w:rFonts w:eastAsia="Times New Roman" w:cs="Times New Roman"/>
                <w:color w:val="000000"/>
                <w:sz w:val="20"/>
                <w:lang w:eastAsia="sk-SK"/>
              </w:rPr>
            </w:pPr>
            <w:r w:rsidRPr="008C063B">
              <w:rPr>
                <w:rFonts w:eastAsia="Times New Roman" w:cs="Times New Roman"/>
                <w:color w:val="000000"/>
                <w:sz w:val="20"/>
                <w:lang w:eastAsia="sk-SK"/>
              </w:rPr>
              <w:t>Navýšené normatívy na 0. ročník</w:t>
            </w:r>
          </w:p>
        </w:tc>
        <w:tc>
          <w:tcPr>
            <w:tcW w:w="851" w:type="dxa"/>
            <w:tcBorders>
              <w:top w:val="nil"/>
              <w:left w:val="nil"/>
              <w:bottom w:val="nil"/>
              <w:right w:val="nil"/>
            </w:tcBorders>
            <w:shd w:val="clear" w:color="000000" w:fill="FFFFFF"/>
            <w:vAlign w:val="bottom"/>
            <w:hideMark/>
          </w:tcPr>
          <w:p w14:paraId="0A777028" w14:textId="77777777" w:rsidR="0096767F" w:rsidRPr="008C063B" w:rsidRDefault="0096767F" w:rsidP="0096767F">
            <w:pPr>
              <w:spacing w:after="0" w:line="240" w:lineRule="auto"/>
              <w:jc w:val="center"/>
              <w:rPr>
                <w:rFonts w:eastAsia="Times New Roman" w:cs="Times New Roman"/>
                <w:color w:val="000000"/>
                <w:sz w:val="20"/>
                <w:lang w:eastAsia="sk-SK"/>
              </w:rPr>
            </w:pPr>
            <w:r w:rsidRPr="008C063B">
              <w:rPr>
                <w:rFonts w:eastAsia="Times New Roman" w:cs="Times New Roman"/>
                <w:color w:val="000000"/>
                <w:sz w:val="20"/>
                <w:lang w:eastAsia="sk-SK"/>
              </w:rPr>
              <w:t>MŠVVŠ</w:t>
            </w:r>
          </w:p>
        </w:tc>
        <w:tc>
          <w:tcPr>
            <w:tcW w:w="709" w:type="dxa"/>
            <w:tcBorders>
              <w:top w:val="nil"/>
              <w:left w:val="nil"/>
              <w:bottom w:val="nil"/>
              <w:right w:val="nil"/>
            </w:tcBorders>
            <w:shd w:val="clear" w:color="000000" w:fill="FFFFFF"/>
            <w:vAlign w:val="bottom"/>
            <w:hideMark/>
          </w:tcPr>
          <w:p w14:paraId="23165832" w14:textId="77777777" w:rsidR="0096767F" w:rsidRPr="008C063B" w:rsidRDefault="0096767F" w:rsidP="0096767F">
            <w:pPr>
              <w:spacing w:after="0" w:line="240" w:lineRule="auto"/>
              <w:jc w:val="center"/>
              <w:rPr>
                <w:rFonts w:eastAsia="Times New Roman" w:cs="Times New Roman"/>
                <w:color w:val="000000"/>
                <w:sz w:val="20"/>
                <w:lang w:eastAsia="sk-SK"/>
              </w:rPr>
            </w:pPr>
            <w:r w:rsidRPr="008C063B">
              <w:rPr>
                <w:rFonts w:eastAsia="Times New Roman" w:cs="Times New Roman"/>
                <w:color w:val="000000"/>
                <w:sz w:val="20"/>
                <w:lang w:eastAsia="sk-SK"/>
              </w:rPr>
              <w:t>5,0</w:t>
            </w:r>
          </w:p>
        </w:tc>
        <w:tc>
          <w:tcPr>
            <w:tcW w:w="850" w:type="dxa"/>
            <w:tcBorders>
              <w:top w:val="nil"/>
              <w:left w:val="nil"/>
              <w:bottom w:val="nil"/>
              <w:right w:val="nil"/>
            </w:tcBorders>
            <w:shd w:val="clear" w:color="000000" w:fill="FFFFFF"/>
            <w:vAlign w:val="bottom"/>
            <w:hideMark/>
          </w:tcPr>
          <w:p w14:paraId="2B422957" w14:textId="309263F3" w:rsidR="0096767F" w:rsidRPr="008C063B" w:rsidRDefault="0096767F" w:rsidP="0096767F">
            <w:pPr>
              <w:spacing w:after="0" w:line="240" w:lineRule="auto"/>
              <w:jc w:val="center"/>
              <w:rPr>
                <w:rFonts w:eastAsia="Times New Roman" w:cs="Times New Roman"/>
                <w:color w:val="000000"/>
                <w:sz w:val="20"/>
                <w:lang w:eastAsia="sk-SK"/>
              </w:rPr>
            </w:pPr>
            <w:r>
              <w:rPr>
                <w:color w:val="000000"/>
                <w:sz w:val="20"/>
              </w:rPr>
              <w:t>5,5</w:t>
            </w:r>
          </w:p>
        </w:tc>
        <w:tc>
          <w:tcPr>
            <w:tcW w:w="709" w:type="dxa"/>
            <w:tcBorders>
              <w:top w:val="nil"/>
              <w:left w:val="nil"/>
              <w:bottom w:val="nil"/>
              <w:right w:val="nil"/>
            </w:tcBorders>
            <w:shd w:val="clear" w:color="000000" w:fill="FFFFFF"/>
            <w:vAlign w:val="bottom"/>
            <w:hideMark/>
          </w:tcPr>
          <w:p w14:paraId="2438CAC5" w14:textId="4CBCE1A2" w:rsidR="0096767F" w:rsidRPr="008C063B" w:rsidRDefault="0096767F" w:rsidP="0096767F">
            <w:pPr>
              <w:spacing w:after="0" w:line="240" w:lineRule="auto"/>
              <w:jc w:val="center"/>
              <w:rPr>
                <w:rFonts w:eastAsia="Times New Roman" w:cs="Times New Roman"/>
                <w:color w:val="000000"/>
                <w:sz w:val="20"/>
                <w:lang w:eastAsia="sk-SK"/>
              </w:rPr>
            </w:pPr>
            <w:r>
              <w:rPr>
                <w:color w:val="000000"/>
                <w:sz w:val="20"/>
              </w:rPr>
              <w:t>6,0</w:t>
            </w:r>
          </w:p>
        </w:tc>
        <w:tc>
          <w:tcPr>
            <w:tcW w:w="709" w:type="dxa"/>
            <w:tcBorders>
              <w:top w:val="nil"/>
              <w:left w:val="nil"/>
              <w:bottom w:val="nil"/>
              <w:right w:val="nil"/>
            </w:tcBorders>
            <w:shd w:val="clear" w:color="000000" w:fill="FFFFFF"/>
            <w:vAlign w:val="bottom"/>
            <w:hideMark/>
          </w:tcPr>
          <w:p w14:paraId="31C7AB14" w14:textId="0528E988" w:rsidR="0096767F" w:rsidRPr="008C063B" w:rsidRDefault="0096767F" w:rsidP="0096767F">
            <w:pPr>
              <w:spacing w:after="0" w:line="240" w:lineRule="auto"/>
              <w:jc w:val="center"/>
              <w:rPr>
                <w:rFonts w:eastAsia="Times New Roman" w:cs="Times New Roman"/>
                <w:color w:val="000000"/>
                <w:sz w:val="20"/>
                <w:lang w:eastAsia="sk-SK"/>
              </w:rPr>
            </w:pPr>
            <w:r>
              <w:rPr>
                <w:color w:val="000000"/>
                <w:sz w:val="20"/>
              </w:rPr>
              <w:t>6,3</w:t>
            </w:r>
          </w:p>
        </w:tc>
        <w:tc>
          <w:tcPr>
            <w:tcW w:w="708" w:type="dxa"/>
            <w:tcBorders>
              <w:top w:val="nil"/>
              <w:left w:val="nil"/>
              <w:bottom w:val="nil"/>
              <w:right w:val="nil"/>
            </w:tcBorders>
            <w:shd w:val="clear" w:color="000000" w:fill="FFFFFF"/>
            <w:vAlign w:val="bottom"/>
            <w:hideMark/>
          </w:tcPr>
          <w:p w14:paraId="53FAEAFE" w14:textId="0D93CC8B" w:rsidR="0096767F" w:rsidRPr="008C063B" w:rsidRDefault="0096767F" w:rsidP="0096767F">
            <w:pPr>
              <w:spacing w:after="0" w:line="240" w:lineRule="auto"/>
              <w:jc w:val="center"/>
              <w:rPr>
                <w:rFonts w:eastAsia="Times New Roman" w:cs="Times New Roman"/>
                <w:color w:val="000000"/>
                <w:sz w:val="20"/>
                <w:lang w:eastAsia="sk-SK"/>
              </w:rPr>
            </w:pPr>
            <w:r>
              <w:rPr>
                <w:color w:val="000000"/>
                <w:sz w:val="20"/>
              </w:rPr>
              <w:t>4,3</w:t>
            </w:r>
          </w:p>
        </w:tc>
      </w:tr>
      <w:tr w:rsidR="0096767F" w:rsidRPr="008C063B" w14:paraId="7021BAA9" w14:textId="77777777" w:rsidTr="00790716">
        <w:trPr>
          <w:trHeight w:val="255"/>
        </w:trPr>
        <w:tc>
          <w:tcPr>
            <w:tcW w:w="4536" w:type="dxa"/>
            <w:tcBorders>
              <w:top w:val="nil"/>
              <w:left w:val="nil"/>
              <w:bottom w:val="nil"/>
              <w:right w:val="nil"/>
            </w:tcBorders>
            <w:shd w:val="clear" w:color="000000" w:fill="FFFFFF"/>
            <w:vAlign w:val="bottom"/>
            <w:hideMark/>
          </w:tcPr>
          <w:p w14:paraId="500FE635" w14:textId="6198370C" w:rsidR="0096767F" w:rsidRPr="008C063B" w:rsidRDefault="0096767F" w:rsidP="0096767F">
            <w:pPr>
              <w:spacing w:after="0" w:line="240" w:lineRule="auto"/>
              <w:jc w:val="left"/>
              <w:rPr>
                <w:rFonts w:eastAsia="Times New Roman" w:cs="Times New Roman"/>
                <w:color w:val="000000"/>
                <w:sz w:val="20"/>
                <w:lang w:eastAsia="sk-SK"/>
              </w:rPr>
            </w:pPr>
            <w:r>
              <w:rPr>
                <w:rFonts w:eastAsia="Times New Roman" w:cs="Times New Roman"/>
                <w:color w:val="000000"/>
                <w:sz w:val="20"/>
                <w:lang w:eastAsia="sk-SK"/>
              </w:rPr>
              <w:t>SZP príspevok</w:t>
            </w:r>
          </w:p>
        </w:tc>
        <w:tc>
          <w:tcPr>
            <w:tcW w:w="851" w:type="dxa"/>
            <w:tcBorders>
              <w:top w:val="nil"/>
              <w:left w:val="nil"/>
              <w:bottom w:val="nil"/>
              <w:right w:val="nil"/>
            </w:tcBorders>
            <w:shd w:val="clear" w:color="000000" w:fill="FFFFFF"/>
            <w:vAlign w:val="bottom"/>
            <w:hideMark/>
          </w:tcPr>
          <w:p w14:paraId="0CFF58A6" w14:textId="77777777" w:rsidR="0096767F" w:rsidRPr="008C063B" w:rsidRDefault="0096767F" w:rsidP="0096767F">
            <w:pPr>
              <w:spacing w:after="0" w:line="240" w:lineRule="auto"/>
              <w:jc w:val="center"/>
              <w:rPr>
                <w:rFonts w:eastAsia="Times New Roman" w:cs="Times New Roman"/>
                <w:color w:val="000000"/>
                <w:sz w:val="20"/>
                <w:lang w:eastAsia="sk-SK"/>
              </w:rPr>
            </w:pPr>
            <w:r w:rsidRPr="008C063B">
              <w:rPr>
                <w:rFonts w:eastAsia="Times New Roman" w:cs="Times New Roman"/>
                <w:color w:val="000000"/>
                <w:sz w:val="20"/>
                <w:lang w:eastAsia="sk-SK"/>
              </w:rPr>
              <w:t>MŠVVŠ</w:t>
            </w:r>
          </w:p>
        </w:tc>
        <w:tc>
          <w:tcPr>
            <w:tcW w:w="709" w:type="dxa"/>
            <w:tcBorders>
              <w:top w:val="nil"/>
              <w:left w:val="nil"/>
              <w:bottom w:val="nil"/>
              <w:right w:val="nil"/>
            </w:tcBorders>
            <w:shd w:val="clear" w:color="000000" w:fill="FFFFFF"/>
            <w:vAlign w:val="bottom"/>
            <w:hideMark/>
          </w:tcPr>
          <w:p w14:paraId="3AF8802B" w14:textId="77777777" w:rsidR="0096767F" w:rsidRPr="008C063B" w:rsidRDefault="0096767F" w:rsidP="0096767F">
            <w:pPr>
              <w:spacing w:after="0" w:line="240" w:lineRule="auto"/>
              <w:jc w:val="center"/>
              <w:rPr>
                <w:rFonts w:eastAsia="Times New Roman" w:cs="Times New Roman"/>
                <w:color w:val="000000"/>
                <w:sz w:val="20"/>
                <w:lang w:eastAsia="sk-SK"/>
              </w:rPr>
            </w:pPr>
            <w:r w:rsidRPr="008C063B">
              <w:rPr>
                <w:rFonts w:eastAsia="Times New Roman" w:cs="Times New Roman"/>
                <w:color w:val="000000"/>
                <w:sz w:val="20"/>
                <w:lang w:eastAsia="sk-SK"/>
              </w:rPr>
              <w:t>6,2</w:t>
            </w:r>
          </w:p>
        </w:tc>
        <w:tc>
          <w:tcPr>
            <w:tcW w:w="850" w:type="dxa"/>
            <w:tcBorders>
              <w:top w:val="nil"/>
              <w:left w:val="nil"/>
              <w:bottom w:val="nil"/>
              <w:right w:val="nil"/>
            </w:tcBorders>
            <w:shd w:val="clear" w:color="000000" w:fill="FFFFFF"/>
            <w:vAlign w:val="bottom"/>
            <w:hideMark/>
          </w:tcPr>
          <w:p w14:paraId="6A59BD5F" w14:textId="7A1AA491" w:rsidR="0096767F" w:rsidRPr="008C063B" w:rsidRDefault="0096767F" w:rsidP="0096767F">
            <w:pPr>
              <w:spacing w:after="0" w:line="240" w:lineRule="auto"/>
              <w:jc w:val="center"/>
              <w:rPr>
                <w:rFonts w:eastAsia="Times New Roman" w:cs="Times New Roman"/>
                <w:color w:val="000000"/>
                <w:sz w:val="20"/>
                <w:lang w:eastAsia="sk-SK"/>
              </w:rPr>
            </w:pPr>
            <w:r>
              <w:rPr>
                <w:color w:val="000000"/>
                <w:sz w:val="20"/>
              </w:rPr>
              <w:t>6,2</w:t>
            </w:r>
          </w:p>
        </w:tc>
        <w:tc>
          <w:tcPr>
            <w:tcW w:w="709" w:type="dxa"/>
            <w:tcBorders>
              <w:top w:val="nil"/>
              <w:left w:val="nil"/>
              <w:bottom w:val="nil"/>
              <w:right w:val="nil"/>
            </w:tcBorders>
            <w:shd w:val="clear" w:color="000000" w:fill="FFFFFF"/>
            <w:vAlign w:val="bottom"/>
            <w:hideMark/>
          </w:tcPr>
          <w:p w14:paraId="0FC2D7DB" w14:textId="6B285818" w:rsidR="0096767F" w:rsidRPr="008C063B" w:rsidRDefault="0096767F" w:rsidP="0096767F">
            <w:pPr>
              <w:spacing w:after="0" w:line="240" w:lineRule="auto"/>
              <w:jc w:val="center"/>
              <w:rPr>
                <w:rFonts w:eastAsia="Times New Roman" w:cs="Times New Roman"/>
                <w:color w:val="000000"/>
                <w:sz w:val="20"/>
                <w:lang w:eastAsia="sk-SK"/>
              </w:rPr>
            </w:pPr>
            <w:r>
              <w:rPr>
                <w:color w:val="000000"/>
                <w:sz w:val="20"/>
              </w:rPr>
              <w:t>6,2</w:t>
            </w:r>
          </w:p>
        </w:tc>
        <w:tc>
          <w:tcPr>
            <w:tcW w:w="709" w:type="dxa"/>
            <w:tcBorders>
              <w:top w:val="nil"/>
              <w:left w:val="nil"/>
              <w:bottom w:val="nil"/>
              <w:right w:val="nil"/>
            </w:tcBorders>
            <w:shd w:val="clear" w:color="000000" w:fill="FFFFFF"/>
            <w:vAlign w:val="bottom"/>
            <w:hideMark/>
          </w:tcPr>
          <w:p w14:paraId="40DFA714" w14:textId="05C86FA8" w:rsidR="0096767F" w:rsidRPr="008C063B" w:rsidRDefault="0096767F" w:rsidP="0096767F">
            <w:pPr>
              <w:spacing w:after="0" w:line="240" w:lineRule="auto"/>
              <w:jc w:val="center"/>
              <w:rPr>
                <w:rFonts w:eastAsia="Times New Roman" w:cs="Times New Roman"/>
                <w:color w:val="000000"/>
                <w:sz w:val="20"/>
                <w:lang w:eastAsia="sk-SK"/>
              </w:rPr>
            </w:pPr>
            <w:r>
              <w:rPr>
                <w:color w:val="000000"/>
                <w:sz w:val="20"/>
              </w:rPr>
              <w:t>6,2</w:t>
            </w:r>
          </w:p>
        </w:tc>
        <w:tc>
          <w:tcPr>
            <w:tcW w:w="708" w:type="dxa"/>
            <w:tcBorders>
              <w:top w:val="nil"/>
              <w:left w:val="nil"/>
              <w:bottom w:val="nil"/>
              <w:right w:val="nil"/>
            </w:tcBorders>
            <w:shd w:val="clear" w:color="000000" w:fill="FFFFFF"/>
            <w:vAlign w:val="bottom"/>
            <w:hideMark/>
          </w:tcPr>
          <w:p w14:paraId="5F197EC8" w14:textId="757038E6" w:rsidR="0096767F" w:rsidRPr="008C063B" w:rsidRDefault="0096767F" w:rsidP="0096767F">
            <w:pPr>
              <w:spacing w:after="0" w:line="240" w:lineRule="auto"/>
              <w:jc w:val="center"/>
              <w:rPr>
                <w:rFonts w:eastAsia="Times New Roman" w:cs="Times New Roman"/>
                <w:color w:val="000000"/>
                <w:sz w:val="20"/>
                <w:lang w:eastAsia="sk-SK"/>
              </w:rPr>
            </w:pPr>
            <w:r>
              <w:rPr>
                <w:color w:val="000000"/>
                <w:sz w:val="20"/>
              </w:rPr>
              <w:t>6,2</w:t>
            </w:r>
          </w:p>
        </w:tc>
      </w:tr>
      <w:tr w:rsidR="0096767F" w:rsidRPr="008C063B" w14:paraId="18CCD7EA" w14:textId="77777777" w:rsidTr="008C063B">
        <w:trPr>
          <w:trHeight w:val="255"/>
        </w:trPr>
        <w:tc>
          <w:tcPr>
            <w:tcW w:w="4536" w:type="dxa"/>
            <w:tcBorders>
              <w:top w:val="nil"/>
              <w:left w:val="nil"/>
              <w:bottom w:val="nil"/>
              <w:right w:val="nil"/>
            </w:tcBorders>
            <w:shd w:val="clear" w:color="000000" w:fill="FFFFFF"/>
            <w:vAlign w:val="bottom"/>
            <w:hideMark/>
          </w:tcPr>
          <w:p w14:paraId="0A69C553" w14:textId="3CA2434F" w:rsidR="0096767F" w:rsidRPr="008C063B" w:rsidRDefault="0096767F" w:rsidP="00134992">
            <w:pPr>
              <w:spacing w:after="0" w:line="240" w:lineRule="auto"/>
              <w:jc w:val="left"/>
              <w:rPr>
                <w:rFonts w:eastAsia="Times New Roman" w:cs="Times New Roman"/>
                <w:color w:val="000000"/>
                <w:sz w:val="20"/>
                <w:lang w:eastAsia="sk-SK"/>
              </w:rPr>
            </w:pPr>
            <w:r w:rsidRPr="008C063B">
              <w:rPr>
                <w:rFonts w:eastAsia="Times New Roman" w:cs="Times New Roman"/>
                <w:color w:val="000000"/>
                <w:sz w:val="20"/>
                <w:lang w:eastAsia="sk-SK"/>
              </w:rPr>
              <w:t>Dotácia na stravu</w:t>
            </w:r>
            <w:r>
              <w:rPr>
                <w:rFonts w:eastAsia="Times New Roman" w:cs="Times New Roman"/>
                <w:color w:val="000000"/>
                <w:sz w:val="20"/>
                <w:lang w:eastAsia="sk-SK"/>
              </w:rPr>
              <w:t xml:space="preserve"> (SZP a chudobn</w:t>
            </w:r>
            <w:r w:rsidR="00D807ED">
              <w:rPr>
                <w:rFonts w:eastAsia="Times New Roman" w:cs="Times New Roman"/>
                <w:color w:val="000000"/>
                <w:sz w:val="20"/>
                <w:lang w:eastAsia="sk-SK"/>
              </w:rPr>
              <w:t>é</w:t>
            </w:r>
            <w:r>
              <w:rPr>
                <w:rFonts w:eastAsia="Times New Roman" w:cs="Times New Roman"/>
                <w:color w:val="000000"/>
                <w:sz w:val="20"/>
                <w:lang w:eastAsia="sk-SK"/>
              </w:rPr>
              <w:t xml:space="preserve"> </w:t>
            </w:r>
            <w:r w:rsidR="00D807ED">
              <w:rPr>
                <w:rFonts w:eastAsia="Times New Roman" w:cs="Times New Roman"/>
                <w:color w:val="000000"/>
                <w:sz w:val="20"/>
                <w:lang w:eastAsia="sk-SK"/>
              </w:rPr>
              <w:t>deti/</w:t>
            </w:r>
            <w:r>
              <w:rPr>
                <w:rFonts w:eastAsia="Times New Roman" w:cs="Times New Roman"/>
                <w:color w:val="000000"/>
                <w:sz w:val="20"/>
                <w:lang w:eastAsia="sk-SK"/>
              </w:rPr>
              <w:t>žiaci)</w:t>
            </w:r>
          </w:p>
        </w:tc>
        <w:tc>
          <w:tcPr>
            <w:tcW w:w="851" w:type="dxa"/>
            <w:tcBorders>
              <w:top w:val="nil"/>
              <w:left w:val="nil"/>
              <w:bottom w:val="nil"/>
              <w:right w:val="nil"/>
            </w:tcBorders>
            <w:shd w:val="clear" w:color="000000" w:fill="FFFFFF"/>
            <w:vAlign w:val="bottom"/>
            <w:hideMark/>
          </w:tcPr>
          <w:p w14:paraId="16C3BA53" w14:textId="77777777" w:rsidR="0096767F" w:rsidRPr="008C063B" w:rsidRDefault="0096767F" w:rsidP="0096767F">
            <w:pPr>
              <w:spacing w:after="0" w:line="240" w:lineRule="auto"/>
              <w:jc w:val="center"/>
              <w:rPr>
                <w:rFonts w:eastAsia="Times New Roman" w:cs="Times New Roman"/>
                <w:color w:val="000000"/>
                <w:sz w:val="20"/>
                <w:lang w:eastAsia="sk-SK"/>
              </w:rPr>
            </w:pPr>
            <w:r w:rsidRPr="008C063B">
              <w:rPr>
                <w:rFonts w:eastAsia="Times New Roman" w:cs="Times New Roman"/>
                <w:color w:val="000000"/>
                <w:sz w:val="20"/>
                <w:lang w:eastAsia="sk-SK"/>
              </w:rPr>
              <w:t>MPSVR</w:t>
            </w:r>
          </w:p>
        </w:tc>
        <w:tc>
          <w:tcPr>
            <w:tcW w:w="709" w:type="dxa"/>
            <w:tcBorders>
              <w:top w:val="nil"/>
              <w:left w:val="nil"/>
              <w:bottom w:val="nil"/>
              <w:right w:val="nil"/>
            </w:tcBorders>
            <w:shd w:val="clear" w:color="000000" w:fill="FFFFFF"/>
            <w:vAlign w:val="bottom"/>
            <w:hideMark/>
          </w:tcPr>
          <w:p w14:paraId="6DCFCC54" w14:textId="77777777" w:rsidR="0096767F" w:rsidRPr="008C063B" w:rsidRDefault="0096767F" w:rsidP="0096767F">
            <w:pPr>
              <w:spacing w:after="0" w:line="240" w:lineRule="auto"/>
              <w:jc w:val="center"/>
              <w:rPr>
                <w:rFonts w:eastAsia="Times New Roman" w:cs="Times New Roman"/>
                <w:sz w:val="20"/>
                <w:lang w:eastAsia="sk-SK"/>
              </w:rPr>
            </w:pPr>
            <w:r w:rsidRPr="008C063B">
              <w:rPr>
                <w:rFonts w:eastAsia="Times New Roman" w:cs="Times New Roman"/>
                <w:sz w:val="20"/>
                <w:lang w:eastAsia="sk-SK"/>
              </w:rPr>
              <w:t>6,3</w:t>
            </w:r>
          </w:p>
        </w:tc>
        <w:tc>
          <w:tcPr>
            <w:tcW w:w="850" w:type="dxa"/>
            <w:tcBorders>
              <w:top w:val="nil"/>
              <w:left w:val="nil"/>
              <w:bottom w:val="nil"/>
              <w:right w:val="nil"/>
            </w:tcBorders>
            <w:shd w:val="clear" w:color="000000" w:fill="FFFFFF"/>
            <w:vAlign w:val="bottom"/>
            <w:hideMark/>
          </w:tcPr>
          <w:p w14:paraId="57DEABF9" w14:textId="5CBFC038" w:rsidR="0096767F" w:rsidRPr="008C063B" w:rsidRDefault="0096767F" w:rsidP="0096767F">
            <w:pPr>
              <w:spacing w:after="0" w:line="240" w:lineRule="auto"/>
              <w:jc w:val="center"/>
              <w:rPr>
                <w:rFonts w:eastAsia="Times New Roman" w:cs="Times New Roman"/>
                <w:color w:val="000000"/>
                <w:sz w:val="20"/>
                <w:lang w:eastAsia="sk-SK"/>
              </w:rPr>
            </w:pPr>
            <w:r>
              <w:rPr>
                <w:color w:val="000000"/>
                <w:sz w:val="20"/>
              </w:rPr>
              <w:t>10,1</w:t>
            </w:r>
          </w:p>
        </w:tc>
        <w:tc>
          <w:tcPr>
            <w:tcW w:w="709" w:type="dxa"/>
            <w:tcBorders>
              <w:top w:val="nil"/>
              <w:left w:val="nil"/>
              <w:bottom w:val="nil"/>
              <w:right w:val="nil"/>
            </w:tcBorders>
            <w:shd w:val="clear" w:color="000000" w:fill="FFFFFF"/>
            <w:vAlign w:val="bottom"/>
            <w:hideMark/>
          </w:tcPr>
          <w:p w14:paraId="14785A3C" w14:textId="433E1B8E" w:rsidR="0096767F" w:rsidRPr="008C063B" w:rsidRDefault="0096767F" w:rsidP="0096767F">
            <w:pPr>
              <w:spacing w:after="0" w:line="240" w:lineRule="auto"/>
              <w:jc w:val="center"/>
              <w:rPr>
                <w:rFonts w:eastAsia="Times New Roman" w:cs="Times New Roman"/>
                <w:color w:val="000000"/>
                <w:sz w:val="20"/>
                <w:lang w:eastAsia="sk-SK"/>
              </w:rPr>
            </w:pPr>
            <w:r>
              <w:rPr>
                <w:color w:val="000000"/>
                <w:sz w:val="20"/>
              </w:rPr>
              <w:t>15,0</w:t>
            </w:r>
          </w:p>
        </w:tc>
        <w:tc>
          <w:tcPr>
            <w:tcW w:w="709" w:type="dxa"/>
            <w:tcBorders>
              <w:top w:val="nil"/>
              <w:left w:val="nil"/>
              <w:bottom w:val="nil"/>
              <w:right w:val="nil"/>
            </w:tcBorders>
            <w:shd w:val="clear" w:color="000000" w:fill="FFFFFF"/>
            <w:vAlign w:val="bottom"/>
            <w:hideMark/>
          </w:tcPr>
          <w:p w14:paraId="682A5D0D" w14:textId="40B3F00D" w:rsidR="0096767F" w:rsidRPr="008C063B" w:rsidRDefault="0096767F" w:rsidP="0096767F">
            <w:pPr>
              <w:spacing w:after="0" w:line="240" w:lineRule="auto"/>
              <w:jc w:val="center"/>
              <w:rPr>
                <w:rFonts w:eastAsia="Times New Roman" w:cs="Times New Roman"/>
                <w:color w:val="000000"/>
                <w:sz w:val="20"/>
                <w:lang w:eastAsia="sk-SK"/>
              </w:rPr>
            </w:pPr>
            <w:r>
              <w:rPr>
                <w:color w:val="000000"/>
                <w:sz w:val="20"/>
              </w:rPr>
              <w:t>15,0</w:t>
            </w:r>
          </w:p>
        </w:tc>
        <w:tc>
          <w:tcPr>
            <w:tcW w:w="708" w:type="dxa"/>
            <w:tcBorders>
              <w:top w:val="nil"/>
              <w:left w:val="nil"/>
              <w:bottom w:val="nil"/>
              <w:right w:val="nil"/>
            </w:tcBorders>
            <w:shd w:val="clear" w:color="000000" w:fill="FFFFFF"/>
            <w:vAlign w:val="bottom"/>
            <w:hideMark/>
          </w:tcPr>
          <w:p w14:paraId="3C40B0D6" w14:textId="520CF7EA" w:rsidR="0096767F" w:rsidRPr="008C063B" w:rsidRDefault="0096767F" w:rsidP="0096767F">
            <w:pPr>
              <w:spacing w:after="0" w:line="240" w:lineRule="auto"/>
              <w:jc w:val="center"/>
              <w:rPr>
                <w:rFonts w:eastAsia="Times New Roman" w:cs="Times New Roman"/>
                <w:color w:val="000000"/>
                <w:sz w:val="20"/>
                <w:lang w:eastAsia="sk-SK"/>
              </w:rPr>
            </w:pPr>
            <w:r>
              <w:rPr>
                <w:color w:val="000000"/>
                <w:sz w:val="20"/>
              </w:rPr>
              <w:t>15,0</w:t>
            </w:r>
          </w:p>
        </w:tc>
      </w:tr>
      <w:tr w:rsidR="00196A60" w:rsidRPr="008C063B" w14:paraId="182B990A" w14:textId="77777777" w:rsidTr="008C063B">
        <w:trPr>
          <w:trHeight w:val="255"/>
        </w:trPr>
        <w:tc>
          <w:tcPr>
            <w:tcW w:w="4536" w:type="dxa"/>
            <w:tcBorders>
              <w:top w:val="nil"/>
              <w:left w:val="nil"/>
              <w:bottom w:val="nil"/>
              <w:right w:val="nil"/>
            </w:tcBorders>
            <w:shd w:val="clear" w:color="000000" w:fill="FFFFFF"/>
            <w:vAlign w:val="bottom"/>
            <w:hideMark/>
          </w:tcPr>
          <w:p w14:paraId="0583DB24" w14:textId="77777777" w:rsidR="00196A60" w:rsidRPr="008C063B" w:rsidRDefault="00196A60" w:rsidP="00196A60">
            <w:pPr>
              <w:spacing w:after="0" w:line="240" w:lineRule="auto"/>
              <w:jc w:val="left"/>
              <w:rPr>
                <w:rFonts w:eastAsia="Times New Roman" w:cs="Times New Roman"/>
                <w:color w:val="000000"/>
                <w:sz w:val="20"/>
                <w:lang w:eastAsia="sk-SK"/>
              </w:rPr>
            </w:pPr>
            <w:r w:rsidRPr="008C063B">
              <w:rPr>
                <w:rFonts w:eastAsia="Times New Roman" w:cs="Times New Roman"/>
                <w:color w:val="000000"/>
                <w:sz w:val="20"/>
                <w:lang w:eastAsia="sk-SK"/>
              </w:rPr>
              <w:t>Dotácia na školské pomôcky</w:t>
            </w:r>
          </w:p>
        </w:tc>
        <w:tc>
          <w:tcPr>
            <w:tcW w:w="851" w:type="dxa"/>
            <w:tcBorders>
              <w:top w:val="nil"/>
              <w:left w:val="nil"/>
              <w:bottom w:val="nil"/>
              <w:right w:val="nil"/>
            </w:tcBorders>
            <w:shd w:val="clear" w:color="000000" w:fill="FFFFFF"/>
            <w:vAlign w:val="bottom"/>
            <w:hideMark/>
          </w:tcPr>
          <w:p w14:paraId="2E7AB139" w14:textId="77777777" w:rsidR="00196A60" w:rsidRPr="008C063B" w:rsidRDefault="00196A60" w:rsidP="00196A60">
            <w:pPr>
              <w:spacing w:after="0" w:line="240" w:lineRule="auto"/>
              <w:jc w:val="center"/>
              <w:rPr>
                <w:rFonts w:eastAsia="Times New Roman" w:cs="Times New Roman"/>
                <w:color w:val="000000"/>
                <w:sz w:val="20"/>
                <w:lang w:eastAsia="sk-SK"/>
              </w:rPr>
            </w:pPr>
            <w:r w:rsidRPr="008C063B">
              <w:rPr>
                <w:rFonts w:eastAsia="Times New Roman" w:cs="Times New Roman"/>
                <w:color w:val="000000"/>
                <w:sz w:val="20"/>
                <w:lang w:eastAsia="sk-SK"/>
              </w:rPr>
              <w:t>MPSVR</w:t>
            </w:r>
          </w:p>
        </w:tc>
        <w:tc>
          <w:tcPr>
            <w:tcW w:w="709" w:type="dxa"/>
            <w:tcBorders>
              <w:top w:val="nil"/>
              <w:left w:val="nil"/>
              <w:bottom w:val="nil"/>
              <w:right w:val="nil"/>
            </w:tcBorders>
            <w:shd w:val="clear" w:color="000000" w:fill="FFFFFF"/>
            <w:vAlign w:val="bottom"/>
            <w:hideMark/>
          </w:tcPr>
          <w:p w14:paraId="33ED9393" w14:textId="77777777" w:rsidR="00196A60" w:rsidRPr="008C063B" w:rsidRDefault="00196A60" w:rsidP="00196A60">
            <w:pPr>
              <w:spacing w:after="0" w:line="240" w:lineRule="auto"/>
              <w:jc w:val="center"/>
              <w:rPr>
                <w:rFonts w:eastAsia="Times New Roman" w:cs="Times New Roman"/>
                <w:sz w:val="20"/>
                <w:lang w:eastAsia="sk-SK"/>
              </w:rPr>
            </w:pPr>
            <w:r w:rsidRPr="008C063B">
              <w:rPr>
                <w:rFonts w:eastAsia="Times New Roman" w:cs="Times New Roman"/>
                <w:sz w:val="20"/>
                <w:lang w:eastAsia="sk-SK"/>
              </w:rPr>
              <w:t>1,5</w:t>
            </w:r>
          </w:p>
        </w:tc>
        <w:tc>
          <w:tcPr>
            <w:tcW w:w="850" w:type="dxa"/>
            <w:tcBorders>
              <w:top w:val="nil"/>
              <w:left w:val="nil"/>
              <w:bottom w:val="nil"/>
              <w:right w:val="nil"/>
            </w:tcBorders>
            <w:shd w:val="clear" w:color="000000" w:fill="FFFFFF"/>
            <w:vAlign w:val="bottom"/>
            <w:hideMark/>
          </w:tcPr>
          <w:p w14:paraId="3C434D43" w14:textId="5B145415" w:rsidR="00196A60" w:rsidRPr="008C063B" w:rsidRDefault="00196A60" w:rsidP="00196A60">
            <w:pPr>
              <w:spacing w:after="0" w:line="240" w:lineRule="auto"/>
              <w:jc w:val="center"/>
              <w:rPr>
                <w:rFonts w:eastAsia="Times New Roman" w:cs="Times New Roman"/>
                <w:color w:val="000000"/>
                <w:sz w:val="20"/>
                <w:lang w:eastAsia="sk-SK"/>
              </w:rPr>
            </w:pPr>
            <w:r>
              <w:rPr>
                <w:color w:val="000000"/>
                <w:sz w:val="20"/>
              </w:rPr>
              <w:t>1,9</w:t>
            </w:r>
          </w:p>
        </w:tc>
        <w:tc>
          <w:tcPr>
            <w:tcW w:w="709" w:type="dxa"/>
            <w:tcBorders>
              <w:top w:val="nil"/>
              <w:left w:val="nil"/>
              <w:bottom w:val="nil"/>
              <w:right w:val="nil"/>
            </w:tcBorders>
            <w:shd w:val="clear" w:color="000000" w:fill="FFFFFF"/>
            <w:vAlign w:val="bottom"/>
            <w:hideMark/>
          </w:tcPr>
          <w:p w14:paraId="7CF7DB87" w14:textId="0476F998" w:rsidR="00196A60" w:rsidRPr="008C063B" w:rsidRDefault="00196A60" w:rsidP="00196A60">
            <w:pPr>
              <w:spacing w:after="0" w:line="240" w:lineRule="auto"/>
              <w:jc w:val="center"/>
              <w:rPr>
                <w:rFonts w:eastAsia="Times New Roman" w:cs="Times New Roman"/>
                <w:color w:val="000000"/>
                <w:sz w:val="20"/>
                <w:lang w:eastAsia="sk-SK"/>
              </w:rPr>
            </w:pPr>
            <w:r>
              <w:rPr>
                <w:color w:val="000000"/>
                <w:sz w:val="20"/>
              </w:rPr>
              <w:t>1,5</w:t>
            </w:r>
          </w:p>
        </w:tc>
        <w:tc>
          <w:tcPr>
            <w:tcW w:w="709" w:type="dxa"/>
            <w:tcBorders>
              <w:top w:val="nil"/>
              <w:left w:val="nil"/>
              <w:bottom w:val="nil"/>
              <w:right w:val="nil"/>
            </w:tcBorders>
            <w:shd w:val="clear" w:color="000000" w:fill="FFFFFF"/>
            <w:vAlign w:val="bottom"/>
            <w:hideMark/>
          </w:tcPr>
          <w:p w14:paraId="4BADC23A" w14:textId="56BEEFDB" w:rsidR="00196A60" w:rsidRPr="008C063B" w:rsidRDefault="00196A60" w:rsidP="00196A60">
            <w:pPr>
              <w:spacing w:after="0" w:line="240" w:lineRule="auto"/>
              <w:jc w:val="center"/>
              <w:rPr>
                <w:rFonts w:eastAsia="Times New Roman" w:cs="Times New Roman"/>
                <w:color w:val="000000"/>
                <w:sz w:val="20"/>
                <w:lang w:eastAsia="sk-SK"/>
              </w:rPr>
            </w:pPr>
            <w:r>
              <w:rPr>
                <w:color w:val="000000"/>
                <w:sz w:val="20"/>
              </w:rPr>
              <w:t>1,5</w:t>
            </w:r>
          </w:p>
        </w:tc>
        <w:tc>
          <w:tcPr>
            <w:tcW w:w="708" w:type="dxa"/>
            <w:tcBorders>
              <w:top w:val="nil"/>
              <w:left w:val="nil"/>
              <w:bottom w:val="nil"/>
              <w:right w:val="nil"/>
            </w:tcBorders>
            <w:shd w:val="clear" w:color="000000" w:fill="FFFFFF"/>
            <w:vAlign w:val="bottom"/>
            <w:hideMark/>
          </w:tcPr>
          <w:p w14:paraId="64011265" w14:textId="27660A3A" w:rsidR="00196A60" w:rsidRPr="008C063B" w:rsidRDefault="00196A60" w:rsidP="00196A60">
            <w:pPr>
              <w:spacing w:after="0" w:line="240" w:lineRule="auto"/>
              <w:jc w:val="center"/>
              <w:rPr>
                <w:rFonts w:eastAsia="Times New Roman" w:cs="Times New Roman"/>
                <w:color w:val="000000"/>
                <w:sz w:val="20"/>
                <w:lang w:eastAsia="sk-SK"/>
              </w:rPr>
            </w:pPr>
            <w:r>
              <w:rPr>
                <w:color w:val="000000"/>
                <w:sz w:val="20"/>
              </w:rPr>
              <w:t>1,5</w:t>
            </w:r>
          </w:p>
        </w:tc>
      </w:tr>
      <w:tr w:rsidR="0096767F" w:rsidRPr="008C063B" w14:paraId="2A41583B" w14:textId="77777777" w:rsidTr="00D41517">
        <w:trPr>
          <w:trHeight w:val="255"/>
        </w:trPr>
        <w:tc>
          <w:tcPr>
            <w:tcW w:w="4536" w:type="dxa"/>
            <w:tcBorders>
              <w:top w:val="nil"/>
              <w:left w:val="nil"/>
              <w:right w:val="nil"/>
            </w:tcBorders>
            <w:shd w:val="clear" w:color="000000" w:fill="FFFFFF"/>
            <w:vAlign w:val="bottom"/>
          </w:tcPr>
          <w:p w14:paraId="093D9395" w14:textId="7C4E6955" w:rsidR="0096767F" w:rsidRPr="008C063B" w:rsidRDefault="0096767F" w:rsidP="0096767F">
            <w:pPr>
              <w:spacing w:after="0" w:line="240" w:lineRule="auto"/>
              <w:jc w:val="left"/>
              <w:rPr>
                <w:rFonts w:eastAsia="Times New Roman" w:cs="Times New Roman"/>
                <w:color w:val="000000"/>
                <w:sz w:val="20"/>
                <w:lang w:eastAsia="sk-SK"/>
              </w:rPr>
            </w:pPr>
            <w:r>
              <w:rPr>
                <w:rFonts w:eastAsia="Times New Roman" w:cs="Times New Roman"/>
                <w:color w:val="000000"/>
                <w:sz w:val="20"/>
                <w:lang w:eastAsia="sk-SK"/>
              </w:rPr>
              <w:t>Pomôcky pre prvákov (SZP a chudobní žiaci)</w:t>
            </w:r>
          </w:p>
        </w:tc>
        <w:tc>
          <w:tcPr>
            <w:tcW w:w="851" w:type="dxa"/>
            <w:tcBorders>
              <w:top w:val="nil"/>
              <w:left w:val="nil"/>
              <w:right w:val="nil"/>
            </w:tcBorders>
            <w:shd w:val="clear" w:color="000000" w:fill="FFFFFF"/>
            <w:vAlign w:val="bottom"/>
          </w:tcPr>
          <w:p w14:paraId="1A5377C0" w14:textId="77777777" w:rsidR="0096767F" w:rsidRPr="008C063B" w:rsidRDefault="0096767F" w:rsidP="0096767F">
            <w:pPr>
              <w:spacing w:after="0" w:line="240" w:lineRule="auto"/>
              <w:jc w:val="center"/>
              <w:rPr>
                <w:rFonts w:eastAsia="Times New Roman" w:cs="Times New Roman"/>
                <w:color w:val="000000"/>
                <w:sz w:val="20"/>
                <w:lang w:eastAsia="sk-SK"/>
              </w:rPr>
            </w:pPr>
          </w:p>
        </w:tc>
        <w:tc>
          <w:tcPr>
            <w:tcW w:w="709" w:type="dxa"/>
            <w:tcBorders>
              <w:top w:val="nil"/>
              <w:left w:val="nil"/>
              <w:right w:val="nil"/>
            </w:tcBorders>
            <w:shd w:val="clear" w:color="000000" w:fill="FFFFFF"/>
            <w:vAlign w:val="bottom"/>
          </w:tcPr>
          <w:p w14:paraId="0F25B235" w14:textId="77777777" w:rsidR="0096767F" w:rsidRPr="008C063B" w:rsidRDefault="0096767F" w:rsidP="0096767F">
            <w:pPr>
              <w:spacing w:after="0" w:line="240" w:lineRule="auto"/>
              <w:jc w:val="center"/>
              <w:rPr>
                <w:rFonts w:eastAsia="Times New Roman" w:cs="Times New Roman"/>
                <w:color w:val="000000"/>
                <w:sz w:val="20"/>
                <w:lang w:eastAsia="sk-SK"/>
              </w:rPr>
            </w:pPr>
          </w:p>
        </w:tc>
        <w:tc>
          <w:tcPr>
            <w:tcW w:w="850" w:type="dxa"/>
            <w:tcBorders>
              <w:top w:val="nil"/>
              <w:left w:val="nil"/>
              <w:right w:val="nil"/>
            </w:tcBorders>
            <w:shd w:val="clear" w:color="000000" w:fill="FFFFFF"/>
            <w:vAlign w:val="bottom"/>
          </w:tcPr>
          <w:p w14:paraId="34324A3C" w14:textId="0BB34451" w:rsidR="0096767F" w:rsidRDefault="0096767F" w:rsidP="0096767F">
            <w:pPr>
              <w:spacing w:after="0" w:line="240" w:lineRule="auto"/>
              <w:jc w:val="center"/>
              <w:rPr>
                <w:color w:val="000000"/>
                <w:sz w:val="20"/>
              </w:rPr>
            </w:pPr>
            <w:r>
              <w:rPr>
                <w:color w:val="000000"/>
                <w:sz w:val="20"/>
              </w:rPr>
              <w:t>0,9</w:t>
            </w:r>
          </w:p>
        </w:tc>
        <w:tc>
          <w:tcPr>
            <w:tcW w:w="709" w:type="dxa"/>
            <w:tcBorders>
              <w:top w:val="nil"/>
              <w:left w:val="nil"/>
              <w:right w:val="nil"/>
            </w:tcBorders>
            <w:shd w:val="clear" w:color="000000" w:fill="FFFFFF"/>
            <w:vAlign w:val="bottom"/>
          </w:tcPr>
          <w:p w14:paraId="0856B55E" w14:textId="77509012" w:rsidR="0096767F" w:rsidRDefault="0096767F" w:rsidP="0096767F">
            <w:pPr>
              <w:spacing w:after="0" w:line="240" w:lineRule="auto"/>
              <w:jc w:val="center"/>
              <w:rPr>
                <w:color w:val="000000"/>
                <w:sz w:val="20"/>
              </w:rPr>
            </w:pPr>
            <w:r>
              <w:rPr>
                <w:color w:val="000000"/>
                <w:sz w:val="20"/>
              </w:rPr>
              <w:t>0,9</w:t>
            </w:r>
          </w:p>
        </w:tc>
        <w:tc>
          <w:tcPr>
            <w:tcW w:w="709" w:type="dxa"/>
            <w:tcBorders>
              <w:top w:val="nil"/>
              <w:left w:val="nil"/>
              <w:right w:val="nil"/>
            </w:tcBorders>
            <w:shd w:val="clear" w:color="000000" w:fill="FFFFFF"/>
            <w:vAlign w:val="bottom"/>
          </w:tcPr>
          <w:p w14:paraId="01789B43" w14:textId="68B3E8AA" w:rsidR="0096767F" w:rsidRDefault="0096767F" w:rsidP="0096767F">
            <w:pPr>
              <w:spacing w:after="0" w:line="240" w:lineRule="auto"/>
              <w:jc w:val="center"/>
              <w:rPr>
                <w:color w:val="000000"/>
                <w:sz w:val="20"/>
              </w:rPr>
            </w:pPr>
            <w:r>
              <w:rPr>
                <w:color w:val="000000"/>
                <w:sz w:val="20"/>
              </w:rPr>
              <w:t>0,9</w:t>
            </w:r>
          </w:p>
        </w:tc>
        <w:tc>
          <w:tcPr>
            <w:tcW w:w="708" w:type="dxa"/>
            <w:tcBorders>
              <w:top w:val="nil"/>
              <w:left w:val="nil"/>
              <w:right w:val="nil"/>
            </w:tcBorders>
            <w:shd w:val="clear" w:color="000000" w:fill="FFFFFF"/>
            <w:vAlign w:val="bottom"/>
          </w:tcPr>
          <w:p w14:paraId="0AE91117" w14:textId="58F1B1C6" w:rsidR="0096767F" w:rsidRDefault="0096767F" w:rsidP="0096767F">
            <w:pPr>
              <w:spacing w:after="0" w:line="240" w:lineRule="auto"/>
              <w:jc w:val="center"/>
              <w:rPr>
                <w:color w:val="000000"/>
                <w:sz w:val="20"/>
              </w:rPr>
            </w:pPr>
            <w:r>
              <w:rPr>
                <w:color w:val="000000"/>
                <w:sz w:val="20"/>
              </w:rPr>
              <w:t>0,9</w:t>
            </w:r>
          </w:p>
        </w:tc>
      </w:tr>
      <w:tr w:rsidR="00196A60" w:rsidRPr="008C063B" w14:paraId="19D6D819" w14:textId="77777777" w:rsidTr="008C063B">
        <w:trPr>
          <w:trHeight w:val="255"/>
        </w:trPr>
        <w:tc>
          <w:tcPr>
            <w:tcW w:w="4536" w:type="dxa"/>
            <w:tcBorders>
              <w:top w:val="nil"/>
              <w:left w:val="nil"/>
              <w:bottom w:val="single" w:sz="4" w:space="0" w:color="auto"/>
              <w:right w:val="nil"/>
            </w:tcBorders>
            <w:shd w:val="clear" w:color="000000" w:fill="FFFFFF"/>
            <w:vAlign w:val="bottom"/>
            <w:hideMark/>
          </w:tcPr>
          <w:p w14:paraId="5B9AE122" w14:textId="77777777" w:rsidR="00196A60" w:rsidRPr="008C063B" w:rsidRDefault="00196A60" w:rsidP="00196A60">
            <w:pPr>
              <w:spacing w:after="0" w:line="240" w:lineRule="auto"/>
              <w:jc w:val="left"/>
              <w:rPr>
                <w:rFonts w:eastAsia="Times New Roman" w:cs="Times New Roman"/>
                <w:color w:val="000000"/>
                <w:sz w:val="20"/>
                <w:lang w:eastAsia="sk-SK"/>
              </w:rPr>
            </w:pPr>
            <w:r w:rsidRPr="008C063B">
              <w:rPr>
                <w:rFonts w:eastAsia="Times New Roman" w:cs="Times New Roman"/>
                <w:color w:val="000000"/>
                <w:sz w:val="20"/>
                <w:lang w:eastAsia="sk-SK"/>
              </w:rPr>
              <w:t xml:space="preserve">Stredoškolské štipendiá </w:t>
            </w:r>
          </w:p>
        </w:tc>
        <w:tc>
          <w:tcPr>
            <w:tcW w:w="851" w:type="dxa"/>
            <w:tcBorders>
              <w:top w:val="nil"/>
              <w:left w:val="nil"/>
              <w:bottom w:val="single" w:sz="4" w:space="0" w:color="auto"/>
              <w:right w:val="nil"/>
            </w:tcBorders>
            <w:shd w:val="clear" w:color="000000" w:fill="FFFFFF"/>
            <w:vAlign w:val="bottom"/>
            <w:hideMark/>
          </w:tcPr>
          <w:p w14:paraId="5FBBC0A6" w14:textId="77777777" w:rsidR="00196A60" w:rsidRPr="008C063B" w:rsidRDefault="00196A60" w:rsidP="00196A60">
            <w:pPr>
              <w:spacing w:after="0" w:line="240" w:lineRule="auto"/>
              <w:jc w:val="center"/>
              <w:rPr>
                <w:rFonts w:eastAsia="Times New Roman" w:cs="Times New Roman"/>
                <w:color w:val="000000"/>
                <w:sz w:val="20"/>
                <w:lang w:eastAsia="sk-SK"/>
              </w:rPr>
            </w:pPr>
            <w:r w:rsidRPr="008C063B">
              <w:rPr>
                <w:rFonts w:eastAsia="Times New Roman" w:cs="Times New Roman"/>
                <w:color w:val="000000"/>
                <w:sz w:val="20"/>
                <w:lang w:eastAsia="sk-SK"/>
              </w:rPr>
              <w:t>MŠVVŠ</w:t>
            </w:r>
          </w:p>
        </w:tc>
        <w:tc>
          <w:tcPr>
            <w:tcW w:w="709" w:type="dxa"/>
            <w:tcBorders>
              <w:top w:val="nil"/>
              <w:left w:val="nil"/>
              <w:bottom w:val="single" w:sz="4" w:space="0" w:color="auto"/>
              <w:right w:val="nil"/>
            </w:tcBorders>
            <w:shd w:val="clear" w:color="000000" w:fill="FFFFFF"/>
            <w:vAlign w:val="bottom"/>
            <w:hideMark/>
          </w:tcPr>
          <w:p w14:paraId="40DA7E57" w14:textId="77777777" w:rsidR="00196A60" w:rsidRPr="008C063B" w:rsidRDefault="00196A60" w:rsidP="00196A60">
            <w:pPr>
              <w:spacing w:after="0" w:line="240" w:lineRule="auto"/>
              <w:jc w:val="center"/>
              <w:rPr>
                <w:rFonts w:eastAsia="Times New Roman" w:cs="Times New Roman"/>
                <w:color w:val="000000"/>
                <w:sz w:val="20"/>
                <w:lang w:eastAsia="sk-SK"/>
              </w:rPr>
            </w:pPr>
            <w:r w:rsidRPr="008C063B">
              <w:rPr>
                <w:rFonts w:eastAsia="Times New Roman" w:cs="Times New Roman"/>
                <w:color w:val="000000"/>
                <w:sz w:val="20"/>
                <w:lang w:eastAsia="sk-SK"/>
              </w:rPr>
              <w:t>2,4</w:t>
            </w:r>
          </w:p>
        </w:tc>
        <w:tc>
          <w:tcPr>
            <w:tcW w:w="850" w:type="dxa"/>
            <w:tcBorders>
              <w:top w:val="nil"/>
              <w:left w:val="nil"/>
              <w:bottom w:val="single" w:sz="4" w:space="0" w:color="auto"/>
              <w:right w:val="nil"/>
            </w:tcBorders>
            <w:shd w:val="clear" w:color="000000" w:fill="FFFFFF"/>
            <w:vAlign w:val="bottom"/>
            <w:hideMark/>
          </w:tcPr>
          <w:p w14:paraId="192DA7E0" w14:textId="5AF3E6DF" w:rsidR="00196A60" w:rsidRPr="008C063B" w:rsidRDefault="00196A60" w:rsidP="00196A60">
            <w:pPr>
              <w:spacing w:after="0" w:line="240" w:lineRule="auto"/>
              <w:jc w:val="center"/>
              <w:rPr>
                <w:rFonts w:eastAsia="Times New Roman" w:cs="Times New Roman"/>
                <w:color w:val="000000"/>
                <w:sz w:val="20"/>
                <w:lang w:eastAsia="sk-SK"/>
              </w:rPr>
            </w:pPr>
            <w:r>
              <w:rPr>
                <w:color w:val="000000"/>
                <w:sz w:val="20"/>
              </w:rPr>
              <w:t>3,3</w:t>
            </w:r>
          </w:p>
        </w:tc>
        <w:tc>
          <w:tcPr>
            <w:tcW w:w="709" w:type="dxa"/>
            <w:tcBorders>
              <w:top w:val="nil"/>
              <w:left w:val="nil"/>
              <w:bottom w:val="single" w:sz="4" w:space="0" w:color="auto"/>
              <w:right w:val="nil"/>
            </w:tcBorders>
            <w:shd w:val="clear" w:color="000000" w:fill="FFFFFF"/>
            <w:vAlign w:val="bottom"/>
            <w:hideMark/>
          </w:tcPr>
          <w:p w14:paraId="078DEECE" w14:textId="712D5B27" w:rsidR="00196A60" w:rsidRPr="008C063B" w:rsidRDefault="00196A60" w:rsidP="00196A60">
            <w:pPr>
              <w:spacing w:after="0" w:line="240" w:lineRule="auto"/>
              <w:jc w:val="center"/>
              <w:rPr>
                <w:rFonts w:eastAsia="Times New Roman" w:cs="Times New Roman"/>
                <w:color w:val="000000"/>
                <w:sz w:val="20"/>
                <w:lang w:eastAsia="sk-SK"/>
              </w:rPr>
            </w:pPr>
            <w:r>
              <w:rPr>
                <w:color w:val="000000"/>
                <w:sz w:val="20"/>
              </w:rPr>
              <w:t>2,5</w:t>
            </w:r>
          </w:p>
        </w:tc>
        <w:tc>
          <w:tcPr>
            <w:tcW w:w="709" w:type="dxa"/>
            <w:tcBorders>
              <w:top w:val="nil"/>
              <w:left w:val="nil"/>
              <w:bottom w:val="single" w:sz="4" w:space="0" w:color="auto"/>
              <w:right w:val="nil"/>
            </w:tcBorders>
            <w:shd w:val="clear" w:color="000000" w:fill="FFFFFF"/>
            <w:vAlign w:val="bottom"/>
            <w:hideMark/>
          </w:tcPr>
          <w:p w14:paraId="6B0F11AD" w14:textId="78F78E77" w:rsidR="00196A60" w:rsidRPr="008C063B" w:rsidRDefault="00196A60" w:rsidP="00196A60">
            <w:pPr>
              <w:spacing w:after="0" w:line="240" w:lineRule="auto"/>
              <w:jc w:val="center"/>
              <w:rPr>
                <w:rFonts w:eastAsia="Times New Roman" w:cs="Times New Roman"/>
                <w:color w:val="000000"/>
                <w:sz w:val="20"/>
                <w:lang w:eastAsia="sk-SK"/>
              </w:rPr>
            </w:pPr>
            <w:r>
              <w:rPr>
                <w:color w:val="000000"/>
                <w:sz w:val="20"/>
              </w:rPr>
              <w:t>2,5</w:t>
            </w:r>
          </w:p>
        </w:tc>
        <w:tc>
          <w:tcPr>
            <w:tcW w:w="708" w:type="dxa"/>
            <w:tcBorders>
              <w:top w:val="nil"/>
              <w:left w:val="nil"/>
              <w:bottom w:val="single" w:sz="4" w:space="0" w:color="auto"/>
              <w:right w:val="nil"/>
            </w:tcBorders>
            <w:shd w:val="clear" w:color="000000" w:fill="FFFFFF"/>
            <w:vAlign w:val="bottom"/>
            <w:hideMark/>
          </w:tcPr>
          <w:p w14:paraId="3C260692" w14:textId="37ECE10A" w:rsidR="00196A60" w:rsidRPr="008C063B" w:rsidRDefault="00196A60" w:rsidP="00196A60">
            <w:pPr>
              <w:spacing w:after="0" w:line="240" w:lineRule="auto"/>
              <w:jc w:val="center"/>
              <w:rPr>
                <w:rFonts w:eastAsia="Times New Roman" w:cs="Times New Roman"/>
                <w:color w:val="000000"/>
                <w:sz w:val="20"/>
                <w:lang w:eastAsia="sk-SK"/>
              </w:rPr>
            </w:pPr>
            <w:r>
              <w:rPr>
                <w:color w:val="000000"/>
                <w:sz w:val="20"/>
              </w:rPr>
              <w:t>2,4</w:t>
            </w:r>
          </w:p>
        </w:tc>
      </w:tr>
      <w:tr w:rsidR="00593626" w:rsidRPr="008C063B" w14:paraId="1E191B9F" w14:textId="77777777" w:rsidTr="008C063B">
        <w:trPr>
          <w:trHeight w:val="255"/>
        </w:trPr>
        <w:tc>
          <w:tcPr>
            <w:tcW w:w="4536" w:type="dxa"/>
            <w:tcBorders>
              <w:top w:val="single" w:sz="4" w:space="0" w:color="auto"/>
              <w:left w:val="nil"/>
              <w:bottom w:val="single" w:sz="4" w:space="0" w:color="auto"/>
              <w:right w:val="nil"/>
            </w:tcBorders>
            <w:shd w:val="clear" w:color="000000" w:fill="FFFFFF"/>
            <w:vAlign w:val="bottom"/>
            <w:hideMark/>
          </w:tcPr>
          <w:p w14:paraId="5C013C0C" w14:textId="406536CA" w:rsidR="00593626" w:rsidRPr="008C063B" w:rsidRDefault="00593626" w:rsidP="00593626">
            <w:pPr>
              <w:spacing w:after="0" w:line="240" w:lineRule="auto"/>
              <w:jc w:val="left"/>
              <w:rPr>
                <w:rFonts w:eastAsia="Times New Roman" w:cs="Times New Roman"/>
                <w:b/>
                <w:bCs/>
                <w:color w:val="000000"/>
                <w:sz w:val="20"/>
                <w:lang w:eastAsia="sk-SK"/>
              </w:rPr>
            </w:pPr>
            <w:r w:rsidRPr="008C063B">
              <w:rPr>
                <w:rFonts w:eastAsia="Times New Roman" w:cs="Times New Roman"/>
                <w:b/>
                <w:bCs/>
                <w:color w:val="000000"/>
                <w:sz w:val="20"/>
                <w:lang w:eastAsia="sk-SK"/>
              </w:rPr>
              <w:t>Zdrav</w:t>
            </w:r>
            <w:r>
              <w:rPr>
                <w:rFonts w:eastAsia="Times New Roman" w:cs="Times New Roman"/>
                <w:b/>
                <w:bCs/>
                <w:color w:val="000000"/>
                <w:sz w:val="20"/>
                <w:lang w:eastAsia="sk-SK"/>
              </w:rPr>
              <w:t xml:space="preserve">otne znevýhodnení </w:t>
            </w:r>
            <w:r w:rsidR="00D05785">
              <w:rPr>
                <w:rFonts w:eastAsia="Times New Roman" w:cs="Times New Roman"/>
                <w:b/>
                <w:bCs/>
                <w:color w:val="000000"/>
                <w:sz w:val="20"/>
                <w:lang w:eastAsia="sk-SK"/>
              </w:rPr>
              <w:t xml:space="preserve">(ZZ) </w:t>
            </w:r>
            <w:r>
              <w:rPr>
                <w:rFonts w:eastAsia="Times New Roman" w:cs="Times New Roman"/>
                <w:b/>
                <w:bCs/>
                <w:color w:val="000000"/>
                <w:sz w:val="20"/>
                <w:lang w:eastAsia="sk-SK"/>
              </w:rPr>
              <w:t>žiaci</w:t>
            </w:r>
            <w:r w:rsidRPr="008C063B">
              <w:rPr>
                <w:rFonts w:eastAsia="Times New Roman" w:cs="Times New Roman"/>
                <w:b/>
                <w:bCs/>
                <w:color w:val="000000"/>
                <w:sz w:val="20"/>
                <w:lang w:eastAsia="sk-SK"/>
              </w:rPr>
              <w:t xml:space="preserve"> - integrácia</w:t>
            </w:r>
          </w:p>
        </w:tc>
        <w:tc>
          <w:tcPr>
            <w:tcW w:w="851" w:type="dxa"/>
            <w:tcBorders>
              <w:top w:val="single" w:sz="4" w:space="0" w:color="auto"/>
              <w:left w:val="nil"/>
              <w:bottom w:val="nil"/>
              <w:right w:val="nil"/>
            </w:tcBorders>
            <w:shd w:val="clear" w:color="000000" w:fill="FFFFFF"/>
            <w:vAlign w:val="bottom"/>
            <w:hideMark/>
          </w:tcPr>
          <w:p w14:paraId="36698F7F" w14:textId="77777777" w:rsidR="00593626" w:rsidRPr="008C063B" w:rsidRDefault="00593626" w:rsidP="00593626">
            <w:pPr>
              <w:spacing w:after="0" w:line="240" w:lineRule="auto"/>
              <w:jc w:val="center"/>
              <w:rPr>
                <w:rFonts w:eastAsia="Times New Roman" w:cs="Times New Roman"/>
                <w:b/>
                <w:bCs/>
                <w:color w:val="000000"/>
                <w:sz w:val="20"/>
                <w:lang w:eastAsia="sk-SK"/>
              </w:rPr>
            </w:pPr>
            <w:r w:rsidRPr="008C063B">
              <w:rPr>
                <w:rFonts w:eastAsia="Times New Roman" w:cs="Times New Roman"/>
                <w:b/>
                <w:bCs/>
                <w:color w:val="000000"/>
                <w:sz w:val="20"/>
                <w:lang w:eastAsia="sk-SK"/>
              </w:rPr>
              <w:t> </w:t>
            </w:r>
          </w:p>
        </w:tc>
        <w:tc>
          <w:tcPr>
            <w:tcW w:w="709" w:type="dxa"/>
            <w:tcBorders>
              <w:top w:val="single" w:sz="4" w:space="0" w:color="auto"/>
              <w:left w:val="nil"/>
              <w:bottom w:val="nil"/>
              <w:right w:val="nil"/>
            </w:tcBorders>
            <w:shd w:val="clear" w:color="000000" w:fill="FFFFFF"/>
            <w:vAlign w:val="bottom"/>
            <w:hideMark/>
          </w:tcPr>
          <w:p w14:paraId="0AB2CDA3" w14:textId="568FBA00" w:rsidR="00593626" w:rsidRPr="008C063B" w:rsidRDefault="00593626" w:rsidP="00593626">
            <w:pPr>
              <w:spacing w:after="0" w:line="240" w:lineRule="auto"/>
              <w:jc w:val="center"/>
              <w:rPr>
                <w:rFonts w:eastAsia="Times New Roman" w:cs="Times New Roman"/>
                <w:b/>
                <w:bCs/>
                <w:color w:val="000000"/>
                <w:sz w:val="20"/>
                <w:lang w:eastAsia="sk-SK"/>
              </w:rPr>
            </w:pPr>
            <w:r>
              <w:rPr>
                <w:b/>
                <w:bCs/>
                <w:color w:val="000000"/>
                <w:sz w:val="20"/>
              </w:rPr>
              <w:t>84,3</w:t>
            </w:r>
          </w:p>
        </w:tc>
        <w:tc>
          <w:tcPr>
            <w:tcW w:w="850" w:type="dxa"/>
            <w:tcBorders>
              <w:top w:val="single" w:sz="4" w:space="0" w:color="auto"/>
              <w:left w:val="nil"/>
              <w:bottom w:val="nil"/>
              <w:right w:val="nil"/>
            </w:tcBorders>
            <w:shd w:val="clear" w:color="000000" w:fill="FFFFFF"/>
            <w:vAlign w:val="bottom"/>
            <w:hideMark/>
          </w:tcPr>
          <w:p w14:paraId="0887992B" w14:textId="62DF84B7" w:rsidR="00593626" w:rsidRPr="008C063B" w:rsidRDefault="00593626" w:rsidP="00593626">
            <w:pPr>
              <w:spacing w:after="0" w:line="240" w:lineRule="auto"/>
              <w:jc w:val="center"/>
              <w:rPr>
                <w:rFonts w:eastAsia="Times New Roman" w:cs="Times New Roman"/>
                <w:b/>
                <w:bCs/>
                <w:color w:val="000000"/>
                <w:sz w:val="20"/>
                <w:lang w:eastAsia="sk-SK"/>
              </w:rPr>
            </w:pPr>
            <w:r>
              <w:rPr>
                <w:b/>
                <w:bCs/>
                <w:color w:val="000000"/>
                <w:sz w:val="20"/>
              </w:rPr>
              <w:t>92,0</w:t>
            </w:r>
          </w:p>
        </w:tc>
        <w:tc>
          <w:tcPr>
            <w:tcW w:w="709" w:type="dxa"/>
            <w:tcBorders>
              <w:top w:val="single" w:sz="4" w:space="0" w:color="auto"/>
              <w:left w:val="nil"/>
              <w:bottom w:val="nil"/>
              <w:right w:val="nil"/>
            </w:tcBorders>
            <w:shd w:val="clear" w:color="000000" w:fill="FFFFFF"/>
            <w:vAlign w:val="bottom"/>
            <w:hideMark/>
          </w:tcPr>
          <w:p w14:paraId="550BCDE0" w14:textId="33F33DD8" w:rsidR="00593626" w:rsidRPr="008C063B" w:rsidRDefault="00593626" w:rsidP="00593626">
            <w:pPr>
              <w:spacing w:after="0" w:line="240" w:lineRule="auto"/>
              <w:jc w:val="center"/>
              <w:rPr>
                <w:rFonts w:eastAsia="Times New Roman" w:cs="Times New Roman"/>
                <w:b/>
                <w:bCs/>
                <w:color w:val="000000"/>
                <w:sz w:val="20"/>
                <w:lang w:eastAsia="sk-SK"/>
              </w:rPr>
            </w:pPr>
            <w:r>
              <w:rPr>
                <w:b/>
                <w:bCs/>
                <w:color w:val="000000"/>
                <w:sz w:val="20"/>
              </w:rPr>
              <w:t>100,4</w:t>
            </w:r>
          </w:p>
        </w:tc>
        <w:tc>
          <w:tcPr>
            <w:tcW w:w="709" w:type="dxa"/>
            <w:tcBorders>
              <w:top w:val="single" w:sz="4" w:space="0" w:color="auto"/>
              <w:left w:val="nil"/>
              <w:bottom w:val="nil"/>
              <w:right w:val="nil"/>
            </w:tcBorders>
            <w:shd w:val="clear" w:color="000000" w:fill="FFFFFF"/>
            <w:vAlign w:val="bottom"/>
            <w:hideMark/>
          </w:tcPr>
          <w:p w14:paraId="40E6009D" w14:textId="15984763" w:rsidR="00593626" w:rsidRPr="008C063B" w:rsidRDefault="00593626" w:rsidP="00593626">
            <w:pPr>
              <w:spacing w:after="0" w:line="240" w:lineRule="auto"/>
              <w:jc w:val="center"/>
              <w:rPr>
                <w:rFonts w:eastAsia="Times New Roman" w:cs="Times New Roman"/>
                <w:b/>
                <w:bCs/>
                <w:color w:val="000000"/>
                <w:sz w:val="20"/>
                <w:lang w:eastAsia="sk-SK"/>
              </w:rPr>
            </w:pPr>
            <w:r>
              <w:rPr>
                <w:b/>
                <w:bCs/>
                <w:color w:val="000000"/>
                <w:sz w:val="20"/>
              </w:rPr>
              <w:t>105,5</w:t>
            </w:r>
          </w:p>
        </w:tc>
        <w:tc>
          <w:tcPr>
            <w:tcW w:w="708" w:type="dxa"/>
            <w:tcBorders>
              <w:top w:val="single" w:sz="4" w:space="0" w:color="auto"/>
              <w:left w:val="nil"/>
              <w:bottom w:val="nil"/>
              <w:right w:val="nil"/>
            </w:tcBorders>
            <w:shd w:val="clear" w:color="000000" w:fill="FFFFFF"/>
            <w:vAlign w:val="bottom"/>
            <w:hideMark/>
          </w:tcPr>
          <w:p w14:paraId="52B252A3" w14:textId="0DF7521F" w:rsidR="00593626" w:rsidRPr="008C063B" w:rsidRDefault="00593626" w:rsidP="00593626">
            <w:pPr>
              <w:spacing w:after="0" w:line="240" w:lineRule="auto"/>
              <w:jc w:val="center"/>
              <w:rPr>
                <w:rFonts w:eastAsia="Times New Roman" w:cs="Times New Roman"/>
                <w:b/>
                <w:bCs/>
                <w:color w:val="000000"/>
                <w:sz w:val="20"/>
                <w:lang w:eastAsia="sk-SK"/>
              </w:rPr>
            </w:pPr>
            <w:r>
              <w:rPr>
                <w:b/>
                <w:bCs/>
                <w:color w:val="000000"/>
                <w:sz w:val="20"/>
              </w:rPr>
              <w:t>109,5</w:t>
            </w:r>
          </w:p>
        </w:tc>
      </w:tr>
      <w:tr w:rsidR="002A479F" w:rsidRPr="008C063B" w14:paraId="0D3ADFBA" w14:textId="77777777" w:rsidTr="008C063B">
        <w:trPr>
          <w:trHeight w:val="255"/>
        </w:trPr>
        <w:tc>
          <w:tcPr>
            <w:tcW w:w="4536" w:type="dxa"/>
            <w:tcBorders>
              <w:top w:val="nil"/>
              <w:left w:val="nil"/>
              <w:bottom w:val="nil"/>
              <w:right w:val="nil"/>
            </w:tcBorders>
            <w:shd w:val="clear" w:color="000000" w:fill="FFFFFF"/>
            <w:vAlign w:val="bottom"/>
            <w:hideMark/>
          </w:tcPr>
          <w:p w14:paraId="44456586" w14:textId="77777777" w:rsidR="002A479F" w:rsidRPr="008C063B" w:rsidRDefault="002A479F" w:rsidP="002A479F">
            <w:pPr>
              <w:spacing w:after="0" w:line="240" w:lineRule="auto"/>
              <w:jc w:val="left"/>
              <w:rPr>
                <w:rFonts w:eastAsia="Times New Roman" w:cs="Times New Roman"/>
                <w:color w:val="000000"/>
                <w:sz w:val="20"/>
                <w:lang w:eastAsia="sk-SK"/>
              </w:rPr>
            </w:pPr>
            <w:r w:rsidRPr="008C063B">
              <w:rPr>
                <w:rFonts w:eastAsia="Times New Roman" w:cs="Times New Roman"/>
                <w:color w:val="000000"/>
                <w:sz w:val="20"/>
                <w:lang w:eastAsia="sk-SK"/>
              </w:rPr>
              <w:t>Navýšené normatívy na integrovaných žiakov so ZZ v ZŠ</w:t>
            </w:r>
          </w:p>
        </w:tc>
        <w:tc>
          <w:tcPr>
            <w:tcW w:w="851" w:type="dxa"/>
            <w:tcBorders>
              <w:top w:val="single" w:sz="4" w:space="0" w:color="auto"/>
              <w:left w:val="nil"/>
              <w:bottom w:val="nil"/>
              <w:right w:val="nil"/>
            </w:tcBorders>
            <w:shd w:val="clear" w:color="000000" w:fill="FFFFFF"/>
            <w:vAlign w:val="bottom"/>
            <w:hideMark/>
          </w:tcPr>
          <w:p w14:paraId="35549973" w14:textId="77777777" w:rsidR="002A479F" w:rsidRPr="008C063B" w:rsidRDefault="002A479F" w:rsidP="002A479F">
            <w:pPr>
              <w:spacing w:after="0" w:line="240" w:lineRule="auto"/>
              <w:jc w:val="center"/>
              <w:rPr>
                <w:rFonts w:eastAsia="Times New Roman" w:cs="Times New Roman"/>
                <w:color w:val="000000"/>
                <w:sz w:val="20"/>
                <w:lang w:eastAsia="sk-SK"/>
              </w:rPr>
            </w:pPr>
            <w:r w:rsidRPr="008C063B">
              <w:rPr>
                <w:rFonts w:eastAsia="Times New Roman" w:cs="Times New Roman"/>
                <w:color w:val="000000"/>
                <w:sz w:val="20"/>
                <w:lang w:eastAsia="sk-SK"/>
              </w:rPr>
              <w:t>MŠVVŠ</w:t>
            </w:r>
          </w:p>
        </w:tc>
        <w:tc>
          <w:tcPr>
            <w:tcW w:w="709" w:type="dxa"/>
            <w:tcBorders>
              <w:top w:val="single" w:sz="4" w:space="0" w:color="auto"/>
              <w:left w:val="nil"/>
              <w:bottom w:val="nil"/>
              <w:right w:val="nil"/>
            </w:tcBorders>
            <w:shd w:val="clear" w:color="000000" w:fill="FFFFFF"/>
            <w:vAlign w:val="bottom"/>
            <w:hideMark/>
          </w:tcPr>
          <w:p w14:paraId="098FAD78" w14:textId="641628BB" w:rsidR="002A479F" w:rsidRPr="008C063B" w:rsidRDefault="002A479F" w:rsidP="002A479F">
            <w:pPr>
              <w:spacing w:after="0" w:line="240" w:lineRule="auto"/>
              <w:jc w:val="center"/>
              <w:rPr>
                <w:rFonts w:eastAsia="Times New Roman" w:cs="Times New Roman"/>
                <w:color w:val="000000"/>
                <w:sz w:val="20"/>
                <w:lang w:eastAsia="sk-SK"/>
              </w:rPr>
            </w:pPr>
            <w:r>
              <w:rPr>
                <w:color w:val="000000"/>
                <w:sz w:val="20"/>
              </w:rPr>
              <w:t>47,8</w:t>
            </w:r>
          </w:p>
        </w:tc>
        <w:tc>
          <w:tcPr>
            <w:tcW w:w="850" w:type="dxa"/>
            <w:tcBorders>
              <w:top w:val="single" w:sz="4" w:space="0" w:color="auto"/>
              <w:left w:val="nil"/>
              <w:bottom w:val="nil"/>
              <w:right w:val="nil"/>
            </w:tcBorders>
            <w:shd w:val="clear" w:color="000000" w:fill="FFFFFF"/>
            <w:vAlign w:val="bottom"/>
            <w:hideMark/>
          </w:tcPr>
          <w:p w14:paraId="67FE7C27" w14:textId="412573FC" w:rsidR="002A479F" w:rsidRPr="008C063B" w:rsidRDefault="002A479F" w:rsidP="002A479F">
            <w:pPr>
              <w:spacing w:after="0" w:line="240" w:lineRule="auto"/>
              <w:jc w:val="center"/>
              <w:rPr>
                <w:rFonts w:eastAsia="Times New Roman" w:cs="Times New Roman"/>
                <w:color w:val="000000"/>
                <w:sz w:val="20"/>
                <w:lang w:eastAsia="sk-SK"/>
              </w:rPr>
            </w:pPr>
            <w:r>
              <w:rPr>
                <w:color w:val="000000"/>
                <w:sz w:val="20"/>
              </w:rPr>
              <w:t>52,1</w:t>
            </w:r>
          </w:p>
        </w:tc>
        <w:tc>
          <w:tcPr>
            <w:tcW w:w="709" w:type="dxa"/>
            <w:tcBorders>
              <w:top w:val="single" w:sz="4" w:space="0" w:color="auto"/>
              <w:left w:val="nil"/>
              <w:bottom w:val="nil"/>
              <w:right w:val="nil"/>
            </w:tcBorders>
            <w:shd w:val="clear" w:color="000000" w:fill="FFFFFF"/>
            <w:vAlign w:val="bottom"/>
            <w:hideMark/>
          </w:tcPr>
          <w:p w14:paraId="28EDE0C7" w14:textId="54DF7385" w:rsidR="002A479F" w:rsidRPr="008C063B" w:rsidRDefault="002A479F" w:rsidP="002A479F">
            <w:pPr>
              <w:spacing w:after="0" w:line="240" w:lineRule="auto"/>
              <w:jc w:val="center"/>
              <w:rPr>
                <w:rFonts w:eastAsia="Times New Roman" w:cs="Times New Roman"/>
                <w:color w:val="000000"/>
                <w:sz w:val="20"/>
                <w:lang w:eastAsia="sk-SK"/>
              </w:rPr>
            </w:pPr>
            <w:r>
              <w:rPr>
                <w:color w:val="000000"/>
                <w:sz w:val="20"/>
              </w:rPr>
              <w:t>56,8</w:t>
            </w:r>
          </w:p>
        </w:tc>
        <w:tc>
          <w:tcPr>
            <w:tcW w:w="709" w:type="dxa"/>
            <w:tcBorders>
              <w:top w:val="single" w:sz="4" w:space="0" w:color="auto"/>
              <w:left w:val="nil"/>
              <w:bottom w:val="nil"/>
              <w:right w:val="nil"/>
            </w:tcBorders>
            <w:shd w:val="clear" w:color="000000" w:fill="FFFFFF"/>
            <w:vAlign w:val="bottom"/>
            <w:hideMark/>
          </w:tcPr>
          <w:p w14:paraId="48D4E864" w14:textId="1B5FA184" w:rsidR="002A479F" w:rsidRPr="008C063B" w:rsidRDefault="002A479F" w:rsidP="002A479F">
            <w:pPr>
              <w:spacing w:after="0" w:line="240" w:lineRule="auto"/>
              <w:jc w:val="center"/>
              <w:rPr>
                <w:rFonts w:eastAsia="Times New Roman" w:cs="Times New Roman"/>
                <w:color w:val="000000"/>
                <w:sz w:val="20"/>
                <w:lang w:eastAsia="sk-SK"/>
              </w:rPr>
            </w:pPr>
            <w:r>
              <w:rPr>
                <w:color w:val="000000"/>
                <w:sz w:val="20"/>
              </w:rPr>
              <w:t>59,6</w:t>
            </w:r>
          </w:p>
        </w:tc>
        <w:tc>
          <w:tcPr>
            <w:tcW w:w="708" w:type="dxa"/>
            <w:tcBorders>
              <w:top w:val="single" w:sz="4" w:space="0" w:color="auto"/>
              <w:left w:val="nil"/>
              <w:bottom w:val="nil"/>
              <w:right w:val="nil"/>
            </w:tcBorders>
            <w:shd w:val="clear" w:color="000000" w:fill="FFFFFF"/>
            <w:vAlign w:val="bottom"/>
            <w:hideMark/>
          </w:tcPr>
          <w:p w14:paraId="2AE423B7" w14:textId="3EC40385" w:rsidR="002A479F" w:rsidRPr="008C063B" w:rsidRDefault="002A479F" w:rsidP="002A479F">
            <w:pPr>
              <w:spacing w:after="0" w:line="240" w:lineRule="auto"/>
              <w:jc w:val="center"/>
              <w:rPr>
                <w:rFonts w:eastAsia="Times New Roman" w:cs="Times New Roman"/>
                <w:color w:val="000000"/>
                <w:sz w:val="20"/>
                <w:lang w:eastAsia="sk-SK"/>
              </w:rPr>
            </w:pPr>
            <w:r>
              <w:rPr>
                <w:color w:val="000000"/>
                <w:sz w:val="20"/>
              </w:rPr>
              <w:t>61,9</w:t>
            </w:r>
          </w:p>
        </w:tc>
      </w:tr>
      <w:tr w:rsidR="002A479F" w:rsidRPr="008C063B" w14:paraId="5C531CE4" w14:textId="77777777" w:rsidTr="008C063B">
        <w:trPr>
          <w:trHeight w:val="510"/>
        </w:trPr>
        <w:tc>
          <w:tcPr>
            <w:tcW w:w="4536" w:type="dxa"/>
            <w:tcBorders>
              <w:top w:val="nil"/>
              <w:left w:val="nil"/>
              <w:bottom w:val="nil"/>
              <w:right w:val="nil"/>
            </w:tcBorders>
            <w:shd w:val="clear" w:color="000000" w:fill="FFFFFF"/>
            <w:vAlign w:val="bottom"/>
            <w:hideMark/>
          </w:tcPr>
          <w:p w14:paraId="26A5978C" w14:textId="77777777" w:rsidR="002A479F" w:rsidRPr="008C063B" w:rsidRDefault="002A479F" w:rsidP="002A479F">
            <w:pPr>
              <w:spacing w:after="0" w:line="240" w:lineRule="auto"/>
              <w:jc w:val="left"/>
              <w:rPr>
                <w:rFonts w:eastAsia="Times New Roman" w:cs="Times New Roman"/>
                <w:color w:val="000000"/>
                <w:sz w:val="20"/>
                <w:lang w:eastAsia="sk-SK"/>
              </w:rPr>
            </w:pPr>
            <w:r w:rsidRPr="008C063B">
              <w:rPr>
                <w:rFonts w:eastAsia="Times New Roman" w:cs="Times New Roman"/>
                <w:color w:val="000000"/>
                <w:sz w:val="20"/>
                <w:lang w:eastAsia="sk-SK"/>
              </w:rPr>
              <w:t>Osobné náklady na pedagogických asistentov pre žiakov so ZZ v bežných základných a stredných školách</w:t>
            </w:r>
          </w:p>
        </w:tc>
        <w:tc>
          <w:tcPr>
            <w:tcW w:w="851" w:type="dxa"/>
            <w:tcBorders>
              <w:top w:val="nil"/>
              <w:left w:val="nil"/>
              <w:bottom w:val="nil"/>
              <w:right w:val="nil"/>
            </w:tcBorders>
            <w:shd w:val="clear" w:color="000000" w:fill="FFFFFF"/>
            <w:vAlign w:val="bottom"/>
            <w:hideMark/>
          </w:tcPr>
          <w:p w14:paraId="39B39972" w14:textId="77777777" w:rsidR="002A479F" w:rsidRPr="008C063B" w:rsidRDefault="002A479F" w:rsidP="002A479F">
            <w:pPr>
              <w:spacing w:after="0" w:line="240" w:lineRule="auto"/>
              <w:jc w:val="center"/>
              <w:rPr>
                <w:rFonts w:eastAsia="Times New Roman" w:cs="Times New Roman"/>
                <w:color w:val="000000"/>
                <w:sz w:val="20"/>
                <w:lang w:eastAsia="sk-SK"/>
              </w:rPr>
            </w:pPr>
            <w:r w:rsidRPr="008C063B">
              <w:rPr>
                <w:rFonts w:eastAsia="Times New Roman" w:cs="Times New Roman"/>
                <w:color w:val="000000"/>
                <w:sz w:val="20"/>
                <w:lang w:eastAsia="sk-SK"/>
              </w:rPr>
              <w:t>MŠVVŠ</w:t>
            </w:r>
          </w:p>
        </w:tc>
        <w:tc>
          <w:tcPr>
            <w:tcW w:w="709" w:type="dxa"/>
            <w:tcBorders>
              <w:top w:val="nil"/>
              <w:left w:val="nil"/>
              <w:bottom w:val="nil"/>
              <w:right w:val="nil"/>
            </w:tcBorders>
            <w:shd w:val="clear" w:color="000000" w:fill="FFFFFF"/>
            <w:vAlign w:val="bottom"/>
            <w:hideMark/>
          </w:tcPr>
          <w:p w14:paraId="3A127E1C" w14:textId="00C7D27F" w:rsidR="002A479F" w:rsidRPr="008C063B" w:rsidRDefault="002A479F" w:rsidP="002A479F">
            <w:pPr>
              <w:spacing w:after="0" w:line="240" w:lineRule="auto"/>
              <w:jc w:val="center"/>
              <w:rPr>
                <w:rFonts w:eastAsia="Times New Roman" w:cs="Times New Roman"/>
                <w:color w:val="000000"/>
                <w:sz w:val="20"/>
                <w:lang w:eastAsia="sk-SK"/>
              </w:rPr>
            </w:pPr>
            <w:r>
              <w:rPr>
                <w:color w:val="000000"/>
                <w:sz w:val="20"/>
              </w:rPr>
              <w:t>17,2</w:t>
            </w:r>
          </w:p>
        </w:tc>
        <w:tc>
          <w:tcPr>
            <w:tcW w:w="850" w:type="dxa"/>
            <w:tcBorders>
              <w:top w:val="nil"/>
              <w:left w:val="nil"/>
              <w:bottom w:val="nil"/>
              <w:right w:val="nil"/>
            </w:tcBorders>
            <w:shd w:val="clear" w:color="000000" w:fill="FFFFFF"/>
            <w:vAlign w:val="bottom"/>
            <w:hideMark/>
          </w:tcPr>
          <w:p w14:paraId="727CCDE3" w14:textId="0CE30910" w:rsidR="002A479F" w:rsidRPr="008C063B" w:rsidRDefault="002A479F" w:rsidP="002A479F">
            <w:pPr>
              <w:spacing w:after="0" w:line="240" w:lineRule="auto"/>
              <w:jc w:val="center"/>
              <w:rPr>
                <w:rFonts w:eastAsia="Times New Roman" w:cs="Times New Roman"/>
                <w:color w:val="000000"/>
                <w:sz w:val="20"/>
                <w:lang w:eastAsia="sk-SK"/>
              </w:rPr>
            </w:pPr>
            <w:r>
              <w:rPr>
                <w:color w:val="000000"/>
                <w:sz w:val="20"/>
              </w:rPr>
              <w:t>18,9</w:t>
            </w:r>
          </w:p>
        </w:tc>
        <w:tc>
          <w:tcPr>
            <w:tcW w:w="709" w:type="dxa"/>
            <w:tcBorders>
              <w:top w:val="nil"/>
              <w:left w:val="nil"/>
              <w:bottom w:val="nil"/>
              <w:right w:val="nil"/>
            </w:tcBorders>
            <w:shd w:val="clear" w:color="000000" w:fill="FFFFFF"/>
            <w:vAlign w:val="bottom"/>
            <w:hideMark/>
          </w:tcPr>
          <w:p w14:paraId="38F375E0" w14:textId="7CDF63C1" w:rsidR="002A479F" w:rsidRPr="008C063B" w:rsidRDefault="002A479F" w:rsidP="002A479F">
            <w:pPr>
              <w:spacing w:after="0" w:line="240" w:lineRule="auto"/>
              <w:jc w:val="center"/>
              <w:rPr>
                <w:rFonts w:eastAsia="Times New Roman" w:cs="Times New Roman"/>
                <w:color w:val="000000"/>
                <w:sz w:val="20"/>
                <w:lang w:eastAsia="sk-SK"/>
              </w:rPr>
            </w:pPr>
            <w:r>
              <w:rPr>
                <w:color w:val="000000"/>
                <w:sz w:val="20"/>
              </w:rPr>
              <w:t>20,8</w:t>
            </w:r>
          </w:p>
        </w:tc>
        <w:tc>
          <w:tcPr>
            <w:tcW w:w="709" w:type="dxa"/>
            <w:tcBorders>
              <w:top w:val="nil"/>
              <w:left w:val="nil"/>
              <w:bottom w:val="nil"/>
              <w:right w:val="nil"/>
            </w:tcBorders>
            <w:shd w:val="clear" w:color="000000" w:fill="FFFFFF"/>
            <w:vAlign w:val="bottom"/>
            <w:hideMark/>
          </w:tcPr>
          <w:p w14:paraId="6EFDE851" w14:textId="2102F09E" w:rsidR="002A479F" w:rsidRPr="008C063B" w:rsidRDefault="002A479F" w:rsidP="002A479F">
            <w:pPr>
              <w:spacing w:after="0" w:line="240" w:lineRule="auto"/>
              <w:jc w:val="center"/>
              <w:rPr>
                <w:rFonts w:eastAsia="Times New Roman" w:cs="Times New Roman"/>
                <w:color w:val="000000"/>
                <w:sz w:val="20"/>
                <w:lang w:eastAsia="sk-SK"/>
              </w:rPr>
            </w:pPr>
            <w:r>
              <w:rPr>
                <w:color w:val="000000"/>
                <w:sz w:val="20"/>
              </w:rPr>
              <w:t>22,0</w:t>
            </w:r>
          </w:p>
        </w:tc>
        <w:tc>
          <w:tcPr>
            <w:tcW w:w="708" w:type="dxa"/>
            <w:tcBorders>
              <w:top w:val="nil"/>
              <w:left w:val="nil"/>
              <w:bottom w:val="nil"/>
              <w:right w:val="nil"/>
            </w:tcBorders>
            <w:shd w:val="clear" w:color="000000" w:fill="FFFFFF"/>
            <w:vAlign w:val="bottom"/>
            <w:hideMark/>
          </w:tcPr>
          <w:p w14:paraId="1DC65261" w14:textId="08D5A542" w:rsidR="002A479F" w:rsidRPr="008C063B" w:rsidRDefault="002A479F" w:rsidP="002A479F">
            <w:pPr>
              <w:spacing w:after="0" w:line="240" w:lineRule="auto"/>
              <w:jc w:val="center"/>
              <w:rPr>
                <w:rFonts w:eastAsia="Times New Roman" w:cs="Times New Roman"/>
                <w:color w:val="000000"/>
                <w:sz w:val="20"/>
                <w:lang w:eastAsia="sk-SK"/>
              </w:rPr>
            </w:pPr>
            <w:r>
              <w:rPr>
                <w:color w:val="000000"/>
                <w:sz w:val="20"/>
              </w:rPr>
              <w:t>22,8</w:t>
            </w:r>
          </w:p>
        </w:tc>
      </w:tr>
      <w:tr w:rsidR="000B098B" w:rsidRPr="008C063B" w14:paraId="6CA4A656" w14:textId="77777777" w:rsidTr="008C063B">
        <w:trPr>
          <w:trHeight w:val="510"/>
        </w:trPr>
        <w:tc>
          <w:tcPr>
            <w:tcW w:w="4536" w:type="dxa"/>
            <w:tcBorders>
              <w:top w:val="nil"/>
              <w:left w:val="nil"/>
              <w:bottom w:val="nil"/>
              <w:right w:val="nil"/>
            </w:tcBorders>
            <w:shd w:val="clear" w:color="000000" w:fill="FFFFFF"/>
            <w:vAlign w:val="bottom"/>
            <w:hideMark/>
          </w:tcPr>
          <w:p w14:paraId="7B8845DE" w14:textId="07318FE0" w:rsidR="000B098B" w:rsidRPr="008C063B" w:rsidRDefault="000B098B" w:rsidP="000B098B">
            <w:pPr>
              <w:spacing w:after="0" w:line="240" w:lineRule="auto"/>
              <w:jc w:val="left"/>
              <w:rPr>
                <w:rFonts w:eastAsia="Times New Roman" w:cs="Times New Roman"/>
                <w:color w:val="000000"/>
                <w:sz w:val="20"/>
                <w:lang w:eastAsia="sk-SK"/>
              </w:rPr>
            </w:pPr>
            <w:r>
              <w:rPr>
                <w:rFonts w:eastAsia="Times New Roman" w:cs="Times New Roman"/>
                <w:color w:val="000000"/>
                <w:sz w:val="20"/>
                <w:lang w:eastAsia="sk-SK"/>
              </w:rPr>
              <w:t>Rozvojový p</w:t>
            </w:r>
            <w:r w:rsidR="008D565A">
              <w:rPr>
                <w:rFonts w:eastAsia="Times New Roman" w:cs="Times New Roman"/>
                <w:color w:val="000000"/>
                <w:sz w:val="20"/>
                <w:lang w:eastAsia="sk-SK"/>
              </w:rPr>
              <w:t>rojekt</w:t>
            </w:r>
            <w:r w:rsidRPr="008C063B">
              <w:rPr>
                <w:rFonts w:eastAsia="Times New Roman" w:cs="Times New Roman"/>
                <w:color w:val="000000"/>
                <w:sz w:val="20"/>
                <w:lang w:eastAsia="sk-SK"/>
              </w:rPr>
              <w:t xml:space="preserve"> Odstránenie stavebných bariér v bežných školách, ktoré navštevujú žiaci so ZZ</w:t>
            </w:r>
          </w:p>
        </w:tc>
        <w:tc>
          <w:tcPr>
            <w:tcW w:w="851" w:type="dxa"/>
            <w:tcBorders>
              <w:top w:val="nil"/>
              <w:left w:val="nil"/>
              <w:bottom w:val="nil"/>
              <w:right w:val="nil"/>
            </w:tcBorders>
            <w:shd w:val="clear" w:color="000000" w:fill="FFFFFF"/>
            <w:vAlign w:val="bottom"/>
            <w:hideMark/>
          </w:tcPr>
          <w:p w14:paraId="35ED5D32" w14:textId="77777777" w:rsidR="000B098B" w:rsidRPr="008C063B" w:rsidRDefault="000B098B" w:rsidP="000B098B">
            <w:pPr>
              <w:spacing w:after="0" w:line="240" w:lineRule="auto"/>
              <w:jc w:val="center"/>
              <w:rPr>
                <w:rFonts w:eastAsia="Times New Roman" w:cs="Times New Roman"/>
                <w:color w:val="000000"/>
                <w:sz w:val="20"/>
                <w:lang w:eastAsia="sk-SK"/>
              </w:rPr>
            </w:pPr>
            <w:r w:rsidRPr="008C063B">
              <w:rPr>
                <w:rFonts w:eastAsia="Times New Roman" w:cs="Times New Roman"/>
                <w:color w:val="000000"/>
                <w:sz w:val="20"/>
                <w:lang w:eastAsia="sk-SK"/>
              </w:rPr>
              <w:t>MŠVVŠ</w:t>
            </w:r>
          </w:p>
        </w:tc>
        <w:tc>
          <w:tcPr>
            <w:tcW w:w="709" w:type="dxa"/>
            <w:tcBorders>
              <w:top w:val="nil"/>
              <w:left w:val="nil"/>
              <w:bottom w:val="nil"/>
              <w:right w:val="nil"/>
            </w:tcBorders>
            <w:shd w:val="clear" w:color="000000" w:fill="FFFFFF"/>
            <w:vAlign w:val="bottom"/>
            <w:hideMark/>
          </w:tcPr>
          <w:p w14:paraId="6E1D1144" w14:textId="77777777" w:rsidR="000B098B" w:rsidRPr="008C063B" w:rsidRDefault="000B098B" w:rsidP="000B098B">
            <w:pPr>
              <w:spacing w:after="0" w:line="240" w:lineRule="auto"/>
              <w:jc w:val="center"/>
              <w:rPr>
                <w:rFonts w:eastAsia="Times New Roman" w:cs="Times New Roman"/>
                <w:color w:val="000000"/>
                <w:sz w:val="20"/>
                <w:lang w:eastAsia="sk-SK"/>
              </w:rPr>
            </w:pPr>
            <w:r w:rsidRPr="008C063B">
              <w:rPr>
                <w:rFonts w:eastAsia="Times New Roman" w:cs="Times New Roman"/>
                <w:color w:val="000000"/>
                <w:sz w:val="20"/>
                <w:lang w:eastAsia="sk-SK"/>
              </w:rPr>
              <w:t>0,2</w:t>
            </w:r>
          </w:p>
        </w:tc>
        <w:tc>
          <w:tcPr>
            <w:tcW w:w="850" w:type="dxa"/>
            <w:tcBorders>
              <w:top w:val="nil"/>
              <w:left w:val="nil"/>
              <w:bottom w:val="nil"/>
              <w:right w:val="nil"/>
            </w:tcBorders>
            <w:shd w:val="clear" w:color="000000" w:fill="FFFFFF"/>
            <w:vAlign w:val="bottom"/>
            <w:hideMark/>
          </w:tcPr>
          <w:p w14:paraId="6C2C5031" w14:textId="13692F03" w:rsidR="000B098B" w:rsidRPr="008C063B" w:rsidRDefault="002A479F" w:rsidP="000B098B">
            <w:pPr>
              <w:spacing w:after="0" w:line="240" w:lineRule="auto"/>
              <w:jc w:val="center"/>
              <w:rPr>
                <w:rFonts w:eastAsia="Times New Roman" w:cs="Times New Roman"/>
                <w:color w:val="000000"/>
                <w:sz w:val="20"/>
                <w:lang w:eastAsia="sk-SK"/>
              </w:rPr>
            </w:pPr>
            <w:r>
              <w:rPr>
                <w:color w:val="000000"/>
                <w:sz w:val="20"/>
              </w:rPr>
              <w:t>0,2</w:t>
            </w:r>
          </w:p>
        </w:tc>
        <w:tc>
          <w:tcPr>
            <w:tcW w:w="709" w:type="dxa"/>
            <w:tcBorders>
              <w:top w:val="nil"/>
              <w:left w:val="nil"/>
              <w:bottom w:val="nil"/>
              <w:right w:val="nil"/>
            </w:tcBorders>
            <w:shd w:val="clear" w:color="000000" w:fill="FFFFFF"/>
            <w:vAlign w:val="bottom"/>
            <w:hideMark/>
          </w:tcPr>
          <w:p w14:paraId="7B0D569E" w14:textId="453D4721" w:rsidR="000B098B" w:rsidRPr="008C063B" w:rsidRDefault="002A479F" w:rsidP="000B098B">
            <w:pPr>
              <w:spacing w:after="0" w:line="240" w:lineRule="auto"/>
              <w:jc w:val="center"/>
              <w:rPr>
                <w:rFonts w:eastAsia="Times New Roman" w:cs="Times New Roman"/>
                <w:color w:val="000000"/>
                <w:sz w:val="20"/>
                <w:lang w:eastAsia="sk-SK"/>
              </w:rPr>
            </w:pPr>
            <w:r>
              <w:rPr>
                <w:color w:val="000000"/>
                <w:sz w:val="20"/>
              </w:rPr>
              <w:t>0,2</w:t>
            </w:r>
          </w:p>
        </w:tc>
        <w:tc>
          <w:tcPr>
            <w:tcW w:w="709" w:type="dxa"/>
            <w:tcBorders>
              <w:top w:val="nil"/>
              <w:left w:val="nil"/>
              <w:bottom w:val="nil"/>
              <w:right w:val="nil"/>
            </w:tcBorders>
            <w:shd w:val="clear" w:color="000000" w:fill="FFFFFF"/>
            <w:vAlign w:val="bottom"/>
            <w:hideMark/>
          </w:tcPr>
          <w:p w14:paraId="49C0DE1D" w14:textId="5ADE89F0" w:rsidR="000B098B" w:rsidRPr="008C063B" w:rsidRDefault="002A479F" w:rsidP="000B098B">
            <w:pPr>
              <w:spacing w:after="0" w:line="240" w:lineRule="auto"/>
              <w:jc w:val="center"/>
              <w:rPr>
                <w:rFonts w:eastAsia="Times New Roman" w:cs="Times New Roman"/>
                <w:color w:val="000000"/>
                <w:sz w:val="20"/>
                <w:lang w:eastAsia="sk-SK"/>
              </w:rPr>
            </w:pPr>
            <w:r>
              <w:rPr>
                <w:color w:val="000000"/>
                <w:sz w:val="20"/>
              </w:rPr>
              <w:t>0,2</w:t>
            </w:r>
          </w:p>
        </w:tc>
        <w:tc>
          <w:tcPr>
            <w:tcW w:w="708" w:type="dxa"/>
            <w:tcBorders>
              <w:top w:val="nil"/>
              <w:left w:val="nil"/>
              <w:bottom w:val="nil"/>
              <w:right w:val="nil"/>
            </w:tcBorders>
            <w:shd w:val="clear" w:color="000000" w:fill="FFFFFF"/>
            <w:vAlign w:val="bottom"/>
            <w:hideMark/>
          </w:tcPr>
          <w:p w14:paraId="0715DBF9" w14:textId="265EAAEF" w:rsidR="000B098B" w:rsidRPr="008C063B" w:rsidRDefault="002A479F" w:rsidP="000B098B">
            <w:pPr>
              <w:spacing w:after="0" w:line="240" w:lineRule="auto"/>
              <w:jc w:val="center"/>
              <w:rPr>
                <w:rFonts w:eastAsia="Times New Roman" w:cs="Times New Roman"/>
                <w:color w:val="000000"/>
                <w:sz w:val="20"/>
                <w:lang w:eastAsia="sk-SK"/>
              </w:rPr>
            </w:pPr>
            <w:r>
              <w:rPr>
                <w:color w:val="000000"/>
                <w:sz w:val="20"/>
              </w:rPr>
              <w:t>0,2</w:t>
            </w:r>
          </w:p>
        </w:tc>
      </w:tr>
      <w:tr w:rsidR="002A479F" w:rsidRPr="008C063B" w14:paraId="7482F107" w14:textId="77777777" w:rsidTr="00790716">
        <w:trPr>
          <w:trHeight w:val="255"/>
        </w:trPr>
        <w:tc>
          <w:tcPr>
            <w:tcW w:w="4536" w:type="dxa"/>
            <w:tcBorders>
              <w:top w:val="nil"/>
              <w:left w:val="nil"/>
              <w:bottom w:val="nil"/>
              <w:right w:val="nil"/>
            </w:tcBorders>
            <w:shd w:val="clear" w:color="000000" w:fill="FFFFFF"/>
            <w:vAlign w:val="bottom"/>
            <w:hideMark/>
          </w:tcPr>
          <w:p w14:paraId="7505A495" w14:textId="477BFE4C" w:rsidR="002A479F" w:rsidRPr="008C063B" w:rsidRDefault="002A479F" w:rsidP="002A479F">
            <w:pPr>
              <w:spacing w:after="0" w:line="240" w:lineRule="auto"/>
              <w:jc w:val="left"/>
              <w:rPr>
                <w:rFonts w:eastAsia="Times New Roman" w:cs="Times New Roman"/>
                <w:color w:val="000000"/>
                <w:sz w:val="20"/>
                <w:lang w:eastAsia="sk-SK"/>
              </w:rPr>
            </w:pPr>
            <w:r w:rsidRPr="008C063B">
              <w:rPr>
                <w:rFonts w:eastAsia="Times New Roman" w:cs="Times New Roman"/>
                <w:color w:val="000000"/>
                <w:sz w:val="20"/>
                <w:lang w:eastAsia="sk-SK"/>
              </w:rPr>
              <w:t xml:space="preserve">Navýšené </w:t>
            </w:r>
            <w:r>
              <w:rPr>
                <w:rFonts w:eastAsia="Times New Roman" w:cs="Times New Roman"/>
                <w:color w:val="000000"/>
                <w:sz w:val="20"/>
                <w:lang w:eastAsia="sk-SK"/>
              </w:rPr>
              <w:t>normatívy na integr.</w:t>
            </w:r>
            <w:r w:rsidRPr="008C063B">
              <w:rPr>
                <w:rFonts w:eastAsia="Times New Roman" w:cs="Times New Roman"/>
                <w:color w:val="000000"/>
                <w:sz w:val="20"/>
                <w:lang w:eastAsia="sk-SK"/>
              </w:rPr>
              <w:t xml:space="preserve"> žiakov so ZZ v gymnáziách</w:t>
            </w:r>
          </w:p>
        </w:tc>
        <w:tc>
          <w:tcPr>
            <w:tcW w:w="851" w:type="dxa"/>
            <w:tcBorders>
              <w:top w:val="nil"/>
              <w:left w:val="nil"/>
              <w:bottom w:val="nil"/>
              <w:right w:val="nil"/>
            </w:tcBorders>
            <w:shd w:val="clear" w:color="000000" w:fill="FFFFFF"/>
            <w:vAlign w:val="bottom"/>
            <w:hideMark/>
          </w:tcPr>
          <w:p w14:paraId="7487EF39" w14:textId="77777777" w:rsidR="002A479F" w:rsidRPr="008C063B" w:rsidRDefault="002A479F" w:rsidP="002A479F">
            <w:pPr>
              <w:spacing w:after="0" w:line="240" w:lineRule="auto"/>
              <w:jc w:val="center"/>
              <w:rPr>
                <w:rFonts w:eastAsia="Times New Roman" w:cs="Times New Roman"/>
                <w:color w:val="000000"/>
                <w:sz w:val="20"/>
                <w:lang w:eastAsia="sk-SK"/>
              </w:rPr>
            </w:pPr>
            <w:r w:rsidRPr="008C063B">
              <w:rPr>
                <w:rFonts w:eastAsia="Times New Roman" w:cs="Times New Roman"/>
                <w:color w:val="000000"/>
                <w:sz w:val="20"/>
                <w:lang w:eastAsia="sk-SK"/>
              </w:rPr>
              <w:t>MŠVVŠ</w:t>
            </w:r>
          </w:p>
        </w:tc>
        <w:tc>
          <w:tcPr>
            <w:tcW w:w="709" w:type="dxa"/>
            <w:tcBorders>
              <w:top w:val="nil"/>
              <w:left w:val="nil"/>
              <w:bottom w:val="nil"/>
              <w:right w:val="nil"/>
            </w:tcBorders>
            <w:shd w:val="clear" w:color="000000" w:fill="FFFFFF"/>
            <w:vAlign w:val="bottom"/>
            <w:hideMark/>
          </w:tcPr>
          <w:p w14:paraId="1DF14ABB" w14:textId="18D05823" w:rsidR="002A479F" w:rsidRPr="008C063B" w:rsidRDefault="002A479F" w:rsidP="002A479F">
            <w:pPr>
              <w:spacing w:after="0" w:line="240" w:lineRule="auto"/>
              <w:jc w:val="center"/>
              <w:rPr>
                <w:rFonts w:eastAsia="Times New Roman" w:cs="Times New Roman"/>
                <w:color w:val="000000"/>
                <w:sz w:val="20"/>
                <w:lang w:eastAsia="sk-SK"/>
              </w:rPr>
            </w:pPr>
            <w:r>
              <w:rPr>
                <w:color w:val="000000"/>
                <w:sz w:val="20"/>
              </w:rPr>
              <w:t>1,3</w:t>
            </w:r>
          </w:p>
        </w:tc>
        <w:tc>
          <w:tcPr>
            <w:tcW w:w="850" w:type="dxa"/>
            <w:tcBorders>
              <w:top w:val="nil"/>
              <w:left w:val="nil"/>
              <w:bottom w:val="nil"/>
              <w:right w:val="nil"/>
            </w:tcBorders>
            <w:shd w:val="clear" w:color="000000" w:fill="FFFFFF"/>
            <w:vAlign w:val="bottom"/>
            <w:hideMark/>
          </w:tcPr>
          <w:p w14:paraId="4CCCA680" w14:textId="0BD1EADE" w:rsidR="002A479F" w:rsidRPr="008C063B" w:rsidRDefault="002A479F" w:rsidP="002A479F">
            <w:pPr>
              <w:spacing w:after="0" w:line="240" w:lineRule="auto"/>
              <w:jc w:val="center"/>
              <w:rPr>
                <w:rFonts w:eastAsia="Times New Roman" w:cs="Times New Roman"/>
                <w:color w:val="000000"/>
                <w:sz w:val="20"/>
                <w:lang w:eastAsia="sk-SK"/>
              </w:rPr>
            </w:pPr>
            <w:r>
              <w:rPr>
                <w:color w:val="000000"/>
                <w:sz w:val="20"/>
              </w:rPr>
              <w:t>1,4</w:t>
            </w:r>
          </w:p>
        </w:tc>
        <w:tc>
          <w:tcPr>
            <w:tcW w:w="709" w:type="dxa"/>
            <w:tcBorders>
              <w:top w:val="nil"/>
              <w:left w:val="nil"/>
              <w:bottom w:val="nil"/>
              <w:right w:val="nil"/>
            </w:tcBorders>
            <w:shd w:val="clear" w:color="000000" w:fill="FFFFFF"/>
            <w:vAlign w:val="bottom"/>
            <w:hideMark/>
          </w:tcPr>
          <w:p w14:paraId="621C49AD" w14:textId="0F2C0A50" w:rsidR="002A479F" w:rsidRPr="008C063B" w:rsidRDefault="002A479F" w:rsidP="002A479F">
            <w:pPr>
              <w:spacing w:after="0" w:line="240" w:lineRule="auto"/>
              <w:jc w:val="center"/>
              <w:rPr>
                <w:rFonts w:eastAsia="Times New Roman" w:cs="Times New Roman"/>
                <w:color w:val="000000"/>
                <w:sz w:val="20"/>
                <w:lang w:eastAsia="sk-SK"/>
              </w:rPr>
            </w:pPr>
            <w:r>
              <w:rPr>
                <w:color w:val="000000"/>
                <w:sz w:val="20"/>
              </w:rPr>
              <w:t>1,6</w:t>
            </w:r>
          </w:p>
        </w:tc>
        <w:tc>
          <w:tcPr>
            <w:tcW w:w="709" w:type="dxa"/>
            <w:tcBorders>
              <w:top w:val="nil"/>
              <w:left w:val="nil"/>
              <w:bottom w:val="nil"/>
              <w:right w:val="nil"/>
            </w:tcBorders>
            <w:shd w:val="clear" w:color="000000" w:fill="FFFFFF"/>
            <w:vAlign w:val="bottom"/>
            <w:hideMark/>
          </w:tcPr>
          <w:p w14:paraId="72434F21" w14:textId="2794535D" w:rsidR="002A479F" w:rsidRPr="008C063B" w:rsidRDefault="002A479F" w:rsidP="002A479F">
            <w:pPr>
              <w:spacing w:after="0" w:line="240" w:lineRule="auto"/>
              <w:jc w:val="center"/>
              <w:rPr>
                <w:rFonts w:eastAsia="Times New Roman" w:cs="Times New Roman"/>
                <w:color w:val="000000"/>
                <w:sz w:val="20"/>
                <w:lang w:eastAsia="sk-SK"/>
              </w:rPr>
            </w:pPr>
            <w:r>
              <w:rPr>
                <w:color w:val="000000"/>
                <w:sz w:val="20"/>
              </w:rPr>
              <w:t>1,7</w:t>
            </w:r>
          </w:p>
        </w:tc>
        <w:tc>
          <w:tcPr>
            <w:tcW w:w="708" w:type="dxa"/>
            <w:tcBorders>
              <w:top w:val="nil"/>
              <w:left w:val="nil"/>
              <w:bottom w:val="nil"/>
              <w:right w:val="nil"/>
            </w:tcBorders>
            <w:shd w:val="clear" w:color="000000" w:fill="FFFFFF"/>
            <w:vAlign w:val="bottom"/>
            <w:hideMark/>
          </w:tcPr>
          <w:p w14:paraId="1B3FAAAA" w14:textId="004EE863" w:rsidR="002A479F" w:rsidRPr="008C063B" w:rsidRDefault="002A479F" w:rsidP="002A479F">
            <w:pPr>
              <w:spacing w:after="0" w:line="240" w:lineRule="auto"/>
              <w:jc w:val="center"/>
              <w:rPr>
                <w:rFonts w:eastAsia="Times New Roman" w:cs="Times New Roman"/>
                <w:color w:val="000000"/>
                <w:sz w:val="20"/>
                <w:lang w:eastAsia="sk-SK"/>
              </w:rPr>
            </w:pPr>
            <w:r>
              <w:rPr>
                <w:color w:val="000000"/>
                <w:sz w:val="20"/>
              </w:rPr>
              <w:t>1,7</w:t>
            </w:r>
          </w:p>
        </w:tc>
      </w:tr>
      <w:tr w:rsidR="00913AFC" w:rsidRPr="008C063B" w14:paraId="23D5EF1D" w14:textId="77777777" w:rsidTr="00790716">
        <w:trPr>
          <w:trHeight w:val="255"/>
        </w:trPr>
        <w:tc>
          <w:tcPr>
            <w:tcW w:w="4536" w:type="dxa"/>
            <w:tcBorders>
              <w:top w:val="nil"/>
              <w:left w:val="nil"/>
              <w:bottom w:val="nil"/>
              <w:right w:val="nil"/>
            </w:tcBorders>
            <w:shd w:val="clear" w:color="000000" w:fill="FFFFFF"/>
            <w:vAlign w:val="bottom"/>
          </w:tcPr>
          <w:p w14:paraId="2015233F" w14:textId="54AC1AF3" w:rsidR="00913AFC" w:rsidRPr="008C063B" w:rsidRDefault="00913AFC" w:rsidP="00913AFC">
            <w:pPr>
              <w:spacing w:after="0" w:line="240" w:lineRule="auto"/>
              <w:jc w:val="left"/>
              <w:rPr>
                <w:rFonts w:eastAsia="Times New Roman" w:cs="Times New Roman"/>
                <w:color w:val="000000"/>
                <w:sz w:val="20"/>
                <w:lang w:eastAsia="sk-SK"/>
              </w:rPr>
            </w:pPr>
            <w:r w:rsidRPr="008C063B">
              <w:rPr>
                <w:rFonts w:eastAsia="Times New Roman" w:cs="Times New Roman"/>
                <w:color w:val="000000"/>
                <w:sz w:val="20"/>
                <w:lang w:eastAsia="sk-SK"/>
              </w:rPr>
              <w:t xml:space="preserve">Navýšené </w:t>
            </w:r>
            <w:r>
              <w:rPr>
                <w:rFonts w:eastAsia="Times New Roman" w:cs="Times New Roman"/>
                <w:color w:val="000000"/>
                <w:sz w:val="20"/>
                <w:lang w:eastAsia="sk-SK"/>
              </w:rPr>
              <w:t>normatívy na integr. žiakov so ZZ v konzervatór.</w:t>
            </w:r>
          </w:p>
        </w:tc>
        <w:tc>
          <w:tcPr>
            <w:tcW w:w="851" w:type="dxa"/>
            <w:tcBorders>
              <w:top w:val="nil"/>
              <w:left w:val="nil"/>
              <w:bottom w:val="nil"/>
              <w:right w:val="nil"/>
            </w:tcBorders>
            <w:shd w:val="clear" w:color="000000" w:fill="FFFFFF"/>
            <w:vAlign w:val="bottom"/>
          </w:tcPr>
          <w:p w14:paraId="65F5F01E" w14:textId="4538BD6F" w:rsidR="00913AFC" w:rsidRPr="008C063B" w:rsidRDefault="00913AFC" w:rsidP="00913AFC">
            <w:pPr>
              <w:spacing w:after="0" w:line="240" w:lineRule="auto"/>
              <w:jc w:val="center"/>
              <w:rPr>
                <w:rFonts w:eastAsia="Times New Roman" w:cs="Times New Roman"/>
                <w:color w:val="000000"/>
                <w:sz w:val="20"/>
                <w:lang w:eastAsia="sk-SK"/>
              </w:rPr>
            </w:pPr>
            <w:r w:rsidRPr="008C063B">
              <w:rPr>
                <w:rFonts w:eastAsia="Times New Roman" w:cs="Times New Roman"/>
                <w:color w:val="000000"/>
                <w:sz w:val="20"/>
                <w:lang w:eastAsia="sk-SK"/>
              </w:rPr>
              <w:t>MŠVVŠ</w:t>
            </w:r>
          </w:p>
        </w:tc>
        <w:tc>
          <w:tcPr>
            <w:tcW w:w="709" w:type="dxa"/>
            <w:tcBorders>
              <w:top w:val="nil"/>
              <w:left w:val="nil"/>
              <w:bottom w:val="nil"/>
              <w:right w:val="nil"/>
            </w:tcBorders>
            <w:shd w:val="clear" w:color="000000" w:fill="FFFFFF"/>
            <w:vAlign w:val="bottom"/>
          </w:tcPr>
          <w:p w14:paraId="27098CA3" w14:textId="2A49673F" w:rsidR="00913AFC" w:rsidRPr="008C063B" w:rsidRDefault="00913AFC" w:rsidP="00913AFC">
            <w:pPr>
              <w:spacing w:after="0" w:line="240" w:lineRule="auto"/>
              <w:jc w:val="center"/>
              <w:rPr>
                <w:rFonts w:eastAsia="Times New Roman" w:cs="Times New Roman"/>
                <w:color w:val="000000"/>
                <w:sz w:val="20"/>
                <w:lang w:eastAsia="sk-SK"/>
              </w:rPr>
            </w:pPr>
            <w:r>
              <w:rPr>
                <w:color w:val="000000"/>
                <w:sz w:val="20"/>
              </w:rPr>
              <w:t>0,4</w:t>
            </w:r>
          </w:p>
        </w:tc>
        <w:tc>
          <w:tcPr>
            <w:tcW w:w="850" w:type="dxa"/>
            <w:tcBorders>
              <w:top w:val="nil"/>
              <w:left w:val="nil"/>
              <w:bottom w:val="nil"/>
              <w:right w:val="nil"/>
            </w:tcBorders>
            <w:shd w:val="clear" w:color="000000" w:fill="FFFFFF"/>
            <w:vAlign w:val="bottom"/>
          </w:tcPr>
          <w:p w14:paraId="3465059C" w14:textId="5D0A9A27" w:rsidR="00913AFC" w:rsidRDefault="00913AFC" w:rsidP="00913AFC">
            <w:pPr>
              <w:spacing w:after="0" w:line="240" w:lineRule="auto"/>
              <w:jc w:val="center"/>
              <w:rPr>
                <w:color w:val="000000"/>
                <w:sz w:val="20"/>
              </w:rPr>
            </w:pPr>
            <w:r>
              <w:rPr>
                <w:color w:val="000000"/>
                <w:sz w:val="20"/>
              </w:rPr>
              <w:t>0,4</w:t>
            </w:r>
          </w:p>
        </w:tc>
        <w:tc>
          <w:tcPr>
            <w:tcW w:w="709" w:type="dxa"/>
            <w:tcBorders>
              <w:top w:val="nil"/>
              <w:left w:val="nil"/>
              <w:bottom w:val="nil"/>
              <w:right w:val="nil"/>
            </w:tcBorders>
            <w:shd w:val="clear" w:color="000000" w:fill="FFFFFF"/>
            <w:vAlign w:val="bottom"/>
          </w:tcPr>
          <w:p w14:paraId="2294F496" w14:textId="7AC8A1D5" w:rsidR="00913AFC" w:rsidRDefault="00913AFC" w:rsidP="00913AFC">
            <w:pPr>
              <w:spacing w:after="0" w:line="240" w:lineRule="auto"/>
              <w:jc w:val="center"/>
              <w:rPr>
                <w:color w:val="000000"/>
                <w:sz w:val="20"/>
              </w:rPr>
            </w:pPr>
            <w:r>
              <w:rPr>
                <w:color w:val="000000"/>
                <w:sz w:val="20"/>
              </w:rPr>
              <w:t>0,5</w:t>
            </w:r>
          </w:p>
        </w:tc>
        <w:tc>
          <w:tcPr>
            <w:tcW w:w="709" w:type="dxa"/>
            <w:tcBorders>
              <w:top w:val="nil"/>
              <w:left w:val="nil"/>
              <w:bottom w:val="nil"/>
              <w:right w:val="nil"/>
            </w:tcBorders>
            <w:shd w:val="clear" w:color="000000" w:fill="FFFFFF"/>
            <w:vAlign w:val="bottom"/>
          </w:tcPr>
          <w:p w14:paraId="4777D9D6" w14:textId="7DF55625" w:rsidR="00913AFC" w:rsidRDefault="00913AFC" w:rsidP="00913AFC">
            <w:pPr>
              <w:spacing w:after="0" w:line="240" w:lineRule="auto"/>
              <w:jc w:val="center"/>
              <w:rPr>
                <w:color w:val="000000"/>
                <w:sz w:val="20"/>
              </w:rPr>
            </w:pPr>
            <w:r>
              <w:rPr>
                <w:color w:val="000000"/>
                <w:sz w:val="20"/>
              </w:rPr>
              <w:t>0,5</w:t>
            </w:r>
          </w:p>
        </w:tc>
        <w:tc>
          <w:tcPr>
            <w:tcW w:w="708" w:type="dxa"/>
            <w:tcBorders>
              <w:top w:val="nil"/>
              <w:left w:val="nil"/>
              <w:bottom w:val="nil"/>
              <w:right w:val="nil"/>
            </w:tcBorders>
            <w:shd w:val="clear" w:color="000000" w:fill="FFFFFF"/>
            <w:vAlign w:val="bottom"/>
          </w:tcPr>
          <w:p w14:paraId="5BECBB2F" w14:textId="47F6CDB1" w:rsidR="00913AFC" w:rsidRDefault="00913AFC" w:rsidP="00913AFC">
            <w:pPr>
              <w:spacing w:after="0" w:line="240" w:lineRule="auto"/>
              <w:jc w:val="center"/>
              <w:rPr>
                <w:color w:val="000000"/>
                <w:sz w:val="20"/>
              </w:rPr>
            </w:pPr>
            <w:r>
              <w:rPr>
                <w:color w:val="000000"/>
                <w:sz w:val="20"/>
              </w:rPr>
              <w:t>0,5</w:t>
            </w:r>
          </w:p>
        </w:tc>
      </w:tr>
      <w:tr w:rsidR="00913AFC" w:rsidRPr="008C063B" w14:paraId="6A3A935A" w14:textId="77777777" w:rsidTr="00790716">
        <w:trPr>
          <w:trHeight w:val="255"/>
        </w:trPr>
        <w:tc>
          <w:tcPr>
            <w:tcW w:w="4536" w:type="dxa"/>
            <w:tcBorders>
              <w:top w:val="nil"/>
              <w:left w:val="nil"/>
              <w:bottom w:val="nil"/>
              <w:right w:val="nil"/>
            </w:tcBorders>
            <w:shd w:val="clear" w:color="000000" w:fill="FFFFFF"/>
            <w:vAlign w:val="bottom"/>
            <w:hideMark/>
          </w:tcPr>
          <w:p w14:paraId="5E659F5D" w14:textId="195D635D" w:rsidR="00913AFC" w:rsidRPr="008C063B" w:rsidRDefault="00913AFC" w:rsidP="00913AFC">
            <w:pPr>
              <w:spacing w:after="0" w:line="240" w:lineRule="auto"/>
              <w:jc w:val="left"/>
              <w:rPr>
                <w:rFonts w:eastAsia="Times New Roman" w:cs="Times New Roman"/>
                <w:color w:val="000000"/>
                <w:sz w:val="20"/>
                <w:lang w:eastAsia="sk-SK"/>
              </w:rPr>
            </w:pPr>
            <w:r w:rsidRPr="008C063B">
              <w:rPr>
                <w:rFonts w:eastAsia="Times New Roman" w:cs="Times New Roman"/>
                <w:color w:val="000000"/>
                <w:sz w:val="20"/>
                <w:lang w:eastAsia="sk-SK"/>
              </w:rPr>
              <w:t>Nav</w:t>
            </w:r>
            <w:r>
              <w:rPr>
                <w:rFonts w:eastAsia="Times New Roman" w:cs="Times New Roman"/>
                <w:color w:val="000000"/>
                <w:sz w:val="20"/>
                <w:lang w:eastAsia="sk-SK"/>
              </w:rPr>
              <w:t>ýšené normatívy na integr.</w:t>
            </w:r>
            <w:r w:rsidRPr="008C063B">
              <w:rPr>
                <w:rFonts w:eastAsia="Times New Roman" w:cs="Times New Roman"/>
                <w:color w:val="000000"/>
                <w:sz w:val="20"/>
                <w:lang w:eastAsia="sk-SK"/>
              </w:rPr>
              <w:t xml:space="preserve"> žiakov so ZZ v </w:t>
            </w:r>
            <w:r>
              <w:rPr>
                <w:rFonts w:eastAsia="Times New Roman" w:cs="Times New Roman"/>
                <w:color w:val="000000"/>
                <w:sz w:val="20"/>
                <w:lang w:eastAsia="sk-SK"/>
              </w:rPr>
              <w:t>SOŠ</w:t>
            </w:r>
          </w:p>
        </w:tc>
        <w:tc>
          <w:tcPr>
            <w:tcW w:w="851" w:type="dxa"/>
            <w:tcBorders>
              <w:top w:val="nil"/>
              <w:left w:val="nil"/>
              <w:bottom w:val="nil"/>
              <w:right w:val="nil"/>
            </w:tcBorders>
            <w:shd w:val="clear" w:color="000000" w:fill="FFFFFF"/>
            <w:vAlign w:val="bottom"/>
            <w:hideMark/>
          </w:tcPr>
          <w:p w14:paraId="7B9F9C81" w14:textId="77777777" w:rsidR="00913AFC" w:rsidRPr="008C063B" w:rsidRDefault="00913AFC" w:rsidP="00913AFC">
            <w:pPr>
              <w:spacing w:after="0" w:line="240" w:lineRule="auto"/>
              <w:jc w:val="center"/>
              <w:rPr>
                <w:rFonts w:eastAsia="Times New Roman" w:cs="Times New Roman"/>
                <w:color w:val="000000"/>
                <w:sz w:val="20"/>
                <w:lang w:eastAsia="sk-SK"/>
              </w:rPr>
            </w:pPr>
            <w:r w:rsidRPr="008C063B">
              <w:rPr>
                <w:rFonts w:eastAsia="Times New Roman" w:cs="Times New Roman"/>
                <w:color w:val="000000"/>
                <w:sz w:val="20"/>
                <w:lang w:eastAsia="sk-SK"/>
              </w:rPr>
              <w:t>MŠVVŠ</w:t>
            </w:r>
          </w:p>
        </w:tc>
        <w:tc>
          <w:tcPr>
            <w:tcW w:w="709" w:type="dxa"/>
            <w:tcBorders>
              <w:top w:val="nil"/>
              <w:left w:val="nil"/>
              <w:bottom w:val="nil"/>
              <w:right w:val="nil"/>
            </w:tcBorders>
            <w:shd w:val="clear" w:color="000000" w:fill="FFFFFF"/>
            <w:vAlign w:val="bottom"/>
            <w:hideMark/>
          </w:tcPr>
          <w:p w14:paraId="35440C61" w14:textId="6E35CA05" w:rsidR="00913AFC" w:rsidRPr="008C063B" w:rsidRDefault="00913AFC" w:rsidP="00913AFC">
            <w:pPr>
              <w:spacing w:after="0" w:line="240" w:lineRule="auto"/>
              <w:jc w:val="center"/>
              <w:rPr>
                <w:rFonts w:eastAsia="Times New Roman" w:cs="Times New Roman"/>
                <w:color w:val="000000"/>
                <w:sz w:val="20"/>
                <w:lang w:eastAsia="sk-SK"/>
              </w:rPr>
            </w:pPr>
            <w:r>
              <w:rPr>
                <w:color w:val="000000"/>
                <w:sz w:val="20"/>
              </w:rPr>
              <w:t>16,7</w:t>
            </w:r>
          </w:p>
        </w:tc>
        <w:tc>
          <w:tcPr>
            <w:tcW w:w="850" w:type="dxa"/>
            <w:tcBorders>
              <w:top w:val="nil"/>
              <w:left w:val="nil"/>
              <w:bottom w:val="nil"/>
              <w:right w:val="nil"/>
            </w:tcBorders>
            <w:shd w:val="clear" w:color="000000" w:fill="FFFFFF"/>
            <w:vAlign w:val="bottom"/>
            <w:hideMark/>
          </w:tcPr>
          <w:p w14:paraId="0E9BC779" w14:textId="20941A88" w:rsidR="00913AFC" w:rsidRPr="008C063B" w:rsidRDefault="00913AFC" w:rsidP="00913AFC">
            <w:pPr>
              <w:spacing w:after="0" w:line="240" w:lineRule="auto"/>
              <w:jc w:val="center"/>
              <w:rPr>
                <w:rFonts w:eastAsia="Times New Roman" w:cs="Times New Roman"/>
                <w:color w:val="000000"/>
                <w:sz w:val="20"/>
                <w:lang w:eastAsia="sk-SK"/>
              </w:rPr>
            </w:pPr>
            <w:r>
              <w:rPr>
                <w:color w:val="000000"/>
                <w:sz w:val="20"/>
              </w:rPr>
              <w:t>18,2</w:t>
            </w:r>
          </w:p>
        </w:tc>
        <w:tc>
          <w:tcPr>
            <w:tcW w:w="709" w:type="dxa"/>
            <w:tcBorders>
              <w:top w:val="nil"/>
              <w:left w:val="nil"/>
              <w:bottom w:val="nil"/>
              <w:right w:val="nil"/>
            </w:tcBorders>
            <w:shd w:val="clear" w:color="000000" w:fill="FFFFFF"/>
            <w:vAlign w:val="bottom"/>
            <w:hideMark/>
          </w:tcPr>
          <w:p w14:paraId="09402575" w14:textId="6CCA86E1" w:rsidR="00913AFC" w:rsidRPr="008C063B" w:rsidRDefault="00913AFC" w:rsidP="00913AFC">
            <w:pPr>
              <w:spacing w:after="0" w:line="240" w:lineRule="auto"/>
              <w:jc w:val="center"/>
              <w:rPr>
                <w:rFonts w:eastAsia="Times New Roman" w:cs="Times New Roman"/>
                <w:color w:val="000000"/>
                <w:sz w:val="20"/>
                <w:lang w:eastAsia="sk-SK"/>
              </w:rPr>
            </w:pPr>
            <w:r>
              <w:rPr>
                <w:color w:val="000000"/>
                <w:sz w:val="20"/>
              </w:rPr>
              <w:t>19,9</w:t>
            </w:r>
          </w:p>
        </w:tc>
        <w:tc>
          <w:tcPr>
            <w:tcW w:w="709" w:type="dxa"/>
            <w:tcBorders>
              <w:top w:val="nil"/>
              <w:left w:val="nil"/>
              <w:bottom w:val="nil"/>
              <w:right w:val="nil"/>
            </w:tcBorders>
            <w:shd w:val="clear" w:color="000000" w:fill="FFFFFF"/>
            <w:vAlign w:val="bottom"/>
            <w:hideMark/>
          </w:tcPr>
          <w:p w14:paraId="7CE9AB54" w14:textId="30A55DC6" w:rsidR="00913AFC" w:rsidRPr="008C063B" w:rsidRDefault="00913AFC" w:rsidP="00913AFC">
            <w:pPr>
              <w:spacing w:after="0" w:line="240" w:lineRule="auto"/>
              <w:jc w:val="center"/>
              <w:rPr>
                <w:rFonts w:eastAsia="Times New Roman" w:cs="Times New Roman"/>
                <w:color w:val="000000"/>
                <w:sz w:val="20"/>
                <w:lang w:eastAsia="sk-SK"/>
              </w:rPr>
            </w:pPr>
            <w:r>
              <w:rPr>
                <w:color w:val="000000"/>
                <w:sz w:val="20"/>
              </w:rPr>
              <w:t>20,9</w:t>
            </w:r>
          </w:p>
        </w:tc>
        <w:tc>
          <w:tcPr>
            <w:tcW w:w="708" w:type="dxa"/>
            <w:tcBorders>
              <w:top w:val="nil"/>
              <w:left w:val="nil"/>
              <w:bottom w:val="nil"/>
              <w:right w:val="nil"/>
            </w:tcBorders>
            <w:shd w:val="clear" w:color="000000" w:fill="FFFFFF"/>
            <w:vAlign w:val="bottom"/>
            <w:hideMark/>
          </w:tcPr>
          <w:p w14:paraId="2B5EADB4" w14:textId="530B4E78" w:rsidR="00913AFC" w:rsidRPr="008C063B" w:rsidRDefault="00913AFC" w:rsidP="00913AFC">
            <w:pPr>
              <w:spacing w:after="0" w:line="240" w:lineRule="auto"/>
              <w:jc w:val="center"/>
              <w:rPr>
                <w:rFonts w:eastAsia="Times New Roman" w:cs="Times New Roman"/>
                <w:color w:val="000000"/>
                <w:sz w:val="20"/>
                <w:lang w:eastAsia="sk-SK"/>
              </w:rPr>
            </w:pPr>
            <w:r>
              <w:rPr>
                <w:color w:val="000000"/>
                <w:sz w:val="20"/>
              </w:rPr>
              <w:t>21,6</w:t>
            </w:r>
          </w:p>
        </w:tc>
      </w:tr>
      <w:tr w:rsidR="000B098B" w:rsidRPr="008C063B" w14:paraId="2B4EB886" w14:textId="77777777" w:rsidTr="00790716">
        <w:trPr>
          <w:trHeight w:val="255"/>
        </w:trPr>
        <w:tc>
          <w:tcPr>
            <w:tcW w:w="4536" w:type="dxa"/>
            <w:tcBorders>
              <w:top w:val="nil"/>
              <w:left w:val="nil"/>
              <w:bottom w:val="nil"/>
              <w:right w:val="nil"/>
            </w:tcBorders>
            <w:shd w:val="clear" w:color="000000" w:fill="FFFFFF"/>
            <w:vAlign w:val="bottom"/>
            <w:hideMark/>
          </w:tcPr>
          <w:p w14:paraId="6433D00A" w14:textId="33E62016" w:rsidR="000B098B" w:rsidRPr="008C063B" w:rsidRDefault="000B098B" w:rsidP="000B098B">
            <w:pPr>
              <w:spacing w:after="0" w:line="240" w:lineRule="auto"/>
              <w:jc w:val="left"/>
              <w:rPr>
                <w:rFonts w:eastAsia="Times New Roman" w:cs="Times New Roman"/>
                <w:color w:val="000000"/>
                <w:sz w:val="20"/>
                <w:lang w:eastAsia="sk-SK"/>
              </w:rPr>
            </w:pPr>
            <w:r w:rsidRPr="008C063B">
              <w:rPr>
                <w:rFonts w:eastAsia="Times New Roman" w:cs="Times New Roman"/>
                <w:color w:val="000000"/>
                <w:sz w:val="20"/>
                <w:lang w:eastAsia="sk-SK"/>
              </w:rPr>
              <w:t xml:space="preserve">Dotácia na špecifické potreby študentov so ZZ na </w:t>
            </w:r>
            <w:r>
              <w:rPr>
                <w:rFonts w:eastAsia="Times New Roman" w:cs="Times New Roman"/>
                <w:color w:val="000000"/>
                <w:sz w:val="20"/>
                <w:lang w:eastAsia="sk-SK"/>
              </w:rPr>
              <w:t>VŠ</w:t>
            </w:r>
          </w:p>
        </w:tc>
        <w:tc>
          <w:tcPr>
            <w:tcW w:w="851" w:type="dxa"/>
            <w:tcBorders>
              <w:top w:val="nil"/>
              <w:left w:val="nil"/>
              <w:bottom w:val="nil"/>
              <w:right w:val="nil"/>
            </w:tcBorders>
            <w:shd w:val="clear" w:color="000000" w:fill="FFFFFF"/>
            <w:vAlign w:val="bottom"/>
            <w:hideMark/>
          </w:tcPr>
          <w:p w14:paraId="32C10280" w14:textId="77777777" w:rsidR="000B098B" w:rsidRPr="008C063B" w:rsidRDefault="000B098B" w:rsidP="000B098B">
            <w:pPr>
              <w:spacing w:after="0" w:line="240" w:lineRule="auto"/>
              <w:jc w:val="center"/>
              <w:rPr>
                <w:rFonts w:eastAsia="Times New Roman" w:cs="Times New Roman"/>
                <w:color w:val="000000"/>
                <w:sz w:val="20"/>
                <w:lang w:eastAsia="sk-SK"/>
              </w:rPr>
            </w:pPr>
            <w:r w:rsidRPr="008C063B">
              <w:rPr>
                <w:rFonts w:eastAsia="Times New Roman" w:cs="Times New Roman"/>
                <w:color w:val="000000"/>
                <w:sz w:val="20"/>
                <w:lang w:eastAsia="sk-SK"/>
              </w:rPr>
              <w:t>MŠVVŠ</w:t>
            </w:r>
          </w:p>
        </w:tc>
        <w:tc>
          <w:tcPr>
            <w:tcW w:w="709" w:type="dxa"/>
            <w:tcBorders>
              <w:top w:val="nil"/>
              <w:left w:val="nil"/>
              <w:bottom w:val="nil"/>
              <w:right w:val="nil"/>
            </w:tcBorders>
            <w:shd w:val="clear" w:color="000000" w:fill="FFFFFF"/>
            <w:vAlign w:val="bottom"/>
            <w:hideMark/>
          </w:tcPr>
          <w:p w14:paraId="3189AD6F" w14:textId="77777777" w:rsidR="000B098B" w:rsidRPr="008C063B" w:rsidRDefault="000B098B" w:rsidP="000B098B">
            <w:pPr>
              <w:spacing w:after="0" w:line="240" w:lineRule="auto"/>
              <w:jc w:val="center"/>
              <w:rPr>
                <w:rFonts w:eastAsia="Times New Roman" w:cs="Times New Roman"/>
                <w:color w:val="000000"/>
                <w:sz w:val="20"/>
                <w:lang w:eastAsia="sk-SK"/>
              </w:rPr>
            </w:pPr>
            <w:r w:rsidRPr="008C063B">
              <w:rPr>
                <w:rFonts w:eastAsia="Times New Roman" w:cs="Times New Roman"/>
                <w:color w:val="000000"/>
                <w:sz w:val="20"/>
                <w:lang w:eastAsia="sk-SK"/>
              </w:rPr>
              <w:t>0,7</w:t>
            </w:r>
          </w:p>
        </w:tc>
        <w:tc>
          <w:tcPr>
            <w:tcW w:w="850" w:type="dxa"/>
            <w:tcBorders>
              <w:top w:val="nil"/>
              <w:left w:val="nil"/>
              <w:bottom w:val="nil"/>
              <w:right w:val="nil"/>
            </w:tcBorders>
            <w:shd w:val="clear" w:color="000000" w:fill="FFFFFF"/>
            <w:vAlign w:val="bottom"/>
            <w:hideMark/>
          </w:tcPr>
          <w:p w14:paraId="09CF595D" w14:textId="0D05653E" w:rsidR="000B098B" w:rsidRPr="008C063B" w:rsidRDefault="000B098B" w:rsidP="000B098B">
            <w:pPr>
              <w:spacing w:after="0" w:line="240" w:lineRule="auto"/>
              <w:jc w:val="center"/>
              <w:rPr>
                <w:rFonts w:eastAsia="Times New Roman" w:cs="Times New Roman"/>
                <w:color w:val="000000"/>
                <w:sz w:val="20"/>
                <w:lang w:eastAsia="sk-SK"/>
              </w:rPr>
            </w:pPr>
            <w:r>
              <w:rPr>
                <w:color w:val="000000"/>
                <w:sz w:val="20"/>
              </w:rPr>
              <w:t>0,7</w:t>
            </w:r>
          </w:p>
        </w:tc>
        <w:tc>
          <w:tcPr>
            <w:tcW w:w="709" w:type="dxa"/>
            <w:tcBorders>
              <w:top w:val="nil"/>
              <w:left w:val="nil"/>
              <w:bottom w:val="nil"/>
              <w:right w:val="nil"/>
            </w:tcBorders>
            <w:shd w:val="clear" w:color="000000" w:fill="FFFFFF"/>
            <w:vAlign w:val="bottom"/>
            <w:hideMark/>
          </w:tcPr>
          <w:p w14:paraId="72A3F6AF" w14:textId="2309B66B" w:rsidR="000B098B" w:rsidRPr="008C063B" w:rsidRDefault="000B098B" w:rsidP="000B098B">
            <w:pPr>
              <w:spacing w:after="0" w:line="240" w:lineRule="auto"/>
              <w:jc w:val="center"/>
              <w:rPr>
                <w:rFonts w:eastAsia="Times New Roman" w:cs="Times New Roman"/>
                <w:color w:val="000000"/>
                <w:sz w:val="20"/>
                <w:lang w:eastAsia="sk-SK"/>
              </w:rPr>
            </w:pPr>
            <w:r>
              <w:rPr>
                <w:color w:val="000000"/>
                <w:sz w:val="20"/>
              </w:rPr>
              <w:t>0,8</w:t>
            </w:r>
          </w:p>
        </w:tc>
        <w:tc>
          <w:tcPr>
            <w:tcW w:w="709" w:type="dxa"/>
            <w:tcBorders>
              <w:top w:val="nil"/>
              <w:left w:val="nil"/>
              <w:bottom w:val="nil"/>
              <w:right w:val="nil"/>
            </w:tcBorders>
            <w:shd w:val="clear" w:color="000000" w:fill="FFFFFF"/>
            <w:vAlign w:val="bottom"/>
            <w:hideMark/>
          </w:tcPr>
          <w:p w14:paraId="173B96BB" w14:textId="46A7F7DE" w:rsidR="000B098B" w:rsidRPr="008C063B" w:rsidRDefault="000B098B" w:rsidP="000B098B">
            <w:pPr>
              <w:spacing w:after="0" w:line="240" w:lineRule="auto"/>
              <w:jc w:val="center"/>
              <w:rPr>
                <w:rFonts w:eastAsia="Times New Roman" w:cs="Times New Roman"/>
                <w:color w:val="000000"/>
                <w:sz w:val="20"/>
                <w:lang w:eastAsia="sk-SK"/>
              </w:rPr>
            </w:pPr>
            <w:r>
              <w:rPr>
                <w:color w:val="000000"/>
                <w:sz w:val="20"/>
              </w:rPr>
              <w:t>0,8</w:t>
            </w:r>
          </w:p>
        </w:tc>
        <w:tc>
          <w:tcPr>
            <w:tcW w:w="708" w:type="dxa"/>
            <w:tcBorders>
              <w:top w:val="nil"/>
              <w:left w:val="nil"/>
              <w:bottom w:val="nil"/>
              <w:right w:val="nil"/>
            </w:tcBorders>
            <w:shd w:val="clear" w:color="000000" w:fill="FFFFFF"/>
            <w:vAlign w:val="bottom"/>
            <w:hideMark/>
          </w:tcPr>
          <w:p w14:paraId="641240D9" w14:textId="34DCE70D" w:rsidR="000B098B" w:rsidRPr="008C063B" w:rsidRDefault="000B098B" w:rsidP="000B098B">
            <w:pPr>
              <w:spacing w:after="0" w:line="240" w:lineRule="auto"/>
              <w:jc w:val="center"/>
              <w:rPr>
                <w:rFonts w:eastAsia="Times New Roman" w:cs="Times New Roman"/>
                <w:color w:val="000000"/>
                <w:sz w:val="20"/>
                <w:lang w:eastAsia="sk-SK"/>
              </w:rPr>
            </w:pPr>
            <w:r>
              <w:rPr>
                <w:color w:val="000000"/>
                <w:sz w:val="20"/>
              </w:rPr>
              <w:t>0,8</w:t>
            </w:r>
          </w:p>
        </w:tc>
      </w:tr>
      <w:tr w:rsidR="00913AFC" w:rsidRPr="008C063B" w14:paraId="535B5ED9" w14:textId="77777777" w:rsidTr="00790716">
        <w:trPr>
          <w:trHeight w:val="255"/>
        </w:trPr>
        <w:tc>
          <w:tcPr>
            <w:tcW w:w="4536" w:type="dxa"/>
            <w:tcBorders>
              <w:top w:val="single" w:sz="4" w:space="0" w:color="auto"/>
              <w:left w:val="nil"/>
              <w:bottom w:val="single" w:sz="4" w:space="0" w:color="auto"/>
              <w:right w:val="nil"/>
            </w:tcBorders>
            <w:shd w:val="clear" w:color="000000" w:fill="FFFFFF"/>
            <w:vAlign w:val="bottom"/>
            <w:hideMark/>
          </w:tcPr>
          <w:p w14:paraId="0609B18B" w14:textId="05F3BA27" w:rsidR="00913AFC" w:rsidRPr="008C063B" w:rsidRDefault="00913AFC" w:rsidP="00913AFC">
            <w:pPr>
              <w:spacing w:after="0" w:line="240" w:lineRule="auto"/>
              <w:jc w:val="left"/>
              <w:rPr>
                <w:rFonts w:eastAsia="Times New Roman" w:cs="Times New Roman"/>
                <w:b/>
                <w:bCs/>
                <w:color w:val="000000"/>
                <w:sz w:val="20"/>
                <w:lang w:eastAsia="sk-SK"/>
              </w:rPr>
            </w:pPr>
            <w:r w:rsidRPr="008C063B">
              <w:rPr>
                <w:rFonts w:eastAsia="Times New Roman" w:cs="Times New Roman"/>
                <w:b/>
                <w:bCs/>
                <w:color w:val="000000"/>
                <w:sz w:val="20"/>
                <w:lang w:eastAsia="sk-SK"/>
              </w:rPr>
              <w:t>Zdrav</w:t>
            </w:r>
            <w:r>
              <w:rPr>
                <w:rFonts w:eastAsia="Times New Roman" w:cs="Times New Roman"/>
                <w:b/>
                <w:bCs/>
                <w:color w:val="000000"/>
                <w:sz w:val="20"/>
                <w:lang w:eastAsia="sk-SK"/>
              </w:rPr>
              <w:t xml:space="preserve">otne znevýhodnení </w:t>
            </w:r>
            <w:r w:rsidR="00D05785">
              <w:rPr>
                <w:rFonts w:eastAsia="Times New Roman" w:cs="Times New Roman"/>
                <w:b/>
                <w:bCs/>
                <w:color w:val="000000"/>
                <w:sz w:val="20"/>
                <w:lang w:eastAsia="sk-SK"/>
              </w:rPr>
              <w:t xml:space="preserve">(ZZ) </w:t>
            </w:r>
            <w:r>
              <w:rPr>
                <w:rFonts w:eastAsia="Times New Roman" w:cs="Times New Roman"/>
                <w:b/>
                <w:bCs/>
                <w:color w:val="000000"/>
                <w:sz w:val="20"/>
                <w:lang w:eastAsia="sk-SK"/>
              </w:rPr>
              <w:t>žiaci</w:t>
            </w:r>
            <w:r w:rsidRPr="008C063B">
              <w:rPr>
                <w:rFonts w:eastAsia="Times New Roman" w:cs="Times New Roman"/>
                <w:b/>
                <w:bCs/>
                <w:color w:val="000000"/>
                <w:sz w:val="20"/>
                <w:lang w:eastAsia="sk-SK"/>
              </w:rPr>
              <w:t xml:space="preserve"> - špeciálne školstvo</w:t>
            </w:r>
          </w:p>
        </w:tc>
        <w:tc>
          <w:tcPr>
            <w:tcW w:w="851" w:type="dxa"/>
            <w:tcBorders>
              <w:top w:val="single" w:sz="4" w:space="0" w:color="auto"/>
              <w:left w:val="nil"/>
              <w:bottom w:val="single" w:sz="4" w:space="0" w:color="auto"/>
              <w:right w:val="nil"/>
            </w:tcBorders>
            <w:shd w:val="clear" w:color="000000" w:fill="FFFFFF"/>
            <w:vAlign w:val="bottom"/>
            <w:hideMark/>
          </w:tcPr>
          <w:p w14:paraId="3CECD233" w14:textId="77777777" w:rsidR="00913AFC" w:rsidRPr="008C063B" w:rsidRDefault="00913AFC" w:rsidP="00913AFC">
            <w:pPr>
              <w:spacing w:after="0" w:line="240" w:lineRule="auto"/>
              <w:jc w:val="center"/>
              <w:rPr>
                <w:rFonts w:eastAsia="Times New Roman" w:cs="Times New Roman"/>
                <w:b/>
                <w:bCs/>
                <w:color w:val="000000"/>
                <w:sz w:val="20"/>
                <w:lang w:eastAsia="sk-SK"/>
              </w:rPr>
            </w:pPr>
            <w:r w:rsidRPr="008C063B">
              <w:rPr>
                <w:rFonts w:eastAsia="Times New Roman" w:cs="Times New Roman"/>
                <w:b/>
                <w:bCs/>
                <w:color w:val="000000"/>
                <w:sz w:val="20"/>
                <w:lang w:eastAsia="sk-SK"/>
              </w:rPr>
              <w:t> </w:t>
            </w:r>
          </w:p>
        </w:tc>
        <w:tc>
          <w:tcPr>
            <w:tcW w:w="709" w:type="dxa"/>
            <w:tcBorders>
              <w:top w:val="single" w:sz="4" w:space="0" w:color="auto"/>
              <w:left w:val="nil"/>
              <w:bottom w:val="single" w:sz="4" w:space="0" w:color="auto"/>
              <w:right w:val="nil"/>
            </w:tcBorders>
            <w:shd w:val="clear" w:color="000000" w:fill="FFFFFF"/>
            <w:vAlign w:val="bottom"/>
            <w:hideMark/>
          </w:tcPr>
          <w:p w14:paraId="6448CAE9" w14:textId="73CE2DC1" w:rsidR="00913AFC" w:rsidRPr="008C063B" w:rsidRDefault="00913AFC" w:rsidP="00913AFC">
            <w:pPr>
              <w:spacing w:after="0" w:line="240" w:lineRule="auto"/>
              <w:jc w:val="center"/>
              <w:rPr>
                <w:rFonts w:eastAsia="Times New Roman" w:cs="Times New Roman"/>
                <w:b/>
                <w:bCs/>
                <w:color w:val="000000"/>
                <w:sz w:val="20"/>
                <w:lang w:eastAsia="sk-SK"/>
              </w:rPr>
            </w:pPr>
            <w:r>
              <w:rPr>
                <w:b/>
                <w:bCs/>
                <w:color w:val="000000"/>
                <w:sz w:val="20"/>
              </w:rPr>
              <w:t>80,9</w:t>
            </w:r>
          </w:p>
        </w:tc>
        <w:tc>
          <w:tcPr>
            <w:tcW w:w="850" w:type="dxa"/>
            <w:tcBorders>
              <w:top w:val="single" w:sz="4" w:space="0" w:color="auto"/>
              <w:left w:val="nil"/>
              <w:bottom w:val="single" w:sz="4" w:space="0" w:color="auto"/>
              <w:right w:val="nil"/>
            </w:tcBorders>
            <w:shd w:val="clear" w:color="000000" w:fill="FFFFFF"/>
            <w:vAlign w:val="bottom"/>
            <w:hideMark/>
          </w:tcPr>
          <w:p w14:paraId="579D4B6C" w14:textId="47BE2EFD" w:rsidR="00913AFC" w:rsidRPr="008C063B" w:rsidRDefault="00913AFC" w:rsidP="00913AFC">
            <w:pPr>
              <w:spacing w:after="0" w:line="240" w:lineRule="auto"/>
              <w:jc w:val="center"/>
              <w:rPr>
                <w:rFonts w:eastAsia="Times New Roman" w:cs="Times New Roman"/>
                <w:b/>
                <w:bCs/>
                <w:color w:val="000000"/>
                <w:sz w:val="20"/>
                <w:lang w:eastAsia="sk-SK"/>
              </w:rPr>
            </w:pPr>
            <w:r>
              <w:rPr>
                <w:b/>
                <w:bCs/>
                <w:color w:val="000000"/>
                <w:sz w:val="20"/>
              </w:rPr>
              <w:t>83,3</w:t>
            </w:r>
          </w:p>
        </w:tc>
        <w:tc>
          <w:tcPr>
            <w:tcW w:w="709" w:type="dxa"/>
            <w:tcBorders>
              <w:top w:val="single" w:sz="4" w:space="0" w:color="auto"/>
              <w:left w:val="nil"/>
              <w:bottom w:val="single" w:sz="4" w:space="0" w:color="auto"/>
              <w:right w:val="nil"/>
            </w:tcBorders>
            <w:shd w:val="clear" w:color="000000" w:fill="FFFFFF"/>
            <w:vAlign w:val="bottom"/>
            <w:hideMark/>
          </w:tcPr>
          <w:p w14:paraId="486354F6" w14:textId="661D6CB6" w:rsidR="00913AFC" w:rsidRPr="008C063B" w:rsidRDefault="00913AFC" w:rsidP="00913AFC">
            <w:pPr>
              <w:spacing w:after="0" w:line="240" w:lineRule="auto"/>
              <w:jc w:val="center"/>
              <w:rPr>
                <w:rFonts w:eastAsia="Times New Roman" w:cs="Times New Roman"/>
                <w:b/>
                <w:bCs/>
                <w:color w:val="000000"/>
                <w:sz w:val="20"/>
                <w:lang w:eastAsia="sk-SK"/>
              </w:rPr>
            </w:pPr>
            <w:r>
              <w:rPr>
                <w:b/>
                <w:bCs/>
                <w:color w:val="000000"/>
                <w:sz w:val="20"/>
              </w:rPr>
              <w:t>90,9</w:t>
            </w:r>
          </w:p>
        </w:tc>
        <w:tc>
          <w:tcPr>
            <w:tcW w:w="709" w:type="dxa"/>
            <w:tcBorders>
              <w:top w:val="single" w:sz="4" w:space="0" w:color="auto"/>
              <w:left w:val="nil"/>
              <w:bottom w:val="single" w:sz="4" w:space="0" w:color="auto"/>
              <w:right w:val="nil"/>
            </w:tcBorders>
            <w:shd w:val="clear" w:color="000000" w:fill="FFFFFF"/>
            <w:vAlign w:val="bottom"/>
            <w:hideMark/>
          </w:tcPr>
          <w:p w14:paraId="25BF3C55" w14:textId="11E062ED" w:rsidR="00913AFC" w:rsidRPr="008C063B" w:rsidRDefault="00913AFC" w:rsidP="00913AFC">
            <w:pPr>
              <w:spacing w:after="0" w:line="240" w:lineRule="auto"/>
              <w:jc w:val="center"/>
              <w:rPr>
                <w:rFonts w:eastAsia="Times New Roman" w:cs="Times New Roman"/>
                <w:b/>
                <w:bCs/>
                <w:color w:val="000000"/>
                <w:sz w:val="20"/>
                <w:lang w:eastAsia="sk-SK"/>
              </w:rPr>
            </w:pPr>
            <w:r>
              <w:rPr>
                <w:b/>
                <w:bCs/>
                <w:color w:val="000000"/>
                <w:sz w:val="20"/>
              </w:rPr>
              <w:t>95,4</w:t>
            </w:r>
          </w:p>
        </w:tc>
        <w:tc>
          <w:tcPr>
            <w:tcW w:w="708" w:type="dxa"/>
            <w:tcBorders>
              <w:top w:val="single" w:sz="4" w:space="0" w:color="auto"/>
              <w:left w:val="nil"/>
              <w:bottom w:val="single" w:sz="4" w:space="0" w:color="auto"/>
              <w:right w:val="nil"/>
            </w:tcBorders>
            <w:shd w:val="clear" w:color="000000" w:fill="FFFFFF"/>
            <w:vAlign w:val="bottom"/>
            <w:hideMark/>
          </w:tcPr>
          <w:p w14:paraId="347A4FFD" w14:textId="683FEBA5" w:rsidR="00913AFC" w:rsidRPr="008C063B" w:rsidRDefault="00913AFC" w:rsidP="00913AFC">
            <w:pPr>
              <w:spacing w:after="0" w:line="240" w:lineRule="auto"/>
              <w:jc w:val="center"/>
              <w:rPr>
                <w:rFonts w:eastAsia="Times New Roman" w:cs="Times New Roman"/>
                <w:b/>
                <w:bCs/>
                <w:color w:val="000000"/>
                <w:sz w:val="20"/>
                <w:lang w:eastAsia="sk-SK"/>
              </w:rPr>
            </w:pPr>
            <w:r>
              <w:rPr>
                <w:b/>
                <w:bCs/>
                <w:color w:val="000000"/>
                <w:sz w:val="20"/>
              </w:rPr>
              <w:t>99,1</w:t>
            </w:r>
          </w:p>
        </w:tc>
      </w:tr>
      <w:tr w:rsidR="00913AFC" w:rsidRPr="008C063B" w14:paraId="445DBDE5" w14:textId="77777777" w:rsidTr="00790716">
        <w:trPr>
          <w:trHeight w:val="255"/>
        </w:trPr>
        <w:tc>
          <w:tcPr>
            <w:tcW w:w="4536" w:type="dxa"/>
            <w:tcBorders>
              <w:top w:val="nil"/>
              <w:left w:val="nil"/>
              <w:bottom w:val="nil"/>
              <w:right w:val="nil"/>
            </w:tcBorders>
            <w:shd w:val="clear" w:color="000000" w:fill="FFFFFF"/>
            <w:vAlign w:val="bottom"/>
          </w:tcPr>
          <w:p w14:paraId="70665346" w14:textId="07AFAE5D" w:rsidR="00913AFC" w:rsidRPr="008C063B" w:rsidRDefault="00913AFC">
            <w:pPr>
              <w:spacing w:after="0" w:line="240" w:lineRule="auto"/>
              <w:jc w:val="left"/>
              <w:rPr>
                <w:rFonts w:eastAsia="Times New Roman" w:cs="Times New Roman"/>
                <w:color w:val="000000"/>
                <w:sz w:val="20"/>
                <w:lang w:eastAsia="sk-SK"/>
              </w:rPr>
            </w:pPr>
            <w:r w:rsidRPr="008C063B">
              <w:rPr>
                <w:rFonts w:eastAsia="Times New Roman" w:cs="Times New Roman"/>
                <w:color w:val="000000"/>
                <w:sz w:val="20"/>
                <w:lang w:eastAsia="sk-SK"/>
              </w:rPr>
              <w:t xml:space="preserve">Navýšené normatívy na </w:t>
            </w:r>
            <w:r>
              <w:rPr>
                <w:rFonts w:eastAsia="Times New Roman" w:cs="Times New Roman"/>
                <w:color w:val="000000"/>
                <w:sz w:val="20"/>
                <w:lang w:eastAsia="sk-SK"/>
              </w:rPr>
              <w:t>deti</w:t>
            </w:r>
            <w:r w:rsidRPr="008C063B">
              <w:rPr>
                <w:rFonts w:eastAsia="Times New Roman" w:cs="Times New Roman"/>
                <w:color w:val="000000"/>
                <w:sz w:val="20"/>
                <w:lang w:eastAsia="sk-SK"/>
              </w:rPr>
              <w:t xml:space="preserve"> so ZZ</w:t>
            </w:r>
            <w:r>
              <w:rPr>
                <w:rFonts w:eastAsia="Times New Roman" w:cs="Times New Roman"/>
                <w:color w:val="000000"/>
                <w:sz w:val="20"/>
                <w:lang w:eastAsia="sk-SK"/>
              </w:rPr>
              <w:t xml:space="preserve"> v špeciálnych MŠ</w:t>
            </w:r>
          </w:p>
        </w:tc>
        <w:tc>
          <w:tcPr>
            <w:tcW w:w="851" w:type="dxa"/>
            <w:tcBorders>
              <w:top w:val="nil"/>
              <w:left w:val="nil"/>
              <w:bottom w:val="nil"/>
              <w:right w:val="nil"/>
            </w:tcBorders>
            <w:shd w:val="clear" w:color="000000" w:fill="FFFFFF"/>
            <w:vAlign w:val="bottom"/>
          </w:tcPr>
          <w:p w14:paraId="20958E61" w14:textId="0ADFBDC0" w:rsidR="00913AFC" w:rsidRPr="008C063B" w:rsidRDefault="00913AFC" w:rsidP="00913AFC">
            <w:pPr>
              <w:spacing w:after="0" w:line="240" w:lineRule="auto"/>
              <w:jc w:val="center"/>
              <w:rPr>
                <w:rFonts w:eastAsia="Times New Roman" w:cs="Times New Roman"/>
                <w:color w:val="000000"/>
                <w:sz w:val="20"/>
                <w:lang w:eastAsia="sk-SK"/>
              </w:rPr>
            </w:pPr>
            <w:r w:rsidRPr="008C063B">
              <w:rPr>
                <w:rFonts w:eastAsia="Times New Roman" w:cs="Times New Roman"/>
                <w:color w:val="000000"/>
                <w:sz w:val="20"/>
                <w:lang w:eastAsia="sk-SK"/>
              </w:rPr>
              <w:t>MŠVVŠ</w:t>
            </w:r>
          </w:p>
        </w:tc>
        <w:tc>
          <w:tcPr>
            <w:tcW w:w="709" w:type="dxa"/>
            <w:tcBorders>
              <w:top w:val="nil"/>
              <w:left w:val="nil"/>
              <w:bottom w:val="nil"/>
              <w:right w:val="nil"/>
            </w:tcBorders>
            <w:shd w:val="clear" w:color="000000" w:fill="FFFFFF"/>
            <w:vAlign w:val="bottom"/>
          </w:tcPr>
          <w:p w14:paraId="2483F316" w14:textId="6D7F7D30" w:rsidR="00913AFC" w:rsidRPr="008C063B" w:rsidRDefault="00913AFC" w:rsidP="00913AFC">
            <w:pPr>
              <w:spacing w:after="0" w:line="240" w:lineRule="auto"/>
              <w:jc w:val="center"/>
              <w:rPr>
                <w:rFonts w:eastAsia="Times New Roman" w:cs="Times New Roman"/>
                <w:color w:val="000000"/>
                <w:sz w:val="20"/>
                <w:lang w:eastAsia="sk-SK"/>
              </w:rPr>
            </w:pPr>
            <w:r>
              <w:rPr>
                <w:color w:val="000000"/>
                <w:sz w:val="20"/>
              </w:rPr>
              <w:t>4,5</w:t>
            </w:r>
          </w:p>
        </w:tc>
        <w:tc>
          <w:tcPr>
            <w:tcW w:w="850" w:type="dxa"/>
            <w:tcBorders>
              <w:top w:val="nil"/>
              <w:left w:val="nil"/>
              <w:bottom w:val="nil"/>
              <w:right w:val="nil"/>
            </w:tcBorders>
            <w:shd w:val="clear" w:color="000000" w:fill="FFFFFF"/>
            <w:vAlign w:val="bottom"/>
          </w:tcPr>
          <w:p w14:paraId="75115048" w14:textId="4EF292FF" w:rsidR="00913AFC" w:rsidRDefault="00913AFC" w:rsidP="00913AFC">
            <w:pPr>
              <w:spacing w:after="0" w:line="240" w:lineRule="auto"/>
              <w:jc w:val="center"/>
              <w:rPr>
                <w:color w:val="000000"/>
                <w:sz w:val="20"/>
              </w:rPr>
            </w:pPr>
            <w:r>
              <w:rPr>
                <w:color w:val="000000"/>
                <w:sz w:val="20"/>
              </w:rPr>
              <w:t>4,9</w:t>
            </w:r>
          </w:p>
        </w:tc>
        <w:tc>
          <w:tcPr>
            <w:tcW w:w="709" w:type="dxa"/>
            <w:tcBorders>
              <w:top w:val="nil"/>
              <w:left w:val="nil"/>
              <w:bottom w:val="nil"/>
              <w:right w:val="nil"/>
            </w:tcBorders>
            <w:shd w:val="clear" w:color="000000" w:fill="FFFFFF"/>
            <w:vAlign w:val="bottom"/>
          </w:tcPr>
          <w:p w14:paraId="3441CA53" w14:textId="4AFE2484" w:rsidR="00913AFC" w:rsidRDefault="00913AFC" w:rsidP="00913AFC">
            <w:pPr>
              <w:spacing w:after="0" w:line="240" w:lineRule="auto"/>
              <w:jc w:val="center"/>
              <w:rPr>
                <w:color w:val="000000"/>
                <w:sz w:val="20"/>
              </w:rPr>
            </w:pPr>
            <w:r>
              <w:rPr>
                <w:color w:val="000000"/>
                <w:sz w:val="20"/>
              </w:rPr>
              <w:t>5,4</w:t>
            </w:r>
          </w:p>
        </w:tc>
        <w:tc>
          <w:tcPr>
            <w:tcW w:w="709" w:type="dxa"/>
            <w:tcBorders>
              <w:top w:val="nil"/>
              <w:left w:val="nil"/>
              <w:bottom w:val="nil"/>
              <w:right w:val="nil"/>
            </w:tcBorders>
            <w:shd w:val="clear" w:color="000000" w:fill="FFFFFF"/>
            <w:vAlign w:val="bottom"/>
          </w:tcPr>
          <w:p w14:paraId="5AFBA8D8" w14:textId="12CBBAAA" w:rsidR="00913AFC" w:rsidRDefault="00913AFC" w:rsidP="00913AFC">
            <w:pPr>
              <w:spacing w:after="0" w:line="240" w:lineRule="auto"/>
              <w:jc w:val="center"/>
              <w:rPr>
                <w:color w:val="000000"/>
                <w:sz w:val="20"/>
              </w:rPr>
            </w:pPr>
            <w:r>
              <w:rPr>
                <w:color w:val="000000"/>
                <w:sz w:val="20"/>
              </w:rPr>
              <w:t>5,6</w:t>
            </w:r>
          </w:p>
        </w:tc>
        <w:tc>
          <w:tcPr>
            <w:tcW w:w="708" w:type="dxa"/>
            <w:tcBorders>
              <w:top w:val="nil"/>
              <w:left w:val="nil"/>
              <w:bottom w:val="nil"/>
              <w:right w:val="nil"/>
            </w:tcBorders>
            <w:shd w:val="clear" w:color="000000" w:fill="FFFFFF"/>
            <w:vAlign w:val="bottom"/>
          </w:tcPr>
          <w:p w14:paraId="03894662" w14:textId="2CC4D603" w:rsidR="00913AFC" w:rsidRDefault="00913AFC" w:rsidP="00913AFC">
            <w:pPr>
              <w:spacing w:after="0" w:line="240" w:lineRule="auto"/>
              <w:jc w:val="center"/>
              <w:rPr>
                <w:color w:val="000000"/>
                <w:sz w:val="20"/>
              </w:rPr>
            </w:pPr>
            <w:r>
              <w:rPr>
                <w:color w:val="000000"/>
                <w:sz w:val="20"/>
              </w:rPr>
              <w:t>5,9</w:t>
            </w:r>
          </w:p>
        </w:tc>
      </w:tr>
      <w:tr w:rsidR="00913AFC" w:rsidRPr="008C063B" w14:paraId="32D3095F" w14:textId="77777777" w:rsidTr="00790716">
        <w:trPr>
          <w:trHeight w:val="255"/>
        </w:trPr>
        <w:tc>
          <w:tcPr>
            <w:tcW w:w="4536" w:type="dxa"/>
            <w:tcBorders>
              <w:top w:val="nil"/>
              <w:left w:val="nil"/>
              <w:bottom w:val="nil"/>
              <w:right w:val="nil"/>
            </w:tcBorders>
            <w:shd w:val="clear" w:color="000000" w:fill="FFFFFF"/>
            <w:vAlign w:val="bottom"/>
            <w:hideMark/>
          </w:tcPr>
          <w:p w14:paraId="73527EAD" w14:textId="61277B8E" w:rsidR="00913AFC" w:rsidRPr="008C063B" w:rsidRDefault="00913AFC" w:rsidP="00913AFC">
            <w:pPr>
              <w:spacing w:after="0" w:line="240" w:lineRule="auto"/>
              <w:jc w:val="left"/>
              <w:rPr>
                <w:rFonts w:eastAsia="Times New Roman" w:cs="Times New Roman"/>
                <w:color w:val="000000"/>
                <w:sz w:val="20"/>
                <w:lang w:eastAsia="sk-SK"/>
              </w:rPr>
            </w:pPr>
            <w:r w:rsidRPr="008C063B">
              <w:rPr>
                <w:rFonts w:eastAsia="Times New Roman" w:cs="Times New Roman"/>
                <w:color w:val="000000"/>
                <w:sz w:val="20"/>
                <w:lang w:eastAsia="sk-SK"/>
              </w:rPr>
              <w:t>Navýšené normatívy na žiakov so ZZ špeciá</w:t>
            </w:r>
            <w:r>
              <w:rPr>
                <w:rFonts w:eastAsia="Times New Roman" w:cs="Times New Roman"/>
                <w:color w:val="000000"/>
                <w:sz w:val="20"/>
                <w:lang w:eastAsia="sk-SK"/>
              </w:rPr>
              <w:t>lnej triedy v ZŠ</w:t>
            </w:r>
          </w:p>
        </w:tc>
        <w:tc>
          <w:tcPr>
            <w:tcW w:w="851" w:type="dxa"/>
            <w:tcBorders>
              <w:top w:val="nil"/>
              <w:left w:val="nil"/>
              <w:bottom w:val="nil"/>
              <w:right w:val="nil"/>
            </w:tcBorders>
            <w:shd w:val="clear" w:color="000000" w:fill="FFFFFF"/>
            <w:vAlign w:val="bottom"/>
            <w:hideMark/>
          </w:tcPr>
          <w:p w14:paraId="3ED29681" w14:textId="77777777" w:rsidR="00913AFC" w:rsidRPr="008C063B" w:rsidRDefault="00913AFC" w:rsidP="00913AFC">
            <w:pPr>
              <w:spacing w:after="0" w:line="240" w:lineRule="auto"/>
              <w:jc w:val="center"/>
              <w:rPr>
                <w:rFonts w:eastAsia="Times New Roman" w:cs="Times New Roman"/>
                <w:color w:val="000000"/>
                <w:sz w:val="20"/>
                <w:lang w:eastAsia="sk-SK"/>
              </w:rPr>
            </w:pPr>
            <w:r w:rsidRPr="008C063B">
              <w:rPr>
                <w:rFonts w:eastAsia="Times New Roman" w:cs="Times New Roman"/>
                <w:color w:val="000000"/>
                <w:sz w:val="20"/>
                <w:lang w:eastAsia="sk-SK"/>
              </w:rPr>
              <w:t>MŠVVŠ</w:t>
            </w:r>
          </w:p>
        </w:tc>
        <w:tc>
          <w:tcPr>
            <w:tcW w:w="709" w:type="dxa"/>
            <w:tcBorders>
              <w:top w:val="nil"/>
              <w:left w:val="nil"/>
              <w:bottom w:val="nil"/>
              <w:right w:val="nil"/>
            </w:tcBorders>
            <w:shd w:val="clear" w:color="000000" w:fill="FFFFFF"/>
            <w:vAlign w:val="bottom"/>
            <w:hideMark/>
          </w:tcPr>
          <w:p w14:paraId="2FE49CD2" w14:textId="77401911" w:rsidR="00913AFC" w:rsidRPr="008C063B" w:rsidRDefault="00913AFC" w:rsidP="00913AFC">
            <w:pPr>
              <w:spacing w:after="0" w:line="240" w:lineRule="auto"/>
              <w:jc w:val="center"/>
              <w:rPr>
                <w:rFonts w:eastAsia="Times New Roman" w:cs="Times New Roman"/>
                <w:color w:val="000000"/>
                <w:sz w:val="20"/>
                <w:lang w:eastAsia="sk-SK"/>
              </w:rPr>
            </w:pPr>
            <w:r>
              <w:rPr>
                <w:color w:val="000000"/>
                <w:sz w:val="20"/>
              </w:rPr>
              <w:t>13,7</w:t>
            </w:r>
          </w:p>
        </w:tc>
        <w:tc>
          <w:tcPr>
            <w:tcW w:w="850" w:type="dxa"/>
            <w:tcBorders>
              <w:top w:val="nil"/>
              <w:left w:val="nil"/>
              <w:bottom w:val="nil"/>
              <w:right w:val="nil"/>
            </w:tcBorders>
            <w:shd w:val="clear" w:color="000000" w:fill="FFFFFF"/>
            <w:vAlign w:val="bottom"/>
            <w:hideMark/>
          </w:tcPr>
          <w:p w14:paraId="7060E27A" w14:textId="710E923D" w:rsidR="00913AFC" w:rsidRPr="008C063B" w:rsidRDefault="00913AFC" w:rsidP="00913AFC">
            <w:pPr>
              <w:spacing w:after="0" w:line="240" w:lineRule="auto"/>
              <w:jc w:val="center"/>
              <w:rPr>
                <w:rFonts w:eastAsia="Times New Roman" w:cs="Times New Roman"/>
                <w:color w:val="000000"/>
                <w:sz w:val="20"/>
                <w:lang w:eastAsia="sk-SK"/>
              </w:rPr>
            </w:pPr>
            <w:r>
              <w:rPr>
                <w:color w:val="000000"/>
                <w:sz w:val="20"/>
              </w:rPr>
              <w:t>15,0</w:t>
            </w:r>
          </w:p>
        </w:tc>
        <w:tc>
          <w:tcPr>
            <w:tcW w:w="709" w:type="dxa"/>
            <w:tcBorders>
              <w:top w:val="nil"/>
              <w:left w:val="nil"/>
              <w:bottom w:val="nil"/>
              <w:right w:val="nil"/>
            </w:tcBorders>
            <w:shd w:val="clear" w:color="000000" w:fill="FFFFFF"/>
            <w:vAlign w:val="bottom"/>
            <w:hideMark/>
          </w:tcPr>
          <w:p w14:paraId="4FDD5961" w14:textId="570D321C" w:rsidR="00913AFC" w:rsidRPr="008C063B" w:rsidRDefault="00913AFC" w:rsidP="00913AFC">
            <w:pPr>
              <w:spacing w:after="0" w:line="240" w:lineRule="auto"/>
              <w:jc w:val="center"/>
              <w:rPr>
                <w:rFonts w:eastAsia="Times New Roman" w:cs="Times New Roman"/>
                <w:color w:val="000000"/>
                <w:sz w:val="20"/>
                <w:lang w:eastAsia="sk-SK"/>
              </w:rPr>
            </w:pPr>
            <w:r>
              <w:rPr>
                <w:color w:val="000000"/>
                <w:sz w:val="20"/>
              </w:rPr>
              <w:t>16,3</w:t>
            </w:r>
          </w:p>
        </w:tc>
        <w:tc>
          <w:tcPr>
            <w:tcW w:w="709" w:type="dxa"/>
            <w:tcBorders>
              <w:top w:val="nil"/>
              <w:left w:val="nil"/>
              <w:bottom w:val="nil"/>
              <w:right w:val="nil"/>
            </w:tcBorders>
            <w:shd w:val="clear" w:color="000000" w:fill="FFFFFF"/>
            <w:vAlign w:val="bottom"/>
            <w:hideMark/>
          </w:tcPr>
          <w:p w14:paraId="79BAD033" w14:textId="30483111" w:rsidR="00913AFC" w:rsidRPr="008C063B" w:rsidRDefault="00913AFC" w:rsidP="00913AFC">
            <w:pPr>
              <w:spacing w:after="0" w:line="240" w:lineRule="auto"/>
              <w:jc w:val="center"/>
              <w:rPr>
                <w:rFonts w:eastAsia="Times New Roman" w:cs="Times New Roman"/>
                <w:color w:val="000000"/>
                <w:sz w:val="20"/>
                <w:lang w:eastAsia="sk-SK"/>
              </w:rPr>
            </w:pPr>
            <w:r>
              <w:rPr>
                <w:color w:val="000000"/>
                <w:sz w:val="20"/>
              </w:rPr>
              <w:t>17,2</w:t>
            </w:r>
          </w:p>
        </w:tc>
        <w:tc>
          <w:tcPr>
            <w:tcW w:w="708" w:type="dxa"/>
            <w:tcBorders>
              <w:top w:val="nil"/>
              <w:left w:val="nil"/>
              <w:bottom w:val="nil"/>
              <w:right w:val="nil"/>
            </w:tcBorders>
            <w:shd w:val="clear" w:color="000000" w:fill="FFFFFF"/>
            <w:vAlign w:val="bottom"/>
            <w:hideMark/>
          </w:tcPr>
          <w:p w14:paraId="0ED23F4C" w14:textId="5C8F2B4C" w:rsidR="00913AFC" w:rsidRPr="008C063B" w:rsidRDefault="00913AFC" w:rsidP="00913AFC">
            <w:pPr>
              <w:spacing w:after="0" w:line="240" w:lineRule="auto"/>
              <w:jc w:val="center"/>
              <w:rPr>
                <w:rFonts w:eastAsia="Times New Roman" w:cs="Times New Roman"/>
                <w:color w:val="000000"/>
                <w:sz w:val="20"/>
                <w:lang w:eastAsia="sk-SK"/>
              </w:rPr>
            </w:pPr>
            <w:r>
              <w:rPr>
                <w:color w:val="000000"/>
                <w:sz w:val="20"/>
              </w:rPr>
              <w:t>17,8</w:t>
            </w:r>
          </w:p>
        </w:tc>
      </w:tr>
      <w:tr w:rsidR="00913AFC" w:rsidRPr="008C063B" w14:paraId="70B60B38" w14:textId="77777777" w:rsidTr="00790716">
        <w:trPr>
          <w:trHeight w:val="255"/>
        </w:trPr>
        <w:tc>
          <w:tcPr>
            <w:tcW w:w="4536" w:type="dxa"/>
            <w:tcBorders>
              <w:top w:val="nil"/>
              <w:left w:val="nil"/>
              <w:bottom w:val="nil"/>
              <w:right w:val="nil"/>
            </w:tcBorders>
            <w:shd w:val="clear" w:color="000000" w:fill="FFFFFF"/>
            <w:vAlign w:val="bottom"/>
            <w:hideMark/>
          </w:tcPr>
          <w:p w14:paraId="651B5548" w14:textId="19CCF9EF" w:rsidR="00913AFC" w:rsidRPr="008C063B" w:rsidRDefault="00913AFC" w:rsidP="00913AFC">
            <w:pPr>
              <w:spacing w:after="0" w:line="240" w:lineRule="auto"/>
              <w:jc w:val="left"/>
              <w:rPr>
                <w:rFonts w:eastAsia="Times New Roman" w:cs="Times New Roman"/>
                <w:color w:val="000000"/>
                <w:sz w:val="20"/>
                <w:lang w:eastAsia="sk-SK"/>
              </w:rPr>
            </w:pPr>
            <w:r w:rsidRPr="008C063B">
              <w:rPr>
                <w:rFonts w:eastAsia="Times New Roman" w:cs="Times New Roman"/>
                <w:color w:val="000000"/>
                <w:sz w:val="20"/>
                <w:lang w:eastAsia="sk-SK"/>
              </w:rPr>
              <w:t xml:space="preserve">Navýšené normatívy na žiakov </w:t>
            </w:r>
            <w:r>
              <w:rPr>
                <w:rFonts w:eastAsia="Times New Roman" w:cs="Times New Roman"/>
                <w:color w:val="000000"/>
                <w:sz w:val="20"/>
                <w:lang w:eastAsia="sk-SK"/>
              </w:rPr>
              <w:t xml:space="preserve">so ZZ v </w:t>
            </w:r>
            <w:r w:rsidRPr="008C063B">
              <w:rPr>
                <w:rFonts w:eastAsia="Times New Roman" w:cs="Times New Roman"/>
                <w:color w:val="000000"/>
                <w:sz w:val="20"/>
                <w:lang w:eastAsia="sk-SK"/>
              </w:rPr>
              <w:t xml:space="preserve">špeciálnej </w:t>
            </w:r>
            <w:r>
              <w:rPr>
                <w:rFonts w:eastAsia="Times New Roman" w:cs="Times New Roman"/>
                <w:color w:val="000000"/>
                <w:sz w:val="20"/>
                <w:lang w:eastAsia="sk-SK"/>
              </w:rPr>
              <w:t>ZŠ</w:t>
            </w:r>
          </w:p>
        </w:tc>
        <w:tc>
          <w:tcPr>
            <w:tcW w:w="851" w:type="dxa"/>
            <w:tcBorders>
              <w:top w:val="nil"/>
              <w:left w:val="nil"/>
              <w:bottom w:val="nil"/>
              <w:right w:val="nil"/>
            </w:tcBorders>
            <w:shd w:val="clear" w:color="000000" w:fill="FFFFFF"/>
            <w:vAlign w:val="bottom"/>
            <w:hideMark/>
          </w:tcPr>
          <w:p w14:paraId="64A387D7" w14:textId="77777777" w:rsidR="00913AFC" w:rsidRPr="008C063B" w:rsidRDefault="00913AFC" w:rsidP="00913AFC">
            <w:pPr>
              <w:spacing w:after="0" w:line="240" w:lineRule="auto"/>
              <w:jc w:val="center"/>
              <w:rPr>
                <w:rFonts w:eastAsia="Times New Roman" w:cs="Times New Roman"/>
                <w:color w:val="000000"/>
                <w:sz w:val="20"/>
                <w:lang w:eastAsia="sk-SK"/>
              </w:rPr>
            </w:pPr>
            <w:r w:rsidRPr="008C063B">
              <w:rPr>
                <w:rFonts w:eastAsia="Times New Roman" w:cs="Times New Roman"/>
                <w:color w:val="000000"/>
                <w:sz w:val="20"/>
                <w:lang w:eastAsia="sk-SK"/>
              </w:rPr>
              <w:t>MŠVVŠ</w:t>
            </w:r>
          </w:p>
        </w:tc>
        <w:tc>
          <w:tcPr>
            <w:tcW w:w="709" w:type="dxa"/>
            <w:tcBorders>
              <w:top w:val="nil"/>
              <w:left w:val="nil"/>
              <w:bottom w:val="nil"/>
              <w:right w:val="nil"/>
            </w:tcBorders>
            <w:shd w:val="clear" w:color="000000" w:fill="FFFFFF"/>
            <w:vAlign w:val="bottom"/>
            <w:hideMark/>
          </w:tcPr>
          <w:p w14:paraId="709F3764" w14:textId="7B7CDF71" w:rsidR="00913AFC" w:rsidRPr="008C063B" w:rsidRDefault="00913AFC" w:rsidP="00913AFC">
            <w:pPr>
              <w:spacing w:after="0" w:line="240" w:lineRule="auto"/>
              <w:jc w:val="center"/>
              <w:rPr>
                <w:rFonts w:eastAsia="Times New Roman" w:cs="Times New Roman"/>
                <w:color w:val="000000"/>
                <w:sz w:val="20"/>
                <w:lang w:eastAsia="sk-SK"/>
              </w:rPr>
            </w:pPr>
            <w:r>
              <w:rPr>
                <w:color w:val="000000"/>
                <w:sz w:val="20"/>
              </w:rPr>
              <w:t>42,3</w:t>
            </w:r>
          </w:p>
        </w:tc>
        <w:tc>
          <w:tcPr>
            <w:tcW w:w="850" w:type="dxa"/>
            <w:tcBorders>
              <w:top w:val="nil"/>
              <w:left w:val="nil"/>
              <w:bottom w:val="nil"/>
              <w:right w:val="nil"/>
            </w:tcBorders>
            <w:shd w:val="clear" w:color="000000" w:fill="FFFFFF"/>
            <w:vAlign w:val="bottom"/>
            <w:hideMark/>
          </w:tcPr>
          <w:p w14:paraId="271CF3F0" w14:textId="0094F448" w:rsidR="00913AFC" w:rsidRPr="008C063B" w:rsidRDefault="00913AFC" w:rsidP="00913AFC">
            <w:pPr>
              <w:spacing w:after="0" w:line="240" w:lineRule="auto"/>
              <w:jc w:val="center"/>
              <w:rPr>
                <w:rFonts w:eastAsia="Times New Roman" w:cs="Times New Roman"/>
                <w:color w:val="000000"/>
                <w:sz w:val="20"/>
                <w:lang w:eastAsia="sk-SK"/>
              </w:rPr>
            </w:pPr>
            <w:r>
              <w:rPr>
                <w:color w:val="000000"/>
                <w:sz w:val="20"/>
              </w:rPr>
              <w:t>46,1</w:t>
            </w:r>
          </w:p>
        </w:tc>
        <w:tc>
          <w:tcPr>
            <w:tcW w:w="709" w:type="dxa"/>
            <w:tcBorders>
              <w:top w:val="nil"/>
              <w:left w:val="nil"/>
              <w:bottom w:val="nil"/>
              <w:right w:val="nil"/>
            </w:tcBorders>
            <w:shd w:val="clear" w:color="000000" w:fill="FFFFFF"/>
            <w:vAlign w:val="bottom"/>
            <w:hideMark/>
          </w:tcPr>
          <w:p w14:paraId="1CC6F45D" w14:textId="6D6C15F1" w:rsidR="00913AFC" w:rsidRPr="008C063B" w:rsidRDefault="00913AFC" w:rsidP="00913AFC">
            <w:pPr>
              <w:spacing w:after="0" w:line="240" w:lineRule="auto"/>
              <w:jc w:val="center"/>
              <w:rPr>
                <w:rFonts w:eastAsia="Times New Roman" w:cs="Times New Roman"/>
                <w:color w:val="000000"/>
                <w:sz w:val="20"/>
                <w:lang w:eastAsia="sk-SK"/>
              </w:rPr>
            </w:pPr>
            <w:r>
              <w:rPr>
                <w:color w:val="000000"/>
                <w:sz w:val="20"/>
              </w:rPr>
              <w:t>50,2</w:t>
            </w:r>
          </w:p>
        </w:tc>
        <w:tc>
          <w:tcPr>
            <w:tcW w:w="709" w:type="dxa"/>
            <w:tcBorders>
              <w:top w:val="nil"/>
              <w:left w:val="nil"/>
              <w:bottom w:val="nil"/>
              <w:right w:val="nil"/>
            </w:tcBorders>
            <w:shd w:val="clear" w:color="000000" w:fill="FFFFFF"/>
            <w:vAlign w:val="bottom"/>
            <w:hideMark/>
          </w:tcPr>
          <w:p w14:paraId="179953C7" w14:textId="6692A9B3" w:rsidR="00913AFC" w:rsidRPr="008C063B" w:rsidRDefault="00913AFC" w:rsidP="00913AFC">
            <w:pPr>
              <w:spacing w:after="0" w:line="240" w:lineRule="auto"/>
              <w:jc w:val="center"/>
              <w:rPr>
                <w:rFonts w:eastAsia="Times New Roman" w:cs="Times New Roman"/>
                <w:color w:val="000000"/>
                <w:sz w:val="20"/>
                <w:lang w:eastAsia="sk-SK"/>
              </w:rPr>
            </w:pPr>
            <w:r>
              <w:rPr>
                <w:color w:val="000000"/>
                <w:sz w:val="20"/>
              </w:rPr>
              <w:t>52,7</w:t>
            </w:r>
          </w:p>
        </w:tc>
        <w:tc>
          <w:tcPr>
            <w:tcW w:w="708" w:type="dxa"/>
            <w:tcBorders>
              <w:top w:val="nil"/>
              <w:left w:val="nil"/>
              <w:bottom w:val="nil"/>
              <w:right w:val="nil"/>
            </w:tcBorders>
            <w:shd w:val="clear" w:color="000000" w:fill="FFFFFF"/>
            <w:vAlign w:val="bottom"/>
            <w:hideMark/>
          </w:tcPr>
          <w:p w14:paraId="702FB169" w14:textId="238513AB" w:rsidR="00913AFC" w:rsidRPr="008C063B" w:rsidRDefault="00913AFC" w:rsidP="00913AFC">
            <w:pPr>
              <w:spacing w:after="0" w:line="240" w:lineRule="auto"/>
              <w:jc w:val="center"/>
              <w:rPr>
                <w:rFonts w:eastAsia="Times New Roman" w:cs="Times New Roman"/>
                <w:color w:val="000000"/>
                <w:sz w:val="20"/>
                <w:lang w:eastAsia="sk-SK"/>
              </w:rPr>
            </w:pPr>
            <w:r>
              <w:rPr>
                <w:color w:val="000000"/>
                <w:sz w:val="20"/>
              </w:rPr>
              <w:t>54,8</w:t>
            </w:r>
          </w:p>
        </w:tc>
      </w:tr>
      <w:tr w:rsidR="000B098B" w:rsidRPr="008C063B" w14:paraId="4ECE3EB3" w14:textId="77777777" w:rsidTr="008C063B">
        <w:trPr>
          <w:trHeight w:val="510"/>
        </w:trPr>
        <w:tc>
          <w:tcPr>
            <w:tcW w:w="4536" w:type="dxa"/>
            <w:tcBorders>
              <w:top w:val="nil"/>
              <w:left w:val="nil"/>
              <w:bottom w:val="nil"/>
              <w:right w:val="nil"/>
            </w:tcBorders>
            <w:shd w:val="clear" w:color="000000" w:fill="FFFFFF"/>
            <w:vAlign w:val="bottom"/>
            <w:hideMark/>
          </w:tcPr>
          <w:p w14:paraId="12D949C6" w14:textId="2C940D2B" w:rsidR="000B098B" w:rsidRPr="008C063B" w:rsidRDefault="000B098B" w:rsidP="000B098B">
            <w:pPr>
              <w:spacing w:after="0" w:line="240" w:lineRule="auto"/>
              <w:jc w:val="left"/>
              <w:rPr>
                <w:rFonts w:eastAsia="Times New Roman" w:cs="Times New Roman"/>
                <w:color w:val="000000"/>
                <w:sz w:val="20"/>
                <w:lang w:eastAsia="sk-SK"/>
              </w:rPr>
            </w:pPr>
            <w:r w:rsidRPr="008C063B">
              <w:rPr>
                <w:rFonts w:eastAsia="Times New Roman" w:cs="Times New Roman"/>
                <w:color w:val="000000"/>
                <w:sz w:val="20"/>
                <w:lang w:eastAsia="sk-SK"/>
              </w:rPr>
              <w:t>Navýšené prostriedky na žiakov so ZZ školského klubu det</w:t>
            </w:r>
            <w:r>
              <w:rPr>
                <w:rFonts w:eastAsia="Times New Roman" w:cs="Times New Roman"/>
                <w:color w:val="000000"/>
                <w:sz w:val="20"/>
                <w:lang w:eastAsia="sk-SK"/>
              </w:rPr>
              <w:t>í pri špeciálnej ZŠ</w:t>
            </w:r>
          </w:p>
        </w:tc>
        <w:tc>
          <w:tcPr>
            <w:tcW w:w="851" w:type="dxa"/>
            <w:tcBorders>
              <w:top w:val="nil"/>
              <w:left w:val="nil"/>
              <w:bottom w:val="nil"/>
              <w:right w:val="nil"/>
            </w:tcBorders>
            <w:shd w:val="clear" w:color="000000" w:fill="FFFFFF"/>
            <w:vAlign w:val="bottom"/>
            <w:hideMark/>
          </w:tcPr>
          <w:p w14:paraId="34EFF018" w14:textId="77777777" w:rsidR="000B098B" w:rsidRPr="008C063B" w:rsidRDefault="000B098B" w:rsidP="000B098B">
            <w:pPr>
              <w:spacing w:after="0" w:line="240" w:lineRule="auto"/>
              <w:jc w:val="center"/>
              <w:rPr>
                <w:rFonts w:eastAsia="Times New Roman" w:cs="Times New Roman"/>
                <w:color w:val="000000"/>
                <w:sz w:val="20"/>
                <w:lang w:eastAsia="sk-SK"/>
              </w:rPr>
            </w:pPr>
            <w:r w:rsidRPr="008C063B">
              <w:rPr>
                <w:rFonts w:eastAsia="Times New Roman" w:cs="Times New Roman"/>
                <w:color w:val="000000"/>
                <w:sz w:val="20"/>
                <w:lang w:eastAsia="sk-SK"/>
              </w:rPr>
              <w:t>MŠVVŠ</w:t>
            </w:r>
          </w:p>
        </w:tc>
        <w:tc>
          <w:tcPr>
            <w:tcW w:w="709" w:type="dxa"/>
            <w:tcBorders>
              <w:top w:val="nil"/>
              <w:left w:val="nil"/>
              <w:bottom w:val="nil"/>
              <w:right w:val="nil"/>
            </w:tcBorders>
            <w:shd w:val="clear" w:color="000000" w:fill="FFFFFF"/>
            <w:vAlign w:val="bottom"/>
            <w:hideMark/>
          </w:tcPr>
          <w:p w14:paraId="73DAA747" w14:textId="77777777" w:rsidR="000B098B" w:rsidRPr="008C063B" w:rsidRDefault="000B098B" w:rsidP="000B098B">
            <w:pPr>
              <w:spacing w:after="0" w:line="240" w:lineRule="auto"/>
              <w:jc w:val="center"/>
              <w:rPr>
                <w:rFonts w:eastAsia="Times New Roman" w:cs="Times New Roman"/>
                <w:color w:val="000000"/>
                <w:sz w:val="20"/>
                <w:lang w:eastAsia="sk-SK"/>
              </w:rPr>
            </w:pPr>
            <w:r w:rsidRPr="008C063B">
              <w:rPr>
                <w:rFonts w:eastAsia="Times New Roman" w:cs="Times New Roman"/>
                <w:color w:val="000000"/>
                <w:sz w:val="20"/>
                <w:lang w:eastAsia="sk-SK"/>
              </w:rPr>
              <w:t>2,4</w:t>
            </w:r>
          </w:p>
        </w:tc>
        <w:tc>
          <w:tcPr>
            <w:tcW w:w="850" w:type="dxa"/>
            <w:tcBorders>
              <w:top w:val="nil"/>
              <w:left w:val="nil"/>
              <w:bottom w:val="nil"/>
              <w:right w:val="nil"/>
            </w:tcBorders>
            <w:shd w:val="clear" w:color="000000" w:fill="FFFFFF"/>
            <w:vAlign w:val="bottom"/>
            <w:hideMark/>
          </w:tcPr>
          <w:p w14:paraId="2650317A" w14:textId="6460A52A" w:rsidR="000B098B" w:rsidRPr="008C063B" w:rsidRDefault="000B098B" w:rsidP="000B098B">
            <w:pPr>
              <w:spacing w:after="0" w:line="240" w:lineRule="auto"/>
              <w:jc w:val="center"/>
              <w:rPr>
                <w:rFonts w:eastAsia="Times New Roman" w:cs="Times New Roman"/>
                <w:color w:val="000000"/>
                <w:sz w:val="20"/>
                <w:lang w:eastAsia="sk-SK"/>
              </w:rPr>
            </w:pPr>
            <w:r>
              <w:rPr>
                <w:color w:val="000000"/>
                <w:sz w:val="20"/>
              </w:rPr>
              <w:t>2,6</w:t>
            </w:r>
          </w:p>
        </w:tc>
        <w:tc>
          <w:tcPr>
            <w:tcW w:w="709" w:type="dxa"/>
            <w:tcBorders>
              <w:top w:val="nil"/>
              <w:left w:val="nil"/>
              <w:bottom w:val="nil"/>
              <w:right w:val="nil"/>
            </w:tcBorders>
            <w:shd w:val="clear" w:color="000000" w:fill="FFFFFF"/>
            <w:vAlign w:val="bottom"/>
            <w:hideMark/>
          </w:tcPr>
          <w:p w14:paraId="6D86D156" w14:textId="6AAD369D" w:rsidR="000B098B" w:rsidRPr="008C063B" w:rsidRDefault="000B098B" w:rsidP="000B098B">
            <w:pPr>
              <w:spacing w:after="0" w:line="240" w:lineRule="auto"/>
              <w:jc w:val="center"/>
              <w:rPr>
                <w:rFonts w:eastAsia="Times New Roman" w:cs="Times New Roman"/>
                <w:color w:val="000000"/>
                <w:sz w:val="20"/>
                <w:lang w:eastAsia="sk-SK"/>
              </w:rPr>
            </w:pPr>
            <w:r>
              <w:rPr>
                <w:color w:val="000000"/>
                <w:sz w:val="20"/>
              </w:rPr>
              <w:t>2,8</w:t>
            </w:r>
          </w:p>
        </w:tc>
        <w:tc>
          <w:tcPr>
            <w:tcW w:w="709" w:type="dxa"/>
            <w:tcBorders>
              <w:top w:val="nil"/>
              <w:left w:val="nil"/>
              <w:bottom w:val="nil"/>
              <w:right w:val="nil"/>
            </w:tcBorders>
            <w:shd w:val="clear" w:color="000000" w:fill="FFFFFF"/>
            <w:vAlign w:val="bottom"/>
            <w:hideMark/>
          </w:tcPr>
          <w:p w14:paraId="6819BD09" w14:textId="121516A1" w:rsidR="000B098B" w:rsidRPr="008C063B" w:rsidRDefault="000B098B" w:rsidP="000B098B">
            <w:pPr>
              <w:spacing w:after="0" w:line="240" w:lineRule="auto"/>
              <w:jc w:val="center"/>
              <w:rPr>
                <w:rFonts w:eastAsia="Times New Roman" w:cs="Times New Roman"/>
                <w:color w:val="000000"/>
                <w:sz w:val="20"/>
                <w:lang w:eastAsia="sk-SK"/>
              </w:rPr>
            </w:pPr>
            <w:r>
              <w:rPr>
                <w:color w:val="000000"/>
                <w:sz w:val="20"/>
              </w:rPr>
              <w:t>3,0</w:t>
            </w:r>
          </w:p>
        </w:tc>
        <w:tc>
          <w:tcPr>
            <w:tcW w:w="708" w:type="dxa"/>
            <w:tcBorders>
              <w:top w:val="nil"/>
              <w:left w:val="nil"/>
              <w:bottom w:val="nil"/>
              <w:right w:val="nil"/>
            </w:tcBorders>
            <w:shd w:val="clear" w:color="000000" w:fill="FFFFFF"/>
            <w:vAlign w:val="bottom"/>
            <w:hideMark/>
          </w:tcPr>
          <w:p w14:paraId="3E75F895" w14:textId="4E11E00D" w:rsidR="000B098B" w:rsidRPr="008C063B" w:rsidRDefault="000B098B" w:rsidP="000B098B">
            <w:pPr>
              <w:spacing w:after="0" w:line="240" w:lineRule="auto"/>
              <w:jc w:val="center"/>
              <w:rPr>
                <w:rFonts w:eastAsia="Times New Roman" w:cs="Times New Roman"/>
                <w:color w:val="000000"/>
                <w:sz w:val="20"/>
                <w:lang w:eastAsia="sk-SK"/>
              </w:rPr>
            </w:pPr>
            <w:r>
              <w:rPr>
                <w:color w:val="000000"/>
                <w:sz w:val="20"/>
              </w:rPr>
              <w:t>3,1</w:t>
            </w:r>
          </w:p>
        </w:tc>
      </w:tr>
      <w:tr w:rsidR="000B098B" w:rsidRPr="008C063B" w14:paraId="17195CE6" w14:textId="77777777" w:rsidTr="008C063B">
        <w:trPr>
          <w:trHeight w:val="510"/>
        </w:trPr>
        <w:tc>
          <w:tcPr>
            <w:tcW w:w="4536" w:type="dxa"/>
            <w:tcBorders>
              <w:top w:val="nil"/>
              <w:left w:val="nil"/>
              <w:bottom w:val="nil"/>
              <w:right w:val="nil"/>
            </w:tcBorders>
            <w:shd w:val="clear" w:color="000000" w:fill="FFFFFF"/>
            <w:vAlign w:val="bottom"/>
            <w:hideMark/>
          </w:tcPr>
          <w:p w14:paraId="5948394F" w14:textId="77777777" w:rsidR="000B098B" w:rsidRPr="008C063B" w:rsidRDefault="000B098B" w:rsidP="000B098B">
            <w:pPr>
              <w:spacing w:after="0" w:line="240" w:lineRule="auto"/>
              <w:jc w:val="left"/>
              <w:rPr>
                <w:rFonts w:eastAsia="Times New Roman" w:cs="Times New Roman"/>
                <w:color w:val="000000"/>
                <w:sz w:val="20"/>
                <w:lang w:eastAsia="sk-SK"/>
              </w:rPr>
            </w:pPr>
            <w:r w:rsidRPr="008C063B">
              <w:rPr>
                <w:rFonts w:eastAsia="Times New Roman" w:cs="Times New Roman"/>
                <w:color w:val="000000"/>
                <w:sz w:val="20"/>
                <w:lang w:eastAsia="sk-SK"/>
              </w:rPr>
              <w:t>Navýšené normatívy na žiakov so ZZ v gymnáziách a konzervatóriách - špeciálne stredné školy</w:t>
            </w:r>
          </w:p>
        </w:tc>
        <w:tc>
          <w:tcPr>
            <w:tcW w:w="851" w:type="dxa"/>
            <w:tcBorders>
              <w:top w:val="nil"/>
              <w:left w:val="nil"/>
              <w:bottom w:val="nil"/>
              <w:right w:val="nil"/>
            </w:tcBorders>
            <w:shd w:val="clear" w:color="000000" w:fill="FFFFFF"/>
            <w:vAlign w:val="bottom"/>
            <w:hideMark/>
          </w:tcPr>
          <w:p w14:paraId="42CB7533" w14:textId="77777777" w:rsidR="000B098B" w:rsidRPr="008C063B" w:rsidRDefault="000B098B" w:rsidP="000B098B">
            <w:pPr>
              <w:spacing w:after="0" w:line="240" w:lineRule="auto"/>
              <w:jc w:val="center"/>
              <w:rPr>
                <w:rFonts w:eastAsia="Times New Roman" w:cs="Times New Roman"/>
                <w:color w:val="000000"/>
                <w:sz w:val="20"/>
                <w:lang w:eastAsia="sk-SK"/>
              </w:rPr>
            </w:pPr>
            <w:r w:rsidRPr="008C063B">
              <w:rPr>
                <w:rFonts w:eastAsia="Times New Roman" w:cs="Times New Roman"/>
                <w:color w:val="000000"/>
                <w:sz w:val="20"/>
                <w:lang w:eastAsia="sk-SK"/>
              </w:rPr>
              <w:t>MŠVVŠ</w:t>
            </w:r>
          </w:p>
        </w:tc>
        <w:tc>
          <w:tcPr>
            <w:tcW w:w="709" w:type="dxa"/>
            <w:tcBorders>
              <w:top w:val="nil"/>
              <w:left w:val="nil"/>
              <w:bottom w:val="nil"/>
              <w:right w:val="nil"/>
            </w:tcBorders>
            <w:shd w:val="clear" w:color="000000" w:fill="FFFFFF"/>
            <w:vAlign w:val="bottom"/>
            <w:hideMark/>
          </w:tcPr>
          <w:p w14:paraId="125BF5C7" w14:textId="77777777" w:rsidR="000B098B" w:rsidRPr="008C063B" w:rsidRDefault="000B098B" w:rsidP="000B098B">
            <w:pPr>
              <w:spacing w:after="0" w:line="240" w:lineRule="auto"/>
              <w:jc w:val="center"/>
              <w:rPr>
                <w:rFonts w:eastAsia="Times New Roman" w:cs="Times New Roman"/>
                <w:color w:val="000000"/>
                <w:sz w:val="20"/>
                <w:lang w:eastAsia="sk-SK"/>
              </w:rPr>
            </w:pPr>
            <w:r w:rsidRPr="008C063B">
              <w:rPr>
                <w:rFonts w:eastAsia="Times New Roman" w:cs="Times New Roman"/>
                <w:color w:val="000000"/>
                <w:sz w:val="20"/>
                <w:lang w:eastAsia="sk-SK"/>
              </w:rPr>
              <w:t>0,6</w:t>
            </w:r>
          </w:p>
        </w:tc>
        <w:tc>
          <w:tcPr>
            <w:tcW w:w="850" w:type="dxa"/>
            <w:tcBorders>
              <w:top w:val="nil"/>
              <w:left w:val="nil"/>
              <w:bottom w:val="nil"/>
              <w:right w:val="nil"/>
            </w:tcBorders>
            <w:shd w:val="clear" w:color="000000" w:fill="FFFFFF"/>
            <w:vAlign w:val="bottom"/>
            <w:hideMark/>
          </w:tcPr>
          <w:p w14:paraId="6CF09B5F" w14:textId="1ECD2A17" w:rsidR="000B098B" w:rsidRPr="008C063B" w:rsidRDefault="000B098B" w:rsidP="000B098B">
            <w:pPr>
              <w:spacing w:after="0" w:line="240" w:lineRule="auto"/>
              <w:jc w:val="center"/>
              <w:rPr>
                <w:rFonts w:eastAsia="Times New Roman" w:cs="Times New Roman"/>
                <w:color w:val="000000"/>
                <w:sz w:val="20"/>
                <w:lang w:eastAsia="sk-SK"/>
              </w:rPr>
            </w:pPr>
            <w:r>
              <w:rPr>
                <w:color w:val="000000"/>
                <w:sz w:val="20"/>
              </w:rPr>
              <w:t>0,7</w:t>
            </w:r>
          </w:p>
        </w:tc>
        <w:tc>
          <w:tcPr>
            <w:tcW w:w="709" w:type="dxa"/>
            <w:tcBorders>
              <w:top w:val="nil"/>
              <w:left w:val="nil"/>
              <w:bottom w:val="nil"/>
              <w:right w:val="nil"/>
            </w:tcBorders>
            <w:shd w:val="clear" w:color="000000" w:fill="FFFFFF"/>
            <w:vAlign w:val="bottom"/>
            <w:hideMark/>
          </w:tcPr>
          <w:p w14:paraId="658581AC" w14:textId="3FD48641" w:rsidR="000B098B" w:rsidRPr="008C063B" w:rsidRDefault="000B098B" w:rsidP="000B098B">
            <w:pPr>
              <w:spacing w:after="0" w:line="240" w:lineRule="auto"/>
              <w:jc w:val="center"/>
              <w:rPr>
                <w:rFonts w:eastAsia="Times New Roman" w:cs="Times New Roman"/>
                <w:color w:val="000000"/>
                <w:sz w:val="20"/>
                <w:lang w:eastAsia="sk-SK"/>
              </w:rPr>
            </w:pPr>
            <w:r>
              <w:rPr>
                <w:color w:val="000000"/>
                <w:sz w:val="20"/>
              </w:rPr>
              <w:t>0,8</w:t>
            </w:r>
          </w:p>
        </w:tc>
        <w:tc>
          <w:tcPr>
            <w:tcW w:w="709" w:type="dxa"/>
            <w:tcBorders>
              <w:top w:val="nil"/>
              <w:left w:val="nil"/>
              <w:bottom w:val="nil"/>
              <w:right w:val="nil"/>
            </w:tcBorders>
            <w:shd w:val="clear" w:color="000000" w:fill="FFFFFF"/>
            <w:vAlign w:val="bottom"/>
            <w:hideMark/>
          </w:tcPr>
          <w:p w14:paraId="4DCC8E8E" w14:textId="572F338B" w:rsidR="000B098B" w:rsidRPr="008C063B" w:rsidRDefault="000B098B" w:rsidP="000B098B">
            <w:pPr>
              <w:spacing w:after="0" w:line="240" w:lineRule="auto"/>
              <w:jc w:val="center"/>
              <w:rPr>
                <w:rFonts w:eastAsia="Times New Roman" w:cs="Times New Roman"/>
                <w:color w:val="000000"/>
                <w:sz w:val="20"/>
                <w:lang w:eastAsia="sk-SK"/>
              </w:rPr>
            </w:pPr>
            <w:r>
              <w:rPr>
                <w:color w:val="000000"/>
                <w:sz w:val="20"/>
              </w:rPr>
              <w:t>0,8</w:t>
            </w:r>
          </w:p>
        </w:tc>
        <w:tc>
          <w:tcPr>
            <w:tcW w:w="708" w:type="dxa"/>
            <w:tcBorders>
              <w:top w:val="nil"/>
              <w:left w:val="nil"/>
              <w:bottom w:val="nil"/>
              <w:right w:val="nil"/>
            </w:tcBorders>
            <w:shd w:val="clear" w:color="000000" w:fill="FFFFFF"/>
            <w:vAlign w:val="bottom"/>
            <w:hideMark/>
          </w:tcPr>
          <w:p w14:paraId="3B85CD14" w14:textId="48D943B9" w:rsidR="000B098B" w:rsidRPr="008C063B" w:rsidRDefault="000B098B" w:rsidP="000B098B">
            <w:pPr>
              <w:spacing w:after="0" w:line="240" w:lineRule="auto"/>
              <w:jc w:val="center"/>
              <w:rPr>
                <w:rFonts w:eastAsia="Times New Roman" w:cs="Times New Roman"/>
                <w:color w:val="000000"/>
                <w:sz w:val="20"/>
                <w:lang w:eastAsia="sk-SK"/>
              </w:rPr>
            </w:pPr>
            <w:r>
              <w:rPr>
                <w:color w:val="000000"/>
                <w:sz w:val="20"/>
              </w:rPr>
              <w:t>0,8</w:t>
            </w:r>
          </w:p>
        </w:tc>
      </w:tr>
      <w:tr w:rsidR="000B098B" w:rsidRPr="008C063B" w14:paraId="56E2724A" w14:textId="77777777" w:rsidTr="008C063B">
        <w:trPr>
          <w:trHeight w:val="510"/>
        </w:trPr>
        <w:tc>
          <w:tcPr>
            <w:tcW w:w="4536" w:type="dxa"/>
            <w:tcBorders>
              <w:top w:val="nil"/>
              <w:left w:val="nil"/>
              <w:bottom w:val="nil"/>
              <w:right w:val="nil"/>
            </w:tcBorders>
            <w:shd w:val="clear" w:color="000000" w:fill="FFFFFF"/>
            <w:vAlign w:val="bottom"/>
            <w:hideMark/>
          </w:tcPr>
          <w:p w14:paraId="430D94DC" w14:textId="77777777" w:rsidR="000B098B" w:rsidRPr="008C063B" w:rsidRDefault="000B098B" w:rsidP="000B098B">
            <w:pPr>
              <w:spacing w:after="0" w:line="240" w:lineRule="auto"/>
              <w:jc w:val="left"/>
              <w:rPr>
                <w:rFonts w:eastAsia="Times New Roman" w:cs="Times New Roman"/>
                <w:color w:val="000000"/>
                <w:sz w:val="20"/>
                <w:lang w:eastAsia="sk-SK"/>
              </w:rPr>
            </w:pPr>
            <w:r w:rsidRPr="008C063B">
              <w:rPr>
                <w:rFonts w:eastAsia="Times New Roman" w:cs="Times New Roman"/>
                <w:color w:val="000000"/>
                <w:sz w:val="20"/>
                <w:lang w:eastAsia="sk-SK"/>
              </w:rPr>
              <w:t>Navýšené normatívy na žiakov so ZZ v stredných odborných školách - špeciálne stredné školy</w:t>
            </w:r>
          </w:p>
        </w:tc>
        <w:tc>
          <w:tcPr>
            <w:tcW w:w="851" w:type="dxa"/>
            <w:tcBorders>
              <w:top w:val="nil"/>
              <w:left w:val="nil"/>
              <w:bottom w:val="nil"/>
              <w:right w:val="nil"/>
            </w:tcBorders>
            <w:shd w:val="clear" w:color="000000" w:fill="FFFFFF"/>
            <w:vAlign w:val="bottom"/>
            <w:hideMark/>
          </w:tcPr>
          <w:p w14:paraId="7B148353" w14:textId="77777777" w:rsidR="000B098B" w:rsidRPr="008C063B" w:rsidRDefault="000B098B" w:rsidP="000B098B">
            <w:pPr>
              <w:spacing w:after="0" w:line="240" w:lineRule="auto"/>
              <w:jc w:val="center"/>
              <w:rPr>
                <w:rFonts w:eastAsia="Times New Roman" w:cs="Times New Roman"/>
                <w:color w:val="000000"/>
                <w:sz w:val="20"/>
                <w:lang w:eastAsia="sk-SK"/>
              </w:rPr>
            </w:pPr>
            <w:r w:rsidRPr="008C063B">
              <w:rPr>
                <w:rFonts w:eastAsia="Times New Roman" w:cs="Times New Roman"/>
                <w:color w:val="000000"/>
                <w:sz w:val="20"/>
                <w:lang w:eastAsia="sk-SK"/>
              </w:rPr>
              <w:t>MŠVVŠ</w:t>
            </w:r>
          </w:p>
        </w:tc>
        <w:tc>
          <w:tcPr>
            <w:tcW w:w="709" w:type="dxa"/>
            <w:tcBorders>
              <w:top w:val="nil"/>
              <w:left w:val="nil"/>
              <w:bottom w:val="nil"/>
              <w:right w:val="nil"/>
            </w:tcBorders>
            <w:shd w:val="clear" w:color="000000" w:fill="FFFFFF"/>
            <w:vAlign w:val="bottom"/>
            <w:hideMark/>
          </w:tcPr>
          <w:p w14:paraId="5CFF0B53" w14:textId="77777777" w:rsidR="000B098B" w:rsidRPr="008C063B" w:rsidRDefault="000B098B" w:rsidP="000B098B">
            <w:pPr>
              <w:spacing w:after="0" w:line="240" w:lineRule="auto"/>
              <w:jc w:val="center"/>
              <w:rPr>
                <w:rFonts w:eastAsia="Times New Roman" w:cs="Times New Roman"/>
                <w:color w:val="000000"/>
                <w:sz w:val="20"/>
                <w:lang w:eastAsia="sk-SK"/>
              </w:rPr>
            </w:pPr>
            <w:r w:rsidRPr="008C063B">
              <w:rPr>
                <w:rFonts w:eastAsia="Times New Roman" w:cs="Times New Roman"/>
                <w:color w:val="000000"/>
                <w:sz w:val="20"/>
                <w:lang w:eastAsia="sk-SK"/>
              </w:rPr>
              <w:t>0,7</w:t>
            </w:r>
          </w:p>
        </w:tc>
        <w:tc>
          <w:tcPr>
            <w:tcW w:w="850" w:type="dxa"/>
            <w:tcBorders>
              <w:top w:val="nil"/>
              <w:left w:val="nil"/>
              <w:bottom w:val="nil"/>
              <w:right w:val="nil"/>
            </w:tcBorders>
            <w:shd w:val="clear" w:color="000000" w:fill="FFFFFF"/>
            <w:vAlign w:val="bottom"/>
            <w:hideMark/>
          </w:tcPr>
          <w:p w14:paraId="3F6258E0" w14:textId="5207DD15" w:rsidR="000B098B" w:rsidRPr="008C063B" w:rsidRDefault="000B098B" w:rsidP="000B098B">
            <w:pPr>
              <w:spacing w:after="0" w:line="240" w:lineRule="auto"/>
              <w:jc w:val="center"/>
              <w:rPr>
                <w:rFonts w:eastAsia="Times New Roman" w:cs="Times New Roman"/>
                <w:color w:val="000000"/>
                <w:sz w:val="20"/>
                <w:lang w:eastAsia="sk-SK"/>
              </w:rPr>
            </w:pPr>
            <w:r>
              <w:rPr>
                <w:color w:val="000000"/>
                <w:sz w:val="20"/>
              </w:rPr>
              <w:t>0,8</w:t>
            </w:r>
          </w:p>
        </w:tc>
        <w:tc>
          <w:tcPr>
            <w:tcW w:w="709" w:type="dxa"/>
            <w:tcBorders>
              <w:top w:val="nil"/>
              <w:left w:val="nil"/>
              <w:bottom w:val="nil"/>
              <w:right w:val="nil"/>
            </w:tcBorders>
            <w:shd w:val="clear" w:color="000000" w:fill="FFFFFF"/>
            <w:vAlign w:val="bottom"/>
            <w:hideMark/>
          </w:tcPr>
          <w:p w14:paraId="3AF86E87" w14:textId="12B95668" w:rsidR="000B098B" w:rsidRPr="008C063B" w:rsidRDefault="000B098B" w:rsidP="000B098B">
            <w:pPr>
              <w:spacing w:after="0" w:line="240" w:lineRule="auto"/>
              <w:jc w:val="center"/>
              <w:rPr>
                <w:rFonts w:eastAsia="Times New Roman" w:cs="Times New Roman"/>
                <w:color w:val="000000"/>
                <w:sz w:val="20"/>
                <w:lang w:eastAsia="sk-SK"/>
              </w:rPr>
            </w:pPr>
            <w:r>
              <w:rPr>
                <w:color w:val="000000"/>
                <w:sz w:val="20"/>
              </w:rPr>
              <w:t>0,9</w:t>
            </w:r>
          </w:p>
        </w:tc>
        <w:tc>
          <w:tcPr>
            <w:tcW w:w="709" w:type="dxa"/>
            <w:tcBorders>
              <w:top w:val="nil"/>
              <w:left w:val="nil"/>
              <w:bottom w:val="nil"/>
              <w:right w:val="nil"/>
            </w:tcBorders>
            <w:shd w:val="clear" w:color="000000" w:fill="FFFFFF"/>
            <w:vAlign w:val="bottom"/>
            <w:hideMark/>
          </w:tcPr>
          <w:p w14:paraId="67B5131F" w14:textId="6B349D35" w:rsidR="000B098B" w:rsidRPr="008C063B" w:rsidRDefault="000B098B" w:rsidP="000B098B">
            <w:pPr>
              <w:spacing w:after="0" w:line="240" w:lineRule="auto"/>
              <w:jc w:val="center"/>
              <w:rPr>
                <w:rFonts w:eastAsia="Times New Roman" w:cs="Times New Roman"/>
                <w:color w:val="000000"/>
                <w:sz w:val="20"/>
                <w:lang w:eastAsia="sk-SK"/>
              </w:rPr>
            </w:pPr>
            <w:r>
              <w:rPr>
                <w:color w:val="000000"/>
                <w:sz w:val="20"/>
              </w:rPr>
              <w:t>0,9</w:t>
            </w:r>
          </w:p>
        </w:tc>
        <w:tc>
          <w:tcPr>
            <w:tcW w:w="708" w:type="dxa"/>
            <w:tcBorders>
              <w:top w:val="nil"/>
              <w:left w:val="nil"/>
              <w:bottom w:val="nil"/>
              <w:right w:val="nil"/>
            </w:tcBorders>
            <w:shd w:val="clear" w:color="000000" w:fill="FFFFFF"/>
            <w:vAlign w:val="bottom"/>
            <w:hideMark/>
          </w:tcPr>
          <w:p w14:paraId="28AB838D" w14:textId="5C7FFAC1" w:rsidR="000B098B" w:rsidRPr="008C063B" w:rsidRDefault="000B098B" w:rsidP="000B098B">
            <w:pPr>
              <w:spacing w:after="0" w:line="240" w:lineRule="auto"/>
              <w:jc w:val="center"/>
              <w:rPr>
                <w:rFonts w:eastAsia="Times New Roman" w:cs="Times New Roman"/>
                <w:color w:val="000000"/>
                <w:sz w:val="20"/>
                <w:lang w:eastAsia="sk-SK"/>
              </w:rPr>
            </w:pPr>
            <w:r>
              <w:rPr>
                <w:color w:val="000000"/>
                <w:sz w:val="20"/>
              </w:rPr>
              <w:t>0,9</w:t>
            </w:r>
          </w:p>
        </w:tc>
      </w:tr>
      <w:tr w:rsidR="000B098B" w:rsidRPr="008C063B" w14:paraId="1B798636" w14:textId="77777777" w:rsidTr="008C063B">
        <w:trPr>
          <w:trHeight w:val="510"/>
        </w:trPr>
        <w:tc>
          <w:tcPr>
            <w:tcW w:w="4536" w:type="dxa"/>
            <w:tcBorders>
              <w:top w:val="nil"/>
              <w:left w:val="nil"/>
              <w:bottom w:val="nil"/>
              <w:right w:val="nil"/>
            </w:tcBorders>
            <w:shd w:val="clear" w:color="000000" w:fill="FFFFFF"/>
            <w:vAlign w:val="bottom"/>
            <w:hideMark/>
          </w:tcPr>
          <w:p w14:paraId="48477851" w14:textId="77777777" w:rsidR="000B098B" w:rsidRPr="008C063B" w:rsidRDefault="000B098B" w:rsidP="000B098B">
            <w:pPr>
              <w:spacing w:after="0" w:line="240" w:lineRule="auto"/>
              <w:jc w:val="left"/>
              <w:rPr>
                <w:rFonts w:eastAsia="Times New Roman" w:cs="Times New Roman"/>
                <w:color w:val="000000"/>
                <w:sz w:val="20"/>
                <w:lang w:eastAsia="sk-SK"/>
              </w:rPr>
            </w:pPr>
            <w:r w:rsidRPr="008C063B">
              <w:rPr>
                <w:rFonts w:eastAsia="Times New Roman" w:cs="Times New Roman"/>
                <w:color w:val="000000"/>
                <w:sz w:val="20"/>
                <w:lang w:eastAsia="sk-SK"/>
              </w:rPr>
              <w:t>Navýšené normatívy na žiakov so ZZ v odborných učilištiach a praktických školách</w:t>
            </w:r>
          </w:p>
        </w:tc>
        <w:tc>
          <w:tcPr>
            <w:tcW w:w="851" w:type="dxa"/>
            <w:tcBorders>
              <w:top w:val="nil"/>
              <w:left w:val="nil"/>
              <w:bottom w:val="nil"/>
              <w:right w:val="nil"/>
            </w:tcBorders>
            <w:shd w:val="clear" w:color="000000" w:fill="FFFFFF"/>
            <w:vAlign w:val="bottom"/>
            <w:hideMark/>
          </w:tcPr>
          <w:p w14:paraId="78DFA9CB" w14:textId="77777777" w:rsidR="000B098B" w:rsidRPr="008C063B" w:rsidRDefault="000B098B" w:rsidP="000B098B">
            <w:pPr>
              <w:spacing w:after="0" w:line="240" w:lineRule="auto"/>
              <w:jc w:val="center"/>
              <w:rPr>
                <w:rFonts w:eastAsia="Times New Roman" w:cs="Times New Roman"/>
                <w:color w:val="000000"/>
                <w:sz w:val="20"/>
                <w:lang w:eastAsia="sk-SK"/>
              </w:rPr>
            </w:pPr>
            <w:r w:rsidRPr="008C063B">
              <w:rPr>
                <w:rFonts w:eastAsia="Times New Roman" w:cs="Times New Roman"/>
                <w:color w:val="000000"/>
                <w:sz w:val="20"/>
                <w:lang w:eastAsia="sk-SK"/>
              </w:rPr>
              <w:t>MŠVVŠ</w:t>
            </w:r>
          </w:p>
        </w:tc>
        <w:tc>
          <w:tcPr>
            <w:tcW w:w="709" w:type="dxa"/>
            <w:tcBorders>
              <w:top w:val="nil"/>
              <w:left w:val="nil"/>
              <w:bottom w:val="nil"/>
              <w:right w:val="nil"/>
            </w:tcBorders>
            <w:shd w:val="clear" w:color="000000" w:fill="FFFFFF"/>
            <w:vAlign w:val="bottom"/>
            <w:hideMark/>
          </w:tcPr>
          <w:p w14:paraId="3781BFF1" w14:textId="77777777" w:rsidR="000B098B" w:rsidRPr="008C063B" w:rsidRDefault="000B098B" w:rsidP="000B098B">
            <w:pPr>
              <w:spacing w:after="0" w:line="240" w:lineRule="auto"/>
              <w:jc w:val="center"/>
              <w:rPr>
                <w:rFonts w:eastAsia="Times New Roman" w:cs="Times New Roman"/>
                <w:color w:val="000000"/>
                <w:sz w:val="20"/>
                <w:lang w:eastAsia="sk-SK"/>
              </w:rPr>
            </w:pPr>
            <w:r w:rsidRPr="008C063B">
              <w:rPr>
                <w:rFonts w:eastAsia="Times New Roman" w:cs="Times New Roman"/>
                <w:color w:val="000000"/>
                <w:sz w:val="20"/>
                <w:lang w:eastAsia="sk-SK"/>
              </w:rPr>
              <w:t>10,2</w:t>
            </w:r>
          </w:p>
        </w:tc>
        <w:tc>
          <w:tcPr>
            <w:tcW w:w="850" w:type="dxa"/>
            <w:tcBorders>
              <w:top w:val="nil"/>
              <w:left w:val="nil"/>
              <w:bottom w:val="nil"/>
              <w:right w:val="nil"/>
            </w:tcBorders>
            <w:shd w:val="clear" w:color="000000" w:fill="FFFFFF"/>
            <w:vAlign w:val="bottom"/>
            <w:hideMark/>
          </w:tcPr>
          <w:p w14:paraId="07AD494F" w14:textId="34C3ABBC" w:rsidR="000B098B" w:rsidRPr="008C063B" w:rsidRDefault="000B098B" w:rsidP="000B098B">
            <w:pPr>
              <w:spacing w:after="0" w:line="240" w:lineRule="auto"/>
              <w:jc w:val="center"/>
              <w:rPr>
                <w:rFonts w:eastAsia="Times New Roman" w:cs="Times New Roman"/>
                <w:color w:val="000000"/>
                <w:sz w:val="20"/>
                <w:lang w:eastAsia="sk-SK"/>
              </w:rPr>
            </w:pPr>
            <w:r>
              <w:rPr>
                <w:color w:val="000000"/>
                <w:sz w:val="20"/>
              </w:rPr>
              <w:t>11,1</w:t>
            </w:r>
          </w:p>
        </w:tc>
        <w:tc>
          <w:tcPr>
            <w:tcW w:w="709" w:type="dxa"/>
            <w:tcBorders>
              <w:top w:val="nil"/>
              <w:left w:val="nil"/>
              <w:bottom w:val="nil"/>
              <w:right w:val="nil"/>
            </w:tcBorders>
            <w:shd w:val="clear" w:color="000000" w:fill="FFFFFF"/>
            <w:vAlign w:val="bottom"/>
            <w:hideMark/>
          </w:tcPr>
          <w:p w14:paraId="1DE21D7D" w14:textId="51A01B2B" w:rsidR="000B098B" w:rsidRPr="008C063B" w:rsidRDefault="000B098B" w:rsidP="000B098B">
            <w:pPr>
              <w:spacing w:after="0" w:line="240" w:lineRule="auto"/>
              <w:jc w:val="center"/>
              <w:rPr>
                <w:rFonts w:eastAsia="Times New Roman" w:cs="Times New Roman"/>
                <w:color w:val="000000"/>
                <w:sz w:val="20"/>
                <w:lang w:eastAsia="sk-SK"/>
              </w:rPr>
            </w:pPr>
            <w:r>
              <w:rPr>
                <w:color w:val="000000"/>
                <w:sz w:val="20"/>
              </w:rPr>
              <w:t>12,1</w:t>
            </w:r>
          </w:p>
        </w:tc>
        <w:tc>
          <w:tcPr>
            <w:tcW w:w="709" w:type="dxa"/>
            <w:tcBorders>
              <w:top w:val="nil"/>
              <w:left w:val="nil"/>
              <w:bottom w:val="nil"/>
              <w:right w:val="nil"/>
            </w:tcBorders>
            <w:shd w:val="clear" w:color="000000" w:fill="FFFFFF"/>
            <w:vAlign w:val="bottom"/>
            <w:hideMark/>
          </w:tcPr>
          <w:p w14:paraId="06920A52" w14:textId="063F3297" w:rsidR="000B098B" w:rsidRPr="008C063B" w:rsidRDefault="000B098B" w:rsidP="000B098B">
            <w:pPr>
              <w:spacing w:after="0" w:line="240" w:lineRule="auto"/>
              <w:jc w:val="center"/>
              <w:rPr>
                <w:rFonts w:eastAsia="Times New Roman" w:cs="Times New Roman"/>
                <w:color w:val="000000"/>
                <w:sz w:val="20"/>
                <w:lang w:eastAsia="sk-SK"/>
              </w:rPr>
            </w:pPr>
            <w:r>
              <w:rPr>
                <w:color w:val="000000"/>
                <w:sz w:val="20"/>
              </w:rPr>
              <w:t>12,7</w:t>
            </w:r>
          </w:p>
        </w:tc>
        <w:tc>
          <w:tcPr>
            <w:tcW w:w="708" w:type="dxa"/>
            <w:tcBorders>
              <w:top w:val="nil"/>
              <w:left w:val="nil"/>
              <w:bottom w:val="nil"/>
              <w:right w:val="nil"/>
            </w:tcBorders>
            <w:shd w:val="clear" w:color="000000" w:fill="FFFFFF"/>
            <w:vAlign w:val="bottom"/>
            <w:hideMark/>
          </w:tcPr>
          <w:p w14:paraId="2BA2B153" w14:textId="418488E5" w:rsidR="000B098B" w:rsidRPr="008C063B" w:rsidRDefault="000B098B" w:rsidP="000B098B">
            <w:pPr>
              <w:spacing w:after="0" w:line="240" w:lineRule="auto"/>
              <w:jc w:val="center"/>
              <w:rPr>
                <w:rFonts w:eastAsia="Times New Roman" w:cs="Times New Roman"/>
                <w:color w:val="000000"/>
                <w:sz w:val="20"/>
                <w:lang w:eastAsia="sk-SK"/>
              </w:rPr>
            </w:pPr>
            <w:r>
              <w:rPr>
                <w:color w:val="000000"/>
                <w:sz w:val="20"/>
              </w:rPr>
              <w:t>13,2</w:t>
            </w:r>
          </w:p>
        </w:tc>
      </w:tr>
      <w:tr w:rsidR="000B098B" w:rsidRPr="008C063B" w14:paraId="3BEDF774" w14:textId="77777777" w:rsidTr="008C063B">
        <w:trPr>
          <w:trHeight w:val="510"/>
        </w:trPr>
        <w:tc>
          <w:tcPr>
            <w:tcW w:w="4536" w:type="dxa"/>
            <w:tcBorders>
              <w:top w:val="nil"/>
              <w:left w:val="nil"/>
              <w:bottom w:val="nil"/>
              <w:right w:val="nil"/>
            </w:tcBorders>
            <w:shd w:val="clear" w:color="000000" w:fill="FFFFFF"/>
            <w:vAlign w:val="bottom"/>
            <w:hideMark/>
          </w:tcPr>
          <w:p w14:paraId="201E7CEB" w14:textId="77777777" w:rsidR="000B098B" w:rsidRPr="008C063B" w:rsidRDefault="000B098B" w:rsidP="000B098B">
            <w:pPr>
              <w:spacing w:after="0" w:line="240" w:lineRule="auto"/>
              <w:jc w:val="left"/>
              <w:rPr>
                <w:rFonts w:eastAsia="Times New Roman" w:cs="Times New Roman"/>
                <w:color w:val="000000"/>
                <w:sz w:val="20"/>
                <w:lang w:eastAsia="sk-SK"/>
              </w:rPr>
            </w:pPr>
            <w:r w:rsidRPr="008C063B">
              <w:rPr>
                <w:rFonts w:eastAsia="Times New Roman" w:cs="Times New Roman"/>
                <w:color w:val="000000"/>
                <w:sz w:val="20"/>
                <w:lang w:eastAsia="sk-SK"/>
              </w:rPr>
              <w:t>Osobné náklady na pedagogických asistentov pre žiakov so ZZ v špeciálnych základných a stredných školách</w:t>
            </w:r>
          </w:p>
        </w:tc>
        <w:tc>
          <w:tcPr>
            <w:tcW w:w="851" w:type="dxa"/>
            <w:tcBorders>
              <w:top w:val="nil"/>
              <w:left w:val="nil"/>
              <w:bottom w:val="nil"/>
              <w:right w:val="nil"/>
            </w:tcBorders>
            <w:shd w:val="clear" w:color="000000" w:fill="FFFFFF"/>
            <w:vAlign w:val="bottom"/>
            <w:hideMark/>
          </w:tcPr>
          <w:p w14:paraId="4CAAF8CB" w14:textId="77777777" w:rsidR="000B098B" w:rsidRPr="008C063B" w:rsidRDefault="000B098B" w:rsidP="000B098B">
            <w:pPr>
              <w:spacing w:after="0" w:line="240" w:lineRule="auto"/>
              <w:jc w:val="center"/>
              <w:rPr>
                <w:rFonts w:eastAsia="Times New Roman" w:cs="Times New Roman"/>
                <w:color w:val="000000"/>
                <w:sz w:val="20"/>
                <w:lang w:eastAsia="sk-SK"/>
              </w:rPr>
            </w:pPr>
            <w:r w:rsidRPr="008C063B">
              <w:rPr>
                <w:rFonts w:eastAsia="Times New Roman" w:cs="Times New Roman"/>
                <w:color w:val="000000"/>
                <w:sz w:val="20"/>
                <w:lang w:eastAsia="sk-SK"/>
              </w:rPr>
              <w:t>MŠVVŠ</w:t>
            </w:r>
          </w:p>
        </w:tc>
        <w:tc>
          <w:tcPr>
            <w:tcW w:w="709" w:type="dxa"/>
            <w:tcBorders>
              <w:top w:val="nil"/>
              <w:left w:val="nil"/>
              <w:bottom w:val="nil"/>
              <w:right w:val="nil"/>
            </w:tcBorders>
            <w:shd w:val="clear" w:color="000000" w:fill="FFFFFF"/>
            <w:vAlign w:val="bottom"/>
            <w:hideMark/>
          </w:tcPr>
          <w:p w14:paraId="56177124" w14:textId="77777777" w:rsidR="000B098B" w:rsidRPr="008C063B" w:rsidRDefault="000B098B" w:rsidP="000B098B">
            <w:pPr>
              <w:spacing w:after="0" w:line="240" w:lineRule="auto"/>
              <w:jc w:val="center"/>
              <w:rPr>
                <w:rFonts w:eastAsia="Times New Roman" w:cs="Times New Roman"/>
                <w:color w:val="000000"/>
                <w:sz w:val="20"/>
                <w:lang w:eastAsia="sk-SK"/>
              </w:rPr>
            </w:pPr>
            <w:r w:rsidRPr="008C063B">
              <w:rPr>
                <w:rFonts w:eastAsia="Times New Roman" w:cs="Times New Roman"/>
                <w:color w:val="000000"/>
                <w:sz w:val="20"/>
                <w:lang w:eastAsia="sk-SK"/>
              </w:rPr>
              <w:t>6,3</w:t>
            </w:r>
          </w:p>
        </w:tc>
        <w:tc>
          <w:tcPr>
            <w:tcW w:w="850" w:type="dxa"/>
            <w:tcBorders>
              <w:top w:val="nil"/>
              <w:left w:val="nil"/>
              <w:bottom w:val="nil"/>
              <w:right w:val="nil"/>
            </w:tcBorders>
            <w:shd w:val="clear" w:color="000000" w:fill="FFFFFF"/>
            <w:vAlign w:val="bottom"/>
            <w:hideMark/>
          </w:tcPr>
          <w:p w14:paraId="5C5C5369" w14:textId="1484A252" w:rsidR="000B098B" w:rsidRPr="008C063B" w:rsidRDefault="000B098B" w:rsidP="000B098B">
            <w:pPr>
              <w:spacing w:after="0" w:line="240" w:lineRule="auto"/>
              <w:jc w:val="center"/>
              <w:rPr>
                <w:rFonts w:eastAsia="Times New Roman" w:cs="Times New Roman"/>
                <w:color w:val="000000"/>
                <w:sz w:val="20"/>
                <w:lang w:eastAsia="sk-SK"/>
              </w:rPr>
            </w:pPr>
            <w:r>
              <w:rPr>
                <w:color w:val="000000"/>
                <w:sz w:val="20"/>
              </w:rPr>
              <w:t>6,9</w:t>
            </w:r>
          </w:p>
        </w:tc>
        <w:tc>
          <w:tcPr>
            <w:tcW w:w="709" w:type="dxa"/>
            <w:tcBorders>
              <w:top w:val="nil"/>
              <w:left w:val="nil"/>
              <w:bottom w:val="nil"/>
              <w:right w:val="nil"/>
            </w:tcBorders>
            <w:shd w:val="clear" w:color="000000" w:fill="FFFFFF"/>
            <w:vAlign w:val="bottom"/>
            <w:hideMark/>
          </w:tcPr>
          <w:p w14:paraId="5CF8BB1C" w14:textId="3F53D132" w:rsidR="000B098B" w:rsidRPr="008C063B" w:rsidRDefault="000B098B" w:rsidP="000B098B">
            <w:pPr>
              <w:spacing w:after="0" w:line="240" w:lineRule="auto"/>
              <w:jc w:val="center"/>
              <w:rPr>
                <w:rFonts w:eastAsia="Times New Roman" w:cs="Times New Roman"/>
                <w:color w:val="000000"/>
                <w:sz w:val="20"/>
                <w:lang w:eastAsia="sk-SK"/>
              </w:rPr>
            </w:pPr>
            <w:r>
              <w:rPr>
                <w:color w:val="000000"/>
                <w:sz w:val="20"/>
              </w:rPr>
              <w:t>7,6</w:t>
            </w:r>
          </w:p>
        </w:tc>
        <w:tc>
          <w:tcPr>
            <w:tcW w:w="709" w:type="dxa"/>
            <w:tcBorders>
              <w:top w:val="nil"/>
              <w:left w:val="nil"/>
              <w:bottom w:val="nil"/>
              <w:right w:val="nil"/>
            </w:tcBorders>
            <w:shd w:val="clear" w:color="000000" w:fill="FFFFFF"/>
            <w:vAlign w:val="bottom"/>
            <w:hideMark/>
          </w:tcPr>
          <w:p w14:paraId="4D2F0474" w14:textId="0D8D47DB" w:rsidR="000B098B" w:rsidRPr="008C063B" w:rsidRDefault="000B098B" w:rsidP="000B098B">
            <w:pPr>
              <w:spacing w:after="0" w:line="240" w:lineRule="auto"/>
              <w:jc w:val="center"/>
              <w:rPr>
                <w:rFonts w:eastAsia="Times New Roman" w:cs="Times New Roman"/>
                <w:color w:val="000000"/>
                <w:sz w:val="20"/>
                <w:lang w:eastAsia="sk-SK"/>
              </w:rPr>
            </w:pPr>
            <w:r>
              <w:rPr>
                <w:color w:val="000000"/>
                <w:sz w:val="20"/>
              </w:rPr>
              <w:t>8,0</w:t>
            </w:r>
          </w:p>
        </w:tc>
        <w:tc>
          <w:tcPr>
            <w:tcW w:w="708" w:type="dxa"/>
            <w:tcBorders>
              <w:top w:val="nil"/>
              <w:left w:val="nil"/>
              <w:bottom w:val="nil"/>
              <w:right w:val="nil"/>
            </w:tcBorders>
            <w:shd w:val="clear" w:color="000000" w:fill="FFFFFF"/>
            <w:vAlign w:val="bottom"/>
            <w:hideMark/>
          </w:tcPr>
          <w:p w14:paraId="1FCAA378" w14:textId="000A4420" w:rsidR="000B098B" w:rsidRPr="008C063B" w:rsidRDefault="000B098B" w:rsidP="000B098B">
            <w:pPr>
              <w:spacing w:after="0" w:line="240" w:lineRule="auto"/>
              <w:jc w:val="center"/>
              <w:rPr>
                <w:rFonts w:eastAsia="Times New Roman" w:cs="Times New Roman"/>
                <w:color w:val="000000"/>
                <w:sz w:val="20"/>
                <w:lang w:eastAsia="sk-SK"/>
              </w:rPr>
            </w:pPr>
            <w:r>
              <w:rPr>
                <w:color w:val="000000"/>
                <w:sz w:val="20"/>
              </w:rPr>
              <w:t>8,3</w:t>
            </w:r>
          </w:p>
        </w:tc>
      </w:tr>
      <w:tr w:rsidR="000B098B" w:rsidRPr="008C063B" w14:paraId="1739E6D8" w14:textId="77777777" w:rsidTr="008C063B">
        <w:trPr>
          <w:trHeight w:val="510"/>
        </w:trPr>
        <w:tc>
          <w:tcPr>
            <w:tcW w:w="4536" w:type="dxa"/>
            <w:tcBorders>
              <w:top w:val="nil"/>
              <w:left w:val="nil"/>
              <w:bottom w:val="nil"/>
              <w:right w:val="nil"/>
            </w:tcBorders>
            <w:shd w:val="clear" w:color="000000" w:fill="FFFFFF"/>
            <w:vAlign w:val="bottom"/>
            <w:hideMark/>
          </w:tcPr>
          <w:p w14:paraId="333AF435" w14:textId="43504037" w:rsidR="000B098B" w:rsidRPr="008C063B" w:rsidRDefault="000B098B" w:rsidP="000B098B">
            <w:pPr>
              <w:spacing w:after="0" w:line="240" w:lineRule="auto"/>
              <w:jc w:val="left"/>
              <w:rPr>
                <w:rFonts w:eastAsia="Times New Roman" w:cs="Times New Roman"/>
                <w:color w:val="000000"/>
                <w:sz w:val="20"/>
                <w:lang w:eastAsia="sk-SK"/>
              </w:rPr>
            </w:pPr>
            <w:r>
              <w:rPr>
                <w:rFonts w:eastAsia="Times New Roman" w:cs="Times New Roman"/>
                <w:color w:val="000000"/>
                <w:sz w:val="20"/>
                <w:lang w:eastAsia="sk-SK"/>
              </w:rPr>
              <w:t>Rozvojový p</w:t>
            </w:r>
            <w:r w:rsidR="008D565A">
              <w:rPr>
                <w:rFonts w:eastAsia="Times New Roman" w:cs="Times New Roman"/>
                <w:color w:val="000000"/>
                <w:sz w:val="20"/>
                <w:lang w:eastAsia="sk-SK"/>
              </w:rPr>
              <w:t>rojekt</w:t>
            </w:r>
            <w:r w:rsidRPr="008C063B">
              <w:rPr>
                <w:rFonts w:eastAsia="Times New Roman" w:cs="Times New Roman"/>
                <w:color w:val="000000"/>
                <w:sz w:val="20"/>
                <w:lang w:eastAsia="sk-SK"/>
              </w:rPr>
              <w:t xml:space="preserve"> Odstránenie stavebných b</w:t>
            </w:r>
            <w:r>
              <w:rPr>
                <w:rFonts w:eastAsia="Times New Roman" w:cs="Times New Roman"/>
                <w:color w:val="000000"/>
                <w:sz w:val="20"/>
                <w:lang w:eastAsia="sk-SK"/>
              </w:rPr>
              <w:t>ariér v špeciálnych školách, ktoré</w:t>
            </w:r>
            <w:r w:rsidRPr="008C063B">
              <w:rPr>
                <w:rFonts w:eastAsia="Times New Roman" w:cs="Times New Roman"/>
                <w:color w:val="000000"/>
                <w:sz w:val="20"/>
                <w:lang w:eastAsia="sk-SK"/>
              </w:rPr>
              <w:t xml:space="preserve"> navštevujú žiaci so ZZ</w:t>
            </w:r>
          </w:p>
        </w:tc>
        <w:tc>
          <w:tcPr>
            <w:tcW w:w="851" w:type="dxa"/>
            <w:tcBorders>
              <w:top w:val="nil"/>
              <w:left w:val="nil"/>
              <w:bottom w:val="nil"/>
              <w:right w:val="nil"/>
            </w:tcBorders>
            <w:shd w:val="clear" w:color="000000" w:fill="FFFFFF"/>
            <w:vAlign w:val="bottom"/>
            <w:hideMark/>
          </w:tcPr>
          <w:p w14:paraId="77B771A3" w14:textId="77777777" w:rsidR="000B098B" w:rsidRPr="008C063B" w:rsidRDefault="000B098B" w:rsidP="000B098B">
            <w:pPr>
              <w:spacing w:after="0" w:line="240" w:lineRule="auto"/>
              <w:jc w:val="center"/>
              <w:rPr>
                <w:rFonts w:eastAsia="Times New Roman" w:cs="Times New Roman"/>
                <w:color w:val="000000"/>
                <w:sz w:val="20"/>
                <w:lang w:eastAsia="sk-SK"/>
              </w:rPr>
            </w:pPr>
            <w:r w:rsidRPr="008C063B">
              <w:rPr>
                <w:rFonts w:eastAsia="Times New Roman" w:cs="Times New Roman"/>
                <w:color w:val="000000"/>
                <w:sz w:val="20"/>
                <w:lang w:eastAsia="sk-SK"/>
              </w:rPr>
              <w:t>MŠVVŠ</w:t>
            </w:r>
          </w:p>
        </w:tc>
        <w:tc>
          <w:tcPr>
            <w:tcW w:w="709" w:type="dxa"/>
            <w:tcBorders>
              <w:top w:val="nil"/>
              <w:left w:val="nil"/>
              <w:bottom w:val="nil"/>
              <w:right w:val="nil"/>
            </w:tcBorders>
            <w:shd w:val="clear" w:color="000000" w:fill="FFFFFF"/>
            <w:vAlign w:val="bottom"/>
            <w:hideMark/>
          </w:tcPr>
          <w:p w14:paraId="538F78FE" w14:textId="77777777" w:rsidR="000B098B" w:rsidRPr="008C063B" w:rsidRDefault="000B098B" w:rsidP="000B098B">
            <w:pPr>
              <w:spacing w:after="0" w:line="240" w:lineRule="auto"/>
              <w:jc w:val="center"/>
              <w:rPr>
                <w:rFonts w:eastAsia="Times New Roman" w:cs="Times New Roman"/>
                <w:color w:val="000000"/>
                <w:sz w:val="20"/>
                <w:lang w:eastAsia="sk-SK"/>
              </w:rPr>
            </w:pPr>
            <w:r w:rsidRPr="008C063B">
              <w:rPr>
                <w:rFonts w:eastAsia="Times New Roman" w:cs="Times New Roman"/>
                <w:color w:val="000000"/>
                <w:sz w:val="20"/>
                <w:lang w:eastAsia="sk-SK"/>
              </w:rPr>
              <w:t>0,1</w:t>
            </w:r>
          </w:p>
        </w:tc>
        <w:tc>
          <w:tcPr>
            <w:tcW w:w="850" w:type="dxa"/>
            <w:tcBorders>
              <w:top w:val="nil"/>
              <w:left w:val="nil"/>
              <w:bottom w:val="nil"/>
              <w:right w:val="nil"/>
            </w:tcBorders>
            <w:shd w:val="clear" w:color="000000" w:fill="FFFFFF"/>
            <w:vAlign w:val="bottom"/>
            <w:hideMark/>
          </w:tcPr>
          <w:p w14:paraId="42218F00" w14:textId="78BC678D" w:rsidR="000B098B" w:rsidRPr="008C063B" w:rsidRDefault="00913AFC" w:rsidP="000B098B">
            <w:pPr>
              <w:spacing w:after="0" w:line="240" w:lineRule="auto"/>
              <w:jc w:val="center"/>
              <w:rPr>
                <w:rFonts w:eastAsia="Times New Roman" w:cs="Times New Roman"/>
                <w:color w:val="000000"/>
                <w:sz w:val="20"/>
                <w:lang w:eastAsia="sk-SK"/>
              </w:rPr>
            </w:pPr>
            <w:r>
              <w:rPr>
                <w:color w:val="000000"/>
                <w:sz w:val="20"/>
              </w:rPr>
              <w:t>0,1</w:t>
            </w:r>
          </w:p>
        </w:tc>
        <w:tc>
          <w:tcPr>
            <w:tcW w:w="709" w:type="dxa"/>
            <w:tcBorders>
              <w:top w:val="nil"/>
              <w:left w:val="nil"/>
              <w:bottom w:val="nil"/>
              <w:right w:val="nil"/>
            </w:tcBorders>
            <w:shd w:val="clear" w:color="000000" w:fill="FFFFFF"/>
            <w:vAlign w:val="bottom"/>
            <w:hideMark/>
          </w:tcPr>
          <w:p w14:paraId="1C77CDF7" w14:textId="6EDD89CD" w:rsidR="000B098B" w:rsidRPr="008C063B" w:rsidRDefault="00913AFC" w:rsidP="000B098B">
            <w:pPr>
              <w:spacing w:after="0" w:line="240" w:lineRule="auto"/>
              <w:jc w:val="center"/>
              <w:rPr>
                <w:rFonts w:eastAsia="Times New Roman" w:cs="Times New Roman"/>
                <w:color w:val="000000"/>
                <w:sz w:val="20"/>
                <w:lang w:eastAsia="sk-SK"/>
              </w:rPr>
            </w:pPr>
            <w:r>
              <w:rPr>
                <w:color w:val="000000"/>
                <w:sz w:val="20"/>
              </w:rPr>
              <w:t>0,1</w:t>
            </w:r>
          </w:p>
        </w:tc>
        <w:tc>
          <w:tcPr>
            <w:tcW w:w="709" w:type="dxa"/>
            <w:tcBorders>
              <w:top w:val="nil"/>
              <w:left w:val="nil"/>
              <w:bottom w:val="nil"/>
              <w:right w:val="nil"/>
            </w:tcBorders>
            <w:shd w:val="clear" w:color="000000" w:fill="FFFFFF"/>
            <w:vAlign w:val="bottom"/>
            <w:hideMark/>
          </w:tcPr>
          <w:p w14:paraId="3B2543D7" w14:textId="43FC67CC" w:rsidR="000B098B" w:rsidRPr="008C063B" w:rsidRDefault="00913AFC" w:rsidP="000B098B">
            <w:pPr>
              <w:spacing w:after="0" w:line="240" w:lineRule="auto"/>
              <w:jc w:val="center"/>
              <w:rPr>
                <w:rFonts w:eastAsia="Times New Roman" w:cs="Times New Roman"/>
                <w:color w:val="000000"/>
                <w:sz w:val="20"/>
                <w:lang w:eastAsia="sk-SK"/>
              </w:rPr>
            </w:pPr>
            <w:r>
              <w:rPr>
                <w:color w:val="000000"/>
                <w:sz w:val="20"/>
              </w:rPr>
              <w:t>0,1</w:t>
            </w:r>
          </w:p>
        </w:tc>
        <w:tc>
          <w:tcPr>
            <w:tcW w:w="708" w:type="dxa"/>
            <w:tcBorders>
              <w:top w:val="nil"/>
              <w:left w:val="nil"/>
              <w:bottom w:val="nil"/>
              <w:right w:val="nil"/>
            </w:tcBorders>
            <w:shd w:val="clear" w:color="000000" w:fill="FFFFFF"/>
            <w:vAlign w:val="bottom"/>
            <w:hideMark/>
          </w:tcPr>
          <w:p w14:paraId="1FA8510B" w14:textId="4526CD5C" w:rsidR="000B098B" w:rsidRPr="008C063B" w:rsidRDefault="00913AFC" w:rsidP="000B098B">
            <w:pPr>
              <w:spacing w:after="0" w:line="240" w:lineRule="auto"/>
              <w:jc w:val="center"/>
              <w:rPr>
                <w:rFonts w:eastAsia="Times New Roman" w:cs="Times New Roman"/>
                <w:color w:val="000000"/>
                <w:sz w:val="20"/>
                <w:lang w:eastAsia="sk-SK"/>
              </w:rPr>
            </w:pPr>
            <w:r>
              <w:rPr>
                <w:color w:val="000000"/>
                <w:sz w:val="20"/>
              </w:rPr>
              <w:t>0,1</w:t>
            </w:r>
          </w:p>
        </w:tc>
      </w:tr>
      <w:tr w:rsidR="00913AFC" w:rsidRPr="008C063B" w14:paraId="3AB89C72" w14:textId="77777777" w:rsidTr="00B91A56">
        <w:trPr>
          <w:trHeight w:val="255"/>
        </w:trPr>
        <w:tc>
          <w:tcPr>
            <w:tcW w:w="4536" w:type="dxa"/>
            <w:tcBorders>
              <w:top w:val="single" w:sz="4" w:space="0" w:color="auto"/>
              <w:left w:val="nil"/>
              <w:bottom w:val="single" w:sz="4" w:space="0" w:color="auto"/>
              <w:right w:val="nil"/>
            </w:tcBorders>
            <w:shd w:val="clear" w:color="000000" w:fill="FFFFFF"/>
            <w:vAlign w:val="bottom"/>
          </w:tcPr>
          <w:p w14:paraId="0D1263AC" w14:textId="2731ECA3" w:rsidR="00913AFC" w:rsidRPr="00C406D8" w:rsidRDefault="00C406D8" w:rsidP="00913AFC">
            <w:pPr>
              <w:spacing w:after="0" w:line="240" w:lineRule="auto"/>
              <w:jc w:val="left"/>
              <w:rPr>
                <w:rFonts w:eastAsia="Times New Roman" w:cs="Times New Roman"/>
                <w:b/>
                <w:bCs/>
                <w:color w:val="000000"/>
                <w:sz w:val="20"/>
                <w:lang w:eastAsia="sk-SK"/>
              </w:rPr>
            </w:pPr>
            <w:r w:rsidRPr="00D41517">
              <w:rPr>
                <w:rFonts w:eastAsia="Times New Roman" w:cs="Times New Roman"/>
                <w:b/>
                <w:color w:val="000000"/>
                <w:sz w:val="20"/>
                <w:lang w:eastAsia="sk-SK"/>
              </w:rPr>
              <w:t>Školské zariadenia výchovného poradenstva a</w:t>
            </w:r>
            <w:r w:rsidRPr="00C406D8">
              <w:rPr>
                <w:rFonts w:eastAsia="Times New Roman" w:cs="Times New Roman"/>
                <w:b/>
                <w:color w:val="000000"/>
                <w:sz w:val="20"/>
                <w:lang w:eastAsia="sk-SK"/>
              </w:rPr>
              <w:t> </w:t>
            </w:r>
            <w:r w:rsidRPr="00D41517">
              <w:rPr>
                <w:rFonts w:eastAsia="Times New Roman" w:cs="Times New Roman"/>
                <w:b/>
                <w:color w:val="000000"/>
                <w:sz w:val="20"/>
                <w:lang w:eastAsia="sk-SK"/>
              </w:rPr>
              <w:t>prevencie</w:t>
            </w:r>
            <w:r w:rsidRPr="00C406D8">
              <w:rPr>
                <w:rFonts w:eastAsia="Times New Roman" w:cs="Times New Roman"/>
                <w:b/>
                <w:color w:val="000000"/>
                <w:sz w:val="20"/>
                <w:lang w:eastAsia="sk-SK"/>
              </w:rPr>
              <w:t xml:space="preserve"> (</w:t>
            </w:r>
            <w:r w:rsidRPr="00D41517">
              <w:rPr>
                <w:rFonts w:eastAsia="Times New Roman" w:cs="Times New Roman"/>
                <w:b/>
                <w:color w:val="000000"/>
                <w:sz w:val="20"/>
                <w:lang w:eastAsia="sk-SK"/>
              </w:rPr>
              <w:t>CPPPaP a CŠPP)</w:t>
            </w:r>
            <w:r w:rsidRPr="00D41517">
              <w:rPr>
                <w:rStyle w:val="Odkaznapoznmkupodiarou"/>
                <w:rFonts w:eastAsia="Times New Roman" w:cs="Times New Roman"/>
                <w:b/>
                <w:color w:val="000000"/>
                <w:sz w:val="20"/>
                <w:lang w:eastAsia="sk-SK"/>
              </w:rPr>
              <w:footnoteReference w:id="23"/>
            </w:r>
          </w:p>
        </w:tc>
        <w:tc>
          <w:tcPr>
            <w:tcW w:w="851" w:type="dxa"/>
            <w:tcBorders>
              <w:top w:val="single" w:sz="4" w:space="0" w:color="auto"/>
              <w:left w:val="nil"/>
              <w:bottom w:val="single" w:sz="4" w:space="0" w:color="auto"/>
              <w:right w:val="nil"/>
            </w:tcBorders>
            <w:shd w:val="clear" w:color="000000" w:fill="FFFFFF"/>
            <w:vAlign w:val="bottom"/>
          </w:tcPr>
          <w:p w14:paraId="15868664" w14:textId="1FC6BEF0" w:rsidR="00913AFC" w:rsidRPr="00913AFC" w:rsidRDefault="00913AFC" w:rsidP="00D41517">
            <w:pPr>
              <w:spacing w:after="0" w:line="240" w:lineRule="auto"/>
              <w:jc w:val="center"/>
              <w:rPr>
                <w:rFonts w:eastAsia="Times New Roman" w:cs="Times New Roman"/>
                <w:b/>
                <w:bCs/>
                <w:color w:val="000000"/>
                <w:sz w:val="20"/>
                <w:lang w:eastAsia="sk-SK"/>
              </w:rPr>
            </w:pPr>
            <w:r w:rsidRPr="00D41517">
              <w:rPr>
                <w:rFonts w:eastAsia="Times New Roman" w:cs="Times New Roman"/>
                <w:b/>
                <w:color w:val="000000"/>
                <w:sz w:val="20"/>
                <w:lang w:eastAsia="sk-SK"/>
              </w:rPr>
              <w:t>MŠVVŠ</w:t>
            </w:r>
          </w:p>
        </w:tc>
        <w:tc>
          <w:tcPr>
            <w:tcW w:w="709" w:type="dxa"/>
            <w:tcBorders>
              <w:top w:val="single" w:sz="4" w:space="0" w:color="auto"/>
              <w:left w:val="nil"/>
              <w:bottom w:val="single" w:sz="4" w:space="0" w:color="auto"/>
              <w:right w:val="nil"/>
            </w:tcBorders>
            <w:shd w:val="clear" w:color="000000" w:fill="FFFFFF"/>
            <w:vAlign w:val="bottom"/>
          </w:tcPr>
          <w:p w14:paraId="64DE7A0D" w14:textId="4B2B9BF8" w:rsidR="00913AFC" w:rsidRPr="00913AFC" w:rsidRDefault="00913AFC" w:rsidP="00913AFC">
            <w:pPr>
              <w:spacing w:after="0" w:line="240" w:lineRule="auto"/>
              <w:jc w:val="center"/>
              <w:rPr>
                <w:rFonts w:eastAsia="Times New Roman" w:cs="Times New Roman"/>
                <w:b/>
                <w:bCs/>
                <w:color w:val="000000"/>
                <w:sz w:val="20"/>
                <w:lang w:eastAsia="sk-SK"/>
              </w:rPr>
            </w:pPr>
            <w:r w:rsidRPr="00D41517">
              <w:rPr>
                <w:b/>
                <w:color w:val="000000"/>
                <w:sz w:val="20"/>
              </w:rPr>
              <w:t>28,0</w:t>
            </w:r>
          </w:p>
        </w:tc>
        <w:tc>
          <w:tcPr>
            <w:tcW w:w="850" w:type="dxa"/>
            <w:tcBorders>
              <w:top w:val="single" w:sz="4" w:space="0" w:color="auto"/>
              <w:left w:val="nil"/>
              <w:bottom w:val="single" w:sz="4" w:space="0" w:color="auto"/>
              <w:right w:val="nil"/>
            </w:tcBorders>
            <w:shd w:val="clear" w:color="000000" w:fill="FFFFFF"/>
            <w:vAlign w:val="bottom"/>
          </w:tcPr>
          <w:p w14:paraId="45FD28C0" w14:textId="630B63CA" w:rsidR="00913AFC" w:rsidRPr="00913AFC" w:rsidRDefault="00913AFC" w:rsidP="00913AFC">
            <w:pPr>
              <w:spacing w:after="0" w:line="240" w:lineRule="auto"/>
              <w:jc w:val="center"/>
              <w:rPr>
                <w:b/>
                <w:bCs/>
                <w:color w:val="000000"/>
                <w:sz w:val="20"/>
              </w:rPr>
            </w:pPr>
            <w:r w:rsidRPr="00D41517">
              <w:rPr>
                <w:b/>
                <w:color w:val="000000"/>
                <w:sz w:val="20"/>
              </w:rPr>
              <w:t>30,8</w:t>
            </w:r>
          </w:p>
        </w:tc>
        <w:tc>
          <w:tcPr>
            <w:tcW w:w="709" w:type="dxa"/>
            <w:tcBorders>
              <w:top w:val="single" w:sz="4" w:space="0" w:color="auto"/>
              <w:left w:val="nil"/>
              <w:bottom w:val="single" w:sz="4" w:space="0" w:color="auto"/>
              <w:right w:val="nil"/>
            </w:tcBorders>
            <w:shd w:val="clear" w:color="000000" w:fill="FFFFFF"/>
            <w:vAlign w:val="bottom"/>
          </w:tcPr>
          <w:p w14:paraId="1C113A66" w14:textId="47002F66" w:rsidR="00913AFC" w:rsidRPr="00913AFC" w:rsidRDefault="00913AFC" w:rsidP="00913AFC">
            <w:pPr>
              <w:spacing w:after="0" w:line="240" w:lineRule="auto"/>
              <w:jc w:val="center"/>
              <w:rPr>
                <w:b/>
                <w:bCs/>
                <w:color w:val="000000"/>
                <w:sz w:val="20"/>
              </w:rPr>
            </w:pPr>
            <w:r w:rsidRPr="00D41517">
              <w:rPr>
                <w:b/>
                <w:color w:val="000000"/>
                <w:sz w:val="20"/>
              </w:rPr>
              <w:t>33,9</w:t>
            </w:r>
          </w:p>
        </w:tc>
        <w:tc>
          <w:tcPr>
            <w:tcW w:w="709" w:type="dxa"/>
            <w:tcBorders>
              <w:top w:val="single" w:sz="4" w:space="0" w:color="auto"/>
              <w:left w:val="nil"/>
              <w:bottom w:val="single" w:sz="4" w:space="0" w:color="auto"/>
              <w:right w:val="nil"/>
            </w:tcBorders>
            <w:shd w:val="clear" w:color="000000" w:fill="FFFFFF"/>
            <w:vAlign w:val="bottom"/>
          </w:tcPr>
          <w:p w14:paraId="5BFA1D11" w14:textId="6D272EEC" w:rsidR="00913AFC" w:rsidRPr="00913AFC" w:rsidRDefault="00913AFC" w:rsidP="00913AFC">
            <w:pPr>
              <w:spacing w:after="0" w:line="240" w:lineRule="auto"/>
              <w:jc w:val="center"/>
              <w:rPr>
                <w:b/>
                <w:bCs/>
                <w:color w:val="000000"/>
                <w:sz w:val="20"/>
              </w:rPr>
            </w:pPr>
            <w:r w:rsidRPr="00D41517">
              <w:rPr>
                <w:b/>
                <w:color w:val="000000"/>
                <w:sz w:val="20"/>
              </w:rPr>
              <w:t>35,7</w:t>
            </w:r>
          </w:p>
        </w:tc>
        <w:tc>
          <w:tcPr>
            <w:tcW w:w="708" w:type="dxa"/>
            <w:tcBorders>
              <w:top w:val="single" w:sz="4" w:space="0" w:color="auto"/>
              <w:left w:val="nil"/>
              <w:bottom w:val="single" w:sz="4" w:space="0" w:color="auto"/>
              <w:right w:val="nil"/>
            </w:tcBorders>
            <w:shd w:val="clear" w:color="000000" w:fill="FFFFFF"/>
            <w:vAlign w:val="bottom"/>
          </w:tcPr>
          <w:p w14:paraId="2539EFFE" w14:textId="13400FE5" w:rsidR="00913AFC" w:rsidRPr="00913AFC" w:rsidRDefault="00913AFC" w:rsidP="00913AFC">
            <w:pPr>
              <w:spacing w:after="0" w:line="240" w:lineRule="auto"/>
              <w:jc w:val="center"/>
              <w:rPr>
                <w:b/>
                <w:bCs/>
                <w:color w:val="000000"/>
                <w:sz w:val="20"/>
              </w:rPr>
            </w:pPr>
            <w:r w:rsidRPr="00D41517">
              <w:rPr>
                <w:b/>
                <w:color w:val="000000"/>
                <w:sz w:val="20"/>
              </w:rPr>
              <w:t>37,1</w:t>
            </w:r>
          </w:p>
        </w:tc>
      </w:tr>
      <w:tr w:rsidR="00913AFC" w:rsidRPr="008C063B" w14:paraId="3FA9214E" w14:textId="77777777" w:rsidTr="00B91A56">
        <w:trPr>
          <w:trHeight w:val="255"/>
        </w:trPr>
        <w:tc>
          <w:tcPr>
            <w:tcW w:w="4536" w:type="dxa"/>
            <w:tcBorders>
              <w:top w:val="single" w:sz="4" w:space="0" w:color="auto"/>
              <w:left w:val="nil"/>
              <w:bottom w:val="single" w:sz="4" w:space="0" w:color="auto"/>
              <w:right w:val="nil"/>
            </w:tcBorders>
            <w:shd w:val="clear" w:color="000000" w:fill="FFFFFF"/>
            <w:vAlign w:val="bottom"/>
            <w:hideMark/>
          </w:tcPr>
          <w:p w14:paraId="23A9B744" w14:textId="77777777" w:rsidR="00913AFC" w:rsidRPr="008C063B" w:rsidRDefault="00913AFC" w:rsidP="00913AFC">
            <w:pPr>
              <w:spacing w:after="0" w:line="240" w:lineRule="auto"/>
              <w:jc w:val="left"/>
              <w:rPr>
                <w:rFonts w:eastAsia="Times New Roman" w:cs="Times New Roman"/>
                <w:b/>
                <w:bCs/>
                <w:color w:val="000000"/>
                <w:sz w:val="20"/>
                <w:lang w:eastAsia="sk-SK"/>
              </w:rPr>
            </w:pPr>
            <w:r w:rsidRPr="008C063B">
              <w:rPr>
                <w:rFonts w:eastAsia="Times New Roman" w:cs="Times New Roman"/>
                <w:b/>
                <w:bCs/>
                <w:color w:val="000000"/>
                <w:sz w:val="20"/>
                <w:lang w:eastAsia="sk-SK"/>
              </w:rPr>
              <w:t>Spolu štátny rozpočet a rozpočet samospráv</w:t>
            </w:r>
          </w:p>
        </w:tc>
        <w:tc>
          <w:tcPr>
            <w:tcW w:w="851" w:type="dxa"/>
            <w:tcBorders>
              <w:top w:val="single" w:sz="4" w:space="0" w:color="auto"/>
              <w:left w:val="nil"/>
              <w:bottom w:val="single" w:sz="4" w:space="0" w:color="auto"/>
              <w:right w:val="nil"/>
            </w:tcBorders>
            <w:shd w:val="clear" w:color="000000" w:fill="FFFFFF"/>
            <w:vAlign w:val="bottom"/>
            <w:hideMark/>
          </w:tcPr>
          <w:p w14:paraId="40E87548" w14:textId="77777777" w:rsidR="00913AFC" w:rsidRPr="008C063B" w:rsidRDefault="00913AFC" w:rsidP="00913AFC">
            <w:pPr>
              <w:spacing w:after="0" w:line="240" w:lineRule="auto"/>
              <w:jc w:val="left"/>
              <w:rPr>
                <w:rFonts w:eastAsia="Times New Roman" w:cs="Times New Roman"/>
                <w:b/>
                <w:bCs/>
                <w:color w:val="000000"/>
                <w:sz w:val="20"/>
                <w:lang w:eastAsia="sk-SK"/>
              </w:rPr>
            </w:pPr>
            <w:r w:rsidRPr="008C063B">
              <w:rPr>
                <w:rFonts w:eastAsia="Times New Roman" w:cs="Times New Roman"/>
                <w:b/>
                <w:bCs/>
                <w:color w:val="000000"/>
                <w:sz w:val="20"/>
                <w:lang w:eastAsia="sk-SK"/>
              </w:rPr>
              <w:t> </w:t>
            </w:r>
          </w:p>
        </w:tc>
        <w:tc>
          <w:tcPr>
            <w:tcW w:w="709" w:type="dxa"/>
            <w:tcBorders>
              <w:top w:val="single" w:sz="4" w:space="0" w:color="auto"/>
              <w:left w:val="nil"/>
              <w:bottom w:val="single" w:sz="4" w:space="0" w:color="auto"/>
              <w:right w:val="nil"/>
            </w:tcBorders>
            <w:shd w:val="clear" w:color="000000" w:fill="FFFFFF"/>
            <w:vAlign w:val="bottom"/>
            <w:hideMark/>
          </w:tcPr>
          <w:p w14:paraId="30E8333C" w14:textId="7CA10A80" w:rsidR="00913AFC" w:rsidRPr="008C063B" w:rsidRDefault="00913AFC" w:rsidP="00913AFC">
            <w:pPr>
              <w:spacing w:after="0" w:line="240" w:lineRule="auto"/>
              <w:jc w:val="center"/>
              <w:rPr>
                <w:rFonts w:eastAsia="Times New Roman" w:cs="Times New Roman"/>
                <w:b/>
                <w:bCs/>
                <w:color w:val="000000"/>
                <w:sz w:val="20"/>
                <w:lang w:eastAsia="sk-SK"/>
              </w:rPr>
            </w:pPr>
            <w:r>
              <w:rPr>
                <w:b/>
                <w:bCs/>
                <w:color w:val="000000"/>
                <w:sz w:val="20"/>
              </w:rPr>
              <w:t>259,9</w:t>
            </w:r>
          </w:p>
        </w:tc>
        <w:tc>
          <w:tcPr>
            <w:tcW w:w="850" w:type="dxa"/>
            <w:tcBorders>
              <w:top w:val="single" w:sz="4" w:space="0" w:color="auto"/>
              <w:left w:val="nil"/>
              <w:bottom w:val="single" w:sz="4" w:space="0" w:color="auto"/>
              <w:right w:val="nil"/>
            </w:tcBorders>
            <w:shd w:val="clear" w:color="000000" w:fill="FFFFFF"/>
            <w:vAlign w:val="bottom"/>
            <w:hideMark/>
          </w:tcPr>
          <w:p w14:paraId="570243BC" w14:textId="491CC6A9" w:rsidR="00913AFC" w:rsidRPr="008C063B" w:rsidRDefault="00913AFC" w:rsidP="00913AFC">
            <w:pPr>
              <w:spacing w:after="0" w:line="240" w:lineRule="auto"/>
              <w:jc w:val="center"/>
              <w:rPr>
                <w:rFonts w:eastAsia="Times New Roman" w:cs="Times New Roman"/>
                <w:b/>
                <w:bCs/>
                <w:color w:val="000000"/>
                <w:sz w:val="20"/>
                <w:lang w:eastAsia="sk-SK"/>
              </w:rPr>
            </w:pPr>
            <w:r>
              <w:rPr>
                <w:b/>
                <w:bCs/>
                <w:color w:val="000000"/>
                <w:sz w:val="20"/>
              </w:rPr>
              <w:t>284,9</w:t>
            </w:r>
          </w:p>
        </w:tc>
        <w:tc>
          <w:tcPr>
            <w:tcW w:w="709" w:type="dxa"/>
            <w:tcBorders>
              <w:top w:val="single" w:sz="4" w:space="0" w:color="auto"/>
              <w:left w:val="nil"/>
              <w:bottom w:val="single" w:sz="4" w:space="0" w:color="auto"/>
              <w:right w:val="nil"/>
            </w:tcBorders>
            <w:shd w:val="clear" w:color="000000" w:fill="FFFFFF"/>
            <w:vAlign w:val="bottom"/>
            <w:hideMark/>
          </w:tcPr>
          <w:p w14:paraId="0CED7351" w14:textId="6FFE2C77" w:rsidR="00913AFC" w:rsidRPr="008C063B" w:rsidRDefault="00913AFC" w:rsidP="00913AFC">
            <w:pPr>
              <w:spacing w:after="0" w:line="240" w:lineRule="auto"/>
              <w:jc w:val="center"/>
              <w:rPr>
                <w:rFonts w:eastAsia="Times New Roman" w:cs="Times New Roman"/>
                <w:b/>
                <w:bCs/>
                <w:color w:val="000000"/>
                <w:sz w:val="20"/>
                <w:lang w:eastAsia="sk-SK"/>
              </w:rPr>
            </w:pPr>
            <w:r>
              <w:rPr>
                <w:b/>
                <w:bCs/>
                <w:color w:val="000000"/>
                <w:sz w:val="20"/>
              </w:rPr>
              <w:t>309,3</w:t>
            </w:r>
          </w:p>
        </w:tc>
        <w:tc>
          <w:tcPr>
            <w:tcW w:w="709" w:type="dxa"/>
            <w:tcBorders>
              <w:top w:val="single" w:sz="4" w:space="0" w:color="auto"/>
              <w:left w:val="nil"/>
              <w:bottom w:val="single" w:sz="4" w:space="0" w:color="auto"/>
              <w:right w:val="nil"/>
            </w:tcBorders>
            <w:shd w:val="clear" w:color="000000" w:fill="FFFFFF"/>
            <w:vAlign w:val="bottom"/>
            <w:hideMark/>
          </w:tcPr>
          <w:p w14:paraId="0C6DB31C" w14:textId="04FCC0BA" w:rsidR="00913AFC" w:rsidRPr="008C063B" w:rsidRDefault="00913AFC" w:rsidP="00913AFC">
            <w:pPr>
              <w:spacing w:after="0" w:line="240" w:lineRule="auto"/>
              <w:jc w:val="center"/>
              <w:rPr>
                <w:rFonts w:eastAsia="Times New Roman" w:cs="Times New Roman"/>
                <w:b/>
                <w:bCs/>
                <w:color w:val="000000"/>
                <w:sz w:val="20"/>
                <w:lang w:eastAsia="sk-SK"/>
              </w:rPr>
            </w:pPr>
            <w:r>
              <w:rPr>
                <w:b/>
                <w:bCs/>
                <w:color w:val="000000"/>
                <w:sz w:val="20"/>
              </w:rPr>
              <w:t>329,2</w:t>
            </w:r>
          </w:p>
        </w:tc>
        <w:tc>
          <w:tcPr>
            <w:tcW w:w="708" w:type="dxa"/>
            <w:tcBorders>
              <w:top w:val="single" w:sz="4" w:space="0" w:color="auto"/>
              <w:left w:val="nil"/>
              <w:bottom w:val="single" w:sz="4" w:space="0" w:color="auto"/>
              <w:right w:val="nil"/>
            </w:tcBorders>
            <w:shd w:val="clear" w:color="000000" w:fill="FFFFFF"/>
            <w:vAlign w:val="bottom"/>
            <w:hideMark/>
          </w:tcPr>
          <w:p w14:paraId="677CF3FD" w14:textId="6F7A5DD5" w:rsidR="00913AFC" w:rsidRPr="008C063B" w:rsidRDefault="00913AFC" w:rsidP="00913AFC">
            <w:pPr>
              <w:spacing w:after="0" w:line="240" w:lineRule="auto"/>
              <w:jc w:val="center"/>
              <w:rPr>
                <w:rFonts w:eastAsia="Times New Roman" w:cs="Times New Roman"/>
                <w:b/>
                <w:bCs/>
                <w:color w:val="000000"/>
                <w:sz w:val="20"/>
                <w:lang w:eastAsia="sk-SK"/>
              </w:rPr>
            </w:pPr>
            <w:r>
              <w:rPr>
                <w:b/>
                <w:bCs/>
                <w:color w:val="000000"/>
                <w:sz w:val="20"/>
              </w:rPr>
              <w:t>345,5</w:t>
            </w:r>
          </w:p>
        </w:tc>
      </w:tr>
      <w:tr w:rsidR="008C063B" w:rsidRPr="008C063B" w14:paraId="3A66B852" w14:textId="77777777" w:rsidTr="008C063B">
        <w:trPr>
          <w:trHeight w:val="255"/>
        </w:trPr>
        <w:tc>
          <w:tcPr>
            <w:tcW w:w="4536" w:type="dxa"/>
            <w:tcBorders>
              <w:top w:val="nil"/>
              <w:left w:val="nil"/>
              <w:bottom w:val="single" w:sz="4" w:space="0" w:color="auto"/>
              <w:right w:val="nil"/>
            </w:tcBorders>
            <w:shd w:val="clear" w:color="000000" w:fill="FFFFFF"/>
            <w:vAlign w:val="bottom"/>
            <w:hideMark/>
          </w:tcPr>
          <w:p w14:paraId="566F727E" w14:textId="1F6061ED" w:rsidR="008C063B" w:rsidRPr="008C063B" w:rsidRDefault="008C063B" w:rsidP="00286E48">
            <w:pPr>
              <w:spacing w:after="0" w:line="240" w:lineRule="auto"/>
              <w:jc w:val="left"/>
              <w:rPr>
                <w:rFonts w:eastAsia="Times New Roman" w:cs="Times New Roman"/>
                <w:b/>
                <w:bCs/>
                <w:color w:val="000000"/>
                <w:sz w:val="20"/>
                <w:lang w:eastAsia="sk-SK"/>
              </w:rPr>
            </w:pPr>
            <w:r w:rsidRPr="008C063B">
              <w:rPr>
                <w:rFonts w:eastAsia="Times New Roman" w:cs="Times New Roman"/>
                <w:b/>
                <w:bCs/>
                <w:color w:val="000000"/>
                <w:sz w:val="20"/>
                <w:lang w:eastAsia="sk-SK"/>
              </w:rPr>
              <w:t>Zdroje EŠIF (</w:t>
            </w:r>
            <w:r w:rsidR="00286E48">
              <w:rPr>
                <w:rFonts w:eastAsia="Times New Roman" w:cs="Times New Roman"/>
                <w:b/>
                <w:bCs/>
                <w:color w:val="000000"/>
                <w:sz w:val="20"/>
                <w:lang w:eastAsia="sk-SK"/>
              </w:rPr>
              <w:fldChar w:fldCharType="begin"/>
            </w:r>
            <w:r w:rsidR="00286E48">
              <w:rPr>
                <w:rFonts w:eastAsia="Times New Roman" w:cs="Times New Roman"/>
                <w:b/>
                <w:bCs/>
                <w:color w:val="000000"/>
                <w:sz w:val="20"/>
                <w:lang w:eastAsia="sk-SK"/>
              </w:rPr>
              <w:instrText xml:space="preserve"> REF _Ref529549960 \h  \* MERGEFORMAT </w:instrText>
            </w:r>
            <w:r w:rsidR="00286E48">
              <w:rPr>
                <w:rFonts w:eastAsia="Times New Roman" w:cs="Times New Roman"/>
                <w:b/>
                <w:bCs/>
                <w:color w:val="000000"/>
                <w:sz w:val="20"/>
                <w:lang w:eastAsia="sk-SK"/>
              </w:rPr>
            </w:r>
            <w:r w:rsidR="00286E48">
              <w:rPr>
                <w:rFonts w:eastAsia="Times New Roman" w:cs="Times New Roman"/>
                <w:b/>
                <w:bCs/>
                <w:color w:val="000000"/>
                <w:sz w:val="20"/>
                <w:lang w:eastAsia="sk-SK"/>
              </w:rPr>
              <w:fldChar w:fldCharType="separate"/>
            </w:r>
            <w:r w:rsidR="00FA29AF" w:rsidRPr="00FA29AF">
              <w:rPr>
                <w:rFonts w:eastAsia="Times New Roman" w:cs="Times New Roman"/>
                <w:b/>
                <w:bCs/>
                <w:color w:val="000000"/>
                <w:sz w:val="20"/>
                <w:lang w:eastAsia="sk-SK"/>
              </w:rPr>
              <w:t>Tabuľka 5</w:t>
            </w:r>
            <w:r w:rsidR="00286E48">
              <w:rPr>
                <w:rFonts w:eastAsia="Times New Roman" w:cs="Times New Roman"/>
                <w:b/>
                <w:bCs/>
                <w:color w:val="000000"/>
                <w:sz w:val="20"/>
                <w:lang w:eastAsia="sk-SK"/>
              </w:rPr>
              <w:fldChar w:fldCharType="end"/>
            </w:r>
            <w:r w:rsidRPr="008C063B">
              <w:rPr>
                <w:rFonts w:eastAsia="Times New Roman" w:cs="Times New Roman"/>
                <w:b/>
                <w:bCs/>
                <w:color w:val="000000"/>
                <w:sz w:val="20"/>
                <w:lang w:eastAsia="sk-SK"/>
              </w:rPr>
              <w:t>)</w:t>
            </w:r>
          </w:p>
        </w:tc>
        <w:tc>
          <w:tcPr>
            <w:tcW w:w="851" w:type="dxa"/>
            <w:tcBorders>
              <w:top w:val="nil"/>
              <w:left w:val="nil"/>
              <w:bottom w:val="single" w:sz="4" w:space="0" w:color="auto"/>
              <w:right w:val="nil"/>
            </w:tcBorders>
            <w:shd w:val="clear" w:color="000000" w:fill="FFFFFF"/>
            <w:vAlign w:val="bottom"/>
            <w:hideMark/>
          </w:tcPr>
          <w:p w14:paraId="0C883EB8" w14:textId="77777777" w:rsidR="008C063B" w:rsidRPr="008C063B" w:rsidRDefault="008C063B" w:rsidP="008C063B">
            <w:pPr>
              <w:spacing w:after="0" w:line="240" w:lineRule="auto"/>
              <w:jc w:val="left"/>
              <w:rPr>
                <w:rFonts w:eastAsia="Times New Roman" w:cs="Times New Roman"/>
                <w:b/>
                <w:bCs/>
                <w:color w:val="000000"/>
                <w:sz w:val="20"/>
                <w:lang w:eastAsia="sk-SK"/>
              </w:rPr>
            </w:pPr>
            <w:r w:rsidRPr="008C063B">
              <w:rPr>
                <w:rFonts w:eastAsia="Times New Roman" w:cs="Times New Roman"/>
                <w:b/>
                <w:bCs/>
                <w:color w:val="000000"/>
                <w:sz w:val="20"/>
                <w:lang w:eastAsia="sk-SK"/>
              </w:rPr>
              <w:t> </w:t>
            </w:r>
          </w:p>
        </w:tc>
        <w:tc>
          <w:tcPr>
            <w:tcW w:w="709" w:type="dxa"/>
            <w:tcBorders>
              <w:top w:val="nil"/>
              <w:left w:val="nil"/>
              <w:bottom w:val="single" w:sz="4" w:space="0" w:color="auto"/>
              <w:right w:val="nil"/>
            </w:tcBorders>
            <w:shd w:val="clear" w:color="000000" w:fill="FFFFFF"/>
            <w:vAlign w:val="bottom"/>
            <w:hideMark/>
          </w:tcPr>
          <w:p w14:paraId="61DABE62" w14:textId="77777777" w:rsidR="008C063B" w:rsidRPr="008C063B" w:rsidRDefault="008C063B" w:rsidP="008C063B">
            <w:pPr>
              <w:spacing w:after="0" w:line="240" w:lineRule="auto"/>
              <w:jc w:val="center"/>
              <w:rPr>
                <w:rFonts w:eastAsia="Times New Roman" w:cs="Times New Roman"/>
                <w:b/>
                <w:bCs/>
                <w:color w:val="000000"/>
                <w:sz w:val="20"/>
                <w:lang w:eastAsia="sk-SK"/>
              </w:rPr>
            </w:pPr>
            <w:r w:rsidRPr="008C063B">
              <w:rPr>
                <w:rFonts w:eastAsia="Times New Roman" w:cs="Times New Roman"/>
                <w:b/>
                <w:bCs/>
                <w:color w:val="000000"/>
                <w:sz w:val="20"/>
                <w:lang w:eastAsia="sk-SK"/>
              </w:rPr>
              <w:t>32,5</w:t>
            </w:r>
          </w:p>
        </w:tc>
        <w:tc>
          <w:tcPr>
            <w:tcW w:w="850" w:type="dxa"/>
            <w:tcBorders>
              <w:top w:val="nil"/>
              <w:left w:val="nil"/>
              <w:bottom w:val="single" w:sz="4" w:space="0" w:color="auto"/>
              <w:right w:val="nil"/>
            </w:tcBorders>
            <w:shd w:val="clear" w:color="000000" w:fill="FFFFFF"/>
            <w:vAlign w:val="bottom"/>
            <w:hideMark/>
          </w:tcPr>
          <w:p w14:paraId="1FC68F85" w14:textId="4506E7BC" w:rsidR="008C063B" w:rsidRPr="008C063B" w:rsidRDefault="008C063B" w:rsidP="008C063B">
            <w:pPr>
              <w:spacing w:after="0" w:line="240" w:lineRule="auto"/>
              <w:jc w:val="center"/>
              <w:rPr>
                <w:rFonts w:eastAsia="Times New Roman" w:cs="Times New Roman"/>
                <w:b/>
                <w:bCs/>
                <w:color w:val="000000"/>
                <w:sz w:val="20"/>
                <w:lang w:eastAsia="sk-SK"/>
              </w:rPr>
            </w:pPr>
          </w:p>
        </w:tc>
        <w:tc>
          <w:tcPr>
            <w:tcW w:w="709" w:type="dxa"/>
            <w:tcBorders>
              <w:top w:val="nil"/>
              <w:left w:val="nil"/>
              <w:bottom w:val="single" w:sz="4" w:space="0" w:color="auto"/>
              <w:right w:val="nil"/>
            </w:tcBorders>
            <w:shd w:val="clear" w:color="000000" w:fill="FFFFFF"/>
            <w:vAlign w:val="bottom"/>
            <w:hideMark/>
          </w:tcPr>
          <w:p w14:paraId="1F7C9398" w14:textId="34F4FDCD" w:rsidR="008C063B" w:rsidRPr="008C063B" w:rsidRDefault="008C063B" w:rsidP="008C063B">
            <w:pPr>
              <w:spacing w:after="0" w:line="240" w:lineRule="auto"/>
              <w:jc w:val="center"/>
              <w:rPr>
                <w:rFonts w:eastAsia="Times New Roman" w:cs="Times New Roman"/>
                <w:b/>
                <w:bCs/>
                <w:color w:val="000000"/>
                <w:sz w:val="20"/>
                <w:lang w:eastAsia="sk-SK"/>
              </w:rPr>
            </w:pPr>
          </w:p>
        </w:tc>
        <w:tc>
          <w:tcPr>
            <w:tcW w:w="709" w:type="dxa"/>
            <w:tcBorders>
              <w:top w:val="nil"/>
              <w:left w:val="nil"/>
              <w:bottom w:val="single" w:sz="4" w:space="0" w:color="auto"/>
              <w:right w:val="nil"/>
            </w:tcBorders>
            <w:shd w:val="clear" w:color="000000" w:fill="FFFFFF"/>
            <w:vAlign w:val="bottom"/>
            <w:hideMark/>
          </w:tcPr>
          <w:p w14:paraId="0937037E" w14:textId="35B96788" w:rsidR="008C063B" w:rsidRPr="008C063B" w:rsidRDefault="008C063B" w:rsidP="008C063B">
            <w:pPr>
              <w:spacing w:after="0" w:line="240" w:lineRule="auto"/>
              <w:jc w:val="center"/>
              <w:rPr>
                <w:rFonts w:eastAsia="Times New Roman" w:cs="Times New Roman"/>
                <w:b/>
                <w:bCs/>
                <w:color w:val="000000"/>
                <w:sz w:val="20"/>
                <w:lang w:eastAsia="sk-SK"/>
              </w:rPr>
            </w:pPr>
          </w:p>
        </w:tc>
        <w:tc>
          <w:tcPr>
            <w:tcW w:w="708" w:type="dxa"/>
            <w:tcBorders>
              <w:top w:val="nil"/>
              <w:left w:val="nil"/>
              <w:bottom w:val="single" w:sz="4" w:space="0" w:color="auto"/>
              <w:right w:val="nil"/>
            </w:tcBorders>
            <w:shd w:val="clear" w:color="000000" w:fill="FFFFFF"/>
            <w:vAlign w:val="bottom"/>
            <w:hideMark/>
          </w:tcPr>
          <w:p w14:paraId="1E8DA103" w14:textId="24C59FE1" w:rsidR="008C063B" w:rsidRPr="008C063B" w:rsidRDefault="008C063B" w:rsidP="008C063B">
            <w:pPr>
              <w:spacing w:after="0" w:line="240" w:lineRule="auto"/>
              <w:jc w:val="center"/>
              <w:rPr>
                <w:rFonts w:eastAsia="Times New Roman" w:cs="Times New Roman"/>
                <w:b/>
                <w:bCs/>
                <w:color w:val="000000"/>
                <w:sz w:val="20"/>
                <w:lang w:eastAsia="sk-SK"/>
              </w:rPr>
            </w:pPr>
          </w:p>
        </w:tc>
      </w:tr>
      <w:tr w:rsidR="008C063B" w:rsidRPr="008C063B" w14:paraId="0B87A0B1" w14:textId="77777777" w:rsidTr="002C72AC">
        <w:trPr>
          <w:trHeight w:val="255"/>
        </w:trPr>
        <w:tc>
          <w:tcPr>
            <w:tcW w:w="4536" w:type="dxa"/>
            <w:tcBorders>
              <w:top w:val="nil"/>
              <w:left w:val="nil"/>
              <w:bottom w:val="single" w:sz="4" w:space="0" w:color="auto"/>
              <w:right w:val="nil"/>
            </w:tcBorders>
            <w:shd w:val="clear" w:color="000000" w:fill="FFFFFF"/>
            <w:vAlign w:val="bottom"/>
            <w:hideMark/>
          </w:tcPr>
          <w:p w14:paraId="11B9FF87" w14:textId="77777777" w:rsidR="008C063B" w:rsidRPr="008C063B" w:rsidRDefault="008C063B" w:rsidP="008C063B">
            <w:pPr>
              <w:spacing w:after="0" w:line="240" w:lineRule="auto"/>
              <w:jc w:val="left"/>
              <w:rPr>
                <w:rFonts w:eastAsia="Times New Roman" w:cs="Times New Roman"/>
                <w:b/>
                <w:bCs/>
                <w:color w:val="000000"/>
                <w:sz w:val="20"/>
                <w:lang w:eastAsia="sk-SK"/>
              </w:rPr>
            </w:pPr>
            <w:r w:rsidRPr="008C063B">
              <w:rPr>
                <w:rFonts w:eastAsia="Times New Roman" w:cs="Times New Roman"/>
                <w:b/>
                <w:bCs/>
                <w:color w:val="000000"/>
                <w:sz w:val="20"/>
                <w:lang w:eastAsia="sk-SK"/>
              </w:rPr>
              <w:t>Spolu verejné výdavky</w:t>
            </w:r>
          </w:p>
        </w:tc>
        <w:tc>
          <w:tcPr>
            <w:tcW w:w="851" w:type="dxa"/>
            <w:tcBorders>
              <w:top w:val="nil"/>
              <w:left w:val="nil"/>
              <w:bottom w:val="single" w:sz="4" w:space="0" w:color="auto"/>
              <w:right w:val="nil"/>
            </w:tcBorders>
            <w:shd w:val="clear" w:color="000000" w:fill="FFFFFF"/>
            <w:vAlign w:val="bottom"/>
            <w:hideMark/>
          </w:tcPr>
          <w:p w14:paraId="278C9A70" w14:textId="77777777" w:rsidR="008C063B" w:rsidRPr="008C063B" w:rsidRDefault="008C063B" w:rsidP="008C063B">
            <w:pPr>
              <w:spacing w:after="0" w:line="240" w:lineRule="auto"/>
              <w:jc w:val="left"/>
              <w:rPr>
                <w:rFonts w:eastAsia="Times New Roman" w:cs="Times New Roman"/>
                <w:b/>
                <w:bCs/>
                <w:color w:val="000000"/>
                <w:sz w:val="20"/>
                <w:lang w:eastAsia="sk-SK"/>
              </w:rPr>
            </w:pPr>
            <w:r w:rsidRPr="008C063B">
              <w:rPr>
                <w:rFonts w:eastAsia="Times New Roman" w:cs="Times New Roman"/>
                <w:b/>
                <w:bCs/>
                <w:color w:val="000000"/>
                <w:sz w:val="20"/>
                <w:lang w:eastAsia="sk-SK"/>
              </w:rPr>
              <w:t> </w:t>
            </w:r>
          </w:p>
        </w:tc>
        <w:tc>
          <w:tcPr>
            <w:tcW w:w="709" w:type="dxa"/>
            <w:tcBorders>
              <w:top w:val="nil"/>
              <w:left w:val="nil"/>
              <w:bottom w:val="single" w:sz="4" w:space="0" w:color="auto"/>
              <w:right w:val="nil"/>
            </w:tcBorders>
            <w:shd w:val="clear" w:color="000000" w:fill="FFFFFF"/>
            <w:vAlign w:val="bottom"/>
            <w:hideMark/>
          </w:tcPr>
          <w:p w14:paraId="580D7D99" w14:textId="446EB269" w:rsidR="008C063B" w:rsidRPr="008C063B" w:rsidRDefault="008C063B" w:rsidP="008C063B">
            <w:pPr>
              <w:spacing w:after="0" w:line="240" w:lineRule="auto"/>
              <w:jc w:val="center"/>
              <w:rPr>
                <w:rFonts w:eastAsia="Times New Roman" w:cs="Times New Roman"/>
                <w:b/>
                <w:bCs/>
                <w:color w:val="000000"/>
                <w:sz w:val="20"/>
                <w:lang w:eastAsia="sk-SK"/>
              </w:rPr>
            </w:pPr>
            <w:r w:rsidRPr="008C063B">
              <w:rPr>
                <w:rFonts w:eastAsia="Times New Roman" w:cs="Times New Roman"/>
                <w:b/>
                <w:bCs/>
                <w:color w:val="000000"/>
                <w:sz w:val="20"/>
                <w:lang w:eastAsia="sk-SK"/>
              </w:rPr>
              <w:t>2</w:t>
            </w:r>
            <w:r w:rsidR="00913AFC">
              <w:rPr>
                <w:rFonts w:eastAsia="Times New Roman" w:cs="Times New Roman"/>
                <w:b/>
                <w:bCs/>
                <w:color w:val="000000"/>
                <w:sz w:val="20"/>
                <w:lang w:eastAsia="sk-SK"/>
              </w:rPr>
              <w:t>92,4</w:t>
            </w:r>
          </w:p>
        </w:tc>
        <w:tc>
          <w:tcPr>
            <w:tcW w:w="850" w:type="dxa"/>
            <w:tcBorders>
              <w:top w:val="nil"/>
              <w:left w:val="nil"/>
              <w:bottom w:val="single" w:sz="4" w:space="0" w:color="auto"/>
              <w:right w:val="nil"/>
            </w:tcBorders>
            <w:shd w:val="clear" w:color="000000" w:fill="FFFFFF"/>
            <w:vAlign w:val="bottom"/>
            <w:hideMark/>
          </w:tcPr>
          <w:p w14:paraId="1898384B" w14:textId="4C933B8D" w:rsidR="008C063B" w:rsidRPr="008C063B" w:rsidRDefault="008C063B" w:rsidP="008C063B">
            <w:pPr>
              <w:spacing w:after="0" w:line="240" w:lineRule="auto"/>
              <w:jc w:val="center"/>
              <w:rPr>
                <w:rFonts w:eastAsia="Times New Roman" w:cs="Times New Roman"/>
                <w:b/>
                <w:bCs/>
                <w:color w:val="000000"/>
                <w:sz w:val="20"/>
                <w:lang w:eastAsia="sk-SK"/>
              </w:rPr>
            </w:pPr>
          </w:p>
        </w:tc>
        <w:tc>
          <w:tcPr>
            <w:tcW w:w="709" w:type="dxa"/>
            <w:tcBorders>
              <w:top w:val="nil"/>
              <w:left w:val="nil"/>
              <w:bottom w:val="single" w:sz="4" w:space="0" w:color="auto"/>
              <w:right w:val="nil"/>
            </w:tcBorders>
            <w:shd w:val="clear" w:color="000000" w:fill="FFFFFF"/>
            <w:vAlign w:val="bottom"/>
            <w:hideMark/>
          </w:tcPr>
          <w:p w14:paraId="22B44354" w14:textId="47606EA2" w:rsidR="008C063B" w:rsidRPr="008C063B" w:rsidRDefault="008C063B" w:rsidP="008C063B">
            <w:pPr>
              <w:spacing w:after="0" w:line="240" w:lineRule="auto"/>
              <w:jc w:val="center"/>
              <w:rPr>
                <w:rFonts w:eastAsia="Times New Roman" w:cs="Times New Roman"/>
                <w:b/>
                <w:bCs/>
                <w:color w:val="000000"/>
                <w:sz w:val="20"/>
                <w:lang w:eastAsia="sk-SK"/>
              </w:rPr>
            </w:pPr>
          </w:p>
        </w:tc>
        <w:tc>
          <w:tcPr>
            <w:tcW w:w="709" w:type="dxa"/>
            <w:tcBorders>
              <w:top w:val="nil"/>
              <w:left w:val="nil"/>
              <w:bottom w:val="single" w:sz="4" w:space="0" w:color="auto"/>
              <w:right w:val="nil"/>
            </w:tcBorders>
            <w:shd w:val="clear" w:color="000000" w:fill="FFFFFF"/>
            <w:vAlign w:val="bottom"/>
            <w:hideMark/>
          </w:tcPr>
          <w:p w14:paraId="7887BC30" w14:textId="59811198" w:rsidR="008C063B" w:rsidRPr="008C063B" w:rsidRDefault="008C063B" w:rsidP="008C063B">
            <w:pPr>
              <w:spacing w:after="0" w:line="240" w:lineRule="auto"/>
              <w:jc w:val="center"/>
              <w:rPr>
                <w:rFonts w:eastAsia="Times New Roman" w:cs="Times New Roman"/>
                <w:b/>
                <w:bCs/>
                <w:color w:val="000000"/>
                <w:sz w:val="20"/>
                <w:lang w:eastAsia="sk-SK"/>
              </w:rPr>
            </w:pPr>
          </w:p>
        </w:tc>
        <w:tc>
          <w:tcPr>
            <w:tcW w:w="708" w:type="dxa"/>
            <w:tcBorders>
              <w:top w:val="nil"/>
              <w:left w:val="nil"/>
              <w:bottom w:val="single" w:sz="4" w:space="0" w:color="auto"/>
              <w:right w:val="nil"/>
            </w:tcBorders>
            <w:shd w:val="clear" w:color="000000" w:fill="FFFFFF"/>
            <w:vAlign w:val="bottom"/>
            <w:hideMark/>
          </w:tcPr>
          <w:p w14:paraId="0A4B7301" w14:textId="478CDEC4" w:rsidR="008C063B" w:rsidRPr="008C063B" w:rsidRDefault="008C063B" w:rsidP="008C063B">
            <w:pPr>
              <w:spacing w:after="0" w:line="240" w:lineRule="auto"/>
              <w:jc w:val="center"/>
              <w:rPr>
                <w:rFonts w:eastAsia="Times New Roman" w:cs="Times New Roman"/>
                <w:b/>
                <w:bCs/>
                <w:color w:val="000000"/>
                <w:sz w:val="20"/>
                <w:lang w:eastAsia="sk-SK"/>
              </w:rPr>
            </w:pPr>
          </w:p>
        </w:tc>
      </w:tr>
      <w:tr w:rsidR="00ED488A" w:rsidRPr="002C72AC" w14:paraId="15713267" w14:textId="77777777" w:rsidTr="00D70B16">
        <w:trPr>
          <w:trHeight w:val="255"/>
        </w:trPr>
        <w:tc>
          <w:tcPr>
            <w:tcW w:w="9072" w:type="dxa"/>
            <w:gridSpan w:val="7"/>
            <w:tcBorders>
              <w:top w:val="single" w:sz="4" w:space="0" w:color="auto"/>
              <w:left w:val="nil"/>
              <w:right w:val="nil"/>
            </w:tcBorders>
            <w:shd w:val="clear" w:color="000000" w:fill="FFFFFF"/>
            <w:vAlign w:val="bottom"/>
          </w:tcPr>
          <w:p w14:paraId="4DE91271" w14:textId="77777777" w:rsidR="00ED488A" w:rsidRPr="00094ABE" w:rsidRDefault="00ED488A" w:rsidP="00ED488A">
            <w:pPr>
              <w:spacing w:after="0" w:line="240" w:lineRule="auto"/>
              <w:jc w:val="right"/>
              <w:rPr>
                <w:rFonts w:eastAsia="Times New Roman" w:cs="Times New Roman"/>
                <w:bCs/>
                <w:i/>
                <w:color w:val="000000"/>
                <w:sz w:val="18"/>
                <w:szCs w:val="18"/>
                <w:lang w:eastAsia="sk-SK"/>
              </w:rPr>
            </w:pPr>
            <w:r w:rsidRPr="00094ABE">
              <w:rPr>
                <w:rFonts w:eastAsia="Times New Roman" w:cs="Times New Roman"/>
                <w:bCs/>
                <w:i/>
                <w:color w:val="000000"/>
                <w:sz w:val="18"/>
                <w:szCs w:val="18"/>
                <w:lang w:eastAsia="sk-SK"/>
              </w:rPr>
              <w:t xml:space="preserve">Zdroj: ÚHP a IVP na základe údajov MŠVVŠ, MV, MPSVR, ÚPSVR a vlastných výpočtov </w:t>
            </w:r>
          </w:p>
          <w:p w14:paraId="43E72487" w14:textId="6FC777F2" w:rsidR="00ED488A" w:rsidRPr="002C72AC" w:rsidRDefault="00ED488A" w:rsidP="001C459A">
            <w:pPr>
              <w:spacing w:after="0" w:line="240" w:lineRule="auto"/>
              <w:rPr>
                <w:rFonts w:eastAsia="Times New Roman" w:cs="Times New Roman"/>
                <w:bCs/>
                <w:color w:val="000000"/>
                <w:sz w:val="18"/>
                <w:szCs w:val="18"/>
                <w:lang w:eastAsia="sk-SK"/>
              </w:rPr>
            </w:pPr>
            <w:r w:rsidRPr="00094ABE">
              <w:rPr>
                <w:rFonts w:eastAsia="Times New Roman" w:cs="Times New Roman"/>
                <w:bCs/>
                <w:i/>
                <w:color w:val="000000"/>
                <w:sz w:val="18"/>
                <w:szCs w:val="18"/>
                <w:lang w:eastAsia="sk-SK"/>
              </w:rPr>
              <w:t>Poznámka: Rozvojové projekty s výdavkami do 50 tisíc eur za rok nie sú v tabuľke individuálne uvedené ale vstupujú do výpočtu celkových výdavkov.</w:t>
            </w:r>
            <w:r w:rsidR="001C459A">
              <w:rPr>
                <w:rFonts w:eastAsia="Times New Roman" w:cs="Times New Roman"/>
                <w:bCs/>
                <w:i/>
                <w:color w:val="000000"/>
                <w:sz w:val="18"/>
                <w:szCs w:val="18"/>
                <w:lang w:eastAsia="sk-SK"/>
              </w:rPr>
              <w:t xml:space="preserve"> </w:t>
            </w:r>
            <w:r w:rsidRPr="00094ABE">
              <w:rPr>
                <w:rFonts w:eastAsia="Times New Roman" w:cs="Times New Roman"/>
                <w:bCs/>
                <w:i/>
                <w:color w:val="000000"/>
                <w:sz w:val="18"/>
                <w:szCs w:val="18"/>
                <w:lang w:eastAsia="sk-SK"/>
              </w:rPr>
              <w:t>S: skutočnosť, OS: očakávaný stav, R: rozpočet. V prípade položiek, ktoré nie sú uvedené v rozpočte predstavuje prognóza najlepší odhad autorov.</w:t>
            </w:r>
          </w:p>
        </w:tc>
      </w:tr>
    </w:tbl>
    <w:p w14:paraId="31DF97CB" w14:textId="477493AA" w:rsidR="00790716" w:rsidRPr="00790716" w:rsidRDefault="00790716" w:rsidP="00FA46CA">
      <w:pPr>
        <w:pStyle w:val="Nadpis2"/>
        <w:spacing w:before="160"/>
      </w:pPr>
      <w:bookmarkStart w:id="101" w:name="_Toc32339440"/>
      <w:bookmarkStart w:id="102" w:name="_Toc18340923"/>
      <w:bookmarkStart w:id="103" w:name="_Ref25315437"/>
      <w:bookmarkStart w:id="104" w:name="_Toc34657708"/>
      <w:bookmarkEnd w:id="101"/>
      <w:r w:rsidRPr="00CA2564">
        <w:lastRenderedPageBreak/>
        <w:t>Výdavky na sociálne začleňovanie v oblasti politík trhu práce a sociálnych politík</w:t>
      </w:r>
      <w:bookmarkEnd w:id="102"/>
      <w:bookmarkEnd w:id="103"/>
      <w:bookmarkEnd w:id="104"/>
    </w:p>
    <w:p w14:paraId="59ED1EB8" w14:textId="594E51C8" w:rsidR="0008550A" w:rsidRPr="0008550A" w:rsidRDefault="00FA131D" w:rsidP="00A83D0F">
      <w:r w:rsidRPr="00533C76">
        <w:rPr>
          <w:b/>
        </w:rPr>
        <w:t>Verejné</w:t>
      </w:r>
      <w:r w:rsidR="00FA46CA" w:rsidRPr="00533C76">
        <w:rPr>
          <w:b/>
        </w:rPr>
        <w:t xml:space="preserve"> výdavky na sociálne začleňovanie skupín ohrozených chudobou alebo sociálnym vylúčením v oblasti trhu práce a sociálnych politík</w:t>
      </w:r>
      <w:r w:rsidRPr="00533C76">
        <w:rPr>
          <w:b/>
        </w:rPr>
        <w:t xml:space="preserve"> v roku 2018</w:t>
      </w:r>
      <w:r w:rsidR="00FA46CA" w:rsidRPr="00533C76">
        <w:rPr>
          <w:b/>
        </w:rPr>
        <w:t xml:space="preserve"> tvorili </w:t>
      </w:r>
      <w:r w:rsidR="0008550A" w:rsidRPr="00533C76">
        <w:rPr>
          <w:b/>
        </w:rPr>
        <w:t>2</w:t>
      </w:r>
      <w:r w:rsidR="00A851F1" w:rsidRPr="00533C76">
        <w:rPr>
          <w:b/>
        </w:rPr>
        <w:t> </w:t>
      </w:r>
      <w:r w:rsidR="00763DB6">
        <w:rPr>
          <w:b/>
        </w:rPr>
        <w:t>22</w:t>
      </w:r>
      <w:r w:rsidR="0008550A" w:rsidRPr="00533C76">
        <w:rPr>
          <w:b/>
        </w:rPr>
        <w:t>9</w:t>
      </w:r>
      <w:r w:rsidR="004A0ABE" w:rsidRPr="00533C76">
        <w:rPr>
          <w:b/>
        </w:rPr>
        <w:t>,</w:t>
      </w:r>
      <w:r w:rsidR="00763DB6">
        <w:rPr>
          <w:b/>
        </w:rPr>
        <w:t>5</w:t>
      </w:r>
      <w:r w:rsidR="00FA46CA" w:rsidRPr="00533C76">
        <w:rPr>
          <w:b/>
        </w:rPr>
        <w:t xml:space="preserve"> miliónov eur, čo predstavuje </w:t>
      </w:r>
      <w:r w:rsidR="0008550A" w:rsidRPr="00533C76">
        <w:rPr>
          <w:b/>
        </w:rPr>
        <w:t>2,</w:t>
      </w:r>
      <w:r w:rsidR="00763DB6">
        <w:rPr>
          <w:b/>
        </w:rPr>
        <w:t>47</w:t>
      </w:r>
      <w:r w:rsidR="00FA46CA" w:rsidRPr="00533C76">
        <w:rPr>
          <w:b/>
        </w:rPr>
        <w:t xml:space="preserve"> % HDP</w:t>
      </w:r>
      <w:r w:rsidR="00A047E9" w:rsidRPr="00533C76">
        <w:rPr>
          <w:b/>
        </w:rPr>
        <w:t>,</w:t>
      </w:r>
      <w:r w:rsidR="00177291" w:rsidRPr="00533C76">
        <w:rPr>
          <w:b/>
        </w:rPr>
        <w:t> </w:t>
      </w:r>
      <w:r w:rsidR="00763DB6">
        <w:rPr>
          <w:b/>
        </w:rPr>
        <w:t>6</w:t>
      </w:r>
      <w:r w:rsidR="0008550A" w:rsidRPr="00533C76">
        <w:rPr>
          <w:b/>
        </w:rPr>
        <w:t>,</w:t>
      </w:r>
      <w:r w:rsidR="00763DB6">
        <w:rPr>
          <w:b/>
        </w:rPr>
        <w:t>08</w:t>
      </w:r>
      <w:r w:rsidR="00FA46CA" w:rsidRPr="00533C76">
        <w:rPr>
          <w:b/>
        </w:rPr>
        <w:t xml:space="preserve"> % celkových verejných výdavkov</w:t>
      </w:r>
      <w:r w:rsidR="00A047E9" w:rsidRPr="00533C76">
        <w:rPr>
          <w:b/>
        </w:rPr>
        <w:t xml:space="preserve"> a</w:t>
      </w:r>
      <w:r w:rsidR="0008550A" w:rsidRPr="00533C76">
        <w:rPr>
          <w:b/>
        </w:rPr>
        <w:t> 3</w:t>
      </w:r>
      <w:r w:rsidR="00763DB6">
        <w:rPr>
          <w:b/>
        </w:rPr>
        <w:t>6</w:t>
      </w:r>
      <w:r w:rsidR="0008550A" w:rsidRPr="00533C76">
        <w:rPr>
          <w:b/>
        </w:rPr>
        <w:t>,</w:t>
      </w:r>
      <w:r w:rsidR="00763DB6">
        <w:rPr>
          <w:b/>
        </w:rPr>
        <w:t>3</w:t>
      </w:r>
      <w:r w:rsidR="00A047E9" w:rsidRPr="00533C76">
        <w:rPr>
          <w:b/>
        </w:rPr>
        <w:t xml:space="preserve"> % celkových výdavkov na politiky trhu práce a sociálne politiky</w:t>
      </w:r>
      <w:r w:rsidR="00FA46CA" w:rsidRPr="0008550A">
        <w:t xml:space="preserve"> (</w:t>
      </w:r>
      <w:r w:rsidR="00FA46CA" w:rsidRPr="0008550A">
        <w:fldChar w:fldCharType="begin"/>
      </w:r>
      <w:r w:rsidR="00FA46CA" w:rsidRPr="0008550A">
        <w:instrText xml:space="preserve"> REF _Ref524696060 \h  \* MERGEFORMAT </w:instrText>
      </w:r>
      <w:r w:rsidR="00FA46CA" w:rsidRPr="0008550A">
        <w:fldChar w:fldCharType="separate"/>
      </w:r>
      <w:r w:rsidR="00FA29AF" w:rsidRPr="00FA29AF">
        <w:t xml:space="preserve">Tabuľka </w:t>
      </w:r>
      <w:r w:rsidR="00FA29AF" w:rsidRPr="00FA29AF">
        <w:rPr>
          <w:noProof/>
        </w:rPr>
        <w:t>3</w:t>
      </w:r>
      <w:r w:rsidR="00FA46CA" w:rsidRPr="0008550A">
        <w:fldChar w:fldCharType="end"/>
      </w:r>
      <w:r w:rsidR="00FA46CA" w:rsidRPr="0008550A">
        <w:t xml:space="preserve">). </w:t>
      </w:r>
      <w:r w:rsidR="0008550A" w:rsidRPr="0008550A">
        <w:t xml:space="preserve">Výdavky zahŕňajú rozpočtové prostriedky rezortov práce, sociálnych vecí a rodiny, </w:t>
      </w:r>
      <w:r w:rsidR="0008550A" w:rsidRPr="00284BCA">
        <w:rPr>
          <w:szCs w:val="22"/>
        </w:rPr>
        <w:t>financií a</w:t>
      </w:r>
      <w:r w:rsidR="0008550A" w:rsidRPr="0008550A">
        <w:t xml:space="preserve"> zdroje samospráv. Z celkových výdavkov predstavuje čerpanie zdrojov EŠIF a spolufinancovania </w:t>
      </w:r>
      <w:r w:rsidR="00CA1FBE">
        <w:rPr>
          <w:szCs w:val="18"/>
        </w:rPr>
        <w:t>9,8</w:t>
      </w:r>
      <w:r w:rsidR="0008550A" w:rsidRPr="00CA3191">
        <w:rPr>
          <w:szCs w:val="18"/>
        </w:rPr>
        <w:t xml:space="preserve"> %</w:t>
      </w:r>
      <w:r w:rsidR="0008550A" w:rsidRPr="009B30AE">
        <w:rPr>
          <w:b/>
          <w:szCs w:val="18"/>
        </w:rPr>
        <w:t xml:space="preserve"> </w:t>
      </w:r>
      <w:r w:rsidR="0008550A" w:rsidRPr="009B30AE">
        <w:rPr>
          <w:b/>
          <w:sz w:val="20"/>
          <w:szCs w:val="18"/>
        </w:rPr>
        <w:t>(</w:t>
      </w:r>
      <w:r w:rsidR="0008550A" w:rsidRPr="0008550A">
        <w:t>219,6 miliónov eur), z toho väčšina (</w:t>
      </w:r>
      <w:r w:rsidR="0008550A">
        <w:t>81</w:t>
      </w:r>
      <w:r w:rsidR="0008550A" w:rsidRPr="0008550A">
        <w:t xml:space="preserve"> %) išla na </w:t>
      </w:r>
      <w:r w:rsidR="0008550A" w:rsidRPr="00E07CE5">
        <w:t>rôzne projekty v oblasti aktívnych politík trhu práce</w:t>
      </w:r>
      <w:r w:rsidR="0008550A" w:rsidRPr="0008550A">
        <w:t xml:space="preserve">. V rámci aktuálneho programového obdobia boli v oblasti </w:t>
      </w:r>
      <w:r>
        <w:t>politík trhu práce a sociálnych politík</w:t>
      </w:r>
      <w:r w:rsidR="0008550A" w:rsidRPr="0008550A">
        <w:t xml:space="preserve"> do konca roka 2018 zazmluvnené projekty na sociálne začleňovanie v celkovej hodnote 1 283,3 miliónov eur (</w:t>
      </w:r>
      <w:r w:rsidR="00286E48" w:rsidRPr="00286E48">
        <w:t>Tabuľka 5</w:t>
      </w:r>
      <w:r w:rsidR="0008550A" w:rsidRPr="0008550A">
        <w:t>).</w:t>
      </w:r>
    </w:p>
    <w:p w14:paraId="7EA3CF1F" w14:textId="37551815" w:rsidR="00C12642" w:rsidRPr="00B41058" w:rsidRDefault="00FA46CA" w:rsidP="00A83D0F">
      <w:r w:rsidRPr="00E07CE5">
        <w:t>V revízii nie sú zahrnuté výdavky na dávky sociálneho poistenia (napr. dávka v nezamestnanosti, nemocenské dávky)</w:t>
      </w:r>
      <w:r w:rsidR="00B45AE2">
        <w:t xml:space="preserve"> s výnimkou invalidných dôchodkov</w:t>
      </w:r>
      <w:r w:rsidRPr="00E07CE5">
        <w:t xml:space="preserve"> ani výdavky na ľudí v dôchodkovom veku. Keďže sociálne poistenie sa do značnej miery riadi princípom zásluhovosti na základe predošlých príspevkov poistenca, nedá sa hovoriť o nástroji, ktorý by cielil skupiny ohrozené chudobou alebo sociálnym vylúčením.</w:t>
      </w:r>
      <w:r w:rsidR="00B9537C">
        <w:t xml:space="preserve"> Výdavky na invalidné dôchodky boli zahrnuté z dôvodu, že sú zamerané na jednu z cieľových skupín revízie, konkrétne na ľudí so zdravotným znevýhodnením. Invalidné </w:t>
      </w:r>
      <w:r w:rsidR="00B9537C" w:rsidRPr="00B41058">
        <w:t>dôchodky tvoria významnú časť (</w:t>
      </w:r>
      <w:r w:rsidR="00CA1FBE" w:rsidRPr="00B41058">
        <w:t>42</w:t>
      </w:r>
      <w:r w:rsidR="00B9537C" w:rsidRPr="00B41058">
        <w:t xml:space="preserve"> %) celkových výdavkov na inklúziu v oblasti politík trhu práce a sociálnych politík. Sú financované zo základného fondu invalidného poistenia, ktorého príjmy v roku 2018 boli na úrovni 1 </w:t>
      </w:r>
      <w:r w:rsidR="001375A4" w:rsidRPr="00B41058">
        <w:t>449</w:t>
      </w:r>
      <w:r w:rsidR="00B9537C" w:rsidRPr="00B41058">
        <w:t>,6 miliónov eur.</w:t>
      </w:r>
      <w:r w:rsidR="00B9537C" w:rsidRPr="00B41058">
        <w:rPr>
          <w:rStyle w:val="Odkaznapoznmkupodiarou"/>
          <w:szCs w:val="22"/>
        </w:rPr>
        <w:footnoteReference w:id="24"/>
      </w:r>
    </w:p>
    <w:p w14:paraId="5E51090B" w14:textId="6BBC6F66" w:rsidR="00B12147" w:rsidRPr="00CA2564" w:rsidRDefault="00B12147" w:rsidP="00F301F6">
      <w:r w:rsidRPr="00CA2564">
        <w:rPr>
          <w:b/>
        </w:rPr>
        <w:t>Podľa širšej definície sociálnej ochrany používanej na účel medzinárodného porovnania, a po odpočítaní výdavkov na sociálne dávky spojené s chorobou (hlavne nemocenské poistenie) a starobou (hlavne starobné poistenie), predstavovali výdavky na Slovensku v roku 201</w:t>
      </w:r>
      <w:r>
        <w:rPr>
          <w:b/>
        </w:rPr>
        <w:t>6</w:t>
      </w:r>
      <w:r w:rsidRPr="00CA2564">
        <w:rPr>
          <w:b/>
        </w:rPr>
        <w:t xml:space="preserve"> okolo </w:t>
      </w:r>
      <w:r>
        <w:rPr>
          <w:b/>
        </w:rPr>
        <w:t>4,8</w:t>
      </w:r>
      <w:r w:rsidRPr="00CA2564">
        <w:rPr>
          <w:b/>
        </w:rPr>
        <w:t xml:space="preserve"> % HDP, čo ho zaraďuje do spodnej tretiny krajín EÚ </w:t>
      </w:r>
      <w:r w:rsidRPr="00CA2564">
        <w:t>(</w:t>
      </w:r>
      <w:r w:rsidRPr="00CA2564">
        <w:fldChar w:fldCharType="begin"/>
      </w:r>
      <w:r w:rsidRPr="00CA2564">
        <w:instrText xml:space="preserve"> REF _Ref524697355 \h  \* MERGEFORMAT </w:instrText>
      </w:r>
      <w:r w:rsidRPr="00CA2564">
        <w:fldChar w:fldCharType="separate"/>
      </w:r>
      <w:r w:rsidR="00FA29AF" w:rsidRPr="00FA29AF">
        <w:t xml:space="preserve">Graf </w:t>
      </w:r>
      <w:r w:rsidR="00FA29AF" w:rsidRPr="00FA29AF">
        <w:rPr>
          <w:iCs/>
          <w:noProof/>
        </w:rPr>
        <w:t>7</w:t>
      </w:r>
      <w:r w:rsidRPr="00CA2564">
        <w:fldChar w:fldCharType="end"/>
      </w:r>
      <w:r w:rsidRPr="00CA2564">
        <w:t>). Najnižšiu úroveň výdavkov oproti priemeru EÚ</w:t>
      </w:r>
      <w:r w:rsidR="00176E38">
        <w:t>15</w:t>
      </w:r>
      <w:r w:rsidRPr="00CA2564">
        <w:t xml:space="preserve"> zaznamenáva Slovensko v oblasti </w:t>
      </w:r>
      <w:r w:rsidR="00176E38">
        <w:t>pomoci s nákladmi na bývanie (7</w:t>
      </w:r>
      <w:r w:rsidRPr="00CA2564">
        <w:t xml:space="preserve"> % priemeru EÚ</w:t>
      </w:r>
      <w:r w:rsidR="00176E38">
        <w:t>15</w:t>
      </w:r>
      <w:r w:rsidRPr="00CA2564">
        <w:t>), pomoci nezamestnaným (</w:t>
      </w:r>
      <w:r w:rsidR="00176E38">
        <w:t>40</w:t>
      </w:r>
      <w:r w:rsidRPr="00CA2564">
        <w:t xml:space="preserve"> % priemeru EÚ</w:t>
      </w:r>
      <w:r w:rsidR="00176E38">
        <w:t>15</w:t>
      </w:r>
      <w:r w:rsidRPr="00CA2564">
        <w:t>) a ostatnej pomoci pre sociálne vylúčených (</w:t>
      </w:r>
      <w:r w:rsidR="00176E38">
        <w:t>4</w:t>
      </w:r>
      <w:r>
        <w:t>4</w:t>
      </w:r>
      <w:r w:rsidRPr="00CA2564">
        <w:t xml:space="preserve"> % priemeru EÚ</w:t>
      </w:r>
      <w:r w:rsidR="00176E38">
        <w:t>15</w:t>
      </w:r>
      <w:r w:rsidRPr="00CA2564">
        <w:t>). Najbližšie k priemeru EÚ</w:t>
      </w:r>
      <w:r w:rsidR="00176E38">
        <w:t>15</w:t>
      </w:r>
      <w:r w:rsidRPr="00CA2564">
        <w:t xml:space="preserve"> sú výdavky na Slovensku v oblasti pomoci zdravotne postihnutým (</w:t>
      </w:r>
      <w:r w:rsidR="00176E38">
        <w:t>81</w:t>
      </w:r>
      <w:r w:rsidRPr="00CA2564">
        <w:t xml:space="preserve"> % priemeru EÚ</w:t>
      </w:r>
      <w:r w:rsidR="00176E38">
        <w:t>15</w:t>
      </w:r>
      <w:r w:rsidRPr="00CA2564">
        <w:t>).</w:t>
      </w:r>
    </w:p>
    <w:tbl>
      <w:tblPr>
        <w:tblW w:w="0" w:type="auto"/>
        <w:tblLook w:val="04E0" w:firstRow="1" w:lastRow="1" w:firstColumn="1" w:lastColumn="0" w:noHBand="0" w:noVBand="1"/>
      </w:tblPr>
      <w:tblGrid>
        <w:gridCol w:w="6379"/>
        <w:gridCol w:w="2647"/>
      </w:tblGrid>
      <w:tr w:rsidR="00B12147" w:rsidRPr="00CA2564" w14:paraId="308A00A7" w14:textId="77777777" w:rsidTr="008B336A">
        <w:tc>
          <w:tcPr>
            <w:tcW w:w="9072" w:type="dxa"/>
            <w:gridSpan w:val="2"/>
            <w:tcBorders>
              <w:bottom w:val="single" w:sz="4" w:space="0" w:color="auto"/>
            </w:tcBorders>
          </w:tcPr>
          <w:p w14:paraId="65D4D205" w14:textId="72E9A100" w:rsidR="00B12147" w:rsidRPr="008B336A" w:rsidRDefault="00B12147" w:rsidP="008B336A">
            <w:pPr>
              <w:spacing w:after="0"/>
              <w:jc w:val="left"/>
              <w:rPr>
                <w:b/>
                <w:sz w:val="20"/>
              </w:rPr>
            </w:pPr>
            <w:bookmarkStart w:id="105" w:name="_Ref524697355"/>
            <w:bookmarkStart w:id="106" w:name="_Toc17469371"/>
            <w:bookmarkStart w:id="107" w:name="_Toc34157565"/>
            <w:r w:rsidRPr="008B336A">
              <w:rPr>
                <w:b/>
                <w:sz w:val="20"/>
              </w:rPr>
              <w:t xml:space="preserve">Graf </w:t>
            </w:r>
            <w:r w:rsidRPr="008B336A">
              <w:rPr>
                <w:b/>
                <w:noProof/>
                <w:sz w:val="20"/>
              </w:rPr>
              <w:fldChar w:fldCharType="begin"/>
            </w:r>
            <w:r w:rsidRPr="008B336A">
              <w:rPr>
                <w:b/>
                <w:iCs/>
                <w:noProof/>
                <w:sz w:val="20"/>
              </w:rPr>
              <w:instrText xml:space="preserve"> SEQ Graf \* ARABIC </w:instrText>
            </w:r>
            <w:r w:rsidRPr="008B336A">
              <w:rPr>
                <w:b/>
                <w:noProof/>
                <w:sz w:val="20"/>
              </w:rPr>
              <w:fldChar w:fldCharType="separate"/>
            </w:r>
            <w:r w:rsidR="00FA29AF">
              <w:rPr>
                <w:b/>
                <w:iCs/>
                <w:noProof/>
                <w:sz w:val="20"/>
              </w:rPr>
              <w:t>7</w:t>
            </w:r>
            <w:r w:rsidRPr="008B336A">
              <w:rPr>
                <w:b/>
                <w:noProof/>
                <w:sz w:val="20"/>
              </w:rPr>
              <w:fldChar w:fldCharType="end"/>
            </w:r>
            <w:bookmarkEnd w:id="105"/>
            <w:r w:rsidRPr="008B336A">
              <w:rPr>
                <w:b/>
                <w:sz w:val="20"/>
              </w:rPr>
              <w:t>: Čisté výdavky</w:t>
            </w:r>
            <w:r w:rsidRPr="008B336A">
              <w:rPr>
                <w:rStyle w:val="Odkaznapoznmkupodiarou"/>
                <w:b/>
                <w:sz w:val="20"/>
              </w:rPr>
              <w:footnoteReference w:id="25"/>
            </w:r>
            <w:r w:rsidRPr="008B336A">
              <w:rPr>
                <w:b/>
                <w:sz w:val="20"/>
              </w:rPr>
              <w:t xml:space="preserve"> na sociálnu ochranu bez dávok spojených s chorobou a starobou, 2016 (% HDP)</w:t>
            </w:r>
            <w:bookmarkEnd w:id="106"/>
            <w:bookmarkEnd w:id="107"/>
          </w:p>
        </w:tc>
      </w:tr>
      <w:tr w:rsidR="00B12147" w:rsidRPr="00CA2564" w14:paraId="49A556A8" w14:textId="77777777" w:rsidTr="008B336A">
        <w:tblPrEx>
          <w:tblCellMar>
            <w:left w:w="70" w:type="dxa"/>
            <w:right w:w="70" w:type="dxa"/>
          </w:tblCellMar>
        </w:tblPrEx>
        <w:tc>
          <w:tcPr>
            <w:tcW w:w="9072" w:type="dxa"/>
            <w:gridSpan w:val="2"/>
            <w:tcBorders>
              <w:top w:val="single" w:sz="4" w:space="0" w:color="auto"/>
              <w:bottom w:val="single" w:sz="4" w:space="0" w:color="auto"/>
            </w:tcBorders>
          </w:tcPr>
          <w:p w14:paraId="3947E3A8" w14:textId="77777777" w:rsidR="00B12147" w:rsidRPr="00CA2564" w:rsidRDefault="00B12147" w:rsidP="008B336A">
            <w:pPr>
              <w:spacing w:after="0"/>
              <w:jc w:val="center"/>
              <w:rPr>
                <w:noProof/>
                <w:sz w:val="4"/>
                <w:szCs w:val="4"/>
              </w:rPr>
            </w:pPr>
          </w:p>
          <w:p w14:paraId="15F56778" w14:textId="255A856F" w:rsidR="00B12147" w:rsidRPr="00CA2564" w:rsidRDefault="004F3DBA" w:rsidP="008B336A">
            <w:pPr>
              <w:spacing w:after="0"/>
              <w:jc w:val="center"/>
              <w:rPr>
                <w:noProof/>
                <w:sz w:val="4"/>
                <w:szCs w:val="4"/>
              </w:rPr>
            </w:pPr>
            <w:r>
              <w:rPr>
                <w:noProof/>
                <w:lang w:eastAsia="sk-SK"/>
              </w:rPr>
              <w:drawing>
                <wp:inline distT="0" distB="0" distL="0" distR="0" wp14:anchorId="1CBDA83A" wp14:editId="57952F4E">
                  <wp:extent cx="5276850" cy="2743200"/>
                  <wp:effectExtent l="0" t="0" r="0" b="0"/>
                  <wp:docPr id="26" name="Graf 2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xmlns:arto="http://schemas.microsoft.com/office/word/2006/arto" id="{00000000-0008-0000-1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B12147" w:rsidRPr="00CA2564" w:rsidDel="00631BE9">
              <w:rPr>
                <w:noProof/>
              </w:rPr>
              <w:t xml:space="preserve"> </w:t>
            </w:r>
          </w:p>
          <w:p w14:paraId="028F2C5B" w14:textId="77777777" w:rsidR="00B12147" w:rsidRPr="00CA2564" w:rsidRDefault="00B12147" w:rsidP="008B336A">
            <w:pPr>
              <w:spacing w:after="0"/>
              <w:jc w:val="center"/>
              <w:rPr>
                <w:sz w:val="4"/>
                <w:szCs w:val="4"/>
              </w:rPr>
            </w:pPr>
          </w:p>
        </w:tc>
      </w:tr>
      <w:tr w:rsidR="00B12147" w:rsidRPr="00CA2564" w14:paraId="1AA593BA" w14:textId="77777777" w:rsidTr="008B336A">
        <w:tc>
          <w:tcPr>
            <w:tcW w:w="6379" w:type="dxa"/>
            <w:tcBorders>
              <w:top w:val="single" w:sz="4" w:space="0" w:color="auto"/>
            </w:tcBorders>
          </w:tcPr>
          <w:p w14:paraId="66FA3C54" w14:textId="77777777" w:rsidR="00B12147" w:rsidRPr="00094ABE" w:rsidRDefault="00B12147" w:rsidP="008B336A">
            <w:pPr>
              <w:spacing w:after="0"/>
              <w:jc w:val="left"/>
              <w:rPr>
                <w:bCs/>
                <w:i/>
                <w:sz w:val="18"/>
                <w:szCs w:val="18"/>
              </w:rPr>
            </w:pPr>
            <w:r w:rsidRPr="00094ABE">
              <w:rPr>
                <w:i/>
                <w:sz w:val="18"/>
                <w:szCs w:val="18"/>
              </w:rPr>
              <w:t>Poznámka: Údaje za Estónsko sú za rok 2015.</w:t>
            </w:r>
          </w:p>
        </w:tc>
        <w:tc>
          <w:tcPr>
            <w:tcW w:w="2693" w:type="dxa"/>
            <w:tcBorders>
              <w:top w:val="single" w:sz="4" w:space="0" w:color="auto"/>
            </w:tcBorders>
          </w:tcPr>
          <w:p w14:paraId="28E9566E" w14:textId="77777777" w:rsidR="00B12147" w:rsidRPr="00094ABE" w:rsidRDefault="00B12147" w:rsidP="008B336A">
            <w:pPr>
              <w:spacing w:after="0"/>
              <w:jc w:val="right"/>
              <w:rPr>
                <w:i/>
                <w:sz w:val="18"/>
                <w:szCs w:val="18"/>
              </w:rPr>
            </w:pPr>
            <w:r w:rsidRPr="00094ABE">
              <w:rPr>
                <w:i/>
                <w:sz w:val="18"/>
                <w:szCs w:val="18"/>
              </w:rPr>
              <w:t>Zdroj: Eurostat, štatistiky ESSPROS</w:t>
            </w:r>
          </w:p>
        </w:tc>
      </w:tr>
    </w:tbl>
    <w:p w14:paraId="33399E06" w14:textId="64E26DD7" w:rsidR="00FA46CA" w:rsidRDefault="00FA46CA" w:rsidP="00FA46CA">
      <w:pPr>
        <w:spacing w:after="0"/>
        <w:rPr>
          <w:b/>
          <w:sz w:val="20"/>
        </w:rPr>
      </w:pPr>
      <w:bookmarkStart w:id="108" w:name="_Ref524696060"/>
      <w:bookmarkStart w:id="109" w:name="_Toc17469465"/>
      <w:bookmarkStart w:id="110" w:name="_Toc34156842"/>
      <w:r w:rsidRPr="00CA2564">
        <w:rPr>
          <w:b/>
          <w:sz w:val="20"/>
        </w:rPr>
        <w:lastRenderedPageBreak/>
        <w:t xml:space="preserve">Tabuľka </w:t>
      </w:r>
      <w:r w:rsidRPr="00CA2564">
        <w:rPr>
          <w:b/>
          <w:noProof/>
          <w:sz w:val="20"/>
        </w:rPr>
        <w:fldChar w:fldCharType="begin"/>
      </w:r>
      <w:r w:rsidRPr="00CA2564">
        <w:rPr>
          <w:b/>
          <w:noProof/>
          <w:sz w:val="20"/>
        </w:rPr>
        <w:instrText xml:space="preserve"> SEQ Tabuľka \* ARABIC </w:instrText>
      </w:r>
      <w:r w:rsidRPr="00CA2564">
        <w:rPr>
          <w:b/>
          <w:noProof/>
          <w:sz w:val="20"/>
        </w:rPr>
        <w:fldChar w:fldCharType="separate"/>
      </w:r>
      <w:r w:rsidR="00FA29AF">
        <w:rPr>
          <w:b/>
          <w:noProof/>
          <w:sz w:val="20"/>
        </w:rPr>
        <w:t>3</w:t>
      </w:r>
      <w:r w:rsidRPr="00CA2564">
        <w:rPr>
          <w:b/>
          <w:noProof/>
          <w:sz w:val="20"/>
        </w:rPr>
        <w:fldChar w:fldCharType="end"/>
      </w:r>
      <w:bookmarkEnd w:id="108"/>
      <w:r w:rsidRPr="00CA2564">
        <w:rPr>
          <w:b/>
          <w:sz w:val="20"/>
        </w:rPr>
        <w:t>: Výdavky na sociálne začleňovanie v oblasti trhu práce a sociálnych politík (</w:t>
      </w:r>
      <w:r w:rsidR="00321584">
        <w:rPr>
          <w:b/>
          <w:sz w:val="20"/>
        </w:rPr>
        <w:t>mil. eur</w:t>
      </w:r>
      <w:r w:rsidRPr="00CA2564">
        <w:rPr>
          <w:b/>
          <w:sz w:val="20"/>
        </w:rPr>
        <w:t>)</w:t>
      </w:r>
      <w:bookmarkEnd w:id="109"/>
      <w:bookmarkEnd w:id="110"/>
    </w:p>
    <w:tbl>
      <w:tblPr>
        <w:tblW w:w="9072" w:type="dxa"/>
        <w:tblLayout w:type="fixed"/>
        <w:tblCellMar>
          <w:left w:w="70" w:type="dxa"/>
          <w:right w:w="70" w:type="dxa"/>
        </w:tblCellMar>
        <w:tblLook w:val="04A0" w:firstRow="1" w:lastRow="0" w:firstColumn="1" w:lastColumn="0" w:noHBand="0" w:noVBand="1"/>
      </w:tblPr>
      <w:tblGrid>
        <w:gridCol w:w="3969"/>
        <w:gridCol w:w="1134"/>
        <w:gridCol w:w="793"/>
        <w:gridCol w:w="794"/>
        <w:gridCol w:w="794"/>
        <w:gridCol w:w="794"/>
        <w:gridCol w:w="794"/>
      </w:tblGrid>
      <w:tr w:rsidR="00A42768" w:rsidRPr="00A42768" w14:paraId="0B36BA4C" w14:textId="77777777" w:rsidTr="00140186">
        <w:trPr>
          <w:trHeight w:val="255"/>
        </w:trPr>
        <w:tc>
          <w:tcPr>
            <w:tcW w:w="3969" w:type="dxa"/>
            <w:tcBorders>
              <w:top w:val="single" w:sz="4" w:space="0" w:color="auto"/>
              <w:left w:val="nil"/>
              <w:bottom w:val="single" w:sz="4" w:space="0" w:color="auto"/>
              <w:right w:val="nil"/>
            </w:tcBorders>
            <w:shd w:val="clear" w:color="000000" w:fill="FFFFFF"/>
            <w:noWrap/>
            <w:vAlign w:val="bottom"/>
            <w:hideMark/>
          </w:tcPr>
          <w:p w14:paraId="3F0396B9" w14:textId="77777777" w:rsidR="00A42768" w:rsidRPr="00A42768" w:rsidRDefault="00A42768" w:rsidP="00A42768">
            <w:pPr>
              <w:spacing w:after="0" w:line="240" w:lineRule="auto"/>
              <w:jc w:val="left"/>
              <w:rPr>
                <w:rFonts w:eastAsia="Times New Roman" w:cs="Times New Roman"/>
                <w:color w:val="000000"/>
                <w:sz w:val="20"/>
                <w:lang w:eastAsia="sk-SK"/>
              </w:rPr>
            </w:pPr>
            <w:r w:rsidRPr="00A42768">
              <w:rPr>
                <w:rFonts w:eastAsia="Times New Roman" w:cs="Times New Roman"/>
                <w:color w:val="000000"/>
                <w:sz w:val="20"/>
                <w:lang w:eastAsia="sk-SK"/>
              </w:rPr>
              <w:t> </w:t>
            </w:r>
          </w:p>
        </w:tc>
        <w:tc>
          <w:tcPr>
            <w:tcW w:w="1134" w:type="dxa"/>
            <w:tcBorders>
              <w:top w:val="single" w:sz="4" w:space="0" w:color="auto"/>
              <w:left w:val="nil"/>
              <w:bottom w:val="single" w:sz="4" w:space="0" w:color="auto"/>
              <w:right w:val="nil"/>
            </w:tcBorders>
            <w:shd w:val="clear" w:color="000000" w:fill="FFFFFF"/>
            <w:noWrap/>
            <w:vAlign w:val="bottom"/>
            <w:hideMark/>
          </w:tcPr>
          <w:p w14:paraId="07BA14DF" w14:textId="77777777" w:rsidR="00A42768" w:rsidRPr="00A42768" w:rsidRDefault="00A42768" w:rsidP="00A42768">
            <w:pPr>
              <w:spacing w:after="0" w:line="240" w:lineRule="auto"/>
              <w:jc w:val="left"/>
              <w:rPr>
                <w:rFonts w:eastAsia="Times New Roman" w:cs="Times New Roman"/>
                <w:b/>
                <w:bCs/>
                <w:color w:val="000000"/>
                <w:sz w:val="20"/>
                <w:lang w:eastAsia="sk-SK"/>
              </w:rPr>
            </w:pPr>
            <w:r w:rsidRPr="00A42768">
              <w:rPr>
                <w:rFonts w:eastAsia="Times New Roman" w:cs="Times New Roman"/>
                <w:b/>
                <w:bCs/>
                <w:color w:val="000000"/>
                <w:sz w:val="20"/>
                <w:lang w:eastAsia="sk-SK"/>
              </w:rPr>
              <w:t>Kapitola</w:t>
            </w:r>
          </w:p>
        </w:tc>
        <w:tc>
          <w:tcPr>
            <w:tcW w:w="793" w:type="dxa"/>
            <w:tcBorders>
              <w:top w:val="single" w:sz="4" w:space="0" w:color="auto"/>
              <w:left w:val="nil"/>
              <w:bottom w:val="single" w:sz="4" w:space="0" w:color="auto"/>
              <w:right w:val="nil"/>
            </w:tcBorders>
            <w:shd w:val="clear" w:color="000000" w:fill="FFFFFF"/>
            <w:noWrap/>
            <w:vAlign w:val="bottom"/>
            <w:hideMark/>
          </w:tcPr>
          <w:p w14:paraId="08BF6470" w14:textId="77777777" w:rsidR="00A42768" w:rsidRPr="00A42768" w:rsidRDefault="00A42768" w:rsidP="00A42768">
            <w:pPr>
              <w:spacing w:after="0" w:line="240" w:lineRule="auto"/>
              <w:jc w:val="center"/>
              <w:rPr>
                <w:rFonts w:eastAsia="Times New Roman" w:cs="Times New Roman"/>
                <w:b/>
                <w:bCs/>
                <w:color w:val="000000"/>
                <w:sz w:val="20"/>
                <w:lang w:eastAsia="sk-SK"/>
              </w:rPr>
            </w:pPr>
            <w:r w:rsidRPr="00A42768">
              <w:rPr>
                <w:rFonts w:eastAsia="Times New Roman" w:cs="Times New Roman"/>
                <w:b/>
                <w:bCs/>
                <w:color w:val="000000"/>
                <w:sz w:val="20"/>
                <w:lang w:eastAsia="sk-SK"/>
              </w:rPr>
              <w:t>2018 S</w:t>
            </w:r>
          </w:p>
        </w:tc>
        <w:tc>
          <w:tcPr>
            <w:tcW w:w="794" w:type="dxa"/>
            <w:tcBorders>
              <w:top w:val="single" w:sz="4" w:space="0" w:color="auto"/>
              <w:left w:val="nil"/>
              <w:bottom w:val="single" w:sz="4" w:space="0" w:color="auto"/>
              <w:right w:val="nil"/>
            </w:tcBorders>
            <w:shd w:val="clear" w:color="000000" w:fill="FFFFFF"/>
            <w:noWrap/>
            <w:vAlign w:val="bottom"/>
            <w:hideMark/>
          </w:tcPr>
          <w:p w14:paraId="317CE3B9" w14:textId="46B3C1CB" w:rsidR="00A42768" w:rsidRPr="00A42768" w:rsidRDefault="00A42768" w:rsidP="00A42768">
            <w:pPr>
              <w:spacing w:after="0" w:line="240" w:lineRule="auto"/>
              <w:jc w:val="center"/>
              <w:rPr>
                <w:rFonts w:eastAsia="Times New Roman" w:cs="Times New Roman"/>
                <w:b/>
                <w:bCs/>
                <w:color w:val="000000"/>
                <w:sz w:val="20"/>
                <w:lang w:eastAsia="sk-SK"/>
              </w:rPr>
            </w:pPr>
            <w:r w:rsidRPr="00A42768">
              <w:rPr>
                <w:rFonts w:eastAsia="Times New Roman" w:cs="Times New Roman"/>
                <w:b/>
                <w:bCs/>
                <w:color w:val="000000"/>
                <w:sz w:val="20"/>
                <w:lang w:eastAsia="sk-SK"/>
              </w:rPr>
              <w:t>2019</w:t>
            </w:r>
            <w:r w:rsidR="00D275D9">
              <w:rPr>
                <w:rFonts w:eastAsia="Times New Roman" w:cs="Times New Roman"/>
                <w:b/>
                <w:bCs/>
                <w:color w:val="000000"/>
                <w:sz w:val="20"/>
                <w:lang w:eastAsia="sk-SK"/>
              </w:rPr>
              <w:t xml:space="preserve"> OS</w:t>
            </w:r>
          </w:p>
        </w:tc>
        <w:tc>
          <w:tcPr>
            <w:tcW w:w="794" w:type="dxa"/>
            <w:tcBorders>
              <w:top w:val="single" w:sz="4" w:space="0" w:color="auto"/>
              <w:left w:val="nil"/>
              <w:bottom w:val="single" w:sz="4" w:space="0" w:color="auto"/>
              <w:right w:val="nil"/>
            </w:tcBorders>
            <w:shd w:val="clear" w:color="000000" w:fill="FFFFFF"/>
            <w:noWrap/>
            <w:vAlign w:val="bottom"/>
            <w:hideMark/>
          </w:tcPr>
          <w:p w14:paraId="1F38EB2E" w14:textId="791E5D30" w:rsidR="00A42768" w:rsidRPr="00A42768" w:rsidRDefault="00A42768" w:rsidP="00A42768">
            <w:pPr>
              <w:spacing w:after="0" w:line="240" w:lineRule="auto"/>
              <w:jc w:val="center"/>
              <w:rPr>
                <w:rFonts w:eastAsia="Times New Roman" w:cs="Times New Roman"/>
                <w:b/>
                <w:bCs/>
                <w:color w:val="000000"/>
                <w:sz w:val="20"/>
                <w:lang w:eastAsia="sk-SK"/>
              </w:rPr>
            </w:pPr>
            <w:r w:rsidRPr="00A42768">
              <w:rPr>
                <w:rFonts w:eastAsia="Times New Roman" w:cs="Times New Roman"/>
                <w:b/>
                <w:bCs/>
                <w:color w:val="000000"/>
                <w:sz w:val="20"/>
                <w:lang w:eastAsia="sk-SK"/>
              </w:rPr>
              <w:t>2020</w:t>
            </w:r>
            <w:r w:rsidR="00D275D9">
              <w:rPr>
                <w:rFonts w:eastAsia="Times New Roman" w:cs="Times New Roman"/>
                <w:b/>
                <w:bCs/>
                <w:color w:val="000000"/>
                <w:sz w:val="20"/>
                <w:lang w:eastAsia="sk-SK"/>
              </w:rPr>
              <w:t xml:space="preserve"> R</w:t>
            </w:r>
          </w:p>
        </w:tc>
        <w:tc>
          <w:tcPr>
            <w:tcW w:w="794" w:type="dxa"/>
            <w:tcBorders>
              <w:top w:val="single" w:sz="4" w:space="0" w:color="auto"/>
              <w:left w:val="nil"/>
              <w:bottom w:val="single" w:sz="4" w:space="0" w:color="auto"/>
              <w:right w:val="nil"/>
            </w:tcBorders>
            <w:shd w:val="clear" w:color="000000" w:fill="FFFFFF"/>
            <w:noWrap/>
            <w:vAlign w:val="bottom"/>
            <w:hideMark/>
          </w:tcPr>
          <w:p w14:paraId="65A2F550" w14:textId="1CE9EF7A" w:rsidR="00A42768" w:rsidRPr="00A42768" w:rsidRDefault="00A42768" w:rsidP="00A42768">
            <w:pPr>
              <w:spacing w:after="0" w:line="240" w:lineRule="auto"/>
              <w:jc w:val="center"/>
              <w:rPr>
                <w:rFonts w:eastAsia="Times New Roman" w:cs="Times New Roman"/>
                <w:b/>
                <w:bCs/>
                <w:color w:val="000000"/>
                <w:sz w:val="20"/>
                <w:lang w:eastAsia="sk-SK"/>
              </w:rPr>
            </w:pPr>
            <w:r w:rsidRPr="00A42768">
              <w:rPr>
                <w:rFonts w:eastAsia="Times New Roman" w:cs="Times New Roman"/>
                <w:b/>
                <w:bCs/>
                <w:color w:val="000000"/>
                <w:sz w:val="20"/>
                <w:lang w:eastAsia="sk-SK"/>
              </w:rPr>
              <w:t>2021</w:t>
            </w:r>
            <w:r w:rsidR="00D275D9">
              <w:rPr>
                <w:rFonts w:eastAsia="Times New Roman" w:cs="Times New Roman"/>
                <w:b/>
                <w:bCs/>
                <w:color w:val="000000"/>
                <w:sz w:val="20"/>
                <w:lang w:eastAsia="sk-SK"/>
              </w:rPr>
              <w:t xml:space="preserve"> R</w:t>
            </w:r>
          </w:p>
        </w:tc>
        <w:tc>
          <w:tcPr>
            <w:tcW w:w="794" w:type="dxa"/>
            <w:tcBorders>
              <w:top w:val="single" w:sz="4" w:space="0" w:color="auto"/>
              <w:left w:val="nil"/>
              <w:bottom w:val="single" w:sz="4" w:space="0" w:color="auto"/>
              <w:right w:val="nil"/>
            </w:tcBorders>
            <w:shd w:val="clear" w:color="000000" w:fill="FFFFFF"/>
            <w:noWrap/>
            <w:vAlign w:val="bottom"/>
            <w:hideMark/>
          </w:tcPr>
          <w:p w14:paraId="37A9E158" w14:textId="5594EAAB" w:rsidR="00A42768" w:rsidRPr="00A42768" w:rsidRDefault="00A42768" w:rsidP="00A42768">
            <w:pPr>
              <w:spacing w:after="0" w:line="240" w:lineRule="auto"/>
              <w:jc w:val="center"/>
              <w:rPr>
                <w:rFonts w:eastAsia="Times New Roman" w:cs="Times New Roman"/>
                <w:b/>
                <w:bCs/>
                <w:color w:val="000000"/>
                <w:sz w:val="20"/>
                <w:lang w:eastAsia="sk-SK"/>
              </w:rPr>
            </w:pPr>
            <w:r w:rsidRPr="00A42768">
              <w:rPr>
                <w:rFonts w:eastAsia="Times New Roman" w:cs="Times New Roman"/>
                <w:b/>
                <w:bCs/>
                <w:color w:val="000000"/>
                <w:sz w:val="20"/>
                <w:lang w:eastAsia="sk-SK"/>
              </w:rPr>
              <w:t>2022</w:t>
            </w:r>
            <w:r w:rsidR="00D275D9">
              <w:rPr>
                <w:rFonts w:eastAsia="Times New Roman" w:cs="Times New Roman"/>
                <w:b/>
                <w:bCs/>
                <w:color w:val="000000"/>
                <w:sz w:val="20"/>
                <w:lang w:eastAsia="sk-SK"/>
              </w:rPr>
              <w:t xml:space="preserve"> R</w:t>
            </w:r>
          </w:p>
        </w:tc>
      </w:tr>
      <w:tr w:rsidR="00C2247E" w:rsidRPr="00A42768" w14:paraId="7D9F4C1C" w14:textId="77777777" w:rsidTr="00140186">
        <w:trPr>
          <w:trHeight w:val="255"/>
        </w:trPr>
        <w:tc>
          <w:tcPr>
            <w:tcW w:w="3969" w:type="dxa"/>
            <w:tcBorders>
              <w:top w:val="nil"/>
              <w:left w:val="nil"/>
              <w:bottom w:val="single" w:sz="4" w:space="0" w:color="auto"/>
              <w:right w:val="nil"/>
            </w:tcBorders>
            <w:shd w:val="clear" w:color="000000" w:fill="FFFFFF"/>
            <w:noWrap/>
            <w:vAlign w:val="bottom"/>
            <w:hideMark/>
          </w:tcPr>
          <w:p w14:paraId="4D95BA78" w14:textId="77777777" w:rsidR="00C2247E" w:rsidRPr="00A42768" w:rsidRDefault="00C2247E" w:rsidP="00C2247E">
            <w:pPr>
              <w:spacing w:after="0" w:line="240" w:lineRule="auto"/>
              <w:jc w:val="left"/>
              <w:rPr>
                <w:rFonts w:eastAsia="Times New Roman" w:cs="Times New Roman"/>
                <w:b/>
                <w:bCs/>
                <w:color w:val="000000"/>
                <w:sz w:val="20"/>
                <w:lang w:eastAsia="sk-SK"/>
              </w:rPr>
            </w:pPr>
            <w:r w:rsidRPr="00A42768">
              <w:rPr>
                <w:rFonts w:eastAsia="Times New Roman" w:cs="Times New Roman"/>
                <w:b/>
                <w:bCs/>
                <w:color w:val="000000"/>
                <w:sz w:val="20"/>
                <w:lang w:eastAsia="sk-SK"/>
              </w:rPr>
              <w:t>Opatrenia trhu práce</w:t>
            </w:r>
          </w:p>
        </w:tc>
        <w:tc>
          <w:tcPr>
            <w:tcW w:w="1134" w:type="dxa"/>
            <w:tcBorders>
              <w:top w:val="nil"/>
              <w:left w:val="nil"/>
              <w:bottom w:val="single" w:sz="4" w:space="0" w:color="auto"/>
              <w:right w:val="nil"/>
            </w:tcBorders>
            <w:shd w:val="clear" w:color="000000" w:fill="FFFFFF"/>
            <w:noWrap/>
            <w:vAlign w:val="bottom"/>
            <w:hideMark/>
          </w:tcPr>
          <w:p w14:paraId="041F64AA" w14:textId="77777777" w:rsidR="00C2247E" w:rsidRPr="00A42768" w:rsidRDefault="00C2247E" w:rsidP="00C2247E">
            <w:pPr>
              <w:spacing w:after="0" w:line="240" w:lineRule="auto"/>
              <w:jc w:val="left"/>
              <w:rPr>
                <w:rFonts w:eastAsia="Times New Roman" w:cs="Times New Roman"/>
                <w:b/>
                <w:bCs/>
                <w:color w:val="000000"/>
                <w:sz w:val="20"/>
                <w:lang w:eastAsia="sk-SK"/>
              </w:rPr>
            </w:pPr>
            <w:r w:rsidRPr="00A42768">
              <w:rPr>
                <w:rFonts w:eastAsia="Times New Roman" w:cs="Times New Roman"/>
                <w:b/>
                <w:bCs/>
                <w:color w:val="000000"/>
                <w:sz w:val="20"/>
                <w:lang w:eastAsia="sk-SK"/>
              </w:rPr>
              <w:t> </w:t>
            </w:r>
          </w:p>
        </w:tc>
        <w:tc>
          <w:tcPr>
            <w:tcW w:w="793" w:type="dxa"/>
            <w:tcBorders>
              <w:top w:val="nil"/>
              <w:left w:val="nil"/>
              <w:bottom w:val="single" w:sz="4" w:space="0" w:color="auto"/>
              <w:right w:val="nil"/>
            </w:tcBorders>
            <w:shd w:val="clear" w:color="000000" w:fill="FFFFFF"/>
            <w:noWrap/>
            <w:vAlign w:val="bottom"/>
            <w:hideMark/>
          </w:tcPr>
          <w:p w14:paraId="436583C8" w14:textId="770FBA6B" w:rsidR="00C2247E" w:rsidRPr="00D275D9" w:rsidRDefault="00C2247E" w:rsidP="00C2247E">
            <w:pPr>
              <w:spacing w:after="0" w:line="240" w:lineRule="auto"/>
              <w:jc w:val="right"/>
              <w:rPr>
                <w:rFonts w:eastAsia="Times New Roman" w:cs="Times New Roman"/>
                <w:b/>
                <w:bCs/>
                <w:color w:val="000000"/>
                <w:sz w:val="20"/>
                <w:lang w:eastAsia="sk-SK"/>
              </w:rPr>
            </w:pPr>
            <w:r>
              <w:rPr>
                <w:b/>
                <w:bCs/>
                <w:color w:val="000000"/>
                <w:sz w:val="20"/>
              </w:rPr>
              <w:t>39,9</w:t>
            </w:r>
          </w:p>
        </w:tc>
        <w:tc>
          <w:tcPr>
            <w:tcW w:w="794" w:type="dxa"/>
            <w:tcBorders>
              <w:top w:val="nil"/>
              <w:left w:val="nil"/>
              <w:bottom w:val="single" w:sz="4" w:space="0" w:color="auto"/>
              <w:right w:val="nil"/>
            </w:tcBorders>
            <w:shd w:val="clear" w:color="000000" w:fill="FFFFFF"/>
            <w:noWrap/>
            <w:vAlign w:val="bottom"/>
            <w:hideMark/>
          </w:tcPr>
          <w:p w14:paraId="287D6813" w14:textId="5689A389" w:rsidR="00C2247E" w:rsidRPr="00D275D9" w:rsidRDefault="00C2247E" w:rsidP="00C2247E">
            <w:pPr>
              <w:spacing w:after="0" w:line="240" w:lineRule="auto"/>
              <w:jc w:val="right"/>
              <w:rPr>
                <w:rFonts w:eastAsia="Times New Roman" w:cs="Times New Roman"/>
                <w:b/>
                <w:bCs/>
                <w:color w:val="000000"/>
                <w:sz w:val="20"/>
                <w:lang w:eastAsia="sk-SK"/>
              </w:rPr>
            </w:pPr>
            <w:r>
              <w:rPr>
                <w:b/>
                <w:bCs/>
                <w:color w:val="000000"/>
                <w:sz w:val="20"/>
              </w:rPr>
              <w:t>34,1</w:t>
            </w:r>
          </w:p>
        </w:tc>
        <w:tc>
          <w:tcPr>
            <w:tcW w:w="794" w:type="dxa"/>
            <w:tcBorders>
              <w:top w:val="nil"/>
              <w:left w:val="nil"/>
              <w:bottom w:val="single" w:sz="4" w:space="0" w:color="auto"/>
              <w:right w:val="nil"/>
            </w:tcBorders>
            <w:shd w:val="clear" w:color="000000" w:fill="FFFFFF"/>
            <w:noWrap/>
            <w:vAlign w:val="bottom"/>
            <w:hideMark/>
          </w:tcPr>
          <w:p w14:paraId="6E0E6143" w14:textId="7953AAAA" w:rsidR="00C2247E" w:rsidRPr="00D275D9" w:rsidRDefault="00C2247E" w:rsidP="00C2247E">
            <w:pPr>
              <w:spacing w:after="0" w:line="240" w:lineRule="auto"/>
              <w:jc w:val="right"/>
              <w:rPr>
                <w:rFonts w:eastAsia="Times New Roman" w:cs="Times New Roman"/>
                <w:b/>
                <w:bCs/>
                <w:color w:val="000000"/>
                <w:sz w:val="20"/>
                <w:lang w:eastAsia="sk-SK"/>
              </w:rPr>
            </w:pPr>
            <w:r>
              <w:rPr>
                <w:b/>
                <w:bCs/>
                <w:color w:val="000000"/>
                <w:sz w:val="20"/>
              </w:rPr>
              <w:t>41,7</w:t>
            </w:r>
          </w:p>
        </w:tc>
        <w:tc>
          <w:tcPr>
            <w:tcW w:w="794" w:type="dxa"/>
            <w:tcBorders>
              <w:top w:val="nil"/>
              <w:left w:val="nil"/>
              <w:bottom w:val="single" w:sz="4" w:space="0" w:color="auto"/>
              <w:right w:val="nil"/>
            </w:tcBorders>
            <w:shd w:val="clear" w:color="000000" w:fill="FFFFFF"/>
            <w:noWrap/>
            <w:vAlign w:val="bottom"/>
            <w:hideMark/>
          </w:tcPr>
          <w:p w14:paraId="38B648AB" w14:textId="19C72B2E" w:rsidR="00C2247E" w:rsidRPr="00D275D9" w:rsidRDefault="00C2247E" w:rsidP="00C2247E">
            <w:pPr>
              <w:spacing w:after="0" w:line="240" w:lineRule="auto"/>
              <w:jc w:val="right"/>
              <w:rPr>
                <w:rFonts w:eastAsia="Times New Roman" w:cs="Times New Roman"/>
                <w:b/>
                <w:bCs/>
                <w:color w:val="000000"/>
                <w:sz w:val="20"/>
                <w:lang w:eastAsia="sk-SK"/>
              </w:rPr>
            </w:pPr>
            <w:r>
              <w:rPr>
                <w:b/>
                <w:bCs/>
                <w:color w:val="000000"/>
                <w:sz w:val="20"/>
              </w:rPr>
              <w:t>40,6</w:t>
            </w:r>
          </w:p>
        </w:tc>
        <w:tc>
          <w:tcPr>
            <w:tcW w:w="794" w:type="dxa"/>
            <w:tcBorders>
              <w:top w:val="nil"/>
              <w:left w:val="nil"/>
              <w:bottom w:val="single" w:sz="4" w:space="0" w:color="auto"/>
              <w:right w:val="nil"/>
            </w:tcBorders>
            <w:shd w:val="clear" w:color="000000" w:fill="FFFFFF"/>
            <w:noWrap/>
            <w:vAlign w:val="bottom"/>
            <w:hideMark/>
          </w:tcPr>
          <w:p w14:paraId="440E8F61" w14:textId="08D03B16" w:rsidR="00C2247E" w:rsidRPr="00D275D9" w:rsidRDefault="00C2247E" w:rsidP="00C2247E">
            <w:pPr>
              <w:spacing w:after="0" w:line="240" w:lineRule="auto"/>
              <w:jc w:val="right"/>
              <w:rPr>
                <w:rFonts w:eastAsia="Times New Roman" w:cs="Times New Roman"/>
                <w:b/>
                <w:bCs/>
                <w:color w:val="000000"/>
                <w:sz w:val="20"/>
                <w:lang w:eastAsia="sk-SK"/>
              </w:rPr>
            </w:pPr>
            <w:r>
              <w:rPr>
                <w:b/>
                <w:bCs/>
                <w:color w:val="000000"/>
                <w:sz w:val="20"/>
              </w:rPr>
              <w:t>39,8</w:t>
            </w:r>
          </w:p>
        </w:tc>
      </w:tr>
      <w:tr w:rsidR="00C2247E" w:rsidRPr="00A42768" w14:paraId="7D38DE23" w14:textId="77777777" w:rsidTr="00915124">
        <w:trPr>
          <w:trHeight w:val="255"/>
        </w:trPr>
        <w:tc>
          <w:tcPr>
            <w:tcW w:w="3969" w:type="dxa"/>
            <w:tcBorders>
              <w:top w:val="nil"/>
              <w:left w:val="nil"/>
              <w:bottom w:val="nil"/>
              <w:right w:val="nil"/>
            </w:tcBorders>
            <w:shd w:val="clear" w:color="000000" w:fill="FFFFFF"/>
            <w:noWrap/>
            <w:vAlign w:val="bottom"/>
            <w:hideMark/>
          </w:tcPr>
          <w:p w14:paraId="6337C023" w14:textId="39FF67DC" w:rsidR="00C2247E" w:rsidRPr="00A42768" w:rsidRDefault="00C2247E" w:rsidP="00C2247E">
            <w:pPr>
              <w:spacing w:after="0" w:line="240" w:lineRule="auto"/>
              <w:jc w:val="left"/>
              <w:rPr>
                <w:rFonts w:eastAsia="Times New Roman" w:cs="Times New Roman"/>
                <w:color w:val="000000"/>
                <w:sz w:val="20"/>
                <w:lang w:eastAsia="sk-SK"/>
              </w:rPr>
            </w:pPr>
            <w:r>
              <w:rPr>
                <w:rFonts w:eastAsia="Times New Roman" w:cs="Times New Roman"/>
                <w:color w:val="000000"/>
                <w:sz w:val="20"/>
                <w:lang w:eastAsia="sk-SK"/>
              </w:rPr>
              <w:t>APTP</w:t>
            </w:r>
            <w:r w:rsidRPr="00A42768">
              <w:rPr>
                <w:rFonts w:eastAsia="Times New Roman" w:cs="Times New Roman"/>
                <w:color w:val="000000"/>
                <w:sz w:val="20"/>
                <w:lang w:eastAsia="sk-SK"/>
              </w:rPr>
              <w:t xml:space="preserve"> a zvýšenie zamestnateľnosti</w:t>
            </w:r>
            <w:r>
              <w:rPr>
                <w:rStyle w:val="Odkaznapoznmkupodiarou"/>
                <w:rFonts w:eastAsia="Times New Roman" w:cs="Times New Roman"/>
                <w:color w:val="000000"/>
                <w:sz w:val="20"/>
                <w:lang w:eastAsia="sk-SK"/>
              </w:rPr>
              <w:footnoteReference w:id="26"/>
            </w:r>
          </w:p>
        </w:tc>
        <w:tc>
          <w:tcPr>
            <w:tcW w:w="1134" w:type="dxa"/>
            <w:tcBorders>
              <w:top w:val="nil"/>
              <w:left w:val="nil"/>
              <w:bottom w:val="nil"/>
              <w:right w:val="nil"/>
            </w:tcBorders>
            <w:shd w:val="clear" w:color="000000" w:fill="FFFFFF"/>
            <w:noWrap/>
            <w:vAlign w:val="bottom"/>
            <w:hideMark/>
          </w:tcPr>
          <w:p w14:paraId="6CD2E331" w14:textId="77777777" w:rsidR="00C2247E" w:rsidRPr="00A42768" w:rsidRDefault="00C2247E" w:rsidP="00C2247E">
            <w:pPr>
              <w:spacing w:after="0" w:line="240" w:lineRule="auto"/>
              <w:jc w:val="left"/>
              <w:rPr>
                <w:rFonts w:eastAsia="Times New Roman" w:cs="Times New Roman"/>
                <w:color w:val="000000"/>
                <w:sz w:val="20"/>
                <w:lang w:eastAsia="sk-SK"/>
              </w:rPr>
            </w:pPr>
            <w:r w:rsidRPr="00A42768">
              <w:rPr>
                <w:rFonts w:eastAsia="Times New Roman" w:cs="Times New Roman"/>
                <w:color w:val="000000"/>
                <w:sz w:val="20"/>
                <w:lang w:eastAsia="sk-SK"/>
              </w:rPr>
              <w:t>MPSVR</w:t>
            </w:r>
          </w:p>
        </w:tc>
        <w:tc>
          <w:tcPr>
            <w:tcW w:w="793" w:type="dxa"/>
            <w:tcBorders>
              <w:top w:val="nil"/>
              <w:left w:val="nil"/>
              <w:bottom w:val="nil"/>
              <w:right w:val="nil"/>
            </w:tcBorders>
            <w:shd w:val="clear" w:color="auto" w:fill="auto"/>
            <w:noWrap/>
            <w:vAlign w:val="bottom"/>
            <w:hideMark/>
          </w:tcPr>
          <w:p w14:paraId="7162BEE4" w14:textId="5B6A9461" w:rsidR="00C2247E" w:rsidRPr="00D275D9" w:rsidRDefault="00C2247E" w:rsidP="00C2247E">
            <w:pPr>
              <w:spacing w:after="0" w:line="240" w:lineRule="auto"/>
              <w:jc w:val="right"/>
              <w:rPr>
                <w:rFonts w:eastAsia="Times New Roman" w:cs="Times New Roman"/>
                <w:color w:val="000000"/>
                <w:sz w:val="20"/>
                <w:lang w:eastAsia="sk-SK"/>
              </w:rPr>
            </w:pPr>
            <w:r>
              <w:rPr>
                <w:color w:val="000000"/>
                <w:sz w:val="20"/>
              </w:rPr>
              <w:t>39,9</w:t>
            </w:r>
          </w:p>
        </w:tc>
        <w:tc>
          <w:tcPr>
            <w:tcW w:w="794" w:type="dxa"/>
            <w:tcBorders>
              <w:top w:val="nil"/>
              <w:left w:val="nil"/>
              <w:bottom w:val="nil"/>
              <w:right w:val="nil"/>
            </w:tcBorders>
            <w:shd w:val="clear" w:color="000000" w:fill="FFFFFF"/>
            <w:noWrap/>
            <w:vAlign w:val="center"/>
            <w:hideMark/>
          </w:tcPr>
          <w:p w14:paraId="744226D6" w14:textId="37777763" w:rsidR="00C2247E" w:rsidRPr="00D275D9" w:rsidRDefault="00C2247E" w:rsidP="00C2247E">
            <w:pPr>
              <w:spacing w:after="0" w:line="240" w:lineRule="auto"/>
              <w:jc w:val="right"/>
              <w:rPr>
                <w:rFonts w:eastAsia="Times New Roman" w:cs="Times New Roman"/>
                <w:color w:val="000000"/>
                <w:sz w:val="20"/>
                <w:lang w:eastAsia="sk-SK"/>
              </w:rPr>
            </w:pPr>
            <w:r>
              <w:rPr>
                <w:color w:val="000000"/>
                <w:sz w:val="20"/>
              </w:rPr>
              <w:t>34,1</w:t>
            </w:r>
          </w:p>
        </w:tc>
        <w:tc>
          <w:tcPr>
            <w:tcW w:w="794" w:type="dxa"/>
            <w:tcBorders>
              <w:top w:val="nil"/>
              <w:left w:val="nil"/>
              <w:bottom w:val="nil"/>
              <w:right w:val="nil"/>
            </w:tcBorders>
            <w:shd w:val="clear" w:color="000000" w:fill="FFFFFF"/>
            <w:noWrap/>
            <w:vAlign w:val="center"/>
            <w:hideMark/>
          </w:tcPr>
          <w:p w14:paraId="28D8E33E" w14:textId="7D2BD3DF" w:rsidR="00C2247E" w:rsidRPr="00D275D9" w:rsidRDefault="00C2247E" w:rsidP="00C2247E">
            <w:pPr>
              <w:spacing w:after="0" w:line="240" w:lineRule="auto"/>
              <w:jc w:val="right"/>
              <w:rPr>
                <w:rFonts w:eastAsia="Times New Roman" w:cs="Times New Roman"/>
                <w:color w:val="000000"/>
                <w:sz w:val="20"/>
                <w:lang w:eastAsia="sk-SK"/>
              </w:rPr>
            </w:pPr>
            <w:r>
              <w:rPr>
                <w:color w:val="000000"/>
                <w:sz w:val="20"/>
              </w:rPr>
              <w:t>41,7</w:t>
            </w:r>
          </w:p>
        </w:tc>
        <w:tc>
          <w:tcPr>
            <w:tcW w:w="794" w:type="dxa"/>
            <w:tcBorders>
              <w:top w:val="nil"/>
              <w:left w:val="nil"/>
              <w:bottom w:val="nil"/>
              <w:right w:val="nil"/>
            </w:tcBorders>
            <w:shd w:val="clear" w:color="000000" w:fill="FFFFFF"/>
            <w:noWrap/>
            <w:vAlign w:val="center"/>
            <w:hideMark/>
          </w:tcPr>
          <w:p w14:paraId="239292F9" w14:textId="156C1A16" w:rsidR="00C2247E" w:rsidRPr="00D275D9" w:rsidRDefault="00C2247E" w:rsidP="00C2247E">
            <w:pPr>
              <w:spacing w:after="0" w:line="240" w:lineRule="auto"/>
              <w:jc w:val="right"/>
              <w:rPr>
                <w:rFonts w:eastAsia="Times New Roman" w:cs="Times New Roman"/>
                <w:color w:val="000000"/>
                <w:sz w:val="20"/>
                <w:lang w:eastAsia="sk-SK"/>
              </w:rPr>
            </w:pPr>
            <w:r>
              <w:rPr>
                <w:color w:val="000000"/>
                <w:sz w:val="20"/>
              </w:rPr>
              <w:t>40,6</w:t>
            </w:r>
          </w:p>
        </w:tc>
        <w:tc>
          <w:tcPr>
            <w:tcW w:w="794" w:type="dxa"/>
            <w:tcBorders>
              <w:top w:val="nil"/>
              <w:left w:val="nil"/>
              <w:bottom w:val="nil"/>
              <w:right w:val="nil"/>
            </w:tcBorders>
            <w:shd w:val="clear" w:color="000000" w:fill="FFFFFF"/>
            <w:noWrap/>
            <w:vAlign w:val="center"/>
            <w:hideMark/>
          </w:tcPr>
          <w:p w14:paraId="491D1EF1" w14:textId="6F316C12" w:rsidR="00C2247E" w:rsidRPr="00D275D9" w:rsidRDefault="00C2247E" w:rsidP="00C2247E">
            <w:pPr>
              <w:spacing w:after="0" w:line="240" w:lineRule="auto"/>
              <w:jc w:val="right"/>
              <w:rPr>
                <w:rFonts w:eastAsia="Times New Roman" w:cs="Times New Roman"/>
                <w:color w:val="000000"/>
                <w:sz w:val="20"/>
                <w:lang w:eastAsia="sk-SK"/>
              </w:rPr>
            </w:pPr>
            <w:r>
              <w:rPr>
                <w:color w:val="000000"/>
                <w:sz w:val="20"/>
              </w:rPr>
              <w:t>39,8</w:t>
            </w:r>
          </w:p>
        </w:tc>
      </w:tr>
      <w:tr w:rsidR="00C2247E" w:rsidRPr="00A42768" w14:paraId="344BAA7F" w14:textId="77777777" w:rsidTr="00140186">
        <w:trPr>
          <w:trHeight w:val="255"/>
        </w:trPr>
        <w:tc>
          <w:tcPr>
            <w:tcW w:w="3969" w:type="dxa"/>
            <w:tcBorders>
              <w:top w:val="single" w:sz="4" w:space="0" w:color="auto"/>
              <w:left w:val="nil"/>
              <w:bottom w:val="single" w:sz="4" w:space="0" w:color="auto"/>
              <w:right w:val="nil"/>
            </w:tcBorders>
            <w:shd w:val="clear" w:color="000000" w:fill="FFFFFF"/>
            <w:noWrap/>
            <w:vAlign w:val="bottom"/>
            <w:hideMark/>
          </w:tcPr>
          <w:p w14:paraId="09AED5B6" w14:textId="77777777" w:rsidR="00C2247E" w:rsidRPr="00A42768" w:rsidRDefault="00C2247E" w:rsidP="00C2247E">
            <w:pPr>
              <w:spacing w:after="0" w:line="240" w:lineRule="auto"/>
              <w:jc w:val="left"/>
              <w:rPr>
                <w:rFonts w:eastAsia="Times New Roman" w:cs="Times New Roman"/>
                <w:b/>
                <w:bCs/>
                <w:color w:val="000000"/>
                <w:sz w:val="20"/>
                <w:lang w:eastAsia="sk-SK"/>
              </w:rPr>
            </w:pPr>
            <w:r w:rsidRPr="00A42768">
              <w:rPr>
                <w:rFonts w:eastAsia="Times New Roman" w:cs="Times New Roman"/>
                <w:b/>
                <w:bCs/>
                <w:color w:val="000000"/>
                <w:sz w:val="20"/>
                <w:lang w:eastAsia="sk-SK"/>
              </w:rPr>
              <w:t>Sociálna pomoc</w:t>
            </w:r>
          </w:p>
        </w:tc>
        <w:tc>
          <w:tcPr>
            <w:tcW w:w="1134" w:type="dxa"/>
            <w:tcBorders>
              <w:top w:val="single" w:sz="4" w:space="0" w:color="auto"/>
              <w:left w:val="nil"/>
              <w:bottom w:val="single" w:sz="4" w:space="0" w:color="auto"/>
              <w:right w:val="nil"/>
            </w:tcBorders>
            <w:shd w:val="clear" w:color="000000" w:fill="FFFFFF"/>
            <w:noWrap/>
            <w:vAlign w:val="bottom"/>
            <w:hideMark/>
          </w:tcPr>
          <w:p w14:paraId="1349574D" w14:textId="77777777" w:rsidR="00C2247E" w:rsidRPr="00A42768" w:rsidRDefault="00C2247E" w:rsidP="00C2247E">
            <w:pPr>
              <w:spacing w:after="0" w:line="240" w:lineRule="auto"/>
              <w:jc w:val="left"/>
              <w:rPr>
                <w:rFonts w:eastAsia="Times New Roman" w:cs="Times New Roman"/>
                <w:color w:val="000000"/>
                <w:sz w:val="20"/>
                <w:lang w:eastAsia="sk-SK"/>
              </w:rPr>
            </w:pPr>
            <w:r w:rsidRPr="00A42768">
              <w:rPr>
                <w:rFonts w:eastAsia="Times New Roman" w:cs="Times New Roman"/>
                <w:color w:val="000000"/>
                <w:sz w:val="20"/>
                <w:lang w:eastAsia="sk-SK"/>
              </w:rPr>
              <w:t> </w:t>
            </w:r>
          </w:p>
        </w:tc>
        <w:tc>
          <w:tcPr>
            <w:tcW w:w="793" w:type="dxa"/>
            <w:tcBorders>
              <w:top w:val="single" w:sz="4" w:space="0" w:color="auto"/>
              <w:left w:val="nil"/>
              <w:bottom w:val="single" w:sz="4" w:space="0" w:color="auto"/>
              <w:right w:val="nil"/>
            </w:tcBorders>
            <w:shd w:val="clear" w:color="000000" w:fill="FFFFFF"/>
            <w:noWrap/>
            <w:vAlign w:val="bottom"/>
            <w:hideMark/>
          </w:tcPr>
          <w:p w14:paraId="7FA6D094" w14:textId="560BE393" w:rsidR="00C2247E" w:rsidRPr="00D275D9" w:rsidRDefault="00C2247E" w:rsidP="00C2247E">
            <w:pPr>
              <w:spacing w:after="0" w:line="240" w:lineRule="auto"/>
              <w:jc w:val="right"/>
              <w:rPr>
                <w:rFonts w:eastAsia="Times New Roman" w:cs="Times New Roman"/>
                <w:b/>
                <w:bCs/>
                <w:color w:val="000000"/>
                <w:sz w:val="20"/>
                <w:lang w:eastAsia="sk-SK"/>
              </w:rPr>
            </w:pPr>
            <w:r>
              <w:rPr>
                <w:b/>
                <w:bCs/>
                <w:color w:val="000000"/>
                <w:sz w:val="20"/>
              </w:rPr>
              <w:t>132,3</w:t>
            </w:r>
          </w:p>
        </w:tc>
        <w:tc>
          <w:tcPr>
            <w:tcW w:w="794" w:type="dxa"/>
            <w:tcBorders>
              <w:top w:val="single" w:sz="4" w:space="0" w:color="auto"/>
              <w:left w:val="nil"/>
              <w:bottom w:val="single" w:sz="4" w:space="0" w:color="auto"/>
              <w:right w:val="nil"/>
            </w:tcBorders>
            <w:shd w:val="clear" w:color="000000" w:fill="FFFFFF"/>
            <w:noWrap/>
            <w:vAlign w:val="bottom"/>
            <w:hideMark/>
          </w:tcPr>
          <w:p w14:paraId="3D9CB307" w14:textId="2126741E" w:rsidR="00C2247E" w:rsidRPr="00D275D9" w:rsidRDefault="00C2247E" w:rsidP="00C2247E">
            <w:pPr>
              <w:spacing w:after="0" w:line="240" w:lineRule="auto"/>
              <w:jc w:val="right"/>
              <w:rPr>
                <w:rFonts w:eastAsia="Times New Roman" w:cs="Times New Roman"/>
                <w:b/>
                <w:bCs/>
                <w:color w:val="000000"/>
                <w:sz w:val="20"/>
                <w:lang w:eastAsia="sk-SK"/>
              </w:rPr>
            </w:pPr>
            <w:r>
              <w:rPr>
                <w:b/>
                <w:bCs/>
                <w:color w:val="000000"/>
                <w:sz w:val="20"/>
              </w:rPr>
              <w:t>117,5</w:t>
            </w:r>
          </w:p>
        </w:tc>
        <w:tc>
          <w:tcPr>
            <w:tcW w:w="794" w:type="dxa"/>
            <w:tcBorders>
              <w:top w:val="single" w:sz="4" w:space="0" w:color="auto"/>
              <w:left w:val="nil"/>
              <w:bottom w:val="single" w:sz="4" w:space="0" w:color="auto"/>
              <w:right w:val="nil"/>
            </w:tcBorders>
            <w:shd w:val="clear" w:color="000000" w:fill="FFFFFF"/>
            <w:noWrap/>
            <w:vAlign w:val="bottom"/>
            <w:hideMark/>
          </w:tcPr>
          <w:p w14:paraId="3F8CF7B9" w14:textId="5B416416" w:rsidR="00C2247E" w:rsidRPr="00D275D9" w:rsidRDefault="00C2247E" w:rsidP="00C2247E">
            <w:pPr>
              <w:spacing w:after="0" w:line="240" w:lineRule="auto"/>
              <w:jc w:val="right"/>
              <w:rPr>
                <w:rFonts w:eastAsia="Times New Roman" w:cs="Times New Roman"/>
                <w:b/>
                <w:bCs/>
                <w:color w:val="000000"/>
                <w:sz w:val="20"/>
                <w:lang w:eastAsia="sk-SK"/>
              </w:rPr>
            </w:pPr>
            <w:r>
              <w:rPr>
                <w:b/>
                <w:bCs/>
                <w:color w:val="000000"/>
                <w:sz w:val="20"/>
              </w:rPr>
              <w:t>129,3</w:t>
            </w:r>
          </w:p>
        </w:tc>
        <w:tc>
          <w:tcPr>
            <w:tcW w:w="794" w:type="dxa"/>
            <w:tcBorders>
              <w:top w:val="single" w:sz="4" w:space="0" w:color="auto"/>
              <w:left w:val="nil"/>
              <w:bottom w:val="single" w:sz="4" w:space="0" w:color="auto"/>
              <w:right w:val="nil"/>
            </w:tcBorders>
            <w:shd w:val="clear" w:color="000000" w:fill="FFFFFF"/>
            <w:noWrap/>
            <w:vAlign w:val="bottom"/>
            <w:hideMark/>
          </w:tcPr>
          <w:p w14:paraId="1E08486E" w14:textId="76A97AE1" w:rsidR="00C2247E" w:rsidRPr="00D275D9" w:rsidRDefault="00C2247E" w:rsidP="00C2247E">
            <w:pPr>
              <w:spacing w:after="0" w:line="240" w:lineRule="auto"/>
              <w:jc w:val="right"/>
              <w:rPr>
                <w:rFonts w:eastAsia="Times New Roman" w:cs="Times New Roman"/>
                <w:b/>
                <w:bCs/>
                <w:color w:val="000000"/>
                <w:sz w:val="20"/>
                <w:lang w:eastAsia="sk-SK"/>
              </w:rPr>
            </w:pPr>
            <w:r>
              <w:rPr>
                <w:b/>
                <w:bCs/>
                <w:color w:val="000000"/>
                <w:sz w:val="20"/>
              </w:rPr>
              <w:t>129,8</w:t>
            </w:r>
          </w:p>
        </w:tc>
        <w:tc>
          <w:tcPr>
            <w:tcW w:w="794" w:type="dxa"/>
            <w:tcBorders>
              <w:top w:val="single" w:sz="4" w:space="0" w:color="auto"/>
              <w:left w:val="nil"/>
              <w:bottom w:val="single" w:sz="4" w:space="0" w:color="auto"/>
              <w:right w:val="nil"/>
            </w:tcBorders>
            <w:shd w:val="clear" w:color="000000" w:fill="FFFFFF"/>
            <w:noWrap/>
            <w:vAlign w:val="bottom"/>
            <w:hideMark/>
          </w:tcPr>
          <w:p w14:paraId="3ECF5DBB" w14:textId="5EDBF03D" w:rsidR="00C2247E" w:rsidRPr="00D275D9" w:rsidRDefault="00C2247E" w:rsidP="00C2247E">
            <w:pPr>
              <w:spacing w:after="0" w:line="240" w:lineRule="auto"/>
              <w:jc w:val="right"/>
              <w:rPr>
                <w:rFonts w:eastAsia="Times New Roman" w:cs="Times New Roman"/>
                <w:b/>
                <w:bCs/>
                <w:color w:val="000000"/>
                <w:sz w:val="20"/>
                <w:lang w:eastAsia="sk-SK"/>
              </w:rPr>
            </w:pPr>
            <w:r>
              <w:rPr>
                <w:b/>
                <w:bCs/>
                <w:color w:val="000000"/>
                <w:sz w:val="20"/>
              </w:rPr>
              <w:t>131,2</w:t>
            </w:r>
          </w:p>
        </w:tc>
      </w:tr>
      <w:tr w:rsidR="00C2247E" w:rsidRPr="00A42768" w14:paraId="05D675AC" w14:textId="77777777" w:rsidTr="00140186">
        <w:trPr>
          <w:trHeight w:val="255"/>
        </w:trPr>
        <w:tc>
          <w:tcPr>
            <w:tcW w:w="3969" w:type="dxa"/>
            <w:tcBorders>
              <w:top w:val="nil"/>
              <w:left w:val="nil"/>
              <w:bottom w:val="nil"/>
              <w:right w:val="nil"/>
            </w:tcBorders>
            <w:shd w:val="clear" w:color="000000" w:fill="FFFFFF"/>
            <w:noWrap/>
            <w:vAlign w:val="bottom"/>
            <w:hideMark/>
          </w:tcPr>
          <w:p w14:paraId="55D8A2A0" w14:textId="369C4095" w:rsidR="00C2247E" w:rsidRPr="00A42768" w:rsidRDefault="00C2247E" w:rsidP="00C2247E">
            <w:pPr>
              <w:spacing w:after="0" w:line="240" w:lineRule="auto"/>
              <w:jc w:val="left"/>
              <w:rPr>
                <w:rFonts w:eastAsia="Times New Roman" w:cs="Times New Roman"/>
                <w:color w:val="000000"/>
                <w:sz w:val="20"/>
                <w:lang w:eastAsia="sk-SK"/>
              </w:rPr>
            </w:pPr>
            <w:r>
              <w:rPr>
                <w:rFonts w:eastAsia="Times New Roman" w:cs="Times New Roman"/>
                <w:color w:val="000000"/>
                <w:sz w:val="20"/>
                <w:lang w:eastAsia="sk-SK"/>
              </w:rPr>
              <w:t>Dávka</w:t>
            </w:r>
            <w:r w:rsidRPr="00A42768">
              <w:rPr>
                <w:rFonts w:eastAsia="Times New Roman" w:cs="Times New Roman"/>
                <w:color w:val="000000"/>
                <w:sz w:val="20"/>
                <w:lang w:eastAsia="sk-SK"/>
              </w:rPr>
              <w:t xml:space="preserve"> v hmotnej núdzi</w:t>
            </w:r>
            <w:r>
              <w:rPr>
                <w:rFonts w:eastAsia="Times New Roman" w:cs="Times New Roman"/>
                <w:color w:val="000000"/>
                <w:sz w:val="20"/>
                <w:lang w:eastAsia="sk-SK"/>
              </w:rPr>
              <w:t xml:space="preserve"> a príspevky k dávke</w:t>
            </w:r>
          </w:p>
        </w:tc>
        <w:tc>
          <w:tcPr>
            <w:tcW w:w="1134" w:type="dxa"/>
            <w:tcBorders>
              <w:top w:val="nil"/>
              <w:left w:val="nil"/>
              <w:bottom w:val="nil"/>
              <w:right w:val="nil"/>
            </w:tcBorders>
            <w:shd w:val="clear" w:color="000000" w:fill="FFFFFF"/>
            <w:noWrap/>
            <w:vAlign w:val="bottom"/>
            <w:hideMark/>
          </w:tcPr>
          <w:p w14:paraId="72E3C1D1" w14:textId="77777777" w:rsidR="00C2247E" w:rsidRPr="00A42768" w:rsidRDefault="00C2247E" w:rsidP="00C2247E">
            <w:pPr>
              <w:spacing w:after="0" w:line="240" w:lineRule="auto"/>
              <w:jc w:val="left"/>
              <w:rPr>
                <w:rFonts w:eastAsia="Times New Roman" w:cs="Times New Roman"/>
                <w:color w:val="000000"/>
                <w:sz w:val="20"/>
                <w:lang w:eastAsia="sk-SK"/>
              </w:rPr>
            </w:pPr>
            <w:r w:rsidRPr="00A42768">
              <w:rPr>
                <w:rFonts w:eastAsia="Times New Roman" w:cs="Times New Roman"/>
                <w:color w:val="000000"/>
                <w:sz w:val="20"/>
                <w:lang w:eastAsia="sk-SK"/>
              </w:rPr>
              <w:t>MPSVR</w:t>
            </w:r>
          </w:p>
        </w:tc>
        <w:tc>
          <w:tcPr>
            <w:tcW w:w="793" w:type="dxa"/>
            <w:tcBorders>
              <w:top w:val="nil"/>
              <w:left w:val="nil"/>
              <w:bottom w:val="nil"/>
              <w:right w:val="nil"/>
            </w:tcBorders>
            <w:shd w:val="clear" w:color="000000" w:fill="FFFFFF"/>
            <w:noWrap/>
            <w:vAlign w:val="bottom"/>
            <w:hideMark/>
          </w:tcPr>
          <w:p w14:paraId="268F6C22" w14:textId="2366679A" w:rsidR="00C2247E" w:rsidRPr="00D275D9" w:rsidRDefault="00C2247E" w:rsidP="00C2247E">
            <w:pPr>
              <w:spacing w:after="0" w:line="240" w:lineRule="auto"/>
              <w:jc w:val="right"/>
              <w:rPr>
                <w:rFonts w:eastAsia="Times New Roman" w:cs="Times New Roman"/>
                <w:color w:val="000000"/>
                <w:sz w:val="20"/>
                <w:lang w:eastAsia="sk-SK"/>
              </w:rPr>
            </w:pPr>
            <w:r>
              <w:rPr>
                <w:color w:val="000000"/>
                <w:sz w:val="20"/>
              </w:rPr>
              <w:t>126,3</w:t>
            </w:r>
          </w:p>
        </w:tc>
        <w:tc>
          <w:tcPr>
            <w:tcW w:w="794" w:type="dxa"/>
            <w:tcBorders>
              <w:top w:val="nil"/>
              <w:left w:val="nil"/>
              <w:bottom w:val="nil"/>
              <w:right w:val="nil"/>
            </w:tcBorders>
            <w:shd w:val="clear" w:color="000000" w:fill="FFFFFF"/>
            <w:noWrap/>
            <w:vAlign w:val="bottom"/>
            <w:hideMark/>
          </w:tcPr>
          <w:p w14:paraId="67341BE8" w14:textId="2AA13FC3" w:rsidR="00C2247E" w:rsidRPr="00D275D9" w:rsidRDefault="00C2247E" w:rsidP="00C2247E">
            <w:pPr>
              <w:spacing w:after="0" w:line="240" w:lineRule="auto"/>
              <w:jc w:val="right"/>
              <w:rPr>
                <w:rFonts w:eastAsia="Times New Roman" w:cs="Times New Roman"/>
                <w:color w:val="000000"/>
                <w:sz w:val="20"/>
                <w:lang w:eastAsia="sk-SK"/>
              </w:rPr>
            </w:pPr>
            <w:r>
              <w:rPr>
                <w:color w:val="000000"/>
                <w:sz w:val="20"/>
              </w:rPr>
              <w:t>112,2</w:t>
            </w:r>
          </w:p>
        </w:tc>
        <w:tc>
          <w:tcPr>
            <w:tcW w:w="794" w:type="dxa"/>
            <w:tcBorders>
              <w:top w:val="nil"/>
              <w:left w:val="nil"/>
              <w:bottom w:val="nil"/>
              <w:right w:val="nil"/>
            </w:tcBorders>
            <w:shd w:val="clear" w:color="000000" w:fill="FFFFFF"/>
            <w:noWrap/>
            <w:vAlign w:val="bottom"/>
            <w:hideMark/>
          </w:tcPr>
          <w:p w14:paraId="551F7F07" w14:textId="0717D3E4" w:rsidR="00C2247E" w:rsidRPr="00D275D9" w:rsidRDefault="00C2247E" w:rsidP="00C2247E">
            <w:pPr>
              <w:spacing w:after="0" w:line="240" w:lineRule="auto"/>
              <w:jc w:val="right"/>
              <w:rPr>
                <w:rFonts w:eastAsia="Times New Roman" w:cs="Times New Roman"/>
                <w:color w:val="000000"/>
                <w:sz w:val="20"/>
                <w:lang w:eastAsia="sk-SK"/>
              </w:rPr>
            </w:pPr>
            <w:r>
              <w:rPr>
                <w:color w:val="000000"/>
                <w:sz w:val="20"/>
              </w:rPr>
              <w:t>123,4</w:t>
            </w:r>
          </w:p>
        </w:tc>
        <w:tc>
          <w:tcPr>
            <w:tcW w:w="794" w:type="dxa"/>
            <w:tcBorders>
              <w:top w:val="nil"/>
              <w:left w:val="nil"/>
              <w:bottom w:val="nil"/>
              <w:right w:val="nil"/>
            </w:tcBorders>
            <w:shd w:val="clear" w:color="000000" w:fill="FFFFFF"/>
            <w:noWrap/>
            <w:vAlign w:val="bottom"/>
            <w:hideMark/>
          </w:tcPr>
          <w:p w14:paraId="34591107" w14:textId="38288036" w:rsidR="00C2247E" w:rsidRPr="00D275D9" w:rsidRDefault="00C2247E" w:rsidP="00C2247E">
            <w:pPr>
              <w:spacing w:after="0" w:line="240" w:lineRule="auto"/>
              <w:jc w:val="right"/>
              <w:rPr>
                <w:rFonts w:eastAsia="Times New Roman" w:cs="Times New Roman"/>
                <w:color w:val="000000"/>
                <w:sz w:val="20"/>
                <w:lang w:eastAsia="sk-SK"/>
              </w:rPr>
            </w:pPr>
            <w:r>
              <w:rPr>
                <w:color w:val="000000"/>
                <w:sz w:val="20"/>
              </w:rPr>
              <w:t>123,4</w:t>
            </w:r>
          </w:p>
        </w:tc>
        <w:tc>
          <w:tcPr>
            <w:tcW w:w="794" w:type="dxa"/>
            <w:tcBorders>
              <w:top w:val="nil"/>
              <w:left w:val="nil"/>
              <w:bottom w:val="nil"/>
              <w:right w:val="nil"/>
            </w:tcBorders>
            <w:shd w:val="clear" w:color="000000" w:fill="FFFFFF"/>
            <w:noWrap/>
            <w:vAlign w:val="bottom"/>
            <w:hideMark/>
          </w:tcPr>
          <w:p w14:paraId="57EEF915" w14:textId="04CB5BCE" w:rsidR="00C2247E" w:rsidRPr="00D275D9" w:rsidRDefault="00C2247E" w:rsidP="00C2247E">
            <w:pPr>
              <w:spacing w:after="0" w:line="240" w:lineRule="auto"/>
              <w:jc w:val="right"/>
              <w:rPr>
                <w:rFonts w:eastAsia="Times New Roman" w:cs="Times New Roman"/>
                <w:color w:val="000000"/>
                <w:sz w:val="20"/>
                <w:lang w:eastAsia="sk-SK"/>
              </w:rPr>
            </w:pPr>
            <w:r>
              <w:rPr>
                <w:color w:val="000000"/>
                <w:sz w:val="20"/>
              </w:rPr>
              <w:t>124,9</w:t>
            </w:r>
          </w:p>
        </w:tc>
      </w:tr>
      <w:tr w:rsidR="00C2247E" w:rsidRPr="00A42768" w14:paraId="0B8CD960" w14:textId="77777777" w:rsidTr="00140186">
        <w:trPr>
          <w:trHeight w:val="255"/>
        </w:trPr>
        <w:tc>
          <w:tcPr>
            <w:tcW w:w="3969" w:type="dxa"/>
            <w:tcBorders>
              <w:top w:val="nil"/>
              <w:left w:val="nil"/>
              <w:bottom w:val="nil"/>
              <w:right w:val="nil"/>
            </w:tcBorders>
            <w:shd w:val="clear" w:color="000000" w:fill="FFFFFF"/>
            <w:noWrap/>
            <w:vAlign w:val="bottom"/>
            <w:hideMark/>
          </w:tcPr>
          <w:p w14:paraId="2DE13AE1" w14:textId="77777777" w:rsidR="00C2247E" w:rsidRPr="00A42768" w:rsidRDefault="00C2247E" w:rsidP="00C2247E">
            <w:pPr>
              <w:spacing w:after="0" w:line="240" w:lineRule="auto"/>
              <w:jc w:val="left"/>
              <w:rPr>
                <w:rFonts w:eastAsia="Times New Roman" w:cs="Times New Roman"/>
                <w:color w:val="000000"/>
                <w:sz w:val="20"/>
                <w:lang w:eastAsia="sk-SK"/>
              </w:rPr>
            </w:pPr>
            <w:r w:rsidRPr="00A42768">
              <w:rPr>
                <w:rFonts w:eastAsia="Times New Roman" w:cs="Times New Roman"/>
                <w:color w:val="000000"/>
                <w:sz w:val="20"/>
                <w:lang w:eastAsia="sk-SK"/>
              </w:rPr>
              <w:t>Náhradné výživné</w:t>
            </w:r>
          </w:p>
        </w:tc>
        <w:tc>
          <w:tcPr>
            <w:tcW w:w="1134" w:type="dxa"/>
            <w:tcBorders>
              <w:top w:val="nil"/>
              <w:left w:val="nil"/>
              <w:bottom w:val="nil"/>
              <w:right w:val="nil"/>
            </w:tcBorders>
            <w:shd w:val="clear" w:color="000000" w:fill="FFFFFF"/>
            <w:noWrap/>
            <w:vAlign w:val="bottom"/>
            <w:hideMark/>
          </w:tcPr>
          <w:p w14:paraId="349C8828" w14:textId="77777777" w:rsidR="00C2247E" w:rsidRPr="00A42768" w:rsidRDefault="00C2247E" w:rsidP="00C2247E">
            <w:pPr>
              <w:spacing w:after="0" w:line="240" w:lineRule="auto"/>
              <w:jc w:val="left"/>
              <w:rPr>
                <w:rFonts w:eastAsia="Times New Roman" w:cs="Times New Roman"/>
                <w:color w:val="000000"/>
                <w:sz w:val="20"/>
                <w:lang w:eastAsia="sk-SK"/>
              </w:rPr>
            </w:pPr>
            <w:r w:rsidRPr="00A42768">
              <w:rPr>
                <w:rFonts w:eastAsia="Times New Roman" w:cs="Times New Roman"/>
                <w:color w:val="000000"/>
                <w:sz w:val="20"/>
                <w:lang w:eastAsia="sk-SK"/>
              </w:rPr>
              <w:t>MPSVR</w:t>
            </w:r>
          </w:p>
        </w:tc>
        <w:tc>
          <w:tcPr>
            <w:tcW w:w="793" w:type="dxa"/>
            <w:tcBorders>
              <w:top w:val="nil"/>
              <w:left w:val="nil"/>
              <w:bottom w:val="nil"/>
              <w:right w:val="nil"/>
            </w:tcBorders>
            <w:shd w:val="clear" w:color="000000" w:fill="FFFFFF"/>
            <w:noWrap/>
            <w:vAlign w:val="bottom"/>
            <w:hideMark/>
          </w:tcPr>
          <w:p w14:paraId="742025C5" w14:textId="0A005D44" w:rsidR="00C2247E" w:rsidRPr="00D275D9" w:rsidRDefault="00C2247E" w:rsidP="00C2247E">
            <w:pPr>
              <w:spacing w:after="0" w:line="240" w:lineRule="auto"/>
              <w:jc w:val="right"/>
              <w:rPr>
                <w:rFonts w:eastAsia="Times New Roman" w:cs="Times New Roman"/>
                <w:color w:val="000000"/>
                <w:sz w:val="20"/>
                <w:lang w:eastAsia="sk-SK"/>
              </w:rPr>
            </w:pPr>
            <w:r>
              <w:rPr>
                <w:color w:val="000000"/>
                <w:sz w:val="20"/>
              </w:rPr>
              <w:t>6,0</w:t>
            </w:r>
          </w:p>
        </w:tc>
        <w:tc>
          <w:tcPr>
            <w:tcW w:w="794" w:type="dxa"/>
            <w:tcBorders>
              <w:top w:val="nil"/>
              <w:left w:val="nil"/>
              <w:bottom w:val="nil"/>
              <w:right w:val="nil"/>
            </w:tcBorders>
            <w:shd w:val="clear" w:color="000000" w:fill="FFFFFF"/>
            <w:noWrap/>
            <w:vAlign w:val="bottom"/>
            <w:hideMark/>
          </w:tcPr>
          <w:p w14:paraId="1055DC19" w14:textId="088DAC8E" w:rsidR="00C2247E" w:rsidRPr="00D275D9" w:rsidRDefault="00C2247E" w:rsidP="00C2247E">
            <w:pPr>
              <w:spacing w:after="0" w:line="240" w:lineRule="auto"/>
              <w:jc w:val="right"/>
              <w:rPr>
                <w:rFonts w:eastAsia="Times New Roman" w:cs="Times New Roman"/>
                <w:color w:val="000000"/>
                <w:sz w:val="20"/>
                <w:lang w:eastAsia="sk-SK"/>
              </w:rPr>
            </w:pPr>
            <w:r>
              <w:rPr>
                <w:color w:val="000000"/>
                <w:sz w:val="20"/>
              </w:rPr>
              <w:t>5,2</w:t>
            </w:r>
          </w:p>
        </w:tc>
        <w:tc>
          <w:tcPr>
            <w:tcW w:w="794" w:type="dxa"/>
            <w:tcBorders>
              <w:top w:val="nil"/>
              <w:left w:val="nil"/>
              <w:bottom w:val="nil"/>
              <w:right w:val="nil"/>
            </w:tcBorders>
            <w:shd w:val="clear" w:color="000000" w:fill="FFFFFF"/>
            <w:noWrap/>
            <w:vAlign w:val="bottom"/>
            <w:hideMark/>
          </w:tcPr>
          <w:p w14:paraId="48E9635A" w14:textId="3E217856" w:rsidR="00C2247E" w:rsidRPr="00D275D9" w:rsidRDefault="00C2247E" w:rsidP="00C2247E">
            <w:pPr>
              <w:spacing w:after="0" w:line="240" w:lineRule="auto"/>
              <w:jc w:val="right"/>
              <w:rPr>
                <w:rFonts w:eastAsia="Times New Roman" w:cs="Times New Roman"/>
                <w:color w:val="000000"/>
                <w:sz w:val="20"/>
                <w:lang w:eastAsia="sk-SK"/>
              </w:rPr>
            </w:pPr>
            <w:r>
              <w:rPr>
                <w:color w:val="000000"/>
                <w:sz w:val="20"/>
              </w:rPr>
              <w:t>5,9</w:t>
            </w:r>
          </w:p>
        </w:tc>
        <w:tc>
          <w:tcPr>
            <w:tcW w:w="794" w:type="dxa"/>
            <w:tcBorders>
              <w:top w:val="nil"/>
              <w:left w:val="nil"/>
              <w:bottom w:val="nil"/>
              <w:right w:val="nil"/>
            </w:tcBorders>
            <w:shd w:val="clear" w:color="000000" w:fill="FFFFFF"/>
            <w:noWrap/>
            <w:vAlign w:val="bottom"/>
            <w:hideMark/>
          </w:tcPr>
          <w:p w14:paraId="3C955D58" w14:textId="2512504A" w:rsidR="00C2247E" w:rsidRPr="00D275D9" w:rsidRDefault="00C2247E" w:rsidP="00C2247E">
            <w:pPr>
              <w:spacing w:after="0" w:line="240" w:lineRule="auto"/>
              <w:jc w:val="right"/>
              <w:rPr>
                <w:rFonts w:eastAsia="Times New Roman" w:cs="Times New Roman"/>
                <w:color w:val="000000"/>
                <w:sz w:val="20"/>
                <w:lang w:eastAsia="sk-SK"/>
              </w:rPr>
            </w:pPr>
            <w:r>
              <w:rPr>
                <w:color w:val="000000"/>
                <w:sz w:val="20"/>
              </w:rPr>
              <w:t>6,4</w:t>
            </w:r>
          </w:p>
        </w:tc>
        <w:tc>
          <w:tcPr>
            <w:tcW w:w="794" w:type="dxa"/>
            <w:tcBorders>
              <w:top w:val="nil"/>
              <w:left w:val="nil"/>
              <w:bottom w:val="nil"/>
              <w:right w:val="nil"/>
            </w:tcBorders>
            <w:shd w:val="clear" w:color="000000" w:fill="FFFFFF"/>
            <w:noWrap/>
            <w:vAlign w:val="bottom"/>
            <w:hideMark/>
          </w:tcPr>
          <w:p w14:paraId="492AD727" w14:textId="4A9EE094" w:rsidR="00C2247E" w:rsidRPr="00D275D9" w:rsidRDefault="00C2247E" w:rsidP="00C2247E">
            <w:pPr>
              <w:spacing w:after="0" w:line="240" w:lineRule="auto"/>
              <w:jc w:val="right"/>
              <w:rPr>
                <w:rFonts w:eastAsia="Times New Roman" w:cs="Times New Roman"/>
                <w:color w:val="000000"/>
                <w:sz w:val="20"/>
                <w:lang w:eastAsia="sk-SK"/>
              </w:rPr>
            </w:pPr>
            <w:r>
              <w:rPr>
                <w:color w:val="000000"/>
                <w:sz w:val="20"/>
              </w:rPr>
              <w:t>6,4</w:t>
            </w:r>
          </w:p>
        </w:tc>
      </w:tr>
      <w:tr w:rsidR="00C2247E" w:rsidRPr="00A42768" w14:paraId="3CC73690" w14:textId="77777777" w:rsidTr="00140186">
        <w:trPr>
          <w:trHeight w:val="255"/>
        </w:trPr>
        <w:tc>
          <w:tcPr>
            <w:tcW w:w="3969" w:type="dxa"/>
            <w:tcBorders>
              <w:top w:val="single" w:sz="4" w:space="0" w:color="auto"/>
              <w:left w:val="nil"/>
              <w:bottom w:val="single" w:sz="4" w:space="0" w:color="auto"/>
              <w:right w:val="nil"/>
            </w:tcBorders>
            <w:shd w:val="clear" w:color="000000" w:fill="FFFFFF"/>
            <w:noWrap/>
            <w:vAlign w:val="bottom"/>
            <w:hideMark/>
          </w:tcPr>
          <w:p w14:paraId="357BE210" w14:textId="77777777" w:rsidR="00C2247E" w:rsidRPr="00A42768" w:rsidRDefault="00C2247E" w:rsidP="00C2247E">
            <w:pPr>
              <w:spacing w:after="0" w:line="240" w:lineRule="auto"/>
              <w:jc w:val="left"/>
              <w:rPr>
                <w:rFonts w:eastAsia="Times New Roman" w:cs="Times New Roman"/>
                <w:b/>
                <w:bCs/>
                <w:color w:val="000000"/>
                <w:sz w:val="20"/>
                <w:lang w:eastAsia="sk-SK"/>
              </w:rPr>
            </w:pPr>
            <w:r w:rsidRPr="00A42768">
              <w:rPr>
                <w:rFonts w:eastAsia="Times New Roman" w:cs="Times New Roman"/>
                <w:b/>
                <w:bCs/>
                <w:color w:val="000000"/>
                <w:sz w:val="20"/>
                <w:lang w:eastAsia="sk-SK"/>
              </w:rPr>
              <w:t>Podpora rodín s deťmi</w:t>
            </w:r>
          </w:p>
        </w:tc>
        <w:tc>
          <w:tcPr>
            <w:tcW w:w="1134" w:type="dxa"/>
            <w:tcBorders>
              <w:top w:val="single" w:sz="4" w:space="0" w:color="auto"/>
              <w:left w:val="nil"/>
              <w:bottom w:val="single" w:sz="4" w:space="0" w:color="auto"/>
              <w:right w:val="nil"/>
            </w:tcBorders>
            <w:shd w:val="clear" w:color="000000" w:fill="FFFFFF"/>
            <w:noWrap/>
            <w:vAlign w:val="bottom"/>
            <w:hideMark/>
          </w:tcPr>
          <w:p w14:paraId="6C9C3D67" w14:textId="77777777" w:rsidR="00C2247E" w:rsidRPr="00A42768" w:rsidRDefault="00C2247E" w:rsidP="00C2247E">
            <w:pPr>
              <w:spacing w:after="0" w:line="240" w:lineRule="auto"/>
              <w:jc w:val="left"/>
              <w:rPr>
                <w:rFonts w:eastAsia="Times New Roman" w:cs="Times New Roman"/>
                <w:color w:val="000000"/>
                <w:sz w:val="20"/>
                <w:lang w:eastAsia="sk-SK"/>
              </w:rPr>
            </w:pPr>
            <w:r w:rsidRPr="00A42768">
              <w:rPr>
                <w:rFonts w:eastAsia="Times New Roman" w:cs="Times New Roman"/>
                <w:color w:val="000000"/>
                <w:sz w:val="20"/>
                <w:lang w:eastAsia="sk-SK"/>
              </w:rPr>
              <w:t> </w:t>
            </w:r>
          </w:p>
        </w:tc>
        <w:tc>
          <w:tcPr>
            <w:tcW w:w="793" w:type="dxa"/>
            <w:tcBorders>
              <w:top w:val="single" w:sz="4" w:space="0" w:color="auto"/>
              <w:left w:val="nil"/>
              <w:bottom w:val="single" w:sz="4" w:space="0" w:color="auto"/>
              <w:right w:val="nil"/>
            </w:tcBorders>
            <w:shd w:val="clear" w:color="000000" w:fill="FFFFFF"/>
            <w:noWrap/>
            <w:vAlign w:val="bottom"/>
            <w:hideMark/>
          </w:tcPr>
          <w:p w14:paraId="40EC7E19" w14:textId="4C1A625C" w:rsidR="00C2247E" w:rsidRPr="00D275D9" w:rsidRDefault="00C2247E" w:rsidP="00C2247E">
            <w:pPr>
              <w:spacing w:after="0" w:line="240" w:lineRule="auto"/>
              <w:jc w:val="right"/>
              <w:rPr>
                <w:rFonts w:eastAsia="Times New Roman" w:cs="Times New Roman"/>
                <w:b/>
                <w:bCs/>
                <w:color w:val="000000"/>
                <w:sz w:val="20"/>
                <w:lang w:eastAsia="sk-SK"/>
              </w:rPr>
            </w:pPr>
            <w:r>
              <w:rPr>
                <w:b/>
                <w:bCs/>
                <w:color w:val="000000"/>
                <w:sz w:val="20"/>
              </w:rPr>
              <w:t>245,9</w:t>
            </w:r>
          </w:p>
        </w:tc>
        <w:tc>
          <w:tcPr>
            <w:tcW w:w="794" w:type="dxa"/>
            <w:tcBorders>
              <w:top w:val="single" w:sz="4" w:space="0" w:color="auto"/>
              <w:left w:val="nil"/>
              <w:bottom w:val="single" w:sz="4" w:space="0" w:color="auto"/>
              <w:right w:val="nil"/>
            </w:tcBorders>
            <w:shd w:val="clear" w:color="000000" w:fill="FFFFFF"/>
            <w:noWrap/>
            <w:vAlign w:val="bottom"/>
            <w:hideMark/>
          </w:tcPr>
          <w:p w14:paraId="4BAE4B4A" w14:textId="2B3C4009" w:rsidR="00C2247E" w:rsidRPr="00D275D9" w:rsidRDefault="00C2247E" w:rsidP="00C2247E">
            <w:pPr>
              <w:spacing w:after="0" w:line="240" w:lineRule="auto"/>
              <w:jc w:val="right"/>
              <w:rPr>
                <w:rFonts w:eastAsia="Times New Roman" w:cs="Times New Roman"/>
                <w:b/>
                <w:bCs/>
                <w:color w:val="000000"/>
                <w:sz w:val="20"/>
                <w:lang w:eastAsia="sk-SK"/>
              </w:rPr>
            </w:pPr>
            <w:r>
              <w:rPr>
                <w:b/>
                <w:bCs/>
                <w:color w:val="000000"/>
                <w:sz w:val="20"/>
              </w:rPr>
              <w:t>252,8</w:t>
            </w:r>
          </w:p>
        </w:tc>
        <w:tc>
          <w:tcPr>
            <w:tcW w:w="794" w:type="dxa"/>
            <w:tcBorders>
              <w:top w:val="single" w:sz="4" w:space="0" w:color="auto"/>
              <w:left w:val="nil"/>
              <w:bottom w:val="single" w:sz="4" w:space="0" w:color="auto"/>
              <w:right w:val="nil"/>
            </w:tcBorders>
            <w:shd w:val="clear" w:color="000000" w:fill="FFFFFF"/>
            <w:noWrap/>
            <w:vAlign w:val="bottom"/>
            <w:hideMark/>
          </w:tcPr>
          <w:p w14:paraId="788B3749" w14:textId="4171603A" w:rsidR="00C2247E" w:rsidRPr="00D275D9" w:rsidRDefault="00C2247E" w:rsidP="00C2247E">
            <w:pPr>
              <w:spacing w:after="0" w:line="240" w:lineRule="auto"/>
              <w:jc w:val="right"/>
              <w:rPr>
                <w:rFonts w:eastAsia="Times New Roman" w:cs="Times New Roman"/>
                <w:b/>
                <w:bCs/>
                <w:color w:val="000000"/>
                <w:sz w:val="20"/>
                <w:lang w:eastAsia="sk-SK"/>
              </w:rPr>
            </w:pPr>
            <w:r>
              <w:rPr>
                <w:b/>
                <w:bCs/>
                <w:color w:val="000000"/>
                <w:sz w:val="20"/>
              </w:rPr>
              <w:t>324,7</w:t>
            </w:r>
          </w:p>
        </w:tc>
        <w:tc>
          <w:tcPr>
            <w:tcW w:w="794" w:type="dxa"/>
            <w:tcBorders>
              <w:top w:val="single" w:sz="4" w:space="0" w:color="auto"/>
              <w:left w:val="nil"/>
              <w:bottom w:val="single" w:sz="4" w:space="0" w:color="auto"/>
              <w:right w:val="nil"/>
            </w:tcBorders>
            <w:shd w:val="clear" w:color="000000" w:fill="FFFFFF"/>
            <w:noWrap/>
            <w:vAlign w:val="bottom"/>
            <w:hideMark/>
          </w:tcPr>
          <w:p w14:paraId="0FD4F0D2" w14:textId="35856B6F" w:rsidR="00C2247E" w:rsidRPr="00D275D9" w:rsidRDefault="00C2247E" w:rsidP="00C2247E">
            <w:pPr>
              <w:spacing w:after="0" w:line="240" w:lineRule="auto"/>
              <w:jc w:val="right"/>
              <w:rPr>
                <w:rFonts w:eastAsia="Times New Roman" w:cs="Times New Roman"/>
                <w:b/>
                <w:bCs/>
                <w:color w:val="000000"/>
                <w:sz w:val="20"/>
                <w:lang w:eastAsia="sk-SK"/>
              </w:rPr>
            </w:pPr>
            <w:r>
              <w:rPr>
                <w:b/>
                <w:bCs/>
                <w:color w:val="000000"/>
                <w:sz w:val="20"/>
              </w:rPr>
              <w:t>331,6</w:t>
            </w:r>
          </w:p>
        </w:tc>
        <w:tc>
          <w:tcPr>
            <w:tcW w:w="794" w:type="dxa"/>
            <w:tcBorders>
              <w:top w:val="single" w:sz="4" w:space="0" w:color="auto"/>
              <w:left w:val="nil"/>
              <w:bottom w:val="single" w:sz="4" w:space="0" w:color="auto"/>
              <w:right w:val="nil"/>
            </w:tcBorders>
            <w:shd w:val="clear" w:color="000000" w:fill="FFFFFF"/>
            <w:noWrap/>
            <w:vAlign w:val="bottom"/>
            <w:hideMark/>
          </w:tcPr>
          <w:p w14:paraId="77276128" w14:textId="5A775D69" w:rsidR="00C2247E" w:rsidRPr="00D275D9" w:rsidRDefault="00C2247E" w:rsidP="00C2247E">
            <w:pPr>
              <w:spacing w:after="0" w:line="240" w:lineRule="auto"/>
              <w:jc w:val="right"/>
              <w:rPr>
                <w:rFonts w:eastAsia="Times New Roman" w:cs="Times New Roman"/>
                <w:b/>
                <w:bCs/>
                <w:color w:val="000000"/>
                <w:sz w:val="20"/>
                <w:lang w:eastAsia="sk-SK"/>
              </w:rPr>
            </w:pPr>
            <w:r>
              <w:rPr>
                <w:b/>
                <w:bCs/>
                <w:color w:val="000000"/>
                <w:sz w:val="20"/>
              </w:rPr>
              <w:t>339,1</w:t>
            </w:r>
          </w:p>
        </w:tc>
      </w:tr>
      <w:tr w:rsidR="00C2247E" w:rsidRPr="00A42768" w14:paraId="4F2F5F74" w14:textId="77777777" w:rsidTr="00140186">
        <w:trPr>
          <w:trHeight w:val="255"/>
        </w:trPr>
        <w:tc>
          <w:tcPr>
            <w:tcW w:w="3969" w:type="dxa"/>
            <w:tcBorders>
              <w:top w:val="nil"/>
              <w:left w:val="nil"/>
              <w:bottom w:val="nil"/>
              <w:right w:val="nil"/>
            </w:tcBorders>
            <w:shd w:val="clear" w:color="000000" w:fill="FFFFFF"/>
            <w:noWrap/>
            <w:vAlign w:val="bottom"/>
            <w:hideMark/>
          </w:tcPr>
          <w:p w14:paraId="4185160B" w14:textId="77777777" w:rsidR="00C2247E" w:rsidRPr="00A42768" w:rsidRDefault="00C2247E" w:rsidP="00C2247E">
            <w:pPr>
              <w:spacing w:after="0" w:line="240" w:lineRule="auto"/>
              <w:jc w:val="left"/>
              <w:rPr>
                <w:rFonts w:eastAsia="Times New Roman" w:cs="Times New Roman"/>
                <w:color w:val="000000"/>
                <w:sz w:val="20"/>
                <w:lang w:eastAsia="sk-SK"/>
              </w:rPr>
            </w:pPr>
            <w:r w:rsidRPr="00A42768">
              <w:rPr>
                <w:rFonts w:eastAsia="Times New Roman" w:cs="Times New Roman"/>
                <w:color w:val="000000"/>
                <w:sz w:val="20"/>
                <w:lang w:eastAsia="sk-SK"/>
              </w:rPr>
              <w:t>Prídavok na dieťa</w:t>
            </w:r>
          </w:p>
        </w:tc>
        <w:tc>
          <w:tcPr>
            <w:tcW w:w="1134" w:type="dxa"/>
            <w:tcBorders>
              <w:top w:val="nil"/>
              <w:left w:val="nil"/>
              <w:bottom w:val="nil"/>
              <w:right w:val="nil"/>
            </w:tcBorders>
            <w:shd w:val="clear" w:color="000000" w:fill="FFFFFF"/>
            <w:noWrap/>
            <w:vAlign w:val="bottom"/>
            <w:hideMark/>
          </w:tcPr>
          <w:p w14:paraId="29AB74C5" w14:textId="77777777" w:rsidR="00C2247E" w:rsidRPr="00A42768" w:rsidRDefault="00C2247E" w:rsidP="00C2247E">
            <w:pPr>
              <w:spacing w:after="0" w:line="240" w:lineRule="auto"/>
              <w:jc w:val="left"/>
              <w:rPr>
                <w:rFonts w:eastAsia="Times New Roman" w:cs="Times New Roman"/>
                <w:color w:val="000000"/>
                <w:sz w:val="20"/>
                <w:lang w:eastAsia="sk-SK"/>
              </w:rPr>
            </w:pPr>
            <w:r w:rsidRPr="00A42768">
              <w:rPr>
                <w:rFonts w:eastAsia="Times New Roman" w:cs="Times New Roman"/>
                <w:color w:val="000000"/>
                <w:sz w:val="20"/>
                <w:lang w:eastAsia="sk-SK"/>
              </w:rPr>
              <w:t>MPSVR</w:t>
            </w:r>
          </w:p>
        </w:tc>
        <w:tc>
          <w:tcPr>
            <w:tcW w:w="793" w:type="dxa"/>
            <w:tcBorders>
              <w:top w:val="nil"/>
              <w:left w:val="nil"/>
              <w:bottom w:val="nil"/>
              <w:right w:val="nil"/>
            </w:tcBorders>
            <w:shd w:val="clear" w:color="000000" w:fill="FFFFFF"/>
            <w:noWrap/>
            <w:vAlign w:val="bottom"/>
            <w:hideMark/>
          </w:tcPr>
          <w:p w14:paraId="31AB7C10" w14:textId="3047680D" w:rsidR="00C2247E" w:rsidRPr="00D275D9" w:rsidRDefault="00C2247E" w:rsidP="00C2247E">
            <w:pPr>
              <w:spacing w:after="0" w:line="240" w:lineRule="auto"/>
              <w:jc w:val="right"/>
              <w:rPr>
                <w:rFonts w:eastAsia="Times New Roman" w:cs="Times New Roman"/>
                <w:sz w:val="20"/>
                <w:lang w:eastAsia="sk-SK"/>
              </w:rPr>
            </w:pPr>
            <w:r>
              <w:rPr>
                <w:color w:val="BFBFBF"/>
                <w:sz w:val="20"/>
              </w:rPr>
              <w:t>313,1</w:t>
            </w:r>
          </w:p>
        </w:tc>
        <w:tc>
          <w:tcPr>
            <w:tcW w:w="794" w:type="dxa"/>
            <w:tcBorders>
              <w:top w:val="nil"/>
              <w:left w:val="nil"/>
              <w:bottom w:val="nil"/>
              <w:right w:val="nil"/>
            </w:tcBorders>
            <w:shd w:val="clear" w:color="000000" w:fill="FFFFFF"/>
            <w:noWrap/>
            <w:vAlign w:val="bottom"/>
            <w:hideMark/>
          </w:tcPr>
          <w:p w14:paraId="1AC34B21" w14:textId="3E6F8B92" w:rsidR="00C2247E" w:rsidRPr="00D275D9" w:rsidRDefault="00C2247E" w:rsidP="00C2247E">
            <w:pPr>
              <w:spacing w:after="0" w:line="240" w:lineRule="auto"/>
              <w:jc w:val="right"/>
              <w:rPr>
                <w:rFonts w:eastAsia="Times New Roman" w:cs="Times New Roman"/>
                <w:color w:val="000000"/>
                <w:sz w:val="20"/>
                <w:lang w:eastAsia="sk-SK"/>
              </w:rPr>
            </w:pPr>
            <w:r>
              <w:rPr>
                <w:color w:val="BFBFBF"/>
                <w:sz w:val="20"/>
              </w:rPr>
              <w:t>327,9</w:t>
            </w:r>
          </w:p>
        </w:tc>
        <w:tc>
          <w:tcPr>
            <w:tcW w:w="794" w:type="dxa"/>
            <w:tcBorders>
              <w:top w:val="nil"/>
              <w:left w:val="nil"/>
              <w:bottom w:val="nil"/>
              <w:right w:val="nil"/>
            </w:tcBorders>
            <w:shd w:val="clear" w:color="000000" w:fill="FFFFFF"/>
            <w:noWrap/>
            <w:vAlign w:val="bottom"/>
            <w:hideMark/>
          </w:tcPr>
          <w:p w14:paraId="5125F83F" w14:textId="584A3981" w:rsidR="00C2247E" w:rsidRPr="00D275D9" w:rsidRDefault="00C2247E" w:rsidP="00C2247E">
            <w:pPr>
              <w:spacing w:after="0" w:line="240" w:lineRule="auto"/>
              <w:jc w:val="right"/>
              <w:rPr>
                <w:rFonts w:eastAsia="Times New Roman" w:cs="Times New Roman"/>
                <w:color w:val="000000"/>
                <w:sz w:val="20"/>
                <w:lang w:eastAsia="sk-SK"/>
              </w:rPr>
            </w:pPr>
            <w:r>
              <w:rPr>
                <w:color w:val="BFBFBF"/>
                <w:sz w:val="20"/>
              </w:rPr>
              <w:t>334,5</w:t>
            </w:r>
          </w:p>
        </w:tc>
        <w:tc>
          <w:tcPr>
            <w:tcW w:w="794" w:type="dxa"/>
            <w:tcBorders>
              <w:top w:val="nil"/>
              <w:left w:val="nil"/>
              <w:bottom w:val="nil"/>
              <w:right w:val="nil"/>
            </w:tcBorders>
            <w:shd w:val="clear" w:color="000000" w:fill="FFFFFF"/>
            <w:noWrap/>
            <w:vAlign w:val="bottom"/>
            <w:hideMark/>
          </w:tcPr>
          <w:p w14:paraId="38B158C3" w14:textId="328CDF0F" w:rsidR="00C2247E" w:rsidRPr="00D275D9" w:rsidRDefault="00C2247E" w:rsidP="00C2247E">
            <w:pPr>
              <w:spacing w:after="0" w:line="240" w:lineRule="auto"/>
              <w:jc w:val="right"/>
              <w:rPr>
                <w:rFonts w:eastAsia="Times New Roman" w:cs="Times New Roman"/>
                <w:color w:val="000000"/>
                <w:sz w:val="20"/>
                <w:lang w:eastAsia="sk-SK"/>
              </w:rPr>
            </w:pPr>
            <w:r>
              <w:rPr>
                <w:color w:val="BFBFBF"/>
                <w:sz w:val="20"/>
              </w:rPr>
              <w:t>341,1</w:t>
            </w:r>
          </w:p>
        </w:tc>
        <w:tc>
          <w:tcPr>
            <w:tcW w:w="794" w:type="dxa"/>
            <w:tcBorders>
              <w:top w:val="nil"/>
              <w:left w:val="nil"/>
              <w:bottom w:val="nil"/>
              <w:right w:val="nil"/>
            </w:tcBorders>
            <w:shd w:val="clear" w:color="000000" w:fill="FFFFFF"/>
            <w:noWrap/>
            <w:vAlign w:val="bottom"/>
            <w:hideMark/>
          </w:tcPr>
          <w:p w14:paraId="06A6FC72" w14:textId="61560A14" w:rsidR="00C2247E" w:rsidRPr="00D275D9" w:rsidRDefault="00C2247E" w:rsidP="00C2247E">
            <w:pPr>
              <w:spacing w:after="0" w:line="240" w:lineRule="auto"/>
              <w:jc w:val="right"/>
              <w:rPr>
                <w:rFonts w:eastAsia="Times New Roman" w:cs="Times New Roman"/>
                <w:color w:val="000000"/>
                <w:sz w:val="20"/>
                <w:lang w:eastAsia="sk-SK"/>
              </w:rPr>
            </w:pPr>
            <w:r>
              <w:rPr>
                <w:color w:val="BFBFBF"/>
                <w:sz w:val="20"/>
              </w:rPr>
              <w:t>348,6</w:t>
            </w:r>
          </w:p>
        </w:tc>
      </w:tr>
      <w:tr w:rsidR="00C2247E" w:rsidRPr="00A42768" w14:paraId="3B7EF0AE" w14:textId="77777777" w:rsidTr="00140186">
        <w:trPr>
          <w:trHeight w:val="255"/>
        </w:trPr>
        <w:tc>
          <w:tcPr>
            <w:tcW w:w="3969" w:type="dxa"/>
            <w:tcBorders>
              <w:top w:val="nil"/>
              <w:left w:val="nil"/>
              <w:bottom w:val="nil"/>
              <w:right w:val="nil"/>
            </w:tcBorders>
            <w:shd w:val="clear" w:color="000000" w:fill="FFFFFF"/>
            <w:noWrap/>
            <w:vAlign w:val="bottom"/>
            <w:hideMark/>
          </w:tcPr>
          <w:p w14:paraId="676DCE43" w14:textId="13752F3D" w:rsidR="00C2247E" w:rsidRPr="00A42768" w:rsidRDefault="00C2247E" w:rsidP="00C2247E">
            <w:pPr>
              <w:spacing w:after="0" w:line="240" w:lineRule="auto"/>
              <w:ind w:left="214"/>
              <w:jc w:val="left"/>
              <w:rPr>
                <w:rFonts w:eastAsia="Times New Roman" w:cs="Times New Roman"/>
                <w:color w:val="000000"/>
                <w:sz w:val="20"/>
                <w:lang w:eastAsia="sk-SK"/>
              </w:rPr>
            </w:pPr>
            <w:r>
              <w:rPr>
                <w:rFonts w:eastAsia="Times New Roman" w:cs="Times New Roman"/>
                <w:color w:val="000000"/>
                <w:sz w:val="20"/>
                <w:lang w:eastAsia="sk-SK"/>
              </w:rPr>
              <w:t>z toho ohro</w:t>
            </w:r>
            <w:r w:rsidRPr="00A42768">
              <w:rPr>
                <w:rFonts w:eastAsia="Times New Roman" w:cs="Times New Roman"/>
                <w:color w:val="000000"/>
                <w:sz w:val="20"/>
                <w:lang w:eastAsia="sk-SK"/>
              </w:rPr>
              <w:t>zení chudobou alebo soc. vylúčením</w:t>
            </w:r>
          </w:p>
        </w:tc>
        <w:tc>
          <w:tcPr>
            <w:tcW w:w="1134" w:type="dxa"/>
            <w:tcBorders>
              <w:top w:val="nil"/>
              <w:left w:val="nil"/>
              <w:bottom w:val="nil"/>
              <w:right w:val="nil"/>
            </w:tcBorders>
            <w:shd w:val="clear" w:color="000000" w:fill="FFFFFF"/>
            <w:noWrap/>
            <w:vAlign w:val="bottom"/>
            <w:hideMark/>
          </w:tcPr>
          <w:p w14:paraId="7A8EDA78" w14:textId="77777777" w:rsidR="00C2247E" w:rsidRPr="00A42768" w:rsidRDefault="00C2247E" w:rsidP="00C2247E">
            <w:pPr>
              <w:spacing w:after="0" w:line="240" w:lineRule="auto"/>
              <w:jc w:val="left"/>
              <w:rPr>
                <w:rFonts w:eastAsia="Times New Roman" w:cs="Times New Roman"/>
                <w:color w:val="000000"/>
                <w:sz w:val="20"/>
                <w:lang w:eastAsia="sk-SK"/>
              </w:rPr>
            </w:pPr>
            <w:r w:rsidRPr="00A42768">
              <w:rPr>
                <w:rFonts w:eastAsia="Times New Roman" w:cs="Times New Roman"/>
                <w:color w:val="000000"/>
                <w:sz w:val="20"/>
                <w:lang w:eastAsia="sk-SK"/>
              </w:rPr>
              <w:t> </w:t>
            </w:r>
          </w:p>
        </w:tc>
        <w:tc>
          <w:tcPr>
            <w:tcW w:w="793" w:type="dxa"/>
            <w:tcBorders>
              <w:top w:val="nil"/>
              <w:left w:val="nil"/>
              <w:bottom w:val="nil"/>
              <w:right w:val="nil"/>
            </w:tcBorders>
            <w:shd w:val="clear" w:color="000000" w:fill="FFFFFF"/>
            <w:noWrap/>
            <w:vAlign w:val="bottom"/>
            <w:hideMark/>
          </w:tcPr>
          <w:p w14:paraId="556030A4" w14:textId="3CCD93FB" w:rsidR="00C2247E" w:rsidRPr="00D275D9" w:rsidRDefault="00C2247E" w:rsidP="00C2247E">
            <w:pPr>
              <w:spacing w:after="0" w:line="240" w:lineRule="auto"/>
              <w:jc w:val="right"/>
              <w:rPr>
                <w:rFonts w:eastAsia="Times New Roman" w:cs="Times New Roman"/>
                <w:sz w:val="20"/>
                <w:lang w:eastAsia="sk-SK"/>
              </w:rPr>
            </w:pPr>
            <w:r>
              <w:rPr>
                <w:sz w:val="20"/>
              </w:rPr>
              <w:t>84,9</w:t>
            </w:r>
          </w:p>
        </w:tc>
        <w:tc>
          <w:tcPr>
            <w:tcW w:w="794" w:type="dxa"/>
            <w:tcBorders>
              <w:top w:val="nil"/>
              <w:left w:val="nil"/>
              <w:bottom w:val="nil"/>
              <w:right w:val="nil"/>
            </w:tcBorders>
            <w:shd w:val="clear" w:color="000000" w:fill="FFFFFF"/>
            <w:noWrap/>
            <w:vAlign w:val="bottom"/>
            <w:hideMark/>
          </w:tcPr>
          <w:p w14:paraId="6636F7F1" w14:textId="35B2E18C" w:rsidR="00C2247E" w:rsidRPr="00D275D9" w:rsidRDefault="00C2247E" w:rsidP="00C2247E">
            <w:pPr>
              <w:spacing w:after="0" w:line="240" w:lineRule="auto"/>
              <w:jc w:val="right"/>
              <w:rPr>
                <w:rFonts w:eastAsia="Times New Roman" w:cs="Times New Roman"/>
                <w:color w:val="000000"/>
                <w:sz w:val="20"/>
                <w:lang w:eastAsia="sk-SK"/>
              </w:rPr>
            </w:pPr>
            <w:r>
              <w:rPr>
                <w:sz w:val="20"/>
              </w:rPr>
              <w:t>88,9</w:t>
            </w:r>
          </w:p>
        </w:tc>
        <w:tc>
          <w:tcPr>
            <w:tcW w:w="794" w:type="dxa"/>
            <w:tcBorders>
              <w:top w:val="nil"/>
              <w:left w:val="nil"/>
              <w:bottom w:val="nil"/>
              <w:right w:val="nil"/>
            </w:tcBorders>
            <w:shd w:val="clear" w:color="000000" w:fill="FFFFFF"/>
            <w:noWrap/>
            <w:vAlign w:val="bottom"/>
            <w:hideMark/>
          </w:tcPr>
          <w:p w14:paraId="65D2B5C2" w14:textId="2A8377C6" w:rsidR="00C2247E" w:rsidRPr="00D275D9" w:rsidRDefault="00C2247E" w:rsidP="00C2247E">
            <w:pPr>
              <w:spacing w:after="0" w:line="240" w:lineRule="auto"/>
              <w:jc w:val="right"/>
              <w:rPr>
                <w:rFonts w:eastAsia="Times New Roman" w:cs="Times New Roman"/>
                <w:color w:val="000000"/>
                <w:sz w:val="20"/>
                <w:lang w:eastAsia="sk-SK"/>
              </w:rPr>
            </w:pPr>
            <w:r>
              <w:rPr>
                <w:sz w:val="20"/>
              </w:rPr>
              <w:t>90,7</w:t>
            </w:r>
          </w:p>
        </w:tc>
        <w:tc>
          <w:tcPr>
            <w:tcW w:w="794" w:type="dxa"/>
            <w:tcBorders>
              <w:top w:val="nil"/>
              <w:left w:val="nil"/>
              <w:bottom w:val="nil"/>
              <w:right w:val="nil"/>
            </w:tcBorders>
            <w:shd w:val="clear" w:color="000000" w:fill="FFFFFF"/>
            <w:noWrap/>
            <w:vAlign w:val="bottom"/>
            <w:hideMark/>
          </w:tcPr>
          <w:p w14:paraId="5F93D22E" w14:textId="1096BE73" w:rsidR="00C2247E" w:rsidRPr="00D275D9" w:rsidRDefault="00C2247E" w:rsidP="00C2247E">
            <w:pPr>
              <w:spacing w:after="0" w:line="240" w:lineRule="auto"/>
              <w:jc w:val="right"/>
              <w:rPr>
                <w:rFonts w:eastAsia="Times New Roman" w:cs="Times New Roman"/>
                <w:color w:val="000000"/>
                <w:sz w:val="20"/>
                <w:lang w:eastAsia="sk-SK"/>
              </w:rPr>
            </w:pPr>
            <w:r>
              <w:rPr>
                <w:sz w:val="20"/>
              </w:rPr>
              <w:t>92,5</w:t>
            </w:r>
          </w:p>
        </w:tc>
        <w:tc>
          <w:tcPr>
            <w:tcW w:w="794" w:type="dxa"/>
            <w:tcBorders>
              <w:top w:val="nil"/>
              <w:left w:val="nil"/>
              <w:bottom w:val="nil"/>
              <w:right w:val="nil"/>
            </w:tcBorders>
            <w:shd w:val="clear" w:color="000000" w:fill="FFFFFF"/>
            <w:noWrap/>
            <w:vAlign w:val="bottom"/>
            <w:hideMark/>
          </w:tcPr>
          <w:p w14:paraId="44F30E78" w14:textId="0214FB40" w:rsidR="00C2247E" w:rsidRPr="00D275D9" w:rsidRDefault="00C2247E" w:rsidP="00C2247E">
            <w:pPr>
              <w:spacing w:after="0" w:line="240" w:lineRule="auto"/>
              <w:jc w:val="right"/>
              <w:rPr>
                <w:rFonts w:eastAsia="Times New Roman" w:cs="Times New Roman"/>
                <w:color w:val="000000"/>
                <w:sz w:val="20"/>
                <w:lang w:eastAsia="sk-SK"/>
              </w:rPr>
            </w:pPr>
            <w:r>
              <w:rPr>
                <w:sz w:val="20"/>
              </w:rPr>
              <w:t>94,5</w:t>
            </w:r>
          </w:p>
        </w:tc>
      </w:tr>
      <w:tr w:rsidR="00C2247E" w:rsidRPr="00A42768" w14:paraId="2FA30ADC" w14:textId="77777777" w:rsidTr="00140186">
        <w:trPr>
          <w:trHeight w:val="255"/>
        </w:trPr>
        <w:tc>
          <w:tcPr>
            <w:tcW w:w="3969" w:type="dxa"/>
            <w:tcBorders>
              <w:top w:val="nil"/>
              <w:left w:val="nil"/>
              <w:bottom w:val="nil"/>
              <w:right w:val="nil"/>
            </w:tcBorders>
            <w:shd w:val="clear" w:color="000000" w:fill="FFFFFF"/>
            <w:noWrap/>
            <w:vAlign w:val="bottom"/>
            <w:hideMark/>
          </w:tcPr>
          <w:p w14:paraId="4D001B3A" w14:textId="77777777" w:rsidR="00C2247E" w:rsidRPr="00A42768" w:rsidRDefault="00C2247E" w:rsidP="00C2247E">
            <w:pPr>
              <w:spacing w:after="0" w:line="240" w:lineRule="auto"/>
              <w:jc w:val="left"/>
              <w:rPr>
                <w:rFonts w:eastAsia="Times New Roman" w:cs="Times New Roman"/>
                <w:color w:val="000000"/>
                <w:sz w:val="20"/>
                <w:lang w:eastAsia="sk-SK"/>
              </w:rPr>
            </w:pPr>
            <w:r w:rsidRPr="00A42768">
              <w:rPr>
                <w:rFonts w:eastAsia="Times New Roman" w:cs="Times New Roman"/>
                <w:color w:val="000000"/>
                <w:sz w:val="20"/>
                <w:lang w:eastAsia="sk-SK"/>
              </w:rPr>
              <w:t>Rodičovský príspevok</w:t>
            </w:r>
          </w:p>
        </w:tc>
        <w:tc>
          <w:tcPr>
            <w:tcW w:w="1134" w:type="dxa"/>
            <w:tcBorders>
              <w:top w:val="nil"/>
              <w:left w:val="nil"/>
              <w:bottom w:val="nil"/>
              <w:right w:val="nil"/>
            </w:tcBorders>
            <w:shd w:val="clear" w:color="000000" w:fill="FFFFFF"/>
            <w:noWrap/>
            <w:vAlign w:val="bottom"/>
            <w:hideMark/>
          </w:tcPr>
          <w:p w14:paraId="18216EAB" w14:textId="77777777" w:rsidR="00C2247E" w:rsidRPr="00A42768" w:rsidRDefault="00C2247E" w:rsidP="00C2247E">
            <w:pPr>
              <w:spacing w:after="0" w:line="240" w:lineRule="auto"/>
              <w:jc w:val="left"/>
              <w:rPr>
                <w:rFonts w:eastAsia="Times New Roman" w:cs="Times New Roman"/>
                <w:color w:val="000000"/>
                <w:sz w:val="20"/>
                <w:lang w:eastAsia="sk-SK"/>
              </w:rPr>
            </w:pPr>
            <w:r w:rsidRPr="00A42768">
              <w:rPr>
                <w:rFonts w:eastAsia="Times New Roman" w:cs="Times New Roman"/>
                <w:color w:val="000000"/>
                <w:sz w:val="20"/>
                <w:lang w:eastAsia="sk-SK"/>
              </w:rPr>
              <w:t>MPSVR</w:t>
            </w:r>
          </w:p>
        </w:tc>
        <w:tc>
          <w:tcPr>
            <w:tcW w:w="793" w:type="dxa"/>
            <w:tcBorders>
              <w:top w:val="nil"/>
              <w:left w:val="nil"/>
              <w:bottom w:val="nil"/>
              <w:right w:val="nil"/>
            </w:tcBorders>
            <w:shd w:val="clear" w:color="000000" w:fill="FFFFFF"/>
            <w:noWrap/>
            <w:vAlign w:val="bottom"/>
            <w:hideMark/>
          </w:tcPr>
          <w:p w14:paraId="559F4D7E" w14:textId="79F785F0" w:rsidR="00C2247E" w:rsidRPr="00D275D9" w:rsidRDefault="00C2247E" w:rsidP="00C2247E">
            <w:pPr>
              <w:spacing w:after="0" w:line="240" w:lineRule="auto"/>
              <w:jc w:val="right"/>
              <w:rPr>
                <w:rFonts w:eastAsia="Times New Roman" w:cs="Times New Roman"/>
                <w:sz w:val="20"/>
                <w:lang w:eastAsia="sk-SK"/>
              </w:rPr>
            </w:pPr>
            <w:r>
              <w:rPr>
                <w:color w:val="BFBFBF"/>
                <w:sz w:val="20"/>
              </w:rPr>
              <w:t>368,7</w:t>
            </w:r>
          </w:p>
        </w:tc>
        <w:tc>
          <w:tcPr>
            <w:tcW w:w="794" w:type="dxa"/>
            <w:tcBorders>
              <w:top w:val="nil"/>
              <w:left w:val="nil"/>
              <w:bottom w:val="nil"/>
              <w:right w:val="nil"/>
            </w:tcBorders>
            <w:shd w:val="clear" w:color="000000" w:fill="FFFFFF"/>
            <w:noWrap/>
            <w:vAlign w:val="bottom"/>
            <w:hideMark/>
          </w:tcPr>
          <w:p w14:paraId="5B6CBD87" w14:textId="27DA312B" w:rsidR="00C2247E" w:rsidRPr="00D275D9" w:rsidRDefault="00C2247E" w:rsidP="00C2247E">
            <w:pPr>
              <w:spacing w:after="0" w:line="240" w:lineRule="auto"/>
              <w:jc w:val="right"/>
              <w:rPr>
                <w:rFonts w:eastAsia="Times New Roman" w:cs="Times New Roman"/>
                <w:color w:val="000000"/>
                <w:sz w:val="20"/>
                <w:lang w:eastAsia="sk-SK"/>
              </w:rPr>
            </w:pPr>
            <w:r>
              <w:rPr>
                <w:color w:val="BFBFBF"/>
                <w:sz w:val="20"/>
              </w:rPr>
              <w:t>377,3</w:t>
            </w:r>
          </w:p>
        </w:tc>
        <w:tc>
          <w:tcPr>
            <w:tcW w:w="794" w:type="dxa"/>
            <w:tcBorders>
              <w:top w:val="nil"/>
              <w:left w:val="nil"/>
              <w:bottom w:val="nil"/>
              <w:right w:val="nil"/>
            </w:tcBorders>
            <w:shd w:val="clear" w:color="000000" w:fill="FFFFFF"/>
            <w:noWrap/>
            <w:vAlign w:val="bottom"/>
            <w:hideMark/>
          </w:tcPr>
          <w:p w14:paraId="75AFCD50" w14:textId="789CF517" w:rsidR="00C2247E" w:rsidRPr="00D275D9" w:rsidRDefault="00C2247E" w:rsidP="00C2247E">
            <w:pPr>
              <w:spacing w:after="0" w:line="240" w:lineRule="auto"/>
              <w:jc w:val="right"/>
              <w:rPr>
                <w:rFonts w:eastAsia="Times New Roman" w:cs="Times New Roman"/>
                <w:color w:val="000000"/>
                <w:sz w:val="20"/>
                <w:lang w:eastAsia="sk-SK"/>
              </w:rPr>
            </w:pPr>
            <w:r>
              <w:rPr>
                <w:color w:val="BFBFBF"/>
                <w:sz w:val="20"/>
              </w:rPr>
              <w:t>551,3</w:t>
            </w:r>
          </w:p>
        </w:tc>
        <w:tc>
          <w:tcPr>
            <w:tcW w:w="794" w:type="dxa"/>
            <w:tcBorders>
              <w:top w:val="nil"/>
              <w:left w:val="nil"/>
              <w:bottom w:val="nil"/>
              <w:right w:val="nil"/>
            </w:tcBorders>
            <w:shd w:val="clear" w:color="000000" w:fill="FFFFFF"/>
            <w:noWrap/>
            <w:vAlign w:val="bottom"/>
            <w:hideMark/>
          </w:tcPr>
          <w:p w14:paraId="74647E21" w14:textId="38737595" w:rsidR="00C2247E" w:rsidRPr="00D275D9" w:rsidRDefault="00C2247E" w:rsidP="00C2247E">
            <w:pPr>
              <w:spacing w:after="0" w:line="240" w:lineRule="auto"/>
              <w:jc w:val="right"/>
              <w:rPr>
                <w:rFonts w:eastAsia="Times New Roman" w:cs="Times New Roman"/>
                <w:color w:val="000000"/>
                <w:sz w:val="20"/>
                <w:lang w:eastAsia="sk-SK"/>
              </w:rPr>
            </w:pPr>
            <w:r>
              <w:rPr>
                <w:color w:val="BFBFBF"/>
                <w:sz w:val="20"/>
              </w:rPr>
              <w:t>564,1</w:t>
            </w:r>
          </w:p>
        </w:tc>
        <w:tc>
          <w:tcPr>
            <w:tcW w:w="794" w:type="dxa"/>
            <w:tcBorders>
              <w:top w:val="nil"/>
              <w:left w:val="nil"/>
              <w:bottom w:val="nil"/>
              <w:right w:val="nil"/>
            </w:tcBorders>
            <w:shd w:val="clear" w:color="000000" w:fill="FFFFFF"/>
            <w:noWrap/>
            <w:vAlign w:val="bottom"/>
            <w:hideMark/>
          </w:tcPr>
          <w:p w14:paraId="4E47B2CC" w14:textId="4072A348" w:rsidR="00C2247E" w:rsidRPr="00D275D9" w:rsidRDefault="00C2247E" w:rsidP="00C2247E">
            <w:pPr>
              <w:spacing w:after="0" w:line="240" w:lineRule="auto"/>
              <w:jc w:val="right"/>
              <w:rPr>
                <w:rFonts w:eastAsia="Times New Roman" w:cs="Times New Roman"/>
                <w:color w:val="000000"/>
                <w:sz w:val="20"/>
                <w:lang w:eastAsia="sk-SK"/>
              </w:rPr>
            </w:pPr>
            <w:r>
              <w:rPr>
                <w:color w:val="BFBFBF"/>
                <w:sz w:val="20"/>
              </w:rPr>
              <w:t>577,1</w:t>
            </w:r>
          </w:p>
        </w:tc>
      </w:tr>
      <w:tr w:rsidR="00C2247E" w:rsidRPr="00A42768" w14:paraId="6B6AEE6B" w14:textId="77777777" w:rsidTr="00140186">
        <w:trPr>
          <w:trHeight w:val="255"/>
        </w:trPr>
        <w:tc>
          <w:tcPr>
            <w:tcW w:w="3969" w:type="dxa"/>
            <w:tcBorders>
              <w:top w:val="nil"/>
              <w:left w:val="nil"/>
              <w:bottom w:val="nil"/>
              <w:right w:val="nil"/>
            </w:tcBorders>
            <w:shd w:val="clear" w:color="000000" w:fill="FFFFFF"/>
            <w:noWrap/>
            <w:vAlign w:val="bottom"/>
            <w:hideMark/>
          </w:tcPr>
          <w:p w14:paraId="1CE47018" w14:textId="1C735B41" w:rsidR="00C2247E" w:rsidRPr="00A42768" w:rsidRDefault="00C2247E" w:rsidP="00C2247E">
            <w:pPr>
              <w:spacing w:after="0" w:line="240" w:lineRule="auto"/>
              <w:ind w:left="214"/>
              <w:jc w:val="left"/>
              <w:rPr>
                <w:rFonts w:eastAsia="Times New Roman" w:cs="Times New Roman"/>
                <w:color w:val="000000"/>
                <w:sz w:val="20"/>
                <w:lang w:eastAsia="sk-SK"/>
              </w:rPr>
            </w:pPr>
            <w:r>
              <w:rPr>
                <w:rFonts w:eastAsia="Times New Roman" w:cs="Times New Roman"/>
                <w:color w:val="000000"/>
                <w:sz w:val="20"/>
                <w:lang w:eastAsia="sk-SK"/>
              </w:rPr>
              <w:t>z toho ohro</w:t>
            </w:r>
            <w:r w:rsidRPr="00A42768">
              <w:rPr>
                <w:rFonts w:eastAsia="Times New Roman" w:cs="Times New Roman"/>
                <w:color w:val="000000"/>
                <w:sz w:val="20"/>
                <w:lang w:eastAsia="sk-SK"/>
              </w:rPr>
              <w:t>zení chudobou alebo soc. vylúčením</w:t>
            </w:r>
          </w:p>
        </w:tc>
        <w:tc>
          <w:tcPr>
            <w:tcW w:w="1134" w:type="dxa"/>
            <w:tcBorders>
              <w:top w:val="nil"/>
              <w:left w:val="nil"/>
              <w:bottom w:val="nil"/>
              <w:right w:val="nil"/>
            </w:tcBorders>
            <w:shd w:val="clear" w:color="000000" w:fill="FFFFFF"/>
            <w:noWrap/>
            <w:vAlign w:val="bottom"/>
            <w:hideMark/>
          </w:tcPr>
          <w:p w14:paraId="02ACF7DA" w14:textId="77777777" w:rsidR="00C2247E" w:rsidRPr="00A42768" w:rsidRDefault="00C2247E" w:rsidP="00C2247E">
            <w:pPr>
              <w:spacing w:after="0" w:line="240" w:lineRule="auto"/>
              <w:jc w:val="left"/>
              <w:rPr>
                <w:rFonts w:eastAsia="Times New Roman" w:cs="Times New Roman"/>
                <w:color w:val="000000"/>
                <w:sz w:val="20"/>
                <w:lang w:eastAsia="sk-SK"/>
              </w:rPr>
            </w:pPr>
            <w:r w:rsidRPr="00A42768">
              <w:rPr>
                <w:rFonts w:eastAsia="Times New Roman" w:cs="Times New Roman"/>
                <w:color w:val="000000"/>
                <w:sz w:val="20"/>
                <w:lang w:eastAsia="sk-SK"/>
              </w:rPr>
              <w:t> </w:t>
            </w:r>
          </w:p>
        </w:tc>
        <w:tc>
          <w:tcPr>
            <w:tcW w:w="793" w:type="dxa"/>
            <w:tcBorders>
              <w:top w:val="nil"/>
              <w:left w:val="nil"/>
              <w:bottom w:val="nil"/>
              <w:right w:val="nil"/>
            </w:tcBorders>
            <w:shd w:val="clear" w:color="000000" w:fill="FFFFFF"/>
            <w:noWrap/>
            <w:vAlign w:val="bottom"/>
            <w:hideMark/>
          </w:tcPr>
          <w:p w14:paraId="40AD2356" w14:textId="08EEC5F2" w:rsidR="00C2247E" w:rsidRPr="00D275D9" w:rsidRDefault="00C2247E" w:rsidP="00C2247E">
            <w:pPr>
              <w:spacing w:after="0" w:line="240" w:lineRule="auto"/>
              <w:jc w:val="right"/>
              <w:rPr>
                <w:rFonts w:eastAsia="Times New Roman" w:cs="Times New Roman"/>
                <w:sz w:val="20"/>
                <w:lang w:eastAsia="sk-SK"/>
              </w:rPr>
            </w:pPr>
            <w:r>
              <w:rPr>
                <w:sz w:val="20"/>
              </w:rPr>
              <w:t>147,4</w:t>
            </w:r>
          </w:p>
        </w:tc>
        <w:tc>
          <w:tcPr>
            <w:tcW w:w="794" w:type="dxa"/>
            <w:tcBorders>
              <w:top w:val="nil"/>
              <w:left w:val="nil"/>
              <w:bottom w:val="nil"/>
              <w:right w:val="nil"/>
            </w:tcBorders>
            <w:shd w:val="clear" w:color="000000" w:fill="FFFFFF"/>
            <w:noWrap/>
            <w:vAlign w:val="bottom"/>
            <w:hideMark/>
          </w:tcPr>
          <w:p w14:paraId="4D317C7A" w14:textId="4B2C7EA6" w:rsidR="00C2247E" w:rsidRPr="00D275D9" w:rsidRDefault="00C2247E" w:rsidP="00C2247E">
            <w:pPr>
              <w:spacing w:after="0" w:line="240" w:lineRule="auto"/>
              <w:jc w:val="right"/>
              <w:rPr>
                <w:rFonts w:eastAsia="Times New Roman" w:cs="Times New Roman"/>
                <w:color w:val="000000"/>
                <w:sz w:val="20"/>
                <w:lang w:eastAsia="sk-SK"/>
              </w:rPr>
            </w:pPr>
            <w:r>
              <w:rPr>
                <w:sz w:val="20"/>
              </w:rPr>
              <w:t>150,8</w:t>
            </w:r>
          </w:p>
        </w:tc>
        <w:tc>
          <w:tcPr>
            <w:tcW w:w="794" w:type="dxa"/>
            <w:tcBorders>
              <w:top w:val="nil"/>
              <w:left w:val="nil"/>
              <w:bottom w:val="nil"/>
              <w:right w:val="nil"/>
            </w:tcBorders>
            <w:shd w:val="clear" w:color="000000" w:fill="FFFFFF"/>
            <w:noWrap/>
            <w:vAlign w:val="bottom"/>
            <w:hideMark/>
          </w:tcPr>
          <w:p w14:paraId="7E8123D1" w14:textId="050386D1" w:rsidR="00C2247E" w:rsidRPr="00D275D9" w:rsidRDefault="00C2247E" w:rsidP="00C2247E">
            <w:pPr>
              <w:spacing w:after="0" w:line="240" w:lineRule="auto"/>
              <w:jc w:val="right"/>
              <w:rPr>
                <w:rFonts w:eastAsia="Times New Roman" w:cs="Times New Roman"/>
                <w:color w:val="000000"/>
                <w:sz w:val="20"/>
                <w:lang w:eastAsia="sk-SK"/>
              </w:rPr>
            </w:pPr>
            <w:r>
              <w:rPr>
                <w:sz w:val="20"/>
              </w:rPr>
              <w:t>220,4</w:t>
            </w:r>
          </w:p>
        </w:tc>
        <w:tc>
          <w:tcPr>
            <w:tcW w:w="794" w:type="dxa"/>
            <w:tcBorders>
              <w:top w:val="nil"/>
              <w:left w:val="nil"/>
              <w:bottom w:val="nil"/>
              <w:right w:val="nil"/>
            </w:tcBorders>
            <w:shd w:val="clear" w:color="000000" w:fill="FFFFFF"/>
            <w:noWrap/>
            <w:vAlign w:val="bottom"/>
            <w:hideMark/>
          </w:tcPr>
          <w:p w14:paraId="3B47FE6A" w14:textId="7357B19A" w:rsidR="00C2247E" w:rsidRPr="00D275D9" w:rsidRDefault="00C2247E" w:rsidP="00C2247E">
            <w:pPr>
              <w:spacing w:after="0" w:line="240" w:lineRule="auto"/>
              <w:jc w:val="right"/>
              <w:rPr>
                <w:rFonts w:eastAsia="Times New Roman" w:cs="Times New Roman"/>
                <w:color w:val="000000"/>
                <w:sz w:val="20"/>
                <w:lang w:eastAsia="sk-SK"/>
              </w:rPr>
            </w:pPr>
            <w:r>
              <w:rPr>
                <w:sz w:val="20"/>
              </w:rPr>
              <w:t>225,5</w:t>
            </w:r>
          </w:p>
        </w:tc>
        <w:tc>
          <w:tcPr>
            <w:tcW w:w="794" w:type="dxa"/>
            <w:tcBorders>
              <w:top w:val="nil"/>
              <w:left w:val="nil"/>
              <w:bottom w:val="nil"/>
              <w:right w:val="nil"/>
            </w:tcBorders>
            <w:shd w:val="clear" w:color="000000" w:fill="FFFFFF"/>
            <w:noWrap/>
            <w:vAlign w:val="bottom"/>
            <w:hideMark/>
          </w:tcPr>
          <w:p w14:paraId="53F7FB27" w14:textId="06454B33" w:rsidR="00C2247E" w:rsidRPr="00D275D9" w:rsidRDefault="00C2247E" w:rsidP="00C2247E">
            <w:pPr>
              <w:spacing w:after="0" w:line="240" w:lineRule="auto"/>
              <w:jc w:val="right"/>
              <w:rPr>
                <w:rFonts w:eastAsia="Times New Roman" w:cs="Times New Roman"/>
                <w:color w:val="000000"/>
                <w:sz w:val="20"/>
                <w:lang w:eastAsia="sk-SK"/>
              </w:rPr>
            </w:pPr>
            <w:r>
              <w:rPr>
                <w:sz w:val="20"/>
              </w:rPr>
              <w:t>230,7</w:t>
            </w:r>
          </w:p>
        </w:tc>
      </w:tr>
      <w:tr w:rsidR="00C2247E" w:rsidRPr="00A42768" w14:paraId="13824BB6" w14:textId="77777777" w:rsidTr="00140186">
        <w:trPr>
          <w:trHeight w:val="255"/>
        </w:trPr>
        <w:tc>
          <w:tcPr>
            <w:tcW w:w="3969" w:type="dxa"/>
            <w:tcBorders>
              <w:top w:val="nil"/>
              <w:left w:val="nil"/>
              <w:bottom w:val="nil"/>
              <w:right w:val="nil"/>
            </w:tcBorders>
            <w:shd w:val="clear" w:color="000000" w:fill="FFFFFF"/>
            <w:noWrap/>
            <w:vAlign w:val="bottom"/>
            <w:hideMark/>
          </w:tcPr>
          <w:p w14:paraId="0F7DDBD4" w14:textId="77777777" w:rsidR="00C2247E" w:rsidRPr="00A42768" w:rsidRDefault="00C2247E" w:rsidP="00C2247E">
            <w:pPr>
              <w:spacing w:after="0" w:line="240" w:lineRule="auto"/>
              <w:jc w:val="left"/>
              <w:rPr>
                <w:rFonts w:eastAsia="Times New Roman" w:cs="Times New Roman"/>
                <w:color w:val="000000"/>
                <w:sz w:val="20"/>
                <w:lang w:eastAsia="sk-SK"/>
              </w:rPr>
            </w:pPr>
            <w:r w:rsidRPr="00A42768">
              <w:rPr>
                <w:rFonts w:eastAsia="Times New Roman" w:cs="Times New Roman"/>
                <w:color w:val="000000"/>
                <w:sz w:val="20"/>
                <w:lang w:eastAsia="sk-SK"/>
              </w:rPr>
              <w:t>Príspevok pri narodení dieťaťa</w:t>
            </w:r>
          </w:p>
        </w:tc>
        <w:tc>
          <w:tcPr>
            <w:tcW w:w="1134" w:type="dxa"/>
            <w:tcBorders>
              <w:top w:val="nil"/>
              <w:left w:val="nil"/>
              <w:bottom w:val="nil"/>
              <w:right w:val="nil"/>
            </w:tcBorders>
            <w:shd w:val="clear" w:color="000000" w:fill="FFFFFF"/>
            <w:noWrap/>
            <w:vAlign w:val="bottom"/>
            <w:hideMark/>
          </w:tcPr>
          <w:p w14:paraId="6A671AF8" w14:textId="77777777" w:rsidR="00C2247E" w:rsidRPr="00A42768" w:rsidRDefault="00C2247E" w:rsidP="00C2247E">
            <w:pPr>
              <w:spacing w:after="0" w:line="240" w:lineRule="auto"/>
              <w:jc w:val="left"/>
              <w:rPr>
                <w:rFonts w:eastAsia="Times New Roman" w:cs="Times New Roman"/>
                <w:color w:val="000000"/>
                <w:sz w:val="20"/>
                <w:lang w:eastAsia="sk-SK"/>
              </w:rPr>
            </w:pPr>
            <w:r w:rsidRPr="00A42768">
              <w:rPr>
                <w:rFonts w:eastAsia="Times New Roman" w:cs="Times New Roman"/>
                <w:color w:val="000000"/>
                <w:sz w:val="20"/>
                <w:lang w:eastAsia="sk-SK"/>
              </w:rPr>
              <w:t>MPSVR</w:t>
            </w:r>
          </w:p>
        </w:tc>
        <w:tc>
          <w:tcPr>
            <w:tcW w:w="793" w:type="dxa"/>
            <w:tcBorders>
              <w:top w:val="nil"/>
              <w:left w:val="nil"/>
              <w:bottom w:val="nil"/>
              <w:right w:val="nil"/>
            </w:tcBorders>
            <w:shd w:val="clear" w:color="000000" w:fill="FFFFFF"/>
            <w:noWrap/>
            <w:vAlign w:val="bottom"/>
            <w:hideMark/>
          </w:tcPr>
          <w:p w14:paraId="10829CD3" w14:textId="2B628685" w:rsidR="00C2247E" w:rsidRPr="00D275D9" w:rsidRDefault="00C2247E" w:rsidP="00C2247E">
            <w:pPr>
              <w:spacing w:after="0" w:line="240" w:lineRule="auto"/>
              <w:jc w:val="right"/>
              <w:rPr>
                <w:rFonts w:eastAsia="Times New Roman" w:cs="Times New Roman"/>
                <w:sz w:val="20"/>
                <w:lang w:eastAsia="sk-SK"/>
              </w:rPr>
            </w:pPr>
            <w:r>
              <w:rPr>
                <w:color w:val="BFBFBF"/>
                <w:sz w:val="20"/>
              </w:rPr>
              <w:t>44,0</w:t>
            </w:r>
          </w:p>
        </w:tc>
        <w:tc>
          <w:tcPr>
            <w:tcW w:w="794" w:type="dxa"/>
            <w:tcBorders>
              <w:top w:val="nil"/>
              <w:left w:val="nil"/>
              <w:bottom w:val="nil"/>
              <w:right w:val="nil"/>
            </w:tcBorders>
            <w:shd w:val="clear" w:color="000000" w:fill="FFFFFF"/>
            <w:noWrap/>
            <w:vAlign w:val="bottom"/>
            <w:hideMark/>
          </w:tcPr>
          <w:p w14:paraId="7DC7005F" w14:textId="7DCF6F7C" w:rsidR="00C2247E" w:rsidRPr="00D275D9" w:rsidRDefault="00C2247E" w:rsidP="00C2247E">
            <w:pPr>
              <w:spacing w:after="0" w:line="240" w:lineRule="auto"/>
              <w:jc w:val="right"/>
              <w:rPr>
                <w:rFonts w:eastAsia="Times New Roman" w:cs="Times New Roman"/>
                <w:color w:val="000000"/>
                <w:sz w:val="20"/>
                <w:lang w:eastAsia="sk-SK"/>
              </w:rPr>
            </w:pPr>
            <w:r>
              <w:rPr>
                <w:color w:val="BFBFBF"/>
                <w:sz w:val="20"/>
              </w:rPr>
              <w:t>43,4</w:t>
            </w:r>
          </w:p>
        </w:tc>
        <w:tc>
          <w:tcPr>
            <w:tcW w:w="794" w:type="dxa"/>
            <w:tcBorders>
              <w:top w:val="nil"/>
              <w:left w:val="nil"/>
              <w:bottom w:val="nil"/>
              <w:right w:val="nil"/>
            </w:tcBorders>
            <w:shd w:val="clear" w:color="000000" w:fill="FFFFFF"/>
            <w:noWrap/>
            <w:vAlign w:val="bottom"/>
            <w:hideMark/>
          </w:tcPr>
          <w:p w14:paraId="566645C8" w14:textId="19F4D9B7" w:rsidR="00C2247E" w:rsidRPr="00D275D9" w:rsidRDefault="00C2247E" w:rsidP="00C2247E">
            <w:pPr>
              <w:spacing w:after="0" w:line="240" w:lineRule="auto"/>
              <w:jc w:val="right"/>
              <w:rPr>
                <w:rFonts w:eastAsia="Times New Roman" w:cs="Times New Roman"/>
                <w:color w:val="000000"/>
                <w:sz w:val="20"/>
                <w:lang w:eastAsia="sk-SK"/>
              </w:rPr>
            </w:pPr>
            <w:r>
              <w:rPr>
                <w:color w:val="BFBFBF"/>
                <w:sz w:val="20"/>
              </w:rPr>
              <w:t>44,8</w:t>
            </w:r>
          </w:p>
        </w:tc>
        <w:tc>
          <w:tcPr>
            <w:tcW w:w="794" w:type="dxa"/>
            <w:tcBorders>
              <w:top w:val="nil"/>
              <w:left w:val="nil"/>
              <w:bottom w:val="nil"/>
              <w:right w:val="nil"/>
            </w:tcBorders>
            <w:shd w:val="clear" w:color="000000" w:fill="FFFFFF"/>
            <w:noWrap/>
            <w:vAlign w:val="bottom"/>
            <w:hideMark/>
          </w:tcPr>
          <w:p w14:paraId="2C8FDA81" w14:textId="61510A16" w:rsidR="00C2247E" w:rsidRPr="00D275D9" w:rsidRDefault="00C2247E" w:rsidP="00C2247E">
            <w:pPr>
              <w:spacing w:after="0" w:line="240" w:lineRule="auto"/>
              <w:jc w:val="right"/>
              <w:rPr>
                <w:rFonts w:eastAsia="Times New Roman" w:cs="Times New Roman"/>
                <w:color w:val="000000"/>
                <w:sz w:val="20"/>
                <w:lang w:eastAsia="sk-SK"/>
              </w:rPr>
            </w:pPr>
            <w:r>
              <w:rPr>
                <w:color w:val="BFBFBF"/>
                <w:sz w:val="20"/>
              </w:rPr>
              <w:t>45,0</w:t>
            </w:r>
          </w:p>
        </w:tc>
        <w:tc>
          <w:tcPr>
            <w:tcW w:w="794" w:type="dxa"/>
            <w:tcBorders>
              <w:top w:val="nil"/>
              <w:left w:val="nil"/>
              <w:bottom w:val="nil"/>
              <w:right w:val="nil"/>
            </w:tcBorders>
            <w:shd w:val="clear" w:color="000000" w:fill="FFFFFF"/>
            <w:noWrap/>
            <w:vAlign w:val="bottom"/>
            <w:hideMark/>
          </w:tcPr>
          <w:p w14:paraId="25BE6054" w14:textId="7CFCC834" w:rsidR="00C2247E" w:rsidRPr="00D275D9" w:rsidRDefault="00C2247E" w:rsidP="00C2247E">
            <w:pPr>
              <w:spacing w:after="0" w:line="240" w:lineRule="auto"/>
              <w:jc w:val="right"/>
              <w:rPr>
                <w:rFonts w:eastAsia="Times New Roman" w:cs="Times New Roman"/>
                <w:color w:val="000000"/>
                <w:sz w:val="20"/>
                <w:lang w:eastAsia="sk-SK"/>
              </w:rPr>
            </w:pPr>
            <w:r>
              <w:rPr>
                <w:color w:val="BFBFBF"/>
                <w:sz w:val="20"/>
              </w:rPr>
              <w:t>45,8</w:t>
            </w:r>
          </w:p>
        </w:tc>
      </w:tr>
      <w:tr w:rsidR="00C2247E" w:rsidRPr="00A42768" w14:paraId="34EF6E31" w14:textId="77777777" w:rsidTr="00140186">
        <w:trPr>
          <w:trHeight w:val="255"/>
        </w:trPr>
        <w:tc>
          <w:tcPr>
            <w:tcW w:w="3969" w:type="dxa"/>
            <w:tcBorders>
              <w:top w:val="nil"/>
              <w:left w:val="nil"/>
              <w:right w:val="nil"/>
            </w:tcBorders>
            <w:shd w:val="clear" w:color="000000" w:fill="FFFFFF"/>
            <w:noWrap/>
            <w:vAlign w:val="bottom"/>
            <w:hideMark/>
          </w:tcPr>
          <w:p w14:paraId="089F4CC1" w14:textId="4EE47B06" w:rsidR="00C2247E" w:rsidRPr="00A42768" w:rsidRDefault="00C2247E" w:rsidP="00C2247E">
            <w:pPr>
              <w:spacing w:after="0" w:line="240" w:lineRule="auto"/>
              <w:ind w:left="214"/>
              <w:jc w:val="left"/>
              <w:rPr>
                <w:rFonts w:eastAsia="Times New Roman" w:cs="Times New Roman"/>
                <w:color w:val="000000"/>
                <w:sz w:val="20"/>
                <w:lang w:eastAsia="sk-SK"/>
              </w:rPr>
            </w:pPr>
            <w:r>
              <w:rPr>
                <w:rFonts w:eastAsia="Times New Roman" w:cs="Times New Roman"/>
                <w:color w:val="000000"/>
                <w:sz w:val="20"/>
                <w:lang w:eastAsia="sk-SK"/>
              </w:rPr>
              <w:t>z toho ohro</w:t>
            </w:r>
            <w:r w:rsidRPr="00A42768">
              <w:rPr>
                <w:rFonts w:eastAsia="Times New Roman" w:cs="Times New Roman"/>
                <w:color w:val="000000"/>
                <w:sz w:val="20"/>
                <w:lang w:eastAsia="sk-SK"/>
              </w:rPr>
              <w:t>zení chudobou alebo soc. vylúčením</w:t>
            </w:r>
          </w:p>
        </w:tc>
        <w:tc>
          <w:tcPr>
            <w:tcW w:w="1134" w:type="dxa"/>
            <w:tcBorders>
              <w:top w:val="nil"/>
              <w:left w:val="nil"/>
              <w:right w:val="nil"/>
            </w:tcBorders>
            <w:shd w:val="clear" w:color="000000" w:fill="FFFFFF"/>
            <w:noWrap/>
            <w:vAlign w:val="bottom"/>
            <w:hideMark/>
          </w:tcPr>
          <w:p w14:paraId="62502E1A" w14:textId="77777777" w:rsidR="00C2247E" w:rsidRPr="00A42768" w:rsidRDefault="00C2247E" w:rsidP="00C2247E">
            <w:pPr>
              <w:spacing w:after="0" w:line="240" w:lineRule="auto"/>
              <w:jc w:val="left"/>
              <w:rPr>
                <w:rFonts w:eastAsia="Times New Roman" w:cs="Times New Roman"/>
                <w:color w:val="000000"/>
                <w:sz w:val="20"/>
                <w:lang w:eastAsia="sk-SK"/>
              </w:rPr>
            </w:pPr>
            <w:r w:rsidRPr="00A42768">
              <w:rPr>
                <w:rFonts w:eastAsia="Times New Roman" w:cs="Times New Roman"/>
                <w:color w:val="000000"/>
                <w:sz w:val="20"/>
                <w:lang w:eastAsia="sk-SK"/>
              </w:rPr>
              <w:t> </w:t>
            </w:r>
          </w:p>
        </w:tc>
        <w:tc>
          <w:tcPr>
            <w:tcW w:w="793" w:type="dxa"/>
            <w:tcBorders>
              <w:top w:val="nil"/>
              <w:left w:val="nil"/>
              <w:right w:val="nil"/>
            </w:tcBorders>
            <w:shd w:val="clear" w:color="000000" w:fill="FFFFFF"/>
            <w:noWrap/>
            <w:vAlign w:val="bottom"/>
            <w:hideMark/>
          </w:tcPr>
          <w:p w14:paraId="390578CF" w14:textId="08996768" w:rsidR="00C2247E" w:rsidRPr="00D275D9" w:rsidRDefault="00C2247E" w:rsidP="00C2247E">
            <w:pPr>
              <w:spacing w:after="0" w:line="240" w:lineRule="auto"/>
              <w:jc w:val="right"/>
              <w:rPr>
                <w:rFonts w:eastAsia="Times New Roman" w:cs="Times New Roman"/>
                <w:sz w:val="20"/>
                <w:lang w:eastAsia="sk-SK"/>
              </w:rPr>
            </w:pPr>
            <w:r>
              <w:rPr>
                <w:sz w:val="20"/>
              </w:rPr>
              <w:t>12,4</w:t>
            </w:r>
          </w:p>
        </w:tc>
        <w:tc>
          <w:tcPr>
            <w:tcW w:w="794" w:type="dxa"/>
            <w:tcBorders>
              <w:top w:val="nil"/>
              <w:left w:val="nil"/>
              <w:bottom w:val="nil"/>
              <w:right w:val="nil"/>
            </w:tcBorders>
            <w:shd w:val="clear" w:color="000000" w:fill="FFFFFF"/>
            <w:noWrap/>
            <w:vAlign w:val="bottom"/>
            <w:hideMark/>
          </w:tcPr>
          <w:p w14:paraId="21F85D1D" w14:textId="0020C5A5" w:rsidR="00C2247E" w:rsidRPr="00D275D9" w:rsidRDefault="00C2247E" w:rsidP="00C2247E">
            <w:pPr>
              <w:spacing w:after="0" w:line="240" w:lineRule="auto"/>
              <w:jc w:val="right"/>
              <w:rPr>
                <w:rFonts w:eastAsia="Times New Roman" w:cs="Times New Roman"/>
                <w:color w:val="000000"/>
                <w:sz w:val="20"/>
                <w:lang w:eastAsia="sk-SK"/>
              </w:rPr>
            </w:pPr>
            <w:r>
              <w:rPr>
                <w:sz w:val="20"/>
              </w:rPr>
              <w:t>12,2</w:t>
            </w:r>
          </w:p>
        </w:tc>
        <w:tc>
          <w:tcPr>
            <w:tcW w:w="794" w:type="dxa"/>
            <w:tcBorders>
              <w:top w:val="nil"/>
              <w:left w:val="nil"/>
              <w:bottom w:val="nil"/>
              <w:right w:val="nil"/>
            </w:tcBorders>
            <w:shd w:val="clear" w:color="000000" w:fill="FFFFFF"/>
            <w:noWrap/>
            <w:vAlign w:val="bottom"/>
            <w:hideMark/>
          </w:tcPr>
          <w:p w14:paraId="5018F90D" w14:textId="044AFBA6" w:rsidR="00C2247E" w:rsidRPr="00D275D9" w:rsidRDefault="00C2247E" w:rsidP="00C2247E">
            <w:pPr>
              <w:spacing w:after="0" w:line="240" w:lineRule="auto"/>
              <w:jc w:val="right"/>
              <w:rPr>
                <w:rFonts w:eastAsia="Times New Roman" w:cs="Times New Roman"/>
                <w:color w:val="000000"/>
                <w:sz w:val="20"/>
                <w:lang w:eastAsia="sk-SK"/>
              </w:rPr>
            </w:pPr>
            <w:r>
              <w:rPr>
                <w:sz w:val="20"/>
              </w:rPr>
              <w:t>12,6</w:t>
            </w:r>
          </w:p>
        </w:tc>
        <w:tc>
          <w:tcPr>
            <w:tcW w:w="794" w:type="dxa"/>
            <w:tcBorders>
              <w:top w:val="nil"/>
              <w:left w:val="nil"/>
              <w:bottom w:val="nil"/>
              <w:right w:val="nil"/>
            </w:tcBorders>
            <w:shd w:val="clear" w:color="000000" w:fill="FFFFFF"/>
            <w:noWrap/>
            <w:vAlign w:val="bottom"/>
            <w:hideMark/>
          </w:tcPr>
          <w:p w14:paraId="6917478E" w14:textId="4BA4C554" w:rsidR="00C2247E" w:rsidRPr="00D275D9" w:rsidRDefault="00C2247E" w:rsidP="00C2247E">
            <w:pPr>
              <w:spacing w:after="0" w:line="240" w:lineRule="auto"/>
              <w:jc w:val="right"/>
              <w:rPr>
                <w:rFonts w:eastAsia="Times New Roman" w:cs="Times New Roman"/>
                <w:color w:val="000000"/>
                <w:sz w:val="20"/>
                <w:lang w:eastAsia="sk-SK"/>
              </w:rPr>
            </w:pPr>
            <w:r>
              <w:rPr>
                <w:sz w:val="20"/>
              </w:rPr>
              <w:t>12,6</w:t>
            </w:r>
          </w:p>
        </w:tc>
        <w:tc>
          <w:tcPr>
            <w:tcW w:w="794" w:type="dxa"/>
            <w:tcBorders>
              <w:top w:val="nil"/>
              <w:left w:val="nil"/>
              <w:bottom w:val="nil"/>
              <w:right w:val="nil"/>
            </w:tcBorders>
            <w:shd w:val="clear" w:color="000000" w:fill="FFFFFF"/>
            <w:noWrap/>
            <w:vAlign w:val="bottom"/>
            <w:hideMark/>
          </w:tcPr>
          <w:p w14:paraId="3D20F8A4" w14:textId="0B330E4F" w:rsidR="00C2247E" w:rsidRPr="00D275D9" w:rsidRDefault="00C2247E" w:rsidP="00C2247E">
            <w:pPr>
              <w:spacing w:after="0" w:line="240" w:lineRule="auto"/>
              <w:jc w:val="right"/>
              <w:rPr>
                <w:rFonts w:eastAsia="Times New Roman" w:cs="Times New Roman"/>
                <w:color w:val="000000"/>
                <w:sz w:val="20"/>
                <w:lang w:eastAsia="sk-SK"/>
              </w:rPr>
            </w:pPr>
            <w:r>
              <w:rPr>
                <w:sz w:val="20"/>
              </w:rPr>
              <w:t>12,9</w:t>
            </w:r>
          </w:p>
        </w:tc>
      </w:tr>
      <w:tr w:rsidR="00C2247E" w:rsidRPr="00A42768" w14:paraId="0A92825F" w14:textId="77777777" w:rsidTr="00140186">
        <w:trPr>
          <w:trHeight w:val="255"/>
        </w:trPr>
        <w:tc>
          <w:tcPr>
            <w:tcW w:w="3969" w:type="dxa"/>
            <w:tcBorders>
              <w:top w:val="nil"/>
              <w:left w:val="nil"/>
              <w:bottom w:val="nil"/>
              <w:right w:val="nil"/>
            </w:tcBorders>
            <w:shd w:val="clear" w:color="000000" w:fill="auto"/>
            <w:noWrap/>
            <w:vAlign w:val="bottom"/>
            <w:hideMark/>
          </w:tcPr>
          <w:p w14:paraId="779D1DDB" w14:textId="5AD06366" w:rsidR="00C2247E" w:rsidRPr="00D3189B" w:rsidRDefault="00C2247E" w:rsidP="00C2247E">
            <w:pPr>
              <w:spacing w:after="0" w:line="240" w:lineRule="auto"/>
              <w:jc w:val="left"/>
              <w:rPr>
                <w:rFonts w:eastAsia="Times New Roman" w:cs="Times New Roman"/>
                <w:sz w:val="20"/>
                <w:lang w:eastAsia="sk-SK"/>
              </w:rPr>
            </w:pPr>
            <w:r w:rsidRPr="00D3189B">
              <w:rPr>
                <w:rFonts w:eastAsia="Times New Roman" w:cs="Times New Roman"/>
                <w:sz w:val="20"/>
                <w:lang w:eastAsia="sk-SK"/>
              </w:rPr>
              <w:t>Príspevok na starostlivosť o dieťa</w:t>
            </w:r>
            <w:r>
              <w:rPr>
                <w:rStyle w:val="Odkaznapoznmkupodiarou"/>
                <w:rFonts w:eastAsia="Times New Roman" w:cs="Times New Roman"/>
                <w:sz w:val="20"/>
                <w:lang w:eastAsia="sk-SK"/>
              </w:rPr>
              <w:footnoteReference w:id="27"/>
            </w:r>
          </w:p>
        </w:tc>
        <w:tc>
          <w:tcPr>
            <w:tcW w:w="1134" w:type="dxa"/>
            <w:tcBorders>
              <w:top w:val="nil"/>
              <w:left w:val="nil"/>
              <w:bottom w:val="nil"/>
              <w:right w:val="nil"/>
            </w:tcBorders>
            <w:shd w:val="clear" w:color="000000" w:fill="auto"/>
            <w:noWrap/>
            <w:vAlign w:val="bottom"/>
            <w:hideMark/>
          </w:tcPr>
          <w:p w14:paraId="618F597C" w14:textId="77777777" w:rsidR="00C2247E" w:rsidRPr="00D3189B" w:rsidRDefault="00C2247E" w:rsidP="00C2247E">
            <w:pPr>
              <w:spacing w:after="0" w:line="240" w:lineRule="auto"/>
              <w:jc w:val="left"/>
              <w:rPr>
                <w:rFonts w:eastAsia="Times New Roman" w:cs="Times New Roman"/>
                <w:sz w:val="20"/>
                <w:lang w:eastAsia="sk-SK"/>
              </w:rPr>
            </w:pPr>
            <w:r w:rsidRPr="00D3189B">
              <w:rPr>
                <w:rFonts w:eastAsia="Times New Roman" w:cs="Times New Roman"/>
                <w:sz w:val="20"/>
                <w:lang w:eastAsia="sk-SK"/>
              </w:rPr>
              <w:t>MPSVR</w:t>
            </w:r>
          </w:p>
        </w:tc>
        <w:tc>
          <w:tcPr>
            <w:tcW w:w="793" w:type="dxa"/>
            <w:tcBorders>
              <w:top w:val="nil"/>
              <w:left w:val="nil"/>
              <w:bottom w:val="nil"/>
              <w:right w:val="nil"/>
            </w:tcBorders>
            <w:shd w:val="clear" w:color="000000" w:fill="auto"/>
            <w:noWrap/>
            <w:vAlign w:val="bottom"/>
            <w:hideMark/>
          </w:tcPr>
          <w:p w14:paraId="5368DEDC" w14:textId="40B8916A" w:rsidR="00C2247E" w:rsidRPr="00D275D9" w:rsidRDefault="00C2247E" w:rsidP="00C2247E">
            <w:pPr>
              <w:spacing w:after="0" w:line="240" w:lineRule="auto"/>
              <w:jc w:val="right"/>
              <w:rPr>
                <w:rFonts w:eastAsia="Times New Roman" w:cs="Times New Roman"/>
                <w:sz w:val="20"/>
                <w:lang w:eastAsia="sk-SK"/>
              </w:rPr>
            </w:pPr>
            <w:r>
              <w:rPr>
                <w:color w:val="BFBFBF"/>
                <w:sz w:val="20"/>
              </w:rPr>
              <w:t>7,6</w:t>
            </w:r>
          </w:p>
        </w:tc>
        <w:tc>
          <w:tcPr>
            <w:tcW w:w="794" w:type="dxa"/>
            <w:tcBorders>
              <w:top w:val="nil"/>
              <w:left w:val="nil"/>
              <w:bottom w:val="nil"/>
              <w:right w:val="nil"/>
            </w:tcBorders>
            <w:shd w:val="clear" w:color="000000" w:fill="FFFFFF"/>
            <w:noWrap/>
            <w:vAlign w:val="bottom"/>
            <w:hideMark/>
          </w:tcPr>
          <w:p w14:paraId="793A7E94" w14:textId="03AF6980" w:rsidR="00C2247E" w:rsidRPr="00D275D9" w:rsidRDefault="00C2247E" w:rsidP="00C2247E">
            <w:pPr>
              <w:spacing w:after="0" w:line="240" w:lineRule="auto"/>
              <w:jc w:val="right"/>
              <w:rPr>
                <w:rFonts w:eastAsia="Times New Roman" w:cs="Times New Roman"/>
                <w:color w:val="000000"/>
                <w:sz w:val="20"/>
                <w:lang w:eastAsia="sk-SK"/>
              </w:rPr>
            </w:pPr>
            <w:r>
              <w:rPr>
                <w:color w:val="BFBFBF"/>
                <w:sz w:val="20"/>
              </w:rPr>
              <w:t>2,8</w:t>
            </w:r>
          </w:p>
        </w:tc>
        <w:tc>
          <w:tcPr>
            <w:tcW w:w="794" w:type="dxa"/>
            <w:tcBorders>
              <w:top w:val="nil"/>
              <w:left w:val="nil"/>
              <w:bottom w:val="nil"/>
              <w:right w:val="nil"/>
            </w:tcBorders>
            <w:shd w:val="clear" w:color="000000" w:fill="FFFFFF"/>
            <w:noWrap/>
            <w:vAlign w:val="bottom"/>
            <w:hideMark/>
          </w:tcPr>
          <w:p w14:paraId="5416D9BE" w14:textId="7B6F0CBE" w:rsidR="00C2247E" w:rsidRPr="00D275D9" w:rsidRDefault="00C2247E" w:rsidP="00C2247E">
            <w:pPr>
              <w:spacing w:after="0" w:line="240" w:lineRule="auto"/>
              <w:jc w:val="right"/>
              <w:rPr>
                <w:rFonts w:eastAsia="Times New Roman" w:cs="Times New Roman"/>
                <w:color w:val="000000"/>
                <w:sz w:val="20"/>
                <w:lang w:eastAsia="sk-SK"/>
              </w:rPr>
            </w:pPr>
            <w:r>
              <w:rPr>
                <w:color w:val="BFBFBF"/>
                <w:sz w:val="20"/>
              </w:rPr>
              <w:t>4,8</w:t>
            </w:r>
          </w:p>
        </w:tc>
        <w:tc>
          <w:tcPr>
            <w:tcW w:w="794" w:type="dxa"/>
            <w:tcBorders>
              <w:top w:val="nil"/>
              <w:left w:val="nil"/>
              <w:bottom w:val="nil"/>
              <w:right w:val="nil"/>
            </w:tcBorders>
            <w:shd w:val="clear" w:color="000000" w:fill="FFFFFF"/>
            <w:noWrap/>
            <w:vAlign w:val="bottom"/>
            <w:hideMark/>
          </w:tcPr>
          <w:p w14:paraId="0BAC301C" w14:textId="6E48CC88" w:rsidR="00C2247E" w:rsidRPr="00D275D9" w:rsidRDefault="00C2247E" w:rsidP="00C2247E">
            <w:pPr>
              <w:spacing w:after="0" w:line="240" w:lineRule="auto"/>
              <w:jc w:val="right"/>
              <w:rPr>
                <w:rFonts w:eastAsia="Times New Roman" w:cs="Times New Roman"/>
                <w:color w:val="000000"/>
                <w:sz w:val="20"/>
                <w:lang w:eastAsia="sk-SK"/>
              </w:rPr>
            </w:pPr>
            <w:r>
              <w:rPr>
                <w:color w:val="BFBFBF"/>
                <w:sz w:val="20"/>
              </w:rPr>
              <w:t>4,8</w:t>
            </w:r>
          </w:p>
        </w:tc>
        <w:tc>
          <w:tcPr>
            <w:tcW w:w="794" w:type="dxa"/>
            <w:tcBorders>
              <w:top w:val="nil"/>
              <w:left w:val="nil"/>
              <w:bottom w:val="nil"/>
              <w:right w:val="nil"/>
            </w:tcBorders>
            <w:shd w:val="clear" w:color="000000" w:fill="FFFFFF"/>
            <w:noWrap/>
            <w:vAlign w:val="bottom"/>
            <w:hideMark/>
          </w:tcPr>
          <w:p w14:paraId="67BE4CBB" w14:textId="79DB72D1" w:rsidR="00C2247E" w:rsidRPr="00D275D9" w:rsidRDefault="00C2247E" w:rsidP="00C2247E">
            <w:pPr>
              <w:spacing w:after="0" w:line="240" w:lineRule="auto"/>
              <w:jc w:val="right"/>
              <w:rPr>
                <w:rFonts w:eastAsia="Times New Roman" w:cs="Times New Roman"/>
                <w:color w:val="000000"/>
                <w:sz w:val="20"/>
                <w:lang w:eastAsia="sk-SK"/>
              </w:rPr>
            </w:pPr>
            <w:r>
              <w:rPr>
                <w:color w:val="BFBFBF"/>
                <w:sz w:val="20"/>
              </w:rPr>
              <w:t>4,8</w:t>
            </w:r>
          </w:p>
        </w:tc>
      </w:tr>
      <w:tr w:rsidR="00C2247E" w:rsidRPr="00A42768" w14:paraId="0E5EAA29" w14:textId="77777777" w:rsidTr="00140186">
        <w:trPr>
          <w:trHeight w:val="255"/>
        </w:trPr>
        <w:tc>
          <w:tcPr>
            <w:tcW w:w="3969" w:type="dxa"/>
            <w:tcBorders>
              <w:top w:val="nil"/>
              <w:left w:val="nil"/>
              <w:bottom w:val="nil"/>
              <w:right w:val="nil"/>
            </w:tcBorders>
            <w:shd w:val="clear" w:color="000000" w:fill="auto"/>
            <w:noWrap/>
            <w:vAlign w:val="bottom"/>
            <w:hideMark/>
          </w:tcPr>
          <w:p w14:paraId="31A02139" w14:textId="32005938" w:rsidR="00C2247E" w:rsidRPr="00D3189B" w:rsidRDefault="00C2247E" w:rsidP="00C2247E">
            <w:pPr>
              <w:spacing w:after="0" w:line="240" w:lineRule="auto"/>
              <w:ind w:left="214"/>
              <w:jc w:val="left"/>
              <w:rPr>
                <w:rFonts w:eastAsia="Times New Roman" w:cs="Times New Roman"/>
                <w:sz w:val="20"/>
                <w:lang w:eastAsia="sk-SK"/>
              </w:rPr>
            </w:pPr>
            <w:r w:rsidRPr="00D3189B">
              <w:rPr>
                <w:rFonts w:eastAsia="Times New Roman" w:cs="Times New Roman"/>
                <w:sz w:val="20"/>
                <w:lang w:eastAsia="sk-SK"/>
              </w:rPr>
              <w:t>z toho ohrození chudobou alebo soc. vylúčením</w:t>
            </w:r>
          </w:p>
        </w:tc>
        <w:tc>
          <w:tcPr>
            <w:tcW w:w="1134" w:type="dxa"/>
            <w:tcBorders>
              <w:top w:val="nil"/>
              <w:left w:val="nil"/>
              <w:bottom w:val="nil"/>
              <w:right w:val="nil"/>
            </w:tcBorders>
            <w:shd w:val="clear" w:color="000000" w:fill="auto"/>
            <w:noWrap/>
            <w:vAlign w:val="bottom"/>
            <w:hideMark/>
          </w:tcPr>
          <w:p w14:paraId="67274FB6" w14:textId="77777777" w:rsidR="00C2247E" w:rsidRPr="00D3189B" w:rsidRDefault="00C2247E" w:rsidP="00C2247E">
            <w:pPr>
              <w:spacing w:after="0" w:line="240" w:lineRule="auto"/>
              <w:jc w:val="left"/>
              <w:rPr>
                <w:rFonts w:eastAsia="Times New Roman" w:cs="Times New Roman"/>
                <w:sz w:val="20"/>
                <w:lang w:eastAsia="sk-SK"/>
              </w:rPr>
            </w:pPr>
            <w:r w:rsidRPr="00D3189B">
              <w:rPr>
                <w:rFonts w:eastAsia="Times New Roman" w:cs="Times New Roman"/>
                <w:sz w:val="20"/>
                <w:lang w:eastAsia="sk-SK"/>
              </w:rPr>
              <w:t> </w:t>
            </w:r>
          </w:p>
        </w:tc>
        <w:tc>
          <w:tcPr>
            <w:tcW w:w="793" w:type="dxa"/>
            <w:tcBorders>
              <w:top w:val="nil"/>
              <w:left w:val="nil"/>
              <w:bottom w:val="nil"/>
              <w:right w:val="nil"/>
            </w:tcBorders>
            <w:shd w:val="clear" w:color="000000" w:fill="auto"/>
            <w:noWrap/>
            <w:vAlign w:val="bottom"/>
            <w:hideMark/>
          </w:tcPr>
          <w:p w14:paraId="6A29E84F" w14:textId="72D0AE0A" w:rsidR="00C2247E" w:rsidRPr="00D275D9" w:rsidRDefault="00C2247E" w:rsidP="00C2247E">
            <w:pPr>
              <w:spacing w:after="0" w:line="240" w:lineRule="auto"/>
              <w:jc w:val="right"/>
              <w:rPr>
                <w:rFonts w:eastAsia="Times New Roman" w:cs="Times New Roman"/>
                <w:sz w:val="20"/>
                <w:lang w:eastAsia="sk-SK"/>
              </w:rPr>
            </w:pPr>
            <w:r>
              <w:rPr>
                <w:sz w:val="20"/>
              </w:rPr>
              <w:t>0,6</w:t>
            </w:r>
          </w:p>
        </w:tc>
        <w:tc>
          <w:tcPr>
            <w:tcW w:w="794" w:type="dxa"/>
            <w:tcBorders>
              <w:top w:val="nil"/>
              <w:left w:val="nil"/>
              <w:bottom w:val="nil"/>
              <w:right w:val="nil"/>
            </w:tcBorders>
            <w:shd w:val="clear" w:color="000000" w:fill="FFFFFF"/>
            <w:noWrap/>
            <w:vAlign w:val="bottom"/>
            <w:hideMark/>
          </w:tcPr>
          <w:p w14:paraId="64C20DD1" w14:textId="4AB1A80C" w:rsidR="00C2247E" w:rsidRPr="00D275D9" w:rsidRDefault="00C2247E" w:rsidP="00C2247E">
            <w:pPr>
              <w:spacing w:after="0" w:line="240" w:lineRule="auto"/>
              <w:jc w:val="right"/>
              <w:rPr>
                <w:rFonts w:eastAsia="Times New Roman" w:cs="Times New Roman"/>
                <w:color w:val="000000"/>
                <w:sz w:val="20"/>
                <w:lang w:eastAsia="sk-SK"/>
              </w:rPr>
            </w:pPr>
            <w:r>
              <w:rPr>
                <w:sz w:val="20"/>
              </w:rPr>
              <w:t>0,2</w:t>
            </w:r>
          </w:p>
        </w:tc>
        <w:tc>
          <w:tcPr>
            <w:tcW w:w="794" w:type="dxa"/>
            <w:tcBorders>
              <w:top w:val="nil"/>
              <w:left w:val="nil"/>
              <w:bottom w:val="nil"/>
              <w:right w:val="nil"/>
            </w:tcBorders>
            <w:shd w:val="clear" w:color="000000" w:fill="FFFFFF"/>
            <w:noWrap/>
            <w:vAlign w:val="bottom"/>
            <w:hideMark/>
          </w:tcPr>
          <w:p w14:paraId="0398F315" w14:textId="1C88BC4A" w:rsidR="00C2247E" w:rsidRPr="00D275D9" w:rsidRDefault="00C2247E" w:rsidP="00C2247E">
            <w:pPr>
              <w:spacing w:after="0" w:line="240" w:lineRule="auto"/>
              <w:jc w:val="right"/>
              <w:rPr>
                <w:rFonts w:eastAsia="Times New Roman" w:cs="Times New Roman"/>
                <w:color w:val="000000"/>
                <w:sz w:val="20"/>
                <w:lang w:eastAsia="sk-SK"/>
              </w:rPr>
            </w:pPr>
            <w:r>
              <w:rPr>
                <w:sz w:val="20"/>
              </w:rPr>
              <w:t>0,4</w:t>
            </w:r>
          </w:p>
        </w:tc>
        <w:tc>
          <w:tcPr>
            <w:tcW w:w="794" w:type="dxa"/>
            <w:tcBorders>
              <w:top w:val="nil"/>
              <w:left w:val="nil"/>
              <w:bottom w:val="nil"/>
              <w:right w:val="nil"/>
            </w:tcBorders>
            <w:shd w:val="clear" w:color="000000" w:fill="FFFFFF"/>
            <w:noWrap/>
            <w:vAlign w:val="bottom"/>
            <w:hideMark/>
          </w:tcPr>
          <w:p w14:paraId="1DB20C2D" w14:textId="44AC13E3" w:rsidR="00C2247E" w:rsidRPr="00D275D9" w:rsidRDefault="00C2247E" w:rsidP="00C2247E">
            <w:pPr>
              <w:spacing w:after="0" w:line="240" w:lineRule="auto"/>
              <w:jc w:val="right"/>
              <w:rPr>
                <w:rFonts w:eastAsia="Times New Roman" w:cs="Times New Roman"/>
                <w:color w:val="000000"/>
                <w:sz w:val="20"/>
                <w:lang w:eastAsia="sk-SK"/>
              </w:rPr>
            </w:pPr>
            <w:r>
              <w:rPr>
                <w:sz w:val="20"/>
              </w:rPr>
              <w:t>0,4</w:t>
            </w:r>
          </w:p>
        </w:tc>
        <w:tc>
          <w:tcPr>
            <w:tcW w:w="794" w:type="dxa"/>
            <w:tcBorders>
              <w:top w:val="nil"/>
              <w:left w:val="nil"/>
              <w:bottom w:val="nil"/>
              <w:right w:val="nil"/>
            </w:tcBorders>
            <w:shd w:val="clear" w:color="000000" w:fill="FFFFFF"/>
            <w:noWrap/>
            <w:vAlign w:val="bottom"/>
            <w:hideMark/>
          </w:tcPr>
          <w:p w14:paraId="5289DFE1" w14:textId="1883BD5D" w:rsidR="00C2247E" w:rsidRPr="00D275D9" w:rsidRDefault="00C2247E" w:rsidP="00C2247E">
            <w:pPr>
              <w:spacing w:after="0" w:line="240" w:lineRule="auto"/>
              <w:jc w:val="right"/>
              <w:rPr>
                <w:rFonts w:eastAsia="Times New Roman" w:cs="Times New Roman"/>
                <w:color w:val="000000"/>
                <w:sz w:val="20"/>
                <w:lang w:eastAsia="sk-SK"/>
              </w:rPr>
            </w:pPr>
            <w:r>
              <w:rPr>
                <w:sz w:val="20"/>
              </w:rPr>
              <w:t>0,4</w:t>
            </w:r>
          </w:p>
        </w:tc>
      </w:tr>
      <w:tr w:rsidR="00C2247E" w:rsidRPr="00A42768" w14:paraId="4B673985" w14:textId="77777777" w:rsidTr="00140186">
        <w:trPr>
          <w:trHeight w:val="255"/>
        </w:trPr>
        <w:tc>
          <w:tcPr>
            <w:tcW w:w="3969" w:type="dxa"/>
            <w:tcBorders>
              <w:top w:val="nil"/>
              <w:left w:val="nil"/>
              <w:bottom w:val="nil"/>
              <w:right w:val="nil"/>
            </w:tcBorders>
            <w:shd w:val="clear" w:color="000000" w:fill="FFFFFF"/>
            <w:noWrap/>
            <w:vAlign w:val="bottom"/>
            <w:hideMark/>
          </w:tcPr>
          <w:p w14:paraId="7726C9DB" w14:textId="77777777" w:rsidR="00C2247E" w:rsidRPr="00A42768" w:rsidRDefault="00C2247E" w:rsidP="00C2247E">
            <w:pPr>
              <w:spacing w:after="0" w:line="240" w:lineRule="auto"/>
              <w:jc w:val="left"/>
              <w:rPr>
                <w:rFonts w:eastAsia="Times New Roman" w:cs="Times New Roman"/>
                <w:color w:val="000000"/>
                <w:sz w:val="20"/>
                <w:lang w:eastAsia="sk-SK"/>
              </w:rPr>
            </w:pPr>
            <w:r w:rsidRPr="00A42768">
              <w:rPr>
                <w:rFonts w:eastAsia="Times New Roman" w:cs="Times New Roman"/>
                <w:color w:val="000000"/>
                <w:sz w:val="20"/>
                <w:lang w:eastAsia="sk-SK"/>
              </w:rPr>
              <w:t>Ostatné príspevky na podporu rodiny</w:t>
            </w:r>
          </w:p>
        </w:tc>
        <w:tc>
          <w:tcPr>
            <w:tcW w:w="1134" w:type="dxa"/>
            <w:tcBorders>
              <w:top w:val="nil"/>
              <w:left w:val="nil"/>
              <w:bottom w:val="nil"/>
              <w:right w:val="nil"/>
            </w:tcBorders>
            <w:shd w:val="clear" w:color="000000" w:fill="FFFFFF"/>
            <w:noWrap/>
            <w:vAlign w:val="bottom"/>
            <w:hideMark/>
          </w:tcPr>
          <w:p w14:paraId="261AD94F" w14:textId="77777777" w:rsidR="00C2247E" w:rsidRPr="00A42768" w:rsidRDefault="00C2247E" w:rsidP="00C2247E">
            <w:pPr>
              <w:spacing w:after="0" w:line="240" w:lineRule="auto"/>
              <w:jc w:val="left"/>
              <w:rPr>
                <w:rFonts w:eastAsia="Times New Roman" w:cs="Times New Roman"/>
                <w:color w:val="000000"/>
                <w:sz w:val="20"/>
                <w:lang w:eastAsia="sk-SK"/>
              </w:rPr>
            </w:pPr>
            <w:r w:rsidRPr="00A42768">
              <w:rPr>
                <w:rFonts w:eastAsia="Times New Roman" w:cs="Times New Roman"/>
                <w:color w:val="000000"/>
                <w:sz w:val="20"/>
                <w:lang w:eastAsia="sk-SK"/>
              </w:rPr>
              <w:t>MPSVR</w:t>
            </w:r>
          </w:p>
        </w:tc>
        <w:tc>
          <w:tcPr>
            <w:tcW w:w="793" w:type="dxa"/>
            <w:tcBorders>
              <w:top w:val="nil"/>
              <w:left w:val="nil"/>
              <w:bottom w:val="nil"/>
              <w:right w:val="nil"/>
            </w:tcBorders>
            <w:shd w:val="clear" w:color="000000" w:fill="FFFFFF"/>
            <w:noWrap/>
            <w:vAlign w:val="bottom"/>
            <w:hideMark/>
          </w:tcPr>
          <w:p w14:paraId="6F0F8430" w14:textId="110460B8" w:rsidR="00C2247E" w:rsidRPr="00D275D9" w:rsidRDefault="00C2247E" w:rsidP="00C2247E">
            <w:pPr>
              <w:spacing w:after="0" w:line="240" w:lineRule="auto"/>
              <w:jc w:val="right"/>
              <w:rPr>
                <w:rFonts w:eastAsia="Times New Roman" w:cs="Times New Roman"/>
                <w:sz w:val="20"/>
                <w:lang w:eastAsia="sk-SK"/>
              </w:rPr>
            </w:pPr>
            <w:r>
              <w:rPr>
                <w:color w:val="BFBFBF"/>
                <w:sz w:val="20"/>
              </w:rPr>
              <w:t>4,1</w:t>
            </w:r>
          </w:p>
        </w:tc>
        <w:tc>
          <w:tcPr>
            <w:tcW w:w="794" w:type="dxa"/>
            <w:tcBorders>
              <w:top w:val="nil"/>
              <w:left w:val="nil"/>
              <w:bottom w:val="nil"/>
              <w:right w:val="nil"/>
            </w:tcBorders>
            <w:shd w:val="clear" w:color="000000" w:fill="FFFFFF"/>
            <w:noWrap/>
            <w:vAlign w:val="bottom"/>
            <w:hideMark/>
          </w:tcPr>
          <w:p w14:paraId="414F1322" w14:textId="6FFF34B4" w:rsidR="00C2247E" w:rsidRPr="00D275D9" w:rsidRDefault="00C2247E" w:rsidP="00C2247E">
            <w:pPr>
              <w:spacing w:after="0" w:line="240" w:lineRule="auto"/>
              <w:jc w:val="right"/>
              <w:rPr>
                <w:rFonts w:eastAsia="Times New Roman" w:cs="Times New Roman"/>
                <w:color w:val="000000"/>
                <w:sz w:val="20"/>
                <w:lang w:eastAsia="sk-SK"/>
              </w:rPr>
            </w:pPr>
            <w:r>
              <w:rPr>
                <w:color w:val="BFBFBF"/>
                <w:sz w:val="20"/>
              </w:rPr>
              <w:t>4,1</w:t>
            </w:r>
          </w:p>
        </w:tc>
        <w:tc>
          <w:tcPr>
            <w:tcW w:w="794" w:type="dxa"/>
            <w:tcBorders>
              <w:top w:val="nil"/>
              <w:left w:val="nil"/>
              <w:bottom w:val="nil"/>
              <w:right w:val="nil"/>
            </w:tcBorders>
            <w:shd w:val="clear" w:color="000000" w:fill="FFFFFF"/>
            <w:noWrap/>
            <w:vAlign w:val="bottom"/>
            <w:hideMark/>
          </w:tcPr>
          <w:p w14:paraId="119DD632" w14:textId="2C95D0A2" w:rsidR="00C2247E" w:rsidRPr="00D275D9" w:rsidRDefault="00C2247E" w:rsidP="00C2247E">
            <w:pPr>
              <w:spacing w:after="0" w:line="240" w:lineRule="auto"/>
              <w:jc w:val="right"/>
              <w:rPr>
                <w:rFonts w:eastAsia="Times New Roman" w:cs="Times New Roman"/>
                <w:color w:val="000000"/>
                <w:sz w:val="20"/>
                <w:lang w:eastAsia="sk-SK"/>
              </w:rPr>
            </w:pPr>
            <w:r>
              <w:rPr>
                <w:color w:val="BFBFBF"/>
                <w:sz w:val="20"/>
              </w:rPr>
              <w:t>4,0</w:t>
            </w:r>
          </w:p>
        </w:tc>
        <w:tc>
          <w:tcPr>
            <w:tcW w:w="794" w:type="dxa"/>
            <w:tcBorders>
              <w:top w:val="nil"/>
              <w:left w:val="nil"/>
              <w:bottom w:val="nil"/>
              <w:right w:val="nil"/>
            </w:tcBorders>
            <w:shd w:val="clear" w:color="000000" w:fill="FFFFFF"/>
            <w:noWrap/>
            <w:vAlign w:val="bottom"/>
            <w:hideMark/>
          </w:tcPr>
          <w:p w14:paraId="6F2F03A5" w14:textId="0A71986B" w:rsidR="00C2247E" w:rsidRPr="00D275D9" w:rsidRDefault="00C2247E" w:rsidP="00C2247E">
            <w:pPr>
              <w:spacing w:after="0" w:line="240" w:lineRule="auto"/>
              <w:jc w:val="right"/>
              <w:rPr>
                <w:rFonts w:eastAsia="Times New Roman" w:cs="Times New Roman"/>
                <w:color w:val="000000"/>
                <w:sz w:val="20"/>
                <w:lang w:eastAsia="sk-SK"/>
              </w:rPr>
            </w:pPr>
            <w:r>
              <w:rPr>
                <w:color w:val="BFBFBF"/>
                <w:sz w:val="20"/>
              </w:rPr>
              <w:t>4,0</w:t>
            </w:r>
          </w:p>
        </w:tc>
        <w:tc>
          <w:tcPr>
            <w:tcW w:w="794" w:type="dxa"/>
            <w:tcBorders>
              <w:top w:val="nil"/>
              <w:left w:val="nil"/>
              <w:bottom w:val="nil"/>
              <w:right w:val="nil"/>
            </w:tcBorders>
            <w:shd w:val="clear" w:color="000000" w:fill="FFFFFF"/>
            <w:noWrap/>
            <w:vAlign w:val="bottom"/>
            <w:hideMark/>
          </w:tcPr>
          <w:p w14:paraId="79ABB5B7" w14:textId="42F0F1E0" w:rsidR="00C2247E" w:rsidRPr="00D275D9" w:rsidRDefault="00C2247E" w:rsidP="00C2247E">
            <w:pPr>
              <w:spacing w:after="0" w:line="240" w:lineRule="auto"/>
              <w:jc w:val="right"/>
              <w:rPr>
                <w:rFonts w:eastAsia="Times New Roman" w:cs="Times New Roman"/>
                <w:color w:val="000000"/>
                <w:sz w:val="20"/>
                <w:lang w:eastAsia="sk-SK"/>
              </w:rPr>
            </w:pPr>
            <w:r>
              <w:rPr>
                <w:color w:val="BFBFBF"/>
                <w:sz w:val="20"/>
              </w:rPr>
              <w:t>4,0</w:t>
            </w:r>
          </w:p>
        </w:tc>
      </w:tr>
      <w:tr w:rsidR="00C2247E" w:rsidRPr="00A42768" w14:paraId="4FB6A876" w14:textId="77777777" w:rsidTr="00140186">
        <w:trPr>
          <w:trHeight w:val="255"/>
        </w:trPr>
        <w:tc>
          <w:tcPr>
            <w:tcW w:w="3969" w:type="dxa"/>
            <w:tcBorders>
              <w:top w:val="nil"/>
              <w:left w:val="nil"/>
              <w:bottom w:val="nil"/>
              <w:right w:val="nil"/>
            </w:tcBorders>
            <w:shd w:val="clear" w:color="000000" w:fill="FFFFFF"/>
            <w:noWrap/>
            <w:vAlign w:val="bottom"/>
            <w:hideMark/>
          </w:tcPr>
          <w:p w14:paraId="52168FE3" w14:textId="01339263" w:rsidR="00C2247E" w:rsidRPr="00A42768" w:rsidRDefault="00C2247E" w:rsidP="00C2247E">
            <w:pPr>
              <w:spacing w:after="0" w:line="240" w:lineRule="auto"/>
              <w:ind w:left="214"/>
              <w:jc w:val="left"/>
              <w:rPr>
                <w:rFonts w:eastAsia="Times New Roman" w:cs="Times New Roman"/>
                <w:color w:val="000000"/>
                <w:sz w:val="20"/>
                <w:lang w:eastAsia="sk-SK"/>
              </w:rPr>
            </w:pPr>
            <w:r>
              <w:rPr>
                <w:rFonts w:eastAsia="Times New Roman" w:cs="Times New Roman"/>
                <w:color w:val="000000"/>
                <w:sz w:val="20"/>
                <w:lang w:eastAsia="sk-SK"/>
              </w:rPr>
              <w:t>z toho ohro</w:t>
            </w:r>
            <w:r w:rsidRPr="00A42768">
              <w:rPr>
                <w:rFonts w:eastAsia="Times New Roman" w:cs="Times New Roman"/>
                <w:color w:val="000000"/>
                <w:sz w:val="20"/>
                <w:lang w:eastAsia="sk-SK"/>
              </w:rPr>
              <w:t>zení chudobou alebo soc. vylúčením</w:t>
            </w:r>
          </w:p>
        </w:tc>
        <w:tc>
          <w:tcPr>
            <w:tcW w:w="1134" w:type="dxa"/>
            <w:tcBorders>
              <w:top w:val="nil"/>
              <w:left w:val="nil"/>
              <w:bottom w:val="nil"/>
              <w:right w:val="nil"/>
            </w:tcBorders>
            <w:shd w:val="clear" w:color="000000" w:fill="FFFFFF"/>
            <w:noWrap/>
            <w:vAlign w:val="bottom"/>
            <w:hideMark/>
          </w:tcPr>
          <w:p w14:paraId="469AD8DF" w14:textId="77777777" w:rsidR="00C2247E" w:rsidRPr="00A42768" w:rsidRDefault="00C2247E" w:rsidP="00C2247E">
            <w:pPr>
              <w:spacing w:after="0" w:line="240" w:lineRule="auto"/>
              <w:jc w:val="left"/>
              <w:rPr>
                <w:rFonts w:eastAsia="Times New Roman" w:cs="Times New Roman"/>
                <w:color w:val="000000"/>
                <w:sz w:val="20"/>
                <w:lang w:eastAsia="sk-SK"/>
              </w:rPr>
            </w:pPr>
            <w:r w:rsidRPr="00A42768">
              <w:rPr>
                <w:rFonts w:eastAsia="Times New Roman" w:cs="Times New Roman"/>
                <w:color w:val="000000"/>
                <w:sz w:val="20"/>
                <w:lang w:eastAsia="sk-SK"/>
              </w:rPr>
              <w:t> </w:t>
            </w:r>
          </w:p>
        </w:tc>
        <w:tc>
          <w:tcPr>
            <w:tcW w:w="793" w:type="dxa"/>
            <w:tcBorders>
              <w:top w:val="nil"/>
              <w:left w:val="nil"/>
              <w:bottom w:val="nil"/>
              <w:right w:val="nil"/>
            </w:tcBorders>
            <w:shd w:val="clear" w:color="000000" w:fill="FFFFFF"/>
            <w:noWrap/>
            <w:vAlign w:val="bottom"/>
            <w:hideMark/>
          </w:tcPr>
          <w:p w14:paraId="3D7EC1F2" w14:textId="307BF046" w:rsidR="00C2247E" w:rsidRPr="00D275D9" w:rsidRDefault="00C2247E" w:rsidP="00C2247E">
            <w:pPr>
              <w:spacing w:after="0" w:line="240" w:lineRule="auto"/>
              <w:jc w:val="right"/>
              <w:rPr>
                <w:rFonts w:eastAsia="Times New Roman" w:cs="Times New Roman"/>
                <w:sz w:val="20"/>
                <w:lang w:eastAsia="sk-SK"/>
              </w:rPr>
            </w:pPr>
            <w:r>
              <w:rPr>
                <w:sz w:val="20"/>
              </w:rPr>
              <w:t>0,7</w:t>
            </w:r>
          </w:p>
        </w:tc>
        <w:tc>
          <w:tcPr>
            <w:tcW w:w="794" w:type="dxa"/>
            <w:tcBorders>
              <w:top w:val="nil"/>
              <w:left w:val="nil"/>
              <w:bottom w:val="nil"/>
              <w:right w:val="nil"/>
            </w:tcBorders>
            <w:shd w:val="clear" w:color="000000" w:fill="FFFFFF"/>
            <w:noWrap/>
            <w:vAlign w:val="bottom"/>
            <w:hideMark/>
          </w:tcPr>
          <w:p w14:paraId="42E34013" w14:textId="1DBD755D" w:rsidR="00C2247E" w:rsidRPr="00D275D9" w:rsidRDefault="00C2247E" w:rsidP="00C2247E">
            <w:pPr>
              <w:spacing w:after="0" w:line="240" w:lineRule="auto"/>
              <w:jc w:val="right"/>
              <w:rPr>
                <w:rFonts w:eastAsia="Times New Roman" w:cs="Times New Roman"/>
                <w:color w:val="000000"/>
                <w:sz w:val="20"/>
                <w:lang w:eastAsia="sk-SK"/>
              </w:rPr>
            </w:pPr>
            <w:r>
              <w:rPr>
                <w:sz w:val="20"/>
              </w:rPr>
              <w:t>0,7</w:t>
            </w:r>
          </w:p>
        </w:tc>
        <w:tc>
          <w:tcPr>
            <w:tcW w:w="794" w:type="dxa"/>
            <w:tcBorders>
              <w:top w:val="nil"/>
              <w:left w:val="nil"/>
              <w:bottom w:val="nil"/>
              <w:right w:val="nil"/>
            </w:tcBorders>
            <w:shd w:val="clear" w:color="000000" w:fill="FFFFFF"/>
            <w:noWrap/>
            <w:vAlign w:val="bottom"/>
            <w:hideMark/>
          </w:tcPr>
          <w:p w14:paraId="231DE69B" w14:textId="084C32A7" w:rsidR="00C2247E" w:rsidRPr="00D275D9" w:rsidRDefault="00C2247E" w:rsidP="00C2247E">
            <w:pPr>
              <w:spacing w:after="0" w:line="240" w:lineRule="auto"/>
              <w:jc w:val="right"/>
              <w:rPr>
                <w:rFonts w:eastAsia="Times New Roman" w:cs="Times New Roman"/>
                <w:color w:val="000000"/>
                <w:sz w:val="20"/>
                <w:lang w:eastAsia="sk-SK"/>
              </w:rPr>
            </w:pPr>
            <w:r>
              <w:rPr>
                <w:sz w:val="20"/>
              </w:rPr>
              <w:t>0,7</w:t>
            </w:r>
          </w:p>
        </w:tc>
        <w:tc>
          <w:tcPr>
            <w:tcW w:w="794" w:type="dxa"/>
            <w:tcBorders>
              <w:top w:val="nil"/>
              <w:left w:val="nil"/>
              <w:bottom w:val="nil"/>
              <w:right w:val="nil"/>
            </w:tcBorders>
            <w:shd w:val="clear" w:color="000000" w:fill="FFFFFF"/>
            <w:noWrap/>
            <w:vAlign w:val="bottom"/>
            <w:hideMark/>
          </w:tcPr>
          <w:p w14:paraId="4D2489A5" w14:textId="6E3FD72E" w:rsidR="00C2247E" w:rsidRPr="00D275D9" w:rsidRDefault="00C2247E" w:rsidP="00C2247E">
            <w:pPr>
              <w:spacing w:after="0" w:line="240" w:lineRule="auto"/>
              <w:jc w:val="right"/>
              <w:rPr>
                <w:rFonts w:eastAsia="Times New Roman" w:cs="Times New Roman"/>
                <w:color w:val="000000"/>
                <w:sz w:val="20"/>
                <w:lang w:eastAsia="sk-SK"/>
              </w:rPr>
            </w:pPr>
            <w:r>
              <w:rPr>
                <w:sz w:val="20"/>
              </w:rPr>
              <w:t>0,7</w:t>
            </w:r>
          </w:p>
        </w:tc>
        <w:tc>
          <w:tcPr>
            <w:tcW w:w="794" w:type="dxa"/>
            <w:tcBorders>
              <w:top w:val="nil"/>
              <w:left w:val="nil"/>
              <w:bottom w:val="nil"/>
              <w:right w:val="nil"/>
            </w:tcBorders>
            <w:shd w:val="clear" w:color="000000" w:fill="FFFFFF"/>
            <w:noWrap/>
            <w:vAlign w:val="bottom"/>
            <w:hideMark/>
          </w:tcPr>
          <w:p w14:paraId="0DC167C5" w14:textId="222EE77D" w:rsidR="00C2247E" w:rsidRPr="00D275D9" w:rsidRDefault="00C2247E" w:rsidP="00C2247E">
            <w:pPr>
              <w:spacing w:after="0" w:line="240" w:lineRule="auto"/>
              <w:jc w:val="right"/>
              <w:rPr>
                <w:rFonts w:eastAsia="Times New Roman" w:cs="Times New Roman"/>
                <w:color w:val="000000"/>
                <w:sz w:val="20"/>
                <w:lang w:eastAsia="sk-SK"/>
              </w:rPr>
            </w:pPr>
            <w:r>
              <w:rPr>
                <w:sz w:val="20"/>
              </w:rPr>
              <w:t>0,7</w:t>
            </w:r>
          </w:p>
        </w:tc>
      </w:tr>
      <w:tr w:rsidR="00D275D9" w:rsidRPr="00A42768" w14:paraId="5FDF57EC" w14:textId="77777777" w:rsidTr="00773905">
        <w:trPr>
          <w:trHeight w:val="255"/>
        </w:trPr>
        <w:tc>
          <w:tcPr>
            <w:tcW w:w="3969" w:type="dxa"/>
            <w:tcBorders>
              <w:top w:val="single" w:sz="4" w:space="0" w:color="auto"/>
              <w:left w:val="nil"/>
              <w:bottom w:val="single" w:sz="4" w:space="0" w:color="auto"/>
              <w:right w:val="nil"/>
            </w:tcBorders>
            <w:shd w:val="clear" w:color="000000" w:fill="FFFFFF"/>
            <w:noWrap/>
            <w:vAlign w:val="bottom"/>
          </w:tcPr>
          <w:p w14:paraId="41394BC7" w14:textId="6B078D08" w:rsidR="00D275D9" w:rsidRPr="00A42768" w:rsidRDefault="00D275D9" w:rsidP="00D275D9">
            <w:pPr>
              <w:spacing w:after="0" w:line="240" w:lineRule="auto"/>
              <w:jc w:val="left"/>
              <w:rPr>
                <w:rFonts w:eastAsia="Times New Roman" w:cs="Times New Roman"/>
                <w:b/>
                <w:bCs/>
                <w:color w:val="000000"/>
                <w:sz w:val="20"/>
                <w:lang w:eastAsia="sk-SK"/>
              </w:rPr>
            </w:pPr>
            <w:r>
              <w:rPr>
                <w:b/>
                <w:bCs/>
                <w:color w:val="000000"/>
                <w:sz w:val="20"/>
              </w:rPr>
              <w:t>Daňové výdavky</w:t>
            </w:r>
          </w:p>
        </w:tc>
        <w:tc>
          <w:tcPr>
            <w:tcW w:w="1134" w:type="dxa"/>
            <w:tcBorders>
              <w:top w:val="single" w:sz="4" w:space="0" w:color="auto"/>
              <w:left w:val="nil"/>
              <w:bottom w:val="single" w:sz="4" w:space="0" w:color="auto"/>
              <w:right w:val="nil"/>
            </w:tcBorders>
            <w:shd w:val="clear" w:color="000000" w:fill="FFFFFF"/>
            <w:noWrap/>
            <w:vAlign w:val="bottom"/>
          </w:tcPr>
          <w:p w14:paraId="4E1CE7E9" w14:textId="1BBA62F8" w:rsidR="00D275D9" w:rsidRPr="00A42768" w:rsidRDefault="00D275D9" w:rsidP="00D275D9">
            <w:pPr>
              <w:spacing w:after="0" w:line="240" w:lineRule="auto"/>
              <w:jc w:val="left"/>
              <w:rPr>
                <w:rFonts w:eastAsia="Times New Roman" w:cs="Times New Roman"/>
                <w:color w:val="000000"/>
                <w:sz w:val="20"/>
                <w:lang w:eastAsia="sk-SK"/>
              </w:rPr>
            </w:pPr>
            <w:r>
              <w:rPr>
                <w:b/>
                <w:bCs/>
                <w:color w:val="000000"/>
                <w:sz w:val="20"/>
              </w:rPr>
              <w:t> </w:t>
            </w:r>
          </w:p>
        </w:tc>
        <w:tc>
          <w:tcPr>
            <w:tcW w:w="793" w:type="dxa"/>
            <w:tcBorders>
              <w:top w:val="single" w:sz="4" w:space="0" w:color="auto"/>
              <w:left w:val="nil"/>
              <w:bottom w:val="single" w:sz="4" w:space="0" w:color="auto"/>
              <w:right w:val="nil"/>
            </w:tcBorders>
            <w:shd w:val="clear" w:color="000000" w:fill="FFFFFF"/>
            <w:noWrap/>
            <w:vAlign w:val="bottom"/>
          </w:tcPr>
          <w:p w14:paraId="45F9AE96" w14:textId="4EBCCB61" w:rsidR="00D275D9" w:rsidRPr="00D275D9" w:rsidRDefault="00D275D9" w:rsidP="00D275D9">
            <w:pPr>
              <w:spacing w:after="0" w:line="240" w:lineRule="auto"/>
              <w:jc w:val="right"/>
              <w:rPr>
                <w:b/>
                <w:bCs/>
                <w:sz w:val="20"/>
              </w:rPr>
            </w:pPr>
            <w:r>
              <w:rPr>
                <w:b/>
                <w:bCs/>
                <w:sz w:val="20"/>
              </w:rPr>
              <w:t>178,2</w:t>
            </w:r>
          </w:p>
        </w:tc>
        <w:tc>
          <w:tcPr>
            <w:tcW w:w="794" w:type="dxa"/>
            <w:tcBorders>
              <w:top w:val="single" w:sz="4" w:space="0" w:color="auto"/>
              <w:left w:val="nil"/>
              <w:bottom w:val="single" w:sz="4" w:space="0" w:color="auto"/>
              <w:right w:val="nil"/>
            </w:tcBorders>
            <w:shd w:val="clear" w:color="000000" w:fill="FFFFFF"/>
            <w:noWrap/>
            <w:vAlign w:val="bottom"/>
          </w:tcPr>
          <w:p w14:paraId="16AB7B46" w14:textId="2BD82192" w:rsidR="00D275D9" w:rsidRPr="00D275D9" w:rsidRDefault="00D275D9" w:rsidP="00D275D9">
            <w:pPr>
              <w:spacing w:after="0" w:line="240" w:lineRule="auto"/>
              <w:jc w:val="right"/>
              <w:rPr>
                <w:rFonts w:eastAsia="Times New Roman" w:cs="Times New Roman"/>
                <w:color w:val="000000"/>
                <w:sz w:val="20"/>
                <w:lang w:eastAsia="sk-SK"/>
              </w:rPr>
            </w:pPr>
            <w:r>
              <w:rPr>
                <w:b/>
                <w:bCs/>
                <w:sz w:val="20"/>
              </w:rPr>
              <w:t>95,9</w:t>
            </w:r>
          </w:p>
        </w:tc>
        <w:tc>
          <w:tcPr>
            <w:tcW w:w="794" w:type="dxa"/>
            <w:tcBorders>
              <w:top w:val="single" w:sz="4" w:space="0" w:color="auto"/>
              <w:left w:val="nil"/>
              <w:bottom w:val="single" w:sz="4" w:space="0" w:color="auto"/>
              <w:right w:val="nil"/>
            </w:tcBorders>
            <w:shd w:val="clear" w:color="000000" w:fill="FFFFFF"/>
            <w:noWrap/>
            <w:vAlign w:val="bottom"/>
          </w:tcPr>
          <w:p w14:paraId="4BA4EA8B" w14:textId="393DB282" w:rsidR="00D275D9" w:rsidRPr="00D275D9" w:rsidRDefault="00D275D9" w:rsidP="00D275D9">
            <w:pPr>
              <w:spacing w:after="0" w:line="240" w:lineRule="auto"/>
              <w:jc w:val="right"/>
              <w:rPr>
                <w:rFonts w:eastAsia="Times New Roman" w:cs="Times New Roman"/>
                <w:color w:val="000000"/>
                <w:sz w:val="20"/>
                <w:lang w:eastAsia="sk-SK"/>
              </w:rPr>
            </w:pPr>
            <w:r>
              <w:rPr>
                <w:b/>
                <w:bCs/>
                <w:sz w:val="20"/>
              </w:rPr>
              <w:t>93,2</w:t>
            </w:r>
          </w:p>
        </w:tc>
        <w:tc>
          <w:tcPr>
            <w:tcW w:w="794" w:type="dxa"/>
            <w:tcBorders>
              <w:top w:val="single" w:sz="4" w:space="0" w:color="auto"/>
              <w:left w:val="nil"/>
              <w:bottom w:val="single" w:sz="4" w:space="0" w:color="auto"/>
              <w:right w:val="nil"/>
            </w:tcBorders>
            <w:shd w:val="clear" w:color="000000" w:fill="FFFFFF"/>
            <w:noWrap/>
            <w:vAlign w:val="bottom"/>
          </w:tcPr>
          <w:p w14:paraId="10C6C698" w14:textId="0C8974E6" w:rsidR="00D275D9" w:rsidRPr="00D275D9" w:rsidRDefault="00D275D9" w:rsidP="00D275D9">
            <w:pPr>
              <w:spacing w:after="0" w:line="240" w:lineRule="auto"/>
              <w:jc w:val="right"/>
              <w:rPr>
                <w:rFonts w:eastAsia="Times New Roman" w:cs="Times New Roman"/>
                <w:color w:val="000000"/>
                <w:sz w:val="20"/>
                <w:lang w:eastAsia="sk-SK"/>
              </w:rPr>
            </w:pPr>
            <w:r>
              <w:rPr>
                <w:b/>
                <w:bCs/>
                <w:sz w:val="20"/>
              </w:rPr>
              <w:t>90,3</w:t>
            </w:r>
          </w:p>
        </w:tc>
        <w:tc>
          <w:tcPr>
            <w:tcW w:w="794" w:type="dxa"/>
            <w:tcBorders>
              <w:top w:val="single" w:sz="4" w:space="0" w:color="auto"/>
              <w:left w:val="nil"/>
              <w:bottom w:val="single" w:sz="4" w:space="0" w:color="auto"/>
              <w:right w:val="nil"/>
            </w:tcBorders>
            <w:shd w:val="clear" w:color="000000" w:fill="FFFFFF"/>
            <w:noWrap/>
            <w:vAlign w:val="bottom"/>
          </w:tcPr>
          <w:p w14:paraId="34BD5E81" w14:textId="580EEF81" w:rsidR="00D275D9" w:rsidRPr="00D275D9" w:rsidRDefault="00D275D9" w:rsidP="00D275D9">
            <w:pPr>
              <w:spacing w:after="0" w:line="240" w:lineRule="auto"/>
              <w:jc w:val="right"/>
              <w:rPr>
                <w:rFonts w:eastAsia="Times New Roman" w:cs="Times New Roman"/>
                <w:color w:val="000000"/>
                <w:sz w:val="20"/>
                <w:lang w:eastAsia="sk-SK"/>
              </w:rPr>
            </w:pPr>
            <w:r>
              <w:rPr>
                <w:b/>
                <w:bCs/>
                <w:sz w:val="20"/>
              </w:rPr>
              <w:t>89,4</w:t>
            </w:r>
          </w:p>
        </w:tc>
      </w:tr>
      <w:tr w:rsidR="00D275D9" w:rsidRPr="00A42768" w14:paraId="05BE2358" w14:textId="77777777" w:rsidTr="00773905">
        <w:trPr>
          <w:trHeight w:val="255"/>
        </w:trPr>
        <w:tc>
          <w:tcPr>
            <w:tcW w:w="3969" w:type="dxa"/>
            <w:tcBorders>
              <w:top w:val="single" w:sz="4" w:space="0" w:color="auto"/>
              <w:left w:val="nil"/>
              <w:right w:val="nil"/>
            </w:tcBorders>
            <w:shd w:val="clear" w:color="000000" w:fill="FFFFFF"/>
            <w:noWrap/>
            <w:vAlign w:val="bottom"/>
          </w:tcPr>
          <w:p w14:paraId="163CE981" w14:textId="58738FB2" w:rsidR="00D275D9" w:rsidRPr="00A42768" w:rsidRDefault="00D275D9" w:rsidP="00D275D9">
            <w:pPr>
              <w:spacing w:after="0" w:line="240" w:lineRule="auto"/>
              <w:jc w:val="left"/>
              <w:rPr>
                <w:rFonts w:eastAsia="Times New Roman" w:cs="Times New Roman"/>
                <w:b/>
                <w:bCs/>
                <w:color w:val="000000"/>
                <w:sz w:val="20"/>
                <w:lang w:eastAsia="sk-SK"/>
              </w:rPr>
            </w:pPr>
            <w:r>
              <w:rPr>
                <w:color w:val="000000"/>
                <w:sz w:val="20"/>
              </w:rPr>
              <w:t>Odvodová úľava pre dlhodobo nezamestnaných</w:t>
            </w:r>
          </w:p>
        </w:tc>
        <w:tc>
          <w:tcPr>
            <w:tcW w:w="1134" w:type="dxa"/>
            <w:tcBorders>
              <w:top w:val="single" w:sz="4" w:space="0" w:color="auto"/>
              <w:left w:val="nil"/>
              <w:right w:val="nil"/>
            </w:tcBorders>
            <w:shd w:val="clear" w:color="000000" w:fill="FFFFFF"/>
            <w:noWrap/>
            <w:vAlign w:val="bottom"/>
          </w:tcPr>
          <w:p w14:paraId="39D6BB80" w14:textId="645C8411" w:rsidR="00D275D9" w:rsidRPr="00A42768" w:rsidRDefault="00D275D9" w:rsidP="00D275D9">
            <w:pPr>
              <w:spacing w:after="0" w:line="240" w:lineRule="auto"/>
              <w:jc w:val="left"/>
              <w:rPr>
                <w:rFonts w:eastAsia="Times New Roman" w:cs="Times New Roman"/>
                <w:color w:val="000000"/>
                <w:sz w:val="20"/>
                <w:lang w:eastAsia="sk-SK"/>
              </w:rPr>
            </w:pPr>
            <w:r>
              <w:rPr>
                <w:color w:val="000000"/>
                <w:sz w:val="20"/>
              </w:rPr>
              <w:t>MF SR</w:t>
            </w:r>
          </w:p>
        </w:tc>
        <w:tc>
          <w:tcPr>
            <w:tcW w:w="793" w:type="dxa"/>
            <w:tcBorders>
              <w:top w:val="single" w:sz="4" w:space="0" w:color="auto"/>
              <w:left w:val="nil"/>
              <w:right w:val="nil"/>
            </w:tcBorders>
            <w:shd w:val="clear" w:color="000000" w:fill="FFFFFF"/>
            <w:noWrap/>
            <w:vAlign w:val="bottom"/>
          </w:tcPr>
          <w:p w14:paraId="7DE3FBD5" w14:textId="370D113F" w:rsidR="00D275D9" w:rsidRPr="00D275D9" w:rsidRDefault="00D275D9" w:rsidP="00D275D9">
            <w:pPr>
              <w:spacing w:after="0" w:line="240" w:lineRule="auto"/>
              <w:jc w:val="right"/>
              <w:rPr>
                <w:b/>
                <w:bCs/>
                <w:sz w:val="20"/>
              </w:rPr>
            </w:pPr>
            <w:r>
              <w:rPr>
                <w:sz w:val="20"/>
              </w:rPr>
              <w:t>1,5</w:t>
            </w:r>
          </w:p>
        </w:tc>
        <w:tc>
          <w:tcPr>
            <w:tcW w:w="794" w:type="dxa"/>
            <w:tcBorders>
              <w:top w:val="single" w:sz="4" w:space="0" w:color="auto"/>
              <w:left w:val="nil"/>
              <w:right w:val="nil"/>
            </w:tcBorders>
            <w:shd w:val="clear" w:color="000000" w:fill="FFFFFF"/>
            <w:noWrap/>
            <w:vAlign w:val="bottom"/>
          </w:tcPr>
          <w:p w14:paraId="2E410E85" w14:textId="4CD6A5B8" w:rsidR="00D275D9" w:rsidRPr="00D275D9" w:rsidRDefault="00D275D9" w:rsidP="00D275D9">
            <w:pPr>
              <w:spacing w:after="0" w:line="240" w:lineRule="auto"/>
              <w:jc w:val="right"/>
              <w:rPr>
                <w:rFonts w:eastAsia="Times New Roman" w:cs="Times New Roman"/>
                <w:color w:val="000000"/>
                <w:sz w:val="20"/>
                <w:lang w:eastAsia="sk-SK"/>
              </w:rPr>
            </w:pPr>
            <w:r>
              <w:rPr>
                <w:sz w:val="20"/>
              </w:rPr>
              <w:t>1,5</w:t>
            </w:r>
          </w:p>
        </w:tc>
        <w:tc>
          <w:tcPr>
            <w:tcW w:w="794" w:type="dxa"/>
            <w:tcBorders>
              <w:top w:val="single" w:sz="4" w:space="0" w:color="auto"/>
              <w:left w:val="nil"/>
              <w:right w:val="nil"/>
            </w:tcBorders>
            <w:shd w:val="clear" w:color="000000" w:fill="FFFFFF"/>
            <w:noWrap/>
            <w:vAlign w:val="bottom"/>
          </w:tcPr>
          <w:p w14:paraId="10D6CCC6" w14:textId="61142A49" w:rsidR="00D275D9" w:rsidRPr="00D275D9" w:rsidRDefault="00D275D9" w:rsidP="00D275D9">
            <w:pPr>
              <w:spacing w:after="0" w:line="240" w:lineRule="auto"/>
              <w:jc w:val="right"/>
              <w:rPr>
                <w:rFonts w:eastAsia="Times New Roman" w:cs="Times New Roman"/>
                <w:color w:val="000000"/>
                <w:sz w:val="20"/>
                <w:lang w:eastAsia="sk-SK"/>
              </w:rPr>
            </w:pPr>
            <w:r>
              <w:rPr>
                <w:sz w:val="20"/>
              </w:rPr>
              <w:t>1,5</w:t>
            </w:r>
          </w:p>
        </w:tc>
        <w:tc>
          <w:tcPr>
            <w:tcW w:w="794" w:type="dxa"/>
            <w:tcBorders>
              <w:top w:val="single" w:sz="4" w:space="0" w:color="auto"/>
              <w:left w:val="nil"/>
              <w:right w:val="nil"/>
            </w:tcBorders>
            <w:shd w:val="clear" w:color="000000" w:fill="FFFFFF"/>
            <w:noWrap/>
            <w:vAlign w:val="bottom"/>
          </w:tcPr>
          <w:p w14:paraId="1B7A9436" w14:textId="70B0E7A1" w:rsidR="00D275D9" w:rsidRPr="00D275D9" w:rsidRDefault="00D275D9" w:rsidP="00D275D9">
            <w:pPr>
              <w:spacing w:after="0" w:line="240" w:lineRule="auto"/>
              <w:jc w:val="right"/>
              <w:rPr>
                <w:rFonts w:eastAsia="Times New Roman" w:cs="Times New Roman"/>
                <w:color w:val="000000"/>
                <w:sz w:val="20"/>
                <w:lang w:eastAsia="sk-SK"/>
              </w:rPr>
            </w:pPr>
            <w:r>
              <w:rPr>
                <w:sz w:val="20"/>
              </w:rPr>
              <w:t>1,5</w:t>
            </w:r>
          </w:p>
        </w:tc>
        <w:tc>
          <w:tcPr>
            <w:tcW w:w="794" w:type="dxa"/>
            <w:tcBorders>
              <w:top w:val="single" w:sz="4" w:space="0" w:color="auto"/>
              <w:left w:val="nil"/>
              <w:right w:val="nil"/>
            </w:tcBorders>
            <w:shd w:val="clear" w:color="000000" w:fill="FFFFFF"/>
            <w:noWrap/>
            <w:vAlign w:val="bottom"/>
          </w:tcPr>
          <w:p w14:paraId="48948BA5" w14:textId="665353CF" w:rsidR="00D275D9" w:rsidRPr="00D275D9" w:rsidRDefault="00D275D9" w:rsidP="00D275D9">
            <w:pPr>
              <w:spacing w:after="0" w:line="240" w:lineRule="auto"/>
              <w:jc w:val="right"/>
              <w:rPr>
                <w:rFonts w:eastAsia="Times New Roman" w:cs="Times New Roman"/>
                <w:color w:val="000000"/>
                <w:sz w:val="20"/>
                <w:lang w:eastAsia="sk-SK"/>
              </w:rPr>
            </w:pPr>
            <w:r>
              <w:rPr>
                <w:sz w:val="20"/>
              </w:rPr>
              <w:t>1,5</w:t>
            </w:r>
          </w:p>
        </w:tc>
      </w:tr>
      <w:tr w:rsidR="00D275D9" w:rsidRPr="00A42768" w14:paraId="206E1F6B" w14:textId="77777777" w:rsidTr="00773905">
        <w:trPr>
          <w:trHeight w:val="255"/>
        </w:trPr>
        <w:tc>
          <w:tcPr>
            <w:tcW w:w="3969" w:type="dxa"/>
            <w:tcBorders>
              <w:left w:val="nil"/>
              <w:right w:val="nil"/>
            </w:tcBorders>
            <w:shd w:val="clear" w:color="000000" w:fill="FFFFFF"/>
            <w:noWrap/>
            <w:vAlign w:val="bottom"/>
          </w:tcPr>
          <w:p w14:paraId="6A5E97BF" w14:textId="30C953E7" w:rsidR="00D275D9" w:rsidRPr="00A42768" w:rsidRDefault="00D275D9" w:rsidP="00D275D9">
            <w:pPr>
              <w:spacing w:after="0" w:line="240" w:lineRule="auto"/>
              <w:jc w:val="left"/>
              <w:rPr>
                <w:rFonts w:eastAsia="Times New Roman" w:cs="Times New Roman"/>
                <w:b/>
                <w:bCs/>
                <w:color w:val="000000"/>
                <w:sz w:val="20"/>
                <w:lang w:eastAsia="sk-SK"/>
              </w:rPr>
            </w:pPr>
            <w:r>
              <w:rPr>
                <w:color w:val="000000"/>
                <w:sz w:val="20"/>
              </w:rPr>
              <w:t>Odvodová odpočítateľ. položka pre nízkopríjmových</w:t>
            </w:r>
          </w:p>
        </w:tc>
        <w:tc>
          <w:tcPr>
            <w:tcW w:w="1134" w:type="dxa"/>
            <w:tcBorders>
              <w:left w:val="nil"/>
              <w:right w:val="nil"/>
            </w:tcBorders>
            <w:shd w:val="clear" w:color="000000" w:fill="FFFFFF"/>
            <w:noWrap/>
            <w:vAlign w:val="bottom"/>
          </w:tcPr>
          <w:p w14:paraId="49F05DBE" w14:textId="512B82BE" w:rsidR="00D275D9" w:rsidRPr="00A42768" w:rsidRDefault="00D275D9" w:rsidP="00D275D9">
            <w:pPr>
              <w:spacing w:after="0" w:line="240" w:lineRule="auto"/>
              <w:jc w:val="left"/>
              <w:rPr>
                <w:rFonts w:eastAsia="Times New Roman" w:cs="Times New Roman"/>
                <w:color w:val="000000"/>
                <w:sz w:val="20"/>
                <w:lang w:eastAsia="sk-SK"/>
              </w:rPr>
            </w:pPr>
            <w:r>
              <w:rPr>
                <w:color w:val="000000"/>
                <w:sz w:val="20"/>
              </w:rPr>
              <w:t>MF SR</w:t>
            </w:r>
          </w:p>
        </w:tc>
        <w:tc>
          <w:tcPr>
            <w:tcW w:w="793" w:type="dxa"/>
            <w:tcBorders>
              <w:left w:val="nil"/>
              <w:right w:val="nil"/>
            </w:tcBorders>
            <w:shd w:val="clear" w:color="000000" w:fill="FFFFFF"/>
            <w:noWrap/>
            <w:vAlign w:val="bottom"/>
          </w:tcPr>
          <w:p w14:paraId="25491652" w14:textId="4B37E0D7" w:rsidR="00D275D9" w:rsidRPr="00D275D9" w:rsidRDefault="00D275D9" w:rsidP="00D275D9">
            <w:pPr>
              <w:spacing w:after="0" w:line="240" w:lineRule="auto"/>
              <w:jc w:val="right"/>
              <w:rPr>
                <w:b/>
                <w:bCs/>
                <w:sz w:val="20"/>
              </w:rPr>
            </w:pPr>
            <w:r>
              <w:rPr>
                <w:sz w:val="20"/>
              </w:rPr>
              <w:t>119,9</w:t>
            </w:r>
          </w:p>
        </w:tc>
        <w:tc>
          <w:tcPr>
            <w:tcW w:w="794" w:type="dxa"/>
            <w:tcBorders>
              <w:left w:val="nil"/>
              <w:right w:val="nil"/>
            </w:tcBorders>
            <w:shd w:val="clear" w:color="000000" w:fill="FFFFFF"/>
            <w:noWrap/>
            <w:vAlign w:val="bottom"/>
          </w:tcPr>
          <w:p w14:paraId="7FEA0886" w14:textId="1AED7BBC" w:rsidR="00D275D9" w:rsidRPr="00D275D9" w:rsidRDefault="00D275D9" w:rsidP="00D275D9">
            <w:pPr>
              <w:spacing w:after="0" w:line="240" w:lineRule="auto"/>
              <w:jc w:val="right"/>
              <w:rPr>
                <w:rFonts w:eastAsia="Times New Roman" w:cs="Times New Roman"/>
                <w:color w:val="000000"/>
                <w:sz w:val="20"/>
                <w:lang w:eastAsia="sk-SK"/>
              </w:rPr>
            </w:pPr>
            <w:r>
              <w:rPr>
                <w:color w:val="000000"/>
                <w:sz w:val="20"/>
              </w:rPr>
              <w:t>27,7</w:t>
            </w:r>
          </w:p>
        </w:tc>
        <w:tc>
          <w:tcPr>
            <w:tcW w:w="794" w:type="dxa"/>
            <w:tcBorders>
              <w:left w:val="nil"/>
              <w:right w:val="nil"/>
            </w:tcBorders>
            <w:shd w:val="clear" w:color="000000" w:fill="FFFFFF"/>
            <w:noWrap/>
            <w:vAlign w:val="bottom"/>
          </w:tcPr>
          <w:p w14:paraId="5055FA7C" w14:textId="49142013" w:rsidR="00D275D9" w:rsidRPr="00D275D9" w:rsidRDefault="00D275D9" w:rsidP="00D275D9">
            <w:pPr>
              <w:spacing w:after="0" w:line="240" w:lineRule="auto"/>
              <w:jc w:val="right"/>
              <w:rPr>
                <w:rFonts w:eastAsia="Times New Roman" w:cs="Times New Roman"/>
                <w:color w:val="000000"/>
                <w:sz w:val="20"/>
                <w:lang w:eastAsia="sk-SK"/>
              </w:rPr>
            </w:pPr>
            <w:r>
              <w:rPr>
                <w:color w:val="000000"/>
                <w:sz w:val="20"/>
              </w:rPr>
              <w:t>20,7</w:t>
            </w:r>
          </w:p>
        </w:tc>
        <w:tc>
          <w:tcPr>
            <w:tcW w:w="794" w:type="dxa"/>
            <w:tcBorders>
              <w:left w:val="nil"/>
              <w:right w:val="nil"/>
            </w:tcBorders>
            <w:shd w:val="clear" w:color="000000" w:fill="FFFFFF"/>
            <w:noWrap/>
            <w:vAlign w:val="bottom"/>
          </w:tcPr>
          <w:p w14:paraId="0D773FFD" w14:textId="5F600415" w:rsidR="00D275D9" w:rsidRPr="00D275D9" w:rsidRDefault="00D275D9" w:rsidP="00D275D9">
            <w:pPr>
              <w:spacing w:after="0" w:line="240" w:lineRule="auto"/>
              <w:jc w:val="right"/>
              <w:rPr>
                <w:rFonts w:eastAsia="Times New Roman" w:cs="Times New Roman"/>
                <w:color w:val="000000"/>
                <w:sz w:val="20"/>
                <w:lang w:eastAsia="sk-SK"/>
              </w:rPr>
            </w:pPr>
            <w:r>
              <w:rPr>
                <w:color w:val="000000"/>
                <w:sz w:val="20"/>
              </w:rPr>
              <w:t>16,2</w:t>
            </w:r>
          </w:p>
        </w:tc>
        <w:tc>
          <w:tcPr>
            <w:tcW w:w="794" w:type="dxa"/>
            <w:tcBorders>
              <w:left w:val="nil"/>
              <w:right w:val="nil"/>
            </w:tcBorders>
            <w:shd w:val="clear" w:color="000000" w:fill="FFFFFF"/>
            <w:noWrap/>
            <w:vAlign w:val="bottom"/>
          </w:tcPr>
          <w:p w14:paraId="32DE97B1" w14:textId="158F012F" w:rsidR="00D275D9" w:rsidRPr="00D275D9" w:rsidRDefault="00D275D9" w:rsidP="00D275D9">
            <w:pPr>
              <w:spacing w:after="0" w:line="240" w:lineRule="auto"/>
              <w:jc w:val="right"/>
              <w:rPr>
                <w:rFonts w:eastAsia="Times New Roman" w:cs="Times New Roman"/>
                <w:color w:val="000000"/>
                <w:sz w:val="20"/>
                <w:lang w:eastAsia="sk-SK"/>
              </w:rPr>
            </w:pPr>
            <w:r>
              <w:rPr>
                <w:color w:val="000000"/>
                <w:sz w:val="20"/>
              </w:rPr>
              <w:t>14,5</w:t>
            </w:r>
          </w:p>
        </w:tc>
      </w:tr>
      <w:tr w:rsidR="00D275D9" w:rsidRPr="00A42768" w14:paraId="0A843506" w14:textId="77777777" w:rsidTr="00773905">
        <w:trPr>
          <w:trHeight w:val="255"/>
        </w:trPr>
        <w:tc>
          <w:tcPr>
            <w:tcW w:w="3969" w:type="dxa"/>
            <w:tcBorders>
              <w:left w:val="nil"/>
              <w:right w:val="nil"/>
            </w:tcBorders>
            <w:shd w:val="clear" w:color="000000" w:fill="FFFFFF"/>
            <w:noWrap/>
            <w:vAlign w:val="bottom"/>
          </w:tcPr>
          <w:p w14:paraId="3BB8159A" w14:textId="0DF93644" w:rsidR="00D275D9" w:rsidRPr="00A42768" w:rsidRDefault="00D275D9" w:rsidP="00D275D9">
            <w:pPr>
              <w:spacing w:after="0" w:line="240" w:lineRule="auto"/>
              <w:jc w:val="left"/>
              <w:rPr>
                <w:rFonts w:eastAsia="Times New Roman" w:cs="Times New Roman"/>
                <w:b/>
                <w:bCs/>
                <w:color w:val="000000"/>
                <w:sz w:val="20"/>
                <w:lang w:eastAsia="sk-SK"/>
              </w:rPr>
            </w:pPr>
            <w:r>
              <w:rPr>
                <w:color w:val="000000"/>
                <w:sz w:val="20"/>
              </w:rPr>
              <w:t>Nezdaniteľná časť základu dane na manžela(ku)</w:t>
            </w:r>
          </w:p>
        </w:tc>
        <w:tc>
          <w:tcPr>
            <w:tcW w:w="1134" w:type="dxa"/>
            <w:tcBorders>
              <w:left w:val="nil"/>
              <w:right w:val="nil"/>
            </w:tcBorders>
            <w:shd w:val="clear" w:color="000000" w:fill="FFFFFF"/>
            <w:noWrap/>
            <w:vAlign w:val="bottom"/>
          </w:tcPr>
          <w:p w14:paraId="20218499" w14:textId="73ED070A" w:rsidR="00D275D9" w:rsidRPr="00A42768" w:rsidRDefault="00D275D9" w:rsidP="00D275D9">
            <w:pPr>
              <w:spacing w:after="0" w:line="240" w:lineRule="auto"/>
              <w:jc w:val="left"/>
              <w:rPr>
                <w:rFonts w:eastAsia="Times New Roman" w:cs="Times New Roman"/>
                <w:color w:val="000000"/>
                <w:sz w:val="20"/>
                <w:lang w:eastAsia="sk-SK"/>
              </w:rPr>
            </w:pPr>
            <w:r>
              <w:rPr>
                <w:color w:val="000000"/>
                <w:sz w:val="20"/>
              </w:rPr>
              <w:t>MF SR</w:t>
            </w:r>
          </w:p>
        </w:tc>
        <w:tc>
          <w:tcPr>
            <w:tcW w:w="793" w:type="dxa"/>
            <w:tcBorders>
              <w:left w:val="nil"/>
              <w:right w:val="nil"/>
            </w:tcBorders>
            <w:shd w:val="clear" w:color="000000" w:fill="FFFFFF"/>
            <w:noWrap/>
            <w:vAlign w:val="bottom"/>
          </w:tcPr>
          <w:p w14:paraId="40E89848" w14:textId="22BA088A" w:rsidR="00D275D9" w:rsidRPr="00D275D9" w:rsidRDefault="00D275D9" w:rsidP="00D275D9">
            <w:pPr>
              <w:spacing w:after="0" w:line="240" w:lineRule="auto"/>
              <w:jc w:val="right"/>
              <w:rPr>
                <w:b/>
                <w:bCs/>
                <w:sz w:val="20"/>
              </w:rPr>
            </w:pPr>
            <w:r>
              <w:rPr>
                <w:color w:val="BFBFBF"/>
                <w:sz w:val="20"/>
              </w:rPr>
              <w:t>63,0</w:t>
            </w:r>
          </w:p>
        </w:tc>
        <w:tc>
          <w:tcPr>
            <w:tcW w:w="794" w:type="dxa"/>
            <w:tcBorders>
              <w:left w:val="nil"/>
              <w:right w:val="nil"/>
            </w:tcBorders>
            <w:shd w:val="clear" w:color="000000" w:fill="FFFFFF"/>
            <w:noWrap/>
            <w:vAlign w:val="bottom"/>
          </w:tcPr>
          <w:p w14:paraId="3626CC90" w14:textId="02F9B55D" w:rsidR="00D275D9" w:rsidRPr="00D275D9" w:rsidRDefault="00D275D9" w:rsidP="00D275D9">
            <w:pPr>
              <w:spacing w:after="0" w:line="240" w:lineRule="auto"/>
              <w:jc w:val="right"/>
              <w:rPr>
                <w:rFonts w:eastAsia="Times New Roman" w:cs="Times New Roman"/>
                <w:color w:val="000000"/>
                <w:sz w:val="20"/>
                <w:lang w:eastAsia="sk-SK"/>
              </w:rPr>
            </w:pPr>
            <w:r>
              <w:rPr>
                <w:color w:val="BFBFBF"/>
                <w:sz w:val="20"/>
              </w:rPr>
              <w:t>64,8</w:t>
            </w:r>
          </w:p>
        </w:tc>
        <w:tc>
          <w:tcPr>
            <w:tcW w:w="794" w:type="dxa"/>
            <w:tcBorders>
              <w:left w:val="nil"/>
              <w:right w:val="nil"/>
            </w:tcBorders>
            <w:shd w:val="clear" w:color="000000" w:fill="FFFFFF"/>
            <w:noWrap/>
            <w:vAlign w:val="bottom"/>
          </w:tcPr>
          <w:p w14:paraId="098271F4" w14:textId="237B11F5" w:rsidR="00D275D9" w:rsidRPr="00D275D9" w:rsidRDefault="00D275D9" w:rsidP="00D275D9">
            <w:pPr>
              <w:spacing w:after="0" w:line="240" w:lineRule="auto"/>
              <w:jc w:val="right"/>
              <w:rPr>
                <w:rFonts w:eastAsia="Times New Roman" w:cs="Times New Roman"/>
                <w:color w:val="000000"/>
                <w:sz w:val="20"/>
                <w:lang w:eastAsia="sk-SK"/>
              </w:rPr>
            </w:pPr>
            <w:r>
              <w:rPr>
                <w:color w:val="BFBFBF"/>
                <w:sz w:val="20"/>
              </w:rPr>
              <w:t>66,3</w:t>
            </w:r>
          </w:p>
        </w:tc>
        <w:tc>
          <w:tcPr>
            <w:tcW w:w="794" w:type="dxa"/>
            <w:tcBorders>
              <w:left w:val="nil"/>
              <w:right w:val="nil"/>
            </w:tcBorders>
            <w:shd w:val="clear" w:color="000000" w:fill="FFFFFF"/>
            <w:noWrap/>
            <w:vAlign w:val="bottom"/>
          </w:tcPr>
          <w:p w14:paraId="6C5A559C" w14:textId="39214E2A" w:rsidR="00D275D9" w:rsidRPr="00D275D9" w:rsidRDefault="00D275D9" w:rsidP="00D275D9">
            <w:pPr>
              <w:spacing w:after="0" w:line="240" w:lineRule="auto"/>
              <w:jc w:val="right"/>
              <w:rPr>
                <w:rFonts w:eastAsia="Times New Roman" w:cs="Times New Roman"/>
                <w:color w:val="000000"/>
                <w:sz w:val="20"/>
                <w:lang w:eastAsia="sk-SK"/>
              </w:rPr>
            </w:pPr>
            <w:r>
              <w:rPr>
                <w:color w:val="BFBFBF"/>
                <w:sz w:val="20"/>
              </w:rPr>
              <w:t>67,7</w:t>
            </w:r>
          </w:p>
        </w:tc>
        <w:tc>
          <w:tcPr>
            <w:tcW w:w="794" w:type="dxa"/>
            <w:tcBorders>
              <w:left w:val="nil"/>
              <w:right w:val="nil"/>
            </w:tcBorders>
            <w:shd w:val="clear" w:color="000000" w:fill="FFFFFF"/>
            <w:noWrap/>
            <w:vAlign w:val="bottom"/>
          </w:tcPr>
          <w:p w14:paraId="609335CF" w14:textId="6C6D3DAF" w:rsidR="00D275D9" w:rsidRPr="00D275D9" w:rsidRDefault="00D275D9" w:rsidP="00D275D9">
            <w:pPr>
              <w:spacing w:after="0" w:line="240" w:lineRule="auto"/>
              <w:jc w:val="right"/>
              <w:rPr>
                <w:rFonts w:eastAsia="Times New Roman" w:cs="Times New Roman"/>
                <w:color w:val="000000"/>
                <w:sz w:val="20"/>
                <w:lang w:eastAsia="sk-SK"/>
              </w:rPr>
            </w:pPr>
            <w:r>
              <w:rPr>
                <w:color w:val="BFBFBF"/>
                <w:sz w:val="20"/>
              </w:rPr>
              <w:t>69,1</w:t>
            </w:r>
          </w:p>
        </w:tc>
      </w:tr>
      <w:tr w:rsidR="00D275D9" w:rsidRPr="00A42768" w14:paraId="0540B21C" w14:textId="77777777" w:rsidTr="00773905">
        <w:trPr>
          <w:trHeight w:val="255"/>
        </w:trPr>
        <w:tc>
          <w:tcPr>
            <w:tcW w:w="3969" w:type="dxa"/>
            <w:tcBorders>
              <w:left w:val="nil"/>
              <w:right w:val="nil"/>
            </w:tcBorders>
            <w:shd w:val="clear" w:color="000000" w:fill="FFFFFF"/>
            <w:noWrap/>
            <w:vAlign w:val="bottom"/>
          </w:tcPr>
          <w:p w14:paraId="0CF2CD19" w14:textId="666632B6" w:rsidR="00D275D9" w:rsidRPr="00A42768" w:rsidRDefault="00D275D9" w:rsidP="00D275D9">
            <w:pPr>
              <w:spacing w:after="0" w:line="240" w:lineRule="auto"/>
              <w:ind w:left="214"/>
              <w:jc w:val="left"/>
              <w:rPr>
                <w:rFonts w:eastAsia="Times New Roman" w:cs="Times New Roman"/>
                <w:b/>
                <w:bCs/>
                <w:color w:val="000000"/>
                <w:sz w:val="20"/>
                <w:lang w:eastAsia="sk-SK"/>
              </w:rPr>
            </w:pPr>
            <w:r>
              <w:rPr>
                <w:color w:val="000000"/>
                <w:sz w:val="20"/>
              </w:rPr>
              <w:t>z toho ohrození chudobou alebo soc. vylúčením</w:t>
            </w:r>
          </w:p>
        </w:tc>
        <w:tc>
          <w:tcPr>
            <w:tcW w:w="1134" w:type="dxa"/>
            <w:tcBorders>
              <w:left w:val="nil"/>
              <w:right w:val="nil"/>
            </w:tcBorders>
            <w:shd w:val="clear" w:color="000000" w:fill="FFFFFF"/>
            <w:noWrap/>
            <w:vAlign w:val="bottom"/>
          </w:tcPr>
          <w:p w14:paraId="59B2E81C" w14:textId="52068BB2" w:rsidR="00D275D9" w:rsidRPr="00A42768" w:rsidRDefault="00D275D9" w:rsidP="00D275D9">
            <w:pPr>
              <w:spacing w:after="0" w:line="240" w:lineRule="auto"/>
              <w:jc w:val="left"/>
              <w:rPr>
                <w:rFonts w:eastAsia="Times New Roman" w:cs="Times New Roman"/>
                <w:color w:val="000000"/>
                <w:sz w:val="20"/>
                <w:lang w:eastAsia="sk-SK"/>
              </w:rPr>
            </w:pPr>
            <w:r>
              <w:rPr>
                <w:color w:val="000000"/>
                <w:sz w:val="20"/>
              </w:rPr>
              <w:t> </w:t>
            </w:r>
          </w:p>
        </w:tc>
        <w:tc>
          <w:tcPr>
            <w:tcW w:w="793" w:type="dxa"/>
            <w:tcBorders>
              <w:left w:val="nil"/>
              <w:right w:val="nil"/>
            </w:tcBorders>
            <w:shd w:val="clear" w:color="000000" w:fill="FFFFFF"/>
            <w:noWrap/>
            <w:vAlign w:val="bottom"/>
          </w:tcPr>
          <w:p w14:paraId="3F7F6492" w14:textId="117B2E69" w:rsidR="00D275D9" w:rsidRPr="00D275D9" w:rsidRDefault="00D275D9" w:rsidP="00D275D9">
            <w:pPr>
              <w:spacing w:after="0" w:line="240" w:lineRule="auto"/>
              <w:jc w:val="right"/>
              <w:rPr>
                <w:b/>
                <w:bCs/>
                <w:sz w:val="20"/>
              </w:rPr>
            </w:pPr>
            <w:r>
              <w:rPr>
                <w:sz w:val="20"/>
              </w:rPr>
              <w:t>17,0</w:t>
            </w:r>
          </w:p>
        </w:tc>
        <w:tc>
          <w:tcPr>
            <w:tcW w:w="794" w:type="dxa"/>
            <w:tcBorders>
              <w:left w:val="nil"/>
              <w:right w:val="nil"/>
            </w:tcBorders>
            <w:shd w:val="clear" w:color="000000" w:fill="FFFFFF"/>
            <w:noWrap/>
            <w:vAlign w:val="bottom"/>
          </w:tcPr>
          <w:p w14:paraId="15420C2F" w14:textId="2B9CDF8B" w:rsidR="00D275D9" w:rsidRPr="00D275D9" w:rsidRDefault="00D275D9" w:rsidP="00D275D9">
            <w:pPr>
              <w:spacing w:after="0" w:line="240" w:lineRule="auto"/>
              <w:jc w:val="right"/>
              <w:rPr>
                <w:rFonts w:eastAsia="Times New Roman" w:cs="Times New Roman"/>
                <w:color w:val="000000"/>
                <w:sz w:val="20"/>
                <w:lang w:eastAsia="sk-SK"/>
              </w:rPr>
            </w:pPr>
            <w:r>
              <w:rPr>
                <w:sz w:val="20"/>
              </w:rPr>
              <w:t>17,5</w:t>
            </w:r>
          </w:p>
        </w:tc>
        <w:tc>
          <w:tcPr>
            <w:tcW w:w="794" w:type="dxa"/>
            <w:tcBorders>
              <w:left w:val="nil"/>
              <w:right w:val="nil"/>
            </w:tcBorders>
            <w:shd w:val="clear" w:color="000000" w:fill="FFFFFF"/>
            <w:noWrap/>
            <w:vAlign w:val="bottom"/>
          </w:tcPr>
          <w:p w14:paraId="21DA2411" w14:textId="65D2A398" w:rsidR="00D275D9" w:rsidRPr="00D275D9" w:rsidRDefault="00D275D9" w:rsidP="00D275D9">
            <w:pPr>
              <w:spacing w:after="0" w:line="240" w:lineRule="auto"/>
              <w:jc w:val="right"/>
              <w:rPr>
                <w:rFonts w:eastAsia="Times New Roman" w:cs="Times New Roman"/>
                <w:color w:val="000000"/>
                <w:sz w:val="20"/>
                <w:lang w:eastAsia="sk-SK"/>
              </w:rPr>
            </w:pPr>
            <w:r>
              <w:rPr>
                <w:sz w:val="20"/>
              </w:rPr>
              <w:t>17,9</w:t>
            </w:r>
          </w:p>
        </w:tc>
        <w:tc>
          <w:tcPr>
            <w:tcW w:w="794" w:type="dxa"/>
            <w:tcBorders>
              <w:left w:val="nil"/>
              <w:right w:val="nil"/>
            </w:tcBorders>
            <w:shd w:val="clear" w:color="000000" w:fill="FFFFFF"/>
            <w:noWrap/>
            <w:vAlign w:val="bottom"/>
          </w:tcPr>
          <w:p w14:paraId="48A67478" w14:textId="54D5CFA5" w:rsidR="00D275D9" w:rsidRPr="00D275D9" w:rsidRDefault="00D275D9" w:rsidP="00D275D9">
            <w:pPr>
              <w:spacing w:after="0" w:line="240" w:lineRule="auto"/>
              <w:jc w:val="right"/>
              <w:rPr>
                <w:rFonts w:eastAsia="Times New Roman" w:cs="Times New Roman"/>
                <w:color w:val="000000"/>
                <w:sz w:val="20"/>
                <w:lang w:eastAsia="sk-SK"/>
              </w:rPr>
            </w:pPr>
            <w:r>
              <w:rPr>
                <w:sz w:val="20"/>
              </w:rPr>
              <w:t>18,3</w:t>
            </w:r>
          </w:p>
        </w:tc>
        <w:tc>
          <w:tcPr>
            <w:tcW w:w="794" w:type="dxa"/>
            <w:tcBorders>
              <w:left w:val="nil"/>
              <w:right w:val="nil"/>
            </w:tcBorders>
            <w:shd w:val="clear" w:color="000000" w:fill="FFFFFF"/>
            <w:noWrap/>
            <w:vAlign w:val="bottom"/>
          </w:tcPr>
          <w:p w14:paraId="34CF06B2" w14:textId="7155E3D6" w:rsidR="00D275D9" w:rsidRPr="00D275D9" w:rsidRDefault="00D275D9" w:rsidP="00D275D9">
            <w:pPr>
              <w:spacing w:after="0" w:line="240" w:lineRule="auto"/>
              <w:jc w:val="right"/>
              <w:rPr>
                <w:rFonts w:eastAsia="Times New Roman" w:cs="Times New Roman"/>
                <w:color w:val="000000"/>
                <w:sz w:val="20"/>
                <w:lang w:eastAsia="sk-SK"/>
              </w:rPr>
            </w:pPr>
            <w:r>
              <w:rPr>
                <w:sz w:val="20"/>
              </w:rPr>
              <w:t>18,7</w:t>
            </w:r>
          </w:p>
        </w:tc>
      </w:tr>
      <w:tr w:rsidR="00D275D9" w:rsidRPr="00A42768" w14:paraId="28456806" w14:textId="77777777" w:rsidTr="00773905">
        <w:trPr>
          <w:trHeight w:val="255"/>
        </w:trPr>
        <w:tc>
          <w:tcPr>
            <w:tcW w:w="3969" w:type="dxa"/>
            <w:tcBorders>
              <w:left w:val="nil"/>
              <w:right w:val="nil"/>
            </w:tcBorders>
            <w:shd w:val="clear" w:color="000000" w:fill="FFFFFF"/>
            <w:noWrap/>
            <w:vAlign w:val="bottom"/>
          </w:tcPr>
          <w:p w14:paraId="1DFD8EAD" w14:textId="602A1204" w:rsidR="00D275D9" w:rsidRPr="00A42768" w:rsidRDefault="00D275D9" w:rsidP="00D275D9">
            <w:pPr>
              <w:spacing w:after="0" w:line="240" w:lineRule="auto"/>
              <w:jc w:val="left"/>
              <w:rPr>
                <w:rFonts w:eastAsia="Times New Roman" w:cs="Times New Roman"/>
                <w:b/>
                <w:bCs/>
                <w:color w:val="000000"/>
                <w:sz w:val="20"/>
                <w:lang w:eastAsia="sk-SK"/>
              </w:rPr>
            </w:pPr>
            <w:r>
              <w:rPr>
                <w:color w:val="000000"/>
                <w:sz w:val="20"/>
              </w:rPr>
              <w:t>Daňový bonus na deti</w:t>
            </w:r>
          </w:p>
        </w:tc>
        <w:tc>
          <w:tcPr>
            <w:tcW w:w="1134" w:type="dxa"/>
            <w:tcBorders>
              <w:left w:val="nil"/>
              <w:right w:val="nil"/>
            </w:tcBorders>
            <w:shd w:val="clear" w:color="000000" w:fill="FFFFFF"/>
            <w:noWrap/>
            <w:vAlign w:val="bottom"/>
          </w:tcPr>
          <w:p w14:paraId="235746A9" w14:textId="490201F0" w:rsidR="00D275D9" w:rsidRPr="00A42768" w:rsidRDefault="00D275D9" w:rsidP="00D275D9">
            <w:pPr>
              <w:spacing w:after="0" w:line="240" w:lineRule="auto"/>
              <w:jc w:val="left"/>
              <w:rPr>
                <w:rFonts w:eastAsia="Times New Roman" w:cs="Times New Roman"/>
                <w:color w:val="000000"/>
                <w:sz w:val="20"/>
                <w:lang w:eastAsia="sk-SK"/>
              </w:rPr>
            </w:pPr>
            <w:r>
              <w:rPr>
                <w:color w:val="000000"/>
                <w:sz w:val="20"/>
              </w:rPr>
              <w:t>MF SR</w:t>
            </w:r>
          </w:p>
        </w:tc>
        <w:tc>
          <w:tcPr>
            <w:tcW w:w="793" w:type="dxa"/>
            <w:tcBorders>
              <w:left w:val="nil"/>
              <w:right w:val="nil"/>
            </w:tcBorders>
            <w:shd w:val="clear" w:color="000000" w:fill="FFFFFF"/>
            <w:noWrap/>
            <w:vAlign w:val="bottom"/>
          </w:tcPr>
          <w:p w14:paraId="663E83A1" w14:textId="6A847B75" w:rsidR="00D275D9" w:rsidRPr="00D275D9" w:rsidRDefault="00D275D9" w:rsidP="00D275D9">
            <w:pPr>
              <w:spacing w:after="0" w:line="240" w:lineRule="auto"/>
              <w:jc w:val="right"/>
              <w:rPr>
                <w:b/>
                <w:bCs/>
                <w:sz w:val="20"/>
              </w:rPr>
            </w:pPr>
            <w:r>
              <w:rPr>
                <w:color w:val="BFBFBF"/>
                <w:sz w:val="20"/>
              </w:rPr>
              <w:t>269,1</w:t>
            </w:r>
          </w:p>
        </w:tc>
        <w:tc>
          <w:tcPr>
            <w:tcW w:w="794" w:type="dxa"/>
            <w:tcBorders>
              <w:left w:val="nil"/>
              <w:right w:val="nil"/>
            </w:tcBorders>
            <w:shd w:val="clear" w:color="000000" w:fill="FFFFFF"/>
            <w:noWrap/>
            <w:vAlign w:val="bottom"/>
          </w:tcPr>
          <w:p w14:paraId="074CA736" w14:textId="3220997D" w:rsidR="00D275D9" w:rsidRPr="00D275D9" w:rsidRDefault="00D275D9" w:rsidP="00D275D9">
            <w:pPr>
              <w:spacing w:after="0" w:line="240" w:lineRule="auto"/>
              <w:jc w:val="right"/>
              <w:rPr>
                <w:rFonts w:eastAsia="Times New Roman" w:cs="Times New Roman"/>
                <w:color w:val="000000"/>
                <w:sz w:val="20"/>
                <w:lang w:eastAsia="sk-SK"/>
              </w:rPr>
            </w:pPr>
            <w:r>
              <w:rPr>
                <w:color w:val="BFBFBF"/>
                <w:sz w:val="20"/>
              </w:rPr>
              <w:t>332,6</w:t>
            </w:r>
          </w:p>
        </w:tc>
        <w:tc>
          <w:tcPr>
            <w:tcW w:w="794" w:type="dxa"/>
            <w:tcBorders>
              <w:left w:val="nil"/>
              <w:right w:val="nil"/>
            </w:tcBorders>
            <w:shd w:val="clear" w:color="000000" w:fill="FFFFFF"/>
            <w:noWrap/>
            <w:vAlign w:val="bottom"/>
          </w:tcPr>
          <w:p w14:paraId="22B76F6D" w14:textId="384EF587" w:rsidR="00D275D9" w:rsidRPr="00D275D9" w:rsidRDefault="00D275D9" w:rsidP="00D275D9">
            <w:pPr>
              <w:spacing w:after="0" w:line="240" w:lineRule="auto"/>
              <w:jc w:val="right"/>
              <w:rPr>
                <w:rFonts w:eastAsia="Times New Roman" w:cs="Times New Roman"/>
                <w:color w:val="000000"/>
                <w:sz w:val="20"/>
                <w:lang w:eastAsia="sk-SK"/>
              </w:rPr>
            </w:pPr>
            <w:r>
              <w:rPr>
                <w:color w:val="BFBFBF"/>
                <w:sz w:val="20"/>
              </w:rPr>
              <w:t>359,1</w:t>
            </w:r>
          </w:p>
        </w:tc>
        <w:tc>
          <w:tcPr>
            <w:tcW w:w="794" w:type="dxa"/>
            <w:tcBorders>
              <w:left w:val="nil"/>
              <w:right w:val="nil"/>
            </w:tcBorders>
            <w:shd w:val="clear" w:color="000000" w:fill="FFFFFF"/>
            <w:noWrap/>
            <w:vAlign w:val="bottom"/>
          </w:tcPr>
          <w:p w14:paraId="723A73E6" w14:textId="29DF5E3A" w:rsidR="00D275D9" w:rsidRPr="00D275D9" w:rsidRDefault="00D275D9" w:rsidP="00D275D9">
            <w:pPr>
              <w:spacing w:after="0" w:line="240" w:lineRule="auto"/>
              <w:jc w:val="right"/>
              <w:rPr>
                <w:rFonts w:eastAsia="Times New Roman" w:cs="Times New Roman"/>
                <w:color w:val="000000"/>
                <w:sz w:val="20"/>
                <w:lang w:eastAsia="sk-SK"/>
              </w:rPr>
            </w:pPr>
            <w:r>
              <w:rPr>
                <w:color w:val="BFBFBF"/>
                <w:sz w:val="20"/>
              </w:rPr>
              <w:t>367,6</w:t>
            </w:r>
          </w:p>
        </w:tc>
        <w:tc>
          <w:tcPr>
            <w:tcW w:w="794" w:type="dxa"/>
            <w:tcBorders>
              <w:left w:val="nil"/>
              <w:right w:val="nil"/>
            </w:tcBorders>
            <w:shd w:val="clear" w:color="000000" w:fill="FFFFFF"/>
            <w:noWrap/>
            <w:vAlign w:val="bottom"/>
          </w:tcPr>
          <w:p w14:paraId="477D2D73" w14:textId="0A71A3EE" w:rsidR="00D275D9" w:rsidRPr="00D275D9" w:rsidRDefault="00D275D9" w:rsidP="00D275D9">
            <w:pPr>
              <w:spacing w:after="0" w:line="240" w:lineRule="auto"/>
              <w:jc w:val="right"/>
              <w:rPr>
                <w:rFonts w:eastAsia="Times New Roman" w:cs="Times New Roman"/>
                <w:color w:val="000000"/>
                <w:sz w:val="20"/>
                <w:lang w:eastAsia="sk-SK"/>
              </w:rPr>
            </w:pPr>
            <w:r>
              <w:rPr>
                <w:color w:val="BFBFBF"/>
                <w:sz w:val="20"/>
              </w:rPr>
              <w:t>370,5</w:t>
            </w:r>
          </w:p>
        </w:tc>
      </w:tr>
      <w:tr w:rsidR="00D275D9" w:rsidRPr="00A42768" w14:paraId="0E09A796" w14:textId="77777777" w:rsidTr="00773905">
        <w:trPr>
          <w:trHeight w:val="255"/>
        </w:trPr>
        <w:tc>
          <w:tcPr>
            <w:tcW w:w="3969" w:type="dxa"/>
            <w:tcBorders>
              <w:left w:val="nil"/>
              <w:bottom w:val="single" w:sz="4" w:space="0" w:color="auto"/>
              <w:right w:val="nil"/>
            </w:tcBorders>
            <w:shd w:val="clear" w:color="000000" w:fill="FFFFFF"/>
            <w:noWrap/>
            <w:vAlign w:val="bottom"/>
          </w:tcPr>
          <w:p w14:paraId="09B48074" w14:textId="3443DC75" w:rsidR="00D275D9" w:rsidRPr="00A42768" w:rsidRDefault="00D275D9" w:rsidP="00D275D9">
            <w:pPr>
              <w:spacing w:after="0" w:line="240" w:lineRule="auto"/>
              <w:ind w:left="214"/>
              <w:jc w:val="left"/>
              <w:rPr>
                <w:rFonts w:eastAsia="Times New Roman" w:cs="Times New Roman"/>
                <w:b/>
                <w:bCs/>
                <w:color w:val="000000"/>
                <w:sz w:val="20"/>
                <w:lang w:eastAsia="sk-SK"/>
              </w:rPr>
            </w:pPr>
            <w:r>
              <w:rPr>
                <w:color w:val="000000"/>
                <w:sz w:val="20"/>
              </w:rPr>
              <w:t>z toho ohrození chudobou alebo soc. vylúčením</w:t>
            </w:r>
          </w:p>
        </w:tc>
        <w:tc>
          <w:tcPr>
            <w:tcW w:w="1134" w:type="dxa"/>
            <w:tcBorders>
              <w:left w:val="nil"/>
              <w:bottom w:val="single" w:sz="4" w:space="0" w:color="auto"/>
              <w:right w:val="nil"/>
            </w:tcBorders>
            <w:shd w:val="clear" w:color="000000" w:fill="FFFFFF"/>
            <w:noWrap/>
            <w:vAlign w:val="bottom"/>
          </w:tcPr>
          <w:p w14:paraId="6CB0A68C" w14:textId="476770FB" w:rsidR="00D275D9" w:rsidRPr="00A42768" w:rsidRDefault="00D275D9" w:rsidP="00D275D9">
            <w:pPr>
              <w:spacing w:after="0" w:line="240" w:lineRule="auto"/>
              <w:jc w:val="left"/>
              <w:rPr>
                <w:rFonts w:eastAsia="Times New Roman" w:cs="Times New Roman"/>
                <w:color w:val="000000"/>
                <w:sz w:val="20"/>
                <w:lang w:eastAsia="sk-SK"/>
              </w:rPr>
            </w:pPr>
            <w:r>
              <w:rPr>
                <w:color w:val="000000"/>
                <w:sz w:val="20"/>
              </w:rPr>
              <w:t> </w:t>
            </w:r>
          </w:p>
        </w:tc>
        <w:tc>
          <w:tcPr>
            <w:tcW w:w="793" w:type="dxa"/>
            <w:tcBorders>
              <w:left w:val="nil"/>
              <w:bottom w:val="single" w:sz="4" w:space="0" w:color="auto"/>
              <w:right w:val="nil"/>
            </w:tcBorders>
            <w:shd w:val="clear" w:color="000000" w:fill="FFFFFF"/>
            <w:noWrap/>
            <w:vAlign w:val="bottom"/>
          </w:tcPr>
          <w:p w14:paraId="4FF242D8" w14:textId="602900F6" w:rsidR="00D275D9" w:rsidRPr="00D275D9" w:rsidRDefault="00D275D9" w:rsidP="00D275D9">
            <w:pPr>
              <w:spacing w:after="0" w:line="240" w:lineRule="auto"/>
              <w:jc w:val="right"/>
              <w:rPr>
                <w:b/>
                <w:bCs/>
                <w:sz w:val="20"/>
              </w:rPr>
            </w:pPr>
            <w:r>
              <w:rPr>
                <w:sz w:val="20"/>
              </w:rPr>
              <w:t>39,8</w:t>
            </w:r>
          </w:p>
        </w:tc>
        <w:tc>
          <w:tcPr>
            <w:tcW w:w="794" w:type="dxa"/>
            <w:tcBorders>
              <w:left w:val="nil"/>
              <w:bottom w:val="single" w:sz="4" w:space="0" w:color="auto"/>
              <w:right w:val="nil"/>
            </w:tcBorders>
            <w:shd w:val="clear" w:color="000000" w:fill="FFFFFF"/>
            <w:noWrap/>
            <w:vAlign w:val="bottom"/>
          </w:tcPr>
          <w:p w14:paraId="1BFB2739" w14:textId="231A76F2" w:rsidR="00D275D9" w:rsidRPr="00D275D9" w:rsidRDefault="00D275D9" w:rsidP="00D275D9">
            <w:pPr>
              <w:spacing w:after="0" w:line="240" w:lineRule="auto"/>
              <w:jc w:val="right"/>
              <w:rPr>
                <w:rFonts w:eastAsia="Times New Roman" w:cs="Times New Roman"/>
                <w:color w:val="000000"/>
                <w:sz w:val="20"/>
                <w:lang w:eastAsia="sk-SK"/>
              </w:rPr>
            </w:pPr>
            <w:r>
              <w:rPr>
                <w:sz w:val="20"/>
              </w:rPr>
              <w:t>49,2</w:t>
            </w:r>
          </w:p>
        </w:tc>
        <w:tc>
          <w:tcPr>
            <w:tcW w:w="794" w:type="dxa"/>
            <w:tcBorders>
              <w:left w:val="nil"/>
              <w:bottom w:val="single" w:sz="4" w:space="0" w:color="auto"/>
              <w:right w:val="nil"/>
            </w:tcBorders>
            <w:shd w:val="clear" w:color="000000" w:fill="FFFFFF"/>
            <w:noWrap/>
            <w:vAlign w:val="bottom"/>
          </w:tcPr>
          <w:p w14:paraId="0D1C6584" w14:textId="64882295" w:rsidR="00D275D9" w:rsidRPr="00D275D9" w:rsidRDefault="00D275D9" w:rsidP="00D275D9">
            <w:pPr>
              <w:spacing w:after="0" w:line="240" w:lineRule="auto"/>
              <w:jc w:val="right"/>
              <w:rPr>
                <w:rFonts w:eastAsia="Times New Roman" w:cs="Times New Roman"/>
                <w:color w:val="000000"/>
                <w:sz w:val="20"/>
                <w:lang w:eastAsia="sk-SK"/>
              </w:rPr>
            </w:pPr>
            <w:r>
              <w:rPr>
                <w:sz w:val="20"/>
              </w:rPr>
              <w:t>53,1</w:t>
            </w:r>
          </w:p>
        </w:tc>
        <w:tc>
          <w:tcPr>
            <w:tcW w:w="794" w:type="dxa"/>
            <w:tcBorders>
              <w:left w:val="nil"/>
              <w:bottom w:val="single" w:sz="4" w:space="0" w:color="auto"/>
              <w:right w:val="nil"/>
            </w:tcBorders>
            <w:shd w:val="clear" w:color="000000" w:fill="FFFFFF"/>
            <w:noWrap/>
            <w:vAlign w:val="bottom"/>
          </w:tcPr>
          <w:p w14:paraId="156F2816" w14:textId="01869A06" w:rsidR="00D275D9" w:rsidRPr="00D275D9" w:rsidRDefault="00D275D9" w:rsidP="00D275D9">
            <w:pPr>
              <w:spacing w:after="0" w:line="240" w:lineRule="auto"/>
              <w:jc w:val="right"/>
              <w:rPr>
                <w:rFonts w:eastAsia="Times New Roman" w:cs="Times New Roman"/>
                <w:color w:val="000000"/>
                <w:sz w:val="20"/>
                <w:lang w:eastAsia="sk-SK"/>
              </w:rPr>
            </w:pPr>
            <w:r>
              <w:rPr>
                <w:sz w:val="20"/>
              </w:rPr>
              <w:t>54,3</w:t>
            </w:r>
          </w:p>
        </w:tc>
        <w:tc>
          <w:tcPr>
            <w:tcW w:w="794" w:type="dxa"/>
            <w:tcBorders>
              <w:left w:val="nil"/>
              <w:bottom w:val="single" w:sz="4" w:space="0" w:color="auto"/>
              <w:right w:val="nil"/>
            </w:tcBorders>
            <w:shd w:val="clear" w:color="000000" w:fill="FFFFFF"/>
            <w:noWrap/>
            <w:vAlign w:val="bottom"/>
          </w:tcPr>
          <w:p w14:paraId="64619122" w14:textId="6B25099A" w:rsidR="00D275D9" w:rsidRPr="00D275D9" w:rsidRDefault="00D275D9" w:rsidP="00D275D9">
            <w:pPr>
              <w:spacing w:after="0" w:line="240" w:lineRule="auto"/>
              <w:jc w:val="right"/>
              <w:rPr>
                <w:rFonts w:eastAsia="Times New Roman" w:cs="Times New Roman"/>
                <w:color w:val="000000"/>
                <w:sz w:val="20"/>
                <w:lang w:eastAsia="sk-SK"/>
              </w:rPr>
            </w:pPr>
            <w:r>
              <w:rPr>
                <w:sz w:val="20"/>
              </w:rPr>
              <w:t>54,8</w:t>
            </w:r>
          </w:p>
        </w:tc>
      </w:tr>
      <w:tr w:rsidR="00D275D9" w:rsidRPr="00A42768" w14:paraId="2C803438" w14:textId="77777777" w:rsidTr="00140186">
        <w:trPr>
          <w:trHeight w:val="255"/>
        </w:trPr>
        <w:tc>
          <w:tcPr>
            <w:tcW w:w="3969" w:type="dxa"/>
            <w:tcBorders>
              <w:top w:val="single" w:sz="4" w:space="0" w:color="auto"/>
              <w:left w:val="nil"/>
              <w:bottom w:val="single" w:sz="4" w:space="0" w:color="auto"/>
              <w:right w:val="nil"/>
            </w:tcBorders>
            <w:shd w:val="clear" w:color="000000" w:fill="FFFFFF"/>
            <w:noWrap/>
            <w:vAlign w:val="bottom"/>
            <w:hideMark/>
          </w:tcPr>
          <w:p w14:paraId="57141618" w14:textId="77777777" w:rsidR="00D275D9" w:rsidRPr="00A42768" w:rsidRDefault="00D275D9" w:rsidP="00D275D9">
            <w:pPr>
              <w:spacing w:after="0" w:line="240" w:lineRule="auto"/>
              <w:jc w:val="left"/>
              <w:rPr>
                <w:rFonts w:eastAsia="Times New Roman" w:cs="Times New Roman"/>
                <w:b/>
                <w:bCs/>
                <w:color w:val="000000"/>
                <w:sz w:val="20"/>
                <w:lang w:eastAsia="sk-SK"/>
              </w:rPr>
            </w:pPr>
            <w:r w:rsidRPr="00A42768">
              <w:rPr>
                <w:rFonts w:eastAsia="Times New Roman" w:cs="Times New Roman"/>
                <w:b/>
                <w:bCs/>
                <w:color w:val="000000"/>
                <w:sz w:val="20"/>
                <w:lang w:eastAsia="sk-SK"/>
              </w:rPr>
              <w:t>Podpora osôb so zdravotným znevýhodnením</w:t>
            </w:r>
          </w:p>
        </w:tc>
        <w:tc>
          <w:tcPr>
            <w:tcW w:w="1134" w:type="dxa"/>
            <w:tcBorders>
              <w:top w:val="single" w:sz="4" w:space="0" w:color="auto"/>
              <w:left w:val="nil"/>
              <w:bottom w:val="single" w:sz="4" w:space="0" w:color="auto"/>
              <w:right w:val="nil"/>
            </w:tcBorders>
            <w:shd w:val="clear" w:color="000000" w:fill="FFFFFF"/>
            <w:noWrap/>
            <w:vAlign w:val="bottom"/>
            <w:hideMark/>
          </w:tcPr>
          <w:p w14:paraId="38A087B6" w14:textId="77777777" w:rsidR="00D275D9" w:rsidRPr="00A42768" w:rsidRDefault="00D275D9" w:rsidP="00D275D9">
            <w:pPr>
              <w:spacing w:after="0" w:line="240" w:lineRule="auto"/>
              <w:jc w:val="left"/>
              <w:rPr>
                <w:rFonts w:eastAsia="Times New Roman" w:cs="Times New Roman"/>
                <w:color w:val="000000"/>
                <w:sz w:val="20"/>
                <w:lang w:eastAsia="sk-SK"/>
              </w:rPr>
            </w:pPr>
            <w:r w:rsidRPr="00A42768">
              <w:rPr>
                <w:rFonts w:eastAsia="Times New Roman" w:cs="Times New Roman"/>
                <w:color w:val="000000"/>
                <w:sz w:val="20"/>
                <w:lang w:eastAsia="sk-SK"/>
              </w:rPr>
              <w:t> </w:t>
            </w:r>
          </w:p>
        </w:tc>
        <w:tc>
          <w:tcPr>
            <w:tcW w:w="793" w:type="dxa"/>
            <w:tcBorders>
              <w:top w:val="single" w:sz="4" w:space="0" w:color="auto"/>
              <w:left w:val="nil"/>
              <w:bottom w:val="single" w:sz="4" w:space="0" w:color="auto"/>
              <w:right w:val="nil"/>
            </w:tcBorders>
            <w:shd w:val="clear" w:color="000000" w:fill="FFFFFF"/>
            <w:noWrap/>
            <w:vAlign w:val="bottom"/>
            <w:hideMark/>
          </w:tcPr>
          <w:p w14:paraId="018327AA" w14:textId="7399451D" w:rsidR="00D275D9" w:rsidRPr="00D275D9" w:rsidRDefault="00D275D9" w:rsidP="00D275D9">
            <w:pPr>
              <w:spacing w:after="0" w:line="240" w:lineRule="auto"/>
              <w:jc w:val="right"/>
              <w:rPr>
                <w:rFonts w:eastAsia="Times New Roman" w:cs="Times New Roman"/>
                <w:b/>
                <w:bCs/>
                <w:sz w:val="20"/>
                <w:lang w:eastAsia="sk-SK"/>
              </w:rPr>
            </w:pPr>
            <w:r>
              <w:rPr>
                <w:b/>
                <w:bCs/>
                <w:sz w:val="20"/>
              </w:rPr>
              <w:t xml:space="preserve">1 </w:t>
            </w:r>
            <w:r w:rsidR="00C2247E">
              <w:rPr>
                <w:b/>
                <w:bCs/>
                <w:sz w:val="20"/>
              </w:rPr>
              <w:t>224</w:t>
            </w:r>
            <w:r>
              <w:rPr>
                <w:b/>
                <w:bCs/>
                <w:sz w:val="20"/>
              </w:rPr>
              <w:t>,</w:t>
            </w:r>
            <w:r w:rsidR="00C2247E">
              <w:rPr>
                <w:b/>
                <w:bCs/>
                <w:sz w:val="20"/>
              </w:rPr>
              <w:t>1</w:t>
            </w:r>
          </w:p>
        </w:tc>
        <w:tc>
          <w:tcPr>
            <w:tcW w:w="794" w:type="dxa"/>
            <w:tcBorders>
              <w:top w:val="single" w:sz="4" w:space="0" w:color="auto"/>
              <w:left w:val="nil"/>
              <w:bottom w:val="single" w:sz="4" w:space="0" w:color="auto"/>
              <w:right w:val="nil"/>
            </w:tcBorders>
            <w:shd w:val="clear" w:color="000000" w:fill="FFFFFF"/>
            <w:noWrap/>
            <w:vAlign w:val="bottom"/>
            <w:hideMark/>
          </w:tcPr>
          <w:p w14:paraId="1F95505E" w14:textId="666470B8" w:rsidR="00D275D9" w:rsidRPr="00D275D9" w:rsidRDefault="00D275D9" w:rsidP="00D275D9">
            <w:pPr>
              <w:spacing w:after="0" w:line="240" w:lineRule="auto"/>
              <w:jc w:val="right"/>
              <w:rPr>
                <w:rFonts w:eastAsia="Times New Roman" w:cs="Times New Roman"/>
                <w:color w:val="000000"/>
                <w:sz w:val="20"/>
                <w:lang w:eastAsia="sk-SK"/>
              </w:rPr>
            </w:pPr>
            <w:r>
              <w:rPr>
                <w:b/>
                <w:bCs/>
                <w:sz w:val="20"/>
              </w:rPr>
              <w:t xml:space="preserve">1 </w:t>
            </w:r>
            <w:r w:rsidR="00C2247E">
              <w:rPr>
                <w:b/>
                <w:bCs/>
                <w:sz w:val="20"/>
              </w:rPr>
              <w:t>340</w:t>
            </w:r>
            <w:r>
              <w:rPr>
                <w:b/>
                <w:bCs/>
                <w:sz w:val="20"/>
              </w:rPr>
              <w:t>,</w:t>
            </w:r>
            <w:r w:rsidR="00C2247E">
              <w:rPr>
                <w:b/>
                <w:bCs/>
                <w:sz w:val="20"/>
              </w:rPr>
              <w:t>6</w:t>
            </w:r>
          </w:p>
        </w:tc>
        <w:tc>
          <w:tcPr>
            <w:tcW w:w="794" w:type="dxa"/>
            <w:tcBorders>
              <w:top w:val="single" w:sz="4" w:space="0" w:color="auto"/>
              <w:left w:val="nil"/>
              <w:bottom w:val="single" w:sz="4" w:space="0" w:color="auto"/>
              <w:right w:val="nil"/>
            </w:tcBorders>
            <w:shd w:val="clear" w:color="000000" w:fill="FFFFFF"/>
            <w:noWrap/>
            <w:vAlign w:val="bottom"/>
            <w:hideMark/>
          </w:tcPr>
          <w:p w14:paraId="3E38F50D" w14:textId="36453C61" w:rsidR="00D275D9" w:rsidRPr="00D275D9" w:rsidRDefault="00D275D9" w:rsidP="00D275D9">
            <w:pPr>
              <w:spacing w:after="0" w:line="240" w:lineRule="auto"/>
              <w:jc w:val="right"/>
              <w:rPr>
                <w:rFonts w:eastAsia="Times New Roman" w:cs="Times New Roman"/>
                <w:color w:val="000000"/>
                <w:sz w:val="20"/>
                <w:lang w:eastAsia="sk-SK"/>
              </w:rPr>
            </w:pPr>
            <w:r>
              <w:rPr>
                <w:b/>
                <w:bCs/>
                <w:sz w:val="20"/>
              </w:rPr>
              <w:t xml:space="preserve">1 </w:t>
            </w:r>
            <w:r w:rsidR="00C2247E">
              <w:rPr>
                <w:b/>
                <w:bCs/>
                <w:sz w:val="20"/>
              </w:rPr>
              <w:t>361</w:t>
            </w:r>
            <w:r>
              <w:rPr>
                <w:b/>
                <w:bCs/>
                <w:sz w:val="20"/>
              </w:rPr>
              <w:t>,6</w:t>
            </w:r>
          </w:p>
        </w:tc>
        <w:tc>
          <w:tcPr>
            <w:tcW w:w="794" w:type="dxa"/>
            <w:tcBorders>
              <w:top w:val="single" w:sz="4" w:space="0" w:color="auto"/>
              <w:left w:val="nil"/>
              <w:bottom w:val="single" w:sz="4" w:space="0" w:color="auto"/>
              <w:right w:val="nil"/>
            </w:tcBorders>
            <w:shd w:val="clear" w:color="000000" w:fill="FFFFFF"/>
            <w:noWrap/>
            <w:vAlign w:val="bottom"/>
            <w:hideMark/>
          </w:tcPr>
          <w:p w14:paraId="2A1DBCF7" w14:textId="002F3D08" w:rsidR="00D275D9" w:rsidRPr="00D275D9" w:rsidRDefault="00D275D9" w:rsidP="00D275D9">
            <w:pPr>
              <w:spacing w:after="0" w:line="240" w:lineRule="auto"/>
              <w:jc w:val="right"/>
              <w:rPr>
                <w:rFonts w:eastAsia="Times New Roman" w:cs="Times New Roman"/>
                <w:color w:val="000000"/>
                <w:sz w:val="20"/>
                <w:lang w:eastAsia="sk-SK"/>
              </w:rPr>
            </w:pPr>
            <w:r>
              <w:rPr>
                <w:b/>
                <w:bCs/>
                <w:sz w:val="20"/>
              </w:rPr>
              <w:t xml:space="preserve">1 </w:t>
            </w:r>
            <w:r w:rsidR="00C2247E">
              <w:rPr>
                <w:b/>
                <w:bCs/>
                <w:sz w:val="20"/>
              </w:rPr>
              <w:t>405</w:t>
            </w:r>
            <w:r>
              <w:rPr>
                <w:b/>
                <w:bCs/>
                <w:sz w:val="20"/>
              </w:rPr>
              <w:t>,</w:t>
            </w:r>
            <w:r w:rsidR="00C2247E">
              <w:rPr>
                <w:b/>
                <w:bCs/>
                <w:sz w:val="20"/>
              </w:rPr>
              <w:t>4</w:t>
            </w:r>
          </w:p>
        </w:tc>
        <w:tc>
          <w:tcPr>
            <w:tcW w:w="794" w:type="dxa"/>
            <w:tcBorders>
              <w:top w:val="single" w:sz="4" w:space="0" w:color="auto"/>
              <w:left w:val="nil"/>
              <w:bottom w:val="single" w:sz="4" w:space="0" w:color="auto"/>
              <w:right w:val="nil"/>
            </w:tcBorders>
            <w:shd w:val="clear" w:color="000000" w:fill="FFFFFF"/>
            <w:noWrap/>
            <w:vAlign w:val="bottom"/>
            <w:hideMark/>
          </w:tcPr>
          <w:p w14:paraId="51E72B97" w14:textId="066EFFA9" w:rsidR="00D275D9" w:rsidRPr="00D275D9" w:rsidRDefault="00D275D9" w:rsidP="00D275D9">
            <w:pPr>
              <w:spacing w:after="0" w:line="240" w:lineRule="auto"/>
              <w:jc w:val="right"/>
              <w:rPr>
                <w:rFonts w:eastAsia="Times New Roman" w:cs="Times New Roman"/>
                <w:color w:val="000000"/>
                <w:sz w:val="20"/>
                <w:lang w:eastAsia="sk-SK"/>
              </w:rPr>
            </w:pPr>
            <w:r>
              <w:rPr>
                <w:b/>
                <w:bCs/>
                <w:sz w:val="20"/>
              </w:rPr>
              <w:t xml:space="preserve">1 </w:t>
            </w:r>
            <w:r w:rsidR="00C2247E">
              <w:rPr>
                <w:b/>
                <w:bCs/>
                <w:sz w:val="20"/>
              </w:rPr>
              <w:t>412</w:t>
            </w:r>
            <w:r>
              <w:rPr>
                <w:b/>
                <w:bCs/>
                <w:sz w:val="20"/>
              </w:rPr>
              <w:t>,</w:t>
            </w:r>
            <w:r w:rsidR="00C2247E">
              <w:rPr>
                <w:b/>
                <w:bCs/>
                <w:sz w:val="20"/>
              </w:rPr>
              <w:t>1</w:t>
            </w:r>
          </w:p>
        </w:tc>
      </w:tr>
      <w:tr w:rsidR="00C2247E" w:rsidRPr="00A42768" w14:paraId="3AE2908A" w14:textId="77777777" w:rsidTr="00140186">
        <w:trPr>
          <w:trHeight w:val="255"/>
        </w:trPr>
        <w:tc>
          <w:tcPr>
            <w:tcW w:w="3969" w:type="dxa"/>
            <w:tcBorders>
              <w:top w:val="nil"/>
              <w:left w:val="nil"/>
              <w:bottom w:val="nil"/>
              <w:right w:val="nil"/>
            </w:tcBorders>
            <w:shd w:val="clear" w:color="000000" w:fill="FFFFFF"/>
            <w:noWrap/>
            <w:vAlign w:val="bottom"/>
            <w:hideMark/>
          </w:tcPr>
          <w:p w14:paraId="4D60258E" w14:textId="77777777" w:rsidR="00C2247E" w:rsidRPr="00A42768" w:rsidRDefault="00C2247E" w:rsidP="00C2247E">
            <w:pPr>
              <w:spacing w:after="0" w:line="240" w:lineRule="auto"/>
              <w:jc w:val="left"/>
              <w:rPr>
                <w:rFonts w:eastAsia="Times New Roman" w:cs="Times New Roman"/>
                <w:color w:val="000000"/>
                <w:sz w:val="20"/>
                <w:lang w:eastAsia="sk-SK"/>
              </w:rPr>
            </w:pPr>
            <w:r w:rsidRPr="00A42768">
              <w:rPr>
                <w:rFonts w:eastAsia="Times New Roman" w:cs="Times New Roman"/>
                <w:color w:val="000000"/>
                <w:sz w:val="20"/>
                <w:lang w:eastAsia="sk-SK"/>
              </w:rPr>
              <w:t>Peňažné príspevky na kompenzáciu ŤZP</w:t>
            </w:r>
          </w:p>
        </w:tc>
        <w:tc>
          <w:tcPr>
            <w:tcW w:w="1134" w:type="dxa"/>
            <w:tcBorders>
              <w:top w:val="nil"/>
              <w:left w:val="nil"/>
              <w:bottom w:val="nil"/>
              <w:right w:val="nil"/>
            </w:tcBorders>
            <w:shd w:val="clear" w:color="000000" w:fill="FFFFFF"/>
            <w:noWrap/>
            <w:vAlign w:val="bottom"/>
            <w:hideMark/>
          </w:tcPr>
          <w:p w14:paraId="7C8D90EC" w14:textId="77777777" w:rsidR="00C2247E" w:rsidRPr="00A42768" w:rsidRDefault="00C2247E" w:rsidP="00C2247E">
            <w:pPr>
              <w:spacing w:after="0" w:line="240" w:lineRule="auto"/>
              <w:jc w:val="left"/>
              <w:rPr>
                <w:rFonts w:eastAsia="Times New Roman" w:cs="Times New Roman"/>
                <w:color w:val="000000"/>
                <w:sz w:val="20"/>
                <w:lang w:eastAsia="sk-SK"/>
              </w:rPr>
            </w:pPr>
            <w:r w:rsidRPr="00A42768">
              <w:rPr>
                <w:rFonts w:eastAsia="Times New Roman" w:cs="Times New Roman"/>
                <w:color w:val="000000"/>
                <w:sz w:val="20"/>
                <w:lang w:eastAsia="sk-SK"/>
              </w:rPr>
              <w:t>MPSVR</w:t>
            </w:r>
          </w:p>
        </w:tc>
        <w:tc>
          <w:tcPr>
            <w:tcW w:w="793" w:type="dxa"/>
            <w:tcBorders>
              <w:top w:val="nil"/>
              <w:left w:val="nil"/>
              <w:bottom w:val="nil"/>
              <w:right w:val="nil"/>
            </w:tcBorders>
            <w:shd w:val="clear" w:color="000000" w:fill="FFFFFF"/>
            <w:noWrap/>
            <w:vAlign w:val="bottom"/>
            <w:hideMark/>
          </w:tcPr>
          <w:p w14:paraId="5DFDB3DB" w14:textId="6B52A2D3" w:rsidR="00C2247E" w:rsidRPr="00D275D9" w:rsidRDefault="00C2247E" w:rsidP="00C2247E">
            <w:pPr>
              <w:spacing w:after="0" w:line="240" w:lineRule="auto"/>
              <w:jc w:val="right"/>
              <w:rPr>
                <w:rFonts w:eastAsia="Times New Roman" w:cs="Times New Roman"/>
                <w:sz w:val="20"/>
                <w:lang w:eastAsia="sk-SK"/>
              </w:rPr>
            </w:pPr>
            <w:r>
              <w:rPr>
                <w:sz w:val="20"/>
              </w:rPr>
              <w:t>293,2</w:t>
            </w:r>
          </w:p>
        </w:tc>
        <w:tc>
          <w:tcPr>
            <w:tcW w:w="794" w:type="dxa"/>
            <w:tcBorders>
              <w:top w:val="nil"/>
              <w:left w:val="nil"/>
              <w:bottom w:val="nil"/>
              <w:right w:val="nil"/>
            </w:tcBorders>
            <w:shd w:val="clear" w:color="000000" w:fill="FFFFFF"/>
            <w:noWrap/>
            <w:vAlign w:val="bottom"/>
            <w:hideMark/>
          </w:tcPr>
          <w:p w14:paraId="68E9B7CA" w14:textId="5C3D6DD7" w:rsidR="00C2247E" w:rsidRPr="00D275D9" w:rsidRDefault="00C2247E" w:rsidP="00C2247E">
            <w:pPr>
              <w:spacing w:after="0" w:line="240" w:lineRule="auto"/>
              <w:jc w:val="right"/>
              <w:rPr>
                <w:rFonts w:eastAsia="Times New Roman" w:cs="Times New Roman"/>
                <w:color w:val="000000"/>
                <w:sz w:val="20"/>
                <w:lang w:eastAsia="sk-SK"/>
              </w:rPr>
            </w:pPr>
            <w:r>
              <w:rPr>
                <w:sz w:val="20"/>
              </w:rPr>
              <w:t>395,9</w:t>
            </w:r>
          </w:p>
        </w:tc>
        <w:tc>
          <w:tcPr>
            <w:tcW w:w="794" w:type="dxa"/>
            <w:tcBorders>
              <w:top w:val="nil"/>
              <w:left w:val="nil"/>
              <w:bottom w:val="nil"/>
              <w:right w:val="nil"/>
            </w:tcBorders>
            <w:shd w:val="clear" w:color="000000" w:fill="FFFFFF"/>
            <w:noWrap/>
            <w:vAlign w:val="bottom"/>
            <w:hideMark/>
          </w:tcPr>
          <w:p w14:paraId="693CBB6A" w14:textId="3BABAE3E" w:rsidR="00C2247E" w:rsidRPr="00D275D9" w:rsidRDefault="00C2247E" w:rsidP="00C2247E">
            <w:pPr>
              <w:spacing w:after="0" w:line="240" w:lineRule="auto"/>
              <w:jc w:val="right"/>
              <w:rPr>
                <w:rFonts w:eastAsia="Times New Roman" w:cs="Times New Roman"/>
                <w:color w:val="000000"/>
                <w:sz w:val="20"/>
                <w:lang w:eastAsia="sk-SK"/>
              </w:rPr>
            </w:pPr>
            <w:r>
              <w:rPr>
                <w:sz w:val="20"/>
              </w:rPr>
              <w:t>423,5</w:t>
            </w:r>
          </w:p>
        </w:tc>
        <w:tc>
          <w:tcPr>
            <w:tcW w:w="794" w:type="dxa"/>
            <w:tcBorders>
              <w:top w:val="nil"/>
              <w:left w:val="nil"/>
              <w:bottom w:val="nil"/>
              <w:right w:val="nil"/>
            </w:tcBorders>
            <w:shd w:val="clear" w:color="000000" w:fill="FFFFFF"/>
            <w:noWrap/>
            <w:vAlign w:val="bottom"/>
            <w:hideMark/>
          </w:tcPr>
          <w:p w14:paraId="59EEB516" w14:textId="444851E5" w:rsidR="00C2247E" w:rsidRPr="00D275D9" w:rsidRDefault="00C2247E" w:rsidP="00C2247E">
            <w:pPr>
              <w:spacing w:after="0" w:line="240" w:lineRule="auto"/>
              <w:jc w:val="right"/>
              <w:rPr>
                <w:rFonts w:eastAsia="Times New Roman" w:cs="Times New Roman"/>
                <w:color w:val="000000"/>
                <w:sz w:val="20"/>
                <w:lang w:eastAsia="sk-SK"/>
              </w:rPr>
            </w:pPr>
            <w:r>
              <w:rPr>
                <w:sz w:val="20"/>
              </w:rPr>
              <w:t>432,6</w:t>
            </w:r>
          </w:p>
        </w:tc>
        <w:tc>
          <w:tcPr>
            <w:tcW w:w="794" w:type="dxa"/>
            <w:tcBorders>
              <w:top w:val="nil"/>
              <w:left w:val="nil"/>
              <w:bottom w:val="nil"/>
              <w:right w:val="nil"/>
            </w:tcBorders>
            <w:shd w:val="clear" w:color="000000" w:fill="FFFFFF"/>
            <w:noWrap/>
            <w:vAlign w:val="bottom"/>
            <w:hideMark/>
          </w:tcPr>
          <w:p w14:paraId="35A5F631" w14:textId="257AA213" w:rsidR="00C2247E" w:rsidRPr="00D275D9" w:rsidRDefault="00C2247E" w:rsidP="00C2247E">
            <w:pPr>
              <w:spacing w:after="0" w:line="240" w:lineRule="auto"/>
              <w:jc w:val="right"/>
              <w:rPr>
                <w:rFonts w:eastAsia="Times New Roman" w:cs="Times New Roman"/>
                <w:color w:val="000000"/>
                <w:sz w:val="20"/>
                <w:lang w:eastAsia="sk-SK"/>
              </w:rPr>
            </w:pPr>
            <w:r>
              <w:rPr>
                <w:sz w:val="20"/>
              </w:rPr>
              <w:t>442,2</w:t>
            </w:r>
          </w:p>
        </w:tc>
      </w:tr>
      <w:tr w:rsidR="00C2247E" w:rsidRPr="00A42768" w14:paraId="101B2003" w14:textId="77777777" w:rsidTr="00140186">
        <w:trPr>
          <w:trHeight w:val="255"/>
        </w:trPr>
        <w:tc>
          <w:tcPr>
            <w:tcW w:w="3969" w:type="dxa"/>
            <w:tcBorders>
              <w:top w:val="nil"/>
              <w:left w:val="nil"/>
              <w:bottom w:val="nil"/>
              <w:right w:val="nil"/>
            </w:tcBorders>
            <w:shd w:val="clear" w:color="000000" w:fill="FFFFFF"/>
            <w:noWrap/>
            <w:vAlign w:val="bottom"/>
            <w:hideMark/>
          </w:tcPr>
          <w:p w14:paraId="20CFD6B3" w14:textId="77777777" w:rsidR="00C2247E" w:rsidRPr="00A42768" w:rsidRDefault="00C2247E" w:rsidP="00C2247E">
            <w:pPr>
              <w:spacing w:after="0" w:line="240" w:lineRule="auto"/>
              <w:jc w:val="left"/>
              <w:rPr>
                <w:rFonts w:eastAsia="Times New Roman" w:cs="Times New Roman"/>
                <w:color w:val="000000"/>
                <w:sz w:val="20"/>
                <w:lang w:eastAsia="sk-SK"/>
              </w:rPr>
            </w:pPr>
            <w:r w:rsidRPr="00A42768">
              <w:rPr>
                <w:rFonts w:eastAsia="Times New Roman" w:cs="Times New Roman"/>
                <w:color w:val="000000"/>
                <w:sz w:val="20"/>
                <w:lang w:eastAsia="sk-SK"/>
              </w:rPr>
              <w:t>Invalidný dôchodok</w:t>
            </w:r>
          </w:p>
        </w:tc>
        <w:tc>
          <w:tcPr>
            <w:tcW w:w="1134" w:type="dxa"/>
            <w:tcBorders>
              <w:top w:val="nil"/>
              <w:left w:val="nil"/>
              <w:bottom w:val="nil"/>
              <w:right w:val="nil"/>
            </w:tcBorders>
            <w:shd w:val="clear" w:color="000000" w:fill="FFFFFF"/>
            <w:noWrap/>
            <w:vAlign w:val="bottom"/>
            <w:hideMark/>
          </w:tcPr>
          <w:p w14:paraId="606C5F53" w14:textId="77777777" w:rsidR="00C2247E" w:rsidRPr="00A42768" w:rsidRDefault="00C2247E" w:rsidP="00C2247E">
            <w:pPr>
              <w:spacing w:after="0" w:line="240" w:lineRule="auto"/>
              <w:jc w:val="left"/>
              <w:rPr>
                <w:rFonts w:eastAsia="Times New Roman" w:cs="Times New Roman"/>
                <w:color w:val="000000"/>
                <w:sz w:val="20"/>
                <w:lang w:eastAsia="sk-SK"/>
              </w:rPr>
            </w:pPr>
            <w:r w:rsidRPr="00A42768">
              <w:rPr>
                <w:rFonts w:eastAsia="Times New Roman" w:cs="Times New Roman"/>
                <w:color w:val="000000"/>
                <w:sz w:val="20"/>
                <w:lang w:eastAsia="sk-SK"/>
              </w:rPr>
              <w:t>MPSVR</w:t>
            </w:r>
          </w:p>
        </w:tc>
        <w:tc>
          <w:tcPr>
            <w:tcW w:w="793" w:type="dxa"/>
            <w:tcBorders>
              <w:top w:val="nil"/>
              <w:left w:val="nil"/>
              <w:bottom w:val="nil"/>
              <w:right w:val="nil"/>
            </w:tcBorders>
            <w:shd w:val="clear" w:color="000000" w:fill="FFFFFF"/>
            <w:noWrap/>
            <w:vAlign w:val="bottom"/>
            <w:hideMark/>
          </w:tcPr>
          <w:p w14:paraId="3891EC3D" w14:textId="6CA86B3F" w:rsidR="00C2247E" w:rsidRPr="00D275D9" w:rsidRDefault="00C2247E" w:rsidP="00C2247E">
            <w:pPr>
              <w:spacing w:after="0" w:line="240" w:lineRule="auto"/>
              <w:jc w:val="right"/>
              <w:rPr>
                <w:rFonts w:eastAsia="Times New Roman" w:cs="Times New Roman"/>
                <w:sz w:val="20"/>
                <w:lang w:eastAsia="sk-SK"/>
              </w:rPr>
            </w:pPr>
            <w:r>
              <w:rPr>
                <w:sz w:val="20"/>
              </w:rPr>
              <w:t>930,9</w:t>
            </w:r>
          </w:p>
        </w:tc>
        <w:tc>
          <w:tcPr>
            <w:tcW w:w="794" w:type="dxa"/>
            <w:tcBorders>
              <w:top w:val="nil"/>
              <w:left w:val="nil"/>
              <w:bottom w:val="nil"/>
              <w:right w:val="nil"/>
            </w:tcBorders>
            <w:shd w:val="clear" w:color="000000" w:fill="FFFFFF"/>
            <w:noWrap/>
            <w:vAlign w:val="bottom"/>
            <w:hideMark/>
          </w:tcPr>
          <w:p w14:paraId="5120A804" w14:textId="14274082" w:rsidR="00C2247E" w:rsidRPr="00D275D9" w:rsidRDefault="00C2247E" w:rsidP="00C2247E">
            <w:pPr>
              <w:spacing w:after="0" w:line="240" w:lineRule="auto"/>
              <w:jc w:val="right"/>
              <w:rPr>
                <w:rFonts w:eastAsia="Times New Roman" w:cs="Times New Roman"/>
                <w:color w:val="000000"/>
                <w:sz w:val="20"/>
                <w:lang w:eastAsia="sk-SK"/>
              </w:rPr>
            </w:pPr>
            <w:r>
              <w:rPr>
                <w:sz w:val="20"/>
              </w:rPr>
              <w:t>944,7</w:t>
            </w:r>
          </w:p>
        </w:tc>
        <w:tc>
          <w:tcPr>
            <w:tcW w:w="794" w:type="dxa"/>
            <w:tcBorders>
              <w:top w:val="nil"/>
              <w:left w:val="nil"/>
              <w:bottom w:val="nil"/>
              <w:right w:val="nil"/>
            </w:tcBorders>
            <w:shd w:val="clear" w:color="000000" w:fill="FFFFFF"/>
            <w:noWrap/>
            <w:vAlign w:val="bottom"/>
            <w:hideMark/>
          </w:tcPr>
          <w:p w14:paraId="6CDA82B5" w14:textId="40E26F01" w:rsidR="00C2247E" w:rsidRPr="00D275D9" w:rsidRDefault="00C2247E" w:rsidP="00C2247E">
            <w:pPr>
              <w:spacing w:after="0" w:line="240" w:lineRule="auto"/>
              <w:jc w:val="right"/>
              <w:rPr>
                <w:rFonts w:eastAsia="Times New Roman" w:cs="Times New Roman"/>
                <w:color w:val="000000"/>
                <w:sz w:val="20"/>
                <w:lang w:eastAsia="sk-SK"/>
              </w:rPr>
            </w:pPr>
            <w:r>
              <w:rPr>
                <w:sz w:val="20"/>
              </w:rPr>
              <w:t>938,1</w:t>
            </w:r>
          </w:p>
        </w:tc>
        <w:tc>
          <w:tcPr>
            <w:tcW w:w="794" w:type="dxa"/>
            <w:tcBorders>
              <w:top w:val="nil"/>
              <w:left w:val="nil"/>
              <w:bottom w:val="nil"/>
              <w:right w:val="nil"/>
            </w:tcBorders>
            <w:shd w:val="clear" w:color="000000" w:fill="FFFFFF"/>
            <w:noWrap/>
            <w:vAlign w:val="bottom"/>
            <w:hideMark/>
          </w:tcPr>
          <w:p w14:paraId="15D5511E" w14:textId="49C9408B" w:rsidR="00C2247E" w:rsidRPr="00D275D9" w:rsidRDefault="00C2247E" w:rsidP="00C2247E">
            <w:pPr>
              <w:spacing w:after="0" w:line="240" w:lineRule="auto"/>
              <w:jc w:val="right"/>
              <w:rPr>
                <w:rFonts w:eastAsia="Times New Roman" w:cs="Times New Roman"/>
                <w:color w:val="000000"/>
                <w:sz w:val="20"/>
                <w:lang w:eastAsia="sk-SK"/>
              </w:rPr>
            </w:pPr>
            <w:r>
              <w:rPr>
                <w:sz w:val="20"/>
              </w:rPr>
              <w:t>972,8</w:t>
            </w:r>
          </w:p>
        </w:tc>
        <w:tc>
          <w:tcPr>
            <w:tcW w:w="794" w:type="dxa"/>
            <w:tcBorders>
              <w:top w:val="nil"/>
              <w:left w:val="nil"/>
              <w:bottom w:val="nil"/>
              <w:right w:val="nil"/>
            </w:tcBorders>
            <w:shd w:val="clear" w:color="000000" w:fill="FFFFFF"/>
            <w:noWrap/>
            <w:vAlign w:val="bottom"/>
            <w:hideMark/>
          </w:tcPr>
          <w:p w14:paraId="3395AD03" w14:textId="48BE03C4" w:rsidR="00C2247E" w:rsidRPr="00D275D9" w:rsidRDefault="00C2247E" w:rsidP="00C2247E">
            <w:pPr>
              <w:spacing w:after="0" w:line="240" w:lineRule="auto"/>
              <w:jc w:val="right"/>
              <w:rPr>
                <w:rFonts w:eastAsia="Times New Roman" w:cs="Times New Roman"/>
                <w:color w:val="000000"/>
                <w:sz w:val="20"/>
                <w:lang w:eastAsia="sk-SK"/>
              </w:rPr>
            </w:pPr>
            <w:r>
              <w:rPr>
                <w:sz w:val="20"/>
              </w:rPr>
              <w:t>969,9</w:t>
            </w:r>
          </w:p>
        </w:tc>
      </w:tr>
      <w:tr w:rsidR="00D275D9" w:rsidRPr="00A42768" w14:paraId="0BA1C222" w14:textId="77777777" w:rsidTr="00140186">
        <w:trPr>
          <w:trHeight w:val="255"/>
        </w:trPr>
        <w:tc>
          <w:tcPr>
            <w:tcW w:w="3969" w:type="dxa"/>
            <w:tcBorders>
              <w:top w:val="single" w:sz="4" w:space="0" w:color="auto"/>
              <w:left w:val="nil"/>
              <w:bottom w:val="single" w:sz="4" w:space="0" w:color="auto"/>
              <w:right w:val="nil"/>
            </w:tcBorders>
            <w:shd w:val="clear" w:color="000000" w:fill="FFFFFF"/>
            <w:noWrap/>
            <w:vAlign w:val="bottom"/>
            <w:hideMark/>
          </w:tcPr>
          <w:p w14:paraId="7BA7D759" w14:textId="77777777" w:rsidR="00D275D9" w:rsidRPr="00A42768" w:rsidRDefault="00D275D9" w:rsidP="00D275D9">
            <w:pPr>
              <w:spacing w:after="0" w:line="240" w:lineRule="auto"/>
              <w:jc w:val="left"/>
              <w:rPr>
                <w:rFonts w:eastAsia="Times New Roman" w:cs="Times New Roman"/>
                <w:b/>
                <w:bCs/>
                <w:color w:val="000000"/>
                <w:sz w:val="20"/>
                <w:lang w:eastAsia="sk-SK"/>
              </w:rPr>
            </w:pPr>
            <w:r w:rsidRPr="00A42768">
              <w:rPr>
                <w:rFonts w:eastAsia="Times New Roman" w:cs="Times New Roman"/>
                <w:b/>
                <w:bCs/>
                <w:color w:val="000000"/>
                <w:sz w:val="20"/>
                <w:lang w:eastAsia="sk-SK"/>
              </w:rPr>
              <w:t>Sociálne služby</w:t>
            </w:r>
          </w:p>
        </w:tc>
        <w:tc>
          <w:tcPr>
            <w:tcW w:w="1134" w:type="dxa"/>
            <w:tcBorders>
              <w:top w:val="single" w:sz="4" w:space="0" w:color="auto"/>
              <w:left w:val="nil"/>
              <w:bottom w:val="single" w:sz="4" w:space="0" w:color="auto"/>
              <w:right w:val="nil"/>
            </w:tcBorders>
            <w:shd w:val="clear" w:color="000000" w:fill="FFFFFF"/>
            <w:noWrap/>
            <w:vAlign w:val="bottom"/>
            <w:hideMark/>
          </w:tcPr>
          <w:p w14:paraId="70FD5D60" w14:textId="77777777" w:rsidR="00D275D9" w:rsidRPr="00A42768" w:rsidRDefault="00D275D9" w:rsidP="00D275D9">
            <w:pPr>
              <w:spacing w:after="0" w:line="240" w:lineRule="auto"/>
              <w:jc w:val="left"/>
              <w:rPr>
                <w:rFonts w:eastAsia="Times New Roman" w:cs="Times New Roman"/>
                <w:color w:val="000000"/>
                <w:sz w:val="20"/>
                <w:lang w:eastAsia="sk-SK"/>
              </w:rPr>
            </w:pPr>
            <w:r w:rsidRPr="00A42768">
              <w:rPr>
                <w:rFonts w:eastAsia="Times New Roman" w:cs="Times New Roman"/>
                <w:color w:val="000000"/>
                <w:sz w:val="20"/>
                <w:lang w:eastAsia="sk-SK"/>
              </w:rPr>
              <w:t> </w:t>
            </w:r>
          </w:p>
        </w:tc>
        <w:tc>
          <w:tcPr>
            <w:tcW w:w="793" w:type="dxa"/>
            <w:tcBorders>
              <w:top w:val="single" w:sz="4" w:space="0" w:color="auto"/>
              <w:left w:val="nil"/>
              <w:bottom w:val="single" w:sz="4" w:space="0" w:color="auto"/>
              <w:right w:val="nil"/>
            </w:tcBorders>
            <w:shd w:val="clear" w:color="000000" w:fill="FFFFFF"/>
            <w:noWrap/>
            <w:vAlign w:val="bottom"/>
            <w:hideMark/>
          </w:tcPr>
          <w:p w14:paraId="42F42961" w14:textId="157BF3AD" w:rsidR="00D275D9" w:rsidRPr="00D275D9" w:rsidRDefault="00D275D9" w:rsidP="00D275D9">
            <w:pPr>
              <w:spacing w:after="0" w:line="240" w:lineRule="auto"/>
              <w:jc w:val="right"/>
              <w:rPr>
                <w:rFonts w:eastAsia="Times New Roman" w:cs="Times New Roman"/>
                <w:b/>
                <w:bCs/>
                <w:color w:val="000000"/>
                <w:sz w:val="20"/>
                <w:lang w:eastAsia="sk-SK"/>
              </w:rPr>
            </w:pPr>
            <w:r>
              <w:rPr>
                <w:b/>
                <w:bCs/>
                <w:color w:val="000000"/>
                <w:sz w:val="20"/>
              </w:rPr>
              <w:t>189,5</w:t>
            </w:r>
          </w:p>
        </w:tc>
        <w:tc>
          <w:tcPr>
            <w:tcW w:w="794" w:type="dxa"/>
            <w:tcBorders>
              <w:top w:val="single" w:sz="4" w:space="0" w:color="auto"/>
              <w:left w:val="nil"/>
              <w:bottom w:val="single" w:sz="4" w:space="0" w:color="auto"/>
              <w:right w:val="nil"/>
            </w:tcBorders>
            <w:shd w:val="clear" w:color="000000" w:fill="FFFFFF"/>
            <w:noWrap/>
            <w:vAlign w:val="bottom"/>
            <w:hideMark/>
          </w:tcPr>
          <w:p w14:paraId="2BE451AB" w14:textId="62B99FE4" w:rsidR="00D275D9" w:rsidRPr="00D275D9" w:rsidRDefault="00D275D9" w:rsidP="00D275D9">
            <w:pPr>
              <w:spacing w:after="0" w:line="240" w:lineRule="auto"/>
              <w:jc w:val="right"/>
              <w:rPr>
                <w:rFonts w:eastAsia="Times New Roman" w:cs="Times New Roman"/>
                <w:b/>
                <w:bCs/>
                <w:color w:val="000000"/>
                <w:sz w:val="20"/>
                <w:lang w:eastAsia="sk-SK"/>
              </w:rPr>
            </w:pPr>
            <w:r>
              <w:rPr>
                <w:b/>
                <w:bCs/>
                <w:color w:val="000000"/>
                <w:sz w:val="20"/>
              </w:rPr>
              <w:t>209,4</w:t>
            </w:r>
          </w:p>
        </w:tc>
        <w:tc>
          <w:tcPr>
            <w:tcW w:w="794" w:type="dxa"/>
            <w:tcBorders>
              <w:top w:val="single" w:sz="4" w:space="0" w:color="auto"/>
              <w:left w:val="nil"/>
              <w:bottom w:val="single" w:sz="4" w:space="0" w:color="auto"/>
              <w:right w:val="nil"/>
            </w:tcBorders>
            <w:shd w:val="clear" w:color="000000" w:fill="FFFFFF"/>
            <w:noWrap/>
            <w:vAlign w:val="bottom"/>
            <w:hideMark/>
          </w:tcPr>
          <w:p w14:paraId="711DE862" w14:textId="265DEC80" w:rsidR="00D275D9" w:rsidRPr="00D275D9" w:rsidRDefault="00D275D9" w:rsidP="00D275D9">
            <w:pPr>
              <w:spacing w:after="0" w:line="240" w:lineRule="auto"/>
              <w:jc w:val="right"/>
              <w:rPr>
                <w:rFonts w:eastAsia="Times New Roman" w:cs="Times New Roman"/>
                <w:b/>
                <w:bCs/>
                <w:color w:val="000000"/>
                <w:sz w:val="20"/>
                <w:lang w:eastAsia="sk-SK"/>
              </w:rPr>
            </w:pPr>
            <w:r>
              <w:rPr>
                <w:b/>
                <w:bCs/>
                <w:color w:val="000000"/>
                <w:sz w:val="20"/>
              </w:rPr>
              <w:t>213,5</w:t>
            </w:r>
          </w:p>
        </w:tc>
        <w:tc>
          <w:tcPr>
            <w:tcW w:w="794" w:type="dxa"/>
            <w:tcBorders>
              <w:top w:val="single" w:sz="4" w:space="0" w:color="auto"/>
              <w:left w:val="nil"/>
              <w:bottom w:val="single" w:sz="4" w:space="0" w:color="auto"/>
              <w:right w:val="nil"/>
            </w:tcBorders>
            <w:shd w:val="clear" w:color="000000" w:fill="FFFFFF"/>
            <w:noWrap/>
            <w:vAlign w:val="bottom"/>
            <w:hideMark/>
          </w:tcPr>
          <w:p w14:paraId="2368DA95" w14:textId="3EC2337D" w:rsidR="00D275D9" w:rsidRPr="00D275D9" w:rsidRDefault="00D275D9" w:rsidP="00D275D9">
            <w:pPr>
              <w:spacing w:after="0" w:line="240" w:lineRule="auto"/>
              <w:jc w:val="right"/>
              <w:rPr>
                <w:rFonts w:eastAsia="Times New Roman" w:cs="Times New Roman"/>
                <w:b/>
                <w:bCs/>
                <w:color w:val="000000"/>
                <w:sz w:val="20"/>
                <w:lang w:eastAsia="sk-SK"/>
              </w:rPr>
            </w:pPr>
            <w:r>
              <w:rPr>
                <w:b/>
                <w:bCs/>
                <w:color w:val="000000"/>
                <w:sz w:val="20"/>
              </w:rPr>
              <w:t>223,3</w:t>
            </w:r>
          </w:p>
        </w:tc>
        <w:tc>
          <w:tcPr>
            <w:tcW w:w="794" w:type="dxa"/>
            <w:tcBorders>
              <w:top w:val="single" w:sz="4" w:space="0" w:color="auto"/>
              <w:left w:val="nil"/>
              <w:bottom w:val="single" w:sz="4" w:space="0" w:color="auto"/>
              <w:right w:val="nil"/>
            </w:tcBorders>
            <w:shd w:val="clear" w:color="000000" w:fill="FFFFFF"/>
            <w:noWrap/>
            <w:vAlign w:val="bottom"/>
            <w:hideMark/>
          </w:tcPr>
          <w:p w14:paraId="08965E06" w14:textId="59361044" w:rsidR="00D275D9" w:rsidRPr="00D275D9" w:rsidRDefault="00D275D9" w:rsidP="00D275D9">
            <w:pPr>
              <w:spacing w:after="0" w:line="240" w:lineRule="auto"/>
              <w:jc w:val="right"/>
              <w:rPr>
                <w:rFonts w:eastAsia="Times New Roman" w:cs="Times New Roman"/>
                <w:b/>
                <w:bCs/>
                <w:color w:val="000000"/>
                <w:sz w:val="20"/>
                <w:lang w:eastAsia="sk-SK"/>
              </w:rPr>
            </w:pPr>
            <w:r>
              <w:rPr>
                <w:b/>
                <w:bCs/>
                <w:color w:val="000000"/>
                <w:sz w:val="20"/>
              </w:rPr>
              <w:t>237,4</w:t>
            </w:r>
          </w:p>
        </w:tc>
      </w:tr>
      <w:tr w:rsidR="00D275D9" w:rsidRPr="00A42768" w14:paraId="55DBAC68" w14:textId="77777777" w:rsidTr="00140186">
        <w:trPr>
          <w:trHeight w:val="255"/>
        </w:trPr>
        <w:tc>
          <w:tcPr>
            <w:tcW w:w="3969" w:type="dxa"/>
            <w:tcBorders>
              <w:top w:val="nil"/>
              <w:left w:val="nil"/>
              <w:bottom w:val="nil"/>
              <w:right w:val="nil"/>
            </w:tcBorders>
            <w:shd w:val="clear" w:color="000000" w:fill="FFFFFF"/>
            <w:noWrap/>
            <w:vAlign w:val="bottom"/>
            <w:hideMark/>
          </w:tcPr>
          <w:p w14:paraId="57A13D6F" w14:textId="657F3998" w:rsidR="00D275D9" w:rsidRPr="00A42768" w:rsidRDefault="00D275D9" w:rsidP="00D275D9">
            <w:pPr>
              <w:spacing w:after="0" w:line="240" w:lineRule="auto"/>
              <w:jc w:val="left"/>
              <w:rPr>
                <w:rFonts w:eastAsia="Times New Roman" w:cs="Times New Roman"/>
                <w:color w:val="000000"/>
                <w:sz w:val="20"/>
                <w:lang w:eastAsia="sk-SK"/>
              </w:rPr>
            </w:pPr>
            <w:r>
              <w:rPr>
                <w:rFonts w:eastAsia="Times New Roman" w:cs="Times New Roman"/>
                <w:color w:val="000000"/>
                <w:sz w:val="20"/>
                <w:lang w:eastAsia="sk-SK"/>
              </w:rPr>
              <w:t>K</w:t>
            </w:r>
            <w:r w:rsidRPr="00A42768">
              <w:rPr>
                <w:rFonts w:eastAsia="Times New Roman" w:cs="Times New Roman"/>
                <w:color w:val="000000"/>
                <w:sz w:val="20"/>
                <w:lang w:eastAsia="sk-SK"/>
              </w:rPr>
              <w:t>rízov</w:t>
            </w:r>
            <w:r>
              <w:rPr>
                <w:rFonts w:eastAsia="Times New Roman" w:cs="Times New Roman"/>
                <w:color w:val="000000"/>
                <w:sz w:val="20"/>
                <w:lang w:eastAsia="sk-SK"/>
              </w:rPr>
              <w:t>á</w:t>
            </w:r>
            <w:r w:rsidRPr="00A42768">
              <w:rPr>
                <w:rFonts w:eastAsia="Times New Roman" w:cs="Times New Roman"/>
                <w:color w:val="000000"/>
                <w:sz w:val="20"/>
                <w:lang w:eastAsia="sk-SK"/>
              </w:rPr>
              <w:t xml:space="preserve"> intervenci</w:t>
            </w:r>
            <w:r>
              <w:rPr>
                <w:rFonts w:eastAsia="Times New Roman" w:cs="Times New Roman"/>
                <w:color w:val="000000"/>
                <w:sz w:val="20"/>
                <w:lang w:eastAsia="sk-SK"/>
              </w:rPr>
              <w:t>a</w:t>
            </w:r>
            <w:r>
              <w:rPr>
                <w:rStyle w:val="Odkaznapoznmkupodiarou"/>
                <w:rFonts w:eastAsia="Times New Roman" w:cs="Times New Roman"/>
                <w:color w:val="000000"/>
                <w:sz w:val="20"/>
                <w:lang w:eastAsia="sk-SK"/>
              </w:rPr>
              <w:footnoteReference w:id="28"/>
            </w:r>
          </w:p>
        </w:tc>
        <w:tc>
          <w:tcPr>
            <w:tcW w:w="1134" w:type="dxa"/>
            <w:tcBorders>
              <w:top w:val="nil"/>
              <w:left w:val="nil"/>
              <w:bottom w:val="nil"/>
              <w:right w:val="nil"/>
            </w:tcBorders>
            <w:shd w:val="clear" w:color="000000" w:fill="FFFFFF"/>
            <w:noWrap/>
            <w:vAlign w:val="bottom"/>
            <w:hideMark/>
          </w:tcPr>
          <w:p w14:paraId="5FBEB62C" w14:textId="77777777" w:rsidR="00D275D9" w:rsidRPr="00A42768" w:rsidRDefault="00D275D9" w:rsidP="00D275D9">
            <w:pPr>
              <w:spacing w:after="0" w:line="240" w:lineRule="auto"/>
              <w:jc w:val="left"/>
              <w:rPr>
                <w:rFonts w:eastAsia="Times New Roman" w:cs="Times New Roman"/>
                <w:color w:val="000000"/>
                <w:sz w:val="20"/>
                <w:lang w:eastAsia="sk-SK"/>
              </w:rPr>
            </w:pPr>
            <w:r w:rsidRPr="00A42768">
              <w:rPr>
                <w:rFonts w:eastAsia="Times New Roman" w:cs="Times New Roman"/>
                <w:color w:val="000000"/>
                <w:sz w:val="20"/>
                <w:lang w:eastAsia="sk-SK"/>
              </w:rPr>
              <w:t> </w:t>
            </w:r>
          </w:p>
        </w:tc>
        <w:tc>
          <w:tcPr>
            <w:tcW w:w="793" w:type="dxa"/>
            <w:tcBorders>
              <w:top w:val="nil"/>
              <w:left w:val="nil"/>
              <w:bottom w:val="nil"/>
              <w:right w:val="nil"/>
            </w:tcBorders>
            <w:shd w:val="clear" w:color="000000" w:fill="FFFFFF"/>
            <w:noWrap/>
            <w:vAlign w:val="bottom"/>
            <w:hideMark/>
          </w:tcPr>
          <w:p w14:paraId="325F9093" w14:textId="43F11026" w:rsidR="00D275D9" w:rsidRPr="00D275D9" w:rsidRDefault="00D275D9" w:rsidP="00D275D9">
            <w:pPr>
              <w:spacing w:after="0" w:line="240" w:lineRule="auto"/>
              <w:jc w:val="right"/>
              <w:rPr>
                <w:rFonts w:eastAsia="Times New Roman" w:cs="Times New Roman"/>
                <w:color w:val="000000"/>
                <w:sz w:val="20"/>
                <w:lang w:eastAsia="sk-SK"/>
              </w:rPr>
            </w:pPr>
            <w:r>
              <w:rPr>
                <w:color w:val="000000"/>
                <w:sz w:val="20"/>
              </w:rPr>
              <w:t>1,5</w:t>
            </w:r>
          </w:p>
        </w:tc>
        <w:tc>
          <w:tcPr>
            <w:tcW w:w="794" w:type="dxa"/>
            <w:tcBorders>
              <w:top w:val="nil"/>
              <w:left w:val="nil"/>
              <w:bottom w:val="nil"/>
              <w:right w:val="nil"/>
            </w:tcBorders>
            <w:shd w:val="clear" w:color="000000" w:fill="FFFFFF"/>
            <w:noWrap/>
            <w:vAlign w:val="bottom"/>
            <w:hideMark/>
          </w:tcPr>
          <w:p w14:paraId="173A2209" w14:textId="747C84E2" w:rsidR="00D275D9" w:rsidRPr="00D275D9" w:rsidRDefault="00D275D9" w:rsidP="00D275D9">
            <w:pPr>
              <w:spacing w:after="0" w:line="240" w:lineRule="auto"/>
              <w:jc w:val="right"/>
              <w:rPr>
                <w:rFonts w:eastAsia="Times New Roman" w:cs="Times New Roman"/>
                <w:color w:val="000000"/>
                <w:sz w:val="20"/>
                <w:lang w:eastAsia="sk-SK"/>
              </w:rPr>
            </w:pPr>
            <w:r>
              <w:rPr>
                <w:color w:val="000000"/>
                <w:sz w:val="20"/>
              </w:rPr>
              <w:t>1,7</w:t>
            </w:r>
          </w:p>
        </w:tc>
        <w:tc>
          <w:tcPr>
            <w:tcW w:w="794" w:type="dxa"/>
            <w:tcBorders>
              <w:top w:val="nil"/>
              <w:left w:val="nil"/>
              <w:bottom w:val="nil"/>
              <w:right w:val="nil"/>
            </w:tcBorders>
            <w:shd w:val="clear" w:color="000000" w:fill="FFFFFF"/>
            <w:noWrap/>
            <w:vAlign w:val="bottom"/>
            <w:hideMark/>
          </w:tcPr>
          <w:p w14:paraId="2C386373" w14:textId="4EF48FF6" w:rsidR="00D275D9" w:rsidRPr="00D275D9" w:rsidRDefault="00D275D9" w:rsidP="00D275D9">
            <w:pPr>
              <w:spacing w:after="0" w:line="240" w:lineRule="auto"/>
              <w:jc w:val="right"/>
              <w:rPr>
                <w:rFonts w:eastAsia="Times New Roman" w:cs="Times New Roman"/>
                <w:color w:val="000000"/>
                <w:sz w:val="20"/>
                <w:lang w:eastAsia="sk-SK"/>
              </w:rPr>
            </w:pPr>
            <w:r>
              <w:rPr>
                <w:color w:val="000000"/>
                <w:sz w:val="20"/>
              </w:rPr>
              <w:t>1,7</w:t>
            </w:r>
          </w:p>
        </w:tc>
        <w:tc>
          <w:tcPr>
            <w:tcW w:w="794" w:type="dxa"/>
            <w:tcBorders>
              <w:top w:val="nil"/>
              <w:left w:val="nil"/>
              <w:bottom w:val="nil"/>
              <w:right w:val="nil"/>
            </w:tcBorders>
            <w:shd w:val="clear" w:color="000000" w:fill="FFFFFF"/>
            <w:noWrap/>
            <w:vAlign w:val="bottom"/>
            <w:hideMark/>
          </w:tcPr>
          <w:p w14:paraId="0A4C04C1" w14:textId="1C274AEF" w:rsidR="00D275D9" w:rsidRPr="00D275D9" w:rsidRDefault="00D275D9" w:rsidP="00D275D9">
            <w:pPr>
              <w:spacing w:after="0" w:line="240" w:lineRule="auto"/>
              <w:jc w:val="right"/>
              <w:rPr>
                <w:rFonts w:eastAsia="Times New Roman" w:cs="Times New Roman"/>
                <w:color w:val="000000"/>
                <w:sz w:val="20"/>
                <w:lang w:eastAsia="sk-SK"/>
              </w:rPr>
            </w:pPr>
            <w:r>
              <w:rPr>
                <w:color w:val="000000"/>
                <w:sz w:val="20"/>
              </w:rPr>
              <w:t>1,8</w:t>
            </w:r>
          </w:p>
        </w:tc>
        <w:tc>
          <w:tcPr>
            <w:tcW w:w="794" w:type="dxa"/>
            <w:tcBorders>
              <w:top w:val="nil"/>
              <w:left w:val="nil"/>
              <w:bottom w:val="nil"/>
              <w:right w:val="nil"/>
            </w:tcBorders>
            <w:shd w:val="clear" w:color="000000" w:fill="FFFFFF"/>
            <w:noWrap/>
            <w:vAlign w:val="bottom"/>
            <w:hideMark/>
          </w:tcPr>
          <w:p w14:paraId="215F08A7" w14:textId="0412EF65" w:rsidR="00D275D9" w:rsidRPr="00D275D9" w:rsidRDefault="00D275D9" w:rsidP="00D275D9">
            <w:pPr>
              <w:spacing w:after="0" w:line="240" w:lineRule="auto"/>
              <w:jc w:val="right"/>
              <w:rPr>
                <w:rFonts w:eastAsia="Times New Roman" w:cs="Times New Roman"/>
                <w:color w:val="000000"/>
                <w:sz w:val="20"/>
                <w:lang w:eastAsia="sk-SK"/>
              </w:rPr>
            </w:pPr>
            <w:r>
              <w:rPr>
                <w:color w:val="000000"/>
                <w:sz w:val="20"/>
              </w:rPr>
              <w:t>1,9</w:t>
            </w:r>
          </w:p>
        </w:tc>
      </w:tr>
      <w:tr w:rsidR="00D275D9" w:rsidRPr="00A42768" w14:paraId="0FD839C3" w14:textId="77777777" w:rsidTr="00140186">
        <w:trPr>
          <w:trHeight w:val="255"/>
        </w:trPr>
        <w:tc>
          <w:tcPr>
            <w:tcW w:w="3969" w:type="dxa"/>
            <w:tcBorders>
              <w:top w:val="nil"/>
              <w:left w:val="nil"/>
              <w:bottom w:val="nil"/>
              <w:right w:val="nil"/>
            </w:tcBorders>
            <w:shd w:val="clear" w:color="000000" w:fill="FFFFFF"/>
            <w:noWrap/>
            <w:vAlign w:val="bottom"/>
            <w:hideMark/>
          </w:tcPr>
          <w:p w14:paraId="67720565" w14:textId="6C9E70EC" w:rsidR="00D275D9" w:rsidRPr="00A42768" w:rsidRDefault="00D275D9" w:rsidP="00D275D9">
            <w:pPr>
              <w:spacing w:after="0" w:line="240" w:lineRule="auto"/>
              <w:ind w:left="214"/>
              <w:jc w:val="left"/>
              <w:rPr>
                <w:rFonts w:eastAsia="Times New Roman" w:cs="Times New Roman"/>
                <w:color w:val="000000"/>
                <w:sz w:val="20"/>
                <w:lang w:eastAsia="sk-SK"/>
              </w:rPr>
            </w:pPr>
            <w:r w:rsidRPr="00A42768">
              <w:rPr>
                <w:rFonts w:eastAsia="Times New Roman" w:cs="Times New Roman"/>
                <w:color w:val="000000"/>
                <w:sz w:val="20"/>
                <w:lang w:eastAsia="sk-SK"/>
              </w:rPr>
              <w:t>z toho financované obcami a VÚC</w:t>
            </w:r>
          </w:p>
        </w:tc>
        <w:tc>
          <w:tcPr>
            <w:tcW w:w="1134" w:type="dxa"/>
            <w:tcBorders>
              <w:top w:val="nil"/>
              <w:left w:val="nil"/>
              <w:bottom w:val="nil"/>
              <w:right w:val="nil"/>
            </w:tcBorders>
            <w:shd w:val="clear" w:color="000000" w:fill="FFFFFF"/>
            <w:noWrap/>
            <w:vAlign w:val="bottom"/>
            <w:hideMark/>
          </w:tcPr>
          <w:p w14:paraId="1C45D7F3" w14:textId="77777777" w:rsidR="00D275D9" w:rsidRPr="00A42768" w:rsidRDefault="00D275D9" w:rsidP="00D275D9">
            <w:pPr>
              <w:spacing w:after="0" w:line="240" w:lineRule="auto"/>
              <w:jc w:val="left"/>
              <w:rPr>
                <w:rFonts w:eastAsia="Times New Roman" w:cs="Times New Roman"/>
                <w:color w:val="000000"/>
                <w:sz w:val="20"/>
                <w:lang w:eastAsia="sk-SK"/>
              </w:rPr>
            </w:pPr>
            <w:r w:rsidRPr="00A42768">
              <w:rPr>
                <w:rFonts w:eastAsia="Times New Roman" w:cs="Times New Roman"/>
                <w:color w:val="000000"/>
                <w:sz w:val="20"/>
                <w:lang w:eastAsia="sk-SK"/>
              </w:rPr>
              <w:t>Samosprávy</w:t>
            </w:r>
          </w:p>
        </w:tc>
        <w:tc>
          <w:tcPr>
            <w:tcW w:w="793" w:type="dxa"/>
            <w:tcBorders>
              <w:top w:val="nil"/>
              <w:left w:val="nil"/>
              <w:bottom w:val="nil"/>
              <w:right w:val="nil"/>
            </w:tcBorders>
            <w:shd w:val="clear" w:color="000000" w:fill="FFFFFF"/>
            <w:noWrap/>
            <w:vAlign w:val="bottom"/>
            <w:hideMark/>
          </w:tcPr>
          <w:p w14:paraId="3E7A3A1A" w14:textId="154FFC45" w:rsidR="00D275D9" w:rsidRPr="00D275D9" w:rsidRDefault="00D275D9" w:rsidP="00D275D9">
            <w:pPr>
              <w:spacing w:after="0" w:line="240" w:lineRule="auto"/>
              <w:jc w:val="right"/>
              <w:rPr>
                <w:rFonts w:eastAsia="Times New Roman" w:cs="Times New Roman"/>
                <w:color w:val="BFBFBF" w:themeColor="background1" w:themeShade="BF"/>
                <w:sz w:val="20"/>
                <w:lang w:eastAsia="sk-SK"/>
              </w:rPr>
            </w:pPr>
            <w:r w:rsidRPr="00D275D9">
              <w:rPr>
                <w:color w:val="BFBFBF" w:themeColor="background1" w:themeShade="BF"/>
                <w:sz w:val="20"/>
              </w:rPr>
              <w:t>0,3</w:t>
            </w:r>
          </w:p>
        </w:tc>
        <w:tc>
          <w:tcPr>
            <w:tcW w:w="794" w:type="dxa"/>
            <w:tcBorders>
              <w:top w:val="nil"/>
              <w:left w:val="nil"/>
              <w:bottom w:val="nil"/>
              <w:right w:val="nil"/>
            </w:tcBorders>
            <w:shd w:val="clear" w:color="000000" w:fill="FFFFFF"/>
            <w:noWrap/>
            <w:vAlign w:val="bottom"/>
            <w:hideMark/>
          </w:tcPr>
          <w:p w14:paraId="7213D374" w14:textId="2AD2444D" w:rsidR="00D275D9" w:rsidRPr="00D275D9" w:rsidRDefault="00D275D9" w:rsidP="00D275D9">
            <w:pPr>
              <w:spacing w:after="0" w:line="240" w:lineRule="auto"/>
              <w:jc w:val="right"/>
              <w:rPr>
                <w:rFonts w:eastAsia="Times New Roman" w:cs="Times New Roman"/>
                <w:color w:val="BFBFBF" w:themeColor="background1" w:themeShade="BF"/>
                <w:sz w:val="20"/>
                <w:lang w:eastAsia="sk-SK"/>
              </w:rPr>
            </w:pPr>
            <w:r w:rsidRPr="00D275D9">
              <w:rPr>
                <w:color w:val="BFBFBF" w:themeColor="background1" w:themeShade="BF"/>
                <w:sz w:val="20"/>
              </w:rPr>
              <w:t>0,3</w:t>
            </w:r>
          </w:p>
        </w:tc>
        <w:tc>
          <w:tcPr>
            <w:tcW w:w="794" w:type="dxa"/>
            <w:tcBorders>
              <w:top w:val="nil"/>
              <w:left w:val="nil"/>
              <w:bottom w:val="nil"/>
              <w:right w:val="nil"/>
            </w:tcBorders>
            <w:shd w:val="clear" w:color="000000" w:fill="FFFFFF"/>
            <w:noWrap/>
            <w:vAlign w:val="bottom"/>
            <w:hideMark/>
          </w:tcPr>
          <w:p w14:paraId="7DA40B70" w14:textId="23D2741D" w:rsidR="00D275D9" w:rsidRPr="00D275D9" w:rsidRDefault="00D275D9" w:rsidP="00D275D9">
            <w:pPr>
              <w:spacing w:after="0" w:line="240" w:lineRule="auto"/>
              <w:jc w:val="right"/>
              <w:rPr>
                <w:rFonts w:eastAsia="Times New Roman" w:cs="Times New Roman"/>
                <w:color w:val="BFBFBF" w:themeColor="background1" w:themeShade="BF"/>
                <w:sz w:val="20"/>
                <w:lang w:eastAsia="sk-SK"/>
              </w:rPr>
            </w:pPr>
            <w:r w:rsidRPr="00D275D9">
              <w:rPr>
                <w:color w:val="BFBFBF" w:themeColor="background1" w:themeShade="BF"/>
                <w:sz w:val="20"/>
              </w:rPr>
              <w:t>0,4</w:t>
            </w:r>
          </w:p>
        </w:tc>
        <w:tc>
          <w:tcPr>
            <w:tcW w:w="794" w:type="dxa"/>
            <w:tcBorders>
              <w:top w:val="nil"/>
              <w:left w:val="nil"/>
              <w:bottom w:val="nil"/>
              <w:right w:val="nil"/>
            </w:tcBorders>
            <w:shd w:val="clear" w:color="000000" w:fill="FFFFFF"/>
            <w:noWrap/>
            <w:vAlign w:val="bottom"/>
            <w:hideMark/>
          </w:tcPr>
          <w:p w14:paraId="1957C319" w14:textId="081224C9" w:rsidR="00D275D9" w:rsidRPr="00D275D9" w:rsidRDefault="00D275D9" w:rsidP="00D275D9">
            <w:pPr>
              <w:spacing w:after="0" w:line="240" w:lineRule="auto"/>
              <w:jc w:val="right"/>
              <w:rPr>
                <w:rFonts w:eastAsia="Times New Roman" w:cs="Times New Roman"/>
                <w:color w:val="BFBFBF" w:themeColor="background1" w:themeShade="BF"/>
                <w:sz w:val="20"/>
                <w:lang w:eastAsia="sk-SK"/>
              </w:rPr>
            </w:pPr>
            <w:r w:rsidRPr="00D275D9">
              <w:rPr>
                <w:color w:val="BFBFBF" w:themeColor="background1" w:themeShade="BF"/>
                <w:sz w:val="20"/>
              </w:rPr>
              <w:t>0,4</w:t>
            </w:r>
          </w:p>
        </w:tc>
        <w:tc>
          <w:tcPr>
            <w:tcW w:w="794" w:type="dxa"/>
            <w:tcBorders>
              <w:top w:val="nil"/>
              <w:left w:val="nil"/>
              <w:bottom w:val="nil"/>
              <w:right w:val="nil"/>
            </w:tcBorders>
            <w:shd w:val="clear" w:color="000000" w:fill="FFFFFF"/>
            <w:noWrap/>
            <w:vAlign w:val="bottom"/>
            <w:hideMark/>
          </w:tcPr>
          <w:p w14:paraId="56E44FDA" w14:textId="6C72BEE2" w:rsidR="00D275D9" w:rsidRPr="00D275D9" w:rsidRDefault="00D275D9" w:rsidP="00D275D9">
            <w:pPr>
              <w:spacing w:after="0" w:line="240" w:lineRule="auto"/>
              <w:jc w:val="right"/>
              <w:rPr>
                <w:rFonts w:eastAsia="Times New Roman" w:cs="Times New Roman"/>
                <w:color w:val="BFBFBF" w:themeColor="background1" w:themeShade="BF"/>
                <w:sz w:val="20"/>
                <w:lang w:eastAsia="sk-SK"/>
              </w:rPr>
            </w:pPr>
            <w:r w:rsidRPr="00D275D9">
              <w:rPr>
                <w:color w:val="BFBFBF" w:themeColor="background1" w:themeShade="BF"/>
                <w:sz w:val="20"/>
              </w:rPr>
              <w:t>0,4</w:t>
            </w:r>
          </w:p>
        </w:tc>
      </w:tr>
      <w:tr w:rsidR="00D275D9" w:rsidRPr="00A42768" w14:paraId="1D5FDFD8" w14:textId="77777777" w:rsidTr="00140186">
        <w:trPr>
          <w:trHeight w:val="255"/>
        </w:trPr>
        <w:tc>
          <w:tcPr>
            <w:tcW w:w="3969" w:type="dxa"/>
            <w:tcBorders>
              <w:top w:val="nil"/>
              <w:left w:val="nil"/>
              <w:bottom w:val="nil"/>
              <w:right w:val="nil"/>
            </w:tcBorders>
            <w:shd w:val="clear" w:color="000000" w:fill="FFFFFF"/>
            <w:noWrap/>
            <w:vAlign w:val="bottom"/>
            <w:hideMark/>
          </w:tcPr>
          <w:p w14:paraId="752C9FF7" w14:textId="749451B9" w:rsidR="00D275D9" w:rsidRPr="00A42768" w:rsidRDefault="00D275D9" w:rsidP="00D275D9">
            <w:pPr>
              <w:spacing w:after="0" w:line="240" w:lineRule="auto"/>
              <w:ind w:left="214"/>
              <w:jc w:val="left"/>
              <w:rPr>
                <w:rFonts w:eastAsia="Times New Roman" w:cs="Times New Roman"/>
                <w:color w:val="000000"/>
                <w:sz w:val="20"/>
                <w:lang w:eastAsia="sk-SK"/>
              </w:rPr>
            </w:pPr>
            <w:r w:rsidRPr="00A42768">
              <w:rPr>
                <w:rFonts w:eastAsia="Times New Roman" w:cs="Times New Roman"/>
                <w:color w:val="000000"/>
                <w:sz w:val="20"/>
                <w:lang w:eastAsia="sk-SK"/>
              </w:rPr>
              <w:t>z toho spolufinancovanie zo štátneho rozpočtu</w:t>
            </w:r>
          </w:p>
        </w:tc>
        <w:tc>
          <w:tcPr>
            <w:tcW w:w="1134" w:type="dxa"/>
            <w:tcBorders>
              <w:top w:val="nil"/>
              <w:left w:val="nil"/>
              <w:bottom w:val="nil"/>
              <w:right w:val="nil"/>
            </w:tcBorders>
            <w:shd w:val="clear" w:color="000000" w:fill="FFFFFF"/>
            <w:noWrap/>
            <w:vAlign w:val="bottom"/>
            <w:hideMark/>
          </w:tcPr>
          <w:p w14:paraId="4C01B46D" w14:textId="77777777" w:rsidR="00D275D9" w:rsidRPr="00A42768" w:rsidRDefault="00D275D9" w:rsidP="00D275D9">
            <w:pPr>
              <w:spacing w:after="0" w:line="240" w:lineRule="auto"/>
              <w:jc w:val="left"/>
              <w:rPr>
                <w:rFonts w:eastAsia="Times New Roman" w:cs="Times New Roman"/>
                <w:color w:val="000000"/>
                <w:sz w:val="20"/>
                <w:lang w:eastAsia="sk-SK"/>
              </w:rPr>
            </w:pPr>
            <w:r w:rsidRPr="00A42768">
              <w:rPr>
                <w:rFonts w:eastAsia="Times New Roman" w:cs="Times New Roman"/>
                <w:color w:val="000000"/>
                <w:sz w:val="20"/>
                <w:lang w:eastAsia="sk-SK"/>
              </w:rPr>
              <w:t>MPSVR</w:t>
            </w:r>
          </w:p>
        </w:tc>
        <w:tc>
          <w:tcPr>
            <w:tcW w:w="793" w:type="dxa"/>
            <w:tcBorders>
              <w:top w:val="nil"/>
              <w:left w:val="nil"/>
              <w:bottom w:val="nil"/>
              <w:right w:val="nil"/>
            </w:tcBorders>
            <w:shd w:val="clear" w:color="000000" w:fill="FFFFFF"/>
            <w:noWrap/>
            <w:vAlign w:val="bottom"/>
            <w:hideMark/>
          </w:tcPr>
          <w:p w14:paraId="78739070" w14:textId="0C00923A" w:rsidR="00D275D9" w:rsidRPr="00D275D9" w:rsidRDefault="00D275D9" w:rsidP="00D275D9">
            <w:pPr>
              <w:spacing w:after="0" w:line="240" w:lineRule="auto"/>
              <w:jc w:val="right"/>
              <w:rPr>
                <w:rFonts w:eastAsia="Times New Roman" w:cs="Times New Roman"/>
                <w:color w:val="BFBFBF" w:themeColor="background1" w:themeShade="BF"/>
                <w:sz w:val="20"/>
                <w:lang w:eastAsia="sk-SK"/>
              </w:rPr>
            </w:pPr>
            <w:r w:rsidRPr="00D275D9">
              <w:rPr>
                <w:color w:val="BFBFBF" w:themeColor="background1" w:themeShade="BF"/>
                <w:sz w:val="20"/>
              </w:rPr>
              <w:t>1,2</w:t>
            </w:r>
          </w:p>
        </w:tc>
        <w:tc>
          <w:tcPr>
            <w:tcW w:w="794" w:type="dxa"/>
            <w:tcBorders>
              <w:top w:val="nil"/>
              <w:left w:val="nil"/>
              <w:bottom w:val="nil"/>
              <w:right w:val="nil"/>
            </w:tcBorders>
            <w:shd w:val="clear" w:color="000000" w:fill="FFFFFF"/>
            <w:noWrap/>
            <w:vAlign w:val="bottom"/>
            <w:hideMark/>
          </w:tcPr>
          <w:p w14:paraId="04790689" w14:textId="630A78E7" w:rsidR="00D275D9" w:rsidRPr="00D275D9" w:rsidRDefault="00D275D9" w:rsidP="00D275D9">
            <w:pPr>
              <w:spacing w:after="0" w:line="240" w:lineRule="auto"/>
              <w:jc w:val="right"/>
              <w:rPr>
                <w:rFonts w:eastAsia="Times New Roman" w:cs="Times New Roman"/>
                <w:color w:val="BFBFBF" w:themeColor="background1" w:themeShade="BF"/>
                <w:sz w:val="20"/>
                <w:lang w:eastAsia="sk-SK"/>
              </w:rPr>
            </w:pPr>
            <w:r w:rsidRPr="00D275D9">
              <w:rPr>
                <w:color w:val="BFBFBF" w:themeColor="background1" w:themeShade="BF"/>
                <w:sz w:val="20"/>
              </w:rPr>
              <w:t>1,3</w:t>
            </w:r>
          </w:p>
        </w:tc>
        <w:tc>
          <w:tcPr>
            <w:tcW w:w="794" w:type="dxa"/>
            <w:tcBorders>
              <w:top w:val="nil"/>
              <w:left w:val="nil"/>
              <w:bottom w:val="nil"/>
              <w:right w:val="nil"/>
            </w:tcBorders>
            <w:shd w:val="clear" w:color="000000" w:fill="FFFFFF"/>
            <w:noWrap/>
            <w:vAlign w:val="bottom"/>
            <w:hideMark/>
          </w:tcPr>
          <w:p w14:paraId="31FC7456" w14:textId="102C9142" w:rsidR="00D275D9" w:rsidRPr="00D275D9" w:rsidRDefault="00D275D9" w:rsidP="00D275D9">
            <w:pPr>
              <w:spacing w:after="0" w:line="240" w:lineRule="auto"/>
              <w:jc w:val="right"/>
              <w:rPr>
                <w:rFonts w:eastAsia="Times New Roman" w:cs="Times New Roman"/>
                <w:color w:val="BFBFBF" w:themeColor="background1" w:themeShade="BF"/>
                <w:sz w:val="20"/>
                <w:lang w:eastAsia="sk-SK"/>
              </w:rPr>
            </w:pPr>
            <w:r w:rsidRPr="00D275D9">
              <w:rPr>
                <w:color w:val="BFBFBF" w:themeColor="background1" w:themeShade="BF"/>
                <w:sz w:val="20"/>
              </w:rPr>
              <w:t>1,3</w:t>
            </w:r>
          </w:p>
        </w:tc>
        <w:tc>
          <w:tcPr>
            <w:tcW w:w="794" w:type="dxa"/>
            <w:tcBorders>
              <w:top w:val="nil"/>
              <w:left w:val="nil"/>
              <w:bottom w:val="nil"/>
              <w:right w:val="nil"/>
            </w:tcBorders>
            <w:shd w:val="clear" w:color="000000" w:fill="FFFFFF"/>
            <w:noWrap/>
            <w:vAlign w:val="bottom"/>
            <w:hideMark/>
          </w:tcPr>
          <w:p w14:paraId="3D07D46B" w14:textId="18BBE5CD" w:rsidR="00D275D9" w:rsidRPr="00D275D9" w:rsidRDefault="00D275D9" w:rsidP="00D275D9">
            <w:pPr>
              <w:spacing w:after="0" w:line="240" w:lineRule="auto"/>
              <w:jc w:val="right"/>
              <w:rPr>
                <w:rFonts w:eastAsia="Times New Roman" w:cs="Times New Roman"/>
                <w:color w:val="BFBFBF" w:themeColor="background1" w:themeShade="BF"/>
                <w:sz w:val="20"/>
                <w:lang w:eastAsia="sk-SK"/>
              </w:rPr>
            </w:pPr>
            <w:r w:rsidRPr="00D275D9">
              <w:rPr>
                <w:color w:val="BFBFBF" w:themeColor="background1" w:themeShade="BF"/>
                <w:sz w:val="20"/>
              </w:rPr>
              <w:t>1,4</w:t>
            </w:r>
          </w:p>
        </w:tc>
        <w:tc>
          <w:tcPr>
            <w:tcW w:w="794" w:type="dxa"/>
            <w:tcBorders>
              <w:top w:val="nil"/>
              <w:left w:val="nil"/>
              <w:bottom w:val="nil"/>
              <w:right w:val="nil"/>
            </w:tcBorders>
            <w:shd w:val="clear" w:color="000000" w:fill="FFFFFF"/>
            <w:noWrap/>
            <w:vAlign w:val="bottom"/>
            <w:hideMark/>
          </w:tcPr>
          <w:p w14:paraId="706CEA27" w14:textId="6EAC9731" w:rsidR="00D275D9" w:rsidRPr="00D275D9" w:rsidRDefault="00D275D9" w:rsidP="00D275D9">
            <w:pPr>
              <w:spacing w:after="0" w:line="240" w:lineRule="auto"/>
              <w:jc w:val="right"/>
              <w:rPr>
                <w:rFonts w:eastAsia="Times New Roman" w:cs="Times New Roman"/>
                <w:color w:val="BFBFBF" w:themeColor="background1" w:themeShade="BF"/>
                <w:sz w:val="20"/>
                <w:lang w:eastAsia="sk-SK"/>
              </w:rPr>
            </w:pPr>
            <w:r w:rsidRPr="00D275D9">
              <w:rPr>
                <w:color w:val="BFBFBF" w:themeColor="background1" w:themeShade="BF"/>
                <w:sz w:val="20"/>
              </w:rPr>
              <w:t>1,5</w:t>
            </w:r>
          </w:p>
        </w:tc>
      </w:tr>
      <w:tr w:rsidR="00D275D9" w:rsidRPr="00A42768" w14:paraId="7586E379" w14:textId="77777777" w:rsidTr="00140186">
        <w:trPr>
          <w:trHeight w:val="255"/>
        </w:trPr>
        <w:tc>
          <w:tcPr>
            <w:tcW w:w="3969" w:type="dxa"/>
            <w:tcBorders>
              <w:top w:val="nil"/>
              <w:left w:val="nil"/>
              <w:right w:val="nil"/>
            </w:tcBorders>
            <w:shd w:val="clear" w:color="000000" w:fill="FFFFFF"/>
            <w:noWrap/>
            <w:vAlign w:val="bottom"/>
            <w:hideMark/>
          </w:tcPr>
          <w:p w14:paraId="021B16BF" w14:textId="79FD001B" w:rsidR="00D275D9" w:rsidRPr="00A42768" w:rsidRDefault="00D275D9" w:rsidP="00D275D9">
            <w:pPr>
              <w:spacing w:after="0" w:line="240" w:lineRule="auto"/>
              <w:jc w:val="left"/>
              <w:rPr>
                <w:rFonts w:eastAsia="Times New Roman" w:cs="Times New Roman"/>
                <w:color w:val="000000"/>
                <w:sz w:val="20"/>
                <w:lang w:eastAsia="sk-SK"/>
              </w:rPr>
            </w:pPr>
            <w:r>
              <w:rPr>
                <w:rFonts w:eastAsia="Times New Roman" w:cs="Times New Roman"/>
                <w:color w:val="000000"/>
                <w:sz w:val="20"/>
                <w:lang w:eastAsia="sk-SK"/>
              </w:rPr>
              <w:t>Podpora rodiny</w:t>
            </w:r>
            <w:r w:rsidRPr="00A42768">
              <w:rPr>
                <w:rFonts w:eastAsia="Times New Roman" w:cs="Times New Roman"/>
                <w:color w:val="000000"/>
                <w:sz w:val="20"/>
                <w:lang w:eastAsia="sk-SK"/>
              </w:rPr>
              <w:t xml:space="preserve"> s deťmi</w:t>
            </w:r>
            <w:r>
              <w:rPr>
                <w:rStyle w:val="Odkaznapoznmkupodiarou"/>
                <w:rFonts w:eastAsia="Times New Roman" w:cs="Times New Roman"/>
                <w:color w:val="000000"/>
                <w:sz w:val="20"/>
                <w:lang w:eastAsia="sk-SK"/>
              </w:rPr>
              <w:footnoteReference w:id="29"/>
            </w:r>
          </w:p>
        </w:tc>
        <w:tc>
          <w:tcPr>
            <w:tcW w:w="1134" w:type="dxa"/>
            <w:tcBorders>
              <w:top w:val="nil"/>
              <w:left w:val="nil"/>
              <w:right w:val="nil"/>
            </w:tcBorders>
            <w:shd w:val="clear" w:color="000000" w:fill="FFFFFF"/>
            <w:noWrap/>
            <w:vAlign w:val="bottom"/>
            <w:hideMark/>
          </w:tcPr>
          <w:p w14:paraId="6444567B" w14:textId="2330F001" w:rsidR="00D275D9" w:rsidRPr="00A42768" w:rsidRDefault="00D275D9" w:rsidP="00D275D9">
            <w:pPr>
              <w:spacing w:after="0" w:line="240" w:lineRule="auto"/>
              <w:jc w:val="left"/>
              <w:rPr>
                <w:rFonts w:eastAsia="Times New Roman" w:cs="Times New Roman"/>
                <w:color w:val="000000"/>
                <w:sz w:val="20"/>
                <w:lang w:eastAsia="sk-SK"/>
              </w:rPr>
            </w:pPr>
          </w:p>
        </w:tc>
        <w:tc>
          <w:tcPr>
            <w:tcW w:w="793" w:type="dxa"/>
            <w:tcBorders>
              <w:top w:val="nil"/>
              <w:left w:val="nil"/>
              <w:right w:val="nil"/>
            </w:tcBorders>
            <w:shd w:val="clear" w:color="000000" w:fill="FFFFFF"/>
            <w:noWrap/>
            <w:vAlign w:val="bottom"/>
            <w:hideMark/>
          </w:tcPr>
          <w:p w14:paraId="2CB69643" w14:textId="6D9320BB" w:rsidR="00D275D9" w:rsidRPr="00D275D9" w:rsidRDefault="00D275D9" w:rsidP="00D275D9">
            <w:pPr>
              <w:spacing w:after="0" w:line="240" w:lineRule="auto"/>
              <w:jc w:val="right"/>
              <w:rPr>
                <w:rFonts w:eastAsia="Times New Roman" w:cs="Times New Roman"/>
                <w:color w:val="000000"/>
                <w:sz w:val="20"/>
                <w:lang w:eastAsia="sk-SK"/>
              </w:rPr>
            </w:pPr>
            <w:r>
              <w:rPr>
                <w:color w:val="000000"/>
                <w:sz w:val="20"/>
              </w:rPr>
              <w:t>1,0</w:t>
            </w:r>
          </w:p>
        </w:tc>
        <w:tc>
          <w:tcPr>
            <w:tcW w:w="794" w:type="dxa"/>
            <w:tcBorders>
              <w:top w:val="nil"/>
              <w:left w:val="nil"/>
              <w:right w:val="nil"/>
            </w:tcBorders>
            <w:shd w:val="clear" w:color="000000" w:fill="FFFFFF"/>
            <w:noWrap/>
            <w:vAlign w:val="bottom"/>
            <w:hideMark/>
          </w:tcPr>
          <w:p w14:paraId="73AF5031" w14:textId="1796D7BD" w:rsidR="00D275D9" w:rsidRPr="00D275D9" w:rsidRDefault="00D275D9" w:rsidP="00D275D9">
            <w:pPr>
              <w:spacing w:after="0" w:line="240" w:lineRule="auto"/>
              <w:jc w:val="right"/>
              <w:rPr>
                <w:rFonts w:eastAsia="Times New Roman" w:cs="Times New Roman"/>
                <w:color w:val="000000"/>
                <w:sz w:val="20"/>
                <w:lang w:eastAsia="sk-SK"/>
              </w:rPr>
            </w:pPr>
            <w:r>
              <w:rPr>
                <w:color w:val="000000"/>
                <w:sz w:val="20"/>
              </w:rPr>
              <w:t>1,1</w:t>
            </w:r>
          </w:p>
        </w:tc>
        <w:tc>
          <w:tcPr>
            <w:tcW w:w="794" w:type="dxa"/>
            <w:tcBorders>
              <w:top w:val="nil"/>
              <w:left w:val="nil"/>
              <w:right w:val="nil"/>
            </w:tcBorders>
            <w:shd w:val="clear" w:color="000000" w:fill="FFFFFF"/>
            <w:noWrap/>
            <w:vAlign w:val="bottom"/>
            <w:hideMark/>
          </w:tcPr>
          <w:p w14:paraId="27A46F6C" w14:textId="5E6286B7" w:rsidR="00D275D9" w:rsidRPr="00D275D9" w:rsidRDefault="00D275D9" w:rsidP="00D275D9">
            <w:pPr>
              <w:spacing w:after="0" w:line="240" w:lineRule="auto"/>
              <w:jc w:val="right"/>
              <w:rPr>
                <w:rFonts w:eastAsia="Times New Roman" w:cs="Times New Roman"/>
                <w:color w:val="000000"/>
                <w:sz w:val="20"/>
                <w:lang w:eastAsia="sk-SK"/>
              </w:rPr>
            </w:pPr>
            <w:r>
              <w:rPr>
                <w:color w:val="000000"/>
                <w:sz w:val="20"/>
              </w:rPr>
              <w:t>1,2</w:t>
            </w:r>
          </w:p>
        </w:tc>
        <w:tc>
          <w:tcPr>
            <w:tcW w:w="794" w:type="dxa"/>
            <w:tcBorders>
              <w:top w:val="nil"/>
              <w:left w:val="nil"/>
              <w:right w:val="nil"/>
            </w:tcBorders>
            <w:shd w:val="clear" w:color="000000" w:fill="FFFFFF"/>
            <w:noWrap/>
            <w:vAlign w:val="bottom"/>
            <w:hideMark/>
          </w:tcPr>
          <w:p w14:paraId="6A535361" w14:textId="4A66E5E9" w:rsidR="00D275D9" w:rsidRPr="00D275D9" w:rsidRDefault="00D275D9" w:rsidP="00D275D9">
            <w:pPr>
              <w:spacing w:after="0" w:line="240" w:lineRule="auto"/>
              <w:jc w:val="right"/>
              <w:rPr>
                <w:rFonts w:eastAsia="Times New Roman" w:cs="Times New Roman"/>
                <w:color w:val="000000"/>
                <w:sz w:val="20"/>
                <w:lang w:eastAsia="sk-SK"/>
              </w:rPr>
            </w:pPr>
            <w:r>
              <w:rPr>
                <w:color w:val="000000"/>
                <w:sz w:val="20"/>
              </w:rPr>
              <w:t>1,2</w:t>
            </w:r>
          </w:p>
        </w:tc>
        <w:tc>
          <w:tcPr>
            <w:tcW w:w="794" w:type="dxa"/>
            <w:tcBorders>
              <w:top w:val="nil"/>
              <w:left w:val="nil"/>
              <w:right w:val="nil"/>
            </w:tcBorders>
            <w:shd w:val="clear" w:color="000000" w:fill="FFFFFF"/>
            <w:noWrap/>
            <w:vAlign w:val="bottom"/>
            <w:hideMark/>
          </w:tcPr>
          <w:p w14:paraId="19B2A594" w14:textId="507D7B6F" w:rsidR="00D275D9" w:rsidRPr="00D275D9" w:rsidRDefault="00D275D9" w:rsidP="00D275D9">
            <w:pPr>
              <w:spacing w:after="0" w:line="240" w:lineRule="auto"/>
              <w:jc w:val="right"/>
              <w:rPr>
                <w:rFonts w:eastAsia="Times New Roman" w:cs="Times New Roman"/>
                <w:color w:val="000000"/>
                <w:sz w:val="20"/>
                <w:lang w:eastAsia="sk-SK"/>
              </w:rPr>
            </w:pPr>
            <w:r>
              <w:rPr>
                <w:color w:val="000000"/>
                <w:sz w:val="20"/>
              </w:rPr>
              <w:t>1,3</w:t>
            </w:r>
          </w:p>
        </w:tc>
      </w:tr>
      <w:tr w:rsidR="00D275D9" w:rsidRPr="00A42768" w14:paraId="4FE11A27" w14:textId="77777777" w:rsidTr="00140186">
        <w:trPr>
          <w:trHeight w:val="255"/>
        </w:trPr>
        <w:tc>
          <w:tcPr>
            <w:tcW w:w="3969" w:type="dxa"/>
            <w:tcBorders>
              <w:top w:val="nil"/>
              <w:left w:val="nil"/>
              <w:right w:val="nil"/>
            </w:tcBorders>
            <w:shd w:val="clear" w:color="000000" w:fill="FFFFFF"/>
            <w:noWrap/>
            <w:vAlign w:val="bottom"/>
          </w:tcPr>
          <w:p w14:paraId="5E6A387F" w14:textId="3AF2D701" w:rsidR="00D275D9" w:rsidRDefault="00D275D9" w:rsidP="00D275D9">
            <w:pPr>
              <w:spacing w:after="0" w:line="240" w:lineRule="auto"/>
              <w:ind w:left="214"/>
              <w:jc w:val="left"/>
              <w:rPr>
                <w:rFonts w:eastAsia="Times New Roman" w:cs="Times New Roman"/>
                <w:color w:val="000000"/>
                <w:sz w:val="20"/>
                <w:lang w:eastAsia="sk-SK"/>
              </w:rPr>
            </w:pPr>
            <w:r w:rsidRPr="00A42768">
              <w:rPr>
                <w:rFonts w:eastAsia="Times New Roman" w:cs="Times New Roman"/>
                <w:color w:val="000000"/>
                <w:sz w:val="20"/>
                <w:lang w:eastAsia="sk-SK"/>
              </w:rPr>
              <w:t>z toho financované obcami a VÚC</w:t>
            </w:r>
          </w:p>
        </w:tc>
        <w:tc>
          <w:tcPr>
            <w:tcW w:w="1134" w:type="dxa"/>
            <w:tcBorders>
              <w:top w:val="nil"/>
              <w:left w:val="nil"/>
              <w:right w:val="nil"/>
            </w:tcBorders>
            <w:shd w:val="clear" w:color="000000" w:fill="FFFFFF"/>
            <w:noWrap/>
            <w:vAlign w:val="bottom"/>
          </w:tcPr>
          <w:p w14:paraId="2C063E19" w14:textId="3AD3A419" w:rsidR="00D275D9" w:rsidRPr="00A42768" w:rsidRDefault="00D275D9" w:rsidP="00D275D9">
            <w:pPr>
              <w:spacing w:after="0" w:line="240" w:lineRule="auto"/>
              <w:jc w:val="left"/>
              <w:rPr>
                <w:rFonts w:eastAsia="Times New Roman" w:cs="Times New Roman"/>
                <w:color w:val="000000"/>
                <w:sz w:val="20"/>
                <w:lang w:eastAsia="sk-SK"/>
              </w:rPr>
            </w:pPr>
            <w:r w:rsidRPr="00A42768">
              <w:rPr>
                <w:rFonts w:eastAsia="Times New Roman" w:cs="Times New Roman"/>
                <w:color w:val="000000"/>
                <w:sz w:val="20"/>
                <w:lang w:eastAsia="sk-SK"/>
              </w:rPr>
              <w:t>Samosprávy</w:t>
            </w:r>
          </w:p>
        </w:tc>
        <w:tc>
          <w:tcPr>
            <w:tcW w:w="793" w:type="dxa"/>
            <w:tcBorders>
              <w:top w:val="nil"/>
              <w:left w:val="nil"/>
              <w:right w:val="nil"/>
            </w:tcBorders>
            <w:shd w:val="clear" w:color="000000" w:fill="FFFFFF"/>
            <w:noWrap/>
            <w:vAlign w:val="bottom"/>
          </w:tcPr>
          <w:p w14:paraId="06891662" w14:textId="6F46AA48" w:rsidR="00D275D9" w:rsidRPr="00D275D9" w:rsidRDefault="00D275D9" w:rsidP="00D275D9">
            <w:pPr>
              <w:spacing w:after="0" w:line="240" w:lineRule="auto"/>
              <w:jc w:val="right"/>
              <w:rPr>
                <w:color w:val="BFBFBF" w:themeColor="background1" w:themeShade="BF"/>
                <w:sz w:val="20"/>
              </w:rPr>
            </w:pPr>
            <w:r w:rsidRPr="00D275D9">
              <w:rPr>
                <w:color w:val="BFBFBF" w:themeColor="background1" w:themeShade="BF"/>
                <w:sz w:val="20"/>
              </w:rPr>
              <w:t>0,6</w:t>
            </w:r>
          </w:p>
        </w:tc>
        <w:tc>
          <w:tcPr>
            <w:tcW w:w="794" w:type="dxa"/>
            <w:tcBorders>
              <w:top w:val="nil"/>
              <w:left w:val="nil"/>
              <w:right w:val="nil"/>
            </w:tcBorders>
            <w:shd w:val="clear" w:color="000000" w:fill="FFFFFF"/>
            <w:noWrap/>
            <w:vAlign w:val="bottom"/>
          </w:tcPr>
          <w:p w14:paraId="542C6426" w14:textId="04FF8911" w:rsidR="00D275D9" w:rsidRPr="00D275D9" w:rsidRDefault="00D275D9" w:rsidP="00D275D9">
            <w:pPr>
              <w:spacing w:after="0" w:line="240" w:lineRule="auto"/>
              <w:jc w:val="right"/>
              <w:rPr>
                <w:rFonts w:eastAsia="Times New Roman" w:cs="Times New Roman"/>
                <w:color w:val="BFBFBF" w:themeColor="background1" w:themeShade="BF"/>
                <w:sz w:val="20"/>
                <w:lang w:eastAsia="sk-SK"/>
              </w:rPr>
            </w:pPr>
            <w:r w:rsidRPr="00D275D9">
              <w:rPr>
                <w:color w:val="BFBFBF" w:themeColor="background1" w:themeShade="BF"/>
                <w:sz w:val="20"/>
              </w:rPr>
              <w:t>0,7</w:t>
            </w:r>
          </w:p>
        </w:tc>
        <w:tc>
          <w:tcPr>
            <w:tcW w:w="794" w:type="dxa"/>
            <w:tcBorders>
              <w:top w:val="nil"/>
              <w:left w:val="nil"/>
              <w:right w:val="nil"/>
            </w:tcBorders>
            <w:shd w:val="clear" w:color="000000" w:fill="FFFFFF"/>
            <w:noWrap/>
            <w:vAlign w:val="bottom"/>
          </w:tcPr>
          <w:p w14:paraId="460AE8A3" w14:textId="5A39FCDC" w:rsidR="00D275D9" w:rsidRPr="00D275D9" w:rsidRDefault="00D275D9" w:rsidP="00D275D9">
            <w:pPr>
              <w:spacing w:after="0" w:line="240" w:lineRule="auto"/>
              <w:jc w:val="right"/>
              <w:rPr>
                <w:rFonts w:eastAsia="Times New Roman" w:cs="Times New Roman"/>
                <w:color w:val="BFBFBF" w:themeColor="background1" w:themeShade="BF"/>
                <w:sz w:val="20"/>
                <w:lang w:eastAsia="sk-SK"/>
              </w:rPr>
            </w:pPr>
            <w:r w:rsidRPr="00D275D9">
              <w:rPr>
                <w:color w:val="BFBFBF" w:themeColor="background1" w:themeShade="BF"/>
                <w:sz w:val="20"/>
              </w:rPr>
              <w:t>0,7</w:t>
            </w:r>
          </w:p>
        </w:tc>
        <w:tc>
          <w:tcPr>
            <w:tcW w:w="794" w:type="dxa"/>
            <w:tcBorders>
              <w:top w:val="nil"/>
              <w:left w:val="nil"/>
              <w:right w:val="nil"/>
            </w:tcBorders>
            <w:shd w:val="clear" w:color="000000" w:fill="FFFFFF"/>
            <w:noWrap/>
            <w:vAlign w:val="bottom"/>
          </w:tcPr>
          <w:p w14:paraId="2B8B7F19" w14:textId="7DA659C9" w:rsidR="00D275D9" w:rsidRPr="00D275D9" w:rsidRDefault="00D275D9" w:rsidP="00D275D9">
            <w:pPr>
              <w:spacing w:after="0" w:line="240" w:lineRule="auto"/>
              <w:jc w:val="right"/>
              <w:rPr>
                <w:rFonts w:eastAsia="Times New Roman" w:cs="Times New Roman"/>
                <w:color w:val="BFBFBF" w:themeColor="background1" w:themeShade="BF"/>
                <w:sz w:val="20"/>
                <w:lang w:eastAsia="sk-SK"/>
              </w:rPr>
            </w:pPr>
            <w:r w:rsidRPr="00D275D9">
              <w:rPr>
                <w:color w:val="BFBFBF" w:themeColor="background1" w:themeShade="BF"/>
                <w:sz w:val="20"/>
              </w:rPr>
              <w:t>0,8</w:t>
            </w:r>
          </w:p>
        </w:tc>
        <w:tc>
          <w:tcPr>
            <w:tcW w:w="794" w:type="dxa"/>
            <w:tcBorders>
              <w:top w:val="nil"/>
              <w:left w:val="nil"/>
              <w:right w:val="nil"/>
            </w:tcBorders>
            <w:shd w:val="clear" w:color="000000" w:fill="FFFFFF"/>
            <w:noWrap/>
            <w:vAlign w:val="bottom"/>
          </w:tcPr>
          <w:p w14:paraId="2197994E" w14:textId="71CF7A5D" w:rsidR="00D275D9" w:rsidRPr="00D275D9" w:rsidRDefault="00D275D9" w:rsidP="00D275D9">
            <w:pPr>
              <w:spacing w:after="0" w:line="240" w:lineRule="auto"/>
              <w:jc w:val="right"/>
              <w:rPr>
                <w:rFonts w:eastAsia="Times New Roman" w:cs="Times New Roman"/>
                <w:color w:val="BFBFBF" w:themeColor="background1" w:themeShade="BF"/>
                <w:sz w:val="20"/>
                <w:lang w:eastAsia="sk-SK"/>
              </w:rPr>
            </w:pPr>
            <w:r w:rsidRPr="00D275D9">
              <w:rPr>
                <w:color w:val="BFBFBF" w:themeColor="background1" w:themeShade="BF"/>
                <w:sz w:val="20"/>
              </w:rPr>
              <w:t>0,8</w:t>
            </w:r>
          </w:p>
        </w:tc>
      </w:tr>
      <w:tr w:rsidR="00D275D9" w:rsidRPr="00A42768" w14:paraId="4E97F49B" w14:textId="77777777" w:rsidTr="00140186">
        <w:trPr>
          <w:trHeight w:val="255"/>
        </w:trPr>
        <w:tc>
          <w:tcPr>
            <w:tcW w:w="3969" w:type="dxa"/>
            <w:tcBorders>
              <w:top w:val="nil"/>
              <w:left w:val="nil"/>
              <w:right w:val="nil"/>
            </w:tcBorders>
            <w:shd w:val="clear" w:color="000000" w:fill="FFFFFF"/>
            <w:noWrap/>
            <w:vAlign w:val="bottom"/>
          </w:tcPr>
          <w:p w14:paraId="24DF781D" w14:textId="112F1A28" w:rsidR="00D275D9" w:rsidRDefault="00D275D9" w:rsidP="00D275D9">
            <w:pPr>
              <w:spacing w:after="0" w:line="240" w:lineRule="auto"/>
              <w:ind w:left="214"/>
              <w:jc w:val="left"/>
              <w:rPr>
                <w:rFonts w:eastAsia="Times New Roman" w:cs="Times New Roman"/>
                <w:color w:val="000000"/>
                <w:sz w:val="20"/>
                <w:lang w:eastAsia="sk-SK"/>
              </w:rPr>
            </w:pPr>
            <w:r w:rsidRPr="00A42768">
              <w:rPr>
                <w:rFonts w:eastAsia="Times New Roman" w:cs="Times New Roman"/>
                <w:color w:val="000000"/>
                <w:sz w:val="20"/>
                <w:lang w:eastAsia="sk-SK"/>
              </w:rPr>
              <w:t>z toho spolufinancovanie zo štátneho rozpočtu</w:t>
            </w:r>
          </w:p>
        </w:tc>
        <w:tc>
          <w:tcPr>
            <w:tcW w:w="1134" w:type="dxa"/>
            <w:tcBorders>
              <w:top w:val="nil"/>
              <w:left w:val="nil"/>
              <w:right w:val="nil"/>
            </w:tcBorders>
            <w:shd w:val="clear" w:color="000000" w:fill="FFFFFF"/>
            <w:noWrap/>
            <w:vAlign w:val="bottom"/>
          </w:tcPr>
          <w:p w14:paraId="2C0FBF36" w14:textId="644B3383" w:rsidR="00D275D9" w:rsidRPr="00A42768" w:rsidRDefault="00D275D9" w:rsidP="00D275D9">
            <w:pPr>
              <w:spacing w:after="0" w:line="240" w:lineRule="auto"/>
              <w:jc w:val="left"/>
              <w:rPr>
                <w:rFonts w:eastAsia="Times New Roman" w:cs="Times New Roman"/>
                <w:color w:val="000000"/>
                <w:sz w:val="20"/>
                <w:lang w:eastAsia="sk-SK"/>
              </w:rPr>
            </w:pPr>
            <w:r w:rsidRPr="00A42768">
              <w:rPr>
                <w:rFonts w:eastAsia="Times New Roman" w:cs="Times New Roman"/>
                <w:color w:val="000000"/>
                <w:sz w:val="20"/>
                <w:lang w:eastAsia="sk-SK"/>
              </w:rPr>
              <w:t>MPSVR</w:t>
            </w:r>
          </w:p>
        </w:tc>
        <w:tc>
          <w:tcPr>
            <w:tcW w:w="793" w:type="dxa"/>
            <w:tcBorders>
              <w:top w:val="nil"/>
              <w:left w:val="nil"/>
              <w:right w:val="nil"/>
            </w:tcBorders>
            <w:shd w:val="clear" w:color="000000" w:fill="FFFFFF"/>
            <w:noWrap/>
            <w:vAlign w:val="bottom"/>
          </w:tcPr>
          <w:p w14:paraId="732749D0" w14:textId="009CAD9D" w:rsidR="00D275D9" w:rsidRPr="00D275D9" w:rsidRDefault="00D275D9" w:rsidP="00D275D9">
            <w:pPr>
              <w:spacing w:after="0" w:line="240" w:lineRule="auto"/>
              <w:jc w:val="right"/>
              <w:rPr>
                <w:color w:val="BFBFBF" w:themeColor="background1" w:themeShade="BF"/>
                <w:sz w:val="20"/>
              </w:rPr>
            </w:pPr>
            <w:r w:rsidRPr="00D275D9">
              <w:rPr>
                <w:color w:val="BFBFBF" w:themeColor="background1" w:themeShade="BF"/>
                <w:sz w:val="20"/>
              </w:rPr>
              <w:t>0,4</w:t>
            </w:r>
          </w:p>
        </w:tc>
        <w:tc>
          <w:tcPr>
            <w:tcW w:w="794" w:type="dxa"/>
            <w:tcBorders>
              <w:top w:val="nil"/>
              <w:left w:val="nil"/>
              <w:right w:val="nil"/>
            </w:tcBorders>
            <w:shd w:val="clear" w:color="000000" w:fill="FFFFFF"/>
            <w:noWrap/>
            <w:vAlign w:val="bottom"/>
          </w:tcPr>
          <w:p w14:paraId="4547B08A" w14:textId="15BD031B" w:rsidR="00D275D9" w:rsidRPr="00D275D9" w:rsidRDefault="00D275D9" w:rsidP="00D275D9">
            <w:pPr>
              <w:spacing w:after="0" w:line="240" w:lineRule="auto"/>
              <w:jc w:val="right"/>
              <w:rPr>
                <w:rFonts w:eastAsia="Times New Roman" w:cs="Times New Roman"/>
                <w:color w:val="BFBFBF" w:themeColor="background1" w:themeShade="BF"/>
                <w:sz w:val="20"/>
                <w:lang w:eastAsia="sk-SK"/>
              </w:rPr>
            </w:pPr>
            <w:r w:rsidRPr="00D275D9">
              <w:rPr>
                <w:color w:val="BFBFBF" w:themeColor="background1" w:themeShade="BF"/>
                <w:sz w:val="20"/>
              </w:rPr>
              <w:t>0,4</w:t>
            </w:r>
          </w:p>
        </w:tc>
        <w:tc>
          <w:tcPr>
            <w:tcW w:w="794" w:type="dxa"/>
            <w:tcBorders>
              <w:top w:val="nil"/>
              <w:left w:val="nil"/>
              <w:right w:val="nil"/>
            </w:tcBorders>
            <w:shd w:val="clear" w:color="000000" w:fill="FFFFFF"/>
            <w:noWrap/>
            <w:vAlign w:val="bottom"/>
          </w:tcPr>
          <w:p w14:paraId="6A4C8143" w14:textId="0F2CD697" w:rsidR="00D275D9" w:rsidRPr="00D275D9" w:rsidRDefault="00D275D9" w:rsidP="00D275D9">
            <w:pPr>
              <w:spacing w:after="0" w:line="240" w:lineRule="auto"/>
              <w:jc w:val="right"/>
              <w:rPr>
                <w:rFonts w:eastAsia="Times New Roman" w:cs="Times New Roman"/>
                <w:color w:val="BFBFBF" w:themeColor="background1" w:themeShade="BF"/>
                <w:sz w:val="20"/>
                <w:lang w:eastAsia="sk-SK"/>
              </w:rPr>
            </w:pPr>
            <w:r w:rsidRPr="00D275D9">
              <w:rPr>
                <w:color w:val="BFBFBF" w:themeColor="background1" w:themeShade="BF"/>
                <w:sz w:val="20"/>
              </w:rPr>
              <w:t>0,4</w:t>
            </w:r>
          </w:p>
        </w:tc>
        <w:tc>
          <w:tcPr>
            <w:tcW w:w="794" w:type="dxa"/>
            <w:tcBorders>
              <w:top w:val="nil"/>
              <w:left w:val="nil"/>
              <w:right w:val="nil"/>
            </w:tcBorders>
            <w:shd w:val="clear" w:color="000000" w:fill="FFFFFF"/>
            <w:noWrap/>
            <w:vAlign w:val="bottom"/>
          </w:tcPr>
          <w:p w14:paraId="1407CD18" w14:textId="46310B2D" w:rsidR="00D275D9" w:rsidRPr="00D275D9" w:rsidRDefault="00D275D9" w:rsidP="00D275D9">
            <w:pPr>
              <w:spacing w:after="0" w:line="240" w:lineRule="auto"/>
              <w:jc w:val="right"/>
              <w:rPr>
                <w:rFonts w:eastAsia="Times New Roman" w:cs="Times New Roman"/>
                <w:color w:val="BFBFBF" w:themeColor="background1" w:themeShade="BF"/>
                <w:sz w:val="20"/>
                <w:lang w:eastAsia="sk-SK"/>
              </w:rPr>
            </w:pPr>
            <w:r w:rsidRPr="00D275D9">
              <w:rPr>
                <w:color w:val="BFBFBF" w:themeColor="background1" w:themeShade="BF"/>
                <w:sz w:val="20"/>
              </w:rPr>
              <w:t>0,5</w:t>
            </w:r>
          </w:p>
        </w:tc>
        <w:tc>
          <w:tcPr>
            <w:tcW w:w="794" w:type="dxa"/>
            <w:tcBorders>
              <w:top w:val="nil"/>
              <w:left w:val="nil"/>
              <w:right w:val="nil"/>
            </w:tcBorders>
            <w:shd w:val="clear" w:color="000000" w:fill="FFFFFF"/>
            <w:noWrap/>
            <w:vAlign w:val="bottom"/>
          </w:tcPr>
          <w:p w14:paraId="0A53DED3" w14:textId="628694E6" w:rsidR="00D275D9" w:rsidRPr="00D275D9" w:rsidRDefault="00D275D9" w:rsidP="00D275D9">
            <w:pPr>
              <w:spacing w:after="0" w:line="240" w:lineRule="auto"/>
              <w:jc w:val="right"/>
              <w:rPr>
                <w:rFonts w:eastAsia="Times New Roman" w:cs="Times New Roman"/>
                <w:color w:val="BFBFBF" w:themeColor="background1" w:themeShade="BF"/>
                <w:sz w:val="20"/>
                <w:lang w:eastAsia="sk-SK"/>
              </w:rPr>
            </w:pPr>
            <w:r w:rsidRPr="00D275D9">
              <w:rPr>
                <w:color w:val="BFBFBF" w:themeColor="background1" w:themeShade="BF"/>
                <w:sz w:val="20"/>
              </w:rPr>
              <w:t>0,5</w:t>
            </w:r>
          </w:p>
        </w:tc>
      </w:tr>
      <w:tr w:rsidR="00D275D9" w:rsidRPr="00A42768" w14:paraId="32B38456" w14:textId="77777777" w:rsidTr="00773905">
        <w:trPr>
          <w:trHeight w:val="255"/>
        </w:trPr>
        <w:tc>
          <w:tcPr>
            <w:tcW w:w="3969" w:type="dxa"/>
            <w:tcBorders>
              <w:left w:val="nil"/>
              <w:right w:val="nil"/>
            </w:tcBorders>
            <w:shd w:val="clear" w:color="000000" w:fill="FFFFFF"/>
            <w:noWrap/>
            <w:vAlign w:val="bottom"/>
          </w:tcPr>
          <w:p w14:paraId="60A5F108" w14:textId="59F4D181" w:rsidR="00D275D9" w:rsidRPr="00D3189B" w:rsidRDefault="00D275D9" w:rsidP="00D275D9">
            <w:pPr>
              <w:spacing w:after="0" w:line="240" w:lineRule="auto"/>
              <w:jc w:val="left"/>
              <w:rPr>
                <w:rFonts w:eastAsia="Times New Roman" w:cs="Times New Roman"/>
                <w:bCs/>
                <w:color w:val="000000"/>
                <w:sz w:val="20"/>
                <w:lang w:eastAsia="sk-SK"/>
              </w:rPr>
            </w:pPr>
            <w:r>
              <w:rPr>
                <w:rFonts w:eastAsia="Times New Roman" w:cs="Times New Roman"/>
                <w:bCs/>
                <w:color w:val="000000"/>
                <w:sz w:val="20"/>
                <w:lang w:eastAsia="sk-SK"/>
              </w:rPr>
              <w:t>R</w:t>
            </w:r>
            <w:r w:rsidRPr="00D3189B">
              <w:rPr>
                <w:rFonts w:eastAsia="Times New Roman" w:cs="Times New Roman"/>
                <w:bCs/>
                <w:color w:val="000000"/>
                <w:sz w:val="20"/>
                <w:lang w:eastAsia="sk-SK"/>
              </w:rPr>
              <w:t>iešenie nepriaznivej soc</w:t>
            </w:r>
            <w:r>
              <w:rPr>
                <w:rFonts w:eastAsia="Times New Roman" w:cs="Times New Roman"/>
                <w:bCs/>
                <w:color w:val="000000"/>
                <w:sz w:val="20"/>
                <w:lang w:eastAsia="sk-SK"/>
              </w:rPr>
              <w:t>.</w:t>
            </w:r>
            <w:r w:rsidRPr="00D3189B">
              <w:rPr>
                <w:rFonts w:eastAsia="Times New Roman" w:cs="Times New Roman"/>
                <w:bCs/>
                <w:color w:val="000000"/>
                <w:sz w:val="20"/>
                <w:lang w:eastAsia="sk-SK"/>
              </w:rPr>
              <w:t xml:space="preserve"> situácie z dôvodu ŤZP</w:t>
            </w:r>
            <w:r>
              <w:rPr>
                <w:rStyle w:val="Odkaznapoznmkupodiarou"/>
                <w:rFonts w:eastAsia="Times New Roman" w:cs="Times New Roman"/>
                <w:bCs/>
                <w:color w:val="000000"/>
                <w:sz w:val="20"/>
                <w:lang w:eastAsia="sk-SK"/>
              </w:rPr>
              <w:footnoteReference w:id="30"/>
            </w:r>
          </w:p>
        </w:tc>
        <w:tc>
          <w:tcPr>
            <w:tcW w:w="1134" w:type="dxa"/>
            <w:tcBorders>
              <w:left w:val="nil"/>
              <w:right w:val="nil"/>
            </w:tcBorders>
            <w:shd w:val="clear" w:color="000000" w:fill="FFFFFF"/>
            <w:noWrap/>
            <w:vAlign w:val="bottom"/>
          </w:tcPr>
          <w:p w14:paraId="591CBCCF" w14:textId="77777777" w:rsidR="00D275D9" w:rsidRPr="00D3189B" w:rsidRDefault="00D275D9" w:rsidP="00D275D9">
            <w:pPr>
              <w:spacing w:after="0" w:line="240" w:lineRule="auto"/>
              <w:jc w:val="left"/>
              <w:rPr>
                <w:rFonts w:eastAsia="Times New Roman" w:cs="Times New Roman"/>
                <w:bCs/>
                <w:color w:val="000000"/>
                <w:sz w:val="20"/>
                <w:lang w:eastAsia="sk-SK"/>
              </w:rPr>
            </w:pPr>
          </w:p>
        </w:tc>
        <w:tc>
          <w:tcPr>
            <w:tcW w:w="793" w:type="dxa"/>
            <w:tcBorders>
              <w:left w:val="nil"/>
              <w:right w:val="nil"/>
            </w:tcBorders>
            <w:shd w:val="clear" w:color="000000" w:fill="FFFFFF"/>
            <w:noWrap/>
            <w:vAlign w:val="bottom"/>
          </w:tcPr>
          <w:p w14:paraId="3E844989" w14:textId="288D83D5" w:rsidR="00D275D9" w:rsidRPr="00D275D9" w:rsidRDefault="00D275D9" w:rsidP="00D275D9">
            <w:pPr>
              <w:spacing w:after="0" w:line="240" w:lineRule="auto"/>
              <w:jc w:val="right"/>
              <w:rPr>
                <w:bCs/>
                <w:color w:val="000000"/>
                <w:sz w:val="20"/>
              </w:rPr>
            </w:pPr>
            <w:r>
              <w:rPr>
                <w:color w:val="000000"/>
                <w:sz w:val="20"/>
              </w:rPr>
              <w:t>187,0</w:t>
            </w:r>
          </w:p>
        </w:tc>
        <w:tc>
          <w:tcPr>
            <w:tcW w:w="794" w:type="dxa"/>
            <w:tcBorders>
              <w:left w:val="nil"/>
              <w:right w:val="nil"/>
            </w:tcBorders>
            <w:shd w:val="clear" w:color="000000" w:fill="FFFFFF"/>
            <w:noWrap/>
            <w:vAlign w:val="bottom"/>
          </w:tcPr>
          <w:p w14:paraId="7405DBAB" w14:textId="5807564C" w:rsidR="00D275D9" w:rsidRPr="00D275D9" w:rsidRDefault="00D275D9" w:rsidP="00D275D9">
            <w:pPr>
              <w:spacing w:after="0" w:line="240" w:lineRule="auto"/>
              <w:jc w:val="right"/>
              <w:rPr>
                <w:rFonts w:eastAsia="Times New Roman" w:cs="Times New Roman"/>
                <w:bCs/>
                <w:color w:val="000000"/>
                <w:sz w:val="20"/>
                <w:lang w:eastAsia="sk-SK"/>
              </w:rPr>
            </w:pPr>
            <w:r>
              <w:rPr>
                <w:color w:val="000000"/>
                <w:sz w:val="20"/>
              </w:rPr>
              <w:t>206,6</w:t>
            </w:r>
          </w:p>
        </w:tc>
        <w:tc>
          <w:tcPr>
            <w:tcW w:w="794" w:type="dxa"/>
            <w:tcBorders>
              <w:left w:val="nil"/>
              <w:right w:val="nil"/>
            </w:tcBorders>
            <w:shd w:val="clear" w:color="000000" w:fill="FFFFFF"/>
            <w:noWrap/>
            <w:vAlign w:val="bottom"/>
          </w:tcPr>
          <w:p w14:paraId="1FC9133A" w14:textId="2C868C3C" w:rsidR="00D275D9" w:rsidRPr="00D275D9" w:rsidRDefault="00D275D9" w:rsidP="00D275D9">
            <w:pPr>
              <w:spacing w:after="0" w:line="240" w:lineRule="auto"/>
              <w:jc w:val="right"/>
              <w:rPr>
                <w:rFonts w:eastAsia="Times New Roman" w:cs="Times New Roman"/>
                <w:bCs/>
                <w:color w:val="000000"/>
                <w:sz w:val="20"/>
                <w:lang w:eastAsia="sk-SK"/>
              </w:rPr>
            </w:pPr>
            <w:r>
              <w:rPr>
                <w:color w:val="000000"/>
                <w:sz w:val="20"/>
              </w:rPr>
              <w:t>210,6</w:t>
            </w:r>
          </w:p>
        </w:tc>
        <w:tc>
          <w:tcPr>
            <w:tcW w:w="794" w:type="dxa"/>
            <w:tcBorders>
              <w:left w:val="nil"/>
              <w:right w:val="nil"/>
            </w:tcBorders>
            <w:shd w:val="clear" w:color="000000" w:fill="FFFFFF"/>
            <w:noWrap/>
            <w:vAlign w:val="bottom"/>
          </w:tcPr>
          <w:p w14:paraId="7FF36551" w14:textId="40BE9F7B" w:rsidR="00D275D9" w:rsidRPr="00D275D9" w:rsidRDefault="00D275D9" w:rsidP="00D275D9">
            <w:pPr>
              <w:spacing w:after="0" w:line="240" w:lineRule="auto"/>
              <w:jc w:val="right"/>
              <w:rPr>
                <w:rFonts w:eastAsia="Times New Roman" w:cs="Times New Roman"/>
                <w:bCs/>
                <w:color w:val="000000"/>
                <w:sz w:val="20"/>
                <w:lang w:eastAsia="sk-SK"/>
              </w:rPr>
            </w:pPr>
            <w:r>
              <w:rPr>
                <w:color w:val="000000"/>
                <w:sz w:val="20"/>
              </w:rPr>
              <w:t>220,3</w:t>
            </w:r>
          </w:p>
        </w:tc>
        <w:tc>
          <w:tcPr>
            <w:tcW w:w="794" w:type="dxa"/>
            <w:tcBorders>
              <w:left w:val="nil"/>
              <w:right w:val="nil"/>
            </w:tcBorders>
            <w:shd w:val="clear" w:color="000000" w:fill="FFFFFF"/>
            <w:noWrap/>
            <w:vAlign w:val="bottom"/>
          </w:tcPr>
          <w:p w14:paraId="3782DF0B" w14:textId="6BF908AC" w:rsidR="00D275D9" w:rsidRPr="00D275D9" w:rsidRDefault="00D275D9" w:rsidP="00D275D9">
            <w:pPr>
              <w:spacing w:after="0" w:line="240" w:lineRule="auto"/>
              <w:jc w:val="right"/>
              <w:rPr>
                <w:rFonts w:eastAsia="Times New Roman" w:cs="Times New Roman"/>
                <w:bCs/>
                <w:color w:val="000000"/>
                <w:sz w:val="20"/>
                <w:lang w:eastAsia="sk-SK"/>
              </w:rPr>
            </w:pPr>
            <w:r>
              <w:rPr>
                <w:color w:val="000000"/>
                <w:sz w:val="20"/>
              </w:rPr>
              <w:t>234,2</w:t>
            </w:r>
          </w:p>
        </w:tc>
      </w:tr>
      <w:tr w:rsidR="00D275D9" w:rsidRPr="00A42768" w14:paraId="593C7229" w14:textId="77777777" w:rsidTr="00773905">
        <w:trPr>
          <w:trHeight w:val="255"/>
        </w:trPr>
        <w:tc>
          <w:tcPr>
            <w:tcW w:w="3969" w:type="dxa"/>
            <w:tcBorders>
              <w:left w:val="nil"/>
              <w:right w:val="nil"/>
            </w:tcBorders>
            <w:shd w:val="clear" w:color="000000" w:fill="FFFFFF"/>
            <w:noWrap/>
            <w:vAlign w:val="bottom"/>
          </w:tcPr>
          <w:p w14:paraId="06423346" w14:textId="19B2AB75" w:rsidR="00D275D9" w:rsidRPr="00D3189B" w:rsidRDefault="00D275D9" w:rsidP="00D275D9">
            <w:pPr>
              <w:spacing w:after="0" w:line="240" w:lineRule="auto"/>
              <w:ind w:left="214"/>
              <w:jc w:val="left"/>
              <w:rPr>
                <w:rFonts w:eastAsia="Times New Roman" w:cs="Times New Roman"/>
                <w:bCs/>
                <w:color w:val="000000"/>
                <w:sz w:val="20"/>
                <w:lang w:eastAsia="sk-SK"/>
              </w:rPr>
            </w:pPr>
            <w:r w:rsidRPr="00A42768">
              <w:rPr>
                <w:rFonts w:eastAsia="Times New Roman" w:cs="Times New Roman"/>
                <w:color w:val="000000"/>
                <w:sz w:val="20"/>
                <w:lang w:eastAsia="sk-SK"/>
              </w:rPr>
              <w:t>z toho financované obcami a VÚC</w:t>
            </w:r>
          </w:p>
        </w:tc>
        <w:tc>
          <w:tcPr>
            <w:tcW w:w="1134" w:type="dxa"/>
            <w:tcBorders>
              <w:left w:val="nil"/>
              <w:right w:val="nil"/>
            </w:tcBorders>
            <w:shd w:val="clear" w:color="000000" w:fill="FFFFFF"/>
            <w:noWrap/>
            <w:vAlign w:val="bottom"/>
          </w:tcPr>
          <w:p w14:paraId="34B5C1CC" w14:textId="4380DB42" w:rsidR="00D275D9" w:rsidRPr="00D3189B" w:rsidRDefault="00D275D9" w:rsidP="00D275D9">
            <w:pPr>
              <w:spacing w:after="0" w:line="240" w:lineRule="auto"/>
              <w:jc w:val="left"/>
              <w:rPr>
                <w:rFonts w:eastAsia="Times New Roman" w:cs="Times New Roman"/>
                <w:bCs/>
                <w:color w:val="000000"/>
                <w:sz w:val="20"/>
                <w:lang w:eastAsia="sk-SK"/>
              </w:rPr>
            </w:pPr>
            <w:r w:rsidRPr="00A42768">
              <w:rPr>
                <w:rFonts w:eastAsia="Times New Roman" w:cs="Times New Roman"/>
                <w:color w:val="000000"/>
                <w:sz w:val="20"/>
                <w:lang w:eastAsia="sk-SK"/>
              </w:rPr>
              <w:t>Samosprávy</w:t>
            </w:r>
          </w:p>
        </w:tc>
        <w:tc>
          <w:tcPr>
            <w:tcW w:w="793" w:type="dxa"/>
            <w:tcBorders>
              <w:left w:val="nil"/>
              <w:right w:val="nil"/>
            </w:tcBorders>
            <w:shd w:val="clear" w:color="000000" w:fill="FFFFFF"/>
            <w:noWrap/>
            <w:vAlign w:val="bottom"/>
          </w:tcPr>
          <w:p w14:paraId="3BD87FE2" w14:textId="5266CF3D" w:rsidR="00D275D9" w:rsidRPr="00D275D9" w:rsidRDefault="00D275D9" w:rsidP="00D275D9">
            <w:pPr>
              <w:spacing w:after="0" w:line="240" w:lineRule="auto"/>
              <w:jc w:val="right"/>
              <w:rPr>
                <w:bCs/>
                <w:color w:val="BFBFBF" w:themeColor="background1" w:themeShade="BF"/>
                <w:sz w:val="20"/>
              </w:rPr>
            </w:pPr>
            <w:r w:rsidRPr="00D275D9">
              <w:rPr>
                <w:color w:val="BFBFBF" w:themeColor="background1" w:themeShade="BF"/>
                <w:sz w:val="20"/>
              </w:rPr>
              <w:t>153,6</w:t>
            </w:r>
          </w:p>
        </w:tc>
        <w:tc>
          <w:tcPr>
            <w:tcW w:w="794" w:type="dxa"/>
            <w:tcBorders>
              <w:left w:val="nil"/>
              <w:right w:val="nil"/>
            </w:tcBorders>
            <w:shd w:val="clear" w:color="000000" w:fill="FFFFFF"/>
            <w:noWrap/>
            <w:vAlign w:val="bottom"/>
          </w:tcPr>
          <w:p w14:paraId="7BAED398" w14:textId="4D293D83" w:rsidR="00D275D9" w:rsidRPr="00D275D9" w:rsidRDefault="00D275D9" w:rsidP="00D275D9">
            <w:pPr>
              <w:spacing w:after="0" w:line="240" w:lineRule="auto"/>
              <w:jc w:val="right"/>
              <w:rPr>
                <w:rFonts w:eastAsia="Times New Roman" w:cs="Times New Roman"/>
                <w:bCs/>
                <w:color w:val="BFBFBF" w:themeColor="background1" w:themeShade="BF"/>
                <w:sz w:val="20"/>
                <w:lang w:eastAsia="sk-SK"/>
              </w:rPr>
            </w:pPr>
            <w:r w:rsidRPr="00D275D9">
              <w:rPr>
                <w:color w:val="BFBFBF" w:themeColor="background1" w:themeShade="BF"/>
                <w:sz w:val="20"/>
              </w:rPr>
              <w:t>169,8</w:t>
            </w:r>
          </w:p>
        </w:tc>
        <w:tc>
          <w:tcPr>
            <w:tcW w:w="794" w:type="dxa"/>
            <w:tcBorders>
              <w:left w:val="nil"/>
              <w:right w:val="nil"/>
            </w:tcBorders>
            <w:shd w:val="clear" w:color="000000" w:fill="FFFFFF"/>
            <w:noWrap/>
            <w:vAlign w:val="bottom"/>
          </w:tcPr>
          <w:p w14:paraId="7CF86DE5" w14:textId="4229A913" w:rsidR="00D275D9" w:rsidRPr="00D275D9" w:rsidRDefault="00D275D9" w:rsidP="00D275D9">
            <w:pPr>
              <w:spacing w:after="0" w:line="240" w:lineRule="auto"/>
              <w:jc w:val="right"/>
              <w:rPr>
                <w:rFonts w:eastAsia="Times New Roman" w:cs="Times New Roman"/>
                <w:bCs/>
                <w:color w:val="BFBFBF" w:themeColor="background1" w:themeShade="BF"/>
                <w:sz w:val="20"/>
                <w:lang w:eastAsia="sk-SK"/>
              </w:rPr>
            </w:pPr>
            <w:r w:rsidRPr="00D275D9">
              <w:rPr>
                <w:color w:val="BFBFBF" w:themeColor="background1" w:themeShade="BF"/>
                <w:sz w:val="20"/>
              </w:rPr>
              <w:t>173,1</w:t>
            </w:r>
          </w:p>
        </w:tc>
        <w:tc>
          <w:tcPr>
            <w:tcW w:w="794" w:type="dxa"/>
            <w:tcBorders>
              <w:left w:val="nil"/>
              <w:right w:val="nil"/>
            </w:tcBorders>
            <w:shd w:val="clear" w:color="000000" w:fill="FFFFFF"/>
            <w:noWrap/>
            <w:vAlign w:val="bottom"/>
          </w:tcPr>
          <w:p w14:paraId="619CD7CF" w14:textId="5348199D" w:rsidR="00D275D9" w:rsidRPr="00D275D9" w:rsidRDefault="00D275D9" w:rsidP="00D275D9">
            <w:pPr>
              <w:spacing w:after="0" w:line="240" w:lineRule="auto"/>
              <w:jc w:val="right"/>
              <w:rPr>
                <w:rFonts w:eastAsia="Times New Roman" w:cs="Times New Roman"/>
                <w:bCs/>
                <w:color w:val="BFBFBF" w:themeColor="background1" w:themeShade="BF"/>
                <w:sz w:val="20"/>
                <w:lang w:eastAsia="sk-SK"/>
              </w:rPr>
            </w:pPr>
            <w:r w:rsidRPr="00D275D9">
              <w:rPr>
                <w:color w:val="BFBFBF" w:themeColor="background1" w:themeShade="BF"/>
                <w:sz w:val="20"/>
              </w:rPr>
              <w:t>181,0</w:t>
            </w:r>
          </w:p>
        </w:tc>
        <w:tc>
          <w:tcPr>
            <w:tcW w:w="794" w:type="dxa"/>
            <w:tcBorders>
              <w:left w:val="nil"/>
              <w:right w:val="nil"/>
            </w:tcBorders>
            <w:shd w:val="clear" w:color="000000" w:fill="FFFFFF"/>
            <w:noWrap/>
            <w:vAlign w:val="bottom"/>
          </w:tcPr>
          <w:p w14:paraId="59101683" w14:textId="100B8277" w:rsidR="00D275D9" w:rsidRPr="00D275D9" w:rsidRDefault="00D275D9" w:rsidP="00D275D9">
            <w:pPr>
              <w:spacing w:after="0" w:line="240" w:lineRule="auto"/>
              <w:jc w:val="right"/>
              <w:rPr>
                <w:rFonts w:eastAsia="Times New Roman" w:cs="Times New Roman"/>
                <w:bCs/>
                <w:color w:val="BFBFBF" w:themeColor="background1" w:themeShade="BF"/>
                <w:sz w:val="20"/>
                <w:lang w:eastAsia="sk-SK"/>
              </w:rPr>
            </w:pPr>
            <w:r w:rsidRPr="00D275D9">
              <w:rPr>
                <w:color w:val="BFBFBF" w:themeColor="background1" w:themeShade="BF"/>
                <w:sz w:val="20"/>
              </w:rPr>
              <w:t>192,4</w:t>
            </w:r>
          </w:p>
        </w:tc>
      </w:tr>
      <w:tr w:rsidR="00D275D9" w:rsidRPr="00A42768" w14:paraId="6A9795EB" w14:textId="77777777" w:rsidTr="00140186">
        <w:trPr>
          <w:trHeight w:val="255"/>
        </w:trPr>
        <w:tc>
          <w:tcPr>
            <w:tcW w:w="3969" w:type="dxa"/>
            <w:tcBorders>
              <w:left w:val="nil"/>
              <w:bottom w:val="single" w:sz="4" w:space="0" w:color="auto"/>
              <w:right w:val="nil"/>
            </w:tcBorders>
            <w:shd w:val="clear" w:color="000000" w:fill="FFFFFF"/>
            <w:noWrap/>
            <w:vAlign w:val="bottom"/>
          </w:tcPr>
          <w:p w14:paraId="57D49A6B" w14:textId="76686E29" w:rsidR="00D275D9" w:rsidRPr="00D3189B" w:rsidRDefault="00D275D9" w:rsidP="00D275D9">
            <w:pPr>
              <w:spacing w:after="0" w:line="240" w:lineRule="auto"/>
              <w:ind w:left="214"/>
              <w:jc w:val="left"/>
              <w:rPr>
                <w:rFonts w:eastAsia="Times New Roman" w:cs="Times New Roman"/>
                <w:bCs/>
                <w:color w:val="000000"/>
                <w:sz w:val="20"/>
                <w:lang w:eastAsia="sk-SK"/>
              </w:rPr>
            </w:pPr>
            <w:r w:rsidRPr="00A42768">
              <w:rPr>
                <w:rFonts w:eastAsia="Times New Roman" w:cs="Times New Roman"/>
                <w:color w:val="000000"/>
                <w:sz w:val="20"/>
                <w:lang w:eastAsia="sk-SK"/>
              </w:rPr>
              <w:t>z toho spolufinancovanie zo štátneho rozpočtu</w:t>
            </w:r>
          </w:p>
        </w:tc>
        <w:tc>
          <w:tcPr>
            <w:tcW w:w="1134" w:type="dxa"/>
            <w:tcBorders>
              <w:left w:val="nil"/>
              <w:bottom w:val="single" w:sz="4" w:space="0" w:color="auto"/>
              <w:right w:val="nil"/>
            </w:tcBorders>
            <w:shd w:val="clear" w:color="000000" w:fill="FFFFFF"/>
            <w:noWrap/>
            <w:vAlign w:val="bottom"/>
          </w:tcPr>
          <w:p w14:paraId="1234D89C" w14:textId="416838E3" w:rsidR="00D275D9" w:rsidRPr="00D3189B" w:rsidRDefault="00D275D9" w:rsidP="00D275D9">
            <w:pPr>
              <w:spacing w:after="0" w:line="240" w:lineRule="auto"/>
              <w:jc w:val="left"/>
              <w:rPr>
                <w:rFonts w:eastAsia="Times New Roman" w:cs="Times New Roman"/>
                <w:bCs/>
                <w:color w:val="000000"/>
                <w:sz w:val="20"/>
                <w:lang w:eastAsia="sk-SK"/>
              </w:rPr>
            </w:pPr>
            <w:r w:rsidRPr="00A42768">
              <w:rPr>
                <w:rFonts w:eastAsia="Times New Roman" w:cs="Times New Roman"/>
                <w:color w:val="000000"/>
                <w:sz w:val="20"/>
                <w:lang w:eastAsia="sk-SK"/>
              </w:rPr>
              <w:t>MPSVR</w:t>
            </w:r>
          </w:p>
        </w:tc>
        <w:tc>
          <w:tcPr>
            <w:tcW w:w="793" w:type="dxa"/>
            <w:tcBorders>
              <w:left w:val="nil"/>
              <w:bottom w:val="single" w:sz="4" w:space="0" w:color="auto"/>
              <w:right w:val="nil"/>
            </w:tcBorders>
            <w:shd w:val="clear" w:color="000000" w:fill="FFFFFF"/>
            <w:noWrap/>
            <w:vAlign w:val="bottom"/>
          </w:tcPr>
          <w:p w14:paraId="10669511" w14:textId="152FF762" w:rsidR="00D275D9" w:rsidRPr="00D275D9" w:rsidRDefault="00D275D9" w:rsidP="00D275D9">
            <w:pPr>
              <w:spacing w:after="0" w:line="240" w:lineRule="auto"/>
              <w:jc w:val="right"/>
              <w:rPr>
                <w:bCs/>
                <w:color w:val="BFBFBF" w:themeColor="background1" w:themeShade="BF"/>
                <w:sz w:val="20"/>
              </w:rPr>
            </w:pPr>
            <w:r w:rsidRPr="00D275D9">
              <w:rPr>
                <w:color w:val="BFBFBF" w:themeColor="background1" w:themeShade="BF"/>
                <w:sz w:val="20"/>
              </w:rPr>
              <w:t>33,4</w:t>
            </w:r>
          </w:p>
        </w:tc>
        <w:tc>
          <w:tcPr>
            <w:tcW w:w="794" w:type="dxa"/>
            <w:tcBorders>
              <w:left w:val="nil"/>
              <w:bottom w:val="single" w:sz="4" w:space="0" w:color="auto"/>
              <w:right w:val="nil"/>
            </w:tcBorders>
            <w:shd w:val="clear" w:color="000000" w:fill="FFFFFF"/>
            <w:noWrap/>
            <w:vAlign w:val="bottom"/>
          </w:tcPr>
          <w:p w14:paraId="4A717016" w14:textId="6C322B0A" w:rsidR="00D275D9" w:rsidRPr="00D275D9" w:rsidRDefault="00D275D9" w:rsidP="00D275D9">
            <w:pPr>
              <w:spacing w:after="0" w:line="240" w:lineRule="auto"/>
              <w:jc w:val="right"/>
              <w:rPr>
                <w:rFonts w:eastAsia="Times New Roman" w:cs="Times New Roman"/>
                <w:bCs/>
                <w:color w:val="BFBFBF" w:themeColor="background1" w:themeShade="BF"/>
                <w:sz w:val="20"/>
                <w:lang w:eastAsia="sk-SK"/>
              </w:rPr>
            </w:pPr>
            <w:r w:rsidRPr="00D275D9">
              <w:rPr>
                <w:color w:val="BFBFBF" w:themeColor="background1" w:themeShade="BF"/>
                <w:sz w:val="20"/>
              </w:rPr>
              <w:t>36,9</w:t>
            </w:r>
          </w:p>
        </w:tc>
        <w:tc>
          <w:tcPr>
            <w:tcW w:w="794" w:type="dxa"/>
            <w:tcBorders>
              <w:left w:val="nil"/>
              <w:bottom w:val="single" w:sz="4" w:space="0" w:color="auto"/>
              <w:right w:val="nil"/>
            </w:tcBorders>
            <w:shd w:val="clear" w:color="000000" w:fill="FFFFFF"/>
            <w:noWrap/>
            <w:vAlign w:val="bottom"/>
          </w:tcPr>
          <w:p w14:paraId="7CE5DDB2" w14:textId="5BAA0090" w:rsidR="00D275D9" w:rsidRPr="00D275D9" w:rsidRDefault="00D275D9" w:rsidP="00D275D9">
            <w:pPr>
              <w:spacing w:after="0" w:line="240" w:lineRule="auto"/>
              <w:jc w:val="right"/>
              <w:rPr>
                <w:rFonts w:eastAsia="Times New Roman" w:cs="Times New Roman"/>
                <w:bCs/>
                <w:color w:val="BFBFBF" w:themeColor="background1" w:themeShade="BF"/>
                <w:sz w:val="20"/>
                <w:lang w:eastAsia="sk-SK"/>
              </w:rPr>
            </w:pPr>
            <w:r w:rsidRPr="00D275D9">
              <w:rPr>
                <w:color w:val="BFBFBF" w:themeColor="background1" w:themeShade="BF"/>
                <w:sz w:val="20"/>
              </w:rPr>
              <w:t>37,6</w:t>
            </w:r>
          </w:p>
        </w:tc>
        <w:tc>
          <w:tcPr>
            <w:tcW w:w="794" w:type="dxa"/>
            <w:tcBorders>
              <w:left w:val="nil"/>
              <w:bottom w:val="single" w:sz="4" w:space="0" w:color="auto"/>
              <w:right w:val="nil"/>
            </w:tcBorders>
            <w:shd w:val="clear" w:color="000000" w:fill="FFFFFF"/>
            <w:noWrap/>
            <w:vAlign w:val="bottom"/>
          </w:tcPr>
          <w:p w14:paraId="1976F079" w14:textId="23E47DBD" w:rsidR="00D275D9" w:rsidRPr="00D275D9" w:rsidRDefault="00D275D9" w:rsidP="00D275D9">
            <w:pPr>
              <w:spacing w:after="0" w:line="240" w:lineRule="auto"/>
              <w:jc w:val="right"/>
              <w:rPr>
                <w:rFonts w:eastAsia="Times New Roman" w:cs="Times New Roman"/>
                <w:bCs/>
                <w:color w:val="BFBFBF" w:themeColor="background1" w:themeShade="BF"/>
                <w:sz w:val="20"/>
                <w:lang w:eastAsia="sk-SK"/>
              </w:rPr>
            </w:pPr>
            <w:r w:rsidRPr="00D275D9">
              <w:rPr>
                <w:color w:val="BFBFBF" w:themeColor="background1" w:themeShade="BF"/>
                <w:sz w:val="20"/>
              </w:rPr>
              <w:t>39,3</w:t>
            </w:r>
          </w:p>
        </w:tc>
        <w:tc>
          <w:tcPr>
            <w:tcW w:w="794" w:type="dxa"/>
            <w:tcBorders>
              <w:left w:val="nil"/>
              <w:bottom w:val="single" w:sz="4" w:space="0" w:color="auto"/>
              <w:right w:val="nil"/>
            </w:tcBorders>
            <w:shd w:val="clear" w:color="000000" w:fill="FFFFFF"/>
            <w:noWrap/>
            <w:vAlign w:val="bottom"/>
          </w:tcPr>
          <w:p w14:paraId="02F420B6" w14:textId="0FB884F1" w:rsidR="00D275D9" w:rsidRPr="00D275D9" w:rsidRDefault="00D275D9" w:rsidP="00D275D9">
            <w:pPr>
              <w:spacing w:after="0" w:line="240" w:lineRule="auto"/>
              <w:jc w:val="right"/>
              <w:rPr>
                <w:rFonts w:eastAsia="Times New Roman" w:cs="Times New Roman"/>
                <w:bCs/>
                <w:color w:val="BFBFBF" w:themeColor="background1" w:themeShade="BF"/>
                <w:sz w:val="20"/>
                <w:lang w:eastAsia="sk-SK"/>
              </w:rPr>
            </w:pPr>
            <w:r w:rsidRPr="00D275D9">
              <w:rPr>
                <w:color w:val="BFBFBF" w:themeColor="background1" w:themeShade="BF"/>
                <w:sz w:val="20"/>
              </w:rPr>
              <w:t>41,8</w:t>
            </w:r>
          </w:p>
        </w:tc>
      </w:tr>
      <w:tr w:rsidR="00C2247E" w:rsidRPr="00A42768" w14:paraId="163DC2EC" w14:textId="77777777" w:rsidTr="00140186">
        <w:trPr>
          <w:trHeight w:val="255"/>
        </w:trPr>
        <w:tc>
          <w:tcPr>
            <w:tcW w:w="3969" w:type="dxa"/>
            <w:tcBorders>
              <w:top w:val="single" w:sz="4" w:space="0" w:color="auto"/>
              <w:left w:val="nil"/>
              <w:bottom w:val="single" w:sz="4" w:space="0" w:color="auto"/>
              <w:right w:val="nil"/>
            </w:tcBorders>
            <w:shd w:val="clear" w:color="000000" w:fill="FFFFFF"/>
            <w:noWrap/>
            <w:vAlign w:val="bottom"/>
            <w:hideMark/>
          </w:tcPr>
          <w:p w14:paraId="52D18873" w14:textId="77777777" w:rsidR="00C2247E" w:rsidRPr="00A42768" w:rsidRDefault="00C2247E" w:rsidP="00C2247E">
            <w:pPr>
              <w:spacing w:after="0" w:line="240" w:lineRule="auto"/>
              <w:jc w:val="left"/>
              <w:rPr>
                <w:rFonts w:eastAsia="Times New Roman" w:cs="Times New Roman"/>
                <w:b/>
                <w:bCs/>
                <w:color w:val="000000"/>
                <w:sz w:val="20"/>
                <w:lang w:eastAsia="sk-SK"/>
              </w:rPr>
            </w:pPr>
            <w:r w:rsidRPr="00A42768">
              <w:rPr>
                <w:rFonts w:eastAsia="Times New Roman" w:cs="Times New Roman"/>
                <w:b/>
                <w:bCs/>
                <w:color w:val="000000"/>
                <w:sz w:val="20"/>
                <w:lang w:eastAsia="sk-SK"/>
              </w:rPr>
              <w:t>Spolu štátny rozpočet a rozpočet samospráv</w:t>
            </w:r>
          </w:p>
        </w:tc>
        <w:tc>
          <w:tcPr>
            <w:tcW w:w="1134" w:type="dxa"/>
            <w:tcBorders>
              <w:top w:val="single" w:sz="4" w:space="0" w:color="auto"/>
              <w:left w:val="nil"/>
              <w:bottom w:val="single" w:sz="4" w:space="0" w:color="auto"/>
              <w:right w:val="nil"/>
            </w:tcBorders>
            <w:shd w:val="clear" w:color="000000" w:fill="FFFFFF"/>
            <w:noWrap/>
            <w:vAlign w:val="bottom"/>
            <w:hideMark/>
          </w:tcPr>
          <w:p w14:paraId="4B6C8868" w14:textId="77777777" w:rsidR="00C2247E" w:rsidRPr="00A42768" w:rsidRDefault="00C2247E" w:rsidP="00C2247E">
            <w:pPr>
              <w:spacing w:after="0" w:line="240" w:lineRule="auto"/>
              <w:jc w:val="left"/>
              <w:rPr>
                <w:rFonts w:eastAsia="Times New Roman" w:cs="Times New Roman"/>
                <w:b/>
                <w:bCs/>
                <w:color w:val="000000"/>
                <w:sz w:val="20"/>
                <w:lang w:eastAsia="sk-SK"/>
              </w:rPr>
            </w:pPr>
            <w:r w:rsidRPr="00A42768">
              <w:rPr>
                <w:rFonts w:eastAsia="Times New Roman" w:cs="Times New Roman"/>
                <w:b/>
                <w:bCs/>
                <w:color w:val="000000"/>
                <w:sz w:val="20"/>
                <w:lang w:eastAsia="sk-SK"/>
              </w:rPr>
              <w:t> </w:t>
            </w:r>
          </w:p>
        </w:tc>
        <w:tc>
          <w:tcPr>
            <w:tcW w:w="793" w:type="dxa"/>
            <w:tcBorders>
              <w:top w:val="single" w:sz="4" w:space="0" w:color="auto"/>
              <w:left w:val="nil"/>
              <w:bottom w:val="single" w:sz="4" w:space="0" w:color="auto"/>
              <w:right w:val="nil"/>
            </w:tcBorders>
            <w:shd w:val="clear" w:color="000000" w:fill="FFFFFF"/>
            <w:noWrap/>
            <w:vAlign w:val="bottom"/>
            <w:hideMark/>
          </w:tcPr>
          <w:p w14:paraId="1DB9D573" w14:textId="3CA345ED" w:rsidR="00C2247E" w:rsidRPr="00D275D9" w:rsidRDefault="00C2247E" w:rsidP="00C2247E">
            <w:pPr>
              <w:spacing w:after="0" w:line="240" w:lineRule="auto"/>
              <w:jc w:val="right"/>
              <w:rPr>
                <w:b/>
                <w:bCs/>
                <w:color w:val="000000"/>
                <w:sz w:val="20"/>
              </w:rPr>
            </w:pPr>
            <w:r>
              <w:rPr>
                <w:b/>
                <w:bCs/>
                <w:color w:val="000000"/>
                <w:sz w:val="20"/>
              </w:rPr>
              <w:t>2 009,9</w:t>
            </w:r>
          </w:p>
        </w:tc>
        <w:tc>
          <w:tcPr>
            <w:tcW w:w="794" w:type="dxa"/>
            <w:tcBorders>
              <w:top w:val="single" w:sz="4" w:space="0" w:color="auto"/>
              <w:left w:val="nil"/>
              <w:bottom w:val="single" w:sz="4" w:space="0" w:color="auto"/>
              <w:right w:val="nil"/>
            </w:tcBorders>
            <w:shd w:val="clear" w:color="000000" w:fill="FFFFFF"/>
            <w:noWrap/>
            <w:vAlign w:val="bottom"/>
            <w:hideMark/>
          </w:tcPr>
          <w:p w14:paraId="7D3E642E" w14:textId="5EBE7920" w:rsidR="00C2247E" w:rsidRPr="00D275D9" w:rsidRDefault="00C2247E" w:rsidP="00C2247E">
            <w:pPr>
              <w:spacing w:after="0" w:line="240" w:lineRule="auto"/>
              <w:jc w:val="right"/>
              <w:rPr>
                <w:rFonts w:eastAsia="Times New Roman" w:cs="Times New Roman"/>
                <w:b/>
                <w:bCs/>
                <w:color w:val="000000"/>
                <w:sz w:val="20"/>
                <w:lang w:eastAsia="sk-SK"/>
              </w:rPr>
            </w:pPr>
            <w:r>
              <w:rPr>
                <w:b/>
                <w:bCs/>
                <w:color w:val="000000"/>
                <w:sz w:val="20"/>
              </w:rPr>
              <w:t>2 050,3</w:t>
            </w:r>
          </w:p>
        </w:tc>
        <w:tc>
          <w:tcPr>
            <w:tcW w:w="794" w:type="dxa"/>
            <w:tcBorders>
              <w:top w:val="single" w:sz="4" w:space="0" w:color="auto"/>
              <w:left w:val="nil"/>
              <w:bottom w:val="single" w:sz="4" w:space="0" w:color="auto"/>
              <w:right w:val="nil"/>
            </w:tcBorders>
            <w:shd w:val="clear" w:color="000000" w:fill="FFFFFF"/>
            <w:noWrap/>
            <w:vAlign w:val="bottom"/>
            <w:hideMark/>
          </w:tcPr>
          <w:p w14:paraId="5D963CE2" w14:textId="4C39AD45" w:rsidR="00C2247E" w:rsidRPr="00D275D9" w:rsidRDefault="00C2247E" w:rsidP="00C2247E">
            <w:pPr>
              <w:spacing w:after="0" w:line="240" w:lineRule="auto"/>
              <w:jc w:val="right"/>
              <w:rPr>
                <w:rFonts w:eastAsia="Times New Roman" w:cs="Times New Roman"/>
                <w:b/>
                <w:bCs/>
                <w:color w:val="000000"/>
                <w:sz w:val="20"/>
                <w:lang w:eastAsia="sk-SK"/>
              </w:rPr>
            </w:pPr>
            <w:r>
              <w:rPr>
                <w:b/>
                <w:bCs/>
                <w:color w:val="000000"/>
                <w:sz w:val="20"/>
              </w:rPr>
              <w:t>2 163,9</w:t>
            </w:r>
          </w:p>
        </w:tc>
        <w:tc>
          <w:tcPr>
            <w:tcW w:w="794" w:type="dxa"/>
            <w:tcBorders>
              <w:top w:val="single" w:sz="4" w:space="0" w:color="auto"/>
              <w:left w:val="nil"/>
              <w:bottom w:val="single" w:sz="4" w:space="0" w:color="auto"/>
              <w:right w:val="nil"/>
            </w:tcBorders>
            <w:shd w:val="clear" w:color="000000" w:fill="FFFFFF"/>
            <w:noWrap/>
            <w:vAlign w:val="bottom"/>
            <w:hideMark/>
          </w:tcPr>
          <w:p w14:paraId="67AA93D3" w14:textId="5BB91871" w:rsidR="00C2247E" w:rsidRPr="00D275D9" w:rsidRDefault="00C2247E" w:rsidP="00C2247E">
            <w:pPr>
              <w:spacing w:after="0" w:line="240" w:lineRule="auto"/>
              <w:jc w:val="right"/>
              <w:rPr>
                <w:rFonts w:eastAsia="Times New Roman" w:cs="Times New Roman"/>
                <w:b/>
                <w:bCs/>
                <w:color w:val="000000"/>
                <w:sz w:val="20"/>
                <w:lang w:eastAsia="sk-SK"/>
              </w:rPr>
            </w:pPr>
            <w:r>
              <w:rPr>
                <w:b/>
                <w:bCs/>
                <w:color w:val="000000"/>
                <w:sz w:val="20"/>
              </w:rPr>
              <w:t>2 221,0</w:t>
            </w:r>
          </w:p>
        </w:tc>
        <w:tc>
          <w:tcPr>
            <w:tcW w:w="794" w:type="dxa"/>
            <w:tcBorders>
              <w:top w:val="single" w:sz="4" w:space="0" w:color="auto"/>
              <w:left w:val="nil"/>
              <w:bottom w:val="single" w:sz="4" w:space="0" w:color="auto"/>
              <w:right w:val="nil"/>
            </w:tcBorders>
            <w:shd w:val="clear" w:color="000000" w:fill="FFFFFF"/>
            <w:noWrap/>
            <w:vAlign w:val="bottom"/>
            <w:hideMark/>
          </w:tcPr>
          <w:p w14:paraId="15F5EACF" w14:textId="66EB81DD" w:rsidR="00C2247E" w:rsidRPr="00D275D9" w:rsidRDefault="00C2247E" w:rsidP="00C2247E">
            <w:pPr>
              <w:spacing w:after="0" w:line="240" w:lineRule="auto"/>
              <w:jc w:val="right"/>
              <w:rPr>
                <w:rFonts w:eastAsia="Times New Roman" w:cs="Times New Roman"/>
                <w:b/>
                <w:bCs/>
                <w:color w:val="000000"/>
                <w:sz w:val="20"/>
                <w:lang w:eastAsia="sk-SK"/>
              </w:rPr>
            </w:pPr>
            <w:r>
              <w:rPr>
                <w:b/>
                <w:bCs/>
                <w:color w:val="000000"/>
                <w:sz w:val="20"/>
              </w:rPr>
              <w:t>2 249,1</w:t>
            </w:r>
          </w:p>
        </w:tc>
      </w:tr>
      <w:tr w:rsidR="00FD1970" w:rsidRPr="00A42768" w14:paraId="345F2DB1" w14:textId="77777777" w:rsidTr="00140186">
        <w:trPr>
          <w:trHeight w:val="255"/>
        </w:trPr>
        <w:tc>
          <w:tcPr>
            <w:tcW w:w="3969" w:type="dxa"/>
            <w:tcBorders>
              <w:top w:val="single" w:sz="4" w:space="0" w:color="auto"/>
              <w:left w:val="nil"/>
              <w:bottom w:val="single" w:sz="4" w:space="0" w:color="auto"/>
              <w:right w:val="nil"/>
            </w:tcBorders>
            <w:shd w:val="clear" w:color="000000" w:fill="FFFFFF"/>
            <w:noWrap/>
            <w:vAlign w:val="bottom"/>
          </w:tcPr>
          <w:p w14:paraId="40445A8F" w14:textId="157D30B1" w:rsidR="00FD1970" w:rsidRPr="00A42768" w:rsidRDefault="00FD1970" w:rsidP="00FD1970">
            <w:pPr>
              <w:spacing w:after="0" w:line="240" w:lineRule="auto"/>
              <w:jc w:val="left"/>
              <w:rPr>
                <w:rFonts w:eastAsia="Times New Roman" w:cs="Times New Roman"/>
                <w:b/>
                <w:bCs/>
                <w:color w:val="000000"/>
                <w:sz w:val="20"/>
                <w:lang w:eastAsia="sk-SK"/>
              </w:rPr>
            </w:pPr>
            <w:r>
              <w:rPr>
                <w:rFonts w:eastAsia="Times New Roman" w:cs="Times New Roman"/>
                <w:b/>
                <w:bCs/>
                <w:color w:val="000000"/>
                <w:sz w:val="20"/>
                <w:lang w:eastAsia="sk-SK"/>
              </w:rPr>
              <w:t>Zdroje EŠIF (</w:t>
            </w:r>
            <w:r w:rsidRPr="008C063B">
              <w:rPr>
                <w:rFonts w:eastAsia="Times New Roman" w:cs="Times New Roman"/>
                <w:b/>
                <w:bCs/>
                <w:color w:val="000000"/>
                <w:sz w:val="20"/>
                <w:lang w:eastAsia="sk-SK"/>
              </w:rPr>
              <w:t>Tabuľka 5</w:t>
            </w:r>
            <w:r>
              <w:rPr>
                <w:rFonts w:eastAsia="Times New Roman" w:cs="Times New Roman"/>
                <w:b/>
                <w:bCs/>
                <w:color w:val="000000"/>
                <w:sz w:val="20"/>
                <w:lang w:eastAsia="sk-SK"/>
              </w:rPr>
              <w:t>)</w:t>
            </w:r>
          </w:p>
        </w:tc>
        <w:tc>
          <w:tcPr>
            <w:tcW w:w="1134" w:type="dxa"/>
            <w:tcBorders>
              <w:top w:val="single" w:sz="4" w:space="0" w:color="auto"/>
              <w:left w:val="nil"/>
              <w:bottom w:val="single" w:sz="4" w:space="0" w:color="auto"/>
              <w:right w:val="nil"/>
            </w:tcBorders>
            <w:shd w:val="clear" w:color="000000" w:fill="FFFFFF"/>
            <w:noWrap/>
            <w:vAlign w:val="bottom"/>
          </w:tcPr>
          <w:p w14:paraId="1952EA95" w14:textId="77777777" w:rsidR="00FD1970" w:rsidRPr="00A42768" w:rsidRDefault="00FD1970" w:rsidP="00FD1970">
            <w:pPr>
              <w:spacing w:after="0" w:line="240" w:lineRule="auto"/>
              <w:jc w:val="left"/>
              <w:rPr>
                <w:rFonts w:eastAsia="Times New Roman" w:cs="Times New Roman"/>
                <w:b/>
                <w:bCs/>
                <w:color w:val="000000"/>
                <w:sz w:val="20"/>
                <w:lang w:eastAsia="sk-SK"/>
              </w:rPr>
            </w:pPr>
          </w:p>
        </w:tc>
        <w:tc>
          <w:tcPr>
            <w:tcW w:w="793" w:type="dxa"/>
            <w:tcBorders>
              <w:top w:val="single" w:sz="4" w:space="0" w:color="auto"/>
              <w:left w:val="nil"/>
              <w:bottom w:val="single" w:sz="4" w:space="0" w:color="auto"/>
              <w:right w:val="nil"/>
            </w:tcBorders>
            <w:shd w:val="clear" w:color="000000" w:fill="FFFFFF"/>
            <w:noWrap/>
            <w:vAlign w:val="bottom"/>
          </w:tcPr>
          <w:p w14:paraId="1CFE064F" w14:textId="0E382C26" w:rsidR="00FD1970" w:rsidRPr="00D275D9" w:rsidRDefault="00FD1970" w:rsidP="00FD1970">
            <w:pPr>
              <w:spacing w:after="0" w:line="240" w:lineRule="auto"/>
              <w:jc w:val="right"/>
              <w:rPr>
                <w:b/>
                <w:bCs/>
                <w:color w:val="000000"/>
                <w:sz w:val="20"/>
              </w:rPr>
            </w:pPr>
            <w:r>
              <w:rPr>
                <w:b/>
                <w:bCs/>
                <w:color w:val="000000"/>
                <w:sz w:val="20"/>
              </w:rPr>
              <w:t>219,6</w:t>
            </w:r>
          </w:p>
        </w:tc>
        <w:tc>
          <w:tcPr>
            <w:tcW w:w="794" w:type="dxa"/>
            <w:tcBorders>
              <w:top w:val="single" w:sz="4" w:space="0" w:color="auto"/>
              <w:left w:val="nil"/>
              <w:bottom w:val="single" w:sz="4" w:space="0" w:color="auto"/>
              <w:right w:val="nil"/>
            </w:tcBorders>
            <w:shd w:val="clear" w:color="000000" w:fill="FFFFFF"/>
            <w:noWrap/>
            <w:vAlign w:val="bottom"/>
          </w:tcPr>
          <w:p w14:paraId="5844D6AB" w14:textId="00E9FEAA" w:rsidR="00FD1970" w:rsidRPr="00D275D9" w:rsidRDefault="00FD1970" w:rsidP="00FD1970">
            <w:pPr>
              <w:spacing w:after="0" w:line="240" w:lineRule="auto"/>
              <w:jc w:val="right"/>
              <w:rPr>
                <w:rFonts w:eastAsia="Times New Roman" w:cs="Times New Roman"/>
                <w:b/>
                <w:bCs/>
                <w:color w:val="000000"/>
                <w:sz w:val="20"/>
                <w:lang w:eastAsia="sk-SK"/>
              </w:rPr>
            </w:pPr>
            <w:r>
              <w:rPr>
                <w:b/>
                <w:bCs/>
                <w:color w:val="000000"/>
                <w:sz w:val="20"/>
              </w:rPr>
              <w:t> </w:t>
            </w:r>
          </w:p>
        </w:tc>
        <w:tc>
          <w:tcPr>
            <w:tcW w:w="794" w:type="dxa"/>
            <w:tcBorders>
              <w:top w:val="single" w:sz="4" w:space="0" w:color="auto"/>
              <w:left w:val="nil"/>
              <w:bottom w:val="single" w:sz="4" w:space="0" w:color="auto"/>
              <w:right w:val="nil"/>
            </w:tcBorders>
            <w:shd w:val="clear" w:color="000000" w:fill="FFFFFF"/>
            <w:noWrap/>
            <w:vAlign w:val="bottom"/>
          </w:tcPr>
          <w:p w14:paraId="63EC5362" w14:textId="2BDB7AA7" w:rsidR="00FD1970" w:rsidRPr="00D275D9" w:rsidRDefault="00FD1970" w:rsidP="00FD1970">
            <w:pPr>
              <w:spacing w:after="0" w:line="240" w:lineRule="auto"/>
              <w:jc w:val="right"/>
              <w:rPr>
                <w:rFonts w:eastAsia="Times New Roman" w:cs="Times New Roman"/>
                <w:b/>
                <w:bCs/>
                <w:color w:val="000000"/>
                <w:sz w:val="20"/>
                <w:lang w:eastAsia="sk-SK"/>
              </w:rPr>
            </w:pPr>
            <w:r>
              <w:rPr>
                <w:b/>
                <w:bCs/>
                <w:color w:val="000000"/>
                <w:sz w:val="20"/>
              </w:rPr>
              <w:t> </w:t>
            </w:r>
          </w:p>
        </w:tc>
        <w:tc>
          <w:tcPr>
            <w:tcW w:w="794" w:type="dxa"/>
            <w:tcBorders>
              <w:top w:val="single" w:sz="4" w:space="0" w:color="auto"/>
              <w:left w:val="nil"/>
              <w:bottom w:val="single" w:sz="4" w:space="0" w:color="auto"/>
              <w:right w:val="nil"/>
            </w:tcBorders>
            <w:shd w:val="clear" w:color="000000" w:fill="FFFFFF"/>
            <w:noWrap/>
            <w:vAlign w:val="bottom"/>
          </w:tcPr>
          <w:p w14:paraId="7C47BAB4" w14:textId="1DFD29AB" w:rsidR="00FD1970" w:rsidRPr="00D275D9" w:rsidRDefault="00FD1970" w:rsidP="00FD1970">
            <w:pPr>
              <w:spacing w:after="0" w:line="240" w:lineRule="auto"/>
              <w:jc w:val="right"/>
              <w:rPr>
                <w:rFonts w:eastAsia="Times New Roman" w:cs="Times New Roman"/>
                <w:b/>
                <w:bCs/>
                <w:color w:val="000000"/>
                <w:sz w:val="20"/>
                <w:lang w:eastAsia="sk-SK"/>
              </w:rPr>
            </w:pPr>
            <w:r>
              <w:rPr>
                <w:b/>
                <w:bCs/>
                <w:color w:val="000000"/>
                <w:sz w:val="20"/>
              </w:rPr>
              <w:t> </w:t>
            </w:r>
          </w:p>
        </w:tc>
        <w:tc>
          <w:tcPr>
            <w:tcW w:w="794" w:type="dxa"/>
            <w:tcBorders>
              <w:top w:val="single" w:sz="4" w:space="0" w:color="auto"/>
              <w:left w:val="nil"/>
              <w:bottom w:val="single" w:sz="4" w:space="0" w:color="auto"/>
              <w:right w:val="nil"/>
            </w:tcBorders>
            <w:shd w:val="clear" w:color="000000" w:fill="FFFFFF"/>
            <w:noWrap/>
            <w:vAlign w:val="bottom"/>
          </w:tcPr>
          <w:p w14:paraId="66D27F01" w14:textId="143451AA" w:rsidR="00FD1970" w:rsidRPr="00D275D9" w:rsidRDefault="00FD1970" w:rsidP="00FD1970">
            <w:pPr>
              <w:spacing w:after="0" w:line="240" w:lineRule="auto"/>
              <w:jc w:val="right"/>
              <w:rPr>
                <w:rFonts w:eastAsia="Times New Roman" w:cs="Times New Roman"/>
                <w:b/>
                <w:bCs/>
                <w:color w:val="000000"/>
                <w:sz w:val="20"/>
                <w:lang w:eastAsia="sk-SK"/>
              </w:rPr>
            </w:pPr>
            <w:r>
              <w:rPr>
                <w:b/>
                <w:bCs/>
                <w:color w:val="000000"/>
                <w:sz w:val="20"/>
              </w:rPr>
              <w:t> </w:t>
            </w:r>
          </w:p>
        </w:tc>
      </w:tr>
      <w:tr w:rsidR="00FD1970" w:rsidRPr="00A42768" w14:paraId="7F8BD69E" w14:textId="77777777" w:rsidTr="00140186">
        <w:trPr>
          <w:trHeight w:val="255"/>
        </w:trPr>
        <w:tc>
          <w:tcPr>
            <w:tcW w:w="3969" w:type="dxa"/>
            <w:tcBorders>
              <w:top w:val="single" w:sz="4" w:space="0" w:color="auto"/>
              <w:left w:val="nil"/>
              <w:bottom w:val="single" w:sz="4" w:space="0" w:color="auto"/>
              <w:right w:val="nil"/>
            </w:tcBorders>
            <w:shd w:val="clear" w:color="000000" w:fill="FFFFFF"/>
            <w:noWrap/>
            <w:vAlign w:val="bottom"/>
          </w:tcPr>
          <w:p w14:paraId="02C783C6" w14:textId="522F6FB9" w:rsidR="00FD1970" w:rsidRPr="00A42768" w:rsidRDefault="00FD1970" w:rsidP="00FD1970">
            <w:pPr>
              <w:spacing w:after="0" w:line="240" w:lineRule="auto"/>
              <w:jc w:val="left"/>
              <w:rPr>
                <w:rFonts w:eastAsia="Times New Roman" w:cs="Times New Roman"/>
                <w:b/>
                <w:bCs/>
                <w:color w:val="000000"/>
                <w:sz w:val="20"/>
                <w:lang w:eastAsia="sk-SK"/>
              </w:rPr>
            </w:pPr>
            <w:r>
              <w:rPr>
                <w:rFonts w:eastAsia="Times New Roman" w:cs="Times New Roman"/>
                <w:b/>
                <w:bCs/>
                <w:color w:val="000000"/>
                <w:sz w:val="20"/>
                <w:lang w:eastAsia="sk-SK"/>
              </w:rPr>
              <w:t>Spolu verejné výdavky</w:t>
            </w:r>
          </w:p>
        </w:tc>
        <w:tc>
          <w:tcPr>
            <w:tcW w:w="1134" w:type="dxa"/>
            <w:tcBorders>
              <w:top w:val="single" w:sz="4" w:space="0" w:color="auto"/>
              <w:left w:val="nil"/>
              <w:bottom w:val="single" w:sz="4" w:space="0" w:color="auto"/>
              <w:right w:val="nil"/>
            </w:tcBorders>
            <w:shd w:val="clear" w:color="000000" w:fill="FFFFFF"/>
            <w:noWrap/>
            <w:vAlign w:val="bottom"/>
          </w:tcPr>
          <w:p w14:paraId="3B16E2C6" w14:textId="77777777" w:rsidR="00FD1970" w:rsidRPr="00A42768" w:rsidRDefault="00FD1970" w:rsidP="00FD1970">
            <w:pPr>
              <w:spacing w:after="0" w:line="240" w:lineRule="auto"/>
              <w:jc w:val="left"/>
              <w:rPr>
                <w:rFonts w:eastAsia="Times New Roman" w:cs="Times New Roman"/>
                <w:b/>
                <w:bCs/>
                <w:color w:val="000000"/>
                <w:sz w:val="20"/>
                <w:lang w:eastAsia="sk-SK"/>
              </w:rPr>
            </w:pPr>
          </w:p>
        </w:tc>
        <w:tc>
          <w:tcPr>
            <w:tcW w:w="793" w:type="dxa"/>
            <w:tcBorders>
              <w:top w:val="single" w:sz="4" w:space="0" w:color="auto"/>
              <w:left w:val="nil"/>
              <w:bottom w:val="single" w:sz="4" w:space="0" w:color="auto"/>
              <w:right w:val="nil"/>
            </w:tcBorders>
            <w:shd w:val="clear" w:color="000000" w:fill="FFFFFF"/>
            <w:noWrap/>
            <w:vAlign w:val="bottom"/>
          </w:tcPr>
          <w:p w14:paraId="7806A756" w14:textId="3A947478" w:rsidR="00FD1970" w:rsidRPr="00D275D9" w:rsidRDefault="00FD1970" w:rsidP="00FD1970">
            <w:pPr>
              <w:spacing w:after="0" w:line="240" w:lineRule="auto"/>
              <w:jc w:val="right"/>
              <w:rPr>
                <w:b/>
                <w:bCs/>
                <w:color w:val="000000"/>
                <w:sz w:val="20"/>
              </w:rPr>
            </w:pPr>
            <w:r>
              <w:rPr>
                <w:b/>
                <w:bCs/>
                <w:color w:val="000000"/>
                <w:sz w:val="20"/>
              </w:rPr>
              <w:t xml:space="preserve">2 </w:t>
            </w:r>
            <w:r w:rsidR="00C2247E">
              <w:rPr>
                <w:b/>
                <w:bCs/>
                <w:color w:val="000000"/>
                <w:sz w:val="20"/>
              </w:rPr>
              <w:t>229</w:t>
            </w:r>
            <w:r>
              <w:rPr>
                <w:b/>
                <w:bCs/>
                <w:color w:val="000000"/>
                <w:sz w:val="20"/>
              </w:rPr>
              <w:t>,</w:t>
            </w:r>
            <w:r w:rsidR="00C2247E">
              <w:rPr>
                <w:b/>
                <w:bCs/>
                <w:color w:val="000000"/>
                <w:sz w:val="20"/>
              </w:rPr>
              <w:t>5</w:t>
            </w:r>
          </w:p>
        </w:tc>
        <w:tc>
          <w:tcPr>
            <w:tcW w:w="794" w:type="dxa"/>
            <w:tcBorders>
              <w:top w:val="single" w:sz="4" w:space="0" w:color="auto"/>
              <w:left w:val="nil"/>
              <w:bottom w:val="single" w:sz="4" w:space="0" w:color="auto"/>
              <w:right w:val="nil"/>
            </w:tcBorders>
            <w:shd w:val="clear" w:color="000000" w:fill="FFFFFF"/>
            <w:noWrap/>
            <w:vAlign w:val="bottom"/>
          </w:tcPr>
          <w:p w14:paraId="324E842E" w14:textId="68BBAA60" w:rsidR="00FD1970" w:rsidRPr="00D275D9" w:rsidRDefault="00FD1970" w:rsidP="00FD1970">
            <w:pPr>
              <w:spacing w:after="0" w:line="240" w:lineRule="auto"/>
              <w:jc w:val="right"/>
              <w:rPr>
                <w:rFonts w:eastAsia="Times New Roman" w:cs="Times New Roman"/>
                <w:b/>
                <w:bCs/>
                <w:color w:val="000000"/>
                <w:sz w:val="20"/>
                <w:lang w:eastAsia="sk-SK"/>
              </w:rPr>
            </w:pPr>
            <w:r>
              <w:rPr>
                <w:b/>
                <w:bCs/>
                <w:color w:val="000000"/>
                <w:sz w:val="20"/>
              </w:rPr>
              <w:t> </w:t>
            </w:r>
          </w:p>
        </w:tc>
        <w:tc>
          <w:tcPr>
            <w:tcW w:w="794" w:type="dxa"/>
            <w:tcBorders>
              <w:top w:val="single" w:sz="4" w:space="0" w:color="auto"/>
              <w:left w:val="nil"/>
              <w:bottom w:val="single" w:sz="4" w:space="0" w:color="auto"/>
              <w:right w:val="nil"/>
            </w:tcBorders>
            <w:shd w:val="clear" w:color="000000" w:fill="FFFFFF"/>
            <w:noWrap/>
            <w:vAlign w:val="bottom"/>
          </w:tcPr>
          <w:p w14:paraId="0931AEF5" w14:textId="02840B9B" w:rsidR="00FD1970" w:rsidRPr="00D275D9" w:rsidRDefault="00FD1970" w:rsidP="00FD1970">
            <w:pPr>
              <w:spacing w:after="0" w:line="240" w:lineRule="auto"/>
              <w:jc w:val="right"/>
              <w:rPr>
                <w:rFonts w:eastAsia="Times New Roman" w:cs="Times New Roman"/>
                <w:b/>
                <w:bCs/>
                <w:color w:val="000000"/>
                <w:sz w:val="20"/>
                <w:lang w:eastAsia="sk-SK"/>
              </w:rPr>
            </w:pPr>
            <w:r>
              <w:rPr>
                <w:b/>
                <w:bCs/>
                <w:color w:val="000000"/>
                <w:sz w:val="20"/>
              </w:rPr>
              <w:t> </w:t>
            </w:r>
          </w:p>
        </w:tc>
        <w:tc>
          <w:tcPr>
            <w:tcW w:w="794" w:type="dxa"/>
            <w:tcBorders>
              <w:top w:val="single" w:sz="4" w:space="0" w:color="auto"/>
              <w:left w:val="nil"/>
              <w:bottom w:val="single" w:sz="4" w:space="0" w:color="auto"/>
              <w:right w:val="nil"/>
            </w:tcBorders>
            <w:shd w:val="clear" w:color="000000" w:fill="FFFFFF"/>
            <w:noWrap/>
            <w:vAlign w:val="bottom"/>
          </w:tcPr>
          <w:p w14:paraId="5211A31A" w14:textId="1EBDEDE9" w:rsidR="00FD1970" w:rsidRPr="00D275D9" w:rsidRDefault="00FD1970" w:rsidP="00FD1970">
            <w:pPr>
              <w:spacing w:after="0" w:line="240" w:lineRule="auto"/>
              <w:jc w:val="right"/>
              <w:rPr>
                <w:rFonts w:eastAsia="Times New Roman" w:cs="Times New Roman"/>
                <w:b/>
                <w:bCs/>
                <w:color w:val="000000"/>
                <w:sz w:val="20"/>
                <w:lang w:eastAsia="sk-SK"/>
              </w:rPr>
            </w:pPr>
            <w:r>
              <w:rPr>
                <w:b/>
                <w:bCs/>
                <w:color w:val="000000"/>
                <w:sz w:val="20"/>
              </w:rPr>
              <w:t> </w:t>
            </w:r>
          </w:p>
        </w:tc>
        <w:tc>
          <w:tcPr>
            <w:tcW w:w="794" w:type="dxa"/>
            <w:tcBorders>
              <w:top w:val="single" w:sz="4" w:space="0" w:color="auto"/>
              <w:left w:val="nil"/>
              <w:bottom w:val="single" w:sz="4" w:space="0" w:color="auto"/>
              <w:right w:val="nil"/>
            </w:tcBorders>
            <w:shd w:val="clear" w:color="000000" w:fill="FFFFFF"/>
            <w:noWrap/>
            <w:vAlign w:val="bottom"/>
          </w:tcPr>
          <w:p w14:paraId="09AAFBD5" w14:textId="775CCAC0" w:rsidR="00FD1970" w:rsidRPr="00D275D9" w:rsidRDefault="00FD1970" w:rsidP="00FD1970">
            <w:pPr>
              <w:spacing w:after="0" w:line="240" w:lineRule="auto"/>
              <w:jc w:val="right"/>
              <w:rPr>
                <w:rFonts w:eastAsia="Times New Roman" w:cs="Times New Roman"/>
                <w:b/>
                <w:bCs/>
                <w:color w:val="000000"/>
                <w:sz w:val="20"/>
                <w:lang w:eastAsia="sk-SK"/>
              </w:rPr>
            </w:pPr>
            <w:r>
              <w:rPr>
                <w:b/>
                <w:bCs/>
                <w:color w:val="000000"/>
                <w:sz w:val="20"/>
              </w:rPr>
              <w:t> </w:t>
            </w:r>
          </w:p>
        </w:tc>
      </w:tr>
      <w:tr w:rsidR="00A42768" w:rsidRPr="00A42768" w14:paraId="697257AD" w14:textId="77777777" w:rsidTr="00D3189B">
        <w:trPr>
          <w:trHeight w:val="255"/>
        </w:trPr>
        <w:tc>
          <w:tcPr>
            <w:tcW w:w="9072" w:type="dxa"/>
            <w:gridSpan w:val="7"/>
            <w:tcBorders>
              <w:top w:val="single" w:sz="4" w:space="0" w:color="auto"/>
              <w:left w:val="nil"/>
              <w:bottom w:val="nil"/>
              <w:right w:val="nil"/>
            </w:tcBorders>
            <w:shd w:val="clear" w:color="auto" w:fill="auto"/>
            <w:noWrap/>
            <w:vAlign w:val="bottom"/>
            <w:hideMark/>
          </w:tcPr>
          <w:p w14:paraId="5A6B824B" w14:textId="67346C76" w:rsidR="00A42768" w:rsidRPr="00D3189B" w:rsidRDefault="00A42768" w:rsidP="00A42768">
            <w:pPr>
              <w:spacing w:after="0" w:line="240" w:lineRule="auto"/>
              <w:jc w:val="right"/>
              <w:rPr>
                <w:rFonts w:eastAsia="Times New Roman" w:cs="Times New Roman"/>
                <w:i/>
                <w:iCs/>
                <w:color w:val="000000"/>
                <w:sz w:val="18"/>
                <w:szCs w:val="18"/>
                <w:lang w:eastAsia="sk-SK"/>
              </w:rPr>
            </w:pPr>
            <w:r w:rsidRPr="00D3189B">
              <w:rPr>
                <w:rFonts w:eastAsia="Times New Roman" w:cs="Times New Roman"/>
                <w:i/>
                <w:iCs/>
                <w:color w:val="000000"/>
                <w:sz w:val="18"/>
                <w:szCs w:val="18"/>
                <w:lang w:eastAsia="sk-SK"/>
              </w:rPr>
              <w:t>Zdroj: ÚHP na základe údajov RIS MF, MPSVR, ÚPSVR</w:t>
            </w:r>
            <w:r w:rsidR="00BC2041">
              <w:rPr>
                <w:rFonts w:eastAsia="Times New Roman" w:cs="Times New Roman"/>
                <w:i/>
                <w:iCs/>
                <w:color w:val="000000"/>
                <w:sz w:val="18"/>
                <w:szCs w:val="18"/>
                <w:lang w:eastAsia="sk-SK"/>
              </w:rPr>
              <w:t xml:space="preserve"> a vlastných výpočtov</w:t>
            </w:r>
          </w:p>
        </w:tc>
      </w:tr>
    </w:tbl>
    <w:p w14:paraId="14550107" w14:textId="77777777" w:rsidR="00B12147" w:rsidRPr="00CA2564" w:rsidRDefault="00B12147" w:rsidP="00B12147">
      <w:pPr>
        <w:pStyle w:val="Nadpis2"/>
        <w:spacing w:before="240"/>
      </w:pPr>
      <w:bookmarkStart w:id="111" w:name="_Toc34657709"/>
      <w:r w:rsidRPr="00CA2564">
        <w:lastRenderedPageBreak/>
        <w:t xml:space="preserve">Výdavky na sociálne začleňovanie v oblasti </w:t>
      </w:r>
      <w:r>
        <w:t>bývania a infraštruktúry</w:t>
      </w:r>
      <w:bookmarkEnd w:id="111"/>
    </w:p>
    <w:p w14:paraId="655B1C19" w14:textId="7EAC00AA" w:rsidR="00FA131D" w:rsidRPr="008D53D6" w:rsidRDefault="00FA131D" w:rsidP="00F301F6">
      <w:r>
        <w:rPr>
          <w:b/>
          <w:szCs w:val="22"/>
        </w:rPr>
        <w:t>Verejné</w:t>
      </w:r>
      <w:r w:rsidR="00A05B9E" w:rsidRPr="00D3189B">
        <w:rPr>
          <w:b/>
          <w:szCs w:val="22"/>
        </w:rPr>
        <w:t xml:space="preserve"> výdavky na sociálne začleňovanie skupín ohrozených chudobou alebo sociálnym vylúčením v oblasti </w:t>
      </w:r>
      <w:r w:rsidR="00A05B9E">
        <w:rPr>
          <w:b/>
          <w:szCs w:val="22"/>
        </w:rPr>
        <w:t>bývania a infraštruktúry</w:t>
      </w:r>
      <w:r w:rsidR="00A05B9E" w:rsidRPr="00D3189B">
        <w:rPr>
          <w:b/>
          <w:szCs w:val="22"/>
        </w:rPr>
        <w:t xml:space="preserve"> </w:t>
      </w:r>
      <w:r w:rsidRPr="00D3189B">
        <w:rPr>
          <w:b/>
          <w:szCs w:val="22"/>
        </w:rPr>
        <w:t xml:space="preserve">v roku 2018 </w:t>
      </w:r>
      <w:r w:rsidR="00A05B9E" w:rsidRPr="00D3189B">
        <w:rPr>
          <w:b/>
          <w:szCs w:val="22"/>
        </w:rPr>
        <w:t xml:space="preserve">tvorili </w:t>
      </w:r>
      <w:r w:rsidR="00DE16F3">
        <w:rPr>
          <w:b/>
          <w:szCs w:val="22"/>
        </w:rPr>
        <w:t>80</w:t>
      </w:r>
      <w:r w:rsidR="00A05B9E">
        <w:rPr>
          <w:b/>
          <w:szCs w:val="22"/>
        </w:rPr>
        <w:t>,</w:t>
      </w:r>
      <w:r w:rsidR="00DE16F3">
        <w:rPr>
          <w:b/>
          <w:szCs w:val="22"/>
        </w:rPr>
        <w:t>2</w:t>
      </w:r>
      <w:r w:rsidR="00A05B9E" w:rsidRPr="00D3189B">
        <w:rPr>
          <w:b/>
          <w:szCs w:val="22"/>
        </w:rPr>
        <w:t xml:space="preserve"> miliónov eur, čo predstavuje </w:t>
      </w:r>
      <w:r w:rsidR="00A05B9E">
        <w:rPr>
          <w:b/>
          <w:szCs w:val="22"/>
        </w:rPr>
        <w:t>0,09</w:t>
      </w:r>
      <w:r w:rsidR="00A047E9">
        <w:rPr>
          <w:b/>
          <w:szCs w:val="22"/>
        </w:rPr>
        <w:t xml:space="preserve"> % HDP,</w:t>
      </w:r>
      <w:r w:rsidR="00A05B9E">
        <w:rPr>
          <w:b/>
          <w:szCs w:val="22"/>
        </w:rPr>
        <w:t> 0,2</w:t>
      </w:r>
      <w:r>
        <w:rPr>
          <w:b/>
          <w:szCs w:val="22"/>
        </w:rPr>
        <w:t>2</w:t>
      </w:r>
      <w:r w:rsidR="00A05B9E" w:rsidRPr="00D3189B">
        <w:rPr>
          <w:b/>
          <w:szCs w:val="22"/>
        </w:rPr>
        <w:t xml:space="preserve"> % celkových verejných výdavkov </w:t>
      </w:r>
      <w:r w:rsidR="00A047E9" w:rsidRPr="00D3189B">
        <w:rPr>
          <w:b/>
          <w:szCs w:val="22"/>
        </w:rPr>
        <w:t>a</w:t>
      </w:r>
      <w:r>
        <w:rPr>
          <w:b/>
          <w:szCs w:val="22"/>
        </w:rPr>
        <w:t> 19,</w:t>
      </w:r>
      <w:r w:rsidR="00DE16F3">
        <w:rPr>
          <w:b/>
          <w:szCs w:val="22"/>
        </w:rPr>
        <w:t>0</w:t>
      </w:r>
      <w:r w:rsidR="00A047E9" w:rsidRPr="00D3189B">
        <w:rPr>
          <w:b/>
          <w:szCs w:val="22"/>
        </w:rPr>
        <w:t xml:space="preserve"> % celkových výdavkov na bývanie a infraštruktúru</w:t>
      </w:r>
      <w:r w:rsidR="00A047E9">
        <w:rPr>
          <w:szCs w:val="22"/>
        </w:rPr>
        <w:t xml:space="preserve"> </w:t>
      </w:r>
      <w:r w:rsidR="00A05B9E" w:rsidRPr="00D3189B">
        <w:rPr>
          <w:szCs w:val="22"/>
        </w:rPr>
        <w:t>(</w:t>
      </w:r>
      <w:r w:rsidR="00A05B9E" w:rsidRPr="00A42768">
        <w:rPr>
          <w:szCs w:val="22"/>
        </w:rPr>
        <w:fldChar w:fldCharType="begin"/>
      </w:r>
      <w:r w:rsidR="00A05B9E" w:rsidRPr="00A05B9E">
        <w:rPr>
          <w:szCs w:val="22"/>
        </w:rPr>
        <w:instrText xml:space="preserve"> REF _Ref19716089 \h </w:instrText>
      </w:r>
      <w:r w:rsidR="00A05B9E" w:rsidRPr="00D3189B">
        <w:rPr>
          <w:szCs w:val="22"/>
        </w:rPr>
        <w:instrText xml:space="preserve"> \* MERGEFORMAT </w:instrText>
      </w:r>
      <w:r w:rsidR="00A05B9E" w:rsidRPr="00A42768">
        <w:rPr>
          <w:szCs w:val="22"/>
        </w:rPr>
      </w:r>
      <w:r w:rsidR="00A05B9E" w:rsidRPr="00A42768">
        <w:rPr>
          <w:szCs w:val="22"/>
        </w:rPr>
        <w:fldChar w:fldCharType="separate"/>
      </w:r>
      <w:r w:rsidR="00FA29AF" w:rsidRPr="00FA29AF">
        <w:rPr>
          <w:szCs w:val="22"/>
        </w:rPr>
        <w:t xml:space="preserve">Tabuľka </w:t>
      </w:r>
      <w:r w:rsidR="00FA29AF" w:rsidRPr="00FA29AF">
        <w:rPr>
          <w:noProof/>
          <w:szCs w:val="22"/>
        </w:rPr>
        <w:t>4</w:t>
      </w:r>
      <w:r w:rsidR="00A05B9E" w:rsidRPr="00A42768">
        <w:rPr>
          <w:szCs w:val="22"/>
        </w:rPr>
        <w:fldChar w:fldCharType="end"/>
      </w:r>
      <w:r w:rsidR="00A05B9E" w:rsidRPr="00D3189B">
        <w:rPr>
          <w:szCs w:val="22"/>
        </w:rPr>
        <w:t>).</w:t>
      </w:r>
      <w:r w:rsidR="00E136A7">
        <w:rPr>
          <w:szCs w:val="22"/>
        </w:rPr>
        <w:t xml:space="preserve"> </w:t>
      </w:r>
      <w:r w:rsidR="00E136A7" w:rsidRPr="00CA2564">
        <w:t xml:space="preserve">Výdavky zahŕňajú rozpočtové prostriedky rezortov </w:t>
      </w:r>
      <w:r w:rsidR="00E136A7">
        <w:t>dopravy a výstavby a práce, sociálnych vecí a</w:t>
      </w:r>
      <w:r>
        <w:t> </w:t>
      </w:r>
      <w:r w:rsidR="00E136A7">
        <w:t>rodiny</w:t>
      </w:r>
      <w:r>
        <w:t xml:space="preserve"> ako aj zdroje samospráv</w:t>
      </w:r>
      <w:r w:rsidR="00E136A7" w:rsidRPr="00CA2564">
        <w:t xml:space="preserve">. </w:t>
      </w:r>
      <w:r>
        <w:t>Z celkových výdavkov</w:t>
      </w:r>
      <w:r w:rsidRPr="00CA2564">
        <w:t xml:space="preserve"> </w:t>
      </w:r>
      <w:r>
        <w:t>predstavuje čerpanie zdrojov</w:t>
      </w:r>
      <w:r w:rsidRPr="00CA2564">
        <w:t xml:space="preserve"> EŠIF a spolufinancovania </w:t>
      </w:r>
      <w:r w:rsidRPr="009B30AE">
        <w:t>5,</w:t>
      </w:r>
      <w:r w:rsidR="00DE16F3">
        <w:t>4</w:t>
      </w:r>
      <w:r w:rsidRPr="009B30AE">
        <w:t xml:space="preserve"> % (4,3</w:t>
      </w:r>
      <w:r w:rsidRPr="00CA2564">
        <w:t xml:space="preserve"> milión</w:t>
      </w:r>
      <w:r>
        <w:t>y</w:t>
      </w:r>
      <w:r w:rsidRPr="00CA2564">
        <w:t xml:space="preserve"> eur</w:t>
      </w:r>
      <w:r>
        <w:t>)</w:t>
      </w:r>
      <w:r w:rsidRPr="00CA2564">
        <w:t>. V</w:t>
      </w:r>
      <w:r>
        <w:t> rámci aktuálneho programového obdobia boli v</w:t>
      </w:r>
      <w:r w:rsidRPr="00CA2564">
        <w:t xml:space="preserve"> oblasti </w:t>
      </w:r>
      <w:r w:rsidR="008D53D6">
        <w:t>bývania a infraštruktúry</w:t>
      </w:r>
      <w:r w:rsidRPr="00CA2564">
        <w:t xml:space="preserve"> do konca roka 201</w:t>
      </w:r>
      <w:r>
        <w:t>8</w:t>
      </w:r>
      <w:r w:rsidRPr="00CA2564">
        <w:t xml:space="preserve"> zazmluvnené projekty na sociálne začleňovanie v celkovej hodnote </w:t>
      </w:r>
      <w:r w:rsidR="008D53D6">
        <w:t>34,3</w:t>
      </w:r>
      <w:r w:rsidRPr="00CA2564">
        <w:t xml:space="preserve"> miliónov </w:t>
      </w:r>
      <w:r w:rsidRPr="004B5ED0">
        <w:rPr>
          <w:szCs w:val="22"/>
        </w:rPr>
        <w:t>eur (</w:t>
      </w:r>
      <w:r w:rsidRPr="004B5ED0">
        <w:rPr>
          <w:szCs w:val="22"/>
        </w:rPr>
        <w:fldChar w:fldCharType="begin"/>
      </w:r>
      <w:r w:rsidRPr="004B5ED0">
        <w:rPr>
          <w:szCs w:val="22"/>
        </w:rPr>
        <w:instrText xml:space="preserve"> REF _Ref529549960 \h  \* MERGEFORMAT </w:instrText>
      </w:r>
      <w:r w:rsidRPr="004B5ED0">
        <w:rPr>
          <w:szCs w:val="22"/>
        </w:rPr>
      </w:r>
      <w:r w:rsidRPr="004B5ED0">
        <w:rPr>
          <w:szCs w:val="22"/>
        </w:rPr>
        <w:fldChar w:fldCharType="separate"/>
      </w:r>
      <w:r w:rsidR="00FA29AF" w:rsidRPr="00FA29AF">
        <w:rPr>
          <w:szCs w:val="22"/>
        </w:rPr>
        <w:t xml:space="preserve">Tabuľka </w:t>
      </w:r>
      <w:r w:rsidR="00FA29AF" w:rsidRPr="00FA29AF">
        <w:rPr>
          <w:noProof/>
          <w:szCs w:val="22"/>
        </w:rPr>
        <w:t>5</w:t>
      </w:r>
      <w:r w:rsidRPr="004B5ED0">
        <w:rPr>
          <w:szCs w:val="22"/>
        </w:rPr>
        <w:fldChar w:fldCharType="end"/>
      </w:r>
      <w:r w:rsidRPr="004B5ED0">
        <w:rPr>
          <w:szCs w:val="22"/>
        </w:rPr>
        <w:t>).</w:t>
      </w:r>
    </w:p>
    <w:p w14:paraId="470F1B0D" w14:textId="7AABEDBF" w:rsidR="00A05B9E" w:rsidRDefault="00A05B9E" w:rsidP="00A05B9E">
      <w:pPr>
        <w:spacing w:after="0"/>
        <w:rPr>
          <w:b/>
          <w:sz w:val="20"/>
        </w:rPr>
      </w:pPr>
      <w:bookmarkStart w:id="112" w:name="_Ref19716089"/>
      <w:bookmarkStart w:id="113" w:name="_Toc34156843"/>
      <w:r w:rsidRPr="00CA2564">
        <w:rPr>
          <w:b/>
          <w:sz w:val="20"/>
        </w:rPr>
        <w:t xml:space="preserve">Tabuľka </w:t>
      </w:r>
      <w:r w:rsidRPr="00CA2564">
        <w:rPr>
          <w:b/>
          <w:noProof/>
          <w:sz w:val="20"/>
        </w:rPr>
        <w:fldChar w:fldCharType="begin"/>
      </w:r>
      <w:r w:rsidRPr="00CA2564">
        <w:rPr>
          <w:b/>
          <w:noProof/>
          <w:sz w:val="20"/>
        </w:rPr>
        <w:instrText xml:space="preserve"> SEQ Tabuľka \* ARABIC </w:instrText>
      </w:r>
      <w:r w:rsidRPr="00CA2564">
        <w:rPr>
          <w:b/>
          <w:noProof/>
          <w:sz w:val="20"/>
        </w:rPr>
        <w:fldChar w:fldCharType="separate"/>
      </w:r>
      <w:r w:rsidR="00FA29AF">
        <w:rPr>
          <w:b/>
          <w:noProof/>
          <w:sz w:val="20"/>
        </w:rPr>
        <w:t>4</w:t>
      </w:r>
      <w:r w:rsidRPr="00CA2564">
        <w:rPr>
          <w:b/>
          <w:noProof/>
          <w:sz w:val="20"/>
        </w:rPr>
        <w:fldChar w:fldCharType="end"/>
      </w:r>
      <w:bookmarkEnd w:id="112"/>
      <w:r w:rsidRPr="00CA2564">
        <w:rPr>
          <w:b/>
          <w:sz w:val="20"/>
        </w:rPr>
        <w:t xml:space="preserve">: Výdavky na sociálne začleňovanie v oblasti </w:t>
      </w:r>
      <w:r>
        <w:rPr>
          <w:b/>
          <w:sz w:val="20"/>
        </w:rPr>
        <w:t>bývania a infraštruktúry (</w:t>
      </w:r>
      <w:r w:rsidR="00321584">
        <w:rPr>
          <w:b/>
          <w:sz w:val="20"/>
        </w:rPr>
        <w:t>mil. eur</w:t>
      </w:r>
      <w:r w:rsidRPr="00CA2564">
        <w:rPr>
          <w:b/>
          <w:sz w:val="20"/>
        </w:rPr>
        <w:t>)</w:t>
      </w:r>
      <w:bookmarkEnd w:id="113"/>
    </w:p>
    <w:tbl>
      <w:tblPr>
        <w:tblW w:w="9072" w:type="dxa"/>
        <w:tblLayout w:type="fixed"/>
        <w:tblCellMar>
          <w:left w:w="70" w:type="dxa"/>
          <w:right w:w="70" w:type="dxa"/>
        </w:tblCellMar>
        <w:tblLook w:val="04A0" w:firstRow="1" w:lastRow="0" w:firstColumn="1" w:lastColumn="0" w:noHBand="0" w:noVBand="1"/>
      </w:tblPr>
      <w:tblGrid>
        <w:gridCol w:w="3678"/>
        <w:gridCol w:w="1185"/>
        <w:gridCol w:w="841"/>
        <w:gridCol w:w="842"/>
        <w:gridCol w:w="842"/>
        <w:gridCol w:w="842"/>
        <w:gridCol w:w="842"/>
      </w:tblGrid>
      <w:tr w:rsidR="008B2C85" w:rsidRPr="008B2C85" w14:paraId="4D8D5559" w14:textId="77777777" w:rsidTr="008B2C85">
        <w:trPr>
          <w:trHeight w:val="255"/>
        </w:trPr>
        <w:tc>
          <w:tcPr>
            <w:tcW w:w="3678" w:type="dxa"/>
            <w:tcBorders>
              <w:top w:val="single" w:sz="4" w:space="0" w:color="auto"/>
              <w:left w:val="nil"/>
              <w:bottom w:val="single" w:sz="4" w:space="0" w:color="auto"/>
              <w:right w:val="nil"/>
            </w:tcBorders>
            <w:shd w:val="clear" w:color="000000" w:fill="FFFFFF"/>
            <w:noWrap/>
            <w:vAlign w:val="bottom"/>
            <w:hideMark/>
          </w:tcPr>
          <w:p w14:paraId="06371D7B" w14:textId="77777777" w:rsidR="008B2C85" w:rsidRPr="008B2C85" w:rsidRDefault="008B2C85" w:rsidP="008B2C85">
            <w:pPr>
              <w:spacing w:after="0" w:line="240" w:lineRule="auto"/>
              <w:jc w:val="left"/>
              <w:rPr>
                <w:rFonts w:eastAsia="Times New Roman" w:cs="Times New Roman"/>
                <w:color w:val="000000"/>
                <w:sz w:val="20"/>
                <w:lang w:eastAsia="sk-SK"/>
              </w:rPr>
            </w:pPr>
            <w:r w:rsidRPr="008B2C85">
              <w:rPr>
                <w:rFonts w:eastAsia="Times New Roman" w:cs="Times New Roman"/>
                <w:color w:val="000000"/>
                <w:sz w:val="20"/>
                <w:lang w:eastAsia="sk-SK"/>
              </w:rPr>
              <w:t> </w:t>
            </w:r>
          </w:p>
        </w:tc>
        <w:tc>
          <w:tcPr>
            <w:tcW w:w="1185" w:type="dxa"/>
            <w:tcBorders>
              <w:top w:val="single" w:sz="4" w:space="0" w:color="auto"/>
              <w:left w:val="nil"/>
              <w:bottom w:val="single" w:sz="4" w:space="0" w:color="auto"/>
              <w:right w:val="nil"/>
            </w:tcBorders>
            <w:shd w:val="clear" w:color="000000" w:fill="FFFFFF"/>
            <w:noWrap/>
            <w:vAlign w:val="bottom"/>
            <w:hideMark/>
          </w:tcPr>
          <w:p w14:paraId="0B72AE16" w14:textId="77777777" w:rsidR="008B2C85" w:rsidRPr="008B2C85" w:rsidRDefault="008B2C85" w:rsidP="008B2C85">
            <w:pPr>
              <w:spacing w:after="0" w:line="240" w:lineRule="auto"/>
              <w:jc w:val="center"/>
              <w:rPr>
                <w:rFonts w:eastAsia="Times New Roman" w:cs="Times New Roman"/>
                <w:b/>
                <w:bCs/>
                <w:color w:val="000000"/>
                <w:sz w:val="20"/>
                <w:lang w:eastAsia="sk-SK"/>
              </w:rPr>
            </w:pPr>
            <w:r w:rsidRPr="008B2C85">
              <w:rPr>
                <w:rFonts w:eastAsia="Times New Roman" w:cs="Times New Roman"/>
                <w:b/>
                <w:bCs/>
                <w:color w:val="000000"/>
                <w:sz w:val="20"/>
                <w:lang w:eastAsia="sk-SK"/>
              </w:rPr>
              <w:t>Kapitola</w:t>
            </w:r>
          </w:p>
        </w:tc>
        <w:tc>
          <w:tcPr>
            <w:tcW w:w="841" w:type="dxa"/>
            <w:tcBorders>
              <w:top w:val="single" w:sz="4" w:space="0" w:color="auto"/>
              <w:left w:val="nil"/>
              <w:bottom w:val="single" w:sz="4" w:space="0" w:color="auto"/>
              <w:right w:val="nil"/>
            </w:tcBorders>
            <w:shd w:val="clear" w:color="000000" w:fill="FFFFFF"/>
            <w:noWrap/>
            <w:vAlign w:val="bottom"/>
            <w:hideMark/>
          </w:tcPr>
          <w:p w14:paraId="498D3086" w14:textId="77777777" w:rsidR="008B2C85" w:rsidRPr="008B2C85" w:rsidRDefault="008B2C85" w:rsidP="008B2C85">
            <w:pPr>
              <w:spacing w:after="0" w:line="240" w:lineRule="auto"/>
              <w:jc w:val="center"/>
              <w:rPr>
                <w:rFonts w:eastAsia="Times New Roman" w:cs="Times New Roman"/>
                <w:b/>
                <w:bCs/>
                <w:color w:val="000000"/>
                <w:sz w:val="20"/>
                <w:lang w:eastAsia="sk-SK"/>
              </w:rPr>
            </w:pPr>
            <w:r w:rsidRPr="008B2C85">
              <w:rPr>
                <w:rFonts w:eastAsia="Times New Roman" w:cs="Times New Roman"/>
                <w:b/>
                <w:bCs/>
                <w:color w:val="000000"/>
                <w:sz w:val="20"/>
                <w:lang w:eastAsia="sk-SK"/>
              </w:rPr>
              <w:t>2018 S</w:t>
            </w:r>
          </w:p>
        </w:tc>
        <w:tc>
          <w:tcPr>
            <w:tcW w:w="842" w:type="dxa"/>
            <w:tcBorders>
              <w:top w:val="single" w:sz="4" w:space="0" w:color="auto"/>
              <w:left w:val="nil"/>
              <w:bottom w:val="single" w:sz="4" w:space="0" w:color="auto"/>
              <w:right w:val="nil"/>
            </w:tcBorders>
            <w:shd w:val="clear" w:color="000000" w:fill="FFFFFF"/>
            <w:noWrap/>
            <w:vAlign w:val="bottom"/>
            <w:hideMark/>
          </w:tcPr>
          <w:p w14:paraId="488B56CD" w14:textId="41CEABD7" w:rsidR="008B2C85" w:rsidRPr="008B2C85" w:rsidRDefault="008B2C85" w:rsidP="008B2C85">
            <w:pPr>
              <w:spacing w:after="0" w:line="240" w:lineRule="auto"/>
              <w:jc w:val="center"/>
              <w:rPr>
                <w:rFonts w:eastAsia="Times New Roman" w:cs="Times New Roman"/>
                <w:b/>
                <w:bCs/>
                <w:color w:val="000000"/>
                <w:sz w:val="20"/>
                <w:lang w:eastAsia="sk-SK"/>
              </w:rPr>
            </w:pPr>
            <w:r w:rsidRPr="008B2C85">
              <w:rPr>
                <w:rFonts w:eastAsia="Times New Roman" w:cs="Times New Roman"/>
                <w:b/>
                <w:bCs/>
                <w:color w:val="000000"/>
                <w:sz w:val="20"/>
                <w:lang w:eastAsia="sk-SK"/>
              </w:rPr>
              <w:t>2019</w:t>
            </w:r>
            <w:r w:rsidR="00CA1FBE">
              <w:rPr>
                <w:rFonts w:eastAsia="Times New Roman" w:cs="Times New Roman"/>
                <w:b/>
                <w:bCs/>
                <w:color w:val="000000"/>
                <w:sz w:val="20"/>
                <w:lang w:eastAsia="sk-SK"/>
              </w:rPr>
              <w:t xml:space="preserve"> OS</w:t>
            </w:r>
          </w:p>
        </w:tc>
        <w:tc>
          <w:tcPr>
            <w:tcW w:w="842" w:type="dxa"/>
            <w:tcBorders>
              <w:top w:val="single" w:sz="4" w:space="0" w:color="auto"/>
              <w:left w:val="nil"/>
              <w:bottom w:val="single" w:sz="4" w:space="0" w:color="auto"/>
              <w:right w:val="nil"/>
            </w:tcBorders>
            <w:shd w:val="clear" w:color="000000" w:fill="FFFFFF"/>
            <w:noWrap/>
            <w:vAlign w:val="bottom"/>
            <w:hideMark/>
          </w:tcPr>
          <w:p w14:paraId="248DD350" w14:textId="30A334EB" w:rsidR="008B2C85" w:rsidRPr="008B2C85" w:rsidRDefault="008B2C85" w:rsidP="008B2C85">
            <w:pPr>
              <w:spacing w:after="0" w:line="240" w:lineRule="auto"/>
              <w:jc w:val="center"/>
              <w:rPr>
                <w:rFonts w:eastAsia="Times New Roman" w:cs="Times New Roman"/>
                <w:b/>
                <w:bCs/>
                <w:color w:val="000000"/>
                <w:sz w:val="20"/>
                <w:lang w:eastAsia="sk-SK"/>
              </w:rPr>
            </w:pPr>
            <w:r w:rsidRPr="008B2C85">
              <w:rPr>
                <w:rFonts w:eastAsia="Times New Roman" w:cs="Times New Roman"/>
                <w:b/>
                <w:bCs/>
                <w:color w:val="000000"/>
                <w:sz w:val="20"/>
                <w:lang w:eastAsia="sk-SK"/>
              </w:rPr>
              <w:t>2020</w:t>
            </w:r>
            <w:r w:rsidR="00CA1FBE">
              <w:rPr>
                <w:rFonts w:eastAsia="Times New Roman" w:cs="Times New Roman"/>
                <w:b/>
                <w:bCs/>
                <w:color w:val="000000"/>
                <w:sz w:val="20"/>
                <w:lang w:eastAsia="sk-SK"/>
              </w:rPr>
              <w:t xml:space="preserve"> R</w:t>
            </w:r>
          </w:p>
        </w:tc>
        <w:tc>
          <w:tcPr>
            <w:tcW w:w="842" w:type="dxa"/>
            <w:tcBorders>
              <w:top w:val="single" w:sz="4" w:space="0" w:color="auto"/>
              <w:left w:val="nil"/>
              <w:bottom w:val="single" w:sz="4" w:space="0" w:color="auto"/>
              <w:right w:val="nil"/>
            </w:tcBorders>
            <w:shd w:val="clear" w:color="000000" w:fill="FFFFFF"/>
            <w:noWrap/>
            <w:vAlign w:val="bottom"/>
            <w:hideMark/>
          </w:tcPr>
          <w:p w14:paraId="6FF0598F" w14:textId="0031DEBC" w:rsidR="008B2C85" w:rsidRPr="008B2C85" w:rsidRDefault="008B2C85" w:rsidP="008B2C85">
            <w:pPr>
              <w:spacing w:after="0" w:line="240" w:lineRule="auto"/>
              <w:jc w:val="center"/>
              <w:rPr>
                <w:rFonts w:eastAsia="Times New Roman" w:cs="Times New Roman"/>
                <w:b/>
                <w:bCs/>
                <w:color w:val="000000"/>
                <w:sz w:val="20"/>
                <w:lang w:eastAsia="sk-SK"/>
              </w:rPr>
            </w:pPr>
            <w:r w:rsidRPr="008B2C85">
              <w:rPr>
                <w:rFonts w:eastAsia="Times New Roman" w:cs="Times New Roman"/>
                <w:b/>
                <w:bCs/>
                <w:color w:val="000000"/>
                <w:sz w:val="20"/>
                <w:lang w:eastAsia="sk-SK"/>
              </w:rPr>
              <w:t>2021</w:t>
            </w:r>
            <w:r w:rsidR="00CA1FBE">
              <w:rPr>
                <w:rFonts w:eastAsia="Times New Roman" w:cs="Times New Roman"/>
                <w:b/>
                <w:bCs/>
                <w:color w:val="000000"/>
                <w:sz w:val="20"/>
                <w:lang w:eastAsia="sk-SK"/>
              </w:rPr>
              <w:t xml:space="preserve"> R</w:t>
            </w:r>
          </w:p>
        </w:tc>
        <w:tc>
          <w:tcPr>
            <w:tcW w:w="842" w:type="dxa"/>
            <w:tcBorders>
              <w:top w:val="single" w:sz="4" w:space="0" w:color="auto"/>
              <w:left w:val="nil"/>
              <w:bottom w:val="single" w:sz="4" w:space="0" w:color="auto"/>
              <w:right w:val="nil"/>
            </w:tcBorders>
            <w:shd w:val="clear" w:color="000000" w:fill="FFFFFF"/>
            <w:noWrap/>
            <w:vAlign w:val="bottom"/>
            <w:hideMark/>
          </w:tcPr>
          <w:p w14:paraId="72A8B74F" w14:textId="143A9117" w:rsidR="008B2C85" w:rsidRPr="008B2C85" w:rsidRDefault="008B2C85" w:rsidP="008B2C85">
            <w:pPr>
              <w:spacing w:after="0" w:line="240" w:lineRule="auto"/>
              <w:jc w:val="center"/>
              <w:rPr>
                <w:rFonts w:eastAsia="Times New Roman" w:cs="Times New Roman"/>
                <w:b/>
                <w:bCs/>
                <w:color w:val="000000"/>
                <w:sz w:val="20"/>
                <w:lang w:eastAsia="sk-SK"/>
              </w:rPr>
            </w:pPr>
            <w:r w:rsidRPr="008B2C85">
              <w:rPr>
                <w:rFonts w:eastAsia="Times New Roman" w:cs="Times New Roman"/>
                <w:b/>
                <w:bCs/>
                <w:color w:val="000000"/>
                <w:sz w:val="20"/>
                <w:lang w:eastAsia="sk-SK"/>
              </w:rPr>
              <w:t>2022</w:t>
            </w:r>
            <w:r w:rsidR="00CA1FBE">
              <w:rPr>
                <w:rFonts w:eastAsia="Times New Roman" w:cs="Times New Roman"/>
                <w:b/>
                <w:bCs/>
                <w:color w:val="000000"/>
                <w:sz w:val="20"/>
                <w:lang w:eastAsia="sk-SK"/>
              </w:rPr>
              <w:t xml:space="preserve"> R</w:t>
            </w:r>
          </w:p>
        </w:tc>
      </w:tr>
      <w:tr w:rsidR="00666CC6" w:rsidRPr="008B2C85" w14:paraId="15B6FDB2" w14:textId="77777777" w:rsidTr="008B2C85">
        <w:trPr>
          <w:trHeight w:val="510"/>
        </w:trPr>
        <w:tc>
          <w:tcPr>
            <w:tcW w:w="3678" w:type="dxa"/>
            <w:tcBorders>
              <w:top w:val="nil"/>
              <w:left w:val="nil"/>
              <w:bottom w:val="single" w:sz="4" w:space="0" w:color="auto"/>
              <w:right w:val="nil"/>
            </w:tcBorders>
            <w:shd w:val="clear" w:color="000000" w:fill="FFFFFF"/>
            <w:vAlign w:val="bottom"/>
            <w:hideMark/>
          </w:tcPr>
          <w:p w14:paraId="421016B7" w14:textId="27A266A1" w:rsidR="00666CC6" w:rsidRPr="008B2C85" w:rsidRDefault="00666CC6" w:rsidP="00666CC6">
            <w:pPr>
              <w:spacing w:after="0" w:line="240" w:lineRule="auto"/>
              <w:jc w:val="left"/>
              <w:rPr>
                <w:rFonts w:eastAsia="Times New Roman" w:cs="Times New Roman"/>
                <w:b/>
                <w:bCs/>
                <w:color w:val="000000"/>
                <w:sz w:val="20"/>
                <w:lang w:eastAsia="sk-SK"/>
              </w:rPr>
            </w:pPr>
            <w:r w:rsidRPr="008B2C85">
              <w:rPr>
                <w:rFonts w:eastAsia="Times New Roman" w:cs="Times New Roman"/>
                <w:b/>
                <w:bCs/>
                <w:color w:val="000000"/>
                <w:sz w:val="20"/>
                <w:lang w:eastAsia="sk-SK"/>
              </w:rPr>
              <w:t>Podpora výstavby nájomného bývania</w:t>
            </w:r>
            <w:r>
              <w:rPr>
                <w:rFonts w:eastAsia="Times New Roman" w:cs="Times New Roman"/>
                <w:b/>
                <w:bCs/>
                <w:color w:val="000000"/>
                <w:sz w:val="20"/>
                <w:lang w:eastAsia="sk-SK"/>
              </w:rPr>
              <w:t xml:space="preserve"> s regulovaným nájmom</w:t>
            </w:r>
          </w:p>
        </w:tc>
        <w:tc>
          <w:tcPr>
            <w:tcW w:w="1185" w:type="dxa"/>
            <w:tcBorders>
              <w:top w:val="nil"/>
              <w:left w:val="nil"/>
              <w:bottom w:val="single" w:sz="4" w:space="0" w:color="auto"/>
              <w:right w:val="nil"/>
            </w:tcBorders>
            <w:shd w:val="clear" w:color="000000" w:fill="FFFFFF"/>
            <w:noWrap/>
            <w:vAlign w:val="bottom"/>
            <w:hideMark/>
          </w:tcPr>
          <w:p w14:paraId="7E444D15" w14:textId="77777777" w:rsidR="00666CC6" w:rsidRPr="008B2C85" w:rsidRDefault="00666CC6" w:rsidP="00666CC6">
            <w:pPr>
              <w:spacing w:after="0" w:line="240" w:lineRule="auto"/>
              <w:jc w:val="left"/>
              <w:rPr>
                <w:rFonts w:eastAsia="Times New Roman" w:cs="Times New Roman"/>
                <w:b/>
                <w:bCs/>
                <w:color w:val="000000"/>
                <w:sz w:val="20"/>
                <w:lang w:eastAsia="sk-SK"/>
              </w:rPr>
            </w:pPr>
            <w:r w:rsidRPr="008B2C85">
              <w:rPr>
                <w:rFonts w:eastAsia="Times New Roman" w:cs="Times New Roman"/>
                <w:b/>
                <w:bCs/>
                <w:color w:val="000000"/>
                <w:sz w:val="20"/>
                <w:lang w:eastAsia="sk-SK"/>
              </w:rPr>
              <w:t> </w:t>
            </w:r>
          </w:p>
        </w:tc>
        <w:tc>
          <w:tcPr>
            <w:tcW w:w="841" w:type="dxa"/>
            <w:tcBorders>
              <w:top w:val="nil"/>
              <w:left w:val="nil"/>
              <w:bottom w:val="single" w:sz="4" w:space="0" w:color="auto"/>
              <w:right w:val="nil"/>
            </w:tcBorders>
            <w:shd w:val="clear" w:color="000000" w:fill="FFFFFF"/>
            <w:noWrap/>
            <w:vAlign w:val="bottom"/>
            <w:hideMark/>
          </w:tcPr>
          <w:p w14:paraId="1D4E2055" w14:textId="1C48057C" w:rsidR="00666CC6" w:rsidRPr="008B2C85" w:rsidRDefault="00666CC6" w:rsidP="00666CC6">
            <w:pPr>
              <w:spacing w:after="0" w:line="240" w:lineRule="auto"/>
              <w:jc w:val="center"/>
              <w:rPr>
                <w:rFonts w:eastAsia="Times New Roman" w:cs="Times New Roman"/>
                <w:b/>
                <w:bCs/>
                <w:color w:val="000000"/>
                <w:sz w:val="20"/>
                <w:lang w:eastAsia="sk-SK"/>
              </w:rPr>
            </w:pPr>
            <w:r>
              <w:rPr>
                <w:b/>
                <w:bCs/>
                <w:color w:val="000000"/>
                <w:sz w:val="20"/>
              </w:rPr>
              <w:t>66,1</w:t>
            </w:r>
          </w:p>
        </w:tc>
        <w:tc>
          <w:tcPr>
            <w:tcW w:w="842" w:type="dxa"/>
            <w:tcBorders>
              <w:top w:val="nil"/>
              <w:left w:val="nil"/>
              <w:bottom w:val="single" w:sz="4" w:space="0" w:color="auto"/>
              <w:right w:val="nil"/>
            </w:tcBorders>
            <w:shd w:val="clear" w:color="000000" w:fill="FFFFFF"/>
            <w:noWrap/>
            <w:vAlign w:val="bottom"/>
            <w:hideMark/>
          </w:tcPr>
          <w:p w14:paraId="593B208A" w14:textId="1207151B" w:rsidR="00666CC6" w:rsidRPr="008B2C85" w:rsidRDefault="00666CC6" w:rsidP="00666CC6">
            <w:pPr>
              <w:spacing w:after="0" w:line="240" w:lineRule="auto"/>
              <w:jc w:val="center"/>
              <w:rPr>
                <w:rFonts w:eastAsia="Times New Roman" w:cs="Times New Roman"/>
                <w:b/>
                <w:bCs/>
                <w:color w:val="000000"/>
                <w:sz w:val="20"/>
                <w:lang w:eastAsia="sk-SK"/>
              </w:rPr>
            </w:pPr>
            <w:r>
              <w:rPr>
                <w:b/>
                <w:bCs/>
                <w:color w:val="000000"/>
                <w:sz w:val="20"/>
              </w:rPr>
              <w:t>89,1</w:t>
            </w:r>
          </w:p>
        </w:tc>
        <w:tc>
          <w:tcPr>
            <w:tcW w:w="842" w:type="dxa"/>
            <w:tcBorders>
              <w:top w:val="nil"/>
              <w:left w:val="nil"/>
              <w:bottom w:val="single" w:sz="4" w:space="0" w:color="auto"/>
              <w:right w:val="nil"/>
            </w:tcBorders>
            <w:shd w:val="clear" w:color="000000" w:fill="FFFFFF"/>
            <w:noWrap/>
            <w:vAlign w:val="bottom"/>
            <w:hideMark/>
          </w:tcPr>
          <w:p w14:paraId="4C5C28CC" w14:textId="34C162FC" w:rsidR="00666CC6" w:rsidRPr="008B2C85" w:rsidRDefault="00666CC6" w:rsidP="00666CC6">
            <w:pPr>
              <w:spacing w:after="0" w:line="240" w:lineRule="auto"/>
              <w:jc w:val="center"/>
              <w:rPr>
                <w:rFonts w:eastAsia="Times New Roman" w:cs="Times New Roman"/>
                <w:b/>
                <w:bCs/>
                <w:color w:val="000000"/>
                <w:sz w:val="20"/>
                <w:lang w:eastAsia="sk-SK"/>
              </w:rPr>
            </w:pPr>
            <w:r>
              <w:rPr>
                <w:b/>
                <w:bCs/>
                <w:color w:val="000000"/>
                <w:sz w:val="20"/>
              </w:rPr>
              <w:t>104,6</w:t>
            </w:r>
          </w:p>
        </w:tc>
        <w:tc>
          <w:tcPr>
            <w:tcW w:w="842" w:type="dxa"/>
            <w:tcBorders>
              <w:top w:val="nil"/>
              <w:left w:val="nil"/>
              <w:bottom w:val="single" w:sz="4" w:space="0" w:color="auto"/>
              <w:right w:val="nil"/>
            </w:tcBorders>
            <w:shd w:val="clear" w:color="000000" w:fill="FFFFFF"/>
            <w:noWrap/>
            <w:vAlign w:val="bottom"/>
            <w:hideMark/>
          </w:tcPr>
          <w:p w14:paraId="0695EBB6" w14:textId="79FF1D88" w:rsidR="00666CC6" w:rsidRPr="008B2C85" w:rsidRDefault="00666CC6" w:rsidP="00666CC6">
            <w:pPr>
              <w:spacing w:after="0" w:line="240" w:lineRule="auto"/>
              <w:jc w:val="center"/>
              <w:rPr>
                <w:rFonts w:eastAsia="Times New Roman" w:cs="Times New Roman"/>
                <w:b/>
                <w:bCs/>
                <w:color w:val="000000"/>
                <w:sz w:val="20"/>
                <w:lang w:eastAsia="sk-SK"/>
              </w:rPr>
            </w:pPr>
            <w:r>
              <w:rPr>
                <w:b/>
                <w:bCs/>
                <w:color w:val="000000"/>
                <w:sz w:val="20"/>
              </w:rPr>
              <w:t>105,1</w:t>
            </w:r>
          </w:p>
        </w:tc>
        <w:tc>
          <w:tcPr>
            <w:tcW w:w="842" w:type="dxa"/>
            <w:tcBorders>
              <w:top w:val="nil"/>
              <w:left w:val="nil"/>
              <w:bottom w:val="single" w:sz="4" w:space="0" w:color="auto"/>
              <w:right w:val="nil"/>
            </w:tcBorders>
            <w:shd w:val="clear" w:color="000000" w:fill="FFFFFF"/>
            <w:noWrap/>
            <w:vAlign w:val="bottom"/>
            <w:hideMark/>
          </w:tcPr>
          <w:p w14:paraId="4080512D" w14:textId="4B1CEF41" w:rsidR="00666CC6" w:rsidRPr="008B2C85" w:rsidRDefault="00666CC6" w:rsidP="00666CC6">
            <w:pPr>
              <w:spacing w:after="0" w:line="240" w:lineRule="auto"/>
              <w:jc w:val="center"/>
              <w:rPr>
                <w:rFonts w:eastAsia="Times New Roman" w:cs="Times New Roman"/>
                <w:b/>
                <w:bCs/>
                <w:color w:val="000000"/>
                <w:sz w:val="20"/>
                <w:lang w:eastAsia="sk-SK"/>
              </w:rPr>
            </w:pPr>
            <w:r>
              <w:rPr>
                <w:b/>
                <w:bCs/>
                <w:color w:val="000000"/>
                <w:sz w:val="20"/>
              </w:rPr>
              <w:t>105,7</w:t>
            </w:r>
          </w:p>
        </w:tc>
      </w:tr>
      <w:tr w:rsidR="00666CC6" w:rsidRPr="008B2C85" w14:paraId="1F381409" w14:textId="77777777" w:rsidTr="008B2C85">
        <w:trPr>
          <w:trHeight w:val="255"/>
        </w:trPr>
        <w:tc>
          <w:tcPr>
            <w:tcW w:w="3678" w:type="dxa"/>
            <w:tcBorders>
              <w:top w:val="nil"/>
              <w:left w:val="nil"/>
              <w:bottom w:val="nil"/>
              <w:right w:val="nil"/>
            </w:tcBorders>
            <w:shd w:val="clear" w:color="000000" w:fill="FFFFFF"/>
            <w:vAlign w:val="bottom"/>
            <w:hideMark/>
          </w:tcPr>
          <w:p w14:paraId="282F610B" w14:textId="77777777" w:rsidR="00666CC6" w:rsidRPr="008B2C85" w:rsidRDefault="00666CC6" w:rsidP="00666CC6">
            <w:pPr>
              <w:spacing w:after="0" w:line="240" w:lineRule="auto"/>
              <w:jc w:val="left"/>
              <w:rPr>
                <w:rFonts w:eastAsia="Times New Roman" w:cs="Times New Roman"/>
                <w:color w:val="000000"/>
                <w:sz w:val="20"/>
                <w:lang w:eastAsia="sk-SK"/>
              </w:rPr>
            </w:pPr>
            <w:r w:rsidRPr="008B2C85">
              <w:rPr>
                <w:rFonts w:eastAsia="Times New Roman" w:cs="Times New Roman"/>
                <w:color w:val="000000"/>
                <w:sz w:val="20"/>
                <w:lang w:eastAsia="sk-SK"/>
              </w:rPr>
              <w:t>Štátny fond rozvoja bývania</w:t>
            </w:r>
          </w:p>
        </w:tc>
        <w:tc>
          <w:tcPr>
            <w:tcW w:w="1185" w:type="dxa"/>
            <w:tcBorders>
              <w:top w:val="nil"/>
              <w:left w:val="nil"/>
              <w:bottom w:val="nil"/>
              <w:right w:val="nil"/>
            </w:tcBorders>
            <w:shd w:val="clear" w:color="000000" w:fill="FFFFFF"/>
            <w:noWrap/>
            <w:vAlign w:val="bottom"/>
            <w:hideMark/>
          </w:tcPr>
          <w:p w14:paraId="3CAAB27F" w14:textId="77777777" w:rsidR="00666CC6" w:rsidRPr="008B2C85" w:rsidRDefault="00666CC6" w:rsidP="00666CC6">
            <w:pPr>
              <w:spacing w:after="0" w:line="240" w:lineRule="auto"/>
              <w:jc w:val="center"/>
              <w:rPr>
                <w:rFonts w:eastAsia="Times New Roman" w:cs="Times New Roman"/>
                <w:color w:val="000000"/>
                <w:sz w:val="20"/>
                <w:lang w:eastAsia="sk-SK"/>
              </w:rPr>
            </w:pPr>
            <w:r w:rsidRPr="008B2C85">
              <w:rPr>
                <w:rFonts w:eastAsia="Times New Roman" w:cs="Times New Roman"/>
                <w:color w:val="000000"/>
                <w:sz w:val="20"/>
                <w:lang w:eastAsia="sk-SK"/>
              </w:rPr>
              <w:t>MDV</w:t>
            </w:r>
          </w:p>
        </w:tc>
        <w:tc>
          <w:tcPr>
            <w:tcW w:w="841" w:type="dxa"/>
            <w:tcBorders>
              <w:top w:val="nil"/>
              <w:left w:val="nil"/>
              <w:bottom w:val="nil"/>
              <w:right w:val="nil"/>
            </w:tcBorders>
            <w:shd w:val="clear" w:color="000000" w:fill="FFFFFF"/>
            <w:noWrap/>
            <w:vAlign w:val="bottom"/>
            <w:hideMark/>
          </w:tcPr>
          <w:p w14:paraId="7B8E8142" w14:textId="30136C67" w:rsidR="00666CC6" w:rsidRPr="008B2C85" w:rsidRDefault="00666CC6" w:rsidP="00666CC6">
            <w:pPr>
              <w:spacing w:after="0" w:line="240" w:lineRule="auto"/>
              <w:jc w:val="center"/>
              <w:rPr>
                <w:rFonts w:eastAsia="Times New Roman" w:cs="Times New Roman"/>
                <w:color w:val="000000"/>
                <w:sz w:val="20"/>
                <w:lang w:eastAsia="sk-SK"/>
              </w:rPr>
            </w:pPr>
            <w:r>
              <w:rPr>
                <w:color w:val="000000"/>
                <w:sz w:val="20"/>
              </w:rPr>
              <w:t>38,2</w:t>
            </w:r>
          </w:p>
        </w:tc>
        <w:tc>
          <w:tcPr>
            <w:tcW w:w="842" w:type="dxa"/>
            <w:tcBorders>
              <w:top w:val="nil"/>
              <w:left w:val="nil"/>
              <w:bottom w:val="nil"/>
              <w:right w:val="nil"/>
            </w:tcBorders>
            <w:shd w:val="clear" w:color="000000" w:fill="FFFFFF"/>
            <w:noWrap/>
            <w:vAlign w:val="bottom"/>
            <w:hideMark/>
          </w:tcPr>
          <w:p w14:paraId="2501B9FD" w14:textId="74327272" w:rsidR="00666CC6" w:rsidRPr="008B2C85" w:rsidRDefault="00666CC6" w:rsidP="00666CC6">
            <w:pPr>
              <w:spacing w:after="0" w:line="240" w:lineRule="auto"/>
              <w:jc w:val="center"/>
              <w:rPr>
                <w:rFonts w:eastAsia="Times New Roman" w:cs="Times New Roman"/>
                <w:color w:val="000000"/>
                <w:sz w:val="20"/>
                <w:lang w:eastAsia="sk-SK"/>
              </w:rPr>
            </w:pPr>
            <w:r>
              <w:rPr>
                <w:color w:val="000000"/>
                <w:sz w:val="20"/>
              </w:rPr>
              <w:t>69,8</w:t>
            </w:r>
          </w:p>
        </w:tc>
        <w:tc>
          <w:tcPr>
            <w:tcW w:w="842" w:type="dxa"/>
            <w:tcBorders>
              <w:top w:val="nil"/>
              <w:left w:val="nil"/>
              <w:bottom w:val="nil"/>
              <w:right w:val="nil"/>
            </w:tcBorders>
            <w:shd w:val="clear" w:color="000000" w:fill="FFFFFF"/>
            <w:noWrap/>
            <w:vAlign w:val="bottom"/>
            <w:hideMark/>
          </w:tcPr>
          <w:p w14:paraId="4E48DFDF" w14:textId="4E5D871C" w:rsidR="00666CC6" w:rsidRPr="008B2C85" w:rsidRDefault="00666CC6" w:rsidP="00666CC6">
            <w:pPr>
              <w:spacing w:after="0" w:line="240" w:lineRule="auto"/>
              <w:jc w:val="center"/>
              <w:rPr>
                <w:rFonts w:eastAsia="Times New Roman" w:cs="Times New Roman"/>
                <w:color w:val="000000"/>
                <w:sz w:val="20"/>
                <w:lang w:eastAsia="sk-SK"/>
              </w:rPr>
            </w:pPr>
            <w:r>
              <w:rPr>
                <w:color w:val="000000"/>
                <w:sz w:val="20"/>
              </w:rPr>
              <w:t>84,9</w:t>
            </w:r>
          </w:p>
        </w:tc>
        <w:tc>
          <w:tcPr>
            <w:tcW w:w="842" w:type="dxa"/>
            <w:tcBorders>
              <w:top w:val="nil"/>
              <w:left w:val="nil"/>
              <w:bottom w:val="nil"/>
              <w:right w:val="nil"/>
            </w:tcBorders>
            <w:shd w:val="clear" w:color="000000" w:fill="FFFFFF"/>
            <w:noWrap/>
            <w:vAlign w:val="bottom"/>
            <w:hideMark/>
          </w:tcPr>
          <w:p w14:paraId="5CC15A5B" w14:textId="75151536" w:rsidR="00666CC6" w:rsidRPr="008B2C85" w:rsidRDefault="00666CC6" w:rsidP="00666CC6">
            <w:pPr>
              <w:spacing w:after="0" w:line="240" w:lineRule="auto"/>
              <w:jc w:val="center"/>
              <w:rPr>
                <w:rFonts w:eastAsia="Times New Roman" w:cs="Times New Roman"/>
                <w:color w:val="000000"/>
                <w:sz w:val="20"/>
                <w:lang w:eastAsia="sk-SK"/>
              </w:rPr>
            </w:pPr>
            <w:r>
              <w:rPr>
                <w:color w:val="000000"/>
                <w:sz w:val="20"/>
              </w:rPr>
              <w:t>85,0</w:t>
            </w:r>
          </w:p>
        </w:tc>
        <w:tc>
          <w:tcPr>
            <w:tcW w:w="842" w:type="dxa"/>
            <w:tcBorders>
              <w:top w:val="nil"/>
              <w:left w:val="nil"/>
              <w:bottom w:val="nil"/>
              <w:right w:val="nil"/>
            </w:tcBorders>
            <w:shd w:val="clear" w:color="000000" w:fill="FFFFFF"/>
            <w:noWrap/>
            <w:vAlign w:val="bottom"/>
            <w:hideMark/>
          </w:tcPr>
          <w:p w14:paraId="00B447EE" w14:textId="44DBA2DE" w:rsidR="00666CC6" w:rsidRPr="008B2C85" w:rsidRDefault="00666CC6" w:rsidP="00666CC6">
            <w:pPr>
              <w:spacing w:after="0" w:line="240" w:lineRule="auto"/>
              <w:jc w:val="center"/>
              <w:rPr>
                <w:rFonts w:eastAsia="Times New Roman" w:cs="Times New Roman"/>
                <w:color w:val="000000"/>
                <w:sz w:val="20"/>
                <w:lang w:eastAsia="sk-SK"/>
              </w:rPr>
            </w:pPr>
            <w:r>
              <w:rPr>
                <w:color w:val="000000"/>
                <w:sz w:val="20"/>
              </w:rPr>
              <w:t>85,1</w:t>
            </w:r>
          </w:p>
        </w:tc>
      </w:tr>
      <w:tr w:rsidR="00666CC6" w:rsidRPr="008B2C85" w14:paraId="59D6A806" w14:textId="77777777" w:rsidTr="008B2C85">
        <w:trPr>
          <w:trHeight w:val="255"/>
        </w:trPr>
        <w:tc>
          <w:tcPr>
            <w:tcW w:w="3678" w:type="dxa"/>
            <w:tcBorders>
              <w:top w:val="nil"/>
              <w:left w:val="nil"/>
              <w:bottom w:val="nil"/>
              <w:right w:val="nil"/>
            </w:tcBorders>
            <w:shd w:val="clear" w:color="000000" w:fill="FFFFFF"/>
            <w:vAlign w:val="bottom"/>
            <w:hideMark/>
          </w:tcPr>
          <w:p w14:paraId="456554F1" w14:textId="77777777" w:rsidR="00666CC6" w:rsidRPr="008B2C85" w:rsidRDefault="00666CC6" w:rsidP="00666CC6">
            <w:pPr>
              <w:spacing w:after="0" w:line="240" w:lineRule="auto"/>
              <w:jc w:val="left"/>
              <w:rPr>
                <w:rFonts w:eastAsia="Times New Roman" w:cs="Times New Roman"/>
                <w:color w:val="000000"/>
                <w:sz w:val="20"/>
                <w:lang w:eastAsia="sk-SK"/>
              </w:rPr>
            </w:pPr>
            <w:r w:rsidRPr="008B2C85">
              <w:rPr>
                <w:rFonts w:eastAsia="Times New Roman" w:cs="Times New Roman"/>
                <w:color w:val="000000"/>
                <w:sz w:val="20"/>
                <w:lang w:eastAsia="sk-SK"/>
              </w:rPr>
              <w:t>Dotácie na rozvoj bývania</w:t>
            </w:r>
          </w:p>
        </w:tc>
        <w:tc>
          <w:tcPr>
            <w:tcW w:w="1185" w:type="dxa"/>
            <w:tcBorders>
              <w:top w:val="nil"/>
              <w:left w:val="nil"/>
              <w:bottom w:val="nil"/>
              <w:right w:val="nil"/>
            </w:tcBorders>
            <w:shd w:val="clear" w:color="000000" w:fill="FFFFFF"/>
            <w:noWrap/>
            <w:vAlign w:val="bottom"/>
            <w:hideMark/>
          </w:tcPr>
          <w:p w14:paraId="5B788551" w14:textId="77777777" w:rsidR="00666CC6" w:rsidRPr="008B2C85" w:rsidRDefault="00666CC6" w:rsidP="00666CC6">
            <w:pPr>
              <w:spacing w:after="0" w:line="240" w:lineRule="auto"/>
              <w:jc w:val="center"/>
              <w:rPr>
                <w:rFonts w:eastAsia="Times New Roman" w:cs="Times New Roman"/>
                <w:color w:val="000000"/>
                <w:sz w:val="20"/>
                <w:lang w:eastAsia="sk-SK"/>
              </w:rPr>
            </w:pPr>
            <w:r w:rsidRPr="008B2C85">
              <w:rPr>
                <w:rFonts w:eastAsia="Times New Roman" w:cs="Times New Roman"/>
                <w:color w:val="000000"/>
                <w:sz w:val="20"/>
                <w:lang w:eastAsia="sk-SK"/>
              </w:rPr>
              <w:t>MDV</w:t>
            </w:r>
          </w:p>
        </w:tc>
        <w:tc>
          <w:tcPr>
            <w:tcW w:w="841" w:type="dxa"/>
            <w:tcBorders>
              <w:top w:val="nil"/>
              <w:left w:val="nil"/>
              <w:bottom w:val="nil"/>
              <w:right w:val="nil"/>
            </w:tcBorders>
            <w:shd w:val="clear" w:color="auto" w:fill="auto"/>
            <w:noWrap/>
            <w:vAlign w:val="bottom"/>
            <w:hideMark/>
          </w:tcPr>
          <w:p w14:paraId="399F5BD4" w14:textId="3903E801" w:rsidR="00666CC6" w:rsidRPr="008B2C85" w:rsidRDefault="00666CC6" w:rsidP="00666CC6">
            <w:pPr>
              <w:spacing w:after="0" w:line="240" w:lineRule="auto"/>
              <w:jc w:val="center"/>
              <w:rPr>
                <w:rFonts w:eastAsia="Times New Roman" w:cs="Times New Roman"/>
                <w:sz w:val="20"/>
                <w:lang w:eastAsia="sk-SK"/>
              </w:rPr>
            </w:pPr>
            <w:r>
              <w:rPr>
                <w:sz w:val="20"/>
              </w:rPr>
              <w:t>27,9</w:t>
            </w:r>
          </w:p>
        </w:tc>
        <w:tc>
          <w:tcPr>
            <w:tcW w:w="842" w:type="dxa"/>
            <w:tcBorders>
              <w:top w:val="nil"/>
              <w:left w:val="nil"/>
              <w:bottom w:val="nil"/>
              <w:right w:val="nil"/>
            </w:tcBorders>
            <w:shd w:val="clear" w:color="000000" w:fill="FFFFFF"/>
            <w:noWrap/>
            <w:vAlign w:val="bottom"/>
            <w:hideMark/>
          </w:tcPr>
          <w:p w14:paraId="3192A0F8" w14:textId="65E84188" w:rsidR="00666CC6" w:rsidRPr="008B2C85" w:rsidRDefault="00666CC6" w:rsidP="00666CC6">
            <w:pPr>
              <w:spacing w:after="0" w:line="240" w:lineRule="auto"/>
              <w:jc w:val="center"/>
              <w:rPr>
                <w:rFonts w:eastAsia="Times New Roman" w:cs="Times New Roman"/>
                <w:color w:val="000000"/>
                <w:sz w:val="20"/>
                <w:lang w:eastAsia="sk-SK"/>
              </w:rPr>
            </w:pPr>
            <w:r>
              <w:rPr>
                <w:sz w:val="20"/>
              </w:rPr>
              <w:t>19,3</w:t>
            </w:r>
          </w:p>
        </w:tc>
        <w:tc>
          <w:tcPr>
            <w:tcW w:w="842" w:type="dxa"/>
            <w:tcBorders>
              <w:top w:val="nil"/>
              <w:left w:val="nil"/>
              <w:bottom w:val="nil"/>
              <w:right w:val="nil"/>
            </w:tcBorders>
            <w:shd w:val="clear" w:color="000000" w:fill="FFFFFF"/>
            <w:noWrap/>
            <w:vAlign w:val="bottom"/>
            <w:hideMark/>
          </w:tcPr>
          <w:p w14:paraId="61361279" w14:textId="1A26F013" w:rsidR="00666CC6" w:rsidRPr="008B2C85" w:rsidRDefault="00666CC6" w:rsidP="00666CC6">
            <w:pPr>
              <w:spacing w:after="0" w:line="240" w:lineRule="auto"/>
              <w:jc w:val="center"/>
              <w:rPr>
                <w:rFonts w:eastAsia="Times New Roman" w:cs="Times New Roman"/>
                <w:color w:val="000000"/>
                <w:sz w:val="20"/>
                <w:lang w:eastAsia="sk-SK"/>
              </w:rPr>
            </w:pPr>
            <w:r>
              <w:rPr>
                <w:sz w:val="20"/>
              </w:rPr>
              <w:t>19,7</w:t>
            </w:r>
          </w:p>
        </w:tc>
        <w:tc>
          <w:tcPr>
            <w:tcW w:w="842" w:type="dxa"/>
            <w:tcBorders>
              <w:top w:val="nil"/>
              <w:left w:val="nil"/>
              <w:bottom w:val="nil"/>
              <w:right w:val="nil"/>
            </w:tcBorders>
            <w:shd w:val="clear" w:color="000000" w:fill="FFFFFF"/>
            <w:noWrap/>
            <w:vAlign w:val="bottom"/>
            <w:hideMark/>
          </w:tcPr>
          <w:p w14:paraId="726F97A0" w14:textId="62D4D16E" w:rsidR="00666CC6" w:rsidRPr="008B2C85" w:rsidRDefault="00666CC6" w:rsidP="00666CC6">
            <w:pPr>
              <w:spacing w:after="0" w:line="240" w:lineRule="auto"/>
              <w:jc w:val="center"/>
              <w:rPr>
                <w:rFonts w:eastAsia="Times New Roman" w:cs="Times New Roman"/>
                <w:color w:val="000000"/>
                <w:sz w:val="20"/>
                <w:lang w:eastAsia="sk-SK"/>
              </w:rPr>
            </w:pPr>
            <w:r>
              <w:rPr>
                <w:sz w:val="20"/>
              </w:rPr>
              <w:t>20,1</w:t>
            </w:r>
          </w:p>
        </w:tc>
        <w:tc>
          <w:tcPr>
            <w:tcW w:w="842" w:type="dxa"/>
            <w:tcBorders>
              <w:top w:val="nil"/>
              <w:left w:val="nil"/>
              <w:bottom w:val="nil"/>
              <w:right w:val="nil"/>
            </w:tcBorders>
            <w:shd w:val="clear" w:color="000000" w:fill="FFFFFF"/>
            <w:noWrap/>
            <w:vAlign w:val="bottom"/>
            <w:hideMark/>
          </w:tcPr>
          <w:p w14:paraId="3E18D601" w14:textId="19736292" w:rsidR="00666CC6" w:rsidRPr="008B2C85" w:rsidRDefault="00666CC6" w:rsidP="00666CC6">
            <w:pPr>
              <w:spacing w:after="0" w:line="240" w:lineRule="auto"/>
              <w:jc w:val="center"/>
              <w:rPr>
                <w:rFonts w:eastAsia="Times New Roman" w:cs="Times New Roman"/>
                <w:color w:val="000000"/>
                <w:sz w:val="20"/>
                <w:lang w:eastAsia="sk-SK"/>
              </w:rPr>
            </w:pPr>
            <w:r>
              <w:rPr>
                <w:sz w:val="20"/>
              </w:rPr>
              <w:t>20,6</w:t>
            </w:r>
          </w:p>
        </w:tc>
      </w:tr>
      <w:tr w:rsidR="009A4E01" w:rsidRPr="008B2C85" w14:paraId="3BCB79C1" w14:textId="77777777" w:rsidTr="008B2C85">
        <w:trPr>
          <w:trHeight w:val="255"/>
        </w:trPr>
        <w:tc>
          <w:tcPr>
            <w:tcW w:w="3678" w:type="dxa"/>
            <w:tcBorders>
              <w:top w:val="single" w:sz="4" w:space="0" w:color="auto"/>
              <w:left w:val="nil"/>
              <w:bottom w:val="single" w:sz="4" w:space="0" w:color="auto"/>
              <w:right w:val="nil"/>
            </w:tcBorders>
            <w:shd w:val="clear" w:color="000000" w:fill="FFFFFF"/>
            <w:vAlign w:val="bottom"/>
            <w:hideMark/>
          </w:tcPr>
          <w:p w14:paraId="1AF8C8D8" w14:textId="77777777" w:rsidR="009A4E01" w:rsidRPr="008B2C85" w:rsidRDefault="009A4E01" w:rsidP="009A4E01">
            <w:pPr>
              <w:spacing w:after="0" w:line="240" w:lineRule="auto"/>
              <w:jc w:val="left"/>
              <w:rPr>
                <w:rFonts w:eastAsia="Times New Roman" w:cs="Times New Roman"/>
                <w:b/>
                <w:bCs/>
                <w:color w:val="000000"/>
                <w:sz w:val="20"/>
                <w:lang w:eastAsia="sk-SK"/>
              </w:rPr>
            </w:pPr>
            <w:r w:rsidRPr="008B2C85">
              <w:rPr>
                <w:rFonts w:eastAsia="Times New Roman" w:cs="Times New Roman"/>
                <w:b/>
                <w:bCs/>
                <w:color w:val="000000"/>
                <w:sz w:val="20"/>
                <w:lang w:eastAsia="sk-SK"/>
              </w:rPr>
              <w:t>Sociálne služby krízovej intervencie</w:t>
            </w:r>
          </w:p>
        </w:tc>
        <w:tc>
          <w:tcPr>
            <w:tcW w:w="1185" w:type="dxa"/>
            <w:tcBorders>
              <w:top w:val="single" w:sz="4" w:space="0" w:color="auto"/>
              <w:left w:val="nil"/>
              <w:bottom w:val="single" w:sz="4" w:space="0" w:color="auto"/>
              <w:right w:val="nil"/>
            </w:tcBorders>
            <w:shd w:val="clear" w:color="000000" w:fill="FFFFFF"/>
            <w:noWrap/>
            <w:vAlign w:val="bottom"/>
            <w:hideMark/>
          </w:tcPr>
          <w:p w14:paraId="553DD811" w14:textId="77777777" w:rsidR="009A4E01" w:rsidRPr="008B2C85" w:rsidRDefault="009A4E01" w:rsidP="009A4E01">
            <w:pPr>
              <w:spacing w:after="0" w:line="240" w:lineRule="auto"/>
              <w:jc w:val="left"/>
              <w:rPr>
                <w:rFonts w:eastAsia="Times New Roman" w:cs="Times New Roman"/>
                <w:color w:val="000000"/>
                <w:sz w:val="20"/>
                <w:lang w:eastAsia="sk-SK"/>
              </w:rPr>
            </w:pPr>
            <w:r w:rsidRPr="008B2C85">
              <w:rPr>
                <w:rFonts w:eastAsia="Times New Roman" w:cs="Times New Roman"/>
                <w:color w:val="000000"/>
                <w:sz w:val="20"/>
                <w:lang w:eastAsia="sk-SK"/>
              </w:rPr>
              <w:t> </w:t>
            </w:r>
          </w:p>
        </w:tc>
        <w:tc>
          <w:tcPr>
            <w:tcW w:w="841" w:type="dxa"/>
            <w:tcBorders>
              <w:top w:val="single" w:sz="4" w:space="0" w:color="auto"/>
              <w:left w:val="nil"/>
              <w:bottom w:val="single" w:sz="4" w:space="0" w:color="auto"/>
              <w:right w:val="nil"/>
            </w:tcBorders>
            <w:shd w:val="clear" w:color="000000" w:fill="FFFFFF"/>
            <w:noWrap/>
            <w:vAlign w:val="bottom"/>
            <w:hideMark/>
          </w:tcPr>
          <w:p w14:paraId="4096D699" w14:textId="4277CEDB" w:rsidR="009A4E01" w:rsidRPr="008B2C85" w:rsidRDefault="009A4E01" w:rsidP="009A4E01">
            <w:pPr>
              <w:spacing w:after="0" w:line="240" w:lineRule="auto"/>
              <w:jc w:val="center"/>
              <w:rPr>
                <w:rFonts w:eastAsia="Times New Roman" w:cs="Times New Roman"/>
                <w:b/>
                <w:bCs/>
                <w:color w:val="000000"/>
                <w:sz w:val="20"/>
                <w:lang w:eastAsia="sk-SK"/>
              </w:rPr>
            </w:pPr>
            <w:r>
              <w:rPr>
                <w:b/>
                <w:bCs/>
                <w:color w:val="000000"/>
                <w:sz w:val="20"/>
              </w:rPr>
              <w:t>9,8</w:t>
            </w:r>
          </w:p>
        </w:tc>
        <w:tc>
          <w:tcPr>
            <w:tcW w:w="842" w:type="dxa"/>
            <w:tcBorders>
              <w:top w:val="single" w:sz="4" w:space="0" w:color="auto"/>
              <w:left w:val="nil"/>
              <w:bottom w:val="single" w:sz="4" w:space="0" w:color="auto"/>
              <w:right w:val="nil"/>
            </w:tcBorders>
            <w:shd w:val="clear" w:color="000000" w:fill="FFFFFF"/>
            <w:noWrap/>
            <w:vAlign w:val="bottom"/>
            <w:hideMark/>
          </w:tcPr>
          <w:p w14:paraId="75B37DED" w14:textId="35EE8A08" w:rsidR="009A4E01" w:rsidRPr="008B2C85" w:rsidRDefault="009A4E01" w:rsidP="009A4E01">
            <w:pPr>
              <w:spacing w:after="0" w:line="240" w:lineRule="auto"/>
              <w:jc w:val="center"/>
              <w:rPr>
                <w:rFonts w:eastAsia="Times New Roman" w:cs="Times New Roman"/>
                <w:color w:val="000000"/>
                <w:sz w:val="20"/>
                <w:lang w:eastAsia="sk-SK"/>
              </w:rPr>
            </w:pPr>
            <w:r>
              <w:rPr>
                <w:b/>
                <w:bCs/>
                <w:color w:val="000000"/>
                <w:sz w:val="20"/>
              </w:rPr>
              <w:t>10,8</w:t>
            </w:r>
          </w:p>
        </w:tc>
        <w:tc>
          <w:tcPr>
            <w:tcW w:w="842" w:type="dxa"/>
            <w:tcBorders>
              <w:top w:val="single" w:sz="4" w:space="0" w:color="auto"/>
              <w:left w:val="nil"/>
              <w:bottom w:val="single" w:sz="4" w:space="0" w:color="auto"/>
              <w:right w:val="nil"/>
            </w:tcBorders>
            <w:shd w:val="clear" w:color="000000" w:fill="FFFFFF"/>
            <w:noWrap/>
            <w:vAlign w:val="bottom"/>
            <w:hideMark/>
          </w:tcPr>
          <w:p w14:paraId="01F2DED8" w14:textId="6E6EF01C" w:rsidR="009A4E01" w:rsidRPr="008B2C85" w:rsidRDefault="009A4E01" w:rsidP="009A4E01">
            <w:pPr>
              <w:spacing w:after="0" w:line="240" w:lineRule="auto"/>
              <w:jc w:val="center"/>
              <w:rPr>
                <w:rFonts w:eastAsia="Times New Roman" w:cs="Times New Roman"/>
                <w:color w:val="000000"/>
                <w:sz w:val="20"/>
                <w:lang w:eastAsia="sk-SK"/>
              </w:rPr>
            </w:pPr>
            <w:r>
              <w:rPr>
                <w:b/>
                <w:bCs/>
                <w:color w:val="000000"/>
                <w:sz w:val="20"/>
              </w:rPr>
              <w:t>11,0</w:t>
            </w:r>
          </w:p>
        </w:tc>
        <w:tc>
          <w:tcPr>
            <w:tcW w:w="842" w:type="dxa"/>
            <w:tcBorders>
              <w:top w:val="single" w:sz="4" w:space="0" w:color="auto"/>
              <w:left w:val="nil"/>
              <w:bottom w:val="single" w:sz="4" w:space="0" w:color="auto"/>
              <w:right w:val="nil"/>
            </w:tcBorders>
            <w:shd w:val="clear" w:color="000000" w:fill="FFFFFF"/>
            <w:noWrap/>
            <w:vAlign w:val="bottom"/>
            <w:hideMark/>
          </w:tcPr>
          <w:p w14:paraId="5D5BADC1" w14:textId="273C6F37" w:rsidR="009A4E01" w:rsidRPr="008B2C85" w:rsidRDefault="009A4E01" w:rsidP="009A4E01">
            <w:pPr>
              <w:spacing w:after="0" w:line="240" w:lineRule="auto"/>
              <w:jc w:val="center"/>
              <w:rPr>
                <w:rFonts w:eastAsia="Times New Roman" w:cs="Times New Roman"/>
                <w:color w:val="000000"/>
                <w:sz w:val="20"/>
                <w:lang w:eastAsia="sk-SK"/>
              </w:rPr>
            </w:pPr>
            <w:r>
              <w:rPr>
                <w:b/>
                <w:bCs/>
                <w:color w:val="000000"/>
                <w:sz w:val="20"/>
              </w:rPr>
              <w:t>11,5</w:t>
            </w:r>
          </w:p>
        </w:tc>
        <w:tc>
          <w:tcPr>
            <w:tcW w:w="842" w:type="dxa"/>
            <w:tcBorders>
              <w:top w:val="single" w:sz="4" w:space="0" w:color="auto"/>
              <w:left w:val="nil"/>
              <w:bottom w:val="single" w:sz="4" w:space="0" w:color="auto"/>
              <w:right w:val="nil"/>
            </w:tcBorders>
            <w:shd w:val="clear" w:color="000000" w:fill="FFFFFF"/>
            <w:noWrap/>
            <w:vAlign w:val="bottom"/>
            <w:hideMark/>
          </w:tcPr>
          <w:p w14:paraId="2125A22E" w14:textId="4C479E45" w:rsidR="009A4E01" w:rsidRPr="008B2C85" w:rsidRDefault="009A4E01" w:rsidP="009A4E01">
            <w:pPr>
              <w:spacing w:after="0" w:line="240" w:lineRule="auto"/>
              <w:jc w:val="center"/>
              <w:rPr>
                <w:rFonts w:eastAsia="Times New Roman" w:cs="Times New Roman"/>
                <w:color w:val="000000"/>
                <w:sz w:val="20"/>
                <w:lang w:eastAsia="sk-SK"/>
              </w:rPr>
            </w:pPr>
            <w:r>
              <w:rPr>
                <w:b/>
                <w:bCs/>
                <w:color w:val="000000"/>
                <w:sz w:val="20"/>
              </w:rPr>
              <w:t>12,3</w:t>
            </w:r>
          </w:p>
        </w:tc>
      </w:tr>
      <w:tr w:rsidR="003079C8" w:rsidRPr="008B2C85" w14:paraId="50B27E02" w14:textId="77777777" w:rsidTr="008B2C85">
        <w:trPr>
          <w:trHeight w:val="255"/>
        </w:trPr>
        <w:tc>
          <w:tcPr>
            <w:tcW w:w="3678" w:type="dxa"/>
            <w:tcBorders>
              <w:top w:val="nil"/>
              <w:left w:val="nil"/>
              <w:bottom w:val="nil"/>
              <w:right w:val="nil"/>
            </w:tcBorders>
            <w:shd w:val="clear" w:color="000000" w:fill="FFFFFF"/>
            <w:vAlign w:val="bottom"/>
            <w:hideMark/>
          </w:tcPr>
          <w:p w14:paraId="080AC00D" w14:textId="77777777" w:rsidR="003079C8" w:rsidRPr="008B2C85" w:rsidRDefault="003079C8" w:rsidP="003079C8">
            <w:pPr>
              <w:spacing w:after="0" w:line="240" w:lineRule="auto"/>
              <w:jc w:val="left"/>
              <w:rPr>
                <w:rFonts w:eastAsia="Times New Roman" w:cs="Times New Roman"/>
                <w:color w:val="000000"/>
                <w:sz w:val="20"/>
                <w:lang w:eastAsia="sk-SK"/>
              </w:rPr>
            </w:pPr>
            <w:r w:rsidRPr="008B2C85">
              <w:rPr>
                <w:rFonts w:eastAsia="Times New Roman" w:cs="Times New Roman"/>
                <w:color w:val="000000"/>
                <w:sz w:val="20"/>
                <w:lang w:eastAsia="sk-SK"/>
              </w:rPr>
              <w:t>Nocľaháreň</w:t>
            </w:r>
          </w:p>
        </w:tc>
        <w:tc>
          <w:tcPr>
            <w:tcW w:w="1185" w:type="dxa"/>
            <w:tcBorders>
              <w:top w:val="nil"/>
              <w:left w:val="nil"/>
              <w:bottom w:val="nil"/>
              <w:right w:val="nil"/>
            </w:tcBorders>
            <w:shd w:val="clear" w:color="000000" w:fill="FFFFFF"/>
            <w:noWrap/>
            <w:vAlign w:val="bottom"/>
            <w:hideMark/>
          </w:tcPr>
          <w:p w14:paraId="1F766B85" w14:textId="77777777" w:rsidR="003079C8" w:rsidRPr="008B2C85" w:rsidRDefault="003079C8" w:rsidP="003079C8">
            <w:pPr>
              <w:spacing w:after="0" w:line="240" w:lineRule="auto"/>
              <w:jc w:val="left"/>
              <w:rPr>
                <w:rFonts w:eastAsia="Times New Roman" w:cs="Times New Roman"/>
                <w:color w:val="000000"/>
                <w:sz w:val="20"/>
                <w:lang w:eastAsia="sk-SK"/>
              </w:rPr>
            </w:pPr>
            <w:r w:rsidRPr="008B2C85">
              <w:rPr>
                <w:rFonts w:eastAsia="Times New Roman" w:cs="Times New Roman"/>
                <w:color w:val="000000"/>
                <w:sz w:val="20"/>
                <w:lang w:eastAsia="sk-SK"/>
              </w:rPr>
              <w:t> </w:t>
            </w:r>
          </w:p>
        </w:tc>
        <w:tc>
          <w:tcPr>
            <w:tcW w:w="841" w:type="dxa"/>
            <w:tcBorders>
              <w:top w:val="nil"/>
              <w:left w:val="nil"/>
              <w:bottom w:val="nil"/>
              <w:right w:val="nil"/>
            </w:tcBorders>
            <w:shd w:val="clear" w:color="000000" w:fill="FFFFFF"/>
            <w:noWrap/>
            <w:vAlign w:val="bottom"/>
            <w:hideMark/>
          </w:tcPr>
          <w:p w14:paraId="1D079B05" w14:textId="7A994D4F" w:rsidR="003079C8" w:rsidRPr="008B2C85" w:rsidRDefault="003079C8" w:rsidP="003079C8">
            <w:pPr>
              <w:spacing w:after="0" w:line="240" w:lineRule="auto"/>
              <w:jc w:val="center"/>
              <w:rPr>
                <w:rFonts w:eastAsia="Times New Roman" w:cs="Times New Roman"/>
                <w:color w:val="000000"/>
                <w:sz w:val="20"/>
                <w:lang w:eastAsia="sk-SK"/>
              </w:rPr>
            </w:pPr>
            <w:r>
              <w:rPr>
                <w:color w:val="000000"/>
                <w:sz w:val="20"/>
              </w:rPr>
              <w:t>2,1</w:t>
            </w:r>
          </w:p>
        </w:tc>
        <w:tc>
          <w:tcPr>
            <w:tcW w:w="842" w:type="dxa"/>
            <w:tcBorders>
              <w:top w:val="nil"/>
              <w:left w:val="nil"/>
              <w:bottom w:val="nil"/>
              <w:right w:val="nil"/>
            </w:tcBorders>
            <w:shd w:val="clear" w:color="000000" w:fill="FFFFFF"/>
            <w:noWrap/>
            <w:vAlign w:val="bottom"/>
            <w:hideMark/>
          </w:tcPr>
          <w:p w14:paraId="47D2D027" w14:textId="6637BA78" w:rsidR="003079C8" w:rsidRPr="008B2C85" w:rsidRDefault="003079C8" w:rsidP="003079C8">
            <w:pPr>
              <w:spacing w:after="0" w:line="240" w:lineRule="auto"/>
              <w:jc w:val="center"/>
              <w:rPr>
                <w:rFonts w:eastAsia="Times New Roman" w:cs="Times New Roman"/>
                <w:color w:val="000000"/>
                <w:sz w:val="20"/>
                <w:lang w:eastAsia="sk-SK"/>
              </w:rPr>
            </w:pPr>
            <w:r>
              <w:rPr>
                <w:color w:val="000000"/>
                <w:sz w:val="20"/>
              </w:rPr>
              <w:t>2,4</w:t>
            </w:r>
          </w:p>
        </w:tc>
        <w:tc>
          <w:tcPr>
            <w:tcW w:w="842" w:type="dxa"/>
            <w:tcBorders>
              <w:top w:val="nil"/>
              <w:left w:val="nil"/>
              <w:bottom w:val="nil"/>
              <w:right w:val="nil"/>
            </w:tcBorders>
            <w:shd w:val="clear" w:color="000000" w:fill="FFFFFF"/>
            <w:noWrap/>
            <w:vAlign w:val="bottom"/>
            <w:hideMark/>
          </w:tcPr>
          <w:p w14:paraId="7D8850FD" w14:textId="02F987A8" w:rsidR="003079C8" w:rsidRPr="008B2C85" w:rsidRDefault="003079C8" w:rsidP="003079C8">
            <w:pPr>
              <w:spacing w:after="0" w:line="240" w:lineRule="auto"/>
              <w:jc w:val="center"/>
              <w:rPr>
                <w:rFonts w:eastAsia="Times New Roman" w:cs="Times New Roman"/>
                <w:color w:val="000000"/>
                <w:sz w:val="20"/>
                <w:lang w:eastAsia="sk-SK"/>
              </w:rPr>
            </w:pPr>
            <w:r>
              <w:rPr>
                <w:color w:val="000000"/>
                <w:sz w:val="20"/>
              </w:rPr>
              <w:t>2,4</w:t>
            </w:r>
          </w:p>
        </w:tc>
        <w:tc>
          <w:tcPr>
            <w:tcW w:w="842" w:type="dxa"/>
            <w:tcBorders>
              <w:top w:val="nil"/>
              <w:left w:val="nil"/>
              <w:bottom w:val="nil"/>
              <w:right w:val="nil"/>
            </w:tcBorders>
            <w:shd w:val="clear" w:color="000000" w:fill="FFFFFF"/>
            <w:noWrap/>
            <w:vAlign w:val="bottom"/>
            <w:hideMark/>
          </w:tcPr>
          <w:p w14:paraId="7197FE88" w14:textId="39D5E763" w:rsidR="003079C8" w:rsidRPr="008B2C85" w:rsidRDefault="003079C8" w:rsidP="003079C8">
            <w:pPr>
              <w:spacing w:after="0" w:line="240" w:lineRule="auto"/>
              <w:jc w:val="center"/>
              <w:rPr>
                <w:rFonts w:eastAsia="Times New Roman" w:cs="Times New Roman"/>
                <w:color w:val="000000"/>
                <w:sz w:val="20"/>
                <w:lang w:eastAsia="sk-SK"/>
              </w:rPr>
            </w:pPr>
            <w:r>
              <w:rPr>
                <w:color w:val="000000"/>
                <w:sz w:val="20"/>
              </w:rPr>
              <w:t>2,5</w:t>
            </w:r>
          </w:p>
        </w:tc>
        <w:tc>
          <w:tcPr>
            <w:tcW w:w="842" w:type="dxa"/>
            <w:tcBorders>
              <w:top w:val="nil"/>
              <w:left w:val="nil"/>
              <w:bottom w:val="nil"/>
              <w:right w:val="nil"/>
            </w:tcBorders>
            <w:shd w:val="clear" w:color="000000" w:fill="FFFFFF"/>
            <w:noWrap/>
            <w:vAlign w:val="bottom"/>
            <w:hideMark/>
          </w:tcPr>
          <w:p w14:paraId="6F0C94B9" w14:textId="5E1A9303" w:rsidR="003079C8" w:rsidRPr="008B2C85" w:rsidRDefault="003079C8" w:rsidP="003079C8">
            <w:pPr>
              <w:spacing w:after="0" w:line="240" w:lineRule="auto"/>
              <w:jc w:val="center"/>
              <w:rPr>
                <w:rFonts w:eastAsia="Times New Roman" w:cs="Times New Roman"/>
                <w:color w:val="000000"/>
                <w:sz w:val="20"/>
                <w:lang w:eastAsia="sk-SK"/>
              </w:rPr>
            </w:pPr>
            <w:r>
              <w:rPr>
                <w:color w:val="000000"/>
                <w:sz w:val="20"/>
              </w:rPr>
              <w:t>2,7</w:t>
            </w:r>
          </w:p>
        </w:tc>
      </w:tr>
      <w:tr w:rsidR="003079C8" w:rsidRPr="008B2C85" w14:paraId="269416C4" w14:textId="77777777" w:rsidTr="008B2C85">
        <w:trPr>
          <w:trHeight w:val="255"/>
        </w:trPr>
        <w:tc>
          <w:tcPr>
            <w:tcW w:w="3678" w:type="dxa"/>
            <w:tcBorders>
              <w:top w:val="nil"/>
              <w:left w:val="nil"/>
              <w:bottom w:val="nil"/>
              <w:right w:val="nil"/>
            </w:tcBorders>
            <w:shd w:val="clear" w:color="000000" w:fill="FFFFFF"/>
            <w:noWrap/>
            <w:vAlign w:val="bottom"/>
            <w:hideMark/>
          </w:tcPr>
          <w:p w14:paraId="6A98F5DB" w14:textId="205896A0" w:rsidR="003079C8" w:rsidRPr="008B2C85" w:rsidRDefault="003079C8" w:rsidP="003079C8">
            <w:pPr>
              <w:spacing w:after="0" w:line="240" w:lineRule="auto"/>
              <w:ind w:left="214"/>
              <w:jc w:val="left"/>
              <w:rPr>
                <w:rFonts w:eastAsia="Times New Roman" w:cs="Times New Roman"/>
                <w:color w:val="000000"/>
                <w:sz w:val="20"/>
                <w:lang w:eastAsia="sk-SK"/>
              </w:rPr>
            </w:pPr>
            <w:r w:rsidRPr="008B2C85">
              <w:rPr>
                <w:rFonts w:eastAsia="Times New Roman" w:cs="Times New Roman"/>
                <w:color w:val="000000"/>
                <w:sz w:val="20"/>
                <w:lang w:eastAsia="sk-SK"/>
              </w:rPr>
              <w:t>z toho financované obcami a VÚC</w:t>
            </w:r>
          </w:p>
        </w:tc>
        <w:tc>
          <w:tcPr>
            <w:tcW w:w="1185" w:type="dxa"/>
            <w:tcBorders>
              <w:top w:val="nil"/>
              <w:left w:val="nil"/>
              <w:bottom w:val="nil"/>
              <w:right w:val="nil"/>
            </w:tcBorders>
            <w:shd w:val="clear" w:color="000000" w:fill="FFFFFF"/>
            <w:noWrap/>
            <w:vAlign w:val="bottom"/>
            <w:hideMark/>
          </w:tcPr>
          <w:p w14:paraId="091CB851" w14:textId="77777777" w:rsidR="003079C8" w:rsidRPr="008B2C85" w:rsidRDefault="003079C8" w:rsidP="003079C8">
            <w:pPr>
              <w:spacing w:after="0" w:line="240" w:lineRule="auto"/>
              <w:jc w:val="center"/>
              <w:rPr>
                <w:rFonts w:eastAsia="Times New Roman" w:cs="Times New Roman"/>
                <w:color w:val="000000"/>
                <w:sz w:val="20"/>
                <w:lang w:eastAsia="sk-SK"/>
              </w:rPr>
            </w:pPr>
            <w:r w:rsidRPr="008B2C85">
              <w:rPr>
                <w:rFonts w:eastAsia="Times New Roman" w:cs="Times New Roman"/>
                <w:color w:val="000000"/>
                <w:sz w:val="20"/>
                <w:lang w:eastAsia="sk-SK"/>
              </w:rPr>
              <w:t>samosprávy</w:t>
            </w:r>
          </w:p>
        </w:tc>
        <w:tc>
          <w:tcPr>
            <w:tcW w:w="841" w:type="dxa"/>
            <w:tcBorders>
              <w:top w:val="nil"/>
              <w:left w:val="nil"/>
              <w:bottom w:val="nil"/>
              <w:right w:val="nil"/>
            </w:tcBorders>
            <w:shd w:val="clear" w:color="000000" w:fill="FFFFFF"/>
            <w:noWrap/>
            <w:vAlign w:val="bottom"/>
            <w:hideMark/>
          </w:tcPr>
          <w:p w14:paraId="2DD7A22A" w14:textId="3C86C6F6" w:rsidR="003079C8" w:rsidRPr="00773905" w:rsidRDefault="003079C8" w:rsidP="003079C8">
            <w:pPr>
              <w:spacing w:after="0" w:line="240" w:lineRule="auto"/>
              <w:jc w:val="center"/>
              <w:rPr>
                <w:rFonts w:eastAsia="Times New Roman" w:cs="Times New Roman"/>
                <w:color w:val="BFBFBF" w:themeColor="background1" w:themeShade="BF"/>
                <w:sz w:val="20"/>
                <w:lang w:eastAsia="sk-SK"/>
              </w:rPr>
            </w:pPr>
            <w:r>
              <w:rPr>
                <w:color w:val="000000"/>
                <w:sz w:val="20"/>
              </w:rPr>
              <w:t>0,6</w:t>
            </w:r>
          </w:p>
        </w:tc>
        <w:tc>
          <w:tcPr>
            <w:tcW w:w="842" w:type="dxa"/>
            <w:tcBorders>
              <w:top w:val="nil"/>
              <w:left w:val="nil"/>
              <w:bottom w:val="nil"/>
              <w:right w:val="nil"/>
            </w:tcBorders>
            <w:shd w:val="clear" w:color="auto" w:fill="auto"/>
            <w:noWrap/>
            <w:vAlign w:val="bottom"/>
            <w:hideMark/>
          </w:tcPr>
          <w:p w14:paraId="4474FB93" w14:textId="198BA249" w:rsidR="003079C8" w:rsidRPr="009A4E01" w:rsidRDefault="003079C8" w:rsidP="003079C8">
            <w:pPr>
              <w:spacing w:after="0" w:line="240" w:lineRule="auto"/>
              <w:jc w:val="center"/>
              <w:rPr>
                <w:rFonts w:eastAsia="Times New Roman" w:cs="Times New Roman"/>
                <w:color w:val="BFBFBF" w:themeColor="background1" w:themeShade="BF"/>
                <w:sz w:val="20"/>
                <w:lang w:eastAsia="sk-SK"/>
              </w:rPr>
            </w:pPr>
            <w:r>
              <w:rPr>
                <w:color w:val="000000"/>
                <w:sz w:val="20"/>
              </w:rPr>
              <w:t>0,7</w:t>
            </w:r>
          </w:p>
        </w:tc>
        <w:tc>
          <w:tcPr>
            <w:tcW w:w="842" w:type="dxa"/>
            <w:tcBorders>
              <w:top w:val="nil"/>
              <w:left w:val="nil"/>
              <w:bottom w:val="nil"/>
              <w:right w:val="nil"/>
            </w:tcBorders>
            <w:shd w:val="clear" w:color="000000" w:fill="FFFFFF"/>
            <w:noWrap/>
            <w:vAlign w:val="bottom"/>
            <w:hideMark/>
          </w:tcPr>
          <w:p w14:paraId="56E419D5" w14:textId="1CDD98F9" w:rsidR="003079C8" w:rsidRPr="009A4E01" w:rsidRDefault="003079C8" w:rsidP="003079C8">
            <w:pPr>
              <w:spacing w:after="0" w:line="240" w:lineRule="auto"/>
              <w:jc w:val="center"/>
              <w:rPr>
                <w:rFonts w:eastAsia="Times New Roman" w:cs="Times New Roman"/>
                <w:color w:val="BFBFBF" w:themeColor="background1" w:themeShade="BF"/>
                <w:sz w:val="20"/>
                <w:lang w:eastAsia="sk-SK"/>
              </w:rPr>
            </w:pPr>
            <w:r>
              <w:rPr>
                <w:color w:val="000000"/>
                <w:sz w:val="20"/>
              </w:rPr>
              <w:t>0,7</w:t>
            </w:r>
          </w:p>
        </w:tc>
        <w:tc>
          <w:tcPr>
            <w:tcW w:w="842" w:type="dxa"/>
            <w:tcBorders>
              <w:top w:val="nil"/>
              <w:left w:val="nil"/>
              <w:bottom w:val="nil"/>
              <w:right w:val="nil"/>
            </w:tcBorders>
            <w:shd w:val="clear" w:color="000000" w:fill="FFFFFF"/>
            <w:noWrap/>
            <w:vAlign w:val="bottom"/>
            <w:hideMark/>
          </w:tcPr>
          <w:p w14:paraId="07BFDBA5" w14:textId="7C4242BF" w:rsidR="003079C8" w:rsidRPr="009A4E01" w:rsidRDefault="003079C8" w:rsidP="003079C8">
            <w:pPr>
              <w:spacing w:after="0" w:line="240" w:lineRule="auto"/>
              <w:jc w:val="center"/>
              <w:rPr>
                <w:rFonts w:eastAsia="Times New Roman" w:cs="Times New Roman"/>
                <w:color w:val="BFBFBF" w:themeColor="background1" w:themeShade="BF"/>
                <w:sz w:val="20"/>
                <w:lang w:eastAsia="sk-SK"/>
              </w:rPr>
            </w:pPr>
            <w:r>
              <w:rPr>
                <w:color w:val="000000"/>
                <w:sz w:val="20"/>
              </w:rPr>
              <w:t>0,7</w:t>
            </w:r>
          </w:p>
        </w:tc>
        <w:tc>
          <w:tcPr>
            <w:tcW w:w="842" w:type="dxa"/>
            <w:tcBorders>
              <w:top w:val="nil"/>
              <w:left w:val="nil"/>
              <w:bottom w:val="nil"/>
              <w:right w:val="nil"/>
            </w:tcBorders>
            <w:shd w:val="clear" w:color="000000" w:fill="FFFFFF"/>
            <w:noWrap/>
            <w:vAlign w:val="bottom"/>
            <w:hideMark/>
          </w:tcPr>
          <w:p w14:paraId="665A058E" w14:textId="1507A5BB" w:rsidR="003079C8" w:rsidRPr="009A4E01" w:rsidRDefault="003079C8" w:rsidP="003079C8">
            <w:pPr>
              <w:spacing w:after="0" w:line="240" w:lineRule="auto"/>
              <w:jc w:val="center"/>
              <w:rPr>
                <w:rFonts w:eastAsia="Times New Roman" w:cs="Times New Roman"/>
                <w:color w:val="BFBFBF" w:themeColor="background1" w:themeShade="BF"/>
                <w:sz w:val="20"/>
                <w:lang w:eastAsia="sk-SK"/>
              </w:rPr>
            </w:pPr>
            <w:r>
              <w:rPr>
                <w:color w:val="000000"/>
                <w:sz w:val="20"/>
              </w:rPr>
              <w:t>0,8</w:t>
            </w:r>
          </w:p>
        </w:tc>
      </w:tr>
      <w:tr w:rsidR="003079C8" w:rsidRPr="008B2C85" w14:paraId="16CCF8D1" w14:textId="77777777" w:rsidTr="008B2C85">
        <w:trPr>
          <w:trHeight w:val="255"/>
        </w:trPr>
        <w:tc>
          <w:tcPr>
            <w:tcW w:w="3678" w:type="dxa"/>
            <w:tcBorders>
              <w:top w:val="nil"/>
              <w:left w:val="nil"/>
              <w:bottom w:val="nil"/>
              <w:right w:val="nil"/>
            </w:tcBorders>
            <w:shd w:val="clear" w:color="000000" w:fill="FFFFFF"/>
            <w:noWrap/>
            <w:vAlign w:val="bottom"/>
            <w:hideMark/>
          </w:tcPr>
          <w:p w14:paraId="1A3A328D" w14:textId="23D08B21" w:rsidR="003079C8" w:rsidRPr="008B2C85" w:rsidRDefault="003079C8" w:rsidP="003079C8">
            <w:pPr>
              <w:spacing w:after="0" w:line="240" w:lineRule="auto"/>
              <w:ind w:left="214"/>
              <w:jc w:val="left"/>
              <w:rPr>
                <w:rFonts w:eastAsia="Times New Roman" w:cs="Times New Roman"/>
                <w:color w:val="000000"/>
                <w:sz w:val="20"/>
                <w:lang w:eastAsia="sk-SK"/>
              </w:rPr>
            </w:pPr>
            <w:r w:rsidRPr="008B2C85">
              <w:rPr>
                <w:rFonts w:eastAsia="Times New Roman" w:cs="Times New Roman"/>
                <w:color w:val="000000"/>
                <w:sz w:val="20"/>
                <w:lang w:eastAsia="sk-SK"/>
              </w:rPr>
              <w:t>z toho spolufinancovanie zo š</w:t>
            </w:r>
            <w:r>
              <w:rPr>
                <w:rFonts w:eastAsia="Times New Roman" w:cs="Times New Roman"/>
                <w:color w:val="000000"/>
                <w:sz w:val="20"/>
                <w:lang w:eastAsia="sk-SK"/>
              </w:rPr>
              <w:t>. r.</w:t>
            </w:r>
          </w:p>
        </w:tc>
        <w:tc>
          <w:tcPr>
            <w:tcW w:w="1185" w:type="dxa"/>
            <w:tcBorders>
              <w:top w:val="nil"/>
              <w:left w:val="nil"/>
              <w:bottom w:val="nil"/>
              <w:right w:val="nil"/>
            </w:tcBorders>
            <w:shd w:val="clear" w:color="000000" w:fill="FFFFFF"/>
            <w:noWrap/>
            <w:vAlign w:val="bottom"/>
            <w:hideMark/>
          </w:tcPr>
          <w:p w14:paraId="45B1FA6D" w14:textId="77777777" w:rsidR="003079C8" w:rsidRPr="008B2C85" w:rsidRDefault="003079C8" w:rsidP="003079C8">
            <w:pPr>
              <w:spacing w:after="0" w:line="240" w:lineRule="auto"/>
              <w:jc w:val="center"/>
              <w:rPr>
                <w:rFonts w:eastAsia="Times New Roman" w:cs="Times New Roman"/>
                <w:color w:val="000000"/>
                <w:sz w:val="20"/>
                <w:lang w:eastAsia="sk-SK"/>
              </w:rPr>
            </w:pPr>
            <w:r w:rsidRPr="008B2C85">
              <w:rPr>
                <w:rFonts w:eastAsia="Times New Roman" w:cs="Times New Roman"/>
                <w:color w:val="000000"/>
                <w:sz w:val="20"/>
                <w:lang w:eastAsia="sk-SK"/>
              </w:rPr>
              <w:t>MPSVR</w:t>
            </w:r>
          </w:p>
        </w:tc>
        <w:tc>
          <w:tcPr>
            <w:tcW w:w="841" w:type="dxa"/>
            <w:tcBorders>
              <w:top w:val="nil"/>
              <w:left w:val="nil"/>
              <w:bottom w:val="nil"/>
              <w:right w:val="nil"/>
            </w:tcBorders>
            <w:shd w:val="clear" w:color="000000" w:fill="FFFFFF"/>
            <w:noWrap/>
            <w:vAlign w:val="bottom"/>
            <w:hideMark/>
          </w:tcPr>
          <w:p w14:paraId="57E11212" w14:textId="616DB2A6" w:rsidR="003079C8" w:rsidRPr="00773905" w:rsidRDefault="003079C8" w:rsidP="003079C8">
            <w:pPr>
              <w:spacing w:after="0" w:line="240" w:lineRule="auto"/>
              <w:jc w:val="center"/>
              <w:rPr>
                <w:rFonts w:eastAsia="Times New Roman" w:cs="Times New Roman"/>
                <w:color w:val="BFBFBF" w:themeColor="background1" w:themeShade="BF"/>
                <w:sz w:val="20"/>
                <w:lang w:eastAsia="sk-SK"/>
              </w:rPr>
            </w:pPr>
            <w:r>
              <w:rPr>
                <w:color w:val="000000"/>
                <w:sz w:val="20"/>
              </w:rPr>
              <w:t>1,5</w:t>
            </w:r>
          </w:p>
        </w:tc>
        <w:tc>
          <w:tcPr>
            <w:tcW w:w="842" w:type="dxa"/>
            <w:tcBorders>
              <w:top w:val="nil"/>
              <w:left w:val="nil"/>
              <w:bottom w:val="nil"/>
              <w:right w:val="nil"/>
            </w:tcBorders>
            <w:shd w:val="clear" w:color="000000" w:fill="FFFFFF"/>
            <w:noWrap/>
            <w:vAlign w:val="bottom"/>
            <w:hideMark/>
          </w:tcPr>
          <w:p w14:paraId="707F1AA5" w14:textId="486B8197" w:rsidR="003079C8" w:rsidRPr="009A4E01" w:rsidRDefault="003079C8" w:rsidP="003079C8">
            <w:pPr>
              <w:spacing w:after="0" w:line="240" w:lineRule="auto"/>
              <w:jc w:val="center"/>
              <w:rPr>
                <w:rFonts w:eastAsia="Times New Roman" w:cs="Times New Roman"/>
                <w:color w:val="BFBFBF" w:themeColor="background1" w:themeShade="BF"/>
                <w:sz w:val="20"/>
                <w:lang w:eastAsia="sk-SK"/>
              </w:rPr>
            </w:pPr>
            <w:r>
              <w:rPr>
                <w:color w:val="000000"/>
                <w:sz w:val="20"/>
              </w:rPr>
              <w:t>1,7</w:t>
            </w:r>
          </w:p>
        </w:tc>
        <w:tc>
          <w:tcPr>
            <w:tcW w:w="842" w:type="dxa"/>
            <w:tcBorders>
              <w:top w:val="nil"/>
              <w:left w:val="nil"/>
              <w:bottom w:val="nil"/>
              <w:right w:val="nil"/>
            </w:tcBorders>
            <w:shd w:val="clear" w:color="000000" w:fill="FFFFFF"/>
            <w:noWrap/>
            <w:vAlign w:val="bottom"/>
            <w:hideMark/>
          </w:tcPr>
          <w:p w14:paraId="572E318A" w14:textId="5F575E49" w:rsidR="003079C8" w:rsidRPr="009A4E01" w:rsidRDefault="003079C8" w:rsidP="003079C8">
            <w:pPr>
              <w:spacing w:after="0" w:line="240" w:lineRule="auto"/>
              <w:jc w:val="center"/>
              <w:rPr>
                <w:rFonts w:eastAsia="Times New Roman" w:cs="Times New Roman"/>
                <w:color w:val="BFBFBF" w:themeColor="background1" w:themeShade="BF"/>
                <w:sz w:val="20"/>
                <w:lang w:eastAsia="sk-SK"/>
              </w:rPr>
            </w:pPr>
            <w:r>
              <w:rPr>
                <w:color w:val="000000"/>
                <w:sz w:val="20"/>
              </w:rPr>
              <w:t>1,7</w:t>
            </w:r>
          </w:p>
        </w:tc>
        <w:tc>
          <w:tcPr>
            <w:tcW w:w="842" w:type="dxa"/>
            <w:tcBorders>
              <w:top w:val="nil"/>
              <w:left w:val="nil"/>
              <w:bottom w:val="nil"/>
              <w:right w:val="nil"/>
            </w:tcBorders>
            <w:shd w:val="clear" w:color="000000" w:fill="FFFFFF"/>
            <w:noWrap/>
            <w:vAlign w:val="bottom"/>
            <w:hideMark/>
          </w:tcPr>
          <w:p w14:paraId="222F4FE1" w14:textId="35C90DF5" w:rsidR="003079C8" w:rsidRPr="009A4E01" w:rsidRDefault="003079C8" w:rsidP="003079C8">
            <w:pPr>
              <w:spacing w:after="0" w:line="240" w:lineRule="auto"/>
              <w:jc w:val="center"/>
              <w:rPr>
                <w:rFonts w:eastAsia="Times New Roman" w:cs="Times New Roman"/>
                <w:color w:val="BFBFBF" w:themeColor="background1" w:themeShade="BF"/>
                <w:sz w:val="20"/>
                <w:lang w:eastAsia="sk-SK"/>
              </w:rPr>
            </w:pPr>
            <w:r>
              <w:rPr>
                <w:color w:val="000000"/>
                <w:sz w:val="20"/>
              </w:rPr>
              <w:t>1,8</w:t>
            </w:r>
          </w:p>
        </w:tc>
        <w:tc>
          <w:tcPr>
            <w:tcW w:w="842" w:type="dxa"/>
            <w:tcBorders>
              <w:top w:val="nil"/>
              <w:left w:val="nil"/>
              <w:bottom w:val="nil"/>
              <w:right w:val="nil"/>
            </w:tcBorders>
            <w:shd w:val="clear" w:color="000000" w:fill="FFFFFF"/>
            <w:noWrap/>
            <w:vAlign w:val="bottom"/>
            <w:hideMark/>
          </w:tcPr>
          <w:p w14:paraId="0C182EED" w14:textId="7D293802" w:rsidR="003079C8" w:rsidRPr="009A4E01" w:rsidRDefault="003079C8" w:rsidP="003079C8">
            <w:pPr>
              <w:spacing w:after="0" w:line="240" w:lineRule="auto"/>
              <w:jc w:val="center"/>
              <w:rPr>
                <w:rFonts w:eastAsia="Times New Roman" w:cs="Times New Roman"/>
                <w:color w:val="BFBFBF" w:themeColor="background1" w:themeShade="BF"/>
                <w:sz w:val="20"/>
                <w:lang w:eastAsia="sk-SK"/>
              </w:rPr>
            </w:pPr>
            <w:r>
              <w:rPr>
                <w:color w:val="000000"/>
                <w:sz w:val="20"/>
              </w:rPr>
              <w:t>1,9</w:t>
            </w:r>
          </w:p>
        </w:tc>
      </w:tr>
      <w:tr w:rsidR="003079C8" w:rsidRPr="008B2C85" w14:paraId="58E9DB8C" w14:textId="77777777" w:rsidTr="008B2C85">
        <w:trPr>
          <w:trHeight w:val="255"/>
        </w:trPr>
        <w:tc>
          <w:tcPr>
            <w:tcW w:w="3678" w:type="dxa"/>
            <w:tcBorders>
              <w:top w:val="nil"/>
              <w:left w:val="nil"/>
              <w:bottom w:val="nil"/>
              <w:right w:val="nil"/>
            </w:tcBorders>
            <w:shd w:val="clear" w:color="000000" w:fill="FFFFFF"/>
            <w:vAlign w:val="bottom"/>
            <w:hideMark/>
          </w:tcPr>
          <w:p w14:paraId="50721EAD" w14:textId="77777777" w:rsidR="003079C8" w:rsidRPr="008B2C85" w:rsidRDefault="003079C8" w:rsidP="003079C8">
            <w:pPr>
              <w:spacing w:after="0" w:line="240" w:lineRule="auto"/>
              <w:jc w:val="left"/>
              <w:rPr>
                <w:rFonts w:eastAsia="Times New Roman" w:cs="Times New Roman"/>
                <w:color w:val="000000"/>
                <w:sz w:val="20"/>
                <w:lang w:eastAsia="sk-SK"/>
              </w:rPr>
            </w:pPr>
            <w:r w:rsidRPr="008B2C85">
              <w:rPr>
                <w:rFonts w:eastAsia="Times New Roman" w:cs="Times New Roman"/>
                <w:color w:val="000000"/>
                <w:sz w:val="20"/>
                <w:lang w:eastAsia="sk-SK"/>
              </w:rPr>
              <w:t>Útulok</w:t>
            </w:r>
          </w:p>
        </w:tc>
        <w:tc>
          <w:tcPr>
            <w:tcW w:w="1185" w:type="dxa"/>
            <w:tcBorders>
              <w:top w:val="nil"/>
              <w:left w:val="nil"/>
              <w:bottom w:val="nil"/>
              <w:right w:val="nil"/>
            </w:tcBorders>
            <w:shd w:val="clear" w:color="000000" w:fill="FFFFFF"/>
            <w:noWrap/>
            <w:vAlign w:val="bottom"/>
            <w:hideMark/>
          </w:tcPr>
          <w:p w14:paraId="450FA7E4" w14:textId="77777777" w:rsidR="003079C8" w:rsidRPr="008B2C85" w:rsidRDefault="003079C8" w:rsidP="003079C8">
            <w:pPr>
              <w:spacing w:after="0" w:line="240" w:lineRule="auto"/>
              <w:jc w:val="center"/>
              <w:rPr>
                <w:rFonts w:eastAsia="Times New Roman" w:cs="Times New Roman"/>
                <w:color w:val="000000"/>
                <w:sz w:val="20"/>
                <w:lang w:eastAsia="sk-SK"/>
              </w:rPr>
            </w:pPr>
            <w:r w:rsidRPr="008B2C85">
              <w:rPr>
                <w:rFonts w:eastAsia="Times New Roman" w:cs="Times New Roman"/>
                <w:color w:val="000000"/>
                <w:sz w:val="20"/>
                <w:lang w:eastAsia="sk-SK"/>
              </w:rPr>
              <w:t> </w:t>
            </w:r>
          </w:p>
        </w:tc>
        <w:tc>
          <w:tcPr>
            <w:tcW w:w="841" w:type="dxa"/>
            <w:tcBorders>
              <w:top w:val="nil"/>
              <w:left w:val="nil"/>
              <w:bottom w:val="nil"/>
              <w:right w:val="nil"/>
            </w:tcBorders>
            <w:shd w:val="clear" w:color="000000" w:fill="FFFFFF"/>
            <w:noWrap/>
            <w:vAlign w:val="bottom"/>
            <w:hideMark/>
          </w:tcPr>
          <w:p w14:paraId="04A8B5E4" w14:textId="315693EC" w:rsidR="003079C8" w:rsidRPr="008B2C85" w:rsidRDefault="003079C8" w:rsidP="003079C8">
            <w:pPr>
              <w:spacing w:after="0" w:line="240" w:lineRule="auto"/>
              <w:jc w:val="center"/>
              <w:rPr>
                <w:rFonts w:eastAsia="Times New Roman" w:cs="Times New Roman"/>
                <w:color w:val="000000"/>
                <w:sz w:val="20"/>
                <w:lang w:eastAsia="sk-SK"/>
              </w:rPr>
            </w:pPr>
            <w:r>
              <w:rPr>
                <w:color w:val="000000"/>
                <w:sz w:val="20"/>
              </w:rPr>
              <w:t>5,2</w:t>
            </w:r>
          </w:p>
        </w:tc>
        <w:tc>
          <w:tcPr>
            <w:tcW w:w="842" w:type="dxa"/>
            <w:tcBorders>
              <w:top w:val="nil"/>
              <w:left w:val="nil"/>
              <w:bottom w:val="nil"/>
              <w:right w:val="nil"/>
            </w:tcBorders>
            <w:shd w:val="clear" w:color="000000" w:fill="FFFFFF"/>
            <w:noWrap/>
            <w:vAlign w:val="bottom"/>
            <w:hideMark/>
          </w:tcPr>
          <w:p w14:paraId="57569A0F" w14:textId="61758D7D" w:rsidR="003079C8" w:rsidRPr="008B2C85" w:rsidRDefault="003079C8" w:rsidP="003079C8">
            <w:pPr>
              <w:spacing w:after="0" w:line="240" w:lineRule="auto"/>
              <w:jc w:val="center"/>
              <w:rPr>
                <w:rFonts w:eastAsia="Times New Roman" w:cs="Times New Roman"/>
                <w:color w:val="000000"/>
                <w:sz w:val="20"/>
                <w:lang w:eastAsia="sk-SK"/>
              </w:rPr>
            </w:pPr>
            <w:r>
              <w:rPr>
                <w:color w:val="000000"/>
                <w:sz w:val="20"/>
              </w:rPr>
              <w:t>5,7</w:t>
            </w:r>
          </w:p>
        </w:tc>
        <w:tc>
          <w:tcPr>
            <w:tcW w:w="842" w:type="dxa"/>
            <w:tcBorders>
              <w:top w:val="nil"/>
              <w:left w:val="nil"/>
              <w:bottom w:val="nil"/>
              <w:right w:val="nil"/>
            </w:tcBorders>
            <w:shd w:val="clear" w:color="000000" w:fill="FFFFFF"/>
            <w:noWrap/>
            <w:vAlign w:val="bottom"/>
            <w:hideMark/>
          </w:tcPr>
          <w:p w14:paraId="30610E10" w14:textId="75C1DC8F" w:rsidR="003079C8" w:rsidRPr="008B2C85" w:rsidRDefault="003079C8" w:rsidP="003079C8">
            <w:pPr>
              <w:spacing w:after="0" w:line="240" w:lineRule="auto"/>
              <w:jc w:val="center"/>
              <w:rPr>
                <w:rFonts w:eastAsia="Times New Roman" w:cs="Times New Roman"/>
                <w:color w:val="000000"/>
                <w:sz w:val="20"/>
                <w:lang w:eastAsia="sk-SK"/>
              </w:rPr>
            </w:pPr>
            <w:r>
              <w:rPr>
                <w:color w:val="000000"/>
                <w:sz w:val="20"/>
              </w:rPr>
              <w:t>5,8</w:t>
            </w:r>
          </w:p>
        </w:tc>
        <w:tc>
          <w:tcPr>
            <w:tcW w:w="842" w:type="dxa"/>
            <w:tcBorders>
              <w:top w:val="nil"/>
              <w:left w:val="nil"/>
              <w:bottom w:val="nil"/>
              <w:right w:val="nil"/>
            </w:tcBorders>
            <w:shd w:val="clear" w:color="000000" w:fill="FFFFFF"/>
            <w:noWrap/>
            <w:vAlign w:val="bottom"/>
            <w:hideMark/>
          </w:tcPr>
          <w:p w14:paraId="166542C6" w14:textId="29374639" w:rsidR="003079C8" w:rsidRPr="008B2C85" w:rsidRDefault="003079C8" w:rsidP="003079C8">
            <w:pPr>
              <w:spacing w:after="0" w:line="240" w:lineRule="auto"/>
              <w:jc w:val="center"/>
              <w:rPr>
                <w:rFonts w:eastAsia="Times New Roman" w:cs="Times New Roman"/>
                <w:color w:val="000000"/>
                <w:sz w:val="20"/>
                <w:lang w:eastAsia="sk-SK"/>
              </w:rPr>
            </w:pPr>
            <w:r>
              <w:rPr>
                <w:color w:val="000000"/>
                <w:sz w:val="20"/>
              </w:rPr>
              <w:t>6,1</w:t>
            </w:r>
          </w:p>
        </w:tc>
        <w:tc>
          <w:tcPr>
            <w:tcW w:w="842" w:type="dxa"/>
            <w:tcBorders>
              <w:top w:val="nil"/>
              <w:left w:val="nil"/>
              <w:bottom w:val="nil"/>
              <w:right w:val="nil"/>
            </w:tcBorders>
            <w:shd w:val="clear" w:color="000000" w:fill="FFFFFF"/>
            <w:noWrap/>
            <w:vAlign w:val="bottom"/>
            <w:hideMark/>
          </w:tcPr>
          <w:p w14:paraId="45BF59EE" w14:textId="488DBE51" w:rsidR="003079C8" w:rsidRPr="008B2C85" w:rsidRDefault="003079C8" w:rsidP="003079C8">
            <w:pPr>
              <w:spacing w:after="0" w:line="240" w:lineRule="auto"/>
              <w:jc w:val="center"/>
              <w:rPr>
                <w:rFonts w:eastAsia="Times New Roman" w:cs="Times New Roman"/>
                <w:color w:val="000000"/>
                <w:sz w:val="20"/>
                <w:lang w:eastAsia="sk-SK"/>
              </w:rPr>
            </w:pPr>
            <w:r>
              <w:rPr>
                <w:color w:val="000000"/>
                <w:sz w:val="20"/>
              </w:rPr>
              <w:t>6,5</w:t>
            </w:r>
          </w:p>
        </w:tc>
      </w:tr>
      <w:tr w:rsidR="003079C8" w:rsidRPr="008B2C85" w14:paraId="621D53C8" w14:textId="77777777" w:rsidTr="008B2C85">
        <w:trPr>
          <w:trHeight w:val="255"/>
        </w:trPr>
        <w:tc>
          <w:tcPr>
            <w:tcW w:w="3678" w:type="dxa"/>
            <w:tcBorders>
              <w:top w:val="nil"/>
              <w:left w:val="nil"/>
              <w:bottom w:val="nil"/>
              <w:right w:val="nil"/>
            </w:tcBorders>
            <w:shd w:val="clear" w:color="000000" w:fill="FFFFFF"/>
            <w:noWrap/>
            <w:vAlign w:val="bottom"/>
            <w:hideMark/>
          </w:tcPr>
          <w:p w14:paraId="1E986CC4" w14:textId="254A4881" w:rsidR="003079C8" w:rsidRPr="008B2C85" w:rsidRDefault="003079C8" w:rsidP="003079C8">
            <w:pPr>
              <w:spacing w:after="0" w:line="240" w:lineRule="auto"/>
              <w:ind w:left="214"/>
              <w:jc w:val="left"/>
              <w:rPr>
                <w:rFonts w:eastAsia="Times New Roman" w:cs="Times New Roman"/>
                <w:color w:val="000000"/>
                <w:sz w:val="20"/>
                <w:lang w:eastAsia="sk-SK"/>
              </w:rPr>
            </w:pPr>
            <w:r w:rsidRPr="008B2C85">
              <w:rPr>
                <w:rFonts w:eastAsia="Times New Roman" w:cs="Times New Roman"/>
                <w:color w:val="000000"/>
                <w:sz w:val="20"/>
                <w:lang w:eastAsia="sk-SK"/>
              </w:rPr>
              <w:t>z toho financované obcami a VÚC</w:t>
            </w:r>
          </w:p>
        </w:tc>
        <w:tc>
          <w:tcPr>
            <w:tcW w:w="1185" w:type="dxa"/>
            <w:tcBorders>
              <w:top w:val="nil"/>
              <w:left w:val="nil"/>
              <w:bottom w:val="nil"/>
              <w:right w:val="nil"/>
            </w:tcBorders>
            <w:shd w:val="clear" w:color="000000" w:fill="FFFFFF"/>
            <w:noWrap/>
            <w:vAlign w:val="bottom"/>
            <w:hideMark/>
          </w:tcPr>
          <w:p w14:paraId="58916C0D" w14:textId="77777777" w:rsidR="003079C8" w:rsidRPr="008B2C85" w:rsidRDefault="003079C8" w:rsidP="003079C8">
            <w:pPr>
              <w:spacing w:after="0" w:line="240" w:lineRule="auto"/>
              <w:jc w:val="center"/>
              <w:rPr>
                <w:rFonts w:eastAsia="Times New Roman" w:cs="Times New Roman"/>
                <w:color w:val="000000"/>
                <w:sz w:val="20"/>
                <w:lang w:eastAsia="sk-SK"/>
              </w:rPr>
            </w:pPr>
            <w:r w:rsidRPr="008B2C85">
              <w:rPr>
                <w:rFonts w:eastAsia="Times New Roman" w:cs="Times New Roman"/>
                <w:color w:val="000000"/>
                <w:sz w:val="20"/>
                <w:lang w:eastAsia="sk-SK"/>
              </w:rPr>
              <w:t>samosprávy</w:t>
            </w:r>
          </w:p>
        </w:tc>
        <w:tc>
          <w:tcPr>
            <w:tcW w:w="841" w:type="dxa"/>
            <w:tcBorders>
              <w:top w:val="nil"/>
              <w:left w:val="nil"/>
              <w:bottom w:val="nil"/>
              <w:right w:val="nil"/>
            </w:tcBorders>
            <w:shd w:val="clear" w:color="000000" w:fill="FFFFFF"/>
            <w:noWrap/>
            <w:vAlign w:val="bottom"/>
            <w:hideMark/>
          </w:tcPr>
          <w:p w14:paraId="5DEB082F" w14:textId="00CAF974" w:rsidR="003079C8" w:rsidRPr="00773905" w:rsidRDefault="003079C8" w:rsidP="003079C8">
            <w:pPr>
              <w:spacing w:after="0" w:line="240" w:lineRule="auto"/>
              <w:jc w:val="center"/>
              <w:rPr>
                <w:rFonts w:eastAsia="Times New Roman" w:cs="Times New Roman"/>
                <w:color w:val="BFBFBF" w:themeColor="background1" w:themeShade="BF"/>
                <w:sz w:val="20"/>
                <w:lang w:eastAsia="sk-SK"/>
              </w:rPr>
            </w:pPr>
            <w:r>
              <w:rPr>
                <w:color w:val="000000"/>
                <w:sz w:val="20"/>
              </w:rPr>
              <w:t>4,0</w:t>
            </w:r>
          </w:p>
        </w:tc>
        <w:tc>
          <w:tcPr>
            <w:tcW w:w="842" w:type="dxa"/>
            <w:tcBorders>
              <w:top w:val="nil"/>
              <w:left w:val="nil"/>
              <w:bottom w:val="nil"/>
              <w:right w:val="nil"/>
            </w:tcBorders>
            <w:shd w:val="clear" w:color="auto" w:fill="auto"/>
            <w:noWrap/>
            <w:vAlign w:val="bottom"/>
            <w:hideMark/>
          </w:tcPr>
          <w:p w14:paraId="1CA5EEA2" w14:textId="05D08A52" w:rsidR="003079C8" w:rsidRPr="009A4E01" w:rsidRDefault="003079C8" w:rsidP="003079C8">
            <w:pPr>
              <w:spacing w:after="0" w:line="240" w:lineRule="auto"/>
              <w:jc w:val="center"/>
              <w:rPr>
                <w:rFonts w:eastAsia="Times New Roman" w:cs="Times New Roman"/>
                <w:color w:val="BFBFBF" w:themeColor="background1" w:themeShade="BF"/>
                <w:sz w:val="20"/>
                <w:lang w:eastAsia="sk-SK"/>
              </w:rPr>
            </w:pPr>
            <w:r>
              <w:rPr>
                <w:color w:val="000000"/>
                <w:sz w:val="20"/>
              </w:rPr>
              <w:t>4,4</w:t>
            </w:r>
          </w:p>
        </w:tc>
        <w:tc>
          <w:tcPr>
            <w:tcW w:w="842" w:type="dxa"/>
            <w:tcBorders>
              <w:top w:val="nil"/>
              <w:left w:val="nil"/>
              <w:bottom w:val="nil"/>
              <w:right w:val="nil"/>
            </w:tcBorders>
            <w:shd w:val="clear" w:color="000000" w:fill="FFFFFF"/>
            <w:noWrap/>
            <w:vAlign w:val="bottom"/>
            <w:hideMark/>
          </w:tcPr>
          <w:p w14:paraId="24C0847C" w14:textId="2C572197" w:rsidR="003079C8" w:rsidRPr="009A4E01" w:rsidRDefault="003079C8" w:rsidP="003079C8">
            <w:pPr>
              <w:spacing w:after="0" w:line="240" w:lineRule="auto"/>
              <w:jc w:val="center"/>
              <w:rPr>
                <w:rFonts w:eastAsia="Times New Roman" w:cs="Times New Roman"/>
                <w:color w:val="BFBFBF" w:themeColor="background1" w:themeShade="BF"/>
                <w:sz w:val="20"/>
                <w:lang w:eastAsia="sk-SK"/>
              </w:rPr>
            </w:pPr>
            <w:r>
              <w:rPr>
                <w:color w:val="000000"/>
                <w:sz w:val="20"/>
              </w:rPr>
              <w:t>4,5</w:t>
            </w:r>
          </w:p>
        </w:tc>
        <w:tc>
          <w:tcPr>
            <w:tcW w:w="842" w:type="dxa"/>
            <w:tcBorders>
              <w:top w:val="nil"/>
              <w:left w:val="nil"/>
              <w:bottom w:val="nil"/>
              <w:right w:val="nil"/>
            </w:tcBorders>
            <w:shd w:val="clear" w:color="000000" w:fill="FFFFFF"/>
            <w:noWrap/>
            <w:vAlign w:val="bottom"/>
            <w:hideMark/>
          </w:tcPr>
          <w:p w14:paraId="08A75567" w14:textId="25B06CDD" w:rsidR="003079C8" w:rsidRPr="009A4E01" w:rsidRDefault="003079C8" w:rsidP="003079C8">
            <w:pPr>
              <w:spacing w:after="0" w:line="240" w:lineRule="auto"/>
              <w:jc w:val="center"/>
              <w:rPr>
                <w:rFonts w:eastAsia="Times New Roman" w:cs="Times New Roman"/>
                <w:color w:val="BFBFBF" w:themeColor="background1" w:themeShade="BF"/>
                <w:sz w:val="20"/>
                <w:lang w:eastAsia="sk-SK"/>
              </w:rPr>
            </w:pPr>
            <w:r>
              <w:rPr>
                <w:color w:val="000000"/>
                <w:sz w:val="20"/>
              </w:rPr>
              <w:t>4,7</w:t>
            </w:r>
          </w:p>
        </w:tc>
        <w:tc>
          <w:tcPr>
            <w:tcW w:w="842" w:type="dxa"/>
            <w:tcBorders>
              <w:top w:val="nil"/>
              <w:left w:val="nil"/>
              <w:bottom w:val="nil"/>
              <w:right w:val="nil"/>
            </w:tcBorders>
            <w:shd w:val="clear" w:color="000000" w:fill="FFFFFF"/>
            <w:noWrap/>
            <w:vAlign w:val="bottom"/>
            <w:hideMark/>
          </w:tcPr>
          <w:p w14:paraId="1684076B" w14:textId="7C4D2E04" w:rsidR="003079C8" w:rsidRPr="009A4E01" w:rsidRDefault="003079C8" w:rsidP="003079C8">
            <w:pPr>
              <w:spacing w:after="0" w:line="240" w:lineRule="auto"/>
              <w:jc w:val="center"/>
              <w:rPr>
                <w:rFonts w:eastAsia="Times New Roman" w:cs="Times New Roman"/>
                <w:color w:val="BFBFBF" w:themeColor="background1" w:themeShade="BF"/>
                <w:sz w:val="20"/>
                <w:lang w:eastAsia="sk-SK"/>
              </w:rPr>
            </w:pPr>
            <w:r>
              <w:rPr>
                <w:color w:val="000000"/>
                <w:sz w:val="20"/>
              </w:rPr>
              <w:t>5,0</w:t>
            </w:r>
          </w:p>
        </w:tc>
      </w:tr>
      <w:tr w:rsidR="003079C8" w:rsidRPr="008B2C85" w14:paraId="45176C93" w14:textId="77777777" w:rsidTr="008B2C85">
        <w:trPr>
          <w:trHeight w:val="255"/>
        </w:trPr>
        <w:tc>
          <w:tcPr>
            <w:tcW w:w="3678" w:type="dxa"/>
            <w:tcBorders>
              <w:top w:val="nil"/>
              <w:left w:val="nil"/>
              <w:bottom w:val="nil"/>
              <w:right w:val="nil"/>
            </w:tcBorders>
            <w:shd w:val="clear" w:color="000000" w:fill="FFFFFF"/>
            <w:noWrap/>
            <w:vAlign w:val="bottom"/>
            <w:hideMark/>
          </w:tcPr>
          <w:p w14:paraId="1A241D8A" w14:textId="1E22457D" w:rsidR="003079C8" w:rsidRPr="008B2C85" w:rsidRDefault="003079C8" w:rsidP="003079C8">
            <w:pPr>
              <w:spacing w:after="0" w:line="240" w:lineRule="auto"/>
              <w:ind w:left="214"/>
              <w:jc w:val="left"/>
              <w:rPr>
                <w:rFonts w:eastAsia="Times New Roman" w:cs="Times New Roman"/>
                <w:color w:val="000000"/>
                <w:sz w:val="20"/>
                <w:lang w:eastAsia="sk-SK"/>
              </w:rPr>
            </w:pPr>
            <w:r w:rsidRPr="008B2C85">
              <w:rPr>
                <w:rFonts w:eastAsia="Times New Roman" w:cs="Times New Roman"/>
                <w:color w:val="000000"/>
                <w:sz w:val="20"/>
                <w:lang w:eastAsia="sk-SK"/>
              </w:rPr>
              <w:t>z toho spolufinancovanie zo š</w:t>
            </w:r>
            <w:r>
              <w:rPr>
                <w:rFonts w:eastAsia="Times New Roman" w:cs="Times New Roman"/>
                <w:color w:val="000000"/>
                <w:sz w:val="20"/>
                <w:lang w:eastAsia="sk-SK"/>
              </w:rPr>
              <w:t>. r.</w:t>
            </w:r>
          </w:p>
        </w:tc>
        <w:tc>
          <w:tcPr>
            <w:tcW w:w="1185" w:type="dxa"/>
            <w:tcBorders>
              <w:top w:val="nil"/>
              <w:left w:val="nil"/>
              <w:bottom w:val="nil"/>
              <w:right w:val="nil"/>
            </w:tcBorders>
            <w:shd w:val="clear" w:color="000000" w:fill="FFFFFF"/>
            <w:noWrap/>
            <w:vAlign w:val="bottom"/>
            <w:hideMark/>
          </w:tcPr>
          <w:p w14:paraId="768DF09A" w14:textId="77777777" w:rsidR="003079C8" w:rsidRPr="008B2C85" w:rsidRDefault="003079C8" w:rsidP="003079C8">
            <w:pPr>
              <w:spacing w:after="0" w:line="240" w:lineRule="auto"/>
              <w:jc w:val="center"/>
              <w:rPr>
                <w:rFonts w:eastAsia="Times New Roman" w:cs="Times New Roman"/>
                <w:color w:val="000000"/>
                <w:sz w:val="20"/>
                <w:lang w:eastAsia="sk-SK"/>
              </w:rPr>
            </w:pPr>
            <w:r w:rsidRPr="008B2C85">
              <w:rPr>
                <w:rFonts w:eastAsia="Times New Roman" w:cs="Times New Roman"/>
                <w:color w:val="000000"/>
                <w:sz w:val="20"/>
                <w:lang w:eastAsia="sk-SK"/>
              </w:rPr>
              <w:t>MPSVR</w:t>
            </w:r>
          </w:p>
        </w:tc>
        <w:tc>
          <w:tcPr>
            <w:tcW w:w="841" w:type="dxa"/>
            <w:tcBorders>
              <w:top w:val="nil"/>
              <w:left w:val="nil"/>
              <w:bottom w:val="nil"/>
              <w:right w:val="nil"/>
            </w:tcBorders>
            <w:shd w:val="clear" w:color="000000" w:fill="FFFFFF"/>
            <w:noWrap/>
            <w:vAlign w:val="bottom"/>
            <w:hideMark/>
          </w:tcPr>
          <w:p w14:paraId="3E542A00" w14:textId="37EB3BD6" w:rsidR="003079C8" w:rsidRPr="00773905" w:rsidRDefault="003079C8" w:rsidP="003079C8">
            <w:pPr>
              <w:spacing w:after="0" w:line="240" w:lineRule="auto"/>
              <w:jc w:val="center"/>
              <w:rPr>
                <w:rFonts w:eastAsia="Times New Roman" w:cs="Times New Roman"/>
                <w:color w:val="BFBFBF" w:themeColor="background1" w:themeShade="BF"/>
                <w:sz w:val="20"/>
                <w:lang w:eastAsia="sk-SK"/>
              </w:rPr>
            </w:pPr>
            <w:r>
              <w:rPr>
                <w:color w:val="000000"/>
                <w:sz w:val="20"/>
              </w:rPr>
              <w:t>1,2</w:t>
            </w:r>
          </w:p>
        </w:tc>
        <w:tc>
          <w:tcPr>
            <w:tcW w:w="842" w:type="dxa"/>
            <w:tcBorders>
              <w:top w:val="nil"/>
              <w:left w:val="nil"/>
              <w:bottom w:val="nil"/>
              <w:right w:val="nil"/>
            </w:tcBorders>
            <w:shd w:val="clear" w:color="000000" w:fill="FFFFFF"/>
            <w:noWrap/>
            <w:vAlign w:val="bottom"/>
            <w:hideMark/>
          </w:tcPr>
          <w:p w14:paraId="3DDC04C3" w14:textId="56636405" w:rsidR="003079C8" w:rsidRPr="009A4E01" w:rsidRDefault="003079C8" w:rsidP="003079C8">
            <w:pPr>
              <w:spacing w:after="0" w:line="240" w:lineRule="auto"/>
              <w:jc w:val="center"/>
              <w:rPr>
                <w:rFonts w:eastAsia="Times New Roman" w:cs="Times New Roman"/>
                <w:color w:val="BFBFBF" w:themeColor="background1" w:themeShade="BF"/>
                <w:sz w:val="20"/>
                <w:lang w:eastAsia="sk-SK"/>
              </w:rPr>
            </w:pPr>
            <w:r>
              <w:rPr>
                <w:color w:val="000000"/>
                <w:sz w:val="20"/>
              </w:rPr>
              <w:t>1,3</w:t>
            </w:r>
          </w:p>
        </w:tc>
        <w:tc>
          <w:tcPr>
            <w:tcW w:w="842" w:type="dxa"/>
            <w:tcBorders>
              <w:top w:val="nil"/>
              <w:left w:val="nil"/>
              <w:bottom w:val="nil"/>
              <w:right w:val="nil"/>
            </w:tcBorders>
            <w:shd w:val="clear" w:color="000000" w:fill="FFFFFF"/>
            <w:noWrap/>
            <w:vAlign w:val="bottom"/>
            <w:hideMark/>
          </w:tcPr>
          <w:p w14:paraId="3CAF809C" w14:textId="3E010782" w:rsidR="003079C8" w:rsidRPr="009A4E01" w:rsidRDefault="003079C8" w:rsidP="003079C8">
            <w:pPr>
              <w:spacing w:after="0" w:line="240" w:lineRule="auto"/>
              <w:jc w:val="center"/>
              <w:rPr>
                <w:rFonts w:eastAsia="Times New Roman" w:cs="Times New Roman"/>
                <w:color w:val="BFBFBF" w:themeColor="background1" w:themeShade="BF"/>
                <w:sz w:val="20"/>
                <w:lang w:eastAsia="sk-SK"/>
              </w:rPr>
            </w:pPr>
            <w:r>
              <w:rPr>
                <w:color w:val="000000"/>
                <w:sz w:val="20"/>
              </w:rPr>
              <w:t>1,3</w:t>
            </w:r>
          </w:p>
        </w:tc>
        <w:tc>
          <w:tcPr>
            <w:tcW w:w="842" w:type="dxa"/>
            <w:tcBorders>
              <w:top w:val="nil"/>
              <w:left w:val="nil"/>
              <w:bottom w:val="nil"/>
              <w:right w:val="nil"/>
            </w:tcBorders>
            <w:shd w:val="clear" w:color="000000" w:fill="FFFFFF"/>
            <w:noWrap/>
            <w:vAlign w:val="bottom"/>
            <w:hideMark/>
          </w:tcPr>
          <w:p w14:paraId="33E5BD5C" w14:textId="4889CB16" w:rsidR="003079C8" w:rsidRPr="009A4E01" w:rsidRDefault="003079C8" w:rsidP="003079C8">
            <w:pPr>
              <w:spacing w:after="0" w:line="240" w:lineRule="auto"/>
              <w:jc w:val="center"/>
              <w:rPr>
                <w:rFonts w:eastAsia="Times New Roman" w:cs="Times New Roman"/>
                <w:color w:val="BFBFBF" w:themeColor="background1" w:themeShade="BF"/>
                <w:sz w:val="20"/>
                <w:lang w:eastAsia="sk-SK"/>
              </w:rPr>
            </w:pPr>
            <w:r>
              <w:rPr>
                <w:color w:val="000000"/>
                <w:sz w:val="20"/>
              </w:rPr>
              <w:t>1,4</w:t>
            </w:r>
          </w:p>
        </w:tc>
        <w:tc>
          <w:tcPr>
            <w:tcW w:w="842" w:type="dxa"/>
            <w:tcBorders>
              <w:top w:val="nil"/>
              <w:left w:val="nil"/>
              <w:bottom w:val="nil"/>
              <w:right w:val="nil"/>
            </w:tcBorders>
            <w:shd w:val="clear" w:color="000000" w:fill="FFFFFF"/>
            <w:noWrap/>
            <w:vAlign w:val="bottom"/>
            <w:hideMark/>
          </w:tcPr>
          <w:p w14:paraId="0F9E405A" w14:textId="6940E20F" w:rsidR="003079C8" w:rsidRPr="009A4E01" w:rsidRDefault="003079C8" w:rsidP="003079C8">
            <w:pPr>
              <w:spacing w:after="0" w:line="240" w:lineRule="auto"/>
              <w:jc w:val="center"/>
              <w:rPr>
                <w:rFonts w:eastAsia="Times New Roman" w:cs="Times New Roman"/>
                <w:color w:val="BFBFBF" w:themeColor="background1" w:themeShade="BF"/>
                <w:sz w:val="20"/>
                <w:lang w:eastAsia="sk-SK"/>
              </w:rPr>
            </w:pPr>
            <w:r>
              <w:rPr>
                <w:color w:val="000000"/>
                <w:sz w:val="20"/>
              </w:rPr>
              <w:t>1,5</w:t>
            </w:r>
          </w:p>
        </w:tc>
      </w:tr>
      <w:tr w:rsidR="003079C8" w:rsidRPr="008B2C85" w14:paraId="46DB2D95" w14:textId="77777777" w:rsidTr="008B2C85">
        <w:trPr>
          <w:trHeight w:val="255"/>
        </w:trPr>
        <w:tc>
          <w:tcPr>
            <w:tcW w:w="3678" w:type="dxa"/>
            <w:tcBorders>
              <w:top w:val="nil"/>
              <w:left w:val="nil"/>
              <w:bottom w:val="nil"/>
              <w:right w:val="nil"/>
            </w:tcBorders>
            <w:shd w:val="clear" w:color="000000" w:fill="FFFFFF"/>
            <w:vAlign w:val="bottom"/>
            <w:hideMark/>
          </w:tcPr>
          <w:p w14:paraId="2EAD1FDE" w14:textId="77777777" w:rsidR="003079C8" w:rsidRPr="008B2C85" w:rsidRDefault="003079C8" w:rsidP="003079C8">
            <w:pPr>
              <w:spacing w:after="0" w:line="240" w:lineRule="auto"/>
              <w:jc w:val="left"/>
              <w:rPr>
                <w:rFonts w:eastAsia="Times New Roman" w:cs="Times New Roman"/>
                <w:color w:val="000000"/>
                <w:sz w:val="20"/>
                <w:lang w:eastAsia="sk-SK"/>
              </w:rPr>
            </w:pPr>
            <w:r w:rsidRPr="008B2C85">
              <w:rPr>
                <w:rFonts w:eastAsia="Times New Roman" w:cs="Times New Roman"/>
                <w:color w:val="000000"/>
                <w:sz w:val="20"/>
                <w:lang w:eastAsia="sk-SK"/>
              </w:rPr>
              <w:t>Zariadenie núdzového bývania</w:t>
            </w:r>
          </w:p>
        </w:tc>
        <w:tc>
          <w:tcPr>
            <w:tcW w:w="1185" w:type="dxa"/>
            <w:tcBorders>
              <w:top w:val="nil"/>
              <w:left w:val="nil"/>
              <w:bottom w:val="nil"/>
              <w:right w:val="nil"/>
            </w:tcBorders>
            <w:shd w:val="clear" w:color="000000" w:fill="FFFFFF"/>
            <w:noWrap/>
            <w:vAlign w:val="bottom"/>
            <w:hideMark/>
          </w:tcPr>
          <w:p w14:paraId="42AC40AB" w14:textId="77777777" w:rsidR="003079C8" w:rsidRPr="008B2C85" w:rsidRDefault="003079C8" w:rsidP="003079C8">
            <w:pPr>
              <w:spacing w:after="0" w:line="240" w:lineRule="auto"/>
              <w:jc w:val="center"/>
              <w:rPr>
                <w:rFonts w:eastAsia="Times New Roman" w:cs="Times New Roman"/>
                <w:color w:val="000000"/>
                <w:sz w:val="20"/>
                <w:lang w:eastAsia="sk-SK"/>
              </w:rPr>
            </w:pPr>
            <w:r w:rsidRPr="008B2C85">
              <w:rPr>
                <w:rFonts w:eastAsia="Times New Roman" w:cs="Times New Roman"/>
                <w:color w:val="000000"/>
                <w:sz w:val="20"/>
                <w:lang w:eastAsia="sk-SK"/>
              </w:rPr>
              <w:t> </w:t>
            </w:r>
          </w:p>
        </w:tc>
        <w:tc>
          <w:tcPr>
            <w:tcW w:w="841" w:type="dxa"/>
            <w:tcBorders>
              <w:top w:val="nil"/>
              <w:left w:val="nil"/>
              <w:bottom w:val="nil"/>
              <w:right w:val="nil"/>
            </w:tcBorders>
            <w:shd w:val="clear" w:color="000000" w:fill="FFFFFF"/>
            <w:noWrap/>
            <w:vAlign w:val="bottom"/>
            <w:hideMark/>
          </w:tcPr>
          <w:p w14:paraId="6539C2BA" w14:textId="792D35D5" w:rsidR="003079C8" w:rsidRPr="008B2C85" w:rsidRDefault="003079C8" w:rsidP="003079C8">
            <w:pPr>
              <w:spacing w:after="0" w:line="240" w:lineRule="auto"/>
              <w:jc w:val="center"/>
              <w:rPr>
                <w:rFonts w:eastAsia="Times New Roman" w:cs="Times New Roman"/>
                <w:color w:val="000000"/>
                <w:sz w:val="20"/>
                <w:lang w:eastAsia="sk-SK"/>
              </w:rPr>
            </w:pPr>
            <w:r>
              <w:rPr>
                <w:color w:val="000000"/>
                <w:sz w:val="20"/>
              </w:rPr>
              <w:t>1,9</w:t>
            </w:r>
          </w:p>
        </w:tc>
        <w:tc>
          <w:tcPr>
            <w:tcW w:w="842" w:type="dxa"/>
            <w:tcBorders>
              <w:top w:val="nil"/>
              <w:left w:val="nil"/>
              <w:bottom w:val="nil"/>
              <w:right w:val="nil"/>
            </w:tcBorders>
            <w:shd w:val="clear" w:color="000000" w:fill="FFFFFF"/>
            <w:noWrap/>
            <w:vAlign w:val="bottom"/>
            <w:hideMark/>
          </w:tcPr>
          <w:p w14:paraId="73F034E8" w14:textId="56772B28" w:rsidR="003079C8" w:rsidRPr="008B2C85" w:rsidRDefault="003079C8" w:rsidP="003079C8">
            <w:pPr>
              <w:spacing w:after="0" w:line="240" w:lineRule="auto"/>
              <w:jc w:val="center"/>
              <w:rPr>
                <w:rFonts w:eastAsia="Times New Roman" w:cs="Times New Roman"/>
                <w:color w:val="000000"/>
                <w:sz w:val="20"/>
                <w:lang w:eastAsia="sk-SK"/>
              </w:rPr>
            </w:pPr>
            <w:r>
              <w:rPr>
                <w:color w:val="000000"/>
                <w:sz w:val="20"/>
              </w:rPr>
              <w:t>2,1</w:t>
            </w:r>
          </w:p>
        </w:tc>
        <w:tc>
          <w:tcPr>
            <w:tcW w:w="842" w:type="dxa"/>
            <w:tcBorders>
              <w:top w:val="nil"/>
              <w:left w:val="nil"/>
              <w:bottom w:val="nil"/>
              <w:right w:val="nil"/>
            </w:tcBorders>
            <w:shd w:val="clear" w:color="000000" w:fill="FFFFFF"/>
            <w:noWrap/>
            <w:vAlign w:val="bottom"/>
            <w:hideMark/>
          </w:tcPr>
          <w:p w14:paraId="612A923A" w14:textId="34BF8442" w:rsidR="003079C8" w:rsidRPr="008B2C85" w:rsidRDefault="003079C8" w:rsidP="003079C8">
            <w:pPr>
              <w:spacing w:after="0" w:line="240" w:lineRule="auto"/>
              <w:jc w:val="center"/>
              <w:rPr>
                <w:rFonts w:eastAsia="Times New Roman" w:cs="Times New Roman"/>
                <w:color w:val="000000"/>
                <w:sz w:val="20"/>
                <w:lang w:eastAsia="sk-SK"/>
              </w:rPr>
            </w:pPr>
            <w:r>
              <w:rPr>
                <w:color w:val="000000"/>
                <w:sz w:val="20"/>
              </w:rPr>
              <w:t>2,2</w:t>
            </w:r>
          </w:p>
        </w:tc>
        <w:tc>
          <w:tcPr>
            <w:tcW w:w="842" w:type="dxa"/>
            <w:tcBorders>
              <w:top w:val="nil"/>
              <w:left w:val="nil"/>
              <w:bottom w:val="nil"/>
              <w:right w:val="nil"/>
            </w:tcBorders>
            <w:shd w:val="clear" w:color="000000" w:fill="FFFFFF"/>
            <w:noWrap/>
            <w:vAlign w:val="bottom"/>
            <w:hideMark/>
          </w:tcPr>
          <w:p w14:paraId="3938B547" w14:textId="3241B2F1" w:rsidR="003079C8" w:rsidRPr="008B2C85" w:rsidRDefault="003079C8" w:rsidP="003079C8">
            <w:pPr>
              <w:spacing w:after="0" w:line="240" w:lineRule="auto"/>
              <w:jc w:val="center"/>
              <w:rPr>
                <w:rFonts w:eastAsia="Times New Roman" w:cs="Times New Roman"/>
                <w:color w:val="000000"/>
                <w:sz w:val="20"/>
                <w:lang w:eastAsia="sk-SK"/>
              </w:rPr>
            </w:pPr>
            <w:r>
              <w:rPr>
                <w:color w:val="000000"/>
                <w:sz w:val="20"/>
              </w:rPr>
              <w:t>2,3</w:t>
            </w:r>
          </w:p>
        </w:tc>
        <w:tc>
          <w:tcPr>
            <w:tcW w:w="842" w:type="dxa"/>
            <w:tcBorders>
              <w:top w:val="nil"/>
              <w:left w:val="nil"/>
              <w:bottom w:val="nil"/>
              <w:right w:val="nil"/>
            </w:tcBorders>
            <w:shd w:val="clear" w:color="000000" w:fill="FFFFFF"/>
            <w:noWrap/>
            <w:vAlign w:val="bottom"/>
            <w:hideMark/>
          </w:tcPr>
          <w:p w14:paraId="4F8F4872" w14:textId="1D7A8EA9" w:rsidR="003079C8" w:rsidRPr="008B2C85" w:rsidRDefault="003079C8" w:rsidP="003079C8">
            <w:pPr>
              <w:spacing w:after="0" w:line="240" w:lineRule="auto"/>
              <w:jc w:val="center"/>
              <w:rPr>
                <w:rFonts w:eastAsia="Times New Roman" w:cs="Times New Roman"/>
                <w:color w:val="000000"/>
                <w:sz w:val="20"/>
                <w:lang w:eastAsia="sk-SK"/>
              </w:rPr>
            </w:pPr>
            <w:r>
              <w:rPr>
                <w:color w:val="000000"/>
                <w:sz w:val="20"/>
              </w:rPr>
              <w:t>2,4</w:t>
            </w:r>
          </w:p>
        </w:tc>
      </w:tr>
      <w:tr w:rsidR="003079C8" w:rsidRPr="008B2C85" w14:paraId="1BC55606" w14:textId="77777777" w:rsidTr="008B2C85">
        <w:trPr>
          <w:trHeight w:val="255"/>
        </w:trPr>
        <w:tc>
          <w:tcPr>
            <w:tcW w:w="3678" w:type="dxa"/>
            <w:tcBorders>
              <w:top w:val="nil"/>
              <w:left w:val="nil"/>
              <w:bottom w:val="nil"/>
              <w:right w:val="nil"/>
            </w:tcBorders>
            <w:shd w:val="clear" w:color="000000" w:fill="FFFFFF"/>
            <w:noWrap/>
            <w:vAlign w:val="bottom"/>
            <w:hideMark/>
          </w:tcPr>
          <w:p w14:paraId="617083BF" w14:textId="1B770FC6" w:rsidR="003079C8" w:rsidRPr="008B2C85" w:rsidRDefault="003079C8" w:rsidP="003079C8">
            <w:pPr>
              <w:spacing w:after="0" w:line="240" w:lineRule="auto"/>
              <w:ind w:left="214"/>
              <w:jc w:val="left"/>
              <w:rPr>
                <w:rFonts w:eastAsia="Times New Roman" w:cs="Times New Roman"/>
                <w:color w:val="000000"/>
                <w:sz w:val="20"/>
                <w:lang w:eastAsia="sk-SK"/>
              </w:rPr>
            </w:pPr>
            <w:r w:rsidRPr="008B2C85">
              <w:rPr>
                <w:rFonts w:eastAsia="Times New Roman" w:cs="Times New Roman"/>
                <w:color w:val="000000"/>
                <w:sz w:val="20"/>
                <w:lang w:eastAsia="sk-SK"/>
              </w:rPr>
              <w:t>z toho financované obcami a VÚC</w:t>
            </w:r>
          </w:p>
        </w:tc>
        <w:tc>
          <w:tcPr>
            <w:tcW w:w="1185" w:type="dxa"/>
            <w:tcBorders>
              <w:top w:val="nil"/>
              <w:left w:val="nil"/>
              <w:bottom w:val="nil"/>
              <w:right w:val="nil"/>
            </w:tcBorders>
            <w:shd w:val="clear" w:color="000000" w:fill="FFFFFF"/>
            <w:noWrap/>
            <w:vAlign w:val="bottom"/>
            <w:hideMark/>
          </w:tcPr>
          <w:p w14:paraId="347B0F54" w14:textId="77777777" w:rsidR="003079C8" w:rsidRPr="008B2C85" w:rsidRDefault="003079C8" w:rsidP="003079C8">
            <w:pPr>
              <w:spacing w:after="0" w:line="240" w:lineRule="auto"/>
              <w:jc w:val="center"/>
              <w:rPr>
                <w:rFonts w:eastAsia="Times New Roman" w:cs="Times New Roman"/>
                <w:color w:val="000000"/>
                <w:sz w:val="20"/>
                <w:lang w:eastAsia="sk-SK"/>
              </w:rPr>
            </w:pPr>
            <w:r w:rsidRPr="008B2C85">
              <w:rPr>
                <w:rFonts w:eastAsia="Times New Roman" w:cs="Times New Roman"/>
                <w:color w:val="000000"/>
                <w:sz w:val="20"/>
                <w:lang w:eastAsia="sk-SK"/>
              </w:rPr>
              <w:t>samosprávy</w:t>
            </w:r>
          </w:p>
        </w:tc>
        <w:tc>
          <w:tcPr>
            <w:tcW w:w="841" w:type="dxa"/>
            <w:tcBorders>
              <w:top w:val="nil"/>
              <w:left w:val="nil"/>
              <w:bottom w:val="nil"/>
              <w:right w:val="nil"/>
            </w:tcBorders>
            <w:shd w:val="clear" w:color="000000" w:fill="FFFFFF"/>
            <w:noWrap/>
            <w:vAlign w:val="bottom"/>
            <w:hideMark/>
          </w:tcPr>
          <w:p w14:paraId="7007D44B" w14:textId="01BFAB56" w:rsidR="003079C8" w:rsidRPr="00773905" w:rsidRDefault="003079C8" w:rsidP="003079C8">
            <w:pPr>
              <w:spacing w:after="0" w:line="240" w:lineRule="auto"/>
              <w:jc w:val="center"/>
              <w:rPr>
                <w:rFonts w:eastAsia="Times New Roman" w:cs="Times New Roman"/>
                <w:color w:val="BFBFBF" w:themeColor="background1" w:themeShade="BF"/>
                <w:sz w:val="20"/>
                <w:lang w:eastAsia="sk-SK"/>
              </w:rPr>
            </w:pPr>
            <w:r>
              <w:rPr>
                <w:color w:val="000000"/>
                <w:sz w:val="20"/>
              </w:rPr>
              <w:t>1,5</w:t>
            </w:r>
          </w:p>
        </w:tc>
        <w:tc>
          <w:tcPr>
            <w:tcW w:w="842" w:type="dxa"/>
            <w:tcBorders>
              <w:top w:val="nil"/>
              <w:left w:val="nil"/>
              <w:bottom w:val="nil"/>
              <w:right w:val="nil"/>
            </w:tcBorders>
            <w:shd w:val="clear" w:color="auto" w:fill="auto"/>
            <w:noWrap/>
            <w:vAlign w:val="bottom"/>
            <w:hideMark/>
          </w:tcPr>
          <w:p w14:paraId="776825B9" w14:textId="311CAFBA" w:rsidR="003079C8" w:rsidRPr="009A4E01" w:rsidRDefault="003079C8" w:rsidP="003079C8">
            <w:pPr>
              <w:spacing w:after="0" w:line="240" w:lineRule="auto"/>
              <w:jc w:val="center"/>
              <w:rPr>
                <w:rFonts w:eastAsia="Times New Roman" w:cs="Times New Roman"/>
                <w:color w:val="BFBFBF" w:themeColor="background1" w:themeShade="BF"/>
                <w:sz w:val="20"/>
                <w:lang w:eastAsia="sk-SK"/>
              </w:rPr>
            </w:pPr>
            <w:r>
              <w:rPr>
                <w:color w:val="000000"/>
                <w:sz w:val="20"/>
              </w:rPr>
              <w:t>1,7</w:t>
            </w:r>
          </w:p>
        </w:tc>
        <w:tc>
          <w:tcPr>
            <w:tcW w:w="842" w:type="dxa"/>
            <w:tcBorders>
              <w:top w:val="nil"/>
              <w:left w:val="nil"/>
              <w:bottom w:val="nil"/>
              <w:right w:val="nil"/>
            </w:tcBorders>
            <w:shd w:val="clear" w:color="000000" w:fill="FFFFFF"/>
            <w:noWrap/>
            <w:vAlign w:val="bottom"/>
            <w:hideMark/>
          </w:tcPr>
          <w:p w14:paraId="717C1A5F" w14:textId="348E2FDD" w:rsidR="003079C8" w:rsidRPr="009A4E01" w:rsidRDefault="003079C8" w:rsidP="003079C8">
            <w:pPr>
              <w:spacing w:after="0" w:line="240" w:lineRule="auto"/>
              <w:jc w:val="center"/>
              <w:rPr>
                <w:rFonts w:eastAsia="Times New Roman" w:cs="Times New Roman"/>
                <w:color w:val="BFBFBF" w:themeColor="background1" w:themeShade="BF"/>
                <w:sz w:val="20"/>
                <w:lang w:eastAsia="sk-SK"/>
              </w:rPr>
            </w:pPr>
            <w:r>
              <w:rPr>
                <w:color w:val="000000"/>
                <w:sz w:val="20"/>
              </w:rPr>
              <w:t>1,7</w:t>
            </w:r>
          </w:p>
        </w:tc>
        <w:tc>
          <w:tcPr>
            <w:tcW w:w="842" w:type="dxa"/>
            <w:tcBorders>
              <w:top w:val="nil"/>
              <w:left w:val="nil"/>
              <w:bottom w:val="nil"/>
              <w:right w:val="nil"/>
            </w:tcBorders>
            <w:shd w:val="clear" w:color="000000" w:fill="FFFFFF"/>
            <w:noWrap/>
            <w:vAlign w:val="bottom"/>
            <w:hideMark/>
          </w:tcPr>
          <w:p w14:paraId="410CAB91" w14:textId="4DCF1218" w:rsidR="003079C8" w:rsidRPr="009A4E01" w:rsidRDefault="003079C8" w:rsidP="003079C8">
            <w:pPr>
              <w:spacing w:after="0" w:line="240" w:lineRule="auto"/>
              <w:jc w:val="center"/>
              <w:rPr>
                <w:rFonts w:eastAsia="Times New Roman" w:cs="Times New Roman"/>
                <w:color w:val="BFBFBF" w:themeColor="background1" w:themeShade="BF"/>
                <w:sz w:val="20"/>
                <w:lang w:eastAsia="sk-SK"/>
              </w:rPr>
            </w:pPr>
            <w:r>
              <w:rPr>
                <w:color w:val="000000"/>
                <w:sz w:val="20"/>
              </w:rPr>
              <w:t>1,8</w:t>
            </w:r>
          </w:p>
        </w:tc>
        <w:tc>
          <w:tcPr>
            <w:tcW w:w="842" w:type="dxa"/>
            <w:tcBorders>
              <w:top w:val="nil"/>
              <w:left w:val="nil"/>
              <w:bottom w:val="nil"/>
              <w:right w:val="nil"/>
            </w:tcBorders>
            <w:shd w:val="clear" w:color="000000" w:fill="FFFFFF"/>
            <w:noWrap/>
            <w:vAlign w:val="bottom"/>
            <w:hideMark/>
          </w:tcPr>
          <w:p w14:paraId="1E1EB9A9" w14:textId="1BF5F046" w:rsidR="003079C8" w:rsidRPr="009A4E01" w:rsidRDefault="003079C8" w:rsidP="003079C8">
            <w:pPr>
              <w:spacing w:after="0" w:line="240" w:lineRule="auto"/>
              <w:jc w:val="center"/>
              <w:rPr>
                <w:rFonts w:eastAsia="Times New Roman" w:cs="Times New Roman"/>
                <w:color w:val="BFBFBF" w:themeColor="background1" w:themeShade="BF"/>
                <w:sz w:val="20"/>
                <w:lang w:eastAsia="sk-SK"/>
              </w:rPr>
            </w:pPr>
            <w:r>
              <w:rPr>
                <w:color w:val="000000"/>
                <w:sz w:val="20"/>
              </w:rPr>
              <w:t>1,9</w:t>
            </w:r>
          </w:p>
        </w:tc>
      </w:tr>
      <w:tr w:rsidR="003079C8" w:rsidRPr="008B2C85" w14:paraId="689260EC" w14:textId="77777777" w:rsidTr="008B2C85">
        <w:trPr>
          <w:trHeight w:val="255"/>
        </w:trPr>
        <w:tc>
          <w:tcPr>
            <w:tcW w:w="3678" w:type="dxa"/>
            <w:tcBorders>
              <w:top w:val="nil"/>
              <w:left w:val="nil"/>
              <w:bottom w:val="nil"/>
              <w:right w:val="nil"/>
            </w:tcBorders>
            <w:shd w:val="clear" w:color="000000" w:fill="FFFFFF"/>
            <w:noWrap/>
            <w:vAlign w:val="bottom"/>
            <w:hideMark/>
          </w:tcPr>
          <w:p w14:paraId="7C81DE8C" w14:textId="4D506C56" w:rsidR="003079C8" w:rsidRPr="008B2C85" w:rsidRDefault="003079C8" w:rsidP="003079C8">
            <w:pPr>
              <w:spacing w:after="0" w:line="240" w:lineRule="auto"/>
              <w:ind w:left="214"/>
              <w:jc w:val="left"/>
              <w:rPr>
                <w:rFonts w:eastAsia="Times New Roman" w:cs="Times New Roman"/>
                <w:color w:val="000000"/>
                <w:sz w:val="20"/>
                <w:lang w:eastAsia="sk-SK"/>
              </w:rPr>
            </w:pPr>
            <w:r w:rsidRPr="008B2C85">
              <w:rPr>
                <w:rFonts w:eastAsia="Times New Roman" w:cs="Times New Roman"/>
                <w:color w:val="000000"/>
                <w:sz w:val="20"/>
                <w:lang w:eastAsia="sk-SK"/>
              </w:rPr>
              <w:t>z toho spolufinancovanie zo š</w:t>
            </w:r>
            <w:r>
              <w:rPr>
                <w:rFonts w:eastAsia="Times New Roman" w:cs="Times New Roman"/>
                <w:color w:val="000000"/>
                <w:sz w:val="20"/>
                <w:lang w:eastAsia="sk-SK"/>
              </w:rPr>
              <w:t>. r.</w:t>
            </w:r>
          </w:p>
        </w:tc>
        <w:tc>
          <w:tcPr>
            <w:tcW w:w="1185" w:type="dxa"/>
            <w:tcBorders>
              <w:top w:val="nil"/>
              <w:left w:val="nil"/>
              <w:bottom w:val="nil"/>
              <w:right w:val="nil"/>
            </w:tcBorders>
            <w:shd w:val="clear" w:color="000000" w:fill="FFFFFF"/>
            <w:noWrap/>
            <w:vAlign w:val="bottom"/>
            <w:hideMark/>
          </w:tcPr>
          <w:p w14:paraId="1D438DCF" w14:textId="77777777" w:rsidR="003079C8" w:rsidRPr="008B2C85" w:rsidRDefault="003079C8" w:rsidP="003079C8">
            <w:pPr>
              <w:spacing w:after="0" w:line="240" w:lineRule="auto"/>
              <w:jc w:val="center"/>
              <w:rPr>
                <w:rFonts w:eastAsia="Times New Roman" w:cs="Times New Roman"/>
                <w:color w:val="000000"/>
                <w:sz w:val="20"/>
                <w:lang w:eastAsia="sk-SK"/>
              </w:rPr>
            </w:pPr>
            <w:r w:rsidRPr="008B2C85">
              <w:rPr>
                <w:rFonts w:eastAsia="Times New Roman" w:cs="Times New Roman"/>
                <w:color w:val="000000"/>
                <w:sz w:val="20"/>
                <w:lang w:eastAsia="sk-SK"/>
              </w:rPr>
              <w:t>MPSVR</w:t>
            </w:r>
          </w:p>
        </w:tc>
        <w:tc>
          <w:tcPr>
            <w:tcW w:w="841" w:type="dxa"/>
            <w:tcBorders>
              <w:top w:val="nil"/>
              <w:left w:val="nil"/>
              <w:bottom w:val="nil"/>
              <w:right w:val="nil"/>
            </w:tcBorders>
            <w:shd w:val="clear" w:color="000000" w:fill="FFFFFF"/>
            <w:noWrap/>
            <w:vAlign w:val="bottom"/>
            <w:hideMark/>
          </w:tcPr>
          <w:p w14:paraId="43A3F5DF" w14:textId="450F60D5" w:rsidR="003079C8" w:rsidRPr="00773905" w:rsidRDefault="003079C8" w:rsidP="003079C8">
            <w:pPr>
              <w:spacing w:after="0" w:line="240" w:lineRule="auto"/>
              <w:jc w:val="center"/>
              <w:rPr>
                <w:rFonts w:eastAsia="Times New Roman" w:cs="Times New Roman"/>
                <w:color w:val="BFBFBF" w:themeColor="background1" w:themeShade="BF"/>
                <w:sz w:val="20"/>
                <w:lang w:eastAsia="sk-SK"/>
              </w:rPr>
            </w:pPr>
            <w:r>
              <w:rPr>
                <w:color w:val="000000"/>
                <w:sz w:val="20"/>
              </w:rPr>
              <w:t>0,4</w:t>
            </w:r>
          </w:p>
        </w:tc>
        <w:tc>
          <w:tcPr>
            <w:tcW w:w="842" w:type="dxa"/>
            <w:tcBorders>
              <w:top w:val="nil"/>
              <w:left w:val="nil"/>
              <w:bottom w:val="nil"/>
              <w:right w:val="nil"/>
            </w:tcBorders>
            <w:shd w:val="clear" w:color="000000" w:fill="FFFFFF"/>
            <w:noWrap/>
            <w:vAlign w:val="bottom"/>
            <w:hideMark/>
          </w:tcPr>
          <w:p w14:paraId="041C4448" w14:textId="7A029614" w:rsidR="003079C8" w:rsidRPr="009A4E01" w:rsidRDefault="003079C8" w:rsidP="003079C8">
            <w:pPr>
              <w:spacing w:after="0" w:line="240" w:lineRule="auto"/>
              <w:jc w:val="center"/>
              <w:rPr>
                <w:rFonts w:eastAsia="Times New Roman" w:cs="Times New Roman"/>
                <w:color w:val="BFBFBF" w:themeColor="background1" w:themeShade="BF"/>
                <w:sz w:val="20"/>
                <w:lang w:eastAsia="sk-SK"/>
              </w:rPr>
            </w:pPr>
            <w:r>
              <w:rPr>
                <w:color w:val="000000"/>
                <w:sz w:val="20"/>
              </w:rPr>
              <w:t>0,4</w:t>
            </w:r>
          </w:p>
        </w:tc>
        <w:tc>
          <w:tcPr>
            <w:tcW w:w="842" w:type="dxa"/>
            <w:tcBorders>
              <w:top w:val="nil"/>
              <w:left w:val="nil"/>
              <w:bottom w:val="nil"/>
              <w:right w:val="nil"/>
            </w:tcBorders>
            <w:shd w:val="clear" w:color="000000" w:fill="FFFFFF"/>
            <w:noWrap/>
            <w:vAlign w:val="bottom"/>
            <w:hideMark/>
          </w:tcPr>
          <w:p w14:paraId="4B743095" w14:textId="50448124" w:rsidR="003079C8" w:rsidRPr="009A4E01" w:rsidRDefault="003079C8" w:rsidP="003079C8">
            <w:pPr>
              <w:spacing w:after="0" w:line="240" w:lineRule="auto"/>
              <w:jc w:val="center"/>
              <w:rPr>
                <w:rFonts w:eastAsia="Times New Roman" w:cs="Times New Roman"/>
                <w:color w:val="BFBFBF" w:themeColor="background1" w:themeShade="BF"/>
                <w:sz w:val="20"/>
                <w:lang w:eastAsia="sk-SK"/>
              </w:rPr>
            </w:pPr>
            <w:r>
              <w:rPr>
                <w:color w:val="000000"/>
                <w:sz w:val="20"/>
              </w:rPr>
              <w:t>0,5</w:t>
            </w:r>
          </w:p>
        </w:tc>
        <w:tc>
          <w:tcPr>
            <w:tcW w:w="842" w:type="dxa"/>
            <w:tcBorders>
              <w:top w:val="nil"/>
              <w:left w:val="nil"/>
              <w:bottom w:val="nil"/>
              <w:right w:val="nil"/>
            </w:tcBorders>
            <w:shd w:val="clear" w:color="000000" w:fill="FFFFFF"/>
            <w:noWrap/>
            <w:vAlign w:val="bottom"/>
            <w:hideMark/>
          </w:tcPr>
          <w:p w14:paraId="4378A756" w14:textId="6F1B0FED" w:rsidR="003079C8" w:rsidRPr="009A4E01" w:rsidRDefault="003079C8" w:rsidP="003079C8">
            <w:pPr>
              <w:spacing w:after="0" w:line="240" w:lineRule="auto"/>
              <w:jc w:val="center"/>
              <w:rPr>
                <w:rFonts w:eastAsia="Times New Roman" w:cs="Times New Roman"/>
                <w:color w:val="BFBFBF" w:themeColor="background1" w:themeShade="BF"/>
                <w:sz w:val="20"/>
                <w:lang w:eastAsia="sk-SK"/>
              </w:rPr>
            </w:pPr>
            <w:r>
              <w:rPr>
                <w:color w:val="000000"/>
                <w:sz w:val="20"/>
              </w:rPr>
              <w:t>0,5</w:t>
            </w:r>
          </w:p>
        </w:tc>
        <w:tc>
          <w:tcPr>
            <w:tcW w:w="842" w:type="dxa"/>
            <w:tcBorders>
              <w:top w:val="nil"/>
              <w:left w:val="nil"/>
              <w:bottom w:val="nil"/>
              <w:right w:val="nil"/>
            </w:tcBorders>
            <w:shd w:val="clear" w:color="000000" w:fill="FFFFFF"/>
            <w:noWrap/>
            <w:vAlign w:val="bottom"/>
            <w:hideMark/>
          </w:tcPr>
          <w:p w14:paraId="06B8549B" w14:textId="7C3EECBB" w:rsidR="003079C8" w:rsidRPr="009A4E01" w:rsidRDefault="003079C8" w:rsidP="003079C8">
            <w:pPr>
              <w:spacing w:after="0" w:line="240" w:lineRule="auto"/>
              <w:jc w:val="center"/>
              <w:rPr>
                <w:rFonts w:eastAsia="Times New Roman" w:cs="Times New Roman"/>
                <w:color w:val="BFBFBF" w:themeColor="background1" w:themeShade="BF"/>
                <w:sz w:val="20"/>
                <w:lang w:eastAsia="sk-SK"/>
              </w:rPr>
            </w:pPr>
            <w:r>
              <w:rPr>
                <w:color w:val="000000"/>
                <w:sz w:val="20"/>
              </w:rPr>
              <w:t>0,5</w:t>
            </w:r>
          </w:p>
        </w:tc>
      </w:tr>
      <w:tr w:rsidR="003079C8" w:rsidRPr="008B2C85" w14:paraId="4504AA90" w14:textId="77777777" w:rsidTr="008B2C85">
        <w:trPr>
          <w:trHeight w:val="255"/>
        </w:trPr>
        <w:tc>
          <w:tcPr>
            <w:tcW w:w="3678" w:type="dxa"/>
            <w:tcBorders>
              <w:top w:val="nil"/>
              <w:left w:val="nil"/>
              <w:bottom w:val="nil"/>
              <w:right w:val="nil"/>
            </w:tcBorders>
            <w:shd w:val="clear" w:color="000000" w:fill="FFFFFF"/>
            <w:vAlign w:val="bottom"/>
            <w:hideMark/>
          </w:tcPr>
          <w:p w14:paraId="529D3ACA" w14:textId="77777777" w:rsidR="003079C8" w:rsidRPr="008B2C85" w:rsidRDefault="003079C8" w:rsidP="003079C8">
            <w:pPr>
              <w:spacing w:after="0" w:line="240" w:lineRule="auto"/>
              <w:jc w:val="left"/>
              <w:rPr>
                <w:rFonts w:eastAsia="Times New Roman" w:cs="Times New Roman"/>
                <w:color w:val="000000"/>
                <w:sz w:val="20"/>
                <w:lang w:eastAsia="sk-SK"/>
              </w:rPr>
            </w:pPr>
            <w:r w:rsidRPr="008B2C85">
              <w:rPr>
                <w:rFonts w:eastAsia="Times New Roman" w:cs="Times New Roman"/>
                <w:color w:val="000000"/>
                <w:sz w:val="20"/>
                <w:lang w:eastAsia="sk-SK"/>
              </w:rPr>
              <w:t>Domov na pol ceste</w:t>
            </w:r>
          </w:p>
        </w:tc>
        <w:tc>
          <w:tcPr>
            <w:tcW w:w="1185" w:type="dxa"/>
            <w:tcBorders>
              <w:top w:val="nil"/>
              <w:left w:val="nil"/>
              <w:bottom w:val="nil"/>
              <w:right w:val="nil"/>
            </w:tcBorders>
            <w:shd w:val="clear" w:color="000000" w:fill="FFFFFF"/>
            <w:noWrap/>
            <w:vAlign w:val="bottom"/>
            <w:hideMark/>
          </w:tcPr>
          <w:p w14:paraId="74E5374A" w14:textId="77777777" w:rsidR="003079C8" w:rsidRPr="008B2C85" w:rsidRDefault="003079C8" w:rsidP="003079C8">
            <w:pPr>
              <w:spacing w:after="0" w:line="240" w:lineRule="auto"/>
              <w:jc w:val="center"/>
              <w:rPr>
                <w:rFonts w:eastAsia="Times New Roman" w:cs="Times New Roman"/>
                <w:color w:val="000000"/>
                <w:sz w:val="20"/>
                <w:lang w:eastAsia="sk-SK"/>
              </w:rPr>
            </w:pPr>
            <w:r w:rsidRPr="008B2C85">
              <w:rPr>
                <w:rFonts w:eastAsia="Times New Roman" w:cs="Times New Roman"/>
                <w:color w:val="000000"/>
                <w:sz w:val="20"/>
                <w:lang w:eastAsia="sk-SK"/>
              </w:rPr>
              <w:t> </w:t>
            </w:r>
          </w:p>
        </w:tc>
        <w:tc>
          <w:tcPr>
            <w:tcW w:w="841" w:type="dxa"/>
            <w:tcBorders>
              <w:top w:val="nil"/>
              <w:left w:val="nil"/>
              <w:bottom w:val="nil"/>
              <w:right w:val="nil"/>
            </w:tcBorders>
            <w:shd w:val="clear" w:color="000000" w:fill="FFFFFF"/>
            <w:noWrap/>
            <w:vAlign w:val="bottom"/>
            <w:hideMark/>
          </w:tcPr>
          <w:p w14:paraId="1886FEE8" w14:textId="150CC908" w:rsidR="003079C8" w:rsidRPr="008B2C85" w:rsidRDefault="003079C8" w:rsidP="003079C8">
            <w:pPr>
              <w:spacing w:after="0" w:line="240" w:lineRule="auto"/>
              <w:jc w:val="center"/>
              <w:rPr>
                <w:rFonts w:eastAsia="Times New Roman" w:cs="Times New Roman"/>
                <w:color w:val="000000"/>
                <w:sz w:val="20"/>
                <w:lang w:eastAsia="sk-SK"/>
              </w:rPr>
            </w:pPr>
            <w:r>
              <w:rPr>
                <w:color w:val="000000"/>
                <w:sz w:val="20"/>
              </w:rPr>
              <w:t>0,6</w:t>
            </w:r>
          </w:p>
        </w:tc>
        <w:tc>
          <w:tcPr>
            <w:tcW w:w="842" w:type="dxa"/>
            <w:tcBorders>
              <w:top w:val="nil"/>
              <w:left w:val="nil"/>
              <w:bottom w:val="nil"/>
              <w:right w:val="nil"/>
            </w:tcBorders>
            <w:shd w:val="clear" w:color="000000" w:fill="FFFFFF"/>
            <w:noWrap/>
            <w:vAlign w:val="bottom"/>
            <w:hideMark/>
          </w:tcPr>
          <w:p w14:paraId="0DEDC8DA" w14:textId="2688FE91" w:rsidR="003079C8" w:rsidRPr="008B2C85" w:rsidRDefault="003079C8" w:rsidP="003079C8">
            <w:pPr>
              <w:spacing w:after="0" w:line="240" w:lineRule="auto"/>
              <w:jc w:val="center"/>
              <w:rPr>
                <w:rFonts w:eastAsia="Times New Roman" w:cs="Times New Roman"/>
                <w:color w:val="000000"/>
                <w:sz w:val="20"/>
                <w:lang w:eastAsia="sk-SK"/>
              </w:rPr>
            </w:pPr>
            <w:r>
              <w:rPr>
                <w:color w:val="000000"/>
                <w:sz w:val="20"/>
              </w:rPr>
              <w:t>0,6</w:t>
            </w:r>
          </w:p>
        </w:tc>
        <w:tc>
          <w:tcPr>
            <w:tcW w:w="842" w:type="dxa"/>
            <w:tcBorders>
              <w:top w:val="nil"/>
              <w:left w:val="nil"/>
              <w:bottom w:val="nil"/>
              <w:right w:val="nil"/>
            </w:tcBorders>
            <w:shd w:val="clear" w:color="000000" w:fill="FFFFFF"/>
            <w:noWrap/>
            <w:vAlign w:val="bottom"/>
            <w:hideMark/>
          </w:tcPr>
          <w:p w14:paraId="763EFA01" w14:textId="709ABF2A" w:rsidR="003079C8" w:rsidRPr="008B2C85" w:rsidRDefault="003079C8" w:rsidP="003079C8">
            <w:pPr>
              <w:spacing w:after="0" w:line="240" w:lineRule="auto"/>
              <w:jc w:val="center"/>
              <w:rPr>
                <w:rFonts w:eastAsia="Times New Roman" w:cs="Times New Roman"/>
                <w:color w:val="000000"/>
                <w:sz w:val="20"/>
                <w:lang w:eastAsia="sk-SK"/>
              </w:rPr>
            </w:pPr>
            <w:r>
              <w:rPr>
                <w:color w:val="000000"/>
                <w:sz w:val="20"/>
              </w:rPr>
              <w:t>0,6</w:t>
            </w:r>
          </w:p>
        </w:tc>
        <w:tc>
          <w:tcPr>
            <w:tcW w:w="842" w:type="dxa"/>
            <w:tcBorders>
              <w:top w:val="nil"/>
              <w:left w:val="nil"/>
              <w:bottom w:val="nil"/>
              <w:right w:val="nil"/>
            </w:tcBorders>
            <w:shd w:val="clear" w:color="000000" w:fill="FFFFFF"/>
            <w:noWrap/>
            <w:vAlign w:val="bottom"/>
            <w:hideMark/>
          </w:tcPr>
          <w:p w14:paraId="6909FC03" w14:textId="7BA49AD3" w:rsidR="003079C8" w:rsidRPr="008B2C85" w:rsidRDefault="003079C8" w:rsidP="003079C8">
            <w:pPr>
              <w:spacing w:after="0" w:line="240" w:lineRule="auto"/>
              <w:jc w:val="center"/>
              <w:rPr>
                <w:rFonts w:eastAsia="Times New Roman" w:cs="Times New Roman"/>
                <w:color w:val="000000"/>
                <w:sz w:val="20"/>
                <w:lang w:eastAsia="sk-SK"/>
              </w:rPr>
            </w:pPr>
            <w:r>
              <w:rPr>
                <w:color w:val="000000"/>
                <w:sz w:val="20"/>
              </w:rPr>
              <w:t>0,7</w:t>
            </w:r>
          </w:p>
        </w:tc>
        <w:tc>
          <w:tcPr>
            <w:tcW w:w="842" w:type="dxa"/>
            <w:tcBorders>
              <w:top w:val="nil"/>
              <w:left w:val="nil"/>
              <w:bottom w:val="nil"/>
              <w:right w:val="nil"/>
            </w:tcBorders>
            <w:shd w:val="clear" w:color="000000" w:fill="FFFFFF"/>
            <w:noWrap/>
            <w:vAlign w:val="bottom"/>
            <w:hideMark/>
          </w:tcPr>
          <w:p w14:paraId="3F15DE79" w14:textId="74D4987F" w:rsidR="003079C8" w:rsidRPr="008B2C85" w:rsidRDefault="003079C8" w:rsidP="003079C8">
            <w:pPr>
              <w:spacing w:after="0" w:line="240" w:lineRule="auto"/>
              <w:jc w:val="center"/>
              <w:rPr>
                <w:rFonts w:eastAsia="Times New Roman" w:cs="Times New Roman"/>
                <w:color w:val="000000"/>
                <w:sz w:val="20"/>
                <w:lang w:eastAsia="sk-SK"/>
              </w:rPr>
            </w:pPr>
            <w:r>
              <w:rPr>
                <w:color w:val="000000"/>
                <w:sz w:val="20"/>
              </w:rPr>
              <w:t>0,7</w:t>
            </w:r>
          </w:p>
        </w:tc>
      </w:tr>
      <w:tr w:rsidR="003079C8" w:rsidRPr="008B2C85" w14:paraId="54D9AC11" w14:textId="77777777" w:rsidTr="008B2C85">
        <w:trPr>
          <w:trHeight w:val="255"/>
        </w:trPr>
        <w:tc>
          <w:tcPr>
            <w:tcW w:w="3678" w:type="dxa"/>
            <w:tcBorders>
              <w:top w:val="nil"/>
              <w:left w:val="nil"/>
              <w:bottom w:val="nil"/>
              <w:right w:val="nil"/>
            </w:tcBorders>
            <w:shd w:val="clear" w:color="000000" w:fill="FFFFFF"/>
            <w:noWrap/>
            <w:vAlign w:val="bottom"/>
            <w:hideMark/>
          </w:tcPr>
          <w:p w14:paraId="5F1031A6" w14:textId="7CF31FFB" w:rsidR="003079C8" w:rsidRPr="008B2C85" w:rsidRDefault="003079C8" w:rsidP="003079C8">
            <w:pPr>
              <w:spacing w:after="0" w:line="240" w:lineRule="auto"/>
              <w:ind w:left="214"/>
              <w:jc w:val="left"/>
              <w:rPr>
                <w:rFonts w:eastAsia="Times New Roman" w:cs="Times New Roman"/>
                <w:color w:val="000000"/>
                <w:sz w:val="20"/>
                <w:lang w:eastAsia="sk-SK"/>
              </w:rPr>
            </w:pPr>
            <w:r w:rsidRPr="008B2C85">
              <w:rPr>
                <w:rFonts w:eastAsia="Times New Roman" w:cs="Times New Roman"/>
                <w:color w:val="000000"/>
                <w:sz w:val="20"/>
                <w:lang w:eastAsia="sk-SK"/>
              </w:rPr>
              <w:t>z toho financované obcami a VÚC</w:t>
            </w:r>
          </w:p>
        </w:tc>
        <w:tc>
          <w:tcPr>
            <w:tcW w:w="1185" w:type="dxa"/>
            <w:tcBorders>
              <w:top w:val="nil"/>
              <w:left w:val="nil"/>
              <w:bottom w:val="nil"/>
              <w:right w:val="nil"/>
            </w:tcBorders>
            <w:shd w:val="clear" w:color="000000" w:fill="FFFFFF"/>
            <w:noWrap/>
            <w:vAlign w:val="bottom"/>
            <w:hideMark/>
          </w:tcPr>
          <w:p w14:paraId="0B4D9742" w14:textId="77777777" w:rsidR="003079C8" w:rsidRPr="008B2C85" w:rsidRDefault="003079C8" w:rsidP="003079C8">
            <w:pPr>
              <w:spacing w:after="0" w:line="240" w:lineRule="auto"/>
              <w:jc w:val="center"/>
              <w:rPr>
                <w:rFonts w:eastAsia="Times New Roman" w:cs="Times New Roman"/>
                <w:color w:val="000000"/>
                <w:sz w:val="20"/>
                <w:lang w:eastAsia="sk-SK"/>
              </w:rPr>
            </w:pPr>
            <w:r w:rsidRPr="008B2C85">
              <w:rPr>
                <w:rFonts w:eastAsia="Times New Roman" w:cs="Times New Roman"/>
                <w:color w:val="000000"/>
                <w:sz w:val="20"/>
                <w:lang w:eastAsia="sk-SK"/>
              </w:rPr>
              <w:t>samosprávy</w:t>
            </w:r>
          </w:p>
        </w:tc>
        <w:tc>
          <w:tcPr>
            <w:tcW w:w="841" w:type="dxa"/>
            <w:tcBorders>
              <w:top w:val="nil"/>
              <w:left w:val="nil"/>
              <w:bottom w:val="nil"/>
              <w:right w:val="nil"/>
            </w:tcBorders>
            <w:shd w:val="clear" w:color="000000" w:fill="FFFFFF"/>
            <w:noWrap/>
            <w:vAlign w:val="bottom"/>
            <w:hideMark/>
          </w:tcPr>
          <w:p w14:paraId="3AB06C4F" w14:textId="1AEB261E" w:rsidR="003079C8" w:rsidRPr="00773905" w:rsidRDefault="003079C8" w:rsidP="003079C8">
            <w:pPr>
              <w:spacing w:after="0" w:line="240" w:lineRule="auto"/>
              <w:jc w:val="center"/>
              <w:rPr>
                <w:rFonts w:eastAsia="Times New Roman" w:cs="Times New Roman"/>
                <w:color w:val="BFBFBF" w:themeColor="background1" w:themeShade="BF"/>
                <w:sz w:val="20"/>
                <w:lang w:eastAsia="sk-SK"/>
              </w:rPr>
            </w:pPr>
            <w:r>
              <w:rPr>
                <w:color w:val="000000"/>
                <w:sz w:val="20"/>
              </w:rPr>
              <w:t>0,5</w:t>
            </w:r>
          </w:p>
        </w:tc>
        <w:tc>
          <w:tcPr>
            <w:tcW w:w="842" w:type="dxa"/>
            <w:tcBorders>
              <w:top w:val="nil"/>
              <w:left w:val="nil"/>
              <w:bottom w:val="nil"/>
              <w:right w:val="nil"/>
            </w:tcBorders>
            <w:shd w:val="clear" w:color="auto" w:fill="auto"/>
            <w:noWrap/>
            <w:vAlign w:val="bottom"/>
            <w:hideMark/>
          </w:tcPr>
          <w:p w14:paraId="1D37E86B" w14:textId="4A22089E" w:rsidR="003079C8" w:rsidRPr="009A4E01" w:rsidRDefault="003079C8" w:rsidP="003079C8">
            <w:pPr>
              <w:spacing w:after="0" w:line="240" w:lineRule="auto"/>
              <w:jc w:val="center"/>
              <w:rPr>
                <w:rFonts w:eastAsia="Times New Roman" w:cs="Times New Roman"/>
                <w:color w:val="BFBFBF" w:themeColor="background1" w:themeShade="BF"/>
                <w:sz w:val="20"/>
                <w:lang w:eastAsia="sk-SK"/>
              </w:rPr>
            </w:pPr>
            <w:r>
              <w:rPr>
                <w:color w:val="000000"/>
                <w:sz w:val="20"/>
              </w:rPr>
              <w:t>0,6</w:t>
            </w:r>
          </w:p>
        </w:tc>
        <w:tc>
          <w:tcPr>
            <w:tcW w:w="842" w:type="dxa"/>
            <w:tcBorders>
              <w:top w:val="nil"/>
              <w:left w:val="nil"/>
              <w:bottom w:val="nil"/>
              <w:right w:val="nil"/>
            </w:tcBorders>
            <w:shd w:val="clear" w:color="000000" w:fill="FFFFFF"/>
            <w:noWrap/>
            <w:vAlign w:val="bottom"/>
            <w:hideMark/>
          </w:tcPr>
          <w:p w14:paraId="04DC22EC" w14:textId="16B16653" w:rsidR="003079C8" w:rsidRPr="009A4E01" w:rsidRDefault="003079C8" w:rsidP="003079C8">
            <w:pPr>
              <w:spacing w:after="0" w:line="240" w:lineRule="auto"/>
              <w:jc w:val="center"/>
              <w:rPr>
                <w:rFonts w:eastAsia="Times New Roman" w:cs="Times New Roman"/>
                <w:color w:val="BFBFBF" w:themeColor="background1" w:themeShade="BF"/>
                <w:sz w:val="20"/>
                <w:lang w:eastAsia="sk-SK"/>
              </w:rPr>
            </w:pPr>
            <w:r>
              <w:rPr>
                <w:color w:val="000000"/>
                <w:sz w:val="20"/>
              </w:rPr>
              <w:t>0,6</w:t>
            </w:r>
          </w:p>
        </w:tc>
        <w:tc>
          <w:tcPr>
            <w:tcW w:w="842" w:type="dxa"/>
            <w:tcBorders>
              <w:top w:val="nil"/>
              <w:left w:val="nil"/>
              <w:bottom w:val="nil"/>
              <w:right w:val="nil"/>
            </w:tcBorders>
            <w:shd w:val="clear" w:color="000000" w:fill="FFFFFF"/>
            <w:noWrap/>
            <w:vAlign w:val="bottom"/>
            <w:hideMark/>
          </w:tcPr>
          <w:p w14:paraId="0C34673E" w14:textId="2EAF3839" w:rsidR="003079C8" w:rsidRPr="009A4E01" w:rsidRDefault="003079C8" w:rsidP="003079C8">
            <w:pPr>
              <w:spacing w:after="0" w:line="240" w:lineRule="auto"/>
              <w:jc w:val="center"/>
              <w:rPr>
                <w:rFonts w:eastAsia="Times New Roman" w:cs="Times New Roman"/>
                <w:color w:val="BFBFBF" w:themeColor="background1" w:themeShade="BF"/>
                <w:sz w:val="20"/>
                <w:lang w:eastAsia="sk-SK"/>
              </w:rPr>
            </w:pPr>
            <w:r>
              <w:rPr>
                <w:color w:val="000000"/>
                <w:sz w:val="20"/>
              </w:rPr>
              <w:t>0,6</w:t>
            </w:r>
          </w:p>
        </w:tc>
        <w:tc>
          <w:tcPr>
            <w:tcW w:w="842" w:type="dxa"/>
            <w:tcBorders>
              <w:top w:val="nil"/>
              <w:left w:val="nil"/>
              <w:bottom w:val="nil"/>
              <w:right w:val="nil"/>
            </w:tcBorders>
            <w:shd w:val="clear" w:color="000000" w:fill="FFFFFF"/>
            <w:noWrap/>
            <w:vAlign w:val="bottom"/>
            <w:hideMark/>
          </w:tcPr>
          <w:p w14:paraId="51696F24" w14:textId="130CB3C8" w:rsidR="003079C8" w:rsidRPr="009A4E01" w:rsidRDefault="003079C8" w:rsidP="003079C8">
            <w:pPr>
              <w:spacing w:after="0" w:line="240" w:lineRule="auto"/>
              <w:jc w:val="center"/>
              <w:rPr>
                <w:rFonts w:eastAsia="Times New Roman" w:cs="Times New Roman"/>
                <w:color w:val="BFBFBF" w:themeColor="background1" w:themeShade="BF"/>
                <w:sz w:val="20"/>
                <w:lang w:eastAsia="sk-SK"/>
              </w:rPr>
            </w:pPr>
            <w:r>
              <w:rPr>
                <w:color w:val="000000"/>
                <w:sz w:val="20"/>
              </w:rPr>
              <w:t>0,7</w:t>
            </w:r>
          </w:p>
        </w:tc>
      </w:tr>
      <w:tr w:rsidR="003079C8" w:rsidRPr="008B2C85" w14:paraId="445618A9" w14:textId="77777777" w:rsidTr="008B2C85">
        <w:trPr>
          <w:trHeight w:val="255"/>
        </w:trPr>
        <w:tc>
          <w:tcPr>
            <w:tcW w:w="3678" w:type="dxa"/>
            <w:tcBorders>
              <w:top w:val="nil"/>
              <w:left w:val="nil"/>
              <w:bottom w:val="nil"/>
              <w:right w:val="nil"/>
            </w:tcBorders>
            <w:shd w:val="clear" w:color="000000" w:fill="FFFFFF"/>
            <w:noWrap/>
            <w:vAlign w:val="bottom"/>
            <w:hideMark/>
          </w:tcPr>
          <w:p w14:paraId="3DAAE8E9" w14:textId="79928D73" w:rsidR="003079C8" w:rsidRPr="008B2C85" w:rsidRDefault="003079C8" w:rsidP="003079C8">
            <w:pPr>
              <w:spacing w:after="0" w:line="240" w:lineRule="auto"/>
              <w:ind w:left="214"/>
              <w:jc w:val="left"/>
              <w:rPr>
                <w:rFonts w:eastAsia="Times New Roman" w:cs="Times New Roman"/>
                <w:color w:val="000000"/>
                <w:sz w:val="20"/>
                <w:lang w:eastAsia="sk-SK"/>
              </w:rPr>
            </w:pPr>
            <w:r w:rsidRPr="008B2C85">
              <w:rPr>
                <w:rFonts w:eastAsia="Times New Roman" w:cs="Times New Roman"/>
                <w:color w:val="000000"/>
                <w:sz w:val="20"/>
                <w:lang w:eastAsia="sk-SK"/>
              </w:rPr>
              <w:t>z toho spolufinancovanie zo š</w:t>
            </w:r>
            <w:r>
              <w:rPr>
                <w:rFonts w:eastAsia="Times New Roman" w:cs="Times New Roman"/>
                <w:color w:val="000000"/>
                <w:sz w:val="20"/>
                <w:lang w:eastAsia="sk-SK"/>
              </w:rPr>
              <w:t>. r.</w:t>
            </w:r>
          </w:p>
        </w:tc>
        <w:tc>
          <w:tcPr>
            <w:tcW w:w="1185" w:type="dxa"/>
            <w:tcBorders>
              <w:top w:val="nil"/>
              <w:left w:val="nil"/>
              <w:bottom w:val="nil"/>
              <w:right w:val="nil"/>
            </w:tcBorders>
            <w:shd w:val="clear" w:color="000000" w:fill="FFFFFF"/>
            <w:noWrap/>
            <w:vAlign w:val="bottom"/>
            <w:hideMark/>
          </w:tcPr>
          <w:p w14:paraId="60B5F93A" w14:textId="77777777" w:rsidR="003079C8" w:rsidRPr="008B2C85" w:rsidRDefault="003079C8" w:rsidP="003079C8">
            <w:pPr>
              <w:spacing w:after="0" w:line="240" w:lineRule="auto"/>
              <w:jc w:val="center"/>
              <w:rPr>
                <w:rFonts w:eastAsia="Times New Roman" w:cs="Times New Roman"/>
                <w:color w:val="000000"/>
                <w:sz w:val="20"/>
                <w:lang w:eastAsia="sk-SK"/>
              </w:rPr>
            </w:pPr>
            <w:r w:rsidRPr="008B2C85">
              <w:rPr>
                <w:rFonts w:eastAsia="Times New Roman" w:cs="Times New Roman"/>
                <w:color w:val="000000"/>
                <w:sz w:val="20"/>
                <w:lang w:eastAsia="sk-SK"/>
              </w:rPr>
              <w:t>MPSVR</w:t>
            </w:r>
          </w:p>
        </w:tc>
        <w:tc>
          <w:tcPr>
            <w:tcW w:w="841" w:type="dxa"/>
            <w:tcBorders>
              <w:top w:val="nil"/>
              <w:left w:val="nil"/>
              <w:bottom w:val="nil"/>
              <w:right w:val="nil"/>
            </w:tcBorders>
            <w:shd w:val="clear" w:color="000000" w:fill="FFFFFF"/>
            <w:noWrap/>
            <w:vAlign w:val="bottom"/>
            <w:hideMark/>
          </w:tcPr>
          <w:p w14:paraId="402703F5" w14:textId="6959C7A9" w:rsidR="003079C8" w:rsidRPr="00773905" w:rsidRDefault="003079C8" w:rsidP="003079C8">
            <w:pPr>
              <w:spacing w:after="0" w:line="240" w:lineRule="auto"/>
              <w:jc w:val="center"/>
              <w:rPr>
                <w:rFonts w:eastAsia="Times New Roman" w:cs="Times New Roman"/>
                <w:color w:val="BFBFBF" w:themeColor="background1" w:themeShade="BF"/>
                <w:sz w:val="20"/>
                <w:lang w:eastAsia="sk-SK"/>
              </w:rPr>
            </w:pPr>
            <w:r>
              <w:rPr>
                <w:color w:val="000000"/>
                <w:sz w:val="20"/>
              </w:rPr>
              <w:t>0,0</w:t>
            </w:r>
          </w:p>
        </w:tc>
        <w:tc>
          <w:tcPr>
            <w:tcW w:w="842" w:type="dxa"/>
            <w:tcBorders>
              <w:top w:val="nil"/>
              <w:left w:val="nil"/>
              <w:bottom w:val="nil"/>
              <w:right w:val="nil"/>
            </w:tcBorders>
            <w:shd w:val="clear" w:color="000000" w:fill="FFFFFF"/>
            <w:noWrap/>
            <w:vAlign w:val="bottom"/>
            <w:hideMark/>
          </w:tcPr>
          <w:p w14:paraId="33CF9855" w14:textId="344D8D97" w:rsidR="003079C8" w:rsidRPr="009A4E01" w:rsidRDefault="003079C8" w:rsidP="003079C8">
            <w:pPr>
              <w:spacing w:after="0" w:line="240" w:lineRule="auto"/>
              <w:jc w:val="center"/>
              <w:rPr>
                <w:rFonts w:eastAsia="Times New Roman" w:cs="Times New Roman"/>
                <w:color w:val="BFBFBF" w:themeColor="background1" w:themeShade="BF"/>
                <w:sz w:val="20"/>
                <w:lang w:eastAsia="sk-SK"/>
              </w:rPr>
            </w:pPr>
            <w:r>
              <w:rPr>
                <w:color w:val="000000"/>
                <w:sz w:val="20"/>
              </w:rPr>
              <w:t>0,0</w:t>
            </w:r>
          </w:p>
        </w:tc>
        <w:tc>
          <w:tcPr>
            <w:tcW w:w="842" w:type="dxa"/>
            <w:tcBorders>
              <w:top w:val="nil"/>
              <w:left w:val="nil"/>
              <w:bottom w:val="nil"/>
              <w:right w:val="nil"/>
            </w:tcBorders>
            <w:shd w:val="clear" w:color="000000" w:fill="FFFFFF"/>
            <w:noWrap/>
            <w:vAlign w:val="bottom"/>
            <w:hideMark/>
          </w:tcPr>
          <w:p w14:paraId="3E13D5E9" w14:textId="1E3DA29D" w:rsidR="003079C8" w:rsidRPr="009A4E01" w:rsidRDefault="003079C8" w:rsidP="003079C8">
            <w:pPr>
              <w:spacing w:after="0" w:line="240" w:lineRule="auto"/>
              <w:jc w:val="center"/>
              <w:rPr>
                <w:rFonts w:eastAsia="Times New Roman" w:cs="Times New Roman"/>
                <w:color w:val="BFBFBF" w:themeColor="background1" w:themeShade="BF"/>
                <w:sz w:val="20"/>
                <w:lang w:eastAsia="sk-SK"/>
              </w:rPr>
            </w:pPr>
            <w:r>
              <w:rPr>
                <w:color w:val="000000"/>
                <w:sz w:val="20"/>
              </w:rPr>
              <w:t>0,0</w:t>
            </w:r>
          </w:p>
        </w:tc>
        <w:tc>
          <w:tcPr>
            <w:tcW w:w="842" w:type="dxa"/>
            <w:tcBorders>
              <w:top w:val="nil"/>
              <w:left w:val="nil"/>
              <w:bottom w:val="nil"/>
              <w:right w:val="nil"/>
            </w:tcBorders>
            <w:shd w:val="clear" w:color="000000" w:fill="FFFFFF"/>
            <w:noWrap/>
            <w:vAlign w:val="bottom"/>
            <w:hideMark/>
          </w:tcPr>
          <w:p w14:paraId="1A022E1A" w14:textId="3D9422D3" w:rsidR="003079C8" w:rsidRPr="009A4E01" w:rsidRDefault="003079C8" w:rsidP="003079C8">
            <w:pPr>
              <w:spacing w:after="0" w:line="240" w:lineRule="auto"/>
              <w:jc w:val="center"/>
              <w:rPr>
                <w:rFonts w:eastAsia="Times New Roman" w:cs="Times New Roman"/>
                <w:color w:val="BFBFBF" w:themeColor="background1" w:themeShade="BF"/>
                <w:sz w:val="20"/>
                <w:lang w:eastAsia="sk-SK"/>
              </w:rPr>
            </w:pPr>
            <w:r>
              <w:rPr>
                <w:color w:val="000000"/>
                <w:sz w:val="20"/>
              </w:rPr>
              <w:t>0,0</w:t>
            </w:r>
          </w:p>
        </w:tc>
        <w:tc>
          <w:tcPr>
            <w:tcW w:w="842" w:type="dxa"/>
            <w:tcBorders>
              <w:top w:val="nil"/>
              <w:left w:val="nil"/>
              <w:bottom w:val="nil"/>
              <w:right w:val="nil"/>
            </w:tcBorders>
            <w:shd w:val="clear" w:color="000000" w:fill="FFFFFF"/>
            <w:noWrap/>
            <w:vAlign w:val="bottom"/>
            <w:hideMark/>
          </w:tcPr>
          <w:p w14:paraId="60AF68D8" w14:textId="7708BE8F" w:rsidR="003079C8" w:rsidRPr="009A4E01" w:rsidRDefault="003079C8" w:rsidP="003079C8">
            <w:pPr>
              <w:spacing w:after="0" w:line="240" w:lineRule="auto"/>
              <w:jc w:val="center"/>
              <w:rPr>
                <w:rFonts w:eastAsia="Times New Roman" w:cs="Times New Roman"/>
                <w:color w:val="BFBFBF" w:themeColor="background1" w:themeShade="BF"/>
                <w:sz w:val="20"/>
                <w:lang w:eastAsia="sk-SK"/>
              </w:rPr>
            </w:pPr>
            <w:r>
              <w:rPr>
                <w:color w:val="000000"/>
                <w:sz w:val="20"/>
              </w:rPr>
              <w:t>0,0</w:t>
            </w:r>
          </w:p>
        </w:tc>
      </w:tr>
      <w:tr w:rsidR="00666CC6" w:rsidRPr="008B2C85" w14:paraId="3204488E" w14:textId="77777777" w:rsidTr="008B2C85">
        <w:trPr>
          <w:trHeight w:val="285"/>
        </w:trPr>
        <w:tc>
          <w:tcPr>
            <w:tcW w:w="3678" w:type="dxa"/>
            <w:tcBorders>
              <w:top w:val="single" w:sz="4" w:space="0" w:color="auto"/>
              <w:left w:val="nil"/>
              <w:bottom w:val="single" w:sz="4" w:space="0" w:color="auto"/>
              <w:right w:val="nil"/>
            </w:tcBorders>
            <w:shd w:val="clear" w:color="000000" w:fill="FFFFFF"/>
            <w:vAlign w:val="bottom"/>
            <w:hideMark/>
          </w:tcPr>
          <w:p w14:paraId="35FCDE57" w14:textId="77777777" w:rsidR="00666CC6" w:rsidRPr="008B2C85" w:rsidRDefault="00666CC6" w:rsidP="00666CC6">
            <w:pPr>
              <w:spacing w:after="0" w:line="240" w:lineRule="auto"/>
              <w:jc w:val="left"/>
              <w:rPr>
                <w:rFonts w:eastAsia="Times New Roman" w:cs="Times New Roman"/>
                <w:b/>
                <w:bCs/>
                <w:color w:val="000000"/>
                <w:sz w:val="20"/>
                <w:lang w:eastAsia="sk-SK"/>
              </w:rPr>
            </w:pPr>
            <w:r w:rsidRPr="008B2C85">
              <w:rPr>
                <w:rFonts w:eastAsia="Times New Roman" w:cs="Times New Roman"/>
                <w:b/>
                <w:bCs/>
                <w:color w:val="000000"/>
                <w:sz w:val="20"/>
                <w:lang w:eastAsia="sk-SK"/>
              </w:rPr>
              <w:t>Spolu štátny rozpočet a rozpočet samospráv</w:t>
            </w:r>
          </w:p>
        </w:tc>
        <w:tc>
          <w:tcPr>
            <w:tcW w:w="1185" w:type="dxa"/>
            <w:tcBorders>
              <w:top w:val="single" w:sz="4" w:space="0" w:color="auto"/>
              <w:left w:val="nil"/>
              <w:bottom w:val="single" w:sz="4" w:space="0" w:color="auto"/>
              <w:right w:val="nil"/>
            </w:tcBorders>
            <w:shd w:val="clear" w:color="000000" w:fill="FFFFFF"/>
            <w:noWrap/>
            <w:vAlign w:val="bottom"/>
            <w:hideMark/>
          </w:tcPr>
          <w:p w14:paraId="40EA8C5E" w14:textId="77777777" w:rsidR="00666CC6" w:rsidRPr="008B2C85" w:rsidRDefault="00666CC6" w:rsidP="00666CC6">
            <w:pPr>
              <w:spacing w:after="0" w:line="240" w:lineRule="auto"/>
              <w:jc w:val="left"/>
              <w:rPr>
                <w:rFonts w:eastAsia="Times New Roman" w:cs="Times New Roman"/>
                <w:b/>
                <w:bCs/>
                <w:color w:val="000000"/>
                <w:sz w:val="20"/>
                <w:lang w:eastAsia="sk-SK"/>
              </w:rPr>
            </w:pPr>
            <w:r w:rsidRPr="008B2C85">
              <w:rPr>
                <w:rFonts w:eastAsia="Times New Roman" w:cs="Times New Roman"/>
                <w:b/>
                <w:bCs/>
                <w:color w:val="000000"/>
                <w:sz w:val="20"/>
                <w:lang w:eastAsia="sk-SK"/>
              </w:rPr>
              <w:t> </w:t>
            </w:r>
          </w:p>
        </w:tc>
        <w:tc>
          <w:tcPr>
            <w:tcW w:w="841" w:type="dxa"/>
            <w:tcBorders>
              <w:top w:val="single" w:sz="4" w:space="0" w:color="auto"/>
              <w:left w:val="nil"/>
              <w:bottom w:val="single" w:sz="4" w:space="0" w:color="auto"/>
              <w:right w:val="nil"/>
            </w:tcBorders>
            <w:shd w:val="clear" w:color="000000" w:fill="FFFFFF"/>
            <w:noWrap/>
            <w:vAlign w:val="bottom"/>
            <w:hideMark/>
          </w:tcPr>
          <w:p w14:paraId="0117C70C" w14:textId="25835FD9" w:rsidR="00666CC6" w:rsidRPr="008B2C85" w:rsidRDefault="00666CC6" w:rsidP="00666CC6">
            <w:pPr>
              <w:spacing w:after="0" w:line="240" w:lineRule="auto"/>
              <w:jc w:val="center"/>
              <w:rPr>
                <w:rFonts w:eastAsia="Times New Roman" w:cs="Times New Roman"/>
                <w:b/>
                <w:bCs/>
                <w:color w:val="000000"/>
                <w:sz w:val="20"/>
                <w:lang w:eastAsia="sk-SK"/>
              </w:rPr>
            </w:pPr>
            <w:r>
              <w:rPr>
                <w:b/>
                <w:bCs/>
                <w:color w:val="000000"/>
                <w:sz w:val="20"/>
              </w:rPr>
              <w:t>75,9</w:t>
            </w:r>
          </w:p>
        </w:tc>
        <w:tc>
          <w:tcPr>
            <w:tcW w:w="842" w:type="dxa"/>
            <w:tcBorders>
              <w:top w:val="single" w:sz="4" w:space="0" w:color="auto"/>
              <w:left w:val="nil"/>
              <w:bottom w:val="single" w:sz="4" w:space="0" w:color="auto"/>
              <w:right w:val="nil"/>
            </w:tcBorders>
            <w:shd w:val="clear" w:color="000000" w:fill="FFFFFF"/>
            <w:noWrap/>
            <w:vAlign w:val="bottom"/>
            <w:hideMark/>
          </w:tcPr>
          <w:p w14:paraId="083BC31F" w14:textId="3C00D0E3" w:rsidR="00666CC6" w:rsidRPr="008B2C85" w:rsidRDefault="00666CC6" w:rsidP="00666CC6">
            <w:pPr>
              <w:spacing w:after="0" w:line="240" w:lineRule="auto"/>
              <w:jc w:val="center"/>
              <w:rPr>
                <w:rFonts w:eastAsia="Times New Roman" w:cs="Times New Roman"/>
                <w:b/>
                <w:bCs/>
                <w:color w:val="000000"/>
                <w:sz w:val="20"/>
                <w:lang w:eastAsia="sk-SK"/>
              </w:rPr>
            </w:pPr>
            <w:r>
              <w:rPr>
                <w:b/>
                <w:bCs/>
                <w:color w:val="000000"/>
                <w:sz w:val="20"/>
              </w:rPr>
              <w:t>99,9</w:t>
            </w:r>
          </w:p>
        </w:tc>
        <w:tc>
          <w:tcPr>
            <w:tcW w:w="842" w:type="dxa"/>
            <w:tcBorders>
              <w:top w:val="single" w:sz="4" w:space="0" w:color="auto"/>
              <w:left w:val="nil"/>
              <w:bottom w:val="single" w:sz="4" w:space="0" w:color="auto"/>
              <w:right w:val="nil"/>
            </w:tcBorders>
            <w:shd w:val="clear" w:color="000000" w:fill="FFFFFF"/>
            <w:noWrap/>
            <w:vAlign w:val="bottom"/>
            <w:hideMark/>
          </w:tcPr>
          <w:p w14:paraId="77B932BC" w14:textId="065A7221" w:rsidR="00666CC6" w:rsidRPr="008B2C85" w:rsidRDefault="00666CC6" w:rsidP="00666CC6">
            <w:pPr>
              <w:spacing w:after="0" w:line="240" w:lineRule="auto"/>
              <w:jc w:val="center"/>
              <w:rPr>
                <w:rFonts w:eastAsia="Times New Roman" w:cs="Times New Roman"/>
                <w:b/>
                <w:bCs/>
                <w:color w:val="000000"/>
                <w:sz w:val="20"/>
                <w:lang w:eastAsia="sk-SK"/>
              </w:rPr>
            </w:pPr>
            <w:r>
              <w:rPr>
                <w:b/>
                <w:bCs/>
                <w:color w:val="000000"/>
                <w:sz w:val="20"/>
              </w:rPr>
              <w:t>115,6</w:t>
            </w:r>
          </w:p>
        </w:tc>
        <w:tc>
          <w:tcPr>
            <w:tcW w:w="842" w:type="dxa"/>
            <w:tcBorders>
              <w:top w:val="single" w:sz="4" w:space="0" w:color="auto"/>
              <w:left w:val="nil"/>
              <w:bottom w:val="single" w:sz="4" w:space="0" w:color="auto"/>
              <w:right w:val="nil"/>
            </w:tcBorders>
            <w:shd w:val="clear" w:color="000000" w:fill="FFFFFF"/>
            <w:noWrap/>
            <w:vAlign w:val="bottom"/>
            <w:hideMark/>
          </w:tcPr>
          <w:p w14:paraId="16DC3DAA" w14:textId="56D91169" w:rsidR="00666CC6" w:rsidRPr="008B2C85" w:rsidRDefault="00666CC6" w:rsidP="00666CC6">
            <w:pPr>
              <w:spacing w:after="0" w:line="240" w:lineRule="auto"/>
              <w:jc w:val="center"/>
              <w:rPr>
                <w:rFonts w:eastAsia="Times New Roman" w:cs="Times New Roman"/>
                <w:b/>
                <w:bCs/>
                <w:color w:val="000000"/>
                <w:sz w:val="20"/>
                <w:lang w:eastAsia="sk-SK"/>
              </w:rPr>
            </w:pPr>
            <w:r>
              <w:rPr>
                <w:b/>
                <w:bCs/>
                <w:color w:val="000000"/>
                <w:sz w:val="20"/>
              </w:rPr>
              <w:t>116,6</w:t>
            </w:r>
          </w:p>
        </w:tc>
        <w:tc>
          <w:tcPr>
            <w:tcW w:w="842" w:type="dxa"/>
            <w:tcBorders>
              <w:top w:val="single" w:sz="4" w:space="0" w:color="auto"/>
              <w:left w:val="nil"/>
              <w:bottom w:val="single" w:sz="4" w:space="0" w:color="auto"/>
              <w:right w:val="nil"/>
            </w:tcBorders>
            <w:shd w:val="clear" w:color="000000" w:fill="FFFFFF"/>
            <w:noWrap/>
            <w:vAlign w:val="bottom"/>
            <w:hideMark/>
          </w:tcPr>
          <w:p w14:paraId="1A365915" w14:textId="607DD68A" w:rsidR="00666CC6" w:rsidRPr="008B2C85" w:rsidRDefault="00666CC6" w:rsidP="00666CC6">
            <w:pPr>
              <w:spacing w:after="0" w:line="240" w:lineRule="auto"/>
              <w:jc w:val="center"/>
              <w:rPr>
                <w:rFonts w:eastAsia="Times New Roman" w:cs="Times New Roman"/>
                <w:b/>
                <w:bCs/>
                <w:color w:val="000000"/>
                <w:sz w:val="20"/>
                <w:lang w:eastAsia="sk-SK"/>
              </w:rPr>
            </w:pPr>
            <w:r>
              <w:rPr>
                <w:b/>
                <w:bCs/>
                <w:color w:val="000000"/>
                <w:sz w:val="20"/>
              </w:rPr>
              <w:t>118,0</w:t>
            </w:r>
          </w:p>
        </w:tc>
      </w:tr>
      <w:tr w:rsidR="00F37059" w:rsidRPr="008B2C85" w14:paraId="558DEC14" w14:textId="77777777" w:rsidTr="00773905">
        <w:trPr>
          <w:trHeight w:val="285"/>
        </w:trPr>
        <w:tc>
          <w:tcPr>
            <w:tcW w:w="3678" w:type="dxa"/>
            <w:tcBorders>
              <w:top w:val="single" w:sz="4" w:space="0" w:color="auto"/>
              <w:left w:val="nil"/>
              <w:bottom w:val="single" w:sz="4" w:space="0" w:color="auto"/>
              <w:right w:val="nil"/>
            </w:tcBorders>
            <w:shd w:val="clear" w:color="000000" w:fill="FFFFFF"/>
            <w:vAlign w:val="center"/>
          </w:tcPr>
          <w:p w14:paraId="6601F468" w14:textId="67E879F6" w:rsidR="00F37059" w:rsidRPr="008B2C85" w:rsidRDefault="00F37059" w:rsidP="00F37059">
            <w:pPr>
              <w:spacing w:after="0" w:line="240" w:lineRule="auto"/>
              <w:jc w:val="left"/>
              <w:rPr>
                <w:rFonts w:eastAsia="Times New Roman" w:cs="Times New Roman"/>
                <w:b/>
                <w:bCs/>
                <w:color w:val="000000"/>
                <w:sz w:val="20"/>
                <w:lang w:eastAsia="sk-SK"/>
              </w:rPr>
            </w:pPr>
            <w:r>
              <w:rPr>
                <w:b/>
                <w:bCs/>
                <w:color w:val="000000"/>
                <w:sz w:val="20"/>
              </w:rPr>
              <w:t>Zdroje EŠIF (</w:t>
            </w:r>
            <w:r w:rsidR="00286E48" w:rsidRPr="008C063B">
              <w:rPr>
                <w:rFonts w:eastAsia="Times New Roman" w:cs="Times New Roman"/>
                <w:b/>
                <w:bCs/>
                <w:color w:val="000000"/>
                <w:sz w:val="20"/>
                <w:lang w:eastAsia="sk-SK"/>
              </w:rPr>
              <w:t>Tabuľka 5</w:t>
            </w:r>
            <w:r>
              <w:rPr>
                <w:b/>
                <w:bCs/>
                <w:color w:val="000000"/>
                <w:sz w:val="20"/>
              </w:rPr>
              <w:t>)</w:t>
            </w:r>
          </w:p>
        </w:tc>
        <w:tc>
          <w:tcPr>
            <w:tcW w:w="1185" w:type="dxa"/>
            <w:tcBorders>
              <w:top w:val="single" w:sz="4" w:space="0" w:color="auto"/>
              <w:left w:val="nil"/>
              <w:bottom w:val="single" w:sz="4" w:space="0" w:color="auto"/>
              <w:right w:val="nil"/>
            </w:tcBorders>
            <w:shd w:val="clear" w:color="000000" w:fill="FFFFFF"/>
            <w:noWrap/>
            <w:vAlign w:val="bottom"/>
          </w:tcPr>
          <w:p w14:paraId="740A2081" w14:textId="0479FA9F" w:rsidR="00F37059" w:rsidRPr="008B2C85" w:rsidRDefault="00F37059" w:rsidP="00F37059">
            <w:pPr>
              <w:spacing w:after="0" w:line="240" w:lineRule="auto"/>
              <w:jc w:val="left"/>
              <w:rPr>
                <w:rFonts w:eastAsia="Times New Roman" w:cs="Times New Roman"/>
                <w:b/>
                <w:bCs/>
                <w:color w:val="000000"/>
                <w:sz w:val="20"/>
                <w:lang w:eastAsia="sk-SK"/>
              </w:rPr>
            </w:pPr>
            <w:r>
              <w:rPr>
                <w:b/>
                <w:bCs/>
                <w:color w:val="000000"/>
                <w:sz w:val="20"/>
              </w:rPr>
              <w:t> </w:t>
            </w:r>
          </w:p>
        </w:tc>
        <w:tc>
          <w:tcPr>
            <w:tcW w:w="841" w:type="dxa"/>
            <w:tcBorders>
              <w:top w:val="single" w:sz="4" w:space="0" w:color="auto"/>
              <w:left w:val="nil"/>
              <w:bottom w:val="single" w:sz="4" w:space="0" w:color="auto"/>
              <w:right w:val="nil"/>
            </w:tcBorders>
            <w:shd w:val="clear" w:color="000000" w:fill="FFFFFF"/>
            <w:noWrap/>
            <w:vAlign w:val="bottom"/>
          </w:tcPr>
          <w:p w14:paraId="438DF631" w14:textId="56905A6F" w:rsidR="00F37059" w:rsidRDefault="00F37059" w:rsidP="00F37059">
            <w:pPr>
              <w:spacing w:after="0" w:line="240" w:lineRule="auto"/>
              <w:jc w:val="center"/>
              <w:rPr>
                <w:b/>
                <w:bCs/>
                <w:color w:val="000000"/>
                <w:sz w:val="20"/>
              </w:rPr>
            </w:pPr>
            <w:r>
              <w:rPr>
                <w:b/>
                <w:bCs/>
                <w:color w:val="000000"/>
                <w:sz w:val="20"/>
              </w:rPr>
              <w:t>4,3</w:t>
            </w:r>
          </w:p>
        </w:tc>
        <w:tc>
          <w:tcPr>
            <w:tcW w:w="842" w:type="dxa"/>
            <w:tcBorders>
              <w:top w:val="single" w:sz="4" w:space="0" w:color="auto"/>
              <w:left w:val="nil"/>
              <w:bottom w:val="single" w:sz="4" w:space="0" w:color="auto"/>
              <w:right w:val="nil"/>
            </w:tcBorders>
            <w:shd w:val="clear" w:color="000000" w:fill="FFFFFF"/>
            <w:noWrap/>
            <w:vAlign w:val="bottom"/>
          </w:tcPr>
          <w:p w14:paraId="382A7D0F" w14:textId="77777777" w:rsidR="00F37059" w:rsidRPr="008B2C85" w:rsidRDefault="00F37059" w:rsidP="00F37059">
            <w:pPr>
              <w:spacing w:after="0" w:line="240" w:lineRule="auto"/>
              <w:jc w:val="center"/>
              <w:rPr>
                <w:rFonts w:eastAsia="Times New Roman" w:cs="Times New Roman"/>
                <w:b/>
                <w:bCs/>
                <w:color w:val="000000"/>
                <w:sz w:val="20"/>
                <w:lang w:eastAsia="sk-SK"/>
              </w:rPr>
            </w:pPr>
          </w:p>
        </w:tc>
        <w:tc>
          <w:tcPr>
            <w:tcW w:w="842" w:type="dxa"/>
            <w:tcBorders>
              <w:top w:val="single" w:sz="4" w:space="0" w:color="auto"/>
              <w:left w:val="nil"/>
              <w:bottom w:val="single" w:sz="4" w:space="0" w:color="auto"/>
              <w:right w:val="nil"/>
            </w:tcBorders>
            <w:shd w:val="clear" w:color="000000" w:fill="FFFFFF"/>
            <w:noWrap/>
            <w:vAlign w:val="bottom"/>
          </w:tcPr>
          <w:p w14:paraId="510C7852" w14:textId="77777777" w:rsidR="00F37059" w:rsidRPr="008B2C85" w:rsidRDefault="00F37059" w:rsidP="00F37059">
            <w:pPr>
              <w:spacing w:after="0" w:line="240" w:lineRule="auto"/>
              <w:jc w:val="center"/>
              <w:rPr>
                <w:rFonts w:eastAsia="Times New Roman" w:cs="Times New Roman"/>
                <w:b/>
                <w:bCs/>
                <w:color w:val="000000"/>
                <w:sz w:val="20"/>
                <w:lang w:eastAsia="sk-SK"/>
              </w:rPr>
            </w:pPr>
          </w:p>
        </w:tc>
        <w:tc>
          <w:tcPr>
            <w:tcW w:w="842" w:type="dxa"/>
            <w:tcBorders>
              <w:top w:val="single" w:sz="4" w:space="0" w:color="auto"/>
              <w:left w:val="nil"/>
              <w:bottom w:val="single" w:sz="4" w:space="0" w:color="auto"/>
              <w:right w:val="nil"/>
            </w:tcBorders>
            <w:shd w:val="clear" w:color="000000" w:fill="FFFFFF"/>
            <w:noWrap/>
            <w:vAlign w:val="bottom"/>
          </w:tcPr>
          <w:p w14:paraId="6670D3C1" w14:textId="77777777" w:rsidR="00F37059" w:rsidRPr="008B2C85" w:rsidRDefault="00F37059" w:rsidP="00F37059">
            <w:pPr>
              <w:spacing w:after="0" w:line="240" w:lineRule="auto"/>
              <w:jc w:val="center"/>
              <w:rPr>
                <w:rFonts w:eastAsia="Times New Roman" w:cs="Times New Roman"/>
                <w:b/>
                <w:bCs/>
                <w:color w:val="000000"/>
                <w:sz w:val="20"/>
                <w:lang w:eastAsia="sk-SK"/>
              </w:rPr>
            </w:pPr>
          </w:p>
        </w:tc>
        <w:tc>
          <w:tcPr>
            <w:tcW w:w="842" w:type="dxa"/>
            <w:tcBorders>
              <w:top w:val="single" w:sz="4" w:space="0" w:color="auto"/>
              <w:left w:val="nil"/>
              <w:bottom w:val="single" w:sz="4" w:space="0" w:color="auto"/>
              <w:right w:val="nil"/>
            </w:tcBorders>
            <w:shd w:val="clear" w:color="000000" w:fill="FFFFFF"/>
            <w:noWrap/>
            <w:vAlign w:val="bottom"/>
          </w:tcPr>
          <w:p w14:paraId="11787785" w14:textId="77777777" w:rsidR="00F37059" w:rsidRPr="008B2C85" w:rsidRDefault="00F37059" w:rsidP="00F37059">
            <w:pPr>
              <w:spacing w:after="0" w:line="240" w:lineRule="auto"/>
              <w:jc w:val="center"/>
              <w:rPr>
                <w:rFonts w:eastAsia="Times New Roman" w:cs="Times New Roman"/>
                <w:b/>
                <w:bCs/>
                <w:color w:val="000000"/>
                <w:sz w:val="20"/>
                <w:lang w:eastAsia="sk-SK"/>
              </w:rPr>
            </w:pPr>
          </w:p>
        </w:tc>
      </w:tr>
      <w:tr w:rsidR="00F37059" w:rsidRPr="008B2C85" w14:paraId="424C3F42" w14:textId="77777777" w:rsidTr="00773905">
        <w:trPr>
          <w:trHeight w:val="285"/>
        </w:trPr>
        <w:tc>
          <w:tcPr>
            <w:tcW w:w="3678" w:type="dxa"/>
            <w:tcBorders>
              <w:top w:val="single" w:sz="4" w:space="0" w:color="auto"/>
              <w:left w:val="nil"/>
              <w:bottom w:val="single" w:sz="4" w:space="0" w:color="auto"/>
              <w:right w:val="nil"/>
            </w:tcBorders>
            <w:shd w:val="clear" w:color="000000" w:fill="FFFFFF"/>
            <w:vAlign w:val="center"/>
          </w:tcPr>
          <w:p w14:paraId="3374570E" w14:textId="7AEA48C2" w:rsidR="00F37059" w:rsidRPr="008B2C85" w:rsidRDefault="00F37059" w:rsidP="00F37059">
            <w:pPr>
              <w:spacing w:after="0" w:line="240" w:lineRule="auto"/>
              <w:jc w:val="left"/>
              <w:rPr>
                <w:rFonts w:eastAsia="Times New Roman" w:cs="Times New Roman"/>
                <w:b/>
                <w:bCs/>
                <w:color w:val="000000"/>
                <w:sz w:val="20"/>
                <w:lang w:eastAsia="sk-SK"/>
              </w:rPr>
            </w:pPr>
            <w:r>
              <w:rPr>
                <w:b/>
                <w:bCs/>
                <w:color w:val="000000"/>
                <w:sz w:val="20"/>
              </w:rPr>
              <w:t>Spolu verejné výdavky</w:t>
            </w:r>
          </w:p>
        </w:tc>
        <w:tc>
          <w:tcPr>
            <w:tcW w:w="1185" w:type="dxa"/>
            <w:tcBorders>
              <w:top w:val="single" w:sz="4" w:space="0" w:color="auto"/>
              <w:left w:val="nil"/>
              <w:bottom w:val="single" w:sz="4" w:space="0" w:color="auto"/>
              <w:right w:val="nil"/>
            </w:tcBorders>
            <w:shd w:val="clear" w:color="000000" w:fill="FFFFFF"/>
            <w:noWrap/>
            <w:vAlign w:val="bottom"/>
          </w:tcPr>
          <w:p w14:paraId="113C7427" w14:textId="08F64506" w:rsidR="00F37059" w:rsidRPr="008B2C85" w:rsidRDefault="00F37059" w:rsidP="00F37059">
            <w:pPr>
              <w:spacing w:after="0" w:line="240" w:lineRule="auto"/>
              <w:jc w:val="left"/>
              <w:rPr>
                <w:rFonts w:eastAsia="Times New Roman" w:cs="Times New Roman"/>
                <w:b/>
                <w:bCs/>
                <w:color w:val="000000"/>
                <w:sz w:val="20"/>
                <w:lang w:eastAsia="sk-SK"/>
              </w:rPr>
            </w:pPr>
            <w:r>
              <w:rPr>
                <w:b/>
                <w:bCs/>
                <w:color w:val="000000"/>
                <w:sz w:val="20"/>
              </w:rPr>
              <w:t> </w:t>
            </w:r>
          </w:p>
        </w:tc>
        <w:tc>
          <w:tcPr>
            <w:tcW w:w="841" w:type="dxa"/>
            <w:tcBorders>
              <w:top w:val="single" w:sz="4" w:space="0" w:color="auto"/>
              <w:left w:val="nil"/>
              <w:bottom w:val="single" w:sz="4" w:space="0" w:color="auto"/>
              <w:right w:val="nil"/>
            </w:tcBorders>
            <w:shd w:val="clear" w:color="000000" w:fill="FFFFFF"/>
            <w:noWrap/>
            <w:vAlign w:val="bottom"/>
          </w:tcPr>
          <w:p w14:paraId="5740BB42" w14:textId="569C4D77" w:rsidR="00F37059" w:rsidRDefault="00F37059" w:rsidP="00F37059">
            <w:pPr>
              <w:spacing w:after="0" w:line="240" w:lineRule="auto"/>
              <w:jc w:val="center"/>
              <w:rPr>
                <w:b/>
                <w:bCs/>
                <w:color w:val="000000"/>
                <w:sz w:val="20"/>
              </w:rPr>
            </w:pPr>
            <w:r>
              <w:rPr>
                <w:b/>
                <w:bCs/>
                <w:color w:val="000000"/>
                <w:sz w:val="20"/>
              </w:rPr>
              <w:t>8</w:t>
            </w:r>
            <w:r w:rsidR="00666CC6">
              <w:rPr>
                <w:b/>
                <w:bCs/>
                <w:color w:val="000000"/>
                <w:sz w:val="20"/>
              </w:rPr>
              <w:t>0</w:t>
            </w:r>
            <w:r>
              <w:rPr>
                <w:b/>
                <w:bCs/>
                <w:color w:val="000000"/>
                <w:sz w:val="20"/>
              </w:rPr>
              <w:t>,2</w:t>
            </w:r>
          </w:p>
        </w:tc>
        <w:tc>
          <w:tcPr>
            <w:tcW w:w="842" w:type="dxa"/>
            <w:tcBorders>
              <w:top w:val="single" w:sz="4" w:space="0" w:color="auto"/>
              <w:left w:val="nil"/>
              <w:bottom w:val="single" w:sz="4" w:space="0" w:color="auto"/>
              <w:right w:val="nil"/>
            </w:tcBorders>
            <w:shd w:val="clear" w:color="000000" w:fill="FFFFFF"/>
            <w:noWrap/>
            <w:vAlign w:val="bottom"/>
          </w:tcPr>
          <w:p w14:paraId="695CAA91" w14:textId="77777777" w:rsidR="00F37059" w:rsidRPr="008B2C85" w:rsidRDefault="00F37059" w:rsidP="00F37059">
            <w:pPr>
              <w:spacing w:after="0" w:line="240" w:lineRule="auto"/>
              <w:jc w:val="center"/>
              <w:rPr>
                <w:rFonts w:eastAsia="Times New Roman" w:cs="Times New Roman"/>
                <w:b/>
                <w:bCs/>
                <w:color w:val="000000"/>
                <w:sz w:val="20"/>
                <w:lang w:eastAsia="sk-SK"/>
              </w:rPr>
            </w:pPr>
          </w:p>
        </w:tc>
        <w:tc>
          <w:tcPr>
            <w:tcW w:w="842" w:type="dxa"/>
            <w:tcBorders>
              <w:top w:val="single" w:sz="4" w:space="0" w:color="auto"/>
              <w:left w:val="nil"/>
              <w:bottom w:val="single" w:sz="4" w:space="0" w:color="auto"/>
              <w:right w:val="nil"/>
            </w:tcBorders>
            <w:shd w:val="clear" w:color="000000" w:fill="FFFFFF"/>
            <w:noWrap/>
            <w:vAlign w:val="bottom"/>
          </w:tcPr>
          <w:p w14:paraId="2308637B" w14:textId="77777777" w:rsidR="00F37059" w:rsidRPr="008B2C85" w:rsidRDefault="00F37059" w:rsidP="00F37059">
            <w:pPr>
              <w:spacing w:after="0" w:line="240" w:lineRule="auto"/>
              <w:jc w:val="center"/>
              <w:rPr>
                <w:rFonts w:eastAsia="Times New Roman" w:cs="Times New Roman"/>
                <w:b/>
                <w:bCs/>
                <w:color w:val="000000"/>
                <w:sz w:val="20"/>
                <w:lang w:eastAsia="sk-SK"/>
              </w:rPr>
            </w:pPr>
          </w:p>
        </w:tc>
        <w:tc>
          <w:tcPr>
            <w:tcW w:w="842" w:type="dxa"/>
            <w:tcBorders>
              <w:top w:val="single" w:sz="4" w:space="0" w:color="auto"/>
              <w:left w:val="nil"/>
              <w:bottom w:val="single" w:sz="4" w:space="0" w:color="auto"/>
              <w:right w:val="nil"/>
            </w:tcBorders>
            <w:shd w:val="clear" w:color="000000" w:fill="FFFFFF"/>
            <w:noWrap/>
            <w:vAlign w:val="bottom"/>
          </w:tcPr>
          <w:p w14:paraId="13DD2141" w14:textId="77777777" w:rsidR="00F37059" w:rsidRPr="008B2C85" w:rsidRDefault="00F37059" w:rsidP="00F37059">
            <w:pPr>
              <w:spacing w:after="0" w:line="240" w:lineRule="auto"/>
              <w:jc w:val="center"/>
              <w:rPr>
                <w:rFonts w:eastAsia="Times New Roman" w:cs="Times New Roman"/>
                <w:b/>
                <w:bCs/>
                <w:color w:val="000000"/>
                <w:sz w:val="20"/>
                <w:lang w:eastAsia="sk-SK"/>
              </w:rPr>
            </w:pPr>
          </w:p>
        </w:tc>
        <w:tc>
          <w:tcPr>
            <w:tcW w:w="842" w:type="dxa"/>
            <w:tcBorders>
              <w:top w:val="single" w:sz="4" w:space="0" w:color="auto"/>
              <w:left w:val="nil"/>
              <w:bottom w:val="single" w:sz="4" w:space="0" w:color="auto"/>
              <w:right w:val="nil"/>
            </w:tcBorders>
            <w:shd w:val="clear" w:color="000000" w:fill="FFFFFF"/>
            <w:noWrap/>
            <w:vAlign w:val="bottom"/>
          </w:tcPr>
          <w:p w14:paraId="25517D9A" w14:textId="77777777" w:rsidR="00F37059" w:rsidRPr="008B2C85" w:rsidRDefault="00F37059" w:rsidP="00F37059">
            <w:pPr>
              <w:spacing w:after="0" w:line="240" w:lineRule="auto"/>
              <w:jc w:val="center"/>
              <w:rPr>
                <w:rFonts w:eastAsia="Times New Roman" w:cs="Times New Roman"/>
                <w:b/>
                <w:bCs/>
                <w:color w:val="000000"/>
                <w:sz w:val="20"/>
                <w:lang w:eastAsia="sk-SK"/>
              </w:rPr>
            </w:pPr>
          </w:p>
        </w:tc>
      </w:tr>
      <w:tr w:rsidR="008B2C85" w:rsidRPr="008B2C85" w14:paraId="2D63B27B" w14:textId="77777777" w:rsidTr="00D3189B">
        <w:trPr>
          <w:trHeight w:val="255"/>
        </w:trPr>
        <w:tc>
          <w:tcPr>
            <w:tcW w:w="9072" w:type="dxa"/>
            <w:gridSpan w:val="7"/>
            <w:tcBorders>
              <w:top w:val="single" w:sz="4" w:space="0" w:color="auto"/>
              <w:left w:val="nil"/>
              <w:bottom w:val="nil"/>
              <w:right w:val="nil"/>
            </w:tcBorders>
            <w:shd w:val="clear" w:color="auto" w:fill="auto"/>
            <w:noWrap/>
            <w:vAlign w:val="bottom"/>
            <w:hideMark/>
          </w:tcPr>
          <w:p w14:paraId="696045D4" w14:textId="58F7CF36" w:rsidR="008B2C85" w:rsidRPr="00D3189B" w:rsidRDefault="008B2C85" w:rsidP="008B2C85">
            <w:pPr>
              <w:spacing w:after="0" w:line="240" w:lineRule="auto"/>
              <w:jc w:val="right"/>
              <w:rPr>
                <w:rFonts w:eastAsia="Times New Roman" w:cs="Times New Roman"/>
                <w:i/>
                <w:iCs/>
                <w:color w:val="000000"/>
                <w:sz w:val="18"/>
                <w:szCs w:val="18"/>
                <w:lang w:eastAsia="sk-SK"/>
              </w:rPr>
            </w:pPr>
            <w:r w:rsidRPr="00D3189B">
              <w:rPr>
                <w:rFonts w:eastAsia="Times New Roman" w:cs="Times New Roman"/>
                <w:i/>
                <w:iCs/>
                <w:color w:val="000000"/>
                <w:sz w:val="18"/>
                <w:szCs w:val="18"/>
                <w:lang w:eastAsia="sk-SK"/>
              </w:rPr>
              <w:t xml:space="preserve">Zdroj: ÚHP na základe údajov MDV, </w:t>
            </w:r>
            <w:r w:rsidR="006F0311">
              <w:rPr>
                <w:rFonts w:eastAsia="Times New Roman" w:cs="Times New Roman"/>
                <w:i/>
                <w:iCs/>
                <w:color w:val="000000"/>
                <w:sz w:val="18"/>
                <w:szCs w:val="18"/>
                <w:lang w:eastAsia="sk-SK"/>
              </w:rPr>
              <w:t xml:space="preserve">ŠFRB, </w:t>
            </w:r>
            <w:r w:rsidRPr="00D3189B">
              <w:rPr>
                <w:rFonts w:eastAsia="Times New Roman" w:cs="Times New Roman"/>
                <w:i/>
                <w:iCs/>
                <w:color w:val="000000"/>
                <w:sz w:val="18"/>
                <w:szCs w:val="18"/>
                <w:lang w:eastAsia="sk-SK"/>
              </w:rPr>
              <w:t>MPSVR</w:t>
            </w:r>
            <w:r w:rsidR="00BC2041">
              <w:rPr>
                <w:rFonts w:eastAsia="Times New Roman" w:cs="Times New Roman"/>
                <w:i/>
                <w:iCs/>
                <w:color w:val="000000"/>
                <w:sz w:val="18"/>
                <w:szCs w:val="18"/>
                <w:lang w:eastAsia="sk-SK"/>
              </w:rPr>
              <w:t xml:space="preserve"> a vlastných výpočtov</w:t>
            </w:r>
          </w:p>
        </w:tc>
      </w:tr>
    </w:tbl>
    <w:p w14:paraId="00D0F316" w14:textId="6DC3776E" w:rsidR="00CC5066" w:rsidRPr="00CC5066" w:rsidRDefault="00CC5066" w:rsidP="00FA46CA">
      <w:pPr>
        <w:pStyle w:val="Nadpis2"/>
        <w:spacing w:before="160"/>
      </w:pPr>
      <w:bookmarkStart w:id="114" w:name="_Toc19723689"/>
      <w:bookmarkStart w:id="115" w:name="_Toc19879950"/>
      <w:bookmarkStart w:id="116" w:name="_Toc19881270"/>
      <w:bookmarkStart w:id="117" w:name="_Toc19885716"/>
      <w:bookmarkStart w:id="118" w:name="_Toc19939730"/>
      <w:bookmarkStart w:id="119" w:name="_Toc19941301"/>
      <w:bookmarkStart w:id="120" w:name="_Toc19943970"/>
      <w:bookmarkStart w:id="121" w:name="_Toc20048205"/>
      <w:bookmarkStart w:id="122" w:name="_Toc20064740"/>
      <w:bookmarkStart w:id="123" w:name="_Toc20153686"/>
      <w:bookmarkStart w:id="124" w:name="_Toc20154487"/>
      <w:bookmarkStart w:id="125" w:name="_Toc20207811"/>
      <w:bookmarkStart w:id="126" w:name="_Toc20300191"/>
      <w:bookmarkStart w:id="127" w:name="_Toc20660451"/>
      <w:bookmarkStart w:id="128" w:name="_Toc20660855"/>
      <w:bookmarkStart w:id="129" w:name="_Toc21108276"/>
      <w:bookmarkStart w:id="130" w:name="_Toc21108673"/>
      <w:bookmarkStart w:id="131" w:name="_Toc21108467"/>
      <w:bookmarkStart w:id="132" w:name="_Toc18340924"/>
      <w:bookmarkStart w:id="133" w:name="_Toc34657710"/>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CA2564">
        <w:t>Výdavky na sociálne začleňovanie v oblasti zdravia</w:t>
      </w:r>
      <w:bookmarkEnd w:id="132"/>
      <w:bookmarkEnd w:id="133"/>
    </w:p>
    <w:p w14:paraId="7D1758D3" w14:textId="7F61F8B9" w:rsidR="00FA46CA" w:rsidRPr="00CA2564" w:rsidRDefault="00171AD1" w:rsidP="00F301F6">
      <w:r>
        <w:rPr>
          <w:b/>
        </w:rPr>
        <w:t xml:space="preserve">V oblasti zdravia je jediným nástrojom </w:t>
      </w:r>
      <w:r w:rsidR="00FA46CA" w:rsidRPr="00CA2564">
        <w:rPr>
          <w:b/>
        </w:rPr>
        <w:t>explicitne zameraný</w:t>
      </w:r>
      <w:r>
        <w:rPr>
          <w:b/>
        </w:rPr>
        <w:t>m</w:t>
      </w:r>
      <w:r w:rsidR="00FA46CA" w:rsidRPr="00CA2564">
        <w:rPr>
          <w:b/>
        </w:rPr>
        <w:t xml:space="preserve"> na sociálnu inklúziu národný projekt Zdravé komunity. Celkové výdavky v roku 201</w:t>
      </w:r>
      <w:r w:rsidR="00BE214A">
        <w:rPr>
          <w:b/>
        </w:rPr>
        <w:t>8</w:t>
      </w:r>
      <w:r w:rsidR="00FA46CA" w:rsidRPr="00CA2564">
        <w:rPr>
          <w:b/>
        </w:rPr>
        <w:t xml:space="preserve"> predstavovali </w:t>
      </w:r>
      <w:r w:rsidR="00BE214A">
        <w:rPr>
          <w:b/>
        </w:rPr>
        <w:t>3</w:t>
      </w:r>
      <w:r w:rsidR="00FA46CA" w:rsidRPr="00CA2564">
        <w:rPr>
          <w:b/>
        </w:rPr>
        <w:t>,</w:t>
      </w:r>
      <w:r w:rsidR="00C67554">
        <w:rPr>
          <w:b/>
        </w:rPr>
        <w:t>3</w:t>
      </w:r>
      <w:r w:rsidR="00FA46CA" w:rsidRPr="00CA2564">
        <w:rPr>
          <w:b/>
        </w:rPr>
        <w:t xml:space="preserve"> milión</w:t>
      </w:r>
      <w:r w:rsidR="00C67554">
        <w:rPr>
          <w:b/>
        </w:rPr>
        <w:t>y</w:t>
      </w:r>
      <w:r w:rsidR="00FA46CA" w:rsidRPr="00CA2564">
        <w:rPr>
          <w:b/>
        </w:rPr>
        <w:t xml:space="preserve"> eur</w:t>
      </w:r>
      <w:r w:rsidR="00BE214A">
        <w:rPr>
          <w:b/>
        </w:rPr>
        <w:t xml:space="preserve"> a boli financova</w:t>
      </w:r>
      <w:r>
        <w:rPr>
          <w:b/>
        </w:rPr>
        <w:t>né z EŠIF</w:t>
      </w:r>
      <w:r w:rsidR="00FA46CA" w:rsidRPr="00CA2564">
        <w:rPr>
          <w:b/>
        </w:rPr>
        <w:t xml:space="preserve">. </w:t>
      </w:r>
      <w:r w:rsidR="00FA46CA" w:rsidRPr="00CA2564">
        <w:t xml:space="preserve">Projekt je zameraný na zlepšenie zdravotnej situácie vylúčených skupín, predovšetkým MRK. </w:t>
      </w:r>
      <w:r w:rsidR="00DE4530" w:rsidRPr="00C507BD">
        <w:rPr>
          <w:szCs w:val="22"/>
        </w:rPr>
        <w:t>V rámci aktuálneho</w:t>
      </w:r>
      <w:r w:rsidR="00DE4530">
        <w:rPr>
          <w:szCs w:val="22"/>
        </w:rPr>
        <w:t xml:space="preserve"> programového obdobia bolo</w:t>
      </w:r>
      <w:r w:rsidR="00DE4530" w:rsidRPr="00C507BD">
        <w:rPr>
          <w:szCs w:val="22"/>
        </w:rPr>
        <w:t xml:space="preserve"> </w:t>
      </w:r>
      <w:r w:rsidR="00DE4530" w:rsidRPr="00CA2564">
        <w:t xml:space="preserve">na Zdravé komunity </w:t>
      </w:r>
      <w:r w:rsidR="00DE4530">
        <w:t>d</w:t>
      </w:r>
      <w:r w:rsidR="00FA46CA" w:rsidRPr="00CA2564">
        <w:t>o konca roka 201</w:t>
      </w:r>
      <w:r w:rsidR="00BE214A">
        <w:t>8</w:t>
      </w:r>
      <w:r w:rsidR="00FA46CA" w:rsidRPr="00CA2564">
        <w:t xml:space="preserve"> zazmluvnených 11,</w:t>
      </w:r>
      <w:r w:rsidR="00C67554">
        <w:t>6</w:t>
      </w:r>
      <w:r w:rsidR="00FA46CA" w:rsidRPr="00CA2564">
        <w:t xml:space="preserve"> miliónov eur. Projekt realizuje štátna príspevková organizácia Zdravé regióny zriadená Ministerstvom zdravotníctva SR.</w:t>
      </w:r>
    </w:p>
    <w:p w14:paraId="03B797D5" w14:textId="493978C0" w:rsidR="00FA46CA" w:rsidRPr="00CA2564" w:rsidRDefault="00FA46CA" w:rsidP="00FA46CA">
      <w:pPr>
        <w:pStyle w:val="Nadpis2"/>
        <w:spacing w:before="160"/>
      </w:pPr>
      <w:bookmarkStart w:id="134" w:name="_Toc18340925"/>
      <w:bookmarkStart w:id="135" w:name="_Ref25315880"/>
      <w:bookmarkStart w:id="136" w:name="_Toc34657711"/>
      <w:r w:rsidRPr="00CA2564">
        <w:t>Výdavky na sociálne začleňovanie zo zdrojov EŠIF a spolufinancovania</w:t>
      </w:r>
      <w:bookmarkEnd w:id="134"/>
      <w:bookmarkEnd w:id="135"/>
      <w:bookmarkEnd w:id="136"/>
    </w:p>
    <w:p w14:paraId="35487F8D" w14:textId="6149B97A" w:rsidR="00FA46CA" w:rsidRPr="00CA2564" w:rsidRDefault="00FA46CA" w:rsidP="00F301F6">
      <w:pPr>
        <w:rPr>
          <w:b/>
          <w:sz w:val="20"/>
        </w:rPr>
      </w:pPr>
      <w:r w:rsidRPr="00CA2564">
        <w:rPr>
          <w:b/>
        </w:rPr>
        <w:t>Čerpanie zdrojov z EŠIF a spolufinancovania</w:t>
      </w:r>
      <w:r w:rsidRPr="00CA2564">
        <w:rPr>
          <w:rStyle w:val="Odkaznapoznmkupodiarou"/>
          <w:b/>
        </w:rPr>
        <w:footnoteReference w:id="31"/>
      </w:r>
      <w:r w:rsidRPr="00CA2564">
        <w:rPr>
          <w:b/>
        </w:rPr>
        <w:t xml:space="preserve"> na sociálne začleňovanie skupín ohrozených chudobou alebo sociálnym vylúčením bolo v roku 201</w:t>
      </w:r>
      <w:r w:rsidR="00992AE6">
        <w:rPr>
          <w:b/>
        </w:rPr>
        <w:t>8</w:t>
      </w:r>
      <w:r w:rsidRPr="00CA2564">
        <w:rPr>
          <w:b/>
        </w:rPr>
        <w:t xml:space="preserve"> na úrovni </w:t>
      </w:r>
      <w:r w:rsidR="00992AE6">
        <w:rPr>
          <w:b/>
        </w:rPr>
        <w:t>2</w:t>
      </w:r>
      <w:r w:rsidR="005600A2">
        <w:rPr>
          <w:b/>
        </w:rPr>
        <w:t>65,0</w:t>
      </w:r>
      <w:r w:rsidRPr="00CA2564">
        <w:rPr>
          <w:b/>
        </w:rPr>
        <w:t xml:space="preserve"> miliónov eur, čo predstavuje 0,</w:t>
      </w:r>
      <w:r w:rsidR="00992AE6">
        <w:rPr>
          <w:b/>
        </w:rPr>
        <w:t>2</w:t>
      </w:r>
      <w:r w:rsidR="005600A2">
        <w:rPr>
          <w:b/>
        </w:rPr>
        <w:t>9</w:t>
      </w:r>
      <w:r w:rsidRPr="00CA2564">
        <w:rPr>
          <w:b/>
        </w:rPr>
        <w:t xml:space="preserve"> % HDP a 0,</w:t>
      </w:r>
      <w:r w:rsidR="005600A2">
        <w:rPr>
          <w:b/>
        </w:rPr>
        <w:t>7</w:t>
      </w:r>
      <w:r w:rsidR="00992AE6">
        <w:rPr>
          <w:b/>
        </w:rPr>
        <w:t>2</w:t>
      </w:r>
      <w:r w:rsidRPr="00CA2564">
        <w:rPr>
          <w:b/>
        </w:rPr>
        <w:t xml:space="preserve"> % celkových verejných výdavkov</w:t>
      </w:r>
      <w:r w:rsidRPr="00CA2564">
        <w:t xml:space="preserve"> (</w:t>
      </w:r>
      <w:r w:rsidRPr="00CA2564">
        <w:fldChar w:fldCharType="begin"/>
      </w:r>
      <w:r w:rsidRPr="00CA2564">
        <w:instrText xml:space="preserve"> REF _Ref529549960 \h  \* MERGEFORMAT </w:instrText>
      </w:r>
      <w:r w:rsidRPr="00CA2564">
        <w:fldChar w:fldCharType="separate"/>
      </w:r>
      <w:r w:rsidR="00FA29AF" w:rsidRPr="00FA29AF">
        <w:rPr>
          <w:szCs w:val="22"/>
        </w:rPr>
        <w:t xml:space="preserve">Tabuľka </w:t>
      </w:r>
      <w:r w:rsidR="00FA29AF" w:rsidRPr="00FA29AF">
        <w:rPr>
          <w:noProof/>
          <w:szCs w:val="22"/>
        </w:rPr>
        <w:t>5</w:t>
      </w:r>
      <w:r w:rsidRPr="00CA2564">
        <w:fldChar w:fldCharType="end"/>
      </w:r>
      <w:r w:rsidRPr="00CA2564">
        <w:t xml:space="preserve">). Z toho oblasť vzdelávania predstavovala </w:t>
      </w:r>
      <w:r w:rsidR="005600A2">
        <w:t>12,3</w:t>
      </w:r>
      <w:r w:rsidR="00171AD1">
        <w:t xml:space="preserve"> %</w:t>
      </w:r>
      <w:r w:rsidRPr="00CA2564">
        <w:t xml:space="preserve">, oblasť politík trhu práce a sociálnych politík </w:t>
      </w:r>
      <w:r w:rsidR="005600A2">
        <w:t>82,9</w:t>
      </w:r>
      <w:r w:rsidRPr="00CA2564">
        <w:t xml:space="preserve"> %,</w:t>
      </w:r>
      <w:r w:rsidR="0070047D">
        <w:t xml:space="preserve"> </w:t>
      </w:r>
      <w:r w:rsidR="00992AE6" w:rsidRPr="00CA2564">
        <w:t xml:space="preserve">oblasť bývania a infraštruktúry </w:t>
      </w:r>
      <w:r w:rsidR="005600A2">
        <w:t>1,6</w:t>
      </w:r>
      <w:r w:rsidR="00992AE6" w:rsidRPr="00CA2564">
        <w:t xml:space="preserve"> %</w:t>
      </w:r>
      <w:r w:rsidR="005600A2">
        <w:t>,</w:t>
      </w:r>
      <w:r w:rsidRPr="00CA2564">
        <w:t xml:space="preserve"> oblasť zdravotníctva </w:t>
      </w:r>
      <w:r w:rsidR="005600A2">
        <w:t>1,2</w:t>
      </w:r>
      <w:r w:rsidRPr="00CA2564">
        <w:t xml:space="preserve"> %</w:t>
      </w:r>
      <w:r w:rsidR="005600A2">
        <w:t xml:space="preserve"> a oblasť verejného poriadku 2,0 %</w:t>
      </w:r>
      <w:r w:rsidRPr="00CA2564">
        <w:t>. Zdroje zazmluvnené do konca roka 201</w:t>
      </w:r>
      <w:r w:rsidR="00992AE6">
        <w:t>8</w:t>
      </w:r>
      <w:r w:rsidRPr="00CA2564">
        <w:t xml:space="preserve"> predstavovali spolu </w:t>
      </w:r>
      <w:r w:rsidR="00992AE6">
        <w:t>1 </w:t>
      </w:r>
      <w:r w:rsidR="005600A2">
        <w:t>545</w:t>
      </w:r>
      <w:r w:rsidR="00992AE6">
        <w:t>,</w:t>
      </w:r>
      <w:r w:rsidR="005600A2">
        <w:t>6</w:t>
      </w:r>
      <w:r w:rsidRPr="00CA2564">
        <w:t xml:space="preserve"> miliónov eur.</w:t>
      </w:r>
      <w:bookmarkStart w:id="137" w:name="_Ref529282106"/>
    </w:p>
    <w:p w14:paraId="39520E67" w14:textId="664EF60C" w:rsidR="00FA46CA" w:rsidRDefault="00FA46CA" w:rsidP="00FA46CA">
      <w:pPr>
        <w:spacing w:after="0"/>
        <w:rPr>
          <w:b/>
          <w:sz w:val="20"/>
        </w:rPr>
      </w:pPr>
      <w:bookmarkStart w:id="138" w:name="_Ref529549960"/>
      <w:bookmarkStart w:id="139" w:name="_Toc17469466"/>
      <w:bookmarkStart w:id="140" w:name="_Ref27133004"/>
      <w:bookmarkStart w:id="141" w:name="_Toc34156844"/>
      <w:r w:rsidRPr="00CA2564">
        <w:rPr>
          <w:b/>
          <w:sz w:val="20"/>
        </w:rPr>
        <w:lastRenderedPageBreak/>
        <w:t xml:space="preserve">Tabuľka </w:t>
      </w:r>
      <w:r w:rsidRPr="00CA2564">
        <w:rPr>
          <w:b/>
          <w:noProof/>
          <w:sz w:val="20"/>
        </w:rPr>
        <w:fldChar w:fldCharType="begin"/>
      </w:r>
      <w:r w:rsidRPr="00CA2564">
        <w:rPr>
          <w:b/>
          <w:noProof/>
          <w:sz w:val="20"/>
        </w:rPr>
        <w:instrText xml:space="preserve"> SEQ Tabuľka \* ARABIC </w:instrText>
      </w:r>
      <w:r w:rsidRPr="00CA2564">
        <w:rPr>
          <w:b/>
          <w:noProof/>
          <w:sz w:val="20"/>
        </w:rPr>
        <w:fldChar w:fldCharType="separate"/>
      </w:r>
      <w:r w:rsidR="00FA29AF">
        <w:rPr>
          <w:b/>
          <w:noProof/>
          <w:sz w:val="20"/>
        </w:rPr>
        <w:t>5</w:t>
      </w:r>
      <w:r w:rsidRPr="00CA2564">
        <w:rPr>
          <w:b/>
          <w:noProof/>
          <w:sz w:val="20"/>
        </w:rPr>
        <w:fldChar w:fldCharType="end"/>
      </w:r>
      <w:bookmarkEnd w:id="137"/>
      <w:bookmarkEnd w:id="138"/>
      <w:r w:rsidRPr="00CA2564">
        <w:rPr>
          <w:b/>
          <w:sz w:val="20"/>
        </w:rPr>
        <w:t>: Výdavky na sociálne začleňovanie skupín ohrozených chudobou alebo sociálnym vylúčením zo zdrojov EŠIF a spolufinancovania (</w:t>
      </w:r>
      <w:r w:rsidR="00321584">
        <w:rPr>
          <w:b/>
          <w:sz w:val="20"/>
        </w:rPr>
        <w:t xml:space="preserve">mil. eur, </w:t>
      </w:r>
      <w:r w:rsidRPr="00CA2564">
        <w:rPr>
          <w:b/>
          <w:sz w:val="20"/>
        </w:rPr>
        <w:t>201</w:t>
      </w:r>
      <w:r w:rsidR="00321584">
        <w:rPr>
          <w:b/>
          <w:sz w:val="20"/>
        </w:rPr>
        <w:t>8</w:t>
      </w:r>
      <w:r w:rsidRPr="00CA2564">
        <w:rPr>
          <w:b/>
          <w:sz w:val="20"/>
        </w:rPr>
        <w:t>)</w:t>
      </w:r>
      <w:bookmarkEnd w:id="139"/>
      <w:bookmarkEnd w:id="140"/>
      <w:bookmarkEnd w:id="141"/>
    </w:p>
    <w:tbl>
      <w:tblPr>
        <w:tblW w:w="9072" w:type="dxa"/>
        <w:tblCellMar>
          <w:left w:w="70" w:type="dxa"/>
          <w:right w:w="70" w:type="dxa"/>
        </w:tblCellMar>
        <w:tblLook w:val="04A0" w:firstRow="1" w:lastRow="0" w:firstColumn="1" w:lastColumn="0" w:noHBand="0" w:noVBand="1"/>
      </w:tblPr>
      <w:tblGrid>
        <w:gridCol w:w="5529"/>
        <w:gridCol w:w="992"/>
        <w:gridCol w:w="1276"/>
        <w:gridCol w:w="1275"/>
      </w:tblGrid>
      <w:tr w:rsidR="00C069AF" w:rsidRPr="00C069AF" w14:paraId="2DCBBDFF" w14:textId="77777777" w:rsidTr="00D7176D">
        <w:trPr>
          <w:trHeight w:val="510"/>
        </w:trPr>
        <w:tc>
          <w:tcPr>
            <w:tcW w:w="5529" w:type="dxa"/>
            <w:tcBorders>
              <w:top w:val="single" w:sz="4" w:space="0" w:color="auto"/>
              <w:left w:val="nil"/>
              <w:bottom w:val="single" w:sz="4" w:space="0" w:color="auto"/>
              <w:right w:val="nil"/>
            </w:tcBorders>
            <w:shd w:val="clear" w:color="000000" w:fill="FFFFFF"/>
            <w:noWrap/>
            <w:vAlign w:val="bottom"/>
            <w:hideMark/>
          </w:tcPr>
          <w:p w14:paraId="23CFFBCD" w14:textId="77777777" w:rsidR="00C069AF" w:rsidRPr="00C069AF" w:rsidRDefault="00C069AF" w:rsidP="00C069AF">
            <w:pPr>
              <w:spacing w:after="0" w:line="240" w:lineRule="auto"/>
              <w:jc w:val="left"/>
              <w:rPr>
                <w:rFonts w:eastAsia="Times New Roman" w:cs="Times New Roman"/>
                <w:color w:val="000000"/>
                <w:sz w:val="20"/>
                <w:lang w:eastAsia="sk-SK"/>
              </w:rPr>
            </w:pPr>
            <w:r w:rsidRPr="00C069AF">
              <w:rPr>
                <w:rFonts w:eastAsia="Times New Roman" w:cs="Times New Roman"/>
                <w:color w:val="000000"/>
                <w:sz w:val="20"/>
                <w:lang w:eastAsia="sk-SK"/>
              </w:rPr>
              <w:t> </w:t>
            </w:r>
          </w:p>
        </w:tc>
        <w:tc>
          <w:tcPr>
            <w:tcW w:w="992" w:type="dxa"/>
            <w:tcBorders>
              <w:top w:val="single" w:sz="4" w:space="0" w:color="auto"/>
              <w:left w:val="nil"/>
              <w:bottom w:val="single" w:sz="4" w:space="0" w:color="auto"/>
              <w:right w:val="nil"/>
            </w:tcBorders>
            <w:shd w:val="clear" w:color="000000" w:fill="FFFFFF"/>
            <w:vAlign w:val="bottom"/>
            <w:hideMark/>
          </w:tcPr>
          <w:p w14:paraId="7CFB9C4B" w14:textId="7974B49E" w:rsidR="00C069AF" w:rsidRPr="00C069AF" w:rsidRDefault="0002054A" w:rsidP="00A42768">
            <w:pPr>
              <w:spacing w:after="0" w:line="240" w:lineRule="auto"/>
              <w:jc w:val="center"/>
              <w:rPr>
                <w:rFonts w:eastAsia="Times New Roman" w:cs="Times New Roman"/>
                <w:b/>
                <w:bCs/>
                <w:color w:val="000000"/>
                <w:sz w:val="20"/>
                <w:lang w:eastAsia="sk-SK"/>
              </w:rPr>
            </w:pPr>
            <w:r>
              <w:rPr>
                <w:rFonts w:eastAsia="Times New Roman" w:cs="Times New Roman"/>
                <w:b/>
                <w:bCs/>
                <w:color w:val="000000"/>
                <w:sz w:val="20"/>
                <w:lang w:eastAsia="sk-SK"/>
              </w:rPr>
              <w:t>OP a PO</w:t>
            </w:r>
          </w:p>
        </w:tc>
        <w:tc>
          <w:tcPr>
            <w:tcW w:w="1276" w:type="dxa"/>
            <w:tcBorders>
              <w:top w:val="single" w:sz="4" w:space="0" w:color="auto"/>
              <w:left w:val="nil"/>
              <w:bottom w:val="single" w:sz="4" w:space="0" w:color="auto"/>
              <w:right w:val="nil"/>
            </w:tcBorders>
            <w:shd w:val="clear" w:color="000000" w:fill="FFFFFF"/>
            <w:vAlign w:val="bottom"/>
            <w:hideMark/>
          </w:tcPr>
          <w:p w14:paraId="5BA7EB9F" w14:textId="77777777" w:rsidR="00C069AF" w:rsidRPr="00C069AF" w:rsidRDefault="00C069AF" w:rsidP="00A42768">
            <w:pPr>
              <w:spacing w:after="0" w:line="240" w:lineRule="auto"/>
              <w:jc w:val="center"/>
              <w:rPr>
                <w:rFonts w:eastAsia="Times New Roman" w:cs="Times New Roman"/>
                <w:b/>
                <w:bCs/>
                <w:color w:val="000000"/>
                <w:sz w:val="20"/>
                <w:lang w:eastAsia="sk-SK"/>
              </w:rPr>
            </w:pPr>
            <w:r w:rsidRPr="00C069AF">
              <w:rPr>
                <w:rFonts w:eastAsia="Times New Roman" w:cs="Times New Roman"/>
                <w:b/>
                <w:bCs/>
                <w:color w:val="000000"/>
                <w:sz w:val="20"/>
                <w:lang w:eastAsia="sk-SK"/>
              </w:rPr>
              <w:t>Zazmluvnené k 31.12.2018</w:t>
            </w:r>
          </w:p>
        </w:tc>
        <w:tc>
          <w:tcPr>
            <w:tcW w:w="1275" w:type="dxa"/>
            <w:tcBorders>
              <w:top w:val="single" w:sz="4" w:space="0" w:color="auto"/>
              <w:left w:val="nil"/>
              <w:bottom w:val="single" w:sz="4" w:space="0" w:color="auto"/>
              <w:right w:val="nil"/>
            </w:tcBorders>
            <w:shd w:val="clear" w:color="000000" w:fill="FFFFFF"/>
            <w:vAlign w:val="bottom"/>
            <w:hideMark/>
          </w:tcPr>
          <w:p w14:paraId="54070EB3" w14:textId="77777777" w:rsidR="00C069AF" w:rsidRPr="00C069AF" w:rsidRDefault="00C069AF">
            <w:pPr>
              <w:spacing w:after="0" w:line="240" w:lineRule="auto"/>
              <w:jc w:val="center"/>
              <w:rPr>
                <w:rFonts w:eastAsia="Times New Roman" w:cs="Times New Roman"/>
                <w:b/>
                <w:bCs/>
                <w:color w:val="000000"/>
                <w:sz w:val="20"/>
                <w:lang w:eastAsia="sk-SK"/>
              </w:rPr>
            </w:pPr>
            <w:r w:rsidRPr="00C069AF">
              <w:rPr>
                <w:rFonts w:eastAsia="Times New Roman" w:cs="Times New Roman"/>
                <w:b/>
                <w:bCs/>
                <w:color w:val="000000"/>
                <w:sz w:val="20"/>
                <w:lang w:eastAsia="sk-SK"/>
              </w:rPr>
              <w:t>Čerpanie za rok 2018</w:t>
            </w:r>
          </w:p>
        </w:tc>
      </w:tr>
      <w:tr w:rsidR="001C2322" w:rsidRPr="00C069AF" w14:paraId="550A477B" w14:textId="77777777" w:rsidTr="00D7176D">
        <w:trPr>
          <w:trHeight w:val="255"/>
        </w:trPr>
        <w:tc>
          <w:tcPr>
            <w:tcW w:w="5529" w:type="dxa"/>
            <w:tcBorders>
              <w:top w:val="nil"/>
              <w:left w:val="nil"/>
              <w:bottom w:val="single" w:sz="4" w:space="0" w:color="auto"/>
              <w:right w:val="nil"/>
            </w:tcBorders>
            <w:shd w:val="clear" w:color="000000" w:fill="FFFFFF"/>
            <w:noWrap/>
            <w:vAlign w:val="bottom"/>
            <w:hideMark/>
          </w:tcPr>
          <w:p w14:paraId="7C44B8B9" w14:textId="77777777" w:rsidR="001C2322" w:rsidRPr="00C069AF" w:rsidRDefault="001C2322" w:rsidP="001C2322">
            <w:pPr>
              <w:spacing w:after="0" w:line="240" w:lineRule="auto"/>
              <w:jc w:val="left"/>
              <w:rPr>
                <w:rFonts w:eastAsia="Times New Roman" w:cs="Times New Roman"/>
                <w:b/>
                <w:bCs/>
                <w:color w:val="000000"/>
                <w:sz w:val="20"/>
                <w:lang w:eastAsia="sk-SK"/>
              </w:rPr>
            </w:pPr>
            <w:r w:rsidRPr="00C069AF">
              <w:rPr>
                <w:rFonts w:eastAsia="Times New Roman" w:cs="Times New Roman"/>
                <w:b/>
                <w:bCs/>
                <w:color w:val="000000"/>
                <w:sz w:val="20"/>
                <w:lang w:eastAsia="sk-SK"/>
              </w:rPr>
              <w:t>Vzdelávanie</w:t>
            </w:r>
          </w:p>
        </w:tc>
        <w:tc>
          <w:tcPr>
            <w:tcW w:w="992" w:type="dxa"/>
            <w:tcBorders>
              <w:top w:val="nil"/>
              <w:left w:val="nil"/>
              <w:bottom w:val="single" w:sz="4" w:space="0" w:color="auto"/>
              <w:right w:val="nil"/>
            </w:tcBorders>
            <w:shd w:val="clear" w:color="000000" w:fill="FFFFFF"/>
            <w:noWrap/>
            <w:vAlign w:val="bottom"/>
            <w:hideMark/>
          </w:tcPr>
          <w:p w14:paraId="736F9048" w14:textId="098CDE3A" w:rsidR="001C2322" w:rsidRPr="00C069AF" w:rsidRDefault="001C2322" w:rsidP="001C2322">
            <w:pPr>
              <w:spacing w:after="0" w:line="240" w:lineRule="auto"/>
              <w:jc w:val="center"/>
              <w:rPr>
                <w:rFonts w:eastAsia="Times New Roman" w:cs="Times New Roman"/>
                <w:b/>
                <w:bCs/>
                <w:color w:val="000000"/>
                <w:sz w:val="20"/>
                <w:lang w:eastAsia="sk-SK"/>
              </w:rPr>
            </w:pPr>
          </w:p>
        </w:tc>
        <w:tc>
          <w:tcPr>
            <w:tcW w:w="1276" w:type="dxa"/>
            <w:tcBorders>
              <w:top w:val="single" w:sz="4" w:space="0" w:color="auto"/>
              <w:left w:val="nil"/>
              <w:bottom w:val="single" w:sz="4" w:space="0" w:color="auto"/>
              <w:right w:val="nil"/>
            </w:tcBorders>
            <w:shd w:val="clear" w:color="000000" w:fill="FFFFFF"/>
            <w:noWrap/>
            <w:vAlign w:val="bottom"/>
            <w:hideMark/>
          </w:tcPr>
          <w:p w14:paraId="19FF1CC2" w14:textId="1400B892" w:rsidR="001C2322" w:rsidRPr="00C069AF" w:rsidRDefault="001C2322" w:rsidP="001C2322">
            <w:pPr>
              <w:spacing w:after="0" w:line="240" w:lineRule="auto"/>
              <w:jc w:val="right"/>
              <w:rPr>
                <w:rFonts w:eastAsia="Times New Roman" w:cs="Times New Roman"/>
                <w:b/>
                <w:bCs/>
                <w:color w:val="000000"/>
                <w:sz w:val="20"/>
                <w:lang w:eastAsia="sk-SK"/>
              </w:rPr>
            </w:pPr>
            <w:r>
              <w:rPr>
                <w:b/>
                <w:bCs/>
                <w:color w:val="000000"/>
                <w:sz w:val="20"/>
              </w:rPr>
              <w:t>196,4</w:t>
            </w:r>
          </w:p>
        </w:tc>
        <w:tc>
          <w:tcPr>
            <w:tcW w:w="1275" w:type="dxa"/>
            <w:tcBorders>
              <w:top w:val="single" w:sz="4" w:space="0" w:color="auto"/>
              <w:left w:val="nil"/>
              <w:bottom w:val="single" w:sz="4" w:space="0" w:color="auto"/>
              <w:right w:val="nil"/>
            </w:tcBorders>
            <w:shd w:val="clear" w:color="000000" w:fill="FFFFFF"/>
            <w:noWrap/>
            <w:vAlign w:val="bottom"/>
            <w:hideMark/>
          </w:tcPr>
          <w:p w14:paraId="6AFF0907" w14:textId="7AB587A3" w:rsidR="001C2322" w:rsidRPr="00C069AF" w:rsidRDefault="001C2322" w:rsidP="001C2322">
            <w:pPr>
              <w:spacing w:after="0" w:line="240" w:lineRule="auto"/>
              <w:jc w:val="right"/>
              <w:rPr>
                <w:rFonts w:eastAsia="Times New Roman" w:cs="Times New Roman"/>
                <w:b/>
                <w:bCs/>
                <w:color w:val="000000"/>
                <w:sz w:val="20"/>
                <w:lang w:eastAsia="sk-SK"/>
              </w:rPr>
            </w:pPr>
            <w:r>
              <w:rPr>
                <w:b/>
                <w:bCs/>
                <w:color w:val="000000"/>
                <w:sz w:val="20"/>
              </w:rPr>
              <w:t>32,5</w:t>
            </w:r>
          </w:p>
        </w:tc>
      </w:tr>
      <w:tr w:rsidR="006013B1" w:rsidRPr="00C069AF" w14:paraId="094EA755" w14:textId="77777777" w:rsidTr="00D7176D">
        <w:trPr>
          <w:trHeight w:val="255"/>
        </w:trPr>
        <w:tc>
          <w:tcPr>
            <w:tcW w:w="5529" w:type="dxa"/>
            <w:tcBorders>
              <w:top w:val="nil"/>
              <w:left w:val="nil"/>
              <w:bottom w:val="nil"/>
              <w:right w:val="nil"/>
            </w:tcBorders>
            <w:shd w:val="clear" w:color="000000" w:fill="FFFFFF"/>
            <w:noWrap/>
            <w:vAlign w:val="bottom"/>
            <w:hideMark/>
          </w:tcPr>
          <w:p w14:paraId="06650FEE" w14:textId="77777777" w:rsidR="006013B1" w:rsidRPr="00C069AF" w:rsidRDefault="006013B1" w:rsidP="006013B1">
            <w:pPr>
              <w:spacing w:after="0" w:line="240" w:lineRule="auto"/>
              <w:jc w:val="left"/>
              <w:rPr>
                <w:rFonts w:eastAsia="Times New Roman" w:cs="Times New Roman"/>
                <w:color w:val="000000"/>
                <w:sz w:val="20"/>
                <w:lang w:eastAsia="sk-SK"/>
              </w:rPr>
            </w:pPr>
            <w:r w:rsidRPr="00C069AF">
              <w:rPr>
                <w:rFonts w:eastAsia="Times New Roman" w:cs="Times New Roman"/>
                <w:color w:val="000000"/>
                <w:sz w:val="20"/>
                <w:lang w:eastAsia="sk-SK"/>
              </w:rPr>
              <w:t>Škola otvorená všetkým</w:t>
            </w:r>
          </w:p>
        </w:tc>
        <w:tc>
          <w:tcPr>
            <w:tcW w:w="992" w:type="dxa"/>
            <w:tcBorders>
              <w:top w:val="nil"/>
              <w:left w:val="nil"/>
              <w:bottom w:val="nil"/>
              <w:right w:val="nil"/>
            </w:tcBorders>
            <w:shd w:val="clear" w:color="000000" w:fill="FFFFFF"/>
            <w:noWrap/>
            <w:vAlign w:val="bottom"/>
            <w:hideMark/>
          </w:tcPr>
          <w:p w14:paraId="6E20D38F" w14:textId="3126EFBE" w:rsidR="006013B1" w:rsidRPr="00C069AF" w:rsidRDefault="006013B1" w:rsidP="006013B1">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 xml:space="preserve">OP ĽZ </w:t>
            </w:r>
            <w:r w:rsidRPr="00C069AF">
              <w:rPr>
                <w:rFonts w:eastAsia="Times New Roman" w:cs="Times New Roman"/>
                <w:color w:val="000000"/>
                <w:sz w:val="20"/>
                <w:lang w:eastAsia="sk-SK"/>
              </w:rPr>
              <w:t>1</w:t>
            </w:r>
          </w:p>
        </w:tc>
        <w:tc>
          <w:tcPr>
            <w:tcW w:w="1276" w:type="dxa"/>
            <w:tcBorders>
              <w:top w:val="single" w:sz="4" w:space="0" w:color="auto"/>
              <w:left w:val="nil"/>
              <w:bottom w:val="nil"/>
              <w:right w:val="nil"/>
            </w:tcBorders>
            <w:shd w:val="clear" w:color="000000" w:fill="auto"/>
            <w:noWrap/>
            <w:vAlign w:val="bottom"/>
            <w:hideMark/>
          </w:tcPr>
          <w:p w14:paraId="7C60F454" w14:textId="212166D0" w:rsidR="006013B1" w:rsidRPr="00C069AF" w:rsidRDefault="006013B1" w:rsidP="006013B1">
            <w:pPr>
              <w:spacing w:after="0" w:line="240" w:lineRule="auto"/>
              <w:jc w:val="right"/>
              <w:rPr>
                <w:rFonts w:eastAsia="Times New Roman" w:cs="Times New Roman"/>
                <w:color w:val="000000"/>
                <w:sz w:val="20"/>
                <w:lang w:eastAsia="sk-SK"/>
              </w:rPr>
            </w:pPr>
            <w:r>
              <w:rPr>
                <w:color w:val="000000"/>
                <w:sz w:val="20"/>
              </w:rPr>
              <w:t>29,9</w:t>
            </w:r>
          </w:p>
        </w:tc>
        <w:tc>
          <w:tcPr>
            <w:tcW w:w="1275" w:type="dxa"/>
            <w:tcBorders>
              <w:top w:val="single" w:sz="4" w:space="0" w:color="auto"/>
              <w:left w:val="nil"/>
              <w:bottom w:val="nil"/>
              <w:right w:val="nil"/>
            </w:tcBorders>
            <w:shd w:val="clear" w:color="000000" w:fill="auto"/>
            <w:noWrap/>
            <w:vAlign w:val="bottom"/>
            <w:hideMark/>
          </w:tcPr>
          <w:p w14:paraId="2E8A4390" w14:textId="1971F0F0" w:rsidR="006013B1" w:rsidRPr="00C069AF" w:rsidRDefault="006013B1" w:rsidP="006013B1">
            <w:pPr>
              <w:spacing w:after="0" w:line="240" w:lineRule="auto"/>
              <w:jc w:val="right"/>
              <w:rPr>
                <w:rFonts w:eastAsia="Times New Roman" w:cs="Times New Roman"/>
                <w:color w:val="000000"/>
                <w:sz w:val="20"/>
                <w:lang w:eastAsia="sk-SK"/>
              </w:rPr>
            </w:pPr>
            <w:r>
              <w:rPr>
                <w:color w:val="000000"/>
                <w:sz w:val="20"/>
              </w:rPr>
              <w:t>8,7</w:t>
            </w:r>
          </w:p>
        </w:tc>
      </w:tr>
      <w:tr w:rsidR="006013B1" w:rsidRPr="00C069AF" w14:paraId="2C971959" w14:textId="77777777" w:rsidTr="00D7176D">
        <w:trPr>
          <w:trHeight w:val="255"/>
        </w:trPr>
        <w:tc>
          <w:tcPr>
            <w:tcW w:w="5529" w:type="dxa"/>
            <w:tcBorders>
              <w:top w:val="nil"/>
              <w:left w:val="nil"/>
              <w:bottom w:val="nil"/>
              <w:right w:val="nil"/>
            </w:tcBorders>
            <w:shd w:val="clear" w:color="000000" w:fill="FFFFFF"/>
            <w:noWrap/>
            <w:vAlign w:val="bottom"/>
            <w:hideMark/>
          </w:tcPr>
          <w:p w14:paraId="29762E50" w14:textId="77777777" w:rsidR="006013B1" w:rsidRPr="00C069AF" w:rsidRDefault="006013B1" w:rsidP="006013B1">
            <w:pPr>
              <w:spacing w:after="0" w:line="240" w:lineRule="auto"/>
              <w:jc w:val="left"/>
              <w:rPr>
                <w:rFonts w:eastAsia="Times New Roman" w:cs="Times New Roman"/>
                <w:color w:val="000000"/>
                <w:sz w:val="20"/>
                <w:lang w:eastAsia="sk-SK"/>
              </w:rPr>
            </w:pPr>
            <w:r w:rsidRPr="00C069AF">
              <w:rPr>
                <w:rFonts w:eastAsia="Times New Roman" w:cs="Times New Roman"/>
                <w:color w:val="000000"/>
                <w:sz w:val="20"/>
                <w:lang w:eastAsia="sk-SK"/>
              </w:rPr>
              <w:t>V základnej škole úspešnejší</w:t>
            </w:r>
          </w:p>
        </w:tc>
        <w:tc>
          <w:tcPr>
            <w:tcW w:w="992" w:type="dxa"/>
            <w:tcBorders>
              <w:top w:val="nil"/>
              <w:left w:val="nil"/>
              <w:bottom w:val="nil"/>
              <w:right w:val="nil"/>
            </w:tcBorders>
            <w:shd w:val="clear" w:color="000000" w:fill="FFFFFF"/>
            <w:noWrap/>
            <w:vAlign w:val="bottom"/>
            <w:hideMark/>
          </w:tcPr>
          <w:p w14:paraId="35DB8303" w14:textId="3952CEBD" w:rsidR="006013B1" w:rsidRPr="00C069AF" w:rsidRDefault="006013B1" w:rsidP="006013B1">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 xml:space="preserve">OP ĽZ </w:t>
            </w:r>
            <w:r w:rsidRPr="00C069AF">
              <w:rPr>
                <w:rFonts w:eastAsia="Times New Roman" w:cs="Times New Roman"/>
                <w:color w:val="000000"/>
                <w:sz w:val="20"/>
                <w:lang w:eastAsia="sk-SK"/>
              </w:rPr>
              <w:t>1</w:t>
            </w:r>
          </w:p>
        </w:tc>
        <w:tc>
          <w:tcPr>
            <w:tcW w:w="1276" w:type="dxa"/>
            <w:tcBorders>
              <w:top w:val="nil"/>
              <w:left w:val="nil"/>
              <w:bottom w:val="nil"/>
              <w:right w:val="nil"/>
            </w:tcBorders>
            <w:shd w:val="clear" w:color="000000" w:fill="auto"/>
            <w:noWrap/>
            <w:vAlign w:val="bottom"/>
            <w:hideMark/>
          </w:tcPr>
          <w:p w14:paraId="413DDCA9" w14:textId="4334E394" w:rsidR="006013B1" w:rsidRPr="00C069AF" w:rsidRDefault="006013B1" w:rsidP="006013B1">
            <w:pPr>
              <w:spacing w:after="0" w:line="240" w:lineRule="auto"/>
              <w:jc w:val="right"/>
              <w:rPr>
                <w:rFonts w:eastAsia="Times New Roman" w:cs="Times New Roman"/>
                <w:color w:val="000000"/>
                <w:sz w:val="20"/>
                <w:lang w:eastAsia="sk-SK"/>
              </w:rPr>
            </w:pPr>
            <w:r>
              <w:rPr>
                <w:color w:val="000000"/>
                <w:sz w:val="20"/>
              </w:rPr>
              <w:t>47,9</w:t>
            </w:r>
          </w:p>
        </w:tc>
        <w:tc>
          <w:tcPr>
            <w:tcW w:w="1275" w:type="dxa"/>
            <w:tcBorders>
              <w:top w:val="nil"/>
              <w:left w:val="nil"/>
              <w:bottom w:val="nil"/>
              <w:right w:val="nil"/>
            </w:tcBorders>
            <w:shd w:val="clear" w:color="000000" w:fill="auto"/>
            <w:noWrap/>
            <w:vAlign w:val="bottom"/>
            <w:hideMark/>
          </w:tcPr>
          <w:p w14:paraId="7D471FAD" w14:textId="5F0B8E0A" w:rsidR="006013B1" w:rsidRPr="00C069AF" w:rsidRDefault="006013B1" w:rsidP="006013B1">
            <w:pPr>
              <w:spacing w:after="0" w:line="240" w:lineRule="auto"/>
              <w:jc w:val="right"/>
              <w:rPr>
                <w:rFonts w:eastAsia="Times New Roman" w:cs="Times New Roman"/>
                <w:color w:val="000000"/>
                <w:sz w:val="20"/>
                <w:lang w:eastAsia="sk-SK"/>
              </w:rPr>
            </w:pPr>
            <w:r>
              <w:rPr>
                <w:color w:val="000000"/>
                <w:sz w:val="20"/>
              </w:rPr>
              <w:t>6,5</w:t>
            </w:r>
          </w:p>
        </w:tc>
      </w:tr>
      <w:tr w:rsidR="00C069AF" w:rsidRPr="00C069AF" w14:paraId="7169CC63" w14:textId="77777777" w:rsidTr="00D7176D">
        <w:trPr>
          <w:trHeight w:val="255"/>
        </w:trPr>
        <w:tc>
          <w:tcPr>
            <w:tcW w:w="5529" w:type="dxa"/>
            <w:tcBorders>
              <w:top w:val="nil"/>
              <w:left w:val="nil"/>
              <w:bottom w:val="nil"/>
              <w:right w:val="nil"/>
            </w:tcBorders>
            <w:shd w:val="clear" w:color="000000" w:fill="FFFFFF"/>
            <w:noWrap/>
            <w:vAlign w:val="bottom"/>
            <w:hideMark/>
          </w:tcPr>
          <w:p w14:paraId="3BB43B95" w14:textId="77777777" w:rsidR="00C069AF" w:rsidRPr="00C069AF" w:rsidRDefault="00C069AF" w:rsidP="00C069AF">
            <w:pPr>
              <w:spacing w:after="0" w:line="240" w:lineRule="auto"/>
              <w:jc w:val="left"/>
              <w:rPr>
                <w:rFonts w:eastAsia="Times New Roman" w:cs="Times New Roman"/>
                <w:color w:val="000000"/>
                <w:sz w:val="20"/>
                <w:lang w:eastAsia="sk-SK"/>
              </w:rPr>
            </w:pPr>
            <w:r w:rsidRPr="00C069AF">
              <w:rPr>
                <w:rFonts w:eastAsia="Times New Roman" w:cs="Times New Roman"/>
                <w:color w:val="000000"/>
                <w:sz w:val="20"/>
                <w:lang w:eastAsia="sk-SK"/>
              </w:rPr>
              <w:t>Podpora predprimárneho vzdelávania detí z MRK</w:t>
            </w:r>
          </w:p>
        </w:tc>
        <w:tc>
          <w:tcPr>
            <w:tcW w:w="992" w:type="dxa"/>
            <w:tcBorders>
              <w:top w:val="nil"/>
              <w:left w:val="nil"/>
              <w:bottom w:val="nil"/>
              <w:right w:val="nil"/>
            </w:tcBorders>
            <w:shd w:val="clear" w:color="000000" w:fill="FFFFFF"/>
            <w:noWrap/>
            <w:vAlign w:val="bottom"/>
            <w:hideMark/>
          </w:tcPr>
          <w:p w14:paraId="0C5E8B37" w14:textId="38D20619" w:rsidR="00C069AF" w:rsidRPr="00C069AF" w:rsidRDefault="0002054A">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 xml:space="preserve">OP ĽZ </w:t>
            </w:r>
            <w:r w:rsidR="00C069AF" w:rsidRPr="00C069AF">
              <w:rPr>
                <w:rFonts w:eastAsia="Times New Roman" w:cs="Times New Roman"/>
                <w:color w:val="000000"/>
                <w:sz w:val="20"/>
                <w:lang w:eastAsia="sk-SK"/>
              </w:rPr>
              <w:t>5</w:t>
            </w:r>
          </w:p>
        </w:tc>
        <w:tc>
          <w:tcPr>
            <w:tcW w:w="1276" w:type="dxa"/>
            <w:tcBorders>
              <w:top w:val="nil"/>
              <w:left w:val="nil"/>
              <w:bottom w:val="nil"/>
              <w:right w:val="nil"/>
            </w:tcBorders>
            <w:shd w:val="clear" w:color="000000" w:fill="FFFFFF"/>
            <w:noWrap/>
            <w:vAlign w:val="bottom"/>
            <w:hideMark/>
          </w:tcPr>
          <w:p w14:paraId="220F666B" w14:textId="77777777" w:rsidR="00C069AF" w:rsidRPr="00C069AF" w:rsidRDefault="00C069AF">
            <w:pPr>
              <w:spacing w:after="0" w:line="240" w:lineRule="auto"/>
              <w:jc w:val="right"/>
              <w:rPr>
                <w:rFonts w:eastAsia="Times New Roman" w:cs="Times New Roman"/>
                <w:color w:val="000000"/>
                <w:sz w:val="20"/>
                <w:lang w:eastAsia="sk-SK"/>
              </w:rPr>
            </w:pPr>
            <w:r w:rsidRPr="00C069AF">
              <w:rPr>
                <w:rFonts w:eastAsia="Times New Roman" w:cs="Times New Roman"/>
                <w:color w:val="000000"/>
                <w:sz w:val="20"/>
                <w:lang w:eastAsia="sk-SK"/>
              </w:rPr>
              <w:t>20,0</w:t>
            </w:r>
          </w:p>
        </w:tc>
        <w:tc>
          <w:tcPr>
            <w:tcW w:w="1275" w:type="dxa"/>
            <w:tcBorders>
              <w:top w:val="nil"/>
              <w:left w:val="nil"/>
              <w:bottom w:val="nil"/>
              <w:right w:val="nil"/>
            </w:tcBorders>
            <w:shd w:val="clear" w:color="000000" w:fill="FFFFFF"/>
            <w:noWrap/>
            <w:vAlign w:val="bottom"/>
            <w:hideMark/>
          </w:tcPr>
          <w:p w14:paraId="43D8DB81" w14:textId="77777777" w:rsidR="00C069AF" w:rsidRPr="00C069AF" w:rsidRDefault="00C069AF">
            <w:pPr>
              <w:spacing w:after="0" w:line="240" w:lineRule="auto"/>
              <w:jc w:val="right"/>
              <w:rPr>
                <w:rFonts w:eastAsia="Times New Roman" w:cs="Times New Roman"/>
                <w:color w:val="000000"/>
                <w:sz w:val="20"/>
                <w:lang w:eastAsia="sk-SK"/>
              </w:rPr>
            </w:pPr>
            <w:r w:rsidRPr="00C069AF">
              <w:rPr>
                <w:rFonts w:eastAsia="Times New Roman" w:cs="Times New Roman"/>
                <w:color w:val="000000"/>
                <w:sz w:val="20"/>
                <w:lang w:eastAsia="sk-SK"/>
              </w:rPr>
              <w:t>0,1</w:t>
            </w:r>
          </w:p>
        </w:tc>
      </w:tr>
      <w:tr w:rsidR="00C069AF" w:rsidRPr="00C069AF" w14:paraId="2041F6F5" w14:textId="77777777" w:rsidTr="00D7176D">
        <w:trPr>
          <w:trHeight w:val="255"/>
        </w:trPr>
        <w:tc>
          <w:tcPr>
            <w:tcW w:w="5529" w:type="dxa"/>
            <w:tcBorders>
              <w:top w:val="nil"/>
              <w:left w:val="nil"/>
              <w:bottom w:val="nil"/>
              <w:right w:val="nil"/>
            </w:tcBorders>
            <w:shd w:val="clear" w:color="000000" w:fill="FFFFFF"/>
            <w:noWrap/>
            <w:vAlign w:val="bottom"/>
            <w:hideMark/>
          </w:tcPr>
          <w:p w14:paraId="02D2DAB8" w14:textId="77777777" w:rsidR="00C069AF" w:rsidRPr="00C069AF" w:rsidRDefault="00C069AF" w:rsidP="00C069AF">
            <w:pPr>
              <w:spacing w:after="0" w:line="240" w:lineRule="auto"/>
              <w:jc w:val="left"/>
              <w:rPr>
                <w:rFonts w:eastAsia="Times New Roman" w:cs="Times New Roman"/>
                <w:color w:val="000000"/>
                <w:sz w:val="20"/>
                <w:lang w:eastAsia="sk-SK"/>
              </w:rPr>
            </w:pPr>
            <w:r w:rsidRPr="00C069AF">
              <w:rPr>
                <w:rFonts w:eastAsia="Times New Roman" w:cs="Times New Roman"/>
                <w:color w:val="000000"/>
                <w:sz w:val="20"/>
                <w:lang w:eastAsia="sk-SK"/>
              </w:rPr>
              <w:t>Poskytovanie mentorskej a tútorskej podpory pre žiakov z MRK</w:t>
            </w:r>
          </w:p>
        </w:tc>
        <w:tc>
          <w:tcPr>
            <w:tcW w:w="992" w:type="dxa"/>
            <w:tcBorders>
              <w:top w:val="nil"/>
              <w:left w:val="nil"/>
              <w:bottom w:val="nil"/>
              <w:right w:val="nil"/>
            </w:tcBorders>
            <w:shd w:val="clear" w:color="000000" w:fill="FFFFFF"/>
            <w:noWrap/>
            <w:vAlign w:val="bottom"/>
            <w:hideMark/>
          </w:tcPr>
          <w:p w14:paraId="6E1D75EB" w14:textId="6C40B3F6" w:rsidR="00C069AF" w:rsidRPr="00C069AF" w:rsidRDefault="0002054A">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 xml:space="preserve">OP ĽZ </w:t>
            </w:r>
            <w:r w:rsidR="00C069AF" w:rsidRPr="00C069AF">
              <w:rPr>
                <w:rFonts w:eastAsia="Times New Roman" w:cs="Times New Roman"/>
                <w:color w:val="000000"/>
                <w:sz w:val="20"/>
                <w:lang w:eastAsia="sk-SK"/>
              </w:rPr>
              <w:t>5</w:t>
            </w:r>
          </w:p>
        </w:tc>
        <w:tc>
          <w:tcPr>
            <w:tcW w:w="1276" w:type="dxa"/>
            <w:tcBorders>
              <w:top w:val="nil"/>
              <w:left w:val="nil"/>
              <w:bottom w:val="nil"/>
              <w:right w:val="nil"/>
            </w:tcBorders>
            <w:shd w:val="clear" w:color="000000" w:fill="FFFFFF"/>
            <w:noWrap/>
            <w:vAlign w:val="bottom"/>
            <w:hideMark/>
          </w:tcPr>
          <w:p w14:paraId="7B41B799" w14:textId="77777777" w:rsidR="00C069AF" w:rsidRPr="00C069AF" w:rsidRDefault="00C069AF">
            <w:pPr>
              <w:spacing w:after="0" w:line="240" w:lineRule="auto"/>
              <w:jc w:val="right"/>
              <w:rPr>
                <w:rFonts w:eastAsia="Times New Roman" w:cs="Times New Roman"/>
                <w:color w:val="000000"/>
                <w:sz w:val="20"/>
                <w:lang w:eastAsia="sk-SK"/>
              </w:rPr>
            </w:pPr>
            <w:r w:rsidRPr="00C069AF">
              <w:rPr>
                <w:rFonts w:eastAsia="Times New Roman" w:cs="Times New Roman"/>
                <w:color w:val="000000"/>
                <w:sz w:val="20"/>
                <w:lang w:eastAsia="sk-SK"/>
              </w:rPr>
              <w:t>1,0</w:t>
            </w:r>
          </w:p>
        </w:tc>
        <w:tc>
          <w:tcPr>
            <w:tcW w:w="1275" w:type="dxa"/>
            <w:tcBorders>
              <w:top w:val="nil"/>
              <w:left w:val="nil"/>
              <w:bottom w:val="nil"/>
              <w:right w:val="nil"/>
            </w:tcBorders>
            <w:shd w:val="clear" w:color="000000" w:fill="FFFFFF"/>
            <w:noWrap/>
            <w:vAlign w:val="bottom"/>
            <w:hideMark/>
          </w:tcPr>
          <w:p w14:paraId="232D69D6" w14:textId="77777777" w:rsidR="00C069AF" w:rsidRPr="00C069AF" w:rsidRDefault="00C069AF">
            <w:pPr>
              <w:spacing w:after="0" w:line="240" w:lineRule="auto"/>
              <w:jc w:val="right"/>
              <w:rPr>
                <w:rFonts w:eastAsia="Times New Roman" w:cs="Times New Roman"/>
                <w:color w:val="000000"/>
                <w:sz w:val="20"/>
                <w:lang w:eastAsia="sk-SK"/>
              </w:rPr>
            </w:pPr>
            <w:r w:rsidRPr="00C069AF">
              <w:rPr>
                <w:rFonts w:eastAsia="Times New Roman" w:cs="Times New Roman"/>
                <w:color w:val="000000"/>
                <w:sz w:val="20"/>
                <w:lang w:eastAsia="sk-SK"/>
              </w:rPr>
              <w:t>0,0</w:t>
            </w:r>
          </w:p>
        </w:tc>
      </w:tr>
      <w:tr w:rsidR="00C069AF" w:rsidRPr="00C069AF" w14:paraId="205B58F2" w14:textId="77777777" w:rsidTr="00D7176D">
        <w:trPr>
          <w:trHeight w:val="255"/>
        </w:trPr>
        <w:tc>
          <w:tcPr>
            <w:tcW w:w="5529" w:type="dxa"/>
            <w:tcBorders>
              <w:top w:val="nil"/>
              <w:left w:val="nil"/>
              <w:bottom w:val="nil"/>
              <w:right w:val="nil"/>
            </w:tcBorders>
            <w:shd w:val="clear" w:color="000000" w:fill="FFFFFF"/>
            <w:noWrap/>
            <w:vAlign w:val="bottom"/>
            <w:hideMark/>
          </w:tcPr>
          <w:p w14:paraId="1DABE208" w14:textId="77777777" w:rsidR="00C069AF" w:rsidRPr="00C069AF" w:rsidRDefault="00C069AF" w:rsidP="00C069AF">
            <w:pPr>
              <w:spacing w:after="0" w:line="240" w:lineRule="auto"/>
              <w:jc w:val="left"/>
              <w:rPr>
                <w:rFonts w:eastAsia="Times New Roman" w:cs="Times New Roman"/>
                <w:color w:val="000000"/>
                <w:sz w:val="20"/>
                <w:lang w:eastAsia="sk-SK"/>
              </w:rPr>
            </w:pPr>
            <w:r w:rsidRPr="00C069AF">
              <w:rPr>
                <w:rFonts w:eastAsia="Times New Roman" w:cs="Times New Roman"/>
                <w:color w:val="000000"/>
                <w:sz w:val="20"/>
                <w:lang w:eastAsia="sk-SK"/>
              </w:rPr>
              <w:t>Výstavba a rekonštrukcia MŠ (150 obcí ARK)</w:t>
            </w:r>
          </w:p>
        </w:tc>
        <w:tc>
          <w:tcPr>
            <w:tcW w:w="992" w:type="dxa"/>
            <w:tcBorders>
              <w:top w:val="nil"/>
              <w:left w:val="nil"/>
              <w:bottom w:val="nil"/>
              <w:right w:val="nil"/>
            </w:tcBorders>
            <w:shd w:val="clear" w:color="000000" w:fill="FFFFFF"/>
            <w:noWrap/>
            <w:vAlign w:val="bottom"/>
            <w:hideMark/>
          </w:tcPr>
          <w:p w14:paraId="660B1C41" w14:textId="0944DE21" w:rsidR="00C069AF" w:rsidRPr="00C069AF" w:rsidRDefault="0002054A">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 xml:space="preserve">OP ĽZ </w:t>
            </w:r>
            <w:r w:rsidR="00C069AF" w:rsidRPr="00C069AF">
              <w:rPr>
                <w:rFonts w:eastAsia="Times New Roman" w:cs="Times New Roman"/>
                <w:color w:val="000000"/>
                <w:sz w:val="20"/>
                <w:lang w:eastAsia="sk-SK"/>
              </w:rPr>
              <w:t>6</w:t>
            </w:r>
          </w:p>
        </w:tc>
        <w:tc>
          <w:tcPr>
            <w:tcW w:w="1276" w:type="dxa"/>
            <w:tcBorders>
              <w:top w:val="nil"/>
              <w:left w:val="nil"/>
              <w:bottom w:val="nil"/>
              <w:right w:val="nil"/>
            </w:tcBorders>
            <w:shd w:val="clear" w:color="000000" w:fill="FFFFFF"/>
            <w:noWrap/>
            <w:vAlign w:val="bottom"/>
            <w:hideMark/>
          </w:tcPr>
          <w:p w14:paraId="5347D12A" w14:textId="77777777" w:rsidR="00C069AF" w:rsidRPr="00C069AF" w:rsidRDefault="00C069AF">
            <w:pPr>
              <w:spacing w:after="0" w:line="240" w:lineRule="auto"/>
              <w:jc w:val="right"/>
              <w:rPr>
                <w:rFonts w:eastAsia="Times New Roman" w:cs="Times New Roman"/>
                <w:color w:val="000000"/>
                <w:sz w:val="20"/>
                <w:lang w:eastAsia="sk-SK"/>
              </w:rPr>
            </w:pPr>
            <w:r w:rsidRPr="00C069AF">
              <w:rPr>
                <w:rFonts w:eastAsia="Times New Roman" w:cs="Times New Roman"/>
                <w:color w:val="000000"/>
                <w:sz w:val="20"/>
                <w:lang w:eastAsia="sk-SK"/>
              </w:rPr>
              <w:t>19,3</w:t>
            </w:r>
          </w:p>
        </w:tc>
        <w:tc>
          <w:tcPr>
            <w:tcW w:w="1275" w:type="dxa"/>
            <w:tcBorders>
              <w:top w:val="nil"/>
              <w:left w:val="nil"/>
              <w:bottom w:val="nil"/>
              <w:right w:val="nil"/>
            </w:tcBorders>
            <w:shd w:val="clear" w:color="000000" w:fill="FFFFFF"/>
            <w:noWrap/>
            <w:vAlign w:val="bottom"/>
            <w:hideMark/>
          </w:tcPr>
          <w:p w14:paraId="05301326" w14:textId="77777777" w:rsidR="00C069AF" w:rsidRPr="00C069AF" w:rsidRDefault="00C069AF">
            <w:pPr>
              <w:spacing w:after="0" w:line="240" w:lineRule="auto"/>
              <w:jc w:val="right"/>
              <w:rPr>
                <w:rFonts w:eastAsia="Times New Roman" w:cs="Times New Roman"/>
                <w:color w:val="000000"/>
                <w:sz w:val="20"/>
                <w:lang w:eastAsia="sk-SK"/>
              </w:rPr>
            </w:pPr>
            <w:r w:rsidRPr="00C069AF">
              <w:rPr>
                <w:rFonts w:eastAsia="Times New Roman" w:cs="Times New Roman"/>
                <w:color w:val="000000"/>
                <w:sz w:val="20"/>
                <w:lang w:eastAsia="sk-SK"/>
              </w:rPr>
              <w:t>4,1</w:t>
            </w:r>
          </w:p>
        </w:tc>
      </w:tr>
      <w:tr w:rsidR="00C069AF" w:rsidRPr="00C069AF" w14:paraId="26E572A2" w14:textId="77777777" w:rsidTr="00D7176D">
        <w:trPr>
          <w:trHeight w:val="255"/>
        </w:trPr>
        <w:tc>
          <w:tcPr>
            <w:tcW w:w="5529" w:type="dxa"/>
            <w:tcBorders>
              <w:top w:val="nil"/>
              <w:left w:val="nil"/>
              <w:bottom w:val="nil"/>
              <w:right w:val="nil"/>
            </w:tcBorders>
            <w:shd w:val="clear" w:color="000000" w:fill="FFFFFF"/>
            <w:noWrap/>
            <w:vAlign w:val="bottom"/>
            <w:hideMark/>
          </w:tcPr>
          <w:p w14:paraId="6B7001F8" w14:textId="77777777" w:rsidR="00C069AF" w:rsidRPr="00C069AF" w:rsidRDefault="00C069AF" w:rsidP="00C069AF">
            <w:pPr>
              <w:spacing w:after="0" w:line="240" w:lineRule="auto"/>
              <w:jc w:val="left"/>
              <w:rPr>
                <w:rFonts w:eastAsia="Times New Roman" w:cs="Times New Roman"/>
                <w:color w:val="000000"/>
                <w:sz w:val="20"/>
                <w:lang w:eastAsia="sk-SK"/>
              </w:rPr>
            </w:pPr>
            <w:r w:rsidRPr="00C069AF">
              <w:rPr>
                <w:rFonts w:eastAsia="Times New Roman" w:cs="Times New Roman"/>
                <w:color w:val="000000"/>
                <w:sz w:val="20"/>
                <w:lang w:eastAsia="sk-SK"/>
              </w:rPr>
              <w:t>Výstavba a rekonštrukcia MŠ (mimo 150 ARK)</w:t>
            </w:r>
          </w:p>
        </w:tc>
        <w:tc>
          <w:tcPr>
            <w:tcW w:w="992" w:type="dxa"/>
            <w:tcBorders>
              <w:top w:val="nil"/>
              <w:left w:val="nil"/>
              <w:bottom w:val="nil"/>
              <w:right w:val="nil"/>
            </w:tcBorders>
            <w:shd w:val="clear" w:color="000000" w:fill="FFFFFF"/>
            <w:noWrap/>
            <w:vAlign w:val="bottom"/>
            <w:hideMark/>
          </w:tcPr>
          <w:p w14:paraId="430880ED" w14:textId="320A51E9" w:rsidR="00C069AF" w:rsidRPr="00C069AF" w:rsidRDefault="0002054A">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 xml:space="preserve">OP ĽZ </w:t>
            </w:r>
            <w:r w:rsidR="00C069AF" w:rsidRPr="00C069AF">
              <w:rPr>
                <w:rFonts w:eastAsia="Times New Roman" w:cs="Times New Roman"/>
                <w:color w:val="000000"/>
                <w:sz w:val="20"/>
                <w:lang w:eastAsia="sk-SK"/>
              </w:rPr>
              <w:t>6</w:t>
            </w:r>
          </w:p>
        </w:tc>
        <w:tc>
          <w:tcPr>
            <w:tcW w:w="1276" w:type="dxa"/>
            <w:tcBorders>
              <w:top w:val="nil"/>
              <w:left w:val="nil"/>
              <w:bottom w:val="nil"/>
              <w:right w:val="nil"/>
            </w:tcBorders>
            <w:shd w:val="clear" w:color="000000" w:fill="FFFFFF"/>
            <w:noWrap/>
            <w:vAlign w:val="bottom"/>
            <w:hideMark/>
          </w:tcPr>
          <w:p w14:paraId="3846EB6D" w14:textId="77777777" w:rsidR="00C069AF" w:rsidRPr="00C069AF" w:rsidRDefault="00C069AF">
            <w:pPr>
              <w:spacing w:after="0" w:line="240" w:lineRule="auto"/>
              <w:jc w:val="right"/>
              <w:rPr>
                <w:rFonts w:eastAsia="Times New Roman" w:cs="Times New Roman"/>
                <w:color w:val="000000"/>
                <w:sz w:val="20"/>
                <w:lang w:eastAsia="sk-SK"/>
              </w:rPr>
            </w:pPr>
            <w:r w:rsidRPr="00C069AF">
              <w:rPr>
                <w:rFonts w:eastAsia="Times New Roman" w:cs="Times New Roman"/>
                <w:color w:val="000000"/>
                <w:sz w:val="20"/>
                <w:lang w:eastAsia="sk-SK"/>
              </w:rPr>
              <w:t>8,6</w:t>
            </w:r>
          </w:p>
        </w:tc>
        <w:tc>
          <w:tcPr>
            <w:tcW w:w="1275" w:type="dxa"/>
            <w:tcBorders>
              <w:top w:val="nil"/>
              <w:left w:val="nil"/>
              <w:bottom w:val="nil"/>
              <w:right w:val="nil"/>
            </w:tcBorders>
            <w:shd w:val="clear" w:color="000000" w:fill="FFFFFF"/>
            <w:noWrap/>
            <w:vAlign w:val="bottom"/>
            <w:hideMark/>
          </w:tcPr>
          <w:p w14:paraId="13C27A95" w14:textId="77777777" w:rsidR="00C069AF" w:rsidRPr="00C069AF" w:rsidRDefault="00C069AF">
            <w:pPr>
              <w:spacing w:after="0" w:line="240" w:lineRule="auto"/>
              <w:jc w:val="right"/>
              <w:rPr>
                <w:rFonts w:eastAsia="Times New Roman" w:cs="Times New Roman"/>
                <w:color w:val="000000"/>
                <w:sz w:val="20"/>
                <w:lang w:eastAsia="sk-SK"/>
              </w:rPr>
            </w:pPr>
            <w:r w:rsidRPr="00C069AF">
              <w:rPr>
                <w:rFonts w:eastAsia="Times New Roman" w:cs="Times New Roman"/>
                <w:color w:val="000000"/>
                <w:sz w:val="20"/>
                <w:lang w:eastAsia="sk-SK"/>
              </w:rPr>
              <w:t>1,9</w:t>
            </w:r>
          </w:p>
        </w:tc>
      </w:tr>
      <w:tr w:rsidR="00C069AF" w:rsidRPr="00C069AF" w14:paraId="0548C7FF" w14:textId="77777777" w:rsidTr="00D7176D">
        <w:trPr>
          <w:trHeight w:val="255"/>
        </w:trPr>
        <w:tc>
          <w:tcPr>
            <w:tcW w:w="5529" w:type="dxa"/>
            <w:tcBorders>
              <w:top w:val="nil"/>
              <w:left w:val="nil"/>
              <w:right w:val="nil"/>
            </w:tcBorders>
            <w:shd w:val="clear" w:color="000000" w:fill="FFFFFF"/>
            <w:noWrap/>
            <w:vAlign w:val="bottom"/>
            <w:hideMark/>
          </w:tcPr>
          <w:p w14:paraId="4B6B75C9" w14:textId="77777777" w:rsidR="00C069AF" w:rsidRPr="00C069AF" w:rsidRDefault="00C069AF" w:rsidP="00C069AF">
            <w:pPr>
              <w:spacing w:after="0" w:line="240" w:lineRule="auto"/>
              <w:jc w:val="left"/>
              <w:rPr>
                <w:rFonts w:eastAsia="Times New Roman" w:cs="Times New Roman"/>
                <w:color w:val="000000"/>
                <w:sz w:val="20"/>
                <w:lang w:eastAsia="sk-SK"/>
              </w:rPr>
            </w:pPr>
            <w:r w:rsidRPr="00C069AF">
              <w:rPr>
                <w:rFonts w:eastAsia="Times New Roman" w:cs="Times New Roman"/>
                <w:color w:val="000000"/>
                <w:sz w:val="20"/>
                <w:lang w:eastAsia="sk-SK"/>
              </w:rPr>
              <w:t>Výstavba a rekonštrukcia predškolských zariadení</w:t>
            </w:r>
          </w:p>
        </w:tc>
        <w:tc>
          <w:tcPr>
            <w:tcW w:w="992" w:type="dxa"/>
            <w:tcBorders>
              <w:top w:val="nil"/>
              <w:left w:val="nil"/>
              <w:right w:val="nil"/>
            </w:tcBorders>
            <w:shd w:val="clear" w:color="000000" w:fill="FFFFFF"/>
            <w:noWrap/>
            <w:vAlign w:val="bottom"/>
            <w:hideMark/>
          </w:tcPr>
          <w:p w14:paraId="74927E0D" w14:textId="50F51AC8" w:rsidR="00C069AF" w:rsidRPr="00C069AF" w:rsidRDefault="0002054A">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 xml:space="preserve">OP ĽZ </w:t>
            </w:r>
            <w:r w:rsidR="00C069AF" w:rsidRPr="00C069AF">
              <w:rPr>
                <w:rFonts w:eastAsia="Times New Roman" w:cs="Times New Roman"/>
                <w:color w:val="000000"/>
                <w:sz w:val="20"/>
                <w:lang w:eastAsia="sk-SK"/>
              </w:rPr>
              <w:t>6</w:t>
            </w:r>
          </w:p>
        </w:tc>
        <w:tc>
          <w:tcPr>
            <w:tcW w:w="1276" w:type="dxa"/>
            <w:tcBorders>
              <w:top w:val="nil"/>
              <w:left w:val="nil"/>
              <w:right w:val="nil"/>
            </w:tcBorders>
            <w:shd w:val="clear" w:color="000000" w:fill="FFFFFF"/>
            <w:noWrap/>
            <w:vAlign w:val="bottom"/>
            <w:hideMark/>
          </w:tcPr>
          <w:p w14:paraId="32FAB75A" w14:textId="77777777" w:rsidR="00C069AF" w:rsidRPr="00C069AF" w:rsidRDefault="00C069AF">
            <w:pPr>
              <w:spacing w:after="0" w:line="240" w:lineRule="auto"/>
              <w:jc w:val="right"/>
              <w:rPr>
                <w:rFonts w:eastAsia="Times New Roman" w:cs="Times New Roman"/>
                <w:color w:val="000000"/>
                <w:sz w:val="20"/>
                <w:lang w:eastAsia="sk-SK"/>
              </w:rPr>
            </w:pPr>
            <w:r w:rsidRPr="00C069AF">
              <w:rPr>
                <w:rFonts w:eastAsia="Times New Roman" w:cs="Times New Roman"/>
                <w:color w:val="000000"/>
                <w:sz w:val="20"/>
                <w:lang w:eastAsia="sk-SK"/>
              </w:rPr>
              <w:t>0,0</w:t>
            </w:r>
          </w:p>
        </w:tc>
        <w:tc>
          <w:tcPr>
            <w:tcW w:w="1275" w:type="dxa"/>
            <w:tcBorders>
              <w:top w:val="nil"/>
              <w:left w:val="nil"/>
              <w:right w:val="nil"/>
            </w:tcBorders>
            <w:shd w:val="clear" w:color="000000" w:fill="FFFFFF"/>
            <w:noWrap/>
            <w:vAlign w:val="bottom"/>
            <w:hideMark/>
          </w:tcPr>
          <w:p w14:paraId="5758D0A2" w14:textId="77777777" w:rsidR="00C069AF" w:rsidRPr="00C069AF" w:rsidRDefault="00C069AF">
            <w:pPr>
              <w:spacing w:after="0" w:line="240" w:lineRule="auto"/>
              <w:jc w:val="right"/>
              <w:rPr>
                <w:rFonts w:eastAsia="Times New Roman" w:cs="Times New Roman"/>
                <w:color w:val="000000"/>
                <w:sz w:val="20"/>
                <w:lang w:eastAsia="sk-SK"/>
              </w:rPr>
            </w:pPr>
            <w:r w:rsidRPr="00C069AF">
              <w:rPr>
                <w:rFonts w:eastAsia="Times New Roman" w:cs="Times New Roman"/>
                <w:color w:val="000000"/>
                <w:sz w:val="20"/>
                <w:lang w:eastAsia="sk-SK"/>
              </w:rPr>
              <w:t>0,0</w:t>
            </w:r>
          </w:p>
        </w:tc>
      </w:tr>
      <w:tr w:rsidR="001C2322" w:rsidRPr="0002054A" w14:paraId="780048EA" w14:textId="77777777" w:rsidTr="00D7176D">
        <w:trPr>
          <w:trHeight w:val="255"/>
        </w:trPr>
        <w:tc>
          <w:tcPr>
            <w:tcW w:w="5529" w:type="dxa"/>
            <w:tcBorders>
              <w:left w:val="nil"/>
              <w:bottom w:val="single" w:sz="4" w:space="0" w:color="auto"/>
              <w:right w:val="nil"/>
            </w:tcBorders>
            <w:shd w:val="clear" w:color="000000" w:fill="FFFFFF"/>
            <w:noWrap/>
            <w:vAlign w:val="bottom"/>
          </w:tcPr>
          <w:p w14:paraId="3021BE2E" w14:textId="352D7467" w:rsidR="001C2322" w:rsidRPr="00D3189B" w:rsidRDefault="001C2322" w:rsidP="001C2322">
            <w:pPr>
              <w:spacing w:after="0" w:line="240" w:lineRule="auto"/>
              <w:jc w:val="left"/>
              <w:rPr>
                <w:rFonts w:eastAsia="Times New Roman" w:cs="Times New Roman"/>
                <w:bCs/>
                <w:color w:val="000000"/>
                <w:sz w:val="20"/>
                <w:highlight w:val="yellow"/>
                <w:lang w:eastAsia="sk-SK"/>
              </w:rPr>
            </w:pPr>
            <w:r>
              <w:rPr>
                <w:rFonts w:eastAsia="Times New Roman" w:cs="Times New Roman"/>
                <w:bCs/>
                <w:color w:val="000000"/>
                <w:sz w:val="20"/>
                <w:lang w:eastAsia="sk-SK"/>
              </w:rPr>
              <w:t>Z</w:t>
            </w:r>
            <w:r w:rsidRPr="006C7175">
              <w:rPr>
                <w:rFonts w:eastAsia="Times New Roman" w:cs="Times New Roman"/>
                <w:bCs/>
                <w:color w:val="000000"/>
                <w:sz w:val="20"/>
                <w:lang w:eastAsia="sk-SK"/>
              </w:rPr>
              <w:t>výšenie kapacít infraštruktúry materských škôl</w:t>
            </w:r>
          </w:p>
        </w:tc>
        <w:tc>
          <w:tcPr>
            <w:tcW w:w="992" w:type="dxa"/>
            <w:tcBorders>
              <w:left w:val="nil"/>
              <w:bottom w:val="single" w:sz="4" w:space="0" w:color="auto"/>
              <w:right w:val="nil"/>
            </w:tcBorders>
            <w:shd w:val="clear" w:color="000000" w:fill="FFFFFF"/>
            <w:noWrap/>
            <w:vAlign w:val="bottom"/>
          </w:tcPr>
          <w:p w14:paraId="1989BE1C" w14:textId="035C0515" w:rsidR="001C2322" w:rsidRPr="00D3189B" w:rsidRDefault="001C2322" w:rsidP="001C2322">
            <w:pPr>
              <w:spacing w:after="0" w:line="240" w:lineRule="auto"/>
              <w:jc w:val="right"/>
              <w:rPr>
                <w:rFonts w:eastAsia="Times New Roman" w:cs="Times New Roman"/>
                <w:bCs/>
                <w:color w:val="000000"/>
                <w:sz w:val="20"/>
                <w:lang w:eastAsia="sk-SK"/>
              </w:rPr>
            </w:pPr>
            <w:r w:rsidRPr="00D3189B">
              <w:rPr>
                <w:rFonts w:eastAsia="Times New Roman" w:cs="Times New Roman"/>
                <w:bCs/>
                <w:color w:val="000000"/>
                <w:sz w:val="20"/>
                <w:lang w:eastAsia="sk-SK"/>
              </w:rPr>
              <w:t>IROP 2</w:t>
            </w:r>
          </w:p>
        </w:tc>
        <w:tc>
          <w:tcPr>
            <w:tcW w:w="1276" w:type="dxa"/>
            <w:tcBorders>
              <w:left w:val="nil"/>
              <w:bottom w:val="single" w:sz="4" w:space="0" w:color="auto"/>
              <w:right w:val="nil"/>
            </w:tcBorders>
            <w:shd w:val="clear" w:color="000000" w:fill="auto"/>
            <w:noWrap/>
            <w:vAlign w:val="bottom"/>
          </w:tcPr>
          <w:p w14:paraId="544EF204" w14:textId="5B1F8CF7" w:rsidR="001C2322" w:rsidRPr="00D3189B" w:rsidRDefault="001C2322" w:rsidP="001C2322">
            <w:pPr>
              <w:spacing w:after="0" w:line="240" w:lineRule="auto"/>
              <w:jc w:val="right"/>
              <w:rPr>
                <w:rFonts w:eastAsia="Times New Roman" w:cs="Times New Roman"/>
                <w:bCs/>
                <w:color w:val="000000"/>
                <w:sz w:val="20"/>
                <w:lang w:eastAsia="sk-SK"/>
              </w:rPr>
            </w:pPr>
            <w:r>
              <w:rPr>
                <w:color w:val="000000"/>
                <w:sz w:val="20"/>
              </w:rPr>
              <w:t>69,7</w:t>
            </w:r>
          </w:p>
        </w:tc>
        <w:tc>
          <w:tcPr>
            <w:tcW w:w="1275" w:type="dxa"/>
            <w:tcBorders>
              <w:left w:val="nil"/>
              <w:bottom w:val="single" w:sz="4" w:space="0" w:color="auto"/>
              <w:right w:val="nil"/>
            </w:tcBorders>
            <w:shd w:val="clear" w:color="000000" w:fill="auto"/>
            <w:noWrap/>
            <w:vAlign w:val="bottom"/>
          </w:tcPr>
          <w:p w14:paraId="73A765FB" w14:textId="646FD84A" w:rsidR="001C2322" w:rsidRPr="00D3189B" w:rsidRDefault="001C2322" w:rsidP="001C2322">
            <w:pPr>
              <w:spacing w:after="0" w:line="240" w:lineRule="auto"/>
              <w:jc w:val="right"/>
              <w:rPr>
                <w:rFonts w:eastAsia="Times New Roman" w:cs="Times New Roman"/>
                <w:bCs/>
                <w:color w:val="000000"/>
                <w:sz w:val="20"/>
                <w:lang w:eastAsia="sk-SK"/>
              </w:rPr>
            </w:pPr>
            <w:r>
              <w:rPr>
                <w:color w:val="000000"/>
                <w:sz w:val="20"/>
              </w:rPr>
              <w:t>11,2</w:t>
            </w:r>
          </w:p>
        </w:tc>
      </w:tr>
      <w:tr w:rsidR="001C2322" w:rsidRPr="00C069AF" w14:paraId="20F2CCC6" w14:textId="77777777" w:rsidTr="00D7176D">
        <w:trPr>
          <w:trHeight w:val="255"/>
        </w:trPr>
        <w:tc>
          <w:tcPr>
            <w:tcW w:w="5529" w:type="dxa"/>
            <w:tcBorders>
              <w:top w:val="single" w:sz="4" w:space="0" w:color="auto"/>
              <w:left w:val="nil"/>
              <w:bottom w:val="single" w:sz="4" w:space="0" w:color="auto"/>
              <w:right w:val="nil"/>
            </w:tcBorders>
            <w:shd w:val="clear" w:color="000000" w:fill="FFFFFF"/>
            <w:noWrap/>
            <w:vAlign w:val="bottom"/>
            <w:hideMark/>
          </w:tcPr>
          <w:p w14:paraId="542D3FC0" w14:textId="77777777" w:rsidR="001C2322" w:rsidRPr="00C069AF" w:rsidRDefault="001C2322" w:rsidP="001C2322">
            <w:pPr>
              <w:spacing w:after="0" w:line="240" w:lineRule="auto"/>
              <w:jc w:val="left"/>
              <w:rPr>
                <w:rFonts w:eastAsia="Times New Roman" w:cs="Times New Roman"/>
                <w:b/>
                <w:bCs/>
                <w:color w:val="000000"/>
                <w:sz w:val="20"/>
                <w:lang w:eastAsia="sk-SK"/>
              </w:rPr>
            </w:pPr>
            <w:r w:rsidRPr="00C069AF">
              <w:rPr>
                <w:rFonts w:eastAsia="Times New Roman" w:cs="Times New Roman"/>
                <w:b/>
                <w:bCs/>
                <w:color w:val="000000"/>
                <w:sz w:val="20"/>
                <w:lang w:eastAsia="sk-SK"/>
              </w:rPr>
              <w:t>Politiky trhu práce a sociálne politiky</w:t>
            </w:r>
          </w:p>
        </w:tc>
        <w:tc>
          <w:tcPr>
            <w:tcW w:w="992" w:type="dxa"/>
            <w:tcBorders>
              <w:top w:val="single" w:sz="4" w:space="0" w:color="auto"/>
              <w:left w:val="nil"/>
              <w:bottom w:val="single" w:sz="4" w:space="0" w:color="auto"/>
              <w:right w:val="nil"/>
            </w:tcBorders>
            <w:shd w:val="clear" w:color="000000" w:fill="FFFFFF"/>
            <w:noWrap/>
            <w:vAlign w:val="bottom"/>
            <w:hideMark/>
          </w:tcPr>
          <w:p w14:paraId="66F398D7" w14:textId="7C360705" w:rsidR="001C2322" w:rsidRPr="00C069AF" w:rsidRDefault="001C2322" w:rsidP="001C2322">
            <w:pPr>
              <w:spacing w:after="0" w:line="240" w:lineRule="auto"/>
              <w:jc w:val="right"/>
              <w:rPr>
                <w:rFonts w:eastAsia="Times New Roman" w:cs="Times New Roman"/>
                <w:b/>
                <w:bCs/>
                <w:color w:val="000000"/>
                <w:sz w:val="20"/>
                <w:lang w:eastAsia="sk-SK"/>
              </w:rPr>
            </w:pPr>
          </w:p>
        </w:tc>
        <w:tc>
          <w:tcPr>
            <w:tcW w:w="1276" w:type="dxa"/>
            <w:tcBorders>
              <w:top w:val="single" w:sz="4" w:space="0" w:color="auto"/>
              <w:left w:val="nil"/>
              <w:bottom w:val="single" w:sz="4" w:space="0" w:color="auto"/>
              <w:right w:val="nil"/>
            </w:tcBorders>
            <w:shd w:val="clear" w:color="000000" w:fill="FFFFFF"/>
            <w:noWrap/>
            <w:vAlign w:val="bottom"/>
            <w:hideMark/>
          </w:tcPr>
          <w:p w14:paraId="2A3B661F" w14:textId="5954F757" w:rsidR="001C2322" w:rsidRPr="00C069AF" w:rsidRDefault="001C2322" w:rsidP="001C2322">
            <w:pPr>
              <w:spacing w:after="0" w:line="240" w:lineRule="auto"/>
              <w:jc w:val="right"/>
              <w:rPr>
                <w:rFonts w:eastAsia="Times New Roman" w:cs="Times New Roman"/>
                <w:b/>
                <w:bCs/>
                <w:color w:val="000000"/>
                <w:sz w:val="20"/>
                <w:lang w:eastAsia="sk-SK"/>
              </w:rPr>
            </w:pPr>
            <w:r>
              <w:rPr>
                <w:b/>
                <w:bCs/>
                <w:color w:val="000000"/>
                <w:sz w:val="20"/>
              </w:rPr>
              <w:t>1 283,3</w:t>
            </w:r>
          </w:p>
        </w:tc>
        <w:tc>
          <w:tcPr>
            <w:tcW w:w="1275" w:type="dxa"/>
            <w:tcBorders>
              <w:top w:val="single" w:sz="4" w:space="0" w:color="auto"/>
              <w:left w:val="nil"/>
              <w:bottom w:val="single" w:sz="4" w:space="0" w:color="auto"/>
              <w:right w:val="nil"/>
            </w:tcBorders>
            <w:shd w:val="clear" w:color="000000" w:fill="FFFFFF"/>
            <w:noWrap/>
            <w:vAlign w:val="bottom"/>
            <w:hideMark/>
          </w:tcPr>
          <w:p w14:paraId="43C969F6" w14:textId="2BA1990D" w:rsidR="001C2322" w:rsidRPr="00C069AF" w:rsidRDefault="001C2322" w:rsidP="001C2322">
            <w:pPr>
              <w:spacing w:after="0" w:line="240" w:lineRule="auto"/>
              <w:jc w:val="right"/>
              <w:rPr>
                <w:rFonts w:eastAsia="Times New Roman" w:cs="Times New Roman"/>
                <w:b/>
                <w:bCs/>
                <w:color w:val="000000"/>
                <w:sz w:val="20"/>
                <w:lang w:eastAsia="sk-SK"/>
              </w:rPr>
            </w:pPr>
            <w:r>
              <w:rPr>
                <w:b/>
                <w:bCs/>
                <w:color w:val="000000"/>
                <w:sz w:val="20"/>
              </w:rPr>
              <w:t>219,6</w:t>
            </w:r>
          </w:p>
        </w:tc>
      </w:tr>
      <w:tr w:rsidR="001C2322" w:rsidRPr="00C069AF" w14:paraId="16A4E759" w14:textId="77777777" w:rsidTr="00D7176D">
        <w:trPr>
          <w:trHeight w:val="255"/>
        </w:trPr>
        <w:tc>
          <w:tcPr>
            <w:tcW w:w="5529" w:type="dxa"/>
            <w:tcBorders>
              <w:top w:val="nil"/>
              <w:left w:val="nil"/>
              <w:bottom w:val="nil"/>
              <w:right w:val="nil"/>
            </w:tcBorders>
            <w:shd w:val="clear" w:color="000000" w:fill="FFFFFF"/>
            <w:noWrap/>
            <w:vAlign w:val="bottom"/>
            <w:hideMark/>
          </w:tcPr>
          <w:p w14:paraId="1DA68992" w14:textId="71795665" w:rsidR="001C2322" w:rsidRPr="00C069AF" w:rsidRDefault="001C2322" w:rsidP="001C2322">
            <w:pPr>
              <w:spacing w:after="0" w:line="240" w:lineRule="auto"/>
              <w:jc w:val="left"/>
              <w:rPr>
                <w:rFonts w:eastAsia="Times New Roman" w:cs="Times New Roman"/>
                <w:color w:val="000000"/>
                <w:sz w:val="20"/>
                <w:lang w:eastAsia="sk-SK"/>
              </w:rPr>
            </w:pPr>
            <w:r>
              <w:rPr>
                <w:color w:val="000000"/>
                <w:sz w:val="20"/>
              </w:rPr>
              <w:t>Iniciatíva na podporu zamestnanosti mladých ľudí</w:t>
            </w:r>
          </w:p>
        </w:tc>
        <w:tc>
          <w:tcPr>
            <w:tcW w:w="992" w:type="dxa"/>
            <w:tcBorders>
              <w:top w:val="nil"/>
              <w:left w:val="nil"/>
              <w:bottom w:val="nil"/>
              <w:right w:val="nil"/>
            </w:tcBorders>
            <w:shd w:val="clear" w:color="000000" w:fill="FFFFFF"/>
            <w:noWrap/>
            <w:vAlign w:val="bottom"/>
            <w:hideMark/>
          </w:tcPr>
          <w:p w14:paraId="18F85E03" w14:textId="769DD54D" w:rsidR="001C2322" w:rsidRPr="00C069AF" w:rsidRDefault="001C2322" w:rsidP="001C2322">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 xml:space="preserve">OP ĽZ </w:t>
            </w:r>
            <w:r>
              <w:rPr>
                <w:color w:val="000000"/>
                <w:sz w:val="20"/>
              </w:rPr>
              <w:t>2</w:t>
            </w:r>
          </w:p>
        </w:tc>
        <w:tc>
          <w:tcPr>
            <w:tcW w:w="1276" w:type="dxa"/>
            <w:tcBorders>
              <w:top w:val="nil"/>
              <w:left w:val="nil"/>
              <w:bottom w:val="nil"/>
              <w:right w:val="nil"/>
            </w:tcBorders>
            <w:shd w:val="clear" w:color="000000" w:fill="FFFFFF"/>
            <w:noWrap/>
            <w:vAlign w:val="bottom"/>
            <w:hideMark/>
          </w:tcPr>
          <w:p w14:paraId="0B3B66DE" w14:textId="200CD513" w:rsidR="001C2322" w:rsidRPr="00C069AF" w:rsidRDefault="001C2322" w:rsidP="001C2322">
            <w:pPr>
              <w:spacing w:after="0" w:line="240" w:lineRule="auto"/>
              <w:jc w:val="right"/>
              <w:rPr>
                <w:rFonts w:eastAsia="Times New Roman" w:cs="Times New Roman"/>
                <w:color w:val="000000"/>
                <w:sz w:val="20"/>
                <w:lang w:eastAsia="sk-SK"/>
              </w:rPr>
            </w:pPr>
            <w:r>
              <w:rPr>
                <w:color w:val="000000"/>
                <w:sz w:val="20"/>
              </w:rPr>
              <w:t>253,0</w:t>
            </w:r>
          </w:p>
        </w:tc>
        <w:tc>
          <w:tcPr>
            <w:tcW w:w="1275" w:type="dxa"/>
            <w:tcBorders>
              <w:top w:val="nil"/>
              <w:left w:val="nil"/>
              <w:bottom w:val="nil"/>
              <w:right w:val="nil"/>
            </w:tcBorders>
            <w:shd w:val="clear" w:color="000000" w:fill="FFFFFF"/>
            <w:noWrap/>
            <w:vAlign w:val="bottom"/>
            <w:hideMark/>
          </w:tcPr>
          <w:p w14:paraId="00E61AF5" w14:textId="2756F52C" w:rsidR="001C2322" w:rsidRPr="00C069AF" w:rsidRDefault="001C2322" w:rsidP="001C2322">
            <w:pPr>
              <w:spacing w:after="0" w:line="240" w:lineRule="auto"/>
              <w:jc w:val="right"/>
              <w:rPr>
                <w:rFonts w:eastAsia="Times New Roman" w:cs="Times New Roman"/>
                <w:color w:val="000000"/>
                <w:sz w:val="20"/>
                <w:lang w:eastAsia="sk-SK"/>
              </w:rPr>
            </w:pPr>
            <w:r>
              <w:rPr>
                <w:color w:val="000000"/>
                <w:sz w:val="20"/>
              </w:rPr>
              <w:t>61,4</w:t>
            </w:r>
          </w:p>
        </w:tc>
      </w:tr>
      <w:tr w:rsidR="001C2322" w:rsidRPr="00C069AF" w14:paraId="018B2E91" w14:textId="77777777" w:rsidTr="00D7176D">
        <w:trPr>
          <w:trHeight w:val="255"/>
        </w:trPr>
        <w:tc>
          <w:tcPr>
            <w:tcW w:w="5529" w:type="dxa"/>
            <w:tcBorders>
              <w:top w:val="nil"/>
              <w:left w:val="nil"/>
              <w:bottom w:val="nil"/>
              <w:right w:val="nil"/>
            </w:tcBorders>
            <w:shd w:val="clear" w:color="000000" w:fill="FFFFFF"/>
            <w:noWrap/>
            <w:vAlign w:val="bottom"/>
            <w:hideMark/>
          </w:tcPr>
          <w:p w14:paraId="4F4BF99B" w14:textId="4E086676" w:rsidR="001C2322" w:rsidRPr="00C069AF" w:rsidRDefault="001C2322" w:rsidP="001C2322">
            <w:pPr>
              <w:spacing w:after="0" w:line="240" w:lineRule="auto"/>
              <w:jc w:val="left"/>
              <w:rPr>
                <w:rFonts w:eastAsia="Times New Roman" w:cs="Times New Roman"/>
                <w:color w:val="000000"/>
                <w:sz w:val="20"/>
                <w:lang w:eastAsia="sk-SK"/>
              </w:rPr>
            </w:pPr>
            <w:r>
              <w:rPr>
                <w:color w:val="000000"/>
                <w:sz w:val="20"/>
              </w:rPr>
              <w:t>Podpora zamestnávania UoZ prostredníctvom vybraných AOTP</w:t>
            </w:r>
          </w:p>
        </w:tc>
        <w:tc>
          <w:tcPr>
            <w:tcW w:w="992" w:type="dxa"/>
            <w:tcBorders>
              <w:top w:val="nil"/>
              <w:left w:val="nil"/>
              <w:bottom w:val="nil"/>
              <w:right w:val="nil"/>
            </w:tcBorders>
            <w:shd w:val="clear" w:color="000000" w:fill="FFFFFF"/>
            <w:noWrap/>
            <w:vAlign w:val="bottom"/>
            <w:hideMark/>
          </w:tcPr>
          <w:p w14:paraId="30B37E19" w14:textId="0E473B96" w:rsidR="001C2322" w:rsidRPr="00C069AF" w:rsidRDefault="001C2322" w:rsidP="001C2322">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 xml:space="preserve">OP ĽZ </w:t>
            </w:r>
            <w:r>
              <w:rPr>
                <w:color w:val="000000"/>
                <w:sz w:val="20"/>
              </w:rPr>
              <w:t>3</w:t>
            </w:r>
          </w:p>
        </w:tc>
        <w:tc>
          <w:tcPr>
            <w:tcW w:w="1276" w:type="dxa"/>
            <w:tcBorders>
              <w:top w:val="nil"/>
              <w:left w:val="nil"/>
              <w:bottom w:val="nil"/>
              <w:right w:val="nil"/>
            </w:tcBorders>
            <w:shd w:val="clear" w:color="000000" w:fill="FFFFFF"/>
            <w:noWrap/>
            <w:vAlign w:val="bottom"/>
            <w:hideMark/>
          </w:tcPr>
          <w:p w14:paraId="70F94B83" w14:textId="5DC5A043" w:rsidR="001C2322" w:rsidRPr="00C069AF" w:rsidRDefault="001C2322" w:rsidP="001C2322">
            <w:pPr>
              <w:spacing w:after="0" w:line="240" w:lineRule="auto"/>
              <w:jc w:val="right"/>
              <w:rPr>
                <w:rFonts w:eastAsia="Times New Roman" w:cs="Times New Roman"/>
                <w:color w:val="000000"/>
                <w:sz w:val="20"/>
                <w:lang w:eastAsia="sk-SK"/>
              </w:rPr>
            </w:pPr>
            <w:r>
              <w:rPr>
                <w:color w:val="000000"/>
                <w:sz w:val="20"/>
              </w:rPr>
              <w:t>200,0</w:t>
            </w:r>
          </w:p>
        </w:tc>
        <w:tc>
          <w:tcPr>
            <w:tcW w:w="1275" w:type="dxa"/>
            <w:tcBorders>
              <w:top w:val="nil"/>
              <w:left w:val="nil"/>
              <w:bottom w:val="nil"/>
              <w:right w:val="nil"/>
            </w:tcBorders>
            <w:shd w:val="clear" w:color="000000" w:fill="FFFFFF"/>
            <w:noWrap/>
            <w:vAlign w:val="bottom"/>
            <w:hideMark/>
          </w:tcPr>
          <w:p w14:paraId="26D2D6E7" w14:textId="01A22214" w:rsidR="001C2322" w:rsidRPr="00C069AF" w:rsidRDefault="001C2322" w:rsidP="001C2322">
            <w:pPr>
              <w:spacing w:after="0" w:line="240" w:lineRule="auto"/>
              <w:jc w:val="right"/>
              <w:rPr>
                <w:rFonts w:eastAsia="Times New Roman" w:cs="Times New Roman"/>
                <w:color w:val="000000"/>
                <w:sz w:val="20"/>
                <w:lang w:eastAsia="sk-SK"/>
              </w:rPr>
            </w:pPr>
            <w:r>
              <w:rPr>
                <w:color w:val="000000"/>
                <w:sz w:val="20"/>
              </w:rPr>
              <w:t>33,8</w:t>
            </w:r>
          </w:p>
        </w:tc>
      </w:tr>
      <w:tr w:rsidR="001C2322" w:rsidRPr="00C069AF" w14:paraId="144F63DD" w14:textId="77777777" w:rsidTr="00D7176D">
        <w:trPr>
          <w:trHeight w:val="255"/>
        </w:trPr>
        <w:tc>
          <w:tcPr>
            <w:tcW w:w="5529" w:type="dxa"/>
            <w:tcBorders>
              <w:top w:val="nil"/>
              <w:left w:val="nil"/>
              <w:bottom w:val="nil"/>
              <w:right w:val="nil"/>
            </w:tcBorders>
            <w:shd w:val="clear" w:color="000000" w:fill="FFFFFF"/>
            <w:noWrap/>
            <w:vAlign w:val="bottom"/>
            <w:hideMark/>
          </w:tcPr>
          <w:p w14:paraId="53863190" w14:textId="440216C8" w:rsidR="001C2322" w:rsidRPr="00C069AF" w:rsidRDefault="001C2322" w:rsidP="001C2322">
            <w:pPr>
              <w:spacing w:after="0" w:line="240" w:lineRule="auto"/>
              <w:jc w:val="left"/>
              <w:rPr>
                <w:rFonts w:eastAsia="Times New Roman" w:cs="Times New Roman"/>
                <w:color w:val="000000"/>
                <w:sz w:val="20"/>
                <w:lang w:eastAsia="sk-SK"/>
              </w:rPr>
            </w:pPr>
            <w:r>
              <w:rPr>
                <w:color w:val="000000"/>
                <w:sz w:val="20"/>
              </w:rPr>
              <w:t>Podpora zamestnávania občanov so zdravotným postihnutím</w:t>
            </w:r>
          </w:p>
        </w:tc>
        <w:tc>
          <w:tcPr>
            <w:tcW w:w="992" w:type="dxa"/>
            <w:tcBorders>
              <w:top w:val="nil"/>
              <w:left w:val="nil"/>
              <w:bottom w:val="nil"/>
              <w:right w:val="nil"/>
            </w:tcBorders>
            <w:shd w:val="clear" w:color="000000" w:fill="FFFFFF"/>
            <w:noWrap/>
            <w:vAlign w:val="bottom"/>
            <w:hideMark/>
          </w:tcPr>
          <w:p w14:paraId="5E2846B1" w14:textId="2F764CDE" w:rsidR="001C2322" w:rsidRPr="00C069AF" w:rsidRDefault="001C2322" w:rsidP="001C2322">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 xml:space="preserve">OP ĽZ </w:t>
            </w:r>
            <w:r>
              <w:rPr>
                <w:color w:val="000000"/>
                <w:sz w:val="20"/>
              </w:rPr>
              <w:t>3</w:t>
            </w:r>
          </w:p>
        </w:tc>
        <w:tc>
          <w:tcPr>
            <w:tcW w:w="1276" w:type="dxa"/>
            <w:tcBorders>
              <w:top w:val="nil"/>
              <w:left w:val="nil"/>
              <w:bottom w:val="nil"/>
              <w:right w:val="nil"/>
            </w:tcBorders>
            <w:shd w:val="clear" w:color="000000" w:fill="FFFFFF"/>
            <w:noWrap/>
            <w:vAlign w:val="bottom"/>
            <w:hideMark/>
          </w:tcPr>
          <w:p w14:paraId="4A2CD063" w14:textId="686FB2B1" w:rsidR="001C2322" w:rsidRPr="00C069AF" w:rsidRDefault="001C2322" w:rsidP="001C2322">
            <w:pPr>
              <w:spacing w:after="0" w:line="240" w:lineRule="auto"/>
              <w:jc w:val="right"/>
              <w:rPr>
                <w:rFonts w:eastAsia="Times New Roman" w:cs="Times New Roman"/>
                <w:color w:val="000000"/>
                <w:sz w:val="20"/>
                <w:lang w:eastAsia="sk-SK"/>
              </w:rPr>
            </w:pPr>
            <w:r>
              <w:rPr>
                <w:color w:val="000000"/>
                <w:sz w:val="20"/>
              </w:rPr>
              <w:t>150,0</w:t>
            </w:r>
          </w:p>
        </w:tc>
        <w:tc>
          <w:tcPr>
            <w:tcW w:w="1275" w:type="dxa"/>
            <w:tcBorders>
              <w:top w:val="nil"/>
              <w:left w:val="nil"/>
              <w:bottom w:val="nil"/>
              <w:right w:val="nil"/>
            </w:tcBorders>
            <w:shd w:val="clear" w:color="000000" w:fill="FFFFFF"/>
            <w:noWrap/>
            <w:vAlign w:val="bottom"/>
            <w:hideMark/>
          </w:tcPr>
          <w:p w14:paraId="344348DF" w14:textId="20272C89" w:rsidR="001C2322" w:rsidRPr="00C069AF" w:rsidRDefault="001C2322" w:rsidP="001C2322">
            <w:pPr>
              <w:spacing w:after="0" w:line="240" w:lineRule="auto"/>
              <w:jc w:val="right"/>
              <w:rPr>
                <w:rFonts w:eastAsia="Times New Roman" w:cs="Times New Roman"/>
                <w:color w:val="000000"/>
                <w:sz w:val="20"/>
                <w:lang w:eastAsia="sk-SK"/>
              </w:rPr>
            </w:pPr>
            <w:r>
              <w:rPr>
                <w:color w:val="000000"/>
                <w:sz w:val="20"/>
              </w:rPr>
              <w:t>30,1</w:t>
            </w:r>
          </w:p>
        </w:tc>
      </w:tr>
      <w:tr w:rsidR="001C2322" w:rsidRPr="00C069AF" w14:paraId="6510760D" w14:textId="77777777" w:rsidTr="00D7176D">
        <w:trPr>
          <w:trHeight w:val="255"/>
        </w:trPr>
        <w:tc>
          <w:tcPr>
            <w:tcW w:w="5529" w:type="dxa"/>
            <w:tcBorders>
              <w:top w:val="nil"/>
              <w:left w:val="nil"/>
              <w:bottom w:val="nil"/>
              <w:right w:val="nil"/>
            </w:tcBorders>
            <w:shd w:val="clear" w:color="000000" w:fill="FFFFFF"/>
            <w:noWrap/>
            <w:vAlign w:val="bottom"/>
            <w:hideMark/>
          </w:tcPr>
          <w:p w14:paraId="44B6C863" w14:textId="19E43D64" w:rsidR="001C2322" w:rsidRPr="00C069AF" w:rsidRDefault="001C2322" w:rsidP="001C2322">
            <w:pPr>
              <w:spacing w:after="0" w:line="240" w:lineRule="auto"/>
              <w:jc w:val="left"/>
              <w:rPr>
                <w:rFonts w:eastAsia="Times New Roman" w:cs="Times New Roman"/>
                <w:color w:val="000000"/>
                <w:sz w:val="20"/>
                <w:lang w:eastAsia="sk-SK"/>
              </w:rPr>
            </w:pPr>
            <w:r>
              <w:rPr>
                <w:color w:val="000000"/>
                <w:sz w:val="20"/>
              </w:rPr>
              <w:t>Finančné nástroje (podpora sociálnej ekonomiky)</w:t>
            </w:r>
          </w:p>
        </w:tc>
        <w:tc>
          <w:tcPr>
            <w:tcW w:w="992" w:type="dxa"/>
            <w:tcBorders>
              <w:top w:val="nil"/>
              <w:left w:val="nil"/>
              <w:bottom w:val="nil"/>
              <w:right w:val="nil"/>
            </w:tcBorders>
            <w:shd w:val="clear" w:color="000000" w:fill="FFFFFF"/>
            <w:noWrap/>
            <w:vAlign w:val="bottom"/>
            <w:hideMark/>
          </w:tcPr>
          <w:p w14:paraId="33325329" w14:textId="6C5C5B5F" w:rsidR="001C2322" w:rsidRPr="00C069AF" w:rsidRDefault="001C2322" w:rsidP="001C2322">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 xml:space="preserve">OP ĽZ </w:t>
            </w:r>
            <w:r>
              <w:rPr>
                <w:color w:val="000000"/>
                <w:sz w:val="20"/>
              </w:rPr>
              <w:t>3</w:t>
            </w:r>
          </w:p>
        </w:tc>
        <w:tc>
          <w:tcPr>
            <w:tcW w:w="1276" w:type="dxa"/>
            <w:tcBorders>
              <w:top w:val="nil"/>
              <w:left w:val="nil"/>
              <w:bottom w:val="nil"/>
              <w:right w:val="nil"/>
            </w:tcBorders>
            <w:shd w:val="clear" w:color="000000" w:fill="FFFFFF"/>
            <w:noWrap/>
            <w:vAlign w:val="bottom"/>
            <w:hideMark/>
          </w:tcPr>
          <w:p w14:paraId="2CAD1387" w14:textId="2E2A3875" w:rsidR="001C2322" w:rsidRPr="00C069AF" w:rsidRDefault="001C2322" w:rsidP="001C2322">
            <w:pPr>
              <w:spacing w:after="0" w:line="240" w:lineRule="auto"/>
              <w:jc w:val="right"/>
              <w:rPr>
                <w:rFonts w:eastAsia="Times New Roman" w:cs="Times New Roman"/>
                <w:color w:val="000000"/>
                <w:sz w:val="20"/>
                <w:lang w:eastAsia="sk-SK"/>
              </w:rPr>
            </w:pPr>
            <w:r>
              <w:rPr>
                <w:color w:val="000000"/>
                <w:sz w:val="20"/>
              </w:rPr>
              <w:t>58,5</w:t>
            </w:r>
          </w:p>
        </w:tc>
        <w:tc>
          <w:tcPr>
            <w:tcW w:w="1275" w:type="dxa"/>
            <w:tcBorders>
              <w:top w:val="nil"/>
              <w:left w:val="nil"/>
              <w:bottom w:val="nil"/>
              <w:right w:val="nil"/>
            </w:tcBorders>
            <w:shd w:val="clear" w:color="000000" w:fill="FFFFFF"/>
            <w:noWrap/>
            <w:vAlign w:val="bottom"/>
            <w:hideMark/>
          </w:tcPr>
          <w:p w14:paraId="06D2EE66" w14:textId="24C4BE8A" w:rsidR="001C2322" w:rsidRPr="00C069AF" w:rsidRDefault="001C2322" w:rsidP="001C2322">
            <w:pPr>
              <w:spacing w:after="0" w:line="240" w:lineRule="auto"/>
              <w:jc w:val="right"/>
              <w:rPr>
                <w:rFonts w:eastAsia="Times New Roman" w:cs="Times New Roman"/>
                <w:color w:val="000000"/>
                <w:sz w:val="20"/>
                <w:lang w:eastAsia="sk-SK"/>
              </w:rPr>
            </w:pPr>
            <w:r>
              <w:rPr>
                <w:color w:val="000000"/>
                <w:sz w:val="20"/>
              </w:rPr>
              <w:t>0,0</w:t>
            </w:r>
          </w:p>
        </w:tc>
      </w:tr>
      <w:tr w:rsidR="001C2322" w:rsidRPr="00C069AF" w14:paraId="2CE82584" w14:textId="77777777" w:rsidTr="00D7176D">
        <w:trPr>
          <w:trHeight w:val="255"/>
        </w:trPr>
        <w:tc>
          <w:tcPr>
            <w:tcW w:w="5529" w:type="dxa"/>
            <w:tcBorders>
              <w:top w:val="nil"/>
              <w:left w:val="nil"/>
              <w:bottom w:val="nil"/>
              <w:right w:val="nil"/>
            </w:tcBorders>
            <w:shd w:val="clear" w:color="000000" w:fill="FFFFFF"/>
            <w:noWrap/>
            <w:vAlign w:val="bottom"/>
            <w:hideMark/>
          </w:tcPr>
          <w:p w14:paraId="438DB700" w14:textId="2ACE8C66" w:rsidR="001C2322" w:rsidRPr="00C069AF" w:rsidRDefault="001C2322" w:rsidP="001C2322">
            <w:pPr>
              <w:spacing w:after="0" w:line="240" w:lineRule="auto"/>
              <w:jc w:val="left"/>
              <w:rPr>
                <w:rFonts w:eastAsia="Times New Roman" w:cs="Times New Roman"/>
                <w:color w:val="000000"/>
                <w:sz w:val="20"/>
                <w:lang w:eastAsia="sk-SK"/>
              </w:rPr>
            </w:pPr>
            <w:r>
              <w:rPr>
                <w:color w:val="000000"/>
                <w:sz w:val="20"/>
              </w:rPr>
              <w:t>Operačný program potravinovej a základnej materiálnej pomoci</w:t>
            </w:r>
          </w:p>
        </w:tc>
        <w:tc>
          <w:tcPr>
            <w:tcW w:w="992" w:type="dxa"/>
            <w:tcBorders>
              <w:top w:val="nil"/>
              <w:left w:val="nil"/>
              <w:bottom w:val="nil"/>
              <w:right w:val="nil"/>
            </w:tcBorders>
            <w:shd w:val="clear" w:color="000000" w:fill="FFFFFF"/>
            <w:noWrap/>
            <w:vAlign w:val="bottom"/>
            <w:hideMark/>
          </w:tcPr>
          <w:p w14:paraId="2EB25285" w14:textId="2ED32AAD" w:rsidR="001C2322" w:rsidRPr="00C069AF" w:rsidRDefault="001C2322" w:rsidP="001C2322">
            <w:pPr>
              <w:spacing w:after="0" w:line="240" w:lineRule="auto"/>
              <w:jc w:val="right"/>
              <w:rPr>
                <w:rFonts w:eastAsia="Times New Roman" w:cs="Times New Roman"/>
                <w:color w:val="000000"/>
                <w:sz w:val="20"/>
                <w:lang w:eastAsia="sk-SK"/>
              </w:rPr>
            </w:pPr>
            <w:r>
              <w:rPr>
                <w:color w:val="000000"/>
                <w:sz w:val="20"/>
              </w:rPr>
              <w:t>OP FEAD</w:t>
            </w:r>
          </w:p>
        </w:tc>
        <w:tc>
          <w:tcPr>
            <w:tcW w:w="1276" w:type="dxa"/>
            <w:tcBorders>
              <w:top w:val="nil"/>
              <w:left w:val="nil"/>
              <w:bottom w:val="nil"/>
              <w:right w:val="nil"/>
            </w:tcBorders>
            <w:shd w:val="clear" w:color="000000" w:fill="FFFFFF"/>
            <w:noWrap/>
            <w:vAlign w:val="bottom"/>
            <w:hideMark/>
          </w:tcPr>
          <w:p w14:paraId="0A1471CA" w14:textId="7618F534" w:rsidR="001C2322" w:rsidRPr="00C069AF" w:rsidRDefault="001C2322" w:rsidP="001C2322">
            <w:pPr>
              <w:spacing w:after="0" w:line="240" w:lineRule="auto"/>
              <w:jc w:val="right"/>
              <w:rPr>
                <w:rFonts w:eastAsia="Times New Roman" w:cs="Times New Roman"/>
                <w:color w:val="000000"/>
                <w:sz w:val="20"/>
                <w:lang w:eastAsia="sk-SK"/>
              </w:rPr>
            </w:pPr>
            <w:r>
              <w:rPr>
                <w:color w:val="000000"/>
                <w:sz w:val="20"/>
              </w:rPr>
              <w:t>64,8</w:t>
            </w:r>
          </w:p>
        </w:tc>
        <w:tc>
          <w:tcPr>
            <w:tcW w:w="1275" w:type="dxa"/>
            <w:tcBorders>
              <w:top w:val="nil"/>
              <w:left w:val="nil"/>
              <w:bottom w:val="nil"/>
              <w:right w:val="nil"/>
            </w:tcBorders>
            <w:shd w:val="clear" w:color="000000" w:fill="FFFFFF"/>
            <w:noWrap/>
            <w:vAlign w:val="bottom"/>
            <w:hideMark/>
          </w:tcPr>
          <w:p w14:paraId="4D5E1212" w14:textId="3683BB3C" w:rsidR="001C2322" w:rsidRPr="00C069AF" w:rsidRDefault="001C2322" w:rsidP="001C2322">
            <w:pPr>
              <w:spacing w:after="0" w:line="240" w:lineRule="auto"/>
              <w:jc w:val="right"/>
              <w:rPr>
                <w:rFonts w:eastAsia="Times New Roman" w:cs="Times New Roman"/>
                <w:color w:val="000000"/>
                <w:sz w:val="20"/>
                <w:lang w:eastAsia="sk-SK"/>
              </w:rPr>
            </w:pPr>
            <w:r>
              <w:rPr>
                <w:color w:val="000000"/>
                <w:sz w:val="20"/>
              </w:rPr>
              <w:t>9,9</w:t>
            </w:r>
          </w:p>
        </w:tc>
      </w:tr>
      <w:tr w:rsidR="001C2322" w:rsidRPr="00C069AF" w14:paraId="5846B3E8" w14:textId="77777777" w:rsidTr="00D7176D">
        <w:trPr>
          <w:trHeight w:val="255"/>
        </w:trPr>
        <w:tc>
          <w:tcPr>
            <w:tcW w:w="5529" w:type="dxa"/>
            <w:tcBorders>
              <w:top w:val="nil"/>
              <w:left w:val="nil"/>
              <w:bottom w:val="nil"/>
              <w:right w:val="nil"/>
            </w:tcBorders>
            <w:shd w:val="clear" w:color="000000" w:fill="FFFFFF"/>
            <w:noWrap/>
            <w:vAlign w:val="bottom"/>
            <w:hideMark/>
          </w:tcPr>
          <w:p w14:paraId="60F3FEC9" w14:textId="76B2C3A3" w:rsidR="001C2322" w:rsidRPr="00C069AF" w:rsidRDefault="001C2322" w:rsidP="001C2322">
            <w:pPr>
              <w:spacing w:after="0" w:line="240" w:lineRule="auto"/>
              <w:jc w:val="left"/>
              <w:rPr>
                <w:rFonts w:eastAsia="Times New Roman" w:cs="Times New Roman"/>
                <w:color w:val="000000"/>
                <w:sz w:val="20"/>
                <w:lang w:eastAsia="sk-SK"/>
              </w:rPr>
            </w:pPr>
            <w:r>
              <w:rPr>
                <w:color w:val="000000"/>
                <w:sz w:val="20"/>
              </w:rPr>
              <w:t>Poradenstvo</w:t>
            </w:r>
          </w:p>
        </w:tc>
        <w:tc>
          <w:tcPr>
            <w:tcW w:w="992" w:type="dxa"/>
            <w:tcBorders>
              <w:top w:val="nil"/>
              <w:left w:val="nil"/>
              <w:bottom w:val="nil"/>
              <w:right w:val="nil"/>
            </w:tcBorders>
            <w:shd w:val="clear" w:color="000000" w:fill="FFFFFF"/>
            <w:noWrap/>
            <w:vAlign w:val="bottom"/>
            <w:hideMark/>
          </w:tcPr>
          <w:p w14:paraId="0B8249F4" w14:textId="2C754E61" w:rsidR="001C2322" w:rsidRPr="00C069AF" w:rsidRDefault="001C2322" w:rsidP="001C2322">
            <w:pPr>
              <w:spacing w:after="0" w:line="240" w:lineRule="auto"/>
              <w:jc w:val="right"/>
              <w:rPr>
                <w:rFonts w:eastAsia="Times New Roman" w:cs="Times New Roman"/>
                <w:color w:val="000000"/>
                <w:sz w:val="20"/>
                <w:lang w:eastAsia="sk-SK"/>
              </w:rPr>
            </w:pPr>
            <w:r>
              <w:rPr>
                <w:color w:val="000000"/>
                <w:sz w:val="20"/>
              </w:rPr>
              <w:t> </w:t>
            </w:r>
          </w:p>
        </w:tc>
        <w:tc>
          <w:tcPr>
            <w:tcW w:w="1276" w:type="dxa"/>
            <w:tcBorders>
              <w:top w:val="nil"/>
              <w:left w:val="nil"/>
              <w:bottom w:val="nil"/>
              <w:right w:val="nil"/>
            </w:tcBorders>
            <w:shd w:val="clear" w:color="000000" w:fill="FFFFFF"/>
            <w:noWrap/>
            <w:vAlign w:val="bottom"/>
            <w:hideMark/>
          </w:tcPr>
          <w:p w14:paraId="205BBC75" w14:textId="2B4CAC6A" w:rsidR="001C2322" w:rsidRPr="00C069AF" w:rsidRDefault="001C2322" w:rsidP="001C2322">
            <w:pPr>
              <w:spacing w:after="0" w:line="240" w:lineRule="auto"/>
              <w:jc w:val="right"/>
              <w:rPr>
                <w:rFonts w:eastAsia="Times New Roman" w:cs="Times New Roman"/>
                <w:color w:val="000000"/>
                <w:sz w:val="20"/>
                <w:lang w:eastAsia="sk-SK"/>
              </w:rPr>
            </w:pPr>
            <w:r>
              <w:rPr>
                <w:color w:val="000000"/>
                <w:sz w:val="20"/>
              </w:rPr>
              <w:t> </w:t>
            </w:r>
          </w:p>
        </w:tc>
        <w:tc>
          <w:tcPr>
            <w:tcW w:w="1275" w:type="dxa"/>
            <w:tcBorders>
              <w:top w:val="nil"/>
              <w:left w:val="nil"/>
              <w:bottom w:val="nil"/>
              <w:right w:val="nil"/>
            </w:tcBorders>
            <w:shd w:val="clear" w:color="000000" w:fill="FFFFFF"/>
            <w:noWrap/>
            <w:vAlign w:val="bottom"/>
            <w:hideMark/>
          </w:tcPr>
          <w:p w14:paraId="7A598B6C" w14:textId="377F3BCB" w:rsidR="001C2322" w:rsidRPr="00C069AF" w:rsidRDefault="001C2322" w:rsidP="001C2322">
            <w:pPr>
              <w:spacing w:after="0" w:line="240" w:lineRule="auto"/>
              <w:jc w:val="right"/>
              <w:rPr>
                <w:rFonts w:eastAsia="Times New Roman" w:cs="Times New Roman"/>
                <w:color w:val="000000"/>
                <w:sz w:val="20"/>
                <w:lang w:eastAsia="sk-SK"/>
              </w:rPr>
            </w:pPr>
            <w:r>
              <w:rPr>
                <w:color w:val="000000"/>
                <w:sz w:val="20"/>
              </w:rPr>
              <w:t> </w:t>
            </w:r>
          </w:p>
        </w:tc>
      </w:tr>
      <w:tr w:rsidR="001C2322" w:rsidRPr="00C069AF" w14:paraId="242EC6DD" w14:textId="77777777" w:rsidTr="00D7176D">
        <w:trPr>
          <w:trHeight w:val="255"/>
        </w:trPr>
        <w:tc>
          <w:tcPr>
            <w:tcW w:w="5529" w:type="dxa"/>
            <w:tcBorders>
              <w:top w:val="nil"/>
              <w:left w:val="nil"/>
              <w:bottom w:val="nil"/>
              <w:right w:val="nil"/>
            </w:tcBorders>
            <w:shd w:val="clear" w:color="000000" w:fill="FFFFFF"/>
            <w:noWrap/>
            <w:vAlign w:val="bottom"/>
            <w:hideMark/>
          </w:tcPr>
          <w:p w14:paraId="2B70A6EC" w14:textId="2725BA0F" w:rsidR="001C2322" w:rsidRPr="00C069AF" w:rsidRDefault="001C2322" w:rsidP="001C2322">
            <w:pPr>
              <w:spacing w:after="0" w:line="240" w:lineRule="auto"/>
              <w:ind w:left="214"/>
              <w:jc w:val="left"/>
              <w:rPr>
                <w:rFonts w:eastAsia="Times New Roman" w:cs="Times New Roman"/>
                <w:color w:val="000000"/>
                <w:sz w:val="20"/>
                <w:lang w:eastAsia="sk-SK"/>
              </w:rPr>
            </w:pPr>
            <w:r>
              <w:rPr>
                <w:color w:val="000000"/>
                <w:sz w:val="20"/>
              </w:rPr>
              <w:t>Podpora individualizovaného poradenstva pre dlhodobo nezamestnaných UoZ</w:t>
            </w:r>
          </w:p>
        </w:tc>
        <w:tc>
          <w:tcPr>
            <w:tcW w:w="992" w:type="dxa"/>
            <w:tcBorders>
              <w:top w:val="nil"/>
              <w:left w:val="nil"/>
              <w:bottom w:val="nil"/>
              <w:right w:val="nil"/>
            </w:tcBorders>
            <w:shd w:val="clear" w:color="000000" w:fill="FFFFFF"/>
            <w:noWrap/>
            <w:vAlign w:val="bottom"/>
            <w:hideMark/>
          </w:tcPr>
          <w:p w14:paraId="1BC064D5" w14:textId="04C046AB" w:rsidR="001C2322" w:rsidRPr="00C069AF" w:rsidRDefault="001C2322" w:rsidP="001C2322">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 xml:space="preserve">OP ĽZ </w:t>
            </w:r>
            <w:r>
              <w:rPr>
                <w:color w:val="000000"/>
                <w:sz w:val="20"/>
              </w:rPr>
              <w:t>3</w:t>
            </w:r>
          </w:p>
        </w:tc>
        <w:tc>
          <w:tcPr>
            <w:tcW w:w="1276" w:type="dxa"/>
            <w:tcBorders>
              <w:top w:val="nil"/>
              <w:left w:val="nil"/>
              <w:bottom w:val="nil"/>
              <w:right w:val="nil"/>
            </w:tcBorders>
            <w:shd w:val="clear" w:color="000000" w:fill="FFFFFF"/>
            <w:noWrap/>
            <w:vAlign w:val="bottom"/>
            <w:hideMark/>
          </w:tcPr>
          <w:p w14:paraId="3EE90297" w14:textId="5F63D17B" w:rsidR="001C2322" w:rsidRPr="00C069AF" w:rsidRDefault="001C2322" w:rsidP="001C2322">
            <w:pPr>
              <w:spacing w:after="0" w:line="240" w:lineRule="auto"/>
              <w:jc w:val="right"/>
              <w:rPr>
                <w:rFonts w:eastAsia="Times New Roman" w:cs="Times New Roman"/>
                <w:color w:val="000000"/>
                <w:sz w:val="20"/>
                <w:lang w:eastAsia="sk-SK"/>
              </w:rPr>
            </w:pPr>
            <w:r>
              <w:rPr>
                <w:color w:val="000000"/>
                <w:sz w:val="20"/>
              </w:rPr>
              <w:t>32,9</w:t>
            </w:r>
          </w:p>
        </w:tc>
        <w:tc>
          <w:tcPr>
            <w:tcW w:w="1275" w:type="dxa"/>
            <w:tcBorders>
              <w:top w:val="nil"/>
              <w:left w:val="nil"/>
              <w:bottom w:val="nil"/>
              <w:right w:val="nil"/>
            </w:tcBorders>
            <w:shd w:val="clear" w:color="000000" w:fill="FFFFFF"/>
            <w:noWrap/>
            <w:vAlign w:val="bottom"/>
            <w:hideMark/>
          </w:tcPr>
          <w:p w14:paraId="0C153213" w14:textId="136840D7" w:rsidR="001C2322" w:rsidRPr="00C069AF" w:rsidRDefault="001C2322" w:rsidP="001C2322">
            <w:pPr>
              <w:spacing w:after="0" w:line="240" w:lineRule="auto"/>
              <w:jc w:val="right"/>
              <w:rPr>
                <w:rFonts w:eastAsia="Times New Roman" w:cs="Times New Roman"/>
                <w:color w:val="000000"/>
                <w:sz w:val="20"/>
                <w:lang w:eastAsia="sk-SK"/>
              </w:rPr>
            </w:pPr>
            <w:r>
              <w:rPr>
                <w:color w:val="000000"/>
                <w:sz w:val="20"/>
              </w:rPr>
              <w:t>1,2</w:t>
            </w:r>
          </w:p>
        </w:tc>
      </w:tr>
      <w:tr w:rsidR="001C2322" w:rsidRPr="00C069AF" w14:paraId="79598838" w14:textId="77777777" w:rsidTr="00D7176D">
        <w:trPr>
          <w:trHeight w:val="255"/>
        </w:trPr>
        <w:tc>
          <w:tcPr>
            <w:tcW w:w="5529" w:type="dxa"/>
            <w:tcBorders>
              <w:top w:val="nil"/>
              <w:left w:val="nil"/>
              <w:bottom w:val="nil"/>
              <w:right w:val="nil"/>
            </w:tcBorders>
            <w:shd w:val="clear" w:color="000000" w:fill="FFFFFF"/>
            <w:noWrap/>
            <w:vAlign w:val="bottom"/>
            <w:hideMark/>
          </w:tcPr>
          <w:p w14:paraId="318FDC76" w14:textId="1AACF694" w:rsidR="001C2322" w:rsidRPr="00C069AF" w:rsidRDefault="001C2322" w:rsidP="001C2322">
            <w:pPr>
              <w:spacing w:after="0" w:line="240" w:lineRule="auto"/>
              <w:ind w:left="214"/>
              <w:jc w:val="left"/>
              <w:rPr>
                <w:rFonts w:eastAsia="Times New Roman" w:cs="Times New Roman"/>
                <w:color w:val="000000"/>
                <w:sz w:val="20"/>
                <w:lang w:eastAsia="sk-SK"/>
              </w:rPr>
            </w:pPr>
            <w:r>
              <w:rPr>
                <w:color w:val="000000"/>
                <w:sz w:val="20"/>
              </w:rPr>
              <w:t>Podpora neštátnych služieb zamestnanosti</w:t>
            </w:r>
          </w:p>
        </w:tc>
        <w:tc>
          <w:tcPr>
            <w:tcW w:w="992" w:type="dxa"/>
            <w:tcBorders>
              <w:top w:val="nil"/>
              <w:left w:val="nil"/>
              <w:bottom w:val="nil"/>
              <w:right w:val="nil"/>
            </w:tcBorders>
            <w:shd w:val="clear" w:color="000000" w:fill="FFFFFF"/>
            <w:noWrap/>
            <w:vAlign w:val="bottom"/>
            <w:hideMark/>
          </w:tcPr>
          <w:p w14:paraId="77095BFA" w14:textId="528FF3D0" w:rsidR="001C2322" w:rsidRPr="00C069AF" w:rsidRDefault="001C2322" w:rsidP="001C2322">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 xml:space="preserve">OP ĽZ </w:t>
            </w:r>
            <w:r>
              <w:rPr>
                <w:color w:val="000000"/>
                <w:sz w:val="20"/>
              </w:rPr>
              <w:t>3</w:t>
            </w:r>
          </w:p>
        </w:tc>
        <w:tc>
          <w:tcPr>
            <w:tcW w:w="1276" w:type="dxa"/>
            <w:tcBorders>
              <w:top w:val="nil"/>
              <w:left w:val="nil"/>
              <w:bottom w:val="nil"/>
              <w:right w:val="nil"/>
            </w:tcBorders>
            <w:shd w:val="clear" w:color="000000" w:fill="FFFFFF"/>
            <w:noWrap/>
            <w:vAlign w:val="bottom"/>
            <w:hideMark/>
          </w:tcPr>
          <w:p w14:paraId="3D1A801B" w14:textId="77896114" w:rsidR="001C2322" w:rsidRPr="00C069AF" w:rsidRDefault="001C2322" w:rsidP="001C2322">
            <w:pPr>
              <w:spacing w:after="0" w:line="240" w:lineRule="auto"/>
              <w:jc w:val="right"/>
              <w:rPr>
                <w:rFonts w:eastAsia="Times New Roman" w:cs="Times New Roman"/>
                <w:color w:val="000000"/>
                <w:sz w:val="20"/>
                <w:lang w:eastAsia="sk-SK"/>
              </w:rPr>
            </w:pPr>
            <w:r>
              <w:rPr>
                <w:color w:val="000000"/>
                <w:sz w:val="20"/>
              </w:rPr>
              <w:t>1,0</w:t>
            </w:r>
          </w:p>
        </w:tc>
        <w:tc>
          <w:tcPr>
            <w:tcW w:w="1275" w:type="dxa"/>
            <w:tcBorders>
              <w:top w:val="nil"/>
              <w:left w:val="nil"/>
              <w:bottom w:val="nil"/>
              <w:right w:val="nil"/>
            </w:tcBorders>
            <w:shd w:val="clear" w:color="000000" w:fill="FFFFFF"/>
            <w:noWrap/>
            <w:vAlign w:val="bottom"/>
            <w:hideMark/>
          </w:tcPr>
          <w:p w14:paraId="3CB15012" w14:textId="6C5E3965" w:rsidR="001C2322" w:rsidRPr="00C069AF" w:rsidRDefault="001C2322" w:rsidP="001C2322">
            <w:pPr>
              <w:spacing w:after="0" w:line="240" w:lineRule="auto"/>
              <w:jc w:val="right"/>
              <w:rPr>
                <w:rFonts w:eastAsia="Times New Roman" w:cs="Times New Roman"/>
                <w:color w:val="000000"/>
                <w:sz w:val="20"/>
                <w:lang w:eastAsia="sk-SK"/>
              </w:rPr>
            </w:pPr>
            <w:r>
              <w:rPr>
                <w:color w:val="000000"/>
                <w:sz w:val="20"/>
              </w:rPr>
              <w:t>0,1</w:t>
            </w:r>
          </w:p>
        </w:tc>
      </w:tr>
      <w:tr w:rsidR="001C2322" w:rsidRPr="00C069AF" w14:paraId="4D3842F0" w14:textId="77777777" w:rsidTr="00D7176D">
        <w:trPr>
          <w:trHeight w:val="255"/>
        </w:trPr>
        <w:tc>
          <w:tcPr>
            <w:tcW w:w="5529" w:type="dxa"/>
            <w:tcBorders>
              <w:top w:val="nil"/>
              <w:left w:val="nil"/>
              <w:bottom w:val="nil"/>
              <w:right w:val="nil"/>
            </w:tcBorders>
            <w:shd w:val="clear" w:color="000000" w:fill="FFFFFF"/>
            <w:noWrap/>
            <w:vAlign w:val="bottom"/>
            <w:hideMark/>
          </w:tcPr>
          <w:p w14:paraId="7ACBC9B2" w14:textId="75CCBEB7" w:rsidR="001C2322" w:rsidRPr="00C069AF" w:rsidRDefault="001C2322" w:rsidP="001C2322">
            <w:pPr>
              <w:spacing w:after="0" w:line="240" w:lineRule="auto"/>
              <w:ind w:left="214"/>
              <w:jc w:val="left"/>
              <w:rPr>
                <w:rFonts w:eastAsia="Times New Roman" w:cs="Times New Roman"/>
                <w:color w:val="000000"/>
                <w:sz w:val="20"/>
                <w:lang w:eastAsia="sk-SK"/>
              </w:rPr>
            </w:pPr>
            <w:r>
              <w:rPr>
                <w:color w:val="000000"/>
                <w:sz w:val="20"/>
              </w:rPr>
              <w:t>Spoločne hľadáme prácu</w:t>
            </w:r>
          </w:p>
        </w:tc>
        <w:tc>
          <w:tcPr>
            <w:tcW w:w="992" w:type="dxa"/>
            <w:tcBorders>
              <w:top w:val="nil"/>
              <w:left w:val="nil"/>
              <w:bottom w:val="nil"/>
              <w:right w:val="nil"/>
            </w:tcBorders>
            <w:shd w:val="clear" w:color="000000" w:fill="FFFFFF"/>
            <w:noWrap/>
            <w:vAlign w:val="bottom"/>
            <w:hideMark/>
          </w:tcPr>
          <w:p w14:paraId="7705AD84" w14:textId="5F81055B" w:rsidR="001C2322" w:rsidRPr="00C069AF" w:rsidRDefault="001C2322" w:rsidP="001C2322">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 xml:space="preserve">OP ĽZ </w:t>
            </w:r>
            <w:r>
              <w:rPr>
                <w:color w:val="000000"/>
                <w:sz w:val="20"/>
              </w:rPr>
              <w:t>3</w:t>
            </w:r>
          </w:p>
        </w:tc>
        <w:tc>
          <w:tcPr>
            <w:tcW w:w="1276" w:type="dxa"/>
            <w:tcBorders>
              <w:top w:val="nil"/>
              <w:left w:val="nil"/>
              <w:bottom w:val="nil"/>
              <w:right w:val="nil"/>
            </w:tcBorders>
            <w:shd w:val="clear" w:color="000000" w:fill="FFFFFF"/>
            <w:noWrap/>
            <w:vAlign w:val="bottom"/>
            <w:hideMark/>
          </w:tcPr>
          <w:p w14:paraId="2FDEAAE6" w14:textId="73B760B4" w:rsidR="001C2322" w:rsidRPr="00C069AF" w:rsidRDefault="001C2322" w:rsidP="001C2322">
            <w:pPr>
              <w:spacing w:after="0" w:line="240" w:lineRule="auto"/>
              <w:jc w:val="right"/>
              <w:rPr>
                <w:rFonts w:eastAsia="Times New Roman" w:cs="Times New Roman"/>
                <w:color w:val="000000"/>
                <w:sz w:val="20"/>
                <w:lang w:eastAsia="sk-SK"/>
              </w:rPr>
            </w:pPr>
            <w:r>
              <w:rPr>
                <w:color w:val="000000"/>
                <w:sz w:val="20"/>
              </w:rPr>
              <w:t>7,0</w:t>
            </w:r>
          </w:p>
        </w:tc>
        <w:tc>
          <w:tcPr>
            <w:tcW w:w="1275" w:type="dxa"/>
            <w:tcBorders>
              <w:top w:val="nil"/>
              <w:left w:val="nil"/>
              <w:bottom w:val="nil"/>
              <w:right w:val="nil"/>
            </w:tcBorders>
            <w:shd w:val="clear" w:color="000000" w:fill="FFFFFF"/>
            <w:noWrap/>
            <w:vAlign w:val="bottom"/>
            <w:hideMark/>
          </w:tcPr>
          <w:p w14:paraId="0C4EFC78" w14:textId="5D05C1C4" w:rsidR="001C2322" w:rsidRPr="00C069AF" w:rsidRDefault="001C2322" w:rsidP="001C2322">
            <w:pPr>
              <w:spacing w:after="0" w:line="240" w:lineRule="auto"/>
              <w:jc w:val="right"/>
              <w:rPr>
                <w:rFonts w:eastAsia="Times New Roman" w:cs="Times New Roman"/>
                <w:color w:val="000000"/>
                <w:sz w:val="20"/>
                <w:lang w:eastAsia="sk-SK"/>
              </w:rPr>
            </w:pPr>
            <w:r>
              <w:rPr>
                <w:color w:val="000000"/>
                <w:sz w:val="20"/>
              </w:rPr>
              <w:t>0,9</w:t>
            </w:r>
          </w:p>
        </w:tc>
      </w:tr>
      <w:tr w:rsidR="001C2322" w:rsidRPr="00C069AF" w14:paraId="136BC625" w14:textId="77777777" w:rsidTr="00D7176D">
        <w:trPr>
          <w:trHeight w:val="255"/>
        </w:trPr>
        <w:tc>
          <w:tcPr>
            <w:tcW w:w="5529" w:type="dxa"/>
            <w:tcBorders>
              <w:top w:val="nil"/>
              <w:left w:val="nil"/>
              <w:bottom w:val="nil"/>
              <w:right w:val="nil"/>
            </w:tcBorders>
            <w:shd w:val="clear" w:color="000000" w:fill="FFFFFF"/>
            <w:noWrap/>
            <w:vAlign w:val="bottom"/>
            <w:hideMark/>
          </w:tcPr>
          <w:p w14:paraId="026CC5A3" w14:textId="40E75717" w:rsidR="001C2322" w:rsidRPr="00C069AF" w:rsidRDefault="001C2322" w:rsidP="001C2322">
            <w:pPr>
              <w:spacing w:after="0" w:line="240" w:lineRule="auto"/>
              <w:jc w:val="left"/>
              <w:rPr>
                <w:rFonts w:eastAsia="Times New Roman" w:cs="Times New Roman"/>
                <w:color w:val="000000"/>
                <w:sz w:val="20"/>
                <w:lang w:eastAsia="sk-SK"/>
              </w:rPr>
            </w:pPr>
            <w:r>
              <w:rPr>
                <w:color w:val="000000"/>
                <w:sz w:val="20"/>
              </w:rPr>
              <w:t>Vzdelávanie</w:t>
            </w:r>
          </w:p>
        </w:tc>
        <w:tc>
          <w:tcPr>
            <w:tcW w:w="992" w:type="dxa"/>
            <w:tcBorders>
              <w:top w:val="nil"/>
              <w:left w:val="nil"/>
              <w:bottom w:val="nil"/>
              <w:right w:val="nil"/>
            </w:tcBorders>
            <w:shd w:val="clear" w:color="000000" w:fill="FFFFFF"/>
            <w:noWrap/>
            <w:vAlign w:val="bottom"/>
            <w:hideMark/>
          </w:tcPr>
          <w:p w14:paraId="21E6A687" w14:textId="070C04FC" w:rsidR="001C2322" w:rsidRPr="00C069AF" w:rsidRDefault="001C2322" w:rsidP="001C2322">
            <w:pPr>
              <w:spacing w:after="0" w:line="240" w:lineRule="auto"/>
              <w:jc w:val="right"/>
              <w:rPr>
                <w:rFonts w:eastAsia="Times New Roman" w:cs="Times New Roman"/>
                <w:color w:val="000000"/>
                <w:sz w:val="20"/>
                <w:lang w:eastAsia="sk-SK"/>
              </w:rPr>
            </w:pPr>
            <w:r>
              <w:rPr>
                <w:color w:val="000000"/>
                <w:sz w:val="20"/>
              </w:rPr>
              <w:t> </w:t>
            </w:r>
          </w:p>
        </w:tc>
        <w:tc>
          <w:tcPr>
            <w:tcW w:w="1276" w:type="dxa"/>
            <w:tcBorders>
              <w:top w:val="nil"/>
              <w:left w:val="nil"/>
              <w:bottom w:val="nil"/>
              <w:right w:val="nil"/>
            </w:tcBorders>
            <w:shd w:val="clear" w:color="000000" w:fill="FFFFFF"/>
            <w:noWrap/>
            <w:vAlign w:val="bottom"/>
            <w:hideMark/>
          </w:tcPr>
          <w:p w14:paraId="288F583F" w14:textId="7327E4A7" w:rsidR="001C2322" w:rsidRPr="00C069AF" w:rsidRDefault="001C2322" w:rsidP="001C2322">
            <w:pPr>
              <w:spacing w:after="0" w:line="240" w:lineRule="auto"/>
              <w:jc w:val="right"/>
              <w:rPr>
                <w:rFonts w:eastAsia="Times New Roman" w:cs="Times New Roman"/>
                <w:color w:val="000000"/>
                <w:sz w:val="20"/>
                <w:lang w:eastAsia="sk-SK"/>
              </w:rPr>
            </w:pPr>
            <w:r>
              <w:rPr>
                <w:color w:val="000000"/>
                <w:sz w:val="20"/>
              </w:rPr>
              <w:t> </w:t>
            </w:r>
          </w:p>
        </w:tc>
        <w:tc>
          <w:tcPr>
            <w:tcW w:w="1275" w:type="dxa"/>
            <w:tcBorders>
              <w:top w:val="nil"/>
              <w:left w:val="nil"/>
              <w:bottom w:val="nil"/>
              <w:right w:val="nil"/>
            </w:tcBorders>
            <w:shd w:val="clear" w:color="000000" w:fill="FFFFFF"/>
            <w:noWrap/>
            <w:vAlign w:val="bottom"/>
            <w:hideMark/>
          </w:tcPr>
          <w:p w14:paraId="1E393325" w14:textId="5C7BC1D8" w:rsidR="001C2322" w:rsidRPr="00C069AF" w:rsidRDefault="001C2322" w:rsidP="001C2322">
            <w:pPr>
              <w:spacing w:after="0" w:line="240" w:lineRule="auto"/>
              <w:jc w:val="right"/>
              <w:rPr>
                <w:rFonts w:eastAsia="Times New Roman" w:cs="Times New Roman"/>
                <w:color w:val="000000"/>
                <w:sz w:val="20"/>
                <w:lang w:eastAsia="sk-SK"/>
              </w:rPr>
            </w:pPr>
            <w:r>
              <w:rPr>
                <w:color w:val="000000"/>
                <w:sz w:val="20"/>
              </w:rPr>
              <w:t> </w:t>
            </w:r>
          </w:p>
        </w:tc>
      </w:tr>
      <w:tr w:rsidR="001C2322" w:rsidRPr="00C069AF" w14:paraId="07678C49" w14:textId="77777777" w:rsidTr="00D7176D">
        <w:trPr>
          <w:trHeight w:val="255"/>
        </w:trPr>
        <w:tc>
          <w:tcPr>
            <w:tcW w:w="5529" w:type="dxa"/>
            <w:tcBorders>
              <w:top w:val="nil"/>
              <w:left w:val="nil"/>
              <w:bottom w:val="nil"/>
              <w:right w:val="nil"/>
            </w:tcBorders>
            <w:shd w:val="clear" w:color="000000" w:fill="FFFFFF"/>
            <w:noWrap/>
            <w:vAlign w:val="bottom"/>
            <w:hideMark/>
          </w:tcPr>
          <w:p w14:paraId="289D39A8" w14:textId="12C859F5" w:rsidR="001C2322" w:rsidRPr="00C069AF" w:rsidRDefault="001C2322" w:rsidP="001C2322">
            <w:pPr>
              <w:spacing w:after="0" w:line="240" w:lineRule="auto"/>
              <w:ind w:left="214"/>
              <w:jc w:val="left"/>
              <w:rPr>
                <w:rFonts w:eastAsia="Times New Roman" w:cs="Times New Roman"/>
                <w:color w:val="000000"/>
                <w:sz w:val="20"/>
                <w:lang w:eastAsia="sk-SK"/>
              </w:rPr>
            </w:pPr>
            <w:r>
              <w:rPr>
                <w:color w:val="000000"/>
                <w:sz w:val="20"/>
              </w:rPr>
              <w:t>REŠTART- Príležitosť pre dlhodobo nezamestnaných vrátiť sa na trh práce</w:t>
            </w:r>
          </w:p>
        </w:tc>
        <w:tc>
          <w:tcPr>
            <w:tcW w:w="992" w:type="dxa"/>
            <w:tcBorders>
              <w:top w:val="nil"/>
              <w:left w:val="nil"/>
              <w:bottom w:val="nil"/>
              <w:right w:val="nil"/>
            </w:tcBorders>
            <w:shd w:val="clear" w:color="000000" w:fill="FFFFFF"/>
            <w:noWrap/>
            <w:vAlign w:val="bottom"/>
            <w:hideMark/>
          </w:tcPr>
          <w:p w14:paraId="32B9AF0F" w14:textId="6219801F" w:rsidR="001C2322" w:rsidRPr="00C069AF" w:rsidRDefault="001C2322" w:rsidP="001C2322">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 xml:space="preserve">OP ĽZ </w:t>
            </w:r>
            <w:r>
              <w:rPr>
                <w:color w:val="000000"/>
                <w:sz w:val="20"/>
              </w:rPr>
              <w:t>3</w:t>
            </w:r>
          </w:p>
        </w:tc>
        <w:tc>
          <w:tcPr>
            <w:tcW w:w="1276" w:type="dxa"/>
            <w:tcBorders>
              <w:top w:val="nil"/>
              <w:left w:val="nil"/>
              <w:bottom w:val="nil"/>
              <w:right w:val="nil"/>
            </w:tcBorders>
            <w:shd w:val="clear" w:color="000000" w:fill="FFFFFF"/>
            <w:noWrap/>
            <w:vAlign w:val="bottom"/>
            <w:hideMark/>
          </w:tcPr>
          <w:p w14:paraId="187DA1CD" w14:textId="07550AB8" w:rsidR="001C2322" w:rsidRPr="00C069AF" w:rsidRDefault="001C2322" w:rsidP="001C2322">
            <w:pPr>
              <w:spacing w:after="0" w:line="240" w:lineRule="auto"/>
              <w:jc w:val="right"/>
              <w:rPr>
                <w:rFonts w:eastAsia="Times New Roman" w:cs="Times New Roman"/>
                <w:color w:val="000000"/>
                <w:sz w:val="20"/>
                <w:lang w:eastAsia="sk-SK"/>
              </w:rPr>
            </w:pPr>
            <w:r>
              <w:rPr>
                <w:color w:val="000000"/>
                <w:sz w:val="20"/>
              </w:rPr>
              <w:t>15,6</w:t>
            </w:r>
          </w:p>
        </w:tc>
        <w:tc>
          <w:tcPr>
            <w:tcW w:w="1275" w:type="dxa"/>
            <w:tcBorders>
              <w:top w:val="nil"/>
              <w:left w:val="nil"/>
              <w:bottom w:val="nil"/>
              <w:right w:val="nil"/>
            </w:tcBorders>
            <w:shd w:val="clear" w:color="000000" w:fill="FFFFFF"/>
            <w:noWrap/>
            <w:vAlign w:val="bottom"/>
            <w:hideMark/>
          </w:tcPr>
          <w:p w14:paraId="26B4F6AA" w14:textId="6488E612" w:rsidR="001C2322" w:rsidRPr="00C069AF" w:rsidRDefault="001C2322" w:rsidP="001C2322">
            <w:pPr>
              <w:spacing w:after="0" w:line="240" w:lineRule="auto"/>
              <w:jc w:val="right"/>
              <w:rPr>
                <w:rFonts w:eastAsia="Times New Roman" w:cs="Times New Roman"/>
                <w:color w:val="000000"/>
                <w:sz w:val="20"/>
                <w:lang w:eastAsia="sk-SK"/>
              </w:rPr>
            </w:pPr>
            <w:r>
              <w:rPr>
                <w:color w:val="000000"/>
                <w:sz w:val="20"/>
              </w:rPr>
              <w:t>3,6</w:t>
            </w:r>
          </w:p>
        </w:tc>
      </w:tr>
      <w:tr w:rsidR="001C2322" w:rsidRPr="00C069AF" w14:paraId="16D7943F" w14:textId="77777777" w:rsidTr="00D7176D">
        <w:trPr>
          <w:trHeight w:val="255"/>
        </w:trPr>
        <w:tc>
          <w:tcPr>
            <w:tcW w:w="5529" w:type="dxa"/>
            <w:tcBorders>
              <w:top w:val="nil"/>
              <w:left w:val="nil"/>
              <w:bottom w:val="nil"/>
              <w:right w:val="nil"/>
            </w:tcBorders>
            <w:shd w:val="clear" w:color="000000" w:fill="FFFFFF"/>
            <w:noWrap/>
            <w:vAlign w:val="bottom"/>
            <w:hideMark/>
          </w:tcPr>
          <w:p w14:paraId="2A7D8CA9" w14:textId="5BC51689" w:rsidR="001C2322" w:rsidRPr="00C069AF" w:rsidRDefault="001C2322" w:rsidP="00773905">
            <w:pPr>
              <w:spacing w:after="0" w:line="240" w:lineRule="auto"/>
              <w:ind w:left="214"/>
              <w:jc w:val="left"/>
              <w:rPr>
                <w:rFonts w:eastAsia="Times New Roman" w:cs="Times New Roman"/>
                <w:color w:val="000000"/>
                <w:sz w:val="20"/>
                <w:lang w:eastAsia="sk-SK"/>
              </w:rPr>
            </w:pPr>
            <w:r>
              <w:rPr>
                <w:color w:val="000000"/>
                <w:sz w:val="20"/>
              </w:rPr>
              <w:t>Vzdelávanie uchádzačov o zamestnanie</w:t>
            </w:r>
          </w:p>
        </w:tc>
        <w:tc>
          <w:tcPr>
            <w:tcW w:w="992" w:type="dxa"/>
            <w:tcBorders>
              <w:top w:val="nil"/>
              <w:left w:val="nil"/>
              <w:bottom w:val="nil"/>
              <w:right w:val="nil"/>
            </w:tcBorders>
            <w:shd w:val="clear" w:color="000000" w:fill="FFFFFF"/>
            <w:noWrap/>
            <w:vAlign w:val="bottom"/>
            <w:hideMark/>
          </w:tcPr>
          <w:p w14:paraId="2D89F574" w14:textId="65FC9A71" w:rsidR="001C2322" w:rsidRPr="00C069AF" w:rsidRDefault="001C2322" w:rsidP="001C2322">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 xml:space="preserve">OP ĽZ </w:t>
            </w:r>
            <w:r>
              <w:rPr>
                <w:color w:val="000000"/>
                <w:sz w:val="20"/>
              </w:rPr>
              <w:t>3</w:t>
            </w:r>
          </w:p>
        </w:tc>
        <w:tc>
          <w:tcPr>
            <w:tcW w:w="1276" w:type="dxa"/>
            <w:tcBorders>
              <w:top w:val="nil"/>
              <w:left w:val="nil"/>
              <w:bottom w:val="nil"/>
              <w:right w:val="nil"/>
            </w:tcBorders>
            <w:shd w:val="clear" w:color="000000" w:fill="FFFFFF"/>
            <w:noWrap/>
            <w:vAlign w:val="bottom"/>
            <w:hideMark/>
          </w:tcPr>
          <w:p w14:paraId="209A369D" w14:textId="26BDD39E" w:rsidR="001C2322" w:rsidRPr="00C069AF" w:rsidRDefault="001C2322" w:rsidP="001C2322">
            <w:pPr>
              <w:spacing w:after="0" w:line="240" w:lineRule="auto"/>
              <w:jc w:val="right"/>
              <w:rPr>
                <w:rFonts w:eastAsia="Times New Roman" w:cs="Times New Roman"/>
                <w:color w:val="000000"/>
                <w:sz w:val="20"/>
                <w:lang w:eastAsia="sk-SK"/>
              </w:rPr>
            </w:pPr>
            <w:r>
              <w:rPr>
                <w:color w:val="000000"/>
                <w:sz w:val="20"/>
              </w:rPr>
              <w:t>28,9</w:t>
            </w:r>
          </w:p>
        </w:tc>
        <w:tc>
          <w:tcPr>
            <w:tcW w:w="1275" w:type="dxa"/>
            <w:tcBorders>
              <w:top w:val="nil"/>
              <w:left w:val="nil"/>
              <w:bottom w:val="nil"/>
              <w:right w:val="nil"/>
            </w:tcBorders>
            <w:shd w:val="clear" w:color="000000" w:fill="FFFFFF"/>
            <w:noWrap/>
            <w:vAlign w:val="bottom"/>
            <w:hideMark/>
          </w:tcPr>
          <w:p w14:paraId="572DE5D9" w14:textId="5B6C23D2" w:rsidR="001C2322" w:rsidRPr="00C069AF" w:rsidRDefault="001C2322" w:rsidP="001C2322">
            <w:pPr>
              <w:spacing w:after="0" w:line="240" w:lineRule="auto"/>
              <w:jc w:val="right"/>
              <w:rPr>
                <w:rFonts w:eastAsia="Times New Roman" w:cs="Times New Roman"/>
                <w:color w:val="000000"/>
                <w:sz w:val="20"/>
                <w:lang w:eastAsia="sk-SK"/>
              </w:rPr>
            </w:pPr>
            <w:r>
              <w:rPr>
                <w:color w:val="000000"/>
                <w:sz w:val="20"/>
              </w:rPr>
              <w:t>5,3</w:t>
            </w:r>
          </w:p>
        </w:tc>
      </w:tr>
      <w:tr w:rsidR="001C2322" w:rsidRPr="00C069AF" w14:paraId="63B43888" w14:textId="77777777" w:rsidTr="00D7176D">
        <w:trPr>
          <w:trHeight w:val="255"/>
        </w:trPr>
        <w:tc>
          <w:tcPr>
            <w:tcW w:w="5529" w:type="dxa"/>
            <w:tcBorders>
              <w:top w:val="nil"/>
              <w:left w:val="nil"/>
              <w:bottom w:val="nil"/>
              <w:right w:val="nil"/>
            </w:tcBorders>
            <w:shd w:val="clear" w:color="000000" w:fill="FFFFFF"/>
            <w:noWrap/>
            <w:vAlign w:val="bottom"/>
            <w:hideMark/>
          </w:tcPr>
          <w:p w14:paraId="675EE344" w14:textId="5EA71DCF" w:rsidR="001C2322" w:rsidRPr="00C069AF" w:rsidRDefault="001C2322" w:rsidP="00773905">
            <w:pPr>
              <w:spacing w:after="0" w:line="240" w:lineRule="auto"/>
              <w:ind w:left="214"/>
              <w:jc w:val="left"/>
              <w:rPr>
                <w:rFonts w:eastAsia="Times New Roman" w:cs="Times New Roman"/>
                <w:color w:val="000000"/>
                <w:sz w:val="20"/>
                <w:lang w:eastAsia="sk-SK"/>
              </w:rPr>
            </w:pPr>
            <w:r>
              <w:rPr>
                <w:color w:val="000000"/>
                <w:sz w:val="20"/>
              </w:rPr>
              <w:t>Rozvoj sektorových zručností</w:t>
            </w:r>
          </w:p>
        </w:tc>
        <w:tc>
          <w:tcPr>
            <w:tcW w:w="992" w:type="dxa"/>
            <w:tcBorders>
              <w:top w:val="nil"/>
              <w:left w:val="nil"/>
              <w:bottom w:val="nil"/>
              <w:right w:val="nil"/>
            </w:tcBorders>
            <w:shd w:val="clear" w:color="000000" w:fill="FFFFFF"/>
            <w:noWrap/>
            <w:vAlign w:val="bottom"/>
            <w:hideMark/>
          </w:tcPr>
          <w:p w14:paraId="3E419240" w14:textId="51413E9B" w:rsidR="001C2322" w:rsidRPr="00C069AF" w:rsidRDefault="001C2322" w:rsidP="001C2322">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 xml:space="preserve">OP ĽZ </w:t>
            </w:r>
            <w:r>
              <w:rPr>
                <w:color w:val="000000"/>
                <w:sz w:val="20"/>
              </w:rPr>
              <w:t>3</w:t>
            </w:r>
          </w:p>
        </w:tc>
        <w:tc>
          <w:tcPr>
            <w:tcW w:w="1276" w:type="dxa"/>
            <w:tcBorders>
              <w:top w:val="nil"/>
              <w:left w:val="nil"/>
              <w:bottom w:val="nil"/>
              <w:right w:val="nil"/>
            </w:tcBorders>
            <w:shd w:val="clear" w:color="000000" w:fill="FFFFFF"/>
            <w:noWrap/>
            <w:vAlign w:val="bottom"/>
            <w:hideMark/>
          </w:tcPr>
          <w:p w14:paraId="74948653" w14:textId="4F0BA935" w:rsidR="001C2322" w:rsidRPr="00C069AF" w:rsidRDefault="001C2322" w:rsidP="001C2322">
            <w:pPr>
              <w:spacing w:after="0" w:line="240" w:lineRule="auto"/>
              <w:jc w:val="right"/>
              <w:rPr>
                <w:rFonts w:eastAsia="Times New Roman" w:cs="Times New Roman"/>
                <w:color w:val="000000"/>
                <w:sz w:val="20"/>
                <w:lang w:eastAsia="sk-SK"/>
              </w:rPr>
            </w:pPr>
            <w:r>
              <w:rPr>
                <w:color w:val="000000"/>
                <w:sz w:val="20"/>
              </w:rPr>
              <w:t>2,1</w:t>
            </w:r>
          </w:p>
        </w:tc>
        <w:tc>
          <w:tcPr>
            <w:tcW w:w="1275" w:type="dxa"/>
            <w:tcBorders>
              <w:top w:val="nil"/>
              <w:left w:val="nil"/>
              <w:bottom w:val="nil"/>
              <w:right w:val="nil"/>
            </w:tcBorders>
            <w:shd w:val="clear" w:color="000000" w:fill="FFFFFF"/>
            <w:noWrap/>
            <w:vAlign w:val="bottom"/>
            <w:hideMark/>
          </w:tcPr>
          <w:p w14:paraId="00F21FA2" w14:textId="0D673B7C" w:rsidR="001C2322" w:rsidRPr="00C069AF" w:rsidRDefault="001C2322" w:rsidP="001C2322">
            <w:pPr>
              <w:spacing w:after="0" w:line="240" w:lineRule="auto"/>
              <w:jc w:val="right"/>
              <w:rPr>
                <w:rFonts w:eastAsia="Times New Roman" w:cs="Times New Roman"/>
                <w:color w:val="000000"/>
                <w:sz w:val="20"/>
                <w:lang w:eastAsia="sk-SK"/>
              </w:rPr>
            </w:pPr>
            <w:r>
              <w:rPr>
                <w:color w:val="000000"/>
                <w:sz w:val="20"/>
              </w:rPr>
              <w:t>0,0</w:t>
            </w:r>
          </w:p>
        </w:tc>
      </w:tr>
      <w:tr w:rsidR="001C2322" w:rsidRPr="00C069AF" w14:paraId="6A65A0C7" w14:textId="77777777" w:rsidTr="00D7176D">
        <w:trPr>
          <w:trHeight w:val="255"/>
        </w:trPr>
        <w:tc>
          <w:tcPr>
            <w:tcW w:w="5529" w:type="dxa"/>
            <w:tcBorders>
              <w:top w:val="nil"/>
              <w:left w:val="nil"/>
              <w:bottom w:val="nil"/>
              <w:right w:val="nil"/>
            </w:tcBorders>
            <w:shd w:val="clear" w:color="000000" w:fill="FFFFFF"/>
            <w:noWrap/>
            <w:vAlign w:val="bottom"/>
            <w:hideMark/>
          </w:tcPr>
          <w:p w14:paraId="13E99978" w14:textId="4C61C6BC" w:rsidR="001C2322" w:rsidRPr="00C069AF" w:rsidRDefault="001C2322" w:rsidP="001C2322">
            <w:pPr>
              <w:spacing w:after="0" w:line="240" w:lineRule="auto"/>
              <w:jc w:val="left"/>
              <w:rPr>
                <w:rFonts w:eastAsia="Times New Roman" w:cs="Times New Roman"/>
                <w:color w:val="000000"/>
                <w:sz w:val="20"/>
                <w:lang w:eastAsia="sk-SK"/>
              </w:rPr>
            </w:pPr>
            <w:r>
              <w:rPr>
                <w:color w:val="000000"/>
                <w:sz w:val="20"/>
              </w:rPr>
              <w:t>Stimuly k zamestnávaniu</w:t>
            </w:r>
          </w:p>
        </w:tc>
        <w:tc>
          <w:tcPr>
            <w:tcW w:w="992" w:type="dxa"/>
            <w:tcBorders>
              <w:top w:val="nil"/>
              <w:left w:val="nil"/>
              <w:bottom w:val="nil"/>
              <w:right w:val="nil"/>
            </w:tcBorders>
            <w:shd w:val="clear" w:color="000000" w:fill="FFFFFF"/>
            <w:noWrap/>
            <w:vAlign w:val="bottom"/>
            <w:hideMark/>
          </w:tcPr>
          <w:p w14:paraId="03B14A4B" w14:textId="6FDB8AE3" w:rsidR="001C2322" w:rsidRPr="00C069AF" w:rsidRDefault="001C2322" w:rsidP="001C2322">
            <w:pPr>
              <w:spacing w:after="0" w:line="240" w:lineRule="auto"/>
              <w:jc w:val="right"/>
              <w:rPr>
                <w:rFonts w:eastAsia="Times New Roman" w:cs="Times New Roman"/>
                <w:color w:val="000000"/>
                <w:sz w:val="20"/>
                <w:lang w:eastAsia="sk-SK"/>
              </w:rPr>
            </w:pPr>
            <w:r>
              <w:rPr>
                <w:color w:val="000000"/>
                <w:sz w:val="20"/>
              </w:rPr>
              <w:t> </w:t>
            </w:r>
          </w:p>
        </w:tc>
        <w:tc>
          <w:tcPr>
            <w:tcW w:w="1276" w:type="dxa"/>
            <w:tcBorders>
              <w:top w:val="nil"/>
              <w:left w:val="nil"/>
              <w:right w:val="nil"/>
            </w:tcBorders>
            <w:shd w:val="clear" w:color="000000" w:fill="FFFFFF"/>
            <w:noWrap/>
            <w:vAlign w:val="bottom"/>
            <w:hideMark/>
          </w:tcPr>
          <w:p w14:paraId="437BCD7A" w14:textId="546C1A61" w:rsidR="001C2322" w:rsidRPr="00C069AF" w:rsidRDefault="001C2322" w:rsidP="001C2322">
            <w:pPr>
              <w:spacing w:after="0" w:line="240" w:lineRule="auto"/>
              <w:jc w:val="right"/>
              <w:rPr>
                <w:rFonts w:eastAsia="Times New Roman" w:cs="Times New Roman"/>
                <w:color w:val="000000"/>
                <w:sz w:val="20"/>
                <w:lang w:eastAsia="sk-SK"/>
              </w:rPr>
            </w:pPr>
            <w:r>
              <w:rPr>
                <w:color w:val="000000"/>
                <w:sz w:val="20"/>
              </w:rPr>
              <w:t> </w:t>
            </w:r>
          </w:p>
        </w:tc>
        <w:tc>
          <w:tcPr>
            <w:tcW w:w="1275" w:type="dxa"/>
            <w:tcBorders>
              <w:top w:val="nil"/>
              <w:left w:val="nil"/>
              <w:right w:val="nil"/>
            </w:tcBorders>
            <w:shd w:val="clear" w:color="000000" w:fill="FFFFFF"/>
            <w:noWrap/>
            <w:vAlign w:val="bottom"/>
            <w:hideMark/>
          </w:tcPr>
          <w:p w14:paraId="7F869DEE" w14:textId="523CD514" w:rsidR="001C2322" w:rsidRPr="00C069AF" w:rsidRDefault="001C2322" w:rsidP="001C2322">
            <w:pPr>
              <w:spacing w:after="0" w:line="240" w:lineRule="auto"/>
              <w:jc w:val="right"/>
              <w:rPr>
                <w:rFonts w:eastAsia="Times New Roman" w:cs="Times New Roman"/>
                <w:color w:val="000000"/>
                <w:sz w:val="20"/>
                <w:lang w:eastAsia="sk-SK"/>
              </w:rPr>
            </w:pPr>
            <w:r>
              <w:rPr>
                <w:color w:val="000000"/>
                <w:sz w:val="20"/>
              </w:rPr>
              <w:t> </w:t>
            </w:r>
          </w:p>
        </w:tc>
      </w:tr>
      <w:tr w:rsidR="001C2322" w:rsidRPr="00C069AF" w14:paraId="425B5EFD" w14:textId="77777777" w:rsidTr="00D7176D">
        <w:trPr>
          <w:trHeight w:val="255"/>
        </w:trPr>
        <w:tc>
          <w:tcPr>
            <w:tcW w:w="5529" w:type="dxa"/>
            <w:tcBorders>
              <w:top w:val="nil"/>
              <w:left w:val="nil"/>
              <w:bottom w:val="nil"/>
              <w:right w:val="nil"/>
            </w:tcBorders>
            <w:shd w:val="clear" w:color="000000" w:fill="FFFFFF"/>
            <w:noWrap/>
            <w:vAlign w:val="bottom"/>
          </w:tcPr>
          <w:p w14:paraId="2DBE9C5B" w14:textId="02C731F1" w:rsidR="001C2322" w:rsidRPr="00C069AF" w:rsidRDefault="001C2322" w:rsidP="00773905">
            <w:pPr>
              <w:spacing w:after="0" w:line="240" w:lineRule="auto"/>
              <w:ind w:left="214"/>
              <w:jc w:val="left"/>
              <w:rPr>
                <w:rFonts w:eastAsia="Times New Roman" w:cs="Times New Roman"/>
                <w:color w:val="000000"/>
                <w:sz w:val="20"/>
                <w:lang w:eastAsia="sk-SK"/>
              </w:rPr>
            </w:pPr>
            <w:r>
              <w:rPr>
                <w:color w:val="000000"/>
                <w:sz w:val="20"/>
              </w:rPr>
              <w:t>Šanca na zamestnanie</w:t>
            </w:r>
          </w:p>
        </w:tc>
        <w:tc>
          <w:tcPr>
            <w:tcW w:w="992" w:type="dxa"/>
            <w:tcBorders>
              <w:top w:val="nil"/>
              <w:left w:val="nil"/>
              <w:bottom w:val="nil"/>
              <w:right w:val="nil"/>
            </w:tcBorders>
            <w:shd w:val="clear" w:color="000000" w:fill="FFFFFF"/>
            <w:noWrap/>
            <w:vAlign w:val="bottom"/>
          </w:tcPr>
          <w:p w14:paraId="04812B73" w14:textId="2ED39D94" w:rsidR="001C2322" w:rsidRPr="00D3189B" w:rsidRDefault="001C2322" w:rsidP="001C2322">
            <w:pPr>
              <w:spacing w:after="0" w:line="240" w:lineRule="auto"/>
              <w:jc w:val="right"/>
              <w:rPr>
                <w:rFonts w:eastAsia="Times New Roman" w:cs="Times New Roman"/>
                <w:color w:val="000000"/>
                <w:sz w:val="20"/>
                <w:highlight w:val="yellow"/>
                <w:lang w:eastAsia="sk-SK"/>
              </w:rPr>
            </w:pPr>
            <w:r>
              <w:rPr>
                <w:rFonts w:eastAsia="Times New Roman" w:cs="Times New Roman"/>
                <w:color w:val="000000"/>
                <w:sz w:val="20"/>
                <w:lang w:eastAsia="sk-SK"/>
              </w:rPr>
              <w:t xml:space="preserve">OP ĽZ </w:t>
            </w:r>
            <w:r>
              <w:rPr>
                <w:color w:val="000000"/>
                <w:sz w:val="20"/>
              </w:rPr>
              <w:t>3</w:t>
            </w:r>
          </w:p>
        </w:tc>
        <w:tc>
          <w:tcPr>
            <w:tcW w:w="1276" w:type="dxa"/>
            <w:tcBorders>
              <w:top w:val="nil"/>
              <w:left w:val="nil"/>
              <w:bottom w:val="nil"/>
              <w:right w:val="nil"/>
            </w:tcBorders>
            <w:shd w:val="clear" w:color="000000" w:fill="auto"/>
            <w:noWrap/>
            <w:vAlign w:val="bottom"/>
          </w:tcPr>
          <w:p w14:paraId="6A6C8CD4" w14:textId="1F937290" w:rsidR="001C2322" w:rsidRPr="00D3189B" w:rsidRDefault="001C2322" w:rsidP="001C2322">
            <w:pPr>
              <w:spacing w:after="0" w:line="240" w:lineRule="auto"/>
              <w:jc w:val="right"/>
              <w:rPr>
                <w:rFonts w:eastAsia="Times New Roman" w:cs="Times New Roman"/>
                <w:color w:val="000000"/>
                <w:sz w:val="20"/>
                <w:highlight w:val="yellow"/>
                <w:lang w:eastAsia="sk-SK"/>
              </w:rPr>
            </w:pPr>
            <w:r>
              <w:rPr>
                <w:color w:val="000000"/>
                <w:sz w:val="20"/>
              </w:rPr>
              <w:t>50,0</w:t>
            </w:r>
          </w:p>
        </w:tc>
        <w:tc>
          <w:tcPr>
            <w:tcW w:w="1275" w:type="dxa"/>
            <w:tcBorders>
              <w:top w:val="nil"/>
              <w:left w:val="nil"/>
              <w:bottom w:val="nil"/>
              <w:right w:val="nil"/>
            </w:tcBorders>
            <w:shd w:val="clear" w:color="000000" w:fill="auto"/>
            <w:noWrap/>
            <w:vAlign w:val="bottom"/>
          </w:tcPr>
          <w:p w14:paraId="616387BE" w14:textId="4264D50E" w:rsidR="001C2322" w:rsidRPr="00D3189B" w:rsidRDefault="001C2322" w:rsidP="001C2322">
            <w:pPr>
              <w:spacing w:after="0" w:line="240" w:lineRule="auto"/>
              <w:jc w:val="right"/>
              <w:rPr>
                <w:rFonts w:eastAsia="Times New Roman" w:cs="Times New Roman"/>
                <w:color w:val="000000"/>
                <w:sz w:val="20"/>
                <w:highlight w:val="yellow"/>
                <w:lang w:eastAsia="sk-SK"/>
              </w:rPr>
            </w:pPr>
            <w:r>
              <w:rPr>
                <w:color w:val="000000"/>
                <w:sz w:val="20"/>
              </w:rPr>
              <w:t>1,7</w:t>
            </w:r>
          </w:p>
        </w:tc>
      </w:tr>
      <w:tr w:rsidR="001C2322" w:rsidRPr="00C069AF" w14:paraId="16F71C56" w14:textId="77777777" w:rsidTr="00D7176D">
        <w:trPr>
          <w:trHeight w:val="255"/>
        </w:trPr>
        <w:tc>
          <w:tcPr>
            <w:tcW w:w="5529" w:type="dxa"/>
            <w:tcBorders>
              <w:top w:val="nil"/>
              <w:left w:val="nil"/>
              <w:bottom w:val="nil"/>
              <w:right w:val="nil"/>
            </w:tcBorders>
            <w:shd w:val="clear" w:color="000000" w:fill="FFFFFF"/>
            <w:noWrap/>
            <w:vAlign w:val="bottom"/>
            <w:hideMark/>
          </w:tcPr>
          <w:p w14:paraId="57D5F318" w14:textId="4A396707" w:rsidR="001C2322" w:rsidRPr="00C069AF" w:rsidRDefault="001C2322" w:rsidP="00773905">
            <w:pPr>
              <w:spacing w:after="0" w:line="240" w:lineRule="auto"/>
              <w:ind w:left="214"/>
              <w:jc w:val="left"/>
              <w:rPr>
                <w:rFonts w:eastAsia="Times New Roman" w:cs="Times New Roman"/>
                <w:color w:val="000000"/>
                <w:sz w:val="20"/>
                <w:lang w:eastAsia="sk-SK"/>
              </w:rPr>
            </w:pPr>
            <w:r>
              <w:rPr>
                <w:color w:val="000000"/>
                <w:sz w:val="20"/>
              </w:rPr>
              <w:t>Cesta z kruhu nezamestnanosti</w:t>
            </w:r>
          </w:p>
        </w:tc>
        <w:tc>
          <w:tcPr>
            <w:tcW w:w="992" w:type="dxa"/>
            <w:tcBorders>
              <w:top w:val="nil"/>
              <w:left w:val="nil"/>
              <w:bottom w:val="nil"/>
              <w:right w:val="nil"/>
            </w:tcBorders>
            <w:shd w:val="clear" w:color="000000" w:fill="FFFFFF"/>
            <w:noWrap/>
            <w:vAlign w:val="bottom"/>
            <w:hideMark/>
          </w:tcPr>
          <w:p w14:paraId="45DBC2C6" w14:textId="02B913A3" w:rsidR="001C2322" w:rsidRPr="00C069AF" w:rsidRDefault="001C2322" w:rsidP="001C2322">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 xml:space="preserve">OP ĽZ </w:t>
            </w:r>
            <w:r>
              <w:rPr>
                <w:color w:val="000000"/>
                <w:sz w:val="20"/>
              </w:rPr>
              <w:t>3</w:t>
            </w:r>
          </w:p>
        </w:tc>
        <w:tc>
          <w:tcPr>
            <w:tcW w:w="1276" w:type="dxa"/>
            <w:tcBorders>
              <w:top w:val="nil"/>
              <w:left w:val="nil"/>
              <w:bottom w:val="nil"/>
              <w:right w:val="nil"/>
            </w:tcBorders>
            <w:shd w:val="clear" w:color="000000" w:fill="FFFFFF"/>
            <w:noWrap/>
            <w:vAlign w:val="bottom"/>
            <w:hideMark/>
          </w:tcPr>
          <w:p w14:paraId="1ACC04B7" w14:textId="1133024D" w:rsidR="001C2322" w:rsidRPr="00C069AF" w:rsidRDefault="001C2322" w:rsidP="001C2322">
            <w:pPr>
              <w:spacing w:after="0" w:line="240" w:lineRule="auto"/>
              <w:jc w:val="right"/>
              <w:rPr>
                <w:rFonts w:eastAsia="Times New Roman" w:cs="Times New Roman"/>
                <w:color w:val="000000"/>
                <w:sz w:val="20"/>
                <w:lang w:eastAsia="sk-SK"/>
              </w:rPr>
            </w:pPr>
            <w:r>
              <w:rPr>
                <w:color w:val="000000"/>
                <w:sz w:val="20"/>
              </w:rPr>
              <w:t>50,0</w:t>
            </w:r>
          </w:p>
        </w:tc>
        <w:tc>
          <w:tcPr>
            <w:tcW w:w="1275" w:type="dxa"/>
            <w:tcBorders>
              <w:top w:val="nil"/>
              <w:left w:val="nil"/>
              <w:bottom w:val="nil"/>
              <w:right w:val="nil"/>
            </w:tcBorders>
            <w:shd w:val="clear" w:color="000000" w:fill="FFFFFF"/>
            <w:noWrap/>
            <w:vAlign w:val="bottom"/>
            <w:hideMark/>
          </w:tcPr>
          <w:p w14:paraId="1FDDB1B4" w14:textId="6CEBEC49" w:rsidR="001C2322" w:rsidRPr="00C069AF" w:rsidRDefault="001C2322" w:rsidP="001C2322">
            <w:pPr>
              <w:spacing w:after="0" w:line="240" w:lineRule="auto"/>
              <w:jc w:val="right"/>
              <w:rPr>
                <w:rFonts w:eastAsia="Times New Roman" w:cs="Times New Roman"/>
                <w:color w:val="000000"/>
                <w:sz w:val="20"/>
                <w:lang w:eastAsia="sk-SK"/>
              </w:rPr>
            </w:pPr>
            <w:r>
              <w:rPr>
                <w:color w:val="000000"/>
                <w:sz w:val="20"/>
              </w:rPr>
              <w:t>8,7</w:t>
            </w:r>
          </w:p>
        </w:tc>
      </w:tr>
      <w:tr w:rsidR="001C2322" w:rsidRPr="00C069AF" w14:paraId="4A24887E" w14:textId="77777777" w:rsidTr="00D7176D">
        <w:trPr>
          <w:trHeight w:val="255"/>
        </w:trPr>
        <w:tc>
          <w:tcPr>
            <w:tcW w:w="5529" w:type="dxa"/>
            <w:tcBorders>
              <w:top w:val="nil"/>
              <w:left w:val="nil"/>
              <w:bottom w:val="nil"/>
              <w:right w:val="nil"/>
            </w:tcBorders>
            <w:shd w:val="clear" w:color="000000" w:fill="FFFFFF"/>
            <w:noWrap/>
            <w:vAlign w:val="bottom"/>
            <w:hideMark/>
          </w:tcPr>
          <w:p w14:paraId="2106CFD5" w14:textId="31D492B9" w:rsidR="001C2322" w:rsidRPr="00C069AF" w:rsidRDefault="001C2322" w:rsidP="00773905">
            <w:pPr>
              <w:spacing w:after="0" w:line="240" w:lineRule="auto"/>
              <w:ind w:left="214"/>
              <w:jc w:val="left"/>
              <w:rPr>
                <w:rFonts w:eastAsia="Times New Roman" w:cs="Times New Roman"/>
                <w:color w:val="000000"/>
                <w:sz w:val="20"/>
                <w:lang w:eastAsia="sk-SK"/>
              </w:rPr>
            </w:pPr>
            <w:r>
              <w:rPr>
                <w:color w:val="000000"/>
                <w:sz w:val="20"/>
              </w:rPr>
              <w:t>Zapojenie nezamestnaných do obnovy kultúrneho dedičstva</w:t>
            </w:r>
          </w:p>
        </w:tc>
        <w:tc>
          <w:tcPr>
            <w:tcW w:w="992" w:type="dxa"/>
            <w:tcBorders>
              <w:top w:val="nil"/>
              <w:left w:val="nil"/>
              <w:bottom w:val="nil"/>
              <w:right w:val="nil"/>
            </w:tcBorders>
            <w:shd w:val="clear" w:color="000000" w:fill="FFFFFF"/>
            <w:noWrap/>
            <w:vAlign w:val="bottom"/>
            <w:hideMark/>
          </w:tcPr>
          <w:p w14:paraId="1D5FE7E3" w14:textId="7AEA3710" w:rsidR="001C2322" w:rsidRPr="00C069AF" w:rsidRDefault="001C2322" w:rsidP="001C2322">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 xml:space="preserve">OP ĽZ </w:t>
            </w:r>
            <w:r>
              <w:rPr>
                <w:color w:val="000000"/>
                <w:sz w:val="20"/>
              </w:rPr>
              <w:t>3</w:t>
            </w:r>
          </w:p>
        </w:tc>
        <w:tc>
          <w:tcPr>
            <w:tcW w:w="1276" w:type="dxa"/>
            <w:tcBorders>
              <w:top w:val="nil"/>
              <w:left w:val="nil"/>
              <w:bottom w:val="nil"/>
              <w:right w:val="nil"/>
            </w:tcBorders>
            <w:shd w:val="clear" w:color="000000" w:fill="FFFFFF"/>
            <w:noWrap/>
            <w:vAlign w:val="bottom"/>
            <w:hideMark/>
          </w:tcPr>
          <w:p w14:paraId="034FAA36" w14:textId="064F6CDB" w:rsidR="001C2322" w:rsidRPr="00C069AF" w:rsidRDefault="001C2322" w:rsidP="001C2322">
            <w:pPr>
              <w:spacing w:after="0" w:line="240" w:lineRule="auto"/>
              <w:jc w:val="right"/>
              <w:rPr>
                <w:rFonts w:eastAsia="Times New Roman" w:cs="Times New Roman"/>
                <w:color w:val="000000"/>
                <w:sz w:val="20"/>
                <w:lang w:eastAsia="sk-SK"/>
              </w:rPr>
            </w:pPr>
            <w:r>
              <w:rPr>
                <w:color w:val="000000"/>
                <w:sz w:val="20"/>
              </w:rPr>
              <w:t>17,1</w:t>
            </w:r>
          </w:p>
        </w:tc>
        <w:tc>
          <w:tcPr>
            <w:tcW w:w="1275" w:type="dxa"/>
            <w:tcBorders>
              <w:top w:val="nil"/>
              <w:left w:val="nil"/>
              <w:bottom w:val="nil"/>
              <w:right w:val="nil"/>
            </w:tcBorders>
            <w:shd w:val="clear" w:color="000000" w:fill="FFFFFF"/>
            <w:noWrap/>
            <w:vAlign w:val="bottom"/>
            <w:hideMark/>
          </w:tcPr>
          <w:p w14:paraId="22419CAE" w14:textId="300FD3C5" w:rsidR="001C2322" w:rsidRPr="00C069AF" w:rsidRDefault="001C2322" w:rsidP="001C2322">
            <w:pPr>
              <w:spacing w:after="0" w:line="240" w:lineRule="auto"/>
              <w:jc w:val="right"/>
              <w:rPr>
                <w:rFonts w:eastAsia="Times New Roman" w:cs="Times New Roman"/>
                <w:color w:val="000000"/>
                <w:sz w:val="20"/>
                <w:lang w:eastAsia="sk-SK"/>
              </w:rPr>
            </w:pPr>
            <w:r>
              <w:rPr>
                <w:color w:val="000000"/>
                <w:sz w:val="20"/>
              </w:rPr>
              <w:t>2,8</w:t>
            </w:r>
          </w:p>
        </w:tc>
      </w:tr>
      <w:tr w:rsidR="001C2322" w:rsidRPr="00C069AF" w14:paraId="165A1FE4" w14:textId="77777777" w:rsidTr="00D7176D">
        <w:trPr>
          <w:trHeight w:val="255"/>
        </w:trPr>
        <w:tc>
          <w:tcPr>
            <w:tcW w:w="5529" w:type="dxa"/>
            <w:tcBorders>
              <w:top w:val="nil"/>
              <w:left w:val="nil"/>
              <w:bottom w:val="nil"/>
              <w:right w:val="nil"/>
            </w:tcBorders>
            <w:shd w:val="clear" w:color="000000" w:fill="FFFFFF"/>
            <w:noWrap/>
            <w:vAlign w:val="bottom"/>
            <w:hideMark/>
          </w:tcPr>
          <w:p w14:paraId="76952CFA" w14:textId="6A3BE79C" w:rsidR="001C2322" w:rsidRPr="00C069AF" w:rsidRDefault="001C2322" w:rsidP="00773905">
            <w:pPr>
              <w:spacing w:after="0" w:line="240" w:lineRule="auto"/>
              <w:ind w:left="214"/>
              <w:jc w:val="left"/>
              <w:rPr>
                <w:rFonts w:eastAsia="Times New Roman" w:cs="Times New Roman"/>
                <w:color w:val="000000"/>
                <w:sz w:val="20"/>
                <w:lang w:eastAsia="sk-SK"/>
              </w:rPr>
            </w:pPr>
            <w:r>
              <w:rPr>
                <w:color w:val="000000"/>
                <w:sz w:val="20"/>
              </w:rPr>
              <w:t>Cesta na trh práce</w:t>
            </w:r>
          </w:p>
        </w:tc>
        <w:tc>
          <w:tcPr>
            <w:tcW w:w="992" w:type="dxa"/>
            <w:tcBorders>
              <w:top w:val="nil"/>
              <w:left w:val="nil"/>
              <w:bottom w:val="nil"/>
              <w:right w:val="nil"/>
            </w:tcBorders>
            <w:shd w:val="clear" w:color="000000" w:fill="FFFFFF"/>
            <w:noWrap/>
            <w:vAlign w:val="bottom"/>
            <w:hideMark/>
          </w:tcPr>
          <w:p w14:paraId="53EB5F8A" w14:textId="543C5B77" w:rsidR="001C2322" w:rsidRPr="00C069AF" w:rsidRDefault="001C2322" w:rsidP="001C2322">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 xml:space="preserve">OP ĽZ </w:t>
            </w:r>
            <w:r>
              <w:rPr>
                <w:color w:val="000000"/>
                <w:sz w:val="20"/>
              </w:rPr>
              <w:t>3</w:t>
            </w:r>
          </w:p>
        </w:tc>
        <w:tc>
          <w:tcPr>
            <w:tcW w:w="1276" w:type="dxa"/>
            <w:tcBorders>
              <w:top w:val="nil"/>
              <w:left w:val="nil"/>
              <w:bottom w:val="nil"/>
              <w:right w:val="nil"/>
            </w:tcBorders>
            <w:shd w:val="clear" w:color="000000" w:fill="FFFFFF"/>
            <w:noWrap/>
            <w:vAlign w:val="bottom"/>
            <w:hideMark/>
          </w:tcPr>
          <w:p w14:paraId="07BD208E" w14:textId="2A8DD84C" w:rsidR="001C2322" w:rsidRPr="00C069AF" w:rsidRDefault="001C2322" w:rsidP="001C2322">
            <w:pPr>
              <w:spacing w:after="0" w:line="240" w:lineRule="auto"/>
              <w:jc w:val="right"/>
              <w:rPr>
                <w:rFonts w:eastAsia="Times New Roman" w:cs="Times New Roman"/>
                <w:color w:val="000000"/>
                <w:sz w:val="20"/>
                <w:lang w:eastAsia="sk-SK"/>
              </w:rPr>
            </w:pPr>
            <w:r>
              <w:rPr>
                <w:color w:val="000000"/>
                <w:sz w:val="20"/>
              </w:rPr>
              <w:t>99,5</w:t>
            </w:r>
          </w:p>
        </w:tc>
        <w:tc>
          <w:tcPr>
            <w:tcW w:w="1275" w:type="dxa"/>
            <w:tcBorders>
              <w:top w:val="nil"/>
              <w:left w:val="nil"/>
              <w:bottom w:val="nil"/>
              <w:right w:val="nil"/>
            </w:tcBorders>
            <w:shd w:val="clear" w:color="000000" w:fill="FFFFFF"/>
            <w:noWrap/>
            <w:vAlign w:val="bottom"/>
            <w:hideMark/>
          </w:tcPr>
          <w:p w14:paraId="7D969EE1" w14:textId="1EAF9CF3" w:rsidR="001C2322" w:rsidRPr="00C069AF" w:rsidRDefault="001C2322" w:rsidP="001C2322">
            <w:pPr>
              <w:spacing w:after="0" w:line="240" w:lineRule="auto"/>
              <w:jc w:val="right"/>
              <w:rPr>
                <w:rFonts w:eastAsia="Times New Roman" w:cs="Times New Roman"/>
                <w:color w:val="000000"/>
                <w:sz w:val="20"/>
                <w:lang w:eastAsia="sk-SK"/>
              </w:rPr>
            </w:pPr>
            <w:r>
              <w:rPr>
                <w:color w:val="000000"/>
                <w:sz w:val="20"/>
              </w:rPr>
              <w:t>26,2</w:t>
            </w:r>
          </w:p>
        </w:tc>
      </w:tr>
      <w:tr w:rsidR="001C2322" w:rsidRPr="00C069AF" w14:paraId="28984C35" w14:textId="77777777" w:rsidTr="00D7176D">
        <w:trPr>
          <w:trHeight w:val="255"/>
        </w:trPr>
        <w:tc>
          <w:tcPr>
            <w:tcW w:w="5529" w:type="dxa"/>
            <w:tcBorders>
              <w:top w:val="nil"/>
              <w:left w:val="nil"/>
              <w:bottom w:val="nil"/>
              <w:right w:val="nil"/>
            </w:tcBorders>
            <w:shd w:val="clear" w:color="000000" w:fill="FFFFFF"/>
            <w:vAlign w:val="bottom"/>
            <w:hideMark/>
          </w:tcPr>
          <w:p w14:paraId="1A8634F0" w14:textId="5224D8BD" w:rsidR="001C2322" w:rsidRPr="00C069AF" w:rsidRDefault="001C2322" w:rsidP="00773905">
            <w:pPr>
              <w:spacing w:after="0" w:line="240" w:lineRule="auto"/>
              <w:ind w:left="214"/>
              <w:jc w:val="left"/>
              <w:rPr>
                <w:rFonts w:eastAsia="Times New Roman" w:cs="Times New Roman"/>
                <w:color w:val="000000"/>
                <w:sz w:val="20"/>
                <w:lang w:eastAsia="sk-SK"/>
              </w:rPr>
            </w:pPr>
            <w:r>
              <w:rPr>
                <w:color w:val="000000"/>
                <w:sz w:val="20"/>
              </w:rPr>
              <w:t>Chceme byť aktívni na trhu práce (50+)</w:t>
            </w:r>
          </w:p>
        </w:tc>
        <w:tc>
          <w:tcPr>
            <w:tcW w:w="992" w:type="dxa"/>
            <w:tcBorders>
              <w:top w:val="nil"/>
              <w:left w:val="nil"/>
              <w:bottom w:val="nil"/>
              <w:right w:val="nil"/>
            </w:tcBorders>
            <w:shd w:val="clear" w:color="000000" w:fill="FFFFFF"/>
            <w:vAlign w:val="bottom"/>
            <w:hideMark/>
          </w:tcPr>
          <w:p w14:paraId="29A99D20" w14:textId="70AC2C8A" w:rsidR="001C2322" w:rsidRPr="00C069AF" w:rsidRDefault="001C2322" w:rsidP="001C2322">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 xml:space="preserve">OP ĽZ </w:t>
            </w:r>
            <w:r>
              <w:rPr>
                <w:color w:val="000000"/>
                <w:sz w:val="20"/>
              </w:rPr>
              <w:t>3</w:t>
            </w:r>
          </w:p>
        </w:tc>
        <w:tc>
          <w:tcPr>
            <w:tcW w:w="1276" w:type="dxa"/>
            <w:tcBorders>
              <w:top w:val="nil"/>
              <w:left w:val="nil"/>
              <w:bottom w:val="nil"/>
              <w:right w:val="nil"/>
            </w:tcBorders>
            <w:shd w:val="clear" w:color="000000" w:fill="FFFFFF"/>
            <w:noWrap/>
            <w:vAlign w:val="bottom"/>
            <w:hideMark/>
          </w:tcPr>
          <w:p w14:paraId="6AFDA878" w14:textId="18359CED" w:rsidR="001C2322" w:rsidRPr="00C069AF" w:rsidRDefault="001C2322" w:rsidP="001C2322">
            <w:pPr>
              <w:spacing w:after="0" w:line="240" w:lineRule="auto"/>
              <w:jc w:val="right"/>
              <w:rPr>
                <w:rFonts w:eastAsia="Times New Roman" w:cs="Times New Roman"/>
                <w:color w:val="000000"/>
                <w:sz w:val="20"/>
                <w:lang w:eastAsia="sk-SK"/>
              </w:rPr>
            </w:pPr>
            <w:r>
              <w:rPr>
                <w:color w:val="000000"/>
                <w:sz w:val="20"/>
              </w:rPr>
              <w:t>15,0</w:t>
            </w:r>
          </w:p>
        </w:tc>
        <w:tc>
          <w:tcPr>
            <w:tcW w:w="1275" w:type="dxa"/>
            <w:tcBorders>
              <w:top w:val="nil"/>
              <w:left w:val="nil"/>
              <w:bottom w:val="nil"/>
              <w:right w:val="nil"/>
            </w:tcBorders>
            <w:shd w:val="clear" w:color="000000" w:fill="FFFFFF"/>
            <w:noWrap/>
            <w:vAlign w:val="bottom"/>
            <w:hideMark/>
          </w:tcPr>
          <w:p w14:paraId="2034E740" w14:textId="5BD1EE10" w:rsidR="001C2322" w:rsidRPr="00C069AF" w:rsidRDefault="001C2322" w:rsidP="001C2322">
            <w:pPr>
              <w:spacing w:after="0" w:line="240" w:lineRule="auto"/>
              <w:jc w:val="right"/>
              <w:rPr>
                <w:rFonts w:eastAsia="Times New Roman" w:cs="Times New Roman"/>
                <w:color w:val="000000"/>
                <w:sz w:val="20"/>
                <w:lang w:eastAsia="sk-SK"/>
              </w:rPr>
            </w:pPr>
            <w:r>
              <w:rPr>
                <w:color w:val="000000"/>
                <w:sz w:val="20"/>
              </w:rPr>
              <w:t>2,1</w:t>
            </w:r>
          </w:p>
        </w:tc>
      </w:tr>
      <w:tr w:rsidR="001C2322" w:rsidRPr="00C069AF" w14:paraId="3E431C06" w14:textId="77777777" w:rsidTr="00D7176D">
        <w:trPr>
          <w:trHeight w:val="255"/>
        </w:trPr>
        <w:tc>
          <w:tcPr>
            <w:tcW w:w="5529" w:type="dxa"/>
            <w:tcBorders>
              <w:top w:val="nil"/>
              <w:left w:val="nil"/>
              <w:bottom w:val="nil"/>
              <w:right w:val="nil"/>
            </w:tcBorders>
            <w:shd w:val="clear" w:color="000000" w:fill="FFFFFF"/>
            <w:noWrap/>
            <w:vAlign w:val="bottom"/>
            <w:hideMark/>
          </w:tcPr>
          <w:p w14:paraId="75B04B71" w14:textId="5AD2AAFC" w:rsidR="001C2322" w:rsidRPr="00C069AF" w:rsidRDefault="001C2322" w:rsidP="001C2322">
            <w:pPr>
              <w:spacing w:after="0" w:line="240" w:lineRule="auto"/>
              <w:jc w:val="left"/>
              <w:rPr>
                <w:rFonts w:eastAsia="Times New Roman" w:cs="Times New Roman"/>
                <w:sz w:val="20"/>
                <w:lang w:eastAsia="sk-SK"/>
              </w:rPr>
            </w:pPr>
            <w:r>
              <w:rPr>
                <w:color w:val="000000"/>
                <w:sz w:val="20"/>
              </w:rPr>
              <w:t>Podpora zosúladenia rodinného a pracovného života</w:t>
            </w:r>
          </w:p>
        </w:tc>
        <w:tc>
          <w:tcPr>
            <w:tcW w:w="992" w:type="dxa"/>
            <w:tcBorders>
              <w:top w:val="nil"/>
              <w:left w:val="nil"/>
              <w:bottom w:val="nil"/>
              <w:right w:val="nil"/>
            </w:tcBorders>
            <w:shd w:val="clear" w:color="000000" w:fill="FFFFFF"/>
            <w:noWrap/>
            <w:vAlign w:val="bottom"/>
            <w:hideMark/>
          </w:tcPr>
          <w:p w14:paraId="074B251E" w14:textId="2D15065F" w:rsidR="001C2322" w:rsidRPr="00C069AF" w:rsidRDefault="001C2322" w:rsidP="001C2322">
            <w:pPr>
              <w:spacing w:after="0" w:line="240" w:lineRule="auto"/>
              <w:jc w:val="right"/>
              <w:rPr>
                <w:rFonts w:eastAsia="Times New Roman" w:cs="Times New Roman"/>
                <w:sz w:val="20"/>
                <w:lang w:eastAsia="sk-SK"/>
              </w:rPr>
            </w:pPr>
            <w:r>
              <w:rPr>
                <w:color w:val="000000"/>
                <w:sz w:val="20"/>
              </w:rPr>
              <w:t> </w:t>
            </w:r>
          </w:p>
        </w:tc>
        <w:tc>
          <w:tcPr>
            <w:tcW w:w="1276" w:type="dxa"/>
            <w:tcBorders>
              <w:top w:val="nil"/>
              <w:left w:val="nil"/>
              <w:bottom w:val="nil"/>
              <w:right w:val="nil"/>
            </w:tcBorders>
            <w:shd w:val="clear" w:color="000000" w:fill="FFFFFF"/>
            <w:noWrap/>
            <w:vAlign w:val="bottom"/>
            <w:hideMark/>
          </w:tcPr>
          <w:p w14:paraId="68DB9523" w14:textId="1AA22F00" w:rsidR="001C2322" w:rsidRPr="00C069AF" w:rsidRDefault="001C2322" w:rsidP="001C2322">
            <w:pPr>
              <w:spacing w:after="0" w:line="240" w:lineRule="auto"/>
              <w:jc w:val="right"/>
              <w:rPr>
                <w:rFonts w:eastAsia="Times New Roman" w:cs="Times New Roman"/>
                <w:color w:val="000000"/>
                <w:sz w:val="20"/>
                <w:lang w:eastAsia="sk-SK"/>
              </w:rPr>
            </w:pPr>
            <w:r>
              <w:rPr>
                <w:color w:val="000000"/>
                <w:sz w:val="20"/>
              </w:rPr>
              <w:t> </w:t>
            </w:r>
          </w:p>
        </w:tc>
        <w:tc>
          <w:tcPr>
            <w:tcW w:w="1275" w:type="dxa"/>
            <w:tcBorders>
              <w:top w:val="nil"/>
              <w:left w:val="nil"/>
              <w:bottom w:val="nil"/>
              <w:right w:val="nil"/>
            </w:tcBorders>
            <w:shd w:val="clear" w:color="000000" w:fill="FFFFFF"/>
            <w:noWrap/>
            <w:vAlign w:val="bottom"/>
            <w:hideMark/>
          </w:tcPr>
          <w:p w14:paraId="4AF5441E" w14:textId="5AF1C739" w:rsidR="001C2322" w:rsidRPr="00C069AF" w:rsidRDefault="001C2322" w:rsidP="001C2322">
            <w:pPr>
              <w:spacing w:after="0" w:line="240" w:lineRule="auto"/>
              <w:jc w:val="right"/>
              <w:rPr>
                <w:rFonts w:eastAsia="Times New Roman" w:cs="Times New Roman"/>
                <w:color w:val="000000"/>
                <w:sz w:val="20"/>
                <w:lang w:eastAsia="sk-SK"/>
              </w:rPr>
            </w:pPr>
            <w:r>
              <w:rPr>
                <w:color w:val="000000"/>
                <w:sz w:val="20"/>
              </w:rPr>
              <w:t> </w:t>
            </w:r>
          </w:p>
        </w:tc>
      </w:tr>
      <w:tr w:rsidR="001C2322" w:rsidRPr="00C069AF" w14:paraId="15BCDCF8" w14:textId="77777777" w:rsidTr="00D7176D">
        <w:trPr>
          <w:trHeight w:val="255"/>
        </w:trPr>
        <w:tc>
          <w:tcPr>
            <w:tcW w:w="5529" w:type="dxa"/>
            <w:tcBorders>
              <w:top w:val="nil"/>
              <w:left w:val="nil"/>
              <w:bottom w:val="nil"/>
              <w:right w:val="nil"/>
            </w:tcBorders>
            <w:shd w:val="clear" w:color="000000" w:fill="FFFFFF"/>
            <w:noWrap/>
            <w:vAlign w:val="bottom"/>
            <w:hideMark/>
          </w:tcPr>
          <w:p w14:paraId="2F96E5F3" w14:textId="0874C6B4" w:rsidR="001C2322" w:rsidRPr="00C069AF" w:rsidRDefault="001C2322" w:rsidP="00773905">
            <w:pPr>
              <w:spacing w:after="0" w:line="240" w:lineRule="auto"/>
              <w:ind w:left="214"/>
              <w:jc w:val="left"/>
              <w:rPr>
                <w:rFonts w:eastAsia="Times New Roman" w:cs="Times New Roman"/>
                <w:sz w:val="20"/>
                <w:lang w:eastAsia="sk-SK"/>
              </w:rPr>
            </w:pPr>
            <w:r>
              <w:rPr>
                <w:color w:val="000000"/>
                <w:sz w:val="20"/>
              </w:rPr>
              <w:t>Príspevok na starostlivosť o dieťa vo viac rozvinutom regióne</w:t>
            </w:r>
          </w:p>
        </w:tc>
        <w:tc>
          <w:tcPr>
            <w:tcW w:w="992" w:type="dxa"/>
            <w:tcBorders>
              <w:top w:val="nil"/>
              <w:left w:val="nil"/>
              <w:bottom w:val="nil"/>
              <w:right w:val="nil"/>
            </w:tcBorders>
            <w:shd w:val="clear" w:color="000000" w:fill="FFFFFF"/>
            <w:noWrap/>
            <w:vAlign w:val="bottom"/>
            <w:hideMark/>
          </w:tcPr>
          <w:p w14:paraId="4B0077F7" w14:textId="6F7E8E02" w:rsidR="001C2322" w:rsidRPr="00C069AF" w:rsidRDefault="001C2322" w:rsidP="001C2322">
            <w:pPr>
              <w:spacing w:after="0" w:line="240" w:lineRule="auto"/>
              <w:jc w:val="right"/>
              <w:rPr>
                <w:rFonts w:eastAsia="Times New Roman" w:cs="Times New Roman"/>
                <w:sz w:val="20"/>
                <w:lang w:eastAsia="sk-SK"/>
              </w:rPr>
            </w:pPr>
            <w:r>
              <w:rPr>
                <w:rFonts w:eastAsia="Times New Roman" w:cs="Times New Roman"/>
                <w:color w:val="000000"/>
                <w:sz w:val="20"/>
                <w:lang w:eastAsia="sk-SK"/>
              </w:rPr>
              <w:t xml:space="preserve">OP ĽZ </w:t>
            </w:r>
            <w:r>
              <w:rPr>
                <w:color w:val="000000"/>
                <w:sz w:val="20"/>
              </w:rPr>
              <w:t>3</w:t>
            </w:r>
          </w:p>
        </w:tc>
        <w:tc>
          <w:tcPr>
            <w:tcW w:w="1276" w:type="dxa"/>
            <w:tcBorders>
              <w:top w:val="nil"/>
              <w:left w:val="nil"/>
              <w:bottom w:val="nil"/>
              <w:right w:val="nil"/>
            </w:tcBorders>
            <w:shd w:val="clear" w:color="000000" w:fill="FFFFFF"/>
            <w:noWrap/>
            <w:vAlign w:val="bottom"/>
            <w:hideMark/>
          </w:tcPr>
          <w:p w14:paraId="6C070CA7" w14:textId="651AD7FD" w:rsidR="001C2322" w:rsidRPr="00C069AF" w:rsidRDefault="001C2322" w:rsidP="001C2322">
            <w:pPr>
              <w:spacing w:after="0" w:line="240" w:lineRule="auto"/>
              <w:jc w:val="right"/>
              <w:rPr>
                <w:rFonts w:eastAsia="Times New Roman" w:cs="Times New Roman"/>
                <w:color w:val="000000"/>
                <w:sz w:val="20"/>
                <w:lang w:eastAsia="sk-SK"/>
              </w:rPr>
            </w:pPr>
            <w:r>
              <w:rPr>
                <w:color w:val="000000"/>
                <w:sz w:val="20"/>
              </w:rPr>
              <w:t>30,0</w:t>
            </w:r>
          </w:p>
        </w:tc>
        <w:tc>
          <w:tcPr>
            <w:tcW w:w="1275" w:type="dxa"/>
            <w:tcBorders>
              <w:top w:val="nil"/>
              <w:left w:val="nil"/>
              <w:bottom w:val="nil"/>
              <w:right w:val="nil"/>
            </w:tcBorders>
            <w:shd w:val="clear" w:color="000000" w:fill="FFFFFF"/>
            <w:noWrap/>
            <w:vAlign w:val="bottom"/>
            <w:hideMark/>
          </w:tcPr>
          <w:p w14:paraId="657D5F46" w14:textId="51DD0004" w:rsidR="001C2322" w:rsidRPr="00C069AF" w:rsidRDefault="001C2322" w:rsidP="001C2322">
            <w:pPr>
              <w:spacing w:after="0" w:line="240" w:lineRule="auto"/>
              <w:jc w:val="right"/>
              <w:rPr>
                <w:rFonts w:eastAsia="Times New Roman" w:cs="Times New Roman"/>
                <w:color w:val="000000"/>
                <w:sz w:val="20"/>
                <w:lang w:eastAsia="sk-SK"/>
              </w:rPr>
            </w:pPr>
            <w:r>
              <w:rPr>
                <w:color w:val="000000"/>
                <w:sz w:val="20"/>
              </w:rPr>
              <w:t>3,1</w:t>
            </w:r>
          </w:p>
        </w:tc>
      </w:tr>
      <w:tr w:rsidR="001C2322" w:rsidRPr="00C069AF" w14:paraId="3BC41B84" w14:textId="77777777" w:rsidTr="00D7176D">
        <w:trPr>
          <w:trHeight w:val="255"/>
        </w:trPr>
        <w:tc>
          <w:tcPr>
            <w:tcW w:w="5529" w:type="dxa"/>
            <w:tcBorders>
              <w:top w:val="nil"/>
              <w:left w:val="nil"/>
              <w:right w:val="nil"/>
            </w:tcBorders>
            <w:shd w:val="clear" w:color="000000" w:fill="FFFFFF"/>
            <w:noWrap/>
            <w:vAlign w:val="bottom"/>
            <w:hideMark/>
          </w:tcPr>
          <w:p w14:paraId="0975D616" w14:textId="6012D914" w:rsidR="001C2322" w:rsidRPr="00C069AF" w:rsidRDefault="001C2322" w:rsidP="00773905">
            <w:pPr>
              <w:spacing w:after="0" w:line="240" w:lineRule="auto"/>
              <w:ind w:left="214"/>
              <w:jc w:val="left"/>
              <w:rPr>
                <w:rFonts w:eastAsia="Times New Roman" w:cs="Times New Roman"/>
                <w:sz w:val="20"/>
                <w:lang w:eastAsia="sk-SK"/>
              </w:rPr>
            </w:pPr>
            <w:r>
              <w:rPr>
                <w:color w:val="000000"/>
                <w:sz w:val="20"/>
              </w:rPr>
              <w:t>Príspevok na starostlivosť o dieťa v menej rozvinutom regióne</w:t>
            </w:r>
          </w:p>
        </w:tc>
        <w:tc>
          <w:tcPr>
            <w:tcW w:w="992" w:type="dxa"/>
            <w:tcBorders>
              <w:top w:val="nil"/>
              <w:left w:val="nil"/>
              <w:right w:val="nil"/>
            </w:tcBorders>
            <w:shd w:val="clear" w:color="000000" w:fill="FFFFFF"/>
            <w:noWrap/>
            <w:vAlign w:val="bottom"/>
            <w:hideMark/>
          </w:tcPr>
          <w:p w14:paraId="08A2C21E" w14:textId="0A3AF149" w:rsidR="001C2322" w:rsidRPr="00C069AF" w:rsidRDefault="001C2322" w:rsidP="001C2322">
            <w:pPr>
              <w:spacing w:after="0" w:line="240" w:lineRule="auto"/>
              <w:jc w:val="right"/>
              <w:rPr>
                <w:rFonts w:eastAsia="Times New Roman" w:cs="Times New Roman"/>
                <w:sz w:val="20"/>
                <w:lang w:eastAsia="sk-SK"/>
              </w:rPr>
            </w:pPr>
            <w:r>
              <w:rPr>
                <w:rFonts w:eastAsia="Times New Roman" w:cs="Times New Roman"/>
                <w:color w:val="000000"/>
                <w:sz w:val="20"/>
                <w:lang w:eastAsia="sk-SK"/>
              </w:rPr>
              <w:t xml:space="preserve">OP ĽZ </w:t>
            </w:r>
            <w:r>
              <w:rPr>
                <w:color w:val="000000"/>
                <w:sz w:val="20"/>
              </w:rPr>
              <w:t>3</w:t>
            </w:r>
          </w:p>
        </w:tc>
        <w:tc>
          <w:tcPr>
            <w:tcW w:w="1276" w:type="dxa"/>
            <w:tcBorders>
              <w:top w:val="nil"/>
              <w:left w:val="nil"/>
              <w:right w:val="nil"/>
            </w:tcBorders>
            <w:shd w:val="clear" w:color="000000" w:fill="FFFFFF"/>
            <w:noWrap/>
            <w:vAlign w:val="bottom"/>
            <w:hideMark/>
          </w:tcPr>
          <w:p w14:paraId="66FDAE3F" w14:textId="12473738" w:rsidR="001C2322" w:rsidRPr="00C069AF" w:rsidRDefault="001C2322" w:rsidP="001C2322">
            <w:pPr>
              <w:spacing w:after="0" w:line="240" w:lineRule="auto"/>
              <w:jc w:val="right"/>
              <w:rPr>
                <w:rFonts w:eastAsia="Times New Roman" w:cs="Times New Roman"/>
                <w:color w:val="000000"/>
                <w:sz w:val="20"/>
                <w:lang w:eastAsia="sk-SK"/>
              </w:rPr>
            </w:pPr>
            <w:r>
              <w:rPr>
                <w:color w:val="000000"/>
                <w:sz w:val="20"/>
              </w:rPr>
              <w:t>50,0</w:t>
            </w:r>
          </w:p>
        </w:tc>
        <w:tc>
          <w:tcPr>
            <w:tcW w:w="1275" w:type="dxa"/>
            <w:tcBorders>
              <w:top w:val="nil"/>
              <w:left w:val="nil"/>
              <w:right w:val="nil"/>
            </w:tcBorders>
            <w:shd w:val="clear" w:color="000000" w:fill="FFFFFF"/>
            <w:noWrap/>
            <w:vAlign w:val="bottom"/>
            <w:hideMark/>
          </w:tcPr>
          <w:p w14:paraId="2D128D51" w14:textId="511E0D93" w:rsidR="001C2322" w:rsidRPr="00C069AF" w:rsidRDefault="001C2322" w:rsidP="001C2322">
            <w:pPr>
              <w:spacing w:after="0" w:line="240" w:lineRule="auto"/>
              <w:jc w:val="right"/>
              <w:rPr>
                <w:rFonts w:eastAsia="Times New Roman" w:cs="Times New Roman"/>
                <w:color w:val="000000"/>
                <w:sz w:val="20"/>
                <w:lang w:eastAsia="sk-SK"/>
              </w:rPr>
            </w:pPr>
            <w:r>
              <w:rPr>
                <w:color w:val="000000"/>
                <w:sz w:val="20"/>
              </w:rPr>
              <w:t>2,2</w:t>
            </w:r>
          </w:p>
        </w:tc>
      </w:tr>
      <w:tr w:rsidR="001C2322" w:rsidRPr="00C069AF" w14:paraId="5B704A06" w14:textId="77777777" w:rsidTr="00D7176D">
        <w:trPr>
          <w:trHeight w:val="255"/>
        </w:trPr>
        <w:tc>
          <w:tcPr>
            <w:tcW w:w="5529" w:type="dxa"/>
            <w:tcBorders>
              <w:left w:val="nil"/>
              <w:right w:val="nil"/>
            </w:tcBorders>
            <w:shd w:val="clear" w:color="000000" w:fill="FFFFFF"/>
            <w:noWrap/>
            <w:vAlign w:val="bottom"/>
          </w:tcPr>
          <w:p w14:paraId="78EDD1AF" w14:textId="05A12ADA" w:rsidR="001C2322" w:rsidRPr="00C069AF" w:rsidRDefault="001C2322" w:rsidP="00773905">
            <w:pPr>
              <w:spacing w:after="0" w:line="240" w:lineRule="auto"/>
              <w:ind w:left="214"/>
              <w:jc w:val="left"/>
              <w:rPr>
                <w:rFonts w:eastAsia="Times New Roman" w:cs="Times New Roman"/>
                <w:b/>
                <w:bCs/>
                <w:color w:val="000000"/>
                <w:sz w:val="20"/>
                <w:lang w:eastAsia="sk-SK"/>
              </w:rPr>
            </w:pPr>
            <w:r>
              <w:rPr>
                <w:color w:val="000000"/>
                <w:sz w:val="20"/>
              </w:rPr>
              <w:t>Dopytové výzvy na podporu zosúladenia</w:t>
            </w:r>
          </w:p>
        </w:tc>
        <w:tc>
          <w:tcPr>
            <w:tcW w:w="992" w:type="dxa"/>
            <w:tcBorders>
              <w:left w:val="nil"/>
              <w:right w:val="nil"/>
            </w:tcBorders>
            <w:shd w:val="clear" w:color="000000" w:fill="FFFFFF"/>
            <w:noWrap/>
            <w:vAlign w:val="bottom"/>
          </w:tcPr>
          <w:p w14:paraId="56921551" w14:textId="0FE9F785" w:rsidR="001C2322" w:rsidRPr="00C069AF" w:rsidRDefault="001C2322" w:rsidP="001C2322">
            <w:pPr>
              <w:spacing w:after="0" w:line="240" w:lineRule="auto"/>
              <w:jc w:val="right"/>
              <w:rPr>
                <w:rFonts w:eastAsia="Times New Roman" w:cs="Times New Roman"/>
                <w:b/>
                <w:bCs/>
                <w:color w:val="000000"/>
                <w:sz w:val="20"/>
                <w:lang w:eastAsia="sk-SK"/>
              </w:rPr>
            </w:pPr>
            <w:r>
              <w:rPr>
                <w:rFonts w:eastAsia="Times New Roman" w:cs="Times New Roman"/>
                <w:color w:val="000000"/>
                <w:sz w:val="20"/>
                <w:lang w:eastAsia="sk-SK"/>
              </w:rPr>
              <w:t xml:space="preserve">OP ĽZ </w:t>
            </w:r>
            <w:r>
              <w:rPr>
                <w:color w:val="000000"/>
                <w:sz w:val="20"/>
              </w:rPr>
              <w:t>3</w:t>
            </w:r>
          </w:p>
        </w:tc>
        <w:tc>
          <w:tcPr>
            <w:tcW w:w="1276" w:type="dxa"/>
            <w:tcBorders>
              <w:left w:val="nil"/>
              <w:right w:val="nil"/>
            </w:tcBorders>
            <w:shd w:val="clear" w:color="000000" w:fill="FFFFFF"/>
            <w:noWrap/>
            <w:vAlign w:val="bottom"/>
          </w:tcPr>
          <w:p w14:paraId="3D48B040" w14:textId="5D36BC17" w:rsidR="001C2322" w:rsidRPr="00C069AF" w:rsidRDefault="001C2322" w:rsidP="001C2322">
            <w:pPr>
              <w:spacing w:after="0" w:line="240" w:lineRule="auto"/>
              <w:jc w:val="right"/>
              <w:rPr>
                <w:rFonts w:eastAsia="Times New Roman" w:cs="Times New Roman"/>
                <w:b/>
                <w:bCs/>
                <w:color w:val="000000"/>
                <w:sz w:val="20"/>
                <w:lang w:eastAsia="sk-SK"/>
              </w:rPr>
            </w:pPr>
            <w:r>
              <w:rPr>
                <w:color w:val="000000"/>
                <w:sz w:val="20"/>
              </w:rPr>
              <w:t>2,7</w:t>
            </w:r>
          </w:p>
        </w:tc>
        <w:tc>
          <w:tcPr>
            <w:tcW w:w="1275" w:type="dxa"/>
            <w:tcBorders>
              <w:left w:val="nil"/>
              <w:right w:val="nil"/>
            </w:tcBorders>
            <w:shd w:val="clear" w:color="000000" w:fill="FFFFFF"/>
            <w:noWrap/>
            <w:vAlign w:val="bottom"/>
          </w:tcPr>
          <w:p w14:paraId="289E4957" w14:textId="17DA99B2" w:rsidR="001C2322" w:rsidRPr="00C069AF" w:rsidRDefault="001C2322" w:rsidP="001C2322">
            <w:pPr>
              <w:spacing w:after="0" w:line="240" w:lineRule="auto"/>
              <w:jc w:val="right"/>
              <w:rPr>
                <w:rFonts w:eastAsia="Times New Roman" w:cs="Times New Roman"/>
                <w:b/>
                <w:bCs/>
                <w:color w:val="000000"/>
                <w:sz w:val="20"/>
                <w:lang w:eastAsia="sk-SK"/>
              </w:rPr>
            </w:pPr>
            <w:r>
              <w:rPr>
                <w:color w:val="000000"/>
                <w:sz w:val="20"/>
              </w:rPr>
              <w:t>0,0</w:t>
            </w:r>
          </w:p>
        </w:tc>
      </w:tr>
      <w:tr w:rsidR="001C2322" w:rsidRPr="00C069AF" w14:paraId="1CB4AC6C" w14:textId="77777777" w:rsidTr="00D7176D">
        <w:trPr>
          <w:trHeight w:val="255"/>
        </w:trPr>
        <w:tc>
          <w:tcPr>
            <w:tcW w:w="5529" w:type="dxa"/>
            <w:tcBorders>
              <w:left w:val="nil"/>
              <w:right w:val="nil"/>
            </w:tcBorders>
            <w:shd w:val="clear" w:color="000000" w:fill="FFFFFF"/>
            <w:noWrap/>
            <w:vAlign w:val="bottom"/>
          </w:tcPr>
          <w:p w14:paraId="7DD4A397" w14:textId="12F5B2F5" w:rsidR="001C2322" w:rsidRPr="00C069AF" w:rsidRDefault="001C2322" w:rsidP="00773905">
            <w:pPr>
              <w:spacing w:after="0" w:line="240" w:lineRule="auto"/>
              <w:ind w:left="214"/>
              <w:jc w:val="left"/>
              <w:rPr>
                <w:rFonts w:eastAsia="Times New Roman" w:cs="Times New Roman"/>
                <w:b/>
                <w:bCs/>
                <w:color w:val="000000"/>
                <w:sz w:val="20"/>
                <w:lang w:eastAsia="sk-SK"/>
              </w:rPr>
            </w:pPr>
            <w:r>
              <w:rPr>
                <w:sz w:val="20"/>
              </w:rPr>
              <w:t>Podpora a rozvoj služieb starostlivosti o deti do 3 rokov veku dieťaťa na komunitnej úrovni</w:t>
            </w:r>
          </w:p>
        </w:tc>
        <w:tc>
          <w:tcPr>
            <w:tcW w:w="992" w:type="dxa"/>
            <w:tcBorders>
              <w:left w:val="nil"/>
              <w:right w:val="nil"/>
            </w:tcBorders>
            <w:shd w:val="clear" w:color="000000" w:fill="FFFFFF"/>
            <w:noWrap/>
            <w:vAlign w:val="bottom"/>
          </w:tcPr>
          <w:p w14:paraId="6194C8C5" w14:textId="17A13BF3" w:rsidR="001C2322" w:rsidRPr="00C069AF" w:rsidRDefault="001C2322" w:rsidP="001C2322">
            <w:pPr>
              <w:spacing w:after="0" w:line="240" w:lineRule="auto"/>
              <w:jc w:val="right"/>
              <w:rPr>
                <w:rFonts w:eastAsia="Times New Roman" w:cs="Times New Roman"/>
                <w:b/>
                <w:bCs/>
                <w:color w:val="000000"/>
                <w:sz w:val="20"/>
                <w:lang w:eastAsia="sk-SK"/>
              </w:rPr>
            </w:pPr>
            <w:r>
              <w:rPr>
                <w:color w:val="000000"/>
                <w:sz w:val="20"/>
              </w:rPr>
              <w:t>IROP</w:t>
            </w:r>
          </w:p>
        </w:tc>
        <w:tc>
          <w:tcPr>
            <w:tcW w:w="1276" w:type="dxa"/>
            <w:tcBorders>
              <w:left w:val="nil"/>
              <w:right w:val="nil"/>
            </w:tcBorders>
            <w:shd w:val="clear" w:color="000000" w:fill="FFFFFF"/>
            <w:noWrap/>
            <w:vAlign w:val="bottom"/>
          </w:tcPr>
          <w:p w14:paraId="23E72395" w14:textId="1F8588A2" w:rsidR="001C2322" w:rsidRPr="00C069AF" w:rsidRDefault="001C2322" w:rsidP="001C2322">
            <w:pPr>
              <w:spacing w:after="0" w:line="240" w:lineRule="auto"/>
              <w:jc w:val="right"/>
              <w:rPr>
                <w:rFonts w:eastAsia="Times New Roman" w:cs="Times New Roman"/>
                <w:b/>
                <w:bCs/>
                <w:color w:val="000000"/>
                <w:sz w:val="20"/>
                <w:lang w:eastAsia="sk-SK"/>
              </w:rPr>
            </w:pPr>
            <w:r>
              <w:rPr>
                <w:color w:val="000000"/>
                <w:sz w:val="20"/>
              </w:rPr>
              <w:t>0,0</w:t>
            </w:r>
          </w:p>
        </w:tc>
        <w:tc>
          <w:tcPr>
            <w:tcW w:w="1275" w:type="dxa"/>
            <w:tcBorders>
              <w:left w:val="nil"/>
              <w:right w:val="nil"/>
            </w:tcBorders>
            <w:shd w:val="clear" w:color="000000" w:fill="FFFFFF"/>
            <w:noWrap/>
            <w:vAlign w:val="bottom"/>
          </w:tcPr>
          <w:p w14:paraId="754CC1D3" w14:textId="60D780E5" w:rsidR="001C2322" w:rsidRPr="00C069AF" w:rsidRDefault="001C2322" w:rsidP="001C2322">
            <w:pPr>
              <w:spacing w:after="0" w:line="240" w:lineRule="auto"/>
              <w:jc w:val="right"/>
              <w:rPr>
                <w:rFonts w:eastAsia="Times New Roman" w:cs="Times New Roman"/>
                <w:b/>
                <w:bCs/>
                <w:color w:val="000000"/>
                <w:sz w:val="20"/>
                <w:lang w:eastAsia="sk-SK"/>
              </w:rPr>
            </w:pPr>
            <w:r>
              <w:rPr>
                <w:color w:val="000000"/>
                <w:sz w:val="20"/>
              </w:rPr>
              <w:t>0,0</w:t>
            </w:r>
          </w:p>
        </w:tc>
      </w:tr>
      <w:tr w:rsidR="001C2322" w:rsidRPr="00C069AF" w14:paraId="38D3BEEF" w14:textId="77777777" w:rsidTr="00D7176D">
        <w:trPr>
          <w:trHeight w:val="255"/>
        </w:trPr>
        <w:tc>
          <w:tcPr>
            <w:tcW w:w="5529" w:type="dxa"/>
            <w:tcBorders>
              <w:left w:val="nil"/>
              <w:right w:val="nil"/>
            </w:tcBorders>
            <w:shd w:val="clear" w:color="000000" w:fill="FFFFFF"/>
            <w:noWrap/>
            <w:vAlign w:val="bottom"/>
          </w:tcPr>
          <w:p w14:paraId="5A476CF2" w14:textId="4678CD6C" w:rsidR="001C2322" w:rsidRPr="00C069AF" w:rsidRDefault="001C2322" w:rsidP="001C2322">
            <w:pPr>
              <w:spacing w:after="0" w:line="240" w:lineRule="auto"/>
              <w:jc w:val="left"/>
              <w:rPr>
                <w:rFonts w:eastAsia="Times New Roman" w:cs="Times New Roman"/>
                <w:b/>
                <w:bCs/>
                <w:color w:val="000000"/>
                <w:sz w:val="20"/>
                <w:lang w:eastAsia="sk-SK"/>
              </w:rPr>
            </w:pPr>
            <w:r>
              <w:rPr>
                <w:color w:val="000000"/>
                <w:sz w:val="20"/>
              </w:rPr>
              <w:t>Sociálne služby</w:t>
            </w:r>
          </w:p>
        </w:tc>
        <w:tc>
          <w:tcPr>
            <w:tcW w:w="992" w:type="dxa"/>
            <w:tcBorders>
              <w:left w:val="nil"/>
              <w:right w:val="nil"/>
            </w:tcBorders>
            <w:shd w:val="clear" w:color="000000" w:fill="FFFFFF"/>
            <w:noWrap/>
            <w:vAlign w:val="bottom"/>
          </w:tcPr>
          <w:p w14:paraId="012B6539" w14:textId="236D8838" w:rsidR="001C2322" w:rsidRPr="00C069AF" w:rsidRDefault="001C2322" w:rsidP="001C2322">
            <w:pPr>
              <w:spacing w:after="0" w:line="240" w:lineRule="auto"/>
              <w:jc w:val="right"/>
              <w:rPr>
                <w:rFonts w:eastAsia="Times New Roman" w:cs="Times New Roman"/>
                <w:b/>
                <w:bCs/>
                <w:color w:val="000000"/>
                <w:sz w:val="20"/>
                <w:lang w:eastAsia="sk-SK"/>
              </w:rPr>
            </w:pPr>
            <w:r>
              <w:rPr>
                <w:color w:val="000000"/>
                <w:sz w:val="20"/>
              </w:rPr>
              <w:t> </w:t>
            </w:r>
          </w:p>
        </w:tc>
        <w:tc>
          <w:tcPr>
            <w:tcW w:w="1276" w:type="dxa"/>
            <w:tcBorders>
              <w:left w:val="nil"/>
              <w:right w:val="nil"/>
            </w:tcBorders>
            <w:shd w:val="clear" w:color="000000" w:fill="FFFFFF"/>
            <w:noWrap/>
            <w:vAlign w:val="bottom"/>
          </w:tcPr>
          <w:p w14:paraId="78D6DEFF" w14:textId="3C0F99F8" w:rsidR="001C2322" w:rsidRPr="00C069AF" w:rsidRDefault="001C2322" w:rsidP="001C2322">
            <w:pPr>
              <w:spacing w:after="0" w:line="240" w:lineRule="auto"/>
              <w:jc w:val="right"/>
              <w:rPr>
                <w:rFonts w:eastAsia="Times New Roman" w:cs="Times New Roman"/>
                <w:b/>
                <w:bCs/>
                <w:color w:val="000000"/>
                <w:sz w:val="20"/>
                <w:lang w:eastAsia="sk-SK"/>
              </w:rPr>
            </w:pPr>
            <w:r>
              <w:rPr>
                <w:color w:val="000000"/>
                <w:sz w:val="20"/>
              </w:rPr>
              <w:t> </w:t>
            </w:r>
          </w:p>
        </w:tc>
        <w:tc>
          <w:tcPr>
            <w:tcW w:w="1275" w:type="dxa"/>
            <w:tcBorders>
              <w:left w:val="nil"/>
              <w:right w:val="nil"/>
            </w:tcBorders>
            <w:shd w:val="clear" w:color="000000" w:fill="FFFFFF"/>
            <w:noWrap/>
            <w:vAlign w:val="bottom"/>
          </w:tcPr>
          <w:p w14:paraId="6635CBAE" w14:textId="3D929FD4" w:rsidR="001C2322" w:rsidRPr="00C069AF" w:rsidRDefault="001C2322" w:rsidP="001C2322">
            <w:pPr>
              <w:spacing w:after="0" w:line="240" w:lineRule="auto"/>
              <w:jc w:val="right"/>
              <w:rPr>
                <w:rFonts w:eastAsia="Times New Roman" w:cs="Times New Roman"/>
                <w:b/>
                <w:bCs/>
                <w:color w:val="000000"/>
                <w:sz w:val="20"/>
                <w:lang w:eastAsia="sk-SK"/>
              </w:rPr>
            </w:pPr>
            <w:r>
              <w:rPr>
                <w:color w:val="000000"/>
                <w:sz w:val="20"/>
              </w:rPr>
              <w:t> </w:t>
            </w:r>
          </w:p>
        </w:tc>
      </w:tr>
      <w:tr w:rsidR="001C2322" w:rsidRPr="00C069AF" w14:paraId="6E2BA589" w14:textId="77777777" w:rsidTr="00D7176D">
        <w:trPr>
          <w:trHeight w:val="255"/>
        </w:trPr>
        <w:tc>
          <w:tcPr>
            <w:tcW w:w="5529" w:type="dxa"/>
            <w:tcBorders>
              <w:left w:val="nil"/>
              <w:right w:val="nil"/>
            </w:tcBorders>
            <w:shd w:val="clear" w:color="000000" w:fill="FFFFFF"/>
            <w:noWrap/>
            <w:vAlign w:val="bottom"/>
          </w:tcPr>
          <w:p w14:paraId="2E509FCE" w14:textId="7C4CC79F" w:rsidR="001C2322" w:rsidRPr="00C069AF" w:rsidRDefault="001C2322" w:rsidP="00773905">
            <w:pPr>
              <w:spacing w:after="0" w:line="240" w:lineRule="auto"/>
              <w:ind w:left="214"/>
              <w:jc w:val="left"/>
              <w:rPr>
                <w:rFonts w:eastAsia="Times New Roman" w:cs="Times New Roman"/>
                <w:b/>
                <w:bCs/>
                <w:color w:val="000000"/>
                <w:sz w:val="20"/>
                <w:lang w:eastAsia="sk-SK"/>
              </w:rPr>
            </w:pPr>
            <w:r>
              <w:rPr>
                <w:color w:val="000000"/>
                <w:sz w:val="20"/>
              </w:rPr>
              <w:t>Podpora vybraných sociálnych služieb krízovej intervencie na komunitnej úrovni</w:t>
            </w:r>
          </w:p>
        </w:tc>
        <w:tc>
          <w:tcPr>
            <w:tcW w:w="992" w:type="dxa"/>
            <w:tcBorders>
              <w:left w:val="nil"/>
              <w:right w:val="nil"/>
            </w:tcBorders>
            <w:shd w:val="clear" w:color="000000" w:fill="FFFFFF"/>
            <w:noWrap/>
            <w:vAlign w:val="bottom"/>
          </w:tcPr>
          <w:p w14:paraId="660F7887" w14:textId="1DC9711A" w:rsidR="001C2322" w:rsidRPr="00C069AF" w:rsidRDefault="001C2322" w:rsidP="001C2322">
            <w:pPr>
              <w:spacing w:after="0" w:line="240" w:lineRule="auto"/>
              <w:jc w:val="right"/>
              <w:rPr>
                <w:rFonts w:eastAsia="Times New Roman" w:cs="Times New Roman"/>
                <w:b/>
                <w:bCs/>
                <w:color w:val="000000"/>
                <w:sz w:val="20"/>
                <w:lang w:eastAsia="sk-SK"/>
              </w:rPr>
            </w:pPr>
            <w:r>
              <w:rPr>
                <w:rFonts w:eastAsia="Times New Roman" w:cs="Times New Roman"/>
                <w:color w:val="000000"/>
                <w:sz w:val="20"/>
                <w:lang w:eastAsia="sk-SK"/>
              </w:rPr>
              <w:t xml:space="preserve">OP ĽZ </w:t>
            </w:r>
            <w:r>
              <w:rPr>
                <w:color w:val="000000"/>
                <w:sz w:val="20"/>
              </w:rPr>
              <w:t>4</w:t>
            </w:r>
          </w:p>
        </w:tc>
        <w:tc>
          <w:tcPr>
            <w:tcW w:w="1276" w:type="dxa"/>
            <w:tcBorders>
              <w:left w:val="nil"/>
              <w:right w:val="nil"/>
            </w:tcBorders>
            <w:shd w:val="clear" w:color="000000" w:fill="FFFFFF"/>
            <w:noWrap/>
            <w:vAlign w:val="bottom"/>
          </w:tcPr>
          <w:p w14:paraId="7A8FB2F3" w14:textId="01EEC2ED" w:rsidR="001C2322" w:rsidRPr="00C069AF" w:rsidRDefault="001C2322" w:rsidP="001C2322">
            <w:pPr>
              <w:spacing w:after="0" w:line="240" w:lineRule="auto"/>
              <w:jc w:val="right"/>
              <w:rPr>
                <w:rFonts w:eastAsia="Times New Roman" w:cs="Times New Roman"/>
                <w:b/>
                <w:bCs/>
                <w:color w:val="000000"/>
                <w:sz w:val="20"/>
                <w:lang w:eastAsia="sk-SK"/>
              </w:rPr>
            </w:pPr>
            <w:r>
              <w:rPr>
                <w:color w:val="000000"/>
                <w:sz w:val="20"/>
              </w:rPr>
              <w:t>20,9</w:t>
            </w:r>
          </w:p>
        </w:tc>
        <w:tc>
          <w:tcPr>
            <w:tcW w:w="1275" w:type="dxa"/>
            <w:tcBorders>
              <w:left w:val="nil"/>
              <w:right w:val="nil"/>
            </w:tcBorders>
            <w:shd w:val="clear" w:color="000000" w:fill="FFFFFF"/>
            <w:noWrap/>
            <w:vAlign w:val="bottom"/>
          </w:tcPr>
          <w:p w14:paraId="75D1014C" w14:textId="3FB8B8C4" w:rsidR="001C2322" w:rsidRPr="00C069AF" w:rsidRDefault="001C2322" w:rsidP="001C2322">
            <w:pPr>
              <w:spacing w:after="0" w:line="240" w:lineRule="auto"/>
              <w:jc w:val="right"/>
              <w:rPr>
                <w:rFonts w:eastAsia="Times New Roman" w:cs="Times New Roman"/>
                <w:b/>
                <w:bCs/>
                <w:color w:val="000000"/>
                <w:sz w:val="20"/>
                <w:lang w:eastAsia="sk-SK"/>
              </w:rPr>
            </w:pPr>
            <w:r>
              <w:rPr>
                <w:color w:val="000000"/>
                <w:sz w:val="20"/>
              </w:rPr>
              <w:t>3,9</w:t>
            </w:r>
          </w:p>
        </w:tc>
      </w:tr>
      <w:tr w:rsidR="001C2322" w:rsidRPr="00C069AF" w14:paraId="3569F7A2" w14:textId="77777777" w:rsidTr="00D7176D">
        <w:trPr>
          <w:trHeight w:val="255"/>
        </w:trPr>
        <w:tc>
          <w:tcPr>
            <w:tcW w:w="5529" w:type="dxa"/>
            <w:tcBorders>
              <w:left w:val="nil"/>
              <w:right w:val="nil"/>
            </w:tcBorders>
            <w:shd w:val="clear" w:color="000000" w:fill="FFFFFF"/>
            <w:noWrap/>
            <w:vAlign w:val="bottom"/>
          </w:tcPr>
          <w:p w14:paraId="63EDB13E" w14:textId="2893166D" w:rsidR="001C2322" w:rsidRPr="00C069AF" w:rsidRDefault="001C2322" w:rsidP="00773905">
            <w:pPr>
              <w:spacing w:after="0" w:line="240" w:lineRule="auto"/>
              <w:ind w:left="214"/>
              <w:jc w:val="left"/>
              <w:rPr>
                <w:rFonts w:eastAsia="Times New Roman" w:cs="Times New Roman"/>
                <w:b/>
                <w:bCs/>
                <w:color w:val="000000"/>
                <w:sz w:val="20"/>
                <w:lang w:eastAsia="sk-SK"/>
              </w:rPr>
            </w:pPr>
            <w:r>
              <w:rPr>
                <w:color w:val="000000"/>
                <w:sz w:val="20"/>
              </w:rPr>
              <w:t>Terénna sociálna práca v obciach</w:t>
            </w:r>
          </w:p>
        </w:tc>
        <w:tc>
          <w:tcPr>
            <w:tcW w:w="992" w:type="dxa"/>
            <w:tcBorders>
              <w:left w:val="nil"/>
              <w:right w:val="nil"/>
            </w:tcBorders>
            <w:shd w:val="clear" w:color="000000" w:fill="FFFFFF"/>
            <w:noWrap/>
            <w:vAlign w:val="bottom"/>
          </w:tcPr>
          <w:p w14:paraId="30B58213" w14:textId="5404A65F" w:rsidR="001C2322" w:rsidRPr="00C069AF" w:rsidRDefault="001C2322" w:rsidP="001C2322">
            <w:pPr>
              <w:spacing w:after="0" w:line="240" w:lineRule="auto"/>
              <w:jc w:val="right"/>
              <w:rPr>
                <w:rFonts w:eastAsia="Times New Roman" w:cs="Times New Roman"/>
                <w:b/>
                <w:bCs/>
                <w:color w:val="000000"/>
                <w:sz w:val="20"/>
                <w:lang w:eastAsia="sk-SK"/>
              </w:rPr>
            </w:pPr>
            <w:r>
              <w:rPr>
                <w:rFonts w:eastAsia="Times New Roman" w:cs="Times New Roman"/>
                <w:color w:val="000000"/>
                <w:sz w:val="20"/>
                <w:lang w:eastAsia="sk-SK"/>
              </w:rPr>
              <w:t xml:space="preserve">OP ĽZ </w:t>
            </w:r>
            <w:r>
              <w:rPr>
                <w:color w:val="000000"/>
                <w:sz w:val="20"/>
              </w:rPr>
              <w:t>4</w:t>
            </w:r>
          </w:p>
        </w:tc>
        <w:tc>
          <w:tcPr>
            <w:tcW w:w="1276" w:type="dxa"/>
            <w:tcBorders>
              <w:left w:val="nil"/>
              <w:right w:val="nil"/>
            </w:tcBorders>
            <w:shd w:val="clear" w:color="000000" w:fill="FFFFFF"/>
            <w:noWrap/>
            <w:vAlign w:val="bottom"/>
          </w:tcPr>
          <w:p w14:paraId="3E4BD19E" w14:textId="5FBD173B" w:rsidR="001C2322" w:rsidRPr="00C069AF" w:rsidRDefault="001C2322" w:rsidP="001C2322">
            <w:pPr>
              <w:spacing w:after="0" w:line="240" w:lineRule="auto"/>
              <w:jc w:val="right"/>
              <w:rPr>
                <w:rFonts w:eastAsia="Times New Roman" w:cs="Times New Roman"/>
                <w:b/>
                <w:bCs/>
                <w:color w:val="000000"/>
                <w:sz w:val="20"/>
                <w:lang w:eastAsia="sk-SK"/>
              </w:rPr>
            </w:pPr>
            <w:r>
              <w:rPr>
                <w:color w:val="000000"/>
                <w:sz w:val="20"/>
              </w:rPr>
              <w:t>29,3</w:t>
            </w:r>
          </w:p>
        </w:tc>
        <w:tc>
          <w:tcPr>
            <w:tcW w:w="1275" w:type="dxa"/>
            <w:tcBorders>
              <w:left w:val="nil"/>
              <w:right w:val="nil"/>
            </w:tcBorders>
            <w:shd w:val="clear" w:color="000000" w:fill="FFFFFF"/>
            <w:noWrap/>
            <w:vAlign w:val="bottom"/>
          </w:tcPr>
          <w:p w14:paraId="7DB57582" w14:textId="74312CA4" w:rsidR="001C2322" w:rsidRPr="00C069AF" w:rsidRDefault="001C2322" w:rsidP="001C2322">
            <w:pPr>
              <w:spacing w:after="0" w:line="240" w:lineRule="auto"/>
              <w:jc w:val="right"/>
              <w:rPr>
                <w:rFonts w:eastAsia="Times New Roman" w:cs="Times New Roman"/>
                <w:b/>
                <w:bCs/>
                <w:color w:val="000000"/>
                <w:sz w:val="20"/>
                <w:lang w:eastAsia="sk-SK"/>
              </w:rPr>
            </w:pPr>
            <w:r>
              <w:rPr>
                <w:color w:val="000000"/>
                <w:sz w:val="20"/>
              </w:rPr>
              <w:t>6,3</w:t>
            </w:r>
          </w:p>
        </w:tc>
      </w:tr>
      <w:tr w:rsidR="001C2322" w:rsidRPr="00C069AF" w14:paraId="13B26C13" w14:textId="77777777" w:rsidTr="00D7176D">
        <w:trPr>
          <w:trHeight w:val="255"/>
        </w:trPr>
        <w:tc>
          <w:tcPr>
            <w:tcW w:w="5529" w:type="dxa"/>
            <w:tcBorders>
              <w:left w:val="nil"/>
              <w:right w:val="nil"/>
            </w:tcBorders>
            <w:shd w:val="clear" w:color="000000" w:fill="FFFFFF"/>
            <w:noWrap/>
            <w:vAlign w:val="bottom"/>
          </w:tcPr>
          <w:p w14:paraId="3D4DE1FC" w14:textId="03F25F7E" w:rsidR="001C2322" w:rsidRPr="00C069AF" w:rsidRDefault="001C2322" w:rsidP="00773905">
            <w:pPr>
              <w:spacing w:after="0" w:line="240" w:lineRule="auto"/>
              <w:ind w:left="214"/>
              <w:jc w:val="left"/>
              <w:rPr>
                <w:rFonts w:eastAsia="Times New Roman" w:cs="Times New Roman"/>
                <w:b/>
                <w:bCs/>
                <w:color w:val="000000"/>
                <w:sz w:val="20"/>
                <w:lang w:eastAsia="sk-SK"/>
              </w:rPr>
            </w:pPr>
            <w:r>
              <w:rPr>
                <w:color w:val="000000"/>
                <w:sz w:val="20"/>
              </w:rPr>
              <w:t>Podpora rozvoja sociálnej práce v rodinnom prostredí klientov</w:t>
            </w:r>
          </w:p>
        </w:tc>
        <w:tc>
          <w:tcPr>
            <w:tcW w:w="992" w:type="dxa"/>
            <w:tcBorders>
              <w:left w:val="nil"/>
              <w:right w:val="nil"/>
            </w:tcBorders>
            <w:shd w:val="clear" w:color="000000" w:fill="FFFFFF"/>
            <w:noWrap/>
            <w:vAlign w:val="bottom"/>
          </w:tcPr>
          <w:p w14:paraId="6FE35C1B" w14:textId="516F5FA1" w:rsidR="001C2322" w:rsidRPr="00C069AF" w:rsidRDefault="001C2322" w:rsidP="001C2322">
            <w:pPr>
              <w:spacing w:after="0" w:line="240" w:lineRule="auto"/>
              <w:jc w:val="right"/>
              <w:rPr>
                <w:rFonts w:eastAsia="Times New Roman" w:cs="Times New Roman"/>
                <w:b/>
                <w:bCs/>
                <w:color w:val="000000"/>
                <w:sz w:val="20"/>
                <w:lang w:eastAsia="sk-SK"/>
              </w:rPr>
            </w:pPr>
            <w:r>
              <w:rPr>
                <w:rFonts w:eastAsia="Times New Roman" w:cs="Times New Roman"/>
                <w:color w:val="000000"/>
                <w:sz w:val="20"/>
                <w:lang w:eastAsia="sk-SK"/>
              </w:rPr>
              <w:t xml:space="preserve">OP ĽZ </w:t>
            </w:r>
            <w:r>
              <w:rPr>
                <w:color w:val="000000"/>
                <w:sz w:val="20"/>
              </w:rPr>
              <w:t>4</w:t>
            </w:r>
          </w:p>
        </w:tc>
        <w:tc>
          <w:tcPr>
            <w:tcW w:w="1276" w:type="dxa"/>
            <w:tcBorders>
              <w:left w:val="nil"/>
              <w:right w:val="nil"/>
            </w:tcBorders>
            <w:shd w:val="clear" w:color="000000" w:fill="FFFFFF"/>
            <w:noWrap/>
            <w:vAlign w:val="bottom"/>
          </w:tcPr>
          <w:p w14:paraId="005176AB" w14:textId="6338404D" w:rsidR="001C2322" w:rsidRPr="00C069AF" w:rsidRDefault="001C2322" w:rsidP="001C2322">
            <w:pPr>
              <w:spacing w:after="0" w:line="240" w:lineRule="auto"/>
              <w:jc w:val="right"/>
              <w:rPr>
                <w:rFonts w:eastAsia="Times New Roman" w:cs="Times New Roman"/>
                <w:b/>
                <w:bCs/>
                <w:color w:val="000000"/>
                <w:sz w:val="20"/>
                <w:lang w:eastAsia="sk-SK"/>
              </w:rPr>
            </w:pPr>
            <w:r>
              <w:rPr>
                <w:color w:val="000000"/>
                <w:sz w:val="20"/>
              </w:rPr>
              <w:t>29,2</w:t>
            </w:r>
          </w:p>
        </w:tc>
        <w:tc>
          <w:tcPr>
            <w:tcW w:w="1275" w:type="dxa"/>
            <w:tcBorders>
              <w:left w:val="nil"/>
              <w:right w:val="nil"/>
            </w:tcBorders>
            <w:shd w:val="clear" w:color="000000" w:fill="FFFFFF"/>
            <w:noWrap/>
            <w:vAlign w:val="bottom"/>
          </w:tcPr>
          <w:p w14:paraId="50421F2A" w14:textId="0007C10A" w:rsidR="001C2322" w:rsidRPr="00C069AF" w:rsidRDefault="001C2322" w:rsidP="001C2322">
            <w:pPr>
              <w:spacing w:after="0" w:line="240" w:lineRule="auto"/>
              <w:jc w:val="right"/>
              <w:rPr>
                <w:rFonts w:eastAsia="Times New Roman" w:cs="Times New Roman"/>
                <w:b/>
                <w:bCs/>
                <w:color w:val="000000"/>
                <w:sz w:val="20"/>
                <w:lang w:eastAsia="sk-SK"/>
              </w:rPr>
            </w:pPr>
            <w:r>
              <w:rPr>
                <w:color w:val="000000"/>
                <w:sz w:val="20"/>
              </w:rPr>
              <w:t>5,7</w:t>
            </w:r>
          </w:p>
        </w:tc>
      </w:tr>
      <w:tr w:rsidR="001C2322" w:rsidRPr="00C069AF" w14:paraId="2DC4281E" w14:textId="77777777" w:rsidTr="00D7176D">
        <w:trPr>
          <w:trHeight w:val="255"/>
        </w:trPr>
        <w:tc>
          <w:tcPr>
            <w:tcW w:w="5529" w:type="dxa"/>
            <w:tcBorders>
              <w:left w:val="nil"/>
              <w:right w:val="nil"/>
            </w:tcBorders>
            <w:shd w:val="clear" w:color="000000" w:fill="FFFFFF"/>
            <w:noWrap/>
            <w:vAlign w:val="bottom"/>
          </w:tcPr>
          <w:p w14:paraId="3EE8C049" w14:textId="04460FB6" w:rsidR="001C2322" w:rsidRPr="00C069AF" w:rsidRDefault="001C2322" w:rsidP="00773905">
            <w:pPr>
              <w:spacing w:after="0" w:line="240" w:lineRule="auto"/>
              <w:ind w:left="214"/>
              <w:jc w:val="left"/>
              <w:rPr>
                <w:rFonts w:eastAsia="Times New Roman" w:cs="Times New Roman"/>
                <w:b/>
                <w:bCs/>
                <w:color w:val="000000"/>
                <w:sz w:val="20"/>
                <w:lang w:eastAsia="sk-SK"/>
              </w:rPr>
            </w:pPr>
            <w:r>
              <w:rPr>
                <w:color w:val="000000"/>
                <w:sz w:val="20"/>
              </w:rPr>
              <w:t>Terénna sociálna práca a terénna práca v obciach s prítomnosťou MRK</w:t>
            </w:r>
          </w:p>
        </w:tc>
        <w:tc>
          <w:tcPr>
            <w:tcW w:w="992" w:type="dxa"/>
            <w:tcBorders>
              <w:left w:val="nil"/>
              <w:right w:val="nil"/>
            </w:tcBorders>
            <w:shd w:val="clear" w:color="000000" w:fill="FFFFFF"/>
            <w:noWrap/>
            <w:vAlign w:val="bottom"/>
          </w:tcPr>
          <w:p w14:paraId="022590E2" w14:textId="38B48A84" w:rsidR="001C2322" w:rsidRPr="00C069AF" w:rsidRDefault="001C2322" w:rsidP="001C2322">
            <w:pPr>
              <w:spacing w:after="0" w:line="240" w:lineRule="auto"/>
              <w:jc w:val="right"/>
              <w:rPr>
                <w:rFonts w:eastAsia="Times New Roman" w:cs="Times New Roman"/>
                <w:b/>
                <w:bCs/>
                <w:color w:val="000000"/>
                <w:sz w:val="20"/>
                <w:lang w:eastAsia="sk-SK"/>
              </w:rPr>
            </w:pPr>
            <w:r>
              <w:rPr>
                <w:rFonts w:eastAsia="Times New Roman" w:cs="Times New Roman"/>
                <w:color w:val="000000"/>
                <w:sz w:val="20"/>
                <w:lang w:eastAsia="sk-SK"/>
              </w:rPr>
              <w:t xml:space="preserve">OP ĽZ </w:t>
            </w:r>
            <w:r>
              <w:rPr>
                <w:color w:val="000000"/>
                <w:sz w:val="20"/>
              </w:rPr>
              <w:t>5</w:t>
            </w:r>
          </w:p>
        </w:tc>
        <w:tc>
          <w:tcPr>
            <w:tcW w:w="1276" w:type="dxa"/>
            <w:tcBorders>
              <w:left w:val="nil"/>
              <w:right w:val="nil"/>
            </w:tcBorders>
            <w:shd w:val="clear" w:color="000000" w:fill="FFFFFF"/>
            <w:noWrap/>
            <w:vAlign w:val="bottom"/>
          </w:tcPr>
          <w:p w14:paraId="7633D1D7" w14:textId="19002B62" w:rsidR="001C2322" w:rsidRPr="00C069AF" w:rsidRDefault="001C2322" w:rsidP="001C2322">
            <w:pPr>
              <w:spacing w:after="0" w:line="240" w:lineRule="auto"/>
              <w:jc w:val="right"/>
              <w:rPr>
                <w:rFonts w:eastAsia="Times New Roman" w:cs="Times New Roman"/>
                <w:b/>
                <w:bCs/>
                <w:color w:val="000000"/>
                <w:sz w:val="20"/>
                <w:lang w:eastAsia="sk-SK"/>
              </w:rPr>
            </w:pPr>
            <w:r>
              <w:rPr>
                <w:color w:val="000000"/>
                <w:sz w:val="20"/>
              </w:rPr>
              <w:t>26,5</w:t>
            </w:r>
          </w:p>
        </w:tc>
        <w:tc>
          <w:tcPr>
            <w:tcW w:w="1275" w:type="dxa"/>
            <w:tcBorders>
              <w:left w:val="nil"/>
              <w:right w:val="nil"/>
            </w:tcBorders>
            <w:shd w:val="clear" w:color="000000" w:fill="FFFFFF"/>
            <w:noWrap/>
            <w:vAlign w:val="bottom"/>
          </w:tcPr>
          <w:p w14:paraId="3D061799" w14:textId="368CFDE2" w:rsidR="001C2322" w:rsidRPr="00C069AF" w:rsidRDefault="001C2322" w:rsidP="001C2322">
            <w:pPr>
              <w:spacing w:after="0" w:line="240" w:lineRule="auto"/>
              <w:jc w:val="right"/>
              <w:rPr>
                <w:rFonts w:eastAsia="Times New Roman" w:cs="Times New Roman"/>
                <w:b/>
                <w:bCs/>
                <w:color w:val="000000"/>
                <w:sz w:val="20"/>
                <w:lang w:eastAsia="sk-SK"/>
              </w:rPr>
            </w:pPr>
            <w:r>
              <w:rPr>
                <w:color w:val="000000"/>
                <w:sz w:val="20"/>
              </w:rPr>
              <w:t>6,1</w:t>
            </w:r>
          </w:p>
        </w:tc>
      </w:tr>
      <w:tr w:rsidR="001C2322" w:rsidRPr="00C069AF" w14:paraId="14FAFFE2" w14:textId="77777777" w:rsidTr="00D7176D">
        <w:trPr>
          <w:trHeight w:val="255"/>
        </w:trPr>
        <w:tc>
          <w:tcPr>
            <w:tcW w:w="5529" w:type="dxa"/>
            <w:tcBorders>
              <w:left w:val="nil"/>
              <w:right w:val="nil"/>
            </w:tcBorders>
            <w:shd w:val="clear" w:color="000000" w:fill="FFFFFF"/>
            <w:noWrap/>
            <w:vAlign w:val="bottom"/>
          </w:tcPr>
          <w:p w14:paraId="5943D114" w14:textId="71BA5E6E" w:rsidR="001C2322" w:rsidRPr="00C069AF" w:rsidRDefault="001C2322" w:rsidP="00773905">
            <w:pPr>
              <w:spacing w:after="0" w:line="240" w:lineRule="auto"/>
              <w:ind w:left="214"/>
              <w:jc w:val="left"/>
              <w:rPr>
                <w:rFonts w:eastAsia="Times New Roman" w:cs="Times New Roman"/>
                <w:b/>
                <w:bCs/>
                <w:color w:val="000000"/>
                <w:sz w:val="20"/>
                <w:lang w:eastAsia="sk-SK"/>
              </w:rPr>
            </w:pPr>
            <w:r>
              <w:rPr>
                <w:sz w:val="20"/>
              </w:rPr>
              <w:t>Komunitné centrá v mestách a obciach s prítomnosťou MRK</w:t>
            </w:r>
          </w:p>
        </w:tc>
        <w:tc>
          <w:tcPr>
            <w:tcW w:w="992" w:type="dxa"/>
            <w:tcBorders>
              <w:left w:val="nil"/>
              <w:right w:val="nil"/>
            </w:tcBorders>
            <w:shd w:val="clear" w:color="000000" w:fill="FFFFFF"/>
            <w:noWrap/>
            <w:vAlign w:val="bottom"/>
          </w:tcPr>
          <w:p w14:paraId="19B8BF5D" w14:textId="0132BA6E" w:rsidR="001C2322" w:rsidRPr="00C069AF" w:rsidRDefault="001C2322" w:rsidP="001C2322">
            <w:pPr>
              <w:spacing w:after="0" w:line="240" w:lineRule="auto"/>
              <w:jc w:val="right"/>
              <w:rPr>
                <w:rFonts w:eastAsia="Times New Roman" w:cs="Times New Roman"/>
                <w:b/>
                <w:bCs/>
                <w:color w:val="000000"/>
                <w:sz w:val="20"/>
                <w:lang w:eastAsia="sk-SK"/>
              </w:rPr>
            </w:pPr>
            <w:r>
              <w:rPr>
                <w:rFonts w:eastAsia="Times New Roman" w:cs="Times New Roman"/>
                <w:color w:val="000000"/>
                <w:sz w:val="20"/>
                <w:lang w:eastAsia="sk-SK"/>
              </w:rPr>
              <w:t xml:space="preserve">OP ĽZ </w:t>
            </w:r>
            <w:r>
              <w:rPr>
                <w:sz w:val="20"/>
              </w:rPr>
              <w:t>5</w:t>
            </w:r>
          </w:p>
        </w:tc>
        <w:tc>
          <w:tcPr>
            <w:tcW w:w="1276" w:type="dxa"/>
            <w:tcBorders>
              <w:left w:val="nil"/>
              <w:right w:val="nil"/>
            </w:tcBorders>
            <w:shd w:val="clear" w:color="000000" w:fill="FFFFFF"/>
            <w:noWrap/>
            <w:vAlign w:val="bottom"/>
          </w:tcPr>
          <w:p w14:paraId="5F92171E" w14:textId="7E585AA2" w:rsidR="001C2322" w:rsidRPr="00C069AF" w:rsidRDefault="001C2322" w:rsidP="001C2322">
            <w:pPr>
              <w:spacing w:after="0" w:line="240" w:lineRule="auto"/>
              <w:jc w:val="right"/>
              <w:rPr>
                <w:rFonts w:eastAsia="Times New Roman" w:cs="Times New Roman"/>
                <w:b/>
                <w:bCs/>
                <w:color w:val="000000"/>
                <w:sz w:val="20"/>
                <w:lang w:eastAsia="sk-SK"/>
              </w:rPr>
            </w:pPr>
            <w:r>
              <w:rPr>
                <w:color w:val="000000"/>
                <w:sz w:val="20"/>
              </w:rPr>
              <w:t>18,7</w:t>
            </w:r>
          </w:p>
        </w:tc>
        <w:tc>
          <w:tcPr>
            <w:tcW w:w="1275" w:type="dxa"/>
            <w:tcBorders>
              <w:left w:val="nil"/>
              <w:right w:val="nil"/>
            </w:tcBorders>
            <w:shd w:val="clear" w:color="000000" w:fill="FFFFFF"/>
            <w:noWrap/>
            <w:vAlign w:val="bottom"/>
          </w:tcPr>
          <w:p w14:paraId="028DCCEB" w14:textId="1E99F05D" w:rsidR="001C2322" w:rsidRPr="00C069AF" w:rsidRDefault="001C2322" w:rsidP="001C2322">
            <w:pPr>
              <w:spacing w:after="0" w:line="240" w:lineRule="auto"/>
              <w:jc w:val="right"/>
              <w:rPr>
                <w:rFonts w:eastAsia="Times New Roman" w:cs="Times New Roman"/>
                <w:b/>
                <w:bCs/>
                <w:color w:val="000000"/>
                <w:sz w:val="20"/>
                <w:lang w:eastAsia="sk-SK"/>
              </w:rPr>
            </w:pPr>
            <w:r>
              <w:rPr>
                <w:color w:val="000000"/>
                <w:sz w:val="20"/>
              </w:rPr>
              <w:t>1,8</w:t>
            </w:r>
          </w:p>
        </w:tc>
      </w:tr>
      <w:tr w:rsidR="001C2322" w:rsidRPr="00C069AF" w14:paraId="15E9CF64" w14:textId="77777777" w:rsidTr="00D7176D">
        <w:trPr>
          <w:trHeight w:val="255"/>
        </w:trPr>
        <w:tc>
          <w:tcPr>
            <w:tcW w:w="5529" w:type="dxa"/>
            <w:tcBorders>
              <w:left w:val="nil"/>
              <w:right w:val="nil"/>
            </w:tcBorders>
            <w:shd w:val="clear" w:color="000000" w:fill="FFFFFF"/>
            <w:noWrap/>
            <w:vAlign w:val="bottom"/>
          </w:tcPr>
          <w:p w14:paraId="6B2A6F99" w14:textId="15C59355" w:rsidR="001C2322" w:rsidRPr="00C069AF" w:rsidRDefault="001C2322" w:rsidP="00773905">
            <w:pPr>
              <w:spacing w:after="0" w:line="240" w:lineRule="auto"/>
              <w:ind w:left="214"/>
              <w:jc w:val="left"/>
              <w:rPr>
                <w:rFonts w:eastAsia="Times New Roman" w:cs="Times New Roman"/>
                <w:b/>
                <w:bCs/>
                <w:color w:val="000000"/>
                <w:sz w:val="20"/>
                <w:lang w:eastAsia="sk-SK"/>
              </w:rPr>
            </w:pPr>
            <w:r>
              <w:rPr>
                <w:sz w:val="20"/>
              </w:rPr>
              <w:t>Rekonštrukcia a výstavba komunitných centier</w:t>
            </w:r>
          </w:p>
        </w:tc>
        <w:tc>
          <w:tcPr>
            <w:tcW w:w="992" w:type="dxa"/>
            <w:tcBorders>
              <w:left w:val="nil"/>
              <w:right w:val="nil"/>
            </w:tcBorders>
            <w:shd w:val="clear" w:color="000000" w:fill="FFFFFF"/>
            <w:noWrap/>
            <w:vAlign w:val="bottom"/>
          </w:tcPr>
          <w:p w14:paraId="56084009" w14:textId="1226C496" w:rsidR="001C2322" w:rsidRPr="00C069AF" w:rsidRDefault="001C2322" w:rsidP="001C2322">
            <w:pPr>
              <w:spacing w:after="0" w:line="240" w:lineRule="auto"/>
              <w:jc w:val="right"/>
              <w:rPr>
                <w:rFonts w:eastAsia="Times New Roman" w:cs="Times New Roman"/>
                <w:b/>
                <w:bCs/>
                <w:color w:val="000000"/>
                <w:sz w:val="20"/>
                <w:lang w:eastAsia="sk-SK"/>
              </w:rPr>
            </w:pPr>
            <w:r>
              <w:rPr>
                <w:rFonts w:eastAsia="Times New Roman" w:cs="Times New Roman"/>
                <w:color w:val="000000"/>
                <w:sz w:val="20"/>
                <w:lang w:eastAsia="sk-SK"/>
              </w:rPr>
              <w:t xml:space="preserve">OP ĽZ </w:t>
            </w:r>
            <w:r>
              <w:rPr>
                <w:sz w:val="20"/>
              </w:rPr>
              <w:t>6</w:t>
            </w:r>
          </w:p>
        </w:tc>
        <w:tc>
          <w:tcPr>
            <w:tcW w:w="1276" w:type="dxa"/>
            <w:tcBorders>
              <w:left w:val="nil"/>
              <w:right w:val="nil"/>
            </w:tcBorders>
            <w:shd w:val="clear" w:color="000000" w:fill="FFFFFF"/>
            <w:noWrap/>
            <w:vAlign w:val="bottom"/>
          </w:tcPr>
          <w:p w14:paraId="158D7210" w14:textId="17FE1B3F" w:rsidR="001C2322" w:rsidRPr="00C069AF" w:rsidRDefault="001C2322" w:rsidP="001C2322">
            <w:pPr>
              <w:spacing w:after="0" w:line="240" w:lineRule="auto"/>
              <w:jc w:val="right"/>
              <w:rPr>
                <w:rFonts w:eastAsia="Times New Roman" w:cs="Times New Roman"/>
                <w:b/>
                <w:bCs/>
                <w:color w:val="000000"/>
                <w:sz w:val="20"/>
                <w:lang w:eastAsia="sk-SK"/>
              </w:rPr>
            </w:pPr>
            <w:r>
              <w:rPr>
                <w:color w:val="000000"/>
                <w:sz w:val="20"/>
              </w:rPr>
              <w:t>13,9</w:t>
            </w:r>
          </w:p>
        </w:tc>
        <w:tc>
          <w:tcPr>
            <w:tcW w:w="1275" w:type="dxa"/>
            <w:tcBorders>
              <w:left w:val="nil"/>
              <w:right w:val="nil"/>
            </w:tcBorders>
            <w:shd w:val="clear" w:color="000000" w:fill="FFFFFF"/>
            <w:noWrap/>
            <w:vAlign w:val="bottom"/>
          </w:tcPr>
          <w:p w14:paraId="6E5D8CA7" w14:textId="0A67FE88" w:rsidR="001C2322" w:rsidRPr="00C069AF" w:rsidRDefault="001C2322" w:rsidP="001C2322">
            <w:pPr>
              <w:spacing w:after="0" w:line="240" w:lineRule="auto"/>
              <w:jc w:val="right"/>
              <w:rPr>
                <w:rFonts w:eastAsia="Times New Roman" w:cs="Times New Roman"/>
                <w:b/>
                <w:bCs/>
                <w:color w:val="000000"/>
                <w:sz w:val="20"/>
                <w:lang w:eastAsia="sk-SK"/>
              </w:rPr>
            </w:pPr>
            <w:r>
              <w:rPr>
                <w:color w:val="000000"/>
                <w:sz w:val="20"/>
              </w:rPr>
              <w:t>2,6</w:t>
            </w:r>
          </w:p>
        </w:tc>
      </w:tr>
      <w:tr w:rsidR="001C2322" w:rsidRPr="00C069AF" w14:paraId="3AD5A526" w14:textId="77777777" w:rsidTr="00D7176D">
        <w:trPr>
          <w:trHeight w:val="255"/>
        </w:trPr>
        <w:tc>
          <w:tcPr>
            <w:tcW w:w="5529" w:type="dxa"/>
            <w:tcBorders>
              <w:left w:val="nil"/>
              <w:right w:val="nil"/>
            </w:tcBorders>
            <w:shd w:val="clear" w:color="000000" w:fill="FFFFFF"/>
            <w:noWrap/>
            <w:vAlign w:val="bottom"/>
          </w:tcPr>
          <w:p w14:paraId="45C5F862" w14:textId="57B1D09C" w:rsidR="001C2322" w:rsidRPr="00C069AF" w:rsidRDefault="001C2322" w:rsidP="00773905">
            <w:pPr>
              <w:spacing w:after="0" w:line="240" w:lineRule="auto"/>
              <w:ind w:left="214"/>
              <w:jc w:val="left"/>
              <w:rPr>
                <w:rFonts w:eastAsia="Times New Roman" w:cs="Times New Roman"/>
                <w:b/>
                <w:bCs/>
                <w:color w:val="000000"/>
                <w:sz w:val="20"/>
                <w:lang w:eastAsia="sk-SK"/>
              </w:rPr>
            </w:pPr>
            <w:r>
              <w:rPr>
                <w:sz w:val="20"/>
              </w:rPr>
              <w:t>Výstavba, modernizácia, rekonštrukcia, prestavba KC</w:t>
            </w:r>
          </w:p>
        </w:tc>
        <w:tc>
          <w:tcPr>
            <w:tcW w:w="992" w:type="dxa"/>
            <w:tcBorders>
              <w:left w:val="nil"/>
              <w:right w:val="nil"/>
            </w:tcBorders>
            <w:shd w:val="clear" w:color="000000" w:fill="FFFFFF"/>
            <w:noWrap/>
            <w:vAlign w:val="bottom"/>
          </w:tcPr>
          <w:p w14:paraId="56D6A543" w14:textId="745071ED" w:rsidR="001C2322" w:rsidRPr="00C069AF" w:rsidRDefault="001C2322" w:rsidP="001C2322">
            <w:pPr>
              <w:spacing w:after="0" w:line="240" w:lineRule="auto"/>
              <w:jc w:val="right"/>
              <w:rPr>
                <w:rFonts w:eastAsia="Times New Roman" w:cs="Times New Roman"/>
                <w:b/>
                <w:bCs/>
                <w:color w:val="000000"/>
                <w:sz w:val="20"/>
                <w:lang w:eastAsia="sk-SK"/>
              </w:rPr>
            </w:pPr>
            <w:r>
              <w:rPr>
                <w:rFonts w:eastAsia="Times New Roman" w:cs="Times New Roman"/>
                <w:color w:val="000000"/>
                <w:sz w:val="20"/>
                <w:lang w:eastAsia="sk-SK"/>
              </w:rPr>
              <w:t xml:space="preserve">OP ĽZ </w:t>
            </w:r>
            <w:r>
              <w:rPr>
                <w:sz w:val="20"/>
              </w:rPr>
              <w:t>6</w:t>
            </w:r>
          </w:p>
        </w:tc>
        <w:tc>
          <w:tcPr>
            <w:tcW w:w="1276" w:type="dxa"/>
            <w:tcBorders>
              <w:left w:val="nil"/>
              <w:right w:val="nil"/>
            </w:tcBorders>
            <w:shd w:val="clear" w:color="000000" w:fill="FFFFFF"/>
            <w:noWrap/>
            <w:vAlign w:val="bottom"/>
          </w:tcPr>
          <w:p w14:paraId="038ED722" w14:textId="1D6752A2" w:rsidR="001C2322" w:rsidRPr="00C069AF" w:rsidRDefault="001C2322" w:rsidP="001C2322">
            <w:pPr>
              <w:spacing w:after="0" w:line="240" w:lineRule="auto"/>
              <w:jc w:val="right"/>
              <w:rPr>
                <w:rFonts w:eastAsia="Times New Roman" w:cs="Times New Roman"/>
                <w:b/>
                <w:bCs/>
                <w:color w:val="000000"/>
                <w:sz w:val="20"/>
                <w:lang w:eastAsia="sk-SK"/>
              </w:rPr>
            </w:pPr>
            <w:r>
              <w:rPr>
                <w:color w:val="000000"/>
                <w:sz w:val="20"/>
              </w:rPr>
              <w:t>9,0</w:t>
            </w:r>
          </w:p>
        </w:tc>
        <w:tc>
          <w:tcPr>
            <w:tcW w:w="1275" w:type="dxa"/>
            <w:tcBorders>
              <w:left w:val="nil"/>
              <w:right w:val="nil"/>
            </w:tcBorders>
            <w:shd w:val="clear" w:color="000000" w:fill="FFFFFF"/>
            <w:noWrap/>
            <w:vAlign w:val="bottom"/>
          </w:tcPr>
          <w:p w14:paraId="19DFD406" w14:textId="1FD9C29B" w:rsidR="001C2322" w:rsidRPr="00C069AF" w:rsidRDefault="001C2322" w:rsidP="001C2322">
            <w:pPr>
              <w:spacing w:after="0" w:line="240" w:lineRule="auto"/>
              <w:jc w:val="right"/>
              <w:rPr>
                <w:rFonts w:eastAsia="Times New Roman" w:cs="Times New Roman"/>
                <w:b/>
                <w:bCs/>
                <w:color w:val="000000"/>
                <w:sz w:val="20"/>
                <w:lang w:eastAsia="sk-SK"/>
              </w:rPr>
            </w:pPr>
            <w:r>
              <w:rPr>
                <w:color w:val="000000"/>
                <w:sz w:val="20"/>
              </w:rPr>
              <w:t>0,0</w:t>
            </w:r>
          </w:p>
        </w:tc>
      </w:tr>
      <w:tr w:rsidR="001C2322" w:rsidRPr="00C069AF" w14:paraId="4D086C41" w14:textId="77777777" w:rsidTr="00D7176D">
        <w:trPr>
          <w:trHeight w:val="255"/>
        </w:trPr>
        <w:tc>
          <w:tcPr>
            <w:tcW w:w="5529" w:type="dxa"/>
            <w:tcBorders>
              <w:left w:val="nil"/>
              <w:right w:val="nil"/>
            </w:tcBorders>
            <w:shd w:val="clear" w:color="000000" w:fill="FFFFFF"/>
            <w:noWrap/>
            <w:vAlign w:val="bottom"/>
          </w:tcPr>
          <w:p w14:paraId="312D7AC6" w14:textId="000B7F2B" w:rsidR="001C2322" w:rsidRPr="00C069AF" w:rsidRDefault="001C2322" w:rsidP="001C2322">
            <w:pPr>
              <w:spacing w:after="0" w:line="240" w:lineRule="auto"/>
              <w:jc w:val="left"/>
              <w:rPr>
                <w:rFonts w:eastAsia="Times New Roman" w:cs="Times New Roman"/>
                <w:b/>
                <w:bCs/>
                <w:color w:val="000000"/>
                <w:sz w:val="20"/>
                <w:lang w:eastAsia="sk-SK"/>
              </w:rPr>
            </w:pPr>
            <w:r>
              <w:rPr>
                <w:sz w:val="20"/>
              </w:rPr>
              <w:t>Dopytové výzvy</w:t>
            </w:r>
          </w:p>
        </w:tc>
        <w:tc>
          <w:tcPr>
            <w:tcW w:w="992" w:type="dxa"/>
            <w:tcBorders>
              <w:left w:val="nil"/>
              <w:right w:val="nil"/>
            </w:tcBorders>
            <w:shd w:val="clear" w:color="000000" w:fill="FFFFFF"/>
            <w:noWrap/>
            <w:vAlign w:val="bottom"/>
          </w:tcPr>
          <w:p w14:paraId="38CBBAD9" w14:textId="541A3357" w:rsidR="001C2322" w:rsidRPr="00C069AF" w:rsidRDefault="001C2322" w:rsidP="001C2322">
            <w:pPr>
              <w:spacing w:after="0" w:line="240" w:lineRule="auto"/>
              <w:jc w:val="right"/>
              <w:rPr>
                <w:rFonts w:eastAsia="Times New Roman" w:cs="Times New Roman"/>
                <w:b/>
                <w:bCs/>
                <w:color w:val="000000"/>
                <w:sz w:val="20"/>
                <w:lang w:eastAsia="sk-SK"/>
              </w:rPr>
            </w:pPr>
            <w:r>
              <w:rPr>
                <w:sz w:val="20"/>
              </w:rPr>
              <w:t> </w:t>
            </w:r>
          </w:p>
        </w:tc>
        <w:tc>
          <w:tcPr>
            <w:tcW w:w="1276" w:type="dxa"/>
            <w:tcBorders>
              <w:left w:val="nil"/>
              <w:right w:val="nil"/>
            </w:tcBorders>
            <w:shd w:val="clear" w:color="000000" w:fill="FFFFFF"/>
            <w:noWrap/>
            <w:vAlign w:val="bottom"/>
          </w:tcPr>
          <w:p w14:paraId="7ACBE428" w14:textId="0C307C95" w:rsidR="001C2322" w:rsidRPr="00C069AF" w:rsidRDefault="001C2322" w:rsidP="001C2322">
            <w:pPr>
              <w:spacing w:after="0" w:line="240" w:lineRule="auto"/>
              <w:jc w:val="right"/>
              <w:rPr>
                <w:rFonts w:eastAsia="Times New Roman" w:cs="Times New Roman"/>
                <w:b/>
                <w:bCs/>
                <w:color w:val="000000"/>
                <w:sz w:val="20"/>
                <w:lang w:eastAsia="sk-SK"/>
              </w:rPr>
            </w:pPr>
            <w:r>
              <w:rPr>
                <w:color w:val="000000"/>
                <w:sz w:val="20"/>
              </w:rPr>
              <w:t> </w:t>
            </w:r>
          </w:p>
        </w:tc>
        <w:tc>
          <w:tcPr>
            <w:tcW w:w="1275" w:type="dxa"/>
            <w:tcBorders>
              <w:left w:val="nil"/>
              <w:right w:val="nil"/>
            </w:tcBorders>
            <w:shd w:val="clear" w:color="000000" w:fill="FFFFFF"/>
            <w:noWrap/>
            <w:vAlign w:val="bottom"/>
          </w:tcPr>
          <w:p w14:paraId="7AFCBDC0" w14:textId="3B28176D" w:rsidR="001C2322" w:rsidRPr="00C069AF" w:rsidRDefault="001C2322" w:rsidP="001C2322">
            <w:pPr>
              <w:spacing w:after="0" w:line="240" w:lineRule="auto"/>
              <w:jc w:val="right"/>
              <w:rPr>
                <w:rFonts w:eastAsia="Times New Roman" w:cs="Times New Roman"/>
                <w:b/>
                <w:bCs/>
                <w:color w:val="000000"/>
                <w:sz w:val="20"/>
                <w:lang w:eastAsia="sk-SK"/>
              </w:rPr>
            </w:pPr>
            <w:r>
              <w:rPr>
                <w:color w:val="000000"/>
                <w:sz w:val="20"/>
              </w:rPr>
              <w:t> </w:t>
            </w:r>
          </w:p>
        </w:tc>
      </w:tr>
      <w:tr w:rsidR="001C2322" w:rsidRPr="00C069AF" w14:paraId="15BD4BA3" w14:textId="77777777" w:rsidTr="00D7176D">
        <w:trPr>
          <w:trHeight w:val="255"/>
        </w:trPr>
        <w:tc>
          <w:tcPr>
            <w:tcW w:w="5529" w:type="dxa"/>
            <w:tcBorders>
              <w:left w:val="nil"/>
              <w:right w:val="nil"/>
            </w:tcBorders>
            <w:shd w:val="clear" w:color="000000" w:fill="FFFFFF"/>
            <w:noWrap/>
            <w:vAlign w:val="bottom"/>
          </w:tcPr>
          <w:p w14:paraId="572DDD0B" w14:textId="1B15EDF4" w:rsidR="001C2322" w:rsidRPr="00C069AF" w:rsidRDefault="001C2322" w:rsidP="00773905">
            <w:pPr>
              <w:spacing w:after="0" w:line="240" w:lineRule="auto"/>
              <w:ind w:left="214"/>
              <w:jc w:val="left"/>
              <w:rPr>
                <w:rFonts w:eastAsia="Times New Roman" w:cs="Times New Roman"/>
                <w:b/>
                <w:bCs/>
                <w:color w:val="000000"/>
                <w:sz w:val="20"/>
                <w:lang w:eastAsia="sk-SK"/>
              </w:rPr>
            </w:pPr>
            <w:r>
              <w:rPr>
                <w:sz w:val="20"/>
              </w:rPr>
              <w:t xml:space="preserve">Vývoj nástrojov za účelom zvýšenia aktivity ohrozených ľudí </w:t>
            </w:r>
          </w:p>
        </w:tc>
        <w:tc>
          <w:tcPr>
            <w:tcW w:w="992" w:type="dxa"/>
            <w:tcBorders>
              <w:left w:val="nil"/>
              <w:right w:val="nil"/>
            </w:tcBorders>
            <w:shd w:val="clear" w:color="000000" w:fill="FFFFFF"/>
            <w:noWrap/>
            <w:vAlign w:val="bottom"/>
          </w:tcPr>
          <w:p w14:paraId="1585CA43" w14:textId="4D2F88B8" w:rsidR="001C2322" w:rsidRPr="00C069AF" w:rsidRDefault="001C2322" w:rsidP="001C2322">
            <w:pPr>
              <w:spacing w:after="0" w:line="240" w:lineRule="auto"/>
              <w:jc w:val="right"/>
              <w:rPr>
                <w:rFonts w:eastAsia="Times New Roman" w:cs="Times New Roman"/>
                <w:b/>
                <w:bCs/>
                <w:color w:val="000000"/>
                <w:sz w:val="20"/>
                <w:lang w:eastAsia="sk-SK"/>
              </w:rPr>
            </w:pPr>
            <w:r>
              <w:rPr>
                <w:rFonts w:eastAsia="Times New Roman" w:cs="Times New Roman"/>
                <w:color w:val="000000"/>
                <w:sz w:val="20"/>
                <w:lang w:eastAsia="sk-SK"/>
              </w:rPr>
              <w:t xml:space="preserve">OP ĽZ </w:t>
            </w:r>
            <w:r>
              <w:rPr>
                <w:sz w:val="20"/>
              </w:rPr>
              <w:t>4</w:t>
            </w:r>
          </w:p>
        </w:tc>
        <w:tc>
          <w:tcPr>
            <w:tcW w:w="1276" w:type="dxa"/>
            <w:tcBorders>
              <w:left w:val="nil"/>
              <w:right w:val="nil"/>
            </w:tcBorders>
            <w:shd w:val="clear" w:color="000000" w:fill="FFFFFF"/>
            <w:noWrap/>
            <w:vAlign w:val="bottom"/>
          </w:tcPr>
          <w:p w14:paraId="48AD28F5" w14:textId="623BAFF8" w:rsidR="001C2322" w:rsidRPr="00C069AF" w:rsidRDefault="001C2322" w:rsidP="001C2322">
            <w:pPr>
              <w:spacing w:after="0" w:line="240" w:lineRule="auto"/>
              <w:jc w:val="right"/>
              <w:rPr>
                <w:rFonts w:eastAsia="Times New Roman" w:cs="Times New Roman"/>
                <w:b/>
                <w:bCs/>
                <w:color w:val="000000"/>
                <w:sz w:val="20"/>
                <w:lang w:eastAsia="sk-SK"/>
              </w:rPr>
            </w:pPr>
            <w:r>
              <w:rPr>
                <w:color w:val="000000"/>
                <w:sz w:val="20"/>
              </w:rPr>
              <w:t>0,9</w:t>
            </w:r>
          </w:p>
        </w:tc>
        <w:tc>
          <w:tcPr>
            <w:tcW w:w="1275" w:type="dxa"/>
            <w:tcBorders>
              <w:left w:val="nil"/>
              <w:right w:val="nil"/>
            </w:tcBorders>
            <w:shd w:val="clear" w:color="000000" w:fill="FFFFFF"/>
            <w:noWrap/>
            <w:vAlign w:val="bottom"/>
          </w:tcPr>
          <w:p w14:paraId="360916D2" w14:textId="26DA9523" w:rsidR="001C2322" w:rsidRPr="00C069AF" w:rsidRDefault="001C2322" w:rsidP="001C2322">
            <w:pPr>
              <w:spacing w:after="0" w:line="240" w:lineRule="auto"/>
              <w:jc w:val="right"/>
              <w:rPr>
                <w:rFonts w:eastAsia="Times New Roman" w:cs="Times New Roman"/>
                <w:b/>
                <w:bCs/>
                <w:color w:val="000000"/>
                <w:sz w:val="20"/>
                <w:lang w:eastAsia="sk-SK"/>
              </w:rPr>
            </w:pPr>
            <w:r>
              <w:rPr>
                <w:color w:val="000000"/>
                <w:sz w:val="20"/>
              </w:rPr>
              <w:t>0,0</w:t>
            </w:r>
          </w:p>
        </w:tc>
      </w:tr>
      <w:tr w:rsidR="001C2322" w:rsidRPr="00C069AF" w14:paraId="7A61C3F6" w14:textId="77777777" w:rsidTr="00D7176D">
        <w:trPr>
          <w:trHeight w:val="255"/>
        </w:trPr>
        <w:tc>
          <w:tcPr>
            <w:tcW w:w="5529" w:type="dxa"/>
            <w:tcBorders>
              <w:left w:val="nil"/>
              <w:right w:val="nil"/>
            </w:tcBorders>
            <w:shd w:val="clear" w:color="000000" w:fill="FFFFFF"/>
            <w:noWrap/>
            <w:vAlign w:val="bottom"/>
          </w:tcPr>
          <w:p w14:paraId="586CEE83" w14:textId="335659AC" w:rsidR="001C2322" w:rsidRDefault="001C2322" w:rsidP="00773905">
            <w:pPr>
              <w:spacing w:after="0" w:line="240" w:lineRule="auto"/>
              <w:ind w:left="214"/>
              <w:jc w:val="left"/>
              <w:rPr>
                <w:sz w:val="20"/>
              </w:rPr>
            </w:pPr>
            <w:r>
              <w:rPr>
                <w:sz w:val="20"/>
              </w:rPr>
              <w:t>Vývoj nových zariadení podporujúcich sociálnu integráciu OZP</w:t>
            </w:r>
          </w:p>
        </w:tc>
        <w:tc>
          <w:tcPr>
            <w:tcW w:w="992" w:type="dxa"/>
            <w:tcBorders>
              <w:left w:val="nil"/>
              <w:right w:val="nil"/>
            </w:tcBorders>
            <w:shd w:val="clear" w:color="000000" w:fill="FFFFFF"/>
            <w:noWrap/>
            <w:vAlign w:val="bottom"/>
          </w:tcPr>
          <w:p w14:paraId="6606F1E0" w14:textId="339CE791" w:rsidR="001C2322" w:rsidRDefault="001C2322" w:rsidP="001C2322">
            <w:pPr>
              <w:spacing w:after="0" w:line="240" w:lineRule="auto"/>
              <w:jc w:val="right"/>
              <w:rPr>
                <w:sz w:val="20"/>
              </w:rPr>
            </w:pPr>
            <w:r>
              <w:rPr>
                <w:rFonts w:eastAsia="Times New Roman" w:cs="Times New Roman"/>
                <w:color w:val="000000"/>
                <w:sz w:val="20"/>
                <w:lang w:eastAsia="sk-SK"/>
              </w:rPr>
              <w:t xml:space="preserve">OP ĽZ </w:t>
            </w:r>
            <w:r>
              <w:rPr>
                <w:sz w:val="20"/>
              </w:rPr>
              <w:t>4</w:t>
            </w:r>
          </w:p>
        </w:tc>
        <w:tc>
          <w:tcPr>
            <w:tcW w:w="1276" w:type="dxa"/>
            <w:tcBorders>
              <w:left w:val="nil"/>
              <w:right w:val="nil"/>
            </w:tcBorders>
            <w:shd w:val="clear" w:color="000000" w:fill="FFFFFF"/>
            <w:noWrap/>
            <w:vAlign w:val="bottom"/>
          </w:tcPr>
          <w:p w14:paraId="337A19DC" w14:textId="6DB9ECEF" w:rsidR="001C2322" w:rsidRDefault="001C2322" w:rsidP="001C2322">
            <w:pPr>
              <w:spacing w:after="0" w:line="240" w:lineRule="auto"/>
              <w:jc w:val="right"/>
              <w:rPr>
                <w:color w:val="000000"/>
                <w:sz w:val="20"/>
              </w:rPr>
            </w:pPr>
            <w:r>
              <w:rPr>
                <w:color w:val="000000"/>
                <w:sz w:val="20"/>
              </w:rPr>
              <w:t>1,1</w:t>
            </w:r>
          </w:p>
        </w:tc>
        <w:tc>
          <w:tcPr>
            <w:tcW w:w="1275" w:type="dxa"/>
            <w:tcBorders>
              <w:left w:val="nil"/>
              <w:right w:val="nil"/>
            </w:tcBorders>
            <w:shd w:val="clear" w:color="000000" w:fill="FFFFFF"/>
            <w:noWrap/>
            <w:vAlign w:val="bottom"/>
          </w:tcPr>
          <w:p w14:paraId="6E3ECD95" w14:textId="10C36BC3" w:rsidR="001C2322" w:rsidRDefault="001C2322" w:rsidP="001C2322">
            <w:pPr>
              <w:spacing w:after="0" w:line="240" w:lineRule="auto"/>
              <w:jc w:val="right"/>
              <w:rPr>
                <w:color w:val="000000"/>
                <w:sz w:val="20"/>
              </w:rPr>
            </w:pPr>
            <w:r>
              <w:rPr>
                <w:color w:val="000000"/>
                <w:sz w:val="20"/>
              </w:rPr>
              <w:t>0,0</w:t>
            </w:r>
          </w:p>
        </w:tc>
      </w:tr>
      <w:tr w:rsidR="001C2322" w:rsidRPr="00C069AF" w14:paraId="5816CC55" w14:textId="77777777" w:rsidTr="00D7176D">
        <w:trPr>
          <w:trHeight w:val="255"/>
        </w:trPr>
        <w:tc>
          <w:tcPr>
            <w:tcW w:w="5529" w:type="dxa"/>
            <w:tcBorders>
              <w:left w:val="nil"/>
              <w:bottom w:val="single" w:sz="4" w:space="0" w:color="auto"/>
              <w:right w:val="nil"/>
            </w:tcBorders>
            <w:shd w:val="clear" w:color="000000" w:fill="FFFFFF"/>
            <w:noWrap/>
            <w:vAlign w:val="bottom"/>
          </w:tcPr>
          <w:p w14:paraId="13A7B7DF" w14:textId="12BADF86" w:rsidR="001C2322" w:rsidRDefault="001C2322" w:rsidP="00773905">
            <w:pPr>
              <w:spacing w:after="0" w:line="240" w:lineRule="auto"/>
              <w:ind w:left="214"/>
              <w:jc w:val="left"/>
              <w:rPr>
                <w:sz w:val="20"/>
              </w:rPr>
            </w:pPr>
            <w:r>
              <w:rPr>
                <w:sz w:val="20"/>
              </w:rPr>
              <w:t>Poradenstvo a osveta v oblasti prevencie a eliminácie diskriminácie</w:t>
            </w:r>
          </w:p>
        </w:tc>
        <w:tc>
          <w:tcPr>
            <w:tcW w:w="992" w:type="dxa"/>
            <w:tcBorders>
              <w:left w:val="nil"/>
              <w:bottom w:val="single" w:sz="4" w:space="0" w:color="auto"/>
              <w:right w:val="nil"/>
            </w:tcBorders>
            <w:shd w:val="clear" w:color="000000" w:fill="FFFFFF"/>
            <w:noWrap/>
            <w:vAlign w:val="bottom"/>
          </w:tcPr>
          <w:p w14:paraId="24459119" w14:textId="256C6EA8" w:rsidR="001C2322" w:rsidRDefault="001C2322" w:rsidP="001C2322">
            <w:pPr>
              <w:spacing w:after="0" w:line="240" w:lineRule="auto"/>
              <w:jc w:val="right"/>
              <w:rPr>
                <w:sz w:val="20"/>
              </w:rPr>
            </w:pPr>
            <w:r>
              <w:rPr>
                <w:rFonts w:eastAsia="Times New Roman" w:cs="Times New Roman"/>
                <w:color w:val="000000"/>
                <w:sz w:val="20"/>
                <w:lang w:eastAsia="sk-SK"/>
              </w:rPr>
              <w:t xml:space="preserve">OP ĽZ </w:t>
            </w:r>
            <w:r>
              <w:rPr>
                <w:sz w:val="20"/>
              </w:rPr>
              <w:t>4</w:t>
            </w:r>
          </w:p>
        </w:tc>
        <w:tc>
          <w:tcPr>
            <w:tcW w:w="1276" w:type="dxa"/>
            <w:tcBorders>
              <w:left w:val="nil"/>
              <w:bottom w:val="single" w:sz="4" w:space="0" w:color="auto"/>
              <w:right w:val="nil"/>
            </w:tcBorders>
            <w:shd w:val="clear" w:color="000000" w:fill="FFFFFF"/>
            <w:noWrap/>
            <w:vAlign w:val="bottom"/>
          </w:tcPr>
          <w:p w14:paraId="1BDC3092" w14:textId="36DCC49A" w:rsidR="001C2322" w:rsidRDefault="001C2322" w:rsidP="001C2322">
            <w:pPr>
              <w:spacing w:after="0" w:line="240" w:lineRule="auto"/>
              <w:jc w:val="right"/>
              <w:rPr>
                <w:color w:val="000000"/>
                <w:sz w:val="20"/>
              </w:rPr>
            </w:pPr>
            <w:r>
              <w:rPr>
                <w:color w:val="000000"/>
                <w:sz w:val="20"/>
              </w:rPr>
              <w:t>5,7</w:t>
            </w:r>
          </w:p>
        </w:tc>
        <w:tc>
          <w:tcPr>
            <w:tcW w:w="1275" w:type="dxa"/>
            <w:tcBorders>
              <w:left w:val="nil"/>
              <w:bottom w:val="single" w:sz="4" w:space="0" w:color="auto"/>
              <w:right w:val="nil"/>
            </w:tcBorders>
            <w:shd w:val="clear" w:color="000000" w:fill="FFFFFF"/>
            <w:noWrap/>
            <w:vAlign w:val="bottom"/>
          </w:tcPr>
          <w:p w14:paraId="69400543" w14:textId="4E6F0ADB" w:rsidR="001C2322" w:rsidRDefault="001C2322" w:rsidP="001C2322">
            <w:pPr>
              <w:spacing w:after="0" w:line="240" w:lineRule="auto"/>
              <w:jc w:val="right"/>
              <w:rPr>
                <w:color w:val="000000"/>
                <w:sz w:val="20"/>
              </w:rPr>
            </w:pPr>
            <w:r>
              <w:rPr>
                <w:color w:val="000000"/>
                <w:sz w:val="20"/>
              </w:rPr>
              <w:t>0,0</w:t>
            </w:r>
          </w:p>
        </w:tc>
      </w:tr>
      <w:tr w:rsidR="00C069AF" w:rsidRPr="00C069AF" w14:paraId="7978D45B" w14:textId="77777777" w:rsidTr="00D7176D">
        <w:trPr>
          <w:trHeight w:val="255"/>
        </w:trPr>
        <w:tc>
          <w:tcPr>
            <w:tcW w:w="5529" w:type="dxa"/>
            <w:tcBorders>
              <w:top w:val="single" w:sz="4" w:space="0" w:color="auto"/>
              <w:left w:val="nil"/>
              <w:bottom w:val="single" w:sz="4" w:space="0" w:color="auto"/>
              <w:right w:val="nil"/>
            </w:tcBorders>
            <w:shd w:val="clear" w:color="000000" w:fill="FFFFFF"/>
            <w:noWrap/>
            <w:vAlign w:val="bottom"/>
            <w:hideMark/>
          </w:tcPr>
          <w:p w14:paraId="6D606E8B" w14:textId="77777777" w:rsidR="00C069AF" w:rsidRPr="00C069AF" w:rsidRDefault="00C069AF" w:rsidP="00C069AF">
            <w:pPr>
              <w:spacing w:after="0" w:line="240" w:lineRule="auto"/>
              <w:jc w:val="left"/>
              <w:rPr>
                <w:rFonts w:eastAsia="Times New Roman" w:cs="Times New Roman"/>
                <w:b/>
                <w:bCs/>
                <w:color w:val="000000"/>
                <w:sz w:val="20"/>
                <w:lang w:eastAsia="sk-SK"/>
              </w:rPr>
            </w:pPr>
            <w:r w:rsidRPr="00C069AF">
              <w:rPr>
                <w:rFonts w:eastAsia="Times New Roman" w:cs="Times New Roman"/>
                <w:b/>
                <w:bCs/>
                <w:color w:val="000000"/>
                <w:sz w:val="20"/>
                <w:lang w:eastAsia="sk-SK"/>
              </w:rPr>
              <w:lastRenderedPageBreak/>
              <w:t>Bývanie a infraštruktúra</w:t>
            </w:r>
          </w:p>
        </w:tc>
        <w:tc>
          <w:tcPr>
            <w:tcW w:w="992" w:type="dxa"/>
            <w:tcBorders>
              <w:top w:val="single" w:sz="4" w:space="0" w:color="auto"/>
              <w:left w:val="nil"/>
              <w:bottom w:val="single" w:sz="4" w:space="0" w:color="auto"/>
              <w:right w:val="nil"/>
            </w:tcBorders>
            <w:shd w:val="clear" w:color="000000" w:fill="FFFFFF"/>
            <w:noWrap/>
            <w:vAlign w:val="bottom"/>
            <w:hideMark/>
          </w:tcPr>
          <w:p w14:paraId="277DB14D" w14:textId="3FB8549C" w:rsidR="00C069AF" w:rsidRPr="00C069AF" w:rsidRDefault="00C069AF" w:rsidP="00D3189B">
            <w:pPr>
              <w:spacing w:after="0" w:line="240" w:lineRule="auto"/>
              <w:jc w:val="right"/>
              <w:rPr>
                <w:rFonts w:eastAsia="Times New Roman" w:cs="Times New Roman"/>
                <w:b/>
                <w:bCs/>
                <w:color w:val="000000"/>
                <w:sz w:val="20"/>
                <w:lang w:eastAsia="sk-SK"/>
              </w:rPr>
            </w:pPr>
          </w:p>
        </w:tc>
        <w:tc>
          <w:tcPr>
            <w:tcW w:w="1276" w:type="dxa"/>
            <w:tcBorders>
              <w:top w:val="single" w:sz="4" w:space="0" w:color="auto"/>
              <w:left w:val="nil"/>
              <w:bottom w:val="single" w:sz="4" w:space="0" w:color="auto"/>
              <w:right w:val="nil"/>
            </w:tcBorders>
            <w:shd w:val="clear" w:color="000000" w:fill="FFFFFF"/>
            <w:noWrap/>
            <w:vAlign w:val="bottom"/>
            <w:hideMark/>
          </w:tcPr>
          <w:p w14:paraId="1C07928B" w14:textId="08FB9D04" w:rsidR="00C069AF" w:rsidRPr="00C069AF" w:rsidRDefault="001C2322">
            <w:pPr>
              <w:spacing w:after="0" w:line="240" w:lineRule="auto"/>
              <w:jc w:val="right"/>
              <w:rPr>
                <w:rFonts w:eastAsia="Times New Roman" w:cs="Times New Roman"/>
                <w:b/>
                <w:bCs/>
                <w:color w:val="000000"/>
                <w:sz w:val="20"/>
                <w:lang w:eastAsia="sk-SK"/>
              </w:rPr>
            </w:pPr>
            <w:r>
              <w:rPr>
                <w:b/>
                <w:bCs/>
                <w:color w:val="000000"/>
                <w:sz w:val="20"/>
              </w:rPr>
              <w:t>34,3</w:t>
            </w:r>
          </w:p>
        </w:tc>
        <w:tc>
          <w:tcPr>
            <w:tcW w:w="1275" w:type="dxa"/>
            <w:tcBorders>
              <w:top w:val="single" w:sz="4" w:space="0" w:color="auto"/>
              <w:left w:val="nil"/>
              <w:bottom w:val="single" w:sz="4" w:space="0" w:color="auto"/>
              <w:right w:val="nil"/>
            </w:tcBorders>
            <w:shd w:val="clear" w:color="000000" w:fill="FFFFFF"/>
            <w:noWrap/>
            <w:vAlign w:val="bottom"/>
            <w:hideMark/>
          </w:tcPr>
          <w:p w14:paraId="698DA17B" w14:textId="77777777" w:rsidR="00C069AF" w:rsidRPr="00C069AF" w:rsidRDefault="00C069AF">
            <w:pPr>
              <w:spacing w:after="0" w:line="240" w:lineRule="auto"/>
              <w:jc w:val="right"/>
              <w:rPr>
                <w:rFonts w:eastAsia="Times New Roman" w:cs="Times New Roman"/>
                <w:b/>
                <w:bCs/>
                <w:color w:val="000000"/>
                <w:sz w:val="20"/>
                <w:lang w:eastAsia="sk-SK"/>
              </w:rPr>
            </w:pPr>
            <w:r w:rsidRPr="00C069AF">
              <w:rPr>
                <w:rFonts w:eastAsia="Times New Roman" w:cs="Times New Roman"/>
                <w:b/>
                <w:bCs/>
                <w:color w:val="000000"/>
                <w:sz w:val="20"/>
                <w:lang w:eastAsia="sk-SK"/>
              </w:rPr>
              <w:t>4,3</w:t>
            </w:r>
          </w:p>
        </w:tc>
      </w:tr>
      <w:tr w:rsidR="00C069AF" w:rsidRPr="00C069AF" w14:paraId="4964F989" w14:textId="77777777" w:rsidTr="00D7176D">
        <w:trPr>
          <w:trHeight w:val="255"/>
        </w:trPr>
        <w:tc>
          <w:tcPr>
            <w:tcW w:w="5529" w:type="dxa"/>
            <w:tcBorders>
              <w:top w:val="nil"/>
              <w:left w:val="nil"/>
              <w:bottom w:val="nil"/>
              <w:right w:val="nil"/>
            </w:tcBorders>
            <w:shd w:val="clear" w:color="000000" w:fill="FFFFFF"/>
            <w:noWrap/>
            <w:vAlign w:val="bottom"/>
            <w:hideMark/>
          </w:tcPr>
          <w:p w14:paraId="2B779DBF" w14:textId="77777777" w:rsidR="00C069AF" w:rsidRPr="00C069AF" w:rsidRDefault="00C069AF" w:rsidP="00C069AF">
            <w:pPr>
              <w:spacing w:after="0" w:line="240" w:lineRule="auto"/>
              <w:jc w:val="left"/>
              <w:rPr>
                <w:rFonts w:eastAsia="Times New Roman" w:cs="Times New Roman"/>
                <w:color w:val="000000"/>
                <w:sz w:val="20"/>
                <w:lang w:eastAsia="sk-SK"/>
              </w:rPr>
            </w:pPr>
            <w:r w:rsidRPr="00C069AF">
              <w:rPr>
                <w:rFonts w:eastAsia="Times New Roman" w:cs="Times New Roman"/>
                <w:color w:val="000000"/>
                <w:sz w:val="20"/>
                <w:lang w:eastAsia="sk-SK"/>
              </w:rPr>
              <w:t>Podpora vysporiadania pozemkov v MRK</w:t>
            </w:r>
          </w:p>
        </w:tc>
        <w:tc>
          <w:tcPr>
            <w:tcW w:w="992" w:type="dxa"/>
            <w:tcBorders>
              <w:top w:val="nil"/>
              <w:left w:val="nil"/>
              <w:bottom w:val="nil"/>
              <w:right w:val="nil"/>
            </w:tcBorders>
            <w:shd w:val="clear" w:color="000000" w:fill="FFFFFF"/>
            <w:noWrap/>
            <w:vAlign w:val="bottom"/>
            <w:hideMark/>
          </w:tcPr>
          <w:p w14:paraId="26EB7770" w14:textId="67FD42DB" w:rsidR="00C069AF" w:rsidRPr="00C069AF" w:rsidRDefault="0002054A">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 xml:space="preserve">OP ĽZ </w:t>
            </w:r>
            <w:r w:rsidR="00C069AF" w:rsidRPr="00C069AF">
              <w:rPr>
                <w:rFonts w:eastAsia="Times New Roman" w:cs="Times New Roman"/>
                <w:color w:val="000000"/>
                <w:sz w:val="20"/>
                <w:lang w:eastAsia="sk-SK"/>
              </w:rPr>
              <w:t>5</w:t>
            </w:r>
          </w:p>
        </w:tc>
        <w:tc>
          <w:tcPr>
            <w:tcW w:w="1276" w:type="dxa"/>
            <w:tcBorders>
              <w:top w:val="nil"/>
              <w:left w:val="nil"/>
              <w:bottom w:val="nil"/>
              <w:right w:val="nil"/>
            </w:tcBorders>
            <w:shd w:val="clear" w:color="000000" w:fill="FFFFFF"/>
            <w:noWrap/>
            <w:vAlign w:val="bottom"/>
            <w:hideMark/>
          </w:tcPr>
          <w:p w14:paraId="3251CF5E" w14:textId="77777777" w:rsidR="00C069AF" w:rsidRPr="00C069AF" w:rsidRDefault="00C069AF">
            <w:pPr>
              <w:spacing w:after="0" w:line="240" w:lineRule="auto"/>
              <w:jc w:val="right"/>
              <w:rPr>
                <w:rFonts w:eastAsia="Times New Roman" w:cs="Times New Roman"/>
                <w:color w:val="000000"/>
                <w:sz w:val="20"/>
                <w:lang w:eastAsia="sk-SK"/>
              </w:rPr>
            </w:pPr>
            <w:r w:rsidRPr="00C069AF">
              <w:rPr>
                <w:rFonts w:eastAsia="Times New Roman" w:cs="Times New Roman"/>
                <w:color w:val="000000"/>
                <w:sz w:val="20"/>
                <w:lang w:eastAsia="sk-SK"/>
              </w:rPr>
              <w:t>2,4</w:t>
            </w:r>
          </w:p>
        </w:tc>
        <w:tc>
          <w:tcPr>
            <w:tcW w:w="1275" w:type="dxa"/>
            <w:tcBorders>
              <w:top w:val="nil"/>
              <w:left w:val="nil"/>
              <w:bottom w:val="nil"/>
              <w:right w:val="nil"/>
            </w:tcBorders>
            <w:shd w:val="clear" w:color="000000" w:fill="FFFFFF"/>
            <w:noWrap/>
            <w:vAlign w:val="bottom"/>
            <w:hideMark/>
          </w:tcPr>
          <w:p w14:paraId="078D0E29" w14:textId="77777777" w:rsidR="00C069AF" w:rsidRPr="00C069AF" w:rsidRDefault="00C069AF">
            <w:pPr>
              <w:spacing w:after="0" w:line="240" w:lineRule="auto"/>
              <w:jc w:val="right"/>
              <w:rPr>
                <w:rFonts w:eastAsia="Times New Roman" w:cs="Times New Roman"/>
                <w:color w:val="000000"/>
                <w:sz w:val="20"/>
                <w:lang w:eastAsia="sk-SK"/>
              </w:rPr>
            </w:pPr>
            <w:r w:rsidRPr="00C069AF">
              <w:rPr>
                <w:rFonts w:eastAsia="Times New Roman" w:cs="Times New Roman"/>
                <w:color w:val="000000"/>
                <w:sz w:val="20"/>
                <w:lang w:eastAsia="sk-SK"/>
              </w:rPr>
              <w:t>0,1</w:t>
            </w:r>
          </w:p>
        </w:tc>
      </w:tr>
      <w:tr w:rsidR="00C069AF" w:rsidRPr="00C069AF" w14:paraId="35F15804" w14:textId="77777777" w:rsidTr="00D7176D">
        <w:trPr>
          <w:trHeight w:val="255"/>
        </w:trPr>
        <w:tc>
          <w:tcPr>
            <w:tcW w:w="5529" w:type="dxa"/>
            <w:tcBorders>
              <w:top w:val="nil"/>
              <w:left w:val="nil"/>
              <w:bottom w:val="nil"/>
              <w:right w:val="nil"/>
            </w:tcBorders>
            <w:shd w:val="clear" w:color="000000" w:fill="FFFFFF"/>
            <w:noWrap/>
            <w:vAlign w:val="bottom"/>
            <w:hideMark/>
          </w:tcPr>
          <w:p w14:paraId="41C5D0EA" w14:textId="77777777" w:rsidR="00C069AF" w:rsidRPr="00C069AF" w:rsidRDefault="00C069AF" w:rsidP="00C069AF">
            <w:pPr>
              <w:spacing w:after="0" w:line="240" w:lineRule="auto"/>
              <w:jc w:val="left"/>
              <w:rPr>
                <w:rFonts w:eastAsia="Times New Roman" w:cs="Times New Roman"/>
                <w:color w:val="000000"/>
                <w:sz w:val="20"/>
                <w:lang w:eastAsia="sk-SK"/>
              </w:rPr>
            </w:pPr>
            <w:r w:rsidRPr="00C069AF">
              <w:rPr>
                <w:rFonts w:eastAsia="Times New Roman" w:cs="Times New Roman"/>
                <w:color w:val="000000"/>
                <w:sz w:val="20"/>
                <w:lang w:eastAsia="sk-SK"/>
              </w:rPr>
              <w:t>Budovanie systému triedeného zberu a odvozu komunálneho odpadu</w:t>
            </w:r>
          </w:p>
        </w:tc>
        <w:tc>
          <w:tcPr>
            <w:tcW w:w="992" w:type="dxa"/>
            <w:tcBorders>
              <w:top w:val="nil"/>
              <w:left w:val="nil"/>
              <w:bottom w:val="nil"/>
              <w:right w:val="nil"/>
            </w:tcBorders>
            <w:shd w:val="clear" w:color="000000" w:fill="FFFFFF"/>
            <w:noWrap/>
            <w:vAlign w:val="bottom"/>
            <w:hideMark/>
          </w:tcPr>
          <w:p w14:paraId="5CEC7A2C" w14:textId="79FABE45" w:rsidR="00C069AF" w:rsidRPr="00C069AF" w:rsidRDefault="0002054A">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 xml:space="preserve">OP ĽZ </w:t>
            </w:r>
            <w:r w:rsidR="00C069AF" w:rsidRPr="00C069AF">
              <w:rPr>
                <w:rFonts w:eastAsia="Times New Roman" w:cs="Times New Roman"/>
                <w:color w:val="000000"/>
                <w:sz w:val="20"/>
                <w:lang w:eastAsia="sk-SK"/>
              </w:rPr>
              <w:t>6</w:t>
            </w:r>
          </w:p>
        </w:tc>
        <w:tc>
          <w:tcPr>
            <w:tcW w:w="1276" w:type="dxa"/>
            <w:tcBorders>
              <w:top w:val="nil"/>
              <w:left w:val="nil"/>
              <w:bottom w:val="nil"/>
              <w:right w:val="nil"/>
            </w:tcBorders>
            <w:shd w:val="clear" w:color="000000" w:fill="FFFFFF"/>
            <w:noWrap/>
            <w:vAlign w:val="bottom"/>
            <w:hideMark/>
          </w:tcPr>
          <w:p w14:paraId="7717C9AA" w14:textId="77777777" w:rsidR="00C069AF" w:rsidRPr="00C069AF" w:rsidRDefault="00C069AF">
            <w:pPr>
              <w:spacing w:after="0" w:line="240" w:lineRule="auto"/>
              <w:jc w:val="right"/>
              <w:rPr>
                <w:rFonts w:eastAsia="Times New Roman" w:cs="Times New Roman"/>
                <w:color w:val="000000"/>
                <w:sz w:val="20"/>
                <w:lang w:eastAsia="sk-SK"/>
              </w:rPr>
            </w:pPr>
            <w:r w:rsidRPr="00C069AF">
              <w:rPr>
                <w:rFonts w:eastAsia="Times New Roman" w:cs="Times New Roman"/>
                <w:color w:val="000000"/>
                <w:sz w:val="20"/>
                <w:lang w:eastAsia="sk-SK"/>
              </w:rPr>
              <w:t>15,8</w:t>
            </w:r>
          </w:p>
        </w:tc>
        <w:tc>
          <w:tcPr>
            <w:tcW w:w="1275" w:type="dxa"/>
            <w:tcBorders>
              <w:top w:val="nil"/>
              <w:left w:val="nil"/>
              <w:bottom w:val="nil"/>
              <w:right w:val="nil"/>
            </w:tcBorders>
            <w:shd w:val="clear" w:color="000000" w:fill="FFFFFF"/>
            <w:noWrap/>
            <w:vAlign w:val="bottom"/>
            <w:hideMark/>
          </w:tcPr>
          <w:p w14:paraId="66A07D3C" w14:textId="77777777" w:rsidR="00C069AF" w:rsidRPr="00C069AF" w:rsidRDefault="00C069AF">
            <w:pPr>
              <w:spacing w:after="0" w:line="240" w:lineRule="auto"/>
              <w:jc w:val="right"/>
              <w:rPr>
                <w:rFonts w:eastAsia="Times New Roman" w:cs="Times New Roman"/>
                <w:color w:val="000000"/>
                <w:sz w:val="20"/>
                <w:lang w:eastAsia="sk-SK"/>
              </w:rPr>
            </w:pPr>
            <w:r w:rsidRPr="00C069AF">
              <w:rPr>
                <w:rFonts w:eastAsia="Times New Roman" w:cs="Times New Roman"/>
                <w:color w:val="000000"/>
                <w:sz w:val="20"/>
                <w:lang w:eastAsia="sk-SK"/>
              </w:rPr>
              <w:t>3,9</w:t>
            </w:r>
          </w:p>
        </w:tc>
      </w:tr>
      <w:tr w:rsidR="00C069AF" w:rsidRPr="00C069AF" w14:paraId="07980AB8" w14:textId="77777777" w:rsidTr="00D7176D">
        <w:trPr>
          <w:trHeight w:val="255"/>
        </w:trPr>
        <w:tc>
          <w:tcPr>
            <w:tcW w:w="5529" w:type="dxa"/>
            <w:tcBorders>
              <w:top w:val="nil"/>
              <w:left w:val="nil"/>
              <w:bottom w:val="nil"/>
              <w:right w:val="nil"/>
            </w:tcBorders>
            <w:shd w:val="clear" w:color="000000" w:fill="FFFFFF"/>
            <w:noWrap/>
            <w:vAlign w:val="bottom"/>
            <w:hideMark/>
          </w:tcPr>
          <w:p w14:paraId="06CA568A" w14:textId="77777777" w:rsidR="00C069AF" w:rsidRPr="00C069AF" w:rsidRDefault="00C069AF" w:rsidP="00C069AF">
            <w:pPr>
              <w:spacing w:after="0" w:line="240" w:lineRule="auto"/>
              <w:jc w:val="left"/>
              <w:rPr>
                <w:rFonts w:eastAsia="Times New Roman" w:cs="Times New Roman"/>
                <w:color w:val="000000"/>
                <w:sz w:val="20"/>
                <w:lang w:eastAsia="sk-SK"/>
              </w:rPr>
            </w:pPr>
            <w:r w:rsidRPr="00C069AF">
              <w:rPr>
                <w:rFonts w:eastAsia="Times New Roman" w:cs="Times New Roman"/>
                <w:color w:val="000000"/>
                <w:sz w:val="20"/>
                <w:lang w:eastAsia="sk-SK"/>
              </w:rPr>
              <w:t>Podpora prístupu k pitnej vode v prostredí MRK</w:t>
            </w:r>
          </w:p>
        </w:tc>
        <w:tc>
          <w:tcPr>
            <w:tcW w:w="992" w:type="dxa"/>
            <w:tcBorders>
              <w:top w:val="nil"/>
              <w:left w:val="nil"/>
              <w:bottom w:val="nil"/>
              <w:right w:val="nil"/>
            </w:tcBorders>
            <w:shd w:val="clear" w:color="000000" w:fill="FFFFFF"/>
            <w:noWrap/>
            <w:vAlign w:val="bottom"/>
            <w:hideMark/>
          </w:tcPr>
          <w:p w14:paraId="1B66B1BE" w14:textId="236260CB" w:rsidR="00C069AF" w:rsidRPr="00C069AF" w:rsidRDefault="0002054A">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 xml:space="preserve">OP ĽZ </w:t>
            </w:r>
            <w:r w:rsidR="00C069AF" w:rsidRPr="00C069AF">
              <w:rPr>
                <w:rFonts w:eastAsia="Times New Roman" w:cs="Times New Roman"/>
                <w:color w:val="000000"/>
                <w:sz w:val="20"/>
                <w:lang w:eastAsia="sk-SK"/>
              </w:rPr>
              <w:t>6</w:t>
            </w:r>
          </w:p>
        </w:tc>
        <w:tc>
          <w:tcPr>
            <w:tcW w:w="1276" w:type="dxa"/>
            <w:tcBorders>
              <w:top w:val="nil"/>
              <w:left w:val="nil"/>
              <w:bottom w:val="nil"/>
              <w:right w:val="nil"/>
            </w:tcBorders>
            <w:shd w:val="clear" w:color="000000" w:fill="FFFFFF"/>
            <w:noWrap/>
            <w:vAlign w:val="bottom"/>
            <w:hideMark/>
          </w:tcPr>
          <w:p w14:paraId="4DBD960C" w14:textId="77777777" w:rsidR="00C069AF" w:rsidRPr="00C069AF" w:rsidRDefault="00C069AF">
            <w:pPr>
              <w:spacing w:after="0" w:line="240" w:lineRule="auto"/>
              <w:jc w:val="right"/>
              <w:rPr>
                <w:rFonts w:eastAsia="Times New Roman" w:cs="Times New Roman"/>
                <w:color w:val="000000"/>
                <w:sz w:val="20"/>
                <w:lang w:eastAsia="sk-SK"/>
              </w:rPr>
            </w:pPr>
            <w:r w:rsidRPr="00C069AF">
              <w:rPr>
                <w:rFonts w:eastAsia="Times New Roman" w:cs="Times New Roman"/>
                <w:color w:val="000000"/>
                <w:sz w:val="20"/>
                <w:lang w:eastAsia="sk-SK"/>
              </w:rPr>
              <w:t>2,5</w:t>
            </w:r>
          </w:p>
        </w:tc>
        <w:tc>
          <w:tcPr>
            <w:tcW w:w="1275" w:type="dxa"/>
            <w:tcBorders>
              <w:top w:val="nil"/>
              <w:left w:val="nil"/>
              <w:bottom w:val="nil"/>
              <w:right w:val="nil"/>
            </w:tcBorders>
            <w:shd w:val="clear" w:color="000000" w:fill="FFFFFF"/>
            <w:noWrap/>
            <w:vAlign w:val="bottom"/>
            <w:hideMark/>
          </w:tcPr>
          <w:p w14:paraId="7D3223E5" w14:textId="77777777" w:rsidR="00C069AF" w:rsidRPr="00C069AF" w:rsidRDefault="00C069AF">
            <w:pPr>
              <w:spacing w:after="0" w:line="240" w:lineRule="auto"/>
              <w:jc w:val="right"/>
              <w:rPr>
                <w:rFonts w:eastAsia="Times New Roman" w:cs="Times New Roman"/>
                <w:color w:val="000000"/>
                <w:sz w:val="20"/>
                <w:lang w:eastAsia="sk-SK"/>
              </w:rPr>
            </w:pPr>
            <w:r w:rsidRPr="00C069AF">
              <w:rPr>
                <w:rFonts w:eastAsia="Times New Roman" w:cs="Times New Roman"/>
                <w:color w:val="000000"/>
                <w:sz w:val="20"/>
                <w:lang w:eastAsia="sk-SK"/>
              </w:rPr>
              <w:t>0,3</w:t>
            </w:r>
          </w:p>
        </w:tc>
      </w:tr>
      <w:tr w:rsidR="00C069AF" w:rsidRPr="00C069AF" w14:paraId="131C8321" w14:textId="77777777" w:rsidTr="00D7176D">
        <w:trPr>
          <w:trHeight w:val="255"/>
        </w:trPr>
        <w:tc>
          <w:tcPr>
            <w:tcW w:w="5529" w:type="dxa"/>
            <w:tcBorders>
              <w:top w:val="nil"/>
              <w:left w:val="nil"/>
              <w:bottom w:val="nil"/>
              <w:right w:val="nil"/>
            </w:tcBorders>
            <w:shd w:val="clear" w:color="000000" w:fill="FFFFFF"/>
            <w:noWrap/>
            <w:vAlign w:val="bottom"/>
            <w:hideMark/>
          </w:tcPr>
          <w:p w14:paraId="6EDFF880" w14:textId="77777777" w:rsidR="00C069AF" w:rsidRPr="00C069AF" w:rsidRDefault="00C069AF" w:rsidP="00C069AF">
            <w:pPr>
              <w:spacing w:after="0" w:line="240" w:lineRule="auto"/>
              <w:jc w:val="left"/>
              <w:rPr>
                <w:rFonts w:eastAsia="Times New Roman" w:cs="Times New Roman"/>
                <w:color w:val="000000"/>
                <w:sz w:val="20"/>
                <w:lang w:eastAsia="sk-SK"/>
              </w:rPr>
            </w:pPr>
            <w:r w:rsidRPr="00C069AF">
              <w:rPr>
                <w:rFonts w:eastAsia="Times New Roman" w:cs="Times New Roman"/>
                <w:color w:val="000000"/>
                <w:sz w:val="20"/>
                <w:lang w:eastAsia="sk-SK"/>
              </w:rPr>
              <w:t>Zlepšené formy bývania s prvkami prestupného bývania v obciach s MRK</w:t>
            </w:r>
          </w:p>
        </w:tc>
        <w:tc>
          <w:tcPr>
            <w:tcW w:w="992" w:type="dxa"/>
            <w:tcBorders>
              <w:top w:val="nil"/>
              <w:left w:val="nil"/>
              <w:bottom w:val="nil"/>
              <w:right w:val="nil"/>
            </w:tcBorders>
            <w:shd w:val="clear" w:color="000000" w:fill="FFFFFF"/>
            <w:noWrap/>
            <w:vAlign w:val="bottom"/>
            <w:hideMark/>
          </w:tcPr>
          <w:p w14:paraId="214D4787" w14:textId="10280BD0" w:rsidR="00C069AF" w:rsidRPr="00C069AF" w:rsidRDefault="0002054A">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 xml:space="preserve">OP ĽZ </w:t>
            </w:r>
            <w:r w:rsidR="00C069AF" w:rsidRPr="00C069AF">
              <w:rPr>
                <w:rFonts w:eastAsia="Times New Roman" w:cs="Times New Roman"/>
                <w:color w:val="000000"/>
                <w:sz w:val="20"/>
                <w:lang w:eastAsia="sk-SK"/>
              </w:rPr>
              <w:t>6</w:t>
            </w:r>
          </w:p>
        </w:tc>
        <w:tc>
          <w:tcPr>
            <w:tcW w:w="1276" w:type="dxa"/>
            <w:tcBorders>
              <w:top w:val="nil"/>
              <w:left w:val="nil"/>
              <w:bottom w:val="nil"/>
              <w:right w:val="nil"/>
            </w:tcBorders>
            <w:shd w:val="clear" w:color="000000" w:fill="FFFFFF"/>
            <w:noWrap/>
            <w:vAlign w:val="bottom"/>
            <w:hideMark/>
          </w:tcPr>
          <w:p w14:paraId="2CBDD7CB" w14:textId="77777777" w:rsidR="00C069AF" w:rsidRPr="00C069AF" w:rsidRDefault="00C069AF">
            <w:pPr>
              <w:spacing w:after="0" w:line="240" w:lineRule="auto"/>
              <w:jc w:val="right"/>
              <w:rPr>
                <w:rFonts w:eastAsia="Times New Roman" w:cs="Times New Roman"/>
                <w:color w:val="000000"/>
                <w:sz w:val="20"/>
                <w:lang w:eastAsia="sk-SK"/>
              </w:rPr>
            </w:pPr>
            <w:r w:rsidRPr="00C069AF">
              <w:rPr>
                <w:rFonts w:eastAsia="Times New Roman" w:cs="Times New Roman"/>
                <w:color w:val="000000"/>
                <w:sz w:val="20"/>
                <w:lang w:eastAsia="sk-SK"/>
              </w:rPr>
              <w:t>0,0</w:t>
            </w:r>
          </w:p>
        </w:tc>
        <w:tc>
          <w:tcPr>
            <w:tcW w:w="1275" w:type="dxa"/>
            <w:tcBorders>
              <w:top w:val="nil"/>
              <w:left w:val="nil"/>
              <w:bottom w:val="nil"/>
              <w:right w:val="nil"/>
            </w:tcBorders>
            <w:shd w:val="clear" w:color="000000" w:fill="FFFFFF"/>
            <w:noWrap/>
            <w:vAlign w:val="bottom"/>
            <w:hideMark/>
          </w:tcPr>
          <w:p w14:paraId="0A0C40BF" w14:textId="77777777" w:rsidR="00C069AF" w:rsidRPr="00C069AF" w:rsidRDefault="00C069AF">
            <w:pPr>
              <w:spacing w:after="0" w:line="240" w:lineRule="auto"/>
              <w:jc w:val="right"/>
              <w:rPr>
                <w:rFonts w:eastAsia="Times New Roman" w:cs="Times New Roman"/>
                <w:color w:val="000000"/>
                <w:sz w:val="20"/>
                <w:lang w:eastAsia="sk-SK"/>
              </w:rPr>
            </w:pPr>
            <w:r w:rsidRPr="00C069AF">
              <w:rPr>
                <w:rFonts w:eastAsia="Times New Roman" w:cs="Times New Roman"/>
                <w:color w:val="000000"/>
                <w:sz w:val="20"/>
                <w:lang w:eastAsia="sk-SK"/>
              </w:rPr>
              <w:t>0,0</w:t>
            </w:r>
          </w:p>
        </w:tc>
      </w:tr>
      <w:tr w:rsidR="00C069AF" w:rsidRPr="00C069AF" w14:paraId="15FD5541" w14:textId="77777777" w:rsidTr="00D7176D">
        <w:trPr>
          <w:trHeight w:val="255"/>
        </w:trPr>
        <w:tc>
          <w:tcPr>
            <w:tcW w:w="5529" w:type="dxa"/>
            <w:tcBorders>
              <w:top w:val="nil"/>
              <w:left w:val="nil"/>
              <w:bottom w:val="nil"/>
              <w:right w:val="nil"/>
            </w:tcBorders>
            <w:shd w:val="clear" w:color="000000" w:fill="FFFFFF"/>
            <w:noWrap/>
            <w:vAlign w:val="bottom"/>
            <w:hideMark/>
          </w:tcPr>
          <w:p w14:paraId="47DF551E" w14:textId="13E163EE" w:rsidR="00C069AF" w:rsidRPr="00C069AF" w:rsidRDefault="00B6077C" w:rsidP="00C069AF">
            <w:pPr>
              <w:spacing w:after="0" w:line="240" w:lineRule="auto"/>
              <w:jc w:val="left"/>
              <w:rPr>
                <w:rFonts w:eastAsia="Times New Roman" w:cs="Times New Roman"/>
                <w:color w:val="000000"/>
                <w:sz w:val="20"/>
                <w:lang w:eastAsia="sk-SK"/>
              </w:rPr>
            </w:pPr>
            <w:r w:rsidRPr="00B6077C">
              <w:rPr>
                <w:rFonts w:eastAsia="Times New Roman" w:cs="Times New Roman"/>
                <w:color w:val="000000"/>
                <w:sz w:val="20"/>
                <w:lang w:eastAsia="sk-SK"/>
              </w:rPr>
              <w:t>Finančné nástroje (podpora svojpomocnej výstavby)</w:t>
            </w:r>
          </w:p>
        </w:tc>
        <w:tc>
          <w:tcPr>
            <w:tcW w:w="992" w:type="dxa"/>
            <w:tcBorders>
              <w:top w:val="nil"/>
              <w:left w:val="nil"/>
              <w:bottom w:val="nil"/>
              <w:right w:val="nil"/>
            </w:tcBorders>
            <w:shd w:val="clear" w:color="000000" w:fill="FFFFFF"/>
            <w:noWrap/>
            <w:vAlign w:val="bottom"/>
            <w:hideMark/>
          </w:tcPr>
          <w:p w14:paraId="5DD1285A" w14:textId="6B59E9A6" w:rsidR="00C069AF" w:rsidRPr="00C069AF" w:rsidRDefault="0002054A">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 xml:space="preserve">OP ĽZ </w:t>
            </w:r>
            <w:r w:rsidR="00C069AF" w:rsidRPr="00C069AF">
              <w:rPr>
                <w:rFonts w:eastAsia="Times New Roman" w:cs="Times New Roman"/>
                <w:color w:val="000000"/>
                <w:sz w:val="20"/>
                <w:lang w:eastAsia="sk-SK"/>
              </w:rPr>
              <w:t>6</w:t>
            </w:r>
          </w:p>
        </w:tc>
        <w:tc>
          <w:tcPr>
            <w:tcW w:w="1276" w:type="dxa"/>
            <w:tcBorders>
              <w:top w:val="nil"/>
              <w:left w:val="nil"/>
              <w:bottom w:val="nil"/>
              <w:right w:val="nil"/>
            </w:tcBorders>
            <w:shd w:val="clear" w:color="000000" w:fill="FFFFFF"/>
            <w:noWrap/>
            <w:vAlign w:val="bottom"/>
            <w:hideMark/>
          </w:tcPr>
          <w:p w14:paraId="3C05F756" w14:textId="77777777" w:rsidR="00C069AF" w:rsidRPr="00C069AF" w:rsidRDefault="00C069AF">
            <w:pPr>
              <w:spacing w:after="0" w:line="240" w:lineRule="auto"/>
              <w:jc w:val="right"/>
              <w:rPr>
                <w:rFonts w:eastAsia="Times New Roman" w:cs="Times New Roman"/>
                <w:color w:val="000000"/>
                <w:sz w:val="20"/>
                <w:lang w:eastAsia="sk-SK"/>
              </w:rPr>
            </w:pPr>
            <w:r w:rsidRPr="00C069AF">
              <w:rPr>
                <w:rFonts w:eastAsia="Times New Roman" w:cs="Times New Roman"/>
                <w:color w:val="000000"/>
                <w:sz w:val="20"/>
                <w:lang w:eastAsia="sk-SK"/>
              </w:rPr>
              <w:t>13,6</w:t>
            </w:r>
          </w:p>
        </w:tc>
        <w:tc>
          <w:tcPr>
            <w:tcW w:w="1275" w:type="dxa"/>
            <w:tcBorders>
              <w:top w:val="nil"/>
              <w:left w:val="nil"/>
              <w:bottom w:val="nil"/>
              <w:right w:val="nil"/>
            </w:tcBorders>
            <w:shd w:val="clear" w:color="000000" w:fill="FFFFFF"/>
            <w:noWrap/>
            <w:vAlign w:val="bottom"/>
            <w:hideMark/>
          </w:tcPr>
          <w:p w14:paraId="4BEE74A2" w14:textId="77777777" w:rsidR="00C069AF" w:rsidRPr="00C069AF" w:rsidRDefault="00C069AF">
            <w:pPr>
              <w:spacing w:after="0" w:line="240" w:lineRule="auto"/>
              <w:jc w:val="right"/>
              <w:rPr>
                <w:rFonts w:eastAsia="Times New Roman" w:cs="Times New Roman"/>
                <w:color w:val="000000"/>
                <w:sz w:val="20"/>
                <w:lang w:eastAsia="sk-SK"/>
              </w:rPr>
            </w:pPr>
            <w:r w:rsidRPr="00C069AF">
              <w:rPr>
                <w:rFonts w:eastAsia="Times New Roman" w:cs="Times New Roman"/>
                <w:color w:val="000000"/>
                <w:sz w:val="20"/>
                <w:lang w:eastAsia="sk-SK"/>
              </w:rPr>
              <w:t>0,0</w:t>
            </w:r>
          </w:p>
        </w:tc>
      </w:tr>
      <w:tr w:rsidR="00C069AF" w:rsidRPr="00C069AF" w14:paraId="58DF2B10" w14:textId="77777777" w:rsidTr="00D7176D">
        <w:trPr>
          <w:trHeight w:val="255"/>
        </w:trPr>
        <w:tc>
          <w:tcPr>
            <w:tcW w:w="5529" w:type="dxa"/>
            <w:tcBorders>
              <w:top w:val="single" w:sz="4" w:space="0" w:color="auto"/>
              <w:left w:val="nil"/>
              <w:bottom w:val="single" w:sz="4" w:space="0" w:color="auto"/>
              <w:right w:val="nil"/>
            </w:tcBorders>
            <w:shd w:val="clear" w:color="000000" w:fill="FFFFFF"/>
            <w:noWrap/>
            <w:vAlign w:val="bottom"/>
            <w:hideMark/>
          </w:tcPr>
          <w:p w14:paraId="32BC4F65" w14:textId="77777777" w:rsidR="00C069AF" w:rsidRPr="00C069AF" w:rsidRDefault="00C069AF" w:rsidP="00C069AF">
            <w:pPr>
              <w:spacing w:after="0" w:line="240" w:lineRule="auto"/>
              <w:jc w:val="left"/>
              <w:rPr>
                <w:rFonts w:eastAsia="Times New Roman" w:cs="Times New Roman"/>
                <w:b/>
                <w:bCs/>
                <w:color w:val="000000"/>
                <w:sz w:val="20"/>
                <w:lang w:eastAsia="sk-SK"/>
              </w:rPr>
            </w:pPr>
            <w:r w:rsidRPr="00C069AF">
              <w:rPr>
                <w:rFonts w:eastAsia="Times New Roman" w:cs="Times New Roman"/>
                <w:b/>
                <w:bCs/>
                <w:color w:val="000000"/>
                <w:sz w:val="20"/>
                <w:lang w:eastAsia="sk-SK"/>
              </w:rPr>
              <w:t>Zdravotníctvo</w:t>
            </w:r>
          </w:p>
        </w:tc>
        <w:tc>
          <w:tcPr>
            <w:tcW w:w="992" w:type="dxa"/>
            <w:tcBorders>
              <w:top w:val="single" w:sz="4" w:space="0" w:color="auto"/>
              <w:left w:val="nil"/>
              <w:bottom w:val="single" w:sz="4" w:space="0" w:color="auto"/>
              <w:right w:val="nil"/>
            </w:tcBorders>
            <w:shd w:val="clear" w:color="000000" w:fill="FFFFFF"/>
            <w:noWrap/>
            <w:vAlign w:val="bottom"/>
            <w:hideMark/>
          </w:tcPr>
          <w:p w14:paraId="7D3E92AE" w14:textId="1D92C003" w:rsidR="00C069AF" w:rsidRPr="00C069AF" w:rsidRDefault="00C069AF" w:rsidP="00D3189B">
            <w:pPr>
              <w:spacing w:after="0" w:line="240" w:lineRule="auto"/>
              <w:jc w:val="right"/>
              <w:rPr>
                <w:rFonts w:eastAsia="Times New Roman" w:cs="Times New Roman"/>
                <w:b/>
                <w:bCs/>
                <w:color w:val="000000"/>
                <w:sz w:val="20"/>
                <w:lang w:eastAsia="sk-SK"/>
              </w:rPr>
            </w:pPr>
          </w:p>
        </w:tc>
        <w:tc>
          <w:tcPr>
            <w:tcW w:w="1276" w:type="dxa"/>
            <w:tcBorders>
              <w:top w:val="single" w:sz="4" w:space="0" w:color="auto"/>
              <w:left w:val="nil"/>
              <w:bottom w:val="single" w:sz="4" w:space="0" w:color="auto"/>
              <w:right w:val="nil"/>
            </w:tcBorders>
            <w:shd w:val="clear" w:color="000000" w:fill="FFFFFF"/>
            <w:noWrap/>
            <w:vAlign w:val="bottom"/>
            <w:hideMark/>
          </w:tcPr>
          <w:p w14:paraId="648E17DE" w14:textId="37C36969" w:rsidR="00C069AF" w:rsidRPr="00C069AF" w:rsidRDefault="001C2322">
            <w:pPr>
              <w:spacing w:after="0" w:line="240" w:lineRule="auto"/>
              <w:jc w:val="right"/>
              <w:rPr>
                <w:rFonts w:eastAsia="Times New Roman" w:cs="Times New Roman"/>
                <w:b/>
                <w:bCs/>
                <w:color w:val="000000"/>
                <w:sz w:val="20"/>
                <w:lang w:eastAsia="sk-SK"/>
              </w:rPr>
            </w:pPr>
            <w:r>
              <w:rPr>
                <w:b/>
                <w:bCs/>
                <w:color w:val="000000"/>
                <w:sz w:val="20"/>
              </w:rPr>
              <w:t>11,6</w:t>
            </w:r>
          </w:p>
        </w:tc>
        <w:tc>
          <w:tcPr>
            <w:tcW w:w="1275" w:type="dxa"/>
            <w:tcBorders>
              <w:top w:val="single" w:sz="4" w:space="0" w:color="auto"/>
              <w:left w:val="nil"/>
              <w:bottom w:val="single" w:sz="4" w:space="0" w:color="auto"/>
              <w:right w:val="nil"/>
            </w:tcBorders>
            <w:shd w:val="clear" w:color="000000" w:fill="FFFFFF"/>
            <w:noWrap/>
            <w:vAlign w:val="bottom"/>
            <w:hideMark/>
          </w:tcPr>
          <w:p w14:paraId="3A3686D3" w14:textId="77777777" w:rsidR="00C069AF" w:rsidRPr="00C069AF" w:rsidRDefault="00C069AF">
            <w:pPr>
              <w:spacing w:after="0" w:line="240" w:lineRule="auto"/>
              <w:jc w:val="right"/>
              <w:rPr>
                <w:rFonts w:eastAsia="Times New Roman" w:cs="Times New Roman"/>
                <w:b/>
                <w:bCs/>
                <w:color w:val="000000"/>
                <w:sz w:val="20"/>
                <w:lang w:eastAsia="sk-SK"/>
              </w:rPr>
            </w:pPr>
            <w:r w:rsidRPr="00C069AF">
              <w:rPr>
                <w:rFonts w:eastAsia="Times New Roman" w:cs="Times New Roman"/>
                <w:b/>
                <w:bCs/>
                <w:color w:val="000000"/>
                <w:sz w:val="20"/>
                <w:lang w:eastAsia="sk-SK"/>
              </w:rPr>
              <w:t>3,3</w:t>
            </w:r>
          </w:p>
        </w:tc>
      </w:tr>
      <w:tr w:rsidR="00C069AF" w:rsidRPr="00C069AF" w14:paraId="6C3910F2" w14:textId="77777777" w:rsidTr="00D7176D">
        <w:trPr>
          <w:trHeight w:val="255"/>
        </w:trPr>
        <w:tc>
          <w:tcPr>
            <w:tcW w:w="5529" w:type="dxa"/>
            <w:tcBorders>
              <w:top w:val="nil"/>
              <w:left w:val="nil"/>
              <w:bottom w:val="nil"/>
              <w:right w:val="nil"/>
            </w:tcBorders>
            <w:shd w:val="clear" w:color="000000" w:fill="FFFFFF"/>
            <w:noWrap/>
            <w:vAlign w:val="bottom"/>
            <w:hideMark/>
          </w:tcPr>
          <w:p w14:paraId="0483D98F" w14:textId="77777777" w:rsidR="00C069AF" w:rsidRPr="00C069AF" w:rsidRDefault="00C069AF" w:rsidP="00C069AF">
            <w:pPr>
              <w:spacing w:after="0" w:line="240" w:lineRule="auto"/>
              <w:jc w:val="left"/>
              <w:rPr>
                <w:rFonts w:eastAsia="Times New Roman" w:cs="Times New Roman"/>
                <w:color w:val="000000"/>
                <w:sz w:val="20"/>
                <w:lang w:eastAsia="sk-SK"/>
              </w:rPr>
            </w:pPr>
            <w:r w:rsidRPr="00C069AF">
              <w:rPr>
                <w:rFonts w:eastAsia="Times New Roman" w:cs="Times New Roman"/>
                <w:color w:val="000000"/>
                <w:sz w:val="20"/>
                <w:lang w:eastAsia="sk-SK"/>
              </w:rPr>
              <w:t>Zdravé komunity 2A</w:t>
            </w:r>
          </w:p>
        </w:tc>
        <w:tc>
          <w:tcPr>
            <w:tcW w:w="992" w:type="dxa"/>
            <w:tcBorders>
              <w:top w:val="nil"/>
              <w:left w:val="nil"/>
              <w:bottom w:val="nil"/>
              <w:right w:val="nil"/>
            </w:tcBorders>
            <w:shd w:val="clear" w:color="000000" w:fill="FFFFFF"/>
            <w:noWrap/>
            <w:vAlign w:val="bottom"/>
            <w:hideMark/>
          </w:tcPr>
          <w:p w14:paraId="513E0722" w14:textId="73658342" w:rsidR="00C069AF" w:rsidRPr="00C069AF" w:rsidRDefault="0002054A">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 xml:space="preserve">OP ĽZ </w:t>
            </w:r>
            <w:r w:rsidR="00C069AF" w:rsidRPr="00C069AF">
              <w:rPr>
                <w:rFonts w:eastAsia="Times New Roman" w:cs="Times New Roman"/>
                <w:color w:val="000000"/>
                <w:sz w:val="20"/>
                <w:lang w:eastAsia="sk-SK"/>
              </w:rPr>
              <w:t>5</w:t>
            </w:r>
          </w:p>
        </w:tc>
        <w:tc>
          <w:tcPr>
            <w:tcW w:w="1276" w:type="dxa"/>
            <w:tcBorders>
              <w:top w:val="nil"/>
              <w:left w:val="nil"/>
              <w:bottom w:val="nil"/>
              <w:right w:val="nil"/>
            </w:tcBorders>
            <w:shd w:val="clear" w:color="000000" w:fill="FFFFFF"/>
            <w:noWrap/>
            <w:vAlign w:val="bottom"/>
            <w:hideMark/>
          </w:tcPr>
          <w:p w14:paraId="53A4886E" w14:textId="77777777" w:rsidR="00C069AF" w:rsidRPr="00C069AF" w:rsidRDefault="00C069AF">
            <w:pPr>
              <w:spacing w:after="0" w:line="240" w:lineRule="auto"/>
              <w:jc w:val="right"/>
              <w:rPr>
                <w:rFonts w:eastAsia="Times New Roman" w:cs="Times New Roman"/>
                <w:color w:val="000000"/>
                <w:sz w:val="20"/>
                <w:lang w:eastAsia="sk-SK"/>
              </w:rPr>
            </w:pPr>
            <w:r w:rsidRPr="00C069AF">
              <w:rPr>
                <w:rFonts w:eastAsia="Times New Roman" w:cs="Times New Roman"/>
                <w:color w:val="000000"/>
                <w:sz w:val="20"/>
                <w:lang w:eastAsia="sk-SK"/>
              </w:rPr>
              <w:t>11,3</w:t>
            </w:r>
          </w:p>
        </w:tc>
        <w:tc>
          <w:tcPr>
            <w:tcW w:w="1275" w:type="dxa"/>
            <w:tcBorders>
              <w:top w:val="nil"/>
              <w:left w:val="nil"/>
              <w:bottom w:val="nil"/>
              <w:right w:val="nil"/>
            </w:tcBorders>
            <w:shd w:val="clear" w:color="000000" w:fill="FFFFFF"/>
            <w:noWrap/>
            <w:vAlign w:val="bottom"/>
            <w:hideMark/>
          </w:tcPr>
          <w:p w14:paraId="6A12BF12" w14:textId="77777777" w:rsidR="00C069AF" w:rsidRPr="00C069AF" w:rsidRDefault="00C069AF">
            <w:pPr>
              <w:spacing w:after="0" w:line="240" w:lineRule="auto"/>
              <w:jc w:val="right"/>
              <w:rPr>
                <w:rFonts w:eastAsia="Times New Roman" w:cs="Times New Roman"/>
                <w:color w:val="000000"/>
                <w:sz w:val="20"/>
                <w:lang w:eastAsia="sk-SK"/>
              </w:rPr>
            </w:pPr>
            <w:r w:rsidRPr="00C069AF">
              <w:rPr>
                <w:rFonts w:eastAsia="Times New Roman" w:cs="Times New Roman"/>
                <w:color w:val="000000"/>
                <w:sz w:val="20"/>
                <w:lang w:eastAsia="sk-SK"/>
              </w:rPr>
              <w:t>3,2</w:t>
            </w:r>
          </w:p>
        </w:tc>
      </w:tr>
      <w:tr w:rsidR="00C069AF" w:rsidRPr="00C069AF" w14:paraId="6C58844B" w14:textId="77777777" w:rsidTr="00D7176D">
        <w:trPr>
          <w:trHeight w:val="255"/>
        </w:trPr>
        <w:tc>
          <w:tcPr>
            <w:tcW w:w="5529" w:type="dxa"/>
            <w:tcBorders>
              <w:top w:val="nil"/>
              <w:left w:val="nil"/>
              <w:bottom w:val="nil"/>
              <w:right w:val="nil"/>
            </w:tcBorders>
            <w:shd w:val="clear" w:color="000000" w:fill="FFFFFF"/>
            <w:noWrap/>
            <w:vAlign w:val="bottom"/>
            <w:hideMark/>
          </w:tcPr>
          <w:p w14:paraId="644BF3F8" w14:textId="77777777" w:rsidR="00C069AF" w:rsidRPr="00C069AF" w:rsidRDefault="00C069AF" w:rsidP="00C069AF">
            <w:pPr>
              <w:spacing w:after="0" w:line="240" w:lineRule="auto"/>
              <w:jc w:val="left"/>
              <w:rPr>
                <w:rFonts w:eastAsia="Times New Roman" w:cs="Times New Roman"/>
                <w:color w:val="000000"/>
                <w:sz w:val="20"/>
                <w:lang w:eastAsia="sk-SK"/>
              </w:rPr>
            </w:pPr>
            <w:r w:rsidRPr="00C069AF">
              <w:rPr>
                <w:rFonts w:eastAsia="Times New Roman" w:cs="Times New Roman"/>
                <w:color w:val="000000"/>
                <w:sz w:val="20"/>
                <w:lang w:eastAsia="sk-SK"/>
              </w:rPr>
              <w:t>Zdravé komunity 3A</w:t>
            </w:r>
          </w:p>
        </w:tc>
        <w:tc>
          <w:tcPr>
            <w:tcW w:w="992" w:type="dxa"/>
            <w:tcBorders>
              <w:top w:val="nil"/>
              <w:left w:val="nil"/>
              <w:bottom w:val="nil"/>
              <w:right w:val="nil"/>
            </w:tcBorders>
            <w:shd w:val="clear" w:color="000000" w:fill="FFFFFF"/>
            <w:noWrap/>
            <w:vAlign w:val="bottom"/>
            <w:hideMark/>
          </w:tcPr>
          <w:p w14:paraId="50DB6C33" w14:textId="186961DB" w:rsidR="00C069AF" w:rsidRPr="00C069AF" w:rsidRDefault="0002054A">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 xml:space="preserve">OP ĽZ </w:t>
            </w:r>
            <w:r w:rsidR="00C069AF" w:rsidRPr="00C069AF">
              <w:rPr>
                <w:rFonts w:eastAsia="Times New Roman" w:cs="Times New Roman"/>
                <w:color w:val="000000"/>
                <w:sz w:val="20"/>
                <w:lang w:eastAsia="sk-SK"/>
              </w:rPr>
              <w:t>4</w:t>
            </w:r>
          </w:p>
        </w:tc>
        <w:tc>
          <w:tcPr>
            <w:tcW w:w="1276" w:type="dxa"/>
            <w:tcBorders>
              <w:top w:val="nil"/>
              <w:left w:val="nil"/>
              <w:bottom w:val="nil"/>
              <w:right w:val="nil"/>
            </w:tcBorders>
            <w:shd w:val="clear" w:color="000000" w:fill="FFFFFF"/>
            <w:noWrap/>
            <w:vAlign w:val="bottom"/>
            <w:hideMark/>
          </w:tcPr>
          <w:p w14:paraId="0CD2CB14" w14:textId="77777777" w:rsidR="00C069AF" w:rsidRPr="00C069AF" w:rsidRDefault="00C069AF">
            <w:pPr>
              <w:spacing w:after="0" w:line="240" w:lineRule="auto"/>
              <w:jc w:val="right"/>
              <w:rPr>
                <w:rFonts w:eastAsia="Times New Roman" w:cs="Times New Roman"/>
                <w:color w:val="000000"/>
                <w:sz w:val="20"/>
                <w:lang w:eastAsia="sk-SK"/>
              </w:rPr>
            </w:pPr>
            <w:r w:rsidRPr="00C069AF">
              <w:rPr>
                <w:rFonts w:eastAsia="Times New Roman" w:cs="Times New Roman"/>
                <w:color w:val="000000"/>
                <w:sz w:val="20"/>
                <w:lang w:eastAsia="sk-SK"/>
              </w:rPr>
              <w:t>0,3</w:t>
            </w:r>
          </w:p>
        </w:tc>
        <w:tc>
          <w:tcPr>
            <w:tcW w:w="1275" w:type="dxa"/>
            <w:tcBorders>
              <w:top w:val="nil"/>
              <w:left w:val="nil"/>
              <w:bottom w:val="nil"/>
              <w:right w:val="nil"/>
            </w:tcBorders>
            <w:shd w:val="clear" w:color="000000" w:fill="FFFFFF"/>
            <w:noWrap/>
            <w:vAlign w:val="bottom"/>
            <w:hideMark/>
          </w:tcPr>
          <w:p w14:paraId="0DC57CFC" w14:textId="77777777" w:rsidR="00C069AF" w:rsidRPr="00C069AF" w:rsidRDefault="00C069AF">
            <w:pPr>
              <w:spacing w:after="0" w:line="240" w:lineRule="auto"/>
              <w:jc w:val="right"/>
              <w:rPr>
                <w:rFonts w:eastAsia="Times New Roman" w:cs="Times New Roman"/>
                <w:color w:val="000000"/>
                <w:sz w:val="20"/>
                <w:lang w:eastAsia="sk-SK"/>
              </w:rPr>
            </w:pPr>
            <w:r w:rsidRPr="00C069AF">
              <w:rPr>
                <w:rFonts w:eastAsia="Times New Roman" w:cs="Times New Roman"/>
                <w:color w:val="000000"/>
                <w:sz w:val="20"/>
                <w:lang w:eastAsia="sk-SK"/>
              </w:rPr>
              <w:t>0,0</w:t>
            </w:r>
          </w:p>
        </w:tc>
      </w:tr>
      <w:tr w:rsidR="00C069AF" w:rsidRPr="00C069AF" w14:paraId="11B62AEB" w14:textId="77777777" w:rsidTr="00D7176D">
        <w:trPr>
          <w:trHeight w:val="255"/>
        </w:trPr>
        <w:tc>
          <w:tcPr>
            <w:tcW w:w="5529" w:type="dxa"/>
            <w:tcBorders>
              <w:top w:val="single" w:sz="4" w:space="0" w:color="auto"/>
              <w:left w:val="nil"/>
              <w:bottom w:val="single" w:sz="4" w:space="0" w:color="auto"/>
              <w:right w:val="nil"/>
            </w:tcBorders>
            <w:shd w:val="clear" w:color="000000" w:fill="FFFFFF"/>
            <w:noWrap/>
            <w:vAlign w:val="bottom"/>
            <w:hideMark/>
          </w:tcPr>
          <w:p w14:paraId="1AD82CA8" w14:textId="5EFBFA25" w:rsidR="00C069AF" w:rsidRPr="00C069AF" w:rsidRDefault="00C61133" w:rsidP="00C069AF">
            <w:pPr>
              <w:spacing w:after="0" w:line="240" w:lineRule="auto"/>
              <w:jc w:val="left"/>
              <w:rPr>
                <w:rFonts w:eastAsia="Times New Roman" w:cs="Times New Roman"/>
                <w:b/>
                <w:bCs/>
                <w:color w:val="000000"/>
                <w:sz w:val="20"/>
                <w:lang w:eastAsia="sk-SK"/>
              </w:rPr>
            </w:pPr>
            <w:r>
              <w:rPr>
                <w:rFonts w:eastAsia="Times New Roman" w:cs="Times New Roman"/>
                <w:b/>
                <w:bCs/>
                <w:color w:val="000000"/>
                <w:sz w:val="20"/>
                <w:lang w:eastAsia="sk-SK"/>
              </w:rPr>
              <w:t>Ostatné</w:t>
            </w:r>
          </w:p>
        </w:tc>
        <w:tc>
          <w:tcPr>
            <w:tcW w:w="992" w:type="dxa"/>
            <w:tcBorders>
              <w:top w:val="single" w:sz="4" w:space="0" w:color="auto"/>
              <w:left w:val="nil"/>
              <w:bottom w:val="single" w:sz="4" w:space="0" w:color="auto"/>
              <w:right w:val="nil"/>
            </w:tcBorders>
            <w:shd w:val="clear" w:color="000000" w:fill="FFFFFF"/>
            <w:noWrap/>
            <w:vAlign w:val="bottom"/>
            <w:hideMark/>
          </w:tcPr>
          <w:p w14:paraId="7235E2CC" w14:textId="21DCF6AD" w:rsidR="00C069AF" w:rsidRPr="00C069AF" w:rsidRDefault="00C069AF" w:rsidP="00D3189B">
            <w:pPr>
              <w:spacing w:after="0" w:line="240" w:lineRule="auto"/>
              <w:jc w:val="right"/>
              <w:rPr>
                <w:rFonts w:eastAsia="Times New Roman" w:cs="Times New Roman"/>
                <w:b/>
                <w:bCs/>
                <w:color w:val="000000"/>
                <w:sz w:val="20"/>
                <w:lang w:eastAsia="sk-SK"/>
              </w:rPr>
            </w:pPr>
          </w:p>
        </w:tc>
        <w:tc>
          <w:tcPr>
            <w:tcW w:w="1276" w:type="dxa"/>
            <w:tcBorders>
              <w:top w:val="single" w:sz="4" w:space="0" w:color="auto"/>
              <w:left w:val="nil"/>
              <w:bottom w:val="single" w:sz="4" w:space="0" w:color="auto"/>
              <w:right w:val="nil"/>
            </w:tcBorders>
            <w:shd w:val="clear" w:color="000000" w:fill="FFFFFF"/>
            <w:noWrap/>
            <w:vAlign w:val="bottom"/>
            <w:hideMark/>
          </w:tcPr>
          <w:p w14:paraId="184AAE0A" w14:textId="77777777" w:rsidR="00C069AF" w:rsidRPr="00C069AF" w:rsidRDefault="00C069AF">
            <w:pPr>
              <w:spacing w:after="0" w:line="240" w:lineRule="auto"/>
              <w:jc w:val="right"/>
              <w:rPr>
                <w:rFonts w:eastAsia="Times New Roman" w:cs="Times New Roman"/>
                <w:b/>
                <w:bCs/>
                <w:color w:val="000000"/>
                <w:sz w:val="20"/>
                <w:lang w:eastAsia="sk-SK"/>
              </w:rPr>
            </w:pPr>
            <w:r w:rsidRPr="00C069AF">
              <w:rPr>
                <w:rFonts w:eastAsia="Times New Roman" w:cs="Times New Roman"/>
                <w:b/>
                <w:bCs/>
                <w:color w:val="000000"/>
                <w:sz w:val="20"/>
                <w:lang w:eastAsia="sk-SK"/>
              </w:rPr>
              <w:t>20,1</w:t>
            </w:r>
          </w:p>
        </w:tc>
        <w:tc>
          <w:tcPr>
            <w:tcW w:w="1275" w:type="dxa"/>
            <w:tcBorders>
              <w:top w:val="single" w:sz="4" w:space="0" w:color="auto"/>
              <w:left w:val="nil"/>
              <w:bottom w:val="single" w:sz="4" w:space="0" w:color="auto"/>
              <w:right w:val="nil"/>
            </w:tcBorders>
            <w:shd w:val="clear" w:color="000000" w:fill="FFFFFF"/>
            <w:noWrap/>
            <w:vAlign w:val="bottom"/>
            <w:hideMark/>
          </w:tcPr>
          <w:p w14:paraId="040367EA" w14:textId="77777777" w:rsidR="00C069AF" w:rsidRPr="00C069AF" w:rsidRDefault="00C069AF">
            <w:pPr>
              <w:spacing w:after="0" w:line="240" w:lineRule="auto"/>
              <w:jc w:val="right"/>
              <w:rPr>
                <w:rFonts w:eastAsia="Times New Roman" w:cs="Times New Roman"/>
                <w:b/>
                <w:bCs/>
                <w:color w:val="000000"/>
                <w:sz w:val="20"/>
                <w:lang w:eastAsia="sk-SK"/>
              </w:rPr>
            </w:pPr>
            <w:r w:rsidRPr="00C069AF">
              <w:rPr>
                <w:rFonts w:eastAsia="Times New Roman" w:cs="Times New Roman"/>
                <w:b/>
                <w:bCs/>
                <w:color w:val="000000"/>
                <w:sz w:val="20"/>
                <w:lang w:eastAsia="sk-SK"/>
              </w:rPr>
              <w:t>5,3</w:t>
            </w:r>
          </w:p>
        </w:tc>
      </w:tr>
      <w:tr w:rsidR="00C069AF" w:rsidRPr="00C069AF" w14:paraId="0FCF0983" w14:textId="77777777" w:rsidTr="00D7176D">
        <w:trPr>
          <w:trHeight w:val="255"/>
        </w:trPr>
        <w:tc>
          <w:tcPr>
            <w:tcW w:w="5529" w:type="dxa"/>
            <w:tcBorders>
              <w:top w:val="nil"/>
              <w:left w:val="nil"/>
              <w:bottom w:val="nil"/>
              <w:right w:val="nil"/>
            </w:tcBorders>
            <w:shd w:val="clear" w:color="000000" w:fill="FFFFFF"/>
            <w:noWrap/>
            <w:vAlign w:val="bottom"/>
            <w:hideMark/>
          </w:tcPr>
          <w:p w14:paraId="1499219C" w14:textId="77777777" w:rsidR="00C069AF" w:rsidRPr="00C069AF" w:rsidRDefault="00C069AF" w:rsidP="00C069AF">
            <w:pPr>
              <w:spacing w:after="0" w:line="240" w:lineRule="auto"/>
              <w:jc w:val="left"/>
              <w:rPr>
                <w:rFonts w:eastAsia="Times New Roman" w:cs="Times New Roman"/>
                <w:color w:val="000000"/>
                <w:sz w:val="20"/>
                <w:lang w:eastAsia="sk-SK"/>
              </w:rPr>
            </w:pPr>
            <w:r w:rsidRPr="00C069AF">
              <w:rPr>
                <w:rFonts w:eastAsia="Times New Roman" w:cs="Times New Roman"/>
                <w:color w:val="000000"/>
                <w:sz w:val="20"/>
                <w:lang w:eastAsia="sk-SK"/>
              </w:rPr>
              <w:t>Podpora MOPS v obciach s prítomnosťou MRK</w:t>
            </w:r>
          </w:p>
        </w:tc>
        <w:tc>
          <w:tcPr>
            <w:tcW w:w="992" w:type="dxa"/>
            <w:tcBorders>
              <w:top w:val="nil"/>
              <w:left w:val="nil"/>
              <w:bottom w:val="nil"/>
              <w:right w:val="nil"/>
            </w:tcBorders>
            <w:shd w:val="clear" w:color="000000" w:fill="FFFFFF"/>
            <w:noWrap/>
            <w:vAlign w:val="bottom"/>
            <w:hideMark/>
          </w:tcPr>
          <w:p w14:paraId="51AB25E7" w14:textId="1DDBD12C" w:rsidR="00C069AF" w:rsidRPr="00C069AF" w:rsidRDefault="0002054A">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 xml:space="preserve">OP ĽZ </w:t>
            </w:r>
            <w:r w:rsidR="00C069AF" w:rsidRPr="00C069AF">
              <w:rPr>
                <w:rFonts w:eastAsia="Times New Roman" w:cs="Times New Roman"/>
                <w:color w:val="000000"/>
                <w:sz w:val="20"/>
                <w:lang w:eastAsia="sk-SK"/>
              </w:rPr>
              <w:t>5</w:t>
            </w:r>
          </w:p>
        </w:tc>
        <w:tc>
          <w:tcPr>
            <w:tcW w:w="1276" w:type="dxa"/>
            <w:tcBorders>
              <w:top w:val="nil"/>
              <w:left w:val="nil"/>
              <w:bottom w:val="nil"/>
              <w:right w:val="nil"/>
            </w:tcBorders>
            <w:shd w:val="clear" w:color="000000" w:fill="FFFFFF"/>
            <w:noWrap/>
            <w:vAlign w:val="bottom"/>
            <w:hideMark/>
          </w:tcPr>
          <w:p w14:paraId="2DD9ECA8" w14:textId="77777777" w:rsidR="00C069AF" w:rsidRPr="00C069AF" w:rsidRDefault="00C069AF">
            <w:pPr>
              <w:spacing w:after="0" w:line="240" w:lineRule="auto"/>
              <w:jc w:val="right"/>
              <w:rPr>
                <w:rFonts w:eastAsia="Times New Roman" w:cs="Times New Roman"/>
                <w:color w:val="000000"/>
                <w:sz w:val="20"/>
                <w:lang w:eastAsia="sk-SK"/>
              </w:rPr>
            </w:pPr>
            <w:r w:rsidRPr="00C069AF">
              <w:rPr>
                <w:rFonts w:eastAsia="Times New Roman" w:cs="Times New Roman"/>
                <w:color w:val="000000"/>
                <w:sz w:val="20"/>
                <w:lang w:eastAsia="sk-SK"/>
              </w:rPr>
              <w:t>20,1</w:t>
            </w:r>
          </w:p>
        </w:tc>
        <w:tc>
          <w:tcPr>
            <w:tcW w:w="1275" w:type="dxa"/>
            <w:tcBorders>
              <w:top w:val="nil"/>
              <w:left w:val="nil"/>
              <w:bottom w:val="nil"/>
              <w:right w:val="nil"/>
            </w:tcBorders>
            <w:shd w:val="clear" w:color="000000" w:fill="FFFFFF"/>
            <w:noWrap/>
            <w:vAlign w:val="bottom"/>
            <w:hideMark/>
          </w:tcPr>
          <w:p w14:paraId="1C58A56D" w14:textId="77777777" w:rsidR="00C069AF" w:rsidRPr="00C069AF" w:rsidRDefault="00C069AF">
            <w:pPr>
              <w:spacing w:after="0" w:line="240" w:lineRule="auto"/>
              <w:jc w:val="right"/>
              <w:rPr>
                <w:rFonts w:eastAsia="Times New Roman" w:cs="Times New Roman"/>
                <w:color w:val="000000"/>
                <w:sz w:val="20"/>
                <w:lang w:eastAsia="sk-SK"/>
              </w:rPr>
            </w:pPr>
            <w:r w:rsidRPr="00C069AF">
              <w:rPr>
                <w:rFonts w:eastAsia="Times New Roman" w:cs="Times New Roman"/>
                <w:color w:val="000000"/>
                <w:sz w:val="20"/>
                <w:lang w:eastAsia="sk-SK"/>
              </w:rPr>
              <w:t>5,3</w:t>
            </w:r>
          </w:p>
        </w:tc>
      </w:tr>
      <w:tr w:rsidR="001C2322" w:rsidRPr="00C069AF" w14:paraId="0DD34353" w14:textId="77777777" w:rsidTr="00D7176D">
        <w:trPr>
          <w:trHeight w:val="255"/>
        </w:trPr>
        <w:tc>
          <w:tcPr>
            <w:tcW w:w="5529" w:type="dxa"/>
            <w:tcBorders>
              <w:top w:val="single" w:sz="4" w:space="0" w:color="auto"/>
              <w:left w:val="nil"/>
              <w:bottom w:val="single" w:sz="4" w:space="0" w:color="auto"/>
              <w:right w:val="nil"/>
            </w:tcBorders>
            <w:shd w:val="clear" w:color="000000" w:fill="FFFFFF"/>
            <w:noWrap/>
            <w:vAlign w:val="bottom"/>
            <w:hideMark/>
          </w:tcPr>
          <w:p w14:paraId="14ACA1F0" w14:textId="77777777" w:rsidR="001C2322" w:rsidRPr="00C069AF" w:rsidRDefault="001C2322" w:rsidP="001C2322">
            <w:pPr>
              <w:spacing w:after="0" w:line="240" w:lineRule="auto"/>
              <w:jc w:val="left"/>
              <w:rPr>
                <w:rFonts w:eastAsia="Times New Roman" w:cs="Times New Roman"/>
                <w:b/>
                <w:bCs/>
                <w:color w:val="000000"/>
                <w:sz w:val="20"/>
                <w:lang w:eastAsia="sk-SK"/>
              </w:rPr>
            </w:pPr>
            <w:r w:rsidRPr="00C069AF">
              <w:rPr>
                <w:rFonts w:eastAsia="Times New Roman" w:cs="Times New Roman"/>
                <w:b/>
                <w:bCs/>
                <w:color w:val="000000"/>
                <w:sz w:val="20"/>
                <w:lang w:eastAsia="sk-SK"/>
              </w:rPr>
              <w:t>Spolu zdroje EŠIF a spolufinancovanie</w:t>
            </w:r>
          </w:p>
        </w:tc>
        <w:tc>
          <w:tcPr>
            <w:tcW w:w="992" w:type="dxa"/>
            <w:tcBorders>
              <w:top w:val="single" w:sz="4" w:space="0" w:color="auto"/>
              <w:left w:val="nil"/>
              <w:bottom w:val="single" w:sz="4" w:space="0" w:color="auto"/>
              <w:right w:val="nil"/>
            </w:tcBorders>
            <w:shd w:val="clear" w:color="000000" w:fill="FFFFFF"/>
            <w:noWrap/>
            <w:vAlign w:val="bottom"/>
            <w:hideMark/>
          </w:tcPr>
          <w:p w14:paraId="3DCD2245" w14:textId="34F01E8B" w:rsidR="001C2322" w:rsidRPr="00C069AF" w:rsidRDefault="001C2322" w:rsidP="001C2322">
            <w:pPr>
              <w:spacing w:after="0" w:line="240" w:lineRule="auto"/>
              <w:jc w:val="right"/>
              <w:rPr>
                <w:rFonts w:eastAsia="Times New Roman" w:cs="Times New Roman"/>
                <w:b/>
                <w:bCs/>
                <w:color w:val="000000"/>
                <w:sz w:val="20"/>
                <w:lang w:eastAsia="sk-SK"/>
              </w:rPr>
            </w:pPr>
          </w:p>
        </w:tc>
        <w:tc>
          <w:tcPr>
            <w:tcW w:w="1276" w:type="dxa"/>
            <w:tcBorders>
              <w:top w:val="single" w:sz="4" w:space="0" w:color="auto"/>
              <w:left w:val="nil"/>
              <w:bottom w:val="single" w:sz="4" w:space="0" w:color="auto"/>
              <w:right w:val="nil"/>
            </w:tcBorders>
            <w:shd w:val="clear" w:color="000000" w:fill="FFFFFF"/>
            <w:noWrap/>
            <w:vAlign w:val="bottom"/>
            <w:hideMark/>
          </w:tcPr>
          <w:p w14:paraId="01A87FBF" w14:textId="16B94651" w:rsidR="001C2322" w:rsidRPr="00C069AF" w:rsidRDefault="001C2322" w:rsidP="001C2322">
            <w:pPr>
              <w:spacing w:after="0" w:line="240" w:lineRule="auto"/>
              <w:jc w:val="right"/>
              <w:rPr>
                <w:rFonts w:eastAsia="Times New Roman" w:cs="Times New Roman"/>
                <w:b/>
                <w:bCs/>
                <w:color w:val="000000"/>
                <w:sz w:val="20"/>
                <w:lang w:eastAsia="sk-SK"/>
              </w:rPr>
            </w:pPr>
            <w:r>
              <w:rPr>
                <w:b/>
                <w:bCs/>
                <w:color w:val="000000"/>
                <w:sz w:val="20"/>
              </w:rPr>
              <w:t>1 545,6</w:t>
            </w:r>
          </w:p>
        </w:tc>
        <w:tc>
          <w:tcPr>
            <w:tcW w:w="1275" w:type="dxa"/>
            <w:tcBorders>
              <w:top w:val="single" w:sz="4" w:space="0" w:color="auto"/>
              <w:left w:val="nil"/>
              <w:bottom w:val="single" w:sz="4" w:space="0" w:color="auto"/>
              <w:right w:val="nil"/>
            </w:tcBorders>
            <w:shd w:val="clear" w:color="000000" w:fill="FFFFFF"/>
            <w:noWrap/>
            <w:vAlign w:val="bottom"/>
            <w:hideMark/>
          </w:tcPr>
          <w:p w14:paraId="38396B39" w14:textId="5CCB4DF7" w:rsidR="001C2322" w:rsidRPr="00C069AF" w:rsidRDefault="001C2322" w:rsidP="001C2322">
            <w:pPr>
              <w:spacing w:after="0" w:line="240" w:lineRule="auto"/>
              <w:jc w:val="right"/>
              <w:rPr>
                <w:rFonts w:eastAsia="Times New Roman" w:cs="Times New Roman"/>
                <w:b/>
                <w:bCs/>
                <w:color w:val="000000"/>
                <w:sz w:val="20"/>
                <w:lang w:eastAsia="sk-SK"/>
              </w:rPr>
            </w:pPr>
            <w:r>
              <w:rPr>
                <w:b/>
                <w:bCs/>
                <w:color w:val="000000"/>
                <w:sz w:val="20"/>
              </w:rPr>
              <w:t>265,0</w:t>
            </w:r>
          </w:p>
        </w:tc>
      </w:tr>
      <w:tr w:rsidR="00C069AF" w:rsidRPr="00C069AF" w14:paraId="01EB8057" w14:textId="77777777" w:rsidTr="00D3189B">
        <w:trPr>
          <w:trHeight w:val="255"/>
        </w:trPr>
        <w:tc>
          <w:tcPr>
            <w:tcW w:w="9072" w:type="dxa"/>
            <w:gridSpan w:val="4"/>
            <w:tcBorders>
              <w:top w:val="single" w:sz="4" w:space="0" w:color="auto"/>
              <w:left w:val="nil"/>
              <w:bottom w:val="nil"/>
              <w:right w:val="nil"/>
            </w:tcBorders>
            <w:shd w:val="clear" w:color="000000" w:fill="FFFFFF"/>
            <w:noWrap/>
            <w:vAlign w:val="bottom"/>
            <w:hideMark/>
          </w:tcPr>
          <w:p w14:paraId="6A25C27C" w14:textId="250E0340" w:rsidR="00C069AF" w:rsidRDefault="00C069AF" w:rsidP="00C069AF">
            <w:pPr>
              <w:spacing w:after="0" w:line="240" w:lineRule="auto"/>
              <w:jc w:val="right"/>
              <w:rPr>
                <w:rFonts w:eastAsia="Times New Roman" w:cs="Times New Roman"/>
                <w:i/>
                <w:color w:val="000000"/>
                <w:sz w:val="18"/>
                <w:szCs w:val="18"/>
                <w:lang w:eastAsia="sk-SK"/>
              </w:rPr>
            </w:pPr>
            <w:r w:rsidRPr="00D3189B">
              <w:rPr>
                <w:rFonts w:eastAsia="Times New Roman" w:cs="Times New Roman"/>
                <w:i/>
                <w:color w:val="000000"/>
                <w:sz w:val="18"/>
                <w:szCs w:val="18"/>
                <w:lang w:eastAsia="sk-SK"/>
              </w:rPr>
              <w:t xml:space="preserve">Zdroj: </w:t>
            </w:r>
            <w:r w:rsidR="004A7D45">
              <w:rPr>
                <w:rFonts w:eastAsia="Times New Roman" w:cs="Times New Roman"/>
                <w:i/>
                <w:color w:val="000000"/>
                <w:sz w:val="18"/>
                <w:szCs w:val="18"/>
                <w:lang w:eastAsia="sk-SK"/>
              </w:rPr>
              <w:t xml:space="preserve">ÚHP na základe údajov </w:t>
            </w:r>
            <w:r w:rsidRPr="00D3189B">
              <w:rPr>
                <w:rFonts w:eastAsia="Times New Roman" w:cs="Times New Roman"/>
                <w:i/>
                <w:color w:val="000000"/>
                <w:sz w:val="18"/>
                <w:szCs w:val="18"/>
                <w:lang w:eastAsia="sk-SK"/>
              </w:rPr>
              <w:t>MŠVVŠ, MPSVR, MV</w:t>
            </w:r>
          </w:p>
          <w:p w14:paraId="7CCA8F61" w14:textId="3AFD6EDE" w:rsidR="00C069AF" w:rsidRPr="00D3189B" w:rsidRDefault="00C069AF" w:rsidP="00773905">
            <w:pPr>
              <w:spacing w:after="0" w:line="240" w:lineRule="auto"/>
              <w:rPr>
                <w:rFonts w:eastAsia="Times New Roman" w:cs="Times New Roman"/>
                <w:i/>
                <w:color w:val="000000"/>
                <w:sz w:val="18"/>
                <w:szCs w:val="18"/>
                <w:lang w:eastAsia="sk-SK"/>
              </w:rPr>
            </w:pPr>
            <w:r w:rsidRPr="00C069AF">
              <w:rPr>
                <w:rFonts w:eastAsia="Times New Roman" w:cs="Times New Roman"/>
                <w:i/>
                <w:color w:val="000000"/>
                <w:sz w:val="18"/>
                <w:szCs w:val="18"/>
                <w:lang w:eastAsia="sk-SK"/>
              </w:rPr>
              <w:t xml:space="preserve">Poznámka: </w:t>
            </w:r>
            <w:r w:rsidR="0002054A">
              <w:rPr>
                <w:rFonts w:eastAsia="Times New Roman" w:cs="Times New Roman"/>
                <w:i/>
                <w:color w:val="000000"/>
                <w:sz w:val="18"/>
                <w:szCs w:val="18"/>
                <w:lang w:eastAsia="sk-SK"/>
              </w:rPr>
              <w:t xml:space="preserve">OP označuje operačný program a </w:t>
            </w:r>
            <w:r w:rsidRPr="00C069AF">
              <w:rPr>
                <w:rFonts w:eastAsia="Times New Roman" w:cs="Times New Roman"/>
                <w:i/>
                <w:color w:val="000000"/>
                <w:sz w:val="18"/>
                <w:szCs w:val="18"/>
                <w:lang w:eastAsia="sk-SK"/>
              </w:rPr>
              <w:t>PO označuje prioritnú os, ARK označuje Atlas rómskych komunít, AOTP označuje aktívne opatrenia trhu práce. MRK označuje marginalizované rómske komunity. MOPS označuje miestne občianske poriadkové služby. UoZ označuje uchádzačov o zamestnanie.</w:t>
            </w:r>
          </w:p>
        </w:tc>
      </w:tr>
    </w:tbl>
    <w:p w14:paraId="510747BA" w14:textId="1E9602E9" w:rsidR="000B2526" w:rsidRPr="00CA2564" w:rsidRDefault="000B2526" w:rsidP="00D3189B">
      <w:pPr>
        <w:pStyle w:val="Bezriadkovania"/>
        <w:spacing w:before="240" w:after="240" w:line="259" w:lineRule="auto"/>
        <w:jc w:val="both"/>
        <w:rPr>
          <w:rFonts w:ascii="Arial Narrow" w:hAnsi="Arial Narrow"/>
          <w:color w:val="0070C0"/>
        </w:rPr>
      </w:pPr>
      <w:r>
        <w:rPr>
          <w:rFonts w:ascii="Arial Narrow" w:hAnsi="Arial Narrow"/>
          <w:color w:val="0070C0"/>
        </w:rPr>
        <w:t>Výdavky na sociálnu inklúziu MRK zo zdrojov EŠIF</w:t>
      </w:r>
    </w:p>
    <w:p w14:paraId="4DD59D8F" w14:textId="7027008D" w:rsidR="000B2526" w:rsidRDefault="000B2526" w:rsidP="00D3189B">
      <w:r w:rsidRPr="00503AAC">
        <w:rPr>
          <w:b/>
        </w:rPr>
        <w:t>Na sociálnu inklúziu MRK sa explicitne zameriava</w:t>
      </w:r>
      <w:r>
        <w:rPr>
          <w:b/>
        </w:rPr>
        <w:t>jú dve prioritné osi (5 a 6)</w:t>
      </w:r>
      <w:r w:rsidRPr="00503AAC">
        <w:rPr>
          <w:b/>
        </w:rPr>
        <w:t xml:space="preserve"> Operačn</w:t>
      </w:r>
      <w:r>
        <w:rPr>
          <w:b/>
        </w:rPr>
        <w:t>ého</w:t>
      </w:r>
      <w:r w:rsidRPr="00503AAC">
        <w:rPr>
          <w:b/>
        </w:rPr>
        <w:t xml:space="preserve"> program</w:t>
      </w:r>
      <w:r>
        <w:rPr>
          <w:b/>
        </w:rPr>
        <w:t>u</w:t>
      </w:r>
      <w:r w:rsidRPr="00503AAC">
        <w:rPr>
          <w:b/>
        </w:rPr>
        <w:t xml:space="preserve"> Ľudské zdroje</w:t>
      </w:r>
      <w:r w:rsidR="005176B1">
        <w:rPr>
          <w:b/>
        </w:rPr>
        <w:t xml:space="preserve"> (OP ĽZ)</w:t>
      </w:r>
      <w:r w:rsidRPr="00503AAC">
        <w:rPr>
          <w:b/>
        </w:rPr>
        <w:t>.</w:t>
      </w:r>
      <w:r>
        <w:t xml:space="preserve"> Hlavným cieľom je systematicky integrovať politiky a nástroje v oblasti zdravia, bývania, vzdelávania, zamestnanosti a finančnej </w:t>
      </w:r>
      <w:r w:rsidR="00746EAB">
        <w:t>gramotnosti</w:t>
      </w:r>
      <w:r>
        <w:t xml:space="preserve"> v súlade s princípmi</w:t>
      </w:r>
      <w:r w:rsidR="0070047D">
        <w:t xml:space="preserve"> </w:t>
      </w:r>
      <w:r w:rsidRPr="007620C0">
        <w:t>desegregácie, degetoizácie a</w:t>
      </w:r>
      <w:r>
        <w:t> </w:t>
      </w:r>
      <w:r w:rsidRPr="007620C0">
        <w:t>destigmatizácie</w:t>
      </w:r>
      <w:r>
        <w:t xml:space="preserve">. Prioritná os 5 (Integrácia marginalizovaných rómskych komunít) cieli predovšetkým zvyšovanie kvality života ľudí z prostredia MRK prostredníctvom poradenstva a pomoci pri otázkach zdravia a zdravotnej starostlivosti, pri vstupe na pracovný trh, riešení osobných financií, bývania a vzdelávania. </w:t>
      </w:r>
      <w:r>
        <w:rPr>
          <w:noProof/>
          <w:lang w:eastAsia="sk-SK"/>
        </w:rPr>
        <w:t>Prioritná os 6 (Technická vybavenosť v obciach s prítomnosťou MRK) pomáha pri zabezpečení kvality prostredia, v ktorom ľudia z prostredia MRK žijú predovšetkým prostredníctvom investícií do infraštruktúry.</w:t>
      </w:r>
    </w:p>
    <w:p w14:paraId="1D8E4421" w14:textId="38694BB8" w:rsidR="007F5ED8" w:rsidRDefault="00D82C41" w:rsidP="00D3189B">
      <w:r>
        <w:rPr>
          <w:b/>
        </w:rPr>
        <w:t xml:space="preserve">Alokovaná suma pre prioritnú os 5 predstavuje </w:t>
      </w:r>
      <w:r w:rsidRPr="00E96A51">
        <w:rPr>
          <w:b/>
        </w:rPr>
        <w:t>139</w:t>
      </w:r>
      <w:r>
        <w:rPr>
          <w:b/>
        </w:rPr>
        <w:t>,</w:t>
      </w:r>
      <w:r w:rsidRPr="00A4116A">
        <w:rPr>
          <w:b/>
        </w:rPr>
        <w:t>0 miliónov eur (6 % prostriedkov OP ĽZ), pre prioritnú os 6 je to 243,7 miliónov eur (</w:t>
      </w:r>
      <w:r w:rsidRPr="00A4116A">
        <w:rPr>
          <w:b/>
          <w:noProof/>
          <w:lang w:eastAsia="sk-SK"/>
        </w:rPr>
        <w:t xml:space="preserve">11 % </w:t>
      </w:r>
      <w:r w:rsidRPr="00A4116A">
        <w:rPr>
          <w:b/>
        </w:rPr>
        <w:t>prostriedkov OP ĽZ).</w:t>
      </w:r>
      <w:r w:rsidR="00A4116A" w:rsidRPr="00D41517">
        <w:rPr>
          <w:rStyle w:val="Odkaznapoznmkupodiarou"/>
          <w:b/>
          <w:noProof/>
          <w:lang w:eastAsia="sk-SK"/>
        </w:rPr>
        <w:footnoteReference w:id="32"/>
      </w:r>
      <w:r w:rsidR="00A4116A" w:rsidRPr="00A4116A">
        <w:rPr>
          <w:b/>
        </w:rPr>
        <w:t xml:space="preserve"> </w:t>
      </w:r>
      <w:r w:rsidR="00746EAB" w:rsidRPr="00A4116A">
        <w:rPr>
          <w:b/>
        </w:rPr>
        <w:t>Kým kontrahovanie</w:t>
      </w:r>
      <w:r w:rsidR="00746EAB" w:rsidRPr="00774303">
        <w:rPr>
          <w:b/>
        </w:rPr>
        <w:t xml:space="preserve"> prostriedkov </w:t>
      </w:r>
      <w:r w:rsidR="00746EAB">
        <w:rPr>
          <w:b/>
        </w:rPr>
        <w:t xml:space="preserve">v rámci PO 5 </w:t>
      </w:r>
      <w:r w:rsidR="00746EAB" w:rsidRPr="00774303">
        <w:rPr>
          <w:b/>
        </w:rPr>
        <w:t xml:space="preserve">prevyšuje </w:t>
      </w:r>
      <w:r w:rsidR="00D74072" w:rsidRPr="00D74072">
        <w:rPr>
          <w:b/>
        </w:rPr>
        <w:t xml:space="preserve">finančný </w:t>
      </w:r>
      <w:r w:rsidR="00746EAB" w:rsidRPr="00D74072">
        <w:rPr>
          <w:b/>
        </w:rPr>
        <w:t>plán</w:t>
      </w:r>
      <w:r w:rsidR="00D74072" w:rsidRPr="00D3189B">
        <w:rPr>
          <w:b/>
        </w:rPr>
        <w:t xml:space="preserve"> OP ĽZ</w:t>
      </w:r>
      <w:r w:rsidR="00D74072">
        <w:rPr>
          <w:b/>
        </w:rPr>
        <w:t xml:space="preserve"> do konca roka 2018</w:t>
      </w:r>
      <w:r w:rsidR="00746EAB" w:rsidRPr="00774303">
        <w:rPr>
          <w:b/>
        </w:rPr>
        <w:t xml:space="preserve"> o</w:t>
      </w:r>
      <w:r w:rsidR="00746EAB">
        <w:rPr>
          <w:b/>
        </w:rPr>
        <w:t> 2 %, PO 6 zaostáva za plánom o</w:t>
      </w:r>
      <w:r w:rsidR="00F63247">
        <w:rPr>
          <w:b/>
        </w:rPr>
        <w:t> </w:t>
      </w:r>
      <w:r w:rsidR="00746EAB">
        <w:rPr>
          <w:b/>
        </w:rPr>
        <w:t>takmer </w:t>
      </w:r>
      <w:r w:rsidR="00F63247">
        <w:rPr>
          <w:b/>
        </w:rPr>
        <w:t>53 </w:t>
      </w:r>
      <w:r w:rsidR="00746EAB">
        <w:rPr>
          <w:b/>
        </w:rPr>
        <w:t>%</w:t>
      </w:r>
      <w:r w:rsidR="00746EAB" w:rsidRPr="00774303">
        <w:rPr>
          <w:b/>
        </w:rPr>
        <w:t>.</w:t>
      </w:r>
      <w:r w:rsidR="00746EAB">
        <w:t xml:space="preserve"> </w:t>
      </w:r>
      <w:r w:rsidR="007F5ED8">
        <w:t xml:space="preserve">Počas prvých piatich rokov programového obdobia boli </w:t>
      </w:r>
      <w:r w:rsidR="00912B9C">
        <w:t xml:space="preserve">v rámci PO 5 </w:t>
      </w:r>
      <w:r w:rsidR="007F5ED8" w:rsidRPr="00F63247">
        <w:t xml:space="preserve">kontrahované dve tretiny </w:t>
      </w:r>
      <w:r w:rsidR="00746EAB" w:rsidRPr="00F63247">
        <w:t xml:space="preserve">(65,8 %) alokovaných </w:t>
      </w:r>
      <w:r w:rsidR="007F5ED8" w:rsidRPr="00F63247">
        <w:t>finančných prostriedkov</w:t>
      </w:r>
      <w:r w:rsidR="000B2526" w:rsidRPr="00F63247">
        <w:t xml:space="preserve">. </w:t>
      </w:r>
      <w:r w:rsidR="00912B9C" w:rsidRPr="00F63247">
        <w:t xml:space="preserve">V rámci PO 6 to bolo približne </w:t>
      </w:r>
      <w:r w:rsidR="00746EAB" w:rsidRPr="00D3189B">
        <w:t>36</w:t>
      </w:r>
      <w:r w:rsidR="00B415FC">
        <w:t> </w:t>
      </w:r>
      <w:r w:rsidR="00912B9C" w:rsidRPr="00F63247">
        <w:t>%</w:t>
      </w:r>
      <w:r w:rsidR="00912B9C">
        <w:t xml:space="preserve"> prostriedkov.</w:t>
      </w:r>
    </w:p>
    <w:p w14:paraId="194E11EC" w14:textId="1AFC79DB" w:rsidR="00912B9C" w:rsidRDefault="00912B9C" w:rsidP="00D3189B">
      <w:r w:rsidRPr="00D3189B">
        <w:rPr>
          <w:b/>
        </w:rPr>
        <w:t xml:space="preserve">Čerpanie prostriedkov v oboch prioritných osiach ku koncu roka 2018 nedosiahlo strednodobý cieľ. </w:t>
      </w:r>
      <w:r w:rsidR="00015A0C" w:rsidRPr="00D3189B">
        <w:t xml:space="preserve">Strednodobé ciele sú </w:t>
      </w:r>
      <w:r w:rsidR="00015A0C">
        <w:t>stanovené za účelom motivácie členských štátov čerpať a efektívne využívať dostupné zdroje z </w:t>
      </w:r>
      <w:r w:rsidR="001779B0">
        <w:t>eurofondov</w:t>
      </w:r>
      <w:r w:rsidR="00015A0C" w:rsidRPr="00ED0AA6">
        <w:t>.</w:t>
      </w:r>
      <w:r w:rsidR="00414A83">
        <w:rPr>
          <w:rStyle w:val="Odkaznapoznmkupodiarou"/>
        </w:rPr>
        <w:footnoteReference w:id="33"/>
      </w:r>
      <w:r w:rsidR="00015A0C" w:rsidRPr="00ED0AA6">
        <w:t xml:space="preserve"> </w:t>
      </w:r>
      <w:r w:rsidR="00015A0C" w:rsidRPr="00D3189B">
        <w:t>V rámci P</w:t>
      </w:r>
      <w:r w:rsidR="00015A0C">
        <w:t>O 5 bolo ku koncu roka 2018 vyčerpaných 18,0 miliónov eur</w:t>
      </w:r>
      <w:r w:rsidR="008B3FA9">
        <w:t>,</w:t>
      </w:r>
      <w:r w:rsidR="00015A0C">
        <w:t xml:space="preserve"> čo predstavuje približne 89 % úrovne strednodobého cieľa. </w:t>
      </w:r>
      <w:r w:rsidR="008B3FA9">
        <w:t>V rámci PO 6 bolo vyčerpaných 16,7 miliónov eur, čo predstavuje iba 41 % úrovne strednodobého cieľa.</w:t>
      </w:r>
      <w:r w:rsidR="00FE6135">
        <w:t xml:space="preserve"> Medzi dôvody nízkeho čerpania patria problémy s verejným obstarávaním</w:t>
      </w:r>
      <w:r w:rsidR="00D97616">
        <w:t xml:space="preserve"> (časté </w:t>
      </w:r>
      <w:r w:rsidR="001C459A">
        <w:t>nezrovnalosti</w:t>
      </w:r>
      <w:r w:rsidR="00D97616">
        <w:t>, kvôli ktorým treba verejné obstarávanie opakovať)</w:t>
      </w:r>
      <w:r w:rsidR="00FE6135">
        <w:t xml:space="preserve"> a nesprávne odhadnutý záujem o niektoré dopytovo orientované výzvy.</w:t>
      </w:r>
      <w:r w:rsidR="00FE6135">
        <w:rPr>
          <w:rStyle w:val="Odkaznapoznmkupodiarou"/>
        </w:rPr>
        <w:footnoteReference w:id="34"/>
      </w:r>
    </w:p>
    <w:p w14:paraId="79102A2F" w14:textId="270A6E9E" w:rsidR="00F2751F" w:rsidRPr="0009000C" w:rsidRDefault="00DE6A49" w:rsidP="00D3189B">
      <w:pPr>
        <w:rPr>
          <w:szCs w:val="22"/>
        </w:rPr>
      </w:pPr>
      <w:r w:rsidRPr="00D3189B">
        <w:rPr>
          <w:b/>
        </w:rPr>
        <w:t>V rámci PO 5</w:t>
      </w:r>
      <w:r w:rsidR="008A3548" w:rsidRPr="00D3189B">
        <w:rPr>
          <w:b/>
        </w:rPr>
        <w:t xml:space="preserve"> je naj</w:t>
      </w:r>
      <w:r w:rsidR="00BD3A46" w:rsidRPr="00D3189B">
        <w:rPr>
          <w:b/>
        </w:rPr>
        <w:t>viac zdrojov alokovaných na podporu terénnej sociálnej práce a komunitných centier</w:t>
      </w:r>
      <w:r w:rsidR="00BD3A46">
        <w:rPr>
          <w:rStyle w:val="Odkaznapoznmkupodiarou"/>
          <w:b/>
        </w:rPr>
        <w:footnoteReference w:id="35"/>
      </w:r>
      <w:r w:rsidR="00BD3A46" w:rsidRPr="00D3189B">
        <w:rPr>
          <w:b/>
        </w:rPr>
        <w:t>, najmenej na podporu vysporiadania pozemkov</w:t>
      </w:r>
      <w:r w:rsidR="00BD3A46">
        <w:rPr>
          <w:rStyle w:val="Odkaznapoznmkupodiarou"/>
          <w:b/>
        </w:rPr>
        <w:footnoteReference w:id="36"/>
      </w:r>
      <w:r w:rsidR="00BD3A46">
        <w:t xml:space="preserve"> </w:t>
      </w:r>
      <w:r w:rsidR="00BD3A46" w:rsidRPr="0009000C">
        <w:rPr>
          <w:szCs w:val="22"/>
        </w:rPr>
        <w:t>(</w:t>
      </w:r>
      <w:r w:rsidR="00BD3A46" w:rsidRPr="0009000C">
        <w:rPr>
          <w:szCs w:val="22"/>
        </w:rPr>
        <w:fldChar w:fldCharType="begin"/>
      </w:r>
      <w:r w:rsidR="00BD3A46" w:rsidRPr="00F63247">
        <w:rPr>
          <w:szCs w:val="22"/>
        </w:rPr>
        <w:instrText xml:space="preserve"> REF _Ref20042500 \h </w:instrText>
      </w:r>
      <w:r w:rsidR="00BD3A46">
        <w:rPr>
          <w:szCs w:val="22"/>
        </w:rPr>
        <w:instrText xml:space="preserve"> \* MERGEFORMAT </w:instrText>
      </w:r>
      <w:r w:rsidR="00BD3A46" w:rsidRPr="0009000C">
        <w:rPr>
          <w:szCs w:val="22"/>
        </w:rPr>
      </w:r>
      <w:r w:rsidR="00BD3A46" w:rsidRPr="0009000C">
        <w:rPr>
          <w:szCs w:val="22"/>
        </w:rPr>
        <w:fldChar w:fldCharType="separate"/>
      </w:r>
      <w:r w:rsidR="00FA29AF" w:rsidRPr="00FA29AF">
        <w:rPr>
          <w:szCs w:val="22"/>
        </w:rPr>
        <w:t xml:space="preserve">Graf </w:t>
      </w:r>
      <w:r w:rsidR="00FA29AF" w:rsidRPr="00FA29AF">
        <w:rPr>
          <w:iCs/>
          <w:noProof/>
          <w:szCs w:val="22"/>
        </w:rPr>
        <w:t>8</w:t>
      </w:r>
      <w:r w:rsidR="00BD3A46" w:rsidRPr="0009000C">
        <w:rPr>
          <w:szCs w:val="22"/>
        </w:rPr>
        <w:fldChar w:fldCharType="end"/>
      </w:r>
      <w:r w:rsidR="00BD3A46" w:rsidRPr="0009000C">
        <w:rPr>
          <w:szCs w:val="22"/>
        </w:rPr>
        <w:t xml:space="preserve">). </w:t>
      </w:r>
      <w:r w:rsidR="00BD3A46">
        <w:rPr>
          <w:szCs w:val="22"/>
        </w:rPr>
        <w:t xml:space="preserve">Kontrahovanie a čerpanie prebieha najúspešnejšie v prípade </w:t>
      </w:r>
      <w:r w:rsidR="00D507AE">
        <w:rPr>
          <w:szCs w:val="22"/>
        </w:rPr>
        <w:t>dopytovej výzvy na podporu</w:t>
      </w:r>
      <w:r w:rsidR="00BD3A46">
        <w:rPr>
          <w:szCs w:val="22"/>
        </w:rPr>
        <w:t xml:space="preserve"> miestnych občianskych poriadkových služieb</w:t>
      </w:r>
      <w:r w:rsidR="00471EB5">
        <w:rPr>
          <w:szCs w:val="22"/>
        </w:rPr>
        <w:t xml:space="preserve"> (MOPS)</w:t>
      </w:r>
      <w:r w:rsidR="00D507AE">
        <w:rPr>
          <w:rStyle w:val="Odkaznapoznmkupodiarou"/>
          <w:szCs w:val="22"/>
        </w:rPr>
        <w:footnoteReference w:id="37"/>
      </w:r>
      <w:r w:rsidR="00BD3A46">
        <w:rPr>
          <w:szCs w:val="22"/>
        </w:rPr>
        <w:t xml:space="preserve"> a tiež v prípade </w:t>
      </w:r>
      <w:r w:rsidR="00D507AE">
        <w:rPr>
          <w:szCs w:val="22"/>
        </w:rPr>
        <w:lastRenderedPageBreak/>
        <w:t xml:space="preserve">národného projektu </w:t>
      </w:r>
      <w:r w:rsidR="00BD3A46">
        <w:rPr>
          <w:szCs w:val="22"/>
        </w:rPr>
        <w:t>terénnej sociálnej práce</w:t>
      </w:r>
      <w:r w:rsidR="00D507AE">
        <w:rPr>
          <w:szCs w:val="22"/>
        </w:rPr>
        <w:t xml:space="preserve"> v MRK</w:t>
      </w:r>
      <w:r w:rsidR="00BD3A46">
        <w:rPr>
          <w:szCs w:val="22"/>
        </w:rPr>
        <w:t>. Najhoršie je to s kontrahovaním a čerpaním zdrojov na podporu mentoringu a tútoringu žiakov z prostredia MRK na základných školách.</w:t>
      </w:r>
      <w:r w:rsidR="00A53B88">
        <w:rPr>
          <w:szCs w:val="22"/>
        </w:rPr>
        <w:t xml:space="preserve"> Čerpanie je </w:t>
      </w:r>
      <w:r w:rsidR="002B26D0">
        <w:rPr>
          <w:szCs w:val="22"/>
        </w:rPr>
        <w:t>zanedbateľné</w:t>
      </w:r>
      <w:r w:rsidR="00A53B88">
        <w:rPr>
          <w:szCs w:val="22"/>
        </w:rPr>
        <w:t xml:space="preserve"> v prípade podpory s vysporiadaním </w:t>
      </w:r>
      <w:r w:rsidR="002B26D0">
        <w:rPr>
          <w:szCs w:val="22"/>
        </w:rPr>
        <w:t>pozemkov a podpory predprimárneho vzdelávania detí z MRK.</w:t>
      </w:r>
    </w:p>
    <w:tbl>
      <w:tblPr>
        <w:tblW w:w="0" w:type="auto"/>
        <w:tblLook w:val="04E0" w:firstRow="1" w:lastRow="1" w:firstColumn="1" w:lastColumn="0" w:noHBand="0" w:noVBand="1"/>
      </w:tblPr>
      <w:tblGrid>
        <w:gridCol w:w="6379"/>
        <w:gridCol w:w="2647"/>
      </w:tblGrid>
      <w:tr w:rsidR="00BD3A46" w:rsidRPr="00CA2564" w14:paraId="1258E611" w14:textId="77777777" w:rsidTr="00763889">
        <w:tc>
          <w:tcPr>
            <w:tcW w:w="9072" w:type="dxa"/>
            <w:gridSpan w:val="2"/>
            <w:tcBorders>
              <w:bottom w:val="single" w:sz="4" w:space="0" w:color="auto"/>
            </w:tcBorders>
          </w:tcPr>
          <w:p w14:paraId="558CB718" w14:textId="7FAA5F96" w:rsidR="00BD3A46" w:rsidRPr="00094ABE" w:rsidRDefault="00BD3A46" w:rsidP="00ED4EC3">
            <w:pPr>
              <w:spacing w:after="0"/>
              <w:jc w:val="left"/>
              <w:rPr>
                <w:b/>
                <w:sz w:val="20"/>
              </w:rPr>
            </w:pPr>
            <w:bookmarkStart w:id="142" w:name="_Ref20042500"/>
            <w:bookmarkStart w:id="143" w:name="_Toc34157566"/>
            <w:r w:rsidRPr="00094ABE">
              <w:rPr>
                <w:b/>
                <w:sz w:val="20"/>
              </w:rPr>
              <w:t xml:space="preserve">Graf </w:t>
            </w:r>
            <w:r w:rsidRPr="00094ABE">
              <w:rPr>
                <w:b/>
                <w:noProof/>
                <w:sz w:val="20"/>
              </w:rPr>
              <w:fldChar w:fldCharType="begin"/>
            </w:r>
            <w:r w:rsidRPr="00094ABE">
              <w:rPr>
                <w:b/>
                <w:iCs/>
                <w:noProof/>
                <w:sz w:val="20"/>
              </w:rPr>
              <w:instrText xml:space="preserve"> SEQ Graf \* ARABIC </w:instrText>
            </w:r>
            <w:r w:rsidRPr="00094ABE">
              <w:rPr>
                <w:b/>
                <w:noProof/>
                <w:sz w:val="20"/>
              </w:rPr>
              <w:fldChar w:fldCharType="separate"/>
            </w:r>
            <w:r w:rsidR="00FA29AF">
              <w:rPr>
                <w:b/>
                <w:iCs/>
                <w:noProof/>
                <w:sz w:val="20"/>
              </w:rPr>
              <w:t>8</w:t>
            </w:r>
            <w:r w:rsidRPr="00094ABE">
              <w:rPr>
                <w:b/>
                <w:noProof/>
                <w:sz w:val="20"/>
              </w:rPr>
              <w:fldChar w:fldCharType="end"/>
            </w:r>
            <w:bookmarkEnd w:id="142"/>
            <w:r w:rsidRPr="00094ABE">
              <w:rPr>
                <w:b/>
                <w:sz w:val="20"/>
              </w:rPr>
              <w:t>: Alokácia, kontrahovanie a čerpanie pre výzvy v rámci PO 5</w:t>
            </w:r>
            <w:r w:rsidR="00953764" w:rsidRPr="00094ABE">
              <w:rPr>
                <w:b/>
                <w:sz w:val="20"/>
              </w:rPr>
              <w:t xml:space="preserve"> (mil. eur, k 31.12.2018)</w:t>
            </w:r>
            <w:bookmarkEnd w:id="143"/>
          </w:p>
        </w:tc>
      </w:tr>
      <w:tr w:rsidR="00BD3A46" w:rsidRPr="00CA2564" w14:paraId="2D11886B" w14:textId="77777777" w:rsidTr="00763889">
        <w:tblPrEx>
          <w:tblCellMar>
            <w:left w:w="70" w:type="dxa"/>
            <w:right w:w="70" w:type="dxa"/>
          </w:tblCellMar>
        </w:tblPrEx>
        <w:tc>
          <w:tcPr>
            <w:tcW w:w="9072" w:type="dxa"/>
            <w:gridSpan w:val="2"/>
            <w:tcBorders>
              <w:top w:val="single" w:sz="4" w:space="0" w:color="auto"/>
              <w:bottom w:val="single" w:sz="4" w:space="0" w:color="auto"/>
            </w:tcBorders>
          </w:tcPr>
          <w:p w14:paraId="777EE58D" w14:textId="77777777" w:rsidR="00BD3A46" w:rsidRPr="00CA2564" w:rsidRDefault="00BD3A46" w:rsidP="008B336A">
            <w:pPr>
              <w:spacing w:after="0"/>
              <w:jc w:val="center"/>
              <w:rPr>
                <w:noProof/>
                <w:sz w:val="4"/>
                <w:szCs w:val="4"/>
              </w:rPr>
            </w:pPr>
          </w:p>
          <w:p w14:paraId="5A394815" w14:textId="4834D8D7" w:rsidR="00BD3A46" w:rsidRPr="00CA2564" w:rsidRDefault="00E1650F" w:rsidP="008B336A">
            <w:pPr>
              <w:spacing w:after="0"/>
              <w:jc w:val="center"/>
              <w:rPr>
                <w:noProof/>
                <w:sz w:val="4"/>
                <w:szCs w:val="4"/>
              </w:rPr>
            </w:pPr>
            <w:r>
              <w:rPr>
                <w:noProof/>
                <w:lang w:eastAsia="sk-SK"/>
              </w:rPr>
              <w:drawing>
                <wp:inline distT="0" distB="0" distL="0" distR="0" wp14:anchorId="2E6F8394" wp14:editId="00DBD75A">
                  <wp:extent cx="5629275" cy="2524125"/>
                  <wp:effectExtent l="0" t="0" r="0" b="0"/>
                  <wp:docPr id="290" name="Graf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28F4331" w14:textId="77777777" w:rsidR="00BD3A46" w:rsidRPr="00CA2564" w:rsidRDefault="00BD3A46" w:rsidP="008B336A">
            <w:pPr>
              <w:spacing w:after="0"/>
              <w:jc w:val="center"/>
              <w:rPr>
                <w:sz w:val="4"/>
                <w:szCs w:val="4"/>
              </w:rPr>
            </w:pPr>
          </w:p>
        </w:tc>
      </w:tr>
      <w:tr w:rsidR="00BD3A46" w:rsidRPr="00CA2564" w14:paraId="2F8C1632" w14:textId="77777777" w:rsidTr="00763889">
        <w:tc>
          <w:tcPr>
            <w:tcW w:w="6379" w:type="dxa"/>
            <w:tcBorders>
              <w:top w:val="single" w:sz="4" w:space="0" w:color="auto"/>
            </w:tcBorders>
          </w:tcPr>
          <w:p w14:paraId="14AB2DA4" w14:textId="0416A046" w:rsidR="00BD3A46" w:rsidRPr="00CA2564" w:rsidRDefault="00BD3A46" w:rsidP="008B336A">
            <w:pPr>
              <w:spacing w:after="0"/>
              <w:jc w:val="left"/>
              <w:rPr>
                <w:b/>
                <w:bCs/>
                <w:sz w:val="18"/>
                <w:szCs w:val="18"/>
              </w:rPr>
            </w:pPr>
          </w:p>
        </w:tc>
        <w:tc>
          <w:tcPr>
            <w:tcW w:w="2693" w:type="dxa"/>
            <w:tcBorders>
              <w:top w:val="single" w:sz="4" w:space="0" w:color="auto"/>
            </w:tcBorders>
          </w:tcPr>
          <w:p w14:paraId="0602ABF9" w14:textId="725D65C8" w:rsidR="00BD3A46" w:rsidRPr="00094ABE" w:rsidRDefault="00BD3A46" w:rsidP="008B336A">
            <w:pPr>
              <w:spacing w:after="0"/>
              <w:jc w:val="right"/>
              <w:rPr>
                <w:i/>
                <w:sz w:val="18"/>
                <w:szCs w:val="18"/>
              </w:rPr>
            </w:pPr>
            <w:r w:rsidRPr="00094ABE">
              <w:rPr>
                <w:i/>
                <w:sz w:val="18"/>
                <w:szCs w:val="18"/>
              </w:rPr>
              <w:t>Zdroj: MV SR</w:t>
            </w:r>
          </w:p>
        </w:tc>
      </w:tr>
    </w:tbl>
    <w:p w14:paraId="09CC4F62" w14:textId="0FEFB889" w:rsidR="00C14134" w:rsidRPr="00EF3F65" w:rsidRDefault="00BD3A46" w:rsidP="004A44F8">
      <w:pPr>
        <w:spacing w:before="240"/>
        <w:rPr>
          <w:sz w:val="2"/>
          <w:szCs w:val="2"/>
        </w:rPr>
      </w:pPr>
      <w:r w:rsidRPr="00C67D59">
        <w:rPr>
          <w:b/>
        </w:rPr>
        <w:t xml:space="preserve">V rámci </w:t>
      </w:r>
      <w:r>
        <w:rPr>
          <w:b/>
        </w:rPr>
        <w:t>PO 6</w:t>
      </w:r>
      <w:r w:rsidRPr="00C67D59">
        <w:rPr>
          <w:b/>
        </w:rPr>
        <w:t xml:space="preserve"> je najviac zdrojov alokovaných na </w:t>
      </w:r>
      <w:r>
        <w:rPr>
          <w:b/>
        </w:rPr>
        <w:t>výstavbu materských škôlok</w:t>
      </w:r>
      <w:r w:rsidRPr="00C67D59">
        <w:rPr>
          <w:b/>
        </w:rPr>
        <w:t xml:space="preserve">, najmenej </w:t>
      </w:r>
      <w:r>
        <w:rPr>
          <w:b/>
        </w:rPr>
        <w:t>na finančné nástroje, ktorých cieľom je hlavne podpora svojpomocnej výstavby</w:t>
      </w:r>
      <w:r w:rsidR="0009000C">
        <w:rPr>
          <w:rStyle w:val="Odkaznapoznmkupodiarou"/>
          <w:b/>
        </w:rPr>
        <w:footnoteReference w:id="38"/>
      </w:r>
      <w:r>
        <w:t xml:space="preserve"> </w:t>
      </w:r>
      <w:r w:rsidR="004A44F8" w:rsidRPr="000F62AD">
        <w:rPr>
          <w:szCs w:val="22"/>
        </w:rPr>
        <w:t>(</w:t>
      </w:r>
      <w:r w:rsidR="004A44F8" w:rsidRPr="000F62AD">
        <w:rPr>
          <w:szCs w:val="22"/>
        </w:rPr>
        <w:fldChar w:fldCharType="begin"/>
      </w:r>
      <w:r w:rsidR="004A44F8" w:rsidRPr="000F62AD">
        <w:rPr>
          <w:szCs w:val="22"/>
        </w:rPr>
        <w:instrText xml:space="preserve"> REF _Ref20206332 \h </w:instrText>
      </w:r>
      <w:r w:rsidR="000F62AD">
        <w:rPr>
          <w:szCs w:val="22"/>
        </w:rPr>
        <w:instrText xml:space="preserve"> \* MERGEFORMAT </w:instrText>
      </w:r>
      <w:r w:rsidR="004A44F8" w:rsidRPr="000F62AD">
        <w:rPr>
          <w:szCs w:val="22"/>
        </w:rPr>
      </w:r>
      <w:r w:rsidR="004A44F8" w:rsidRPr="000F62AD">
        <w:rPr>
          <w:szCs w:val="22"/>
        </w:rPr>
        <w:fldChar w:fldCharType="separate"/>
      </w:r>
      <w:r w:rsidR="00FA29AF" w:rsidRPr="00FA29AF">
        <w:rPr>
          <w:szCs w:val="22"/>
        </w:rPr>
        <w:t>Graf 9</w:t>
      </w:r>
      <w:r w:rsidR="004A44F8" w:rsidRPr="000F62AD">
        <w:rPr>
          <w:szCs w:val="22"/>
        </w:rPr>
        <w:fldChar w:fldCharType="end"/>
      </w:r>
      <w:r w:rsidR="004A44F8" w:rsidRPr="000F62AD">
        <w:rPr>
          <w:szCs w:val="22"/>
        </w:rPr>
        <w:t xml:space="preserve">). </w:t>
      </w:r>
      <w:r w:rsidRPr="002B3E4F">
        <w:rPr>
          <w:szCs w:val="22"/>
        </w:rPr>
        <w:t xml:space="preserve">Kontrahovanie a čerpanie prebieha najúspešnejšie v prípade </w:t>
      </w:r>
      <w:r w:rsidR="0009000C" w:rsidRPr="002B3E4F">
        <w:rPr>
          <w:szCs w:val="22"/>
        </w:rPr>
        <w:t>finančných nástrojov</w:t>
      </w:r>
      <w:r w:rsidRPr="002B3E4F">
        <w:rPr>
          <w:szCs w:val="22"/>
        </w:rPr>
        <w:t xml:space="preserve"> a tiež v prípade </w:t>
      </w:r>
      <w:r w:rsidR="0009000C" w:rsidRPr="002B3E4F">
        <w:rPr>
          <w:szCs w:val="22"/>
        </w:rPr>
        <w:t>investícií do zberu a</w:t>
      </w:r>
      <w:r w:rsidR="0009000C">
        <w:rPr>
          <w:szCs w:val="22"/>
        </w:rPr>
        <w:t xml:space="preserve"> likvidácie odpadu a sanáciu skládok</w:t>
      </w:r>
      <w:r>
        <w:rPr>
          <w:szCs w:val="22"/>
        </w:rPr>
        <w:t xml:space="preserve">. Najhoršie je to s kontrahovaním a čerpaním zdrojov na </w:t>
      </w:r>
      <w:r w:rsidR="0009000C">
        <w:rPr>
          <w:szCs w:val="22"/>
        </w:rPr>
        <w:t>investície do zlepšenia prístupu k pitnej vode</w:t>
      </w:r>
      <w:r>
        <w:rPr>
          <w:szCs w:val="22"/>
        </w:rPr>
        <w:t>.</w:t>
      </w:r>
    </w:p>
    <w:tbl>
      <w:tblPr>
        <w:tblW w:w="0" w:type="auto"/>
        <w:tblLook w:val="04E0" w:firstRow="1" w:lastRow="1" w:firstColumn="1" w:lastColumn="0" w:noHBand="0" w:noVBand="1"/>
      </w:tblPr>
      <w:tblGrid>
        <w:gridCol w:w="5392"/>
        <w:gridCol w:w="3634"/>
      </w:tblGrid>
      <w:tr w:rsidR="004A44F8" w:rsidRPr="00CA2564" w14:paraId="073872FD" w14:textId="77777777" w:rsidTr="00763889">
        <w:tc>
          <w:tcPr>
            <w:tcW w:w="9026" w:type="dxa"/>
            <w:gridSpan w:val="2"/>
            <w:tcBorders>
              <w:bottom w:val="single" w:sz="4" w:space="0" w:color="auto"/>
            </w:tcBorders>
          </w:tcPr>
          <w:p w14:paraId="483A7F74" w14:textId="77777777" w:rsidR="004A44F8" w:rsidRPr="00763889" w:rsidRDefault="004A44F8" w:rsidP="00ED4EC3">
            <w:pPr>
              <w:spacing w:after="0"/>
              <w:jc w:val="left"/>
              <w:rPr>
                <w:b/>
                <w:sz w:val="20"/>
              </w:rPr>
            </w:pPr>
            <w:bookmarkStart w:id="144" w:name="_Ref20206332"/>
            <w:bookmarkStart w:id="145" w:name="_Toc34157567"/>
            <w:r w:rsidRPr="00763889">
              <w:rPr>
                <w:b/>
                <w:sz w:val="20"/>
              </w:rPr>
              <w:t xml:space="preserve">Graf </w:t>
            </w:r>
            <w:r w:rsidRPr="00763889">
              <w:rPr>
                <w:b/>
                <w:noProof/>
                <w:sz w:val="20"/>
              </w:rPr>
              <w:fldChar w:fldCharType="begin"/>
            </w:r>
            <w:r w:rsidRPr="00763889">
              <w:rPr>
                <w:b/>
                <w:iCs/>
                <w:noProof/>
                <w:sz w:val="20"/>
              </w:rPr>
              <w:instrText xml:space="preserve"> SEQ Graf \* ARABIC </w:instrText>
            </w:r>
            <w:r w:rsidRPr="00763889">
              <w:rPr>
                <w:b/>
                <w:noProof/>
                <w:sz w:val="20"/>
              </w:rPr>
              <w:fldChar w:fldCharType="separate"/>
            </w:r>
            <w:r w:rsidR="00FA29AF">
              <w:rPr>
                <w:b/>
                <w:iCs/>
                <w:noProof/>
                <w:sz w:val="20"/>
              </w:rPr>
              <w:t>9</w:t>
            </w:r>
            <w:r w:rsidRPr="00763889">
              <w:rPr>
                <w:b/>
                <w:noProof/>
                <w:sz w:val="20"/>
              </w:rPr>
              <w:fldChar w:fldCharType="end"/>
            </w:r>
            <w:bookmarkEnd w:id="144"/>
            <w:r w:rsidRPr="00763889">
              <w:rPr>
                <w:b/>
                <w:sz w:val="20"/>
              </w:rPr>
              <w:t>: Alokácia, kontrahovanie a čerpanie pre výzvy v rámci PO 6 (mil. eur, k 31.12.2018)</w:t>
            </w:r>
            <w:bookmarkEnd w:id="145"/>
          </w:p>
        </w:tc>
      </w:tr>
      <w:tr w:rsidR="004A44F8" w:rsidRPr="00CA2564" w14:paraId="02317624" w14:textId="77777777" w:rsidTr="00763889">
        <w:tblPrEx>
          <w:tblCellMar>
            <w:left w:w="70" w:type="dxa"/>
            <w:right w:w="70" w:type="dxa"/>
          </w:tblCellMar>
        </w:tblPrEx>
        <w:tc>
          <w:tcPr>
            <w:tcW w:w="9026" w:type="dxa"/>
            <w:gridSpan w:val="2"/>
            <w:tcBorders>
              <w:top w:val="single" w:sz="4" w:space="0" w:color="auto"/>
              <w:bottom w:val="single" w:sz="4" w:space="0" w:color="auto"/>
            </w:tcBorders>
          </w:tcPr>
          <w:p w14:paraId="1BA01254" w14:textId="77777777" w:rsidR="004A44F8" w:rsidRPr="00CA2564" w:rsidRDefault="004A44F8" w:rsidP="008B336A">
            <w:pPr>
              <w:spacing w:after="0"/>
              <w:jc w:val="center"/>
              <w:rPr>
                <w:noProof/>
                <w:sz w:val="4"/>
                <w:szCs w:val="4"/>
              </w:rPr>
            </w:pPr>
          </w:p>
          <w:p w14:paraId="66EBDFC1" w14:textId="77777777" w:rsidR="004A44F8" w:rsidRPr="00CA2564" w:rsidRDefault="004A44F8" w:rsidP="008B336A">
            <w:pPr>
              <w:spacing w:after="0"/>
              <w:jc w:val="center"/>
              <w:rPr>
                <w:noProof/>
                <w:sz w:val="4"/>
                <w:szCs w:val="4"/>
              </w:rPr>
            </w:pPr>
            <w:r>
              <w:rPr>
                <w:noProof/>
                <w:lang w:eastAsia="sk-SK"/>
              </w:rPr>
              <w:drawing>
                <wp:inline distT="0" distB="0" distL="0" distR="0" wp14:anchorId="13550025" wp14:editId="1F9BE26A">
                  <wp:extent cx="5760720" cy="2447925"/>
                  <wp:effectExtent l="0" t="0" r="0" b="0"/>
                  <wp:docPr id="322" name="Graf 3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1F3D4A5" w14:textId="77777777" w:rsidR="004A44F8" w:rsidRPr="00CA2564" w:rsidRDefault="004A44F8" w:rsidP="008B336A">
            <w:pPr>
              <w:spacing w:after="0"/>
              <w:jc w:val="center"/>
              <w:rPr>
                <w:sz w:val="4"/>
                <w:szCs w:val="4"/>
              </w:rPr>
            </w:pPr>
          </w:p>
        </w:tc>
      </w:tr>
      <w:tr w:rsidR="004A44F8" w:rsidRPr="00CA2564" w14:paraId="542B11C1" w14:textId="77777777" w:rsidTr="00763889">
        <w:tc>
          <w:tcPr>
            <w:tcW w:w="5599" w:type="dxa"/>
            <w:tcBorders>
              <w:top w:val="single" w:sz="4" w:space="0" w:color="auto"/>
            </w:tcBorders>
          </w:tcPr>
          <w:p w14:paraId="3E8DFF66" w14:textId="77777777" w:rsidR="004A44F8" w:rsidRPr="00CA2564" w:rsidRDefault="004A44F8" w:rsidP="008B336A">
            <w:pPr>
              <w:spacing w:after="0"/>
              <w:jc w:val="left"/>
              <w:rPr>
                <w:b/>
                <w:bCs/>
                <w:sz w:val="18"/>
                <w:szCs w:val="18"/>
              </w:rPr>
            </w:pPr>
          </w:p>
        </w:tc>
        <w:tc>
          <w:tcPr>
            <w:tcW w:w="3427" w:type="dxa"/>
            <w:tcBorders>
              <w:top w:val="single" w:sz="4" w:space="0" w:color="auto"/>
            </w:tcBorders>
          </w:tcPr>
          <w:p w14:paraId="688BBEFE" w14:textId="77777777" w:rsidR="004A44F8" w:rsidRPr="00763889" w:rsidRDefault="004A44F8" w:rsidP="008B336A">
            <w:pPr>
              <w:spacing w:after="0"/>
              <w:jc w:val="right"/>
              <w:rPr>
                <w:i/>
                <w:sz w:val="18"/>
                <w:szCs w:val="18"/>
              </w:rPr>
            </w:pPr>
            <w:r w:rsidRPr="00763889">
              <w:rPr>
                <w:i/>
                <w:sz w:val="18"/>
                <w:szCs w:val="18"/>
              </w:rPr>
              <w:t>Zdroj: MV SR</w:t>
            </w:r>
          </w:p>
        </w:tc>
      </w:tr>
    </w:tbl>
    <w:p w14:paraId="512394D5" w14:textId="77777777" w:rsidR="00670C7A" w:rsidRDefault="00670C7A" w:rsidP="00A83D0F"/>
    <w:p w14:paraId="347A5C06" w14:textId="77777777" w:rsidR="00FA46CA" w:rsidRPr="00EF3F65" w:rsidRDefault="00FA46CA" w:rsidP="00FA46CA">
      <w:pPr>
        <w:rPr>
          <w:sz w:val="2"/>
          <w:szCs w:val="2"/>
        </w:rPr>
      </w:pPr>
      <w:bookmarkStart w:id="146" w:name="_Toc21968651"/>
      <w:bookmarkStart w:id="147" w:name="_Toc22114203"/>
      <w:bookmarkEnd w:id="146"/>
      <w:bookmarkEnd w:id="147"/>
    </w:p>
    <w:p w14:paraId="3C1559A9" w14:textId="7EA7AC9A" w:rsidR="008E46D8" w:rsidRDefault="00CD55C1" w:rsidP="008E46D8">
      <w:pPr>
        <w:pStyle w:val="Nadpis1"/>
      </w:pPr>
      <w:bookmarkStart w:id="148" w:name="_Ref33198253"/>
      <w:bookmarkStart w:id="149" w:name="_Toc34657712"/>
      <w:r>
        <w:lastRenderedPageBreak/>
        <w:t>Starostlivosť o znevýhodnené deti v ranom veku</w:t>
      </w:r>
      <w:bookmarkEnd w:id="148"/>
      <w:bookmarkEnd w:id="149"/>
    </w:p>
    <w:p w14:paraId="1A95B47E" w14:textId="5CDDB43F" w:rsidR="007279C9" w:rsidRDefault="007279C9" w:rsidP="007279C9">
      <w:pPr>
        <w:pStyle w:val="Odsekzoznamu"/>
        <w:numPr>
          <w:ilvl w:val="0"/>
          <w:numId w:val="33"/>
        </w:numPr>
        <w:ind w:left="270" w:hanging="270"/>
        <w:rPr>
          <w:b/>
        </w:rPr>
      </w:pPr>
      <w:r w:rsidRPr="007279C9">
        <w:rPr>
          <w:b/>
          <w:bCs/>
          <w:color w:val="000000"/>
          <w:szCs w:val="22"/>
        </w:rPr>
        <w:t>Investície do ľudského kapitálu v ranom veku majú vyššiu návratnosť ako investície uskutočnené v neskorších fázach života</w:t>
      </w:r>
      <w:r w:rsidRPr="007279C9">
        <w:rPr>
          <w:b/>
          <w:bCs/>
          <w:color w:val="212121"/>
          <w:szCs w:val="22"/>
        </w:rPr>
        <w:t>. K preukázaným efektom programov zameraných</w:t>
      </w:r>
      <w:r w:rsidR="0070047D">
        <w:rPr>
          <w:b/>
          <w:bCs/>
          <w:color w:val="212121"/>
          <w:szCs w:val="22"/>
        </w:rPr>
        <w:t xml:space="preserve"> </w:t>
      </w:r>
      <w:r w:rsidRPr="007279C9">
        <w:rPr>
          <w:b/>
          <w:bCs/>
          <w:color w:val="212121"/>
          <w:szCs w:val="22"/>
        </w:rPr>
        <w:t>na znevýhodnených detí patrí zlepšenie výsledkov vo vzdelávaní a na trhu práce.</w:t>
      </w:r>
    </w:p>
    <w:p w14:paraId="65D189BC" w14:textId="77777777" w:rsidR="007279C9" w:rsidRDefault="007279C9" w:rsidP="007279C9">
      <w:pPr>
        <w:pStyle w:val="Odsekzoznamu"/>
        <w:numPr>
          <w:ilvl w:val="0"/>
          <w:numId w:val="33"/>
        </w:numPr>
        <w:ind w:left="270" w:hanging="270"/>
        <w:rPr>
          <w:b/>
        </w:rPr>
      </w:pPr>
      <w:r w:rsidRPr="007279C9">
        <w:rPr>
          <w:b/>
          <w:bCs/>
          <w:color w:val="212121"/>
          <w:szCs w:val="22"/>
        </w:rPr>
        <w:t>Starostlivosť o znevýhodnené deti v ranom veku zabezpečujú ministerstvá zdravotníctva, práce a školstva. Časť služieb je v originálnej kompetencii samospráv. Medzirezortná spolupráca je nedostatočná, čo negatívne vplýva na dostupnosť a kvalitu služieb ranej starostlivosti.</w:t>
      </w:r>
    </w:p>
    <w:p w14:paraId="3517281F" w14:textId="2055C3D0" w:rsidR="007279C9" w:rsidRDefault="007279C9" w:rsidP="007279C9">
      <w:pPr>
        <w:pStyle w:val="Odsekzoznamu"/>
        <w:numPr>
          <w:ilvl w:val="0"/>
          <w:numId w:val="33"/>
        </w:numPr>
        <w:ind w:left="270" w:hanging="270"/>
        <w:rPr>
          <w:b/>
        </w:rPr>
      </w:pPr>
      <w:r w:rsidRPr="007279C9">
        <w:rPr>
          <w:b/>
          <w:bCs/>
          <w:color w:val="212121"/>
          <w:szCs w:val="22"/>
        </w:rPr>
        <w:t>Nárok na ranú starostlivosť majú v súčasnosti iba deti so zdravotným postihnutím</w:t>
      </w:r>
      <w:r>
        <w:rPr>
          <w:b/>
          <w:bCs/>
          <w:color w:val="212121"/>
          <w:szCs w:val="22"/>
        </w:rPr>
        <w:t>, a</w:t>
      </w:r>
      <w:r w:rsidRPr="007279C9">
        <w:rPr>
          <w:b/>
          <w:bCs/>
          <w:color w:val="212121"/>
          <w:szCs w:val="22"/>
        </w:rPr>
        <w:t xml:space="preserve">j tie ale majú v dôsledku rôznych prekážok k týmto službám obmedzený prístup. Intervencie v ranom veku sú však prínosné aj pre deti žijúce v nepriaznivej sociálnej situácii a pre deti s oneskoreným vývinom. </w:t>
      </w:r>
    </w:p>
    <w:p w14:paraId="1C726154" w14:textId="3FFC60E8" w:rsidR="007279C9" w:rsidRPr="007279C9" w:rsidRDefault="007279C9" w:rsidP="007279C9">
      <w:pPr>
        <w:pStyle w:val="Odsekzoznamu"/>
        <w:numPr>
          <w:ilvl w:val="0"/>
          <w:numId w:val="33"/>
        </w:numPr>
        <w:ind w:left="270" w:hanging="270"/>
        <w:rPr>
          <w:b/>
        </w:rPr>
      </w:pPr>
      <w:r w:rsidRPr="007279C9">
        <w:rPr>
          <w:b/>
          <w:bCs/>
          <w:color w:val="212121"/>
          <w:szCs w:val="22"/>
        </w:rPr>
        <w:t>Revízia navrhuje vytvoriť nadrezortnú stratégiu rozvoja ranej starostlivosti, ktorá zadefinuje právny nárok na služby pre všetky znevýhodnené deti, štandardy služieb a ich financovanie. V rámci existujúceho nastavenia navrhuje revízia odstrániť jazykovú bariéru pri preventívnom skríningu detí, nedostatky vo financovaní a podporiť poskytovanie ranej starostlivosti v </w:t>
      </w:r>
      <w:r w:rsidR="002D7EAF">
        <w:rPr>
          <w:b/>
          <w:bCs/>
          <w:color w:val="212121"/>
          <w:szCs w:val="22"/>
        </w:rPr>
        <w:t>MRK</w:t>
      </w:r>
      <w:r w:rsidRPr="007279C9">
        <w:rPr>
          <w:b/>
          <w:bCs/>
          <w:color w:val="212121"/>
          <w:szCs w:val="22"/>
        </w:rPr>
        <w:t>.</w:t>
      </w:r>
      <w:r w:rsidR="0070047D">
        <w:rPr>
          <w:b/>
          <w:bCs/>
          <w:color w:val="212121"/>
          <w:szCs w:val="22"/>
        </w:rPr>
        <w:t xml:space="preserve"> </w:t>
      </w:r>
    </w:p>
    <w:p w14:paraId="78914419" w14:textId="7DA6111B" w:rsidR="008E46D8" w:rsidRDefault="008E46D8" w:rsidP="00C8342B">
      <w:pPr>
        <w:pBdr>
          <w:top w:val="nil"/>
          <w:left w:val="nil"/>
          <w:bottom w:val="nil"/>
          <w:right w:val="nil"/>
          <w:between w:val="nil"/>
        </w:pBdr>
        <w:rPr>
          <w:rFonts w:eastAsia="Arial Narrow" w:cs="Arial Narrow"/>
          <w:color w:val="000000"/>
        </w:rPr>
      </w:pPr>
      <w:r>
        <w:rPr>
          <w:rFonts w:eastAsia="Arial Narrow" w:cs="Arial Narrow"/>
          <w:b/>
          <w:color w:val="000000"/>
        </w:rPr>
        <w:t>Investície do ľudského kapitálu v ranom veku</w:t>
      </w:r>
      <w:r>
        <w:rPr>
          <w:rStyle w:val="Odkaznapoznmkupodiarou"/>
          <w:rFonts w:eastAsia="Arial Narrow" w:cs="Arial Narrow"/>
          <w:b/>
          <w:color w:val="000000"/>
        </w:rPr>
        <w:footnoteReference w:id="39"/>
      </w:r>
      <w:r>
        <w:rPr>
          <w:rFonts w:eastAsia="Arial Narrow" w:cs="Arial Narrow"/>
          <w:b/>
          <w:color w:val="000000"/>
        </w:rPr>
        <w:t xml:space="preserve"> majú vyššiu návratnosť ako investície uskutočnené v neskorších fázach života.</w:t>
      </w:r>
      <w:r>
        <w:rPr>
          <w:rFonts w:eastAsia="Arial Narrow" w:cs="Arial Narrow"/>
          <w:color w:val="000000"/>
        </w:rPr>
        <w:t xml:space="preserve"> </w:t>
      </w:r>
      <w:r w:rsidRPr="00B724AC">
        <w:rPr>
          <w:rFonts w:eastAsia="Arial Narrow" w:cs="Arial Narrow"/>
          <w:bCs/>
          <w:color w:val="000000"/>
        </w:rPr>
        <w:t>K preukázaným efektom programov starostlivosti zameraných na znevýhodnené deti patria lepšie výsledky v testovaniach, eliminácia zaraďovania do špeciálneho prúdu vzdelávania, znižovanie miery opakovania ročníka, vyššia zamestnanosť a príjmy, ale aj nižšia miera trestnej činnosti (Lynn A. Karolly a kol., 2005).</w:t>
      </w:r>
      <w:r>
        <w:rPr>
          <w:rFonts w:eastAsia="Arial Narrow" w:cs="Arial Narrow"/>
          <w:color w:val="000000"/>
        </w:rPr>
        <w:t xml:space="preserve"> Účasť v programoch určených pre deti od narodenia po nástup na povinnú školskú dochádzku môže vo významnej miere pozitívne ovplyvniť neskoršie úspechy detí, obzvlášť tých znevýhodnených (OECD, 2017). </w:t>
      </w:r>
    </w:p>
    <w:p w14:paraId="77EE6485" w14:textId="76B88A3E" w:rsidR="008E46D8" w:rsidRPr="00BD13BE" w:rsidRDefault="008E46D8" w:rsidP="00C8342B">
      <w:pPr>
        <w:pBdr>
          <w:top w:val="nil"/>
          <w:left w:val="nil"/>
          <w:bottom w:val="nil"/>
          <w:right w:val="nil"/>
          <w:between w:val="nil"/>
        </w:pBdr>
        <w:rPr>
          <w:rFonts w:eastAsia="Arial Narrow" w:cs="Arial Narrow"/>
          <w:color w:val="000000"/>
        </w:rPr>
      </w:pPr>
      <w:r>
        <w:rPr>
          <w:rFonts w:eastAsia="Arial Narrow" w:cs="Arial Narrow"/>
          <w:color w:val="000000"/>
        </w:rPr>
        <w:t>Meta-analýza nákladov a prínosov rôznych programov zameraných na sociálne znevýhodnené deti a ich rodičov v USA ukázala, že výnosy z každého investovaného dolára sa pohybovali na úrovni od 1,</w:t>
      </w:r>
      <w:r w:rsidR="002D7EAF">
        <w:rPr>
          <w:rFonts w:eastAsia="Arial Narrow" w:cs="Arial Narrow"/>
          <w:color w:val="000000"/>
        </w:rPr>
        <w:t>26 až do 17,07 USD. S</w:t>
      </w:r>
      <w:r>
        <w:rPr>
          <w:rFonts w:eastAsia="Arial Narrow" w:cs="Arial Narrow"/>
          <w:color w:val="000000"/>
        </w:rPr>
        <w:t xml:space="preserve">lovenské analýzy nákladov a prínosov včasnej intervencie zamerané na deti so zdravotným znevýhodnením (deti s poruchami autistického spektra a deti so sluchovým postihnutím) demonštrujú, že prínosy včasnej intervencie prevyšujú náklady na jej poskytnutie, a že okrem zvyšovania kvality života dochádza k lepším výsledkom na trhu práce a k úspore verejných zdrojov v oblasti vzdelávania a sociálnych </w:t>
      </w:r>
      <w:r w:rsidRPr="004B2C1B">
        <w:rPr>
          <w:rFonts w:eastAsia="Arial Narrow" w:cs="Arial Narrow"/>
          <w:color w:val="000000"/>
        </w:rPr>
        <w:t>služieb (</w:t>
      </w:r>
      <w:r w:rsidR="00087A7D" w:rsidRPr="00087A7D">
        <w:fldChar w:fldCharType="begin"/>
      </w:r>
      <w:r w:rsidR="00087A7D" w:rsidRPr="00087A7D">
        <w:instrText xml:space="preserve"> REF _Ref34130322 \h </w:instrText>
      </w:r>
      <w:r w:rsidR="00087A7D">
        <w:instrText xml:space="preserve"> \* MERGEFORMAT </w:instrText>
      </w:r>
      <w:r w:rsidR="00087A7D" w:rsidRPr="00087A7D">
        <w:fldChar w:fldCharType="separate"/>
      </w:r>
      <w:r w:rsidR="00FA29AF" w:rsidRPr="00FA29AF">
        <w:t>Príloha 3</w:t>
      </w:r>
      <w:r w:rsidR="00087A7D" w:rsidRPr="00087A7D">
        <w:fldChar w:fldCharType="end"/>
      </w:r>
      <w:r w:rsidR="00087A7D" w:rsidRPr="00087A7D">
        <w:t xml:space="preserve"> </w:t>
      </w:r>
      <w:r w:rsidR="00BD13BE" w:rsidRPr="00BD13BE">
        <w:rPr>
          <w:rFonts w:eastAsia="Arial Narrow" w:cs="Arial Narrow"/>
          <w:color w:val="000000"/>
        </w:rPr>
        <w:t>a</w:t>
      </w:r>
      <w:r w:rsidR="003F37D1">
        <w:rPr>
          <w:rFonts w:eastAsia="Arial Narrow" w:cs="Arial Narrow"/>
          <w:color w:val="000000"/>
        </w:rPr>
        <w:t> </w:t>
      </w:r>
      <w:r w:rsidR="00BD13BE" w:rsidRPr="00BD13BE">
        <w:rPr>
          <w:rFonts w:eastAsia="Arial Narrow" w:cs="Arial Narrow"/>
          <w:color w:val="000000"/>
        </w:rPr>
        <w:fldChar w:fldCharType="begin"/>
      </w:r>
      <w:r w:rsidR="00BD13BE" w:rsidRPr="00BD13BE">
        <w:rPr>
          <w:rFonts w:eastAsia="Arial Narrow" w:cs="Arial Narrow"/>
          <w:color w:val="000000"/>
        </w:rPr>
        <w:instrText xml:space="preserve"> REF _Ref33027168 \h  \* MERGEFORMAT </w:instrText>
      </w:r>
      <w:r w:rsidR="00BD13BE" w:rsidRPr="00BD13BE">
        <w:rPr>
          <w:rFonts w:eastAsia="Arial Narrow" w:cs="Arial Narrow"/>
          <w:color w:val="000000"/>
        </w:rPr>
      </w:r>
      <w:r w:rsidR="00BD13BE" w:rsidRPr="00BD13BE">
        <w:rPr>
          <w:rFonts w:eastAsia="Arial Narrow" w:cs="Arial Narrow"/>
          <w:color w:val="000000"/>
        </w:rPr>
        <w:fldChar w:fldCharType="separate"/>
      </w:r>
      <w:r w:rsidR="00FA29AF" w:rsidRPr="00FA29AF">
        <w:t>Box</w:t>
      </w:r>
      <w:r w:rsidR="00FA29AF" w:rsidRPr="006E2B6B">
        <w:rPr>
          <w:b/>
        </w:rPr>
        <w:t xml:space="preserve"> </w:t>
      </w:r>
      <w:r w:rsidR="00FA29AF" w:rsidRPr="00FA29AF">
        <w:rPr>
          <w:rFonts w:eastAsia="Arial Narrow" w:cs="Arial Narrow"/>
          <w:color w:val="000000"/>
        </w:rPr>
        <w:t>4</w:t>
      </w:r>
      <w:r w:rsidR="00BD13BE" w:rsidRPr="00BD13BE">
        <w:rPr>
          <w:rFonts w:eastAsia="Arial Narrow" w:cs="Arial Narrow"/>
          <w:color w:val="000000"/>
        </w:rPr>
        <w:fldChar w:fldCharType="end"/>
      </w:r>
      <w:r w:rsidRPr="00BD13BE">
        <w:rPr>
          <w:rFonts w:eastAsia="Arial Narrow" w:cs="Arial Narrow"/>
          <w:color w:val="000000"/>
        </w:rPr>
        <w:t>).</w:t>
      </w:r>
    </w:p>
    <w:p w14:paraId="0F9342D2" w14:textId="27A65310" w:rsidR="008E46D8" w:rsidRDefault="008E46D8" w:rsidP="00C8342B">
      <w:pPr>
        <w:pBdr>
          <w:top w:val="nil"/>
          <w:left w:val="nil"/>
          <w:bottom w:val="nil"/>
          <w:right w:val="nil"/>
          <w:between w:val="nil"/>
        </w:pBdr>
        <w:rPr>
          <w:rFonts w:eastAsia="Arial Narrow" w:cs="Arial Narrow"/>
          <w:b/>
          <w:color w:val="000000"/>
        </w:rPr>
      </w:pPr>
      <w:r>
        <w:rPr>
          <w:rFonts w:eastAsia="Arial Narrow" w:cs="Arial Narrow"/>
          <w:b/>
          <w:color w:val="000000"/>
        </w:rPr>
        <w:t>Cieľom poskytovania starostlivosti v ranom veku je znížiť riziko možného sociálneho vylúčenia znevýhodnených detí a ich rodín.</w:t>
      </w:r>
      <w:r>
        <w:rPr>
          <w:rFonts w:eastAsia="Arial Narrow" w:cs="Arial Narrow"/>
          <w:color w:val="000000"/>
        </w:rPr>
        <w:t xml:space="preserve"> Je dôležité, aby starostlivosť bola dostupná pre všetky deti v riziku, a aby mala transdisciplinárny charakter. V odbornej literatúre sa za deti v riziku považujú: (1) deti so zdravotným postihnutím, (2) deti s vývinovým oneskorením a (3) deti, u ktorých ohrozenie </w:t>
      </w:r>
      <w:r w:rsidR="00B24660">
        <w:rPr>
          <w:rFonts w:eastAsia="Arial Narrow" w:cs="Arial Narrow"/>
          <w:color w:val="000000"/>
        </w:rPr>
        <w:t>vyplýva</w:t>
      </w:r>
      <w:r>
        <w:rPr>
          <w:rFonts w:eastAsia="Arial Narrow" w:cs="Arial Narrow"/>
          <w:color w:val="000000"/>
        </w:rPr>
        <w:t xml:space="preserve"> z biologických podmienok alebo podmienok prostredia (predovšetkým z nepriaznivej </w:t>
      </w:r>
      <w:r w:rsidR="00BD13BE">
        <w:rPr>
          <w:rFonts w:eastAsia="Arial Narrow" w:cs="Arial Narrow"/>
          <w:color w:val="000000"/>
        </w:rPr>
        <w:t>sociálnej situácie</w:t>
      </w:r>
      <w:r>
        <w:rPr>
          <w:rFonts w:eastAsia="Arial Narrow" w:cs="Arial Narrow"/>
          <w:color w:val="000000"/>
        </w:rPr>
        <w:t xml:space="preserve">). </w:t>
      </w:r>
      <w:r w:rsidR="002D7EAF">
        <w:rPr>
          <w:rFonts w:eastAsia="Arial Narrow" w:cs="Arial Narrow"/>
          <w:color w:val="000000"/>
        </w:rPr>
        <w:t>P</w:t>
      </w:r>
      <w:r>
        <w:rPr>
          <w:rFonts w:eastAsia="Arial Narrow" w:cs="Arial Narrow"/>
          <w:color w:val="000000"/>
        </w:rPr>
        <w:t>rístup je založený na spolupráci rodiny a odborníkov poskytujúcich</w:t>
      </w:r>
      <w:r w:rsidR="0070047D">
        <w:rPr>
          <w:rFonts w:eastAsia="Arial Narrow" w:cs="Arial Narrow"/>
          <w:color w:val="000000"/>
        </w:rPr>
        <w:t xml:space="preserve"> </w:t>
      </w:r>
      <w:r>
        <w:rPr>
          <w:rFonts w:eastAsia="Arial Narrow" w:cs="Arial Narrow"/>
          <w:color w:val="000000"/>
        </w:rPr>
        <w:t>zdravotnícke, sociálne, psychologické a vzdelávacie služby (pediatrov, sociálnych pracovníkov, liečebných</w:t>
      </w:r>
      <w:r w:rsidR="0070047D">
        <w:rPr>
          <w:rFonts w:eastAsia="Arial Narrow" w:cs="Arial Narrow"/>
          <w:color w:val="000000"/>
        </w:rPr>
        <w:t xml:space="preserve"> </w:t>
      </w:r>
      <w:r>
        <w:rPr>
          <w:rFonts w:eastAsia="Arial Narrow" w:cs="Arial Narrow"/>
          <w:color w:val="000000"/>
        </w:rPr>
        <w:t xml:space="preserve">a špeciálnych pedagógov, psychológov a i.) (Cangár a kol, </w:t>
      </w:r>
      <w:r w:rsidRPr="008673DB">
        <w:rPr>
          <w:rFonts w:eastAsia="Arial Narrow" w:cs="Arial Narrow"/>
          <w:color w:val="000000"/>
        </w:rPr>
        <w:t>2016</w:t>
      </w:r>
      <w:r>
        <w:rPr>
          <w:rFonts w:eastAsia="Arial Narrow" w:cs="Arial Narrow"/>
          <w:color w:val="000000"/>
        </w:rPr>
        <w:t xml:space="preserve"> a APPVI, 2019</w:t>
      </w:r>
      <w:r w:rsidRPr="008673DB">
        <w:rPr>
          <w:rFonts w:eastAsia="Arial Narrow" w:cs="Arial Narrow"/>
          <w:color w:val="000000"/>
        </w:rPr>
        <w:t>)</w:t>
      </w:r>
      <w:r>
        <w:rPr>
          <w:rFonts w:eastAsia="Arial Narrow" w:cs="Arial Narrow"/>
          <w:color w:val="000000"/>
        </w:rPr>
        <w:t>.</w:t>
      </w:r>
    </w:p>
    <w:p w14:paraId="1F77398C" w14:textId="0AA90035" w:rsidR="008E46D8" w:rsidRDefault="002D7EAF" w:rsidP="00C8342B">
      <w:pPr>
        <w:pBdr>
          <w:top w:val="nil"/>
          <w:left w:val="nil"/>
          <w:bottom w:val="nil"/>
          <w:right w:val="nil"/>
          <w:between w:val="nil"/>
        </w:pBdr>
        <w:rPr>
          <w:rFonts w:eastAsia="Arial Narrow" w:cs="Arial Narrow"/>
          <w:color w:val="000000"/>
        </w:rPr>
      </w:pPr>
      <w:r>
        <w:rPr>
          <w:rFonts w:eastAsia="Arial Narrow" w:cs="Arial Narrow"/>
          <w:b/>
          <w:color w:val="000000"/>
        </w:rPr>
        <w:t>V</w:t>
      </w:r>
      <w:r w:rsidR="008E46D8">
        <w:rPr>
          <w:rFonts w:eastAsia="Arial Narrow" w:cs="Arial Narrow"/>
          <w:b/>
          <w:color w:val="000000"/>
        </w:rPr>
        <w:t> roku 2018 sa horná hranica počtu detí v riziku mohla pohybovať okolo 5 822 detí (9,2 % detí populačného ročníka)</w:t>
      </w:r>
      <w:r w:rsidR="008E46D8" w:rsidRPr="004B2C1B">
        <w:rPr>
          <w:rFonts w:eastAsia="Arial Narrow" w:cs="Arial Narrow"/>
          <w:b/>
          <w:color w:val="000000"/>
        </w:rPr>
        <w:t>.</w:t>
      </w:r>
      <w:r w:rsidR="008E46D8">
        <w:rPr>
          <w:rStyle w:val="Odkaznapoznmkupodiarou"/>
          <w:rFonts w:eastAsia="Arial Narrow" w:cs="Arial Narrow"/>
          <w:b/>
          <w:color w:val="000000"/>
        </w:rPr>
        <w:footnoteReference w:id="40"/>
      </w:r>
      <w:r w:rsidR="008E46D8" w:rsidRPr="004B2C1B">
        <w:rPr>
          <w:rFonts w:eastAsia="Arial Narrow" w:cs="Arial Narrow"/>
          <w:b/>
          <w:color w:val="000000"/>
        </w:rPr>
        <w:t xml:space="preserve"> </w:t>
      </w:r>
      <w:r w:rsidR="008E46D8" w:rsidRPr="004B2C1B">
        <w:rPr>
          <w:rFonts w:eastAsia="Arial Narrow" w:cs="Arial Narrow"/>
          <w:color w:val="000000"/>
        </w:rPr>
        <w:t>Presné dáta o veľkosti celkovej populácie detí v riziku buď chýbajú</w:t>
      </w:r>
      <w:r w:rsidR="001B5815">
        <w:rPr>
          <w:rFonts w:eastAsia="Arial Narrow" w:cs="Arial Narrow"/>
          <w:color w:val="000000"/>
        </w:rPr>
        <w:t>,</w:t>
      </w:r>
      <w:r w:rsidR="008E46D8" w:rsidRPr="004B2C1B">
        <w:rPr>
          <w:rFonts w:eastAsia="Arial Narrow" w:cs="Arial Narrow"/>
          <w:color w:val="000000"/>
        </w:rPr>
        <w:t xml:space="preserve"> alebo sú naprieč rezortmi definované a zbierané rôznorodo.</w:t>
      </w:r>
      <w:r w:rsidR="008E46D8" w:rsidRPr="004B2C1B">
        <w:rPr>
          <w:rFonts w:eastAsia="Arial Narrow" w:cs="Arial Narrow"/>
          <w:b/>
          <w:color w:val="000000"/>
        </w:rPr>
        <w:t xml:space="preserve"> </w:t>
      </w:r>
      <w:r w:rsidR="008E46D8">
        <w:rPr>
          <w:rFonts w:eastAsia="Arial Narrow" w:cs="Arial Narrow"/>
          <w:color w:val="000000"/>
        </w:rPr>
        <w:t>Podľa údajov</w:t>
      </w:r>
      <w:r w:rsidR="008E46D8" w:rsidRPr="004B2C1B">
        <w:rPr>
          <w:rFonts w:eastAsia="Arial Narrow" w:cs="Arial Narrow"/>
          <w:color w:val="000000"/>
        </w:rPr>
        <w:t xml:space="preserve"> z rezortu školstva </w:t>
      </w:r>
      <w:r w:rsidR="008E46D8">
        <w:rPr>
          <w:rFonts w:eastAsia="Arial Narrow" w:cs="Arial Narrow"/>
          <w:color w:val="000000"/>
        </w:rPr>
        <w:t>malo v roku 2018 zdravotné postihnutie diagnostikovaných 3 044 žiakov nultého, prípravného a prvého ročníka (4,8 % zo všetkých žiakov nultého, prípravného a prvého ročníka)</w:t>
      </w:r>
      <w:r w:rsidR="008E46D8" w:rsidRPr="004B2C1B">
        <w:rPr>
          <w:rFonts w:eastAsia="Arial Narrow" w:cs="Arial Narrow"/>
          <w:color w:val="000000"/>
        </w:rPr>
        <w:t>.</w:t>
      </w:r>
      <w:r w:rsidR="008E46D8" w:rsidRPr="004B2C1B">
        <w:rPr>
          <w:rStyle w:val="Odkaznapoznmkupodiarou"/>
          <w:rFonts w:eastAsia="Arial Narrow" w:cs="Arial Narrow"/>
          <w:color w:val="000000"/>
        </w:rPr>
        <w:footnoteReference w:id="41"/>
      </w:r>
      <w:r w:rsidR="008E46D8" w:rsidRPr="004B2C1B">
        <w:rPr>
          <w:rFonts w:eastAsia="Arial Narrow" w:cs="Arial Narrow"/>
          <w:color w:val="000000"/>
        </w:rPr>
        <w:t xml:space="preserve"> </w:t>
      </w:r>
      <w:r w:rsidR="008E46D8">
        <w:rPr>
          <w:rFonts w:eastAsia="Arial Narrow" w:cs="Arial Narrow"/>
          <w:color w:val="000000"/>
        </w:rPr>
        <w:t xml:space="preserve">Počet detí s vývinovým oneskorením bez potvrdeného zdravotného postihnutia nepoznáme. </w:t>
      </w:r>
      <w:r w:rsidR="003F37D1">
        <w:rPr>
          <w:rFonts w:eastAsia="Arial Narrow" w:cs="Arial Narrow"/>
          <w:color w:val="000000"/>
        </w:rPr>
        <w:t xml:space="preserve">Za deti, u ktorých ohrozenie vyplýva z podmienok prostredia s koncentrovanou generačne reprodukovanou chudobou, možno považovať najmä deti z </w:t>
      </w:r>
      <w:r w:rsidR="003F37D1" w:rsidRPr="004B2C1B">
        <w:rPr>
          <w:rFonts w:eastAsia="Arial Narrow" w:cs="Arial Narrow"/>
          <w:color w:val="000000"/>
        </w:rPr>
        <w:t>marginalizovaných rómskych komunít</w:t>
      </w:r>
      <w:r w:rsidR="003F37D1">
        <w:rPr>
          <w:rFonts w:eastAsia="Arial Narrow" w:cs="Arial Narrow"/>
          <w:color w:val="000000"/>
        </w:rPr>
        <w:t xml:space="preserve">. </w:t>
      </w:r>
      <w:r w:rsidR="008E46D8">
        <w:rPr>
          <w:rFonts w:eastAsia="Arial Narrow" w:cs="Arial Narrow"/>
          <w:color w:val="000000"/>
        </w:rPr>
        <w:t xml:space="preserve">V roku 2018 </w:t>
      </w:r>
      <w:r w:rsidR="008E46D8">
        <w:rPr>
          <w:rFonts w:eastAsia="Arial Narrow" w:cs="Arial Narrow"/>
          <w:color w:val="000000"/>
        </w:rPr>
        <w:lastRenderedPageBreak/>
        <w:t>bola veľkosť populačného roč</w:t>
      </w:r>
      <w:r w:rsidR="001B5815">
        <w:rPr>
          <w:rFonts w:eastAsia="Arial Narrow" w:cs="Arial Narrow"/>
          <w:color w:val="000000"/>
        </w:rPr>
        <w:t>níka detí z MRK 2 778 detí (4,4 </w:t>
      </w:r>
      <w:r w:rsidR="008E46D8">
        <w:rPr>
          <w:rFonts w:eastAsia="Arial Narrow" w:cs="Arial Narrow"/>
          <w:color w:val="000000"/>
        </w:rPr>
        <w:t>% zo všetkých žiakov nultého, prípravného a prvého ročníka)</w:t>
      </w:r>
      <w:r w:rsidR="008E46D8" w:rsidRPr="004B2C1B">
        <w:rPr>
          <w:rFonts w:eastAsia="Arial Narrow" w:cs="Arial Narrow"/>
          <w:color w:val="000000"/>
        </w:rPr>
        <w:t>.</w:t>
      </w:r>
      <w:r w:rsidR="008E46D8" w:rsidRPr="004B2C1B">
        <w:rPr>
          <w:rStyle w:val="Odkaznapoznmkupodiarou"/>
          <w:rFonts w:eastAsia="Arial Narrow" w:cs="Arial Narrow"/>
          <w:color w:val="000000"/>
        </w:rPr>
        <w:footnoteReference w:id="42"/>
      </w:r>
      <w:r w:rsidR="008E46D8">
        <w:rPr>
          <w:rFonts w:eastAsia="Arial Narrow" w:cs="Arial Narrow"/>
          <w:color w:val="000000"/>
        </w:rPr>
        <w:t xml:space="preserve"> </w:t>
      </w:r>
    </w:p>
    <w:p w14:paraId="3BE77FBC" w14:textId="063F4C79" w:rsidR="008E46D8" w:rsidRDefault="008E46D8" w:rsidP="00C8342B">
      <w:pPr>
        <w:pBdr>
          <w:top w:val="nil"/>
          <w:left w:val="nil"/>
          <w:bottom w:val="nil"/>
          <w:right w:val="nil"/>
          <w:between w:val="nil"/>
        </w:pBdr>
        <w:rPr>
          <w:rFonts w:eastAsia="Arial Narrow" w:cs="Arial Narrow"/>
          <w:color w:val="000000"/>
        </w:rPr>
      </w:pPr>
      <w:r>
        <w:rPr>
          <w:rFonts w:eastAsia="Arial Narrow" w:cs="Arial Narrow"/>
          <w:b/>
          <w:bCs/>
          <w:color w:val="000000"/>
        </w:rPr>
        <w:t>S</w:t>
      </w:r>
      <w:r w:rsidRPr="00191301">
        <w:rPr>
          <w:rFonts w:eastAsia="Arial Narrow" w:cs="Arial Narrow"/>
          <w:b/>
          <w:bCs/>
          <w:color w:val="000000"/>
        </w:rPr>
        <w:t xml:space="preserve">lužby </w:t>
      </w:r>
      <w:r>
        <w:rPr>
          <w:rFonts w:eastAsia="Arial Narrow" w:cs="Arial Narrow"/>
          <w:b/>
          <w:bCs/>
          <w:color w:val="000000"/>
        </w:rPr>
        <w:t>zamerané na</w:t>
      </w:r>
      <w:r w:rsidRPr="00191301">
        <w:rPr>
          <w:rFonts w:eastAsia="Arial Narrow" w:cs="Arial Narrow"/>
          <w:b/>
          <w:bCs/>
          <w:color w:val="000000"/>
        </w:rPr>
        <w:t xml:space="preserve"> deti v riziku zabezpečujú v súčasnosti </w:t>
      </w:r>
      <w:r w:rsidR="005C1C62">
        <w:rPr>
          <w:rFonts w:eastAsia="Arial Narrow" w:cs="Arial Narrow"/>
          <w:b/>
          <w:bCs/>
          <w:color w:val="000000"/>
        </w:rPr>
        <w:t>ministerstvá zdravotníctva, práce a</w:t>
      </w:r>
      <w:r w:rsidRPr="00191301">
        <w:rPr>
          <w:rFonts w:eastAsia="Arial Narrow" w:cs="Arial Narrow"/>
          <w:b/>
          <w:bCs/>
          <w:color w:val="000000"/>
        </w:rPr>
        <w:t xml:space="preserve"> školstva.</w:t>
      </w:r>
      <w:r w:rsidRPr="001A3D6A">
        <w:rPr>
          <w:rFonts w:eastAsia="Arial Narrow" w:cs="Arial Narrow"/>
          <w:color w:val="000000"/>
        </w:rPr>
        <w:t xml:space="preserve"> V rezorte zdravotníctva identifikujú prvé možné riziká vývinu gynekologicko-pôrodnícke oddelenia (GPO). </w:t>
      </w:r>
      <w:r w:rsidR="003F37D1" w:rsidRPr="001A3D6A">
        <w:rPr>
          <w:rFonts w:eastAsia="Arial Narrow" w:cs="Arial Narrow"/>
          <w:color w:val="000000"/>
        </w:rPr>
        <w:t xml:space="preserve">V rezorte práce a sociálnych vecí poskytovatelia služby včasnej intervencie (PSVI) pracujú </w:t>
      </w:r>
      <w:r w:rsidR="003F37D1">
        <w:rPr>
          <w:rFonts w:eastAsia="Arial Narrow" w:cs="Arial Narrow"/>
          <w:color w:val="000000"/>
        </w:rPr>
        <w:t xml:space="preserve"> s rodinami s deťmi so zdravotným postihnutím do siedmeho roku veku dieťaťa</w:t>
      </w:r>
      <w:r w:rsidR="003F37D1" w:rsidRPr="001A3D6A">
        <w:rPr>
          <w:rFonts w:eastAsia="Arial Narrow" w:cs="Arial Narrow"/>
          <w:color w:val="000000"/>
        </w:rPr>
        <w:t xml:space="preserve">. </w:t>
      </w:r>
      <w:r w:rsidRPr="001A3D6A">
        <w:rPr>
          <w:rFonts w:eastAsia="Arial Narrow" w:cs="Arial Narrow"/>
          <w:color w:val="000000"/>
        </w:rPr>
        <w:t>V rezorte školstva sa centrá špeciálno-pedagogického poradenstva (CŠPP) zameriavajú najmä na prácu s</w:t>
      </w:r>
      <w:r>
        <w:rPr>
          <w:rFonts w:eastAsia="Arial Narrow" w:cs="Arial Narrow"/>
          <w:color w:val="000000"/>
        </w:rPr>
        <w:t>o samotnými </w:t>
      </w:r>
      <w:r w:rsidRPr="001A3D6A">
        <w:rPr>
          <w:rFonts w:eastAsia="Arial Narrow" w:cs="Arial Narrow"/>
          <w:color w:val="000000"/>
        </w:rPr>
        <w:t>deťmi</w:t>
      </w:r>
      <w:r>
        <w:rPr>
          <w:rFonts w:eastAsia="Arial Narrow" w:cs="Arial Narrow"/>
          <w:color w:val="000000"/>
        </w:rPr>
        <w:t xml:space="preserve"> so zdravotným postihnutím a</w:t>
      </w:r>
      <w:r w:rsidRPr="001A3D6A">
        <w:rPr>
          <w:rFonts w:eastAsia="Arial Narrow" w:cs="Arial Narrow"/>
          <w:color w:val="000000"/>
        </w:rPr>
        <w:t xml:space="preserve"> stimulujú ich vývin prostredníctvom špeciálno-pedagogickej starostlivosti. </w:t>
      </w:r>
    </w:p>
    <w:p w14:paraId="3B1C1AE6" w14:textId="0C16E5B2" w:rsidR="008E46D8" w:rsidRDefault="008E46D8" w:rsidP="00C8342B">
      <w:pPr>
        <w:pBdr>
          <w:top w:val="nil"/>
          <w:left w:val="nil"/>
          <w:bottom w:val="nil"/>
          <w:right w:val="nil"/>
          <w:between w:val="nil"/>
        </w:pBdr>
        <w:rPr>
          <w:rFonts w:eastAsia="Arial Narrow" w:cs="Arial Narrow"/>
          <w:color w:val="000000"/>
        </w:rPr>
      </w:pPr>
      <w:r w:rsidRPr="001A3D6A">
        <w:rPr>
          <w:rFonts w:eastAsia="Arial Narrow" w:cs="Arial Narrow"/>
          <w:b/>
          <w:color w:val="000000"/>
        </w:rPr>
        <w:t>Na</w:t>
      </w:r>
      <w:r w:rsidR="003F37D1">
        <w:rPr>
          <w:rFonts w:eastAsia="Arial Narrow" w:cs="Arial Narrow"/>
          <w:b/>
          <w:color w:val="000000"/>
        </w:rPr>
        <w:t xml:space="preserve"> intervenčnú formalizovanú</w:t>
      </w:r>
      <w:r w:rsidRPr="001A3D6A">
        <w:rPr>
          <w:rFonts w:eastAsia="Arial Narrow" w:cs="Arial Narrow"/>
          <w:b/>
          <w:color w:val="000000"/>
        </w:rPr>
        <w:t xml:space="preserve"> starostlivosť v ranom veku nemá nárok veľká časť</w:t>
      </w:r>
      <w:r>
        <w:rPr>
          <w:rFonts w:eastAsia="Arial Narrow" w:cs="Arial Narrow"/>
          <w:b/>
          <w:color w:val="000000"/>
        </w:rPr>
        <w:t xml:space="preserve"> </w:t>
      </w:r>
      <w:r w:rsidRPr="001A3D6A">
        <w:rPr>
          <w:rFonts w:eastAsia="Arial Narrow" w:cs="Arial Narrow"/>
          <w:b/>
          <w:color w:val="000000"/>
        </w:rPr>
        <w:t>detí</w:t>
      </w:r>
      <w:r>
        <w:rPr>
          <w:rFonts w:eastAsia="Arial Narrow" w:cs="Arial Narrow"/>
          <w:b/>
          <w:color w:val="000000"/>
        </w:rPr>
        <w:t xml:space="preserve"> v riziku</w:t>
      </w:r>
      <w:r w:rsidRPr="001A3D6A">
        <w:rPr>
          <w:rFonts w:eastAsia="Arial Narrow" w:cs="Arial Narrow"/>
          <w:b/>
          <w:color w:val="000000"/>
        </w:rPr>
        <w:t xml:space="preserve">. </w:t>
      </w:r>
      <w:r w:rsidRPr="001A3D6A">
        <w:rPr>
          <w:rFonts w:eastAsia="Arial Narrow" w:cs="Arial Narrow"/>
          <w:color w:val="000000"/>
        </w:rPr>
        <w:t xml:space="preserve">V súčasnosti majú </w:t>
      </w:r>
      <w:r>
        <w:rPr>
          <w:rFonts w:eastAsia="Arial Narrow" w:cs="Arial Narrow"/>
          <w:color w:val="000000"/>
        </w:rPr>
        <w:t>v rezorte práce a v rezorte školstva na starostlivosť nárok</w:t>
      </w:r>
      <w:r w:rsidRPr="001A3D6A">
        <w:rPr>
          <w:rFonts w:eastAsia="Arial Narrow" w:cs="Arial Narrow"/>
          <w:color w:val="000000"/>
        </w:rPr>
        <w:t xml:space="preserve"> iba deti s</w:t>
      </w:r>
      <w:r>
        <w:rPr>
          <w:rFonts w:eastAsia="Arial Narrow" w:cs="Arial Narrow"/>
          <w:color w:val="000000"/>
        </w:rPr>
        <w:t xml:space="preserve"> lekársky </w:t>
      </w:r>
      <w:r w:rsidRPr="001A3D6A">
        <w:rPr>
          <w:rFonts w:eastAsia="Arial Narrow" w:cs="Arial Narrow"/>
          <w:color w:val="000000"/>
        </w:rPr>
        <w:t>potvrdeným zdravotným postihnutím. Systém</w:t>
      </w:r>
      <w:r w:rsidRPr="001A3D6A">
        <w:rPr>
          <w:rFonts w:eastAsia="Arial Narrow" w:cs="Arial Narrow"/>
          <w:b/>
          <w:color w:val="000000"/>
        </w:rPr>
        <w:t xml:space="preserve"> </w:t>
      </w:r>
      <w:r w:rsidRPr="001A3D6A">
        <w:rPr>
          <w:rFonts w:eastAsia="Arial Narrow" w:cs="Arial Narrow"/>
          <w:color w:val="000000"/>
        </w:rPr>
        <w:t xml:space="preserve">tak negarantuje </w:t>
      </w:r>
      <w:r>
        <w:rPr>
          <w:rFonts w:eastAsia="Arial Narrow" w:cs="Arial Narrow"/>
          <w:color w:val="000000"/>
        </w:rPr>
        <w:t>prístup k službám</w:t>
      </w:r>
      <w:r w:rsidRPr="001A3D6A">
        <w:rPr>
          <w:rFonts w:eastAsia="Arial Narrow" w:cs="Arial Narrow"/>
          <w:color w:val="000000"/>
        </w:rPr>
        <w:t xml:space="preserve"> pre deti s vývinovým oneskorením</w:t>
      </w:r>
      <w:r>
        <w:rPr>
          <w:rFonts w:eastAsia="Arial Narrow" w:cs="Arial Narrow"/>
          <w:color w:val="000000"/>
        </w:rPr>
        <w:t xml:space="preserve"> (bez potvrdeného zdravotného postihnutia) a pre deti zo sociálne znevýhodneného prostredia. </w:t>
      </w:r>
    </w:p>
    <w:p w14:paraId="4040CDF5" w14:textId="7023C825" w:rsidR="008E46D8" w:rsidRDefault="003F37D1" w:rsidP="00C8342B">
      <w:pPr>
        <w:pBdr>
          <w:top w:val="nil"/>
          <w:left w:val="nil"/>
          <w:bottom w:val="nil"/>
          <w:right w:val="nil"/>
          <w:between w:val="nil"/>
        </w:pBdr>
        <w:rPr>
          <w:rFonts w:eastAsia="Arial Narrow" w:cs="Arial Narrow"/>
          <w:color w:val="000000"/>
        </w:rPr>
      </w:pPr>
      <w:r>
        <w:rPr>
          <w:rFonts w:eastAsia="Arial Narrow" w:cs="Arial Narrow"/>
          <w:b/>
          <w:color w:val="000000"/>
        </w:rPr>
        <w:t>M</w:t>
      </w:r>
      <w:r w:rsidRPr="00075A77">
        <w:rPr>
          <w:rFonts w:eastAsia="Arial Narrow" w:cs="Arial Narrow"/>
          <w:b/>
          <w:color w:val="000000"/>
        </w:rPr>
        <w:t>edzirezortná spolupráca</w:t>
      </w:r>
      <w:r>
        <w:rPr>
          <w:rFonts w:eastAsia="Arial Narrow" w:cs="Arial Narrow"/>
          <w:b/>
          <w:color w:val="000000"/>
        </w:rPr>
        <w:t xml:space="preserve"> na zabezpečenie kvalitnej  udržateľnej a dostupnej  integrovanej intervenčnej formalizovanej starostlivosti v ranom veku je </w:t>
      </w:r>
      <w:r w:rsidR="008E46D8">
        <w:rPr>
          <w:rFonts w:eastAsia="Arial Narrow" w:cs="Arial Narrow"/>
          <w:b/>
          <w:color w:val="000000"/>
        </w:rPr>
        <w:t>nedostatočná.</w:t>
      </w:r>
      <w:r w:rsidR="008E46D8">
        <w:rPr>
          <w:rStyle w:val="Odkaznapoznmkupodiarou"/>
          <w:rFonts w:eastAsia="Arial Narrow" w:cs="Arial Narrow"/>
          <w:b/>
          <w:color w:val="000000"/>
        </w:rPr>
        <w:footnoteReference w:id="43"/>
      </w:r>
      <w:r w:rsidR="008E46D8">
        <w:rPr>
          <w:rFonts w:eastAsia="Arial Narrow" w:cs="Arial Narrow"/>
          <w:b/>
          <w:color w:val="000000"/>
        </w:rPr>
        <w:t xml:space="preserve"> To má</w:t>
      </w:r>
      <w:r w:rsidR="008E46D8" w:rsidRPr="00075A77">
        <w:rPr>
          <w:rFonts w:eastAsia="Arial Narrow" w:cs="Arial Narrow"/>
          <w:b/>
          <w:color w:val="000000"/>
        </w:rPr>
        <w:t xml:space="preserve"> negatívny vplyv na dostupnosť a kvalitu služieb ranej starostlivosti</w:t>
      </w:r>
      <w:r w:rsidR="00EB2714">
        <w:rPr>
          <w:rFonts w:eastAsia="Arial Narrow" w:cs="Arial Narrow"/>
          <w:b/>
          <w:color w:val="000000"/>
        </w:rPr>
        <w:t xml:space="preserve"> pre cieľovú skupinu detí</w:t>
      </w:r>
      <w:r w:rsidR="008E46D8" w:rsidRPr="001A3D6A">
        <w:rPr>
          <w:rFonts w:eastAsia="Arial Narrow" w:cs="Arial Narrow"/>
          <w:b/>
          <w:color w:val="000000"/>
        </w:rPr>
        <w:t xml:space="preserve">. </w:t>
      </w:r>
      <w:r w:rsidR="008E46D8" w:rsidRPr="001A3D6A">
        <w:rPr>
          <w:rFonts w:eastAsia="Arial Narrow" w:cs="Arial Narrow"/>
          <w:color w:val="000000"/>
        </w:rPr>
        <w:t xml:space="preserve">Chýba nadrezortná stratégia, v súlade s ktorou by sa systém </w:t>
      </w:r>
      <w:r w:rsidR="008E46D8">
        <w:rPr>
          <w:rFonts w:eastAsia="Arial Narrow" w:cs="Arial Narrow"/>
          <w:color w:val="000000"/>
        </w:rPr>
        <w:t xml:space="preserve">ranej </w:t>
      </w:r>
      <w:r w:rsidR="008E46D8" w:rsidRPr="001A3D6A">
        <w:rPr>
          <w:rFonts w:eastAsia="Arial Narrow" w:cs="Arial Narrow"/>
          <w:color w:val="000000"/>
        </w:rPr>
        <w:t>starostlivosti o</w:t>
      </w:r>
      <w:r w:rsidR="008E46D8">
        <w:rPr>
          <w:rFonts w:eastAsia="Arial Narrow" w:cs="Arial Narrow"/>
          <w:color w:val="000000"/>
        </w:rPr>
        <w:t> </w:t>
      </w:r>
      <w:r w:rsidR="008E46D8" w:rsidRPr="001A3D6A">
        <w:rPr>
          <w:rFonts w:eastAsia="Arial Narrow" w:cs="Arial Narrow"/>
          <w:color w:val="000000"/>
        </w:rPr>
        <w:t>deti</w:t>
      </w:r>
      <w:r w:rsidR="008E46D8">
        <w:rPr>
          <w:rFonts w:eastAsia="Arial Narrow" w:cs="Arial Narrow"/>
          <w:color w:val="000000"/>
        </w:rPr>
        <w:t xml:space="preserve"> v riziku</w:t>
      </w:r>
      <w:r w:rsidR="008E46D8" w:rsidRPr="001A3D6A">
        <w:rPr>
          <w:rFonts w:eastAsia="Arial Narrow" w:cs="Arial Narrow"/>
          <w:color w:val="000000"/>
        </w:rPr>
        <w:t xml:space="preserve"> mohol </w:t>
      </w:r>
      <w:r w:rsidR="00EB2714">
        <w:rPr>
          <w:rFonts w:eastAsia="Arial Narrow" w:cs="Arial Narrow"/>
          <w:color w:val="000000"/>
        </w:rPr>
        <w:t xml:space="preserve">integrovane a </w:t>
      </w:r>
      <w:r w:rsidR="008E46D8" w:rsidRPr="001A3D6A">
        <w:rPr>
          <w:rFonts w:eastAsia="Arial Narrow" w:cs="Arial Narrow"/>
          <w:color w:val="000000"/>
        </w:rPr>
        <w:t>systematicky rozvíjať.</w:t>
      </w:r>
      <w:r w:rsidR="008E46D8">
        <w:rPr>
          <w:rFonts w:eastAsia="Arial Narrow" w:cs="Arial Narrow"/>
          <w:color w:val="000000"/>
        </w:rPr>
        <w:t xml:space="preserve"> </w:t>
      </w:r>
      <w:r w:rsidR="008E46D8" w:rsidRPr="00075A77">
        <w:rPr>
          <w:rFonts w:eastAsia="Arial Narrow" w:cs="Arial Narrow"/>
          <w:color w:val="000000"/>
        </w:rPr>
        <w:t>Každý rezort si</w:t>
      </w:r>
      <w:r w:rsidR="008E46D8">
        <w:rPr>
          <w:rFonts w:eastAsia="Arial Narrow" w:cs="Arial Narrow"/>
          <w:color w:val="000000"/>
        </w:rPr>
        <w:t xml:space="preserve"> okruh prijímateľov,</w:t>
      </w:r>
      <w:r w:rsidR="008E46D8" w:rsidRPr="00075A77">
        <w:rPr>
          <w:rFonts w:eastAsia="Arial Narrow" w:cs="Arial Narrow"/>
          <w:color w:val="000000"/>
        </w:rPr>
        <w:t xml:space="preserve"> </w:t>
      </w:r>
      <w:r w:rsidR="008E46D8">
        <w:rPr>
          <w:rFonts w:eastAsia="Arial Narrow" w:cs="Arial Narrow"/>
          <w:color w:val="000000"/>
        </w:rPr>
        <w:t>služby a s nimi spojené činnosti, na ne nadväzujúce štandardy</w:t>
      </w:r>
      <w:r w:rsidR="008E46D8" w:rsidRPr="00075A77">
        <w:rPr>
          <w:rFonts w:eastAsia="Arial Narrow" w:cs="Arial Narrow"/>
          <w:color w:val="000000"/>
          <w:vertAlign w:val="superscript"/>
        </w:rPr>
        <w:footnoteReference w:id="44"/>
      </w:r>
      <w:r w:rsidR="00EB2714">
        <w:rPr>
          <w:rFonts w:eastAsia="Arial Narrow" w:cs="Arial Narrow"/>
          <w:color w:val="000000"/>
        </w:rPr>
        <w:t>, ako</w:t>
      </w:r>
      <w:r w:rsidR="008E46D8">
        <w:rPr>
          <w:rFonts w:eastAsia="Arial Narrow" w:cs="Arial Narrow"/>
          <w:color w:val="000000"/>
        </w:rPr>
        <w:t xml:space="preserve"> aj štruktúru služieb a systém financovania </w:t>
      </w:r>
      <w:r w:rsidR="008E46D8" w:rsidRPr="00075A77">
        <w:rPr>
          <w:rFonts w:eastAsia="Arial Narrow" w:cs="Arial Narrow"/>
          <w:color w:val="000000"/>
        </w:rPr>
        <w:t>nastavuje samostatne.</w:t>
      </w:r>
      <w:r w:rsidR="008E46D8" w:rsidRPr="001A3D6A">
        <w:rPr>
          <w:rFonts w:eastAsia="Arial Narrow" w:cs="Arial Narrow"/>
          <w:color w:val="000000"/>
        </w:rPr>
        <w:t xml:space="preserve"> Nedostatočná je aj podpora </w:t>
      </w:r>
      <w:r w:rsidR="00EB2714">
        <w:rPr>
          <w:rFonts w:eastAsia="Arial Narrow" w:cs="Arial Narrow"/>
          <w:color w:val="000000"/>
        </w:rPr>
        <w:t xml:space="preserve">celoživotného </w:t>
      </w:r>
      <w:r w:rsidR="008E46D8" w:rsidRPr="001A3D6A">
        <w:rPr>
          <w:rFonts w:eastAsia="Arial Narrow" w:cs="Arial Narrow"/>
          <w:color w:val="000000"/>
        </w:rPr>
        <w:t xml:space="preserve">vzdelávania odborníkov v tejto oblasti s dôrazom na ich špecializáciu v medzinárodne uznávaných metódach. </w:t>
      </w:r>
    </w:p>
    <w:p w14:paraId="112A1922" w14:textId="05DEBB47" w:rsidR="008E46D8" w:rsidRDefault="008E46D8" w:rsidP="00C8342B">
      <w:pPr>
        <w:pBdr>
          <w:top w:val="nil"/>
          <w:left w:val="nil"/>
          <w:bottom w:val="nil"/>
          <w:right w:val="nil"/>
          <w:between w:val="nil"/>
        </w:pBdr>
        <w:rPr>
          <w:rFonts w:eastAsia="Arial Narrow" w:cs="Arial Narrow"/>
          <w:b/>
          <w:color w:val="000000"/>
        </w:rPr>
      </w:pPr>
      <w:r w:rsidRPr="001A3D6A">
        <w:rPr>
          <w:rFonts w:eastAsia="Arial Narrow" w:cs="Arial Narrow"/>
          <w:b/>
          <w:color w:val="000000"/>
        </w:rPr>
        <w:t>Revízia navrhuje</w:t>
      </w:r>
      <w:r>
        <w:rPr>
          <w:rFonts w:eastAsia="Arial Narrow" w:cs="Arial Narrow"/>
          <w:b/>
          <w:color w:val="000000"/>
        </w:rPr>
        <w:t xml:space="preserve"> vypracovať nadrezortnú stratégiu ranej </w:t>
      </w:r>
      <w:r w:rsidR="00EB2714">
        <w:rPr>
          <w:rFonts w:eastAsia="Arial Narrow" w:cs="Arial Narrow"/>
          <w:b/>
          <w:color w:val="000000"/>
        </w:rPr>
        <w:t xml:space="preserve">intervenčnej formalizovanej </w:t>
      </w:r>
      <w:r>
        <w:rPr>
          <w:rFonts w:eastAsia="Arial Narrow" w:cs="Arial Narrow"/>
          <w:b/>
          <w:color w:val="000000"/>
        </w:rPr>
        <w:t>starostlivosti o deti v riziku v gescii úradu vlády, v súlade s ktorou by v budúcnosti mala byť legislatíva v jednotlivých rezortoch upravená tak,</w:t>
      </w:r>
      <w:r w:rsidRPr="001A3D6A">
        <w:rPr>
          <w:rFonts w:eastAsia="Arial Narrow" w:cs="Arial Narrow"/>
          <w:b/>
          <w:color w:val="000000"/>
        </w:rPr>
        <w:t xml:space="preserve"> aby </w:t>
      </w:r>
      <w:r w:rsidR="00EB2714">
        <w:rPr>
          <w:rFonts w:eastAsia="Arial Narrow" w:cs="Arial Narrow"/>
          <w:b/>
          <w:color w:val="000000"/>
        </w:rPr>
        <w:t xml:space="preserve">v záujme komplexného vývinu dieťaťa </w:t>
      </w:r>
      <w:r w:rsidRPr="001A3D6A">
        <w:rPr>
          <w:rFonts w:eastAsia="Arial Narrow" w:cs="Arial Narrow"/>
          <w:b/>
          <w:color w:val="000000"/>
        </w:rPr>
        <w:t xml:space="preserve">nárok </w:t>
      </w:r>
      <w:r>
        <w:rPr>
          <w:rFonts w:eastAsia="Arial Narrow" w:cs="Arial Narrow"/>
          <w:b/>
          <w:color w:val="000000"/>
        </w:rPr>
        <w:t xml:space="preserve">na prístup k službám </w:t>
      </w:r>
      <w:r w:rsidR="00EB2714">
        <w:rPr>
          <w:rFonts w:eastAsia="Arial Narrow" w:cs="Arial Narrow"/>
          <w:b/>
          <w:color w:val="000000"/>
        </w:rPr>
        <w:t xml:space="preserve">tejto starostlivosti </w:t>
      </w:r>
      <w:r>
        <w:rPr>
          <w:rFonts w:eastAsia="Arial Narrow" w:cs="Arial Narrow"/>
          <w:b/>
          <w:color w:val="000000"/>
        </w:rPr>
        <w:t xml:space="preserve">malo </w:t>
      </w:r>
      <w:r w:rsidRPr="001A3D6A">
        <w:rPr>
          <w:rFonts w:eastAsia="Arial Narrow" w:cs="Arial Narrow"/>
          <w:b/>
          <w:color w:val="000000"/>
        </w:rPr>
        <w:t>každé</w:t>
      </w:r>
      <w:r>
        <w:rPr>
          <w:rFonts w:eastAsia="Arial Narrow" w:cs="Arial Narrow"/>
          <w:b/>
          <w:color w:val="000000"/>
        </w:rPr>
        <w:t xml:space="preserve"> </w:t>
      </w:r>
      <w:r w:rsidRPr="001A3D6A">
        <w:rPr>
          <w:rFonts w:eastAsia="Arial Narrow" w:cs="Arial Narrow"/>
          <w:b/>
          <w:color w:val="000000"/>
        </w:rPr>
        <w:t>dieťa</w:t>
      </w:r>
      <w:r>
        <w:rPr>
          <w:rFonts w:eastAsia="Arial Narrow" w:cs="Arial Narrow"/>
          <w:b/>
          <w:color w:val="000000"/>
        </w:rPr>
        <w:t xml:space="preserve"> v</w:t>
      </w:r>
      <w:r w:rsidR="00EB2714">
        <w:rPr>
          <w:rFonts w:eastAsia="Arial Narrow" w:cs="Arial Narrow"/>
          <w:b/>
          <w:color w:val="000000"/>
        </w:rPr>
        <w:t> </w:t>
      </w:r>
      <w:r>
        <w:rPr>
          <w:rFonts w:eastAsia="Arial Narrow" w:cs="Arial Narrow"/>
          <w:b/>
          <w:color w:val="000000"/>
        </w:rPr>
        <w:t>riziku</w:t>
      </w:r>
      <w:r w:rsidR="00EB2714">
        <w:rPr>
          <w:rFonts w:eastAsia="Arial Narrow" w:cs="Arial Narrow"/>
          <w:b/>
          <w:color w:val="000000"/>
        </w:rPr>
        <w:t xml:space="preserve"> a jeho rodina</w:t>
      </w:r>
      <w:r>
        <w:rPr>
          <w:rFonts w:eastAsia="Arial Narrow" w:cs="Arial Narrow"/>
          <w:b/>
          <w:color w:val="000000"/>
        </w:rPr>
        <w:t>. Stratégia by sa tiež mala zaoberať otázkou vytvorenia nadrezortných štandardov a možnosťami spájania finančných zdrojov v odvetvovej pôsobnosti zainteresovaných rezortov v prospech jednotlivca.</w:t>
      </w:r>
      <w:r>
        <w:rPr>
          <w:rStyle w:val="Odkaznapoznmkupodiarou"/>
          <w:rFonts w:eastAsia="Arial Narrow" w:cs="Arial Narrow"/>
          <w:b/>
          <w:color w:val="000000"/>
        </w:rPr>
        <w:footnoteReference w:id="45"/>
      </w:r>
      <w:r>
        <w:rPr>
          <w:rFonts w:eastAsia="Arial Narrow" w:cs="Arial Narrow"/>
          <w:b/>
          <w:color w:val="000000"/>
        </w:rPr>
        <w:t xml:space="preserve"> </w:t>
      </w:r>
    </w:p>
    <w:p w14:paraId="1712DAC3" w14:textId="77777777" w:rsidR="008E46D8" w:rsidRDefault="008E46D8" w:rsidP="00C8342B">
      <w:pPr>
        <w:pBdr>
          <w:top w:val="nil"/>
          <w:left w:val="nil"/>
          <w:bottom w:val="nil"/>
          <w:right w:val="nil"/>
          <w:between w:val="nil"/>
        </w:pBdr>
        <w:rPr>
          <w:rFonts w:eastAsia="Arial Narrow" w:cs="Arial Narrow"/>
          <w:bCs/>
          <w:color w:val="0070C0"/>
        </w:rPr>
      </w:pPr>
      <w:r w:rsidRPr="005E53AC">
        <w:rPr>
          <w:rFonts w:eastAsia="Arial Narrow" w:cs="Arial Narrow"/>
          <w:bCs/>
          <w:color w:val="0070C0"/>
        </w:rPr>
        <w:t>Starostlivosť v rezorte zdravotníctva</w:t>
      </w:r>
    </w:p>
    <w:p w14:paraId="495F212A" w14:textId="2829A3DE" w:rsidR="008E46D8" w:rsidRDefault="005F1AFF" w:rsidP="00C8342B">
      <w:pPr>
        <w:pBdr>
          <w:top w:val="nil"/>
          <w:left w:val="nil"/>
          <w:bottom w:val="nil"/>
          <w:right w:val="nil"/>
          <w:between w:val="nil"/>
        </w:pBdr>
        <w:rPr>
          <w:rFonts w:eastAsia="Arial Narrow" w:cs="Arial Narrow"/>
          <w:color w:val="000000"/>
        </w:rPr>
      </w:pPr>
      <w:r w:rsidRPr="0008535F">
        <w:rPr>
          <w:rFonts w:eastAsia="Arial Narrow" w:cs="Arial Narrow"/>
          <w:b/>
          <w:color w:val="000000"/>
        </w:rPr>
        <w:t xml:space="preserve">Rezort zdravotníctva zohráva kľúčovú úlohu pre včasné diagnostikovanie </w:t>
      </w:r>
      <w:r>
        <w:rPr>
          <w:rFonts w:eastAsia="Arial Narrow" w:cs="Arial Narrow"/>
          <w:b/>
          <w:color w:val="000000"/>
        </w:rPr>
        <w:t>detí v riziku</w:t>
      </w:r>
      <w:r w:rsidRPr="0008535F">
        <w:rPr>
          <w:rFonts w:eastAsia="Arial Narrow" w:cs="Arial Narrow"/>
          <w:color w:val="000000"/>
        </w:rPr>
        <w:t xml:space="preserve">. Hlavným nástrojom pre identifikovanie potreby </w:t>
      </w:r>
      <w:r>
        <w:rPr>
          <w:rFonts w:eastAsia="Arial Narrow" w:cs="Arial Narrow"/>
          <w:color w:val="000000"/>
        </w:rPr>
        <w:t>starostlivosti pre deti v riziku</w:t>
      </w:r>
      <w:r w:rsidRPr="0008535F">
        <w:rPr>
          <w:rFonts w:eastAsia="Arial Narrow" w:cs="Arial Narrow"/>
          <w:color w:val="000000"/>
        </w:rPr>
        <w:t xml:space="preserve"> je okrem celoplošného novorodeneckého skríningu pre vývinové riziká aj vyšetrenie psychomotorického vývinu v prvých troch rokoch života dieťaťa</w:t>
      </w:r>
      <w:r>
        <w:rPr>
          <w:rFonts w:eastAsia="Arial Narrow" w:cs="Arial Narrow"/>
          <w:color w:val="000000"/>
        </w:rPr>
        <w:t xml:space="preserve"> (druhá až jedenásta preventívna prehliadka)</w:t>
      </w:r>
      <w:r w:rsidRPr="0008535F">
        <w:rPr>
          <w:rFonts w:eastAsia="Arial Narrow" w:cs="Arial Narrow"/>
          <w:color w:val="000000"/>
        </w:rPr>
        <w:t xml:space="preserve">. To bolo do praxe zavedené 1.2.2019. </w:t>
      </w:r>
      <w:r>
        <w:rPr>
          <w:rFonts w:eastAsia="Arial Narrow" w:cs="Arial Narrow"/>
          <w:color w:val="000000"/>
        </w:rPr>
        <w:t xml:space="preserve">Ide o dotazník pre rodičov, ktorí budú vzhľadom na nízky počet a vysokú vyťaženosť pediatrov, s vysokou pravdepodobnosťou vypĺňať sami v domácom prostredí. Dotazník je dostupný iba v slovenskom </w:t>
      </w:r>
      <w:r w:rsidR="008E46D8">
        <w:rPr>
          <w:rFonts w:eastAsia="Arial Narrow" w:cs="Arial Narrow"/>
          <w:color w:val="000000"/>
        </w:rPr>
        <w:t>jazyku.</w:t>
      </w:r>
      <w:r w:rsidR="008E46D8" w:rsidRPr="0008535F">
        <w:rPr>
          <w:rFonts w:eastAsia="Arial Narrow" w:cs="Arial Narrow"/>
          <w:color w:val="000000"/>
          <w:vertAlign w:val="superscript"/>
        </w:rPr>
        <w:footnoteReference w:id="46"/>
      </w:r>
      <w:r w:rsidR="008E46D8" w:rsidRPr="0008535F">
        <w:rPr>
          <w:rFonts w:eastAsia="Arial Narrow" w:cs="Arial Narrow"/>
          <w:color w:val="000000"/>
        </w:rPr>
        <w:t xml:space="preserve"> </w:t>
      </w:r>
    </w:p>
    <w:p w14:paraId="6188162E" w14:textId="542C49F9" w:rsidR="008E46D8" w:rsidRDefault="008E46D8" w:rsidP="00C8342B">
      <w:pPr>
        <w:pBdr>
          <w:top w:val="nil"/>
          <w:left w:val="nil"/>
          <w:bottom w:val="nil"/>
          <w:right w:val="nil"/>
          <w:between w:val="nil"/>
        </w:pBdr>
        <w:rPr>
          <w:rFonts w:eastAsia="Arial Narrow" w:cs="Arial Narrow"/>
          <w:bCs/>
          <w:color w:val="0070C0"/>
        </w:rPr>
      </w:pPr>
      <w:r w:rsidRPr="00742454">
        <w:rPr>
          <w:rFonts w:eastAsia="Arial Narrow" w:cs="Arial Narrow"/>
          <w:b/>
          <w:bCs/>
          <w:color w:val="000000"/>
        </w:rPr>
        <w:t xml:space="preserve">Revízia preto navrhuje, aby </w:t>
      </w:r>
      <w:r>
        <w:rPr>
          <w:rFonts w:eastAsia="Arial Narrow" w:cs="Arial Narrow"/>
          <w:b/>
          <w:bCs/>
          <w:color w:val="000000"/>
        </w:rPr>
        <w:t xml:space="preserve">z dôvodu možnej jazykovej bariéry a z dôvodu iných bariér prítomných v prostredí </w:t>
      </w:r>
      <w:r w:rsidR="005F1AFF">
        <w:rPr>
          <w:rFonts w:eastAsia="Arial Narrow" w:cs="Arial Narrow"/>
          <w:b/>
          <w:bCs/>
          <w:color w:val="000000"/>
        </w:rPr>
        <w:t>generačne reprodukovanej</w:t>
      </w:r>
      <w:r>
        <w:rPr>
          <w:rFonts w:eastAsia="Arial Narrow" w:cs="Arial Narrow"/>
          <w:b/>
          <w:bCs/>
          <w:color w:val="000000"/>
        </w:rPr>
        <w:t xml:space="preserve"> chudoby </w:t>
      </w:r>
      <w:r w:rsidRPr="00742454">
        <w:rPr>
          <w:rFonts w:eastAsia="Arial Narrow" w:cs="Arial Narrow"/>
          <w:b/>
          <w:bCs/>
          <w:color w:val="000000"/>
        </w:rPr>
        <w:t xml:space="preserve">rezort zdravotníctva pri administrácii dotazníka </w:t>
      </w:r>
      <w:r w:rsidRPr="00240097">
        <w:rPr>
          <w:rFonts w:eastAsia="Arial Narrow" w:cs="Arial Narrow"/>
          <w:b/>
          <w:bCs/>
          <w:color w:val="000000"/>
        </w:rPr>
        <w:t>v prostredí MRK</w:t>
      </w:r>
      <w:r w:rsidRPr="00742454">
        <w:rPr>
          <w:rFonts w:eastAsia="Arial Narrow" w:cs="Arial Narrow"/>
          <w:b/>
          <w:bCs/>
          <w:color w:val="000000"/>
        </w:rPr>
        <w:t xml:space="preserve"> zabezpečil prítomnosť pracovníkov</w:t>
      </w:r>
      <w:r>
        <w:rPr>
          <w:rFonts w:eastAsia="Arial Narrow" w:cs="Arial Narrow"/>
          <w:b/>
          <w:bCs/>
          <w:color w:val="000000"/>
        </w:rPr>
        <w:t xml:space="preserve"> osvety zdrav</w:t>
      </w:r>
      <w:r w:rsidR="00BD13BE">
        <w:rPr>
          <w:rFonts w:eastAsia="Arial Narrow" w:cs="Arial Narrow"/>
          <w:b/>
          <w:bCs/>
          <w:color w:val="000000"/>
        </w:rPr>
        <w:t>ia (</w:t>
      </w:r>
      <w:r>
        <w:rPr>
          <w:rFonts w:eastAsia="Arial Narrow" w:cs="Arial Narrow"/>
          <w:b/>
          <w:bCs/>
          <w:color w:val="000000"/>
        </w:rPr>
        <w:t xml:space="preserve">kapitola </w:t>
      </w:r>
      <w:r w:rsidR="00BD13BE">
        <w:rPr>
          <w:rFonts w:eastAsia="Arial Narrow" w:cs="Arial Narrow"/>
          <w:b/>
          <w:bCs/>
          <w:color w:val="000000"/>
          <w:highlight w:val="yellow"/>
        </w:rPr>
        <w:fldChar w:fldCharType="begin"/>
      </w:r>
      <w:r w:rsidR="00BD13BE">
        <w:rPr>
          <w:rFonts w:eastAsia="Arial Narrow" w:cs="Arial Narrow"/>
          <w:b/>
          <w:bCs/>
          <w:color w:val="000000"/>
        </w:rPr>
        <w:instrText xml:space="preserve"> REF _Ref25310095 \r \h </w:instrText>
      </w:r>
      <w:r w:rsidR="00BD13BE">
        <w:rPr>
          <w:rFonts w:eastAsia="Arial Narrow" w:cs="Arial Narrow"/>
          <w:b/>
          <w:bCs/>
          <w:color w:val="000000"/>
          <w:highlight w:val="yellow"/>
        </w:rPr>
      </w:r>
      <w:r w:rsidR="00BD13BE">
        <w:rPr>
          <w:rFonts w:eastAsia="Arial Narrow" w:cs="Arial Narrow"/>
          <w:b/>
          <w:bCs/>
          <w:color w:val="000000"/>
          <w:highlight w:val="yellow"/>
        </w:rPr>
        <w:fldChar w:fldCharType="separate"/>
      </w:r>
      <w:r w:rsidR="00FA29AF">
        <w:rPr>
          <w:rFonts w:eastAsia="Arial Narrow" w:cs="Arial Narrow"/>
          <w:b/>
          <w:bCs/>
          <w:color w:val="000000"/>
        </w:rPr>
        <w:t>11</w:t>
      </w:r>
      <w:r w:rsidR="00BD13BE">
        <w:rPr>
          <w:rFonts w:eastAsia="Arial Narrow" w:cs="Arial Narrow"/>
          <w:b/>
          <w:bCs/>
          <w:color w:val="000000"/>
          <w:highlight w:val="yellow"/>
        </w:rPr>
        <w:fldChar w:fldCharType="end"/>
      </w:r>
      <w:r w:rsidRPr="00742454">
        <w:rPr>
          <w:rFonts w:eastAsia="Arial Narrow" w:cs="Arial Narrow"/>
          <w:b/>
          <w:bCs/>
          <w:color w:val="000000"/>
        </w:rPr>
        <w:t xml:space="preserve">) alebo pracovníčok poskytujúcich ranú starostlivosť v MRK </w:t>
      </w:r>
      <w:r w:rsidRPr="006D685B">
        <w:rPr>
          <w:rFonts w:eastAsia="Arial Narrow" w:cs="Arial Narrow"/>
          <w:bCs/>
          <w:color w:val="000000"/>
        </w:rPr>
        <w:t>(časť Starostlivosť v rezorte školstva)</w:t>
      </w:r>
      <w:r>
        <w:rPr>
          <w:rFonts w:eastAsia="Arial Narrow" w:cs="Arial Narrow"/>
          <w:color w:val="000000"/>
        </w:rPr>
        <w:t>.</w:t>
      </w:r>
    </w:p>
    <w:p w14:paraId="3CC7DF51" w14:textId="77777777" w:rsidR="008E46D8" w:rsidRDefault="008E46D8" w:rsidP="00C8342B">
      <w:pPr>
        <w:pBdr>
          <w:top w:val="nil"/>
          <w:left w:val="nil"/>
          <w:bottom w:val="nil"/>
          <w:right w:val="nil"/>
          <w:between w:val="nil"/>
        </w:pBdr>
        <w:rPr>
          <w:rFonts w:eastAsia="Arial Narrow" w:cs="Arial Narrow"/>
          <w:bCs/>
          <w:color w:val="0070C0"/>
        </w:rPr>
      </w:pPr>
      <w:r w:rsidRPr="002F7120">
        <w:rPr>
          <w:rFonts w:eastAsia="Arial Narrow" w:cs="Arial Narrow"/>
          <w:bCs/>
          <w:color w:val="0070C0"/>
        </w:rPr>
        <w:lastRenderedPageBreak/>
        <w:t>Starostlivosť v rezorte práce a sociálnych vecí</w:t>
      </w:r>
    </w:p>
    <w:p w14:paraId="5ACF02E3" w14:textId="1572AB7C" w:rsidR="008E46D8" w:rsidRDefault="005F1AFF" w:rsidP="00C8342B">
      <w:pPr>
        <w:pBdr>
          <w:top w:val="nil"/>
          <w:left w:val="nil"/>
          <w:bottom w:val="nil"/>
          <w:right w:val="nil"/>
          <w:between w:val="nil"/>
        </w:pBdr>
        <w:rPr>
          <w:rFonts w:eastAsia="Arial Narrow" w:cs="Arial Narrow"/>
          <w:bCs/>
          <w:color w:val="0070C0"/>
        </w:rPr>
      </w:pPr>
      <w:r>
        <w:rPr>
          <w:rFonts w:eastAsia="Arial Narrow" w:cs="Arial Narrow"/>
          <w:b/>
          <w:color w:val="000000"/>
        </w:rPr>
        <w:t xml:space="preserve">Rezort práce poskytuje službu včasnej intervencie rodine s dieťaťom do siedmich rokov jeho veku, ak je jeho vývin ohrozený z dôvodu zdravotného postihnutia. </w:t>
      </w:r>
      <w:r>
        <w:rPr>
          <w:rFonts w:eastAsia="Arial Narrow" w:cs="Arial Narrow"/>
          <w:color w:val="000000"/>
        </w:rPr>
        <w:t>Poskytovanie služby včasnej intervencie zabezpečujú vyššie územné celky, a to buď nimi zriadeným alebo založeným verejným poskytovateľom tejto služby alebo prostredníctvom neverejného poskytovateľa, ktorému poskytujú finančný príspevok na prevádzku z rozpočtu vyššieho územného celku. Úkony, ktoré sa poskytujú v rámci služby včasnej intervencie sú  stimulácia komplexného vývinu dieťaťa so zdravotným postihnutím, sociálna rehabilitácia, špecializované sociálne poradenstvo, preventívne aktivity a vykonáva sa komunitná rehabilitácia</w:t>
      </w:r>
      <w:r w:rsidR="008E46D8">
        <w:rPr>
          <w:rFonts w:eastAsia="Arial Narrow" w:cs="Arial Narrow"/>
          <w:color w:val="000000"/>
        </w:rPr>
        <w:t>.</w:t>
      </w:r>
      <w:r w:rsidR="008E46D8">
        <w:rPr>
          <w:rFonts w:eastAsia="Arial Narrow" w:cs="Arial Narrow"/>
          <w:color w:val="000000"/>
          <w:vertAlign w:val="superscript"/>
        </w:rPr>
        <w:footnoteReference w:id="47"/>
      </w:r>
      <w:r w:rsidR="008E46D8">
        <w:rPr>
          <w:rFonts w:eastAsia="Arial Narrow" w:cs="Arial Narrow"/>
          <w:color w:val="000000"/>
        </w:rPr>
        <w:t xml:space="preserve"> </w:t>
      </w:r>
    </w:p>
    <w:p w14:paraId="52AE9DD9" w14:textId="343EF64F" w:rsidR="008E46D8" w:rsidRDefault="008E46D8" w:rsidP="00C8342B">
      <w:pPr>
        <w:pBdr>
          <w:top w:val="nil"/>
          <w:left w:val="nil"/>
          <w:bottom w:val="nil"/>
          <w:right w:val="nil"/>
          <w:between w:val="nil"/>
        </w:pBdr>
        <w:rPr>
          <w:rFonts w:eastAsia="Arial Narrow" w:cs="Arial Narrow"/>
          <w:color w:val="000000"/>
        </w:rPr>
      </w:pPr>
      <w:r>
        <w:rPr>
          <w:rFonts w:eastAsia="Arial Narrow" w:cs="Arial Narrow"/>
          <w:b/>
          <w:color w:val="000000"/>
        </w:rPr>
        <w:t xml:space="preserve">V roku 2018 bolo na Slovensku </w:t>
      </w:r>
      <w:r w:rsidR="005A053D">
        <w:rPr>
          <w:rFonts w:eastAsia="Arial Narrow" w:cs="Arial Narrow"/>
          <w:b/>
          <w:color w:val="000000"/>
        </w:rPr>
        <w:t>registrovaných</w:t>
      </w:r>
      <w:r>
        <w:rPr>
          <w:rFonts w:eastAsia="Arial Narrow" w:cs="Arial Narrow"/>
          <w:b/>
          <w:color w:val="000000"/>
        </w:rPr>
        <w:t xml:space="preserve"> </w:t>
      </w:r>
      <w:sdt>
        <w:sdtPr>
          <w:tag w:val="goog_rdk_8"/>
          <w:id w:val="311063726"/>
        </w:sdtPr>
        <w:sdtEndPr/>
        <w:sdtContent/>
      </w:sdt>
      <w:r>
        <w:rPr>
          <w:rFonts w:eastAsia="Arial Narrow" w:cs="Arial Narrow"/>
          <w:b/>
          <w:color w:val="000000"/>
        </w:rPr>
        <w:t xml:space="preserve">13 verejných a 17 neverejných poskytovateľov služby včasnej intervencie, ktorí </w:t>
      </w:r>
      <w:r w:rsidRPr="00B724AC">
        <w:rPr>
          <w:rFonts w:eastAsia="Arial Narrow" w:cs="Arial Narrow"/>
          <w:b/>
          <w:color w:val="000000"/>
        </w:rPr>
        <w:t>spolu poskytli sociálnu službu 1 219 klientom, čo predstavovalo 5,7 % z celkového počtu detí so zdravotným postihnutím.</w:t>
      </w:r>
      <w:r>
        <w:rPr>
          <w:rStyle w:val="Odkaznapoznmkupodiarou"/>
          <w:rFonts w:eastAsia="Arial Narrow" w:cs="Arial Narrow"/>
          <w:color w:val="000000"/>
        </w:rPr>
        <w:footnoteReference w:id="48"/>
      </w:r>
      <w:r>
        <w:rPr>
          <w:rFonts w:eastAsia="Arial Narrow" w:cs="Arial Narrow"/>
          <w:color w:val="000000"/>
        </w:rPr>
        <w:t xml:space="preserve"> Väčšina klientov (81 %) využila služby neverejných poskytovateľov.</w:t>
      </w:r>
      <w:r>
        <w:rPr>
          <w:rStyle w:val="Odkaznapoznmkupodiarou"/>
          <w:rFonts w:eastAsia="Arial Narrow" w:cs="Arial Narrow"/>
          <w:color w:val="000000"/>
        </w:rPr>
        <w:footnoteReference w:id="49"/>
      </w:r>
      <w:r>
        <w:rPr>
          <w:rFonts w:eastAsia="Arial Narrow" w:cs="Arial Narrow"/>
          <w:color w:val="000000"/>
        </w:rPr>
        <w:t xml:space="preserve"> Počet poskytovateľov ako aj prijímateľov služby včasnej intervencie od roku 2015, kedy služba začal</w:t>
      </w:r>
      <w:r w:rsidR="006D685B">
        <w:rPr>
          <w:rFonts w:eastAsia="Arial Narrow" w:cs="Arial Narrow"/>
          <w:color w:val="000000"/>
        </w:rPr>
        <w:t>a</w:t>
      </w:r>
      <w:r>
        <w:rPr>
          <w:rFonts w:eastAsia="Arial Narrow" w:cs="Arial Narrow"/>
          <w:color w:val="000000"/>
        </w:rPr>
        <w:t xml:space="preserve"> byť poskytovaná, rastie (</w:t>
      </w:r>
      <w:r w:rsidR="00087A7D" w:rsidRPr="00087A7D">
        <w:fldChar w:fldCharType="begin"/>
      </w:r>
      <w:r w:rsidR="00087A7D" w:rsidRPr="00087A7D">
        <w:instrText xml:space="preserve"> REF _Ref34130345 \h </w:instrText>
      </w:r>
      <w:r w:rsidR="00087A7D">
        <w:instrText xml:space="preserve"> \* MERGEFORMAT </w:instrText>
      </w:r>
      <w:r w:rsidR="00087A7D" w:rsidRPr="00087A7D">
        <w:fldChar w:fldCharType="separate"/>
      </w:r>
      <w:r w:rsidR="00FA29AF" w:rsidRPr="00FA29AF">
        <w:t>Príloha 4</w:t>
      </w:r>
      <w:r w:rsidR="00087A7D" w:rsidRPr="00087A7D">
        <w:fldChar w:fldCharType="end"/>
      </w:r>
      <w:r w:rsidRPr="00087A7D">
        <w:t>).</w:t>
      </w:r>
      <w:r>
        <w:rPr>
          <w:rFonts w:eastAsia="Arial Narrow" w:cs="Arial Narrow"/>
          <w:color w:val="000000"/>
        </w:rPr>
        <w:t xml:space="preserve"> Služby sa poskytujú bezplatne, t. j. prijímateľ za poskytovanie odborných činností v rámci tejto sociálnej služby neplatí úhradu. </w:t>
      </w:r>
      <w:r w:rsidR="005A053D">
        <w:t>Poskytovateľ sociálnej služby môže požadovať</w:t>
      </w:r>
      <w:r>
        <w:t xml:space="preserve"> </w:t>
      </w:r>
      <w:r w:rsidRPr="00166B95">
        <w:t>úhrad</w:t>
      </w:r>
      <w:r>
        <w:t>u za obslužné činnosti.</w:t>
      </w:r>
      <w:r>
        <w:rPr>
          <w:rStyle w:val="Odkaznapoznmkupodiarou"/>
          <w:rFonts w:eastAsia="Arial Narrow" w:cs="Arial Narrow"/>
          <w:color w:val="000000"/>
        </w:rPr>
        <w:footnoteReference w:id="50"/>
      </w:r>
      <w:r>
        <w:rPr>
          <w:rFonts w:eastAsia="Arial Narrow" w:cs="Arial Narrow"/>
          <w:color w:val="000000"/>
        </w:rPr>
        <w:t xml:space="preserve"> </w:t>
      </w:r>
      <w:r w:rsidR="005A053D">
        <w:rPr>
          <w:rFonts w:eastAsia="Arial Narrow" w:cs="Arial Narrow"/>
          <w:color w:val="000000"/>
        </w:rPr>
        <w:t xml:space="preserve">Údaje o </w:t>
      </w:r>
      <w:r w:rsidR="005A053D">
        <w:t>zamestnancoch</w:t>
      </w:r>
      <w:r w:rsidR="005A053D">
        <w:rPr>
          <w:rFonts w:eastAsia="Arial Narrow" w:cs="Arial Narrow"/>
          <w:color w:val="000000"/>
        </w:rPr>
        <w:t xml:space="preserve"> poskytovateľov služieb včasnej intervencie, budú dostupné </w:t>
      </w:r>
      <w:r w:rsidR="005A053D" w:rsidRPr="00274A0F">
        <w:rPr>
          <w:rFonts w:eastAsia="Arial Narrow" w:cs="Arial Narrow"/>
          <w:bCs/>
          <w:color w:val="000000"/>
        </w:rPr>
        <w:t xml:space="preserve">od </w:t>
      </w:r>
      <w:r w:rsidR="005A053D">
        <w:rPr>
          <w:rFonts w:eastAsia="Arial Narrow" w:cs="Arial Narrow"/>
          <w:bCs/>
          <w:color w:val="000000"/>
        </w:rPr>
        <w:t>júna</w:t>
      </w:r>
      <w:r w:rsidR="005A053D" w:rsidRPr="00274A0F">
        <w:rPr>
          <w:rFonts w:eastAsia="Arial Narrow" w:cs="Arial Narrow"/>
          <w:bCs/>
          <w:color w:val="000000"/>
        </w:rPr>
        <w:t xml:space="preserve"> 2021 v rámci </w:t>
      </w:r>
      <w:r w:rsidR="005A053D">
        <w:rPr>
          <w:rFonts w:eastAsia="Arial Narrow" w:cs="Arial Narrow"/>
          <w:bCs/>
          <w:color w:val="000000"/>
        </w:rPr>
        <w:t>pripravovaného</w:t>
      </w:r>
      <w:r w:rsidR="005A053D" w:rsidRPr="00274A0F">
        <w:rPr>
          <w:rFonts w:eastAsia="Arial Narrow" w:cs="Arial Narrow"/>
          <w:bCs/>
          <w:color w:val="000000"/>
        </w:rPr>
        <w:t xml:space="preserve"> informačného systému sociálnych služieb</w:t>
      </w:r>
      <w:r w:rsidR="005A053D">
        <w:rPr>
          <w:rFonts w:eastAsia="Arial Narrow" w:cs="Arial Narrow"/>
          <w:bCs/>
          <w:color w:val="000000"/>
        </w:rPr>
        <w:t>, čo umožní efektívnejšie monitorovať štruktúru odborníkov vykonávajúcich pracovné činnosti v rámci tejto sociálnej služby</w:t>
      </w:r>
      <w:r w:rsidRPr="00274A0F">
        <w:rPr>
          <w:rFonts w:eastAsia="Arial Narrow" w:cs="Arial Narrow"/>
          <w:bCs/>
          <w:color w:val="000000"/>
        </w:rPr>
        <w:t>.</w:t>
      </w:r>
      <w:r w:rsidRPr="00B724AC">
        <w:rPr>
          <w:rStyle w:val="Odkaznapoznmkupodiarou"/>
          <w:rFonts w:eastAsia="Arial Narrow" w:cs="Arial Narrow"/>
          <w:color w:val="000000"/>
        </w:rPr>
        <w:footnoteReference w:id="51"/>
      </w:r>
      <w:r w:rsidRPr="00B724AC">
        <w:rPr>
          <w:rFonts w:eastAsia="Arial Narrow" w:cs="Arial Narrow"/>
          <w:color w:val="000000"/>
        </w:rPr>
        <w:t xml:space="preserve"> </w:t>
      </w:r>
    </w:p>
    <w:p w14:paraId="0FEA7071" w14:textId="34916BB5" w:rsidR="004A48F2" w:rsidRDefault="008E46D8" w:rsidP="00C8342B">
      <w:pPr>
        <w:pBdr>
          <w:top w:val="nil"/>
          <w:left w:val="nil"/>
          <w:bottom w:val="nil"/>
          <w:right w:val="nil"/>
          <w:between w:val="nil"/>
        </w:pBdr>
        <w:rPr>
          <w:rFonts w:eastAsia="Arial Narrow" w:cs="Arial Narrow"/>
          <w:color w:val="000000"/>
        </w:rPr>
      </w:pPr>
      <w:r>
        <w:rPr>
          <w:rFonts w:eastAsia="Arial Narrow" w:cs="Arial Narrow"/>
          <w:b/>
          <w:color w:val="000000"/>
        </w:rPr>
        <w:t xml:space="preserve">V roku 2018 predstavovali celkové výdavky poskytovateľov služby včasnej intervencie približne 1,4 mil. eur. </w:t>
      </w:r>
      <w:r>
        <w:rPr>
          <w:rFonts w:eastAsia="Arial Narrow" w:cs="Arial Narrow"/>
          <w:color w:val="000000"/>
        </w:rPr>
        <w:t>Celkové priemerné výdavky na jedného klienta predstavovali 1 158 eur, u verejných poskytovateľov to bolo v priemere o 673 eur vi</w:t>
      </w:r>
      <w:r w:rsidR="003747A2">
        <w:rPr>
          <w:rFonts w:eastAsia="Arial Narrow" w:cs="Arial Narrow"/>
          <w:color w:val="000000"/>
        </w:rPr>
        <w:t>ac ako u neverejných (</w:t>
      </w:r>
      <w:r w:rsidR="003747A2" w:rsidRPr="003747A2">
        <w:rPr>
          <w:rFonts w:eastAsia="Arial Narrow" w:cs="Arial Narrow"/>
          <w:color w:val="000000"/>
          <w:szCs w:val="22"/>
        </w:rPr>
        <w:fldChar w:fldCharType="begin"/>
      </w:r>
      <w:r w:rsidR="003747A2" w:rsidRPr="003747A2">
        <w:rPr>
          <w:rFonts w:eastAsia="Arial Narrow" w:cs="Arial Narrow"/>
          <w:color w:val="000000"/>
          <w:szCs w:val="22"/>
        </w:rPr>
        <w:instrText xml:space="preserve"> REF _Ref33027850 \h  \* MERGEFORMAT </w:instrText>
      </w:r>
      <w:r w:rsidR="003747A2" w:rsidRPr="003747A2">
        <w:rPr>
          <w:rFonts w:eastAsia="Arial Narrow" w:cs="Arial Narrow"/>
          <w:color w:val="000000"/>
          <w:szCs w:val="22"/>
        </w:rPr>
      </w:r>
      <w:r w:rsidR="003747A2" w:rsidRPr="003747A2">
        <w:rPr>
          <w:rFonts w:eastAsia="Arial Narrow" w:cs="Arial Narrow"/>
          <w:color w:val="000000"/>
          <w:szCs w:val="22"/>
        </w:rPr>
        <w:fldChar w:fldCharType="separate"/>
      </w:r>
      <w:r w:rsidR="00FA29AF" w:rsidRPr="00FA29AF">
        <w:rPr>
          <w:szCs w:val="22"/>
        </w:rPr>
        <w:t xml:space="preserve">Tabuľka </w:t>
      </w:r>
      <w:r w:rsidR="00FA29AF" w:rsidRPr="00FA29AF">
        <w:rPr>
          <w:noProof/>
          <w:szCs w:val="22"/>
        </w:rPr>
        <w:t>6</w:t>
      </w:r>
      <w:r w:rsidR="003747A2" w:rsidRPr="003747A2">
        <w:rPr>
          <w:rFonts w:eastAsia="Arial Narrow" w:cs="Arial Narrow"/>
          <w:color w:val="000000"/>
          <w:szCs w:val="22"/>
        </w:rPr>
        <w:fldChar w:fldCharType="end"/>
      </w:r>
      <w:r>
        <w:rPr>
          <w:rFonts w:eastAsia="Arial Narrow" w:cs="Arial Narrow"/>
          <w:color w:val="000000"/>
        </w:rPr>
        <w:t>).</w:t>
      </w:r>
      <w:r>
        <w:rPr>
          <w:rFonts w:eastAsia="Arial Narrow" w:cs="Arial Narrow"/>
          <w:b/>
          <w:color w:val="000000"/>
        </w:rPr>
        <w:t xml:space="preserve"> </w:t>
      </w:r>
      <w:r>
        <w:rPr>
          <w:rFonts w:eastAsia="Arial Narrow" w:cs="Arial Narrow"/>
          <w:color w:val="000000"/>
        </w:rPr>
        <w:t xml:space="preserve">Príjmy z úhrad od prijímateľov tvorili iba 0,3 % zo všetkých príjmov u verejných a 0,9 % zo všetkých príjmov u neverejných poskytovateľov. Zvyšok tvorili príjmy z rozpočtu VÚC a v prípade neverejných poskytovateľov takmer tretina príjmov (28 %) pochádzala z darov, </w:t>
      </w:r>
      <w:r w:rsidRPr="00A6710D">
        <w:rPr>
          <w:rFonts w:eastAsia="Arial Narrow" w:cs="Arial Narrow"/>
          <w:color w:val="000000"/>
        </w:rPr>
        <w:t>zbierok</w:t>
      </w:r>
      <w:r w:rsidR="0070047D">
        <w:rPr>
          <w:rFonts w:eastAsia="Arial Narrow" w:cs="Arial Narrow"/>
          <w:color w:val="000000"/>
        </w:rPr>
        <w:t xml:space="preserve"> </w:t>
      </w:r>
      <w:r>
        <w:rPr>
          <w:rFonts w:eastAsia="Arial Narrow" w:cs="Arial Narrow"/>
          <w:color w:val="000000"/>
        </w:rPr>
        <w:t>a projektových prostriedkov nadácií (</w:t>
      </w:r>
      <w:r w:rsidR="00087A7D" w:rsidRPr="00087A7D">
        <w:fldChar w:fldCharType="begin"/>
      </w:r>
      <w:r w:rsidR="00087A7D" w:rsidRPr="00087A7D">
        <w:instrText xml:space="preserve"> REF _Ref34130360 \h </w:instrText>
      </w:r>
      <w:r w:rsidR="00087A7D">
        <w:instrText xml:space="preserve"> \* MERGEFORMAT </w:instrText>
      </w:r>
      <w:r w:rsidR="00087A7D" w:rsidRPr="00087A7D">
        <w:fldChar w:fldCharType="separate"/>
      </w:r>
      <w:r w:rsidR="00FA29AF" w:rsidRPr="00FA29AF">
        <w:t>Príloha 5</w:t>
      </w:r>
      <w:r w:rsidR="00087A7D" w:rsidRPr="00087A7D">
        <w:fldChar w:fldCharType="end"/>
      </w:r>
      <w:r w:rsidRPr="00087A7D">
        <w:t>)</w:t>
      </w:r>
      <w:r w:rsidRPr="00A6710D">
        <w:rPr>
          <w:rFonts w:eastAsia="Arial Narrow" w:cs="Arial Narrow"/>
          <w:color w:val="000000"/>
        </w:rPr>
        <w:t>.</w:t>
      </w:r>
    </w:p>
    <w:p w14:paraId="2FE85407" w14:textId="43EB1A61" w:rsidR="008E46D8" w:rsidRDefault="003747A2" w:rsidP="008E46D8">
      <w:pPr>
        <w:pBdr>
          <w:top w:val="nil"/>
          <w:left w:val="nil"/>
          <w:bottom w:val="nil"/>
          <w:right w:val="nil"/>
          <w:between w:val="nil"/>
        </w:pBdr>
        <w:spacing w:after="0" w:line="240" w:lineRule="auto"/>
        <w:rPr>
          <w:rFonts w:eastAsia="Arial Narrow" w:cs="Arial Narrow"/>
          <w:b/>
          <w:color w:val="000000"/>
          <w:sz w:val="20"/>
        </w:rPr>
      </w:pPr>
      <w:bookmarkStart w:id="150" w:name="_Ref33027850"/>
      <w:bookmarkStart w:id="151" w:name="_Toc34156845"/>
      <w:r w:rsidRPr="00CA2564">
        <w:rPr>
          <w:b/>
          <w:sz w:val="20"/>
        </w:rPr>
        <w:t xml:space="preserve">Tabuľka </w:t>
      </w:r>
      <w:r w:rsidRPr="00CA2564">
        <w:rPr>
          <w:b/>
          <w:noProof/>
          <w:sz w:val="20"/>
        </w:rPr>
        <w:fldChar w:fldCharType="begin"/>
      </w:r>
      <w:r w:rsidRPr="00CA2564">
        <w:rPr>
          <w:b/>
          <w:noProof/>
          <w:sz w:val="20"/>
        </w:rPr>
        <w:instrText xml:space="preserve"> SEQ Tabuľka \* ARABIC </w:instrText>
      </w:r>
      <w:r w:rsidRPr="00CA2564">
        <w:rPr>
          <w:b/>
          <w:noProof/>
          <w:sz w:val="20"/>
        </w:rPr>
        <w:fldChar w:fldCharType="separate"/>
      </w:r>
      <w:r w:rsidR="00FA29AF">
        <w:rPr>
          <w:b/>
          <w:noProof/>
          <w:sz w:val="20"/>
        </w:rPr>
        <w:t>6</w:t>
      </w:r>
      <w:r w:rsidRPr="00CA2564">
        <w:rPr>
          <w:b/>
          <w:noProof/>
          <w:sz w:val="20"/>
        </w:rPr>
        <w:fldChar w:fldCharType="end"/>
      </w:r>
      <w:bookmarkEnd w:id="150"/>
      <w:r>
        <w:rPr>
          <w:b/>
          <w:sz w:val="20"/>
        </w:rPr>
        <w:t xml:space="preserve">: </w:t>
      </w:r>
      <w:r w:rsidR="008E46D8">
        <w:rPr>
          <w:rFonts w:eastAsia="Arial Narrow" w:cs="Arial Narrow"/>
          <w:b/>
          <w:color w:val="000000"/>
          <w:sz w:val="20"/>
        </w:rPr>
        <w:t>Základné údaje o poskytovateľoch služby včasnej intervencie, 2018</w:t>
      </w:r>
      <w:bookmarkEnd w:id="151"/>
    </w:p>
    <w:tbl>
      <w:tblPr>
        <w:tblW w:w="9067" w:type="dxa"/>
        <w:tblBorders>
          <w:top w:val="single" w:sz="4" w:space="0" w:color="000000"/>
          <w:bottom w:val="single" w:sz="4" w:space="0" w:color="000000"/>
        </w:tblBorders>
        <w:tblLayout w:type="fixed"/>
        <w:tblLook w:val="0400" w:firstRow="0" w:lastRow="0" w:firstColumn="0" w:lastColumn="0" w:noHBand="0" w:noVBand="1"/>
      </w:tblPr>
      <w:tblGrid>
        <w:gridCol w:w="3539"/>
        <w:gridCol w:w="1423"/>
        <w:gridCol w:w="419"/>
        <w:gridCol w:w="1843"/>
        <w:gridCol w:w="1843"/>
      </w:tblGrid>
      <w:tr w:rsidR="00D04AF3" w14:paraId="49112401" w14:textId="77777777" w:rsidTr="004A48F2">
        <w:trPr>
          <w:trHeight w:val="192"/>
        </w:trPr>
        <w:tc>
          <w:tcPr>
            <w:tcW w:w="3539" w:type="dxa"/>
            <w:tcBorders>
              <w:top w:val="single" w:sz="4" w:space="0" w:color="000000"/>
              <w:bottom w:val="single" w:sz="4" w:space="0" w:color="000000"/>
            </w:tcBorders>
            <w:shd w:val="clear" w:color="auto" w:fill="auto"/>
            <w:vAlign w:val="center"/>
          </w:tcPr>
          <w:p w14:paraId="7EEC5420" w14:textId="77777777" w:rsidR="00D04AF3" w:rsidRDefault="00D04AF3" w:rsidP="00D04AF3">
            <w:pPr>
              <w:pBdr>
                <w:top w:val="nil"/>
                <w:left w:val="nil"/>
                <w:bottom w:val="nil"/>
                <w:right w:val="nil"/>
                <w:between w:val="nil"/>
              </w:pBdr>
              <w:spacing w:after="0" w:line="240" w:lineRule="auto"/>
              <w:rPr>
                <w:rFonts w:eastAsia="Arial Narrow" w:cs="Arial Narrow"/>
                <w:color w:val="000000"/>
                <w:sz w:val="20"/>
              </w:rPr>
            </w:pPr>
          </w:p>
        </w:tc>
        <w:tc>
          <w:tcPr>
            <w:tcW w:w="1842" w:type="dxa"/>
            <w:gridSpan w:val="2"/>
            <w:tcBorders>
              <w:top w:val="single" w:sz="4" w:space="0" w:color="000000"/>
              <w:bottom w:val="single" w:sz="4" w:space="0" w:color="000000"/>
            </w:tcBorders>
            <w:shd w:val="clear" w:color="auto" w:fill="auto"/>
            <w:vAlign w:val="center"/>
          </w:tcPr>
          <w:p w14:paraId="4B6449AF" w14:textId="77777777" w:rsidR="00D04AF3" w:rsidRPr="00D04AF3" w:rsidRDefault="00D04AF3" w:rsidP="00D04AF3">
            <w:pPr>
              <w:pBdr>
                <w:top w:val="nil"/>
                <w:left w:val="nil"/>
                <w:bottom w:val="nil"/>
                <w:right w:val="nil"/>
                <w:between w:val="nil"/>
              </w:pBdr>
              <w:spacing w:after="0" w:line="240" w:lineRule="auto"/>
              <w:jc w:val="center"/>
              <w:rPr>
                <w:rFonts w:eastAsia="Arial Narrow" w:cs="Arial Narrow"/>
                <w:b/>
                <w:color w:val="000000"/>
                <w:sz w:val="20"/>
              </w:rPr>
            </w:pPr>
            <w:r w:rsidRPr="00D04AF3">
              <w:rPr>
                <w:rFonts w:eastAsia="Arial Narrow" w:cs="Arial Narrow"/>
                <w:b/>
                <w:color w:val="000000"/>
                <w:sz w:val="20"/>
              </w:rPr>
              <w:t>Verejní</w:t>
            </w:r>
          </w:p>
        </w:tc>
        <w:tc>
          <w:tcPr>
            <w:tcW w:w="1843" w:type="dxa"/>
            <w:tcBorders>
              <w:top w:val="single" w:sz="4" w:space="0" w:color="000000"/>
              <w:bottom w:val="single" w:sz="4" w:space="0" w:color="000000"/>
            </w:tcBorders>
            <w:shd w:val="clear" w:color="auto" w:fill="auto"/>
            <w:vAlign w:val="center"/>
          </w:tcPr>
          <w:p w14:paraId="616B945E" w14:textId="77777777" w:rsidR="00D04AF3" w:rsidRPr="00D04AF3" w:rsidRDefault="000D2802" w:rsidP="00D04AF3">
            <w:pPr>
              <w:pBdr>
                <w:top w:val="nil"/>
                <w:left w:val="nil"/>
                <w:bottom w:val="nil"/>
                <w:right w:val="nil"/>
                <w:between w:val="nil"/>
              </w:pBdr>
              <w:spacing w:after="0" w:line="240" w:lineRule="auto"/>
              <w:jc w:val="center"/>
              <w:rPr>
                <w:rFonts w:eastAsia="Arial Narrow" w:cs="Arial Narrow"/>
                <w:b/>
                <w:color w:val="000000"/>
                <w:sz w:val="20"/>
              </w:rPr>
            </w:pPr>
            <w:sdt>
              <w:sdtPr>
                <w:rPr>
                  <w:b/>
                </w:rPr>
                <w:tag w:val="goog_rdk_10"/>
                <w:id w:val="2130199670"/>
              </w:sdtPr>
              <w:sdtEndPr/>
              <w:sdtContent/>
            </w:sdt>
            <w:r w:rsidR="00D04AF3" w:rsidRPr="00D04AF3">
              <w:rPr>
                <w:rFonts w:eastAsia="Arial Narrow" w:cs="Arial Narrow"/>
                <w:b/>
                <w:color w:val="000000"/>
                <w:sz w:val="20"/>
              </w:rPr>
              <w:t>Neverejní</w:t>
            </w:r>
          </w:p>
        </w:tc>
        <w:tc>
          <w:tcPr>
            <w:tcW w:w="1843" w:type="dxa"/>
            <w:tcBorders>
              <w:top w:val="single" w:sz="4" w:space="0" w:color="000000"/>
              <w:bottom w:val="single" w:sz="4" w:space="0" w:color="000000"/>
            </w:tcBorders>
            <w:vAlign w:val="center"/>
          </w:tcPr>
          <w:p w14:paraId="7727B329" w14:textId="098286FF" w:rsidR="00D04AF3" w:rsidRPr="00D04AF3" w:rsidRDefault="00D04AF3" w:rsidP="00D04AF3">
            <w:pPr>
              <w:pBdr>
                <w:top w:val="nil"/>
                <w:left w:val="nil"/>
                <w:bottom w:val="nil"/>
                <w:right w:val="nil"/>
                <w:between w:val="nil"/>
              </w:pBdr>
              <w:spacing w:after="0" w:line="240" w:lineRule="auto"/>
              <w:jc w:val="center"/>
              <w:rPr>
                <w:rFonts w:eastAsia="Arial Narrow" w:cs="Arial Narrow"/>
                <w:b/>
                <w:color w:val="000000"/>
                <w:sz w:val="20"/>
              </w:rPr>
            </w:pPr>
            <w:r w:rsidRPr="00D04AF3">
              <w:rPr>
                <w:rFonts w:eastAsia="Arial Narrow" w:cs="Arial Narrow"/>
                <w:b/>
                <w:color w:val="000000"/>
                <w:sz w:val="20"/>
              </w:rPr>
              <w:t>Spolu</w:t>
            </w:r>
          </w:p>
        </w:tc>
      </w:tr>
      <w:tr w:rsidR="008E46D8" w14:paraId="6C1EC19F" w14:textId="77777777" w:rsidTr="00D04AF3">
        <w:tc>
          <w:tcPr>
            <w:tcW w:w="3539" w:type="dxa"/>
            <w:tcBorders>
              <w:top w:val="single" w:sz="4" w:space="0" w:color="000000"/>
            </w:tcBorders>
            <w:shd w:val="clear" w:color="auto" w:fill="auto"/>
            <w:vAlign w:val="center"/>
          </w:tcPr>
          <w:p w14:paraId="319F1ACC" w14:textId="77777777" w:rsidR="008E46D8" w:rsidRDefault="008E46D8" w:rsidP="00B22EF6">
            <w:pPr>
              <w:pBdr>
                <w:top w:val="nil"/>
                <w:left w:val="nil"/>
                <w:bottom w:val="nil"/>
                <w:right w:val="nil"/>
                <w:between w:val="nil"/>
              </w:pBdr>
              <w:spacing w:after="0" w:line="240" w:lineRule="auto"/>
              <w:rPr>
                <w:rFonts w:eastAsia="Arial Narrow" w:cs="Arial Narrow"/>
                <w:color w:val="000000"/>
                <w:sz w:val="20"/>
              </w:rPr>
            </w:pPr>
            <w:r>
              <w:rPr>
                <w:rFonts w:eastAsia="Arial Narrow" w:cs="Arial Narrow"/>
                <w:color w:val="000000"/>
                <w:sz w:val="20"/>
              </w:rPr>
              <w:t>Počet poskytovateľov</w:t>
            </w:r>
          </w:p>
        </w:tc>
        <w:tc>
          <w:tcPr>
            <w:tcW w:w="1842" w:type="dxa"/>
            <w:gridSpan w:val="2"/>
            <w:tcBorders>
              <w:top w:val="single" w:sz="4" w:space="0" w:color="000000"/>
            </w:tcBorders>
            <w:shd w:val="clear" w:color="auto" w:fill="auto"/>
            <w:vAlign w:val="center"/>
          </w:tcPr>
          <w:p w14:paraId="3FD3D52F" w14:textId="77777777" w:rsidR="008E46D8" w:rsidRDefault="008E46D8" w:rsidP="00D04AF3">
            <w:pPr>
              <w:pBdr>
                <w:top w:val="nil"/>
                <w:left w:val="nil"/>
                <w:bottom w:val="nil"/>
                <w:right w:val="nil"/>
                <w:between w:val="nil"/>
              </w:pBdr>
              <w:spacing w:after="0" w:line="240" w:lineRule="auto"/>
              <w:jc w:val="right"/>
              <w:rPr>
                <w:rFonts w:eastAsia="Arial Narrow" w:cs="Arial Narrow"/>
                <w:color w:val="000000"/>
                <w:sz w:val="20"/>
              </w:rPr>
            </w:pPr>
            <w:r>
              <w:rPr>
                <w:rFonts w:eastAsia="Arial Narrow" w:cs="Arial Narrow"/>
                <w:color w:val="000000"/>
                <w:sz w:val="20"/>
              </w:rPr>
              <w:t>13</w:t>
            </w:r>
          </w:p>
        </w:tc>
        <w:tc>
          <w:tcPr>
            <w:tcW w:w="1843" w:type="dxa"/>
            <w:tcBorders>
              <w:top w:val="single" w:sz="4" w:space="0" w:color="000000"/>
            </w:tcBorders>
            <w:shd w:val="clear" w:color="auto" w:fill="auto"/>
            <w:vAlign w:val="center"/>
          </w:tcPr>
          <w:p w14:paraId="3CA63415" w14:textId="77777777" w:rsidR="008E46D8" w:rsidRDefault="008E46D8" w:rsidP="00D04AF3">
            <w:pPr>
              <w:pBdr>
                <w:top w:val="nil"/>
                <w:left w:val="nil"/>
                <w:bottom w:val="nil"/>
                <w:right w:val="nil"/>
                <w:between w:val="nil"/>
              </w:pBdr>
              <w:spacing w:after="0" w:line="240" w:lineRule="auto"/>
              <w:jc w:val="right"/>
              <w:rPr>
                <w:rFonts w:eastAsia="Arial Narrow" w:cs="Arial Narrow"/>
                <w:color w:val="000000"/>
                <w:sz w:val="20"/>
              </w:rPr>
            </w:pPr>
            <w:r>
              <w:rPr>
                <w:rFonts w:eastAsia="Arial Narrow" w:cs="Arial Narrow"/>
                <w:color w:val="000000"/>
                <w:sz w:val="20"/>
              </w:rPr>
              <w:t>17</w:t>
            </w:r>
          </w:p>
        </w:tc>
        <w:tc>
          <w:tcPr>
            <w:tcW w:w="1843" w:type="dxa"/>
            <w:tcBorders>
              <w:top w:val="single" w:sz="4" w:space="0" w:color="000000"/>
            </w:tcBorders>
          </w:tcPr>
          <w:p w14:paraId="4F28D275" w14:textId="77777777" w:rsidR="008E46D8" w:rsidRDefault="008E46D8" w:rsidP="00D04AF3">
            <w:pPr>
              <w:pBdr>
                <w:top w:val="nil"/>
                <w:left w:val="nil"/>
                <w:bottom w:val="nil"/>
                <w:right w:val="nil"/>
                <w:between w:val="nil"/>
              </w:pBdr>
              <w:spacing w:after="0" w:line="240" w:lineRule="auto"/>
              <w:jc w:val="right"/>
              <w:rPr>
                <w:rFonts w:eastAsia="Arial Narrow" w:cs="Arial Narrow"/>
                <w:color w:val="000000"/>
                <w:sz w:val="20"/>
              </w:rPr>
            </w:pPr>
            <w:r>
              <w:rPr>
                <w:rFonts w:eastAsia="Arial Narrow" w:cs="Arial Narrow"/>
                <w:color w:val="000000"/>
                <w:sz w:val="20"/>
              </w:rPr>
              <w:t>30</w:t>
            </w:r>
          </w:p>
        </w:tc>
      </w:tr>
      <w:tr w:rsidR="008E46D8" w14:paraId="3E737D34" w14:textId="77777777" w:rsidTr="00D04AF3">
        <w:tc>
          <w:tcPr>
            <w:tcW w:w="3539" w:type="dxa"/>
            <w:shd w:val="clear" w:color="auto" w:fill="auto"/>
            <w:vAlign w:val="center"/>
          </w:tcPr>
          <w:p w14:paraId="72F6D8E9" w14:textId="77777777" w:rsidR="008E46D8" w:rsidRDefault="008E46D8" w:rsidP="00B22EF6">
            <w:pPr>
              <w:pBdr>
                <w:top w:val="nil"/>
                <w:left w:val="nil"/>
                <w:bottom w:val="nil"/>
                <w:right w:val="nil"/>
                <w:between w:val="nil"/>
              </w:pBdr>
              <w:spacing w:after="0" w:line="240" w:lineRule="auto"/>
              <w:rPr>
                <w:rFonts w:eastAsia="Arial Narrow" w:cs="Arial Narrow"/>
                <w:color w:val="000000"/>
                <w:sz w:val="20"/>
              </w:rPr>
            </w:pPr>
            <w:r>
              <w:rPr>
                <w:rFonts w:eastAsia="Arial Narrow" w:cs="Arial Narrow"/>
                <w:color w:val="000000"/>
                <w:sz w:val="20"/>
              </w:rPr>
              <w:t>Počet prijímateľov</w:t>
            </w:r>
          </w:p>
        </w:tc>
        <w:tc>
          <w:tcPr>
            <w:tcW w:w="1842" w:type="dxa"/>
            <w:gridSpan w:val="2"/>
            <w:shd w:val="clear" w:color="auto" w:fill="auto"/>
            <w:vAlign w:val="center"/>
          </w:tcPr>
          <w:p w14:paraId="02EC4F12" w14:textId="77777777" w:rsidR="008E46D8" w:rsidRDefault="008E46D8" w:rsidP="00D04AF3">
            <w:pPr>
              <w:pBdr>
                <w:top w:val="nil"/>
                <w:left w:val="nil"/>
                <w:bottom w:val="nil"/>
                <w:right w:val="nil"/>
                <w:between w:val="nil"/>
              </w:pBdr>
              <w:spacing w:after="0" w:line="240" w:lineRule="auto"/>
              <w:jc w:val="right"/>
              <w:rPr>
                <w:rFonts w:eastAsia="Arial Narrow" w:cs="Arial Narrow"/>
                <w:color w:val="000000"/>
                <w:sz w:val="20"/>
              </w:rPr>
            </w:pPr>
            <w:r>
              <w:rPr>
                <w:rFonts w:eastAsia="Arial Narrow" w:cs="Arial Narrow"/>
                <w:color w:val="000000"/>
                <w:sz w:val="20"/>
              </w:rPr>
              <w:t>230</w:t>
            </w:r>
          </w:p>
        </w:tc>
        <w:tc>
          <w:tcPr>
            <w:tcW w:w="1843" w:type="dxa"/>
            <w:shd w:val="clear" w:color="auto" w:fill="auto"/>
            <w:vAlign w:val="center"/>
          </w:tcPr>
          <w:p w14:paraId="3EA212B9" w14:textId="77777777" w:rsidR="008E46D8" w:rsidRDefault="008E46D8" w:rsidP="00D04AF3">
            <w:pPr>
              <w:spacing w:after="0"/>
              <w:jc w:val="right"/>
              <w:rPr>
                <w:rFonts w:eastAsia="Arial Narrow" w:cs="Arial Narrow"/>
                <w:color w:val="000000"/>
                <w:sz w:val="20"/>
              </w:rPr>
            </w:pPr>
            <w:r>
              <w:rPr>
                <w:rFonts w:eastAsia="Arial Narrow" w:cs="Arial Narrow"/>
                <w:color w:val="000000"/>
                <w:sz w:val="20"/>
              </w:rPr>
              <w:t>989</w:t>
            </w:r>
          </w:p>
        </w:tc>
        <w:tc>
          <w:tcPr>
            <w:tcW w:w="1843" w:type="dxa"/>
          </w:tcPr>
          <w:p w14:paraId="6AB50AFD" w14:textId="77777777" w:rsidR="008E46D8" w:rsidRDefault="008E46D8" w:rsidP="00D04AF3">
            <w:pPr>
              <w:spacing w:after="0"/>
              <w:jc w:val="right"/>
              <w:rPr>
                <w:rFonts w:eastAsia="Arial Narrow" w:cs="Arial Narrow"/>
                <w:color w:val="000000"/>
                <w:sz w:val="20"/>
              </w:rPr>
            </w:pPr>
            <w:r>
              <w:rPr>
                <w:rFonts w:eastAsia="Arial Narrow" w:cs="Arial Narrow"/>
                <w:color w:val="000000"/>
                <w:sz w:val="20"/>
              </w:rPr>
              <w:t>1 219</w:t>
            </w:r>
          </w:p>
        </w:tc>
      </w:tr>
      <w:tr w:rsidR="008E46D8" w14:paraId="36FEC941" w14:textId="77777777" w:rsidTr="00D04AF3">
        <w:tc>
          <w:tcPr>
            <w:tcW w:w="3539" w:type="dxa"/>
            <w:shd w:val="clear" w:color="auto" w:fill="auto"/>
            <w:vAlign w:val="center"/>
          </w:tcPr>
          <w:p w14:paraId="6F96FFF1" w14:textId="77777777" w:rsidR="008E46D8" w:rsidRDefault="008E46D8" w:rsidP="00B22EF6">
            <w:pPr>
              <w:pBdr>
                <w:top w:val="nil"/>
                <w:left w:val="nil"/>
                <w:bottom w:val="nil"/>
                <w:right w:val="nil"/>
                <w:between w:val="nil"/>
              </w:pBdr>
              <w:spacing w:after="0" w:line="240" w:lineRule="auto"/>
              <w:rPr>
                <w:rFonts w:eastAsia="Arial Narrow" w:cs="Arial Narrow"/>
                <w:color w:val="000000"/>
                <w:sz w:val="20"/>
              </w:rPr>
            </w:pPr>
            <w:r>
              <w:rPr>
                <w:rFonts w:eastAsia="Arial Narrow" w:cs="Arial Narrow"/>
                <w:color w:val="000000"/>
                <w:sz w:val="20"/>
              </w:rPr>
              <w:t>Príjmy celkom (eur)</w:t>
            </w:r>
          </w:p>
        </w:tc>
        <w:tc>
          <w:tcPr>
            <w:tcW w:w="1842" w:type="dxa"/>
            <w:gridSpan w:val="2"/>
            <w:shd w:val="clear" w:color="auto" w:fill="auto"/>
            <w:vAlign w:val="center"/>
          </w:tcPr>
          <w:p w14:paraId="0EE5A868" w14:textId="77777777" w:rsidR="008E46D8" w:rsidRDefault="008E46D8" w:rsidP="00D04AF3">
            <w:pPr>
              <w:pBdr>
                <w:top w:val="nil"/>
                <w:left w:val="nil"/>
                <w:bottom w:val="nil"/>
                <w:right w:val="nil"/>
                <w:between w:val="nil"/>
              </w:pBdr>
              <w:spacing w:after="0" w:line="240" w:lineRule="auto"/>
              <w:jc w:val="right"/>
              <w:rPr>
                <w:rFonts w:eastAsia="Arial Narrow" w:cs="Arial Narrow"/>
                <w:color w:val="000000"/>
                <w:sz w:val="20"/>
              </w:rPr>
            </w:pPr>
            <w:r>
              <w:rPr>
                <w:rFonts w:eastAsia="Arial Narrow" w:cs="Arial Narrow"/>
                <w:color w:val="000000"/>
                <w:sz w:val="20"/>
              </w:rPr>
              <w:t>386 339</w:t>
            </w:r>
          </w:p>
        </w:tc>
        <w:tc>
          <w:tcPr>
            <w:tcW w:w="1843" w:type="dxa"/>
            <w:shd w:val="clear" w:color="auto" w:fill="auto"/>
            <w:vAlign w:val="center"/>
          </w:tcPr>
          <w:p w14:paraId="1B7A47F8" w14:textId="77777777" w:rsidR="008E46D8" w:rsidRDefault="008E46D8" w:rsidP="00D04AF3">
            <w:pPr>
              <w:spacing w:after="0"/>
              <w:jc w:val="right"/>
              <w:rPr>
                <w:rFonts w:eastAsia="Arial Narrow" w:cs="Arial Narrow"/>
                <w:color w:val="000000"/>
                <w:sz w:val="20"/>
              </w:rPr>
            </w:pPr>
            <w:r>
              <w:rPr>
                <w:rFonts w:eastAsia="Arial Narrow" w:cs="Arial Narrow"/>
                <w:color w:val="000000"/>
                <w:sz w:val="20"/>
              </w:rPr>
              <w:t>996 389</w:t>
            </w:r>
          </w:p>
        </w:tc>
        <w:tc>
          <w:tcPr>
            <w:tcW w:w="1843" w:type="dxa"/>
          </w:tcPr>
          <w:p w14:paraId="3D27B2AF" w14:textId="77777777" w:rsidR="008E46D8" w:rsidRDefault="008E46D8" w:rsidP="00D04AF3">
            <w:pPr>
              <w:spacing w:after="0"/>
              <w:jc w:val="right"/>
              <w:rPr>
                <w:rFonts w:eastAsia="Arial Narrow" w:cs="Arial Narrow"/>
                <w:color w:val="000000"/>
                <w:sz w:val="20"/>
              </w:rPr>
            </w:pPr>
            <w:r>
              <w:rPr>
                <w:rFonts w:eastAsia="Arial Narrow" w:cs="Arial Narrow"/>
                <w:color w:val="000000"/>
                <w:sz w:val="20"/>
              </w:rPr>
              <w:t>1 382 728</w:t>
            </w:r>
          </w:p>
        </w:tc>
      </w:tr>
      <w:tr w:rsidR="008E46D8" w14:paraId="3174735B" w14:textId="77777777" w:rsidTr="00D04AF3">
        <w:tc>
          <w:tcPr>
            <w:tcW w:w="3539" w:type="dxa"/>
            <w:shd w:val="clear" w:color="auto" w:fill="auto"/>
            <w:vAlign w:val="center"/>
          </w:tcPr>
          <w:p w14:paraId="677B88BE" w14:textId="77777777" w:rsidR="008E46D8" w:rsidRDefault="000D2802" w:rsidP="00B22EF6">
            <w:pPr>
              <w:pBdr>
                <w:top w:val="nil"/>
                <w:left w:val="nil"/>
                <w:bottom w:val="nil"/>
                <w:right w:val="nil"/>
                <w:between w:val="nil"/>
              </w:pBdr>
              <w:spacing w:after="0" w:line="240" w:lineRule="auto"/>
              <w:rPr>
                <w:rFonts w:eastAsia="Arial Narrow" w:cs="Arial Narrow"/>
                <w:color w:val="000000"/>
                <w:sz w:val="20"/>
              </w:rPr>
            </w:pPr>
            <w:sdt>
              <w:sdtPr>
                <w:tag w:val="goog_rdk_11"/>
                <w:id w:val="-1171793743"/>
              </w:sdtPr>
              <w:sdtEndPr/>
              <w:sdtContent/>
            </w:sdt>
            <w:r w:rsidR="008E46D8">
              <w:rPr>
                <w:rFonts w:eastAsia="Arial Narrow" w:cs="Arial Narrow"/>
                <w:color w:val="000000"/>
                <w:sz w:val="20"/>
              </w:rPr>
              <w:t>Výdavky celkom (eur)</w:t>
            </w:r>
          </w:p>
        </w:tc>
        <w:tc>
          <w:tcPr>
            <w:tcW w:w="1842" w:type="dxa"/>
            <w:gridSpan w:val="2"/>
            <w:shd w:val="clear" w:color="auto" w:fill="auto"/>
            <w:vAlign w:val="center"/>
          </w:tcPr>
          <w:p w14:paraId="0939E1D4" w14:textId="77777777" w:rsidR="008E46D8" w:rsidRDefault="008E46D8" w:rsidP="00D04AF3">
            <w:pPr>
              <w:pBdr>
                <w:top w:val="nil"/>
                <w:left w:val="nil"/>
                <w:bottom w:val="nil"/>
                <w:right w:val="nil"/>
                <w:between w:val="nil"/>
              </w:pBdr>
              <w:spacing w:after="0" w:line="240" w:lineRule="auto"/>
              <w:jc w:val="right"/>
              <w:rPr>
                <w:rFonts w:eastAsia="Arial Narrow" w:cs="Arial Narrow"/>
                <w:color w:val="000000"/>
                <w:sz w:val="20"/>
              </w:rPr>
            </w:pPr>
            <w:r>
              <w:rPr>
                <w:rFonts w:eastAsia="Arial Narrow" w:cs="Arial Narrow"/>
                <w:color w:val="000000"/>
                <w:sz w:val="20"/>
              </w:rPr>
              <w:t>359 404</w:t>
            </w:r>
          </w:p>
        </w:tc>
        <w:tc>
          <w:tcPr>
            <w:tcW w:w="1843" w:type="dxa"/>
            <w:shd w:val="clear" w:color="auto" w:fill="auto"/>
            <w:vAlign w:val="center"/>
          </w:tcPr>
          <w:p w14:paraId="0C993EB6" w14:textId="77777777" w:rsidR="008E46D8" w:rsidRDefault="008E46D8" w:rsidP="00D04AF3">
            <w:pPr>
              <w:spacing w:after="0"/>
              <w:jc w:val="right"/>
              <w:rPr>
                <w:rFonts w:eastAsia="Arial Narrow" w:cs="Arial Narrow"/>
                <w:color w:val="000000"/>
                <w:sz w:val="20"/>
              </w:rPr>
            </w:pPr>
            <w:r>
              <w:rPr>
                <w:rFonts w:eastAsia="Arial Narrow" w:cs="Arial Narrow"/>
                <w:color w:val="000000"/>
                <w:sz w:val="20"/>
              </w:rPr>
              <w:t>1 050 386</w:t>
            </w:r>
          </w:p>
        </w:tc>
        <w:tc>
          <w:tcPr>
            <w:tcW w:w="1843" w:type="dxa"/>
          </w:tcPr>
          <w:p w14:paraId="6E078489" w14:textId="77777777" w:rsidR="008E46D8" w:rsidRDefault="008E46D8" w:rsidP="00D04AF3">
            <w:pPr>
              <w:spacing w:after="0"/>
              <w:jc w:val="right"/>
              <w:rPr>
                <w:rFonts w:eastAsia="Arial Narrow" w:cs="Arial Narrow"/>
                <w:color w:val="000000"/>
                <w:sz w:val="20"/>
              </w:rPr>
            </w:pPr>
            <w:r>
              <w:rPr>
                <w:rFonts w:eastAsia="Arial Narrow" w:cs="Arial Narrow"/>
                <w:color w:val="000000"/>
                <w:sz w:val="20"/>
              </w:rPr>
              <w:t>1 409 790</w:t>
            </w:r>
          </w:p>
        </w:tc>
      </w:tr>
      <w:tr w:rsidR="008E46D8" w14:paraId="278E6828" w14:textId="77777777" w:rsidTr="00D04AF3">
        <w:tc>
          <w:tcPr>
            <w:tcW w:w="3539" w:type="dxa"/>
            <w:tcBorders>
              <w:bottom w:val="nil"/>
            </w:tcBorders>
            <w:shd w:val="clear" w:color="auto" w:fill="auto"/>
            <w:vAlign w:val="center"/>
          </w:tcPr>
          <w:p w14:paraId="5B7A4000" w14:textId="77777777" w:rsidR="008E46D8" w:rsidRDefault="008E46D8" w:rsidP="00B22EF6">
            <w:pPr>
              <w:pBdr>
                <w:top w:val="nil"/>
                <w:left w:val="nil"/>
                <w:bottom w:val="nil"/>
                <w:right w:val="nil"/>
                <w:between w:val="nil"/>
              </w:pBdr>
              <w:spacing w:after="0" w:line="240" w:lineRule="auto"/>
              <w:rPr>
                <w:rFonts w:eastAsia="Arial Narrow" w:cs="Arial Narrow"/>
                <w:color w:val="000000"/>
                <w:sz w:val="20"/>
              </w:rPr>
            </w:pPr>
            <w:r>
              <w:rPr>
                <w:rFonts w:eastAsia="Arial Narrow" w:cs="Arial Narrow"/>
                <w:color w:val="000000"/>
                <w:sz w:val="20"/>
              </w:rPr>
              <w:t>Príjmy prepočítané na jedného klienta (eur)</w:t>
            </w:r>
          </w:p>
        </w:tc>
        <w:tc>
          <w:tcPr>
            <w:tcW w:w="1842" w:type="dxa"/>
            <w:gridSpan w:val="2"/>
            <w:tcBorders>
              <w:bottom w:val="nil"/>
            </w:tcBorders>
            <w:shd w:val="clear" w:color="auto" w:fill="auto"/>
            <w:vAlign w:val="center"/>
          </w:tcPr>
          <w:p w14:paraId="7BF626F3" w14:textId="77777777" w:rsidR="008E46D8" w:rsidRDefault="008E46D8" w:rsidP="00D04AF3">
            <w:pPr>
              <w:pBdr>
                <w:top w:val="nil"/>
                <w:left w:val="nil"/>
                <w:bottom w:val="nil"/>
                <w:right w:val="nil"/>
                <w:between w:val="nil"/>
              </w:pBdr>
              <w:spacing w:after="0" w:line="240" w:lineRule="auto"/>
              <w:jc w:val="right"/>
              <w:rPr>
                <w:rFonts w:eastAsia="Arial Narrow" w:cs="Arial Narrow"/>
                <w:color w:val="000000"/>
                <w:sz w:val="20"/>
              </w:rPr>
            </w:pPr>
            <w:r>
              <w:rPr>
                <w:rFonts w:eastAsia="Arial Narrow" w:cs="Arial Narrow"/>
                <w:color w:val="000000"/>
                <w:sz w:val="20"/>
              </w:rPr>
              <w:t>1 680</w:t>
            </w:r>
          </w:p>
        </w:tc>
        <w:tc>
          <w:tcPr>
            <w:tcW w:w="1843" w:type="dxa"/>
            <w:tcBorders>
              <w:bottom w:val="nil"/>
            </w:tcBorders>
            <w:shd w:val="clear" w:color="auto" w:fill="auto"/>
            <w:vAlign w:val="center"/>
          </w:tcPr>
          <w:p w14:paraId="2D412826" w14:textId="77777777" w:rsidR="008E46D8" w:rsidRDefault="008E46D8" w:rsidP="00D04AF3">
            <w:pPr>
              <w:spacing w:after="0"/>
              <w:jc w:val="right"/>
              <w:rPr>
                <w:rFonts w:eastAsia="Arial Narrow" w:cs="Arial Narrow"/>
                <w:color w:val="000000"/>
                <w:sz w:val="20"/>
              </w:rPr>
            </w:pPr>
            <w:r>
              <w:rPr>
                <w:rFonts w:eastAsia="Arial Narrow" w:cs="Arial Narrow"/>
                <w:color w:val="000000"/>
                <w:sz w:val="20"/>
              </w:rPr>
              <w:t>1 007</w:t>
            </w:r>
          </w:p>
        </w:tc>
        <w:tc>
          <w:tcPr>
            <w:tcW w:w="1843" w:type="dxa"/>
            <w:tcBorders>
              <w:bottom w:val="nil"/>
            </w:tcBorders>
          </w:tcPr>
          <w:p w14:paraId="37ADF4A0" w14:textId="77777777" w:rsidR="008E46D8" w:rsidRDefault="008E46D8" w:rsidP="00D04AF3">
            <w:pPr>
              <w:spacing w:after="0"/>
              <w:jc w:val="right"/>
              <w:rPr>
                <w:rFonts w:eastAsia="Arial Narrow" w:cs="Arial Narrow"/>
                <w:color w:val="000000"/>
                <w:sz w:val="20"/>
              </w:rPr>
            </w:pPr>
            <w:r>
              <w:rPr>
                <w:rFonts w:eastAsia="Arial Narrow" w:cs="Arial Narrow"/>
                <w:color w:val="000000"/>
                <w:sz w:val="20"/>
              </w:rPr>
              <w:t>1 135</w:t>
            </w:r>
          </w:p>
        </w:tc>
      </w:tr>
      <w:tr w:rsidR="008E46D8" w14:paraId="30F3436A" w14:textId="77777777" w:rsidTr="00D04AF3">
        <w:tc>
          <w:tcPr>
            <w:tcW w:w="3539" w:type="dxa"/>
            <w:tcBorders>
              <w:top w:val="nil"/>
              <w:bottom w:val="single" w:sz="4" w:space="0" w:color="000000"/>
            </w:tcBorders>
            <w:shd w:val="clear" w:color="auto" w:fill="auto"/>
            <w:vAlign w:val="center"/>
          </w:tcPr>
          <w:p w14:paraId="1D3E8BB1" w14:textId="77777777" w:rsidR="008E46D8" w:rsidRDefault="008E46D8" w:rsidP="00B22EF6">
            <w:pPr>
              <w:pBdr>
                <w:top w:val="nil"/>
                <w:left w:val="nil"/>
                <w:bottom w:val="nil"/>
                <w:right w:val="nil"/>
                <w:between w:val="nil"/>
              </w:pBdr>
              <w:spacing w:after="0" w:line="240" w:lineRule="auto"/>
              <w:rPr>
                <w:rFonts w:eastAsia="Arial Narrow" w:cs="Arial Narrow"/>
                <w:color w:val="000000"/>
                <w:sz w:val="20"/>
              </w:rPr>
            </w:pPr>
            <w:r>
              <w:rPr>
                <w:rFonts w:eastAsia="Arial Narrow" w:cs="Arial Narrow"/>
                <w:color w:val="000000"/>
                <w:sz w:val="20"/>
              </w:rPr>
              <w:t>Výdavky prepočítané na jedného klienta (eur)</w:t>
            </w:r>
          </w:p>
        </w:tc>
        <w:tc>
          <w:tcPr>
            <w:tcW w:w="1842" w:type="dxa"/>
            <w:gridSpan w:val="2"/>
            <w:tcBorders>
              <w:top w:val="nil"/>
              <w:bottom w:val="single" w:sz="4" w:space="0" w:color="000000"/>
            </w:tcBorders>
            <w:shd w:val="clear" w:color="auto" w:fill="auto"/>
            <w:vAlign w:val="center"/>
          </w:tcPr>
          <w:p w14:paraId="0381D1E2" w14:textId="77777777" w:rsidR="008E46D8" w:rsidRDefault="008E46D8" w:rsidP="00D04AF3">
            <w:pPr>
              <w:spacing w:after="0"/>
              <w:jc w:val="right"/>
              <w:rPr>
                <w:rFonts w:eastAsia="Arial Narrow" w:cs="Arial Narrow"/>
                <w:color w:val="000000"/>
                <w:sz w:val="20"/>
              </w:rPr>
            </w:pPr>
            <w:r>
              <w:rPr>
                <w:rFonts w:eastAsia="Arial Narrow" w:cs="Arial Narrow"/>
                <w:color w:val="000000"/>
                <w:sz w:val="20"/>
              </w:rPr>
              <w:t>1 563</w:t>
            </w:r>
          </w:p>
        </w:tc>
        <w:tc>
          <w:tcPr>
            <w:tcW w:w="1843" w:type="dxa"/>
            <w:tcBorders>
              <w:top w:val="nil"/>
              <w:bottom w:val="single" w:sz="4" w:space="0" w:color="000000"/>
            </w:tcBorders>
            <w:shd w:val="clear" w:color="auto" w:fill="auto"/>
            <w:vAlign w:val="center"/>
          </w:tcPr>
          <w:p w14:paraId="265D70A4" w14:textId="77777777" w:rsidR="008E46D8" w:rsidRDefault="008E46D8" w:rsidP="00D04AF3">
            <w:pPr>
              <w:spacing w:after="0"/>
              <w:jc w:val="right"/>
              <w:rPr>
                <w:rFonts w:eastAsia="Arial Narrow" w:cs="Arial Narrow"/>
                <w:color w:val="000000"/>
                <w:sz w:val="20"/>
              </w:rPr>
            </w:pPr>
            <w:r>
              <w:rPr>
                <w:rFonts w:eastAsia="Arial Narrow" w:cs="Arial Narrow"/>
                <w:color w:val="000000"/>
                <w:sz w:val="20"/>
              </w:rPr>
              <w:t>1 062</w:t>
            </w:r>
          </w:p>
        </w:tc>
        <w:tc>
          <w:tcPr>
            <w:tcW w:w="1843" w:type="dxa"/>
            <w:tcBorders>
              <w:top w:val="nil"/>
              <w:bottom w:val="single" w:sz="4" w:space="0" w:color="000000"/>
            </w:tcBorders>
          </w:tcPr>
          <w:p w14:paraId="69B71D7D" w14:textId="77777777" w:rsidR="008E46D8" w:rsidRDefault="008E46D8" w:rsidP="00D04AF3">
            <w:pPr>
              <w:spacing w:after="0"/>
              <w:jc w:val="right"/>
              <w:rPr>
                <w:rFonts w:eastAsia="Arial Narrow" w:cs="Arial Narrow"/>
                <w:color w:val="000000"/>
                <w:sz w:val="20"/>
              </w:rPr>
            </w:pPr>
            <w:r>
              <w:rPr>
                <w:rFonts w:eastAsia="Arial Narrow" w:cs="Arial Narrow"/>
                <w:color w:val="000000"/>
                <w:sz w:val="20"/>
              </w:rPr>
              <w:t>1 158</w:t>
            </w:r>
          </w:p>
        </w:tc>
      </w:tr>
      <w:tr w:rsidR="00D04AF3" w14:paraId="36EF5BC0" w14:textId="77777777" w:rsidTr="006D685B">
        <w:tc>
          <w:tcPr>
            <w:tcW w:w="4962" w:type="dxa"/>
            <w:gridSpan w:val="2"/>
            <w:tcBorders>
              <w:top w:val="single" w:sz="4" w:space="0" w:color="000000"/>
              <w:bottom w:val="nil"/>
            </w:tcBorders>
            <w:shd w:val="clear" w:color="auto" w:fill="auto"/>
            <w:vAlign w:val="center"/>
          </w:tcPr>
          <w:p w14:paraId="29150A72" w14:textId="17DEFDB3" w:rsidR="00D04AF3" w:rsidRDefault="00D04AF3" w:rsidP="00D04AF3">
            <w:pPr>
              <w:spacing w:after="0" w:line="240" w:lineRule="auto"/>
              <w:jc w:val="left"/>
              <w:rPr>
                <w:rFonts w:eastAsia="Arial Narrow" w:cs="Arial Narrow"/>
                <w:color w:val="000000"/>
                <w:sz w:val="20"/>
              </w:rPr>
            </w:pPr>
            <w:r>
              <w:rPr>
                <w:rFonts w:eastAsia="Arial Narrow" w:cs="Arial Narrow"/>
                <w:i/>
                <w:color w:val="000000"/>
                <w:sz w:val="18"/>
                <w:szCs w:val="18"/>
              </w:rPr>
              <w:t xml:space="preserve">Poznámka: </w:t>
            </w:r>
            <w:r w:rsidRPr="00D04AF3">
              <w:rPr>
                <w:rFonts w:eastAsia="Arial Narrow" w:cs="Arial Narrow"/>
                <w:i/>
                <w:color w:val="000000"/>
                <w:sz w:val="18"/>
                <w:szCs w:val="18"/>
              </w:rPr>
              <w:t>Zahŕňa výdavky na mzdy, odvody, tovary a služby, bežné transfery a kapitálové výdavky</w:t>
            </w:r>
          </w:p>
        </w:tc>
        <w:tc>
          <w:tcPr>
            <w:tcW w:w="4105" w:type="dxa"/>
            <w:gridSpan w:val="3"/>
            <w:tcBorders>
              <w:top w:val="single" w:sz="4" w:space="0" w:color="000000"/>
              <w:bottom w:val="nil"/>
            </w:tcBorders>
            <w:shd w:val="clear" w:color="auto" w:fill="auto"/>
          </w:tcPr>
          <w:p w14:paraId="255487ED" w14:textId="22E06B9B" w:rsidR="00D04AF3" w:rsidRDefault="00D04AF3" w:rsidP="006D685B">
            <w:pPr>
              <w:spacing w:after="0" w:line="240" w:lineRule="auto"/>
              <w:jc w:val="right"/>
              <w:rPr>
                <w:rFonts w:eastAsia="Arial Narrow" w:cs="Arial Narrow"/>
                <w:color w:val="000000"/>
                <w:sz w:val="20"/>
              </w:rPr>
            </w:pPr>
            <w:r w:rsidRPr="00D04AF3">
              <w:rPr>
                <w:rFonts w:eastAsia="Arial Narrow" w:cs="Arial Narrow"/>
                <w:i/>
                <w:color w:val="000000"/>
                <w:sz w:val="18"/>
                <w:szCs w:val="18"/>
              </w:rPr>
              <w:t xml:space="preserve">Zdroj: Výkazy </w:t>
            </w:r>
            <w:r w:rsidRPr="00D04AF3">
              <w:rPr>
                <w:rFonts w:eastAsia="Arial Narrow" w:cs="Arial Narrow"/>
                <w:i/>
                <w:color w:val="000000"/>
                <w:sz w:val="18"/>
                <w:szCs w:val="18"/>
                <w:highlight w:val="white"/>
              </w:rPr>
              <w:t>V(MPSVR SR) </w:t>
            </w:r>
            <w:r w:rsidRPr="00D04AF3">
              <w:rPr>
                <w:rFonts w:eastAsia="Arial Narrow" w:cs="Arial Narrow"/>
                <w:color w:val="000000"/>
                <w:sz w:val="18"/>
                <w:szCs w:val="18"/>
                <w:highlight w:val="white"/>
              </w:rPr>
              <w:t xml:space="preserve">7-01 a </w:t>
            </w:r>
            <w:r w:rsidRPr="00D04AF3">
              <w:rPr>
                <w:rFonts w:eastAsia="Arial Narrow" w:cs="Arial Narrow"/>
                <w:i/>
                <w:color w:val="000000"/>
                <w:sz w:val="18"/>
                <w:szCs w:val="18"/>
                <w:highlight w:val="white"/>
              </w:rPr>
              <w:t>V(MPSVR SR) </w:t>
            </w:r>
            <w:r w:rsidRPr="00D04AF3">
              <w:rPr>
                <w:rFonts w:eastAsia="Arial Narrow" w:cs="Arial Narrow"/>
                <w:color w:val="000000"/>
                <w:sz w:val="18"/>
                <w:szCs w:val="18"/>
                <w:highlight w:val="white"/>
              </w:rPr>
              <w:t>10-0</w:t>
            </w:r>
            <w:r w:rsidR="003747A2">
              <w:rPr>
                <w:rFonts w:eastAsia="Arial Narrow" w:cs="Arial Narrow"/>
                <w:color w:val="000000"/>
                <w:sz w:val="18"/>
                <w:szCs w:val="18"/>
              </w:rPr>
              <w:t>1</w:t>
            </w:r>
          </w:p>
        </w:tc>
      </w:tr>
    </w:tbl>
    <w:p w14:paraId="0D2A3780" w14:textId="59118093" w:rsidR="008E46D8" w:rsidRPr="003747A2" w:rsidRDefault="008E46D8" w:rsidP="003747A2">
      <w:pPr>
        <w:pBdr>
          <w:top w:val="nil"/>
          <w:left w:val="nil"/>
          <w:bottom w:val="nil"/>
          <w:right w:val="nil"/>
          <w:between w:val="nil"/>
        </w:pBdr>
        <w:spacing w:before="200"/>
        <w:rPr>
          <w:rFonts w:eastAsia="Arial Narrow" w:cs="Arial Narrow"/>
          <w:i/>
          <w:color w:val="000000"/>
          <w:sz w:val="18"/>
          <w:szCs w:val="18"/>
        </w:rPr>
      </w:pPr>
      <w:r>
        <w:rPr>
          <w:rFonts w:eastAsia="Arial Narrow" w:cs="Arial Narrow"/>
          <w:b/>
          <w:color w:val="000000"/>
        </w:rPr>
        <w:t>Priemerná výška príspevku poskytovaná VÚC na jednu hodinu služby včasnej inter</w:t>
      </w:r>
      <w:r w:rsidR="00181821">
        <w:rPr>
          <w:rFonts w:eastAsia="Arial Narrow" w:cs="Arial Narrow"/>
          <w:b/>
          <w:color w:val="000000"/>
        </w:rPr>
        <w:t>vencie mala výšku 10 </w:t>
      </w:r>
      <w:r>
        <w:rPr>
          <w:rFonts w:eastAsia="Arial Narrow" w:cs="Arial Narrow"/>
          <w:b/>
          <w:color w:val="000000"/>
        </w:rPr>
        <w:t xml:space="preserve">eur, čo je podľa odborníkov nedostatočné. </w:t>
      </w:r>
      <w:r>
        <w:rPr>
          <w:rFonts w:eastAsia="Arial Narrow" w:cs="Arial Narrow"/>
          <w:color w:val="000000"/>
        </w:rPr>
        <w:t>Zároveň mali príspevky rôznu výšku v rôznych krajoch od</w:t>
      </w:r>
      <w:r>
        <w:rPr>
          <w:rFonts w:eastAsia="Arial Narrow" w:cs="Arial Narrow"/>
          <w:b/>
          <w:color w:val="000000"/>
        </w:rPr>
        <w:t xml:space="preserve"> </w:t>
      </w:r>
      <w:r w:rsidR="00181821">
        <w:rPr>
          <w:rFonts w:eastAsia="Arial Narrow" w:cs="Arial Narrow"/>
          <w:color w:val="000000"/>
        </w:rPr>
        <w:t>7,6 eur</w:t>
      </w:r>
      <w:r>
        <w:rPr>
          <w:rFonts w:eastAsia="Arial Narrow" w:cs="Arial Narrow"/>
          <w:color w:val="000000"/>
        </w:rPr>
        <w:t xml:space="preserve"> v Žilinskom kraji po 15 eur v Košickom kraji (Fričová a kol., 2018). Podľa prepočtov Asociácie poskytovateľov a podporovateľov včasnej intervencie (APPVI) by sa optimálna výška príspevku mala pohybovať okolo 17 eur na hodinu (APPVI, 2018).</w:t>
      </w:r>
      <w:r>
        <w:rPr>
          <w:rFonts w:eastAsia="Arial Narrow" w:cs="Arial Narrow"/>
          <w:color w:val="000000"/>
          <w:vertAlign w:val="superscript"/>
        </w:rPr>
        <w:footnoteReference w:id="52"/>
      </w:r>
      <w:r w:rsidR="0070047D">
        <w:rPr>
          <w:rFonts w:eastAsia="Arial Narrow" w:cs="Arial Narrow"/>
          <w:color w:val="000000"/>
        </w:rPr>
        <w:t xml:space="preserve"> </w:t>
      </w:r>
      <w:r w:rsidR="002D7EAF" w:rsidRPr="003052F8">
        <w:rPr>
          <w:b/>
          <w:bCs/>
          <w:color w:val="000000"/>
        </w:rPr>
        <w:t>Revízia navrhuje, aby všetky vyššie územné celky stanovili a zverejnili priemerné bežné výdavky na službu včasnej intervencie, ktoré budú, okrem iného zohľadňovať aj reálne personálne náklady na mzdy odborných zamestnancov, ich supervíziu a vzdelávanie, prevádzkové náklady na prenájom priestorov vrátane nákladov na terénne poskytovanie služieb a pomôcky.</w:t>
      </w:r>
    </w:p>
    <w:p w14:paraId="279FE7D8" w14:textId="636788CC" w:rsidR="008E46D8" w:rsidRPr="000E65B0" w:rsidRDefault="008E46D8" w:rsidP="008E46D8">
      <w:pPr>
        <w:pBdr>
          <w:top w:val="nil"/>
          <w:left w:val="nil"/>
          <w:bottom w:val="nil"/>
          <w:right w:val="nil"/>
          <w:between w:val="nil"/>
        </w:pBdr>
        <w:rPr>
          <w:rFonts w:eastAsia="Arial Narrow" w:cs="Arial Narrow"/>
          <w:b/>
          <w:color w:val="000000"/>
        </w:rPr>
      </w:pPr>
      <w:r>
        <w:rPr>
          <w:rFonts w:eastAsia="Arial Narrow" w:cs="Arial Narrow"/>
          <w:b/>
          <w:color w:val="000000"/>
        </w:rPr>
        <w:lastRenderedPageBreak/>
        <w:t>Súčasné znenie štandardov</w:t>
      </w:r>
      <w:r>
        <w:rPr>
          <w:rStyle w:val="Odkaznapoznmkupodiarou"/>
          <w:rFonts w:eastAsia="Arial Narrow" w:cs="Arial Narrow"/>
          <w:b/>
          <w:color w:val="000000"/>
        </w:rPr>
        <w:footnoteReference w:id="53"/>
      </w:r>
      <w:r>
        <w:rPr>
          <w:rFonts w:eastAsia="Arial Narrow" w:cs="Arial Narrow"/>
          <w:b/>
          <w:color w:val="000000"/>
        </w:rPr>
        <w:t xml:space="preserve"> nezodpovedá terénnemu charakteru služby včasnej intervencie, a preto negarantuje zabezpečenie potrebnej kvality služby. </w:t>
      </w:r>
      <w:r w:rsidRPr="00B00C0E">
        <w:rPr>
          <w:rFonts w:eastAsia="Arial Narrow" w:cs="Arial Narrow"/>
          <w:bCs/>
          <w:color w:val="000000"/>
        </w:rPr>
        <w:t xml:space="preserve">Poskytovatelia služieb včasnej intervencie musia v súčasnosti spĺňať univerzálne štandardy stanovené pre všetky </w:t>
      </w:r>
      <w:r w:rsidR="005A053D">
        <w:rPr>
          <w:rFonts w:eastAsia="Arial Narrow" w:cs="Arial Narrow"/>
          <w:bCs/>
          <w:color w:val="000000"/>
        </w:rPr>
        <w:t>druhy a formy</w:t>
      </w:r>
      <w:r w:rsidRPr="00B00C0E">
        <w:rPr>
          <w:rFonts w:eastAsia="Arial Narrow" w:cs="Arial Narrow"/>
          <w:bCs/>
          <w:color w:val="000000"/>
        </w:rPr>
        <w:t xml:space="preserve"> sociálnych služieb.</w:t>
      </w:r>
      <w:r w:rsidRPr="00B00C0E">
        <w:rPr>
          <w:rStyle w:val="Odkaznapoznmkupodiarou"/>
          <w:rFonts w:eastAsia="Arial Narrow" w:cs="Arial Narrow"/>
          <w:bCs/>
          <w:color w:val="000000"/>
        </w:rPr>
        <w:footnoteReference w:id="54"/>
      </w:r>
      <w:r w:rsidRPr="00B00C0E">
        <w:rPr>
          <w:rFonts w:eastAsia="Arial Narrow" w:cs="Arial Narrow"/>
          <w:bCs/>
          <w:color w:val="000000"/>
        </w:rPr>
        <w:t xml:space="preserve"> </w:t>
      </w:r>
      <w:r>
        <w:rPr>
          <w:rFonts w:eastAsia="Arial Narrow" w:cs="Arial Narrow"/>
          <w:bCs/>
          <w:color w:val="000000"/>
        </w:rPr>
        <w:t xml:space="preserve">Tie však viac reflektujú </w:t>
      </w:r>
      <w:r w:rsidRPr="00B00C0E">
        <w:rPr>
          <w:rFonts w:eastAsia="Arial Narrow" w:cs="Arial Narrow"/>
          <w:bCs/>
          <w:color w:val="000000"/>
        </w:rPr>
        <w:t xml:space="preserve">situáciu v oblasti poskytovania </w:t>
      </w:r>
      <w:r>
        <w:rPr>
          <w:rFonts w:eastAsia="Arial Narrow" w:cs="Arial Narrow"/>
          <w:bCs/>
          <w:color w:val="000000"/>
        </w:rPr>
        <w:t>pobytových</w:t>
      </w:r>
      <w:r w:rsidR="0070047D">
        <w:rPr>
          <w:rFonts w:eastAsia="Arial Narrow" w:cs="Arial Narrow"/>
          <w:bCs/>
          <w:color w:val="000000"/>
        </w:rPr>
        <w:t xml:space="preserve"> </w:t>
      </w:r>
      <w:r w:rsidRPr="00B00C0E">
        <w:rPr>
          <w:rFonts w:eastAsia="Arial Narrow" w:cs="Arial Narrow"/>
          <w:bCs/>
          <w:color w:val="000000"/>
        </w:rPr>
        <w:t>sociálnych služieb, pričom včasná intervencia je primárne poskytovaná terénnou formou.</w:t>
      </w:r>
      <w:r>
        <w:rPr>
          <w:rFonts w:eastAsia="Arial Narrow" w:cs="Arial Narrow"/>
          <w:b/>
          <w:color w:val="000000"/>
        </w:rPr>
        <w:t xml:space="preserve"> S cieľom posilniť kvalitu poskytovaných služieb r</w:t>
      </w:r>
      <w:r w:rsidRPr="000E65B0">
        <w:rPr>
          <w:rFonts w:eastAsia="Arial Narrow" w:cs="Arial Narrow"/>
          <w:b/>
          <w:color w:val="000000"/>
        </w:rPr>
        <w:t xml:space="preserve">evízia navrhuje </w:t>
      </w:r>
      <w:r>
        <w:rPr>
          <w:rFonts w:eastAsia="Arial Narrow" w:cs="Arial Narrow"/>
          <w:b/>
          <w:color w:val="000000"/>
        </w:rPr>
        <w:t>ustanoviť odborného garanta služby včasnej intervencie. Garantom by sa mohla stať napríklad strešná organizácia</w:t>
      </w:r>
      <w:r w:rsidRPr="000E65B0">
        <w:rPr>
          <w:rFonts w:eastAsia="Arial Narrow" w:cs="Arial Narrow"/>
          <w:b/>
          <w:color w:val="000000"/>
        </w:rPr>
        <w:t xml:space="preserve"> A</w:t>
      </w:r>
      <w:r>
        <w:rPr>
          <w:rFonts w:eastAsia="Arial Narrow" w:cs="Arial Narrow"/>
          <w:b/>
          <w:color w:val="000000"/>
        </w:rPr>
        <w:t>sociácia poskytovateľov a podporovateľov včasnej intervencie (APPVI)</w:t>
      </w:r>
      <w:r w:rsidRPr="000E65B0">
        <w:rPr>
          <w:rFonts w:eastAsia="Arial Narrow" w:cs="Arial Narrow"/>
          <w:b/>
          <w:color w:val="000000"/>
        </w:rPr>
        <w:t xml:space="preserve"> ktor</w:t>
      </w:r>
      <w:r>
        <w:rPr>
          <w:rFonts w:eastAsia="Arial Narrow" w:cs="Arial Narrow"/>
          <w:b/>
          <w:color w:val="000000"/>
        </w:rPr>
        <w:t>á už dnes poskytuje akreditované vzdelávanie pre pracovníkov včasnej intervencie ako aj nastavuje metodické štandardy služby, zatiaľ na tzv. samoregulačnom princípe.</w:t>
      </w:r>
    </w:p>
    <w:p w14:paraId="3C8E01BE" w14:textId="77777777" w:rsidR="008E46D8" w:rsidRPr="002F7120" w:rsidRDefault="008E46D8" w:rsidP="008E46D8">
      <w:pPr>
        <w:pBdr>
          <w:top w:val="nil"/>
          <w:left w:val="nil"/>
          <w:bottom w:val="nil"/>
          <w:right w:val="nil"/>
          <w:between w:val="nil"/>
        </w:pBdr>
        <w:rPr>
          <w:rFonts w:eastAsia="Arial Narrow" w:cs="Arial Narrow"/>
          <w:bCs/>
          <w:color w:val="0070C0"/>
        </w:rPr>
      </w:pPr>
      <w:r>
        <w:rPr>
          <w:rFonts w:eastAsia="Arial Narrow" w:cs="Arial Narrow"/>
          <w:bCs/>
          <w:color w:val="0070C0"/>
        </w:rPr>
        <w:t xml:space="preserve">Starostlivosť </w:t>
      </w:r>
      <w:r w:rsidRPr="002F7120">
        <w:rPr>
          <w:rFonts w:eastAsia="Arial Narrow" w:cs="Arial Narrow"/>
          <w:bCs/>
          <w:color w:val="0070C0"/>
        </w:rPr>
        <w:t>v rezorte školstva</w:t>
      </w:r>
    </w:p>
    <w:p w14:paraId="2EE5994F" w14:textId="674F2C31" w:rsidR="008E46D8" w:rsidRPr="00E42853" w:rsidRDefault="008E46D8" w:rsidP="008E46D8">
      <w:pPr>
        <w:pBdr>
          <w:top w:val="nil"/>
          <w:left w:val="nil"/>
          <w:bottom w:val="nil"/>
          <w:right w:val="nil"/>
          <w:between w:val="nil"/>
        </w:pBdr>
        <w:rPr>
          <w:rFonts w:eastAsia="Arial Narrow" w:cs="Arial Narrow"/>
          <w:b/>
          <w:color w:val="000000"/>
        </w:rPr>
      </w:pPr>
      <w:r>
        <w:rPr>
          <w:rFonts w:eastAsia="Arial Narrow" w:cs="Arial Narrow"/>
          <w:b/>
          <w:color w:val="000000"/>
        </w:rPr>
        <w:t xml:space="preserve">Rezort školstva poskytuje v súčasnosti tzv. ranú starostlivosť iba deťom so </w:t>
      </w:r>
      <w:r w:rsidR="0047707D">
        <w:rPr>
          <w:rFonts w:eastAsia="Arial Narrow" w:cs="Arial Narrow"/>
          <w:b/>
          <w:color w:val="000000"/>
        </w:rPr>
        <w:t>zdravotným znevýhodnením (</w:t>
      </w:r>
      <w:r>
        <w:rPr>
          <w:rFonts w:eastAsia="Arial Narrow" w:cs="Arial Narrow"/>
          <w:b/>
          <w:color w:val="000000"/>
        </w:rPr>
        <w:t>ZZ</w:t>
      </w:r>
      <w:r w:rsidR="0047707D">
        <w:rPr>
          <w:rFonts w:eastAsia="Arial Narrow" w:cs="Arial Narrow"/>
          <w:b/>
          <w:color w:val="000000"/>
        </w:rPr>
        <w:t>)</w:t>
      </w:r>
      <w:r>
        <w:rPr>
          <w:rFonts w:eastAsia="Arial Narrow" w:cs="Arial Narrow"/>
          <w:b/>
          <w:color w:val="000000"/>
        </w:rPr>
        <w:t>.</w:t>
      </w:r>
      <w:r>
        <w:rPr>
          <w:rFonts w:eastAsia="Arial Narrow" w:cs="Arial Narrow"/>
          <w:color w:val="000000"/>
          <w:vertAlign w:val="superscript"/>
        </w:rPr>
        <w:footnoteReference w:id="55"/>
      </w:r>
      <w:r>
        <w:rPr>
          <w:rFonts w:eastAsia="Arial Narrow" w:cs="Arial Narrow"/>
          <w:color w:val="000000"/>
          <w:vertAlign w:val="superscript"/>
        </w:rPr>
        <w:t xml:space="preserve"> </w:t>
      </w:r>
      <w:r>
        <w:rPr>
          <w:rFonts w:eastAsia="Arial Narrow" w:cs="Arial Narrow"/>
          <w:color w:val="000000"/>
        </w:rPr>
        <w:t>Poskytujú ju centrá špeciálno-pedagogického poradenstva (CŠPP). Legislatíva ani žiadne koncepčné materiály v rezorte školstva pojem ranej starostlivosti bližšie nedefinujú a ani vekovo neohraničujú.</w:t>
      </w:r>
      <w:r>
        <w:rPr>
          <w:rFonts w:eastAsia="Arial Narrow" w:cs="Arial Narrow"/>
          <w:color w:val="000000"/>
          <w:vertAlign w:val="superscript"/>
        </w:rPr>
        <w:footnoteReference w:id="56"/>
      </w:r>
      <w:r>
        <w:rPr>
          <w:rFonts w:eastAsia="Arial Narrow" w:cs="Arial Narrow"/>
          <w:color w:val="000000"/>
        </w:rPr>
        <w:t xml:space="preserve"> Obdobie poskytovania starostlivosti vo veku od 0 do 3 rokov dieťaťa je dané neformálne</w:t>
      </w:r>
      <w:r w:rsidR="0023347C">
        <w:rPr>
          <w:rFonts w:eastAsia="Arial Narrow" w:cs="Arial Narrow"/>
          <w:color w:val="000000"/>
        </w:rPr>
        <w:t>.</w:t>
      </w:r>
    </w:p>
    <w:p w14:paraId="393749E3" w14:textId="2D0539A3" w:rsidR="008E46D8" w:rsidRDefault="008E46D8" w:rsidP="008E46D8">
      <w:pPr>
        <w:pBdr>
          <w:top w:val="nil"/>
          <w:left w:val="nil"/>
          <w:bottom w:val="nil"/>
          <w:right w:val="nil"/>
          <w:between w:val="nil"/>
        </w:pBdr>
        <w:rPr>
          <w:rFonts w:eastAsia="Arial Narrow" w:cs="Arial Narrow"/>
          <w:b/>
          <w:color w:val="000000"/>
        </w:rPr>
      </w:pPr>
      <w:r>
        <w:rPr>
          <w:rFonts w:eastAsia="Arial Narrow" w:cs="Arial Narrow"/>
          <w:b/>
          <w:color w:val="000000"/>
        </w:rPr>
        <w:t xml:space="preserve">Celkové výdavky na ranú starostlivosť detí so ZZ vo veku 0-3 rokov nie je možné vyčísliť. </w:t>
      </w:r>
      <w:r>
        <w:rPr>
          <w:rFonts w:eastAsia="Arial Narrow" w:cs="Arial Narrow"/>
          <w:color w:val="000000"/>
        </w:rPr>
        <w:t>Údaje o výdavkoch za štátne CŠPP sa vykazujú spoločne s výdavkami špeciálnych škôl</w:t>
      </w:r>
      <w:sdt>
        <w:sdtPr>
          <w:tag w:val="goog_rdk_19"/>
          <w:id w:val="1752465698"/>
        </w:sdtPr>
        <w:sdtEndPr/>
        <w:sdtContent/>
      </w:sdt>
      <w:r>
        <w:rPr>
          <w:rFonts w:eastAsia="Arial Narrow" w:cs="Arial Narrow"/>
          <w:color w:val="000000"/>
          <w:vertAlign w:val="superscript"/>
        </w:rPr>
        <w:footnoteReference w:id="57"/>
      </w:r>
      <w:r>
        <w:rPr>
          <w:rFonts w:eastAsia="Arial Narrow" w:cs="Arial Narrow"/>
          <w:color w:val="000000"/>
        </w:rPr>
        <w:t xml:space="preserve"> a údaje o výdavkoch neštátnych CŠPP sa zbierajú iba čiastočne.</w:t>
      </w:r>
      <w:r>
        <w:rPr>
          <w:rStyle w:val="Odkaznapoznmkupodiarou"/>
          <w:rFonts w:eastAsia="Arial Narrow" w:cs="Arial Narrow"/>
          <w:color w:val="000000"/>
        </w:rPr>
        <w:footnoteReference w:id="58"/>
      </w:r>
      <w:r>
        <w:rPr>
          <w:rFonts w:eastAsia="Arial Narrow" w:cs="Arial Narrow"/>
          <w:color w:val="000000"/>
        </w:rPr>
        <w:t xml:space="preserve"> </w:t>
      </w:r>
      <w:r w:rsidRPr="000909CE">
        <w:rPr>
          <w:rFonts w:eastAsia="Arial Narrow" w:cs="Arial Narrow"/>
          <w:b/>
          <w:color w:val="000000"/>
        </w:rPr>
        <w:t>Revízia navrhuje upraviť štruktúru Správy o hospodárení a poskytnúť adekvátnu podporu poradniam (personál</w:t>
      </w:r>
      <w:r w:rsidR="0023347C">
        <w:rPr>
          <w:rFonts w:eastAsia="Arial Narrow" w:cs="Arial Narrow"/>
          <w:b/>
          <w:color w:val="000000"/>
        </w:rPr>
        <w:t>n</w:t>
      </w:r>
      <w:r w:rsidRPr="000909CE">
        <w:rPr>
          <w:rFonts w:eastAsia="Arial Narrow" w:cs="Arial Narrow"/>
          <w:b/>
          <w:color w:val="000000"/>
        </w:rPr>
        <w:t>u a/alebo technickú) tak, aby údaje v potrebnej štruktúre boli dostupné.</w:t>
      </w:r>
      <w:r>
        <w:rPr>
          <w:rFonts w:eastAsia="Arial Narrow" w:cs="Arial Narrow"/>
          <w:b/>
          <w:color w:val="000000"/>
        </w:rPr>
        <w:t xml:space="preserve"> </w:t>
      </w:r>
    </w:p>
    <w:p w14:paraId="191A494E" w14:textId="14BD715B" w:rsidR="008E46D8" w:rsidRDefault="004A7998" w:rsidP="008E46D8">
      <w:pPr>
        <w:pBdr>
          <w:top w:val="nil"/>
          <w:left w:val="nil"/>
          <w:bottom w:val="nil"/>
          <w:right w:val="nil"/>
          <w:between w:val="nil"/>
        </w:pBdr>
        <w:spacing w:after="0"/>
        <w:rPr>
          <w:color w:val="000000"/>
          <w:szCs w:val="22"/>
        </w:rPr>
      </w:pPr>
      <w:bookmarkStart w:id="152" w:name="_Ref33028123"/>
      <w:bookmarkStart w:id="153" w:name="_Toc34156846"/>
      <w:r w:rsidRPr="00CA2564">
        <w:rPr>
          <w:b/>
          <w:sz w:val="20"/>
        </w:rPr>
        <w:t xml:space="preserve">Tabuľka </w:t>
      </w:r>
      <w:r w:rsidRPr="00CA2564">
        <w:rPr>
          <w:b/>
          <w:noProof/>
          <w:sz w:val="20"/>
        </w:rPr>
        <w:fldChar w:fldCharType="begin"/>
      </w:r>
      <w:r w:rsidRPr="00CA2564">
        <w:rPr>
          <w:b/>
          <w:noProof/>
          <w:sz w:val="20"/>
        </w:rPr>
        <w:instrText xml:space="preserve"> SEQ Tabuľka \* ARABIC </w:instrText>
      </w:r>
      <w:r w:rsidRPr="00CA2564">
        <w:rPr>
          <w:b/>
          <w:noProof/>
          <w:sz w:val="20"/>
        </w:rPr>
        <w:fldChar w:fldCharType="separate"/>
      </w:r>
      <w:r w:rsidR="00FA29AF">
        <w:rPr>
          <w:b/>
          <w:noProof/>
          <w:sz w:val="20"/>
        </w:rPr>
        <w:t>7</w:t>
      </w:r>
      <w:r w:rsidRPr="00CA2564">
        <w:rPr>
          <w:b/>
          <w:noProof/>
          <w:sz w:val="20"/>
        </w:rPr>
        <w:fldChar w:fldCharType="end"/>
      </w:r>
      <w:bookmarkEnd w:id="152"/>
      <w:r>
        <w:rPr>
          <w:b/>
          <w:sz w:val="20"/>
        </w:rPr>
        <w:t xml:space="preserve">: </w:t>
      </w:r>
      <w:r w:rsidR="008E46D8">
        <w:rPr>
          <w:b/>
          <w:color w:val="000000"/>
          <w:sz w:val="20"/>
        </w:rPr>
        <w:t>Základné údaje o Centrách špeciálno-pedagogického poradenstva, 2018</w:t>
      </w:r>
      <w:bookmarkEnd w:id="153"/>
    </w:p>
    <w:tbl>
      <w:tblPr>
        <w:tblW w:w="9072" w:type="dxa"/>
        <w:tblBorders>
          <w:top w:val="single" w:sz="4" w:space="0" w:color="auto"/>
          <w:bottom w:val="single" w:sz="4" w:space="0" w:color="auto"/>
        </w:tblBorders>
        <w:tblLayout w:type="fixed"/>
        <w:tblLook w:val="0400" w:firstRow="0" w:lastRow="0" w:firstColumn="0" w:lastColumn="0" w:noHBand="0" w:noVBand="1"/>
      </w:tblPr>
      <w:tblGrid>
        <w:gridCol w:w="4520"/>
        <w:gridCol w:w="1517"/>
        <w:gridCol w:w="1517"/>
        <w:gridCol w:w="1518"/>
      </w:tblGrid>
      <w:tr w:rsidR="008E46D8" w14:paraId="261E7BAF" w14:textId="77777777" w:rsidTr="004A7998">
        <w:trPr>
          <w:trHeight w:val="300"/>
        </w:trPr>
        <w:tc>
          <w:tcPr>
            <w:tcW w:w="4520" w:type="dxa"/>
            <w:tcBorders>
              <w:top w:val="single" w:sz="4" w:space="0" w:color="auto"/>
              <w:bottom w:val="single" w:sz="4" w:space="0" w:color="auto"/>
            </w:tcBorders>
            <w:shd w:val="clear" w:color="auto" w:fill="auto"/>
            <w:vAlign w:val="bottom"/>
          </w:tcPr>
          <w:p w14:paraId="207B05E3" w14:textId="77777777" w:rsidR="008E46D8" w:rsidRDefault="008E46D8" w:rsidP="00B22EF6">
            <w:pPr>
              <w:spacing w:after="0" w:line="240" w:lineRule="auto"/>
              <w:rPr>
                <w:rFonts w:eastAsia="Arial Narrow" w:cs="Arial Narrow"/>
                <w:color w:val="000000"/>
                <w:sz w:val="20"/>
              </w:rPr>
            </w:pPr>
            <w:r>
              <w:rPr>
                <w:rFonts w:eastAsia="Arial Narrow" w:cs="Arial Narrow"/>
                <w:color w:val="000000"/>
                <w:sz w:val="20"/>
              </w:rPr>
              <w:t> </w:t>
            </w:r>
          </w:p>
        </w:tc>
        <w:tc>
          <w:tcPr>
            <w:tcW w:w="1517" w:type="dxa"/>
            <w:tcBorders>
              <w:top w:val="single" w:sz="4" w:space="0" w:color="auto"/>
              <w:bottom w:val="single" w:sz="4" w:space="0" w:color="auto"/>
            </w:tcBorders>
            <w:shd w:val="clear" w:color="auto" w:fill="auto"/>
            <w:vAlign w:val="bottom"/>
          </w:tcPr>
          <w:p w14:paraId="2A9D930F" w14:textId="77777777" w:rsidR="008E46D8" w:rsidRDefault="008E46D8" w:rsidP="00B22EF6">
            <w:pPr>
              <w:spacing w:after="0" w:line="240" w:lineRule="auto"/>
              <w:jc w:val="center"/>
              <w:rPr>
                <w:rFonts w:eastAsia="Arial Narrow" w:cs="Arial Narrow"/>
                <w:b/>
                <w:color w:val="000000"/>
                <w:sz w:val="20"/>
              </w:rPr>
            </w:pPr>
            <w:r>
              <w:rPr>
                <w:rFonts w:eastAsia="Arial Narrow" w:cs="Arial Narrow"/>
                <w:b/>
                <w:color w:val="000000"/>
                <w:sz w:val="20"/>
              </w:rPr>
              <w:t>Štátne</w:t>
            </w:r>
          </w:p>
        </w:tc>
        <w:tc>
          <w:tcPr>
            <w:tcW w:w="1517" w:type="dxa"/>
            <w:tcBorders>
              <w:top w:val="single" w:sz="4" w:space="0" w:color="auto"/>
              <w:bottom w:val="single" w:sz="4" w:space="0" w:color="auto"/>
            </w:tcBorders>
            <w:shd w:val="clear" w:color="auto" w:fill="auto"/>
            <w:vAlign w:val="bottom"/>
          </w:tcPr>
          <w:p w14:paraId="7A1F65C3" w14:textId="77777777" w:rsidR="008E46D8" w:rsidRDefault="008E46D8" w:rsidP="00B22EF6">
            <w:pPr>
              <w:spacing w:after="0" w:line="240" w:lineRule="auto"/>
              <w:jc w:val="center"/>
              <w:rPr>
                <w:rFonts w:eastAsia="Arial Narrow" w:cs="Arial Narrow"/>
                <w:b/>
                <w:color w:val="000000"/>
                <w:sz w:val="20"/>
              </w:rPr>
            </w:pPr>
            <w:r>
              <w:rPr>
                <w:rFonts w:eastAsia="Arial Narrow" w:cs="Arial Narrow"/>
                <w:b/>
                <w:color w:val="000000"/>
                <w:sz w:val="20"/>
              </w:rPr>
              <w:t>Neštátne</w:t>
            </w:r>
          </w:p>
        </w:tc>
        <w:tc>
          <w:tcPr>
            <w:tcW w:w="1518" w:type="dxa"/>
            <w:tcBorders>
              <w:top w:val="single" w:sz="4" w:space="0" w:color="auto"/>
              <w:bottom w:val="single" w:sz="4" w:space="0" w:color="auto"/>
            </w:tcBorders>
            <w:shd w:val="clear" w:color="auto" w:fill="auto"/>
            <w:vAlign w:val="bottom"/>
          </w:tcPr>
          <w:p w14:paraId="218FD657" w14:textId="77777777" w:rsidR="008E46D8" w:rsidRDefault="008E46D8" w:rsidP="00B22EF6">
            <w:pPr>
              <w:spacing w:after="0" w:line="240" w:lineRule="auto"/>
              <w:jc w:val="center"/>
              <w:rPr>
                <w:rFonts w:eastAsia="Arial Narrow" w:cs="Arial Narrow"/>
                <w:b/>
                <w:color w:val="000000"/>
                <w:sz w:val="20"/>
              </w:rPr>
            </w:pPr>
            <w:r>
              <w:rPr>
                <w:rFonts w:eastAsia="Arial Narrow" w:cs="Arial Narrow"/>
                <w:b/>
                <w:color w:val="000000"/>
                <w:sz w:val="20"/>
              </w:rPr>
              <w:t>Spolu</w:t>
            </w:r>
          </w:p>
        </w:tc>
      </w:tr>
      <w:tr w:rsidR="008E46D8" w:rsidRPr="004A7998" w14:paraId="38B8B489" w14:textId="77777777" w:rsidTr="004A7998">
        <w:trPr>
          <w:trHeight w:val="300"/>
        </w:trPr>
        <w:tc>
          <w:tcPr>
            <w:tcW w:w="4520" w:type="dxa"/>
            <w:tcBorders>
              <w:top w:val="single" w:sz="4" w:space="0" w:color="auto"/>
            </w:tcBorders>
            <w:shd w:val="clear" w:color="auto" w:fill="auto"/>
            <w:vAlign w:val="bottom"/>
          </w:tcPr>
          <w:p w14:paraId="7A7BA543" w14:textId="77777777" w:rsidR="008E46D8" w:rsidRPr="004A7998" w:rsidRDefault="008E46D8" w:rsidP="00B22EF6">
            <w:pPr>
              <w:spacing w:after="0" w:line="240" w:lineRule="auto"/>
              <w:rPr>
                <w:rFonts w:eastAsia="Arial Narrow" w:cs="Arial Narrow"/>
                <w:color w:val="000000"/>
                <w:sz w:val="20"/>
              </w:rPr>
            </w:pPr>
            <w:r w:rsidRPr="004A7998">
              <w:rPr>
                <w:rFonts w:eastAsia="Arial Narrow" w:cs="Arial Narrow"/>
                <w:color w:val="000000"/>
                <w:sz w:val="20"/>
              </w:rPr>
              <w:t>Počet poskytovateľov</w:t>
            </w:r>
          </w:p>
        </w:tc>
        <w:tc>
          <w:tcPr>
            <w:tcW w:w="1517" w:type="dxa"/>
            <w:tcBorders>
              <w:top w:val="single" w:sz="4" w:space="0" w:color="auto"/>
            </w:tcBorders>
            <w:shd w:val="clear" w:color="auto" w:fill="auto"/>
            <w:vAlign w:val="bottom"/>
          </w:tcPr>
          <w:p w14:paraId="7480007C" w14:textId="77777777" w:rsidR="008E46D8" w:rsidRPr="004A7998" w:rsidRDefault="008E46D8" w:rsidP="004A7998">
            <w:pPr>
              <w:spacing w:after="0" w:line="240" w:lineRule="auto"/>
              <w:jc w:val="right"/>
              <w:rPr>
                <w:rFonts w:eastAsia="Arial Narrow" w:cs="Arial Narrow"/>
                <w:color w:val="000000"/>
                <w:sz w:val="20"/>
              </w:rPr>
            </w:pPr>
            <w:r w:rsidRPr="004A7998">
              <w:rPr>
                <w:rFonts w:eastAsia="Arial Narrow" w:cs="Arial Narrow"/>
                <w:color w:val="000000"/>
                <w:sz w:val="20"/>
              </w:rPr>
              <w:t>83</w:t>
            </w:r>
          </w:p>
        </w:tc>
        <w:tc>
          <w:tcPr>
            <w:tcW w:w="1517" w:type="dxa"/>
            <w:tcBorders>
              <w:top w:val="single" w:sz="4" w:space="0" w:color="auto"/>
            </w:tcBorders>
            <w:shd w:val="clear" w:color="auto" w:fill="auto"/>
            <w:vAlign w:val="bottom"/>
          </w:tcPr>
          <w:p w14:paraId="6D9F8CB4" w14:textId="77777777" w:rsidR="008E46D8" w:rsidRPr="004A7998" w:rsidRDefault="008E46D8" w:rsidP="004A7998">
            <w:pPr>
              <w:spacing w:after="0" w:line="240" w:lineRule="auto"/>
              <w:jc w:val="right"/>
              <w:rPr>
                <w:rFonts w:eastAsia="Arial Narrow" w:cs="Arial Narrow"/>
                <w:color w:val="000000"/>
                <w:sz w:val="20"/>
              </w:rPr>
            </w:pPr>
            <w:r w:rsidRPr="004A7998">
              <w:rPr>
                <w:rFonts w:eastAsia="Arial Narrow" w:cs="Arial Narrow"/>
                <w:color w:val="000000"/>
                <w:sz w:val="20"/>
              </w:rPr>
              <w:t>68</w:t>
            </w:r>
          </w:p>
        </w:tc>
        <w:tc>
          <w:tcPr>
            <w:tcW w:w="1518" w:type="dxa"/>
            <w:tcBorders>
              <w:top w:val="single" w:sz="4" w:space="0" w:color="auto"/>
            </w:tcBorders>
            <w:shd w:val="clear" w:color="auto" w:fill="auto"/>
            <w:vAlign w:val="bottom"/>
          </w:tcPr>
          <w:p w14:paraId="1CE5D8BE" w14:textId="77777777" w:rsidR="008E46D8" w:rsidRPr="004A7998" w:rsidRDefault="008E46D8" w:rsidP="004A7998">
            <w:pPr>
              <w:spacing w:after="0" w:line="240" w:lineRule="auto"/>
              <w:jc w:val="right"/>
              <w:rPr>
                <w:rFonts w:eastAsia="Arial Narrow" w:cs="Arial Narrow"/>
                <w:color w:val="000000"/>
                <w:sz w:val="20"/>
              </w:rPr>
            </w:pPr>
            <w:r w:rsidRPr="004A7998">
              <w:rPr>
                <w:rFonts w:eastAsia="Arial Narrow" w:cs="Arial Narrow"/>
                <w:color w:val="000000"/>
                <w:sz w:val="20"/>
              </w:rPr>
              <w:t>151</w:t>
            </w:r>
          </w:p>
        </w:tc>
      </w:tr>
      <w:tr w:rsidR="008E46D8" w:rsidRPr="004A7998" w14:paraId="4D962D7C" w14:textId="77777777" w:rsidTr="004A7998">
        <w:trPr>
          <w:trHeight w:val="300"/>
        </w:trPr>
        <w:tc>
          <w:tcPr>
            <w:tcW w:w="4520" w:type="dxa"/>
            <w:shd w:val="clear" w:color="auto" w:fill="auto"/>
            <w:vAlign w:val="bottom"/>
          </w:tcPr>
          <w:p w14:paraId="20F2B880" w14:textId="77777777" w:rsidR="008E46D8" w:rsidRPr="004A7998" w:rsidRDefault="008E46D8" w:rsidP="00B22EF6">
            <w:pPr>
              <w:spacing w:after="0" w:line="240" w:lineRule="auto"/>
              <w:rPr>
                <w:rFonts w:eastAsia="Arial Narrow" w:cs="Arial Narrow"/>
                <w:color w:val="000000"/>
                <w:sz w:val="20"/>
              </w:rPr>
            </w:pPr>
            <w:r w:rsidRPr="004A7998">
              <w:rPr>
                <w:rFonts w:eastAsia="Arial Narrow" w:cs="Arial Narrow"/>
                <w:color w:val="000000"/>
                <w:sz w:val="20"/>
              </w:rPr>
              <w:t>Počet prijímateľov bez ohľadu na vek</w:t>
            </w:r>
          </w:p>
        </w:tc>
        <w:tc>
          <w:tcPr>
            <w:tcW w:w="1517" w:type="dxa"/>
            <w:shd w:val="clear" w:color="auto" w:fill="auto"/>
            <w:vAlign w:val="bottom"/>
          </w:tcPr>
          <w:p w14:paraId="1A9CB9FA" w14:textId="77777777" w:rsidR="008E46D8" w:rsidRPr="004A7998" w:rsidRDefault="008E46D8" w:rsidP="004A7998">
            <w:pPr>
              <w:spacing w:after="0" w:line="240" w:lineRule="auto"/>
              <w:jc w:val="right"/>
              <w:rPr>
                <w:rFonts w:eastAsia="Arial Narrow" w:cs="Arial Narrow"/>
                <w:color w:val="000000"/>
                <w:sz w:val="20"/>
              </w:rPr>
            </w:pPr>
            <w:r w:rsidRPr="004A7998">
              <w:rPr>
                <w:rFonts w:eastAsia="Arial Narrow" w:cs="Arial Narrow"/>
                <w:color w:val="000000"/>
                <w:sz w:val="20"/>
              </w:rPr>
              <w:t>45 038</w:t>
            </w:r>
          </w:p>
        </w:tc>
        <w:tc>
          <w:tcPr>
            <w:tcW w:w="1517" w:type="dxa"/>
            <w:shd w:val="clear" w:color="auto" w:fill="auto"/>
            <w:vAlign w:val="bottom"/>
          </w:tcPr>
          <w:p w14:paraId="09977D7F" w14:textId="77777777" w:rsidR="008E46D8" w:rsidRPr="004A7998" w:rsidRDefault="008E46D8" w:rsidP="004A7998">
            <w:pPr>
              <w:spacing w:after="0" w:line="240" w:lineRule="auto"/>
              <w:jc w:val="right"/>
              <w:rPr>
                <w:rFonts w:eastAsia="Arial Narrow" w:cs="Arial Narrow"/>
                <w:color w:val="000000"/>
                <w:sz w:val="20"/>
              </w:rPr>
            </w:pPr>
            <w:r w:rsidRPr="004A7998">
              <w:rPr>
                <w:rFonts w:eastAsia="Arial Narrow" w:cs="Arial Narrow"/>
                <w:color w:val="000000"/>
                <w:sz w:val="20"/>
              </w:rPr>
              <w:t>40 128</w:t>
            </w:r>
          </w:p>
        </w:tc>
        <w:tc>
          <w:tcPr>
            <w:tcW w:w="1518" w:type="dxa"/>
            <w:shd w:val="clear" w:color="auto" w:fill="auto"/>
            <w:vAlign w:val="bottom"/>
          </w:tcPr>
          <w:p w14:paraId="13B6242A" w14:textId="77777777" w:rsidR="008E46D8" w:rsidRPr="004A7998" w:rsidRDefault="008E46D8" w:rsidP="004A7998">
            <w:pPr>
              <w:spacing w:after="0" w:line="240" w:lineRule="auto"/>
              <w:jc w:val="right"/>
              <w:rPr>
                <w:rFonts w:eastAsia="Arial Narrow" w:cs="Arial Narrow"/>
                <w:color w:val="000000"/>
                <w:sz w:val="20"/>
              </w:rPr>
            </w:pPr>
            <w:r w:rsidRPr="004A7998">
              <w:rPr>
                <w:rFonts w:eastAsia="Arial Narrow" w:cs="Arial Narrow"/>
                <w:color w:val="000000"/>
                <w:sz w:val="20"/>
              </w:rPr>
              <w:t>85 166</w:t>
            </w:r>
          </w:p>
        </w:tc>
      </w:tr>
      <w:tr w:rsidR="008E46D8" w:rsidRPr="004A7998" w14:paraId="55738A98" w14:textId="77777777" w:rsidTr="004A7998">
        <w:trPr>
          <w:trHeight w:val="300"/>
        </w:trPr>
        <w:tc>
          <w:tcPr>
            <w:tcW w:w="4520" w:type="dxa"/>
            <w:shd w:val="clear" w:color="auto" w:fill="auto"/>
            <w:vAlign w:val="bottom"/>
          </w:tcPr>
          <w:p w14:paraId="155BB9CD" w14:textId="77777777" w:rsidR="008E46D8" w:rsidRPr="004A7998" w:rsidRDefault="008E46D8" w:rsidP="00B22EF6">
            <w:pPr>
              <w:spacing w:after="0" w:line="240" w:lineRule="auto"/>
              <w:rPr>
                <w:rFonts w:eastAsia="Arial Narrow" w:cs="Arial Narrow"/>
                <w:color w:val="000000"/>
                <w:sz w:val="20"/>
              </w:rPr>
            </w:pPr>
            <w:r w:rsidRPr="004A7998">
              <w:rPr>
                <w:rFonts w:eastAsia="Arial Narrow" w:cs="Arial Narrow"/>
                <w:color w:val="000000"/>
                <w:sz w:val="20"/>
              </w:rPr>
              <w:t>Príjmy celkom (eur)</w:t>
            </w:r>
          </w:p>
        </w:tc>
        <w:tc>
          <w:tcPr>
            <w:tcW w:w="1517" w:type="dxa"/>
            <w:shd w:val="clear" w:color="auto" w:fill="auto"/>
            <w:vAlign w:val="bottom"/>
          </w:tcPr>
          <w:p w14:paraId="7AF3B972" w14:textId="77777777" w:rsidR="008E46D8" w:rsidRPr="004A7998" w:rsidRDefault="008E46D8" w:rsidP="004A7998">
            <w:pPr>
              <w:spacing w:after="0" w:line="240" w:lineRule="auto"/>
              <w:jc w:val="right"/>
              <w:rPr>
                <w:rFonts w:eastAsia="Arial Narrow" w:cs="Arial Narrow"/>
                <w:color w:val="000000"/>
                <w:sz w:val="20"/>
              </w:rPr>
            </w:pPr>
            <w:r w:rsidRPr="004A7998">
              <w:rPr>
                <w:rFonts w:eastAsia="Arial Narrow" w:cs="Arial Narrow"/>
                <w:color w:val="000000"/>
                <w:sz w:val="20"/>
              </w:rPr>
              <w:t>3 028 582</w:t>
            </w:r>
          </w:p>
        </w:tc>
        <w:tc>
          <w:tcPr>
            <w:tcW w:w="1517" w:type="dxa"/>
            <w:shd w:val="clear" w:color="auto" w:fill="auto"/>
            <w:vAlign w:val="bottom"/>
          </w:tcPr>
          <w:p w14:paraId="731E51A8" w14:textId="77777777" w:rsidR="008E46D8" w:rsidRPr="004A7998" w:rsidRDefault="008E46D8" w:rsidP="004A7998">
            <w:pPr>
              <w:spacing w:after="0" w:line="240" w:lineRule="auto"/>
              <w:jc w:val="right"/>
              <w:rPr>
                <w:rFonts w:eastAsia="Arial Narrow" w:cs="Arial Narrow"/>
                <w:color w:val="000000"/>
                <w:sz w:val="20"/>
              </w:rPr>
            </w:pPr>
            <w:r w:rsidRPr="004A7998">
              <w:rPr>
                <w:rFonts w:eastAsia="Arial Narrow" w:cs="Arial Narrow"/>
                <w:color w:val="000000"/>
                <w:sz w:val="20"/>
              </w:rPr>
              <w:t>6 755 148</w:t>
            </w:r>
          </w:p>
        </w:tc>
        <w:tc>
          <w:tcPr>
            <w:tcW w:w="1518" w:type="dxa"/>
            <w:shd w:val="clear" w:color="auto" w:fill="auto"/>
            <w:vAlign w:val="bottom"/>
          </w:tcPr>
          <w:p w14:paraId="6D2F94FC" w14:textId="77777777" w:rsidR="008E46D8" w:rsidRPr="004A7998" w:rsidRDefault="008E46D8" w:rsidP="004A7998">
            <w:pPr>
              <w:spacing w:after="0" w:line="240" w:lineRule="auto"/>
              <w:jc w:val="right"/>
              <w:rPr>
                <w:rFonts w:eastAsia="Arial Narrow" w:cs="Arial Narrow"/>
                <w:color w:val="000000"/>
                <w:sz w:val="20"/>
              </w:rPr>
            </w:pPr>
            <w:r w:rsidRPr="004A7998">
              <w:rPr>
                <w:rFonts w:eastAsia="Arial Narrow" w:cs="Arial Narrow"/>
                <w:color w:val="000000"/>
                <w:sz w:val="20"/>
              </w:rPr>
              <w:t>9 783 730</w:t>
            </w:r>
          </w:p>
        </w:tc>
      </w:tr>
      <w:tr w:rsidR="008E46D8" w:rsidRPr="004A7998" w14:paraId="1B506792" w14:textId="77777777" w:rsidTr="004A7998">
        <w:trPr>
          <w:trHeight w:val="300"/>
        </w:trPr>
        <w:tc>
          <w:tcPr>
            <w:tcW w:w="4520" w:type="dxa"/>
            <w:shd w:val="clear" w:color="auto" w:fill="auto"/>
            <w:vAlign w:val="bottom"/>
          </w:tcPr>
          <w:p w14:paraId="4C98DD95" w14:textId="77777777" w:rsidR="008E46D8" w:rsidRPr="004A7998" w:rsidRDefault="008E46D8" w:rsidP="00B22EF6">
            <w:pPr>
              <w:spacing w:after="0" w:line="240" w:lineRule="auto"/>
              <w:rPr>
                <w:rFonts w:eastAsia="Arial Narrow" w:cs="Arial Narrow"/>
                <w:color w:val="000000"/>
                <w:sz w:val="20"/>
              </w:rPr>
            </w:pPr>
            <w:r w:rsidRPr="004A7998">
              <w:rPr>
                <w:rFonts w:eastAsia="Arial Narrow" w:cs="Arial Narrow"/>
                <w:color w:val="000000"/>
                <w:sz w:val="20"/>
              </w:rPr>
              <w:t>Príjmy prepočítané na jedného klienta (eur)</w:t>
            </w:r>
          </w:p>
        </w:tc>
        <w:tc>
          <w:tcPr>
            <w:tcW w:w="1517" w:type="dxa"/>
            <w:shd w:val="clear" w:color="auto" w:fill="auto"/>
            <w:vAlign w:val="bottom"/>
          </w:tcPr>
          <w:p w14:paraId="1F797A58" w14:textId="77777777" w:rsidR="008E46D8" w:rsidRPr="004A7998" w:rsidRDefault="008E46D8" w:rsidP="004A7998">
            <w:pPr>
              <w:spacing w:after="0" w:line="240" w:lineRule="auto"/>
              <w:jc w:val="right"/>
              <w:rPr>
                <w:rFonts w:eastAsia="Arial Narrow" w:cs="Arial Narrow"/>
                <w:color w:val="000000"/>
                <w:sz w:val="20"/>
              </w:rPr>
            </w:pPr>
            <w:r w:rsidRPr="004A7998">
              <w:rPr>
                <w:rFonts w:eastAsia="Arial Narrow" w:cs="Arial Narrow"/>
                <w:color w:val="000000"/>
                <w:sz w:val="20"/>
              </w:rPr>
              <w:t>67</w:t>
            </w:r>
          </w:p>
        </w:tc>
        <w:tc>
          <w:tcPr>
            <w:tcW w:w="1517" w:type="dxa"/>
            <w:shd w:val="clear" w:color="auto" w:fill="auto"/>
            <w:vAlign w:val="bottom"/>
          </w:tcPr>
          <w:p w14:paraId="125733F3" w14:textId="77777777" w:rsidR="008E46D8" w:rsidRPr="004A7998" w:rsidRDefault="008E46D8" w:rsidP="004A7998">
            <w:pPr>
              <w:spacing w:after="0" w:line="240" w:lineRule="auto"/>
              <w:jc w:val="right"/>
              <w:rPr>
                <w:rFonts w:eastAsia="Arial Narrow" w:cs="Arial Narrow"/>
                <w:color w:val="000000"/>
                <w:sz w:val="20"/>
              </w:rPr>
            </w:pPr>
            <w:r w:rsidRPr="004A7998">
              <w:rPr>
                <w:rFonts w:eastAsia="Arial Narrow" w:cs="Arial Narrow"/>
                <w:color w:val="000000"/>
                <w:sz w:val="20"/>
              </w:rPr>
              <w:t>168</w:t>
            </w:r>
          </w:p>
        </w:tc>
        <w:tc>
          <w:tcPr>
            <w:tcW w:w="1518" w:type="dxa"/>
            <w:shd w:val="clear" w:color="auto" w:fill="auto"/>
            <w:vAlign w:val="bottom"/>
          </w:tcPr>
          <w:p w14:paraId="3670AAAC" w14:textId="77777777" w:rsidR="008E46D8" w:rsidRPr="004A7998" w:rsidRDefault="008E46D8" w:rsidP="004A7998">
            <w:pPr>
              <w:spacing w:after="0" w:line="240" w:lineRule="auto"/>
              <w:jc w:val="right"/>
              <w:rPr>
                <w:rFonts w:eastAsia="Arial Narrow" w:cs="Arial Narrow"/>
                <w:color w:val="000000"/>
                <w:sz w:val="20"/>
              </w:rPr>
            </w:pPr>
            <w:r w:rsidRPr="004A7998">
              <w:rPr>
                <w:rFonts w:eastAsia="Arial Narrow" w:cs="Arial Narrow"/>
                <w:color w:val="000000"/>
                <w:sz w:val="20"/>
              </w:rPr>
              <w:t>116</w:t>
            </w:r>
          </w:p>
        </w:tc>
      </w:tr>
    </w:tbl>
    <w:p w14:paraId="76A212C5" w14:textId="24012AA1" w:rsidR="008E46D8" w:rsidRPr="004A7998" w:rsidRDefault="008E46D8" w:rsidP="004A7998">
      <w:pPr>
        <w:pBdr>
          <w:top w:val="nil"/>
          <w:left w:val="nil"/>
          <w:bottom w:val="nil"/>
          <w:right w:val="nil"/>
          <w:between w:val="nil"/>
        </w:pBdr>
        <w:spacing w:after="0" w:line="240" w:lineRule="auto"/>
        <w:jc w:val="right"/>
        <w:rPr>
          <w:i/>
          <w:color w:val="000000"/>
          <w:sz w:val="18"/>
          <w:szCs w:val="18"/>
        </w:rPr>
      </w:pPr>
      <w:r w:rsidRPr="004A7998">
        <w:rPr>
          <w:i/>
          <w:color w:val="000000"/>
          <w:sz w:val="18"/>
          <w:szCs w:val="18"/>
        </w:rPr>
        <w:t>Zdroj: Vlastné prepočty IVP na základe dát Eduzber (2018), Správy o h</w:t>
      </w:r>
      <w:r w:rsidR="004A7998" w:rsidRPr="004A7998">
        <w:rPr>
          <w:i/>
          <w:color w:val="000000"/>
          <w:sz w:val="18"/>
          <w:szCs w:val="18"/>
        </w:rPr>
        <w:t>ospodárení (2018) a CVTI (2018)</w:t>
      </w:r>
    </w:p>
    <w:p w14:paraId="00D6ED7E" w14:textId="35061AFC" w:rsidR="008E46D8" w:rsidRDefault="008E46D8" w:rsidP="004A7998">
      <w:pPr>
        <w:pBdr>
          <w:top w:val="nil"/>
          <w:left w:val="nil"/>
          <w:bottom w:val="nil"/>
          <w:right w:val="nil"/>
          <w:between w:val="nil"/>
        </w:pBdr>
        <w:spacing w:before="200"/>
        <w:rPr>
          <w:rFonts w:eastAsia="Arial Narrow" w:cs="Arial Narrow"/>
          <w:b/>
          <w:color w:val="000000"/>
        </w:rPr>
      </w:pPr>
      <w:r>
        <w:rPr>
          <w:rFonts w:eastAsia="Arial Narrow" w:cs="Arial Narrow"/>
          <w:b/>
          <w:color w:val="000000"/>
        </w:rPr>
        <w:t>V roku 2018 bolo na Slovensku evidovaných 151 CŠPP, z toho 83 štátnych a 68 neštátnych.</w:t>
      </w:r>
      <w:r>
        <w:rPr>
          <w:rFonts w:eastAsia="Arial Narrow" w:cs="Arial Narrow"/>
          <w:color w:val="000000"/>
        </w:rPr>
        <w:t xml:space="preserve"> </w:t>
      </w:r>
      <w:r>
        <w:rPr>
          <w:rFonts w:eastAsia="Arial Narrow" w:cs="Arial Narrow"/>
          <w:b/>
          <w:color w:val="000000"/>
        </w:rPr>
        <w:t xml:space="preserve">Tie poskytovali starostlivosť približne </w:t>
      </w:r>
      <w:sdt>
        <w:sdtPr>
          <w:tag w:val="goog_rdk_22"/>
          <w:id w:val="1603598859"/>
        </w:sdtPr>
        <w:sdtEndPr/>
        <w:sdtContent/>
      </w:sdt>
      <w:r>
        <w:rPr>
          <w:rFonts w:eastAsia="Arial Narrow" w:cs="Arial Narrow"/>
          <w:b/>
          <w:color w:val="000000"/>
        </w:rPr>
        <w:t xml:space="preserve">1 267 klientom </w:t>
      </w:r>
      <w:r w:rsidRPr="000909CE">
        <w:rPr>
          <w:rFonts w:eastAsia="Arial Narrow" w:cs="Arial Narrow"/>
          <w:b/>
          <w:color w:val="000000"/>
        </w:rPr>
        <w:t>vo veku 0-3 rokov</w:t>
      </w:r>
      <w:r>
        <w:rPr>
          <w:rFonts w:eastAsia="Arial Narrow" w:cs="Arial Narrow"/>
          <w:b/>
          <w:color w:val="000000"/>
        </w:rPr>
        <w:t xml:space="preserve">, čo predstavovalo odhadom </w:t>
      </w:r>
      <w:r w:rsidRPr="000909CE">
        <w:rPr>
          <w:rFonts w:eastAsia="Arial Narrow" w:cs="Arial Narrow"/>
          <w:b/>
          <w:color w:val="000000"/>
        </w:rPr>
        <w:t xml:space="preserve">okolo 14 % zo všetkých detí so ZZ </w:t>
      </w:r>
      <w:r>
        <w:rPr>
          <w:rFonts w:eastAsia="Arial Narrow" w:cs="Arial Narrow"/>
          <w:b/>
          <w:color w:val="000000"/>
        </w:rPr>
        <w:t>v tejto vekovej skupine</w:t>
      </w:r>
      <w:r w:rsidRPr="000909CE">
        <w:rPr>
          <w:rFonts w:eastAsia="Arial Narrow" w:cs="Arial Narrow"/>
          <w:b/>
          <w:color w:val="000000"/>
        </w:rPr>
        <w:t>.</w:t>
      </w:r>
      <w:r w:rsidRPr="000909CE">
        <w:rPr>
          <w:rFonts w:eastAsia="Arial Narrow" w:cs="Arial Narrow"/>
          <w:color w:val="000000"/>
        </w:rPr>
        <w:t xml:space="preserve"> </w:t>
      </w:r>
      <w:r>
        <w:rPr>
          <w:rFonts w:eastAsia="Arial Narrow" w:cs="Arial Narrow"/>
          <w:color w:val="000000"/>
        </w:rPr>
        <w:t xml:space="preserve">Takmer dve tretiny klientov (60 %) využili služby štátnych CŠPP. </w:t>
      </w:r>
      <w:r w:rsidR="00B24660">
        <w:rPr>
          <w:rFonts w:eastAsia="Arial Narrow" w:cs="Arial Narrow"/>
          <w:color w:val="000000"/>
        </w:rPr>
        <w:t>Vyplýva</w:t>
      </w:r>
      <w:r>
        <w:rPr>
          <w:rFonts w:eastAsia="Arial Narrow" w:cs="Arial Narrow"/>
          <w:color w:val="000000"/>
        </w:rPr>
        <w:t xml:space="preserve"> to z jednorazového zberu ministerstva školstva.</w:t>
      </w:r>
      <w:r w:rsidRPr="000909CE">
        <w:rPr>
          <w:rFonts w:eastAsia="Arial Narrow" w:cs="Arial Narrow"/>
          <w:color w:val="000000"/>
          <w:vertAlign w:val="superscript"/>
        </w:rPr>
        <w:footnoteReference w:id="59"/>
      </w:r>
      <w:r>
        <w:rPr>
          <w:rFonts w:eastAsia="Arial Narrow" w:cs="Arial Narrow"/>
          <w:color w:val="000000"/>
        </w:rPr>
        <w:t xml:space="preserve"> Z prieskumu tiež vyplynulo, že úseky ranej starostlivosti malo zriadených 22 % CŠPP.</w:t>
      </w:r>
      <w:r>
        <w:rPr>
          <w:rStyle w:val="Odkaznapoznmkupodiarou"/>
          <w:rFonts w:eastAsia="Arial Narrow" w:cs="Arial Narrow"/>
          <w:color w:val="000000"/>
        </w:rPr>
        <w:footnoteReference w:id="60"/>
      </w:r>
      <w:r>
        <w:rPr>
          <w:rFonts w:eastAsia="Arial Narrow" w:cs="Arial Narrow"/>
          <w:color w:val="000000"/>
        </w:rPr>
        <w:t xml:space="preserve"> Rovnaké percento poradní uviedlo, že mali rozvinutú nejakú formu spolupráce s poskytovateľmi služieb včasnej intervencie v rezorte práce</w:t>
      </w:r>
      <w:r w:rsidRPr="00292C76">
        <w:rPr>
          <w:rFonts w:eastAsia="Arial Narrow" w:cs="Arial Narrow"/>
          <w:color w:val="000000"/>
        </w:rPr>
        <w:t>.</w:t>
      </w:r>
      <w:r w:rsidRPr="000909CE">
        <w:rPr>
          <w:rFonts w:eastAsia="Arial Narrow" w:cs="Arial Narrow"/>
          <w:color w:val="000000"/>
        </w:rPr>
        <w:t xml:space="preserve"> Ministerstvo školstva</w:t>
      </w:r>
      <w:r>
        <w:rPr>
          <w:rFonts w:eastAsia="Arial Narrow" w:cs="Arial Narrow"/>
          <w:color w:val="000000"/>
        </w:rPr>
        <w:t xml:space="preserve"> v registri CŠPP neuvádza, </w:t>
      </w:r>
      <w:r>
        <w:rPr>
          <w:rFonts w:eastAsia="Arial Narrow" w:cs="Arial Narrow"/>
          <w:color w:val="000000"/>
        </w:rPr>
        <w:lastRenderedPageBreak/>
        <w:t xml:space="preserve">ktoré z CŠPP majú zriadené úseky ranej starostlivosti. </w:t>
      </w:r>
      <w:r w:rsidRPr="00292C76">
        <w:rPr>
          <w:rFonts w:eastAsia="Arial Narrow" w:cs="Arial Narrow"/>
          <w:b/>
          <w:color w:val="000000"/>
        </w:rPr>
        <w:t xml:space="preserve">Revízia navrhuje, aby ministerstvo školstva zverejňovalo a pravidelne aktualizovalo </w:t>
      </w:r>
      <w:r>
        <w:rPr>
          <w:rFonts w:eastAsia="Arial Narrow" w:cs="Arial Narrow"/>
          <w:b/>
          <w:color w:val="000000"/>
        </w:rPr>
        <w:t>zoznam</w:t>
      </w:r>
      <w:r w:rsidRPr="00292C76">
        <w:rPr>
          <w:rFonts w:eastAsia="Arial Narrow" w:cs="Arial Narrow"/>
          <w:b/>
          <w:color w:val="000000"/>
        </w:rPr>
        <w:t> CŠPP</w:t>
      </w:r>
      <w:r>
        <w:rPr>
          <w:rFonts w:eastAsia="Arial Narrow" w:cs="Arial Narrow"/>
          <w:b/>
          <w:color w:val="000000"/>
        </w:rPr>
        <w:t>, ktoré majú zriadené úseky ranej starostlivosti.</w:t>
      </w:r>
    </w:p>
    <w:p w14:paraId="5061BD29" w14:textId="10552BAF" w:rsidR="008E46D8" w:rsidRPr="00B724AC" w:rsidRDefault="008E46D8" w:rsidP="008E46D8">
      <w:pPr>
        <w:pBdr>
          <w:top w:val="nil"/>
          <w:left w:val="nil"/>
          <w:bottom w:val="nil"/>
          <w:right w:val="nil"/>
          <w:between w:val="nil"/>
        </w:pBdr>
        <w:rPr>
          <w:color w:val="000000"/>
          <w:szCs w:val="22"/>
        </w:rPr>
      </w:pPr>
      <w:r w:rsidRPr="00B724AC">
        <w:rPr>
          <w:b/>
          <w:color w:val="000000"/>
          <w:szCs w:val="22"/>
        </w:rPr>
        <w:t xml:space="preserve">V roku 2018 bolo na jedno dieťa (bez ohľadu na vek) v starostlivosti štátneho CŠPP alokovaných 67 eur a v neštátnom CŠPP 168 </w:t>
      </w:r>
      <w:r w:rsidRPr="004A7998">
        <w:rPr>
          <w:b/>
          <w:color w:val="000000"/>
          <w:szCs w:val="22"/>
        </w:rPr>
        <w:t xml:space="preserve">eur </w:t>
      </w:r>
      <w:r w:rsidRPr="004A7998">
        <w:rPr>
          <w:rFonts w:eastAsia="Arial Narrow" w:cs="Arial Narrow"/>
          <w:b/>
          <w:color w:val="000000"/>
          <w:szCs w:val="22"/>
        </w:rPr>
        <w:t>(</w:t>
      </w:r>
      <w:r w:rsidR="004A7998" w:rsidRPr="004A7998">
        <w:rPr>
          <w:rFonts w:eastAsia="Arial Narrow" w:cs="Arial Narrow"/>
          <w:b/>
          <w:color w:val="000000"/>
          <w:szCs w:val="22"/>
          <w:highlight w:val="yellow"/>
        </w:rPr>
        <w:fldChar w:fldCharType="begin"/>
      </w:r>
      <w:r w:rsidR="004A7998" w:rsidRPr="004A7998">
        <w:rPr>
          <w:rFonts w:eastAsia="Arial Narrow" w:cs="Arial Narrow"/>
          <w:b/>
          <w:color w:val="000000"/>
          <w:szCs w:val="22"/>
        </w:rPr>
        <w:instrText xml:space="preserve"> REF _Ref33028123 \h </w:instrText>
      </w:r>
      <w:r w:rsidR="004A7998">
        <w:rPr>
          <w:rFonts w:eastAsia="Arial Narrow" w:cs="Arial Narrow"/>
          <w:b/>
          <w:color w:val="000000"/>
          <w:szCs w:val="22"/>
          <w:highlight w:val="yellow"/>
        </w:rPr>
        <w:instrText xml:space="preserve"> \* MERGEFORMAT </w:instrText>
      </w:r>
      <w:r w:rsidR="004A7998" w:rsidRPr="004A7998">
        <w:rPr>
          <w:rFonts w:eastAsia="Arial Narrow" w:cs="Arial Narrow"/>
          <w:b/>
          <w:color w:val="000000"/>
          <w:szCs w:val="22"/>
          <w:highlight w:val="yellow"/>
        </w:rPr>
      </w:r>
      <w:r w:rsidR="004A7998" w:rsidRPr="004A7998">
        <w:rPr>
          <w:rFonts w:eastAsia="Arial Narrow" w:cs="Arial Narrow"/>
          <w:b/>
          <w:color w:val="000000"/>
          <w:szCs w:val="22"/>
          <w:highlight w:val="yellow"/>
        </w:rPr>
        <w:fldChar w:fldCharType="separate"/>
      </w:r>
      <w:r w:rsidR="00FA29AF" w:rsidRPr="00FA29AF">
        <w:rPr>
          <w:b/>
          <w:szCs w:val="22"/>
        </w:rPr>
        <w:t xml:space="preserve">Tabuľka </w:t>
      </w:r>
      <w:r w:rsidR="00FA29AF" w:rsidRPr="00FA29AF">
        <w:rPr>
          <w:b/>
          <w:noProof/>
          <w:szCs w:val="22"/>
        </w:rPr>
        <w:t>7</w:t>
      </w:r>
      <w:r w:rsidR="004A7998" w:rsidRPr="004A7998">
        <w:rPr>
          <w:rFonts w:eastAsia="Arial Narrow" w:cs="Arial Narrow"/>
          <w:b/>
          <w:color w:val="000000"/>
          <w:szCs w:val="22"/>
          <w:highlight w:val="yellow"/>
        </w:rPr>
        <w:fldChar w:fldCharType="end"/>
      </w:r>
      <w:r w:rsidRPr="004A7998">
        <w:rPr>
          <w:rFonts w:eastAsia="Arial Narrow" w:cs="Arial Narrow"/>
          <w:b/>
          <w:color w:val="000000"/>
          <w:szCs w:val="22"/>
        </w:rPr>
        <w:t>)</w:t>
      </w:r>
      <w:r w:rsidRPr="004A7998">
        <w:rPr>
          <w:b/>
          <w:color w:val="000000"/>
          <w:szCs w:val="22"/>
        </w:rPr>
        <w:t>.</w:t>
      </w:r>
      <w:r w:rsidRPr="004A7998">
        <w:rPr>
          <w:color w:val="000000"/>
          <w:szCs w:val="22"/>
        </w:rPr>
        <w:t xml:space="preserve"> </w:t>
      </w:r>
      <w:r w:rsidRPr="004A7998">
        <w:rPr>
          <w:b/>
          <w:color w:val="000000"/>
          <w:szCs w:val="22"/>
        </w:rPr>
        <w:t>Tieto údaje</w:t>
      </w:r>
      <w:r w:rsidRPr="00B724AC">
        <w:rPr>
          <w:b/>
          <w:color w:val="000000"/>
          <w:szCs w:val="22"/>
        </w:rPr>
        <w:t xml:space="preserve"> však </w:t>
      </w:r>
      <w:r>
        <w:rPr>
          <w:b/>
          <w:color w:val="000000"/>
          <w:szCs w:val="22"/>
        </w:rPr>
        <w:t>nemusia zodpovedať</w:t>
      </w:r>
      <w:r w:rsidR="00777B9B">
        <w:rPr>
          <w:b/>
          <w:color w:val="000000"/>
          <w:szCs w:val="22"/>
        </w:rPr>
        <w:t xml:space="preserve"> reálnym príjmom CŠPP a </w:t>
      </w:r>
      <w:r w:rsidRPr="00B724AC">
        <w:rPr>
          <w:b/>
          <w:color w:val="000000"/>
          <w:szCs w:val="22"/>
        </w:rPr>
        <w:t>nezohľadňujú rozdielne výdavky štátnych a neštátnych CŠPP.</w:t>
      </w:r>
      <w:r w:rsidRPr="00B724AC">
        <w:rPr>
          <w:color w:val="000000"/>
          <w:szCs w:val="22"/>
        </w:rPr>
        <w:t xml:space="preserve"> Štátne poradenské zariadenia zriaďované okresnými úradmi sú financované zo štátneho rozpočtu Ministerstva vnútra na základe počtu klientov a podľa jednotlivých výkonov</w:t>
      </w:r>
      <w:sdt>
        <w:sdtPr>
          <w:rPr>
            <w:szCs w:val="22"/>
          </w:rPr>
          <w:tag w:val="goog_rdk_20"/>
          <w:id w:val="-557940143"/>
        </w:sdtPr>
        <w:sdtEndPr/>
        <w:sdtContent/>
      </w:sdt>
      <w:r w:rsidRPr="00B724AC">
        <w:rPr>
          <w:color w:val="000000"/>
          <w:szCs w:val="22"/>
        </w:rPr>
        <w:t>. 97 % štátnych poradní je súčasťou špeciálnych základných škôl</w:t>
      </w:r>
      <w:r w:rsidRPr="00B724AC">
        <w:rPr>
          <w:color w:val="000000"/>
          <w:szCs w:val="22"/>
          <w:vertAlign w:val="superscript"/>
        </w:rPr>
        <w:footnoteReference w:id="61"/>
      </w:r>
      <w:r w:rsidRPr="00B724AC">
        <w:rPr>
          <w:color w:val="000000"/>
          <w:szCs w:val="22"/>
        </w:rPr>
        <w:t>, nevznikajú im náklady na prenájom a údržbu nehnuteľnosti. Štát im dodáva testy a pomôcky, môžu sa zapájať do štátnych grantových výziev a sú dofinancované prostredníctvom dohodovacieho konania. Neštátne poradenské zariadenia zriaďované súkromnými alebo cirkevnými poskytovateľmi sú financované prostredníctvom tzv. podielových daní a iba na základe počtu klientov.</w:t>
      </w:r>
      <w:sdt>
        <w:sdtPr>
          <w:rPr>
            <w:szCs w:val="22"/>
          </w:rPr>
          <w:tag w:val="goog_rdk_21"/>
          <w:id w:val="-1057005029"/>
        </w:sdtPr>
        <w:sdtEndPr/>
        <w:sdtContent/>
      </w:sdt>
      <w:r w:rsidRPr="00B724AC">
        <w:rPr>
          <w:color w:val="000000"/>
          <w:szCs w:val="22"/>
        </w:rPr>
        <w:t xml:space="preserve"> Neštátne CŠPP musia hradiť všetky režijné náklady z vlastných zdrojov.</w:t>
      </w:r>
      <w:r>
        <w:rPr>
          <w:color w:val="000000"/>
          <w:szCs w:val="22"/>
        </w:rPr>
        <w:t xml:space="preserve"> Zároveň tiež platí, že v prípade, ak sa v obci nachádza štátne zariadenie, obec je povinná neštátnemu alokovať minimálne </w:t>
      </w:r>
      <w:r w:rsidRPr="00450600">
        <w:rPr>
          <w:color w:val="000000"/>
          <w:szCs w:val="22"/>
        </w:rPr>
        <w:t>88 %</w:t>
      </w:r>
      <w:r>
        <w:rPr>
          <w:color w:val="000000"/>
          <w:szCs w:val="22"/>
        </w:rPr>
        <w:t xml:space="preserve"> </w:t>
      </w:r>
      <w:r>
        <w:t>zo sumy určenej na mzdy a prevádzku dieťaťa v štátnom poradenskom zariadení. Zákon však nerieši pravidlá pre financovanie neštátnych poradenských zariadení v prípade, že štátne zariadenie sa v obci nenachádza.</w:t>
      </w:r>
    </w:p>
    <w:p w14:paraId="50A2A530" w14:textId="154A8940" w:rsidR="008E46D8" w:rsidRPr="004E64A0" w:rsidRDefault="008E46D8" w:rsidP="008E46D8">
      <w:pPr>
        <w:pBdr>
          <w:top w:val="nil"/>
          <w:left w:val="nil"/>
          <w:bottom w:val="nil"/>
          <w:right w:val="nil"/>
          <w:between w:val="nil"/>
        </w:pBdr>
        <w:rPr>
          <w:rFonts w:eastAsia="Arial Narrow" w:cs="Arial Narrow"/>
          <w:b/>
          <w:color w:val="000000"/>
        </w:rPr>
      </w:pPr>
      <w:r>
        <w:rPr>
          <w:rFonts w:eastAsia="Arial Narrow" w:cs="Arial Narrow"/>
          <w:b/>
          <w:color w:val="000000"/>
        </w:rPr>
        <w:t>Súčasný systém financovania CŠPP nezohľadňuje, že poskytovanie ran</w:t>
      </w:r>
      <w:r w:rsidR="00661E06">
        <w:rPr>
          <w:rFonts w:eastAsia="Arial Narrow" w:cs="Arial Narrow"/>
          <w:b/>
          <w:color w:val="000000"/>
        </w:rPr>
        <w:t>ej starostlivosti deťom vo veku </w:t>
      </w:r>
      <w:r>
        <w:rPr>
          <w:rFonts w:eastAsia="Arial Narrow" w:cs="Arial Narrow"/>
          <w:b/>
          <w:color w:val="000000"/>
        </w:rPr>
        <w:t>0-3 rokov</w:t>
      </w:r>
      <w:sdt>
        <w:sdtPr>
          <w:tag w:val="goog_rdk_23"/>
          <w:id w:val="-452940326"/>
        </w:sdtPr>
        <w:sdtEndPr/>
        <w:sdtContent/>
      </w:sdt>
      <w:r>
        <w:rPr>
          <w:rFonts w:eastAsia="Arial Narrow" w:cs="Arial Narrow"/>
          <w:b/>
          <w:color w:val="000000"/>
        </w:rPr>
        <w:t xml:space="preserve"> je v porovnaní so špeciálno-pedagogickou starostlivosťou poskytovanou deťom vo vyššom veku finančne náročnejšie. </w:t>
      </w:r>
      <w:r>
        <w:rPr>
          <w:rFonts w:eastAsia="Arial Narrow" w:cs="Arial Narrow"/>
          <w:color w:val="000000"/>
        </w:rPr>
        <w:t>V roku 2018 mala</w:t>
      </w:r>
      <w:r>
        <w:rPr>
          <w:rFonts w:eastAsia="Arial Narrow" w:cs="Arial Narrow"/>
          <w:b/>
          <w:color w:val="000000"/>
        </w:rPr>
        <w:t xml:space="preserve"> </w:t>
      </w:r>
      <w:r>
        <w:rPr>
          <w:rFonts w:eastAsia="Arial Narrow" w:cs="Arial Narrow"/>
          <w:color w:val="000000"/>
        </w:rPr>
        <w:t>priemerná výška príjmov CŠPP na jedného klienta hodnotu 116 eur (</w:t>
      </w:r>
      <w:r w:rsidR="004A7998" w:rsidRPr="004A7998">
        <w:rPr>
          <w:rFonts w:eastAsia="Arial Narrow" w:cs="Arial Narrow"/>
          <w:color w:val="000000"/>
          <w:szCs w:val="22"/>
          <w:highlight w:val="yellow"/>
        </w:rPr>
        <w:fldChar w:fldCharType="begin"/>
      </w:r>
      <w:r w:rsidR="004A7998" w:rsidRPr="004A7998">
        <w:rPr>
          <w:rFonts w:eastAsia="Arial Narrow" w:cs="Arial Narrow"/>
          <w:color w:val="000000"/>
          <w:szCs w:val="22"/>
        </w:rPr>
        <w:instrText xml:space="preserve"> REF _Ref33028123 \h </w:instrText>
      </w:r>
      <w:r w:rsidR="004A7998" w:rsidRPr="004A7998">
        <w:rPr>
          <w:rFonts w:eastAsia="Arial Narrow" w:cs="Arial Narrow"/>
          <w:color w:val="000000"/>
          <w:szCs w:val="22"/>
          <w:highlight w:val="yellow"/>
        </w:rPr>
        <w:instrText xml:space="preserve"> \* MERGEFORMAT </w:instrText>
      </w:r>
      <w:r w:rsidR="004A7998" w:rsidRPr="004A7998">
        <w:rPr>
          <w:rFonts w:eastAsia="Arial Narrow" w:cs="Arial Narrow"/>
          <w:color w:val="000000"/>
          <w:szCs w:val="22"/>
          <w:highlight w:val="yellow"/>
        </w:rPr>
      </w:r>
      <w:r w:rsidR="004A7998" w:rsidRPr="004A7998">
        <w:rPr>
          <w:rFonts w:eastAsia="Arial Narrow" w:cs="Arial Narrow"/>
          <w:color w:val="000000"/>
          <w:szCs w:val="22"/>
          <w:highlight w:val="yellow"/>
        </w:rPr>
        <w:fldChar w:fldCharType="separate"/>
      </w:r>
      <w:r w:rsidR="00FA29AF" w:rsidRPr="00FA29AF">
        <w:rPr>
          <w:szCs w:val="22"/>
        </w:rPr>
        <w:t xml:space="preserve">Tabuľka </w:t>
      </w:r>
      <w:r w:rsidR="00FA29AF" w:rsidRPr="00FA29AF">
        <w:rPr>
          <w:noProof/>
          <w:szCs w:val="22"/>
        </w:rPr>
        <w:t>7</w:t>
      </w:r>
      <w:r w:rsidR="004A7998" w:rsidRPr="004A7998">
        <w:rPr>
          <w:rFonts w:eastAsia="Arial Narrow" w:cs="Arial Narrow"/>
          <w:color w:val="000000"/>
          <w:szCs w:val="22"/>
          <w:highlight w:val="yellow"/>
        </w:rPr>
        <w:fldChar w:fldCharType="end"/>
      </w:r>
      <w:r>
        <w:rPr>
          <w:rFonts w:eastAsia="Arial Narrow" w:cs="Arial Narrow"/>
          <w:color w:val="000000"/>
        </w:rPr>
        <w:t>). Projekty a analýzy zamerané na poskytovanie starostlivosti deťom so ZZ v ranom veku však demonštrujú, že reálne náklady sú mnohonásobne vyššie, a že je potrebné ich diverzif</w:t>
      </w:r>
      <w:r w:rsidR="00661E06">
        <w:rPr>
          <w:rFonts w:eastAsia="Arial Narrow" w:cs="Arial Narrow"/>
          <w:color w:val="000000"/>
        </w:rPr>
        <w:t>i</w:t>
      </w:r>
      <w:r>
        <w:rPr>
          <w:rFonts w:eastAsia="Arial Narrow" w:cs="Arial Narrow"/>
          <w:color w:val="000000"/>
        </w:rPr>
        <w:t>kovať v závislosti od rôznych potrieb detí s rôznymi dru</w:t>
      </w:r>
      <w:r w:rsidR="004A7998">
        <w:rPr>
          <w:rFonts w:eastAsia="Arial Narrow" w:cs="Arial Narrow"/>
          <w:color w:val="000000"/>
        </w:rPr>
        <w:t>hmi zdravotných postihnutí (</w:t>
      </w:r>
      <w:r w:rsidR="004A7998" w:rsidRPr="004A7998">
        <w:rPr>
          <w:rFonts w:eastAsia="Arial Narrow" w:cs="Arial Narrow"/>
          <w:color w:val="000000"/>
        </w:rPr>
        <w:fldChar w:fldCharType="begin"/>
      </w:r>
      <w:r w:rsidR="004A7998" w:rsidRPr="004A7998">
        <w:rPr>
          <w:rFonts w:eastAsia="Arial Narrow" w:cs="Arial Narrow"/>
          <w:color w:val="000000"/>
        </w:rPr>
        <w:instrText xml:space="preserve"> REF _Ref33027168 \h  \* MERGEFORMAT </w:instrText>
      </w:r>
      <w:r w:rsidR="004A7998" w:rsidRPr="004A7998">
        <w:rPr>
          <w:rFonts w:eastAsia="Arial Narrow" w:cs="Arial Narrow"/>
          <w:color w:val="000000"/>
        </w:rPr>
      </w:r>
      <w:r w:rsidR="004A7998" w:rsidRPr="004A7998">
        <w:rPr>
          <w:rFonts w:eastAsia="Arial Narrow" w:cs="Arial Narrow"/>
          <w:color w:val="000000"/>
        </w:rPr>
        <w:fldChar w:fldCharType="separate"/>
      </w:r>
      <w:r w:rsidR="00FA29AF" w:rsidRPr="00FA29AF">
        <w:t xml:space="preserve">Box </w:t>
      </w:r>
      <w:r w:rsidR="00FA29AF" w:rsidRPr="00FA29AF">
        <w:rPr>
          <w:noProof/>
        </w:rPr>
        <w:t>4</w:t>
      </w:r>
      <w:r w:rsidR="004A7998" w:rsidRPr="004A7998">
        <w:rPr>
          <w:rFonts w:eastAsia="Arial Narrow" w:cs="Arial Narrow"/>
          <w:color w:val="000000"/>
        </w:rPr>
        <w:fldChar w:fldCharType="end"/>
      </w:r>
      <w:r w:rsidRPr="004A7998">
        <w:rPr>
          <w:rFonts w:eastAsia="Arial Narrow" w:cs="Arial Narrow"/>
          <w:color w:val="000000"/>
        </w:rPr>
        <w:t xml:space="preserve"> </w:t>
      </w:r>
      <w:r>
        <w:rPr>
          <w:rFonts w:eastAsia="Arial Narrow" w:cs="Arial Narrow"/>
          <w:color w:val="000000"/>
        </w:rPr>
        <w:t>a </w:t>
      </w:r>
      <w:r w:rsidR="00087A7D" w:rsidRPr="00087A7D">
        <w:fldChar w:fldCharType="begin"/>
      </w:r>
      <w:r w:rsidR="00087A7D" w:rsidRPr="00087A7D">
        <w:instrText xml:space="preserve"> REF _Ref34130322 \h </w:instrText>
      </w:r>
      <w:r w:rsidR="00087A7D">
        <w:instrText xml:space="preserve"> \* MERGEFORMAT </w:instrText>
      </w:r>
      <w:r w:rsidR="00087A7D" w:rsidRPr="00087A7D">
        <w:fldChar w:fldCharType="separate"/>
      </w:r>
      <w:r w:rsidR="00FA29AF" w:rsidRPr="00FA29AF">
        <w:t>Príloha 3</w:t>
      </w:r>
      <w:r w:rsidR="00087A7D" w:rsidRPr="00087A7D">
        <w:fldChar w:fldCharType="end"/>
      </w:r>
      <w:r>
        <w:rPr>
          <w:rFonts w:eastAsia="Arial Narrow" w:cs="Arial Narrow"/>
          <w:color w:val="000000"/>
        </w:rPr>
        <w:t>). V rámci súčasného systému financovania CŠPP sa pri poskytovaní služieb deťom v ranom veku nezohľadňuje nutnosť zapojenia väčšieho počtu odborníkov, potreba dlhšieho trvania intervencie a nevyhnutnosť poskytovania terénnej starostlivosti v prirodzenom prostredí dieťaťa.</w:t>
      </w:r>
      <w:r>
        <w:rPr>
          <w:rFonts w:eastAsia="Arial Narrow" w:cs="Arial Narrow"/>
          <w:color w:val="000000"/>
          <w:vertAlign w:val="superscript"/>
        </w:rPr>
        <w:footnoteReference w:id="62"/>
      </w:r>
      <w:r>
        <w:rPr>
          <w:rFonts w:eastAsia="Arial Narrow" w:cs="Arial Narrow"/>
          <w:color w:val="000000"/>
        </w:rPr>
        <w:t xml:space="preserve"> Príčinou sú aj neexistujúce štandardy pre prácu CŠPP, ktoré sa aktuálne tvoria v rámci národného projektu Štandardy.</w:t>
      </w:r>
      <w:r>
        <w:rPr>
          <w:rFonts w:eastAsia="Arial Narrow" w:cs="Arial Narrow"/>
          <w:color w:val="000000"/>
          <w:vertAlign w:val="superscript"/>
        </w:rPr>
        <w:footnoteReference w:id="63"/>
      </w:r>
      <w:r>
        <w:rPr>
          <w:rFonts w:eastAsia="Arial Narrow" w:cs="Arial Narrow"/>
          <w:color w:val="000000"/>
        </w:rPr>
        <w:t xml:space="preserve"> </w:t>
      </w:r>
      <w:r w:rsidRPr="00292C76">
        <w:rPr>
          <w:rFonts w:eastAsia="Arial Narrow" w:cs="Arial Narrow"/>
          <w:b/>
          <w:color w:val="000000"/>
        </w:rPr>
        <w:t>Revízia navrhuje, aby nové štandardy zohľadňovali špecifiká ranej starostlivosti, najmä terénny aspekt a finančnú náročnosť výkonov, a aby po ich vytvorení došlo k zjednoteniu systému financovania štátnych a neštátnych poradenských zariadení.</w:t>
      </w:r>
    </w:p>
    <w:tbl>
      <w:tblPr>
        <w:tblW w:w="9062" w:type="dxa"/>
        <w:shd w:val="clear" w:color="auto" w:fill="BDD6EE" w:themeFill="accent1" w:themeFillTint="66"/>
        <w:tblLayout w:type="fixed"/>
        <w:tblLook w:val="0400" w:firstRow="0" w:lastRow="0" w:firstColumn="0" w:lastColumn="0" w:noHBand="0" w:noVBand="1"/>
      </w:tblPr>
      <w:tblGrid>
        <w:gridCol w:w="9062"/>
      </w:tblGrid>
      <w:tr w:rsidR="008E46D8" w14:paraId="0D7322B1" w14:textId="77777777" w:rsidTr="00D04AF3">
        <w:tc>
          <w:tcPr>
            <w:tcW w:w="9062" w:type="dxa"/>
            <w:shd w:val="clear" w:color="auto" w:fill="BDD6EE" w:themeFill="accent1" w:themeFillTint="66"/>
          </w:tcPr>
          <w:p w14:paraId="0AA7F8D5" w14:textId="55A9CA9E" w:rsidR="008E46D8" w:rsidRPr="006C45FF" w:rsidRDefault="00BD13BE" w:rsidP="00C8342B">
            <w:pPr>
              <w:pBdr>
                <w:top w:val="nil"/>
                <w:left w:val="nil"/>
                <w:bottom w:val="nil"/>
                <w:right w:val="nil"/>
                <w:between w:val="nil"/>
              </w:pBdr>
              <w:spacing w:before="120"/>
              <w:rPr>
                <w:b/>
                <w:color w:val="000000"/>
                <w:szCs w:val="22"/>
              </w:rPr>
            </w:pPr>
            <w:bookmarkStart w:id="154" w:name="_Ref33027168"/>
            <w:r w:rsidRPr="006E2B6B">
              <w:rPr>
                <w:b/>
              </w:rPr>
              <w:t xml:space="preserve">Box </w:t>
            </w:r>
            <w:r>
              <w:rPr>
                <w:b/>
              </w:rPr>
              <w:fldChar w:fldCharType="begin"/>
            </w:r>
            <w:r>
              <w:rPr>
                <w:b/>
              </w:rPr>
              <w:instrText xml:space="preserve"> SEQ Box \* ARABIC </w:instrText>
            </w:r>
            <w:r>
              <w:rPr>
                <w:b/>
              </w:rPr>
              <w:fldChar w:fldCharType="separate"/>
            </w:r>
            <w:r w:rsidR="00FA29AF">
              <w:rPr>
                <w:b/>
                <w:noProof/>
              </w:rPr>
              <w:t>4</w:t>
            </w:r>
            <w:r>
              <w:rPr>
                <w:b/>
              </w:rPr>
              <w:fldChar w:fldCharType="end"/>
            </w:r>
            <w:bookmarkEnd w:id="154"/>
            <w:r w:rsidRPr="006E2B6B">
              <w:rPr>
                <w:b/>
              </w:rPr>
              <w:t xml:space="preserve">: </w:t>
            </w:r>
            <w:r w:rsidR="008E46D8" w:rsidRPr="006C45FF">
              <w:rPr>
                <w:b/>
                <w:color w:val="000000"/>
                <w:szCs w:val="22"/>
              </w:rPr>
              <w:t>Projekt Mobilný pedagóg</w:t>
            </w:r>
          </w:p>
          <w:p w14:paraId="6901C769" w14:textId="77777777" w:rsidR="008E46D8" w:rsidRPr="006C45FF" w:rsidRDefault="008E46D8" w:rsidP="00B22EF6">
            <w:pPr>
              <w:pBdr>
                <w:top w:val="nil"/>
                <w:left w:val="nil"/>
                <w:bottom w:val="nil"/>
                <w:right w:val="nil"/>
                <w:between w:val="nil"/>
              </w:pBdr>
              <w:rPr>
                <w:color w:val="000000"/>
                <w:szCs w:val="22"/>
              </w:rPr>
            </w:pPr>
            <w:r w:rsidRPr="006C45FF">
              <w:rPr>
                <w:color w:val="000000"/>
                <w:szCs w:val="22"/>
              </w:rPr>
              <w:t xml:space="preserve">Nadácia Pontis podporila v rokoch 2012-2017 projekt Mobilný pedagóg, ktorého cieľom bolo pomôcť rodinám naštartovať komunikáciu, prijať a pochopiť znevýhodnenie dieťaťa so sluchovým postihnutím a prostredníctvom hry a výchovy naštartovať jeho aktívny progres. Služby mobilného pedagóga boli poskytnuté takmer 200 deťom so sluchovým postihnutím vo veku dva až štyri roky a ich rodinám. </w:t>
            </w:r>
          </w:p>
          <w:p w14:paraId="044C04A7" w14:textId="1CBD3185" w:rsidR="008E46D8" w:rsidRPr="006C45FF" w:rsidRDefault="008E46D8" w:rsidP="00B22EF6">
            <w:pPr>
              <w:pBdr>
                <w:top w:val="nil"/>
                <w:left w:val="nil"/>
                <w:bottom w:val="nil"/>
                <w:right w:val="nil"/>
                <w:between w:val="nil"/>
              </w:pBdr>
              <w:rPr>
                <w:color w:val="000000"/>
                <w:szCs w:val="22"/>
              </w:rPr>
            </w:pPr>
            <w:r w:rsidRPr="006C45FF">
              <w:rPr>
                <w:color w:val="000000"/>
                <w:szCs w:val="22"/>
              </w:rPr>
              <w:t xml:space="preserve">Medzi hlavné úlohy mobilnej pedagogičky a aktivity realizované počas intervencie patrili: emocionálna podpora rodine v procese zmierovania sa so </w:t>
            </w:r>
            <w:r w:rsidR="00CD7C39">
              <w:rPr>
                <w:color w:val="000000"/>
                <w:szCs w:val="22"/>
              </w:rPr>
              <w:t>sluchovým postihnutím</w:t>
            </w:r>
            <w:r w:rsidRPr="006C45FF">
              <w:rPr>
                <w:color w:val="000000"/>
                <w:szCs w:val="22"/>
              </w:rPr>
              <w:t xml:space="preserve"> u dieťaťa, podpora rozvoja rodičovských kompetencií, budovanie komunikácie medzi rodinou a dieťaťom, identifikovanie vývinovej úrovne dieťaťa, návrh hier na celkový rozvoj dieťaťa, poskytnutie informácií o vývine dieťaťa a sluchovom postihnutí a sprevádzanie rodiny pri získavaní ďalších informácií (napríklad kontakty na ďalších odborníkov alebo iné rodiny s dieťaťom so sluchovým postihnutím). </w:t>
            </w:r>
          </w:p>
          <w:p w14:paraId="735B37A8" w14:textId="77777777" w:rsidR="008E46D8" w:rsidRPr="002D02DA" w:rsidRDefault="008E46D8" w:rsidP="00B22EF6">
            <w:pPr>
              <w:pBdr>
                <w:top w:val="nil"/>
                <w:left w:val="nil"/>
                <w:bottom w:val="nil"/>
                <w:right w:val="nil"/>
                <w:between w:val="nil"/>
              </w:pBdr>
              <w:rPr>
                <w:b/>
                <w:color w:val="000000"/>
                <w:sz w:val="20"/>
              </w:rPr>
            </w:pPr>
            <w:r w:rsidRPr="006C45FF">
              <w:rPr>
                <w:color w:val="000000"/>
                <w:szCs w:val="22"/>
              </w:rPr>
              <w:t xml:space="preserve">Podľa prepočtov modelovaných na základe projektu by náklady na poskytovanie služby v prvom roku mali predstavovať približne 2 000 eur na dieťa a následne by so znížením frekvencie poskytovania služby mali klesať. Náklady zahŕňajú odmenu mobilnej pedagogičky, cestovné náklady, pomôcky, supervíziu a vzdelávanie </w:t>
            </w:r>
            <w:r w:rsidRPr="006C45FF">
              <w:rPr>
                <w:color w:val="000000"/>
                <w:szCs w:val="22"/>
              </w:rPr>
              <w:lastRenderedPageBreak/>
              <w:t>pedagogičiek a náklady na riadenie. Na základe výsledkov analýzy nákladov a prínosov možno predpokladať, že každé euro investované do tejto starostlivosti prinesie prínosy vo výške 1,4 až 5,5 eur (Bednárik a kol., 2018).</w:t>
            </w:r>
          </w:p>
        </w:tc>
      </w:tr>
    </w:tbl>
    <w:p w14:paraId="1506A11E" w14:textId="77777777" w:rsidR="008E46D8" w:rsidRPr="00C8342B" w:rsidRDefault="008E46D8" w:rsidP="00D04AF3">
      <w:pPr>
        <w:pBdr>
          <w:top w:val="nil"/>
          <w:left w:val="nil"/>
          <w:bottom w:val="nil"/>
          <w:right w:val="nil"/>
          <w:between w:val="nil"/>
        </w:pBdr>
        <w:spacing w:before="200"/>
        <w:rPr>
          <w:rFonts w:eastAsia="Arial Narrow" w:cs="Arial Narrow"/>
          <w:bCs/>
          <w:color w:val="0070C0"/>
        </w:rPr>
      </w:pPr>
      <w:r w:rsidRPr="00C8342B">
        <w:rPr>
          <w:rFonts w:eastAsia="Arial Narrow" w:cs="Arial Narrow"/>
          <w:bCs/>
          <w:color w:val="0070C0"/>
        </w:rPr>
        <w:lastRenderedPageBreak/>
        <w:t>Neexistencia starostlivosti pre deti zo sociálne znevýhodneného prostredia</w:t>
      </w:r>
    </w:p>
    <w:p w14:paraId="3A5FB3F2" w14:textId="64C386D0" w:rsidR="008E46D8" w:rsidRPr="00C8342B" w:rsidRDefault="008E46D8" w:rsidP="00C8342B">
      <w:pPr>
        <w:rPr>
          <w:lang w:eastAsia="sk-SK"/>
        </w:rPr>
      </w:pPr>
      <w:r w:rsidRPr="00C8342B">
        <w:rPr>
          <w:b/>
          <w:lang w:eastAsia="sk-SK"/>
        </w:rPr>
        <w:t xml:space="preserve">Napriek tomu, že novozavedené pediatrické </w:t>
      </w:r>
      <w:r w:rsidRPr="00C8342B">
        <w:rPr>
          <w:rFonts w:eastAsia="Arial Narrow" w:cs="Arial Narrow"/>
          <w:b/>
          <w:bCs/>
          <w:color w:val="000000"/>
        </w:rPr>
        <w:t>vyšetrenie psychomotorického vývinu v prvých troch rokoch života dieťaťa má potenciál zachytiť deti v riziku pochádzajúce zo sociálne znevýhodneného prostredia,</w:t>
      </w:r>
      <w:r w:rsidRPr="00C8342B">
        <w:rPr>
          <w:b/>
          <w:lang w:eastAsia="sk-SK"/>
        </w:rPr>
        <w:t xml:space="preserve"> rezort práce ani rezort školstva v súčasnosti nezabezpečuje poskytovanie </w:t>
      </w:r>
      <w:r w:rsidR="005A053D">
        <w:rPr>
          <w:b/>
          <w:lang w:eastAsia="sk-SK"/>
        </w:rPr>
        <w:t>intervenčnej formalizovanej</w:t>
      </w:r>
      <w:r w:rsidRPr="00C8342B">
        <w:rPr>
          <w:b/>
          <w:lang w:eastAsia="sk-SK"/>
        </w:rPr>
        <w:t xml:space="preserve"> starostlivosti v ranom veku pre tieto deti.</w:t>
      </w:r>
      <w:r w:rsidRPr="00C8342B">
        <w:rPr>
          <w:rStyle w:val="Odkaznapoznmkupodiarou"/>
          <w:b/>
          <w:lang w:eastAsia="sk-SK"/>
        </w:rPr>
        <w:footnoteReference w:id="64"/>
      </w:r>
      <w:r w:rsidRPr="00C8342B">
        <w:rPr>
          <w:lang w:eastAsia="sk-SK"/>
        </w:rPr>
        <w:t xml:space="preserve"> Cieľom programov šitých na mieru pre túto skupinu detí je zmierniť vplyv chudoby na fyzický, socio-emociálny a kognitívny vývin detí v prvých rokoch ich života (0-3 roky). Programy sa najčastejšie zameriavajú na poskytovanie vzdelávacích a osvetových aktivít v oblastiach raného vývinu detí a zdravia. Snažia sa umožniť rodičom podporovať vývin dieťaťa v jeho domácom prostredí tak, aby dokázalo čo</w:t>
      </w:r>
      <w:r w:rsidR="0070047D">
        <w:rPr>
          <w:lang w:eastAsia="sk-SK"/>
        </w:rPr>
        <w:t xml:space="preserve"> </w:t>
      </w:r>
      <w:r w:rsidR="00066210">
        <w:rPr>
          <w:lang w:eastAsia="sk-SK"/>
        </w:rPr>
        <w:t>najviac využiť svoj potenciál</w:t>
      </w:r>
      <w:r w:rsidRPr="00C8342B">
        <w:rPr>
          <w:lang w:eastAsia="sk-SK"/>
        </w:rPr>
        <w:t xml:space="preserve"> a znížiť tak riziko sociálneho vylúčenia (Lynn A. Karolly a kol., 2005).</w:t>
      </w:r>
    </w:p>
    <w:p w14:paraId="04871FA9" w14:textId="6E5E1996" w:rsidR="008E46D8" w:rsidRPr="00C8342B" w:rsidRDefault="008E46D8" w:rsidP="00C8342B">
      <w:pPr>
        <w:rPr>
          <w:lang w:eastAsia="sk-SK"/>
        </w:rPr>
      </w:pPr>
      <w:r w:rsidRPr="00C8342B">
        <w:rPr>
          <w:b/>
          <w:lang w:eastAsia="sk-SK"/>
        </w:rPr>
        <w:t>Z pohľadu priestorovej koncentrácie chudoby, jej medzigeneračnej reprodukcie a slabých výsledkoch detí v oblasti vzdelávania (tát</w:t>
      </w:r>
      <w:r w:rsidR="008A67B1">
        <w:rPr>
          <w:b/>
          <w:lang w:eastAsia="sk-SK"/>
        </w:rPr>
        <w:t>o kapitola) a zdravia (</w:t>
      </w:r>
      <w:r w:rsidR="008A67B1" w:rsidRPr="008A67B1">
        <w:rPr>
          <w:b/>
          <w:lang w:eastAsia="sk-SK"/>
        </w:rPr>
        <w:t xml:space="preserve">kapitola </w:t>
      </w:r>
      <w:r w:rsidR="008A67B1">
        <w:rPr>
          <w:b/>
          <w:lang w:eastAsia="sk-SK"/>
        </w:rPr>
        <w:fldChar w:fldCharType="begin"/>
      </w:r>
      <w:r w:rsidR="008A67B1">
        <w:rPr>
          <w:b/>
          <w:lang w:eastAsia="sk-SK"/>
        </w:rPr>
        <w:instrText xml:space="preserve"> REF _Ref25227762 \r \h </w:instrText>
      </w:r>
      <w:r w:rsidR="008A67B1">
        <w:rPr>
          <w:b/>
          <w:lang w:eastAsia="sk-SK"/>
        </w:rPr>
      </w:r>
      <w:r w:rsidR="008A67B1">
        <w:rPr>
          <w:b/>
          <w:lang w:eastAsia="sk-SK"/>
        </w:rPr>
        <w:fldChar w:fldCharType="separate"/>
      </w:r>
      <w:r w:rsidR="00FA29AF">
        <w:rPr>
          <w:b/>
          <w:lang w:eastAsia="sk-SK"/>
        </w:rPr>
        <w:t>10</w:t>
      </w:r>
      <w:r w:rsidR="008A67B1">
        <w:rPr>
          <w:b/>
          <w:lang w:eastAsia="sk-SK"/>
        </w:rPr>
        <w:fldChar w:fldCharType="end"/>
      </w:r>
      <w:r w:rsidRPr="008A67B1">
        <w:rPr>
          <w:b/>
          <w:lang w:eastAsia="sk-SK"/>
        </w:rPr>
        <w:t>)</w:t>
      </w:r>
      <w:r w:rsidR="00066210">
        <w:rPr>
          <w:b/>
          <w:lang w:eastAsia="sk-SK"/>
        </w:rPr>
        <w:t>,</w:t>
      </w:r>
      <w:r w:rsidRPr="008A67B1">
        <w:rPr>
          <w:b/>
          <w:lang w:eastAsia="sk-SK"/>
        </w:rPr>
        <w:t xml:space="preserve"> je</w:t>
      </w:r>
      <w:r w:rsidRPr="00C8342B">
        <w:rPr>
          <w:b/>
          <w:lang w:eastAsia="sk-SK"/>
        </w:rPr>
        <w:t xml:space="preserve"> tento typ starostlivosti najviac potrebný v prostredí marginalizovaných rómskych komunít.</w:t>
      </w:r>
      <w:r w:rsidRPr="00C8342B">
        <w:rPr>
          <w:lang w:eastAsia="sk-SK"/>
        </w:rPr>
        <w:t xml:space="preserve"> V tomto prostredí žije na Slovensku približne 7 535 detí vo veku 0 až 3 roky. Na malej vzorke domácností je tento typ starostlivosti v prostredí MRK na Slovensku poskytovaný od roku 2018 prostredníctvom mimovládnej organizácie </w:t>
      </w:r>
      <w:r w:rsidRPr="008A67B1">
        <w:rPr>
          <w:lang w:eastAsia="sk-SK"/>
        </w:rPr>
        <w:t xml:space="preserve">Cesta von </w:t>
      </w:r>
      <w:r w:rsidR="008A67B1" w:rsidRPr="008A67B1">
        <w:rPr>
          <w:lang w:eastAsia="sk-SK"/>
        </w:rPr>
        <w:t>(</w:t>
      </w:r>
      <w:r w:rsidR="008A67B1" w:rsidRPr="008A67B1">
        <w:rPr>
          <w:lang w:eastAsia="sk-SK"/>
        </w:rPr>
        <w:fldChar w:fldCharType="begin"/>
      </w:r>
      <w:r w:rsidR="008A67B1" w:rsidRPr="008A67B1">
        <w:rPr>
          <w:lang w:eastAsia="sk-SK"/>
        </w:rPr>
        <w:instrText xml:space="preserve"> REF _Ref33029034 \h  \* MERGEFORMAT </w:instrText>
      </w:r>
      <w:r w:rsidR="008A67B1" w:rsidRPr="008A67B1">
        <w:rPr>
          <w:lang w:eastAsia="sk-SK"/>
        </w:rPr>
      </w:r>
      <w:r w:rsidR="008A67B1" w:rsidRPr="008A67B1">
        <w:rPr>
          <w:lang w:eastAsia="sk-SK"/>
        </w:rPr>
        <w:fldChar w:fldCharType="separate"/>
      </w:r>
      <w:r w:rsidR="00FA29AF" w:rsidRPr="00FA29AF">
        <w:rPr>
          <w:szCs w:val="18"/>
        </w:rPr>
        <w:t xml:space="preserve">Box </w:t>
      </w:r>
      <w:r w:rsidR="00FA29AF" w:rsidRPr="00FA29AF">
        <w:rPr>
          <w:noProof/>
          <w:szCs w:val="18"/>
        </w:rPr>
        <w:t>5</w:t>
      </w:r>
      <w:r w:rsidR="008A67B1" w:rsidRPr="008A67B1">
        <w:rPr>
          <w:lang w:eastAsia="sk-SK"/>
        </w:rPr>
        <w:fldChar w:fldCharType="end"/>
      </w:r>
      <w:r w:rsidRPr="008A67B1">
        <w:rPr>
          <w:lang w:eastAsia="sk-SK"/>
        </w:rPr>
        <w:t>).</w:t>
      </w:r>
    </w:p>
    <w:p w14:paraId="4ED65A94" w14:textId="77777777" w:rsidR="008E46D8" w:rsidRPr="00C8342B" w:rsidRDefault="008E46D8" w:rsidP="00C8342B">
      <w:pPr>
        <w:rPr>
          <w:lang w:eastAsia="sk-SK"/>
        </w:rPr>
      </w:pPr>
      <w:r w:rsidRPr="00C8342B">
        <w:rPr>
          <w:b/>
          <w:lang w:eastAsia="sk-SK"/>
        </w:rPr>
        <w:t>Revízia navrhuje podporiť poskytovanie ranej starostlivosti deťom vo veku 0 až 3 roky žijúcim v prostredí marginalizovaných rómskych komunít.</w:t>
      </w:r>
      <w:r w:rsidRPr="00C8342B">
        <w:rPr>
          <w:lang w:eastAsia="sk-SK"/>
        </w:rPr>
        <w:t xml:space="preserve"> Podľa ekonomických odhadov by sa tieto investície mali v budúcnosti navrátiť 1,2 až 17 násobne po odpočítaní počiatočnej investície (Lynn A. Karolly a kol., 2005). Okrem toho treba započítať pridanú hodnotu v podobe zvýšenia ekonomickej nezávislosti žien, s ktorých aktívnou participáciou v programoch sa počíta, ako aj postupné znižovanie potreby služieb ranej starostlivosti v dôsledku zvyšovania rodičovských kompetencií v komunite. V prípade, že sa projekt osvedčí, možno uvažovať o jeho rozšírení na všetky deti narodené do sociálne znevýhodneného prostredia.</w:t>
      </w:r>
    </w:p>
    <w:tbl>
      <w:tblPr>
        <w:tblW w:w="0" w:type="auto"/>
        <w:shd w:val="clear" w:color="auto" w:fill="BDD6EE" w:themeFill="accent1" w:themeFillTint="66"/>
        <w:tblLook w:val="04A0" w:firstRow="1" w:lastRow="0" w:firstColumn="1" w:lastColumn="0" w:noHBand="0" w:noVBand="1"/>
      </w:tblPr>
      <w:tblGrid>
        <w:gridCol w:w="9026"/>
      </w:tblGrid>
      <w:tr w:rsidR="008E46D8" w:rsidRPr="00C8342B" w14:paraId="1DA74477" w14:textId="77777777" w:rsidTr="00B22EF6">
        <w:tc>
          <w:tcPr>
            <w:tcW w:w="9062" w:type="dxa"/>
            <w:shd w:val="clear" w:color="auto" w:fill="BDD6EE" w:themeFill="accent1" w:themeFillTint="66"/>
          </w:tcPr>
          <w:p w14:paraId="105DC4D9" w14:textId="77777777" w:rsidR="008E46D8" w:rsidRPr="00C8342B" w:rsidRDefault="008E46D8" w:rsidP="00C8342B">
            <w:pPr>
              <w:pStyle w:val="Bezriadkovania"/>
              <w:spacing w:before="120" w:after="200" w:line="259" w:lineRule="auto"/>
              <w:jc w:val="both"/>
              <w:rPr>
                <w:rFonts w:ascii="Arial Narrow" w:hAnsi="Arial Narrow"/>
                <w:b/>
                <w:szCs w:val="18"/>
                <w:lang w:eastAsia="sk-SK"/>
              </w:rPr>
            </w:pPr>
            <w:bookmarkStart w:id="155" w:name="_Ref33029034"/>
            <w:r w:rsidRPr="00C8342B">
              <w:rPr>
                <w:rFonts w:ascii="Arial Narrow" w:hAnsi="Arial Narrow"/>
                <w:b/>
                <w:szCs w:val="18"/>
              </w:rPr>
              <w:t xml:space="preserve">Box </w:t>
            </w:r>
            <w:r w:rsidRPr="00C8342B">
              <w:rPr>
                <w:rFonts w:ascii="Arial Narrow" w:hAnsi="Arial Narrow"/>
                <w:b/>
                <w:szCs w:val="18"/>
              </w:rPr>
              <w:fldChar w:fldCharType="begin"/>
            </w:r>
            <w:r w:rsidRPr="00C8342B">
              <w:rPr>
                <w:rFonts w:ascii="Arial Narrow" w:hAnsi="Arial Narrow"/>
                <w:b/>
                <w:szCs w:val="18"/>
              </w:rPr>
              <w:instrText xml:space="preserve"> SEQ Box \* ARABIC </w:instrText>
            </w:r>
            <w:r w:rsidRPr="00C8342B">
              <w:rPr>
                <w:rFonts w:ascii="Arial Narrow" w:hAnsi="Arial Narrow"/>
                <w:b/>
                <w:szCs w:val="18"/>
              </w:rPr>
              <w:fldChar w:fldCharType="separate"/>
            </w:r>
            <w:r w:rsidR="00FA29AF">
              <w:rPr>
                <w:rFonts w:ascii="Arial Narrow" w:hAnsi="Arial Narrow"/>
                <w:b/>
                <w:noProof/>
                <w:szCs w:val="18"/>
              </w:rPr>
              <w:t>5</w:t>
            </w:r>
            <w:r w:rsidRPr="00C8342B">
              <w:rPr>
                <w:rFonts w:ascii="Arial Narrow" w:hAnsi="Arial Narrow"/>
                <w:b/>
                <w:szCs w:val="18"/>
              </w:rPr>
              <w:fldChar w:fldCharType="end"/>
            </w:r>
            <w:bookmarkEnd w:id="155"/>
            <w:r w:rsidRPr="00C8342B">
              <w:rPr>
                <w:rFonts w:ascii="Arial Narrow" w:hAnsi="Arial Narrow"/>
                <w:b/>
                <w:szCs w:val="18"/>
              </w:rPr>
              <w:t xml:space="preserve">: </w:t>
            </w:r>
            <w:r w:rsidRPr="00C8342B">
              <w:rPr>
                <w:rFonts w:ascii="Arial Narrow" w:hAnsi="Arial Narrow"/>
                <w:b/>
                <w:szCs w:val="18"/>
                <w:lang w:eastAsia="sk-SK"/>
              </w:rPr>
              <w:t>Projekt Omama</w:t>
            </w:r>
          </w:p>
          <w:p w14:paraId="78556D94" w14:textId="1F7CE9CB" w:rsidR="008E46D8" w:rsidRPr="00C8342B" w:rsidRDefault="008E46D8" w:rsidP="00C8342B">
            <w:pPr>
              <w:rPr>
                <w:szCs w:val="18"/>
                <w:lang w:eastAsia="sk-SK"/>
              </w:rPr>
            </w:pPr>
            <w:r w:rsidRPr="00C8342B">
              <w:rPr>
                <w:szCs w:val="18"/>
                <w:lang w:eastAsia="sk-SK"/>
              </w:rPr>
              <w:t xml:space="preserve">Občianske združenie Cesta von realizuje na Slovensku unikátny projekt Omama, ktorého cieľom je podporiť ranú stimuláciu a zdravý vývin detí v marginalizovaných rómskych komunitách v kľúčovom veku od narodenia do 3 rokov. Vyškolené pracovníčky – </w:t>
            </w:r>
            <w:r w:rsidR="00066210">
              <w:rPr>
                <w:szCs w:val="18"/>
                <w:lang w:eastAsia="sk-SK"/>
              </w:rPr>
              <w:t>„</w:t>
            </w:r>
            <w:r w:rsidRPr="00C8342B">
              <w:rPr>
                <w:szCs w:val="18"/>
                <w:lang w:eastAsia="sk-SK"/>
              </w:rPr>
              <w:t>omamy</w:t>
            </w:r>
            <w:r w:rsidR="00066210">
              <w:rPr>
                <w:szCs w:val="18"/>
                <w:lang w:eastAsia="sk-SK"/>
              </w:rPr>
              <w:t>“</w:t>
            </w:r>
            <w:r w:rsidRPr="00C8342B">
              <w:rPr>
                <w:szCs w:val="18"/>
                <w:lang w:eastAsia="sk-SK"/>
              </w:rPr>
              <w:t>, ktoré pochádzajú priamo z komunity – navštevujú domácnosti rodín, kde sa s deťmi a ich rodičmi (najčastejšie matkami) venujú rôznym hrám a aktivitám zacieleným na psycho</w:t>
            </w:r>
            <w:r w:rsidR="00066210">
              <w:rPr>
                <w:szCs w:val="18"/>
                <w:lang w:eastAsia="sk-SK"/>
              </w:rPr>
              <w:t>-</w:t>
            </w:r>
            <w:r w:rsidRPr="00C8342B">
              <w:rPr>
                <w:szCs w:val="18"/>
                <w:lang w:eastAsia="sk-SK"/>
              </w:rPr>
              <w:t xml:space="preserve">sociálnu stimuláciu (jemná a hrubá motorika, kognitívne, jazykové, komunikačné schopnosti, socio-emocionálna oblasť). Každú omamu sprevádza mentorka zo strednej vrstvy, ktorá poskytuje omame potrebnú podporu, pomoc s administratívou či riešením problémov v teréne. </w:t>
            </w:r>
          </w:p>
          <w:p w14:paraId="0059C22D" w14:textId="77777777" w:rsidR="008E46D8" w:rsidRPr="00C8342B" w:rsidRDefault="008E46D8" w:rsidP="00C8342B">
            <w:pPr>
              <w:rPr>
                <w:szCs w:val="18"/>
                <w:lang w:eastAsia="sk-SK"/>
              </w:rPr>
            </w:pPr>
            <w:r w:rsidRPr="00C8342B">
              <w:rPr>
                <w:szCs w:val="18"/>
                <w:lang w:eastAsia="sk-SK"/>
              </w:rPr>
              <w:t>Jedna omama realizuje pravidelné týždenné lekcie v 15 až 20 rodinách. Okrem toho poskytuje poradenstvo matkám aj tehotným ženám a raz mesačne sa zúčastňuje na skupinových vzdelávacích stretnutiach s rodičmi. Projekt bol spustený v roku 2018 v troch ohrozených komunitách a v roku 2019 rozšírený do ďalších troch.</w:t>
            </w:r>
          </w:p>
          <w:p w14:paraId="0E7AF21F" w14:textId="6826383B" w:rsidR="008E46D8" w:rsidRPr="00C8342B" w:rsidRDefault="008E46D8" w:rsidP="002D7EAF">
            <w:pPr>
              <w:rPr>
                <w:lang w:eastAsia="sk-SK"/>
              </w:rPr>
            </w:pPr>
            <w:r w:rsidRPr="00C8342B">
              <w:rPr>
                <w:szCs w:val="18"/>
                <w:lang w:eastAsia="sk-SK"/>
              </w:rPr>
              <w:t xml:space="preserve">Priame náklady projektu na jedno dieťa predstavujú okolo tisíc eur ročne, za celé obdobie kritických prvých troch rokov života dieťaťa teda 3 tisíc eur. Náklady zahŕňajú mzdu pre omamu, náklady pre sprievodkyňu, cestovné, vzdelávanie pre omamy a mentorky, herné a iné pomôcky, </w:t>
            </w:r>
            <w:r w:rsidR="002D7EAF">
              <w:rPr>
                <w:szCs w:val="18"/>
                <w:lang w:eastAsia="sk-SK"/>
              </w:rPr>
              <w:t>náklady na komunikáciu a réžiu.</w:t>
            </w:r>
          </w:p>
        </w:tc>
      </w:tr>
    </w:tbl>
    <w:p w14:paraId="6A1DA13C" w14:textId="041C8776" w:rsidR="00416B7B" w:rsidRDefault="00416B7B" w:rsidP="00416B7B">
      <w:pPr>
        <w:pStyle w:val="Nadpis1"/>
      </w:pPr>
      <w:bookmarkStart w:id="156" w:name="_Toc33116473"/>
      <w:bookmarkStart w:id="157" w:name="_Toc33180207"/>
      <w:bookmarkStart w:id="158" w:name="_Toc33181992"/>
      <w:bookmarkStart w:id="159" w:name="_Toc33187397"/>
      <w:bookmarkStart w:id="160" w:name="_Toc33196747"/>
      <w:bookmarkStart w:id="161" w:name="_Toc33202738"/>
      <w:bookmarkStart w:id="162" w:name="_Toc33258279"/>
      <w:bookmarkStart w:id="163" w:name="_Toc33277033"/>
      <w:bookmarkStart w:id="164" w:name="_Toc33342598"/>
      <w:bookmarkStart w:id="165" w:name="_Toc33116474"/>
      <w:bookmarkStart w:id="166" w:name="_Toc33180208"/>
      <w:bookmarkStart w:id="167" w:name="_Toc33181993"/>
      <w:bookmarkStart w:id="168" w:name="_Toc33187398"/>
      <w:bookmarkStart w:id="169" w:name="_Toc33196748"/>
      <w:bookmarkStart w:id="170" w:name="_Toc33202739"/>
      <w:bookmarkStart w:id="171" w:name="_Toc33258280"/>
      <w:bookmarkStart w:id="172" w:name="_Toc33277034"/>
      <w:bookmarkStart w:id="173" w:name="_Toc33342599"/>
      <w:bookmarkStart w:id="174" w:name="_Toc18340927"/>
      <w:bookmarkStart w:id="175" w:name="_Ref25313929"/>
      <w:bookmarkStart w:id="176" w:name="_Ref25315182"/>
      <w:bookmarkStart w:id="177" w:name="_Ref25315627"/>
      <w:bookmarkStart w:id="178" w:name="_Ref25321733"/>
      <w:bookmarkStart w:id="179" w:name="_Ref33191690"/>
      <w:bookmarkStart w:id="180" w:name="_Ref33197467"/>
      <w:bookmarkStart w:id="181" w:name="_Ref33198052"/>
      <w:bookmarkStart w:id="182" w:name="_Toc34657713"/>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Pr="00CA2564">
        <w:lastRenderedPageBreak/>
        <w:t>Vzdelávanie detí so sociálnym znevýhodnením</w:t>
      </w:r>
      <w:bookmarkEnd w:id="174"/>
      <w:bookmarkEnd w:id="175"/>
      <w:bookmarkEnd w:id="176"/>
      <w:bookmarkEnd w:id="177"/>
      <w:bookmarkEnd w:id="178"/>
      <w:bookmarkEnd w:id="179"/>
      <w:bookmarkEnd w:id="180"/>
      <w:bookmarkEnd w:id="181"/>
      <w:bookmarkEnd w:id="182"/>
    </w:p>
    <w:p w14:paraId="24AD68EC" w14:textId="77777777" w:rsidR="00D70B16" w:rsidRPr="00B04C05" w:rsidRDefault="00D70B16" w:rsidP="00D70B16">
      <w:pPr>
        <w:pStyle w:val="Odsekzoznamu"/>
        <w:numPr>
          <w:ilvl w:val="0"/>
          <w:numId w:val="33"/>
        </w:numPr>
        <w:ind w:left="270" w:hanging="270"/>
        <w:rPr>
          <w:b/>
        </w:rPr>
      </w:pPr>
      <w:r w:rsidRPr="00FB22ED">
        <w:rPr>
          <w:b/>
          <w:bCs/>
          <w:color w:val="000000" w:themeColor="text1"/>
        </w:rPr>
        <w:t>Hlavnou víziou inkluzívnych vzdelávacích systémov je zabezpečiť, aby všetky deti, vrátane detí zo sociálne znevýhodneného prostredia</w:t>
      </w:r>
      <w:r>
        <w:rPr>
          <w:b/>
          <w:bCs/>
          <w:color w:val="000000" w:themeColor="text1"/>
        </w:rPr>
        <w:t>,</w:t>
      </w:r>
      <w:r w:rsidRPr="00FB22ED">
        <w:rPr>
          <w:b/>
          <w:bCs/>
          <w:color w:val="000000" w:themeColor="text1"/>
        </w:rPr>
        <w:t xml:space="preserve"> mali prístup ku kvalitným vzdelávacím príležitostiam vo svojej komunite v bežnom vzdelávacom prúde.</w:t>
      </w:r>
    </w:p>
    <w:p w14:paraId="2B9EF9E1" w14:textId="7ADFE58B" w:rsidR="00D70B16" w:rsidRPr="00452DBC" w:rsidRDefault="00D70B16" w:rsidP="00D70B16">
      <w:pPr>
        <w:pStyle w:val="Odsekzoznamu"/>
        <w:numPr>
          <w:ilvl w:val="0"/>
          <w:numId w:val="33"/>
        </w:numPr>
        <w:ind w:left="270" w:hanging="270"/>
        <w:rPr>
          <w:b/>
        </w:rPr>
      </w:pPr>
      <w:r w:rsidRPr="00452DBC">
        <w:rPr>
          <w:b/>
        </w:rPr>
        <w:t>Deti zo</w:t>
      </w:r>
      <w:r>
        <w:rPr>
          <w:b/>
        </w:rPr>
        <w:t xml:space="preserve"> sociálne znevýhodneného prostredia</w:t>
      </w:r>
      <w:r w:rsidRPr="00452DBC">
        <w:rPr>
          <w:b/>
        </w:rPr>
        <w:t xml:space="preserve"> </w:t>
      </w:r>
      <w:r>
        <w:rPr>
          <w:b/>
        </w:rPr>
        <w:t>(</w:t>
      </w:r>
      <w:r w:rsidRPr="00452DBC">
        <w:rPr>
          <w:b/>
        </w:rPr>
        <w:t>SZP</w:t>
      </w:r>
      <w:r>
        <w:rPr>
          <w:b/>
        </w:rPr>
        <w:t>)</w:t>
      </w:r>
      <w:r w:rsidRPr="00452DBC">
        <w:rPr>
          <w:b/>
        </w:rPr>
        <w:t xml:space="preserve"> zaznamenávajú </w:t>
      </w:r>
      <w:r>
        <w:rPr>
          <w:b/>
        </w:rPr>
        <w:t xml:space="preserve">takmer o polovicu nižšiu účasť </w:t>
      </w:r>
      <w:r w:rsidRPr="00452DBC">
        <w:rPr>
          <w:b/>
        </w:rPr>
        <w:t>na predprimárnom vzdelávaní</w:t>
      </w:r>
      <w:r>
        <w:rPr>
          <w:b/>
        </w:rPr>
        <w:t xml:space="preserve"> (41 %)</w:t>
      </w:r>
      <w:r w:rsidRPr="00452DBC">
        <w:rPr>
          <w:b/>
        </w:rPr>
        <w:t xml:space="preserve"> v porovnaní s ostatnými deťmi</w:t>
      </w:r>
      <w:r>
        <w:rPr>
          <w:b/>
        </w:rPr>
        <w:t xml:space="preserve"> (75 %). </w:t>
      </w:r>
      <w:r w:rsidRPr="00452DBC">
        <w:rPr>
          <w:b/>
        </w:rPr>
        <w:t>Dosahujú horšie vzdelávacie výsledk</w:t>
      </w:r>
      <w:r>
        <w:rPr>
          <w:b/>
        </w:rPr>
        <w:t>y, pričom d</w:t>
      </w:r>
      <w:r w:rsidRPr="00452DBC">
        <w:rPr>
          <w:b/>
        </w:rPr>
        <w:t xml:space="preserve">opad socioekonomického zázemia na výsledky žiakov je </w:t>
      </w:r>
      <w:r>
        <w:rPr>
          <w:b/>
        </w:rPr>
        <w:t xml:space="preserve">u nás výrazne </w:t>
      </w:r>
      <w:r w:rsidRPr="00452DBC">
        <w:rPr>
          <w:b/>
        </w:rPr>
        <w:t>vyšší ako v iných vyspelých krajinách</w:t>
      </w:r>
      <w:r>
        <w:rPr>
          <w:b/>
        </w:rPr>
        <w:t xml:space="preserve"> (18 % oproti 12 %)</w:t>
      </w:r>
      <w:r w:rsidRPr="00452DBC">
        <w:rPr>
          <w:b/>
        </w:rPr>
        <w:t xml:space="preserve">. </w:t>
      </w:r>
      <w:r>
        <w:rPr>
          <w:b/>
        </w:rPr>
        <w:t>Oproti ostatným žiakom majú žiaci zo SZP viac ako štvornásobne</w:t>
      </w:r>
      <w:r w:rsidRPr="00452DBC">
        <w:rPr>
          <w:b/>
        </w:rPr>
        <w:t xml:space="preserve"> vyššiu mieru opakovania ročníka</w:t>
      </w:r>
      <w:r>
        <w:rPr>
          <w:b/>
        </w:rPr>
        <w:t xml:space="preserve"> (13 % oproti 3 %) a takmer dvojnásobne viac z nich po ukončení povinnej školskej dochádzky nepokračuje ďalej vo vzdelávaní (11 % oproti 6 %). Ešte horšie výsledky dosahujú sociálne znevýhodnení žiaci z marginalizovaných rómskych komunít (MRK).</w:t>
      </w:r>
      <w:r w:rsidRPr="00452DBC">
        <w:rPr>
          <w:b/>
        </w:rPr>
        <w:t xml:space="preserve"> </w:t>
      </w:r>
    </w:p>
    <w:p w14:paraId="0CE505E8" w14:textId="77777777" w:rsidR="00D70B16" w:rsidRPr="004D2F80" w:rsidRDefault="00D70B16" w:rsidP="00D70B16">
      <w:pPr>
        <w:pStyle w:val="Odsekzoznamu"/>
        <w:numPr>
          <w:ilvl w:val="0"/>
          <w:numId w:val="33"/>
        </w:numPr>
        <w:ind w:left="270" w:hanging="270"/>
        <w:rPr>
          <w:b/>
        </w:rPr>
      </w:pPr>
      <w:r>
        <w:rPr>
          <w:b/>
          <w:color w:val="000000" w:themeColor="text1"/>
        </w:rPr>
        <w:t>N</w:t>
      </w:r>
      <w:r w:rsidRPr="00B04C05">
        <w:rPr>
          <w:b/>
          <w:color w:val="000000" w:themeColor="text1"/>
        </w:rPr>
        <w:t>avštevovanie segregovaných školských zariadení znižuje príležitosti na sociálnu inklúziu</w:t>
      </w:r>
      <w:r>
        <w:rPr>
          <w:b/>
          <w:color w:val="000000" w:themeColor="text1"/>
        </w:rPr>
        <w:t>.</w:t>
      </w:r>
      <w:r w:rsidRPr="00B04C05">
        <w:rPr>
          <w:b/>
          <w:color w:val="000000" w:themeColor="text1"/>
        </w:rPr>
        <w:t xml:space="preserve">, </w:t>
      </w:r>
      <w:r>
        <w:rPr>
          <w:b/>
          <w:color w:val="000000" w:themeColor="text1"/>
        </w:rPr>
        <w:t xml:space="preserve">Napriek tomu </w:t>
      </w:r>
      <w:r w:rsidRPr="00B04C05">
        <w:rPr>
          <w:b/>
          <w:color w:val="000000" w:themeColor="text1"/>
        </w:rPr>
        <w:t xml:space="preserve">na Slovensku pretrváva </w:t>
      </w:r>
      <w:r>
        <w:rPr>
          <w:b/>
          <w:color w:val="000000" w:themeColor="text1"/>
        </w:rPr>
        <w:t xml:space="preserve">problém s nadmerným zastúpením </w:t>
      </w:r>
      <w:r w:rsidRPr="00B04C05">
        <w:rPr>
          <w:b/>
          <w:color w:val="000000" w:themeColor="text1"/>
        </w:rPr>
        <w:t xml:space="preserve">žiakov z prostredia MRK v špeciálnom školstve ako aj </w:t>
      </w:r>
      <w:r>
        <w:rPr>
          <w:b/>
          <w:color w:val="000000" w:themeColor="text1"/>
        </w:rPr>
        <w:t xml:space="preserve">ich priestorové vyčleňovanie </w:t>
      </w:r>
      <w:r w:rsidRPr="00B04C05">
        <w:rPr>
          <w:b/>
          <w:color w:val="000000" w:themeColor="text1"/>
        </w:rPr>
        <w:t>v</w:t>
      </w:r>
      <w:r>
        <w:rPr>
          <w:b/>
          <w:color w:val="000000" w:themeColor="text1"/>
        </w:rPr>
        <w:t xml:space="preserve"> bežnom vzdelávacom prúde. </w:t>
      </w:r>
    </w:p>
    <w:p w14:paraId="49204E9A" w14:textId="1502F242" w:rsidR="00D70B16" w:rsidRPr="004D2F80" w:rsidRDefault="00D70B16" w:rsidP="00D70B16">
      <w:pPr>
        <w:pStyle w:val="Odsekzoznamu"/>
        <w:numPr>
          <w:ilvl w:val="0"/>
          <w:numId w:val="33"/>
        </w:numPr>
        <w:ind w:left="270" w:hanging="270"/>
        <w:rPr>
          <w:b/>
        </w:rPr>
      </w:pPr>
      <w:r w:rsidRPr="00B04C05">
        <w:rPr>
          <w:b/>
        </w:rPr>
        <w:t>Podmienkou pr</w:t>
      </w:r>
      <w:r>
        <w:rPr>
          <w:b/>
        </w:rPr>
        <w:t>e vznik nároku na prístup k</w:t>
      </w:r>
      <w:r w:rsidRPr="00B04C05">
        <w:rPr>
          <w:b/>
        </w:rPr>
        <w:t xml:space="preserve"> nástrojom </w:t>
      </w:r>
      <w:r>
        <w:rPr>
          <w:b/>
        </w:rPr>
        <w:t xml:space="preserve">podpory pre znevýhodnené deti </w:t>
      </w:r>
      <w:r w:rsidRPr="00B04C05">
        <w:rPr>
          <w:b/>
        </w:rPr>
        <w:t>je najčastejšie príjmo</w:t>
      </w:r>
      <w:r>
        <w:rPr>
          <w:b/>
        </w:rPr>
        <w:t>vá situácia rodiny dieťaťa. J</w:t>
      </w:r>
      <w:r w:rsidRPr="00B04C05">
        <w:rPr>
          <w:b/>
        </w:rPr>
        <w:t xml:space="preserve">e však nastavená príliš </w:t>
      </w:r>
      <w:r>
        <w:rPr>
          <w:b/>
        </w:rPr>
        <w:t>reštriktívne</w:t>
      </w:r>
      <w:r w:rsidRPr="00B04C05">
        <w:rPr>
          <w:b/>
        </w:rPr>
        <w:t>, v dôsledku čoho nástroje pokrývajú menej ako polovicu detí</w:t>
      </w:r>
      <w:r>
        <w:rPr>
          <w:b/>
        </w:rPr>
        <w:t xml:space="preserve"> a žiakov</w:t>
      </w:r>
      <w:r w:rsidRPr="00B04C05">
        <w:rPr>
          <w:b/>
        </w:rPr>
        <w:t xml:space="preserve"> ohrozených chud</w:t>
      </w:r>
      <w:r>
        <w:rPr>
          <w:b/>
        </w:rPr>
        <w:t>obou alebo sociálnym vylúčením.</w:t>
      </w:r>
    </w:p>
    <w:p w14:paraId="7774420F" w14:textId="77777777" w:rsidR="00D70B16" w:rsidRPr="00C96421" w:rsidRDefault="00D70B16" w:rsidP="00D70B16">
      <w:pPr>
        <w:pStyle w:val="Odsekzoznamu"/>
        <w:numPr>
          <w:ilvl w:val="0"/>
          <w:numId w:val="33"/>
        </w:numPr>
        <w:ind w:left="270" w:hanging="270"/>
        <w:rPr>
          <w:b/>
        </w:rPr>
      </w:pPr>
      <w:r w:rsidRPr="00B04C05">
        <w:rPr>
          <w:b/>
        </w:rPr>
        <w:t>Opatrenia na podporu detí zo SZP v predprimárnom vzdelávaní zahŕňajú odpustenie poplatkov za návštevu materskej školy a dotácie na obedy pre 3- a 4-ročné deti. V základnom a strednom vzdelávaní je na podporu žiakov zo SZP určený nultý ročník, SZP príspevok a stredoškolské štipendiá.</w:t>
      </w:r>
    </w:p>
    <w:p w14:paraId="42172AAB" w14:textId="1D77ADC2" w:rsidR="00D70B16" w:rsidRPr="006F7977" w:rsidRDefault="00D70B16" w:rsidP="00D70B16">
      <w:pPr>
        <w:pStyle w:val="Odsekzoznamu"/>
        <w:numPr>
          <w:ilvl w:val="0"/>
          <w:numId w:val="33"/>
        </w:numPr>
        <w:ind w:left="270" w:hanging="270"/>
        <w:rPr>
          <w:b/>
        </w:rPr>
      </w:pPr>
      <w:r w:rsidRPr="006F7977">
        <w:rPr>
          <w:b/>
        </w:rPr>
        <w:t>Odpustenie poplatkov za návštevu MŠ a dotácie na obedy nie sú postačujúce pre zvýšenie zaškolenosti detí zo SZP. Deti zo SZP čelia viacerým ďalším bariéram v</w:t>
      </w:r>
      <w:r>
        <w:rPr>
          <w:b/>
        </w:rPr>
        <w:t xml:space="preserve"> </w:t>
      </w:r>
      <w:r w:rsidR="00A03E59">
        <w:rPr>
          <w:b/>
        </w:rPr>
        <w:t>prístupe</w:t>
      </w:r>
      <w:r w:rsidRPr="006F7977">
        <w:rPr>
          <w:b/>
        </w:rPr>
        <w:t xml:space="preserve"> k predprimárnemu vzdelávaniu a v procese predprimárneho vzdelávania. Ich potreby nie sú zohľadnené v systéme financovania predprimárneho vzdelávania. Nultý ročník, ktorého cieľom je umožniť žiakom zo SZP dosiahnuť školskú spôsobilosť, je neefektívny. Prispieva k segregácii, k predčasnému ukončovaniu školskej dochádzky a jeho absolventi vo veľkej miere opakujú už prvý ročník. Výška SZP príspevku a stredoškolských štipendií je nedostatočná, v dôsledku čoho nemôžu školy adekvátne financovať potreby žiakov zo SZP.</w:t>
      </w:r>
    </w:p>
    <w:p w14:paraId="0DCCA749" w14:textId="252FABBA" w:rsidR="00D70B16" w:rsidRPr="007D4828" w:rsidRDefault="00D70B16" w:rsidP="00D70B16">
      <w:pPr>
        <w:pStyle w:val="Odsekzoznamu"/>
        <w:numPr>
          <w:ilvl w:val="0"/>
          <w:numId w:val="33"/>
        </w:numPr>
        <w:ind w:left="270" w:hanging="270"/>
        <w:rPr>
          <w:b/>
        </w:rPr>
      </w:pPr>
      <w:r w:rsidRPr="007D4828">
        <w:rPr>
          <w:b/>
        </w:rPr>
        <w:t>V roku 2018 boli celkové dodatočné výdavky na podporu vzdelávania detí a žiakov</w:t>
      </w:r>
      <w:r w:rsidR="009D6F79">
        <w:rPr>
          <w:b/>
        </w:rPr>
        <w:t xml:space="preserve"> zo SZP takmer 14 </w:t>
      </w:r>
      <w:r w:rsidR="00A03E59">
        <w:rPr>
          <w:b/>
        </w:rPr>
        <w:t>miliónov eur.</w:t>
      </w:r>
      <w:r w:rsidRPr="007D4828">
        <w:rPr>
          <w:b/>
        </w:rPr>
        <w:t xml:space="preserve"> Výdavky boli koncentrované do základných škôl a zamerané prevažne na intervenčné a kompenzačné opatrenia. Výdavky na preventívne opatrenia a na podporu zvyšovania zaškolenosti detí zo SZP, ktoré majú najvyššiu návratnosť a najväčší potenciál pozitívne ovplyvniť ďalší úspech detí, boli minimálne. V súlade s medzinárodnou dobrou praxou by mala byť podpora oveľa intenzívnejšia už v predprimárnom vzdelávaní a výrazne viac zdrojov by malo smerovať do </w:t>
      </w:r>
      <w:r>
        <w:rPr>
          <w:b/>
        </w:rPr>
        <w:t>prevencie.</w:t>
      </w:r>
    </w:p>
    <w:p w14:paraId="7F3A41BB" w14:textId="77777777" w:rsidR="00D70B16" w:rsidRDefault="00D70B16" w:rsidP="00D70B16">
      <w:pPr>
        <w:pStyle w:val="Odsekzoznamu"/>
        <w:numPr>
          <w:ilvl w:val="0"/>
          <w:numId w:val="33"/>
        </w:numPr>
        <w:ind w:left="270" w:hanging="270"/>
        <w:rPr>
          <w:b/>
        </w:rPr>
      </w:pPr>
      <w:r w:rsidRPr="00B04C05">
        <w:rPr>
          <w:b/>
        </w:rPr>
        <w:t>Pre efektívnejšie zacielenie podpory pre deti a žiakov zo SZP revízia navrhuje rozšíriť definíciu sociálne znevýhodneného prostredia</w:t>
      </w:r>
      <w:r>
        <w:rPr>
          <w:b/>
        </w:rPr>
        <w:t xml:space="preserve">, </w:t>
      </w:r>
      <w:r w:rsidRPr="00B04C05">
        <w:rPr>
          <w:b/>
        </w:rPr>
        <w:t>navýšiť podporu pre žiakov zo SZP v základnom a strednom vzdelávaní</w:t>
      </w:r>
      <w:r>
        <w:rPr>
          <w:b/>
        </w:rPr>
        <w:t>, a zaviesť preventívne a intervenčné opatrenia s cieľom eliminovať predčasné ukončovanie školskej dochádzky</w:t>
      </w:r>
      <w:r w:rsidRPr="00B04C05">
        <w:rPr>
          <w:b/>
        </w:rPr>
        <w:t>.</w:t>
      </w:r>
    </w:p>
    <w:p w14:paraId="78F89532" w14:textId="77777777" w:rsidR="00D70B16" w:rsidRDefault="00D70B16" w:rsidP="00D70B16">
      <w:pPr>
        <w:pStyle w:val="Odsekzoznamu"/>
        <w:numPr>
          <w:ilvl w:val="0"/>
          <w:numId w:val="33"/>
        </w:numPr>
        <w:ind w:left="270" w:hanging="270"/>
        <w:rPr>
          <w:b/>
        </w:rPr>
      </w:pPr>
      <w:r w:rsidRPr="00B04C05">
        <w:rPr>
          <w:b/>
        </w:rPr>
        <w:t xml:space="preserve">S cieľom zvyšovať inkluzívnosť slovenského vzdelávacieho systému revízia navrhuje výrazne investovať do </w:t>
      </w:r>
      <w:r>
        <w:rPr>
          <w:b/>
        </w:rPr>
        <w:t>odstraňovania</w:t>
      </w:r>
      <w:r w:rsidRPr="00B04C05">
        <w:rPr>
          <w:b/>
        </w:rPr>
        <w:t xml:space="preserve"> bariér v prístupe k predprimárnemu vzdelávaniu, analyzovať a zlepšovať pripravenosť budúcich aj súčasných učiteľov na vzdelávanie detí a žiakov zo SZP a rozvíjať personálne kapacity pre inklúziu v materských a základných školách (pedagogickí asistenti, špeciálni pedagógovia, psychológovia, mentori, tútori a iní). </w:t>
      </w:r>
    </w:p>
    <w:p w14:paraId="73809F83" w14:textId="4AE8C8F2" w:rsidR="00D70B16" w:rsidRDefault="00D70B16" w:rsidP="00D70B16">
      <w:pPr>
        <w:pStyle w:val="Odsekzoznamu"/>
        <w:numPr>
          <w:ilvl w:val="0"/>
          <w:numId w:val="33"/>
        </w:numPr>
        <w:ind w:left="270" w:hanging="270"/>
        <w:rPr>
          <w:b/>
        </w:rPr>
      </w:pPr>
      <w:r>
        <w:rPr>
          <w:b/>
        </w:rPr>
        <w:t>Opatrenia zamerané na</w:t>
      </w:r>
      <w:r w:rsidRPr="00B04C05">
        <w:rPr>
          <w:b/>
        </w:rPr>
        <w:t xml:space="preserve"> zlepšenie východiskovej situácie detí z MRK </w:t>
      </w:r>
      <w:r>
        <w:rPr>
          <w:b/>
        </w:rPr>
        <w:t xml:space="preserve">zahŕňajú </w:t>
      </w:r>
      <w:r w:rsidRPr="00B04C05">
        <w:rPr>
          <w:b/>
        </w:rPr>
        <w:t>zabezpeč</w:t>
      </w:r>
      <w:r>
        <w:rPr>
          <w:b/>
        </w:rPr>
        <w:t>enie</w:t>
      </w:r>
      <w:r w:rsidRPr="00B04C05">
        <w:rPr>
          <w:b/>
        </w:rPr>
        <w:t xml:space="preserve"> jazykov</w:t>
      </w:r>
      <w:r>
        <w:rPr>
          <w:b/>
        </w:rPr>
        <w:t>ej</w:t>
      </w:r>
      <w:r w:rsidRPr="00B04C05">
        <w:rPr>
          <w:b/>
        </w:rPr>
        <w:t xml:space="preserve"> podpor</w:t>
      </w:r>
      <w:r>
        <w:rPr>
          <w:b/>
        </w:rPr>
        <w:t>y</w:t>
      </w:r>
      <w:r w:rsidR="00074351">
        <w:rPr>
          <w:b/>
        </w:rPr>
        <w:t>,</w:t>
      </w:r>
      <w:r>
        <w:rPr>
          <w:b/>
        </w:rPr>
        <w:t> zavedenie pilotných a následne</w:t>
      </w:r>
      <w:r w:rsidRPr="00B04C05">
        <w:rPr>
          <w:b/>
        </w:rPr>
        <w:t xml:space="preserve"> systematick</w:t>
      </w:r>
      <w:r>
        <w:rPr>
          <w:b/>
        </w:rPr>
        <w:t>ých</w:t>
      </w:r>
      <w:r w:rsidRPr="00B04C05">
        <w:rPr>
          <w:b/>
        </w:rPr>
        <w:t xml:space="preserve"> opatren</w:t>
      </w:r>
      <w:r>
        <w:rPr>
          <w:b/>
        </w:rPr>
        <w:t>í</w:t>
      </w:r>
      <w:r w:rsidRPr="00B04C05">
        <w:rPr>
          <w:b/>
        </w:rPr>
        <w:t xml:space="preserve"> na odstraňovanie priestorového vyčleňovania žiakov z MRK v bežnom prúde</w:t>
      </w:r>
      <w:r>
        <w:rPr>
          <w:b/>
        </w:rPr>
        <w:t>.</w:t>
      </w:r>
      <w:r w:rsidRPr="00B04C05">
        <w:rPr>
          <w:b/>
        </w:rPr>
        <w:t xml:space="preserve"> </w:t>
      </w:r>
    </w:p>
    <w:p w14:paraId="28746AA3" w14:textId="74C126F9" w:rsidR="00D70B16" w:rsidRPr="00102790" w:rsidRDefault="00D70B16" w:rsidP="00D70B16">
      <w:pPr>
        <w:pStyle w:val="Odsekzoznamu"/>
        <w:numPr>
          <w:ilvl w:val="0"/>
          <w:numId w:val="33"/>
        </w:numPr>
        <w:ind w:left="270" w:hanging="270"/>
        <w:rPr>
          <w:b/>
        </w:rPr>
      </w:pPr>
      <w:r>
        <w:rPr>
          <w:b/>
        </w:rPr>
        <w:t xml:space="preserve">Zvýšenie inklúzie vo vzdelávaní v budúcnosti povedie </w:t>
      </w:r>
      <w:r w:rsidRPr="00102790">
        <w:rPr>
          <w:b/>
        </w:rPr>
        <w:t xml:space="preserve">k úsporám </w:t>
      </w:r>
      <w:r w:rsidR="00102790">
        <w:rPr>
          <w:b/>
        </w:rPr>
        <w:t>z dôvodu zrušenia nultých ročníkov a nižšej miery</w:t>
      </w:r>
      <w:r w:rsidR="00102790" w:rsidRPr="00102790">
        <w:rPr>
          <w:b/>
        </w:rPr>
        <w:t xml:space="preserve"> diagnostikovania ľahké</w:t>
      </w:r>
      <w:r w:rsidR="00102790">
        <w:rPr>
          <w:b/>
        </w:rPr>
        <w:t>ho mentálneho postihnutia detí z prostredia MRK</w:t>
      </w:r>
      <w:r w:rsidRPr="00102790">
        <w:rPr>
          <w:b/>
        </w:rPr>
        <w:t>.</w:t>
      </w:r>
    </w:p>
    <w:p w14:paraId="2E4C9C11" w14:textId="2B0755CC" w:rsidR="00C459B7" w:rsidRPr="00C459B7" w:rsidRDefault="00C459B7" w:rsidP="007501A2">
      <w:pPr>
        <w:rPr>
          <w:bCs/>
          <w:color w:val="000000" w:themeColor="text1"/>
        </w:rPr>
      </w:pPr>
      <w:r w:rsidRPr="00C459B7">
        <w:rPr>
          <w:b/>
          <w:color w:val="000000" w:themeColor="text1"/>
        </w:rPr>
        <w:lastRenderedPageBreak/>
        <w:t xml:space="preserve">Dôležitým prvkom sociálnej inklúzie je prístup ku kvalitnému inkluzívnemu vzdelávaniu. </w:t>
      </w:r>
      <w:r w:rsidRPr="00C459B7">
        <w:rPr>
          <w:bCs/>
          <w:color w:val="000000" w:themeColor="text1"/>
        </w:rPr>
        <w:t xml:space="preserve">Hlavnou víziou inkluzívnych vzdelávacích systémov je zabezpečiť, aby všetky deti, vrátane detí zo sociálne znevýhodneného prostredia (táto kapitola) a detí so </w:t>
      </w:r>
      <w:r w:rsidR="000E74AC" w:rsidRPr="00C459B7">
        <w:rPr>
          <w:bCs/>
          <w:color w:val="000000" w:themeColor="text1"/>
        </w:rPr>
        <w:t>zdravotn</w:t>
      </w:r>
      <w:r w:rsidR="000E74AC">
        <w:rPr>
          <w:bCs/>
          <w:color w:val="000000" w:themeColor="text1"/>
        </w:rPr>
        <w:t>ým</w:t>
      </w:r>
      <w:r w:rsidR="000E74AC" w:rsidRPr="00C459B7">
        <w:rPr>
          <w:bCs/>
          <w:color w:val="000000" w:themeColor="text1"/>
        </w:rPr>
        <w:t xml:space="preserve"> </w:t>
      </w:r>
      <w:r w:rsidRPr="00C459B7">
        <w:rPr>
          <w:bCs/>
          <w:color w:val="000000" w:themeColor="text1"/>
        </w:rPr>
        <w:t>znevýhodnením (kapitola</w:t>
      </w:r>
      <w:r w:rsidR="00021EF5">
        <w:rPr>
          <w:bCs/>
          <w:color w:val="000000" w:themeColor="text1"/>
        </w:rPr>
        <w:t xml:space="preserve"> </w:t>
      </w:r>
      <w:r w:rsidR="00021EF5">
        <w:rPr>
          <w:bCs/>
          <w:color w:val="000000" w:themeColor="text1"/>
        </w:rPr>
        <w:fldChar w:fldCharType="begin"/>
      </w:r>
      <w:r w:rsidR="00021EF5">
        <w:rPr>
          <w:bCs/>
          <w:color w:val="000000" w:themeColor="text1"/>
        </w:rPr>
        <w:instrText xml:space="preserve"> REF _Ref25582103 \r \h </w:instrText>
      </w:r>
      <w:r w:rsidR="00021EF5">
        <w:rPr>
          <w:bCs/>
          <w:color w:val="000000" w:themeColor="text1"/>
        </w:rPr>
      </w:r>
      <w:r w:rsidR="00021EF5">
        <w:rPr>
          <w:bCs/>
          <w:color w:val="000000" w:themeColor="text1"/>
        </w:rPr>
        <w:fldChar w:fldCharType="separate"/>
      </w:r>
      <w:r w:rsidR="00FA29AF">
        <w:rPr>
          <w:bCs/>
          <w:color w:val="000000" w:themeColor="text1"/>
        </w:rPr>
        <w:t>6</w:t>
      </w:r>
      <w:r w:rsidR="00021EF5">
        <w:rPr>
          <w:bCs/>
          <w:color w:val="000000" w:themeColor="text1"/>
        </w:rPr>
        <w:fldChar w:fldCharType="end"/>
      </w:r>
      <w:r w:rsidRPr="00C459B7">
        <w:rPr>
          <w:bCs/>
          <w:color w:val="000000" w:themeColor="text1"/>
        </w:rPr>
        <w:t xml:space="preserve">), ktoré patria k cieľovým skupinám revízie, mali prístup ku kvalitným vzdelávacím príležitostiam vo svojej komunite </w:t>
      </w:r>
      <w:r w:rsidR="00055A44">
        <w:rPr>
          <w:bCs/>
          <w:color w:val="000000" w:themeColor="text1"/>
        </w:rPr>
        <w:t>(</w:t>
      </w:r>
      <w:r w:rsidR="00023ABD">
        <w:rPr>
          <w:bCs/>
          <w:color w:val="000000" w:themeColor="text1"/>
        </w:rPr>
        <w:t>EASNIE</w:t>
      </w:r>
      <w:r w:rsidR="00055A44">
        <w:rPr>
          <w:bCs/>
          <w:color w:val="000000" w:themeColor="text1"/>
        </w:rPr>
        <w:t xml:space="preserve">, 2020). </w:t>
      </w:r>
      <w:r w:rsidRPr="00C459B7">
        <w:rPr>
          <w:color w:val="000000" w:themeColor="text1"/>
        </w:rPr>
        <w:t>Ukazuje sa, že navštevovanie segregovaných školských zariadení znižuje príležitosti na sociálnu inklúziu z krátkodobého (kým sú znevýhodnené deti v škole) aj z dlhodobého hľadiska (po ukončení stredného vzdelávania)</w:t>
      </w:r>
      <w:r w:rsidR="00055A44">
        <w:rPr>
          <w:color w:val="000000" w:themeColor="text1"/>
        </w:rPr>
        <w:t xml:space="preserve"> (</w:t>
      </w:r>
      <w:r w:rsidR="00023ABD">
        <w:rPr>
          <w:color w:val="000000" w:themeColor="text1"/>
        </w:rPr>
        <w:t>EASNIE</w:t>
      </w:r>
      <w:r w:rsidR="00055A44">
        <w:rPr>
          <w:color w:val="000000" w:themeColor="text1"/>
        </w:rPr>
        <w:t>, 2018)</w:t>
      </w:r>
      <w:r w:rsidRPr="00C459B7">
        <w:rPr>
          <w:color w:val="000000" w:themeColor="text1"/>
        </w:rPr>
        <w:t>.</w:t>
      </w:r>
      <w:r w:rsidRPr="00AC3112">
        <w:rPr>
          <w:rStyle w:val="Odkaznapoznmkupodiarou"/>
          <w:color w:val="000000" w:themeColor="text1"/>
        </w:rPr>
        <w:footnoteReference w:id="65"/>
      </w:r>
    </w:p>
    <w:p w14:paraId="605F8BA6" w14:textId="51455ABF" w:rsidR="00055A44" w:rsidRPr="00CC0600" w:rsidRDefault="00055A44" w:rsidP="00055A44">
      <w:pPr>
        <w:rPr>
          <w:color w:val="000000" w:themeColor="text1"/>
        </w:rPr>
      </w:pPr>
      <w:r>
        <w:rPr>
          <w:b/>
          <w:bCs/>
          <w:color w:val="000000" w:themeColor="text1"/>
        </w:rPr>
        <w:t>I</w:t>
      </w:r>
      <w:r w:rsidRPr="00B25FC9">
        <w:rPr>
          <w:b/>
          <w:bCs/>
          <w:color w:val="000000" w:themeColor="text1"/>
        </w:rPr>
        <w:t>nkluzívne vzdelávani</w:t>
      </w:r>
      <w:r>
        <w:rPr>
          <w:b/>
          <w:bCs/>
          <w:color w:val="000000" w:themeColor="text1"/>
        </w:rPr>
        <w:t xml:space="preserve">e je výhodné aj z ekonomického hľadiska. </w:t>
      </w:r>
      <w:r>
        <w:rPr>
          <w:color w:val="000000" w:themeColor="text1"/>
        </w:rPr>
        <w:t>K hlavným benefitom spoločného vzdelávania patrí: (1) zníženie administratívnych a iných opakujúcich sa režijných výdavkov spojených s existenciou viacerých vzdelávacích prúdov, (2) zníženie nákladov v systéme sociálneho zabezpečenia spolu s</w:t>
      </w:r>
      <w:r w:rsidR="00A7764E">
        <w:rPr>
          <w:color w:val="000000" w:themeColor="text1"/>
        </w:rPr>
        <w:t>o znížením</w:t>
      </w:r>
      <w:r>
        <w:rPr>
          <w:color w:val="000000" w:themeColor="text1"/>
        </w:rPr>
        <w:t xml:space="preserve"> </w:t>
      </w:r>
      <w:r w:rsidR="00074351">
        <w:rPr>
          <w:color w:val="000000" w:themeColor="text1"/>
        </w:rPr>
        <w:t>závislosti</w:t>
      </w:r>
      <w:r>
        <w:rPr>
          <w:color w:val="000000" w:themeColor="text1"/>
        </w:rPr>
        <w:t xml:space="preserve"> na systéme a (3) zvýšenie produktivity absolventa a s tým súvisiace zvýšenie príjmov z daní. </w:t>
      </w:r>
      <w:r>
        <w:t>Náklady na inkluzívne vzdelávanie dieťaťa so špeciálnymi potrebami sú na začiatku vyššie ako v prípade dieťaťa bez špeciálnych potrieb. Keď však tieto náklady rozložíme v čase, zistíme, že ide o výhodnú investíciu, a to rovnako pre dieťa so špeciálnymi potrebami ako aj pre samotný štát (Rieser, 2008).</w:t>
      </w:r>
    </w:p>
    <w:p w14:paraId="4C0BFD56" w14:textId="6069F02F" w:rsidR="00C459B7" w:rsidRPr="00C459B7" w:rsidRDefault="00C459B7" w:rsidP="007501A2">
      <w:pPr>
        <w:rPr>
          <w:bCs/>
          <w:color w:val="000000" w:themeColor="text1"/>
        </w:rPr>
      </w:pPr>
      <w:r w:rsidRPr="00C459B7">
        <w:rPr>
          <w:b/>
          <w:color w:val="000000" w:themeColor="text1"/>
        </w:rPr>
        <w:t>Slovenská republika sa v medzinárodných ľudsko-právnych zmluvách</w:t>
      </w:r>
      <w:r w:rsidRPr="006A76CA">
        <w:rPr>
          <w:rStyle w:val="Odkaznapoznmkupodiarou"/>
          <w:b/>
          <w:color w:val="000000" w:themeColor="text1"/>
        </w:rPr>
        <w:footnoteReference w:id="66"/>
      </w:r>
      <w:r w:rsidRPr="00C459B7">
        <w:rPr>
          <w:b/>
          <w:color w:val="000000" w:themeColor="text1"/>
        </w:rPr>
        <w:t>, vo viacerých svojich stratégiách</w:t>
      </w:r>
      <w:r w:rsidRPr="006A76CA">
        <w:rPr>
          <w:rStyle w:val="Odkaznapoznmkupodiarou"/>
          <w:b/>
          <w:color w:val="000000" w:themeColor="text1"/>
        </w:rPr>
        <w:footnoteReference w:id="67"/>
      </w:r>
      <w:r w:rsidR="0070047D">
        <w:rPr>
          <w:b/>
          <w:color w:val="000000" w:themeColor="text1"/>
        </w:rPr>
        <w:t xml:space="preserve"> </w:t>
      </w:r>
      <w:r w:rsidRPr="00C459B7">
        <w:rPr>
          <w:b/>
          <w:color w:val="000000" w:themeColor="text1"/>
        </w:rPr>
        <w:t>a v niektorých štátnych vzdelávacích programoch</w:t>
      </w:r>
      <w:r w:rsidRPr="006A76CA">
        <w:rPr>
          <w:rStyle w:val="Odkaznapoznmkupodiarou"/>
          <w:b/>
          <w:color w:val="000000" w:themeColor="text1"/>
        </w:rPr>
        <w:footnoteReference w:id="68"/>
      </w:r>
      <w:r w:rsidR="0070047D">
        <w:rPr>
          <w:b/>
          <w:color w:val="000000" w:themeColor="text1"/>
        </w:rPr>
        <w:t xml:space="preserve"> </w:t>
      </w:r>
      <w:r w:rsidRPr="00C459B7">
        <w:rPr>
          <w:b/>
          <w:color w:val="000000" w:themeColor="text1"/>
        </w:rPr>
        <w:t>zaviazala k implementácii inkluzívneho vzdelávania.</w:t>
      </w:r>
      <w:r w:rsidRPr="00C459B7">
        <w:rPr>
          <w:bCs/>
          <w:color w:val="000000" w:themeColor="text1"/>
        </w:rPr>
        <w:t xml:space="preserve"> V rezorte školstva sa vďaka európskym prostriedkom realizovali viaceré projekty zamerané na podporu inkluzívneho vzdelávania.</w:t>
      </w:r>
      <w:r w:rsidRPr="006A76CA">
        <w:rPr>
          <w:rStyle w:val="Odkaznapoznmkupodiarou"/>
          <w:bCs/>
          <w:color w:val="000000" w:themeColor="text1"/>
        </w:rPr>
        <w:footnoteReference w:id="69"/>
      </w:r>
      <w:r w:rsidRPr="00C459B7">
        <w:rPr>
          <w:bCs/>
          <w:color w:val="000000" w:themeColor="text1"/>
        </w:rPr>
        <w:t xml:space="preserve"> </w:t>
      </w:r>
      <w:r w:rsidR="00055A44">
        <w:rPr>
          <w:bCs/>
          <w:color w:val="000000" w:themeColor="text1"/>
        </w:rPr>
        <w:t>Napriek tomu školská legislatíva dodnes operuje výlučne s pojmom integrácia.</w:t>
      </w:r>
      <w:r w:rsidR="00055A44">
        <w:rPr>
          <w:rStyle w:val="Odkaznapoznmkupodiarou"/>
          <w:bCs/>
          <w:color w:val="000000" w:themeColor="text1"/>
        </w:rPr>
        <w:footnoteReference w:id="70"/>
      </w:r>
    </w:p>
    <w:p w14:paraId="15AD7C32" w14:textId="6CB73C62" w:rsidR="00C459B7" w:rsidRPr="00C459B7" w:rsidRDefault="00C459B7" w:rsidP="007501A2">
      <w:pPr>
        <w:rPr>
          <w:bCs/>
        </w:rPr>
      </w:pPr>
      <w:r w:rsidRPr="00C459B7">
        <w:rPr>
          <w:b/>
          <w:color w:val="000000" w:themeColor="text1"/>
        </w:rPr>
        <w:t xml:space="preserve">Revízia výdavkov analyzuje výdavky na vzdelávanie detí zo sociálne znevýhodneného prostredia a so zdravotným znevýhodnením </w:t>
      </w:r>
      <w:r>
        <w:rPr>
          <w:b/>
          <w:color w:val="000000" w:themeColor="text1"/>
        </w:rPr>
        <w:t xml:space="preserve">(kapitola </w:t>
      </w:r>
      <w:r w:rsidR="007501A2">
        <w:rPr>
          <w:b/>
          <w:color w:val="000000" w:themeColor="text1"/>
        </w:rPr>
        <w:fldChar w:fldCharType="begin"/>
      </w:r>
      <w:r w:rsidR="007501A2">
        <w:rPr>
          <w:b/>
          <w:color w:val="000000" w:themeColor="text1"/>
        </w:rPr>
        <w:instrText xml:space="preserve"> REF _Ref25227067 \r \h </w:instrText>
      </w:r>
      <w:r w:rsidR="007501A2">
        <w:rPr>
          <w:b/>
          <w:color w:val="000000" w:themeColor="text1"/>
        </w:rPr>
      </w:r>
      <w:r w:rsidR="007501A2">
        <w:rPr>
          <w:b/>
          <w:color w:val="000000" w:themeColor="text1"/>
        </w:rPr>
        <w:fldChar w:fldCharType="separate"/>
      </w:r>
      <w:r w:rsidR="00FA29AF">
        <w:rPr>
          <w:b/>
          <w:color w:val="000000" w:themeColor="text1"/>
        </w:rPr>
        <w:t>6</w:t>
      </w:r>
      <w:r w:rsidR="007501A2">
        <w:rPr>
          <w:b/>
          <w:color w:val="000000" w:themeColor="text1"/>
        </w:rPr>
        <w:fldChar w:fldCharType="end"/>
      </w:r>
      <w:r>
        <w:rPr>
          <w:b/>
          <w:color w:val="000000" w:themeColor="text1"/>
        </w:rPr>
        <w:t xml:space="preserve">) </w:t>
      </w:r>
      <w:r w:rsidRPr="00C459B7">
        <w:rPr>
          <w:b/>
          <w:color w:val="000000" w:themeColor="text1"/>
        </w:rPr>
        <w:t>a vyhodnocuje, do akej miery sú politiky a nástroje zamerané na tieto deti nastavené tak, aby prispievali k ich sociálnemu začleneniu.</w:t>
      </w:r>
      <w:r w:rsidR="0070047D">
        <w:rPr>
          <w:bCs/>
          <w:color w:val="000000" w:themeColor="text1"/>
        </w:rPr>
        <w:t xml:space="preserve"> </w:t>
      </w:r>
      <w:r w:rsidRPr="00C459B7">
        <w:rPr>
          <w:bCs/>
          <w:color w:val="000000" w:themeColor="text1"/>
        </w:rPr>
        <w:t>Robí tak v súlade s rámcom pre mapovanie inkluzívnych politík, v rámci ktorého z pohľadu rovnosti príležitostí skúma</w:t>
      </w:r>
      <w:r w:rsidR="00074351">
        <w:rPr>
          <w:bCs/>
          <w:color w:val="000000" w:themeColor="text1"/>
        </w:rPr>
        <w:t>,</w:t>
      </w:r>
      <w:r w:rsidRPr="00C459B7">
        <w:rPr>
          <w:bCs/>
          <w:color w:val="000000" w:themeColor="text1"/>
        </w:rPr>
        <w:t xml:space="preserve"> do akej miery dosahujú znevýhodnené deti rovnaké vzdelávacie výsledky ako deti bez znevýhodnenia, či majú dostatočný prístup ku vzdelávaniu, a či majú dostatočný prístup k podpore počas vzdelávacieho procesu</w:t>
      </w:r>
      <w:r w:rsidR="00055A44">
        <w:rPr>
          <w:bCs/>
          <w:color w:val="000000" w:themeColor="text1"/>
        </w:rPr>
        <w:t xml:space="preserve"> (</w:t>
      </w:r>
      <w:r w:rsidR="00023ABD">
        <w:rPr>
          <w:bCs/>
          <w:color w:val="000000" w:themeColor="text1"/>
        </w:rPr>
        <w:t>EASNIE</w:t>
      </w:r>
      <w:r w:rsidR="00055A44">
        <w:rPr>
          <w:bCs/>
          <w:color w:val="000000" w:themeColor="text1"/>
        </w:rPr>
        <w:t>, 2011</w:t>
      </w:r>
      <w:r w:rsidR="00190668">
        <w:rPr>
          <w:bCs/>
          <w:color w:val="000000" w:themeColor="text1"/>
        </w:rPr>
        <w:t>a</w:t>
      </w:r>
      <w:r w:rsidR="00055A44">
        <w:rPr>
          <w:bCs/>
          <w:color w:val="000000" w:themeColor="text1"/>
        </w:rPr>
        <w:t>)</w:t>
      </w:r>
      <w:r w:rsidRPr="00C459B7">
        <w:rPr>
          <w:bCs/>
          <w:color w:val="000000" w:themeColor="text1"/>
        </w:rPr>
        <w:t>.</w:t>
      </w:r>
      <w:r w:rsidR="00A7764E">
        <w:t xml:space="preserve"> R</w:t>
      </w:r>
      <w:r w:rsidRPr="006A76CA">
        <w:t xml:space="preserve">evízia </w:t>
      </w:r>
      <w:r w:rsidR="00A7764E">
        <w:t xml:space="preserve">tiež </w:t>
      </w:r>
      <w:r w:rsidRPr="00AC3112">
        <w:t>analyzuje celkové výda</w:t>
      </w:r>
      <w:r>
        <w:t xml:space="preserve">vky </w:t>
      </w:r>
      <w:r w:rsidR="00A7764E">
        <w:t xml:space="preserve">na </w:t>
      </w:r>
      <w:r>
        <w:t xml:space="preserve">predškolské vzdelávanie a </w:t>
      </w:r>
      <w:r w:rsidRPr="00AC3112">
        <w:t>výdavky súvisiace s prípravou a ďalším vzdelávaním učiteľov v oblasti vzdelávan</w:t>
      </w:r>
      <w:r>
        <w:t>ia detí s rôznorodými potrebami</w:t>
      </w:r>
      <w:r w:rsidR="00A7764E">
        <w:t xml:space="preserve">, ktoré sú </w:t>
      </w:r>
      <w:r w:rsidRPr="00C459B7">
        <w:rPr>
          <w:bCs/>
        </w:rPr>
        <w:t>považované za kľúčové pre efektívnu implementáciu inkluzívneho vzdelávania</w:t>
      </w:r>
      <w:r w:rsidR="00055A44">
        <w:rPr>
          <w:bCs/>
        </w:rPr>
        <w:t xml:space="preserve"> (</w:t>
      </w:r>
      <w:r w:rsidR="00023ABD">
        <w:rPr>
          <w:bCs/>
        </w:rPr>
        <w:t>EASNIE</w:t>
      </w:r>
      <w:r w:rsidR="00055A44">
        <w:rPr>
          <w:bCs/>
        </w:rPr>
        <w:t>, 2011</w:t>
      </w:r>
      <w:r w:rsidR="00190668">
        <w:rPr>
          <w:bCs/>
        </w:rPr>
        <w:t>b</w:t>
      </w:r>
      <w:r w:rsidR="00055A44">
        <w:rPr>
          <w:bCs/>
        </w:rPr>
        <w:t>)</w:t>
      </w:r>
      <w:r w:rsidRPr="00C459B7">
        <w:rPr>
          <w:bCs/>
        </w:rPr>
        <w:t>.</w:t>
      </w:r>
    </w:p>
    <w:p w14:paraId="5C84341F" w14:textId="77777777" w:rsidR="00C459B7" w:rsidRPr="00106399" w:rsidRDefault="00C459B7" w:rsidP="00C459B7">
      <w:pPr>
        <w:rPr>
          <w:b/>
          <w:color w:val="0070C0"/>
        </w:rPr>
      </w:pPr>
      <w:r w:rsidRPr="00106399">
        <w:rPr>
          <w:color w:val="0070C0"/>
        </w:rPr>
        <w:t>Sociálne znevýhodnené prostredie</w:t>
      </w:r>
    </w:p>
    <w:p w14:paraId="56D06798" w14:textId="1C69F76B" w:rsidR="00C459B7" w:rsidRPr="005D01AC" w:rsidRDefault="00C459B7" w:rsidP="00281CC4">
      <w:r w:rsidRPr="00281CC4">
        <w:rPr>
          <w:b/>
        </w:rPr>
        <w:t>Za dieťa zo sociálne znevýhodneného prostredia (SZP) sa považuje dieťa žijúce v prostredí, ktoré vzhľadom na sociálne, rodinné, ekonomické a kultúrne podmienky nedostatočne podnecuje rozvoj jeho mentálnych, vôľových, emocionálnych vlastností, nepodporuje jeho socializáciu a neposkytuje mu dostatok primeraných podnetov pre rozvoj jeho osobnosti.</w:t>
      </w:r>
      <w:r w:rsidRPr="00281CC4">
        <w:rPr>
          <w:rStyle w:val="Odkaznapoznmkupodiarou"/>
          <w:b/>
        </w:rPr>
        <w:footnoteReference w:id="71"/>
      </w:r>
      <w:r w:rsidRPr="005D01AC">
        <w:t xml:space="preserve"> </w:t>
      </w:r>
      <w:r>
        <w:t xml:space="preserve">Vzdelávacie potreby </w:t>
      </w:r>
      <w:r w:rsidR="00B24660">
        <w:t>vyplýva</w:t>
      </w:r>
      <w:r>
        <w:t>júce z vývinu v s</w:t>
      </w:r>
      <w:r w:rsidRPr="005D01AC">
        <w:t>ociálne znevýhodnen</w:t>
      </w:r>
      <w:r>
        <w:t>om</w:t>
      </w:r>
      <w:r w:rsidRPr="005D01AC">
        <w:t xml:space="preserve"> prostred</w:t>
      </w:r>
      <w:r>
        <w:t>í</w:t>
      </w:r>
      <w:r w:rsidRPr="005D01AC">
        <w:t xml:space="preserve"> </w:t>
      </w:r>
      <w:r>
        <w:t xml:space="preserve">patria medzi </w:t>
      </w:r>
      <w:r w:rsidRPr="005D01AC">
        <w:t>špeciáln</w:t>
      </w:r>
      <w:r>
        <w:t>e</w:t>
      </w:r>
      <w:r w:rsidRPr="005D01AC">
        <w:t xml:space="preserve"> výchovno-vzdelávac</w:t>
      </w:r>
      <w:r>
        <w:t>ie</w:t>
      </w:r>
      <w:r w:rsidRPr="005D01AC">
        <w:t xml:space="preserve"> potreb</w:t>
      </w:r>
      <w:r>
        <w:t>y</w:t>
      </w:r>
      <w:r w:rsidRPr="005D01AC">
        <w:t>, ktor</w:t>
      </w:r>
      <w:r>
        <w:t>é</w:t>
      </w:r>
      <w:r w:rsidRPr="005D01AC">
        <w:t xml:space="preserve"> deťom diagnostikujú zariadenia výchovného poradenstva a prevencie (poradenské zariadenia).</w:t>
      </w:r>
      <w:r w:rsidRPr="005D01AC">
        <w:rPr>
          <w:rStyle w:val="Odkaznapoznmkupodiarou"/>
        </w:rPr>
        <w:footnoteReference w:id="72"/>
      </w:r>
    </w:p>
    <w:p w14:paraId="1423265C" w14:textId="1761A2EE" w:rsidR="00C459B7" w:rsidRPr="005D01AC" w:rsidRDefault="00C459B7" w:rsidP="00281CC4">
      <w:r w:rsidRPr="00281CC4">
        <w:rPr>
          <w:b/>
        </w:rPr>
        <w:lastRenderedPageBreak/>
        <w:t>Dieťa zo SZP sa vzdeláva podľa bežného vzdelávacieho programu</w:t>
      </w:r>
      <w:r w:rsidRPr="00281CC4">
        <w:rPr>
          <w:rStyle w:val="Odkaznapoznmkupodiarou"/>
          <w:b/>
        </w:rPr>
        <w:footnoteReference w:id="73"/>
      </w:r>
      <w:r w:rsidRPr="00281CC4">
        <w:rPr>
          <w:b/>
        </w:rPr>
        <w:t xml:space="preserve"> a má nárok na úpravu organizácie výchovy a vzdelávania, úpravu prostredia a na uplatnenie špecifických metód a foriem výchovy a vzdelávania.</w:t>
      </w:r>
      <w:r w:rsidRPr="00281CC4">
        <w:rPr>
          <w:rStyle w:val="Odkaznapoznmkupodiarou"/>
          <w:b/>
        </w:rPr>
        <w:footnoteReference w:id="74"/>
      </w:r>
      <w:r w:rsidRPr="005D01AC">
        <w:t xml:space="preserve"> Školský zákon špecificky nestanovuje</w:t>
      </w:r>
      <w:r>
        <w:t>,</w:t>
      </w:r>
      <w:r w:rsidRPr="005D01AC">
        <w:t xml:space="preserve"> ako by jednotlivé úpravy mali vyzerať. Štátny pedagogický ústav odporúča rôzne úpravy od nižšieho počtu žiakov v triede cez tvorbu individuálneho výchovno-vzdelávacieho plánu a zohľadňovanie kultúrnych a jazykových špecifík až po vytváranie celodenného výchovno-vzdelávacieho systému</w:t>
      </w:r>
      <w:r w:rsidR="00461594">
        <w:t xml:space="preserve"> (ŠPU, 2020)</w:t>
      </w:r>
      <w:r w:rsidRPr="005C006F">
        <w:t xml:space="preserve">. </w:t>
      </w:r>
      <w:r w:rsidRPr="00271127">
        <w:t>Dieťa zo SZP sa vzdeláva v bežných triedach bežných škôl a z dôvodu SZP nemôže byť vzdelávané v špeciálnych školách alebo špeciálnych triedach.</w:t>
      </w:r>
      <w:r w:rsidRPr="00271127">
        <w:rPr>
          <w:rStyle w:val="Odkaznapoznmkupodiarou"/>
        </w:rPr>
        <w:footnoteReference w:id="75"/>
      </w:r>
    </w:p>
    <w:p w14:paraId="3769F6CA" w14:textId="2D686E91" w:rsidR="00827A67" w:rsidRDefault="00C459B7" w:rsidP="00281CC4">
      <w:r w:rsidRPr="00281CC4">
        <w:rPr>
          <w:b/>
        </w:rPr>
        <w:t xml:space="preserve">Podmienky nároku na podporu detí zo SZP </w:t>
      </w:r>
      <w:r w:rsidR="000E343E">
        <w:rPr>
          <w:b/>
        </w:rPr>
        <w:t xml:space="preserve">sú určené </w:t>
      </w:r>
      <w:r w:rsidRPr="00281CC4">
        <w:rPr>
          <w:b/>
        </w:rPr>
        <w:t xml:space="preserve">takmer výlučne </w:t>
      </w:r>
      <w:r w:rsidR="000E343E">
        <w:rPr>
          <w:b/>
        </w:rPr>
        <w:t>na základe</w:t>
      </w:r>
      <w:r w:rsidR="000E343E" w:rsidRPr="00281CC4">
        <w:rPr>
          <w:b/>
        </w:rPr>
        <w:t xml:space="preserve"> </w:t>
      </w:r>
      <w:r w:rsidRPr="00281CC4">
        <w:rPr>
          <w:b/>
        </w:rPr>
        <w:t>príjmov</w:t>
      </w:r>
      <w:r w:rsidR="000E343E">
        <w:rPr>
          <w:b/>
        </w:rPr>
        <w:t>ej</w:t>
      </w:r>
      <w:r w:rsidRPr="00281CC4">
        <w:rPr>
          <w:b/>
        </w:rPr>
        <w:t xml:space="preserve"> situáci</w:t>
      </w:r>
      <w:r w:rsidR="000E343E">
        <w:rPr>
          <w:b/>
        </w:rPr>
        <w:t>e</w:t>
      </w:r>
      <w:r w:rsidRPr="00281CC4">
        <w:rPr>
          <w:b/>
        </w:rPr>
        <w:t xml:space="preserve"> rodiny dieťaťa, zatiaľ čo ostatné faktory uvedené v definícii SZP nie sú brané do úvahy</w:t>
      </w:r>
      <w:r w:rsidR="000E343E">
        <w:rPr>
          <w:b/>
        </w:rPr>
        <w:t xml:space="preserve">. </w:t>
      </w:r>
      <w:r w:rsidR="00E76A85">
        <w:t>Na pomoc majú nárok deti</w:t>
      </w:r>
      <w:r w:rsidR="000E343E">
        <w:t>, ktoré sú v systéme pomoci v hmotnej núdzi (PHN), alebo ktoré žijú v domácnosti s príjmom pod hranicou životného minima.</w:t>
      </w:r>
      <w:r w:rsidRPr="005D01AC">
        <w:rPr>
          <w:rStyle w:val="Odkaznapoznmkupodiarou"/>
        </w:rPr>
        <w:footnoteReference w:id="76"/>
      </w:r>
      <w:r w:rsidRPr="005D01AC">
        <w:t xml:space="preserve"> </w:t>
      </w:r>
      <w:r w:rsidR="00827A67">
        <w:t>Tieto príjmové hranice</w:t>
      </w:r>
      <w:r>
        <w:t xml:space="preserve"> sú však výrazne nižšie ako hranica rizika chudoby (</w:t>
      </w:r>
      <w:r w:rsidR="00EB56B7" w:rsidRPr="00EB56B7">
        <w:fldChar w:fldCharType="begin"/>
      </w:r>
      <w:r w:rsidR="00EB56B7" w:rsidRPr="00EB56B7">
        <w:instrText xml:space="preserve"> REF _Ref523841903 \h </w:instrText>
      </w:r>
      <w:r w:rsidR="00EB56B7">
        <w:instrText xml:space="preserve"> \* MERGEFORMAT </w:instrText>
      </w:r>
      <w:r w:rsidR="00EB56B7" w:rsidRPr="00EB56B7">
        <w:fldChar w:fldCharType="separate"/>
      </w:r>
      <w:r w:rsidR="00FA29AF" w:rsidRPr="00FA29AF">
        <w:t>Graf 47</w:t>
      </w:r>
      <w:r w:rsidR="00EB56B7" w:rsidRPr="00EB56B7">
        <w:fldChar w:fldCharType="end"/>
      </w:r>
      <w:r>
        <w:t xml:space="preserve">, podkapitola </w:t>
      </w:r>
      <w:r w:rsidR="00162162">
        <w:fldChar w:fldCharType="begin"/>
      </w:r>
      <w:r w:rsidR="00162162">
        <w:instrText xml:space="preserve"> REF _Ref25313824 \r \h </w:instrText>
      </w:r>
      <w:r w:rsidR="00162162">
        <w:fldChar w:fldCharType="separate"/>
      </w:r>
      <w:r w:rsidR="00FA29AF">
        <w:t>8.1</w:t>
      </w:r>
      <w:r w:rsidR="00162162">
        <w:fldChar w:fldCharType="end"/>
      </w:r>
      <w:r>
        <w:t>)</w:t>
      </w:r>
      <w:r w:rsidRPr="005D01AC">
        <w:t>.</w:t>
      </w:r>
    </w:p>
    <w:p w14:paraId="23835FBB" w14:textId="2E0DE678" w:rsidR="00C459B7" w:rsidRPr="00D04C7F" w:rsidRDefault="00C459B7">
      <w:r w:rsidRPr="00281CC4">
        <w:rPr>
          <w:b/>
        </w:rPr>
        <w:t>Revízia preto navrhuje zahrnúť medzi premenné, na základe ktorých budú žiaci zo SZP dostávať podporu</w:t>
      </w:r>
      <w:r w:rsidR="00827A67">
        <w:rPr>
          <w:b/>
        </w:rPr>
        <w:t xml:space="preserve">, </w:t>
      </w:r>
      <w:r w:rsidRPr="00281CC4">
        <w:rPr>
          <w:b/>
        </w:rPr>
        <w:t>okrem príjmu aj ďalšie v zahraniční bežne používané charakteristiky</w:t>
      </w:r>
      <w:r w:rsidR="00B011B0">
        <w:rPr>
          <w:b/>
        </w:rPr>
        <w:t>,</w:t>
      </w:r>
      <w:r w:rsidRPr="00281CC4">
        <w:rPr>
          <w:b/>
        </w:rPr>
        <w:t xml:space="preserve"> napríklad najvyššie dosiahnuté vzdelanie rodičov, nezamestnanosť </w:t>
      </w:r>
      <w:r w:rsidRPr="00461594">
        <w:rPr>
          <w:b/>
        </w:rPr>
        <w:t>rodičov</w:t>
      </w:r>
      <w:r w:rsidR="00461594" w:rsidRPr="00D41517">
        <w:rPr>
          <w:b/>
        </w:rPr>
        <w:t>, ústavnú starostlivosť</w:t>
      </w:r>
      <w:r w:rsidR="00461594" w:rsidRPr="00461594">
        <w:rPr>
          <w:rStyle w:val="Odkaznapoznmkupodiarou"/>
          <w:b/>
        </w:rPr>
        <w:footnoteReference w:id="77"/>
      </w:r>
      <w:r w:rsidRPr="00461594">
        <w:rPr>
          <w:b/>
        </w:rPr>
        <w:t xml:space="preserve"> a</w:t>
      </w:r>
      <w:r w:rsidRPr="00281CC4">
        <w:rPr>
          <w:b/>
        </w:rPr>
        <w:t> odlišný materinský jazyk</w:t>
      </w:r>
      <w:r w:rsidR="00461594">
        <w:rPr>
          <w:b/>
        </w:rPr>
        <w:t xml:space="preserve"> detí (</w:t>
      </w:r>
      <w:r w:rsidR="00023ABD">
        <w:rPr>
          <w:b/>
        </w:rPr>
        <w:t>EASNIE</w:t>
      </w:r>
      <w:r w:rsidR="00461594">
        <w:rPr>
          <w:b/>
        </w:rPr>
        <w:t>, 2016</w:t>
      </w:r>
      <w:r w:rsidR="00461594">
        <w:rPr>
          <w:rFonts w:ascii="Arial" w:hAnsi="Arial" w:cs="Arial"/>
          <w:color w:val="3C4043"/>
          <w:sz w:val="21"/>
          <w:szCs w:val="21"/>
          <w:shd w:val="clear" w:color="auto" w:fill="FFFFFF"/>
        </w:rPr>
        <w:t xml:space="preserve">; </w:t>
      </w:r>
      <w:r w:rsidR="00461594" w:rsidRPr="00E75210">
        <w:rPr>
          <w:b/>
          <w:bCs/>
        </w:rPr>
        <w:t xml:space="preserve">Cederberg, M. </w:t>
      </w:r>
      <w:r w:rsidR="00461594">
        <w:rPr>
          <w:b/>
          <w:bCs/>
        </w:rPr>
        <w:t>a kol</w:t>
      </w:r>
      <w:r w:rsidR="00461594">
        <w:t>.</w:t>
      </w:r>
      <w:r w:rsidR="00461594">
        <w:rPr>
          <w:b/>
        </w:rPr>
        <w:t>)</w:t>
      </w:r>
      <w:r w:rsidRPr="00281CC4">
        <w:rPr>
          <w:b/>
        </w:rPr>
        <w:t>.</w:t>
      </w:r>
      <w:r w:rsidR="00BE2518">
        <w:rPr>
          <w:b/>
        </w:rPr>
        <w:t xml:space="preserve"> Za týmto účelom je potrebné zabezpečiť zber údajov o najvyššom dosiahnutom vzdelaní rodičov</w:t>
      </w:r>
      <w:r w:rsidR="00461594">
        <w:rPr>
          <w:b/>
        </w:rPr>
        <w:t>, o materinskom jazyku</w:t>
      </w:r>
      <w:r w:rsidR="00BE2518">
        <w:rPr>
          <w:b/>
        </w:rPr>
        <w:t xml:space="preserve"> a prepojiť dáta </w:t>
      </w:r>
      <w:r w:rsidR="00461594">
        <w:rPr>
          <w:b/>
        </w:rPr>
        <w:t xml:space="preserve">UPSVAR </w:t>
      </w:r>
      <w:r w:rsidR="00BE2518">
        <w:rPr>
          <w:b/>
        </w:rPr>
        <w:t>o nezamestnanosti rodičov</w:t>
      </w:r>
      <w:r w:rsidR="00461594">
        <w:rPr>
          <w:b/>
        </w:rPr>
        <w:t xml:space="preserve"> a o deťoch v ústavnej starostlivosti</w:t>
      </w:r>
      <w:r w:rsidR="00BE2518">
        <w:rPr>
          <w:b/>
        </w:rPr>
        <w:t xml:space="preserve"> s rezortným informačným systémom ministerstva školstva.</w:t>
      </w:r>
    </w:p>
    <w:p w14:paraId="2224BFF8" w14:textId="77777777" w:rsidR="000823A6" w:rsidRPr="00D04C7F" w:rsidRDefault="000823A6" w:rsidP="00452DBC">
      <w:pPr>
        <w:pStyle w:val="Nadpis2"/>
        <w:spacing w:before="0"/>
        <w:ind w:left="561" w:hanging="561"/>
      </w:pPr>
      <w:bookmarkStart w:id="183" w:name="_Toc32850974"/>
      <w:bookmarkStart w:id="184" w:name="_Toc32857701"/>
      <w:bookmarkStart w:id="185" w:name="_Toc32923422"/>
      <w:bookmarkStart w:id="186" w:name="_Toc32928324"/>
      <w:bookmarkStart w:id="187" w:name="_Toc32930025"/>
      <w:bookmarkStart w:id="188" w:name="_Toc32932808"/>
      <w:bookmarkStart w:id="189" w:name="_Toc33026033"/>
      <w:bookmarkStart w:id="190" w:name="_Toc33026379"/>
      <w:bookmarkStart w:id="191" w:name="_Toc33026564"/>
      <w:bookmarkStart w:id="192" w:name="_Toc33029117"/>
      <w:bookmarkStart w:id="193" w:name="_Toc33029400"/>
      <w:bookmarkStart w:id="194" w:name="_Toc33032028"/>
      <w:bookmarkStart w:id="195" w:name="_Toc33116476"/>
      <w:bookmarkStart w:id="196" w:name="_Toc33180210"/>
      <w:bookmarkStart w:id="197" w:name="_Toc33181995"/>
      <w:bookmarkStart w:id="198" w:name="_Toc33187400"/>
      <w:bookmarkStart w:id="199" w:name="_Toc33196750"/>
      <w:bookmarkStart w:id="200" w:name="_Toc33202741"/>
      <w:bookmarkStart w:id="201" w:name="_Toc33258282"/>
      <w:bookmarkStart w:id="202" w:name="_Toc33277036"/>
      <w:bookmarkStart w:id="203" w:name="_Toc33342601"/>
      <w:bookmarkStart w:id="204" w:name="_Toc32850975"/>
      <w:bookmarkStart w:id="205" w:name="_Toc32857702"/>
      <w:bookmarkStart w:id="206" w:name="_Toc32923423"/>
      <w:bookmarkStart w:id="207" w:name="_Toc32928325"/>
      <w:bookmarkStart w:id="208" w:name="_Toc32930026"/>
      <w:bookmarkStart w:id="209" w:name="_Toc32932809"/>
      <w:bookmarkStart w:id="210" w:name="_Toc33026034"/>
      <w:bookmarkStart w:id="211" w:name="_Toc33026380"/>
      <w:bookmarkStart w:id="212" w:name="_Toc33026565"/>
      <w:bookmarkStart w:id="213" w:name="_Toc33029118"/>
      <w:bookmarkStart w:id="214" w:name="_Toc33029401"/>
      <w:bookmarkStart w:id="215" w:name="_Toc33032029"/>
      <w:bookmarkStart w:id="216" w:name="_Toc33116477"/>
      <w:bookmarkStart w:id="217" w:name="_Toc33180211"/>
      <w:bookmarkStart w:id="218" w:name="_Toc33181996"/>
      <w:bookmarkStart w:id="219" w:name="_Toc33187401"/>
      <w:bookmarkStart w:id="220" w:name="_Toc33196751"/>
      <w:bookmarkStart w:id="221" w:name="_Toc33202742"/>
      <w:bookmarkStart w:id="222" w:name="_Toc33258283"/>
      <w:bookmarkStart w:id="223" w:name="_Toc33277037"/>
      <w:bookmarkStart w:id="224" w:name="_Toc33342602"/>
      <w:bookmarkStart w:id="225" w:name="_Toc32850976"/>
      <w:bookmarkStart w:id="226" w:name="_Toc32857703"/>
      <w:bookmarkStart w:id="227" w:name="_Toc32923424"/>
      <w:bookmarkStart w:id="228" w:name="_Toc32928326"/>
      <w:bookmarkStart w:id="229" w:name="_Toc32930027"/>
      <w:bookmarkStart w:id="230" w:name="_Toc32932810"/>
      <w:bookmarkStart w:id="231" w:name="_Toc33026035"/>
      <w:bookmarkStart w:id="232" w:name="_Toc33026381"/>
      <w:bookmarkStart w:id="233" w:name="_Toc33026566"/>
      <w:bookmarkStart w:id="234" w:name="_Toc33029119"/>
      <w:bookmarkStart w:id="235" w:name="_Toc33029402"/>
      <w:bookmarkStart w:id="236" w:name="_Toc33032030"/>
      <w:bookmarkStart w:id="237" w:name="_Toc33116478"/>
      <w:bookmarkStart w:id="238" w:name="_Toc33180212"/>
      <w:bookmarkStart w:id="239" w:name="_Toc33181997"/>
      <w:bookmarkStart w:id="240" w:name="_Toc33187402"/>
      <w:bookmarkStart w:id="241" w:name="_Toc33196752"/>
      <w:bookmarkStart w:id="242" w:name="_Toc33202743"/>
      <w:bookmarkStart w:id="243" w:name="_Toc33258284"/>
      <w:bookmarkStart w:id="244" w:name="_Toc33277038"/>
      <w:bookmarkStart w:id="245" w:name="_Toc33342603"/>
      <w:bookmarkStart w:id="246" w:name="_Toc32850977"/>
      <w:bookmarkStart w:id="247" w:name="_Toc32857704"/>
      <w:bookmarkStart w:id="248" w:name="_Toc32923425"/>
      <w:bookmarkStart w:id="249" w:name="_Toc32928327"/>
      <w:bookmarkStart w:id="250" w:name="_Toc32930028"/>
      <w:bookmarkStart w:id="251" w:name="_Toc32932811"/>
      <w:bookmarkStart w:id="252" w:name="_Toc33026036"/>
      <w:bookmarkStart w:id="253" w:name="_Toc33026382"/>
      <w:bookmarkStart w:id="254" w:name="_Toc33026567"/>
      <w:bookmarkStart w:id="255" w:name="_Toc33029120"/>
      <w:bookmarkStart w:id="256" w:name="_Toc33029403"/>
      <w:bookmarkStart w:id="257" w:name="_Toc33032031"/>
      <w:bookmarkStart w:id="258" w:name="_Toc33116479"/>
      <w:bookmarkStart w:id="259" w:name="_Toc33180213"/>
      <w:bookmarkStart w:id="260" w:name="_Toc33181998"/>
      <w:bookmarkStart w:id="261" w:name="_Toc33187403"/>
      <w:bookmarkStart w:id="262" w:name="_Toc33196753"/>
      <w:bookmarkStart w:id="263" w:name="_Toc33202744"/>
      <w:bookmarkStart w:id="264" w:name="_Toc33258285"/>
      <w:bookmarkStart w:id="265" w:name="_Toc33277039"/>
      <w:bookmarkStart w:id="266" w:name="_Toc33342604"/>
      <w:bookmarkStart w:id="267" w:name="_Toc32850978"/>
      <w:bookmarkStart w:id="268" w:name="_Toc32857705"/>
      <w:bookmarkStart w:id="269" w:name="_Toc32923426"/>
      <w:bookmarkStart w:id="270" w:name="_Toc32928328"/>
      <w:bookmarkStart w:id="271" w:name="_Toc32930029"/>
      <w:bookmarkStart w:id="272" w:name="_Toc32932812"/>
      <w:bookmarkStart w:id="273" w:name="_Toc33026037"/>
      <w:bookmarkStart w:id="274" w:name="_Toc33026383"/>
      <w:bookmarkStart w:id="275" w:name="_Toc33026568"/>
      <w:bookmarkStart w:id="276" w:name="_Toc33029121"/>
      <w:bookmarkStart w:id="277" w:name="_Toc33029404"/>
      <w:bookmarkStart w:id="278" w:name="_Toc33032032"/>
      <w:bookmarkStart w:id="279" w:name="_Toc33116480"/>
      <w:bookmarkStart w:id="280" w:name="_Toc33180214"/>
      <w:bookmarkStart w:id="281" w:name="_Toc33181999"/>
      <w:bookmarkStart w:id="282" w:name="_Toc33187404"/>
      <w:bookmarkStart w:id="283" w:name="_Toc33196754"/>
      <w:bookmarkStart w:id="284" w:name="_Toc33202745"/>
      <w:bookmarkStart w:id="285" w:name="_Toc33258286"/>
      <w:bookmarkStart w:id="286" w:name="_Toc33277040"/>
      <w:bookmarkStart w:id="287" w:name="_Toc33342605"/>
      <w:bookmarkStart w:id="288" w:name="_Ref25310222"/>
      <w:bookmarkStart w:id="289" w:name="_Ref25315264"/>
      <w:bookmarkStart w:id="290" w:name="_Ref25315449"/>
      <w:bookmarkStart w:id="291" w:name="_Ref25315904"/>
      <w:bookmarkStart w:id="292" w:name="_Ref25329451"/>
      <w:bookmarkStart w:id="293" w:name="_Ref25566821"/>
      <w:bookmarkStart w:id="294" w:name="_Ref25657971"/>
      <w:bookmarkStart w:id="295" w:name="_Ref25658152"/>
      <w:bookmarkStart w:id="296" w:name="_Toc34657714"/>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r>
        <w:t>Vzdelávanie v materských školách</w:t>
      </w:r>
      <w:bookmarkEnd w:id="288"/>
      <w:bookmarkEnd w:id="289"/>
      <w:bookmarkEnd w:id="290"/>
      <w:bookmarkEnd w:id="291"/>
      <w:bookmarkEnd w:id="292"/>
      <w:bookmarkEnd w:id="293"/>
      <w:bookmarkEnd w:id="294"/>
      <w:bookmarkEnd w:id="295"/>
      <w:bookmarkEnd w:id="296"/>
    </w:p>
    <w:p w14:paraId="161A84BF" w14:textId="6AE88765" w:rsidR="000823A6" w:rsidRDefault="000823A6" w:rsidP="000823A6">
      <w:pPr>
        <w:pStyle w:val="Bezriadkovania"/>
        <w:spacing w:after="240" w:line="259" w:lineRule="auto"/>
        <w:jc w:val="both"/>
        <w:rPr>
          <w:rFonts w:ascii="Arial Narrow" w:hAnsi="Arial Narrow"/>
          <w:color w:val="0070C0"/>
        </w:rPr>
      </w:pPr>
      <w:r>
        <w:rPr>
          <w:rFonts w:ascii="Arial Narrow" w:hAnsi="Arial Narrow"/>
          <w:color w:val="0070C0"/>
        </w:rPr>
        <w:t>Výsledky vzdelávania sociálne znevýhodnených detí v materských školách</w:t>
      </w:r>
    </w:p>
    <w:p w14:paraId="39109017" w14:textId="4D2E56B3" w:rsidR="00CE229E" w:rsidRPr="00C04AAA" w:rsidRDefault="006126E4" w:rsidP="00CE229E">
      <w:pPr>
        <w:pStyle w:val="Bezriadkovania"/>
        <w:spacing w:before="160" w:after="240" w:line="259" w:lineRule="auto"/>
        <w:jc w:val="both"/>
        <w:rPr>
          <w:rFonts w:ascii="Arial Narrow" w:hAnsi="Arial Narrow"/>
        </w:rPr>
      </w:pPr>
      <w:r w:rsidRPr="00CE4466">
        <w:rPr>
          <w:rFonts w:ascii="Arial Narrow" w:hAnsi="Arial Narrow"/>
          <w:b/>
        </w:rPr>
        <w:t xml:space="preserve">Zatiaľ čo celková miera zaškolenosti detí vo veku 3 až 5 rokov </w:t>
      </w:r>
      <w:r w:rsidRPr="00A36371">
        <w:rPr>
          <w:rFonts w:ascii="Arial Narrow" w:hAnsi="Arial Narrow"/>
          <w:b/>
        </w:rPr>
        <w:t xml:space="preserve">v školskom </w:t>
      </w:r>
      <w:r w:rsidRPr="00CF04D7">
        <w:rPr>
          <w:rFonts w:ascii="Arial Narrow" w:hAnsi="Arial Narrow"/>
          <w:b/>
        </w:rPr>
        <w:t>roku 201</w:t>
      </w:r>
      <w:r w:rsidRPr="00D04C7F">
        <w:rPr>
          <w:rFonts w:ascii="Arial Narrow" w:hAnsi="Arial Narrow"/>
          <w:b/>
        </w:rPr>
        <w:t>8</w:t>
      </w:r>
      <w:r w:rsidRPr="00A36371">
        <w:rPr>
          <w:rFonts w:ascii="Arial Narrow" w:hAnsi="Arial Narrow"/>
          <w:b/>
        </w:rPr>
        <w:t>/1</w:t>
      </w:r>
      <w:r w:rsidRPr="00D04C7F">
        <w:rPr>
          <w:rFonts w:ascii="Arial Narrow" w:hAnsi="Arial Narrow"/>
          <w:b/>
        </w:rPr>
        <w:t>9</w:t>
      </w:r>
      <w:r w:rsidRPr="00A36371">
        <w:rPr>
          <w:rFonts w:ascii="Arial Narrow" w:hAnsi="Arial Narrow"/>
          <w:b/>
        </w:rPr>
        <w:t xml:space="preserve"> dosahovala 75 %,</w:t>
      </w:r>
      <w:r w:rsidRPr="00CF04D7">
        <w:rPr>
          <w:rStyle w:val="Odkaznapoznmkupodiarou"/>
          <w:rFonts w:ascii="Arial Narrow" w:hAnsi="Arial Narrow"/>
          <w:b/>
        </w:rPr>
        <w:footnoteReference w:id="78"/>
      </w:r>
      <w:r w:rsidRPr="00CF04D7">
        <w:rPr>
          <w:rFonts w:ascii="Arial Narrow" w:hAnsi="Arial Narrow"/>
          <w:b/>
        </w:rPr>
        <w:t xml:space="preserve"> v domácnostiach, ktorým sa poskytuje pomoc v hmotnej núdzi (PHN), to bolo iba 4</w:t>
      </w:r>
      <w:r>
        <w:rPr>
          <w:rFonts w:ascii="Arial Narrow" w:hAnsi="Arial Narrow"/>
          <w:b/>
        </w:rPr>
        <w:t>1</w:t>
      </w:r>
      <w:r w:rsidRPr="00A36371">
        <w:rPr>
          <w:rFonts w:ascii="Arial Narrow" w:hAnsi="Arial Narrow"/>
          <w:b/>
        </w:rPr>
        <w:t xml:space="preserve"> %</w:t>
      </w:r>
      <w:r w:rsidRPr="00CF04D7">
        <w:rPr>
          <w:rFonts w:ascii="Arial Narrow" w:hAnsi="Arial Narrow"/>
          <w:b/>
        </w:rPr>
        <w:t xml:space="preserve"> a v prostredí MRK iba 32 %.</w:t>
      </w:r>
      <w:r w:rsidRPr="00CF04D7">
        <w:rPr>
          <w:rStyle w:val="Odkaznapoznmkupodiarou"/>
          <w:rFonts w:ascii="Arial Narrow" w:hAnsi="Arial Narrow"/>
        </w:rPr>
        <w:footnoteReference w:id="79"/>
      </w:r>
      <w:r w:rsidRPr="00CE4466">
        <w:rPr>
          <w:rFonts w:ascii="Arial Narrow" w:hAnsi="Arial Narrow"/>
        </w:rPr>
        <w:t xml:space="preserve"> Porovnanie z hľadiska veku naznačuje, že zaškolenosť detí zo SZP a z prostredia MRK stúpa</w:t>
      </w:r>
      <w:r w:rsidRPr="00215AEF">
        <w:rPr>
          <w:rFonts w:ascii="Arial Narrow" w:hAnsi="Arial Narrow"/>
        </w:rPr>
        <w:t xml:space="preserve"> s vekom prudšie a</w:t>
      </w:r>
      <w:r>
        <w:rPr>
          <w:rFonts w:ascii="Arial Narrow" w:hAnsi="Arial Narrow"/>
        </w:rPr>
        <w:t xml:space="preserve"> tieto </w:t>
      </w:r>
      <w:r w:rsidRPr="00215AEF">
        <w:rPr>
          <w:rFonts w:ascii="Arial Narrow" w:hAnsi="Arial Narrow"/>
        </w:rPr>
        <w:t>deti teda nastupujú do MŠ v priemere v neskoršom veku a ich predprimárne vzdelávanie v materskej škole trvá kratšie (</w:t>
      </w:r>
      <w:r w:rsidR="000F4AEF" w:rsidRPr="00F96AC8">
        <w:rPr>
          <w:rFonts w:ascii="Arial Narrow" w:hAnsi="Arial Narrow"/>
        </w:rPr>
        <w:fldChar w:fldCharType="begin"/>
      </w:r>
      <w:r w:rsidR="000F4AEF" w:rsidRPr="00F96AC8">
        <w:rPr>
          <w:rFonts w:ascii="Arial Narrow" w:hAnsi="Arial Narrow"/>
        </w:rPr>
        <w:instrText xml:space="preserve"> REF _Ref25228011 \h </w:instrText>
      </w:r>
      <w:r w:rsidR="00F96AC8">
        <w:rPr>
          <w:rFonts w:ascii="Arial Narrow" w:hAnsi="Arial Narrow"/>
        </w:rPr>
        <w:instrText xml:space="preserve"> \* MERGEFORMAT </w:instrText>
      </w:r>
      <w:r w:rsidR="000F4AEF" w:rsidRPr="00F96AC8">
        <w:rPr>
          <w:rFonts w:ascii="Arial Narrow" w:hAnsi="Arial Narrow"/>
        </w:rPr>
      </w:r>
      <w:r w:rsidR="000F4AEF" w:rsidRPr="00F96AC8">
        <w:rPr>
          <w:rFonts w:ascii="Arial Narrow" w:hAnsi="Arial Narrow"/>
        </w:rPr>
        <w:fldChar w:fldCharType="separate"/>
      </w:r>
      <w:r w:rsidR="00FA29AF" w:rsidRPr="00FA29AF">
        <w:rPr>
          <w:rFonts w:ascii="Arial Narrow" w:hAnsi="Arial Narrow"/>
        </w:rPr>
        <w:t xml:space="preserve">Graf </w:t>
      </w:r>
      <w:r w:rsidR="00FA29AF" w:rsidRPr="00FA29AF">
        <w:rPr>
          <w:rFonts w:ascii="Arial Narrow" w:hAnsi="Arial Narrow"/>
          <w:noProof/>
        </w:rPr>
        <w:t>10</w:t>
      </w:r>
      <w:r w:rsidR="000F4AEF" w:rsidRPr="00F96AC8">
        <w:rPr>
          <w:rFonts w:ascii="Arial Narrow" w:hAnsi="Arial Narrow"/>
        </w:rPr>
        <w:fldChar w:fldCharType="end"/>
      </w:r>
      <w:r w:rsidR="000F4AEF">
        <w:rPr>
          <w:rFonts w:ascii="Arial Narrow" w:hAnsi="Arial Narrow"/>
        </w:rPr>
        <w:t xml:space="preserve"> </w:t>
      </w:r>
      <w:r w:rsidRPr="00D27DF1">
        <w:rPr>
          <w:rFonts w:ascii="Arial Narrow" w:hAnsi="Arial Narrow"/>
        </w:rPr>
        <w:t>a </w:t>
      </w:r>
      <w:r w:rsidRPr="00D27DF1">
        <w:rPr>
          <w:rFonts w:ascii="Arial Narrow" w:hAnsi="Arial Narrow"/>
        </w:rPr>
        <w:fldChar w:fldCharType="begin"/>
      </w:r>
      <w:r w:rsidRPr="00D27DF1">
        <w:rPr>
          <w:rFonts w:ascii="Arial Narrow" w:hAnsi="Arial Narrow"/>
        </w:rPr>
        <w:instrText xml:space="preserve"> REF _Ref24485172 \h  \* MERGEFORMAT </w:instrText>
      </w:r>
      <w:r w:rsidRPr="00D27DF1">
        <w:rPr>
          <w:rFonts w:ascii="Arial Narrow" w:hAnsi="Arial Narrow"/>
        </w:rPr>
      </w:r>
      <w:r w:rsidRPr="00D27DF1">
        <w:rPr>
          <w:rFonts w:ascii="Arial Narrow" w:hAnsi="Arial Narrow"/>
        </w:rPr>
        <w:fldChar w:fldCharType="separate"/>
      </w:r>
      <w:r w:rsidR="00FA29AF" w:rsidRPr="00FA29AF">
        <w:rPr>
          <w:rFonts w:ascii="Arial Narrow" w:hAnsi="Arial Narrow"/>
        </w:rPr>
        <w:t xml:space="preserve">Box </w:t>
      </w:r>
      <w:r w:rsidR="00FA29AF" w:rsidRPr="00FA29AF">
        <w:rPr>
          <w:rFonts w:ascii="Arial Narrow" w:hAnsi="Arial Narrow"/>
          <w:noProof/>
        </w:rPr>
        <w:t>6</w:t>
      </w:r>
      <w:r w:rsidRPr="00D27DF1">
        <w:rPr>
          <w:rFonts w:ascii="Arial Narrow" w:hAnsi="Arial Narrow"/>
        </w:rPr>
        <w:fldChar w:fldCharType="end"/>
      </w:r>
      <w:r w:rsidRPr="00D27DF1">
        <w:rPr>
          <w:rFonts w:ascii="Arial Narrow" w:hAnsi="Arial Narrow"/>
        </w:rPr>
        <w:t>). V</w:t>
      </w:r>
      <w:r>
        <w:rPr>
          <w:rFonts w:ascii="Arial Narrow" w:hAnsi="Arial Narrow"/>
        </w:rPr>
        <w:t xml:space="preserve"> roku 2018 predstavovali deti v systéme PHN </w:t>
      </w:r>
      <w:r w:rsidRPr="00D04C7F">
        <w:rPr>
          <w:rFonts w:ascii="Arial Narrow" w:hAnsi="Arial Narrow"/>
        </w:rPr>
        <w:t>3,2</w:t>
      </w:r>
      <w:r w:rsidRPr="00A36371">
        <w:rPr>
          <w:rFonts w:ascii="Arial Narrow" w:hAnsi="Arial Narrow"/>
        </w:rPr>
        <w:t xml:space="preserve"> %</w:t>
      </w:r>
      <w:r>
        <w:rPr>
          <w:rFonts w:ascii="Arial Narrow" w:hAnsi="Arial Narrow"/>
        </w:rPr>
        <w:t xml:space="preserve"> detí v materských školách.</w:t>
      </w:r>
    </w:p>
    <w:tbl>
      <w:tblPr>
        <w:tblW w:w="0" w:type="auto"/>
        <w:shd w:val="clear" w:color="auto" w:fill="BDD6EE" w:themeFill="accent1" w:themeFillTint="66"/>
        <w:tblLook w:val="04A0" w:firstRow="1" w:lastRow="0" w:firstColumn="1" w:lastColumn="0" w:noHBand="0" w:noVBand="1"/>
      </w:tblPr>
      <w:tblGrid>
        <w:gridCol w:w="9026"/>
      </w:tblGrid>
      <w:tr w:rsidR="00CE229E" w:rsidRPr="00CA2564" w14:paraId="2F9DABAB" w14:textId="77777777" w:rsidTr="00CE229E">
        <w:tc>
          <w:tcPr>
            <w:tcW w:w="9026" w:type="dxa"/>
            <w:shd w:val="clear" w:color="auto" w:fill="BDD6EE" w:themeFill="accent1" w:themeFillTint="66"/>
          </w:tcPr>
          <w:p w14:paraId="4B7483D8" w14:textId="77777777" w:rsidR="00CE229E" w:rsidRPr="00E84ACC" w:rsidRDefault="00CE229E" w:rsidP="00CE229E">
            <w:pPr>
              <w:pStyle w:val="Bezriadkovania"/>
              <w:spacing w:before="120" w:after="120" w:line="259" w:lineRule="auto"/>
              <w:jc w:val="both"/>
              <w:rPr>
                <w:rFonts w:ascii="Arial Narrow" w:hAnsi="Arial Narrow"/>
                <w:b/>
              </w:rPr>
            </w:pPr>
            <w:bookmarkStart w:id="297" w:name="_Ref24485172"/>
            <w:r w:rsidRPr="00C459B7">
              <w:rPr>
                <w:rFonts w:ascii="Arial Narrow" w:hAnsi="Arial Narrow"/>
                <w:b/>
              </w:rPr>
              <w:t xml:space="preserve">Box </w:t>
            </w:r>
            <w:r>
              <w:rPr>
                <w:rFonts w:ascii="Arial Narrow" w:hAnsi="Arial Narrow"/>
                <w:b/>
              </w:rPr>
              <w:fldChar w:fldCharType="begin"/>
            </w:r>
            <w:r>
              <w:rPr>
                <w:rFonts w:ascii="Arial Narrow" w:hAnsi="Arial Narrow"/>
                <w:b/>
              </w:rPr>
              <w:instrText xml:space="preserve"> SEQ Box \* ARABIC </w:instrText>
            </w:r>
            <w:r>
              <w:rPr>
                <w:rFonts w:ascii="Arial Narrow" w:hAnsi="Arial Narrow"/>
                <w:b/>
              </w:rPr>
              <w:fldChar w:fldCharType="separate"/>
            </w:r>
            <w:r w:rsidR="00FA29AF">
              <w:rPr>
                <w:rFonts w:ascii="Arial Narrow" w:hAnsi="Arial Narrow"/>
                <w:b/>
                <w:noProof/>
              </w:rPr>
              <w:t>6</w:t>
            </w:r>
            <w:r>
              <w:rPr>
                <w:rFonts w:ascii="Arial Narrow" w:hAnsi="Arial Narrow"/>
                <w:b/>
              </w:rPr>
              <w:fldChar w:fldCharType="end"/>
            </w:r>
            <w:bookmarkEnd w:id="297"/>
            <w:r w:rsidRPr="00C459B7">
              <w:rPr>
                <w:rFonts w:ascii="Arial Narrow" w:hAnsi="Arial Narrow"/>
                <w:b/>
              </w:rPr>
              <w:t>:</w:t>
            </w:r>
            <w:r>
              <w:rPr>
                <w:rFonts w:ascii="Arial Narrow" w:hAnsi="Arial Narrow"/>
                <w:b/>
              </w:rPr>
              <w:t xml:space="preserve"> </w:t>
            </w:r>
            <w:r w:rsidRPr="00E84ACC">
              <w:rPr>
                <w:rFonts w:ascii="Arial Narrow" w:hAnsi="Arial Narrow"/>
                <w:b/>
              </w:rPr>
              <w:t>Výpočet miery zaškolenosti v materských školách</w:t>
            </w:r>
          </w:p>
          <w:p w14:paraId="4FF2C5DE" w14:textId="77777777" w:rsidR="00CE229E" w:rsidRPr="00CA2564" w:rsidRDefault="00CE229E" w:rsidP="00CE229E">
            <w:r w:rsidRPr="00AC3112">
              <w:t xml:space="preserve">Pre účely </w:t>
            </w:r>
            <w:r>
              <w:t xml:space="preserve">čo najpresnejšieho </w:t>
            </w:r>
            <w:r w:rsidRPr="00AC3112">
              <w:t>vyčíslenia miery zaškolenosti sú použité jednotkové údaje</w:t>
            </w:r>
            <w:r>
              <w:t xml:space="preserve"> o deťoch v materských školách</w:t>
            </w:r>
            <w:r w:rsidRPr="00AC3112">
              <w:t xml:space="preserve"> z Rezortného informačného systému (RIS) MŠVVŠ</w:t>
            </w:r>
            <w:r>
              <w:t xml:space="preserve"> a </w:t>
            </w:r>
            <w:r w:rsidRPr="00E84ACC">
              <w:t>osoby zapísané v Registri fyzických osôb</w:t>
            </w:r>
            <w:r>
              <w:t xml:space="preserve">. Tieto údaje umožňujú zohľadniť vek ku 31.8, čo predstavuje </w:t>
            </w:r>
            <w:r w:rsidRPr="00E84ACC">
              <w:t>najlepši</w:t>
            </w:r>
            <w:r>
              <w:t>u</w:t>
            </w:r>
            <w:r w:rsidRPr="00E84ACC">
              <w:t xml:space="preserve"> indik</w:t>
            </w:r>
            <w:r>
              <w:t>áciu</w:t>
            </w:r>
            <w:r w:rsidRPr="00E84ACC">
              <w:t xml:space="preserve"> vek</w:t>
            </w:r>
            <w:r>
              <w:t>u</w:t>
            </w:r>
            <w:r w:rsidRPr="00E84ACC">
              <w:t xml:space="preserve"> dieťaťa v danom školskom roku začínajúcom v septembri. Miera zaškolenosti je vypočítaná ako počet detí v danom veku v MŠ/ŠMŠ na celkovom počte obyvateľov toho istého veku. Údaje v revízii sa môžu čiastočne líšiť od údajov uvádzaných v iných zdrojoch, ktoré používajú odlišné spôsoby výpočtu</w:t>
            </w:r>
            <w:r>
              <w:t>.</w:t>
            </w:r>
            <w:r w:rsidRPr="00E84ACC">
              <w:t xml:space="preserve"> Eurostat</w:t>
            </w:r>
            <w:r>
              <w:t xml:space="preserve"> a </w:t>
            </w:r>
            <w:r w:rsidRPr="00E84ACC">
              <w:t>OECD</w:t>
            </w:r>
            <w:r>
              <w:t xml:space="preserve"> zohľadňujú vek k 31.12. a ku deťom zaškoleným v materských školách započítavajú aj žiakov nultého a prípravného ročníka. MŠVVŠ SR v </w:t>
            </w:r>
            <w:r w:rsidRPr="00E84ACC">
              <w:lastRenderedPageBreak/>
              <w:t>Analýz</w:t>
            </w:r>
            <w:r>
              <w:t>e</w:t>
            </w:r>
            <w:r w:rsidRPr="00E84ACC">
              <w:t xml:space="preserve"> zaškolenosti detí v materských školách </w:t>
            </w:r>
            <w:r>
              <w:t>(</w:t>
            </w:r>
            <w:r w:rsidRPr="00E84ACC">
              <w:t>2017)</w:t>
            </w:r>
            <w:r>
              <w:t xml:space="preserve"> taktiež pracuje s vekom k 31.12. a operuje aj s tzv. hrubou mierou zaškolenosti, ktorá je vypočítaná ako celkový počet detí v materských školách bez ohľadu na vek (zahŕňa aj deti mladšie a staršie ako 3 až 5 rokov) na počte 3-5-ročných v populácii.</w:t>
            </w:r>
          </w:p>
        </w:tc>
      </w:tr>
    </w:tbl>
    <w:p w14:paraId="70F3A135" w14:textId="77777777" w:rsidR="00CE229E" w:rsidRPr="00452DBC" w:rsidRDefault="00CE229E" w:rsidP="00CE229E">
      <w:pPr>
        <w:pStyle w:val="Bezriadkovania"/>
        <w:spacing w:line="259" w:lineRule="auto"/>
        <w:jc w:val="both"/>
        <w:rPr>
          <w:rFonts w:ascii="Arial Narrow" w:hAnsi="Arial Narrow"/>
        </w:rPr>
      </w:pPr>
    </w:p>
    <w:tbl>
      <w:tblPr>
        <w:tblW w:w="9072" w:type="dxa"/>
        <w:tblLook w:val="04E0" w:firstRow="1" w:lastRow="1" w:firstColumn="1" w:lastColumn="0" w:noHBand="0" w:noVBand="1"/>
      </w:tblPr>
      <w:tblGrid>
        <w:gridCol w:w="4674"/>
        <w:gridCol w:w="4406"/>
      </w:tblGrid>
      <w:tr w:rsidR="000B700A" w:rsidRPr="00CA2564" w14:paraId="672DAFB1" w14:textId="77777777" w:rsidTr="00761EE5">
        <w:tc>
          <w:tcPr>
            <w:tcW w:w="9072" w:type="dxa"/>
            <w:gridSpan w:val="2"/>
            <w:tcBorders>
              <w:bottom w:val="single" w:sz="4" w:space="0" w:color="auto"/>
            </w:tcBorders>
          </w:tcPr>
          <w:p w14:paraId="6A807E72" w14:textId="77777777" w:rsidR="000B700A" w:rsidRPr="00761EE5" w:rsidRDefault="000B700A" w:rsidP="00761EE5">
            <w:pPr>
              <w:spacing w:after="0" w:line="240" w:lineRule="auto"/>
              <w:rPr>
                <w:b/>
                <w:sz w:val="20"/>
              </w:rPr>
            </w:pPr>
            <w:bookmarkStart w:id="298" w:name="_Ref25228011"/>
            <w:bookmarkStart w:id="299" w:name="_Toc34157568"/>
            <w:r w:rsidRPr="00761EE5">
              <w:rPr>
                <w:b/>
                <w:sz w:val="20"/>
              </w:rPr>
              <w:t xml:space="preserve">Graf </w:t>
            </w:r>
            <w:r w:rsidRPr="00761EE5">
              <w:rPr>
                <w:b/>
                <w:sz w:val="20"/>
              </w:rPr>
              <w:fldChar w:fldCharType="begin"/>
            </w:r>
            <w:r w:rsidRPr="00761EE5">
              <w:rPr>
                <w:b/>
                <w:sz w:val="20"/>
              </w:rPr>
              <w:instrText xml:space="preserve"> SEQ Graf \* ARABIC </w:instrText>
            </w:r>
            <w:r w:rsidRPr="00761EE5">
              <w:rPr>
                <w:b/>
                <w:sz w:val="20"/>
              </w:rPr>
              <w:fldChar w:fldCharType="separate"/>
            </w:r>
            <w:r w:rsidR="00FA29AF">
              <w:rPr>
                <w:b/>
                <w:noProof/>
                <w:sz w:val="20"/>
              </w:rPr>
              <w:t>10</w:t>
            </w:r>
            <w:r w:rsidRPr="00761EE5">
              <w:rPr>
                <w:b/>
                <w:sz w:val="20"/>
              </w:rPr>
              <w:fldChar w:fldCharType="end"/>
            </w:r>
            <w:bookmarkEnd w:id="298"/>
            <w:r w:rsidRPr="00761EE5">
              <w:rPr>
                <w:b/>
                <w:sz w:val="20"/>
              </w:rPr>
              <w:t>: Zaškolenosť detí podľa veku, š.r. 2018/19 (%)</w:t>
            </w:r>
            <w:bookmarkEnd w:id="299"/>
          </w:p>
        </w:tc>
      </w:tr>
      <w:tr w:rsidR="000B700A" w:rsidRPr="00CA2564" w14:paraId="48C2B284" w14:textId="77777777" w:rsidTr="00761EE5">
        <w:tblPrEx>
          <w:tblCellMar>
            <w:left w:w="70" w:type="dxa"/>
            <w:right w:w="70" w:type="dxa"/>
          </w:tblCellMar>
        </w:tblPrEx>
        <w:tc>
          <w:tcPr>
            <w:tcW w:w="9072" w:type="dxa"/>
            <w:gridSpan w:val="2"/>
            <w:tcBorders>
              <w:top w:val="single" w:sz="4" w:space="0" w:color="auto"/>
              <w:bottom w:val="single" w:sz="4" w:space="0" w:color="auto"/>
            </w:tcBorders>
          </w:tcPr>
          <w:p w14:paraId="5EBA165B" w14:textId="77777777" w:rsidR="000B700A" w:rsidRPr="00CA2564" w:rsidRDefault="000B700A" w:rsidP="00761EE5">
            <w:pPr>
              <w:spacing w:after="0" w:line="240" w:lineRule="auto"/>
              <w:rPr>
                <w:sz w:val="4"/>
                <w:szCs w:val="4"/>
              </w:rPr>
            </w:pPr>
          </w:p>
          <w:p w14:paraId="23F880F8" w14:textId="77777777" w:rsidR="000B700A" w:rsidRPr="00CA2564" w:rsidRDefault="000B700A" w:rsidP="00761EE5">
            <w:pPr>
              <w:spacing w:after="0" w:line="240" w:lineRule="auto"/>
              <w:rPr>
                <w:sz w:val="4"/>
                <w:szCs w:val="4"/>
              </w:rPr>
            </w:pPr>
            <w:r>
              <w:rPr>
                <w:noProof/>
                <w:lang w:eastAsia="sk-SK"/>
              </w:rPr>
              <w:drawing>
                <wp:inline distT="0" distB="0" distL="0" distR="0" wp14:anchorId="3BEB5395" wp14:editId="663EB5C4">
                  <wp:extent cx="5676900" cy="1514475"/>
                  <wp:effectExtent l="0" t="0" r="0" b="0"/>
                  <wp:docPr id="6" name="Graf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F7870C1" w14:textId="77777777" w:rsidR="000B700A" w:rsidRPr="00CA2564" w:rsidRDefault="000B700A" w:rsidP="00761EE5">
            <w:pPr>
              <w:spacing w:after="0" w:line="240" w:lineRule="auto"/>
              <w:rPr>
                <w:sz w:val="4"/>
                <w:szCs w:val="4"/>
              </w:rPr>
            </w:pPr>
          </w:p>
        </w:tc>
      </w:tr>
      <w:tr w:rsidR="000B700A" w:rsidRPr="00CA2564" w14:paraId="6CA61E75" w14:textId="0CFC4D48" w:rsidTr="00761EE5">
        <w:tc>
          <w:tcPr>
            <w:tcW w:w="4605" w:type="dxa"/>
            <w:tcBorders>
              <w:top w:val="single" w:sz="4" w:space="0" w:color="auto"/>
            </w:tcBorders>
          </w:tcPr>
          <w:p w14:paraId="0437D2FE" w14:textId="45173244" w:rsidR="000B700A" w:rsidRPr="00761EE5" w:rsidRDefault="000B700A" w:rsidP="00761EE5">
            <w:pPr>
              <w:spacing w:after="0" w:line="240" w:lineRule="auto"/>
              <w:jc w:val="left"/>
              <w:rPr>
                <w:i/>
                <w:noProof/>
                <w:sz w:val="18"/>
                <w:szCs w:val="18"/>
              </w:rPr>
            </w:pPr>
            <w:r w:rsidRPr="00761EE5">
              <w:rPr>
                <w:rFonts w:eastAsia="Times New Roman" w:cs="Times New Roman"/>
                <w:i/>
                <w:iCs/>
                <w:color w:val="000000"/>
                <w:sz w:val="18"/>
                <w:szCs w:val="18"/>
              </w:rPr>
              <w:t xml:space="preserve">Poznámka: </w:t>
            </w:r>
            <w:r w:rsidR="002A676F" w:rsidRPr="00761EE5">
              <w:rPr>
                <w:i/>
                <w:noProof/>
                <w:sz w:val="18"/>
                <w:szCs w:val="18"/>
              </w:rPr>
              <w:fldChar w:fldCharType="begin"/>
            </w:r>
            <w:r w:rsidR="002A676F" w:rsidRPr="00761EE5">
              <w:rPr>
                <w:rFonts w:eastAsia="Times New Roman" w:cs="Times New Roman"/>
                <w:i/>
                <w:iCs/>
                <w:color w:val="000000"/>
                <w:sz w:val="18"/>
                <w:szCs w:val="18"/>
              </w:rPr>
              <w:instrText xml:space="preserve"> REF _Ref33439692 \h </w:instrText>
            </w:r>
            <w:r w:rsidR="002A676F" w:rsidRPr="00761EE5">
              <w:rPr>
                <w:i/>
                <w:noProof/>
                <w:sz w:val="18"/>
                <w:szCs w:val="18"/>
              </w:rPr>
              <w:instrText xml:space="preserve"> \* MERGEFORMAT </w:instrText>
            </w:r>
            <w:r w:rsidR="002A676F" w:rsidRPr="00761EE5">
              <w:rPr>
                <w:i/>
                <w:noProof/>
                <w:sz w:val="18"/>
                <w:szCs w:val="18"/>
              </w:rPr>
            </w:r>
            <w:r w:rsidR="002A676F" w:rsidRPr="00761EE5">
              <w:rPr>
                <w:i/>
                <w:noProof/>
                <w:sz w:val="18"/>
                <w:szCs w:val="18"/>
              </w:rPr>
              <w:fldChar w:fldCharType="separate"/>
            </w:r>
            <w:r w:rsidR="00FA29AF" w:rsidRPr="00FA29AF">
              <w:rPr>
                <w:i/>
                <w:sz w:val="18"/>
                <w:szCs w:val="18"/>
              </w:rPr>
              <w:t xml:space="preserve">Box </w:t>
            </w:r>
            <w:r w:rsidR="00FA29AF" w:rsidRPr="00FA29AF">
              <w:rPr>
                <w:i/>
                <w:noProof/>
                <w:sz w:val="18"/>
                <w:szCs w:val="18"/>
              </w:rPr>
              <w:t>3</w:t>
            </w:r>
            <w:r w:rsidR="002A676F" w:rsidRPr="00761EE5">
              <w:rPr>
                <w:i/>
                <w:noProof/>
                <w:sz w:val="18"/>
                <w:szCs w:val="18"/>
              </w:rPr>
              <w:fldChar w:fldCharType="end"/>
            </w:r>
            <w:r w:rsidR="002A676F" w:rsidRPr="00761EE5">
              <w:rPr>
                <w:i/>
                <w:noProof/>
                <w:sz w:val="18"/>
                <w:szCs w:val="18"/>
              </w:rPr>
              <w:t xml:space="preserve"> </w:t>
            </w:r>
            <w:r w:rsidRPr="00761EE5">
              <w:rPr>
                <w:i/>
                <w:noProof/>
                <w:sz w:val="18"/>
                <w:szCs w:val="18"/>
              </w:rPr>
              <w:t>pre definíciu MRK a PHN.</w:t>
            </w:r>
          </w:p>
        </w:tc>
        <w:tc>
          <w:tcPr>
            <w:tcW w:w="4467" w:type="dxa"/>
            <w:tcBorders>
              <w:top w:val="single" w:sz="4" w:space="0" w:color="auto"/>
            </w:tcBorders>
          </w:tcPr>
          <w:p w14:paraId="462D6D0B" w14:textId="26740A2B" w:rsidR="000B700A" w:rsidRPr="00761EE5" w:rsidRDefault="000B700A" w:rsidP="00761EE5">
            <w:pPr>
              <w:spacing w:after="0" w:line="240" w:lineRule="auto"/>
              <w:jc w:val="right"/>
              <w:rPr>
                <w:i/>
                <w:noProof/>
                <w:sz w:val="18"/>
                <w:szCs w:val="18"/>
              </w:rPr>
            </w:pPr>
            <w:r w:rsidRPr="00761EE5">
              <w:rPr>
                <w:i/>
                <w:noProof/>
                <w:sz w:val="18"/>
                <w:szCs w:val="18"/>
              </w:rPr>
              <w:t>Zdroj: ÚHP na základe údajov RIS MŠVVŠ, ÚPSVR, MV, ARK</w:t>
            </w:r>
          </w:p>
        </w:tc>
      </w:tr>
    </w:tbl>
    <w:p w14:paraId="708EFBD5" w14:textId="19CB2AED" w:rsidR="00B74A39" w:rsidRDefault="000823A6" w:rsidP="00D41517">
      <w:pPr>
        <w:spacing w:before="120"/>
      </w:pPr>
      <w:r w:rsidRPr="005565F2">
        <w:rPr>
          <w:b/>
        </w:rPr>
        <w:t>V súlade s medzinárodnými zisteniami je aj zo slovenských údajov zrejmé, že účasť na predprimárnom vzdelávaní má pozitívny vplyv na neskoršie vzdelávacie výsledky detí so sociálnym znevýhodnením.</w:t>
      </w:r>
      <w:r w:rsidRPr="00CE4466">
        <w:t xml:space="preserve"> Ak deti v systéme PHN a deti z MRK navštevujú MŠ, sú v menšej miere zastúpení v nultom ročníku (</w:t>
      </w:r>
      <w:r w:rsidR="00F96AC8" w:rsidRPr="00F96AC8">
        <w:fldChar w:fldCharType="begin"/>
      </w:r>
      <w:r w:rsidR="00F96AC8" w:rsidRPr="00F96AC8">
        <w:instrText xml:space="preserve"> REF _Ref25228273 \h </w:instrText>
      </w:r>
      <w:r w:rsidR="00F96AC8">
        <w:instrText xml:space="preserve"> \* MERGEFORMAT </w:instrText>
      </w:r>
      <w:r w:rsidR="00F96AC8" w:rsidRPr="00F96AC8">
        <w:fldChar w:fldCharType="separate"/>
      </w:r>
      <w:r w:rsidR="00FA29AF" w:rsidRPr="00FA29AF">
        <w:t>Graf</w:t>
      </w:r>
      <w:r w:rsidR="00FA29AF" w:rsidRPr="00FA29AF">
        <w:rPr>
          <w:sz w:val="20"/>
        </w:rPr>
        <w:t xml:space="preserve"> </w:t>
      </w:r>
      <w:r w:rsidR="00FA29AF" w:rsidRPr="00FA29AF">
        <w:rPr>
          <w:noProof/>
        </w:rPr>
        <w:t>11</w:t>
      </w:r>
      <w:r w:rsidR="00F96AC8" w:rsidRPr="00F96AC8">
        <w:fldChar w:fldCharType="end"/>
      </w:r>
      <w:r w:rsidRPr="00CE4466">
        <w:t>) a v menšej miere opakujú prvý ročník ZŠ (</w:t>
      </w:r>
      <w:r w:rsidR="00F96AC8" w:rsidRPr="00F96AC8">
        <w:fldChar w:fldCharType="begin"/>
      </w:r>
      <w:r w:rsidR="00F96AC8" w:rsidRPr="00F96AC8">
        <w:instrText xml:space="preserve"> REF _Ref25228267 \h </w:instrText>
      </w:r>
      <w:r w:rsidR="00F96AC8">
        <w:instrText xml:space="preserve"> \* MERGEFORMAT </w:instrText>
      </w:r>
      <w:r w:rsidR="00F96AC8" w:rsidRPr="00F96AC8">
        <w:fldChar w:fldCharType="separate"/>
      </w:r>
      <w:r w:rsidR="00FA29AF" w:rsidRPr="00FA29AF">
        <w:t>Graf</w:t>
      </w:r>
      <w:r w:rsidR="00FA29AF" w:rsidRPr="00FA29AF">
        <w:rPr>
          <w:sz w:val="20"/>
        </w:rPr>
        <w:t xml:space="preserve"> </w:t>
      </w:r>
      <w:r w:rsidR="00FA29AF" w:rsidRPr="00FA29AF">
        <w:rPr>
          <w:noProof/>
        </w:rPr>
        <w:t>12</w:t>
      </w:r>
      <w:r w:rsidR="00F96AC8" w:rsidRPr="00F96AC8">
        <w:fldChar w:fldCharType="end"/>
      </w:r>
      <w:r w:rsidRPr="00CE4466">
        <w:t>). Povinné predprimárne vzdelávanie pre všetky deti v predškolskom veku (od školského roku 2021/22) má potenciál zvýšiť zaškolenosť detí zo SZP/MRK. Pre úspešnú impl</w:t>
      </w:r>
      <w:r w:rsidR="00F31274">
        <w:t>ementáciu tohto opatren</w:t>
      </w:r>
      <w:r w:rsidRPr="00CE4466">
        <w:t>ia však bude nevyhnutné pokračovať v odstraňovaní bariér, ktorým deti so sociálnym znevýhodnením v súčasnom vzdelávacom systéme stále čelia (</w:t>
      </w:r>
      <w:r w:rsidR="001F3367">
        <w:t xml:space="preserve">podkapitola </w:t>
      </w:r>
      <w:r w:rsidR="001F3367">
        <w:rPr>
          <w:highlight w:val="yellow"/>
        </w:rPr>
        <w:fldChar w:fldCharType="begin"/>
      </w:r>
      <w:r w:rsidR="001F3367">
        <w:instrText xml:space="preserve"> REF _Ref25756903 \r \h </w:instrText>
      </w:r>
      <w:r w:rsidR="001F3367">
        <w:rPr>
          <w:highlight w:val="yellow"/>
        </w:rPr>
      </w:r>
      <w:r w:rsidR="001F3367">
        <w:rPr>
          <w:highlight w:val="yellow"/>
        </w:rPr>
        <w:fldChar w:fldCharType="separate"/>
      </w:r>
      <w:r w:rsidR="00FA29AF">
        <w:t>6.1</w:t>
      </w:r>
      <w:r w:rsidR="001F3367">
        <w:rPr>
          <w:highlight w:val="yellow"/>
        </w:rPr>
        <w:fldChar w:fldCharType="end"/>
      </w:r>
      <w:r w:rsidRPr="00D04C7F">
        <w:t>).</w:t>
      </w:r>
    </w:p>
    <w:tbl>
      <w:tblPr>
        <w:tblW w:w="9072" w:type="dxa"/>
        <w:tblLayout w:type="fixed"/>
        <w:tblLook w:val="04E0" w:firstRow="1" w:lastRow="1" w:firstColumn="1" w:lastColumn="0" w:noHBand="0" w:noVBand="1"/>
      </w:tblPr>
      <w:tblGrid>
        <w:gridCol w:w="4395"/>
        <w:gridCol w:w="283"/>
        <w:gridCol w:w="4394"/>
      </w:tblGrid>
      <w:tr w:rsidR="000823A6" w:rsidRPr="00FB2A6E" w14:paraId="451CBE16" w14:textId="77777777" w:rsidTr="004B3BEC">
        <w:tc>
          <w:tcPr>
            <w:tcW w:w="4395" w:type="dxa"/>
            <w:tcBorders>
              <w:bottom w:val="single" w:sz="4" w:space="0" w:color="auto"/>
            </w:tcBorders>
          </w:tcPr>
          <w:p w14:paraId="250C31B4" w14:textId="7BCD665E" w:rsidR="000823A6" w:rsidRPr="004B3BEC" w:rsidRDefault="000823A6" w:rsidP="004B3BEC">
            <w:pPr>
              <w:spacing w:after="0" w:line="240" w:lineRule="auto"/>
              <w:rPr>
                <w:b/>
              </w:rPr>
            </w:pPr>
            <w:bookmarkStart w:id="300" w:name="_Ref25228273"/>
            <w:bookmarkStart w:id="301" w:name="_Toc34157569"/>
            <w:r w:rsidRPr="004B3BEC">
              <w:rPr>
                <w:b/>
                <w:sz w:val="20"/>
              </w:rPr>
              <w:t xml:space="preserve">Graf </w:t>
            </w:r>
            <w:r w:rsidRPr="004B3BEC">
              <w:rPr>
                <w:b/>
                <w:sz w:val="20"/>
              </w:rPr>
              <w:fldChar w:fldCharType="begin"/>
            </w:r>
            <w:r w:rsidRPr="004B3BEC">
              <w:rPr>
                <w:b/>
                <w:sz w:val="20"/>
              </w:rPr>
              <w:instrText xml:space="preserve"> SEQ Graf \* ARABIC </w:instrText>
            </w:r>
            <w:r w:rsidRPr="004B3BEC">
              <w:rPr>
                <w:b/>
                <w:sz w:val="20"/>
              </w:rPr>
              <w:fldChar w:fldCharType="separate"/>
            </w:r>
            <w:r w:rsidR="00FA29AF">
              <w:rPr>
                <w:b/>
                <w:noProof/>
                <w:sz w:val="20"/>
              </w:rPr>
              <w:t>11</w:t>
            </w:r>
            <w:r w:rsidRPr="004B3BEC">
              <w:rPr>
                <w:b/>
                <w:sz w:val="20"/>
              </w:rPr>
              <w:fldChar w:fldCharType="end"/>
            </w:r>
            <w:bookmarkEnd w:id="300"/>
            <w:r w:rsidRPr="004B3BEC">
              <w:rPr>
                <w:b/>
                <w:sz w:val="20"/>
              </w:rPr>
              <w:t>: Podiel detí začínajúcich PŠD v nultom ročníku v š.r. 201</w:t>
            </w:r>
            <w:r w:rsidRPr="004B3BEC">
              <w:rPr>
                <w:b/>
                <w:iCs/>
                <w:sz w:val="20"/>
              </w:rPr>
              <w:t>8</w:t>
            </w:r>
            <w:r w:rsidRPr="004B3BEC">
              <w:rPr>
                <w:b/>
                <w:sz w:val="20"/>
              </w:rPr>
              <w:t>/19 (%)</w:t>
            </w:r>
            <w:bookmarkEnd w:id="301"/>
          </w:p>
        </w:tc>
        <w:tc>
          <w:tcPr>
            <w:tcW w:w="283" w:type="dxa"/>
            <w:tcBorders>
              <w:bottom w:val="nil"/>
            </w:tcBorders>
          </w:tcPr>
          <w:p w14:paraId="5FDB7F69" w14:textId="77777777" w:rsidR="000823A6" w:rsidRPr="004B3BEC" w:rsidRDefault="000823A6" w:rsidP="004B3BEC">
            <w:pPr>
              <w:spacing w:after="0" w:line="240" w:lineRule="auto"/>
              <w:rPr>
                <w:b/>
                <w:sz w:val="2"/>
              </w:rPr>
            </w:pPr>
          </w:p>
        </w:tc>
        <w:tc>
          <w:tcPr>
            <w:tcW w:w="4394" w:type="dxa"/>
            <w:tcBorders>
              <w:bottom w:val="single" w:sz="4" w:space="0" w:color="auto"/>
            </w:tcBorders>
          </w:tcPr>
          <w:p w14:paraId="02B3C1C1" w14:textId="119A1B11" w:rsidR="000823A6" w:rsidRPr="004B3BEC" w:rsidRDefault="000823A6" w:rsidP="004B3BEC">
            <w:pPr>
              <w:spacing w:after="0" w:line="240" w:lineRule="auto"/>
              <w:rPr>
                <w:b/>
                <w:sz w:val="20"/>
              </w:rPr>
            </w:pPr>
            <w:bookmarkStart w:id="302" w:name="_Ref25228267"/>
            <w:bookmarkStart w:id="303" w:name="_Toc34157570"/>
            <w:r w:rsidRPr="004B3BEC">
              <w:rPr>
                <w:b/>
                <w:sz w:val="20"/>
              </w:rPr>
              <w:t xml:space="preserve">Graf </w:t>
            </w:r>
            <w:r w:rsidRPr="004B3BEC">
              <w:rPr>
                <w:b/>
                <w:sz w:val="20"/>
              </w:rPr>
              <w:fldChar w:fldCharType="begin"/>
            </w:r>
            <w:r w:rsidRPr="004B3BEC">
              <w:rPr>
                <w:b/>
                <w:sz w:val="20"/>
              </w:rPr>
              <w:instrText xml:space="preserve"> SEQ Graf \* ARABIC </w:instrText>
            </w:r>
            <w:r w:rsidRPr="004B3BEC">
              <w:rPr>
                <w:b/>
                <w:sz w:val="20"/>
              </w:rPr>
              <w:fldChar w:fldCharType="separate"/>
            </w:r>
            <w:r w:rsidR="00FA29AF">
              <w:rPr>
                <w:b/>
                <w:noProof/>
                <w:sz w:val="20"/>
              </w:rPr>
              <w:t>12</w:t>
            </w:r>
            <w:r w:rsidRPr="004B3BEC">
              <w:rPr>
                <w:b/>
                <w:sz w:val="20"/>
              </w:rPr>
              <w:fldChar w:fldCharType="end"/>
            </w:r>
            <w:bookmarkEnd w:id="302"/>
            <w:r w:rsidRPr="004B3BEC">
              <w:rPr>
                <w:b/>
                <w:sz w:val="20"/>
              </w:rPr>
              <w:t>: Podiel</w:t>
            </w:r>
            <w:r w:rsidRPr="004B3BEC">
              <w:rPr>
                <w:b/>
                <w:iCs/>
                <w:sz w:val="20"/>
              </w:rPr>
              <w:t xml:space="preserve"> </w:t>
            </w:r>
            <w:r w:rsidRPr="004B3BEC">
              <w:rPr>
                <w:b/>
                <w:sz w:val="20"/>
              </w:rPr>
              <w:t>prvákov ZŠ v š.r. 2017/18, ktorí opakovali ročník v š.r. 2018/19 (%)</w:t>
            </w:r>
            <w:bookmarkEnd w:id="303"/>
          </w:p>
        </w:tc>
      </w:tr>
      <w:tr w:rsidR="000823A6" w:rsidRPr="00CA2564" w14:paraId="0578CB2C" w14:textId="77777777" w:rsidTr="004B3BEC">
        <w:tblPrEx>
          <w:tblCellMar>
            <w:left w:w="70" w:type="dxa"/>
            <w:right w:w="70" w:type="dxa"/>
          </w:tblCellMar>
        </w:tblPrEx>
        <w:trPr>
          <w:trHeight w:val="2941"/>
        </w:trPr>
        <w:tc>
          <w:tcPr>
            <w:tcW w:w="0" w:type="dxa"/>
            <w:tcBorders>
              <w:top w:val="single" w:sz="4" w:space="0" w:color="auto"/>
              <w:bottom w:val="single" w:sz="4" w:space="0" w:color="auto"/>
            </w:tcBorders>
          </w:tcPr>
          <w:p w14:paraId="7AB53BF1" w14:textId="77777777" w:rsidR="000823A6" w:rsidRPr="00CA2564" w:rsidRDefault="000823A6" w:rsidP="004B3BEC">
            <w:pPr>
              <w:spacing w:after="0" w:line="240" w:lineRule="auto"/>
              <w:jc w:val="left"/>
              <w:rPr>
                <w:sz w:val="4"/>
                <w:szCs w:val="4"/>
              </w:rPr>
            </w:pPr>
          </w:p>
          <w:p w14:paraId="6CF09EE6" w14:textId="1DE67A64" w:rsidR="000823A6" w:rsidRPr="00CA2564" w:rsidRDefault="000823A6" w:rsidP="004B3BEC">
            <w:pPr>
              <w:spacing w:after="0" w:line="240" w:lineRule="auto"/>
              <w:jc w:val="left"/>
              <w:rPr>
                <w:sz w:val="4"/>
                <w:szCs w:val="4"/>
              </w:rPr>
            </w:pPr>
            <w:r>
              <w:rPr>
                <w:noProof/>
                <w:lang w:eastAsia="sk-SK"/>
              </w:rPr>
              <w:drawing>
                <wp:inline distT="0" distB="0" distL="0" distR="0" wp14:anchorId="2CA5DAA7" wp14:editId="7BA10051">
                  <wp:extent cx="2701925" cy="2171700"/>
                  <wp:effectExtent l="0" t="0" r="3175" b="0"/>
                  <wp:docPr id="28003" name="Graf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0000000-0008-0000-09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0" w:type="dxa"/>
            <w:tcBorders>
              <w:top w:val="nil"/>
              <w:bottom w:val="nil"/>
            </w:tcBorders>
          </w:tcPr>
          <w:p w14:paraId="660CD6C9" w14:textId="647A6E7A" w:rsidR="000823A6" w:rsidRPr="00A310F6" w:rsidRDefault="000B700A" w:rsidP="004B3BEC">
            <w:pPr>
              <w:spacing w:after="0" w:line="240" w:lineRule="auto"/>
              <w:ind w:hanging="212"/>
              <w:rPr>
                <w:noProof/>
                <w:sz w:val="2"/>
                <w:szCs w:val="4"/>
              </w:rPr>
            </w:pPr>
            <w:r w:rsidRPr="00A310F6">
              <w:rPr>
                <w:noProof/>
                <w:sz w:val="2"/>
                <w:szCs w:val="4"/>
              </w:rPr>
              <w:t>bbg</w:t>
            </w:r>
          </w:p>
        </w:tc>
        <w:tc>
          <w:tcPr>
            <w:tcW w:w="0" w:type="dxa"/>
            <w:tcBorders>
              <w:top w:val="single" w:sz="4" w:space="0" w:color="auto"/>
              <w:bottom w:val="single" w:sz="4" w:space="0" w:color="auto"/>
            </w:tcBorders>
          </w:tcPr>
          <w:p w14:paraId="1598D954" w14:textId="77777777" w:rsidR="000823A6" w:rsidRPr="00CA2564" w:rsidRDefault="000823A6" w:rsidP="004B3BEC">
            <w:pPr>
              <w:spacing w:after="0" w:line="240" w:lineRule="auto"/>
              <w:jc w:val="left"/>
              <w:rPr>
                <w:noProof/>
                <w:sz w:val="4"/>
                <w:szCs w:val="4"/>
              </w:rPr>
            </w:pPr>
            <w:r w:rsidRPr="00CA2564">
              <w:rPr>
                <w:noProof/>
                <w:sz w:val="4"/>
                <w:szCs w:val="4"/>
              </w:rPr>
              <w:t xml:space="preserve"> </w:t>
            </w:r>
          </w:p>
          <w:p w14:paraId="23D62C1B" w14:textId="77777777" w:rsidR="000823A6" w:rsidRPr="00CA2564" w:rsidRDefault="000823A6" w:rsidP="004B3BEC">
            <w:pPr>
              <w:spacing w:after="0" w:line="240" w:lineRule="auto"/>
              <w:jc w:val="left"/>
              <w:rPr>
                <w:noProof/>
                <w:sz w:val="4"/>
                <w:szCs w:val="4"/>
              </w:rPr>
            </w:pPr>
            <w:r>
              <w:rPr>
                <w:noProof/>
                <w:lang w:eastAsia="sk-SK"/>
              </w:rPr>
              <w:drawing>
                <wp:inline distT="0" distB="0" distL="0" distR="0" wp14:anchorId="38FD088F" wp14:editId="06169483">
                  <wp:extent cx="2689860" cy="2124075"/>
                  <wp:effectExtent l="0" t="0" r="0" b="0"/>
                  <wp:docPr id="28020" name="Graf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0000000-0008-0000-09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A66D150" w14:textId="77777777" w:rsidR="000823A6" w:rsidRPr="00CA2564" w:rsidRDefault="000823A6" w:rsidP="004B3BEC">
            <w:pPr>
              <w:spacing w:after="0" w:line="240" w:lineRule="auto"/>
              <w:jc w:val="left"/>
              <w:rPr>
                <w:sz w:val="4"/>
                <w:szCs w:val="4"/>
              </w:rPr>
            </w:pPr>
          </w:p>
        </w:tc>
      </w:tr>
      <w:tr w:rsidR="000823A6" w:rsidRPr="00FE7BF5" w14:paraId="51A9A8C9" w14:textId="77777777" w:rsidTr="004B3BEC">
        <w:trPr>
          <w:trHeight w:val="185"/>
        </w:trPr>
        <w:tc>
          <w:tcPr>
            <w:tcW w:w="0" w:type="dxa"/>
            <w:tcBorders>
              <w:top w:val="single" w:sz="4" w:space="0" w:color="auto"/>
            </w:tcBorders>
          </w:tcPr>
          <w:p w14:paraId="06171A0D" w14:textId="2936867D" w:rsidR="000823A6" w:rsidRPr="004B3BEC" w:rsidRDefault="000823A6" w:rsidP="004B3BEC">
            <w:pPr>
              <w:spacing w:after="0" w:line="240" w:lineRule="auto"/>
              <w:jc w:val="right"/>
              <w:rPr>
                <w:i/>
                <w:noProof/>
                <w:sz w:val="18"/>
                <w:szCs w:val="18"/>
              </w:rPr>
            </w:pPr>
            <w:r w:rsidRPr="004B3BEC">
              <w:rPr>
                <w:i/>
                <w:noProof/>
                <w:sz w:val="18"/>
                <w:szCs w:val="18"/>
              </w:rPr>
              <w:t>Zdroj: ÚHP na základe údajov RIS MŠVVŠ, ÚPSVR</w:t>
            </w:r>
            <w:r w:rsidR="0070047D" w:rsidRPr="004B3BEC">
              <w:rPr>
                <w:i/>
                <w:noProof/>
                <w:sz w:val="18"/>
                <w:szCs w:val="18"/>
              </w:rPr>
              <w:t xml:space="preserve"> </w:t>
            </w:r>
            <w:r w:rsidRPr="004B3BEC">
              <w:rPr>
                <w:i/>
                <w:noProof/>
                <w:sz w:val="18"/>
                <w:szCs w:val="18"/>
              </w:rPr>
              <w:t xml:space="preserve">a ARK </w:t>
            </w:r>
          </w:p>
          <w:p w14:paraId="3F4F07A4" w14:textId="5D8E2807" w:rsidR="000823A6" w:rsidRPr="004B3BEC" w:rsidRDefault="000823A6" w:rsidP="004B3BEC">
            <w:pPr>
              <w:spacing w:after="0" w:line="240" w:lineRule="auto"/>
              <w:jc w:val="left"/>
              <w:rPr>
                <w:i/>
                <w:sz w:val="18"/>
                <w:szCs w:val="18"/>
              </w:rPr>
            </w:pPr>
            <w:r w:rsidRPr="004B3BEC">
              <w:rPr>
                <w:rFonts w:eastAsia="Times New Roman" w:cs="Times New Roman"/>
                <w:i/>
                <w:iCs/>
                <w:color w:val="000000"/>
                <w:sz w:val="18"/>
                <w:szCs w:val="18"/>
              </w:rPr>
              <w:t xml:space="preserve">Poznámka: </w:t>
            </w:r>
            <w:r w:rsidR="002A676F" w:rsidRPr="004B3BEC">
              <w:rPr>
                <w:i/>
                <w:noProof/>
                <w:sz w:val="18"/>
                <w:szCs w:val="18"/>
              </w:rPr>
              <w:fldChar w:fldCharType="begin"/>
            </w:r>
            <w:r w:rsidR="002A676F" w:rsidRPr="004B3BEC">
              <w:rPr>
                <w:rFonts w:eastAsia="Times New Roman" w:cs="Times New Roman"/>
                <w:i/>
                <w:iCs/>
                <w:color w:val="000000"/>
                <w:sz w:val="18"/>
                <w:szCs w:val="18"/>
              </w:rPr>
              <w:instrText xml:space="preserve"> REF _Ref33439692 \h </w:instrText>
            </w:r>
            <w:r w:rsidR="002A676F" w:rsidRPr="004B3BEC">
              <w:rPr>
                <w:i/>
                <w:noProof/>
                <w:sz w:val="18"/>
                <w:szCs w:val="18"/>
              </w:rPr>
              <w:instrText xml:space="preserve"> \* MERGEFORMAT </w:instrText>
            </w:r>
            <w:r w:rsidR="002A676F" w:rsidRPr="004B3BEC">
              <w:rPr>
                <w:i/>
                <w:noProof/>
                <w:sz w:val="18"/>
                <w:szCs w:val="18"/>
              </w:rPr>
            </w:r>
            <w:r w:rsidR="002A676F" w:rsidRPr="004B3BEC">
              <w:rPr>
                <w:i/>
                <w:noProof/>
                <w:sz w:val="18"/>
                <w:szCs w:val="18"/>
              </w:rPr>
              <w:fldChar w:fldCharType="separate"/>
            </w:r>
            <w:r w:rsidR="00FA29AF" w:rsidRPr="00FA29AF">
              <w:rPr>
                <w:i/>
                <w:sz w:val="18"/>
                <w:szCs w:val="18"/>
              </w:rPr>
              <w:t xml:space="preserve">Box </w:t>
            </w:r>
            <w:r w:rsidR="00FA29AF" w:rsidRPr="00FA29AF">
              <w:rPr>
                <w:i/>
                <w:noProof/>
                <w:sz w:val="18"/>
                <w:szCs w:val="18"/>
              </w:rPr>
              <w:t>3</w:t>
            </w:r>
            <w:r w:rsidR="002A676F" w:rsidRPr="004B3BEC">
              <w:rPr>
                <w:i/>
                <w:noProof/>
                <w:sz w:val="18"/>
                <w:szCs w:val="18"/>
              </w:rPr>
              <w:fldChar w:fldCharType="end"/>
            </w:r>
            <w:r w:rsidR="002A676F" w:rsidRPr="004B3BEC">
              <w:rPr>
                <w:i/>
                <w:noProof/>
                <w:sz w:val="18"/>
                <w:szCs w:val="18"/>
              </w:rPr>
              <w:t xml:space="preserve"> </w:t>
            </w:r>
            <w:r w:rsidRPr="004B3BEC">
              <w:rPr>
                <w:i/>
                <w:noProof/>
                <w:sz w:val="18"/>
                <w:szCs w:val="18"/>
              </w:rPr>
              <w:t>pre definíciu MRK a PHN.</w:t>
            </w:r>
          </w:p>
        </w:tc>
        <w:tc>
          <w:tcPr>
            <w:tcW w:w="0" w:type="dxa"/>
            <w:tcBorders>
              <w:top w:val="nil"/>
            </w:tcBorders>
          </w:tcPr>
          <w:p w14:paraId="55E4EAC7" w14:textId="77777777" w:rsidR="000823A6" w:rsidRPr="004B3BEC" w:rsidRDefault="000823A6" w:rsidP="004B3BEC">
            <w:pPr>
              <w:spacing w:after="0" w:line="240" w:lineRule="auto"/>
              <w:rPr>
                <w:i/>
                <w:noProof/>
                <w:sz w:val="2"/>
                <w:szCs w:val="18"/>
              </w:rPr>
            </w:pPr>
          </w:p>
        </w:tc>
        <w:tc>
          <w:tcPr>
            <w:tcW w:w="0" w:type="dxa"/>
          </w:tcPr>
          <w:p w14:paraId="4A0FCA14" w14:textId="77777777" w:rsidR="000823A6" w:rsidRPr="004B3BEC" w:rsidRDefault="000823A6" w:rsidP="004B3BEC">
            <w:pPr>
              <w:spacing w:after="0" w:line="240" w:lineRule="auto"/>
              <w:jc w:val="right"/>
              <w:rPr>
                <w:i/>
                <w:noProof/>
                <w:sz w:val="18"/>
                <w:szCs w:val="18"/>
              </w:rPr>
            </w:pPr>
            <w:r w:rsidRPr="004B3BEC">
              <w:rPr>
                <w:i/>
                <w:sz w:val="18"/>
                <w:szCs w:val="18"/>
              </w:rPr>
              <w:t xml:space="preserve">Zdroj: </w:t>
            </w:r>
            <w:r w:rsidRPr="004B3BEC">
              <w:rPr>
                <w:i/>
                <w:noProof/>
                <w:sz w:val="18"/>
                <w:szCs w:val="18"/>
              </w:rPr>
              <w:t xml:space="preserve">ÚHP na základe </w:t>
            </w:r>
            <w:r w:rsidRPr="004B3BEC">
              <w:rPr>
                <w:rFonts w:eastAsia="Times New Roman" w:cs="Times New Roman"/>
                <w:i/>
                <w:iCs/>
                <w:color w:val="000000"/>
                <w:sz w:val="18"/>
                <w:szCs w:val="18"/>
              </w:rPr>
              <w:t xml:space="preserve">údajov </w:t>
            </w:r>
            <w:r w:rsidRPr="004B3BEC">
              <w:rPr>
                <w:i/>
                <w:noProof/>
                <w:sz w:val="18"/>
                <w:szCs w:val="18"/>
              </w:rPr>
              <w:t>RIS MŠVVŠ, ÚPSVR, ARK</w:t>
            </w:r>
          </w:p>
          <w:p w14:paraId="5AC84FC9" w14:textId="305B2A02" w:rsidR="000823A6" w:rsidRPr="004B3BEC" w:rsidRDefault="000823A6" w:rsidP="004B3BEC">
            <w:pPr>
              <w:spacing w:after="0" w:line="240" w:lineRule="auto"/>
              <w:rPr>
                <w:i/>
                <w:sz w:val="18"/>
                <w:szCs w:val="18"/>
              </w:rPr>
            </w:pPr>
            <w:r w:rsidRPr="004B3BEC">
              <w:rPr>
                <w:i/>
                <w:sz w:val="18"/>
                <w:szCs w:val="18"/>
              </w:rPr>
              <w:t xml:space="preserve">Poznámka: </w:t>
            </w:r>
            <w:r w:rsidR="002A676F" w:rsidRPr="004B3BEC">
              <w:rPr>
                <w:i/>
                <w:noProof/>
                <w:sz w:val="18"/>
                <w:szCs w:val="18"/>
              </w:rPr>
              <w:fldChar w:fldCharType="begin"/>
            </w:r>
            <w:r w:rsidR="002A676F" w:rsidRPr="004B3BEC">
              <w:rPr>
                <w:rFonts w:eastAsia="Times New Roman" w:cs="Times New Roman"/>
                <w:i/>
                <w:iCs/>
                <w:color w:val="000000"/>
                <w:sz w:val="18"/>
                <w:szCs w:val="18"/>
              </w:rPr>
              <w:instrText xml:space="preserve"> REF _Ref33439692 \h </w:instrText>
            </w:r>
            <w:r w:rsidR="002A676F" w:rsidRPr="004B3BEC">
              <w:rPr>
                <w:i/>
                <w:noProof/>
                <w:sz w:val="18"/>
                <w:szCs w:val="18"/>
              </w:rPr>
              <w:instrText xml:space="preserve"> \* MERGEFORMAT </w:instrText>
            </w:r>
            <w:r w:rsidR="002A676F" w:rsidRPr="004B3BEC">
              <w:rPr>
                <w:i/>
                <w:noProof/>
                <w:sz w:val="18"/>
                <w:szCs w:val="18"/>
              </w:rPr>
            </w:r>
            <w:r w:rsidR="002A676F" w:rsidRPr="004B3BEC">
              <w:rPr>
                <w:i/>
                <w:noProof/>
                <w:sz w:val="18"/>
                <w:szCs w:val="18"/>
              </w:rPr>
              <w:fldChar w:fldCharType="separate"/>
            </w:r>
            <w:r w:rsidR="00FA29AF" w:rsidRPr="00FA29AF">
              <w:rPr>
                <w:i/>
                <w:sz w:val="18"/>
                <w:szCs w:val="18"/>
              </w:rPr>
              <w:t xml:space="preserve">Box </w:t>
            </w:r>
            <w:r w:rsidR="00FA29AF" w:rsidRPr="00FA29AF">
              <w:rPr>
                <w:i/>
                <w:noProof/>
                <w:sz w:val="18"/>
                <w:szCs w:val="18"/>
              </w:rPr>
              <w:t>3</w:t>
            </w:r>
            <w:r w:rsidR="002A676F" w:rsidRPr="004B3BEC">
              <w:rPr>
                <w:i/>
                <w:noProof/>
                <w:sz w:val="18"/>
                <w:szCs w:val="18"/>
              </w:rPr>
              <w:fldChar w:fldCharType="end"/>
            </w:r>
            <w:r w:rsidR="002A676F" w:rsidRPr="004B3BEC">
              <w:rPr>
                <w:i/>
                <w:noProof/>
                <w:sz w:val="18"/>
                <w:szCs w:val="18"/>
              </w:rPr>
              <w:t xml:space="preserve"> </w:t>
            </w:r>
            <w:r w:rsidRPr="004B3BEC">
              <w:rPr>
                <w:i/>
                <w:noProof/>
                <w:sz w:val="18"/>
                <w:szCs w:val="18"/>
              </w:rPr>
              <w:t>pre definíciu MRK</w:t>
            </w:r>
            <w:r w:rsidR="00826B4A">
              <w:rPr>
                <w:i/>
                <w:noProof/>
                <w:sz w:val="18"/>
                <w:szCs w:val="18"/>
              </w:rPr>
              <w:t>a PHN</w:t>
            </w:r>
            <w:r w:rsidRPr="004B3BEC">
              <w:rPr>
                <w:i/>
                <w:noProof/>
                <w:sz w:val="18"/>
                <w:szCs w:val="18"/>
              </w:rPr>
              <w:t>.</w:t>
            </w:r>
          </w:p>
        </w:tc>
      </w:tr>
    </w:tbl>
    <w:p w14:paraId="64068A23" w14:textId="4AA0EC42" w:rsidR="000823A6" w:rsidRPr="00B07E9A" w:rsidRDefault="000823A6" w:rsidP="006126E4">
      <w:pPr>
        <w:pStyle w:val="Bezriadkovania"/>
        <w:spacing w:before="240" w:after="240" w:line="259" w:lineRule="auto"/>
        <w:jc w:val="both"/>
        <w:rPr>
          <w:rFonts w:ascii="Arial Narrow" w:hAnsi="Arial Narrow"/>
          <w:color w:val="0070C0"/>
        </w:rPr>
      </w:pPr>
      <w:r>
        <w:rPr>
          <w:rFonts w:ascii="Arial Narrow" w:hAnsi="Arial Narrow"/>
          <w:color w:val="0070C0"/>
        </w:rPr>
        <w:t>Existujúce opatrenia na podporu vzdelávania sociálne znevýhodnených detí v materských školách</w:t>
      </w:r>
    </w:p>
    <w:p w14:paraId="69EE4C62" w14:textId="6F1BC89C" w:rsidR="000823A6" w:rsidRPr="0077265F" w:rsidRDefault="000823A6" w:rsidP="005565F2">
      <w:r w:rsidRPr="005565F2">
        <w:rPr>
          <w:b/>
        </w:rPr>
        <w:t>Nástroje na podporu predprimárneho vzdelávania sociálne znevýhodnených detí cielia predovšetkým deti žijúce v domácnostiach, ktorým sa poskytuje pomoc v hmotnej núdzi a deti žijúce v domácnostiach, ktorých príjem nedosahuje hranicu životného minima.</w:t>
      </w:r>
      <w:r w:rsidRPr="00CA2564">
        <w:t xml:space="preserve"> Podporné nástroje zahŕňajú odpustenie poplatkov za pobyt v materskej škole, dotácie na stravu a pre predškolákov aj dotácie na školské </w:t>
      </w:r>
      <w:r w:rsidRPr="006126E4">
        <w:t>pomôcky (</w:t>
      </w:r>
      <w:r w:rsidR="006126E4" w:rsidRPr="006126E4">
        <w:fldChar w:fldCharType="begin"/>
      </w:r>
      <w:r w:rsidR="006126E4" w:rsidRPr="006126E4">
        <w:instrText xml:space="preserve"> REF _Ref24486290 \h  \* MERGEFORMAT </w:instrText>
      </w:r>
      <w:r w:rsidR="006126E4" w:rsidRPr="006126E4">
        <w:fldChar w:fldCharType="separate"/>
      </w:r>
      <w:r w:rsidR="00FA29AF" w:rsidRPr="00FA29AF">
        <w:t xml:space="preserve">Tabuľka </w:t>
      </w:r>
      <w:r w:rsidR="00FA29AF" w:rsidRPr="00FA29AF">
        <w:rPr>
          <w:noProof/>
        </w:rPr>
        <w:t>8</w:t>
      </w:r>
      <w:r w:rsidR="006126E4" w:rsidRPr="006126E4">
        <w:fldChar w:fldCharType="end"/>
      </w:r>
      <w:r w:rsidRPr="006126E4">
        <w:t>).</w:t>
      </w:r>
      <w:r w:rsidRPr="006126E4">
        <w:rPr>
          <w:rStyle w:val="Odkaznapoznmkupodiarou"/>
        </w:rPr>
        <w:footnoteReference w:id="80"/>
      </w:r>
      <w:r w:rsidRPr="006126E4">
        <w:t xml:space="preserve"> Nárok na odpustenie poplatkov majú deti z rodín poberajúcich pomoc v hmotnej núdzi bez ohľadu na vek. Na dotácie majú okrem detí z rodín s príjmom pod hranicou životného minima nárok aj deti, ktoré navštevujú</w:t>
      </w:r>
      <w:r w:rsidRPr="00CA2564">
        <w:t xml:space="preserve"> materské školy, v ktorých sa vzdeláva viac ako 50 % </w:t>
      </w:r>
      <w:r w:rsidRPr="0077265F">
        <w:t xml:space="preserve">detí v systéme PHN (plošné dotácie). V súlade s novelou zákona o dotáciách </w:t>
      </w:r>
      <w:r w:rsidRPr="0077265F">
        <w:lastRenderedPageBreak/>
        <w:t xml:space="preserve">schválenou 4.12.2018 sa od 1.1.2019 dotácie na stravu poskytujú na všetky deti, ktoré majú </w:t>
      </w:r>
      <w:r w:rsidRPr="001A28E7">
        <w:t>jeden rok pred plnením povinnej š</w:t>
      </w:r>
      <w:r w:rsidRPr="00802930">
        <w:t>kolskej dochádzky.</w:t>
      </w:r>
      <w:r w:rsidRPr="00AC3112">
        <w:rPr>
          <w:rStyle w:val="Odkaznapoznmkupodiarou"/>
        </w:rPr>
        <w:footnoteReference w:id="81"/>
      </w:r>
    </w:p>
    <w:p w14:paraId="75F54C7A" w14:textId="469B7B01" w:rsidR="000823A6" w:rsidRPr="00391AA9" w:rsidRDefault="000823A6" w:rsidP="00625A7D">
      <w:pPr>
        <w:spacing w:after="0"/>
        <w:rPr>
          <w:b/>
          <w:sz w:val="20"/>
        </w:rPr>
      </w:pPr>
      <w:bookmarkStart w:id="304" w:name="_Ref24486290"/>
      <w:bookmarkStart w:id="305" w:name="_Toc34156847"/>
      <w:r w:rsidRPr="00391AA9">
        <w:rPr>
          <w:b/>
          <w:sz w:val="20"/>
        </w:rPr>
        <w:t xml:space="preserve">Tabuľka </w:t>
      </w:r>
      <w:r w:rsidRPr="00391AA9">
        <w:rPr>
          <w:b/>
          <w:noProof/>
          <w:sz w:val="20"/>
        </w:rPr>
        <w:fldChar w:fldCharType="begin"/>
      </w:r>
      <w:r w:rsidRPr="00391AA9">
        <w:rPr>
          <w:b/>
          <w:noProof/>
          <w:sz w:val="20"/>
        </w:rPr>
        <w:instrText xml:space="preserve"> SEQ Tabuľka \* ARABIC </w:instrText>
      </w:r>
      <w:r w:rsidRPr="00391AA9">
        <w:rPr>
          <w:b/>
          <w:noProof/>
          <w:sz w:val="20"/>
        </w:rPr>
        <w:fldChar w:fldCharType="separate"/>
      </w:r>
      <w:r w:rsidR="00FA29AF">
        <w:rPr>
          <w:b/>
          <w:noProof/>
          <w:sz w:val="20"/>
        </w:rPr>
        <w:t>8</w:t>
      </w:r>
      <w:r w:rsidRPr="00391AA9">
        <w:rPr>
          <w:b/>
          <w:noProof/>
          <w:sz w:val="20"/>
        </w:rPr>
        <w:fldChar w:fldCharType="end"/>
      </w:r>
      <w:bookmarkEnd w:id="304"/>
      <w:r w:rsidRPr="00391AA9">
        <w:rPr>
          <w:b/>
          <w:sz w:val="20"/>
        </w:rPr>
        <w:t>: Prehľad podpory pre deti v materských školách (2019)</w:t>
      </w:r>
      <w:bookmarkEnd w:id="305"/>
    </w:p>
    <w:tbl>
      <w:tblPr>
        <w:tblW w:w="9072" w:type="dxa"/>
        <w:tblLayout w:type="fixed"/>
        <w:tblLook w:val="04A0" w:firstRow="1" w:lastRow="0" w:firstColumn="1" w:lastColumn="0" w:noHBand="0" w:noVBand="1"/>
      </w:tblPr>
      <w:tblGrid>
        <w:gridCol w:w="2410"/>
        <w:gridCol w:w="2126"/>
        <w:gridCol w:w="2410"/>
        <w:gridCol w:w="2126"/>
      </w:tblGrid>
      <w:tr w:rsidR="000823A6" w:rsidRPr="004E5034" w14:paraId="18072095" w14:textId="77777777" w:rsidTr="005C0446">
        <w:trPr>
          <w:trHeight w:val="330"/>
        </w:trPr>
        <w:tc>
          <w:tcPr>
            <w:tcW w:w="2410" w:type="dxa"/>
            <w:tcBorders>
              <w:top w:val="single" w:sz="4" w:space="0" w:color="auto"/>
              <w:left w:val="nil"/>
              <w:bottom w:val="single" w:sz="4" w:space="0" w:color="auto"/>
              <w:right w:val="nil"/>
            </w:tcBorders>
            <w:shd w:val="clear" w:color="000000" w:fill="FFFFFF"/>
            <w:noWrap/>
            <w:vAlign w:val="center"/>
            <w:hideMark/>
          </w:tcPr>
          <w:p w14:paraId="5E83CE58" w14:textId="77777777" w:rsidR="000823A6" w:rsidRPr="004E5034" w:rsidRDefault="000823A6" w:rsidP="000823A6">
            <w:pPr>
              <w:spacing w:after="120"/>
              <w:rPr>
                <w:rFonts w:eastAsia="Times New Roman" w:cs="Calibri"/>
                <w:b/>
                <w:bCs/>
                <w:color w:val="000000"/>
                <w:sz w:val="20"/>
              </w:rPr>
            </w:pPr>
            <w:r w:rsidRPr="004E5034">
              <w:rPr>
                <w:rFonts w:eastAsia="Times New Roman" w:cs="Calibri"/>
                <w:b/>
                <w:bCs/>
                <w:color w:val="000000"/>
                <w:sz w:val="20"/>
              </w:rPr>
              <w:t> </w:t>
            </w:r>
          </w:p>
        </w:tc>
        <w:tc>
          <w:tcPr>
            <w:tcW w:w="2126" w:type="dxa"/>
            <w:tcBorders>
              <w:top w:val="single" w:sz="4" w:space="0" w:color="auto"/>
              <w:left w:val="nil"/>
              <w:bottom w:val="single" w:sz="4" w:space="0" w:color="auto"/>
              <w:right w:val="nil"/>
            </w:tcBorders>
            <w:shd w:val="clear" w:color="000000" w:fill="FFFFFF"/>
            <w:noWrap/>
            <w:vAlign w:val="center"/>
            <w:hideMark/>
          </w:tcPr>
          <w:p w14:paraId="018FE0B6" w14:textId="77777777" w:rsidR="000823A6" w:rsidRPr="004E5034" w:rsidRDefault="000823A6" w:rsidP="005C0446">
            <w:pPr>
              <w:spacing w:after="0"/>
              <w:jc w:val="left"/>
              <w:rPr>
                <w:rFonts w:eastAsia="Times New Roman" w:cs="Calibri"/>
                <w:b/>
                <w:bCs/>
                <w:color w:val="000000"/>
                <w:sz w:val="20"/>
              </w:rPr>
            </w:pPr>
            <w:r w:rsidRPr="004E5034">
              <w:rPr>
                <w:rFonts w:eastAsia="Times New Roman" w:cs="Calibri"/>
                <w:b/>
                <w:bCs/>
                <w:color w:val="000000"/>
                <w:sz w:val="20"/>
              </w:rPr>
              <w:t>Pomoc v hmotnej núdzi</w:t>
            </w:r>
          </w:p>
        </w:tc>
        <w:tc>
          <w:tcPr>
            <w:tcW w:w="2410" w:type="dxa"/>
            <w:tcBorders>
              <w:top w:val="single" w:sz="4" w:space="0" w:color="auto"/>
              <w:left w:val="nil"/>
              <w:bottom w:val="single" w:sz="4" w:space="0" w:color="auto"/>
              <w:right w:val="nil"/>
            </w:tcBorders>
            <w:shd w:val="clear" w:color="000000" w:fill="FFFFFF"/>
            <w:noWrap/>
            <w:vAlign w:val="center"/>
            <w:hideMark/>
          </w:tcPr>
          <w:p w14:paraId="07AC5853" w14:textId="3FB9085D" w:rsidR="000823A6" w:rsidRPr="004E5034" w:rsidRDefault="000823A6" w:rsidP="005C0446">
            <w:pPr>
              <w:spacing w:after="0"/>
              <w:jc w:val="left"/>
              <w:rPr>
                <w:rFonts w:eastAsia="Times New Roman" w:cs="Calibri"/>
                <w:b/>
                <w:bCs/>
                <w:color w:val="000000"/>
                <w:sz w:val="20"/>
              </w:rPr>
            </w:pPr>
            <w:r w:rsidRPr="004E5034">
              <w:rPr>
                <w:rFonts w:eastAsia="Times New Roman" w:cs="Calibri"/>
                <w:b/>
                <w:bCs/>
                <w:color w:val="000000"/>
                <w:sz w:val="20"/>
              </w:rPr>
              <w:t xml:space="preserve">Príjem pod </w:t>
            </w:r>
            <w:r w:rsidR="005C0446">
              <w:rPr>
                <w:rFonts w:eastAsia="Times New Roman" w:cs="Calibri"/>
                <w:b/>
                <w:bCs/>
                <w:color w:val="000000"/>
                <w:sz w:val="20"/>
              </w:rPr>
              <w:t xml:space="preserve">životným </w:t>
            </w:r>
            <w:r w:rsidRPr="004E5034">
              <w:rPr>
                <w:rFonts w:eastAsia="Times New Roman" w:cs="Calibri"/>
                <w:b/>
                <w:bCs/>
                <w:color w:val="000000"/>
                <w:sz w:val="20"/>
              </w:rPr>
              <w:t>minimom</w:t>
            </w:r>
          </w:p>
        </w:tc>
        <w:tc>
          <w:tcPr>
            <w:tcW w:w="2126" w:type="dxa"/>
            <w:tcBorders>
              <w:top w:val="single" w:sz="4" w:space="0" w:color="auto"/>
              <w:left w:val="nil"/>
              <w:bottom w:val="single" w:sz="4" w:space="0" w:color="auto"/>
              <w:right w:val="nil"/>
            </w:tcBorders>
            <w:shd w:val="clear" w:color="000000" w:fill="FFFFFF"/>
            <w:noWrap/>
            <w:vAlign w:val="center"/>
            <w:hideMark/>
          </w:tcPr>
          <w:p w14:paraId="79C51016" w14:textId="77777777" w:rsidR="000823A6" w:rsidRPr="004E5034" w:rsidRDefault="000823A6" w:rsidP="005C0446">
            <w:pPr>
              <w:spacing w:after="0"/>
              <w:jc w:val="left"/>
              <w:rPr>
                <w:rFonts w:eastAsia="Times New Roman" w:cs="Calibri"/>
                <w:b/>
                <w:bCs/>
                <w:color w:val="000000"/>
                <w:sz w:val="20"/>
              </w:rPr>
            </w:pPr>
            <w:r w:rsidRPr="004E5034">
              <w:rPr>
                <w:rFonts w:eastAsia="Times New Roman" w:cs="Calibri"/>
                <w:b/>
                <w:bCs/>
                <w:color w:val="000000"/>
                <w:sz w:val="20"/>
              </w:rPr>
              <w:t>Ostatné deti*</w:t>
            </w:r>
          </w:p>
        </w:tc>
      </w:tr>
      <w:tr w:rsidR="000823A6" w:rsidRPr="004E5034" w14:paraId="3F507D01" w14:textId="77777777" w:rsidTr="00211B30">
        <w:trPr>
          <w:trHeight w:val="131"/>
        </w:trPr>
        <w:tc>
          <w:tcPr>
            <w:tcW w:w="2410" w:type="dxa"/>
            <w:vMerge w:val="restart"/>
            <w:tcBorders>
              <w:top w:val="nil"/>
              <w:left w:val="nil"/>
              <w:bottom w:val="nil"/>
              <w:right w:val="nil"/>
            </w:tcBorders>
            <w:shd w:val="clear" w:color="000000" w:fill="FFFFFF"/>
            <w:noWrap/>
            <w:vAlign w:val="center"/>
            <w:hideMark/>
          </w:tcPr>
          <w:p w14:paraId="6479A44E" w14:textId="77777777" w:rsidR="000823A6" w:rsidRPr="004E5034" w:rsidRDefault="000823A6" w:rsidP="005C0446">
            <w:pPr>
              <w:spacing w:after="0" w:line="240" w:lineRule="auto"/>
              <w:rPr>
                <w:rFonts w:eastAsia="Times New Roman" w:cs="Calibri"/>
                <w:b/>
                <w:bCs/>
                <w:color w:val="000000"/>
                <w:sz w:val="20"/>
              </w:rPr>
            </w:pPr>
            <w:r w:rsidRPr="004E5034">
              <w:rPr>
                <w:rFonts w:eastAsia="Times New Roman" w:cs="Calibri"/>
                <w:b/>
                <w:bCs/>
                <w:color w:val="000000"/>
                <w:sz w:val="20"/>
              </w:rPr>
              <w:t>3- a 4-ročné deti</w:t>
            </w:r>
          </w:p>
        </w:tc>
        <w:tc>
          <w:tcPr>
            <w:tcW w:w="2126" w:type="dxa"/>
            <w:tcBorders>
              <w:top w:val="nil"/>
              <w:left w:val="nil"/>
              <w:bottom w:val="nil"/>
              <w:right w:val="nil"/>
            </w:tcBorders>
            <w:shd w:val="clear" w:color="000000" w:fill="FFFFFF"/>
            <w:vAlign w:val="center"/>
            <w:hideMark/>
          </w:tcPr>
          <w:p w14:paraId="29A13CAC" w14:textId="77777777" w:rsidR="000823A6" w:rsidRPr="004E5034" w:rsidRDefault="000823A6" w:rsidP="005C0446">
            <w:pPr>
              <w:spacing w:after="0" w:line="240" w:lineRule="auto"/>
              <w:jc w:val="left"/>
              <w:rPr>
                <w:rFonts w:eastAsia="Times New Roman" w:cs="Calibri"/>
                <w:color w:val="000000"/>
                <w:sz w:val="20"/>
              </w:rPr>
            </w:pPr>
            <w:r w:rsidRPr="004E5034">
              <w:rPr>
                <w:rFonts w:eastAsia="Times New Roman" w:cs="Calibri"/>
                <w:color w:val="000000"/>
                <w:sz w:val="20"/>
              </w:rPr>
              <w:t>MŠ bez poplatku</w:t>
            </w:r>
          </w:p>
        </w:tc>
        <w:tc>
          <w:tcPr>
            <w:tcW w:w="2410" w:type="dxa"/>
            <w:tcBorders>
              <w:top w:val="nil"/>
              <w:left w:val="nil"/>
              <w:bottom w:val="nil"/>
              <w:right w:val="nil"/>
            </w:tcBorders>
            <w:shd w:val="clear" w:color="000000" w:fill="FFFFFF"/>
            <w:vAlign w:val="center"/>
            <w:hideMark/>
          </w:tcPr>
          <w:p w14:paraId="29A16163" w14:textId="77777777" w:rsidR="000823A6" w:rsidRPr="004E5034" w:rsidRDefault="000823A6" w:rsidP="005C0446">
            <w:pPr>
              <w:spacing w:after="0" w:line="240" w:lineRule="auto"/>
              <w:jc w:val="left"/>
              <w:rPr>
                <w:rFonts w:eastAsia="Times New Roman" w:cs="Calibri"/>
                <w:color w:val="000000"/>
                <w:sz w:val="20"/>
              </w:rPr>
            </w:pPr>
            <w:r w:rsidRPr="004E5034">
              <w:rPr>
                <w:rFonts w:eastAsia="Times New Roman" w:cs="Calibri"/>
                <w:color w:val="000000"/>
                <w:sz w:val="20"/>
              </w:rPr>
              <w:t>MŠ s poplatkom</w:t>
            </w:r>
          </w:p>
        </w:tc>
        <w:tc>
          <w:tcPr>
            <w:tcW w:w="2126" w:type="dxa"/>
            <w:tcBorders>
              <w:top w:val="nil"/>
              <w:left w:val="nil"/>
              <w:bottom w:val="nil"/>
              <w:right w:val="nil"/>
            </w:tcBorders>
            <w:shd w:val="clear" w:color="000000" w:fill="FFFFFF"/>
            <w:vAlign w:val="center"/>
            <w:hideMark/>
          </w:tcPr>
          <w:p w14:paraId="2F21D0B5" w14:textId="77777777" w:rsidR="000823A6" w:rsidRPr="004E5034" w:rsidRDefault="000823A6" w:rsidP="005C0446">
            <w:pPr>
              <w:spacing w:after="0" w:line="240" w:lineRule="auto"/>
              <w:jc w:val="left"/>
              <w:rPr>
                <w:rFonts w:eastAsia="Times New Roman" w:cs="Calibri"/>
                <w:color w:val="000000"/>
                <w:sz w:val="20"/>
              </w:rPr>
            </w:pPr>
            <w:r w:rsidRPr="004E5034">
              <w:rPr>
                <w:rFonts w:eastAsia="Times New Roman" w:cs="Calibri"/>
                <w:color w:val="000000"/>
                <w:sz w:val="20"/>
              </w:rPr>
              <w:t>MŠ s poplatkom</w:t>
            </w:r>
          </w:p>
        </w:tc>
      </w:tr>
      <w:tr w:rsidR="000823A6" w:rsidRPr="004E5034" w14:paraId="3A2B0E71" w14:textId="77777777" w:rsidTr="000823A6">
        <w:trPr>
          <w:trHeight w:val="330"/>
        </w:trPr>
        <w:tc>
          <w:tcPr>
            <w:tcW w:w="2410" w:type="dxa"/>
            <w:vMerge/>
            <w:tcBorders>
              <w:top w:val="nil"/>
              <w:left w:val="nil"/>
              <w:bottom w:val="single" w:sz="4" w:space="0" w:color="auto"/>
              <w:right w:val="nil"/>
            </w:tcBorders>
            <w:vAlign w:val="center"/>
            <w:hideMark/>
          </w:tcPr>
          <w:p w14:paraId="0DD8739F" w14:textId="77777777" w:rsidR="000823A6" w:rsidRPr="004E5034" w:rsidRDefault="000823A6" w:rsidP="005C0446">
            <w:pPr>
              <w:spacing w:after="0" w:line="240" w:lineRule="auto"/>
              <w:jc w:val="left"/>
              <w:rPr>
                <w:rFonts w:eastAsia="Times New Roman" w:cs="Calibri"/>
                <w:b/>
                <w:bCs/>
                <w:color w:val="000000"/>
                <w:sz w:val="20"/>
              </w:rPr>
            </w:pPr>
          </w:p>
        </w:tc>
        <w:tc>
          <w:tcPr>
            <w:tcW w:w="2126" w:type="dxa"/>
            <w:tcBorders>
              <w:top w:val="nil"/>
              <w:left w:val="nil"/>
              <w:bottom w:val="single" w:sz="4" w:space="0" w:color="auto"/>
              <w:right w:val="nil"/>
            </w:tcBorders>
            <w:shd w:val="clear" w:color="000000" w:fill="FFFFFF"/>
            <w:vAlign w:val="center"/>
            <w:hideMark/>
          </w:tcPr>
          <w:p w14:paraId="43D84F96" w14:textId="77777777" w:rsidR="000823A6" w:rsidRPr="004E5034" w:rsidRDefault="000823A6" w:rsidP="005C0446">
            <w:pPr>
              <w:spacing w:after="0" w:line="240" w:lineRule="auto"/>
              <w:jc w:val="left"/>
              <w:rPr>
                <w:rFonts w:eastAsia="Times New Roman" w:cs="Calibri"/>
                <w:color w:val="000000"/>
                <w:sz w:val="20"/>
              </w:rPr>
            </w:pPr>
            <w:r w:rsidRPr="004E5034">
              <w:rPr>
                <w:rFonts w:eastAsia="Times New Roman" w:cs="Calibri"/>
                <w:color w:val="000000"/>
                <w:sz w:val="20"/>
              </w:rPr>
              <w:t>obedy dotované</w:t>
            </w:r>
          </w:p>
        </w:tc>
        <w:tc>
          <w:tcPr>
            <w:tcW w:w="2410" w:type="dxa"/>
            <w:tcBorders>
              <w:top w:val="nil"/>
              <w:left w:val="nil"/>
              <w:bottom w:val="single" w:sz="4" w:space="0" w:color="auto"/>
              <w:right w:val="nil"/>
            </w:tcBorders>
            <w:shd w:val="clear" w:color="000000" w:fill="FFFFFF"/>
            <w:vAlign w:val="center"/>
            <w:hideMark/>
          </w:tcPr>
          <w:p w14:paraId="5C720981" w14:textId="77777777" w:rsidR="000823A6" w:rsidRPr="004E5034" w:rsidRDefault="000823A6" w:rsidP="005C0446">
            <w:pPr>
              <w:spacing w:after="0" w:line="240" w:lineRule="auto"/>
              <w:jc w:val="left"/>
              <w:rPr>
                <w:rFonts w:eastAsia="Times New Roman" w:cs="Calibri"/>
                <w:color w:val="000000"/>
                <w:sz w:val="20"/>
              </w:rPr>
            </w:pPr>
            <w:r w:rsidRPr="004E5034">
              <w:rPr>
                <w:rFonts w:eastAsia="Times New Roman" w:cs="Calibri"/>
                <w:color w:val="000000"/>
                <w:sz w:val="20"/>
              </w:rPr>
              <w:t>obedy dotované</w:t>
            </w:r>
          </w:p>
        </w:tc>
        <w:tc>
          <w:tcPr>
            <w:tcW w:w="2126" w:type="dxa"/>
            <w:tcBorders>
              <w:top w:val="nil"/>
              <w:left w:val="nil"/>
              <w:bottom w:val="single" w:sz="4" w:space="0" w:color="auto"/>
              <w:right w:val="nil"/>
            </w:tcBorders>
            <w:shd w:val="clear" w:color="000000" w:fill="FFFFFF"/>
            <w:vAlign w:val="center"/>
            <w:hideMark/>
          </w:tcPr>
          <w:p w14:paraId="1DE375CD" w14:textId="77777777" w:rsidR="000823A6" w:rsidRPr="004E5034" w:rsidRDefault="000823A6" w:rsidP="005C0446">
            <w:pPr>
              <w:spacing w:after="0" w:line="240" w:lineRule="auto"/>
              <w:jc w:val="left"/>
              <w:rPr>
                <w:rFonts w:eastAsia="Times New Roman" w:cs="Calibri"/>
                <w:color w:val="000000"/>
                <w:sz w:val="20"/>
              </w:rPr>
            </w:pPr>
            <w:r w:rsidRPr="004E5034">
              <w:rPr>
                <w:rFonts w:eastAsia="Times New Roman" w:cs="Calibri"/>
                <w:color w:val="000000"/>
                <w:sz w:val="20"/>
              </w:rPr>
              <w:t>obedy nedotované</w:t>
            </w:r>
          </w:p>
        </w:tc>
      </w:tr>
      <w:tr w:rsidR="000823A6" w:rsidRPr="004E5034" w14:paraId="67D4994C" w14:textId="77777777" w:rsidTr="00211B30">
        <w:trPr>
          <w:trHeight w:val="169"/>
        </w:trPr>
        <w:tc>
          <w:tcPr>
            <w:tcW w:w="2410" w:type="dxa"/>
            <w:vMerge w:val="restart"/>
            <w:tcBorders>
              <w:top w:val="single" w:sz="4" w:space="0" w:color="auto"/>
              <w:left w:val="nil"/>
              <w:bottom w:val="single" w:sz="4" w:space="0" w:color="000000"/>
              <w:right w:val="nil"/>
            </w:tcBorders>
            <w:shd w:val="clear" w:color="000000" w:fill="FFFFFF"/>
            <w:noWrap/>
            <w:vAlign w:val="center"/>
            <w:hideMark/>
          </w:tcPr>
          <w:p w14:paraId="20D5DE25" w14:textId="77777777" w:rsidR="000823A6" w:rsidRPr="004E5034" w:rsidRDefault="000823A6" w:rsidP="005C0446">
            <w:pPr>
              <w:spacing w:after="0" w:line="240" w:lineRule="auto"/>
              <w:rPr>
                <w:rFonts w:eastAsia="Times New Roman" w:cs="Calibri"/>
                <w:b/>
                <w:bCs/>
                <w:color w:val="000000"/>
                <w:sz w:val="20"/>
              </w:rPr>
            </w:pPr>
            <w:r w:rsidRPr="004E5034">
              <w:rPr>
                <w:rFonts w:eastAsia="Times New Roman" w:cs="Calibri"/>
                <w:b/>
                <w:bCs/>
                <w:color w:val="000000"/>
                <w:sz w:val="20"/>
              </w:rPr>
              <w:t>5-ročné deti/predškoláci</w:t>
            </w:r>
          </w:p>
        </w:tc>
        <w:tc>
          <w:tcPr>
            <w:tcW w:w="2126" w:type="dxa"/>
            <w:tcBorders>
              <w:top w:val="single" w:sz="4" w:space="0" w:color="auto"/>
              <w:left w:val="nil"/>
              <w:bottom w:val="nil"/>
              <w:right w:val="nil"/>
            </w:tcBorders>
            <w:shd w:val="clear" w:color="000000" w:fill="FFFFFF"/>
            <w:vAlign w:val="center"/>
            <w:hideMark/>
          </w:tcPr>
          <w:p w14:paraId="47B7E3CB" w14:textId="77777777" w:rsidR="000823A6" w:rsidRPr="004E5034" w:rsidRDefault="000823A6" w:rsidP="005C0446">
            <w:pPr>
              <w:spacing w:after="0" w:line="240" w:lineRule="auto"/>
              <w:jc w:val="left"/>
              <w:rPr>
                <w:rFonts w:eastAsia="Times New Roman" w:cs="Calibri"/>
                <w:color w:val="000000"/>
                <w:sz w:val="20"/>
              </w:rPr>
            </w:pPr>
            <w:r w:rsidRPr="004E5034">
              <w:rPr>
                <w:rFonts w:eastAsia="Times New Roman" w:cs="Calibri"/>
                <w:color w:val="000000"/>
                <w:sz w:val="20"/>
              </w:rPr>
              <w:t>MŠ bez poplatku</w:t>
            </w:r>
          </w:p>
        </w:tc>
        <w:tc>
          <w:tcPr>
            <w:tcW w:w="2410" w:type="dxa"/>
            <w:tcBorders>
              <w:top w:val="single" w:sz="4" w:space="0" w:color="auto"/>
              <w:left w:val="nil"/>
              <w:bottom w:val="nil"/>
              <w:right w:val="nil"/>
            </w:tcBorders>
            <w:shd w:val="clear" w:color="000000" w:fill="FFFFFF"/>
            <w:vAlign w:val="center"/>
            <w:hideMark/>
          </w:tcPr>
          <w:p w14:paraId="74AABEFB" w14:textId="77777777" w:rsidR="000823A6" w:rsidRPr="004E5034" w:rsidRDefault="000823A6" w:rsidP="005C0446">
            <w:pPr>
              <w:spacing w:after="0" w:line="240" w:lineRule="auto"/>
              <w:jc w:val="left"/>
              <w:rPr>
                <w:rFonts w:eastAsia="Times New Roman" w:cs="Calibri"/>
                <w:color w:val="000000"/>
                <w:sz w:val="20"/>
              </w:rPr>
            </w:pPr>
            <w:r w:rsidRPr="004E5034">
              <w:rPr>
                <w:rFonts w:eastAsia="Times New Roman" w:cs="Calibri"/>
                <w:color w:val="000000"/>
                <w:sz w:val="20"/>
              </w:rPr>
              <w:t>MŠ bez poplatku</w:t>
            </w:r>
          </w:p>
        </w:tc>
        <w:tc>
          <w:tcPr>
            <w:tcW w:w="2126" w:type="dxa"/>
            <w:tcBorders>
              <w:top w:val="single" w:sz="4" w:space="0" w:color="auto"/>
              <w:left w:val="nil"/>
              <w:bottom w:val="nil"/>
              <w:right w:val="nil"/>
            </w:tcBorders>
            <w:shd w:val="clear" w:color="000000" w:fill="FFFFFF"/>
            <w:vAlign w:val="center"/>
            <w:hideMark/>
          </w:tcPr>
          <w:p w14:paraId="556D9406" w14:textId="77777777" w:rsidR="000823A6" w:rsidRPr="004E5034" w:rsidRDefault="000823A6" w:rsidP="005C0446">
            <w:pPr>
              <w:spacing w:after="0" w:line="240" w:lineRule="auto"/>
              <w:jc w:val="left"/>
              <w:rPr>
                <w:rFonts w:eastAsia="Times New Roman" w:cs="Calibri"/>
                <w:color w:val="000000"/>
                <w:sz w:val="20"/>
              </w:rPr>
            </w:pPr>
            <w:r w:rsidRPr="004E5034">
              <w:rPr>
                <w:rFonts w:eastAsia="Times New Roman" w:cs="Calibri"/>
                <w:color w:val="000000"/>
                <w:sz w:val="20"/>
              </w:rPr>
              <w:t>MŠ bez poplatku</w:t>
            </w:r>
          </w:p>
        </w:tc>
      </w:tr>
      <w:tr w:rsidR="000823A6" w:rsidRPr="004E5034" w14:paraId="5FE61310" w14:textId="77777777" w:rsidTr="00211B30">
        <w:trPr>
          <w:trHeight w:val="312"/>
        </w:trPr>
        <w:tc>
          <w:tcPr>
            <w:tcW w:w="2410" w:type="dxa"/>
            <w:vMerge/>
            <w:tcBorders>
              <w:top w:val="single" w:sz="4" w:space="0" w:color="auto"/>
              <w:left w:val="nil"/>
              <w:bottom w:val="single" w:sz="4" w:space="0" w:color="000000"/>
              <w:right w:val="nil"/>
            </w:tcBorders>
            <w:vAlign w:val="center"/>
            <w:hideMark/>
          </w:tcPr>
          <w:p w14:paraId="6209E0C2" w14:textId="77777777" w:rsidR="000823A6" w:rsidRPr="004E5034" w:rsidRDefault="000823A6" w:rsidP="005C0446">
            <w:pPr>
              <w:spacing w:after="0" w:line="240" w:lineRule="auto"/>
              <w:jc w:val="left"/>
              <w:rPr>
                <w:rFonts w:eastAsia="Times New Roman" w:cs="Calibri"/>
                <w:b/>
                <w:bCs/>
                <w:color w:val="000000"/>
                <w:sz w:val="20"/>
              </w:rPr>
            </w:pPr>
          </w:p>
        </w:tc>
        <w:tc>
          <w:tcPr>
            <w:tcW w:w="2126" w:type="dxa"/>
            <w:tcBorders>
              <w:top w:val="nil"/>
              <w:left w:val="nil"/>
              <w:bottom w:val="nil"/>
              <w:right w:val="nil"/>
            </w:tcBorders>
            <w:shd w:val="clear" w:color="000000" w:fill="FFFFFF"/>
            <w:vAlign w:val="center"/>
            <w:hideMark/>
          </w:tcPr>
          <w:p w14:paraId="30005EC0" w14:textId="77777777" w:rsidR="000823A6" w:rsidRPr="004E5034" w:rsidRDefault="000823A6" w:rsidP="005C0446">
            <w:pPr>
              <w:spacing w:after="0" w:line="240" w:lineRule="auto"/>
              <w:jc w:val="left"/>
              <w:rPr>
                <w:rFonts w:eastAsia="Times New Roman" w:cs="Calibri"/>
                <w:color w:val="000000"/>
                <w:sz w:val="20"/>
              </w:rPr>
            </w:pPr>
            <w:r w:rsidRPr="004E5034">
              <w:rPr>
                <w:rFonts w:eastAsia="Times New Roman" w:cs="Calibri"/>
                <w:color w:val="000000"/>
                <w:sz w:val="20"/>
              </w:rPr>
              <w:t>obedy dotované</w:t>
            </w:r>
          </w:p>
        </w:tc>
        <w:tc>
          <w:tcPr>
            <w:tcW w:w="2410" w:type="dxa"/>
            <w:tcBorders>
              <w:top w:val="nil"/>
              <w:left w:val="nil"/>
              <w:bottom w:val="nil"/>
              <w:right w:val="nil"/>
            </w:tcBorders>
            <w:shd w:val="clear" w:color="000000" w:fill="FFFFFF"/>
            <w:vAlign w:val="center"/>
            <w:hideMark/>
          </w:tcPr>
          <w:p w14:paraId="193FB149" w14:textId="77777777" w:rsidR="000823A6" w:rsidRPr="004E5034" w:rsidRDefault="000823A6" w:rsidP="005C0446">
            <w:pPr>
              <w:spacing w:after="0" w:line="240" w:lineRule="auto"/>
              <w:jc w:val="left"/>
              <w:rPr>
                <w:rFonts w:eastAsia="Times New Roman" w:cs="Calibri"/>
                <w:color w:val="000000"/>
                <w:sz w:val="20"/>
              </w:rPr>
            </w:pPr>
            <w:r w:rsidRPr="004E5034">
              <w:rPr>
                <w:rFonts w:eastAsia="Times New Roman" w:cs="Calibri"/>
                <w:color w:val="000000"/>
                <w:sz w:val="20"/>
              </w:rPr>
              <w:t>obedy dotované</w:t>
            </w:r>
          </w:p>
        </w:tc>
        <w:tc>
          <w:tcPr>
            <w:tcW w:w="2126" w:type="dxa"/>
            <w:tcBorders>
              <w:top w:val="nil"/>
              <w:left w:val="nil"/>
              <w:bottom w:val="nil"/>
              <w:right w:val="nil"/>
            </w:tcBorders>
            <w:shd w:val="clear" w:color="000000" w:fill="FFFFFF"/>
            <w:vAlign w:val="center"/>
            <w:hideMark/>
          </w:tcPr>
          <w:p w14:paraId="3B810693" w14:textId="77777777" w:rsidR="000823A6" w:rsidRPr="004E5034" w:rsidRDefault="000823A6" w:rsidP="005C0446">
            <w:pPr>
              <w:spacing w:after="0" w:line="240" w:lineRule="auto"/>
              <w:jc w:val="left"/>
              <w:rPr>
                <w:rFonts w:eastAsia="Times New Roman" w:cs="Calibri"/>
                <w:color w:val="000000"/>
                <w:sz w:val="20"/>
              </w:rPr>
            </w:pPr>
            <w:r w:rsidRPr="004E5034">
              <w:rPr>
                <w:rFonts w:eastAsia="Times New Roman" w:cs="Calibri"/>
                <w:color w:val="000000"/>
                <w:sz w:val="20"/>
              </w:rPr>
              <w:t>obedy dotované</w:t>
            </w:r>
          </w:p>
        </w:tc>
      </w:tr>
      <w:tr w:rsidR="000823A6" w:rsidRPr="004E5034" w14:paraId="1F0CEDA2" w14:textId="77777777" w:rsidTr="00211B30">
        <w:trPr>
          <w:trHeight w:val="133"/>
        </w:trPr>
        <w:tc>
          <w:tcPr>
            <w:tcW w:w="2410" w:type="dxa"/>
            <w:vMerge/>
            <w:tcBorders>
              <w:top w:val="single" w:sz="4" w:space="0" w:color="auto"/>
              <w:left w:val="nil"/>
              <w:bottom w:val="single" w:sz="4" w:space="0" w:color="auto"/>
              <w:right w:val="nil"/>
            </w:tcBorders>
            <w:vAlign w:val="center"/>
            <w:hideMark/>
          </w:tcPr>
          <w:p w14:paraId="1876289A" w14:textId="77777777" w:rsidR="000823A6" w:rsidRPr="004E5034" w:rsidRDefault="000823A6" w:rsidP="005C0446">
            <w:pPr>
              <w:spacing w:after="0" w:line="240" w:lineRule="auto"/>
              <w:jc w:val="left"/>
              <w:rPr>
                <w:rFonts w:eastAsia="Times New Roman" w:cs="Calibri"/>
                <w:b/>
                <w:bCs/>
                <w:color w:val="000000"/>
                <w:sz w:val="20"/>
              </w:rPr>
            </w:pPr>
          </w:p>
        </w:tc>
        <w:tc>
          <w:tcPr>
            <w:tcW w:w="2126" w:type="dxa"/>
            <w:tcBorders>
              <w:top w:val="nil"/>
              <w:left w:val="nil"/>
              <w:bottom w:val="single" w:sz="4" w:space="0" w:color="auto"/>
              <w:right w:val="nil"/>
            </w:tcBorders>
            <w:shd w:val="clear" w:color="000000" w:fill="FFFFFF"/>
            <w:vAlign w:val="center"/>
            <w:hideMark/>
          </w:tcPr>
          <w:p w14:paraId="080062FB" w14:textId="77777777" w:rsidR="000823A6" w:rsidRPr="004E5034" w:rsidRDefault="000823A6" w:rsidP="005C0446">
            <w:pPr>
              <w:spacing w:after="0" w:line="240" w:lineRule="auto"/>
              <w:jc w:val="left"/>
              <w:rPr>
                <w:rFonts w:eastAsia="Times New Roman" w:cs="Calibri"/>
                <w:color w:val="000000"/>
                <w:sz w:val="20"/>
              </w:rPr>
            </w:pPr>
            <w:r w:rsidRPr="004E5034">
              <w:rPr>
                <w:rFonts w:eastAsia="Times New Roman" w:cs="Calibri"/>
                <w:color w:val="000000"/>
                <w:sz w:val="20"/>
              </w:rPr>
              <w:t>pomôcky dotované</w:t>
            </w:r>
          </w:p>
        </w:tc>
        <w:tc>
          <w:tcPr>
            <w:tcW w:w="2410" w:type="dxa"/>
            <w:tcBorders>
              <w:top w:val="nil"/>
              <w:left w:val="nil"/>
              <w:bottom w:val="single" w:sz="4" w:space="0" w:color="auto"/>
              <w:right w:val="nil"/>
            </w:tcBorders>
            <w:shd w:val="clear" w:color="000000" w:fill="FFFFFF"/>
            <w:vAlign w:val="center"/>
            <w:hideMark/>
          </w:tcPr>
          <w:p w14:paraId="11E1F228" w14:textId="77777777" w:rsidR="000823A6" w:rsidRPr="004E5034" w:rsidRDefault="000823A6" w:rsidP="005C0446">
            <w:pPr>
              <w:spacing w:after="0" w:line="240" w:lineRule="auto"/>
              <w:jc w:val="left"/>
              <w:rPr>
                <w:rFonts w:eastAsia="Times New Roman" w:cs="Calibri"/>
                <w:color w:val="000000"/>
                <w:sz w:val="20"/>
              </w:rPr>
            </w:pPr>
            <w:r w:rsidRPr="004E5034">
              <w:rPr>
                <w:rFonts w:eastAsia="Times New Roman" w:cs="Calibri"/>
                <w:color w:val="000000"/>
                <w:sz w:val="20"/>
              </w:rPr>
              <w:t>pomôcky dotované</w:t>
            </w:r>
          </w:p>
        </w:tc>
        <w:tc>
          <w:tcPr>
            <w:tcW w:w="2126" w:type="dxa"/>
            <w:tcBorders>
              <w:top w:val="nil"/>
              <w:left w:val="nil"/>
              <w:bottom w:val="single" w:sz="4" w:space="0" w:color="auto"/>
              <w:right w:val="nil"/>
            </w:tcBorders>
            <w:shd w:val="clear" w:color="000000" w:fill="FFFFFF"/>
            <w:vAlign w:val="center"/>
            <w:hideMark/>
          </w:tcPr>
          <w:p w14:paraId="24139A23" w14:textId="77777777" w:rsidR="000823A6" w:rsidRPr="004E5034" w:rsidRDefault="000823A6" w:rsidP="005C0446">
            <w:pPr>
              <w:spacing w:after="0" w:line="240" w:lineRule="auto"/>
              <w:jc w:val="left"/>
              <w:rPr>
                <w:rFonts w:eastAsia="Times New Roman" w:cs="Calibri"/>
                <w:color w:val="000000"/>
                <w:sz w:val="20"/>
              </w:rPr>
            </w:pPr>
            <w:r w:rsidRPr="004E5034">
              <w:rPr>
                <w:rFonts w:eastAsia="Times New Roman" w:cs="Calibri"/>
                <w:color w:val="000000"/>
                <w:sz w:val="20"/>
              </w:rPr>
              <w:t>pomôcky nedotované</w:t>
            </w:r>
          </w:p>
        </w:tc>
      </w:tr>
      <w:tr w:rsidR="000823A6" w:rsidRPr="004E5034" w14:paraId="37A30292" w14:textId="77777777" w:rsidTr="000823A6">
        <w:trPr>
          <w:trHeight w:val="330"/>
        </w:trPr>
        <w:tc>
          <w:tcPr>
            <w:tcW w:w="9072" w:type="dxa"/>
            <w:gridSpan w:val="4"/>
            <w:tcBorders>
              <w:top w:val="single" w:sz="4" w:space="0" w:color="auto"/>
              <w:left w:val="nil"/>
              <w:right w:val="nil"/>
            </w:tcBorders>
            <w:vAlign w:val="center"/>
          </w:tcPr>
          <w:p w14:paraId="4E052D2D" w14:textId="77777777" w:rsidR="000823A6" w:rsidRPr="004E5034" w:rsidRDefault="000823A6" w:rsidP="00452DBC">
            <w:pPr>
              <w:spacing w:after="0" w:line="240" w:lineRule="auto"/>
              <w:jc w:val="left"/>
              <w:rPr>
                <w:rFonts w:eastAsia="Times New Roman" w:cs="Calibri"/>
                <w:i/>
                <w:color w:val="000000"/>
                <w:sz w:val="18"/>
                <w:szCs w:val="18"/>
              </w:rPr>
            </w:pPr>
            <w:r w:rsidRPr="004E5034">
              <w:rPr>
                <w:rFonts w:eastAsia="Times New Roman" w:cs="Calibri"/>
                <w:i/>
                <w:color w:val="000000"/>
                <w:sz w:val="18"/>
                <w:szCs w:val="18"/>
              </w:rPr>
              <w:t>* Deti žijúce v rodinách, ktorých príjem je nad hranicou životného minima, majú obedy, a v prípade predškolákov aj pomôcky, dotované ak sú v materskej škole, kde sa vzdeláva viac ako polovica detí v systéme pomoci v hmotnej núdzi.</w:t>
            </w:r>
          </w:p>
        </w:tc>
      </w:tr>
    </w:tbl>
    <w:p w14:paraId="03A6721C" w14:textId="77777777" w:rsidR="000823A6" w:rsidRPr="00B3681B" w:rsidRDefault="000823A6" w:rsidP="000823A6">
      <w:pPr>
        <w:pStyle w:val="Bezriadkovania"/>
        <w:spacing w:before="160" w:after="240" w:line="259" w:lineRule="auto"/>
        <w:jc w:val="both"/>
        <w:rPr>
          <w:rFonts w:ascii="Arial Narrow" w:hAnsi="Arial Narrow"/>
          <w:b/>
          <w:u w:val="single"/>
        </w:rPr>
      </w:pPr>
      <w:r w:rsidRPr="00B3681B">
        <w:rPr>
          <w:rFonts w:ascii="Arial Narrow" w:hAnsi="Arial Narrow"/>
          <w:b/>
          <w:u w:val="single"/>
        </w:rPr>
        <w:t>Odpustenie poplatkov za návštevu materskej školy</w:t>
      </w:r>
    </w:p>
    <w:p w14:paraId="23745232" w14:textId="37F59344" w:rsidR="000823A6" w:rsidRPr="009B7851" w:rsidRDefault="000823A6" w:rsidP="005565F2">
      <w:pPr>
        <w:rPr>
          <w:bCs/>
        </w:rPr>
      </w:pPr>
      <w:r w:rsidRPr="005565F2">
        <w:rPr>
          <w:b/>
        </w:rPr>
        <w:t>Výdavky na príspevok na výchovu a vzdelávanie pre materské školy v roku 2018 predstavovali 305 tisíc eur a boli poskytnuté na 1 842 detí,</w:t>
      </w:r>
      <w:r w:rsidRPr="005565F2">
        <w:rPr>
          <w:b/>
          <w:bCs/>
        </w:rPr>
        <w:t xml:space="preserve"> čo predstavovalo 1,1 % všetkých detí v MŠ a odhadom</w:t>
      </w:r>
      <w:r w:rsidR="0070047D">
        <w:rPr>
          <w:b/>
          <w:bCs/>
        </w:rPr>
        <w:t xml:space="preserve"> </w:t>
      </w:r>
      <w:r w:rsidRPr="005565F2">
        <w:rPr>
          <w:b/>
          <w:bCs/>
        </w:rPr>
        <w:t>11 % detí ohrozených chudobou alebo sociálnym vylúčením.</w:t>
      </w:r>
      <w:r w:rsidRPr="005565F2">
        <w:rPr>
          <w:rStyle w:val="Odkaznapoznmkupodiarou"/>
          <w:b/>
        </w:rPr>
        <w:footnoteReference w:id="82"/>
      </w:r>
      <w:r w:rsidRPr="006A76CA">
        <w:t xml:space="preserve"> </w:t>
      </w:r>
      <w:r w:rsidRPr="009B7851">
        <w:t xml:space="preserve">Príspevkom štát kompenzuje zriaďovateľom „výpadok“ v príjmoch </w:t>
      </w:r>
      <w:r>
        <w:t xml:space="preserve">z dôvodu odpustenia poplatkov pre deti v systéme PHN </w:t>
      </w:r>
      <w:r w:rsidRPr="009B7851">
        <w:t>vo výške 15 % životného minima. V roku 2</w:t>
      </w:r>
      <w:r>
        <w:t>018 mal príspevok výšku 165 eur za rok</w:t>
      </w:r>
      <w:r w:rsidRPr="009B7851">
        <w:t xml:space="preserve">. </w:t>
      </w:r>
    </w:p>
    <w:p w14:paraId="40822094" w14:textId="0719EE0A" w:rsidR="000823A6" w:rsidRPr="00D41517" w:rsidRDefault="0038189D" w:rsidP="005565F2">
      <w:r w:rsidRPr="00F23CE6">
        <w:rPr>
          <w:b/>
        </w:rPr>
        <w:t>Pre ohrozené rodiny, ktorých deti nemajú nárok na podporu, môže výška poplatkov v MŠ predstavovať finančnú bariéru.</w:t>
      </w:r>
      <w:r w:rsidRPr="00D41517">
        <w:t xml:space="preserve"> </w:t>
      </w:r>
      <w:r w:rsidR="000823A6" w:rsidRPr="00102D5A">
        <w:rPr>
          <w:b/>
        </w:rPr>
        <w:t>Priemerná mesačná výška poplatku za návštevu MŠ v Banskobystrickom, Košickom a Prešovskom kraji je 13,1</w:t>
      </w:r>
      <w:r w:rsidR="000823A6">
        <w:rPr>
          <w:b/>
        </w:rPr>
        <w:t>0</w:t>
      </w:r>
      <w:r w:rsidR="000823A6" w:rsidRPr="00102D5A">
        <w:rPr>
          <w:b/>
        </w:rPr>
        <w:t xml:space="preserve"> eur.</w:t>
      </w:r>
      <w:r w:rsidR="000823A6">
        <w:t xml:space="preserve"> </w:t>
      </w:r>
      <w:r w:rsidR="00B24660">
        <w:t>Vyplýva</w:t>
      </w:r>
      <w:r w:rsidR="000823A6">
        <w:t xml:space="preserve"> to</w:t>
      </w:r>
      <w:r w:rsidR="000823A6" w:rsidRPr="00355868">
        <w:t xml:space="preserve"> </w:t>
      </w:r>
      <w:r w:rsidR="000823A6">
        <w:t>z</w:t>
      </w:r>
      <w:r w:rsidR="000823A6" w:rsidRPr="00355868">
        <w:t xml:space="preserve"> analýzy aktuálne platných </w:t>
      </w:r>
      <w:r w:rsidR="000823A6" w:rsidRPr="00DB462E">
        <w:t>všeobecne záväzných nariadení (VZN).</w:t>
      </w:r>
      <w:r w:rsidR="00E963DA">
        <w:rPr>
          <w:rStyle w:val="Odkaznapoznmkupodiarou"/>
        </w:rPr>
        <w:footnoteReference w:id="83"/>
      </w:r>
      <w:r w:rsidR="000823A6" w:rsidRPr="00DB462E">
        <w:t xml:space="preserve"> Ide o kraje, kde žije najviac detí ohrozených chudobou a sociálnym vylúčením (</w:t>
      </w:r>
      <w:r w:rsidR="000823A6" w:rsidRPr="00D04C7F">
        <w:t>71</w:t>
      </w:r>
      <w:r w:rsidR="000823A6" w:rsidRPr="00DB462E">
        <w:t xml:space="preserve"> %). Kým v minulosti</w:t>
      </w:r>
      <w:r w:rsidR="000823A6" w:rsidRPr="006A76CA">
        <w:t xml:space="preserve"> stanovoval štát maximálnu výšku poplatku na 7,5 % životného minima na jedno nezaopatrené dieťa (7 EUR v roku 2018), dnes už táto regulácia neplatí a obce si môžu výšky poplatkov nastaviť podľa vlastného uváženia.</w:t>
      </w:r>
      <w:r w:rsidR="000823A6" w:rsidRPr="006A76CA">
        <w:rPr>
          <w:rStyle w:val="Odkaznapoznmkupodiarou"/>
        </w:rPr>
        <w:footnoteReference w:id="84"/>
      </w:r>
      <w:r w:rsidR="000823A6" w:rsidRPr="006A76CA">
        <w:t xml:space="preserve"> 61 % obcí má výšku poplatku stanovenú nižšie alebo na úrovni 7,5 % životného minima, a 39 % obcí má výšku poplatku stanovenú vyššie ako 7,5 % životného minim</w:t>
      </w:r>
      <w:r>
        <w:t>a (</w:t>
      </w:r>
      <w:r w:rsidR="000823A6" w:rsidRPr="006A76CA">
        <w:t>v priemere 25,5</w:t>
      </w:r>
      <w:r w:rsidR="000823A6">
        <w:t>0 eur</w:t>
      </w:r>
      <w:r>
        <w:t>)</w:t>
      </w:r>
      <w:r w:rsidR="000823A6" w:rsidRPr="006A76CA">
        <w:t>.</w:t>
      </w:r>
      <w:r w:rsidR="000823A6" w:rsidRPr="006A76CA">
        <w:rPr>
          <w:rStyle w:val="Odkaznapoznmkupodiarou"/>
        </w:rPr>
        <w:footnoteReference w:id="85"/>
      </w:r>
      <w:r w:rsidR="000823A6">
        <w:t xml:space="preserve"> </w:t>
      </w:r>
      <w:r w:rsidR="00B74A39" w:rsidRPr="00D41517">
        <w:t xml:space="preserve">Rozšírenie definície </w:t>
      </w:r>
      <w:r>
        <w:t xml:space="preserve">SZP </w:t>
      </w:r>
      <w:r w:rsidR="00B74A39" w:rsidRPr="00D41517">
        <w:t xml:space="preserve">o ďalšie faktory (úvod tejto kapitoly) zabezpečí, že nárok na odpustenie poplatkov bude mať väčšia časť ohrozených </w:t>
      </w:r>
      <w:r>
        <w:t>detí</w:t>
      </w:r>
      <w:r w:rsidR="00B74A39" w:rsidRPr="00D41517">
        <w:t>.</w:t>
      </w:r>
    </w:p>
    <w:p w14:paraId="5B28B47E" w14:textId="77777777" w:rsidR="000823A6" w:rsidRPr="00B3681B" w:rsidRDefault="000823A6" w:rsidP="000823A6">
      <w:pPr>
        <w:pStyle w:val="Bezriadkovania"/>
        <w:spacing w:before="160" w:after="240" w:line="259" w:lineRule="auto"/>
        <w:jc w:val="both"/>
        <w:rPr>
          <w:rFonts w:ascii="Arial Narrow" w:hAnsi="Arial Narrow"/>
          <w:b/>
          <w:u w:val="single"/>
        </w:rPr>
      </w:pPr>
      <w:r w:rsidRPr="00B3681B">
        <w:rPr>
          <w:rFonts w:ascii="Arial Narrow" w:hAnsi="Arial Narrow"/>
          <w:b/>
          <w:u w:val="single"/>
        </w:rPr>
        <w:t>Dotácie na stravu a školské pomôcky</w:t>
      </w:r>
    </w:p>
    <w:p w14:paraId="43A120BD" w14:textId="1A8C9D0D" w:rsidR="000823A6" w:rsidRPr="00452DBC" w:rsidRDefault="000823A6" w:rsidP="005565F2">
      <w:r w:rsidRPr="005565F2">
        <w:rPr>
          <w:b/>
        </w:rPr>
        <w:t>Dotácie na stravu sa v roku 2018 poskytovali v priemere pre 5 036 detí v MŠ za mesiac, čo predstavovalo 3,1 % všetkých detí v</w:t>
      </w:r>
      <w:r w:rsidR="00D0125C">
        <w:rPr>
          <w:b/>
        </w:rPr>
        <w:t> </w:t>
      </w:r>
      <w:r w:rsidRPr="005565F2">
        <w:rPr>
          <w:b/>
        </w:rPr>
        <w:t>MŠ</w:t>
      </w:r>
      <w:r w:rsidR="00D0125C">
        <w:rPr>
          <w:b/>
        </w:rPr>
        <w:t xml:space="preserve"> a </w:t>
      </w:r>
      <w:r w:rsidR="00D0125C" w:rsidRPr="005565F2">
        <w:rPr>
          <w:b/>
        </w:rPr>
        <w:t>30 % detí ohrozených chudobou alebo sociálnym vylúčením, ktoré navštevovali MŠ.</w:t>
      </w:r>
      <w:r w:rsidR="00D0125C" w:rsidRPr="005565F2">
        <w:rPr>
          <w:rStyle w:val="Odkaznapoznmkupodiarou"/>
          <w:b/>
        </w:rPr>
        <w:footnoteReference w:id="86"/>
      </w:r>
      <w:r w:rsidR="00D0125C" w:rsidRPr="005565F2">
        <w:rPr>
          <w:b/>
          <w:vertAlign w:val="superscript"/>
        </w:rPr>
        <w:t>,</w:t>
      </w:r>
      <w:r w:rsidR="00D0125C" w:rsidRPr="005565F2">
        <w:rPr>
          <w:rStyle w:val="Odkaznapoznmkupodiarou"/>
          <w:b/>
        </w:rPr>
        <w:footnoteReference w:id="87"/>
      </w:r>
      <w:r w:rsidRPr="005565F2">
        <w:rPr>
          <w:b/>
        </w:rPr>
        <w:t xml:space="preserve"> </w:t>
      </w:r>
      <w:r w:rsidRPr="00452DBC">
        <w:t>Dotácia mala hodnotu 1</w:t>
      </w:r>
      <w:r w:rsidR="00F23CE6" w:rsidRPr="00452DBC">
        <w:t xml:space="preserve"> euro</w:t>
      </w:r>
      <w:r w:rsidRPr="00452DBC">
        <w:t xml:space="preserve"> za každý deň strávený v MŠ a celkové výdavky na toto opatrenie predstavovali 652 tisíc eur. Výška dotácie navyše nebola od momentu jej zavedenia v roku 2011 valorizovaná, čo vzhľadom na infláciu cien potravín spôsobilo pokles jej reálnej hodnoty do januára 2019 o 14,2 %.</w:t>
      </w:r>
    </w:p>
    <w:p w14:paraId="1771B9C5" w14:textId="70A79BCC" w:rsidR="000823A6" w:rsidRPr="00236DAA" w:rsidRDefault="000823A6">
      <w:r w:rsidRPr="00802930">
        <w:rPr>
          <w:b/>
        </w:rPr>
        <w:t xml:space="preserve">Prístup k dotáciám na stravu má pozitívny vplyv na zaškolenosť predškolákov </w:t>
      </w:r>
      <w:r w:rsidR="004E7C3D">
        <w:rPr>
          <w:b/>
        </w:rPr>
        <w:t>z prostredia</w:t>
      </w:r>
      <w:r w:rsidRPr="00802930">
        <w:rPr>
          <w:b/>
        </w:rPr>
        <w:t xml:space="preserve"> MRK.</w:t>
      </w:r>
      <w:r w:rsidRPr="00802930">
        <w:t xml:space="preserve"> </w:t>
      </w:r>
      <w:r w:rsidR="00DD05EE">
        <w:t>Vyplý</w:t>
      </w:r>
      <w:r w:rsidR="00EF63D6">
        <w:t>va</w:t>
      </w:r>
      <w:r w:rsidRPr="00802930">
        <w:t xml:space="preserve"> t</w:t>
      </w:r>
      <w:r>
        <w:t xml:space="preserve">o </w:t>
      </w:r>
      <w:r w:rsidRPr="00C66FF6">
        <w:t>z analýzy vplyvu vybraných faktorov na pravdepodobnosť, že 5 ročné dieťa z MRK navštevuje materskú školu (</w:t>
      </w:r>
      <w:r w:rsidR="00F13BBA">
        <w:fldChar w:fldCharType="begin"/>
      </w:r>
      <w:r w:rsidR="00F13BBA">
        <w:instrText xml:space="preserve"> REF _Ref34130446 \h  \* MERGEFORMAT </w:instrText>
      </w:r>
      <w:r w:rsidR="00F13BBA">
        <w:fldChar w:fldCharType="separate"/>
      </w:r>
      <w:r w:rsidR="00FA29AF" w:rsidRPr="00FA29AF">
        <w:t>Príloha 6</w:t>
      </w:r>
      <w:r w:rsidR="00F13BBA">
        <w:fldChar w:fldCharType="end"/>
      </w:r>
      <w:r w:rsidRPr="00C66FF6">
        <w:t>). Výsledky</w:t>
      </w:r>
      <w:r w:rsidRPr="00802930">
        <w:t xml:space="preserve"> analýzy tiež naznačujú významný vplyv dostupnosti, kapacít</w:t>
      </w:r>
      <w:r>
        <w:t>,</w:t>
      </w:r>
      <w:r w:rsidRPr="00802930">
        <w:t xml:space="preserve"> zamestnanosti a príjmu rodičov na zaškolenosť. Simulácia modelu naznačuje, že zavedenie dotácií pre všetkých predškolákov by mohlo zvýšiť ich zaškolenosť v prostredí MRK z dnešných 48 % na 57 % a v dlhodobom horizonte až na 72 %. Skutočný efekt bude </w:t>
      </w:r>
      <w:r w:rsidRPr="00802930">
        <w:lastRenderedPageBreak/>
        <w:t xml:space="preserve">závisieť od úspechu v odbúravaní ďalších bariér ako napríklad fyzickej </w:t>
      </w:r>
      <w:r>
        <w:t>ne</w:t>
      </w:r>
      <w:r w:rsidRPr="00802930">
        <w:t>dostupnosti materských škôl pre deti zo segregovaných osád a nedostatku kapacít. Podobný pozitívny dosah na zaškolenosť sa dá očakávať aj v prípade chudobných predškolákov z majority.</w:t>
      </w:r>
      <w:r>
        <w:t xml:space="preserve"> </w:t>
      </w:r>
      <w:r w:rsidR="00CF3A2E" w:rsidRPr="00D41517">
        <w:rPr>
          <w:b/>
          <w:bCs/>
        </w:rPr>
        <w:t xml:space="preserve">Revízia navrhuje vyhodnocovať dopady celoplošných dotácií na </w:t>
      </w:r>
      <w:r w:rsidR="00CF3A2E">
        <w:rPr>
          <w:b/>
          <w:bCs/>
        </w:rPr>
        <w:t>výsledky a výstupy znevýhodnených detí v materských školách.</w:t>
      </w:r>
    </w:p>
    <w:p w14:paraId="00F07C82" w14:textId="463A2B5A" w:rsidR="000823A6" w:rsidRPr="00452DBC" w:rsidRDefault="000823A6" w:rsidP="005565F2">
      <w:r w:rsidRPr="005565F2">
        <w:rPr>
          <w:b/>
        </w:rPr>
        <w:t>Dotácie na školské pomôcky sa v roku 2018 poskytovali v priemere pre</w:t>
      </w:r>
      <w:r w:rsidR="0070047D">
        <w:rPr>
          <w:b/>
        </w:rPr>
        <w:t xml:space="preserve"> </w:t>
      </w:r>
      <w:r w:rsidRPr="005565F2">
        <w:rPr>
          <w:b/>
        </w:rPr>
        <w:t>2 162 detí v MŠ za mesiac, čo predstavovalo 4,5 % všetkých predškolákov</w:t>
      </w:r>
      <w:r w:rsidR="00FD017B">
        <w:rPr>
          <w:b/>
        </w:rPr>
        <w:t xml:space="preserve"> a </w:t>
      </w:r>
      <w:r w:rsidR="00FD017B" w:rsidRPr="005565F2">
        <w:rPr>
          <w:b/>
        </w:rPr>
        <w:t>39 % detí ohrozených chudobou alebo sociálnym vylúčením, ktoré navštevovali MŠ</w:t>
      </w:r>
      <w:r w:rsidRPr="005565F2">
        <w:rPr>
          <w:b/>
        </w:rPr>
        <w:t xml:space="preserve">. </w:t>
      </w:r>
      <w:r w:rsidRPr="00452DBC">
        <w:t>Výška dotácie bola 33,2 eur na jeden školský rok a školám sa vypláca v dvoch splátkach v mesiacoch september a február. Spolu išlo o výdavky v hodnote približne 71 tisíc eur.</w:t>
      </w:r>
    </w:p>
    <w:p w14:paraId="24E534B6" w14:textId="28F1FB0C" w:rsidR="000823A6" w:rsidRPr="00387CD5" w:rsidRDefault="000823A6" w:rsidP="00387CD5">
      <w:pPr>
        <w:rPr>
          <w:b/>
          <w:u w:val="single"/>
        </w:rPr>
      </w:pPr>
      <w:r w:rsidRPr="00387CD5">
        <w:rPr>
          <w:b/>
          <w:u w:val="single"/>
        </w:rPr>
        <w:t>Úprava organizácie vzdelávania</w:t>
      </w:r>
    </w:p>
    <w:p w14:paraId="12DC87C8" w14:textId="17EC0668" w:rsidR="00F41D31" w:rsidRDefault="000823A6" w:rsidP="00387CD5">
      <w:pPr>
        <w:rPr>
          <w:b/>
        </w:rPr>
      </w:pPr>
      <w:r w:rsidRPr="00387CD5">
        <w:rPr>
          <w:b/>
        </w:rPr>
        <w:t xml:space="preserve">Pod úpravu organizácie vzdelávania spadá ustanovenie </w:t>
      </w:r>
      <w:r w:rsidR="00E963DA">
        <w:rPr>
          <w:b/>
        </w:rPr>
        <w:t>o zaradení maximálne dvoch detí so špeciálnymi potrebami do jednej triedy MŠ</w:t>
      </w:r>
      <w:r w:rsidR="00E963DA">
        <w:rPr>
          <w:rStyle w:val="Odkaznapoznmkupodiarou"/>
          <w:b/>
        </w:rPr>
        <w:footnoteReference w:id="88"/>
      </w:r>
      <w:r w:rsidR="00E963DA">
        <w:rPr>
          <w:b/>
        </w:rPr>
        <w:t xml:space="preserve"> a ustanovenie </w:t>
      </w:r>
      <w:r w:rsidRPr="00387CD5">
        <w:rPr>
          <w:b/>
        </w:rPr>
        <w:t>o znížení maximálneho počtu detí v triedach na 16 detí, pokiaľ triedu navštevujú výlučne deti zo SZP.</w:t>
      </w:r>
      <w:r w:rsidRPr="00387CD5">
        <w:rPr>
          <w:rStyle w:val="Odkaznapoznmkupodiarou"/>
          <w:b/>
        </w:rPr>
        <w:footnoteReference w:id="89"/>
      </w:r>
      <w:r w:rsidRPr="00387CD5">
        <w:rPr>
          <w:b/>
        </w:rPr>
        <w:t xml:space="preserve"> </w:t>
      </w:r>
      <w:r w:rsidR="00F41D31" w:rsidRPr="00FA7663">
        <w:rPr>
          <w:bCs/>
        </w:rPr>
        <w:t>Po zavedení povinného predprimárneho vzdelávania sa počet detí so špeciálnymi potrebami v MŠ zvýši a ustanovenie o maximálne dvoch deťoch so špeciálnymi potrebami v jednej triede sa môže v niektorých lokalitách s vyšším výskytom sociálneho (a zdravotného) znevýhodnenia stať ner</w:t>
      </w:r>
      <w:r w:rsidR="0026730C">
        <w:rPr>
          <w:bCs/>
        </w:rPr>
        <w:t>e</w:t>
      </w:r>
      <w:r w:rsidR="00F41D31" w:rsidRPr="00FA7663">
        <w:rPr>
          <w:bCs/>
        </w:rPr>
        <w:t xml:space="preserve">alizovateľným. </w:t>
      </w:r>
      <w:r w:rsidR="00F41D31">
        <w:rPr>
          <w:b/>
        </w:rPr>
        <w:t xml:space="preserve">Revízia navrhuje toto ustanovenie zrušiť a v súvislosti s distribúciou detí so špeciálnymi potrebami MŠ metodicky usmerniť. </w:t>
      </w:r>
    </w:p>
    <w:p w14:paraId="0823E76A" w14:textId="57E47F7F" w:rsidR="000823A6" w:rsidRPr="00852A39" w:rsidRDefault="000823A6" w:rsidP="00387CD5">
      <w:r w:rsidRPr="00D41517">
        <w:rPr>
          <w:b/>
          <w:bCs/>
        </w:rPr>
        <w:t xml:space="preserve">Vytvorenie menšej triedy </w:t>
      </w:r>
      <w:r w:rsidR="00627606">
        <w:rPr>
          <w:b/>
          <w:bCs/>
        </w:rPr>
        <w:t xml:space="preserve">pre deti zo </w:t>
      </w:r>
      <w:r w:rsidR="00627606" w:rsidRPr="00627606">
        <w:rPr>
          <w:b/>
          <w:bCs/>
        </w:rPr>
        <w:t xml:space="preserve">SZP je </w:t>
      </w:r>
      <w:r w:rsidR="00627606" w:rsidRPr="00452DBC">
        <w:rPr>
          <w:b/>
          <w:bCs/>
        </w:rPr>
        <w:t xml:space="preserve">problematické vzhľadom na fakt, že nabáda MŠ koncentrovať znevýhodnené deti do jednej triedy. </w:t>
      </w:r>
      <w:r w:rsidRPr="00B449B1">
        <w:rPr>
          <w:bCs/>
        </w:rPr>
        <w:t xml:space="preserve">Dáta z medzinárodných výskumov pritom potvrdzujú, že koncentrovanie znevýhodnených detí v triedach </w:t>
      </w:r>
      <w:r w:rsidRPr="00627606">
        <w:rPr>
          <w:bCs/>
        </w:rPr>
        <w:t>a školách má negatívny dopad na kvalitu vzdelávania</w:t>
      </w:r>
      <w:r w:rsidR="00F41D31" w:rsidRPr="00627606">
        <w:rPr>
          <w:bCs/>
        </w:rPr>
        <w:t xml:space="preserve"> (Bonal, 2019)</w:t>
      </w:r>
      <w:r w:rsidRPr="00627606">
        <w:rPr>
          <w:bCs/>
        </w:rPr>
        <w:t xml:space="preserve">. </w:t>
      </w:r>
      <w:r w:rsidR="00627606">
        <w:rPr>
          <w:bCs/>
        </w:rPr>
        <w:t xml:space="preserve">Toto </w:t>
      </w:r>
      <w:r w:rsidR="008A2F3A">
        <w:rPr>
          <w:bCs/>
        </w:rPr>
        <w:t>ustanovenie</w:t>
      </w:r>
      <w:r w:rsidR="00627606">
        <w:rPr>
          <w:bCs/>
        </w:rPr>
        <w:t xml:space="preserve"> nie je zohľadnené</w:t>
      </w:r>
      <w:r w:rsidR="00627606" w:rsidRPr="00627606">
        <w:rPr>
          <w:bCs/>
        </w:rPr>
        <w:t xml:space="preserve"> </w:t>
      </w:r>
      <w:r w:rsidR="00627606" w:rsidRPr="00452DBC">
        <w:rPr>
          <w:bCs/>
        </w:rPr>
        <w:t xml:space="preserve">vo financovaní predprimárneho vzdelávania, čoho výsledkom je, že v súčasnosti </w:t>
      </w:r>
      <w:r w:rsidR="00627606">
        <w:rPr>
          <w:bCs/>
        </w:rPr>
        <w:t>ho</w:t>
      </w:r>
      <w:r w:rsidR="00627606" w:rsidRPr="00452DBC">
        <w:rPr>
          <w:bCs/>
        </w:rPr>
        <w:t xml:space="preserve"> nevyužíva ani jedna trieda MŠ.</w:t>
      </w:r>
      <w:r w:rsidR="00627606" w:rsidRPr="00452DBC">
        <w:rPr>
          <w:rStyle w:val="Odkaznapoznmkupodiarou"/>
          <w:bCs/>
        </w:rPr>
        <w:footnoteReference w:id="90"/>
      </w:r>
      <w:r w:rsidR="00627606">
        <w:t xml:space="preserve"> </w:t>
      </w:r>
      <w:r>
        <w:rPr>
          <w:bCs/>
        </w:rPr>
        <w:t xml:space="preserve">Napriek tomu po zavedení povinnej školskej dochádzky od 5 rokov veku dieťaťa a výsledného zvýšenia počtu predškolákov zo SZP môže slúžiť ako zámienka na segregáciu znevýhodnených detí v materských </w:t>
      </w:r>
      <w:r w:rsidRPr="004313F0">
        <w:rPr>
          <w:bCs/>
        </w:rPr>
        <w:t xml:space="preserve">školách. </w:t>
      </w:r>
      <w:r w:rsidRPr="00387CD5">
        <w:rPr>
          <w:b/>
          <w:bCs/>
        </w:rPr>
        <w:t>Revízia preto navrhuje zrušiť toto ustanovenie.</w:t>
      </w:r>
      <w:r>
        <w:rPr>
          <w:bCs/>
        </w:rPr>
        <w:t xml:space="preserve"> </w:t>
      </w:r>
    </w:p>
    <w:p w14:paraId="64717C73" w14:textId="77777777" w:rsidR="000823A6" w:rsidRPr="00387CD5" w:rsidRDefault="000823A6" w:rsidP="00387CD5">
      <w:pPr>
        <w:rPr>
          <w:b/>
          <w:u w:val="single"/>
        </w:rPr>
      </w:pPr>
      <w:r w:rsidRPr="00387CD5">
        <w:rPr>
          <w:b/>
          <w:u w:val="single"/>
        </w:rPr>
        <w:t>Príprava a vzdelávanie učiteľov</w:t>
      </w:r>
    </w:p>
    <w:p w14:paraId="70C02D0A" w14:textId="2FD1F7D0" w:rsidR="000823A6" w:rsidRPr="00433255" w:rsidRDefault="000823A6" w:rsidP="00387CD5">
      <w:r w:rsidRPr="00387CD5">
        <w:rPr>
          <w:b/>
        </w:rPr>
        <w:t xml:space="preserve">Napriek tomu, že pripravenosť učiteľov na vzdelávanie detí s rôznorodými potrebami predstavuje jeden z hlavných faktorov skvalitňovania predškolského vzdelávania detí zo SZP, </w:t>
      </w:r>
      <w:r w:rsidR="0026730C" w:rsidRPr="00387CD5">
        <w:rPr>
          <w:b/>
        </w:rPr>
        <w:t>reprezentatívny</w:t>
      </w:r>
      <w:r w:rsidRPr="00387CD5">
        <w:rPr>
          <w:b/>
        </w:rPr>
        <w:t xml:space="preserve"> prieskum naznačuje, že časť učiteľov na vzdelávanie detí zo SZP </w:t>
      </w:r>
      <w:r w:rsidR="008A2F3A" w:rsidRPr="00387CD5">
        <w:rPr>
          <w:b/>
        </w:rPr>
        <w:t xml:space="preserve">nie je </w:t>
      </w:r>
      <w:r w:rsidRPr="00387CD5">
        <w:rPr>
          <w:b/>
        </w:rPr>
        <w:t>pripravená.</w:t>
      </w:r>
      <w:r w:rsidRPr="00414217">
        <w:t xml:space="preserve"> </w:t>
      </w:r>
      <w:r w:rsidRPr="004313F0">
        <w:rPr>
          <w:bCs/>
        </w:rPr>
        <w:t>Hoci 83 % učiteľov MŠ považuje vlastnú škôlku za pripravenú vzdelávať deti zo SZP, takmer 11 % z nich považuje za vhodnú formu vzdelávania týchto detí špeciálnu triedu MŠ alebo špeciálnu materskú školu a takmer 6 % nevie vhodnú formu vzdelávania posúdiť (To dá rozum, 2019). Umiestňovanie detí do špeciálneho prúdu vzdelávania z dôvodu sociálne znevýhodneného prostredia pritom predstavuje nezákonný postup, ktorý naša legislatíva explicitne zakazuje.</w:t>
      </w:r>
      <w:r w:rsidRPr="004313F0">
        <w:rPr>
          <w:rStyle w:val="Odkaznapoznmkupodiarou"/>
          <w:bCs/>
        </w:rPr>
        <w:footnoteReference w:id="91"/>
      </w:r>
      <w:r>
        <w:rPr>
          <w:bCs/>
        </w:rPr>
        <w:t xml:space="preserve"> </w:t>
      </w:r>
      <w:r w:rsidRPr="00387CD5">
        <w:rPr>
          <w:b/>
        </w:rPr>
        <w:t>Revízia navrhuje realizovať výskum o obsahu prípravy budúcich učiteľov s cieľom vyhodnotiť</w:t>
      </w:r>
      <w:r w:rsidR="008B0915">
        <w:rPr>
          <w:b/>
        </w:rPr>
        <w:t>,</w:t>
      </w:r>
      <w:r w:rsidRPr="00387CD5">
        <w:rPr>
          <w:b/>
        </w:rPr>
        <w:t xml:space="preserve"> do akej miery sú učitelia pripravovaní na </w:t>
      </w:r>
      <w:r w:rsidRPr="00140A54">
        <w:rPr>
          <w:b/>
        </w:rPr>
        <w:t>vzdelávanie detí zo SZP</w:t>
      </w:r>
      <w:r w:rsidR="008B0915">
        <w:rPr>
          <w:b/>
        </w:rPr>
        <w:t>,</w:t>
      </w:r>
      <w:r w:rsidRPr="00140A54">
        <w:rPr>
          <w:b/>
        </w:rPr>
        <w:t xml:space="preserve"> resp. na vzdelávanie detí s rôznymi potrebami</w:t>
      </w:r>
      <w:r w:rsidR="008B0915">
        <w:rPr>
          <w:b/>
        </w:rPr>
        <w:t>,</w:t>
      </w:r>
      <w:r w:rsidR="00484A6D" w:rsidRPr="00140A54">
        <w:rPr>
          <w:b/>
        </w:rPr>
        <w:t xml:space="preserve"> a umožniť </w:t>
      </w:r>
      <w:r w:rsidR="00484A6D" w:rsidRPr="00140A54">
        <w:rPr>
          <w:rFonts w:eastAsia="Times New Roman" w:cs="Times New Roman"/>
          <w:b/>
          <w:color w:val="000000"/>
          <w:szCs w:val="22"/>
          <w:lang w:eastAsia="sk-SK"/>
        </w:rPr>
        <w:t xml:space="preserve">ministerstvu školstva </w:t>
      </w:r>
      <w:r w:rsidR="00140A54" w:rsidRPr="00140A54">
        <w:rPr>
          <w:rFonts w:eastAsia="Times New Roman" w:cs="Times New Roman"/>
          <w:b/>
          <w:color w:val="000000"/>
          <w:szCs w:val="22"/>
          <w:lang w:eastAsia="sk-SK"/>
        </w:rPr>
        <w:t xml:space="preserve">v spolupráci s expertmi </w:t>
      </w:r>
      <w:r w:rsidR="00484A6D" w:rsidRPr="00140A54">
        <w:rPr>
          <w:rFonts w:eastAsia="Times New Roman" w:cs="Times New Roman"/>
          <w:b/>
          <w:color w:val="000000"/>
          <w:szCs w:val="22"/>
          <w:lang w:eastAsia="sk-SK"/>
        </w:rPr>
        <w:t>v rámci akreditačného procesu vstupovať do zadefinovania obsahu študijného programu učiteľstva</w:t>
      </w:r>
      <w:r w:rsidRPr="00140A54">
        <w:rPr>
          <w:b/>
        </w:rPr>
        <w:t>.</w:t>
      </w:r>
      <w:r w:rsidRPr="004313F0">
        <w:rPr>
          <w:bCs/>
        </w:rPr>
        <w:t xml:space="preserve"> </w:t>
      </w:r>
    </w:p>
    <w:p w14:paraId="178CD850" w14:textId="66A48077" w:rsidR="000823A6" w:rsidRPr="00C66FF6" w:rsidRDefault="000823A6" w:rsidP="00387CD5">
      <w:r w:rsidRPr="00387CD5">
        <w:rPr>
          <w:b/>
        </w:rPr>
        <w:t>V roku 2018 sa akreditovaných programo</w:t>
      </w:r>
      <w:r w:rsidR="00484A6D">
        <w:rPr>
          <w:b/>
        </w:rPr>
        <w:t>v</w:t>
      </w:r>
      <w:r w:rsidRPr="00387CD5">
        <w:rPr>
          <w:b/>
        </w:rPr>
        <w:t xml:space="preserve"> kontinuálneho vzdelávania zameraných na vzdelávanie detí zo SZP zúčastnilo 398 (2,4 %) učiteľov MŠ.</w:t>
      </w:r>
      <w:r w:rsidRPr="00C66FF6">
        <w:rPr>
          <w:bCs/>
        </w:rPr>
        <w:t xml:space="preserve"> Z celkového počtu 116 akreditovaných programov kontinuálneho vzdelávania určených pre učiteľov MŠ sa len jeden program venoval</w:t>
      </w:r>
      <w:r w:rsidRPr="00C66FF6">
        <w:t xml:space="preserve"> vzdelávaniu detí zo SZP alebo z MRK a štyri programy sa zameriavali na tému inkluzívneho vzdelávania a vzdelávania detí so ŠVVP všeobecne (</w:t>
      </w:r>
      <w:r w:rsidR="00F13BBA">
        <w:fldChar w:fldCharType="begin"/>
      </w:r>
      <w:r w:rsidR="00F13BBA">
        <w:instrText xml:space="preserve"> REF _Ref34130495 \h  \* MERGEFORMAT </w:instrText>
      </w:r>
      <w:r w:rsidR="00F13BBA">
        <w:fldChar w:fldCharType="separate"/>
      </w:r>
      <w:r w:rsidR="00FA29AF" w:rsidRPr="00FA29AF">
        <w:t>Príloha 7</w:t>
      </w:r>
      <w:r w:rsidR="00F13BBA">
        <w:fldChar w:fldCharType="end"/>
      </w:r>
      <w:r w:rsidR="002B01DB">
        <w:t>).</w:t>
      </w:r>
      <w:r w:rsidR="00CE229E">
        <w:t xml:space="preserve"> </w:t>
      </w:r>
      <w:r w:rsidR="00484A6D">
        <w:t xml:space="preserve">Žiaden vzdelávací program sa hlbšie nevenuje problému medzigeneračnej chudoby. </w:t>
      </w:r>
      <w:r w:rsidR="00484A6D" w:rsidRPr="00361515">
        <w:rPr>
          <w:b/>
          <w:bCs/>
        </w:rPr>
        <w:t>Revízia preto navrhuje vytvoriť program zameraný na tému medzigeneračnej chudoby a jej vplyvu na vzdelávanie.</w:t>
      </w:r>
      <w:r w:rsidR="0070047D">
        <w:rPr>
          <w:b/>
          <w:bCs/>
        </w:rPr>
        <w:t xml:space="preserve"> </w:t>
      </w:r>
    </w:p>
    <w:p w14:paraId="11533C53" w14:textId="4BEC3CE2" w:rsidR="000823A6" w:rsidRPr="009D6DFD" w:rsidRDefault="009D3164" w:rsidP="009D6DFD">
      <w:pPr>
        <w:rPr>
          <w:b/>
          <w:u w:val="single"/>
        </w:rPr>
      </w:pPr>
      <w:r>
        <w:rPr>
          <w:b/>
          <w:u w:val="single"/>
        </w:rPr>
        <w:lastRenderedPageBreak/>
        <w:t>Dostupnosť a kapacity</w:t>
      </w:r>
      <w:r w:rsidR="000823A6" w:rsidRPr="009D6DFD">
        <w:rPr>
          <w:b/>
          <w:u w:val="single"/>
        </w:rPr>
        <w:t xml:space="preserve"> materských škôl</w:t>
      </w:r>
    </w:p>
    <w:p w14:paraId="1C461EE5" w14:textId="2AB4A168" w:rsidR="00CC72C1" w:rsidRPr="00CE229E" w:rsidRDefault="009D3164" w:rsidP="00CE229E">
      <w:pPr>
        <w:rPr>
          <w:b/>
        </w:rPr>
      </w:pPr>
      <w:r w:rsidRPr="006E486F">
        <w:rPr>
          <w:b/>
        </w:rPr>
        <w:t>V obciach s vysokou koncentráciou rómskeho obyvateľstva sú materské školy menej dostupné</w:t>
      </w:r>
      <w:r>
        <w:t xml:space="preserve"> </w:t>
      </w:r>
      <w:r w:rsidRPr="006A76CA">
        <w:t>(</w:t>
      </w:r>
      <w:r w:rsidR="002B01DB" w:rsidRPr="002B01DB">
        <w:rPr>
          <w:szCs w:val="22"/>
        </w:rPr>
        <w:fldChar w:fldCharType="begin"/>
      </w:r>
      <w:r w:rsidR="002B01DB" w:rsidRPr="002B01DB">
        <w:rPr>
          <w:szCs w:val="22"/>
        </w:rPr>
        <w:instrText xml:space="preserve"> REF _Ref33440686 \h </w:instrText>
      </w:r>
      <w:r w:rsidR="002B01DB">
        <w:rPr>
          <w:szCs w:val="22"/>
        </w:rPr>
        <w:instrText xml:space="preserve"> \* MERGEFORMAT </w:instrText>
      </w:r>
      <w:r w:rsidR="002B01DB" w:rsidRPr="002B01DB">
        <w:rPr>
          <w:szCs w:val="22"/>
        </w:rPr>
      </w:r>
      <w:r w:rsidR="002B01DB" w:rsidRPr="002B01DB">
        <w:rPr>
          <w:szCs w:val="22"/>
        </w:rPr>
        <w:fldChar w:fldCharType="separate"/>
      </w:r>
      <w:r w:rsidR="00FA29AF" w:rsidRPr="00FA29AF">
        <w:rPr>
          <w:szCs w:val="22"/>
        </w:rPr>
        <w:t xml:space="preserve">Graf </w:t>
      </w:r>
      <w:r w:rsidR="00FA29AF" w:rsidRPr="00FA29AF">
        <w:rPr>
          <w:noProof/>
          <w:szCs w:val="22"/>
        </w:rPr>
        <w:t>13</w:t>
      </w:r>
      <w:r w:rsidR="002B01DB" w:rsidRPr="002B01DB">
        <w:rPr>
          <w:szCs w:val="22"/>
        </w:rPr>
        <w:fldChar w:fldCharType="end"/>
      </w:r>
      <w:r w:rsidR="002B01DB">
        <w:t xml:space="preserve">). </w:t>
      </w:r>
      <w:r>
        <w:t>O</w:t>
      </w:r>
      <w:r w:rsidRPr="006A76CA">
        <w:t xml:space="preserve">bce </w:t>
      </w:r>
      <w:r w:rsidR="00BB6A23">
        <w:t>bez materskej škol</w:t>
      </w:r>
      <w:r>
        <w:t xml:space="preserve">y </w:t>
      </w:r>
      <w:r w:rsidRPr="006A76CA">
        <w:t xml:space="preserve">predstavujú 18 % (146 obcí) zo všetkých obcí zaradených do Atlasu rómskych komunít (806 obcí) a žije v nich 6 % (23-tisíc) z celkovej rómskej populácie odhadnutej v Atlase (405-tisíc). </w:t>
      </w:r>
      <w:r>
        <w:t xml:space="preserve">Tlak na budovanie MŠ vo všetkých lokalitách by malo vytvoriť zavedenie povinného predprimárneho vzdelávania. </w:t>
      </w:r>
      <w:r w:rsidRPr="006E486F">
        <w:rPr>
          <w:b/>
        </w:rPr>
        <w:t>S cieľom tento tlak ešte zintenzívniť a zvyšovať zaškolenosť aj mladších detí zo SZP</w:t>
      </w:r>
      <w:r>
        <w:rPr>
          <w:b/>
        </w:rPr>
        <w:t xml:space="preserve"> revízia</w:t>
      </w:r>
      <w:r w:rsidRPr="006E486F">
        <w:rPr>
          <w:b/>
        </w:rPr>
        <w:t xml:space="preserve"> </w:t>
      </w:r>
      <w:r>
        <w:rPr>
          <w:b/>
        </w:rPr>
        <w:t xml:space="preserve">navrhuje </w:t>
      </w:r>
      <w:r w:rsidRPr="006E486F">
        <w:rPr>
          <w:b/>
        </w:rPr>
        <w:t>zaviesť právny nárok na miesto v MŠ pre 3- a 4-ročné deti.</w:t>
      </w:r>
    </w:p>
    <w:tbl>
      <w:tblPr>
        <w:tblW w:w="9072" w:type="dxa"/>
        <w:tblLayout w:type="fixed"/>
        <w:tblLook w:val="04E0" w:firstRow="1" w:lastRow="1" w:firstColumn="1" w:lastColumn="0" w:noHBand="0" w:noVBand="1"/>
      </w:tblPr>
      <w:tblGrid>
        <w:gridCol w:w="9072"/>
      </w:tblGrid>
      <w:tr w:rsidR="009D3164" w:rsidRPr="00CA2564" w14:paraId="1C273365" w14:textId="77777777" w:rsidTr="00D6775F">
        <w:tc>
          <w:tcPr>
            <w:tcW w:w="9072" w:type="dxa"/>
            <w:tcBorders>
              <w:bottom w:val="single" w:sz="4" w:space="0" w:color="auto"/>
            </w:tcBorders>
          </w:tcPr>
          <w:p w14:paraId="6D6D7B7C" w14:textId="2EABCB60" w:rsidR="009D3164" w:rsidRPr="00D6775F" w:rsidRDefault="009D3164" w:rsidP="00D6775F">
            <w:pPr>
              <w:spacing w:after="0" w:line="240" w:lineRule="auto"/>
              <w:rPr>
                <w:b/>
              </w:rPr>
            </w:pPr>
            <w:bookmarkStart w:id="306" w:name="_Ref33440686"/>
            <w:bookmarkStart w:id="307" w:name="_Toc34157571"/>
            <w:r w:rsidRPr="00D6775F">
              <w:rPr>
                <w:b/>
                <w:sz w:val="20"/>
              </w:rPr>
              <w:t xml:space="preserve">Graf </w:t>
            </w:r>
            <w:r w:rsidRPr="00D6775F">
              <w:rPr>
                <w:b/>
                <w:sz w:val="20"/>
              </w:rPr>
              <w:fldChar w:fldCharType="begin"/>
            </w:r>
            <w:r w:rsidRPr="00D6775F">
              <w:rPr>
                <w:b/>
                <w:sz w:val="20"/>
              </w:rPr>
              <w:instrText xml:space="preserve"> SEQ Graf \* ARABIC </w:instrText>
            </w:r>
            <w:r w:rsidRPr="00D6775F">
              <w:rPr>
                <w:b/>
                <w:sz w:val="20"/>
              </w:rPr>
              <w:fldChar w:fldCharType="separate"/>
            </w:r>
            <w:r w:rsidR="00FA29AF">
              <w:rPr>
                <w:b/>
                <w:noProof/>
                <w:sz w:val="20"/>
              </w:rPr>
              <w:t>13</w:t>
            </w:r>
            <w:r w:rsidRPr="00D6775F">
              <w:rPr>
                <w:b/>
                <w:sz w:val="20"/>
              </w:rPr>
              <w:fldChar w:fldCharType="end"/>
            </w:r>
            <w:bookmarkEnd w:id="306"/>
            <w:r w:rsidRPr="00D6775F">
              <w:rPr>
                <w:b/>
                <w:sz w:val="20"/>
              </w:rPr>
              <w:t>: Zloženie obyvateľov v obciach podľa počtu MŠ/ŠMŠ</w:t>
            </w:r>
            <w:r w:rsidR="00A71C8E" w:rsidRPr="00D6775F">
              <w:rPr>
                <w:b/>
                <w:sz w:val="20"/>
              </w:rPr>
              <w:t xml:space="preserve"> (%)</w:t>
            </w:r>
            <w:bookmarkEnd w:id="307"/>
          </w:p>
        </w:tc>
      </w:tr>
      <w:tr w:rsidR="009D3164" w:rsidRPr="00CA2564" w14:paraId="44141D54" w14:textId="77777777" w:rsidTr="00D6775F">
        <w:tblPrEx>
          <w:tblCellMar>
            <w:left w:w="70" w:type="dxa"/>
            <w:right w:w="70" w:type="dxa"/>
          </w:tblCellMar>
        </w:tblPrEx>
        <w:tc>
          <w:tcPr>
            <w:tcW w:w="9072" w:type="dxa"/>
            <w:tcBorders>
              <w:top w:val="single" w:sz="4" w:space="0" w:color="auto"/>
              <w:bottom w:val="single" w:sz="4" w:space="0" w:color="auto"/>
            </w:tcBorders>
          </w:tcPr>
          <w:p w14:paraId="26EB5A2C" w14:textId="77777777" w:rsidR="009D3164" w:rsidRPr="00CA2564" w:rsidRDefault="009D3164" w:rsidP="00D6775F">
            <w:pPr>
              <w:spacing w:after="0" w:line="240" w:lineRule="auto"/>
              <w:rPr>
                <w:sz w:val="4"/>
                <w:szCs w:val="4"/>
              </w:rPr>
            </w:pPr>
          </w:p>
          <w:p w14:paraId="2DEF1178" w14:textId="1A643D25" w:rsidR="009D3164" w:rsidRPr="00CA2564" w:rsidRDefault="00A71C8E" w:rsidP="00D6775F">
            <w:pPr>
              <w:spacing w:after="0" w:line="240" w:lineRule="auto"/>
              <w:rPr>
                <w:sz w:val="4"/>
                <w:szCs w:val="4"/>
              </w:rPr>
            </w:pPr>
            <w:r>
              <w:rPr>
                <w:noProof/>
                <w:lang w:eastAsia="sk-SK"/>
              </w:rPr>
              <w:drawing>
                <wp:inline distT="0" distB="0" distL="0" distR="0" wp14:anchorId="5A49D0FA" wp14:editId="15FBA5AD">
                  <wp:extent cx="5616575" cy="1642533"/>
                  <wp:effectExtent l="0" t="0" r="3175"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77DE702" w14:textId="77777777" w:rsidR="009D3164" w:rsidRPr="00CA2564" w:rsidRDefault="009D3164" w:rsidP="00D6775F">
            <w:pPr>
              <w:spacing w:after="0" w:line="240" w:lineRule="auto"/>
              <w:rPr>
                <w:sz w:val="4"/>
                <w:szCs w:val="4"/>
              </w:rPr>
            </w:pPr>
          </w:p>
        </w:tc>
      </w:tr>
      <w:tr w:rsidR="009D3164" w:rsidRPr="00CA2564" w14:paraId="2BEC558F" w14:textId="77777777" w:rsidTr="00D6775F">
        <w:tc>
          <w:tcPr>
            <w:tcW w:w="9072" w:type="dxa"/>
            <w:tcBorders>
              <w:top w:val="single" w:sz="4" w:space="0" w:color="auto"/>
            </w:tcBorders>
          </w:tcPr>
          <w:p w14:paraId="52B6050B" w14:textId="639B1230" w:rsidR="009D3164" w:rsidRPr="00D6775F" w:rsidRDefault="009D3164" w:rsidP="00D6775F">
            <w:pPr>
              <w:spacing w:after="0" w:line="240" w:lineRule="auto"/>
              <w:jc w:val="right"/>
              <w:rPr>
                <w:bCs/>
                <w:i/>
                <w:noProof/>
                <w:sz w:val="18"/>
                <w:szCs w:val="18"/>
              </w:rPr>
            </w:pPr>
            <w:r w:rsidRPr="00D6775F">
              <w:rPr>
                <w:i/>
                <w:noProof/>
                <w:sz w:val="18"/>
                <w:szCs w:val="18"/>
              </w:rPr>
              <w:t>Zdroj: IVP na základe údajov Atlasu rómskych komunít (2019)</w:t>
            </w:r>
            <w:r w:rsidR="0070047D" w:rsidRPr="00D6775F">
              <w:rPr>
                <w:i/>
                <w:noProof/>
                <w:sz w:val="18"/>
                <w:szCs w:val="18"/>
              </w:rPr>
              <w:t xml:space="preserve"> </w:t>
            </w:r>
          </w:p>
        </w:tc>
      </w:tr>
    </w:tbl>
    <w:p w14:paraId="12ABCC99" w14:textId="6FCA69CA" w:rsidR="004654E2" w:rsidRPr="00CE229E" w:rsidRDefault="00CE229E" w:rsidP="00D41517">
      <w:pPr>
        <w:spacing w:before="120"/>
      </w:pPr>
      <w:r>
        <w:rPr>
          <w:b/>
        </w:rPr>
        <w:t xml:space="preserve">Obce s </w:t>
      </w:r>
      <w:r w:rsidRPr="009D6DFD">
        <w:rPr>
          <w:b/>
        </w:rPr>
        <w:t>vysokým podielom detí z</w:t>
      </w:r>
      <w:r>
        <w:rPr>
          <w:b/>
        </w:rPr>
        <w:t> </w:t>
      </w:r>
      <w:r w:rsidRPr="009D6DFD">
        <w:rPr>
          <w:b/>
        </w:rPr>
        <w:t>MRK</w:t>
      </w:r>
      <w:r>
        <w:rPr>
          <w:b/>
        </w:rPr>
        <w:t xml:space="preserve"> patria medzi obce s najväčším </w:t>
      </w:r>
      <w:r w:rsidR="00BB6A23">
        <w:rPr>
          <w:b/>
        </w:rPr>
        <w:t>nedostatkom</w:t>
      </w:r>
      <w:r>
        <w:rPr>
          <w:b/>
        </w:rPr>
        <w:t xml:space="preserve"> kapacít.</w:t>
      </w:r>
      <w:r w:rsidRPr="00407814">
        <w:t xml:space="preserve"> Medzi podielom 3- až 5-ročných detí</w:t>
      </w:r>
      <w:r>
        <w:t xml:space="preserve"> z MRK</w:t>
      </w:r>
      <w:r w:rsidRPr="00407814">
        <w:t xml:space="preserve"> v</w:t>
      </w:r>
      <w:r>
        <w:t> </w:t>
      </w:r>
      <w:r w:rsidRPr="00407814">
        <w:t>obci</w:t>
      </w:r>
      <w:r>
        <w:t xml:space="preserve"> </w:t>
      </w:r>
      <w:r w:rsidRPr="00407814">
        <w:t>a výškou kapacít vyjadrenou ako percento všetkých 3- až 5-ročných detí v obci existuje veľmi silný negatívny vzťah</w:t>
      </w:r>
      <w:r>
        <w:t>. To znamená, že čím vyšší je podiel ľudí z prostredia MRK v obci, tým menej dostupné sú kapacity MŠ (</w:t>
      </w:r>
      <w:r w:rsidRPr="009D6DFD">
        <w:rPr>
          <w:szCs w:val="22"/>
        </w:rPr>
        <w:fldChar w:fldCharType="begin"/>
      </w:r>
      <w:r w:rsidRPr="009D6DFD">
        <w:rPr>
          <w:szCs w:val="22"/>
        </w:rPr>
        <w:instrText xml:space="preserve"> REF _Ref25229586 \h </w:instrText>
      </w:r>
      <w:r>
        <w:rPr>
          <w:szCs w:val="22"/>
        </w:rPr>
        <w:instrText xml:space="preserve"> \* MERGEFORMAT </w:instrText>
      </w:r>
      <w:r w:rsidRPr="009D6DFD">
        <w:rPr>
          <w:szCs w:val="22"/>
        </w:rPr>
      </w:r>
      <w:r w:rsidRPr="009D6DFD">
        <w:rPr>
          <w:szCs w:val="22"/>
        </w:rPr>
        <w:fldChar w:fldCharType="separate"/>
      </w:r>
      <w:r w:rsidR="00FA29AF" w:rsidRPr="00FA29AF">
        <w:rPr>
          <w:szCs w:val="22"/>
        </w:rPr>
        <w:t xml:space="preserve">Graf </w:t>
      </w:r>
      <w:r w:rsidR="00FA29AF" w:rsidRPr="00FA29AF">
        <w:rPr>
          <w:noProof/>
          <w:szCs w:val="22"/>
        </w:rPr>
        <w:t>14</w:t>
      </w:r>
      <w:r w:rsidRPr="009D6DFD">
        <w:rPr>
          <w:szCs w:val="22"/>
        </w:rPr>
        <w:fldChar w:fldCharType="end"/>
      </w:r>
      <w:r>
        <w:t>).</w:t>
      </w:r>
      <w:r w:rsidRPr="00407814">
        <w:rPr>
          <w:rStyle w:val="Odkaznapoznmkupodiarou"/>
        </w:rPr>
        <w:footnoteReference w:id="92"/>
      </w:r>
      <w:r w:rsidRPr="00407814">
        <w:t xml:space="preserve"> Množstvo kapacít v MŠ zas silne súvisí so zaškolenosťou detí v tejto vekovej skupine, </w:t>
      </w:r>
      <w:r>
        <w:t xml:space="preserve">a to </w:t>
      </w:r>
      <w:r w:rsidRPr="00407814">
        <w:t>tak v prostredí MRK ako aj mimo MRK (</w:t>
      </w:r>
      <w:r w:rsidRPr="009D6DFD">
        <w:rPr>
          <w:szCs w:val="22"/>
        </w:rPr>
        <w:fldChar w:fldCharType="begin"/>
      </w:r>
      <w:r w:rsidRPr="009D6DFD">
        <w:rPr>
          <w:szCs w:val="22"/>
        </w:rPr>
        <w:instrText xml:space="preserve"> REF _Ref25229591 \h </w:instrText>
      </w:r>
      <w:r>
        <w:rPr>
          <w:szCs w:val="22"/>
        </w:rPr>
        <w:instrText xml:space="preserve"> \* MERGEFORMAT </w:instrText>
      </w:r>
      <w:r w:rsidRPr="009D6DFD">
        <w:rPr>
          <w:szCs w:val="22"/>
        </w:rPr>
      </w:r>
      <w:r w:rsidRPr="009D6DFD">
        <w:rPr>
          <w:szCs w:val="22"/>
        </w:rPr>
        <w:fldChar w:fldCharType="separate"/>
      </w:r>
      <w:r w:rsidR="00FA29AF" w:rsidRPr="00FA29AF">
        <w:rPr>
          <w:szCs w:val="22"/>
        </w:rPr>
        <w:t>Graf 15</w:t>
      </w:r>
      <w:r w:rsidRPr="009D6DFD">
        <w:rPr>
          <w:szCs w:val="22"/>
        </w:rPr>
        <w:fldChar w:fldCharType="end"/>
      </w:r>
      <w:r w:rsidRPr="00407814">
        <w:t>).</w:t>
      </w:r>
      <w:r>
        <w:t xml:space="preserve"> </w:t>
      </w:r>
      <w:r w:rsidRPr="00FE7BF5">
        <w:t>V školskom roku 2018/2019 evidovali materské školy 12 502 žiadostí o prijatie dieťaťa, ktorým nebolo možné vyhovieť z</w:t>
      </w:r>
      <w:r>
        <w:t xml:space="preserve"> </w:t>
      </w:r>
      <w:r w:rsidRPr="00FE7BF5">
        <w:t xml:space="preserve">kapacitných </w:t>
      </w:r>
      <w:r w:rsidRPr="00852A39">
        <w:t>dôvodov.</w:t>
      </w:r>
      <w:r w:rsidRPr="00452DBC">
        <w:rPr>
          <w:rStyle w:val="Odkaznapoznmkupodiarou"/>
        </w:rPr>
        <w:footnoteReference w:id="93"/>
      </w:r>
      <w:r w:rsidRPr="00852A39">
        <w:t xml:space="preserve"> Povinné</w:t>
      </w:r>
      <w:r w:rsidRPr="00CE4466">
        <w:t xml:space="preserve"> predprimárne vzdelávanie pre všetky deti v predškolskom veku (od školského roku 2021/22)</w:t>
      </w:r>
      <w:r>
        <w:t xml:space="preserve"> ešte zvýši tlak na existujúce kapacity.</w:t>
      </w:r>
    </w:p>
    <w:tbl>
      <w:tblPr>
        <w:tblW w:w="9071" w:type="dxa"/>
        <w:tblLayout w:type="fixed"/>
        <w:tblLook w:val="04E0" w:firstRow="1" w:lastRow="1" w:firstColumn="1" w:lastColumn="0" w:noHBand="0" w:noVBand="1"/>
      </w:tblPr>
      <w:tblGrid>
        <w:gridCol w:w="4536"/>
        <w:gridCol w:w="284"/>
        <w:gridCol w:w="4251"/>
      </w:tblGrid>
      <w:tr w:rsidR="000823A6" w:rsidRPr="00FE7BF5" w14:paraId="62FD265E" w14:textId="77777777" w:rsidTr="004654E2">
        <w:tc>
          <w:tcPr>
            <w:tcW w:w="4536" w:type="dxa"/>
            <w:tcBorders>
              <w:bottom w:val="single" w:sz="4" w:space="0" w:color="auto"/>
            </w:tcBorders>
          </w:tcPr>
          <w:p w14:paraId="6CE98BD3" w14:textId="29939B06" w:rsidR="000823A6" w:rsidRPr="004654E2" w:rsidRDefault="000823A6" w:rsidP="004654E2">
            <w:pPr>
              <w:spacing w:after="0" w:line="240" w:lineRule="auto"/>
              <w:rPr>
                <w:b/>
                <w:sz w:val="20"/>
              </w:rPr>
            </w:pPr>
            <w:bookmarkStart w:id="308" w:name="_Ref25229586"/>
            <w:bookmarkStart w:id="309" w:name="_Toc34157572"/>
            <w:r w:rsidRPr="004654E2">
              <w:rPr>
                <w:b/>
                <w:sz w:val="20"/>
              </w:rPr>
              <w:t xml:space="preserve">Graf </w:t>
            </w:r>
            <w:r w:rsidRPr="004654E2">
              <w:rPr>
                <w:b/>
                <w:sz w:val="20"/>
              </w:rPr>
              <w:fldChar w:fldCharType="begin"/>
            </w:r>
            <w:r w:rsidRPr="004654E2">
              <w:rPr>
                <w:b/>
                <w:sz w:val="20"/>
              </w:rPr>
              <w:instrText xml:space="preserve"> SEQ Graf \* ARABIC </w:instrText>
            </w:r>
            <w:r w:rsidRPr="004654E2">
              <w:rPr>
                <w:b/>
                <w:sz w:val="20"/>
              </w:rPr>
              <w:fldChar w:fldCharType="separate"/>
            </w:r>
            <w:r w:rsidR="00FA29AF">
              <w:rPr>
                <w:b/>
                <w:noProof/>
                <w:sz w:val="20"/>
              </w:rPr>
              <w:t>14</w:t>
            </w:r>
            <w:r w:rsidRPr="004654E2">
              <w:rPr>
                <w:b/>
                <w:sz w:val="20"/>
              </w:rPr>
              <w:fldChar w:fldCharType="end"/>
            </w:r>
            <w:bookmarkEnd w:id="308"/>
            <w:r w:rsidRPr="004654E2">
              <w:rPr>
                <w:b/>
                <w:sz w:val="20"/>
              </w:rPr>
              <w:t>: Podiel detí z MRK a kapacity MŠ v</w:t>
            </w:r>
            <w:r w:rsidR="004654E2">
              <w:rPr>
                <w:b/>
                <w:sz w:val="20"/>
              </w:rPr>
              <w:t> </w:t>
            </w:r>
            <w:r w:rsidRPr="004654E2">
              <w:rPr>
                <w:b/>
                <w:sz w:val="20"/>
              </w:rPr>
              <w:t>obci</w:t>
            </w:r>
            <w:bookmarkEnd w:id="309"/>
          </w:p>
        </w:tc>
        <w:tc>
          <w:tcPr>
            <w:tcW w:w="284" w:type="dxa"/>
            <w:tcBorders>
              <w:bottom w:val="nil"/>
            </w:tcBorders>
          </w:tcPr>
          <w:p w14:paraId="56A606C7" w14:textId="77777777" w:rsidR="000823A6" w:rsidRPr="004654E2" w:rsidRDefault="000823A6" w:rsidP="004654E2">
            <w:pPr>
              <w:spacing w:after="0" w:line="240" w:lineRule="auto"/>
              <w:rPr>
                <w:b/>
                <w:sz w:val="6"/>
              </w:rPr>
            </w:pPr>
          </w:p>
        </w:tc>
        <w:tc>
          <w:tcPr>
            <w:tcW w:w="4251" w:type="dxa"/>
            <w:tcBorders>
              <w:bottom w:val="single" w:sz="4" w:space="0" w:color="auto"/>
            </w:tcBorders>
          </w:tcPr>
          <w:p w14:paraId="3A5ED423" w14:textId="0A6740AA" w:rsidR="000823A6" w:rsidRPr="004654E2" w:rsidRDefault="000823A6" w:rsidP="004654E2">
            <w:pPr>
              <w:spacing w:after="0" w:line="240" w:lineRule="auto"/>
              <w:rPr>
                <w:b/>
                <w:sz w:val="20"/>
              </w:rPr>
            </w:pPr>
            <w:bookmarkStart w:id="310" w:name="_Ref25229591"/>
            <w:bookmarkStart w:id="311" w:name="_Toc34157573"/>
            <w:r w:rsidRPr="004654E2">
              <w:rPr>
                <w:b/>
                <w:sz w:val="20"/>
              </w:rPr>
              <w:t xml:space="preserve">Graf </w:t>
            </w:r>
            <w:r w:rsidRPr="004654E2">
              <w:rPr>
                <w:b/>
                <w:sz w:val="20"/>
              </w:rPr>
              <w:fldChar w:fldCharType="begin"/>
            </w:r>
            <w:r w:rsidRPr="004654E2">
              <w:rPr>
                <w:b/>
                <w:sz w:val="20"/>
              </w:rPr>
              <w:instrText xml:space="preserve"> SEQ Graf \* ARABIC </w:instrText>
            </w:r>
            <w:r w:rsidRPr="004654E2">
              <w:rPr>
                <w:b/>
                <w:sz w:val="20"/>
              </w:rPr>
              <w:fldChar w:fldCharType="separate"/>
            </w:r>
            <w:r w:rsidR="00FA29AF">
              <w:rPr>
                <w:b/>
                <w:noProof/>
                <w:sz w:val="20"/>
              </w:rPr>
              <w:t>15</w:t>
            </w:r>
            <w:r w:rsidRPr="004654E2">
              <w:rPr>
                <w:b/>
                <w:sz w:val="20"/>
              </w:rPr>
              <w:fldChar w:fldCharType="end"/>
            </w:r>
            <w:bookmarkEnd w:id="310"/>
            <w:r w:rsidRPr="004654E2">
              <w:rPr>
                <w:b/>
                <w:sz w:val="20"/>
              </w:rPr>
              <w:t>: Kapacity MŠ a zaškolenosť v</w:t>
            </w:r>
            <w:r w:rsidR="004654E2">
              <w:rPr>
                <w:b/>
                <w:sz w:val="20"/>
              </w:rPr>
              <w:t> </w:t>
            </w:r>
            <w:r w:rsidRPr="004654E2">
              <w:rPr>
                <w:b/>
                <w:sz w:val="20"/>
              </w:rPr>
              <w:t>obci</w:t>
            </w:r>
            <w:bookmarkEnd w:id="311"/>
          </w:p>
        </w:tc>
      </w:tr>
      <w:tr w:rsidR="000823A6" w:rsidRPr="00CA2564" w14:paraId="5CD9F89D" w14:textId="77777777" w:rsidTr="004654E2">
        <w:tblPrEx>
          <w:tblCellMar>
            <w:left w:w="70" w:type="dxa"/>
            <w:right w:w="70" w:type="dxa"/>
          </w:tblCellMar>
        </w:tblPrEx>
        <w:tc>
          <w:tcPr>
            <w:tcW w:w="4536" w:type="dxa"/>
            <w:tcBorders>
              <w:top w:val="single" w:sz="4" w:space="0" w:color="auto"/>
              <w:bottom w:val="single" w:sz="4" w:space="0" w:color="auto"/>
            </w:tcBorders>
          </w:tcPr>
          <w:p w14:paraId="6E9EFE0A" w14:textId="77777777" w:rsidR="000823A6" w:rsidRPr="00CA2564" w:rsidRDefault="000823A6" w:rsidP="004654E2">
            <w:pPr>
              <w:spacing w:after="0" w:line="240" w:lineRule="auto"/>
              <w:rPr>
                <w:sz w:val="4"/>
                <w:szCs w:val="4"/>
              </w:rPr>
            </w:pPr>
            <w:r w:rsidRPr="00CA2564">
              <w:rPr>
                <w:noProof/>
                <w:lang w:eastAsia="sk-SK"/>
              </w:rPr>
              <w:drawing>
                <wp:inline distT="0" distB="0" distL="0" distR="0" wp14:anchorId="14209A05" wp14:editId="537A70B5">
                  <wp:extent cx="2791460" cy="2543175"/>
                  <wp:effectExtent l="0" t="0" r="8890" b="0"/>
                  <wp:docPr id="292"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484C4EF" w14:textId="77777777" w:rsidR="000823A6" w:rsidRPr="00CA2564" w:rsidRDefault="000823A6" w:rsidP="004654E2">
            <w:pPr>
              <w:spacing w:after="0" w:line="240" w:lineRule="auto"/>
              <w:rPr>
                <w:sz w:val="4"/>
                <w:szCs w:val="4"/>
              </w:rPr>
            </w:pPr>
          </w:p>
        </w:tc>
        <w:tc>
          <w:tcPr>
            <w:tcW w:w="284" w:type="dxa"/>
            <w:tcBorders>
              <w:top w:val="nil"/>
              <w:bottom w:val="nil"/>
            </w:tcBorders>
          </w:tcPr>
          <w:p w14:paraId="5483F60A" w14:textId="77777777" w:rsidR="000823A6" w:rsidRPr="00136FCB" w:rsidRDefault="000823A6" w:rsidP="004654E2">
            <w:pPr>
              <w:spacing w:after="0" w:line="240" w:lineRule="auto"/>
              <w:ind w:hanging="212"/>
              <w:rPr>
                <w:noProof/>
                <w:sz w:val="6"/>
              </w:rPr>
            </w:pPr>
          </w:p>
        </w:tc>
        <w:tc>
          <w:tcPr>
            <w:tcW w:w="4251" w:type="dxa"/>
            <w:tcBorders>
              <w:top w:val="single" w:sz="4" w:space="0" w:color="auto"/>
              <w:bottom w:val="single" w:sz="4" w:space="0" w:color="auto"/>
            </w:tcBorders>
          </w:tcPr>
          <w:p w14:paraId="6568F03C" w14:textId="65B0492C" w:rsidR="000823A6" w:rsidRPr="00CA2564" w:rsidRDefault="000823A6" w:rsidP="004654E2">
            <w:pPr>
              <w:spacing w:after="0" w:line="240" w:lineRule="auto"/>
              <w:ind w:left="-57"/>
              <w:jc w:val="left"/>
              <w:rPr>
                <w:noProof/>
                <w:sz w:val="4"/>
                <w:szCs w:val="4"/>
              </w:rPr>
            </w:pPr>
            <w:r w:rsidRPr="00CA2564">
              <w:rPr>
                <w:noProof/>
                <w:lang w:eastAsia="sk-SK"/>
              </w:rPr>
              <w:drawing>
                <wp:inline distT="0" distB="0" distL="0" distR="0" wp14:anchorId="372ED3B0" wp14:editId="1CE239DF">
                  <wp:extent cx="2714625" cy="2533650"/>
                  <wp:effectExtent l="0" t="0" r="9525" b="0"/>
                  <wp:docPr id="295"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5D52430" w14:textId="77777777" w:rsidR="000823A6" w:rsidRPr="00CA2564" w:rsidRDefault="000823A6" w:rsidP="004654E2">
            <w:pPr>
              <w:spacing w:after="0" w:line="240" w:lineRule="auto"/>
              <w:jc w:val="left"/>
              <w:rPr>
                <w:sz w:val="4"/>
                <w:szCs w:val="4"/>
              </w:rPr>
            </w:pPr>
          </w:p>
        </w:tc>
      </w:tr>
      <w:tr w:rsidR="000823A6" w:rsidRPr="00CA2564" w14:paraId="3499767B" w14:textId="77777777" w:rsidTr="004654E2">
        <w:tc>
          <w:tcPr>
            <w:tcW w:w="4536" w:type="dxa"/>
            <w:tcBorders>
              <w:top w:val="single" w:sz="4" w:space="0" w:color="auto"/>
            </w:tcBorders>
          </w:tcPr>
          <w:p w14:paraId="31237B33" w14:textId="77777777" w:rsidR="000823A6" w:rsidRPr="004654E2" w:rsidRDefault="000823A6" w:rsidP="004654E2">
            <w:pPr>
              <w:spacing w:after="0" w:line="240" w:lineRule="auto"/>
              <w:jc w:val="right"/>
              <w:rPr>
                <w:i/>
                <w:noProof/>
                <w:sz w:val="18"/>
                <w:szCs w:val="18"/>
              </w:rPr>
            </w:pPr>
            <w:r w:rsidRPr="004654E2">
              <w:rPr>
                <w:i/>
                <w:noProof/>
                <w:sz w:val="18"/>
                <w:szCs w:val="18"/>
              </w:rPr>
              <w:t>Zdroj: ÚHP na základe údajov RIS MŠVVŠ, ÚPSVR, MV, ARK</w:t>
            </w:r>
          </w:p>
          <w:p w14:paraId="393A170A" w14:textId="77777777" w:rsidR="000823A6" w:rsidRPr="004654E2" w:rsidRDefault="000823A6" w:rsidP="004654E2">
            <w:pPr>
              <w:spacing w:after="0" w:line="240" w:lineRule="auto"/>
              <w:jc w:val="left"/>
              <w:rPr>
                <w:bCs/>
                <w:i/>
                <w:noProof/>
                <w:sz w:val="18"/>
                <w:szCs w:val="18"/>
              </w:rPr>
            </w:pPr>
            <w:r w:rsidRPr="004654E2">
              <w:rPr>
                <w:i/>
                <w:sz w:val="18"/>
                <w:szCs w:val="18"/>
              </w:rPr>
              <w:t>Poznámka: Veľkosť bubliny je úmerná počtu 3- až 5-ročných detí v obci</w:t>
            </w:r>
          </w:p>
        </w:tc>
        <w:tc>
          <w:tcPr>
            <w:tcW w:w="284" w:type="dxa"/>
            <w:tcBorders>
              <w:top w:val="nil"/>
            </w:tcBorders>
          </w:tcPr>
          <w:p w14:paraId="0492A75D" w14:textId="77777777" w:rsidR="000823A6" w:rsidRPr="004654E2" w:rsidRDefault="000823A6" w:rsidP="004654E2">
            <w:pPr>
              <w:spacing w:after="0" w:line="240" w:lineRule="auto"/>
              <w:rPr>
                <w:i/>
                <w:noProof/>
                <w:sz w:val="6"/>
                <w:szCs w:val="18"/>
              </w:rPr>
            </w:pPr>
          </w:p>
        </w:tc>
        <w:tc>
          <w:tcPr>
            <w:tcW w:w="4251" w:type="dxa"/>
            <w:tcBorders>
              <w:top w:val="single" w:sz="4" w:space="0" w:color="auto"/>
            </w:tcBorders>
          </w:tcPr>
          <w:p w14:paraId="092B4E44" w14:textId="77777777" w:rsidR="000823A6" w:rsidRPr="004654E2" w:rsidRDefault="000823A6" w:rsidP="004654E2">
            <w:pPr>
              <w:spacing w:after="0" w:line="240" w:lineRule="auto"/>
              <w:rPr>
                <w:i/>
                <w:noProof/>
                <w:sz w:val="18"/>
                <w:szCs w:val="18"/>
              </w:rPr>
            </w:pPr>
            <w:r w:rsidRPr="004654E2">
              <w:rPr>
                <w:i/>
                <w:noProof/>
                <w:sz w:val="18"/>
                <w:szCs w:val="18"/>
              </w:rPr>
              <w:t>Zdroj: ÚHP na základe údajov RIS MŠVVŠ, ÚPSVR, MV, ARK</w:t>
            </w:r>
          </w:p>
          <w:p w14:paraId="5D663203" w14:textId="77777777" w:rsidR="000823A6" w:rsidRPr="004654E2" w:rsidRDefault="000823A6" w:rsidP="004654E2">
            <w:pPr>
              <w:spacing w:after="0" w:line="240" w:lineRule="auto"/>
              <w:jc w:val="left"/>
              <w:rPr>
                <w:i/>
                <w:noProof/>
                <w:sz w:val="18"/>
                <w:szCs w:val="18"/>
              </w:rPr>
            </w:pPr>
            <w:r w:rsidRPr="004654E2">
              <w:rPr>
                <w:i/>
                <w:noProof/>
                <w:sz w:val="18"/>
                <w:szCs w:val="18"/>
              </w:rPr>
              <w:t xml:space="preserve">Poznámka: </w:t>
            </w:r>
            <w:r w:rsidRPr="004654E2">
              <w:rPr>
                <w:i/>
                <w:sz w:val="18"/>
                <w:szCs w:val="18"/>
              </w:rPr>
              <w:t>Veľkosť bubliny je úmerná počtu 3- až 5-ročných detí v danej skupine v obci</w:t>
            </w:r>
          </w:p>
        </w:tc>
      </w:tr>
    </w:tbl>
    <w:p w14:paraId="626DB2F5" w14:textId="761AF221" w:rsidR="00CE229E" w:rsidRPr="00CE229E" w:rsidRDefault="00CE229E" w:rsidP="00CC72C1">
      <w:pPr>
        <w:pStyle w:val="Bezriadkovania"/>
        <w:spacing w:before="200" w:after="200" w:line="259" w:lineRule="auto"/>
        <w:jc w:val="both"/>
        <w:rPr>
          <w:rFonts w:ascii="Arial Narrow" w:hAnsi="Arial Narrow"/>
          <w:color w:val="0070C0"/>
        </w:rPr>
      </w:pPr>
      <w:r w:rsidRPr="00CE229E">
        <w:rPr>
          <w:rFonts w:ascii="Arial Narrow" w:hAnsi="Arial Narrow"/>
          <w:b/>
        </w:rPr>
        <w:t>Zo zdrojov EŠIF bolo v aktuálnom programovom období na budovanie kapacít materských škôl vyčlenených 130 miliónov eur, čo nemusí stačiť na pokrytie očakávaného dopytu.</w:t>
      </w:r>
      <w:r w:rsidRPr="00CE229E">
        <w:rPr>
          <w:rFonts w:ascii="Arial Narrow" w:hAnsi="Arial Narrow"/>
        </w:rPr>
        <w:t xml:space="preserve"> Z alokovaných zdrojov bolo k decembru 2018 zazmluvnených okolo 89 miliónov eur vďaka čomu bude vybudovaných 11 147 nových miest. Aj v takom prípade bude pre dosiahnutie plnej zaškolenosti 5-ročných chýbať odhadom 3,5 až 4,8 tisíc miest. V prípade vyčerpania všetkých alokovaných prostriedkov by počet chýbajúcich miest mohol klesnúť na 1,8 až 3,2 tisíc (</w:t>
      </w:r>
      <w:r w:rsidRPr="00CE229E">
        <w:rPr>
          <w:rFonts w:ascii="Arial Narrow" w:hAnsi="Arial Narrow"/>
        </w:rPr>
        <w:fldChar w:fldCharType="begin"/>
      </w:r>
      <w:r w:rsidRPr="00CE229E">
        <w:rPr>
          <w:rFonts w:ascii="Arial Narrow" w:hAnsi="Arial Narrow"/>
        </w:rPr>
        <w:instrText xml:space="preserve"> REF _Ref34130589 \h  \* MERGEFORMAT </w:instrText>
      </w:r>
      <w:r w:rsidRPr="00CE229E">
        <w:rPr>
          <w:rFonts w:ascii="Arial Narrow" w:hAnsi="Arial Narrow"/>
        </w:rPr>
      </w:r>
      <w:r w:rsidRPr="00CE229E">
        <w:rPr>
          <w:rFonts w:ascii="Arial Narrow" w:hAnsi="Arial Narrow"/>
        </w:rPr>
        <w:fldChar w:fldCharType="separate"/>
      </w:r>
      <w:r w:rsidR="00FA29AF" w:rsidRPr="00FA29AF">
        <w:rPr>
          <w:rFonts w:ascii="Arial Narrow" w:hAnsi="Arial Narrow"/>
        </w:rPr>
        <w:t>Príloha 8</w:t>
      </w:r>
      <w:r w:rsidRPr="00CE229E">
        <w:rPr>
          <w:rFonts w:ascii="Arial Narrow" w:hAnsi="Arial Narrow"/>
        </w:rPr>
        <w:fldChar w:fldCharType="end"/>
      </w:r>
      <w:r w:rsidRPr="00CE229E">
        <w:rPr>
          <w:rFonts w:ascii="Arial Narrow" w:hAnsi="Arial Narrow"/>
        </w:rPr>
        <w:t xml:space="preserve">). </w:t>
      </w:r>
      <w:r w:rsidRPr="00CE229E">
        <w:rPr>
          <w:rFonts w:ascii="Arial Narrow" w:hAnsi="Arial Narrow"/>
          <w:b/>
        </w:rPr>
        <w:t>Revízia preto navrhuje pokračovať a zintenzívniť budovanie kapacít materských škôl aj v nasledovnom programovom období.</w:t>
      </w:r>
    </w:p>
    <w:p w14:paraId="3B0C2866" w14:textId="77777777" w:rsidR="000823A6" w:rsidRPr="00CA2564" w:rsidRDefault="000823A6" w:rsidP="00CC72C1">
      <w:pPr>
        <w:pStyle w:val="Bezriadkovania"/>
        <w:spacing w:before="200" w:after="200" w:line="259" w:lineRule="auto"/>
        <w:jc w:val="both"/>
        <w:rPr>
          <w:rFonts w:ascii="Arial Narrow" w:hAnsi="Arial Narrow"/>
          <w:color w:val="0070C0"/>
        </w:rPr>
      </w:pPr>
      <w:r>
        <w:rPr>
          <w:rFonts w:ascii="Arial Narrow" w:hAnsi="Arial Narrow"/>
          <w:color w:val="0070C0"/>
        </w:rPr>
        <w:t>Chýbajúce opatrenia na podporu vzdelávania sociálne znevýhodnených detí v materských školách</w:t>
      </w:r>
    </w:p>
    <w:p w14:paraId="5C769D1B" w14:textId="10270CC1" w:rsidR="000823A6" w:rsidRPr="00330F60" w:rsidRDefault="000823A6" w:rsidP="006E486F">
      <w:pPr>
        <w:rPr>
          <w:b/>
          <w:bCs/>
          <w:u w:val="single"/>
        </w:rPr>
      </w:pPr>
      <w:r w:rsidRPr="00330F60">
        <w:rPr>
          <w:b/>
          <w:bCs/>
          <w:u w:val="single"/>
        </w:rPr>
        <w:t xml:space="preserve">Zlepšenie </w:t>
      </w:r>
      <w:r w:rsidR="009D3164">
        <w:rPr>
          <w:b/>
          <w:bCs/>
          <w:u w:val="single"/>
        </w:rPr>
        <w:t>prí</w:t>
      </w:r>
      <w:r w:rsidRPr="00330F60">
        <w:rPr>
          <w:b/>
          <w:bCs/>
          <w:u w:val="single"/>
        </w:rPr>
        <w:t>stupnosti materských škôl</w:t>
      </w:r>
    </w:p>
    <w:p w14:paraId="426AAFCB" w14:textId="187198D8" w:rsidR="000823A6" w:rsidRPr="00236DAA" w:rsidRDefault="000823A6" w:rsidP="006E486F">
      <w:pPr>
        <w:rPr>
          <w:rFonts w:ascii="MS PGothic" w:hAnsi="MS PGothic"/>
          <w:lang w:eastAsia="sk-SK"/>
        </w:rPr>
      </w:pPr>
      <w:r w:rsidRPr="006E486F">
        <w:rPr>
          <w:b/>
        </w:rPr>
        <w:t xml:space="preserve">Materská škola môže byť pre obyvateľov segregovaných osídlení mimo obce ťažko </w:t>
      </w:r>
      <w:r w:rsidR="00312CE0">
        <w:rPr>
          <w:b/>
        </w:rPr>
        <w:t>prí</w:t>
      </w:r>
      <w:r w:rsidRPr="006E486F">
        <w:rPr>
          <w:b/>
        </w:rPr>
        <w:t>stupná aj v prípade, že ju obec má.</w:t>
      </w:r>
      <w:r w:rsidRPr="006A76CA">
        <w:t xml:space="preserve"> Zo 191 osídlení mimo obce je </w:t>
      </w:r>
      <w:r>
        <w:t>štvrtina (</w:t>
      </w:r>
      <w:r w:rsidRPr="006A76CA">
        <w:t>48</w:t>
      </w:r>
      <w:r>
        <w:t>)</w:t>
      </w:r>
      <w:r w:rsidRPr="006A76CA">
        <w:t xml:space="preserve"> takých, ktoré sú od najbližšej obce s materskou školou vzdialené viac ako 2 km. Priemerná vzdialenosť je </w:t>
      </w:r>
      <w:r w:rsidRPr="00751B04">
        <w:t>5,4 km.</w:t>
      </w:r>
      <w:r w:rsidRPr="00751B04">
        <w:rPr>
          <w:rStyle w:val="Odkaznapoznmkupodiarou"/>
        </w:rPr>
        <w:footnoteReference w:id="94"/>
      </w:r>
      <w:r w:rsidRPr="00751B04">
        <w:t xml:space="preserve"> </w:t>
      </w:r>
      <w:r w:rsidRPr="00236DAA">
        <w:t xml:space="preserve">Podpora na zlepšenie dostupnosti MŠ </w:t>
      </w:r>
      <w:r w:rsidR="00312CE0">
        <w:t>v inej podobe ako budovaním novej infraštruktúry</w:t>
      </w:r>
      <w:r w:rsidR="00312CE0" w:rsidRPr="00236DAA">
        <w:t xml:space="preserve"> </w:t>
      </w:r>
      <w:r w:rsidRPr="00236DAA">
        <w:t xml:space="preserve">neexistuje. </w:t>
      </w:r>
      <w:r w:rsidRPr="006E486F">
        <w:rPr>
          <w:b/>
        </w:rPr>
        <w:t>Revízia preto navrhuje zabezpečiť autobusové spojenie medzi rómskymi osídleniami</w:t>
      </w:r>
      <w:r w:rsidR="006E486F">
        <w:rPr>
          <w:b/>
        </w:rPr>
        <w:t xml:space="preserve"> mimo obce a materskými školami</w:t>
      </w:r>
      <w:r w:rsidRPr="006E486F">
        <w:rPr>
          <w:b/>
        </w:rPr>
        <w:t>.</w:t>
      </w:r>
    </w:p>
    <w:p w14:paraId="34D0486E" w14:textId="77777777" w:rsidR="000823A6" w:rsidRPr="00974D9F" w:rsidRDefault="000823A6" w:rsidP="000823A6">
      <w:pPr>
        <w:rPr>
          <w:b/>
          <w:u w:val="single"/>
        </w:rPr>
      </w:pPr>
      <w:r>
        <w:rPr>
          <w:b/>
          <w:u w:val="single"/>
        </w:rPr>
        <w:t>Zohľadnenie potrieb detí zo sociálne znevýhodneného prostredia vo financovaní MŠ</w:t>
      </w:r>
    </w:p>
    <w:p w14:paraId="357786B8" w14:textId="2489978A" w:rsidR="000823A6" w:rsidRDefault="000823A6" w:rsidP="000823A6">
      <w:r w:rsidRPr="0077265F">
        <w:rPr>
          <w:b/>
        </w:rPr>
        <w:t xml:space="preserve">Potreby detí zo sociálne znevýhodneného prostredia nie sú zohľadnené v systéme financovania predprimárneho vzdelávania. </w:t>
      </w:r>
      <w:r w:rsidRPr="00C957B6">
        <w:t xml:space="preserve">Podielové dane, z ktorých </w:t>
      </w:r>
      <w:r w:rsidRPr="001A28E7">
        <w:t>obce financujú materské školy, nie sú účelovo viazané. Vzorec na prerozdeľovanie prostriedkov z podielových daní zohľadňuje iba počet detí v materskej škole bez ohľadu na ich špeciáln</w:t>
      </w:r>
      <w:r w:rsidRPr="0060540E">
        <w:t>e výchovno-vzdelávacie potreby. Je na rozhodnutí obce, koľko zdrojov vyčlení na materské školy a či špeciálne výchovno-vzdelávacie potreby zohľadní alebo nie. Sumy napočítané na zákla</w:t>
      </w:r>
      <w:r w:rsidRPr="00F852A9">
        <w:t xml:space="preserve">de vzorca pre jednotlivé obce sa nikde nezverejňujú, čo znemožňuje </w:t>
      </w:r>
      <w:r w:rsidR="00754508">
        <w:t>monitoring</w:t>
      </w:r>
      <w:r w:rsidR="00754508" w:rsidRPr="00AC3112">
        <w:t xml:space="preserve"> </w:t>
      </w:r>
      <w:r w:rsidRPr="00AC3112">
        <w:t>hospodárenia zriaďovateľov.</w:t>
      </w:r>
    </w:p>
    <w:p w14:paraId="457803C1" w14:textId="2E546D9F" w:rsidR="000823A6" w:rsidRPr="00287056" w:rsidRDefault="000823A6" w:rsidP="000823A6">
      <w:pPr>
        <w:rPr>
          <w:bCs/>
        </w:rPr>
      </w:pPr>
      <w:r w:rsidRPr="0077265F">
        <w:rPr>
          <w:b/>
        </w:rPr>
        <w:t>Až 82 % obcí</w:t>
      </w:r>
      <w:r w:rsidRPr="00C957B6">
        <w:rPr>
          <w:b/>
        </w:rPr>
        <w:t xml:space="preserve"> vynakladá na materské školy menej zdrojov ako je im prerozdelených z podielových daní</w:t>
      </w:r>
      <w:r>
        <w:rPr>
          <w:b/>
        </w:rPr>
        <w:t xml:space="preserve"> na základe počtu detí v MŠ</w:t>
      </w:r>
      <w:r w:rsidRPr="00C957B6">
        <w:rPr>
          <w:b/>
        </w:rPr>
        <w:t xml:space="preserve">. </w:t>
      </w:r>
      <w:r w:rsidRPr="001A28E7">
        <w:t>Regresná analýza naznačuje, že zastúpenie detí so sociálnym alebo zdravotným znevýhodnením výšku v</w:t>
      </w:r>
      <w:r w:rsidRPr="0060540E">
        <w:t xml:space="preserve">ýdavkov zásadne neovplyvňujú. Výška výdavkov na </w:t>
      </w:r>
      <w:r w:rsidRPr="00F852A9">
        <w:t>predprimárne vzdelávanie jednotlivých obcí sú závislé od faktorov, ktoré nie je možné z dostupných údajov pozorovať</w:t>
      </w:r>
      <w:r w:rsidRPr="0077265F">
        <w:t xml:space="preserve"> (</w:t>
      </w:r>
      <w:r w:rsidR="00F13BBA">
        <w:fldChar w:fldCharType="begin"/>
      </w:r>
      <w:r w:rsidR="00F13BBA">
        <w:instrText xml:space="preserve"> REF _Ref34129767 \h  \* MERGEFORMAT </w:instrText>
      </w:r>
      <w:r w:rsidR="00F13BBA">
        <w:fldChar w:fldCharType="separate"/>
      </w:r>
      <w:r w:rsidR="00FA29AF" w:rsidRPr="00FA29AF">
        <w:t>Príloha 9</w:t>
      </w:r>
      <w:r w:rsidR="00F13BBA">
        <w:fldChar w:fldCharType="end"/>
      </w:r>
      <w:r w:rsidRPr="00C66FF6">
        <w:t>).</w:t>
      </w:r>
    </w:p>
    <w:p w14:paraId="2A46E670" w14:textId="2F69AF96" w:rsidR="00754508" w:rsidRPr="00190216" w:rsidRDefault="00754508" w:rsidP="00754508">
      <w:r>
        <w:rPr>
          <w:b/>
          <w:bCs/>
        </w:rPr>
        <w:t xml:space="preserve">Zavedenie povinného predprimárneho </w:t>
      </w:r>
      <w:r w:rsidRPr="00506397">
        <w:rPr>
          <w:b/>
          <w:bCs/>
        </w:rPr>
        <w:t xml:space="preserve">vzdelávania </w:t>
      </w:r>
      <w:r w:rsidR="00506397" w:rsidRPr="00452DBC">
        <w:rPr>
          <w:b/>
        </w:rPr>
        <w:t>zvýši počet detí v materských školách o približne 10 tisíc</w:t>
      </w:r>
      <w:r w:rsidR="00506397" w:rsidRPr="00506397">
        <w:rPr>
          <w:b/>
          <w:bCs/>
        </w:rPr>
        <w:t xml:space="preserve">, čo </w:t>
      </w:r>
      <w:r w:rsidRPr="00506397">
        <w:rPr>
          <w:b/>
          <w:bCs/>
        </w:rPr>
        <w:t>môže ovplyvniť výšku priemerných príjmov a výdavkov na dieťa</w:t>
      </w:r>
      <w:r>
        <w:rPr>
          <w:b/>
          <w:bCs/>
        </w:rPr>
        <w:t xml:space="preserve"> v materskej škole. </w:t>
      </w:r>
      <w:r w:rsidR="007F6878">
        <w:t>Z</w:t>
      </w:r>
      <w:r>
        <w:t>výšenie počtu detí v materských školách sa pri zachovaní objemu vybraných podielových daní môže prejaviť v nižších priemerných zdrojoch alokovaných na jedno dieťa v niektorých obciach (u niektorých zriaďovateľov MŠ).</w:t>
      </w:r>
      <w:r>
        <w:rPr>
          <w:rStyle w:val="Odkaznapoznmkupodiarou"/>
        </w:rPr>
        <w:footnoteReference w:id="95"/>
      </w:r>
      <w:r>
        <w:t xml:space="preserve"> V súvislosti s implementáciou povinného predprimárneho vzdelávania a v súvislosti s plánovaným zavedením právneho nároku bude preto potrebné otvoriť diskusiu o systéme financovania materských škôl.</w:t>
      </w:r>
    </w:p>
    <w:p w14:paraId="2834E4D2" w14:textId="77777777" w:rsidR="000823A6" w:rsidRPr="00974D9F" w:rsidRDefault="000823A6" w:rsidP="000823A6">
      <w:pPr>
        <w:rPr>
          <w:b/>
          <w:u w:val="single"/>
        </w:rPr>
      </w:pPr>
      <w:r w:rsidRPr="00974D9F">
        <w:rPr>
          <w:b/>
          <w:u w:val="single"/>
        </w:rPr>
        <w:t>Zlepšenie dostupnosti pedagogických asistentov a odborných zamestnancov</w:t>
      </w:r>
    </w:p>
    <w:p w14:paraId="103B20BD" w14:textId="28DFD38E" w:rsidR="000823A6" w:rsidRPr="005436EA" w:rsidRDefault="000823A6" w:rsidP="000823A6">
      <w:pPr>
        <w:rPr>
          <w:b/>
        </w:rPr>
      </w:pPr>
      <w:r w:rsidRPr="0077265F">
        <w:rPr>
          <w:b/>
        </w:rPr>
        <w:t>Aktuálna legislatíva a štátny vzdelávací program nijako neupravujú potrebu prítomnosti a nárokovateľnosť pedagogických asistentov (PA) a odborných zamestnancov (OZ) v procese predprimárneho vzdelávania detí zo sociálne znevýhodneného prostredia.</w:t>
      </w:r>
      <w:r w:rsidRPr="0077265F">
        <w:t xml:space="preserve"> </w:t>
      </w:r>
      <w:r w:rsidR="009B2DFA">
        <w:t xml:space="preserve">Národné projekty </w:t>
      </w:r>
      <w:r w:rsidRPr="0077265F">
        <w:t>zameran</w:t>
      </w:r>
      <w:r w:rsidR="009B2DFA">
        <w:t>é</w:t>
      </w:r>
      <w:r w:rsidRPr="0077265F">
        <w:t xml:space="preserve"> na zvýšenie inkluzívnosti vzdelávania v materských školách, v rámci ktorých sa zriaďujú aj nové pracovné miesta pre PA a</w:t>
      </w:r>
      <w:r w:rsidR="009B2DFA">
        <w:t> </w:t>
      </w:r>
      <w:r w:rsidRPr="0077265F">
        <w:t>OZ</w:t>
      </w:r>
      <w:r w:rsidR="009B2DFA">
        <w:t>,</w:t>
      </w:r>
      <w:r w:rsidRPr="0077265F">
        <w:t xml:space="preserve"> nepokrýva</w:t>
      </w:r>
      <w:r w:rsidR="009B2DFA">
        <w:t>jú</w:t>
      </w:r>
      <w:r w:rsidRPr="0077265F">
        <w:t xml:space="preserve"> potrebu kontinuálneho pôsobenia podporného personálu v materských školách</w:t>
      </w:r>
      <w:r w:rsidR="009B2DFA">
        <w:t>,</w:t>
      </w:r>
      <w:r w:rsidRPr="0077265F">
        <w:t xml:space="preserve"> </w:t>
      </w:r>
      <w:r w:rsidR="007F6878">
        <w:t>a neumožňujú tak</w:t>
      </w:r>
      <w:r w:rsidRPr="0077265F">
        <w:t xml:space="preserve"> dlhodobo udržať dostupnosť a kvalitu predškolského vzdelávania (</w:t>
      </w:r>
      <w:r w:rsidR="00134838">
        <w:fldChar w:fldCharType="begin"/>
      </w:r>
      <w:r w:rsidR="00134838">
        <w:instrText xml:space="preserve"> REF _Ref25324181 \h  \* MERGEFORMAT </w:instrText>
      </w:r>
      <w:r w:rsidR="00134838">
        <w:fldChar w:fldCharType="separate"/>
      </w:r>
      <w:r w:rsidR="00FA29AF" w:rsidRPr="00FA29AF">
        <w:t>Príloha 10</w:t>
      </w:r>
      <w:r w:rsidR="00134838">
        <w:fldChar w:fldCharType="end"/>
      </w:r>
      <w:r w:rsidRPr="0077265F">
        <w:t>).</w:t>
      </w:r>
      <w:r>
        <w:t xml:space="preserve"> </w:t>
      </w:r>
      <w:r w:rsidRPr="0080704F">
        <w:rPr>
          <w:b/>
        </w:rPr>
        <w:t xml:space="preserve">Revízia navrhuje prideľovať zriaďovateľom v prípade </w:t>
      </w:r>
      <w:r>
        <w:rPr>
          <w:b/>
        </w:rPr>
        <w:t xml:space="preserve">záujmu 50 % </w:t>
      </w:r>
      <w:r w:rsidRPr="0080704F">
        <w:rPr>
          <w:b/>
        </w:rPr>
        <w:t>ročného tarifného platu pedagogického asistenta/pomocného vychovávateľa a odborného zamestnanca.</w:t>
      </w:r>
    </w:p>
    <w:p w14:paraId="47639AF9" w14:textId="26208ADD" w:rsidR="000823A6" w:rsidRPr="00974D9F" w:rsidRDefault="000823A6" w:rsidP="000823A6">
      <w:pPr>
        <w:rPr>
          <w:b/>
          <w:u w:val="single"/>
        </w:rPr>
      </w:pPr>
      <w:r w:rsidRPr="00974D9F">
        <w:rPr>
          <w:b/>
          <w:u w:val="single"/>
        </w:rPr>
        <w:t xml:space="preserve">Jazyková podpora </w:t>
      </w:r>
      <w:r w:rsidR="007F6878">
        <w:rPr>
          <w:b/>
          <w:u w:val="single"/>
        </w:rPr>
        <w:t xml:space="preserve">rómskych </w:t>
      </w:r>
      <w:r w:rsidRPr="00974D9F">
        <w:rPr>
          <w:b/>
          <w:u w:val="single"/>
        </w:rPr>
        <w:t xml:space="preserve">detí </w:t>
      </w:r>
    </w:p>
    <w:p w14:paraId="06D87B33" w14:textId="02CC8975" w:rsidR="00EC07C0" w:rsidRPr="0080704F" w:rsidRDefault="000823A6" w:rsidP="000823A6">
      <w:pPr>
        <w:rPr>
          <w:b/>
          <w:bCs/>
        </w:rPr>
      </w:pPr>
      <w:r w:rsidRPr="0077265F">
        <w:rPr>
          <w:b/>
        </w:rPr>
        <w:t xml:space="preserve">Na úrovni MŠ chýba systematická jazyková podpora </w:t>
      </w:r>
      <w:r w:rsidR="007F6878">
        <w:rPr>
          <w:b/>
        </w:rPr>
        <w:t xml:space="preserve">rómskych </w:t>
      </w:r>
      <w:r w:rsidRPr="0077265F">
        <w:rPr>
          <w:b/>
        </w:rPr>
        <w:t>detí</w:t>
      </w:r>
      <w:r w:rsidR="0091408B">
        <w:rPr>
          <w:b/>
        </w:rPr>
        <w:t xml:space="preserve">, ktorých </w:t>
      </w:r>
      <w:r w:rsidRPr="0077265F">
        <w:rPr>
          <w:b/>
        </w:rPr>
        <w:t>materinským jazykom</w:t>
      </w:r>
      <w:r w:rsidR="0091408B">
        <w:rPr>
          <w:b/>
        </w:rPr>
        <w:t xml:space="preserve"> nie je slovenčina</w:t>
      </w:r>
      <w:r w:rsidRPr="0077265F">
        <w:rPr>
          <w:b/>
        </w:rPr>
        <w:t xml:space="preserve">. Zamestnávanie asistentov ovládajúcich jazyk </w:t>
      </w:r>
      <w:r w:rsidR="0091408B">
        <w:rPr>
          <w:b/>
        </w:rPr>
        <w:t xml:space="preserve">rómskej menšiny </w:t>
      </w:r>
      <w:r w:rsidRPr="0077265F">
        <w:rPr>
          <w:b/>
        </w:rPr>
        <w:t xml:space="preserve">nie je podporované. </w:t>
      </w:r>
      <w:r w:rsidRPr="0077265F">
        <w:t xml:space="preserve">Zahraničné výskumy pritom demonštrujú, že zastúpenie pracovníka z menšiny v pracovnom kolektíve školy má pozitívny dopad na účasť aj výsledky detí vo </w:t>
      </w:r>
      <w:r w:rsidRPr="009B2DFA">
        <w:rPr>
          <w:szCs w:val="22"/>
        </w:rPr>
        <w:t>vzdelávaní</w:t>
      </w:r>
      <w:r w:rsidR="00754508" w:rsidRPr="009B2DFA">
        <w:rPr>
          <w:szCs w:val="22"/>
        </w:rPr>
        <w:t xml:space="preserve"> (EK, 2016</w:t>
      </w:r>
      <w:r w:rsidR="00C077AB">
        <w:rPr>
          <w:szCs w:val="22"/>
        </w:rPr>
        <w:t>a</w:t>
      </w:r>
      <w:r w:rsidR="00754508" w:rsidRPr="00452DBC">
        <w:rPr>
          <w:rFonts w:cs="Arial"/>
          <w:szCs w:val="22"/>
          <w:shd w:val="clear" w:color="auto" w:fill="FFFFFF"/>
        </w:rPr>
        <w:t>; Gatti a kol. 2016</w:t>
      </w:r>
      <w:r w:rsidR="00754508" w:rsidRPr="009B2DFA">
        <w:rPr>
          <w:szCs w:val="22"/>
        </w:rPr>
        <w:t>)</w:t>
      </w:r>
      <w:r w:rsidRPr="009B2DFA">
        <w:rPr>
          <w:szCs w:val="22"/>
        </w:rPr>
        <w:t xml:space="preserve">. </w:t>
      </w:r>
      <w:r w:rsidRPr="00D41517">
        <w:rPr>
          <w:bCs/>
          <w:szCs w:val="22"/>
        </w:rPr>
        <w:t>Príkladom</w:t>
      </w:r>
      <w:r w:rsidRPr="0077265F">
        <w:rPr>
          <w:bCs/>
        </w:rPr>
        <w:t xml:space="preserve"> dobrej praxe je v súčasnosti realizovaný </w:t>
      </w:r>
      <w:r w:rsidR="009066E0">
        <w:rPr>
          <w:bCs/>
        </w:rPr>
        <w:t>národný projekt</w:t>
      </w:r>
      <w:r w:rsidRPr="0077265F">
        <w:rPr>
          <w:bCs/>
        </w:rPr>
        <w:t>, v rámci ktorého sú prednostne zamestnávaní pedagogickí asistenti ovládajúci rómsky jazyk.</w:t>
      </w:r>
      <w:r w:rsidRPr="0077265F">
        <w:rPr>
          <w:rStyle w:val="Odkaznapoznmkupodiarou"/>
          <w:bCs/>
        </w:rPr>
        <w:footnoteReference w:id="96"/>
      </w:r>
      <w:r w:rsidR="0070047D">
        <w:t xml:space="preserve"> </w:t>
      </w:r>
      <w:r w:rsidRPr="0077265F">
        <w:t>Štátny vzdelávací program pre MŠ so zakomponovaním rómskeho jazyka (ani iných menšinových jazykov) do výchovy a vzdelávania nepočíta a výučba menšinových jazykov nie je zohľadnená vo financovaní MŠ</w:t>
      </w:r>
      <w:r w:rsidR="00370F48">
        <w:t>.</w:t>
      </w:r>
      <w:r w:rsidRPr="0077265F">
        <w:rPr>
          <w:rStyle w:val="Odkaznapoznmkupodiarou"/>
        </w:rPr>
        <w:footnoteReference w:id="97"/>
      </w:r>
      <w:r w:rsidRPr="0077265F">
        <w:t xml:space="preserve"> </w:t>
      </w:r>
      <w:r w:rsidRPr="0080704F">
        <w:rPr>
          <w:b/>
          <w:bCs/>
        </w:rPr>
        <w:t>Revízia preto navrhuje zapracovať výučbu menšinových jazykov do štátneho vzdelávacieho programu pre predprimárne vzdelávanie</w:t>
      </w:r>
      <w:r w:rsidR="009B2DFA">
        <w:rPr>
          <w:b/>
          <w:bCs/>
        </w:rPr>
        <w:t>.</w:t>
      </w:r>
      <w:r w:rsidRPr="0080704F">
        <w:rPr>
          <w:b/>
          <w:bCs/>
        </w:rPr>
        <w:t xml:space="preserve"> </w:t>
      </w:r>
      <w:r w:rsidR="009B2DFA">
        <w:rPr>
          <w:b/>
          <w:bCs/>
        </w:rPr>
        <w:t>V</w:t>
      </w:r>
      <w:r w:rsidRPr="0080704F">
        <w:rPr>
          <w:b/>
          <w:bCs/>
        </w:rPr>
        <w:t>zhľadom na jazykové potreby detí z MRK navrhuje revízia vo vybraných lokalitách plne</w:t>
      </w:r>
      <w:r w:rsidR="00691CD0">
        <w:rPr>
          <w:b/>
          <w:bCs/>
        </w:rPr>
        <w:t xml:space="preserve"> </w:t>
      </w:r>
      <w:r w:rsidRPr="0080704F">
        <w:rPr>
          <w:b/>
          <w:bCs/>
        </w:rPr>
        <w:t>financovať rómsky</w:t>
      </w:r>
      <w:r w:rsidR="00A27BFF">
        <w:rPr>
          <w:b/>
          <w:bCs/>
        </w:rPr>
        <w:t>/maďarsky</w:t>
      </w:r>
      <w:r w:rsidRPr="0080704F">
        <w:rPr>
          <w:b/>
          <w:bCs/>
        </w:rPr>
        <w:t xml:space="preserve"> hovoriaceho pedagogického asistenta/pomocného vychovávateľa v súlade s</w:t>
      </w:r>
      <w:r>
        <w:rPr>
          <w:b/>
          <w:bCs/>
        </w:rPr>
        <w:t xml:space="preserve"> dočasnými vyrovnávacími opatreniami zadefinovanými v </w:t>
      </w:r>
      <w:r w:rsidRPr="0080704F">
        <w:rPr>
          <w:b/>
          <w:bCs/>
        </w:rPr>
        <w:t>antidiskriminačn</w:t>
      </w:r>
      <w:r>
        <w:rPr>
          <w:b/>
          <w:bCs/>
        </w:rPr>
        <w:t>om</w:t>
      </w:r>
      <w:r w:rsidRPr="0080704F">
        <w:rPr>
          <w:b/>
          <w:bCs/>
        </w:rPr>
        <w:t xml:space="preserve"> zákon</w:t>
      </w:r>
      <w:r>
        <w:rPr>
          <w:b/>
          <w:bCs/>
        </w:rPr>
        <w:t>e.</w:t>
      </w:r>
      <w:r>
        <w:rPr>
          <w:rStyle w:val="Odkaznapoznmkupodiarou"/>
          <w:b/>
          <w:bCs/>
        </w:rPr>
        <w:footnoteReference w:id="98"/>
      </w:r>
    </w:p>
    <w:p w14:paraId="047E4502" w14:textId="35481D48" w:rsidR="00EC07C0" w:rsidRDefault="000823A6" w:rsidP="000823A6">
      <w:pPr>
        <w:rPr>
          <w:bCs/>
        </w:rPr>
      </w:pPr>
      <w:r w:rsidRPr="00236DAA">
        <w:rPr>
          <w:b/>
          <w:bCs/>
        </w:rPr>
        <w:t xml:space="preserve">Bariérou pri zamestnávaní pedagogických asistentov </w:t>
      </w:r>
      <w:r w:rsidR="007F6878">
        <w:rPr>
          <w:b/>
          <w:bCs/>
        </w:rPr>
        <w:t>ovládajúcich jazyk rómskej menšiny</w:t>
      </w:r>
      <w:r w:rsidR="006B158B">
        <w:rPr>
          <w:b/>
          <w:bCs/>
        </w:rPr>
        <w:t xml:space="preserve"> </w:t>
      </w:r>
      <w:r w:rsidRPr="00236DAA">
        <w:rPr>
          <w:b/>
          <w:bCs/>
        </w:rPr>
        <w:t>môžu byť aj kvalifikačné požiadavky, v rámci ktorých sa požaduje minimálne úplné stredné vzdelanie.</w:t>
      </w:r>
      <w:r w:rsidRPr="0077265F">
        <w:rPr>
          <w:bCs/>
        </w:rPr>
        <w:t xml:space="preserve"> Podľa údajov UNDP (2012) túto požiadavku spĺňa iba 17,3 % </w:t>
      </w:r>
      <w:r>
        <w:rPr>
          <w:bCs/>
        </w:rPr>
        <w:t>ľudí z prostredia MRK</w:t>
      </w:r>
      <w:r w:rsidRPr="0077265F">
        <w:rPr>
          <w:bCs/>
        </w:rPr>
        <w:t>. V MŠ však môžu pôsobiť aj pomocní vychovávatelia</w:t>
      </w:r>
      <w:r w:rsidRPr="00A27BFF">
        <w:rPr>
          <w:bCs/>
        </w:rPr>
        <w:t xml:space="preserve">. </w:t>
      </w:r>
      <w:r w:rsidR="004F4C0B" w:rsidRPr="00E41495">
        <w:rPr>
          <w:bCs/>
        </w:rPr>
        <w:t xml:space="preserve">Vzhľadom na nepedagogický charakter </w:t>
      </w:r>
      <w:r w:rsidR="0091408B">
        <w:rPr>
          <w:bCs/>
        </w:rPr>
        <w:t>ich činností</w:t>
      </w:r>
      <w:r w:rsidR="004F4C0B" w:rsidRPr="00E41495">
        <w:rPr>
          <w:bCs/>
        </w:rPr>
        <w:t xml:space="preserve"> by bolo možné tento kvalifikačný predpoklad v ich prípade </w:t>
      </w:r>
      <w:r w:rsidR="004F4C0B">
        <w:rPr>
          <w:bCs/>
        </w:rPr>
        <w:t xml:space="preserve">dočasne </w:t>
      </w:r>
      <w:r w:rsidR="004F4C0B" w:rsidRPr="00E41495">
        <w:rPr>
          <w:bCs/>
        </w:rPr>
        <w:t xml:space="preserve">znížiť pri vstupe do zamestnania na nižšie stredné vzdelanie (ISCED 2). </w:t>
      </w:r>
    </w:p>
    <w:p w14:paraId="0139C33A" w14:textId="1BA8B92E" w:rsidR="006B158B" w:rsidRPr="0091408B" w:rsidRDefault="006B158B">
      <w:pPr>
        <w:rPr>
          <w:rFonts w:eastAsia="Times New Roman" w:cs="Times New Roman"/>
          <w:b/>
          <w:color w:val="000000"/>
          <w:szCs w:val="22"/>
          <w:lang w:eastAsia="sk-SK"/>
        </w:rPr>
      </w:pPr>
      <w:r>
        <w:rPr>
          <w:b/>
        </w:rPr>
        <w:t xml:space="preserve">Revízia preto </w:t>
      </w:r>
      <w:r w:rsidR="004F4C0B">
        <w:rPr>
          <w:b/>
        </w:rPr>
        <w:t xml:space="preserve">navrhuje </w:t>
      </w:r>
      <w:r w:rsidRPr="00452DBC">
        <w:rPr>
          <w:b/>
        </w:rPr>
        <w:t xml:space="preserve">ustanoviť prechodné obdobie pre </w:t>
      </w:r>
      <w:r>
        <w:rPr>
          <w:b/>
        </w:rPr>
        <w:t xml:space="preserve">pomocných vychovávateľov na </w:t>
      </w:r>
      <w:r w:rsidRPr="00452DBC">
        <w:rPr>
          <w:b/>
        </w:rPr>
        <w:t>dosiahnutie kvalifikačného predpokladu stredné</w:t>
      </w:r>
      <w:r w:rsidR="005D4A1A">
        <w:rPr>
          <w:b/>
        </w:rPr>
        <w:t>ho vzdelania</w:t>
      </w:r>
      <w:r w:rsidRPr="00452DBC">
        <w:rPr>
          <w:b/>
        </w:rPr>
        <w:t xml:space="preserve">. </w:t>
      </w:r>
      <w:r w:rsidRPr="00452DBC">
        <w:rPr>
          <w:rFonts w:eastAsia="Times New Roman" w:cs="Times New Roman"/>
          <w:b/>
          <w:color w:val="000000"/>
          <w:szCs w:val="22"/>
          <w:lang w:eastAsia="sk-SK"/>
        </w:rPr>
        <w:t>V prechodnom období by v MŠ mohli pôsobiť pomocní vychovávatelia s ukončeným zá</w:t>
      </w:r>
      <w:r w:rsidR="0091408B" w:rsidRPr="0091408B">
        <w:rPr>
          <w:rFonts w:eastAsia="Times New Roman" w:cs="Times New Roman"/>
          <w:b/>
          <w:color w:val="000000"/>
          <w:szCs w:val="22"/>
          <w:lang w:eastAsia="sk-SK"/>
        </w:rPr>
        <w:t>kladným vzdelaním, ktorí</w:t>
      </w:r>
      <w:r w:rsidRPr="00452DBC">
        <w:rPr>
          <w:rFonts w:eastAsia="Times New Roman" w:cs="Times New Roman"/>
          <w:b/>
          <w:color w:val="000000"/>
          <w:szCs w:val="22"/>
          <w:lang w:eastAsia="sk-SK"/>
        </w:rPr>
        <w:t xml:space="preserve"> by mali povinnosť absolvovať </w:t>
      </w:r>
      <w:r w:rsidR="0091408B" w:rsidRPr="00452DBC">
        <w:rPr>
          <w:rFonts w:eastAsia="Times New Roman" w:cs="Times New Roman"/>
          <w:b/>
          <w:color w:val="000000"/>
          <w:szCs w:val="22"/>
          <w:lang w:eastAsia="sk-SK"/>
        </w:rPr>
        <w:t xml:space="preserve">základnú prípravu pre prácu s deťmi v MŠ </w:t>
      </w:r>
      <w:r w:rsidRPr="0091408B">
        <w:rPr>
          <w:rFonts w:eastAsia="Times New Roman" w:cs="Times New Roman"/>
          <w:b/>
          <w:color w:val="000000"/>
          <w:szCs w:val="22"/>
          <w:lang w:eastAsia="sk-SK"/>
        </w:rPr>
        <w:t>pri vstupe do zamestnania</w:t>
      </w:r>
      <w:r w:rsidR="007F6878">
        <w:rPr>
          <w:rFonts w:eastAsia="Times New Roman" w:cs="Times New Roman"/>
          <w:b/>
          <w:color w:val="000000"/>
          <w:szCs w:val="22"/>
          <w:lang w:eastAsia="sk-SK"/>
        </w:rPr>
        <w:t>. N</w:t>
      </w:r>
      <w:r w:rsidRPr="00452DBC">
        <w:rPr>
          <w:rFonts w:eastAsia="Times New Roman" w:cs="Times New Roman"/>
          <w:b/>
          <w:color w:val="000000"/>
          <w:szCs w:val="22"/>
          <w:lang w:eastAsia="sk-SK"/>
        </w:rPr>
        <w:t xml:space="preserve">ásledne </w:t>
      </w:r>
      <w:r w:rsidR="007F6878">
        <w:rPr>
          <w:rFonts w:eastAsia="Times New Roman" w:cs="Times New Roman"/>
          <w:b/>
          <w:color w:val="000000"/>
          <w:szCs w:val="22"/>
          <w:lang w:eastAsia="sk-SK"/>
        </w:rPr>
        <w:t xml:space="preserve">by </w:t>
      </w:r>
      <w:r w:rsidR="0091408B" w:rsidRPr="00452DBC">
        <w:rPr>
          <w:rFonts w:eastAsia="Times New Roman" w:cs="Times New Roman"/>
          <w:b/>
          <w:color w:val="000000"/>
          <w:szCs w:val="22"/>
          <w:lang w:eastAsia="sk-SK"/>
        </w:rPr>
        <w:t xml:space="preserve">počas prechodného obdobia </w:t>
      </w:r>
      <w:r w:rsidR="007F6878">
        <w:rPr>
          <w:rFonts w:eastAsia="Times New Roman" w:cs="Times New Roman"/>
          <w:b/>
          <w:color w:val="000000"/>
          <w:szCs w:val="22"/>
          <w:lang w:eastAsia="sk-SK"/>
        </w:rPr>
        <w:t xml:space="preserve">museli </w:t>
      </w:r>
      <w:r w:rsidR="0091408B" w:rsidRPr="00452DBC">
        <w:rPr>
          <w:b/>
          <w:bCs/>
        </w:rPr>
        <w:t xml:space="preserve">nadobudnúť </w:t>
      </w:r>
      <w:r w:rsidRPr="00452DBC">
        <w:rPr>
          <w:rFonts w:eastAsia="Times New Roman" w:cs="Times New Roman"/>
          <w:b/>
          <w:color w:val="000000"/>
          <w:szCs w:val="22"/>
          <w:lang w:eastAsia="sk-SK"/>
        </w:rPr>
        <w:t>stredné vzdelanie.</w:t>
      </w:r>
    </w:p>
    <w:p w14:paraId="209627B7" w14:textId="77777777" w:rsidR="00695590" w:rsidRDefault="00695590">
      <w:pPr>
        <w:pStyle w:val="Nadpis2"/>
        <w:spacing w:before="160"/>
      </w:pPr>
      <w:bookmarkStart w:id="313" w:name="_Toc33026044"/>
      <w:bookmarkStart w:id="314" w:name="_Toc33026390"/>
      <w:bookmarkStart w:id="315" w:name="_Toc33026575"/>
      <w:bookmarkStart w:id="316" w:name="_Toc33029128"/>
      <w:bookmarkStart w:id="317" w:name="_Toc33029411"/>
      <w:bookmarkStart w:id="318" w:name="_Toc33032039"/>
      <w:bookmarkStart w:id="319" w:name="_Toc33116487"/>
      <w:bookmarkStart w:id="320" w:name="_Toc33180221"/>
      <w:bookmarkStart w:id="321" w:name="_Toc33182006"/>
      <w:bookmarkStart w:id="322" w:name="_Toc33187411"/>
      <w:bookmarkStart w:id="323" w:name="_Toc33196761"/>
      <w:bookmarkStart w:id="324" w:name="_Toc33202752"/>
      <w:bookmarkStart w:id="325" w:name="_Toc33258293"/>
      <w:bookmarkStart w:id="326" w:name="_Toc33277047"/>
      <w:bookmarkStart w:id="327" w:name="_Toc33342612"/>
      <w:bookmarkStart w:id="328" w:name="_Ref25652405"/>
      <w:bookmarkStart w:id="329" w:name="_Toc34657715"/>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t>Vzdelávanie v základných školách</w:t>
      </w:r>
      <w:bookmarkEnd w:id="328"/>
      <w:bookmarkEnd w:id="329"/>
    </w:p>
    <w:p w14:paraId="6381CB95" w14:textId="3027B71D" w:rsidR="006126E4" w:rsidRDefault="00695590" w:rsidP="00695590">
      <w:pPr>
        <w:pStyle w:val="Bezriadkovania"/>
        <w:spacing w:before="160" w:after="240" w:line="259" w:lineRule="auto"/>
        <w:jc w:val="both"/>
        <w:rPr>
          <w:rFonts w:ascii="Arial Narrow" w:hAnsi="Arial Narrow"/>
          <w:b/>
        </w:rPr>
      </w:pPr>
      <w:r>
        <w:rPr>
          <w:rFonts w:ascii="Arial Narrow" w:hAnsi="Arial Narrow"/>
          <w:color w:val="0070C0"/>
        </w:rPr>
        <w:t>Výsledky vzdelávania sociálne znevýhodnených žiakov v základných školách</w:t>
      </w:r>
      <w:r w:rsidR="0070047D">
        <w:rPr>
          <w:rFonts w:ascii="Arial Narrow" w:hAnsi="Arial Narrow"/>
          <w:b/>
        </w:rPr>
        <w:t xml:space="preserve"> </w:t>
      </w:r>
    </w:p>
    <w:p w14:paraId="14FE6ECA" w14:textId="25332588" w:rsidR="006126E4" w:rsidRDefault="00695590" w:rsidP="00FD3547">
      <w:r w:rsidRPr="00236DAA">
        <w:rPr>
          <w:b/>
        </w:rPr>
        <w:t xml:space="preserve">V roku 2018 tvorili žiaci zo SZP 9,3 % školskej populácie (41 149 </w:t>
      </w:r>
      <w:r w:rsidRPr="0062433D">
        <w:rPr>
          <w:b/>
        </w:rPr>
        <w:t>žiakov).</w:t>
      </w:r>
      <w:r w:rsidR="00FA7C06">
        <w:rPr>
          <w:rStyle w:val="Odkaznapoznmkupodiarou"/>
          <w:b/>
        </w:rPr>
        <w:footnoteReference w:id="99"/>
      </w:r>
      <w:r w:rsidRPr="0062433D">
        <w:rPr>
          <w:b/>
        </w:rPr>
        <w:t xml:space="preserve"> </w:t>
      </w:r>
      <w:r w:rsidRPr="0062433D">
        <w:t xml:space="preserve">Podľa najlepších odhadov na základe dostupných dát tvoria </w:t>
      </w:r>
      <w:r w:rsidRPr="006126E4">
        <w:t>58 % žiakov zo SZP deti z MRK a naopak, 55 % detí z MRK je zaradených do kategórie</w:t>
      </w:r>
      <w:r w:rsidR="0070047D">
        <w:t xml:space="preserve"> </w:t>
      </w:r>
      <w:r w:rsidRPr="002B01DB">
        <w:t>SZP (</w:t>
      </w:r>
      <w:r w:rsidR="002B01DB" w:rsidRPr="002B01DB">
        <w:fldChar w:fldCharType="begin"/>
      </w:r>
      <w:r w:rsidR="002B01DB" w:rsidRPr="002B01DB">
        <w:instrText xml:space="preserve"> REF _Ref33440448 \h  \* MERGEFORMAT </w:instrText>
      </w:r>
      <w:r w:rsidR="002B01DB" w:rsidRPr="002B01DB">
        <w:fldChar w:fldCharType="separate"/>
      </w:r>
      <w:r w:rsidR="00FA29AF" w:rsidRPr="00FA29AF">
        <w:t xml:space="preserve">Box </w:t>
      </w:r>
      <w:r w:rsidR="00FA29AF" w:rsidRPr="00FA29AF">
        <w:rPr>
          <w:noProof/>
        </w:rPr>
        <w:t>7</w:t>
      </w:r>
      <w:r w:rsidR="002B01DB" w:rsidRPr="002B01DB">
        <w:fldChar w:fldCharType="end"/>
      </w:r>
      <w:r w:rsidRPr="002B01DB">
        <w:t>).</w:t>
      </w:r>
    </w:p>
    <w:p w14:paraId="1661D27B" w14:textId="5BC7A147" w:rsidR="00D53C5F" w:rsidRPr="006126E4" w:rsidRDefault="00D53C5F" w:rsidP="00D53C5F">
      <w:pPr>
        <w:spacing w:before="120"/>
      </w:pPr>
      <w:r w:rsidRPr="000F5D1F">
        <w:rPr>
          <w:b/>
        </w:rPr>
        <w:t>Žiaci so sociálnym znevýhodnením dosahujú v domácich (Testovanie 5 a Testovanie 9) ako aj medzinárodných testovaniach (PISA, PRILS, TIMSS) výrazne horšie výsledky ako bežná populácia.</w:t>
      </w:r>
      <w:r w:rsidRPr="00F637D9">
        <w:t xml:space="preserve"> Vplyv socioekonomického zázemia na výsledky žiakov je na Slovensku v porovnaní s inými vyspelými krajinami vyšší (</w:t>
      </w:r>
      <w:r>
        <w:t xml:space="preserve">napr. </w:t>
      </w:r>
      <w:r w:rsidRPr="00F637D9">
        <w:t>1</w:t>
      </w:r>
      <w:r>
        <w:t>8</w:t>
      </w:r>
      <w:r w:rsidRPr="00F637D9">
        <w:t xml:space="preserve"> % oproti 1</w:t>
      </w:r>
      <w:r>
        <w:t>2</w:t>
      </w:r>
      <w:r w:rsidRPr="00F637D9">
        <w:t xml:space="preserve"> % priemeru OECD</w:t>
      </w:r>
      <w:r>
        <w:t xml:space="preserve"> vo výsledkoch čitateľskej gramotnosti v testovaní PISA 2018</w:t>
      </w:r>
      <w:r w:rsidRPr="00F637D9">
        <w:t>) a rozdiel vo výsledkoch žiakov s vysokým a nízkym socioekonomickým statusom zodpovedá zhruba trom rokom školskej dochádzky (OECD, 2018b).</w:t>
      </w:r>
      <w:r>
        <w:t xml:space="preserve"> V</w:t>
      </w:r>
      <w:r w:rsidRPr="00042820">
        <w:t xml:space="preserve">ýsledky medzinárodných testovaní čitateľskej (PIRLS) a matematickej gramotnosti (TIMSS) žiakov 4. ročníka </w:t>
      </w:r>
      <w:r>
        <w:t xml:space="preserve">zároveň </w:t>
      </w:r>
      <w:r w:rsidRPr="00042820">
        <w:t>naznačujú, že výkon žiakov so slabším socioekonomickým zázemím sa v čase zhoršuje.</w:t>
      </w:r>
      <w:r w:rsidRPr="00042820">
        <w:rPr>
          <w:rStyle w:val="Odkaznapoznmkupodiarou"/>
        </w:rPr>
        <w:footnoteReference w:id="100"/>
      </w:r>
      <w:r w:rsidRPr="00042820">
        <w:t xml:space="preserve"> </w:t>
      </w:r>
    </w:p>
    <w:tbl>
      <w:tblPr>
        <w:tblW w:w="0" w:type="auto"/>
        <w:shd w:val="clear" w:color="auto" w:fill="BDD6EE" w:themeFill="accent1" w:themeFillTint="66"/>
        <w:tblLook w:val="04A0" w:firstRow="1" w:lastRow="0" w:firstColumn="1" w:lastColumn="0" w:noHBand="0" w:noVBand="1"/>
      </w:tblPr>
      <w:tblGrid>
        <w:gridCol w:w="9026"/>
      </w:tblGrid>
      <w:tr w:rsidR="00754508" w14:paraId="123ADC40" w14:textId="77777777" w:rsidTr="00D41517">
        <w:tc>
          <w:tcPr>
            <w:tcW w:w="9080" w:type="dxa"/>
            <w:shd w:val="clear" w:color="auto" w:fill="BDD6EE" w:themeFill="accent1" w:themeFillTint="66"/>
          </w:tcPr>
          <w:p w14:paraId="1D6BF419" w14:textId="3B558D75" w:rsidR="00754508" w:rsidRDefault="00754508" w:rsidP="00D41517">
            <w:pPr>
              <w:spacing w:before="120"/>
              <w:rPr>
                <w:b/>
              </w:rPr>
            </w:pPr>
            <w:bookmarkStart w:id="330" w:name="_Ref33440448"/>
            <w:r w:rsidRPr="00D00789">
              <w:rPr>
                <w:b/>
              </w:rPr>
              <w:t xml:space="preserve">Box </w:t>
            </w:r>
            <w:r>
              <w:rPr>
                <w:b/>
              </w:rPr>
              <w:fldChar w:fldCharType="begin"/>
            </w:r>
            <w:r>
              <w:rPr>
                <w:b/>
              </w:rPr>
              <w:instrText xml:space="preserve"> SEQ Box \* ARABIC </w:instrText>
            </w:r>
            <w:r>
              <w:rPr>
                <w:b/>
              </w:rPr>
              <w:fldChar w:fldCharType="separate"/>
            </w:r>
            <w:r w:rsidR="00FA29AF">
              <w:rPr>
                <w:b/>
                <w:noProof/>
              </w:rPr>
              <w:t>7</w:t>
            </w:r>
            <w:r>
              <w:rPr>
                <w:b/>
              </w:rPr>
              <w:fldChar w:fldCharType="end"/>
            </w:r>
            <w:bookmarkEnd w:id="330"/>
            <w:r w:rsidRPr="00D00789">
              <w:rPr>
                <w:b/>
              </w:rPr>
              <w:t>:</w:t>
            </w:r>
            <w:r w:rsidRPr="00D00789">
              <w:rPr>
                <w:b/>
                <w:bCs/>
              </w:rPr>
              <w:t xml:space="preserve"> </w:t>
            </w:r>
            <w:r>
              <w:rPr>
                <w:b/>
              </w:rPr>
              <w:t>Identifikácia SZP žiakov v revízii</w:t>
            </w:r>
          </w:p>
          <w:p w14:paraId="27B97E9C" w14:textId="006F74CB" w:rsidR="00754508" w:rsidRDefault="00FA7C06" w:rsidP="002158CB">
            <w:pPr>
              <w:rPr>
                <w:b/>
              </w:rPr>
            </w:pPr>
            <w:r>
              <w:t xml:space="preserve">Za žiaka zo SZP sa v revízii považuje žiak, ktorý ma diagnostikované potreby </w:t>
            </w:r>
            <w:r w:rsidR="00B24660">
              <w:t>vyplýva</w:t>
            </w:r>
            <w:r>
              <w:t>júce z vývinu v SZP a žiak, ktorý preukázal, že pochádza z rodiny, ktorej sa poskytuje pomoc v hmotnej núdzi. V školskom roku 2018/19 tvorili žiaci s diagnostikovanými potrebami</w:t>
            </w:r>
            <w:r w:rsidR="0070047D">
              <w:t xml:space="preserve"> </w:t>
            </w:r>
            <w:r>
              <w:t xml:space="preserve">7,8 </w:t>
            </w:r>
            <w:r w:rsidRPr="00E84ACC">
              <w:t>%</w:t>
            </w:r>
            <w:r w:rsidR="0070047D">
              <w:t xml:space="preserve"> </w:t>
            </w:r>
            <w:r w:rsidRPr="00E84ACC">
              <w:t>a žiaci z rodín, ktorým sa p</w:t>
            </w:r>
            <w:r w:rsidR="002158CB">
              <w:t>oskytuje pomoc v hmotnej núdzi</w:t>
            </w:r>
            <w:r w:rsidRPr="00E84ACC">
              <w:t xml:space="preserve"> </w:t>
            </w:r>
            <w:r>
              <w:t xml:space="preserve">1,5 </w:t>
            </w:r>
            <w:r w:rsidR="002158CB">
              <w:t>%</w:t>
            </w:r>
            <w:r w:rsidRPr="00E84ACC">
              <w:t xml:space="preserve"> zo všetkých žiakov základných škôl</w:t>
            </w:r>
            <w:r w:rsidR="002158CB">
              <w:t>.</w:t>
            </w:r>
            <w:r w:rsidRPr="00E84ACC">
              <w:t xml:space="preserve"> </w:t>
            </w:r>
            <w:r>
              <w:t>V</w:t>
            </w:r>
            <w:r w:rsidRPr="00CA2564">
              <w:t> individualizovaných dátach</w:t>
            </w:r>
            <w:r>
              <w:t xml:space="preserve"> z </w:t>
            </w:r>
            <w:r w:rsidRPr="00CA2564">
              <w:t xml:space="preserve">Rezortného informačného systému (RIS) </w:t>
            </w:r>
            <w:r>
              <w:t>je za žiaka zo SZP</w:t>
            </w:r>
            <w:r w:rsidR="0070047D">
              <w:t xml:space="preserve"> </w:t>
            </w:r>
            <w:r w:rsidRPr="00CA2564">
              <w:t>považovaný žiak, ktorý je buď označený ako SZP, alebo ktorý žije v domácnosti, ktorá aspoň jeden mesiac v</w:t>
            </w:r>
            <w:r>
              <w:t> danom roku</w:t>
            </w:r>
            <w:r w:rsidRPr="00CA2564">
              <w:t xml:space="preserve"> poberala pomoc v hmotnej </w:t>
            </w:r>
            <w:r w:rsidRPr="00967C9B">
              <w:t>núdzi. Takto definovaných žiakov SZP</w:t>
            </w:r>
            <w:r w:rsidR="00967C9B" w:rsidRPr="00D41517">
              <w:t xml:space="preserve"> bolo v školskom roku 2018/19 12</w:t>
            </w:r>
            <w:r w:rsidR="0045133B">
              <w:t xml:space="preserve"> % zo všetkých žiakov základných škôl</w:t>
            </w:r>
            <w:r w:rsidRPr="00967C9B">
              <w:t>.</w:t>
            </w:r>
            <w:r w:rsidRPr="00967C9B">
              <w:rPr>
                <w:rStyle w:val="Odkaznapoznmkupodiarou"/>
              </w:rPr>
              <w:footnoteReference w:id="101"/>
            </w:r>
          </w:p>
        </w:tc>
      </w:tr>
    </w:tbl>
    <w:p w14:paraId="1482FBAF" w14:textId="77777777" w:rsidR="00D53C5F" w:rsidRPr="00D53C5F" w:rsidRDefault="00D53C5F" w:rsidP="00391AA9">
      <w:pPr>
        <w:spacing w:after="0"/>
        <w:rPr>
          <w:b/>
          <w:szCs w:val="22"/>
        </w:rPr>
      </w:pPr>
      <w:bookmarkStart w:id="331" w:name="_Ref527531661"/>
      <w:bookmarkStart w:id="332" w:name="_Toc17469472"/>
    </w:p>
    <w:p w14:paraId="4A10424D" w14:textId="730C869A" w:rsidR="00695590" w:rsidRPr="00391AA9" w:rsidRDefault="00695590" w:rsidP="00391AA9">
      <w:pPr>
        <w:spacing w:after="0"/>
        <w:rPr>
          <w:b/>
        </w:rPr>
      </w:pPr>
      <w:bookmarkStart w:id="333" w:name="_Ref34380693"/>
      <w:bookmarkStart w:id="334" w:name="_Toc34156848"/>
      <w:r w:rsidRPr="00391AA9">
        <w:rPr>
          <w:b/>
          <w:sz w:val="20"/>
        </w:rPr>
        <w:t xml:space="preserve">Tabuľka </w:t>
      </w:r>
      <w:r w:rsidRPr="00391AA9">
        <w:rPr>
          <w:b/>
          <w:noProof/>
          <w:sz w:val="20"/>
        </w:rPr>
        <w:fldChar w:fldCharType="begin"/>
      </w:r>
      <w:r w:rsidRPr="00391AA9">
        <w:rPr>
          <w:b/>
          <w:noProof/>
          <w:sz w:val="20"/>
        </w:rPr>
        <w:instrText xml:space="preserve"> SEQ Tabuľka \* ARABIC </w:instrText>
      </w:r>
      <w:r w:rsidRPr="00391AA9">
        <w:rPr>
          <w:b/>
          <w:noProof/>
          <w:sz w:val="20"/>
        </w:rPr>
        <w:fldChar w:fldCharType="separate"/>
      </w:r>
      <w:r w:rsidR="00FA29AF">
        <w:rPr>
          <w:b/>
          <w:noProof/>
          <w:sz w:val="20"/>
        </w:rPr>
        <w:t>9</w:t>
      </w:r>
      <w:r w:rsidRPr="00391AA9">
        <w:rPr>
          <w:b/>
          <w:noProof/>
          <w:sz w:val="20"/>
        </w:rPr>
        <w:fldChar w:fldCharType="end"/>
      </w:r>
      <w:bookmarkEnd w:id="331"/>
      <w:bookmarkEnd w:id="333"/>
      <w:r w:rsidRPr="00391AA9">
        <w:rPr>
          <w:b/>
          <w:sz w:val="20"/>
        </w:rPr>
        <w:t>: Podiel žiakov podľa príslušnosti k SZP a MRK, ktorí opakovali ročník v š. r. 201</w:t>
      </w:r>
      <w:r w:rsidR="00E15742">
        <w:rPr>
          <w:b/>
          <w:sz w:val="20"/>
        </w:rPr>
        <w:t>8</w:t>
      </w:r>
      <w:r w:rsidRPr="00391AA9">
        <w:rPr>
          <w:b/>
          <w:sz w:val="20"/>
        </w:rPr>
        <w:t>/1</w:t>
      </w:r>
      <w:r w:rsidR="00E15742">
        <w:rPr>
          <w:b/>
          <w:sz w:val="20"/>
        </w:rPr>
        <w:t>9</w:t>
      </w:r>
      <w:r w:rsidRPr="00391AA9">
        <w:rPr>
          <w:b/>
          <w:sz w:val="20"/>
        </w:rPr>
        <w:t xml:space="preserve"> (%)</w:t>
      </w:r>
      <w:bookmarkEnd w:id="332"/>
      <w:bookmarkEnd w:id="334"/>
    </w:p>
    <w:tbl>
      <w:tblPr>
        <w:tblW w:w="9072" w:type="dxa"/>
        <w:tblLayout w:type="fixed"/>
        <w:tblCellMar>
          <w:left w:w="70" w:type="dxa"/>
          <w:right w:w="70" w:type="dxa"/>
        </w:tblCellMar>
        <w:tblLook w:val="04A0" w:firstRow="1" w:lastRow="0" w:firstColumn="1" w:lastColumn="0" w:noHBand="0" w:noVBand="1"/>
      </w:tblPr>
      <w:tblGrid>
        <w:gridCol w:w="2552"/>
        <w:gridCol w:w="2173"/>
        <w:gridCol w:w="2173"/>
        <w:gridCol w:w="2174"/>
      </w:tblGrid>
      <w:tr w:rsidR="00695590" w:rsidRPr="00CA2564" w14:paraId="6CED250F" w14:textId="77777777" w:rsidTr="00C04AAA">
        <w:trPr>
          <w:trHeight w:val="300"/>
        </w:trPr>
        <w:tc>
          <w:tcPr>
            <w:tcW w:w="2552" w:type="dxa"/>
            <w:tcBorders>
              <w:top w:val="single" w:sz="4" w:space="0" w:color="auto"/>
              <w:left w:val="nil"/>
              <w:bottom w:val="single" w:sz="4" w:space="0" w:color="auto"/>
              <w:right w:val="nil"/>
            </w:tcBorders>
            <w:shd w:val="clear" w:color="000000" w:fill="FFFFFF"/>
            <w:noWrap/>
            <w:vAlign w:val="bottom"/>
            <w:hideMark/>
          </w:tcPr>
          <w:p w14:paraId="6CCC6B5F" w14:textId="77777777" w:rsidR="00695590" w:rsidRPr="00CA2564" w:rsidRDefault="00695590" w:rsidP="00C04AAA">
            <w:pPr>
              <w:spacing w:after="0"/>
              <w:jc w:val="center"/>
              <w:rPr>
                <w:rFonts w:eastAsia="Times New Roman" w:cs="Times New Roman"/>
                <w:color w:val="000000"/>
                <w:sz w:val="20"/>
                <w:lang w:eastAsia="sk-SK"/>
              </w:rPr>
            </w:pPr>
          </w:p>
        </w:tc>
        <w:tc>
          <w:tcPr>
            <w:tcW w:w="2173" w:type="dxa"/>
            <w:tcBorders>
              <w:top w:val="single" w:sz="4" w:space="0" w:color="auto"/>
              <w:left w:val="nil"/>
              <w:bottom w:val="single" w:sz="4" w:space="0" w:color="auto"/>
              <w:right w:val="nil"/>
            </w:tcBorders>
            <w:shd w:val="clear" w:color="000000" w:fill="FFFFFF"/>
            <w:noWrap/>
            <w:vAlign w:val="bottom"/>
            <w:hideMark/>
          </w:tcPr>
          <w:p w14:paraId="79400ED3" w14:textId="77777777" w:rsidR="00695590" w:rsidRPr="00CA2564" w:rsidRDefault="00695590" w:rsidP="000507BD">
            <w:pPr>
              <w:spacing w:after="0"/>
              <w:jc w:val="right"/>
              <w:rPr>
                <w:rFonts w:eastAsia="Times New Roman" w:cs="Times New Roman"/>
                <w:b/>
                <w:bCs/>
                <w:color w:val="000000"/>
                <w:sz w:val="20"/>
                <w:lang w:eastAsia="sk-SK"/>
              </w:rPr>
            </w:pPr>
            <w:r w:rsidRPr="00CA2564">
              <w:rPr>
                <w:rFonts w:eastAsia="Times New Roman" w:cs="Times New Roman"/>
                <w:b/>
                <w:bCs/>
                <w:color w:val="000000"/>
                <w:sz w:val="20"/>
                <w:lang w:eastAsia="sk-SK"/>
              </w:rPr>
              <w:t>MRK</w:t>
            </w:r>
          </w:p>
        </w:tc>
        <w:tc>
          <w:tcPr>
            <w:tcW w:w="2173" w:type="dxa"/>
            <w:tcBorders>
              <w:top w:val="single" w:sz="4" w:space="0" w:color="auto"/>
              <w:left w:val="nil"/>
              <w:bottom w:val="single" w:sz="4" w:space="0" w:color="auto"/>
              <w:right w:val="nil"/>
            </w:tcBorders>
            <w:shd w:val="clear" w:color="000000" w:fill="FFFFFF"/>
            <w:noWrap/>
            <w:vAlign w:val="bottom"/>
            <w:hideMark/>
          </w:tcPr>
          <w:p w14:paraId="2985A379" w14:textId="77777777" w:rsidR="00695590" w:rsidRPr="00CA2564" w:rsidRDefault="00695590" w:rsidP="000507BD">
            <w:pPr>
              <w:spacing w:after="0"/>
              <w:jc w:val="right"/>
              <w:rPr>
                <w:rFonts w:eastAsia="Times New Roman" w:cs="Times New Roman"/>
                <w:b/>
                <w:bCs/>
                <w:color w:val="000000"/>
                <w:sz w:val="20"/>
                <w:lang w:eastAsia="sk-SK"/>
              </w:rPr>
            </w:pPr>
            <w:r w:rsidRPr="00CA2564">
              <w:rPr>
                <w:rFonts w:eastAsia="Times New Roman" w:cs="Times New Roman"/>
                <w:b/>
                <w:bCs/>
                <w:color w:val="000000"/>
                <w:sz w:val="20"/>
                <w:lang w:eastAsia="sk-SK"/>
              </w:rPr>
              <w:t>mimo MRK</w:t>
            </w:r>
          </w:p>
        </w:tc>
        <w:tc>
          <w:tcPr>
            <w:tcW w:w="2174" w:type="dxa"/>
            <w:tcBorders>
              <w:top w:val="single" w:sz="4" w:space="0" w:color="auto"/>
              <w:left w:val="nil"/>
              <w:bottom w:val="single" w:sz="4" w:space="0" w:color="auto"/>
              <w:right w:val="nil"/>
            </w:tcBorders>
            <w:shd w:val="clear" w:color="000000" w:fill="FFFFFF"/>
            <w:noWrap/>
            <w:vAlign w:val="bottom"/>
            <w:hideMark/>
          </w:tcPr>
          <w:p w14:paraId="06DD2550" w14:textId="77777777" w:rsidR="00695590" w:rsidRPr="00CA2564" w:rsidRDefault="00695590" w:rsidP="000507BD">
            <w:pPr>
              <w:spacing w:after="0"/>
              <w:jc w:val="right"/>
              <w:rPr>
                <w:rFonts w:eastAsia="Times New Roman" w:cs="Times New Roman"/>
                <w:b/>
                <w:bCs/>
                <w:color w:val="000000"/>
                <w:sz w:val="20"/>
                <w:lang w:eastAsia="sk-SK"/>
              </w:rPr>
            </w:pPr>
            <w:r w:rsidRPr="00CA2564">
              <w:rPr>
                <w:rFonts w:eastAsia="Times New Roman" w:cs="Times New Roman"/>
                <w:b/>
                <w:bCs/>
                <w:color w:val="000000"/>
                <w:sz w:val="20"/>
                <w:lang w:eastAsia="sk-SK"/>
              </w:rPr>
              <w:t>Celkom</w:t>
            </w:r>
          </w:p>
        </w:tc>
      </w:tr>
      <w:tr w:rsidR="00E15742" w:rsidRPr="00CA2564" w14:paraId="7D63F2A4" w14:textId="77777777" w:rsidTr="00C04AAA">
        <w:trPr>
          <w:trHeight w:val="300"/>
        </w:trPr>
        <w:tc>
          <w:tcPr>
            <w:tcW w:w="2552" w:type="dxa"/>
            <w:tcBorders>
              <w:top w:val="nil"/>
              <w:left w:val="nil"/>
              <w:bottom w:val="nil"/>
              <w:right w:val="nil"/>
            </w:tcBorders>
            <w:shd w:val="clear" w:color="000000" w:fill="FFFFFF"/>
            <w:noWrap/>
            <w:vAlign w:val="bottom"/>
            <w:hideMark/>
          </w:tcPr>
          <w:p w14:paraId="60B396BA" w14:textId="77777777" w:rsidR="00E15742" w:rsidRPr="00CA2564" w:rsidRDefault="00E15742" w:rsidP="00E15742">
            <w:pPr>
              <w:spacing w:after="0"/>
              <w:jc w:val="left"/>
              <w:rPr>
                <w:rFonts w:eastAsia="Times New Roman" w:cs="Times New Roman"/>
                <w:b/>
                <w:bCs/>
                <w:color w:val="000000"/>
                <w:sz w:val="20"/>
                <w:lang w:eastAsia="sk-SK"/>
              </w:rPr>
            </w:pPr>
            <w:r w:rsidRPr="00CA2564">
              <w:rPr>
                <w:rFonts w:eastAsia="Times New Roman" w:cs="Times New Roman"/>
                <w:b/>
                <w:bCs/>
                <w:color w:val="000000"/>
                <w:sz w:val="20"/>
                <w:lang w:eastAsia="sk-SK"/>
              </w:rPr>
              <w:t>SZP</w:t>
            </w:r>
          </w:p>
        </w:tc>
        <w:tc>
          <w:tcPr>
            <w:tcW w:w="2173" w:type="dxa"/>
            <w:tcBorders>
              <w:top w:val="nil"/>
              <w:left w:val="nil"/>
              <w:bottom w:val="nil"/>
              <w:right w:val="nil"/>
            </w:tcBorders>
            <w:shd w:val="clear" w:color="000000" w:fill="FFFFFF"/>
            <w:noWrap/>
            <w:vAlign w:val="bottom"/>
            <w:hideMark/>
          </w:tcPr>
          <w:p w14:paraId="64AA3529" w14:textId="4294B4BC" w:rsidR="00E15742" w:rsidRPr="00E729A9" w:rsidRDefault="00E15742" w:rsidP="00E15742">
            <w:pPr>
              <w:spacing w:after="0"/>
              <w:jc w:val="right"/>
              <w:rPr>
                <w:rFonts w:eastAsia="Times New Roman" w:cs="Times New Roman"/>
                <w:color w:val="000000"/>
                <w:sz w:val="20"/>
                <w:lang w:eastAsia="sk-SK"/>
              </w:rPr>
            </w:pPr>
            <w:r w:rsidRPr="00D41517">
              <w:rPr>
                <w:color w:val="000000"/>
                <w:sz w:val="20"/>
              </w:rPr>
              <w:t>14,1</w:t>
            </w:r>
          </w:p>
        </w:tc>
        <w:tc>
          <w:tcPr>
            <w:tcW w:w="2173" w:type="dxa"/>
            <w:tcBorders>
              <w:top w:val="nil"/>
              <w:left w:val="nil"/>
              <w:bottom w:val="nil"/>
              <w:right w:val="nil"/>
            </w:tcBorders>
            <w:shd w:val="clear" w:color="000000" w:fill="FFFFFF"/>
            <w:noWrap/>
            <w:vAlign w:val="bottom"/>
            <w:hideMark/>
          </w:tcPr>
          <w:p w14:paraId="70C64CB2" w14:textId="5DE674A0" w:rsidR="00E15742" w:rsidRPr="00E729A9" w:rsidRDefault="00E15742" w:rsidP="00E15742">
            <w:pPr>
              <w:spacing w:after="0"/>
              <w:jc w:val="right"/>
              <w:rPr>
                <w:rFonts w:eastAsia="Times New Roman" w:cs="Times New Roman"/>
                <w:color w:val="000000"/>
                <w:sz w:val="20"/>
                <w:lang w:eastAsia="sk-SK"/>
              </w:rPr>
            </w:pPr>
            <w:r w:rsidRPr="00D41517">
              <w:rPr>
                <w:color w:val="000000"/>
                <w:sz w:val="20"/>
              </w:rPr>
              <w:t>10,9</w:t>
            </w:r>
          </w:p>
        </w:tc>
        <w:tc>
          <w:tcPr>
            <w:tcW w:w="2174" w:type="dxa"/>
            <w:tcBorders>
              <w:top w:val="nil"/>
              <w:left w:val="nil"/>
              <w:bottom w:val="nil"/>
              <w:right w:val="nil"/>
            </w:tcBorders>
            <w:shd w:val="clear" w:color="000000" w:fill="FFFFFF"/>
            <w:noWrap/>
            <w:vAlign w:val="bottom"/>
            <w:hideMark/>
          </w:tcPr>
          <w:p w14:paraId="02792A99" w14:textId="6D150047" w:rsidR="00E15742" w:rsidRPr="00E729A9" w:rsidRDefault="00E15742" w:rsidP="00E15742">
            <w:pPr>
              <w:spacing w:after="0"/>
              <w:jc w:val="right"/>
              <w:rPr>
                <w:rFonts w:eastAsia="Times New Roman" w:cs="Times New Roman"/>
                <w:color w:val="000000"/>
                <w:sz w:val="20"/>
                <w:lang w:eastAsia="sk-SK"/>
              </w:rPr>
            </w:pPr>
            <w:r w:rsidRPr="00D41517">
              <w:rPr>
                <w:color w:val="000000"/>
                <w:sz w:val="20"/>
              </w:rPr>
              <w:t>12,7</w:t>
            </w:r>
          </w:p>
        </w:tc>
      </w:tr>
      <w:tr w:rsidR="00E15742" w:rsidRPr="00CA2564" w14:paraId="29F372C7" w14:textId="77777777" w:rsidTr="00C04AAA">
        <w:trPr>
          <w:trHeight w:val="300"/>
        </w:trPr>
        <w:tc>
          <w:tcPr>
            <w:tcW w:w="2552" w:type="dxa"/>
            <w:tcBorders>
              <w:top w:val="nil"/>
              <w:left w:val="nil"/>
              <w:bottom w:val="nil"/>
              <w:right w:val="nil"/>
            </w:tcBorders>
            <w:shd w:val="clear" w:color="000000" w:fill="FFFFFF"/>
            <w:noWrap/>
            <w:vAlign w:val="bottom"/>
            <w:hideMark/>
          </w:tcPr>
          <w:p w14:paraId="7E606D38" w14:textId="77777777" w:rsidR="00E15742" w:rsidRPr="00CA2564" w:rsidRDefault="00E15742" w:rsidP="00E15742">
            <w:pPr>
              <w:spacing w:after="0"/>
              <w:jc w:val="left"/>
              <w:rPr>
                <w:rFonts w:eastAsia="Times New Roman" w:cs="Times New Roman"/>
                <w:b/>
                <w:bCs/>
                <w:color w:val="000000"/>
                <w:sz w:val="20"/>
                <w:lang w:eastAsia="sk-SK"/>
              </w:rPr>
            </w:pPr>
            <w:r w:rsidRPr="00CA2564">
              <w:rPr>
                <w:rFonts w:eastAsia="Times New Roman" w:cs="Times New Roman"/>
                <w:b/>
                <w:bCs/>
                <w:color w:val="000000"/>
                <w:sz w:val="20"/>
                <w:lang w:eastAsia="sk-SK"/>
              </w:rPr>
              <w:t>mimo SZP</w:t>
            </w:r>
          </w:p>
        </w:tc>
        <w:tc>
          <w:tcPr>
            <w:tcW w:w="2173" w:type="dxa"/>
            <w:tcBorders>
              <w:top w:val="nil"/>
              <w:left w:val="nil"/>
              <w:bottom w:val="nil"/>
              <w:right w:val="nil"/>
            </w:tcBorders>
            <w:shd w:val="clear" w:color="000000" w:fill="FFFFFF"/>
            <w:noWrap/>
            <w:vAlign w:val="bottom"/>
            <w:hideMark/>
          </w:tcPr>
          <w:p w14:paraId="544B06FC" w14:textId="59B8A20C" w:rsidR="00E15742" w:rsidRPr="00E729A9" w:rsidRDefault="00E15742" w:rsidP="00E15742">
            <w:pPr>
              <w:spacing w:after="0"/>
              <w:jc w:val="right"/>
              <w:rPr>
                <w:rFonts w:eastAsia="Times New Roman" w:cs="Times New Roman"/>
                <w:color w:val="000000"/>
                <w:sz w:val="20"/>
                <w:lang w:eastAsia="sk-SK"/>
              </w:rPr>
            </w:pPr>
            <w:r w:rsidRPr="00D41517">
              <w:rPr>
                <w:color w:val="000000"/>
                <w:sz w:val="20"/>
              </w:rPr>
              <w:t>12,2</w:t>
            </w:r>
          </w:p>
        </w:tc>
        <w:tc>
          <w:tcPr>
            <w:tcW w:w="2173" w:type="dxa"/>
            <w:tcBorders>
              <w:top w:val="nil"/>
              <w:left w:val="nil"/>
              <w:bottom w:val="nil"/>
              <w:right w:val="nil"/>
            </w:tcBorders>
            <w:shd w:val="clear" w:color="000000" w:fill="FFFFFF"/>
            <w:noWrap/>
            <w:vAlign w:val="bottom"/>
            <w:hideMark/>
          </w:tcPr>
          <w:p w14:paraId="5D57E54F" w14:textId="1B2D82C0" w:rsidR="00E15742" w:rsidRPr="00E729A9" w:rsidRDefault="00E15742" w:rsidP="00E15742">
            <w:pPr>
              <w:spacing w:after="0"/>
              <w:jc w:val="right"/>
              <w:rPr>
                <w:rFonts w:eastAsia="Times New Roman" w:cs="Times New Roman"/>
                <w:color w:val="000000"/>
                <w:sz w:val="20"/>
                <w:lang w:eastAsia="sk-SK"/>
              </w:rPr>
            </w:pPr>
            <w:r w:rsidRPr="00D41517">
              <w:rPr>
                <w:color w:val="000000"/>
                <w:sz w:val="20"/>
              </w:rPr>
              <w:t>1,1</w:t>
            </w:r>
          </w:p>
        </w:tc>
        <w:tc>
          <w:tcPr>
            <w:tcW w:w="2174" w:type="dxa"/>
            <w:tcBorders>
              <w:top w:val="nil"/>
              <w:left w:val="nil"/>
              <w:bottom w:val="nil"/>
              <w:right w:val="nil"/>
            </w:tcBorders>
            <w:shd w:val="clear" w:color="000000" w:fill="FFFFFF"/>
            <w:noWrap/>
            <w:vAlign w:val="bottom"/>
            <w:hideMark/>
          </w:tcPr>
          <w:p w14:paraId="1004F9E5" w14:textId="3BFDB1CD" w:rsidR="00E15742" w:rsidRPr="00E729A9" w:rsidRDefault="00E15742" w:rsidP="00E15742">
            <w:pPr>
              <w:spacing w:after="0"/>
              <w:jc w:val="right"/>
              <w:rPr>
                <w:rFonts w:eastAsia="Times New Roman" w:cs="Times New Roman"/>
                <w:color w:val="000000"/>
                <w:sz w:val="20"/>
                <w:lang w:eastAsia="sk-SK"/>
              </w:rPr>
            </w:pPr>
            <w:r w:rsidRPr="00D41517">
              <w:rPr>
                <w:color w:val="000000"/>
                <w:sz w:val="20"/>
              </w:rPr>
              <w:t>1,6</w:t>
            </w:r>
          </w:p>
        </w:tc>
      </w:tr>
      <w:tr w:rsidR="00E15742" w:rsidRPr="00CA2564" w14:paraId="07DDA1E5" w14:textId="77777777" w:rsidTr="00C04AAA">
        <w:trPr>
          <w:trHeight w:val="300"/>
        </w:trPr>
        <w:tc>
          <w:tcPr>
            <w:tcW w:w="2552" w:type="dxa"/>
            <w:tcBorders>
              <w:top w:val="nil"/>
              <w:left w:val="nil"/>
              <w:bottom w:val="single" w:sz="4" w:space="0" w:color="auto"/>
              <w:right w:val="nil"/>
            </w:tcBorders>
            <w:shd w:val="clear" w:color="000000" w:fill="FFFFFF"/>
            <w:noWrap/>
            <w:vAlign w:val="bottom"/>
            <w:hideMark/>
          </w:tcPr>
          <w:p w14:paraId="7B86F2B0" w14:textId="77777777" w:rsidR="00E15742" w:rsidRPr="00CA2564" w:rsidRDefault="00E15742" w:rsidP="00E15742">
            <w:pPr>
              <w:spacing w:after="0"/>
              <w:jc w:val="left"/>
              <w:rPr>
                <w:rFonts w:eastAsia="Times New Roman" w:cs="Times New Roman"/>
                <w:b/>
                <w:bCs/>
                <w:color w:val="000000"/>
                <w:sz w:val="20"/>
                <w:lang w:eastAsia="sk-SK"/>
              </w:rPr>
            </w:pPr>
            <w:r w:rsidRPr="00CA2564">
              <w:rPr>
                <w:rFonts w:eastAsia="Times New Roman" w:cs="Times New Roman"/>
                <w:b/>
                <w:bCs/>
                <w:color w:val="000000"/>
                <w:sz w:val="20"/>
                <w:lang w:eastAsia="sk-SK"/>
              </w:rPr>
              <w:t>Celkom</w:t>
            </w:r>
          </w:p>
        </w:tc>
        <w:tc>
          <w:tcPr>
            <w:tcW w:w="2173" w:type="dxa"/>
            <w:tcBorders>
              <w:top w:val="nil"/>
              <w:left w:val="nil"/>
              <w:bottom w:val="single" w:sz="4" w:space="0" w:color="auto"/>
              <w:right w:val="nil"/>
            </w:tcBorders>
            <w:shd w:val="clear" w:color="000000" w:fill="FFFFFF"/>
            <w:noWrap/>
            <w:vAlign w:val="bottom"/>
            <w:hideMark/>
          </w:tcPr>
          <w:p w14:paraId="03194533" w14:textId="0E9AEC34" w:rsidR="00E15742" w:rsidRPr="00E729A9" w:rsidRDefault="00E15742" w:rsidP="00E15742">
            <w:pPr>
              <w:spacing w:after="0"/>
              <w:jc w:val="right"/>
              <w:rPr>
                <w:rFonts w:eastAsia="Times New Roman" w:cs="Times New Roman"/>
                <w:color w:val="000000"/>
                <w:sz w:val="20"/>
                <w:lang w:eastAsia="sk-SK"/>
              </w:rPr>
            </w:pPr>
            <w:r w:rsidRPr="00D41517">
              <w:rPr>
                <w:color w:val="000000"/>
                <w:sz w:val="20"/>
              </w:rPr>
              <w:t>13,4</w:t>
            </w:r>
          </w:p>
        </w:tc>
        <w:tc>
          <w:tcPr>
            <w:tcW w:w="2173" w:type="dxa"/>
            <w:tcBorders>
              <w:top w:val="nil"/>
              <w:left w:val="nil"/>
              <w:bottom w:val="single" w:sz="4" w:space="0" w:color="auto"/>
              <w:right w:val="nil"/>
            </w:tcBorders>
            <w:shd w:val="clear" w:color="000000" w:fill="FFFFFF"/>
            <w:noWrap/>
            <w:vAlign w:val="bottom"/>
            <w:hideMark/>
          </w:tcPr>
          <w:p w14:paraId="7B80615B" w14:textId="68643B7D" w:rsidR="00E15742" w:rsidRPr="00E729A9" w:rsidRDefault="00E15742" w:rsidP="00E15742">
            <w:pPr>
              <w:spacing w:after="0"/>
              <w:jc w:val="right"/>
              <w:rPr>
                <w:rFonts w:eastAsia="Times New Roman" w:cs="Times New Roman"/>
                <w:color w:val="000000"/>
                <w:sz w:val="20"/>
                <w:lang w:eastAsia="sk-SK"/>
              </w:rPr>
            </w:pPr>
            <w:r w:rsidRPr="00D41517">
              <w:rPr>
                <w:color w:val="000000"/>
                <w:sz w:val="20"/>
              </w:rPr>
              <w:t>1,6</w:t>
            </w:r>
          </w:p>
        </w:tc>
        <w:tc>
          <w:tcPr>
            <w:tcW w:w="2174" w:type="dxa"/>
            <w:tcBorders>
              <w:top w:val="nil"/>
              <w:left w:val="nil"/>
              <w:bottom w:val="single" w:sz="4" w:space="0" w:color="auto"/>
              <w:right w:val="nil"/>
            </w:tcBorders>
            <w:shd w:val="clear" w:color="000000" w:fill="FFFFFF"/>
            <w:noWrap/>
            <w:vAlign w:val="bottom"/>
            <w:hideMark/>
          </w:tcPr>
          <w:p w14:paraId="0723EA3C" w14:textId="684B17E1" w:rsidR="00E15742" w:rsidRPr="00E729A9" w:rsidRDefault="00E15742" w:rsidP="00E15742">
            <w:pPr>
              <w:spacing w:after="0"/>
              <w:jc w:val="right"/>
              <w:rPr>
                <w:rFonts w:eastAsia="Times New Roman" w:cs="Times New Roman"/>
                <w:color w:val="000000"/>
                <w:sz w:val="20"/>
                <w:lang w:eastAsia="sk-SK"/>
              </w:rPr>
            </w:pPr>
            <w:r w:rsidRPr="00D41517">
              <w:rPr>
                <w:color w:val="000000"/>
                <w:sz w:val="20"/>
              </w:rPr>
              <w:t>2,9</w:t>
            </w:r>
          </w:p>
        </w:tc>
      </w:tr>
      <w:tr w:rsidR="00695590" w:rsidRPr="00CA2564" w14:paraId="3F19BCED" w14:textId="77777777" w:rsidTr="00C04AAA">
        <w:trPr>
          <w:trHeight w:val="104"/>
        </w:trPr>
        <w:tc>
          <w:tcPr>
            <w:tcW w:w="9072" w:type="dxa"/>
            <w:gridSpan w:val="4"/>
            <w:tcBorders>
              <w:top w:val="single" w:sz="4" w:space="0" w:color="auto"/>
              <w:left w:val="nil"/>
              <w:bottom w:val="nil"/>
              <w:right w:val="nil"/>
            </w:tcBorders>
            <w:shd w:val="clear" w:color="auto" w:fill="auto"/>
            <w:vAlign w:val="bottom"/>
            <w:hideMark/>
          </w:tcPr>
          <w:p w14:paraId="5C98741B" w14:textId="77777777" w:rsidR="00695590" w:rsidRPr="00CA2564" w:rsidRDefault="00695590" w:rsidP="00452DBC">
            <w:pPr>
              <w:spacing w:after="0" w:line="240" w:lineRule="auto"/>
              <w:jc w:val="right"/>
              <w:rPr>
                <w:rFonts w:eastAsia="Times New Roman" w:cs="Times New Roman"/>
                <w:i/>
                <w:iCs/>
                <w:color w:val="000000"/>
                <w:sz w:val="16"/>
                <w:szCs w:val="16"/>
                <w:lang w:eastAsia="sk-SK"/>
              </w:rPr>
            </w:pPr>
            <w:r w:rsidRPr="00CA2564">
              <w:rPr>
                <w:rFonts w:eastAsia="Times New Roman" w:cs="Times New Roman"/>
                <w:i/>
                <w:iCs/>
                <w:color w:val="000000"/>
                <w:sz w:val="16"/>
                <w:szCs w:val="16"/>
                <w:lang w:eastAsia="sk-SK"/>
              </w:rPr>
              <w:t xml:space="preserve">Zdroj: ÚHP na základe údajov </w:t>
            </w:r>
            <w:r w:rsidRPr="00CA2564">
              <w:rPr>
                <w:i/>
                <w:noProof/>
                <w:sz w:val="16"/>
                <w:szCs w:val="16"/>
              </w:rPr>
              <w:t>RIS MŠVVŠ, ÚPSVR, ARK</w:t>
            </w:r>
          </w:p>
          <w:p w14:paraId="5FAB0633" w14:textId="3E07AABA" w:rsidR="00695590" w:rsidRPr="00CA2564" w:rsidRDefault="00695590" w:rsidP="001A7F23">
            <w:pPr>
              <w:spacing w:after="0" w:line="240" w:lineRule="auto"/>
              <w:rPr>
                <w:rFonts w:eastAsia="Times New Roman" w:cs="Times New Roman"/>
                <w:i/>
                <w:iCs/>
                <w:color w:val="000000"/>
                <w:sz w:val="18"/>
                <w:szCs w:val="18"/>
                <w:lang w:eastAsia="sk-SK"/>
              </w:rPr>
            </w:pPr>
            <w:r w:rsidRPr="00CA2564">
              <w:rPr>
                <w:rFonts w:eastAsia="Times New Roman" w:cs="Times New Roman"/>
                <w:i/>
                <w:iCs/>
                <w:color w:val="000000"/>
                <w:sz w:val="16"/>
                <w:szCs w:val="16"/>
                <w:lang w:eastAsia="sk-SK"/>
              </w:rPr>
              <w:t xml:space="preserve">Poznámka: Zahŕňa iba žiakov v rámci bežného prúdu. Mierna odchýlka </w:t>
            </w:r>
            <w:r w:rsidRPr="002018CB">
              <w:rPr>
                <w:i/>
                <w:noProof/>
                <w:sz w:val="16"/>
                <w:szCs w:val="16"/>
              </w:rPr>
              <w:t xml:space="preserve">celkovej miery prepadávania oproti údajom CVTI je spôsobená použitím odlišných dát z rezortného informačného systému ministerstva </w:t>
            </w:r>
            <w:r w:rsidRPr="002A676F">
              <w:rPr>
                <w:i/>
                <w:noProof/>
                <w:sz w:val="16"/>
                <w:szCs w:val="16"/>
              </w:rPr>
              <w:t xml:space="preserve">školstva. </w:t>
            </w:r>
            <w:r w:rsidR="002A676F" w:rsidRPr="002A676F">
              <w:rPr>
                <w:i/>
                <w:noProof/>
                <w:sz w:val="18"/>
                <w:szCs w:val="18"/>
              </w:rPr>
              <w:fldChar w:fldCharType="begin"/>
            </w:r>
            <w:r w:rsidR="002A676F" w:rsidRPr="002A676F">
              <w:rPr>
                <w:rFonts w:eastAsia="Times New Roman" w:cs="Times New Roman"/>
                <w:i/>
                <w:iCs/>
                <w:color w:val="000000"/>
                <w:sz w:val="18"/>
                <w:szCs w:val="18"/>
              </w:rPr>
              <w:instrText xml:space="preserve"> REF _Ref33439692 \h </w:instrText>
            </w:r>
            <w:r w:rsidR="002A676F" w:rsidRPr="002A676F">
              <w:rPr>
                <w:i/>
                <w:noProof/>
                <w:sz w:val="18"/>
                <w:szCs w:val="18"/>
              </w:rPr>
              <w:instrText xml:space="preserve"> \* MERGEFORMAT </w:instrText>
            </w:r>
            <w:r w:rsidR="002A676F" w:rsidRPr="002A676F">
              <w:rPr>
                <w:i/>
                <w:noProof/>
                <w:sz w:val="18"/>
                <w:szCs w:val="18"/>
              </w:rPr>
            </w:r>
            <w:r w:rsidR="002A676F" w:rsidRPr="002A676F">
              <w:rPr>
                <w:i/>
                <w:noProof/>
                <w:sz w:val="18"/>
                <w:szCs w:val="18"/>
              </w:rPr>
              <w:fldChar w:fldCharType="separate"/>
            </w:r>
            <w:r w:rsidR="00FA29AF" w:rsidRPr="00FA29AF">
              <w:rPr>
                <w:i/>
                <w:sz w:val="18"/>
                <w:szCs w:val="18"/>
              </w:rPr>
              <w:t xml:space="preserve">Box </w:t>
            </w:r>
            <w:r w:rsidR="00FA29AF" w:rsidRPr="00FA29AF">
              <w:rPr>
                <w:i/>
                <w:noProof/>
                <w:sz w:val="18"/>
                <w:szCs w:val="18"/>
              </w:rPr>
              <w:t>3</w:t>
            </w:r>
            <w:r w:rsidR="002A676F" w:rsidRPr="002A676F">
              <w:rPr>
                <w:i/>
                <w:noProof/>
                <w:sz w:val="18"/>
                <w:szCs w:val="18"/>
              </w:rPr>
              <w:fldChar w:fldCharType="end"/>
            </w:r>
            <w:r w:rsidR="002A676F" w:rsidRPr="002A676F">
              <w:rPr>
                <w:i/>
                <w:noProof/>
                <w:sz w:val="18"/>
                <w:szCs w:val="18"/>
              </w:rPr>
              <w:t xml:space="preserve"> </w:t>
            </w:r>
            <w:r w:rsidRPr="002A676F">
              <w:rPr>
                <w:i/>
                <w:noProof/>
                <w:sz w:val="16"/>
                <w:szCs w:val="16"/>
              </w:rPr>
              <w:t>pre</w:t>
            </w:r>
            <w:r w:rsidR="002B01DB">
              <w:rPr>
                <w:i/>
                <w:noProof/>
                <w:sz w:val="16"/>
                <w:szCs w:val="16"/>
              </w:rPr>
              <w:t xml:space="preserve"> definíciu MRK. </w:t>
            </w:r>
            <w:r w:rsidR="002B01DB" w:rsidRPr="002B01DB">
              <w:rPr>
                <w:i/>
                <w:noProof/>
                <w:sz w:val="18"/>
                <w:szCs w:val="18"/>
              </w:rPr>
              <w:fldChar w:fldCharType="begin"/>
            </w:r>
            <w:r w:rsidR="002B01DB" w:rsidRPr="002B01DB">
              <w:rPr>
                <w:i/>
                <w:noProof/>
                <w:sz w:val="18"/>
                <w:szCs w:val="18"/>
              </w:rPr>
              <w:instrText xml:space="preserve"> REF _Ref33440448 \h  \* MERGEFORMAT </w:instrText>
            </w:r>
            <w:r w:rsidR="002B01DB" w:rsidRPr="002B01DB">
              <w:rPr>
                <w:i/>
                <w:noProof/>
                <w:sz w:val="18"/>
                <w:szCs w:val="18"/>
              </w:rPr>
            </w:r>
            <w:r w:rsidR="002B01DB" w:rsidRPr="002B01DB">
              <w:rPr>
                <w:i/>
                <w:noProof/>
                <w:sz w:val="18"/>
                <w:szCs w:val="18"/>
              </w:rPr>
              <w:fldChar w:fldCharType="separate"/>
            </w:r>
            <w:r w:rsidR="00FA29AF" w:rsidRPr="00FA29AF">
              <w:rPr>
                <w:i/>
                <w:sz w:val="18"/>
                <w:szCs w:val="18"/>
              </w:rPr>
              <w:t xml:space="preserve">Box </w:t>
            </w:r>
            <w:r w:rsidR="00FA29AF" w:rsidRPr="00FA29AF">
              <w:rPr>
                <w:i/>
                <w:noProof/>
                <w:sz w:val="18"/>
                <w:szCs w:val="18"/>
              </w:rPr>
              <w:t>7</w:t>
            </w:r>
            <w:r w:rsidR="002B01DB" w:rsidRPr="002B01DB">
              <w:rPr>
                <w:i/>
                <w:noProof/>
                <w:sz w:val="18"/>
                <w:szCs w:val="18"/>
              </w:rPr>
              <w:fldChar w:fldCharType="end"/>
            </w:r>
            <w:r w:rsidR="002B01DB">
              <w:rPr>
                <w:i/>
                <w:noProof/>
                <w:sz w:val="18"/>
                <w:szCs w:val="18"/>
              </w:rPr>
              <w:t xml:space="preserve"> </w:t>
            </w:r>
            <w:r w:rsidRPr="00CA2564">
              <w:rPr>
                <w:i/>
                <w:noProof/>
                <w:sz w:val="16"/>
                <w:szCs w:val="16"/>
              </w:rPr>
              <w:t>pre vysvetelenie identifikácie žiakov zo SZP v individualizovaných administratývnych údajoch.</w:t>
            </w:r>
          </w:p>
        </w:tc>
      </w:tr>
    </w:tbl>
    <w:p w14:paraId="2DA0063D" w14:textId="3E2BF7B9" w:rsidR="008E60A9" w:rsidRDefault="00CC72C1" w:rsidP="00CC72C1">
      <w:pPr>
        <w:spacing w:before="200"/>
      </w:pPr>
      <w:r w:rsidRPr="00391AA9">
        <w:rPr>
          <w:b/>
        </w:rPr>
        <w:t>Žiaci zo SZP častejšie opakujú ročník ako zvyšok populácie základných škôl. Ešte vyššiu mieru opakovania zaznamenávajú žiaci z prostredia MRK</w:t>
      </w:r>
      <w:r>
        <w:t xml:space="preserve"> </w:t>
      </w:r>
      <w:r w:rsidRPr="00516F22">
        <w:t>(</w:t>
      </w:r>
      <w:r w:rsidR="00EC7B8C" w:rsidRPr="00EC7B8C">
        <w:rPr>
          <w:szCs w:val="22"/>
        </w:rPr>
        <w:fldChar w:fldCharType="begin"/>
      </w:r>
      <w:r w:rsidR="00EC7B8C" w:rsidRPr="00EC7B8C">
        <w:rPr>
          <w:szCs w:val="22"/>
        </w:rPr>
        <w:instrText xml:space="preserve"> REF _Ref34380693 \h  \* MERGEFORMAT </w:instrText>
      </w:r>
      <w:r w:rsidR="00EC7B8C" w:rsidRPr="00EC7B8C">
        <w:rPr>
          <w:szCs w:val="22"/>
        </w:rPr>
      </w:r>
      <w:r w:rsidR="00EC7B8C" w:rsidRPr="00EC7B8C">
        <w:rPr>
          <w:szCs w:val="22"/>
        </w:rPr>
        <w:fldChar w:fldCharType="separate"/>
      </w:r>
      <w:r w:rsidR="00FA29AF" w:rsidRPr="00FA29AF">
        <w:rPr>
          <w:szCs w:val="22"/>
        </w:rPr>
        <w:t xml:space="preserve">Tabuľka </w:t>
      </w:r>
      <w:r w:rsidR="00FA29AF" w:rsidRPr="00FA29AF">
        <w:rPr>
          <w:noProof/>
          <w:szCs w:val="22"/>
        </w:rPr>
        <w:t>9</w:t>
      </w:r>
      <w:r w:rsidR="00EC7B8C" w:rsidRPr="00EC7B8C">
        <w:rPr>
          <w:szCs w:val="22"/>
        </w:rPr>
        <w:fldChar w:fldCharType="end"/>
      </w:r>
      <w:r>
        <w:t>).</w:t>
      </w:r>
      <w:r w:rsidRPr="00516F22">
        <w:t xml:space="preserve"> </w:t>
      </w:r>
      <w:r>
        <w:t>K</w:t>
      </w:r>
      <w:r w:rsidRPr="00516F22">
        <w:t>lesajúci podiel žiakov zo znevýhodnených skupín vo vyšších ročníkoch druhého stupňa základných škôl</w:t>
      </w:r>
      <w:r w:rsidRPr="006E0BD2">
        <w:t xml:space="preserve"> </w:t>
      </w:r>
      <w:r>
        <w:t>dokazuje, že n</w:t>
      </w:r>
      <w:r w:rsidRPr="006E0BD2">
        <w:t>ezanedbateľný podiel žiakov zo znevýhodnených skupín opakuje ročník viackrát, hoci podľa aktuálnej legislatívy by k viacnásobnému opakovaniu ročníka malo dochádzať</w:t>
      </w:r>
      <w:r>
        <w:t xml:space="preserve"> len vo výnimočných prípadoch </w:t>
      </w:r>
      <w:r w:rsidRPr="00516F22">
        <w:t>(</w:t>
      </w:r>
      <w:r w:rsidR="00C4461F" w:rsidRPr="00C4461F">
        <w:rPr>
          <w:szCs w:val="22"/>
        </w:rPr>
        <w:fldChar w:fldCharType="begin"/>
      </w:r>
      <w:r w:rsidR="00C4461F" w:rsidRPr="00C4461F">
        <w:rPr>
          <w:szCs w:val="22"/>
        </w:rPr>
        <w:instrText xml:space="preserve"> REF _Ref33430348 \h </w:instrText>
      </w:r>
      <w:r w:rsidR="00C4461F">
        <w:rPr>
          <w:szCs w:val="22"/>
        </w:rPr>
        <w:instrText xml:space="preserve"> \* MERGEFORMAT </w:instrText>
      </w:r>
      <w:r w:rsidR="00C4461F" w:rsidRPr="00C4461F">
        <w:rPr>
          <w:szCs w:val="22"/>
        </w:rPr>
      </w:r>
      <w:r w:rsidR="00C4461F" w:rsidRPr="00C4461F">
        <w:rPr>
          <w:szCs w:val="22"/>
        </w:rPr>
        <w:fldChar w:fldCharType="separate"/>
      </w:r>
      <w:r w:rsidR="00FA29AF" w:rsidRPr="00FA29AF">
        <w:rPr>
          <w:szCs w:val="22"/>
        </w:rPr>
        <w:t xml:space="preserve">Graf </w:t>
      </w:r>
      <w:r w:rsidR="00FA29AF" w:rsidRPr="00FA29AF">
        <w:rPr>
          <w:noProof/>
          <w:szCs w:val="22"/>
        </w:rPr>
        <w:t>16</w:t>
      </w:r>
      <w:r w:rsidR="00C4461F" w:rsidRPr="00C4461F">
        <w:rPr>
          <w:szCs w:val="22"/>
        </w:rPr>
        <w:fldChar w:fldCharType="end"/>
      </w:r>
      <w:r w:rsidRPr="008502F2">
        <w:t>)</w:t>
      </w:r>
      <w:r w:rsidRPr="00516F22">
        <w:t>.</w:t>
      </w:r>
      <w:r w:rsidRPr="00516F22">
        <w:rPr>
          <w:rStyle w:val="Odkaznapoznmkupodiarou"/>
        </w:rPr>
        <w:footnoteReference w:id="102"/>
      </w:r>
      <w:r w:rsidRPr="00516F22">
        <w:t xml:space="preserve"> Aj pri zohľadnení </w:t>
      </w:r>
      <w:r>
        <w:t xml:space="preserve">skutočnosti, že nultý ročník sa započítava </w:t>
      </w:r>
      <w:r w:rsidRPr="00C15F4E">
        <w:t xml:space="preserve">do povinnej školskej dochádzky, tieto výsledky naznačujú, že viacerí žiaci museli opakovať ročník dva alebo trikrát. Z reprezentatívneho dotazníkového prieskumu aj čiastkových kvalitatívnych údajov </w:t>
      </w:r>
      <w:r w:rsidR="00B24660">
        <w:t>vyplýva</w:t>
      </w:r>
      <w:r w:rsidRPr="00C15F4E">
        <w:t xml:space="preserve">, že medzi učiteľmi prevláda vysoká miera podpory opakovania ročníka ako nástroja na riešenie nedostatočných vzdelávacích výsledkov (Vančíková, 2019). </w:t>
      </w:r>
    </w:p>
    <w:p w14:paraId="24D9F46F" w14:textId="69908DDF" w:rsidR="006C0F26" w:rsidRDefault="00D53C5F" w:rsidP="00D53C5F">
      <w:pPr>
        <w:spacing w:before="160"/>
      </w:pPr>
      <w:r w:rsidRPr="00C15F4E">
        <w:rPr>
          <w:b/>
        </w:rPr>
        <w:t>Vplyv sociálneho zázemia na mieru opakovania ročníka na Slovensku patrí k najvyšším v rámci vyspelých krajín</w:t>
      </w:r>
      <w:r w:rsidRPr="00C15F4E">
        <w:t xml:space="preserve">. Z medzinárodného testovania PISA </w:t>
      </w:r>
      <w:r>
        <w:t>vyplýva</w:t>
      </w:r>
      <w:r w:rsidRPr="00C15F4E">
        <w:t>, že Slovensko je po Španielsku druhou krajinou, v ktorej sociálne zázemie najviac vplýva na mieru opakovania ročníka aj po zohľadnení výsledkov v</w:t>
      </w:r>
      <w:r>
        <w:t> </w:t>
      </w:r>
      <w:r w:rsidRPr="00C15F4E">
        <w:t>testovaní</w:t>
      </w:r>
      <w:r>
        <w:t xml:space="preserve"> (OECD, 2016)</w:t>
      </w:r>
      <w:r w:rsidRPr="00C15F4E">
        <w:t>. Skúsenosti zo zahraničia poukazujú na to, že opakovanie ročníka sa nejaví byť účinným pri zlepšovaní vzdelávacích výsledkov žiakov, pôsobí stigmatizujúco a podkopáva sebadôveru žiakov (OECD, 2007).</w:t>
      </w:r>
    </w:p>
    <w:p w14:paraId="699F869D" w14:textId="77777777" w:rsidR="006C0F26" w:rsidRDefault="006C0F26">
      <w:pPr>
        <w:spacing w:after="160"/>
        <w:jc w:val="left"/>
      </w:pPr>
      <w:r>
        <w:br w:type="page"/>
      </w:r>
    </w:p>
    <w:tbl>
      <w:tblPr>
        <w:tblW w:w="9072" w:type="dxa"/>
        <w:tblLayout w:type="fixed"/>
        <w:tblLook w:val="04E0" w:firstRow="1" w:lastRow="1" w:firstColumn="1" w:lastColumn="0" w:noHBand="0" w:noVBand="1"/>
      </w:tblPr>
      <w:tblGrid>
        <w:gridCol w:w="9072"/>
      </w:tblGrid>
      <w:tr w:rsidR="008E60A9" w:rsidRPr="00CA2564" w14:paraId="7D3D9634" w14:textId="77777777" w:rsidTr="008A5D47">
        <w:tc>
          <w:tcPr>
            <w:tcW w:w="9072" w:type="dxa"/>
            <w:tcBorders>
              <w:bottom w:val="single" w:sz="4" w:space="0" w:color="auto"/>
            </w:tcBorders>
          </w:tcPr>
          <w:p w14:paraId="4A781EAC" w14:textId="35AFE862" w:rsidR="008E60A9" w:rsidRPr="008A5D47" w:rsidRDefault="008E60A9" w:rsidP="008A5D47">
            <w:pPr>
              <w:spacing w:after="0" w:line="240" w:lineRule="auto"/>
              <w:rPr>
                <w:b/>
              </w:rPr>
            </w:pPr>
            <w:bookmarkStart w:id="335" w:name="_Ref33430348"/>
            <w:bookmarkStart w:id="336" w:name="_Toc34157574"/>
            <w:r w:rsidRPr="008A5D47">
              <w:rPr>
                <w:b/>
                <w:sz w:val="20"/>
              </w:rPr>
              <w:t xml:space="preserve">Graf </w:t>
            </w:r>
            <w:r w:rsidRPr="008A5D47">
              <w:rPr>
                <w:b/>
                <w:sz w:val="20"/>
              </w:rPr>
              <w:fldChar w:fldCharType="begin"/>
            </w:r>
            <w:r w:rsidRPr="008A5D47">
              <w:rPr>
                <w:b/>
                <w:sz w:val="20"/>
              </w:rPr>
              <w:instrText xml:space="preserve"> SEQ Graf \* ARABIC </w:instrText>
            </w:r>
            <w:r w:rsidRPr="008A5D47">
              <w:rPr>
                <w:b/>
                <w:sz w:val="20"/>
              </w:rPr>
              <w:fldChar w:fldCharType="separate"/>
            </w:r>
            <w:r w:rsidR="00FA29AF">
              <w:rPr>
                <w:b/>
                <w:noProof/>
                <w:sz w:val="20"/>
              </w:rPr>
              <w:t>16</w:t>
            </w:r>
            <w:r w:rsidRPr="008A5D47">
              <w:rPr>
                <w:b/>
                <w:sz w:val="20"/>
              </w:rPr>
              <w:fldChar w:fldCharType="end"/>
            </w:r>
            <w:bookmarkEnd w:id="335"/>
            <w:r w:rsidRPr="008A5D47">
              <w:rPr>
                <w:b/>
                <w:sz w:val="20"/>
              </w:rPr>
              <w:t xml:space="preserve">: </w:t>
            </w:r>
            <w:r w:rsidRPr="008A5D47">
              <w:rPr>
                <w:b/>
                <w:iCs/>
                <w:sz w:val="20"/>
              </w:rPr>
              <w:t>Podiel znevýhodnených skupín na všetkých žiakoch podľa ročníka ZŠ v š.r. 2018/19 (%)</w:t>
            </w:r>
            <w:bookmarkEnd w:id="336"/>
          </w:p>
        </w:tc>
      </w:tr>
      <w:tr w:rsidR="008E60A9" w:rsidRPr="00CA2564" w14:paraId="36398B78" w14:textId="77777777" w:rsidTr="008A5D47">
        <w:tblPrEx>
          <w:tblCellMar>
            <w:left w:w="70" w:type="dxa"/>
            <w:right w:w="70" w:type="dxa"/>
          </w:tblCellMar>
        </w:tblPrEx>
        <w:tc>
          <w:tcPr>
            <w:tcW w:w="9072" w:type="dxa"/>
            <w:tcBorders>
              <w:top w:val="single" w:sz="4" w:space="0" w:color="auto"/>
              <w:bottom w:val="single" w:sz="4" w:space="0" w:color="auto"/>
            </w:tcBorders>
          </w:tcPr>
          <w:p w14:paraId="3EB85468" w14:textId="77777777" w:rsidR="008E60A9" w:rsidRPr="00CA2564" w:rsidRDefault="008E60A9" w:rsidP="008A5D47">
            <w:pPr>
              <w:spacing w:after="0" w:line="240" w:lineRule="auto"/>
              <w:rPr>
                <w:sz w:val="4"/>
                <w:szCs w:val="4"/>
              </w:rPr>
            </w:pPr>
          </w:p>
          <w:p w14:paraId="408AFC03" w14:textId="0F3CFB28" w:rsidR="008E60A9" w:rsidRPr="00CA2564" w:rsidRDefault="008E60A9" w:rsidP="008A5D47">
            <w:pPr>
              <w:spacing w:after="0" w:line="240" w:lineRule="auto"/>
              <w:jc w:val="center"/>
              <w:rPr>
                <w:sz w:val="4"/>
                <w:szCs w:val="4"/>
              </w:rPr>
            </w:pPr>
            <w:r>
              <w:rPr>
                <w:noProof/>
                <w:lang w:eastAsia="sk-SK"/>
              </w:rPr>
              <w:drawing>
                <wp:inline distT="0" distB="0" distL="0" distR="0" wp14:anchorId="3B3B965F" wp14:editId="767BE175">
                  <wp:extent cx="5291455" cy="1744133"/>
                  <wp:effectExtent l="0" t="0" r="4445" b="8890"/>
                  <wp:docPr id="318" name="Graf 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EF2DDF3" w14:textId="77777777" w:rsidR="008E60A9" w:rsidRPr="00CA2564" w:rsidRDefault="008E60A9" w:rsidP="008A5D47">
            <w:pPr>
              <w:spacing w:after="0" w:line="240" w:lineRule="auto"/>
              <w:rPr>
                <w:sz w:val="4"/>
                <w:szCs w:val="4"/>
              </w:rPr>
            </w:pPr>
          </w:p>
        </w:tc>
      </w:tr>
      <w:tr w:rsidR="008E60A9" w:rsidRPr="00CA2564" w14:paraId="4B8865D5" w14:textId="77777777" w:rsidTr="008A5D47">
        <w:tc>
          <w:tcPr>
            <w:tcW w:w="9072" w:type="dxa"/>
            <w:tcBorders>
              <w:top w:val="single" w:sz="4" w:space="0" w:color="auto"/>
            </w:tcBorders>
          </w:tcPr>
          <w:p w14:paraId="486552F0" w14:textId="77777777" w:rsidR="008E60A9" w:rsidRPr="008A5D47" w:rsidRDefault="008E60A9" w:rsidP="008A5D47">
            <w:pPr>
              <w:spacing w:after="0" w:line="240" w:lineRule="auto"/>
              <w:jc w:val="right"/>
              <w:rPr>
                <w:bCs/>
                <w:i/>
                <w:noProof/>
                <w:sz w:val="18"/>
                <w:szCs w:val="18"/>
              </w:rPr>
            </w:pPr>
            <w:r w:rsidRPr="008A5D47">
              <w:rPr>
                <w:i/>
                <w:sz w:val="18"/>
                <w:szCs w:val="18"/>
              </w:rPr>
              <w:t xml:space="preserve">Zdroj: </w:t>
            </w:r>
            <w:r w:rsidRPr="008A5D47">
              <w:rPr>
                <w:i/>
                <w:noProof/>
                <w:sz w:val="18"/>
                <w:szCs w:val="18"/>
              </w:rPr>
              <w:t xml:space="preserve">ÚHP na základe </w:t>
            </w:r>
            <w:r w:rsidRPr="008A5D47">
              <w:rPr>
                <w:rFonts w:eastAsia="Times New Roman" w:cs="Times New Roman"/>
                <w:i/>
                <w:iCs/>
                <w:color w:val="000000"/>
                <w:sz w:val="18"/>
                <w:szCs w:val="18"/>
              </w:rPr>
              <w:t xml:space="preserve">údajov </w:t>
            </w:r>
            <w:r w:rsidRPr="008A5D47">
              <w:rPr>
                <w:i/>
                <w:noProof/>
                <w:sz w:val="18"/>
                <w:szCs w:val="18"/>
              </w:rPr>
              <w:t>RIS MŠVVŠ, ÚPSVR, ARK</w:t>
            </w:r>
          </w:p>
          <w:p w14:paraId="58A84C6A" w14:textId="18141892" w:rsidR="008E60A9" w:rsidRPr="00CA2564" w:rsidRDefault="008E60A9" w:rsidP="008A5D47">
            <w:pPr>
              <w:spacing w:after="0" w:line="240" w:lineRule="auto"/>
              <w:jc w:val="left"/>
              <w:rPr>
                <w:bCs/>
                <w:i/>
                <w:noProof/>
                <w:sz w:val="18"/>
                <w:szCs w:val="18"/>
              </w:rPr>
            </w:pPr>
            <w:r w:rsidRPr="008A5D47">
              <w:rPr>
                <w:bCs/>
                <w:i/>
                <w:sz w:val="18"/>
                <w:szCs w:val="18"/>
              </w:rPr>
              <w:t xml:space="preserve">Poznámka: </w:t>
            </w:r>
            <w:r w:rsidR="002A676F" w:rsidRPr="008A5D47">
              <w:rPr>
                <w:i/>
                <w:noProof/>
                <w:sz w:val="18"/>
                <w:szCs w:val="18"/>
              </w:rPr>
              <w:fldChar w:fldCharType="begin"/>
            </w:r>
            <w:r w:rsidR="002A676F" w:rsidRPr="008A5D47">
              <w:rPr>
                <w:rFonts w:eastAsia="Times New Roman" w:cs="Times New Roman"/>
                <w:i/>
                <w:iCs/>
                <w:color w:val="000000"/>
                <w:sz w:val="18"/>
                <w:szCs w:val="18"/>
              </w:rPr>
              <w:instrText xml:space="preserve"> REF _Ref33439692 \h </w:instrText>
            </w:r>
            <w:r w:rsidR="002A676F" w:rsidRPr="008A5D47">
              <w:rPr>
                <w:i/>
                <w:noProof/>
                <w:sz w:val="18"/>
                <w:szCs w:val="18"/>
              </w:rPr>
              <w:instrText xml:space="preserve"> \* MERGEFORMAT </w:instrText>
            </w:r>
            <w:r w:rsidR="002A676F" w:rsidRPr="008A5D47">
              <w:rPr>
                <w:i/>
                <w:noProof/>
                <w:sz w:val="18"/>
                <w:szCs w:val="18"/>
              </w:rPr>
            </w:r>
            <w:r w:rsidR="002A676F" w:rsidRPr="008A5D47">
              <w:rPr>
                <w:i/>
                <w:noProof/>
                <w:sz w:val="18"/>
                <w:szCs w:val="18"/>
              </w:rPr>
              <w:fldChar w:fldCharType="separate"/>
            </w:r>
            <w:r w:rsidR="00FA29AF" w:rsidRPr="00FA29AF">
              <w:rPr>
                <w:i/>
                <w:sz w:val="18"/>
                <w:szCs w:val="18"/>
              </w:rPr>
              <w:t xml:space="preserve">Box </w:t>
            </w:r>
            <w:r w:rsidR="00FA29AF" w:rsidRPr="00FA29AF">
              <w:rPr>
                <w:i/>
                <w:noProof/>
                <w:sz w:val="18"/>
                <w:szCs w:val="18"/>
              </w:rPr>
              <w:t>3</w:t>
            </w:r>
            <w:r w:rsidR="002A676F" w:rsidRPr="008A5D47">
              <w:rPr>
                <w:i/>
                <w:noProof/>
                <w:sz w:val="18"/>
                <w:szCs w:val="18"/>
              </w:rPr>
              <w:fldChar w:fldCharType="end"/>
            </w:r>
            <w:r w:rsidR="0070047D" w:rsidRPr="008A5D47">
              <w:rPr>
                <w:i/>
                <w:noProof/>
                <w:sz w:val="18"/>
                <w:szCs w:val="18"/>
              </w:rPr>
              <w:t xml:space="preserve"> </w:t>
            </w:r>
            <w:r w:rsidRPr="008A5D47">
              <w:rPr>
                <w:bCs/>
                <w:i/>
                <w:noProof/>
                <w:sz w:val="18"/>
                <w:szCs w:val="18"/>
              </w:rPr>
              <w:t>pre definíciu</w:t>
            </w:r>
            <w:r w:rsidR="002B01DB" w:rsidRPr="008A5D47">
              <w:rPr>
                <w:bCs/>
                <w:i/>
                <w:noProof/>
                <w:sz w:val="18"/>
                <w:szCs w:val="18"/>
              </w:rPr>
              <w:t xml:space="preserve"> MRK. </w:t>
            </w:r>
            <w:r w:rsidR="002B01DB" w:rsidRPr="008A5D47">
              <w:rPr>
                <w:i/>
                <w:noProof/>
                <w:sz w:val="18"/>
                <w:szCs w:val="18"/>
              </w:rPr>
              <w:fldChar w:fldCharType="begin"/>
            </w:r>
            <w:r w:rsidR="002B01DB" w:rsidRPr="008A5D47">
              <w:rPr>
                <w:i/>
                <w:noProof/>
                <w:sz w:val="18"/>
                <w:szCs w:val="18"/>
              </w:rPr>
              <w:instrText xml:space="preserve"> REF _Ref33440448 \h  \* MERGEFORMAT </w:instrText>
            </w:r>
            <w:r w:rsidR="002B01DB" w:rsidRPr="008A5D47">
              <w:rPr>
                <w:i/>
                <w:noProof/>
                <w:sz w:val="18"/>
                <w:szCs w:val="18"/>
              </w:rPr>
            </w:r>
            <w:r w:rsidR="002B01DB" w:rsidRPr="008A5D47">
              <w:rPr>
                <w:i/>
                <w:noProof/>
                <w:sz w:val="18"/>
                <w:szCs w:val="18"/>
              </w:rPr>
              <w:fldChar w:fldCharType="separate"/>
            </w:r>
            <w:r w:rsidR="00FA29AF" w:rsidRPr="00FA29AF">
              <w:rPr>
                <w:i/>
                <w:sz w:val="18"/>
                <w:szCs w:val="18"/>
              </w:rPr>
              <w:t xml:space="preserve">Box </w:t>
            </w:r>
            <w:r w:rsidR="00FA29AF" w:rsidRPr="00FA29AF">
              <w:rPr>
                <w:i/>
                <w:noProof/>
                <w:sz w:val="18"/>
                <w:szCs w:val="18"/>
              </w:rPr>
              <w:t>7</w:t>
            </w:r>
            <w:r w:rsidR="002B01DB" w:rsidRPr="008A5D47">
              <w:rPr>
                <w:i/>
                <w:noProof/>
                <w:sz w:val="18"/>
                <w:szCs w:val="18"/>
              </w:rPr>
              <w:fldChar w:fldCharType="end"/>
            </w:r>
            <w:r w:rsidR="002B01DB" w:rsidRPr="008A5D47">
              <w:rPr>
                <w:i/>
                <w:noProof/>
                <w:sz w:val="18"/>
                <w:szCs w:val="18"/>
              </w:rPr>
              <w:t xml:space="preserve"> </w:t>
            </w:r>
            <w:r w:rsidRPr="008A5D47">
              <w:rPr>
                <w:bCs/>
                <w:i/>
                <w:noProof/>
                <w:sz w:val="18"/>
                <w:szCs w:val="18"/>
              </w:rPr>
              <w:t>pre vysvetelenie identifikácie žiakov zo SZP v </w:t>
            </w:r>
            <w:r w:rsidR="002B01DB" w:rsidRPr="008A5D47">
              <w:rPr>
                <w:bCs/>
                <w:i/>
                <w:noProof/>
                <w:sz w:val="18"/>
                <w:szCs w:val="18"/>
              </w:rPr>
              <w:t xml:space="preserve">individualizovaných admin. </w:t>
            </w:r>
            <w:r w:rsidRPr="008A5D47">
              <w:rPr>
                <w:bCs/>
                <w:i/>
                <w:noProof/>
                <w:sz w:val="18"/>
                <w:szCs w:val="18"/>
              </w:rPr>
              <w:t>údajoch.</w:t>
            </w:r>
            <w:r w:rsidR="0070047D" w:rsidRPr="008A5D47">
              <w:rPr>
                <w:i/>
                <w:noProof/>
                <w:sz w:val="18"/>
                <w:szCs w:val="18"/>
              </w:rPr>
              <w:t xml:space="preserve"> </w:t>
            </w:r>
          </w:p>
        </w:tc>
      </w:tr>
    </w:tbl>
    <w:p w14:paraId="419F28EB" w14:textId="40775AFC" w:rsidR="00DE675D" w:rsidRPr="00C15F4E" w:rsidRDefault="00DE675D" w:rsidP="00DE675D">
      <w:pPr>
        <w:spacing w:before="160"/>
      </w:pPr>
      <w:r w:rsidRPr="00C15F4E">
        <w:rPr>
          <w:b/>
        </w:rPr>
        <w:t>Žiaci zo SZP sú koncentrovaní v menšej časti bežných škôl.</w:t>
      </w:r>
      <w:r w:rsidR="0070047D">
        <w:rPr>
          <w:b/>
        </w:rPr>
        <w:t xml:space="preserve"> </w:t>
      </w:r>
      <w:r w:rsidRPr="00C15F4E">
        <w:t xml:space="preserve">Podiel žiakov zo SZP presahuje </w:t>
      </w:r>
      <w:r>
        <w:t>3</w:t>
      </w:r>
      <w:r w:rsidRPr="00C15F4E">
        <w:t>0 % v</w:t>
      </w:r>
      <w:r>
        <w:t xml:space="preserve"> takmer </w:t>
      </w:r>
      <w:r w:rsidRPr="00C15F4E">
        <w:t xml:space="preserve">každej </w:t>
      </w:r>
      <w:r>
        <w:t>siedmej</w:t>
      </w:r>
      <w:r w:rsidRPr="00C15F4E">
        <w:t xml:space="preserve"> škole, pričom v celkovej populácii základných škôl tvoria žiaci zo SZP v priemere 9,3 % všetkých žiakov. </w:t>
      </w:r>
      <w:r>
        <w:t>27</w:t>
      </w:r>
      <w:r w:rsidRPr="00C15F4E">
        <w:t xml:space="preserve"> % škôl nemá ani jedného žiaka zo SZP.</w:t>
      </w:r>
      <w:r>
        <w:rPr>
          <w:rStyle w:val="Odkaznapoznmkupodiarou"/>
        </w:rPr>
        <w:footnoteReference w:id="103"/>
      </w:r>
      <w:r w:rsidRPr="00C15F4E">
        <w:t xml:space="preserve"> </w:t>
      </w:r>
    </w:p>
    <w:p w14:paraId="4D0ED2B3" w14:textId="343D529B" w:rsidR="008A5D47" w:rsidRDefault="00DE675D" w:rsidP="00D53C5F">
      <w:pPr>
        <w:spacing w:before="160"/>
        <w:rPr>
          <w:b/>
        </w:rPr>
      </w:pPr>
      <w:r>
        <w:rPr>
          <w:b/>
        </w:rPr>
        <w:t>Napriek tomu, že segregácia vo vzdelávaní je zakázaná</w:t>
      </w:r>
      <w:r w:rsidR="00D54A4F">
        <w:rPr>
          <w:b/>
        </w:rPr>
        <w:t>,</w:t>
      </w:r>
      <w:r>
        <w:rPr>
          <w:rStyle w:val="Odkaznapoznmkupodiarou"/>
          <w:b/>
        </w:rPr>
        <w:footnoteReference w:id="104"/>
      </w:r>
      <w:r>
        <w:rPr>
          <w:b/>
        </w:rPr>
        <w:t xml:space="preserve"> žiaci z prostredia MRK sú priestorovo koncentrovaní/vyčleňovaní, a to vnútri škôl aj medzi školami v rámci obce. </w:t>
      </w:r>
      <w:r w:rsidRPr="00F649B0">
        <w:t>Priestorové vyčleňovanie možno sledovať použitím takzvaného indexu odlišnosti (</w:t>
      </w:r>
      <w:r w:rsidR="00134838">
        <w:fldChar w:fldCharType="begin"/>
      </w:r>
      <w:r w:rsidR="00134838">
        <w:instrText xml:space="preserve"> REF _Ref34129691 \h  \* MERGEFORMAT </w:instrText>
      </w:r>
      <w:r w:rsidR="00134838">
        <w:fldChar w:fldCharType="separate"/>
      </w:r>
      <w:r w:rsidR="00FA29AF" w:rsidRPr="00FA29AF">
        <w:t>Príloha 11</w:t>
      </w:r>
      <w:r w:rsidR="00134838">
        <w:fldChar w:fldCharType="end"/>
      </w:r>
      <w:r w:rsidRPr="00633B68">
        <w:t>)</w:t>
      </w:r>
      <w:r w:rsidRPr="00F649B0">
        <w:t xml:space="preserve">. </w:t>
      </w:r>
      <w:r>
        <w:t>Výsledky na základe administratívnych údajov ukazujú, že pre dosiahnutie rovnovážneho rozdelenia žiakov z prostredia MRK v rámci prvého ročníka zmiešaných základných škôl by bolo potrebné preradiť až tretinu z nich do inej triedy.</w:t>
      </w:r>
      <w:r w:rsidR="00D73BB4">
        <w:rPr>
          <w:rStyle w:val="Odkaznapoznmkupodiarou"/>
        </w:rPr>
        <w:footnoteReference w:id="105"/>
      </w:r>
      <w:r>
        <w:t xml:space="preserve"> Z analýzy na úrovni obcí so zmiešanou populáciou v bežnom vzdelávacom prúde </w:t>
      </w:r>
      <w:r w:rsidR="00B24660">
        <w:t>vyplýva</w:t>
      </w:r>
      <w:r>
        <w:t>, že pre dosiahnutie rovnovážneho rozdelenia žiakov z prostredia MRK medzi školami v obci by bolo potrebné preradiť až skoro polovicu z nich do inej školy.</w:t>
      </w:r>
      <w:r w:rsidR="00D73BB4">
        <w:rPr>
          <w:rStyle w:val="Odkaznapoznmkupodiarou"/>
        </w:rPr>
        <w:footnoteReference w:id="106"/>
      </w:r>
      <w:r>
        <w:t xml:space="preserve"> </w:t>
      </w:r>
      <w:r w:rsidRPr="000338F3">
        <w:rPr>
          <w:b/>
        </w:rPr>
        <w:t>Takýto stav je nežiaduci, pretože sociálno-ekonomické a etnické zloženie tried a škôl patrí medzi najdôležitejšie premenné vysvetľujúce systematicky nízko dosahované vzdelávacie výsledky a výstupy (OECD</w:t>
      </w:r>
      <w:r w:rsidRPr="006A60C3">
        <w:rPr>
          <w:b/>
        </w:rPr>
        <w:t>, 2010, Habodászová, 2019).</w:t>
      </w:r>
    </w:p>
    <w:p w14:paraId="6C02D165" w14:textId="602563F2" w:rsidR="00695590" w:rsidRPr="008502F2" w:rsidRDefault="00695590" w:rsidP="008502F2">
      <w:pPr>
        <w:spacing w:after="0"/>
        <w:rPr>
          <w:b/>
        </w:rPr>
      </w:pPr>
      <w:bookmarkStart w:id="337" w:name="_Ref24486752"/>
      <w:bookmarkStart w:id="338" w:name="_Toc34156849"/>
      <w:r w:rsidRPr="008502F2">
        <w:rPr>
          <w:b/>
          <w:sz w:val="20"/>
        </w:rPr>
        <w:t xml:space="preserve">Tabuľka </w:t>
      </w:r>
      <w:r w:rsidRPr="008502F2">
        <w:rPr>
          <w:b/>
          <w:noProof/>
          <w:sz w:val="20"/>
        </w:rPr>
        <w:fldChar w:fldCharType="begin"/>
      </w:r>
      <w:r w:rsidRPr="008502F2">
        <w:rPr>
          <w:b/>
          <w:noProof/>
          <w:sz w:val="20"/>
        </w:rPr>
        <w:instrText xml:space="preserve"> SEQ Tabuľka \* ARABIC </w:instrText>
      </w:r>
      <w:r w:rsidRPr="008502F2">
        <w:rPr>
          <w:b/>
          <w:noProof/>
          <w:sz w:val="20"/>
        </w:rPr>
        <w:fldChar w:fldCharType="separate"/>
      </w:r>
      <w:r w:rsidR="00FA29AF">
        <w:rPr>
          <w:b/>
          <w:noProof/>
          <w:sz w:val="20"/>
        </w:rPr>
        <w:t>10</w:t>
      </w:r>
      <w:r w:rsidRPr="008502F2">
        <w:rPr>
          <w:b/>
          <w:noProof/>
          <w:sz w:val="20"/>
        </w:rPr>
        <w:fldChar w:fldCharType="end"/>
      </w:r>
      <w:bookmarkEnd w:id="337"/>
      <w:r w:rsidRPr="008502F2">
        <w:rPr>
          <w:b/>
          <w:sz w:val="20"/>
        </w:rPr>
        <w:t xml:space="preserve">: Podiel žiakov </w:t>
      </w:r>
      <w:r w:rsidRPr="008502F2">
        <w:rPr>
          <w:b/>
          <w:color w:val="000000"/>
          <w:sz w:val="20"/>
        </w:rPr>
        <w:t>podľa PHN a MRK, ktorí sú</w:t>
      </w:r>
      <w:r w:rsidR="0070047D">
        <w:rPr>
          <w:b/>
          <w:color w:val="000000"/>
          <w:sz w:val="20"/>
        </w:rPr>
        <w:t xml:space="preserve"> </w:t>
      </w:r>
      <w:r w:rsidRPr="008502F2">
        <w:rPr>
          <w:b/>
          <w:sz w:val="20"/>
        </w:rPr>
        <w:t>v špeciálnom školstve v š. r. 201</w:t>
      </w:r>
      <w:r w:rsidR="00E37106">
        <w:rPr>
          <w:b/>
          <w:sz w:val="20"/>
        </w:rPr>
        <w:t>8</w:t>
      </w:r>
      <w:r w:rsidRPr="008502F2">
        <w:rPr>
          <w:b/>
          <w:sz w:val="20"/>
        </w:rPr>
        <w:t>/1</w:t>
      </w:r>
      <w:r w:rsidR="00E37106">
        <w:rPr>
          <w:b/>
          <w:sz w:val="20"/>
        </w:rPr>
        <w:t>9</w:t>
      </w:r>
      <w:r w:rsidRPr="008502F2">
        <w:rPr>
          <w:b/>
          <w:sz w:val="20"/>
        </w:rPr>
        <w:t xml:space="preserve"> (%)</w:t>
      </w:r>
      <w:bookmarkEnd w:id="338"/>
    </w:p>
    <w:tbl>
      <w:tblPr>
        <w:tblW w:w="9072" w:type="dxa"/>
        <w:tblLayout w:type="fixed"/>
        <w:tblCellMar>
          <w:left w:w="70" w:type="dxa"/>
          <w:right w:w="70" w:type="dxa"/>
        </w:tblCellMar>
        <w:tblLook w:val="04A0" w:firstRow="1" w:lastRow="0" w:firstColumn="1" w:lastColumn="0" w:noHBand="0" w:noVBand="1"/>
      </w:tblPr>
      <w:tblGrid>
        <w:gridCol w:w="2552"/>
        <w:gridCol w:w="2173"/>
        <w:gridCol w:w="2173"/>
        <w:gridCol w:w="2174"/>
      </w:tblGrid>
      <w:tr w:rsidR="00695590" w:rsidRPr="00CA2564" w14:paraId="4834760F" w14:textId="77777777" w:rsidTr="00C04AAA">
        <w:trPr>
          <w:trHeight w:val="300"/>
        </w:trPr>
        <w:tc>
          <w:tcPr>
            <w:tcW w:w="2552" w:type="dxa"/>
            <w:tcBorders>
              <w:top w:val="single" w:sz="4" w:space="0" w:color="auto"/>
              <w:left w:val="nil"/>
              <w:bottom w:val="single" w:sz="4" w:space="0" w:color="auto"/>
              <w:right w:val="nil"/>
            </w:tcBorders>
            <w:shd w:val="clear" w:color="000000" w:fill="FFFFFF"/>
            <w:noWrap/>
            <w:vAlign w:val="bottom"/>
            <w:hideMark/>
          </w:tcPr>
          <w:p w14:paraId="43280807" w14:textId="77777777" w:rsidR="00695590" w:rsidRPr="00CA2564" w:rsidRDefault="00695590" w:rsidP="00C04AAA">
            <w:pPr>
              <w:spacing w:after="0"/>
              <w:jc w:val="center"/>
              <w:rPr>
                <w:rFonts w:eastAsia="Times New Roman" w:cs="Times New Roman"/>
                <w:color w:val="000000"/>
                <w:sz w:val="20"/>
                <w:lang w:eastAsia="sk-SK"/>
              </w:rPr>
            </w:pPr>
          </w:p>
        </w:tc>
        <w:tc>
          <w:tcPr>
            <w:tcW w:w="2173" w:type="dxa"/>
            <w:tcBorders>
              <w:top w:val="single" w:sz="4" w:space="0" w:color="auto"/>
              <w:left w:val="nil"/>
              <w:bottom w:val="single" w:sz="4" w:space="0" w:color="auto"/>
              <w:right w:val="nil"/>
            </w:tcBorders>
            <w:shd w:val="clear" w:color="000000" w:fill="FFFFFF"/>
            <w:noWrap/>
            <w:vAlign w:val="bottom"/>
            <w:hideMark/>
          </w:tcPr>
          <w:p w14:paraId="71C8C397" w14:textId="77777777" w:rsidR="00695590" w:rsidRPr="00CA2564" w:rsidRDefault="00695590" w:rsidP="000507BD">
            <w:pPr>
              <w:spacing w:after="0"/>
              <w:jc w:val="right"/>
              <w:rPr>
                <w:rFonts w:eastAsia="Times New Roman" w:cs="Times New Roman"/>
                <w:b/>
                <w:bCs/>
                <w:color w:val="000000"/>
                <w:sz w:val="20"/>
                <w:lang w:eastAsia="sk-SK"/>
              </w:rPr>
            </w:pPr>
            <w:r w:rsidRPr="00CA2564">
              <w:rPr>
                <w:rFonts w:eastAsia="Times New Roman" w:cs="Times New Roman"/>
                <w:b/>
                <w:bCs/>
                <w:color w:val="000000"/>
                <w:sz w:val="20"/>
                <w:lang w:eastAsia="sk-SK"/>
              </w:rPr>
              <w:t>MRK</w:t>
            </w:r>
          </w:p>
        </w:tc>
        <w:tc>
          <w:tcPr>
            <w:tcW w:w="2173" w:type="dxa"/>
            <w:tcBorders>
              <w:top w:val="single" w:sz="4" w:space="0" w:color="auto"/>
              <w:left w:val="nil"/>
              <w:bottom w:val="single" w:sz="4" w:space="0" w:color="auto"/>
              <w:right w:val="nil"/>
            </w:tcBorders>
            <w:shd w:val="clear" w:color="000000" w:fill="FFFFFF"/>
            <w:noWrap/>
            <w:vAlign w:val="bottom"/>
            <w:hideMark/>
          </w:tcPr>
          <w:p w14:paraId="3E0469E6" w14:textId="77777777" w:rsidR="00695590" w:rsidRPr="00CA2564" w:rsidRDefault="00695590" w:rsidP="000507BD">
            <w:pPr>
              <w:spacing w:after="0"/>
              <w:jc w:val="right"/>
              <w:rPr>
                <w:rFonts w:eastAsia="Times New Roman" w:cs="Times New Roman"/>
                <w:b/>
                <w:bCs/>
                <w:color w:val="000000"/>
                <w:sz w:val="20"/>
                <w:lang w:eastAsia="sk-SK"/>
              </w:rPr>
            </w:pPr>
            <w:r w:rsidRPr="00CA2564">
              <w:rPr>
                <w:rFonts w:eastAsia="Times New Roman" w:cs="Times New Roman"/>
                <w:b/>
                <w:bCs/>
                <w:color w:val="000000"/>
                <w:sz w:val="20"/>
                <w:lang w:eastAsia="sk-SK"/>
              </w:rPr>
              <w:t>mimo MRK</w:t>
            </w:r>
          </w:p>
        </w:tc>
        <w:tc>
          <w:tcPr>
            <w:tcW w:w="2174" w:type="dxa"/>
            <w:tcBorders>
              <w:top w:val="single" w:sz="4" w:space="0" w:color="auto"/>
              <w:left w:val="nil"/>
              <w:bottom w:val="single" w:sz="4" w:space="0" w:color="auto"/>
              <w:right w:val="nil"/>
            </w:tcBorders>
            <w:shd w:val="clear" w:color="000000" w:fill="FFFFFF"/>
            <w:noWrap/>
            <w:vAlign w:val="bottom"/>
            <w:hideMark/>
          </w:tcPr>
          <w:p w14:paraId="4A5F61B7" w14:textId="77777777" w:rsidR="00695590" w:rsidRPr="00CA2564" w:rsidRDefault="00695590" w:rsidP="000507BD">
            <w:pPr>
              <w:spacing w:after="0"/>
              <w:jc w:val="right"/>
              <w:rPr>
                <w:rFonts w:eastAsia="Times New Roman" w:cs="Times New Roman"/>
                <w:b/>
                <w:bCs/>
                <w:color w:val="000000"/>
                <w:sz w:val="20"/>
                <w:lang w:eastAsia="sk-SK"/>
              </w:rPr>
            </w:pPr>
            <w:r w:rsidRPr="00CA2564">
              <w:rPr>
                <w:rFonts w:eastAsia="Times New Roman" w:cs="Times New Roman"/>
                <w:b/>
                <w:bCs/>
                <w:color w:val="000000"/>
                <w:sz w:val="20"/>
                <w:lang w:eastAsia="sk-SK"/>
              </w:rPr>
              <w:t>Celkom</w:t>
            </w:r>
          </w:p>
        </w:tc>
      </w:tr>
      <w:tr w:rsidR="00E37106" w:rsidRPr="00CA2564" w14:paraId="4B717D7A" w14:textId="77777777" w:rsidTr="00C04AAA">
        <w:trPr>
          <w:trHeight w:val="300"/>
        </w:trPr>
        <w:tc>
          <w:tcPr>
            <w:tcW w:w="2552" w:type="dxa"/>
            <w:tcBorders>
              <w:top w:val="nil"/>
              <w:left w:val="nil"/>
              <w:bottom w:val="nil"/>
              <w:right w:val="nil"/>
            </w:tcBorders>
            <w:shd w:val="clear" w:color="000000" w:fill="FFFFFF"/>
            <w:noWrap/>
            <w:vAlign w:val="bottom"/>
            <w:hideMark/>
          </w:tcPr>
          <w:p w14:paraId="1FA1E95B" w14:textId="77777777" w:rsidR="00E37106" w:rsidRPr="00CA2564" w:rsidRDefault="00E37106" w:rsidP="00E37106">
            <w:pPr>
              <w:spacing w:after="0"/>
              <w:jc w:val="left"/>
              <w:rPr>
                <w:rFonts w:eastAsia="Times New Roman" w:cs="Times New Roman"/>
                <w:b/>
                <w:bCs/>
                <w:color w:val="000000"/>
                <w:sz w:val="20"/>
                <w:lang w:eastAsia="sk-SK"/>
              </w:rPr>
            </w:pPr>
            <w:r w:rsidRPr="00CA2564">
              <w:rPr>
                <w:rFonts w:eastAsia="Times New Roman" w:cs="Times New Roman"/>
                <w:b/>
                <w:bCs/>
                <w:color w:val="000000"/>
                <w:sz w:val="20"/>
                <w:lang w:eastAsia="sk-SK"/>
              </w:rPr>
              <w:t>PHN</w:t>
            </w:r>
          </w:p>
        </w:tc>
        <w:tc>
          <w:tcPr>
            <w:tcW w:w="2173" w:type="dxa"/>
            <w:tcBorders>
              <w:top w:val="nil"/>
              <w:left w:val="nil"/>
              <w:bottom w:val="nil"/>
              <w:right w:val="nil"/>
            </w:tcBorders>
            <w:shd w:val="clear" w:color="000000" w:fill="FFFFFF"/>
            <w:noWrap/>
            <w:vAlign w:val="bottom"/>
            <w:hideMark/>
          </w:tcPr>
          <w:p w14:paraId="2181FB9D" w14:textId="7A219FDA" w:rsidR="00E37106" w:rsidRPr="00CA2564" w:rsidRDefault="00E37106" w:rsidP="00E37106">
            <w:pPr>
              <w:spacing w:after="0"/>
              <w:jc w:val="right"/>
              <w:rPr>
                <w:rFonts w:eastAsia="Times New Roman" w:cs="Times New Roman"/>
                <w:color w:val="000000"/>
                <w:sz w:val="20"/>
                <w:lang w:eastAsia="sk-SK"/>
              </w:rPr>
            </w:pPr>
            <w:r>
              <w:rPr>
                <w:color w:val="000000"/>
                <w:sz w:val="20"/>
              </w:rPr>
              <w:t>22,3</w:t>
            </w:r>
          </w:p>
        </w:tc>
        <w:tc>
          <w:tcPr>
            <w:tcW w:w="2173" w:type="dxa"/>
            <w:tcBorders>
              <w:top w:val="nil"/>
              <w:left w:val="nil"/>
              <w:bottom w:val="nil"/>
              <w:right w:val="nil"/>
            </w:tcBorders>
            <w:shd w:val="clear" w:color="000000" w:fill="FFFFFF"/>
            <w:noWrap/>
            <w:vAlign w:val="bottom"/>
            <w:hideMark/>
          </w:tcPr>
          <w:p w14:paraId="129E6851" w14:textId="76FE6C39" w:rsidR="00E37106" w:rsidRPr="00CA2564" w:rsidRDefault="00E37106" w:rsidP="00E37106">
            <w:pPr>
              <w:spacing w:after="0"/>
              <w:jc w:val="right"/>
              <w:rPr>
                <w:rFonts w:eastAsia="Times New Roman" w:cs="Times New Roman"/>
                <w:color w:val="000000"/>
                <w:sz w:val="20"/>
                <w:lang w:eastAsia="sk-SK"/>
              </w:rPr>
            </w:pPr>
            <w:r>
              <w:rPr>
                <w:color w:val="000000"/>
                <w:sz w:val="20"/>
              </w:rPr>
              <w:t>11,8</w:t>
            </w:r>
          </w:p>
        </w:tc>
        <w:tc>
          <w:tcPr>
            <w:tcW w:w="2174" w:type="dxa"/>
            <w:tcBorders>
              <w:top w:val="nil"/>
              <w:left w:val="nil"/>
              <w:bottom w:val="nil"/>
              <w:right w:val="nil"/>
            </w:tcBorders>
            <w:shd w:val="clear" w:color="000000" w:fill="FFFFFF"/>
            <w:noWrap/>
            <w:vAlign w:val="bottom"/>
            <w:hideMark/>
          </w:tcPr>
          <w:p w14:paraId="62149A54" w14:textId="198AB4A1" w:rsidR="00E37106" w:rsidRPr="00CA2564" w:rsidRDefault="00E37106" w:rsidP="00E37106">
            <w:pPr>
              <w:spacing w:after="0"/>
              <w:jc w:val="right"/>
              <w:rPr>
                <w:rFonts w:eastAsia="Times New Roman" w:cs="Times New Roman"/>
                <w:color w:val="000000"/>
                <w:sz w:val="20"/>
                <w:lang w:eastAsia="sk-SK"/>
              </w:rPr>
            </w:pPr>
            <w:r>
              <w:rPr>
                <w:color w:val="000000"/>
                <w:sz w:val="20"/>
              </w:rPr>
              <w:t>17,9</w:t>
            </w:r>
          </w:p>
        </w:tc>
      </w:tr>
      <w:tr w:rsidR="00E37106" w:rsidRPr="00CA2564" w14:paraId="4F037362" w14:textId="77777777" w:rsidTr="00C04AAA">
        <w:trPr>
          <w:trHeight w:val="300"/>
        </w:trPr>
        <w:tc>
          <w:tcPr>
            <w:tcW w:w="2552" w:type="dxa"/>
            <w:tcBorders>
              <w:top w:val="nil"/>
              <w:left w:val="nil"/>
              <w:bottom w:val="nil"/>
              <w:right w:val="nil"/>
            </w:tcBorders>
            <w:shd w:val="clear" w:color="000000" w:fill="FFFFFF"/>
            <w:noWrap/>
            <w:vAlign w:val="bottom"/>
            <w:hideMark/>
          </w:tcPr>
          <w:p w14:paraId="5BE79FEA" w14:textId="77777777" w:rsidR="00E37106" w:rsidRPr="00CA2564" w:rsidRDefault="00E37106" w:rsidP="00E37106">
            <w:pPr>
              <w:spacing w:after="0"/>
              <w:jc w:val="left"/>
              <w:rPr>
                <w:rFonts w:eastAsia="Times New Roman" w:cs="Times New Roman"/>
                <w:b/>
                <w:bCs/>
                <w:color w:val="000000"/>
                <w:sz w:val="20"/>
                <w:lang w:eastAsia="sk-SK"/>
              </w:rPr>
            </w:pPr>
            <w:r w:rsidRPr="00CA2564">
              <w:rPr>
                <w:rFonts w:eastAsia="Times New Roman" w:cs="Times New Roman"/>
                <w:b/>
                <w:bCs/>
                <w:color w:val="000000"/>
                <w:sz w:val="20"/>
                <w:lang w:eastAsia="sk-SK"/>
              </w:rPr>
              <w:t>mimo PHN</w:t>
            </w:r>
          </w:p>
        </w:tc>
        <w:tc>
          <w:tcPr>
            <w:tcW w:w="2173" w:type="dxa"/>
            <w:tcBorders>
              <w:top w:val="nil"/>
              <w:left w:val="nil"/>
              <w:bottom w:val="nil"/>
              <w:right w:val="nil"/>
            </w:tcBorders>
            <w:shd w:val="clear" w:color="000000" w:fill="FFFFFF"/>
            <w:noWrap/>
            <w:vAlign w:val="bottom"/>
            <w:hideMark/>
          </w:tcPr>
          <w:p w14:paraId="5FEEB1BE" w14:textId="794049F2" w:rsidR="00E37106" w:rsidRPr="00CA2564" w:rsidRDefault="00E37106" w:rsidP="00E37106">
            <w:pPr>
              <w:spacing w:after="0"/>
              <w:jc w:val="right"/>
              <w:rPr>
                <w:rFonts w:eastAsia="Times New Roman" w:cs="Times New Roman"/>
                <w:color w:val="000000"/>
                <w:sz w:val="20"/>
                <w:lang w:eastAsia="sk-SK"/>
              </w:rPr>
            </w:pPr>
            <w:r>
              <w:rPr>
                <w:color w:val="000000"/>
                <w:sz w:val="20"/>
              </w:rPr>
              <w:t>16,2</w:t>
            </w:r>
          </w:p>
        </w:tc>
        <w:tc>
          <w:tcPr>
            <w:tcW w:w="2173" w:type="dxa"/>
            <w:tcBorders>
              <w:top w:val="nil"/>
              <w:left w:val="nil"/>
              <w:bottom w:val="nil"/>
              <w:right w:val="nil"/>
            </w:tcBorders>
            <w:shd w:val="clear" w:color="000000" w:fill="FFFFFF"/>
            <w:noWrap/>
            <w:vAlign w:val="bottom"/>
            <w:hideMark/>
          </w:tcPr>
          <w:p w14:paraId="6325A8C7" w14:textId="3261B15E" w:rsidR="00E37106" w:rsidRPr="00CA2564" w:rsidRDefault="00E37106" w:rsidP="00E37106">
            <w:pPr>
              <w:spacing w:after="0"/>
              <w:jc w:val="right"/>
              <w:rPr>
                <w:rFonts w:eastAsia="Times New Roman" w:cs="Times New Roman"/>
                <w:color w:val="000000"/>
                <w:sz w:val="20"/>
                <w:lang w:eastAsia="sk-SK"/>
              </w:rPr>
            </w:pPr>
            <w:r>
              <w:rPr>
                <w:color w:val="000000"/>
                <w:sz w:val="20"/>
              </w:rPr>
              <w:t>3,4</w:t>
            </w:r>
          </w:p>
        </w:tc>
        <w:tc>
          <w:tcPr>
            <w:tcW w:w="2174" w:type="dxa"/>
            <w:tcBorders>
              <w:top w:val="nil"/>
              <w:left w:val="nil"/>
              <w:bottom w:val="nil"/>
              <w:right w:val="nil"/>
            </w:tcBorders>
            <w:shd w:val="clear" w:color="000000" w:fill="FFFFFF"/>
            <w:noWrap/>
            <w:vAlign w:val="bottom"/>
            <w:hideMark/>
          </w:tcPr>
          <w:p w14:paraId="36C8C391" w14:textId="68DE1EB7" w:rsidR="00E37106" w:rsidRPr="00CA2564" w:rsidRDefault="00E37106" w:rsidP="00E37106">
            <w:pPr>
              <w:spacing w:after="0"/>
              <w:jc w:val="right"/>
              <w:rPr>
                <w:rFonts w:eastAsia="Times New Roman" w:cs="Times New Roman"/>
                <w:color w:val="000000"/>
                <w:sz w:val="20"/>
                <w:lang w:eastAsia="sk-SK"/>
              </w:rPr>
            </w:pPr>
            <w:r>
              <w:rPr>
                <w:color w:val="000000"/>
                <w:sz w:val="20"/>
              </w:rPr>
              <w:t>4,3</w:t>
            </w:r>
          </w:p>
        </w:tc>
      </w:tr>
      <w:tr w:rsidR="00E37106" w:rsidRPr="00CA2564" w14:paraId="5027BF41" w14:textId="77777777" w:rsidTr="00C04AAA">
        <w:trPr>
          <w:trHeight w:val="300"/>
        </w:trPr>
        <w:tc>
          <w:tcPr>
            <w:tcW w:w="2552" w:type="dxa"/>
            <w:tcBorders>
              <w:top w:val="nil"/>
              <w:left w:val="nil"/>
              <w:bottom w:val="single" w:sz="4" w:space="0" w:color="auto"/>
              <w:right w:val="nil"/>
            </w:tcBorders>
            <w:shd w:val="clear" w:color="000000" w:fill="FFFFFF"/>
            <w:noWrap/>
            <w:vAlign w:val="bottom"/>
            <w:hideMark/>
          </w:tcPr>
          <w:p w14:paraId="526E4B0C" w14:textId="77777777" w:rsidR="00E37106" w:rsidRPr="00CA2564" w:rsidRDefault="00E37106" w:rsidP="00E37106">
            <w:pPr>
              <w:spacing w:after="0"/>
              <w:jc w:val="left"/>
              <w:rPr>
                <w:rFonts w:eastAsia="Times New Roman" w:cs="Times New Roman"/>
                <w:b/>
                <w:bCs/>
                <w:color w:val="000000"/>
                <w:sz w:val="20"/>
                <w:lang w:eastAsia="sk-SK"/>
              </w:rPr>
            </w:pPr>
            <w:r w:rsidRPr="00CA2564">
              <w:rPr>
                <w:rFonts w:eastAsia="Times New Roman" w:cs="Times New Roman"/>
                <w:b/>
                <w:bCs/>
                <w:color w:val="000000"/>
                <w:sz w:val="20"/>
                <w:lang w:eastAsia="sk-SK"/>
              </w:rPr>
              <w:t>Celkom</w:t>
            </w:r>
          </w:p>
        </w:tc>
        <w:tc>
          <w:tcPr>
            <w:tcW w:w="2173" w:type="dxa"/>
            <w:tcBorders>
              <w:top w:val="nil"/>
              <w:left w:val="nil"/>
              <w:bottom w:val="single" w:sz="4" w:space="0" w:color="auto"/>
              <w:right w:val="nil"/>
            </w:tcBorders>
            <w:shd w:val="clear" w:color="000000" w:fill="FFFFFF"/>
            <w:noWrap/>
            <w:vAlign w:val="bottom"/>
            <w:hideMark/>
          </w:tcPr>
          <w:p w14:paraId="6C41DA08" w14:textId="2C4D3BD5" w:rsidR="00E37106" w:rsidRPr="00CA2564" w:rsidRDefault="00E37106" w:rsidP="00E37106">
            <w:pPr>
              <w:spacing w:after="0"/>
              <w:jc w:val="right"/>
              <w:rPr>
                <w:rFonts w:eastAsia="Times New Roman" w:cs="Times New Roman"/>
                <w:color w:val="000000"/>
                <w:sz w:val="20"/>
                <w:lang w:eastAsia="sk-SK"/>
              </w:rPr>
            </w:pPr>
            <w:r>
              <w:rPr>
                <w:color w:val="000000"/>
                <w:sz w:val="20"/>
              </w:rPr>
              <w:t>19,2</w:t>
            </w:r>
          </w:p>
        </w:tc>
        <w:tc>
          <w:tcPr>
            <w:tcW w:w="2173" w:type="dxa"/>
            <w:tcBorders>
              <w:top w:val="nil"/>
              <w:left w:val="nil"/>
              <w:bottom w:val="single" w:sz="4" w:space="0" w:color="auto"/>
              <w:right w:val="nil"/>
            </w:tcBorders>
            <w:shd w:val="clear" w:color="000000" w:fill="FFFFFF"/>
            <w:noWrap/>
            <w:vAlign w:val="bottom"/>
            <w:hideMark/>
          </w:tcPr>
          <w:p w14:paraId="35565A78" w14:textId="29FD1CB1" w:rsidR="00E37106" w:rsidRPr="00CA2564" w:rsidRDefault="00E37106" w:rsidP="00E37106">
            <w:pPr>
              <w:spacing w:after="0"/>
              <w:jc w:val="right"/>
              <w:rPr>
                <w:rFonts w:eastAsia="Times New Roman" w:cs="Times New Roman"/>
                <w:color w:val="000000"/>
                <w:sz w:val="20"/>
                <w:lang w:eastAsia="sk-SK"/>
              </w:rPr>
            </w:pPr>
            <w:r>
              <w:rPr>
                <w:color w:val="000000"/>
                <w:sz w:val="20"/>
              </w:rPr>
              <w:t>3,8</w:t>
            </w:r>
          </w:p>
        </w:tc>
        <w:tc>
          <w:tcPr>
            <w:tcW w:w="2174" w:type="dxa"/>
            <w:tcBorders>
              <w:top w:val="nil"/>
              <w:left w:val="nil"/>
              <w:bottom w:val="single" w:sz="4" w:space="0" w:color="auto"/>
              <w:right w:val="nil"/>
            </w:tcBorders>
            <w:shd w:val="clear" w:color="000000" w:fill="FFFFFF"/>
            <w:noWrap/>
            <w:vAlign w:val="bottom"/>
            <w:hideMark/>
          </w:tcPr>
          <w:p w14:paraId="4CD98748" w14:textId="6E42829F" w:rsidR="00E37106" w:rsidRPr="00CA2564" w:rsidRDefault="00E37106" w:rsidP="00E37106">
            <w:pPr>
              <w:spacing w:after="0"/>
              <w:jc w:val="right"/>
              <w:rPr>
                <w:rFonts w:eastAsia="Times New Roman" w:cs="Times New Roman"/>
                <w:color w:val="000000"/>
                <w:sz w:val="20"/>
                <w:lang w:eastAsia="sk-SK"/>
              </w:rPr>
            </w:pPr>
            <w:r>
              <w:rPr>
                <w:color w:val="000000"/>
                <w:sz w:val="20"/>
              </w:rPr>
              <w:t>5,7</w:t>
            </w:r>
          </w:p>
        </w:tc>
      </w:tr>
      <w:tr w:rsidR="00695590" w:rsidRPr="00CA2564" w14:paraId="6387DA94" w14:textId="77777777" w:rsidTr="00C04AAA">
        <w:trPr>
          <w:trHeight w:val="104"/>
        </w:trPr>
        <w:tc>
          <w:tcPr>
            <w:tcW w:w="9072" w:type="dxa"/>
            <w:gridSpan w:val="4"/>
            <w:tcBorders>
              <w:top w:val="single" w:sz="4" w:space="0" w:color="auto"/>
              <w:left w:val="nil"/>
              <w:bottom w:val="nil"/>
              <w:right w:val="nil"/>
            </w:tcBorders>
            <w:shd w:val="clear" w:color="auto" w:fill="auto"/>
            <w:vAlign w:val="bottom"/>
            <w:hideMark/>
          </w:tcPr>
          <w:p w14:paraId="1FE1023F" w14:textId="77777777" w:rsidR="00695590" w:rsidRPr="00CA2564" w:rsidRDefault="00695590" w:rsidP="00452DBC">
            <w:pPr>
              <w:spacing w:after="0" w:line="240" w:lineRule="auto"/>
              <w:jc w:val="right"/>
              <w:rPr>
                <w:rFonts w:eastAsia="Times New Roman" w:cs="Times New Roman"/>
                <w:i/>
                <w:iCs/>
                <w:color w:val="000000"/>
                <w:sz w:val="16"/>
                <w:szCs w:val="16"/>
                <w:lang w:eastAsia="sk-SK"/>
              </w:rPr>
            </w:pPr>
            <w:r w:rsidRPr="00CA2564">
              <w:rPr>
                <w:rFonts w:eastAsia="Times New Roman" w:cs="Times New Roman"/>
                <w:i/>
                <w:iCs/>
                <w:color w:val="000000"/>
                <w:sz w:val="16"/>
                <w:szCs w:val="16"/>
                <w:lang w:eastAsia="sk-SK"/>
              </w:rPr>
              <w:t xml:space="preserve">Zdroj: ÚHP na základe údajov </w:t>
            </w:r>
            <w:r w:rsidRPr="00CA2564">
              <w:rPr>
                <w:i/>
                <w:noProof/>
                <w:sz w:val="16"/>
                <w:szCs w:val="16"/>
              </w:rPr>
              <w:t>RIS MŠVVŠ, ÚPSVR, ARK</w:t>
            </w:r>
          </w:p>
          <w:p w14:paraId="161FF85E" w14:textId="19EC7218" w:rsidR="00695590" w:rsidRPr="00CA2564" w:rsidRDefault="00695590" w:rsidP="00140A54">
            <w:pPr>
              <w:spacing w:after="0" w:line="240" w:lineRule="auto"/>
              <w:jc w:val="left"/>
              <w:rPr>
                <w:rFonts w:eastAsia="Times New Roman" w:cs="Times New Roman"/>
                <w:i/>
                <w:iCs/>
                <w:color w:val="000000"/>
                <w:sz w:val="16"/>
                <w:szCs w:val="16"/>
                <w:lang w:eastAsia="sk-SK"/>
              </w:rPr>
            </w:pPr>
            <w:r w:rsidRPr="00CA2564">
              <w:rPr>
                <w:rFonts w:eastAsia="Times New Roman" w:cs="Times New Roman"/>
                <w:i/>
                <w:iCs/>
                <w:color w:val="000000"/>
                <w:sz w:val="16"/>
                <w:szCs w:val="16"/>
                <w:lang w:eastAsia="sk-SK"/>
              </w:rPr>
              <w:t xml:space="preserve">Poznámka: </w:t>
            </w:r>
            <w:r w:rsidR="002A676F" w:rsidRPr="002A676F">
              <w:rPr>
                <w:i/>
                <w:noProof/>
                <w:sz w:val="18"/>
                <w:szCs w:val="18"/>
              </w:rPr>
              <w:fldChar w:fldCharType="begin"/>
            </w:r>
            <w:r w:rsidR="002A676F" w:rsidRPr="002A676F">
              <w:rPr>
                <w:rFonts w:eastAsia="Times New Roman" w:cs="Times New Roman"/>
                <w:i/>
                <w:iCs/>
                <w:color w:val="000000"/>
                <w:sz w:val="18"/>
                <w:szCs w:val="18"/>
              </w:rPr>
              <w:instrText xml:space="preserve"> REF _Ref33439692 \h </w:instrText>
            </w:r>
            <w:r w:rsidR="002A676F" w:rsidRPr="002A676F">
              <w:rPr>
                <w:i/>
                <w:noProof/>
                <w:sz w:val="18"/>
                <w:szCs w:val="18"/>
              </w:rPr>
              <w:instrText xml:space="preserve"> \* MERGEFORMAT </w:instrText>
            </w:r>
            <w:r w:rsidR="002A676F" w:rsidRPr="002A676F">
              <w:rPr>
                <w:i/>
                <w:noProof/>
                <w:sz w:val="18"/>
                <w:szCs w:val="18"/>
              </w:rPr>
            </w:r>
            <w:r w:rsidR="002A676F" w:rsidRPr="002A676F">
              <w:rPr>
                <w:i/>
                <w:noProof/>
                <w:sz w:val="18"/>
                <w:szCs w:val="18"/>
              </w:rPr>
              <w:fldChar w:fldCharType="separate"/>
            </w:r>
            <w:r w:rsidR="00FA29AF" w:rsidRPr="00FA29AF">
              <w:rPr>
                <w:i/>
                <w:sz w:val="18"/>
                <w:szCs w:val="18"/>
              </w:rPr>
              <w:t xml:space="preserve">Box </w:t>
            </w:r>
            <w:r w:rsidR="00FA29AF" w:rsidRPr="00FA29AF">
              <w:rPr>
                <w:i/>
                <w:noProof/>
                <w:sz w:val="18"/>
                <w:szCs w:val="18"/>
              </w:rPr>
              <w:t>3</w:t>
            </w:r>
            <w:r w:rsidR="002A676F" w:rsidRPr="002A676F">
              <w:rPr>
                <w:i/>
                <w:noProof/>
                <w:sz w:val="18"/>
                <w:szCs w:val="18"/>
              </w:rPr>
              <w:fldChar w:fldCharType="end"/>
            </w:r>
            <w:r w:rsidR="002A676F" w:rsidRPr="002A676F">
              <w:rPr>
                <w:i/>
                <w:noProof/>
                <w:sz w:val="18"/>
                <w:szCs w:val="18"/>
              </w:rPr>
              <w:t xml:space="preserve"> </w:t>
            </w:r>
            <w:r w:rsidRPr="00CA2564">
              <w:rPr>
                <w:i/>
                <w:noProof/>
                <w:sz w:val="16"/>
                <w:szCs w:val="16"/>
              </w:rPr>
              <w:t>pre definíciu MRK a PHN.</w:t>
            </w:r>
            <w:r w:rsidR="00A05599">
              <w:rPr>
                <w:i/>
                <w:noProof/>
                <w:sz w:val="16"/>
                <w:szCs w:val="16"/>
              </w:rPr>
              <w:t xml:space="preserve"> </w:t>
            </w:r>
          </w:p>
        </w:tc>
      </w:tr>
    </w:tbl>
    <w:p w14:paraId="0B72159F" w14:textId="107406F8" w:rsidR="00DE675D" w:rsidRPr="006C7ED2" w:rsidRDefault="00DE675D" w:rsidP="00DE675D">
      <w:pPr>
        <w:spacing w:before="160"/>
      </w:pPr>
      <w:r w:rsidRPr="006C7ED2">
        <w:rPr>
          <w:b/>
        </w:rPr>
        <w:t xml:space="preserve">Vážnym problémom zostáva nadmerné zastúpenie žiakov z prostredia MRK a žiakov z rodín v systéme PHN v špeciálnom školstve. </w:t>
      </w:r>
      <w:r w:rsidRPr="006C7ED2">
        <w:t>Zo všetkých žiakov v systéme PHN sa 1</w:t>
      </w:r>
      <w:r w:rsidR="00E37106">
        <w:t>7</w:t>
      </w:r>
      <w:r w:rsidRPr="006C7ED2">
        <w:t>,9 % vzdeláva v špeciálnom prúde a zo žiakov z prostredia MRK je to až 1</w:t>
      </w:r>
      <w:r w:rsidR="00E37106">
        <w:t>9</w:t>
      </w:r>
      <w:r w:rsidRPr="006C7ED2">
        <w:t>,</w:t>
      </w:r>
      <w:r w:rsidR="00E37106">
        <w:t>2</w:t>
      </w:r>
      <w:r w:rsidRPr="006C7ED2">
        <w:t xml:space="preserve"> %. Z celkovej populácie žiakov na Slovensku sa pritom v špeciálnom školstve vzdeláva 5,</w:t>
      </w:r>
      <w:r w:rsidR="00E37106">
        <w:t>7</w:t>
      </w:r>
      <w:r w:rsidRPr="006C7ED2">
        <w:t xml:space="preserve"> % (</w:t>
      </w:r>
      <w:r>
        <w:fldChar w:fldCharType="begin"/>
      </w:r>
      <w:r>
        <w:instrText xml:space="preserve"> REF _Ref24486752 \h  \* MERGEFORMAT </w:instrText>
      </w:r>
      <w:r>
        <w:fldChar w:fldCharType="separate"/>
      </w:r>
      <w:r w:rsidR="00FA29AF" w:rsidRPr="00FA29AF">
        <w:t>Tabuľka 10</w:t>
      </w:r>
      <w:r>
        <w:fldChar w:fldCharType="end"/>
      </w:r>
      <w:r w:rsidRPr="006C7ED2">
        <w:t>).</w:t>
      </w:r>
      <w:r w:rsidR="0079545C">
        <w:t xml:space="preserve"> </w:t>
      </w:r>
      <w:r w:rsidR="0079545C" w:rsidRPr="00D41517">
        <w:rPr>
          <w:b/>
        </w:rPr>
        <w:t>Revízia predpokladá, že zvýšenie inklúzie vo vzdelávacom systéme vďaka navrhovaným opatreniam, ktoré povedú k lepšej pripravenosti škôl vzdelávať žiakov z MRK spolu s ostatnými žiakmi</w:t>
      </w:r>
      <w:r w:rsidR="00D123D6">
        <w:rPr>
          <w:b/>
        </w:rPr>
        <w:t>,</w:t>
      </w:r>
      <w:r w:rsidR="0079545C" w:rsidRPr="00D41517">
        <w:rPr>
          <w:b/>
        </w:rPr>
        <w:t xml:space="preserve"> dôjde k úspore na výdavkoch na špeciálne školstvo.</w:t>
      </w:r>
    </w:p>
    <w:p w14:paraId="19E11623" w14:textId="77777777" w:rsidR="00D53C5F" w:rsidRDefault="00D53C5F" w:rsidP="00695590">
      <w:pPr>
        <w:pStyle w:val="Bezriadkovania"/>
        <w:spacing w:after="240" w:line="259" w:lineRule="auto"/>
        <w:jc w:val="both"/>
        <w:rPr>
          <w:rFonts w:ascii="Arial Narrow" w:hAnsi="Arial Narrow"/>
          <w:color w:val="0070C0"/>
        </w:rPr>
      </w:pPr>
    </w:p>
    <w:p w14:paraId="2A2CE2A1" w14:textId="77777777" w:rsidR="00695590" w:rsidRPr="00B07E9A" w:rsidRDefault="00695590" w:rsidP="00695590">
      <w:pPr>
        <w:pStyle w:val="Bezriadkovania"/>
        <w:spacing w:after="240" w:line="259" w:lineRule="auto"/>
        <w:jc w:val="both"/>
        <w:rPr>
          <w:rFonts w:ascii="Arial Narrow" w:hAnsi="Arial Narrow"/>
          <w:color w:val="0070C0"/>
        </w:rPr>
      </w:pPr>
      <w:r>
        <w:rPr>
          <w:rFonts w:ascii="Arial Narrow" w:hAnsi="Arial Narrow"/>
          <w:color w:val="0070C0"/>
        </w:rPr>
        <w:t>Existujúce opatrenia na podporu vzdelávania sociálne znevýhodnených žiakov v základných školách</w:t>
      </w:r>
    </w:p>
    <w:p w14:paraId="16FF1514" w14:textId="77777777" w:rsidR="00695590" w:rsidRPr="0046488A" w:rsidRDefault="00695590" w:rsidP="009E459A">
      <w:r w:rsidRPr="00CA2564">
        <w:rPr>
          <w:b/>
        </w:rPr>
        <w:t>Na podporu vzdelávania žiakov zo SZP na základných školách bolo v roku 201</w:t>
      </w:r>
      <w:r>
        <w:rPr>
          <w:b/>
        </w:rPr>
        <w:t>8</w:t>
      </w:r>
      <w:r w:rsidRPr="00CA2564">
        <w:rPr>
          <w:b/>
        </w:rPr>
        <w:t xml:space="preserve"> vyčlenených približne 1</w:t>
      </w:r>
      <w:r>
        <w:rPr>
          <w:b/>
        </w:rPr>
        <w:t>1</w:t>
      </w:r>
      <w:r w:rsidRPr="00CA2564">
        <w:rPr>
          <w:b/>
        </w:rPr>
        <w:t>,2 milióna eur.</w:t>
      </w:r>
      <w:r w:rsidRPr="00CA2564">
        <w:t> Tieto prostriedky zahŕňajú výdavky na nultý ročník (</w:t>
      </w:r>
      <w:r>
        <w:t>5</w:t>
      </w:r>
      <w:r w:rsidRPr="00CA2564">
        <w:t xml:space="preserve"> milión</w:t>
      </w:r>
      <w:r>
        <w:t>ov</w:t>
      </w:r>
      <w:r w:rsidRPr="00CA2564">
        <w:t xml:space="preserve"> eur), príspevok na skvalitnenie podmienok na výchovu a vzdelávanie žiakov zo SZP (</w:t>
      </w:r>
      <w:r>
        <w:t>6</w:t>
      </w:r>
      <w:r w:rsidRPr="00CA2564">
        <w:t>,</w:t>
      </w:r>
      <w:r>
        <w:t>2</w:t>
      </w:r>
      <w:r w:rsidRPr="00CA2564">
        <w:t xml:space="preserve"> milióna eur) a rozvojové projekty pre žiakov zo SZP (4</w:t>
      </w:r>
      <w:r>
        <w:t>5</w:t>
      </w:r>
      <w:r w:rsidRPr="00CA2564">
        <w:t>-tisíc eur).</w:t>
      </w:r>
      <w:r w:rsidRPr="00CA2564">
        <w:rPr>
          <w:rStyle w:val="Odkaznapoznmkupodiarou"/>
        </w:rPr>
        <w:footnoteReference w:id="107"/>
      </w:r>
    </w:p>
    <w:p w14:paraId="52D86AE5" w14:textId="77777777" w:rsidR="00695590" w:rsidRPr="00974D9F" w:rsidRDefault="00695590" w:rsidP="00695590">
      <w:pPr>
        <w:spacing w:before="160"/>
        <w:rPr>
          <w:b/>
          <w:u w:val="single"/>
        </w:rPr>
      </w:pPr>
      <w:r w:rsidRPr="00974D9F">
        <w:rPr>
          <w:b/>
          <w:u w:val="single"/>
        </w:rPr>
        <w:t>Nu</w:t>
      </w:r>
      <w:r>
        <w:rPr>
          <w:b/>
          <w:u w:val="single"/>
        </w:rPr>
        <w:t>ltý ročník</w:t>
      </w:r>
    </w:p>
    <w:p w14:paraId="5389A9BC" w14:textId="3300B990" w:rsidR="00695590" w:rsidRDefault="00695590" w:rsidP="00695590">
      <w:pPr>
        <w:spacing w:before="160"/>
      </w:pPr>
      <w:r w:rsidRPr="00CA2564">
        <w:rPr>
          <w:b/>
        </w:rPr>
        <w:t xml:space="preserve">Hlavným cieľom nultého ročníka je umožniť žiakom zo SZP, ktorí nie sú pripravení na absolvovanie prvého ročníka v základnej škole, aby dosiahli školskú spôsobilosť a mohli tak do prvého ročníka nastúpiť. </w:t>
      </w:r>
      <w:r w:rsidRPr="000338F3">
        <w:rPr>
          <w:b/>
        </w:rPr>
        <w:t>V roku 201</w:t>
      </w:r>
      <w:r>
        <w:rPr>
          <w:b/>
        </w:rPr>
        <w:t>8</w:t>
      </w:r>
      <w:r w:rsidRPr="000338F3">
        <w:rPr>
          <w:b/>
        </w:rPr>
        <w:t xml:space="preserve"> navštevovalo nultý ročník 3 5</w:t>
      </w:r>
      <w:r>
        <w:rPr>
          <w:b/>
        </w:rPr>
        <w:t>52</w:t>
      </w:r>
      <w:r w:rsidRPr="000338F3">
        <w:rPr>
          <w:b/>
        </w:rPr>
        <w:t xml:space="preserve"> žiakov a výdavky na ich vzdelávanie predstavovali sumu </w:t>
      </w:r>
      <w:r>
        <w:rPr>
          <w:b/>
        </w:rPr>
        <w:t>5</w:t>
      </w:r>
      <w:r w:rsidRPr="000338F3">
        <w:rPr>
          <w:b/>
        </w:rPr>
        <w:t xml:space="preserve"> milió</w:t>
      </w:r>
      <w:r>
        <w:rPr>
          <w:b/>
        </w:rPr>
        <w:t>nov</w:t>
      </w:r>
      <w:r w:rsidRPr="000338F3">
        <w:rPr>
          <w:b/>
        </w:rPr>
        <w:t xml:space="preserve"> eur. </w:t>
      </w:r>
      <w:r>
        <w:t>Výdavky predstavujú navýšený normatív oproti bežným žiakom príslušnej základnej školy.</w:t>
      </w:r>
      <w:r>
        <w:rPr>
          <w:rStyle w:val="Odkaznapoznmkupodiarou"/>
        </w:rPr>
        <w:footnoteReference w:id="108"/>
      </w:r>
      <w:r>
        <w:t xml:space="preserve"> </w:t>
      </w:r>
      <w:r w:rsidRPr="0046488A">
        <w:rPr>
          <w:bCs/>
        </w:rPr>
        <w:t>Ročné výdavky na žiaka v nultom ročníku sú približne o </w:t>
      </w:r>
      <w:r>
        <w:rPr>
          <w:bCs/>
        </w:rPr>
        <w:t>3</w:t>
      </w:r>
      <w:r w:rsidRPr="0046488A">
        <w:rPr>
          <w:bCs/>
        </w:rPr>
        <w:t>5 % (</w:t>
      </w:r>
      <w:r>
        <w:rPr>
          <w:bCs/>
        </w:rPr>
        <w:t>1 2</w:t>
      </w:r>
      <w:r w:rsidRPr="0046488A">
        <w:rPr>
          <w:bCs/>
        </w:rPr>
        <w:t xml:space="preserve">00 eur) vyššie ako výdavky na dieťa v materskej škole (celkovo takmer </w:t>
      </w:r>
      <w:r>
        <w:rPr>
          <w:bCs/>
        </w:rPr>
        <w:t>4,3</w:t>
      </w:r>
      <w:r w:rsidRPr="0046488A">
        <w:rPr>
          <w:bCs/>
        </w:rPr>
        <w:t xml:space="preserve"> milión</w:t>
      </w:r>
      <w:r w:rsidR="00641181">
        <w:rPr>
          <w:bCs/>
        </w:rPr>
        <w:t>y</w:t>
      </w:r>
      <w:r w:rsidRPr="0046488A">
        <w:rPr>
          <w:bCs/>
        </w:rPr>
        <w:t xml:space="preserve"> eur v školskom roku 201</w:t>
      </w:r>
      <w:r>
        <w:rPr>
          <w:bCs/>
        </w:rPr>
        <w:t>8</w:t>
      </w:r>
      <w:r w:rsidRPr="0046488A">
        <w:rPr>
          <w:bCs/>
        </w:rPr>
        <w:t>/1</w:t>
      </w:r>
      <w:r>
        <w:rPr>
          <w:bCs/>
        </w:rPr>
        <w:t>9</w:t>
      </w:r>
      <w:r w:rsidRPr="0046488A">
        <w:rPr>
          <w:bCs/>
        </w:rPr>
        <w:t>).</w:t>
      </w:r>
      <w:r>
        <w:rPr>
          <w:bCs/>
        </w:rPr>
        <w:t xml:space="preserve"> </w:t>
      </w:r>
      <w:r w:rsidRPr="001A28E7">
        <w:t xml:space="preserve">Obsah </w:t>
      </w:r>
      <w:r w:rsidRPr="00AD22CE">
        <w:t>vz</w:t>
      </w:r>
      <w:r w:rsidRPr="00CA2564">
        <w:t xml:space="preserve">delávania </w:t>
      </w:r>
      <w:r>
        <w:t xml:space="preserve">v nultom ročníku </w:t>
      </w:r>
      <w:r w:rsidRPr="00CA2564">
        <w:t xml:space="preserve">si každá škola určuje sama s </w:t>
      </w:r>
      <w:r>
        <w:t>ohľadom na potreby jednotlivých</w:t>
      </w:r>
      <w:r w:rsidRPr="00CA2564">
        <w:t xml:space="preserve"> žiakov.</w:t>
      </w:r>
      <w:r w:rsidRPr="00CA2564">
        <w:rPr>
          <w:rStyle w:val="Odkaznapoznmkupodiarou"/>
        </w:rPr>
        <w:footnoteReference w:id="109"/>
      </w:r>
    </w:p>
    <w:p w14:paraId="5E8A1CF7" w14:textId="20336D50" w:rsidR="00695590" w:rsidRPr="0045503A" w:rsidRDefault="00695590" w:rsidP="009E459A">
      <w:pPr>
        <w:spacing w:after="0"/>
        <w:rPr>
          <w:b/>
          <w:sz w:val="20"/>
        </w:rPr>
      </w:pPr>
      <w:bookmarkStart w:id="339" w:name="_Ref521766227"/>
      <w:bookmarkStart w:id="340" w:name="_Ref530513267"/>
      <w:bookmarkStart w:id="341" w:name="_Toc17469471"/>
      <w:bookmarkStart w:id="342" w:name="_Toc34156850"/>
      <w:r w:rsidRPr="0045503A">
        <w:rPr>
          <w:b/>
          <w:sz w:val="20"/>
        </w:rPr>
        <w:t xml:space="preserve">Tabuľka </w:t>
      </w:r>
      <w:r w:rsidRPr="0045503A">
        <w:rPr>
          <w:b/>
          <w:noProof/>
          <w:sz w:val="20"/>
        </w:rPr>
        <w:fldChar w:fldCharType="begin"/>
      </w:r>
      <w:r w:rsidRPr="0045503A">
        <w:rPr>
          <w:b/>
          <w:noProof/>
          <w:sz w:val="20"/>
        </w:rPr>
        <w:instrText xml:space="preserve"> SEQ Tabuľka \* ARABIC </w:instrText>
      </w:r>
      <w:r w:rsidRPr="0045503A">
        <w:rPr>
          <w:b/>
          <w:noProof/>
          <w:sz w:val="20"/>
        </w:rPr>
        <w:fldChar w:fldCharType="separate"/>
      </w:r>
      <w:r w:rsidR="00FA29AF">
        <w:rPr>
          <w:b/>
          <w:noProof/>
          <w:sz w:val="20"/>
        </w:rPr>
        <w:t>11</w:t>
      </w:r>
      <w:r w:rsidRPr="0045503A">
        <w:rPr>
          <w:b/>
          <w:noProof/>
          <w:sz w:val="20"/>
        </w:rPr>
        <w:fldChar w:fldCharType="end"/>
      </w:r>
      <w:bookmarkEnd w:id="339"/>
      <w:bookmarkEnd w:id="340"/>
      <w:r w:rsidRPr="0045503A">
        <w:rPr>
          <w:b/>
          <w:sz w:val="20"/>
        </w:rPr>
        <w:t>: Podiel 6-ročných žiakov podľa príslušnosti k SZP a MRK, ktorí sú v 0. ročníku v š.r. 201</w:t>
      </w:r>
      <w:r w:rsidR="00FD7CE3">
        <w:rPr>
          <w:b/>
          <w:sz w:val="20"/>
        </w:rPr>
        <w:t>8</w:t>
      </w:r>
      <w:r w:rsidRPr="0045503A">
        <w:rPr>
          <w:b/>
          <w:sz w:val="20"/>
        </w:rPr>
        <w:t>/1</w:t>
      </w:r>
      <w:r w:rsidR="00FD7CE3">
        <w:rPr>
          <w:b/>
          <w:sz w:val="20"/>
        </w:rPr>
        <w:t>9</w:t>
      </w:r>
      <w:r w:rsidRPr="0045503A">
        <w:rPr>
          <w:b/>
          <w:sz w:val="20"/>
        </w:rPr>
        <w:t xml:space="preserve"> (%)</w:t>
      </w:r>
      <w:bookmarkEnd w:id="341"/>
      <w:bookmarkEnd w:id="342"/>
    </w:p>
    <w:tbl>
      <w:tblPr>
        <w:tblW w:w="9072" w:type="dxa"/>
        <w:tblLayout w:type="fixed"/>
        <w:tblCellMar>
          <w:left w:w="70" w:type="dxa"/>
          <w:right w:w="70" w:type="dxa"/>
        </w:tblCellMar>
        <w:tblLook w:val="04A0" w:firstRow="1" w:lastRow="0" w:firstColumn="1" w:lastColumn="0" w:noHBand="0" w:noVBand="1"/>
      </w:tblPr>
      <w:tblGrid>
        <w:gridCol w:w="2127"/>
        <w:gridCol w:w="2315"/>
        <w:gridCol w:w="2315"/>
        <w:gridCol w:w="2315"/>
      </w:tblGrid>
      <w:tr w:rsidR="00695590" w:rsidRPr="00CA2564" w14:paraId="04386836" w14:textId="77777777" w:rsidTr="00C04AAA">
        <w:trPr>
          <w:trHeight w:val="300"/>
        </w:trPr>
        <w:tc>
          <w:tcPr>
            <w:tcW w:w="2127" w:type="dxa"/>
            <w:tcBorders>
              <w:top w:val="single" w:sz="4" w:space="0" w:color="auto"/>
              <w:left w:val="nil"/>
              <w:bottom w:val="single" w:sz="4" w:space="0" w:color="auto"/>
              <w:right w:val="nil"/>
            </w:tcBorders>
            <w:shd w:val="clear" w:color="000000" w:fill="FFFFFF"/>
            <w:noWrap/>
            <w:vAlign w:val="bottom"/>
            <w:hideMark/>
          </w:tcPr>
          <w:p w14:paraId="738613D5" w14:textId="77777777" w:rsidR="00695590" w:rsidRPr="00CA2564" w:rsidRDefault="00695590" w:rsidP="00C04AAA">
            <w:pPr>
              <w:spacing w:after="0"/>
              <w:jc w:val="center"/>
              <w:rPr>
                <w:rFonts w:eastAsia="Times New Roman" w:cs="Times New Roman"/>
                <w:color w:val="000000"/>
                <w:sz w:val="20"/>
                <w:lang w:eastAsia="sk-SK"/>
              </w:rPr>
            </w:pPr>
          </w:p>
        </w:tc>
        <w:tc>
          <w:tcPr>
            <w:tcW w:w="2315" w:type="dxa"/>
            <w:tcBorders>
              <w:top w:val="single" w:sz="4" w:space="0" w:color="auto"/>
              <w:left w:val="nil"/>
              <w:bottom w:val="single" w:sz="4" w:space="0" w:color="auto"/>
              <w:right w:val="nil"/>
            </w:tcBorders>
            <w:shd w:val="clear" w:color="000000" w:fill="FFFFFF"/>
            <w:noWrap/>
            <w:vAlign w:val="bottom"/>
            <w:hideMark/>
          </w:tcPr>
          <w:p w14:paraId="79B3C5FD" w14:textId="77777777" w:rsidR="00695590" w:rsidRPr="00CA2564" w:rsidRDefault="00695590" w:rsidP="009B30AE">
            <w:pPr>
              <w:spacing w:after="0"/>
              <w:jc w:val="right"/>
              <w:rPr>
                <w:rFonts w:eastAsia="Times New Roman" w:cs="Times New Roman"/>
                <w:b/>
                <w:bCs/>
                <w:color w:val="000000"/>
                <w:sz w:val="20"/>
                <w:lang w:eastAsia="sk-SK"/>
              </w:rPr>
            </w:pPr>
            <w:r w:rsidRPr="00CA2564">
              <w:rPr>
                <w:rFonts w:eastAsia="Times New Roman" w:cs="Times New Roman"/>
                <w:b/>
                <w:bCs/>
                <w:color w:val="000000"/>
                <w:sz w:val="20"/>
                <w:lang w:eastAsia="sk-SK"/>
              </w:rPr>
              <w:t>MRK</w:t>
            </w:r>
          </w:p>
        </w:tc>
        <w:tc>
          <w:tcPr>
            <w:tcW w:w="2315" w:type="dxa"/>
            <w:tcBorders>
              <w:top w:val="single" w:sz="4" w:space="0" w:color="auto"/>
              <w:left w:val="nil"/>
              <w:bottom w:val="single" w:sz="4" w:space="0" w:color="auto"/>
              <w:right w:val="nil"/>
            </w:tcBorders>
            <w:shd w:val="clear" w:color="000000" w:fill="FFFFFF"/>
            <w:noWrap/>
            <w:vAlign w:val="bottom"/>
            <w:hideMark/>
          </w:tcPr>
          <w:p w14:paraId="00BF859B" w14:textId="77777777" w:rsidR="00695590" w:rsidRPr="00CA2564" w:rsidRDefault="00695590" w:rsidP="009B30AE">
            <w:pPr>
              <w:spacing w:after="0"/>
              <w:jc w:val="right"/>
              <w:rPr>
                <w:rFonts w:eastAsia="Times New Roman" w:cs="Times New Roman"/>
                <w:b/>
                <w:bCs/>
                <w:color w:val="000000"/>
                <w:sz w:val="20"/>
                <w:lang w:eastAsia="sk-SK"/>
              </w:rPr>
            </w:pPr>
            <w:r w:rsidRPr="00CA2564">
              <w:rPr>
                <w:rFonts w:eastAsia="Times New Roman" w:cs="Times New Roman"/>
                <w:b/>
                <w:bCs/>
                <w:color w:val="000000"/>
                <w:sz w:val="20"/>
                <w:lang w:eastAsia="sk-SK"/>
              </w:rPr>
              <w:t>mimo MRK</w:t>
            </w:r>
          </w:p>
        </w:tc>
        <w:tc>
          <w:tcPr>
            <w:tcW w:w="2315" w:type="dxa"/>
            <w:tcBorders>
              <w:top w:val="single" w:sz="4" w:space="0" w:color="auto"/>
              <w:left w:val="nil"/>
              <w:bottom w:val="single" w:sz="4" w:space="0" w:color="auto"/>
              <w:right w:val="nil"/>
            </w:tcBorders>
            <w:shd w:val="clear" w:color="000000" w:fill="FFFFFF"/>
            <w:noWrap/>
            <w:vAlign w:val="bottom"/>
            <w:hideMark/>
          </w:tcPr>
          <w:p w14:paraId="4E75472D" w14:textId="77777777" w:rsidR="00695590" w:rsidRPr="00CA2564" w:rsidRDefault="00695590" w:rsidP="009B30AE">
            <w:pPr>
              <w:spacing w:after="0"/>
              <w:jc w:val="right"/>
              <w:rPr>
                <w:rFonts w:eastAsia="Times New Roman" w:cs="Times New Roman"/>
                <w:b/>
                <w:bCs/>
                <w:color w:val="000000"/>
                <w:sz w:val="20"/>
                <w:lang w:eastAsia="sk-SK"/>
              </w:rPr>
            </w:pPr>
            <w:r w:rsidRPr="00CA2564">
              <w:rPr>
                <w:rFonts w:eastAsia="Times New Roman" w:cs="Times New Roman"/>
                <w:b/>
                <w:bCs/>
                <w:color w:val="000000"/>
                <w:sz w:val="20"/>
                <w:lang w:eastAsia="sk-SK"/>
              </w:rPr>
              <w:t>Celkom</w:t>
            </w:r>
          </w:p>
        </w:tc>
      </w:tr>
      <w:tr w:rsidR="00FD7CE3" w:rsidRPr="00CA2564" w14:paraId="355DBAEE" w14:textId="77777777" w:rsidTr="00C04AAA">
        <w:trPr>
          <w:trHeight w:val="300"/>
        </w:trPr>
        <w:tc>
          <w:tcPr>
            <w:tcW w:w="2127" w:type="dxa"/>
            <w:tcBorders>
              <w:top w:val="nil"/>
              <w:left w:val="nil"/>
              <w:bottom w:val="nil"/>
              <w:right w:val="nil"/>
            </w:tcBorders>
            <w:shd w:val="clear" w:color="000000" w:fill="FFFFFF"/>
            <w:noWrap/>
            <w:vAlign w:val="bottom"/>
            <w:hideMark/>
          </w:tcPr>
          <w:p w14:paraId="03029CEA" w14:textId="77777777" w:rsidR="00FD7CE3" w:rsidRPr="00CA2564" w:rsidRDefault="00FD7CE3" w:rsidP="00FD7CE3">
            <w:pPr>
              <w:spacing w:after="0"/>
              <w:jc w:val="left"/>
              <w:rPr>
                <w:rFonts w:eastAsia="Times New Roman" w:cs="Times New Roman"/>
                <w:b/>
                <w:bCs/>
                <w:color w:val="000000"/>
                <w:sz w:val="20"/>
                <w:lang w:eastAsia="sk-SK"/>
              </w:rPr>
            </w:pPr>
            <w:r w:rsidRPr="00CA2564">
              <w:rPr>
                <w:rFonts w:eastAsia="Times New Roman" w:cs="Times New Roman"/>
                <w:b/>
                <w:bCs/>
                <w:color w:val="000000"/>
                <w:sz w:val="20"/>
                <w:lang w:eastAsia="sk-SK"/>
              </w:rPr>
              <w:t>SZP</w:t>
            </w:r>
          </w:p>
        </w:tc>
        <w:tc>
          <w:tcPr>
            <w:tcW w:w="2315" w:type="dxa"/>
            <w:tcBorders>
              <w:top w:val="nil"/>
              <w:left w:val="nil"/>
              <w:bottom w:val="nil"/>
              <w:right w:val="nil"/>
            </w:tcBorders>
            <w:shd w:val="clear" w:color="000000" w:fill="FFFFFF"/>
            <w:noWrap/>
            <w:vAlign w:val="bottom"/>
            <w:hideMark/>
          </w:tcPr>
          <w:p w14:paraId="164A6074" w14:textId="6FF567E2" w:rsidR="00FD7CE3" w:rsidRPr="00FD7CE3" w:rsidRDefault="00FD7CE3" w:rsidP="00FD7CE3">
            <w:pPr>
              <w:spacing w:after="0"/>
              <w:jc w:val="right"/>
              <w:rPr>
                <w:rFonts w:eastAsia="Times New Roman" w:cs="Times New Roman"/>
                <w:color w:val="000000"/>
                <w:sz w:val="20"/>
                <w:lang w:eastAsia="sk-SK"/>
              </w:rPr>
            </w:pPr>
            <w:r w:rsidRPr="00D41517">
              <w:rPr>
                <w:color w:val="000000"/>
                <w:sz w:val="20"/>
              </w:rPr>
              <w:t>60,1</w:t>
            </w:r>
          </w:p>
        </w:tc>
        <w:tc>
          <w:tcPr>
            <w:tcW w:w="2315" w:type="dxa"/>
            <w:tcBorders>
              <w:top w:val="nil"/>
              <w:left w:val="nil"/>
              <w:bottom w:val="nil"/>
              <w:right w:val="nil"/>
            </w:tcBorders>
            <w:shd w:val="clear" w:color="000000" w:fill="FFFFFF"/>
            <w:noWrap/>
            <w:vAlign w:val="bottom"/>
            <w:hideMark/>
          </w:tcPr>
          <w:p w14:paraId="3E62F266" w14:textId="349F306E" w:rsidR="00FD7CE3" w:rsidRPr="00FD7CE3" w:rsidRDefault="00FD7CE3" w:rsidP="00FD7CE3">
            <w:pPr>
              <w:spacing w:after="0"/>
              <w:jc w:val="right"/>
              <w:rPr>
                <w:rFonts w:eastAsia="Times New Roman" w:cs="Times New Roman"/>
                <w:color w:val="000000"/>
                <w:sz w:val="20"/>
                <w:lang w:eastAsia="sk-SK"/>
              </w:rPr>
            </w:pPr>
            <w:r w:rsidRPr="00D41517">
              <w:rPr>
                <w:color w:val="000000"/>
                <w:sz w:val="20"/>
              </w:rPr>
              <w:t>34,0</w:t>
            </w:r>
          </w:p>
        </w:tc>
        <w:tc>
          <w:tcPr>
            <w:tcW w:w="2315" w:type="dxa"/>
            <w:tcBorders>
              <w:top w:val="nil"/>
              <w:left w:val="nil"/>
              <w:bottom w:val="nil"/>
              <w:right w:val="nil"/>
            </w:tcBorders>
            <w:shd w:val="clear" w:color="000000" w:fill="FFFFFF"/>
            <w:noWrap/>
            <w:vAlign w:val="bottom"/>
            <w:hideMark/>
          </w:tcPr>
          <w:p w14:paraId="74F9FCA2" w14:textId="5A11B205" w:rsidR="00FD7CE3" w:rsidRPr="00FD7CE3" w:rsidRDefault="00FD7CE3" w:rsidP="00FD7CE3">
            <w:pPr>
              <w:spacing w:after="0"/>
              <w:jc w:val="right"/>
              <w:rPr>
                <w:rFonts w:eastAsia="Times New Roman" w:cs="Times New Roman"/>
                <w:color w:val="000000"/>
                <w:sz w:val="20"/>
                <w:lang w:eastAsia="sk-SK"/>
              </w:rPr>
            </w:pPr>
            <w:r w:rsidRPr="00D41517">
              <w:rPr>
                <w:color w:val="000000"/>
                <w:sz w:val="20"/>
              </w:rPr>
              <w:t>50,4</w:t>
            </w:r>
          </w:p>
        </w:tc>
      </w:tr>
      <w:tr w:rsidR="00FD7CE3" w:rsidRPr="00CA2564" w14:paraId="23BB5076" w14:textId="77777777" w:rsidTr="00C04AAA">
        <w:trPr>
          <w:trHeight w:val="300"/>
        </w:trPr>
        <w:tc>
          <w:tcPr>
            <w:tcW w:w="2127" w:type="dxa"/>
            <w:tcBorders>
              <w:top w:val="nil"/>
              <w:left w:val="nil"/>
              <w:bottom w:val="nil"/>
              <w:right w:val="nil"/>
            </w:tcBorders>
            <w:shd w:val="clear" w:color="000000" w:fill="FFFFFF"/>
            <w:noWrap/>
            <w:vAlign w:val="bottom"/>
            <w:hideMark/>
          </w:tcPr>
          <w:p w14:paraId="67D8FB79" w14:textId="77777777" w:rsidR="00FD7CE3" w:rsidRPr="00CA2564" w:rsidRDefault="00FD7CE3" w:rsidP="00FD7CE3">
            <w:pPr>
              <w:spacing w:after="0"/>
              <w:jc w:val="left"/>
              <w:rPr>
                <w:rFonts w:eastAsia="Times New Roman" w:cs="Times New Roman"/>
                <w:b/>
                <w:bCs/>
                <w:color w:val="000000"/>
                <w:sz w:val="20"/>
                <w:lang w:eastAsia="sk-SK"/>
              </w:rPr>
            </w:pPr>
            <w:r w:rsidRPr="00CA2564">
              <w:rPr>
                <w:rFonts w:eastAsia="Times New Roman" w:cs="Times New Roman"/>
                <w:b/>
                <w:bCs/>
                <w:color w:val="000000"/>
                <w:sz w:val="20"/>
                <w:lang w:eastAsia="sk-SK"/>
              </w:rPr>
              <w:t>mimo SZP</w:t>
            </w:r>
          </w:p>
        </w:tc>
        <w:tc>
          <w:tcPr>
            <w:tcW w:w="2315" w:type="dxa"/>
            <w:tcBorders>
              <w:top w:val="nil"/>
              <w:left w:val="nil"/>
              <w:bottom w:val="nil"/>
              <w:right w:val="nil"/>
            </w:tcBorders>
            <w:shd w:val="clear" w:color="000000" w:fill="FFFFFF"/>
            <w:noWrap/>
            <w:vAlign w:val="bottom"/>
            <w:hideMark/>
          </w:tcPr>
          <w:p w14:paraId="0A3447F2" w14:textId="73E73D49" w:rsidR="00FD7CE3" w:rsidRPr="00FD7CE3" w:rsidRDefault="00FD7CE3" w:rsidP="00FD7CE3">
            <w:pPr>
              <w:spacing w:after="0"/>
              <w:jc w:val="right"/>
              <w:rPr>
                <w:rFonts w:eastAsia="Times New Roman" w:cs="Times New Roman"/>
                <w:color w:val="000000"/>
                <w:sz w:val="20"/>
                <w:lang w:eastAsia="sk-SK"/>
              </w:rPr>
            </w:pPr>
            <w:r w:rsidRPr="00D41517">
              <w:rPr>
                <w:color w:val="000000"/>
                <w:sz w:val="20"/>
              </w:rPr>
              <w:t>7,9</w:t>
            </w:r>
          </w:p>
        </w:tc>
        <w:tc>
          <w:tcPr>
            <w:tcW w:w="2315" w:type="dxa"/>
            <w:tcBorders>
              <w:top w:val="nil"/>
              <w:left w:val="nil"/>
              <w:bottom w:val="nil"/>
              <w:right w:val="nil"/>
            </w:tcBorders>
            <w:shd w:val="clear" w:color="000000" w:fill="FFFFFF"/>
            <w:noWrap/>
            <w:vAlign w:val="bottom"/>
            <w:hideMark/>
          </w:tcPr>
          <w:p w14:paraId="12B8D37A" w14:textId="092700B3" w:rsidR="00FD7CE3" w:rsidRPr="00FD7CE3" w:rsidRDefault="00FD7CE3" w:rsidP="00FD7CE3">
            <w:pPr>
              <w:spacing w:after="0"/>
              <w:jc w:val="right"/>
              <w:rPr>
                <w:rFonts w:eastAsia="Times New Roman" w:cs="Times New Roman"/>
                <w:color w:val="000000"/>
                <w:sz w:val="20"/>
                <w:lang w:eastAsia="sk-SK"/>
              </w:rPr>
            </w:pPr>
            <w:r w:rsidRPr="00D41517">
              <w:rPr>
                <w:color w:val="000000"/>
                <w:sz w:val="20"/>
              </w:rPr>
              <w:t>0,2</w:t>
            </w:r>
          </w:p>
        </w:tc>
        <w:tc>
          <w:tcPr>
            <w:tcW w:w="2315" w:type="dxa"/>
            <w:tcBorders>
              <w:top w:val="nil"/>
              <w:left w:val="nil"/>
              <w:bottom w:val="nil"/>
              <w:right w:val="nil"/>
            </w:tcBorders>
            <w:shd w:val="clear" w:color="000000" w:fill="FFFFFF"/>
            <w:noWrap/>
            <w:vAlign w:val="bottom"/>
            <w:hideMark/>
          </w:tcPr>
          <w:p w14:paraId="5795AA83" w14:textId="38528B26" w:rsidR="00FD7CE3" w:rsidRPr="00FD7CE3" w:rsidRDefault="00FD7CE3" w:rsidP="00FD7CE3">
            <w:pPr>
              <w:spacing w:after="0"/>
              <w:jc w:val="right"/>
              <w:rPr>
                <w:rFonts w:eastAsia="Times New Roman" w:cs="Times New Roman"/>
                <w:color w:val="000000"/>
                <w:sz w:val="20"/>
                <w:lang w:eastAsia="sk-SK"/>
              </w:rPr>
            </w:pPr>
            <w:r w:rsidRPr="00D41517">
              <w:rPr>
                <w:color w:val="000000"/>
                <w:sz w:val="20"/>
              </w:rPr>
              <w:t>0,5</w:t>
            </w:r>
          </w:p>
        </w:tc>
      </w:tr>
      <w:tr w:rsidR="00FD7CE3" w:rsidRPr="00CA2564" w14:paraId="770AFE13" w14:textId="77777777" w:rsidTr="00C04AAA">
        <w:trPr>
          <w:trHeight w:val="300"/>
        </w:trPr>
        <w:tc>
          <w:tcPr>
            <w:tcW w:w="2127" w:type="dxa"/>
            <w:tcBorders>
              <w:top w:val="nil"/>
              <w:left w:val="nil"/>
              <w:bottom w:val="single" w:sz="4" w:space="0" w:color="auto"/>
              <w:right w:val="nil"/>
            </w:tcBorders>
            <w:shd w:val="clear" w:color="000000" w:fill="FFFFFF"/>
            <w:noWrap/>
            <w:vAlign w:val="bottom"/>
            <w:hideMark/>
          </w:tcPr>
          <w:p w14:paraId="640A95C8" w14:textId="77777777" w:rsidR="00FD7CE3" w:rsidRPr="00CA2564" w:rsidRDefault="00FD7CE3" w:rsidP="00FD7CE3">
            <w:pPr>
              <w:spacing w:after="0"/>
              <w:jc w:val="left"/>
              <w:rPr>
                <w:rFonts w:eastAsia="Times New Roman" w:cs="Times New Roman"/>
                <w:b/>
                <w:bCs/>
                <w:color w:val="000000"/>
                <w:sz w:val="20"/>
                <w:lang w:eastAsia="sk-SK"/>
              </w:rPr>
            </w:pPr>
            <w:r w:rsidRPr="00CA2564">
              <w:rPr>
                <w:rFonts w:eastAsia="Times New Roman" w:cs="Times New Roman"/>
                <w:b/>
                <w:bCs/>
                <w:color w:val="000000"/>
                <w:sz w:val="20"/>
                <w:lang w:eastAsia="sk-SK"/>
              </w:rPr>
              <w:t>Celkom</w:t>
            </w:r>
          </w:p>
        </w:tc>
        <w:tc>
          <w:tcPr>
            <w:tcW w:w="2315" w:type="dxa"/>
            <w:tcBorders>
              <w:top w:val="nil"/>
              <w:left w:val="nil"/>
              <w:bottom w:val="single" w:sz="4" w:space="0" w:color="auto"/>
              <w:right w:val="nil"/>
            </w:tcBorders>
            <w:shd w:val="clear" w:color="000000" w:fill="FFFFFF"/>
            <w:noWrap/>
            <w:vAlign w:val="bottom"/>
            <w:hideMark/>
          </w:tcPr>
          <w:p w14:paraId="05210E79" w14:textId="51B10C84" w:rsidR="00FD7CE3" w:rsidRPr="00FD7CE3" w:rsidRDefault="00FD7CE3" w:rsidP="00FD7CE3">
            <w:pPr>
              <w:spacing w:after="0"/>
              <w:jc w:val="right"/>
              <w:rPr>
                <w:rFonts w:eastAsia="Times New Roman" w:cs="Times New Roman"/>
                <w:color w:val="000000"/>
                <w:sz w:val="20"/>
                <w:lang w:eastAsia="sk-SK"/>
              </w:rPr>
            </w:pPr>
            <w:r w:rsidRPr="00D41517">
              <w:rPr>
                <w:color w:val="000000"/>
                <w:sz w:val="20"/>
              </w:rPr>
              <w:t>44,8</w:t>
            </w:r>
          </w:p>
        </w:tc>
        <w:tc>
          <w:tcPr>
            <w:tcW w:w="2315" w:type="dxa"/>
            <w:tcBorders>
              <w:top w:val="nil"/>
              <w:left w:val="nil"/>
              <w:bottom w:val="single" w:sz="4" w:space="0" w:color="auto"/>
              <w:right w:val="nil"/>
            </w:tcBorders>
            <w:shd w:val="clear" w:color="000000" w:fill="FFFFFF"/>
            <w:noWrap/>
            <w:vAlign w:val="bottom"/>
            <w:hideMark/>
          </w:tcPr>
          <w:p w14:paraId="6034F240" w14:textId="103A0A62" w:rsidR="00FD7CE3" w:rsidRPr="00FD7CE3" w:rsidRDefault="00FD7CE3" w:rsidP="00FD7CE3">
            <w:pPr>
              <w:spacing w:after="0"/>
              <w:jc w:val="right"/>
              <w:rPr>
                <w:rFonts w:eastAsia="Times New Roman" w:cs="Times New Roman"/>
                <w:color w:val="000000"/>
                <w:sz w:val="20"/>
                <w:lang w:eastAsia="sk-SK"/>
              </w:rPr>
            </w:pPr>
            <w:r w:rsidRPr="00D41517">
              <w:rPr>
                <w:color w:val="000000"/>
                <w:sz w:val="20"/>
              </w:rPr>
              <w:t>1,9</w:t>
            </w:r>
          </w:p>
        </w:tc>
        <w:tc>
          <w:tcPr>
            <w:tcW w:w="2315" w:type="dxa"/>
            <w:tcBorders>
              <w:top w:val="nil"/>
              <w:left w:val="nil"/>
              <w:bottom w:val="single" w:sz="4" w:space="0" w:color="auto"/>
              <w:right w:val="nil"/>
            </w:tcBorders>
            <w:shd w:val="clear" w:color="000000" w:fill="FFFFFF"/>
            <w:noWrap/>
            <w:vAlign w:val="bottom"/>
            <w:hideMark/>
          </w:tcPr>
          <w:p w14:paraId="6A3E673A" w14:textId="1DAD10B2" w:rsidR="00FD7CE3" w:rsidRPr="00FD7CE3" w:rsidRDefault="00FD7CE3" w:rsidP="00FD7CE3">
            <w:pPr>
              <w:spacing w:after="0"/>
              <w:jc w:val="right"/>
              <w:rPr>
                <w:rFonts w:eastAsia="Times New Roman" w:cs="Times New Roman"/>
                <w:color w:val="000000"/>
                <w:sz w:val="20"/>
                <w:lang w:eastAsia="sk-SK"/>
              </w:rPr>
            </w:pPr>
            <w:r w:rsidRPr="00D41517">
              <w:rPr>
                <w:color w:val="000000"/>
                <w:sz w:val="20"/>
              </w:rPr>
              <w:t>6,7</w:t>
            </w:r>
          </w:p>
        </w:tc>
      </w:tr>
      <w:tr w:rsidR="00695590" w:rsidRPr="00CA2564" w14:paraId="3C0E1733" w14:textId="77777777" w:rsidTr="00C04AAA">
        <w:trPr>
          <w:trHeight w:val="111"/>
        </w:trPr>
        <w:tc>
          <w:tcPr>
            <w:tcW w:w="9072" w:type="dxa"/>
            <w:gridSpan w:val="4"/>
            <w:tcBorders>
              <w:top w:val="single" w:sz="4" w:space="0" w:color="auto"/>
              <w:left w:val="nil"/>
              <w:bottom w:val="nil"/>
              <w:right w:val="nil"/>
            </w:tcBorders>
            <w:shd w:val="clear" w:color="auto" w:fill="auto"/>
            <w:vAlign w:val="bottom"/>
            <w:hideMark/>
          </w:tcPr>
          <w:p w14:paraId="7BC20F37" w14:textId="77777777" w:rsidR="00695590" w:rsidRPr="00CA2564" w:rsidRDefault="00695590" w:rsidP="00C04AAA">
            <w:pPr>
              <w:spacing w:after="0"/>
              <w:jc w:val="right"/>
              <w:rPr>
                <w:rFonts w:eastAsia="Times New Roman" w:cs="Times New Roman"/>
                <w:i/>
                <w:color w:val="000000"/>
                <w:sz w:val="16"/>
                <w:szCs w:val="16"/>
                <w:lang w:eastAsia="sk-SK"/>
              </w:rPr>
            </w:pPr>
            <w:r w:rsidRPr="00CA2564">
              <w:rPr>
                <w:rFonts w:eastAsia="Times New Roman" w:cs="Times New Roman"/>
                <w:i/>
                <w:color w:val="000000"/>
                <w:sz w:val="16"/>
                <w:szCs w:val="16"/>
                <w:lang w:eastAsia="sk-SK"/>
              </w:rPr>
              <w:t xml:space="preserve">Zdroj: ÚHP na základe údajov RIS MŠVVŠ, ÚPSVR, MV a ARK </w:t>
            </w:r>
          </w:p>
          <w:p w14:paraId="5ECEBBF9" w14:textId="387F4A53" w:rsidR="00695590" w:rsidRPr="00CA2564" w:rsidRDefault="002A676F" w:rsidP="002B01DB">
            <w:pPr>
              <w:spacing w:after="0"/>
              <w:jc w:val="left"/>
              <w:rPr>
                <w:rFonts w:eastAsia="Times New Roman" w:cs="Times New Roman"/>
                <w:i/>
                <w:color w:val="000000"/>
                <w:sz w:val="16"/>
                <w:szCs w:val="16"/>
                <w:lang w:eastAsia="sk-SK"/>
              </w:rPr>
            </w:pPr>
            <w:r>
              <w:rPr>
                <w:i/>
                <w:noProof/>
                <w:sz w:val="16"/>
                <w:szCs w:val="16"/>
              </w:rPr>
              <w:t xml:space="preserve">Poznámka: </w:t>
            </w:r>
            <w:r w:rsidRPr="002A676F">
              <w:rPr>
                <w:i/>
                <w:noProof/>
                <w:sz w:val="18"/>
                <w:szCs w:val="18"/>
              </w:rPr>
              <w:fldChar w:fldCharType="begin"/>
            </w:r>
            <w:r w:rsidRPr="002A676F">
              <w:rPr>
                <w:rFonts w:eastAsia="Times New Roman" w:cs="Times New Roman"/>
                <w:i/>
                <w:iCs/>
                <w:color w:val="000000"/>
                <w:sz w:val="18"/>
                <w:szCs w:val="18"/>
              </w:rPr>
              <w:instrText xml:space="preserve"> REF _Ref33439692 \h </w:instrText>
            </w:r>
            <w:r w:rsidRPr="002A676F">
              <w:rPr>
                <w:i/>
                <w:noProof/>
                <w:sz w:val="18"/>
                <w:szCs w:val="18"/>
              </w:rPr>
              <w:instrText xml:space="preserve"> \* MERGEFORMAT </w:instrText>
            </w:r>
            <w:r w:rsidRPr="002A676F">
              <w:rPr>
                <w:i/>
                <w:noProof/>
                <w:sz w:val="18"/>
                <w:szCs w:val="18"/>
              </w:rPr>
            </w:r>
            <w:r w:rsidRPr="002A676F">
              <w:rPr>
                <w:i/>
                <w:noProof/>
                <w:sz w:val="18"/>
                <w:szCs w:val="18"/>
              </w:rPr>
              <w:fldChar w:fldCharType="separate"/>
            </w:r>
            <w:r w:rsidR="00FA29AF" w:rsidRPr="00FA29AF">
              <w:rPr>
                <w:i/>
                <w:sz w:val="18"/>
                <w:szCs w:val="18"/>
              </w:rPr>
              <w:t xml:space="preserve">Box </w:t>
            </w:r>
            <w:r w:rsidR="00FA29AF" w:rsidRPr="00FA29AF">
              <w:rPr>
                <w:i/>
                <w:noProof/>
                <w:sz w:val="18"/>
                <w:szCs w:val="18"/>
              </w:rPr>
              <w:t>3</w:t>
            </w:r>
            <w:r w:rsidRPr="002A676F">
              <w:rPr>
                <w:i/>
                <w:noProof/>
                <w:sz w:val="18"/>
                <w:szCs w:val="18"/>
              </w:rPr>
              <w:fldChar w:fldCharType="end"/>
            </w:r>
            <w:r w:rsidRPr="002A676F">
              <w:rPr>
                <w:i/>
                <w:noProof/>
                <w:sz w:val="18"/>
                <w:szCs w:val="18"/>
              </w:rPr>
              <w:t xml:space="preserve"> </w:t>
            </w:r>
            <w:r w:rsidR="00695590" w:rsidRPr="00CA2564">
              <w:rPr>
                <w:i/>
                <w:noProof/>
                <w:sz w:val="16"/>
                <w:szCs w:val="16"/>
              </w:rPr>
              <w:t xml:space="preserve">pre definíciu MRK. </w:t>
            </w:r>
            <w:r w:rsidR="002B01DB" w:rsidRPr="002B01DB">
              <w:rPr>
                <w:i/>
                <w:noProof/>
                <w:sz w:val="18"/>
                <w:szCs w:val="18"/>
              </w:rPr>
              <w:fldChar w:fldCharType="begin"/>
            </w:r>
            <w:r w:rsidR="002B01DB" w:rsidRPr="002B01DB">
              <w:rPr>
                <w:i/>
                <w:noProof/>
                <w:sz w:val="18"/>
                <w:szCs w:val="18"/>
              </w:rPr>
              <w:instrText xml:space="preserve"> REF _Ref33440448 \h  \* MERGEFORMAT </w:instrText>
            </w:r>
            <w:r w:rsidR="002B01DB" w:rsidRPr="002B01DB">
              <w:rPr>
                <w:i/>
                <w:noProof/>
                <w:sz w:val="18"/>
                <w:szCs w:val="18"/>
              </w:rPr>
            </w:r>
            <w:r w:rsidR="002B01DB" w:rsidRPr="002B01DB">
              <w:rPr>
                <w:i/>
                <w:noProof/>
                <w:sz w:val="18"/>
                <w:szCs w:val="18"/>
              </w:rPr>
              <w:fldChar w:fldCharType="separate"/>
            </w:r>
            <w:r w:rsidR="00FA29AF" w:rsidRPr="00FA29AF">
              <w:rPr>
                <w:i/>
                <w:sz w:val="18"/>
                <w:szCs w:val="18"/>
              </w:rPr>
              <w:t xml:space="preserve">Box </w:t>
            </w:r>
            <w:r w:rsidR="00FA29AF" w:rsidRPr="00FA29AF">
              <w:rPr>
                <w:i/>
                <w:noProof/>
                <w:sz w:val="18"/>
                <w:szCs w:val="18"/>
              </w:rPr>
              <w:t>7</w:t>
            </w:r>
            <w:r w:rsidR="002B01DB" w:rsidRPr="002B01DB">
              <w:rPr>
                <w:i/>
                <w:noProof/>
                <w:sz w:val="18"/>
                <w:szCs w:val="18"/>
              </w:rPr>
              <w:fldChar w:fldCharType="end"/>
            </w:r>
            <w:r w:rsidR="002B01DB">
              <w:rPr>
                <w:i/>
                <w:noProof/>
                <w:sz w:val="18"/>
                <w:szCs w:val="18"/>
              </w:rPr>
              <w:t xml:space="preserve"> </w:t>
            </w:r>
            <w:r w:rsidR="00695590" w:rsidRPr="00CA2564">
              <w:rPr>
                <w:i/>
                <w:noProof/>
                <w:sz w:val="16"/>
                <w:szCs w:val="16"/>
              </w:rPr>
              <w:t>pre vysvetelenie identifikácie žiakov zo SZP v individualizovaných administratívnych údajoch.</w:t>
            </w:r>
          </w:p>
        </w:tc>
      </w:tr>
    </w:tbl>
    <w:p w14:paraId="13E3B2F3" w14:textId="3536846C" w:rsidR="00122F6F" w:rsidRPr="00CA2564" w:rsidRDefault="00122F6F" w:rsidP="00122F6F">
      <w:pPr>
        <w:spacing w:before="160"/>
        <w:rPr>
          <w:color w:val="000000"/>
        </w:rPr>
      </w:pPr>
      <w:r w:rsidRPr="00CA2564">
        <w:rPr>
          <w:b/>
          <w:color w:val="000000"/>
        </w:rPr>
        <w:t xml:space="preserve">Žiaci z MRK sú medzi žiakmi nultého ročníka zastúpení vo väčšej miere ako väčšinová populácia, a to aj po zohľadnení SZP. </w:t>
      </w:r>
      <w:r w:rsidRPr="00CA2564">
        <w:rPr>
          <w:color w:val="000000"/>
        </w:rPr>
        <w:t>Podiel 6-ročných SZP žiakov z prostredia MRK, ktorí sú v nultom ročníku, je skoro dvojnásobný oproti podielu SZP žiakov z prostredia mimo MRK v rovnakej vekovej kategórii (</w:t>
      </w:r>
      <w:r w:rsidRPr="00CA2564">
        <w:rPr>
          <w:color w:val="000000"/>
        </w:rPr>
        <w:fldChar w:fldCharType="begin"/>
      </w:r>
      <w:r w:rsidRPr="00CA2564">
        <w:rPr>
          <w:color w:val="000000"/>
        </w:rPr>
        <w:instrText xml:space="preserve"> REF _Ref530513267 \h  \* MERGEFORMAT </w:instrText>
      </w:r>
      <w:r w:rsidRPr="00CA2564">
        <w:rPr>
          <w:color w:val="000000"/>
        </w:rPr>
      </w:r>
      <w:r w:rsidRPr="00CA2564">
        <w:rPr>
          <w:color w:val="000000"/>
        </w:rPr>
        <w:fldChar w:fldCharType="separate"/>
      </w:r>
      <w:r w:rsidR="00FA29AF" w:rsidRPr="00FA29AF">
        <w:rPr>
          <w:szCs w:val="22"/>
        </w:rPr>
        <w:t xml:space="preserve">Tabuľka </w:t>
      </w:r>
      <w:r w:rsidR="00FA29AF" w:rsidRPr="00FA29AF">
        <w:rPr>
          <w:noProof/>
          <w:szCs w:val="22"/>
        </w:rPr>
        <w:t>11</w:t>
      </w:r>
      <w:r w:rsidRPr="00CA2564">
        <w:rPr>
          <w:color w:val="000000"/>
        </w:rPr>
        <w:fldChar w:fldCharType="end"/>
      </w:r>
      <w:r w:rsidRPr="00CA2564">
        <w:rPr>
          <w:color w:val="000000"/>
        </w:rPr>
        <w:t>). Podľa administratívnych údajov tvorili žiaci z MRK až 7</w:t>
      </w:r>
      <w:r w:rsidR="00C6303D">
        <w:rPr>
          <w:color w:val="000000"/>
        </w:rPr>
        <w:t>4</w:t>
      </w:r>
      <w:r w:rsidRPr="00CA2564">
        <w:rPr>
          <w:color w:val="000000"/>
        </w:rPr>
        <w:t xml:space="preserve"> % všetkých žiakov nultého ročníka v školskom roku 201</w:t>
      </w:r>
      <w:r w:rsidR="00C6303D">
        <w:rPr>
          <w:color w:val="000000"/>
        </w:rPr>
        <w:t>8</w:t>
      </w:r>
      <w:r w:rsidRPr="00CA2564">
        <w:rPr>
          <w:color w:val="000000"/>
        </w:rPr>
        <w:t>/1</w:t>
      </w:r>
      <w:r w:rsidR="00C6303D">
        <w:rPr>
          <w:color w:val="000000"/>
        </w:rPr>
        <w:t>9</w:t>
      </w:r>
      <w:r w:rsidRPr="00CA2564">
        <w:rPr>
          <w:color w:val="000000"/>
        </w:rPr>
        <w:t>.</w:t>
      </w:r>
      <w:r w:rsidRPr="00CA2564">
        <w:rPr>
          <w:rStyle w:val="Odkaznapoznmkupodiarou"/>
          <w:color w:val="000000"/>
        </w:rPr>
        <w:footnoteReference w:id="110"/>
      </w:r>
      <w:r w:rsidRPr="00CA2564">
        <w:rPr>
          <w:color w:val="000000"/>
        </w:rPr>
        <w:t xml:space="preserve"> </w:t>
      </w:r>
    </w:p>
    <w:p w14:paraId="039CCDE8" w14:textId="2D5F88BB" w:rsidR="00695590" w:rsidRDefault="00695590" w:rsidP="00695590">
      <w:pPr>
        <w:spacing w:before="160"/>
        <w:rPr>
          <w:b/>
        </w:rPr>
      </w:pPr>
      <w:r w:rsidRPr="00CA2564">
        <w:rPr>
          <w:b/>
          <w:color w:val="000000"/>
        </w:rPr>
        <w:t xml:space="preserve">Zaradenie do nultého ročníka v praxi znamená, že žiak po absolvovaní nultého ročníka zväčša pokračuje </w:t>
      </w:r>
      <w:r w:rsidRPr="00DC431D">
        <w:rPr>
          <w:b/>
          <w:color w:val="000000"/>
        </w:rPr>
        <w:t>vo vzdelávaní v triede s obdobným zložením aj vo vyšších ročníkoch.</w:t>
      </w:r>
      <w:r w:rsidRPr="00C15F4E">
        <w:rPr>
          <w:b/>
          <w:color w:val="000000"/>
        </w:rPr>
        <w:t xml:space="preserve"> </w:t>
      </w:r>
      <w:r w:rsidRPr="00DC431D">
        <w:t>Žiaci, ktorí v školskom roku 201</w:t>
      </w:r>
      <w:r w:rsidR="00BF64CC">
        <w:t>7</w:t>
      </w:r>
      <w:r w:rsidRPr="00DC431D">
        <w:t>/1</w:t>
      </w:r>
      <w:r w:rsidR="00BF64CC">
        <w:t>8</w:t>
      </w:r>
      <w:r w:rsidRPr="00DC431D">
        <w:t xml:space="preserve"> absolvovali nultý ročník a vstúpili do prvého ročníka v školskom roku 201</w:t>
      </w:r>
      <w:r w:rsidR="00BF64CC">
        <w:t>8</w:t>
      </w:r>
      <w:r w:rsidRPr="00DC431D">
        <w:t>/1</w:t>
      </w:r>
      <w:r w:rsidR="00BF64CC">
        <w:t>9</w:t>
      </w:r>
      <w:r w:rsidRPr="00DC431D">
        <w:t>, boli v triedach, kde v priemere 6</w:t>
      </w:r>
      <w:r w:rsidR="00BF64CC">
        <w:t>4</w:t>
      </w:r>
      <w:r w:rsidR="00641181">
        <w:t> </w:t>
      </w:r>
      <w:r w:rsidRPr="00DC431D">
        <w:t>% ich spolužiakov tiež absolvovalo nultý ročník v predošlom školskom roku.</w:t>
      </w:r>
      <w:r w:rsidRPr="00DC431D">
        <w:rPr>
          <w:rStyle w:val="Odkaznapoznmkupodiarou"/>
        </w:rPr>
        <w:footnoteReference w:id="111"/>
      </w:r>
      <w:r w:rsidRPr="00DC431D">
        <w:t xml:space="preserve"> Pre porovnanie, žiaci, ktorí nastúpili</w:t>
      </w:r>
      <w:r w:rsidRPr="00CA2564">
        <w:t xml:space="preserve"> rovno do prvého ročníka v škole, ktorá má nultý ročník, boli v triedach, kde v priemere iba 1</w:t>
      </w:r>
      <w:r w:rsidR="00BF64CC">
        <w:t>6</w:t>
      </w:r>
      <w:r w:rsidRPr="00CA2564">
        <w:t xml:space="preserve"> % ich spolužiakov absolvovalo nultý ročník. Dokonca aj žiaci zo SZP, ktorí nastúpili rovno do prvého ročníka, mali v priemere iba </w:t>
      </w:r>
      <w:r w:rsidR="00BF64CC">
        <w:t>30</w:t>
      </w:r>
      <w:r w:rsidRPr="00CA2564">
        <w:t> % spolužiakov, ktorí absolvovali nultý ročník. Tento jav môže súvisieť s rozdeľovaním žiakov do tried hneď pri nástupe do školy, a to buď podľa schopnosti alebo podľa sociálneho znevýhodnenia či etnicity.</w:t>
      </w:r>
      <w:r>
        <w:t xml:space="preserve"> </w:t>
      </w:r>
      <w:r w:rsidRPr="00CC285D">
        <w:rPr>
          <w:b/>
        </w:rPr>
        <w:t>Nultý ročník sa navyše považuje za prvý rok plnenia povinnej školskej dochádzky (PŠD), čo v prípade opakovania ročníka znižuje šancu ukončiť ZŠ v priebehu obdobia PŠD.</w:t>
      </w:r>
    </w:p>
    <w:p w14:paraId="3193F09C" w14:textId="77777777" w:rsidR="00695590" w:rsidRPr="00D70F03" w:rsidRDefault="00695590" w:rsidP="00695590">
      <w:pPr>
        <w:spacing w:before="160"/>
      </w:pPr>
      <w:r w:rsidRPr="00D70F03">
        <w:rPr>
          <w:b/>
          <w:bCs/>
        </w:rPr>
        <w:t>Napriek tomu, že hlavným cieľom nultého ročníka je dosiahnutie školskej zrelosti a zvládnutie vzdelávacieho programu prvého ročníka základnej školy, približne každý piaty riadny absolvent nultého ročníka prvý ročník opakuje.</w:t>
      </w:r>
      <w:r w:rsidRPr="00D70F03">
        <w:t xml:space="preserve"> Z 3 692</w:t>
      </w:r>
      <w:r w:rsidRPr="00D70F03">
        <w:rPr>
          <w:rStyle w:val="Odkaznapoznmkupodiarou"/>
        </w:rPr>
        <w:footnoteReference w:id="112"/>
      </w:r>
      <w:r w:rsidRPr="00D70F03">
        <w:t xml:space="preserve"> žiakov nultého ročníka základných škôl v školskom roku 2017/2018 až 749 žiakov (19,3 </w:t>
      </w:r>
      <w:r w:rsidRPr="00B15218">
        <w:t>%</w:t>
      </w:r>
      <w:r w:rsidRPr="00D70F03">
        <w:t>) prvý ročník v školskom roku 2019/2020 opakuje. Pre porovnanie, miera opakovania 1. ročníka všetkých žiakov bežných tried ZŠ sa pohybuje na úrovni 5 % až 6 %. Pre veľkú časť žiakov teda nultý ročník nesplnil svoj účel.</w:t>
      </w:r>
    </w:p>
    <w:p w14:paraId="13825469" w14:textId="7380B6C7" w:rsidR="00695590" w:rsidRDefault="00695590" w:rsidP="00695590">
      <w:pPr>
        <w:spacing w:before="160"/>
      </w:pPr>
      <w:r w:rsidRPr="00D70F03">
        <w:rPr>
          <w:b/>
          <w:bCs/>
        </w:rPr>
        <w:t>Žiaci, ktorí absolvovali nultý ročník</w:t>
      </w:r>
      <w:r w:rsidR="007475A3">
        <w:rPr>
          <w:b/>
          <w:bCs/>
        </w:rPr>
        <w:t>,</w:t>
      </w:r>
      <w:r w:rsidRPr="00D70F03">
        <w:rPr>
          <w:b/>
          <w:bCs/>
        </w:rPr>
        <w:t xml:space="preserve"> v 4. ročníku </w:t>
      </w:r>
      <w:r w:rsidR="007475A3" w:rsidRPr="00D70F03">
        <w:rPr>
          <w:b/>
          <w:bCs/>
        </w:rPr>
        <w:t xml:space="preserve">navyše </w:t>
      </w:r>
      <w:r w:rsidRPr="00D70F03">
        <w:rPr>
          <w:b/>
          <w:bCs/>
        </w:rPr>
        <w:t>dosahujú výrazne nižšiu úroveň čitateľskej gramotnosti ako žiaci, ktorí nastúpili do prvého ročníka.</w:t>
      </w:r>
      <w:r w:rsidRPr="00D70F03">
        <w:t xml:space="preserve"> </w:t>
      </w:r>
      <w:r w:rsidR="00B24660">
        <w:t>Vyplýva</w:t>
      </w:r>
      <w:r w:rsidRPr="00D70F03">
        <w:t xml:space="preserve"> to z údajov PIRLS 2016, ktoré merajú čitateľskú gramotnosť na reprezentatívnej vzorke žiakov 4. ročníka. Žiaci, ktorí absolvovali nultý ročník, dosahujú v tomto testovaní v priemere o 29 bodov nižšiu úroveň čitateľskej gramotnosti po zohľadnení socioekonomického zázemia žiakov oproti žiakom, ktorí nultý ročník neabsolvovali.</w:t>
      </w:r>
      <w:r w:rsidRPr="00D70F03">
        <w:rPr>
          <w:rStyle w:val="Odkaznapoznmkupodiarou"/>
        </w:rPr>
        <w:footnoteReference w:id="113"/>
      </w:r>
      <w:r w:rsidRPr="00D70F03">
        <w:t xml:space="preserve"> </w:t>
      </w:r>
    </w:p>
    <w:p w14:paraId="09ECFB6B" w14:textId="58C4AAB5" w:rsidR="00695590" w:rsidRDefault="00695590" w:rsidP="00695590">
      <w:pPr>
        <w:spacing w:before="160"/>
      </w:pPr>
      <w:r>
        <w:t xml:space="preserve">Z uvedených skutočností </w:t>
      </w:r>
      <w:r w:rsidR="00B24660">
        <w:t>vyplýva</w:t>
      </w:r>
      <w:r>
        <w:t xml:space="preserve">, že </w:t>
      </w:r>
      <w:r w:rsidRPr="0046488A">
        <w:t>rušenie nultého ročníka v súvislosti so zavedením povinného predprimárneho vzdelávania pre deti v predškolskom</w:t>
      </w:r>
      <w:r w:rsidR="000319F8">
        <w:t xml:space="preserve"> veku od školského roku 202</w:t>
      </w:r>
      <w:r w:rsidR="00490097">
        <w:t>2</w:t>
      </w:r>
      <w:r w:rsidR="000319F8">
        <w:t>/2</w:t>
      </w:r>
      <w:r w:rsidR="00490097">
        <w:t>3</w:t>
      </w:r>
      <w:r w:rsidRPr="0046488A">
        <w:rPr>
          <w:rStyle w:val="Odkaznapoznmkupodiarou"/>
        </w:rPr>
        <w:footnoteReference w:id="114"/>
      </w:r>
      <w:r w:rsidRPr="0046488A">
        <w:t xml:space="preserve"> možno hodnotiť pozitívne. </w:t>
      </w:r>
      <w:r>
        <w:t>Úspory by mali byť použité na podporu vytvárania inkluzívneho prostredia v materských školách (</w:t>
      </w:r>
      <w:r w:rsidRPr="00443FB0">
        <w:t xml:space="preserve">podkapitola </w:t>
      </w:r>
      <w:r w:rsidR="00443FB0">
        <w:fldChar w:fldCharType="begin"/>
      </w:r>
      <w:r w:rsidR="00443FB0">
        <w:instrText xml:space="preserve"> REF _Ref25657971 \r \h </w:instrText>
      </w:r>
      <w:r w:rsidR="00443FB0">
        <w:fldChar w:fldCharType="separate"/>
      </w:r>
      <w:r w:rsidR="00FA29AF">
        <w:t>5.1</w:t>
      </w:r>
      <w:r w:rsidR="00443FB0">
        <w:fldChar w:fldCharType="end"/>
      </w:r>
      <w:r>
        <w:t xml:space="preserve">). </w:t>
      </w:r>
    </w:p>
    <w:p w14:paraId="6375DEFB" w14:textId="77777777" w:rsidR="00695590" w:rsidRPr="00974D9F" w:rsidRDefault="00695590" w:rsidP="00695590">
      <w:pPr>
        <w:spacing w:before="160"/>
        <w:rPr>
          <w:b/>
          <w:color w:val="0070C0"/>
          <w:u w:val="single"/>
        </w:rPr>
      </w:pPr>
      <w:r w:rsidRPr="00974D9F">
        <w:rPr>
          <w:b/>
          <w:u w:val="single"/>
        </w:rPr>
        <w:t>Príspevok na skvalitnenie podmienok výchovy a vzdelávania žiakov zo SZP</w:t>
      </w:r>
    </w:p>
    <w:p w14:paraId="3BF83C58" w14:textId="6BB115D4" w:rsidR="00695590" w:rsidRPr="00DD74D4" w:rsidRDefault="00695590" w:rsidP="00695590">
      <w:pPr>
        <w:spacing w:before="160"/>
      </w:pPr>
      <w:r w:rsidRPr="00CA2564">
        <w:rPr>
          <w:b/>
        </w:rPr>
        <w:t xml:space="preserve">Príspevok </w:t>
      </w:r>
      <w:r w:rsidRPr="00FF679A">
        <w:rPr>
          <w:b/>
        </w:rPr>
        <w:t>na skvalitnenie podmienok výchovy a vzdelávanie žiakov zo SZP (SZP príspevok)</w:t>
      </w:r>
      <w:r>
        <w:rPr>
          <w:b/>
        </w:rPr>
        <w:t xml:space="preserve"> </w:t>
      </w:r>
      <w:r w:rsidRPr="00CA2564">
        <w:rPr>
          <w:b/>
        </w:rPr>
        <w:t>môžu základné školy</w:t>
      </w:r>
      <w:r w:rsidRPr="00CA2564">
        <w:rPr>
          <w:rStyle w:val="Odkaznapoznmkupodiarou"/>
          <w:b/>
        </w:rPr>
        <w:footnoteReference w:id="115"/>
      </w:r>
      <w:r w:rsidRPr="00CA2564">
        <w:rPr>
          <w:b/>
        </w:rPr>
        <w:t xml:space="preserve"> využiť na šesť rôznych účelov.</w:t>
      </w:r>
      <w:r w:rsidRPr="00CA2564">
        <w:t xml:space="preserve"> Tie by sa dali zjednodušene kategorizovať ako materiálne (nákup didaktickej techniky a učebných pomôcok; nákup prostriedkov na zabránenie prenosu nákazy prenosného ochorenia)</w:t>
      </w:r>
      <w:r>
        <w:rPr>
          <w:rStyle w:val="Odkaznapoznmkupodiarou"/>
        </w:rPr>
        <w:footnoteReference w:id="116"/>
      </w:r>
      <w:r w:rsidRPr="00CA2564">
        <w:t xml:space="preserve"> a nemateriálne (úhrada </w:t>
      </w:r>
      <w:r w:rsidRPr="00DD74D4">
        <w:t>nákladov na asistenta učiteľa alebo sociálneho pedagóga</w:t>
      </w:r>
      <w:r w:rsidRPr="00DD74D4">
        <w:rPr>
          <w:rStyle w:val="Odkaznapoznmkupodiarou"/>
        </w:rPr>
        <w:footnoteReference w:id="117"/>
      </w:r>
      <w:r w:rsidRPr="00DD74D4">
        <w:t xml:space="preserve">; príplatok za prácu so žiakmi zo SZP; výchova a vzdelávanie žiakov v špecializovaných triedach; financovanie účasti žiakov na vzdelávacích aktivitách). Využívanie príspevku je naviazané na dva výstupové ciele: použiť aspoň 50 % príspevku na asistenta učiteľa alebo sociálneho pedagóga, ak škola vzdeláva viac ako </w:t>
      </w:r>
      <w:r w:rsidR="00421E5E">
        <w:t>50</w:t>
      </w:r>
      <w:r w:rsidRPr="00DD74D4">
        <w:t xml:space="preserve"> žiakov zo SZP</w:t>
      </w:r>
      <w:r>
        <w:rPr>
          <w:rStyle w:val="Odkaznapoznmkupodiarou"/>
        </w:rPr>
        <w:footnoteReference w:id="118"/>
      </w:r>
      <w:r w:rsidRPr="00DD74D4">
        <w:t xml:space="preserve"> a vyplatiť učiteľovi príplatok, </w:t>
      </w:r>
      <w:r>
        <w:t>ktorý</w:t>
      </w:r>
      <w:r w:rsidRPr="00DD74D4">
        <w:t xml:space="preserve"> vyučuje v triede, kde je najmenej 30 % žiakov </w:t>
      </w:r>
      <w:r w:rsidRPr="0046488A">
        <w:t>zo SZP alebo so zdravotným znevýhodnením</w:t>
      </w:r>
      <w:r w:rsidRPr="00DD74D4">
        <w:t>.</w:t>
      </w:r>
    </w:p>
    <w:p w14:paraId="3D2FCACB" w14:textId="5AAF14EC" w:rsidR="00695590" w:rsidRDefault="00695590" w:rsidP="00E910DE">
      <w:pPr>
        <w:rPr>
          <w:bCs/>
        </w:rPr>
      </w:pPr>
      <w:r w:rsidRPr="00E910DE">
        <w:rPr>
          <w:b/>
        </w:rPr>
        <w:t>V roku 2018 predstavovali výdavky na SZP príspevok takmer 6,2 milióna eur. Výška príspevku na jedného žiaka mala hodnotu 150 eur a príspevok bol vyplatený na 41 149 žiakov.</w:t>
      </w:r>
      <w:r w:rsidRPr="00FF679A">
        <w:t xml:space="preserve"> </w:t>
      </w:r>
      <w:r w:rsidRPr="0046488A">
        <w:t>Zo SZP príspevku bolo financovaných 257 úväzkov podporných pracovníkov, približne tri štvrtiny tvorili pedagogickí asistenti a jednu štvrtinu sociálni pedagógovia.</w:t>
      </w:r>
      <w:r w:rsidRPr="0046488A">
        <w:rPr>
          <w:rStyle w:val="Odkaznapoznmkupodiarou"/>
        </w:rPr>
        <w:footnoteReference w:id="119"/>
      </w:r>
      <w:r w:rsidRPr="0046488A">
        <w:t xml:space="preserve"> Na jedného podporného pracovníka pripadalo v priemere 160 žiakov zo SZP. </w:t>
      </w:r>
      <w:r>
        <w:t>Doposiaľ nebola uskutočnená e</w:t>
      </w:r>
      <w:r w:rsidRPr="0046488A">
        <w:t>valuácia využívania SZP príspevku a dopadu pôsobenia podporných pracovníkov na vzdelávanie žiakov zo SZP.</w:t>
      </w:r>
    </w:p>
    <w:p w14:paraId="6D83AAE1" w14:textId="25617A31" w:rsidR="00695590" w:rsidRPr="00500CD1" w:rsidRDefault="00695590" w:rsidP="00E910DE">
      <w:pPr>
        <w:rPr>
          <w:bCs/>
        </w:rPr>
      </w:pPr>
      <w:r w:rsidRPr="00452DBC">
        <w:rPr>
          <w:b/>
          <w:bCs/>
        </w:rPr>
        <w:t>Kritéria pre vznik nároku na príspevok sa v posledných rokoch viackrát zmenili (</w:t>
      </w:r>
      <w:r w:rsidR="00D70F03" w:rsidRPr="00452DBC">
        <w:rPr>
          <w:b/>
          <w:bCs/>
        </w:rPr>
        <w:fldChar w:fldCharType="begin"/>
      </w:r>
      <w:r w:rsidR="00D70F03" w:rsidRPr="00452DBC">
        <w:rPr>
          <w:b/>
          <w:bCs/>
        </w:rPr>
        <w:instrText xml:space="preserve"> REF _Ref24487089 \h  \* MERGEFORMAT </w:instrText>
      </w:r>
      <w:r w:rsidR="00D70F03" w:rsidRPr="00452DBC">
        <w:rPr>
          <w:b/>
          <w:bCs/>
        </w:rPr>
      </w:r>
      <w:r w:rsidR="00D70F03" w:rsidRPr="00452DBC">
        <w:rPr>
          <w:b/>
          <w:bCs/>
        </w:rPr>
        <w:fldChar w:fldCharType="separate"/>
      </w:r>
      <w:r w:rsidR="00FA29AF" w:rsidRPr="00FA29AF">
        <w:rPr>
          <w:b/>
          <w:bCs/>
        </w:rPr>
        <w:t xml:space="preserve">Box </w:t>
      </w:r>
      <w:r w:rsidR="00FA29AF" w:rsidRPr="00FA29AF">
        <w:rPr>
          <w:b/>
          <w:bCs/>
          <w:noProof/>
        </w:rPr>
        <w:t>8</w:t>
      </w:r>
      <w:r w:rsidR="00D70F03" w:rsidRPr="00452DBC">
        <w:rPr>
          <w:b/>
          <w:bCs/>
        </w:rPr>
        <w:fldChar w:fldCharType="end"/>
      </w:r>
      <w:r w:rsidRPr="00452DBC">
        <w:rPr>
          <w:b/>
          <w:bCs/>
        </w:rPr>
        <w:t>) a</w:t>
      </w:r>
      <w:r w:rsidR="003A6F6E" w:rsidRPr="00452DBC">
        <w:rPr>
          <w:b/>
          <w:bCs/>
        </w:rPr>
        <w:t xml:space="preserve"> v roku 2018 príspevok pokrýval odhadom iba </w:t>
      </w:r>
      <w:r w:rsidR="003A6F6E" w:rsidRPr="003A6F6E">
        <w:rPr>
          <w:b/>
        </w:rPr>
        <w:t>okolo 39 % žiakov ohrozených chudobou alebo sociá</w:t>
      </w:r>
      <w:r w:rsidR="003A6F6E">
        <w:rPr>
          <w:b/>
        </w:rPr>
        <w:t>lnym vylúčením.</w:t>
      </w:r>
      <w:r w:rsidRPr="00D70F03">
        <w:rPr>
          <w:bCs/>
        </w:rPr>
        <w:t> </w:t>
      </w:r>
      <w:r w:rsidR="003A6F6E">
        <w:rPr>
          <w:bCs/>
        </w:rPr>
        <w:t xml:space="preserve">Aktuálne </w:t>
      </w:r>
      <w:r w:rsidRPr="00D70F03">
        <w:rPr>
          <w:bCs/>
        </w:rPr>
        <w:t xml:space="preserve">sú </w:t>
      </w:r>
      <w:r w:rsidR="00B87881">
        <w:rPr>
          <w:bCs/>
        </w:rPr>
        <w:t>kritériá</w:t>
      </w:r>
      <w:r w:rsidR="003A6F6E">
        <w:rPr>
          <w:bCs/>
        </w:rPr>
        <w:t xml:space="preserve"> </w:t>
      </w:r>
      <w:r w:rsidRPr="00D70F03">
        <w:rPr>
          <w:bCs/>
        </w:rPr>
        <w:t xml:space="preserve">naviazané na príjem rodiny žiaka (poberanie PHN) alebo na diagnózu vzdelávacích potrieb </w:t>
      </w:r>
      <w:r w:rsidR="00B24660">
        <w:rPr>
          <w:bCs/>
        </w:rPr>
        <w:t>vyplýva</w:t>
      </w:r>
      <w:r w:rsidRPr="00D70F03">
        <w:rPr>
          <w:bCs/>
        </w:rPr>
        <w:t>júcich z vývinu v</w:t>
      </w:r>
      <w:r>
        <w:t> </w:t>
      </w:r>
      <w:r w:rsidRPr="00CA2564">
        <w:t>SZP</w:t>
      </w:r>
      <w:r>
        <w:t>.</w:t>
      </w:r>
      <w:r>
        <w:rPr>
          <w:rStyle w:val="Odkaznapoznmkupodiarou"/>
        </w:rPr>
        <w:footnoteReference w:id="120"/>
      </w:r>
      <w:r w:rsidRPr="00500CD1">
        <w:rPr>
          <w:bCs/>
        </w:rPr>
        <w:t xml:space="preserve"> Obe kritériá sa však javia byť nedostatočné</w:t>
      </w:r>
      <w:r>
        <w:rPr>
          <w:bCs/>
        </w:rPr>
        <w:t>, p</w:t>
      </w:r>
      <w:r w:rsidRPr="00500CD1">
        <w:rPr>
          <w:bCs/>
        </w:rPr>
        <w:t xml:space="preserve">rvé z dôvodu, že </w:t>
      </w:r>
      <w:r>
        <w:rPr>
          <w:bCs/>
        </w:rPr>
        <w:t xml:space="preserve">pomoc v hmotnej núdzi je veľmi nízka a počet prijímateľov časom klesá </w:t>
      </w:r>
      <w:r w:rsidRPr="00500CD1">
        <w:rPr>
          <w:bCs/>
        </w:rPr>
        <w:t>(</w:t>
      </w:r>
      <w:r>
        <w:rPr>
          <w:bCs/>
        </w:rPr>
        <w:t>p</w:t>
      </w:r>
      <w:r w:rsidRPr="00500CD1">
        <w:rPr>
          <w:bCs/>
        </w:rPr>
        <w:t xml:space="preserve">odkapitola </w:t>
      </w:r>
      <w:r w:rsidR="002B4036">
        <w:rPr>
          <w:bCs/>
        </w:rPr>
        <w:fldChar w:fldCharType="begin"/>
      </w:r>
      <w:r w:rsidR="002B4036">
        <w:rPr>
          <w:bCs/>
        </w:rPr>
        <w:instrText xml:space="preserve"> REF _Ref25585786 \r \h </w:instrText>
      </w:r>
      <w:r w:rsidR="002B4036">
        <w:rPr>
          <w:bCs/>
        </w:rPr>
      </w:r>
      <w:r w:rsidR="002B4036">
        <w:rPr>
          <w:bCs/>
        </w:rPr>
        <w:fldChar w:fldCharType="separate"/>
      </w:r>
      <w:r w:rsidR="00FA29AF">
        <w:rPr>
          <w:bCs/>
        </w:rPr>
        <w:t>8.1</w:t>
      </w:r>
      <w:r w:rsidR="002B4036">
        <w:rPr>
          <w:bCs/>
        </w:rPr>
        <w:fldChar w:fldCharType="end"/>
      </w:r>
      <w:r w:rsidRPr="00500CD1">
        <w:rPr>
          <w:bCs/>
        </w:rPr>
        <w:t>) a druhé z dôvodu, že poradenské zariadenia nemajú dostatočné kapacity pre posúdenie vzdelávacích potrieb všetkých žiakov (CVEK, 2018</w:t>
      </w:r>
      <w:r w:rsidR="00984B1C">
        <w:rPr>
          <w:bCs/>
        </w:rPr>
        <w:t>a</w:t>
      </w:r>
      <w:r w:rsidRPr="00500CD1">
        <w:rPr>
          <w:bCs/>
        </w:rPr>
        <w:t xml:space="preserve">). </w:t>
      </w:r>
    </w:p>
    <w:p w14:paraId="6505F95E" w14:textId="5D768451" w:rsidR="00721C6E" w:rsidRDefault="00695590" w:rsidP="00695590">
      <w:pPr>
        <w:spacing w:before="160"/>
        <w:rPr>
          <w:bCs/>
          <w:szCs w:val="22"/>
        </w:rPr>
      </w:pPr>
      <w:r w:rsidRPr="00500CD1">
        <w:rPr>
          <w:b/>
        </w:rPr>
        <w:t>Podpora prostredníctvom SZP príspevku nepostačuje na pokrytie stanovených personálnych a materiálnych výdavkov</w:t>
      </w:r>
      <w:r>
        <w:rPr>
          <w:b/>
        </w:rPr>
        <w:t xml:space="preserve">. </w:t>
      </w:r>
      <w:r w:rsidRPr="00500CD1">
        <w:t>Ak školy použi</w:t>
      </w:r>
      <w:r>
        <w:t>li</w:t>
      </w:r>
      <w:r w:rsidRPr="00500CD1">
        <w:t xml:space="preserve"> v súlade so zákonom stanovenou hranicou polovicu prostriedkov určených na </w:t>
      </w:r>
      <w:r>
        <w:t>100</w:t>
      </w:r>
      <w:r w:rsidRPr="00500CD1">
        <w:t xml:space="preserve"> žiakov zo SZP na pedagogického asistenta, </w:t>
      </w:r>
      <w:r>
        <w:t>boli</w:t>
      </w:r>
      <w:r w:rsidRPr="00500CD1">
        <w:t xml:space="preserve"> schopné zafinancovať iba polovicu jeho úväzku. Ak by chceli zamestnať pedagogického asistenta na celý úväzok, museli by na neho použiť všetky zdroje alokované na </w:t>
      </w:r>
      <w:r>
        <w:t>100</w:t>
      </w:r>
      <w:r w:rsidRPr="00500CD1">
        <w:t xml:space="preserve"> žiakov zo SZP a na ostatné výdavky by im už žiadne zdroje nezostali</w:t>
      </w:r>
      <w:r>
        <w:t xml:space="preserve"> (</w:t>
      </w:r>
      <w:r w:rsidR="00D70F03" w:rsidRPr="00D70F03">
        <w:rPr>
          <w:bCs/>
        </w:rPr>
        <w:fldChar w:fldCharType="begin"/>
      </w:r>
      <w:r w:rsidR="00D70F03" w:rsidRPr="00D70F03">
        <w:rPr>
          <w:bCs/>
        </w:rPr>
        <w:instrText xml:space="preserve"> REF _Ref24487155 \h  \* MERGEFORMAT </w:instrText>
      </w:r>
      <w:r w:rsidR="00D70F03" w:rsidRPr="00D70F03">
        <w:rPr>
          <w:bCs/>
        </w:rPr>
      </w:r>
      <w:r w:rsidR="00D70F03" w:rsidRPr="00D70F03">
        <w:rPr>
          <w:bCs/>
        </w:rPr>
        <w:fldChar w:fldCharType="separate"/>
      </w:r>
      <w:r w:rsidR="00FA29AF" w:rsidRPr="00FA29AF">
        <w:rPr>
          <w:bCs/>
        </w:rPr>
        <w:t xml:space="preserve">Tabuľka </w:t>
      </w:r>
      <w:r w:rsidR="00FA29AF" w:rsidRPr="00FA29AF">
        <w:rPr>
          <w:bCs/>
          <w:noProof/>
        </w:rPr>
        <w:t>12</w:t>
      </w:r>
      <w:r w:rsidR="00D70F03" w:rsidRPr="00D70F03">
        <w:rPr>
          <w:bCs/>
        </w:rPr>
        <w:fldChar w:fldCharType="end"/>
      </w:r>
      <w:r>
        <w:t>)</w:t>
      </w:r>
      <w:r w:rsidRPr="00500CD1">
        <w:t xml:space="preserve">. </w:t>
      </w:r>
      <w:r>
        <w:t>Od roku 2018 sa hranica na použitie polovice príspevku znížila na počet viac ako 85 žiakov. P</w:t>
      </w:r>
      <w:r w:rsidRPr="00500CD1">
        <w:t>latí</w:t>
      </w:r>
      <w:r>
        <w:t xml:space="preserve"> však</w:t>
      </w:r>
      <w:r w:rsidRPr="00500CD1">
        <w:t xml:space="preserve">, že viac ako 85 žiakov zo SZP sa v súčasnosti vzdeláva iba na </w:t>
      </w:r>
      <w:r w:rsidRPr="00500CD1">
        <w:rPr>
          <w:bCs/>
          <w:szCs w:val="22"/>
        </w:rPr>
        <w:t xml:space="preserve">7 % zo všetkých škôl, ktoré vzdelávajú aspoň jedného žiaka zo SZP. </w:t>
      </w:r>
    </w:p>
    <w:p w14:paraId="7DBA6A91" w14:textId="63714E0F" w:rsidR="006D483D" w:rsidRDefault="003A6F6E" w:rsidP="00695590">
      <w:pPr>
        <w:spacing w:before="160"/>
        <w:rPr>
          <w:szCs w:val="22"/>
        </w:rPr>
      </w:pPr>
      <w:r w:rsidRPr="00E910DE">
        <w:rPr>
          <w:b/>
        </w:rPr>
        <w:t xml:space="preserve">Podpora prostredníctvom SZP príspevku je </w:t>
      </w:r>
      <w:r>
        <w:rPr>
          <w:b/>
        </w:rPr>
        <w:t xml:space="preserve">tiež </w:t>
      </w:r>
      <w:r w:rsidRPr="00E910DE">
        <w:rPr>
          <w:b/>
        </w:rPr>
        <w:t>nestabilná z dôvodu arbitrárne sa meniaceho objemu celkových zdrojov a meniacej sa definície SZP.</w:t>
      </w:r>
      <w:r w:rsidRPr="00500CD1">
        <w:t xml:space="preserve"> </w:t>
      </w:r>
      <w:r w:rsidRPr="00500CD1">
        <w:rPr>
          <w:bCs/>
        </w:rPr>
        <w:t>Objem zdrojov vyčlenených na podporu žiakov zo SZP v rokoch 2012</w:t>
      </w:r>
      <w:r>
        <w:rPr>
          <w:bCs/>
        </w:rPr>
        <w:t xml:space="preserve"> – 20</w:t>
      </w:r>
      <w:r w:rsidRPr="00500CD1">
        <w:rPr>
          <w:bCs/>
        </w:rPr>
        <w:t xml:space="preserve">18 nekopíroval </w:t>
      </w:r>
      <w:r>
        <w:rPr>
          <w:bCs/>
        </w:rPr>
        <w:t xml:space="preserve">meniaci </w:t>
      </w:r>
      <w:r w:rsidRPr="00500CD1">
        <w:rPr>
          <w:bCs/>
        </w:rPr>
        <w:t xml:space="preserve">sa počet žiakov zo </w:t>
      </w:r>
      <w:r w:rsidRPr="00D70F03">
        <w:rPr>
          <w:bCs/>
        </w:rPr>
        <w:t>SZP (</w:t>
      </w:r>
      <w:r w:rsidRPr="00D70F03">
        <w:rPr>
          <w:bCs/>
        </w:rPr>
        <w:fldChar w:fldCharType="begin"/>
      </w:r>
      <w:r w:rsidRPr="00D70F03">
        <w:rPr>
          <w:bCs/>
        </w:rPr>
        <w:instrText xml:space="preserve"> REF _Ref24487155 \h  \* MERGEFORMAT </w:instrText>
      </w:r>
      <w:r w:rsidRPr="00D70F03">
        <w:rPr>
          <w:bCs/>
        </w:rPr>
      </w:r>
      <w:r w:rsidRPr="00D70F03">
        <w:rPr>
          <w:bCs/>
        </w:rPr>
        <w:fldChar w:fldCharType="separate"/>
      </w:r>
      <w:r w:rsidR="00FA29AF" w:rsidRPr="00FA29AF">
        <w:rPr>
          <w:bCs/>
        </w:rPr>
        <w:t xml:space="preserve">Tabuľka </w:t>
      </w:r>
      <w:r w:rsidR="00FA29AF" w:rsidRPr="00FA29AF">
        <w:rPr>
          <w:bCs/>
          <w:noProof/>
        </w:rPr>
        <w:t>12</w:t>
      </w:r>
      <w:r w:rsidRPr="00D70F03">
        <w:rPr>
          <w:bCs/>
        </w:rPr>
        <w:fldChar w:fldCharType="end"/>
      </w:r>
      <w:r w:rsidRPr="00D70F03">
        <w:rPr>
          <w:bCs/>
        </w:rPr>
        <w:t xml:space="preserve">). </w:t>
      </w:r>
      <w:r>
        <w:rPr>
          <w:szCs w:val="22"/>
        </w:rPr>
        <w:t>Možnosti</w:t>
      </w:r>
      <w:r w:rsidR="00695590" w:rsidRPr="00500CD1">
        <w:rPr>
          <w:szCs w:val="22"/>
        </w:rPr>
        <w:t xml:space="preserve"> škôl zafinancovať úväzky pedagogických asistentov </w:t>
      </w:r>
      <w:r>
        <w:rPr>
          <w:szCs w:val="22"/>
        </w:rPr>
        <w:t>sa v čase výrazne menia</w:t>
      </w:r>
      <w:r w:rsidR="00695590" w:rsidRPr="00500CD1">
        <w:rPr>
          <w:szCs w:val="22"/>
        </w:rPr>
        <w:t>.</w:t>
      </w:r>
      <w:r w:rsidR="00695590" w:rsidRPr="00500CD1">
        <w:rPr>
          <w:bCs/>
          <w:szCs w:val="22"/>
        </w:rPr>
        <w:t xml:space="preserve"> </w:t>
      </w:r>
      <w:r w:rsidR="00695590" w:rsidRPr="00500CD1">
        <w:rPr>
          <w:szCs w:val="22"/>
        </w:rPr>
        <w:t>Kým v roku 2012 dokázali školy v súlade so zákonom z polovice zdrojov na 100 žiakov zo SZP pokryť výdavky na viac ako polovicu úväzku jedného podporného pracovníka, v roku 2016 dokázala polovica zdrojov na 100 žiakov zo SZP pokryť len niečo viac ako tretinu úväzku jedného podporného pracovníka. Od roku 2012 sa počet podporných pracovníkov hradených zo SZP príspevku znížil o 78 (</w:t>
      </w:r>
      <w:r w:rsidR="00D70F03" w:rsidRPr="00D70F03">
        <w:rPr>
          <w:bCs/>
        </w:rPr>
        <w:fldChar w:fldCharType="begin"/>
      </w:r>
      <w:r w:rsidR="00D70F03" w:rsidRPr="00D70F03">
        <w:rPr>
          <w:bCs/>
        </w:rPr>
        <w:instrText xml:space="preserve"> REF _Ref24487155 \h  \* MERGEFORMAT </w:instrText>
      </w:r>
      <w:r w:rsidR="00D70F03" w:rsidRPr="00D70F03">
        <w:rPr>
          <w:bCs/>
        </w:rPr>
      </w:r>
      <w:r w:rsidR="00D70F03" w:rsidRPr="00D70F03">
        <w:rPr>
          <w:bCs/>
        </w:rPr>
        <w:fldChar w:fldCharType="separate"/>
      </w:r>
      <w:r w:rsidR="00FA29AF" w:rsidRPr="00FA29AF">
        <w:rPr>
          <w:bCs/>
        </w:rPr>
        <w:t xml:space="preserve">Tabuľka </w:t>
      </w:r>
      <w:r w:rsidR="00FA29AF" w:rsidRPr="00FA29AF">
        <w:rPr>
          <w:bCs/>
          <w:noProof/>
        </w:rPr>
        <w:t>12</w:t>
      </w:r>
      <w:r w:rsidR="00D70F03" w:rsidRPr="00D70F03">
        <w:rPr>
          <w:bCs/>
        </w:rPr>
        <w:fldChar w:fldCharType="end"/>
      </w:r>
      <w:r w:rsidR="00695590" w:rsidRPr="00500CD1">
        <w:rPr>
          <w:szCs w:val="22"/>
        </w:rPr>
        <w:t xml:space="preserve">). </w:t>
      </w:r>
    </w:p>
    <w:p w14:paraId="6FF112FC" w14:textId="25337D29" w:rsidR="00695590" w:rsidRPr="0045503A" w:rsidRDefault="00D70F03" w:rsidP="00D70F03">
      <w:pPr>
        <w:spacing w:before="160" w:after="0"/>
        <w:jc w:val="left"/>
        <w:rPr>
          <w:b/>
          <w:bCs/>
          <w:sz w:val="20"/>
        </w:rPr>
      </w:pPr>
      <w:bookmarkStart w:id="343" w:name="_Ref24487155"/>
      <w:bookmarkStart w:id="344" w:name="_Toc34156851"/>
      <w:r w:rsidRPr="0045503A">
        <w:rPr>
          <w:b/>
          <w:bCs/>
          <w:sz w:val="20"/>
        </w:rPr>
        <w:t xml:space="preserve">Tabuľka </w:t>
      </w:r>
      <w:r w:rsidRPr="0045503A">
        <w:rPr>
          <w:b/>
          <w:bCs/>
          <w:noProof/>
          <w:sz w:val="20"/>
        </w:rPr>
        <w:fldChar w:fldCharType="begin"/>
      </w:r>
      <w:r w:rsidRPr="0045503A">
        <w:rPr>
          <w:b/>
          <w:bCs/>
          <w:noProof/>
          <w:sz w:val="20"/>
        </w:rPr>
        <w:instrText xml:space="preserve"> SEQ Tabuľka \* ARABIC </w:instrText>
      </w:r>
      <w:r w:rsidRPr="0045503A">
        <w:rPr>
          <w:b/>
          <w:bCs/>
          <w:noProof/>
          <w:sz w:val="20"/>
        </w:rPr>
        <w:fldChar w:fldCharType="separate"/>
      </w:r>
      <w:r w:rsidR="00FA29AF">
        <w:rPr>
          <w:b/>
          <w:bCs/>
          <w:noProof/>
          <w:sz w:val="20"/>
        </w:rPr>
        <w:t>12</w:t>
      </w:r>
      <w:r w:rsidRPr="0045503A">
        <w:rPr>
          <w:b/>
          <w:bCs/>
          <w:noProof/>
          <w:sz w:val="20"/>
        </w:rPr>
        <w:fldChar w:fldCharType="end"/>
      </w:r>
      <w:bookmarkEnd w:id="343"/>
      <w:r w:rsidRPr="0045503A">
        <w:rPr>
          <w:b/>
          <w:bCs/>
          <w:sz w:val="20"/>
        </w:rPr>
        <w:t xml:space="preserve">: </w:t>
      </w:r>
      <w:r w:rsidR="00695590" w:rsidRPr="0045503A">
        <w:rPr>
          <w:b/>
          <w:bCs/>
          <w:sz w:val="20"/>
        </w:rPr>
        <w:t>Vývoj SZP príspevku</w:t>
      </w:r>
      <w:bookmarkEnd w:id="344"/>
    </w:p>
    <w:tbl>
      <w:tblPr>
        <w:tblW w:w="9062" w:type="dxa"/>
        <w:tblLayout w:type="fixed"/>
        <w:tblLook w:val="04A0" w:firstRow="1" w:lastRow="0" w:firstColumn="1" w:lastColumn="0" w:noHBand="0" w:noVBand="1"/>
      </w:tblPr>
      <w:tblGrid>
        <w:gridCol w:w="3987"/>
        <w:gridCol w:w="725"/>
        <w:gridCol w:w="725"/>
        <w:gridCol w:w="725"/>
        <w:gridCol w:w="725"/>
        <w:gridCol w:w="725"/>
        <w:gridCol w:w="725"/>
        <w:gridCol w:w="725"/>
      </w:tblGrid>
      <w:tr w:rsidR="00695590" w:rsidRPr="00500CD1" w14:paraId="49FDF3A9" w14:textId="77777777" w:rsidTr="00B36ECF">
        <w:trPr>
          <w:trHeight w:val="300"/>
        </w:trPr>
        <w:tc>
          <w:tcPr>
            <w:tcW w:w="3738" w:type="dxa"/>
            <w:tcBorders>
              <w:top w:val="single" w:sz="4" w:space="0" w:color="auto"/>
              <w:bottom w:val="single" w:sz="4" w:space="0" w:color="auto"/>
            </w:tcBorders>
            <w:noWrap/>
            <w:vAlign w:val="center"/>
            <w:hideMark/>
          </w:tcPr>
          <w:p w14:paraId="0E723A45" w14:textId="77777777" w:rsidR="00695590" w:rsidRPr="00500CD1" w:rsidRDefault="00695590" w:rsidP="00C04AAA">
            <w:pPr>
              <w:spacing w:after="0"/>
              <w:rPr>
                <w:bCs/>
                <w:sz w:val="20"/>
              </w:rPr>
            </w:pPr>
            <w:r w:rsidRPr="00500CD1">
              <w:rPr>
                <w:bCs/>
                <w:sz w:val="20"/>
              </w:rPr>
              <w:t> </w:t>
            </w:r>
          </w:p>
        </w:tc>
        <w:tc>
          <w:tcPr>
            <w:tcW w:w="680" w:type="dxa"/>
            <w:tcBorders>
              <w:top w:val="single" w:sz="4" w:space="0" w:color="auto"/>
              <w:left w:val="nil"/>
              <w:bottom w:val="single" w:sz="4" w:space="0" w:color="auto"/>
            </w:tcBorders>
            <w:noWrap/>
            <w:vAlign w:val="center"/>
            <w:hideMark/>
          </w:tcPr>
          <w:p w14:paraId="4F32321F" w14:textId="77777777" w:rsidR="00695590" w:rsidRPr="00500CD1" w:rsidRDefault="00695590" w:rsidP="004F6A60">
            <w:pPr>
              <w:spacing w:after="0"/>
              <w:jc w:val="right"/>
              <w:rPr>
                <w:b/>
                <w:bCs/>
                <w:sz w:val="20"/>
              </w:rPr>
            </w:pPr>
            <w:r w:rsidRPr="00500CD1">
              <w:rPr>
                <w:b/>
                <w:bCs/>
                <w:sz w:val="20"/>
              </w:rPr>
              <w:t>2012</w:t>
            </w:r>
          </w:p>
        </w:tc>
        <w:tc>
          <w:tcPr>
            <w:tcW w:w="680" w:type="dxa"/>
            <w:tcBorders>
              <w:top w:val="single" w:sz="4" w:space="0" w:color="auto"/>
              <w:bottom w:val="single" w:sz="4" w:space="0" w:color="auto"/>
            </w:tcBorders>
            <w:noWrap/>
            <w:vAlign w:val="center"/>
            <w:hideMark/>
          </w:tcPr>
          <w:p w14:paraId="53B9ACEC" w14:textId="77777777" w:rsidR="00695590" w:rsidRPr="00500CD1" w:rsidRDefault="00695590" w:rsidP="004F6A60">
            <w:pPr>
              <w:spacing w:after="0"/>
              <w:jc w:val="right"/>
              <w:rPr>
                <w:b/>
                <w:bCs/>
                <w:sz w:val="20"/>
              </w:rPr>
            </w:pPr>
            <w:r w:rsidRPr="00500CD1">
              <w:rPr>
                <w:b/>
                <w:bCs/>
                <w:sz w:val="20"/>
              </w:rPr>
              <w:t>2013</w:t>
            </w:r>
          </w:p>
        </w:tc>
        <w:tc>
          <w:tcPr>
            <w:tcW w:w="680" w:type="dxa"/>
            <w:tcBorders>
              <w:top w:val="single" w:sz="4" w:space="0" w:color="auto"/>
              <w:bottom w:val="single" w:sz="4" w:space="0" w:color="auto"/>
            </w:tcBorders>
            <w:noWrap/>
            <w:vAlign w:val="center"/>
            <w:hideMark/>
          </w:tcPr>
          <w:p w14:paraId="152BB586" w14:textId="77777777" w:rsidR="00695590" w:rsidRPr="00500CD1" w:rsidRDefault="00695590" w:rsidP="004F6A60">
            <w:pPr>
              <w:spacing w:after="0"/>
              <w:jc w:val="right"/>
              <w:rPr>
                <w:b/>
                <w:bCs/>
                <w:sz w:val="20"/>
              </w:rPr>
            </w:pPr>
            <w:r w:rsidRPr="00500CD1">
              <w:rPr>
                <w:b/>
                <w:bCs/>
                <w:sz w:val="20"/>
              </w:rPr>
              <w:t>2014</w:t>
            </w:r>
          </w:p>
        </w:tc>
        <w:tc>
          <w:tcPr>
            <w:tcW w:w="680" w:type="dxa"/>
            <w:tcBorders>
              <w:top w:val="single" w:sz="4" w:space="0" w:color="auto"/>
              <w:bottom w:val="single" w:sz="4" w:space="0" w:color="auto"/>
            </w:tcBorders>
            <w:noWrap/>
            <w:vAlign w:val="center"/>
            <w:hideMark/>
          </w:tcPr>
          <w:p w14:paraId="48DF9CB6" w14:textId="77777777" w:rsidR="00695590" w:rsidRPr="00500CD1" w:rsidRDefault="00695590" w:rsidP="004F6A60">
            <w:pPr>
              <w:spacing w:after="0"/>
              <w:jc w:val="right"/>
              <w:rPr>
                <w:b/>
                <w:bCs/>
                <w:sz w:val="20"/>
              </w:rPr>
            </w:pPr>
            <w:r w:rsidRPr="00500CD1">
              <w:rPr>
                <w:b/>
                <w:bCs/>
                <w:sz w:val="20"/>
              </w:rPr>
              <w:t>2015</w:t>
            </w:r>
          </w:p>
        </w:tc>
        <w:tc>
          <w:tcPr>
            <w:tcW w:w="680" w:type="dxa"/>
            <w:tcBorders>
              <w:top w:val="single" w:sz="4" w:space="0" w:color="auto"/>
              <w:bottom w:val="single" w:sz="4" w:space="0" w:color="auto"/>
            </w:tcBorders>
            <w:noWrap/>
            <w:vAlign w:val="center"/>
            <w:hideMark/>
          </w:tcPr>
          <w:p w14:paraId="458BD373" w14:textId="77777777" w:rsidR="00695590" w:rsidRPr="00500CD1" w:rsidRDefault="00695590" w:rsidP="004F6A60">
            <w:pPr>
              <w:spacing w:after="0"/>
              <w:jc w:val="right"/>
              <w:rPr>
                <w:b/>
                <w:bCs/>
                <w:sz w:val="20"/>
              </w:rPr>
            </w:pPr>
            <w:r w:rsidRPr="00500CD1">
              <w:rPr>
                <w:b/>
                <w:bCs/>
                <w:sz w:val="20"/>
              </w:rPr>
              <w:t>2016</w:t>
            </w:r>
          </w:p>
        </w:tc>
        <w:tc>
          <w:tcPr>
            <w:tcW w:w="680" w:type="dxa"/>
            <w:tcBorders>
              <w:top w:val="single" w:sz="4" w:space="0" w:color="auto"/>
              <w:bottom w:val="single" w:sz="4" w:space="0" w:color="auto"/>
            </w:tcBorders>
            <w:noWrap/>
            <w:vAlign w:val="center"/>
            <w:hideMark/>
          </w:tcPr>
          <w:p w14:paraId="203BBABF" w14:textId="77777777" w:rsidR="00695590" w:rsidRPr="00500CD1" w:rsidRDefault="00695590" w:rsidP="004F6A60">
            <w:pPr>
              <w:spacing w:after="0"/>
              <w:jc w:val="right"/>
              <w:rPr>
                <w:b/>
                <w:bCs/>
                <w:sz w:val="20"/>
              </w:rPr>
            </w:pPr>
            <w:r w:rsidRPr="00500CD1">
              <w:rPr>
                <w:b/>
                <w:bCs/>
                <w:sz w:val="20"/>
              </w:rPr>
              <w:t>2017</w:t>
            </w:r>
          </w:p>
        </w:tc>
        <w:tc>
          <w:tcPr>
            <w:tcW w:w="680" w:type="dxa"/>
            <w:tcBorders>
              <w:top w:val="single" w:sz="4" w:space="0" w:color="auto"/>
              <w:bottom w:val="single" w:sz="4" w:space="0" w:color="auto"/>
            </w:tcBorders>
            <w:noWrap/>
            <w:vAlign w:val="center"/>
            <w:hideMark/>
          </w:tcPr>
          <w:p w14:paraId="2E77EE4E" w14:textId="77777777" w:rsidR="00695590" w:rsidRPr="00500CD1" w:rsidRDefault="00695590" w:rsidP="004F6A60">
            <w:pPr>
              <w:spacing w:after="0"/>
              <w:jc w:val="right"/>
              <w:rPr>
                <w:b/>
                <w:bCs/>
                <w:sz w:val="20"/>
              </w:rPr>
            </w:pPr>
            <w:r w:rsidRPr="00500CD1">
              <w:rPr>
                <w:b/>
                <w:bCs/>
                <w:sz w:val="20"/>
              </w:rPr>
              <w:t>2018*</w:t>
            </w:r>
          </w:p>
        </w:tc>
      </w:tr>
      <w:tr w:rsidR="00695590" w:rsidRPr="00500CD1" w14:paraId="638E9F20" w14:textId="77777777" w:rsidTr="00B36ECF">
        <w:trPr>
          <w:trHeight w:val="246"/>
        </w:trPr>
        <w:tc>
          <w:tcPr>
            <w:tcW w:w="3738" w:type="dxa"/>
            <w:tcBorders>
              <w:top w:val="single" w:sz="4" w:space="0" w:color="auto"/>
            </w:tcBorders>
            <w:noWrap/>
            <w:vAlign w:val="center"/>
            <w:hideMark/>
          </w:tcPr>
          <w:p w14:paraId="2E79859E" w14:textId="2F6D2FE1" w:rsidR="00695590" w:rsidRPr="005C0446" w:rsidRDefault="00695590" w:rsidP="000507BD">
            <w:pPr>
              <w:spacing w:after="0"/>
              <w:ind w:left="-108"/>
              <w:jc w:val="left"/>
              <w:rPr>
                <w:sz w:val="20"/>
              </w:rPr>
            </w:pPr>
            <w:r w:rsidRPr="005C0446">
              <w:rPr>
                <w:sz w:val="20"/>
              </w:rPr>
              <w:t>Celkové zdroje na príspevok</w:t>
            </w:r>
            <w:r w:rsidR="000507BD">
              <w:rPr>
                <w:sz w:val="20"/>
              </w:rPr>
              <w:t xml:space="preserve"> (mil</w:t>
            </w:r>
            <w:r w:rsidR="002250F2">
              <w:rPr>
                <w:sz w:val="20"/>
              </w:rPr>
              <w:t>.</w:t>
            </w:r>
            <w:r w:rsidR="000507BD">
              <w:rPr>
                <w:sz w:val="20"/>
              </w:rPr>
              <w:t xml:space="preserve"> eur)</w:t>
            </w:r>
          </w:p>
        </w:tc>
        <w:tc>
          <w:tcPr>
            <w:tcW w:w="680" w:type="dxa"/>
            <w:tcBorders>
              <w:top w:val="single" w:sz="4" w:space="0" w:color="auto"/>
              <w:left w:val="nil"/>
            </w:tcBorders>
            <w:noWrap/>
            <w:vAlign w:val="center"/>
            <w:hideMark/>
          </w:tcPr>
          <w:p w14:paraId="0707D578" w14:textId="4A4BFE1D" w:rsidR="00695590" w:rsidRPr="004F6A60" w:rsidRDefault="00695590" w:rsidP="004F6A60">
            <w:pPr>
              <w:spacing w:after="0"/>
              <w:jc w:val="right"/>
              <w:rPr>
                <w:rFonts w:eastAsia="Times New Roman" w:cs="Times New Roman"/>
                <w:color w:val="000000"/>
                <w:sz w:val="20"/>
                <w:szCs w:val="22"/>
                <w:lang w:eastAsia="sk-SK"/>
              </w:rPr>
            </w:pPr>
            <w:r w:rsidRPr="004F6A60">
              <w:rPr>
                <w:rFonts w:eastAsia="Times New Roman" w:cs="Times New Roman"/>
                <w:color w:val="000000"/>
                <w:sz w:val="20"/>
                <w:szCs w:val="22"/>
                <w:lang w:eastAsia="sk-SK"/>
              </w:rPr>
              <w:t>6</w:t>
            </w:r>
            <w:r w:rsidR="002250F2">
              <w:rPr>
                <w:rFonts w:eastAsia="Times New Roman" w:cs="Times New Roman"/>
                <w:color w:val="000000"/>
                <w:sz w:val="20"/>
                <w:szCs w:val="22"/>
                <w:lang w:eastAsia="sk-SK"/>
              </w:rPr>
              <w:t>,</w:t>
            </w:r>
            <w:r w:rsidR="000507BD" w:rsidRPr="004F6A60">
              <w:rPr>
                <w:rFonts w:eastAsia="Times New Roman" w:cs="Times New Roman"/>
                <w:color w:val="000000"/>
                <w:sz w:val="20"/>
                <w:szCs w:val="22"/>
                <w:lang w:eastAsia="sk-SK"/>
              </w:rPr>
              <w:t>5</w:t>
            </w:r>
          </w:p>
        </w:tc>
        <w:tc>
          <w:tcPr>
            <w:tcW w:w="680" w:type="dxa"/>
            <w:tcBorders>
              <w:top w:val="single" w:sz="4" w:space="0" w:color="auto"/>
            </w:tcBorders>
            <w:noWrap/>
            <w:vAlign w:val="center"/>
            <w:hideMark/>
          </w:tcPr>
          <w:p w14:paraId="5295129E" w14:textId="37F8A038" w:rsidR="00695590" w:rsidRPr="004F6A60" w:rsidRDefault="00695590" w:rsidP="004F6A60">
            <w:pPr>
              <w:spacing w:after="0"/>
              <w:jc w:val="right"/>
              <w:rPr>
                <w:rFonts w:eastAsia="Times New Roman" w:cs="Times New Roman"/>
                <w:color w:val="000000"/>
                <w:sz w:val="20"/>
                <w:szCs w:val="22"/>
                <w:lang w:eastAsia="sk-SK"/>
              </w:rPr>
            </w:pPr>
            <w:r w:rsidRPr="004F6A60">
              <w:rPr>
                <w:rFonts w:eastAsia="Times New Roman" w:cs="Times New Roman"/>
                <w:color w:val="000000"/>
                <w:sz w:val="20"/>
                <w:szCs w:val="22"/>
                <w:lang w:eastAsia="sk-SK"/>
              </w:rPr>
              <w:t>6</w:t>
            </w:r>
            <w:r w:rsidR="000507BD" w:rsidRPr="004F6A60">
              <w:rPr>
                <w:rFonts w:eastAsia="Times New Roman" w:cs="Times New Roman"/>
                <w:color w:val="000000"/>
                <w:sz w:val="20"/>
                <w:szCs w:val="22"/>
                <w:lang w:eastAsia="sk-SK"/>
              </w:rPr>
              <w:t>,</w:t>
            </w:r>
            <w:r w:rsidRPr="004F6A60">
              <w:rPr>
                <w:rFonts w:eastAsia="Times New Roman" w:cs="Times New Roman"/>
                <w:color w:val="000000"/>
                <w:sz w:val="20"/>
                <w:szCs w:val="22"/>
                <w:lang w:eastAsia="sk-SK"/>
              </w:rPr>
              <w:t>5</w:t>
            </w:r>
          </w:p>
        </w:tc>
        <w:tc>
          <w:tcPr>
            <w:tcW w:w="680" w:type="dxa"/>
            <w:tcBorders>
              <w:top w:val="single" w:sz="4" w:space="0" w:color="auto"/>
            </w:tcBorders>
            <w:noWrap/>
            <w:vAlign w:val="center"/>
            <w:hideMark/>
          </w:tcPr>
          <w:p w14:paraId="3BF80FD0" w14:textId="33E2EF4E" w:rsidR="00695590" w:rsidRPr="004F6A60" w:rsidRDefault="00695590" w:rsidP="004F6A60">
            <w:pPr>
              <w:spacing w:after="0"/>
              <w:jc w:val="right"/>
              <w:rPr>
                <w:rFonts w:eastAsia="Times New Roman" w:cs="Times New Roman"/>
                <w:color w:val="000000"/>
                <w:sz w:val="20"/>
                <w:szCs w:val="22"/>
                <w:lang w:eastAsia="sk-SK"/>
              </w:rPr>
            </w:pPr>
            <w:r w:rsidRPr="004F6A60">
              <w:rPr>
                <w:rFonts w:eastAsia="Times New Roman" w:cs="Times New Roman"/>
                <w:color w:val="000000"/>
                <w:sz w:val="20"/>
                <w:szCs w:val="22"/>
                <w:lang w:eastAsia="sk-SK"/>
              </w:rPr>
              <w:t>6</w:t>
            </w:r>
            <w:r w:rsidR="000507BD" w:rsidRPr="004F6A60">
              <w:rPr>
                <w:rFonts w:eastAsia="Times New Roman" w:cs="Times New Roman"/>
                <w:color w:val="000000"/>
                <w:sz w:val="20"/>
                <w:szCs w:val="22"/>
                <w:lang w:eastAsia="sk-SK"/>
              </w:rPr>
              <w:t>,</w:t>
            </w:r>
            <w:r w:rsidRPr="004F6A60">
              <w:rPr>
                <w:rFonts w:eastAsia="Times New Roman" w:cs="Times New Roman"/>
                <w:color w:val="000000"/>
                <w:sz w:val="20"/>
                <w:szCs w:val="22"/>
                <w:lang w:eastAsia="sk-SK"/>
              </w:rPr>
              <w:t>7</w:t>
            </w:r>
          </w:p>
        </w:tc>
        <w:tc>
          <w:tcPr>
            <w:tcW w:w="680" w:type="dxa"/>
            <w:tcBorders>
              <w:top w:val="single" w:sz="4" w:space="0" w:color="auto"/>
            </w:tcBorders>
            <w:noWrap/>
            <w:vAlign w:val="center"/>
            <w:hideMark/>
          </w:tcPr>
          <w:p w14:paraId="3683854A" w14:textId="64C37D2E" w:rsidR="00695590" w:rsidRPr="004F6A60" w:rsidRDefault="00695590" w:rsidP="004F6A60">
            <w:pPr>
              <w:spacing w:after="0"/>
              <w:jc w:val="right"/>
              <w:rPr>
                <w:rFonts w:eastAsia="Times New Roman" w:cs="Times New Roman"/>
                <w:color w:val="000000"/>
                <w:sz w:val="20"/>
                <w:szCs w:val="22"/>
                <w:lang w:eastAsia="sk-SK"/>
              </w:rPr>
            </w:pPr>
            <w:r w:rsidRPr="004F6A60">
              <w:rPr>
                <w:rFonts w:eastAsia="Times New Roman" w:cs="Times New Roman"/>
                <w:color w:val="000000"/>
                <w:sz w:val="20"/>
                <w:szCs w:val="22"/>
                <w:lang w:eastAsia="sk-SK"/>
              </w:rPr>
              <w:t>6</w:t>
            </w:r>
            <w:r w:rsidR="000507BD" w:rsidRPr="004F6A60">
              <w:rPr>
                <w:rFonts w:eastAsia="Times New Roman" w:cs="Times New Roman"/>
                <w:color w:val="000000"/>
                <w:sz w:val="20"/>
                <w:szCs w:val="22"/>
                <w:lang w:eastAsia="sk-SK"/>
              </w:rPr>
              <w:t>,5</w:t>
            </w:r>
          </w:p>
        </w:tc>
        <w:tc>
          <w:tcPr>
            <w:tcW w:w="680" w:type="dxa"/>
            <w:tcBorders>
              <w:top w:val="single" w:sz="4" w:space="0" w:color="auto"/>
            </w:tcBorders>
            <w:noWrap/>
            <w:vAlign w:val="center"/>
            <w:hideMark/>
          </w:tcPr>
          <w:p w14:paraId="6E9D42D8" w14:textId="349A5F41" w:rsidR="00695590" w:rsidRPr="004F6A60" w:rsidRDefault="00695590" w:rsidP="004F6A60">
            <w:pPr>
              <w:spacing w:after="0"/>
              <w:jc w:val="right"/>
              <w:rPr>
                <w:rFonts w:eastAsia="Times New Roman" w:cs="Times New Roman"/>
                <w:color w:val="000000"/>
                <w:sz w:val="20"/>
                <w:szCs w:val="22"/>
                <w:lang w:eastAsia="sk-SK"/>
              </w:rPr>
            </w:pPr>
            <w:r w:rsidRPr="004F6A60">
              <w:rPr>
                <w:rFonts w:eastAsia="Times New Roman" w:cs="Times New Roman"/>
                <w:color w:val="000000"/>
                <w:sz w:val="20"/>
                <w:szCs w:val="22"/>
                <w:lang w:eastAsia="sk-SK"/>
              </w:rPr>
              <w:t>4</w:t>
            </w:r>
            <w:r w:rsidR="00374D5B" w:rsidRPr="004F6A60">
              <w:rPr>
                <w:rFonts w:eastAsia="Times New Roman" w:cs="Times New Roman"/>
                <w:color w:val="000000"/>
                <w:sz w:val="20"/>
                <w:szCs w:val="22"/>
                <w:lang w:eastAsia="sk-SK"/>
              </w:rPr>
              <w:t>,</w:t>
            </w:r>
            <w:r w:rsidRPr="004F6A60">
              <w:rPr>
                <w:rFonts w:eastAsia="Times New Roman" w:cs="Times New Roman"/>
                <w:color w:val="000000"/>
                <w:sz w:val="20"/>
                <w:szCs w:val="22"/>
                <w:lang w:eastAsia="sk-SK"/>
              </w:rPr>
              <w:t>9</w:t>
            </w:r>
          </w:p>
        </w:tc>
        <w:tc>
          <w:tcPr>
            <w:tcW w:w="680" w:type="dxa"/>
            <w:tcBorders>
              <w:top w:val="single" w:sz="4" w:space="0" w:color="auto"/>
            </w:tcBorders>
            <w:noWrap/>
            <w:vAlign w:val="center"/>
            <w:hideMark/>
          </w:tcPr>
          <w:p w14:paraId="221A45F1" w14:textId="242DE7FC" w:rsidR="00695590" w:rsidRPr="004F6A60" w:rsidRDefault="00695590" w:rsidP="004F6A60">
            <w:pPr>
              <w:spacing w:after="0"/>
              <w:jc w:val="right"/>
              <w:rPr>
                <w:rFonts w:eastAsia="Times New Roman" w:cs="Times New Roman"/>
                <w:color w:val="000000"/>
                <w:sz w:val="20"/>
                <w:szCs w:val="22"/>
                <w:lang w:eastAsia="sk-SK"/>
              </w:rPr>
            </w:pPr>
            <w:r w:rsidRPr="004F6A60">
              <w:rPr>
                <w:rFonts w:eastAsia="Times New Roman" w:cs="Times New Roman"/>
                <w:color w:val="000000"/>
                <w:sz w:val="20"/>
                <w:szCs w:val="22"/>
                <w:lang w:eastAsia="sk-SK"/>
              </w:rPr>
              <w:t>7</w:t>
            </w:r>
            <w:r w:rsidR="00037492" w:rsidRPr="004F6A60">
              <w:rPr>
                <w:rFonts w:eastAsia="Times New Roman" w:cs="Times New Roman"/>
                <w:color w:val="000000"/>
                <w:sz w:val="20"/>
                <w:szCs w:val="22"/>
                <w:lang w:eastAsia="sk-SK"/>
              </w:rPr>
              <w:t>,</w:t>
            </w:r>
            <w:r w:rsidRPr="004F6A60">
              <w:rPr>
                <w:rFonts w:eastAsia="Times New Roman" w:cs="Times New Roman"/>
                <w:color w:val="000000"/>
                <w:sz w:val="20"/>
                <w:szCs w:val="22"/>
                <w:lang w:eastAsia="sk-SK"/>
              </w:rPr>
              <w:t>3</w:t>
            </w:r>
          </w:p>
        </w:tc>
        <w:tc>
          <w:tcPr>
            <w:tcW w:w="680" w:type="dxa"/>
            <w:tcBorders>
              <w:top w:val="single" w:sz="4" w:space="0" w:color="auto"/>
            </w:tcBorders>
            <w:noWrap/>
            <w:vAlign w:val="center"/>
            <w:hideMark/>
          </w:tcPr>
          <w:p w14:paraId="64F9F090" w14:textId="6D9F350E" w:rsidR="00695590" w:rsidRPr="004F6A60" w:rsidRDefault="00695590" w:rsidP="004F6A60">
            <w:pPr>
              <w:spacing w:after="0"/>
              <w:jc w:val="right"/>
              <w:rPr>
                <w:rFonts w:eastAsia="Times New Roman" w:cs="Times New Roman"/>
                <w:color w:val="000000"/>
                <w:sz w:val="20"/>
                <w:szCs w:val="22"/>
                <w:lang w:eastAsia="sk-SK"/>
              </w:rPr>
            </w:pPr>
            <w:r w:rsidRPr="004F6A60">
              <w:rPr>
                <w:rFonts w:eastAsia="Times New Roman" w:cs="Times New Roman"/>
                <w:color w:val="000000"/>
                <w:sz w:val="20"/>
                <w:szCs w:val="22"/>
                <w:lang w:eastAsia="sk-SK"/>
              </w:rPr>
              <w:t>6</w:t>
            </w:r>
            <w:r w:rsidR="00037492" w:rsidRPr="004F6A60">
              <w:rPr>
                <w:rFonts w:eastAsia="Times New Roman" w:cs="Times New Roman"/>
                <w:color w:val="000000"/>
                <w:sz w:val="20"/>
                <w:szCs w:val="22"/>
                <w:lang w:eastAsia="sk-SK"/>
              </w:rPr>
              <w:t>,</w:t>
            </w:r>
            <w:r w:rsidRPr="004F6A60">
              <w:rPr>
                <w:rFonts w:eastAsia="Times New Roman" w:cs="Times New Roman"/>
                <w:color w:val="000000"/>
                <w:sz w:val="20"/>
                <w:szCs w:val="22"/>
                <w:lang w:eastAsia="sk-SK"/>
              </w:rPr>
              <w:t>1</w:t>
            </w:r>
          </w:p>
        </w:tc>
      </w:tr>
      <w:tr w:rsidR="00695590" w:rsidRPr="00500CD1" w14:paraId="58E89835" w14:textId="77777777" w:rsidTr="00B36ECF">
        <w:trPr>
          <w:trHeight w:val="288"/>
        </w:trPr>
        <w:tc>
          <w:tcPr>
            <w:tcW w:w="3738" w:type="dxa"/>
            <w:noWrap/>
            <w:vAlign w:val="center"/>
            <w:hideMark/>
          </w:tcPr>
          <w:p w14:paraId="717B6E28" w14:textId="77777777" w:rsidR="00695590" w:rsidRPr="005C0446" w:rsidRDefault="00695590" w:rsidP="000507BD">
            <w:pPr>
              <w:spacing w:after="0"/>
              <w:ind w:left="-108"/>
              <w:jc w:val="left"/>
              <w:rPr>
                <w:sz w:val="20"/>
              </w:rPr>
            </w:pPr>
            <w:r w:rsidRPr="005C0446">
              <w:rPr>
                <w:sz w:val="20"/>
              </w:rPr>
              <w:t>Počet žiakov zo SZP</w:t>
            </w:r>
          </w:p>
        </w:tc>
        <w:tc>
          <w:tcPr>
            <w:tcW w:w="680" w:type="dxa"/>
            <w:tcBorders>
              <w:left w:val="nil"/>
            </w:tcBorders>
            <w:noWrap/>
            <w:vAlign w:val="center"/>
            <w:hideMark/>
          </w:tcPr>
          <w:p w14:paraId="273DE513" w14:textId="77777777" w:rsidR="00695590" w:rsidRPr="004F6A60" w:rsidRDefault="00695590" w:rsidP="004F6A60">
            <w:pPr>
              <w:spacing w:after="0"/>
              <w:jc w:val="right"/>
              <w:rPr>
                <w:rFonts w:eastAsia="Times New Roman" w:cs="Times New Roman"/>
                <w:color w:val="000000"/>
                <w:sz w:val="20"/>
                <w:szCs w:val="22"/>
                <w:lang w:eastAsia="sk-SK"/>
              </w:rPr>
            </w:pPr>
            <w:r w:rsidRPr="004F6A60">
              <w:rPr>
                <w:rFonts w:eastAsia="Times New Roman" w:cs="Times New Roman"/>
                <w:color w:val="000000"/>
                <w:sz w:val="20"/>
                <w:szCs w:val="22"/>
                <w:lang w:eastAsia="sk-SK"/>
              </w:rPr>
              <w:t>65 224</w:t>
            </w:r>
          </w:p>
        </w:tc>
        <w:tc>
          <w:tcPr>
            <w:tcW w:w="680" w:type="dxa"/>
            <w:noWrap/>
            <w:vAlign w:val="center"/>
            <w:hideMark/>
          </w:tcPr>
          <w:p w14:paraId="0C89DD27" w14:textId="77777777" w:rsidR="00695590" w:rsidRPr="004F6A60" w:rsidRDefault="00695590" w:rsidP="004F6A60">
            <w:pPr>
              <w:spacing w:after="0"/>
              <w:jc w:val="right"/>
              <w:rPr>
                <w:rFonts w:eastAsia="Times New Roman" w:cs="Times New Roman"/>
                <w:color w:val="000000"/>
                <w:sz w:val="20"/>
                <w:szCs w:val="22"/>
                <w:lang w:eastAsia="sk-SK"/>
              </w:rPr>
            </w:pPr>
            <w:r w:rsidRPr="004F6A60">
              <w:rPr>
                <w:rFonts w:eastAsia="Times New Roman" w:cs="Times New Roman"/>
                <w:color w:val="000000"/>
                <w:sz w:val="20"/>
                <w:szCs w:val="22"/>
                <w:lang w:eastAsia="sk-SK"/>
              </w:rPr>
              <w:t>65 580</w:t>
            </w:r>
          </w:p>
        </w:tc>
        <w:tc>
          <w:tcPr>
            <w:tcW w:w="680" w:type="dxa"/>
            <w:noWrap/>
            <w:vAlign w:val="center"/>
            <w:hideMark/>
          </w:tcPr>
          <w:p w14:paraId="1FF5CD14" w14:textId="77777777" w:rsidR="00695590" w:rsidRPr="004F6A60" w:rsidRDefault="00695590" w:rsidP="004F6A60">
            <w:pPr>
              <w:spacing w:after="0"/>
              <w:jc w:val="right"/>
              <w:rPr>
                <w:rFonts w:eastAsia="Times New Roman" w:cs="Times New Roman"/>
                <w:color w:val="000000"/>
                <w:sz w:val="20"/>
                <w:szCs w:val="22"/>
                <w:lang w:eastAsia="sk-SK"/>
              </w:rPr>
            </w:pPr>
            <w:r w:rsidRPr="004F6A60">
              <w:rPr>
                <w:rFonts w:eastAsia="Times New Roman" w:cs="Times New Roman"/>
                <w:color w:val="000000"/>
                <w:sz w:val="20"/>
                <w:szCs w:val="22"/>
                <w:lang w:eastAsia="sk-SK"/>
              </w:rPr>
              <w:t>65 835</w:t>
            </w:r>
          </w:p>
        </w:tc>
        <w:tc>
          <w:tcPr>
            <w:tcW w:w="680" w:type="dxa"/>
            <w:noWrap/>
            <w:vAlign w:val="center"/>
            <w:hideMark/>
          </w:tcPr>
          <w:p w14:paraId="33C93CAD" w14:textId="77777777" w:rsidR="00695590" w:rsidRPr="004F6A60" w:rsidRDefault="00695590" w:rsidP="004F6A60">
            <w:pPr>
              <w:spacing w:after="0"/>
              <w:jc w:val="right"/>
              <w:rPr>
                <w:rFonts w:eastAsia="Times New Roman" w:cs="Times New Roman"/>
                <w:color w:val="000000"/>
                <w:sz w:val="20"/>
                <w:szCs w:val="22"/>
                <w:lang w:eastAsia="sk-SK"/>
              </w:rPr>
            </w:pPr>
            <w:r w:rsidRPr="004F6A60">
              <w:rPr>
                <w:rFonts w:eastAsia="Times New Roman" w:cs="Times New Roman"/>
                <w:color w:val="000000"/>
                <w:sz w:val="20"/>
                <w:szCs w:val="22"/>
                <w:lang w:eastAsia="sk-SK"/>
              </w:rPr>
              <w:t>61 195</w:t>
            </w:r>
          </w:p>
        </w:tc>
        <w:tc>
          <w:tcPr>
            <w:tcW w:w="680" w:type="dxa"/>
            <w:noWrap/>
            <w:vAlign w:val="center"/>
            <w:hideMark/>
          </w:tcPr>
          <w:p w14:paraId="4A298C78" w14:textId="77777777" w:rsidR="00695590" w:rsidRPr="004F6A60" w:rsidRDefault="00695590" w:rsidP="004F6A60">
            <w:pPr>
              <w:spacing w:after="0"/>
              <w:jc w:val="right"/>
              <w:rPr>
                <w:rFonts w:eastAsia="Times New Roman" w:cs="Times New Roman"/>
                <w:color w:val="000000"/>
                <w:sz w:val="20"/>
                <w:szCs w:val="22"/>
                <w:lang w:eastAsia="sk-SK"/>
              </w:rPr>
            </w:pPr>
            <w:r w:rsidRPr="004F6A60">
              <w:rPr>
                <w:rFonts w:eastAsia="Times New Roman" w:cs="Times New Roman"/>
                <w:color w:val="000000"/>
                <w:sz w:val="20"/>
                <w:szCs w:val="22"/>
                <w:lang w:eastAsia="sk-SK"/>
              </w:rPr>
              <w:t>45 183</w:t>
            </w:r>
          </w:p>
        </w:tc>
        <w:tc>
          <w:tcPr>
            <w:tcW w:w="680" w:type="dxa"/>
            <w:noWrap/>
            <w:vAlign w:val="center"/>
            <w:hideMark/>
          </w:tcPr>
          <w:p w14:paraId="36FEA658" w14:textId="77777777" w:rsidR="00695590" w:rsidRPr="004F6A60" w:rsidRDefault="00695590" w:rsidP="004F6A60">
            <w:pPr>
              <w:spacing w:after="0"/>
              <w:jc w:val="right"/>
              <w:rPr>
                <w:rFonts w:eastAsia="Times New Roman" w:cs="Times New Roman"/>
                <w:color w:val="000000"/>
                <w:sz w:val="20"/>
                <w:szCs w:val="22"/>
                <w:lang w:eastAsia="sk-SK"/>
              </w:rPr>
            </w:pPr>
            <w:r w:rsidRPr="004F6A60">
              <w:rPr>
                <w:rFonts w:eastAsia="Times New Roman" w:cs="Times New Roman"/>
                <w:color w:val="000000"/>
                <w:sz w:val="20"/>
                <w:szCs w:val="22"/>
                <w:lang w:eastAsia="sk-SK"/>
              </w:rPr>
              <w:t>28 263</w:t>
            </w:r>
          </w:p>
        </w:tc>
        <w:tc>
          <w:tcPr>
            <w:tcW w:w="680" w:type="dxa"/>
            <w:noWrap/>
            <w:vAlign w:val="center"/>
            <w:hideMark/>
          </w:tcPr>
          <w:p w14:paraId="62405422" w14:textId="77777777" w:rsidR="00695590" w:rsidRPr="004F6A60" w:rsidRDefault="00695590" w:rsidP="004F6A60">
            <w:pPr>
              <w:spacing w:after="0"/>
              <w:jc w:val="right"/>
              <w:rPr>
                <w:rFonts w:eastAsia="Times New Roman" w:cs="Times New Roman"/>
                <w:color w:val="000000"/>
                <w:sz w:val="20"/>
                <w:szCs w:val="22"/>
                <w:lang w:eastAsia="sk-SK"/>
              </w:rPr>
            </w:pPr>
            <w:r w:rsidRPr="004F6A60">
              <w:rPr>
                <w:rFonts w:eastAsia="Times New Roman" w:cs="Times New Roman"/>
                <w:color w:val="000000"/>
                <w:sz w:val="20"/>
                <w:szCs w:val="22"/>
                <w:lang w:eastAsia="sk-SK"/>
              </w:rPr>
              <w:t>41 149</w:t>
            </w:r>
          </w:p>
        </w:tc>
      </w:tr>
      <w:tr w:rsidR="00695590" w:rsidRPr="00500CD1" w14:paraId="0FCECFF3" w14:textId="77777777" w:rsidTr="00B36ECF">
        <w:trPr>
          <w:trHeight w:val="80"/>
        </w:trPr>
        <w:tc>
          <w:tcPr>
            <w:tcW w:w="3738" w:type="dxa"/>
            <w:noWrap/>
            <w:vAlign w:val="center"/>
            <w:hideMark/>
          </w:tcPr>
          <w:p w14:paraId="6E240CC2" w14:textId="77777777" w:rsidR="00695590" w:rsidRPr="005C0446" w:rsidRDefault="00695590" w:rsidP="000507BD">
            <w:pPr>
              <w:spacing w:after="0"/>
              <w:ind w:left="-108"/>
              <w:jc w:val="left"/>
              <w:rPr>
                <w:sz w:val="20"/>
              </w:rPr>
            </w:pPr>
            <w:r w:rsidRPr="005C0446">
              <w:rPr>
                <w:sz w:val="20"/>
              </w:rPr>
              <w:t>Výška príspevku</w:t>
            </w:r>
          </w:p>
        </w:tc>
        <w:tc>
          <w:tcPr>
            <w:tcW w:w="680" w:type="dxa"/>
            <w:tcBorders>
              <w:left w:val="nil"/>
            </w:tcBorders>
            <w:noWrap/>
            <w:vAlign w:val="center"/>
            <w:hideMark/>
          </w:tcPr>
          <w:p w14:paraId="780A50B4" w14:textId="77777777" w:rsidR="00695590" w:rsidRPr="004F6A60" w:rsidRDefault="00695590" w:rsidP="004F6A60">
            <w:pPr>
              <w:spacing w:after="0"/>
              <w:jc w:val="right"/>
              <w:rPr>
                <w:rFonts w:eastAsia="Times New Roman" w:cs="Times New Roman"/>
                <w:color w:val="000000"/>
                <w:sz w:val="20"/>
                <w:szCs w:val="22"/>
                <w:lang w:eastAsia="sk-SK"/>
              </w:rPr>
            </w:pPr>
            <w:r w:rsidRPr="004F6A60">
              <w:rPr>
                <w:rFonts w:eastAsia="Times New Roman" w:cs="Times New Roman"/>
                <w:color w:val="000000"/>
                <w:sz w:val="20"/>
                <w:szCs w:val="22"/>
                <w:lang w:eastAsia="sk-SK"/>
              </w:rPr>
              <w:t>100</w:t>
            </w:r>
          </w:p>
        </w:tc>
        <w:tc>
          <w:tcPr>
            <w:tcW w:w="680" w:type="dxa"/>
            <w:noWrap/>
            <w:vAlign w:val="center"/>
            <w:hideMark/>
          </w:tcPr>
          <w:p w14:paraId="3EC70EB0" w14:textId="77777777" w:rsidR="00695590" w:rsidRPr="004F6A60" w:rsidRDefault="00695590" w:rsidP="004F6A60">
            <w:pPr>
              <w:spacing w:after="0"/>
              <w:jc w:val="right"/>
              <w:rPr>
                <w:rFonts w:eastAsia="Times New Roman" w:cs="Times New Roman"/>
                <w:color w:val="000000"/>
                <w:sz w:val="20"/>
                <w:szCs w:val="22"/>
                <w:lang w:eastAsia="sk-SK"/>
              </w:rPr>
            </w:pPr>
            <w:r w:rsidRPr="004F6A60">
              <w:rPr>
                <w:rFonts w:eastAsia="Times New Roman" w:cs="Times New Roman"/>
                <w:color w:val="000000"/>
                <w:sz w:val="20"/>
                <w:szCs w:val="22"/>
                <w:lang w:eastAsia="sk-SK"/>
              </w:rPr>
              <w:t>100</w:t>
            </w:r>
          </w:p>
        </w:tc>
        <w:tc>
          <w:tcPr>
            <w:tcW w:w="680" w:type="dxa"/>
            <w:noWrap/>
            <w:vAlign w:val="center"/>
            <w:hideMark/>
          </w:tcPr>
          <w:p w14:paraId="758B552B" w14:textId="77777777" w:rsidR="00695590" w:rsidRPr="004F6A60" w:rsidRDefault="00695590" w:rsidP="004F6A60">
            <w:pPr>
              <w:spacing w:after="0"/>
              <w:jc w:val="right"/>
              <w:rPr>
                <w:rFonts w:eastAsia="Times New Roman" w:cs="Times New Roman"/>
                <w:color w:val="000000"/>
                <w:sz w:val="20"/>
                <w:szCs w:val="22"/>
                <w:lang w:eastAsia="sk-SK"/>
              </w:rPr>
            </w:pPr>
            <w:r w:rsidRPr="004F6A60">
              <w:rPr>
                <w:rFonts w:eastAsia="Times New Roman" w:cs="Times New Roman"/>
                <w:color w:val="000000"/>
                <w:sz w:val="20"/>
                <w:szCs w:val="22"/>
                <w:lang w:eastAsia="sk-SK"/>
              </w:rPr>
              <w:t>103</w:t>
            </w:r>
          </w:p>
        </w:tc>
        <w:tc>
          <w:tcPr>
            <w:tcW w:w="680" w:type="dxa"/>
            <w:noWrap/>
            <w:vAlign w:val="center"/>
            <w:hideMark/>
          </w:tcPr>
          <w:p w14:paraId="7D4F4DA6" w14:textId="77777777" w:rsidR="00695590" w:rsidRPr="004F6A60" w:rsidRDefault="00695590" w:rsidP="004F6A60">
            <w:pPr>
              <w:spacing w:after="0"/>
              <w:jc w:val="right"/>
              <w:rPr>
                <w:rFonts w:eastAsia="Times New Roman" w:cs="Times New Roman"/>
                <w:color w:val="000000"/>
                <w:sz w:val="20"/>
                <w:szCs w:val="22"/>
                <w:lang w:eastAsia="sk-SK"/>
              </w:rPr>
            </w:pPr>
            <w:r w:rsidRPr="004F6A60">
              <w:rPr>
                <w:rFonts w:eastAsia="Times New Roman" w:cs="Times New Roman"/>
                <w:color w:val="000000"/>
                <w:sz w:val="20"/>
                <w:szCs w:val="22"/>
                <w:lang w:eastAsia="sk-SK"/>
              </w:rPr>
              <w:t>106</w:t>
            </w:r>
          </w:p>
        </w:tc>
        <w:tc>
          <w:tcPr>
            <w:tcW w:w="680" w:type="dxa"/>
            <w:noWrap/>
            <w:vAlign w:val="center"/>
            <w:hideMark/>
          </w:tcPr>
          <w:p w14:paraId="6662E365" w14:textId="77777777" w:rsidR="00695590" w:rsidRPr="004F6A60" w:rsidRDefault="00695590" w:rsidP="004F6A60">
            <w:pPr>
              <w:spacing w:after="0"/>
              <w:jc w:val="right"/>
              <w:rPr>
                <w:rFonts w:eastAsia="Times New Roman" w:cs="Times New Roman"/>
                <w:color w:val="000000"/>
                <w:sz w:val="20"/>
                <w:szCs w:val="22"/>
                <w:lang w:eastAsia="sk-SK"/>
              </w:rPr>
            </w:pPr>
            <w:r w:rsidRPr="004F6A60">
              <w:rPr>
                <w:rFonts w:eastAsia="Times New Roman" w:cs="Times New Roman"/>
                <w:color w:val="000000"/>
                <w:sz w:val="20"/>
                <w:szCs w:val="22"/>
                <w:lang w:eastAsia="sk-SK"/>
              </w:rPr>
              <w:t>109</w:t>
            </w:r>
          </w:p>
        </w:tc>
        <w:tc>
          <w:tcPr>
            <w:tcW w:w="680" w:type="dxa"/>
            <w:noWrap/>
            <w:vAlign w:val="center"/>
            <w:hideMark/>
          </w:tcPr>
          <w:p w14:paraId="7ABA90E6" w14:textId="77777777" w:rsidR="00695590" w:rsidRPr="004F6A60" w:rsidRDefault="00695590" w:rsidP="004F6A60">
            <w:pPr>
              <w:spacing w:after="0"/>
              <w:jc w:val="right"/>
              <w:rPr>
                <w:rFonts w:eastAsia="Times New Roman" w:cs="Times New Roman"/>
                <w:color w:val="000000"/>
                <w:sz w:val="20"/>
                <w:szCs w:val="22"/>
                <w:lang w:eastAsia="sk-SK"/>
              </w:rPr>
            </w:pPr>
            <w:r w:rsidRPr="004F6A60">
              <w:rPr>
                <w:rFonts w:eastAsia="Times New Roman" w:cs="Times New Roman"/>
                <w:color w:val="000000"/>
                <w:sz w:val="20"/>
                <w:szCs w:val="22"/>
                <w:lang w:eastAsia="sk-SK"/>
              </w:rPr>
              <w:t>260</w:t>
            </w:r>
          </w:p>
        </w:tc>
        <w:tc>
          <w:tcPr>
            <w:tcW w:w="680" w:type="dxa"/>
            <w:noWrap/>
            <w:vAlign w:val="center"/>
            <w:hideMark/>
          </w:tcPr>
          <w:p w14:paraId="6255C761" w14:textId="77777777" w:rsidR="00695590" w:rsidRPr="004F6A60" w:rsidRDefault="00695590" w:rsidP="004F6A60">
            <w:pPr>
              <w:spacing w:after="0"/>
              <w:jc w:val="right"/>
              <w:rPr>
                <w:rFonts w:eastAsia="Times New Roman" w:cs="Times New Roman"/>
                <w:color w:val="000000"/>
                <w:sz w:val="20"/>
                <w:szCs w:val="22"/>
                <w:lang w:eastAsia="sk-SK"/>
              </w:rPr>
            </w:pPr>
            <w:r w:rsidRPr="004F6A60">
              <w:rPr>
                <w:rFonts w:eastAsia="Times New Roman" w:cs="Times New Roman"/>
                <w:color w:val="000000"/>
                <w:sz w:val="20"/>
                <w:szCs w:val="22"/>
                <w:lang w:eastAsia="sk-SK"/>
              </w:rPr>
              <w:t>150</w:t>
            </w:r>
          </w:p>
        </w:tc>
      </w:tr>
      <w:tr w:rsidR="00695590" w:rsidRPr="00500CD1" w14:paraId="6EC8B39F" w14:textId="77777777" w:rsidTr="00B36ECF">
        <w:trPr>
          <w:trHeight w:val="109"/>
        </w:trPr>
        <w:tc>
          <w:tcPr>
            <w:tcW w:w="3738" w:type="dxa"/>
            <w:noWrap/>
            <w:vAlign w:val="center"/>
            <w:hideMark/>
          </w:tcPr>
          <w:p w14:paraId="0C0C4C7C" w14:textId="77777777" w:rsidR="00695590" w:rsidRPr="005C0446" w:rsidRDefault="00695590" w:rsidP="000507BD">
            <w:pPr>
              <w:spacing w:after="0"/>
              <w:ind w:left="-108"/>
              <w:jc w:val="left"/>
              <w:rPr>
                <w:sz w:val="20"/>
              </w:rPr>
            </w:pPr>
            <w:r w:rsidRPr="005C0446">
              <w:rPr>
                <w:sz w:val="20"/>
              </w:rPr>
              <w:t>Počet asistentov</w:t>
            </w:r>
          </w:p>
        </w:tc>
        <w:tc>
          <w:tcPr>
            <w:tcW w:w="680" w:type="dxa"/>
            <w:tcBorders>
              <w:left w:val="nil"/>
            </w:tcBorders>
            <w:noWrap/>
            <w:vAlign w:val="center"/>
            <w:hideMark/>
          </w:tcPr>
          <w:p w14:paraId="4EDEF528" w14:textId="77777777" w:rsidR="00695590" w:rsidRPr="004F6A60" w:rsidRDefault="00695590" w:rsidP="004F6A60">
            <w:pPr>
              <w:spacing w:after="0"/>
              <w:jc w:val="right"/>
              <w:rPr>
                <w:rFonts w:eastAsia="Times New Roman" w:cs="Times New Roman"/>
                <w:color w:val="000000"/>
                <w:sz w:val="20"/>
                <w:szCs w:val="22"/>
                <w:lang w:eastAsia="sk-SK"/>
              </w:rPr>
            </w:pPr>
            <w:r w:rsidRPr="004F6A60">
              <w:rPr>
                <w:rFonts w:eastAsia="Times New Roman" w:cs="Times New Roman"/>
                <w:color w:val="000000"/>
                <w:sz w:val="20"/>
                <w:szCs w:val="22"/>
                <w:lang w:eastAsia="sk-SK"/>
              </w:rPr>
              <w:t>335</w:t>
            </w:r>
          </w:p>
        </w:tc>
        <w:tc>
          <w:tcPr>
            <w:tcW w:w="680" w:type="dxa"/>
            <w:noWrap/>
            <w:vAlign w:val="center"/>
            <w:hideMark/>
          </w:tcPr>
          <w:p w14:paraId="5A6FDDA4" w14:textId="77777777" w:rsidR="00695590" w:rsidRPr="004F6A60" w:rsidRDefault="00695590" w:rsidP="004F6A60">
            <w:pPr>
              <w:spacing w:after="0"/>
              <w:jc w:val="right"/>
              <w:rPr>
                <w:rFonts w:eastAsia="Times New Roman" w:cs="Times New Roman"/>
                <w:color w:val="000000"/>
                <w:sz w:val="20"/>
                <w:szCs w:val="22"/>
                <w:lang w:eastAsia="sk-SK"/>
              </w:rPr>
            </w:pPr>
            <w:r w:rsidRPr="004F6A60">
              <w:rPr>
                <w:rFonts w:eastAsia="Times New Roman" w:cs="Times New Roman"/>
                <w:color w:val="000000"/>
                <w:sz w:val="20"/>
                <w:szCs w:val="22"/>
                <w:lang w:eastAsia="sk-SK"/>
              </w:rPr>
              <w:t>328</w:t>
            </w:r>
          </w:p>
        </w:tc>
        <w:tc>
          <w:tcPr>
            <w:tcW w:w="680" w:type="dxa"/>
            <w:noWrap/>
            <w:vAlign w:val="center"/>
            <w:hideMark/>
          </w:tcPr>
          <w:p w14:paraId="1096BBD1" w14:textId="77777777" w:rsidR="00695590" w:rsidRPr="004F6A60" w:rsidRDefault="00695590" w:rsidP="004F6A60">
            <w:pPr>
              <w:spacing w:after="0"/>
              <w:jc w:val="right"/>
              <w:rPr>
                <w:rFonts w:eastAsia="Times New Roman" w:cs="Times New Roman"/>
                <w:color w:val="000000"/>
                <w:sz w:val="20"/>
                <w:szCs w:val="22"/>
                <w:lang w:eastAsia="sk-SK"/>
              </w:rPr>
            </w:pPr>
            <w:r w:rsidRPr="004F6A60">
              <w:rPr>
                <w:rFonts w:eastAsia="Times New Roman" w:cs="Times New Roman"/>
                <w:color w:val="000000"/>
                <w:sz w:val="20"/>
                <w:szCs w:val="22"/>
                <w:lang w:eastAsia="sk-SK"/>
              </w:rPr>
              <w:t>338</w:t>
            </w:r>
          </w:p>
        </w:tc>
        <w:tc>
          <w:tcPr>
            <w:tcW w:w="680" w:type="dxa"/>
            <w:noWrap/>
            <w:vAlign w:val="center"/>
            <w:hideMark/>
          </w:tcPr>
          <w:p w14:paraId="01AFEF3C" w14:textId="77777777" w:rsidR="00695590" w:rsidRPr="004F6A60" w:rsidRDefault="00695590" w:rsidP="004F6A60">
            <w:pPr>
              <w:spacing w:after="0"/>
              <w:jc w:val="right"/>
              <w:rPr>
                <w:rFonts w:eastAsia="Times New Roman" w:cs="Times New Roman"/>
                <w:color w:val="000000"/>
                <w:sz w:val="20"/>
                <w:szCs w:val="22"/>
                <w:lang w:eastAsia="sk-SK"/>
              </w:rPr>
            </w:pPr>
            <w:r w:rsidRPr="004F6A60">
              <w:rPr>
                <w:rFonts w:eastAsia="Times New Roman" w:cs="Times New Roman"/>
                <w:color w:val="000000"/>
                <w:sz w:val="20"/>
                <w:szCs w:val="22"/>
                <w:lang w:eastAsia="sk-SK"/>
              </w:rPr>
              <w:t>349</w:t>
            </w:r>
          </w:p>
        </w:tc>
        <w:tc>
          <w:tcPr>
            <w:tcW w:w="680" w:type="dxa"/>
            <w:noWrap/>
            <w:vAlign w:val="center"/>
            <w:hideMark/>
          </w:tcPr>
          <w:p w14:paraId="55798E03" w14:textId="77777777" w:rsidR="00695590" w:rsidRPr="004F6A60" w:rsidRDefault="00695590" w:rsidP="004F6A60">
            <w:pPr>
              <w:spacing w:after="0"/>
              <w:jc w:val="right"/>
              <w:rPr>
                <w:rFonts w:eastAsia="Times New Roman" w:cs="Times New Roman"/>
                <w:color w:val="000000"/>
                <w:sz w:val="20"/>
                <w:szCs w:val="22"/>
                <w:lang w:eastAsia="sk-SK"/>
              </w:rPr>
            </w:pPr>
            <w:r w:rsidRPr="004F6A60">
              <w:rPr>
                <w:rFonts w:eastAsia="Times New Roman" w:cs="Times New Roman"/>
                <w:color w:val="000000"/>
                <w:sz w:val="20"/>
                <w:szCs w:val="22"/>
                <w:lang w:eastAsia="sk-SK"/>
              </w:rPr>
              <w:t>299</w:t>
            </w:r>
          </w:p>
        </w:tc>
        <w:tc>
          <w:tcPr>
            <w:tcW w:w="680" w:type="dxa"/>
            <w:noWrap/>
            <w:vAlign w:val="center"/>
            <w:hideMark/>
          </w:tcPr>
          <w:p w14:paraId="3349F24B" w14:textId="77777777" w:rsidR="00695590" w:rsidRPr="004F6A60" w:rsidRDefault="00695590" w:rsidP="004F6A60">
            <w:pPr>
              <w:spacing w:after="0"/>
              <w:jc w:val="right"/>
              <w:rPr>
                <w:rFonts w:eastAsia="Times New Roman" w:cs="Times New Roman"/>
                <w:color w:val="000000"/>
                <w:sz w:val="20"/>
                <w:szCs w:val="22"/>
                <w:lang w:eastAsia="sk-SK"/>
              </w:rPr>
            </w:pPr>
            <w:r w:rsidRPr="004F6A60">
              <w:rPr>
                <w:rFonts w:eastAsia="Times New Roman" w:cs="Times New Roman"/>
                <w:color w:val="000000"/>
                <w:sz w:val="20"/>
                <w:szCs w:val="22"/>
                <w:lang w:eastAsia="sk-SK"/>
              </w:rPr>
              <w:t>260</w:t>
            </w:r>
          </w:p>
        </w:tc>
        <w:tc>
          <w:tcPr>
            <w:tcW w:w="680" w:type="dxa"/>
            <w:noWrap/>
            <w:vAlign w:val="center"/>
            <w:hideMark/>
          </w:tcPr>
          <w:p w14:paraId="36E0F2A0" w14:textId="77777777" w:rsidR="00695590" w:rsidRPr="004F6A60" w:rsidRDefault="00695590" w:rsidP="004F6A60">
            <w:pPr>
              <w:spacing w:after="0"/>
              <w:jc w:val="right"/>
              <w:rPr>
                <w:rFonts w:eastAsia="Times New Roman" w:cs="Times New Roman"/>
                <w:color w:val="000000"/>
                <w:sz w:val="20"/>
                <w:szCs w:val="22"/>
                <w:lang w:eastAsia="sk-SK"/>
              </w:rPr>
            </w:pPr>
            <w:r w:rsidRPr="004F6A60">
              <w:rPr>
                <w:rFonts w:eastAsia="Times New Roman" w:cs="Times New Roman"/>
                <w:color w:val="000000"/>
                <w:sz w:val="20"/>
                <w:szCs w:val="22"/>
                <w:lang w:eastAsia="sk-SK"/>
              </w:rPr>
              <w:t>257</w:t>
            </w:r>
          </w:p>
        </w:tc>
      </w:tr>
      <w:tr w:rsidR="00695590" w:rsidRPr="00500CD1" w14:paraId="444E84C0" w14:textId="77777777" w:rsidTr="00B36ECF">
        <w:trPr>
          <w:trHeight w:val="530"/>
        </w:trPr>
        <w:tc>
          <w:tcPr>
            <w:tcW w:w="3738" w:type="dxa"/>
            <w:noWrap/>
            <w:vAlign w:val="center"/>
          </w:tcPr>
          <w:p w14:paraId="249FD040" w14:textId="53353DFF" w:rsidR="00695590" w:rsidRPr="005C0446" w:rsidRDefault="00695590" w:rsidP="000507BD">
            <w:pPr>
              <w:spacing w:after="0"/>
              <w:ind w:left="-108"/>
              <w:jc w:val="left"/>
              <w:rPr>
                <w:sz w:val="20"/>
              </w:rPr>
            </w:pPr>
            <w:r w:rsidRPr="005C0446">
              <w:rPr>
                <w:sz w:val="20"/>
              </w:rPr>
              <w:t>Počet žiakov zo SZP na jedného podporného</w:t>
            </w:r>
            <w:r w:rsidR="00B0450C">
              <w:rPr>
                <w:sz w:val="20"/>
              </w:rPr>
              <w:t xml:space="preserve"> </w:t>
            </w:r>
            <w:r w:rsidRPr="005C0446">
              <w:rPr>
                <w:sz w:val="20"/>
              </w:rPr>
              <w:t>pracovníka</w:t>
            </w:r>
          </w:p>
        </w:tc>
        <w:tc>
          <w:tcPr>
            <w:tcW w:w="680" w:type="dxa"/>
            <w:tcBorders>
              <w:left w:val="nil"/>
            </w:tcBorders>
            <w:noWrap/>
            <w:vAlign w:val="center"/>
          </w:tcPr>
          <w:p w14:paraId="2204F9E6" w14:textId="77777777" w:rsidR="00695590" w:rsidRPr="002250F2" w:rsidRDefault="00695590" w:rsidP="004F6A60">
            <w:pPr>
              <w:spacing w:after="0"/>
              <w:jc w:val="right"/>
              <w:rPr>
                <w:rFonts w:eastAsia="Times New Roman" w:cs="Times New Roman"/>
                <w:color w:val="000000"/>
                <w:sz w:val="20"/>
                <w:szCs w:val="22"/>
                <w:lang w:eastAsia="sk-SK"/>
              </w:rPr>
            </w:pPr>
            <w:r w:rsidRPr="002250F2">
              <w:rPr>
                <w:rFonts w:eastAsia="Times New Roman" w:cs="Times New Roman"/>
                <w:color w:val="000000"/>
                <w:sz w:val="20"/>
                <w:szCs w:val="22"/>
                <w:lang w:eastAsia="sk-SK"/>
              </w:rPr>
              <w:t>195</w:t>
            </w:r>
          </w:p>
        </w:tc>
        <w:tc>
          <w:tcPr>
            <w:tcW w:w="680" w:type="dxa"/>
            <w:noWrap/>
            <w:vAlign w:val="center"/>
          </w:tcPr>
          <w:p w14:paraId="33F3AD72" w14:textId="77777777" w:rsidR="00695590" w:rsidRPr="002250F2" w:rsidRDefault="00695590" w:rsidP="004F6A60">
            <w:pPr>
              <w:spacing w:after="0"/>
              <w:jc w:val="right"/>
              <w:rPr>
                <w:rFonts w:eastAsia="Times New Roman" w:cs="Times New Roman"/>
                <w:color w:val="000000"/>
                <w:sz w:val="20"/>
                <w:szCs w:val="22"/>
                <w:lang w:eastAsia="sk-SK"/>
              </w:rPr>
            </w:pPr>
            <w:r w:rsidRPr="002250F2">
              <w:rPr>
                <w:rFonts w:eastAsia="Times New Roman" w:cs="Times New Roman"/>
                <w:color w:val="000000"/>
                <w:sz w:val="20"/>
                <w:szCs w:val="22"/>
                <w:lang w:eastAsia="sk-SK"/>
              </w:rPr>
              <w:t>200</w:t>
            </w:r>
          </w:p>
        </w:tc>
        <w:tc>
          <w:tcPr>
            <w:tcW w:w="680" w:type="dxa"/>
            <w:noWrap/>
            <w:vAlign w:val="center"/>
          </w:tcPr>
          <w:p w14:paraId="2651AD6E" w14:textId="77777777" w:rsidR="00695590" w:rsidRPr="002250F2" w:rsidRDefault="00695590" w:rsidP="004F6A60">
            <w:pPr>
              <w:spacing w:after="0"/>
              <w:jc w:val="right"/>
              <w:rPr>
                <w:rFonts w:eastAsia="Times New Roman" w:cs="Times New Roman"/>
                <w:color w:val="000000"/>
                <w:sz w:val="20"/>
                <w:szCs w:val="22"/>
                <w:lang w:eastAsia="sk-SK"/>
              </w:rPr>
            </w:pPr>
            <w:r w:rsidRPr="002250F2">
              <w:rPr>
                <w:rFonts w:eastAsia="Times New Roman" w:cs="Times New Roman"/>
                <w:color w:val="000000"/>
                <w:sz w:val="20"/>
                <w:szCs w:val="22"/>
                <w:lang w:eastAsia="sk-SK"/>
              </w:rPr>
              <w:t>195</w:t>
            </w:r>
          </w:p>
        </w:tc>
        <w:tc>
          <w:tcPr>
            <w:tcW w:w="680" w:type="dxa"/>
            <w:noWrap/>
            <w:vAlign w:val="center"/>
          </w:tcPr>
          <w:p w14:paraId="26772596" w14:textId="77777777" w:rsidR="00695590" w:rsidRPr="002250F2" w:rsidRDefault="00695590" w:rsidP="004F6A60">
            <w:pPr>
              <w:spacing w:after="0"/>
              <w:jc w:val="right"/>
              <w:rPr>
                <w:rFonts w:eastAsia="Times New Roman" w:cs="Times New Roman"/>
                <w:color w:val="000000"/>
                <w:sz w:val="20"/>
                <w:szCs w:val="22"/>
                <w:lang w:eastAsia="sk-SK"/>
              </w:rPr>
            </w:pPr>
            <w:r w:rsidRPr="002250F2">
              <w:rPr>
                <w:rFonts w:eastAsia="Times New Roman" w:cs="Times New Roman"/>
                <w:color w:val="000000"/>
                <w:sz w:val="20"/>
                <w:szCs w:val="22"/>
                <w:lang w:eastAsia="sk-SK"/>
              </w:rPr>
              <w:t>175</w:t>
            </w:r>
          </w:p>
        </w:tc>
        <w:tc>
          <w:tcPr>
            <w:tcW w:w="680" w:type="dxa"/>
            <w:noWrap/>
            <w:vAlign w:val="center"/>
          </w:tcPr>
          <w:p w14:paraId="43E9B00D" w14:textId="77777777" w:rsidR="00695590" w:rsidRPr="002250F2" w:rsidRDefault="00695590" w:rsidP="004F6A60">
            <w:pPr>
              <w:spacing w:after="0"/>
              <w:jc w:val="right"/>
              <w:rPr>
                <w:rFonts w:eastAsia="Times New Roman" w:cs="Times New Roman"/>
                <w:color w:val="000000"/>
                <w:sz w:val="20"/>
                <w:szCs w:val="22"/>
                <w:lang w:eastAsia="sk-SK"/>
              </w:rPr>
            </w:pPr>
            <w:r w:rsidRPr="002250F2">
              <w:rPr>
                <w:rFonts w:eastAsia="Times New Roman" w:cs="Times New Roman"/>
                <w:color w:val="000000"/>
                <w:sz w:val="20"/>
                <w:szCs w:val="22"/>
                <w:lang w:eastAsia="sk-SK"/>
              </w:rPr>
              <w:t>151</w:t>
            </w:r>
          </w:p>
        </w:tc>
        <w:tc>
          <w:tcPr>
            <w:tcW w:w="680" w:type="dxa"/>
            <w:noWrap/>
            <w:vAlign w:val="center"/>
          </w:tcPr>
          <w:p w14:paraId="7713C447" w14:textId="77777777" w:rsidR="00695590" w:rsidRPr="002250F2" w:rsidRDefault="00695590" w:rsidP="004F6A60">
            <w:pPr>
              <w:spacing w:after="0"/>
              <w:jc w:val="right"/>
              <w:rPr>
                <w:rFonts w:eastAsia="Times New Roman" w:cs="Times New Roman"/>
                <w:color w:val="000000"/>
                <w:sz w:val="20"/>
                <w:szCs w:val="22"/>
                <w:lang w:eastAsia="sk-SK"/>
              </w:rPr>
            </w:pPr>
            <w:r w:rsidRPr="002250F2">
              <w:rPr>
                <w:rFonts w:eastAsia="Times New Roman" w:cs="Times New Roman"/>
                <w:color w:val="000000"/>
                <w:sz w:val="20"/>
                <w:szCs w:val="22"/>
                <w:lang w:eastAsia="sk-SK"/>
              </w:rPr>
              <w:t>109</w:t>
            </w:r>
          </w:p>
        </w:tc>
        <w:tc>
          <w:tcPr>
            <w:tcW w:w="680" w:type="dxa"/>
            <w:noWrap/>
            <w:vAlign w:val="center"/>
          </w:tcPr>
          <w:p w14:paraId="4C5DC4AA" w14:textId="77777777" w:rsidR="00695590" w:rsidRPr="002250F2" w:rsidRDefault="00695590" w:rsidP="004F6A60">
            <w:pPr>
              <w:spacing w:after="0"/>
              <w:jc w:val="right"/>
              <w:rPr>
                <w:rFonts w:eastAsia="Times New Roman" w:cs="Times New Roman"/>
                <w:color w:val="000000"/>
                <w:sz w:val="20"/>
                <w:szCs w:val="22"/>
                <w:lang w:eastAsia="sk-SK"/>
              </w:rPr>
            </w:pPr>
            <w:r w:rsidRPr="002250F2">
              <w:rPr>
                <w:rFonts w:eastAsia="Times New Roman" w:cs="Times New Roman"/>
                <w:color w:val="000000"/>
                <w:sz w:val="20"/>
                <w:szCs w:val="22"/>
                <w:lang w:eastAsia="sk-SK"/>
              </w:rPr>
              <w:t>160</w:t>
            </w:r>
          </w:p>
        </w:tc>
      </w:tr>
      <w:tr w:rsidR="00695590" w:rsidRPr="00500CD1" w14:paraId="744CDFAF" w14:textId="77777777" w:rsidTr="00B36ECF">
        <w:trPr>
          <w:trHeight w:val="300"/>
        </w:trPr>
        <w:tc>
          <w:tcPr>
            <w:tcW w:w="3738" w:type="dxa"/>
            <w:noWrap/>
            <w:vAlign w:val="center"/>
            <w:hideMark/>
          </w:tcPr>
          <w:p w14:paraId="13478F2C" w14:textId="77777777" w:rsidR="00695590" w:rsidRPr="005C0446" w:rsidRDefault="00695590" w:rsidP="000507BD">
            <w:pPr>
              <w:spacing w:after="0"/>
              <w:ind w:left="-108"/>
              <w:jc w:val="left"/>
              <w:rPr>
                <w:sz w:val="20"/>
              </w:rPr>
            </w:pPr>
            <w:r w:rsidRPr="005C0446">
              <w:rPr>
                <w:sz w:val="20"/>
              </w:rPr>
              <w:t>Veľkosť úväzku pokrytého 100 % hodnotou SZP príspevku pri 100 žiakoch</w:t>
            </w:r>
          </w:p>
        </w:tc>
        <w:tc>
          <w:tcPr>
            <w:tcW w:w="680" w:type="dxa"/>
            <w:tcBorders>
              <w:left w:val="nil"/>
            </w:tcBorders>
            <w:noWrap/>
            <w:vAlign w:val="center"/>
            <w:hideMark/>
          </w:tcPr>
          <w:p w14:paraId="3B4C4128" w14:textId="77777777" w:rsidR="00695590" w:rsidRPr="002250F2" w:rsidRDefault="00695590" w:rsidP="004F6A60">
            <w:pPr>
              <w:spacing w:after="0"/>
              <w:jc w:val="right"/>
              <w:rPr>
                <w:rFonts w:eastAsia="Times New Roman" w:cs="Times New Roman"/>
                <w:color w:val="000000"/>
                <w:sz w:val="20"/>
                <w:szCs w:val="22"/>
                <w:lang w:eastAsia="sk-SK"/>
              </w:rPr>
            </w:pPr>
            <w:r w:rsidRPr="002250F2">
              <w:rPr>
                <w:rFonts w:eastAsia="Times New Roman" w:cs="Times New Roman"/>
                <w:color w:val="000000"/>
                <w:sz w:val="20"/>
                <w:szCs w:val="22"/>
                <w:lang w:eastAsia="sk-SK"/>
              </w:rPr>
              <w:t>1,17</w:t>
            </w:r>
          </w:p>
        </w:tc>
        <w:tc>
          <w:tcPr>
            <w:tcW w:w="680" w:type="dxa"/>
            <w:noWrap/>
            <w:vAlign w:val="center"/>
            <w:hideMark/>
          </w:tcPr>
          <w:p w14:paraId="776C81E1" w14:textId="77777777" w:rsidR="00695590" w:rsidRPr="002250F2" w:rsidRDefault="00695590" w:rsidP="004F6A60">
            <w:pPr>
              <w:spacing w:after="0"/>
              <w:jc w:val="right"/>
              <w:rPr>
                <w:rFonts w:eastAsia="Times New Roman" w:cs="Times New Roman"/>
                <w:color w:val="000000"/>
                <w:sz w:val="20"/>
                <w:szCs w:val="22"/>
                <w:lang w:eastAsia="sk-SK"/>
              </w:rPr>
            </w:pPr>
            <w:r w:rsidRPr="002250F2">
              <w:rPr>
                <w:rFonts w:eastAsia="Times New Roman" w:cs="Times New Roman"/>
                <w:color w:val="000000"/>
                <w:sz w:val="20"/>
                <w:szCs w:val="22"/>
                <w:lang w:eastAsia="sk-SK"/>
              </w:rPr>
              <w:t>1,05</w:t>
            </w:r>
          </w:p>
        </w:tc>
        <w:tc>
          <w:tcPr>
            <w:tcW w:w="680" w:type="dxa"/>
            <w:noWrap/>
            <w:vAlign w:val="center"/>
            <w:hideMark/>
          </w:tcPr>
          <w:p w14:paraId="18BF9997" w14:textId="77777777" w:rsidR="00695590" w:rsidRPr="002250F2" w:rsidRDefault="00695590" w:rsidP="004F6A60">
            <w:pPr>
              <w:spacing w:after="0"/>
              <w:jc w:val="right"/>
              <w:rPr>
                <w:rFonts w:eastAsia="Times New Roman" w:cs="Times New Roman"/>
                <w:color w:val="000000"/>
                <w:sz w:val="20"/>
                <w:szCs w:val="22"/>
                <w:lang w:eastAsia="sk-SK"/>
              </w:rPr>
            </w:pPr>
            <w:r w:rsidRPr="002250F2">
              <w:rPr>
                <w:rFonts w:eastAsia="Times New Roman" w:cs="Times New Roman"/>
                <w:color w:val="000000"/>
                <w:sz w:val="20"/>
                <w:szCs w:val="22"/>
                <w:lang w:eastAsia="sk-SK"/>
              </w:rPr>
              <w:t>1,01</w:t>
            </w:r>
          </w:p>
        </w:tc>
        <w:tc>
          <w:tcPr>
            <w:tcW w:w="680" w:type="dxa"/>
            <w:noWrap/>
            <w:vAlign w:val="center"/>
            <w:hideMark/>
          </w:tcPr>
          <w:p w14:paraId="0973EB48" w14:textId="77777777" w:rsidR="00695590" w:rsidRPr="002250F2" w:rsidRDefault="00695590" w:rsidP="004F6A60">
            <w:pPr>
              <w:spacing w:after="0"/>
              <w:jc w:val="right"/>
              <w:rPr>
                <w:rFonts w:eastAsia="Times New Roman" w:cs="Times New Roman"/>
                <w:color w:val="000000"/>
                <w:sz w:val="20"/>
                <w:szCs w:val="22"/>
                <w:lang w:eastAsia="sk-SK"/>
              </w:rPr>
            </w:pPr>
            <w:r w:rsidRPr="002250F2">
              <w:rPr>
                <w:rFonts w:eastAsia="Times New Roman" w:cs="Times New Roman"/>
                <w:color w:val="000000"/>
                <w:sz w:val="20"/>
                <w:szCs w:val="22"/>
                <w:lang w:eastAsia="sk-SK"/>
              </w:rPr>
              <w:t>1,01</w:t>
            </w:r>
          </w:p>
        </w:tc>
        <w:tc>
          <w:tcPr>
            <w:tcW w:w="680" w:type="dxa"/>
            <w:noWrap/>
            <w:vAlign w:val="center"/>
            <w:hideMark/>
          </w:tcPr>
          <w:p w14:paraId="3F15F030" w14:textId="77777777" w:rsidR="00695590" w:rsidRPr="002250F2" w:rsidRDefault="00695590" w:rsidP="004F6A60">
            <w:pPr>
              <w:spacing w:after="0"/>
              <w:jc w:val="right"/>
              <w:rPr>
                <w:rFonts w:eastAsia="Times New Roman" w:cs="Times New Roman"/>
                <w:color w:val="000000"/>
                <w:sz w:val="20"/>
                <w:szCs w:val="22"/>
                <w:lang w:eastAsia="sk-SK"/>
              </w:rPr>
            </w:pPr>
            <w:r w:rsidRPr="002250F2">
              <w:rPr>
                <w:rFonts w:eastAsia="Times New Roman" w:cs="Times New Roman"/>
                <w:color w:val="000000"/>
                <w:sz w:val="20"/>
                <w:szCs w:val="22"/>
                <w:lang w:eastAsia="sk-SK"/>
              </w:rPr>
              <w:t>0,71</w:t>
            </w:r>
          </w:p>
        </w:tc>
        <w:tc>
          <w:tcPr>
            <w:tcW w:w="680" w:type="dxa"/>
            <w:noWrap/>
            <w:vAlign w:val="center"/>
            <w:hideMark/>
          </w:tcPr>
          <w:p w14:paraId="47AC42C5" w14:textId="77777777" w:rsidR="00695590" w:rsidRPr="002250F2" w:rsidRDefault="00695590" w:rsidP="004F6A60">
            <w:pPr>
              <w:spacing w:after="0"/>
              <w:jc w:val="right"/>
              <w:rPr>
                <w:rFonts w:eastAsia="Times New Roman" w:cs="Times New Roman"/>
                <w:color w:val="000000"/>
                <w:sz w:val="20"/>
                <w:szCs w:val="22"/>
                <w:lang w:eastAsia="sk-SK"/>
              </w:rPr>
            </w:pPr>
            <w:r w:rsidRPr="002250F2">
              <w:rPr>
                <w:rFonts w:eastAsia="Times New Roman" w:cs="Times New Roman"/>
                <w:color w:val="000000"/>
                <w:sz w:val="20"/>
                <w:szCs w:val="22"/>
                <w:lang w:eastAsia="sk-SK"/>
              </w:rPr>
              <w:t>2,04</w:t>
            </w:r>
          </w:p>
        </w:tc>
        <w:tc>
          <w:tcPr>
            <w:tcW w:w="680" w:type="dxa"/>
            <w:noWrap/>
            <w:vAlign w:val="center"/>
            <w:hideMark/>
          </w:tcPr>
          <w:p w14:paraId="368A5788" w14:textId="77777777" w:rsidR="00695590" w:rsidRPr="002250F2" w:rsidRDefault="00695590" w:rsidP="004F6A60">
            <w:pPr>
              <w:spacing w:after="0"/>
              <w:jc w:val="right"/>
              <w:rPr>
                <w:rFonts w:eastAsia="Times New Roman" w:cs="Times New Roman"/>
                <w:color w:val="000000"/>
                <w:sz w:val="20"/>
                <w:szCs w:val="22"/>
                <w:lang w:eastAsia="sk-SK"/>
              </w:rPr>
            </w:pPr>
            <w:r w:rsidRPr="002250F2">
              <w:rPr>
                <w:rFonts w:eastAsia="Times New Roman" w:cs="Times New Roman"/>
                <w:color w:val="000000"/>
                <w:sz w:val="20"/>
                <w:szCs w:val="22"/>
                <w:lang w:eastAsia="sk-SK"/>
              </w:rPr>
              <w:t>0,98</w:t>
            </w:r>
          </w:p>
        </w:tc>
      </w:tr>
      <w:tr w:rsidR="00695590" w:rsidRPr="00500CD1" w14:paraId="27FBFD57" w14:textId="77777777" w:rsidTr="00B36ECF">
        <w:trPr>
          <w:trHeight w:val="300"/>
        </w:trPr>
        <w:tc>
          <w:tcPr>
            <w:tcW w:w="3738" w:type="dxa"/>
            <w:tcBorders>
              <w:bottom w:val="single" w:sz="4" w:space="0" w:color="auto"/>
            </w:tcBorders>
            <w:noWrap/>
            <w:vAlign w:val="center"/>
            <w:hideMark/>
          </w:tcPr>
          <w:p w14:paraId="442E3043" w14:textId="77777777" w:rsidR="00695590" w:rsidRPr="005C0446" w:rsidRDefault="00695590" w:rsidP="000507BD">
            <w:pPr>
              <w:spacing w:after="0"/>
              <w:ind w:left="-108"/>
              <w:jc w:val="left"/>
              <w:rPr>
                <w:sz w:val="20"/>
              </w:rPr>
            </w:pPr>
            <w:r w:rsidRPr="005C0446">
              <w:rPr>
                <w:sz w:val="20"/>
              </w:rPr>
              <w:t>Veľkosť úväzku pokrytého 50 % hodnotou SZP príspevku pri 100 žiakoch</w:t>
            </w:r>
          </w:p>
        </w:tc>
        <w:tc>
          <w:tcPr>
            <w:tcW w:w="680" w:type="dxa"/>
            <w:tcBorders>
              <w:left w:val="nil"/>
              <w:bottom w:val="single" w:sz="4" w:space="0" w:color="auto"/>
            </w:tcBorders>
            <w:noWrap/>
            <w:vAlign w:val="center"/>
            <w:hideMark/>
          </w:tcPr>
          <w:p w14:paraId="3AFE6590" w14:textId="77777777" w:rsidR="00695590" w:rsidRPr="002250F2" w:rsidRDefault="00695590" w:rsidP="004F6A60">
            <w:pPr>
              <w:spacing w:after="0"/>
              <w:jc w:val="right"/>
              <w:rPr>
                <w:rFonts w:eastAsia="Times New Roman" w:cs="Times New Roman"/>
                <w:color w:val="000000"/>
                <w:sz w:val="20"/>
                <w:szCs w:val="22"/>
                <w:lang w:eastAsia="sk-SK"/>
              </w:rPr>
            </w:pPr>
            <w:r w:rsidRPr="002250F2">
              <w:rPr>
                <w:rFonts w:eastAsia="Times New Roman" w:cs="Times New Roman"/>
                <w:color w:val="000000"/>
                <w:sz w:val="20"/>
                <w:szCs w:val="22"/>
                <w:lang w:eastAsia="sk-SK"/>
              </w:rPr>
              <w:t>0,59</w:t>
            </w:r>
          </w:p>
        </w:tc>
        <w:tc>
          <w:tcPr>
            <w:tcW w:w="680" w:type="dxa"/>
            <w:tcBorders>
              <w:bottom w:val="single" w:sz="4" w:space="0" w:color="auto"/>
            </w:tcBorders>
            <w:noWrap/>
            <w:vAlign w:val="center"/>
            <w:hideMark/>
          </w:tcPr>
          <w:p w14:paraId="4C8B1C61" w14:textId="77777777" w:rsidR="00695590" w:rsidRPr="002250F2" w:rsidRDefault="00695590" w:rsidP="004F6A60">
            <w:pPr>
              <w:spacing w:after="0"/>
              <w:jc w:val="right"/>
              <w:rPr>
                <w:rFonts w:eastAsia="Times New Roman" w:cs="Times New Roman"/>
                <w:color w:val="000000"/>
                <w:sz w:val="20"/>
                <w:szCs w:val="22"/>
                <w:lang w:eastAsia="sk-SK"/>
              </w:rPr>
            </w:pPr>
            <w:r w:rsidRPr="002250F2">
              <w:rPr>
                <w:rFonts w:eastAsia="Times New Roman" w:cs="Times New Roman"/>
                <w:color w:val="000000"/>
                <w:sz w:val="20"/>
                <w:szCs w:val="22"/>
                <w:lang w:eastAsia="sk-SK"/>
              </w:rPr>
              <w:t>0,53</w:t>
            </w:r>
          </w:p>
        </w:tc>
        <w:tc>
          <w:tcPr>
            <w:tcW w:w="680" w:type="dxa"/>
            <w:tcBorders>
              <w:bottom w:val="single" w:sz="4" w:space="0" w:color="auto"/>
            </w:tcBorders>
            <w:noWrap/>
            <w:vAlign w:val="center"/>
            <w:hideMark/>
          </w:tcPr>
          <w:p w14:paraId="0FCC91A1" w14:textId="77777777" w:rsidR="00695590" w:rsidRPr="002250F2" w:rsidRDefault="00695590" w:rsidP="004F6A60">
            <w:pPr>
              <w:spacing w:after="0"/>
              <w:jc w:val="right"/>
              <w:rPr>
                <w:rFonts w:eastAsia="Times New Roman" w:cs="Times New Roman"/>
                <w:color w:val="000000"/>
                <w:sz w:val="20"/>
                <w:szCs w:val="22"/>
                <w:lang w:eastAsia="sk-SK"/>
              </w:rPr>
            </w:pPr>
            <w:r w:rsidRPr="002250F2">
              <w:rPr>
                <w:rFonts w:eastAsia="Times New Roman" w:cs="Times New Roman"/>
                <w:color w:val="000000"/>
                <w:sz w:val="20"/>
                <w:szCs w:val="22"/>
                <w:lang w:eastAsia="sk-SK"/>
              </w:rPr>
              <w:t>0,51</w:t>
            </w:r>
          </w:p>
        </w:tc>
        <w:tc>
          <w:tcPr>
            <w:tcW w:w="680" w:type="dxa"/>
            <w:tcBorders>
              <w:bottom w:val="single" w:sz="4" w:space="0" w:color="auto"/>
            </w:tcBorders>
            <w:noWrap/>
            <w:vAlign w:val="center"/>
            <w:hideMark/>
          </w:tcPr>
          <w:p w14:paraId="35FB7F8B" w14:textId="77777777" w:rsidR="00695590" w:rsidRPr="002250F2" w:rsidRDefault="00695590" w:rsidP="004F6A60">
            <w:pPr>
              <w:spacing w:after="0"/>
              <w:jc w:val="right"/>
              <w:rPr>
                <w:rFonts w:eastAsia="Times New Roman" w:cs="Times New Roman"/>
                <w:color w:val="000000"/>
                <w:sz w:val="20"/>
                <w:szCs w:val="22"/>
                <w:lang w:eastAsia="sk-SK"/>
              </w:rPr>
            </w:pPr>
            <w:r w:rsidRPr="002250F2">
              <w:rPr>
                <w:rFonts w:eastAsia="Times New Roman" w:cs="Times New Roman"/>
                <w:color w:val="000000"/>
                <w:sz w:val="20"/>
                <w:szCs w:val="22"/>
                <w:lang w:eastAsia="sk-SK"/>
              </w:rPr>
              <w:t>0,50</w:t>
            </w:r>
          </w:p>
        </w:tc>
        <w:tc>
          <w:tcPr>
            <w:tcW w:w="680" w:type="dxa"/>
            <w:tcBorders>
              <w:bottom w:val="single" w:sz="4" w:space="0" w:color="auto"/>
            </w:tcBorders>
            <w:noWrap/>
            <w:vAlign w:val="center"/>
            <w:hideMark/>
          </w:tcPr>
          <w:p w14:paraId="0C58B7DD" w14:textId="77777777" w:rsidR="00695590" w:rsidRPr="002250F2" w:rsidRDefault="00695590" w:rsidP="004F6A60">
            <w:pPr>
              <w:spacing w:after="0"/>
              <w:jc w:val="right"/>
              <w:rPr>
                <w:rFonts w:eastAsia="Times New Roman" w:cs="Times New Roman"/>
                <w:color w:val="000000"/>
                <w:sz w:val="20"/>
                <w:szCs w:val="22"/>
                <w:lang w:eastAsia="sk-SK"/>
              </w:rPr>
            </w:pPr>
            <w:r w:rsidRPr="002250F2">
              <w:rPr>
                <w:rFonts w:eastAsia="Times New Roman" w:cs="Times New Roman"/>
                <w:color w:val="000000"/>
                <w:sz w:val="20"/>
                <w:szCs w:val="22"/>
                <w:lang w:eastAsia="sk-SK"/>
              </w:rPr>
              <w:t>0,35</w:t>
            </w:r>
          </w:p>
        </w:tc>
        <w:tc>
          <w:tcPr>
            <w:tcW w:w="680" w:type="dxa"/>
            <w:tcBorders>
              <w:bottom w:val="single" w:sz="4" w:space="0" w:color="auto"/>
            </w:tcBorders>
            <w:noWrap/>
            <w:vAlign w:val="center"/>
            <w:hideMark/>
          </w:tcPr>
          <w:p w14:paraId="42924DE3" w14:textId="77777777" w:rsidR="00695590" w:rsidRPr="002250F2" w:rsidRDefault="00695590" w:rsidP="004F6A60">
            <w:pPr>
              <w:spacing w:after="0"/>
              <w:jc w:val="right"/>
              <w:rPr>
                <w:rFonts w:eastAsia="Times New Roman" w:cs="Times New Roman"/>
                <w:color w:val="000000"/>
                <w:sz w:val="20"/>
                <w:szCs w:val="22"/>
                <w:lang w:eastAsia="sk-SK"/>
              </w:rPr>
            </w:pPr>
            <w:r w:rsidRPr="002250F2">
              <w:rPr>
                <w:rFonts w:eastAsia="Times New Roman" w:cs="Times New Roman"/>
                <w:color w:val="000000"/>
                <w:sz w:val="20"/>
                <w:szCs w:val="22"/>
                <w:lang w:eastAsia="sk-SK"/>
              </w:rPr>
              <w:t>1,02</w:t>
            </w:r>
          </w:p>
        </w:tc>
        <w:tc>
          <w:tcPr>
            <w:tcW w:w="680" w:type="dxa"/>
            <w:tcBorders>
              <w:bottom w:val="single" w:sz="4" w:space="0" w:color="auto"/>
            </w:tcBorders>
            <w:noWrap/>
            <w:vAlign w:val="center"/>
            <w:hideMark/>
          </w:tcPr>
          <w:p w14:paraId="01C2C493" w14:textId="77777777" w:rsidR="00695590" w:rsidRPr="002250F2" w:rsidRDefault="00695590" w:rsidP="004F6A60">
            <w:pPr>
              <w:spacing w:after="0"/>
              <w:jc w:val="right"/>
              <w:rPr>
                <w:rFonts w:eastAsia="Times New Roman" w:cs="Times New Roman"/>
                <w:color w:val="000000"/>
                <w:sz w:val="20"/>
                <w:szCs w:val="22"/>
                <w:lang w:eastAsia="sk-SK"/>
              </w:rPr>
            </w:pPr>
            <w:r w:rsidRPr="002250F2">
              <w:rPr>
                <w:rFonts w:eastAsia="Times New Roman" w:cs="Times New Roman"/>
                <w:color w:val="000000"/>
                <w:sz w:val="20"/>
                <w:szCs w:val="22"/>
                <w:lang w:eastAsia="sk-SK"/>
              </w:rPr>
              <w:t>0,49</w:t>
            </w:r>
          </w:p>
        </w:tc>
      </w:tr>
    </w:tbl>
    <w:p w14:paraId="0437977D" w14:textId="77777777" w:rsidR="00B87881" w:rsidRDefault="00695590" w:rsidP="00B87881">
      <w:pPr>
        <w:spacing w:after="0"/>
        <w:jc w:val="right"/>
        <w:rPr>
          <w:bCs/>
          <w:i/>
          <w:iCs/>
          <w:sz w:val="18"/>
          <w:szCs w:val="18"/>
        </w:rPr>
      </w:pPr>
      <w:r w:rsidRPr="00500CD1">
        <w:rPr>
          <w:bCs/>
          <w:i/>
          <w:iCs/>
          <w:sz w:val="18"/>
          <w:szCs w:val="18"/>
        </w:rPr>
        <w:t>Zdroj: Vlastné prepočty IVP na základe Správy o hospodárení a Štatistického zisťovania o zamestnancoch a mzdových prostriedkoch v školstve</w:t>
      </w:r>
      <w:r w:rsidR="00B87881">
        <w:rPr>
          <w:bCs/>
          <w:i/>
          <w:iCs/>
          <w:sz w:val="18"/>
          <w:szCs w:val="18"/>
        </w:rPr>
        <w:t>.</w:t>
      </w:r>
    </w:p>
    <w:p w14:paraId="0932C675" w14:textId="2564403D" w:rsidR="00695590" w:rsidRPr="008751D3" w:rsidRDefault="00695590" w:rsidP="00B87881">
      <w:pPr>
        <w:spacing w:after="0"/>
        <w:rPr>
          <w:bCs/>
          <w:i/>
          <w:iCs/>
          <w:sz w:val="18"/>
          <w:szCs w:val="18"/>
        </w:rPr>
      </w:pPr>
      <w:r w:rsidRPr="00B15218">
        <w:rPr>
          <w:bCs/>
          <w:i/>
          <w:iCs/>
          <w:sz w:val="18"/>
          <w:szCs w:val="18"/>
        </w:rPr>
        <w:t xml:space="preserve"> </w:t>
      </w:r>
      <w:r w:rsidR="00B87881">
        <w:rPr>
          <w:bCs/>
          <w:i/>
          <w:iCs/>
          <w:sz w:val="18"/>
          <w:szCs w:val="18"/>
        </w:rPr>
        <w:t xml:space="preserve">Poznámka: </w:t>
      </w:r>
      <w:r w:rsidRPr="00B15218">
        <w:rPr>
          <w:bCs/>
          <w:i/>
          <w:iCs/>
          <w:sz w:val="18"/>
          <w:szCs w:val="18"/>
        </w:rPr>
        <w:t>V </w:t>
      </w:r>
      <w:r>
        <w:rPr>
          <w:bCs/>
          <w:i/>
          <w:iCs/>
          <w:sz w:val="18"/>
          <w:szCs w:val="18"/>
        </w:rPr>
        <w:t>roku 2018 sa hranica na použitie polovice príspevku na asistentov znížila na 85 žiakov a využitie príspevku sa okrem asistentov rozšírilo aj na sociálnych pedagógov.</w:t>
      </w:r>
    </w:p>
    <w:p w14:paraId="5AB4DB83" w14:textId="58AB389D" w:rsidR="006D483D" w:rsidRDefault="006D483D" w:rsidP="006D483D">
      <w:pPr>
        <w:spacing w:before="160"/>
        <w:rPr>
          <w:szCs w:val="22"/>
        </w:rPr>
      </w:pPr>
      <w:r w:rsidRPr="00BE0005">
        <w:rPr>
          <w:b/>
        </w:rPr>
        <w:t xml:space="preserve">S cieľom zastabilizovať a navýšiť podporu pre </w:t>
      </w:r>
      <w:r>
        <w:rPr>
          <w:b/>
        </w:rPr>
        <w:t xml:space="preserve">žiakov zo SZP revízia navrhuje: </w:t>
      </w:r>
      <w:r w:rsidRPr="00BE0005">
        <w:rPr>
          <w:b/>
        </w:rPr>
        <w:t>(</w:t>
      </w:r>
      <w:r>
        <w:rPr>
          <w:b/>
        </w:rPr>
        <w:t>1</w:t>
      </w:r>
      <w:r w:rsidRPr="00BE0005">
        <w:rPr>
          <w:b/>
        </w:rPr>
        <w:t xml:space="preserve">) vytvoriť nový normatív pre žiakov zo </w:t>
      </w:r>
      <w:r w:rsidRPr="00B15218">
        <w:rPr>
          <w:b/>
        </w:rPr>
        <w:t>SZP,</w:t>
      </w:r>
      <w:r w:rsidRPr="00BE0005">
        <w:rPr>
          <w:b/>
        </w:rPr>
        <w:t xml:space="preserve"> v nadväznosti na ktorý bude mať škola obdobne</w:t>
      </w:r>
      <w:r w:rsidR="0047707D">
        <w:rPr>
          <w:b/>
        </w:rPr>
        <w:t xml:space="preserve"> ako pri vzdelávaní žiakov so zdravotným znevýhodnením</w:t>
      </w:r>
      <w:r w:rsidRPr="00BE0005">
        <w:rPr>
          <w:b/>
        </w:rPr>
        <w:t xml:space="preserve"> povinnosť pri počte 50</w:t>
      </w:r>
      <w:r>
        <w:rPr>
          <w:b/>
        </w:rPr>
        <w:t xml:space="preserve"> a viac</w:t>
      </w:r>
      <w:r w:rsidRPr="00BE0005">
        <w:rPr>
          <w:b/>
        </w:rPr>
        <w:t xml:space="preserve"> žiakov zo SZP zamestnať </w:t>
      </w:r>
      <w:r>
        <w:rPr>
          <w:b/>
        </w:rPr>
        <w:t xml:space="preserve">na každých 50 žiakov </w:t>
      </w:r>
      <w:r w:rsidRPr="00BE0005">
        <w:rPr>
          <w:b/>
        </w:rPr>
        <w:t>pedagogického asistenta alebo ľubovoľného odborného zamestnanca, (</w:t>
      </w:r>
      <w:r>
        <w:rPr>
          <w:b/>
        </w:rPr>
        <w:t>2</w:t>
      </w:r>
      <w:r w:rsidRPr="00BE0005">
        <w:rPr>
          <w:b/>
        </w:rPr>
        <w:t>) vytvoriť samostatný príspevok na dorovnávanie šancí, z ktorého budú hradené materiálne potreby žiakov zo SZP, a ktorý bude pravidelne valorizovaný</w:t>
      </w:r>
      <w:r>
        <w:rPr>
          <w:b/>
        </w:rPr>
        <w:t>.</w:t>
      </w:r>
    </w:p>
    <w:p w14:paraId="6756173D" w14:textId="33DD799C" w:rsidR="006D483D" w:rsidRPr="00122F6F" w:rsidRDefault="006D483D" w:rsidP="006D483D">
      <w:r w:rsidRPr="00BE0005">
        <w:rPr>
          <w:b/>
        </w:rPr>
        <w:t>Zo SZP príspevku sú hradené aj príplatky pre učiteľov, ktorí vyučujú v triedach, kde sa vzdeláva najmenej 30 % žiakov zo SZP alebo so zdravotným znevýhodnením.</w:t>
      </w:r>
      <w:r w:rsidRPr="00500CD1">
        <w:t xml:space="preserve"> </w:t>
      </w:r>
      <w:r w:rsidRPr="00171917">
        <w:t>V roku 2018 mal</w:t>
      </w:r>
      <w:r w:rsidR="00176145">
        <w:t xml:space="preserve"> príplatok hodnotu maximálne 26 </w:t>
      </w:r>
      <w:r w:rsidRPr="00171917">
        <w:t>eur mesačne</w:t>
      </w:r>
      <w:r w:rsidR="0011017B">
        <w:t>,</w:t>
      </w:r>
      <w:r>
        <w:rPr>
          <w:rStyle w:val="Odkaznapoznmkupodiarou"/>
        </w:rPr>
        <w:footnoteReference w:id="121"/>
      </w:r>
      <w:r w:rsidRPr="00171917">
        <w:t xml:space="preserve"> celkový objem zdrojov použitý na vyplatenie príplatkov nie je možné vyčísliť.</w:t>
      </w:r>
    </w:p>
    <w:p w14:paraId="60269D6D" w14:textId="661FF806" w:rsidR="00695590" w:rsidRDefault="00695590" w:rsidP="00BE0005">
      <w:r w:rsidRPr="00500CD1">
        <w:rPr>
          <w:b/>
        </w:rPr>
        <w:t xml:space="preserve">Nastavenie podmienok pre vznik nároku na príplatok je problematické. </w:t>
      </w:r>
      <w:r w:rsidRPr="00500CD1">
        <w:t>Nárok na vznik príplatku je podmienený vyššou koncentráciou znevýhodnených žiakov v jednej triede. Takýto prístup m</w:t>
      </w:r>
      <w:r>
        <w:t>á</w:t>
      </w:r>
      <w:r w:rsidRPr="00500CD1">
        <w:t xml:space="preserve"> preukázateľne negatívny dopad na vzdelávacie výsledky všetkých žiakov v</w:t>
      </w:r>
      <w:r w:rsidR="00B901F9">
        <w:t> </w:t>
      </w:r>
      <w:r w:rsidRPr="00500CD1">
        <w:t>triede</w:t>
      </w:r>
      <w:r w:rsidR="00B901F9">
        <w:t xml:space="preserve"> (OECD, 2010)</w:t>
      </w:r>
      <w:r w:rsidRPr="00500CD1">
        <w:t xml:space="preserve">. Vznik nároku na príplatok sa </w:t>
      </w:r>
      <w:r w:rsidR="001C11A4">
        <w:t xml:space="preserve">zo zákona </w:t>
      </w:r>
      <w:r w:rsidRPr="00500CD1">
        <w:t xml:space="preserve">vylučuje s pôsobením pedagogického asistenta v triede, čo učiteľa, resp. riaditeľa stavia do pozície, že je potrebné vybrať si medzi pôsobením asistenta alebo odmenením učiteľa. V neposlednom rade sa zo SZP príspevku </w:t>
      </w:r>
      <w:r w:rsidR="00D04A95">
        <w:t xml:space="preserve">podľa zákona </w:t>
      </w:r>
      <w:r w:rsidRPr="00500CD1">
        <w:t>financujú aj odmeny pre učiteľov vzdelávajúcich výlučne alebo prevažne žiakov so zdravotným znevýhodnením, pričom na podporu tejto skupiny žiakov dostávajú školy samostatné navýšené normatívy.</w:t>
      </w:r>
      <w:r w:rsidRPr="00500CD1">
        <w:rPr>
          <w:rStyle w:val="Odkaznapoznmkupodiarou"/>
          <w:bCs/>
        </w:rPr>
        <w:footnoteReference w:id="122"/>
      </w:r>
      <w:r w:rsidRPr="00500CD1">
        <w:t xml:space="preserve"> </w:t>
      </w:r>
    </w:p>
    <w:p w14:paraId="6C8FF67F" w14:textId="1E1A8A6A" w:rsidR="00695590" w:rsidRPr="00BE0005" w:rsidRDefault="00695590" w:rsidP="00BE0005">
      <w:pPr>
        <w:rPr>
          <w:b/>
        </w:rPr>
      </w:pPr>
      <w:r w:rsidRPr="00BE0005">
        <w:rPr>
          <w:b/>
        </w:rPr>
        <w:t>Z pohľadu koncentrácie znevýhodnených žiakov v jednej triede je problematické aj využitie SZP príspevku na zriadenie špecializovanej triedy.</w:t>
      </w:r>
      <w:r>
        <w:t xml:space="preserve"> </w:t>
      </w:r>
      <w:r w:rsidRPr="00171917">
        <w:t>Tá je určená pre žiakov zo SZP, ktorí nemajú predpoklad úspešne zvládnuť obsah vzdelávania príslušného ročníka na účely kompenzácie chýbajúceho obsahu vzdelávania.</w:t>
      </w:r>
      <w:r w:rsidRPr="00171917">
        <w:rPr>
          <w:rStyle w:val="Odkaznapoznmkupodiarou"/>
        </w:rPr>
        <w:footnoteReference w:id="123"/>
      </w:r>
      <w:r w:rsidRPr="00171917">
        <w:t xml:space="preserve"> </w:t>
      </w:r>
      <w:r w:rsidRPr="00A3246F">
        <w:t>Žiaci sa v nej môžu vzdelávať</w:t>
      </w:r>
      <w:r w:rsidRPr="00500CD1">
        <w:t xml:space="preserve"> maximálne jeden rok.</w:t>
      </w:r>
      <w:r w:rsidRPr="00500CD1">
        <w:rPr>
          <w:rStyle w:val="Odkaznapoznmkupodiarou"/>
        </w:rPr>
        <w:footnoteReference w:id="124"/>
      </w:r>
      <w:r>
        <w:t xml:space="preserve"> </w:t>
      </w:r>
      <w:r w:rsidRPr="00171917">
        <w:t>Špecializovanú triedu financovanú zo SZP príspevku malo v roku 2018 zriadenú iba 18 škôl (spolu 22 tried s 164 žiakmi)</w:t>
      </w:r>
      <w:r w:rsidRPr="00DD74D4">
        <w:rPr>
          <w:rStyle w:val="Odkaznapoznmkupodiarou"/>
        </w:rPr>
        <w:footnoteReference w:id="125"/>
      </w:r>
      <w:r w:rsidRPr="00171917">
        <w:t>, čo predstavuje menej ako 2 % zo všetkých škôl, ktoré vzdelávajú aspoň štyroch žiakov zo SZP a mohli by špecializovanú triedu otvoriť.</w:t>
      </w:r>
      <w:r>
        <w:rPr>
          <w:rStyle w:val="Odkaznapoznmkupodiarou"/>
        </w:rPr>
        <w:footnoteReference w:id="126"/>
      </w:r>
      <w:r w:rsidRPr="00171917">
        <w:t xml:space="preserve"> </w:t>
      </w:r>
      <w:r w:rsidR="00D04A95" w:rsidRPr="00B91E2D">
        <w:rPr>
          <w:b/>
        </w:rPr>
        <w:t xml:space="preserve">Revízia preto navrhuje </w:t>
      </w:r>
      <w:r w:rsidR="00D04A95">
        <w:rPr>
          <w:b/>
        </w:rPr>
        <w:t xml:space="preserve">zrušiť </w:t>
      </w:r>
      <w:r w:rsidR="00D04A95" w:rsidRPr="00B91E2D">
        <w:rPr>
          <w:b/>
        </w:rPr>
        <w:t>možnosť zriaďovať špecializovan</w:t>
      </w:r>
      <w:r w:rsidR="00D04A95">
        <w:rPr>
          <w:b/>
        </w:rPr>
        <w:t>é triedy</w:t>
      </w:r>
      <w:r w:rsidR="00D04A95" w:rsidRPr="00B91E2D">
        <w:rPr>
          <w:b/>
        </w:rPr>
        <w:t>.</w:t>
      </w:r>
    </w:p>
    <w:tbl>
      <w:tblPr>
        <w:tblW w:w="0" w:type="auto"/>
        <w:shd w:val="clear" w:color="auto" w:fill="BDD6EE" w:themeFill="accent1" w:themeFillTint="66"/>
        <w:tblLook w:val="04A0" w:firstRow="1" w:lastRow="0" w:firstColumn="1" w:lastColumn="0" w:noHBand="0" w:noVBand="1"/>
      </w:tblPr>
      <w:tblGrid>
        <w:gridCol w:w="9026"/>
      </w:tblGrid>
      <w:tr w:rsidR="00695590" w:rsidRPr="00CA2564" w14:paraId="5BB9D671" w14:textId="77777777" w:rsidTr="00C04AAA">
        <w:tc>
          <w:tcPr>
            <w:tcW w:w="9062" w:type="dxa"/>
            <w:shd w:val="clear" w:color="auto" w:fill="BDD6EE" w:themeFill="accent1" w:themeFillTint="66"/>
          </w:tcPr>
          <w:p w14:paraId="69F0504F" w14:textId="1A2CB70A" w:rsidR="00695590" w:rsidRPr="00D00789" w:rsidRDefault="00D70F03" w:rsidP="00D00789">
            <w:pPr>
              <w:spacing w:before="120"/>
              <w:rPr>
                <w:b/>
              </w:rPr>
            </w:pPr>
            <w:bookmarkStart w:id="345" w:name="_Ref24487089"/>
            <w:r w:rsidRPr="00D00789">
              <w:rPr>
                <w:b/>
              </w:rPr>
              <w:t xml:space="preserve">Box </w:t>
            </w:r>
            <w:r w:rsidR="00A425AB">
              <w:rPr>
                <w:b/>
              </w:rPr>
              <w:fldChar w:fldCharType="begin"/>
            </w:r>
            <w:r w:rsidR="00A425AB">
              <w:rPr>
                <w:b/>
              </w:rPr>
              <w:instrText xml:space="preserve"> SEQ Box \* ARABIC </w:instrText>
            </w:r>
            <w:r w:rsidR="00A425AB">
              <w:rPr>
                <w:b/>
              </w:rPr>
              <w:fldChar w:fldCharType="separate"/>
            </w:r>
            <w:r w:rsidR="00FA29AF">
              <w:rPr>
                <w:b/>
                <w:noProof/>
              </w:rPr>
              <w:t>8</w:t>
            </w:r>
            <w:r w:rsidR="00A425AB">
              <w:rPr>
                <w:b/>
              </w:rPr>
              <w:fldChar w:fldCharType="end"/>
            </w:r>
            <w:bookmarkEnd w:id="345"/>
            <w:r w:rsidRPr="00D00789">
              <w:rPr>
                <w:b/>
              </w:rPr>
              <w:t>:</w:t>
            </w:r>
            <w:r w:rsidRPr="00D00789">
              <w:rPr>
                <w:b/>
                <w:bCs/>
              </w:rPr>
              <w:t xml:space="preserve"> </w:t>
            </w:r>
            <w:r w:rsidR="00695590" w:rsidRPr="00D00789">
              <w:rPr>
                <w:b/>
              </w:rPr>
              <w:t>Zmeny v podmienkach nároku na SZP príspevok</w:t>
            </w:r>
          </w:p>
          <w:p w14:paraId="4345CF60" w14:textId="5C8203D0" w:rsidR="00695590" w:rsidRPr="00CA2564" w:rsidRDefault="00695590" w:rsidP="00D00789">
            <w:r w:rsidRPr="00CA2564">
              <w:t xml:space="preserve">Na účely poskytovania SZP príspevku sa od roku 2009 do roku 2016 používala kvantitatívna definícia SZP spojená s príjmovým statusom rodiny. SZP príspevok bol vyplácaný všetkým školám (bežným aj špeciálnym) na </w:t>
            </w:r>
            <w:r w:rsidR="004A347F">
              <w:t xml:space="preserve">všetkých </w:t>
            </w:r>
            <w:r w:rsidRPr="00CA2564">
              <w:t>žiakov</w:t>
            </w:r>
            <w:r>
              <w:t xml:space="preserve"> z rodín, ktorým sa poskytovala pomoc v hmotnej núdzi</w:t>
            </w:r>
            <w:r w:rsidR="008E57D9">
              <w:t>,</w:t>
            </w:r>
            <w:r>
              <w:t xml:space="preserve"> alebo ktorých príjem nedosahoval hranicu životného minima.</w:t>
            </w:r>
          </w:p>
          <w:p w14:paraId="68316632" w14:textId="096C9B15" w:rsidR="00695590" w:rsidRPr="00CA2564" w:rsidRDefault="00695590" w:rsidP="00D00789">
            <w:r w:rsidRPr="00CA2564">
              <w:t xml:space="preserve">K zmene došlo v septembri 2016, keď sa ustanovilo, že SZP príspevok sa bude poskytovať iba žiakom, ktorí majú diagnostikované vzdelávacie potreby </w:t>
            </w:r>
            <w:r w:rsidR="00B24660">
              <w:t>vyplýva</w:t>
            </w:r>
            <w:r w:rsidRPr="00CA2564">
              <w:t xml:space="preserve">júce z vývinu v SZP. Cieľom takejto úpravy bolo zamedziť zamieňaniu špeciálnych výchovno-vzdelávacích potrieb </w:t>
            </w:r>
            <w:r w:rsidR="00B24660">
              <w:t>vyplýva</w:t>
            </w:r>
            <w:r w:rsidRPr="00CA2564">
              <w:t xml:space="preserve">júcich zo zdravotného znevýhodnenia, ktoré je určujúce pre zaradenie žiaka do špeciálnej školy alebo triedy, so špeciálnymi výchovno-vzdelávacími potrebami </w:t>
            </w:r>
            <w:r w:rsidR="00B24660">
              <w:t>vyplýva</w:t>
            </w:r>
            <w:r w:rsidRPr="00CA2564">
              <w:t>júcimi zo sociálne znevýhodneného prostredia. Zároveň sa príspevok prestal poskytovať špeciálnym školám a bežným školám na integrovaných žiakov a na</w:t>
            </w:r>
            <w:r>
              <w:t xml:space="preserve"> žiakov v špeciálnych triedach.</w:t>
            </w:r>
          </w:p>
          <w:p w14:paraId="4A2A8194" w14:textId="02D93834" w:rsidR="006C4363" w:rsidRPr="00CA2564" w:rsidRDefault="00695590" w:rsidP="00D00789">
            <w:r w:rsidRPr="00CA2564">
              <w:t>Táto zmena však priniesla významný pokles v počte žiakov zo SZP o 35 626 (z 57 207 žiakov v septembri 2016 na 21 581 žiakov v septembri 2017), čo bol väčší pokles, ako bol počet poberateľov príspevku v špeciálnych školách a špeciálnych triedach.</w:t>
            </w:r>
            <w:r w:rsidRPr="00CA2564">
              <w:rPr>
                <w:rStyle w:val="Odkaznapoznmkupodiarou"/>
              </w:rPr>
              <w:footnoteReference w:id="127"/>
            </w:r>
            <w:r w:rsidRPr="00CA2564">
              <w:t xml:space="preserve"> V reakcii na problémy s diagnostikovaním potrieb začalo od septembra 2017 platiť prechodné ustanovenie, ktoré </w:t>
            </w:r>
            <w:r w:rsidR="004A347F">
              <w:t>platí dodnes</w:t>
            </w:r>
            <w:r w:rsidR="008E57D9">
              <w:t>,</w:t>
            </w:r>
            <w:r w:rsidR="004A347F">
              <w:t xml:space="preserve"> a</w:t>
            </w:r>
            <w:r w:rsidR="004A347F" w:rsidRPr="00CA2564">
              <w:t xml:space="preserve"> </w:t>
            </w:r>
            <w:r w:rsidRPr="00CA2564">
              <w:t xml:space="preserve">povoľuje súbeh nárokovania si príspevku z titulu diagnostiky ako aj z titulu poberania pomoci v hmotnej </w:t>
            </w:r>
            <w:r w:rsidRPr="006C4363">
              <w:t>núdzi.</w:t>
            </w:r>
            <w:r w:rsidRPr="006C4363">
              <w:rPr>
                <w:rStyle w:val="Odkaznapoznmkupodiarou"/>
              </w:rPr>
              <w:footnoteReference w:id="128"/>
            </w:r>
            <w:r w:rsidR="006C4363" w:rsidRPr="006C4363">
              <w:t xml:space="preserve"> Toto prechodné ustanovenie viedlo k opätovnému nárastu počtu žiakov zo SZP na 40 318 v septembri 2018.</w:t>
            </w:r>
          </w:p>
        </w:tc>
      </w:tr>
    </w:tbl>
    <w:p w14:paraId="0364986D" w14:textId="77777777" w:rsidR="00695590" w:rsidRPr="00974D9F" w:rsidRDefault="00695590" w:rsidP="00695590">
      <w:pPr>
        <w:pStyle w:val="Bezriadkovania"/>
        <w:spacing w:before="240" w:after="240" w:line="259" w:lineRule="auto"/>
        <w:jc w:val="both"/>
        <w:rPr>
          <w:rFonts w:ascii="Arial Narrow" w:hAnsi="Arial Narrow"/>
          <w:b/>
          <w:u w:val="single"/>
        </w:rPr>
      </w:pPr>
      <w:r w:rsidRPr="00974D9F">
        <w:rPr>
          <w:rFonts w:ascii="Arial Narrow" w:hAnsi="Arial Narrow"/>
          <w:b/>
          <w:u w:val="single"/>
        </w:rPr>
        <w:t>Dotácie na stravu a pomôcky</w:t>
      </w:r>
    </w:p>
    <w:p w14:paraId="45384C3D" w14:textId="7288B7C0" w:rsidR="00695590" w:rsidRPr="0060540E" w:rsidRDefault="00695590" w:rsidP="00D00789">
      <w:r w:rsidRPr="00D00789">
        <w:rPr>
          <w:b/>
        </w:rPr>
        <w:t>Dotácie na stravu boli v roku 2018 vyplatené v priemere na 48 518 žiakov základných škôl za mesiac, čo predstavovalo 11 % všetkých žiakov a menej ako polovicu (49 %) žiakov ohrozených chudobou alebo sociálnym vylúčením.</w:t>
      </w:r>
      <w:r w:rsidRPr="00D00789">
        <w:rPr>
          <w:rStyle w:val="Odkaznapoznmkupodiarou"/>
          <w:b/>
        </w:rPr>
        <w:footnoteReference w:id="129"/>
      </w:r>
      <w:r w:rsidRPr="00D00789">
        <w:rPr>
          <w:b/>
        </w:rPr>
        <w:t xml:space="preserve"> Dotácie na školské pomôcky boli v roku 2018 vyplatené v priemere na 46 260 žiakov základných škôl za mesiac, čo predstavovalo 10 % všetkých žiakov a 47 % žiakov ohrozených chudobou alebo sociálnym vylúčením.</w:t>
      </w:r>
      <w:r>
        <w:t xml:space="preserve"> </w:t>
      </w:r>
      <w:r w:rsidRPr="000113BF">
        <w:t>Dotácie pre základné školy sa poskytujú za rovnakých podmienok ako pre materské školy (</w:t>
      </w:r>
      <w:r w:rsidRPr="00CC4774">
        <w:t xml:space="preserve">podkapitola </w:t>
      </w:r>
      <w:r w:rsidR="00CC4774">
        <w:fldChar w:fldCharType="begin"/>
      </w:r>
      <w:r w:rsidR="00CC4774">
        <w:instrText xml:space="preserve"> REF _Ref25658152 \r \h </w:instrText>
      </w:r>
      <w:r w:rsidR="00CC4774">
        <w:fldChar w:fldCharType="separate"/>
      </w:r>
      <w:r w:rsidR="00FA29AF">
        <w:t>5.1</w:t>
      </w:r>
      <w:r w:rsidR="00CC4774">
        <w:fldChar w:fldCharType="end"/>
      </w:r>
      <w:r w:rsidRPr="000113BF">
        <w:t xml:space="preserve">). </w:t>
      </w:r>
      <w:r w:rsidRPr="001977C4">
        <w:t xml:space="preserve">V súlade s novelou zákona o dotáciách sa od 1.9.2019 </w:t>
      </w:r>
      <w:r w:rsidR="00BC7E8A">
        <w:t>poskytujú</w:t>
      </w:r>
      <w:r w:rsidR="00BC7E8A" w:rsidRPr="001977C4">
        <w:t xml:space="preserve"> </w:t>
      </w:r>
      <w:r w:rsidRPr="001977C4">
        <w:t>dotácie na</w:t>
      </w:r>
      <w:r w:rsidRPr="00CA2564">
        <w:t xml:space="preserve"> stravu na všetkých žiakov základných škôl.</w:t>
      </w:r>
      <w:r w:rsidRPr="00CA2564">
        <w:rPr>
          <w:rStyle w:val="Odkaznapoznmkupodiarou"/>
        </w:rPr>
        <w:footnoteReference w:id="130"/>
      </w:r>
    </w:p>
    <w:p w14:paraId="1BD1944F" w14:textId="57B862D6" w:rsidR="00695590" w:rsidRPr="00CA2564" w:rsidRDefault="00827897" w:rsidP="00695590">
      <w:r>
        <w:rPr>
          <w:b/>
          <w:szCs w:val="18"/>
        </w:rPr>
        <w:t>Ľah</w:t>
      </w:r>
      <w:r w:rsidR="00695590" w:rsidRPr="00CA2564">
        <w:rPr>
          <w:b/>
          <w:szCs w:val="18"/>
        </w:rPr>
        <w:t xml:space="preserve">šia dostupnosť plošných dotácií v špeciálnych školách </w:t>
      </w:r>
      <w:r>
        <w:rPr>
          <w:b/>
          <w:szCs w:val="18"/>
        </w:rPr>
        <w:t>mohla</w:t>
      </w:r>
      <w:r w:rsidRPr="00CA2564">
        <w:rPr>
          <w:b/>
          <w:szCs w:val="18"/>
        </w:rPr>
        <w:t xml:space="preserve"> </w:t>
      </w:r>
      <w:r w:rsidR="00695590" w:rsidRPr="00CA2564">
        <w:rPr>
          <w:b/>
          <w:szCs w:val="18"/>
        </w:rPr>
        <w:t>prispievať k vyčleňovaniu chudobných detí mimo bežného vzdelávacieho prúdu.</w:t>
      </w:r>
      <w:r w:rsidR="00695590" w:rsidRPr="00CA2564">
        <w:rPr>
          <w:szCs w:val="18"/>
        </w:rPr>
        <w:t xml:space="preserve"> Žiaci v systéme PHN sú </w:t>
      </w:r>
      <w:r w:rsidR="00093482">
        <w:rPr>
          <w:szCs w:val="18"/>
        </w:rPr>
        <w:t xml:space="preserve">nadpriemerne </w:t>
      </w:r>
      <w:r w:rsidR="00695590" w:rsidRPr="00CA2564">
        <w:rPr>
          <w:szCs w:val="18"/>
        </w:rPr>
        <w:t xml:space="preserve">zastúpení v špeciálnom školstve </w:t>
      </w:r>
      <w:r w:rsidR="00695590" w:rsidRPr="00827897">
        <w:rPr>
          <w:szCs w:val="18"/>
        </w:rPr>
        <w:t>(</w:t>
      </w:r>
      <w:r w:rsidR="00093482" w:rsidRPr="00093482">
        <w:rPr>
          <w:szCs w:val="22"/>
        </w:rPr>
        <w:fldChar w:fldCharType="begin"/>
      </w:r>
      <w:r w:rsidR="00093482" w:rsidRPr="00093482">
        <w:rPr>
          <w:szCs w:val="22"/>
        </w:rPr>
        <w:instrText xml:space="preserve"> REF _Ref24486752 \h  \* MERGEFORMAT </w:instrText>
      </w:r>
      <w:r w:rsidR="00093482" w:rsidRPr="00093482">
        <w:rPr>
          <w:szCs w:val="22"/>
        </w:rPr>
      </w:r>
      <w:r w:rsidR="00093482" w:rsidRPr="00093482">
        <w:rPr>
          <w:szCs w:val="22"/>
        </w:rPr>
        <w:fldChar w:fldCharType="separate"/>
      </w:r>
      <w:r w:rsidR="00FA29AF" w:rsidRPr="00FA29AF">
        <w:rPr>
          <w:szCs w:val="22"/>
        </w:rPr>
        <w:t xml:space="preserve">Tabuľka </w:t>
      </w:r>
      <w:r w:rsidR="00FA29AF" w:rsidRPr="00FA29AF">
        <w:rPr>
          <w:noProof/>
          <w:szCs w:val="22"/>
        </w:rPr>
        <w:t>10</w:t>
      </w:r>
      <w:r w:rsidR="00093482" w:rsidRPr="00093482">
        <w:rPr>
          <w:szCs w:val="22"/>
        </w:rPr>
        <w:fldChar w:fldCharType="end"/>
      </w:r>
      <w:r w:rsidR="00695590" w:rsidRPr="00827897">
        <w:rPr>
          <w:szCs w:val="18"/>
        </w:rPr>
        <w:t>). Výsledkom</w:t>
      </w:r>
      <w:r w:rsidR="00695590" w:rsidRPr="00CA2564">
        <w:rPr>
          <w:szCs w:val="18"/>
        </w:rPr>
        <w:t xml:space="preserve"> je, že kým zhruba 6 % bežných škôl poberalo plošnú dotáciu na stravu, medzi špeciálnymi školami to bolo až 16 %. </w:t>
      </w:r>
      <w:r w:rsidR="00695590" w:rsidRPr="00CA2564">
        <w:t>Chudobní rodičia žiakov, ktorí by na základe svojej vlastnej príjmovej situácie n</w:t>
      </w:r>
      <w:r w:rsidR="00695590">
        <w:t>emali nárok na dotované obedy, môžu byť</w:t>
      </w:r>
      <w:r w:rsidR="00695590" w:rsidRPr="00CA2564">
        <w:t xml:space="preserve"> v niektorých obciach motivovan</w:t>
      </w:r>
      <w:r w:rsidR="00695590">
        <w:t>í</w:t>
      </w:r>
      <w:r w:rsidR="00695590" w:rsidRPr="00CA2564">
        <w:t xml:space="preserve"> prítomnosťou špeciálnej školy s plošnou dotáciou, aby svoje deti zapísali práve do nej.</w:t>
      </w:r>
    </w:p>
    <w:p w14:paraId="0015461F" w14:textId="3B081DA3" w:rsidR="00827897" w:rsidRDefault="00695590" w:rsidP="00D00789">
      <w:r w:rsidRPr="00D00789">
        <w:rPr>
          <w:b/>
        </w:rPr>
        <w:t>V školách, ktoré mali prístup k plošným dotáciám, bola dochádzka žiakov v priemere o 31 vymeškaných hodín na žiaka za rok lepšia ako v podobných školách, ktoré prístup k plošným dotáciám nemali.</w:t>
      </w:r>
      <w:r>
        <w:rPr>
          <w:bCs/>
        </w:rPr>
        <w:t xml:space="preserve"> </w:t>
      </w:r>
      <w:r w:rsidRPr="007B3F27">
        <w:t>P</w:t>
      </w:r>
      <w:r>
        <w:t>latí t</w:t>
      </w:r>
      <w:r w:rsidRPr="007B3F27">
        <w:t xml:space="preserve">o </w:t>
      </w:r>
      <w:r>
        <w:t xml:space="preserve">po </w:t>
      </w:r>
      <w:r w:rsidRPr="007B3F27">
        <w:t>zohľadnení iných faktorov, ktoré vplývajú na počet vymeškaných hodín na žiaka, konkrétne</w:t>
      </w:r>
      <w:r>
        <w:t xml:space="preserve"> podiel</w:t>
      </w:r>
      <w:r w:rsidRPr="007B3F27">
        <w:t xml:space="preserve"> žiakov v systéme PHN, podiel žiakov z prostredia MRK a podiel žiakov so zdravotným znevýhodnením (</w:t>
      </w:r>
      <w:r w:rsidR="00134838">
        <w:fldChar w:fldCharType="begin"/>
      </w:r>
      <w:r w:rsidR="00134838">
        <w:instrText xml:space="preserve"> REF _Ref34130692 \h  \* MERGEFORMAT </w:instrText>
      </w:r>
      <w:r w:rsidR="00134838">
        <w:fldChar w:fldCharType="separate"/>
      </w:r>
      <w:r w:rsidR="00FA29AF" w:rsidRPr="00FA29AF">
        <w:t>Príloha 12</w:t>
      </w:r>
      <w:r w:rsidR="00134838">
        <w:fldChar w:fldCharType="end"/>
      </w:r>
      <w:r w:rsidRPr="007B3F27">
        <w:t>).</w:t>
      </w:r>
      <w:r>
        <w:t xml:space="preserve"> </w:t>
      </w:r>
      <w:r w:rsidRPr="007B3F27">
        <w:t>Pri rozšírení plošných dotácií na všetky školy by priemerný počet vymeškaných hodín na žiaka mohol klesnúť z dnešných 98 hodín za rok na 74 hodín za rok, s pravdepodobným pozitívnym dopadom na výsledky vo vzdelávaní</w:t>
      </w:r>
      <w:r w:rsidRPr="000113BF">
        <w:t>.</w:t>
      </w:r>
    </w:p>
    <w:p w14:paraId="4165CE55" w14:textId="469C3F82" w:rsidR="00134838" w:rsidRPr="00D53C5F" w:rsidRDefault="00827897" w:rsidP="00D53C5F">
      <w:pPr>
        <w:rPr>
          <w:bCs/>
        </w:rPr>
      </w:pPr>
      <w:r>
        <w:rPr>
          <w:b/>
        </w:rPr>
        <w:t xml:space="preserve">Neefektívna implementácia dotačnej schémy môže pozitívny vplyv dotácii obmedziť. </w:t>
      </w:r>
      <w:r>
        <w:rPr>
          <w:bCs/>
        </w:rPr>
        <w:t>V reakcii na z</w:t>
      </w:r>
      <w:r w:rsidR="00756D2B">
        <w:rPr>
          <w:bCs/>
        </w:rPr>
        <w:t>a</w:t>
      </w:r>
      <w:r>
        <w:rPr>
          <w:bCs/>
        </w:rPr>
        <w:t>vedenie celoplošných dotácií na stravu predstavili niektoré samosprávy rôzne druhy poplatkov, ktoré majú pokryť zvýšené výdavky samospráv spojené s </w:t>
      </w:r>
      <w:r w:rsidR="00177275">
        <w:rPr>
          <w:bCs/>
        </w:rPr>
        <w:t>implementáciou</w:t>
      </w:r>
      <w:r>
        <w:rPr>
          <w:bCs/>
        </w:rPr>
        <w:t xml:space="preserve"> tohto opatrenia (napr. na dofinancovanie cien potravín, na dofinancovanie zvýšených režijných nákladov a zálohové platby na sanáciu výdavkov spojených s prípadným neodobratím stravy). Nové poplatky môžu spôsobiť, že v konečnom dôsledku bude strava v školách, najmä pre žiakov zo SZP, ešte menej dostupná ako v minulosti (Godvinová, 2019)</w:t>
      </w:r>
      <w:r w:rsidRPr="00974A9D">
        <w:rPr>
          <w:bCs/>
        </w:rPr>
        <w:t>.</w:t>
      </w:r>
      <w:r w:rsidR="0070047D">
        <w:rPr>
          <w:b/>
        </w:rPr>
        <w:t xml:space="preserve"> </w:t>
      </w:r>
      <w:r w:rsidRPr="00D00789">
        <w:rPr>
          <w:b/>
        </w:rPr>
        <w:t xml:space="preserve">Revízia </w:t>
      </w:r>
      <w:r>
        <w:rPr>
          <w:b/>
        </w:rPr>
        <w:t xml:space="preserve">preto </w:t>
      </w:r>
      <w:r w:rsidRPr="00D00789">
        <w:rPr>
          <w:b/>
        </w:rPr>
        <w:t>navrhuje vyhodnocovať</w:t>
      </w:r>
      <w:r>
        <w:rPr>
          <w:b/>
        </w:rPr>
        <w:t xml:space="preserve"> implementáciu dotačnej schémy spolu s</w:t>
      </w:r>
      <w:r w:rsidR="00177275">
        <w:rPr>
          <w:b/>
        </w:rPr>
        <w:t xml:space="preserve"> </w:t>
      </w:r>
      <w:r>
        <w:rPr>
          <w:b/>
        </w:rPr>
        <w:t>jej</w:t>
      </w:r>
      <w:r w:rsidRPr="00D00789">
        <w:rPr>
          <w:b/>
        </w:rPr>
        <w:t xml:space="preserve"> dopad</w:t>
      </w:r>
      <w:r>
        <w:rPr>
          <w:b/>
        </w:rPr>
        <w:t>om</w:t>
      </w:r>
      <w:r w:rsidRPr="00D00789">
        <w:rPr>
          <w:b/>
        </w:rPr>
        <w:t xml:space="preserve"> </w:t>
      </w:r>
      <w:r>
        <w:rPr>
          <w:b/>
        </w:rPr>
        <w:t xml:space="preserve">na </w:t>
      </w:r>
      <w:r w:rsidRPr="00D00789">
        <w:rPr>
          <w:b/>
        </w:rPr>
        <w:t>vzdelávacie výstupy a výsledky žiakov</w:t>
      </w:r>
      <w:r>
        <w:rPr>
          <w:b/>
        </w:rPr>
        <w:t xml:space="preserve"> a v nadväznosti na výsledky analýz schému upravovať</w:t>
      </w:r>
      <w:r w:rsidRPr="00D00789">
        <w:rPr>
          <w:b/>
        </w:rPr>
        <w:t>.</w:t>
      </w:r>
      <w:bookmarkStart w:id="346" w:name="_Hlk21626611"/>
    </w:p>
    <w:p w14:paraId="15310730" w14:textId="77777777" w:rsidR="00695590" w:rsidRPr="00974D9F" w:rsidRDefault="00695590" w:rsidP="00695590">
      <w:pPr>
        <w:pStyle w:val="Bezriadkovania"/>
        <w:spacing w:before="240" w:after="240" w:line="259" w:lineRule="auto"/>
        <w:jc w:val="both"/>
        <w:rPr>
          <w:rFonts w:ascii="Arial Narrow" w:hAnsi="Arial Narrow"/>
          <w:b/>
          <w:u w:val="single"/>
        </w:rPr>
      </w:pPr>
      <w:r w:rsidRPr="00974D9F">
        <w:rPr>
          <w:rFonts w:ascii="Arial Narrow" w:hAnsi="Arial Narrow"/>
          <w:b/>
          <w:u w:val="single"/>
        </w:rPr>
        <w:t>Výučba rómskeho jazyka</w:t>
      </w:r>
    </w:p>
    <w:p w14:paraId="14ED6E31" w14:textId="332F5680" w:rsidR="00695590" w:rsidRPr="00B14AA2" w:rsidRDefault="00695590" w:rsidP="00695590">
      <w:pPr>
        <w:spacing w:before="160"/>
        <w:rPr>
          <w:rFonts w:eastAsia="Calibri" w:cs="Times New Roman"/>
          <w:szCs w:val="22"/>
        </w:rPr>
      </w:pPr>
      <w:r w:rsidRPr="00B14AA2">
        <w:rPr>
          <w:rFonts w:eastAsia="Calibri" w:cs="Times New Roman"/>
          <w:b/>
          <w:bCs/>
          <w:szCs w:val="22"/>
        </w:rPr>
        <w:t xml:space="preserve">Žiaci s iným materinským jazykom ako slovenským majú </w:t>
      </w:r>
      <w:r>
        <w:rPr>
          <w:rFonts w:eastAsia="Calibri" w:cs="Times New Roman"/>
          <w:b/>
          <w:bCs/>
          <w:szCs w:val="22"/>
        </w:rPr>
        <w:t xml:space="preserve">na školách s vyučovacím jazykom slovenským </w:t>
      </w:r>
      <w:r w:rsidRPr="00B14AA2">
        <w:rPr>
          <w:rFonts w:eastAsia="Calibri" w:cs="Times New Roman"/>
          <w:b/>
          <w:bCs/>
          <w:szCs w:val="22"/>
        </w:rPr>
        <w:t xml:space="preserve">nárok </w:t>
      </w:r>
      <w:r>
        <w:rPr>
          <w:rFonts w:eastAsia="Calibri" w:cs="Times New Roman"/>
          <w:b/>
          <w:bCs/>
          <w:szCs w:val="22"/>
        </w:rPr>
        <w:t xml:space="preserve">navštevovať </w:t>
      </w:r>
      <w:r w:rsidRPr="00B14AA2">
        <w:rPr>
          <w:rFonts w:eastAsia="Calibri" w:cs="Times New Roman"/>
          <w:b/>
          <w:bCs/>
          <w:szCs w:val="22"/>
        </w:rPr>
        <w:t xml:space="preserve">predmet Jazyk národnostnej menšiny a literatúra. </w:t>
      </w:r>
      <w:r w:rsidRPr="00B14AA2">
        <w:rPr>
          <w:rFonts w:eastAsia="Calibri" w:cs="Times New Roman"/>
          <w:szCs w:val="22"/>
        </w:rPr>
        <w:t xml:space="preserve">Prístup k výučbe materinského jazyka preukázateľne zvyšuje školskú úspešnosť, má pozitívny vplyv aj na osvojenie si štátneho jazyka a je kľúčový pre vývin v ďalších kognitívnych oblastiach (Ball, 2011; Mizza, 2014). </w:t>
      </w:r>
      <w:r w:rsidRPr="00B14AA2">
        <w:rPr>
          <w:rFonts w:eastAsia="Calibri" w:cs="Times New Roman"/>
          <w:bCs/>
          <w:szCs w:val="22"/>
        </w:rPr>
        <w:t>Odlišnosť materinského jazyka od vyučovacieho jazyka má pritom významný vplyv na úspešnosť v škole.</w:t>
      </w:r>
      <w:r w:rsidRPr="00B14AA2">
        <w:rPr>
          <w:rFonts w:eastAsia="Calibri" w:cs="Times New Roman"/>
          <w:szCs w:val="22"/>
        </w:rPr>
        <w:t xml:space="preserve"> U žiakov, ktorí doma hovoria iným jazykom než tým, ktorý sa používa v škole, je vyššia pravdepodobnosť, že budú mať slabé vzdelávacie výsledky. Slovensko patrí medzi krajiny, kde je táto pravdepodobnosť najvyššia (OECD, 2016</w:t>
      </w:r>
      <w:r w:rsidR="00176FD9">
        <w:rPr>
          <w:rFonts w:eastAsia="Calibri" w:cs="Times New Roman"/>
          <w:szCs w:val="22"/>
        </w:rPr>
        <w:t>b</w:t>
      </w:r>
      <w:r w:rsidRPr="00B14AA2">
        <w:rPr>
          <w:rFonts w:eastAsia="Calibri" w:cs="Times New Roman"/>
          <w:szCs w:val="22"/>
        </w:rPr>
        <w:t>; TIMMS, 2015; PIRLS, 2016).</w:t>
      </w:r>
      <w:r w:rsidRPr="00B14AA2" w:rsidDel="00D92086">
        <w:rPr>
          <w:rFonts w:eastAsia="Calibri" w:cs="Times New Roman"/>
          <w:szCs w:val="22"/>
          <w:vertAlign w:val="superscript"/>
        </w:rPr>
        <w:t xml:space="preserve"> </w:t>
      </w:r>
    </w:p>
    <w:p w14:paraId="73A918A7" w14:textId="0E4CE42D" w:rsidR="00695590" w:rsidRPr="00B14AA2" w:rsidRDefault="00695590" w:rsidP="00695590">
      <w:pPr>
        <w:spacing w:before="160"/>
        <w:rPr>
          <w:rFonts w:eastAsia="Calibri" w:cs="Times New Roman"/>
          <w:szCs w:val="22"/>
        </w:rPr>
      </w:pPr>
      <w:r w:rsidRPr="00B14AA2">
        <w:rPr>
          <w:rFonts w:eastAsia="Calibri" w:cs="Times New Roman"/>
          <w:b/>
          <w:bCs/>
          <w:szCs w:val="22"/>
        </w:rPr>
        <w:t>V roku 2018 poskytovali výučbu rómčiny iba dve základné školy v Kremnici a v Košiciach pre 203 žiakov. Celkové výdavky predstavovali 12 789 eur, v priemere 63 eur na žiaka.</w:t>
      </w:r>
      <w:r w:rsidRPr="00B14AA2">
        <w:rPr>
          <w:rFonts w:eastAsia="Calibri" w:cs="Times New Roman"/>
          <w:b/>
          <w:bCs/>
          <w:szCs w:val="22"/>
          <w:vertAlign w:val="superscript"/>
        </w:rPr>
        <w:footnoteReference w:id="131"/>
      </w:r>
      <w:r w:rsidRPr="00B14AA2">
        <w:rPr>
          <w:rFonts w:eastAsia="Calibri" w:cs="Times New Roman"/>
          <w:b/>
          <w:bCs/>
          <w:szCs w:val="22"/>
        </w:rPr>
        <w:t xml:space="preserve"> </w:t>
      </w:r>
      <w:r w:rsidRPr="00B14AA2">
        <w:rPr>
          <w:rFonts w:eastAsia="Calibri" w:cs="Times New Roman"/>
          <w:bCs/>
          <w:szCs w:val="22"/>
        </w:rPr>
        <w:t>Presné dáta o počte žiakov s materinským jazykom rómskym nie sú dostupné.</w:t>
      </w:r>
      <w:r w:rsidRPr="00B14AA2">
        <w:rPr>
          <w:rFonts w:eastAsia="Calibri" w:cs="Times New Roman"/>
          <w:bCs/>
          <w:szCs w:val="22"/>
          <w:vertAlign w:val="superscript"/>
        </w:rPr>
        <w:footnoteReference w:id="132"/>
      </w:r>
      <w:r w:rsidRPr="00B14AA2">
        <w:rPr>
          <w:rFonts w:eastAsia="Calibri" w:cs="Times New Roman"/>
          <w:bCs/>
          <w:szCs w:val="22"/>
        </w:rPr>
        <w:t xml:space="preserve"> Vo všeobecnosti však viac ako polovica Rómov (53 %) uvádza ako svoj materinský jazyk rómčinu (UNDP, 2012, Kiššová, 2017) a 62 % Rómov považuje rómčinu za preferovaný jazyk (</w:t>
      </w:r>
      <w:r w:rsidR="003F00E9">
        <w:rPr>
          <w:rFonts w:eastAsia="Calibri" w:cs="Times New Roman"/>
          <w:bCs/>
          <w:szCs w:val="22"/>
        </w:rPr>
        <w:t>ÚSVPRK</w:t>
      </w:r>
      <w:r w:rsidRPr="00B14AA2">
        <w:rPr>
          <w:rFonts w:eastAsia="Calibri" w:cs="Times New Roman"/>
          <w:bCs/>
          <w:szCs w:val="22"/>
        </w:rPr>
        <w:t>, 2019).</w:t>
      </w:r>
      <w:r w:rsidRPr="00B14AA2">
        <w:rPr>
          <w:rFonts w:eastAsia="Calibri" w:cs="Times New Roman"/>
          <w:szCs w:val="22"/>
        </w:rPr>
        <w:t xml:space="preserve"> </w:t>
      </w:r>
    </w:p>
    <w:p w14:paraId="3923AA1E" w14:textId="0D123BB7" w:rsidR="00695590" w:rsidRPr="00B14AA2" w:rsidRDefault="00695590" w:rsidP="00695590">
      <w:pPr>
        <w:spacing w:before="160"/>
        <w:rPr>
          <w:rFonts w:eastAsia="Calibri" w:cs="Times New Roman"/>
          <w:szCs w:val="22"/>
        </w:rPr>
      </w:pPr>
      <w:r w:rsidRPr="00B14AA2">
        <w:rPr>
          <w:rFonts w:eastAsia="Calibri" w:cs="Times New Roman"/>
          <w:b/>
          <w:szCs w:val="22"/>
        </w:rPr>
        <w:t>Zabezpečenie výučby rómskeho jazyka je na Slovensku v súčasnosti postavené výlučne na dopyte rodičov.</w:t>
      </w:r>
      <w:r w:rsidRPr="00B14AA2">
        <w:rPr>
          <w:rFonts w:eastAsia="Calibri" w:cs="Times New Roman"/>
          <w:szCs w:val="22"/>
        </w:rPr>
        <w:t xml:space="preserve"> Základným školám sa ukladá povinnosť informovať rodičov rómskych žiakov o možnostiach vyučovania rómčiny a v prípade záujmu ju zabezpečiť.</w:t>
      </w:r>
      <w:r w:rsidRPr="00B14AA2">
        <w:rPr>
          <w:rFonts w:eastAsia="Calibri" w:cs="Times New Roman"/>
          <w:szCs w:val="22"/>
          <w:vertAlign w:val="superscript"/>
        </w:rPr>
        <w:footnoteReference w:id="133"/>
      </w:r>
      <w:r w:rsidRPr="00B14AA2">
        <w:rPr>
          <w:rFonts w:eastAsia="Calibri" w:cs="Times New Roman"/>
          <w:szCs w:val="22"/>
        </w:rPr>
        <w:t xml:space="preserve"> Vzhľadom na kultúrne a jazykové bariéry rodičov z MRK a neexistujúce usmernenia ohľadom informovania o možnostiach (a dôležitosti) výučby materinského jazyka, možno túto úpravu považovať za nedostatočnú, čo naznačuje aj nízky počet </w:t>
      </w:r>
      <w:r w:rsidR="00AE4CE5">
        <w:rPr>
          <w:rFonts w:eastAsia="Calibri" w:cs="Times New Roman"/>
          <w:szCs w:val="22"/>
        </w:rPr>
        <w:t xml:space="preserve">škôl </w:t>
      </w:r>
      <w:r w:rsidRPr="00B14AA2">
        <w:rPr>
          <w:rFonts w:eastAsia="Calibri" w:cs="Times New Roman"/>
          <w:szCs w:val="22"/>
        </w:rPr>
        <w:t xml:space="preserve">poskytujúcich výučbu rómčiny. </w:t>
      </w:r>
    </w:p>
    <w:p w14:paraId="284206A9" w14:textId="01F167E7" w:rsidR="00695590" w:rsidRPr="00B14AA2" w:rsidRDefault="00695590" w:rsidP="00695590">
      <w:pPr>
        <w:spacing w:before="160"/>
        <w:rPr>
          <w:rFonts w:eastAsia="Calibri" w:cs="Times New Roman"/>
          <w:szCs w:val="22"/>
        </w:rPr>
      </w:pPr>
      <w:r w:rsidRPr="00B14AA2">
        <w:rPr>
          <w:rFonts w:eastAsia="Calibri" w:cs="Times New Roman"/>
          <w:b/>
          <w:bCs/>
          <w:szCs w:val="22"/>
        </w:rPr>
        <w:t>Nedostatočne sú tiež nastavené minimálne dotácie hodín na výučbu rómčiny na školách s vyučovacím jazykom slovenským.</w:t>
      </w:r>
      <w:r w:rsidRPr="00B14AA2">
        <w:rPr>
          <w:rFonts w:eastAsia="Calibri" w:cs="Times New Roman"/>
          <w:b/>
          <w:bCs/>
          <w:szCs w:val="22"/>
          <w:vertAlign w:val="superscript"/>
        </w:rPr>
        <w:footnoteReference w:id="134"/>
      </w:r>
      <w:r w:rsidRPr="00B14AA2">
        <w:rPr>
          <w:rFonts w:eastAsia="Calibri" w:cs="Times New Roman"/>
          <w:szCs w:val="22"/>
        </w:rPr>
        <w:t xml:space="preserve"> Výučba predmetu Jazyka a literatúry národnostnej menšiny je v prvých rokoch PŠD nízka (minimálna dotácia len 1</w:t>
      </w:r>
      <w:r>
        <w:rPr>
          <w:rFonts w:eastAsia="Calibri" w:cs="Times New Roman"/>
          <w:szCs w:val="22"/>
        </w:rPr>
        <w:t>, resp. 2</w:t>
      </w:r>
      <w:r w:rsidRPr="00B14AA2">
        <w:rPr>
          <w:rFonts w:eastAsia="Calibri" w:cs="Times New Roman"/>
          <w:szCs w:val="22"/>
        </w:rPr>
        <w:t xml:space="preserve"> hodin</w:t>
      </w:r>
      <w:r>
        <w:rPr>
          <w:rFonts w:eastAsia="Calibri" w:cs="Times New Roman"/>
          <w:szCs w:val="22"/>
        </w:rPr>
        <w:t>y</w:t>
      </w:r>
      <w:r w:rsidRPr="00B14AA2">
        <w:rPr>
          <w:rFonts w:eastAsia="Calibri" w:cs="Times New Roman"/>
          <w:szCs w:val="22"/>
        </w:rPr>
        <w:t xml:space="preserve"> týždenne v prvom ročníku, </w:t>
      </w:r>
      <w:r w:rsidR="00AE4CE5">
        <w:rPr>
          <w:rFonts w:eastAsia="Calibri" w:cs="Times New Roman"/>
          <w:szCs w:val="22"/>
        </w:rPr>
        <w:t>2</w:t>
      </w:r>
      <w:r>
        <w:rPr>
          <w:rFonts w:eastAsia="Calibri" w:cs="Times New Roman"/>
          <w:szCs w:val="22"/>
        </w:rPr>
        <w:t>, resp. 3</w:t>
      </w:r>
      <w:r w:rsidRPr="00B14AA2">
        <w:rPr>
          <w:rFonts w:eastAsia="Calibri" w:cs="Times New Roman"/>
          <w:szCs w:val="22"/>
        </w:rPr>
        <w:t xml:space="preserve"> hodiny</w:t>
      </w:r>
      <w:r>
        <w:rPr>
          <w:rFonts w:eastAsia="Calibri" w:cs="Times New Roman"/>
          <w:szCs w:val="22"/>
        </w:rPr>
        <w:t xml:space="preserve"> v druhom ročníku, </w:t>
      </w:r>
      <w:r w:rsidR="00AE4CE5">
        <w:rPr>
          <w:rFonts w:eastAsia="Calibri" w:cs="Times New Roman"/>
          <w:szCs w:val="22"/>
        </w:rPr>
        <w:t>2</w:t>
      </w:r>
      <w:r>
        <w:rPr>
          <w:rFonts w:eastAsia="Calibri" w:cs="Times New Roman"/>
          <w:szCs w:val="22"/>
        </w:rPr>
        <w:t xml:space="preserve"> hodiny</w:t>
      </w:r>
      <w:r w:rsidRPr="00B14AA2">
        <w:rPr>
          <w:rFonts w:eastAsia="Calibri" w:cs="Times New Roman"/>
          <w:szCs w:val="22"/>
        </w:rPr>
        <w:t xml:space="preserve"> do šiesteho ročníka a 3 hodiny v siedmom až deviatom ročníku</w:t>
      </w:r>
      <w:r w:rsidRPr="00B14AA2">
        <w:rPr>
          <w:rFonts w:eastAsia="Calibri" w:cs="Times New Roman"/>
          <w:szCs w:val="22"/>
          <w:vertAlign w:val="superscript"/>
        </w:rPr>
        <w:footnoteReference w:id="135"/>
      </w:r>
      <w:r w:rsidRPr="00B14AA2">
        <w:rPr>
          <w:rFonts w:eastAsia="Calibri" w:cs="Times New Roman"/>
          <w:szCs w:val="22"/>
        </w:rPr>
        <w:t>). Tento pomer by mal byť opačný, keďže rozvoj materinského jazyka má najvyšší význam v mladšom veku</w:t>
      </w:r>
      <w:r w:rsidR="003F00E9">
        <w:rPr>
          <w:rFonts w:eastAsia="Calibri" w:cs="Times New Roman"/>
          <w:szCs w:val="22"/>
        </w:rPr>
        <w:t xml:space="preserve"> (</w:t>
      </w:r>
      <w:r w:rsidR="003F00E9" w:rsidRPr="005952AD">
        <w:rPr>
          <w:rFonts w:eastAsia="Calibri" w:cs="Times New Roman"/>
          <w:szCs w:val="22"/>
        </w:rPr>
        <w:t>Ball, 2011; Berglund, 2017; Mizza, 2014</w:t>
      </w:r>
      <w:r w:rsidR="003F00E9">
        <w:rPr>
          <w:rFonts w:eastAsia="Calibri" w:cs="Times New Roman"/>
          <w:szCs w:val="22"/>
        </w:rPr>
        <w:t>)</w:t>
      </w:r>
      <w:r w:rsidRPr="00B14AA2">
        <w:rPr>
          <w:rFonts w:eastAsia="Calibri" w:cs="Times New Roman"/>
          <w:szCs w:val="22"/>
        </w:rPr>
        <w:t>.</w:t>
      </w:r>
    </w:p>
    <w:p w14:paraId="080638FF" w14:textId="64624518" w:rsidR="00695590" w:rsidRDefault="00695590" w:rsidP="00695590">
      <w:pPr>
        <w:spacing w:before="160"/>
        <w:rPr>
          <w:rFonts w:eastAsia="Calibri" w:cs="Times New Roman"/>
          <w:bCs/>
          <w:szCs w:val="22"/>
        </w:rPr>
      </w:pPr>
      <w:r w:rsidRPr="00B14AA2">
        <w:rPr>
          <w:rFonts w:eastAsia="Calibri" w:cs="Times New Roman"/>
          <w:b/>
          <w:bCs/>
          <w:szCs w:val="22"/>
        </w:rPr>
        <w:t xml:space="preserve">Budúci učitelia nie sú systematicky pripravovaní na vzdelávanie žiakov, ktorí neovládajú vyučovací jazyk školy. </w:t>
      </w:r>
      <w:r w:rsidRPr="00B14AA2">
        <w:rPr>
          <w:rFonts w:eastAsia="Calibri" w:cs="Times New Roman"/>
          <w:bCs/>
          <w:szCs w:val="22"/>
        </w:rPr>
        <w:t xml:space="preserve">V rámci ďalšieho vzdelávania učiteľov programy zamerané na výučbu rómskeho jazyka nie sú dostupné. </w:t>
      </w:r>
      <w:r w:rsidR="00114D8E">
        <w:rPr>
          <w:rFonts w:eastAsia="Calibri" w:cs="Times New Roman"/>
          <w:bCs/>
          <w:szCs w:val="22"/>
        </w:rPr>
        <w:t>O</w:t>
      </w:r>
      <w:r w:rsidRPr="00B14AA2">
        <w:rPr>
          <w:rFonts w:eastAsia="Calibri" w:cs="Times New Roman"/>
          <w:bCs/>
          <w:szCs w:val="22"/>
        </w:rPr>
        <w:t>d roku 2019/2020 sa maturanti môžu hlásiť na študijný program prípravy učiteľov rómskeho jazyka v kombinácii s iným predmetom na Prešovskej univerzite. Programy pre pedagogických a odborných zamestnancov zamerané na podporu vzdelávania žiakov z MRK v sylabách jazykové potreby špecificky nezmieňujú.</w:t>
      </w:r>
      <w:r w:rsidRPr="00B14AA2">
        <w:rPr>
          <w:rFonts w:eastAsia="Calibri" w:cs="Times New Roman"/>
          <w:bCs/>
          <w:szCs w:val="22"/>
          <w:vertAlign w:val="superscript"/>
        </w:rPr>
        <w:footnoteReference w:id="136"/>
      </w:r>
      <w:r w:rsidRPr="00B14AA2">
        <w:rPr>
          <w:rFonts w:eastAsia="Calibri" w:cs="Times New Roman"/>
          <w:bCs/>
          <w:szCs w:val="22"/>
        </w:rPr>
        <w:t xml:space="preserve"> </w:t>
      </w:r>
    </w:p>
    <w:p w14:paraId="71C53991" w14:textId="3BDBA7DB" w:rsidR="00695590" w:rsidRDefault="00695590" w:rsidP="00695590">
      <w:pPr>
        <w:spacing w:before="160"/>
        <w:rPr>
          <w:rFonts w:eastAsia="Calibri" w:cs="Times New Roman"/>
          <w:bCs/>
          <w:szCs w:val="22"/>
        </w:rPr>
      </w:pPr>
      <w:r w:rsidRPr="000113BF">
        <w:rPr>
          <w:rFonts w:eastAsia="Calibri" w:cs="Times New Roman"/>
          <w:bCs/>
          <w:szCs w:val="22"/>
        </w:rPr>
        <w:t>Na nedostatočnú pripravenosť aj znalosti učiteľov poukazujú aj výsledky reprezentatívneho prieskum</w:t>
      </w:r>
      <w:r w:rsidR="00AE4CE5">
        <w:rPr>
          <w:rFonts w:eastAsia="Calibri" w:cs="Times New Roman"/>
          <w:bCs/>
          <w:szCs w:val="22"/>
        </w:rPr>
        <w:t>u</w:t>
      </w:r>
      <w:r w:rsidRPr="000113BF">
        <w:rPr>
          <w:rFonts w:eastAsia="Calibri" w:cs="Times New Roman"/>
          <w:bCs/>
          <w:szCs w:val="22"/>
        </w:rPr>
        <w:t xml:space="preserve"> To dá rozum, podľa ktorého 38 % učiteľov v bežných základných</w:t>
      </w:r>
      <w:r w:rsidR="0070047D">
        <w:rPr>
          <w:rFonts w:eastAsia="Calibri" w:cs="Times New Roman"/>
          <w:bCs/>
          <w:szCs w:val="22"/>
        </w:rPr>
        <w:t xml:space="preserve"> </w:t>
      </w:r>
      <w:r w:rsidRPr="000113BF">
        <w:rPr>
          <w:rFonts w:eastAsia="Calibri" w:cs="Times New Roman"/>
          <w:bCs/>
          <w:szCs w:val="22"/>
        </w:rPr>
        <w:t>školách považuje za najvhodnejšie vzdelávať žiakov s iným materinským jazykom v špeciálnych triedach bežných škôl alebo v špeciálnych škol</w:t>
      </w:r>
      <w:r w:rsidR="00714129">
        <w:rPr>
          <w:rFonts w:eastAsia="Calibri" w:cs="Times New Roman"/>
          <w:bCs/>
          <w:szCs w:val="22"/>
        </w:rPr>
        <w:t>ách a 22 % učiteľov nevie vhodnú</w:t>
      </w:r>
      <w:r w:rsidRPr="000113BF">
        <w:rPr>
          <w:rFonts w:eastAsia="Calibri" w:cs="Times New Roman"/>
          <w:bCs/>
          <w:szCs w:val="22"/>
        </w:rPr>
        <w:t xml:space="preserve"> formu vzdelávania posúdiť (To dá rozum, 2019). Vzdelávanie v špeciálnej triede a v špeciálnej škole z titulu odlišnosti materinského jazyka pritom zákonná úprava neumožňuje a takýto postup je aj v rozpore s medzinárodnou dobrou praxou vzdelávania žiakov z jazykových menšín.</w:t>
      </w:r>
    </w:p>
    <w:p w14:paraId="2F579E06" w14:textId="2A28E4E3" w:rsidR="00485150" w:rsidRPr="00D53C5F" w:rsidRDefault="00695590" w:rsidP="00D53C5F">
      <w:pPr>
        <w:rPr>
          <w:b/>
          <w:bCs/>
          <w:szCs w:val="22"/>
        </w:rPr>
      </w:pPr>
      <w:r w:rsidRPr="000113BF">
        <w:rPr>
          <w:rFonts w:eastAsia="Calibri" w:cs="Times New Roman"/>
          <w:b/>
          <w:bCs/>
          <w:szCs w:val="22"/>
        </w:rPr>
        <w:t xml:space="preserve">Revízia preto navrhuje: (1) </w:t>
      </w:r>
      <w:r w:rsidRPr="000113BF">
        <w:rPr>
          <w:b/>
          <w:bCs/>
          <w:szCs w:val="22"/>
        </w:rPr>
        <w:t xml:space="preserve">upraviť školský zákon tak, aby bolo možné zbierať dáta o materinskom jazyku detí, žiakov a poslucháčov; </w:t>
      </w:r>
      <w:r w:rsidR="003F00E9">
        <w:rPr>
          <w:b/>
          <w:bCs/>
          <w:szCs w:val="22"/>
        </w:rPr>
        <w:t xml:space="preserve">zbierať tieto dáta v RIS MŠVVŠ a </w:t>
      </w:r>
      <w:r w:rsidRPr="000113BF">
        <w:rPr>
          <w:b/>
          <w:bCs/>
          <w:szCs w:val="22"/>
        </w:rPr>
        <w:t xml:space="preserve">následne sledovať a vyhodnocovať tento príznak aj v Testovaní 5 a v Testovaní 9, (2) </w:t>
      </w:r>
      <w:r w:rsidRPr="000113BF">
        <w:rPr>
          <w:b/>
          <w:bCs/>
        </w:rPr>
        <w:t xml:space="preserve">postupne zabezpečiť reálnu nárokovateľnosť na výučbu rómskeho jazyka prostredníctvom stanovenia percentuálneho zastúpenia žiakov s rómskym materinským jazykom, od ktorého školy budú mať povinnosť výučbu rómskeho jazyka zabezpečiť, (3) </w:t>
      </w:r>
      <w:r w:rsidRPr="000113BF">
        <w:rPr>
          <w:b/>
          <w:bCs/>
          <w:szCs w:val="22"/>
        </w:rPr>
        <w:t>zvýšiť minimálny rozsah výučby rómskeho jazyka v prvých ročníkoch ZŠ a (4) zabezpečiť, aby príprava budúcich učiteľov obsahovala aj nadobúdanie zručností v oblasti diagnostiky jazykových potrieb detí a v oblasti výučby v jazykovo zmiešanom prostredí.</w:t>
      </w:r>
      <w:bookmarkEnd w:id="346"/>
    </w:p>
    <w:p w14:paraId="14CCB71C" w14:textId="77777777" w:rsidR="00695590" w:rsidRPr="00974D9F" w:rsidRDefault="00695590" w:rsidP="00695590">
      <w:pPr>
        <w:pStyle w:val="Bezriadkovania"/>
        <w:spacing w:before="160" w:after="240" w:line="259" w:lineRule="auto"/>
        <w:jc w:val="both"/>
        <w:rPr>
          <w:rFonts w:ascii="Arial Narrow" w:hAnsi="Arial Narrow"/>
          <w:b/>
          <w:u w:val="single"/>
        </w:rPr>
      </w:pPr>
      <w:r w:rsidRPr="00974D9F">
        <w:rPr>
          <w:rFonts w:ascii="Arial Narrow" w:hAnsi="Arial Narrow"/>
          <w:b/>
          <w:u w:val="single"/>
        </w:rPr>
        <w:t>Znižovanie a odpúšťanie poplatkov v školských kluboch detí</w:t>
      </w:r>
    </w:p>
    <w:p w14:paraId="0C99770E" w14:textId="34CC1012" w:rsidR="00695590" w:rsidRPr="00703B63" w:rsidRDefault="00695590" w:rsidP="00695590">
      <w:pPr>
        <w:widowControl w:val="0"/>
        <w:spacing w:before="160"/>
        <w:rPr>
          <w:bCs/>
          <w:szCs w:val="22"/>
        </w:rPr>
      </w:pPr>
      <w:r w:rsidRPr="00703B63">
        <w:rPr>
          <w:b/>
          <w:bCs/>
          <w:szCs w:val="22"/>
        </w:rPr>
        <w:t>Údaje o počte</w:t>
      </w:r>
      <w:r w:rsidR="0070047D">
        <w:rPr>
          <w:b/>
          <w:bCs/>
          <w:szCs w:val="22"/>
        </w:rPr>
        <w:t xml:space="preserve"> </w:t>
      </w:r>
      <w:r w:rsidRPr="00703B63">
        <w:rPr>
          <w:b/>
          <w:bCs/>
          <w:szCs w:val="22"/>
        </w:rPr>
        <w:t xml:space="preserve">žiakov zo SZP navštevujúcich školské kluby deti (ŠKD) nie sú dostupné. Zo správ štátnej školskej inšpekcie však </w:t>
      </w:r>
      <w:r w:rsidR="00B24660">
        <w:rPr>
          <w:b/>
          <w:bCs/>
          <w:szCs w:val="22"/>
        </w:rPr>
        <w:t>vyplýva</w:t>
      </w:r>
      <w:r w:rsidRPr="00703B63">
        <w:rPr>
          <w:b/>
          <w:bCs/>
          <w:szCs w:val="22"/>
        </w:rPr>
        <w:t>, že účasť žiakov zo SZP a MRK v ŠKD je nízka</w:t>
      </w:r>
      <w:r w:rsidR="003F00E9">
        <w:rPr>
          <w:b/>
          <w:bCs/>
          <w:szCs w:val="22"/>
        </w:rPr>
        <w:t xml:space="preserve"> (ŠŠI, 2015, 2016, 2017)</w:t>
      </w:r>
      <w:r w:rsidRPr="00703B63">
        <w:rPr>
          <w:b/>
          <w:bCs/>
          <w:szCs w:val="22"/>
        </w:rPr>
        <w:t xml:space="preserve">. </w:t>
      </w:r>
      <w:r w:rsidRPr="00B754FE">
        <w:rPr>
          <w:bCs/>
          <w:szCs w:val="22"/>
        </w:rPr>
        <w:t>Príčiny neboli bližšie skúmané.</w:t>
      </w:r>
      <w:r w:rsidRPr="00F852A9">
        <w:rPr>
          <w:bCs/>
          <w:szCs w:val="22"/>
        </w:rPr>
        <w:t xml:space="preserve"> Úč</w:t>
      </w:r>
      <w:r w:rsidRPr="00703B63">
        <w:rPr>
          <w:bCs/>
          <w:szCs w:val="22"/>
        </w:rPr>
        <w:t>asť žiakov zo znevýhodneného prostredia v ŠKD sa pritom považuje za dôležitú súčasť celodenného výchovno-vzdelávacieho systému</w:t>
      </w:r>
      <w:r w:rsidR="003F00E9">
        <w:rPr>
          <w:bCs/>
          <w:szCs w:val="22"/>
        </w:rPr>
        <w:t xml:space="preserve"> a</w:t>
      </w:r>
      <w:r w:rsidR="003F00E9" w:rsidRPr="00703B63">
        <w:rPr>
          <w:bCs/>
          <w:szCs w:val="22"/>
        </w:rPr>
        <w:t xml:space="preserve"> </w:t>
      </w:r>
      <w:r w:rsidR="003F00E9">
        <w:rPr>
          <w:bCs/>
          <w:szCs w:val="22"/>
        </w:rPr>
        <w:t>má preukázateľne pozitívny vplyv na rozvoj kognitívnych, sociálnych a emocionálnych zručností (</w:t>
      </w:r>
      <w:r w:rsidR="003F00E9">
        <w:t>Posner, J. K., &amp; Vandell, D. L., 1994</w:t>
      </w:r>
      <w:r w:rsidR="00176FD9">
        <w:t>;</w:t>
      </w:r>
      <w:r w:rsidR="003F00E9">
        <w:t xml:space="preserve"> a Durlak, J. A a kol. 2010)</w:t>
      </w:r>
      <w:r w:rsidRPr="00703B63">
        <w:rPr>
          <w:bCs/>
          <w:szCs w:val="22"/>
        </w:rPr>
        <w:t>.</w:t>
      </w:r>
    </w:p>
    <w:p w14:paraId="76790B4E" w14:textId="596C77EF" w:rsidR="00695590" w:rsidRDefault="00695590" w:rsidP="00695590">
      <w:pPr>
        <w:spacing w:before="160"/>
        <w:rPr>
          <w:b/>
          <w:szCs w:val="22"/>
        </w:rPr>
      </w:pPr>
      <w:r w:rsidRPr="00703B63">
        <w:rPr>
          <w:b/>
          <w:bCs/>
          <w:szCs w:val="22"/>
        </w:rPr>
        <w:t>Príčinou nízkej účasti znevýhodnených žiakov v ŠKD môžu byť aj finančné bariéry.</w:t>
      </w:r>
      <w:r w:rsidRPr="00703B63">
        <w:rPr>
          <w:rStyle w:val="Odkaznapoznmkupodiarou"/>
          <w:b/>
          <w:bCs/>
          <w:szCs w:val="22"/>
        </w:rPr>
        <w:footnoteReference w:id="137"/>
      </w:r>
      <w:r w:rsidRPr="00703B63">
        <w:rPr>
          <w:b/>
          <w:bCs/>
          <w:szCs w:val="22"/>
        </w:rPr>
        <w:t xml:space="preserve"> </w:t>
      </w:r>
      <w:r w:rsidR="00714129">
        <w:rPr>
          <w:b/>
          <w:bCs/>
          <w:szCs w:val="22"/>
        </w:rPr>
        <w:t>Skoro polovica (49 </w:t>
      </w:r>
      <w:r>
        <w:rPr>
          <w:b/>
          <w:bCs/>
          <w:szCs w:val="22"/>
        </w:rPr>
        <w:t xml:space="preserve">%) zriaďovateľov v </w:t>
      </w:r>
      <w:r w:rsidRPr="00703B63">
        <w:rPr>
          <w:b/>
          <w:bCs/>
          <w:szCs w:val="22"/>
        </w:rPr>
        <w:t>Banskobystrickom, Prešovskom a</w:t>
      </w:r>
      <w:r>
        <w:rPr>
          <w:b/>
          <w:bCs/>
          <w:szCs w:val="22"/>
        </w:rPr>
        <w:t> </w:t>
      </w:r>
      <w:r w:rsidRPr="00703B63">
        <w:rPr>
          <w:b/>
          <w:bCs/>
          <w:szCs w:val="22"/>
        </w:rPr>
        <w:t>Košickom</w:t>
      </w:r>
      <w:r>
        <w:rPr>
          <w:b/>
          <w:bCs/>
          <w:szCs w:val="22"/>
        </w:rPr>
        <w:t xml:space="preserve"> kraji </w:t>
      </w:r>
      <w:r w:rsidRPr="00703B63">
        <w:rPr>
          <w:b/>
          <w:bCs/>
          <w:szCs w:val="22"/>
        </w:rPr>
        <w:t>poplatky za ŠKD z titulu PHN neodpúšťa.</w:t>
      </w:r>
      <w:r>
        <w:rPr>
          <w:b/>
          <w:bCs/>
          <w:szCs w:val="22"/>
        </w:rPr>
        <w:t xml:space="preserve"> </w:t>
      </w:r>
      <w:r w:rsidR="00B24660">
        <w:rPr>
          <w:bCs/>
          <w:szCs w:val="22"/>
        </w:rPr>
        <w:t>Vyplýva</w:t>
      </w:r>
      <w:r w:rsidRPr="00F852A9">
        <w:rPr>
          <w:bCs/>
          <w:szCs w:val="22"/>
        </w:rPr>
        <w:t xml:space="preserve"> to z</w:t>
      </w:r>
      <w:r w:rsidRPr="00B754FE">
        <w:rPr>
          <w:bCs/>
          <w:szCs w:val="22"/>
        </w:rPr>
        <w:t> analýzy všeobecne záväzných nariadení (VZN) obcí</w:t>
      </w:r>
      <w:r w:rsidRPr="00F852A9">
        <w:rPr>
          <w:bCs/>
          <w:szCs w:val="22"/>
        </w:rPr>
        <w:t>.</w:t>
      </w:r>
      <w:r w:rsidRPr="00703B63">
        <w:rPr>
          <w:rStyle w:val="Odkaznapoznmkupodiarou"/>
          <w:szCs w:val="22"/>
        </w:rPr>
        <w:footnoteReference w:id="138"/>
      </w:r>
      <w:r w:rsidRPr="00F852A9">
        <w:rPr>
          <w:bCs/>
          <w:szCs w:val="22"/>
        </w:rPr>
        <w:t xml:space="preserve"> </w:t>
      </w:r>
      <w:r w:rsidRPr="00703B63">
        <w:rPr>
          <w:szCs w:val="22"/>
        </w:rPr>
        <w:t xml:space="preserve">Na rozdiel od poplatkov v materských školách, ktoré sú obce povinné rodinám z PHN odpúšťať zo zákona, poplatky za ŠKD </w:t>
      </w:r>
      <w:r w:rsidRPr="007048DC">
        <w:rPr>
          <w:szCs w:val="22"/>
        </w:rPr>
        <w:t>zriaďovateľ môže, ale nemusí znížiť ani odpustiť.</w:t>
      </w:r>
      <w:r w:rsidRPr="007048DC">
        <w:rPr>
          <w:rStyle w:val="Odkaznapoznmkupodiarou"/>
          <w:szCs w:val="22"/>
        </w:rPr>
        <w:footnoteReference w:id="139"/>
      </w:r>
      <w:r w:rsidRPr="007048DC">
        <w:rPr>
          <w:szCs w:val="22"/>
        </w:rPr>
        <w:t xml:space="preserve"> </w:t>
      </w:r>
      <w:r w:rsidRPr="007048DC">
        <w:rPr>
          <w:bCs/>
          <w:szCs w:val="22"/>
        </w:rPr>
        <w:t>V uvedených troch krajoch sa vzdeláva väčšina žiakov zo SZP (88 %) a </w:t>
      </w:r>
      <w:r w:rsidRPr="000113BF">
        <w:rPr>
          <w:bCs/>
          <w:szCs w:val="22"/>
        </w:rPr>
        <w:t>56</w:t>
      </w:r>
      <w:r w:rsidRPr="007048DC">
        <w:rPr>
          <w:bCs/>
          <w:szCs w:val="22"/>
        </w:rPr>
        <w:t xml:space="preserve"> % zo všetkých žiakov ohrozených chudobu alebo sociálnym vylúčením. Poplatky v uvedených krajoch znižuje niečo</w:t>
      </w:r>
      <w:r w:rsidRPr="00B754FE">
        <w:rPr>
          <w:bCs/>
          <w:szCs w:val="22"/>
        </w:rPr>
        <w:t xml:space="preserve"> menej ako polovica zriaďovateľov (43 %), pričom približne tretina z nich (32 %) vo svojich VZN uvádza konkrétnu </w:t>
      </w:r>
      <w:r w:rsidRPr="000113BF">
        <w:rPr>
          <w:bCs/>
          <w:szCs w:val="22"/>
        </w:rPr>
        <w:t>sumu zníženého poplatku. V priemere má znížený poplatok výšku 2,1 eur (v intervale od 0,3 do 5,0 eur). Priemerná výška nezníženého poplatku za návštevu ŠKD je 4,5 eur za mesiac (v intervale od 0,0 do 15,0 eur).</w:t>
      </w:r>
      <w:r w:rsidRPr="000113BF">
        <w:rPr>
          <w:szCs w:val="22"/>
        </w:rPr>
        <w:t xml:space="preserve"> </w:t>
      </w:r>
      <w:r w:rsidRPr="000113BF">
        <w:rPr>
          <w:b/>
          <w:szCs w:val="22"/>
        </w:rPr>
        <w:t>Revízia navrhuje povinne odpúšťať poplatky za ŠKD žiakom zo sociálne znevýhodneného prostredia.</w:t>
      </w:r>
      <w:r w:rsidR="00F8264E">
        <w:rPr>
          <w:b/>
          <w:szCs w:val="22"/>
        </w:rPr>
        <w:t xml:space="preserve"> Zriaďovatelia ŠKD b</w:t>
      </w:r>
      <w:r w:rsidR="00714129">
        <w:rPr>
          <w:b/>
          <w:szCs w:val="22"/>
        </w:rPr>
        <w:t>y</w:t>
      </w:r>
      <w:r w:rsidR="00F8264E">
        <w:rPr>
          <w:b/>
          <w:szCs w:val="22"/>
        </w:rPr>
        <w:t xml:space="preserve"> mali byť kompenzovaní za výpadok v príjmoch podobne ako pri odpúšťaní poplatkov za materské školy.</w:t>
      </w:r>
    </w:p>
    <w:p w14:paraId="1CB3AA85" w14:textId="77777777" w:rsidR="00695590" w:rsidRPr="00974D9F" w:rsidRDefault="00695590" w:rsidP="00695590">
      <w:pPr>
        <w:spacing w:before="160"/>
        <w:rPr>
          <w:b/>
          <w:u w:val="single"/>
        </w:rPr>
      </w:pPr>
      <w:r w:rsidRPr="00974D9F">
        <w:rPr>
          <w:b/>
          <w:u w:val="single"/>
        </w:rPr>
        <w:t>Úprava prostredia a uplatňovanie špecifických metód a foriem vo výchove a vzdelávaní</w:t>
      </w:r>
    </w:p>
    <w:p w14:paraId="550A8B8D" w14:textId="48A91CE5" w:rsidR="00695590" w:rsidRPr="00256A42" w:rsidRDefault="00695590" w:rsidP="004E3D89">
      <w:r w:rsidRPr="004E3D89">
        <w:rPr>
          <w:b/>
        </w:rPr>
        <w:t xml:space="preserve">Za kľúčové pre uplatňovanie špecifických metód a foriem, a teda pre efektívne uplatňovanie individuálneho prístupu vo vzdelávaní, možno považovať pripravenosť učiteľov na vzdelávanie detí zo SZP. </w:t>
      </w:r>
      <w:r w:rsidRPr="004E3D89">
        <w:rPr>
          <w:b/>
          <w:bCs/>
        </w:rPr>
        <w:t>Výsledky medzinárodných aj slovenských meraní však upozorňujú na nedostatočnú pripravenosť učiteľov</w:t>
      </w:r>
      <w:r w:rsidRPr="004E3D89">
        <w:rPr>
          <w:b/>
        </w:rPr>
        <w:t xml:space="preserve">. </w:t>
      </w:r>
      <w:r>
        <w:t xml:space="preserve">Výsledky </w:t>
      </w:r>
      <w:r w:rsidRPr="000113BF">
        <w:t xml:space="preserve">naznačujú, že učitelia pociťujú najvyššiu potrebu vzdelávania v oblasti výučby žiakov so ŠVVP, pričom len malá časť z nich uvádza, že takýto typ vzdelávania absolvovala (Hapalová, 2019; TALIS, 2018). Vážnym problémom </w:t>
      </w:r>
      <w:r w:rsidR="00B24660">
        <w:t>vyplýva</w:t>
      </w:r>
      <w:r w:rsidRPr="000113BF">
        <w:t>júcim z nedostatočného vzdelávania je aj pretrvávajúci názor, že žiaci zo SZP by sa mali vzdelávať v špeciálnom vzdelávacom prúde, čo školský zákon explicitne zakazuje.</w:t>
      </w:r>
      <w:r w:rsidRPr="000113BF">
        <w:rPr>
          <w:rStyle w:val="Odkaznapoznmkupodiarou"/>
        </w:rPr>
        <w:footnoteReference w:id="140"/>
      </w:r>
      <w:r w:rsidRPr="000113BF">
        <w:t xml:space="preserve"> Napriek tomu špeciálne školstvo za najvhodnejšiu formu vzdelávania pre SZP žiakov považuje 13 % učiteľov bežných základných škôl (To dá rozum, 2019).</w:t>
      </w:r>
      <w:r>
        <w:t xml:space="preserve"> </w:t>
      </w:r>
      <w:r w:rsidRPr="004E3D89">
        <w:rPr>
          <w:b/>
        </w:rPr>
        <w:t>Revízia navrhuje realizovať výskum o obsahu prípravy budúcich učiteľov s cieľom vyhodnotiť do akej miery sú učitelia pripravovaní na vzdelávanie žiakov zo SZP, respektíve na vzdelávanie žiakov s rôznorodými potrebami.</w:t>
      </w:r>
    </w:p>
    <w:p w14:paraId="44967102" w14:textId="1D97818E" w:rsidR="00DF2085" w:rsidRPr="004E3D89" w:rsidRDefault="00695590" w:rsidP="00D82411">
      <w:r w:rsidRPr="004E3D89">
        <w:rPr>
          <w:b/>
        </w:rPr>
        <w:t>V roku 2018 sa akreditovaných programov kontinuálneho vzdelávanie zameraných na vzdelávanie žiakov zo SZP zúčastnilo 1 077 učiteľov ZŠ (3 %).</w:t>
      </w:r>
      <w:r>
        <w:t xml:space="preserve"> Z</w:t>
      </w:r>
      <w:r w:rsidR="00EF35A4">
        <w:t xml:space="preserve"> </w:t>
      </w:r>
      <w:r w:rsidRPr="009E5EF3">
        <w:t>celkového počtu 679 akreditovaných programov kontinuálneho vzdelávania určených pre učiteľov ZŠ</w:t>
      </w:r>
      <w:r>
        <w:t xml:space="preserve"> sa</w:t>
      </w:r>
      <w:r w:rsidR="0070047D">
        <w:t xml:space="preserve"> </w:t>
      </w:r>
      <w:r w:rsidRPr="009E5EF3">
        <w:t>vzdelávaniu žiakov zo SZP alebo z</w:t>
      </w:r>
      <w:r>
        <w:t> </w:t>
      </w:r>
      <w:r w:rsidRPr="009E5EF3">
        <w:t>MRK</w:t>
      </w:r>
      <w:r>
        <w:t xml:space="preserve"> venovali</w:t>
      </w:r>
      <w:r w:rsidRPr="009E5EF3">
        <w:t xml:space="preserve"> štyri akreditované programy a 12 programov sa zameriavalo na tému inkluzívneho vzdelávania a vzdelávania detí so ŠVVP všeobecne (</w:t>
      </w:r>
      <w:r w:rsidR="00134838">
        <w:fldChar w:fldCharType="begin"/>
      </w:r>
      <w:r w:rsidR="00134838">
        <w:instrText xml:space="preserve"> REF _Ref34130495 \h  \* MERGEFORMAT </w:instrText>
      </w:r>
      <w:r w:rsidR="00134838">
        <w:fldChar w:fldCharType="separate"/>
      </w:r>
      <w:r w:rsidR="00FA29AF" w:rsidRPr="00FA29AF">
        <w:t>Príloha 7</w:t>
      </w:r>
      <w:r w:rsidR="00134838">
        <w:fldChar w:fldCharType="end"/>
      </w:r>
      <w:r w:rsidR="00D82411">
        <w:t>).</w:t>
      </w:r>
      <w:r w:rsidRPr="009E5EF3">
        <w:t xml:space="preserve"> </w:t>
      </w:r>
    </w:p>
    <w:p w14:paraId="4BA74D08" w14:textId="4F5609C5" w:rsidR="00695590" w:rsidRPr="00CA2564" w:rsidRDefault="00695590" w:rsidP="00695590">
      <w:pPr>
        <w:pStyle w:val="Bezriadkovania"/>
        <w:spacing w:after="240" w:line="259" w:lineRule="auto"/>
        <w:jc w:val="both"/>
        <w:rPr>
          <w:rFonts w:ascii="Arial Narrow" w:hAnsi="Arial Narrow"/>
          <w:color w:val="0070C0"/>
        </w:rPr>
      </w:pPr>
      <w:r>
        <w:rPr>
          <w:rFonts w:ascii="Arial Narrow" w:hAnsi="Arial Narrow"/>
          <w:color w:val="0070C0"/>
        </w:rPr>
        <w:t>Chýbajúce opatrenia na podporu vzdelávania sociálne znevýhodnených žiakov v základných školách</w:t>
      </w:r>
    </w:p>
    <w:p w14:paraId="6C43025F" w14:textId="77777777" w:rsidR="00695590" w:rsidRPr="00B37427" w:rsidRDefault="00695590" w:rsidP="00B37427">
      <w:pPr>
        <w:rPr>
          <w:b/>
          <w:u w:val="single"/>
        </w:rPr>
      </w:pPr>
      <w:r w:rsidRPr="00B37427">
        <w:rPr>
          <w:b/>
          <w:u w:val="single"/>
        </w:rPr>
        <w:t>Výučba slovenčiny ako druhého jazyka</w:t>
      </w:r>
    </w:p>
    <w:p w14:paraId="61BEE7E0" w14:textId="3851F6BA" w:rsidR="00695590" w:rsidRPr="00DD7581" w:rsidRDefault="00695590" w:rsidP="00B37427">
      <w:r w:rsidRPr="00B37427">
        <w:rPr>
          <w:b/>
        </w:rPr>
        <w:t>Na školách s vyučovacím jazykom slovenským (87 % štátnych ZŠ) nie je dostupná výučba slovenčiny ako druhého jazyka pre žiakov s iným materinským jazykom.</w:t>
      </w:r>
      <w:r w:rsidRPr="00DD7581">
        <w:t xml:space="preserve"> </w:t>
      </w:r>
      <w:r w:rsidRPr="00DD7581">
        <w:rPr>
          <w:bCs/>
        </w:rPr>
        <w:t xml:space="preserve">Keďže väčšina Rómov nepovažuje slovenčinu za svoj materinský jazyk (UNDP, 2012; Kiššová, 2017), je pravdepodobné, že mnoho žiakov z MRK, ktorí tvoria viac ako polovicu žiakov zo SZP, vyučovaniu v základnej škole </w:t>
      </w:r>
      <w:r w:rsidR="00CE79FD">
        <w:rPr>
          <w:bCs/>
        </w:rPr>
        <w:t xml:space="preserve">dostatočne </w:t>
      </w:r>
      <w:r w:rsidRPr="00DD7581">
        <w:rPr>
          <w:bCs/>
        </w:rPr>
        <w:t>nerozumie.</w:t>
      </w:r>
      <w:r w:rsidRPr="00DD7581">
        <w:t xml:space="preserve"> </w:t>
      </w:r>
    </w:p>
    <w:p w14:paraId="73D275D5" w14:textId="5580423F" w:rsidR="00695590" w:rsidRDefault="00695590" w:rsidP="00B37427">
      <w:r w:rsidRPr="00B37427">
        <w:rPr>
          <w:b/>
        </w:rPr>
        <w:t>Na Slovensku aktuálne existujú východiskové materiály pre výučbu slovenčiny ako druhého jazyka (napr. Kamenárová et al., 2018; Kvapil et al., 2018), chýba však ich aplikácia do výučby žiakov s rómskym materinským jazykom, ktorí navštevujú školy so slovenským vyučovacím jazykom.</w:t>
      </w:r>
      <w:r w:rsidRPr="00DD7581">
        <w:t xml:space="preserve"> Osvojenie si slovenčiny ako druhého jazyka si vyžaduje samostatné kurikulum a prispôsobenie didaktickej stratégie, ktorá zohľadňuje východiskový jazyk a jazykovú úroveň žiakov (Cook, 2008; Kamenárová et al., 2018; Saville-Troike, 2012).</w:t>
      </w:r>
      <w:r>
        <w:t xml:space="preserve"> </w:t>
      </w:r>
      <w:r w:rsidRPr="00DD7581">
        <w:t>Akreditované programy kontinuálneho vzdelávania učiteľov sa aktuálne zameriavajú len na výučbu slovenčiny ako druhého jazyka det</w:t>
      </w:r>
      <w:r>
        <w:t>i</w:t>
      </w:r>
      <w:r w:rsidRPr="00DD7581">
        <w:t xml:space="preserve"> cudzincov (dva programy), resp. na výučbu slovenčiny ako druhého jazyka na školách s vyučovacím jazykom maďarským (tri programy).</w:t>
      </w:r>
      <w:r w:rsidRPr="00DD7581">
        <w:rPr>
          <w:rStyle w:val="Odkaznapoznmkupodiarou"/>
        </w:rPr>
        <w:footnoteReference w:id="141"/>
      </w:r>
      <w:r w:rsidRPr="00DD7581">
        <w:t xml:space="preserve"> </w:t>
      </w:r>
    </w:p>
    <w:p w14:paraId="6BFF5713" w14:textId="347A3E5C" w:rsidR="00695590" w:rsidRPr="006C3780" w:rsidRDefault="00695590" w:rsidP="00695590">
      <w:pPr>
        <w:spacing w:before="160"/>
        <w:rPr>
          <w:b/>
          <w:szCs w:val="22"/>
        </w:rPr>
      </w:pPr>
      <w:r w:rsidRPr="006C3780">
        <w:rPr>
          <w:b/>
        </w:rPr>
        <w:t xml:space="preserve">Revízia navrhuje: (1) </w:t>
      </w:r>
      <w:r w:rsidRPr="006C3780">
        <w:rPr>
          <w:b/>
          <w:szCs w:val="22"/>
        </w:rPr>
        <w:t xml:space="preserve">formalizovať výučbu slovenského jazyka ako druhého jazyka a zohľadniť túto zmenu v rámcových učebných plánoch a (2) </w:t>
      </w:r>
      <w:r w:rsidRPr="006C3780">
        <w:rPr>
          <w:b/>
          <w:iCs/>
          <w:color w:val="000000" w:themeColor="text1"/>
        </w:rPr>
        <w:t>rozšíriť ponuku programov vzdelávania o programy zamerané na nadobúdanie kompetencií vo výučbe slovenského jazyka ako druhého jazyka.</w:t>
      </w:r>
    </w:p>
    <w:p w14:paraId="3DBC66EB" w14:textId="77777777" w:rsidR="00695590" w:rsidRPr="00AA1402" w:rsidRDefault="00695590" w:rsidP="00695590">
      <w:pPr>
        <w:spacing w:before="160"/>
        <w:rPr>
          <w:b/>
          <w:u w:val="single"/>
        </w:rPr>
      </w:pPr>
      <w:r w:rsidRPr="00AA1402">
        <w:rPr>
          <w:b/>
          <w:u w:val="single"/>
        </w:rPr>
        <w:t>Opatrenia na</w:t>
      </w:r>
      <w:r>
        <w:rPr>
          <w:b/>
          <w:u w:val="single"/>
        </w:rPr>
        <w:t xml:space="preserve"> zníženie priestorového vyčleňovania žiakov</w:t>
      </w:r>
      <w:r w:rsidRPr="00AA1402">
        <w:rPr>
          <w:b/>
          <w:u w:val="single"/>
        </w:rPr>
        <w:t xml:space="preserve"> </w:t>
      </w:r>
    </w:p>
    <w:p w14:paraId="09B907F6" w14:textId="77777777" w:rsidR="00446DCC" w:rsidRDefault="00695590" w:rsidP="00695590">
      <w:pPr>
        <w:spacing w:before="160"/>
        <w:rPr>
          <w:szCs w:val="22"/>
        </w:rPr>
      </w:pPr>
      <w:r w:rsidRPr="00DD7581">
        <w:rPr>
          <w:b/>
        </w:rPr>
        <w:t>Problém priestorového vyčleňovania znevýhodnených žiakov súvisí aj s celkovým nastavením vzdelávacieho systému, pričom dôležitú úlohu zohráva regulácia možnosti výberu školy</w:t>
      </w:r>
      <w:r>
        <w:rPr>
          <w:b/>
        </w:rPr>
        <w:t>, nastavovanie školských obvodov a vzdelávanie jednotlivých aktérov</w:t>
      </w:r>
      <w:r w:rsidRPr="00DD7581">
        <w:rPr>
          <w:b/>
        </w:rPr>
        <w:t xml:space="preserve">. </w:t>
      </w:r>
      <w:r w:rsidRPr="00B5463E">
        <w:t>Na Slovensku majú všetci žiaci určené spádové školy, do ktorých musia byť v prípade záujmu prijatí, ale inak sa môžu vzdelávať v škole podľa vlastného výberu.</w:t>
      </w:r>
      <w:r w:rsidRPr="00B5463E">
        <w:rPr>
          <w:rStyle w:val="Odkaznapoznmkupodiarou"/>
        </w:rPr>
        <w:footnoteReference w:id="142"/>
      </w:r>
      <w:r w:rsidRPr="00B5463E">
        <w:t xml:space="preserve"> Spádové školy sú určované podľa školských obvodov, ktoré vytvárajú obce. V rámci </w:t>
      </w:r>
      <w:r w:rsidRPr="00B754FE">
        <w:t xml:space="preserve">vytvárania školských obvodov </w:t>
      </w:r>
      <w:r w:rsidRPr="00B754FE">
        <w:rPr>
          <w:szCs w:val="22"/>
        </w:rPr>
        <w:t>dochádza k prípadom, kedy v dôsledku toho, ako je školský obvod „na</w:t>
      </w:r>
      <w:r>
        <w:rPr>
          <w:szCs w:val="22"/>
        </w:rPr>
        <w:t>dizajnovaný</w:t>
      </w:r>
      <w:r w:rsidRPr="00B754FE">
        <w:rPr>
          <w:szCs w:val="22"/>
        </w:rPr>
        <w:t>“, sú žiaci z MRK koncentrovaní na jednej škole bez ohľadu na vzdialenosť od iných dostupných škôl a bez ohľadu na voľné kapacity iných škôl.</w:t>
      </w:r>
      <w:r w:rsidRPr="00B754FE">
        <w:rPr>
          <w:rStyle w:val="Odkaznapoznmkupodiarou"/>
          <w:szCs w:val="22"/>
        </w:rPr>
        <w:footnoteReference w:id="143"/>
      </w:r>
      <w:r w:rsidRPr="00B754FE">
        <w:rPr>
          <w:szCs w:val="22"/>
        </w:rPr>
        <w:t xml:space="preserve"> </w:t>
      </w:r>
    </w:p>
    <w:p w14:paraId="7FC51850" w14:textId="1A7315A0" w:rsidR="00695590" w:rsidRDefault="00695590" w:rsidP="00695590">
      <w:pPr>
        <w:spacing w:before="160"/>
      </w:pPr>
      <w:r w:rsidRPr="00B754FE">
        <w:rPr>
          <w:szCs w:val="22"/>
        </w:rPr>
        <w:t xml:space="preserve">Naopak aj v prípade, ak je školský obvod nastavený pro-inkluzívne môže v dôsledku slobodnej voľby dôjsť k odlivu žiakov </w:t>
      </w:r>
      <w:r>
        <w:rPr>
          <w:szCs w:val="22"/>
        </w:rPr>
        <w:t xml:space="preserve">bez znevýhodnenia </w:t>
      </w:r>
      <w:r w:rsidRPr="00B754FE">
        <w:rPr>
          <w:szCs w:val="22"/>
        </w:rPr>
        <w:t>a ku koncentrácii tých znevýhodnených.</w:t>
      </w:r>
      <w:r w:rsidRPr="00B754FE">
        <w:t xml:space="preserve"> </w:t>
      </w:r>
      <w:r>
        <w:t xml:space="preserve">Definícia segregácie vo vzdelávaní však stále neexistuje a dostupné nie sú ani metodické materiály a podporné tímy, ktoré by jednotlivým aktérom (školy, zriaďovateľov a okresné úrady) pomáhali takéto situácie odstraňovať alebo zabraňovať ich vzniku. Chýbajú tiež relevantné vzdelávacie programy pre riaditeľov škôl, starostov obcí a úradníkov okresných úradov, v rámci ktorých by sa s touto problematikou mohli oboznámiť. </w:t>
      </w:r>
    </w:p>
    <w:p w14:paraId="4C1169E0" w14:textId="737AEA99" w:rsidR="00446DCC" w:rsidRDefault="00695590" w:rsidP="00695590">
      <w:pPr>
        <w:spacing w:before="160"/>
      </w:pPr>
      <w:r w:rsidRPr="00B754FE">
        <w:t>Na elimináciu takýchto situácii využívajú niektoré krajiny tzv. kontrolovanú voľbu, ktorá možnosť výberu školy zachováva a súčasne pre školy nastavuje percentuálne zastúpenie žiakov s rôznymi znevýhodneniami podľa celkového demografického zloženia danej lokality (OECD, 2010).</w:t>
      </w:r>
      <w:r w:rsidRPr="00F852A9">
        <w:t xml:space="preserve"> </w:t>
      </w:r>
      <w:r w:rsidRPr="00DD7581">
        <w:t>V niektorých krajinách pomáhajú s koordináciou prijímania žiakov do škôl orgány na lokálnej úrovni, ktoré spracovávajú žiadosti a pomáhajú s distribúciou žiakov do škôl, aby sa reálne dosiahlo želané zastúpenie žiakov na rôznych školách. Naplnenie stanovených cieľov totiž výrazne podlieha dopytu rodičov.</w:t>
      </w:r>
      <w:r w:rsidR="00813D86">
        <w:t xml:space="preserve"> </w:t>
      </w:r>
    </w:p>
    <w:p w14:paraId="4742B830" w14:textId="08AA1001" w:rsidR="00695590" w:rsidRPr="00B1790A" w:rsidRDefault="00695590" w:rsidP="00695590">
      <w:pPr>
        <w:spacing w:before="160"/>
      </w:pPr>
      <w:r w:rsidRPr="00646B44">
        <w:rPr>
          <w:b/>
        </w:rPr>
        <w:t xml:space="preserve">Revízia navrhuje (1) </w:t>
      </w:r>
      <w:r>
        <w:rPr>
          <w:b/>
        </w:rPr>
        <w:t>zadefinovať pojem segregácie vo vzdelávaní, (2) vytvoriť vzdelávací program zameraný na predchádzanie a riešenie segregácie vo vzdelávaní</w:t>
      </w:r>
      <w:r w:rsidR="00553ECD">
        <w:rPr>
          <w:b/>
        </w:rPr>
        <w:t xml:space="preserve"> </w:t>
      </w:r>
      <w:r w:rsidR="00553ECD" w:rsidRPr="00D41517">
        <w:rPr>
          <w:b/>
          <w:bCs/>
        </w:rPr>
        <w:t>pre riaditeľov škôl, starostov obcí a úradníkov okresných úradov</w:t>
      </w:r>
      <w:r>
        <w:rPr>
          <w:b/>
        </w:rPr>
        <w:t xml:space="preserve">, </w:t>
      </w:r>
      <w:r w:rsidR="0038621B">
        <w:rPr>
          <w:b/>
        </w:rPr>
        <w:t xml:space="preserve">a </w:t>
      </w:r>
      <w:r>
        <w:rPr>
          <w:b/>
        </w:rPr>
        <w:t xml:space="preserve">(3) </w:t>
      </w:r>
      <w:r w:rsidR="00E96772" w:rsidRPr="00E96772">
        <w:rPr>
          <w:b/>
        </w:rPr>
        <w:t xml:space="preserve">uskutočniť </w:t>
      </w:r>
      <w:r w:rsidR="00E96772" w:rsidRPr="00D41517">
        <w:rPr>
          <w:b/>
          <w:szCs w:val="22"/>
        </w:rPr>
        <w:t xml:space="preserve">pilotný projekt úpravy školských obvodov s dôrazom na zvýšenie </w:t>
      </w:r>
      <w:r w:rsidR="00AF76FD" w:rsidRPr="00D41517">
        <w:rPr>
          <w:b/>
          <w:szCs w:val="22"/>
        </w:rPr>
        <w:t>diverzity</w:t>
      </w:r>
      <w:r w:rsidR="00E96772" w:rsidRPr="00D41517">
        <w:rPr>
          <w:b/>
          <w:szCs w:val="22"/>
        </w:rPr>
        <w:t xml:space="preserve"> v základných školách</w:t>
      </w:r>
      <w:r w:rsidR="00E96772" w:rsidRPr="00E96772">
        <w:rPr>
          <w:b/>
        </w:rPr>
        <w:t xml:space="preserve">, </w:t>
      </w:r>
      <w:r w:rsidR="00E96772">
        <w:rPr>
          <w:b/>
        </w:rPr>
        <w:t xml:space="preserve">ktorého súčasť je tvorba </w:t>
      </w:r>
      <w:r w:rsidRPr="00646B44">
        <w:rPr>
          <w:b/>
        </w:rPr>
        <w:t>metodick</w:t>
      </w:r>
      <w:r w:rsidR="00E96772">
        <w:rPr>
          <w:b/>
        </w:rPr>
        <w:t>ého</w:t>
      </w:r>
      <w:r w:rsidRPr="00646B44">
        <w:rPr>
          <w:b/>
        </w:rPr>
        <w:t xml:space="preserve"> materiál</w:t>
      </w:r>
      <w:r w:rsidR="00E96772">
        <w:rPr>
          <w:b/>
        </w:rPr>
        <w:t>u</w:t>
      </w:r>
      <w:r w:rsidRPr="00646B44">
        <w:rPr>
          <w:b/>
        </w:rPr>
        <w:t xml:space="preserve"> o tvorbe školských obvodov na desegregačnom princípe</w:t>
      </w:r>
      <w:r w:rsidR="0038621B">
        <w:rPr>
          <w:b/>
        </w:rPr>
        <w:t>.</w:t>
      </w:r>
    </w:p>
    <w:p w14:paraId="3FAD8D9A" w14:textId="77777777" w:rsidR="002370BC" w:rsidRDefault="002370BC">
      <w:pPr>
        <w:spacing w:after="160"/>
        <w:jc w:val="left"/>
        <w:rPr>
          <w:rFonts w:eastAsiaTheme="majorEastAsia" w:cstheme="majorBidi"/>
          <w:color w:val="0070C0"/>
          <w:sz w:val="26"/>
          <w:szCs w:val="26"/>
        </w:rPr>
      </w:pPr>
      <w:bookmarkStart w:id="347" w:name="_Toc32339449"/>
      <w:bookmarkStart w:id="348" w:name="_Toc32339452"/>
      <w:bookmarkStart w:id="349" w:name="_Ref25310245"/>
      <w:bookmarkStart w:id="350" w:name="_Ref25312625"/>
      <w:bookmarkStart w:id="351" w:name="_Ref25316006"/>
      <w:bookmarkStart w:id="352" w:name="_Ref25654848"/>
      <w:bookmarkStart w:id="353" w:name="_Ref25661027"/>
      <w:bookmarkStart w:id="354" w:name="_Ref25662472"/>
      <w:bookmarkEnd w:id="347"/>
      <w:bookmarkEnd w:id="348"/>
      <w:r>
        <w:br w:type="page"/>
      </w:r>
    </w:p>
    <w:p w14:paraId="6049950C" w14:textId="2EA65F94" w:rsidR="00695590" w:rsidRDefault="00695590" w:rsidP="00695590">
      <w:pPr>
        <w:pStyle w:val="Nadpis2"/>
        <w:spacing w:before="160"/>
      </w:pPr>
      <w:bookmarkStart w:id="355" w:name="_Ref34380112"/>
      <w:bookmarkStart w:id="356" w:name="_Toc34657716"/>
      <w:r>
        <w:t>Predčasné ukončovanie školskej dochádzky</w:t>
      </w:r>
      <w:bookmarkEnd w:id="349"/>
      <w:bookmarkEnd w:id="350"/>
      <w:bookmarkEnd w:id="351"/>
      <w:bookmarkEnd w:id="352"/>
      <w:bookmarkEnd w:id="353"/>
      <w:bookmarkEnd w:id="354"/>
      <w:bookmarkEnd w:id="355"/>
      <w:bookmarkEnd w:id="356"/>
    </w:p>
    <w:p w14:paraId="01E7C7BA" w14:textId="77777777" w:rsidR="00695590" w:rsidRPr="00B07E9A" w:rsidRDefault="00695590" w:rsidP="00695590">
      <w:pPr>
        <w:pStyle w:val="Bezriadkovania"/>
        <w:spacing w:after="240" w:line="259" w:lineRule="auto"/>
        <w:jc w:val="both"/>
        <w:rPr>
          <w:rFonts w:ascii="Arial Narrow" w:hAnsi="Arial Narrow"/>
          <w:color w:val="0070C0"/>
        </w:rPr>
      </w:pPr>
      <w:r>
        <w:rPr>
          <w:rFonts w:ascii="Arial Narrow" w:hAnsi="Arial Narrow"/>
          <w:color w:val="0070C0"/>
        </w:rPr>
        <w:t>Výsledky v oblasti PUŠD žiakov zo sociálne znevýhodneného prostredia</w:t>
      </w:r>
    </w:p>
    <w:p w14:paraId="33E5E04C" w14:textId="516B0EF1" w:rsidR="00695590" w:rsidRPr="00DC431D" w:rsidRDefault="000C09C0" w:rsidP="00695590">
      <w:pPr>
        <w:spacing w:before="160"/>
        <w:rPr>
          <w:szCs w:val="22"/>
        </w:rPr>
      </w:pPr>
      <w:r w:rsidRPr="00D41517">
        <w:rPr>
          <w:b/>
          <w:szCs w:val="22"/>
        </w:rPr>
        <w:t>Podiel žiakov s ukončenou povinnou školskou dochádzkou nepokračujúcich vo vzdelávaní</w:t>
      </w:r>
      <w:r w:rsidRPr="000F651B">
        <w:rPr>
          <w:b/>
          <w:bCs/>
          <w:szCs w:val="22"/>
        </w:rPr>
        <w:t xml:space="preserve"> </w:t>
      </w:r>
      <w:r w:rsidR="00644E36">
        <w:rPr>
          <w:b/>
          <w:bCs/>
          <w:szCs w:val="22"/>
        </w:rPr>
        <w:t xml:space="preserve">je </w:t>
      </w:r>
      <w:r w:rsidR="00863203" w:rsidRPr="000F651B">
        <w:rPr>
          <w:b/>
          <w:bCs/>
          <w:szCs w:val="22"/>
        </w:rPr>
        <w:t>výrazne</w:t>
      </w:r>
      <w:r w:rsidR="00644E36">
        <w:rPr>
          <w:b/>
          <w:bCs/>
          <w:szCs w:val="22"/>
        </w:rPr>
        <w:t xml:space="preserve"> vyšší</w:t>
      </w:r>
      <w:r w:rsidR="00863203">
        <w:rPr>
          <w:b/>
          <w:bCs/>
          <w:szCs w:val="22"/>
        </w:rPr>
        <w:t xml:space="preserve"> </w:t>
      </w:r>
      <w:r w:rsidR="00695590" w:rsidRPr="0025079B">
        <w:rPr>
          <w:b/>
          <w:bCs/>
          <w:szCs w:val="22"/>
        </w:rPr>
        <w:t xml:space="preserve">v sociálne znevýhodnených skupinách ako vo </w:t>
      </w:r>
      <w:r w:rsidR="00695590" w:rsidRPr="00DC431D">
        <w:rPr>
          <w:b/>
          <w:bCs/>
          <w:szCs w:val="22"/>
        </w:rPr>
        <w:t xml:space="preserve">zvyšku populácie. </w:t>
      </w:r>
      <w:r w:rsidR="00695590" w:rsidRPr="00DC431D">
        <w:rPr>
          <w:szCs w:val="22"/>
        </w:rPr>
        <w:t xml:space="preserve">V školskom roku 2017/18 takto ukončil školskú dochádzku </w:t>
      </w:r>
      <w:r w:rsidR="003B39A0">
        <w:rPr>
          <w:szCs w:val="22"/>
        </w:rPr>
        <w:t xml:space="preserve">každý desiaty žiak </w:t>
      </w:r>
      <w:r w:rsidR="00695590" w:rsidRPr="00DC431D">
        <w:rPr>
          <w:szCs w:val="22"/>
        </w:rPr>
        <w:t>v systéme PHN (</w:t>
      </w:r>
      <w:r w:rsidR="003B39A0">
        <w:rPr>
          <w:szCs w:val="22"/>
        </w:rPr>
        <w:t>10</w:t>
      </w:r>
      <w:r w:rsidR="00695590" w:rsidRPr="00DC431D">
        <w:rPr>
          <w:szCs w:val="22"/>
        </w:rPr>
        <w:t>,6 %) a</w:t>
      </w:r>
      <w:r w:rsidR="003B39A0">
        <w:rPr>
          <w:szCs w:val="22"/>
        </w:rPr>
        <w:t xml:space="preserve"> 13,4 % žiakov </w:t>
      </w:r>
      <w:r w:rsidR="00695590" w:rsidRPr="00DC431D">
        <w:rPr>
          <w:szCs w:val="22"/>
        </w:rPr>
        <w:t>z prostredia MRK (</w:t>
      </w:r>
      <w:r w:rsidR="00256A42">
        <w:rPr>
          <w:szCs w:val="22"/>
        </w:rPr>
        <w:fldChar w:fldCharType="begin"/>
      </w:r>
      <w:r w:rsidR="00256A42">
        <w:rPr>
          <w:szCs w:val="22"/>
        </w:rPr>
        <w:instrText xml:space="preserve"> REF _Ref529550374 \h </w:instrText>
      </w:r>
      <w:r w:rsidR="00524A3A">
        <w:rPr>
          <w:szCs w:val="22"/>
        </w:rPr>
        <w:instrText xml:space="preserve"> \* MERGEFORMAT </w:instrText>
      </w:r>
      <w:r w:rsidR="00256A42">
        <w:rPr>
          <w:szCs w:val="22"/>
        </w:rPr>
      </w:r>
      <w:r w:rsidR="00256A42">
        <w:rPr>
          <w:szCs w:val="22"/>
        </w:rPr>
        <w:fldChar w:fldCharType="separate"/>
      </w:r>
      <w:r w:rsidR="00FA29AF" w:rsidRPr="00FA29AF">
        <w:rPr>
          <w:szCs w:val="22"/>
        </w:rPr>
        <w:t>Tabuľka 13</w:t>
      </w:r>
      <w:r w:rsidR="00256A42">
        <w:rPr>
          <w:szCs w:val="22"/>
        </w:rPr>
        <w:fldChar w:fldCharType="end"/>
      </w:r>
      <w:r w:rsidR="00695590" w:rsidRPr="00DC431D">
        <w:rPr>
          <w:szCs w:val="22"/>
        </w:rPr>
        <w:t xml:space="preserve">). V celkovej populácii tejto vekovej skupiny to bolo </w:t>
      </w:r>
      <w:r w:rsidR="003B39A0">
        <w:rPr>
          <w:szCs w:val="22"/>
        </w:rPr>
        <w:t>6,4</w:t>
      </w:r>
      <w:r w:rsidR="00695590" w:rsidRPr="00DC431D">
        <w:rPr>
          <w:szCs w:val="22"/>
        </w:rPr>
        <w:t xml:space="preserve"> %. </w:t>
      </w:r>
    </w:p>
    <w:p w14:paraId="14DA8028" w14:textId="574591C4" w:rsidR="00695590" w:rsidRPr="00B37427" w:rsidRDefault="00695590" w:rsidP="00B37427">
      <w:pPr>
        <w:spacing w:after="0"/>
        <w:rPr>
          <w:b/>
          <w:sz w:val="20"/>
        </w:rPr>
      </w:pPr>
      <w:bookmarkStart w:id="357" w:name="_Ref529550374"/>
      <w:bookmarkStart w:id="358" w:name="_Toc535498777"/>
      <w:bookmarkStart w:id="359" w:name="_Toc34156852"/>
      <w:r w:rsidRPr="00B37427">
        <w:rPr>
          <w:b/>
          <w:sz w:val="20"/>
        </w:rPr>
        <w:t xml:space="preserve">Tabuľka </w:t>
      </w:r>
      <w:r w:rsidRPr="00B37427">
        <w:rPr>
          <w:b/>
          <w:noProof/>
          <w:sz w:val="20"/>
        </w:rPr>
        <w:fldChar w:fldCharType="begin"/>
      </w:r>
      <w:r w:rsidRPr="00B37427">
        <w:rPr>
          <w:b/>
          <w:noProof/>
          <w:sz w:val="20"/>
        </w:rPr>
        <w:instrText xml:space="preserve"> SEQ Tabuľka \* ARABIC </w:instrText>
      </w:r>
      <w:r w:rsidRPr="00B37427">
        <w:rPr>
          <w:b/>
          <w:noProof/>
          <w:sz w:val="20"/>
        </w:rPr>
        <w:fldChar w:fldCharType="separate"/>
      </w:r>
      <w:r w:rsidR="00FA29AF">
        <w:rPr>
          <w:b/>
          <w:noProof/>
          <w:sz w:val="20"/>
        </w:rPr>
        <w:t>13</w:t>
      </w:r>
      <w:r w:rsidRPr="00B37427">
        <w:rPr>
          <w:b/>
          <w:noProof/>
          <w:sz w:val="20"/>
        </w:rPr>
        <w:fldChar w:fldCharType="end"/>
      </w:r>
      <w:bookmarkEnd w:id="357"/>
      <w:r w:rsidRPr="00B37427">
        <w:rPr>
          <w:b/>
          <w:sz w:val="20"/>
        </w:rPr>
        <w:t xml:space="preserve">: </w:t>
      </w:r>
      <w:r w:rsidR="000C09C0">
        <w:rPr>
          <w:b/>
          <w:sz w:val="20"/>
        </w:rPr>
        <w:t xml:space="preserve">Podiel žiakov s ukončenou </w:t>
      </w:r>
      <w:r w:rsidR="00D53A88">
        <w:rPr>
          <w:b/>
          <w:sz w:val="20"/>
        </w:rPr>
        <w:t>PŠD</w:t>
      </w:r>
      <w:r w:rsidR="000C09C0">
        <w:rPr>
          <w:b/>
          <w:sz w:val="20"/>
        </w:rPr>
        <w:t xml:space="preserve"> </w:t>
      </w:r>
      <w:r w:rsidR="00D53A88">
        <w:rPr>
          <w:b/>
          <w:sz w:val="20"/>
        </w:rPr>
        <w:t>v š. r.</w:t>
      </w:r>
      <w:r w:rsidR="00D53A88" w:rsidRPr="00B37427">
        <w:rPr>
          <w:b/>
          <w:sz w:val="20"/>
        </w:rPr>
        <w:t xml:space="preserve"> 2017/18</w:t>
      </w:r>
      <w:r w:rsidR="00D53A88">
        <w:rPr>
          <w:b/>
          <w:sz w:val="20"/>
        </w:rPr>
        <w:t xml:space="preserve"> </w:t>
      </w:r>
      <w:r w:rsidR="000C09C0">
        <w:rPr>
          <w:b/>
          <w:sz w:val="20"/>
        </w:rPr>
        <w:t>nepokračujúcich vo vzdelávaní</w:t>
      </w:r>
      <w:r w:rsidRPr="00B37427">
        <w:rPr>
          <w:b/>
          <w:sz w:val="20"/>
        </w:rPr>
        <w:t xml:space="preserve"> (%)</w:t>
      </w:r>
      <w:bookmarkEnd w:id="358"/>
      <w:bookmarkEnd w:id="359"/>
    </w:p>
    <w:tbl>
      <w:tblPr>
        <w:tblW w:w="9072" w:type="dxa"/>
        <w:tblLayout w:type="fixed"/>
        <w:tblCellMar>
          <w:left w:w="70" w:type="dxa"/>
          <w:right w:w="70" w:type="dxa"/>
        </w:tblCellMar>
        <w:tblLook w:val="04A0" w:firstRow="1" w:lastRow="0" w:firstColumn="1" w:lastColumn="0" w:noHBand="0" w:noVBand="1"/>
      </w:tblPr>
      <w:tblGrid>
        <w:gridCol w:w="2552"/>
        <w:gridCol w:w="2173"/>
        <w:gridCol w:w="2173"/>
        <w:gridCol w:w="2174"/>
      </w:tblGrid>
      <w:tr w:rsidR="00695590" w:rsidRPr="00E32A3F" w14:paraId="4D3C4255" w14:textId="77777777" w:rsidTr="00C04AAA">
        <w:trPr>
          <w:trHeight w:val="300"/>
        </w:trPr>
        <w:tc>
          <w:tcPr>
            <w:tcW w:w="2552" w:type="dxa"/>
            <w:tcBorders>
              <w:top w:val="single" w:sz="4" w:space="0" w:color="auto"/>
              <w:left w:val="nil"/>
              <w:bottom w:val="single" w:sz="4" w:space="0" w:color="auto"/>
              <w:right w:val="nil"/>
            </w:tcBorders>
            <w:shd w:val="clear" w:color="000000" w:fill="FFFFFF"/>
            <w:noWrap/>
            <w:vAlign w:val="bottom"/>
            <w:hideMark/>
          </w:tcPr>
          <w:p w14:paraId="1D734005" w14:textId="77777777" w:rsidR="00695590" w:rsidRPr="00186098" w:rsidRDefault="00695590" w:rsidP="00C04AAA">
            <w:pPr>
              <w:spacing w:after="0" w:line="240" w:lineRule="auto"/>
              <w:jc w:val="center"/>
              <w:rPr>
                <w:rFonts w:eastAsia="Times New Roman" w:cs="Times New Roman"/>
                <w:color w:val="000000"/>
                <w:sz w:val="20"/>
                <w:lang w:eastAsia="sk-SK"/>
              </w:rPr>
            </w:pPr>
          </w:p>
        </w:tc>
        <w:tc>
          <w:tcPr>
            <w:tcW w:w="2173" w:type="dxa"/>
            <w:tcBorders>
              <w:top w:val="single" w:sz="4" w:space="0" w:color="auto"/>
              <w:left w:val="nil"/>
              <w:bottom w:val="single" w:sz="4" w:space="0" w:color="auto"/>
              <w:right w:val="nil"/>
            </w:tcBorders>
            <w:shd w:val="clear" w:color="000000" w:fill="FFFFFF"/>
            <w:noWrap/>
            <w:vAlign w:val="bottom"/>
            <w:hideMark/>
          </w:tcPr>
          <w:p w14:paraId="696BD036" w14:textId="77777777" w:rsidR="00695590" w:rsidRPr="00186098" w:rsidRDefault="00695590" w:rsidP="00B12905">
            <w:pPr>
              <w:spacing w:after="0" w:line="240" w:lineRule="auto"/>
              <w:jc w:val="right"/>
              <w:rPr>
                <w:rFonts w:eastAsia="Times New Roman" w:cs="Times New Roman"/>
                <w:b/>
                <w:bCs/>
                <w:color w:val="000000"/>
                <w:sz w:val="20"/>
                <w:lang w:eastAsia="sk-SK"/>
              </w:rPr>
            </w:pPr>
            <w:r w:rsidRPr="00186098">
              <w:rPr>
                <w:rFonts w:eastAsia="Times New Roman" w:cs="Times New Roman"/>
                <w:b/>
                <w:bCs/>
                <w:color w:val="000000"/>
                <w:sz w:val="20"/>
                <w:lang w:eastAsia="sk-SK"/>
              </w:rPr>
              <w:t>MRK</w:t>
            </w:r>
          </w:p>
        </w:tc>
        <w:tc>
          <w:tcPr>
            <w:tcW w:w="2173" w:type="dxa"/>
            <w:tcBorders>
              <w:top w:val="single" w:sz="4" w:space="0" w:color="auto"/>
              <w:left w:val="nil"/>
              <w:bottom w:val="single" w:sz="4" w:space="0" w:color="auto"/>
              <w:right w:val="nil"/>
            </w:tcBorders>
            <w:shd w:val="clear" w:color="000000" w:fill="FFFFFF"/>
            <w:noWrap/>
            <w:vAlign w:val="bottom"/>
            <w:hideMark/>
          </w:tcPr>
          <w:p w14:paraId="681FA3FF" w14:textId="77777777" w:rsidR="00695590" w:rsidRPr="00186098" w:rsidRDefault="00695590" w:rsidP="00B12905">
            <w:pPr>
              <w:spacing w:after="0" w:line="240" w:lineRule="auto"/>
              <w:jc w:val="right"/>
              <w:rPr>
                <w:rFonts w:eastAsia="Times New Roman" w:cs="Times New Roman"/>
                <w:b/>
                <w:bCs/>
                <w:color w:val="000000"/>
                <w:sz w:val="20"/>
                <w:lang w:eastAsia="sk-SK"/>
              </w:rPr>
            </w:pPr>
            <w:r w:rsidRPr="00186098">
              <w:rPr>
                <w:rFonts w:eastAsia="Times New Roman" w:cs="Times New Roman"/>
                <w:b/>
                <w:bCs/>
                <w:color w:val="000000"/>
                <w:sz w:val="20"/>
                <w:lang w:eastAsia="sk-SK"/>
              </w:rPr>
              <w:t>mimo MRK</w:t>
            </w:r>
          </w:p>
        </w:tc>
        <w:tc>
          <w:tcPr>
            <w:tcW w:w="2174" w:type="dxa"/>
            <w:tcBorders>
              <w:top w:val="single" w:sz="4" w:space="0" w:color="auto"/>
              <w:left w:val="nil"/>
              <w:bottom w:val="single" w:sz="4" w:space="0" w:color="auto"/>
              <w:right w:val="nil"/>
            </w:tcBorders>
            <w:shd w:val="clear" w:color="000000" w:fill="FFFFFF"/>
            <w:noWrap/>
            <w:vAlign w:val="bottom"/>
            <w:hideMark/>
          </w:tcPr>
          <w:p w14:paraId="20E35B8F" w14:textId="77777777" w:rsidR="00695590" w:rsidRPr="00186098" w:rsidRDefault="00695590" w:rsidP="00B12905">
            <w:pPr>
              <w:spacing w:after="0" w:line="240" w:lineRule="auto"/>
              <w:jc w:val="right"/>
              <w:rPr>
                <w:rFonts w:eastAsia="Times New Roman" w:cs="Times New Roman"/>
                <w:b/>
                <w:bCs/>
                <w:color w:val="000000"/>
                <w:sz w:val="20"/>
                <w:lang w:eastAsia="sk-SK"/>
              </w:rPr>
            </w:pPr>
            <w:r w:rsidRPr="00186098">
              <w:rPr>
                <w:rFonts w:eastAsia="Times New Roman" w:cs="Times New Roman"/>
                <w:b/>
                <w:bCs/>
                <w:color w:val="000000"/>
                <w:sz w:val="20"/>
                <w:lang w:eastAsia="sk-SK"/>
              </w:rPr>
              <w:t>Celkom</w:t>
            </w:r>
          </w:p>
        </w:tc>
      </w:tr>
      <w:tr w:rsidR="00863203" w:rsidRPr="00E32A3F" w14:paraId="40334CB4" w14:textId="77777777" w:rsidTr="00C04AAA">
        <w:trPr>
          <w:trHeight w:val="300"/>
        </w:trPr>
        <w:tc>
          <w:tcPr>
            <w:tcW w:w="2552" w:type="dxa"/>
            <w:tcBorders>
              <w:top w:val="nil"/>
              <w:left w:val="nil"/>
              <w:bottom w:val="nil"/>
              <w:right w:val="nil"/>
            </w:tcBorders>
            <w:shd w:val="clear" w:color="000000" w:fill="FFFFFF"/>
            <w:noWrap/>
            <w:vAlign w:val="bottom"/>
            <w:hideMark/>
          </w:tcPr>
          <w:p w14:paraId="1BC9985D" w14:textId="77777777" w:rsidR="00863203" w:rsidRPr="00186098" w:rsidRDefault="00863203" w:rsidP="00863203">
            <w:pPr>
              <w:spacing w:after="0" w:line="240" w:lineRule="auto"/>
              <w:jc w:val="left"/>
              <w:rPr>
                <w:rFonts w:eastAsia="Times New Roman" w:cs="Times New Roman"/>
                <w:b/>
                <w:bCs/>
                <w:color w:val="000000"/>
                <w:sz w:val="20"/>
                <w:lang w:eastAsia="sk-SK"/>
              </w:rPr>
            </w:pPr>
            <w:r w:rsidRPr="00186098">
              <w:rPr>
                <w:rFonts w:eastAsia="Times New Roman" w:cs="Times New Roman"/>
                <w:b/>
                <w:bCs/>
                <w:color w:val="000000"/>
                <w:sz w:val="20"/>
                <w:lang w:eastAsia="sk-SK"/>
              </w:rPr>
              <w:t>PHN</w:t>
            </w:r>
          </w:p>
        </w:tc>
        <w:tc>
          <w:tcPr>
            <w:tcW w:w="2173" w:type="dxa"/>
            <w:tcBorders>
              <w:top w:val="nil"/>
              <w:left w:val="nil"/>
              <w:bottom w:val="nil"/>
              <w:right w:val="nil"/>
            </w:tcBorders>
            <w:shd w:val="clear" w:color="000000" w:fill="FFFFFF"/>
            <w:noWrap/>
            <w:vAlign w:val="bottom"/>
            <w:hideMark/>
          </w:tcPr>
          <w:p w14:paraId="1FE6E754" w14:textId="22F5ED76" w:rsidR="00863203" w:rsidRPr="00863203" w:rsidRDefault="00863203" w:rsidP="00863203">
            <w:pPr>
              <w:spacing w:after="0" w:line="240" w:lineRule="auto"/>
              <w:jc w:val="right"/>
              <w:rPr>
                <w:rFonts w:eastAsia="Times New Roman" w:cs="Times New Roman"/>
                <w:color w:val="000000"/>
                <w:sz w:val="20"/>
                <w:lang w:eastAsia="sk-SK"/>
              </w:rPr>
            </w:pPr>
            <w:r w:rsidRPr="00D41517">
              <w:rPr>
                <w:color w:val="000000"/>
                <w:sz w:val="20"/>
              </w:rPr>
              <w:t>12,8</w:t>
            </w:r>
          </w:p>
        </w:tc>
        <w:tc>
          <w:tcPr>
            <w:tcW w:w="2173" w:type="dxa"/>
            <w:tcBorders>
              <w:top w:val="nil"/>
              <w:left w:val="nil"/>
              <w:bottom w:val="nil"/>
              <w:right w:val="nil"/>
            </w:tcBorders>
            <w:shd w:val="clear" w:color="000000" w:fill="FFFFFF"/>
            <w:noWrap/>
            <w:vAlign w:val="bottom"/>
            <w:hideMark/>
          </w:tcPr>
          <w:p w14:paraId="78453630" w14:textId="4FA398DD" w:rsidR="00863203" w:rsidRPr="00863203" w:rsidRDefault="00863203" w:rsidP="00863203">
            <w:pPr>
              <w:spacing w:after="0" w:line="240" w:lineRule="auto"/>
              <w:jc w:val="right"/>
              <w:rPr>
                <w:rFonts w:eastAsia="Times New Roman" w:cs="Times New Roman"/>
                <w:color w:val="000000"/>
                <w:sz w:val="20"/>
                <w:lang w:eastAsia="sk-SK"/>
              </w:rPr>
            </w:pPr>
            <w:r w:rsidRPr="00D41517">
              <w:rPr>
                <w:color w:val="000000"/>
                <w:sz w:val="20"/>
              </w:rPr>
              <w:t>8,0</w:t>
            </w:r>
          </w:p>
        </w:tc>
        <w:tc>
          <w:tcPr>
            <w:tcW w:w="2174" w:type="dxa"/>
            <w:tcBorders>
              <w:top w:val="nil"/>
              <w:left w:val="nil"/>
              <w:bottom w:val="nil"/>
              <w:right w:val="nil"/>
            </w:tcBorders>
            <w:shd w:val="clear" w:color="000000" w:fill="FFFFFF"/>
            <w:noWrap/>
            <w:vAlign w:val="bottom"/>
            <w:hideMark/>
          </w:tcPr>
          <w:p w14:paraId="123CC3E1" w14:textId="522C3DAF" w:rsidR="00863203" w:rsidRPr="00863203" w:rsidRDefault="00863203" w:rsidP="00863203">
            <w:pPr>
              <w:spacing w:after="0" w:line="240" w:lineRule="auto"/>
              <w:jc w:val="right"/>
              <w:rPr>
                <w:rFonts w:eastAsia="Times New Roman" w:cs="Times New Roman"/>
                <w:color w:val="000000"/>
                <w:sz w:val="20"/>
                <w:lang w:eastAsia="sk-SK"/>
              </w:rPr>
            </w:pPr>
            <w:r w:rsidRPr="00D41517">
              <w:rPr>
                <w:color w:val="000000"/>
                <w:sz w:val="20"/>
              </w:rPr>
              <w:t>10,6</w:t>
            </w:r>
          </w:p>
        </w:tc>
      </w:tr>
      <w:tr w:rsidR="00863203" w:rsidRPr="00E32A3F" w14:paraId="01BF3CD4" w14:textId="77777777" w:rsidTr="00C04AAA">
        <w:trPr>
          <w:trHeight w:val="300"/>
        </w:trPr>
        <w:tc>
          <w:tcPr>
            <w:tcW w:w="2552" w:type="dxa"/>
            <w:tcBorders>
              <w:top w:val="nil"/>
              <w:left w:val="nil"/>
              <w:bottom w:val="nil"/>
              <w:right w:val="nil"/>
            </w:tcBorders>
            <w:shd w:val="clear" w:color="000000" w:fill="FFFFFF"/>
            <w:noWrap/>
            <w:vAlign w:val="bottom"/>
            <w:hideMark/>
          </w:tcPr>
          <w:p w14:paraId="0B12778D" w14:textId="77777777" w:rsidR="00863203" w:rsidRPr="00186098" w:rsidRDefault="00863203" w:rsidP="00863203">
            <w:pPr>
              <w:spacing w:after="0" w:line="240" w:lineRule="auto"/>
              <w:jc w:val="left"/>
              <w:rPr>
                <w:rFonts w:eastAsia="Times New Roman" w:cs="Times New Roman"/>
                <w:b/>
                <w:bCs/>
                <w:color w:val="000000"/>
                <w:sz w:val="20"/>
                <w:lang w:eastAsia="sk-SK"/>
              </w:rPr>
            </w:pPr>
            <w:r w:rsidRPr="00186098">
              <w:rPr>
                <w:rFonts w:eastAsia="Times New Roman" w:cs="Times New Roman"/>
                <w:b/>
                <w:bCs/>
                <w:color w:val="000000"/>
                <w:sz w:val="20"/>
                <w:lang w:eastAsia="sk-SK"/>
              </w:rPr>
              <w:t>mimo PHN</w:t>
            </w:r>
          </w:p>
        </w:tc>
        <w:tc>
          <w:tcPr>
            <w:tcW w:w="2173" w:type="dxa"/>
            <w:tcBorders>
              <w:top w:val="nil"/>
              <w:left w:val="nil"/>
              <w:bottom w:val="nil"/>
              <w:right w:val="nil"/>
            </w:tcBorders>
            <w:shd w:val="clear" w:color="000000" w:fill="FFFFFF"/>
            <w:noWrap/>
            <w:vAlign w:val="bottom"/>
            <w:hideMark/>
          </w:tcPr>
          <w:p w14:paraId="5E810DC0" w14:textId="064755E5" w:rsidR="00863203" w:rsidRPr="00863203" w:rsidRDefault="00863203" w:rsidP="00863203">
            <w:pPr>
              <w:spacing w:after="0" w:line="240" w:lineRule="auto"/>
              <w:jc w:val="right"/>
              <w:rPr>
                <w:rFonts w:eastAsia="Times New Roman" w:cs="Times New Roman"/>
                <w:color w:val="000000"/>
                <w:sz w:val="20"/>
                <w:lang w:eastAsia="sk-SK"/>
              </w:rPr>
            </w:pPr>
            <w:r w:rsidRPr="00D41517">
              <w:rPr>
                <w:color w:val="000000"/>
                <w:sz w:val="20"/>
              </w:rPr>
              <w:t>14,1</w:t>
            </w:r>
          </w:p>
        </w:tc>
        <w:tc>
          <w:tcPr>
            <w:tcW w:w="2173" w:type="dxa"/>
            <w:tcBorders>
              <w:top w:val="nil"/>
              <w:left w:val="nil"/>
              <w:bottom w:val="nil"/>
              <w:right w:val="nil"/>
            </w:tcBorders>
            <w:shd w:val="clear" w:color="000000" w:fill="FFFFFF"/>
            <w:noWrap/>
            <w:vAlign w:val="bottom"/>
            <w:hideMark/>
          </w:tcPr>
          <w:p w14:paraId="17F95B10" w14:textId="79B6D435" w:rsidR="00863203" w:rsidRPr="00863203" w:rsidRDefault="00863203" w:rsidP="00863203">
            <w:pPr>
              <w:spacing w:after="0" w:line="240" w:lineRule="auto"/>
              <w:jc w:val="right"/>
              <w:rPr>
                <w:rFonts w:eastAsia="Times New Roman" w:cs="Times New Roman"/>
                <w:color w:val="000000"/>
                <w:sz w:val="20"/>
                <w:lang w:eastAsia="sk-SK"/>
              </w:rPr>
            </w:pPr>
            <w:r w:rsidRPr="00D41517">
              <w:rPr>
                <w:color w:val="000000"/>
                <w:sz w:val="20"/>
              </w:rPr>
              <w:t>5,3</w:t>
            </w:r>
          </w:p>
        </w:tc>
        <w:tc>
          <w:tcPr>
            <w:tcW w:w="2174" w:type="dxa"/>
            <w:tcBorders>
              <w:top w:val="nil"/>
              <w:left w:val="nil"/>
              <w:bottom w:val="nil"/>
              <w:right w:val="nil"/>
            </w:tcBorders>
            <w:shd w:val="clear" w:color="000000" w:fill="FFFFFF"/>
            <w:noWrap/>
            <w:vAlign w:val="bottom"/>
            <w:hideMark/>
          </w:tcPr>
          <w:p w14:paraId="54274642" w14:textId="417CBEB0" w:rsidR="00863203" w:rsidRPr="00863203" w:rsidRDefault="00863203" w:rsidP="00863203">
            <w:pPr>
              <w:spacing w:after="0" w:line="240" w:lineRule="auto"/>
              <w:jc w:val="right"/>
              <w:rPr>
                <w:rFonts w:eastAsia="Times New Roman" w:cs="Times New Roman"/>
                <w:color w:val="000000"/>
                <w:sz w:val="20"/>
                <w:lang w:eastAsia="sk-SK"/>
              </w:rPr>
            </w:pPr>
            <w:r w:rsidRPr="00D41517">
              <w:rPr>
                <w:color w:val="000000"/>
                <w:sz w:val="20"/>
              </w:rPr>
              <w:t>5,9</w:t>
            </w:r>
          </w:p>
        </w:tc>
      </w:tr>
      <w:tr w:rsidR="00863203" w:rsidRPr="00E32A3F" w14:paraId="29B151B1" w14:textId="77777777" w:rsidTr="00C04AAA">
        <w:trPr>
          <w:trHeight w:val="300"/>
        </w:trPr>
        <w:tc>
          <w:tcPr>
            <w:tcW w:w="2552" w:type="dxa"/>
            <w:tcBorders>
              <w:top w:val="nil"/>
              <w:left w:val="nil"/>
              <w:bottom w:val="single" w:sz="4" w:space="0" w:color="auto"/>
              <w:right w:val="nil"/>
            </w:tcBorders>
            <w:shd w:val="clear" w:color="000000" w:fill="FFFFFF"/>
            <w:noWrap/>
            <w:vAlign w:val="bottom"/>
            <w:hideMark/>
          </w:tcPr>
          <w:p w14:paraId="208D453E" w14:textId="77777777" w:rsidR="00863203" w:rsidRPr="00186098" w:rsidRDefault="00863203" w:rsidP="00863203">
            <w:pPr>
              <w:spacing w:after="0" w:line="240" w:lineRule="auto"/>
              <w:jc w:val="left"/>
              <w:rPr>
                <w:rFonts w:eastAsia="Times New Roman" w:cs="Times New Roman"/>
                <w:b/>
                <w:bCs/>
                <w:color w:val="000000"/>
                <w:sz w:val="20"/>
                <w:lang w:eastAsia="sk-SK"/>
              </w:rPr>
            </w:pPr>
            <w:r w:rsidRPr="00186098">
              <w:rPr>
                <w:rFonts w:eastAsia="Times New Roman" w:cs="Times New Roman"/>
                <w:b/>
                <w:bCs/>
                <w:color w:val="000000"/>
                <w:sz w:val="20"/>
                <w:lang w:eastAsia="sk-SK"/>
              </w:rPr>
              <w:t>Celkom</w:t>
            </w:r>
          </w:p>
        </w:tc>
        <w:tc>
          <w:tcPr>
            <w:tcW w:w="2173" w:type="dxa"/>
            <w:tcBorders>
              <w:top w:val="nil"/>
              <w:left w:val="nil"/>
              <w:bottom w:val="single" w:sz="4" w:space="0" w:color="auto"/>
              <w:right w:val="nil"/>
            </w:tcBorders>
            <w:shd w:val="clear" w:color="000000" w:fill="FFFFFF"/>
            <w:noWrap/>
            <w:vAlign w:val="bottom"/>
            <w:hideMark/>
          </w:tcPr>
          <w:p w14:paraId="66A62627" w14:textId="69AC30A4" w:rsidR="00863203" w:rsidRPr="00863203" w:rsidRDefault="00863203" w:rsidP="00863203">
            <w:pPr>
              <w:spacing w:after="0" w:line="240" w:lineRule="auto"/>
              <w:jc w:val="right"/>
              <w:rPr>
                <w:rFonts w:eastAsia="Times New Roman" w:cs="Times New Roman"/>
                <w:color w:val="000000"/>
                <w:sz w:val="20"/>
                <w:lang w:eastAsia="sk-SK"/>
              </w:rPr>
            </w:pPr>
            <w:r w:rsidRPr="00D41517">
              <w:rPr>
                <w:color w:val="000000"/>
                <w:sz w:val="20"/>
              </w:rPr>
              <w:t>13,4</w:t>
            </w:r>
          </w:p>
        </w:tc>
        <w:tc>
          <w:tcPr>
            <w:tcW w:w="2173" w:type="dxa"/>
            <w:tcBorders>
              <w:top w:val="nil"/>
              <w:left w:val="nil"/>
              <w:bottom w:val="single" w:sz="4" w:space="0" w:color="auto"/>
              <w:right w:val="nil"/>
            </w:tcBorders>
            <w:shd w:val="clear" w:color="000000" w:fill="FFFFFF"/>
            <w:noWrap/>
            <w:vAlign w:val="bottom"/>
            <w:hideMark/>
          </w:tcPr>
          <w:p w14:paraId="0F1293B7" w14:textId="0DD2E118" w:rsidR="00863203" w:rsidRPr="00863203" w:rsidRDefault="00863203" w:rsidP="00863203">
            <w:pPr>
              <w:spacing w:after="0" w:line="240" w:lineRule="auto"/>
              <w:jc w:val="right"/>
              <w:rPr>
                <w:rFonts w:eastAsia="Times New Roman" w:cs="Times New Roman"/>
                <w:color w:val="000000"/>
                <w:sz w:val="20"/>
                <w:lang w:eastAsia="sk-SK"/>
              </w:rPr>
            </w:pPr>
            <w:r w:rsidRPr="00D41517">
              <w:rPr>
                <w:color w:val="000000"/>
                <w:sz w:val="20"/>
              </w:rPr>
              <w:t>5,5</w:t>
            </w:r>
          </w:p>
        </w:tc>
        <w:tc>
          <w:tcPr>
            <w:tcW w:w="2174" w:type="dxa"/>
            <w:tcBorders>
              <w:top w:val="nil"/>
              <w:left w:val="nil"/>
              <w:bottom w:val="single" w:sz="4" w:space="0" w:color="auto"/>
              <w:right w:val="nil"/>
            </w:tcBorders>
            <w:shd w:val="clear" w:color="000000" w:fill="FFFFFF"/>
            <w:noWrap/>
            <w:vAlign w:val="bottom"/>
            <w:hideMark/>
          </w:tcPr>
          <w:p w14:paraId="56B99C62" w14:textId="6E11FD34" w:rsidR="00863203" w:rsidRPr="00863203" w:rsidRDefault="00863203" w:rsidP="00863203">
            <w:pPr>
              <w:spacing w:after="0" w:line="240" w:lineRule="auto"/>
              <w:jc w:val="right"/>
              <w:rPr>
                <w:rFonts w:eastAsia="Times New Roman" w:cs="Times New Roman"/>
                <w:color w:val="000000"/>
                <w:sz w:val="20"/>
                <w:lang w:eastAsia="sk-SK"/>
              </w:rPr>
            </w:pPr>
            <w:r w:rsidRPr="00D41517">
              <w:rPr>
                <w:color w:val="000000"/>
                <w:sz w:val="20"/>
              </w:rPr>
              <w:t>6,4</w:t>
            </w:r>
          </w:p>
        </w:tc>
      </w:tr>
      <w:tr w:rsidR="00695590" w:rsidRPr="00E32A3F" w14:paraId="4BE8AB40" w14:textId="77777777" w:rsidTr="00E85586">
        <w:trPr>
          <w:trHeight w:val="175"/>
        </w:trPr>
        <w:tc>
          <w:tcPr>
            <w:tcW w:w="9072" w:type="dxa"/>
            <w:gridSpan w:val="4"/>
            <w:tcBorders>
              <w:top w:val="single" w:sz="4" w:space="0" w:color="auto"/>
              <w:left w:val="nil"/>
              <w:bottom w:val="nil"/>
              <w:right w:val="nil"/>
            </w:tcBorders>
            <w:shd w:val="clear" w:color="auto" w:fill="auto"/>
            <w:vAlign w:val="bottom"/>
            <w:hideMark/>
          </w:tcPr>
          <w:p w14:paraId="1297B0F8" w14:textId="77E841ED" w:rsidR="00695590" w:rsidRPr="00E32A3F" w:rsidRDefault="00695590" w:rsidP="00C04AAA">
            <w:pPr>
              <w:spacing w:after="0" w:line="240" w:lineRule="auto"/>
              <w:jc w:val="right"/>
              <w:rPr>
                <w:rFonts w:eastAsia="Times New Roman" w:cs="Times New Roman"/>
                <w:i/>
                <w:iCs/>
                <w:color w:val="000000"/>
                <w:sz w:val="16"/>
                <w:szCs w:val="16"/>
                <w:lang w:eastAsia="sk-SK"/>
              </w:rPr>
            </w:pPr>
            <w:r w:rsidRPr="00E32A3F">
              <w:rPr>
                <w:rFonts w:eastAsia="Times New Roman" w:cs="Times New Roman"/>
                <w:i/>
                <w:iCs/>
                <w:color w:val="000000"/>
                <w:sz w:val="16"/>
                <w:szCs w:val="16"/>
                <w:lang w:eastAsia="sk-SK"/>
              </w:rPr>
              <w:t xml:space="preserve">Zdroj: ÚHP na základe údajov </w:t>
            </w:r>
            <w:r w:rsidRPr="00E32A3F">
              <w:rPr>
                <w:i/>
                <w:noProof/>
                <w:sz w:val="16"/>
                <w:szCs w:val="16"/>
              </w:rPr>
              <w:t>RIS MŠVVŠ, ÚPSVR, MV, ARK</w:t>
            </w:r>
          </w:p>
          <w:p w14:paraId="606CE060" w14:textId="13F89315" w:rsidR="00695590" w:rsidRPr="00E32A3F" w:rsidRDefault="00695590" w:rsidP="002A676F">
            <w:pPr>
              <w:spacing w:after="0" w:line="240" w:lineRule="auto"/>
              <w:jc w:val="left"/>
              <w:rPr>
                <w:rFonts w:eastAsia="Times New Roman" w:cs="Times New Roman"/>
                <w:i/>
                <w:iCs/>
                <w:color w:val="000000"/>
                <w:sz w:val="18"/>
                <w:szCs w:val="18"/>
                <w:lang w:eastAsia="sk-SK"/>
              </w:rPr>
            </w:pPr>
            <w:r w:rsidRPr="00E85586">
              <w:rPr>
                <w:i/>
                <w:noProof/>
                <w:sz w:val="16"/>
                <w:szCs w:val="16"/>
              </w:rPr>
              <w:t>Poznámka</w:t>
            </w:r>
            <w:r w:rsidR="002A676F">
              <w:rPr>
                <w:i/>
                <w:noProof/>
                <w:sz w:val="16"/>
                <w:szCs w:val="16"/>
              </w:rPr>
              <w:t xml:space="preserve">: </w:t>
            </w:r>
            <w:r w:rsidR="002A676F" w:rsidRPr="002A676F">
              <w:rPr>
                <w:i/>
                <w:noProof/>
                <w:sz w:val="18"/>
                <w:szCs w:val="18"/>
              </w:rPr>
              <w:fldChar w:fldCharType="begin"/>
            </w:r>
            <w:r w:rsidR="002A676F" w:rsidRPr="002A676F">
              <w:rPr>
                <w:rFonts w:eastAsia="Times New Roman" w:cs="Times New Roman"/>
                <w:i/>
                <w:iCs/>
                <w:color w:val="000000"/>
                <w:sz w:val="18"/>
                <w:szCs w:val="18"/>
              </w:rPr>
              <w:instrText xml:space="preserve"> REF _Ref33439692 \h </w:instrText>
            </w:r>
            <w:r w:rsidR="002A676F" w:rsidRPr="002A676F">
              <w:rPr>
                <w:i/>
                <w:noProof/>
                <w:sz w:val="18"/>
                <w:szCs w:val="18"/>
              </w:rPr>
              <w:instrText xml:space="preserve"> \* MERGEFORMAT </w:instrText>
            </w:r>
            <w:r w:rsidR="002A676F" w:rsidRPr="002A676F">
              <w:rPr>
                <w:i/>
                <w:noProof/>
                <w:sz w:val="18"/>
                <w:szCs w:val="18"/>
              </w:rPr>
            </w:r>
            <w:r w:rsidR="002A676F" w:rsidRPr="002A676F">
              <w:rPr>
                <w:i/>
                <w:noProof/>
                <w:sz w:val="18"/>
                <w:szCs w:val="18"/>
              </w:rPr>
              <w:fldChar w:fldCharType="separate"/>
            </w:r>
            <w:r w:rsidR="00FA29AF" w:rsidRPr="00FA29AF">
              <w:rPr>
                <w:i/>
                <w:sz w:val="18"/>
                <w:szCs w:val="18"/>
              </w:rPr>
              <w:t xml:space="preserve">Box </w:t>
            </w:r>
            <w:r w:rsidR="00FA29AF" w:rsidRPr="00FA29AF">
              <w:rPr>
                <w:i/>
                <w:noProof/>
                <w:sz w:val="18"/>
                <w:szCs w:val="18"/>
              </w:rPr>
              <w:t>3</w:t>
            </w:r>
            <w:r w:rsidR="002A676F" w:rsidRPr="002A676F">
              <w:rPr>
                <w:i/>
                <w:noProof/>
                <w:sz w:val="18"/>
                <w:szCs w:val="18"/>
              </w:rPr>
              <w:fldChar w:fldCharType="end"/>
            </w:r>
            <w:r w:rsidR="0070047D">
              <w:rPr>
                <w:i/>
                <w:noProof/>
                <w:sz w:val="18"/>
                <w:szCs w:val="18"/>
              </w:rPr>
              <w:t xml:space="preserve"> </w:t>
            </w:r>
            <w:r w:rsidRPr="00E32A3F">
              <w:rPr>
                <w:i/>
                <w:noProof/>
                <w:sz w:val="16"/>
                <w:szCs w:val="16"/>
              </w:rPr>
              <w:t>pre definíciu MRK a PHN.</w:t>
            </w:r>
            <w:r w:rsidR="00863203">
              <w:rPr>
                <w:i/>
                <w:noProof/>
                <w:sz w:val="16"/>
                <w:szCs w:val="16"/>
              </w:rPr>
              <w:t xml:space="preserve"> </w:t>
            </w:r>
            <w:r w:rsidR="000C09C0">
              <w:rPr>
                <w:i/>
                <w:noProof/>
                <w:sz w:val="16"/>
                <w:szCs w:val="16"/>
              </w:rPr>
              <w:t>Údaje znázorňujú</w:t>
            </w:r>
            <w:r w:rsidR="00863203">
              <w:rPr>
                <w:i/>
                <w:noProof/>
                <w:sz w:val="16"/>
                <w:szCs w:val="16"/>
              </w:rPr>
              <w:t xml:space="preserve"> podiel žiakov, ktorí nepokračovali v štúdiu spomedzi všetkých žiakov, ktorí v školskom roku 2017/18 dovŕšili 16 rok veku</w:t>
            </w:r>
            <w:r w:rsidR="00A05599">
              <w:rPr>
                <w:i/>
                <w:noProof/>
                <w:sz w:val="16"/>
                <w:szCs w:val="16"/>
              </w:rPr>
              <w:t xml:space="preserve">. </w:t>
            </w:r>
            <w:r w:rsidR="00A05599" w:rsidRPr="007D1BF0">
              <w:rPr>
                <w:i/>
                <w:sz w:val="16"/>
                <w:szCs w:val="16"/>
              </w:rPr>
              <w:t>Metodika výpočtov v tabuľke je odlišná od medzinárodne vykazovaných údajov</w:t>
            </w:r>
            <w:r w:rsidR="000C09C0">
              <w:rPr>
                <w:i/>
                <w:sz w:val="16"/>
                <w:szCs w:val="16"/>
              </w:rPr>
              <w:t xml:space="preserve"> predčasne ukončenej školskej dochádzky</w:t>
            </w:r>
            <w:r w:rsidR="00A05599" w:rsidRPr="007D1BF0">
              <w:rPr>
                <w:i/>
                <w:sz w:val="16"/>
                <w:szCs w:val="16"/>
              </w:rPr>
              <w:t>.</w:t>
            </w:r>
          </w:p>
        </w:tc>
      </w:tr>
    </w:tbl>
    <w:p w14:paraId="11D64BE9" w14:textId="4C203B3E" w:rsidR="00485150" w:rsidRDefault="00695590" w:rsidP="00D53C5F">
      <w:pPr>
        <w:spacing w:before="160"/>
      </w:pPr>
      <w:r>
        <w:rPr>
          <w:b/>
        </w:rPr>
        <w:t>Ž</w:t>
      </w:r>
      <w:r w:rsidRPr="0025079B">
        <w:rPr>
          <w:b/>
        </w:rPr>
        <w:t>iaci s predčasne ukončenou školsk</w:t>
      </w:r>
      <w:r w:rsidR="00A91F17">
        <w:rPr>
          <w:b/>
        </w:rPr>
        <w:t xml:space="preserve">ou dochádzkou (PUŠD) majú až 12 </w:t>
      </w:r>
      <w:r w:rsidRPr="0025079B">
        <w:rPr>
          <w:b/>
        </w:rPr>
        <w:t>krát vyššiu pravdepodobnosť, že budú nezamestnaní oproti 15-24-ročným, ktorí neukončili školskú dochádzku predčasne</w:t>
      </w:r>
      <w:r>
        <w:rPr>
          <w:b/>
        </w:rPr>
        <w:t xml:space="preserve"> (</w:t>
      </w:r>
      <w:r w:rsidR="00B37427" w:rsidRPr="00B37427">
        <w:rPr>
          <w:b/>
        </w:rPr>
        <w:fldChar w:fldCharType="begin"/>
      </w:r>
      <w:r w:rsidR="00B37427" w:rsidRPr="00B37427">
        <w:rPr>
          <w:b/>
        </w:rPr>
        <w:instrText xml:space="preserve"> REF _Ref25231005 \h  \* MERGEFORMAT </w:instrText>
      </w:r>
      <w:r w:rsidR="00B37427" w:rsidRPr="00B37427">
        <w:rPr>
          <w:b/>
        </w:rPr>
      </w:r>
      <w:r w:rsidR="00B37427" w:rsidRPr="00B37427">
        <w:rPr>
          <w:b/>
        </w:rPr>
        <w:fldChar w:fldCharType="separate"/>
      </w:r>
      <w:r w:rsidR="00FA29AF" w:rsidRPr="00FA29AF">
        <w:rPr>
          <w:b/>
        </w:rPr>
        <w:t>Graf 17</w:t>
      </w:r>
      <w:r w:rsidR="00B37427" w:rsidRPr="00B37427">
        <w:rPr>
          <w:b/>
        </w:rPr>
        <w:fldChar w:fldCharType="end"/>
      </w:r>
      <w:r>
        <w:rPr>
          <w:b/>
        </w:rPr>
        <w:t>)</w:t>
      </w:r>
      <w:r w:rsidRPr="0025079B">
        <w:rPr>
          <w:b/>
        </w:rPr>
        <w:t xml:space="preserve">. </w:t>
      </w:r>
      <w:r w:rsidRPr="00B754FE">
        <w:t>Takmer polovica (45 %)</w:t>
      </w:r>
      <w:r w:rsidR="0070047D">
        <w:t xml:space="preserve"> </w:t>
      </w:r>
      <w:r w:rsidRPr="00B754FE">
        <w:t xml:space="preserve">ľudí s PUŠD je </w:t>
      </w:r>
      <w:r w:rsidRPr="00057711">
        <w:t>nezamestnaná a štvrtina (25 %) vykonáva prácu z domu</w:t>
      </w:r>
      <w:r>
        <w:rPr>
          <w:rStyle w:val="Odkaznapoznmkupodiarou"/>
        </w:rPr>
        <w:footnoteReference w:id="144"/>
      </w:r>
      <w:r w:rsidRPr="00057711">
        <w:t xml:space="preserve"> (napr. živnosť alebo flexibilný pracovný úväzok). Osoby s PUŠD, ktoré sa na trhu práce uplatnia</w:t>
      </w:r>
      <w:r w:rsidRPr="00B754FE">
        <w:t>, často pôsobia v</w:t>
      </w:r>
      <w:r>
        <w:t xml:space="preserve"> nízkopríjmových </w:t>
      </w:r>
      <w:r w:rsidRPr="00B754FE">
        <w:t>zamestnaniach</w:t>
      </w:r>
      <w:r>
        <w:t xml:space="preserve"> (napr. smetiari, pomocní pracovníci v ťažbe a stavebníctve alebo montážni pracovníci)</w:t>
      </w:r>
      <w:r w:rsidRPr="00B754FE">
        <w:t xml:space="preserve">. </w:t>
      </w:r>
      <w:r>
        <w:t>Často tiež pôsobia v nestabilných a</w:t>
      </w:r>
      <w:r w:rsidR="00A91F17">
        <w:t xml:space="preserve"> tzv. </w:t>
      </w:r>
      <w:r>
        <w:t>prekérnych</w:t>
      </w:r>
      <w:r>
        <w:rPr>
          <w:rStyle w:val="Odkaznapoznmkupodiarou"/>
        </w:rPr>
        <w:footnoteReference w:id="145"/>
      </w:r>
      <w:r>
        <w:t xml:space="preserve"> pracovných podmienkach. </w:t>
      </w:r>
      <w:r w:rsidRPr="0025079B">
        <w:t>Z tých, čo v roku 2016 pracovali</w:t>
      </w:r>
      <w:r>
        <w:t xml:space="preserve"> podľa výberového zisťovania pracovných síl,</w:t>
      </w:r>
      <w:r w:rsidRPr="0025079B">
        <w:t xml:space="preserve"> viac ako polovica</w:t>
      </w:r>
      <w:r w:rsidR="0070047D">
        <w:t xml:space="preserve"> </w:t>
      </w:r>
      <w:r w:rsidRPr="0025079B">
        <w:t>(52 %) pracovala na dobu určitú, pričom väčšina uviedla, že iný typ zamestnania si nevedia nájsť (z ostatných 15-24 ročných pracovalo na dobu určitú len 24 % osôb). Na plný úväzok pracovalo iba 61 % osôb s PUŠD (oproti 91 % ostatných 15-24-ročných</w:t>
      </w:r>
      <w:r>
        <w:t>, ktorí neštudujú</w:t>
      </w:r>
      <w:r w:rsidRPr="0025079B">
        <w:t>), pričom vyše pätina z</w:t>
      </w:r>
      <w:r w:rsidR="001646A8">
        <w:t xml:space="preserve"> osôb </w:t>
      </w:r>
      <w:r w:rsidRPr="0025079B">
        <w:t>s PUŠD (23 %), či už zamestnaných alebo nezamestnaných, by chcela pracovať vyšší počet hodín.</w:t>
      </w:r>
      <w:r w:rsidR="00C21AC3">
        <w:rPr>
          <w:rStyle w:val="Odkaznapoznmkupodiarou"/>
        </w:rPr>
        <w:footnoteReference w:id="146"/>
      </w:r>
    </w:p>
    <w:tbl>
      <w:tblPr>
        <w:tblW w:w="9072" w:type="dxa"/>
        <w:tblLook w:val="04E0" w:firstRow="1" w:lastRow="1" w:firstColumn="1" w:lastColumn="0" w:noHBand="0" w:noVBand="1"/>
      </w:tblPr>
      <w:tblGrid>
        <w:gridCol w:w="9072"/>
      </w:tblGrid>
      <w:tr w:rsidR="00AB07C8" w:rsidRPr="00CA2564" w14:paraId="4AD10A83" w14:textId="5210BCA6" w:rsidTr="00812208">
        <w:tc>
          <w:tcPr>
            <w:tcW w:w="9072" w:type="dxa"/>
            <w:tcBorders>
              <w:bottom w:val="single" w:sz="4" w:space="0" w:color="auto"/>
            </w:tcBorders>
          </w:tcPr>
          <w:p w14:paraId="3C0FF259" w14:textId="362478C7" w:rsidR="00AB07C8" w:rsidRPr="00812208" w:rsidRDefault="00AB07C8" w:rsidP="00812208">
            <w:pPr>
              <w:spacing w:after="0" w:line="240" w:lineRule="auto"/>
              <w:rPr>
                <w:b/>
              </w:rPr>
            </w:pPr>
            <w:bookmarkStart w:id="360" w:name="_Ref25231005"/>
            <w:bookmarkStart w:id="361" w:name="_Toc34157575"/>
            <w:r w:rsidRPr="00812208">
              <w:rPr>
                <w:b/>
                <w:sz w:val="20"/>
              </w:rPr>
              <w:t xml:space="preserve">Graf </w:t>
            </w:r>
            <w:r w:rsidRPr="00812208">
              <w:rPr>
                <w:b/>
                <w:sz w:val="20"/>
              </w:rPr>
              <w:fldChar w:fldCharType="begin"/>
            </w:r>
            <w:r w:rsidRPr="00812208">
              <w:rPr>
                <w:b/>
                <w:sz w:val="20"/>
              </w:rPr>
              <w:instrText xml:space="preserve"> SEQ Graf \* ARABIC </w:instrText>
            </w:r>
            <w:r w:rsidRPr="00812208">
              <w:rPr>
                <w:b/>
                <w:sz w:val="20"/>
              </w:rPr>
              <w:fldChar w:fldCharType="separate"/>
            </w:r>
            <w:r w:rsidR="00FA29AF">
              <w:rPr>
                <w:b/>
                <w:noProof/>
                <w:sz w:val="20"/>
              </w:rPr>
              <w:t>17</w:t>
            </w:r>
            <w:r w:rsidRPr="00812208">
              <w:rPr>
                <w:b/>
                <w:sz w:val="20"/>
              </w:rPr>
              <w:fldChar w:fldCharType="end"/>
            </w:r>
            <w:bookmarkEnd w:id="360"/>
            <w:r w:rsidRPr="00812208">
              <w:rPr>
                <w:b/>
                <w:iCs/>
                <w:sz w:val="20"/>
              </w:rPr>
              <w:t xml:space="preserve">: </w:t>
            </w:r>
            <w:r w:rsidRPr="00812208">
              <w:rPr>
                <w:b/>
                <w:sz w:val="20"/>
              </w:rPr>
              <w:t>Uplatnenie žiakov s predčasne ukončenou dochádzkou na trhu práce v roku 2016</w:t>
            </w:r>
            <w:bookmarkEnd w:id="361"/>
          </w:p>
        </w:tc>
      </w:tr>
      <w:tr w:rsidR="00AB07C8" w:rsidRPr="00CA2564" w14:paraId="19ABA416" w14:textId="77777777" w:rsidTr="00812208">
        <w:tblPrEx>
          <w:tblCellMar>
            <w:left w:w="70" w:type="dxa"/>
            <w:right w:w="70" w:type="dxa"/>
          </w:tblCellMar>
        </w:tblPrEx>
        <w:tc>
          <w:tcPr>
            <w:tcW w:w="9072" w:type="dxa"/>
            <w:tcBorders>
              <w:top w:val="single" w:sz="4" w:space="0" w:color="auto"/>
              <w:bottom w:val="single" w:sz="4" w:space="0" w:color="auto"/>
            </w:tcBorders>
          </w:tcPr>
          <w:p w14:paraId="508D16AF" w14:textId="77777777" w:rsidR="00AB07C8" w:rsidRPr="00CA2564" w:rsidRDefault="00AB07C8" w:rsidP="00812208">
            <w:pPr>
              <w:spacing w:after="0" w:line="240" w:lineRule="auto"/>
              <w:rPr>
                <w:sz w:val="4"/>
                <w:szCs w:val="4"/>
              </w:rPr>
            </w:pPr>
            <w:r>
              <w:rPr>
                <w:noProof/>
                <w:lang w:eastAsia="sk-SK"/>
              </w:rPr>
              <w:drawing>
                <wp:inline distT="0" distB="0" distL="0" distR="0" wp14:anchorId="15FD7088" wp14:editId="1D365CCF">
                  <wp:extent cx="5610225" cy="1962150"/>
                  <wp:effectExtent l="0" t="0" r="0"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AB07C8" w:rsidRPr="00CA2564" w14:paraId="0C6D7644" w14:textId="2341A056" w:rsidTr="00812208">
        <w:tc>
          <w:tcPr>
            <w:tcW w:w="9072" w:type="dxa"/>
            <w:tcBorders>
              <w:top w:val="single" w:sz="4" w:space="0" w:color="auto"/>
            </w:tcBorders>
          </w:tcPr>
          <w:p w14:paraId="68C28C7F" w14:textId="704018DF" w:rsidR="00AB07C8" w:rsidRPr="00812208" w:rsidRDefault="00AB07C8" w:rsidP="00812208">
            <w:pPr>
              <w:spacing w:after="0" w:line="240" w:lineRule="auto"/>
              <w:jc w:val="right"/>
              <w:rPr>
                <w:i/>
                <w:sz w:val="18"/>
                <w:szCs w:val="18"/>
              </w:rPr>
            </w:pPr>
            <w:r w:rsidRPr="00812208">
              <w:rPr>
                <w:i/>
                <w:sz w:val="18"/>
                <w:szCs w:val="18"/>
              </w:rPr>
              <w:t xml:space="preserve">Zdroj: </w:t>
            </w:r>
            <w:r w:rsidR="00C21AC3" w:rsidRPr="00812208">
              <w:rPr>
                <w:i/>
                <w:sz w:val="18"/>
                <w:szCs w:val="18"/>
              </w:rPr>
              <w:t>LFS (2016)</w:t>
            </w:r>
            <w:r w:rsidRPr="00812208">
              <w:rPr>
                <w:i/>
                <w:sz w:val="18"/>
                <w:szCs w:val="18"/>
              </w:rPr>
              <w:t xml:space="preserve"> </w:t>
            </w:r>
          </w:p>
          <w:p w14:paraId="0A94E04C" w14:textId="45D0DD20" w:rsidR="00AB07C8" w:rsidRPr="00CA2564" w:rsidRDefault="00AB07C8" w:rsidP="00812208">
            <w:pPr>
              <w:spacing w:after="0" w:line="240" w:lineRule="auto"/>
              <w:rPr>
                <w:b/>
                <w:noProof/>
                <w:sz w:val="18"/>
                <w:szCs w:val="18"/>
              </w:rPr>
            </w:pPr>
            <w:r w:rsidRPr="00812208">
              <w:rPr>
                <w:i/>
                <w:sz w:val="18"/>
                <w:szCs w:val="18"/>
              </w:rPr>
              <w:t xml:space="preserve">Poznámka: </w:t>
            </w:r>
            <w:r w:rsidR="00C21AC3" w:rsidRPr="00812208">
              <w:rPr>
                <w:i/>
                <w:sz w:val="18"/>
                <w:szCs w:val="18"/>
              </w:rPr>
              <w:t xml:space="preserve">Osoby s predčasne </w:t>
            </w:r>
            <w:r w:rsidR="002856AD" w:rsidRPr="00812208">
              <w:rPr>
                <w:i/>
                <w:sz w:val="18"/>
                <w:szCs w:val="18"/>
              </w:rPr>
              <w:t>ukončenou</w:t>
            </w:r>
            <w:r w:rsidR="00C21AC3" w:rsidRPr="00812208">
              <w:rPr>
                <w:i/>
                <w:sz w:val="18"/>
                <w:szCs w:val="18"/>
              </w:rPr>
              <w:t xml:space="preserve"> školskou dochádzkou sú 15-24-ročné osoby, ktorých najvyššie dosiahnuté vzdelanie je nižšie sekundárne a nie sú angažovaní v ďalšom vzdelávaní alebo odbornej príprave. Podiel žiakov s PUŠD je podiel na celkovom počte 15-24-ročných osôb.</w:t>
            </w:r>
          </w:p>
        </w:tc>
      </w:tr>
    </w:tbl>
    <w:p w14:paraId="7315BE59" w14:textId="77777777" w:rsidR="00695590" w:rsidRPr="001C4DB7" w:rsidRDefault="00695590" w:rsidP="00695590">
      <w:pPr>
        <w:spacing w:before="160"/>
      </w:pPr>
      <w:r>
        <w:rPr>
          <w:color w:val="0070C0"/>
        </w:rPr>
        <w:t>Existujúce nástroje na podporu žiakov s PUŠD zo sociálne znevýhodneného prostredia</w:t>
      </w:r>
    </w:p>
    <w:p w14:paraId="62D74870" w14:textId="1F767F54" w:rsidR="00E704E7" w:rsidRPr="00AA1402" w:rsidRDefault="00E704E7" w:rsidP="00E704E7">
      <w:pPr>
        <w:spacing w:before="160"/>
        <w:rPr>
          <w:b/>
          <w:u w:val="single"/>
        </w:rPr>
      </w:pPr>
      <w:r>
        <w:rPr>
          <w:b/>
          <w:u w:val="single"/>
        </w:rPr>
        <w:t>Kompenzačné opatrenia</w:t>
      </w:r>
    </w:p>
    <w:p w14:paraId="24344CCD" w14:textId="77777777" w:rsidR="00695590" w:rsidRPr="005621F3" w:rsidRDefault="00695590" w:rsidP="00695590">
      <w:pPr>
        <w:spacing w:before="160"/>
      </w:pPr>
      <w:r w:rsidRPr="005621F3">
        <w:t>Osoby bez ukončenej základnej školy môžu pokračovať vo vzdelávaní na dvojročných, prípadne trojročných učebných odboroch nižšieho stredného odborného vzdelania</w:t>
      </w:r>
      <w:r w:rsidRPr="005621F3">
        <w:rPr>
          <w:rStyle w:val="Odkaznapoznmkupodiarou"/>
        </w:rPr>
        <w:footnoteReference w:id="147"/>
      </w:r>
      <w:r w:rsidRPr="005621F3">
        <w:t xml:space="preserve"> (F-odbory) alebo si môžu základnú školu dodatočne dokončiť v rámci vzdelávania na získanie nižšieho stredného vzdelania (tzv. kurzy druhošancového vzdelávania), ktoré organizujú základné alebo stredné odborné školy.</w:t>
      </w:r>
      <w:r w:rsidRPr="005621F3">
        <w:rPr>
          <w:rStyle w:val="Odkaznapoznmkupodiarou"/>
        </w:rPr>
        <w:footnoteReference w:id="148"/>
      </w:r>
      <w:r w:rsidRPr="005621F3">
        <w:t xml:space="preserve"> </w:t>
      </w:r>
    </w:p>
    <w:p w14:paraId="057320AE" w14:textId="77777777" w:rsidR="00695590" w:rsidRPr="00AA1402" w:rsidRDefault="00695590" w:rsidP="00695590">
      <w:pPr>
        <w:spacing w:before="160"/>
        <w:rPr>
          <w:b/>
          <w:u w:val="single"/>
        </w:rPr>
      </w:pPr>
      <w:r>
        <w:rPr>
          <w:b/>
          <w:u w:val="single"/>
        </w:rPr>
        <w:t>F-odbory</w:t>
      </w:r>
    </w:p>
    <w:p w14:paraId="5E15B196" w14:textId="031F26D1" w:rsidR="00695590" w:rsidRPr="00646B44" w:rsidRDefault="004342BB" w:rsidP="00695590">
      <w:pPr>
        <w:spacing w:before="160"/>
        <w:rPr>
          <w:b/>
        </w:rPr>
      </w:pPr>
      <w:r w:rsidRPr="0025079B">
        <w:rPr>
          <w:b/>
        </w:rPr>
        <w:t xml:space="preserve">Vzdelávanie na F-odboroch </w:t>
      </w:r>
      <w:r>
        <w:rPr>
          <w:b/>
        </w:rPr>
        <w:t>neponúka ani ekvivalentnú úroveň vzdelania ako ukončenie základnej školy, napriek tomu je rok výučby takmer</w:t>
      </w:r>
      <w:r w:rsidR="00F27A8D">
        <w:rPr>
          <w:b/>
        </w:rPr>
        <w:t xml:space="preserve"> dvoj</w:t>
      </w:r>
      <w:r w:rsidRPr="0025079B">
        <w:rPr>
          <w:b/>
        </w:rPr>
        <w:t xml:space="preserve">násobne </w:t>
      </w:r>
      <w:r w:rsidRPr="00F852A9">
        <w:rPr>
          <w:b/>
        </w:rPr>
        <w:t>drahší.</w:t>
      </w:r>
      <w:r w:rsidRPr="00EF74CE">
        <w:rPr>
          <w:b/>
        </w:rPr>
        <w:t xml:space="preserve"> </w:t>
      </w:r>
      <w:r w:rsidRPr="001C4DB7">
        <w:rPr>
          <w:b/>
        </w:rPr>
        <w:t xml:space="preserve">Výdavky </w:t>
      </w:r>
      <w:r>
        <w:rPr>
          <w:b/>
        </w:rPr>
        <w:t>v </w:t>
      </w:r>
      <w:r w:rsidRPr="00024428">
        <w:rPr>
          <w:b/>
        </w:rPr>
        <w:t>roku 2018 na</w:t>
      </w:r>
      <w:r w:rsidR="00F27A8D">
        <w:rPr>
          <w:b/>
        </w:rPr>
        <w:t xml:space="preserve"> vzdelávanie žiakov v </w:t>
      </w:r>
      <w:r w:rsidRPr="001C4DB7">
        <w:rPr>
          <w:b/>
        </w:rPr>
        <w:t xml:space="preserve">F-odboroch predstavovali </w:t>
      </w:r>
      <w:r>
        <w:rPr>
          <w:b/>
        </w:rPr>
        <w:t>viac ako 16,3</w:t>
      </w:r>
      <w:r w:rsidR="00A03E59">
        <w:rPr>
          <w:b/>
        </w:rPr>
        <w:t xml:space="preserve"> </w:t>
      </w:r>
      <w:r w:rsidRPr="001C4DB7">
        <w:rPr>
          <w:b/>
        </w:rPr>
        <w:t>milió</w:t>
      </w:r>
      <w:r>
        <w:rPr>
          <w:b/>
        </w:rPr>
        <w:t>na</w:t>
      </w:r>
      <w:r w:rsidRPr="001C4DB7">
        <w:rPr>
          <w:b/>
        </w:rPr>
        <w:t xml:space="preserve"> eur. </w:t>
      </w:r>
      <w:r w:rsidRPr="001C4DB7">
        <w:t xml:space="preserve">Kým priemerná výška normatívu na žiaka F-odboru bola na úrovni </w:t>
      </w:r>
      <w:r>
        <w:t>3 742</w:t>
      </w:r>
      <w:r w:rsidRPr="001C4DB7">
        <w:t xml:space="preserve"> eur, priemerná výška normatívu na bežného žiaka základnej školy bola 1 </w:t>
      </w:r>
      <w:r>
        <w:t>912</w:t>
      </w:r>
      <w:r w:rsidRPr="001C4DB7">
        <w:t xml:space="preserve"> eur.</w:t>
      </w:r>
      <w:r w:rsidRPr="001C4DB7">
        <w:rPr>
          <w:rStyle w:val="Odkaznapoznmkupodiarou"/>
        </w:rPr>
        <w:footnoteReference w:id="149"/>
      </w:r>
      <w:r w:rsidRPr="001C4DB7">
        <w:t xml:space="preserve"> </w:t>
      </w:r>
      <w:r w:rsidRPr="0025079B">
        <w:t xml:space="preserve">Žiaci absolvovaním tohto odboru nezískajú nižšie stredné vzdelanie (ekvivalent ukončenej základnej školy), ale iba nižšie stredné odborné vzdelanie, v dôsledku čoho sa </w:t>
      </w:r>
      <w:r w:rsidRPr="00F852A9">
        <w:t xml:space="preserve">následne nemôžu uchádzať o štúdium na stredných školách, kde by mohli získať výučný list alebo maturitu. </w:t>
      </w:r>
      <w:r w:rsidRPr="00DC431D">
        <w:t xml:space="preserve">Podľa odhadov iba </w:t>
      </w:r>
      <w:r>
        <w:t>29 %</w:t>
      </w:r>
      <w:r w:rsidRPr="00DC431D">
        <w:t xml:space="preserve"> žiakov na F-odboroch školu úspešne ukončí a získa vysvedčenie o záverečnej skúške.</w:t>
      </w:r>
      <w:r w:rsidRPr="00DC431D">
        <w:rPr>
          <w:rStyle w:val="Odkaznapoznmkupodiarou"/>
        </w:rPr>
        <w:footnoteReference w:id="150"/>
      </w:r>
      <w:r w:rsidRPr="00DC431D">
        <w:t xml:space="preserve"> </w:t>
      </w:r>
      <w:r>
        <w:t>Zo škôl, ktoré ponúkajú štúdium v F-odbore, poskytovala kurzy druhošancového vzdelávania m</w:t>
      </w:r>
      <w:r w:rsidRPr="003E5F07">
        <w:t>enej ako polovica (</w:t>
      </w:r>
      <w:r>
        <w:t>42</w:t>
      </w:r>
      <w:r w:rsidRPr="003E5F07">
        <w:t xml:space="preserve"> %)</w:t>
      </w:r>
      <w:r>
        <w:t>.</w:t>
      </w:r>
      <w:r w:rsidRPr="003E5F07">
        <w:rPr>
          <w:rStyle w:val="Odkaznapoznmkupodiarou"/>
        </w:rPr>
        <w:footnoteReference w:id="151"/>
      </w:r>
      <w:r>
        <w:t xml:space="preserve"> </w:t>
      </w:r>
      <w:r w:rsidRPr="00DC431D">
        <w:rPr>
          <w:b/>
        </w:rPr>
        <w:t xml:space="preserve">V roku </w:t>
      </w:r>
      <w:r w:rsidRPr="00D50604">
        <w:rPr>
          <w:b/>
        </w:rPr>
        <w:t>2018</w:t>
      </w:r>
      <w:r w:rsidRPr="00DC431D">
        <w:rPr>
          <w:b/>
        </w:rPr>
        <w:t xml:space="preserve"> sa na F-odboroch vzdelávalo celkovo 4 </w:t>
      </w:r>
      <w:r>
        <w:rPr>
          <w:b/>
        </w:rPr>
        <w:t>364</w:t>
      </w:r>
      <w:r w:rsidRPr="00DC431D">
        <w:rPr>
          <w:b/>
        </w:rPr>
        <w:t xml:space="preserve"> žiakov,</w:t>
      </w:r>
      <w:r w:rsidRPr="00DC431D">
        <w:rPr>
          <w:rStyle w:val="Odkaznapoznmkupodiarou"/>
          <w:b/>
        </w:rPr>
        <w:footnoteReference w:id="152"/>
      </w:r>
      <w:r w:rsidRPr="00DC431D">
        <w:rPr>
          <w:b/>
        </w:rPr>
        <w:t xml:space="preserve"> </w:t>
      </w:r>
      <w:r w:rsidRPr="00024428">
        <w:rPr>
          <w:b/>
        </w:rPr>
        <w:t>z toho odhadom 59 % je v systéme PHN a 59 % pochádza z MRK.</w:t>
      </w:r>
      <w:r w:rsidRPr="00024428">
        <w:rPr>
          <w:rStyle w:val="Odkaznapoznmkupodiarou"/>
          <w:b/>
        </w:rPr>
        <w:footnoteReference w:id="153"/>
      </w:r>
      <w:r w:rsidRPr="006D0CEE">
        <w:rPr>
          <w:b/>
        </w:rPr>
        <w:t xml:space="preserve"> </w:t>
      </w:r>
    </w:p>
    <w:tbl>
      <w:tblPr>
        <w:tblW w:w="9072" w:type="dxa"/>
        <w:tblLook w:val="04A0" w:firstRow="1" w:lastRow="0" w:firstColumn="1" w:lastColumn="0" w:noHBand="0" w:noVBand="1"/>
      </w:tblPr>
      <w:tblGrid>
        <w:gridCol w:w="9072"/>
      </w:tblGrid>
      <w:tr w:rsidR="00695590" w:rsidRPr="002E4D5B" w14:paraId="26A630DB" w14:textId="77777777" w:rsidTr="004B7E47">
        <w:tc>
          <w:tcPr>
            <w:tcW w:w="9072" w:type="dxa"/>
            <w:tcBorders>
              <w:bottom w:val="single" w:sz="4" w:space="0" w:color="auto"/>
            </w:tcBorders>
          </w:tcPr>
          <w:p w14:paraId="014A9E43" w14:textId="718CD0A8" w:rsidR="00695590" w:rsidRPr="004B7E47" w:rsidRDefault="00695590" w:rsidP="004B7E47">
            <w:pPr>
              <w:spacing w:after="0" w:line="240" w:lineRule="auto"/>
              <w:rPr>
                <w:b/>
                <w:sz w:val="20"/>
              </w:rPr>
            </w:pPr>
            <w:bookmarkStart w:id="362" w:name="_Ref25231083"/>
            <w:bookmarkStart w:id="363" w:name="_Toc34157576"/>
            <w:r w:rsidRPr="004B7E47">
              <w:rPr>
                <w:b/>
                <w:sz w:val="20"/>
              </w:rPr>
              <w:t xml:space="preserve">Graf </w:t>
            </w:r>
            <w:r w:rsidRPr="004B7E47">
              <w:rPr>
                <w:b/>
                <w:noProof/>
                <w:sz w:val="20"/>
              </w:rPr>
              <w:fldChar w:fldCharType="begin"/>
            </w:r>
            <w:r w:rsidRPr="004B7E47">
              <w:rPr>
                <w:b/>
                <w:iCs/>
                <w:noProof/>
                <w:sz w:val="20"/>
              </w:rPr>
              <w:instrText xml:space="preserve"> SEQ Graf \* ARABIC </w:instrText>
            </w:r>
            <w:r w:rsidRPr="004B7E47">
              <w:rPr>
                <w:b/>
                <w:noProof/>
                <w:sz w:val="20"/>
              </w:rPr>
              <w:fldChar w:fldCharType="separate"/>
            </w:r>
            <w:r w:rsidR="00FA29AF">
              <w:rPr>
                <w:b/>
                <w:iCs/>
                <w:noProof/>
                <w:sz w:val="20"/>
              </w:rPr>
              <w:t>18</w:t>
            </w:r>
            <w:r w:rsidRPr="004B7E47">
              <w:rPr>
                <w:b/>
                <w:noProof/>
                <w:sz w:val="20"/>
              </w:rPr>
              <w:fldChar w:fldCharType="end"/>
            </w:r>
            <w:bookmarkEnd w:id="362"/>
            <w:r w:rsidRPr="004B7E47">
              <w:rPr>
                <w:b/>
                <w:sz w:val="20"/>
              </w:rPr>
              <w:t>: Podiel absolventov F odborov v š.r. 2017/18, ktorí vstúpili do zamestnania do konca roka 2018 (%)</w:t>
            </w:r>
            <w:bookmarkEnd w:id="363"/>
          </w:p>
        </w:tc>
      </w:tr>
      <w:tr w:rsidR="00695590" w:rsidRPr="00CA2564" w14:paraId="218CF3B0" w14:textId="77777777" w:rsidTr="004B7E47">
        <w:tblPrEx>
          <w:tblCellMar>
            <w:left w:w="70" w:type="dxa"/>
            <w:right w:w="70" w:type="dxa"/>
          </w:tblCellMar>
        </w:tblPrEx>
        <w:tc>
          <w:tcPr>
            <w:tcW w:w="9072" w:type="dxa"/>
            <w:tcBorders>
              <w:top w:val="single" w:sz="4" w:space="0" w:color="auto"/>
              <w:bottom w:val="single" w:sz="4" w:space="0" w:color="auto"/>
            </w:tcBorders>
          </w:tcPr>
          <w:p w14:paraId="50AD0418" w14:textId="2AEEEF15" w:rsidR="00695590" w:rsidRPr="00CA2564" w:rsidRDefault="0070047D" w:rsidP="004B7E47">
            <w:pPr>
              <w:spacing w:after="0" w:line="240" w:lineRule="auto"/>
              <w:rPr>
                <w:noProof/>
                <w:sz w:val="4"/>
                <w:szCs w:val="4"/>
              </w:rPr>
            </w:pPr>
            <w:r>
              <w:rPr>
                <w:noProof/>
                <w:sz w:val="4"/>
                <w:szCs w:val="4"/>
              </w:rPr>
              <w:t xml:space="preserve"> </w:t>
            </w:r>
          </w:p>
          <w:p w14:paraId="1882FD73" w14:textId="77777777" w:rsidR="00695590" w:rsidRPr="00CA2564" w:rsidRDefault="00695590" w:rsidP="004B7E47">
            <w:pPr>
              <w:spacing w:after="0" w:line="240" w:lineRule="auto"/>
              <w:rPr>
                <w:noProof/>
                <w:sz w:val="4"/>
                <w:szCs w:val="4"/>
              </w:rPr>
            </w:pPr>
            <w:r w:rsidRPr="00784BCA">
              <w:rPr>
                <w:noProof/>
              </w:rPr>
              <w:t xml:space="preserve"> </w:t>
            </w:r>
            <w:r>
              <w:rPr>
                <w:noProof/>
                <w:lang w:eastAsia="sk-SK"/>
              </w:rPr>
              <w:drawing>
                <wp:inline distT="0" distB="0" distL="0" distR="0" wp14:anchorId="4FCC4448" wp14:editId="614FD4D6">
                  <wp:extent cx="5562600" cy="1848897"/>
                  <wp:effectExtent l="0" t="0" r="0" b="0"/>
                  <wp:docPr id="299"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441F626" w14:textId="77777777" w:rsidR="00695590" w:rsidRPr="00CA2564" w:rsidRDefault="00695590" w:rsidP="004B7E47">
            <w:pPr>
              <w:spacing w:after="0" w:line="240" w:lineRule="auto"/>
              <w:rPr>
                <w:sz w:val="4"/>
                <w:szCs w:val="4"/>
              </w:rPr>
            </w:pPr>
          </w:p>
        </w:tc>
      </w:tr>
      <w:tr w:rsidR="00695590" w:rsidRPr="00CA2564" w14:paraId="0BAE18E3" w14:textId="77777777" w:rsidTr="004B7E47">
        <w:tc>
          <w:tcPr>
            <w:tcW w:w="9072" w:type="dxa"/>
            <w:tcBorders>
              <w:top w:val="single" w:sz="4" w:space="0" w:color="auto"/>
            </w:tcBorders>
          </w:tcPr>
          <w:p w14:paraId="376D5F5C" w14:textId="77777777" w:rsidR="00695590" w:rsidRPr="004B7E47" w:rsidRDefault="00695590" w:rsidP="004B7E47">
            <w:pPr>
              <w:spacing w:after="0" w:line="240" w:lineRule="auto"/>
              <w:jc w:val="right"/>
              <w:rPr>
                <w:i/>
                <w:sz w:val="18"/>
                <w:szCs w:val="18"/>
              </w:rPr>
            </w:pPr>
            <w:r w:rsidRPr="004B7E47">
              <w:rPr>
                <w:i/>
                <w:sz w:val="18"/>
                <w:szCs w:val="18"/>
              </w:rPr>
              <w:t xml:space="preserve">Zdroj: </w:t>
            </w:r>
            <w:r w:rsidRPr="004B7E47">
              <w:rPr>
                <w:rFonts w:eastAsia="Times New Roman" w:cs="Times New Roman"/>
                <w:i/>
                <w:iCs/>
                <w:sz w:val="18"/>
                <w:szCs w:val="18"/>
              </w:rPr>
              <w:t xml:space="preserve">ÚHP na základe údajov Sociálnej poisťovne, </w:t>
            </w:r>
            <w:r w:rsidRPr="004B7E47">
              <w:rPr>
                <w:i/>
                <w:noProof/>
                <w:sz w:val="18"/>
                <w:szCs w:val="18"/>
              </w:rPr>
              <w:t>RIS MŠVVŠ, ÚPSVR, MV, ARK</w:t>
            </w:r>
            <w:r w:rsidRPr="004B7E47">
              <w:rPr>
                <w:i/>
                <w:sz w:val="18"/>
                <w:szCs w:val="18"/>
              </w:rPr>
              <w:t xml:space="preserve"> </w:t>
            </w:r>
          </w:p>
          <w:p w14:paraId="79F01DA4" w14:textId="77777777" w:rsidR="00695590" w:rsidRPr="00CA2564" w:rsidRDefault="00695590" w:rsidP="004B7E47">
            <w:pPr>
              <w:spacing w:after="0" w:line="240" w:lineRule="auto"/>
              <w:jc w:val="left"/>
              <w:rPr>
                <w:noProof/>
                <w:sz w:val="18"/>
                <w:szCs w:val="18"/>
              </w:rPr>
            </w:pPr>
            <w:r w:rsidRPr="004B7E47">
              <w:rPr>
                <w:i/>
                <w:sz w:val="18"/>
                <w:szCs w:val="18"/>
              </w:rPr>
              <w:t>Poznámka: Počet absolventov, ktorých sa podarilo identifikovať v jednotkových dátach, je uvedený v zátvorke.</w:t>
            </w:r>
          </w:p>
        </w:tc>
      </w:tr>
    </w:tbl>
    <w:p w14:paraId="15B8B2FE" w14:textId="0652F555" w:rsidR="00894FE3" w:rsidRDefault="00894FE3" w:rsidP="00B1198B">
      <w:pPr>
        <w:spacing w:before="120"/>
        <w:rPr>
          <w:b/>
        </w:rPr>
      </w:pPr>
      <w:r w:rsidRPr="00F852A9">
        <w:rPr>
          <w:b/>
        </w:rPr>
        <w:t>Absolventi niektorých F-odborov majú o niečo lepšie šance nájsť si zamestnanie ako žiaci s iba ukončenou základnou školou</w:t>
      </w:r>
      <w:r w:rsidRPr="00221386">
        <w:rPr>
          <w:b/>
        </w:rPr>
        <w:t xml:space="preserve">. Existujú však aj F-odbory, </w:t>
      </w:r>
      <w:r>
        <w:rPr>
          <w:b/>
        </w:rPr>
        <w:t xml:space="preserve">ktorých </w:t>
      </w:r>
      <w:r w:rsidRPr="00221386">
        <w:rPr>
          <w:b/>
        </w:rPr>
        <w:t xml:space="preserve">absolventi nedosahujú na trhu práce dobré výsledky. </w:t>
      </w:r>
      <w:r w:rsidRPr="001C4DB7">
        <w:t>Absolventi odborov strojárska výroba, praktická žena, potravinárska výroba a lesná výroba mali podobnú alebo nižšiu zamestnanosť ako absolventi s ukončenou základnou školou (</w:t>
      </w:r>
      <w:r w:rsidRPr="00ED1A38">
        <w:rPr>
          <w:szCs w:val="22"/>
        </w:rPr>
        <w:fldChar w:fldCharType="begin"/>
      </w:r>
      <w:r w:rsidRPr="00ED1A38">
        <w:rPr>
          <w:szCs w:val="22"/>
        </w:rPr>
        <w:instrText xml:space="preserve"> REF _Ref25231083 \h </w:instrText>
      </w:r>
      <w:r>
        <w:rPr>
          <w:szCs w:val="22"/>
        </w:rPr>
        <w:instrText xml:space="preserve"> \* MERGEFORMAT </w:instrText>
      </w:r>
      <w:r w:rsidRPr="00ED1A38">
        <w:rPr>
          <w:szCs w:val="22"/>
        </w:rPr>
      </w:r>
      <w:r w:rsidRPr="00ED1A38">
        <w:rPr>
          <w:szCs w:val="22"/>
        </w:rPr>
        <w:fldChar w:fldCharType="separate"/>
      </w:r>
      <w:r w:rsidR="00FA29AF" w:rsidRPr="00FA29AF">
        <w:rPr>
          <w:szCs w:val="22"/>
        </w:rPr>
        <w:t xml:space="preserve">Graf </w:t>
      </w:r>
      <w:r w:rsidR="00FA29AF" w:rsidRPr="00FA29AF">
        <w:rPr>
          <w:iCs/>
          <w:noProof/>
          <w:szCs w:val="22"/>
        </w:rPr>
        <w:t>18</w:t>
      </w:r>
      <w:r w:rsidRPr="00ED1A38">
        <w:rPr>
          <w:szCs w:val="22"/>
        </w:rPr>
        <w:fldChar w:fldCharType="end"/>
      </w:r>
      <w:r w:rsidRPr="001C4DB7">
        <w:t>). Platí to aj po zohľadnení iných faktorov vplývajúcich na zamestnanosť</w:t>
      </w:r>
      <w:r>
        <w:t xml:space="preserve"> (</w:t>
      </w:r>
      <w:r>
        <w:fldChar w:fldCharType="begin"/>
      </w:r>
      <w:r>
        <w:instrText xml:space="preserve"> REF _Ref34129746 \h  \* MERGEFORMAT </w:instrText>
      </w:r>
      <w:r>
        <w:fldChar w:fldCharType="separate"/>
      </w:r>
      <w:r w:rsidR="00FA29AF" w:rsidRPr="00FA29AF">
        <w:t>Príloha 13</w:t>
      </w:r>
      <w:r>
        <w:fldChar w:fldCharType="end"/>
      </w:r>
      <w:r>
        <w:t>)</w:t>
      </w:r>
      <w:r w:rsidRPr="001C4DB7">
        <w:t>.</w:t>
      </w:r>
      <w:r w:rsidRPr="001C4DB7">
        <w:rPr>
          <w:rStyle w:val="Odkaznapoznmkupodiarou"/>
        </w:rPr>
        <w:footnoteReference w:id="154"/>
      </w:r>
      <w:r w:rsidRPr="001C4DB7">
        <w:t xml:space="preserve"> Na rozdiel od iných odborov odborného vzdelávania</w:t>
      </w:r>
      <w:r>
        <w:t>,</w:t>
      </w:r>
      <w:r w:rsidRPr="001C4DB7">
        <w:t xml:space="preserve"> počet žiakov v triedach prvých ročníkoch F-odborov nie je regulovaný podľa dosahovaných výsledkov</w:t>
      </w:r>
      <w:r>
        <w:t>, čo znamená</w:t>
      </w:r>
      <w:r w:rsidRPr="001C4DB7">
        <w:t xml:space="preserve"> </w:t>
      </w:r>
      <w:r>
        <w:t xml:space="preserve">, </w:t>
      </w:r>
      <w:r w:rsidRPr="001C4DB7">
        <w:t xml:space="preserve">že sa pokračuje aj vo financovaní </w:t>
      </w:r>
      <w:r>
        <w:t xml:space="preserve">takých </w:t>
      </w:r>
      <w:r w:rsidRPr="001C4DB7">
        <w:t xml:space="preserve">odborov vzdelávania, ktoré nie sú </w:t>
      </w:r>
      <w:r w:rsidRPr="00646B44">
        <w:t xml:space="preserve">efektívne. </w:t>
      </w:r>
      <w:r w:rsidRPr="00646B44">
        <w:rPr>
          <w:b/>
        </w:rPr>
        <w:t xml:space="preserve">Revízia preto navrhuje regulovať počet žiakov v prvých ročníkoch F-odborov v súlade s § </w:t>
      </w:r>
      <w:r>
        <w:rPr>
          <w:b/>
        </w:rPr>
        <w:t>29 a nasl.</w:t>
      </w:r>
      <w:r w:rsidRPr="00646B44">
        <w:rPr>
          <w:b/>
        </w:rPr>
        <w:t xml:space="preserve"> zákona č</w:t>
      </w:r>
      <w:r w:rsidR="00F27A8D">
        <w:rPr>
          <w:b/>
        </w:rPr>
        <w:t>.</w:t>
      </w:r>
      <w:r w:rsidRPr="00646B44">
        <w:rPr>
          <w:b/>
        </w:rPr>
        <w:t xml:space="preserve"> 61/2015 o odbornom vzdelávaní.</w:t>
      </w:r>
    </w:p>
    <w:p w14:paraId="5626721F" w14:textId="7D734DC6" w:rsidR="00D82411" w:rsidRDefault="004342BB" w:rsidP="00B1198B">
      <w:pPr>
        <w:spacing w:before="120"/>
        <w:rPr>
          <w:b/>
          <w:u w:val="single"/>
        </w:rPr>
      </w:pPr>
      <w:r w:rsidRPr="0025079B">
        <w:rPr>
          <w:b/>
        </w:rPr>
        <w:t xml:space="preserve">F-odbory podporujú segregáciu vo vzdelávacom systéme. </w:t>
      </w:r>
      <w:r>
        <w:t>40 % stredných odborných škôl poskytujúcich vzdelávanie v F-odboroch sú elokované pracoviská (55 zo 138) fyzicky oddelené od kmeňovej školy</w:t>
      </w:r>
      <w:r w:rsidRPr="00F852A9">
        <w:t>.</w:t>
      </w:r>
      <w:r w:rsidRPr="00F852A9">
        <w:rPr>
          <w:rStyle w:val="Odkaznapoznmkupodiarou"/>
        </w:rPr>
        <w:footnoteReference w:id="155"/>
      </w:r>
      <w:r w:rsidRPr="001C4DB7">
        <w:t xml:space="preserve"> </w:t>
      </w:r>
      <w:r w:rsidR="000B0BDF">
        <w:t>96 % z </w:t>
      </w:r>
      <w:r>
        <w:t>elokovaných pracovísk (EP) sa nachádza v obciach, v ktorých žije rómska me</w:t>
      </w:r>
      <w:r w:rsidR="000B0BDF">
        <w:t>nšina, pričom 15 zo všetkých 55 </w:t>
      </w:r>
      <w:r>
        <w:t xml:space="preserve">EP sa nachádza v obciach, kde Rómovia žijú na okraji obce alebo v segregovaných osídleniach. </w:t>
      </w:r>
      <w:r w:rsidRPr="001C4DB7">
        <w:rPr>
          <w:bCs/>
        </w:rPr>
        <w:t>EP tak nemotivujú žiakov z MRK navštevovať školy spolu so žiakmi z majority.</w:t>
      </w:r>
      <w:r w:rsidRPr="00F852A9">
        <w:t xml:space="preserve"> </w:t>
      </w:r>
      <w:r w:rsidRPr="001C4DB7">
        <w:t xml:space="preserve">Z kvalitatívneho výskumu </w:t>
      </w:r>
      <w:r w:rsidR="00B24660">
        <w:t>vyplýva</w:t>
      </w:r>
      <w:r w:rsidRPr="001C4DB7">
        <w:t>, že z dôvodu fyzickej a finančnej dostupnosti</w:t>
      </w:r>
      <w:r w:rsidR="000B0BDF">
        <w:t>,</w:t>
      </w:r>
      <w:r w:rsidRPr="001C4DB7">
        <w:t xml:space="preserve"> ako aj z dôvodu prítomnosti rovesníkov z rovnakej </w:t>
      </w:r>
      <w:r>
        <w:t xml:space="preserve">komunity </w:t>
      </w:r>
      <w:r w:rsidRPr="001C4DB7">
        <w:t>si F-odbory vyberajú aj žiaci s </w:t>
      </w:r>
      <w:r w:rsidRPr="000959C4">
        <w:t xml:space="preserve">ukončenou základnou školou, ktorí by mohli pokračovať vo vzdelávaní na bežných stredných školách (CVEK, 2015). </w:t>
      </w:r>
      <w:r w:rsidRPr="00D41517">
        <w:t>Ministerstvo školstva malo v súlade s uznesením vlády č. 476 z 26. augusta 2015 podporovať tvorbu EP v najmenej rozvinutých okresoch</w:t>
      </w:r>
      <w:r>
        <w:t xml:space="preserve"> </w:t>
      </w:r>
      <w:r w:rsidRPr="00D41517">
        <w:t>do konca roka 2019.</w:t>
      </w:r>
      <w:r>
        <w:t xml:space="preserve"> V budúcnosti sa obnovenie takejto podpory nejaví ako prospešné.</w:t>
      </w:r>
    </w:p>
    <w:p w14:paraId="72AE2ADA" w14:textId="6BD7F031" w:rsidR="00695590" w:rsidRPr="00AA1402" w:rsidRDefault="00695590" w:rsidP="00695590">
      <w:pPr>
        <w:spacing w:before="160"/>
        <w:rPr>
          <w:b/>
          <w:u w:val="single"/>
        </w:rPr>
      </w:pPr>
      <w:r w:rsidRPr="00AA1402">
        <w:rPr>
          <w:b/>
          <w:u w:val="single"/>
        </w:rPr>
        <w:t>Druhošancové vzdelávanie</w:t>
      </w:r>
    </w:p>
    <w:p w14:paraId="1EAED6FF" w14:textId="0C9309FA" w:rsidR="00695590" w:rsidRDefault="00695590" w:rsidP="00695590">
      <w:pPr>
        <w:spacing w:before="160"/>
        <w:rPr>
          <w:bCs/>
        </w:rPr>
      </w:pPr>
      <w:r w:rsidRPr="00452DBC">
        <w:rPr>
          <w:b/>
          <w:bCs/>
        </w:rPr>
        <w:t>Druhošancové vzdelávanie umožňuje absolventom dokončiť si základné vzdelanie s možnosťou pokračovať vo vzdelávaní na vyšších stupňoch vzdelania</w:t>
      </w:r>
      <w:r w:rsidRPr="00E3306E">
        <w:rPr>
          <w:bCs/>
        </w:rPr>
        <w:t>, kde môžu zí</w:t>
      </w:r>
      <w:r>
        <w:rPr>
          <w:bCs/>
        </w:rPr>
        <w:t>skať výučný list alebo maturitu</w:t>
      </w:r>
      <w:r w:rsidRPr="00E3306E">
        <w:rPr>
          <w:bCs/>
        </w:rPr>
        <w:t xml:space="preserve"> a získať tak lepšie vyhliadky pre uplatnenie sa na trhu práce. </w:t>
      </w:r>
      <w:r w:rsidR="007D262E">
        <w:t>Rozsah</w:t>
      </w:r>
      <w:r w:rsidR="007D262E" w:rsidRPr="00E3306E">
        <w:t xml:space="preserve"> </w:t>
      </w:r>
      <w:r w:rsidRPr="00E3306E">
        <w:t>kurzu nie je štandardizovan</w:t>
      </w:r>
      <w:r w:rsidR="007D262E">
        <w:t>ý</w:t>
      </w:r>
      <w:r w:rsidRPr="00E3306E">
        <w:t xml:space="preserve">, určuje </w:t>
      </w:r>
      <w:r w:rsidR="007D262E">
        <w:t>ho</w:t>
      </w:r>
      <w:r w:rsidRPr="00E3306E">
        <w:t xml:space="preserve"> riaditeľ školy na základe zistenej úrovne vzdelania osoby. Kurz však nemôže trvať viac ako jeden školský rok. Vzdelávanie sa končí </w:t>
      </w:r>
      <w:r w:rsidRPr="0025079B">
        <w:t>komisionálnou skúškou</w:t>
      </w:r>
      <w:r w:rsidR="00E8284F">
        <w:t>.</w:t>
      </w:r>
      <w:r w:rsidR="00E8284F">
        <w:rPr>
          <w:rStyle w:val="Odkaznapoznmkupodiarou"/>
        </w:rPr>
        <w:footnoteReference w:id="156"/>
      </w:r>
    </w:p>
    <w:p w14:paraId="2259F3BF" w14:textId="35A426EE" w:rsidR="003A1470" w:rsidRPr="003A1470" w:rsidRDefault="003A1470" w:rsidP="003A1470">
      <w:pPr>
        <w:spacing w:before="160"/>
        <w:rPr>
          <w:b/>
        </w:rPr>
      </w:pPr>
      <w:r w:rsidRPr="0025079B">
        <w:rPr>
          <w:b/>
        </w:rPr>
        <w:t xml:space="preserve">Výdavky na kurzy druhošancového vzdelávania </w:t>
      </w:r>
      <w:r w:rsidRPr="003A1470">
        <w:rPr>
          <w:b/>
        </w:rPr>
        <w:t>boli v roku 2018 približne</w:t>
      </w:r>
      <w:r w:rsidRPr="003A1470">
        <w:t xml:space="preserve"> </w:t>
      </w:r>
      <w:r w:rsidRPr="003A1470">
        <w:rPr>
          <w:b/>
        </w:rPr>
        <w:t xml:space="preserve">193-tisíc eur. Jednotne stanovená </w:t>
      </w:r>
      <w:r w:rsidRPr="003A1470">
        <w:rPr>
          <w:b/>
          <w:bCs/>
        </w:rPr>
        <w:t>výška normatívu na žiaka v druhošancovom vzdelávaní nereaguje na rozsah a trvanie vzdelávania.</w:t>
      </w:r>
      <w:r w:rsidRPr="003A1470">
        <w:t xml:space="preserve"> Suma alokovaná na jedného žiaka je stanovená na 10 % normatívu na žiaka ZŠ alebo na žiaka príslušnej SŠ </w:t>
      </w:r>
      <w:r w:rsidR="00A03E59">
        <w:t>(podľa zákona č. 630/2008 Z.z.)</w:t>
      </w:r>
      <w:r w:rsidRPr="003A1470">
        <w:t xml:space="preserve"> bez ohľadu na rozsah a trvanie kurzu, ktoré by mali byť nastavované vždy individuálne podľa potrieb a vstupných vedomostí jednotlivých žiakov. Súčasný systém financovania zohľadňovanie potrieb žiakov neumožňuje a podľa zistení z kvalitatívneho výskumu môže ísť o jeden z dôvodov, pre ktorý najmä základné školy kurzy nechcú organizovať (Vančíková, 2019). </w:t>
      </w:r>
      <w:r w:rsidR="00A03E59">
        <w:rPr>
          <w:b/>
        </w:rPr>
        <w:t xml:space="preserve">Revízia </w:t>
      </w:r>
      <w:r w:rsidRPr="003A1470">
        <w:rPr>
          <w:b/>
        </w:rPr>
        <w:t>preto navrhuje zaviesť flexibilnú výšku normatívu, ktorá bude stanovená v závislosti od rozsahu učebného plánu a trvania vzdelávania.</w:t>
      </w:r>
    </w:p>
    <w:p w14:paraId="6FE8B92E" w14:textId="5D3ADFFA" w:rsidR="003A1470" w:rsidRDefault="003A1470" w:rsidP="003A1470">
      <w:pPr>
        <w:spacing w:before="160"/>
        <w:rPr>
          <w:b/>
        </w:rPr>
      </w:pPr>
      <w:r w:rsidRPr="003A1470">
        <w:rPr>
          <w:b/>
          <w:bCs/>
        </w:rPr>
        <w:t>Štátna školská inšpekcia</w:t>
      </w:r>
      <w:r w:rsidR="007816CF">
        <w:rPr>
          <w:b/>
          <w:bCs/>
        </w:rPr>
        <w:t xml:space="preserve"> (ŠŠI)</w:t>
      </w:r>
      <w:r w:rsidRPr="003A1470">
        <w:rPr>
          <w:b/>
          <w:bCs/>
        </w:rPr>
        <w:t xml:space="preserve"> upozorňuje na problémy s kvalitou poskytovaného druhošancového vzdelávania. </w:t>
      </w:r>
      <w:r w:rsidRPr="003A1470">
        <w:rPr>
          <w:bCs/>
        </w:rPr>
        <w:t>Kurz</w:t>
      </w:r>
      <w:r w:rsidR="005B560F">
        <w:rPr>
          <w:bCs/>
        </w:rPr>
        <w:t>ov</w:t>
      </w:r>
      <w:r w:rsidRPr="003A1470">
        <w:rPr>
          <w:bCs/>
        </w:rPr>
        <w:t xml:space="preserve"> druhošancového vzdelá</w:t>
      </w:r>
      <w:r w:rsidR="00A03E59">
        <w:rPr>
          <w:bCs/>
        </w:rPr>
        <w:t>vania sa v roku 2018 zúčastnilo</w:t>
      </w:r>
      <w:r w:rsidRPr="003A1470">
        <w:rPr>
          <w:bCs/>
        </w:rPr>
        <w:t xml:space="preserve"> 784 osôb. </w:t>
      </w:r>
      <w:r w:rsidRPr="003A1470">
        <w:t>93 % kurzov bolo organizovaných strednými školami.</w:t>
      </w:r>
      <w:r w:rsidRPr="003A1470">
        <w:rPr>
          <w:rStyle w:val="Odkaznapoznmkupodiarou"/>
        </w:rPr>
        <w:footnoteReference w:id="157"/>
      </w:r>
      <w:r w:rsidRPr="003A1470">
        <w:t xml:space="preserve"> Inšpekcia upozorňuje, že školy pri stanovovaní</w:t>
      </w:r>
      <w:r>
        <w:t xml:space="preserve"> obsahu a rozsahu druhošancového vzdelávania neoverujú vstupné vedomosti žiakov a neprispôsobujú vzdelávanie ich individuálnym potrebám, tak aby žiaci mohli nadobudnúť potrebné vedomosti a zručnosti. K negatívnym zisteniam patrí tiež skutočnosť, že najmä v SOŠ sa </w:t>
      </w:r>
      <w:r w:rsidR="005B560F">
        <w:t>vyskytol</w:t>
      </w:r>
      <w:r>
        <w:t xml:space="preserve"> problém s odbornosťou výučby, keď druhošancové vzdelávanie poskytovali pedagogickí zamestnanci bez požadovanej kvalifikácie (ŠŠI, 2018). </w:t>
      </w:r>
      <w:r w:rsidRPr="0025079B">
        <w:rPr>
          <w:b/>
        </w:rPr>
        <w:t>K</w:t>
      </w:r>
      <w:r>
        <w:rPr>
          <w:b/>
        </w:rPr>
        <w:t>valitné k</w:t>
      </w:r>
      <w:r w:rsidRPr="0025079B">
        <w:rPr>
          <w:b/>
        </w:rPr>
        <w:t xml:space="preserve">urzy druhošancového vzdelávania </w:t>
      </w:r>
      <w:r>
        <w:rPr>
          <w:b/>
        </w:rPr>
        <w:t>pritom</w:t>
      </w:r>
      <w:r w:rsidRPr="0025079B">
        <w:rPr>
          <w:b/>
        </w:rPr>
        <w:t xml:space="preserve"> v porovnaní s F-odbormi </w:t>
      </w:r>
      <w:r>
        <w:rPr>
          <w:b/>
        </w:rPr>
        <w:t xml:space="preserve">predstavujú </w:t>
      </w:r>
      <w:r w:rsidRPr="0025079B">
        <w:rPr>
          <w:b/>
        </w:rPr>
        <w:t>výrazne lacnejší</w:t>
      </w:r>
      <w:r w:rsidR="005B560F">
        <w:rPr>
          <w:b/>
        </w:rPr>
        <w:t>,</w:t>
      </w:r>
      <w:r w:rsidRPr="0025079B">
        <w:rPr>
          <w:b/>
        </w:rPr>
        <w:t xml:space="preserve"> a v prepojení s ďalšími podpornými opatreniami (napríklad navýšené stredoškolské štipendiá a mentoring a tútoring) potenciálne efektívnejší nástroj podpory ľudí bez ukončenej ZŠ.</w:t>
      </w:r>
    </w:p>
    <w:p w14:paraId="2E4FB017" w14:textId="77777777" w:rsidR="00894FE3" w:rsidRDefault="00894FE3" w:rsidP="00695590">
      <w:pPr>
        <w:pStyle w:val="Bezriadkovania"/>
        <w:spacing w:after="240" w:line="259" w:lineRule="auto"/>
        <w:jc w:val="both"/>
        <w:rPr>
          <w:rFonts w:ascii="Arial Narrow" w:hAnsi="Arial Narrow"/>
          <w:color w:val="0070C0"/>
        </w:rPr>
      </w:pPr>
    </w:p>
    <w:p w14:paraId="408C9DA4" w14:textId="77777777" w:rsidR="00695590" w:rsidRPr="00CA2564" w:rsidRDefault="00695590" w:rsidP="00695590">
      <w:pPr>
        <w:pStyle w:val="Bezriadkovania"/>
        <w:spacing w:after="240" w:line="259" w:lineRule="auto"/>
        <w:jc w:val="both"/>
        <w:rPr>
          <w:rFonts w:ascii="Arial Narrow" w:hAnsi="Arial Narrow"/>
          <w:color w:val="0070C0"/>
        </w:rPr>
      </w:pPr>
      <w:r>
        <w:rPr>
          <w:rFonts w:ascii="Arial Narrow" w:hAnsi="Arial Narrow"/>
          <w:color w:val="0070C0"/>
        </w:rPr>
        <w:t>Chýbajúce opatrenia na podporu vzdelávania sociálne znevýhodnených žiakov ohrozených PUŠD</w:t>
      </w:r>
    </w:p>
    <w:p w14:paraId="6D887F68" w14:textId="273106A6" w:rsidR="00695590" w:rsidRPr="00AA1402" w:rsidRDefault="00695590" w:rsidP="00695590">
      <w:pPr>
        <w:spacing w:before="160"/>
        <w:rPr>
          <w:b/>
          <w:u w:val="single"/>
        </w:rPr>
      </w:pPr>
      <w:r>
        <w:rPr>
          <w:b/>
          <w:u w:val="single"/>
        </w:rPr>
        <w:t>P</w:t>
      </w:r>
      <w:r w:rsidRPr="00AA1402">
        <w:rPr>
          <w:b/>
          <w:u w:val="single"/>
        </w:rPr>
        <w:t>reventívn</w:t>
      </w:r>
      <w:r>
        <w:rPr>
          <w:b/>
          <w:u w:val="single"/>
        </w:rPr>
        <w:t>e</w:t>
      </w:r>
      <w:r w:rsidRPr="00AA1402">
        <w:rPr>
          <w:b/>
          <w:u w:val="single"/>
        </w:rPr>
        <w:t xml:space="preserve"> </w:t>
      </w:r>
      <w:r w:rsidR="00A77970">
        <w:rPr>
          <w:b/>
          <w:u w:val="single"/>
        </w:rPr>
        <w:t xml:space="preserve">a intervenčné </w:t>
      </w:r>
      <w:r w:rsidRPr="00AA1402">
        <w:rPr>
          <w:b/>
          <w:u w:val="single"/>
        </w:rPr>
        <w:t>program</w:t>
      </w:r>
      <w:r>
        <w:rPr>
          <w:b/>
          <w:u w:val="single"/>
        </w:rPr>
        <w:t>y</w:t>
      </w:r>
    </w:p>
    <w:p w14:paraId="288CA907" w14:textId="5C7D32D0" w:rsidR="00695590" w:rsidRDefault="00695590" w:rsidP="00695590">
      <w:pPr>
        <w:spacing w:before="160"/>
      </w:pPr>
      <w:r>
        <w:rPr>
          <w:b/>
        </w:rPr>
        <w:t>S</w:t>
      </w:r>
      <w:r w:rsidRPr="00F4667F">
        <w:rPr>
          <w:b/>
        </w:rPr>
        <w:t>ystematický prístup k cielenej podpore žiakov ohrozených PUŠD</w:t>
      </w:r>
      <w:r>
        <w:rPr>
          <w:b/>
        </w:rPr>
        <w:t>, ktorý by zahŕňal aj preventívne a intervenčné opatrenia, neexistuje.</w:t>
      </w:r>
      <w:r w:rsidRPr="00175ECF">
        <w:rPr>
          <w:rStyle w:val="Odkaznapoznmkupodiarou"/>
        </w:rPr>
        <w:t xml:space="preserve"> </w:t>
      </w:r>
      <w:r w:rsidRPr="007B2436">
        <w:t>Slovenský vzdelávací systém sa takmer výlučne zameriava na kompenzačné opatrenia pre osoby, ktoré vzdelávací systém už predčasne opustili (F-odbory a druhošancové vzdelávanie). Preventívne opatrenia spočívajú najmä v podpore poskytovania starostlivosti v ranom detstve</w:t>
      </w:r>
      <w:r w:rsidR="00A77970">
        <w:t>,</w:t>
      </w:r>
      <w:r w:rsidRPr="007B2436">
        <w:t xml:space="preserve"> v zvyšovaní inkluzívnosti vzdelávacie</w:t>
      </w:r>
      <w:r w:rsidR="00F1470A">
        <w:t>ho</w:t>
      </w:r>
      <w:r w:rsidRPr="007B2436">
        <w:t xml:space="preserve"> systému</w:t>
      </w:r>
      <w:r w:rsidR="00A77970">
        <w:t xml:space="preserve"> a v poskytovaní kvalitného kariér</w:t>
      </w:r>
      <w:r w:rsidR="00F1470A">
        <w:t>ne</w:t>
      </w:r>
      <w:r w:rsidR="00A77970">
        <w:t>ho poradenstva</w:t>
      </w:r>
      <w:r w:rsidRPr="007B2436">
        <w:t>.</w:t>
      </w:r>
      <w:r w:rsidRPr="00254977">
        <w:rPr>
          <w:bCs/>
        </w:rPr>
        <w:t xml:space="preserve"> </w:t>
      </w:r>
      <w:r w:rsidRPr="007B2436">
        <w:t>Rovnako dôležité je tiež priebežné zbieranie a vyhodnocovanie dát umožňujúcich identifikáciu žiakov ohrozených PUŠD</w:t>
      </w:r>
      <w:r w:rsidR="00F1470A">
        <w:t>,</w:t>
      </w:r>
      <w:r w:rsidRPr="007B2436">
        <w:t xml:space="preserve"> ako aj zisťovanie príčin tohto javu. </w:t>
      </w:r>
      <w:r>
        <w:rPr>
          <w:bCs/>
        </w:rPr>
        <w:t>Na Slovensku takéto v</w:t>
      </w:r>
      <w:r w:rsidRPr="007201AB">
        <w:rPr>
          <w:bCs/>
        </w:rPr>
        <w:t xml:space="preserve">ýskumy </w:t>
      </w:r>
      <w:r w:rsidRPr="00646B44">
        <w:rPr>
          <w:bCs/>
        </w:rPr>
        <w:t xml:space="preserve">chýbajú. </w:t>
      </w:r>
      <w:bookmarkStart w:id="364" w:name="_Hlk23008953"/>
      <w:r w:rsidRPr="00646B44">
        <w:rPr>
          <w:b/>
          <w:bCs/>
        </w:rPr>
        <w:t>Revízia preto navrhuje realizovať výskum o príčinách predčasného ukončovania školskej dochádzky.</w:t>
      </w:r>
    </w:p>
    <w:bookmarkEnd w:id="364"/>
    <w:p w14:paraId="5E948264" w14:textId="62F7B08F" w:rsidR="004F2EFF" w:rsidRDefault="004F2EFF" w:rsidP="00695590">
      <w:pPr>
        <w:spacing w:before="160"/>
      </w:pPr>
      <w:r>
        <w:rPr>
          <w:b/>
          <w:bCs/>
        </w:rPr>
        <w:t>Kvalitné kariér</w:t>
      </w:r>
      <w:r w:rsidR="008372B9">
        <w:rPr>
          <w:b/>
          <w:bCs/>
        </w:rPr>
        <w:t>ne</w:t>
      </w:r>
      <w:r>
        <w:rPr>
          <w:b/>
          <w:bCs/>
        </w:rPr>
        <w:t xml:space="preserve"> poradenstvo zohľadňujúce špecifické okolnosti žiakov vyrastajúcich v znevýhodnenom prostredí môže pomôcť prelomiť medzigeneračnú chudobu. </w:t>
      </w:r>
      <w:r w:rsidR="00DC32C6">
        <w:t>Socio</w:t>
      </w:r>
      <w:r>
        <w:t xml:space="preserve">ekonomické zázemie žiakov vplýva na ich rozhodovanie o pokračovaní vo vzdelávaní. Cieľom efektívneho kariérneho poradenstva je zabezpečiť prístup k informáciám a príležitostiam v súvislosti s ďalším štúdiom a voľbou povolania všetkým žiakom v súlade s ich skutočnými schopnosťami. </w:t>
      </w:r>
      <w:r w:rsidR="00851509">
        <w:t>N</w:t>
      </w:r>
      <w:r>
        <w:t xml:space="preserve">apriek existencii </w:t>
      </w:r>
      <w:r w:rsidR="008372B9">
        <w:t xml:space="preserve">kariérneho </w:t>
      </w:r>
      <w:r>
        <w:t xml:space="preserve">poradenstva si žiaci zo SZP aj v prípade, že dosahujú rovnako dobré vzdelávacie výsledky ako ich rovesníci, vyberajú pre ďalšie štúdium menej náročné odbory (Musset a Mytna Kurekova, 2018). Pre zvyšovanie efektivity systému </w:t>
      </w:r>
      <w:r w:rsidR="008372B9">
        <w:t xml:space="preserve">kariérneho </w:t>
      </w:r>
      <w:r>
        <w:t>poradenstva</w:t>
      </w:r>
      <w:r>
        <w:rPr>
          <w:rStyle w:val="Odkaznapoznmkupodiarou"/>
        </w:rPr>
        <w:footnoteReference w:id="158"/>
      </w:r>
      <w:r w:rsidR="00851509">
        <w:t xml:space="preserve"> </w:t>
      </w:r>
      <w:r w:rsidR="008372B9">
        <w:t>je dôležité, aby kariérni</w:t>
      </w:r>
      <w:r>
        <w:t xml:space="preserve"> poradcovia mali prístup ku kvalitnému vzdelávaniu, v rámci ktorého budú mať možnosť nadobudnúť zručnosti a osvojiť si stratégie potrebné pre prácu so žiakmi zo SZP (napr. ako zabezpečiť prístup k informáciám, ako pracovať s tlakom rovesníkov a rodičov a i.).</w:t>
      </w:r>
    </w:p>
    <w:p w14:paraId="373D28EA" w14:textId="12CC3EB1" w:rsidR="00695590" w:rsidRDefault="00695590" w:rsidP="00695590">
      <w:pPr>
        <w:spacing w:before="160"/>
      </w:pPr>
      <w:r w:rsidRPr="00254977">
        <w:rPr>
          <w:b/>
          <w:bCs/>
        </w:rPr>
        <w:t>Za najefektívnejšie intervenčné stratégie sa považujú mentoringové a tútoringové programy</w:t>
      </w:r>
      <w:r w:rsidR="004F2EFF">
        <w:rPr>
          <w:b/>
          <w:bCs/>
        </w:rPr>
        <w:t>, ktoré majú potenciál pozitívne vplývať aj na elimináciu opakovania ročníka</w:t>
      </w:r>
      <w:r w:rsidRPr="00254977">
        <w:rPr>
          <w:b/>
          <w:bCs/>
        </w:rPr>
        <w:t>.</w:t>
      </w:r>
      <w:r>
        <w:rPr>
          <w:b/>
          <w:bCs/>
        </w:rPr>
        <w:t xml:space="preserve"> </w:t>
      </w:r>
      <w:r w:rsidRPr="00433255">
        <w:t>Úlohou mentorov je poskytovať poradenstvo, podporu a povzbudenie ohrozeným žiakom.</w:t>
      </w:r>
      <w:r>
        <w:t xml:space="preserve"> </w:t>
      </w:r>
      <w:r>
        <w:rPr>
          <w:bCs/>
        </w:rPr>
        <w:t>V</w:t>
      </w:r>
      <w:r w:rsidRPr="007B2436" w:rsidDel="00A94D0E">
        <w:t xml:space="preserve"> </w:t>
      </w:r>
      <w:r w:rsidRPr="007B2436">
        <w:t xml:space="preserve">rámci mentoringu </w:t>
      </w:r>
      <w:r>
        <w:t xml:space="preserve">sa teda </w:t>
      </w:r>
      <w:r w:rsidRPr="007B2436">
        <w:t>pracuje aj s motiváciou žiaka a jeho emocionálnym záväzkom voči škole, ktorý môže predstavovať jeden z hlavných faktorov PUŠD (Nouwen et al., 2016).</w:t>
      </w:r>
      <w:r w:rsidRPr="00433255">
        <w:t xml:space="preserve"> Tútori zase poskytujú doučovanie žiakom, ktorí sú zapojení do mentoringu, s cieľom zlepšiť ich vzdelávacie výsledky alebo s cieľom pripraviť ich na prijímacie skúšky na stredné školy</w:t>
      </w:r>
      <w:r>
        <w:rPr>
          <w:bCs/>
        </w:rPr>
        <w:t xml:space="preserve">. </w:t>
      </w:r>
      <w:r w:rsidRPr="007B2436">
        <w:t>V rámci podporných programov je potrebné, aby mentori (resp. tútori či kouči) realizovali aktivity na úrovni celej školy a ideálne aj celej komunity a do vzdelávania a podporných aktivít zapojili učiteľov a rodičov (EP, 2011).</w:t>
      </w:r>
      <w:r>
        <w:t xml:space="preserve"> </w:t>
      </w:r>
      <w:r w:rsidRPr="00433255">
        <w:t>Na nedostatočnú komunikáciu medzi školou a rodičmi ako jednu z bariér predchádzania PUŠD na Slovensku poukazujú aj parciálne kvalitatívne výsledky (Vančíková, 2019).</w:t>
      </w:r>
      <w:r>
        <w:t xml:space="preserve"> </w:t>
      </w:r>
    </w:p>
    <w:p w14:paraId="40577BC3" w14:textId="11CB48B7" w:rsidR="00695590" w:rsidRPr="00433255" w:rsidRDefault="00695590" w:rsidP="00695590">
      <w:pPr>
        <w:spacing w:before="160"/>
        <w:rPr>
          <w:b/>
          <w:bCs/>
        </w:rPr>
      </w:pPr>
      <w:r w:rsidRPr="007B2436">
        <w:rPr>
          <w:b/>
          <w:bCs/>
        </w:rPr>
        <w:t>Mentoring a tútoring môže byť prospešný aj v prípade, že žiak sa nakoniec rozhodne ukončiť školskú dochádzku predčasne.</w:t>
      </w:r>
      <w:r>
        <w:rPr>
          <w:bCs/>
        </w:rPr>
        <w:t xml:space="preserve"> V praxi sa totiž ukazuje, že mnohí žiaci nevedia o niektorých povinnostiach, ktoré im z tohto rozhodnutia </w:t>
      </w:r>
      <w:r w:rsidR="00B24660">
        <w:rPr>
          <w:bCs/>
        </w:rPr>
        <w:t>vyplýva</w:t>
      </w:r>
      <w:r>
        <w:rPr>
          <w:bCs/>
        </w:rPr>
        <w:t xml:space="preserve">jú, čo im môže spôsobiť problémy. Ako príklad možno uviesť nevedomosť o potrebe prihlásiť sa po výstupe zo vzdelávacieho systému do zdravotnej poisťovne a platiť si zdravotné poistenie. Mnohým kvôli tomu vznikne dlh, ktorý nevedia splácať a následne je na nich podaná žaloba a návrh na exekúciu. </w:t>
      </w:r>
      <w:r>
        <w:t>Mentoring a tútoring</w:t>
      </w:r>
      <w:r>
        <w:rPr>
          <w:bCs/>
        </w:rPr>
        <w:t xml:space="preserve"> vďaka európskym prostriedkom v súčasnosti poskytuje 20 neziskových organizácii 968 žiakom na základných školách.</w:t>
      </w:r>
      <w:r>
        <w:rPr>
          <w:rStyle w:val="Odkaznapoznmkupodiarou"/>
          <w:bCs/>
        </w:rPr>
        <w:footnoteReference w:id="159"/>
      </w:r>
      <w:r>
        <w:rPr>
          <w:bCs/>
        </w:rPr>
        <w:t xml:space="preserve"> Systematická podpora mentoringu a tútoringu však neexistuje</w:t>
      </w:r>
      <w:r w:rsidRPr="00433255">
        <w:rPr>
          <w:b/>
          <w:bCs/>
        </w:rPr>
        <w:t>. Revízia navrhuje vytvoriť rozvojový projekt s pravidelnou finančnou alokáciou na podporu mentoringu a tútoringu znevýhodnených žiakov na druhom stupni základných škôl a na stredných školách.</w:t>
      </w:r>
    </w:p>
    <w:p w14:paraId="7733D11C" w14:textId="77777777" w:rsidR="00695590" w:rsidRDefault="00695590" w:rsidP="00695590">
      <w:pPr>
        <w:pStyle w:val="Nadpis2"/>
        <w:spacing w:before="160"/>
      </w:pPr>
      <w:bookmarkStart w:id="365" w:name="_Ref25310253"/>
      <w:bookmarkStart w:id="366" w:name="_Ref25663957"/>
      <w:bookmarkStart w:id="367" w:name="_Toc34657717"/>
      <w:r>
        <w:t>Stredoškolské vzdelávanie</w:t>
      </w:r>
      <w:bookmarkEnd w:id="365"/>
      <w:bookmarkEnd w:id="366"/>
      <w:bookmarkEnd w:id="367"/>
    </w:p>
    <w:p w14:paraId="19EA273F" w14:textId="77777777" w:rsidR="00695590" w:rsidRPr="00B07E9A" w:rsidRDefault="00695590" w:rsidP="00695590">
      <w:pPr>
        <w:pStyle w:val="Bezriadkovania"/>
        <w:spacing w:after="240" w:line="259" w:lineRule="auto"/>
        <w:jc w:val="both"/>
        <w:rPr>
          <w:rFonts w:ascii="Arial Narrow" w:hAnsi="Arial Narrow"/>
          <w:color w:val="0070C0"/>
        </w:rPr>
      </w:pPr>
      <w:r>
        <w:rPr>
          <w:rFonts w:ascii="Arial Narrow" w:hAnsi="Arial Narrow"/>
          <w:color w:val="0070C0"/>
        </w:rPr>
        <w:t>Výsledky vzdelávania sociálne znevýhodnených žiakov v stredných školách</w:t>
      </w:r>
    </w:p>
    <w:p w14:paraId="73164B7D" w14:textId="68A8A37B" w:rsidR="00122F6F" w:rsidRDefault="00695590" w:rsidP="00DF3BCB">
      <w:pPr>
        <w:spacing w:before="160"/>
        <w:rPr>
          <w:lang w:eastAsia="sk-SK"/>
        </w:rPr>
      </w:pPr>
      <w:r>
        <w:rPr>
          <w:b/>
        </w:rPr>
        <w:t>Po ukončení povinnej školskej dochádzky pokračuje vo vzdelávaní len 6</w:t>
      </w:r>
      <w:r w:rsidR="00387CB1">
        <w:rPr>
          <w:b/>
        </w:rPr>
        <w:t>2</w:t>
      </w:r>
      <w:r>
        <w:rPr>
          <w:b/>
        </w:rPr>
        <w:t xml:space="preserve"> % žiakov v systéme PHN a</w:t>
      </w:r>
      <w:r w:rsidR="00387CB1">
        <w:rPr>
          <w:b/>
        </w:rPr>
        <w:t xml:space="preserve"> </w:t>
      </w:r>
      <w:r>
        <w:rPr>
          <w:b/>
        </w:rPr>
        <w:t xml:space="preserve">polovica </w:t>
      </w:r>
      <w:r w:rsidR="00387CB1">
        <w:rPr>
          <w:b/>
        </w:rPr>
        <w:t xml:space="preserve">(51 %) </w:t>
      </w:r>
      <w:r>
        <w:rPr>
          <w:b/>
        </w:rPr>
        <w:t xml:space="preserve">žiakov z MRK, zatiaľ čo podiel v celkovej populácii je </w:t>
      </w:r>
      <w:r w:rsidR="00387CB1">
        <w:rPr>
          <w:b/>
        </w:rPr>
        <w:t>75</w:t>
      </w:r>
      <w:r w:rsidRPr="004F07C1">
        <w:rPr>
          <w:b/>
        </w:rPr>
        <w:t xml:space="preserve"> </w:t>
      </w:r>
      <w:r w:rsidRPr="00C8768E">
        <w:rPr>
          <w:b/>
        </w:rPr>
        <w:t>% (</w:t>
      </w:r>
      <w:r w:rsidR="00DF3BCB" w:rsidRPr="00DF3BCB">
        <w:rPr>
          <w:b/>
        </w:rPr>
        <w:fldChar w:fldCharType="begin"/>
      </w:r>
      <w:r w:rsidR="00DF3BCB" w:rsidRPr="00DF3BCB">
        <w:rPr>
          <w:b/>
        </w:rPr>
        <w:instrText xml:space="preserve"> REF _Ref25579007 \h  \* MERGEFORMAT </w:instrText>
      </w:r>
      <w:r w:rsidR="00DF3BCB" w:rsidRPr="00DF3BCB">
        <w:rPr>
          <w:b/>
        </w:rPr>
      </w:r>
      <w:r w:rsidR="00DF3BCB" w:rsidRPr="00DF3BCB">
        <w:rPr>
          <w:b/>
        </w:rPr>
        <w:fldChar w:fldCharType="separate"/>
      </w:r>
      <w:r w:rsidR="00FA29AF" w:rsidRPr="00FA29AF">
        <w:rPr>
          <w:b/>
        </w:rPr>
        <w:t>Tabuľka 14</w:t>
      </w:r>
      <w:r w:rsidR="00DF3BCB" w:rsidRPr="00DF3BCB">
        <w:rPr>
          <w:b/>
        </w:rPr>
        <w:fldChar w:fldCharType="end"/>
      </w:r>
      <w:r w:rsidRPr="00C8768E">
        <w:rPr>
          <w:b/>
        </w:rPr>
        <w:t xml:space="preserve">). </w:t>
      </w:r>
      <w:r w:rsidR="00A0045A">
        <w:rPr>
          <w:b/>
        </w:rPr>
        <w:t>Z</w:t>
      </w:r>
      <w:r>
        <w:rPr>
          <w:b/>
        </w:rPr>
        <w:t>nevýhodnení žiaci zotrvávajú v ďalšom vzdelávaní kratšie.</w:t>
      </w:r>
      <w:r>
        <w:rPr>
          <w:b/>
          <w:lang w:eastAsia="sk-SK"/>
        </w:rPr>
        <w:t xml:space="preserve"> </w:t>
      </w:r>
      <w:r w:rsidRPr="007E4FBE">
        <w:rPr>
          <w:lang w:eastAsia="sk-SK"/>
        </w:rPr>
        <w:t>Podiel</w:t>
      </w:r>
      <w:r>
        <w:rPr>
          <w:lang w:eastAsia="sk-SK"/>
        </w:rPr>
        <w:t xml:space="preserve"> žiakov z MRK a z domácností v systéme PHN </w:t>
      </w:r>
      <w:r w:rsidRPr="007E4FBE">
        <w:rPr>
          <w:lang w:eastAsia="sk-SK"/>
        </w:rPr>
        <w:t xml:space="preserve">prudko klesá </w:t>
      </w:r>
      <w:r w:rsidR="00207C85">
        <w:rPr>
          <w:lang w:eastAsia="sk-SK"/>
        </w:rPr>
        <w:t>po prvom</w:t>
      </w:r>
      <w:r w:rsidRPr="007E4FBE">
        <w:rPr>
          <w:lang w:eastAsia="sk-SK"/>
        </w:rPr>
        <w:t xml:space="preserve"> ročníku</w:t>
      </w:r>
      <w:r>
        <w:rPr>
          <w:lang w:eastAsia="sk-SK"/>
        </w:rPr>
        <w:t xml:space="preserve"> stredných škôl,</w:t>
      </w:r>
      <w:r w:rsidR="00207C85">
        <w:rPr>
          <w:lang w:eastAsia="sk-SK"/>
        </w:rPr>
        <w:t xml:space="preserve"> kedy pri </w:t>
      </w:r>
      <w:r w:rsidR="00DC32C6">
        <w:rPr>
          <w:lang w:eastAsia="sk-SK"/>
        </w:rPr>
        <w:t>štandardnej</w:t>
      </w:r>
      <w:r w:rsidR="00207C85">
        <w:rPr>
          <w:lang w:eastAsia="sk-SK"/>
        </w:rPr>
        <w:t xml:space="preserve"> vzdelávacej dráhe končí povinná školská dochádzka,</w:t>
      </w:r>
      <w:r>
        <w:rPr>
          <w:lang w:eastAsia="sk-SK"/>
        </w:rPr>
        <w:t xml:space="preserve"> pričom vo</w:t>
      </w:r>
      <w:r w:rsidRPr="007E4FBE">
        <w:rPr>
          <w:lang w:eastAsia="sk-SK"/>
        </w:rPr>
        <w:t xml:space="preserve"> štvrtom ročníku stredných škôl </w:t>
      </w:r>
      <w:r>
        <w:rPr>
          <w:lang w:eastAsia="sk-SK"/>
        </w:rPr>
        <w:t xml:space="preserve">sa vzdeláva </w:t>
      </w:r>
      <w:r w:rsidRPr="007E4FBE">
        <w:rPr>
          <w:lang w:eastAsia="sk-SK"/>
        </w:rPr>
        <w:t xml:space="preserve">menej ako </w:t>
      </w:r>
      <w:r w:rsidR="00207C85">
        <w:rPr>
          <w:lang w:eastAsia="sk-SK"/>
        </w:rPr>
        <w:t>3</w:t>
      </w:r>
      <w:r w:rsidRPr="007E4FBE">
        <w:rPr>
          <w:lang w:eastAsia="sk-SK"/>
        </w:rPr>
        <w:t xml:space="preserve"> % žiakov</w:t>
      </w:r>
      <w:r>
        <w:rPr>
          <w:lang w:eastAsia="sk-SK"/>
        </w:rPr>
        <w:t xml:space="preserve"> </w:t>
      </w:r>
      <w:r w:rsidR="00207C85">
        <w:rPr>
          <w:lang w:eastAsia="sk-SK"/>
        </w:rPr>
        <w:t>v systéme</w:t>
      </w:r>
      <w:r>
        <w:rPr>
          <w:lang w:eastAsia="sk-SK"/>
        </w:rPr>
        <w:t xml:space="preserve"> PHN </w:t>
      </w:r>
      <w:r w:rsidR="00207C85">
        <w:rPr>
          <w:lang w:eastAsia="sk-SK"/>
        </w:rPr>
        <w:t xml:space="preserve">alebo z prostredia MRK </w:t>
      </w:r>
      <w:r>
        <w:rPr>
          <w:lang w:eastAsia="sk-SK"/>
        </w:rPr>
        <w:t>(</w:t>
      </w:r>
      <w:r w:rsidR="00023C71" w:rsidRPr="00B56E0A">
        <w:fldChar w:fldCharType="begin"/>
      </w:r>
      <w:r w:rsidR="00023C71" w:rsidRPr="00B56E0A">
        <w:instrText xml:space="preserve"> REF _Ref25231228 \h </w:instrText>
      </w:r>
      <w:r w:rsidR="00B56E0A">
        <w:instrText xml:space="preserve"> \* MERGEFORMAT </w:instrText>
      </w:r>
      <w:r w:rsidR="00023C71" w:rsidRPr="00B56E0A">
        <w:fldChar w:fldCharType="separate"/>
      </w:r>
      <w:r w:rsidR="00FA29AF" w:rsidRPr="00FA29AF">
        <w:t>Graf 19</w:t>
      </w:r>
      <w:r w:rsidR="00023C71" w:rsidRPr="00B56E0A">
        <w:fldChar w:fldCharType="end"/>
      </w:r>
      <w:r w:rsidRPr="004F07C1">
        <w:rPr>
          <w:lang w:eastAsia="sk-SK"/>
        </w:rPr>
        <w:t>).</w:t>
      </w:r>
      <w:r w:rsidR="00A0045A">
        <w:rPr>
          <w:lang w:eastAsia="sk-SK"/>
        </w:rPr>
        <w:t xml:space="preserve"> </w:t>
      </w:r>
      <w:r w:rsidRPr="007E4FBE">
        <w:rPr>
          <w:lang w:eastAsia="sk-SK"/>
        </w:rPr>
        <w:t>Tento pokles možno pripísať</w:t>
      </w:r>
      <w:r>
        <w:rPr>
          <w:lang w:eastAsia="sk-SK"/>
        </w:rPr>
        <w:t xml:space="preserve"> aj</w:t>
      </w:r>
      <w:r w:rsidRPr="007E4FBE">
        <w:rPr>
          <w:lang w:eastAsia="sk-SK"/>
        </w:rPr>
        <w:t xml:space="preserve"> vyššej participácii na dvojročných </w:t>
      </w:r>
      <w:r>
        <w:rPr>
          <w:lang w:eastAsia="sk-SK"/>
        </w:rPr>
        <w:t>F-</w:t>
      </w:r>
      <w:r w:rsidRPr="007E4FBE">
        <w:rPr>
          <w:lang w:eastAsia="sk-SK"/>
        </w:rPr>
        <w:t>odboroch z dôvodu neukončenej základnej školy</w:t>
      </w:r>
      <w:r>
        <w:rPr>
          <w:lang w:eastAsia="sk-SK"/>
        </w:rPr>
        <w:t xml:space="preserve"> (</w:t>
      </w:r>
      <w:r w:rsidR="00002D91">
        <w:rPr>
          <w:lang w:eastAsia="sk-SK"/>
        </w:rPr>
        <w:t>p</w:t>
      </w:r>
      <w:r w:rsidRPr="00BE6270">
        <w:rPr>
          <w:lang w:eastAsia="sk-SK"/>
        </w:rPr>
        <w:t>odkapitola</w:t>
      </w:r>
      <w:r w:rsidR="00A35861">
        <w:rPr>
          <w:lang w:eastAsia="sk-SK"/>
        </w:rPr>
        <w:t xml:space="preserve"> </w:t>
      </w:r>
      <w:r w:rsidR="00A35861">
        <w:rPr>
          <w:lang w:eastAsia="sk-SK"/>
        </w:rPr>
        <w:fldChar w:fldCharType="begin"/>
      </w:r>
      <w:r w:rsidR="00A35861">
        <w:rPr>
          <w:lang w:eastAsia="sk-SK"/>
        </w:rPr>
        <w:instrText xml:space="preserve"> REF _Ref34380112 \r \h </w:instrText>
      </w:r>
      <w:r w:rsidR="00A35861">
        <w:rPr>
          <w:lang w:eastAsia="sk-SK"/>
        </w:rPr>
      </w:r>
      <w:r w:rsidR="00A35861">
        <w:rPr>
          <w:lang w:eastAsia="sk-SK"/>
        </w:rPr>
        <w:fldChar w:fldCharType="separate"/>
      </w:r>
      <w:r w:rsidR="00FA29AF">
        <w:rPr>
          <w:lang w:eastAsia="sk-SK"/>
        </w:rPr>
        <w:t>5.3</w:t>
      </w:r>
      <w:r w:rsidR="00A35861">
        <w:rPr>
          <w:lang w:eastAsia="sk-SK"/>
        </w:rPr>
        <w:fldChar w:fldCharType="end"/>
      </w:r>
      <w:r w:rsidRPr="00BE6270">
        <w:rPr>
          <w:lang w:eastAsia="sk-SK"/>
        </w:rPr>
        <w:t>)</w:t>
      </w:r>
      <w:r w:rsidRPr="007E4FBE">
        <w:rPr>
          <w:lang w:eastAsia="sk-SK"/>
        </w:rPr>
        <w:t>.</w:t>
      </w:r>
      <w:bookmarkStart w:id="368" w:name="_Ref529550402"/>
      <w:bookmarkStart w:id="369" w:name="_Toc535498778"/>
    </w:p>
    <w:p w14:paraId="0B527DC6" w14:textId="1AF34D53" w:rsidR="00695590" w:rsidRPr="00023C71" w:rsidRDefault="00695590" w:rsidP="00023C71">
      <w:pPr>
        <w:spacing w:after="0"/>
        <w:rPr>
          <w:b/>
          <w:sz w:val="20"/>
        </w:rPr>
      </w:pPr>
      <w:bookmarkStart w:id="370" w:name="_Ref25579007"/>
      <w:bookmarkStart w:id="371" w:name="_Toc34156853"/>
      <w:r w:rsidRPr="00023C71">
        <w:rPr>
          <w:b/>
          <w:sz w:val="20"/>
        </w:rPr>
        <w:t xml:space="preserve">Tabuľka </w:t>
      </w:r>
      <w:r w:rsidRPr="00023C71">
        <w:rPr>
          <w:b/>
          <w:noProof/>
          <w:sz w:val="20"/>
        </w:rPr>
        <w:fldChar w:fldCharType="begin"/>
      </w:r>
      <w:r w:rsidRPr="00023C71">
        <w:rPr>
          <w:b/>
          <w:noProof/>
          <w:sz w:val="20"/>
        </w:rPr>
        <w:instrText xml:space="preserve"> SEQ Tabuľka \* ARABIC </w:instrText>
      </w:r>
      <w:r w:rsidRPr="00023C71">
        <w:rPr>
          <w:b/>
          <w:noProof/>
          <w:sz w:val="20"/>
        </w:rPr>
        <w:fldChar w:fldCharType="separate"/>
      </w:r>
      <w:r w:rsidR="00FA29AF">
        <w:rPr>
          <w:b/>
          <w:noProof/>
          <w:sz w:val="20"/>
        </w:rPr>
        <w:t>14</w:t>
      </w:r>
      <w:r w:rsidRPr="00023C71">
        <w:rPr>
          <w:b/>
          <w:noProof/>
          <w:sz w:val="20"/>
        </w:rPr>
        <w:fldChar w:fldCharType="end"/>
      </w:r>
      <w:bookmarkEnd w:id="368"/>
      <w:bookmarkEnd w:id="370"/>
      <w:r w:rsidRPr="00023C71">
        <w:rPr>
          <w:b/>
          <w:sz w:val="20"/>
        </w:rPr>
        <w:t>: Podiel 16-ročných detí vo vzdelávacom systéme v š. r. 201</w:t>
      </w:r>
      <w:r w:rsidR="00412B51">
        <w:rPr>
          <w:b/>
          <w:sz w:val="20"/>
        </w:rPr>
        <w:t>8</w:t>
      </w:r>
      <w:r w:rsidRPr="00023C71">
        <w:rPr>
          <w:b/>
          <w:sz w:val="20"/>
        </w:rPr>
        <w:t>/1</w:t>
      </w:r>
      <w:r w:rsidR="00412B51">
        <w:rPr>
          <w:b/>
          <w:sz w:val="20"/>
        </w:rPr>
        <w:t>9</w:t>
      </w:r>
      <w:r w:rsidRPr="00023C71">
        <w:rPr>
          <w:b/>
          <w:sz w:val="20"/>
        </w:rPr>
        <w:t xml:space="preserve"> (%)</w:t>
      </w:r>
      <w:bookmarkEnd w:id="369"/>
      <w:bookmarkEnd w:id="371"/>
    </w:p>
    <w:tbl>
      <w:tblPr>
        <w:tblW w:w="9072" w:type="dxa"/>
        <w:tblLayout w:type="fixed"/>
        <w:tblCellMar>
          <w:left w:w="70" w:type="dxa"/>
          <w:right w:w="70" w:type="dxa"/>
        </w:tblCellMar>
        <w:tblLook w:val="04A0" w:firstRow="1" w:lastRow="0" w:firstColumn="1" w:lastColumn="0" w:noHBand="0" w:noVBand="1"/>
      </w:tblPr>
      <w:tblGrid>
        <w:gridCol w:w="2552"/>
        <w:gridCol w:w="2173"/>
        <w:gridCol w:w="2173"/>
        <w:gridCol w:w="2174"/>
      </w:tblGrid>
      <w:tr w:rsidR="00695590" w:rsidRPr="00DC431D" w14:paraId="13414D36" w14:textId="77777777" w:rsidTr="00C04AAA">
        <w:trPr>
          <w:trHeight w:val="300"/>
        </w:trPr>
        <w:tc>
          <w:tcPr>
            <w:tcW w:w="2552" w:type="dxa"/>
            <w:tcBorders>
              <w:top w:val="single" w:sz="4" w:space="0" w:color="auto"/>
              <w:left w:val="nil"/>
              <w:bottom w:val="single" w:sz="4" w:space="0" w:color="auto"/>
              <w:right w:val="nil"/>
            </w:tcBorders>
            <w:shd w:val="clear" w:color="000000" w:fill="FFFFFF"/>
            <w:noWrap/>
            <w:vAlign w:val="bottom"/>
            <w:hideMark/>
          </w:tcPr>
          <w:p w14:paraId="76AFBDC3" w14:textId="77777777" w:rsidR="00695590" w:rsidRPr="00B12905" w:rsidRDefault="00695590" w:rsidP="00C04AAA">
            <w:pPr>
              <w:spacing w:after="0" w:line="240" w:lineRule="auto"/>
              <w:jc w:val="center"/>
              <w:rPr>
                <w:rFonts w:eastAsia="Times New Roman" w:cs="Times New Roman"/>
                <w:sz w:val="20"/>
                <w:lang w:eastAsia="sk-SK"/>
              </w:rPr>
            </w:pPr>
          </w:p>
        </w:tc>
        <w:tc>
          <w:tcPr>
            <w:tcW w:w="2173" w:type="dxa"/>
            <w:tcBorders>
              <w:top w:val="single" w:sz="4" w:space="0" w:color="auto"/>
              <w:left w:val="nil"/>
              <w:bottom w:val="single" w:sz="4" w:space="0" w:color="auto"/>
              <w:right w:val="nil"/>
            </w:tcBorders>
            <w:shd w:val="clear" w:color="000000" w:fill="FFFFFF"/>
            <w:noWrap/>
            <w:vAlign w:val="bottom"/>
            <w:hideMark/>
          </w:tcPr>
          <w:p w14:paraId="4F0FE1D1" w14:textId="77777777" w:rsidR="00695590" w:rsidRPr="00B12905" w:rsidRDefault="00695590" w:rsidP="00B12905">
            <w:pPr>
              <w:spacing w:after="0" w:line="240" w:lineRule="auto"/>
              <w:jc w:val="right"/>
              <w:rPr>
                <w:rFonts w:eastAsia="Times New Roman" w:cs="Times New Roman"/>
                <w:b/>
                <w:bCs/>
                <w:sz w:val="20"/>
                <w:lang w:eastAsia="sk-SK"/>
              </w:rPr>
            </w:pPr>
            <w:r w:rsidRPr="00B12905">
              <w:rPr>
                <w:rFonts w:eastAsia="Times New Roman" w:cs="Times New Roman"/>
                <w:b/>
                <w:bCs/>
                <w:sz w:val="20"/>
                <w:lang w:eastAsia="sk-SK"/>
              </w:rPr>
              <w:t>MRK</w:t>
            </w:r>
          </w:p>
        </w:tc>
        <w:tc>
          <w:tcPr>
            <w:tcW w:w="2173" w:type="dxa"/>
            <w:tcBorders>
              <w:top w:val="single" w:sz="4" w:space="0" w:color="auto"/>
              <w:left w:val="nil"/>
              <w:bottom w:val="single" w:sz="4" w:space="0" w:color="auto"/>
              <w:right w:val="nil"/>
            </w:tcBorders>
            <w:shd w:val="clear" w:color="000000" w:fill="FFFFFF"/>
            <w:noWrap/>
            <w:vAlign w:val="bottom"/>
            <w:hideMark/>
          </w:tcPr>
          <w:p w14:paraId="2F56F20F" w14:textId="77777777" w:rsidR="00695590" w:rsidRPr="00B12905" w:rsidRDefault="00695590" w:rsidP="00B12905">
            <w:pPr>
              <w:spacing w:after="0" w:line="240" w:lineRule="auto"/>
              <w:jc w:val="right"/>
              <w:rPr>
                <w:rFonts w:eastAsia="Times New Roman" w:cs="Times New Roman"/>
                <w:b/>
                <w:bCs/>
                <w:sz w:val="20"/>
                <w:lang w:eastAsia="sk-SK"/>
              </w:rPr>
            </w:pPr>
            <w:r w:rsidRPr="00B12905">
              <w:rPr>
                <w:rFonts w:eastAsia="Times New Roman" w:cs="Times New Roman"/>
                <w:b/>
                <w:bCs/>
                <w:sz w:val="20"/>
                <w:lang w:eastAsia="sk-SK"/>
              </w:rPr>
              <w:t>mimo MRK</w:t>
            </w:r>
          </w:p>
        </w:tc>
        <w:tc>
          <w:tcPr>
            <w:tcW w:w="2174" w:type="dxa"/>
            <w:tcBorders>
              <w:top w:val="single" w:sz="4" w:space="0" w:color="auto"/>
              <w:left w:val="nil"/>
              <w:bottom w:val="single" w:sz="4" w:space="0" w:color="auto"/>
              <w:right w:val="nil"/>
            </w:tcBorders>
            <w:shd w:val="clear" w:color="000000" w:fill="FFFFFF"/>
            <w:noWrap/>
            <w:vAlign w:val="bottom"/>
            <w:hideMark/>
          </w:tcPr>
          <w:p w14:paraId="3590E8D7" w14:textId="77777777" w:rsidR="00695590" w:rsidRPr="00B12905" w:rsidRDefault="00695590" w:rsidP="00B12905">
            <w:pPr>
              <w:spacing w:after="0" w:line="240" w:lineRule="auto"/>
              <w:jc w:val="right"/>
              <w:rPr>
                <w:rFonts w:eastAsia="Times New Roman" w:cs="Times New Roman"/>
                <w:b/>
                <w:bCs/>
                <w:sz w:val="20"/>
                <w:lang w:eastAsia="sk-SK"/>
              </w:rPr>
            </w:pPr>
            <w:r w:rsidRPr="00B12905">
              <w:rPr>
                <w:rFonts w:eastAsia="Times New Roman" w:cs="Times New Roman"/>
                <w:b/>
                <w:bCs/>
                <w:sz w:val="20"/>
                <w:lang w:eastAsia="sk-SK"/>
              </w:rPr>
              <w:t>Celkom</w:t>
            </w:r>
          </w:p>
        </w:tc>
      </w:tr>
      <w:tr w:rsidR="00387CB1" w:rsidRPr="00DC431D" w14:paraId="2F7D83F3" w14:textId="77777777" w:rsidTr="00C04AAA">
        <w:trPr>
          <w:trHeight w:val="300"/>
        </w:trPr>
        <w:tc>
          <w:tcPr>
            <w:tcW w:w="2552" w:type="dxa"/>
            <w:tcBorders>
              <w:top w:val="nil"/>
              <w:left w:val="nil"/>
              <w:bottom w:val="nil"/>
              <w:right w:val="nil"/>
            </w:tcBorders>
            <w:shd w:val="clear" w:color="000000" w:fill="FFFFFF"/>
            <w:noWrap/>
            <w:vAlign w:val="bottom"/>
            <w:hideMark/>
          </w:tcPr>
          <w:p w14:paraId="4B3BC092" w14:textId="77777777" w:rsidR="00387CB1" w:rsidRPr="00B12905" w:rsidRDefault="00387CB1" w:rsidP="00387CB1">
            <w:pPr>
              <w:spacing w:after="0" w:line="240" w:lineRule="auto"/>
              <w:jc w:val="left"/>
              <w:rPr>
                <w:rFonts w:eastAsia="Times New Roman" w:cs="Times New Roman"/>
                <w:b/>
                <w:bCs/>
                <w:sz w:val="20"/>
                <w:lang w:eastAsia="sk-SK"/>
              </w:rPr>
            </w:pPr>
            <w:r w:rsidRPr="00B12905">
              <w:rPr>
                <w:rFonts w:eastAsia="Times New Roman" w:cs="Times New Roman"/>
                <w:b/>
                <w:bCs/>
                <w:sz w:val="20"/>
                <w:lang w:eastAsia="sk-SK"/>
              </w:rPr>
              <w:t>PHN</w:t>
            </w:r>
          </w:p>
        </w:tc>
        <w:tc>
          <w:tcPr>
            <w:tcW w:w="2173" w:type="dxa"/>
            <w:tcBorders>
              <w:top w:val="nil"/>
              <w:left w:val="nil"/>
              <w:bottom w:val="nil"/>
              <w:right w:val="nil"/>
            </w:tcBorders>
            <w:shd w:val="clear" w:color="000000" w:fill="FFFFFF"/>
            <w:noWrap/>
            <w:vAlign w:val="bottom"/>
            <w:hideMark/>
          </w:tcPr>
          <w:p w14:paraId="4E578478" w14:textId="02EA1ECE" w:rsidR="00387CB1" w:rsidRPr="00387CB1" w:rsidRDefault="00387CB1" w:rsidP="00387CB1">
            <w:pPr>
              <w:spacing w:after="0" w:line="240" w:lineRule="auto"/>
              <w:jc w:val="right"/>
              <w:rPr>
                <w:rFonts w:eastAsia="Times New Roman" w:cs="Times New Roman"/>
                <w:sz w:val="20"/>
                <w:lang w:eastAsia="sk-SK"/>
              </w:rPr>
            </w:pPr>
            <w:r w:rsidRPr="00D41517">
              <w:rPr>
                <w:color w:val="000000"/>
                <w:sz w:val="20"/>
              </w:rPr>
              <w:t>56,3</w:t>
            </w:r>
          </w:p>
        </w:tc>
        <w:tc>
          <w:tcPr>
            <w:tcW w:w="2173" w:type="dxa"/>
            <w:tcBorders>
              <w:top w:val="nil"/>
              <w:left w:val="nil"/>
              <w:bottom w:val="nil"/>
              <w:right w:val="nil"/>
            </w:tcBorders>
            <w:shd w:val="clear" w:color="000000" w:fill="FFFFFF"/>
            <w:noWrap/>
            <w:vAlign w:val="bottom"/>
            <w:hideMark/>
          </w:tcPr>
          <w:p w14:paraId="0E81CADC" w14:textId="6AAC7A68" w:rsidR="00387CB1" w:rsidRPr="00387CB1" w:rsidRDefault="00387CB1" w:rsidP="00387CB1">
            <w:pPr>
              <w:spacing w:after="0" w:line="240" w:lineRule="auto"/>
              <w:jc w:val="right"/>
              <w:rPr>
                <w:rFonts w:eastAsia="Times New Roman" w:cs="Times New Roman"/>
                <w:sz w:val="20"/>
                <w:lang w:eastAsia="sk-SK"/>
              </w:rPr>
            </w:pPr>
            <w:r w:rsidRPr="00D41517">
              <w:rPr>
                <w:color w:val="000000"/>
                <w:sz w:val="20"/>
              </w:rPr>
              <w:t>70,2</w:t>
            </w:r>
          </w:p>
        </w:tc>
        <w:tc>
          <w:tcPr>
            <w:tcW w:w="2174" w:type="dxa"/>
            <w:tcBorders>
              <w:top w:val="nil"/>
              <w:left w:val="nil"/>
              <w:bottom w:val="nil"/>
              <w:right w:val="nil"/>
            </w:tcBorders>
            <w:shd w:val="clear" w:color="000000" w:fill="FFFFFF"/>
            <w:noWrap/>
            <w:vAlign w:val="bottom"/>
            <w:hideMark/>
          </w:tcPr>
          <w:p w14:paraId="2450168A" w14:textId="75E0E31D" w:rsidR="00387CB1" w:rsidRPr="00387CB1" w:rsidRDefault="00387CB1" w:rsidP="00387CB1">
            <w:pPr>
              <w:spacing w:after="0" w:line="240" w:lineRule="auto"/>
              <w:jc w:val="right"/>
              <w:rPr>
                <w:rFonts w:eastAsia="Times New Roman" w:cs="Times New Roman"/>
                <w:sz w:val="20"/>
                <w:lang w:eastAsia="sk-SK"/>
              </w:rPr>
            </w:pPr>
            <w:r w:rsidRPr="00D41517">
              <w:rPr>
                <w:color w:val="000000"/>
                <w:sz w:val="20"/>
              </w:rPr>
              <w:t>62,2</w:t>
            </w:r>
          </w:p>
        </w:tc>
      </w:tr>
      <w:tr w:rsidR="00387CB1" w:rsidRPr="00DC431D" w14:paraId="04F87DB5" w14:textId="77777777" w:rsidTr="00C04AAA">
        <w:trPr>
          <w:trHeight w:val="300"/>
        </w:trPr>
        <w:tc>
          <w:tcPr>
            <w:tcW w:w="2552" w:type="dxa"/>
            <w:tcBorders>
              <w:top w:val="nil"/>
              <w:left w:val="nil"/>
              <w:bottom w:val="nil"/>
              <w:right w:val="nil"/>
            </w:tcBorders>
            <w:shd w:val="clear" w:color="000000" w:fill="FFFFFF"/>
            <w:noWrap/>
            <w:vAlign w:val="bottom"/>
            <w:hideMark/>
          </w:tcPr>
          <w:p w14:paraId="7D3BD69E" w14:textId="77777777" w:rsidR="00387CB1" w:rsidRPr="00B12905" w:rsidRDefault="00387CB1" w:rsidP="00387CB1">
            <w:pPr>
              <w:spacing w:after="0" w:line="240" w:lineRule="auto"/>
              <w:jc w:val="left"/>
              <w:rPr>
                <w:rFonts w:eastAsia="Times New Roman" w:cs="Times New Roman"/>
                <w:b/>
                <w:bCs/>
                <w:sz w:val="20"/>
                <w:lang w:eastAsia="sk-SK"/>
              </w:rPr>
            </w:pPr>
            <w:r w:rsidRPr="00B12905">
              <w:rPr>
                <w:rFonts w:eastAsia="Times New Roman" w:cs="Times New Roman"/>
                <w:b/>
                <w:bCs/>
                <w:sz w:val="20"/>
                <w:lang w:eastAsia="sk-SK"/>
              </w:rPr>
              <w:t>mimo PHN</w:t>
            </w:r>
          </w:p>
        </w:tc>
        <w:tc>
          <w:tcPr>
            <w:tcW w:w="2173" w:type="dxa"/>
            <w:tcBorders>
              <w:top w:val="nil"/>
              <w:left w:val="nil"/>
              <w:bottom w:val="nil"/>
              <w:right w:val="nil"/>
            </w:tcBorders>
            <w:shd w:val="clear" w:color="000000" w:fill="FFFFFF"/>
            <w:noWrap/>
            <w:vAlign w:val="bottom"/>
            <w:hideMark/>
          </w:tcPr>
          <w:p w14:paraId="7BA56754" w14:textId="4F75BFA1" w:rsidR="00387CB1" w:rsidRPr="00387CB1" w:rsidRDefault="00387CB1" w:rsidP="00387CB1">
            <w:pPr>
              <w:spacing w:after="0" w:line="240" w:lineRule="auto"/>
              <w:jc w:val="right"/>
              <w:rPr>
                <w:rFonts w:eastAsia="Times New Roman" w:cs="Times New Roman"/>
                <w:sz w:val="20"/>
                <w:lang w:eastAsia="sk-SK"/>
              </w:rPr>
            </w:pPr>
            <w:r w:rsidRPr="00D41517">
              <w:rPr>
                <w:color w:val="000000"/>
                <w:sz w:val="20"/>
              </w:rPr>
              <w:t>47,0</w:t>
            </w:r>
          </w:p>
        </w:tc>
        <w:tc>
          <w:tcPr>
            <w:tcW w:w="2173" w:type="dxa"/>
            <w:tcBorders>
              <w:top w:val="nil"/>
              <w:left w:val="nil"/>
              <w:bottom w:val="nil"/>
              <w:right w:val="nil"/>
            </w:tcBorders>
            <w:shd w:val="clear" w:color="000000" w:fill="FFFFFF"/>
            <w:noWrap/>
            <w:vAlign w:val="bottom"/>
            <w:hideMark/>
          </w:tcPr>
          <w:p w14:paraId="1379EC24" w14:textId="73455322" w:rsidR="00387CB1" w:rsidRPr="00387CB1" w:rsidRDefault="00387CB1" w:rsidP="00387CB1">
            <w:pPr>
              <w:spacing w:after="0" w:line="240" w:lineRule="auto"/>
              <w:jc w:val="right"/>
              <w:rPr>
                <w:rFonts w:eastAsia="Times New Roman" w:cs="Times New Roman"/>
                <w:sz w:val="20"/>
                <w:lang w:eastAsia="sk-SK"/>
              </w:rPr>
            </w:pPr>
            <w:r w:rsidRPr="00D41517">
              <w:rPr>
                <w:color w:val="000000"/>
                <w:sz w:val="20"/>
              </w:rPr>
              <w:t>78,8</w:t>
            </w:r>
          </w:p>
        </w:tc>
        <w:tc>
          <w:tcPr>
            <w:tcW w:w="2174" w:type="dxa"/>
            <w:tcBorders>
              <w:top w:val="nil"/>
              <w:left w:val="nil"/>
              <w:bottom w:val="nil"/>
              <w:right w:val="nil"/>
            </w:tcBorders>
            <w:shd w:val="clear" w:color="000000" w:fill="FFFFFF"/>
            <w:noWrap/>
            <w:vAlign w:val="bottom"/>
            <w:hideMark/>
          </w:tcPr>
          <w:p w14:paraId="4764E6D6" w14:textId="459342C7" w:rsidR="00387CB1" w:rsidRPr="00387CB1" w:rsidRDefault="00387CB1" w:rsidP="00387CB1">
            <w:pPr>
              <w:spacing w:after="0" w:line="240" w:lineRule="auto"/>
              <w:jc w:val="right"/>
              <w:rPr>
                <w:rFonts w:eastAsia="Times New Roman" w:cs="Times New Roman"/>
                <w:sz w:val="20"/>
                <w:lang w:eastAsia="sk-SK"/>
              </w:rPr>
            </w:pPr>
            <w:r w:rsidRPr="00D41517">
              <w:rPr>
                <w:color w:val="000000"/>
                <w:sz w:val="20"/>
              </w:rPr>
              <w:t>76,6</w:t>
            </w:r>
          </w:p>
        </w:tc>
      </w:tr>
      <w:tr w:rsidR="00387CB1" w:rsidRPr="00DC431D" w14:paraId="76EF2FBE" w14:textId="77777777" w:rsidTr="00C04AAA">
        <w:trPr>
          <w:trHeight w:val="300"/>
        </w:trPr>
        <w:tc>
          <w:tcPr>
            <w:tcW w:w="2552" w:type="dxa"/>
            <w:tcBorders>
              <w:top w:val="nil"/>
              <w:left w:val="nil"/>
              <w:bottom w:val="single" w:sz="4" w:space="0" w:color="auto"/>
              <w:right w:val="nil"/>
            </w:tcBorders>
            <w:shd w:val="clear" w:color="000000" w:fill="FFFFFF"/>
            <w:noWrap/>
            <w:vAlign w:val="bottom"/>
            <w:hideMark/>
          </w:tcPr>
          <w:p w14:paraId="4BFB33B0" w14:textId="77777777" w:rsidR="00387CB1" w:rsidRPr="00B12905" w:rsidRDefault="00387CB1" w:rsidP="00387CB1">
            <w:pPr>
              <w:spacing w:after="0" w:line="240" w:lineRule="auto"/>
              <w:jc w:val="left"/>
              <w:rPr>
                <w:rFonts w:eastAsia="Times New Roman" w:cs="Times New Roman"/>
                <w:b/>
                <w:bCs/>
                <w:sz w:val="20"/>
                <w:lang w:eastAsia="sk-SK"/>
              </w:rPr>
            </w:pPr>
            <w:r w:rsidRPr="00B12905">
              <w:rPr>
                <w:rFonts w:eastAsia="Times New Roman" w:cs="Times New Roman"/>
                <w:b/>
                <w:bCs/>
                <w:sz w:val="20"/>
                <w:lang w:eastAsia="sk-SK"/>
              </w:rPr>
              <w:t>Celkom</w:t>
            </w:r>
          </w:p>
        </w:tc>
        <w:tc>
          <w:tcPr>
            <w:tcW w:w="2173" w:type="dxa"/>
            <w:tcBorders>
              <w:top w:val="nil"/>
              <w:left w:val="nil"/>
              <w:bottom w:val="single" w:sz="4" w:space="0" w:color="auto"/>
              <w:right w:val="nil"/>
            </w:tcBorders>
            <w:shd w:val="clear" w:color="000000" w:fill="FFFFFF"/>
            <w:noWrap/>
            <w:vAlign w:val="bottom"/>
            <w:hideMark/>
          </w:tcPr>
          <w:p w14:paraId="7EFAC3D8" w14:textId="3D7596D9" w:rsidR="00387CB1" w:rsidRPr="00387CB1" w:rsidRDefault="00387CB1" w:rsidP="00387CB1">
            <w:pPr>
              <w:spacing w:after="0" w:line="240" w:lineRule="auto"/>
              <w:jc w:val="right"/>
              <w:rPr>
                <w:rFonts w:eastAsia="Times New Roman" w:cs="Times New Roman"/>
                <w:sz w:val="20"/>
                <w:lang w:eastAsia="sk-SK"/>
              </w:rPr>
            </w:pPr>
            <w:r w:rsidRPr="00D41517">
              <w:rPr>
                <w:color w:val="000000"/>
                <w:sz w:val="20"/>
              </w:rPr>
              <w:t>51,2</w:t>
            </w:r>
          </w:p>
        </w:tc>
        <w:tc>
          <w:tcPr>
            <w:tcW w:w="2173" w:type="dxa"/>
            <w:tcBorders>
              <w:top w:val="nil"/>
              <w:left w:val="nil"/>
              <w:bottom w:val="single" w:sz="4" w:space="0" w:color="auto"/>
              <w:right w:val="nil"/>
            </w:tcBorders>
            <w:shd w:val="clear" w:color="000000" w:fill="FFFFFF"/>
            <w:noWrap/>
            <w:vAlign w:val="bottom"/>
            <w:hideMark/>
          </w:tcPr>
          <w:p w14:paraId="75383EA9" w14:textId="6328D267" w:rsidR="00387CB1" w:rsidRPr="00387CB1" w:rsidRDefault="00387CB1" w:rsidP="00387CB1">
            <w:pPr>
              <w:spacing w:after="0" w:line="240" w:lineRule="auto"/>
              <w:jc w:val="right"/>
              <w:rPr>
                <w:rFonts w:eastAsia="Times New Roman" w:cs="Times New Roman"/>
                <w:sz w:val="20"/>
                <w:lang w:eastAsia="sk-SK"/>
              </w:rPr>
            </w:pPr>
            <w:r w:rsidRPr="00D41517">
              <w:rPr>
                <w:color w:val="000000"/>
                <w:sz w:val="20"/>
              </w:rPr>
              <w:t>78,4</w:t>
            </w:r>
          </w:p>
        </w:tc>
        <w:tc>
          <w:tcPr>
            <w:tcW w:w="2174" w:type="dxa"/>
            <w:tcBorders>
              <w:top w:val="nil"/>
              <w:left w:val="nil"/>
              <w:bottom w:val="single" w:sz="4" w:space="0" w:color="auto"/>
              <w:right w:val="nil"/>
            </w:tcBorders>
            <w:shd w:val="clear" w:color="000000" w:fill="FFFFFF"/>
            <w:noWrap/>
            <w:vAlign w:val="bottom"/>
            <w:hideMark/>
          </w:tcPr>
          <w:p w14:paraId="09C8C9B7" w14:textId="301CB5E0" w:rsidR="00387CB1" w:rsidRPr="00387CB1" w:rsidRDefault="00387CB1" w:rsidP="00387CB1">
            <w:pPr>
              <w:spacing w:after="0" w:line="240" w:lineRule="auto"/>
              <w:jc w:val="right"/>
              <w:rPr>
                <w:rFonts w:eastAsia="Times New Roman" w:cs="Times New Roman"/>
                <w:sz w:val="20"/>
                <w:lang w:eastAsia="sk-SK"/>
              </w:rPr>
            </w:pPr>
            <w:r w:rsidRPr="00D41517">
              <w:rPr>
                <w:color w:val="000000"/>
                <w:sz w:val="20"/>
              </w:rPr>
              <w:t>75,3</w:t>
            </w:r>
          </w:p>
        </w:tc>
      </w:tr>
      <w:tr w:rsidR="00695590" w:rsidRPr="00DC431D" w14:paraId="4A9A3953" w14:textId="77777777" w:rsidTr="00C04AAA">
        <w:trPr>
          <w:trHeight w:val="104"/>
        </w:trPr>
        <w:tc>
          <w:tcPr>
            <w:tcW w:w="9072" w:type="dxa"/>
            <w:gridSpan w:val="4"/>
            <w:tcBorders>
              <w:top w:val="single" w:sz="4" w:space="0" w:color="auto"/>
              <w:left w:val="nil"/>
              <w:bottom w:val="nil"/>
              <w:right w:val="nil"/>
            </w:tcBorders>
            <w:shd w:val="clear" w:color="auto" w:fill="auto"/>
            <w:vAlign w:val="bottom"/>
            <w:hideMark/>
          </w:tcPr>
          <w:p w14:paraId="51078A0D" w14:textId="77777777" w:rsidR="00695590" w:rsidRPr="00DC431D" w:rsidRDefault="00695590" w:rsidP="00C04AAA">
            <w:pPr>
              <w:spacing w:after="0" w:line="240" w:lineRule="auto"/>
              <w:jc w:val="right"/>
              <w:rPr>
                <w:i/>
                <w:noProof/>
                <w:sz w:val="16"/>
                <w:szCs w:val="16"/>
              </w:rPr>
            </w:pPr>
            <w:r w:rsidRPr="00DC431D">
              <w:rPr>
                <w:rFonts w:eastAsia="Times New Roman" w:cs="Times New Roman"/>
                <w:i/>
                <w:iCs/>
                <w:sz w:val="16"/>
                <w:szCs w:val="16"/>
                <w:lang w:eastAsia="sk-SK"/>
              </w:rPr>
              <w:t xml:space="preserve">Zdroj: ÚHP na základe údajov </w:t>
            </w:r>
            <w:r w:rsidRPr="00DC431D">
              <w:rPr>
                <w:i/>
                <w:noProof/>
                <w:sz w:val="16"/>
                <w:szCs w:val="16"/>
              </w:rPr>
              <w:t>RIS MŠVVŠ, ÚPSVR, MV, ARK</w:t>
            </w:r>
          </w:p>
          <w:p w14:paraId="294802A5" w14:textId="775C901D" w:rsidR="00695590" w:rsidRPr="00DC431D" w:rsidRDefault="002A676F" w:rsidP="002A676F">
            <w:pPr>
              <w:spacing w:after="0" w:line="240" w:lineRule="auto"/>
              <w:jc w:val="left"/>
              <w:rPr>
                <w:rFonts w:eastAsia="Times New Roman" w:cs="Times New Roman"/>
                <w:i/>
                <w:iCs/>
                <w:sz w:val="16"/>
                <w:szCs w:val="16"/>
                <w:lang w:eastAsia="sk-SK"/>
              </w:rPr>
            </w:pPr>
            <w:r>
              <w:rPr>
                <w:i/>
                <w:noProof/>
                <w:sz w:val="16"/>
                <w:szCs w:val="16"/>
              </w:rPr>
              <w:t xml:space="preserve">Poznámka: </w:t>
            </w:r>
            <w:r w:rsidRPr="002A676F">
              <w:rPr>
                <w:i/>
                <w:noProof/>
                <w:sz w:val="18"/>
                <w:szCs w:val="18"/>
              </w:rPr>
              <w:fldChar w:fldCharType="begin"/>
            </w:r>
            <w:r w:rsidRPr="002A676F">
              <w:rPr>
                <w:rFonts w:eastAsia="Times New Roman" w:cs="Times New Roman"/>
                <w:i/>
                <w:iCs/>
                <w:color w:val="000000"/>
                <w:sz w:val="18"/>
                <w:szCs w:val="18"/>
              </w:rPr>
              <w:instrText xml:space="preserve"> REF _Ref33439692 \h </w:instrText>
            </w:r>
            <w:r w:rsidRPr="002A676F">
              <w:rPr>
                <w:i/>
                <w:noProof/>
                <w:sz w:val="18"/>
                <w:szCs w:val="18"/>
              </w:rPr>
              <w:instrText xml:space="preserve"> \* MERGEFORMAT </w:instrText>
            </w:r>
            <w:r w:rsidRPr="002A676F">
              <w:rPr>
                <w:i/>
                <w:noProof/>
                <w:sz w:val="18"/>
                <w:szCs w:val="18"/>
              </w:rPr>
            </w:r>
            <w:r w:rsidRPr="002A676F">
              <w:rPr>
                <w:i/>
                <w:noProof/>
                <w:sz w:val="18"/>
                <w:szCs w:val="18"/>
              </w:rPr>
              <w:fldChar w:fldCharType="separate"/>
            </w:r>
            <w:r w:rsidR="00FA29AF" w:rsidRPr="00FA29AF">
              <w:rPr>
                <w:i/>
                <w:sz w:val="18"/>
                <w:szCs w:val="18"/>
              </w:rPr>
              <w:t xml:space="preserve">Box </w:t>
            </w:r>
            <w:r w:rsidR="00FA29AF" w:rsidRPr="00FA29AF">
              <w:rPr>
                <w:i/>
                <w:noProof/>
                <w:sz w:val="18"/>
                <w:szCs w:val="18"/>
              </w:rPr>
              <w:t>3</w:t>
            </w:r>
            <w:r w:rsidRPr="002A676F">
              <w:rPr>
                <w:i/>
                <w:noProof/>
                <w:sz w:val="18"/>
                <w:szCs w:val="18"/>
              </w:rPr>
              <w:fldChar w:fldCharType="end"/>
            </w:r>
            <w:r w:rsidRPr="002A676F">
              <w:rPr>
                <w:i/>
                <w:noProof/>
                <w:sz w:val="18"/>
                <w:szCs w:val="18"/>
              </w:rPr>
              <w:t xml:space="preserve"> </w:t>
            </w:r>
            <w:r w:rsidR="00695590" w:rsidRPr="00DC431D">
              <w:rPr>
                <w:i/>
                <w:noProof/>
                <w:sz w:val="16"/>
                <w:szCs w:val="16"/>
              </w:rPr>
              <w:t>pre definíciu MRK a PHN.</w:t>
            </w:r>
          </w:p>
        </w:tc>
      </w:tr>
    </w:tbl>
    <w:p w14:paraId="7BA22ED3" w14:textId="6381CED0" w:rsidR="00695590" w:rsidRPr="00DE667D" w:rsidRDefault="00695590" w:rsidP="00695590">
      <w:pPr>
        <w:spacing w:before="160"/>
        <w:rPr>
          <w:lang w:eastAsia="sk-SK"/>
        </w:rPr>
      </w:pPr>
      <w:r>
        <w:rPr>
          <w:b/>
        </w:rPr>
        <w:t>Obdobne ako v základnom vzdelávaní</w:t>
      </w:r>
      <w:r w:rsidR="00CA6CCB">
        <w:rPr>
          <w:b/>
        </w:rPr>
        <w:t>,</w:t>
      </w:r>
      <w:r>
        <w:rPr>
          <w:b/>
        </w:rPr>
        <w:t xml:space="preserve"> aj v stredoškolskom vzdelávaní sú ž</w:t>
      </w:r>
      <w:r w:rsidRPr="00E1051C">
        <w:rPr>
          <w:b/>
        </w:rPr>
        <w:t xml:space="preserve">iaci zo SZP vo vyššej miere zastúpení </w:t>
      </w:r>
      <w:r>
        <w:rPr>
          <w:b/>
        </w:rPr>
        <w:t xml:space="preserve">v špeciálnom prúde – </w:t>
      </w:r>
      <w:r w:rsidRPr="00E1051C">
        <w:rPr>
          <w:b/>
        </w:rPr>
        <w:t xml:space="preserve">na odborných učilištiach a praktických školách </w:t>
      </w:r>
      <w:r w:rsidR="00CA6CCB">
        <w:rPr>
          <w:b/>
        </w:rPr>
        <w:t>určených pre žiakov s mentálnym</w:t>
      </w:r>
      <w:r w:rsidRPr="00E1051C">
        <w:rPr>
          <w:b/>
        </w:rPr>
        <w:t xml:space="preserve"> postihnutím. </w:t>
      </w:r>
      <w:r w:rsidRPr="00E1051C">
        <w:t>Skoro tretina stredoškolákov mimo systému PHN a mimo MRK študuje na gymnáziu a iba 1 % na odbornom učilišti alebo praktickej škole (</w:t>
      </w:r>
      <w:r w:rsidR="00023C71" w:rsidRPr="00023C71">
        <w:rPr>
          <w:szCs w:val="22"/>
        </w:rPr>
        <w:fldChar w:fldCharType="begin"/>
      </w:r>
      <w:r w:rsidR="00023C71" w:rsidRPr="00023C71">
        <w:rPr>
          <w:szCs w:val="22"/>
        </w:rPr>
        <w:instrText xml:space="preserve"> REF _Ref529550492 \h </w:instrText>
      </w:r>
      <w:r w:rsidR="00023C71">
        <w:rPr>
          <w:szCs w:val="22"/>
        </w:rPr>
        <w:instrText xml:space="preserve"> \* MERGEFORMAT </w:instrText>
      </w:r>
      <w:r w:rsidR="00023C71" w:rsidRPr="00023C71">
        <w:rPr>
          <w:szCs w:val="22"/>
        </w:rPr>
      </w:r>
      <w:r w:rsidR="00023C71" w:rsidRPr="00023C71">
        <w:rPr>
          <w:szCs w:val="22"/>
        </w:rPr>
        <w:fldChar w:fldCharType="separate"/>
      </w:r>
      <w:r w:rsidR="00FA29AF" w:rsidRPr="00FA29AF">
        <w:rPr>
          <w:bCs/>
          <w:szCs w:val="22"/>
        </w:rPr>
        <w:t xml:space="preserve">Graf </w:t>
      </w:r>
      <w:r w:rsidR="00FA29AF" w:rsidRPr="00FA29AF">
        <w:rPr>
          <w:bCs/>
          <w:noProof/>
          <w:szCs w:val="22"/>
        </w:rPr>
        <w:t>20</w:t>
      </w:r>
      <w:r w:rsidR="00023C71" w:rsidRPr="00023C71">
        <w:rPr>
          <w:szCs w:val="22"/>
        </w:rPr>
        <w:fldChar w:fldCharType="end"/>
      </w:r>
      <w:r w:rsidRPr="00E1051C">
        <w:t xml:space="preserve">). </w:t>
      </w:r>
      <w:r>
        <w:rPr>
          <w:lang w:eastAsia="sk-SK"/>
        </w:rPr>
        <w:t>V</w:t>
      </w:r>
      <w:r w:rsidRPr="00E1051C">
        <w:rPr>
          <w:lang w:eastAsia="sk-SK"/>
        </w:rPr>
        <w:t> skupine stredoškolákov z prostredia MRK</w:t>
      </w:r>
      <w:r>
        <w:rPr>
          <w:lang w:eastAsia="sk-SK"/>
        </w:rPr>
        <w:t xml:space="preserve"> a v systéme PHN je tento pomer obrátený:</w:t>
      </w:r>
      <w:r w:rsidRPr="00E1051C">
        <w:rPr>
          <w:lang w:eastAsia="sk-SK"/>
        </w:rPr>
        <w:t xml:space="preserve"> menej ako 1 % žiakov</w:t>
      </w:r>
      <w:r>
        <w:rPr>
          <w:lang w:eastAsia="sk-SK"/>
        </w:rPr>
        <w:t xml:space="preserve"> v</w:t>
      </w:r>
      <w:r w:rsidRPr="00AF2227">
        <w:rPr>
          <w:lang w:eastAsia="sk-SK"/>
        </w:rPr>
        <w:t xml:space="preserve"> </w:t>
      </w:r>
      <w:r w:rsidRPr="00E1051C">
        <w:rPr>
          <w:lang w:eastAsia="sk-SK"/>
        </w:rPr>
        <w:t>navštevuje gymnázium a</w:t>
      </w:r>
      <w:r>
        <w:rPr>
          <w:lang w:eastAsia="sk-SK"/>
        </w:rPr>
        <w:t> </w:t>
      </w:r>
      <w:r w:rsidR="00CA1524">
        <w:rPr>
          <w:lang w:eastAsia="sk-SK"/>
        </w:rPr>
        <w:t>20</w:t>
      </w:r>
      <w:r>
        <w:rPr>
          <w:lang w:eastAsia="sk-SK"/>
        </w:rPr>
        <w:t xml:space="preserve"> % navštevuje</w:t>
      </w:r>
      <w:r w:rsidRPr="00E1051C">
        <w:rPr>
          <w:lang w:eastAsia="sk-SK"/>
        </w:rPr>
        <w:t> odborné uč</w:t>
      </w:r>
      <w:r>
        <w:rPr>
          <w:lang w:eastAsia="sk-SK"/>
        </w:rPr>
        <w:t>ilištia a praktické školy.</w:t>
      </w:r>
    </w:p>
    <w:tbl>
      <w:tblPr>
        <w:tblW w:w="9072" w:type="dxa"/>
        <w:tblLayout w:type="fixed"/>
        <w:tblLook w:val="04E0" w:firstRow="1" w:lastRow="1" w:firstColumn="1" w:lastColumn="0" w:noHBand="0" w:noVBand="1"/>
      </w:tblPr>
      <w:tblGrid>
        <w:gridCol w:w="4111"/>
        <w:gridCol w:w="284"/>
        <w:gridCol w:w="4677"/>
      </w:tblGrid>
      <w:tr w:rsidR="00695590" w:rsidRPr="00C8768E" w14:paraId="7658B04F" w14:textId="77777777" w:rsidTr="00C17356">
        <w:tc>
          <w:tcPr>
            <w:tcW w:w="4111" w:type="dxa"/>
            <w:tcBorders>
              <w:bottom w:val="single" w:sz="4" w:space="0" w:color="auto"/>
            </w:tcBorders>
          </w:tcPr>
          <w:p w14:paraId="17EB58C1" w14:textId="04E66992" w:rsidR="00695590" w:rsidRPr="00C17356" w:rsidRDefault="00C8768E" w:rsidP="00C17356">
            <w:pPr>
              <w:spacing w:after="0" w:line="240" w:lineRule="auto"/>
              <w:rPr>
                <w:b/>
                <w:sz w:val="20"/>
              </w:rPr>
            </w:pPr>
            <w:bookmarkStart w:id="372" w:name="_Ref25231228"/>
            <w:bookmarkStart w:id="373" w:name="_Toc34157577"/>
            <w:r w:rsidRPr="00C17356">
              <w:rPr>
                <w:b/>
                <w:sz w:val="20"/>
              </w:rPr>
              <w:t xml:space="preserve">Graf </w:t>
            </w:r>
            <w:r w:rsidRPr="00C17356">
              <w:rPr>
                <w:b/>
                <w:sz w:val="20"/>
              </w:rPr>
              <w:fldChar w:fldCharType="begin"/>
            </w:r>
            <w:r w:rsidRPr="00C17356">
              <w:rPr>
                <w:b/>
                <w:sz w:val="20"/>
              </w:rPr>
              <w:instrText xml:space="preserve"> SEQ Graf \* ARABIC </w:instrText>
            </w:r>
            <w:r w:rsidRPr="00C17356">
              <w:rPr>
                <w:b/>
                <w:sz w:val="20"/>
              </w:rPr>
              <w:fldChar w:fldCharType="separate"/>
            </w:r>
            <w:r w:rsidR="00FA29AF">
              <w:rPr>
                <w:b/>
                <w:noProof/>
                <w:sz w:val="20"/>
              </w:rPr>
              <w:t>19</w:t>
            </w:r>
            <w:r w:rsidRPr="00C17356">
              <w:rPr>
                <w:b/>
                <w:sz w:val="20"/>
              </w:rPr>
              <w:fldChar w:fldCharType="end"/>
            </w:r>
            <w:bookmarkEnd w:id="372"/>
            <w:r w:rsidRPr="00C17356">
              <w:rPr>
                <w:b/>
                <w:iCs/>
                <w:sz w:val="20"/>
              </w:rPr>
              <w:t>: Podiel znevýhodnených skupín na všetkých žiakoch podľa ročníka SŠ v š.r. 201</w:t>
            </w:r>
            <w:r w:rsidR="00207C85" w:rsidRPr="00C17356">
              <w:rPr>
                <w:b/>
                <w:iCs/>
                <w:sz w:val="20"/>
              </w:rPr>
              <w:t>8</w:t>
            </w:r>
            <w:r w:rsidRPr="00C17356">
              <w:rPr>
                <w:b/>
                <w:iCs/>
                <w:sz w:val="20"/>
              </w:rPr>
              <w:t>/1</w:t>
            </w:r>
            <w:r w:rsidR="00207C85" w:rsidRPr="00C17356">
              <w:rPr>
                <w:b/>
                <w:iCs/>
                <w:sz w:val="20"/>
              </w:rPr>
              <w:t>9</w:t>
            </w:r>
            <w:r w:rsidRPr="00C17356">
              <w:rPr>
                <w:b/>
                <w:iCs/>
                <w:sz w:val="20"/>
              </w:rPr>
              <w:t xml:space="preserve"> (%)</w:t>
            </w:r>
            <w:bookmarkEnd w:id="373"/>
          </w:p>
        </w:tc>
        <w:tc>
          <w:tcPr>
            <w:tcW w:w="284" w:type="dxa"/>
            <w:tcBorders>
              <w:bottom w:val="nil"/>
            </w:tcBorders>
          </w:tcPr>
          <w:p w14:paraId="32325C1F" w14:textId="77777777" w:rsidR="00695590" w:rsidRDefault="00695590" w:rsidP="00C17356">
            <w:pPr>
              <w:spacing w:after="0" w:line="240" w:lineRule="auto"/>
              <w:rPr>
                <w:b/>
                <w:bCs/>
                <w:sz w:val="20"/>
              </w:rPr>
            </w:pPr>
          </w:p>
          <w:p w14:paraId="3AB8A095" w14:textId="77777777" w:rsidR="003116FA" w:rsidRPr="00C17356" w:rsidRDefault="003116FA" w:rsidP="00C17356">
            <w:pPr>
              <w:spacing w:after="0" w:line="240" w:lineRule="auto"/>
              <w:rPr>
                <w:b/>
                <w:bCs/>
                <w:sz w:val="20"/>
              </w:rPr>
            </w:pPr>
          </w:p>
        </w:tc>
        <w:tc>
          <w:tcPr>
            <w:tcW w:w="4677" w:type="dxa"/>
            <w:tcBorders>
              <w:bottom w:val="single" w:sz="4" w:space="0" w:color="auto"/>
            </w:tcBorders>
          </w:tcPr>
          <w:p w14:paraId="57F53E02" w14:textId="655D7FE1" w:rsidR="00695590" w:rsidRPr="00C17356" w:rsidRDefault="00C8768E" w:rsidP="00C17356">
            <w:pPr>
              <w:spacing w:after="0" w:line="240" w:lineRule="auto"/>
              <w:jc w:val="left"/>
              <w:rPr>
                <w:b/>
                <w:bCs/>
                <w:sz w:val="20"/>
              </w:rPr>
            </w:pPr>
            <w:bookmarkStart w:id="374" w:name="_Ref529550492"/>
            <w:bookmarkStart w:id="375" w:name="_Toc17469385"/>
            <w:bookmarkStart w:id="376" w:name="_Toc34157578"/>
            <w:r w:rsidRPr="00C17356">
              <w:rPr>
                <w:b/>
                <w:bCs/>
                <w:sz w:val="20"/>
              </w:rPr>
              <w:t xml:space="preserve">Graf </w:t>
            </w:r>
            <w:r w:rsidRPr="00C17356">
              <w:rPr>
                <w:b/>
                <w:bCs/>
                <w:sz w:val="20"/>
              </w:rPr>
              <w:fldChar w:fldCharType="begin"/>
            </w:r>
            <w:r w:rsidRPr="00C17356">
              <w:rPr>
                <w:b/>
                <w:bCs/>
                <w:sz w:val="20"/>
              </w:rPr>
              <w:instrText xml:space="preserve"> SEQ Graf \* ARABIC </w:instrText>
            </w:r>
            <w:r w:rsidRPr="00C17356">
              <w:rPr>
                <w:b/>
                <w:bCs/>
                <w:sz w:val="20"/>
              </w:rPr>
              <w:fldChar w:fldCharType="separate"/>
            </w:r>
            <w:r w:rsidR="00FA29AF">
              <w:rPr>
                <w:b/>
                <w:bCs/>
                <w:noProof/>
                <w:sz w:val="20"/>
              </w:rPr>
              <w:t>20</w:t>
            </w:r>
            <w:r w:rsidRPr="00C17356">
              <w:rPr>
                <w:b/>
                <w:bCs/>
                <w:sz w:val="20"/>
              </w:rPr>
              <w:fldChar w:fldCharType="end"/>
            </w:r>
            <w:bookmarkEnd w:id="374"/>
            <w:r w:rsidRPr="00C17356">
              <w:rPr>
                <w:b/>
                <w:bCs/>
                <w:iCs/>
                <w:sz w:val="20"/>
              </w:rPr>
              <w:t>: Rozdelenie stredoškolákov medzi druhmi škôl v š.r. 201</w:t>
            </w:r>
            <w:r w:rsidR="00694B34" w:rsidRPr="00C17356">
              <w:rPr>
                <w:b/>
                <w:bCs/>
                <w:iCs/>
                <w:sz w:val="20"/>
              </w:rPr>
              <w:t>8</w:t>
            </w:r>
            <w:r w:rsidRPr="00C17356">
              <w:rPr>
                <w:b/>
                <w:bCs/>
                <w:iCs/>
                <w:sz w:val="20"/>
              </w:rPr>
              <w:t>/1</w:t>
            </w:r>
            <w:r w:rsidR="00694B34" w:rsidRPr="00C17356">
              <w:rPr>
                <w:b/>
                <w:bCs/>
                <w:iCs/>
                <w:sz w:val="20"/>
              </w:rPr>
              <w:t>9</w:t>
            </w:r>
            <w:r w:rsidRPr="00C17356">
              <w:rPr>
                <w:b/>
                <w:bCs/>
                <w:iCs/>
                <w:sz w:val="20"/>
              </w:rPr>
              <w:t xml:space="preserve"> (%)</w:t>
            </w:r>
            <w:bookmarkEnd w:id="375"/>
            <w:bookmarkEnd w:id="376"/>
          </w:p>
        </w:tc>
      </w:tr>
      <w:tr w:rsidR="00695590" w:rsidRPr="00CA2564" w14:paraId="04143A22" w14:textId="77777777" w:rsidTr="00C17356">
        <w:tblPrEx>
          <w:tblCellMar>
            <w:left w:w="70" w:type="dxa"/>
            <w:right w:w="70" w:type="dxa"/>
          </w:tblCellMar>
        </w:tblPrEx>
        <w:tc>
          <w:tcPr>
            <w:tcW w:w="4111" w:type="dxa"/>
            <w:tcBorders>
              <w:top w:val="single" w:sz="4" w:space="0" w:color="auto"/>
              <w:bottom w:val="single" w:sz="4" w:space="0" w:color="auto"/>
            </w:tcBorders>
          </w:tcPr>
          <w:p w14:paraId="4370C1E2" w14:textId="0B606D8F" w:rsidR="00695590" w:rsidRPr="00CA2564" w:rsidRDefault="0070047D" w:rsidP="00C17356">
            <w:pPr>
              <w:spacing w:after="0" w:line="240" w:lineRule="auto"/>
              <w:rPr>
                <w:noProof/>
                <w:sz w:val="4"/>
                <w:szCs w:val="4"/>
              </w:rPr>
            </w:pPr>
            <w:r>
              <w:rPr>
                <w:noProof/>
                <w:sz w:val="4"/>
                <w:szCs w:val="4"/>
              </w:rPr>
              <w:t xml:space="preserve"> </w:t>
            </w:r>
          </w:p>
          <w:p w14:paraId="57CAC641" w14:textId="4EFFD10D" w:rsidR="00695590" w:rsidRPr="00CA2564" w:rsidRDefault="00207C85" w:rsidP="00C17356">
            <w:pPr>
              <w:spacing w:after="0" w:line="240" w:lineRule="auto"/>
              <w:rPr>
                <w:noProof/>
                <w:sz w:val="4"/>
                <w:szCs w:val="4"/>
              </w:rPr>
            </w:pPr>
            <w:r>
              <w:rPr>
                <w:noProof/>
                <w:lang w:eastAsia="sk-SK"/>
              </w:rPr>
              <w:drawing>
                <wp:inline distT="0" distB="0" distL="0" distR="0" wp14:anchorId="730F9912" wp14:editId="67C69285">
                  <wp:extent cx="2521585" cy="2390775"/>
                  <wp:effectExtent l="0" t="0" r="0" b="0"/>
                  <wp:docPr id="323" name="Graf 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9248C93" w14:textId="77777777" w:rsidR="00695590" w:rsidRPr="00CA2564" w:rsidRDefault="00695590" w:rsidP="00C17356">
            <w:pPr>
              <w:spacing w:after="0" w:line="240" w:lineRule="auto"/>
              <w:rPr>
                <w:sz w:val="4"/>
                <w:szCs w:val="4"/>
              </w:rPr>
            </w:pPr>
          </w:p>
        </w:tc>
        <w:tc>
          <w:tcPr>
            <w:tcW w:w="284" w:type="dxa"/>
            <w:tcBorders>
              <w:top w:val="nil"/>
              <w:bottom w:val="nil"/>
            </w:tcBorders>
          </w:tcPr>
          <w:p w14:paraId="2A319887" w14:textId="77777777" w:rsidR="00695590" w:rsidRPr="00CA2564" w:rsidRDefault="00695590" w:rsidP="00C17356">
            <w:pPr>
              <w:spacing w:after="0" w:line="240" w:lineRule="auto"/>
              <w:rPr>
                <w:noProof/>
                <w:sz w:val="4"/>
                <w:szCs w:val="4"/>
              </w:rPr>
            </w:pPr>
          </w:p>
        </w:tc>
        <w:tc>
          <w:tcPr>
            <w:tcW w:w="4677" w:type="dxa"/>
            <w:tcBorders>
              <w:top w:val="single" w:sz="4" w:space="0" w:color="auto"/>
              <w:bottom w:val="single" w:sz="4" w:space="0" w:color="auto"/>
            </w:tcBorders>
          </w:tcPr>
          <w:p w14:paraId="70EDFF1E" w14:textId="77777777" w:rsidR="00A852B0" w:rsidRDefault="00A852B0" w:rsidP="00C17356">
            <w:pPr>
              <w:spacing w:after="0" w:line="240" w:lineRule="auto"/>
              <w:rPr>
                <w:sz w:val="4"/>
                <w:szCs w:val="4"/>
              </w:rPr>
            </w:pPr>
          </w:p>
          <w:p w14:paraId="756112D0" w14:textId="3DF57700" w:rsidR="00A852B0" w:rsidRDefault="00A852B0" w:rsidP="00C17356">
            <w:pPr>
              <w:spacing w:after="0" w:line="240" w:lineRule="auto"/>
              <w:rPr>
                <w:sz w:val="4"/>
                <w:szCs w:val="4"/>
              </w:rPr>
            </w:pPr>
            <w:r>
              <w:rPr>
                <w:noProof/>
                <w:lang w:eastAsia="sk-SK"/>
              </w:rPr>
              <w:drawing>
                <wp:inline distT="0" distB="0" distL="0" distR="0" wp14:anchorId="0CE30ABA" wp14:editId="0736808C">
                  <wp:extent cx="2990850" cy="2381250"/>
                  <wp:effectExtent l="0" t="0" r="0" b="0"/>
                  <wp:docPr id="324" name="Graf 3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BB54491" w14:textId="4703B24B" w:rsidR="00695590" w:rsidRPr="00CA2564" w:rsidRDefault="00695590" w:rsidP="00C17356">
            <w:pPr>
              <w:spacing w:after="0" w:line="240" w:lineRule="auto"/>
              <w:rPr>
                <w:sz w:val="4"/>
                <w:szCs w:val="4"/>
              </w:rPr>
            </w:pPr>
          </w:p>
        </w:tc>
      </w:tr>
      <w:tr w:rsidR="00695590" w:rsidRPr="00C8768E" w14:paraId="0A69D92D" w14:textId="77777777" w:rsidTr="00C17356">
        <w:tc>
          <w:tcPr>
            <w:tcW w:w="4111" w:type="dxa"/>
            <w:tcBorders>
              <w:top w:val="single" w:sz="4" w:space="0" w:color="auto"/>
            </w:tcBorders>
          </w:tcPr>
          <w:p w14:paraId="0C89FC5F" w14:textId="77777777" w:rsidR="00C8768E" w:rsidRPr="00C17356" w:rsidRDefault="00C8768E" w:rsidP="00C17356">
            <w:pPr>
              <w:spacing w:after="0" w:line="240" w:lineRule="auto"/>
              <w:jc w:val="right"/>
              <w:rPr>
                <w:rFonts w:eastAsia="Times New Roman" w:cs="Times New Roman"/>
                <w:bCs/>
                <w:i/>
                <w:iCs/>
                <w:color w:val="000000"/>
                <w:sz w:val="18"/>
                <w:szCs w:val="18"/>
              </w:rPr>
            </w:pPr>
            <w:r w:rsidRPr="00C17356">
              <w:rPr>
                <w:bCs/>
                <w:i/>
                <w:noProof/>
                <w:sz w:val="18"/>
                <w:szCs w:val="18"/>
              </w:rPr>
              <w:t xml:space="preserve">Zdroj: ÚHP na základe </w:t>
            </w:r>
            <w:r w:rsidRPr="00C17356">
              <w:rPr>
                <w:rFonts w:eastAsia="Times New Roman" w:cs="Times New Roman"/>
                <w:bCs/>
                <w:i/>
                <w:iCs/>
                <w:color w:val="000000"/>
                <w:sz w:val="18"/>
                <w:szCs w:val="18"/>
              </w:rPr>
              <w:t xml:space="preserve">údajov </w:t>
            </w:r>
            <w:r w:rsidRPr="00C17356">
              <w:rPr>
                <w:bCs/>
                <w:i/>
                <w:noProof/>
                <w:sz w:val="18"/>
                <w:szCs w:val="18"/>
              </w:rPr>
              <w:t>RIS MŠVVŠ, ÚPSVR, ARK</w:t>
            </w:r>
          </w:p>
          <w:p w14:paraId="7CF78581" w14:textId="4426DF3B" w:rsidR="00695590" w:rsidRPr="00C8768E" w:rsidRDefault="00C8768E" w:rsidP="00CD78B5">
            <w:pPr>
              <w:spacing w:after="0" w:line="240" w:lineRule="auto"/>
              <w:rPr>
                <w:b/>
                <w:bCs/>
                <w:noProof/>
                <w:sz w:val="18"/>
                <w:szCs w:val="18"/>
              </w:rPr>
            </w:pPr>
            <w:r w:rsidRPr="00C17356">
              <w:rPr>
                <w:rFonts w:eastAsia="Times New Roman" w:cs="Times New Roman"/>
                <w:bCs/>
                <w:i/>
                <w:iCs/>
                <w:color w:val="000000"/>
                <w:sz w:val="18"/>
                <w:szCs w:val="18"/>
              </w:rPr>
              <w:t>Poznámka: Ročníky v 8</w:t>
            </w:r>
            <w:r w:rsidRPr="00C17356">
              <w:rPr>
                <w:bCs/>
                <w:i/>
                <w:noProof/>
                <w:sz w:val="18"/>
                <w:szCs w:val="18"/>
              </w:rPr>
              <w:t xml:space="preserve">-ročných gymnáziách sú upravené tak, aby zodpovedali </w:t>
            </w:r>
            <w:r w:rsidR="002A676F" w:rsidRPr="00C17356">
              <w:rPr>
                <w:bCs/>
                <w:i/>
                <w:noProof/>
                <w:sz w:val="18"/>
                <w:szCs w:val="18"/>
              </w:rPr>
              <w:t xml:space="preserve">ostatným druhom stredných škôl. </w:t>
            </w:r>
            <w:r w:rsidR="002A676F" w:rsidRPr="00C17356">
              <w:rPr>
                <w:i/>
                <w:noProof/>
                <w:sz w:val="18"/>
                <w:szCs w:val="18"/>
              </w:rPr>
              <w:fldChar w:fldCharType="begin"/>
            </w:r>
            <w:r w:rsidR="002A676F" w:rsidRPr="00C17356">
              <w:rPr>
                <w:rFonts w:eastAsia="Times New Roman" w:cs="Times New Roman"/>
                <w:i/>
                <w:iCs/>
                <w:color w:val="000000"/>
                <w:sz w:val="18"/>
                <w:szCs w:val="18"/>
              </w:rPr>
              <w:instrText xml:space="preserve"> REF _Ref33439692 \h </w:instrText>
            </w:r>
            <w:r w:rsidR="002A676F" w:rsidRPr="00C17356">
              <w:rPr>
                <w:i/>
                <w:noProof/>
                <w:sz w:val="18"/>
                <w:szCs w:val="18"/>
              </w:rPr>
              <w:instrText xml:space="preserve"> \* MERGEFORMAT </w:instrText>
            </w:r>
            <w:r w:rsidR="002A676F" w:rsidRPr="00C17356">
              <w:rPr>
                <w:i/>
                <w:noProof/>
                <w:sz w:val="18"/>
                <w:szCs w:val="18"/>
              </w:rPr>
            </w:r>
            <w:r w:rsidR="002A676F" w:rsidRPr="00C17356">
              <w:rPr>
                <w:i/>
                <w:noProof/>
                <w:sz w:val="18"/>
                <w:szCs w:val="18"/>
              </w:rPr>
              <w:fldChar w:fldCharType="separate"/>
            </w:r>
            <w:r w:rsidR="00FA29AF" w:rsidRPr="00FA29AF">
              <w:rPr>
                <w:i/>
                <w:sz w:val="18"/>
                <w:szCs w:val="18"/>
              </w:rPr>
              <w:t>Box</w:t>
            </w:r>
            <w:r w:rsidR="00FA29AF" w:rsidRPr="006E2B6B">
              <w:rPr>
                <w:b/>
              </w:rPr>
              <w:t xml:space="preserve"> </w:t>
            </w:r>
            <w:r w:rsidR="00FA29AF">
              <w:rPr>
                <w:b/>
                <w:noProof/>
              </w:rPr>
              <w:t>3</w:t>
            </w:r>
            <w:r w:rsidR="002A676F" w:rsidRPr="00C17356">
              <w:rPr>
                <w:i/>
                <w:noProof/>
                <w:sz w:val="18"/>
                <w:szCs w:val="18"/>
              </w:rPr>
              <w:fldChar w:fldCharType="end"/>
            </w:r>
            <w:r w:rsidR="002A676F" w:rsidRPr="00C17356">
              <w:rPr>
                <w:i/>
                <w:noProof/>
                <w:sz w:val="18"/>
                <w:szCs w:val="18"/>
              </w:rPr>
              <w:t xml:space="preserve"> </w:t>
            </w:r>
            <w:r w:rsidRPr="00C17356">
              <w:rPr>
                <w:bCs/>
                <w:i/>
                <w:noProof/>
                <w:sz w:val="18"/>
                <w:szCs w:val="18"/>
              </w:rPr>
              <w:t>pre definíciu MRK a PHN.</w:t>
            </w:r>
          </w:p>
        </w:tc>
        <w:tc>
          <w:tcPr>
            <w:tcW w:w="284" w:type="dxa"/>
            <w:tcBorders>
              <w:top w:val="nil"/>
            </w:tcBorders>
          </w:tcPr>
          <w:p w14:paraId="3EC99F3F" w14:textId="77777777" w:rsidR="00695590" w:rsidRPr="00C8768E" w:rsidRDefault="00695590" w:rsidP="00C17356">
            <w:pPr>
              <w:spacing w:after="0" w:line="240" w:lineRule="auto"/>
              <w:jc w:val="right"/>
              <w:rPr>
                <w:noProof/>
                <w:sz w:val="18"/>
                <w:szCs w:val="18"/>
              </w:rPr>
            </w:pPr>
          </w:p>
        </w:tc>
        <w:tc>
          <w:tcPr>
            <w:tcW w:w="4677" w:type="dxa"/>
            <w:tcBorders>
              <w:top w:val="single" w:sz="4" w:space="0" w:color="auto"/>
            </w:tcBorders>
          </w:tcPr>
          <w:p w14:paraId="5E6325C9" w14:textId="77777777" w:rsidR="00C8768E" w:rsidRPr="00C17356" w:rsidRDefault="00C8768E" w:rsidP="00C17356">
            <w:pPr>
              <w:spacing w:after="0" w:line="240" w:lineRule="auto"/>
              <w:jc w:val="right"/>
              <w:rPr>
                <w:rFonts w:eastAsia="Times New Roman" w:cs="Times New Roman"/>
                <w:i/>
                <w:iCs/>
                <w:color w:val="000000"/>
                <w:sz w:val="18"/>
                <w:szCs w:val="18"/>
              </w:rPr>
            </w:pPr>
            <w:r w:rsidRPr="00C17356">
              <w:rPr>
                <w:i/>
                <w:noProof/>
                <w:sz w:val="18"/>
                <w:szCs w:val="18"/>
              </w:rPr>
              <w:t xml:space="preserve">Zdroj: ÚHP na základe </w:t>
            </w:r>
            <w:r w:rsidRPr="00C17356">
              <w:rPr>
                <w:rFonts w:eastAsia="Times New Roman" w:cs="Times New Roman"/>
                <w:i/>
                <w:iCs/>
                <w:color w:val="000000"/>
                <w:sz w:val="18"/>
                <w:szCs w:val="18"/>
              </w:rPr>
              <w:t xml:space="preserve">údajov </w:t>
            </w:r>
            <w:r w:rsidRPr="00C17356">
              <w:rPr>
                <w:i/>
                <w:noProof/>
                <w:sz w:val="18"/>
                <w:szCs w:val="18"/>
              </w:rPr>
              <w:t>RIS MŠVVŠ, ÚPSVR, ARK</w:t>
            </w:r>
          </w:p>
          <w:p w14:paraId="57EF179D" w14:textId="3A3F1451" w:rsidR="00695590" w:rsidRPr="00C8768E" w:rsidRDefault="002A676F" w:rsidP="00C17356">
            <w:pPr>
              <w:spacing w:after="0" w:line="240" w:lineRule="auto"/>
              <w:jc w:val="left"/>
              <w:rPr>
                <w:noProof/>
                <w:sz w:val="18"/>
                <w:szCs w:val="18"/>
              </w:rPr>
            </w:pPr>
            <w:r w:rsidRPr="00C17356">
              <w:rPr>
                <w:rFonts w:eastAsia="Times New Roman" w:cs="Times New Roman"/>
                <w:i/>
                <w:iCs/>
                <w:color w:val="000000"/>
                <w:sz w:val="18"/>
                <w:szCs w:val="18"/>
              </w:rPr>
              <w:t xml:space="preserve">Poznámka: </w:t>
            </w:r>
            <w:r w:rsidRPr="00C17356">
              <w:rPr>
                <w:i/>
                <w:noProof/>
                <w:sz w:val="18"/>
                <w:szCs w:val="18"/>
              </w:rPr>
              <w:fldChar w:fldCharType="begin"/>
            </w:r>
            <w:r w:rsidRPr="00C17356">
              <w:rPr>
                <w:rFonts w:eastAsia="Times New Roman" w:cs="Times New Roman"/>
                <w:i/>
                <w:iCs/>
                <w:color w:val="000000"/>
                <w:sz w:val="18"/>
                <w:szCs w:val="18"/>
              </w:rPr>
              <w:instrText xml:space="preserve"> REF _Ref33439692 \h </w:instrText>
            </w:r>
            <w:r w:rsidRPr="00C17356">
              <w:rPr>
                <w:i/>
                <w:noProof/>
                <w:sz w:val="18"/>
                <w:szCs w:val="18"/>
              </w:rPr>
              <w:instrText xml:space="preserve"> \* MERGEFORMAT </w:instrText>
            </w:r>
            <w:r w:rsidRPr="00C17356">
              <w:rPr>
                <w:i/>
                <w:noProof/>
                <w:sz w:val="18"/>
                <w:szCs w:val="18"/>
              </w:rPr>
            </w:r>
            <w:r w:rsidRPr="00C17356">
              <w:rPr>
                <w:i/>
                <w:noProof/>
                <w:sz w:val="18"/>
                <w:szCs w:val="18"/>
              </w:rPr>
              <w:fldChar w:fldCharType="separate"/>
            </w:r>
            <w:r w:rsidR="00FA29AF" w:rsidRPr="00FA29AF">
              <w:rPr>
                <w:i/>
                <w:sz w:val="18"/>
                <w:szCs w:val="18"/>
              </w:rPr>
              <w:t xml:space="preserve">Box </w:t>
            </w:r>
            <w:r w:rsidR="00FA29AF" w:rsidRPr="00FA29AF">
              <w:rPr>
                <w:i/>
                <w:noProof/>
                <w:sz w:val="18"/>
                <w:szCs w:val="18"/>
              </w:rPr>
              <w:t>3</w:t>
            </w:r>
            <w:r w:rsidRPr="00C17356">
              <w:rPr>
                <w:i/>
                <w:noProof/>
                <w:sz w:val="18"/>
                <w:szCs w:val="18"/>
              </w:rPr>
              <w:fldChar w:fldCharType="end"/>
            </w:r>
            <w:r w:rsidRPr="00C17356">
              <w:rPr>
                <w:i/>
                <w:noProof/>
                <w:sz w:val="18"/>
                <w:szCs w:val="18"/>
              </w:rPr>
              <w:t xml:space="preserve"> </w:t>
            </w:r>
            <w:r w:rsidR="00C8768E" w:rsidRPr="00C17356">
              <w:rPr>
                <w:i/>
                <w:noProof/>
                <w:sz w:val="18"/>
                <w:szCs w:val="18"/>
              </w:rPr>
              <w:t>pre definíciu MRK a PHN.</w:t>
            </w:r>
          </w:p>
        </w:tc>
      </w:tr>
    </w:tbl>
    <w:p w14:paraId="5D79FF25" w14:textId="77777777" w:rsidR="00894FE3" w:rsidRDefault="00894FE3" w:rsidP="00C8768E">
      <w:pPr>
        <w:pStyle w:val="Bezriadkovania"/>
        <w:spacing w:before="240" w:after="240" w:line="259" w:lineRule="auto"/>
        <w:jc w:val="both"/>
        <w:rPr>
          <w:rFonts w:ascii="Arial Narrow" w:hAnsi="Arial Narrow"/>
          <w:color w:val="0070C0"/>
        </w:rPr>
      </w:pPr>
    </w:p>
    <w:p w14:paraId="6409D5BB" w14:textId="77777777" w:rsidR="00894FE3" w:rsidRDefault="00894FE3">
      <w:pPr>
        <w:spacing w:after="160"/>
        <w:jc w:val="left"/>
        <w:rPr>
          <w:color w:val="0070C0"/>
          <w:szCs w:val="22"/>
        </w:rPr>
      </w:pPr>
      <w:r>
        <w:rPr>
          <w:color w:val="0070C0"/>
        </w:rPr>
        <w:br w:type="page"/>
      </w:r>
    </w:p>
    <w:p w14:paraId="0C392B00" w14:textId="2C3E1073" w:rsidR="00695590" w:rsidRPr="00B07E9A" w:rsidRDefault="00695590" w:rsidP="00C8768E">
      <w:pPr>
        <w:pStyle w:val="Bezriadkovania"/>
        <w:spacing w:before="240" w:after="240" w:line="259" w:lineRule="auto"/>
        <w:jc w:val="both"/>
        <w:rPr>
          <w:rFonts w:ascii="Arial Narrow" w:hAnsi="Arial Narrow"/>
          <w:color w:val="0070C0"/>
        </w:rPr>
      </w:pPr>
      <w:r>
        <w:rPr>
          <w:rFonts w:ascii="Arial Narrow" w:hAnsi="Arial Narrow"/>
          <w:color w:val="0070C0"/>
        </w:rPr>
        <w:t>Existujúce opatrenia na podporu vzdelávania sociálne znevýhodnených žiakov v stredných školách</w:t>
      </w:r>
    </w:p>
    <w:p w14:paraId="36E6C1DA" w14:textId="77777777" w:rsidR="00695590" w:rsidRPr="00D25EFE" w:rsidRDefault="00695590" w:rsidP="00D25EFE">
      <w:pPr>
        <w:rPr>
          <w:b/>
          <w:u w:val="single"/>
        </w:rPr>
      </w:pPr>
      <w:r w:rsidRPr="00D25EFE">
        <w:rPr>
          <w:b/>
          <w:u w:val="single"/>
        </w:rPr>
        <w:t>Stredoškolské sociálne štipendiá</w:t>
      </w:r>
    </w:p>
    <w:p w14:paraId="4DA793CC" w14:textId="1435D1B3" w:rsidR="00695590" w:rsidRPr="00A101E8" w:rsidRDefault="00695590" w:rsidP="00D25EFE">
      <w:pPr>
        <w:rPr>
          <w:bCs/>
          <w:strike/>
        </w:rPr>
      </w:pPr>
      <w:r w:rsidRPr="00D25EFE">
        <w:rPr>
          <w:b/>
        </w:rPr>
        <w:t>V roku 2018 boli na stredoškolské štipendiá vynaložené 3 milióny eur. Podporených bolo v priemere 8 266 žiakov za mesiac, čo predstavuje 4 % všetkých stredoškolákov a odhadom 34 % žiakov ohrozených chudobou alebo sociálnym vylúčením.</w:t>
      </w:r>
      <w:r w:rsidRPr="00AC18E5">
        <w:rPr>
          <w:rStyle w:val="Odkaznapoznmkupodiarou"/>
          <w:b/>
        </w:rPr>
        <w:footnoteReference w:id="160"/>
      </w:r>
      <w:r>
        <w:t xml:space="preserve"> </w:t>
      </w:r>
      <w:r w:rsidRPr="007201AB">
        <w:rPr>
          <w:bCs/>
        </w:rPr>
        <w:t>Na sociálne štipendium</w:t>
      </w:r>
      <w:r w:rsidRPr="00C46DD3">
        <w:rPr>
          <w:bCs/>
        </w:rPr>
        <w:t xml:space="preserve"> majú nárok žiaci SŠ žijúci v domácnosti, ktorej sa poskytuje PHN</w:t>
      </w:r>
      <w:r w:rsidR="00132622">
        <w:rPr>
          <w:bCs/>
        </w:rPr>
        <w:t>,</w:t>
      </w:r>
      <w:r w:rsidRPr="00C46DD3">
        <w:rPr>
          <w:bCs/>
        </w:rPr>
        <w:t xml:space="preserve"> alebo ktorej príjem nedosahuje výšku životného minima. </w:t>
      </w:r>
      <w:r>
        <w:rPr>
          <w:bCs/>
        </w:rPr>
        <w:t>Hodnota štipendia má tri úrovne a závisí od prospechu žiaka.</w:t>
      </w:r>
    </w:p>
    <w:p w14:paraId="30DDDD84" w14:textId="01D3F110" w:rsidR="00695590" w:rsidRPr="00433255" w:rsidRDefault="00695590" w:rsidP="00D25EFE">
      <w:r w:rsidRPr="00D25EFE">
        <w:rPr>
          <w:b/>
        </w:rPr>
        <w:t>Súčasná výška sociálneho štipendia je nízka (36 eur), nepokrýva výdavky spojené so stredoškolským štúdiom (napr. cestovné, ubytovanie, učebnice a pomôcky).</w:t>
      </w:r>
      <w:r w:rsidRPr="00DC2008">
        <w:t xml:space="preserve"> </w:t>
      </w:r>
      <w:r w:rsidRPr="007B2436">
        <w:t xml:space="preserve">Finančné prekážky pokračovaniu v štúdiu na strednej škole </w:t>
      </w:r>
      <w:r>
        <w:t xml:space="preserve">pre chudobných žiakov </w:t>
      </w:r>
      <w:r w:rsidRPr="00534756">
        <w:t>potvrdzujú aj zistenia z prieskumu UNDP (20</w:t>
      </w:r>
      <w:r>
        <w:t>12), v ktorom 24 % z opýtaných mladých ľudí z prostredia MRK uviedlo, že nedostatok financií je dôvodom, pre ktorý nepokračujú v štúdiu na strednej škole (druhá najčastejšie citovaná odpoveď) (UNDP, 2012). Nízka podpora stredoškolského štúdia môže niektorých chudobných žiakov viesť k uprednostneniu práce (vrátane šedej ekonomiky), a v prípade plnoletých osôb k uprednostneniu aktivačných činností, ktoré vytvárajú nárok na aktivačný príspevok</w:t>
      </w:r>
      <w:r w:rsidRPr="00433255">
        <w:t xml:space="preserve">. </w:t>
      </w:r>
      <w:r w:rsidRPr="00D25EFE">
        <w:rPr>
          <w:b/>
        </w:rPr>
        <w:t>Revízia preto navrhuje nastaviť najnižšiu hodnotu štipendia na úroveň aktivačného príspevku v rámci pomoci v hmotnej núdzi (aktuálne 6</w:t>
      </w:r>
      <w:r w:rsidR="00A0045A">
        <w:rPr>
          <w:b/>
        </w:rPr>
        <w:t>7</w:t>
      </w:r>
      <w:r w:rsidRPr="00D25EFE">
        <w:rPr>
          <w:b/>
        </w:rPr>
        <w:t>,</w:t>
      </w:r>
      <w:r w:rsidR="00A0045A">
        <w:rPr>
          <w:b/>
        </w:rPr>
        <w:t>9</w:t>
      </w:r>
      <w:r w:rsidRPr="00D25EFE">
        <w:rPr>
          <w:b/>
        </w:rPr>
        <w:t xml:space="preserve">0 eur, podkapitola </w:t>
      </w:r>
      <w:r w:rsidR="009878CB">
        <w:rPr>
          <w:b/>
        </w:rPr>
        <w:fldChar w:fldCharType="begin"/>
      </w:r>
      <w:r w:rsidR="009878CB">
        <w:rPr>
          <w:b/>
        </w:rPr>
        <w:instrText xml:space="preserve"> REF _Ref25587249 \r \h </w:instrText>
      </w:r>
      <w:r w:rsidR="009878CB">
        <w:rPr>
          <w:b/>
        </w:rPr>
      </w:r>
      <w:r w:rsidR="009878CB">
        <w:rPr>
          <w:b/>
        </w:rPr>
        <w:fldChar w:fldCharType="separate"/>
      </w:r>
      <w:r w:rsidR="00FA29AF">
        <w:rPr>
          <w:b/>
        </w:rPr>
        <w:t>8.1</w:t>
      </w:r>
      <w:r w:rsidR="009878CB">
        <w:rPr>
          <w:b/>
        </w:rPr>
        <w:fldChar w:fldCharType="end"/>
      </w:r>
      <w:r w:rsidRPr="00D25EFE">
        <w:rPr>
          <w:b/>
        </w:rPr>
        <w:t>). Pomer medzi tromi úrovňami štipendia môže zostať nezmenený.</w:t>
      </w:r>
      <w:r w:rsidRPr="00433255">
        <w:t xml:space="preserve"> </w:t>
      </w:r>
    </w:p>
    <w:p w14:paraId="4A87D3B7" w14:textId="77777777" w:rsidR="00695590" w:rsidRDefault="00695590" w:rsidP="00695590">
      <w:pPr>
        <w:pStyle w:val="Nadpis2"/>
        <w:spacing w:before="160"/>
      </w:pPr>
      <w:bookmarkStart w:id="377" w:name="_Toc34657718"/>
      <w:r>
        <w:t>Vysokoškolské vzdelávanie</w:t>
      </w:r>
      <w:bookmarkEnd w:id="377"/>
    </w:p>
    <w:p w14:paraId="57D1E740" w14:textId="77777777" w:rsidR="00695590" w:rsidRPr="00B07E9A" w:rsidRDefault="00695590" w:rsidP="00695590">
      <w:pPr>
        <w:pStyle w:val="Bezriadkovania"/>
        <w:spacing w:after="240" w:line="259" w:lineRule="auto"/>
        <w:jc w:val="both"/>
        <w:rPr>
          <w:rFonts w:ascii="Arial Narrow" w:hAnsi="Arial Narrow"/>
          <w:color w:val="0070C0"/>
        </w:rPr>
      </w:pPr>
      <w:r>
        <w:rPr>
          <w:rFonts w:ascii="Arial Narrow" w:hAnsi="Arial Narrow"/>
          <w:color w:val="0070C0"/>
        </w:rPr>
        <w:t>Výsledky vzdelávania sociálne znevýhodnených žiakov na vysokých školách</w:t>
      </w:r>
    </w:p>
    <w:p w14:paraId="2AA15EF0" w14:textId="0A548580" w:rsidR="00695590" w:rsidRDefault="00695590" w:rsidP="00D25EFE">
      <w:pPr>
        <w:rPr>
          <w:iCs/>
        </w:rPr>
      </w:pPr>
      <w:r w:rsidRPr="002E4D5B">
        <w:rPr>
          <w:b/>
        </w:rPr>
        <w:t xml:space="preserve">Účasť vo vysokom školstve je v prípade sociálne znevýhodnených skupín ešte nižšia ako na stredných školách. </w:t>
      </w:r>
      <w:r w:rsidRPr="002E4D5B">
        <w:t xml:space="preserve">Iba </w:t>
      </w:r>
      <w:r w:rsidR="00B24E86">
        <w:t>10</w:t>
      </w:r>
      <w:r w:rsidRPr="002E4D5B">
        <w:t xml:space="preserve"> % mladých ľudí </w:t>
      </w:r>
      <w:r w:rsidRPr="002E4D5B">
        <w:rPr>
          <w:iCs/>
        </w:rPr>
        <w:t xml:space="preserve">(19 až 23 rokov) </w:t>
      </w:r>
      <w:r w:rsidRPr="002E4D5B">
        <w:t>z rodín, ktorým sa poskytuje PHN,</w:t>
      </w:r>
      <w:r w:rsidRPr="002E4D5B">
        <w:rPr>
          <w:iCs/>
        </w:rPr>
        <w:t xml:space="preserve"> je zapísaných na vysokej škole v SR, čo je </w:t>
      </w:r>
      <w:r w:rsidR="00B24E86">
        <w:rPr>
          <w:iCs/>
        </w:rPr>
        <w:t xml:space="preserve">menej ako štvrtinový </w:t>
      </w:r>
      <w:r w:rsidRPr="002E4D5B">
        <w:rPr>
          <w:iCs/>
        </w:rPr>
        <w:t xml:space="preserve">podiel oproti podielu v celkovej </w:t>
      </w:r>
      <w:r w:rsidRPr="000602BD">
        <w:rPr>
          <w:iCs/>
        </w:rPr>
        <w:t>populácii (</w:t>
      </w:r>
      <w:r w:rsidR="000602BD" w:rsidRPr="000602BD">
        <w:rPr>
          <w:iCs/>
        </w:rPr>
        <w:fldChar w:fldCharType="begin"/>
      </w:r>
      <w:r w:rsidR="000602BD" w:rsidRPr="000602BD">
        <w:rPr>
          <w:iCs/>
        </w:rPr>
        <w:instrText xml:space="preserve"> REF _Ref24487821 \h </w:instrText>
      </w:r>
      <w:r w:rsidR="000602BD">
        <w:rPr>
          <w:iCs/>
        </w:rPr>
        <w:instrText xml:space="preserve"> \* MERGEFORMAT </w:instrText>
      </w:r>
      <w:r w:rsidR="000602BD" w:rsidRPr="000602BD">
        <w:rPr>
          <w:iCs/>
        </w:rPr>
      </w:r>
      <w:r w:rsidR="000602BD" w:rsidRPr="000602BD">
        <w:rPr>
          <w:iCs/>
        </w:rPr>
        <w:fldChar w:fldCharType="separate"/>
      </w:r>
      <w:r w:rsidR="00FA29AF" w:rsidRPr="00FA29AF">
        <w:t xml:space="preserve">Tabuľka </w:t>
      </w:r>
      <w:r w:rsidR="00FA29AF" w:rsidRPr="00FA29AF">
        <w:rPr>
          <w:noProof/>
        </w:rPr>
        <w:t>15</w:t>
      </w:r>
      <w:r w:rsidR="000602BD" w:rsidRPr="000602BD">
        <w:rPr>
          <w:iCs/>
        </w:rPr>
        <w:fldChar w:fldCharType="end"/>
      </w:r>
      <w:r w:rsidRPr="000602BD">
        <w:rPr>
          <w:iCs/>
        </w:rPr>
        <w:t>). V prostredí</w:t>
      </w:r>
      <w:r w:rsidR="00777B9B">
        <w:rPr>
          <w:iCs/>
        </w:rPr>
        <w:t xml:space="preserve"> MRK je </w:t>
      </w:r>
      <w:r w:rsidRPr="002E4D5B">
        <w:rPr>
          <w:iCs/>
        </w:rPr>
        <w:t>účasť na vysokom školstve medzi mladými ľuďmi minimálna</w:t>
      </w:r>
      <w:r>
        <w:rPr>
          <w:iCs/>
        </w:rPr>
        <w:t xml:space="preserve"> – </w:t>
      </w:r>
      <w:r w:rsidR="001E3FE4">
        <w:rPr>
          <w:iCs/>
        </w:rPr>
        <w:t>menej ako</w:t>
      </w:r>
      <w:r>
        <w:rPr>
          <w:iCs/>
        </w:rPr>
        <w:t xml:space="preserve"> </w:t>
      </w:r>
      <w:r w:rsidR="00B24E86">
        <w:rPr>
          <w:iCs/>
        </w:rPr>
        <w:t>7</w:t>
      </w:r>
      <w:r>
        <w:rPr>
          <w:iCs/>
        </w:rPr>
        <w:t xml:space="preserve"> % celkovo a</w:t>
      </w:r>
      <w:r w:rsidR="00B24E86">
        <w:rPr>
          <w:iCs/>
        </w:rPr>
        <w:t> 1,5</w:t>
      </w:r>
      <w:r>
        <w:rPr>
          <w:iCs/>
        </w:rPr>
        <w:t xml:space="preserve"> % v prípade kombinácie MRK a PHN.</w:t>
      </w:r>
      <w:r w:rsidRPr="00CA2564">
        <w:rPr>
          <w:iCs/>
        </w:rPr>
        <w:t xml:space="preserve"> </w:t>
      </w:r>
    </w:p>
    <w:tbl>
      <w:tblPr>
        <w:tblW w:w="8931" w:type="dxa"/>
        <w:tblLook w:val="04E0" w:firstRow="1" w:lastRow="1" w:firstColumn="1" w:lastColumn="0" w:noHBand="0" w:noVBand="1"/>
      </w:tblPr>
      <w:tblGrid>
        <w:gridCol w:w="2254"/>
        <w:gridCol w:w="1899"/>
        <w:gridCol w:w="4045"/>
        <w:gridCol w:w="733"/>
      </w:tblGrid>
      <w:tr w:rsidR="003116FA" w:rsidRPr="000B5AF2" w14:paraId="761F8DC6" w14:textId="77777777" w:rsidTr="003116FA">
        <w:tc>
          <w:tcPr>
            <w:tcW w:w="8931" w:type="dxa"/>
            <w:gridSpan w:val="4"/>
            <w:tcBorders>
              <w:bottom w:val="nil"/>
            </w:tcBorders>
          </w:tcPr>
          <w:p w14:paraId="0BC3EB1E" w14:textId="33059636" w:rsidR="003116FA" w:rsidRPr="003116FA" w:rsidRDefault="003116FA" w:rsidP="004B2E4E">
            <w:pPr>
              <w:spacing w:after="0"/>
              <w:rPr>
                <w:b/>
                <w:sz w:val="20"/>
              </w:rPr>
            </w:pPr>
            <w:bookmarkStart w:id="378" w:name="_Ref24487821"/>
            <w:bookmarkStart w:id="379" w:name="_Toc34156854"/>
            <w:r w:rsidRPr="003116FA">
              <w:rPr>
                <w:b/>
                <w:sz w:val="20"/>
              </w:rPr>
              <w:t xml:space="preserve">Tabuľka </w:t>
            </w:r>
            <w:r w:rsidRPr="003116FA">
              <w:rPr>
                <w:b/>
                <w:noProof/>
                <w:sz w:val="20"/>
              </w:rPr>
              <w:fldChar w:fldCharType="begin"/>
            </w:r>
            <w:r w:rsidRPr="003116FA">
              <w:rPr>
                <w:b/>
                <w:noProof/>
                <w:sz w:val="20"/>
              </w:rPr>
              <w:instrText xml:space="preserve"> SEQ Tabuľka \* ARABIC </w:instrText>
            </w:r>
            <w:r w:rsidRPr="003116FA">
              <w:rPr>
                <w:b/>
                <w:noProof/>
                <w:sz w:val="20"/>
              </w:rPr>
              <w:fldChar w:fldCharType="separate"/>
            </w:r>
            <w:r w:rsidR="00FA29AF">
              <w:rPr>
                <w:b/>
                <w:noProof/>
                <w:sz w:val="20"/>
              </w:rPr>
              <w:t>15</w:t>
            </w:r>
            <w:r w:rsidRPr="003116FA">
              <w:rPr>
                <w:b/>
                <w:noProof/>
                <w:sz w:val="20"/>
              </w:rPr>
              <w:fldChar w:fldCharType="end"/>
            </w:r>
            <w:bookmarkEnd w:id="378"/>
            <w:r w:rsidRPr="003116FA">
              <w:rPr>
                <w:b/>
                <w:iCs/>
                <w:sz w:val="20"/>
              </w:rPr>
              <w:t xml:space="preserve">: Podiel 19 až 23-ročných ľudí podľa PHN a MRK, ktorí sú alebo boli </w:t>
            </w:r>
            <w:r>
              <w:rPr>
                <w:b/>
                <w:iCs/>
                <w:sz w:val="20"/>
              </w:rPr>
              <w:t>zapísaní na </w:t>
            </w:r>
            <w:r w:rsidRPr="003116FA">
              <w:rPr>
                <w:b/>
                <w:iCs/>
                <w:sz w:val="20"/>
              </w:rPr>
              <w:t>VŠ v</w:t>
            </w:r>
            <w:r>
              <w:rPr>
                <w:b/>
                <w:iCs/>
                <w:sz w:val="20"/>
              </w:rPr>
              <w:t> </w:t>
            </w:r>
            <w:r w:rsidRPr="003116FA">
              <w:rPr>
                <w:b/>
                <w:iCs/>
                <w:sz w:val="20"/>
              </w:rPr>
              <w:t>S</w:t>
            </w:r>
            <w:r>
              <w:rPr>
                <w:b/>
                <w:iCs/>
                <w:sz w:val="20"/>
              </w:rPr>
              <w:t>R </w:t>
            </w:r>
            <w:r w:rsidRPr="003116FA">
              <w:rPr>
                <w:b/>
                <w:iCs/>
                <w:sz w:val="20"/>
              </w:rPr>
              <w:t>(%)</w:t>
            </w:r>
            <w:bookmarkEnd w:id="379"/>
          </w:p>
        </w:tc>
      </w:tr>
      <w:tr w:rsidR="00B24E86" w:rsidRPr="00CA2564" w14:paraId="3A825916" w14:textId="77777777" w:rsidTr="003116FA">
        <w:tblPrEx>
          <w:tblCellMar>
            <w:left w:w="70" w:type="dxa"/>
            <w:right w:w="70" w:type="dxa"/>
          </w:tblCellMar>
          <w:tblLook w:val="04A0" w:firstRow="1" w:lastRow="0" w:firstColumn="1" w:lastColumn="0" w:noHBand="0" w:noVBand="1"/>
        </w:tblPrEx>
        <w:trPr>
          <w:trHeight w:val="300"/>
        </w:trPr>
        <w:tc>
          <w:tcPr>
            <w:tcW w:w="2254" w:type="dxa"/>
            <w:tcBorders>
              <w:top w:val="single" w:sz="4" w:space="0" w:color="auto"/>
              <w:left w:val="nil"/>
              <w:bottom w:val="single" w:sz="4" w:space="0" w:color="auto"/>
              <w:right w:val="nil"/>
            </w:tcBorders>
            <w:shd w:val="clear" w:color="000000" w:fill="FFFFFF"/>
            <w:noWrap/>
            <w:vAlign w:val="bottom"/>
            <w:hideMark/>
          </w:tcPr>
          <w:p w14:paraId="031F5886" w14:textId="77777777" w:rsidR="00D25EFE" w:rsidRPr="00CA2564" w:rsidRDefault="00D25EFE" w:rsidP="00D25EFE">
            <w:pPr>
              <w:spacing w:after="0"/>
              <w:rPr>
                <w:rFonts w:eastAsia="Times New Roman" w:cs="Times New Roman"/>
                <w:sz w:val="20"/>
                <w:lang w:eastAsia="sk-SK"/>
              </w:rPr>
            </w:pPr>
          </w:p>
        </w:tc>
        <w:tc>
          <w:tcPr>
            <w:tcW w:w="1899" w:type="dxa"/>
            <w:tcBorders>
              <w:top w:val="single" w:sz="4" w:space="0" w:color="auto"/>
              <w:left w:val="nil"/>
              <w:bottom w:val="single" w:sz="4" w:space="0" w:color="auto"/>
              <w:right w:val="nil"/>
            </w:tcBorders>
            <w:shd w:val="clear" w:color="000000" w:fill="FFFFFF"/>
            <w:noWrap/>
            <w:vAlign w:val="bottom"/>
            <w:hideMark/>
          </w:tcPr>
          <w:p w14:paraId="6493B00B" w14:textId="77777777" w:rsidR="00D25EFE" w:rsidRPr="00CA2564" w:rsidRDefault="00D25EFE" w:rsidP="00B12905">
            <w:pPr>
              <w:spacing w:after="0"/>
              <w:jc w:val="right"/>
              <w:rPr>
                <w:rFonts w:eastAsia="Times New Roman" w:cs="Times New Roman"/>
                <w:b/>
                <w:bCs/>
                <w:sz w:val="20"/>
                <w:lang w:eastAsia="sk-SK"/>
              </w:rPr>
            </w:pPr>
            <w:r w:rsidRPr="00CA2564">
              <w:rPr>
                <w:rFonts w:eastAsia="Times New Roman" w:cs="Times New Roman"/>
                <w:b/>
                <w:bCs/>
                <w:sz w:val="20"/>
                <w:lang w:eastAsia="sk-SK"/>
              </w:rPr>
              <w:t>MRK</w:t>
            </w:r>
          </w:p>
        </w:tc>
        <w:tc>
          <w:tcPr>
            <w:tcW w:w="4045" w:type="dxa"/>
            <w:tcBorders>
              <w:top w:val="single" w:sz="4" w:space="0" w:color="auto"/>
              <w:left w:val="nil"/>
              <w:bottom w:val="single" w:sz="4" w:space="0" w:color="auto"/>
              <w:right w:val="nil"/>
            </w:tcBorders>
            <w:shd w:val="clear" w:color="000000" w:fill="FFFFFF"/>
            <w:noWrap/>
            <w:vAlign w:val="bottom"/>
            <w:hideMark/>
          </w:tcPr>
          <w:p w14:paraId="10D58C04" w14:textId="77777777" w:rsidR="00D25EFE" w:rsidRPr="00CA2564" w:rsidRDefault="00D25EFE" w:rsidP="00B12905">
            <w:pPr>
              <w:spacing w:after="0"/>
              <w:jc w:val="right"/>
              <w:rPr>
                <w:rFonts w:eastAsia="Times New Roman" w:cs="Times New Roman"/>
                <w:b/>
                <w:bCs/>
                <w:sz w:val="20"/>
                <w:lang w:eastAsia="sk-SK"/>
              </w:rPr>
            </w:pPr>
            <w:r w:rsidRPr="00CA2564">
              <w:rPr>
                <w:rFonts w:eastAsia="Times New Roman" w:cs="Times New Roman"/>
                <w:b/>
                <w:bCs/>
                <w:sz w:val="20"/>
                <w:lang w:eastAsia="sk-SK"/>
              </w:rPr>
              <w:t>mimo MRK</w:t>
            </w:r>
          </w:p>
        </w:tc>
        <w:tc>
          <w:tcPr>
            <w:tcW w:w="733" w:type="dxa"/>
            <w:tcBorders>
              <w:top w:val="single" w:sz="4" w:space="0" w:color="auto"/>
              <w:left w:val="nil"/>
              <w:bottom w:val="single" w:sz="4" w:space="0" w:color="auto"/>
              <w:right w:val="nil"/>
            </w:tcBorders>
            <w:shd w:val="clear" w:color="000000" w:fill="FFFFFF"/>
            <w:noWrap/>
            <w:vAlign w:val="bottom"/>
            <w:hideMark/>
          </w:tcPr>
          <w:p w14:paraId="6B691CCA" w14:textId="77777777" w:rsidR="00D25EFE" w:rsidRPr="00CA2564" w:rsidRDefault="00D25EFE" w:rsidP="00B12905">
            <w:pPr>
              <w:spacing w:after="0"/>
              <w:jc w:val="right"/>
              <w:rPr>
                <w:rFonts w:eastAsia="Times New Roman" w:cs="Times New Roman"/>
                <w:b/>
                <w:bCs/>
                <w:sz w:val="20"/>
                <w:lang w:eastAsia="sk-SK"/>
              </w:rPr>
            </w:pPr>
            <w:r w:rsidRPr="00CA2564">
              <w:rPr>
                <w:rFonts w:eastAsia="Times New Roman" w:cs="Times New Roman"/>
                <w:b/>
                <w:bCs/>
                <w:sz w:val="20"/>
                <w:lang w:eastAsia="sk-SK"/>
              </w:rPr>
              <w:t>Celkom</w:t>
            </w:r>
          </w:p>
        </w:tc>
      </w:tr>
      <w:tr w:rsidR="00B24E86" w:rsidRPr="00CA2564" w14:paraId="22DDCE78" w14:textId="77777777" w:rsidTr="003116FA">
        <w:tblPrEx>
          <w:tblCellMar>
            <w:left w:w="70" w:type="dxa"/>
            <w:right w:w="70" w:type="dxa"/>
          </w:tblCellMar>
          <w:tblLook w:val="04A0" w:firstRow="1" w:lastRow="0" w:firstColumn="1" w:lastColumn="0" w:noHBand="0" w:noVBand="1"/>
        </w:tblPrEx>
        <w:trPr>
          <w:trHeight w:val="300"/>
        </w:trPr>
        <w:tc>
          <w:tcPr>
            <w:tcW w:w="2254" w:type="dxa"/>
            <w:tcBorders>
              <w:top w:val="nil"/>
              <w:left w:val="nil"/>
              <w:bottom w:val="nil"/>
              <w:right w:val="nil"/>
            </w:tcBorders>
            <w:shd w:val="clear" w:color="000000" w:fill="FFFFFF"/>
            <w:noWrap/>
            <w:vAlign w:val="bottom"/>
            <w:hideMark/>
          </w:tcPr>
          <w:p w14:paraId="35A06374" w14:textId="77777777" w:rsidR="00B24E86" w:rsidRPr="00CA2564" w:rsidRDefault="00B24E86" w:rsidP="00B24E86">
            <w:pPr>
              <w:spacing w:after="0"/>
              <w:jc w:val="left"/>
              <w:rPr>
                <w:rFonts w:eastAsia="Times New Roman" w:cs="Times New Roman"/>
                <w:b/>
                <w:bCs/>
                <w:sz w:val="20"/>
                <w:lang w:eastAsia="sk-SK"/>
              </w:rPr>
            </w:pPr>
            <w:r w:rsidRPr="00CA2564">
              <w:rPr>
                <w:rFonts w:eastAsia="Times New Roman" w:cs="Times New Roman"/>
                <w:b/>
                <w:bCs/>
                <w:sz w:val="20"/>
                <w:lang w:eastAsia="sk-SK"/>
              </w:rPr>
              <w:t>PHN</w:t>
            </w:r>
          </w:p>
        </w:tc>
        <w:tc>
          <w:tcPr>
            <w:tcW w:w="1899" w:type="dxa"/>
            <w:tcBorders>
              <w:top w:val="nil"/>
              <w:left w:val="nil"/>
              <w:bottom w:val="nil"/>
              <w:right w:val="nil"/>
            </w:tcBorders>
            <w:shd w:val="clear" w:color="000000" w:fill="FFFFFF"/>
            <w:noWrap/>
            <w:vAlign w:val="bottom"/>
            <w:hideMark/>
          </w:tcPr>
          <w:p w14:paraId="65143766" w14:textId="49595D61" w:rsidR="00B24E86" w:rsidRPr="00B24E86" w:rsidRDefault="00B24E86" w:rsidP="00B24E86">
            <w:pPr>
              <w:spacing w:after="0"/>
              <w:jc w:val="right"/>
              <w:rPr>
                <w:rFonts w:eastAsia="Times New Roman" w:cs="Times New Roman"/>
                <w:sz w:val="20"/>
                <w:lang w:eastAsia="sk-SK"/>
              </w:rPr>
            </w:pPr>
            <w:r w:rsidRPr="00D41517">
              <w:rPr>
                <w:color w:val="000000"/>
                <w:sz w:val="20"/>
              </w:rPr>
              <w:t>1,5</w:t>
            </w:r>
          </w:p>
        </w:tc>
        <w:tc>
          <w:tcPr>
            <w:tcW w:w="4045" w:type="dxa"/>
            <w:tcBorders>
              <w:top w:val="nil"/>
              <w:left w:val="nil"/>
              <w:bottom w:val="nil"/>
              <w:right w:val="nil"/>
            </w:tcBorders>
            <w:shd w:val="clear" w:color="000000" w:fill="FFFFFF"/>
            <w:noWrap/>
            <w:vAlign w:val="bottom"/>
            <w:hideMark/>
          </w:tcPr>
          <w:p w14:paraId="539E3139" w14:textId="04602543" w:rsidR="00B24E86" w:rsidRPr="00B24E86" w:rsidRDefault="00B24E86" w:rsidP="00B24E86">
            <w:pPr>
              <w:spacing w:after="0"/>
              <w:jc w:val="right"/>
              <w:rPr>
                <w:rFonts w:eastAsia="Times New Roman" w:cs="Times New Roman"/>
                <w:sz w:val="20"/>
                <w:lang w:eastAsia="sk-SK"/>
              </w:rPr>
            </w:pPr>
            <w:r w:rsidRPr="00D41517">
              <w:rPr>
                <w:color w:val="000000"/>
                <w:sz w:val="20"/>
              </w:rPr>
              <w:t>19,4</w:t>
            </w:r>
          </w:p>
        </w:tc>
        <w:tc>
          <w:tcPr>
            <w:tcW w:w="733" w:type="dxa"/>
            <w:tcBorders>
              <w:top w:val="nil"/>
              <w:left w:val="nil"/>
              <w:bottom w:val="nil"/>
              <w:right w:val="nil"/>
            </w:tcBorders>
            <w:shd w:val="clear" w:color="000000" w:fill="FFFFFF"/>
            <w:noWrap/>
            <w:vAlign w:val="bottom"/>
            <w:hideMark/>
          </w:tcPr>
          <w:p w14:paraId="76D34A7F" w14:textId="778238B4" w:rsidR="00B24E86" w:rsidRPr="00B24E86" w:rsidRDefault="00B24E86" w:rsidP="00B24E86">
            <w:pPr>
              <w:spacing w:after="0"/>
              <w:jc w:val="right"/>
              <w:rPr>
                <w:rFonts w:eastAsia="Times New Roman" w:cs="Times New Roman"/>
                <w:sz w:val="20"/>
                <w:lang w:eastAsia="sk-SK"/>
              </w:rPr>
            </w:pPr>
            <w:r w:rsidRPr="00D41517">
              <w:rPr>
                <w:color w:val="000000"/>
                <w:sz w:val="20"/>
              </w:rPr>
              <w:t>10,3</w:t>
            </w:r>
          </w:p>
        </w:tc>
      </w:tr>
      <w:tr w:rsidR="00B24E86" w:rsidRPr="00CA2564" w14:paraId="4D0F69B8" w14:textId="77777777" w:rsidTr="003116FA">
        <w:tblPrEx>
          <w:tblCellMar>
            <w:left w:w="70" w:type="dxa"/>
            <w:right w:w="70" w:type="dxa"/>
          </w:tblCellMar>
          <w:tblLook w:val="04A0" w:firstRow="1" w:lastRow="0" w:firstColumn="1" w:lastColumn="0" w:noHBand="0" w:noVBand="1"/>
        </w:tblPrEx>
        <w:trPr>
          <w:trHeight w:val="300"/>
        </w:trPr>
        <w:tc>
          <w:tcPr>
            <w:tcW w:w="2254" w:type="dxa"/>
            <w:tcBorders>
              <w:top w:val="nil"/>
              <w:left w:val="nil"/>
              <w:bottom w:val="nil"/>
              <w:right w:val="nil"/>
            </w:tcBorders>
            <w:shd w:val="clear" w:color="000000" w:fill="FFFFFF"/>
            <w:noWrap/>
            <w:vAlign w:val="bottom"/>
            <w:hideMark/>
          </w:tcPr>
          <w:p w14:paraId="32468D76" w14:textId="77777777" w:rsidR="00B24E86" w:rsidRPr="00CA2564" w:rsidRDefault="00B24E86" w:rsidP="00B24E86">
            <w:pPr>
              <w:spacing w:after="0"/>
              <w:jc w:val="left"/>
              <w:rPr>
                <w:rFonts w:eastAsia="Times New Roman" w:cs="Times New Roman"/>
                <w:b/>
                <w:bCs/>
                <w:sz w:val="20"/>
                <w:lang w:eastAsia="sk-SK"/>
              </w:rPr>
            </w:pPr>
            <w:r w:rsidRPr="00CA2564">
              <w:rPr>
                <w:rFonts w:eastAsia="Times New Roman" w:cs="Times New Roman"/>
                <w:b/>
                <w:bCs/>
                <w:sz w:val="20"/>
                <w:lang w:eastAsia="sk-SK"/>
              </w:rPr>
              <w:t>mimo PHN</w:t>
            </w:r>
          </w:p>
        </w:tc>
        <w:tc>
          <w:tcPr>
            <w:tcW w:w="1899" w:type="dxa"/>
            <w:tcBorders>
              <w:top w:val="nil"/>
              <w:left w:val="nil"/>
              <w:bottom w:val="nil"/>
              <w:right w:val="nil"/>
            </w:tcBorders>
            <w:shd w:val="clear" w:color="000000" w:fill="FFFFFF"/>
            <w:noWrap/>
            <w:vAlign w:val="bottom"/>
            <w:hideMark/>
          </w:tcPr>
          <w:p w14:paraId="57ADC6BA" w14:textId="59C64886" w:rsidR="00B24E86" w:rsidRPr="00B24E86" w:rsidRDefault="00B24E86" w:rsidP="00B24E86">
            <w:pPr>
              <w:spacing w:after="0"/>
              <w:jc w:val="right"/>
              <w:rPr>
                <w:rFonts w:eastAsia="Times New Roman" w:cs="Times New Roman"/>
                <w:sz w:val="20"/>
                <w:lang w:eastAsia="sk-SK"/>
              </w:rPr>
            </w:pPr>
            <w:r w:rsidRPr="00D41517">
              <w:rPr>
                <w:color w:val="000000"/>
                <w:sz w:val="20"/>
              </w:rPr>
              <w:t>8,0</w:t>
            </w:r>
          </w:p>
        </w:tc>
        <w:tc>
          <w:tcPr>
            <w:tcW w:w="4045" w:type="dxa"/>
            <w:tcBorders>
              <w:top w:val="nil"/>
              <w:left w:val="nil"/>
              <w:bottom w:val="nil"/>
              <w:right w:val="nil"/>
            </w:tcBorders>
            <w:shd w:val="clear" w:color="000000" w:fill="FFFFFF"/>
            <w:noWrap/>
            <w:vAlign w:val="bottom"/>
            <w:hideMark/>
          </w:tcPr>
          <w:p w14:paraId="40ADA5C3" w14:textId="26D935B1" w:rsidR="00B24E86" w:rsidRPr="00B24E86" w:rsidRDefault="00B24E86" w:rsidP="00B24E86">
            <w:pPr>
              <w:spacing w:after="0"/>
              <w:jc w:val="right"/>
              <w:rPr>
                <w:rFonts w:eastAsia="Times New Roman" w:cs="Times New Roman"/>
                <w:sz w:val="20"/>
                <w:lang w:eastAsia="sk-SK"/>
              </w:rPr>
            </w:pPr>
            <w:r w:rsidRPr="00D41517">
              <w:rPr>
                <w:color w:val="000000"/>
                <w:sz w:val="20"/>
              </w:rPr>
              <w:t>48,8</w:t>
            </w:r>
          </w:p>
        </w:tc>
        <w:tc>
          <w:tcPr>
            <w:tcW w:w="733" w:type="dxa"/>
            <w:tcBorders>
              <w:top w:val="nil"/>
              <w:left w:val="nil"/>
              <w:bottom w:val="nil"/>
              <w:right w:val="nil"/>
            </w:tcBorders>
            <w:shd w:val="clear" w:color="000000" w:fill="FFFFFF"/>
            <w:noWrap/>
            <w:vAlign w:val="bottom"/>
            <w:hideMark/>
          </w:tcPr>
          <w:p w14:paraId="60BCFBA9" w14:textId="75ED8830" w:rsidR="00B24E86" w:rsidRPr="00B24E86" w:rsidRDefault="00B24E86" w:rsidP="00B24E86">
            <w:pPr>
              <w:spacing w:after="0"/>
              <w:jc w:val="right"/>
              <w:rPr>
                <w:rFonts w:eastAsia="Times New Roman" w:cs="Times New Roman"/>
                <w:sz w:val="20"/>
                <w:lang w:eastAsia="sk-SK"/>
              </w:rPr>
            </w:pPr>
            <w:r w:rsidRPr="00D41517">
              <w:rPr>
                <w:color w:val="000000"/>
                <w:sz w:val="20"/>
              </w:rPr>
              <w:t>46,1</w:t>
            </w:r>
          </w:p>
        </w:tc>
      </w:tr>
      <w:tr w:rsidR="00B24E86" w:rsidRPr="00CA2564" w14:paraId="50FF73C9" w14:textId="77777777" w:rsidTr="003116FA">
        <w:tblPrEx>
          <w:tblCellMar>
            <w:left w:w="70" w:type="dxa"/>
            <w:right w:w="70" w:type="dxa"/>
          </w:tblCellMar>
          <w:tblLook w:val="04A0" w:firstRow="1" w:lastRow="0" w:firstColumn="1" w:lastColumn="0" w:noHBand="0" w:noVBand="1"/>
        </w:tblPrEx>
        <w:trPr>
          <w:trHeight w:val="300"/>
        </w:trPr>
        <w:tc>
          <w:tcPr>
            <w:tcW w:w="2254" w:type="dxa"/>
            <w:tcBorders>
              <w:top w:val="nil"/>
              <w:left w:val="nil"/>
              <w:bottom w:val="single" w:sz="4" w:space="0" w:color="auto"/>
              <w:right w:val="nil"/>
            </w:tcBorders>
            <w:shd w:val="clear" w:color="000000" w:fill="FFFFFF"/>
            <w:noWrap/>
            <w:vAlign w:val="bottom"/>
            <w:hideMark/>
          </w:tcPr>
          <w:p w14:paraId="6357A430" w14:textId="77777777" w:rsidR="00B24E86" w:rsidRPr="00CA2564" w:rsidRDefault="00B24E86" w:rsidP="00B24E86">
            <w:pPr>
              <w:spacing w:after="0"/>
              <w:jc w:val="left"/>
              <w:rPr>
                <w:rFonts w:eastAsia="Times New Roman" w:cs="Times New Roman"/>
                <w:b/>
                <w:bCs/>
                <w:sz w:val="20"/>
                <w:lang w:eastAsia="sk-SK"/>
              </w:rPr>
            </w:pPr>
            <w:r w:rsidRPr="00CA2564">
              <w:rPr>
                <w:rFonts w:eastAsia="Times New Roman" w:cs="Times New Roman"/>
                <w:b/>
                <w:bCs/>
                <w:sz w:val="20"/>
                <w:lang w:eastAsia="sk-SK"/>
              </w:rPr>
              <w:t>Celkom</w:t>
            </w:r>
          </w:p>
        </w:tc>
        <w:tc>
          <w:tcPr>
            <w:tcW w:w="1899" w:type="dxa"/>
            <w:tcBorders>
              <w:top w:val="nil"/>
              <w:left w:val="nil"/>
              <w:bottom w:val="single" w:sz="4" w:space="0" w:color="auto"/>
              <w:right w:val="nil"/>
            </w:tcBorders>
            <w:shd w:val="clear" w:color="000000" w:fill="FFFFFF"/>
            <w:noWrap/>
            <w:vAlign w:val="bottom"/>
            <w:hideMark/>
          </w:tcPr>
          <w:p w14:paraId="3442B84E" w14:textId="348E7ED1" w:rsidR="00B24E86" w:rsidRPr="00B24E86" w:rsidRDefault="00B24E86" w:rsidP="00B24E86">
            <w:pPr>
              <w:spacing w:after="0"/>
              <w:jc w:val="right"/>
              <w:rPr>
                <w:rFonts w:eastAsia="Times New Roman" w:cs="Times New Roman"/>
                <w:sz w:val="20"/>
                <w:lang w:eastAsia="sk-SK"/>
              </w:rPr>
            </w:pPr>
            <w:r w:rsidRPr="00D41517">
              <w:rPr>
                <w:color w:val="000000"/>
                <w:sz w:val="20"/>
              </w:rPr>
              <w:t>6,7</w:t>
            </w:r>
          </w:p>
        </w:tc>
        <w:tc>
          <w:tcPr>
            <w:tcW w:w="4045" w:type="dxa"/>
            <w:tcBorders>
              <w:top w:val="nil"/>
              <w:left w:val="nil"/>
              <w:bottom w:val="single" w:sz="4" w:space="0" w:color="auto"/>
              <w:right w:val="nil"/>
            </w:tcBorders>
            <w:shd w:val="clear" w:color="000000" w:fill="FFFFFF"/>
            <w:noWrap/>
            <w:vAlign w:val="bottom"/>
            <w:hideMark/>
          </w:tcPr>
          <w:p w14:paraId="7EA54D44" w14:textId="59A3E89F" w:rsidR="00B24E86" w:rsidRPr="00B24E86" w:rsidRDefault="00B24E86" w:rsidP="00B24E86">
            <w:pPr>
              <w:spacing w:after="0"/>
              <w:jc w:val="right"/>
              <w:rPr>
                <w:rFonts w:eastAsia="Times New Roman" w:cs="Times New Roman"/>
                <w:sz w:val="20"/>
                <w:lang w:eastAsia="sk-SK"/>
              </w:rPr>
            </w:pPr>
            <w:r w:rsidRPr="00D41517">
              <w:rPr>
                <w:color w:val="000000"/>
                <w:sz w:val="20"/>
              </w:rPr>
              <w:t>48,3</w:t>
            </w:r>
          </w:p>
        </w:tc>
        <w:tc>
          <w:tcPr>
            <w:tcW w:w="733" w:type="dxa"/>
            <w:tcBorders>
              <w:top w:val="nil"/>
              <w:left w:val="nil"/>
              <w:bottom w:val="single" w:sz="4" w:space="0" w:color="auto"/>
              <w:right w:val="nil"/>
            </w:tcBorders>
            <w:shd w:val="clear" w:color="000000" w:fill="FFFFFF"/>
            <w:noWrap/>
            <w:vAlign w:val="bottom"/>
            <w:hideMark/>
          </w:tcPr>
          <w:p w14:paraId="26922E1A" w14:textId="00200DA8" w:rsidR="00B24E86" w:rsidRPr="00B24E86" w:rsidRDefault="00B24E86" w:rsidP="00B24E86">
            <w:pPr>
              <w:spacing w:after="0"/>
              <w:jc w:val="right"/>
              <w:rPr>
                <w:rFonts w:eastAsia="Times New Roman" w:cs="Times New Roman"/>
                <w:sz w:val="20"/>
                <w:lang w:eastAsia="sk-SK"/>
              </w:rPr>
            </w:pPr>
            <w:r w:rsidRPr="00D41517">
              <w:rPr>
                <w:color w:val="000000"/>
                <w:sz w:val="20"/>
              </w:rPr>
              <w:t>45,0</w:t>
            </w:r>
          </w:p>
        </w:tc>
      </w:tr>
      <w:tr w:rsidR="00B24E86" w:rsidRPr="00CA2564" w14:paraId="54004A0B" w14:textId="77777777" w:rsidTr="003116FA">
        <w:tblPrEx>
          <w:tblCellMar>
            <w:left w:w="70" w:type="dxa"/>
            <w:right w:w="70" w:type="dxa"/>
          </w:tblCellMar>
          <w:tblLook w:val="04A0" w:firstRow="1" w:lastRow="0" w:firstColumn="1" w:lastColumn="0" w:noHBand="0" w:noVBand="1"/>
        </w:tblPrEx>
        <w:trPr>
          <w:trHeight w:val="104"/>
        </w:trPr>
        <w:tc>
          <w:tcPr>
            <w:tcW w:w="8931" w:type="dxa"/>
            <w:gridSpan w:val="4"/>
            <w:tcBorders>
              <w:top w:val="single" w:sz="4" w:space="0" w:color="auto"/>
              <w:left w:val="nil"/>
              <w:bottom w:val="nil"/>
              <w:right w:val="nil"/>
            </w:tcBorders>
            <w:shd w:val="clear" w:color="auto" w:fill="auto"/>
            <w:vAlign w:val="bottom"/>
            <w:hideMark/>
          </w:tcPr>
          <w:p w14:paraId="7309C5C6" w14:textId="77777777" w:rsidR="00D25EFE" w:rsidRPr="00CA2564" w:rsidRDefault="00D25EFE" w:rsidP="00914ABF">
            <w:pPr>
              <w:spacing w:after="0"/>
              <w:jc w:val="right"/>
              <w:rPr>
                <w:rFonts w:eastAsia="Times New Roman" w:cs="Times New Roman"/>
                <w:i/>
                <w:iCs/>
                <w:sz w:val="16"/>
                <w:szCs w:val="16"/>
                <w:lang w:eastAsia="sk-SK"/>
              </w:rPr>
            </w:pPr>
            <w:r w:rsidRPr="00CA2564">
              <w:rPr>
                <w:rFonts w:eastAsia="Times New Roman" w:cs="Times New Roman"/>
                <w:i/>
                <w:iCs/>
                <w:sz w:val="16"/>
                <w:szCs w:val="16"/>
                <w:lang w:eastAsia="sk-SK"/>
              </w:rPr>
              <w:t xml:space="preserve">Zdroj: ÚHP na základe údajov </w:t>
            </w:r>
            <w:r w:rsidRPr="00CA2564">
              <w:rPr>
                <w:i/>
                <w:noProof/>
                <w:sz w:val="16"/>
                <w:szCs w:val="16"/>
              </w:rPr>
              <w:t>RIS MŠVVŠ, ÚPSVR, MV, ARK</w:t>
            </w:r>
          </w:p>
          <w:p w14:paraId="58F54260" w14:textId="1842C0D3" w:rsidR="00D25EFE" w:rsidRPr="00CA2564" w:rsidRDefault="00D25EFE" w:rsidP="002A676F">
            <w:pPr>
              <w:spacing w:after="0"/>
              <w:jc w:val="left"/>
              <w:rPr>
                <w:rFonts w:eastAsia="Times New Roman" w:cs="Times New Roman"/>
                <w:i/>
                <w:iCs/>
                <w:sz w:val="16"/>
                <w:szCs w:val="16"/>
                <w:lang w:eastAsia="sk-SK"/>
              </w:rPr>
            </w:pPr>
            <w:r w:rsidRPr="00CA2564">
              <w:rPr>
                <w:rFonts w:eastAsia="Times New Roman" w:cs="Times New Roman"/>
                <w:i/>
                <w:iCs/>
                <w:color w:val="000000"/>
                <w:sz w:val="16"/>
                <w:szCs w:val="16"/>
                <w:lang w:eastAsia="sk-SK"/>
              </w:rPr>
              <w:t xml:space="preserve">Poznámka: </w:t>
            </w:r>
            <w:r w:rsidR="002A676F" w:rsidRPr="002A676F">
              <w:rPr>
                <w:i/>
                <w:noProof/>
                <w:sz w:val="18"/>
                <w:szCs w:val="18"/>
              </w:rPr>
              <w:fldChar w:fldCharType="begin"/>
            </w:r>
            <w:r w:rsidR="002A676F" w:rsidRPr="002A676F">
              <w:rPr>
                <w:rFonts w:eastAsia="Times New Roman" w:cs="Times New Roman"/>
                <w:i/>
                <w:iCs/>
                <w:color w:val="000000"/>
                <w:sz w:val="18"/>
                <w:szCs w:val="18"/>
              </w:rPr>
              <w:instrText xml:space="preserve"> REF _Ref33439692 \h </w:instrText>
            </w:r>
            <w:r w:rsidR="002A676F" w:rsidRPr="002A676F">
              <w:rPr>
                <w:i/>
                <w:noProof/>
                <w:sz w:val="18"/>
                <w:szCs w:val="18"/>
              </w:rPr>
              <w:instrText xml:space="preserve"> \* MERGEFORMAT </w:instrText>
            </w:r>
            <w:r w:rsidR="002A676F" w:rsidRPr="002A676F">
              <w:rPr>
                <w:i/>
                <w:noProof/>
                <w:sz w:val="18"/>
                <w:szCs w:val="18"/>
              </w:rPr>
            </w:r>
            <w:r w:rsidR="002A676F" w:rsidRPr="002A676F">
              <w:rPr>
                <w:i/>
                <w:noProof/>
                <w:sz w:val="18"/>
                <w:szCs w:val="18"/>
              </w:rPr>
              <w:fldChar w:fldCharType="separate"/>
            </w:r>
            <w:r w:rsidR="00FA29AF" w:rsidRPr="00FA29AF">
              <w:rPr>
                <w:i/>
                <w:sz w:val="18"/>
                <w:szCs w:val="18"/>
              </w:rPr>
              <w:t xml:space="preserve">Box </w:t>
            </w:r>
            <w:r w:rsidR="00FA29AF" w:rsidRPr="00FA29AF">
              <w:rPr>
                <w:i/>
                <w:noProof/>
                <w:sz w:val="18"/>
                <w:szCs w:val="18"/>
              </w:rPr>
              <w:t>3</w:t>
            </w:r>
            <w:r w:rsidR="002A676F" w:rsidRPr="002A676F">
              <w:rPr>
                <w:i/>
                <w:noProof/>
                <w:sz w:val="18"/>
                <w:szCs w:val="18"/>
              </w:rPr>
              <w:fldChar w:fldCharType="end"/>
            </w:r>
            <w:r w:rsidR="002A676F" w:rsidRPr="002A676F">
              <w:rPr>
                <w:i/>
                <w:noProof/>
                <w:sz w:val="18"/>
                <w:szCs w:val="18"/>
              </w:rPr>
              <w:t xml:space="preserve"> </w:t>
            </w:r>
            <w:r w:rsidRPr="00CA2564">
              <w:rPr>
                <w:i/>
                <w:noProof/>
                <w:sz w:val="16"/>
                <w:szCs w:val="16"/>
              </w:rPr>
              <w:t>pre definíciu MRK a PHN.</w:t>
            </w:r>
          </w:p>
        </w:tc>
      </w:tr>
    </w:tbl>
    <w:p w14:paraId="1402B63D" w14:textId="77777777" w:rsidR="00695590" w:rsidRPr="00B07E9A" w:rsidRDefault="00695590" w:rsidP="00C53A8A">
      <w:pPr>
        <w:pStyle w:val="Bezriadkovania"/>
        <w:spacing w:before="240" w:after="240" w:line="259" w:lineRule="auto"/>
        <w:jc w:val="both"/>
        <w:rPr>
          <w:rFonts w:ascii="Arial Narrow" w:hAnsi="Arial Narrow"/>
          <w:color w:val="0070C0"/>
        </w:rPr>
      </w:pPr>
      <w:r>
        <w:rPr>
          <w:rFonts w:ascii="Arial Narrow" w:hAnsi="Arial Narrow"/>
          <w:color w:val="0070C0"/>
        </w:rPr>
        <w:t>Existujúce opatrenia na podporu sociálne znevýhodnených študentov na vysokých školách</w:t>
      </w:r>
    </w:p>
    <w:p w14:paraId="45218564" w14:textId="77A885A7" w:rsidR="004F2EFF" w:rsidRPr="00695590" w:rsidRDefault="004F2EFF" w:rsidP="004F2EFF">
      <w:pPr>
        <w:rPr>
          <w:lang w:eastAsia="sk-SK"/>
        </w:rPr>
      </w:pPr>
      <w:r w:rsidRPr="00731238">
        <w:rPr>
          <w:b/>
          <w:lang w:eastAsia="sk-SK"/>
        </w:rPr>
        <w:t>V roku 2018 bolo sociálne štipendium vyplatené 9 </w:t>
      </w:r>
      <w:r>
        <w:rPr>
          <w:b/>
          <w:lang w:eastAsia="sk-SK"/>
        </w:rPr>
        <w:t>488</w:t>
      </w:r>
      <w:r w:rsidRPr="00731238">
        <w:rPr>
          <w:b/>
          <w:lang w:eastAsia="sk-SK"/>
        </w:rPr>
        <w:t xml:space="preserve"> študentom, priemerná mesačná výška štipendia bola 102 eur, spolu išlo o výdavky v hodnote </w:t>
      </w:r>
      <w:r>
        <w:rPr>
          <w:b/>
          <w:lang w:eastAsia="sk-SK"/>
        </w:rPr>
        <w:t xml:space="preserve">takmer </w:t>
      </w:r>
      <w:r w:rsidRPr="00731238">
        <w:rPr>
          <w:b/>
          <w:lang w:eastAsia="sk-SK"/>
        </w:rPr>
        <w:t>11,</w:t>
      </w:r>
      <w:r>
        <w:rPr>
          <w:b/>
          <w:lang w:eastAsia="sk-SK"/>
        </w:rPr>
        <w:t>6</w:t>
      </w:r>
      <w:r w:rsidRPr="00731238">
        <w:rPr>
          <w:b/>
          <w:lang w:eastAsia="sk-SK"/>
        </w:rPr>
        <w:t xml:space="preserve"> milióna eur.</w:t>
      </w:r>
      <w:r w:rsidRPr="00820AA9">
        <w:rPr>
          <w:lang w:eastAsia="sk-SK"/>
        </w:rPr>
        <w:t xml:space="preserve"> </w:t>
      </w:r>
      <w:r>
        <w:rPr>
          <w:lang w:eastAsia="sk-SK"/>
        </w:rPr>
        <w:t>Nárok na š</w:t>
      </w:r>
      <w:r w:rsidRPr="00820AA9">
        <w:rPr>
          <w:lang w:eastAsia="sk-SK"/>
        </w:rPr>
        <w:t>tipendium</w:t>
      </w:r>
      <w:r w:rsidR="004D6DBB">
        <w:rPr>
          <w:lang w:eastAsia="sk-SK"/>
        </w:rPr>
        <w:t xml:space="preserve"> </w:t>
      </w:r>
      <w:r>
        <w:rPr>
          <w:lang w:eastAsia="sk-SK"/>
        </w:rPr>
        <w:t>vzniká</w:t>
      </w:r>
      <w:r w:rsidR="00132622">
        <w:rPr>
          <w:lang w:eastAsia="sk-SK"/>
        </w:rPr>
        <w:t>,</w:t>
      </w:r>
      <w:r>
        <w:rPr>
          <w:lang w:eastAsia="sk-SK"/>
        </w:rPr>
        <w:t xml:space="preserve"> ak študent, respektíve s ním spoločne posudzované osoby</w:t>
      </w:r>
      <w:r w:rsidR="00132622">
        <w:rPr>
          <w:lang w:eastAsia="sk-SK"/>
        </w:rPr>
        <w:t>,</w:t>
      </w:r>
      <w:r>
        <w:rPr>
          <w:lang w:eastAsia="sk-SK"/>
        </w:rPr>
        <w:t xml:space="preserve"> nedosiahnu hranicu príjmu stanovenú ako súčet súm životného minima. </w:t>
      </w:r>
      <w:r w:rsidRPr="00DC2008">
        <w:rPr>
          <w:bCs/>
          <w:lang w:eastAsia="sk-SK"/>
        </w:rPr>
        <w:t>Konkrétna výška štipendia závis</w:t>
      </w:r>
      <w:r>
        <w:rPr>
          <w:bCs/>
          <w:lang w:eastAsia="sk-SK"/>
        </w:rPr>
        <w:t>í</w:t>
      </w:r>
      <w:r w:rsidRPr="00DC2008">
        <w:rPr>
          <w:bCs/>
          <w:lang w:eastAsia="sk-SK"/>
        </w:rPr>
        <w:t xml:space="preserve"> od</w:t>
      </w:r>
      <w:r>
        <w:rPr>
          <w:lang w:eastAsia="sk-SK"/>
        </w:rPr>
        <w:t xml:space="preserve"> </w:t>
      </w:r>
      <w:r w:rsidRPr="00887AC2">
        <w:rPr>
          <w:lang w:eastAsia="sk-SK"/>
        </w:rPr>
        <w:t xml:space="preserve">spoločne posudzovaných osôb </w:t>
      </w:r>
      <w:r w:rsidR="00777B9B">
        <w:rPr>
          <w:lang w:eastAsia="sk-SK"/>
        </w:rPr>
        <w:t>(napr. manžel alebo rodič), ich </w:t>
      </w:r>
      <w:r w:rsidRPr="00887AC2">
        <w:rPr>
          <w:lang w:eastAsia="sk-SK"/>
        </w:rPr>
        <w:t>celkového príjmu a vzdialenosti školy od miesta trvalého pobytu študenta</w:t>
      </w:r>
      <w:r>
        <w:rPr>
          <w:lang w:eastAsia="sk-SK"/>
        </w:rPr>
        <w:t>.</w:t>
      </w:r>
      <w:r>
        <w:rPr>
          <w:rStyle w:val="Odkaznapoznmkupodiarou"/>
          <w:lang w:eastAsia="sk-SK"/>
        </w:rPr>
        <w:footnoteReference w:id="161"/>
      </w:r>
      <w:r>
        <w:rPr>
          <w:lang w:eastAsia="sk-SK"/>
        </w:rPr>
        <w:t xml:space="preserve"> </w:t>
      </w:r>
      <w:r w:rsidRPr="007B2436">
        <w:rPr>
          <w:lang w:eastAsia="sk-SK"/>
        </w:rPr>
        <w:t xml:space="preserve">Evaluácia tohto </w:t>
      </w:r>
      <w:r w:rsidR="00777B9B">
        <w:rPr>
          <w:lang w:eastAsia="sk-SK"/>
        </w:rPr>
        <w:t>opatrenia, to </w:t>
      </w:r>
      <w:r w:rsidRPr="007B2436">
        <w:rPr>
          <w:lang w:eastAsia="sk-SK"/>
        </w:rPr>
        <w:t>znamená do akej miery umožňujú štipendiá študentom VŠ zo SZP kompenzovať znevýhodnenie a zotrvať v terciárnom vzdelávaní, aktuálne nie je dostupná.</w:t>
      </w:r>
    </w:p>
    <w:p w14:paraId="33BAE68D" w14:textId="6841B3F0" w:rsidR="00416B7B" w:rsidRPr="00CA2564" w:rsidRDefault="00EA7FF5" w:rsidP="00416B7B">
      <w:pPr>
        <w:pStyle w:val="Nadpis1"/>
      </w:pPr>
      <w:bookmarkStart w:id="380" w:name="_Toc32339456"/>
      <w:bookmarkStart w:id="381" w:name="_Ref25227067"/>
      <w:bookmarkStart w:id="382" w:name="_Ref25315632"/>
      <w:bookmarkStart w:id="383" w:name="_Ref25582103"/>
      <w:bookmarkStart w:id="384" w:name="_Toc34657719"/>
      <w:bookmarkEnd w:id="380"/>
      <w:r w:rsidRPr="00CA2564">
        <w:t>Vzdelávanie detí so zdravotným znevýhodnením</w:t>
      </w:r>
      <w:bookmarkEnd w:id="381"/>
      <w:bookmarkEnd w:id="382"/>
      <w:bookmarkEnd w:id="383"/>
      <w:bookmarkEnd w:id="384"/>
    </w:p>
    <w:p w14:paraId="1DA61501" w14:textId="77777777" w:rsidR="00343B8D" w:rsidRPr="00DC66C6" w:rsidRDefault="00343B8D" w:rsidP="00343B8D">
      <w:pPr>
        <w:pStyle w:val="Odsekzoznamu"/>
        <w:numPr>
          <w:ilvl w:val="0"/>
          <w:numId w:val="33"/>
        </w:numPr>
        <w:ind w:left="270" w:hanging="270"/>
        <w:rPr>
          <w:b/>
        </w:rPr>
      </w:pPr>
      <w:r w:rsidRPr="00DC66C6">
        <w:rPr>
          <w:b/>
          <w:color w:val="000000" w:themeColor="text1"/>
        </w:rPr>
        <w:t xml:space="preserve">Dôležitým prvkom sociálnej inklúzie je prístup ku kvalitnému inkluzívnemu vzdelávaniu. </w:t>
      </w:r>
      <w:r w:rsidRPr="00DC66C6">
        <w:rPr>
          <w:b/>
          <w:bCs/>
          <w:color w:val="000000" w:themeColor="text1"/>
        </w:rPr>
        <w:t>Hlavnou víziou inkluzívnych vzdelávacích systémov je zabezpečiť, aby všetky deti, vrátane detí so zdravotným znevýhodnením, mali prístup ku kvalitným vzdelávacím príležitostiam vo svojej komunite v bežnom vzdelávacom prúde.</w:t>
      </w:r>
    </w:p>
    <w:p w14:paraId="07807898" w14:textId="77777777" w:rsidR="00343B8D" w:rsidRPr="00DC66C6" w:rsidRDefault="00343B8D" w:rsidP="00343B8D">
      <w:pPr>
        <w:pStyle w:val="Odsekzoznamu"/>
        <w:numPr>
          <w:ilvl w:val="0"/>
          <w:numId w:val="33"/>
        </w:numPr>
        <w:ind w:left="270" w:hanging="270"/>
        <w:rPr>
          <w:b/>
        </w:rPr>
      </w:pPr>
      <w:r w:rsidRPr="00DC66C6">
        <w:rPr>
          <w:b/>
          <w:bCs/>
          <w:color w:val="000000" w:themeColor="text1"/>
        </w:rPr>
        <w:t xml:space="preserve">Zásadným problémom, ktorý môže negatívne vplývať na prístup ku vzdelaniu a obmedzovať plnohodnotnú účasť detí a žiakov so </w:t>
      </w:r>
      <w:r>
        <w:rPr>
          <w:b/>
          <w:bCs/>
          <w:color w:val="000000" w:themeColor="text1"/>
        </w:rPr>
        <w:t>zdravotným znevýhodnením (</w:t>
      </w:r>
      <w:r w:rsidRPr="00DC66C6">
        <w:rPr>
          <w:b/>
          <w:bCs/>
          <w:color w:val="000000" w:themeColor="text1"/>
        </w:rPr>
        <w:t>ZZ</w:t>
      </w:r>
      <w:r>
        <w:rPr>
          <w:b/>
          <w:bCs/>
          <w:color w:val="000000" w:themeColor="text1"/>
        </w:rPr>
        <w:t>)</w:t>
      </w:r>
      <w:r w:rsidRPr="00DC66C6">
        <w:rPr>
          <w:b/>
          <w:bCs/>
          <w:color w:val="000000" w:themeColor="text1"/>
        </w:rPr>
        <w:t xml:space="preserve"> na vzdelávaní je bariérové prostredie škôl. Na úrovni materských, základných a stredných škôl nie je odstraňovaniu architektonických, technologických a informačných bariér venovaná patričná pozornosť, školy nie sú metodicky usmerňované a dostatočne finančne podporované.</w:t>
      </w:r>
    </w:p>
    <w:p w14:paraId="669F1FA8" w14:textId="64539D55" w:rsidR="00343B8D" w:rsidRPr="00C96421" w:rsidRDefault="00343B8D" w:rsidP="00343B8D">
      <w:pPr>
        <w:pStyle w:val="Odsekzoznamu"/>
        <w:numPr>
          <w:ilvl w:val="0"/>
          <w:numId w:val="33"/>
        </w:numPr>
        <w:ind w:left="270" w:hanging="270"/>
        <w:rPr>
          <w:b/>
        </w:rPr>
      </w:pPr>
      <w:r w:rsidRPr="00DC66C6">
        <w:rPr>
          <w:b/>
        </w:rPr>
        <w:t>De</w:t>
      </w:r>
      <w:r w:rsidR="00A03E59">
        <w:rPr>
          <w:b/>
        </w:rPr>
        <w:t>ti so ZZ majú obmedzený prístup</w:t>
      </w:r>
      <w:r w:rsidRPr="00DC66C6">
        <w:rPr>
          <w:b/>
        </w:rPr>
        <w:t xml:space="preserve"> k predškolskému vzdelávaniu. Zaškolenosť predškolákov so ZZ (67 %) je nižšia oproti zaškolenosti predškolákov</w:t>
      </w:r>
      <w:r>
        <w:rPr>
          <w:b/>
        </w:rPr>
        <w:t xml:space="preserve"> </w:t>
      </w:r>
      <w:r w:rsidRPr="00DC66C6">
        <w:rPr>
          <w:b/>
        </w:rPr>
        <w:t>v celkovej populácii (85 %). Bežné materské školy nemajú povinnosť deti so ZZ prijať</w:t>
      </w:r>
      <w:r>
        <w:rPr>
          <w:b/>
        </w:rPr>
        <w:t>.</w:t>
      </w:r>
      <w:r w:rsidRPr="00DC66C6">
        <w:rPr>
          <w:b/>
        </w:rPr>
        <w:t xml:space="preserve"> </w:t>
      </w:r>
      <w:r w:rsidRPr="00C96421">
        <w:rPr>
          <w:b/>
        </w:rPr>
        <w:t>V </w:t>
      </w:r>
      <w:r w:rsidRPr="00343B8D">
        <w:rPr>
          <w:b/>
        </w:rPr>
        <w:t>základnom vzdelávaní dosahujú žiaci so ZZ horšie vzdelávacie výsledky ako celková populácia a častejšie opakujú ročník (4 % oproti 2,5 %). Po ukončení povinnej školskej dochádzky nepokračuje vo vzdelávaní 18 % žiakov</w:t>
      </w:r>
      <w:r w:rsidRPr="00C96421">
        <w:rPr>
          <w:b/>
        </w:rPr>
        <w:t xml:space="preserve"> so ZZ oproti 6 % ostatných žiako</w:t>
      </w:r>
      <w:r>
        <w:rPr>
          <w:b/>
        </w:rPr>
        <w:t>v.</w:t>
      </w:r>
    </w:p>
    <w:p w14:paraId="018E51F7" w14:textId="6AEC9C1F" w:rsidR="00343B8D" w:rsidRPr="00DC66C6" w:rsidRDefault="00343B8D" w:rsidP="00343B8D">
      <w:pPr>
        <w:pStyle w:val="Odsekzoznamu"/>
        <w:numPr>
          <w:ilvl w:val="0"/>
          <w:numId w:val="33"/>
        </w:numPr>
        <w:ind w:left="270" w:hanging="270"/>
        <w:rPr>
          <w:b/>
        </w:rPr>
      </w:pPr>
      <w:r w:rsidRPr="00DC66C6">
        <w:rPr>
          <w:b/>
        </w:rPr>
        <w:t>V špeciálnom školstve sú nadmerne zastúpení žiaci z</w:t>
      </w:r>
      <w:r>
        <w:rPr>
          <w:b/>
        </w:rPr>
        <w:t> </w:t>
      </w:r>
      <w:r w:rsidRPr="00DC66C6">
        <w:rPr>
          <w:b/>
        </w:rPr>
        <w:t>prostredia</w:t>
      </w:r>
      <w:r>
        <w:rPr>
          <w:b/>
        </w:rPr>
        <w:t xml:space="preserve"> marginalizovaných rómskych komunít</w:t>
      </w:r>
      <w:r w:rsidRPr="00DC66C6">
        <w:rPr>
          <w:b/>
        </w:rPr>
        <w:t xml:space="preserve"> </w:t>
      </w:r>
      <w:r>
        <w:rPr>
          <w:b/>
        </w:rPr>
        <w:t>(</w:t>
      </w:r>
      <w:r w:rsidRPr="00DC66C6">
        <w:rPr>
          <w:b/>
        </w:rPr>
        <w:t>MRK</w:t>
      </w:r>
      <w:r>
        <w:rPr>
          <w:b/>
        </w:rPr>
        <w:t>)</w:t>
      </w:r>
      <w:r w:rsidRPr="00DC66C6">
        <w:rPr>
          <w:b/>
        </w:rPr>
        <w:t xml:space="preserve"> a žiaci v</w:t>
      </w:r>
      <w:r>
        <w:rPr>
          <w:b/>
        </w:rPr>
        <w:t> </w:t>
      </w:r>
      <w:r w:rsidRPr="00DC66C6">
        <w:rPr>
          <w:b/>
        </w:rPr>
        <w:t>systéme</w:t>
      </w:r>
      <w:r>
        <w:rPr>
          <w:b/>
        </w:rPr>
        <w:t xml:space="preserve"> pomoci v </w:t>
      </w:r>
      <w:r w:rsidR="00132622">
        <w:rPr>
          <w:b/>
        </w:rPr>
        <w:t>hmotnej</w:t>
      </w:r>
      <w:r>
        <w:rPr>
          <w:b/>
        </w:rPr>
        <w:t xml:space="preserve"> núdzi</w:t>
      </w:r>
      <w:r w:rsidRPr="00DC66C6">
        <w:rPr>
          <w:b/>
        </w:rPr>
        <w:t xml:space="preserve"> </w:t>
      </w:r>
      <w:r>
        <w:rPr>
          <w:b/>
        </w:rPr>
        <w:t>(</w:t>
      </w:r>
      <w:r w:rsidRPr="00DC66C6">
        <w:rPr>
          <w:b/>
        </w:rPr>
        <w:t>PHN</w:t>
      </w:r>
      <w:r>
        <w:rPr>
          <w:b/>
        </w:rPr>
        <w:t>)</w:t>
      </w:r>
      <w:r w:rsidRPr="00DC66C6">
        <w:rPr>
          <w:b/>
        </w:rPr>
        <w:t>, najmä z dôvodu diagnózy ľahkého mentálneho postihnutia. Jeho výskyt je v populácii žiakov v systéme PHN trojnásobne a v populácii žiakov z prostredia MRK až takmer päťnásobne vyšší ako v celkovej populácii žiakov základných škôl.</w:t>
      </w:r>
    </w:p>
    <w:p w14:paraId="4BEB33B7" w14:textId="77777777" w:rsidR="00343B8D" w:rsidRPr="00DC66C6" w:rsidRDefault="00343B8D" w:rsidP="00343B8D">
      <w:pPr>
        <w:pStyle w:val="Odsekzoznamu"/>
        <w:numPr>
          <w:ilvl w:val="0"/>
          <w:numId w:val="33"/>
        </w:numPr>
        <w:ind w:left="270" w:hanging="270"/>
        <w:rPr>
          <w:b/>
        </w:rPr>
      </w:pPr>
      <w:r w:rsidRPr="00DC66C6">
        <w:rPr>
          <w:b/>
          <w:color w:val="000000" w:themeColor="text1"/>
        </w:rPr>
        <w:t xml:space="preserve">Napriek tomu, že v súčasnosti už niečo viac ako polovica detí so ZZ navštevuje bežné školy, </w:t>
      </w:r>
      <w:r w:rsidRPr="00DC66C6">
        <w:rPr>
          <w:b/>
        </w:rPr>
        <w:t>v medzinárodnom porovnaní bolo Slovensko v roku 2014 krajinou s najvyšším podielom žiakov vzdelávaných v špeciálnom školstve</w:t>
      </w:r>
      <w:r>
        <w:rPr>
          <w:b/>
        </w:rPr>
        <w:t xml:space="preserve"> (6</w:t>
      </w:r>
      <w:r w:rsidRPr="00DC66C6">
        <w:rPr>
          <w:b/>
        </w:rPr>
        <w:t xml:space="preserve"> % populácie žiakov základných škôl v porovnaní s</w:t>
      </w:r>
      <w:r>
        <w:rPr>
          <w:b/>
        </w:rPr>
        <w:t> takmer 2</w:t>
      </w:r>
      <w:r w:rsidRPr="00DC66C6">
        <w:rPr>
          <w:b/>
        </w:rPr>
        <w:t xml:space="preserve"> % vo vybraných kraj</w:t>
      </w:r>
      <w:r>
        <w:rPr>
          <w:b/>
        </w:rPr>
        <w:t>inách</w:t>
      </w:r>
      <w:r w:rsidRPr="00DC66C6">
        <w:rPr>
          <w:b/>
        </w:rPr>
        <w:t xml:space="preserve"> EÚ</w:t>
      </w:r>
      <w:r>
        <w:rPr>
          <w:b/>
        </w:rPr>
        <w:t>)</w:t>
      </w:r>
      <w:r w:rsidRPr="00DC66C6">
        <w:rPr>
          <w:b/>
        </w:rPr>
        <w:t>. V prostredí škôl zároveň prevláda názor, že oddelené vzdelávanie v špeciálnej triede alebo v špeciálnej škole predstavuje pre väčšinu žiakov so ZZ vhodnejšiu alternatívu ako vzdelávanie v bežnom prúde. Žiaci s mentálnym postihnutím sa v rozpore s Dohovorom OSN o právach osôb so zdravotným postihnutím nemôžu vzdelávať v bežných stredných školách.</w:t>
      </w:r>
    </w:p>
    <w:p w14:paraId="192BDC29" w14:textId="663845A1" w:rsidR="00343B8D" w:rsidRPr="00DC66C6" w:rsidRDefault="00A03E59" w:rsidP="00343B8D">
      <w:pPr>
        <w:pStyle w:val="Odsekzoznamu"/>
        <w:numPr>
          <w:ilvl w:val="0"/>
          <w:numId w:val="33"/>
        </w:numPr>
        <w:ind w:left="270" w:hanging="270"/>
        <w:rPr>
          <w:b/>
        </w:rPr>
      </w:pPr>
      <w:r>
        <w:rPr>
          <w:b/>
        </w:rPr>
        <w:t>Podpora detí so ZZ v </w:t>
      </w:r>
      <w:r w:rsidR="00343B8D" w:rsidRPr="00DC66C6">
        <w:rPr>
          <w:b/>
        </w:rPr>
        <w:t xml:space="preserve">základnom a strednom vzdelávaní spočíva najmä v navýšených normatívoch na napĺňanie potrieb týchto žiakov. Údaje o využívaní navýšených normatívov nie sú dostupné. Z analýzy dostupných dát však </w:t>
      </w:r>
      <w:r w:rsidR="00B24660">
        <w:rPr>
          <w:b/>
        </w:rPr>
        <w:t>vyplýva</w:t>
      </w:r>
      <w:r w:rsidR="00343B8D" w:rsidRPr="00DC66C6">
        <w:rPr>
          <w:b/>
        </w:rPr>
        <w:t>, že tieto zdroje väčšine škôl nepostačujú na zafinancovanie pedagogických asistentov a odborných zamestnancov, ktorí zohrávajú dôležitú úlohu pri vytváraní inkluzívneho školského prostredia.</w:t>
      </w:r>
    </w:p>
    <w:p w14:paraId="42A9C652" w14:textId="77777777" w:rsidR="00343B8D" w:rsidRPr="00DC66C6" w:rsidRDefault="00343B8D" w:rsidP="00343B8D">
      <w:pPr>
        <w:pStyle w:val="Odsekzoznamu"/>
        <w:numPr>
          <w:ilvl w:val="0"/>
          <w:numId w:val="33"/>
        </w:numPr>
        <w:ind w:left="270" w:hanging="270"/>
        <w:rPr>
          <w:b/>
        </w:rPr>
      </w:pPr>
      <w:r w:rsidRPr="00DC66C6">
        <w:rPr>
          <w:b/>
        </w:rPr>
        <w:t xml:space="preserve">V roku 2018 predstavovali </w:t>
      </w:r>
      <w:r>
        <w:rPr>
          <w:b/>
        </w:rPr>
        <w:t xml:space="preserve">dodatočné </w:t>
      </w:r>
      <w:r w:rsidRPr="00DC66C6">
        <w:rPr>
          <w:b/>
        </w:rPr>
        <w:t xml:space="preserve">výdavky na podporu vzdelávania </w:t>
      </w:r>
      <w:r>
        <w:rPr>
          <w:b/>
        </w:rPr>
        <w:t xml:space="preserve">detí a </w:t>
      </w:r>
      <w:r w:rsidRPr="00DC66C6">
        <w:rPr>
          <w:b/>
        </w:rPr>
        <w:t>žiakov so ZZ</w:t>
      </w:r>
      <w:r>
        <w:rPr>
          <w:b/>
        </w:rPr>
        <w:t xml:space="preserve"> </w:t>
      </w:r>
      <w:r w:rsidRPr="00DC66C6">
        <w:rPr>
          <w:b/>
        </w:rPr>
        <w:t xml:space="preserve">vyše 165 miliónov eur. Najväčšiu časť výdavkov na podporu vzdelávania žiakov so ZZ vo forme navýšených normatívov tvorili výdavky v základnom vzdelávaní. </w:t>
      </w:r>
      <w:r>
        <w:rPr>
          <w:b/>
        </w:rPr>
        <w:t xml:space="preserve">Potreby detí so ZZ, ktoré sa vzdelávali v bežných materských školách, a ktoré navštevovali školské kluby detí pri bežných základných školách neboli v systéme financovania zohľadnené. </w:t>
      </w:r>
    </w:p>
    <w:p w14:paraId="0629FED3" w14:textId="322EB4E5" w:rsidR="00343B8D" w:rsidRDefault="00343B8D" w:rsidP="00343B8D">
      <w:pPr>
        <w:pStyle w:val="Odsekzoznamu"/>
        <w:numPr>
          <w:ilvl w:val="0"/>
          <w:numId w:val="33"/>
        </w:numPr>
        <w:ind w:left="270" w:hanging="270"/>
        <w:rPr>
          <w:b/>
        </w:rPr>
      </w:pPr>
      <w:r w:rsidRPr="00DC66C6">
        <w:rPr>
          <w:b/>
        </w:rPr>
        <w:t xml:space="preserve">Pre zvýšenie prístupnosti školského prostredia navrhuje revízia metodicky a finančne podporovať debarierizáciu na všetkých stupňoch vzdelávania. S cieľom zvyšovať inkluzívnosť slovenského vzdelávacieho systému </w:t>
      </w:r>
      <w:r>
        <w:rPr>
          <w:b/>
        </w:rPr>
        <w:t xml:space="preserve">je </w:t>
      </w:r>
      <w:r w:rsidR="00132622">
        <w:rPr>
          <w:b/>
        </w:rPr>
        <w:t>potrebné</w:t>
      </w:r>
      <w:r w:rsidRPr="00DC66C6">
        <w:rPr>
          <w:b/>
        </w:rPr>
        <w:t xml:space="preserve"> analyzovať a zlepšovať pripravenosť budúcich aj súčasných učiteľov na vzdelávanie detí a žiakov so ZZ a rozvíjať personálne kapacity pre inklúziu v materských a základných školách (pedagogickí asistenti, špeciálni pedagógovia, psychológovia, mentori, tútori a iní)</w:t>
      </w:r>
      <w:r>
        <w:rPr>
          <w:b/>
        </w:rPr>
        <w:t>. V základných školách revízia navrhuje upresniť rolu pedagogického asistenta, prepracovať kritéria pre jeho pridelenie a zaviesť právny nárok na asistenta.</w:t>
      </w:r>
    </w:p>
    <w:p w14:paraId="14219FA0" w14:textId="77777777" w:rsidR="00343B8D" w:rsidRPr="00DC66C6" w:rsidRDefault="00343B8D" w:rsidP="00343B8D">
      <w:pPr>
        <w:pStyle w:val="Odsekzoznamu"/>
        <w:numPr>
          <w:ilvl w:val="0"/>
          <w:numId w:val="33"/>
        </w:numPr>
        <w:ind w:left="270" w:hanging="270"/>
        <w:rPr>
          <w:b/>
        </w:rPr>
      </w:pPr>
      <w:r>
        <w:rPr>
          <w:b/>
        </w:rPr>
        <w:t>Revízia tiež navrhuje umožniť žiakom s mentálnym postihnutím získať nižšie stredné vzdelanie, čo im umožní pokračovať vo vzdelávaní aj v bežných stredných školách</w:t>
      </w:r>
      <w:r w:rsidRPr="00DC66C6">
        <w:rPr>
          <w:b/>
        </w:rPr>
        <w:t xml:space="preserve">. </w:t>
      </w:r>
      <w:r>
        <w:rPr>
          <w:b/>
        </w:rPr>
        <w:t xml:space="preserve">S cieľom eliminovať nadmerné zastúpenie žiakov (vrátane žiakov z MRK) v špeciálnom prúde je potrebné realizovať zmeny v kurikule pre žiakov s mentálnym postihnutím, podporiť prechod medzi špeciálnym a bežným prúdom a pilotne otestovať transformáciu špeciálnych škôl a tried. </w:t>
      </w:r>
    </w:p>
    <w:p w14:paraId="091656B8" w14:textId="4A7B5EE3" w:rsidR="008E166F" w:rsidRPr="00DC66C6" w:rsidRDefault="008E166F" w:rsidP="00452DBC">
      <w:pPr>
        <w:jc w:val="left"/>
        <w:rPr>
          <w:color w:val="0070C0"/>
          <w:szCs w:val="22"/>
        </w:rPr>
      </w:pPr>
      <w:r w:rsidRPr="00DC66C6">
        <w:rPr>
          <w:color w:val="0070C0"/>
        </w:rPr>
        <w:t>Zdravotné znevýhodnenie</w:t>
      </w:r>
    </w:p>
    <w:p w14:paraId="12B78D8B" w14:textId="14E73F39" w:rsidR="00D77CAE" w:rsidRPr="00DC66C6" w:rsidRDefault="00D77CAE" w:rsidP="00452DBC">
      <w:pPr>
        <w:pStyle w:val="Bezriadkovania"/>
        <w:spacing w:before="160" w:after="200" w:line="259" w:lineRule="auto"/>
        <w:jc w:val="both"/>
        <w:rPr>
          <w:rFonts w:ascii="Arial Narrow" w:hAnsi="Arial Narrow"/>
        </w:rPr>
      </w:pPr>
      <w:r w:rsidRPr="00DC66C6">
        <w:rPr>
          <w:rFonts w:ascii="Arial Narrow" w:hAnsi="Arial Narrow"/>
        </w:rPr>
        <w:t>Medzi deti</w:t>
      </w:r>
      <w:r w:rsidRPr="00DC66C6">
        <w:rPr>
          <w:rStyle w:val="Odkaznapoznmkupodiarou"/>
          <w:rFonts w:ascii="Arial Narrow" w:hAnsi="Arial Narrow"/>
        </w:rPr>
        <w:footnoteReference w:id="162"/>
      </w:r>
      <w:r w:rsidRPr="00DC66C6">
        <w:rPr>
          <w:rFonts w:ascii="Arial Narrow" w:hAnsi="Arial Narrow"/>
        </w:rPr>
        <w:t xml:space="preserve"> so zdravotným znevýhodneným patria deti s rôznymi druhmi zdravotného postihnutia (mentálne, sluchové, zrakové, telesné, narušená komunikačná schopnosť, autizmus), deti trpiace chorobami a zdravotnými oslabeniami dlhodobého charakteru (napríklad epilepsia, cukrovka, astma a i.), deti s vývinovými poruchami (poruchy aktivity a pozornosti, poruchy učenia) a deti s poruchami správania.</w:t>
      </w:r>
      <w:r w:rsidRPr="00DC66C6">
        <w:rPr>
          <w:rStyle w:val="Odkaznapoznmkupodiarou"/>
          <w:rFonts w:ascii="Arial Narrow" w:hAnsi="Arial Narrow"/>
        </w:rPr>
        <w:footnoteReference w:id="163"/>
      </w:r>
      <w:r w:rsidRPr="00DC66C6">
        <w:rPr>
          <w:rFonts w:ascii="Arial Narrow" w:hAnsi="Arial Narrow"/>
        </w:rPr>
        <w:t xml:space="preserve"> Vzdelávacie potreby </w:t>
      </w:r>
      <w:r w:rsidR="00B24660">
        <w:rPr>
          <w:rFonts w:ascii="Arial Narrow" w:hAnsi="Arial Narrow"/>
        </w:rPr>
        <w:t>vyplýva</w:t>
      </w:r>
      <w:r w:rsidRPr="00DC66C6">
        <w:rPr>
          <w:rFonts w:ascii="Arial Narrow" w:hAnsi="Arial Narrow"/>
        </w:rPr>
        <w:t xml:space="preserve">júce zo </w:t>
      </w:r>
      <w:r w:rsidRPr="00DC66C6">
        <w:rPr>
          <w:rFonts w:ascii="Arial Narrow" w:hAnsi="Arial Narrow"/>
          <w:bCs/>
        </w:rPr>
        <w:t>zdravotného znevýhodnenia patria medzi špeciálne výchovno-vzdelávacie potreby, ktoré diagnostikujú zariadenia výchovného poradenstva a prevencie (poradenské zariadenia)</w:t>
      </w:r>
      <w:r w:rsidRPr="00DC66C6">
        <w:rPr>
          <w:rStyle w:val="Odkaznapoznmkupodiarou"/>
          <w:rFonts w:ascii="Arial Narrow" w:hAnsi="Arial Narrow"/>
          <w:bCs/>
        </w:rPr>
        <w:footnoteReference w:id="164"/>
      </w:r>
      <w:r w:rsidRPr="00DC66C6">
        <w:rPr>
          <w:rFonts w:ascii="Arial Narrow" w:hAnsi="Arial Narrow"/>
          <w:bCs/>
        </w:rPr>
        <w:t xml:space="preserve"> v spolupráci s ďalšími odborníkmi.</w:t>
      </w:r>
      <w:r w:rsidRPr="00DC66C6">
        <w:rPr>
          <w:rStyle w:val="Odkaznapoznmkupodiarou"/>
          <w:rFonts w:ascii="Arial Narrow" w:hAnsi="Arial Narrow"/>
          <w:bCs/>
        </w:rPr>
        <w:footnoteReference w:id="165"/>
      </w:r>
    </w:p>
    <w:p w14:paraId="26BDCA1D" w14:textId="21BEA813" w:rsidR="00D77CAE" w:rsidRPr="00DC66C6" w:rsidRDefault="00D77CAE" w:rsidP="00452DBC">
      <w:pPr>
        <w:pStyle w:val="Bezriadkovania"/>
        <w:spacing w:before="160" w:after="200" w:line="259" w:lineRule="auto"/>
        <w:jc w:val="both"/>
        <w:rPr>
          <w:rFonts w:ascii="Arial Narrow" w:hAnsi="Arial Narrow"/>
          <w:b/>
          <w:bCs/>
        </w:rPr>
      </w:pPr>
      <w:r w:rsidRPr="00DC66C6">
        <w:rPr>
          <w:rFonts w:ascii="Arial Narrow" w:hAnsi="Arial Narrow"/>
          <w:b/>
          <w:bCs/>
        </w:rPr>
        <w:t>Deti so zdravotným znevýhodnením (ZZ) majú nárok na úpravu podmienok, obsahu, foriem, metód a prístupov vo výchove a vzdelávaní. Môžu sa vzdelávať v bežných triedach bežných škôl (integrácia), v špeciálnych triedach bežných škôl alebo v špeciálnych školách (špeciálne školstvo).</w:t>
      </w:r>
      <w:r w:rsidRPr="00DC66C6">
        <w:rPr>
          <w:rStyle w:val="Odkaznapoznmkupodiarou"/>
          <w:rFonts w:ascii="Arial Narrow" w:hAnsi="Arial Narrow"/>
          <w:b/>
          <w:bCs/>
        </w:rPr>
        <w:footnoteReference w:id="166"/>
      </w:r>
      <w:r w:rsidRPr="00DC66C6">
        <w:rPr>
          <w:rFonts w:ascii="Arial Narrow" w:hAnsi="Arial Narrow"/>
        </w:rPr>
        <w:t xml:space="preserve"> Špeciálne triedy a špeciálne školy sa zriaďujú spravidla pre deti s rovnakým druhom zdravotného znevýhodnenia, pričom pri špeciálnych triedach platí, že časť vzdelávania sa môže uskutočňovať v bežných triedach spoločne s ostatnými deťmi.</w:t>
      </w:r>
      <w:r w:rsidRPr="00DC66C6">
        <w:rPr>
          <w:rStyle w:val="Odkaznapoznmkupodiarou"/>
          <w:rFonts w:ascii="Arial Narrow" w:hAnsi="Arial Narrow"/>
        </w:rPr>
        <w:footnoteReference w:id="167"/>
      </w:r>
      <w:r w:rsidRPr="00DC66C6">
        <w:rPr>
          <w:rFonts w:ascii="Arial Narrow" w:hAnsi="Arial Narrow"/>
        </w:rPr>
        <w:t xml:space="preserve"> V špeciálnych triedach a v špeciálnych školách primárne pôsobí pedagogický zamestnanec so vzdelaním v študijnom odbore špeciálna pedagogika.</w:t>
      </w:r>
      <w:r w:rsidRPr="00DC66C6">
        <w:rPr>
          <w:rStyle w:val="Odkaznapoznmkupodiarou"/>
          <w:rFonts w:ascii="Arial Narrow" w:hAnsi="Arial Narrow"/>
        </w:rPr>
        <w:footnoteReference w:id="168"/>
      </w:r>
      <w:r w:rsidRPr="00DC66C6">
        <w:rPr>
          <w:rFonts w:ascii="Arial Narrow" w:hAnsi="Arial Narrow"/>
        </w:rPr>
        <w:t xml:space="preserve"> </w:t>
      </w:r>
    </w:p>
    <w:p w14:paraId="59FF925A" w14:textId="54F502FC" w:rsidR="00D77CAE" w:rsidRPr="00DC66C6" w:rsidRDefault="00D77CAE" w:rsidP="00452DBC">
      <w:pPr>
        <w:pStyle w:val="Bezriadkovania"/>
        <w:spacing w:before="160" w:after="200" w:line="259" w:lineRule="auto"/>
        <w:jc w:val="both"/>
        <w:rPr>
          <w:rFonts w:ascii="Arial Narrow" w:hAnsi="Arial Narrow"/>
          <w:b/>
          <w:bCs/>
        </w:rPr>
      </w:pPr>
      <w:r w:rsidRPr="00DC66C6">
        <w:rPr>
          <w:rFonts w:ascii="Arial Narrow" w:hAnsi="Arial Narrow"/>
          <w:b/>
          <w:bCs/>
        </w:rPr>
        <w:t xml:space="preserve">Konkrétny spôsob vzdelávania odporúčajú zákonnému zástupcovi poradenské zariadenia. </w:t>
      </w:r>
      <w:r w:rsidR="0086113C" w:rsidRPr="00DC66C6">
        <w:rPr>
          <w:rFonts w:ascii="Arial Narrow" w:hAnsi="Arial Narrow"/>
          <w:b/>
          <w:bCs/>
        </w:rPr>
        <w:t xml:space="preserve">Odporúčanie nie je pre zákonného zástupcu záväzné. </w:t>
      </w:r>
      <w:r w:rsidRPr="00DC66C6">
        <w:rPr>
          <w:rFonts w:ascii="Arial Narrow" w:hAnsi="Arial Narrow"/>
          <w:b/>
          <w:bCs/>
        </w:rPr>
        <w:t>O prijatí dieťaťa so zdravotným znevýhodnením rozhoduje riaditeľ školy na základe žiadosti zákonného zástupcu</w:t>
      </w:r>
      <w:r w:rsidRPr="00DC66C6">
        <w:rPr>
          <w:rFonts w:ascii="Arial Narrow" w:hAnsi="Arial Narrow"/>
        </w:rPr>
        <w:t>.</w:t>
      </w:r>
      <w:r w:rsidRPr="00DC66C6">
        <w:rPr>
          <w:rStyle w:val="Odkaznapoznmkupodiarou"/>
          <w:rFonts w:ascii="Arial Narrow" w:hAnsi="Arial Narrow"/>
        </w:rPr>
        <w:footnoteReference w:id="169"/>
      </w:r>
      <w:r w:rsidRPr="00DC66C6">
        <w:rPr>
          <w:rFonts w:ascii="Arial Narrow" w:hAnsi="Arial Narrow"/>
          <w:b/>
          <w:bCs/>
        </w:rPr>
        <w:t xml:space="preserve"> </w:t>
      </w:r>
      <w:r w:rsidRPr="00DC66C6">
        <w:rPr>
          <w:rFonts w:ascii="Arial Narrow" w:hAnsi="Arial Narrow"/>
          <w:bCs/>
        </w:rPr>
        <w:t xml:space="preserve">Na úrovni materských škôl platí, že riaditeľ dieťa so ZZ nemusí prijať. </w:t>
      </w:r>
      <w:r w:rsidRPr="00DC66C6">
        <w:rPr>
          <w:rFonts w:ascii="Arial Narrow" w:hAnsi="Arial Narrow"/>
        </w:rPr>
        <w:t>Na úrovni základných škôl má každé dieťa, vrátane dieťaťa so ZZ, určenú spádovú bežnú školu, do ktorej má právo byť prijaté.</w:t>
      </w:r>
      <w:r w:rsidRPr="00DC66C6">
        <w:rPr>
          <w:rStyle w:val="Odkaznapoznmkupodiarou"/>
          <w:rFonts w:ascii="Arial Narrow" w:hAnsi="Arial Narrow"/>
        </w:rPr>
        <w:footnoteReference w:id="170"/>
      </w:r>
      <w:r w:rsidRPr="00DC66C6">
        <w:rPr>
          <w:rFonts w:ascii="Arial Narrow" w:hAnsi="Arial Narrow"/>
        </w:rPr>
        <w:t xml:space="preserve"> </w:t>
      </w:r>
    </w:p>
    <w:p w14:paraId="7480F803" w14:textId="3C9E5C0A" w:rsidR="00D77CAE" w:rsidRPr="00DC66C6" w:rsidRDefault="00D77CAE" w:rsidP="00452DBC">
      <w:r w:rsidRPr="00DC66C6">
        <w:rPr>
          <w:b/>
          <w:bCs/>
        </w:rPr>
        <w:t xml:space="preserve">Deti so zdravotným znevýhodnením sa na všetkých úrovniach vzdelávania primárne vzdelávajú podľa štátneho vzdelávacieho programu pre príslušný druh zdravotného znevýhodnenia bez ohľadu na to, či ide o bežný alebo špeciálny prúd vzdelávania. </w:t>
      </w:r>
      <w:r w:rsidRPr="00DC66C6">
        <w:t>Ak zdravotné znevýhodnenie dieťaťu znemožňuje, aby sa dieťa vzdelávalo podľa vzdelávacieho programu pre daný druh ZZ</w:t>
      </w:r>
      <w:r w:rsidRPr="00DC66C6">
        <w:rPr>
          <w:rStyle w:val="Odkaznapoznmkupodiarou"/>
        </w:rPr>
        <w:footnoteReference w:id="171"/>
      </w:r>
      <w:r w:rsidRPr="00DC66C6">
        <w:t>, deti sa môžu vzdelávať podľa individuálneho vzdelávacieho programu, ktorý vypracúva škola v spolupráci s poradenským zariadením.</w:t>
      </w:r>
      <w:r w:rsidRPr="00DC66C6">
        <w:rPr>
          <w:bCs/>
        </w:rPr>
        <w:t xml:space="preserve"> Deti so ZZ majú právo na vzdelávanie s využitím špecifických foriem a metód zodpovedajúcim ich potrebám a na vytvorenie nevyhnutných podmienok, ktoré tento prístup umožňujú vrátane využívania špeciálnych učebníc, multimediálnych, didaktických a kompenzačných pomôcok.</w:t>
      </w:r>
      <w:r w:rsidRPr="00DC66C6">
        <w:rPr>
          <w:rStyle w:val="Odkaznapoznmkupodiarou"/>
        </w:rPr>
        <w:footnoteReference w:id="172"/>
      </w:r>
    </w:p>
    <w:p w14:paraId="2643C1E5" w14:textId="77777777" w:rsidR="008E166F" w:rsidRPr="00DC66C6" w:rsidRDefault="008E166F" w:rsidP="00452DBC">
      <w:pPr>
        <w:pStyle w:val="Nadpis2"/>
        <w:ind w:left="431" w:hanging="431"/>
      </w:pPr>
      <w:bookmarkStart w:id="385" w:name="_Ref25756903"/>
      <w:bookmarkStart w:id="386" w:name="_Toc34657720"/>
      <w:r w:rsidRPr="00DC66C6">
        <w:t>Vzdelávanie v materských školách</w:t>
      </w:r>
      <w:bookmarkEnd w:id="385"/>
      <w:bookmarkEnd w:id="386"/>
    </w:p>
    <w:p w14:paraId="107222F2" w14:textId="77777777" w:rsidR="008E166F" w:rsidRPr="00DC66C6" w:rsidRDefault="008E166F" w:rsidP="00452DBC">
      <w:pPr>
        <w:pStyle w:val="Bezriadkovania"/>
        <w:spacing w:after="200" w:line="259" w:lineRule="auto"/>
        <w:jc w:val="both"/>
        <w:rPr>
          <w:rFonts w:ascii="Arial Narrow" w:hAnsi="Arial Narrow"/>
        </w:rPr>
      </w:pPr>
      <w:r w:rsidRPr="00DC66C6">
        <w:rPr>
          <w:rFonts w:ascii="Arial Narrow" w:hAnsi="Arial Narrow"/>
          <w:color w:val="0070C0"/>
        </w:rPr>
        <w:t>Výsledky vzdelávania zdravotne znevýhodnených detí v materských školách</w:t>
      </w:r>
    </w:p>
    <w:p w14:paraId="4EB7CF63" w14:textId="57FB382E" w:rsidR="008E166F" w:rsidRPr="00D53C5F" w:rsidRDefault="00D77CAE" w:rsidP="00D53C5F">
      <w:pPr>
        <w:pStyle w:val="Bezriadkovania"/>
        <w:spacing w:before="160" w:after="200" w:line="259" w:lineRule="auto"/>
        <w:jc w:val="both"/>
        <w:rPr>
          <w:rFonts w:ascii="Arial Narrow" w:hAnsi="Arial Narrow"/>
          <w:b/>
        </w:rPr>
      </w:pPr>
      <w:r w:rsidRPr="00DC66C6">
        <w:rPr>
          <w:rFonts w:ascii="Arial Narrow" w:hAnsi="Arial Narrow"/>
          <w:b/>
          <w:bCs/>
        </w:rPr>
        <w:t xml:space="preserve">V školskom roku 2017/18 bola miera zaškolenosti detí so ZZ v predškolskom veku 67 % oproti 85 % detí bez ZZ a v školskom roku 2016/17 bola miera 4-ročných detí so ZZ 57 % oproti 72 % detí bez </w:t>
      </w:r>
      <w:r w:rsidRPr="00A70F22">
        <w:rPr>
          <w:rFonts w:ascii="Arial Narrow" w:hAnsi="Arial Narrow"/>
          <w:b/>
          <w:bCs/>
        </w:rPr>
        <w:t>ZZ</w:t>
      </w:r>
      <w:r w:rsidR="00775BC6" w:rsidRPr="00A70F22">
        <w:rPr>
          <w:rFonts w:ascii="Arial Narrow" w:hAnsi="Arial Narrow"/>
          <w:b/>
          <w:bCs/>
        </w:rPr>
        <w:t xml:space="preserve"> (</w:t>
      </w:r>
      <w:r w:rsidR="00A70F22" w:rsidRPr="00A70F22">
        <w:rPr>
          <w:rFonts w:ascii="Arial Narrow" w:hAnsi="Arial Narrow"/>
          <w:b/>
          <w:bCs/>
        </w:rPr>
        <w:fldChar w:fldCharType="begin"/>
      </w:r>
      <w:r w:rsidR="00A70F22" w:rsidRPr="00A70F22">
        <w:rPr>
          <w:rFonts w:ascii="Arial Narrow" w:hAnsi="Arial Narrow"/>
          <w:b/>
          <w:bCs/>
        </w:rPr>
        <w:instrText xml:space="preserve"> REF _Ref33430384 \h  \* MERGEFORMAT </w:instrText>
      </w:r>
      <w:r w:rsidR="00A70F22" w:rsidRPr="00A70F22">
        <w:rPr>
          <w:rFonts w:ascii="Arial Narrow" w:hAnsi="Arial Narrow"/>
          <w:b/>
          <w:bCs/>
        </w:rPr>
      </w:r>
      <w:r w:rsidR="00A70F22" w:rsidRPr="00A70F22">
        <w:rPr>
          <w:rFonts w:ascii="Arial Narrow" w:hAnsi="Arial Narrow"/>
          <w:b/>
          <w:bCs/>
        </w:rPr>
        <w:fldChar w:fldCharType="separate"/>
      </w:r>
      <w:r w:rsidR="00FA29AF" w:rsidRPr="00FA29AF">
        <w:rPr>
          <w:rFonts w:ascii="Arial Narrow" w:hAnsi="Arial Narrow"/>
          <w:b/>
        </w:rPr>
        <w:t xml:space="preserve">Graf </w:t>
      </w:r>
      <w:r w:rsidR="00FA29AF" w:rsidRPr="00FA29AF">
        <w:rPr>
          <w:rFonts w:ascii="Arial Narrow" w:hAnsi="Arial Narrow"/>
          <w:b/>
          <w:noProof/>
        </w:rPr>
        <w:t>21</w:t>
      </w:r>
      <w:r w:rsidR="00A70F22" w:rsidRPr="00A70F22">
        <w:rPr>
          <w:rFonts w:ascii="Arial Narrow" w:hAnsi="Arial Narrow"/>
          <w:b/>
          <w:bCs/>
        </w:rPr>
        <w:fldChar w:fldCharType="end"/>
      </w:r>
      <w:r w:rsidR="00775BC6" w:rsidRPr="00A70F22">
        <w:rPr>
          <w:rFonts w:ascii="Arial Narrow" w:hAnsi="Arial Narrow"/>
          <w:b/>
          <w:bCs/>
        </w:rPr>
        <w:t>)</w:t>
      </w:r>
      <w:r w:rsidRPr="00A70F22">
        <w:rPr>
          <w:rFonts w:ascii="Arial Narrow" w:hAnsi="Arial Narrow"/>
          <w:b/>
          <w:bCs/>
        </w:rPr>
        <w:t>.</w:t>
      </w:r>
      <w:r w:rsidRPr="00DC66C6">
        <w:rPr>
          <w:rFonts w:ascii="Arial Narrow" w:hAnsi="Arial Narrow"/>
          <w:b/>
          <w:bCs/>
        </w:rPr>
        <w:t xml:space="preserve"> </w:t>
      </w:r>
      <w:r w:rsidRPr="00DC66C6">
        <w:rPr>
          <w:rFonts w:ascii="Arial Narrow" w:hAnsi="Arial Narrow"/>
          <w:bCs/>
        </w:rPr>
        <w:t>Mieru zaškolenosti 3-ročných detí so ZZ nie je možné z dostupných dát vyčísliť (</w:t>
      </w:r>
      <w:r w:rsidRPr="00DC66C6">
        <w:rPr>
          <w:rFonts w:ascii="Arial Narrow" w:hAnsi="Arial Narrow"/>
          <w:bCs/>
        </w:rPr>
        <w:fldChar w:fldCharType="begin"/>
      </w:r>
      <w:r w:rsidRPr="00DC66C6">
        <w:rPr>
          <w:rFonts w:ascii="Arial Narrow" w:hAnsi="Arial Narrow"/>
          <w:bCs/>
        </w:rPr>
        <w:instrText xml:space="preserve"> REF _Ref25763351 \h  \* MERGEFORMAT </w:instrText>
      </w:r>
      <w:r w:rsidRPr="00DC66C6">
        <w:rPr>
          <w:rFonts w:ascii="Arial Narrow" w:hAnsi="Arial Narrow"/>
          <w:bCs/>
        </w:rPr>
      </w:r>
      <w:r w:rsidRPr="00DC66C6">
        <w:rPr>
          <w:rFonts w:ascii="Arial Narrow" w:hAnsi="Arial Narrow"/>
          <w:bCs/>
        </w:rPr>
        <w:fldChar w:fldCharType="separate"/>
      </w:r>
      <w:r w:rsidR="00FA29AF" w:rsidRPr="00FA29AF">
        <w:rPr>
          <w:rFonts w:ascii="Arial Narrow" w:hAnsi="Arial Narrow"/>
          <w:color w:val="000000"/>
        </w:rPr>
        <w:t xml:space="preserve">Box </w:t>
      </w:r>
      <w:r w:rsidR="00FA29AF" w:rsidRPr="00FA29AF">
        <w:rPr>
          <w:rFonts w:ascii="Arial Narrow" w:hAnsi="Arial Narrow"/>
          <w:noProof/>
          <w:color w:val="000000"/>
        </w:rPr>
        <w:t>9</w:t>
      </w:r>
      <w:r w:rsidRPr="00DC66C6">
        <w:rPr>
          <w:rFonts w:ascii="Arial Narrow" w:hAnsi="Arial Narrow"/>
          <w:bCs/>
        </w:rPr>
        <w:fldChar w:fldCharType="end"/>
      </w:r>
      <w:r w:rsidRPr="00DC66C6">
        <w:rPr>
          <w:rFonts w:ascii="Arial Narrow" w:hAnsi="Arial Narrow"/>
          <w:bCs/>
        </w:rPr>
        <w:t xml:space="preserve">). </w:t>
      </w:r>
      <w:r w:rsidRPr="00DC66C6">
        <w:rPr>
          <w:rFonts w:ascii="Arial Narrow" w:hAnsi="Arial Narrow"/>
        </w:rPr>
        <w:t>Komparatívne údaje o miere zaškolenosti detí so ZZ v iných krajinách nie sú dostupné. Príčiny nižšej zaškolenosti na Slovensku neboli dosiaľ komplexne preskúmané.</w:t>
      </w:r>
      <w:r w:rsidRPr="00DC66C6">
        <w:rPr>
          <w:rFonts w:ascii="Arial Narrow" w:hAnsi="Arial Narrow"/>
          <w:b/>
        </w:rPr>
        <w:t xml:space="preserve"> </w:t>
      </w:r>
    </w:p>
    <w:tbl>
      <w:tblPr>
        <w:tblW w:w="9090" w:type="dxa"/>
        <w:tblLook w:val="04E0" w:firstRow="1" w:lastRow="1" w:firstColumn="1" w:lastColumn="0" w:noHBand="0" w:noVBand="1"/>
      </w:tblPr>
      <w:tblGrid>
        <w:gridCol w:w="2435"/>
        <w:gridCol w:w="215"/>
        <w:gridCol w:w="18"/>
        <w:gridCol w:w="6452"/>
      </w:tblGrid>
      <w:tr w:rsidR="008E166F" w:rsidRPr="00DC66C6" w14:paraId="203E1100" w14:textId="77777777" w:rsidTr="000975A7">
        <w:tc>
          <w:tcPr>
            <w:tcW w:w="2425" w:type="dxa"/>
            <w:tcBorders>
              <w:bottom w:val="single" w:sz="4" w:space="0" w:color="auto"/>
            </w:tcBorders>
          </w:tcPr>
          <w:p w14:paraId="7C9BE593" w14:textId="422095D3" w:rsidR="008E166F" w:rsidRPr="000975A7" w:rsidRDefault="00D77CAE" w:rsidP="000975A7">
            <w:pPr>
              <w:pStyle w:val="Bezriadkovania"/>
              <w:jc w:val="both"/>
              <w:rPr>
                <w:rFonts w:ascii="Arial Narrow" w:hAnsi="Arial Narrow"/>
                <w:b/>
                <w:bCs/>
                <w:sz w:val="20"/>
                <w:szCs w:val="20"/>
              </w:rPr>
            </w:pPr>
            <w:bookmarkStart w:id="387" w:name="_Ref33430384"/>
            <w:bookmarkStart w:id="388" w:name="_Toc34157579"/>
            <w:r w:rsidRPr="000975A7">
              <w:rPr>
                <w:rFonts w:ascii="Arial Narrow" w:hAnsi="Arial Narrow"/>
                <w:b/>
                <w:sz w:val="20"/>
              </w:rPr>
              <w:t xml:space="preserve">Graf </w:t>
            </w:r>
            <w:r w:rsidRPr="000975A7">
              <w:rPr>
                <w:rFonts w:ascii="Arial Narrow" w:hAnsi="Arial Narrow"/>
                <w:b/>
                <w:sz w:val="20"/>
              </w:rPr>
              <w:fldChar w:fldCharType="begin"/>
            </w:r>
            <w:r w:rsidRPr="000975A7">
              <w:rPr>
                <w:rFonts w:ascii="Arial Narrow" w:hAnsi="Arial Narrow"/>
                <w:b/>
                <w:sz w:val="20"/>
              </w:rPr>
              <w:instrText xml:space="preserve"> SEQ Graf \* ARABIC </w:instrText>
            </w:r>
            <w:r w:rsidRPr="000975A7">
              <w:rPr>
                <w:rFonts w:ascii="Arial Narrow" w:hAnsi="Arial Narrow"/>
                <w:b/>
                <w:sz w:val="20"/>
              </w:rPr>
              <w:fldChar w:fldCharType="separate"/>
            </w:r>
            <w:r w:rsidR="00FA29AF">
              <w:rPr>
                <w:rFonts w:ascii="Arial Narrow" w:hAnsi="Arial Narrow"/>
                <w:b/>
                <w:noProof/>
                <w:sz w:val="20"/>
              </w:rPr>
              <w:t>21</w:t>
            </w:r>
            <w:r w:rsidRPr="000975A7">
              <w:rPr>
                <w:rFonts w:ascii="Arial Narrow" w:hAnsi="Arial Narrow"/>
                <w:b/>
                <w:sz w:val="20"/>
              </w:rPr>
              <w:fldChar w:fldCharType="end"/>
            </w:r>
            <w:bookmarkEnd w:id="387"/>
            <w:r w:rsidRPr="000975A7">
              <w:rPr>
                <w:rFonts w:ascii="Arial Narrow" w:hAnsi="Arial Narrow"/>
                <w:b/>
                <w:iCs/>
                <w:sz w:val="20"/>
              </w:rPr>
              <w:t xml:space="preserve">: </w:t>
            </w:r>
            <w:r w:rsidR="008E166F" w:rsidRPr="000975A7">
              <w:rPr>
                <w:rFonts w:ascii="Arial Narrow" w:hAnsi="Arial Narrow"/>
                <w:b/>
                <w:bCs/>
                <w:sz w:val="20"/>
                <w:szCs w:val="20"/>
              </w:rPr>
              <w:t>Miera zaškolenosti detí so ZZ a detí bez ZZ v</w:t>
            </w:r>
            <w:r w:rsidR="000975A7">
              <w:rPr>
                <w:rFonts w:ascii="Arial Narrow" w:hAnsi="Arial Narrow"/>
                <w:b/>
                <w:bCs/>
                <w:sz w:val="20"/>
                <w:szCs w:val="20"/>
              </w:rPr>
              <w:t> </w:t>
            </w:r>
            <w:r w:rsidR="008E166F" w:rsidRPr="000975A7">
              <w:rPr>
                <w:rFonts w:ascii="Arial Narrow" w:hAnsi="Arial Narrow"/>
                <w:b/>
                <w:bCs/>
                <w:sz w:val="20"/>
                <w:szCs w:val="20"/>
              </w:rPr>
              <w:t>MŠ</w:t>
            </w:r>
            <w:bookmarkEnd w:id="388"/>
          </w:p>
        </w:tc>
        <w:tc>
          <w:tcPr>
            <w:tcW w:w="236" w:type="dxa"/>
            <w:gridSpan w:val="2"/>
            <w:tcBorders>
              <w:bottom w:val="nil"/>
            </w:tcBorders>
          </w:tcPr>
          <w:p w14:paraId="03C325BA" w14:textId="77777777" w:rsidR="008E166F" w:rsidRPr="000975A7" w:rsidRDefault="008E166F" w:rsidP="000975A7">
            <w:pPr>
              <w:spacing w:after="0" w:line="240" w:lineRule="auto"/>
              <w:rPr>
                <w:b/>
                <w:sz w:val="20"/>
              </w:rPr>
            </w:pPr>
          </w:p>
        </w:tc>
        <w:tc>
          <w:tcPr>
            <w:tcW w:w="6429" w:type="dxa"/>
            <w:tcBorders>
              <w:bottom w:val="single" w:sz="4" w:space="0" w:color="auto"/>
            </w:tcBorders>
          </w:tcPr>
          <w:p w14:paraId="708B04A5" w14:textId="5C0DD039" w:rsidR="008E166F" w:rsidRPr="000975A7" w:rsidRDefault="00D77CAE" w:rsidP="000975A7">
            <w:pPr>
              <w:pStyle w:val="Bezriadkovania"/>
              <w:rPr>
                <w:rFonts w:ascii="Arial Narrow" w:hAnsi="Arial Narrow"/>
                <w:b/>
                <w:bCs/>
                <w:sz w:val="20"/>
                <w:szCs w:val="20"/>
              </w:rPr>
            </w:pPr>
            <w:bookmarkStart w:id="389" w:name="_Ref33430487"/>
            <w:bookmarkStart w:id="390" w:name="_Toc34157580"/>
            <w:r w:rsidRPr="000975A7">
              <w:rPr>
                <w:rFonts w:ascii="Arial Narrow" w:hAnsi="Arial Narrow"/>
                <w:b/>
                <w:sz w:val="20"/>
              </w:rPr>
              <w:t xml:space="preserve">Graf </w:t>
            </w:r>
            <w:r w:rsidRPr="000975A7">
              <w:rPr>
                <w:rFonts w:ascii="Arial Narrow" w:hAnsi="Arial Narrow"/>
                <w:b/>
                <w:sz w:val="20"/>
              </w:rPr>
              <w:fldChar w:fldCharType="begin"/>
            </w:r>
            <w:r w:rsidRPr="000975A7">
              <w:rPr>
                <w:rFonts w:ascii="Arial Narrow" w:hAnsi="Arial Narrow"/>
                <w:b/>
                <w:sz w:val="20"/>
              </w:rPr>
              <w:instrText xml:space="preserve"> SEQ Graf \* ARABIC </w:instrText>
            </w:r>
            <w:r w:rsidRPr="000975A7">
              <w:rPr>
                <w:rFonts w:ascii="Arial Narrow" w:hAnsi="Arial Narrow"/>
                <w:b/>
                <w:sz w:val="20"/>
              </w:rPr>
              <w:fldChar w:fldCharType="separate"/>
            </w:r>
            <w:r w:rsidR="00FA29AF">
              <w:rPr>
                <w:rFonts w:ascii="Arial Narrow" w:hAnsi="Arial Narrow"/>
                <w:b/>
                <w:noProof/>
                <w:sz w:val="20"/>
              </w:rPr>
              <w:t>22</w:t>
            </w:r>
            <w:r w:rsidRPr="000975A7">
              <w:rPr>
                <w:rFonts w:ascii="Arial Narrow" w:hAnsi="Arial Narrow"/>
                <w:b/>
                <w:sz w:val="20"/>
              </w:rPr>
              <w:fldChar w:fldCharType="end"/>
            </w:r>
            <w:bookmarkEnd w:id="389"/>
            <w:r w:rsidRPr="000975A7">
              <w:rPr>
                <w:rFonts w:ascii="Arial Narrow" w:hAnsi="Arial Narrow"/>
                <w:b/>
                <w:iCs/>
                <w:sz w:val="20"/>
              </w:rPr>
              <w:t xml:space="preserve">: </w:t>
            </w:r>
            <w:r w:rsidR="008E166F" w:rsidRPr="000975A7">
              <w:rPr>
                <w:rFonts w:ascii="Arial Narrow" w:hAnsi="Arial Narrow"/>
                <w:b/>
                <w:bCs/>
                <w:sz w:val="20"/>
                <w:szCs w:val="20"/>
              </w:rPr>
              <w:t>Miera zaškolenosti predškolákov so ZZ podľa druhu ZZ, 2017/18</w:t>
            </w:r>
            <w:bookmarkEnd w:id="390"/>
          </w:p>
        </w:tc>
      </w:tr>
      <w:tr w:rsidR="008E166F" w:rsidRPr="00DC66C6" w14:paraId="42E82C2F" w14:textId="77777777" w:rsidTr="000975A7">
        <w:tblPrEx>
          <w:tblCellMar>
            <w:left w:w="70" w:type="dxa"/>
            <w:right w:w="70" w:type="dxa"/>
          </w:tblCellMar>
        </w:tblPrEx>
        <w:trPr>
          <w:trHeight w:val="3178"/>
        </w:trPr>
        <w:tc>
          <w:tcPr>
            <w:tcW w:w="2425" w:type="dxa"/>
            <w:tcBorders>
              <w:top w:val="single" w:sz="4" w:space="0" w:color="auto"/>
              <w:bottom w:val="single" w:sz="4" w:space="0" w:color="auto"/>
            </w:tcBorders>
          </w:tcPr>
          <w:p w14:paraId="081EE593" w14:textId="77777777" w:rsidR="008E166F" w:rsidRPr="00DC66C6" w:rsidRDefault="008E166F" w:rsidP="000975A7">
            <w:pPr>
              <w:spacing w:after="0" w:line="240" w:lineRule="auto"/>
              <w:rPr>
                <w:sz w:val="4"/>
                <w:szCs w:val="4"/>
              </w:rPr>
            </w:pPr>
            <w:r w:rsidRPr="00DC66C6">
              <w:rPr>
                <w:noProof/>
                <w:lang w:eastAsia="sk-SK"/>
              </w:rPr>
              <w:drawing>
                <wp:inline distT="0" distB="0" distL="0" distR="0" wp14:anchorId="16856745" wp14:editId="2354831A">
                  <wp:extent cx="1457325" cy="1955800"/>
                  <wp:effectExtent l="0" t="0" r="0" b="6350"/>
                  <wp:docPr id="21" name="Graf 2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6A56E802-54A8-4EBC-8DB7-9B16E363EB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459F133" w14:textId="77777777" w:rsidR="008E166F" w:rsidRPr="00DC66C6" w:rsidRDefault="008E166F" w:rsidP="000975A7">
            <w:pPr>
              <w:spacing w:after="0" w:line="240" w:lineRule="auto"/>
              <w:rPr>
                <w:sz w:val="4"/>
                <w:szCs w:val="4"/>
              </w:rPr>
            </w:pPr>
          </w:p>
          <w:p w14:paraId="2986FF3B" w14:textId="77777777" w:rsidR="008E166F" w:rsidRPr="00DC66C6" w:rsidRDefault="008E166F" w:rsidP="000975A7">
            <w:pPr>
              <w:spacing w:after="0" w:line="240" w:lineRule="auto"/>
              <w:rPr>
                <w:sz w:val="4"/>
                <w:szCs w:val="4"/>
              </w:rPr>
            </w:pPr>
          </w:p>
        </w:tc>
        <w:tc>
          <w:tcPr>
            <w:tcW w:w="222" w:type="dxa"/>
            <w:tcBorders>
              <w:top w:val="nil"/>
              <w:bottom w:val="nil"/>
            </w:tcBorders>
          </w:tcPr>
          <w:p w14:paraId="3AFA3BC6" w14:textId="77777777" w:rsidR="008E166F" w:rsidRPr="00DC66C6" w:rsidRDefault="008E166F" w:rsidP="000975A7">
            <w:pPr>
              <w:spacing w:after="0" w:line="240" w:lineRule="auto"/>
              <w:ind w:hanging="212"/>
              <w:rPr>
                <w:noProof/>
                <w:sz w:val="4"/>
                <w:szCs w:val="4"/>
              </w:rPr>
            </w:pPr>
          </w:p>
        </w:tc>
        <w:tc>
          <w:tcPr>
            <w:tcW w:w="6443" w:type="dxa"/>
            <w:gridSpan w:val="2"/>
            <w:tcBorders>
              <w:bottom w:val="single" w:sz="4" w:space="0" w:color="auto"/>
            </w:tcBorders>
          </w:tcPr>
          <w:p w14:paraId="2CD3DD65" w14:textId="77777777" w:rsidR="008E166F" w:rsidRPr="00DC66C6" w:rsidRDefault="008E166F" w:rsidP="000975A7">
            <w:pPr>
              <w:spacing w:after="0" w:line="240" w:lineRule="auto"/>
              <w:jc w:val="left"/>
              <w:rPr>
                <w:noProof/>
                <w:sz w:val="4"/>
                <w:szCs w:val="4"/>
              </w:rPr>
            </w:pPr>
          </w:p>
          <w:p w14:paraId="56E12396" w14:textId="77777777" w:rsidR="008E166F" w:rsidRPr="00DC66C6" w:rsidRDefault="008E166F" w:rsidP="000975A7">
            <w:pPr>
              <w:spacing w:after="0" w:line="240" w:lineRule="auto"/>
              <w:jc w:val="center"/>
              <w:rPr>
                <w:noProof/>
                <w:sz w:val="4"/>
                <w:szCs w:val="4"/>
              </w:rPr>
            </w:pPr>
            <w:r w:rsidRPr="00DC66C6">
              <w:rPr>
                <w:noProof/>
                <w:lang w:eastAsia="sk-SK"/>
              </w:rPr>
              <w:drawing>
                <wp:inline distT="0" distB="0" distL="0" distR="0" wp14:anchorId="6703B648" wp14:editId="01602AD7">
                  <wp:extent cx="4019550" cy="1972733"/>
                  <wp:effectExtent l="0" t="0" r="0" b="8890"/>
                  <wp:docPr id="31" name="Graf 3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377F4B1F-17FA-4A53-A6F2-73991BA094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61F1EAA" w14:textId="77777777" w:rsidR="008E166F" w:rsidRPr="00DC66C6" w:rsidRDefault="008E166F" w:rsidP="000975A7">
            <w:pPr>
              <w:spacing w:after="0" w:line="240" w:lineRule="auto"/>
              <w:jc w:val="left"/>
              <w:rPr>
                <w:sz w:val="4"/>
                <w:szCs w:val="4"/>
              </w:rPr>
            </w:pPr>
          </w:p>
        </w:tc>
      </w:tr>
      <w:tr w:rsidR="008E166F" w:rsidRPr="00DC66C6" w14:paraId="2C479C8A" w14:textId="77777777" w:rsidTr="000975A7">
        <w:trPr>
          <w:trHeight w:val="70"/>
        </w:trPr>
        <w:tc>
          <w:tcPr>
            <w:tcW w:w="2425" w:type="dxa"/>
            <w:tcBorders>
              <w:top w:val="single" w:sz="4" w:space="0" w:color="auto"/>
            </w:tcBorders>
          </w:tcPr>
          <w:p w14:paraId="5FF3EB67" w14:textId="77777777" w:rsidR="008E166F" w:rsidRPr="000975A7" w:rsidRDefault="008E166F" w:rsidP="000975A7">
            <w:pPr>
              <w:spacing w:after="0" w:line="240" w:lineRule="auto"/>
              <w:jc w:val="right"/>
              <w:rPr>
                <w:i/>
                <w:noProof/>
                <w:sz w:val="18"/>
                <w:szCs w:val="18"/>
              </w:rPr>
            </w:pPr>
            <w:r w:rsidRPr="000975A7">
              <w:rPr>
                <w:i/>
                <w:iCs/>
                <w:noProof/>
                <w:sz w:val="18"/>
                <w:szCs w:val="18"/>
              </w:rPr>
              <w:t>Zdroj: Vlastné prepočty IVP na základe dát RIS MŠVVŠ SR (2016/17 a 2017/18)</w:t>
            </w:r>
          </w:p>
        </w:tc>
        <w:tc>
          <w:tcPr>
            <w:tcW w:w="236" w:type="dxa"/>
            <w:gridSpan w:val="2"/>
            <w:tcBorders>
              <w:top w:val="nil"/>
            </w:tcBorders>
          </w:tcPr>
          <w:p w14:paraId="2B9AB093" w14:textId="77777777" w:rsidR="008E166F" w:rsidRPr="000975A7" w:rsidRDefault="008E166F" w:rsidP="000975A7">
            <w:pPr>
              <w:spacing w:after="0" w:line="240" w:lineRule="auto"/>
              <w:rPr>
                <w:i/>
                <w:noProof/>
                <w:sz w:val="18"/>
                <w:szCs w:val="18"/>
              </w:rPr>
            </w:pPr>
          </w:p>
        </w:tc>
        <w:tc>
          <w:tcPr>
            <w:tcW w:w="6429" w:type="dxa"/>
            <w:tcBorders>
              <w:top w:val="nil"/>
            </w:tcBorders>
          </w:tcPr>
          <w:p w14:paraId="6874CF4B" w14:textId="77777777" w:rsidR="008E166F" w:rsidRPr="000975A7" w:rsidRDefault="008E166F" w:rsidP="000975A7">
            <w:pPr>
              <w:spacing w:after="0" w:line="240" w:lineRule="auto"/>
              <w:jc w:val="right"/>
              <w:rPr>
                <w:rFonts w:eastAsia="Times New Roman" w:cs="Times New Roman"/>
                <w:i/>
                <w:iCs/>
                <w:color w:val="000000"/>
                <w:sz w:val="18"/>
                <w:szCs w:val="18"/>
              </w:rPr>
            </w:pPr>
            <w:r w:rsidRPr="000975A7">
              <w:rPr>
                <w:rFonts w:eastAsia="Times New Roman" w:cs="Times New Roman"/>
                <w:i/>
                <w:iCs/>
                <w:color w:val="000000"/>
                <w:sz w:val="18"/>
                <w:szCs w:val="18"/>
              </w:rPr>
              <w:t>Zdroj: Vlastné prepočty IVP na základe dát RIS MŠVVŠ SR (2017, 2018)</w:t>
            </w:r>
          </w:p>
          <w:p w14:paraId="64414C8E" w14:textId="77777777" w:rsidR="008E166F" w:rsidRPr="000975A7" w:rsidRDefault="008E166F" w:rsidP="000975A7">
            <w:pPr>
              <w:spacing w:after="0" w:line="240" w:lineRule="auto"/>
              <w:rPr>
                <w:i/>
                <w:sz w:val="18"/>
                <w:szCs w:val="18"/>
              </w:rPr>
            </w:pPr>
            <w:r w:rsidRPr="000975A7">
              <w:rPr>
                <w:i/>
                <w:sz w:val="18"/>
                <w:szCs w:val="18"/>
              </w:rPr>
              <w:t>Deti s poruchami správania a deti choré a zdravotné oslabené nie sú vzhľadom na malý počet pozorovaní do vyčíslenia miery zaškolenosti zahrnuté.</w:t>
            </w:r>
          </w:p>
          <w:p w14:paraId="3822DB66" w14:textId="59267F6A" w:rsidR="008E166F" w:rsidRPr="000975A7" w:rsidRDefault="002571AE" w:rsidP="000975A7">
            <w:pPr>
              <w:spacing w:after="0" w:line="240" w:lineRule="auto"/>
              <w:rPr>
                <w:i/>
                <w:noProof/>
                <w:sz w:val="18"/>
                <w:szCs w:val="18"/>
              </w:rPr>
            </w:pPr>
            <w:r w:rsidRPr="000975A7">
              <w:rPr>
                <w:i/>
                <w:noProof/>
                <w:sz w:val="18"/>
                <w:szCs w:val="18"/>
              </w:rPr>
              <w:t xml:space="preserve">PAP: </w:t>
            </w:r>
            <w:r w:rsidR="008E166F" w:rsidRPr="000975A7">
              <w:rPr>
                <w:i/>
                <w:noProof/>
                <w:sz w:val="18"/>
                <w:szCs w:val="18"/>
              </w:rPr>
              <w:t>poruch</w:t>
            </w:r>
            <w:r w:rsidRPr="000975A7">
              <w:rPr>
                <w:i/>
                <w:noProof/>
                <w:sz w:val="18"/>
                <w:szCs w:val="18"/>
              </w:rPr>
              <w:t>y</w:t>
            </w:r>
            <w:r w:rsidR="008E166F" w:rsidRPr="000975A7">
              <w:rPr>
                <w:i/>
                <w:noProof/>
                <w:sz w:val="18"/>
                <w:szCs w:val="18"/>
              </w:rPr>
              <w:t xml:space="preserve"> akt</w:t>
            </w:r>
            <w:r w:rsidRPr="000975A7">
              <w:rPr>
                <w:i/>
                <w:noProof/>
                <w:sz w:val="18"/>
                <w:szCs w:val="18"/>
              </w:rPr>
              <w:t xml:space="preserve">ivity a pozornosti, NKS: </w:t>
            </w:r>
            <w:r w:rsidR="008E166F" w:rsidRPr="000975A7">
              <w:rPr>
                <w:i/>
                <w:noProof/>
                <w:sz w:val="18"/>
                <w:szCs w:val="18"/>
              </w:rPr>
              <w:t>narušen</w:t>
            </w:r>
            <w:r w:rsidRPr="000975A7">
              <w:rPr>
                <w:i/>
                <w:noProof/>
                <w:sz w:val="18"/>
                <w:szCs w:val="18"/>
              </w:rPr>
              <w:t>á</w:t>
            </w:r>
            <w:r w:rsidR="008E166F" w:rsidRPr="000975A7">
              <w:rPr>
                <w:i/>
                <w:noProof/>
                <w:sz w:val="18"/>
                <w:szCs w:val="18"/>
              </w:rPr>
              <w:t xml:space="preserve"> komunikačn</w:t>
            </w:r>
            <w:r w:rsidRPr="000975A7">
              <w:rPr>
                <w:i/>
                <w:noProof/>
                <w:sz w:val="18"/>
                <w:szCs w:val="18"/>
              </w:rPr>
              <w:t>á</w:t>
            </w:r>
            <w:r w:rsidR="008E166F" w:rsidRPr="000975A7">
              <w:rPr>
                <w:i/>
                <w:noProof/>
                <w:sz w:val="18"/>
                <w:szCs w:val="18"/>
              </w:rPr>
              <w:t xml:space="preserve"> schopnosť, AUT: syndróm autizmu</w:t>
            </w:r>
            <w:r w:rsidR="008E166F" w:rsidRPr="000975A7">
              <w:rPr>
                <w:rStyle w:val="Odkaznapoznmkupodiarou"/>
                <w:i/>
                <w:noProof/>
                <w:sz w:val="18"/>
                <w:szCs w:val="18"/>
              </w:rPr>
              <w:footnoteReference w:id="173"/>
            </w:r>
            <w:r w:rsidRPr="000975A7">
              <w:rPr>
                <w:i/>
                <w:noProof/>
                <w:sz w:val="18"/>
                <w:szCs w:val="18"/>
              </w:rPr>
              <w:t xml:space="preserve">, TEL: </w:t>
            </w:r>
            <w:r w:rsidR="008E166F" w:rsidRPr="000975A7">
              <w:rPr>
                <w:i/>
                <w:noProof/>
                <w:sz w:val="18"/>
                <w:szCs w:val="18"/>
              </w:rPr>
              <w:t>telesn</w:t>
            </w:r>
            <w:r w:rsidRPr="000975A7">
              <w:rPr>
                <w:i/>
                <w:noProof/>
                <w:sz w:val="18"/>
                <w:szCs w:val="18"/>
              </w:rPr>
              <w:t>é</w:t>
            </w:r>
            <w:r w:rsidR="008E166F" w:rsidRPr="000975A7">
              <w:rPr>
                <w:i/>
                <w:noProof/>
                <w:sz w:val="18"/>
                <w:szCs w:val="18"/>
              </w:rPr>
              <w:t xml:space="preserve"> postihnut</w:t>
            </w:r>
            <w:r w:rsidRPr="000975A7">
              <w:rPr>
                <w:i/>
                <w:noProof/>
                <w:sz w:val="18"/>
                <w:szCs w:val="18"/>
              </w:rPr>
              <w:t xml:space="preserve">ie, SLU: </w:t>
            </w:r>
            <w:r w:rsidR="008E166F" w:rsidRPr="000975A7">
              <w:rPr>
                <w:i/>
                <w:noProof/>
                <w:sz w:val="18"/>
                <w:szCs w:val="18"/>
              </w:rPr>
              <w:t>sluchov</w:t>
            </w:r>
            <w:r w:rsidRPr="000975A7">
              <w:rPr>
                <w:i/>
                <w:noProof/>
                <w:sz w:val="18"/>
                <w:szCs w:val="18"/>
              </w:rPr>
              <w:t xml:space="preserve">é postihnutím, PU: </w:t>
            </w:r>
            <w:r w:rsidR="008E166F" w:rsidRPr="000975A7">
              <w:rPr>
                <w:i/>
                <w:noProof/>
                <w:sz w:val="18"/>
                <w:szCs w:val="18"/>
              </w:rPr>
              <w:t>poruch</w:t>
            </w:r>
            <w:r w:rsidRPr="000975A7">
              <w:rPr>
                <w:i/>
                <w:noProof/>
                <w:sz w:val="18"/>
                <w:szCs w:val="18"/>
              </w:rPr>
              <w:t xml:space="preserve">y učenia, MEN: </w:t>
            </w:r>
            <w:r w:rsidR="008E166F" w:rsidRPr="000975A7">
              <w:rPr>
                <w:i/>
                <w:noProof/>
                <w:sz w:val="18"/>
                <w:szCs w:val="18"/>
              </w:rPr>
              <w:t>mentáln</w:t>
            </w:r>
            <w:r w:rsidRPr="000975A7">
              <w:rPr>
                <w:i/>
                <w:noProof/>
                <w:sz w:val="18"/>
                <w:szCs w:val="18"/>
              </w:rPr>
              <w:t>e</w:t>
            </w:r>
            <w:r w:rsidR="008E166F" w:rsidRPr="000975A7">
              <w:rPr>
                <w:i/>
                <w:noProof/>
                <w:sz w:val="18"/>
                <w:szCs w:val="18"/>
              </w:rPr>
              <w:t xml:space="preserve"> postihnut</w:t>
            </w:r>
            <w:r w:rsidRPr="000975A7">
              <w:rPr>
                <w:i/>
                <w:noProof/>
                <w:sz w:val="18"/>
                <w:szCs w:val="18"/>
              </w:rPr>
              <w:t>ie</w:t>
            </w:r>
            <w:r w:rsidR="008E166F" w:rsidRPr="000975A7">
              <w:rPr>
                <w:rStyle w:val="Odkaznapoznmkupodiarou"/>
                <w:i/>
                <w:noProof/>
                <w:sz w:val="18"/>
                <w:szCs w:val="18"/>
              </w:rPr>
              <w:footnoteReference w:id="174"/>
            </w:r>
            <w:r w:rsidRPr="000975A7">
              <w:rPr>
                <w:i/>
                <w:noProof/>
                <w:sz w:val="18"/>
                <w:szCs w:val="18"/>
              </w:rPr>
              <w:t>, ZRA: zrakové</w:t>
            </w:r>
            <w:r w:rsidR="008E166F" w:rsidRPr="000975A7">
              <w:rPr>
                <w:i/>
                <w:noProof/>
                <w:sz w:val="18"/>
                <w:szCs w:val="18"/>
              </w:rPr>
              <w:t xml:space="preserve"> postihnut</w:t>
            </w:r>
            <w:r w:rsidRPr="000975A7">
              <w:rPr>
                <w:i/>
                <w:noProof/>
                <w:sz w:val="18"/>
                <w:szCs w:val="18"/>
              </w:rPr>
              <w:t>ie</w:t>
            </w:r>
            <w:r w:rsidR="008E166F" w:rsidRPr="000975A7">
              <w:rPr>
                <w:i/>
                <w:noProof/>
                <w:sz w:val="18"/>
                <w:szCs w:val="18"/>
              </w:rPr>
              <w:t>.</w:t>
            </w:r>
          </w:p>
        </w:tc>
      </w:tr>
    </w:tbl>
    <w:p w14:paraId="563C9E20" w14:textId="380E3C60" w:rsidR="000975A7" w:rsidRDefault="000975A7" w:rsidP="00D53C5F">
      <w:pPr>
        <w:spacing w:after="0"/>
        <w:jc w:val="left"/>
        <w:rPr>
          <w:szCs w:val="22"/>
        </w:rPr>
      </w:pPr>
    </w:p>
    <w:tbl>
      <w:tblPr>
        <w:tblW w:w="0" w:type="auto"/>
        <w:shd w:val="clear" w:color="auto" w:fill="BDD6EE" w:themeFill="accent1" w:themeFillTint="66"/>
        <w:tblLook w:val="04A0" w:firstRow="1" w:lastRow="0" w:firstColumn="1" w:lastColumn="0" w:noHBand="0" w:noVBand="1"/>
      </w:tblPr>
      <w:tblGrid>
        <w:gridCol w:w="9026"/>
      </w:tblGrid>
      <w:tr w:rsidR="008E166F" w:rsidRPr="00DC66C6" w14:paraId="0F82F57C" w14:textId="77777777" w:rsidTr="00D53C5F">
        <w:tc>
          <w:tcPr>
            <w:tcW w:w="9026" w:type="dxa"/>
            <w:shd w:val="clear" w:color="auto" w:fill="BDD6EE" w:themeFill="accent1" w:themeFillTint="66"/>
          </w:tcPr>
          <w:p w14:paraId="76EC67D5" w14:textId="5297DA93" w:rsidR="008E166F" w:rsidRPr="00DC66C6" w:rsidRDefault="00C74A8C" w:rsidP="00452DBC">
            <w:pPr>
              <w:rPr>
                <w:b/>
                <w:szCs w:val="22"/>
              </w:rPr>
            </w:pPr>
            <w:bookmarkStart w:id="391" w:name="_Ref25763351"/>
            <w:r w:rsidRPr="00DC66C6">
              <w:rPr>
                <w:b/>
                <w:color w:val="000000"/>
                <w:szCs w:val="22"/>
              </w:rPr>
              <w:t xml:space="preserve">Box </w:t>
            </w:r>
            <w:r w:rsidRPr="00DC66C6">
              <w:rPr>
                <w:b/>
                <w:color w:val="000000"/>
                <w:szCs w:val="22"/>
              </w:rPr>
              <w:fldChar w:fldCharType="begin"/>
            </w:r>
            <w:r w:rsidRPr="00DC66C6">
              <w:rPr>
                <w:b/>
                <w:color w:val="000000"/>
                <w:szCs w:val="22"/>
              </w:rPr>
              <w:instrText xml:space="preserve"> SEQ Box \* ARABIC </w:instrText>
            </w:r>
            <w:r w:rsidRPr="00DC66C6">
              <w:rPr>
                <w:b/>
                <w:color w:val="000000"/>
                <w:szCs w:val="22"/>
              </w:rPr>
              <w:fldChar w:fldCharType="separate"/>
            </w:r>
            <w:r w:rsidR="00FA29AF">
              <w:rPr>
                <w:b/>
                <w:noProof/>
                <w:color w:val="000000"/>
                <w:szCs w:val="22"/>
              </w:rPr>
              <w:t>9</w:t>
            </w:r>
            <w:r w:rsidRPr="00DC66C6">
              <w:rPr>
                <w:b/>
                <w:color w:val="000000"/>
                <w:szCs w:val="22"/>
              </w:rPr>
              <w:fldChar w:fldCharType="end"/>
            </w:r>
            <w:bookmarkEnd w:id="391"/>
            <w:r w:rsidR="008E166F" w:rsidRPr="00DC66C6">
              <w:rPr>
                <w:b/>
                <w:szCs w:val="22"/>
              </w:rPr>
              <w:t xml:space="preserve">: Výpočet miery zaškolenosti detí so zdravotným znevýhodnením a zastúpenie detí so zdravotným znevýhodnením v materských školách </w:t>
            </w:r>
          </w:p>
          <w:p w14:paraId="66585348" w14:textId="0AD66393" w:rsidR="008E166F" w:rsidRPr="00DC66C6" w:rsidRDefault="008E166F" w:rsidP="00452DBC">
            <w:pPr>
              <w:rPr>
                <w:szCs w:val="22"/>
              </w:rPr>
            </w:pPr>
            <w:r w:rsidRPr="00DC66C6">
              <w:rPr>
                <w:b/>
                <w:szCs w:val="22"/>
              </w:rPr>
              <w:t>Pre účely výpočtu miery zaškolenosti detí so ZZ</w:t>
            </w:r>
            <w:r w:rsidR="0070047D">
              <w:rPr>
                <w:b/>
                <w:szCs w:val="22"/>
              </w:rPr>
              <w:t xml:space="preserve"> </w:t>
            </w:r>
            <w:r w:rsidRPr="00DC66C6">
              <w:rPr>
                <w:b/>
                <w:szCs w:val="22"/>
              </w:rPr>
              <w:t>sú použité údaje z Rezortného informačného systému (RIS) MŠVVŠ SR.</w:t>
            </w:r>
            <w:r w:rsidRPr="00DC66C6">
              <w:rPr>
                <w:szCs w:val="22"/>
              </w:rPr>
              <w:t xml:space="preserve"> Tie umožňujú spätne identifikovať zaškolenosť tých detí v MŠ, ktorým bol v prvom roku povinnej školskej dochádzky na ZŠ vykázaný príznak ZZ. Tento postup sa v revízii uplatňuje preto, lebo v údajoch Centra vedecko-technických informácií (CVTI) je zastúpenie detí so ZZ v MŠ podhodnotené.</w:t>
            </w:r>
            <w:r w:rsidRPr="00DC66C6">
              <w:rPr>
                <w:rStyle w:val="Odkaznapoznmkupodiarou"/>
                <w:bCs/>
                <w:szCs w:val="22"/>
              </w:rPr>
              <w:footnoteReference w:id="175"/>
            </w:r>
            <w:r w:rsidRPr="00DC66C6">
              <w:rPr>
                <w:szCs w:val="22"/>
              </w:rPr>
              <w:t xml:space="preserve"> </w:t>
            </w:r>
          </w:p>
          <w:p w14:paraId="657FE990" w14:textId="13804534" w:rsidR="008E166F" w:rsidRPr="00DC66C6" w:rsidRDefault="008E166F" w:rsidP="00452DBC">
            <w:pPr>
              <w:rPr>
                <w:szCs w:val="22"/>
              </w:rPr>
            </w:pPr>
            <w:r w:rsidRPr="00DC66C6">
              <w:rPr>
                <w:szCs w:val="22"/>
              </w:rPr>
              <w:t>V rámci výpočtov sú v prvom kroku identifikovaní žiaci so ZZ nastupujúci na povinnú školskú dochádzku v školskom roku 2018/19 a následne sú identifikovaní tí z nich, ktorí v predošlých školských rokoch navštevovali materskú školu (ide o prenesenie príznaku zdravotného znevýhodnenie zo základnej do materskej školy). Zaškolenosť 3-ročných detí so ZZ nie je možné z dôvodu nedostupnosti dát za š</w:t>
            </w:r>
            <w:r w:rsidR="00730060">
              <w:rPr>
                <w:szCs w:val="22"/>
              </w:rPr>
              <w:t>kolský rok 2015/16 vyčísliť. Zo </w:t>
            </w:r>
            <w:r w:rsidRPr="00DC66C6">
              <w:rPr>
                <w:szCs w:val="22"/>
              </w:rPr>
              <w:t xml:space="preserve">súboru sú vylúčení žiaci, ktorí v sledovaných „predškolských“ rokoch už navštevovali ZŠ (bežnú alebo špeciálnu). Niektorí žiaci totiž opakujú už prvý, resp. nultý alebo prípravný ročník ZŠ/ŠZŠ. </w:t>
            </w:r>
          </w:p>
          <w:p w14:paraId="7730358A" w14:textId="79D3BBB9" w:rsidR="008E166F" w:rsidRPr="00DC66C6" w:rsidRDefault="00170D28" w:rsidP="00134838">
            <w:r w:rsidRPr="00DC66C6">
              <w:rPr>
                <w:b/>
                <w:bCs/>
                <w:szCs w:val="22"/>
              </w:rPr>
              <w:t xml:space="preserve">Výsledné počty detí so ZZ v bežných MŠ sa od oficiálnych údajov CVTI líšia. </w:t>
            </w:r>
            <w:r w:rsidRPr="00DC66C6">
              <w:rPr>
                <w:bCs/>
                <w:szCs w:val="22"/>
              </w:rPr>
              <w:t>Zatiaľ čo podľa dát CVTI bolo zastúpenie všetkých detí so ZZ v bežných MŠ</w:t>
            </w:r>
            <w:r w:rsidR="00BA002B">
              <w:rPr>
                <w:bCs/>
                <w:szCs w:val="22"/>
              </w:rPr>
              <w:t xml:space="preserve"> </w:t>
            </w:r>
            <w:r w:rsidRPr="00DC66C6">
              <w:rPr>
                <w:bCs/>
                <w:szCs w:val="22"/>
              </w:rPr>
              <w:t>v školskom roku 2017/18 len 0,3 %, podľa dát z RIS-u tvorili predškoláci so ZZ 2,1 % z celkového počtu predškolákov v šk. r. 2017/18 (</w:t>
            </w:r>
            <w:r w:rsidR="00134838" w:rsidRPr="00134838">
              <w:fldChar w:fldCharType="begin"/>
            </w:r>
            <w:r w:rsidR="00134838" w:rsidRPr="00134838">
              <w:instrText xml:space="preserve"> REF _Ref34130799 \h </w:instrText>
            </w:r>
            <w:r w:rsidR="00134838">
              <w:instrText xml:space="preserve"> \* MERGEFORMAT </w:instrText>
            </w:r>
            <w:r w:rsidR="00134838" w:rsidRPr="00134838">
              <w:fldChar w:fldCharType="separate"/>
            </w:r>
            <w:r w:rsidR="00FA29AF" w:rsidRPr="00FA29AF">
              <w:t>Príloha 14</w:t>
            </w:r>
            <w:r w:rsidR="00134838" w:rsidRPr="00134838">
              <w:fldChar w:fldCharType="end"/>
            </w:r>
            <w:r w:rsidRPr="00DC66C6">
              <w:rPr>
                <w:bCs/>
                <w:szCs w:val="22"/>
              </w:rPr>
              <w:t>) a 4-ročné deti so ZZ predstavovali 3,1 % zo všetkých 4-r</w:t>
            </w:r>
            <w:r w:rsidR="003D1392">
              <w:rPr>
                <w:bCs/>
                <w:szCs w:val="22"/>
              </w:rPr>
              <w:t xml:space="preserve">očných detí v šk. r. 2016/17. </w:t>
            </w:r>
            <w:r w:rsidRPr="00DC66C6">
              <w:rPr>
                <w:bCs/>
                <w:szCs w:val="22"/>
              </w:rPr>
              <w:t>Toto porovnanie</w:t>
            </w:r>
            <w:r w:rsidR="00730060">
              <w:rPr>
                <w:bCs/>
                <w:szCs w:val="22"/>
              </w:rPr>
              <w:t xml:space="preserve"> ilustruje, že dáta o deťoch so </w:t>
            </w:r>
            <w:r w:rsidRPr="00DC66C6">
              <w:rPr>
                <w:bCs/>
                <w:szCs w:val="22"/>
              </w:rPr>
              <w:t>ZZ v bežných materských školách sú výrazne podhodnotené</w:t>
            </w:r>
            <w:r w:rsidRPr="00DC66C6">
              <w:rPr>
                <w:szCs w:val="22"/>
              </w:rPr>
              <w:t>.</w:t>
            </w:r>
            <w:r w:rsidRPr="00DC66C6">
              <w:rPr>
                <w:rStyle w:val="Odkaznapoznmkupodiarou"/>
                <w:szCs w:val="22"/>
              </w:rPr>
              <w:footnoteReference w:id="176"/>
            </w:r>
          </w:p>
        </w:tc>
      </w:tr>
    </w:tbl>
    <w:p w14:paraId="4CE704F3" w14:textId="43180A24" w:rsidR="00D53C5F" w:rsidRPr="00DC66C6" w:rsidRDefault="00D53C5F" w:rsidP="00D53C5F">
      <w:pPr>
        <w:pStyle w:val="Bezriadkovania"/>
        <w:spacing w:before="160" w:after="200" w:line="259" w:lineRule="auto"/>
        <w:jc w:val="both"/>
        <w:rPr>
          <w:rFonts w:ascii="Arial Narrow" w:hAnsi="Arial Narrow"/>
        </w:rPr>
      </w:pPr>
      <w:bookmarkStart w:id="392" w:name="_Ref25742608"/>
      <w:r w:rsidRPr="008B336A">
        <w:rPr>
          <w:rFonts w:ascii="Arial Narrow" w:hAnsi="Arial Narrow"/>
          <w:b/>
          <w:bCs/>
        </w:rPr>
        <w:t>Rôzne bariéry však možno identifikovať v legislatíve aj v praxi.</w:t>
      </w:r>
      <w:r w:rsidRPr="00DC66C6">
        <w:rPr>
          <w:rFonts w:ascii="Arial Narrow" w:hAnsi="Arial Narrow"/>
        </w:rPr>
        <w:t xml:space="preserve"> Školský zákon dáva riaditeľom materských škôl možnosť deti so ZZ na predškolské vzdelávanie neprijať, ak na ich vzdelávanie nemajú vytvorené vhodné podmienky. Stanovenie maximálneho počtu dvoch detí so špeciálnymi potrebami na jednu triedu zase limituje riaditeľov materských škôl v počte detí, ktoré môžu v súlade so zákonom prijať. Zistenia z reprezentatívneho prieskumu</w:t>
      </w:r>
      <w:r>
        <w:rPr>
          <w:rFonts w:ascii="Arial Narrow" w:hAnsi="Arial Narrow"/>
        </w:rPr>
        <w:t xml:space="preserve"> </w:t>
      </w:r>
      <w:r w:rsidRPr="00DC66C6">
        <w:rPr>
          <w:rFonts w:ascii="Arial Narrow" w:hAnsi="Arial Narrow"/>
        </w:rPr>
        <w:t xml:space="preserve">tiež naznačujú, že významným faktorom môže byť nepripravenosť pracovníkov a nedostatočné vybavenie bežných ako aj špeciálnych materských škôl. Na vzdelávanie detí so ZZ </w:t>
      </w:r>
      <w:r w:rsidR="00976145">
        <w:rPr>
          <w:rFonts w:ascii="Arial Narrow" w:hAnsi="Arial Narrow"/>
        </w:rPr>
        <w:t>sa cíti byť pripravených iba 23 </w:t>
      </w:r>
      <w:r w:rsidRPr="00DC66C6">
        <w:rPr>
          <w:rFonts w:ascii="Arial Narrow" w:hAnsi="Arial Narrow"/>
        </w:rPr>
        <w:t>% pedagogických a odborných zamestnancov materských škôl v porovnaní s viac ako 70 % respondentam</w:t>
      </w:r>
      <w:r w:rsidR="00976145">
        <w:rPr>
          <w:rFonts w:ascii="Arial Narrow" w:hAnsi="Arial Narrow"/>
        </w:rPr>
        <w:t>i základných škôl (To dá rozum,</w:t>
      </w:r>
      <w:r w:rsidRPr="00DC66C6">
        <w:rPr>
          <w:rFonts w:ascii="Arial Narrow" w:hAnsi="Arial Narrow"/>
        </w:rPr>
        <w:t xml:space="preserve"> 2019).Tento stav v niektorých prípadoch vyúsťuje do neprijímania detí so ZZ do materských škôl alebo do ich umiestňovania do MŠ iba na obmedzenú časť dňa (Hapalová, 2019).</w:t>
      </w:r>
    </w:p>
    <w:p w14:paraId="55B5C1B5" w14:textId="77777777" w:rsidR="00D53C5F" w:rsidRPr="00DC66C6" w:rsidRDefault="00D53C5F" w:rsidP="00D53C5F">
      <w:pPr>
        <w:pStyle w:val="Bezriadkovania"/>
        <w:spacing w:before="160" w:after="200" w:line="259" w:lineRule="auto"/>
        <w:jc w:val="both"/>
        <w:rPr>
          <w:rFonts w:ascii="Arial Narrow" w:hAnsi="Arial Narrow"/>
          <w:b/>
        </w:rPr>
      </w:pPr>
      <w:r w:rsidRPr="00DC66C6">
        <w:rPr>
          <w:rFonts w:ascii="Arial Narrow" w:hAnsi="Arial Narrow"/>
          <w:b/>
        </w:rPr>
        <w:t>Povinné predprimárne vzdelávanie pre všetky deti v predškolskom veku (účinné od školského roku 2021/22) zvýši zaškolenosť detí so ZZ.</w:t>
      </w:r>
      <w:r w:rsidRPr="00DC66C6">
        <w:rPr>
          <w:rFonts w:ascii="Arial Narrow" w:hAnsi="Arial Narrow"/>
        </w:rPr>
        <w:t xml:space="preserve"> Pre úspešnú implementáciu tohto opatrenia však bude nevyhnutné pokračovať v odstraňovaní bariér, ktorým deti so ZZ v prístupe a v procese vzdelávania v súčasnom vzdelávacom systéme čelia (táto podkapitola). </w:t>
      </w:r>
      <w:r w:rsidRPr="00DC66C6">
        <w:rPr>
          <w:rFonts w:ascii="Arial Narrow" w:hAnsi="Arial Narrow"/>
          <w:b/>
        </w:rPr>
        <w:t>Revízia preto okrem ďalších nižšie uvedených opatrení navrhuje monitorovať dopad povinného predprimárneho vzdelávania na zaškolenosť detí so ZZ.</w:t>
      </w:r>
    </w:p>
    <w:p w14:paraId="05A941F2" w14:textId="77777777" w:rsidR="00D53C5F" w:rsidRPr="00D53C5F" w:rsidRDefault="00D53C5F" w:rsidP="00D53C5F">
      <w:pPr>
        <w:pStyle w:val="Bezriadkovania"/>
        <w:spacing w:before="160" w:after="200" w:line="259" w:lineRule="auto"/>
        <w:jc w:val="both"/>
        <w:rPr>
          <w:rFonts w:ascii="Arial Narrow" w:hAnsi="Arial Narrow"/>
          <w:bCs/>
        </w:rPr>
      </w:pPr>
      <w:r w:rsidRPr="00D53C5F">
        <w:rPr>
          <w:rFonts w:ascii="Arial Narrow" w:hAnsi="Arial Narrow"/>
          <w:b/>
          <w:bCs/>
        </w:rPr>
        <w:t xml:space="preserve">Miera zaškolenosti detí so zdravotným znevýhodnením sa v školskom roku 2017/18 líšila podľa druhu zdravotného znevýhodnenia. </w:t>
      </w:r>
      <w:r w:rsidRPr="00D53C5F">
        <w:rPr>
          <w:rFonts w:ascii="Arial Narrow" w:hAnsi="Arial Narrow"/>
          <w:bCs/>
        </w:rPr>
        <w:t>Podpriemernú mieru zaškolenosti oproti deťom bez ZZ, ako aj oproti priemeru za všetky deti so ZZ možno pozorovať u predškolákov so zrakovým postihnutím a u detí s mentálnym postihnutím (</w:t>
      </w:r>
      <w:r w:rsidRPr="00D53C5F">
        <w:rPr>
          <w:rFonts w:ascii="Arial Narrow" w:hAnsi="Arial Narrow"/>
          <w:bCs/>
        </w:rPr>
        <w:fldChar w:fldCharType="begin"/>
      </w:r>
      <w:r w:rsidRPr="00D53C5F">
        <w:rPr>
          <w:rFonts w:ascii="Arial Narrow" w:hAnsi="Arial Narrow"/>
          <w:bCs/>
        </w:rPr>
        <w:instrText xml:space="preserve"> REF _Ref33430487 \h  \* MERGEFORMAT </w:instrText>
      </w:r>
      <w:r w:rsidRPr="00D53C5F">
        <w:rPr>
          <w:rFonts w:ascii="Arial Narrow" w:hAnsi="Arial Narrow"/>
          <w:bCs/>
        </w:rPr>
      </w:r>
      <w:r w:rsidRPr="00D53C5F">
        <w:rPr>
          <w:rFonts w:ascii="Arial Narrow" w:hAnsi="Arial Narrow"/>
          <w:bCs/>
        </w:rPr>
        <w:fldChar w:fldCharType="separate"/>
      </w:r>
      <w:r w:rsidR="00FA29AF" w:rsidRPr="00FA29AF">
        <w:rPr>
          <w:rFonts w:ascii="Arial Narrow" w:hAnsi="Arial Narrow"/>
        </w:rPr>
        <w:t xml:space="preserve">Graf </w:t>
      </w:r>
      <w:r w:rsidR="00FA29AF" w:rsidRPr="00FA29AF">
        <w:rPr>
          <w:rFonts w:ascii="Arial Narrow" w:hAnsi="Arial Narrow"/>
          <w:noProof/>
        </w:rPr>
        <w:t>22</w:t>
      </w:r>
      <w:r w:rsidRPr="00D53C5F">
        <w:rPr>
          <w:rFonts w:ascii="Arial Narrow" w:hAnsi="Arial Narrow"/>
          <w:bCs/>
        </w:rPr>
        <w:fldChar w:fldCharType="end"/>
      </w:r>
      <w:r w:rsidRPr="00D53C5F">
        <w:rPr>
          <w:rFonts w:ascii="Arial Narrow" w:hAnsi="Arial Narrow"/>
          <w:bCs/>
        </w:rPr>
        <w:t>).</w:t>
      </w:r>
      <w:r w:rsidRPr="00D53C5F">
        <w:rPr>
          <w:rStyle w:val="Odkaznapoznmkupodiarou"/>
          <w:rFonts w:ascii="Arial Narrow" w:hAnsi="Arial Narrow"/>
          <w:bCs/>
        </w:rPr>
        <w:footnoteReference w:id="177"/>
      </w:r>
      <w:r w:rsidRPr="00D53C5F">
        <w:rPr>
          <w:rFonts w:ascii="Arial Narrow" w:hAnsi="Arial Narrow"/>
          <w:bCs/>
        </w:rPr>
        <w:t xml:space="preserve"> Naopak deti s poruchami aktivity a pozornosti, narušenou komunikačnou schopnosťou a autizmom bez mentálneho postihnutia dosahujú porovnateľnú mieru zaškolenosti ako deti bez ZZ.</w:t>
      </w:r>
    </w:p>
    <w:p w14:paraId="203753F2" w14:textId="49538DA5" w:rsidR="000975A7" w:rsidRPr="00D53C5F" w:rsidRDefault="00170D28" w:rsidP="00D53C5F">
      <w:pPr>
        <w:pStyle w:val="Bezriadkovania"/>
        <w:spacing w:before="160" w:after="200"/>
        <w:jc w:val="both"/>
        <w:rPr>
          <w:rFonts w:ascii="Arial Narrow" w:hAnsi="Arial Narrow"/>
        </w:rPr>
      </w:pPr>
      <w:r w:rsidRPr="00DC66C6">
        <w:rPr>
          <w:rFonts w:ascii="Arial Narrow" w:hAnsi="Arial Narrow"/>
          <w:b/>
        </w:rPr>
        <w:t>Takmer tri štvrtiny predškolákov so zdravotným znevýhodnením v materských školách (71 %) sa v školskom roku 2017/18 vzdelávalo v bežnom prúde a o niečo viac ako jedna štvrtina (29 %) v špeciálnom prúde.</w:t>
      </w:r>
      <w:r w:rsidRPr="00DC66C6">
        <w:rPr>
          <w:rFonts w:ascii="Arial Narrow" w:hAnsi="Arial Narrow"/>
        </w:rPr>
        <w:t xml:space="preserve"> Väčšina detí v špeciálnom prúde sa pritom vzdeláva v špeciálnych materských školách, špeciálne triedy sú v bežných materských školách ojedinelé.</w:t>
      </w:r>
      <w:r w:rsidRPr="00DC66C6">
        <w:rPr>
          <w:rStyle w:val="Odkaznapoznmkupodiarou"/>
          <w:rFonts w:ascii="Arial Narrow" w:hAnsi="Arial Narrow"/>
        </w:rPr>
        <w:footnoteReference w:id="178"/>
      </w:r>
      <w:r w:rsidRPr="00DC66C6">
        <w:rPr>
          <w:rFonts w:ascii="Arial Narrow" w:hAnsi="Arial Narrow"/>
        </w:rPr>
        <w:t xml:space="preserve"> Zastúpenie v špeciálnom a bežnom prúde sa líši z hľadiska druhu ZZ. Nadpriemerne boli v školskom roku 2017/18 v špeciálnom prúde zastúpení najmä predškoláci s mentálnym (48 %) a sluc</w:t>
      </w:r>
      <w:r w:rsidR="00A70F22">
        <w:rPr>
          <w:rFonts w:ascii="Arial Narrow" w:hAnsi="Arial Narrow"/>
        </w:rPr>
        <w:t>hovým postihnutím (49 %)</w:t>
      </w:r>
      <w:r w:rsidR="00D53C5F">
        <w:rPr>
          <w:rFonts w:ascii="Arial Narrow" w:hAnsi="Arial Narrow"/>
        </w:rPr>
        <w:t xml:space="preserve"> (</w:t>
      </w:r>
      <w:r w:rsidR="00D53C5F" w:rsidRPr="00D53C5F">
        <w:rPr>
          <w:rFonts w:ascii="Arial Narrow" w:hAnsi="Arial Narrow"/>
        </w:rPr>
        <w:fldChar w:fldCharType="begin"/>
      </w:r>
      <w:r w:rsidR="00D53C5F" w:rsidRPr="00D53C5F">
        <w:rPr>
          <w:rFonts w:ascii="Arial Narrow" w:hAnsi="Arial Narrow"/>
        </w:rPr>
        <w:instrText xml:space="preserve"> REF _Ref34152139 \h  \* MERGEFORMAT </w:instrText>
      </w:r>
      <w:r w:rsidR="00D53C5F" w:rsidRPr="00D53C5F">
        <w:rPr>
          <w:rFonts w:ascii="Arial Narrow" w:hAnsi="Arial Narrow"/>
        </w:rPr>
      </w:r>
      <w:r w:rsidR="00D53C5F" w:rsidRPr="00D53C5F">
        <w:rPr>
          <w:rFonts w:ascii="Arial Narrow" w:hAnsi="Arial Narrow"/>
        </w:rPr>
        <w:fldChar w:fldCharType="separate"/>
      </w:r>
      <w:r w:rsidR="00FA29AF" w:rsidRPr="00FA29AF">
        <w:rPr>
          <w:rFonts w:ascii="Arial Narrow" w:hAnsi="Arial Narrow"/>
        </w:rPr>
        <w:t xml:space="preserve">Graf </w:t>
      </w:r>
      <w:r w:rsidR="00FA29AF" w:rsidRPr="00FA29AF">
        <w:rPr>
          <w:rFonts w:ascii="Arial Narrow" w:hAnsi="Arial Narrow"/>
          <w:noProof/>
        </w:rPr>
        <w:t>23</w:t>
      </w:r>
      <w:r w:rsidR="00D53C5F" w:rsidRPr="00D53C5F">
        <w:rPr>
          <w:rFonts w:ascii="Arial Narrow" w:hAnsi="Arial Narrow"/>
        </w:rPr>
        <w:fldChar w:fldCharType="end"/>
      </w:r>
      <w:r w:rsidR="00D53C5F">
        <w:rPr>
          <w:rFonts w:ascii="Arial Narrow" w:hAnsi="Arial Narrow"/>
        </w:rPr>
        <w:t>).</w:t>
      </w:r>
      <w:r w:rsidR="005523FA" w:rsidRPr="00DC66C6">
        <w:rPr>
          <w:rStyle w:val="Odkaznapoznmkupodiarou"/>
          <w:rFonts w:ascii="Arial Narrow" w:hAnsi="Arial Narrow"/>
        </w:rPr>
        <w:footnoteReference w:id="179"/>
      </w:r>
      <w:bookmarkStart w:id="393" w:name="_Ref33430546"/>
      <w:r w:rsidR="00D53C5F">
        <w:rPr>
          <w:rFonts w:ascii="Arial Narrow" w:hAnsi="Arial Narrow"/>
        </w:rPr>
        <w:t xml:space="preserve"> </w:t>
      </w:r>
    </w:p>
    <w:tbl>
      <w:tblPr>
        <w:tblW w:w="0" w:type="auto"/>
        <w:tblLook w:val="04A0" w:firstRow="1" w:lastRow="0" w:firstColumn="1" w:lastColumn="0" w:noHBand="0" w:noVBand="1"/>
      </w:tblPr>
      <w:tblGrid>
        <w:gridCol w:w="9026"/>
      </w:tblGrid>
      <w:tr w:rsidR="000975A7" w:rsidRPr="00DC66C6" w14:paraId="41A32E39" w14:textId="77777777" w:rsidTr="00C3325D">
        <w:tc>
          <w:tcPr>
            <w:tcW w:w="9026" w:type="dxa"/>
            <w:tcBorders>
              <w:left w:val="nil"/>
              <w:bottom w:val="single" w:sz="4" w:space="0" w:color="auto"/>
              <w:right w:val="nil"/>
            </w:tcBorders>
          </w:tcPr>
          <w:p w14:paraId="5309FFB2" w14:textId="3A4826EA" w:rsidR="000975A7" w:rsidRPr="000975A7" w:rsidRDefault="000975A7" w:rsidP="000975A7">
            <w:pPr>
              <w:pStyle w:val="Bezriadkovania"/>
              <w:spacing w:line="259" w:lineRule="auto"/>
              <w:rPr>
                <w:rFonts w:ascii="Arial Narrow" w:hAnsi="Arial Narrow"/>
                <w:iCs/>
                <w:sz w:val="4"/>
                <w:szCs w:val="4"/>
              </w:rPr>
            </w:pPr>
            <w:bookmarkStart w:id="394" w:name="_Ref34152139"/>
            <w:bookmarkStart w:id="395" w:name="_Toc34157581"/>
            <w:bookmarkEnd w:id="392"/>
            <w:bookmarkEnd w:id="393"/>
            <w:r w:rsidRPr="000975A7">
              <w:rPr>
                <w:rFonts w:ascii="Arial Narrow" w:hAnsi="Arial Narrow"/>
                <w:b/>
                <w:sz w:val="20"/>
                <w:szCs w:val="20"/>
              </w:rPr>
              <w:t xml:space="preserve">Graf </w:t>
            </w:r>
            <w:r w:rsidRPr="000975A7">
              <w:rPr>
                <w:rFonts w:ascii="Arial Narrow" w:hAnsi="Arial Narrow"/>
                <w:b/>
                <w:i/>
                <w:sz w:val="20"/>
                <w:szCs w:val="20"/>
              </w:rPr>
              <w:fldChar w:fldCharType="begin"/>
            </w:r>
            <w:r w:rsidRPr="000975A7">
              <w:rPr>
                <w:rFonts w:ascii="Arial Narrow" w:hAnsi="Arial Narrow"/>
                <w:b/>
                <w:sz w:val="20"/>
                <w:szCs w:val="20"/>
              </w:rPr>
              <w:instrText xml:space="preserve"> SEQ Graf \* ARABIC </w:instrText>
            </w:r>
            <w:r w:rsidRPr="000975A7">
              <w:rPr>
                <w:rFonts w:ascii="Arial Narrow" w:hAnsi="Arial Narrow"/>
                <w:b/>
                <w:i/>
                <w:sz w:val="20"/>
                <w:szCs w:val="20"/>
              </w:rPr>
              <w:fldChar w:fldCharType="separate"/>
            </w:r>
            <w:r w:rsidR="00FA29AF">
              <w:rPr>
                <w:rFonts w:ascii="Arial Narrow" w:hAnsi="Arial Narrow"/>
                <w:b/>
                <w:noProof/>
                <w:sz w:val="20"/>
                <w:szCs w:val="20"/>
              </w:rPr>
              <w:t>23</w:t>
            </w:r>
            <w:r w:rsidRPr="000975A7">
              <w:rPr>
                <w:rFonts w:ascii="Arial Narrow" w:hAnsi="Arial Narrow"/>
                <w:b/>
                <w:i/>
                <w:sz w:val="20"/>
                <w:szCs w:val="20"/>
              </w:rPr>
              <w:fldChar w:fldCharType="end"/>
            </w:r>
            <w:bookmarkEnd w:id="394"/>
            <w:r w:rsidRPr="000975A7">
              <w:rPr>
                <w:rFonts w:ascii="Arial Narrow" w:hAnsi="Arial Narrow"/>
                <w:b/>
                <w:sz w:val="20"/>
                <w:szCs w:val="20"/>
              </w:rPr>
              <w:t>: Podiel predškolákov so ZZ vzdelávaných v bežnom a špeciálnom prúde</w:t>
            </w:r>
            <w:bookmarkEnd w:id="395"/>
          </w:p>
        </w:tc>
      </w:tr>
      <w:tr w:rsidR="000975A7" w:rsidRPr="00DC66C6" w14:paraId="74276F45" w14:textId="77777777" w:rsidTr="00C3325D">
        <w:tc>
          <w:tcPr>
            <w:tcW w:w="9026" w:type="dxa"/>
            <w:tcBorders>
              <w:top w:val="single" w:sz="4" w:space="0" w:color="auto"/>
              <w:left w:val="nil"/>
              <w:right w:val="nil"/>
            </w:tcBorders>
          </w:tcPr>
          <w:p w14:paraId="2C312364" w14:textId="77777777" w:rsidR="000975A7" w:rsidRPr="00DC66C6" w:rsidRDefault="000975A7" w:rsidP="005523FA">
            <w:pPr>
              <w:pStyle w:val="Bezriadkovania"/>
              <w:spacing w:line="259" w:lineRule="auto"/>
              <w:jc w:val="center"/>
              <w:rPr>
                <w:rFonts w:ascii="Arial Narrow" w:hAnsi="Arial Narrow"/>
                <w:iCs/>
                <w:sz w:val="4"/>
                <w:szCs w:val="4"/>
              </w:rPr>
            </w:pPr>
          </w:p>
        </w:tc>
      </w:tr>
      <w:tr w:rsidR="005523FA" w:rsidRPr="00DC66C6" w14:paraId="15D99D62" w14:textId="77777777" w:rsidTr="00C3325D">
        <w:tblPrEx>
          <w:tblCellMar>
            <w:left w:w="70" w:type="dxa"/>
            <w:right w:w="70" w:type="dxa"/>
          </w:tblCellMar>
        </w:tblPrEx>
        <w:tc>
          <w:tcPr>
            <w:tcW w:w="9026" w:type="dxa"/>
            <w:tcBorders>
              <w:left w:val="nil"/>
              <w:bottom w:val="single" w:sz="4" w:space="0" w:color="auto"/>
              <w:right w:val="nil"/>
            </w:tcBorders>
          </w:tcPr>
          <w:p w14:paraId="7723FC53" w14:textId="77777777" w:rsidR="005523FA" w:rsidRPr="00DC66C6" w:rsidRDefault="005523FA" w:rsidP="005523FA">
            <w:pPr>
              <w:pStyle w:val="Bezriadkovania"/>
              <w:spacing w:line="259" w:lineRule="auto"/>
              <w:jc w:val="center"/>
              <w:rPr>
                <w:rFonts w:ascii="Arial Narrow" w:hAnsi="Arial Narrow"/>
                <w:iCs/>
                <w:sz w:val="4"/>
                <w:szCs w:val="4"/>
              </w:rPr>
            </w:pPr>
          </w:p>
          <w:p w14:paraId="58F4B003" w14:textId="5647CECB" w:rsidR="005523FA" w:rsidRPr="00DC66C6" w:rsidRDefault="00C3325D" w:rsidP="005523FA">
            <w:pPr>
              <w:pStyle w:val="Bezriadkovania"/>
              <w:spacing w:line="259" w:lineRule="auto"/>
              <w:jc w:val="center"/>
              <w:rPr>
                <w:rFonts w:ascii="Arial Narrow" w:hAnsi="Arial Narrow"/>
                <w:iCs/>
                <w:sz w:val="4"/>
                <w:szCs w:val="4"/>
              </w:rPr>
            </w:pPr>
            <w:r>
              <w:rPr>
                <w:noProof/>
                <w:lang w:eastAsia="sk-SK"/>
              </w:rPr>
              <w:drawing>
                <wp:inline distT="0" distB="0" distL="0" distR="0" wp14:anchorId="1BD534EA" wp14:editId="18CE8C61">
                  <wp:extent cx="5600700" cy="2200275"/>
                  <wp:effectExtent l="0" t="0" r="0" b="0"/>
                  <wp:docPr id="28023" name="Graf 28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56BDBBD" w14:textId="3A93F397" w:rsidR="005523FA" w:rsidRPr="00DC66C6" w:rsidRDefault="005523FA" w:rsidP="005523FA">
            <w:pPr>
              <w:pStyle w:val="Bezriadkovania"/>
              <w:spacing w:line="259" w:lineRule="auto"/>
              <w:jc w:val="center"/>
              <w:rPr>
                <w:rFonts w:ascii="Arial Narrow" w:hAnsi="Arial Narrow"/>
                <w:iCs/>
                <w:sz w:val="4"/>
                <w:szCs w:val="4"/>
              </w:rPr>
            </w:pPr>
          </w:p>
        </w:tc>
      </w:tr>
      <w:tr w:rsidR="008E166F" w:rsidRPr="00DC66C6" w14:paraId="610B21DB" w14:textId="77777777" w:rsidTr="00C3325D">
        <w:tc>
          <w:tcPr>
            <w:tcW w:w="9026" w:type="dxa"/>
            <w:tcBorders>
              <w:top w:val="single" w:sz="4" w:space="0" w:color="auto"/>
              <w:left w:val="nil"/>
              <w:bottom w:val="nil"/>
              <w:right w:val="nil"/>
            </w:tcBorders>
          </w:tcPr>
          <w:p w14:paraId="7EA37D4E" w14:textId="77777777" w:rsidR="008E166F" w:rsidRPr="00DC66C6" w:rsidRDefault="008E166F" w:rsidP="00B35CF6">
            <w:pPr>
              <w:pStyle w:val="Bezriadkovania"/>
              <w:spacing w:line="259" w:lineRule="auto"/>
              <w:jc w:val="right"/>
              <w:rPr>
                <w:rFonts w:ascii="Arial Narrow" w:hAnsi="Arial Narrow"/>
                <w:i/>
                <w:sz w:val="18"/>
                <w:szCs w:val="18"/>
              </w:rPr>
            </w:pPr>
            <w:r w:rsidRPr="00DC66C6">
              <w:rPr>
                <w:rFonts w:ascii="Arial Narrow" w:hAnsi="Arial Narrow"/>
                <w:i/>
                <w:sz w:val="18"/>
                <w:szCs w:val="18"/>
              </w:rPr>
              <w:t>Vlastné prepočty IVP na základe dát RIS (2017, 2018)</w:t>
            </w:r>
          </w:p>
        </w:tc>
      </w:tr>
    </w:tbl>
    <w:p w14:paraId="49EA25D4" w14:textId="77777777" w:rsidR="008E166F" w:rsidRPr="00DC66C6" w:rsidRDefault="008E166F" w:rsidP="00452DBC">
      <w:pPr>
        <w:pStyle w:val="Bezriadkovania"/>
        <w:spacing w:after="200" w:line="259" w:lineRule="auto"/>
        <w:jc w:val="both"/>
        <w:rPr>
          <w:rFonts w:ascii="Arial Narrow" w:hAnsi="Arial Narrow"/>
        </w:rPr>
      </w:pPr>
      <w:r w:rsidRPr="00DC66C6">
        <w:rPr>
          <w:rFonts w:ascii="Arial Narrow" w:hAnsi="Arial Narrow"/>
          <w:color w:val="0070C0"/>
        </w:rPr>
        <w:t>Existujúce opatrenia zamerané na podporu zdravotne znevýhodnených detí v materských školách</w:t>
      </w:r>
    </w:p>
    <w:p w14:paraId="295070D0" w14:textId="77777777" w:rsidR="00170D28" w:rsidRPr="00DC66C6" w:rsidRDefault="00170D28" w:rsidP="00452DBC">
      <w:pPr>
        <w:spacing w:before="160"/>
        <w:rPr>
          <w:b/>
          <w:u w:val="single"/>
        </w:rPr>
      </w:pPr>
      <w:r w:rsidRPr="00DC66C6">
        <w:rPr>
          <w:b/>
          <w:u w:val="single"/>
        </w:rPr>
        <w:t>Navýšené normatívy na deti so zdravotným znevýhodnením v špeciálnych materských školách</w:t>
      </w:r>
    </w:p>
    <w:p w14:paraId="0E049ABB" w14:textId="4EC5BF40" w:rsidR="00170D28" w:rsidRPr="00DC66C6" w:rsidRDefault="00170D28" w:rsidP="00452DBC">
      <w:pPr>
        <w:pStyle w:val="Bezriadkovania"/>
        <w:spacing w:before="160" w:after="200" w:line="259" w:lineRule="auto"/>
        <w:jc w:val="both"/>
        <w:rPr>
          <w:rFonts w:ascii="Arial Narrow" w:hAnsi="Arial Narrow"/>
          <w:b/>
        </w:rPr>
      </w:pPr>
      <w:r w:rsidRPr="00DC66C6">
        <w:rPr>
          <w:rFonts w:ascii="Arial Narrow" w:hAnsi="Arial Narrow"/>
          <w:b/>
        </w:rPr>
        <w:t>Navýšené normatívy v</w:t>
      </w:r>
      <w:r w:rsidR="00976145">
        <w:rPr>
          <w:rFonts w:ascii="Arial Narrow" w:hAnsi="Arial Narrow"/>
          <w:b/>
        </w:rPr>
        <w:t> špeciálnych materských školách</w:t>
      </w:r>
      <w:r w:rsidRPr="00DC66C6">
        <w:rPr>
          <w:rFonts w:ascii="Arial Narrow" w:hAnsi="Arial Narrow"/>
          <w:b/>
        </w:rPr>
        <w:t xml:space="preserve"> </w:t>
      </w:r>
      <w:r w:rsidR="00976145">
        <w:rPr>
          <w:rFonts w:ascii="Arial Narrow" w:hAnsi="Arial Narrow"/>
          <w:b/>
        </w:rPr>
        <w:t>(</w:t>
      </w:r>
      <w:r w:rsidRPr="00DC66C6">
        <w:rPr>
          <w:rFonts w:ascii="Arial Narrow" w:hAnsi="Arial Narrow"/>
          <w:b/>
        </w:rPr>
        <w:t>ŠMŠ</w:t>
      </w:r>
      <w:r w:rsidR="00976145">
        <w:rPr>
          <w:rFonts w:ascii="Arial Narrow" w:hAnsi="Arial Narrow"/>
          <w:b/>
        </w:rPr>
        <w:t>)</w:t>
      </w:r>
      <w:r w:rsidRPr="00DC66C6">
        <w:rPr>
          <w:rFonts w:ascii="Arial Narrow" w:hAnsi="Arial Narrow"/>
          <w:b/>
        </w:rPr>
        <w:t xml:space="preserve"> zohľadňujú najmä výrazne menšie triedy v špeciálnych materských školách a vyššie kvalifikačné predpoklady na pedagogických zamestnancov</w:t>
      </w:r>
      <w:r w:rsidRPr="00DC66C6">
        <w:rPr>
          <w:rFonts w:ascii="Arial Narrow" w:hAnsi="Arial Narrow"/>
        </w:rPr>
        <w:t>. Kým priemerný počet detí v triedach špeciálnych materských škôl bol 7 detí, v bežných materských školách išlo o 20 detí.</w:t>
      </w:r>
      <w:r w:rsidRPr="00DC66C6">
        <w:rPr>
          <w:rStyle w:val="Odkaznapoznmkupodiarou"/>
          <w:rFonts w:ascii="Arial Narrow" w:hAnsi="Arial Narrow"/>
        </w:rPr>
        <w:footnoteReference w:id="180"/>
      </w:r>
    </w:p>
    <w:p w14:paraId="61B0B021" w14:textId="393DCA40" w:rsidR="00170D28" w:rsidRPr="00DC66C6" w:rsidRDefault="00170D28" w:rsidP="00452DBC">
      <w:pPr>
        <w:pStyle w:val="Bezriadkovania"/>
        <w:spacing w:before="160" w:after="200" w:line="259" w:lineRule="auto"/>
        <w:jc w:val="both"/>
        <w:rPr>
          <w:rFonts w:ascii="Arial Narrow" w:hAnsi="Arial Narrow"/>
          <w:bCs/>
        </w:rPr>
      </w:pPr>
      <w:r w:rsidRPr="00DC66C6">
        <w:rPr>
          <w:rFonts w:ascii="Arial Narrow" w:hAnsi="Arial Narrow"/>
          <w:b/>
        </w:rPr>
        <w:t>V roku 2018 vyčlenil štát na dieťa so zdravotným znevýhodnením v špeciálnej materskej škole v priemere 5 325 eur, čo oproti priemerným výdavkom na dieťa v bežnej materskej škole (2 326 eur) predstavuje dodatočné náklady vo výške 2 999 eur. Celkové dodatočné náklady na deti so zdravotným znevýhodnením vzdelávajúcich sa v 91 špeciálnych materských školách mali výšku takmer 5,4 milióna eur.</w:t>
      </w:r>
      <w:r w:rsidRPr="00DC66C6">
        <w:rPr>
          <w:rStyle w:val="Odkaznapoznmkupodiarou"/>
          <w:rFonts w:ascii="Arial Narrow" w:hAnsi="Arial Narrow"/>
          <w:b/>
        </w:rPr>
        <w:footnoteReference w:id="181"/>
      </w:r>
      <w:r w:rsidR="0070047D">
        <w:rPr>
          <w:rStyle w:val="Odkaznapoznmkupodiarou"/>
          <w:rFonts w:ascii="Arial Narrow" w:hAnsi="Arial Narrow"/>
        </w:rPr>
        <w:t xml:space="preserve"> </w:t>
      </w:r>
      <w:r w:rsidRPr="00DC66C6">
        <w:rPr>
          <w:rFonts w:ascii="Arial Narrow" w:hAnsi="Arial Narrow"/>
          <w:bCs/>
        </w:rPr>
        <w:t>Z 1 812 detí sa 1 608 detí vzdelávalo v štátnych ŠMŠ a 204 detí v súkromných alebo cirkevných ŠMŠ. V špeciálnych triedach bežných materských škôl sa vzdelávalo v roku 2018 iba 175 detí.</w:t>
      </w:r>
      <w:r w:rsidRPr="00DC66C6">
        <w:rPr>
          <w:rStyle w:val="Odkaznapoznmkupodiarou"/>
          <w:rFonts w:ascii="Arial Narrow" w:hAnsi="Arial Narrow"/>
          <w:bCs/>
        </w:rPr>
        <w:footnoteReference w:id="182"/>
      </w:r>
      <w:r w:rsidRPr="00DC66C6">
        <w:rPr>
          <w:rFonts w:ascii="Arial Narrow" w:hAnsi="Arial Narrow"/>
          <w:bCs/>
        </w:rPr>
        <w:t xml:space="preserve"> Navýšené normatívy sa na tieto triedy nevzťahujú.</w:t>
      </w:r>
    </w:p>
    <w:p w14:paraId="5261C4AB" w14:textId="77777777" w:rsidR="00170D28" w:rsidRPr="00DC66C6" w:rsidRDefault="00170D28" w:rsidP="00452DBC">
      <w:pPr>
        <w:pStyle w:val="Bezriadkovania"/>
        <w:spacing w:before="160" w:after="200" w:line="259" w:lineRule="auto"/>
        <w:jc w:val="both"/>
        <w:rPr>
          <w:rFonts w:ascii="Arial Narrow" w:hAnsi="Arial Narrow"/>
          <w:b/>
        </w:rPr>
      </w:pPr>
      <w:bookmarkStart w:id="396" w:name="_Hlk32246494"/>
      <w:r w:rsidRPr="00DC66C6">
        <w:rPr>
          <w:rFonts w:ascii="Arial Narrow" w:hAnsi="Arial Narrow"/>
          <w:b/>
          <w:u w:val="single"/>
        </w:rPr>
        <w:t>Organizácia vzdelávania</w:t>
      </w:r>
    </w:p>
    <w:p w14:paraId="0BC2B66E" w14:textId="0AEDFEB0" w:rsidR="00170D28" w:rsidRPr="00DC66C6" w:rsidRDefault="00170D28" w:rsidP="00452DBC">
      <w:pPr>
        <w:pStyle w:val="Bezriadkovania"/>
        <w:spacing w:before="160" w:after="200" w:line="259" w:lineRule="auto"/>
        <w:jc w:val="both"/>
        <w:rPr>
          <w:rFonts w:ascii="Arial Narrow" w:hAnsi="Arial Narrow"/>
          <w:b/>
          <w:bCs/>
        </w:rPr>
      </w:pPr>
      <w:r w:rsidRPr="00DC66C6">
        <w:rPr>
          <w:rFonts w:ascii="Arial Narrow" w:hAnsi="Arial Narrow"/>
          <w:b/>
        </w:rPr>
        <w:t>Školský zákon obmedzuje počet detí so špeciálnymi výchovno-vzdelávacími potrebami</w:t>
      </w:r>
      <w:r w:rsidRPr="00DC66C6">
        <w:rPr>
          <w:rStyle w:val="Odkaznapoznmkupodiarou"/>
          <w:rFonts w:ascii="Arial Narrow" w:hAnsi="Arial Narrow"/>
          <w:b/>
        </w:rPr>
        <w:footnoteReference w:id="183"/>
      </w:r>
      <w:r w:rsidRPr="00DC66C6">
        <w:rPr>
          <w:rFonts w:ascii="Arial Narrow" w:hAnsi="Arial Narrow"/>
          <w:b/>
        </w:rPr>
        <w:t xml:space="preserve"> na jednu triedu na dve deti</w:t>
      </w:r>
      <w:r w:rsidRPr="00DC66C6">
        <w:rPr>
          <w:rStyle w:val="Odkaznapoznmkupodiarou"/>
          <w:rFonts w:ascii="Arial Narrow" w:hAnsi="Arial Narrow"/>
          <w:b/>
        </w:rPr>
        <w:footnoteReference w:id="184"/>
      </w:r>
      <w:r w:rsidRPr="00DC66C6">
        <w:rPr>
          <w:rFonts w:ascii="Arial Narrow" w:hAnsi="Arial Narrow"/>
          <w:b/>
        </w:rPr>
        <w:t xml:space="preserve"> a v nadväznosti na ich začlenenie umožňuje znížiť počet detí v triede materskej školy o štyri deti (za každé začlenené dieťa o dve deti)</w:t>
      </w:r>
      <w:r w:rsidRPr="00DC66C6">
        <w:rPr>
          <w:rFonts w:ascii="Arial Narrow" w:hAnsi="Arial Narrow"/>
          <w:b/>
          <w:bCs/>
        </w:rPr>
        <w:t>.</w:t>
      </w:r>
      <w:r w:rsidRPr="00DC66C6">
        <w:rPr>
          <w:rFonts w:ascii="Arial Narrow" w:hAnsi="Arial Narrow"/>
          <w:b/>
        </w:rPr>
        <w:t xml:space="preserve"> Efektivita tohto opatrenia je otázna. </w:t>
      </w:r>
      <w:r w:rsidRPr="00DC66C6">
        <w:rPr>
          <w:rFonts w:ascii="Arial Narrow" w:hAnsi="Arial Narrow"/>
        </w:rPr>
        <w:t>Znižovanie počtu detí v triedach</w:t>
      </w:r>
      <w:r w:rsidR="0070047D">
        <w:rPr>
          <w:rFonts w:ascii="Arial Narrow" w:hAnsi="Arial Narrow"/>
        </w:rPr>
        <w:t xml:space="preserve"> </w:t>
      </w:r>
      <w:r w:rsidRPr="00DC66C6">
        <w:rPr>
          <w:rFonts w:ascii="Arial Narrow" w:hAnsi="Arial Narrow"/>
        </w:rPr>
        <w:t>nie je systematicky zohľadnené vo financovaní materských škôl a dostupné údaje neumožňujú vyhodnotiť, do akej miery materské školy túto možnosť využívajú. Z dostupných informácií sa javí, že znižovanie počtu detí v triede v súvislosti so začlenením dieťaťa so ZZ okrem Slovenska uplatňuje iba Turecko (SENnet, 2018) a Island (European Commission/EACEA/Eurydice, 2019). Menší počet detí v triede môže viesť k potrebe vytvorenia novej triedy, čo prináša vyššie výdavky kvôli nevyhnutnému navýšeniu počtu pedagogických zamestnancov a vytvára tlak na už dnes obmedzené kapacity materských škôl.</w:t>
      </w:r>
    </w:p>
    <w:p w14:paraId="513A1DC7" w14:textId="3DE1D06F" w:rsidR="00BE798A" w:rsidRPr="00DC66C6" w:rsidRDefault="00BE798A" w:rsidP="00BE798A">
      <w:r w:rsidRPr="00DC66C6">
        <w:rPr>
          <w:b/>
          <w:bCs/>
        </w:rPr>
        <w:t>V roku 2018 bol priemerný počet detí v triedach MŠ 20 detí.</w:t>
      </w:r>
      <w:r w:rsidRPr="00DC66C6">
        <w:rPr>
          <w:rStyle w:val="Odkaznapoznmkupodiarou"/>
          <w:b/>
          <w:bCs/>
        </w:rPr>
        <w:footnoteReference w:id="185"/>
      </w:r>
      <w:r w:rsidRPr="00DC66C6">
        <w:rPr>
          <w:b/>
          <w:bCs/>
        </w:rPr>
        <w:t xml:space="preserve"> To je hranica optimálneho počtu detí v triede, ktorú v súvislosti s dopadom veľkosti triedy na kvalitu vzdelávanie nie je vhodné prekročiť (Bowne et al., 2017). Z dostupných údajov však </w:t>
      </w:r>
      <w:r w:rsidR="00B24660">
        <w:rPr>
          <w:b/>
          <w:bCs/>
        </w:rPr>
        <w:t>vyplýva</w:t>
      </w:r>
      <w:r w:rsidRPr="00DC66C6">
        <w:rPr>
          <w:b/>
          <w:bCs/>
        </w:rPr>
        <w:t>, že viac ako jedna tretina MŠ tento počet prekračuje</w:t>
      </w:r>
      <w:r>
        <w:rPr>
          <w:b/>
          <w:bCs/>
        </w:rPr>
        <w:t>, čo učitelia pociťujú ako bariéru pre efektívne vzdelávanie detí so špeciálnymi potrebami</w:t>
      </w:r>
      <w:r w:rsidRPr="00DC66C6">
        <w:rPr>
          <w:b/>
          <w:bCs/>
        </w:rPr>
        <w:t>.</w:t>
      </w:r>
      <w:r w:rsidRPr="00DC66C6">
        <w:rPr>
          <w:rStyle w:val="Odkaznapoznmkupodiarou"/>
          <w:b/>
          <w:bCs/>
        </w:rPr>
        <w:footnoteReference w:id="186"/>
      </w:r>
      <w:r w:rsidRPr="00DC66C6">
        <w:rPr>
          <w:b/>
          <w:bCs/>
        </w:rPr>
        <w:t xml:space="preserve"> </w:t>
      </w:r>
      <w:r w:rsidRPr="00DC66C6">
        <w:t>Školský zákon totiž stanovuje maximálnu veľkosť triedy na 20 až 22 detí v závislosti od vekovej štruktúry triedy a v prípade dopytu po miestach v MŠ dovoľuje riaditeľom počet detí v triede navýšiť o maximálne tri deti.</w:t>
      </w:r>
      <w:r w:rsidRPr="00DC66C6">
        <w:rPr>
          <w:rStyle w:val="Odkaznapoznmkupodiarou"/>
        </w:rPr>
        <w:footnoteReference w:id="187"/>
      </w:r>
      <w:r w:rsidRPr="00DC66C6">
        <w:t xml:space="preserve"> Podľa dotazníkového prieskumu považuje vysoký počet detí v triede za najväčší problém </w:t>
      </w:r>
      <w:r>
        <w:t xml:space="preserve">v oblasti vzdelávania detí so špeciálnymi potrebami </w:t>
      </w:r>
      <w:r w:rsidRPr="00DC66C6">
        <w:t>až 66,5 % učiteľov (To dá rozum, 2019). Revízia preto navrhuje pokračovať v budovaní kapacít materských škôl tak, aby riaditelia neboli nútení zákonné maximá prekračovať.</w:t>
      </w:r>
    </w:p>
    <w:p w14:paraId="11BC7EAC" w14:textId="6E84BF5C" w:rsidR="00170D28" w:rsidRPr="00DC66C6" w:rsidRDefault="00170D28" w:rsidP="00452DBC">
      <w:pPr>
        <w:rPr>
          <w:b/>
          <w:bCs/>
        </w:rPr>
      </w:pPr>
      <w:r w:rsidRPr="00DC66C6">
        <w:rPr>
          <w:b/>
          <w:bCs/>
        </w:rPr>
        <w:t xml:space="preserve">Priemerný počet detí pripadajúcich na jedného pracovníka v MŠ </w:t>
      </w:r>
      <w:r w:rsidR="007B59B0" w:rsidRPr="00DC66C6">
        <w:rPr>
          <w:b/>
          <w:bCs/>
        </w:rPr>
        <w:t xml:space="preserve">(20 detí) </w:t>
      </w:r>
      <w:r w:rsidRPr="00DC66C6">
        <w:rPr>
          <w:b/>
          <w:bCs/>
        </w:rPr>
        <w:t xml:space="preserve">výrazne prekračoval optimálne počty. </w:t>
      </w:r>
      <w:r w:rsidRPr="00DC66C6">
        <w:rPr>
          <w:bCs/>
        </w:rPr>
        <w:t>Aktuálna meta</w:t>
      </w:r>
      <w:r w:rsidR="00CB39DF">
        <w:rPr>
          <w:bCs/>
        </w:rPr>
        <w:t>-</w:t>
      </w:r>
      <w:r w:rsidRPr="00DC66C6">
        <w:rPr>
          <w:bCs/>
        </w:rPr>
        <w:t>analytická štúdia naznačila, že pre kvalitu výučby a výsledky detí sa za optimálny počet detí na jedného dospelého považuje 10 až 15 detí (Bowne et al., 2017).</w:t>
      </w:r>
      <w:r w:rsidRPr="00DC66C6">
        <w:t xml:space="preserve"> Rovnako sa maximálne počty detí pripadajúcich na jedného pracovníka stanovujú</w:t>
      </w:r>
      <w:r w:rsidR="0070047D">
        <w:t xml:space="preserve"> </w:t>
      </w:r>
      <w:r w:rsidRPr="00DC66C6">
        <w:t>rámci viacerých krajín EÚ (European Commission/EACEA/Eurydice, 2019).</w:t>
      </w:r>
      <w:r w:rsidRPr="00DC66C6">
        <w:rPr>
          <w:rStyle w:val="Odkaznapoznmkupodiarou"/>
        </w:rPr>
        <w:footnoteReference w:id="188"/>
      </w:r>
      <w:r w:rsidRPr="00DC66C6">
        <w:t xml:space="preserve"> Slovensko počet detí pripadajúcich na jedného pracovníka nereguluje a tento počet je vzhľadom na nízky počet podporných pracovníkov totožný s priemerným počtom detí v triedach. </w:t>
      </w:r>
      <w:r w:rsidRPr="00DC66C6">
        <w:rPr>
          <w:b/>
          <w:bCs/>
        </w:rPr>
        <w:t>Revízia preto navrhuje výrazne navýšiť zdroje na podporu zamestnávania podporných pracovníkov tak, aby sa počet detí pripadajúcich na jedného pracovníka postupne znižoval.</w:t>
      </w:r>
    </w:p>
    <w:bookmarkEnd w:id="396"/>
    <w:p w14:paraId="07543852" w14:textId="77777777" w:rsidR="00170D28" w:rsidRPr="00A47998" w:rsidRDefault="00170D28" w:rsidP="00452DBC">
      <w:pPr>
        <w:pStyle w:val="Bezriadkovania"/>
        <w:spacing w:before="160" w:after="200" w:line="259" w:lineRule="auto"/>
        <w:jc w:val="both"/>
        <w:rPr>
          <w:rFonts w:ascii="Arial Narrow" w:hAnsi="Arial Narrow"/>
        </w:rPr>
      </w:pPr>
      <w:r w:rsidRPr="00A47998">
        <w:rPr>
          <w:rFonts w:ascii="Arial Narrow" w:hAnsi="Arial Narrow"/>
          <w:b/>
          <w:u w:val="single"/>
        </w:rPr>
        <w:t>Špeciálne multimediálne, didaktické a kompenzačné pomôcky</w:t>
      </w:r>
    </w:p>
    <w:p w14:paraId="45015F3B" w14:textId="75AE232E" w:rsidR="00170D28" w:rsidRPr="00DC66C6" w:rsidRDefault="00170D28" w:rsidP="00452DBC">
      <w:pPr>
        <w:pStyle w:val="Bezriadkovania"/>
        <w:spacing w:before="160" w:after="200" w:line="259" w:lineRule="auto"/>
        <w:jc w:val="both"/>
        <w:rPr>
          <w:rFonts w:ascii="Arial Narrow" w:hAnsi="Arial Narrow"/>
          <w:b/>
        </w:rPr>
      </w:pPr>
      <w:r w:rsidRPr="00DC66C6">
        <w:rPr>
          <w:rFonts w:ascii="Arial Narrow" w:hAnsi="Arial Narrow"/>
          <w:b/>
        </w:rPr>
        <w:t>Deti so zdravotným znevýhodnením majú právo využívať špeciálne multimediálne, didaktické a kompenzačné pomôcky.</w:t>
      </w:r>
      <w:r w:rsidRPr="00DC66C6">
        <w:rPr>
          <w:rStyle w:val="Odkaznapoznmkupodiarou"/>
          <w:rFonts w:ascii="Arial Narrow" w:hAnsi="Arial Narrow"/>
          <w:b/>
        </w:rPr>
        <w:footnoteReference w:id="189"/>
      </w:r>
      <w:r w:rsidRPr="00DC66C6">
        <w:rPr>
          <w:rFonts w:ascii="Arial Narrow" w:hAnsi="Arial Narrow"/>
          <w:b/>
        </w:rPr>
        <w:t xml:space="preserve"> Dostupné dáta neumožňujú povedať, do akej miery sú pomôcky v materských školách dostupné</w:t>
      </w:r>
      <w:r w:rsidR="00CB39DF">
        <w:rPr>
          <w:rFonts w:ascii="Arial Narrow" w:hAnsi="Arial Narrow"/>
          <w:b/>
        </w:rPr>
        <w:t>,</w:t>
      </w:r>
      <w:r w:rsidRPr="00DC66C6">
        <w:rPr>
          <w:rFonts w:ascii="Arial Narrow" w:hAnsi="Arial Narrow"/>
          <w:b/>
        </w:rPr>
        <w:t xml:space="preserve"> a ani či alebo aký objem zdrojov do ich nákupu materské školy investujú. </w:t>
      </w:r>
      <w:r w:rsidRPr="00DC66C6">
        <w:rPr>
          <w:rFonts w:ascii="Arial Narrow" w:hAnsi="Arial Narrow"/>
        </w:rPr>
        <w:t>Na zabezpečovaní pomôcok sa podľa školského zákona podieľajú aj Centrá špeciálno-pedagogického poradenstva (§ 133 ods. 4). Z auditu poradenských zariadení však nie je zrejmé, akými pomôckami centrá disponujú a či, resp. do akej miery ich do MŠ zapožičiavajú.</w:t>
      </w:r>
      <w:r w:rsidRPr="00DC66C6">
        <w:rPr>
          <w:rStyle w:val="Odkaznapoznmkupodiarou"/>
          <w:rFonts w:ascii="Arial Narrow" w:hAnsi="Arial Narrow"/>
        </w:rPr>
        <w:footnoteReference w:id="190"/>
      </w:r>
      <w:r w:rsidRPr="00DC66C6">
        <w:rPr>
          <w:rFonts w:ascii="Arial Narrow" w:hAnsi="Arial Narrow"/>
        </w:rPr>
        <w:t xml:space="preserve"> </w:t>
      </w:r>
      <w:r w:rsidRPr="00DC66C6">
        <w:rPr>
          <w:rFonts w:ascii="Arial Narrow" w:hAnsi="Arial Narrow"/>
          <w:b/>
        </w:rPr>
        <w:t>Revízia preto navrhuje realizovať audit pre identifikáciu dostupných a potrebných pomôcok pre deti so ZZ v predprimárnom vzdelávaní.</w:t>
      </w:r>
    </w:p>
    <w:p w14:paraId="60AF322C" w14:textId="77777777" w:rsidR="00170D28" w:rsidRPr="00DC66C6" w:rsidRDefault="00170D28" w:rsidP="00452DBC">
      <w:pPr>
        <w:pStyle w:val="Bezriadkovania"/>
        <w:spacing w:before="160" w:after="200" w:line="259" w:lineRule="auto"/>
        <w:jc w:val="both"/>
        <w:rPr>
          <w:rFonts w:ascii="Arial Narrow" w:hAnsi="Arial Narrow"/>
          <w:b/>
        </w:rPr>
      </w:pPr>
      <w:r w:rsidRPr="00DC66C6">
        <w:rPr>
          <w:rFonts w:ascii="Arial Narrow" w:hAnsi="Arial Narrow"/>
          <w:b/>
          <w:u w:val="single"/>
        </w:rPr>
        <w:t>Pripravenosť učiteľov</w:t>
      </w:r>
    </w:p>
    <w:p w14:paraId="3C24B6B9" w14:textId="36570006" w:rsidR="00170D28" w:rsidRPr="00DC66C6" w:rsidRDefault="00170D28" w:rsidP="00452DBC">
      <w:pPr>
        <w:pStyle w:val="Bezriadkovania"/>
        <w:spacing w:before="160" w:after="200" w:line="259" w:lineRule="auto"/>
        <w:jc w:val="both"/>
        <w:rPr>
          <w:rFonts w:ascii="Arial Narrow" w:hAnsi="Arial Narrow"/>
          <w:b/>
        </w:rPr>
      </w:pPr>
      <w:r w:rsidRPr="00DC66C6">
        <w:rPr>
          <w:rFonts w:ascii="Arial Narrow" w:hAnsi="Arial Narrow"/>
          <w:b/>
        </w:rPr>
        <w:t xml:space="preserve">Kľúčovú úlohu pri uplatňovaní špecifických metód a foriem vzdelávania zohráva príprava učiteľov. </w:t>
      </w:r>
      <w:r w:rsidR="00A6269A">
        <w:rPr>
          <w:rFonts w:ascii="Arial Narrow" w:hAnsi="Arial Narrow"/>
          <w:b/>
        </w:rPr>
        <w:t>N</w:t>
      </w:r>
      <w:r w:rsidRPr="00DC66C6">
        <w:rPr>
          <w:rFonts w:ascii="Arial Narrow" w:hAnsi="Arial Narrow"/>
          <w:b/>
        </w:rPr>
        <w:t xml:space="preserve">a Slovensku </w:t>
      </w:r>
      <w:r w:rsidR="00A6269A">
        <w:rPr>
          <w:rFonts w:ascii="Arial Narrow" w:hAnsi="Arial Narrow"/>
          <w:b/>
        </w:rPr>
        <w:t xml:space="preserve">neexistuje </w:t>
      </w:r>
      <w:r w:rsidRPr="00DC66C6">
        <w:rPr>
          <w:rFonts w:ascii="Arial Narrow" w:hAnsi="Arial Narrow"/>
          <w:b/>
          <w:bCs/>
        </w:rPr>
        <w:t>komplexná analýza efektivity prípravy budúcich učiteľov v predškolskom vzdelávaní.</w:t>
      </w:r>
      <w:r w:rsidRPr="00DC66C6">
        <w:rPr>
          <w:rFonts w:ascii="Arial Narrow" w:hAnsi="Arial Narrow"/>
          <w:b/>
        </w:rPr>
        <w:t xml:space="preserve"> </w:t>
      </w:r>
      <w:r w:rsidRPr="00DC66C6">
        <w:rPr>
          <w:rFonts w:ascii="Arial Narrow" w:hAnsi="Arial Narrow"/>
        </w:rPr>
        <w:t>Reprezentatívny prieskum medzi učiteľmi MŠ však ukazuje, že až 76,8 % učiteliek a učiteľov bežných materských škôl neabsolvovalo žiadne ďalšie vzdelávanie v oblasti výchovy a vzdelávania detí so špeciálnymi potrebami pričom 66,3 % z nich súčasne uviedlo, že cíti potrebu sa ďalej vzdelávať. Za druhý najčastejší dôvod neúčasti na vzdelávaní citovaný takmer štvrtinou respondentov (24,1 %) bola označená nedostatočná ponuka vhodných akreditovaných programov (To dá rozum, 2019).</w:t>
      </w:r>
    </w:p>
    <w:p w14:paraId="6782B0E5" w14:textId="4C0AEAF0" w:rsidR="00170D28" w:rsidRPr="00DC66C6" w:rsidRDefault="00170D28" w:rsidP="00452DBC">
      <w:pPr>
        <w:pStyle w:val="Bezriadkovania"/>
        <w:spacing w:before="160" w:after="200" w:line="259" w:lineRule="auto"/>
        <w:jc w:val="both"/>
        <w:rPr>
          <w:rFonts w:ascii="Arial Narrow" w:hAnsi="Arial Narrow"/>
          <w:b/>
        </w:rPr>
      </w:pPr>
      <w:r w:rsidRPr="00DC66C6">
        <w:rPr>
          <w:rFonts w:ascii="Arial Narrow" w:hAnsi="Arial Narrow"/>
        </w:rPr>
        <w:t>V rámci</w:t>
      </w:r>
      <w:r w:rsidR="0070047D">
        <w:rPr>
          <w:rFonts w:ascii="Arial Narrow" w:hAnsi="Arial Narrow"/>
        </w:rPr>
        <w:t xml:space="preserve"> </w:t>
      </w:r>
      <w:r w:rsidRPr="00DC66C6">
        <w:rPr>
          <w:rFonts w:ascii="Arial Narrow" w:hAnsi="Arial Narrow"/>
        </w:rPr>
        <w:t>ponuky akreditovaných kurzov ďalšieho vzdelávania boli v roku 2018 zo 117 kurzov pre cieľovú skupinu učiteľov MŠ</w:t>
      </w:r>
      <w:r w:rsidR="0070047D">
        <w:rPr>
          <w:rFonts w:ascii="Arial Narrow" w:hAnsi="Arial Narrow"/>
        </w:rPr>
        <w:t xml:space="preserve"> </w:t>
      </w:r>
      <w:r w:rsidRPr="00DC66C6">
        <w:rPr>
          <w:rFonts w:ascii="Arial Narrow" w:hAnsi="Arial Narrow"/>
        </w:rPr>
        <w:t>dostupné len štyri programy zamerané špecificky na deti so ZZ a štyri programy sa venovali inklúzii v triede všeobecne</w:t>
      </w:r>
      <w:bookmarkStart w:id="397" w:name="_Hlk18478257"/>
      <w:r w:rsidRPr="00DC66C6">
        <w:rPr>
          <w:rFonts w:ascii="Arial Narrow" w:hAnsi="Arial Narrow"/>
        </w:rPr>
        <w:t>.</w:t>
      </w:r>
      <w:bookmarkEnd w:id="397"/>
      <w:r w:rsidRPr="00DC66C6">
        <w:rPr>
          <w:rStyle w:val="Odkaznapoznmkupodiarou"/>
          <w:rFonts w:ascii="Arial Narrow" w:hAnsi="Arial Narrow"/>
          <w:bCs/>
        </w:rPr>
        <w:footnoteReference w:id="191"/>
      </w:r>
      <w:r w:rsidRPr="00DC66C6">
        <w:rPr>
          <w:rFonts w:ascii="Arial Narrow" w:hAnsi="Arial Narrow"/>
        </w:rPr>
        <w:t xml:space="preserve"> Týchto programov sa v r. 2018 zúčastnilo 428 učiteľov, čo predstavovalo 3 % všetkých učiteľov MŠ (</w:t>
      </w:r>
      <w:r w:rsidR="00134838" w:rsidRPr="00134838">
        <w:rPr>
          <w:rFonts w:ascii="Arial Narrow" w:hAnsi="Arial Narrow"/>
          <w:szCs w:val="20"/>
        </w:rPr>
        <w:fldChar w:fldCharType="begin"/>
      </w:r>
      <w:r w:rsidR="00134838" w:rsidRPr="00134838">
        <w:rPr>
          <w:rFonts w:ascii="Arial Narrow" w:hAnsi="Arial Narrow"/>
          <w:szCs w:val="20"/>
        </w:rPr>
        <w:instrText xml:space="preserve"> REF _Ref34130495 \h </w:instrText>
      </w:r>
      <w:r w:rsidR="00134838">
        <w:rPr>
          <w:rFonts w:ascii="Arial Narrow" w:hAnsi="Arial Narrow"/>
          <w:szCs w:val="20"/>
        </w:rPr>
        <w:instrText xml:space="preserve"> \* MERGEFORMAT </w:instrText>
      </w:r>
      <w:r w:rsidR="00134838" w:rsidRPr="00134838">
        <w:rPr>
          <w:rFonts w:ascii="Arial Narrow" w:hAnsi="Arial Narrow"/>
          <w:szCs w:val="20"/>
        </w:rPr>
      </w:r>
      <w:r w:rsidR="00134838" w:rsidRPr="00134838">
        <w:rPr>
          <w:rFonts w:ascii="Arial Narrow" w:hAnsi="Arial Narrow"/>
          <w:szCs w:val="20"/>
        </w:rPr>
        <w:fldChar w:fldCharType="separate"/>
      </w:r>
      <w:r w:rsidR="00FA29AF" w:rsidRPr="00FA29AF">
        <w:rPr>
          <w:rFonts w:ascii="Arial Narrow" w:hAnsi="Arial Narrow"/>
          <w:szCs w:val="20"/>
        </w:rPr>
        <w:t>Príloha 7</w:t>
      </w:r>
      <w:r w:rsidR="00134838" w:rsidRPr="00134838">
        <w:rPr>
          <w:rFonts w:ascii="Arial Narrow" w:hAnsi="Arial Narrow"/>
          <w:szCs w:val="20"/>
        </w:rPr>
        <w:fldChar w:fldCharType="end"/>
      </w:r>
      <w:r w:rsidRPr="00DC66C6">
        <w:rPr>
          <w:rFonts w:ascii="Arial Narrow" w:hAnsi="Arial Narrow"/>
        </w:rPr>
        <w:t xml:space="preserve">). </w:t>
      </w:r>
      <w:r w:rsidRPr="00DC66C6">
        <w:rPr>
          <w:rFonts w:ascii="Arial Narrow" w:hAnsi="Arial Narrow"/>
          <w:b/>
        </w:rPr>
        <w:t>Revízia navrhuje: (1) rozšíriť ponuku programov vzdelávania pre učiteľov v MŠ so zameraním na nadobúdanie zručností potrebných pre vzdelávanie detí so ZZ a (2) realizovať výskum o obsahu prípravy budúcich učiteľov s cieľom vyhodnotiť</w:t>
      </w:r>
      <w:r w:rsidR="00CB39DF">
        <w:rPr>
          <w:rFonts w:ascii="Arial Narrow" w:hAnsi="Arial Narrow"/>
          <w:b/>
        </w:rPr>
        <w:t>,</w:t>
      </w:r>
      <w:r w:rsidRPr="00DC66C6">
        <w:rPr>
          <w:rFonts w:ascii="Arial Narrow" w:hAnsi="Arial Narrow"/>
          <w:b/>
        </w:rPr>
        <w:t xml:space="preserve"> či a do akej miery sú učitelia pripravovaní na vzdelávanie detí so zdravotným znevýhodnením.</w:t>
      </w:r>
    </w:p>
    <w:p w14:paraId="1469E9C5" w14:textId="77777777" w:rsidR="008E166F" w:rsidRPr="00DC66C6" w:rsidRDefault="008E166F" w:rsidP="00452DBC">
      <w:pPr>
        <w:rPr>
          <w:b/>
          <w:u w:val="single"/>
        </w:rPr>
      </w:pPr>
      <w:r w:rsidRPr="00DC66C6">
        <w:rPr>
          <w:b/>
          <w:u w:val="single"/>
        </w:rPr>
        <w:t>Odborní zamestnanci</w:t>
      </w:r>
    </w:p>
    <w:p w14:paraId="281A92F8" w14:textId="77777777" w:rsidR="00170D28" w:rsidRPr="00DC66C6" w:rsidRDefault="00170D28" w:rsidP="00452DBC">
      <w:pPr>
        <w:pStyle w:val="Bezriadkovania"/>
        <w:spacing w:before="160" w:after="200" w:line="259" w:lineRule="auto"/>
        <w:jc w:val="both"/>
        <w:rPr>
          <w:rFonts w:ascii="Arial Narrow" w:hAnsi="Arial Narrow"/>
          <w:bCs/>
        </w:rPr>
      </w:pPr>
      <w:r w:rsidRPr="00DC66C6">
        <w:rPr>
          <w:rFonts w:ascii="Arial Narrow" w:hAnsi="Arial Narrow"/>
          <w:bCs/>
        </w:rPr>
        <w:t>Úlohou odborných zamestnancov je identifikovať znevýhodnenie dieťaťa, prostredníctvom špecifických intervencií stimulovať jeho vývin a pomôcť učiteľovi prispôsobiť obsah vzdelávania ako aj jeho metódy a formy v súlade s potrebami dieťaťa.</w:t>
      </w:r>
      <w:r w:rsidRPr="00DC66C6">
        <w:rPr>
          <w:rStyle w:val="Odkaznapoznmkupodiarou"/>
          <w:rFonts w:ascii="Arial Narrow" w:hAnsi="Arial Narrow"/>
          <w:bCs/>
        </w:rPr>
        <w:footnoteReference w:id="192"/>
      </w:r>
      <w:r w:rsidRPr="00DC66C6">
        <w:rPr>
          <w:rFonts w:ascii="Arial Narrow" w:hAnsi="Arial Narrow"/>
          <w:bCs/>
        </w:rPr>
        <w:t xml:space="preserve"> V súlade so štátnym vzdelávacím programom pre deti so ZZ by mal odborný zamestnanec pôsobiť v triede alebo poskytovať deťom odbornú starostlivosť v prípade, ak si to vyžaduje výchova a vzdelávanie dieťaťa v závislosti od závažnosti zdravotného postihnutia a na základe odporúčania centra špeciálno-pedagogického poradenstva (ŠPU, 2017).</w:t>
      </w:r>
    </w:p>
    <w:p w14:paraId="1E84FC2D" w14:textId="77777777" w:rsidR="00170D28" w:rsidRPr="00DC66C6" w:rsidRDefault="00170D28" w:rsidP="00452DBC">
      <w:pPr>
        <w:pStyle w:val="Bezriadkovania"/>
        <w:spacing w:before="160" w:after="200" w:line="259" w:lineRule="auto"/>
        <w:jc w:val="both"/>
        <w:rPr>
          <w:rFonts w:ascii="Arial Narrow" w:hAnsi="Arial Narrow"/>
          <w:bCs/>
        </w:rPr>
      </w:pPr>
      <w:r w:rsidRPr="00DC66C6">
        <w:rPr>
          <w:rFonts w:ascii="Arial Narrow" w:hAnsi="Arial Narrow"/>
          <w:b/>
          <w:bCs/>
        </w:rPr>
        <w:t xml:space="preserve">V roku 2018 predstavovali výdavky na odborných zamestnancov pôsobiacich priamo v materských školách sumu 587 tisíc eur v bežných materských školách a 75 tisíc eur v špeciálnych materských školách. </w:t>
      </w:r>
      <w:r w:rsidRPr="00DC66C6">
        <w:rPr>
          <w:rFonts w:ascii="Arial Narrow" w:hAnsi="Arial Narrow"/>
          <w:bCs/>
        </w:rPr>
        <w:t>V bežných materských školách pôsobilo 57 odborných zamestnancov</w:t>
      </w:r>
      <w:r w:rsidRPr="00DC66C6">
        <w:rPr>
          <w:rStyle w:val="Odkaznapoznmkupodiarou"/>
          <w:rFonts w:ascii="Arial Narrow" w:hAnsi="Arial Narrow"/>
          <w:bCs/>
        </w:rPr>
        <w:footnoteReference w:id="193"/>
      </w:r>
      <w:r w:rsidRPr="00DC66C6">
        <w:rPr>
          <w:rFonts w:ascii="Arial Narrow" w:hAnsi="Arial Narrow"/>
          <w:bCs/>
        </w:rPr>
        <w:t>, aspoň jeden odborný zamestnanec pôsobil v 1 % materských škôl.</w:t>
      </w:r>
      <w:r w:rsidRPr="00DC66C6">
        <w:rPr>
          <w:rStyle w:val="Odkaznapoznmkupodiarou"/>
          <w:rFonts w:ascii="Arial Narrow" w:hAnsi="Arial Narrow"/>
          <w:bCs/>
        </w:rPr>
        <w:footnoteReference w:id="194"/>
      </w:r>
      <w:r w:rsidRPr="00DC66C6">
        <w:rPr>
          <w:rFonts w:ascii="Arial Narrow" w:hAnsi="Arial Narrow"/>
          <w:bCs/>
        </w:rPr>
        <w:t xml:space="preserve"> V špeciálnych materských školách pôsobilo 28 odborných zamestnancov, všetci z nich boli psychológovia.</w:t>
      </w:r>
      <w:r w:rsidRPr="00DC66C6">
        <w:rPr>
          <w:rStyle w:val="Odkaznapoznmkupodiarou"/>
          <w:rFonts w:ascii="Arial Narrow" w:hAnsi="Arial Narrow"/>
          <w:bCs/>
        </w:rPr>
        <w:footnoteReference w:id="195"/>
      </w:r>
      <w:r w:rsidRPr="00DC66C6">
        <w:rPr>
          <w:rFonts w:ascii="Arial Narrow" w:hAnsi="Arial Narrow"/>
          <w:bCs/>
        </w:rPr>
        <w:t xml:space="preserve"> </w:t>
      </w:r>
      <w:r w:rsidRPr="00DC66C6">
        <w:rPr>
          <w:rFonts w:ascii="Arial Narrow" w:hAnsi="Arial Narrow"/>
        </w:rPr>
        <w:t>Mzdy odborných zamestnancov hradili zriaďovatelia z vlastných zdrojov, keďže ich pôsobenie nie je v systéme financovania materských škôl zohľadnené.</w:t>
      </w:r>
      <w:r w:rsidRPr="00DC66C6">
        <w:rPr>
          <w:rFonts w:ascii="Arial Narrow" w:hAnsi="Arial Narrow"/>
          <w:bCs/>
        </w:rPr>
        <w:t xml:space="preserve"> </w:t>
      </w:r>
    </w:p>
    <w:p w14:paraId="6ECB1A25" w14:textId="5FCC4449" w:rsidR="00170D28" w:rsidRPr="00DC66C6" w:rsidRDefault="00170D28" w:rsidP="00452DBC">
      <w:pPr>
        <w:pStyle w:val="Bezriadkovania"/>
        <w:spacing w:before="160" w:after="200" w:line="259" w:lineRule="auto"/>
        <w:jc w:val="both"/>
        <w:rPr>
          <w:rFonts w:ascii="Arial Narrow" w:hAnsi="Arial Narrow"/>
        </w:rPr>
      </w:pPr>
      <w:r w:rsidRPr="00DC66C6">
        <w:rPr>
          <w:rFonts w:ascii="Arial Narrow" w:hAnsi="Arial Narrow"/>
        </w:rPr>
        <w:t>Analýza miery, do akej sa v prípade potreby materským školám darí zamestnať odborného zamestnanca a analýza efektivity práce odborných zamestnancov nebola uskutočnená. Rovnako nie sú k dispozícii komparatívne údaje o</w:t>
      </w:r>
      <w:r w:rsidR="0070047D">
        <w:rPr>
          <w:rFonts w:ascii="Arial Narrow" w:hAnsi="Arial Narrow"/>
        </w:rPr>
        <w:t xml:space="preserve"> </w:t>
      </w:r>
      <w:r w:rsidRPr="00DC66C6">
        <w:rPr>
          <w:rFonts w:ascii="Arial Narrow" w:hAnsi="Arial Narrow"/>
        </w:rPr>
        <w:t xml:space="preserve">priemerných a optimálnych počtoch odborných zamestnancov v iných krajinách. Z medzinárodného porovnania však </w:t>
      </w:r>
      <w:r w:rsidR="00B24660">
        <w:rPr>
          <w:rFonts w:ascii="Arial Narrow" w:hAnsi="Arial Narrow"/>
        </w:rPr>
        <w:t>vyplýva</w:t>
      </w:r>
      <w:r w:rsidRPr="00DC66C6">
        <w:rPr>
          <w:rFonts w:ascii="Arial Narrow" w:hAnsi="Arial Narrow"/>
        </w:rPr>
        <w:t>, že podpora vo forme odborných zamestnancov už v predprimárnom vzdelávaní je súčasťou vzdelávacích systémov väčšiny krajín EÚ (Eurydice, 2014), a že môže byť kľúčová pre včasnú diagnostiky potrieb detí ako aj pre zvyšovania inklúzívnosti vzdelávania (EASNIE, 2017).</w:t>
      </w:r>
    </w:p>
    <w:p w14:paraId="00B6E871" w14:textId="77777777" w:rsidR="00170D28" w:rsidRPr="00DC66C6" w:rsidRDefault="00170D28" w:rsidP="00452DBC">
      <w:pPr>
        <w:pStyle w:val="Bezriadkovania"/>
        <w:spacing w:before="160" w:after="200" w:line="259" w:lineRule="auto"/>
        <w:jc w:val="both"/>
        <w:rPr>
          <w:rFonts w:ascii="Arial Narrow" w:hAnsi="Arial Narrow"/>
          <w:bCs/>
        </w:rPr>
      </w:pPr>
      <w:r w:rsidRPr="00DC66C6">
        <w:rPr>
          <w:rFonts w:ascii="Arial Narrow" w:hAnsi="Arial Narrow"/>
          <w:b/>
          <w:bCs/>
        </w:rPr>
        <w:t>Revízia preto navrhuje, aby boli v prípade záujmu zo strany zriaďovateľov materských škôl automaticky vyčleňované zdroje na 50 % z priemerného platu</w:t>
      </w:r>
      <w:r w:rsidRPr="00DC66C6">
        <w:rPr>
          <w:rStyle w:val="Odkaznapoznmkupodiarou"/>
          <w:rFonts w:ascii="Arial Narrow" w:hAnsi="Arial Narrow"/>
          <w:b/>
          <w:bCs/>
        </w:rPr>
        <w:footnoteReference w:id="196"/>
      </w:r>
      <w:r w:rsidRPr="00DC66C6">
        <w:rPr>
          <w:rFonts w:ascii="Arial Narrow" w:hAnsi="Arial Narrow"/>
          <w:b/>
          <w:bCs/>
        </w:rPr>
        <w:t xml:space="preserve"> vybraného odborného zamestnanca podľa veľkosti materskej školy, resp. podľa počtu tried materskej školy bez ohľadu na počet zdravotne znevýhodnených detí.</w:t>
      </w:r>
      <w:r w:rsidRPr="00DC66C6">
        <w:rPr>
          <w:rStyle w:val="Odkaznapoznmkupodiarou"/>
          <w:rFonts w:ascii="Arial Narrow" w:hAnsi="Arial Narrow"/>
          <w:b/>
          <w:bCs/>
        </w:rPr>
        <w:footnoteReference w:id="197"/>
      </w:r>
    </w:p>
    <w:p w14:paraId="03FFF937" w14:textId="77777777" w:rsidR="00170D28" w:rsidRPr="00DC66C6" w:rsidRDefault="00170D28" w:rsidP="00452DBC">
      <w:pPr>
        <w:pStyle w:val="Bezriadkovania"/>
        <w:spacing w:before="160" w:after="200" w:line="259" w:lineRule="auto"/>
        <w:jc w:val="both"/>
        <w:rPr>
          <w:rFonts w:ascii="Arial Narrow" w:hAnsi="Arial Narrow"/>
          <w:b/>
          <w:bCs/>
        </w:rPr>
      </w:pPr>
      <w:r w:rsidRPr="00DC66C6">
        <w:rPr>
          <w:rFonts w:ascii="Arial Narrow" w:hAnsi="Arial Narrow"/>
          <w:b/>
          <w:bCs/>
          <w:u w:val="single"/>
        </w:rPr>
        <w:t>Pedagogickí asistenti a pomocní vychovávatelia</w:t>
      </w:r>
    </w:p>
    <w:p w14:paraId="0E08755F" w14:textId="424C1782" w:rsidR="00170D28" w:rsidRPr="00DC66C6" w:rsidRDefault="00170D28" w:rsidP="00452DBC">
      <w:pPr>
        <w:pStyle w:val="Bezriadkovania"/>
        <w:spacing w:before="160" w:after="200" w:line="259" w:lineRule="auto"/>
        <w:jc w:val="both"/>
        <w:rPr>
          <w:rFonts w:ascii="Arial Narrow" w:hAnsi="Arial Narrow"/>
          <w:color w:val="000000" w:themeColor="text1"/>
        </w:rPr>
      </w:pPr>
      <w:r w:rsidRPr="00DC66C6">
        <w:rPr>
          <w:rFonts w:ascii="Arial Narrow" w:hAnsi="Arial Narrow"/>
          <w:b/>
          <w:bCs/>
        </w:rPr>
        <w:t>V roku 2018 predstavovali výdavky na pedagogických asistentov v MŠ približne sumu takmer 2,5 milióna eur, z toho takmer 1,5 milióna eur predstavovali vlastné prostriedky zriaďovateľov (123 asistentov) a takmer 1 milión eur pochádzal z európskych prostriedkov (81 asistentov).</w:t>
      </w:r>
      <w:r w:rsidRPr="00DC66C6">
        <w:rPr>
          <w:rStyle w:val="Odkaznapoznmkupodiarou"/>
          <w:rFonts w:ascii="Arial Narrow" w:hAnsi="Arial Narrow"/>
          <w:b/>
          <w:bCs/>
        </w:rPr>
        <w:footnoteReference w:id="198"/>
      </w:r>
      <w:r w:rsidR="0070047D">
        <w:rPr>
          <w:rFonts w:ascii="Arial Narrow" w:hAnsi="Arial Narrow"/>
          <w:b/>
          <w:bCs/>
        </w:rPr>
        <w:t xml:space="preserve"> </w:t>
      </w:r>
      <w:r w:rsidRPr="00DC66C6">
        <w:rPr>
          <w:rFonts w:ascii="Arial Narrow" w:hAnsi="Arial Narrow"/>
          <w:bCs/>
        </w:rPr>
        <w:t xml:space="preserve">Ich úlohou je pomôcť prekonávať bariéry </w:t>
      </w:r>
      <w:r w:rsidR="00B24660">
        <w:rPr>
          <w:rFonts w:ascii="Arial Narrow" w:hAnsi="Arial Narrow"/>
          <w:bCs/>
        </w:rPr>
        <w:t>vyplýva</w:t>
      </w:r>
      <w:r w:rsidRPr="00DC66C6">
        <w:rPr>
          <w:rFonts w:ascii="Arial Narrow" w:hAnsi="Arial Narrow"/>
          <w:bCs/>
        </w:rPr>
        <w:t>júce zo zdravotného znevýhodnenia.</w:t>
      </w:r>
      <w:r w:rsidRPr="00DC66C6">
        <w:rPr>
          <w:rStyle w:val="Odkaznapoznmkupodiarou"/>
          <w:rFonts w:ascii="Arial Narrow" w:hAnsi="Arial Narrow"/>
          <w:bCs/>
        </w:rPr>
        <w:footnoteReference w:id="199"/>
      </w:r>
      <w:r w:rsidRPr="00DC66C6">
        <w:rPr>
          <w:rFonts w:ascii="Arial Narrow" w:hAnsi="Arial Narrow"/>
          <w:bCs/>
        </w:rPr>
        <w:t xml:space="preserve"> V bežných materských školách pôsobilo 166 pedagogických asistentov, aspoň jeden asistent pôsobil v 5 % bežných MŠ. V špeciálnych materských školách pôsobilo 38 pedagogických asistentov, aspoň jeden asistent pôsobil v 30 % špeciálnych materských škôl.</w:t>
      </w:r>
      <w:r w:rsidRPr="00DC66C6">
        <w:rPr>
          <w:rStyle w:val="Odkaznapoznmkupodiarou"/>
          <w:rFonts w:ascii="Arial Narrow" w:hAnsi="Arial Narrow"/>
          <w:bCs/>
        </w:rPr>
        <w:footnoteReference w:id="200"/>
      </w:r>
      <w:r w:rsidRPr="00DC66C6">
        <w:rPr>
          <w:rFonts w:ascii="Arial Narrow" w:hAnsi="Arial Narrow"/>
          <w:bCs/>
        </w:rPr>
        <w:t xml:space="preserve"> </w:t>
      </w:r>
      <w:r w:rsidRPr="00DC66C6">
        <w:rPr>
          <w:rFonts w:ascii="Arial Narrow" w:hAnsi="Arial Narrow"/>
        </w:rPr>
        <w:t>Pôsobenie pedagogických asistentov nie je v systéme financovania materských škôl zohľadnené a na rozdiel od základných škôl ani špecificky finančne podporované (podkapitola 5.3).</w:t>
      </w:r>
      <w:r w:rsidRPr="00DC66C6">
        <w:rPr>
          <w:rStyle w:val="Odkaznapoznmkupodiarou"/>
          <w:rFonts w:ascii="Arial Narrow" w:hAnsi="Arial Narrow"/>
        </w:rPr>
        <w:footnoteReference w:id="201"/>
      </w:r>
      <w:r w:rsidRPr="00DC66C6">
        <w:rPr>
          <w:rFonts w:ascii="Arial Narrow" w:hAnsi="Arial Narrow"/>
          <w:b/>
          <w:color w:val="000000" w:themeColor="text1"/>
        </w:rPr>
        <w:t xml:space="preserve"> </w:t>
      </w:r>
      <w:r w:rsidRPr="00DC66C6">
        <w:rPr>
          <w:rFonts w:ascii="Arial Narrow" w:hAnsi="Arial Narrow"/>
          <w:color w:val="000000" w:themeColor="text1"/>
        </w:rPr>
        <w:t xml:space="preserve">Z dotazníkového prieskumu To dá rozum </w:t>
      </w:r>
      <w:r w:rsidR="00B24660">
        <w:rPr>
          <w:rFonts w:ascii="Arial Narrow" w:hAnsi="Arial Narrow"/>
          <w:color w:val="000000" w:themeColor="text1"/>
        </w:rPr>
        <w:t>vyplýva</w:t>
      </w:r>
      <w:r w:rsidRPr="00DC66C6">
        <w:rPr>
          <w:rFonts w:ascii="Arial Narrow" w:hAnsi="Arial Narrow"/>
          <w:color w:val="000000" w:themeColor="text1"/>
        </w:rPr>
        <w:t>, že nedostatok pedagogických asistentov v škôlke považuje za najväčší problém v oblasti vzdelávania detí so špeciálnymi potrebami 45 % učiteľov MŠ a 51 % učiteľov ŠMŠ (v oboch prípadoch ide o druhú najčastejšie citovanú odpoveď) (To dá rozum, 2019).</w:t>
      </w:r>
    </w:p>
    <w:p w14:paraId="758B79EF" w14:textId="77777777" w:rsidR="00170D28" w:rsidRPr="00DC66C6" w:rsidRDefault="00170D28" w:rsidP="00452DBC">
      <w:pPr>
        <w:pStyle w:val="Bezriadkovania"/>
        <w:spacing w:before="160" w:after="200" w:line="259" w:lineRule="auto"/>
        <w:jc w:val="both"/>
        <w:rPr>
          <w:rFonts w:ascii="Arial Narrow" w:hAnsi="Arial Narrow"/>
          <w:bCs/>
        </w:rPr>
      </w:pPr>
      <w:r w:rsidRPr="00DC66C6">
        <w:rPr>
          <w:rFonts w:ascii="Arial Narrow" w:hAnsi="Arial Narrow"/>
          <w:b/>
          <w:bCs/>
        </w:rPr>
        <w:t>V roku 2018 predstavovali výdavky na pomocných vychovávateľov odhadom sumu okolo 437 tisíc eur</w:t>
      </w:r>
      <w:r w:rsidRPr="00DC66C6">
        <w:rPr>
          <w:rFonts w:ascii="Arial Narrow" w:hAnsi="Arial Narrow"/>
          <w:bCs/>
        </w:rPr>
        <w:t>.</w:t>
      </w:r>
      <w:r w:rsidRPr="00DC66C6">
        <w:rPr>
          <w:rStyle w:val="Odkaznapoznmkupodiarou"/>
          <w:rFonts w:ascii="Arial Narrow" w:hAnsi="Arial Narrow"/>
          <w:bCs/>
        </w:rPr>
        <w:footnoteReference w:id="202"/>
      </w:r>
      <w:r w:rsidRPr="00DC66C6">
        <w:rPr>
          <w:rFonts w:ascii="Arial Narrow" w:hAnsi="Arial Narrow"/>
          <w:bCs/>
        </w:rPr>
        <w:t xml:space="preserve"> </w:t>
      </w:r>
      <w:r w:rsidRPr="00DC66C6">
        <w:rPr>
          <w:rFonts w:ascii="Arial Narrow" w:hAnsi="Arial Narrow"/>
          <w:b/>
          <w:bCs/>
        </w:rPr>
        <w:t>Spolu pôsobilo v materských školách 60 pomocných vychovávateľov, z toho traja v bežných materských školách a 57 v špeciálnych materských školách.</w:t>
      </w:r>
      <w:r w:rsidRPr="00DC66C6">
        <w:rPr>
          <w:rStyle w:val="Odkaznapoznmkupodiarou"/>
          <w:rFonts w:ascii="Arial Narrow" w:hAnsi="Arial Narrow"/>
          <w:b/>
          <w:bCs/>
        </w:rPr>
        <w:footnoteReference w:id="203"/>
      </w:r>
      <w:r w:rsidRPr="00DC66C6">
        <w:rPr>
          <w:rFonts w:ascii="Arial Narrow" w:hAnsi="Arial Narrow"/>
          <w:bCs/>
        </w:rPr>
        <w:t xml:space="preserve"> Ich úlohou je vykonávanie pomocných prác pri realizácii výchovno-vzdelávacieho procesu, najmä fyzická starostlivosť o deti a poskytovanie podpory pri samoobslužných činnostiach detí </w:t>
      </w:r>
      <w:r w:rsidRPr="00DC66C6">
        <w:rPr>
          <w:rFonts w:ascii="Arial Narrow" w:hAnsi="Arial Narrow"/>
        </w:rPr>
        <w:t>(podkapitola 5.3)</w:t>
      </w:r>
      <w:r w:rsidRPr="00DC66C6">
        <w:rPr>
          <w:rFonts w:ascii="Arial Narrow" w:hAnsi="Arial Narrow"/>
          <w:bCs/>
        </w:rPr>
        <w:t xml:space="preserve">. </w:t>
      </w:r>
    </w:p>
    <w:p w14:paraId="75D9B94F" w14:textId="21FB16B4" w:rsidR="008E166F" w:rsidRPr="00DC66C6" w:rsidRDefault="00170D28" w:rsidP="00452DBC">
      <w:pPr>
        <w:rPr>
          <w:b/>
        </w:rPr>
      </w:pPr>
      <w:r w:rsidRPr="00DC66C6">
        <w:rPr>
          <w:b/>
          <w:bCs/>
        </w:rPr>
        <w:t>S cieľom zabezpečiť pripravenosť materských škôl na implementáciu povinného predprimárneho vzdelávania a s cieľom znižovať počet detí pripadajúcich na jedného dospelého v triedach materských škôl revízia navrhuje poskytovať zriaďovateľom zdroje na 50 % z priemerného platu</w:t>
      </w:r>
      <w:r w:rsidRPr="00DC66C6">
        <w:rPr>
          <w:rStyle w:val="Odkaznapoznmkupodiarou"/>
          <w:b/>
          <w:bCs/>
        </w:rPr>
        <w:footnoteReference w:id="204"/>
      </w:r>
      <w:r w:rsidRPr="00DC66C6">
        <w:rPr>
          <w:b/>
          <w:bCs/>
        </w:rPr>
        <w:t xml:space="preserve"> pedagogických asistentov/pomocných vychovávateľov pre deti so ZZ, ktorí majú na pedagogického asistenta/pomocného vychovávateľa odporúčania (v súlade s jasne zadefinovanou rolou pedagogického asistenta/pomocného vychovávateľa, podkapitola </w:t>
      </w:r>
      <w:r w:rsidR="00223F60">
        <w:rPr>
          <w:b/>
          <w:bCs/>
        </w:rPr>
        <w:fldChar w:fldCharType="begin"/>
      </w:r>
      <w:r w:rsidR="00223F60">
        <w:rPr>
          <w:b/>
          <w:bCs/>
        </w:rPr>
        <w:instrText xml:space="preserve"> REF _Ref25743147 \r \h </w:instrText>
      </w:r>
      <w:r w:rsidR="00223F60">
        <w:rPr>
          <w:b/>
          <w:bCs/>
        </w:rPr>
      </w:r>
      <w:r w:rsidR="00223F60">
        <w:rPr>
          <w:b/>
          <w:bCs/>
        </w:rPr>
        <w:fldChar w:fldCharType="separate"/>
      </w:r>
      <w:r w:rsidR="00FA29AF">
        <w:rPr>
          <w:b/>
          <w:bCs/>
        </w:rPr>
        <w:t>6.2</w:t>
      </w:r>
      <w:r w:rsidR="00223F60">
        <w:rPr>
          <w:b/>
          <w:bCs/>
        </w:rPr>
        <w:fldChar w:fldCharType="end"/>
      </w:r>
      <w:r w:rsidRPr="00DC66C6">
        <w:rPr>
          <w:b/>
          <w:bCs/>
        </w:rPr>
        <w:t>).</w:t>
      </w:r>
    </w:p>
    <w:p w14:paraId="3CA7108C" w14:textId="77777777" w:rsidR="008E166F" w:rsidRPr="00DC66C6" w:rsidRDefault="008E166F" w:rsidP="00452DBC">
      <w:pPr>
        <w:pStyle w:val="Bezriadkovania"/>
        <w:spacing w:after="200" w:line="259" w:lineRule="auto"/>
        <w:jc w:val="both"/>
        <w:rPr>
          <w:rFonts w:ascii="Arial Narrow" w:hAnsi="Arial Narrow"/>
        </w:rPr>
      </w:pPr>
      <w:r w:rsidRPr="00DC66C6">
        <w:rPr>
          <w:rFonts w:ascii="Arial Narrow" w:hAnsi="Arial Narrow"/>
          <w:color w:val="0070C0"/>
        </w:rPr>
        <w:t>Chýbajúce opatrenia zamerané na podporu zdravotne znevýhodnených detí v materských školách</w:t>
      </w:r>
    </w:p>
    <w:p w14:paraId="7032A6A5" w14:textId="77777777" w:rsidR="008E166F" w:rsidRPr="00DC66C6" w:rsidRDefault="008E166F" w:rsidP="00452DBC">
      <w:pPr>
        <w:rPr>
          <w:b/>
          <w:u w:val="single"/>
        </w:rPr>
      </w:pPr>
      <w:r w:rsidRPr="00DC66C6">
        <w:rPr>
          <w:b/>
          <w:u w:val="single"/>
        </w:rPr>
        <w:t xml:space="preserve">Súčasný systém neumožňuje všetkým deťom so ZZ vybrať si vzdelávací prúd a mnohokrát znemožňuje navštevovať materskú školu </w:t>
      </w:r>
    </w:p>
    <w:p w14:paraId="022AD71D" w14:textId="419D2F52" w:rsidR="00BE798A" w:rsidRDefault="00BE798A" w:rsidP="00452DBC">
      <w:pPr>
        <w:pStyle w:val="Bezriadkovania"/>
        <w:spacing w:before="160" w:after="200" w:line="259" w:lineRule="auto"/>
        <w:jc w:val="both"/>
        <w:rPr>
          <w:rFonts w:ascii="Arial Narrow" w:hAnsi="Arial Narrow"/>
          <w:bCs/>
        </w:rPr>
      </w:pPr>
      <w:r w:rsidRPr="00DC66C6">
        <w:rPr>
          <w:rFonts w:ascii="Arial Narrow" w:hAnsi="Arial Narrow"/>
          <w:b/>
        </w:rPr>
        <w:t xml:space="preserve">Riaditelia bežných materských škôl majú možnosť dieťa so zdravotným znevýhodnením neprijať a kapacity špeciálnych materských škôl ako aj ich dostupnosť vo vzťahu k deťom s rôznymi druhmi zdravotného znevýhodnenia zostávajú obmedzené. </w:t>
      </w:r>
      <w:r w:rsidRPr="00DC66C6">
        <w:rPr>
          <w:rFonts w:ascii="Arial Narrow" w:hAnsi="Arial Narrow"/>
          <w:bCs/>
        </w:rPr>
        <w:t>Tento stav je v rozpore s našimi záväzkami podporovať inkluzívne vzdelávanie a de facto zabraňuje účasti niektorých detí so zdravotným znevýhodnení</w:t>
      </w:r>
      <w:r w:rsidR="00A03E59">
        <w:rPr>
          <w:rFonts w:ascii="Arial Narrow" w:hAnsi="Arial Narrow"/>
          <w:bCs/>
        </w:rPr>
        <w:t>m na predprimárnom vzdelávaní.</w:t>
      </w:r>
    </w:p>
    <w:p w14:paraId="70ED16E3" w14:textId="3DD75693" w:rsidR="00B6502E" w:rsidRPr="00DC66C6" w:rsidRDefault="00B6502E" w:rsidP="00452DBC">
      <w:pPr>
        <w:pStyle w:val="Bezriadkovania"/>
        <w:spacing w:before="160" w:after="200" w:line="259" w:lineRule="auto"/>
        <w:jc w:val="both"/>
        <w:rPr>
          <w:rFonts w:ascii="Arial Narrow" w:hAnsi="Arial Narrow"/>
          <w:b/>
        </w:rPr>
      </w:pPr>
      <w:r w:rsidRPr="00DC66C6">
        <w:rPr>
          <w:rFonts w:ascii="Arial Narrow" w:hAnsi="Arial Narrow"/>
          <w:b/>
          <w:bCs/>
        </w:rPr>
        <w:t>Riaditeľ bežnej MŠ má možnosť rozhodnúť o neprijatí dieťaťa so ZZ pokiaľ vyhodnotí, že na jeho vzdelávanie nemá vytvorené vhodné personálne, priestorové a materiálne podmienky.</w:t>
      </w:r>
      <w:r w:rsidRPr="00DC66C6">
        <w:rPr>
          <w:rFonts w:ascii="Arial Narrow" w:hAnsi="Arial Narrow"/>
          <w:bCs/>
        </w:rPr>
        <w:t xml:space="preserve"> Aktuálna úprava riaditeľom neukladá povinnosť takéto podmienky zabezpečiť a neexistuje ani systém podpory, ktorý by mohli zriaďovatelia MŠ pri úprave podmienok využiť (MŠVVŠ SR, 2018). Dáta o počte detí neprijatých z dôvodu nevyhovujúcich podmienok nie sú dostupné, rovnako sa nesleduje, či a do akej miery neboli deti so ZZ prijaté do bežných MŠ z dôvodu nedostatku miesta.</w:t>
      </w:r>
      <w:r w:rsidRPr="00DC66C6">
        <w:rPr>
          <w:rFonts w:ascii="Arial Narrow" w:hAnsi="Arial Narrow"/>
        </w:rPr>
        <w:t xml:space="preserve"> </w:t>
      </w:r>
      <w:r w:rsidR="005008AC">
        <w:rPr>
          <w:rFonts w:ascii="Arial Narrow" w:hAnsi="Arial Narrow"/>
        </w:rPr>
        <w:t>V r</w:t>
      </w:r>
      <w:r w:rsidRPr="00DC66C6">
        <w:rPr>
          <w:rFonts w:ascii="Arial Narrow" w:hAnsi="Arial Narrow"/>
        </w:rPr>
        <w:t>eprezentatívn</w:t>
      </w:r>
      <w:r w:rsidR="005008AC">
        <w:rPr>
          <w:rFonts w:ascii="Arial Narrow" w:hAnsi="Arial Narrow"/>
        </w:rPr>
        <w:t>om</w:t>
      </w:r>
      <w:r w:rsidRPr="00DC66C6">
        <w:rPr>
          <w:rFonts w:ascii="Arial Narrow" w:hAnsi="Arial Narrow"/>
        </w:rPr>
        <w:t xml:space="preserve"> prieskum</w:t>
      </w:r>
      <w:r w:rsidR="005008AC">
        <w:rPr>
          <w:rFonts w:ascii="Arial Narrow" w:hAnsi="Arial Narrow"/>
        </w:rPr>
        <w:t>e</w:t>
      </w:r>
      <w:r w:rsidRPr="00DC66C6">
        <w:rPr>
          <w:rFonts w:ascii="Arial Narrow" w:hAnsi="Arial Narrow"/>
        </w:rPr>
        <w:t xml:space="preserve"> medzi riaditeľmi MŠ</w:t>
      </w:r>
      <w:r w:rsidR="005008AC">
        <w:rPr>
          <w:rFonts w:ascii="Arial Narrow" w:hAnsi="Arial Narrow"/>
        </w:rPr>
        <w:t xml:space="preserve"> </w:t>
      </w:r>
      <w:r w:rsidRPr="00DC66C6">
        <w:rPr>
          <w:rFonts w:ascii="Arial Narrow" w:hAnsi="Arial Narrow"/>
        </w:rPr>
        <w:t>takmer 6 % uviedlo, že v školskom roku 2017/18 neprijali niektorých žiakov so špeciálnymi potrebami kvôli tomu, že na ne škola nedokáže reagovať. Kvalitatívne údaje z rozhovorov rodičov detí so ZZ však naznačujú, že takéto konanie môže byť rozšírenejšie (Hapalová, 2019).</w:t>
      </w:r>
      <w:r w:rsidR="0070047D">
        <w:rPr>
          <w:rFonts w:ascii="Arial Narrow" w:hAnsi="Arial Narrow"/>
        </w:rPr>
        <w:t xml:space="preserve"> </w:t>
      </w:r>
    </w:p>
    <w:p w14:paraId="5293ECA3" w14:textId="62AD6ADC" w:rsidR="00B6502E" w:rsidRPr="00DC66C6" w:rsidRDefault="00B6502E" w:rsidP="00452DBC">
      <w:pPr>
        <w:pStyle w:val="Bezriadkovania"/>
        <w:spacing w:before="160" w:after="200" w:line="259" w:lineRule="auto"/>
        <w:jc w:val="both"/>
        <w:rPr>
          <w:rFonts w:ascii="Arial Narrow" w:hAnsi="Arial Narrow"/>
        </w:rPr>
      </w:pPr>
      <w:r w:rsidRPr="00DC66C6">
        <w:rPr>
          <w:rFonts w:ascii="Arial Narrow" w:hAnsi="Arial Narrow"/>
          <w:b/>
          <w:bCs/>
        </w:rPr>
        <w:t>Napriek záväzkom posilňovať inkluzívnosť vzdelávacieho systému Slovensko pokračuje v budovaní špeciálnych materských škôl (ŠMŠ).</w:t>
      </w:r>
      <w:r w:rsidRPr="00DC66C6">
        <w:rPr>
          <w:rFonts w:ascii="Arial Narrow" w:hAnsi="Arial Narrow"/>
          <w:bCs/>
        </w:rPr>
        <w:t xml:space="preserve"> Počet ŠMŠ sa za posledných desať rokov takmer zdvojnásobil (z</w:t>
      </w:r>
      <w:r w:rsidR="005008AC">
        <w:rPr>
          <w:rFonts w:ascii="Arial Narrow" w:hAnsi="Arial Narrow"/>
          <w:bCs/>
        </w:rPr>
        <w:t>o</w:t>
      </w:r>
      <w:r w:rsidR="001E7A5E">
        <w:rPr>
          <w:rFonts w:ascii="Arial Narrow" w:hAnsi="Arial Narrow"/>
          <w:bCs/>
        </w:rPr>
        <w:t xml:space="preserve"> 43 na 74), napriek tomu</w:t>
      </w:r>
      <w:r w:rsidRPr="00DC66C6">
        <w:rPr>
          <w:rFonts w:ascii="Arial Narrow" w:hAnsi="Arial Narrow"/>
          <w:bCs/>
        </w:rPr>
        <w:t xml:space="preserve"> sú ich kapacity nepostačujúce</w:t>
      </w:r>
      <w:r w:rsidRPr="00DC66C6">
        <w:rPr>
          <w:rStyle w:val="Odkaznapoznmkupodiarou"/>
          <w:rFonts w:ascii="Arial Narrow" w:hAnsi="Arial Narrow"/>
        </w:rPr>
        <w:footnoteReference w:id="205"/>
      </w:r>
      <w:r w:rsidRPr="00DC66C6">
        <w:rPr>
          <w:rFonts w:ascii="Arial Narrow" w:hAnsi="Arial Narrow"/>
          <w:bCs/>
        </w:rPr>
        <w:t xml:space="preserve"> a </w:t>
      </w:r>
      <w:r w:rsidRPr="00DC66C6">
        <w:rPr>
          <w:rFonts w:ascii="Arial Narrow" w:hAnsi="Arial Narrow"/>
        </w:rPr>
        <w:t>aspoň jedna ŠMŠ pre daný druh ZZ je v každom z krajov dostupná len pre deti s mentálnym postihnutím a pre deti s autizmom.</w:t>
      </w:r>
      <w:r w:rsidRPr="00DC66C6">
        <w:rPr>
          <w:rStyle w:val="Odkaznapoznmkupodiarou"/>
          <w:rFonts w:ascii="Arial Narrow" w:hAnsi="Arial Narrow"/>
        </w:rPr>
        <w:footnoteReference w:id="206"/>
      </w:r>
      <w:r w:rsidRPr="00DC66C6">
        <w:rPr>
          <w:rFonts w:ascii="Arial Narrow" w:hAnsi="Arial Narrow"/>
        </w:rPr>
        <w:t xml:space="preserve"> </w:t>
      </w:r>
      <w:r w:rsidRPr="00DC66C6">
        <w:rPr>
          <w:rFonts w:ascii="Arial Narrow" w:hAnsi="Arial Narrow"/>
          <w:b/>
        </w:rPr>
        <w:t xml:space="preserve">Revízia prostredníctvom viacerých opatrení navrhuje posilňovať inkluzívnosť bežných materských škôl a v nadväznosti na tieto opatrenia </w:t>
      </w:r>
      <w:r w:rsidR="005008AC">
        <w:rPr>
          <w:rFonts w:ascii="Arial Narrow" w:hAnsi="Arial Narrow"/>
          <w:b/>
        </w:rPr>
        <w:t xml:space="preserve">navrhuje </w:t>
      </w:r>
      <w:r w:rsidRPr="00DC66C6">
        <w:rPr>
          <w:rFonts w:ascii="Arial Narrow" w:hAnsi="Arial Narrow"/>
          <w:b/>
        </w:rPr>
        <w:t>zrušiť možnosť neprijímať deti so zdravotným znevýhodnením do bežných materských škôl.</w:t>
      </w:r>
    </w:p>
    <w:p w14:paraId="0FEA11E5" w14:textId="77777777" w:rsidR="00B6502E" w:rsidRPr="00DC66C6" w:rsidRDefault="00B6502E" w:rsidP="00452DBC">
      <w:pPr>
        <w:pStyle w:val="Bezriadkovania"/>
        <w:spacing w:before="160" w:after="200" w:line="259" w:lineRule="auto"/>
        <w:jc w:val="both"/>
        <w:rPr>
          <w:rFonts w:ascii="Arial Narrow" w:hAnsi="Arial Narrow"/>
          <w:b/>
          <w:bCs/>
          <w:u w:val="single"/>
        </w:rPr>
      </w:pPr>
      <w:r w:rsidRPr="00DC66C6">
        <w:rPr>
          <w:rFonts w:ascii="Arial Narrow" w:hAnsi="Arial Narrow"/>
          <w:b/>
          <w:bCs/>
          <w:u w:val="single"/>
        </w:rPr>
        <w:t xml:space="preserve">Potreby detí so zdravotným znevýhodnením nie sú zohľadnené v systéme financovania bežných materských škôl </w:t>
      </w:r>
    </w:p>
    <w:p w14:paraId="38CC1EBC" w14:textId="31E970E9" w:rsidR="00B6502E" w:rsidRPr="00DC66C6" w:rsidRDefault="00B6502E" w:rsidP="00452DBC">
      <w:pPr>
        <w:rPr>
          <w:b/>
          <w:bCs/>
        </w:rPr>
      </w:pPr>
      <w:r w:rsidRPr="00DC66C6">
        <w:rPr>
          <w:b/>
          <w:bCs/>
        </w:rPr>
        <w:t>Až 28 % bežných MŠ vzdeláva aspoň jedno dieťa so ZZ,</w:t>
      </w:r>
      <w:r w:rsidRPr="00DC66C6">
        <w:rPr>
          <w:rStyle w:val="Odkaznapoznmkupodiarou"/>
          <w:b/>
          <w:bCs/>
        </w:rPr>
        <w:footnoteReference w:id="207"/>
      </w:r>
      <w:r w:rsidRPr="00DC66C6">
        <w:rPr>
          <w:b/>
          <w:bCs/>
        </w:rPr>
        <w:t xml:space="preserve"> po zavedení povinného predprimárneho vzdelávania sa toto číslo ešte zvýši. </w:t>
      </w:r>
      <w:r w:rsidRPr="00DC66C6">
        <w:t>Väčšina obcí (82 %) vynakladá na materské školy menej zdrojov z tzv. podielových daní</w:t>
      </w:r>
      <w:r w:rsidR="001E7A5E">
        <w:t>,</w:t>
      </w:r>
      <w:r w:rsidRPr="00DC66C6">
        <w:t xml:space="preserve"> ako je im prerozdelených na základe počtu detí v MŠ.</w:t>
      </w:r>
      <w:r w:rsidRPr="00DC66C6">
        <w:rPr>
          <w:rStyle w:val="Odkaznapoznmkupodiarou"/>
        </w:rPr>
        <w:footnoteReference w:id="208"/>
      </w:r>
      <w:r w:rsidRPr="00DC66C6">
        <w:t xml:space="preserve"> </w:t>
      </w:r>
      <w:r w:rsidRPr="00DC66C6">
        <w:rPr>
          <w:bCs/>
        </w:rPr>
        <w:t>Vzorec na prerozdeľovanie prostriedkov z tzv. podielových daní, z ktorých sú materské školy vo veľkej miere financované, zohľadňuje iba počet detí v materskej škole bez ohľadu na ich špeciálne výchovno-vzdelávacie potreby.</w:t>
      </w:r>
      <w:r w:rsidRPr="00DC66C6">
        <w:t xml:space="preserve"> </w:t>
      </w:r>
      <w:r w:rsidRPr="00DC66C6">
        <w:rPr>
          <w:bCs/>
        </w:rPr>
        <w:t>Príjmy obcí z tzv. podielových daní nie sú účelovo viazané, čo umožňuje zriaďovateľom materských škôl použiť prostriedky pridelené na predškolské vzdelávanie aj na iné účely. Obce ako zriaďovatelia materských škôl teda môžu špeciálne výchovno-vzdelávacie potreby detí vo financovaní materských škôl zohľadniť iba, ak sa tak rozhodnú.</w:t>
      </w:r>
      <w:r w:rsidRPr="00DC66C6">
        <w:rPr>
          <w:b/>
        </w:rPr>
        <w:t xml:space="preserve"> </w:t>
      </w:r>
      <w:r w:rsidRPr="00DC66C6">
        <w:t xml:space="preserve">Z analýzy dostupných dát </w:t>
      </w:r>
      <w:r w:rsidR="00B24660">
        <w:t>vyplýva</w:t>
      </w:r>
      <w:r w:rsidRPr="00DC66C6">
        <w:t>, že zastúpenie detí so zdravotným znevýhodnením v MŠ výšku výdavkov na predprimárne vzdelávanie zásadne neovplyvňuje</w:t>
      </w:r>
      <w:r w:rsidRPr="00DC66C6">
        <w:rPr>
          <w:bCs/>
        </w:rPr>
        <w:t>. Sumy napočítané na základe vzorca o prerozdeľovaní tzv. podielových daní na základe počtu detí v MŠ pre jednotlivé obce sa nikde nezverejňujú, čo znemožňuje kontrolu hospodárenia zriaďovateľov odbornou, ale aj širokou verejnosťou (</w:t>
      </w:r>
      <w:r w:rsidR="00134838" w:rsidRPr="00134838">
        <w:fldChar w:fldCharType="begin"/>
      </w:r>
      <w:r w:rsidR="00134838" w:rsidRPr="00134838">
        <w:instrText xml:space="preserve"> REF _Ref34129767 \h </w:instrText>
      </w:r>
      <w:r w:rsidR="00134838">
        <w:instrText xml:space="preserve"> \* MERGEFORMAT </w:instrText>
      </w:r>
      <w:r w:rsidR="00134838" w:rsidRPr="00134838">
        <w:fldChar w:fldCharType="separate"/>
      </w:r>
      <w:r w:rsidR="00FA29AF" w:rsidRPr="00FA29AF">
        <w:t>Príloha 9</w:t>
      </w:r>
      <w:r w:rsidR="00134838" w:rsidRPr="00134838">
        <w:fldChar w:fldCharType="end"/>
      </w:r>
      <w:r w:rsidRPr="00DC66C6">
        <w:rPr>
          <w:bCs/>
        </w:rPr>
        <w:t>).</w:t>
      </w:r>
      <w:r w:rsidRPr="00DC66C6">
        <w:rPr>
          <w:rStyle w:val="Odkaznapoznmkupodiarou"/>
          <w:bCs/>
        </w:rPr>
        <w:footnoteReference w:id="209"/>
      </w:r>
      <w:r w:rsidRPr="00DC66C6">
        <w:rPr>
          <w:bCs/>
        </w:rPr>
        <w:t xml:space="preserve"> </w:t>
      </w:r>
      <w:r w:rsidRPr="00DC66C6">
        <w:rPr>
          <w:b/>
          <w:bCs/>
        </w:rPr>
        <w:t>Revízia preto navrhuje zverejňovať objem zdrojov vyčlenených na jedno dieťa v materskej škole na úrovni obcí.</w:t>
      </w:r>
    </w:p>
    <w:p w14:paraId="7BB111BD" w14:textId="09C3EAF1" w:rsidR="008E166F" w:rsidRPr="00DC66C6" w:rsidRDefault="008E166F" w:rsidP="00452DBC">
      <w:pPr>
        <w:rPr>
          <w:b/>
          <w:u w:val="single"/>
        </w:rPr>
      </w:pPr>
      <w:r w:rsidRPr="00DC66C6">
        <w:rPr>
          <w:b/>
          <w:u w:val="single"/>
        </w:rPr>
        <w:t>Chýba podpora debarierizácie materských škôl</w:t>
      </w:r>
    </w:p>
    <w:p w14:paraId="654F5E49" w14:textId="6BEC680F" w:rsidR="00B6502E" w:rsidRPr="00DC66C6" w:rsidRDefault="00B6502E" w:rsidP="00452DBC">
      <w:pPr>
        <w:rPr>
          <w:bCs/>
        </w:rPr>
      </w:pPr>
      <w:r w:rsidRPr="00DC66C6">
        <w:rPr>
          <w:b/>
        </w:rPr>
        <w:t>Na účel debarierizácie prostredia materských škôl štát aktuálne nevyčleňuje žiadne zdroje. Ministerstvo školstva v tejto súvislosti materské školy jednoznačne neusmerňuje</w:t>
      </w:r>
      <w:r w:rsidRPr="00DC66C6">
        <w:rPr>
          <w:rStyle w:val="Odkaznapoznmkupodiarou"/>
          <w:b/>
        </w:rPr>
        <w:footnoteReference w:id="210"/>
      </w:r>
      <w:r w:rsidRPr="00DC66C6">
        <w:rPr>
          <w:b/>
        </w:rPr>
        <w:t xml:space="preserve"> a situáciu nemonitoruje. Komplexné dáta o tom, do akej miery sú MŠ bezbariérové, nie sú dostupné.</w:t>
      </w:r>
      <w:r w:rsidRPr="00DC66C6">
        <w:rPr>
          <w:bCs/>
        </w:rPr>
        <w:t xml:space="preserve"> Zo zistení Štátnej školskej inšpekcie </w:t>
      </w:r>
      <w:r w:rsidR="00B24660">
        <w:rPr>
          <w:bCs/>
        </w:rPr>
        <w:t>vyplýva</w:t>
      </w:r>
      <w:r w:rsidRPr="00DC66C6">
        <w:rPr>
          <w:bCs/>
        </w:rPr>
        <w:t>, že v školskom roku 2018/19 boli debarierizované iba 3 % z kontrolovaných bežných materských škôl (ŠŠI, 2018a).</w:t>
      </w:r>
      <w:r w:rsidRPr="00DC66C6">
        <w:rPr>
          <w:rStyle w:val="Odkaznapoznmkupodiarou"/>
          <w:bCs/>
        </w:rPr>
        <w:footnoteReference w:id="211"/>
      </w:r>
      <w:r w:rsidRPr="00DC66C6">
        <w:rPr>
          <w:bCs/>
        </w:rPr>
        <w:t xml:space="preserve"> Okrem chýbajúcich financií môže problémy spôsobovať aj nedostatočná metodická podpora. Chýbajúce usmernenia môžu zapríčiňovať, že školy, respektíve ich zriaďovatelia, majú nízke povedomie o nevyhnutných parametroch bezbariérového prostredia a nevedia zhodnotiť nedostatky súčasného stavu a ani pomenovať optimálny bezbariérový stav.</w:t>
      </w:r>
      <w:r w:rsidRPr="00DC66C6">
        <w:rPr>
          <w:rStyle w:val="Odkaznapoznmkupodiarou"/>
          <w:bCs/>
        </w:rPr>
        <w:footnoteReference w:id="212"/>
      </w:r>
      <w:r w:rsidRPr="00DC66C6">
        <w:rPr>
          <w:bCs/>
        </w:rPr>
        <w:t xml:space="preserve"> </w:t>
      </w:r>
      <w:r w:rsidR="00FA453D">
        <w:rPr>
          <w:bCs/>
        </w:rPr>
        <w:t>R</w:t>
      </w:r>
      <w:r w:rsidRPr="00DC66C6">
        <w:rPr>
          <w:bCs/>
        </w:rPr>
        <w:t>eprezentatívn</w:t>
      </w:r>
      <w:r w:rsidR="00FA453D">
        <w:rPr>
          <w:bCs/>
        </w:rPr>
        <w:t>y</w:t>
      </w:r>
      <w:r w:rsidRPr="00DC66C6">
        <w:rPr>
          <w:bCs/>
        </w:rPr>
        <w:t xml:space="preserve"> prieskum </w:t>
      </w:r>
      <w:r w:rsidR="00FA453D">
        <w:rPr>
          <w:bCs/>
        </w:rPr>
        <w:t>ukázal, že f</w:t>
      </w:r>
      <w:r w:rsidRPr="00DC66C6">
        <w:rPr>
          <w:bCs/>
        </w:rPr>
        <w:t>yzické bariéry v budovách škôl považuj</w:t>
      </w:r>
      <w:r w:rsidR="00FA453D">
        <w:rPr>
          <w:bCs/>
        </w:rPr>
        <w:t>e</w:t>
      </w:r>
      <w:r w:rsidRPr="00DC66C6">
        <w:rPr>
          <w:bCs/>
        </w:rPr>
        <w:t xml:space="preserve"> za prekážku vzdelávania detí so špeciálnymi potrebami viac ako tretina riaditeľov bežných materských škôl (35,1 %), v prípade riaditeľov špeciálnych materských škôl je číslo výrazne nižšie (4,3 %) (To dá rozum, 2019). </w:t>
      </w:r>
      <w:r w:rsidRPr="00DC66C6">
        <w:rPr>
          <w:b/>
          <w:bCs/>
        </w:rPr>
        <w:t>Revízia preto navrhuje: (1) vytvoriť manuál na debarierizáciu školského prostredia a (2) vyčleniť zdroje na podporu debarierizácie materských škôl.</w:t>
      </w:r>
    </w:p>
    <w:p w14:paraId="2185B7E5" w14:textId="77777777" w:rsidR="008E166F" w:rsidRPr="00DC66C6" w:rsidRDefault="008E166F" w:rsidP="00452DBC">
      <w:pPr>
        <w:pStyle w:val="Nadpis2"/>
        <w:ind w:left="431" w:hanging="431"/>
      </w:pPr>
      <w:bookmarkStart w:id="398" w:name="_Ref25743147"/>
      <w:bookmarkStart w:id="399" w:name="_Toc34657721"/>
      <w:r w:rsidRPr="00DC66C6">
        <w:t>Vzdelávanie v základných školách</w:t>
      </w:r>
      <w:bookmarkEnd w:id="398"/>
      <w:bookmarkEnd w:id="399"/>
    </w:p>
    <w:p w14:paraId="21EC8C2F" w14:textId="77777777" w:rsidR="008E166F" w:rsidRPr="00DC66C6" w:rsidRDefault="008E166F" w:rsidP="00452DBC">
      <w:pPr>
        <w:pStyle w:val="Bezriadkovania"/>
        <w:spacing w:before="160" w:after="200" w:line="259" w:lineRule="auto"/>
        <w:jc w:val="both"/>
        <w:rPr>
          <w:rFonts w:ascii="Arial Narrow" w:hAnsi="Arial Narrow"/>
          <w:b/>
        </w:rPr>
      </w:pPr>
      <w:r w:rsidRPr="00DC66C6">
        <w:rPr>
          <w:rFonts w:ascii="Arial Narrow" w:hAnsi="Arial Narrow"/>
          <w:color w:val="0070C0"/>
        </w:rPr>
        <w:t>Výsledky vzdelávania zdravotne znevýhodnených žiakov v základných školách</w:t>
      </w:r>
      <w:r w:rsidRPr="00DC66C6">
        <w:rPr>
          <w:rFonts w:ascii="Arial Narrow" w:hAnsi="Arial Narrow"/>
          <w:b/>
        </w:rPr>
        <w:t xml:space="preserve"> </w:t>
      </w:r>
    </w:p>
    <w:p w14:paraId="4300EBD2" w14:textId="37ED55EC" w:rsidR="00B6502E" w:rsidRPr="00DC66C6" w:rsidRDefault="00B6502E" w:rsidP="00452DBC">
      <w:pPr>
        <w:pStyle w:val="Bezriadkovania"/>
        <w:spacing w:after="200" w:line="259" w:lineRule="auto"/>
        <w:jc w:val="both"/>
        <w:rPr>
          <w:rFonts w:ascii="Arial Narrow" w:hAnsi="Arial Narrow"/>
        </w:rPr>
      </w:pPr>
      <w:r w:rsidRPr="00DC66C6">
        <w:rPr>
          <w:rFonts w:ascii="Arial Narrow" w:hAnsi="Arial Narrow"/>
          <w:b/>
        </w:rPr>
        <w:t>V roku 2018 tvorili žiaci so ZZ 11 % populácie žiakov základných škôl (51 869 žiakov).</w:t>
      </w:r>
      <w:r w:rsidRPr="00DC66C6">
        <w:rPr>
          <w:rStyle w:val="Odkaznapoznmkupodiarou"/>
          <w:rFonts w:ascii="Arial Narrow" w:hAnsi="Arial Narrow"/>
          <w:b/>
        </w:rPr>
        <w:footnoteReference w:id="213"/>
      </w:r>
      <w:r w:rsidRPr="00DC66C6">
        <w:rPr>
          <w:rFonts w:ascii="Arial Narrow" w:hAnsi="Arial Narrow"/>
          <w:b/>
        </w:rPr>
        <w:t xml:space="preserve"> </w:t>
      </w:r>
      <w:r w:rsidRPr="00DC66C6">
        <w:rPr>
          <w:rFonts w:ascii="Arial Narrow" w:hAnsi="Arial Narrow"/>
        </w:rPr>
        <w:t>Podiel žiakov so ZZ na populácii žiakov ZŠ je od roku 2014 ustálený (</w:t>
      </w:r>
      <w:r w:rsidR="00134838" w:rsidRPr="00134838">
        <w:rPr>
          <w:rFonts w:ascii="Arial Narrow" w:hAnsi="Arial Narrow"/>
          <w:szCs w:val="20"/>
        </w:rPr>
        <w:fldChar w:fldCharType="begin"/>
      </w:r>
      <w:r w:rsidR="00134838" w:rsidRPr="00134838">
        <w:rPr>
          <w:rFonts w:ascii="Arial Narrow" w:hAnsi="Arial Narrow"/>
          <w:szCs w:val="20"/>
        </w:rPr>
        <w:instrText xml:space="preserve"> REF _Ref34130895 \h </w:instrText>
      </w:r>
      <w:r w:rsidR="00134838">
        <w:rPr>
          <w:rFonts w:ascii="Arial Narrow" w:hAnsi="Arial Narrow"/>
          <w:szCs w:val="20"/>
        </w:rPr>
        <w:instrText xml:space="preserve"> \* MERGEFORMAT </w:instrText>
      </w:r>
      <w:r w:rsidR="00134838" w:rsidRPr="00134838">
        <w:rPr>
          <w:rFonts w:ascii="Arial Narrow" w:hAnsi="Arial Narrow"/>
          <w:szCs w:val="20"/>
        </w:rPr>
      </w:r>
      <w:r w:rsidR="00134838" w:rsidRPr="00134838">
        <w:rPr>
          <w:rFonts w:ascii="Arial Narrow" w:hAnsi="Arial Narrow"/>
          <w:szCs w:val="20"/>
        </w:rPr>
        <w:fldChar w:fldCharType="separate"/>
      </w:r>
      <w:r w:rsidR="00FA29AF" w:rsidRPr="00FA29AF">
        <w:rPr>
          <w:rFonts w:ascii="Arial Narrow" w:hAnsi="Arial Narrow"/>
          <w:szCs w:val="20"/>
        </w:rPr>
        <w:t>Príloha 15</w:t>
      </w:r>
      <w:r w:rsidR="00134838" w:rsidRPr="00134838">
        <w:rPr>
          <w:rFonts w:ascii="Arial Narrow" w:hAnsi="Arial Narrow"/>
          <w:szCs w:val="20"/>
        </w:rPr>
        <w:fldChar w:fldCharType="end"/>
      </w:r>
      <w:r w:rsidRPr="00DC66C6">
        <w:rPr>
          <w:rFonts w:ascii="Arial Narrow" w:hAnsi="Arial Narrow"/>
        </w:rPr>
        <w:t>), v medzinárodnom porovnaní však ide o vysoké číslo. V roku 2014 bol priemerný podiel žiakov s diagnostikovanými špeciálnymi potrebami vo vybraných krajinách EÚ viac ako o polovicu nižší (4,4 %).</w:t>
      </w:r>
      <w:r w:rsidRPr="00DC66C6">
        <w:rPr>
          <w:rStyle w:val="Odkaznapoznmkupodiarou"/>
          <w:rFonts w:ascii="Arial Narrow" w:hAnsi="Arial Narrow"/>
        </w:rPr>
        <w:footnoteReference w:id="214"/>
      </w:r>
      <w:r w:rsidRPr="00DC66C6">
        <w:rPr>
          <w:rFonts w:ascii="Arial Narrow" w:hAnsi="Arial Narrow"/>
        </w:rPr>
        <w:t xml:space="preserve"> </w:t>
      </w:r>
    </w:p>
    <w:p w14:paraId="2842A3CE" w14:textId="275A2F73" w:rsidR="008E166F" w:rsidRDefault="004A7F97" w:rsidP="00452DBC">
      <w:pPr>
        <w:pStyle w:val="Bezriadkovania"/>
        <w:spacing w:after="200" w:line="259" w:lineRule="auto"/>
        <w:jc w:val="both"/>
        <w:rPr>
          <w:rFonts w:ascii="Arial Narrow" w:hAnsi="Arial Narrow"/>
          <w:bCs/>
        </w:rPr>
      </w:pPr>
      <w:r>
        <w:rPr>
          <w:rFonts w:ascii="Arial Narrow" w:hAnsi="Arial Narrow"/>
          <w:b/>
          <w:bCs/>
        </w:rPr>
        <w:t>Ž</w:t>
      </w:r>
      <w:r w:rsidR="00B6502E" w:rsidRPr="00DC66C6">
        <w:rPr>
          <w:rFonts w:ascii="Arial Narrow" w:hAnsi="Arial Narrow"/>
          <w:b/>
          <w:bCs/>
        </w:rPr>
        <w:t xml:space="preserve">iaci s mentálnym </w:t>
      </w:r>
      <w:r w:rsidR="00B6502E" w:rsidRPr="004A7F97">
        <w:rPr>
          <w:rFonts w:ascii="Arial Narrow" w:hAnsi="Arial Narrow"/>
          <w:b/>
          <w:bCs/>
        </w:rPr>
        <w:t>postihnutím</w:t>
      </w:r>
      <w:r>
        <w:rPr>
          <w:rFonts w:ascii="Arial Narrow" w:hAnsi="Arial Narrow"/>
          <w:b/>
          <w:bCs/>
        </w:rPr>
        <w:t xml:space="preserve"> </w:t>
      </w:r>
      <w:r w:rsidR="001E7A5E">
        <w:rPr>
          <w:rFonts w:ascii="Arial Narrow" w:hAnsi="Arial Narrow"/>
          <w:b/>
          <w:bCs/>
        </w:rPr>
        <w:t>tvoria</w:t>
      </w:r>
      <w:r>
        <w:rPr>
          <w:rFonts w:ascii="Arial Narrow" w:hAnsi="Arial Narrow"/>
          <w:b/>
          <w:bCs/>
        </w:rPr>
        <w:t xml:space="preserve"> skoro polovicu (47 %) žiakov so ZZ a žiaci s poruchami učenia vyše štvrtinu (29 %)</w:t>
      </w:r>
      <w:r w:rsidR="00B6502E" w:rsidRPr="004A7F97">
        <w:rPr>
          <w:rFonts w:ascii="Arial Narrow" w:hAnsi="Arial Narrow"/>
          <w:b/>
          <w:bCs/>
        </w:rPr>
        <w:t xml:space="preserve"> </w:t>
      </w:r>
      <w:r w:rsidR="00B6502E" w:rsidRPr="008B336A">
        <w:rPr>
          <w:rFonts w:ascii="Arial Narrow" w:hAnsi="Arial Narrow"/>
          <w:b/>
          <w:bCs/>
        </w:rPr>
        <w:t>(</w:t>
      </w:r>
      <w:r w:rsidR="004067F1" w:rsidRPr="008B336A">
        <w:rPr>
          <w:rFonts w:ascii="Arial Narrow" w:hAnsi="Arial Narrow"/>
          <w:b/>
          <w:bCs/>
        </w:rPr>
        <w:fldChar w:fldCharType="begin"/>
      </w:r>
      <w:r w:rsidR="004067F1" w:rsidRPr="008B336A">
        <w:rPr>
          <w:rFonts w:ascii="Arial Narrow" w:hAnsi="Arial Narrow"/>
          <w:b/>
          <w:bCs/>
        </w:rPr>
        <w:instrText xml:space="preserve"> REF _Ref25744042 \h  \* MERGEFORMAT </w:instrText>
      </w:r>
      <w:r w:rsidR="004067F1" w:rsidRPr="008B336A">
        <w:rPr>
          <w:rFonts w:ascii="Arial Narrow" w:hAnsi="Arial Narrow"/>
          <w:b/>
          <w:bCs/>
        </w:rPr>
      </w:r>
      <w:r w:rsidR="004067F1" w:rsidRPr="008B336A">
        <w:rPr>
          <w:rFonts w:ascii="Arial Narrow" w:hAnsi="Arial Narrow"/>
          <w:b/>
          <w:bCs/>
        </w:rPr>
        <w:fldChar w:fldCharType="separate"/>
      </w:r>
      <w:r w:rsidR="00FA29AF" w:rsidRPr="00FA29AF">
        <w:rPr>
          <w:rFonts w:ascii="Arial Narrow" w:hAnsi="Arial Narrow"/>
          <w:b/>
          <w:bCs/>
        </w:rPr>
        <w:t xml:space="preserve">Tabuľka </w:t>
      </w:r>
      <w:r w:rsidR="00FA29AF" w:rsidRPr="00FA29AF">
        <w:rPr>
          <w:rFonts w:ascii="Arial Narrow" w:hAnsi="Arial Narrow"/>
          <w:b/>
          <w:bCs/>
          <w:noProof/>
        </w:rPr>
        <w:t>16</w:t>
      </w:r>
      <w:r w:rsidR="004067F1" w:rsidRPr="008B336A">
        <w:rPr>
          <w:rFonts w:ascii="Arial Narrow" w:hAnsi="Arial Narrow"/>
          <w:b/>
          <w:bCs/>
        </w:rPr>
        <w:fldChar w:fldCharType="end"/>
      </w:r>
      <w:r w:rsidR="00B6502E" w:rsidRPr="008B336A">
        <w:rPr>
          <w:rFonts w:ascii="Arial Narrow" w:hAnsi="Arial Narrow"/>
          <w:b/>
          <w:bCs/>
        </w:rPr>
        <w:t>).</w:t>
      </w:r>
      <w:r w:rsidR="00B6502E" w:rsidRPr="00DC66C6">
        <w:rPr>
          <w:rFonts w:ascii="Arial Narrow" w:hAnsi="Arial Narrow"/>
          <w:bCs/>
        </w:rPr>
        <w:t xml:space="preserve"> Od roku 2012</w:t>
      </w:r>
      <w:r w:rsidR="00B6502E" w:rsidRPr="00DC66C6">
        <w:rPr>
          <w:rStyle w:val="Odkaznapoznmkupodiarou"/>
          <w:rFonts w:ascii="Arial Narrow" w:hAnsi="Arial Narrow"/>
          <w:bCs/>
        </w:rPr>
        <w:footnoteReference w:id="215"/>
      </w:r>
      <w:r w:rsidR="00B6502E" w:rsidRPr="00DC66C6">
        <w:rPr>
          <w:rFonts w:ascii="Arial Narrow" w:hAnsi="Arial Narrow"/>
          <w:bCs/>
        </w:rPr>
        <w:t xml:space="preserve"> sa najviac zvýšil počet žiakov s vývinovými poruchami aktivity a pozornosti, s poruchami učenia a s narušenou komunikačnou schopnosťou. Naopak najväčší pokles bol zaznamenaný v počte žiakov s ľahkým mentálnym postihnutím, s poruchami správania a s telesným postihnutím (</w:t>
      </w:r>
      <w:r w:rsidR="00134838" w:rsidRPr="00134838">
        <w:rPr>
          <w:rFonts w:ascii="Arial Narrow" w:hAnsi="Arial Narrow"/>
          <w:szCs w:val="20"/>
        </w:rPr>
        <w:fldChar w:fldCharType="begin"/>
      </w:r>
      <w:r w:rsidR="00134838" w:rsidRPr="00134838">
        <w:rPr>
          <w:rFonts w:ascii="Arial Narrow" w:hAnsi="Arial Narrow"/>
          <w:szCs w:val="20"/>
        </w:rPr>
        <w:instrText xml:space="preserve"> REF _Ref34130923 \h </w:instrText>
      </w:r>
      <w:r w:rsidR="00134838">
        <w:rPr>
          <w:rFonts w:ascii="Arial Narrow" w:hAnsi="Arial Narrow"/>
          <w:szCs w:val="20"/>
        </w:rPr>
        <w:instrText xml:space="preserve"> \* MERGEFORMAT </w:instrText>
      </w:r>
      <w:r w:rsidR="00134838" w:rsidRPr="00134838">
        <w:rPr>
          <w:rFonts w:ascii="Arial Narrow" w:hAnsi="Arial Narrow"/>
          <w:szCs w:val="20"/>
        </w:rPr>
      </w:r>
      <w:r w:rsidR="00134838" w:rsidRPr="00134838">
        <w:rPr>
          <w:rFonts w:ascii="Arial Narrow" w:hAnsi="Arial Narrow"/>
          <w:szCs w:val="20"/>
        </w:rPr>
        <w:fldChar w:fldCharType="separate"/>
      </w:r>
      <w:r w:rsidR="00FA29AF" w:rsidRPr="00FA29AF">
        <w:rPr>
          <w:rFonts w:ascii="Arial Narrow" w:hAnsi="Arial Narrow"/>
          <w:szCs w:val="20"/>
        </w:rPr>
        <w:t>Príloha 16</w:t>
      </w:r>
      <w:r w:rsidR="00134838" w:rsidRPr="00134838">
        <w:rPr>
          <w:rFonts w:ascii="Arial Narrow" w:hAnsi="Arial Narrow"/>
          <w:szCs w:val="20"/>
        </w:rPr>
        <w:fldChar w:fldCharType="end"/>
      </w:r>
      <w:r w:rsidR="00B6502E" w:rsidRPr="00DC66C6">
        <w:rPr>
          <w:rFonts w:ascii="Arial Narrow" w:hAnsi="Arial Narrow"/>
          <w:bCs/>
        </w:rPr>
        <w:t>).</w:t>
      </w:r>
      <w:r w:rsidR="008E166F" w:rsidRPr="00DC66C6">
        <w:rPr>
          <w:rFonts w:ascii="Arial Narrow" w:hAnsi="Arial Narrow"/>
          <w:bCs/>
        </w:rPr>
        <w:t xml:space="preserve"> </w:t>
      </w:r>
    </w:p>
    <w:p w14:paraId="4CD50B1E" w14:textId="3F26476F" w:rsidR="006D6A43" w:rsidRPr="006D6A43" w:rsidRDefault="006D6A43" w:rsidP="006D6A43">
      <w:pPr>
        <w:pStyle w:val="Popis"/>
        <w:keepNext/>
        <w:spacing w:after="0"/>
        <w:rPr>
          <w:b/>
          <w:i w:val="0"/>
          <w:sz w:val="20"/>
          <w:szCs w:val="20"/>
        </w:rPr>
      </w:pPr>
      <w:bookmarkStart w:id="400" w:name="_Ref25744042"/>
      <w:bookmarkStart w:id="401" w:name="_Toc34156855"/>
      <w:r w:rsidRPr="006D6A43">
        <w:rPr>
          <w:b/>
          <w:i w:val="0"/>
          <w:color w:val="auto"/>
          <w:sz w:val="20"/>
          <w:szCs w:val="20"/>
        </w:rPr>
        <w:t xml:space="preserve">Tabuľka </w:t>
      </w:r>
      <w:r w:rsidRPr="006D6A43">
        <w:rPr>
          <w:b/>
          <w:i w:val="0"/>
          <w:color w:val="auto"/>
          <w:sz w:val="20"/>
          <w:szCs w:val="20"/>
        </w:rPr>
        <w:fldChar w:fldCharType="begin"/>
      </w:r>
      <w:r w:rsidRPr="006D6A43">
        <w:rPr>
          <w:b/>
          <w:i w:val="0"/>
          <w:color w:val="auto"/>
          <w:sz w:val="20"/>
          <w:szCs w:val="20"/>
        </w:rPr>
        <w:instrText xml:space="preserve"> SEQ Tabuľka \* ARABIC </w:instrText>
      </w:r>
      <w:r w:rsidRPr="006D6A43">
        <w:rPr>
          <w:b/>
          <w:i w:val="0"/>
          <w:color w:val="auto"/>
          <w:sz w:val="20"/>
          <w:szCs w:val="20"/>
        </w:rPr>
        <w:fldChar w:fldCharType="separate"/>
      </w:r>
      <w:r w:rsidR="00FA29AF">
        <w:rPr>
          <w:b/>
          <w:i w:val="0"/>
          <w:noProof/>
          <w:color w:val="auto"/>
          <w:sz w:val="20"/>
          <w:szCs w:val="20"/>
        </w:rPr>
        <w:t>16</w:t>
      </w:r>
      <w:r w:rsidRPr="006D6A43">
        <w:rPr>
          <w:b/>
          <w:i w:val="0"/>
          <w:color w:val="auto"/>
          <w:sz w:val="20"/>
          <w:szCs w:val="20"/>
        </w:rPr>
        <w:fldChar w:fldCharType="end"/>
      </w:r>
      <w:bookmarkEnd w:id="400"/>
      <w:r w:rsidRPr="006D6A43">
        <w:rPr>
          <w:b/>
          <w:i w:val="0"/>
          <w:color w:val="auto"/>
          <w:sz w:val="20"/>
          <w:szCs w:val="20"/>
        </w:rPr>
        <w:t>:</w:t>
      </w:r>
      <w:r w:rsidRPr="006D6A43">
        <w:rPr>
          <w:b/>
          <w:bCs/>
          <w:i w:val="0"/>
          <w:color w:val="auto"/>
          <w:sz w:val="20"/>
          <w:szCs w:val="20"/>
        </w:rPr>
        <w:t xml:space="preserve"> Počet žiakov so ZZ v zá</w:t>
      </w:r>
      <w:r>
        <w:rPr>
          <w:b/>
          <w:bCs/>
          <w:i w:val="0"/>
          <w:color w:val="auto"/>
          <w:sz w:val="20"/>
          <w:szCs w:val="20"/>
        </w:rPr>
        <w:t>kladných školách podľa druhu ZZ</w:t>
      </w:r>
      <w:r w:rsidRPr="006D6A43">
        <w:rPr>
          <w:b/>
          <w:bCs/>
          <w:i w:val="0"/>
          <w:color w:val="auto"/>
          <w:sz w:val="20"/>
          <w:szCs w:val="20"/>
        </w:rPr>
        <w:t xml:space="preserve"> </w:t>
      </w:r>
      <w:r>
        <w:rPr>
          <w:b/>
          <w:bCs/>
          <w:i w:val="0"/>
          <w:color w:val="auto"/>
          <w:sz w:val="20"/>
          <w:szCs w:val="20"/>
        </w:rPr>
        <w:t>(</w:t>
      </w:r>
      <w:r w:rsidRPr="006D6A43">
        <w:rPr>
          <w:b/>
          <w:bCs/>
          <w:i w:val="0"/>
          <w:color w:val="auto"/>
          <w:sz w:val="20"/>
          <w:szCs w:val="20"/>
        </w:rPr>
        <w:t>2018</w:t>
      </w:r>
      <w:r>
        <w:rPr>
          <w:b/>
          <w:bCs/>
          <w:i w:val="0"/>
          <w:color w:val="auto"/>
          <w:sz w:val="20"/>
          <w:szCs w:val="20"/>
        </w:rPr>
        <w:t>)</w:t>
      </w:r>
      <w:bookmarkEnd w:id="401"/>
    </w:p>
    <w:tbl>
      <w:tblPr>
        <w:tblW w:w="9132" w:type="dxa"/>
        <w:jc w:val="center"/>
        <w:tblCellMar>
          <w:left w:w="70" w:type="dxa"/>
          <w:right w:w="70" w:type="dxa"/>
        </w:tblCellMar>
        <w:tblLook w:val="04A0" w:firstRow="1" w:lastRow="0" w:firstColumn="1" w:lastColumn="0" w:noHBand="0" w:noVBand="1"/>
      </w:tblPr>
      <w:tblGrid>
        <w:gridCol w:w="5276"/>
        <w:gridCol w:w="1928"/>
        <w:gridCol w:w="1928"/>
      </w:tblGrid>
      <w:tr w:rsidR="008E166F" w:rsidRPr="00A47998" w14:paraId="4D763997" w14:textId="77777777" w:rsidTr="00DD25B0">
        <w:trPr>
          <w:trHeight w:val="300"/>
          <w:jc w:val="center"/>
        </w:trPr>
        <w:tc>
          <w:tcPr>
            <w:tcW w:w="5276" w:type="dxa"/>
            <w:tcBorders>
              <w:top w:val="single" w:sz="4" w:space="0" w:color="auto"/>
              <w:left w:val="nil"/>
              <w:bottom w:val="single" w:sz="4" w:space="0" w:color="auto"/>
            </w:tcBorders>
            <w:shd w:val="clear" w:color="auto" w:fill="auto"/>
            <w:noWrap/>
            <w:vAlign w:val="bottom"/>
            <w:hideMark/>
          </w:tcPr>
          <w:p w14:paraId="1F92D4EE" w14:textId="77777777" w:rsidR="008E166F" w:rsidRPr="00A47998" w:rsidRDefault="008E166F" w:rsidP="00B35CF6">
            <w:pPr>
              <w:spacing w:after="0" w:line="240" w:lineRule="auto"/>
              <w:jc w:val="left"/>
              <w:rPr>
                <w:rFonts w:eastAsia="Times New Roman" w:cs="Times New Roman"/>
                <w:b/>
                <w:bCs/>
                <w:color w:val="000000"/>
                <w:sz w:val="20"/>
                <w:lang w:eastAsia="sk-SK"/>
              </w:rPr>
            </w:pPr>
            <w:r w:rsidRPr="00A47998">
              <w:rPr>
                <w:rFonts w:eastAsia="Times New Roman" w:cs="Times New Roman"/>
                <w:b/>
                <w:bCs/>
                <w:color w:val="000000"/>
                <w:sz w:val="20"/>
                <w:lang w:eastAsia="sk-SK"/>
              </w:rPr>
              <w:t>Druh zdravotného znevýhodnenia</w:t>
            </w:r>
          </w:p>
        </w:tc>
        <w:tc>
          <w:tcPr>
            <w:tcW w:w="1928" w:type="dxa"/>
            <w:tcBorders>
              <w:top w:val="single" w:sz="4" w:space="0" w:color="auto"/>
              <w:bottom w:val="single" w:sz="4" w:space="0" w:color="auto"/>
              <w:right w:val="nil"/>
            </w:tcBorders>
            <w:shd w:val="clear" w:color="auto" w:fill="auto"/>
            <w:noWrap/>
            <w:vAlign w:val="bottom"/>
            <w:hideMark/>
          </w:tcPr>
          <w:p w14:paraId="5EFF5FB0" w14:textId="77777777" w:rsidR="008E166F" w:rsidRPr="00A47998" w:rsidRDefault="008E166F" w:rsidP="00574732">
            <w:pPr>
              <w:spacing w:after="0" w:line="240" w:lineRule="auto"/>
              <w:jc w:val="right"/>
              <w:rPr>
                <w:rFonts w:eastAsia="Times New Roman" w:cs="Times New Roman"/>
                <w:b/>
                <w:bCs/>
                <w:color w:val="000000"/>
                <w:sz w:val="20"/>
                <w:lang w:eastAsia="sk-SK"/>
              </w:rPr>
            </w:pPr>
            <w:r w:rsidRPr="00A47998">
              <w:rPr>
                <w:rFonts w:eastAsia="Times New Roman" w:cs="Times New Roman"/>
                <w:b/>
                <w:bCs/>
                <w:color w:val="000000"/>
                <w:sz w:val="20"/>
                <w:lang w:eastAsia="sk-SK"/>
              </w:rPr>
              <w:t>Počet žiakov</w:t>
            </w:r>
          </w:p>
        </w:tc>
        <w:tc>
          <w:tcPr>
            <w:tcW w:w="1928" w:type="dxa"/>
            <w:tcBorders>
              <w:top w:val="single" w:sz="4" w:space="0" w:color="auto"/>
              <w:left w:val="nil"/>
              <w:bottom w:val="single" w:sz="4" w:space="0" w:color="auto"/>
              <w:right w:val="nil"/>
            </w:tcBorders>
            <w:shd w:val="clear" w:color="auto" w:fill="auto"/>
            <w:noWrap/>
            <w:vAlign w:val="bottom"/>
            <w:hideMark/>
          </w:tcPr>
          <w:p w14:paraId="0606C9BE" w14:textId="0339CC32" w:rsidR="008E166F" w:rsidRPr="00A47998" w:rsidRDefault="008E166F" w:rsidP="00574732">
            <w:pPr>
              <w:spacing w:after="0" w:line="240" w:lineRule="auto"/>
              <w:jc w:val="right"/>
              <w:rPr>
                <w:rFonts w:eastAsia="Times New Roman" w:cs="Times New Roman"/>
                <w:b/>
                <w:bCs/>
                <w:color w:val="000000"/>
                <w:sz w:val="20"/>
                <w:lang w:eastAsia="sk-SK"/>
              </w:rPr>
            </w:pPr>
            <w:r w:rsidRPr="00A47998">
              <w:rPr>
                <w:rFonts w:eastAsia="Times New Roman" w:cs="Times New Roman"/>
                <w:b/>
                <w:bCs/>
                <w:color w:val="000000"/>
                <w:sz w:val="20"/>
                <w:lang w:eastAsia="sk-SK"/>
              </w:rPr>
              <w:t>Podiel žiakov</w:t>
            </w:r>
            <w:r w:rsidR="00574732">
              <w:rPr>
                <w:rFonts w:eastAsia="Times New Roman" w:cs="Times New Roman"/>
                <w:b/>
                <w:bCs/>
                <w:color w:val="000000"/>
                <w:sz w:val="20"/>
                <w:lang w:eastAsia="sk-SK"/>
              </w:rPr>
              <w:t xml:space="preserve"> (%)</w:t>
            </w:r>
          </w:p>
        </w:tc>
      </w:tr>
      <w:tr w:rsidR="008E166F" w:rsidRPr="00A47998" w14:paraId="2798140D" w14:textId="77777777" w:rsidTr="00DD25B0">
        <w:trPr>
          <w:trHeight w:val="300"/>
          <w:jc w:val="center"/>
        </w:trPr>
        <w:tc>
          <w:tcPr>
            <w:tcW w:w="5276" w:type="dxa"/>
            <w:tcBorders>
              <w:top w:val="nil"/>
              <w:left w:val="nil"/>
              <w:bottom w:val="nil"/>
            </w:tcBorders>
            <w:shd w:val="clear" w:color="auto" w:fill="auto"/>
            <w:noWrap/>
            <w:vAlign w:val="bottom"/>
            <w:hideMark/>
          </w:tcPr>
          <w:p w14:paraId="4B8C3F34" w14:textId="77777777" w:rsidR="008E166F" w:rsidRPr="0005060E" w:rsidRDefault="008E166F" w:rsidP="00B35CF6">
            <w:pPr>
              <w:spacing w:after="0" w:line="240" w:lineRule="auto"/>
              <w:jc w:val="left"/>
              <w:rPr>
                <w:rFonts w:eastAsia="Times New Roman" w:cs="Times New Roman"/>
                <w:bCs/>
                <w:color w:val="000000"/>
                <w:sz w:val="20"/>
                <w:lang w:eastAsia="sk-SK"/>
              </w:rPr>
            </w:pPr>
            <w:r w:rsidRPr="0005060E">
              <w:rPr>
                <w:rFonts w:eastAsia="Times New Roman" w:cs="Times New Roman"/>
                <w:bCs/>
                <w:color w:val="000000"/>
                <w:sz w:val="20"/>
                <w:lang w:eastAsia="sk-SK"/>
              </w:rPr>
              <w:t>Mentálne postihnutie</w:t>
            </w:r>
          </w:p>
        </w:tc>
        <w:tc>
          <w:tcPr>
            <w:tcW w:w="1928" w:type="dxa"/>
            <w:tcBorders>
              <w:top w:val="single" w:sz="4" w:space="0" w:color="auto"/>
              <w:bottom w:val="nil"/>
              <w:right w:val="nil"/>
            </w:tcBorders>
            <w:shd w:val="clear" w:color="auto" w:fill="auto"/>
            <w:noWrap/>
            <w:vAlign w:val="bottom"/>
            <w:hideMark/>
          </w:tcPr>
          <w:p w14:paraId="5E619690" w14:textId="77777777" w:rsidR="008E166F" w:rsidRPr="00A47998" w:rsidRDefault="008E166F" w:rsidP="00574732">
            <w:pPr>
              <w:spacing w:after="0" w:line="240" w:lineRule="auto"/>
              <w:jc w:val="right"/>
              <w:rPr>
                <w:rFonts w:eastAsia="Times New Roman" w:cs="Times New Roman"/>
                <w:color w:val="000000"/>
                <w:sz w:val="20"/>
                <w:lang w:eastAsia="sk-SK"/>
              </w:rPr>
            </w:pPr>
            <w:r w:rsidRPr="00A47998">
              <w:rPr>
                <w:rFonts w:eastAsia="Times New Roman" w:cs="Times New Roman"/>
                <w:color w:val="000000"/>
                <w:sz w:val="20"/>
                <w:lang w:eastAsia="sk-SK"/>
              </w:rPr>
              <w:t>24 403</w:t>
            </w:r>
          </w:p>
        </w:tc>
        <w:tc>
          <w:tcPr>
            <w:tcW w:w="1928" w:type="dxa"/>
            <w:tcBorders>
              <w:top w:val="nil"/>
              <w:left w:val="nil"/>
              <w:bottom w:val="nil"/>
              <w:right w:val="nil"/>
            </w:tcBorders>
            <w:shd w:val="clear" w:color="auto" w:fill="auto"/>
            <w:noWrap/>
            <w:vAlign w:val="bottom"/>
            <w:hideMark/>
          </w:tcPr>
          <w:p w14:paraId="60DA08FF" w14:textId="4E1951A5" w:rsidR="008E166F" w:rsidRPr="00A47998" w:rsidRDefault="008E166F" w:rsidP="00574732">
            <w:pPr>
              <w:spacing w:after="0" w:line="240" w:lineRule="auto"/>
              <w:jc w:val="right"/>
              <w:rPr>
                <w:rFonts w:eastAsia="Times New Roman" w:cs="Times New Roman"/>
                <w:color w:val="000000"/>
                <w:sz w:val="20"/>
                <w:lang w:eastAsia="sk-SK"/>
              </w:rPr>
            </w:pPr>
            <w:r w:rsidRPr="00A47998">
              <w:rPr>
                <w:rFonts w:eastAsia="Times New Roman" w:cs="Times New Roman"/>
                <w:color w:val="000000"/>
                <w:sz w:val="20"/>
                <w:lang w:eastAsia="sk-SK"/>
              </w:rPr>
              <w:t>47,0</w:t>
            </w:r>
          </w:p>
        </w:tc>
      </w:tr>
      <w:tr w:rsidR="008E166F" w:rsidRPr="00A47998" w14:paraId="5BD4D817" w14:textId="77777777" w:rsidTr="00DD25B0">
        <w:trPr>
          <w:trHeight w:val="300"/>
          <w:jc w:val="center"/>
        </w:trPr>
        <w:tc>
          <w:tcPr>
            <w:tcW w:w="5276" w:type="dxa"/>
            <w:tcBorders>
              <w:top w:val="nil"/>
              <w:left w:val="nil"/>
              <w:bottom w:val="nil"/>
            </w:tcBorders>
            <w:shd w:val="clear" w:color="auto" w:fill="auto"/>
            <w:noWrap/>
            <w:vAlign w:val="bottom"/>
            <w:hideMark/>
          </w:tcPr>
          <w:p w14:paraId="10460267" w14:textId="77777777" w:rsidR="008E166F" w:rsidRPr="0005060E" w:rsidRDefault="008E166F" w:rsidP="00B35CF6">
            <w:pPr>
              <w:spacing w:after="0" w:line="240" w:lineRule="auto"/>
              <w:jc w:val="left"/>
              <w:rPr>
                <w:rFonts w:eastAsia="Times New Roman" w:cs="Times New Roman"/>
                <w:bCs/>
                <w:color w:val="000000"/>
                <w:sz w:val="20"/>
                <w:lang w:eastAsia="sk-SK"/>
              </w:rPr>
            </w:pPr>
            <w:r w:rsidRPr="0005060E">
              <w:rPr>
                <w:rFonts w:eastAsia="Times New Roman" w:cs="Times New Roman"/>
                <w:bCs/>
                <w:color w:val="000000"/>
                <w:sz w:val="20"/>
                <w:lang w:eastAsia="sk-SK"/>
              </w:rPr>
              <w:t>Poruchy učenia</w:t>
            </w:r>
          </w:p>
        </w:tc>
        <w:tc>
          <w:tcPr>
            <w:tcW w:w="1928" w:type="dxa"/>
            <w:tcBorders>
              <w:top w:val="nil"/>
              <w:bottom w:val="nil"/>
              <w:right w:val="nil"/>
            </w:tcBorders>
            <w:shd w:val="clear" w:color="auto" w:fill="auto"/>
            <w:noWrap/>
            <w:vAlign w:val="bottom"/>
            <w:hideMark/>
          </w:tcPr>
          <w:p w14:paraId="68D6EE6D" w14:textId="77777777" w:rsidR="008E166F" w:rsidRPr="00A47998" w:rsidRDefault="008E166F" w:rsidP="00574732">
            <w:pPr>
              <w:spacing w:after="0" w:line="240" w:lineRule="auto"/>
              <w:jc w:val="right"/>
              <w:rPr>
                <w:rFonts w:eastAsia="Times New Roman" w:cs="Times New Roman"/>
                <w:color w:val="000000"/>
                <w:sz w:val="20"/>
                <w:lang w:eastAsia="sk-SK"/>
              </w:rPr>
            </w:pPr>
            <w:r w:rsidRPr="00A47998">
              <w:rPr>
                <w:rFonts w:eastAsia="Times New Roman" w:cs="Times New Roman"/>
                <w:color w:val="000000"/>
                <w:sz w:val="20"/>
                <w:lang w:eastAsia="sk-SK"/>
              </w:rPr>
              <w:t>15 014</w:t>
            </w:r>
          </w:p>
        </w:tc>
        <w:tc>
          <w:tcPr>
            <w:tcW w:w="1928" w:type="dxa"/>
            <w:tcBorders>
              <w:top w:val="nil"/>
              <w:left w:val="nil"/>
              <w:bottom w:val="nil"/>
              <w:right w:val="nil"/>
            </w:tcBorders>
            <w:shd w:val="clear" w:color="auto" w:fill="auto"/>
            <w:noWrap/>
            <w:vAlign w:val="bottom"/>
            <w:hideMark/>
          </w:tcPr>
          <w:p w14:paraId="1885B09B" w14:textId="3C5DFD09" w:rsidR="008E166F" w:rsidRPr="00A47998" w:rsidRDefault="008E166F" w:rsidP="00574732">
            <w:pPr>
              <w:spacing w:after="0" w:line="240" w:lineRule="auto"/>
              <w:jc w:val="right"/>
              <w:rPr>
                <w:rFonts w:eastAsia="Times New Roman" w:cs="Times New Roman"/>
                <w:color w:val="000000"/>
                <w:sz w:val="20"/>
                <w:lang w:eastAsia="sk-SK"/>
              </w:rPr>
            </w:pPr>
            <w:r w:rsidRPr="00A47998">
              <w:rPr>
                <w:rFonts w:eastAsia="Times New Roman" w:cs="Times New Roman"/>
                <w:color w:val="000000"/>
                <w:sz w:val="20"/>
                <w:lang w:eastAsia="sk-SK"/>
              </w:rPr>
              <w:t>28,9</w:t>
            </w:r>
          </w:p>
        </w:tc>
      </w:tr>
      <w:tr w:rsidR="008E166F" w:rsidRPr="00A47998" w14:paraId="3C394EC1" w14:textId="77777777" w:rsidTr="00DD25B0">
        <w:trPr>
          <w:trHeight w:val="300"/>
          <w:jc w:val="center"/>
        </w:trPr>
        <w:tc>
          <w:tcPr>
            <w:tcW w:w="5276" w:type="dxa"/>
            <w:tcBorders>
              <w:top w:val="nil"/>
              <w:left w:val="nil"/>
              <w:bottom w:val="nil"/>
            </w:tcBorders>
            <w:shd w:val="clear" w:color="auto" w:fill="auto"/>
            <w:noWrap/>
            <w:vAlign w:val="bottom"/>
            <w:hideMark/>
          </w:tcPr>
          <w:p w14:paraId="0F72C386" w14:textId="77777777" w:rsidR="008E166F" w:rsidRPr="0005060E" w:rsidRDefault="008E166F" w:rsidP="00B35CF6">
            <w:pPr>
              <w:spacing w:after="0" w:line="240" w:lineRule="auto"/>
              <w:jc w:val="left"/>
              <w:rPr>
                <w:rFonts w:eastAsia="Times New Roman" w:cs="Times New Roman"/>
                <w:bCs/>
                <w:color w:val="000000"/>
                <w:sz w:val="20"/>
                <w:lang w:eastAsia="sk-SK"/>
              </w:rPr>
            </w:pPr>
            <w:r w:rsidRPr="0005060E">
              <w:rPr>
                <w:rFonts w:eastAsia="Times New Roman" w:cs="Times New Roman"/>
                <w:bCs/>
                <w:color w:val="000000"/>
                <w:sz w:val="20"/>
                <w:lang w:eastAsia="sk-SK"/>
              </w:rPr>
              <w:t>Vývinové poruchy aktivity a pozornosti</w:t>
            </w:r>
          </w:p>
        </w:tc>
        <w:tc>
          <w:tcPr>
            <w:tcW w:w="1928" w:type="dxa"/>
            <w:tcBorders>
              <w:top w:val="nil"/>
              <w:bottom w:val="nil"/>
              <w:right w:val="nil"/>
            </w:tcBorders>
            <w:shd w:val="clear" w:color="auto" w:fill="auto"/>
            <w:noWrap/>
            <w:vAlign w:val="bottom"/>
            <w:hideMark/>
          </w:tcPr>
          <w:p w14:paraId="40C3A500" w14:textId="77777777" w:rsidR="008E166F" w:rsidRPr="00A47998" w:rsidRDefault="008E166F" w:rsidP="00574732">
            <w:pPr>
              <w:spacing w:after="0" w:line="240" w:lineRule="auto"/>
              <w:jc w:val="right"/>
              <w:rPr>
                <w:rFonts w:eastAsia="Times New Roman" w:cs="Times New Roman"/>
                <w:color w:val="000000"/>
                <w:sz w:val="20"/>
                <w:lang w:eastAsia="sk-SK"/>
              </w:rPr>
            </w:pPr>
            <w:r w:rsidRPr="00A47998">
              <w:rPr>
                <w:rFonts w:eastAsia="Times New Roman" w:cs="Times New Roman"/>
                <w:color w:val="000000"/>
                <w:sz w:val="20"/>
                <w:lang w:eastAsia="sk-SK"/>
              </w:rPr>
              <w:t>4 539</w:t>
            </w:r>
          </w:p>
        </w:tc>
        <w:tc>
          <w:tcPr>
            <w:tcW w:w="1928" w:type="dxa"/>
            <w:tcBorders>
              <w:top w:val="nil"/>
              <w:left w:val="nil"/>
              <w:bottom w:val="nil"/>
              <w:right w:val="nil"/>
            </w:tcBorders>
            <w:shd w:val="clear" w:color="auto" w:fill="auto"/>
            <w:noWrap/>
            <w:vAlign w:val="bottom"/>
            <w:hideMark/>
          </w:tcPr>
          <w:p w14:paraId="2C9DC91E" w14:textId="7CC110CA" w:rsidR="008E166F" w:rsidRPr="00A47998" w:rsidRDefault="008E166F" w:rsidP="00574732">
            <w:pPr>
              <w:spacing w:after="0" w:line="240" w:lineRule="auto"/>
              <w:jc w:val="right"/>
              <w:rPr>
                <w:rFonts w:eastAsia="Times New Roman" w:cs="Times New Roman"/>
                <w:color w:val="000000"/>
                <w:sz w:val="20"/>
                <w:lang w:eastAsia="sk-SK"/>
              </w:rPr>
            </w:pPr>
            <w:r w:rsidRPr="00A47998">
              <w:rPr>
                <w:rFonts w:eastAsia="Times New Roman" w:cs="Times New Roman"/>
                <w:color w:val="000000"/>
                <w:sz w:val="20"/>
                <w:lang w:eastAsia="sk-SK"/>
              </w:rPr>
              <w:t>8,8</w:t>
            </w:r>
          </w:p>
        </w:tc>
      </w:tr>
      <w:tr w:rsidR="008E166F" w:rsidRPr="00A47998" w14:paraId="005B7F26" w14:textId="77777777" w:rsidTr="00DD25B0">
        <w:trPr>
          <w:trHeight w:val="300"/>
          <w:jc w:val="center"/>
        </w:trPr>
        <w:tc>
          <w:tcPr>
            <w:tcW w:w="5276" w:type="dxa"/>
            <w:tcBorders>
              <w:top w:val="nil"/>
              <w:left w:val="nil"/>
              <w:bottom w:val="nil"/>
            </w:tcBorders>
            <w:shd w:val="clear" w:color="auto" w:fill="auto"/>
            <w:noWrap/>
            <w:vAlign w:val="bottom"/>
            <w:hideMark/>
          </w:tcPr>
          <w:p w14:paraId="7D8F0732" w14:textId="77777777" w:rsidR="008E166F" w:rsidRPr="0005060E" w:rsidRDefault="008E166F" w:rsidP="00B35CF6">
            <w:pPr>
              <w:spacing w:after="0" w:line="240" w:lineRule="auto"/>
              <w:jc w:val="left"/>
              <w:rPr>
                <w:rFonts w:eastAsia="Times New Roman" w:cs="Times New Roman"/>
                <w:bCs/>
                <w:color w:val="000000"/>
                <w:sz w:val="20"/>
                <w:lang w:eastAsia="sk-SK"/>
              </w:rPr>
            </w:pPr>
            <w:r w:rsidRPr="0005060E">
              <w:rPr>
                <w:rFonts w:eastAsia="Times New Roman" w:cs="Times New Roman"/>
                <w:bCs/>
                <w:color w:val="000000"/>
                <w:sz w:val="20"/>
                <w:lang w:eastAsia="sk-SK"/>
              </w:rPr>
              <w:t>Narušená komunikačná schopnosť</w:t>
            </w:r>
          </w:p>
        </w:tc>
        <w:tc>
          <w:tcPr>
            <w:tcW w:w="1928" w:type="dxa"/>
            <w:tcBorders>
              <w:top w:val="nil"/>
              <w:bottom w:val="nil"/>
              <w:right w:val="nil"/>
            </w:tcBorders>
            <w:shd w:val="clear" w:color="auto" w:fill="auto"/>
            <w:noWrap/>
            <w:vAlign w:val="bottom"/>
            <w:hideMark/>
          </w:tcPr>
          <w:p w14:paraId="7313F522" w14:textId="77777777" w:rsidR="008E166F" w:rsidRPr="00A47998" w:rsidRDefault="008E166F" w:rsidP="00574732">
            <w:pPr>
              <w:spacing w:after="0" w:line="240" w:lineRule="auto"/>
              <w:jc w:val="right"/>
              <w:rPr>
                <w:rFonts w:eastAsia="Times New Roman" w:cs="Times New Roman"/>
                <w:color w:val="000000"/>
                <w:sz w:val="20"/>
                <w:lang w:eastAsia="sk-SK"/>
              </w:rPr>
            </w:pPr>
            <w:r w:rsidRPr="00A47998">
              <w:rPr>
                <w:rFonts w:eastAsia="Times New Roman" w:cs="Times New Roman"/>
                <w:color w:val="000000"/>
                <w:sz w:val="20"/>
                <w:lang w:eastAsia="sk-SK"/>
              </w:rPr>
              <w:t>3 649</w:t>
            </w:r>
          </w:p>
        </w:tc>
        <w:tc>
          <w:tcPr>
            <w:tcW w:w="1928" w:type="dxa"/>
            <w:tcBorders>
              <w:top w:val="nil"/>
              <w:left w:val="nil"/>
              <w:bottom w:val="nil"/>
              <w:right w:val="nil"/>
            </w:tcBorders>
            <w:shd w:val="clear" w:color="auto" w:fill="auto"/>
            <w:noWrap/>
            <w:vAlign w:val="bottom"/>
            <w:hideMark/>
          </w:tcPr>
          <w:p w14:paraId="5FB00FD0" w14:textId="15AE2360" w:rsidR="008E166F" w:rsidRPr="00A47998" w:rsidRDefault="008E166F" w:rsidP="00574732">
            <w:pPr>
              <w:spacing w:after="0" w:line="240" w:lineRule="auto"/>
              <w:jc w:val="right"/>
              <w:rPr>
                <w:rFonts w:eastAsia="Times New Roman" w:cs="Times New Roman"/>
                <w:color w:val="000000"/>
                <w:sz w:val="20"/>
                <w:lang w:eastAsia="sk-SK"/>
              </w:rPr>
            </w:pPr>
            <w:r w:rsidRPr="00A47998">
              <w:rPr>
                <w:rFonts w:eastAsia="Times New Roman" w:cs="Times New Roman"/>
                <w:color w:val="000000"/>
                <w:sz w:val="20"/>
                <w:lang w:eastAsia="sk-SK"/>
              </w:rPr>
              <w:t>7,0</w:t>
            </w:r>
          </w:p>
        </w:tc>
      </w:tr>
      <w:tr w:rsidR="008E166F" w:rsidRPr="00A47998" w14:paraId="7786AA2A" w14:textId="77777777" w:rsidTr="00DD25B0">
        <w:trPr>
          <w:trHeight w:val="300"/>
          <w:jc w:val="center"/>
        </w:trPr>
        <w:tc>
          <w:tcPr>
            <w:tcW w:w="5276" w:type="dxa"/>
            <w:tcBorders>
              <w:top w:val="nil"/>
              <w:left w:val="nil"/>
              <w:bottom w:val="nil"/>
            </w:tcBorders>
            <w:shd w:val="clear" w:color="auto" w:fill="auto"/>
            <w:noWrap/>
            <w:vAlign w:val="bottom"/>
            <w:hideMark/>
          </w:tcPr>
          <w:p w14:paraId="51298D73" w14:textId="77777777" w:rsidR="008E166F" w:rsidRPr="0005060E" w:rsidRDefault="008E166F" w:rsidP="00B35CF6">
            <w:pPr>
              <w:spacing w:after="0" w:line="240" w:lineRule="auto"/>
              <w:jc w:val="left"/>
              <w:rPr>
                <w:rFonts w:eastAsia="Times New Roman" w:cs="Times New Roman"/>
                <w:bCs/>
                <w:color w:val="000000"/>
                <w:sz w:val="20"/>
                <w:lang w:eastAsia="sk-SK"/>
              </w:rPr>
            </w:pPr>
            <w:r w:rsidRPr="0005060E">
              <w:rPr>
                <w:rFonts w:eastAsia="Times New Roman" w:cs="Times New Roman"/>
                <w:bCs/>
                <w:color w:val="000000"/>
                <w:sz w:val="20"/>
                <w:lang w:eastAsia="sk-SK"/>
              </w:rPr>
              <w:t>Poruchy správania</w:t>
            </w:r>
          </w:p>
        </w:tc>
        <w:tc>
          <w:tcPr>
            <w:tcW w:w="1928" w:type="dxa"/>
            <w:tcBorders>
              <w:top w:val="nil"/>
              <w:bottom w:val="nil"/>
              <w:right w:val="nil"/>
            </w:tcBorders>
            <w:shd w:val="clear" w:color="auto" w:fill="auto"/>
            <w:noWrap/>
            <w:vAlign w:val="bottom"/>
            <w:hideMark/>
          </w:tcPr>
          <w:p w14:paraId="42245AE8" w14:textId="77777777" w:rsidR="008E166F" w:rsidRPr="00A47998" w:rsidRDefault="008E166F" w:rsidP="00574732">
            <w:pPr>
              <w:spacing w:after="0" w:line="240" w:lineRule="auto"/>
              <w:jc w:val="right"/>
              <w:rPr>
                <w:rFonts w:eastAsia="Times New Roman" w:cs="Times New Roman"/>
                <w:color w:val="000000"/>
                <w:sz w:val="20"/>
                <w:lang w:eastAsia="sk-SK"/>
              </w:rPr>
            </w:pPr>
            <w:r w:rsidRPr="00A47998">
              <w:rPr>
                <w:rFonts w:eastAsia="Times New Roman" w:cs="Times New Roman"/>
                <w:color w:val="000000"/>
                <w:sz w:val="20"/>
                <w:lang w:eastAsia="sk-SK"/>
              </w:rPr>
              <w:t>930</w:t>
            </w:r>
          </w:p>
        </w:tc>
        <w:tc>
          <w:tcPr>
            <w:tcW w:w="1928" w:type="dxa"/>
            <w:tcBorders>
              <w:top w:val="nil"/>
              <w:left w:val="nil"/>
              <w:bottom w:val="nil"/>
              <w:right w:val="nil"/>
            </w:tcBorders>
            <w:shd w:val="clear" w:color="auto" w:fill="auto"/>
            <w:noWrap/>
            <w:vAlign w:val="bottom"/>
            <w:hideMark/>
          </w:tcPr>
          <w:p w14:paraId="07C04E40" w14:textId="548FD571" w:rsidR="008E166F" w:rsidRPr="00A47998" w:rsidRDefault="008E166F" w:rsidP="00574732">
            <w:pPr>
              <w:spacing w:after="0" w:line="240" w:lineRule="auto"/>
              <w:jc w:val="right"/>
              <w:rPr>
                <w:rFonts w:eastAsia="Times New Roman" w:cs="Times New Roman"/>
                <w:color w:val="000000"/>
                <w:sz w:val="20"/>
                <w:lang w:eastAsia="sk-SK"/>
              </w:rPr>
            </w:pPr>
            <w:r w:rsidRPr="00A47998">
              <w:rPr>
                <w:rFonts w:eastAsia="Times New Roman" w:cs="Times New Roman"/>
                <w:color w:val="000000"/>
                <w:sz w:val="20"/>
                <w:lang w:eastAsia="sk-SK"/>
              </w:rPr>
              <w:t>1,8</w:t>
            </w:r>
          </w:p>
        </w:tc>
      </w:tr>
      <w:tr w:rsidR="008E166F" w:rsidRPr="00A47998" w14:paraId="07525D0C" w14:textId="77777777" w:rsidTr="00DD25B0">
        <w:trPr>
          <w:trHeight w:val="300"/>
          <w:jc w:val="center"/>
        </w:trPr>
        <w:tc>
          <w:tcPr>
            <w:tcW w:w="5276" w:type="dxa"/>
            <w:tcBorders>
              <w:top w:val="nil"/>
              <w:left w:val="nil"/>
              <w:bottom w:val="nil"/>
            </w:tcBorders>
            <w:shd w:val="clear" w:color="auto" w:fill="auto"/>
            <w:noWrap/>
            <w:vAlign w:val="bottom"/>
            <w:hideMark/>
          </w:tcPr>
          <w:p w14:paraId="043B00F3" w14:textId="77777777" w:rsidR="008E166F" w:rsidRPr="0005060E" w:rsidRDefault="008E166F" w:rsidP="00B35CF6">
            <w:pPr>
              <w:spacing w:after="0" w:line="240" w:lineRule="auto"/>
              <w:jc w:val="left"/>
              <w:rPr>
                <w:rFonts w:eastAsia="Times New Roman" w:cs="Times New Roman"/>
                <w:bCs/>
                <w:color w:val="000000"/>
                <w:sz w:val="20"/>
                <w:lang w:eastAsia="sk-SK"/>
              </w:rPr>
            </w:pPr>
            <w:r w:rsidRPr="0005060E">
              <w:rPr>
                <w:rFonts w:eastAsia="Times New Roman" w:cs="Times New Roman"/>
                <w:bCs/>
                <w:color w:val="000000"/>
                <w:sz w:val="20"/>
                <w:lang w:eastAsia="sk-SK"/>
              </w:rPr>
              <w:t>Autizmus</w:t>
            </w:r>
          </w:p>
        </w:tc>
        <w:tc>
          <w:tcPr>
            <w:tcW w:w="1928" w:type="dxa"/>
            <w:tcBorders>
              <w:top w:val="nil"/>
              <w:bottom w:val="nil"/>
              <w:right w:val="nil"/>
            </w:tcBorders>
            <w:shd w:val="clear" w:color="auto" w:fill="auto"/>
            <w:noWrap/>
            <w:vAlign w:val="bottom"/>
            <w:hideMark/>
          </w:tcPr>
          <w:p w14:paraId="66A02F22" w14:textId="77777777" w:rsidR="008E166F" w:rsidRPr="00A47998" w:rsidRDefault="008E166F" w:rsidP="00574732">
            <w:pPr>
              <w:spacing w:after="0" w:line="240" w:lineRule="auto"/>
              <w:jc w:val="right"/>
              <w:rPr>
                <w:rFonts w:eastAsia="Times New Roman" w:cs="Times New Roman"/>
                <w:color w:val="000000"/>
                <w:sz w:val="20"/>
                <w:lang w:eastAsia="sk-SK"/>
              </w:rPr>
            </w:pPr>
            <w:r w:rsidRPr="00A47998">
              <w:rPr>
                <w:rFonts w:eastAsia="Times New Roman" w:cs="Times New Roman"/>
                <w:color w:val="000000"/>
                <w:sz w:val="20"/>
                <w:lang w:eastAsia="sk-SK"/>
              </w:rPr>
              <w:t>743</w:t>
            </w:r>
          </w:p>
        </w:tc>
        <w:tc>
          <w:tcPr>
            <w:tcW w:w="1928" w:type="dxa"/>
            <w:tcBorders>
              <w:top w:val="nil"/>
              <w:left w:val="nil"/>
              <w:bottom w:val="nil"/>
              <w:right w:val="nil"/>
            </w:tcBorders>
            <w:shd w:val="clear" w:color="auto" w:fill="auto"/>
            <w:noWrap/>
            <w:vAlign w:val="bottom"/>
            <w:hideMark/>
          </w:tcPr>
          <w:p w14:paraId="2A3D28C8" w14:textId="2CFC3967" w:rsidR="008E166F" w:rsidRPr="00A47998" w:rsidRDefault="008E166F" w:rsidP="00574732">
            <w:pPr>
              <w:spacing w:after="0" w:line="240" w:lineRule="auto"/>
              <w:jc w:val="right"/>
              <w:rPr>
                <w:rFonts w:eastAsia="Times New Roman" w:cs="Times New Roman"/>
                <w:color w:val="000000"/>
                <w:sz w:val="20"/>
                <w:lang w:eastAsia="sk-SK"/>
              </w:rPr>
            </w:pPr>
            <w:r w:rsidRPr="00A47998">
              <w:rPr>
                <w:rFonts w:eastAsia="Times New Roman" w:cs="Times New Roman"/>
                <w:color w:val="000000"/>
                <w:sz w:val="20"/>
                <w:lang w:eastAsia="sk-SK"/>
              </w:rPr>
              <w:t>1,4</w:t>
            </w:r>
          </w:p>
        </w:tc>
      </w:tr>
      <w:tr w:rsidR="008E166F" w:rsidRPr="00A47998" w14:paraId="15B8C3CD" w14:textId="77777777" w:rsidTr="00DD25B0">
        <w:trPr>
          <w:trHeight w:val="300"/>
          <w:jc w:val="center"/>
        </w:trPr>
        <w:tc>
          <w:tcPr>
            <w:tcW w:w="5276" w:type="dxa"/>
            <w:tcBorders>
              <w:top w:val="nil"/>
              <w:left w:val="nil"/>
              <w:bottom w:val="nil"/>
            </w:tcBorders>
            <w:shd w:val="clear" w:color="auto" w:fill="auto"/>
            <w:noWrap/>
            <w:vAlign w:val="bottom"/>
            <w:hideMark/>
          </w:tcPr>
          <w:p w14:paraId="7DC84768" w14:textId="77777777" w:rsidR="008E166F" w:rsidRPr="0005060E" w:rsidRDefault="008E166F" w:rsidP="00B35CF6">
            <w:pPr>
              <w:spacing w:after="0" w:line="240" w:lineRule="auto"/>
              <w:jc w:val="left"/>
              <w:rPr>
                <w:rFonts w:eastAsia="Times New Roman" w:cs="Times New Roman"/>
                <w:bCs/>
                <w:color w:val="000000"/>
                <w:sz w:val="20"/>
                <w:lang w:eastAsia="sk-SK"/>
              </w:rPr>
            </w:pPr>
            <w:r w:rsidRPr="0005060E">
              <w:rPr>
                <w:rFonts w:eastAsia="Times New Roman" w:cs="Times New Roman"/>
                <w:bCs/>
                <w:color w:val="000000"/>
                <w:sz w:val="20"/>
                <w:lang w:eastAsia="sk-SK"/>
              </w:rPr>
              <w:t>Telesné postihnutie</w:t>
            </w:r>
          </w:p>
        </w:tc>
        <w:tc>
          <w:tcPr>
            <w:tcW w:w="1928" w:type="dxa"/>
            <w:tcBorders>
              <w:top w:val="nil"/>
              <w:bottom w:val="nil"/>
              <w:right w:val="nil"/>
            </w:tcBorders>
            <w:shd w:val="clear" w:color="auto" w:fill="auto"/>
            <w:noWrap/>
            <w:vAlign w:val="bottom"/>
            <w:hideMark/>
          </w:tcPr>
          <w:p w14:paraId="07686DE0" w14:textId="77777777" w:rsidR="008E166F" w:rsidRPr="00A47998" w:rsidRDefault="008E166F" w:rsidP="00574732">
            <w:pPr>
              <w:spacing w:after="0" w:line="240" w:lineRule="auto"/>
              <w:jc w:val="right"/>
              <w:rPr>
                <w:rFonts w:eastAsia="Times New Roman" w:cs="Times New Roman"/>
                <w:color w:val="000000"/>
                <w:sz w:val="20"/>
                <w:lang w:eastAsia="sk-SK"/>
              </w:rPr>
            </w:pPr>
            <w:r w:rsidRPr="00A47998">
              <w:rPr>
                <w:rFonts w:eastAsia="Times New Roman" w:cs="Times New Roman"/>
                <w:color w:val="000000"/>
                <w:sz w:val="20"/>
                <w:lang w:eastAsia="sk-SK"/>
              </w:rPr>
              <w:t>714</w:t>
            </w:r>
          </w:p>
        </w:tc>
        <w:tc>
          <w:tcPr>
            <w:tcW w:w="1928" w:type="dxa"/>
            <w:tcBorders>
              <w:top w:val="nil"/>
              <w:left w:val="nil"/>
              <w:bottom w:val="nil"/>
              <w:right w:val="nil"/>
            </w:tcBorders>
            <w:shd w:val="clear" w:color="auto" w:fill="auto"/>
            <w:noWrap/>
            <w:vAlign w:val="bottom"/>
            <w:hideMark/>
          </w:tcPr>
          <w:p w14:paraId="4C4BDF0D" w14:textId="6332E6BA" w:rsidR="008E166F" w:rsidRPr="00A47998" w:rsidRDefault="008E166F" w:rsidP="00574732">
            <w:pPr>
              <w:spacing w:after="0" w:line="240" w:lineRule="auto"/>
              <w:jc w:val="right"/>
              <w:rPr>
                <w:rFonts w:eastAsia="Times New Roman" w:cs="Times New Roman"/>
                <w:color w:val="000000"/>
                <w:sz w:val="20"/>
                <w:lang w:eastAsia="sk-SK"/>
              </w:rPr>
            </w:pPr>
            <w:r w:rsidRPr="00A47998">
              <w:rPr>
                <w:rFonts w:eastAsia="Times New Roman" w:cs="Times New Roman"/>
                <w:color w:val="000000"/>
                <w:sz w:val="20"/>
                <w:lang w:eastAsia="sk-SK"/>
              </w:rPr>
              <w:t>1,4</w:t>
            </w:r>
          </w:p>
        </w:tc>
      </w:tr>
      <w:tr w:rsidR="008E166F" w:rsidRPr="00A47998" w14:paraId="61149E54" w14:textId="77777777" w:rsidTr="00DD25B0">
        <w:trPr>
          <w:trHeight w:val="300"/>
          <w:jc w:val="center"/>
        </w:trPr>
        <w:tc>
          <w:tcPr>
            <w:tcW w:w="5276" w:type="dxa"/>
            <w:tcBorders>
              <w:top w:val="nil"/>
              <w:left w:val="nil"/>
              <w:bottom w:val="nil"/>
            </w:tcBorders>
            <w:shd w:val="clear" w:color="auto" w:fill="auto"/>
            <w:noWrap/>
            <w:vAlign w:val="bottom"/>
            <w:hideMark/>
          </w:tcPr>
          <w:p w14:paraId="6C3C4D49" w14:textId="77777777" w:rsidR="008E166F" w:rsidRPr="0005060E" w:rsidRDefault="008E166F" w:rsidP="00B35CF6">
            <w:pPr>
              <w:spacing w:after="0" w:line="240" w:lineRule="auto"/>
              <w:jc w:val="left"/>
              <w:rPr>
                <w:rFonts w:eastAsia="Times New Roman" w:cs="Times New Roman"/>
                <w:bCs/>
                <w:color w:val="000000"/>
                <w:sz w:val="20"/>
                <w:lang w:eastAsia="sk-SK"/>
              </w:rPr>
            </w:pPr>
            <w:r w:rsidRPr="0005060E">
              <w:rPr>
                <w:rFonts w:eastAsia="Times New Roman" w:cs="Times New Roman"/>
                <w:bCs/>
                <w:color w:val="000000"/>
                <w:sz w:val="20"/>
                <w:lang w:eastAsia="sk-SK"/>
              </w:rPr>
              <w:t>Sluchové postihnutie</w:t>
            </w:r>
          </w:p>
        </w:tc>
        <w:tc>
          <w:tcPr>
            <w:tcW w:w="1928" w:type="dxa"/>
            <w:tcBorders>
              <w:top w:val="nil"/>
              <w:bottom w:val="nil"/>
              <w:right w:val="nil"/>
            </w:tcBorders>
            <w:shd w:val="clear" w:color="auto" w:fill="auto"/>
            <w:noWrap/>
            <w:vAlign w:val="bottom"/>
            <w:hideMark/>
          </w:tcPr>
          <w:p w14:paraId="606DE41A" w14:textId="77777777" w:rsidR="008E166F" w:rsidRPr="00A47998" w:rsidRDefault="008E166F" w:rsidP="00574732">
            <w:pPr>
              <w:spacing w:after="0" w:line="240" w:lineRule="auto"/>
              <w:jc w:val="right"/>
              <w:rPr>
                <w:rFonts w:eastAsia="Times New Roman" w:cs="Times New Roman"/>
                <w:color w:val="000000"/>
                <w:sz w:val="20"/>
                <w:lang w:eastAsia="sk-SK"/>
              </w:rPr>
            </w:pPr>
            <w:r w:rsidRPr="00A47998">
              <w:rPr>
                <w:rFonts w:eastAsia="Times New Roman" w:cs="Times New Roman"/>
                <w:color w:val="000000"/>
                <w:sz w:val="20"/>
                <w:lang w:eastAsia="sk-SK"/>
              </w:rPr>
              <w:t>673</w:t>
            </w:r>
          </w:p>
        </w:tc>
        <w:tc>
          <w:tcPr>
            <w:tcW w:w="1928" w:type="dxa"/>
            <w:tcBorders>
              <w:top w:val="nil"/>
              <w:left w:val="nil"/>
              <w:bottom w:val="nil"/>
              <w:right w:val="nil"/>
            </w:tcBorders>
            <w:shd w:val="clear" w:color="auto" w:fill="auto"/>
            <w:noWrap/>
            <w:vAlign w:val="bottom"/>
            <w:hideMark/>
          </w:tcPr>
          <w:p w14:paraId="72D49993" w14:textId="32CA6442" w:rsidR="008E166F" w:rsidRPr="00A47998" w:rsidRDefault="008E166F" w:rsidP="00574732">
            <w:pPr>
              <w:spacing w:after="0" w:line="240" w:lineRule="auto"/>
              <w:jc w:val="right"/>
              <w:rPr>
                <w:rFonts w:eastAsia="Times New Roman" w:cs="Times New Roman"/>
                <w:color w:val="000000"/>
                <w:sz w:val="20"/>
                <w:lang w:eastAsia="sk-SK"/>
              </w:rPr>
            </w:pPr>
            <w:r w:rsidRPr="00A47998">
              <w:rPr>
                <w:rFonts w:eastAsia="Times New Roman" w:cs="Times New Roman"/>
                <w:color w:val="000000"/>
                <w:sz w:val="20"/>
                <w:lang w:eastAsia="sk-SK"/>
              </w:rPr>
              <w:t>1,3</w:t>
            </w:r>
          </w:p>
        </w:tc>
      </w:tr>
      <w:tr w:rsidR="008E166F" w:rsidRPr="00A47998" w14:paraId="351C3FE0" w14:textId="77777777" w:rsidTr="00DD25B0">
        <w:trPr>
          <w:trHeight w:val="300"/>
          <w:jc w:val="center"/>
        </w:trPr>
        <w:tc>
          <w:tcPr>
            <w:tcW w:w="5276" w:type="dxa"/>
            <w:tcBorders>
              <w:top w:val="nil"/>
              <w:left w:val="nil"/>
              <w:bottom w:val="nil"/>
            </w:tcBorders>
            <w:shd w:val="clear" w:color="auto" w:fill="auto"/>
            <w:noWrap/>
            <w:vAlign w:val="bottom"/>
            <w:hideMark/>
          </w:tcPr>
          <w:p w14:paraId="6F0AD527" w14:textId="77777777" w:rsidR="008E166F" w:rsidRPr="0005060E" w:rsidRDefault="008E166F" w:rsidP="00B35CF6">
            <w:pPr>
              <w:spacing w:after="0" w:line="240" w:lineRule="auto"/>
              <w:jc w:val="left"/>
              <w:rPr>
                <w:rFonts w:eastAsia="Times New Roman" w:cs="Times New Roman"/>
                <w:bCs/>
                <w:color w:val="000000"/>
                <w:sz w:val="20"/>
                <w:lang w:eastAsia="sk-SK"/>
              </w:rPr>
            </w:pPr>
            <w:r w:rsidRPr="0005060E">
              <w:rPr>
                <w:rFonts w:eastAsia="Times New Roman" w:cs="Times New Roman"/>
                <w:bCs/>
                <w:color w:val="000000"/>
                <w:sz w:val="20"/>
                <w:lang w:eastAsia="sk-SK"/>
              </w:rPr>
              <w:t>Viacnásobné postihnutie</w:t>
            </w:r>
          </w:p>
        </w:tc>
        <w:tc>
          <w:tcPr>
            <w:tcW w:w="1928" w:type="dxa"/>
            <w:tcBorders>
              <w:top w:val="nil"/>
              <w:bottom w:val="nil"/>
              <w:right w:val="nil"/>
            </w:tcBorders>
            <w:shd w:val="clear" w:color="auto" w:fill="auto"/>
            <w:noWrap/>
            <w:vAlign w:val="bottom"/>
            <w:hideMark/>
          </w:tcPr>
          <w:p w14:paraId="0DA034CE" w14:textId="77777777" w:rsidR="008E166F" w:rsidRPr="00A47998" w:rsidRDefault="008E166F" w:rsidP="00574732">
            <w:pPr>
              <w:spacing w:after="0" w:line="240" w:lineRule="auto"/>
              <w:jc w:val="right"/>
              <w:rPr>
                <w:rFonts w:eastAsia="Times New Roman" w:cs="Times New Roman"/>
                <w:color w:val="000000"/>
                <w:sz w:val="20"/>
                <w:lang w:eastAsia="sk-SK"/>
              </w:rPr>
            </w:pPr>
            <w:r w:rsidRPr="00A47998">
              <w:rPr>
                <w:rFonts w:eastAsia="Times New Roman" w:cs="Times New Roman"/>
                <w:color w:val="000000"/>
                <w:sz w:val="20"/>
                <w:lang w:eastAsia="sk-SK"/>
              </w:rPr>
              <w:t>450</w:t>
            </w:r>
          </w:p>
        </w:tc>
        <w:tc>
          <w:tcPr>
            <w:tcW w:w="1928" w:type="dxa"/>
            <w:tcBorders>
              <w:top w:val="nil"/>
              <w:left w:val="nil"/>
              <w:bottom w:val="nil"/>
              <w:right w:val="nil"/>
            </w:tcBorders>
            <w:shd w:val="clear" w:color="auto" w:fill="auto"/>
            <w:noWrap/>
            <w:vAlign w:val="bottom"/>
            <w:hideMark/>
          </w:tcPr>
          <w:p w14:paraId="56166B39" w14:textId="19750707" w:rsidR="008E166F" w:rsidRPr="00A47998" w:rsidRDefault="008E166F" w:rsidP="00574732">
            <w:pPr>
              <w:spacing w:after="0" w:line="240" w:lineRule="auto"/>
              <w:jc w:val="right"/>
              <w:rPr>
                <w:rFonts w:eastAsia="Times New Roman" w:cs="Times New Roman"/>
                <w:color w:val="000000"/>
                <w:sz w:val="20"/>
                <w:lang w:eastAsia="sk-SK"/>
              </w:rPr>
            </w:pPr>
            <w:r w:rsidRPr="00A47998">
              <w:rPr>
                <w:rFonts w:eastAsia="Times New Roman" w:cs="Times New Roman"/>
                <w:color w:val="000000"/>
                <w:sz w:val="20"/>
                <w:lang w:eastAsia="sk-SK"/>
              </w:rPr>
              <w:t>0,9</w:t>
            </w:r>
          </w:p>
        </w:tc>
      </w:tr>
      <w:tr w:rsidR="008E166F" w:rsidRPr="00A47998" w14:paraId="6E4B8EFD" w14:textId="77777777" w:rsidTr="00DD25B0">
        <w:trPr>
          <w:trHeight w:val="300"/>
          <w:jc w:val="center"/>
        </w:trPr>
        <w:tc>
          <w:tcPr>
            <w:tcW w:w="5276" w:type="dxa"/>
            <w:tcBorders>
              <w:top w:val="nil"/>
              <w:left w:val="nil"/>
            </w:tcBorders>
            <w:shd w:val="clear" w:color="auto" w:fill="auto"/>
            <w:noWrap/>
            <w:vAlign w:val="bottom"/>
            <w:hideMark/>
          </w:tcPr>
          <w:p w14:paraId="17CB49DF" w14:textId="77777777" w:rsidR="008E166F" w:rsidRPr="0005060E" w:rsidRDefault="008E166F" w:rsidP="00B35CF6">
            <w:pPr>
              <w:spacing w:after="0" w:line="240" w:lineRule="auto"/>
              <w:jc w:val="left"/>
              <w:rPr>
                <w:rFonts w:eastAsia="Times New Roman" w:cs="Times New Roman"/>
                <w:bCs/>
                <w:color w:val="000000"/>
                <w:sz w:val="20"/>
                <w:lang w:eastAsia="sk-SK"/>
              </w:rPr>
            </w:pPr>
            <w:r w:rsidRPr="0005060E">
              <w:rPr>
                <w:rFonts w:eastAsia="Times New Roman" w:cs="Times New Roman"/>
                <w:bCs/>
                <w:color w:val="000000"/>
                <w:sz w:val="20"/>
                <w:lang w:eastAsia="sk-SK"/>
              </w:rPr>
              <w:t>Zrakové postihnutie</w:t>
            </w:r>
          </w:p>
        </w:tc>
        <w:tc>
          <w:tcPr>
            <w:tcW w:w="1928" w:type="dxa"/>
            <w:tcBorders>
              <w:top w:val="nil"/>
              <w:right w:val="nil"/>
            </w:tcBorders>
            <w:shd w:val="clear" w:color="auto" w:fill="auto"/>
            <w:noWrap/>
            <w:vAlign w:val="bottom"/>
            <w:hideMark/>
          </w:tcPr>
          <w:p w14:paraId="6CDDAD27" w14:textId="77777777" w:rsidR="008E166F" w:rsidRPr="00A47998" w:rsidRDefault="008E166F" w:rsidP="00574732">
            <w:pPr>
              <w:spacing w:after="0" w:line="240" w:lineRule="auto"/>
              <w:jc w:val="right"/>
              <w:rPr>
                <w:rFonts w:eastAsia="Times New Roman" w:cs="Times New Roman"/>
                <w:color w:val="000000"/>
                <w:sz w:val="20"/>
                <w:lang w:eastAsia="sk-SK"/>
              </w:rPr>
            </w:pPr>
            <w:r w:rsidRPr="00A47998">
              <w:rPr>
                <w:rFonts w:eastAsia="Times New Roman" w:cs="Times New Roman"/>
                <w:color w:val="000000"/>
                <w:sz w:val="20"/>
                <w:lang w:eastAsia="sk-SK"/>
              </w:rPr>
              <w:t>394</w:t>
            </w:r>
          </w:p>
        </w:tc>
        <w:tc>
          <w:tcPr>
            <w:tcW w:w="1928" w:type="dxa"/>
            <w:tcBorders>
              <w:top w:val="nil"/>
              <w:left w:val="nil"/>
              <w:right w:val="nil"/>
            </w:tcBorders>
            <w:shd w:val="clear" w:color="auto" w:fill="auto"/>
            <w:noWrap/>
            <w:vAlign w:val="bottom"/>
            <w:hideMark/>
          </w:tcPr>
          <w:p w14:paraId="0F489367" w14:textId="399B6339" w:rsidR="008E166F" w:rsidRPr="00A47998" w:rsidRDefault="008E166F" w:rsidP="00574732">
            <w:pPr>
              <w:spacing w:after="0" w:line="240" w:lineRule="auto"/>
              <w:jc w:val="right"/>
              <w:rPr>
                <w:rFonts w:eastAsia="Times New Roman" w:cs="Times New Roman"/>
                <w:color w:val="000000"/>
                <w:sz w:val="20"/>
                <w:lang w:eastAsia="sk-SK"/>
              </w:rPr>
            </w:pPr>
            <w:r w:rsidRPr="00A47998">
              <w:rPr>
                <w:rFonts w:eastAsia="Times New Roman" w:cs="Times New Roman"/>
                <w:color w:val="000000"/>
                <w:sz w:val="20"/>
                <w:lang w:eastAsia="sk-SK"/>
              </w:rPr>
              <w:t>0,8</w:t>
            </w:r>
          </w:p>
        </w:tc>
      </w:tr>
      <w:tr w:rsidR="008E166F" w:rsidRPr="00A47998" w14:paraId="56E10E87" w14:textId="77777777" w:rsidTr="00DD25B0">
        <w:trPr>
          <w:trHeight w:val="300"/>
          <w:jc w:val="center"/>
        </w:trPr>
        <w:tc>
          <w:tcPr>
            <w:tcW w:w="5276" w:type="dxa"/>
            <w:tcBorders>
              <w:top w:val="nil"/>
              <w:left w:val="nil"/>
              <w:bottom w:val="single" w:sz="4" w:space="0" w:color="auto"/>
            </w:tcBorders>
            <w:shd w:val="clear" w:color="auto" w:fill="auto"/>
            <w:noWrap/>
            <w:vAlign w:val="bottom"/>
            <w:hideMark/>
          </w:tcPr>
          <w:p w14:paraId="63B95F11" w14:textId="77777777" w:rsidR="008E166F" w:rsidRPr="0005060E" w:rsidRDefault="008E166F" w:rsidP="00B35CF6">
            <w:pPr>
              <w:spacing w:after="0" w:line="240" w:lineRule="auto"/>
              <w:jc w:val="left"/>
              <w:rPr>
                <w:rFonts w:eastAsia="Times New Roman" w:cs="Times New Roman"/>
                <w:bCs/>
                <w:color w:val="000000"/>
                <w:sz w:val="20"/>
                <w:lang w:eastAsia="sk-SK"/>
              </w:rPr>
            </w:pPr>
            <w:r w:rsidRPr="0005060E">
              <w:rPr>
                <w:rFonts w:eastAsia="Times New Roman" w:cs="Times New Roman"/>
                <w:bCs/>
                <w:color w:val="000000"/>
                <w:sz w:val="20"/>
                <w:lang w:eastAsia="sk-SK"/>
              </w:rPr>
              <w:t>Chorí a zdravotne oslabení</w:t>
            </w:r>
          </w:p>
        </w:tc>
        <w:tc>
          <w:tcPr>
            <w:tcW w:w="1928" w:type="dxa"/>
            <w:tcBorders>
              <w:top w:val="nil"/>
              <w:bottom w:val="single" w:sz="4" w:space="0" w:color="auto"/>
              <w:right w:val="nil"/>
            </w:tcBorders>
            <w:shd w:val="clear" w:color="auto" w:fill="auto"/>
            <w:noWrap/>
            <w:vAlign w:val="bottom"/>
            <w:hideMark/>
          </w:tcPr>
          <w:p w14:paraId="59810363" w14:textId="77777777" w:rsidR="008E166F" w:rsidRPr="00A47998" w:rsidRDefault="008E166F" w:rsidP="00574732">
            <w:pPr>
              <w:spacing w:after="0" w:line="240" w:lineRule="auto"/>
              <w:jc w:val="right"/>
              <w:rPr>
                <w:rFonts w:eastAsia="Times New Roman" w:cs="Times New Roman"/>
                <w:color w:val="000000"/>
                <w:sz w:val="20"/>
                <w:lang w:eastAsia="sk-SK"/>
              </w:rPr>
            </w:pPr>
            <w:r w:rsidRPr="00A47998">
              <w:rPr>
                <w:rFonts w:eastAsia="Times New Roman" w:cs="Times New Roman"/>
                <w:color w:val="000000"/>
                <w:sz w:val="20"/>
                <w:lang w:eastAsia="sk-SK"/>
              </w:rPr>
              <w:t>361</w:t>
            </w:r>
          </w:p>
        </w:tc>
        <w:tc>
          <w:tcPr>
            <w:tcW w:w="1928" w:type="dxa"/>
            <w:tcBorders>
              <w:top w:val="nil"/>
              <w:left w:val="nil"/>
              <w:bottom w:val="single" w:sz="4" w:space="0" w:color="auto"/>
              <w:right w:val="nil"/>
            </w:tcBorders>
            <w:shd w:val="clear" w:color="auto" w:fill="auto"/>
            <w:noWrap/>
            <w:vAlign w:val="bottom"/>
            <w:hideMark/>
          </w:tcPr>
          <w:p w14:paraId="456BE29A" w14:textId="193A46B8" w:rsidR="008E166F" w:rsidRPr="00A47998" w:rsidRDefault="008E166F" w:rsidP="00574732">
            <w:pPr>
              <w:spacing w:after="0" w:line="240" w:lineRule="auto"/>
              <w:jc w:val="right"/>
              <w:rPr>
                <w:rFonts w:eastAsia="Times New Roman" w:cs="Times New Roman"/>
                <w:color w:val="000000"/>
                <w:sz w:val="20"/>
                <w:lang w:eastAsia="sk-SK"/>
              </w:rPr>
            </w:pPr>
            <w:r w:rsidRPr="00A47998">
              <w:rPr>
                <w:rFonts w:eastAsia="Times New Roman" w:cs="Times New Roman"/>
                <w:color w:val="000000"/>
                <w:sz w:val="20"/>
                <w:lang w:eastAsia="sk-SK"/>
              </w:rPr>
              <w:t>0,7</w:t>
            </w:r>
          </w:p>
        </w:tc>
      </w:tr>
      <w:tr w:rsidR="008E166F" w:rsidRPr="00A47998" w14:paraId="22594002" w14:textId="77777777" w:rsidTr="00DD25B0">
        <w:trPr>
          <w:trHeight w:val="300"/>
          <w:jc w:val="center"/>
        </w:trPr>
        <w:tc>
          <w:tcPr>
            <w:tcW w:w="5276" w:type="dxa"/>
            <w:tcBorders>
              <w:top w:val="single" w:sz="4" w:space="0" w:color="auto"/>
              <w:left w:val="nil"/>
              <w:bottom w:val="single" w:sz="4" w:space="0" w:color="auto"/>
            </w:tcBorders>
            <w:shd w:val="clear" w:color="auto" w:fill="auto"/>
            <w:noWrap/>
            <w:vAlign w:val="bottom"/>
            <w:hideMark/>
          </w:tcPr>
          <w:p w14:paraId="12F7300E" w14:textId="77777777" w:rsidR="008E166F" w:rsidRPr="00A47998" w:rsidRDefault="008E166F" w:rsidP="00B35CF6">
            <w:pPr>
              <w:spacing w:after="0" w:line="240" w:lineRule="auto"/>
              <w:jc w:val="left"/>
              <w:rPr>
                <w:rFonts w:eastAsia="Times New Roman" w:cs="Times New Roman"/>
                <w:b/>
                <w:bCs/>
                <w:color w:val="000000"/>
                <w:sz w:val="20"/>
                <w:lang w:eastAsia="sk-SK"/>
              </w:rPr>
            </w:pPr>
            <w:r w:rsidRPr="00A47998">
              <w:rPr>
                <w:rFonts w:eastAsia="Times New Roman" w:cs="Times New Roman"/>
                <w:b/>
                <w:bCs/>
                <w:color w:val="000000"/>
                <w:sz w:val="20"/>
                <w:lang w:eastAsia="sk-SK"/>
              </w:rPr>
              <w:t>SPOLU</w:t>
            </w:r>
          </w:p>
        </w:tc>
        <w:tc>
          <w:tcPr>
            <w:tcW w:w="1928" w:type="dxa"/>
            <w:tcBorders>
              <w:top w:val="single" w:sz="4" w:space="0" w:color="auto"/>
              <w:bottom w:val="single" w:sz="4" w:space="0" w:color="auto"/>
              <w:right w:val="nil"/>
            </w:tcBorders>
            <w:shd w:val="clear" w:color="auto" w:fill="auto"/>
            <w:noWrap/>
            <w:vAlign w:val="bottom"/>
            <w:hideMark/>
          </w:tcPr>
          <w:p w14:paraId="2FFB48DA" w14:textId="77777777" w:rsidR="008E166F" w:rsidRPr="00A47998" w:rsidRDefault="008E166F" w:rsidP="00574732">
            <w:pPr>
              <w:spacing w:after="0" w:line="240" w:lineRule="auto"/>
              <w:jc w:val="right"/>
              <w:rPr>
                <w:rFonts w:eastAsia="Times New Roman" w:cs="Times New Roman"/>
                <w:b/>
                <w:bCs/>
                <w:color w:val="000000"/>
                <w:sz w:val="20"/>
                <w:lang w:eastAsia="sk-SK"/>
              </w:rPr>
            </w:pPr>
            <w:r w:rsidRPr="00A47998">
              <w:rPr>
                <w:rFonts w:eastAsia="Times New Roman" w:cs="Times New Roman"/>
                <w:b/>
                <w:bCs/>
                <w:color w:val="000000"/>
                <w:sz w:val="20"/>
                <w:lang w:eastAsia="sk-SK"/>
              </w:rPr>
              <w:t>51 869</w:t>
            </w:r>
          </w:p>
        </w:tc>
        <w:tc>
          <w:tcPr>
            <w:tcW w:w="1928" w:type="dxa"/>
            <w:tcBorders>
              <w:top w:val="single" w:sz="4" w:space="0" w:color="auto"/>
              <w:left w:val="nil"/>
              <w:bottom w:val="single" w:sz="4" w:space="0" w:color="auto"/>
              <w:right w:val="nil"/>
            </w:tcBorders>
            <w:shd w:val="clear" w:color="auto" w:fill="auto"/>
            <w:noWrap/>
            <w:vAlign w:val="bottom"/>
            <w:hideMark/>
          </w:tcPr>
          <w:p w14:paraId="56269CC6" w14:textId="6BB7BF7B" w:rsidR="008E166F" w:rsidRPr="00A47998" w:rsidRDefault="008E166F" w:rsidP="00574732">
            <w:pPr>
              <w:spacing w:after="0" w:line="240" w:lineRule="auto"/>
              <w:jc w:val="right"/>
              <w:rPr>
                <w:rFonts w:eastAsia="Times New Roman" w:cs="Times New Roman"/>
                <w:b/>
                <w:bCs/>
                <w:color w:val="000000"/>
                <w:sz w:val="20"/>
                <w:lang w:eastAsia="sk-SK"/>
              </w:rPr>
            </w:pPr>
            <w:r w:rsidRPr="00A47998">
              <w:rPr>
                <w:rFonts w:eastAsia="Times New Roman" w:cs="Times New Roman"/>
                <w:b/>
                <w:bCs/>
                <w:color w:val="000000"/>
                <w:sz w:val="20"/>
                <w:lang w:eastAsia="sk-SK"/>
              </w:rPr>
              <w:t>100,0</w:t>
            </w:r>
          </w:p>
        </w:tc>
      </w:tr>
    </w:tbl>
    <w:p w14:paraId="54F94BAA" w14:textId="77777777" w:rsidR="008E166F" w:rsidRPr="00A47998" w:rsidRDefault="008E166F" w:rsidP="008E166F">
      <w:pPr>
        <w:pStyle w:val="Bezriadkovania"/>
        <w:jc w:val="right"/>
        <w:rPr>
          <w:rFonts w:ascii="Arial Narrow" w:hAnsi="Arial Narrow"/>
          <w:bCs/>
          <w:i/>
          <w:sz w:val="18"/>
          <w:szCs w:val="18"/>
        </w:rPr>
      </w:pPr>
      <w:r w:rsidRPr="00A47998">
        <w:rPr>
          <w:rFonts w:ascii="Arial Narrow" w:hAnsi="Arial Narrow"/>
          <w:bCs/>
          <w:i/>
          <w:sz w:val="18"/>
          <w:szCs w:val="18"/>
        </w:rPr>
        <w:t>Zdroj: Vlastné prepočty IVP podľa dát CVTI (2017, 2018)</w:t>
      </w:r>
    </w:p>
    <w:p w14:paraId="11B2B465" w14:textId="6367FC12" w:rsidR="004A7F97" w:rsidRPr="007D6E52" w:rsidRDefault="007D6E52" w:rsidP="006B47A4">
      <w:pPr>
        <w:spacing w:before="120"/>
      </w:pPr>
      <w:r w:rsidRPr="00A47998">
        <w:rPr>
          <w:b/>
        </w:rPr>
        <w:t>V roku 2018 sa niečo viac ako polovica žiakov so ZZ (54,3 %) vzdelávala v bežnom vzdelávacom prúde.</w:t>
      </w:r>
      <w:r w:rsidRPr="00A47998">
        <w:t xml:space="preserve"> </w:t>
      </w:r>
      <w:r w:rsidRPr="00A47998">
        <w:rPr>
          <w:b/>
        </w:rPr>
        <w:t xml:space="preserve">Neplatí to jedine o žiakoch s mentálnym postihnutím, z ktorých sa viac ako štyri pätiny (85 %) vzdelávali v špeciálnom vzdelávacom prúde (špeciálne školy a triedy). </w:t>
      </w:r>
      <w:r w:rsidRPr="00A47998">
        <w:rPr>
          <w:bCs/>
        </w:rPr>
        <w:t>P</w:t>
      </w:r>
      <w:r w:rsidRPr="00A47998">
        <w:t>ribližne tretina žiakov so ZZ (32,3 %) sa vzdelávala v špeciálnych školách a najmenšia časť v špeciálnych triedach (13,4 %)</w:t>
      </w:r>
      <w:r>
        <w:t xml:space="preserve"> (</w:t>
      </w:r>
      <w:r w:rsidRPr="007D6E52">
        <w:rPr>
          <w:szCs w:val="22"/>
        </w:rPr>
        <w:fldChar w:fldCharType="begin"/>
      </w:r>
      <w:r w:rsidRPr="007D6E52">
        <w:rPr>
          <w:szCs w:val="22"/>
        </w:rPr>
        <w:instrText xml:space="preserve"> REF _Ref25744222 \h  \* MERGEFORMAT </w:instrText>
      </w:r>
      <w:r w:rsidRPr="007D6E52">
        <w:rPr>
          <w:szCs w:val="22"/>
        </w:rPr>
      </w:r>
      <w:r w:rsidRPr="007D6E52">
        <w:rPr>
          <w:szCs w:val="22"/>
        </w:rPr>
        <w:fldChar w:fldCharType="separate"/>
      </w:r>
      <w:r w:rsidR="00FA29AF" w:rsidRPr="00FA29AF">
        <w:rPr>
          <w:szCs w:val="22"/>
        </w:rPr>
        <w:t xml:space="preserve">Graf </w:t>
      </w:r>
      <w:r w:rsidR="00FA29AF" w:rsidRPr="00FA29AF">
        <w:rPr>
          <w:noProof/>
          <w:szCs w:val="22"/>
        </w:rPr>
        <w:t>24</w:t>
      </w:r>
      <w:r w:rsidRPr="007D6E52">
        <w:rPr>
          <w:szCs w:val="22"/>
        </w:rPr>
        <w:fldChar w:fldCharType="end"/>
      </w:r>
      <w:r w:rsidRPr="00A47998">
        <w:t xml:space="preserve">). </w:t>
      </w:r>
    </w:p>
    <w:tbl>
      <w:tblPr>
        <w:tblW w:w="0" w:type="auto"/>
        <w:tblLook w:val="04A0" w:firstRow="1" w:lastRow="0" w:firstColumn="1" w:lastColumn="0" w:noHBand="0" w:noVBand="1"/>
      </w:tblPr>
      <w:tblGrid>
        <w:gridCol w:w="9026"/>
      </w:tblGrid>
      <w:tr w:rsidR="006B47A4" w14:paraId="328D7CC5" w14:textId="77777777" w:rsidTr="007D6E52">
        <w:tc>
          <w:tcPr>
            <w:tcW w:w="9026" w:type="dxa"/>
            <w:tcBorders>
              <w:top w:val="nil"/>
              <w:left w:val="nil"/>
              <w:bottom w:val="single" w:sz="4" w:space="0" w:color="auto"/>
              <w:right w:val="nil"/>
            </w:tcBorders>
          </w:tcPr>
          <w:p w14:paraId="7E44DADE" w14:textId="6652991E" w:rsidR="006B47A4" w:rsidRPr="00142FE9" w:rsidRDefault="006B47A4" w:rsidP="00C61133">
            <w:pPr>
              <w:pStyle w:val="Popis"/>
              <w:keepNext/>
              <w:spacing w:after="0"/>
              <w:jc w:val="left"/>
              <w:rPr>
                <w:b/>
                <w:i w:val="0"/>
                <w:sz w:val="20"/>
                <w:szCs w:val="20"/>
              </w:rPr>
            </w:pPr>
            <w:bookmarkStart w:id="402" w:name="_Ref25744222"/>
            <w:bookmarkStart w:id="403" w:name="_Toc34157582"/>
            <w:r w:rsidRPr="00142FE9">
              <w:rPr>
                <w:b/>
                <w:i w:val="0"/>
                <w:color w:val="auto"/>
                <w:sz w:val="20"/>
                <w:szCs w:val="20"/>
              </w:rPr>
              <w:t xml:space="preserve">Graf </w:t>
            </w:r>
            <w:r w:rsidRPr="00142FE9">
              <w:rPr>
                <w:b/>
                <w:i w:val="0"/>
                <w:color w:val="auto"/>
                <w:sz w:val="20"/>
                <w:szCs w:val="20"/>
              </w:rPr>
              <w:fldChar w:fldCharType="begin"/>
            </w:r>
            <w:r w:rsidRPr="00142FE9">
              <w:rPr>
                <w:b/>
                <w:i w:val="0"/>
                <w:color w:val="auto"/>
                <w:sz w:val="20"/>
                <w:szCs w:val="20"/>
              </w:rPr>
              <w:instrText xml:space="preserve"> SEQ Graf \* ARABIC </w:instrText>
            </w:r>
            <w:r w:rsidRPr="00142FE9">
              <w:rPr>
                <w:b/>
                <w:i w:val="0"/>
                <w:color w:val="auto"/>
                <w:sz w:val="20"/>
                <w:szCs w:val="20"/>
              </w:rPr>
              <w:fldChar w:fldCharType="separate"/>
            </w:r>
            <w:r w:rsidR="00FA29AF">
              <w:rPr>
                <w:b/>
                <w:i w:val="0"/>
                <w:noProof/>
                <w:color w:val="auto"/>
                <w:sz w:val="20"/>
                <w:szCs w:val="20"/>
              </w:rPr>
              <w:t>24</w:t>
            </w:r>
            <w:r w:rsidRPr="00142FE9">
              <w:rPr>
                <w:b/>
                <w:i w:val="0"/>
                <w:color w:val="auto"/>
                <w:sz w:val="20"/>
                <w:szCs w:val="20"/>
              </w:rPr>
              <w:fldChar w:fldCharType="end"/>
            </w:r>
            <w:bookmarkEnd w:id="402"/>
            <w:r w:rsidRPr="00142FE9">
              <w:rPr>
                <w:b/>
                <w:i w:val="0"/>
                <w:color w:val="auto"/>
                <w:sz w:val="20"/>
                <w:szCs w:val="20"/>
              </w:rPr>
              <w:t>: Podiel žiakov s jednotlivými druhmi zdravotného znevýhodnenia v bežnom a špeciálnom prúde (2018)</w:t>
            </w:r>
            <w:bookmarkEnd w:id="403"/>
          </w:p>
        </w:tc>
      </w:tr>
      <w:tr w:rsidR="006B47A4" w14:paraId="6E0C3D24" w14:textId="77777777" w:rsidTr="007D6E52">
        <w:trPr>
          <w:trHeight w:val="3113"/>
        </w:trPr>
        <w:tc>
          <w:tcPr>
            <w:tcW w:w="9026" w:type="dxa"/>
            <w:tcBorders>
              <w:top w:val="single" w:sz="4" w:space="0" w:color="auto"/>
              <w:left w:val="nil"/>
              <w:bottom w:val="single" w:sz="4" w:space="0" w:color="auto"/>
              <w:right w:val="nil"/>
            </w:tcBorders>
          </w:tcPr>
          <w:p w14:paraId="78F870CC" w14:textId="77777777" w:rsidR="006B47A4" w:rsidRDefault="006B47A4" w:rsidP="00C61133">
            <w:pPr>
              <w:pStyle w:val="Bezriadkovania"/>
              <w:spacing w:line="259" w:lineRule="auto"/>
              <w:jc w:val="both"/>
              <w:rPr>
                <w:rFonts w:ascii="Arial Narrow" w:hAnsi="Arial Narrow"/>
              </w:rPr>
            </w:pPr>
            <w:r w:rsidRPr="00A47998">
              <w:rPr>
                <w:noProof/>
                <w:lang w:eastAsia="sk-SK"/>
              </w:rPr>
              <w:drawing>
                <wp:inline distT="0" distB="0" distL="0" distR="0" wp14:anchorId="04899FDA" wp14:editId="486FCDCE">
                  <wp:extent cx="5619750" cy="2333625"/>
                  <wp:effectExtent l="0" t="0" r="0" b="0"/>
                  <wp:docPr id="28001" name="Graf 280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6B47A4" w14:paraId="71271CD2" w14:textId="77777777" w:rsidTr="007D6E52">
        <w:tc>
          <w:tcPr>
            <w:tcW w:w="9026" w:type="dxa"/>
            <w:tcBorders>
              <w:top w:val="single" w:sz="4" w:space="0" w:color="auto"/>
              <w:left w:val="nil"/>
              <w:bottom w:val="nil"/>
              <w:right w:val="nil"/>
            </w:tcBorders>
          </w:tcPr>
          <w:p w14:paraId="669271CE" w14:textId="77777777" w:rsidR="006B47A4" w:rsidRDefault="006B47A4" w:rsidP="00C61133">
            <w:pPr>
              <w:pStyle w:val="Bezriadkovania"/>
              <w:spacing w:before="20"/>
              <w:jc w:val="right"/>
            </w:pPr>
            <w:r w:rsidRPr="00A47998">
              <w:rPr>
                <w:rFonts w:ascii="Arial Narrow" w:hAnsi="Arial Narrow"/>
                <w:i/>
                <w:sz w:val="18"/>
                <w:szCs w:val="18"/>
              </w:rPr>
              <w:t>Zdroj: Vlastné prepočty IVP na základe dát CVTI (2017, 2018).</w:t>
            </w:r>
            <w:r w:rsidRPr="00A47998">
              <w:t xml:space="preserve"> </w:t>
            </w:r>
          </w:p>
          <w:p w14:paraId="1B24E30D" w14:textId="77777777" w:rsidR="006B47A4" w:rsidRPr="00802851" w:rsidRDefault="006B47A4" w:rsidP="00C61133">
            <w:pPr>
              <w:pStyle w:val="Bezriadkovania"/>
              <w:jc w:val="both"/>
              <w:rPr>
                <w:rFonts w:ascii="Arial Narrow" w:hAnsi="Arial Narrow"/>
                <w:i/>
                <w:szCs w:val="18"/>
              </w:rPr>
            </w:pPr>
            <w:r w:rsidRPr="00A47998">
              <w:rPr>
                <w:rFonts w:ascii="Arial Narrow" w:hAnsi="Arial Narrow"/>
                <w:i/>
                <w:sz w:val="18"/>
                <w:szCs w:val="18"/>
              </w:rPr>
              <w:t>V populácii žiakov s mentálnym postihnutím sú započítaní žiaci s mentálnym postihnutím vrátane mentálneho postihnutia v kombinácii s iným zdravotnými znevýhodneniami. V populácii žiakov s autizmom sú započítaní iba žiaci s autizmom bez mentálneho postihnutia. Viacnásobné postihnutie nie je jednoznačne zadefinované, preto môže byť táto kategória interpretovaná a vykazovaná rôznymi subjektami rôzne. Viacnásobné postihnutie sa vykazuje iba v bežných triedach bežných škôl.</w:t>
            </w:r>
          </w:p>
        </w:tc>
      </w:tr>
    </w:tbl>
    <w:p w14:paraId="0DDDC972" w14:textId="7B6934BC" w:rsidR="007D6E52" w:rsidRDefault="007D6E52" w:rsidP="00452DBC">
      <w:pPr>
        <w:spacing w:before="120"/>
        <w:rPr>
          <w:bCs/>
          <w:szCs w:val="22"/>
        </w:rPr>
      </w:pPr>
      <w:r w:rsidRPr="00C85C15">
        <w:rPr>
          <w:b/>
        </w:rPr>
        <w:t xml:space="preserve">Diagnostikovanie ľahkého mentálneho postihnutia je výrazne častejšie u žiakov v systéme PHN a u žiakov z prostredia MRK ako v celkovej populácii žiakov ZŠ. </w:t>
      </w:r>
      <w:r w:rsidRPr="00C85C15">
        <w:rPr>
          <w:bCs/>
        </w:rPr>
        <w:t>Kým v celkovej populácii zdravotne znevýhodnených žiakov mali ľahké mentálne postihnutie diagnostikované 4 % žiakov, v populácii žiakov v systéme PHN to bolo troj- (12 %) a v populácii žiakov z prostredia MRK až takmer päťnásobne viac (19,3 %). Zároveň tiež platí, že v populácii žiakov v systéme PHN a v prostredí MRK predstavuje ľahké mentálne postihnutie najčastejšie sa vyskytujúce zdravotné znevýhodnenie, pričom v celkovej populácii prevládajú iné zdravotné znevýhodnenia (</w:t>
      </w:r>
      <w:r w:rsidRPr="00B3493A">
        <w:rPr>
          <w:bCs/>
          <w:szCs w:val="22"/>
        </w:rPr>
        <w:fldChar w:fldCharType="begin"/>
      </w:r>
      <w:r w:rsidRPr="00B3493A">
        <w:rPr>
          <w:bCs/>
          <w:szCs w:val="22"/>
        </w:rPr>
        <w:instrText xml:space="preserve"> REF _Ref531965663 \h  \* MERGEFORMAT </w:instrText>
      </w:r>
      <w:r w:rsidRPr="00B3493A">
        <w:rPr>
          <w:bCs/>
          <w:szCs w:val="22"/>
        </w:rPr>
      </w:r>
      <w:r w:rsidRPr="00B3493A">
        <w:rPr>
          <w:bCs/>
          <w:szCs w:val="22"/>
        </w:rPr>
        <w:fldChar w:fldCharType="separate"/>
      </w:r>
      <w:r w:rsidR="00FA29AF" w:rsidRPr="00FA29AF">
        <w:rPr>
          <w:bCs/>
          <w:szCs w:val="22"/>
        </w:rPr>
        <w:t xml:space="preserve">Tabuľka </w:t>
      </w:r>
      <w:r w:rsidR="00FA29AF" w:rsidRPr="00FA29AF">
        <w:rPr>
          <w:bCs/>
          <w:noProof/>
          <w:szCs w:val="22"/>
        </w:rPr>
        <w:t>17</w:t>
      </w:r>
      <w:r w:rsidRPr="00B3493A">
        <w:rPr>
          <w:bCs/>
          <w:szCs w:val="22"/>
        </w:rPr>
        <w:fldChar w:fldCharType="end"/>
      </w:r>
      <w:r w:rsidRPr="00C85C15">
        <w:rPr>
          <w:bCs/>
        </w:rPr>
        <w:t>).</w:t>
      </w:r>
      <w:r>
        <w:rPr>
          <w:bCs/>
        </w:rPr>
        <w:t xml:space="preserve"> </w:t>
      </w:r>
      <w:r w:rsidRPr="00C85C15">
        <w:rPr>
          <w:bCs/>
        </w:rPr>
        <w:t>Na úrovni špeciálnych škôl na východnom Slovensku, kde žije väčšina populácie MRK, možno pozorovať, že podiel žiakov s ľahkým mentálnym postihnutím je v pozitívnom vzťahu s podielom žiakov z </w:t>
      </w:r>
      <w:r w:rsidRPr="00A70F22">
        <w:rPr>
          <w:bCs/>
          <w:szCs w:val="22"/>
        </w:rPr>
        <w:t>MRK (</w:t>
      </w:r>
      <w:r w:rsidR="002C54EB" w:rsidRPr="002C54EB">
        <w:rPr>
          <w:szCs w:val="22"/>
        </w:rPr>
        <w:fldChar w:fldCharType="begin"/>
      </w:r>
      <w:r w:rsidR="002C54EB" w:rsidRPr="002C54EB">
        <w:rPr>
          <w:bCs/>
          <w:szCs w:val="22"/>
        </w:rPr>
        <w:instrText xml:space="preserve"> REF _Ref34152783 \h </w:instrText>
      </w:r>
      <w:r w:rsidR="002C54EB" w:rsidRPr="002C54EB">
        <w:rPr>
          <w:szCs w:val="22"/>
        </w:rPr>
        <w:instrText xml:space="preserve"> \* MERGEFORMAT </w:instrText>
      </w:r>
      <w:r w:rsidR="002C54EB" w:rsidRPr="002C54EB">
        <w:rPr>
          <w:szCs w:val="22"/>
        </w:rPr>
      </w:r>
      <w:r w:rsidR="002C54EB" w:rsidRPr="002C54EB">
        <w:rPr>
          <w:szCs w:val="22"/>
        </w:rPr>
        <w:fldChar w:fldCharType="separate"/>
      </w:r>
      <w:r w:rsidR="00FA29AF" w:rsidRPr="00FA29AF">
        <w:rPr>
          <w:szCs w:val="22"/>
        </w:rPr>
        <w:t xml:space="preserve">Graf </w:t>
      </w:r>
      <w:r w:rsidR="00FA29AF" w:rsidRPr="00FA29AF">
        <w:rPr>
          <w:noProof/>
          <w:szCs w:val="22"/>
        </w:rPr>
        <w:t>25</w:t>
      </w:r>
      <w:r w:rsidR="002C54EB" w:rsidRPr="002C54EB">
        <w:rPr>
          <w:szCs w:val="22"/>
        </w:rPr>
        <w:fldChar w:fldCharType="end"/>
      </w:r>
      <w:r w:rsidRPr="00A70F22">
        <w:rPr>
          <w:bCs/>
          <w:szCs w:val="22"/>
        </w:rPr>
        <w:t>).</w:t>
      </w:r>
    </w:p>
    <w:tbl>
      <w:tblPr>
        <w:tblW w:w="0" w:type="auto"/>
        <w:tblLook w:val="04A0" w:firstRow="1" w:lastRow="0" w:firstColumn="1" w:lastColumn="0" w:noHBand="0" w:noVBand="1"/>
      </w:tblPr>
      <w:tblGrid>
        <w:gridCol w:w="9026"/>
      </w:tblGrid>
      <w:tr w:rsidR="002C54EB" w14:paraId="521CEF01" w14:textId="77777777" w:rsidTr="00841775">
        <w:tc>
          <w:tcPr>
            <w:tcW w:w="9026" w:type="dxa"/>
            <w:tcBorders>
              <w:top w:val="nil"/>
              <w:left w:val="nil"/>
              <w:bottom w:val="single" w:sz="4" w:space="0" w:color="auto"/>
              <w:right w:val="nil"/>
            </w:tcBorders>
          </w:tcPr>
          <w:p w14:paraId="144264AD" w14:textId="77777777" w:rsidR="002C54EB" w:rsidRPr="00142FE9" w:rsidRDefault="002C54EB" w:rsidP="00F002B4">
            <w:pPr>
              <w:pStyle w:val="Popis"/>
              <w:keepNext/>
              <w:spacing w:after="0"/>
              <w:jc w:val="left"/>
              <w:rPr>
                <w:b/>
                <w:i w:val="0"/>
                <w:sz w:val="20"/>
                <w:szCs w:val="20"/>
              </w:rPr>
            </w:pPr>
            <w:bookmarkStart w:id="404" w:name="_Ref34152783"/>
            <w:bookmarkStart w:id="405" w:name="_Toc34157583"/>
            <w:r w:rsidRPr="00142FE9">
              <w:rPr>
                <w:b/>
                <w:i w:val="0"/>
                <w:color w:val="auto"/>
                <w:sz w:val="20"/>
                <w:szCs w:val="20"/>
              </w:rPr>
              <w:t xml:space="preserve">Graf </w:t>
            </w:r>
            <w:r w:rsidRPr="00142FE9">
              <w:rPr>
                <w:b/>
                <w:i w:val="0"/>
                <w:color w:val="auto"/>
                <w:sz w:val="20"/>
                <w:szCs w:val="20"/>
              </w:rPr>
              <w:fldChar w:fldCharType="begin"/>
            </w:r>
            <w:r w:rsidRPr="00142FE9">
              <w:rPr>
                <w:b/>
                <w:i w:val="0"/>
                <w:color w:val="auto"/>
                <w:sz w:val="20"/>
                <w:szCs w:val="20"/>
              </w:rPr>
              <w:instrText xml:space="preserve"> SEQ Graf \* ARABIC </w:instrText>
            </w:r>
            <w:r w:rsidRPr="00142FE9">
              <w:rPr>
                <w:b/>
                <w:i w:val="0"/>
                <w:color w:val="auto"/>
                <w:sz w:val="20"/>
                <w:szCs w:val="20"/>
              </w:rPr>
              <w:fldChar w:fldCharType="separate"/>
            </w:r>
            <w:r w:rsidR="00FA29AF">
              <w:rPr>
                <w:b/>
                <w:i w:val="0"/>
                <w:noProof/>
                <w:color w:val="auto"/>
                <w:sz w:val="20"/>
                <w:szCs w:val="20"/>
              </w:rPr>
              <w:t>25</w:t>
            </w:r>
            <w:r w:rsidRPr="00142FE9">
              <w:rPr>
                <w:b/>
                <w:i w:val="0"/>
                <w:color w:val="auto"/>
                <w:sz w:val="20"/>
                <w:szCs w:val="20"/>
              </w:rPr>
              <w:fldChar w:fldCharType="end"/>
            </w:r>
            <w:bookmarkEnd w:id="404"/>
            <w:r w:rsidRPr="00142FE9">
              <w:rPr>
                <w:b/>
                <w:i w:val="0"/>
                <w:color w:val="auto"/>
                <w:sz w:val="20"/>
                <w:szCs w:val="20"/>
              </w:rPr>
              <w:t xml:space="preserve">: </w:t>
            </w:r>
            <w:r>
              <w:rPr>
                <w:b/>
                <w:i w:val="0"/>
                <w:color w:val="auto"/>
                <w:sz w:val="20"/>
                <w:szCs w:val="20"/>
              </w:rPr>
              <w:t>Podiel znevýhodnených žiakov v špeciálnych školách v PO a KE kraji v š.r. 2017/18</w:t>
            </w:r>
            <w:bookmarkEnd w:id="405"/>
          </w:p>
        </w:tc>
      </w:tr>
      <w:tr w:rsidR="002C54EB" w14:paraId="75897043" w14:textId="77777777" w:rsidTr="00841775">
        <w:tc>
          <w:tcPr>
            <w:tcW w:w="9026" w:type="dxa"/>
            <w:tcBorders>
              <w:top w:val="single" w:sz="4" w:space="0" w:color="auto"/>
              <w:left w:val="nil"/>
              <w:bottom w:val="single" w:sz="4" w:space="0" w:color="auto"/>
              <w:right w:val="nil"/>
            </w:tcBorders>
          </w:tcPr>
          <w:p w14:paraId="3B09CF02" w14:textId="77777777" w:rsidR="002C54EB" w:rsidRDefault="002C54EB" w:rsidP="00F002B4">
            <w:pPr>
              <w:pStyle w:val="Bezriadkovania"/>
              <w:jc w:val="center"/>
              <w:rPr>
                <w:rFonts w:ascii="Arial Narrow" w:hAnsi="Arial Narrow"/>
                <w:iCs/>
                <w:sz w:val="4"/>
                <w:szCs w:val="4"/>
              </w:rPr>
            </w:pPr>
          </w:p>
          <w:p w14:paraId="02574ACF" w14:textId="77777777" w:rsidR="002C54EB" w:rsidRDefault="002C54EB" w:rsidP="00F002B4">
            <w:pPr>
              <w:pStyle w:val="Bezriadkovania"/>
              <w:jc w:val="center"/>
              <w:rPr>
                <w:rFonts w:ascii="Arial Narrow" w:hAnsi="Arial Narrow"/>
                <w:iCs/>
                <w:sz w:val="4"/>
                <w:szCs w:val="4"/>
              </w:rPr>
            </w:pPr>
            <w:r>
              <w:rPr>
                <w:noProof/>
                <w:lang w:eastAsia="sk-SK"/>
              </w:rPr>
              <w:drawing>
                <wp:inline distT="0" distB="0" distL="0" distR="0" wp14:anchorId="0D8EBB03" wp14:editId="72A93ADE">
                  <wp:extent cx="5198110" cy="2082800"/>
                  <wp:effectExtent l="0" t="0" r="2540" b="12700"/>
                  <wp:docPr id="19" name="Chart 1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0000000-0008-0000-04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9DD9AD3" w14:textId="77777777" w:rsidR="002C54EB" w:rsidRPr="00B36C3A" w:rsidRDefault="002C54EB" w:rsidP="00F002B4">
            <w:pPr>
              <w:pStyle w:val="Bezriadkovania"/>
              <w:jc w:val="center"/>
              <w:rPr>
                <w:rFonts w:ascii="Arial Narrow" w:hAnsi="Arial Narrow"/>
                <w:iCs/>
                <w:sz w:val="4"/>
                <w:szCs w:val="4"/>
              </w:rPr>
            </w:pPr>
          </w:p>
        </w:tc>
      </w:tr>
      <w:tr w:rsidR="002C54EB" w:rsidRPr="00B3493A" w14:paraId="67539BD9" w14:textId="77777777" w:rsidTr="00841775">
        <w:tc>
          <w:tcPr>
            <w:tcW w:w="9026" w:type="dxa"/>
            <w:tcBorders>
              <w:top w:val="single" w:sz="4" w:space="0" w:color="auto"/>
              <w:left w:val="nil"/>
              <w:bottom w:val="nil"/>
              <w:right w:val="nil"/>
            </w:tcBorders>
          </w:tcPr>
          <w:p w14:paraId="34A4A27E" w14:textId="77777777" w:rsidR="002C54EB" w:rsidRPr="00B3493A" w:rsidRDefault="002C54EB" w:rsidP="00F002B4">
            <w:pPr>
              <w:pStyle w:val="Bezriadkovania"/>
              <w:spacing w:before="20"/>
              <w:jc w:val="right"/>
              <w:rPr>
                <w:rFonts w:ascii="Arial Narrow" w:hAnsi="Arial Narrow"/>
                <w:i/>
                <w:sz w:val="18"/>
                <w:szCs w:val="18"/>
              </w:rPr>
            </w:pPr>
            <w:r w:rsidRPr="00B3493A">
              <w:rPr>
                <w:rFonts w:ascii="Arial Narrow" w:hAnsi="Arial Narrow"/>
                <w:i/>
                <w:sz w:val="18"/>
                <w:szCs w:val="18"/>
              </w:rPr>
              <w:t xml:space="preserve">Zdroj: ÚHP </w:t>
            </w:r>
            <w:r w:rsidRPr="00B3493A">
              <w:rPr>
                <w:rFonts w:ascii="Arial Narrow" w:eastAsia="Times New Roman" w:hAnsi="Arial Narrow" w:cs="Times New Roman"/>
                <w:i/>
                <w:color w:val="000000"/>
                <w:sz w:val="18"/>
                <w:szCs w:val="18"/>
              </w:rPr>
              <w:t xml:space="preserve">na základe údajov </w:t>
            </w:r>
            <w:r w:rsidRPr="00B3493A">
              <w:rPr>
                <w:rFonts w:ascii="Arial Narrow" w:hAnsi="Arial Narrow"/>
                <w:i/>
                <w:noProof/>
                <w:sz w:val="18"/>
                <w:szCs w:val="18"/>
              </w:rPr>
              <w:t>RIS MŠVVŠ, ÚPSVR, ARK</w:t>
            </w:r>
            <w:r w:rsidRPr="00B3493A">
              <w:rPr>
                <w:rFonts w:ascii="Arial Narrow" w:hAnsi="Arial Narrow"/>
                <w:i/>
                <w:sz w:val="18"/>
                <w:szCs w:val="18"/>
              </w:rPr>
              <w:t xml:space="preserve"> </w:t>
            </w:r>
          </w:p>
          <w:p w14:paraId="2AFA81D5" w14:textId="77777777" w:rsidR="002C54EB" w:rsidRPr="00B3493A" w:rsidRDefault="002C54EB" w:rsidP="00F002B4">
            <w:pPr>
              <w:pStyle w:val="Bezriadkovania"/>
              <w:jc w:val="both"/>
              <w:rPr>
                <w:rFonts w:ascii="Arial Narrow" w:hAnsi="Arial Narrow"/>
                <w:i/>
                <w:sz w:val="18"/>
                <w:szCs w:val="18"/>
              </w:rPr>
            </w:pPr>
            <w:r w:rsidRPr="00B3493A">
              <w:rPr>
                <w:rFonts w:ascii="Arial Narrow" w:hAnsi="Arial Narrow"/>
                <w:i/>
                <w:sz w:val="18"/>
                <w:szCs w:val="18"/>
              </w:rPr>
              <w:t>Poznámka: veľkosť bubliny je úmerná veľkosti školy</w:t>
            </w:r>
          </w:p>
        </w:tc>
      </w:tr>
    </w:tbl>
    <w:p w14:paraId="3F613F0A" w14:textId="0847D594" w:rsidR="00401542" w:rsidRPr="004A7F97" w:rsidRDefault="004A7F97" w:rsidP="00452DBC">
      <w:pPr>
        <w:spacing w:before="120"/>
        <w:rPr>
          <w:iCs/>
          <w:color w:val="000000" w:themeColor="text1"/>
        </w:rPr>
      </w:pPr>
      <w:r w:rsidRPr="00C85C15">
        <w:rPr>
          <w:b/>
          <w:iCs/>
          <w:color w:val="000000" w:themeColor="text1"/>
        </w:rPr>
        <w:t>Nadmerné zastúpenie žiakov z MRK medzi žiakmi s ľahkým mentálnym postihnutím predstavovalo v školskom roku 2017/18 navýšenie výdavkov na vzdelávanie z dôvodu rozdielnych normatívov o 8,1 miliónov eur.</w:t>
      </w:r>
      <w:r w:rsidRPr="00C85C15">
        <w:rPr>
          <w:rStyle w:val="Odkaznapoznmkupodiarou"/>
          <w:b/>
          <w:iCs/>
          <w:color w:val="000000" w:themeColor="text1"/>
        </w:rPr>
        <w:footnoteReference w:id="216"/>
      </w:r>
      <w:r w:rsidRPr="00C85C15">
        <w:rPr>
          <w:iCs/>
          <w:color w:val="000000" w:themeColor="text1"/>
        </w:rPr>
        <w:t xml:space="preserve"> Tento odhad sa zakladá na porovnaní aktuálneho stavu so simuláciou, v ktorej výskyt ľahkého mentálneho postihnutia v populácii žiakov z MRK a rozdelenie žiakov naprieč rôznymi spôsobmi vzdelávania (v integrácii, v špeciálnej triede, v špeciálnej škole) zodpovedá výskytu postihnutia a spôsobom vzdelávania v populácii žiakov v systéme PHN mimo MRK (</w:t>
      </w:r>
      <w:r w:rsidR="007D6E52" w:rsidRPr="007D6E52">
        <w:rPr>
          <w:iCs/>
          <w:color w:val="000000" w:themeColor="text1"/>
          <w:szCs w:val="22"/>
        </w:rPr>
        <w:fldChar w:fldCharType="begin"/>
      </w:r>
      <w:r w:rsidR="007D6E52" w:rsidRPr="007D6E52">
        <w:rPr>
          <w:iCs/>
          <w:color w:val="000000" w:themeColor="text1"/>
          <w:szCs w:val="22"/>
        </w:rPr>
        <w:instrText xml:space="preserve"> REF _Ref531965663 \h  \* MERGEFORMAT </w:instrText>
      </w:r>
      <w:r w:rsidR="007D6E52" w:rsidRPr="007D6E52">
        <w:rPr>
          <w:iCs/>
          <w:color w:val="000000" w:themeColor="text1"/>
          <w:szCs w:val="22"/>
        </w:rPr>
      </w:r>
      <w:r w:rsidR="007D6E52" w:rsidRPr="007D6E52">
        <w:rPr>
          <w:iCs/>
          <w:color w:val="000000" w:themeColor="text1"/>
          <w:szCs w:val="22"/>
        </w:rPr>
        <w:fldChar w:fldCharType="separate"/>
      </w:r>
      <w:r w:rsidR="00FA29AF" w:rsidRPr="00FA29AF">
        <w:rPr>
          <w:szCs w:val="22"/>
        </w:rPr>
        <w:t xml:space="preserve">Tabuľka </w:t>
      </w:r>
      <w:r w:rsidR="00FA29AF" w:rsidRPr="00FA29AF">
        <w:rPr>
          <w:noProof/>
          <w:szCs w:val="22"/>
        </w:rPr>
        <w:t>17</w:t>
      </w:r>
      <w:r w:rsidR="007D6E52" w:rsidRPr="007D6E52">
        <w:rPr>
          <w:iCs/>
          <w:color w:val="000000" w:themeColor="text1"/>
          <w:szCs w:val="22"/>
        </w:rPr>
        <w:fldChar w:fldCharType="end"/>
      </w:r>
      <w:r w:rsidRPr="00C85C15">
        <w:rPr>
          <w:iCs/>
          <w:color w:val="000000" w:themeColor="text1"/>
        </w:rPr>
        <w:t>). Ak by výskyt ľahkého mentálneho postihnutia a spôsoby vzdelávania žiakov z MRK kopírovali celkovú populáciu žiakov základných škôl, výdavky na vzdelávanie populácie žiakov s ľahkým mentálnym postihnutím by boli nižšie o 14,6 milióna eur.</w:t>
      </w:r>
      <w:r w:rsidRPr="00C85C15">
        <w:rPr>
          <w:rStyle w:val="Odkaznapoznmkupodiarou"/>
          <w:iCs/>
          <w:color w:val="000000" w:themeColor="text1"/>
        </w:rPr>
        <w:footnoteReference w:id="217"/>
      </w:r>
    </w:p>
    <w:p w14:paraId="4837C061" w14:textId="69DCF86D" w:rsidR="00B6502E" w:rsidRPr="00C85C15" w:rsidRDefault="00B6502E" w:rsidP="00B6502E">
      <w:pPr>
        <w:spacing w:after="0"/>
        <w:rPr>
          <w:b/>
          <w:sz w:val="20"/>
        </w:rPr>
      </w:pPr>
      <w:bookmarkStart w:id="406" w:name="_Ref531965663"/>
      <w:bookmarkStart w:id="407" w:name="_Toc17469478"/>
      <w:bookmarkStart w:id="408" w:name="_Toc34156856"/>
      <w:r w:rsidRPr="00C85C15">
        <w:rPr>
          <w:b/>
          <w:sz w:val="20"/>
        </w:rPr>
        <w:t xml:space="preserve">Tabuľka </w:t>
      </w:r>
      <w:r w:rsidRPr="00C85C15">
        <w:rPr>
          <w:b/>
          <w:noProof/>
          <w:sz w:val="20"/>
        </w:rPr>
        <w:fldChar w:fldCharType="begin"/>
      </w:r>
      <w:r w:rsidRPr="00C85C15">
        <w:rPr>
          <w:b/>
          <w:noProof/>
          <w:sz w:val="20"/>
        </w:rPr>
        <w:instrText xml:space="preserve"> SEQ Tabuľka \* ARABIC </w:instrText>
      </w:r>
      <w:r w:rsidRPr="00C85C15">
        <w:rPr>
          <w:b/>
          <w:noProof/>
          <w:sz w:val="20"/>
        </w:rPr>
        <w:fldChar w:fldCharType="separate"/>
      </w:r>
      <w:r w:rsidR="00FA29AF">
        <w:rPr>
          <w:b/>
          <w:noProof/>
          <w:sz w:val="20"/>
        </w:rPr>
        <w:t>17</w:t>
      </w:r>
      <w:r w:rsidRPr="00C85C15">
        <w:rPr>
          <w:b/>
          <w:noProof/>
          <w:sz w:val="20"/>
        </w:rPr>
        <w:fldChar w:fldCharType="end"/>
      </w:r>
      <w:bookmarkEnd w:id="406"/>
      <w:r w:rsidRPr="00C85C15">
        <w:rPr>
          <w:b/>
          <w:sz w:val="20"/>
        </w:rPr>
        <w:t>: Rozdelenie skupín žiakov podľa druhu zdrav. znevýhodnenia a spôsobu vzdelávania</w:t>
      </w:r>
      <w:r w:rsidR="0070047D">
        <w:rPr>
          <w:b/>
          <w:sz w:val="20"/>
        </w:rPr>
        <w:t xml:space="preserve"> </w:t>
      </w:r>
      <w:r w:rsidRPr="00C85C15">
        <w:rPr>
          <w:b/>
          <w:sz w:val="20"/>
        </w:rPr>
        <w:t>(%)</w:t>
      </w:r>
      <w:bookmarkEnd w:id="407"/>
      <w:bookmarkEnd w:id="408"/>
    </w:p>
    <w:tbl>
      <w:tblPr>
        <w:tblW w:w="9072" w:type="dxa"/>
        <w:tblLayout w:type="fixed"/>
        <w:tblCellMar>
          <w:left w:w="70" w:type="dxa"/>
          <w:right w:w="70" w:type="dxa"/>
        </w:tblCellMar>
        <w:tblLook w:val="04A0" w:firstRow="1" w:lastRow="0" w:firstColumn="1" w:lastColumn="0" w:noHBand="0" w:noVBand="1"/>
      </w:tblPr>
      <w:tblGrid>
        <w:gridCol w:w="3969"/>
        <w:gridCol w:w="1607"/>
        <w:gridCol w:w="1748"/>
        <w:gridCol w:w="1748"/>
      </w:tblGrid>
      <w:tr w:rsidR="00B6502E" w:rsidRPr="00C85C15" w14:paraId="709AE956" w14:textId="77777777" w:rsidTr="00C774C4">
        <w:trPr>
          <w:trHeight w:val="284"/>
        </w:trPr>
        <w:tc>
          <w:tcPr>
            <w:tcW w:w="3969" w:type="dxa"/>
            <w:tcBorders>
              <w:top w:val="single" w:sz="4" w:space="0" w:color="auto"/>
              <w:left w:val="nil"/>
              <w:bottom w:val="single" w:sz="4" w:space="0" w:color="auto"/>
              <w:right w:val="nil"/>
            </w:tcBorders>
            <w:shd w:val="clear" w:color="000000" w:fill="FFFFFF"/>
            <w:noWrap/>
            <w:vAlign w:val="bottom"/>
            <w:hideMark/>
          </w:tcPr>
          <w:p w14:paraId="1DDC1C09" w14:textId="77777777" w:rsidR="00B6502E" w:rsidRPr="00C85C15" w:rsidRDefault="00B6502E" w:rsidP="00C774C4">
            <w:pPr>
              <w:spacing w:after="0"/>
              <w:jc w:val="left"/>
              <w:rPr>
                <w:rFonts w:eastAsia="Times New Roman" w:cs="Times New Roman"/>
                <w:color w:val="000000"/>
                <w:sz w:val="20"/>
                <w:lang w:eastAsia="sk-SK"/>
              </w:rPr>
            </w:pPr>
            <w:r w:rsidRPr="00C85C15">
              <w:rPr>
                <w:rFonts w:eastAsia="Times New Roman" w:cs="Times New Roman"/>
                <w:color w:val="000000"/>
                <w:sz w:val="20"/>
                <w:lang w:eastAsia="sk-SK"/>
              </w:rPr>
              <w:t> </w:t>
            </w:r>
          </w:p>
        </w:tc>
        <w:tc>
          <w:tcPr>
            <w:tcW w:w="1607" w:type="dxa"/>
            <w:tcBorders>
              <w:top w:val="single" w:sz="4" w:space="0" w:color="auto"/>
              <w:left w:val="nil"/>
              <w:bottom w:val="single" w:sz="4" w:space="0" w:color="auto"/>
              <w:right w:val="nil"/>
            </w:tcBorders>
            <w:shd w:val="clear" w:color="000000" w:fill="FFFFFF"/>
            <w:vAlign w:val="bottom"/>
            <w:hideMark/>
          </w:tcPr>
          <w:p w14:paraId="202C5419" w14:textId="77777777" w:rsidR="00B6502E" w:rsidRPr="00C85C15" w:rsidRDefault="00B6502E" w:rsidP="00C774C4">
            <w:pPr>
              <w:spacing w:after="0"/>
              <w:jc w:val="right"/>
              <w:rPr>
                <w:rFonts w:eastAsia="Times New Roman" w:cs="Times New Roman"/>
                <w:b/>
                <w:bCs/>
                <w:color w:val="000000"/>
                <w:sz w:val="20"/>
                <w:lang w:eastAsia="sk-SK"/>
              </w:rPr>
            </w:pPr>
            <w:r w:rsidRPr="00C85C15">
              <w:rPr>
                <w:rFonts w:eastAsia="Times New Roman" w:cs="Times New Roman"/>
                <w:b/>
                <w:bCs/>
                <w:color w:val="000000"/>
                <w:sz w:val="20"/>
                <w:lang w:eastAsia="sk-SK"/>
              </w:rPr>
              <w:t>Celková populácia žiakov ZŠ</w:t>
            </w:r>
          </w:p>
        </w:tc>
        <w:tc>
          <w:tcPr>
            <w:tcW w:w="1748" w:type="dxa"/>
            <w:tcBorders>
              <w:top w:val="single" w:sz="4" w:space="0" w:color="auto"/>
              <w:left w:val="nil"/>
              <w:bottom w:val="single" w:sz="4" w:space="0" w:color="auto"/>
              <w:right w:val="nil"/>
            </w:tcBorders>
            <w:shd w:val="clear" w:color="000000" w:fill="FFFFFF"/>
            <w:noWrap/>
            <w:vAlign w:val="bottom"/>
            <w:hideMark/>
          </w:tcPr>
          <w:p w14:paraId="5FA2F9DA" w14:textId="77777777" w:rsidR="00B6502E" w:rsidRPr="00C85C15" w:rsidRDefault="00B6502E" w:rsidP="00C774C4">
            <w:pPr>
              <w:spacing w:after="0"/>
              <w:jc w:val="right"/>
              <w:rPr>
                <w:rFonts w:eastAsia="Times New Roman" w:cs="Times New Roman"/>
                <w:b/>
                <w:bCs/>
                <w:color w:val="000000"/>
                <w:sz w:val="20"/>
                <w:lang w:eastAsia="sk-SK"/>
              </w:rPr>
            </w:pPr>
            <w:r w:rsidRPr="00C85C15">
              <w:rPr>
                <w:rFonts w:eastAsia="Times New Roman" w:cs="Times New Roman"/>
                <w:b/>
                <w:bCs/>
                <w:color w:val="000000"/>
                <w:sz w:val="20"/>
                <w:lang w:eastAsia="sk-SK"/>
              </w:rPr>
              <w:t>PHN, mimo MRK</w:t>
            </w:r>
          </w:p>
        </w:tc>
        <w:tc>
          <w:tcPr>
            <w:tcW w:w="1748" w:type="dxa"/>
            <w:tcBorders>
              <w:top w:val="single" w:sz="4" w:space="0" w:color="auto"/>
              <w:left w:val="nil"/>
              <w:bottom w:val="single" w:sz="4" w:space="0" w:color="auto"/>
              <w:right w:val="nil"/>
            </w:tcBorders>
            <w:shd w:val="clear" w:color="000000" w:fill="FFFFFF"/>
            <w:noWrap/>
            <w:vAlign w:val="bottom"/>
            <w:hideMark/>
          </w:tcPr>
          <w:p w14:paraId="0A5817EF" w14:textId="77777777" w:rsidR="00B6502E" w:rsidRPr="00C85C15" w:rsidRDefault="00B6502E" w:rsidP="00C774C4">
            <w:pPr>
              <w:spacing w:after="0"/>
              <w:jc w:val="right"/>
              <w:rPr>
                <w:rFonts w:eastAsia="Times New Roman" w:cs="Times New Roman"/>
                <w:b/>
                <w:bCs/>
                <w:color w:val="000000"/>
                <w:sz w:val="20"/>
                <w:lang w:eastAsia="sk-SK"/>
              </w:rPr>
            </w:pPr>
            <w:r w:rsidRPr="00C85C15">
              <w:rPr>
                <w:rFonts w:eastAsia="Times New Roman" w:cs="Times New Roman"/>
                <w:b/>
                <w:bCs/>
                <w:color w:val="000000"/>
                <w:sz w:val="20"/>
                <w:lang w:eastAsia="sk-SK"/>
              </w:rPr>
              <w:t>MRK</w:t>
            </w:r>
          </w:p>
        </w:tc>
      </w:tr>
      <w:tr w:rsidR="00B6502E" w:rsidRPr="00C85C15" w14:paraId="1508B90E" w14:textId="77777777" w:rsidTr="00C774C4">
        <w:trPr>
          <w:trHeight w:val="284"/>
        </w:trPr>
        <w:tc>
          <w:tcPr>
            <w:tcW w:w="3969" w:type="dxa"/>
            <w:tcBorders>
              <w:top w:val="nil"/>
              <w:left w:val="nil"/>
              <w:bottom w:val="nil"/>
              <w:right w:val="nil"/>
            </w:tcBorders>
            <w:shd w:val="clear" w:color="000000" w:fill="FFFFFF"/>
            <w:noWrap/>
            <w:vAlign w:val="bottom"/>
            <w:hideMark/>
          </w:tcPr>
          <w:p w14:paraId="01F68D52" w14:textId="77777777" w:rsidR="00B6502E" w:rsidRPr="00C85C15" w:rsidRDefault="00B6502E" w:rsidP="00C774C4">
            <w:pPr>
              <w:spacing w:after="0" w:line="240" w:lineRule="auto"/>
              <w:jc w:val="left"/>
              <w:rPr>
                <w:rFonts w:eastAsia="Times New Roman" w:cs="Times New Roman"/>
                <w:b/>
                <w:bCs/>
                <w:color w:val="000000"/>
                <w:sz w:val="20"/>
                <w:lang w:eastAsia="sk-SK"/>
              </w:rPr>
            </w:pPr>
            <w:r w:rsidRPr="00C85C15">
              <w:rPr>
                <w:rFonts w:eastAsia="Times New Roman" w:cs="Times New Roman"/>
                <w:b/>
                <w:bCs/>
                <w:color w:val="000000"/>
                <w:sz w:val="20"/>
                <w:lang w:eastAsia="sk-SK"/>
              </w:rPr>
              <w:t>Podiel skupiny s ľahkým mentálnym postihnutím</w:t>
            </w:r>
          </w:p>
        </w:tc>
        <w:tc>
          <w:tcPr>
            <w:tcW w:w="1607" w:type="dxa"/>
            <w:tcBorders>
              <w:top w:val="nil"/>
              <w:left w:val="nil"/>
              <w:bottom w:val="nil"/>
              <w:right w:val="nil"/>
            </w:tcBorders>
            <w:shd w:val="clear" w:color="000000" w:fill="FFFFFF"/>
            <w:noWrap/>
            <w:vAlign w:val="bottom"/>
            <w:hideMark/>
          </w:tcPr>
          <w:p w14:paraId="6A9826AD" w14:textId="77777777" w:rsidR="00B6502E" w:rsidRPr="00C85C15" w:rsidRDefault="00B6502E" w:rsidP="00C774C4">
            <w:pPr>
              <w:spacing w:after="0" w:line="240" w:lineRule="auto"/>
              <w:jc w:val="right"/>
              <w:rPr>
                <w:rFonts w:eastAsia="Times New Roman" w:cs="Times New Roman"/>
                <w:b/>
                <w:bCs/>
                <w:color w:val="000000"/>
                <w:sz w:val="20"/>
                <w:lang w:eastAsia="sk-SK"/>
              </w:rPr>
            </w:pPr>
            <w:r w:rsidRPr="00C85C15">
              <w:rPr>
                <w:rFonts w:eastAsia="Times New Roman" w:cs="Times New Roman"/>
                <w:b/>
                <w:bCs/>
                <w:color w:val="000000"/>
                <w:sz w:val="20"/>
                <w:lang w:eastAsia="sk-SK"/>
              </w:rPr>
              <w:t>4,0</w:t>
            </w:r>
          </w:p>
        </w:tc>
        <w:tc>
          <w:tcPr>
            <w:tcW w:w="1748" w:type="dxa"/>
            <w:tcBorders>
              <w:top w:val="nil"/>
              <w:left w:val="nil"/>
              <w:bottom w:val="nil"/>
              <w:right w:val="nil"/>
            </w:tcBorders>
            <w:shd w:val="clear" w:color="000000" w:fill="FFFFFF"/>
            <w:noWrap/>
            <w:vAlign w:val="bottom"/>
            <w:hideMark/>
          </w:tcPr>
          <w:p w14:paraId="6A10BB46" w14:textId="77777777" w:rsidR="00B6502E" w:rsidRPr="00C85C15" w:rsidRDefault="00B6502E" w:rsidP="00C774C4">
            <w:pPr>
              <w:spacing w:after="0" w:line="240" w:lineRule="auto"/>
              <w:jc w:val="right"/>
              <w:rPr>
                <w:rFonts w:eastAsia="Times New Roman" w:cs="Times New Roman"/>
                <w:b/>
                <w:bCs/>
                <w:color w:val="000000"/>
                <w:sz w:val="20"/>
                <w:lang w:eastAsia="sk-SK"/>
              </w:rPr>
            </w:pPr>
            <w:r w:rsidRPr="00C85C15">
              <w:rPr>
                <w:rFonts w:eastAsia="Times New Roman" w:cs="Times New Roman"/>
                <w:b/>
                <w:bCs/>
                <w:color w:val="000000"/>
                <w:sz w:val="20"/>
                <w:lang w:eastAsia="sk-SK"/>
              </w:rPr>
              <w:t>12,0</w:t>
            </w:r>
          </w:p>
        </w:tc>
        <w:tc>
          <w:tcPr>
            <w:tcW w:w="1748" w:type="dxa"/>
            <w:tcBorders>
              <w:top w:val="nil"/>
              <w:left w:val="nil"/>
              <w:bottom w:val="nil"/>
              <w:right w:val="nil"/>
            </w:tcBorders>
            <w:shd w:val="clear" w:color="000000" w:fill="FFFFFF"/>
            <w:noWrap/>
            <w:vAlign w:val="bottom"/>
            <w:hideMark/>
          </w:tcPr>
          <w:p w14:paraId="1EED6A03" w14:textId="77777777" w:rsidR="00B6502E" w:rsidRPr="00C85C15" w:rsidRDefault="00B6502E" w:rsidP="00C774C4">
            <w:pPr>
              <w:spacing w:after="0" w:line="240" w:lineRule="auto"/>
              <w:jc w:val="right"/>
              <w:rPr>
                <w:rFonts w:eastAsia="Times New Roman" w:cs="Times New Roman"/>
                <w:b/>
                <w:bCs/>
                <w:color w:val="000000"/>
                <w:sz w:val="20"/>
                <w:lang w:eastAsia="sk-SK"/>
              </w:rPr>
            </w:pPr>
            <w:r w:rsidRPr="00C85C15">
              <w:rPr>
                <w:rFonts w:eastAsia="Times New Roman" w:cs="Times New Roman"/>
                <w:b/>
                <w:bCs/>
                <w:color w:val="000000"/>
                <w:sz w:val="20"/>
                <w:lang w:eastAsia="sk-SK"/>
              </w:rPr>
              <w:t>19,3</w:t>
            </w:r>
          </w:p>
        </w:tc>
      </w:tr>
      <w:tr w:rsidR="00B6502E" w:rsidRPr="00C85C15" w14:paraId="4D99FEA9" w14:textId="77777777" w:rsidTr="00C774C4">
        <w:trPr>
          <w:trHeight w:val="284"/>
        </w:trPr>
        <w:tc>
          <w:tcPr>
            <w:tcW w:w="3969" w:type="dxa"/>
            <w:tcBorders>
              <w:top w:val="nil"/>
              <w:left w:val="nil"/>
              <w:bottom w:val="nil"/>
              <w:right w:val="nil"/>
            </w:tcBorders>
            <w:shd w:val="clear" w:color="000000" w:fill="FFFFFF"/>
            <w:noWrap/>
            <w:vAlign w:val="bottom"/>
            <w:hideMark/>
          </w:tcPr>
          <w:p w14:paraId="0AAFF7E6" w14:textId="77777777" w:rsidR="00B6502E" w:rsidRPr="00C85C15" w:rsidRDefault="00B6502E" w:rsidP="00C774C4">
            <w:pPr>
              <w:spacing w:after="0" w:line="240" w:lineRule="auto"/>
              <w:jc w:val="left"/>
              <w:rPr>
                <w:rFonts w:eastAsia="Times New Roman" w:cs="Times New Roman"/>
                <w:color w:val="000000"/>
                <w:sz w:val="20"/>
                <w:lang w:eastAsia="sk-SK"/>
              </w:rPr>
            </w:pPr>
            <w:r w:rsidRPr="00C85C15">
              <w:rPr>
                <w:rFonts w:eastAsia="Times New Roman" w:cs="Times New Roman"/>
                <w:color w:val="000000"/>
                <w:sz w:val="20"/>
                <w:lang w:eastAsia="sk-SK"/>
              </w:rPr>
              <w:t>z toho integrovaní</w:t>
            </w:r>
          </w:p>
        </w:tc>
        <w:tc>
          <w:tcPr>
            <w:tcW w:w="1607" w:type="dxa"/>
            <w:tcBorders>
              <w:top w:val="nil"/>
              <w:left w:val="nil"/>
              <w:bottom w:val="nil"/>
              <w:right w:val="nil"/>
            </w:tcBorders>
            <w:shd w:val="clear" w:color="000000" w:fill="FFFFFF"/>
            <w:noWrap/>
            <w:vAlign w:val="bottom"/>
            <w:hideMark/>
          </w:tcPr>
          <w:p w14:paraId="1BC5F3AB" w14:textId="77777777" w:rsidR="00B6502E" w:rsidRPr="00C85C15" w:rsidRDefault="00B6502E" w:rsidP="00C774C4">
            <w:pPr>
              <w:spacing w:after="0" w:line="240" w:lineRule="auto"/>
              <w:jc w:val="right"/>
              <w:rPr>
                <w:rFonts w:eastAsia="Times New Roman" w:cs="Times New Roman"/>
                <w:color w:val="000000"/>
                <w:sz w:val="20"/>
                <w:lang w:eastAsia="sk-SK"/>
              </w:rPr>
            </w:pPr>
            <w:r w:rsidRPr="00C85C15">
              <w:rPr>
                <w:rFonts w:eastAsia="Times New Roman" w:cs="Times New Roman"/>
                <w:color w:val="000000"/>
                <w:sz w:val="20"/>
                <w:lang w:eastAsia="sk-SK"/>
              </w:rPr>
              <w:t>0,8</w:t>
            </w:r>
          </w:p>
        </w:tc>
        <w:tc>
          <w:tcPr>
            <w:tcW w:w="1748" w:type="dxa"/>
            <w:tcBorders>
              <w:top w:val="nil"/>
              <w:left w:val="nil"/>
              <w:bottom w:val="nil"/>
              <w:right w:val="nil"/>
            </w:tcBorders>
            <w:shd w:val="clear" w:color="000000" w:fill="FFFFFF"/>
            <w:noWrap/>
            <w:vAlign w:val="bottom"/>
            <w:hideMark/>
          </w:tcPr>
          <w:p w14:paraId="1421BB0B" w14:textId="77777777" w:rsidR="00B6502E" w:rsidRPr="00C85C15" w:rsidRDefault="00B6502E" w:rsidP="00C774C4">
            <w:pPr>
              <w:spacing w:after="0" w:line="240" w:lineRule="auto"/>
              <w:jc w:val="right"/>
              <w:rPr>
                <w:rFonts w:eastAsia="Times New Roman" w:cs="Times New Roman"/>
                <w:color w:val="000000"/>
                <w:sz w:val="20"/>
                <w:lang w:eastAsia="sk-SK"/>
              </w:rPr>
            </w:pPr>
            <w:r w:rsidRPr="00C85C15">
              <w:rPr>
                <w:rFonts w:eastAsia="Times New Roman" w:cs="Times New Roman"/>
                <w:color w:val="000000"/>
                <w:sz w:val="20"/>
                <w:lang w:eastAsia="sk-SK"/>
              </w:rPr>
              <w:t>3,1</w:t>
            </w:r>
          </w:p>
        </w:tc>
        <w:tc>
          <w:tcPr>
            <w:tcW w:w="1748" w:type="dxa"/>
            <w:tcBorders>
              <w:top w:val="nil"/>
              <w:left w:val="nil"/>
              <w:bottom w:val="nil"/>
              <w:right w:val="nil"/>
            </w:tcBorders>
            <w:shd w:val="clear" w:color="000000" w:fill="FFFFFF"/>
            <w:noWrap/>
            <w:vAlign w:val="bottom"/>
            <w:hideMark/>
          </w:tcPr>
          <w:p w14:paraId="6D115941" w14:textId="77777777" w:rsidR="00B6502E" w:rsidRPr="00C85C15" w:rsidRDefault="00B6502E" w:rsidP="00C774C4">
            <w:pPr>
              <w:spacing w:after="0" w:line="240" w:lineRule="auto"/>
              <w:jc w:val="right"/>
              <w:rPr>
                <w:rFonts w:eastAsia="Times New Roman" w:cs="Times New Roman"/>
                <w:color w:val="000000"/>
                <w:sz w:val="20"/>
                <w:lang w:eastAsia="sk-SK"/>
              </w:rPr>
            </w:pPr>
            <w:r w:rsidRPr="00C85C15">
              <w:rPr>
                <w:rFonts w:eastAsia="Times New Roman" w:cs="Times New Roman"/>
                <w:color w:val="000000"/>
                <w:sz w:val="20"/>
                <w:lang w:eastAsia="sk-SK"/>
              </w:rPr>
              <w:t>3,2</w:t>
            </w:r>
          </w:p>
        </w:tc>
      </w:tr>
      <w:tr w:rsidR="00B6502E" w:rsidRPr="00C85C15" w14:paraId="2FAC3D66" w14:textId="77777777" w:rsidTr="00C774C4">
        <w:trPr>
          <w:trHeight w:val="284"/>
        </w:trPr>
        <w:tc>
          <w:tcPr>
            <w:tcW w:w="3969" w:type="dxa"/>
            <w:tcBorders>
              <w:top w:val="nil"/>
              <w:left w:val="nil"/>
              <w:bottom w:val="nil"/>
              <w:right w:val="nil"/>
            </w:tcBorders>
            <w:shd w:val="clear" w:color="000000" w:fill="FFFFFF"/>
            <w:noWrap/>
            <w:vAlign w:val="bottom"/>
            <w:hideMark/>
          </w:tcPr>
          <w:p w14:paraId="27CB708A" w14:textId="77777777" w:rsidR="00B6502E" w:rsidRPr="00C85C15" w:rsidRDefault="00B6502E" w:rsidP="00C774C4">
            <w:pPr>
              <w:spacing w:after="0" w:line="240" w:lineRule="auto"/>
              <w:jc w:val="left"/>
              <w:rPr>
                <w:rFonts w:eastAsia="Times New Roman" w:cs="Times New Roman"/>
                <w:color w:val="000000"/>
                <w:sz w:val="20"/>
                <w:lang w:eastAsia="sk-SK"/>
              </w:rPr>
            </w:pPr>
            <w:r w:rsidRPr="00C85C15">
              <w:rPr>
                <w:rFonts w:eastAsia="Times New Roman" w:cs="Times New Roman"/>
                <w:color w:val="000000"/>
                <w:sz w:val="20"/>
                <w:lang w:eastAsia="sk-SK"/>
              </w:rPr>
              <w:t>z toho špeciálne triedy</w:t>
            </w:r>
          </w:p>
        </w:tc>
        <w:tc>
          <w:tcPr>
            <w:tcW w:w="1607" w:type="dxa"/>
            <w:tcBorders>
              <w:top w:val="nil"/>
              <w:left w:val="nil"/>
              <w:bottom w:val="nil"/>
              <w:right w:val="nil"/>
            </w:tcBorders>
            <w:shd w:val="clear" w:color="000000" w:fill="FFFFFF"/>
            <w:noWrap/>
            <w:vAlign w:val="bottom"/>
            <w:hideMark/>
          </w:tcPr>
          <w:p w14:paraId="42A91B20" w14:textId="77777777" w:rsidR="00B6502E" w:rsidRPr="00C85C15" w:rsidRDefault="00B6502E" w:rsidP="00C774C4">
            <w:pPr>
              <w:spacing w:after="0" w:line="240" w:lineRule="auto"/>
              <w:jc w:val="right"/>
              <w:rPr>
                <w:rFonts w:eastAsia="Times New Roman" w:cs="Times New Roman"/>
                <w:color w:val="000000"/>
                <w:sz w:val="20"/>
                <w:lang w:eastAsia="sk-SK"/>
              </w:rPr>
            </w:pPr>
            <w:r w:rsidRPr="00C85C15">
              <w:rPr>
                <w:rFonts w:eastAsia="Times New Roman" w:cs="Times New Roman"/>
                <w:color w:val="000000"/>
                <w:sz w:val="20"/>
                <w:lang w:eastAsia="sk-SK"/>
              </w:rPr>
              <w:t>1,2</w:t>
            </w:r>
          </w:p>
        </w:tc>
        <w:tc>
          <w:tcPr>
            <w:tcW w:w="1748" w:type="dxa"/>
            <w:tcBorders>
              <w:top w:val="nil"/>
              <w:left w:val="nil"/>
              <w:bottom w:val="nil"/>
              <w:right w:val="nil"/>
            </w:tcBorders>
            <w:shd w:val="clear" w:color="000000" w:fill="FFFFFF"/>
            <w:noWrap/>
            <w:vAlign w:val="bottom"/>
            <w:hideMark/>
          </w:tcPr>
          <w:p w14:paraId="6C826EEB" w14:textId="77777777" w:rsidR="00B6502E" w:rsidRPr="00C85C15" w:rsidRDefault="00B6502E" w:rsidP="00C774C4">
            <w:pPr>
              <w:spacing w:after="0" w:line="240" w:lineRule="auto"/>
              <w:jc w:val="right"/>
              <w:rPr>
                <w:rFonts w:eastAsia="Times New Roman" w:cs="Times New Roman"/>
                <w:color w:val="000000"/>
                <w:sz w:val="20"/>
                <w:lang w:eastAsia="sk-SK"/>
              </w:rPr>
            </w:pPr>
            <w:r w:rsidRPr="00C85C15">
              <w:rPr>
                <w:rFonts w:eastAsia="Times New Roman" w:cs="Times New Roman"/>
                <w:color w:val="000000"/>
                <w:sz w:val="20"/>
                <w:lang w:eastAsia="sk-SK"/>
              </w:rPr>
              <w:t>3,7</w:t>
            </w:r>
          </w:p>
        </w:tc>
        <w:tc>
          <w:tcPr>
            <w:tcW w:w="1748" w:type="dxa"/>
            <w:tcBorders>
              <w:top w:val="nil"/>
              <w:left w:val="nil"/>
              <w:bottom w:val="nil"/>
              <w:right w:val="nil"/>
            </w:tcBorders>
            <w:shd w:val="clear" w:color="000000" w:fill="FFFFFF"/>
            <w:noWrap/>
            <w:vAlign w:val="bottom"/>
            <w:hideMark/>
          </w:tcPr>
          <w:p w14:paraId="62E61478" w14:textId="77777777" w:rsidR="00B6502E" w:rsidRPr="00C85C15" w:rsidRDefault="00B6502E" w:rsidP="00C774C4">
            <w:pPr>
              <w:spacing w:after="0" w:line="240" w:lineRule="auto"/>
              <w:jc w:val="right"/>
              <w:rPr>
                <w:rFonts w:eastAsia="Times New Roman" w:cs="Times New Roman"/>
                <w:color w:val="000000"/>
                <w:sz w:val="20"/>
                <w:lang w:eastAsia="sk-SK"/>
              </w:rPr>
            </w:pPr>
            <w:r w:rsidRPr="00C85C15">
              <w:rPr>
                <w:rFonts w:eastAsia="Times New Roman" w:cs="Times New Roman"/>
                <w:color w:val="000000"/>
                <w:sz w:val="20"/>
                <w:lang w:eastAsia="sk-SK"/>
              </w:rPr>
              <w:t>6,9</w:t>
            </w:r>
          </w:p>
        </w:tc>
      </w:tr>
      <w:tr w:rsidR="00B6502E" w:rsidRPr="00C85C15" w14:paraId="08D2E1C1" w14:textId="77777777" w:rsidTr="00C774C4">
        <w:trPr>
          <w:trHeight w:val="284"/>
        </w:trPr>
        <w:tc>
          <w:tcPr>
            <w:tcW w:w="3969" w:type="dxa"/>
            <w:tcBorders>
              <w:top w:val="nil"/>
              <w:left w:val="nil"/>
              <w:bottom w:val="nil"/>
              <w:right w:val="nil"/>
            </w:tcBorders>
            <w:shd w:val="clear" w:color="000000" w:fill="FFFFFF"/>
            <w:noWrap/>
            <w:vAlign w:val="bottom"/>
            <w:hideMark/>
          </w:tcPr>
          <w:p w14:paraId="7DBC4AEB" w14:textId="77777777" w:rsidR="00B6502E" w:rsidRPr="00C85C15" w:rsidRDefault="00B6502E" w:rsidP="00C774C4">
            <w:pPr>
              <w:spacing w:after="0" w:line="240" w:lineRule="auto"/>
              <w:jc w:val="left"/>
              <w:rPr>
                <w:rFonts w:eastAsia="Times New Roman" w:cs="Times New Roman"/>
                <w:color w:val="000000"/>
                <w:sz w:val="20"/>
                <w:lang w:eastAsia="sk-SK"/>
              </w:rPr>
            </w:pPr>
            <w:r w:rsidRPr="00C85C15">
              <w:rPr>
                <w:rFonts w:eastAsia="Times New Roman" w:cs="Times New Roman"/>
                <w:color w:val="000000"/>
                <w:sz w:val="20"/>
                <w:lang w:eastAsia="sk-SK"/>
              </w:rPr>
              <w:t>z toho špeciálne školy</w:t>
            </w:r>
          </w:p>
        </w:tc>
        <w:tc>
          <w:tcPr>
            <w:tcW w:w="1607" w:type="dxa"/>
            <w:tcBorders>
              <w:top w:val="nil"/>
              <w:left w:val="nil"/>
              <w:bottom w:val="nil"/>
              <w:right w:val="nil"/>
            </w:tcBorders>
            <w:shd w:val="clear" w:color="000000" w:fill="FFFFFF"/>
            <w:noWrap/>
            <w:vAlign w:val="bottom"/>
            <w:hideMark/>
          </w:tcPr>
          <w:p w14:paraId="3B93038C" w14:textId="77777777" w:rsidR="00B6502E" w:rsidRPr="00C85C15" w:rsidRDefault="00B6502E" w:rsidP="00C774C4">
            <w:pPr>
              <w:spacing w:after="0" w:line="240" w:lineRule="auto"/>
              <w:jc w:val="right"/>
              <w:rPr>
                <w:rFonts w:eastAsia="Times New Roman" w:cs="Times New Roman"/>
                <w:color w:val="000000"/>
                <w:sz w:val="20"/>
                <w:lang w:eastAsia="sk-SK"/>
              </w:rPr>
            </w:pPr>
            <w:r w:rsidRPr="00C85C15">
              <w:rPr>
                <w:rFonts w:eastAsia="Times New Roman" w:cs="Times New Roman"/>
                <w:color w:val="000000"/>
                <w:sz w:val="20"/>
                <w:lang w:eastAsia="sk-SK"/>
              </w:rPr>
              <w:t>2,0</w:t>
            </w:r>
          </w:p>
        </w:tc>
        <w:tc>
          <w:tcPr>
            <w:tcW w:w="1748" w:type="dxa"/>
            <w:tcBorders>
              <w:top w:val="nil"/>
              <w:left w:val="nil"/>
              <w:bottom w:val="nil"/>
              <w:right w:val="nil"/>
            </w:tcBorders>
            <w:shd w:val="clear" w:color="000000" w:fill="FFFFFF"/>
            <w:noWrap/>
            <w:vAlign w:val="bottom"/>
            <w:hideMark/>
          </w:tcPr>
          <w:p w14:paraId="11FBD42D" w14:textId="77777777" w:rsidR="00B6502E" w:rsidRPr="00C85C15" w:rsidRDefault="00B6502E" w:rsidP="00C774C4">
            <w:pPr>
              <w:spacing w:after="0" w:line="240" w:lineRule="auto"/>
              <w:jc w:val="right"/>
              <w:rPr>
                <w:rFonts w:eastAsia="Times New Roman" w:cs="Times New Roman"/>
                <w:color w:val="000000"/>
                <w:sz w:val="20"/>
                <w:lang w:eastAsia="sk-SK"/>
              </w:rPr>
            </w:pPr>
            <w:r w:rsidRPr="00C85C15">
              <w:rPr>
                <w:rFonts w:eastAsia="Times New Roman" w:cs="Times New Roman"/>
                <w:color w:val="000000"/>
                <w:sz w:val="20"/>
                <w:lang w:eastAsia="sk-SK"/>
              </w:rPr>
              <w:t>5,2</w:t>
            </w:r>
          </w:p>
        </w:tc>
        <w:tc>
          <w:tcPr>
            <w:tcW w:w="1748" w:type="dxa"/>
            <w:tcBorders>
              <w:top w:val="nil"/>
              <w:left w:val="nil"/>
              <w:bottom w:val="nil"/>
              <w:right w:val="nil"/>
            </w:tcBorders>
            <w:shd w:val="clear" w:color="000000" w:fill="FFFFFF"/>
            <w:noWrap/>
            <w:vAlign w:val="bottom"/>
            <w:hideMark/>
          </w:tcPr>
          <w:p w14:paraId="05076C50" w14:textId="77777777" w:rsidR="00B6502E" w:rsidRPr="00C85C15" w:rsidRDefault="00B6502E" w:rsidP="00C774C4">
            <w:pPr>
              <w:spacing w:after="0" w:line="240" w:lineRule="auto"/>
              <w:jc w:val="right"/>
              <w:rPr>
                <w:rFonts w:eastAsia="Times New Roman" w:cs="Times New Roman"/>
                <w:color w:val="000000"/>
                <w:sz w:val="20"/>
                <w:lang w:eastAsia="sk-SK"/>
              </w:rPr>
            </w:pPr>
            <w:r w:rsidRPr="00C85C15">
              <w:rPr>
                <w:rFonts w:eastAsia="Times New Roman" w:cs="Times New Roman"/>
                <w:color w:val="000000"/>
                <w:sz w:val="20"/>
                <w:lang w:eastAsia="sk-SK"/>
              </w:rPr>
              <w:t>9,2</w:t>
            </w:r>
          </w:p>
        </w:tc>
      </w:tr>
      <w:tr w:rsidR="00B6502E" w:rsidRPr="00C85C15" w14:paraId="049CA63D" w14:textId="77777777" w:rsidTr="00C774C4">
        <w:trPr>
          <w:trHeight w:val="284"/>
        </w:trPr>
        <w:tc>
          <w:tcPr>
            <w:tcW w:w="3969" w:type="dxa"/>
            <w:tcBorders>
              <w:top w:val="nil"/>
              <w:left w:val="nil"/>
              <w:bottom w:val="nil"/>
              <w:right w:val="nil"/>
            </w:tcBorders>
            <w:shd w:val="clear" w:color="000000" w:fill="FFFFFF"/>
            <w:noWrap/>
            <w:vAlign w:val="bottom"/>
            <w:hideMark/>
          </w:tcPr>
          <w:p w14:paraId="1D2B4E6E" w14:textId="77777777" w:rsidR="00B6502E" w:rsidRPr="00C85C15" w:rsidRDefault="00B6502E" w:rsidP="00C774C4">
            <w:pPr>
              <w:spacing w:after="0" w:line="240" w:lineRule="auto"/>
              <w:jc w:val="left"/>
              <w:rPr>
                <w:rFonts w:eastAsia="Times New Roman" w:cs="Times New Roman"/>
                <w:b/>
                <w:bCs/>
                <w:color w:val="000000"/>
                <w:sz w:val="20"/>
                <w:lang w:eastAsia="sk-SK"/>
              </w:rPr>
            </w:pPr>
            <w:r w:rsidRPr="00C85C15">
              <w:rPr>
                <w:rFonts w:eastAsia="Times New Roman" w:cs="Times New Roman"/>
                <w:b/>
                <w:bCs/>
                <w:color w:val="000000"/>
                <w:sz w:val="20"/>
                <w:lang w:eastAsia="sk-SK"/>
              </w:rPr>
              <w:t>Ostatní zdravotne znevýhodnení</w:t>
            </w:r>
          </w:p>
        </w:tc>
        <w:tc>
          <w:tcPr>
            <w:tcW w:w="1607" w:type="dxa"/>
            <w:tcBorders>
              <w:top w:val="nil"/>
              <w:left w:val="nil"/>
              <w:bottom w:val="nil"/>
              <w:right w:val="nil"/>
            </w:tcBorders>
            <w:shd w:val="clear" w:color="000000" w:fill="FFFFFF"/>
            <w:noWrap/>
            <w:vAlign w:val="bottom"/>
            <w:hideMark/>
          </w:tcPr>
          <w:p w14:paraId="216C96F9" w14:textId="77777777" w:rsidR="00B6502E" w:rsidRPr="00C85C15" w:rsidRDefault="00B6502E" w:rsidP="00C774C4">
            <w:pPr>
              <w:spacing w:after="0" w:line="240" w:lineRule="auto"/>
              <w:jc w:val="right"/>
              <w:rPr>
                <w:rFonts w:eastAsia="Times New Roman" w:cs="Times New Roman"/>
                <w:b/>
                <w:bCs/>
                <w:color w:val="000000"/>
                <w:sz w:val="20"/>
                <w:lang w:eastAsia="sk-SK"/>
              </w:rPr>
            </w:pPr>
            <w:r w:rsidRPr="00C85C15">
              <w:rPr>
                <w:rFonts w:eastAsia="Times New Roman" w:cs="Times New Roman"/>
                <w:b/>
                <w:bCs/>
                <w:color w:val="000000"/>
                <w:sz w:val="20"/>
                <w:lang w:eastAsia="sk-SK"/>
              </w:rPr>
              <w:t>8,0</w:t>
            </w:r>
          </w:p>
        </w:tc>
        <w:tc>
          <w:tcPr>
            <w:tcW w:w="1748" w:type="dxa"/>
            <w:tcBorders>
              <w:top w:val="nil"/>
              <w:left w:val="nil"/>
              <w:bottom w:val="nil"/>
              <w:right w:val="nil"/>
            </w:tcBorders>
            <w:shd w:val="clear" w:color="000000" w:fill="FFFFFF"/>
            <w:noWrap/>
            <w:vAlign w:val="bottom"/>
            <w:hideMark/>
          </w:tcPr>
          <w:p w14:paraId="5DE88D18" w14:textId="77777777" w:rsidR="00B6502E" w:rsidRPr="00C85C15" w:rsidRDefault="00B6502E" w:rsidP="00C774C4">
            <w:pPr>
              <w:spacing w:after="0" w:line="240" w:lineRule="auto"/>
              <w:jc w:val="right"/>
              <w:rPr>
                <w:rFonts w:eastAsia="Times New Roman" w:cs="Times New Roman"/>
                <w:b/>
                <w:bCs/>
                <w:color w:val="000000"/>
                <w:sz w:val="20"/>
                <w:lang w:eastAsia="sk-SK"/>
              </w:rPr>
            </w:pPr>
            <w:r w:rsidRPr="00C85C15">
              <w:rPr>
                <w:rFonts w:eastAsia="Times New Roman" w:cs="Times New Roman"/>
                <w:b/>
                <w:bCs/>
                <w:color w:val="000000"/>
                <w:sz w:val="20"/>
                <w:lang w:eastAsia="sk-SK"/>
              </w:rPr>
              <w:t>8,1</w:t>
            </w:r>
          </w:p>
        </w:tc>
        <w:tc>
          <w:tcPr>
            <w:tcW w:w="1748" w:type="dxa"/>
            <w:tcBorders>
              <w:top w:val="nil"/>
              <w:left w:val="nil"/>
              <w:bottom w:val="nil"/>
              <w:right w:val="nil"/>
            </w:tcBorders>
            <w:shd w:val="clear" w:color="000000" w:fill="FFFFFF"/>
            <w:noWrap/>
            <w:vAlign w:val="bottom"/>
            <w:hideMark/>
          </w:tcPr>
          <w:p w14:paraId="3D79CC3A" w14:textId="77777777" w:rsidR="00B6502E" w:rsidRPr="00C85C15" w:rsidRDefault="00B6502E" w:rsidP="00C774C4">
            <w:pPr>
              <w:spacing w:after="0" w:line="240" w:lineRule="auto"/>
              <w:jc w:val="right"/>
              <w:rPr>
                <w:rFonts w:eastAsia="Times New Roman" w:cs="Times New Roman"/>
                <w:b/>
                <w:bCs/>
                <w:color w:val="000000"/>
                <w:sz w:val="20"/>
                <w:lang w:eastAsia="sk-SK"/>
              </w:rPr>
            </w:pPr>
            <w:r w:rsidRPr="00C85C15">
              <w:rPr>
                <w:rFonts w:eastAsia="Times New Roman" w:cs="Times New Roman"/>
                <w:b/>
                <w:bCs/>
                <w:color w:val="000000"/>
                <w:sz w:val="20"/>
                <w:lang w:eastAsia="sk-SK"/>
              </w:rPr>
              <w:t>6,6</w:t>
            </w:r>
          </w:p>
        </w:tc>
      </w:tr>
      <w:tr w:rsidR="00B6502E" w:rsidRPr="00C85C15" w14:paraId="3CBB3C8E" w14:textId="77777777" w:rsidTr="00C774C4">
        <w:trPr>
          <w:trHeight w:val="284"/>
        </w:trPr>
        <w:tc>
          <w:tcPr>
            <w:tcW w:w="3969" w:type="dxa"/>
            <w:tcBorders>
              <w:top w:val="nil"/>
              <w:left w:val="nil"/>
              <w:bottom w:val="single" w:sz="4" w:space="0" w:color="auto"/>
              <w:right w:val="nil"/>
            </w:tcBorders>
            <w:shd w:val="clear" w:color="000000" w:fill="FFFFFF"/>
            <w:noWrap/>
            <w:vAlign w:val="bottom"/>
            <w:hideMark/>
          </w:tcPr>
          <w:p w14:paraId="08A22B7C" w14:textId="77777777" w:rsidR="00B6502E" w:rsidRPr="00C85C15" w:rsidRDefault="00B6502E" w:rsidP="00C774C4">
            <w:pPr>
              <w:spacing w:after="0" w:line="240" w:lineRule="auto"/>
              <w:jc w:val="left"/>
              <w:rPr>
                <w:rFonts w:eastAsia="Times New Roman" w:cs="Times New Roman"/>
                <w:b/>
                <w:bCs/>
                <w:color w:val="000000"/>
                <w:sz w:val="20"/>
                <w:lang w:eastAsia="sk-SK"/>
              </w:rPr>
            </w:pPr>
            <w:r w:rsidRPr="00C85C15">
              <w:rPr>
                <w:rFonts w:eastAsia="Times New Roman" w:cs="Times New Roman"/>
                <w:b/>
                <w:bCs/>
                <w:color w:val="000000"/>
                <w:sz w:val="20"/>
                <w:lang w:eastAsia="sk-SK"/>
              </w:rPr>
              <w:t>Žiaci bez zdravotného znevýhodnenia</w:t>
            </w:r>
          </w:p>
        </w:tc>
        <w:tc>
          <w:tcPr>
            <w:tcW w:w="1607" w:type="dxa"/>
            <w:tcBorders>
              <w:top w:val="nil"/>
              <w:left w:val="nil"/>
              <w:bottom w:val="single" w:sz="4" w:space="0" w:color="auto"/>
              <w:right w:val="nil"/>
            </w:tcBorders>
            <w:shd w:val="clear" w:color="000000" w:fill="FFFFFF"/>
            <w:noWrap/>
            <w:vAlign w:val="bottom"/>
            <w:hideMark/>
          </w:tcPr>
          <w:p w14:paraId="506AE5CC" w14:textId="77777777" w:rsidR="00B6502E" w:rsidRPr="00C85C15" w:rsidRDefault="00B6502E" w:rsidP="00C774C4">
            <w:pPr>
              <w:spacing w:after="0" w:line="240" w:lineRule="auto"/>
              <w:jc w:val="right"/>
              <w:rPr>
                <w:rFonts w:eastAsia="Times New Roman" w:cs="Times New Roman"/>
                <w:b/>
                <w:bCs/>
                <w:color w:val="000000"/>
                <w:sz w:val="20"/>
                <w:lang w:eastAsia="sk-SK"/>
              </w:rPr>
            </w:pPr>
            <w:r w:rsidRPr="00C85C15">
              <w:rPr>
                <w:rFonts w:eastAsia="Times New Roman" w:cs="Times New Roman"/>
                <w:b/>
                <w:bCs/>
                <w:color w:val="000000"/>
                <w:sz w:val="20"/>
                <w:lang w:eastAsia="sk-SK"/>
              </w:rPr>
              <w:t>88,0</w:t>
            </w:r>
          </w:p>
        </w:tc>
        <w:tc>
          <w:tcPr>
            <w:tcW w:w="1748" w:type="dxa"/>
            <w:tcBorders>
              <w:top w:val="nil"/>
              <w:left w:val="nil"/>
              <w:bottom w:val="single" w:sz="4" w:space="0" w:color="auto"/>
              <w:right w:val="nil"/>
            </w:tcBorders>
            <w:shd w:val="clear" w:color="000000" w:fill="FFFFFF"/>
            <w:noWrap/>
            <w:vAlign w:val="bottom"/>
            <w:hideMark/>
          </w:tcPr>
          <w:p w14:paraId="2FFEB454" w14:textId="77777777" w:rsidR="00B6502E" w:rsidRPr="00C85C15" w:rsidRDefault="00B6502E" w:rsidP="00C774C4">
            <w:pPr>
              <w:spacing w:after="0" w:line="240" w:lineRule="auto"/>
              <w:jc w:val="right"/>
              <w:rPr>
                <w:rFonts w:eastAsia="Times New Roman" w:cs="Times New Roman"/>
                <w:b/>
                <w:bCs/>
                <w:color w:val="000000"/>
                <w:sz w:val="20"/>
                <w:lang w:eastAsia="sk-SK"/>
              </w:rPr>
            </w:pPr>
            <w:r w:rsidRPr="00C85C15">
              <w:rPr>
                <w:rFonts w:eastAsia="Times New Roman" w:cs="Times New Roman"/>
                <w:b/>
                <w:bCs/>
                <w:color w:val="000000"/>
                <w:sz w:val="20"/>
                <w:lang w:eastAsia="sk-SK"/>
              </w:rPr>
              <w:t>79,9</w:t>
            </w:r>
          </w:p>
        </w:tc>
        <w:tc>
          <w:tcPr>
            <w:tcW w:w="1748" w:type="dxa"/>
            <w:tcBorders>
              <w:top w:val="nil"/>
              <w:left w:val="nil"/>
              <w:bottom w:val="single" w:sz="4" w:space="0" w:color="auto"/>
              <w:right w:val="nil"/>
            </w:tcBorders>
            <w:shd w:val="clear" w:color="000000" w:fill="FFFFFF"/>
            <w:noWrap/>
            <w:vAlign w:val="bottom"/>
            <w:hideMark/>
          </w:tcPr>
          <w:p w14:paraId="5958BF99" w14:textId="77777777" w:rsidR="00B6502E" w:rsidRPr="00C85C15" w:rsidRDefault="00B6502E" w:rsidP="00C774C4">
            <w:pPr>
              <w:spacing w:after="0" w:line="240" w:lineRule="auto"/>
              <w:jc w:val="right"/>
              <w:rPr>
                <w:rFonts w:eastAsia="Times New Roman" w:cs="Times New Roman"/>
                <w:b/>
                <w:bCs/>
                <w:color w:val="000000"/>
                <w:sz w:val="20"/>
                <w:lang w:eastAsia="sk-SK"/>
              </w:rPr>
            </w:pPr>
            <w:r w:rsidRPr="00C85C15">
              <w:rPr>
                <w:rFonts w:eastAsia="Times New Roman" w:cs="Times New Roman"/>
                <w:b/>
                <w:bCs/>
                <w:color w:val="000000"/>
                <w:sz w:val="20"/>
                <w:lang w:eastAsia="sk-SK"/>
              </w:rPr>
              <w:t>74,1</w:t>
            </w:r>
          </w:p>
        </w:tc>
      </w:tr>
      <w:tr w:rsidR="00B6502E" w:rsidRPr="00C85C15" w14:paraId="2A23343D" w14:textId="77777777" w:rsidTr="00C774C4">
        <w:trPr>
          <w:trHeight w:val="284"/>
        </w:trPr>
        <w:tc>
          <w:tcPr>
            <w:tcW w:w="3969" w:type="dxa"/>
            <w:tcBorders>
              <w:top w:val="nil"/>
              <w:left w:val="nil"/>
              <w:bottom w:val="single" w:sz="4" w:space="0" w:color="auto"/>
              <w:right w:val="nil"/>
            </w:tcBorders>
            <w:shd w:val="clear" w:color="000000" w:fill="FFFFFF"/>
            <w:noWrap/>
            <w:vAlign w:val="bottom"/>
          </w:tcPr>
          <w:p w14:paraId="760EE39B" w14:textId="77777777" w:rsidR="00B6502E" w:rsidRPr="00C85C15" w:rsidRDefault="00B6502E" w:rsidP="00C774C4">
            <w:pPr>
              <w:spacing w:after="0" w:line="240" w:lineRule="auto"/>
              <w:jc w:val="left"/>
              <w:rPr>
                <w:rFonts w:eastAsia="Times New Roman" w:cs="Times New Roman"/>
                <w:b/>
                <w:bCs/>
                <w:color w:val="000000"/>
                <w:sz w:val="20"/>
                <w:lang w:eastAsia="sk-SK"/>
              </w:rPr>
            </w:pPr>
            <w:r w:rsidRPr="00C85C15">
              <w:rPr>
                <w:rFonts w:eastAsia="Times New Roman" w:cs="Times New Roman"/>
                <w:b/>
                <w:bCs/>
                <w:color w:val="000000"/>
                <w:sz w:val="20"/>
                <w:lang w:eastAsia="sk-SK"/>
              </w:rPr>
              <w:t>Celkom</w:t>
            </w:r>
          </w:p>
        </w:tc>
        <w:tc>
          <w:tcPr>
            <w:tcW w:w="1607" w:type="dxa"/>
            <w:tcBorders>
              <w:top w:val="nil"/>
              <w:left w:val="nil"/>
              <w:bottom w:val="single" w:sz="4" w:space="0" w:color="auto"/>
              <w:right w:val="nil"/>
            </w:tcBorders>
            <w:shd w:val="clear" w:color="000000" w:fill="FFFFFF"/>
            <w:noWrap/>
            <w:vAlign w:val="bottom"/>
          </w:tcPr>
          <w:p w14:paraId="343EB136" w14:textId="77777777" w:rsidR="00B6502E" w:rsidRPr="00C85C15" w:rsidRDefault="00B6502E" w:rsidP="00C774C4">
            <w:pPr>
              <w:spacing w:after="0" w:line="240" w:lineRule="auto"/>
              <w:jc w:val="right"/>
              <w:rPr>
                <w:rFonts w:eastAsia="Times New Roman" w:cs="Times New Roman"/>
                <w:b/>
                <w:bCs/>
                <w:color w:val="000000"/>
                <w:sz w:val="20"/>
                <w:lang w:eastAsia="sk-SK"/>
              </w:rPr>
            </w:pPr>
            <w:r w:rsidRPr="00C85C15">
              <w:rPr>
                <w:rFonts w:eastAsia="Times New Roman" w:cs="Times New Roman"/>
                <w:b/>
                <w:bCs/>
                <w:color w:val="000000"/>
                <w:sz w:val="20"/>
                <w:lang w:eastAsia="sk-SK"/>
              </w:rPr>
              <w:t>100,0</w:t>
            </w:r>
          </w:p>
        </w:tc>
        <w:tc>
          <w:tcPr>
            <w:tcW w:w="1748" w:type="dxa"/>
            <w:tcBorders>
              <w:top w:val="nil"/>
              <w:left w:val="nil"/>
              <w:bottom w:val="single" w:sz="4" w:space="0" w:color="auto"/>
              <w:right w:val="nil"/>
            </w:tcBorders>
            <w:shd w:val="clear" w:color="000000" w:fill="FFFFFF"/>
            <w:noWrap/>
            <w:vAlign w:val="bottom"/>
          </w:tcPr>
          <w:p w14:paraId="642140DA" w14:textId="77777777" w:rsidR="00B6502E" w:rsidRPr="00C85C15" w:rsidRDefault="00B6502E" w:rsidP="00C774C4">
            <w:pPr>
              <w:spacing w:after="0" w:line="240" w:lineRule="auto"/>
              <w:jc w:val="right"/>
              <w:rPr>
                <w:rFonts w:eastAsia="Times New Roman" w:cs="Times New Roman"/>
                <w:b/>
                <w:bCs/>
                <w:color w:val="000000"/>
                <w:sz w:val="20"/>
                <w:lang w:eastAsia="sk-SK"/>
              </w:rPr>
            </w:pPr>
            <w:r w:rsidRPr="00C85C15">
              <w:rPr>
                <w:rFonts w:eastAsia="Times New Roman" w:cs="Times New Roman"/>
                <w:b/>
                <w:bCs/>
                <w:color w:val="000000"/>
                <w:sz w:val="20"/>
                <w:lang w:eastAsia="sk-SK"/>
              </w:rPr>
              <w:t>100,0</w:t>
            </w:r>
          </w:p>
        </w:tc>
        <w:tc>
          <w:tcPr>
            <w:tcW w:w="1748" w:type="dxa"/>
            <w:tcBorders>
              <w:top w:val="nil"/>
              <w:left w:val="nil"/>
              <w:bottom w:val="single" w:sz="4" w:space="0" w:color="auto"/>
              <w:right w:val="nil"/>
            </w:tcBorders>
            <w:shd w:val="clear" w:color="000000" w:fill="FFFFFF"/>
            <w:noWrap/>
            <w:vAlign w:val="bottom"/>
          </w:tcPr>
          <w:p w14:paraId="6AC1DC09" w14:textId="77777777" w:rsidR="00B6502E" w:rsidRPr="00C85C15" w:rsidRDefault="00B6502E" w:rsidP="00C774C4">
            <w:pPr>
              <w:spacing w:after="0" w:line="240" w:lineRule="auto"/>
              <w:jc w:val="right"/>
              <w:rPr>
                <w:rFonts w:eastAsia="Times New Roman" w:cs="Times New Roman"/>
                <w:b/>
                <w:bCs/>
                <w:color w:val="000000"/>
                <w:sz w:val="20"/>
                <w:lang w:eastAsia="sk-SK"/>
              </w:rPr>
            </w:pPr>
            <w:r w:rsidRPr="00C85C15">
              <w:rPr>
                <w:rFonts w:eastAsia="Times New Roman" w:cs="Times New Roman"/>
                <w:b/>
                <w:bCs/>
                <w:color w:val="000000"/>
                <w:sz w:val="20"/>
                <w:lang w:eastAsia="sk-SK"/>
              </w:rPr>
              <w:t>100,0</w:t>
            </w:r>
          </w:p>
        </w:tc>
      </w:tr>
      <w:tr w:rsidR="00B6502E" w:rsidRPr="00CA2564" w14:paraId="2C66058B" w14:textId="77777777" w:rsidTr="00C774C4">
        <w:trPr>
          <w:trHeight w:val="286"/>
        </w:trPr>
        <w:tc>
          <w:tcPr>
            <w:tcW w:w="9072" w:type="dxa"/>
            <w:gridSpan w:val="4"/>
            <w:tcBorders>
              <w:top w:val="single" w:sz="4" w:space="0" w:color="auto"/>
              <w:left w:val="nil"/>
              <w:bottom w:val="nil"/>
              <w:right w:val="nil"/>
            </w:tcBorders>
            <w:shd w:val="clear" w:color="auto" w:fill="auto"/>
            <w:vAlign w:val="bottom"/>
            <w:hideMark/>
          </w:tcPr>
          <w:p w14:paraId="2397E260" w14:textId="77777777" w:rsidR="00B6502E" w:rsidRPr="00C85C15" w:rsidRDefault="00B6502E" w:rsidP="00452DBC">
            <w:pPr>
              <w:spacing w:after="0" w:line="240" w:lineRule="auto"/>
              <w:jc w:val="right"/>
              <w:rPr>
                <w:i/>
                <w:noProof/>
                <w:sz w:val="16"/>
                <w:szCs w:val="16"/>
              </w:rPr>
            </w:pPr>
            <w:r w:rsidRPr="00C85C15">
              <w:rPr>
                <w:rFonts w:eastAsia="Times New Roman" w:cs="Times New Roman"/>
                <w:i/>
                <w:sz w:val="16"/>
                <w:szCs w:val="16"/>
                <w:lang w:eastAsia="sk-SK"/>
              </w:rPr>
              <w:t xml:space="preserve">Zdroj: ÚHP na základe údajov </w:t>
            </w:r>
            <w:r w:rsidRPr="00C85C15">
              <w:rPr>
                <w:i/>
                <w:noProof/>
                <w:sz w:val="16"/>
                <w:szCs w:val="16"/>
              </w:rPr>
              <w:t>RIS MŠVVŠ, ÚPSVR, ARK</w:t>
            </w:r>
          </w:p>
          <w:p w14:paraId="0732369E" w14:textId="581AE7E2" w:rsidR="00B6502E" w:rsidRPr="008360EB" w:rsidRDefault="002A676F" w:rsidP="00452DBC">
            <w:pPr>
              <w:spacing w:after="0" w:line="240" w:lineRule="auto"/>
              <w:rPr>
                <w:i/>
                <w:noProof/>
                <w:sz w:val="16"/>
                <w:szCs w:val="16"/>
              </w:rPr>
            </w:pPr>
            <w:r>
              <w:rPr>
                <w:i/>
                <w:noProof/>
                <w:sz w:val="16"/>
                <w:szCs w:val="16"/>
              </w:rPr>
              <w:t xml:space="preserve">Poznámka: </w:t>
            </w:r>
            <w:r w:rsidRPr="002A676F">
              <w:rPr>
                <w:i/>
                <w:noProof/>
                <w:sz w:val="18"/>
                <w:szCs w:val="18"/>
              </w:rPr>
              <w:fldChar w:fldCharType="begin"/>
            </w:r>
            <w:r w:rsidRPr="002A676F">
              <w:rPr>
                <w:rFonts w:eastAsia="Times New Roman" w:cs="Times New Roman"/>
                <w:i/>
                <w:iCs/>
                <w:color w:val="000000"/>
                <w:sz w:val="18"/>
                <w:szCs w:val="18"/>
              </w:rPr>
              <w:instrText xml:space="preserve"> REF _Ref33439692 \h </w:instrText>
            </w:r>
            <w:r w:rsidRPr="002A676F">
              <w:rPr>
                <w:i/>
                <w:noProof/>
                <w:sz w:val="18"/>
                <w:szCs w:val="18"/>
              </w:rPr>
              <w:instrText xml:space="preserve"> \* MERGEFORMAT </w:instrText>
            </w:r>
            <w:r w:rsidRPr="002A676F">
              <w:rPr>
                <w:i/>
                <w:noProof/>
                <w:sz w:val="18"/>
                <w:szCs w:val="18"/>
              </w:rPr>
            </w:r>
            <w:r w:rsidRPr="002A676F">
              <w:rPr>
                <w:i/>
                <w:noProof/>
                <w:sz w:val="18"/>
                <w:szCs w:val="18"/>
              </w:rPr>
              <w:fldChar w:fldCharType="separate"/>
            </w:r>
            <w:r w:rsidR="00FA29AF" w:rsidRPr="00FA29AF">
              <w:rPr>
                <w:i/>
                <w:sz w:val="18"/>
                <w:szCs w:val="18"/>
              </w:rPr>
              <w:t xml:space="preserve">Box </w:t>
            </w:r>
            <w:r w:rsidR="00FA29AF" w:rsidRPr="00FA29AF">
              <w:rPr>
                <w:i/>
                <w:noProof/>
                <w:sz w:val="18"/>
                <w:szCs w:val="18"/>
              </w:rPr>
              <w:t>3</w:t>
            </w:r>
            <w:r w:rsidRPr="002A676F">
              <w:rPr>
                <w:i/>
                <w:noProof/>
                <w:sz w:val="18"/>
                <w:szCs w:val="18"/>
              </w:rPr>
              <w:fldChar w:fldCharType="end"/>
            </w:r>
            <w:r w:rsidRPr="002A676F">
              <w:rPr>
                <w:i/>
                <w:noProof/>
                <w:sz w:val="18"/>
                <w:szCs w:val="18"/>
              </w:rPr>
              <w:t xml:space="preserve"> </w:t>
            </w:r>
            <w:r w:rsidR="00B6502E" w:rsidRPr="00C85C15">
              <w:rPr>
                <w:i/>
                <w:noProof/>
                <w:sz w:val="16"/>
                <w:szCs w:val="16"/>
              </w:rPr>
              <w:t>pre definíciu MRK a PHN. Žiaci s ľahkým mentálnym postihnutím nezahŕňajú žiakov s kombinovaným postihnutím. Tí sú zahrnutí do skupiny „Ostatní zdravotne znevýhodnení“.</w:t>
            </w:r>
          </w:p>
        </w:tc>
      </w:tr>
    </w:tbl>
    <w:p w14:paraId="0E190A35" w14:textId="244AA71C" w:rsidR="002C54EB" w:rsidRPr="002C54EB" w:rsidRDefault="00BE798A" w:rsidP="00BE798A">
      <w:pPr>
        <w:spacing w:before="120"/>
      </w:pPr>
      <w:r>
        <w:rPr>
          <w:b/>
        </w:rPr>
        <w:t>Napriek</w:t>
      </w:r>
      <w:r w:rsidRPr="00A47998">
        <w:rPr>
          <w:b/>
        </w:rPr>
        <w:t xml:space="preserve"> realizácii viacerých národných projektov zameraných na podporu inkluzívneho vzdelávania v ostatných rokoch (</w:t>
      </w:r>
      <w:r w:rsidR="00134838" w:rsidRPr="00134838">
        <w:rPr>
          <w:b/>
        </w:rPr>
        <w:fldChar w:fldCharType="begin"/>
      </w:r>
      <w:r w:rsidR="00134838" w:rsidRPr="00134838">
        <w:rPr>
          <w:b/>
        </w:rPr>
        <w:instrText xml:space="preserve"> REF _Ref25324181 \h  \* MERGEFORMAT </w:instrText>
      </w:r>
      <w:r w:rsidR="00134838" w:rsidRPr="00134838">
        <w:rPr>
          <w:b/>
        </w:rPr>
      </w:r>
      <w:r w:rsidR="00134838" w:rsidRPr="00134838">
        <w:rPr>
          <w:b/>
        </w:rPr>
        <w:fldChar w:fldCharType="separate"/>
      </w:r>
      <w:r w:rsidR="00FA29AF" w:rsidRPr="00FA29AF">
        <w:rPr>
          <w:b/>
        </w:rPr>
        <w:t>Príloha 10</w:t>
      </w:r>
      <w:r w:rsidR="00134838" w:rsidRPr="00134838">
        <w:rPr>
          <w:b/>
        </w:rPr>
        <w:fldChar w:fldCharType="end"/>
      </w:r>
      <w:r w:rsidRPr="00A47998">
        <w:rPr>
          <w:b/>
        </w:rPr>
        <w:t>)</w:t>
      </w:r>
      <w:r>
        <w:rPr>
          <w:b/>
        </w:rPr>
        <w:t xml:space="preserve"> v</w:t>
      </w:r>
      <w:r w:rsidRPr="00A47998">
        <w:rPr>
          <w:b/>
        </w:rPr>
        <w:t xml:space="preserve"> prostredí škôl </w:t>
      </w:r>
      <w:r>
        <w:rPr>
          <w:b/>
        </w:rPr>
        <w:t xml:space="preserve">pretrváva </w:t>
      </w:r>
      <w:r w:rsidRPr="00A47998">
        <w:rPr>
          <w:b/>
        </w:rPr>
        <w:t>názor, že oddelené vzdelávanie v</w:t>
      </w:r>
      <w:r>
        <w:rPr>
          <w:b/>
        </w:rPr>
        <w:t> špeciálnom prúde</w:t>
      </w:r>
      <w:r w:rsidRPr="00A47998">
        <w:rPr>
          <w:b/>
        </w:rPr>
        <w:t xml:space="preserve"> predstavuje pre väčšinu žiakov so ZZ vhodnejšiu alternatívu ako vzdelávanie v bežnom prúde. </w:t>
      </w:r>
      <w:r>
        <w:rPr>
          <w:bCs/>
        </w:rPr>
        <w:t xml:space="preserve">Potvrdzuje to reprezentatívny prieskum uskutočnený medzi zástupcami škôl (To dá rozum, 2019). </w:t>
      </w:r>
      <w:r w:rsidRPr="00A47998">
        <w:t xml:space="preserve">Najvyššia podpora oddeleného vzdelávania </w:t>
      </w:r>
      <w:r>
        <w:t xml:space="preserve">(64 % až 86 % respondentov) </w:t>
      </w:r>
      <w:r w:rsidRPr="00A47998">
        <w:t xml:space="preserve">sa ukázala v prípade žiakov so závažnejšími druhmi postihnutia. </w:t>
      </w:r>
      <w:r>
        <w:t>Veľká časť r</w:t>
      </w:r>
      <w:r w:rsidRPr="00A47998">
        <w:t>espondent</w:t>
      </w:r>
      <w:r>
        <w:t>ov</w:t>
      </w:r>
      <w:r w:rsidRPr="00A47998">
        <w:t xml:space="preserve"> však považoval</w:t>
      </w:r>
      <w:r>
        <w:t>a</w:t>
      </w:r>
      <w:r w:rsidRPr="00A47998">
        <w:t xml:space="preserve"> špeciálny vzdelávací prúd za vhodný aj pre žiakov s poruchou správania (54,1 %), poruchou učenia (43,5 %) či poruchou aktivity a pozornosti (42,8 %). Vysoká podpora oddeleného vzdelávania sa dokonca ukázala aj v prípade žiakov s telesným postihnutím (38,5 %), pričom pre týchto žiakov je v mnohých prípadoch postačujúce debarierizovať prostredie školy. Tieto postoje môžu </w:t>
      </w:r>
      <w:r w:rsidR="00B24660">
        <w:t>vyplýva</w:t>
      </w:r>
      <w:r w:rsidRPr="00A47998">
        <w:t>ť z nedostatočnej informovanosti aktérov o možnostiach vzdelávania týchto žiakov ako aj z nedostatočných podmienok škôl pre realizáciu inkluzívneho vzdelávania</w:t>
      </w:r>
      <w:r>
        <w:t>.</w:t>
      </w:r>
    </w:p>
    <w:p w14:paraId="450FD738" w14:textId="21C9CA3A" w:rsidR="008E166F" w:rsidRDefault="008E166F" w:rsidP="00452DBC">
      <w:pPr>
        <w:spacing w:before="120"/>
      </w:pPr>
      <w:r w:rsidRPr="00A47998">
        <w:rPr>
          <w:b/>
        </w:rPr>
        <w:t>Podiel žiakov so ZZ vzdelávaných v špeciálnom prúde klesá (</w:t>
      </w:r>
      <w:r w:rsidR="00FD41D6" w:rsidRPr="00FD41D6">
        <w:rPr>
          <w:b/>
        </w:rPr>
        <w:fldChar w:fldCharType="begin"/>
      </w:r>
      <w:r w:rsidR="00FD41D6" w:rsidRPr="00FD41D6">
        <w:rPr>
          <w:b/>
        </w:rPr>
        <w:instrText xml:space="preserve"> REF _Ref25744441 \h  \* MERGEFORMAT </w:instrText>
      </w:r>
      <w:r w:rsidR="00FD41D6" w:rsidRPr="00FD41D6">
        <w:rPr>
          <w:b/>
        </w:rPr>
      </w:r>
      <w:r w:rsidR="00FD41D6" w:rsidRPr="00FD41D6">
        <w:rPr>
          <w:b/>
        </w:rPr>
        <w:fldChar w:fldCharType="separate"/>
      </w:r>
      <w:r w:rsidR="00FA29AF" w:rsidRPr="00FA29AF">
        <w:rPr>
          <w:b/>
        </w:rPr>
        <w:t>Graf 26</w:t>
      </w:r>
      <w:r w:rsidR="00FD41D6" w:rsidRPr="00FD41D6">
        <w:rPr>
          <w:b/>
        </w:rPr>
        <w:fldChar w:fldCharType="end"/>
      </w:r>
      <w:r w:rsidRPr="00A47998">
        <w:rPr>
          <w:b/>
        </w:rPr>
        <w:t xml:space="preserve">). Napriek tomu </w:t>
      </w:r>
      <w:r>
        <w:rPr>
          <w:b/>
        </w:rPr>
        <w:t>je Slovensko</w:t>
      </w:r>
      <w:r w:rsidRPr="00A47998">
        <w:rPr>
          <w:b/>
        </w:rPr>
        <w:t xml:space="preserve"> v medzinárodnom porovnaní stále krajinou s najvyšším podielom žiakov vzdelávaných v špeciálnom školstve</w:t>
      </w:r>
      <w:r w:rsidRPr="00A47998">
        <w:t xml:space="preserve">. </w:t>
      </w:r>
      <w:r w:rsidR="00B6502E" w:rsidRPr="00364A1C">
        <w:t xml:space="preserve">Špeciálny prúd na Slovensku v školskom roku 2014/15 navštevovalo </w:t>
      </w:r>
      <w:r w:rsidRPr="00A47998">
        <w:t xml:space="preserve">5,9 % populácie žiakov základných škôl v porovnaní s 1,6 % vo vybraných krajín EÚ. Kým počet žiakov so ZZ v integrácii sa </w:t>
      </w:r>
      <w:r>
        <w:t>na Slovensku</w:t>
      </w:r>
      <w:r w:rsidRPr="00A47998">
        <w:t xml:space="preserve"> za posledných desať rokov takmer zdvojnásobil (nárast o 87 %), počet žiakov v špeciálnych školách a špeciálnych triedach klesol iba o 7 %</w:t>
      </w:r>
      <w:r>
        <w:t xml:space="preserve"> (</w:t>
      </w:r>
      <w:r w:rsidR="00FD41D6" w:rsidRPr="00FD41D6">
        <w:fldChar w:fldCharType="begin"/>
      </w:r>
      <w:r w:rsidR="00FD41D6" w:rsidRPr="00FD41D6">
        <w:instrText xml:space="preserve"> REF _Ref25744448 \h </w:instrText>
      </w:r>
      <w:r w:rsidR="00FD41D6">
        <w:instrText xml:space="preserve"> \* MERGEFORMAT </w:instrText>
      </w:r>
      <w:r w:rsidR="00FD41D6" w:rsidRPr="00FD41D6">
        <w:fldChar w:fldCharType="separate"/>
      </w:r>
      <w:r w:rsidR="00FA29AF" w:rsidRPr="00FA29AF">
        <w:t>Graf 27</w:t>
      </w:r>
      <w:r w:rsidR="00FD41D6" w:rsidRPr="00FD41D6">
        <w:fldChar w:fldCharType="end"/>
      </w:r>
      <w:r w:rsidRPr="00FD41D6">
        <w:t>)</w:t>
      </w:r>
      <w:r w:rsidRPr="00A47998">
        <w:t>. Podiel žiakov prestupujúcich z bežných do špeciálnych škôl sa znižoval, oproti roku 2008 klesol o viac ako tretinu (37 %) (</w:t>
      </w:r>
      <w:r w:rsidR="00134838" w:rsidRPr="00134838">
        <w:fldChar w:fldCharType="begin"/>
      </w:r>
      <w:r w:rsidR="00134838">
        <w:instrText xml:space="preserve"> REF _Ref25838324 \h  \* MERGEFORMAT </w:instrText>
      </w:r>
      <w:r w:rsidR="00134838" w:rsidRPr="00134838">
        <w:fldChar w:fldCharType="separate"/>
      </w:r>
      <w:r w:rsidR="00FA29AF" w:rsidRPr="00FA29AF">
        <w:t>Príloha 17</w:t>
      </w:r>
      <w:r w:rsidR="00134838" w:rsidRPr="00134838">
        <w:fldChar w:fldCharType="end"/>
      </w:r>
      <w:r w:rsidRPr="00A47998">
        <w:t>).</w:t>
      </w:r>
    </w:p>
    <w:tbl>
      <w:tblPr>
        <w:tblW w:w="9143" w:type="dxa"/>
        <w:tblLayout w:type="fixed"/>
        <w:tblLook w:val="04A0" w:firstRow="1" w:lastRow="0" w:firstColumn="1" w:lastColumn="0" w:noHBand="0" w:noVBand="1"/>
      </w:tblPr>
      <w:tblGrid>
        <w:gridCol w:w="4376"/>
        <w:gridCol w:w="236"/>
        <w:gridCol w:w="4531"/>
      </w:tblGrid>
      <w:tr w:rsidR="008E166F" w14:paraId="644FEFD7" w14:textId="77777777" w:rsidTr="000F37B6">
        <w:tc>
          <w:tcPr>
            <w:tcW w:w="4376" w:type="dxa"/>
            <w:tcBorders>
              <w:top w:val="nil"/>
              <w:left w:val="nil"/>
              <w:bottom w:val="single" w:sz="4" w:space="0" w:color="auto"/>
              <w:right w:val="nil"/>
            </w:tcBorders>
          </w:tcPr>
          <w:p w14:paraId="0BC046D4" w14:textId="33128A1C" w:rsidR="008E166F" w:rsidRPr="00145CB8" w:rsidRDefault="00101EF0" w:rsidP="00145CB8">
            <w:pPr>
              <w:pStyle w:val="Popis"/>
              <w:keepNext/>
              <w:spacing w:after="0"/>
              <w:rPr>
                <w:b/>
                <w:bCs/>
                <w:i w:val="0"/>
                <w:color w:val="auto"/>
                <w:sz w:val="20"/>
                <w:szCs w:val="20"/>
              </w:rPr>
            </w:pPr>
            <w:bookmarkStart w:id="409" w:name="_Ref25744441"/>
            <w:bookmarkStart w:id="410" w:name="_Toc34157584"/>
            <w:r w:rsidRPr="00145CB8">
              <w:rPr>
                <w:b/>
                <w:i w:val="0"/>
                <w:color w:val="auto"/>
                <w:sz w:val="20"/>
                <w:szCs w:val="20"/>
              </w:rPr>
              <w:t xml:space="preserve">Graf </w:t>
            </w:r>
            <w:r w:rsidRPr="00145CB8">
              <w:rPr>
                <w:b/>
                <w:i w:val="0"/>
                <w:color w:val="auto"/>
                <w:sz w:val="20"/>
                <w:szCs w:val="20"/>
              </w:rPr>
              <w:fldChar w:fldCharType="begin"/>
            </w:r>
            <w:r w:rsidRPr="00145CB8">
              <w:rPr>
                <w:b/>
                <w:i w:val="0"/>
                <w:color w:val="auto"/>
                <w:sz w:val="20"/>
                <w:szCs w:val="20"/>
              </w:rPr>
              <w:instrText xml:space="preserve"> SEQ Graf \* ARABIC </w:instrText>
            </w:r>
            <w:r w:rsidRPr="00145CB8">
              <w:rPr>
                <w:b/>
                <w:i w:val="0"/>
                <w:color w:val="auto"/>
                <w:sz w:val="20"/>
                <w:szCs w:val="20"/>
              </w:rPr>
              <w:fldChar w:fldCharType="separate"/>
            </w:r>
            <w:r w:rsidR="00FA29AF">
              <w:rPr>
                <w:b/>
                <w:i w:val="0"/>
                <w:noProof/>
                <w:color w:val="auto"/>
                <w:sz w:val="20"/>
                <w:szCs w:val="20"/>
              </w:rPr>
              <w:t>26</w:t>
            </w:r>
            <w:r w:rsidRPr="00145CB8">
              <w:rPr>
                <w:b/>
                <w:i w:val="0"/>
                <w:color w:val="auto"/>
                <w:sz w:val="20"/>
                <w:szCs w:val="20"/>
              </w:rPr>
              <w:fldChar w:fldCharType="end"/>
            </w:r>
            <w:bookmarkEnd w:id="409"/>
            <w:r w:rsidRPr="00145CB8">
              <w:rPr>
                <w:b/>
                <w:i w:val="0"/>
                <w:color w:val="auto"/>
                <w:sz w:val="20"/>
                <w:szCs w:val="20"/>
              </w:rPr>
              <w:t>:</w:t>
            </w:r>
            <w:r w:rsidR="008E166F" w:rsidRPr="00145CB8">
              <w:rPr>
                <w:b/>
                <w:bCs/>
                <w:i w:val="0"/>
                <w:color w:val="auto"/>
                <w:sz w:val="20"/>
                <w:szCs w:val="20"/>
              </w:rPr>
              <w:t xml:space="preserve"> Podiel žiakov so zdravotným znevýhodnením v jednotlivých vzdelávacích prúdoch</w:t>
            </w:r>
            <w:bookmarkEnd w:id="410"/>
          </w:p>
        </w:tc>
        <w:tc>
          <w:tcPr>
            <w:tcW w:w="236" w:type="dxa"/>
            <w:tcBorders>
              <w:top w:val="nil"/>
              <w:left w:val="nil"/>
              <w:bottom w:val="nil"/>
              <w:right w:val="nil"/>
            </w:tcBorders>
          </w:tcPr>
          <w:p w14:paraId="6A69F16E" w14:textId="77777777" w:rsidR="008E166F" w:rsidRPr="00145CB8" w:rsidRDefault="008E166F" w:rsidP="00145CB8">
            <w:pPr>
              <w:spacing w:after="0"/>
              <w:rPr>
                <w:b/>
                <w:sz w:val="20"/>
              </w:rPr>
            </w:pPr>
          </w:p>
        </w:tc>
        <w:tc>
          <w:tcPr>
            <w:tcW w:w="4531" w:type="dxa"/>
            <w:tcBorders>
              <w:top w:val="nil"/>
              <w:left w:val="nil"/>
              <w:bottom w:val="single" w:sz="4" w:space="0" w:color="auto"/>
              <w:right w:val="nil"/>
            </w:tcBorders>
          </w:tcPr>
          <w:p w14:paraId="7D5FEE8F" w14:textId="73E49063" w:rsidR="008E166F" w:rsidRPr="00145CB8" w:rsidRDefault="00101EF0" w:rsidP="00145CB8">
            <w:pPr>
              <w:pStyle w:val="Popis"/>
              <w:keepNext/>
              <w:spacing w:after="0"/>
              <w:jc w:val="left"/>
              <w:rPr>
                <w:b/>
                <w:bCs/>
                <w:i w:val="0"/>
                <w:color w:val="auto"/>
                <w:sz w:val="20"/>
                <w:szCs w:val="20"/>
              </w:rPr>
            </w:pPr>
            <w:bookmarkStart w:id="411" w:name="_Ref25744448"/>
            <w:bookmarkStart w:id="412" w:name="_Toc34157585"/>
            <w:r w:rsidRPr="00145CB8">
              <w:rPr>
                <w:b/>
                <w:i w:val="0"/>
                <w:color w:val="auto"/>
                <w:sz w:val="20"/>
                <w:szCs w:val="20"/>
              </w:rPr>
              <w:t xml:space="preserve">Graf </w:t>
            </w:r>
            <w:r w:rsidRPr="00145CB8">
              <w:rPr>
                <w:b/>
                <w:i w:val="0"/>
                <w:color w:val="auto"/>
                <w:sz w:val="20"/>
                <w:szCs w:val="20"/>
              </w:rPr>
              <w:fldChar w:fldCharType="begin"/>
            </w:r>
            <w:r w:rsidRPr="00145CB8">
              <w:rPr>
                <w:b/>
                <w:i w:val="0"/>
                <w:color w:val="auto"/>
                <w:sz w:val="20"/>
                <w:szCs w:val="20"/>
              </w:rPr>
              <w:instrText xml:space="preserve"> SEQ Graf \* ARABIC </w:instrText>
            </w:r>
            <w:r w:rsidRPr="00145CB8">
              <w:rPr>
                <w:b/>
                <w:i w:val="0"/>
                <w:color w:val="auto"/>
                <w:sz w:val="20"/>
                <w:szCs w:val="20"/>
              </w:rPr>
              <w:fldChar w:fldCharType="separate"/>
            </w:r>
            <w:r w:rsidR="00FA29AF">
              <w:rPr>
                <w:b/>
                <w:i w:val="0"/>
                <w:noProof/>
                <w:color w:val="auto"/>
                <w:sz w:val="20"/>
                <w:szCs w:val="20"/>
              </w:rPr>
              <w:t>27</w:t>
            </w:r>
            <w:r w:rsidRPr="00145CB8">
              <w:rPr>
                <w:b/>
                <w:i w:val="0"/>
                <w:color w:val="auto"/>
                <w:sz w:val="20"/>
                <w:szCs w:val="20"/>
              </w:rPr>
              <w:fldChar w:fldCharType="end"/>
            </w:r>
            <w:bookmarkEnd w:id="411"/>
            <w:r w:rsidRPr="00145CB8">
              <w:rPr>
                <w:b/>
                <w:i w:val="0"/>
                <w:color w:val="auto"/>
                <w:sz w:val="20"/>
                <w:szCs w:val="20"/>
              </w:rPr>
              <w:t xml:space="preserve">: </w:t>
            </w:r>
            <w:r w:rsidR="008E166F" w:rsidRPr="00145CB8">
              <w:rPr>
                <w:b/>
                <w:i w:val="0"/>
                <w:color w:val="auto"/>
                <w:sz w:val="20"/>
                <w:szCs w:val="20"/>
              </w:rPr>
              <w:t>Počet žiakov so zdravotným znevýhodnením v jednotlivých vzdelávacích prúdoch</w:t>
            </w:r>
            <w:bookmarkEnd w:id="412"/>
          </w:p>
        </w:tc>
      </w:tr>
      <w:tr w:rsidR="008E166F" w14:paraId="7808D14D" w14:textId="77777777" w:rsidTr="000F37B6">
        <w:trPr>
          <w:trHeight w:val="2564"/>
        </w:trPr>
        <w:tc>
          <w:tcPr>
            <w:tcW w:w="4376" w:type="dxa"/>
            <w:tcBorders>
              <w:top w:val="single" w:sz="4" w:space="0" w:color="auto"/>
              <w:left w:val="nil"/>
              <w:bottom w:val="single" w:sz="4" w:space="0" w:color="auto"/>
              <w:right w:val="nil"/>
            </w:tcBorders>
          </w:tcPr>
          <w:p w14:paraId="69B0E9BD" w14:textId="77777777" w:rsidR="008E166F" w:rsidRDefault="008E166F" w:rsidP="008B336A">
            <w:pPr>
              <w:spacing w:after="0"/>
            </w:pPr>
            <w:r w:rsidRPr="00A47998">
              <w:rPr>
                <w:noProof/>
                <w:lang w:eastAsia="sk-SK"/>
              </w:rPr>
              <w:drawing>
                <wp:inline distT="0" distB="0" distL="0" distR="0" wp14:anchorId="14880BBF" wp14:editId="0659C4E0">
                  <wp:extent cx="2600325" cy="2200275"/>
                  <wp:effectExtent l="0" t="0" r="0" b="0"/>
                  <wp:docPr id="28004" name="Graf 2800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3A1BFC51-669A-4A21-AB0E-7B1E36C428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236" w:type="dxa"/>
            <w:tcBorders>
              <w:top w:val="nil"/>
              <w:left w:val="nil"/>
              <w:bottom w:val="nil"/>
              <w:right w:val="nil"/>
            </w:tcBorders>
          </w:tcPr>
          <w:p w14:paraId="4303E14F" w14:textId="77777777" w:rsidR="008E166F" w:rsidRDefault="008E166F" w:rsidP="008B336A">
            <w:pPr>
              <w:spacing w:after="0"/>
            </w:pPr>
          </w:p>
        </w:tc>
        <w:tc>
          <w:tcPr>
            <w:tcW w:w="4531" w:type="dxa"/>
            <w:tcBorders>
              <w:top w:val="single" w:sz="4" w:space="0" w:color="auto"/>
              <w:left w:val="nil"/>
              <w:bottom w:val="single" w:sz="4" w:space="0" w:color="auto"/>
              <w:right w:val="nil"/>
            </w:tcBorders>
          </w:tcPr>
          <w:p w14:paraId="06E771E3" w14:textId="77777777" w:rsidR="008E166F" w:rsidRDefault="008E166F" w:rsidP="008B336A">
            <w:pPr>
              <w:spacing w:after="0"/>
            </w:pPr>
            <w:r w:rsidRPr="00A47998">
              <w:rPr>
                <w:noProof/>
                <w:lang w:eastAsia="sk-SK"/>
              </w:rPr>
              <w:drawing>
                <wp:inline distT="0" distB="0" distL="0" distR="0" wp14:anchorId="5DE22D40" wp14:editId="78F52ED8">
                  <wp:extent cx="2771775" cy="2190750"/>
                  <wp:effectExtent l="0" t="0" r="0" b="0"/>
                  <wp:docPr id="28005" name="Graf 280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rsidR="008E166F" w14:paraId="094B483B" w14:textId="77777777" w:rsidTr="000F37B6">
        <w:tc>
          <w:tcPr>
            <w:tcW w:w="4376" w:type="dxa"/>
            <w:tcBorders>
              <w:top w:val="single" w:sz="4" w:space="0" w:color="auto"/>
              <w:left w:val="nil"/>
              <w:bottom w:val="nil"/>
              <w:right w:val="nil"/>
            </w:tcBorders>
          </w:tcPr>
          <w:p w14:paraId="05526DE3" w14:textId="77777777" w:rsidR="008E166F" w:rsidRDefault="008E166F" w:rsidP="00B35CF6">
            <w:pPr>
              <w:spacing w:after="0"/>
              <w:jc w:val="right"/>
            </w:pPr>
            <w:r w:rsidRPr="00FF243A">
              <w:rPr>
                <w:i/>
                <w:iCs/>
                <w:sz w:val="18"/>
              </w:rPr>
              <w:t>Zdroj: Vlastné prepočty na základe dát CVTI</w:t>
            </w:r>
          </w:p>
        </w:tc>
        <w:tc>
          <w:tcPr>
            <w:tcW w:w="236" w:type="dxa"/>
            <w:tcBorders>
              <w:top w:val="nil"/>
              <w:left w:val="nil"/>
              <w:bottom w:val="nil"/>
              <w:right w:val="nil"/>
            </w:tcBorders>
          </w:tcPr>
          <w:p w14:paraId="464E5B21" w14:textId="77777777" w:rsidR="008E166F" w:rsidRDefault="008E166F" w:rsidP="00B35CF6">
            <w:pPr>
              <w:spacing w:after="0"/>
            </w:pPr>
          </w:p>
        </w:tc>
        <w:tc>
          <w:tcPr>
            <w:tcW w:w="4531" w:type="dxa"/>
            <w:tcBorders>
              <w:top w:val="single" w:sz="4" w:space="0" w:color="auto"/>
              <w:left w:val="nil"/>
              <w:bottom w:val="nil"/>
              <w:right w:val="nil"/>
            </w:tcBorders>
          </w:tcPr>
          <w:p w14:paraId="470AEDA2" w14:textId="77777777" w:rsidR="008E166F" w:rsidRDefault="008E166F" w:rsidP="00B35CF6">
            <w:pPr>
              <w:spacing w:after="0"/>
              <w:jc w:val="right"/>
            </w:pPr>
            <w:r w:rsidRPr="00FF243A">
              <w:rPr>
                <w:i/>
                <w:iCs/>
                <w:sz w:val="18"/>
              </w:rPr>
              <w:t>Zdroj: Vlastné prepočty na základe dát CVTI</w:t>
            </w:r>
          </w:p>
        </w:tc>
      </w:tr>
    </w:tbl>
    <w:p w14:paraId="3CE7C4A3" w14:textId="6773240B" w:rsidR="008E166F" w:rsidRDefault="008E166F" w:rsidP="00452DBC">
      <w:pPr>
        <w:spacing w:before="120"/>
        <w:rPr>
          <w:bCs/>
        </w:rPr>
      </w:pPr>
      <w:r w:rsidRPr="00A47998">
        <w:rPr>
          <w:b/>
          <w:bCs/>
        </w:rPr>
        <w:t>Aspoň jeden žiak so zdravotným znevýhodnením sa vzdelával na 86 % bežných základných škôl.</w:t>
      </w:r>
      <w:r w:rsidRPr="00A47998">
        <w:rPr>
          <w:bCs/>
        </w:rPr>
        <w:t xml:space="preserve"> Priemerný podiel žiakov so ZZ na bežnej základnej škole bol 8 %. Vyše tretina základných škôl (35 %) vykazovala nadpriemerný podiel žiakov so ZZ</w:t>
      </w:r>
      <w:r w:rsidR="0070047D">
        <w:rPr>
          <w:bCs/>
        </w:rPr>
        <w:t xml:space="preserve"> </w:t>
      </w:r>
      <w:r w:rsidRPr="00A47998">
        <w:rPr>
          <w:bCs/>
        </w:rPr>
        <w:t>(16 %). Iba malá časť škôl (2 %) mala viac ako 30 % žiakov so ZZ. Špeciálne triedy malo zriadených 14 % škôl.</w:t>
      </w:r>
      <w:r w:rsidRPr="00A47998">
        <w:rPr>
          <w:rStyle w:val="Odkaznapoznmkupodiarou"/>
          <w:bCs/>
        </w:rPr>
        <w:footnoteReference w:id="218"/>
      </w:r>
      <w:r>
        <w:rPr>
          <w:bCs/>
        </w:rPr>
        <w:t xml:space="preserve"> Index odlišnosti zároveň ukazuje, že niektorí žiaci so ZZ sú koncentrovaní vo vybraných triedach základných škôl</w:t>
      </w:r>
      <w:r w:rsidR="00B6502E">
        <w:rPr>
          <w:bCs/>
        </w:rPr>
        <w:t>, ktoré nie sú špeciálnymi triedami</w:t>
      </w:r>
      <w:r>
        <w:rPr>
          <w:bCs/>
        </w:rPr>
        <w:t xml:space="preserve"> (</w:t>
      </w:r>
      <w:r w:rsidR="00134838" w:rsidRPr="00134838">
        <w:fldChar w:fldCharType="begin"/>
      </w:r>
      <w:r w:rsidR="00134838" w:rsidRPr="00134838">
        <w:instrText xml:space="preserve"> REF _Ref34130980 \h </w:instrText>
      </w:r>
      <w:r w:rsidR="00134838">
        <w:instrText xml:space="preserve"> \* MERGEFORMAT </w:instrText>
      </w:r>
      <w:r w:rsidR="00134838" w:rsidRPr="00134838">
        <w:fldChar w:fldCharType="separate"/>
      </w:r>
      <w:r w:rsidR="00FA29AF" w:rsidRPr="00FA29AF">
        <w:t>Príloha 18</w:t>
      </w:r>
      <w:r w:rsidR="00134838" w:rsidRPr="00134838">
        <w:fldChar w:fldCharType="end"/>
      </w:r>
      <w:r w:rsidRPr="00306886">
        <w:t>)</w:t>
      </w:r>
      <w:r>
        <w:rPr>
          <w:bCs/>
        </w:rPr>
        <w:t>.</w:t>
      </w:r>
    </w:p>
    <w:p w14:paraId="070B8123" w14:textId="14E196E3" w:rsidR="00D205B3" w:rsidRPr="00D205B3" w:rsidRDefault="008E166F" w:rsidP="00D205B3">
      <w:r w:rsidRPr="00FE273E">
        <w:rPr>
          <w:b/>
        </w:rPr>
        <w:t>V roku 2018 dosiahli žiaci so ZZ v testovaní T9 horšie výsledky ako žiaci bez ZZ (</w:t>
      </w:r>
      <w:r w:rsidR="00A878FC" w:rsidRPr="00A878FC">
        <w:rPr>
          <w:b/>
        </w:rPr>
        <w:fldChar w:fldCharType="begin"/>
      </w:r>
      <w:r w:rsidR="00A878FC" w:rsidRPr="00A878FC">
        <w:rPr>
          <w:b/>
        </w:rPr>
        <w:instrText xml:space="preserve"> REF _Ref25744642 \h  \* MERGEFORMAT </w:instrText>
      </w:r>
      <w:r w:rsidR="00A878FC" w:rsidRPr="00A878FC">
        <w:rPr>
          <w:b/>
        </w:rPr>
      </w:r>
      <w:r w:rsidR="00A878FC" w:rsidRPr="00A878FC">
        <w:rPr>
          <w:b/>
        </w:rPr>
        <w:fldChar w:fldCharType="separate"/>
      </w:r>
      <w:r w:rsidR="00FA29AF" w:rsidRPr="00FA29AF">
        <w:rPr>
          <w:b/>
        </w:rPr>
        <w:t>Tabuľka 18</w:t>
      </w:r>
      <w:r w:rsidR="00A878FC" w:rsidRPr="00A878FC">
        <w:rPr>
          <w:b/>
        </w:rPr>
        <w:fldChar w:fldCharType="end"/>
      </w:r>
      <w:r w:rsidRPr="00FE273E">
        <w:rPr>
          <w:b/>
        </w:rPr>
        <w:t>).</w:t>
      </w:r>
      <w:r w:rsidRPr="00FE273E">
        <w:rPr>
          <w:rStyle w:val="Odkaznapoznmkupodiarou"/>
          <w:b/>
          <w:bCs/>
        </w:rPr>
        <w:footnoteReference w:id="219"/>
      </w:r>
      <w:r w:rsidRPr="00A47998">
        <w:t xml:space="preserve"> Testovania sa zúčastňujú všetci žiaci so ZZ okrem </w:t>
      </w:r>
      <w:r w:rsidR="00D205B3">
        <w:t>žiakov s mentálnym postihnutím. Žiaci so závažnými druhmi zdravotného znevýhodnenia, respektíve žiaci s viacnásobným postihnutím sa testovania zúčastňujú dobrovoľne.</w:t>
      </w:r>
    </w:p>
    <w:p w14:paraId="30DA0752" w14:textId="0C2139E4" w:rsidR="00A878FC" w:rsidRPr="00A878FC" w:rsidRDefault="00A878FC" w:rsidP="00A878FC">
      <w:pPr>
        <w:pStyle w:val="Popis"/>
        <w:keepNext/>
        <w:spacing w:after="0"/>
        <w:rPr>
          <w:b/>
          <w:i w:val="0"/>
          <w:color w:val="auto"/>
          <w:sz w:val="20"/>
          <w:szCs w:val="20"/>
        </w:rPr>
      </w:pPr>
      <w:bookmarkStart w:id="413" w:name="_Ref25744642"/>
      <w:bookmarkStart w:id="414" w:name="_Toc34156857"/>
      <w:r w:rsidRPr="00A878FC">
        <w:rPr>
          <w:b/>
          <w:i w:val="0"/>
          <w:color w:val="auto"/>
          <w:sz w:val="20"/>
          <w:szCs w:val="20"/>
        </w:rPr>
        <w:t xml:space="preserve">Tabuľka </w:t>
      </w:r>
      <w:r w:rsidRPr="00A878FC">
        <w:rPr>
          <w:b/>
          <w:i w:val="0"/>
          <w:color w:val="auto"/>
          <w:sz w:val="20"/>
          <w:szCs w:val="20"/>
        </w:rPr>
        <w:fldChar w:fldCharType="begin"/>
      </w:r>
      <w:r w:rsidRPr="00A878FC">
        <w:rPr>
          <w:b/>
          <w:i w:val="0"/>
          <w:color w:val="auto"/>
          <w:sz w:val="20"/>
          <w:szCs w:val="20"/>
        </w:rPr>
        <w:instrText xml:space="preserve"> SEQ Tabuľka \* ARABIC </w:instrText>
      </w:r>
      <w:r w:rsidRPr="00A878FC">
        <w:rPr>
          <w:b/>
          <w:i w:val="0"/>
          <w:color w:val="auto"/>
          <w:sz w:val="20"/>
          <w:szCs w:val="20"/>
        </w:rPr>
        <w:fldChar w:fldCharType="separate"/>
      </w:r>
      <w:r w:rsidR="00FA29AF">
        <w:rPr>
          <w:b/>
          <w:i w:val="0"/>
          <w:noProof/>
          <w:color w:val="auto"/>
          <w:sz w:val="20"/>
          <w:szCs w:val="20"/>
        </w:rPr>
        <w:t>18</w:t>
      </w:r>
      <w:r w:rsidRPr="00A878FC">
        <w:rPr>
          <w:b/>
          <w:i w:val="0"/>
          <w:color w:val="auto"/>
          <w:sz w:val="20"/>
          <w:szCs w:val="20"/>
        </w:rPr>
        <w:fldChar w:fldCharType="end"/>
      </w:r>
      <w:bookmarkEnd w:id="413"/>
      <w:r w:rsidRPr="00A878FC">
        <w:rPr>
          <w:b/>
          <w:i w:val="0"/>
          <w:color w:val="auto"/>
          <w:sz w:val="20"/>
          <w:szCs w:val="20"/>
        </w:rPr>
        <w:t>: Výsledky Testovania T9 (2018) – Priemerná úspešnosť</w:t>
      </w:r>
      <w:r w:rsidR="00CD14A4">
        <w:rPr>
          <w:b/>
          <w:i w:val="0"/>
          <w:color w:val="auto"/>
          <w:sz w:val="20"/>
          <w:szCs w:val="20"/>
        </w:rPr>
        <w:t xml:space="preserve"> (%)</w:t>
      </w:r>
      <w:bookmarkEnd w:id="414"/>
    </w:p>
    <w:tbl>
      <w:tblPr>
        <w:tblW w:w="4990" w:type="pct"/>
        <w:tblLayout w:type="fixed"/>
        <w:tblCellMar>
          <w:left w:w="70" w:type="dxa"/>
          <w:right w:w="70" w:type="dxa"/>
        </w:tblCellMar>
        <w:tblLook w:val="04A0" w:firstRow="1" w:lastRow="0" w:firstColumn="1" w:lastColumn="0" w:noHBand="0" w:noVBand="1"/>
      </w:tblPr>
      <w:tblGrid>
        <w:gridCol w:w="4808"/>
        <w:gridCol w:w="1050"/>
        <w:gridCol w:w="1050"/>
        <w:gridCol w:w="1050"/>
        <w:gridCol w:w="1050"/>
      </w:tblGrid>
      <w:tr w:rsidR="008E166F" w:rsidRPr="00A47998" w14:paraId="32F689AC" w14:textId="77777777" w:rsidTr="00CD14A4">
        <w:trPr>
          <w:trHeight w:val="300"/>
        </w:trPr>
        <w:tc>
          <w:tcPr>
            <w:tcW w:w="5244" w:type="dxa"/>
            <w:tcBorders>
              <w:top w:val="single" w:sz="4" w:space="0" w:color="auto"/>
            </w:tcBorders>
            <w:shd w:val="clear" w:color="auto" w:fill="auto"/>
            <w:noWrap/>
            <w:vAlign w:val="bottom"/>
            <w:hideMark/>
          </w:tcPr>
          <w:p w14:paraId="3B2B0DB8" w14:textId="77777777" w:rsidR="008E166F" w:rsidRPr="00A47998" w:rsidRDefault="008E166F" w:rsidP="00B35CF6">
            <w:pPr>
              <w:spacing w:after="0" w:line="240" w:lineRule="auto"/>
              <w:jc w:val="left"/>
              <w:rPr>
                <w:rFonts w:eastAsia="Times New Roman" w:cs="Times New Roman"/>
                <w:sz w:val="20"/>
                <w:lang w:eastAsia="sk-SK"/>
              </w:rPr>
            </w:pPr>
          </w:p>
        </w:tc>
        <w:tc>
          <w:tcPr>
            <w:tcW w:w="1134" w:type="dxa"/>
            <w:gridSpan w:val="2"/>
            <w:tcBorders>
              <w:top w:val="single" w:sz="4" w:space="0" w:color="auto"/>
            </w:tcBorders>
            <w:shd w:val="clear" w:color="auto" w:fill="auto"/>
            <w:noWrap/>
            <w:vAlign w:val="bottom"/>
            <w:hideMark/>
          </w:tcPr>
          <w:p w14:paraId="7DBA187E" w14:textId="77777777" w:rsidR="008E166F" w:rsidRPr="00A47998" w:rsidRDefault="008E166F" w:rsidP="00B35CF6">
            <w:pPr>
              <w:spacing w:after="0" w:line="240" w:lineRule="auto"/>
              <w:jc w:val="center"/>
              <w:rPr>
                <w:rFonts w:eastAsia="Times New Roman" w:cs="Calibri"/>
                <w:b/>
                <w:bCs/>
                <w:color w:val="000000"/>
                <w:sz w:val="20"/>
                <w:lang w:eastAsia="sk-SK"/>
              </w:rPr>
            </w:pPr>
            <w:r w:rsidRPr="00A47998">
              <w:rPr>
                <w:rFonts w:eastAsia="Times New Roman" w:cs="Calibri"/>
                <w:b/>
                <w:bCs/>
                <w:color w:val="000000"/>
                <w:sz w:val="20"/>
                <w:lang w:eastAsia="sk-SK"/>
              </w:rPr>
              <w:t>SJ</w:t>
            </w:r>
          </w:p>
        </w:tc>
        <w:tc>
          <w:tcPr>
            <w:tcW w:w="1134" w:type="dxa"/>
            <w:gridSpan w:val="2"/>
            <w:tcBorders>
              <w:top w:val="single" w:sz="4" w:space="0" w:color="auto"/>
            </w:tcBorders>
            <w:shd w:val="clear" w:color="auto" w:fill="auto"/>
            <w:noWrap/>
            <w:vAlign w:val="bottom"/>
            <w:hideMark/>
          </w:tcPr>
          <w:p w14:paraId="674A9301" w14:textId="77777777" w:rsidR="008E166F" w:rsidRPr="00A47998" w:rsidRDefault="008E166F" w:rsidP="00B35CF6">
            <w:pPr>
              <w:spacing w:after="0" w:line="240" w:lineRule="auto"/>
              <w:jc w:val="center"/>
              <w:rPr>
                <w:rFonts w:eastAsia="Times New Roman" w:cs="Calibri"/>
                <w:b/>
                <w:bCs/>
                <w:color w:val="000000"/>
                <w:sz w:val="20"/>
                <w:lang w:eastAsia="sk-SK"/>
              </w:rPr>
            </w:pPr>
            <w:r w:rsidRPr="00A47998">
              <w:rPr>
                <w:rFonts w:eastAsia="Times New Roman" w:cs="Calibri"/>
                <w:b/>
                <w:bCs/>
                <w:color w:val="000000"/>
                <w:sz w:val="20"/>
                <w:lang w:eastAsia="sk-SK"/>
              </w:rPr>
              <w:t>MAT</w:t>
            </w:r>
          </w:p>
        </w:tc>
      </w:tr>
      <w:tr w:rsidR="008E166F" w:rsidRPr="00A47998" w14:paraId="288779E4" w14:textId="77777777" w:rsidTr="00CD14A4">
        <w:trPr>
          <w:trHeight w:val="300"/>
        </w:trPr>
        <w:tc>
          <w:tcPr>
            <w:tcW w:w="5244" w:type="dxa"/>
            <w:shd w:val="clear" w:color="auto" w:fill="auto"/>
            <w:noWrap/>
            <w:vAlign w:val="bottom"/>
            <w:hideMark/>
          </w:tcPr>
          <w:p w14:paraId="370C4C13" w14:textId="77777777" w:rsidR="008E166F" w:rsidRPr="00564973" w:rsidRDefault="008E166F" w:rsidP="00B35CF6">
            <w:pPr>
              <w:spacing w:after="0" w:line="240" w:lineRule="auto"/>
              <w:jc w:val="left"/>
              <w:rPr>
                <w:rFonts w:eastAsia="Times New Roman" w:cs="Calibri"/>
                <w:bCs/>
                <w:color w:val="000000"/>
                <w:sz w:val="20"/>
                <w:lang w:eastAsia="sk-SK"/>
              </w:rPr>
            </w:pPr>
            <w:r w:rsidRPr="00564973">
              <w:rPr>
                <w:rFonts w:eastAsia="Times New Roman" w:cs="Calibri"/>
                <w:bCs/>
                <w:color w:val="000000"/>
                <w:sz w:val="20"/>
                <w:lang w:eastAsia="sk-SK"/>
              </w:rPr>
              <w:t>Žiaci bez ZZ</w:t>
            </w:r>
          </w:p>
        </w:tc>
        <w:tc>
          <w:tcPr>
            <w:tcW w:w="1134" w:type="dxa"/>
            <w:gridSpan w:val="2"/>
            <w:shd w:val="clear" w:color="auto" w:fill="auto"/>
            <w:noWrap/>
            <w:vAlign w:val="bottom"/>
            <w:hideMark/>
          </w:tcPr>
          <w:p w14:paraId="6DCF3E68" w14:textId="71B690E7" w:rsidR="008E166F" w:rsidRPr="00A47998" w:rsidRDefault="008E166F" w:rsidP="00B35CF6">
            <w:pPr>
              <w:spacing w:after="0" w:line="240" w:lineRule="auto"/>
              <w:jc w:val="center"/>
              <w:rPr>
                <w:rFonts w:eastAsia="Times New Roman" w:cs="Calibri"/>
                <w:color w:val="000000"/>
                <w:sz w:val="20"/>
                <w:lang w:eastAsia="sk-SK"/>
              </w:rPr>
            </w:pPr>
            <w:r w:rsidRPr="00A47998">
              <w:rPr>
                <w:rFonts w:eastAsia="Times New Roman" w:cs="Calibri"/>
                <w:color w:val="000000"/>
                <w:sz w:val="20"/>
                <w:lang w:eastAsia="sk-SK"/>
              </w:rPr>
              <w:t>64</w:t>
            </w:r>
          </w:p>
        </w:tc>
        <w:tc>
          <w:tcPr>
            <w:tcW w:w="1134" w:type="dxa"/>
            <w:gridSpan w:val="2"/>
            <w:shd w:val="clear" w:color="auto" w:fill="auto"/>
            <w:noWrap/>
            <w:vAlign w:val="bottom"/>
            <w:hideMark/>
          </w:tcPr>
          <w:p w14:paraId="4299FCE3" w14:textId="03E1ED26" w:rsidR="008E166F" w:rsidRPr="00A47998" w:rsidRDefault="008E166F" w:rsidP="00B35CF6">
            <w:pPr>
              <w:spacing w:after="0" w:line="240" w:lineRule="auto"/>
              <w:jc w:val="center"/>
              <w:rPr>
                <w:rFonts w:eastAsia="Times New Roman" w:cs="Calibri"/>
                <w:color w:val="000000"/>
                <w:sz w:val="20"/>
                <w:lang w:eastAsia="sk-SK"/>
              </w:rPr>
            </w:pPr>
            <w:r w:rsidRPr="00A47998">
              <w:rPr>
                <w:rFonts w:eastAsia="Times New Roman" w:cs="Calibri"/>
                <w:color w:val="000000"/>
                <w:sz w:val="20"/>
                <w:lang w:eastAsia="sk-SK"/>
              </w:rPr>
              <w:t>57</w:t>
            </w:r>
          </w:p>
        </w:tc>
      </w:tr>
      <w:tr w:rsidR="00A878FC" w:rsidRPr="00A47998" w14:paraId="0E1A3A32" w14:textId="77777777" w:rsidTr="00CD14A4">
        <w:trPr>
          <w:trHeight w:val="300"/>
        </w:trPr>
        <w:tc>
          <w:tcPr>
            <w:tcW w:w="5244" w:type="dxa"/>
            <w:shd w:val="clear" w:color="auto" w:fill="auto"/>
            <w:noWrap/>
            <w:vAlign w:val="bottom"/>
            <w:hideMark/>
          </w:tcPr>
          <w:p w14:paraId="705BE91B" w14:textId="77777777" w:rsidR="008E166F" w:rsidRPr="00564973" w:rsidRDefault="008E166F" w:rsidP="00B35CF6">
            <w:pPr>
              <w:spacing w:after="0" w:line="240" w:lineRule="auto"/>
              <w:jc w:val="left"/>
              <w:rPr>
                <w:rFonts w:eastAsia="Times New Roman" w:cs="Calibri"/>
                <w:bCs/>
                <w:color w:val="000000"/>
                <w:sz w:val="20"/>
                <w:lang w:eastAsia="sk-SK"/>
              </w:rPr>
            </w:pPr>
            <w:r w:rsidRPr="00564973">
              <w:rPr>
                <w:rFonts w:eastAsia="Times New Roman" w:cs="Calibri"/>
                <w:bCs/>
                <w:color w:val="000000"/>
                <w:sz w:val="20"/>
                <w:lang w:eastAsia="sk-SK"/>
              </w:rPr>
              <w:t>Žiaci so ZZ</w:t>
            </w:r>
          </w:p>
        </w:tc>
        <w:tc>
          <w:tcPr>
            <w:tcW w:w="1134" w:type="dxa"/>
            <w:shd w:val="clear" w:color="auto" w:fill="auto"/>
            <w:noWrap/>
            <w:vAlign w:val="bottom"/>
            <w:hideMark/>
          </w:tcPr>
          <w:p w14:paraId="110AA361" w14:textId="77777777" w:rsidR="008E166F" w:rsidRPr="00A47998" w:rsidRDefault="008E166F" w:rsidP="00564973">
            <w:pPr>
              <w:spacing w:after="0" w:line="240" w:lineRule="auto"/>
              <w:jc w:val="right"/>
              <w:rPr>
                <w:rFonts w:eastAsia="Times New Roman" w:cs="Calibri"/>
                <w:color w:val="000000"/>
                <w:sz w:val="20"/>
                <w:lang w:eastAsia="sk-SK"/>
              </w:rPr>
            </w:pPr>
            <w:r w:rsidRPr="00A47998">
              <w:rPr>
                <w:rFonts w:eastAsia="Times New Roman" w:cs="Calibri"/>
                <w:color w:val="000000"/>
                <w:sz w:val="20"/>
                <w:lang w:eastAsia="sk-SK"/>
              </w:rPr>
              <w:t>1. skupina</w:t>
            </w:r>
          </w:p>
        </w:tc>
        <w:tc>
          <w:tcPr>
            <w:tcW w:w="1134" w:type="dxa"/>
            <w:shd w:val="clear" w:color="auto" w:fill="auto"/>
            <w:noWrap/>
            <w:vAlign w:val="bottom"/>
            <w:hideMark/>
          </w:tcPr>
          <w:p w14:paraId="602A695F" w14:textId="77777777" w:rsidR="008E166F" w:rsidRPr="00A47998" w:rsidRDefault="008E166F" w:rsidP="00564973">
            <w:pPr>
              <w:spacing w:after="0" w:line="240" w:lineRule="auto"/>
              <w:jc w:val="right"/>
              <w:rPr>
                <w:rFonts w:eastAsia="Times New Roman" w:cs="Calibri"/>
                <w:color w:val="000000"/>
                <w:sz w:val="20"/>
                <w:lang w:eastAsia="sk-SK"/>
              </w:rPr>
            </w:pPr>
            <w:r w:rsidRPr="00A47998">
              <w:rPr>
                <w:rFonts w:eastAsia="Times New Roman" w:cs="Calibri"/>
                <w:color w:val="000000"/>
                <w:sz w:val="20"/>
                <w:lang w:eastAsia="sk-SK"/>
              </w:rPr>
              <w:t>2. skupina</w:t>
            </w:r>
          </w:p>
        </w:tc>
        <w:tc>
          <w:tcPr>
            <w:tcW w:w="1134" w:type="dxa"/>
            <w:shd w:val="clear" w:color="auto" w:fill="auto"/>
            <w:noWrap/>
            <w:vAlign w:val="bottom"/>
            <w:hideMark/>
          </w:tcPr>
          <w:p w14:paraId="56195700" w14:textId="77777777" w:rsidR="008E166F" w:rsidRPr="00A47998" w:rsidRDefault="008E166F" w:rsidP="00564973">
            <w:pPr>
              <w:spacing w:after="0" w:line="240" w:lineRule="auto"/>
              <w:jc w:val="right"/>
              <w:rPr>
                <w:rFonts w:eastAsia="Times New Roman" w:cs="Calibri"/>
                <w:color w:val="000000"/>
                <w:sz w:val="20"/>
                <w:lang w:eastAsia="sk-SK"/>
              </w:rPr>
            </w:pPr>
            <w:r w:rsidRPr="00A47998">
              <w:rPr>
                <w:rFonts w:eastAsia="Times New Roman" w:cs="Calibri"/>
                <w:color w:val="000000"/>
                <w:sz w:val="20"/>
                <w:lang w:eastAsia="sk-SK"/>
              </w:rPr>
              <w:t>1. skupina</w:t>
            </w:r>
          </w:p>
        </w:tc>
        <w:tc>
          <w:tcPr>
            <w:tcW w:w="1134" w:type="dxa"/>
            <w:shd w:val="clear" w:color="auto" w:fill="auto"/>
            <w:noWrap/>
            <w:vAlign w:val="bottom"/>
            <w:hideMark/>
          </w:tcPr>
          <w:p w14:paraId="252B6DA6" w14:textId="77777777" w:rsidR="008E166F" w:rsidRPr="00A47998" w:rsidRDefault="008E166F" w:rsidP="00564973">
            <w:pPr>
              <w:spacing w:after="0" w:line="240" w:lineRule="auto"/>
              <w:jc w:val="right"/>
              <w:rPr>
                <w:rFonts w:eastAsia="Times New Roman" w:cs="Calibri"/>
                <w:color w:val="000000"/>
                <w:sz w:val="20"/>
                <w:lang w:eastAsia="sk-SK"/>
              </w:rPr>
            </w:pPr>
            <w:r w:rsidRPr="00A47998">
              <w:rPr>
                <w:rFonts w:eastAsia="Times New Roman" w:cs="Calibri"/>
                <w:color w:val="000000"/>
                <w:sz w:val="20"/>
                <w:lang w:eastAsia="sk-SK"/>
              </w:rPr>
              <w:t>2. skupina</w:t>
            </w:r>
          </w:p>
        </w:tc>
      </w:tr>
      <w:tr w:rsidR="00A878FC" w:rsidRPr="00A47998" w14:paraId="042E436E" w14:textId="77777777" w:rsidTr="00CD14A4">
        <w:trPr>
          <w:trHeight w:val="300"/>
        </w:trPr>
        <w:tc>
          <w:tcPr>
            <w:tcW w:w="5244" w:type="dxa"/>
            <w:shd w:val="clear" w:color="auto" w:fill="auto"/>
            <w:noWrap/>
            <w:vAlign w:val="bottom"/>
            <w:hideMark/>
          </w:tcPr>
          <w:p w14:paraId="1F374F2E" w14:textId="4CBCB585" w:rsidR="008E166F" w:rsidRPr="00637F27" w:rsidRDefault="0070047D" w:rsidP="00B35CF6">
            <w:pPr>
              <w:spacing w:after="0" w:line="240" w:lineRule="auto"/>
              <w:jc w:val="left"/>
              <w:rPr>
                <w:rFonts w:eastAsia="Times New Roman" w:cs="Calibri"/>
                <w:bCs/>
                <w:color w:val="000000"/>
                <w:sz w:val="20"/>
                <w:lang w:eastAsia="sk-SK"/>
              </w:rPr>
            </w:pPr>
            <w:r>
              <w:rPr>
                <w:rFonts w:eastAsia="Times New Roman" w:cs="Calibri"/>
                <w:bCs/>
                <w:color w:val="000000"/>
                <w:sz w:val="20"/>
                <w:lang w:eastAsia="sk-SK"/>
              </w:rPr>
              <w:t xml:space="preserve">  </w:t>
            </w:r>
            <w:r w:rsidR="008E166F" w:rsidRPr="00637F27">
              <w:rPr>
                <w:rFonts w:eastAsia="Times New Roman" w:cs="Calibri"/>
                <w:bCs/>
                <w:color w:val="000000"/>
                <w:sz w:val="20"/>
                <w:lang w:eastAsia="sk-SK"/>
              </w:rPr>
              <w:t xml:space="preserve"> z toho žiaci so ZZ v ZŠ</w:t>
            </w:r>
          </w:p>
        </w:tc>
        <w:tc>
          <w:tcPr>
            <w:tcW w:w="1134" w:type="dxa"/>
            <w:shd w:val="clear" w:color="auto" w:fill="auto"/>
            <w:noWrap/>
            <w:vAlign w:val="bottom"/>
            <w:hideMark/>
          </w:tcPr>
          <w:p w14:paraId="27E56856" w14:textId="0D538EC5" w:rsidR="008E166F" w:rsidRPr="00A47998" w:rsidRDefault="008E166F" w:rsidP="00564973">
            <w:pPr>
              <w:spacing w:after="0" w:line="240" w:lineRule="auto"/>
              <w:jc w:val="right"/>
              <w:rPr>
                <w:rFonts w:eastAsia="Times New Roman" w:cs="Calibri"/>
                <w:color w:val="000000"/>
                <w:sz w:val="20"/>
                <w:lang w:eastAsia="sk-SK"/>
              </w:rPr>
            </w:pPr>
            <w:r w:rsidRPr="00A47998">
              <w:rPr>
                <w:rFonts w:eastAsia="Times New Roman" w:cs="Calibri"/>
                <w:color w:val="000000"/>
                <w:sz w:val="20"/>
                <w:lang w:eastAsia="sk-SK"/>
              </w:rPr>
              <w:t>49</w:t>
            </w:r>
          </w:p>
        </w:tc>
        <w:tc>
          <w:tcPr>
            <w:tcW w:w="1134" w:type="dxa"/>
            <w:shd w:val="clear" w:color="auto" w:fill="auto"/>
            <w:noWrap/>
            <w:vAlign w:val="bottom"/>
            <w:hideMark/>
          </w:tcPr>
          <w:p w14:paraId="26E06FCE" w14:textId="5998C560" w:rsidR="008E166F" w:rsidRPr="00A47998" w:rsidRDefault="008E166F" w:rsidP="00564973">
            <w:pPr>
              <w:spacing w:after="0" w:line="240" w:lineRule="auto"/>
              <w:jc w:val="right"/>
              <w:rPr>
                <w:rFonts w:eastAsia="Times New Roman" w:cs="Calibri"/>
                <w:color w:val="000000"/>
                <w:sz w:val="20"/>
                <w:lang w:eastAsia="sk-SK"/>
              </w:rPr>
            </w:pPr>
            <w:r w:rsidRPr="00A47998">
              <w:rPr>
                <w:rFonts w:eastAsia="Times New Roman" w:cs="Calibri"/>
                <w:color w:val="000000"/>
                <w:sz w:val="20"/>
                <w:lang w:eastAsia="sk-SK"/>
              </w:rPr>
              <w:t>55</w:t>
            </w:r>
          </w:p>
        </w:tc>
        <w:tc>
          <w:tcPr>
            <w:tcW w:w="1134" w:type="dxa"/>
            <w:shd w:val="clear" w:color="auto" w:fill="auto"/>
            <w:noWrap/>
            <w:vAlign w:val="bottom"/>
            <w:hideMark/>
          </w:tcPr>
          <w:p w14:paraId="0B2DED08" w14:textId="54D8DB5A" w:rsidR="008E166F" w:rsidRPr="00A47998" w:rsidRDefault="008E166F" w:rsidP="00564973">
            <w:pPr>
              <w:spacing w:after="0" w:line="240" w:lineRule="auto"/>
              <w:jc w:val="right"/>
              <w:rPr>
                <w:rFonts w:eastAsia="Times New Roman" w:cs="Calibri"/>
                <w:color w:val="000000"/>
                <w:sz w:val="20"/>
                <w:lang w:eastAsia="sk-SK"/>
              </w:rPr>
            </w:pPr>
            <w:r w:rsidRPr="00A47998">
              <w:rPr>
                <w:rFonts w:eastAsia="Times New Roman" w:cs="Calibri"/>
                <w:color w:val="000000"/>
                <w:sz w:val="20"/>
                <w:lang w:eastAsia="sk-SK"/>
              </w:rPr>
              <w:t>42</w:t>
            </w:r>
          </w:p>
        </w:tc>
        <w:tc>
          <w:tcPr>
            <w:tcW w:w="1134" w:type="dxa"/>
            <w:shd w:val="clear" w:color="auto" w:fill="auto"/>
            <w:noWrap/>
            <w:vAlign w:val="bottom"/>
            <w:hideMark/>
          </w:tcPr>
          <w:p w14:paraId="7BEB1269" w14:textId="1E63DF9E" w:rsidR="008E166F" w:rsidRPr="00A47998" w:rsidRDefault="008E166F" w:rsidP="00564973">
            <w:pPr>
              <w:spacing w:after="0" w:line="240" w:lineRule="auto"/>
              <w:jc w:val="right"/>
              <w:rPr>
                <w:rFonts w:eastAsia="Times New Roman" w:cs="Calibri"/>
                <w:color w:val="000000"/>
                <w:sz w:val="20"/>
                <w:lang w:eastAsia="sk-SK"/>
              </w:rPr>
            </w:pPr>
            <w:r w:rsidRPr="00A47998">
              <w:rPr>
                <w:rFonts w:eastAsia="Times New Roman" w:cs="Calibri"/>
                <w:color w:val="000000"/>
                <w:sz w:val="20"/>
                <w:lang w:eastAsia="sk-SK"/>
              </w:rPr>
              <w:t>48</w:t>
            </w:r>
          </w:p>
        </w:tc>
      </w:tr>
      <w:tr w:rsidR="00A878FC" w:rsidRPr="00A47998" w14:paraId="6C2C9164" w14:textId="77777777" w:rsidTr="00CD14A4">
        <w:trPr>
          <w:trHeight w:val="300"/>
        </w:trPr>
        <w:tc>
          <w:tcPr>
            <w:tcW w:w="5244" w:type="dxa"/>
            <w:tcBorders>
              <w:bottom w:val="single" w:sz="4" w:space="0" w:color="auto"/>
            </w:tcBorders>
            <w:shd w:val="clear" w:color="auto" w:fill="auto"/>
            <w:noWrap/>
            <w:vAlign w:val="bottom"/>
            <w:hideMark/>
          </w:tcPr>
          <w:p w14:paraId="7DDD7B0B" w14:textId="7773FFE8" w:rsidR="008E166F" w:rsidRPr="00637F27" w:rsidRDefault="0070047D" w:rsidP="00B35CF6">
            <w:pPr>
              <w:spacing w:after="0" w:line="240" w:lineRule="auto"/>
              <w:jc w:val="left"/>
              <w:rPr>
                <w:rFonts w:eastAsia="Times New Roman" w:cs="Calibri"/>
                <w:bCs/>
                <w:color w:val="000000"/>
                <w:sz w:val="20"/>
                <w:lang w:eastAsia="sk-SK"/>
              </w:rPr>
            </w:pPr>
            <w:r>
              <w:rPr>
                <w:rFonts w:eastAsia="Times New Roman" w:cs="Calibri"/>
                <w:bCs/>
                <w:color w:val="000000"/>
                <w:sz w:val="20"/>
                <w:lang w:eastAsia="sk-SK"/>
              </w:rPr>
              <w:t xml:space="preserve">  </w:t>
            </w:r>
            <w:r w:rsidR="008E166F" w:rsidRPr="00637F27">
              <w:rPr>
                <w:rFonts w:eastAsia="Times New Roman" w:cs="Calibri"/>
                <w:bCs/>
                <w:color w:val="000000"/>
                <w:sz w:val="20"/>
                <w:lang w:eastAsia="sk-SK"/>
              </w:rPr>
              <w:t xml:space="preserve"> z toho žiaci so ZZ v ŠZŠ</w:t>
            </w:r>
          </w:p>
        </w:tc>
        <w:tc>
          <w:tcPr>
            <w:tcW w:w="1134" w:type="dxa"/>
            <w:tcBorders>
              <w:bottom w:val="single" w:sz="4" w:space="0" w:color="auto"/>
            </w:tcBorders>
            <w:shd w:val="clear" w:color="auto" w:fill="auto"/>
            <w:noWrap/>
            <w:vAlign w:val="bottom"/>
            <w:hideMark/>
          </w:tcPr>
          <w:p w14:paraId="34C65C05" w14:textId="788674A8" w:rsidR="008E166F" w:rsidRPr="00A47998" w:rsidRDefault="008E166F" w:rsidP="00564973">
            <w:pPr>
              <w:spacing w:after="0" w:line="240" w:lineRule="auto"/>
              <w:jc w:val="right"/>
              <w:rPr>
                <w:rFonts w:eastAsia="Times New Roman" w:cs="Calibri"/>
                <w:color w:val="000000"/>
                <w:sz w:val="20"/>
                <w:lang w:eastAsia="sk-SK"/>
              </w:rPr>
            </w:pPr>
            <w:r w:rsidRPr="00A47998">
              <w:rPr>
                <w:rFonts w:eastAsia="Times New Roman" w:cs="Calibri"/>
                <w:color w:val="000000"/>
                <w:sz w:val="20"/>
                <w:lang w:eastAsia="sk-SK"/>
              </w:rPr>
              <w:t>54</w:t>
            </w:r>
          </w:p>
        </w:tc>
        <w:tc>
          <w:tcPr>
            <w:tcW w:w="1134" w:type="dxa"/>
            <w:tcBorders>
              <w:bottom w:val="single" w:sz="4" w:space="0" w:color="auto"/>
            </w:tcBorders>
            <w:shd w:val="clear" w:color="auto" w:fill="auto"/>
            <w:noWrap/>
            <w:vAlign w:val="bottom"/>
            <w:hideMark/>
          </w:tcPr>
          <w:p w14:paraId="38C4EB95" w14:textId="59363D14" w:rsidR="008E166F" w:rsidRPr="00A47998" w:rsidRDefault="008E166F" w:rsidP="00564973">
            <w:pPr>
              <w:spacing w:after="0" w:line="240" w:lineRule="auto"/>
              <w:jc w:val="right"/>
              <w:rPr>
                <w:rFonts w:eastAsia="Times New Roman" w:cs="Calibri"/>
                <w:color w:val="000000"/>
                <w:sz w:val="20"/>
                <w:lang w:eastAsia="sk-SK"/>
              </w:rPr>
            </w:pPr>
            <w:r w:rsidRPr="00A47998">
              <w:rPr>
                <w:rFonts w:eastAsia="Times New Roman" w:cs="Calibri"/>
                <w:color w:val="000000"/>
                <w:sz w:val="20"/>
                <w:lang w:eastAsia="sk-SK"/>
              </w:rPr>
              <w:t>53</w:t>
            </w:r>
          </w:p>
        </w:tc>
        <w:tc>
          <w:tcPr>
            <w:tcW w:w="1134" w:type="dxa"/>
            <w:tcBorders>
              <w:bottom w:val="single" w:sz="4" w:space="0" w:color="auto"/>
            </w:tcBorders>
            <w:shd w:val="clear" w:color="auto" w:fill="auto"/>
            <w:noWrap/>
            <w:vAlign w:val="bottom"/>
            <w:hideMark/>
          </w:tcPr>
          <w:p w14:paraId="758E7CB5" w14:textId="10D1FF69" w:rsidR="008E166F" w:rsidRPr="00A47998" w:rsidRDefault="008E166F" w:rsidP="00564973">
            <w:pPr>
              <w:spacing w:after="0" w:line="240" w:lineRule="auto"/>
              <w:jc w:val="right"/>
              <w:rPr>
                <w:rFonts w:eastAsia="Times New Roman" w:cs="Calibri"/>
                <w:color w:val="000000"/>
                <w:sz w:val="20"/>
                <w:lang w:eastAsia="sk-SK"/>
              </w:rPr>
            </w:pPr>
            <w:r w:rsidRPr="00A47998">
              <w:rPr>
                <w:rFonts w:eastAsia="Times New Roman" w:cs="Calibri"/>
                <w:color w:val="000000"/>
                <w:sz w:val="20"/>
                <w:lang w:eastAsia="sk-SK"/>
              </w:rPr>
              <w:t>43</w:t>
            </w:r>
          </w:p>
        </w:tc>
        <w:tc>
          <w:tcPr>
            <w:tcW w:w="1134" w:type="dxa"/>
            <w:tcBorders>
              <w:bottom w:val="single" w:sz="4" w:space="0" w:color="auto"/>
            </w:tcBorders>
            <w:shd w:val="clear" w:color="auto" w:fill="auto"/>
            <w:noWrap/>
            <w:vAlign w:val="bottom"/>
            <w:hideMark/>
          </w:tcPr>
          <w:p w14:paraId="765313D4" w14:textId="63401C22" w:rsidR="008E166F" w:rsidRPr="00A47998" w:rsidRDefault="008E166F" w:rsidP="00564973">
            <w:pPr>
              <w:spacing w:after="0" w:line="240" w:lineRule="auto"/>
              <w:jc w:val="right"/>
              <w:rPr>
                <w:rFonts w:eastAsia="Times New Roman" w:cs="Calibri"/>
                <w:color w:val="000000"/>
                <w:sz w:val="20"/>
                <w:lang w:eastAsia="sk-SK"/>
              </w:rPr>
            </w:pPr>
            <w:r w:rsidRPr="00A47998">
              <w:rPr>
                <w:rFonts w:eastAsia="Times New Roman" w:cs="Calibri"/>
                <w:color w:val="000000"/>
                <w:sz w:val="20"/>
                <w:lang w:eastAsia="sk-SK"/>
              </w:rPr>
              <w:t>41</w:t>
            </w:r>
          </w:p>
        </w:tc>
      </w:tr>
      <w:tr w:rsidR="008E166F" w:rsidRPr="00A47998" w14:paraId="3D5179DE" w14:textId="77777777" w:rsidTr="00CD14A4">
        <w:trPr>
          <w:trHeight w:val="300"/>
        </w:trPr>
        <w:tc>
          <w:tcPr>
            <w:tcW w:w="1134" w:type="dxa"/>
            <w:gridSpan w:val="3"/>
            <w:tcBorders>
              <w:top w:val="single" w:sz="4" w:space="0" w:color="auto"/>
            </w:tcBorders>
            <w:shd w:val="clear" w:color="auto" w:fill="auto"/>
            <w:noWrap/>
          </w:tcPr>
          <w:p w14:paraId="04D2A065" w14:textId="54E0DE39" w:rsidR="008E166F" w:rsidRPr="00637F27" w:rsidRDefault="008E166F" w:rsidP="007354A2">
            <w:pPr>
              <w:pStyle w:val="Bezriadkovania"/>
              <w:spacing w:before="20"/>
              <w:jc w:val="both"/>
              <w:rPr>
                <w:rFonts w:ascii="Arial Narrow" w:hAnsi="Arial Narrow"/>
                <w:i/>
                <w:sz w:val="18"/>
                <w:szCs w:val="18"/>
              </w:rPr>
            </w:pPr>
            <w:r w:rsidRPr="00A47998">
              <w:rPr>
                <w:rFonts w:ascii="Arial Narrow" w:hAnsi="Arial Narrow"/>
                <w:i/>
                <w:sz w:val="18"/>
                <w:szCs w:val="18"/>
              </w:rPr>
              <w:t>Podľa miery obmedzenia pri práci s textom zaraďuje riaditeľ po konzultácii s odbornými zamestnancami školy žiakov so ZZ do jednej zo skupiny obmedzení. Žiaci so ZZ zaradení do 1. skupiny majú prispôsobený test po formálnej a/alebo obsahovej stránke, majú predĺžený čas na vypracovanie testu a môžu používať kompenzačné pomôcky. Žiaci zaradení do 2. skupiny majú navyše k dispozícií asistenta, tlmoč</w:t>
            </w:r>
            <w:r w:rsidR="007354A2">
              <w:rPr>
                <w:rFonts w:ascii="Arial Narrow" w:hAnsi="Arial Narrow"/>
                <w:i/>
                <w:sz w:val="18"/>
                <w:szCs w:val="18"/>
              </w:rPr>
              <w:t>níka alebo špeciálneho pedagóga (NUCEM, 2018)</w:t>
            </w:r>
            <w:r w:rsidR="007354A2" w:rsidRPr="00A47998">
              <w:rPr>
                <w:rFonts w:ascii="Arial Narrow" w:hAnsi="Arial Narrow"/>
                <w:i/>
                <w:sz w:val="18"/>
                <w:szCs w:val="18"/>
              </w:rPr>
              <w:t>.</w:t>
            </w:r>
            <w:r w:rsidRPr="00A47998">
              <w:rPr>
                <w:rFonts w:ascii="Arial Narrow" w:hAnsi="Arial Narrow"/>
                <w:i/>
                <w:sz w:val="18"/>
                <w:szCs w:val="18"/>
              </w:rPr>
              <w:t xml:space="preserve"> Žiaci bez ZZ nezahŕňajú ani žiakov s nadaním. Výsledky žiakov so ZZ, ktorí navštevujú špeciálne triedy bežných škôl, neboli z dôvodu nízk</w:t>
            </w:r>
            <w:r>
              <w:rPr>
                <w:rFonts w:ascii="Arial Narrow" w:hAnsi="Arial Narrow"/>
                <w:i/>
                <w:sz w:val="18"/>
                <w:szCs w:val="18"/>
              </w:rPr>
              <w:t xml:space="preserve">eho počtu žiakov zahrnuté. </w:t>
            </w:r>
          </w:p>
        </w:tc>
        <w:tc>
          <w:tcPr>
            <w:tcW w:w="1134" w:type="dxa"/>
            <w:gridSpan w:val="2"/>
            <w:tcBorders>
              <w:top w:val="single" w:sz="4" w:space="0" w:color="auto"/>
            </w:tcBorders>
            <w:shd w:val="clear" w:color="auto" w:fill="auto"/>
            <w:noWrap/>
          </w:tcPr>
          <w:p w14:paraId="1F5FE7EF" w14:textId="3CFC9F01" w:rsidR="008E166F" w:rsidRPr="00A47998" w:rsidRDefault="008E166F" w:rsidP="00A878FC">
            <w:pPr>
              <w:spacing w:before="20" w:after="0" w:line="240" w:lineRule="auto"/>
              <w:jc w:val="right"/>
              <w:rPr>
                <w:rFonts w:eastAsia="Times New Roman" w:cs="Calibri"/>
                <w:color w:val="000000"/>
                <w:sz w:val="20"/>
                <w:lang w:eastAsia="sk-SK"/>
              </w:rPr>
            </w:pPr>
            <w:r w:rsidRPr="00A47998">
              <w:rPr>
                <w:i/>
                <w:sz w:val="18"/>
                <w:szCs w:val="18"/>
              </w:rPr>
              <w:t>Zdroj: Vlastné prepočty IVP na základe dát NUCEM a CVTI</w:t>
            </w:r>
            <w:r w:rsidR="0070047D">
              <w:rPr>
                <w:i/>
                <w:sz w:val="18"/>
                <w:szCs w:val="18"/>
              </w:rPr>
              <w:t xml:space="preserve"> </w:t>
            </w:r>
            <w:r w:rsidRPr="00A47998">
              <w:rPr>
                <w:i/>
                <w:sz w:val="18"/>
                <w:szCs w:val="18"/>
              </w:rPr>
              <w:t>(2017, 2018).</w:t>
            </w:r>
          </w:p>
        </w:tc>
      </w:tr>
    </w:tbl>
    <w:p w14:paraId="622C1BEA" w14:textId="77777777" w:rsidR="008E166F" w:rsidRPr="00A47998" w:rsidRDefault="008E166F" w:rsidP="008E166F">
      <w:r w:rsidRPr="00A47998">
        <w:rPr>
          <w:b/>
        </w:rPr>
        <w:t xml:space="preserve">V roku 2018 mali žiaci so ZZ vyššiu mieru opakovania ročníka ako žiaci v celkovej populácii. </w:t>
      </w:r>
      <w:r w:rsidRPr="00A47998">
        <w:t>V školskom roku 2018/19 opakovali ročník 4 % žiakov so ZZ oproti 2,5 % žiakov celkovej populácie základných škôl. Žiaci so ZZ v bežných triedach a v špeciálnych triedach mali vyššiu mieru opakovania ročníka (4 %) ako žiaci so ZZ v špeciálnych školách (2,5 %). Najvyššiu mieru opakovania ročníka v rámci jednotlivých druhov zdravotných znevýhodnení mali žiaci s mentálnym postihnutím a žiaci s vývinovými poruchami učenia.</w:t>
      </w:r>
      <w:r w:rsidRPr="00A47998">
        <w:rPr>
          <w:rStyle w:val="Odkaznapoznmkupodiarou"/>
        </w:rPr>
        <w:footnoteReference w:id="220"/>
      </w:r>
    </w:p>
    <w:p w14:paraId="5137BCD8" w14:textId="77777777" w:rsidR="008E166F" w:rsidRPr="00950BAD" w:rsidRDefault="008E166F" w:rsidP="00452DBC">
      <w:pPr>
        <w:pStyle w:val="Bezriadkovania"/>
        <w:spacing w:after="200" w:line="259" w:lineRule="auto"/>
        <w:jc w:val="both"/>
        <w:rPr>
          <w:rFonts w:ascii="Arial Narrow" w:hAnsi="Arial Narrow"/>
          <w:color w:val="0070C0"/>
        </w:rPr>
      </w:pPr>
      <w:r w:rsidRPr="00950BAD">
        <w:rPr>
          <w:rFonts w:ascii="Arial Narrow" w:hAnsi="Arial Narrow"/>
          <w:color w:val="0070C0"/>
        </w:rPr>
        <w:t>Existujúce opatrenia na podporu vzdelávania zdravotne znevýhodnených žiakov v základných školách</w:t>
      </w:r>
    </w:p>
    <w:p w14:paraId="62548654" w14:textId="77777777" w:rsidR="008E166F" w:rsidRPr="00950BAD" w:rsidRDefault="008E166F" w:rsidP="00452DBC">
      <w:pPr>
        <w:pStyle w:val="Bezriadkovania"/>
        <w:spacing w:after="200" w:line="259" w:lineRule="auto"/>
        <w:jc w:val="both"/>
        <w:rPr>
          <w:rFonts w:ascii="Arial Narrow" w:hAnsi="Arial Narrow"/>
          <w:b/>
          <w:bCs/>
          <w:u w:val="single"/>
        </w:rPr>
      </w:pPr>
      <w:r w:rsidRPr="00950BAD">
        <w:rPr>
          <w:rFonts w:ascii="Arial Narrow" w:hAnsi="Arial Narrow"/>
          <w:b/>
          <w:bCs/>
          <w:u w:val="single"/>
        </w:rPr>
        <w:t>Podpora bezbariérovosti</w:t>
      </w:r>
    </w:p>
    <w:p w14:paraId="5FB238E1" w14:textId="128FB9FC" w:rsidR="008E166F" w:rsidRPr="00950BAD" w:rsidRDefault="008E166F" w:rsidP="00452DBC">
      <w:pPr>
        <w:rPr>
          <w:bCs/>
          <w:szCs w:val="22"/>
        </w:rPr>
      </w:pPr>
      <w:r w:rsidRPr="00950BAD">
        <w:rPr>
          <w:b/>
        </w:rPr>
        <w:t xml:space="preserve">V roku 2018 bolo sumou 190 tisíc eur podporená debarierizácia 11 bežných ZŠ </w:t>
      </w:r>
      <w:r w:rsidRPr="00950BAD">
        <w:rPr>
          <w:b/>
          <w:bCs/>
        </w:rPr>
        <w:t xml:space="preserve">(89 tisíc eur) </w:t>
      </w:r>
      <w:r w:rsidRPr="00950BAD">
        <w:rPr>
          <w:b/>
        </w:rPr>
        <w:t>a 11 špeciálnych ZŠ (</w:t>
      </w:r>
      <w:r w:rsidRPr="00950BAD">
        <w:rPr>
          <w:b/>
          <w:bCs/>
        </w:rPr>
        <w:t>101 tisíc eur</w:t>
      </w:r>
      <w:r w:rsidRPr="00950BAD">
        <w:rPr>
          <w:b/>
        </w:rPr>
        <w:t xml:space="preserve">). </w:t>
      </w:r>
      <w:r w:rsidRPr="00950BAD">
        <w:rPr>
          <w:bCs/>
          <w:szCs w:val="22"/>
        </w:rPr>
        <w:t>Od roku 2015, odkedy sú zdroje na debarierizáciu pravidelne vyčleňované, dopyt oprávnených žiadateľov okrem jedného roku oficiálne výrazne neprevyšoval objem vyčlenených zdrojov.</w:t>
      </w:r>
      <w:r w:rsidRPr="00950BAD">
        <w:rPr>
          <w:rStyle w:val="Odkaznapoznmkupodiarou"/>
          <w:bCs/>
          <w:szCs w:val="22"/>
        </w:rPr>
        <w:footnoteReference w:id="221"/>
      </w:r>
      <w:r w:rsidRPr="00950BAD">
        <w:rPr>
          <w:bCs/>
          <w:szCs w:val="22"/>
        </w:rPr>
        <w:t xml:space="preserve"> Z anekdotických informácií však </w:t>
      </w:r>
      <w:r w:rsidR="00B24660">
        <w:rPr>
          <w:bCs/>
          <w:szCs w:val="22"/>
        </w:rPr>
        <w:t>vyplýva</w:t>
      </w:r>
      <w:r w:rsidRPr="00950BAD">
        <w:rPr>
          <w:bCs/>
          <w:szCs w:val="22"/>
        </w:rPr>
        <w:t>, že počet žiadostí je v súlade s vyčlenením objemov zdrojov „regulovaný“ na úrovni okresných úradov, cez ktoré zriaďovatelia žiadosti na ministerstvo školstva podávajú.</w:t>
      </w:r>
    </w:p>
    <w:p w14:paraId="28F21C61" w14:textId="77777777" w:rsidR="007354A2" w:rsidRPr="00950BAD" w:rsidRDefault="007354A2" w:rsidP="00452DBC">
      <w:pPr>
        <w:rPr>
          <w:bCs/>
          <w:szCs w:val="22"/>
        </w:rPr>
      </w:pPr>
      <w:r w:rsidRPr="00950BAD">
        <w:rPr>
          <w:b/>
          <w:bCs/>
          <w:szCs w:val="22"/>
        </w:rPr>
        <w:t>Komplexné údaje o bezbariérovosti základných škôl nie sú dostupné.</w:t>
      </w:r>
      <w:r w:rsidRPr="00950BAD">
        <w:rPr>
          <w:bCs/>
          <w:szCs w:val="22"/>
        </w:rPr>
        <w:t xml:space="preserve"> Zo škôl, ktoré sa v roku 2018 uchádzali o prostriedky na osobné náklady pedagogických asistentov, bolo do nejakej miery debarierizovaných 33 % bežných a 25 % špeciálnych ZŠ.</w:t>
      </w:r>
      <w:r w:rsidRPr="00950BAD">
        <w:rPr>
          <w:rStyle w:val="Odkaznapoznmkupodiarou"/>
          <w:bCs/>
          <w:szCs w:val="22"/>
        </w:rPr>
        <w:footnoteReference w:id="222"/>
      </w:r>
      <w:r w:rsidRPr="00950BAD">
        <w:rPr>
          <w:b/>
        </w:rPr>
        <w:t xml:space="preserve"> </w:t>
      </w:r>
      <w:r w:rsidRPr="00950BAD">
        <w:t>Podľa zistení Štátnej školskej inšpekcie bola v školskom roku 2018/19 čiastočne debarierizovaná polovica zo škôl, na ktorých sa realizovala inšpekčná činnosť (ŠŠI, 2018).</w:t>
      </w:r>
      <w:r w:rsidRPr="00950BAD">
        <w:rPr>
          <w:rStyle w:val="Odkaznapoznmkupodiarou"/>
        </w:rPr>
        <w:footnoteReference w:id="223"/>
      </w:r>
      <w:r w:rsidRPr="00950BAD">
        <w:t xml:space="preserve"> </w:t>
      </w:r>
    </w:p>
    <w:p w14:paraId="635AFE9E" w14:textId="066F17B2" w:rsidR="008E166F" w:rsidRPr="00950BAD" w:rsidRDefault="007354A2" w:rsidP="00452DBC">
      <w:pPr>
        <w:rPr>
          <w:bCs/>
          <w:szCs w:val="22"/>
        </w:rPr>
      </w:pPr>
      <w:r w:rsidRPr="00950BAD">
        <w:rPr>
          <w:b/>
          <w:bCs/>
        </w:rPr>
        <w:t>Ministerstvo školstva v každoročne vydávaných Pedagogicko-organizačných pokynoch síce nabáda školy, aby vytvárali bezbariérové prostredie (POP, 2018), metodicky ich však v tejto oblasti neusmerňuje.</w:t>
      </w:r>
      <w:r w:rsidRPr="00950BAD">
        <w:rPr>
          <w:bCs/>
        </w:rPr>
        <w:t xml:space="preserve"> </w:t>
      </w:r>
      <w:r w:rsidRPr="00950BAD">
        <w:rPr>
          <w:bCs/>
          <w:szCs w:val="22"/>
        </w:rPr>
        <w:t>Podľa dotazníkového prieskumu považuje fyzické bariéry v budove školy za jeden z najväčších problémov pri vzdelávaní žiakov so špeciálnymi potrebami 7,5 % riaditeľov ZŠ a 11,1 % riaditeľov ŠZŠ (To dá rozum, 2019). Na nízke povedomie o dôležitosti bezbariérovosti upozorňuje Verejná ochrankyňa práv, podľa zistení ktorej zriaďovatelia bežných škôl, respektíve samotné bežné školy nevnímajú bariéry v školách ako problém a majú za to, že žiaci so ZZ by sa mali vzdelávať v špeciálnom školstve (VOP, 2016).</w:t>
      </w:r>
    </w:p>
    <w:p w14:paraId="34E6D328" w14:textId="77777777" w:rsidR="008E166F" w:rsidRPr="00950BAD" w:rsidRDefault="008E166F" w:rsidP="00452DBC">
      <w:pPr>
        <w:rPr>
          <w:b/>
        </w:rPr>
      </w:pPr>
      <w:r w:rsidRPr="00950BAD">
        <w:rPr>
          <w:bCs/>
          <w:szCs w:val="22"/>
        </w:rPr>
        <w:t xml:space="preserve">Problematickým aspektom súčasného nastavenia prideľovania zdrojov je, že </w:t>
      </w:r>
      <w:r w:rsidRPr="00950BAD">
        <w:rPr>
          <w:bCs/>
        </w:rPr>
        <w:t xml:space="preserve">o prostriedky sa môžu uchádzať iba školy, na ktorých sa už vzdelávajú žiaci so ZZ. Takýto prístup predpokladá, že žiak so ZZ má byť najskôr prijatý a vzdelávaný v bariérovom prostredí a k debarierizácii sa má pristúpiť až následne. </w:t>
      </w:r>
      <w:r w:rsidRPr="00950BAD">
        <w:rPr>
          <w:bCs/>
          <w:szCs w:val="22"/>
        </w:rPr>
        <w:t>To je v prípade základných škôl, ktoré sú pre vymedzení okruh žiakov spádové</w:t>
      </w:r>
      <w:r w:rsidRPr="00950BAD">
        <w:rPr>
          <w:rStyle w:val="Odkaznapoznmkupodiarou"/>
          <w:bCs/>
          <w:szCs w:val="22"/>
        </w:rPr>
        <w:footnoteReference w:id="224"/>
      </w:r>
      <w:r w:rsidRPr="00950BAD">
        <w:rPr>
          <w:bCs/>
          <w:szCs w:val="22"/>
        </w:rPr>
        <w:t>, neakceptovateľné.</w:t>
      </w:r>
    </w:p>
    <w:p w14:paraId="163F849E" w14:textId="06A65A50" w:rsidR="008E166F" w:rsidRPr="00950BAD" w:rsidRDefault="008E166F" w:rsidP="00452DBC">
      <w:pPr>
        <w:rPr>
          <w:b/>
          <w:bCs/>
          <w:szCs w:val="22"/>
        </w:rPr>
      </w:pPr>
      <w:r w:rsidRPr="00950BAD">
        <w:rPr>
          <w:b/>
          <w:bCs/>
          <w:szCs w:val="22"/>
        </w:rPr>
        <w:t>Revízia preto navrhuje: (1) umožniť všetkým základným školám uchádzať sa o prostriedky na debarierizáciu a (2) navýšiť objem zdrojov vyčlenený na debarierizáciu a (3) vytvoriť manuál pre debarierizáciu školského prostredia.</w:t>
      </w:r>
    </w:p>
    <w:p w14:paraId="2F7A4027" w14:textId="77777777" w:rsidR="007354A2" w:rsidRPr="00950BAD" w:rsidRDefault="007354A2" w:rsidP="00452DBC">
      <w:pPr>
        <w:rPr>
          <w:b/>
          <w:bCs/>
          <w:szCs w:val="22"/>
          <w:u w:val="single"/>
        </w:rPr>
      </w:pPr>
      <w:r w:rsidRPr="00950BAD">
        <w:rPr>
          <w:b/>
          <w:bCs/>
          <w:szCs w:val="22"/>
          <w:u w:val="single"/>
        </w:rPr>
        <w:t>Prípravný ročník</w:t>
      </w:r>
    </w:p>
    <w:p w14:paraId="7FFBEAE3" w14:textId="08D47CC6" w:rsidR="007354A2" w:rsidRPr="00950BAD" w:rsidRDefault="007354A2" w:rsidP="00452DBC">
      <w:pPr>
        <w:spacing w:before="160"/>
      </w:pPr>
      <w:r w:rsidRPr="00950BAD">
        <w:rPr>
          <w:b/>
        </w:rPr>
        <w:t xml:space="preserve">Hlavným cieľom prípravného ročníka je umožniť žiakom so ZZ, ktorí nie sú pripravení na absolvovanie prvého ročníka v špeciálnej triede základnej školy/špeciálnej základnej škole, aby dosiahli školskú spôsobilosť a mohli tak do prvého ročníka nastúpiť. V roku 2018 navštevovalo prípravný ročník 994 žiakov. </w:t>
      </w:r>
      <w:r w:rsidRPr="00950BAD">
        <w:rPr>
          <w:bCs/>
        </w:rPr>
        <w:t>Väčšina žiakov (82 %) navštevovala prípravný ročník v špeciálnych základných školách. Najpočetnejšie boli v prípravnom ročníku zastúpení žiaci s mentálnym postihnutím (54 %) a žiaci s narušenou komunikačnou schopnosťou (35 %).</w:t>
      </w:r>
      <w:r w:rsidRPr="00950BAD">
        <w:rPr>
          <w:b/>
        </w:rPr>
        <w:t xml:space="preserve"> </w:t>
      </w:r>
      <w:r w:rsidRPr="00950BAD">
        <w:t>Prípravný ročník sa považuje za prvý rok plnenia povinnej školskej dochádzky (PŠD), čo v prípade opakovania ročníka, analogicky ako v prípade nultého ročníka zriaďovaného pre žiakov zo SZP v bežných školách, znižuje šancu ukončiť ZŠ/ŠZŠ v priebehu obdobia PŠD.</w:t>
      </w:r>
      <w:r w:rsidR="00A402CF" w:rsidRPr="00950BAD">
        <w:rPr>
          <w:rStyle w:val="Odkaznapoznmkupodiarou"/>
        </w:rPr>
        <w:footnoteReference w:id="225"/>
      </w:r>
      <w:r w:rsidRPr="00950BAD">
        <w:t xml:space="preserve"> </w:t>
      </w:r>
    </w:p>
    <w:p w14:paraId="46A127A2" w14:textId="725075D5" w:rsidR="007354A2" w:rsidRPr="00950BAD" w:rsidRDefault="007354A2" w:rsidP="00452DBC">
      <w:pPr>
        <w:spacing w:before="160"/>
        <w:rPr>
          <w:b/>
          <w:bCs/>
        </w:rPr>
      </w:pPr>
      <w:r w:rsidRPr="00950BAD">
        <w:rPr>
          <w:b/>
          <w:bCs/>
        </w:rPr>
        <w:t>V súvislosti so zavedením povinného predprimárneho vzdelávania pre deti v predškolskom veku sa od školského roku 2022/23</w:t>
      </w:r>
      <w:r w:rsidRPr="00950BAD">
        <w:rPr>
          <w:rStyle w:val="Odkaznapoznmkupodiarou"/>
          <w:b/>
          <w:bCs/>
        </w:rPr>
        <w:footnoteReference w:id="226"/>
      </w:r>
      <w:r w:rsidRPr="00950BAD">
        <w:rPr>
          <w:b/>
          <w:bCs/>
        </w:rPr>
        <w:t xml:space="preserve"> počíta so zrušením prípravného ročníka.</w:t>
      </w:r>
      <w:r w:rsidRPr="00950BAD">
        <w:t xml:space="preserve"> V prípade niektorých detí so ZZ sa môže stať, že ich zákonní zástupcovia sa aj vzhľadom na obmedzenú pripravenosť bežných MŠ a obmedzenú kapacitu ŠMŠ rozhodnú vzdelávať svoje deti individuálne. V takomto prípade by deťom, ktoré pred nástupom do základnej školy nemali kontakt s formálnym vzdelávaním malo byť umožnené navštevovať prípravný ročník, ktorý by sa nemal započítavať do povinnej školskej dochádzky. </w:t>
      </w:r>
      <w:r w:rsidRPr="00950BAD">
        <w:rPr>
          <w:b/>
          <w:bCs/>
        </w:rPr>
        <w:t>Revízia preto navrhuje v závislosti od výsledkov implementácie prvého roka povinného predprimárneho vzdelávania vo vzťahu k deťom so ZZ ustanovenie o zrušení prípravného ročníka prehodnotiť.</w:t>
      </w:r>
    </w:p>
    <w:p w14:paraId="4BF595DF" w14:textId="77777777" w:rsidR="003C21E8" w:rsidRPr="00950BAD" w:rsidRDefault="003C21E8" w:rsidP="00452DBC">
      <w:pPr>
        <w:pStyle w:val="Bezriadkovania"/>
        <w:spacing w:after="200" w:line="259" w:lineRule="auto"/>
        <w:jc w:val="both"/>
        <w:rPr>
          <w:rFonts w:ascii="Arial Narrow" w:hAnsi="Arial Narrow"/>
          <w:b/>
          <w:bCs/>
          <w:u w:val="single"/>
        </w:rPr>
      </w:pPr>
      <w:r w:rsidRPr="00950BAD">
        <w:rPr>
          <w:rFonts w:ascii="Arial Narrow" w:hAnsi="Arial Narrow"/>
          <w:b/>
          <w:bCs/>
          <w:u w:val="single"/>
        </w:rPr>
        <w:t>Obsah vzdelávania</w:t>
      </w:r>
    </w:p>
    <w:p w14:paraId="0D2B41B5" w14:textId="5AC36F9A" w:rsidR="00A02F47" w:rsidRPr="00950BAD" w:rsidRDefault="003C21E8" w:rsidP="00452DBC">
      <w:pPr>
        <w:rPr>
          <w:b/>
        </w:rPr>
      </w:pPr>
      <w:r w:rsidRPr="00950BAD">
        <w:rPr>
          <w:b/>
        </w:rPr>
        <w:t>Žiaci so zdravotným znevýhodnením v základných školách sa majú primárne vzdelávať podľa štátnych vzdelávacích programov (ŠVP) pre príslušný druh zdravotného znevýhodnenia.</w:t>
      </w:r>
      <w:r w:rsidRPr="00950BAD">
        <w:rPr>
          <w:rStyle w:val="Odkaznapoznmkupodiarou"/>
          <w:b/>
        </w:rPr>
        <w:footnoteReference w:id="227"/>
      </w:r>
      <w:r w:rsidRPr="00950BAD">
        <w:rPr>
          <w:b/>
        </w:rPr>
        <w:t xml:space="preserve"> </w:t>
      </w:r>
      <w:r w:rsidRPr="008B336A">
        <w:rPr>
          <w:bCs/>
        </w:rPr>
        <w:t xml:space="preserve">Iba ak </w:t>
      </w:r>
      <w:r w:rsidR="00A02F47" w:rsidRPr="008B336A">
        <w:rPr>
          <w:bCs/>
        </w:rPr>
        <w:t xml:space="preserve">to </w:t>
      </w:r>
      <w:r w:rsidRPr="008B336A">
        <w:rPr>
          <w:bCs/>
        </w:rPr>
        <w:t xml:space="preserve">zdravotné znevýhodnenie žiakovi znemožňuje </w:t>
      </w:r>
      <w:r w:rsidR="00A02F47" w:rsidRPr="008B336A">
        <w:rPr>
          <w:bCs/>
        </w:rPr>
        <w:t>sa</w:t>
      </w:r>
      <w:r w:rsidRPr="008B336A">
        <w:rPr>
          <w:bCs/>
        </w:rPr>
        <w:t xml:space="preserve"> žiak sa môže vzdelávať podľa individuálneho vzdelávacieho programu. </w:t>
      </w:r>
      <w:r w:rsidRPr="00950BAD">
        <w:rPr>
          <w:bCs/>
        </w:rPr>
        <w:t>Údaje o tom, koľko žiakov so ZZ sa vzdeláva podľa špecifického ŠVP a koľko podľa individuálneho vzdelávacieho programu nie sú dostupné.</w:t>
      </w:r>
      <w:r w:rsidRPr="00950BAD">
        <w:rPr>
          <w:b/>
        </w:rPr>
        <w:t xml:space="preserve"> </w:t>
      </w:r>
    </w:p>
    <w:p w14:paraId="278376A3" w14:textId="298ED369" w:rsidR="003C21E8" w:rsidRPr="00950BAD" w:rsidRDefault="003C21E8" w:rsidP="00452DBC">
      <w:r w:rsidRPr="008B336A">
        <w:rPr>
          <w:b/>
          <w:bCs/>
        </w:rPr>
        <w:t>Diferenciácia kurikula pre žiakov so ZZ je v protiklade k súčasným trendom vo vzdelávaní.</w:t>
      </w:r>
      <w:r w:rsidRPr="00950BAD">
        <w:t xml:space="preserve"> Stanovenie špecifického kurikula pre všetkých žiakov s určitou diagnózou neumožňuje zohľadniť ich individuálne potreby a schopnosti. Namiesto špecifických kurikúl sa preto odporúča, aby sa všetci žiaci bez ohľadu na znevýhodnenie vzdelávali podľa jednotného štandardu a špecifickým potrebám žiakov sa prispôsoboval len spôsob, akým si kurikulum osvojujú - napr. úprava metodiky výučby, spôsobu inštruovania detí, prispôsobenie času potrebného na zvládnutie úlohy a pod. (EASNIE, 2003</w:t>
      </w:r>
      <w:r w:rsidR="005873F4">
        <w:t>;</w:t>
      </w:r>
      <w:r w:rsidRPr="00950BAD">
        <w:t xml:space="preserve"> Winter, O’Raw, 2010). V prípade žiakov, u ktorých je to potrebné, je možné vypracovať individuálny študijný plán (vzdelávacie ciele a štandardy v ňom však zostávajú zachované; NCSE, 2012). </w:t>
      </w:r>
    </w:p>
    <w:p w14:paraId="6A79E0F9" w14:textId="77777777" w:rsidR="00D64BB4" w:rsidRPr="00950BAD" w:rsidRDefault="003C21E8" w:rsidP="00452DBC">
      <w:r w:rsidRPr="00950BAD">
        <w:rPr>
          <w:b/>
        </w:rPr>
        <w:t>Najvypuklejšie sa problém s diferenciáciou kurikula prejavuje pri vzdelávaní žiakov</w:t>
      </w:r>
      <w:r w:rsidRPr="00950BAD">
        <w:t xml:space="preserve"> </w:t>
      </w:r>
      <w:r w:rsidRPr="00950BAD">
        <w:rPr>
          <w:b/>
          <w:bCs/>
        </w:rPr>
        <w:t>s mentálnym postihnutím, pre ktorých sú v porovnaní s bežnými žiakmi stanovené odlišné obsahové a výkonové štandardy.</w:t>
      </w:r>
      <w:r w:rsidRPr="00950BAD">
        <w:rPr>
          <w:rStyle w:val="Odkaznapoznmkupodiarou"/>
          <w:b/>
          <w:bCs/>
        </w:rPr>
        <w:footnoteReference w:id="228"/>
      </w:r>
      <w:r w:rsidRPr="00950BAD">
        <w:rPr>
          <w:b/>
          <w:bCs/>
        </w:rPr>
        <w:t xml:space="preserve"> </w:t>
      </w:r>
      <w:r w:rsidRPr="00950BAD">
        <w:t>Takto nastavené kurikulum neumožňuje zohľadniť skutoční potenciál jednotlivých žiakov a</w:t>
      </w:r>
      <w:r w:rsidRPr="00950BAD">
        <w:rPr>
          <w:bCs/>
        </w:rPr>
        <w:t xml:space="preserve"> komplikuje prípadný prechod žiakov zo špeciálneho do bežného prúdu.</w:t>
      </w:r>
      <w:r w:rsidRPr="00950BAD">
        <w:rPr>
          <w:rStyle w:val="Odkaznapoznmkupodiarou"/>
          <w:bCs/>
        </w:rPr>
        <w:footnoteReference w:id="229"/>
      </w:r>
      <w:r w:rsidRPr="00950BAD">
        <w:rPr>
          <w:b/>
          <w:bCs/>
        </w:rPr>
        <w:t xml:space="preserve"> </w:t>
      </w:r>
      <w:r w:rsidRPr="00950BAD">
        <w:t xml:space="preserve">Zapríčiňuje totiž, že napriek svojim schopnostiam sú prestupujúci žiaci „s učivom pozadu“. </w:t>
      </w:r>
    </w:p>
    <w:p w14:paraId="796B10E5" w14:textId="2635670C" w:rsidR="003C21E8" w:rsidRPr="00950BAD" w:rsidRDefault="00D64BB4" w:rsidP="00452DBC">
      <w:r w:rsidRPr="00950BAD">
        <w:t>V</w:t>
      </w:r>
      <w:r w:rsidR="003C21E8" w:rsidRPr="00950BAD">
        <w:t xml:space="preserve"> USA sa zákonom </w:t>
      </w:r>
      <w:r w:rsidR="003C21E8" w:rsidRPr="00950BAD">
        <w:rPr>
          <w:i/>
        </w:rPr>
        <w:t xml:space="preserve">No Child Left Behind </w:t>
      </w:r>
      <w:r w:rsidR="003C21E8" w:rsidRPr="00950BAD">
        <w:t>v roku 2001 zaviedlo pravidlo, podľa ktoré</w:t>
      </w:r>
      <w:r w:rsidRPr="00950BAD">
        <w:t>ho</w:t>
      </w:r>
      <w:r w:rsidR="003C21E8" w:rsidRPr="00950BAD">
        <w:t xml:space="preserve"> sa môžu špecificky upravovať vzdelávacie ciele maximálne pre 1 % žiakov. Zodpovednosť za to, že si všetci žiaci osvoja vedomosti a nadobudnú zručnosti stanovené v národnom kurikule, preberajú školy (Courtade, Browder, 2016). Takýto prístup predstavuje zvýšené nároky na školy a učiteľov (ktorí musia vedieť dostatočne kvalifikovane prispôsobiť výučbu potrebám všetkých žiakov), a preto je potrebné investovať do vzdelávania učiteľov aj podpory odborných zamestnancov na školách vzdelávania (Taylor, 2017). </w:t>
      </w:r>
    </w:p>
    <w:p w14:paraId="1B741E8D" w14:textId="77777777" w:rsidR="003C21E8" w:rsidRPr="00950BAD" w:rsidRDefault="003C21E8" w:rsidP="00452DBC">
      <w:pPr>
        <w:rPr>
          <w:b/>
        </w:rPr>
      </w:pPr>
      <w:r w:rsidRPr="00950BAD">
        <w:rPr>
          <w:b/>
        </w:rPr>
        <w:t>Revízia preto navrhuje úpravu legislatívy tak, aby školy primárne vzdelávali žiakov so ZZ podľa individuálneho vzdelávacieho programu vychádzajúceho zo všeobecného ŠVP, a aby sa postupne upúšťalo od tvorby a využívania špecifických ŠVP pre žiakov s jednotlivými druhmi ZZ.</w:t>
      </w:r>
    </w:p>
    <w:p w14:paraId="2FEB72A9" w14:textId="77777777" w:rsidR="003C21E8" w:rsidRPr="00950BAD" w:rsidRDefault="003C21E8" w:rsidP="00452DBC">
      <w:pPr>
        <w:pStyle w:val="Bezriadkovania"/>
        <w:spacing w:after="200" w:line="259" w:lineRule="auto"/>
        <w:jc w:val="both"/>
        <w:rPr>
          <w:rFonts w:ascii="Arial Narrow" w:hAnsi="Arial Narrow"/>
          <w:b/>
          <w:bCs/>
          <w:u w:val="single"/>
        </w:rPr>
      </w:pPr>
      <w:r w:rsidRPr="00950BAD">
        <w:rPr>
          <w:rFonts w:ascii="Arial Narrow" w:hAnsi="Arial Narrow"/>
          <w:b/>
          <w:bCs/>
          <w:u w:val="single"/>
        </w:rPr>
        <w:t>Špeciálne multimediálne, didaktické a kompenzačné pomôcky</w:t>
      </w:r>
    </w:p>
    <w:p w14:paraId="769A9D60" w14:textId="77777777" w:rsidR="003C21E8" w:rsidRPr="00950BAD" w:rsidRDefault="003C21E8" w:rsidP="00452DBC">
      <w:pPr>
        <w:pStyle w:val="Bezriadkovania"/>
        <w:spacing w:before="160" w:after="200" w:line="259" w:lineRule="auto"/>
        <w:jc w:val="both"/>
        <w:rPr>
          <w:rFonts w:ascii="Arial Narrow" w:hAnsi="Arial Narrow"/>
          <w:b/>
        </w:rPr>
      </w:pPr>
      <w:r w:rsidRPr="00950BAD">
        <w:rPr>
          <w:rFonts w:ascii="Arial Narrow" w:hAnsi="Arial Narrow"/>
          <w:b/>
        </w:rPr>
        <w:t>Žiaci so zdravotným znevýhodnením majú právo využívať špeciálne učebnice a multimediálne, didaktické a kompenzačné pomôcky.</w:t>
      </w:r>
      <w:r w:rsidRPr="00950BAD">
        <w:rPr>
          <w:rStyle w:val="Odkaznapoznmkupodiarou"/>
          <w:rFonts w:ascii="Arial Narrow" w:hAnsi="Arial Narrow"/>
          <w:b/>
        </w:rPr>
        <w:footnoteReference w:id="230"/>
      </w:r>
      <w:r w:rsidRPr="00950BAD">
        <w:rPr>
          <w:rFonts w:ascii="Arial Narrow" w:hAnsi="Arial Narrow"/>
          <w:b/>
        </w:rPr>
        <w:t xml:space="preserve"> Podobne ako v prípade materských škôl, ani v prípade základných škôl dostupné dáta neumožňujú povedať, do akej miery sú učebnice a pomôcky v školách dostupné a ani či alebo aký objem zdrojov školy do nákupu pomôcok investujú. </w:t>
      </w:r>
      <w:r w:rsidRPr="00950BAD">
        <w:rPr>
          <w:rFonts w:ascii="Arial Narrow" w:hAnsi="Arial Narrow"/>
        </w:rPr>
        <w:t>Na zabezpečovaní pomôcok sa podľa školského zákona podieľajú aj Centrá špeciálno-pedagogického poradenstva (§ 133 ods. 4). Z auditu poradenských zariadení však nie je zrejmé, akými pomôckami centrá disponujú a či, resp. do akej miery ich do ZŠ zapožičiavajú.</w:t>
      </w:r>
      <w:r w:rsidRPr="00950BAD">
        <w:rPr>
          <w:rStyle w:val="Odkaznapoznmkupodiarou"/>
          <w:rFonts w:ascii="Arial Narrow" w:hAnsi="Arial Narrow"/>
        </w:rPr>
        <w:footnoteReference w:id="231"/>
      </w:r>
      <w:r w:rsidRPr="00950BAD">
        <w:rPr>
          <w:rFonts w:ascii="Arial Narrow" w:hAnsi="Arial Narrow"/>
        </w:rPr>
        <w:t xml:space="preserve"> </w:t>
      </w:r>
      <w:r w:rsidRPr="00950BAD">
        <w:rPr>
          <w:rFonts w:ascii="Arial Narrow" w:hAnsi="Arial Narrow"/>
          <w:b/>
        </w:rPr>
        <w:t>Revízia preto navrhuje realizovať audit pre identifikáciu dostupných a potrebných učebníc a pomôcok pre žiakov so ZZ v základnom vzdelávaní.</w:t>
      </w:r>
    </w:p>
    <w:p w14:paraId="03316731" w14:textId="77777777" w:rsidR="003C21E8" w:rsidRPr="00950BAD" w:rsidRDefault="003C21E8" w:rsidP="00452DBC">
      <w:pPr>
        <w:pStyle w:val="Bezriadkovania"/>
        <w:spacing w:after="200" w:line="259" w:lineRule="auto"/>
        <w:jc w:val="both"/>
        <w:rPr>
          <w:rFonts w:ascii="Arial Narrow" w:hAnsi="Arial Narrow"/>
          <w:b/>
          <w:bCs/>
          <w:u w:val="single"/>
        </w:rPr>
      </w:pPr>
      <w:r w:rsidRPr="00950BAD">
        <w:rPr>
          <w:rFonts w:ascii="Arial Narrow" w:hAnsi="Arial Narrow"/>
          <w:b/>
          <w:bCs/>
          <w:u w:val="single"/>
        </w:rPr>
        <w:t>Pripravenosť učiteľov</w:t>
      </w:r>
    </w:p>
    <w:p w14:paraId="1950856A" w14:textId="4DBFAB10" w:rsidR="003C21E8" w:rsidRPr="00950BAD" w:rsidRDefault="000C38FE" w:rsidP="00452DBC">
      <w:pPr>
        <w:pStyle w:val="Bezriadkovania"/>
        <w:spacing w:before="160" w:after="200" w:line="259" w:lineRule="auto"/>
        <w:jc w:val="both"/>
        <w:rPr>
          <w:rFonts w:ascii="Arial Narrow" w:hAnsi="Arial Narrow"/>
        </w:rPr>
      </w:pPr>
      <w:r w:rsidRPr="008B336A">
        <w:rPr>
          <w:rFonts w:ascii="Arial Narrow" w:hAnsi="Arial Narrow"/>
          <w:b/>
          <w:bCs/>
        </w:rPr>
        <w:t>V</w:t>
      </w:r>
      <w:r w:rsidR="003C21E8" w:rsidRPr="008B336A">
        <w:rPr>
          <w:rFonts w:ascii="Arial Narrow" w:hAnsi="Arial Narrow"/>
          <w:b/>
          <w:bCs/>
        </w:rPr>
        <w:t xml:space="preserve">iac ako dve tretiny učiteľov bežných ZŠ (66,9 %) a takmer jedna tretina učiteľov špeciálnych ZŠ (31,9 %) neabsolvovala žiadne ďalšie vzdelávanie v oblasti výchovy a vzdelávania žiakov so </w:t>
      </w:r>
      <w:r w:rsidRPr="008B336A">
        <w:rPr>
          <w:rFonts w:ascii="Arial Narrow" w:hAnsi="Arial Narrow"/>
          <w:b/>
          <w:bCs/>
        </w:rPr>
        <w:t>špeciálnym výchovno-vzdelávacími potrebami</w:t>
      </w:r>
      <w:r>
        <w:rPr>
          <w:rFonts w:ascii="Arial Narrow" w:hAnsi="Arial Narrow"/>
        </w:rPr>
        <w:t xml:space="preserve">. </w:t>
      </w:r>
      <w:r w:rsidR="00B24660">
        <w:rPr>
          <w:rFonts w:ascii="Arial Narrow" w:hAnsi="Arial Narrow"/>
        </w:rPr>
        <w:t>Vyplýva</w:t>
      </w:r>
      <w:r>
        <w:rPr>
          <w:rFonts w:ascii="Arial Narrow" w:hAnsi="Arial Narrow"/>
        </w:rPr>
        <w:t xml:space="preserve"> to z reprezentatívneho </w:t>
      </w:r>
      <w:r w:rsidRPr="00950BAD">
        <w:rPr>
          <w:rFonts w:ascii="Arial Narrow" w:hAnsi="Arial Narrow"/>
        </w:rPr>
        <w:t>prieskum</w:t>
      </w:r>
      <w:r>
        <w:rPr>
          <w:rFonts w:ascii="Arial Narrow" w:hAnsi="Arial Narrow"/>
        </w:rPr>
        <w:t>u</w:t>
      </w:r>
      <w:r w:rsidRPr="00950BAD">
        <w:rPr>
          <w:rFonts w:ascii="Arial Narrow" w:hAnsi="Arial Narrow"/>
        </w:rPr>
        <w:t xml:space="preserve"> medzi učiteľmi ZŠ a</w:t>
      </w:r>
      <w:r>
        <w:rPr>
          <w:rFonts w:ascii="Arial Narrow" w:hAnsi="Arial Narrow"/>
        </w:rPr>
        <w:t> </w:t>
      </w:r>
      <w:r w:rsidRPr="00950BAD">
        <w:rPr>
          <w:rFonts w:ascii="Arial Narrow" w:hAnsi="Arial Narrow"/>
        </w:rPr>
        <w:t>ŠZŠ</w:t>
      </w:r>
      <w:r>
        <w:rPr>
          <w:rFonts w:ascii="Arial Narrow" w:hAnsi="Arial Narrow"/>
        </w:rPr>
        <w:t xml:space="preserve">. Väčšina respondentov </w:t>
      </w:r>
      <w:r w:rsidR="003C21E8" w:rsidRPr="00950BAD">
        <w:rPr>
          <w:rFonts w:ascii="Arial Narrow" w:hAnsi="Arial Narrow"/>
        </w:rPr>
        <w:t xml:space="preserve">súčasne uviedla, že cíti potrebu sa ďalej vzdelávať. Ako najčastejšiu bariéru účasti na vzdelávaní uvádzali učitelia bežných ZŠ veľké množstvo práce (27 %), učitelia špeciálnych ZŠ zase nedostatočnú ponuku vhodných akreditovaných programov (25,5 %) (To dá rozum, 2019). </w:t>
      </w:r>
    </w:p>
    <w:p w14:paraId="3FFD0222" w14:textId="05A5F08D" w:rsidR="003C21E8" w:rsidRPr="00950BAD" w:rsidRDefault="003C21E8" w:rsidP="00921EF0">
      <w:pPr>
        <w:pStyle w:val="Bezriadkovania"/>
        <w:spacing w:before="160" w:line="259" w:lineRule="auto"/>
        <w:jc w:val="both"/>
        <w:rPr>
          <w:rFonts w:ascii="Arial Narrow" w:hAnsi="Arial Narrow"/>
        </w:rPr>
      </w:pPr>
      <w:r w:rsidRPr="00950BAD">
        <w:rPr>
          <w:rFonts w:ascii="Arial Narrow" w:hAnsi="Arial Narrow"/>
          <w:b/>
        </w:rPr>
        <w:t xml:space="preserve">V roku 2018 sa akreditovaných programov kontinuálneho vzdelávania zúčastnilo 413 učiteľov, čo predstavuje 2 % všetkých učiteľov bežných a špeciálnych ZŠ. </w:t>
      </w:r>
      <w:r w:rsidRPr="00950BAD">
        <w:rPr>
          <w:rFonts w:ascii="Arial Narrow" w:hAnsi="Arial Narrow"/>
        </w:rPr>
        <w:t xml:space="preserve">V rámci ponuky akreditovaných kurzov ďalšieho vzdelávania bolo zo 679 kurzov pre cieľovú skupinu učiteľov ZŠ dostupných len päť programov zameraných špecificky na žiakov so ZZ a 12 programov sa venovalo téme inklúzie všeobecne </w:t>
      </w:r>
      <w:r w:rsidR="008E166F" w:rsidRPr="00950BAD">
        <w:rPr>
          <w:rFonts w:ascii="Arial Narrow" w:hAnsi="Arial Narrow"/>
        </w:rPr>
        <w:t>(</w:t>
      </w:r>
      <w:r w:rsidR="00134838" w:rsidRPr="00134838">
        <w:rPr>
          <w:rFonts w:ascii="Arial Narrow" w:hAnsi="Arial Narrow"/>
          <w:szCs w:val="20"/>
        </w:rPr>
        <w:fldChar w:fldCharType="begin"/>
      </w:r>
      <w:r w:rsidR="00134838" w:rsidRPr="00134838">
        <w:rPr>
          <w:rFonts w:ascii="Arial Narrow" w:hAnsi="Arial Narrow"/>
          <w:szCs w:val="20"/>
        </w:rPr>
        <w:instrText xml:space="preserve"> REF _Ref25324181 \h </w:instrText>
      </w:r>
      <w:r w:rsidR="00134838">
        <w:rPr>
          <w:rFonts w:ascii="Arial Narrow" w:hAnsi="Arial Narrow"/>
          <w:szCs w:val="20"/>
        </w:rPr>
        <w:instrText xml:space="preserve"> \* MERGEFORMAT </w:instrText>
      </w:r>
      <w:r w:rsidR="00134838" w:rsidRPr="00134838">
        <w:rPr>
          <w:rFonts w:ascii="Arial Narrow" w:hAnsi="Arial Narrow"/>
          <w:szCs w:val="20"/>
        </w:rPr>
      </w:r>
      <w:r w:rsidR="00134838" w:rsidRPr="00134838">
        <w:rPr>
          <w:rFonts w:ascii="Arial Narrow" w:hAnsi="Arial Narrow"/>
          <w:szCs w:val="20"/>
        </w:rPr>
        <w:fldChar w:fldCharType="separate"/>
      </w:r>
      <w:r w:rsidR="00FA29AF" w:rsidRPr="00FA29AF">
        <w:rPr>
          <w:rFonts w:ascii="Arial Narrow" w:hAnsi="Arial Narrow"/>
          <w:szCs w:val="20"/>
        </w:rPr>
        <w:t>Príloha 10</w:t>
      </w:r>
      <w:r w:rsidR="00134838" w:rsidRPr="00134838">
        <w:rPr>
          <w:rFonts w:ascii="Arial Narrow" w:hAnsi="Arial Narrow"/>
          <w:szCs w:val="20"/>
        </w:rPr>
        <w:fldChar w:fldCharType="end"/>
      </w:r>
      <w:r w:rsidR="00921EF0">
        <w:rPr>
          <w:rFonts w:ascii="Arial Narrow" w:hAnsi="Arial Narrow"/>
        </w:rPr>
        <w:t>)</w:t>
      </w:r>
      <w:r w:rsidR="008E166F" w:rsidRPr="00950BAD">
        <w:rPr>
          <w:rFonts w:ascii="Arial Narrow" w:hAnsi="Arial Narrow"/>
        </w:rPr>
        <w:t>.</w:t>
      </w:r>
      <w:r w:rsidR="008E166F" w:rsidRPr="00950BAD">
        <w:rPr>
          <w:rStyle w:val="Odkaznapoznmkupodiarou"/>
          <w:rFonts w:ascii="Arial Narrow" w:hAnsi="Arial Narrow"/>
          <w:bCs/>
        </w:rPr>
        <w:footnoteReference w:id="232"/>
      </w:r>
      <w:r w:rsidR="008E166F" w:rsidRPr="00950BAD">
        <w:rPr>
          <w:rFonts w:ascii="Arial Narrow" w:hAnsi="Arial Narrow"/>
        </w:rPr>
        <w:t xml:space="preserve"> </w:t>
      </w:r>
      <w:r w:rsidRPr="00950BAD">
        <w:rPr>
          <w:rFonts w:ascii="Arial Narrow" w:hAnsi="Arial Narrow"/>
        </w:rPr>
        <w:t xml:space="preserve">Zároveň tiež neexistovala žiadna platforma pre výmenu know-how a skúseností medzi bežnými a špeciálnymi školami, pričom zistenia To dá rozum naznačujú, že učitelia bežných škôl by tento typ spolupráce privítali (Hapalová, 2019). </w:t>
      </w:r>
    </w:p>
    <w:p w14:paraId="6847A0A6" w14:textId="60A09E09" w:rsidR="003C21E8" w:rsidRPr="00950BAD" w:rsidRDefault="003C21E8" w:rsidP="00921EF0">
      <w:pPr>
        <w:pStyle w:val="Bezriadkovania"/>
        <w:spacing w:before="160" w:after="200" w:line="259" w:lineRule="auto"/>
        <w:jc w:val="both"/>
        <w:rPr>
          <w:rFonts w:ascii="Arial Narrow" w:hAnsi="Arial Narrow"/>
          <w:b/>
        </w:rPr>
      </w:pPr>
      <w:r w:rsidRPr="00950BAD">
        <w:rPr>
          <w:rFonts w:ascii="Arial Narrow" w:hAnsi="Arial Narrow"/>
          <w:b/>
        </w:rPr>
        <w:t>Revízia preto navrhuje rozšíriť ponuku programov</w:t>
      </w:r>
      <w:r w:rsidR="0070047D">
        <w:rPr>
          <w:rFonts w:ascii="Arial Narrow" w:hAnsi="Arial Narrow"/>
          <w:b/>
        </w:rPr>
        <w:t xml:space="preserve"> </w:t>
      </w:r>
      <w:r w:rsidRPr="00950BAD">
        <w:rPr>
          <w:rFonts w:ascii="Arial Narrow" w:hAnsi="Arial Narrow"/>
          <w:b/>
        </w:rPr>
        <w:t>vzdelávania pre učiteľov v ZŠ so zameraním na nadobúdanie zručností potrebných pre vzdelávanie žiakov so ZZ vrátane vytvorenia priestoru pre spoluprácu bežných a špeciálnych škôl.</w:t>
      </w:r>
    </w:p>
    <w:p w14:paraId="1EEAF964" w14:textId="77777777" w:rsidR="003C21E8" w:rsidRPr="00950BAD" w:rsidRDefault="003C21E8" w:rsidP="00452DBC">
      <w:pPr>
        <w:pStyle w:val="Bezriadkovania"/>
        <w:spacing w:after="200" w:line="259" w:lineRule="auto"/>
        <w:jc w:val="both"/>
        <w:rPr>
          <w:rFonts w:ascii="Arial Narrow" w:hAnsi="Arial Narrow"/>
          <w:b/>
          <w:bCs/>
          <w:u w:val="single"/>
        </w:rPr>
      </w:pPr>
      <w:r w:rsidRPr="00950BAD">
        <w:rPr>
          <w:rFonts w:ascii="Arial Narrow" w:hAnsi="Arial Narrow"/>
          <w:b/>
          <w:bCs/>
          <w:u w:val="single"/>
        </w:rPr>
        <w:t>Navýšené normatívy na žiakov so zdravotným znevýhodnením</w:t>
      </w:r>
    </w:p>
    <w:p w14:paraId="3F3258C0" w14:textId="32B16FCF" w:rsidR="003C21E8" w:rsidRPr="00950BAD" w:rsidRDefault="003C21E8" w:rsidP="00452DBC">
      <w:pPr>
        <w:pStyle w:val="Bezriadkovania"/>
        <w:spacing w:after="200" w:line="259" w:lineRule="auto"/>
        <w:jc w:val="both"/>
        <w:rPr>
          <w:rFonts w:ascii="Arial Narrow" w:hAnsi="Arial Narrow"/>
          <w:bCs/>
        </w:rPr>
      </w:pPr>
      <w:r w:rsidRPr="00950BAD">
        <w:rPr>
          <w:rFonts w:ascii="Arial Narrow" w:hAnsi="Arial Narrow"/>
          <w:b/>
          <w:bCs/>
        </w:rPr>
        <w:t>V roku 2018 predstavovali dodatočné náklady vo forme navýšených normatívov na vzdelávanie viac ako 50 tisíc žiakov so ZZ v bežných a špeciálnych základných školách takmer 102 miliónov eur</w:t>
      </w:r>
      <w:r w:rsidR="008E166F" w:rsidRPr="00950BAD">
        <w:rPr>
          <w:rFonts w:ascii="Arial Narrow" w:hAnsi="Arial Narrow"/>
          <w:b/>
        </w:rPr>
        <w:t xml:space="preserve"> </w:t>
      </w:r>
      <w:r w:rsidR="008E166F" w:rsidRPr="00950BAD">
        <w:rPr>
          <w:rFonts w:ascii="Arial Narrow" w:hAnsi="Arial Narrow"/>
        </w:rPr>
        <w:t>(</w:t>
      </w:r>
      <w:r w:rsidR="00134838" w:rsidRPr="00134838">
        <w:rPr>
          <w:rFonts w:ascii="Arial Narrow" w:hAnsi="Arial Narrow"/>
          <w:szCs w:val="20"/>
        </w:rPr>
        <w:fldChar w:fldCharType="begin"/>
      </w:r>
      <w:r w:rsidR="00134838" w:rsidRPr="00134838">
        <w:rPr>
          <w:rFonts w:ascii="Arial Narrow" w:hAnsi="Arial Narrow"/>
          <w:szCs w:val="20"/>
        </w:rPr>
        <w:instrText xml:space="preserve"> REF _Ref25838414 \h </w:instrText>
      </w:r>
      <w:r w:rsidR="00134838">
        <w:rPr>
          <w:rFonts w:ascii="Arial Narrow" w:hAnsi="Arial Narrow"/>
          <w:szCs w:val="20"/>
        </w:rPr>
        <w:instrText xml:space="preserve"> \* MERGEFORMAT </w:instrText>
      </w:r>
      <w:r w:rsidR="00134838" w:rsidRPr="00134838">
        <w:rPr>
          <w:rFonts w:ascii="Arial Narrow" w:hAnsi="Arial Narrow"/>
          <w:szCs w:val="20"/>
        </w:rPr>
      </w:r>
      <w:r w:rsidR="00134838" w:rsidRPr="00134838">
        <w:rPr>
          <w:rFonts w:ascii="Arial Narrow" w:hAnsi="Arial Narrow"/>
          <w:szCs w:val="20"/>
        </w:rPr>
        <w:fldChar w:fldCharType="separate"/>
      </w:r>
      <w:r w:rsidR="00FA29AF" w:rsidRPr="00FA29AF">
        <w:rPr>
          <w:rFonts w:ascii="Arial Narrow" w:hAnsi="Arial Narrow"/>
          <w:szCs w:val="20"/>
        </w:rPr>
        <w:t>Príloha 19</w:t>
      </w:r>
      <w:r w:rsidR="00134838" w:rsidRPr="00134838">
        <w:rPr>
          <w:rFonts w:ascii="Arial Narrow" w:hAnsi="Arial Narrow"/>
          <w:szCs w:val="20"/>
        </w:rPr>
        <w:fldChar w:fldCharType="end"/>
      </w:r>
      <w:r w:rsidR="008E166F" w:rsidRPr="00134838">
        <w:rPr>
          <w:rFonts w:ascii="Arial Narrow" w:hAnsi="Arial Narrow"/>
          <w:szCs w:val="20"/>
        </w:rPr>
        <w:t>)</w:t>
      </w:r>
      <w:r w:rsidR="008E166F" w:rsidRPr="00950BAD">
        <w:rPr>
          <w:rFonts w:ascii="Arial Narrow" w:hAnsi="Arial Narrow"/>
        </w:rPr>
        <w:t xml:space="preserve">. </w:t>
      </w:r>
      <w:r w:rsidRPr="00950BAD">
        <w:rPr>
          <w:rFonts w:ascii="Arial Narrow" w:hAnsi="Arial Narrow"/>
          <w:bCs/>
        </w:rPr>
        <w:t>Dodatočné náklady zahŕňajú vyšší základný normatív na žiakov špeciálnych škôl</w:t>
      </w:r>
      <w:r w:rsidRPr="00950BAD">
        <w:rPr>
          <w:rFonts w:ascii="Arial Narrow" w:hAnsi="Arial Narrow"/>
        </w:rPr>
        <w:t xml:space="preserve"> </w:t>
      </w:r>
      <w:r w:rsidRPr="00950BAD">
        <w:rPr>
          <w:rFonts w:ascii="Arial Narrow" w:hAnsi="Arial Narrow"/>
          <w:bCs/>
        </w:rPr>
        <w:t>a následné navýšenie základných normatívov na žiakov v bežných (integrácia a špeciálne triedy) a v špeciálnych základných školách</w:t>
      </w:r>
      <w:r w:rsidR="008360EB">
        <w:rPr>
          <w:rFonts w:ascii="Arial Narrow" w:hAnsi="Arial Narrow"/>
          <w:bCs/>
        </w:rPr>
        <w:t xml:space="preserve"> (ŠZŠ)</w:t>
      </w:r>
      <w:r w:rsidRPr="00950BAD">
        <w:rPr>
          <w:rFonts w:ascii="Arial Narrow" w:hAnsi="Arial Narrow"/>
          <w:bCs/>
        </w:rPr>
        <w:t xml:space="preserve"> podľa druhu zdravotného znevýhodnenia.</w:t>
      </w:r>
      <w:r w:rsidRPr="00950BAD">
        <w:rPr>
          <w:rStyle w:val="Odkaznapoznmkupodiarou"/>
          <w:rFonts w:ascii="Arial Narrow" w:hAnsi="Arial Narrow"/>
          <w:bCs/>
        </w:rPr>
        <w:footnoteReference w:id="233"/>
      </w:r>
    </w:p>
    <w:p w14:paraId="2F530F5B" w14:textId="2152F7E2" w:rsidR="008E166F" w:rsidRPr="00146284" w:rsidRDefault="003C21E8" w:rsidP="00452DBC">
      <w:r w:rsidRPr="00950BAD">
        <w:rPr>
          <w:b/>
          <w:bCs/>
        </w:rPr>
        <w:t xml:space="preserve">Priemerná výška dodatočných nákladov na vzdelávanie žiaka so ZZ v integrácii alebo v špeciálnej triede bola o 1 472 eur nižšia v porovnaní s priemernou výškou dodatočných nákladov na vzdelávanie žiaka so ZZ v špeciálnej škole (1 735 eur oproti 3 477 eurám) </w:t>
      </w:r>
      <w:r w:rsidR="008E166F" w:rsidRPr="00950BAD">
        <w:t>(</w:t>
      </w:r>
      <w:r w:rsidR="00134838" w:rsidRPr="00134838">
        <w:fldChar w:fldCharType="begin"/>
      </w:r>
      <w:r w:rsidR="00134838">
        <w:instrText xml:space="preserve"> REF _Ref34131052 \h  \* MERGEFORMAT </w:instrText>
      </w:r>
      <w:r w:rsidR="00134838" w:rsidRPr="00134838">
        <w:fldChar w:fldCharType="separate"/>
      </w:r>
      <w:r w:rsidR="00FA29AF" w:rsidRPr="00FA29AF">
        <w:t>Príloha 20</w:t>
      </w:r>
      <w:r w:rsidR="00134838" w:rsidRPr="00134838">
        <w:fldChar w:fldCharType="end"/>
      </w:r>
      <w:r w:rsidR="008E166F" w:rsidRPr="00950BAD">
        <w:t xml:space="preserve">). </w:t>
      </w:r>
      <w:r w:rsidR="00FA469B" w:rsidRPr="00950BAD">
        <w:rPr>
          <w:bCs/>
        </w:rPr>
        <w:t>Takmer polovica rozdielu je spôsobená vyšším základným normatívom na žiaka v špeciálnej základnej škole.</w:t>
      </w:r>
      <w:r w:rsidR="00FA469B" w:rsidRPr="00950BAD">
        <w:rPr>
          <w:rStyle w:val="Odkaznapoznmkupodiarou"/>
          <w:bCs/>
        </w:rPr>
        <w:footnoteReference w:id="234"/>
      </w:r>
      <w:r w:rsidR="00FA469B" w:rsidRPr="00950BAD">
        <w:rPr>
          <w:bCs/>
        </w:rPr>
        <w:t xml:space="preserve"> </w:t>
      </w:r>
      <w:r w:rsidR="000C42E1">
        <w:rPr>
          <w:bCs/>
        </w:rPr>
        <w:t>Ten</w:t>
      </w:r>
      <w:r w:rsidR="00FA469B" w:rsidRPr="00950BAD">
        <w:rPr>
          <w:bCs/>
        </w:rPr>
        <w:t xml:space="preserve"> zohľadňuje najmä výrazne menšie triedy a vyššie kvalifikačné predpoklady na pedagogických zamestnancov. Kým priemerný počet žiakov v triedach špeciálnych základných škôl bol 8, v bežných základných školách </w:t>
      </w:r>
      <w:r w:rsidR="000C42E1">
        <w:rPr>
          <w:bCs/>
        </w:rPr>
        <w:t>to bolo</w:t>
      </w:r>
      <w:r w:rsidR="00FA469B" w:rsidRPr="00950BAD">
        <w:rPr>
          <w:bCs/>
        </w:rPr>
        <w:t> 19 žiakov. Ďalším faktorom je vyššie zastúpenie žiakov so závažnejšími druhmi ZZ v špeciálnych školách, kde sa vzdelávajú viac ako tri štvrtiny žiakov s ťažkým mentálnym postihnutím a viacnásobným postihnutím (77 %). Normatívy na žiakov s rovnakým druhom ZZ sú navyše pre špeciálne školy oproti normatívnom posky</w:t>
      </w:r>
      <w:r w:rsidR="008360EB">
        <w:rPr>
          <w:bCs/>
        </w:rPr>
        <w:t>tovaným bežným školám vyššie o</w:t>
      </w:r>
      <w:r w:rsidR="00FA469B" w:rsidRPr="00950BAD">
        <w:rPr>
          <w:bCs/>
        </w:rPr>
        <w:t> 5 až 19 %</w:t>
      </w:r>
      <w:r w:rsidR="008E166F" w:rsidRPr="00950BAD">
        <w:t xml:space="preserve"> (</w:t>
      </w:r>
      <w:r w:rsidR="00134838" w:rsidRPr="00146284">
        <w:rPr>
          <w:rFonts w:eastAsia="Arial Narrow" w:cs="Arial Narrow"/>
        </w:rPr>
        <w:fldChar w:fldCharType="begin"/>
      </w:r>
      <w:r w:rsidR="00134838" w:rsidRPr="00146284">
        <w:rPr>
          <w:rFonts w:eastAsia="Arial Narrow" w:cs="Arial Narrow"/>
        </w:rPr>
        <w:instrText xml:space="preserve"> REF _Ref25838458 \h  \* MERGEFORMAT </w:instrText>
      </w:r>
      <w:r w:rsidR="00134838" w:rsidRPr="00146284">
        <w:rPr>
          <w:rFonts w:eastAsia="Arial Narrow" w:cs="Arial Narrow"/>
        </w:rPr>
      </w:r>
      <w:r w:rsidR="00134838" w:rsidRPr="00146284">
        <w:rPr>
          <w:rFonts w:eastAsia="Arial Narrow" w:cs="Arial Narrow"/>
        </w:rPr>
        <w:fldChar w:fldCharType="separate"/>
      </w:r>
      <w:r w:rsidR="00FA29AF" w:rsidRPr="00FA29AF">
        <w:rPr>
          <w:rFonts w:eastAsia="Arial Narrow" w:cs="Arial Narrow"/>
        </w:rPr>
        <w:t>Príloha</w:t>
      </w:r>
      <w:r w:rsidR="00FA29AF" w:rsidRPr="00FA29AF">
        <w:rPr>
          <w:b/>
          <w:i/>
          <w:color w:val="2E74B5" w:themeColor="accent1" w:themeShade="BF"/>
        </w:rPr>
        <w:t xml:space="preserve"> </w:t>
      </w:r>
      <w:r w:rsidR="00FA29AF">
        <w:rPr>
          <w:b/>
          <w:i/>
          <w:noProof/>
          <w:color w:val="2E74B5" w:themeColor="accent1" w:themeShade="BF"/>
        </w:rPr>
        <w:t>21</w:t>
      </w:r>
      <w:r w:rsidR="00134838" w:rsidRPr="00146284">
        <w:rPr>
          <w:rFonts w:eastAsia="Arial Narrow" w:cs="Arial Narrow"/>
        </w:rPr>
        <w:fldChar w:fldCharType="end"/>
      </w:r>
      <w:r w:rsidR="008E166F" w:rsidRPr="00146284">
        <w:rPr>
          <w:rFonts w:eastAsia="Arial Narrow" w:cs="Arial Narrow"/>
        </w:rPr>
        <w:t>)</w:t>
      </w:r>
      <w:r w:rsidR="008E166F" w:rsidRPr="00146284">
        <w:t>.</w:t>
      </w:r>
    </w:p>
    <w:p w14:paraId="5E43F237" w14:textId="5633075E" w:rsidR="00FA469B" w:rsidRPr="00950BAD" w:rsidRDefault="00FA469B" w:rsidP="00452DBC">
      <w:r w:rsidRPr="00950BAD">
        <w:rPr>
          <w:b/>
        </w:rPr>
        <w:t>Navýšené normatívy nie sú špecificky účelovo viazané.</w:t>
      </w:r>
      <w:r w:rsidRPr="00950BAD">
        <w:t xml:space="preserve"> </w:t>
      </w:r>
      <w:r w:rsidRPr="00950BAD">
        <w:rPr>
          <w:b/>
        </w:rPr>
        <w:t>Komplexné</w:t>
      </w:r>
      <w:r w:rsidRPr="00950BAD">
        <w:t xml:space="preserve"> </w:t>
      </w:r>
      <w:r w:rsidRPr="00950BAD">
        <w:rPr>
          <w:b/>
        </w:rPr>
        <w:t>výskumy o tom, do akej miery školy tieto zdroje na napĺňanie potrieb žiakov so ZZ využívajú alebo do akej miery sú dodatočné zdroje na napĺňanie potrieb žiakov dostačujúce, nie sú dostupné.</w:t>
      </w:r>
      <w:r w:rsidRPr="00950BAD">
        <w:t xml:space="preserve"> Aj keď to žiadny právny predpis explicitne neustanovuje, implicitne sa predpokladá, že školy na napĺňanie potrieb žiakov so ZZ</w:t>
      </w:r>
      <w:r w:rsidRPr="00950BAD">
        <w:rPr>
          <w:rStyle w:val="Odkaznapoznmkupodiarou"/>
        </w:rPr>
        <w:footnoteReference w:id="235"/>
      </w:r>
      <w:r w:rsidRPr="00950BAD">
        <w:t xml:space="preserve"> využívajú podľa svojho uváženia práve zdroje z navýšených normatívov.</w:t>
      </w:r>
      <w:r w:rsidRPr="00950BAD">
        <w:rPr>
          <w:rStyle w:val="Odkaznapoznmkupodiarou"/>
        </w:rPr>
        <w:footnoteReference w:id="236"/>
      </w:r>
      <w:r w:rsidRPr="00950BAD">
        <w:t xml:space="preserve"> Reprezentatívny prieskum naznačuje, že alokované zdroje nemusia byť v niektorých prípadoch postačujúce. Nedostatok finančných prostriedkov považuje za jeden z najväčších problémov vo vzdelávaní žiakov so špeciálnymi potrebami takmer štvrtina riaditeľov ZŠ (24,6 %) a ŠZŠ (23,5 %) (To dá rozum, 2019).</w:t>
      </w:r>
    </w:p>
    <w:p w14:paraId="79754C5A" w14:textId="77777777" w:rsidR="00FA469B" w:rsidRPr="00950BAD" w:rsidRDefault="00FA469B" w:rsidP="00452DBC">
      <w:pPr>
        <w:pStyle w:val="Bezriadkovania"/>
        <w:spacing w:after="200" w:line="259" w:lineRule="auto"/>
        <w:jc w:val="both"/>
        <w:rPr>
          <w:rFonts w:ascii="Arial Narrow" w:hAnsi="Arial Narrow"/>
          <w:b/>
          <w:bCs/>
          <w:u w:val="single"/>
        </w:rPr>
      </w:pPr>
      <w:r w:rsidRPr="00950BAD">
        <w:rPr>
          <w:rFonts w:ascii="Arial Narrow" w:hAnsi="Arial Narrow"/>
          <w:b/>
          <w:u w:val="single"/>
        </w:rPr>
        <w:t>Odborní zamestnanci</w:t>
      </w:r>
    </w:p>
    <w:p w14:paraId="30671144" w14:textId="5FCD8A25" w:rsidR="00FA469B" w:rsidRPr="00950BAD" w:rsidRDefault="00FA469B" w:rsidP="00452DBC">
      <w:pPr>
        <w:pStyle w:val="Bezriadkovania"/>
        <w:spacing w:after="200" w:line="259" w:lineRule="auto"/>
        <w:jc w:val="both"/>
        <w:rPr>
          <w:rFonts w:ascii="Arial Narrow" w:hAnsi="Arial Narrow"/>
          <w:bCs/>
        </w:rPr>
      </w:pPr>
      <w:r w:rsidRPr="00950BAD">
        <w:rPr>
          <w:rFonts w:ascii="Arial Narrow" w:hAnsi="Arial Narrow"/>
          <w:b/>
          <w:bCs/>
        </w:rPr>
        <w:t xml:space="preserve">V roku 2018 predstavovali výdavky na odborných zamestnancov pôsobiacich priamo v základných školách sumu 8,3 milióna eur v bežných základných školách a 450 tisíc eur v špeciálnych základných školách. </w:t>
      </w:r>
      <w:r w:rsidRPr="00950BAD">
        <w:rPr>
          <w:rFonts w:ascii="Arial Narrow" w:hAnsi="Arial Narrow"/>
          <w:bCs/>
        </w:rPr>
        <w:t>Približne polovica výdavkov na</w:t>
      </w:r>
      <w:r w:rsidRPr="00950BAD">
        <w:rPr>
          <w:rFonts w:ascii="Arial Narrow" w:hAnsi="Arial Narrow"/>
          <w:b/>
          <w:bCs/>
        </w:rPr>
        <w:t xml:space="preserve"> </w:t>
      </w:r>
      <w:r w:rsidRPr="00950BAD">
        <w:rPr>
          <w:rFonts w:ascii="Arial Narrow" w:hAnsi="Arial Narrow"/>
          <w:bCs/>
        </w:rPr>
        <w:t>mzdy odborných zamestnancov bola hradená z rozpočtov škôl a druhá polovica z európskych prostriedkov.</w:t>
      </w:r>
      <w:r w:rsidRPr="00950BAD">
        <w:rPr>
          <w:rStyle w:val="Odkaznapoznmkupodiarou"/>
          <w:rFonts w:ascii="Arial Narrow" w:hAnsi="Arial Narrow"/>
          <w:bCs/>
        </w:rPr>
        <w:footnoteReference w:id="237"/>
      </w:r>
      <w:r w:rsidRPr="00950BAD">
        <w:rPr>
          <w:rFonts w:ascii="Arial Narrow" w:hAnsi="Arial Narrow"/>
          <w:bCs/>
        </w:rPr>
        <w:t xml:space="preserve"> V bežných základných školách pôsobilo 990 odborných zamestnancov, spolu mali 477 úväzkov. Aspoň jeden odborný zamestnanec pôsobil v menej ako polovici základných škôl (44 %). V špeciálnych základných školách pôsobilo 46 odborných zamestnancov, všetci z nich boli psychológovia</w:t>
      </w:r>
      <w:r w:rsidR="0070047D">
        <w:rPr>
          <w:rFonts w:ascii="Arial Narrow" w:hAnsi="Arial Narrow"/>
          <w:bCs/>
        </w:rPr>
        <w:t xml:space="preserve"> </w:t>
      </w:r>
      <w:r w:rsidRPr="00950BAD">
        <w:rPr>
          <w:rFonts w:ascii="Arial Narrow" w:hAnsi="Arial Narrow"/>
          <w:bCs/>
        </w:rPr>
        <w:t>a spolu mali 21 úväzkov. Aspoň jeden psychológ pôsobil v 11 % špeciálnych základných škôl.</w:t>
      </w:r>
      <w:r w:rsidRPr="00950BAD">
        <w:rPr>
          <w:rStyle w:val="Odkaznapoznmkupodiarou"/>
          <w:rFonts w:ascii="Arial Narrow" w:hAnsi="Arial Narrow"/>
          <w:bCs/>
        </w:rPr>
        <w:footnoteReference w:id="238"/>
      </w:r>
      <w:r w:rsidRPr="00950BAD">
        <w:rPr>
          <w:rFonts w:ascii="Arial Narrow" w:hAnsi="Arial Narrow"/>
          <w:bCs/>
        </w:rPr>
        <w:t xml:space="preserve"> Za posledných 10 rokov sa počet psychológov v bežných základných školách zdvojnásobil a počet špe</w:t>
      </w:r>
      <w:r w:rsidR="004B033A">
        <w:rPr>
          <w:rFonts w:ascii="Arial Narrow" w:hAnsi="Arial Narrow"/>
          <w:bCs/>
        </w:rPr>
        <w:t>ciálnych pedagógov strojnásobil</w:t>
      </w:r>
      <w:r w:rsidR="008E166F" w:rsidRPr="00950BAD">
        <w:rPr>
          <w:rFonts w:ascii="Arial Narrow" w:hAnsi="Arial Narrow"/>
        </w:rPr>
        <w:t>.</w:t>
      </w:r>
      <w:r w:rsidR="0070047D">
        <w:rPr>
          <w:rFonts w:ascii="Arial Narrow" w:hAnsi="Arial Narrow"/>
        </w:rPr>
        <w:t xml:space="preserve"> </w:t>
      </w:r>
      <w:r w:rsidRPr="00950BAD">
        <w:rPr>
          <w:rFonts w:ascii="Arial Narrow" w:hAnsi="Arial Narrow"/>
          <w:bCs/>
        </w:rPr>
        <w:t xml:space="preserve">Analýza efektivity práce odborných zamestnancov nie je dostupná. Rovnako nie sú k dispozícii komparatívne údaje o pôsobení odborných zamestnancov v ZŠ iných krajín, ako ani informácie o ich priemerných a optimálnych počtoch. </w:t>
      </w:r>
    </w:p>
    <w:p w14:paraId="72387767" w14:textId="32A7AF41" w:rsidR="008E166F" w:rsidRPr="00950BAD" w:rsidRDefault="00FA469B" w:rsidP="00452DBC">
      <w:pPr>
        <w:pStyle w:val="Bezriadkovania"/>
        <w:spacing w:after="200" w:line="259" w:lineRule="auto"/>
        <w:jc w:val="both"/>
        <w:rPr>
          <w:rFonts w:ascii="Arial Narrow" w:hAnsi="Arial Narrow"/>
          <w:b/>
          <w:bCs/>
        </w:rPr>
      </w:pPr>
      <w:r w:rsidRPr="00950BAD">
        <w:rPr>
          <w:rFonts w:ascii="Arial Narrow" w:hAnsi="Arial Narrow"/>
          <w:b/>
          <w:bCs/>
        </w:rPr>
        <w:t xml:space="preserve">Z analýzy dostupných údajov </w:t>
      </w:r>
      <w:r w:rsidR="00B24660">
        <w:rPr>
          <w:rFonts w:ascii="Arial Narrow" w:hAnsi="Arial Narrow"/>
          <w:b/>
          <w:bCs/>
        </w:rPr>
        <w:t>vyplýva</w:t>
      </w:r>
      <w:r w:rsidRPr="00950BAD">
        <w:rPr>
          <w:rFonts w:ascii="Arial Narrow" w:hAnsi="Arial Narrow"/>
          <w:b/>
          <w:bCs/>
        </w:rPr>
        <w:t>, že normované mzdové rozpočtované prostriedky väčšine bežných základných škôl (86 %) nepostačujú na zafinancovanie aspoň jedného úväzku odborného zamestnanca.</w:t>
      </w:r>
      <w:r w:rsidRPr="00950BAD">
        <w:rPr>
          <w:rStyle w:val="Odkaznapoznmkupodiarou"/>
          <w:rFonts w:ascii="Arial Narrow" w:hAnsi="Arial Narrow"/>
          <w:b/>
          <w:bCs/>
        </w:rPr>
        <w:footnoteReference w:id="239"/>
      </w:r>
      <w:r w:rsidRPr="00950BAD">
        <w:rPr>
          <w:rFonts w:ascii="Arial Narrow" w:hAnsi="Arial Narrow"/>
          <w:b/>
          <w:bCs/>
        </w:rPr>
        <w:t xml:space="preserve"> </w:t>
      </w:r>
      <w:r w:rsidRPr="00950BAD">
        <w:rPr>
          <w:rFonts w:ascii="Arial Narrow" w:hAnsi="Arial Narrow"/>
          <w:bCs/>
        </w:rPr>
        <w:t>Napriek tomu podmienku prítomnosti odborného zamestnanca v bežných školách, ktoré vzdelávajú viac ako 20 integrovaných žiakov so ZZ, spĺňalo až 84 % bežných základných škôl.</w:t>
      </w:r>
      <w:r w:rsidRPr="00950BAD">
        <w:rPr>
          <w:rStyle w:val="Odkaznapoznmkupodiarou"/>
          <w:rFonts w:ascii="Arial Narrow" w:hAnsi="Arial Narrow"/>
          <w:bCs/>
        </w:rPr>
        <w:footnoteReference w:id="240"/>
      </w:r>
      <w:r w:rsidRPr="00950BAD">
        <w:rPr>
          <w:rFonts w:ascii="Arial Narrow" w:hAnsi="Arial Narrow"/>
          <w:bCs/>
        </w:rPr>
        <w:t xml:space="preserve"> Väčšina škôl (62 %) zamestnáva odborného zamestnanca na polovičný alebo menší úväzok. Platí, že s veľkosťou školy sa miera plnenia stanovenej podmienky aj veľkosť úväzku odborného zamestnanca zvyšuje </w:t>
      </w:r>
      <w:r w:rsidR="008E166F" w:rsidRPr="00950BAD">
        <w:rPr>
          <w:rFonts w:ascii="Arial Narrow" w:hAnsi="Arial Narrow"/>
        </w:rPr>
        <w:t>(</w:t>
      </w:r>
      <w:r w:rsidR="0074735A" w:rsidRPr="00950BAD">
        <w:rPr>
          <w:rFonts w:ascii="Arial Narrow" w:hAnsi="Arial Narrow"/>
          <w:highlight w:val="yellow"/>
        </w:rPr>
        <w:fldChar w:fldCharType="begin"/>
      </w:r>
      <w:r w:rsidR="0074735A" w:rsidRPr="00950BAD">
        <w:rPr>
          <w:rFonts w:ascii="Arial Narrow" w:hAnsi="Arial Narrow"/>
        </w:rPr>
        <w:instrText xml:space="preserve"> REF _Ref25844553 \h </w:instrText>
      </w:r>
      <w:r w:rsidR="0074735A" w:rsidRPr="00950BAD">
        <w:rPr>
          <w:rFonts w:ascii="Arial Narrow" w:hAnsi="Arial Narrow"/>
          <w:highlight w:val="yellow"/>
        </w:rPr>
        <w:instrText xml:space="preserve"> \* MERGEFORMAT </w:instrText>
      </w:r>
      <w:r w:rsidR="0074735A" w:rsidRPr="00950BAD">
        <w:rPr>
          <w:rFonts w:ascii="Arial Narrow" w:hAnsi="Arial Narrow"/>
          <w:highlight w:val="yellow"/>
        </w:rPr>
      </w:r>
      <w:r w:rsidR="0074735A" w:rsidRPr="00950BAD">
        <w:rPr>
          <w:rFonts w:ascii="Arial Narrow" w:hAnsi="Arial Narrow"/>
          <w:highlight w:val="yellow"/>
        </w:rPr>
        <w:fldChar w:fldCharType="separate"/>
      </w:r>
      <w:r w:rsidR="00FA29AF" w:rsidRPr="00FA29AF">
        <w:rPr>
          <w:rFonts w:ascii="Arial Narrow" w:hAnsi="Arial Narrow"/>
        </w:rPr>
        <w:t>Príloha 22</w:t>
      </w:r>
      <w:r w:rsidR="0074735A" w:rsidRPr="00950BAD">
        <w:rPr>
          <w:rFonts w:ascii="Arial Narrow" w:hAnsi="Arial Narrow"/>
          <w:highlight w:val="yellow"/>
        </w:rPr>
        <w:fldChar w:fldCharType="end"/>
      </w:r>
      <w:r w:rsidR="008E166F" w:rsidRPr="00950BAD">
        <w:rPr>
          <w:rFonts w:ascii="Arial Narrow" w:hAnsi="Arial Narrow"/>
        </w:rPr>
        <w:t xml:space="preserve">). </w:t>
      </w:r>
      <w:r w:rsidRPr="00950BAD">
        <w:rPr>
          <w:rFonts w:ascii="Arial Narrow" w:hAnsi="Arial Narrow"/>
          <w:b/>
          <w:bCs/>
        </w:rPr>
        <w:t xml:space="preserve">Vzhľadom na nedostatočné zdroje škôl a v nadväznosti na príklady dobrej praxe zo zahraničia (EASNIE, 1999) navrhuje revízia prideľovať školám nenormatívne zdroje </w:t>
      </w:r>
      <w:r w:rsidRPr="00240F31">
        <w:rPr>
          <w:rFonts w:ascii="Arial Narrow" w:hAnsi="Arial Narrow"/>
          <w:b/>
          <w:bCs/>
        </w:rPr>
        <w:t xml:space="preserve">na </w:t>
      </w:r>
      <w:r w:rsidR="00BE798A">
        <w:rPr>
          <w:rFonts w:ascii="Arial Narrow" w:hAnsi="Arial Narrow"/>
          <w:b/>
        </w:rPr>
        <w:t>dvoch</w:t>
      </w:r>
      <w:r w:rsidR="005A5750" w:rsidRPr="008B336A">
        <w:rPr>
          <w:rFonts w:ascii="Arial Narrow" w:hAnsi="Arial Narrow"/>
          <w:b/>
        </w:rPr>
        <w:t xml:space="preserve"> odborn</w:t>
      </w:r>
      <w:r w:rsidR="00BE798A">
        <w:rPr>
          <w:rFonts w:ascii="Arial Narrow" w:hAnsi="Arial Narrow"/>
          <w:b/>
        </w:rPr>
        <w:t>ých</w:t>
      </w:r>
      <w:r w:rsidR="005A5750" w:rsidRPr="008B336A">
        <w:rPr>
          <w:rFonts w:ascii="Arial Narrow" w:hAnsi="Arial Narrow"/>
          <w:b/>
        </w:rPr>
        <w:t xml:space="preserve"> zamestnanc</w:t>
      </w:r>
      <w:r w:rsidR="00BE798A">
        <w:rPr>
          <w:rFonts w:ascii="Arial Narrow" w:hAnsi="Arial Narrow"/>
          <w:b/>
        </w:rPr>
        <w:t>ov</w:t>
      </w:r>
      <w:r w:rsidR="005A5750" w:rsidRPr="00F96A3D">
        <w:t xml:space="preserve"> </w:t>
      </w:r>
      <w:r w:rsidRPr="00950BAD">
        <w:rPr>
          <w:rFonts w:ascii="Arial Narrow" w:hAnsi="Arial Narrow"/>
          <w:b/>
          <w:bCs/>
        </w:rPr>
        <w:t>podľa vlastného výberu, pričom veľkosť úväzku zamestnancov by závisela od veľkosti školy.</w:t>
      </w:r>
    </w:p>
    <w:p w14:paraId="2C4AA260" w14:textId="77777777" w:rsidR="00FA469B" w:rsidRPr="00950BAD" w:rsidRDefault="00FA469B" w:rsidP="00452DBC">
      <w:pPr>
        <w:pStyle w:val="Bezriadkovania"/>
        <w:spacing w:after="200" w:line="259" w:lineRule="auto"/>
        <w:jc w:val="both"/>
        <w:rPr>
          <w:rFonts w:ascii="Arial Narrow" w:hAnsi="Arial Narrow"/>
          <w:b/>
          <w:bCs/>
          <w:u w:val="single"/>
        </w:rPr>
      </w:pPr>
      <w:r w:rsidRPr="00950BAD">
        <w:rPr>
          <w:rFonts w:ascii="Arial Narrow" w:hAnsi="Arial Narrow"/>
          <w:b/>
          <w:bCs/>
          <w:u w:val="single"/>
        </w:rPr>
        <w:t>Pedagogickí asistenti</w:t>
      </w:r>
    </w:p>
    <w:p w14:paraId="0DF5B7EA" w14:textId="77777777" w:rsidR="00FA469B" w:rsidRPr="00950BAD" w:rsidRDefault="00FA469B" w:rsidP="00452DBC">
      <w:pPr>
        <w:pStyle w:val="Bezriadkovania"/>
        <w:spacing w:after="200" w:line="259" w:lineRule="auto"/>
        <w:jc w:val="both"/>
        <w:rPr>
          <w:rFonts w:ascii="Arial Narrow" w:hAnsi="Arial Narrow"/>
          <w:b/>
        </w:rPr>
      </w:pPr>
      <w:r w:rsidRPr="00950BAD">
        <w:rPr>
          <w:rFonts w:ascii="Arial Narrow" w:hAnsi="Arial Narrow"/>
          <w:b/>
        </w:rPr>
        <w:t>V máji 2018 vykázali základné a stredné školy spolu 3 195 úväzkov pedagogických asistentov. 7 % z nich financovali školy z vlastného rozpočtu (napr. navýšené normatívy na žiakov so ZZ), 71 % financovalo ministerstvo školstva na základe predložených požiadaviek, 16 % bolo financovaných z európskych prostriedkov a 6 % z iných zdrojov (napr. z prostriedkov zriaďovateľov, MPSVR SR a iné).</w:t>
      </w:r>
      <w:r w:rsidRPr="00950BAD">
        <w:rPr>
          <w:rStyle w:val="Odkaznapoznmkupodiarou"/>
          <w:rFonts w:ascii="Arial Narrow" w:hAnsi="Arial Narrow"/>
          <w:b/>
        </w:rPr>
        <w:footnoteReference w:id="241"/>
      </w:r>
    </w:p>
    <w:p w14:paraId="2A4982D7" w14:textId="5B6F5FC2" w:rsidR="00FA469B" w:rsidRPr="00950BAD" w:rsidRDefault="00FA469B" w:rsidP="00452DBC">
      <w:pPr>
        <w:pStyle w:val="Bezriadkovania"/>
        <w:spacing w:after="200" w:line="259" w:lineRule="auto"/>
        <w:jc w:val="both"/>
        <w:rPr>
          <w:rFonts w:ascii="Arial Narrow" w:hAnsi="Arial Narrow"/>
          <w:b/>
        </w:rPr>
      </w:pPr>
      <w:r w:rsidRPr="00950BAD">
        <w:rPr>
          <w:rFonts w:ascii="Arial Narrow" w:hAnsi="Arial Narrow"/>
          <w:b/>
        </w:rPr>
        <w:t xml:space="preserve">V roku 2018 normované rozpočtované prostriedky väčšine bežných a špeciálnych základných škôl nepostačovali na zafinancovanie ani jedného úväzku pedagogického asistenta. </w:t>
      </w:r>
      <w:r w:rsidRPr="00950BAD">
        <w:rPr>
          <w:rFonts w:ascii="Arial Narrow" w:hAnsi="Arial Narrow"/>
        </w:rPr>
        <w:t>Štyri z piatich (79,4 %) bežných základných škôl, v ktorých sa vzdelávali žiaci so ZZ, a tri zo štyroch šp</w:t>
      </w:r>
      <w:r w:rsidR="00FD1B7A">
        <w:rPr>
          <w:rFonts w:ascii="Arial Narrow" w:hAnsi="Arial Narrow"/>
        </w:rPr>
        <w:t>eciálnych základných škôl (73,2 </w:t>
      </w:r>
      <w:r w:rsidRPr="00950BAD">
        <w:rPr>
          <w:rFonts w:ascii="Arial Narrow" w:hAnsi="Arial Narrow"/>
        </w:rPr>
        <w:t>%) si v roku 2018 nemohli dovoliť z normovaných mzdových prostriedkov zafinancovať ani jeden úväzok pedagogického asistenta.</w:t>
      </w:r>
      <w:r w:rsidRPr="00950BAD">
        <w:rPr>
          <w:rStyle w:val="Odkaznapoznmkupodiarou"/>
          <w:rFonts w:ascii="Arial Narrow" w:hAnsi="Arial Narrow"/>
        </w:rPr>
        <w:footnoteReference w:id="242"/>
      </w:r>
      <w:r w:rsidRPr="00950BAD">
        <w:rPr>
          <w:rFonts w:ascii="Arial Narrow" w:hAnsi="Arial Narrow"/>
          <w:b/>
        </w:rPr>
        <w:t xml:space="preserve"> </w:t>
      </w:r>
    </w:p>
    <w:p w14:paraId="6B0E3C91" w14:textId="3F6EEDBD" w:rsidR="008E166F" w:rsidRPr="00921EF0" w:rsidRDefault="009D2757" w:rsidP="009B5295">
      <w:pPr>
        <w:pStyle w:val="Bezriadkovania"/>
        <w:spacing w:after="200" w:line="259" w:lineRule="auto"/>
        <w:jc w:val="both"/>
        <w:rPr>
          <w:rFonts w:ascii="Arial Narrow" w:hAnsi="Arial Narrow"/>
        </w:rPr>
      </w:pPr>
      <w:r w:rsidRPr="00950BAD">
        <w:rPr>
          <w:rFonts w:ascii="Arial Narrow" w:hAnsi="Arial Narrow"/>
          <w:b/>
        </w:rPr>
        <w:t>Ministerstvo pridelilo v roku 2018 základným a stredným školám</w:t>
      </w:r>
      <w:r w:rsidRPr="00950BAD">
        <w:rPr>
          <w:rStyle w:val="Odkaznapoznmkupodiarou"/>
          <w:rFonts w:ascii="Arial Narrow" w:hAnsi="Arial Narrow"/>
          <w:b/>
        </w:rPr>
        <w:footnoteReference w:id="243"/>
      </w:r>
      <w:r w:rsidRPr="00950BAD">
        <w:rPr>
          <w:rFonts w:ascii="Arial Narrow" w:hAnsi="Arial Narrow"/>
          <w:b/>
        </w:rPr>
        <w:t xml:space="preserve"> 23,4 milióna eur na celkový počet 2 319 pedagogických asistentov. Školy v danom roku žiadali 5 274 pedagogických asistentov na 15 237 žiakov zo ZZ.</w:t>
      </w:r>
      <w:r w:rsidRPr="00950BAD">
        <w:rPr>
          <w:rStyle w:val="Odkaznapoznmkupodiarou"/>
          <w:rFonts w:ascii="Arial Narrow" w:hAnsi="Arial Narrow"/>
          <w:b/>
        </w:rPr>
        <w:footnoteReference w:id="244"/>
      </w:r>
      <w:r w:rsidRPr="00950BAD">
        <w:rPr>
          <w:rFonts w:ascii="Arial Narrow" w:hAnsi="Arial Narrow"/>
          <w:b/>
        </w:rPr>
        <w:t xml:space="preserve"> Ich požiadavky tak boli uspokojené na 44 % </w:t>
      </w:r>
      <w:r w:rsidR="008E166F" w:rsidRPr="00950BAD">
        <w:rPr>
          <w:rFonts w:ascii="Arial Narrow" w:hAnsi="Arial Narrow"/>
          <w:b/>
        </w:rPr>
        <w:t>(</w:t>
      </w:r>
      <w:r w:rsidR="000938F7" w:rsidRPr="00950BAD">
        <w:rPr>
          <w:rFonts w:ascii="Arial Narrow" w:hAnsi="Arial Narrow"/>
          <w:b/>
        </w:rPr>
        <w:fldChar w:fldCharType="begin"/>
      </w:r>
      <w:r w:rsidR="000938F7" w:rsidRPr="00950BAD">
        <w:rPr>
          <w:rFonts w:ascii="Arial Narrow" w:hAnsi="Arial Narrow"/>
          <w:b/>
        </w:rPr>
        <w:instrText xml:space="preserve"> REF _Ref25745041 \h  \* MERGEFORMAT </w:instrText>
      </w:r>
      <w:r w:rsidR="000938F7" w:rsidRPr="00950BAD">
        <w:rPr>
          <w:rFonts w:ascii="Arial Narrow" w:hAnsi="Arial Narrow"/>
          <w:b/>
        </w:rPr>
      </w:r>
      <w:r w:rsidR="000938F7" w:rsidRPr="00950BAD">
        <w:rPr>
          <w:rFonts w:ascii="Arial Narrow" w:hAnsi="Arial Narrow"/>
          <w:b/>
        </w:rPr>
        <w:fldChar w:fldCharType="separate"/>
      </w:r>
      <w:r w:rsidR="00FA29AF" w:rsidRPr="00FA29AF">
        <w:rPr>
          <w:rFonts w:ascii="Arial Narrow" w:hAnsi="Arial Narrow"/>
          <w:b/>
        </w:rPr>
        <w:t>Graf 28</w:t>
      </w:r>
      <w:r w:rsidR="000938F7" w:rsidRPr="00950BAD">
        <w:rPr>
          <w:rFonts w:ascii="Arial Narrow" w:hAnsi="Arial Narrow"/>
          <w:b/>
        </w:rPr>
        <w:fldChar w:fldCharType="end"/>
      </w:r>
      <w:r w:rsidR="008E166F" w:rsidRPr="00950BAD">
        <w:rPr>
          <w:rFonts w:ascii="Arial Narrow" w:hAnsi="Arial Narrow"/>
          <w:b/>
        </w:rPr>
        <w:t>).</w:t>
      </w:r>
      <w:r w:rsidR="008E166F" w:rsidRPr="00950BAD">
        <w:rPr>
          <w:rFonts w:ascii="Arial Narrow" w:hAnsi="Arial Narrow"/>
        </w:rPr>
        <w:t xml:space="preserve"> </w:t>
      </w:r>
      <w:r w:rsidR="009B5295" w:rsidRPr="00D256BF">
        <w:rPr>
          <w:rFonts w:ascii="Arial Narrow" w:hAnsi="Arial Narrow"/>
        </w:rPr>
        <w:t>Vyššiu</w:t>
      </w:r>
      <w:r w:rsidR="009B5295" w:rsidRPr="00950BAD">
        <w:rPr>
          <w:rFonts w:ascii="Arial Narrow" w:hAnsi="Arial Narrow"/>
        </w:rPr>
        <w:t xml:space="preserve"> úspešnosť pritom mali žiadosti špeciálnych ZŠ</w:t>
      </w:r>
      <w:r w:rsidR="009B5295">
        <w:rPr>
          <w:rFonts w:ascii="Arial Narrow" w:hAnsi="Arial Narrow"/>
        </w:rPr>
        <w:t xml:space="preserve">. </w:t>
      </w:r>
      <w:r w:rsidR="009B5295" w:rsidRPr="00950BAD">
        <w:rPr>
          <w:rFonts w:ascii="Arial Narrow" w:hAnsi="Arial Narrow"/>
        </w:rPr>
        <w:t>O prostriedky na úväzok pedagogického asistenta žiadala viac ako polovica (58 %) bežných základných škôl a približne tretine (34 %) žiadostí bolo do nejakej miery vyhovené. Žiadosť o prostriedky na úväzok asistenta si podala väčšina špeciálnych základných škôl (82 %) a viac ako dvom tretinám z nich (67 %) bolo do nejakej miery vyhovené</w:t>
      </w:r>
      <w:r w:rsidR="009B5295">
        <w:rPr>
          <w:rFonts w:ascii="Arial Narrow" w:hAnsi="Arial Narrow"/>
        </w:rPr>
        <w:t xml:space="preserve"> </w:t>
      </w:r>
      <w:r w:rsidR="008E166F" w:rsidRPr="00950BAD">
        <w:rPr>
          <w:rFonts w:ascii="Arial Narrow" w:hAnsi="Arial Narrow"/>
        </w:rPr>
        <w:t>(</w:t>
      </w:r>
      <w:r w:rsidR="0074735A" w:rsidRPr="00950BAD">
        <w:rPr>
          <w:rFonts w:ascii="Arial Narrow" w:hAnsi="Arial Narrow"/>
          <w:highlight w:val="yellow"/>
        </w:rPr>
        <w:fldChar w:fldCharType="begin"/>
      </w:r>
      <w:r w:rsidR="0074735A" w:rsidRPr="00950BAD">
        <w:rPr>
          <w:rFonts w:ascii="Arial Narrow" w:hAnsi="Arial Narrow"/>
        </w:rPr>
        <w:instrText xml:space="preserve"> REF _Ref25844574 \h </w:instrText>
      </w:r>
      <w:r w:rsidR="0074735A" w:rsidRPr="00950BAD">
        <w:rPr>
          <w:rFonts w:ascii="Arial Narrow" w:hAnsi="Arial Narrow"/>
          <w:highlight w:val="yellow"/>
        </w:rPr>
        <w:instrText xml:space="preserve"> \* MERGEFORMAT </w:instrText>
      </w:r>
      <w:r w:rsidR="0074735A" w:rsidRPr="00950BAD">
        <w:rPr>
          <w:rFonts w:ascii="Arial Narrow" w:hAnsi="Arial Narrow"/>
          <w:highlight w:val="yellow"/>
        </w:rPr>
      </w:r>
      <w:r w:rsidR="0074735A" w:rsidRPr="00950BAD">
        <w:rPr>
          <w:rFonts w:ascii="Arial Narrow" w:hAnsi="Arial Narrow"/>
          <w:highlight w:val="yellow"/>
        </w:rPr>
        <w:fldChar w:fldCharType="separate"/>
      </w:r>
      <w:r w:rsidR="00FA29AF" w:rsidRPr="00FA29AF">
        <w:rPr>
          <w:rFonts w:ascii="Arial Narrow" w:hAnsi="Arial Narrow"/>
        </w:rPr>
        <w:t>Príloha 23</w:t>
      </w:r>
      <w:r w:rsidR="0074735A" w:rsidRPr="00950BAD">
        <w:rPr>
          <w:rFonts w:ascii="Arial Narrow" w:hAnsi="Arial Narrow"/>
          <w:highlight w:val="yellow"/>
        </w:rPr>
        <w:fldChar w:fldCharType="end"/>
      </w:r>
      <w:r w:rsidR="008E166F" w:rsidRPr="00950BAD">
        <w:rPr>
          <w:rFonts w:ascii="Arial Narrow" w:hAnsi="Arial Narrow"/>
        </w:rPr>
        <w:t xml:space="preserve">). </w:t>
      </w:r>
      <w:r w:rsidR="009B5295" w:rsidRPr="00950BAD">
        <w:rPr>
          <w:rFonts w:ascii="Arial Narrow" w:hAnsi="Arial Narrow"/>
          <w:bCs/>
        </w:rPr>
        <w:t>Najviac pedagogických asistentov žiadali v roku 2018 školy pre žiakov s mentálnym postihnutím (41 %), pre žiakov s poruchami učenia (20 %) a pre žiakov s poruchami aktivity a pozornosti (14 %).</w:t>
      </w:r>
      <w:r w:rsidR="009B5295">
        <w:rPr>
          <w:rFonts w:ascii="Arial Narrow" w:hAnsi="Arial Narrow"/>
        </w:rPr>
        <w:t xml:space="preserve"> </w:t>
      </w:r>
      <w:r w:rsidR="008E166F" w:rsidRPr="00950BAD">
        <w:rPr>
          <w:rFonts w:ascii="Arial Narrow" w:hAnsi="Arial Narrow"/>
        </w:rPr>
        <w:t>Z hľadiska jednotlivých druhov zdravotného znevýhodnenia žiadali školy pedagogického asistenta na každého žiaka s autizmom (100 %), na dve tretiny telesne postihnutých žiakov (67</w:t>
      </w:r>
      <w:r w:rsidR="005873F4">
        <w:rPr>
          <w:rFonts w:ascii="Arial Narrow" w:hAnsi="Arial Narrow"/>
        </w:rPr>
        <w:t> </w:t>
      </w:r>
      <w:r w:rsidR="008E166F" w:rsidRPr="00950BAD">
        <w:rPr>
          <w:rFonts w:ascii="Arial Narrow" w:hAnsi="Arial Narrow"/>
        </w:rPr>
        <w:t>%), na dve tretiny chorých a zdravotne oslabených žiakov (66 %) a na polovicu žiakov s poruchami aktivity a pozornosti (50 %) (</w:t>
      </w:r>
      <w:r w:rsidR="0074735A" w:rsidRPr="00950BAD">
        <w:rPr>
          <w:rFonts w:ascii="Arial Narrow" w:hAnsi="Arial Narrow"/>
          <w:highlight w:val="yellow"/>
        </w:rPr>
        <w:fldChar w:fldCharType="begin"/>
      </w:r>
      <w:r w:rsidR="0074735A" w:rsidRPr="00950BAD">
        <w:rPr>
          <w:rFonts w:ascii="Arial Narrow" w:hAnsi="Arial Narrow"/>
        </w:rPr>
        <w:instrText xml:space="preserve"> REF _Ref25844598 \h </w:instrText>
      </w:r>
      <w:r w:rsidR="0074735A" w:rsidRPr="00950BAD">
        <w:rPr>
          <w:rFonts w:ascii="Arial Narrow" w:hAnsi="Arial Narrow"/>
          <w:highlight w:val="yellow"/>
        </w:rPr>
        <w:instrText xml:space="preserve"> \* MERGEFORMAT </w:instrText>
      </w:r>
      <w:r w:rsidR="0074735A" w:rsidRPr="00950BAD">
        <w:rPr>
          <w:rFonts w:ascii="Arial Narrow" w:hAnsi="Arial Narrow"/>
          <w:highlight w:val="yellow"/>
        </w:rPr>
      </w:r>
      <w:r w:rsidR="0074735A" w:rsidRPr="00950BAD">
        <w:rPr>
          <w:rFonts w:ascii="Arial Narrow" w:hAnsi="Arial Narrow"/>
          <w:highlight w:val="yellow"/>
        </w:rPr>
        <w:fldChar w:fldCharType="separate"/>
      </w:r>
      <w:r w:rsidR="00FA29AF" w:rsidRPr="00FA29AF">
        <w:rPr>
          <w:rFonts w:ascii="Arial Narrow" w:hAnsi="Arial Narrow"/>
        </w:rPr>
        <w:t>Príloha 24</w:t>
      </w:r>
      <w:r w:rsidR="0074735A" w:rsidRPr="00950BAD">
        <w:rPr>
          <w:rFonts w:ascii="Arial Narrow" w:hAnsi="Arial Narrow"/>
          <w:highlight w:val="yellow"/>
        </w:rPr>
        <w:fldChar w:fldCharType="end"/>
      </w:r>
      <w:r w:rsidR="008E166F" w:rsidRPr="00950BAD">
        <w:rPr>
          <w:rFonts w:ascii="Arial Narrow" w:hAnsi="Arial Narrow"/>
        </w:rPr>
        <w:t xml:space="preserve">). </w:t>
      </w:r>
    </w:p>
    <w:tbl>
      <w:tblPr>
        <w:tblW w:w="0" w:type="auto"/>
        <w:tblLook w:val="04A0" w:firstRow="1" w:lastRow="0" w:firstColumn="1" w:lastColumn="0" w:noHBand="0" w:noVBand="1"/>
      </w:tblPr>
      <w:tblGrid>
        <w:gridCol w:w="9026"/>
      </w:tblGrid>
      <w:tr w:rsidR="008E166F" w14:paraId="6FB69BF4" w14:textId="77777777" w:rsidTr="00226147">
        <w:tc>
          <w:tcPr>
            <w:tcW w:w="9062" w:type="dxa"/>
            <w:tcBorders>
              <w:top w:val="nil"/>
              <w:left w:val="nil"/>
              <w:bottom w:val="single" w:sz="4" w:space="0" w:color="auto"/>
              <w:right w:val="nil"/>
            </w:tcBorders>
          </w:tcPr>
          <w:p w14:paraId="1C3671C0" w14:textId="1BE8D60A" w:rsidR="008E166F" w:rsidRPr="000938F7" w:rsidRDefault="000938F7" w:rsidP="000938F7">
            <w:pPr>
              <w:pStyle w:val="Popis"/>
              <w:keepNext/>
              <w:spacing w:after="0"/>
              <w:jc w:val="left"/>
              <w:rPr>
                <w:b/>
                <w:i w:val="0"/>
                <w:sz w:val="20"/>
                <w:szCs w:val="20"/>
              </w:rPr>
            </w:pPr>
            <w:bookmarkStart w:id="415" w:name="_Ref25745041"/>
            <w:bookmarkStart w:id="416" w:name="_Toc34157586"/>
            <w:r w:rsidRPr="000938F7">
              <w:rPr>
                <w:b/>
                <w:i w:val="0"/>
                <w:color w:val="auto"/>
                <w:sz w:val="20"/>
                <w:szCs w:val="20"/>
              </w:rPr>
              <w:t xml:space="preserve">Graf </w:t>
            </w:r>
            <w:r w:rsidRPr="000938F7">
              <w:rPr>
                <w:b/>
                <w:i w:val="0"/>
                <w:color w:val="auto"/>
                <w:sz w:val="20"/>
                <w:szCs w:val="20"/>
              </w:rPr>
              <w:fldChar w:fldCharType="begin"/>
            </w:r>
            <w:r w:rsidRPr="000938F7">
              <w:rPr>
                <w:b/>
                <w:i w:val="0"/>
                <w:color w:val="auto"/>
                <w:sz w:val="20"/>
                <w:szCs w:val="20"/>
              </w:rPr>
              <w:instrText xml:space="preserve"> SEQ Graf \* ARABIC </w:instrText>
            </w:r>
            <w:r w:rsidRPr="000938F7">
              <w:rPr>
                <w:b/>
                <w:i w:val="0"/>
                <w:color w:val="auto"/>
                <w:sz w:val="20"/>
                <w:szCs w:val="20"/>
              </w:rPr>
              <w:fldChar w:fldCharType="separate"/>
            </w:r>
            <w:r w:rsidR="00FA29AF">
              <w:rPr>
                <w:b/>
                <w:i w:val="0"/>
                <w:noProof/>
                <w:color w:val="auto"/>
                <w:sz w:val="20"/>
                <w:szCs w:val="20"/>
              </w:rPr>
              <w:t>28</w:t>
            </w:r>
            <w:r w:rsidRPr="000938F7">
              <w:rPr>
                <w:b/>
                <w:i w:val="0"/>
                <w:color w:val="auto"/>
                <w:sz w:val="20"/>
                <w:szCs w:val="20"/>
              </w:rPr>
              <w:fldChar w:fldCharType="end"/>
            </w:r>
            <w:bookmarkEnd w:id="415"/>
            <w:r w:rsidRPr="000938F7">
              <w:rPr>
                <w:b/>
                <w:i w:val="0"/>
                <w:color w:val="auto"/>
                <w:sz w:val="20"/>
                <w:szCs w:val="20"/>
              </w:rPr>
              <w:t xml:space="preserve">: </w:t>
            </w:r>
            <w:r w:rsidR="008E166F" w:rsidRPr="000938F7">
              <w:rPr>
                <w:b/>
                <w:i w:val="0"/>
                <w:color w:val="auto"/>
                <w:sz w:val="20"/>
                <w:szCs w:val="20"/>
              </w:rPr>
              <w:t>Počet žiadaných a pridelených pedagogických asistentov</w:t>
            </w:r>
            <w:bookmarkEnd w:id="416"/>
          </w:p>
        </w:tc>
      </w:tr>
      <w:tr w:rsidR="008E166F" w14:paraId="0046B6B6" w14:textId="77777777" w:rsidTr="00226147">
        <w:tc>
          <w:tcPr>
            <w:tcW w:w="9062" w:type="dxa"/>
            <w:tcBorders>
              <w:top w:val="single" w:sz="4" w:space="0" w:color="auto"/>
              <w:left w:val="nil"/>
              <w:bottom w:val="single" w:sz="4" w:space="0" w:color="auto"/>
              <w:right w:val="nil"/>
            </w:tcBorders>
          </w:tcPr>
          <w:p w14:paraId="4B89CB3D" w14:textId="77777777" w:rsidR="008E166F" w:rsidRDefault="008E166F" w:rsidP="00B35CF6">
            <w:pPr>
              <w:spacing w:after="0"/>
            </w:pPr>
            <w:r w:rsidRPr="00A47998">
              <w:rPr>
                <w:noProof/>
                <w:lang w:eastAsia="sk-SK"/>
              </w:rPr>
              <w:drawing>
                <wp:inline distT="0" distB="0" distL="0" distR="0" wp14:anchorId="0ECE035F" wp14:editId="6B1165B6">
                  <wp:extent cx="5619750" cy="2228850"/>
                  <wp:effectExtent l="0" t="0" r="0" b="0"/>
                  <wp:docPr id="28006" name="Graf 2800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8E166F" w14:paraId="1ACD3310" w14:textId="77777777" w:rsidTr="00226147">
        <w:tc>
          <w:tcPr>
            <w:tcW w:w="9062" w:type="dxa"/>
            <w:tcBorders>
              <w:top w:val="single" w:sz="4" w:space="0" w:color="auto"/>
              <w:left w:val="nil"/>
              <w:bottom w:val="nil"/>
              <w:right w:val="nil"/>
            </w:tcBorders>
          </w:tcPr>
          <w:p w14:paraId="33DC0589" w14:textId="77777777" w:rsidR="008E166F" w:rsidRDefault="008E166F" w:rsidP="00B35CF6">
            <w:pPr>
              <w:spacing w:after="0"/>
              <w:jc w:val="right"/>
            </w:pPr>
            <w:r w:rsidRPr="00320D5F">
              <w:rPr>
                <w:i/>
                <w:iCs/>
                <w:sz w:val="18"/>
              </w:rPr>
              <w:t>Zdroj: Vlastné prepočty IVP na základe dát MŠVVŠ SR</w:t>
            </w:r>
          </w:p>
        </w:tc>
      </w:tr>
    </w:tbl>
    <w:p w14:paraId="4D2CA9F4" w14:textId="77777777" w:rsidR="008E166F" w:rsidRPr="00A47998" w:rsidRDefault="008E166F" w:rsidP="008E166F">
      <w:pPr>
        <w:pStyle w:val="Bezriadkovania"/>
        <w:jc w:val="both"/>
        <w:rPr>
          <w:rFonts w:ascii="Arial Narrow" w:hAnsi="Arial Narrow"/>
          <w:b/>
          <w:bCs/>
        </w:rPr>
      </w:pPr>
    </w:p>
    <w:p w14:paraId="570B1D48" w14:textId="77777777" w:rsidR="00A279BC" w:rsidRDefault="00A279BC" w:rsidP="00452DBC">
      <w:r w:rsidRPr="00C96421">
        <w:rPr>
          <w:b/>
        </w:rPr>
        <w:t>Dopyt po pedagogických asistentoch stúpa rýchlejšie než počet žiakov so zdravotným znevýhodneným.</w:t>
      </w:r>
      <w:r w:rsidRPr="00921EF0">
        <w:t xml:space="preserve"> Celkový počet žiakov so ZZ sa od roku 2012 zvýšil takmer o</w:t>
      </w:r>
      <w:r>
        <w:t> </w:t>
      </w:r>
      <w:r w:rsidRPr="00921EF0">
        <w:t>pätinu</w:t>
      </w:r>
      <w:r>
        <w:t>,</w:t>
      </w:r>
      <w:r w:rsidRPr="00921EF0">
        <w:rPr>
          <w:rStyle w:val="Odkaznapoznmkupodiarou"/>
        </w:rPr>
        <w:footnoteReference w:id="245"/>
      </w:r>
      <w:r w:rsidRPr="00921EF0">
        <w:t xml:space="preserve"> zatiaľ čo počet žiadostí o prostriedky na asistentov sa viac ako zdvojnásobil a školy teda žiadajú o asistentov na čoraz väčšie percento žiakov so ZZ. Príčiny zvyšovania dopytu po asistentoch neboli dosiaľ preskúmané (</w:t>
      </w:r>
      <w:r w:rsidRPr="00921EF0">
        <w:rPr>
          <w:highlight w:val="yellow"/>
        </w:rPr>
        <w:fldChar w:fldCharType="begin"/>
      </w:r>
      <w:r w:rsidRPr="00921EF0">
        <w:instrText xml:space="preserve"> REF _Ref25844613 \h </w:instrText>
      </w:r>
      <w:r w:rsidRPr="00921EF0">
        <w:rPr>
          <w:highlight w:val="yellow"/>
        </w:rPr>
        <w:instrText xml:space="preserve"> \* MERGEFORMAT </w:instrText>
      </w:r>
      <w:r w:rsidRPr="00921EF0">
        <w:rPr>
          <w:highlight w:val="yellow"/>
        </w:rPr>
      </w:r>
      <w:r w:rsidRPr="00921EF0">
        <w:rPr>
          <w:highlight w:val="yellow"/>
        </w:rPr>
        <w:fldChar w:fldCharType="separate"/>
      </w:r>
      <w:r w:rsidR="00FA29AF" w:rsidRPr="00FA29AF">
        <w:t>Príloha</w:t>
      </w:r>
      <w:r w:rsidR="00FA29AF" w:rsidRPr="00FA29AF">
        <w:rPr>
          <w:b/>
          <w:i/>
          <w:color w:val="2E74B5" w:themeColor="accent1" w:themeShade="BF"/>
        </w:rPr>
        <w:t xml:space="preserve"> </w:t>
      </w:r>
      <w:r w:rsidR="00FA29AF" w:rsidRPr="00FA29AF">
        <w:rPr>
          <w:noProof/>
        </w:rPr>
        <w:t>25</w:t>
      </w:r>
      <w:r w:rsidRPr="00921EF0">
        <w:rPr>
          <w:highlight w:val="yellow"/>
        </w:rPr>
        <w:fldChar w:fldCharType="end"/>
      </w:r>
      <w:r w:rsidRPr="00921EF0">
        <w:t>).</w:t>
      </w:r>
    </w:p>
    <w:p w14:paraId="4580D7DF" w14:textId="606F4A11" w:rsidR="008E166F" w:rsidRPr="00A47998" w:rsidRDefault="008E166F" w:rsidP="00452DBC">
      <w:pPr>
        <w:rPr>
          <w:bCs/>
        </w:rPr>
      </w:pPr>
      <w:r w:rsidRPr="00DE2A3B">
        <w:rPr>
          <w:b/>
        </w:rPr>
        <w:t>Analýza vzorky vybraných škôl, ktoré v roku 2018 žiadali prostriedky na asistentov iba pre žiakov s jedným druhom ZZ, poukazuje na nejasnosti v systéme prideľovania zdrojov na asistentov.</w:t>
      </w:r>
      <w:r w:rsidRPr="00A47998">
        <w:rPr>
          <w:bCs/>
        </w:rPr>
        <w:t xml:space="preserve"> Napriek tomu, že jedným z kritérií pre prideľovanie prostriedkov na asistentov je druh, stupeň a miera zdravotného znevýhodnenia žiaka,</w:t>
      </w:r>
      <w:r w:rsidRPr="00A47998">
        <w:rPr>
          <w:rStyle w:val="Odkaznapoznmkupodiarou"/>
          <w:bCs/>
        </w:rPr>
        <w:footnoteReference w:id="246"/>
      </w:r>
      <w:r w:rsidRPr="00A47998">
        <w:rPr>
          <w:bCs/>
        </w:rPr>
        <w:t xml:space="preserve"> v roku 2018 sa vyskytli prípady, kedy prostriedky na asistenta neboli priznané piatim školám, ktoré žiadali asistenta pre nedoslýchavých žiakov. Na druhej strane sa našlo 17 škôl, ktorým boli pridelené prostriedky na asistenta pre žiako</w:t>
      </w:r>
      <w:r>
        <w:rPr>
          <w:bCs/>
        </w:rPr>
        <w:t>v s poruchami učenia (</w:t>
      </w:r>
      <w:r w:rsidR="0074735A" w:rsidRPr="0074735A">
        <w:rPr>
          <w:highlight w:val="yellow"/>
        </w:rPr>
        <w:fldChar w:fldCharType="begin"/>
      </w:r>
      <w:r w:rsidR="0074735A" w:rsidRPr="0074735A">
        <w:instrText xml:space="preserve"> REF _Ref25844649 \h </w:instrText>
      </w:r>
      <w:r w:rsidR="0074735A">
        <w:rPr>
          <w:highlight w:val="yellow"/>
        </w:rPr>
        <w:instrText xml:space="preserve"> \* MERGEFORMAT </w:instrText>
      </w:r>
      <w:r w:rsidR="0074735A" w:rsidRPr="0074735A">
        <w:rPr>
          <w:highlight w:val="yellow"/>
        </w:rPr>
      </w:r>
      <w:r w:rsidR="0074735A" w:rsidRPr="0074735A">
        <w:rPr>
          <w:highlight w:val="yellow"/>
        </w:rPr>
        <w:fldChar w:fldCharType="separate"/>
      </w:r>
      <w:r w:rsidR="00FA29AF" w:rsidRPr="00FA29AF">
        <w:t>Príloha 26</w:t>
      </w:r>
      <w:r w:rsidR="0074735A" w:rsidRPr="0074735A">
        <w:rPr>
          <w:highlight w:val="yellow"/>
        </w:rPr>
        <w:fldChar w:fldCharType="end"/>
      </w:r>
      <w:r w:rsidRPr="00A47998">
        <w:rPr>
          <w:bCs/>
        </w:rPr>
        <w:t xml:space="preserve">). </w:t>
      </w:r>
    </w:p>
    <w:p w14:paraId="79CD3148" w14:textId="6D39F119" w:rsidR="009D2757" w:rsidRDefault="008E166F" w:rsidP="00452DBC">
      <w:pPr>
        <w:rPr>
          <w:b/>
        </w:rPr>
      </w:pPr>
      <w:r w:rsidRPr="00DE2A3B">
        <w:rPr>
          <w:b/>
        </w:rPr>
        <w:t xml:space="preserve">Z týchto výsledkov </w:t>
      </w:r>
      <w:r w:rsidR="00B24660">
        <w:rPr>
          <w:b/>
        </w:rPr>
        <w:t>vyplýva</w:t>
      </w:r>
      <w:r w:rsidRPr="00DE2A3B">
        <w:rPr>
          <w:b/>
        </w:rPr>
        <w:t>, že aktuálna úprava týkajúca sa pedagogických asistentov nie je dostatočná. Problematickými sú pritom dve oblasti. Po prvé, rola asistenta a nároky na jeho pôsobenie nie sú jasne zadefinované. Po druhé, neexistujú jednoznačné a transparentné kritériá prideľovania prostriedkov na asistentov.</w:t>
      </w:r>
    </w:p>
    <w:p w14:paraId="2E010864" w14:textId="5B6B99DB" w:rsidR="009D2757" w:rsidRDefault="009D2757" w:rsidP="00452DBC">
      <w:pPr>
        <w:rPr>
          <w:bCs/>
        </w:rPr>
      </w:pPr>
      <w:r w:rsidRPr="00A47998">
        <w:rPr>
          <w:b/>
        </w:rPr>
        <w:t>Zadefinovanie role pedagogických asistentov predstavuje podľa odbornej literatúry aj skúseností zo zahraničia dôležitý predpoklad efektívneho financovania aj práce pedagogických asistentov.</w:t>
      </w:r>
      <w:r w:rsidRPr="00A47998">
        <w:rPr>
          <w:bCs/>
        </w:rPr>
        <w:t xml:space="preserve"> V opačnom prípade môže dochádzať k tomu, že asistenti pracujú so žiakmi, pre ktorých sú vhodnejšie iné typy intervencií (Davis </w:t>
      </w:r>
      <w:r>
        <w:rPr>
          <w:bCs/>
        </w:rPr>
        <w:t>a kol.</w:t>
      </w:r>
      <w:r w:rsidRPr="00A47998">
        <w:rPr>
          <w:bCs/>
        </w:rPr>
        <w:t>, 2004)</w:t>
      </w:r>
      <w:r w:rsidR="00D9012A">
        <w:rPr>
          <w:bCs/>
        </w:rPr>
        <w:t>,</w:t>
      </w:r>
      <w:r w:rsidRPr="00A47998">
        <w:rPr>
          <w:bCs/>
        </w:rPr>
        <w:t xml:space="preserve"> </w:t>
      </w:r>
      <w:r>
        <w:rPr>
          <w:bCs/>
        </w:rPr>
        <w:t xml:space="preserve">alebo sú </w:t>
      </w:r>
      <w:r w:rsidRPr="00A47998">
        <w:rPr>
          <w:bCs/>
        </w:rPr>
        <w:t>nedostatočne kvalifikovaní pre vykonávanie úloh, s ktorými sú v procese vzdelávania žiakov so ZZ konfrontovaní</w:t>
      </w:r>
      <w:r>
        <w:rPr>
          <w:bCs/>
        </w:rPr>
        <w:t xml:space="preserve"> (Abbott a kol., 2011)</w:t>
      </w:r>
      <w:r w:rsidRPr="00A47998">
        <w:rPr>
          <w:bCs/>
        </w:rPr>
        <w:t>. V neposlednom rade môžu v procese vzdelávania neželaným spôsobom nahrádzať pedagogických alebo odborných zamestnancov a prispievať tak k vyčleňovaniu žiakov so ZZ</w:t>
      </w:r>
      <w:r>
        <w:rPr>
          <w:bCs/>
        </w:rPr>
        <w:t xml:space="preserve"> (Webster, 2010</w:t>
      </w:r>
      <w:r>
        <w:rPr>
          <w:rStyle w:val="st"/>
        </w:rPr>
        <w:t>;</w:t>
      </w:r>
      <w:r>
        <w:rPr>
          <w:bCs/>
        </w:rPr>
        <w:t xml:space="preserve"> Blatchford a kol., 2009)</w:t>
      </w:r>
      <w:r w:rsidRPr="00A47998">
        <w:rPr>
          <w:bCs/>
        </w:rPr>
        <w:t>.</w:t>
      </w:r>
    </w:p>
    <w:p w14:paraId="18B6AEBB" w14:textId="1FCA8E99" w:rsidR="009E0501" w:rsidRDefault="009D2757" w:rsidP="00452DBC">
      <w:pPr>
        <w:rPr>
          <w:bCs/>
        </w:rPr>
      </w:pPr>
      <w:r w:rsidRPr="00A47998">
        <w:rPr>
          <w:b/>
        </w:rPr>
        <w:t xml:space="preserve">Slovenská legislatíva a metodické materiály nedefinujú rolu pedagogického asistenta dostatočne jasne. </w:t>
      </w:r>
      <w:r w:rsidRPr="00A47998">
        <w:rPr>
          <w:bCs/>
        </w:rPr>
        <w:t xml:space="preserve">Zo zákona nie je </w:t>
      </w:r>
      <w:r w:rsidRPr="00A47998">
        <w:t>zrejmé</w:t>
      </w:r>
      <w:r w:rsidRPr="00A47998">
        <w:rPr>
          <w:bCs/>
        </w:rPr>
        <w:t>, nakoľko sa má pedagogický asistent zameriavať iba na odstraňovanie bariér alebo naopak preberať zodpovednosť za vzdelávanie žiaka</w:t>
      </w:r>
      <w:r w:rsidR="00D9012A">
        <w:rPr>
          <w:bCs/>
        </w:rPr>
        <w:t>,</w:t>
      </w:r>
      <w:r w:rsidRPr="00A47998">
        <w:rPr>
          <w:bCs/>
        </w:rPr>
        <w:t xml:space="preserve"> nakoľko tak má robiť individuálne alebo pracovať aj ako asistent učiteľa a spolupracovať pri plánovaní a realizácii výučby. </w:t>
      </w:r>
      <w:r w:rsidRPr="00A47998">
        <w:t>Zákon o pedagogických zamestnancoch</w:t>
      </w:r>
      <w:r w:rsidRPr="00A47998">
        <w:rPr>
          <w:rStyle w:val="Odkaznapoznmkupodiarou"/>
        </w:rPr>
        <w:footnoteReference w:id="247"/>
      </w:r>
      <w:r w:rsidRPr="00A47998">
        <w:t xml:space="preserve"> hovorí o pomoci pri prekonávaní bariér </w:t>
      </w:r>
      <w:r w:rsidR="00B24660">
        <w:t>vyplýva</w:t>
      </w:r>
      <w:r w:rsidRPr="00A47998">
        <w:t>júcich zo zdravotného znevýhodnenia žiaka, profesijný štandard</w:t>
      </w:r>
      <w:r w:rsidRPr="00A47998">
        <w:rPr>
          <w:rStyle w:val="Odkaznapoznmkupodiarou"/>
        </w:rPr>
        <w:footnoteReference w:id="248"/>
      </w:r>
      <w:r w:rsidRPr="00A47998">
        <w:t xml:space="preserve"> naopak zdôrazňuje pedagogické pôsobenie asistenta a ako kľúčové kompetencie stanovuje najmä kompetencie súvisiace s výchovno-vzdelávacou činnosťou (jej plánovaním, realizáciou aj hodnotením výsledkov). </w:t>
      </w:r>
      <w:r w:rsidRPr="00A47998">
        <w:rPr>
          <w:bCs/>
        </w:rPr>
        <w:t xml:space="preserve">Výpočet bariér uvedený v zákone o pedagogických zamestnancoch navyše nie je vyčerpávajúci a necháva široký priestor na interpretáciu. </w:t>
      </w:r>
    </w:p>
    <w:p w14:paraId="645830C7" w14:textId="382719AF" w:rsidR="009D2757" w:rsidRDefault="009D2757" w:rsidP="00452DBC">
      <w:pPr>
        <w:rPr>
          <w:b/>
          <w:bCs/>
        </w:rPr>
      </w:pPr>
      <w:r w:rsidRPr="00A47998">
        <w:rPr>
          <w:bCs/>
        </w:rPr>
        <w:t>Na problémy s nejednoznačne definovan</w:t>
      </w:r>
      <w:r w:rsidR="009E0501">
        <w:rPr>
          <w:bCs/>
        </w:rPr>
        <w:t>o</w:t>
      </w:r>
      <w:r w:rsidRPr="00A47998">
        <w:rPr>
          <w:bCs/>
        </w:rPr>
        <w:t>u rolou asistenta poukazujú aj dáta z</w:t>
      </w:r>
      <w:r w:rsidR="009E0501">
        <w:rPr>
          <w:bCs/>
        </w:rPr>
        <w:t> </w:t>
      </w:r>
      <w:r w:rsidR="00D9012A">
        <w:rPr>
          <w:bCs/>
        </w:rPr>
        <w:t>reprezentatívneho</w:t>
      </w:r>
      <w:r w:rsidR="009E0501">
        <w:rPr>
          <w:bCs/>
        </w:rPr>
        <w:t xml:space="preserve"> </w:t>
      </w:r>
      <w:r w:rsidRPr="00A47998">
        <w:rPr>
          <w:bCs/>
        </w:rPr>
        <w:t>prieskumu, v ktorom asistenti uviedli, že sa bežne venujú veľmi rôznorodým činnostiam, napr. individuálnej podpore žiakovi v kmeňovej triede pod vedením učiteľa (84,7 %), individuálnemu vzdelávaniu žiakov (66,2 %), ale aj pomoci pri samoobslužných činnostiach žiakovi so ZZ (53,4 %) či dokonca zastupovaniu pedagógov (47,6 %)</w:t>
      </w:r>
      <w:r>
        <w:rPr>
          <w:bCs/>
        </w:rPr>
        <w:t xml:space="preserve"> (To dá rozum, 2019)</w:t>
      </w:r>
      <w:r w:rsidRPr="00A47998">
        <w:rPr>
          <w:bCs/>
        </w:rPr>
        <w:t>.</w:t>
      </w:r>
    </w:p>
    <w:p w14:paraId="1D143761" w14:textId="392B20EB" w:rsidR="009E0501" w:rsidRDefault="009D2757" w:rsidP="00452DBC">
      <w:pPr>
        <w:pStyle w:val="Bezriadkovania"/>
        <w:spacing w:after="200" w:line="259" w:lineRule="auto"/>
        <w:jc w:val="both"/>
        <w:rPr>
          <w:rFonts w:ascii="Arial Narrow" w:hAnsi="Arial Narrow"/>
          <w:bCs/>
        </w:rPr>
      </w:pPr>
      <w:r w:rsidRPr="00A47998">
        <w:rPr>
          <w:rFonts w:ascii="Arial Narrow" w:hAnsi="Arial Narrow"/>
          <w:b/>
          <w:bCs/>
        </w:rPr>
        <w:t xml:space="preserve">Rola pedagogického asistenta sa čiastočne prekrýva s rolou pomocného vychovávateľa. </w:t>
      </w:r>
      <w:r w:rsidRPr="00A47998">
        <w:rPr>
          <w:rFonts w:ascii="Arial Narrow" w:hAnsi="Arial Narrow"/>
          <w:bCs/>
        </w:rPr>
        <w:t>Jeho</w:t>
      </w:r>
      <w:r w:rsidRPr="00A47998">
        <w:rPr>
          <w:rFonts w:ascii="Arial Narrow" w:hAnsi="Arial Narrow"/>
          <w:b/>
          <w:bCs/>
        </w:rPr>
        <w:t xml:space="preserve"> </w:t>
      </w:r>
      <w:r w:rsidRPr="00A47998">
        <w:rPr>
          <w:rFonts w:ascii="Arial Narrow" w:hAnsi="Arial Narrow"/>
          <w:bCs/>
        </w:rPr>
        <w:t xml:space="preserve">úlohou je poskytovať podporu pri samoobslužných činnostiach detí, </w:t>
      </w:r>
      <w:r w:rsidRPr="00A47998">
        <w:rPr>
          <w:rFonts w:ascii="Arial Narrow" w:hAnsi="Arial Narrow" w:cstheme="minorHAnsi"/>
        </w:rPr>
        <w:t>najmä fyzickú starostlivosť o deti, upevňovanie hygienických návykov a vykonávanie pomocných prác pri realizácii výchovno-vzdelávacieho procesu</w:t>
      </w:r>
      <w:r w:rsidRPr="00A47998">
        <w:rPr>
          <w:rFonts w:ascii="Arial Narrow" w:hAnsi="Arial Narrow"/>
          <w:bCs/>
        </w:rPr>
        <w:t>.</w:t>
      </w:r>
      <w:r w:rsidRPr="00A47998">
        <w:rPr>
          <w:rStyle w:val="Odkaznapoznmkupodiarou"/>
          <w:rFonts w:ascii="Arial Narrow" w:hAnsi="Arial Narrow"/>
          <w:bCs/>
        </w:rPr>
        <w:footnoteReference w:id="249"/>
      </w:r>
      <w:r w:rsidRPr="00A47998">
        <w:rPr>
          <w:rFonts w:ascii="Arial Narrow" w:hAnsi="Arial Narrow"/>
          <w:bCs/>
        </w:rPr>
        <w:t xml:space="preserve"> Nevyžaduje sa od neho pedagogické vzdelanie, môže však byť zamestnancom školy a môže tak byť nápomocný napríklad pri odstraňovaní fyzických bariér </w:t>
      </w:r>
      <w:r w:rsidR="00B24660">
        <w:rPr>
          <w:rFonts w:ascii="Arial Narrow" w:hAnsi="Arial Narrow"/>
          <w:bCs/>
        </w:rPr>
        <w:t>vyplýva</w:t>
      </w:r>
      <w:r w:rsidRPr="00A47998">
        <w:rPr>
          <w:rFonts w:ascii="Arial Narrow" w:hAnsi="Arial Narrow"/>
          <w:bCs/>
        </w:rPr>
        <w:t xml:space="preserve">júcich zo zdravotného znevýhodnenia. </w:t>
      </w:r>
    </w:p>
    <w:p w14:paraId="76ABB56E" w14:textId="6E236E19" w:rsidR="009E0501" w:rsidRDefault="009E0501" w:rsidP="00452DBC">
      <w:pPr>
        <w:pStyle w:val="Bezriadkovania"/>
        <w:spacing w:after="200" w:line="259" w:lineRule="auto"/>
        <w:jc w:val="both"/>
        <w:rPr>
          <w:rFonts w:ascii="Arial Narrow" w:hAnsi="Arial Narrow"/>
          <w:b/>
        </w:rPr>
      </w:pPr>
      <w:r w:rsidRPr="008B336A">
        <w:rPr>
          <w:rFonts w:ascii="Arial Narrow" w:hAnsi="Arial Narrow"/>
          <w:b/>
          <w:bCs/>
        </w:rPr>
        <w:t>Pomocného vychovávateľa</w:t>
      </w:r>
      <w:r w:rsidR="009D2757" w:rsidRPr="008B336A">
        <w:rPr>
          <w:rFonts w:ascii="Arial Narrow" w:hAnsi="Arial Narrow"/>
          <w:b/>
          <w:bCs/>
        </w:rPr>
        <w:t xml:space="preserve"> možno považovať za vhodnejšie riešenie pre napĺňanie potrieb žiakov s telesným postihnutím v porovnaní s osobným asistentom.</w:t>
      </w:r>
      <w:r w:rsidR="009D2757" w:rsidRPr="00A47998">
        <w:rPr>
          <w:rFonts w:ascii="Arial Narrow" w:hAnsi="Arial Narrow"/>
          <w:bCs/>
        </w:rPr>
        <w:t xml:space="preserve"> Osobný asistent totiž poskytuje pomoc výlučne osobám s ťažkým zdravotným postihnutím na základe zmluvy, a to pri rôznych činnostiach od sebaobslužných činností, cez domáce práce až po pomoc pri preprave či komunikácii a za istých okolností môže sprevádzať dieťa do školy a zo školy. S jeho prítomnosťou na vyučovaní sa však podľa aktuálnej úpravy nepočíta.</w:t>
      </w:r>
      <w:r w:rsidR="009D2757" w:rsidRPr="00A47998">
        <w:rPr>
          <w:rStyle w:val="Odkaznapoznmkupodiarou"/>
          <w:rFonts w:ascii="Arial Narrow" w:hAnsi="Arial Narrow"/>
          <w:b/>
        </w:rPr>
        <w:footnoteReference w:id="250"/>
      </w:r>
      <w:r w:rsidR="009D2757" w:rsidRPr="00A47998">
        <w:rPr>
          <w:rFonts w:ascii="Arial Narrow" w:hAnsi="Arial Narrow"/>
          <w:bCs/>
        </w:rPr>
        <w:t xml:space="preserve"> </w:t>
      </w:r>
      <w:r w:rsidR="009D2757" w:rsidRPr="00A47998">
        <w:rPr>
          <w:rFonts w:ascii="Arial Narrow" w:hAnsi="Arial Narrow"/>
        </w:rPr>
        <w:t xml:space="preserve">O pridelení prostriedkov na osobných asistentov navyše rozhoduje rezort práce a sociálnych vecí. </w:t>
      </w:r>
      <w:r w:rsidR="009D2757" w:rsidRPr="00A47998">
        <w:rPr>
          <w:rFonts w:ascii="Arial Narrow" w:hAnsi="Arial Narrow"/>
          <w:bCs/>
        </w:rPr>
        <w:t>Vzhľadom na to, že za vytváranie podmienok pre plnenie povinnej školskej dochádzky je zodpovedné ministerstvo školstva, revízia za efektívnejšie riešenie považuje intenzívnejšie využívanie profesie pomocného vychovávateľa.</w:t>
      </w:r>
      <w:r w:rsidR="009D2757" w:rsidRPr="00A47998">
        <w:rPr>
          <w:rFonts w:ascii="Arial Narrow" w:hAnsi="Arial Narrow"/>
          <w:b/>
        </w:rPr>
        <w:t xml:space="preserve"> </w:t>
      </w:r>
    </w:p>
    <w:p w14:paraId="1FD6025C" w14:textId="345C29C2" w:rsidR="009D2757" w:rsidRPr="00921EF0" w:rsidRDefault="009D2757" w:rsidP="00452DBC">
      <w:pPr>
        <w:pStyle w:val="Bezriadkovania"/>
        <w:spacing w:after="200" w:line="259" w:lineRule="auto"/>
        <w:jc w:val="both"/>
        <w:rPr>
          <w:rFonts w:ascii="Arial Narrow" w:hAnsi="Arial Narrow"/>
          <w:b/>
        </w:rPr>
      </w:pPr>
      <w:r w:rsidRPr="00A47998">
        <w:rPr>
          <w:rFonts w:ascii="Arial Narrow" w:hAnsi="Arial Narrow"/>
          <w:b/>
        </w:rPr>
        <w:t>Revízia preto navrhuje jasne zadefinovať rolu pedagogického asistenta a pomocného vychovávateľa a vytvoriť metodický mater</w:t>
      </w:r>
      <w:r w:rsidR="00921EF0">
        <w:rPr>
          <w:rFonts w:ascii="Arial Narrow" w:hAnsi="Arial Narrow"/>
          <w:b/>
        </w:rPr>
        <w:t>iál o ich využívaní a pôsobení.</w:t>
      </w:r>
    </w:p>
    <w:p w14:paraId="3DA3209E" w14:textId="7D40728C" w:rsidR="009D2757" w:rsidRDefault="009D2757" w:rsidP="00452DBC">
      <w:pPr>
        <w:rPr>
          <w:b/>
        </w:rPr>
      </w:pPr>
      <w:r w:rsidRPr="00A47998">
        <w:rPr>
          <w:b/>
        </w:rPr>
        <w:t xml:space="preserve">V dôsledku nejasne definovanej roly pedagogického asistenta môže dochádzať k prideľovaniu asistentov žiakom, pre ktorých môže byť vhodný iný typ podpory. Tá nemusí nevyhnutne vyžadovať prítomnosť asistenta, no kladie zvýšené nároky na pedagogické pôsobenie učiteľa. </w:t>
      </w:r>
      <w:r w:rsidRPr="00A47998">
        <w:t>Podľa dostupných dát až 34 % žiakov, na ktorých školy v roku 2018 žiadali pedagogických asistentov, tvorili žiaci s poruchami učenia alebo žiaci s poruchami a</w:t>
      </w:r>
      <w:r>
        <w:t>ktivity a pozornosti</w:t>
      </w:r>
      <w:r w:rsidR="008E166F">
        <w:t xml:space="preserve"> (</w:t>
      </w:r>
      <w:r w:rsidR="0074735A" w:rsidRPr="0074735A">
        <w:rPr>
          <w:highlight w:val="yellow"/>
        </w:rPr>
        <w:fldChar w:fldCharType="begin"/>
      </w:r>
      <w:r w:rsidR="0074735A" w:rsidRPr="0074735A">
        <w:instrText xml:space="preserve"> REF _Ref25844598 \h </w:instrText>
      </w:r>
      <w:r w:rsidR="0074735A">
        <w:rPr>
          <w:highlight w:val="yellow"/>
        </w:rPr>
        <w:instrText xml:space="preserve"> \* MERGEFORMAT </w:instrText>
      </w:r>
      <w:r w:rsidR="0074735A" w:rsidRPr="0074735A">
        <w:rPr>
          <w:highlight w:val="yellow"/>
        </w:rPr>
      </w:r>
      <w:r w:rsidR="0074735A" w:rsidRPr="0074735A">
        <w:rPr>
          <w:highlight w:val="yellow"/>
        </w:rPr>
        <w:fldChar w:fldCharType="separate"/>
      </w:r>
      <w:r w:rsidR="00FA29AF" w:rsidRPr="00FA29AF">
        <w:t>Príloha 24</w:t>
      </w:r>
      <w:r w:rsidR="0074735A" w:rsidRPr="0074735A">
        <w:rPr>
          <w:highlight w:val="yellow"/>
        </w:rPr>
        <w:fldChar w:fldCharType="end"/>
      </w:r>
      <w:r w:rsidR="008E166F" w:rsidRPr="00A47998">
        <w:t xml:space="preserve">). </w:t>
      </w:r>
      <w:r w:rsidRPr="00A47998">
        <w:t>Pri týchto žiakoch pritom môže rôzne vzdelávacie stratégie uplatňovať učiteľ, ako napr. úprava kurikula a inštrukcií (Taylor, 2017; prehľad stratégií pre rôzne typy ŠVVP Davis et al., 2004; stratégie pri výučbe matematiky Kroesbergen, Van Luit, 2003). V roku 2018 však bol pre učiteľov, ktorí by si chceli rozšíriť svoje kompetencie v oblasti vzdelávania žiakov s týmito zdravotnými znevýhodneniami, dostupný iba jeden akreditovaný program kontinuálneho vzdelávania, ktorého sa nezúčastnil ani jeden učiteľ</w:t>
      </w:r>
      <w:r>
        <w:t xml:space="preserve"> (</w:t>
      </w:r>
      <w:r w:rsidR="00134838">
        <w:fldChar w:fldCharType="begin"/>
      </w:r>
      <w:r w:rsidR="00134838">
        <w:instrText xml:space="preserve"> REF _Ref25324181 \h  \* MERGEFORMAT </w:instrText>
      </w:r>
      <w:r w:rsidR="00134838">
        <w:fldChar w:fldCharType="separate"/>
      </w:r>
      <w:r w:rsidR="00FA29AF" w:rsidRPr="00FA29AF">
        <w:t>Príloha 10</w:t>
      </w:r>
      <w:r w:rsidR="00134838">
        <w:fldChar w:fldCharType="end"/>
      </w:r>
      <w:r>
        <w:t>)</w:t>
      </w:r>
      <w:r w:rsidRPr="00A47998">
        <w:t>.</w:t>
      </w:r>
      <w:r>
        <w:t xml:space="preserve"> </w:t>
      </w:r>
      <w:r w:rsidRPr="00286A7F">
        <w:rPr>
          <w:b/>
        </w:rPr>
        <w:t xml:space="preserve">Revízia preto navrhuje rozšíriť ponuku vzdelávacích </w:t>
      </w:r>
      <w:r w:rsidRPr="00CB6A05">
        <w:rPr>
          <w:b/>
        </w:rPr>
        <w:t xml:space="preserve">programov, motivovať pedagogických a odborných zamestnancov zúčastňovať sa takéhoto vzdelávania a </w:t>
      </w:r>
      <w:r w:rsidR="00CB6A05" w:rsidRPr="00CB6A05">
        <w:rPr>
          <w:b/>
        </w:rPr>
        <w:t>prehodnotiť</w:t>
      </w:r>
      <w:r w:rsidRPr="00CB6A05">
        <w:rPr>
          <w:b/>
        </w:rPr>
        <w:t xml:space="preserve"> možnosť žiadania o prostriedky na pedagogických asistentov pre žiakov s poruchami učenia a poruchami aktivity a pozornosti.</w:t>
      </w:r>
    </w:p>
    <w:p w14:paraId="7919F2BC" w14:textId="0B2385E7" w:rsidR="009D2757" w:rsidRDefault="009D2757" w:rsidP="00452DBC">
      <w:pPr>
        <w:rPr>
          <w:b/>
        </w:rPr>
      </w:pPr>
      <w:r w:rsidRPr="00A47998">
        <w:rPr>
          <w:b/>
        </w:rPr>
        <w:t>Napriek rôznorodým činnostiam, ktoré asistenti vykonávajú, sú kvalifikačné požiadavky pre túto pozíciu nastavené jednotne na stredoškolské alebo vysokoškolské</w:t>
      </w:r>
      <w:r w:rsidR="0070047D">
        <w:rPr>
          <w:b/>
        </w:rPr>
        <w:t xml:space="preserve"> </w:t>
      </w:r>
      <w:r w:rsidRPr="00A47998">
        <w:rPr>
          <w:b/>
        </w:rPr>
        <w:t>vzdelanie.</w:t>
      </w:r>
      <w:r w:rsidRPr="00A47998">
        <w:rPr>
          <w:rStyle w:val="Odkaznapoznmkupodiarou"/>
          <w:b/>
        </w:rPr>
        <w:footnoteReference w:id="251"/>
      </w:r>
      <w:r w:rsidRPr="00A47998">
        <w:rPr>
          <w:b/>
        </w:rPr>
        <w:t xml:space="preserve"> </w:t>
      </w:r>
      <w:r w:rsidRPr="00A47998">
        <w:t>Asistenti v súčasnosti pracujú so žiakmi s veľmi rôznorodými potrebami a vykonávajú rozličné aktivity od poskytovania pomoci so sebaobslužnými činnosťami pre žiakov s telesným postihnutím, cez poskytovanie podpory vo vzdelávacom procese pre žiakov s poruchami učenia až po asistenciu žiakom s mentálnym postihnutím alebo autizmom. Napriek tomu, že nepočujúci a nevidiaci žiaci majú nárok na vzdelávanie v posunkovom jazyku a s použitím Braillovho písma</w:t>
      </w:r>
      <w:r w:rsidRPr="00A47998">
        <w:rPr>
          <w:rStyle w:val="Odkaznapoznmkupodiarou"/>
        </w:rPr>
        <w:footnoteReference w:id="252"/>
      </w:r>
      <w:r w:rsidRPr="00A47998">
        <w:t>, z dostupných dát nie je zrejmé, koľko z asistentov vie tieto spôsoby dorozumievania používať. Zistenia To dá rozum naznačujú, že asistenti vnímajú deficit v ďalšom vzdelávaní. Nedostupnosť ďalšieho vzdelávania pociťujú ako druhý najčastejší problém pri svojom pôsobení v škole (28,9 %) a nízku kvalitu dostupného vzdelávania za štvrtý najčastejší problém 14,9 % (</w:t>
      </w:r>
      <w:r>
        <w:t>To dá rozum</w:t>
      </w:r>
      <w:r w:rsidRPr="00A47998">
        <w:t xml:space="preserve">, 2019). </w:t>
      </w:r>
      <w:r w:rsidRPr="00A47998">
        <w:rPr>
          <w:b/>
        </w:rPr>
        <w:t>V nadväznosti na upresnenie role asistenta/pomocného vychovávateľa sa navrhuje prehodnotiť, respektíve diverzifikovať kvalifikačné požiadavky pre asistentov/pomocných vychovávateľov a zabezpečiť dostupnosť relevantného vzdelávania.</w:t>
      </w:r>
      <w:r w:rsidRPr="00A47998">
        <w:rPr>
          <w:rStyle w:val="Odkaznapoznmkupodiarou"/>
          <w:b/>
        </w:rPr>
        <w:footnoteReference w:id="253"/>
      </w:r>
      <w:r w:rsidRPr="00A47998">
        <w:rPr>
          <w:b/>
        </w:rPr>
        <w:t xml:space="preserve"> </w:t>
      </w:r>
    </w:p>
    <w:p w14:paraId="7B16C483" w14:textId="36FA9CE3" w:rsidR="009A3A00" w:rsidRDefault="009D2757" w:rsidP="00452DBC">
      <w:r w:rsidRPr="00A47998">
        <w:rPr>
          <w:b/>
        </w:rPr>
        <w:t xml:space="preserve">Ďalšie nejasnosti </w:t>
      </w:r>
      <w:r w:rsidR="00B24660">
        <w:rPr>
          <w:b/>
        </w:rPr>
        <w:t>vyplýva</w:t>
      </w:r>
      <w:r w:rsidRPr="00A47998">
        <w:rPr>
          <w:b/>
        </w:rPr>
        <w:t xml:space="preserve">jú z nejednoznačnej definície situácií, v akých by mal pedagogický asistent v škole, resp. v triede pôsobiť. </w:t>
      </w:r>
      <w:r w:rsidRPr="00A47998">
        <w:t>Podľa školského zákona asistent v bežných základných školách pôsobiť môže, ale nemusí.</w:t>
      </w:r>
      <w:r w:rsidRPr="00A47998">
        <w:rPr>
          <w:rStyle w:val="Odkaznapoznmkupodiarou"/>
        </w:rPr>
        <w:footnoteReference w:id="254"/>
      </w:r>
      <w:r w:rsidRPr="00A47998">
        <w:t xml:space="preserve"> Pôsobenie asistenta v špeciálnych školách a triedach je upravené iba v podzákonnom predpise.</w:t>
      </w:r>
      <w:r w:rsidRPr="00A47998">
        <w:rPr>
          <w:rStyle w:val="Odkaznapoznmkupodiarou"/>
        </w:rPr>
        <w:footnoteReference w:id="255"/>
      </w:r>
      <w:r w:rsidR="0070047D">
        <w:t xml:space="preserve"> </w:t>
      </w:r>
      <w:r w:rsidRPr="00A47998">
        <w:t>V súlade s ním asistent pôsobí v školách pre žiakov so ZZ, v ktorých bez prítomnosti asistenta učiteľa nie je možné garantovať bezpečnosť a ochranu zdravia žiakov a v triedach, v ktorých sa vzdelávajú žiaci s vybranými druhmi zdravotných znevýhodnení. Štátne vzdelávacie programy pre žiakov s jednotlivými druhmi ZZ zase ustanovujú, že asistent má pracovať v triede, ak si to vyžaduje výchova a vzdelávanie žiaka v závislosti od závažnosti jeho zdravotného znevýhodnenia</w:t>
      </w:r>
      <w:r>
        <w:t xml:space="preserve"> (ŠPU, 2019)</w:t>
      </w:r>
      <w:r w:rsidRPr="00A47998">
        <w:t xml:space="preserve">. </w:t>
      </w:r>
    </w:p>
    <w:p w14:paraId="51B71FFA" w14:textId="337DE24E" w:rsidR="009D2757" w:rsidRDefault="009D2757" w:rsidP="00452DBC">
      <w:pPr>
        <w:rPr>
          <w:b/>
        </w:rPr>
      </w:pPr>
      <w:r w:rsidRPr="00A47998">
        <w:rPr>
          <w:b/>
        </w:rPr>
        <w:t xml:space="preserve">V nadväznosti na upresnenie role pedagogického asistenta/pomocného vychovávateľa a v nadväznosti na nižšie uvedené navrhované úpravy týkajúce sa vyhodnocovania potreby prítomnosti asistenta/pomocného vychovávateľa sa navrhuje zaviesť právny nárok na </w:t>
      </w:r>
      <w:r>
        <w:rPr>
          <w:b/>
        </w:rPr>
        <w:t xml:space="preserve">pomoc </w:t>
      </w:r>
      <w:r w:rsidRPr="00A47998">
        <w:rPr>
          <w:b/>
        </w:rPr>
        <w:t>pedagogického asistenta/pomocného vychovávateľa podľa jasne vymedzených kritérií pre všetkých žiakov so ZZ, ktorí čelia bariéram vo vzdelávaní.</w:t>
      </w:r>
    </w:p>
    <w:p w14:paraId="01B2D643" w14:textId="72DBBB1C" w:rsidR="008E166F" w:rsidRPr="00A47998" w:rsidRDefault="009D2757" w:rsidP="00452DBC">
      <w:r w:rsidRPr="00A47998">
        <w:rPr>
          <w:b/>
        </w:rPr>
        <w:t xml:space="preserve">Komplexné výskumy vyhodnocujúce, do akej miery pedagogickí asistenti skutočne prispievajú k vytváraniu rovnosti príležitostí na </w:t>
      </w:r>
      <w:r w:rsidRPr="00CB6A05">
        <w:rPr>
          <w:b/>
        </w:rPr>
        <w:t>slovenských školách nie sú dostupné.</w:t>
      </w:r>
      <w:r w:rsidRPr="00CB6A05">
        <w:t xml:space="preserve"> Prvé informácie poskytujú údaje z projektu To dá rozum, podľa ktorých dve tretiny asistentov bežne vzdelávajú žiakov so špeciálnymi potrebami síce v kmeňovej triede, ale individuálne, a niečo viac ako štvrtina asistentov bežne vzdeláva žiakov so špeciálnymi potrebami mimo kmeňovej triedy </w:t>
      </w:r>
      <w:r w:rsidR="009A3A00" w:rsidRPr="00CB6A05">
        <w:t>(</w:t>
      </w:r>
      <w:r w:rsidRPr="00CB6A05">
        <w:t>To dá rozum,</w:t>
      </w:r>
      <w:r w:rsidR="009A3A00" w:rsidRPr="00CB6A05">
        <w:t xml:space="preserve"> </w:t>
      </w:r>
      <w:r w:rsidRPr="00CB6A05">
        <w:t xml:space="preserve">2019). Tieto zistenia naznačujú, že môže dochádzať k substitúcii učiteľa asistentom a k de facto vylučovaniu žiakov z účasti na vyučovaní v komunite ich rovesníkov. </w:t>
      </w:r>
      <w:r w:rsidRPr="00CB6A05">
        <w:rPr>
          <w:b/>
        </w:rPr>
        <w:t>Revízia</w:t>
      </w:r>
      <w:r w:rsidRPr="00A47998">
        <w:rPr>
          <w:b/>
        </w:rPr>
        <w:t xml:space="preserve"> preto navrhuje realizovať komplexný výskum o pôsobení a</w:t>
      </w:r>
      <w:r w:rsidR="0070047D">
        <w:rPr>
          <w:b/>
        </w:rPr>
        <w:t xml:space="preserve"> </w:t>
      </w:r>
      <w:r w:rsidRPr="00A47998">
        <w:rPr>
          <w:b/>
        </w:rPr>
        <w:t>dopade pedagogického asistenta</w:t>
      </w:r>
      <w:r>
        <w:rPr>
          <w:b/>
        </w:rPr>
        <w:t xml:space="preserve"> na rovnosť príležitostí vo vzdelávaní.</w:t>
      </w:r>
    </w:p>
    <w:tbl>
      <w:tblPr>
        <w:tblW w:w="0" w:type="auto"/>
        <w:shd w:val="clear" w:color="auto" w:fill="BDD6EE" w:themeFill="accent1" w:themeFillTint="66"/>
        <w:tblLook w:val="04A0" w:firstRow="1" w:lastRow="0" w:firstColumn="1" w:lastColumn="0" w:noHBand="0" w:noVBand="1"/>
      </w:tblPr>
      <w:tblGrid>
        <w:gridCol w:w="9026"/>
      </w:tblGrid>
      <w:tr w:rsidR="008E166F" w:rsidRPr="00A47998" w14:paraId="11758731" w14:textId="77777777" w:rsidTr="00077FE9">
        <w:tc>
          <w:tcPr>
            <w:tcW w:w="9062" w:type="dxa"/>
            <w:shd w:val="clear" w:color="auto" w:fill="BDD6EE" w:themeFill="accent1" w:themeFillTint="66"/>
          </w:tcPr>
          <w:p w14:paraId="44D28B40" w14:textId="244F5E08" w:rsidR="008E166F" w:rsidRPr="00CA6AD8" w:rsidRDefault="00FF0500" w:rsidP="00452DBC">
            <w:pPr>
              <w:spacing w:before="120"/>
              <w:rPr>
                <w:b/>
                <w:szCs w:val="22"/>
              </w:rPr>
            </w:pPr>
            <w:r w:rsidRPr="00A425AB">
              <w:rPr>
                <w:b/>
                <w:color w:val="000000"/>
                <w:szCs w:val="22"/>
              </w:rPr>
              <w:t xml:space="preserve">Box </w:t>
            </w:r>
            <w:r w:rsidRPr="00A425AB">
              <w:rPr>
                <w:b/>
                <w:color w:val="000000"/>
                <w:szCs w:val="22"/>
              </w:rPr>
              <w:fldChar w:fldCharType="begin"/>
            </w:r>
            <w:r w:rsidRPr="00A425AB">
              <w:rPr>
                <w:b/>
                <w:color w:val="000000"/>
                <w:szCs w:val="22"/>
              </w:rPr>
              <w:instrText xml:space="preserve"> SEQ Box \* ARABIC </w:instrText>
            </w:r>
            <w:r w:rsidRPr="00A425AB">
              <w:rPr>
                <w:b/>
                <w:color w:val="000000"/>
                <w:szCs w:val="22"/>
              </w:rPr>
              <w:fldChar w:fldCharType="separate"/>
            </w:r>
            <w:r w:rsidR="00FA29AF">
              <w:rPr>
                <w:b/>
                <w:noProof/>
                <w:color w:val="000000"/>
                <w:szCs w:val="22"/>
              </w:rPr>
              <w:t>10</w:t>
            </w:r>
            <w:r w:rsidRPr="00A425AB">
              <w:rPr>
                <w:b/>
                <w:color w:val="000000"/>
                <w:szCs w:val="22"/>
              </w:rPr>
              <w:fldChar w:fldCharType="end"/>
            </w:r>
            <w:r w:rsidR="008E166F" w:rsidRPr="00CA6AD8">
              <w:rPr>
                <w:b/>
                <w:szCs w:val="22"/>
              </w:rPr>
              <w:t>: Pedagogický asistent v zahraničí</w:t>
            </w:r>
          </w:p>
          <w:p w14:paraId="530104C7" w14:textId="77777777" w:rsidR="00160AEF" w:rsidRDefault="00160AEF" w:rsidP="00452DBC">
            <w:pPr>
              <w:pStyle w:val="Bezriadkovania"/>
              <w:spacing w:after="200" w:line="259" w:lineRule="auto"/>
              <w:jc w:val="both"/>
              <w:rPr>
                <w:rFonts w:ascii="Arial Narrow" w:hAnsi="Arial Narrow"/>
              </w:rPr>
            </w:pPr>
            <w:r w:rsidRPr="00160AEF">
              <w:rPr>
                <w:rFonts w:ascii="Arial Narrow" w:hAnsi="Arial Narrow"/>
              </w:rPr>
              <w:t xml:space="preserve">Zadefinovanie pozície asistenta učiteľa je v zahraničí rôznorodé, na čo odkazujú aj rozličné označenia pozície (napr. </w:t>
            </w:r>
            <w:r w:rsidRPr="00160AEF">
              <w:rPr>
                <w:rFonts w:ascii="Arial Narrow" w:hAnsi="Arial Narrow"/>
                <w:i/>
              </w:rPr>
              <w:t>Learning Support Assitant</w:t>
            </w:r>
            <w:r w:rsidRPr="00160AEF">
              <w:rPr>
                <w:rFonts w:ascii="Arial Narrow" w:hAnsi="Arial Narrow"/>
              </w:rPr>
              <w:t xml:space="preserve"> v Anglicku, </w:t>
            </w:r>
            <w:r w:rsidRPr="00160AEF">
              <w:rPr>
                <w:rFonts w:ascii="Arial Narrow" w:hAnsi="Arial Narrow"/>
                <w:i/>
              </w:rPr>
              <w:t>Special Needs Assitant</w:t>
            </w:r>
            <w:r w:rsidRPr="00160AEF">
              <w:rPr>
                <w:rFonts w:ascii="Arial Narrow" w:hAnsi="Arial Narrow"/>
              </w:rPr>
              <w:t xml:space="preserve"> v Írsku, </w:t>
            </w:r>
            <w:r w:rsidRPr="00160AEF">
              <w:rPr>
                <w:rFonts w:ascii="Arial Narrow" w:hAnsi="Arial Narrow"/>
                <w:i/>
              </w:rPr>
              <w:t>Teacher Aide</w:t>
            </w:r>
            <w:r w:rsidRPr="00160AEF">
              <w:rPr>
                <w:rFonts w:ascii="Arial Narrow" w:hAnsi="Arial Narrow"/>
              </w:rPr>
              <w:t xml:space="preserve"> v Austrálii alebo </w:t>
            </w:r>
            <w:r w:rsidRPr="00160AEF">
              <w:rPr>
                <w:rFonts w:ascii="Arial Narrow" w:hAnsi="Arial Narrow"/>
                <w:i/>
              </w:rPr>
              <w:t>Teaching Assistant</w:t>
            </w:r>
            <w:r w:rsidRPr="00160AEF">
              <w:rPr>
                <w:rFonts w:ascii="Arial Narrow" w:hAnsi="Arial Narrow"/>
              </w:rPr>
              <w:t xml:space="preserve"> vo Fínsku). Rôznorodosť pracovnej náplne sa môže líšiť dokonca aj na úrovni škôl. </w:t>
            </w:r>
          </w:p>
          <w:p w14:paraId="7705F8F3" w14:textId="1F7CCD91" w:rsidR="00160AEF" w:rsidRDefault="00160AEF" w:rsidP="00452DBC">
            <w:pPr>
              <w:pStyle w:val="Bezriadkovania"/>
              <w:spacing w:after="200" w:line="259" w:lineRule="auto"/>
              <w:jc w:val="both"/>
              <w:rPr>
                <w:rFonts w:ascii="Arial Narrow" w:hAnsi="Arial Narrow"/>
              </w:rPr>
            </w:pPr>
            <w:r w:rsidRPr="00160AEF">
              <w:rPr>
                <w:rFonts w:ascii="Arial Narrow" w:hAnsi="Arial Narrow"/>
              </w:rPr>
              <w:t xml:space="preserve">Asistenti sa najčastejšie sústreďujú na </w:t>
            </w:r>
            <w:r w:rsidRPr="00160AEF">
              <w:rPr>
                <w:rFonts w:ascii="Arial Narrow" w:hAnsi="Arial Narrow"/>
                <w:b/>
              </w:rPr>
              <w:t>individuálnu podporu žiakom so špeciálnymi potrebami</w:t>
            </w:r>
            <w:r w:rsidRPr="00160AEF">
              <w:rPr>
                <w:rStyle w:val="Odkaznapoznmkupodiarou"/>
                <w:rFonts w:ascii="Arial Narrow" w:hAnsi="Arial Narrow"/>
              </w:rPr>
              <w:footnoteReference w:id="256"/>
            </w:r>
            <w:r w:rsidR="00730060">
              <w:rPr>
                <w:rFonts w:ascii="Arial Narrow" w:hAnsi="Arial Narrow"/>
              </w:rPr>
              <w:t xml:space="preserve"> pri </w:t>
            </w:r>
            <w:r w:rsidRPr="00160AEF">
              <w:rPr>
                <w:rFonts w:ascii="Arial Narrow" w:hAnsi="Arial Narrow"/>
              </w:rPr>
              <w:t>napĺňaní ich vzdelávacích, sociálnych alebo fyzických potrieb a pomáhajú im pri prekonávaní b</w:t>
            </w:r>
            <w:r w:rsidR="00730060">
              <w:rPr>
                <w:rFonts w:ascii="Arial Narrow" w:hAnsi="Arial Narrow"/>
              </w:rPr>
              <w:t>ariér tak, aby </w:t>
            </w:r>
            <w:r w:rsidRPr="00160AEF">
              <w:rPr>
                <w:rFonts w:ascii="Arial Narrow" w:hAnsi="Arial Narrow"/>
              </w:rPr>
              <w:t>sa všetci žiaci bez ohľadu na znevýhodnenie (napr. postihnutie, jazyk</w:t>
            </w:r>
            <w:r w:rsidRPr="00160AEF">
              <w:rPr>
                <w:rStyle w:val="Odkaznapoznmkupodiarou"/>
                <w:rFonts w:ascii="Arial Narrow" w:hAnsi="Arial Narrow"/>
              </w:rPr>
              <w:footnoteReference w:id="257"/>
            </w:r>
            <w:r w:rsidRPr="00160AEF">
              <w:rPr>
                <w:rFonts w:ascii="Arial Narrow" w:hAnsi="Arial Narrow"/>
              </w:rPr>
              <w:t>, rodinný príjem, kultúrne zázemie alebo etnický pôvod) mohli plne zúčastňovať na vzdelávaní (OECD, 2015</w:t>
            </w:r>
            <w:r w:rsidR="0011231A">
              <w:rPr>
                <w:rFonts w:ascii="Arial Narrow" w:hAnsi="Arial Narrow"/>
              </w:rPr>
              <w:t>b</w:t>
            </w:r>
            <w:r w:rsidRPr="00160AEF">
              <w:rPr>
                <w:rFonts w:ascii="Arial Narrow" w:hAnsi="Arial Narrow"/>
              </w:rPr>
              <w:t xml:space="preserve">). Okrem toho sa môžu zameriavať aj </w:t>
            </w:r>
            <w:r w:rsidRPr="00160AEF">
              <w:rPr>
                <w:rFonts w:ascii="Arial Narrow" w:hAnsi="Arial Narrow"/>
                <w:b/>
              </w:rPr>
              <w:t>na cielené zlepšenie vzdelávacích výsledkov týchto žiakov.</w:t>
            </w:r>
            <w:r w:rsidRPr="00160AEF">
              <w:rPr>
                <w:rFonts w:ascii="Arial Narrow" w:hAnsi="Arial Narrow"/>
              </w:rPr>
              <w:t xml:space="preserve"> Prítomnosť ďalšieho pedagogického pracovníka v triede znižuje počet žiakov pripadajúcich na jedného dospelého, </w:t>
            </w:r>
            <w:r w:rsidR="00730060">
              <w:rPr>
                <w:rFonts w:ascii="Arial Narrow" w:hAnsi="Arial Narrow"/>
              </w:rPr>
              <w:t>čo vytvára lepšie podmienky pre </w:t>
            </w:r>
            <w:r w:rsidRPr="00160AEF">
              <w:rPr>
                <w:rFonts w:ascii="Arial Narrow" w:hAnsi="Arial Narrow"/>
              </w:rPr>
              <w:t>individualizovanú podporu, a môže pozitívne ovplyvňovať vzdelávacie výsledky.</w:t>
            </w:r>
          </w:p>
          <w:p w14:paraId="4BBDDFF5" w14:textId="6043B3DC" w:rsidR="00160AEF" w:rsidRDefault="00160AEF" w:rsidP="00452DBC">
            <w:pPr>
              <w:pStyle w:val="Bezriadkovania"/>
              <w:spacing w:after="200" w:line="259" w:lineRule="auto"/>
              <w:jc w:val="both"/>
              <w:rPr>
                <w:rFonts w:ascii="Arial Narrow" w:hAnsi="Arial Narrow"/>
              </w:rPr>
            </w:pPr>
            <w:r w:rsidRPr="00160AEF">
              <w:rPr>
                <w:rFonts w:ascii="Arial Narrow" w:hAnsi="Arial Narrow"/>
              </w:rPr>
              <w:t xml:space="preserve">Alternatívne sa práca asistenta môže vzťahovať na </w:t>
            </w:r>
            <w:r w:rsidRPr="00160AEF">
              <w:rPr>
                <w:rFonts w:ascii="Arial Narrow" w:hAnsi="Arial Narrow"/>
                <w:b/>
              </w:rPr>
              <w:t>podporu učiteľa.</w:t>
            </w:r>
            <w:r w:rsidRPr="00160AEF">
              <w:rPr>
                <w:rFonts w:ascii="Arial Narrow" w:hAnsi="Arial Narrow"/>
              </w:rPr>
              <w:t xml:space="preserve"> Plnenie niektorých bežných povinností a úloh súvisiacich s vyučovaním (príprava materiálov, monitorovanie pokroku študentov, administratívne úlohy) či pomoc pri zvládaní rušivého správania žiakov umožňuje učiteľovi lepšie sa sústrediť na výučbu a vzdelávanie (OECD</w:t>
            </w:r>
            <w:r w:rsidR="0011231A">
              <w:rPr>
                <w:rFonts w:ascii="Arial Narrow" w:hAnsi="Arial Narrow"/>
              </w:rPr>
              <w:t>,</w:t>
            </w:r>
            <w:r w:rsidRPr="00160AEF">
              <w:rPr>
                <w:rFonts w:ascii="Arial Narrow" w:hAnsi="Arial Narrow"/>
              </w:rPr>
              <w:t xml:space="preserve"> 2015</w:t>
            </w:r>
            <w:r w:rsidR="0011231A">
              <w:rPr>
                <w:rFonts w:ascii="Arial Narrow" w:hAnsi="Arial Narrow"/>
              </w:rPr>
              <w:t>b</w:t>
            </w:r>
            <w:r w:rsidRPr="00160AEF">
              <w:rPr>
                <w:rFonts w:ascii="Arial Narrow" w:hAnsi="Arial Narrow"/>
              </w:rPr>
              <w:t xml:space="preserve">). Úlohy asistentov sa v praxi zvyčajne prelínajú, a to bez ohľadu na to, s akou cieľovou skupinou žiakov pracujú (Emanuelsson, 2001). </w:t>
            </w:r>
          </w:p>
          <w:p w14:paraId="721AE3FD" w14:textId="77777777" w:rsidR="00160AEF" w:rsidRDefault="00160AEF" w:rsidP="00452DBC">
            <w:pPr>
              <w:pStyle w:val="Bezriadkovania"/>
              <w:spacing w:after="200" w:line="259" w:lineRule="auto"/>
              <w:jc w:val="both"/>
              <w:rPr>
                <w:rFonts w:ascii="Arial Narrow" w:hAnsi="Arial Narrow"/>
              </w:rPr>
            </w:pPr>
            <w:r w:rsidRPr="00160AEF">
              <w:rPr>
                <w:rFonts w:ascii="Arial Narrow" w:hAnsi="Arial Narrow"/>
              </w:rPr>
              <w:t xml:space="preserve">Hlavný rozdiel medzi krajinami je najmä </w:t>
            </w:r>
            <w:r w:rsidRPr="00160AEF">
              <w:rPr>
                <w:rFonts w:ascii="Arial Narrow" w:hAnsi="Arial Narrow"/>
                <w:b/>
              </w:rPr>
              <w:t xml:space="preserve">v miere dôrazu na ich angažovanie sa do vzdelávacieho procesu. </w:t>
            </w:r>
            <w:r w:rsidRPr="00160AEF">
              <w:rPr>
                <w:rFonts w:ascii="Arial Narrow" w:hAnsi="Arial Narrow"/>
              </w:rPr>
              <w:t xml:space="preserve">Dva protipóly predstavujú z tohto pohľadu Anglicko a Írsko. </w:t>
            </w:r>
          </w:p>
          <w:p w14:paraId="7EE45CFC" w14:textId="2057E5A7" w:rsidR="00160AEF" w:rsidRDefault="00160AEF" w:rsidP="00452DBC">
            <w:pPr>
              <w:pStyle w:val="Bezriadkovania"/>
              <w:spacing w:after="200" w:line="259" w:lineRule="auto"/>
              <w:jc w:val="both"/>
              <w:rPr>
                <w:rFonts w:ascii="Arial Narrow" w:hAnsi="Arial Narrow"/>
              </w:rPr>
            </w:pPr>
            <w:r w:rsidRPr="00160AEF">
              <w:rPr>
                <w:rFonts w:ascii="Arial Narrow" w:hAnsi="Arial Narrow"/>
                <w:b/>
              </w:rPr>
              <w:t xml:space="preserve">V Anglicku </w:t>
            </w:r>
            <w:r w:rsidRPr="00160AEF">
              <w:rPr>
                <w:rFonts w:ascii="Arial Narrow" w:hAnsi="Arial Narrow"/>
              </w:rPr>
              <w:t>došlo k výraznému posunu od nepedagogickej roly asistenta k čoraz významnejšiemu napĺňaniu pedagogických úloh. V súčasnosti je primárnou úlohou asistenta spolupráca s učiteľmi s cieľom zefektívňovať vzdelávanie a zlepšovať vzdelávacie výsledky žiakov (OECD</w:t>
            </w:r>
            <w:r w:rsidR="0011231A">
              <w:rPr>
                <w:rFonts w:ascii="Arial Narrow" w:hAnsi="Arial Narrow"/>
              </w:rPr>
              <w:t>,</w:t>
            </w:r>
            <w:r w:rsidRPr="00160AEF">
              <w:rPr>
                <w:rFonts w:ascii="Arial Narrow" w:hAnsi="Arial Narrow"/>
              </w:rPr>
              <w:t xml:space="preserve"> 2015</w:t>
            </w:r>
            <w:r w:rsidR="0011231A">
              <w:rPr>
                <w:rFonts w:ascii="Arial Narrow" w:hAnsi="Arial Narrow"/>
              </w:rPr>
              <w:t>b</w:t>
            </w:r>
            <w:r w:rsidRPr="00160AEF">
              <w:rPr>
                <w:rFonts w:ascii="Arial Narrow" w:hAnsi="Arial Narrow"/>
              </w:rPr>
              <w:t>).</w:t>
            </w:r>
          </w:p>
          <w:p w14:paraId="346B3FA6" w14:textId="4EF6680D" w:rsidR="008E166F" w:rsidRPr="00160AEF" w:rsidRDefault="00160AEF" w:rsidP="00995FAD">
            <w:pPr>
              <w:pStyle w:val="Bezriadkovania"/>
              <w:spacing w:after="200" w:line="259" w:lineRule="auto"/>
              <w:jc w:val="both"/>
              <w:rPr>
                <w:rFonts w:ascii="Arial Narrow" w:hAnsi="Arial Narrow"/>
              </w:rPr>
            </w:pPr>
            <w:r w:rsidRPr="00160AEF">
              <w:rPr>
                <w:rFonts w:ascii="Arial Narrow" w:hAnsi="Arial Narrow"/>
                <w:b/>
              </w:rPr>
              <w:t>V Írsku</w:t>
            </w:r>
            <w:r w:rsidRPr="00160AEF">
              <w:rPr>
                <w:rFonts w:ascii="Arial Narrow" w:hAnsi="Arial Narrow"/>
              </w:rPr>
              <w:t xml:space="preserve"> sa naopak zvyšovanie zapojenia asistentov do pedagogickej činnosti (ktoré začalo spontánne prebiehať v praxi škôl) vyhodnotilo v rámci eval</w:t>
            </w:r>
            <w:r w:rsidR="00995FAD">
              <w:rPr>
                <w:rFonts w:ascii="Arial Narrow" w:hAnsi="Arial Narrow"/>
              </w:rPr>
              <w:t>u</w:t>
            </w:r>
            <w:r w:rsidRPr="00160AEF">
              <w:rPr>
                <w:rFonts w:ascii="Arial Narrow" w:hAnsi="Arial Narrow"/>
              </w:rPr>
              <w:t>ácie pôsobenia asistentov na školách ako neefektívne a </w:t>
            </w:r>
            <w:r w:rsidRPr="00160AEF">
              <w:rPr>
                <w:rFonts w:ascii="Arial Narrow" w:hAnsi="Arial Narrow"/>
                <w:b/>
              </w:rPr>
              <w:t>úloha asistentov sa obmedzila na podporu a starostlivosť nepedagogického charakteru</w:t>
            </w:r>
            <w:r w:rsidRPr="00160AEF">
              <w:rPr>
                <w:rFonts w:ascii="Arial Narrow" w:hAnsi="Arial Narrow"/>
              </w:rPr>
              <w:t xml:space="preserve">, t. j. najmä napĺňanie zdravotných potrieb žiakov alebo potrieb </w:t>
            </w:r>
            <w:r w:rsidR="00B24660">
              <w:rPr>
                <w:rFonts w:ascii="Arial Narrow" w:hAnsi="Arial Narrow"/>
              </w:rPr>
              <w:t>vyplýva</w:t>
            </w:r>
            <w:r w:rsidRPr="00160AEF">
              <w:rPr>
                <w:rFonts w:ascii="Arial Narrow" w:hAnsi="Arial Narrow"/>
              </w:rPr>
              <w:t>júcich zo značných poškodení ich fyzických alebo senzorických funkcií.</w:t>
            </w:r>
            <w:r w:rsidRPr="00160AEF">
              <w:rPr>
                <w:rStyle w:val="Odkaznapoznmkupodiarou"/>
                <w:rFonts w:ascii="Arial Narrow" w:hAnsi="Arial Narrow"/>
              </w:rPr>
              <w:footnoteReference w:id="258"/>
            </w:r>
            <w:r w:rsidRPr="00160AEF">
              <w:rPr>
                <w:rFonts w:ascii="Arial Narrow" w:hAnsi="Arial Narrow"/>
              </w:rPr>
              <w:t xml:space="preserve"> Individuálnu pedagogickú pomoc poskytujú na školách tzv. podporní učitelia (angl. support</w:t>
            </w:r>
            <w:r w:rsidRPr="00160AEF">
              <w:rPr>
                <w:rFonts w:ascii="Arial Narrow" w:hAnsi="Arial Narrow"/>
                <w:i/>
              </w:rPr>
              <w:t xml:space="preserve"> teachers</w:t>
            </w:r>
            <w:r w:rsidRPr="00160AEF">
              <w:rPr>
                <w:rFonts w:ascii="Arial Narrow" w:hAnsi="Arial Narrow"/>
              </w:rPr>
              <w:t>) (NCSE, 2014).</w:t>
            </w:r>
          </w:p>
        </w:tc>
      </w:tr>
    </w:tbl>
    <w:p w14:paraId="77776B3B" w14:textId="110A57C6" w:rsidR="009A3A00" w:rsidRDefault="008E166F" w:rsidP="00A279BC">
      <w:pPr>
        <w:spacing w:before="160"/>
      </w:pPr>
      <w:r w:rsidRPr="00EC1AE7">
        <w:rPr>
          <w:b/>
        </w:rPr>
        <w:t>Druhou problematickou oblasťou súčasnej úpravy je nejasne zadefinovaný proces a kritériá prideľovania nenormatívnych prostriedkov na pedagogických asistentov.</w:t>
      </w:r>
      <w:r w:rsidRPr="00A47998">
        <w:t xml:space="preserve"> Základnou podmienkou podania žiadosti o pridelenie prostriedkov na úväzok pedagogického asistenta je odporúčanie z poradenského zaradenia. Aktuálne však neexistuje žiaden metodický materiál, ktorý by usmerňoval poradenské centrá pri rozhodovaní o vhodnosti pôsobenia pedagogického asistenta vzhľadom na potreby žiaka. Žiadosti zriaďovateľov o pridelenie prostriedkov s priloženým odporúčaním z poradne následne administratívne spracúvajú odbory školstva na okresných úradoch. Z interného prieskumu ministerstva školstva </w:t>
      </w:r>
      <w:r w:rsidR="00B24660">
        <w:t>vyplýva</w:t>
      </w:r>
      <w:r w:rsidRPr="00A47998">
        <w:t>, že kritériá na zoraďovanie žiadostí podľa naliehavosti jednotlivých okresných úradov sa už v tejto fáze líšia.</w:t>
      </w:r>
      <w:r w:rsidRPr="00A47998">
        <w:rPr>
          <w:rStyle w:val="Odkaznapoznmkupodiarou"/>
        </w:rPr>
        <w:footnoteReference w:id="259"/>
      </w:r>
      <w:r w:rsidRPr="00A47998">
        <w:t xml:space="preserve"> Takýto postup môže zapríčiniť, že dve obdobné žiadosti sú rôznymi okresnými úradmi vyhodnotené rozdielne.</w:t>
      </w:r>
      <w:r w:rsidR="00CB6A05">
        <w:t xml:space="preserve"> </w:t>
      </w:r>
      <w:r w:rsidR="00CB6A05" w:rsidRPr="00A47998">
        <w:t>O pridelení prostriedkov napokon rozhoduje ministerstvo školstva v súlade s kritériami zadefinovanými v zákone o financovaní škôl.</w:t>
      </w:r>
      <w:r w:rsidR="00CB6A05" w:rsidRPr="00A47998">
        <w:rPr>
          <w:rStyle w:val="Odkaznapoznmkupodiarou"/>
        </w:rPr>
        <w:footnoteReference w:id="260"/>
      </w:r>
      <w:r w:rsidR="00CB6A05" w:rsidRPr="00A47998">
        <w:t xml:space="preserve"> Do akej miery zohľadňuje ministerstvo školstva rebríčky naliehavosti vytvorené okresnými úradmi nie je zrejmé. </w:t>
      </w:r>
    </w:p>
    <w:p w14:paraId="2276B254" w14:textId="5E3E0DE3" w:rsidR="009A3A00" w:rsidRDefault="00F232F4" w:rsidP="00452DBC">
      <w:r w:rsidRPr="00A47998">
        <w:rPr>
          <w:b/>
        </w:rPr>
        <w:t>Rozhodovanie ministerstva školstva o pridelení prostriedkov sa riadi kritériami uvedenými v zákone o financovaní škôl.</w:t>
      </w:r>
      <w:r w:rsidR="00CB6A05" w:rsidRPr="00A47998">
        <w:rPr>
          <w:rStyle w:val="Odkaznapoznmkupodiarou"/>
        </w:rPr>
        <w:footnoteReference w:id="261"/>
      </w:r>
      <w:r w:rsidRPr="00A47998">
        <w:t xml:space="preserve"> Zohľadňuje sa: (1) p</w:t>
      </w:r>
      <w:r w:rsidRPr="00A47998">
        <w:rPr>
          <w:bCs/>
        </w:rPr>
        <w:t>očet žiakov so ZZ, (2) druh, stupeň a miera postihnutia žiakov so ZZ, (3) bariéry, ktoré žiak nedokáže prekonať a (4) skutočnosť, či boli zriaďovateľovi školy pridelené finančné prostriedky v predchádzajúcom kalendárnom roku</w:t>
      </w:r>
      <w:r w:rsidRPr="00A47998">
        <w:t>.</w:t>
      </w:r>
      <w:r w:rsidRPr="00A47998">
        <w:rPr>
          <w:rStyle w:val="Odkaznapoznmkupodiarou"/>
        </w:rPr>
        <w:footnoteReference w:id="262"/>
      </w:r>
      <w:r w:rsidRPr="00A47998">
        <w:t xml:space="preserve"> Cielenie podpory žiakom na základe početnosti žiakov so ZZ a na základe druhu ZZ však možno považovať za neefektívne, pretože dvaja žiaci s tým istým zdravotným znevýhodnením môžu mať zásadne odlišné potreby. Naopak, bariéry, ktoré žiak bez asistenta nedokáže prekonať, by zase v súlade so zahraničnou dobrou praxou mali pri rozhodovaní o alokovaní podpory zohrávať kľúčovú rolu</w:t>
      </w:r>
      <w:r>
        <w:t xml:space="preserve"> (NCSE, 2013)</w:t>
      </w:r>
      <w:r w:rsidRPr="00A47998">
        <w:t xml:space="preserve">. Odporúčaniami poradenských zariadení, v ktorých sú tieto bariéry zadefinované, však ministerstvo školstva pri rozhodovaní nedisponuje. </w:t>
      </w:r>
    </w:p>
    <w:p w14:paraId="4B615943" w14:textId="3EA4072C" w:rsidR="009A3A00" w:rsidRDefault="00F232F4" w:rsidP="00452DBC">
      <w:pPr>
        <w:rPr>
          <w:b/>
        </w:rPr>
      </w:pPr>
      <w:r w:rsidRPr="00A47998">
        <w:t>Problematické je tiež zohľadňovanie faktu, či mal zriaďovateľ prostriedky na asistenta pridelené v predchádzajúcom kalendárnom roku. Hoci žiadatelia musia odporúčanie na asistenta aktualizovať (s cieľom zdokladovať pretrvávajúcu potrebu asistenta), na aktualizáciu nie je potrebné vykonať nové diagnostické vyšetrenie. V praxi sa takto nemusí nevyhnutne zohľadniť, či sa potreby žiakov v čase menia (kým jeden žiak asistenta potrebovať už nemusí, u druhého žiaka môže nová potreba vzniknúť).</w:t>
      </w:r>
      <w:r w:rsidRPr="00A47998">
        <w:rPr>
          <w:rStyle w:val="Odkaznapoznmkupodiarou"/>
        </w:rPr>
        <w:footnoteReference w:id="263"/>
      </w:r>
      <w:r w:rsidRPr="00A47998">
        <w:rPr>
          <w:b/>
        </w:rPr>
        <w:t xml:space="preserve"> </w:t>
      </w:r>
    </w:p>
    <w:p w14:paraId="0B6569EA" w14:textId="20479844" w:rsidR="008E166F" w:rsidRPr="00A47998" w:rsidRDefault="009A3A00" w:rsidP="00452DBC">
      <w:pPr>
        <w:rPr>
          <w:b/>
        </w:rPr>
      </w:pPr>
      <w:r w:rsidRPr="00EC1AE7">
        <w:rPr>
          <w:b/>
        </w:rPr>
        <w:t>Pre efektívnejšie rozhodovanie o vzniku právneho nároku revízia navrhuje jasne zadefinovať kompetencie jednotlivých aktérov (poradní, okresných úradov a ministerstva). Proces je tiež potrebné stransparentniť zverejnením počtu požadovaných a pridelených úväzkov ako aj zverejnením vyhodnotenia jednotlivých kritérií. V prípade nepridelenia úväzku navrhuje revízia dať žiadateľom možnosť odvolať sa.</w:t>
      </w:r>
      <w:r w:rsidRPr="00A47998">
        <w:t xml:space="preserve"> </w:t>
      </w:r>
      <w:r w:rsidR="00F232F4" w:rsidRPr="00A47998">
        <w:rPr>
          <w:b/>
        </w:rPr>
        <w:t>Kritéria právneho nároku by mali v prvom rade zohľadňovať potreby žiakov (nie druh ZZ) a v súlade so zahraničnou dobrou praxou by v relevantných prípadoch malo dochádzať k prehodnocovaniu potrieb a k oslabovaniu prítomnosti asistentov/vychovávateľov s r</w:t>
      </w:r>
      <w:r w:rsidR="00F232F4">
        <w:rPr>
          <w:b/>
        </w:rPr>
        <w:t>astúcim vekom žiakov</w:t>
      </w:r>
      <w:r w:rsidR="008E166F">
        <w:rPr>
          <w:b/>
        </w:rPr>
        <w:t xml:space="preserve"> (</w:t>
      </w:r>
      <w:r w:rsidR="0074735A" w:rsidRPr="0074735A">
        <w:rPr>
          <w:b/>
          <w:highlight w:val="yellow"/>
        </w:rPr>
        <w:fldChar w:fldCharType="begin"/>
      </w:r>
      <w:r w:rsidR="0074735A" w:rsidRPr="0074735A">
        <w:rPr>
          <w:b/>
        </w:rPr>
        <w:instrText xml:space="preserve"> REF _Ref25844708 \h </w:instrText>
      </w:r>
      <w:r w:rsidR="0074735A" w:rsidRPr="0074735A">
        <w:rPr>
          <w:b/>
          <w:highlight w:val="yellow"/>
        </w:rPr>
        <w:instrText xml:space="preserve"> \* MERGEFORMAT </w:instrText>
      </w:r>
      <w:r w:rsidR="0074735A" w:rsidRPr="0074735A">
        <w:rPr>
          <w:b/>
          <w:highlight w:val="yellow"/>
        </w:rPr>
      </w:r>
      <w:r w:rsidR="0074735A" w:rsidRPr="0074735A">
        <w:rPr>
          <w:b/>
          <w:highlight w:val="yellow"/>
        </w:rPr>
        <w:fldChar w:fldCharType="separate"/>
      </w:r>
      <w:r w:rsidR="00FA29AF" w:rsidRPr="00FA29AF">
        <w:rPr>
          <w:b/>
        </w:rPr>
        <w:t>Príloha 28</w:t>
      </w:r>
      <w:r w:rsidR="0074735A" w:rsidRPr="0074735A">
        <w:rPr>
          <w:b/>
          <w:highlight w:val="yellow"/>
        </w:rPr>
        <w:fldChar w:fldCharType="end"/>
      </w:r>
      <w:r w:rsidR="008E166F" w:rsidRPr="00A47998">
        <w:rPr>
          <w:b/>
        </w:rPr>
        <w:t xml:space="preserve">). </w:t>
      </w:r>
    </w:p>
    <w:p w14:paraId="4C9CFDCA" w14:textId="77777777" w:rsidR="008E166F" w:rsidRPr="00A47998" w:rsidRDefault="008E166F" w:rsidP="00452DBC">
      <w:pPr>
        <w:pStyle w:val="Bezriadkovania"/>
        <w:spacing w:after="200" w:line="259" w:lineRule="auto"/>
        <w:jc w:val="both"/>
        <w:rPr>
          <w:rFonts w:ascii="Arial Narrow" w:hAnsi="Arial Narrow"/>
          <w:color w:val="0070C0"/>
        </w:rPr>
      </w:pPr>
      <w:r w:rsidRPr="00A47998">
        <w:rPr>
          <w:rFonts w:ascii="Arial Narrow" w:hAnsi="Arial Narrow"/>
          <w:color w:val="0070C0"/>
        </w:rPr>
        <w:t>Chýbajúce opatrenia na podporu vzdelávania zdravotne znevýhodnených detí v základných školách</w:t>
      </w:r>
    </w:p>
    <w:p w14:paraId="3DC108AC" w14:textId="77777777" w:rsidR="008E166F" w:rsidRPr="00A47998" w:rsidRDefault="008E166F" w:rsidP="00452DBC">
      <w:pPr>
        <w:rPr>
          <w:b/>
          <w:bCs/>
          <w:u w:val="single"/>
        </w:rPr>
      </w:pPr>
      <w:r w:rsidRPr="00A47998">
        <w:rPr>
          <w:b/>
          <w:bCs/>
          <w:u w:val="single"/>
        </w:rPr>
        <w:t>Obmedzený prístup k vzdelávaniu</w:t>
      </w:r>
    </w:p>
    <w:p w14:paraId="3176839B" w14:textId="1BA104C9" w:rsidR="008E166F" w:rsidRPr="00A47998" w:rsidRDefault="008E166F" w:rsidP="00452DBC">
      <w:r w:rsidRPr="00EC1AE7">
        <w:rPr>
          <w:b/>
        </w:rPr>
        <w:t>Na základe žiadosti zákonného zástupcu môže riaditeľ školy žiakovi povoliť individuálne vzdelávanie, ak mu jeho zdravotný stav neumožňuje účasť na vzdelávaní v škole.</w:t>
      </w:r>
      <w:r w:rsidRPr="00EC1AE7">
        <w:rPr>
          <w:rStyle w:val="Odkaznapoznmkupodiarou"/>
          <w:b/>
          <w:szCs w:val="22"/>
        </w:rPr>
        <w:footnoteReference w:id="264"/>
      </w:r>
      <w:r w:rsidRPr="00A47998">
        <w:t xml:space="preserve"> V roku 2018 predstavovali výdavky štátu na individuálne vzdelávanie v priemere 177 eur na žiaka (10 % bežného normatívu</w:t>
      </w:r>
      <w:r w:rsidR="00B36C5A">
        <w:t>), spolu išlo o takmer 55 tisíc </w:t>
      </w:r>
      <w:r w:rsidRPr="00A47998">
        <w:t>eur na 319 žiakov.</w:t>
      </w:r>
      <w:r w:rsidRPr="00A47998">
        <w:rPr>
          <w:rStyle w:val="Odkaznapoznmkupodiarou"/>
          <w:szCs w:val="22"/>
        </w:rPr>
        <w:footnoteReference w:id="265"/>
      </w:r>
      <w:r w:rsidRPr="00A47998">
        <w:t xml:space="preserve"> Podiel žiakov vzdelávaných individuálne z dôvodu zdravotného stavu sa na populácii žiakov základných škôl od roku 2008 mierne zvýšil z 0,05 % (214 žiakov) na 0,06 % (319 žiakov) všetkých žiakov.</w:t>
      </w:r>
      <w:r w:rsidRPr="00A47998">
        <w:rPr>
          <w:rStyle w:val="Odkaznapoznmkupodiarou"/>
          <w:szCs w:val="22"/>
        </w:rPr>
        <w:footnoteReference w:id="266"/>
      </w:r>
      <w:r w:rsidRPr="00A47998">
        <w:t xml:space="preserve"> Žiakom v režime individuálneho vzdelávania je škola povinná zabezpečiť vzdelávanie minimálne v rozsahu 2 hodín týždenne.</w:t>
      </w:r>
    </w:p>
    <w:p w14:paraId="2AA391F9" w14:textId="77777777" w:rsidR="008E166F" w:rsidRDefault="008E166F" w:rsidP="00452DBC">
      <w:r w:rsidRPr="00EC1AE7">
        <w:rPr>
          <w:b/>
        </w:rPr>
        <w:t>Existujú indície, že v niektorých prípadoch nejde o dobrovoľnú voľbu zákonných zástupcov, ale o nezákonné vylučovanie žiakov z účasti na povinnej školskej dochádzke (PŠD)</w:t>
      </w:r>
      <w:r w:rsidRPr="00EC1AE7">
        <w:rPr>
          <w:rStyle w:val="Odkaznapoznmkupodiarou"/>
          <w:b/>
          <w:szCs w:val="22"/>
        </w:rPr>
        <w:footnoteReference w:id="267"/>
      </w:r>
      <w:r w:rsidRPr="00EC1AE7">
        <w:rPr>
          <w:b/>
        </w:rPr>
        <w:t xml:space="preserve"> z dôvodu neschopnosti škôl zabezpečiť žiakom potrebné podmienky na ich vzdelávanie.</w:t>
      </w:r>
      <w:r w:rsidRPr="00A47998">
        <w:t xml:space="preserve"> Jedným z citovaných dôvodov pre nezaškolenie týchto žiakov bola aj neschopnosť bežných a špeciálnych škôl zabezpečiť pedagogického asistenta (Hapalová, 2019, ÚKPOSZP, 2018). Napriek tomu nie sú zákonní zástupcovia zo strany štátu za svojpomocné zabezpečovanie vzdelávania svojich detí nijako finančne kompenzovaní. </w:t>
      </w:r>
    </w:p>
    <w:p w14:paraId="6023CDEE" w14:textId="77777777" w:rsidR="008E166F" w:rsidRPr="00A47998" w:rsidRDefault="008E166F" w:rsidP="00452DBC">
      <w:pPr>
        <w:rPr>
          <w:b/>
          <w:bCs/>
          <w:u w:val="single"/>
        </w:rPr>
      </w:pPr>
      <w:r w:rsidRPr="00A47998">
        <w:rPr>
          <w:b/>
          <w:bCs/>
          <w:u w:val="single"/>
        </w:rPr>
        <w:t>Chýbajúca podpora pre chorých a zdravotne oslabených žiakov</w:t>
      </w:r>
    </w:p>
    <w:p w14:paraId="5691415D" w14:textId="77777777" w:rsidR="00F232F4" w:rsidRDefault="008E166F" w:rsidP="00452DBC">
      <w:r w:rsidRPr="00A47998">
        <w:rPr>
          <w:b/>
        </w:rPr>
        <w:t>Chorí a zdravotne oslabení žiaci</w:t>
      </w:r>
      <w:r w:rsidRPr="00A47998">
        <w:rPr>
          <w:rStyle w:val="Odkaznapoznmkupodiarou"/>
          <w:b/>
        </w:rPr>
        <w:footnoteReference w:id="268"/>
      </w:r>
      <w:r w:rsidRPr="00A47998">
        <w:rPr>
          <w:b/>
        </w:rPr>
        <w:t xml:space="preserve"> nedostávajú vo vzdelávaní potrebnú podporu. </w:t>
      </w:r>
      <w:r w:rsidRPr="00A47998">
        <w:t>Títo žiaci síce patria medzi žiakov so ZZ, štát však na ich vzdelávanie (na rozdiel od ostatných žiakov so ZZ) neprispieva vo forme navýšených normatívov.</w:t>
      </w:r>
      <w:r w:rsidRPr="00A47998">
        <w:rPr>
          <w:rStyle w:val="Odkaznapoznmkupodiarou"/>
          <w:bCs/>
        </w:rPr>
        <w:footnoteReference w:id="269"/>
      </w:r>
      <w:r w:rsidRPr="00A47998">
        <w:rPr>
          <w:b/>
        </w:rPr>
        <w:t xml:space="preserve"> </w:t>
      </w:r>
      <w:r w:rsidRPr="00A47998">
        <w:t>Na bežných základných školách</w:t>
      </w:r>
      <w:r w:rsidRPr="00A47998">
        <w:rPr>
          <w:rStyle w:val="Odkaznapoznmkupodiarou"/>
          <w:bCs/>
        </w:rPr>
        <w:footnoteReference w:id="270"/>
      </w:r>
      <w:r w:rsidRPr="00A47998">
        <w:t xml:space="preserve"> tiež nepôsobí žiadny zdravotnícky personál, ktorí by týmto žiakom poskytoval podporu v súvislosti s ich každodennými potrebami alebo akútnymi stavmi. </w:t>
      </w:r>
    </w:p>
    <w:p w14:paraId="1E74A6BE" w14:textId="3BF8CA16" w:rsidR="008E166F" w:rsidRPr="00F232F4" w:rsidRDefault="00F232F4" w:rsidP="00452DBC">
      <w:pPr>
        <w:rPr>
          <w:b/>
        </w:rPr>
      </w:pPr>
      <w:r w:rsidRPr="00A47998">
        <w:rPr>
          <w:b/>
          <w:bCs/>
        </w:rPr>
        <w:t xml:space="preserve">V tejto súvislosti rezonuje vo verejnej diskusii </w:t>
      </w:r>
      <w:r w:rsidRPr="00A47998">
        <w:rPr>
          <w:b/>
        </w:rPr>
        <w:t xml:space="preserve">potreba </w:t>
      </w:r>
      <w:r>
        <w:rPr>
          <w:b/>
        </w:rPr>
        <w:t>zabezpečiť zdravotnú, respektíve ošetrovateľskú starostlivosť v školách</w:t>
      </w:r>
      <w:r w:rsidRPr="00A47998">
        <w:rPr>
          <w:b/>
        </w:rPr>
        <w:t xml:space="preserve">. </w:t>
      </w:r>
      <w:r w:rsidRPr="00A47998">
        <w:rPr>
          <w:rStyle w:val="Odkaznapoznmkupodiarou"/>
          <w:b/>
          <w:bCs/>
        </w:rPr>
        <w:footnoteReference w:id="271"/>
      </w:r>
      <w:r w:rsidRPr="00A47998">
        <w:rPr>
          <w:b/>
        </w:rPr>
        <w:t xml:space="preserve"> </w:t>
      </w:r>
      <w:r>
        <w:t>V</w:t>
      </w:r>
      <w:r w:rsidRPr="00A47998">
        <w:t> mnohých krajinách</w:t>
      </w:r>
      <w:r>
        <w:t xml:space="preserve"> v súčasnosti pôsobia napríklad školské zdravotné sestry</w:t>
      </w:r>
      <w:r w:rsidRPr="00A47998">
        <w:t xml:space="preserve"> (napr. Rakúsko, Poľsko, UK, Francúzsko, Fínsko, Švédsko a Nórsko)</w:t>
      </w:r>
      <w:r>
        <w:t xml:space="preserve"> (</w:t>
      </w:r>
      <w:r w:rsidRPr="003F16EE">
        <w:t>Wolfe</w:t>
      </w:r>
      <w:r>
        <w:t xml:space="preserve"> </w:t>
      </w:r>
      <w:r w:rsidRPr="003F16EE">
        <w:t>and McKee</w:t>
      </w:r>
      <w:r>
        <w:t xml:space="preserve">, </w:t>
      </w:r>
      <w:r w:rsidRPr="003F16EE">
        <w:t>2013</w:t>
      </w:r>
      <w:r>
        <w:t>)</w:t>
      </w:r>
      <w:r w:rsidRPr="00A47998">
        <w:t xml:space="preserve"> Okrem podpory žiakov so špecifickými zdravotnými potrebami sa zdravotné sestry venujú prevencii a</w:t>
      </w:r>
      <w:r w:rsidR="00F8707C">
        <w:t xml:space="preserve"> skríningu </w:t>
      </w:r>
      <w:r w:rsidRPr="00A47998">
        <w:t>s cieľom včasnej identifikácie zdravotných problémov ako aj poradenským aktivitám. Školské zdravotné sestry tak zlepšujú celkové zdravie všetkých žiakov (American Academy of Pediatrics, 2008) a ich prítomnosť sa v zahraničných štúdiách ukazuje byť v pozitívnom vzťahu s dochádzkou žiakov – najmä žiakov s chronickým ochorením alebo zo sociálne znevýhodneného prostredia (Telljohann et al., 2004), ako aj s ďalšími vzdelávacími výsledkami (pre prehľad pozri Maughan, 2003).</w:t>
      </w:r>
      <w:r w:rsidR="008E166F" w:rsidRPr="00A47998">
        <w:rPr>
          <w:b/>
        </w:rPr>
        <w:t xml:space="preserve">S cieľom urýchlene riešiť situáciu týchto žiakov a ich rodičov </w:t>
      </w:r>
      <w:r w:rsidR="008E166F">
        <w:rPr>
          <w:b/>
        </w:rPr>
        <w:t xml:space="preserve">revízia </w:t>
      </w:r>
      <w:r w:rsidR="008E166F" w:rsidRPr="00A47998">
        <w:rPr>
          <w:b/>
        </w:rPr>
        <w:t>odporúča</w:t>
      </w:r>
      <w:r w:rsidR="0070047D">
        <w:rPr>
          <w:b/>
        </w:rPr>
        <w:t xml:space="preserve"> </w:t>
      </w:r>
      <w:r w:rsidR="008E166F" w:rsidRPr="00A47998">
        <w:rPr>
          <w:b/>
        </w:rPr>
        <w:t>umožniť pedagogickým alebo odborným zamestnancom školy absolvovať školenie, v rámci ktorého by v prípade záujmu mohli získať zručnosti na poskytovanie potrebných intervencií.</w:t>
      </w:r>
      <w:r w:rsidR="008E166F" w:rsidRPr="00A47998">
        <w:rPr>
          <w:rStyle w:val="Odkaznapoznmkupodiarou"/>
          <w:b/>
        </w:rPr>
        <w:footnoteReference w:id="272"/>
      </w:r>
      <w:r w:rsidR="008E166F" w:rsidRPr="00A47998">
        <w:rPr>
          <w:b/>
        </w:rPr>
        <w:t xml:space="preserve"> </w:t>
      </w:r>
    </w:p>
    <w:p w14:paraId="7C2D7E9E" w14:textId="77777777" w:rsidR="008E166F" w:rsidRPr="00A47998" w:rsidRDefault="008E166F" w:rsidP="00452DBC">
      <w:pPr>
        <w:rPr>
          <w:b/>
          <w:bCs/>
          <w:u w:val="single"/>
        </w:rPr>
      </w:pPr>
      <w:r w:rsidRPr="00A47998">
        <w:rPr>
          <w:b/>
          <w:bCs/>
          <w:u w:val="single"/>
        </w:rPr>
        <w:t>Neprítomnosť pedagogických asistentov v školských kluboch detí</w:t>
      </w:r>
    </w:p>
    <w:p w14:paraId="785F6B0E" w14:textId="77777777" w:rsidR="008E166F" w:rsidRDefault="008E166F" w:rsidP="00452DBC">
      <w:pPr>
        <w:rPr>
          <w:rFonts w:eastAsia="Times New Roman" w:cs="Times New Roman"/>
          <w:b/>
          <w:color w:val="000000"/>
          <w:szCs w:val="22"/>
          <w:lang w:eastAsia="sk-SK"/>
        </w:rPr>
      </w:pPr>
      <w:r w:rsidRPr="00A47998">
        <w:rPr>
          <w:b/>
          <w:bCs/>
        </w:rPr>
        <w:t xml:space="preserve">Bežné ani špeciálne základné školy v súčasnosti nemôžu žiadať o prostriedky na osobné náklady pedagogických asistentov/pomocných vychovávateľov, ktorý by pôsobili v školských kluboch detí. </w:t>
      </w:r>
      <w:r w:rsidRPr="00A47998">
        <w:rPr>
          <w:bCs/>
        </w:rPr>
        <w:t>Z anekdotických informácií je zrejmé, že neschopnosť zabezpečiť pedagogického asistenta často znamená vylúčenie žiaka so ZZ z účasti v školskom klube detí.</w:t>
      </w:r>
      <w:r w:rsidRPr="00A47998">
        <w:rPr>
          <w:rStyle w:val="Odkaznapoznmkupodiarou"/>
          <w:bCs/>
        </w:rPr>
        <w:footnoteReference w:id="273"/>
      </w:r>
      <w:r w:rsidRPr="00A47998">
        <w:rPr>
          <w:bCs/>
        </w:rPr>
        <w:t xml:space="preserve"> </w:t>
      </w:r>
      <w:r w:rsidRPr="00A47998">
        <w:rPr>
          <w:b/>
          <w:bCs/>
        </w:rPr>
        <w:t xml:space="preserve">Revízia preto navrhuje </w:t>
      </w:r>
      <w:r w:rsidRPr="00A47998">
        <w:rPr>
          <w:rFonts w:eastAsia="Times New Roman" w:cs="Times New Roman"/>
          <w:b/>
          <w:color w:val="000000"/>
          <w:szCs w:val="22"/>
          <w:lang w:eastAsia="sk-SK"/>
        </w:rPr>
        <w:t>umožniť školám žiadať o extra úväzky pedagogických asistentov/pomocných vychovávateľov pre žiakov so ZZ navštevujúcich školský klub detí.</w:t>
      </w:r>
    </w:p>
    <w:p w14:paraId="7F9AFB6F" w14:textId="77777777" w:rsidR="008E166F" w:rsidRPr="00A47998" w:rsidRDefault="008E166F" w:rsidP="00452DBC">
      <w:pPr>
        <w:rPr>
          <w:b/>
          <w:bCs/>
          <w:u w:val="single"/>
        </w:rPr>
      </w:pPr>
      <w:r w:rsidRPr="00A47998">
        <w:rPr>
          <w:b/>
          <w:bCs/>
          <w:u w:val="single"/>
        </w:rPr>
        <w:t>Žiaci s mentálnym postihnutím nemôžu dosiahnuť nižšie stredné vzdelanie</w:t>
      </w:r>
    </w:p>
    <w:p w14:paraId="77ACBB32" w14:textId="1CB160F8" w:rsidR="008E166F" w:rsidRPr="00A47998" w:rsidRDefault="008E166F" w:rsidP="00452DBC">
      <w:pPr>
        <w:rPr>
          <w:b/>
          <w:bCs/>
          <w:u w:val="single"/>
        </w:rPr>
      </w:pPr>
      <w:r w:rsidRPr="00A47998">
        <w:rPr>
          <w:b/>
        </w:rPr>
        <w:t>Žiakom s ľahkým mentálnym postihnutím nie je umožnené získať nižšie stredné vzdelanie (ISCED 2, ukončená základná škola) a pokračovať vo vzdelávaní na bežných stredných školách.</w:t>
      </w:r>
      <w:r w:rsidRPr="00A47998">
        <w:rPr>
          <w:rStyle w:val="Odkaznapoznmkupodiarou"/>
          <w:bCs/>
        </w:rPr>
        <w:t xml:space="preserve"> </w:t>
      </w:r>
      <w:r w:rsidRPr="00A47998">
        <w:rPr>
          <w:rStyle w:val="Odkaznapoznmkupodiarou"/>
          <w:bCs/>
        </w:rPr>
        <w:footnoteReference w:id="274"/>
      </w:r>
      <w:r w:rsidRPr="00A47998">
        <w:rPr>
          <w:bCs/>
        </w:rPr>
        <w:t xml:space="preserve"> </w:t>
      </w:r>
      <w:r w:rsidRPr="00A47998">
        <w:t>Platí to bez ohľadu na to, či sa vzdelávajú v</w:t>
      </w:r>
      <w:r w:rsidR="00011C26">
        <w:t> integrácii alebo v špeciálnom školstve.</w:t>
      </w:r>
      <w:r w:rsidRPr="00A47998">
        <w:rPr>
          <w:rStyle w:val="Odkaznapoznmkupodiarou"/>
        </w:rPr>
        <w:footnoteReference w:id="275"/>
      </w:r>
      <w:r w:rsidRPr="00A47998">
        <w:t xml:space="preserve"> </w:t>
      </w:r>
      <w:r w:rsidRPr="00A47998">
        <w:rPr>
          <w:bCs/>
        </w:rPr>
        <w:t>V tomto sa odlišujú od žiakov s inými druhmi ZZ, ktorí úspešným ukončením základnej školy nižšie stredné vzdelanie získavajú. Takýto prístup je diskriminujúci a je v rozpore s Dohovorom OSN o právach osôb so zdravotným postihnutím, ktorý Slovenská republika ratifikovala.</w:t>
      </w:r>
      <w:r w:rsidRPr="00A47998">
        <w:rPr>
          <w:rStyle w:val="Odkaznapoznmkupodiarou"/>
          <w:bCs/>
        </w:rPr>
        <w:footnoteReference w:id="276"/>
      </w:r>
      <w:r w:rsidRPr="00A47998">
        <w:rPr>
          <w:b/>
          <w:bCs/>
        </w:rPr>
        <w:t xml:space="preserve"> </w:t>
      </w:r>
      <w:r w:rsidRPr="00A47998">
        <w:rPr>
          <w:bCs/>
        </w:rPr>
        <w:t>Aj v Českej republike žiaci s mentálnym postihnutím, ktorí ukončia bežnú alebo špeciálnu základnú školu, získavajú nižšie stredné vzdelanie.</w:t>
      </w:r>
      <w:r w:rsidRPr="00A47998">
        <w:rPr>
          <w:rStyle w:val="Odkaznapoznmkupodiarou"/>
          <w:bCs/>
        </w:rPr>
        <w:footnoteReference w:id="277"/>
      </w:r>
      <w:r w:rsidRPr="00A47998">
        <w:t xml:space="preserve"> </w:t>
      </w:r>
      <w:r w:rsidRPr="00A47998">
        <w:rPr>
          <w:bCs/>
        </w:rPr>
        <w:t xml:space="preserve">Viaceré výskumy tiež preukazujú, že v porovnaní so segregovaným spôsobom vzdelávania, dosahujú žiaci s mentálnym postihnutím v spoločnom vzdelávaní lepšie vzdelávacie výsledky a vyšší stupeň </w:t>
      </w:r>
      <w:r w:rsidR="00E17FA6" w:rsidRPr="00A47998">
        <w:rPr>
          <w:bCs/>
        </w:rPr>
        <w:t>vzdelania</w:t>
      </w:r>
      <w:r w:rsidR="00E17FA6">
        <w:rPr>
          <w:bCs/>
        </w:rPr>
        <w:t xml:space="preserve"> (</w:t>
      </w:r>
      <w:r w:rsidR="00E17FA6" w:rsidRPr="00C14B52">
        <w:rPr>
          <w:szCs w:val="18"/>
        </w:rPr>
        <w:t>Dessemontet, R. S., &amp; Bless, G.</w:t>
      </w:r>
      <w:r w:rsidR="00E17FA6">
        <w:rPr>
          <w:szCs w:val="18"/>
        </w:rPr>
        <w:t xml:space="preserve">, </w:t>
      </w:r>
      <w:r w:rsidR="00E17FA6" w:rsidRPr="00C14B52">
        <w:rPr>
          <w:szCs w:val="18"/>
        </w:rPr>
        <w:t>2013</w:t>
      </w:r>
      <w:r w:rsidR="00E17FA6">
        <w:rPr>
          <w:szCs w:val="18"/>
        </w:rPr>
        <w:t xml:space="preserve">; </w:t>
      </w:r>
      <w:r w:rsidR="00E17FA6" w:rsidRPr="00C14B52">
        <w:rPr>
          <w:szCs w:val="18"/>
        </w:rPr>
        <w:t>Freeman, S. F. N., &amp; Alkin, M. C.</w:t>
      </w:r>
      <w:r w:rsidR="00E17FA6">
        <w:rPr>
          <w:szCs w:val="18"/>
        </w:rPr>
        <w:t xml:space="preserve">, </w:t>
      </w:r>
      <w:r w:rsidR="00E17FA6" w:rsidRPr="00C14B52">
        <w:rPr>
          <w:szCs w:val="18"/>
        </w:rPr>
        <w:t>2000</w:t>
      </w:r>
      <w:r w:rsidR="00E17FA6">
        <w:rPr>
          <w:szCs w:val="18"/>
        </w:rPr>
        <w:t xml:space="preserve">; </w:t>
      </w:r>
      <w:r w:rsidR="00E17FA6" w:rsidRPr="00C14B52">
        <w:rPr>
          <w:szCs w:val="18"/>
        </w:rPr>
        <w:t>Peetsma, T</w:t>
      </w:r>
      <w:r w:rsidR="00E17FA6">
        <w:rPr>
          <w:szCs w:val="18"/>
        </w:rPr>
        <w:t xml:space="preserve">. a kol., </w:t>
      </w:r>
      <w:r w:rsidR="00E17FA6" w:rsidRPr="00C14B52">
        <w:rPr>
          <w:szCs w:val="18"/>
        </w:rPr>
        <w:t>2001</w:t>
      </w:r>
      <w:r w:rsidR="00E17FA6">
        <w:rPr>
          <w:szCs w:val="18"/>
        </w:rPr>
        <w:t>)</w:t>
      </w:r>
      <w:r w:rsidRPr="00A47998">
        <w:rPr>
          <w:bCs/>
        </w:rPr>
        <w:t>.</w:t>
      </w:r>
      <w:r w:rsidR="0070047D">
        <w:rPr>
          <w:bCs/>
        </w:rPr>
        <w:t xml:space="preserve"> </w:t>
      </w:r>
      <w:r w:rsidRPr="00A47998">
        <w:rPr>
          <w:b/>
          <w:bCs/>
        </w:rPr>
        <w:t xml:space="preserve">Revízia preto navrhuje umožniť žiakom s mentálnym postihnutím získať nižšie stredné vzdelanie (ISCED 2). </w:t>
      </w:r>
    </w:p>
    <w:p w14:paraId="54E8343A" w14:textId="77777777" w:rsidR="007853BE" w:rsidRPr="006865C1" w:rsidRDefault="007853BE" w:rsidP="00452DBC">
      <w:pPr>
        <w:spacing w:before="160"/>
        <w:rPr>
          <w:b/>
          <w:u w:val="single"/>
        </w:rPr>
      </w:pPr>
      <w:r w:rsidRPr="006865C1">
        <w:rPr>
          <w:b/>
          <w:u w:val="single"/>
        </w:rPr>
        <w:t>Opatrenia na zníženie nadmerného umiestňovania žiakov s ľahkým mentálnym postihnutím zo SZP do špeciálneho prúdu</w:t>
      </w:r>
    </w:p>
    <w:p w14:paraId="6B2874AD" w14:textId="516240FC" w:rsidR="007853BE" w:rsidRPr="006865C1" w:rsidRDefault="007853BE" w:rsidP="00452DBC">
      <w:pPr>
        <w:spacing w:before="160"/>
        <w:rPr>
          <w:b/>
          <w:bCs/>
          <w:szCs w:val="22"/>
        </w:rPr>
      </w:pPr>
      <w:r w:rsidRPr="006865C1">
        <w:rPr>
          <w:b/>
        </w:rPr>
        <w:t>Nadmerná</w:t>
      </w:r>
      <w:r w:rsidRPr="006865C1">
        <w:rPr>
          <w:b/>
          <w:bCs/>
          <w:szCs w:val="22"/>
        </w:rPr>
        <w:t xml:space="preserve"> diagnostika ľahkého mentálneho postihnutia a umiestňovanie žiakov</w:t>
      </w:r>
      <w:r>
        <w:rPr>
          <w:b/>
          <w:bCs/>
          <w:szCs w:val="22"/>
        </w:rPr>
        <w:t xml:space="preserve"> zo sociálne znevýhodneného prostredia</w:t>
      </w:r>
      <w:r w:rsidRPr="006865C1">
        <w:rPr>
          <w:b/>
          <w:bCs/>
          <w:szCs w:val="22"/>
        </w:rPr>
        <w:t xml:space="preserve"> s touto diagnózou do špeciálneho školstva naznačujú</w:t>
      </w:r>
      <w:r>
        <w:rPr>
          <w:b/>
          <w:bCs/>
          <w:szCs w:val="22"/>
        </w:rPr>
        <w:t>, že existujú</w:t>
      </w:r>
      <w:r w:rsidRPr="006865C1">
        <w:rPr>
          <w:b/>
          <w:bCs/>
          <w:szCs w:val="22"/>
        </w:rPr>
        <w:t xml:space="preserve"> nedostatky v používaní diagnostických nástrojov ako aj v procese diagnostiky. </w:t>
      </w:r>
      <w:r w:rsidRPr="006865C1">
        <w:rPr>
          <w:bCs/>
          <w:szCs w:val="22"/>
        </w:rPr>
        <w:t>Na tento problém už dlhšie upozorňuje Štátna školská inšpekcia. Napriek tomu, že podiel žiakov s diagnostikovaným ľahkým mentálnym postihnutím sa v posledných rokoch mierne znižuje,</w:t>
      </w:r>
      <w:r w:rsidRPr="006865C1">
        <w:rPr>
          <w:b/>
          <w:bCs/>
          <w:szCs w:val="22"/>
        </w:rPr>
        <w:t xml:space="preserve"> </w:t>
      </w:r>
      <w:r w:rsidRPr="006865C1">
        <w:t>inšpekcia spochybnila viaceré diagnostické závery ohľadom ľahkého mentálneho postihnutia a nariadila rediagnostiku žiakov. U viacerých žiakov sa diagnóza ľahkého mentálneho postihnutia nepotvrdila</w:t>
      </w:r>
      <w:r>
        <w:t xml:space="preserve"> (ŠŠI, 2016</w:t>
      </w:r>
      <w:r w:rsidR="009377E1">
        <w:t>c</w:t>
      </w:r>
      <w:r>
        <w:t>, 2016b, 2017b).</w:t>
      </w:r>
      <w:r w:rsidRPr="006865C1">
        <w:rPr>
          <w:bCs/>
          <w:szCs w:val="22"/>
        </w:rPr>
        <w:t xml:space="preserve"> Výskumný ústav detskej psychológie a patopsychológie momentálne realizuje národný projekt podporený z európskych prostriedkov sumou 18 miliónov eur s cieľom vytvoriť štandardy pre fungovanie poradenských zariadení, ktoré by mohli zlepšiť kvalitu práce poradní a teda aj diagnostického procesu.</w:t>
      </w:r>
      <w:r w:rsidRPr="006865C1">
        <w:rPr>
          <w:rStyle w:val="Odkaznapoznmkupodiarou"/>
          <w:bCs/>
          <w:szCs w:val="22"/>
        </w:rPr>
        <w:footnoteReference w:id="278"/>
      </w:r>
      <w:r w:rsidRPr="006865C1">
        <w:rPr>
          <w:bCs/>
          <w:szCs w:val="22"/>
        </w:rPr>
        <w:t xml:space="preserve"> </w:t>
      </w:r>
      <w:r w:rsidRPr="006865C1">
        <w:rPr>
          <w:b/>
          <w:bCs/>
          <w:szCs w:val="22"/>
        </w:rPr>
        <w:t>Revízia navrhuje zaviesť povinnú každoročnú rediagnostiku žiakov s ľahkým mentálnym postihnutím na prvom stupni základných škôl.</w:t>
      </w:r>
    </w:p>
    <w:p w14:paraId="0A11085D" w14:textId="77777777" w:rsidR="007853BE" w:rsidRPr="004513BC" w:rsidRDefault="007853BE" w:rsidP="00452DBC">
      <w:pPr>
        <w:spacing w:before="160"/>
      </w:pPr>
      <w:r w:rsidRPr="006865C1">
        <w:rPr>
          <w:b/>
        </w:rPr>
        <w:t xml:space="preserve">Súčasťou posilňovania inkluzívneho modelu vzdelávania je okrem iného aj postupná transformácia existujúcich špeciálnych škôl na tzv. zdrojové centrá (angl. </w:t>
      </w:r>
      <w:r w:rsidRPr="006865C1">
        <w:rPr>
          <w:b/>
          <w:i/>
        </w:rPr>
        <w:t>resource centers</w:t>
      </w:r>
      <w:r w:rsidRPr="006865C1">
        <w:rPr>
          <w:b/>
        </w:rPr>
        <w:t xml:space="preserve">). </w:t>
      </w:r>
      <w:r w:rsidRPr="006865C1">
        <w:t xml:space="preserve">Ich úlohou by mala byť podpora bežných škôl pri inklúzii žiakov so špeciálnymi potrebami (tvorba a distribúcia materiálov a metodík, podpora rodičov, individuálna pomoc žiakom, ako aj ich podpora pri vstupe na trh práce). Slovensko zatiaľ k tomuto typu transformácie nepristúpilo. Viaceré krajiny Európy systematicky upravujú vzdelávací systém smerom k vyššej inkluzívnosti a eliminácii špeciálneho vzdelávania už od osemdesiatych a deväťdesiatych rokov minulého storočia (EASNIE, </w:t>
      </w:r>
      <w:r>
        <w:t xml:space="preserve">2019 a </w:t>
      </w:r>
      <w:r w:rsidRPr="006865C1">
        <w:t>2003).</w:t>
      </w:r>
      <w:r w:rsidRPr="006865C1">
        <w:rPr>
          <w:b/>
        </w:rPr>
        <w:t xml:space="preserve"> Revízia navrhuje (1) pilotne overiť transformáciu ŠZŠ, ktorá vzdeláva výlučne alebo takmer výlučne žiakov s ľahkým mentálnym postihnutím na zdrojové centrum a (2) pilotne overiť zrušenie špeciálnych tried vo vybraných základných školách.</w:t>
      </w:r>
      <w:r w:rsidRPr="006C3780">
        <w:rPr>
          <w:b/>
        </w:rPr>
        <w:t xml:space="preserve"> </w:t>
      </w:r>
    </w:p>
    <w:p w14:paraId="38966054" w14:textId="77777777" w:rsidR="008E166F" w:rsidRPr="00A47998" w:rsidRDefault="008E166F" w:rsidP="00452DBC">
      <w:pPr>
        <w:rPr>
          <w:b/>
          <w:bCs/>
          <w:u w:val="single"/>
        </w:rPr>
      </w:pPr>
      <w:r w:rsidRPr="00A47998">
        <w:rPr>
          <w:b/>
          <w:bCs/>
          <w:u w:val="single"/>
        </w:rPr>
        <w:t>Chýbajúca podpora pre prechod zo špeciálnych do bežných škôl</w:t>
      </w:r>
    </w:p>
    <w:p w14:paraId="7BFA5765" w14:textId="5BE1CFDA" w:rsidR="008E166F" w:rsidRPr="00A47998" w:rsidRDefault="008E166F" w:rsidP="00452DBC">
      <w:pPr>
        <w:rPr>
          <w:bCs/>
        </w:rPr>
      </w:pPr>
      <w:r w:rsidRPr="00A47998">
        <w:rPr>
          <w:b/>
          <w:bCs/>
        </w:rPr>
        <w:t>Medzi školskými rokmi 2017/2018 a 2018/2019 prestúpilo zo špeciálnych základných škôl do bežných škôl 142 žiakov, ktorí predstavovali 0,81 % všetkých žiakov špeciálnych škôl.</w:t>
      </w:r>
      <w:r w:rsidRPr="00A47998">
        <w:rPr>
          <w:rStyle w:val="Odkaznapoznmkupodiarou"/>
          <w:b/>
          <w:bCs/>
        </w:rPr>
        <w:footnoteReference w:id="279"/>
      </w:r>
      <w:r w:rsidRPr="00A47998">
        <w:rPr>
          <w:b/>
          <w:bCs/>
        </w:rPr>
        <w:t xml:space="preserve"> </w:t>
      </w:r>
      <w:r w:rsidRPr="00A47998">
        <w:rPr>
          <w:bCs/>
        </w:rPr>
        <w:t>Viac ako polovicu prestupujúcich žiakov tvorili žiaci s narušenou komunikačnou schopnosťou (60 %) a približne desatinu žiaci s mentálnym postihnutím (9 %). Väčšina prestupov sa udiala na prvom stupni (80 %), pričom väčšina žiakov prestúpila do bežných tried (84 %) a 16 % žiakov prestúpilo do špeciálnych tried bežných základných škôl. V bežných aj špeciálnych triedach žiaci najčastejšie pokračovali vo vzdelávaní vo vyššom ročníku (90 %), malá časť v rovnakom ročníku (8 %) a zanedbateľná časť v nižšom ročníku (2 %).</w:t>
      </w:r>
      <w:r w:rsidR="00332DCB">
        <w:rPr>
          <w:bCs/>
        </w:rPr>
        <w:t xml:space="preserve"> </w:t>
      </w:r>
      <w:r w:rsidR="00332DCB" w:rsidRPr="00A47998">
        <w:rPr>
          <w:bCs/>
        </w:rPr>
        <w:t>Najviac prestupov sa uskutočnilo v Bratislavskom (31 %), Prešovskom (18 %) a Nitrianskom kraji (18 %</w:t>
      </w:r>
      <w:r w:rsidR="00332DCB">
        <w:rPr>
          <w:bCs/>
        </w:rPr>
        <w:t>).</w:t>
      </w:r>
      <w:r w:rsidRPr="00A47998">
        <w:rPr>
          <w:rStyle w:val="Odkaznapoznmkupodiarou"/>
          <w:bCs/>
        </w:rPr>
        <w:footnoteReference w:id="280"/>
      </w:r>
    </w:p>
    <w:p w14:paraId="19A7FB1C" w14:textId="08121BD5" w:rsidR="007853BE" w:rsidRPr="00A47998" w:rsidRDefault="007853BE" w:rsidP="00452DBC">
      <w:pPr>
        <w:rPr>
          <w:b/>
          <w:bCs/>
        </w:rPr>
      </w:pPr>
      <w:r w:rsidRPr="00A47998">
        <w:rPr>
          <w:b/>
          <w:bCs/>
        </w:rPr>
        <w:t xml:space="preserve">Prechod žiakov zo špeciálnych do bežných škôl nie je metodicky bližšie upravený ani nijako špecificky podporovaný. </w:t>
      </w:r>
      <w:r w:rsidRPr="00A47998">
        <w:t xml:space="preserve">Zahraničná literatúra zdôrazňuje potrebu spolupráce medzi oboma školami, s rodičmi žiaka a so samotným žiakom. Žiakovi by mala byť k dispozícii podpora pri príprave na prechod aj pri adaptácii sa na nové prostredie. Cieľová škola by zase mala dostať k dispozícii informácie o potrebách žiaka so ZZ, tak aby mu vedela vytvoriť adekvátne podmienky (odborní zamestnanci a pod.). (Gibb </w:t>
      </w:r>
      <w:r>
        <w:t>a kol.</w:t>
      </w:r>
      <w:r w:rsidRPr="00A47998">
        <w:t xml:space="preserve">., 2007; NSCE, 2016). </w:t>
      </w:r>
      <w:r>
        <w:t xml:space="preserve">Pre plynulejší prechod sú potrebné aj úpravy v kurikule pre žiakov s mentálnym postihnutím, na ktoré </w:t>
      </w:r>
      <w:r w:rsidR="00240F31">
        <w:t xml:space="preserve">revízia upozorňuje </w:t>
      </w:r>
      <w:r>
        <w:t xml:space="preserve">v časti existujúce opatrenia – obsah vzdelávania. </w:t>
      </w:r>
      <w:r w:rsidRPr="00A47998">
        <w:rPr>
          <w:b/>
          <w:bCs/>
        </w:rPr>
        <w:t xml:space="preserve">Revízia preto navrhuje vypracovať prípadové štúdie o prechode žiakov zo špeciálnych do bežných škôl a na základe nich vytvoriť metodický materiál usmerňujúci školy v týchto situáciách. </w:t>
      </w:r>
    </w:p>
    <w:p w14:paraId="5C593012" w14:textId="77777777" w:rsidR="007853BE" w:rsidRPr="00A47998" w:rsidRDefault="007853BE" w:rsidP="00452DBC">
      <w:pPr>
        <w:rPr>
          <w:b/>
          <w:bCs/>
          <w:u w:val="single"/>
        </w:rPr>
      </w:pPr>
      <w:r w:rsidRPr="00A47998">
        <w:rPr>
          <w:b/>
          <w:bCs/>
          <w:u w:val="single"/>
        </w:rPr>
        <w:t>Nedostatok výskumov o vzdelávaní žiakov s</w:t>
      </w:r>
      <w:r>
        <w:rPr>
          <w:b/>
          <w:bCs/>
          <w:u w:val="single"/>
        </w:rPr>
        <w:t>o zdravotným znevýhodnením</w:t>
      </w:r>
      <w:r w:rsidRPr="00A47998">
        <w:rPr>
          <w:b/>
          <w:bCs/>
          <w:u w:val="single"/>
        </w:rPr>
        <w:t> </w:t>
      </w:r>
    </w:p>
    <w:p w14:paraId="35CEB63F" w14:textId="777BAE1C" w:rsidR="007853BE" w:rsidRPr="00A47998" w:rsidRDefault="007853BE" w:rsidP="00452DBC">
      <w:pPr>
        <w:rPr>
          <w:bCs/>
        </w:rPr>
      </w:pPr>
      <w:r w:rsidRPr="00A47998">
        <w:rPr>
          <w:b/>
          <w:bCs/>
        </w:rPr>
        <w:t>Napriek tomu, že žiaci s mentálnym postihnutím</w:t>
      </w:r>
      <w:r>
        <w:rPr>
          <w:b/>
          <w:bCs/>
        </w:rPr>
        <w:t xml:space="preserve"> a žiaci s poruchami učenia</w:t>
      </w:r>
      <w:r w:rsidRPr="00A47998">
        <w:rPr>
          <w:b/>
          <w:bCs/>
        </w:rPr>
        <w:t xml:space="preserve"> sú najpočetnejš</w:t>
      </w:r>
      <w:r>
        <w:rPr>
          <w:b/>
          <w:bCs/>
        </w:rPr>
        <w:t>ími</w:t>
      </w:r>
      <w:r w:rsidRPr="00A47998">
        <w:rPr>
          <w:b/>
          <w:bCs/>
        </w:rPr>
        <w:t xml:space="preserve"> skupin</w:t>
      </w:r>
      <w:r>
        <w:rPr>
          <w:b/>
          <w:bCs/>
        </w:rPr>
        <w:t>ami</w:t>
      </w:r>
      <w:r w:rsidRPr="00A47998">
        <w:rPr>
          <w:b/>
          <w:bCs/>
        </w:rPr>
        <w:t xml:space="preserve"> žiakov so ZZ v základnom školstve, výskumy zamerané na</w:t>
      </w:r>
      <w:r>
        <w:rPr>
          <w:b/>
          <w:bCs/>
        </w:rPr>
        <w:t xml:space="preserve"> metódy a formy ich vzdelávania ako aj na ich</w:t>
      </w:r>
      <w:r w:rsidRPr="00A47998">
        <w:rPr>
          <w:b/>
          <w:bCs/>
        </w:rPr>
        <w:t xml:space="preserve"> akademické a sociálne výsledky sa nerealizujú. </w:t>
      </w:r>
      <w:r w:rsidRPr="00A47998">
        <w:rPr>
          <w:bCs/>
        </w:rPr>
        <w:t>Realizácia výskumov s týmto zameraním nebola v posledných troch rokoch podporená</w:t>
      </w:r>
      <w:r w:rsidR="0070047D">
        <w:rPr>
          <w:bCs/>
        </w:rPr>
        <w:t xml:space="preserve"> </w:t>
      </w:r>
      <w:r w:rsidRPr="00A47998">
        <w:rPr>
          <w:bCs/>
        </w:rPr>
        <w:t>z prostriedkov VEGA (Vedecká grantová agentúra) a</w:t>
      </w:r>
      <w:r>
        <w:rPr>
          <w:bCs/>
        </w:rPr>
        <w:t>ni</w:t>
      </w:r>
      <w:r w:rsidRPr="00A47998">
        <w:rPr>
          <w:bCs/>
        </w:rPr>
        <w:t> KEGA (Kultúrna a edukačná grantová agentúra) MŠVVŠ SR.</w:t>
      </w:r>
      <w:r w:rsidRPr="00A47998">
        <w:rPr>
          <w:rStyle w:val="Odkaznapoznmkupodiarou"/>
          <w:bCs/>
        </w:rPr>
        <w:footnoteReference w:id="281"/>
      </w:r>
      <w:r>
        <w:rPr>
          <w:bCs/>
        </w:rPr>
        <w:t xml:space="preserve"> </w:t>
      </w:r>
      <w:r w:rsidRPr="00A47998">
        <w:rPr>
          <w:bCs/>
        </w:rPr>
        <w:t xml:space="preserve">Výskumný ústav detskej psychológie a patopsychológie nerealizoval v posledných 10 rokoch žiaden výskum zameraný na </w:t>
      </w:r>
      <w:r>
        <w:rPr>
          <w:bCs/>
        </w:rPr>
        <w:t>žiakov s mentálnym postihnutím a iba jeden výskum zameraný na žiakov s poruchami učenia</w:t>
      </w:r>
      <w:r w:rsidRPr="00A47998">
        <w:rPr>
          <w:bCs/>
        </w:rPr>
        <w:t>.</w:t>
      </w:r>
      <w:r w:rsidRPr="00A47998">
        <w:rPr>
          <w:rStyle w:val="Odkaznapoznmkupodiarou"/>
          <w:bCs/>
        </w:rPr>
        <w:footnoteReference w:id="282"/>
      </w:r>
      <w:r>
        <w:rPr>
          <w:bCs/>
        </w:rPr>
        <w:t xml:space="preserve"> Rovnako obmedzené, respektíve takmer neexistujúce sú výskumy zameran</w:t>
      </w:r>
      <w:r w:rsidR="00A37FFB">
        <w:rPr>
          <w:bCs/>
        </w:rPr>
        <w:t>é</w:t>
      </w:r>
      <w:r>
        <w:rPr>
          <w:bCs/>
        </w:rPr>
        <w:t xml:space="preserve"> na vzdelávanie žiakov s poruchami aktivity a pozornosti, s narušenou komunikačnou schopnosťou alebo s autizmom, a to napriek tomu, že ich počet v ostatných rokov výrazne stúpa (</w:t>
      </w:r>
      <w:r w:rsidR="00213C05" w:rsidRPr="00213C05">
        <w:fldChar w:fldCharType="begin"/>
      </w:r>
      <w:r w:rsidR="00213C05" w:rsidRPr="00213C05">
        <w:instrText xml:space="preserve"> REF _Ref34130923 \h </w:instrText>
      </w:r>
      <w:r w:rsidR="00213C05">
        <w:instrText xml:space="preserve"> \* MERGEFORMAT </w:instrText>
      </w:r>
      <w:r w:rsidR="00213C05" w:rsidRPr="00213C05">
        <w:fldChar w:fldCharType="separate"/>
      </w:r>
      <w:r w:rsidR="00FA29AF" w:rsidRPr="00FA29AF">
        <w:t>Príloha 16</w:t>
      </w:r>
      <w:r w:rsidR="00213C05" w:rsidRPr="00213C05">
        <w:fldChar w:fldCharType="end"/>
      </w:r>
      <w:r>
        <w:rPr>
          <w:bCs/>
        </w:rPr>
        <w:t xml:space="preserve">). </w:t>
      </w:r>
      <w:r w:rsidRPr="00A47998">
        <w:rPr>
          <w:b/>
          <w:bCs/>
        </w:rPr>
        <w:t>Revízia navrhuje realizovať výskumy zamerané na vzdelávani</w:t>
      </w:r>
      <w:r>
        <w:rPr>
          <w:b/>
          <w:bCs/>
        </w:rPr>
        <w:t>e</w:t>
      </w:r>
      <w:r w:rsidRPr="00A47998">
        <w:rPr>
          <w:b/>
          <w:bCs/>
        </w:rPr>
        <w:t xml:space="preserve"> žiakov</w:t>
      </w:r>
      <w:r>
        <w:rPr>
          <w:b/>
          <w:bCs/>
        </w:rPr>
        <w:t xml:space="preserve"> so ZZ</w:t>
      </w:r>
      <w:r w:rsidRPr="00A47998">
        <w:rPr>
          <w:b/>
          <w:bCs/>
        </w:rPr>
        <w:t>.</w:t>
      </w:r>
    </w:p>
    <w:p w14:paraId="3DF39AAD" w14:textId="77777777" w:rsidR="008E166F" w:rsidRPr="00A27EEE" w:rsidRDefault="008E166F" w:rsidP="00452DBC">
      <w:pPr>
        <w:pStyle w:val="Nadpis2"/>
        <w:ind w:left="431" w:hanging="431"/>
      </w:pPr>
      <w:bookmarkStart w:id="417" w:name="_Ref25748816"/>
      <w:bookmarkStart w:id="418" w:name="_Toc34657722"/>
      <w:r w:rsidRPr="00A47998">
        <w:t>Predčasné ukončovanie školskej dochádzky</w:t>
      </w:r>
      <w:bookmarkEnd w:id="417"/>
      <w:bookmarkEnd w:id="418"/>
    </w:p>
    <w:p w14:paraId="148658A5" w14:textId="5D3A2BBE" w:rsidR="008E166F" w:rsidRPr="00B36C5A" w:rsidRDefault="007853BE" w:rsidP="00452DBC">
      <w:r w:rsidRPr="002C1A0E">
        <w:rPr>
          <w:b/>
          <w:bCs/>
        </w:rPr>
        <w:t>Kým miera predčasne ukončenej školskej dochádzky žiakov bez ZZ bola 3</w:t>
      </w:r>
      <w:r>
        <w:rPr>
          <w:b/>
          <w:bCs/>
        </w:rPr>
        <w:t>,4</w:t>
      </w:r>
      <w:r w:rsidRPr="002C1A0E">
        <w:rPr>
          <w:b/>
          <w:bCs/>
        </w:rPr>
        <w:t xml:space="preserve"> %, v populácii žiakov so ZZ dochádzku predčasne ukončilo </w:t>
      </w:r>
      <w:r>
        <w:rPr>
          <w:b/>
          <w:bCs/>
        </w:rPr>
        <w:t>18,4</w:t>
      </w:r>
      <w:r w:rsidRPr="002C1A0E">
        <w:rPr>
          <w:b/>
          <w:bCs/>
        </w:rPr>
        <w:t xml:space="preserve"> % žiakov.</w:t>
      </w:r>
      <w:r w:rsidRPr="00782EEE">
        <w:rPr>
          <w:rStyle w:val="Odkaznapoznmkupodiarou"/>
          <w:bCs/>
        </w:rPr>
        <w:t xml:space="preserve"> </w:t>
      </w:r>
      <w:r w:rsidRPr="00364A1C">
        <w:rPr>
          <w:bCs/>
        </w:rPr>
        <w:t>Najvyššiu mieru predčasného ukončovania školskej dochádzky mali žiaci so ZZ navštevujúci špeciálne triedy (47,7 %)</w:t>
      </w:r>
      <w:r>
        <w:rPr>
          <w:bCs/>
        </w:rPr>
        <w:t xml:space="preserve"> </w:t>
      </w:r>
      <w:r w:rsidR="008E166F">
        <w:t>(</w:t>
      </w:r>
      <w:r w:rsidR="00B36C5A" w:rsidRPr="00B36C5A">
        <w:fldChar w:fldCharType="begin"/>
      </w:r>
      <w:r w:rsidR="00B36C5A" w:rsidRPr="00B36C5A">
        <w:instrText xml:space="preserve"> REF _Ref25746254 \h </w:instrText>
      </w:r>
      <w:r w:rsidR="00B36C5A">
        <w:instrText xml:space="preserve"> \* MERGEFORMAT </w:instrText>
      </w:r>
      <w:r w:rsidR="00B36C5A" w:rsidRPr="00B36C5A">
        <w:fldChar w:fldCharType="separate"/>
      </w:r>
      <w:r w:rsidR="00FA29AF" w:rsidRPr="00FA29AF">
        <w:t>Tabuľka 19</w:t>
      </w:r>
      <w:r w:rsidR="00B36C5A" w:rsidRPr="00B36C5A">
        <w:fldChar w:fldCharType="end"/>
      </w:r>
      <w:r w:rsidR="008E166F" w:rsidRPr="00A47998">
        <w:t>). Zo všetkých žiakov so ZZ, ktorí predčasne ukončili školskú dochádzku, mala väčšina mentálne postihnutie</w:t>
      </w:r>
      <w:r w:rsidR="002B2CCB">
        <w:t xml:space="preserve"> (</w:t>
      </w:r>
      <w:r w:rsidR="00C04FE6">
        <w:fldChar w:fldCharType="begin"/>
      </w:r>
      <w:r w:rsidR="00C04FE6">
        <w:instrText xml:space="preserve"> REF _Ref34215032 \h  \* MERGEFORMAT </w:instrText>
      </w:r>
      <w:r w:rsidR="00C04FE6">
        <w:fldChar w:fldCharType="separate"/>
      </w:r>
      <w:r w:rsidR="00FA29AF" w:rsidRPr="00FA29AF">
        <w:t>Príloha 29</w:t>
      </w:r>
      <w:r w:rsidR="00C04FE6">
        <w:fldChar w:fldCharType="end"/>
      </w:r>
      <w:r w:rsidR="002B2CCB">
        <w:t>)</w:t>
      </w:r>
      <w:r w:rsidR="00B36C5A">
        <w:t>.</w:t>
      </w:r>
      <w:r w:rsidR="008E166F" w:rsidRPr="00A47998">
        <w:rPr>
          <w:b/>
          <w:sz w:val="20"/>
        </w:rPr>
        <w:t xml:space="preserve"> </w:t>
      </w:r>
      <w:r w:rsidR="00240F31">
        <w:t>Opatrenia na predchádzanie a elimináciu PUŠD žiakov so ZZ sú do veľkej miery totožné s opatreniami, ktoré revízia uvádza v súvislosti so žiakmi zo sociálne znevýhodneného prostredia.</w:t>
      </w:r>
    </w:p>
    <w:p w14:paraId="4188B08F" w14:textId="41ACCDEC" w:rsidR="00B36C5A" w:rsidRPr="00B36C5A" w:rsidRDefault="00B36C5A" w:rsidP="00B36C5A">
      <w:pPr>
        <w:pStyle w:val="Popis"/>
        <w:keepNext/>
        <w:spacing w:after="0"/>
        <w:rPr>
          <w:b/>
          <w:i w:val="0"/>
          <w:color w:val="auto"/>
          <w:sz w:val="20"/>
          <w:szCs w:val="20"/>
        </w:rPr>
      </w:pPr>
      <w:bookmarkStart w:id="419" w:name="_Ref25746254"/>
      <w:bookmarkStart w:id="420" w:name="_Toc34156858"/>
      <w:r w:rsidRPr="00B36C5A">
        <w:rPr>
          <w:b/>
          <w:i w:val="0"/>
          <w:color w:val="auto"/>
          <w:sz w:val="20"/>
          <w:szCs w:val="20"/>
        </w:rPr>
        <w:t xml:space="preserve">Tabuľka </w:t>
      </w:r>
      <w:r w:rsidRPr="00B36C5A">
        <w:rPr>
          <w:b/>
          <w:i w:val="0"/>
          <w:color w:val="auto"/>
          <w:sz w:val="20"/>
          <w:szCs w:val="20"/>
        </w:rPr>
        <w:fldChar w:fldCharType="begin"/>
      </w:r>
      <w:r w:rsidRPr="00B36C5A">
        <w:rPr>
          <w:b/>
          <w:i w:val="0"/>
          <w:color w:val="auto"/>
          <w:sz w:val="20"/>
          <w:szCs w:val="20"/>
        </w:rPr>
        <w:instrText xml:space="preserve"> SEQ Tabuľka \* ARABIC </w:instrText>
      </w:r>
      <w:r w:rsidRPr="00B36C5A">
        <w:rPr>
          <w:b/>
          <w:i w:val="0"/>
          <w:color w:val="auto"/>
          <w:sz w:val="20"/>
          <w:szCs w:val="20"/>
        </w:rPr>
        <w:fldChar w:fldCharType="separate"/>
      </w:r>
      <w:r w:rsidR="00FA29AF">
        <w:rPr>
          <w:b/>
          <w:i w:val="0"/>
          <w:noProof/>
          <w:color w:val="auto"/>
          <w:sz w:val="20"/>
          <w:szCs w:val="20"/>
        </w:rPr>
        <w:t>19</w:t>
      </w:r>
      <w:r w:rsidRPr="00B36C5A">
        <w:rPr>
          <w:b/>
          <w:i w:val="0"/>
          <w:color w:val="auto"/>
          <w:sz w:val="20"/>
          <w:szCs w:val="20"/>
        </w:rPr>
        <w:fldChar w:fldCharType="end"/>
      </w:r>
      <w:bookmarkEnd w:id="419"/>
      <w:r w:rsidRPr="00B36C5A">
        <w:rPr>
          <w:b/>
          <w:i w:val="0"/>
          <w:color w:val="auto"/>
          <w:sz w:val="20"/>
          <w:szCs w:val="20"/>
        </w:rPr>
        <w:t xml:space="preserve">: Miera </w:t>
      </w:r>
      <w:r w:rsidR="004B2E4E">
        <w:rPr>
          <w:b/>
          <w:i w:val="0"/>
          <w:color w:val="auto"/>
          <w:sz w:val="20"/>
          <w:szCs w:val="20"/>
        </w:rPr>
        <w:t>PUŠD</w:t>
      </w:r>
      <w:r w:rsidRPr="00B36C5A">
        <w:rPr>
          <w:b/>
          <w:i w:val="0"/>
          <w:color w:val="auto"/>
          <w:sz w:val="20"/>
          <w:szCs w:val="20"/>
        </w:rPr>
        <w:t xml:space="preserve"> žiakov so ZZ</w:t>
      </w:r>
      <w:r w:rsidR="002B2CCB">
        <w:rPr>
          <w:b/>
          <w:i w:val="0"/>
          <w:color w:val="auto"/>
          <w:sz w:val="20"/>
          <w:szCs w:val="20"/>
        </w:rPr>
        <w:t xml:space="preserve"> podľa vzdelávacieho prúdu (2018/19</w:t>
      </w:r>
      <w:r w:rsidRPr="00B36C5A">
        <w:rPr>
          <w:b/>
          <w:i w:val="0"/>
          <w:color w:val="auto"/>
          <w:sz w:val="20"/>
          <w:szCs w:val="20"/>
        </w:rPr>
        <w:t>)</w:t>
      </w:r>
      <w:bookmarkEnd w:id="420"/>
    </w:p>
    <w:tbl>
      <w:tblPr>
        <w:tblW w:w="5000" w:type="pct"/>
        <w:tblCellMar>
          <w:left w:w="70" w:type="dxa"/>
          <w:right w:w="70" w:type="dxa"/>
        </w:tblCellMar>
        <w:tblLook w:val="04A0" w:firstRow="1" w:lastRow="0" w:firstColumn="1" w:lastColumn="0" w:noHBand="0" w:noVBand="1"/>
      </w:tblPr>
      <w:tblGrid>
        <w:gridCol w:w="7479"/>
        <w:gridCol w:w="1547"/>
      </w:tblGrid>
      <w:tr w:rsidR="00564973" w:rsidRPr="00A47998" w14:paraId="2BA7A23C" w14:textId="77777777" w:rsidTr="00564973">
        <w:trPr>
          <w:trHeight w:val="300"/>
        </w:trPr>
        <w:tc>
          <w:tcPr>
            <w:tcW w:w="4143" w:type="pct"/>
            <w:tcBorders>
              <w:top w:val="single" w:sz="4" w:space="0" w:color="auto"/>
            </w:tcBorders>
            <w:shd w:val="clear" w:color="auto" w:fill="auto"/>
            <w:noWrap/>
            <w:vAlign w:val="bottom"/>
          </w:tcPr>
          <w:p w14:paraId="0EF87580" w14:textId="77777777" w:rsidR="00564973" w:rsidRPr="00A47998" w:rsidRDefault="00564973" w:rsidP="00B35CF6">
            <w:pPr>
              <w:spacing w:after="0" w:line="240" w:lineRule="auto"/>
              <w:jc w:val="left"/>
              <w:rPr>
                <w:rFonts w:eastAsia="Times New Roman" w:cs="Calibri"/>
                <w:b/>
                <w:bCs/>
                <w:color w:val="000000"/>
                <w:sz w:val="20"/>
                <w:lang w:eastAsia="sk-SK"/>
              </w:rPr>
            </w:pPr>
          </w:p>
        </w:tc>
        <w:tc>
          <w:tcPr>
            <w:tcW w:w="857" w:type="pct"/>
            <w:tcBorders>
              <w:top w:val="single" w:sz="4" w:space="0" w:color="auto"/>
              <w:bottom w:val="single" w:sz="4" w:space="0" w:color="auto"/>
            </w:tcBorders>
            <w:shd w:val="clear" w:color="auto" w:fill="auto"/>
            <w:noWrap/>
            <w:vAlign w:val="bottom"/>
          </w:tcPr>
          <w:p w14:paraId="6CC06320" w14:textId="15E91AE4" w:rsidR="00564973" w:rsidRPr="00564973" w:rsidRDefault="00564973" w:rsidP="00564973">
            <w:pPr>
              <w:spacing w:after="0" w:line="240" w:lineRule="auto"/>
              <w:jc w:val="right"/>
              <w:rPr>
                <w:rFonts w:eastAsia="Times New Roman" w:cs="Calibri"/>
                <w:b/>
                <w:color w:val="000000"/>
                <w:sz w:val="20"/>
                <w:lang w:eastAsia="sk-SK"/>
              </w:rPr>
            </w:pPr>
            <w:r w:rsidRPr="00564973">
              <w:rPr>
                <w:rFonts w:eastAsia="Times New Roman" w:cs="Calibri"/>
                <w:b/>
                <w:color w:val="000000"/>
                <w:sz w:val="20"/>
                <w:lang w:eastAsia="sk-SK"/>
              </w:rPr>
              <w:t>Podiel (%)</w:t>
            </w:r>
          </w:p>
        </w:tc>
      </w:tr>
      <w:tr w:rsidR="002B2CCB" w:rsidRPr="00A47998" w14:paraId="78774FBC" w14:textId="77777777" w:rsidTr="002B2CCB">
        <w:trPr>
          <w:trHeight w:val="300"/>
        </w:trPr>
        <w:tc>
          <w:tcPr>
            <w:tcW w:w="4143" w:type="pct"/>
            <w:tcBorders>
              <w:top w:val="single" w:sz="4" w:space="0" w:color="auto"/>
            </w:tcBorders>
            <w:shd w:val="clear" w:color="auto" w:fill="auto"/>
            <w:noWrap/>
            <w:vAlign w:val="bottom"/>
            <w:hideMark/>
          </w:tcPr>
          <w:p w14:paraId="010376A8" w14:textId="77777777" w:rsidR="002B2CCB" w:rsidRPr="00A47998" w:rsidRDefault="002B2CCB" w:rsidP="002B2CCB">
            <w:pPr>
              <w:spacing w:after="0" w:line="240" w:lineRule="auto"/>
              <w:jc w:val="left"/>
              <w:rPr>
                <w:rFonts w:eastAsia="Times New Roman" w:cs="Calibri"/>
                <w:b/>
                <w:bCs/>
                <w:color w:val="000000"/>
                <w:sz w:val="20"/>
                <w:lang w:eastAsia="sk-SK"/>
              </w:rPr>
            </w:pPr>
            <w:r w:rsidRPr="00A47998">
              <w:rPr>
                <w:rFonts w:eastAsia="Times New Roman" w:cs="Calibri"/>
                <w:b/>
                <w:bCs/>
                <w:color w:val="000000"/>
                <w:sz w:val="20"/>
                <w:lang w:eastAsia="sk-SK"/>
              </w:rPr>
              <w:t>Žiaci bez ZZ</w:t>
            </w:r>
          </w:p>
        </w:tc>
        <w:tc>
          <w:tcPr>
            <w:tcW w:w="857" w:type="pct"/>
            <w:tcBorders>
              <w:top w:val="single" w:sz="4" w:space="0" w:color="auto"/>
            </w:tcBorders>
            <w:shd w:val="clear" w:color="auto" w:fill="auto"/>
            <w:noWrap/>
            <w:hideMark/>
          </w:tcPr>
          <w:p w14:paraId="7CEBADCB" w14:textId="3B8E4AEC" w:rsidR="002B2CCB" w:rsidRPr="002B2CCB" w:rsidRDefault="002B2CCB" w:rsidP="002B2CCB">
            <w:pPr>
              <w:spacing w:after="0" w:line="240" w:lineRule="auto"/>
              <w:jc w:val="right"/>
              <w:rPr>
                <w:rFonts w:eastAsia="Times New Roman" w:cs="Calibri"/>
                <w:color w:val="000000"/>
                <w:sz w:val="20"/>
                <w:lang w:eastAsia="sk-SK"/>
              </w:rPr>
            </w:pPr>
            <w:r w:rsidRPr="002B2CCB">
              <w:rPr>
                <w:sz w:val="20"/>
              </w:rPr>
              <w:t>3,43</w:t>
            </w:r>
          </w:p>
        </w:tc>
      </w:tr>
      <w:tr w:rsidR="002B2CCB" w:rsidRPr="00A47998" w14:paraId="363A8678" w14:textId="77777777" w:rsidTr="002B2CCB">
        <w:trPr>
          <w:trHeight w:val="300"/>
        </w:trPr>
        <w:tc>
          <w:tcPr>
            <w:tcW w:w="4143" w:type="pct"/>
            <w:shd w:val="clear" w:color="auto" w:fill="auto"/>
            <w:noWrap/>
            <w:vAlign w:val="bottom"/>
            <w:hideMark/>
          </w:tcPr>
          <w:p w14:paraId="143AE8F1" w14:textId="77777777" w:rsidR="002B2CCB" w:rsidRPr="00A47998" w:rsidRDefault="002B2CCB" w:rsidP="002B2CCB">
            <w:pPr>
              <w:spacing w:after="0" w:line="240" w:lineRule="auto"/>
              <w:jc w:val="left"/>
              <w:rPr>
                <w:rFonts w:eastAsia="Times New Roman" w:cs="Calibri"/>
                <w:b/>
                <w:bCs/>
                <w:color w:val="000000"/>
                <w:sz w:val="20"/>
                <w:lang w:eastAsia="sk-SK"/>
              </w:rPr>
            </w:pPr>
            <w:r w:rsidRPr="00A47998">
              <w:rPr>
                <w:rFonts w:eastAsia="Times New Roman" w:cs="Calibri"/>
                <w:b/>
                <w:bCs/>
                <w:color w:val="000000"/>
                <w:sz w:val="20"/>
                <w:lang w:eastAsia="sk-SK"/>
              </w:rPr>
              <w:t>Žiaci so ZZ</w:t>
            </w:r>
          </w:p>
        </w:tc>
        <w:tc>
          <w:tcPr>
            <w:tcW w:w="857" w:type="pct"/>
            <w:shd w:val="clear" w:color="auto" w:fill="auto"/>
            <w:noWrap/>
            <w:hideMark/>
          </w:tcPr>
          <w:p w14:paraId="330732F4" w14:textId="270BA685" w:rsidR="002B2CCB" w:rsidRPr="002B2CCB" w:rsidRDefault="002B2CCB" w:rsidP="002B2CCB">
            <w:pPr>
              <w:spacing w:after="0" w:line="240" w:lineRule="auto"/>
              <w:jc w:val="right"/>
              <w:rPr>
                <w:rFonts w:eastAsia="Times New Roman" w:cs="Calibri"/>
                <w:color w:val="000000"/>
                <w:sz w:val="20"/>
                <w:lang w:eastAsia="sk-SK"/>
              </w:rPr>
            </w:pPr>
            <w:r w:rsidRPr="002B2CCB">
              <w:rPr>
                <w:sz w:val="20"/>
              </w:rPr>
              <w:t>18,38</w:t>
            </w:r>
          </w:p>
        </w:tc>
      </w:tr>
      <w:tr w:rsidR="002B2CCB" w:rsidRPr="00A47998" w14:paraId="65F4A43C" w14:textId="77777777" w:rsidTr="002B2CCB">
        <w:trPr>
          <w:trHeight w:val="300"/>
        </w:trPr>
        <w:tc>
          <w:tcPr>
            <w:tcW w:w="4143" w:type="pct"/>
            <w:shd w:val="clear" w:color="auto" w:fill="auto"/>
            <w:noWrap/>
            <w:vAlign w:val="bottom"/>
            <w:hideMark/>
          </w:tcPr>
          <w:p w14:paraId="7E457C89" w14:textId="6509D020" w:rsidR="002B2CCB" w:rsidRPr="00A47998" w:rsidRDefault="002B2CCB" w:rsidP="002B2CCB">
            <w:pPr>
              <w:spacing w:after="0" w:line="240" w:lineRule="auto"/>
              <w:jc w:val="left"/>
              <w:rPr>
                <w:rFonts w:eastAsia="Times New Roman" w:cs="Calibri"/>
                <w:color w:val="000000"/>
                <w:sz w:val="20"/>
                <w:lang w:eastAsia="sk-SK"/>
              </w:rPr>
            </w:pPr>
            <w:r>
              <w:rPr>
                <w:rFonts w:eastAsia="Times New Roman" w:cs="Calibri"/>
                <w:color w:val="000000"/>
                <w:sz w:val="20"/>
                <w:lang w:eastAsia="sk-SK"/>
              </w:rPr>
              <w:t xml:space="preserve">  </w:t>
            </w:r>
            <w:r w:rsidRPr="00A47998">
              <w:rPr>
                <w:rFonts w:eastAsia="Times New Roman" w:cs="Calibri"/>
                <w:color w:val="000000"/>
                <w:sz w:val="20"/>
                <w:lang w:eastAsia="sk-SK"/>
              </w:rPr>
              <w:t xml:space="preserve"> z toho žiaci so ZZ v integrácii</w:t>
            </w:r>
          </w:p>
        </w:tc>
        <w:tc>
          <w:tcPr>
            <w:tcW w:w="857" w:type="pct"/>
            <w:shd w:val="clear" w:color="auto" w:fill="auto"/>
            <w:noWrap/>
            <w:hideMark/>
          </w:tcPr>
          <w:p w14:paraId="4AC796E5" w14:textId="6B4B5D25" w:rsidR="002B2CCB" w:rsidRPr="002B2CCB" w:rsidRDefault="002B2CCB" w:rsidP="002B2CCB">
            <w:pPr>
              <w:spacing w:after="0" w:line="240" w:lineRule="auto"/>
              <w:jc w:val="right"/>
              <w:rPr>
                <w:rFonts w:eastAsia="Times New Roman" w:cs="Calibri"/>
                <w:color w:val="000000"/>
                <w:sz w:val="20"/>
                <w:lang w:eastAsia="sk-SK"/>
              </w:rPr>
            </w:pPr>
            <w:r w:rsidRPr="002B2CCB">
              <w:rPr>
                <w:sz w:val="20"/>
              </w:rPr>
              <w:t>7,59</w:t>
            </w:r>
          </w:p>
        </w:tc>
      </w:tr>
      <w:tr w:rsidR="002B2CCB" w:rsidRPr="00A47998" w14:paraId="5686BBDA" w14:textId="77777777" w:rsidTr="002B2CCB">
        <w:trPr>
          <w:trHeight w:val="300"/>
        </w:trPr>
        <w:tc>
          <w:tcPr>
            <w:tcW w:w="4143" w:type="pct"/>
            <w:shd w:val="clear" w:color="auto" w:fill="auto"/>
            <w:noWrap/>
            <w:vAlign w:val="bottom"/>
            <w:hideMark/>
          </w:tcPr>
          <w:p w14:paraId="754D71DA" w14:textId="1B1926B5" w:rsidR="002B2CCB" w:rsidRPr="00A47998" w:rsidRDefault="002B2CCB" w:rsidP="002B2CCB">
            <w:pPr>
              <w:spacing w:after="0" w:line="240" w:lineRule="auto"/>
              <w:jc w:val="left"/>
              <w:rPr>
                <w:rFonts w:eastAsia="Times New Roman" w:cs="Calibri"/>
                <w:color w:val="000000"/>
                <w:sz w:val="20"/>
                <w:lang w:eastAsia="sk-SK"/>
              </w:rPr>
            </w:pPr>
            <w:r>
              <w:rPr>
                <w:rFonts w:eastAsia="Times New Roman" w:cs="Calibri"/>
                <w:color w:val="000000"/>
                <w:sz w:val="20"/>
                <w:lang w:eastAsia="sk-SK"/>
              </w:rPr>
              <w:t xml:space="preserve">  </w:t>
            </w:r>
            <w:r w:rsidRPr="00A47998">
              <w:rPr>
                <w:rFonts w:eastAsia="Times New Roman" w:cs="Calibri"/>
                <w:color w:val="000000"/>
                <w:sz w:val="20"/>
                <w:lang w:eastAsia="sk-SK"/>
              </w:rPr>
              <w:t xml:space="preserve"> z toho žiaci so ZZ v ŠT</w:t>
            </w:r>
          </w:p>
        </w:tc>
        <w:tc>
          <w:tcPr>
            <w:tcW w:w="857" w:type="pct"/>
            <w:shd w:val="clear" w:color="auto" w:fill="auto"/>
            <w:noWrap/>
            <w:hideMark/>
          </w:tcPr>
          <w:p w14:paraId="3715B327" w14:textId="763F30ED" w:rsidR="002B2CCB" w:rsidRPr="002B2CCB" w:rsidRDefault="002B2CCB" w:rsidP="002B2CCB">
            <w:pPr>
              <w:spacing w:after="0" w:line="240" w:lineRule="auto"/>
              <w:jc w:val="right"/>
              <w:rPr>
                <w:rFonts w:eastAsia="Times New Roman" w:cs="Calibri"/>
                <w:color w:val="000000"/>
                <w:sz w:val="20"/>
                <w:lang w:eastAsia="sk-SK"/>
              </w:rPr>
            </w:pPr>
            <w:r w:rsidRPr="002B2CCB">
              <w:rPr>
                <w:sz w:val="20"/>
              </w:rPr>
              <w:t>47,7</w:t>
            </w:r>
          </w:p>
        </w:tc>
      </w:tr>
      <w:tr w:rsidR="002B2CCB" w:rsidRPr="00A47998" w14:paraId="59525058" w14:textId="77777777" w:rsidTr="002B2CCB">
        <w:trPr>
          <w:trHeight w:val="300"/>
        </w:trPr>
        <w:tc>
          <w:tcPr>
            <w:tcW w:w="4143" w:type="pct"/>
            <w:tcBorders>
              <w:bottom w:val="single" w:sz="4" w:space="0" w:color="auto"/>
            </w:tcBorders>
            <w:shd w:val="clear" w:color="auto" w:fill="auto"/>
            <w:noWrap/>
            <w:vAlign w:val="bottom"/>
            <w:hideMark/>
          </w:tcPr>
          <w:p w14:paraId="09E18E7D" w14:textId="43E4085A" w:rsidR="002B2CCB" w:rsidRPr="00A47998" w:rsidRDefault="002B2CCB" w:rsidP="002B2CCB">
            <w:pPr>
              <w:spacing w:after="0" w:line="240" w:lineRule="auto"/>
              <w:jc w:val="left"/>
              <w:rPr>
                <w:rFonts w:eastAsia="Times New Roman" w:cs="Calibri"/>
                <w:color w:val="000000"/>
                <w:sz w:val="20"/>
                <w:lang w:eastAsia="sk-SK"/>
              </w:rPr>
            </w:pPr>
            <w:r>
              <w:rPr>
                <w:rFonts w:eastAsia="Times New Roman" w:cs="Calibri"/>
                <w:color w:val="000000"/>
                <w:sz w:val="20"/>
                <w:lang w:eastAsia="sk-SK"/>
              </w:rPr>
              <w:t xml:space="preserve">  </w:t>
            </w:r>
            <w:r w:rsidRPr="00A47998">
              <w:rPr>
                <w:rFonts w:eastAsia="Times New Roman" w:cs="Calibri"/>
                <w:color w:val="000000"/>
                <w:sz w:val="20"/>
                <w:lang w:eastAsia="sk-SK"/>
              </w:rPr>
              <w:t xml:space="preserve"> z toho žiaci so ZZ v ŠZŠ</w:t>
            </w:r>
          </w:p>
        </w:tc>
        <w:tc>
          <w:tcPr>
            <w:tcW w:w="857" w:type="pct"/>
            <w:tcBorders>
              <w:bottom w:val="single" w:sz="4" w:space="0" w:color="auto"/>
            </w:tcBorders>
            <w:shd w:val="clear" w:color="auto" w:fill="auto"/>
            <w:noWrap/>
            <w:hideMark/>
          </w:tcPr>
          <w:p w14:paraId="2D24014A" w14:textId="7971CCED" w:rsidR="002B2CCB" w:rsidRPr="002B2CCB" w:rsidRDefault="002B2CCB" w:rsidP="002B2CCB">
            <w:pPr>
              <w:spacing w:after="0" w:line="240" w:lineRule="auto"/>
              <w:jc w:val="right"/>
              <w:rPr>
                <w:rFonts w:eastAsia="Times New Roman" w:cs="Calibri"/>
                <w:color w:val="000000"/>
                <w:sz w:val="20"/>
                <w:lang w:eastAsia="sk-SK"/>
              </w:rPr>
            </w:pPr>
            <w:r w:rsidRPr="002B2CCB">
              <w:rPr>
                <w:sz w:val="20"/>
              </w:rPr>
              <w:t>28,14</w:t>
            </w:r>
          </w:p>
        </w:tc>
      </w:tr>
      <w:tr w:rsidR="002B2CCB" w:rsidRPr="00A47998" w14:paraId="106B3F50" w14:textId="77777777" w:rsidTr="002B2CCB">
        <w:trPr>
          <w:trHeight w:val="300"/>
        </w:trPr>
        <w:tc>
          <w:tcPr>
            <w:tcW w:w="4143" w:type="pct"/>
            <w:tcBorders>
              <w:top w:val="single" w:sz="4" w:space="0" w:color="auto"/>
              <w:bottom w:val="single" w:sz="4" w:space="0" w:color="auto"/>
            </w:tcBorders>
            <w:shd w:val="clear" w:color="auto" w:fill="auto"/>
            <w:noWrap/>
            <w:vAlign w:val="bottom"/>
            <w:hideMark/>
          </w:tcPr>
          <w:p w14:paraId="45E11F5A" w14:textId="77777777" w:rsidR="002B2CCB" w:rsidRPr="00A47998" w:rsidRDefault="002B2CCB" w:rsidP="002B2CCB">
            <w:pPr>
              <w:spacing w:after="0" w:line="240" w:lineRule="auto"/>
              <w:jc w:val="left"/>
              <w:rPr>
                <w:rFonts w:eastAsia="Times New Roman" w:cs="Calibri"/>
                <w:b/>
                <w:bCs/>
                <w:color w:val="000000"/>
                <w:sz w:val="20"/>
                <w:lang w:eastAsia="sk-SK"/>
              </w:rPr>
            </w:pPr>
            <w:r w:rsidRPr="00A47998">
              <w:rPr>
                <w:rFonts w:eastAsia="Times New Roman" w:cs="Calibri"/>
                <w:b/>
                <w:bCs/>
                <w:color w:val="000000"/>
                <w:sz w:val="20"/>
                <w:lang w:eastAsia="sk-SK"/>
              </w:rPr>
              <w:t>SPOLU</w:t>
            </w:r>
          </w:p>
        </w:tc>
        <w:tc>
          <w:tcPr>
            <w:tcW w:w="857" w:type="pct"/>
            <w:tcBorders>
              <w:top w:val="single" w:sz="4" w:space="0" w:color="auto"/>
              <w:bottom w:val="single" w:sz="4" w:space="0" w:color="auto"/>
            </w:tcBorders>
            <w:shd w:val="clear" w:color="auto" w:fill="auto"/>
            <w:noWrap/>
            <w:hideMark/>
          </w:tcPr>
          <w:p w14:paraId="687CA24C" w14:textId="405F8611" w:rsidR="002B2CCB" w:rsidRPr="002B2CCB" w:rsidRDefault="002B2CCB" w:rsidP="002B2CCB">
            <w:pPr>
              <w:spacing w:after="0" w:line="240" w:lineRule="auto"/>
              <w:jc w:val="right"/>
              <w:rPr>
                <w:rFonts w:eastAsia="Times New Roman" w:cs="Calibri"/>
                <w:b/>
                <w:bCs/>
                <w:color w:val="000000"/>
                <w:sz w:val="20"/>
                <w:lang w:eastAsia="sk-SK"/>
              </w:rPr>
            </w:pPr>
            <w:r w:rsidRPr="002B2CCB">
              <w:rPr>
                <w:sz w:val="20"/>
              </w:rPr>
              <w:t>5,77</w:t>
            </w:r>
          </w:p>
        </w:tc>
      </w:tr>
    </w:tbl>
    <w:p w14:paraId="7D68A3A5" w14:textId="7C8B5DE3" w:rsidR="008E166F" w:rsidRPr="00A47998" w:rsidRDefault="008E166F" w:rsidP="008E166F">
      <w:pPr>
        <w:pStyle w:val="Bezriadkovania"/>
        <w:jc w:val="right"/>
        <w:rPr>
          <w:rFonts w:ascii="Arial Narrow" w:hAnsi="Arial Narrow"/>
          <w:bCs/>
          <w:i/>
          <w:iCs/>
          <w:sz w:val="18"/>
          <w:szCs w:val="18"/>
        </w:rPr>
      </w:pPr>
      <w:r w:rsidRPr="00A47998">
        <w:rPr>
          <w:rFonts w:ascii="Arial Narrow" w:hAnsi="Arial Narrow"/>
          <w:bCs/>
          <w:i/>
          <w:iCs/>
          <w:sz w:val="18"/>
          <w:szCs w:val="18"/>
        </w:rPr>
        <w:t xml:space="preserve">Zdroj: </w:t>
      </w:r>
      <w:r w:rsidR="007853BE" w:rsidRPr="00A47998">
        <w:rPr>
          <w:rFonts w:ascii="Arial Narrow" w:hAnsi="Arial Narrow"/>
          <w:bCs/>
          <w:i/>
          <w:iCs/>
          <w:sz w:val="18"/>
          <w:szCs w:val="18"/>
        </w:rPr>
        <w:t>prepočty IVP na základe údajov RIS MŠVVŠ</w:t>
      </w:r>
      <w:r w:rsidR="0070047D">
        <w:rPr>
          <w:rFonts w:ascii="Arial Narrow" w:hAnsi="Arial Narrow"/>
          <w:bCs/>
          <w:i/>
          <w:iCs/>
          <w:sz w:val="18"/>
          <w:szCs w:val="18"/>
        </w:rPr>
        <w:t xml:space="preserve"> </w:t>
      </w:r>
      <w:r w:rsidR="007853BE" w:rsidRPr="00A47998">
        <w:rPr>
          <w:rFonts w:ascii="Arial Narrow" w:hAnsi="Arial Narrow"/>
          <w:bCs/>
          <w:i/>
          <w:iCs/>
          <w:sz w:val="18"/>
          <w:szCs w:val="18"/>
        </w:rPr>
        <w:t>(20</w:t>
      </w:r>
      <w:r w:rsidR="007853BE">
        <w:rPr>
          <w:rFonts w:ascii="Arial Narrow" w:hAnsi="Arial Narrow"/>
          <w:bCs/>
          <w:i/>
          <w:iCs/>
          <w:sz w:val="18"/>
          <w:szCs w:val="18"/>
        </w:rPr>
        <w:t>16-2019</w:t>
      </w:r>
      <w:r w:rsidR="007853BE" w:rsidRPr="00A47998">
        <w:rPr>
          <w:rFonts w:ascii="Arial Narrow" w:hAnsi="Arial Narrow"/>
          <w:bCs/>
          <w:i/>
          <w:iCs/>
          <w:sz w:val="18"/>
          <w:szCs w:val="18"/>
        </w:rPr>
        <w:t xml:space="preserve">). </w:t>
      </w:r>
      <w:r w:rsidR="007853BE">
        <w:rPr>
          <w:rFonts w:ascii="Arial Narrow" w:hAnsi="Arial Narrow"/>
          <w:bCs/>
          <w:i/>
          <w:iCs/>
          <w:sz w:val="18"/>
          <w:szCs w:val="18"/>
        </w:rPr>
        <w:t xml:space="preserve">Poznámka: </w:t>
      </w:r>
      <w:r w:rsidR="007853BE" w:rsidRPr="00175B83">
        <w:rPr>
          <w:rFonts w:ascii="Arial Narrow" w:hAnsi="Arial Narrow"/>
          <w:bCs/>
          <w:i/>
          <w:iCs/>
          <w:sz w:val="18"/>
          <w:szCs w:val="18"/>
        </w:rPr>
        <w:t>Metodika výpočtov v tabuľke je odlišná od medzinárodne vykazovaných údajov. Údaje v tejto časti preto nie sú porovnateľné s medzinárodne vykazovanými údajmi. Jedná sa o podiel žiakov s ukončenou povinnou školskou dochádzkou nepokračujúcich vo vzdelávaní na zák</w:t>
      </w:r>
      <w:r w:rsidR="007853BE">
        <w:rPr>
          <w:rFonts w:ascii="Arial Narrow" w:hAnsi="Arial Narrow"/>
          <w:bCs/>
          <w:i/>
          <w:iCs/>
          <w:sz w:val="18"/>
          <w:szCs w:val="18"/>
        </w:rPr>
        <w:t>ladných alebo stredných školách</w:t>
      </w:r>
      <w:r w:rsidRPr="00A47998">
        <w:rPr>
          <w:rFonts w:ascii="Arial Narrow" w:hAnsi="Arial Narrow"/>
          <w:bCs/>
          <w:i/>
          <w:iCs/>
          <w:sz w:val="18"/>
          <w:szCs w:val="18"/>
        </w:rPr>
        <w:t xml:space="preserve">. </w:t>
      </w:r>
    </w:p>
    <w:p w14:paraId="545428C3" w14:textId="77777777" w:rsidR="008E166F" w:rsidRPr="00A47998" w:rsidRDefault="008E166F" w:rsidP="00A279BC">
      <w:pPr>
        <w:pStyle w:val="Nadpis2"/>
        <w:spacing w:before="160"/>
        <w:ind w:left="431" w:hanging="431"/>
      </w:pPr>
      <w:bookmarkStart w:id="421" w:name="_Toc33454636"/>
      <w:bookmarkStart w:id="422" w:name="_Toc33517113"/>
      <w:bookmarkStart w:id="423" w:name="_Toc33529132"/>
      <w:bookmarkStart w:id="424" w:name="_Toc33543787"/>
      <w:bookmarkStart w:id="425" w:name="_Toc33544317"/>
      <w:bookmarkStart w:id="426" w:name="_Toc33601438"/>
      <w:bookmarkStart w:id="427" w:name="_Toc33616074"/>
      <w:bookmarkStart w:id="428" w:name="_Ref33278014"/>
      <w:bookmarkStart w:id="429" w:name="_Toc34657723"/>
      <w:bookmarkEnd w:id="421"/>
      <w:bookmarkEnd w:id="422"/>
      <w:bookmarkEnd w:id="423"/>
      <w:bookmarkEnd w:id="424"/>
      <w:bookmarkEnd w:id="425"/>
      <w:bookmarkEnd w:id="426"/>
      <w:bookmarkEnd w:id="427"/>
      <w:r w:rsidRPr="00A47998">
        <w:t>Vzdelávanie v stredných školách</w:t>
      </w:r>
      <w:bookmarkEnd w:id="428"/>
      <w:bookmarkEnd w:id="429"/>
      <w:r w:rsidRPr="00A47998">
        <w:t xml:space="preserve"> </w:t>
      </w:r>
    </w:p>
    <w:p w14:paraId="3BAC9296" w14:textId="77777777" w:rsidR="008E166F" w:rsidRPr="00A47998" w:rsidRDefault="008E166F" w:rsidP="008E166F">
      <w:pPr>
        <w:pStyle w:val="Bezriadkovania"/>
        <w:spacing w:after="200" w:line="259" w:lineRule="auto"/>
        <w:jc w:val="both"/>
        <w:rPr>
          <w:rFonts w:ascii="Arial Narrow" w:hAnsi="Arial Narrow"/>
          <w:b/>
        </w:rPr>
      </w:pPr>
      <w:r w:rsidRPr="00A47998">
        <w:rPr>
          <w:rFonts w:ascii="Arial Narrow" w:hAnsi="Arial Narrow"/>
          <w:color w:val="0070C0"/>
        </w:rPr>
        <w:t>Výsledky vzdelávania zdravotne znevýhodnených žiakov v stredných školách</w:t>
      </w:r>
      <w:r w:rsidRPr="00A47998">
        <w:rPr>
          <w:rFonts w:ascii="Arial Narrow" w:hAnsi="Arial Narrow"/>
          <w:b/>
        </w:rPr>
        <w:t xml:space="preserve"> </w:t>
      </w:r>
    </w:p>
    <w:p w14:paraId="668064D9" w14:textId="45170F4E" w:rsidR="008E166F" w:rsidRPr="00C04FE6" w:rsidRDefault="008E166F" w:rsidP="008E166F">
      <w:r>
        <w:rPr>
          <w:b/>
        </w:rPr>
        <w:t xml:space="preserve">V roku 2018 tvorili žiaci so zdravotným znevýhodnením 6,9 % populácie stredných škôl (14 574 žiakov). </w:t>
      </w:r>
      <w:r>
        <w:t>P</w:t>
      </w:r>
      <w:r w:rsidRPr="00A5144C">
        <w:t xml:space="preserve">odiel žiakov so ZZ na populácii žiakov stredných škôl </w:t>
      </w:r>
      <w:r>
        <w:t xml:space="preserve">rastie a za posledných desať rokov sa viac </w:t>
      </w:r>
      <w:r w:rsidRPr="00A5144C">
        <w:t>ako zdvojnásobil z 2,9 na 6,8 %</w:t>
      </w:r>
      <w:r>
        <w:t xml:space="preserve"> (</w:t>
      </w:r>
      <w:r w:rsidR="004D5CFE" w:rsidRPr="004D5CFE">
        <w:rPr>
          <w:rFonts w:eastAsia="Arial Narrow" w:cs="Arial Narrow"/>
          <w:color w:val="000000"/>
        </w:rPr>
        <w:fldChar w:fldCharType="begin"/>
      </w:r>
      <w:r w:rsidR="004D5CFE" w:rsidRPr="004D5CFE">
        <w:rPr>
          <w:rFonts w:eastAsia="Arial Narrow" w:cs="Arial Narrow"/>
          <w:color w:val="000000"/>
        </w:rPr>
        <w:instrText xml:space="preserve"> REF _Ref34320332 \h </w:instrText>
      </w:r>
      <w:r w:rsidR="004D5CFE">
        <w:rPr>
          <w:rFonts w:eastAsia="Arial Narrow" w:cs="Arial Narrow"/>
          <w:color w:val="000000"/>
        </w:rPr>
        <w:instrText xml:space="preserve"> \* MERGEFORMAT </w:instrText>
      </w:r>
      <w:r w:rsidR="004D5CFE" w:rsidRPr="004D5CFE">
        <w:rPr>
          <w:rFonts w:eastAsia="Arial Narrow" w:cs="Arial Narrow"/>
          <w:color w:val="000000"/>
        </w:rPr>
      </w:r>
      <w:r w:rsidR="004D5CFE" w:rsidRPr="004D5CFE">
        <w:rPr>
          <w:rFonts w:eastAsia="Arial Narrow" w:cs="Arial Narrow"/>
          <w:color w:val="000000"/>
        </w:rPr>
        <w:fldChar w:fldCharType="separate"/>
      </w:r>
      <w:r w:rsidR="00FA29AF" w:rsidRPr="00FA29AF">
        <w:rPr>
          <w:rFonts w:eastAsia="Arial Narrow" w:cs="Arial Narrow"/>
          <w:color w:val="000000"/>
        </w:rPr>
        <w:t>Príloha 30</w:t>
      </w:r>
      <w:r w:rsidR="004D5CFE" w:rsidRPr="004D5CFE">
        <w:rPr>
          <w:rFonts w:eastAsia="Arial Narrow" w:cs="Arial Narrow"/>
          <w:color w:val="000000"/>
        </w:rPr>
        <w:fldChar w:fldCharType="end"/>
      </w:r>
      <w:r w:rsidRPr="0074735A">
        <w:t>)</w:t>
      </w:r>
      <w:r w:rsidRPr="00A5144C">
        <w:t>.</w:t>
      </w:r>
      <w:r>
        <w:t xml:space="preserve"> </w:t>
      </w:r>
    </w:p>
    <w:p w14:paraId="565A880E" w14:textId="03933438" w:rsidR="00137FC6" w:rsidRDefault="008E166F" w:rsidP="00D12901">
      <w:pPr>
        <w:rPr>
          <w:b/>
          <w:iCs/>
          <w:sz w:val="20"/>
        </w:rPr>
      </w:pPr>
      <w:r>
        <w:rPr>
          <w:b/>
        </w:rPr>
        <w:t>Najpočetnejšie boli v populácii žiakov so ZZ v stredných školách zastúpení žiaci s </w:t>
      </w:r>
      <w:r w:rsidR="007853BE">
        <w:rPr>
          <w:b/>
        </w:rPr>
        <w:t xml:space="preserve">poruchami </w:t>
      </w:r>
      <w:r>
        <w:rPr>
          <w:b/>
        </w:rPr>
        <w:t xml:space="preserve">učenia a žiaci s mentálnym postihnutím </w:t>
      </w:r>
      <w:r w:rsidRPr="00D12901">
        <w:t>(</w:t>
      </w:r>
      <w:r w:rsidR="00D12901" w:rsidRPr="00D12901">
        <w:rPr>
          <w:szCs w:val="22"/>
        </w:rPr>
        <w:fldChar w:fldCharType="begin"/>
      </w:r>
      <w:r w:rsidR="00D12901" w:rsidRPr="00D12901">
        <w:rPr>
          <w:szCs w:val="22"/>
        </w:rPr>
        <w:instrText xml:space="preserve"> REF _Ref34125640 \h  \* MERGEFORMAT </w:instrText>
      </w:r>
      <w:r w:rsidR="00D12901" w:rsidRPr="00D12901">
        <w:rPr>
          <w:szCs w:val="22"/>
        </w:rPr>
      </w:r>
      <w:r w:rsidR="00D12901" w:rsidRPr="00D12901">
        <w:rPr>
          <w:szCs w:val="22"/>
        </w:rPr>
        <w:fldChar w:fldCharType="separate"/>
      </w:r>
      <w:r w:rsidR="00FA29AF" w:rsidRPr="00FA29AF">
        <w:rPr>
          <w:szCs w:val="22"/>
        </w:rPr>
        <w:t xml:space="preserve">Tabuľka </w:t>
      </w:r>
      <w:r w:rsidR="00FA29AF" w:rsidRPr="00FA29AF">
        <w:rPr>
          <w:noProof/>
          <w:szCs w:val="22"/>
        </w:rPr>
        <w:t>20</w:t>
      </w:r>
      <w:r w:rsidR="00D12901" w:rsidRPr="00D12901">
        <w:rPr>
          <w:szCs w:val="22"/>
        </w:rPr>
        <w:fldChar w:fldCharType="end"/>
      </w:r>
      <w:r w:rsidRPr="00D12901">
        <w:rPr>
          <w:szCs w:val="22"/>
        </w:rPr>
        <w:t>)</w:t>
      </w:r>
      <w:r>
        <w:rPr>
          <w:b/>
        </w:rPr>
        <w:t xml:space="preserve">. </w:t>
      </w:r>
      <w:r>
        <w:t>Od roku 2012 sa najviac zvýšil počet žiakov s poruchami učenia a naopak najviac klesol počet žiakov s telesným postihnutím (</w:t>
      </w:r>
      <w:r w:rsidR="00213C05" w:rsidRPr="00213C05">
        <w:fldChar w:fldCharType="begin"/>
      </w:r>
      <w:r w:rsidR="00213C05">
        <w:instrText xml:space="preserve"> REF _Ref25844809 \h  \* MERGEFORMAT </w:instrText>
      </w:r>
      <w:r w:rsidR="00213C05" w:rsidRPr="00213C05">
        <w:fldChar w:fldCharType="separate"/>
      </w:r>
      <w:r w:rsidR="00FA29AF" w:rsidRPr="00FA29AF">
        <w:t>Príloha 31</w:t>
      </w:r>
      <w:r w:rsidR="00213C05" w:rsidRPr="00213C05">
        <w:fldChar w:fldCharType="end"/>
      </w:r>
      <w:r>
        <w:t>).</w:t>
      </w:r>
      <w:r w:rsidR="00D12901">
        <w:t xml:space="preserve"> </w:t>
      </w:r>
      <w:bookmarkStart w:id="430" w:name="_Ref25746350"/>
    </w:p>
    <w:p w14:paraId="6C458AB4" w14:textId="31A30744" w:rsidR="009B1CA3" w:rsidRPr="009B1CA3" w:rsidRDefault="009B1CA3" w:rsidP="009B1CA3">
      <w:pPr>
        <w:pStyle w:val="Popis"/>
        <w:keepNext/>
        <w:spacing w:after="0"/>
        <w:rPr>
          <w:b/>
          <w:i w:val="0"/>
          <w:color w:val="auto"/>
          <w:sz w:val="20"/>
          <w:szCs w:val="20"/>
        </w:rPr>
      </w:pPr>
      <w:bookmarkStart w:id="431" w:name="_Ref34125640"/>
      <w:bookmarkStart w:id="432" w:name="_Toc34156859"/>
      <w:r w:rsidRPr="009B1CA3">
        <w:rPr>
          <w:b/>
          <w:i w:val="0"/>
          <w:color w:val="auto"/>
          <w:sz w:val="20"/>
          <w:szCs w:val="20"/>
        </w:rPr>
        <w:t xml:space="preserve">Tabuľka </w:t>
      </w:r>
      <w:r w:rsidRPr="009B1CA3">
        <w:rPr>
          <w:b/>
          <w:i w:val="0"/>
          <w:color w:val="auto"/>
          <w:sz w:val="20"/>
          <w:szCs w:val="20"/>
        </w:rPr>
        <w:fldChar w:fldCharType="begin"/>
      </w:r>
      <w:r w:rsidRPr="009B1CA3">
        <w:rPr>
          <w:b/>
          <w:i w:val="0"/>
          <w:color w:val="auto"/>
          <w:sz w:val="20"/>
          <w:szCs w:val="20"/>
        </w:rPr>
        <w:instrText xml:space="preserve"> SEQ Tabuľka \* ARABIC </w:instrText>
      </w:r>
      <w:r w:rsidRPr="009B1CA3">
        <w:rPr>
          <w:b/>
          <w:i w:val="0"/>
          <w:color w:val="auto"/>
          <w:sz w:val="20"/>
          <w:szCs w:val="20"/>
        </w:rPr>
        <w:fldChar w:fldCharType="separate"/>
      </w:r>
      <w:r w:rsidR="00FA29AF">
        <w:rPr>
          <w:b/>
          <w:i w:val="0"/>
          <w:noProof/>
          <w:color w:val="auto"/>
          <w:sz w:val="20"/>
          <w:szCs w:val="20"/>
        </w:rPr>
        <w:t>20</w:t>
      </w:r>
      <w:r w:rsidRPr="009B1CA3">
        <w:rPr>
          <w:b/>
          <w:i w:val="0"/>
          <w:color w:val="auto"/>
          <w:sz w:val="20"/>
          <w:szCs w:val="20"/>
        </w:rPr>
        <w:fldChar w:fldCharType="end"/>
      </w:r>
      <w:bookmarkEnd w:id="430"/>
      <w:bookmarkEnd w:id="431"/>
      <w:r w:rsidRPr="009B1CA3">
        <w:rPr>
          <w:b/>
          <w:i w:val="0"/>
          <w:color w:val="auto"/>
          <w:sz w:val="20"/>
          <w:szCs w:val="20"/>
        </w:rPr>
        <w:t xml:space="preserve">: </w:t>
      </w:r>
      <w:r w:rsidRPr="009B1CA3">
        <w:rPr>
          <w:b/>
          <w:bCs/>
          <w:i w:val="0"/>
          <w:color w:val="auto"/>
          <w:sz w:val="20"/>
          <w:szCs w:val="20"/>
        </w:rPr>
        <w:t>Počet žiakov so ZZ v stredných školách podľa druhu ZZ, 2018</w:t>
      </w:r>
      <w:bookmarkEnd w:id="432"/>
    </w:p>
    <w:tbl>
      <w:tblPr>
        <w:tblW w:w="9108" w:type="dxa"/>
        <w:jc w:val="center"/>
        <w:tblCellMar>
          <w:left w:w="70" w:type="dxa"/>
          <w:right w:w="70" w:type="dxa"/>
        </w:tblCellMar>
        <w:tblLook w:val="04A0" w:firstRow="1" w:lastRow="0" w:firstColumn="1" w:lastColumn="0" w:noHBand="0" w:noVBand="1"/>
      </w:tblPr>
      <w:tblGrid>
        <w:gridCol w:w="6268"/>
        <w:gridCol w:w="1460"/>
        <w:gridCol w:w="1380"/>
      </w:tblGrid>
      <w:tr w:rsidR="008E166F" w:rsidRPr="00A47998" w14:paraId="0D3D5BBB" w14:textId="77777777" w:rsidTr="00CD14A4">
        <w:trPr>
          <w:trHeight w:val="300"/>
          <w:jc w:val="center"/>
        </w:trPr>
        <w:tc>
          <w:tcPr>
            <w:tcW w:w="6268" w:type="dxa"/>
            <w:tcBorders>
              <w:top w:val="single" w:sz="4" w:space="0" w:color="auto"/>
              <w:left w:val="nil"/>
              <w:bottom w:val="single" w:sz="4" w:space="0" w:color="auto"/>
            </w:tcBorders>
            <w:shd w:val="clear" w:color="auto" w:fill="auto"/>
            <w:noWrap/>
            <w:vAlign w:val="bottom"/>
            <w:hideMark/>
          </w:tcPr>
          <w:p w14:paraId="7B5FBCE6" w14:textId="77777777" w:rsidR="008E166F" w:rsidRPr="00A47998" w:rsidRDefault="008E166F" w:rsidP="00B35CF6">
            <w:pPr>
              <w:spacing w:after="0" w:line="240" w:lineRule="auto"/>
              <w:jc w:val="left"/>
              <w:rPr>
                <w:rFonts w:eastAsia="Times New Roman" w:cs="Times New Roman"/>
                <w:b/>
                <w:bCs/>
                <w:color w:val="000000"/>
                <w:sz w:val="20"/>
                <w:lang w:eastAsia="sk-SK"/>
              </w:rPr>
            </w:pPr>
            <w:r w:rsidRPr="00A47998">
              <w:rPr>
                <w:rFonts w:eastAsia="Times New Roman" w:cs="Times New Roman"/>
                <w:b/>
                <w:bCs/>
                <w:color w:val="000000"/>
                <w:sz w:val="20"/>
                <w:lang w:eastAsia="sk-SK"/>
              </w:rPr>
              <w:t>Druh zdravotného znevýhodnenia</w:t>
            </w:r>
          </w:p>
        </w:tc>
        <w:tc>
          <w:tcPr>
            <w:tcW w:w="1460" w:type="dxa"/>
            <w:tcBorders>
              <w:top w:val="single" w:sz="4" w:space="0" w:color="auto"/>
              <w:bottom w:val="single" w:sz="4" w:space="0" w:color="auto"/>
              <w:right w:val="nil"/>
            </w:tcBorders>
            <w:shd w:val="clear" w:color="auto" w:fill="auto"/>
            <w:noWrap/>
            <w:vAlign w:val="bottom"/>
            <w:hideMark/>
          </w:tcPr>
          <w:p w14:paraId="22DEB632" w14:textId="77777777" w:rsidR="008E166F" w:rsidRPr="00A47998" w:rsidRDefault="008E166F" w:rsidP="00B35CF6">
            <w:pPr>
              <w:spacing w:after="0" w:line="240" w:lineRule="auto"/>
              <w:jc w:val="center"/>
              <w:rPr>
                <w:rFonts w:eastAsia="Times New Roman" w:cs="Times New Roman"/>
                <w:b/>
                <w:bCs/>
                <w:color w:val="000000"/>
                <w:sz w:val="20"/>
                <w:lang w:eastAsia="sk-SK"/>
              </w:rPr>
            </w:pPr>
            <w:r w:rsidRPr="00A47998">
              <w:rPr>
                <w:rFonts w:eastAsia="Times New Roman" w:cs="Times New Roman"/>
                <w:b/>
                <w:bCs/>
                <w:color w:val="000000"/>
                <w:sz w:val="20"/>
                <w:lang w:eastAsia="sk-SK"/>
              </w:rPr>
              <w:t>Počet žiakov</w:t>
            </w:r>
          </w:p>
        </w:tc>
        <w:tc>
          <w:tcPr>
            <w:tcW w:w="1380" w:type="dxa"/>
            <w:tcBorders>
              <w:top w:val="single" w:sz="4" w:space="0" w:color="auto"/>
              <w:left w:val="nil"/>
              <w:bottom w:val="single" w:sz="4" w:space="0" w:color="auto"/>
              <w:right w:val="nil"/>
            </w:tcBorders>
            <w:shd w:val="clear" w:color="auto" w:fill="auto"/>
            <w:noWrap/>
            <w:vAlign w:val="bottom"/>
            <w:hideMark/>
          </w:tcPr>
          <w:p w14:paraId="550072B5" w14:textId="77777777" w:rsidR="008E166F" w:rsidRPr="00A47998" w:rsidRDefault="008E166F" w:rsidP="00B35CF6">
            <w:pPr>
              <w:spacing w:after="0" w:line="240" w:lineRule="auto"/>
              <w:jc w:val="left"/>
              <w:rPr>
                <w:rFonts w:eastAsia="Times New Roman" w:cs="Times New Roman"/>
                <w:b/>
                <w:bCs/>
                <w:color w:val="000000"/>
                <w:sz w:val="20"/>
                <w:lang w:eastAsia="sk-SK"/>
              </w:rPr>
            </w:pPr>
            <w:r w:rsidRPr="00A47998">
              <w:rPr>
                <w:rFonts w:eastAsia="Times New Roman" w:cs="Times New Roman"/>
                <w:b/>
                <w:bCs/>
                <w:color w:val="000000"/>
                <w:sz w:val="20"/>
                <w:lang w:eastAsia="sk-SK"/>
              </w:rPr>
              <w:t>Podiel žiakov</w:t>
            </w:r>
          </w:p>
        </w:tc>
      </w:tr>
      <w:tr w:rsidR="008E166F" w:rsidRPr="00A47998" w14:paraId="698C700B" w14:textId="77777777" w:rsidTr="00564973">
        <w:trPr>
          <w:trHeight w:val="300"/>
          <w:jc w:val="center"/>
        </w:trPr>
        <w:tc>
          <w:tcPr>
            <w:tcW w:w="6268" w:type="dxa"/>
            <w:tcBorders>
              <w:top w:val="nil"/>
              <w:left w:val="nil"/>
              <w:bottom w:val="nil"/>
            </w:tcBorders>
            <w:shd w:val="clear" w:color="auto" w:fill="auto"/>
            <w:noWrap/>
            <w:vAlign w:val="bottom"/>
            <w:hideMark/>
          </w:tcPr>
          <w:p w14:paraId="05F4BD79" w14:textId="77777777" w:rsidR="008E166F" w:rsidRPr="005325C9" w:rsidRDefault="008E166F" w:rsidP="00B35CF6">
            <w:pPr>
              <w:spacing w:after="0" w:line="240" w:lineRule="auto"/>
              <w:jc w:val="left"/>
              <w:rPr>
                <w:rFonts w:eastAsia="Times New Roman" w:cs="Times New Roman"/>
                <w:bCs/>
                <w:color w:val="000000"/>
                <w:sz w:val="20"/>
                <w:lang w:eastAsia="sk-SK"/>
              </w:rPr>
            </w:pPr>
            <w:r w:rsidRPr="005325C9">
              <w:rPr>
                <w:rFonts w:eastAsia="Times New Roman" w:cs="Times New Roman"/>
                <w:bCs/>
                <w:color w:val="000000"/>
                <w:sz w:val="20"/>
                <w:lang w:eastAsia="sk-SK"/>
              </w:rPr>
              <w:t>Poruchy učenia</w:t>
            </w:r>
          </w:p>
        </w:tc>
        <w:tc>
          <w:tcPr>
            <w:tcW w:w="1460" w:type="dxa"/>
            <w:tcBorders>
              <w:top w:val="single" w:sz="4" w:space="0" w:color="auto"/>
              <w:bottom w:val="nil"/>
              <w:right w:val="nil"/>
            </w:tcBorders>
            <w:shd w:val="clear" w:color="auto" w:fill="auto"/>
            <w:noWrap/>
            <w:vAlign w:val="bottom"/>
            <w:hideMark/>
          </w:tcPr>
          <w:p w14:paraId="191588B3" w14:textId="77777777" w:rsidR="008E166F" w:rsidRPr="00A47998" w:rsidRDefault="008E166F" w:rsidP="00B35CF6">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7 513</w:t>
            </w:r>
          </w:p>
        </w:tc>
        <w:tc>
          <w:tcPr>
            <w:tcW w:w="1380" w:type="dxa"/>
            <w:tcBorders>
              <w:top w:val="nil"/>
              <w:left w:val="nil"/>
              <w:bottom w:val="nil"/>
              <w:right w:val="nil"/>
            </w:tcBorders>
            <w:shd w:val="clear" w:color="auto" w:fill="auto"/>
            <w:noWrap/>
            <w:vAlign w:val="bottom"/>
            <w:hideMark/>
          </w:tcPr>
          <w:p w14:paraId="6A2A0847" w14:textId="77777777" w:rsidR="008E166F" w:rsidRPr="00A47998" w:rsidRDefault="008E166F" w:rsidP="00B35CF6">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51,6</w:t>
            </w:r>
            <w:r w:rsidRPr="00A47998">
              <w:rPr>
                <w:rFonts w:eastAsia="Times New Roman" w:cs="Times New Roman"/>
                <w:color w:val="000000"/>
                <w:sz w:val="20"/>
                <w:lang w:eastAsia="sk-SK"/>
              </w:rPr>
              <w:t>%</w:t>
            </w:r>
          </w:p>
        </w:tc>
      </w:tr>
      <w:tr w:rsidR="008E166F" w:rsidRPr="00A47998" w14:paraId="176C6640" w14:textId="77777777" w:rsidTr="00564973">
        <w:trPr>
          <w:trHeight w:val="300"/>
          <w:jc w:val="center"/>
        </w:trPr>
        <w:tc>
          <w:tcPr>
            <w:tcW w:w="6268" w:type="dxa"/>
            <w:tcBorders>
              <w:top w:val="nil"/>
              <w:left w:val="nil"/>
              <w:bottom w:val="nil"/>
            </w:tcBorders>
            <w:shd w:val="clear" w:color="auto" w:fill="auto"/>
            <w:noWrap/>
            <w:vAlign w:val="bottom"/>
            <w:hideMark/>
          </w:tcPr>
          <w:p w14:paraId="4BB3578C" w14:textId="77777777" w:rsidR="008E166F" w:rsidRPr="005325C9" w:rsidRDefault="008E166F" w:rsidP="00B35CF6">
            <w:pPr>
              <w:spacing w:after="0" w:line="240" w:lineRule="auto"/>
              <w:jc w:val="left"/>
              <w:rPr>
                <w:rFonts w:eastAsia="Times New Roman" w:cs="Times New Roman"/>
                <w:bCs/>
                <w:color w:val="000000"/>
                <w:sz w:val="20"/>
                <w:lang w:eastAsia="sk-SK"/>
              </w:rPr>
            </w:pPr>
            <w:r w:rsidRPr="005325C9">
              <w:rPr>
                <w:rFonts w:eastAsia="Times New Roman" w:cs="Times New Roman"/>
                <w:bCs/>
                <w:color w:val="000000"/>
                <w:sz w:val="20"/>
                <w:lang w:eastAsia="sk-SK"/>
              </w:rPr>
              <w:t>Mentálne postihnutie</w:t>
            </w:r>
          </w:p>
        </w:tc>
        <w:tc>
          <w:tcPr>
            <w:tcW w:w="1460" w:type="dxa"/>
            <w:tcBorders>
              <w:top w:val="nil"/>
              <w:bottom w:val="nil"/>
              <w:right w:val="nil"/>
            </w:tcBorders>
            <w:shd w:val="clear" w:color="auto" w:fill="auto"/>
            <w:noWrap/>
            <w:vAlign w:val="bottom"/>
            <w:hideMark/>
          </w:tcPr>
          <w:p w14:paraId="3A3271DF" w14:textId="77777777" w:rsidR="008E166F" w:rsidRPr="00A47998" w:rsidRDefault="008E166F" w:rsidP="00B35CF6">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4 552</w:t>
            </w:r>
          </w:p>
        </w:tc>
        <w:tc>
          <w:tcPr>
            <w:tcW w:w="1380" w:type="dxa"/>
            <w:tcBorders>
              <w:top w:val="nil"/>
              <w:left w:val="nil"/>
              <w:bottom w:val="nil"/>
              <w:right w:val="nil"/>
            </w:tcBorders>
            <w:shd w:val="clear" w:color="auto" w:fill="auto"/>
            <w:noWrap/>
            <w:vAlign w:val="bottom"/>
            <w:hideMark/>
          </w:tcPr>
          <w:p w14:paraId="3C4753F3" w14:textId="77777777" w:rsidR="008E166F" w:rsidRPr="00A47998" w:rsidRDefault="008E166F" w:rsidP="00B35CF6">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31,2</w:t>
            </w:r>
            <w:r w:rsidRPr="00A47998">
              <w:rPr>
                <w:rFonts w:eastAsia="Times New Roman" w:cs="Times New Roman"/>
                <w:color w:val="000000"/>
                <w:sz w:val="20"/>
                <w:lang w:eastAsia="sk-SK"/>
              </w:rPr>
              <w:t>%</w:t>
            </w:r>
          </w:p>
        </w:tc>
      </w:tr>
      <w:tr w:rsidR="008E166F" w:rsidRPr="00A47998" w14:paraId="72DA2534" w14:textId="77777777" w:rsidTr="00564973">
        <w:trPr>
          <w:trHeight w:val="300"/>
          <w:jc w:val="center"/>
        </w:trPr>
        <w:tc>
          <w:tcPr>
            <w:tcW w:w="6268" w:type="dxa"/>
            <w:tcBorders>
              <w:top w:val="nil"/>
              <w:left w:val="nil"/>
              <w:bottom w:val="nil"/>
            </w:tcBorders>
            <w:shd w:val="clear" w:color="auto" w:fill="auto"/>
            <w:noWrap/>
            <w:vAlign w:val="bottom"/>
            <w:hideMark/>
          </w:tcPr>
          <w:p w14:paraId="349B57FA" w14:textId="77777777" w:rsidR="008E166F" w:rsidRPr="005325C9" w:rsidRDefault="008E166F" w:rsidP="00B35CF6">
            <w:pPr>
              <w:spacing w:after="0" w:line="240" w:lineRule="auto"/>
              <w:jc w:val="left"/>
              <w:rPr>
                <w:rFonts w:eastAsia="Times New Roman" w:cs="Times New Roman"/>
                <w:bCs/>
                <w:color w:val="000000"/>
                <w:sz w:val="20"/>
                <w:lang w:eastAsia="sk-SK"/>
              </w:rPr>
            </w:pPr>
            <w:r w:rsidRPr="005325C9">
              <w:rPr>
                <w:rFonts w:eastAsia="Times New Roman" w:cs="Times New Roman"/>
                <w:bCs/>
                <w:color w:val="000000"/>
                <w:sz w:val="20"/>
                <w:lang w:eastAsia="sk-SK"/>
              </w:rPr>
              <w:t>Iné</w:t>
            </w:r>
          </w:p>
        </w:tc>
        <w:tc>
          <w:tcPr>
            <w:tcW w:w="1460" w:type="dxa"/>
            <w:tcBorders>
              <w:top w:val="nil"/>
              <w:bottom w:val="nil"/>
              <w:right w:val="nil"/>
            </w:tcBorders>
            <w:shd w:val="clear" w:color="auto" w:fill="auto"/>
            <w:noWrap/>
            <w:vAlign w:val="bottom"/>
            <w:hideMark/>
          </w:tcPr>
          <w:p w14:paraId="468AEA89" w14:textId="77777777" w:rsidR="008E166F" w:rsidRPr="00A47998" w:rsidRDefault="008E166F" w:rsidP="00B35CF6">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862</w:t>
            </w:r>
          </w:p>
        </w:tc>
        <w:tc>
          <w:tcPr>
            <w:tcW w:w="1380" w:type="dxa"/>
            <w:tcBorders>
              <w:top w:val="nil"/>
              <w:left w:val="nil"/>
              <w:bottom w:val="nil"/>
              <w:right w:val="nil"/>
            </w:tcBorders>
            <w:shd w:val="clear" w:color="auto" w:fill="auto"/>
            <w:noWrap/>
            <w:vAlign w:val="bottom"/>
            <w:hideMark/>
          </w:tcPr>
          <w:p w14:paraId="5A546601" w14:textId="77777777" w:rsidR="008E166F" w:rsidRPr="00A47998" w:rsidRDefault="008E166F" w:rsidP="00B35CF6">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5,9</w:t>
            </w:r>
            <w:r w:rsidRPr="00A47998">
              <w:rPr>
                <w:rFonts w:eastAsia="Times New Roman" w:cs="Times New Roman"/>
                <w:color w:val="000000"/>
                <w:sz w:val="20"/>
                <w:lang w:eastAsia="sk-SK"/>
              </w:rPr>
              <w:t>%</w:t>
            </w:r>
          </w:p>
        </w:tc>
      </w:tr>
      <w:tr w:rsidR="008E166F" w:rsidRPr="00A47998" w14:paraId="41B98353" w14:textId="77777777" w:rsidTr="00564973">
        <w:trPr>
          <w:trHeight w:val="300"/>
          <w:jc w:val="center"/>
        </w:trPr>
        <w:tc>
          <w:tcPr>
            <w:tcW w:w="6268" w:type="dxa"/>
            <w:tcBorders>
              <w:top w:val="nil"/>
              <w:left w:val="nil"/>
              <w:bottom w:val="nil"/>
            </w:tcBorders>
            <w:shd w:val="clear" w:color="auto" w:fill="auto"/>
            <w:noWrap/>
            <w:vAlign w:val="bottom"/>
            <w:hideMark/>
          </w:tcPr>
          <w:p w14:paraId="35D22ADC" w14:textId="77777777" w:rsidR="008E166F" w:rsidRPr="005325C9" w:rsidRDefault="008E166F" w:rsidP="00B35CF6">
            <w:pPr>
              <w:spacing w:after="0" w:line="240" w:lineRule="auto"/>
              <w:jc w:val="left"/>
              <w:rPr>
                <w:rFonts w:eastAsia="Times New Roman" w:cs="Times New Roman"/>
                <w:bCs/>
                <w:color w:val="000000"/>
                <w:sz w:val="20"/>
                <w:lang w:eastAsia="sk-SK"/>
              </w:rPr>
            </w:pPr>
            <w:r w:rsidRPr="005325C9">
              <w:rPr>
                <w:rFonts w:eastAsia="Times New Roman" w:cs="Times New Roman"/>
                <w:bCs/>
                <w:color w:val="000000"/>
                <w:sz w:val="20"/>
                <w:lang w:eastAsia="sk-SK"/>
              </w:rPr>
              <w:t>Telesné postihnutie</w:t>
            </w:r>
          </w:p>
        </w:tc>
        <w:tc>
          <w:tcPr>
            <w:tcW w:w="1460" w:type="dxa"/>
            <w:tcBorders>
              <w:top w:val="nil"/>
              <w:bottom w:val="nil"/>
              <w:right w:val="nil"/>
            </w:tcBorders>
            <w:shd w:val="clear" w:color="auto" w:fill="auto"/>
            <w:noWrap/>
            <w:vAlign w:val="bottom"/>
            <w:hideMark/>
          </w:tcPr>
          <w:p w14:paraId="5AC31436" w14:textId="77777777" w:rsidR="008E166F" w:rsidRPr="00A47998" w:rsidRDefault="008E166F" w:rsidP="00B35CF6">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558</w:t>
            </w:r>
          </w:p>
        </w:tc>
        <w:tc>
          <w:tcPr>
            <w:tcW w:w="1380" w:type="dxa"/>
            <w:tcBorders>
              <w:top w:val="nil"/>
              <w:left w:val="nil"/>
              <w:bottom w:val="nil"/>
              <w:right w:val="nil"/>
            </w:tcBorders>
            <w:shd w:val="clear" w:color="auto" w:fill="auto"/>
            <w:noWrap/>
            <w:vAlign w:val="bottom"/>
            <w:hideMark/>
          </w:tcPr>
          <w:p w14:paraId="08EB30BD" w14:textId="77777777" w:rsidR="008E166F" w:rsidRPr="00A47998" w:rsidRDefault="008E166F" w:rsidP="00B35CF6">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3,8</w:t>
            </w:r>
            <w:r w:rsidRPr="00A47998">
              <w:rPr>
                <w:rFonts w:eastAsia="Times New Roman" w:cs="Times New Roman"/>
                <w:color w:val="000000"/>
                <w:sz w:val="20"/>
                <w:lang w:eastAsia="sk-SK"/>
              </w:rPr>
              <w:t>%</w:t>
            </w:r>
          </w:p>
        </w:tc>
      </w:tr>
      <w:tr w:rsidR="008E166F" w:rsidRPr="00A47998" w14:paraId="13B9E738" w14:textId="77777777" w:rsidTr="00564973">
        <w:trPr>
          <w:trHeight w:val="300"/>
          <w:jc w:val="center"/>
        </w:trPr>
        <w:tc>
          <w:tcPr>
            <w:tcW w:w="6268" w:type="dxa"/>
            <w:tcBorders>
              <w:top w:val="nil"/>
              <w:left w:val="nil"/>
              <w:bottom w:val="nil"/>
            </w:tcBorders>
            <w:shd w:val="clear" w:color="auto" w:fill="auto"/>
            <w:noWrap/>
            <w:vAlign w:val="bottom"/>
            <w:hideMark/>
          </w:tcPr>
          <w:p w14:paraId="04EFD7A1" w14:textId="77777777" w:rsidR="008E166F" w:rsidRPr="005325C9" w:rsidRDefault="008E166F" w:rsidP="00B35CF6">
            <w:pPr>
              <w:spacing w:after="0" w:line="240" w:lineRule="auto"/>
              <w:jc w:val="left"/>
              <w:rPr>
                <w:rFonts w:eastAsia="Times New Roman" w:cs="Times New Roman"/>
                <w:bCs/>
                <w:color w:val="000000"/>
                <w:sz w:val="20"/>
                <w:lang w:eastAsia="sk-SK"/>
              </w:rPr>
            </w:pPr>
            <w:r w:rsidRPr="005325C9">
              <w:rPr>
                <w:rFonts w:eastAsia="Times New Roman" w:cs="Times New Roman"/>
                <w:bCs/>
                <w:color w:val="000000"/>
                <w:sz w:val="20"/>
                <w:lang w:eastAsia="sk-SK"/>
              </w:rPr>
              <w:t>Poruchy správania</w:t>
            </w:r>
          </w:p>
        </w:tc>
        <w:tc>
          <w:tcPr>
            <w:tcW w:w="1460" w:type="dxa"/>
            <w:tcBorders>
              <w:top w:val="nil"/>
              <w:bottom w:val="nil"/>
              <w:right w:val="nil"/>
            </w:tcBorders>
            <w:shd w:val="clear" w:color="auto" w:fill="auto"/>
            <w:noWrap/>
            <w:vAlign w:val="bottom"/>
            <w:hideMark/>
          </w:tcPr>
          <w:p w14:paraId="002FF21D" w14:textId="77777777" w:rsidR="008E166F" w:rsidRPr="00A47998" w:rsidRDefault="008E166F" w:rsidP="00B35CF6">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398</w:t>
            </w:r>
          </w:p>
        </w:tc>
        <w:tc>
          <w:tcPr>
            <w:tcW w:w="1380" w:type="dxa"/>
            <w:tcBorders>
              <w:top w:val="nil"/>
              <w:left w:val="nil"/>
              <w:bottom w:val="nil"/>
              <w:right w:val="nil"/>
            </w:tcBorders>
            <w:shd w:val="clear" w:color="auto" w:fill="auto"/>
            <w:noWrap/>
            <w:vAlign w:val="bottom"/>
            <w:hideMark/>
          </w:tcPr>
          <w:p w14:paraId="4A6805F8" w14:textId="77777777" w:rsidR="008E166F" w:rsidRPr="00A47998" w:rsidRDefault="008E166F" w:rsidP="00B35CF6">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2,7</w:t>
            </w:r>
            <w:r w:rsidRPr="00A47998">
              <w:rPr>
                <w:rFonts w:eastAsia="Times New Roman" w:cs="Times New Roman"/>
                <w:color w:val="000000"/>
                <w:sz w:val="20"/>
                <w:lang w:eastAsia="sk-SK"/>
              </w:rPr>
              <w:t>%</w:t>
            </w:r>
          </w:p>
        </w:tc>
      </w:tr>
      <w:tr w:rsidR="008E166F" w:rsidRPr="00A47998" w14:paraId="47A0BBC9" w14:textId="77777777" w:rsidTr="00564973">
        <w:trPr>
          <w:trHeight w:val="300"/>
          <w:jc w:val="center"/>
        </w:trPr>
        <w:tc>
          <w:tcPr>
            <w:tcW w:w="6268" w:type="dxa"/>
            <w:tcBorders>
              <w:top w:val="nil"/>
              <w:left w:val="nil"/>
              <w:bottom w:val="nil"/>
            </w:tcBorders>
            <w:shd w:val="clear" w:color="auto" w:fill="auto"/>
            <w:noWrap/>
            <w:vAlign w:val="bottom"/>
            <w:hideMark/>
          </w:tcPr>
          <w:p w14:paraId="5DE81553" w14:textId="77777777" w:rsidR="008E166F" w:rsidRPr="005325C9" w:rsidRDefault="008E166F" w:rsidP="00B35CF6">
            <w:pPr>
              <w:spacing w:after="0" w:line="240" w:lineRule="auto"/>
              <w:jc w:val="left"/>
              <w:rPr>
                <w:rFonts w:eastAsia="Times New Roman" w:cs="Times New Roman"/>
                <w:bCs/>
                <w:color w:val="000000"/>
                <w:sz w:val="20"/>
                <w:lang w:eastAsia="sk-SK"/>
              </w:rPr>
            </w:pPr>
            <w:r w:rsidRPr="005325C9">
              <w:rPr>
                <w:rFonts w:eastAsia="Times New Roman" w:cs="Times New Roman"/>
                <w:bCs/>
                <w:color w:val="000000"/>
                <w:sz w:val="20"/>
                <w:lang w:eastAsia="sk-SK"/>
              </w:rPr>
              <w:t>Sluchové postihnutie</w:t>
            </w:r>
          </w:p>
        </w:tc>
        <w:tc>
          <w:tcPr>
            <w:tcW w:w="1460" w:type="dxa"/>
            <w:tcBorders>
              <w:top w:val="nil"/>
              <w:bottom w:val="nil"/>
              <w:right w:val="nil"/>
            </w:tcBorders>
            <w:shd w:val="clear" w:color="auto" w:fill="auto"/>
            <w:noWrap/>
            <w:vAlign w:val="bottom"/>
            <w:hideMark/>
          </w:tcPr>
          <w:p w14:paraId="2B870405" w14:textId="77777777" w:rsidR="008E166F" w:rsidRPr="00A47998" w:rsidRDefault="008E166F" w:rsidP="00B35CF6">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301</w:t>
            </w:r>
          </w:p>
        </w:tc>
        <w:tc>
          <w:tcPr>
            <w:tcW w:w="1380" w:type="dxa"/>
            <w:tcBorders>
              <w:top w:val="nil"/>
              <w:left w:val="nil"/>
              <w:bottom w:val="nil"/>
              <w:right w:val="nil"/>
            </w:tcBorders>
            <w:shd w:val="clear" w:color="auto" w:fill="auto"/>
            <w:noWrap/>
            <w:vAlign w:val="bottom"/>
            <w:hideMark/>
          </w:tcPr>
          <w:p w14:paraId="75B1F8BF" w14:textId="77777777" w:rsidR="008E166F" w:rsidRPr="00A47998" w:rsidRDefault="008E166F" w:rsidP="00B35CF6">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2,1</w:t>
            </w:r>
            <w:r w:rsidRPr="00A47998">
              <w:rPr>
                <w:rFonts w:eastAsia="Times New Roman" w:cs="Times New Roman"/>
                <w:color w:val="000000"/>
                <w:sz w:val="20"/>
                <w:lang w:eastAsia="sk-SK"/>
              </w:rPr>
              <w:t>%</w:t>
            </w:r>
          </w:p>
        </w:tc>
      </w:tr>
      <w:tr w:rsidR="008E166F" w:rsidRPr="00A47998" w14:paraId="21491E96" w14:textId="77777777" w:rsidTr="00564973">
        <w:trPr>
          <w:trHeight w:val="300"/>
          <w:jc w:val="center"/>
        </w:trPr>
        <w:tc>
          <w:tcPr>
            <w:tcW w:w="6268" w:type="dxa"/>
            <w:tcBorders>
              <w:top w:val="nil"/>
              <w:left w:val="nil"/>
            </w:tcBorders>
            <w:shd w:val="clear" w:color="auto" w:fill="auto"/>
            <w:noWrap/>
            <w:vAlign w:val="bottom"/>
            <w:hideMark/>
          </w:tcPr>
          <w:p w14:paraId="7C50E65B" w14:textId="77777777" w:rsidR="008E166F" w:rsidRPr="005325C9" w:rsidRDefault="008E166F" w:rsidP="00B35CF6">
            <w:pPr>
              <w:spacing w:after="0" w:line="240" w:lineRule="auto"/>
              <w:jc w:val="left"/>
              <w:rPr>
                <w:rFonts w:eastAsia="Times New Roman" w:cs="Times New Roman"/>
                <w:bCs/>
                <w:color w:val="000000"/>
                <w:sz w:val="20"/>
                <w:lang w:eastAsia="sk-SK"/>
              </w:rPr>
            </w:pPr>
            <w:r w:rsidRPr="005325C9">
              <w:rPr>
                <w:rFonts w:eastAsia="Times New Roman" w:cs="Times New Roman"/>
                <w:bCs/>
                <w:color w:val="000000"/>
                <w:sz w:val="20"/>
                <w:lang w:eastAsia="sk-SK"/>
              </w:rPr>
              <w:t>Zrakové postihnutie</w:t>
            </w:r>
          </w:p>
        </w:tc>
        <w:tc>
          <w:tcPr>
            <w:tcW w:w="1460" w:type="dxa"/>
            <w:tcBorders>
              <w:top w:val="nil"/>
              <w:right w:val="nil"/>
            </w:tcBorders>
            <w:shd w:val="clear" w:color="auto" w:fill="auto"/>
            <w:noWrap/>
            <w:vAlign w:val="bottom"/>
            <w:hideMark/>
          </w:tcPr>
          <w:p w14:paraId="46A2372E" w14:textId="77777777" w:rsidR="008E166F" w:rsidRPr="00A47998" w:rsidRDefault="008E166F" w:rsidP="00B35CF6">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216</w:t>
            </w:r>
          </w:p>
        </w:tc>
        <w:tc>
          <w:tcPr>
            <w:tcW w:w="1380" w:type="dxa"/>
            <w:tcBorders>
              <w:top w:val="nil"/>
              <w:left w:val="nil"/>
              <w:right w:val="nil"/>
            </w:tcBorders>
            <w:shd w:val="clear" w:color="auto" w:fill="auto"/>
            <w:noWrap/>
            <w:vAlign w:val="bottom"/>
            <w:hideMark/>
          </w:tcPr>
          <w:p w14:paraId="582BBEF2" w14:textId="77777777" w:rsidR="008E166F" w:rsidRPr="00A47998" w:rsidRDefault="008E166F" w:rsidP="00B35CF6">
            <w:pPr>
              <w:spacing w:after="0" w:line="240" w:lineRule="auto"/>
              <w:jc w:val="center"/>
              <w:rPr>
                <w:rFonts w:eastAsia="Times New Roman" w:cs="Times New Roman"/>
                <w:color w:val="000000"/>
                <w:sz w:val="20"/>
                <w:lang w:eastAsia="sk-SK"/>
              </w:rPr>
            </w:pPr>
            <w:r w:rsidRPr="00A47998">
              <w:rPr>
                <w:rFonts w:eastAsia="Times New Roman" w:cs="Times New Roman"/>
                <w:color w:val="000000"/>
                <w:sz w:val="20"/>
                <w:lang w:eastAsia="sk-SK"/>
              </w:rPr>
              <w:t>1,</w:t>
            </w:r>
            <w:r>
              <w:rPr>
                <w:rFonts w:eastAsia="Times New Roman" w:cs="Times New Roman"/>
                <w:color w:val="000000"/>
                <w:sz w:val="20"/>
                <w:lang w:eastAsia="sk-SK"/>
              </w:rPr>
              <w:t>5</w:t>
            </w:r>
            <w:r w:rsidRPr="00A47998">
              <w:rPr>
                <w:rFonts w:eastAsia="Times New Roman" w:cs="Times New Roman"/>
                <w:color w:val="000000"/>
                <w:sz w:val="20"/>
                <w:lang w:eastAsia="sk-SK"/>
              </w:rPr>
              <w:t>%</w:t>
            </w:r>
          </w:p>
        </w:tc>
      </w:tr>
      <w:tr w:rsidR="008E166F" w:rsidRPr="00A47998" w14:paraId="61B319CD" w14:textId="77777777" w:rsidTr="004D5EBE">
        <w:trPr>
          <w:trHeight w:val="300"/>
          <w:jc w:val="center"/>
        </w:trPr>
        <w:tc>
          <w:tcPr>
            <w:tcW w:w="6268" w:type="dxa"/>
            <w:tcBorders>
              <w:top w:val="nil"/>
              <w:left w:val="nil"/>
              <w:bottom w:val="single" w:sz="4" w:space="0" w:color="auto"/>
            </w:tcBorders>
            <w:shd w:val="clear" w:color="auto" w:fill="auto"/>
            <w:noWrap/>
            <w:vAlign w:val="bottom"/>
            <w:hideMark/>
          </w:tcPr>
          <w:p w14:paraId="0D271DB6" w14:textId="77777777" w:rsidR="008E166F" w:rsidRPr="005325C9" w:rsidRDefault="008E166F" w:rsidP="00B35CF6">
            <w:pPr>
              <w:spacing w:after="0" w:line="240" w:lineRule="auto"/>
              <w:jc w:val="left"/>
              <w:rPr>
                <w:rFonts w:eastAsia="Times New Roman" w:cs="Times New Roman"/>
                <w:bCs/>
                <w:color w:val="000000"/>
                <w:sz w:val="20"/>
                <w:lang w:eastAsia="sk-SK"/>
              </w:rPr>
            </w:pPr>
            <w:r w:rsidRPr="005325C9">
              <w:rPr>
                <w:rFonts w:eastAsia="Times New Roman" w:cs="Times New Roman"/>
                <w:bCs/>
                <w:color w:val="000000"/>
                <w:sz w:val="20"/>
                <w:lang w:eastAsia="sk-SK"/>
              </w:rPr>
              <w:t>Autizmus</w:t>
            </w:r>
          </w:p>
        </w:tc>
        <w:tc>
          <w:tcPr>
            <w:tcW w:w="1460" w:type="dxa"/>
            <w:tcBorders>
              <w:top w:val="nil"/>
              <w:bottom w:val="single" w:sz="4" w:space="0" w:color="auto"/>
              <w:right w:val="nil"/>
            </w:tcBorders>
            <w:shd w:val="clear" w:color="auto" w:fill="auto"/>
            <w:noWrap/>
            <w:vAlign w:val="bottom"/>
            <w:hideMark/>
          </w:tcPr>
          <w:p w14:paraId="30AB91F4" w14:textId="77777777" w:rsidR="008E166F" w:rsidRPr="00A47998" w:rsidRDefault="008E166F" w:rsidP="00B35CF6">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174</w:t>
            </w:r>
          </w:p>
        </w:tc>
        <w:tc>
          <w:tcPr>
            <w:tcW w:w="1380" w:type="dxa"/>
            <w:tcBorders>
              <w:top w:val="nil"/>
              <w:left w:val="nil"/>
              <w:bottom w:val="single" w:sz="4" w:space="0" w:color="auto"/>
              <w:right w:val="nil"/>
            </w:tcBorders>
            <w:shd w:val="clear" w:color="auto" w:fill="auto"/>
            <w:noWrap/>
            <w:vAlign w:val="bottom"/>
            <w:hideMark/>
          </w:tcPr>
          <w:p w14:paraId="410B1861" w14:textId="77777777" w:rsidR="008E166F" w:rsidRPr="00A47998" w:rsidRDefault="008E166F" w:rsidP="00B35CF6">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1,2</w:t>
            </w:r>
            <w:r w:rsidRPr="00A47998">
              <w:rPr>
                <w:rFonts w:eastAsia="Times New Roman" w:cs="Times New Roman"/>
                <w:color w:val="000000"/>
                <w:sz w:val="20"/>
                <w:lang w:eastAsia="sk-SK"/>
              </w:rPr>
              <w:t>%</w:t>
            </w:r>
          </w:p>
        </w:tc>
      </w:tr>
      <w:tr w:rsidR="008E166F" w:rsidRPr="00A47998" w14:paraId="4F4428C1" w14:textId="77777777" w:rsidTr="004D5EBE">
        <w:trPr>
          <w:trHeight w:val="300"/>
          <w:jc w:val="center"/>
        </w:trPr>
        <w:tc>
          <w:tcPr>
            <w:tcW w:w="6268" w:type="dxa"/>
            <w:tcBorders>
              <w:top w:val="single" w:sz="4" w:space="0" w:color="auto"/>
              <w:left w:val="nil"/>
              <w:bottom w:val="single" w:sz="4" w:space="0" w:color="auto"/>
            </w:tcBorders>
            <w:shd w:val="clear" w:color="auto" w:fill="auto"/>
            <w:noWrap/>
            <w:vAlign w:val="bottom"/>
            <w:hideMark/>
          </w:tcPr>
          <w:p w14:paraId="2EF1C223" w14:textId="77777777" w:rsidR="008E166F" w:rsidRPr="00A47998" w:rsidRDefault="008E166F" w:rsidP="00B35CF6">
            <w:pPr>
              <w:spacing w:after="0" w:line="240" w:lineRule="auto"/>
              <w:jc w:val="left"/>
              <w:rPr>
                <w:rFonts w:eastAsia="Times New Roman" w:cs="Times New Roman"/>
                <w:b/>
                <w:bCs/>
                <w:color w:val="000000"/>
                <w:sz w:val="20"/>
                <w:lang w:eastAsia="sk-SK"/>
              </w:rPr>
            </w:pPr>
            <w:r w:rsidRPr="00A47998">
              <w:rPr>
                <w:rFonts w:eastAsia="Times New Roman" w:cs="Times New Roman"/>
                <w:b/>
                <w:bCs/>
                <w:color w:val="000000"/>
                <w:sz w:val="20"/>
                <w:lang w:eastAsia="sk-SK"/>
              </w:rPr>
              <w:t>SPOLU</w:t>
            </w:r>
          </w:p>
        </w:tc>
        <w:tc>
          <w:tcPr>
            <w:tcW w:w="1460" w:type="dxa"/>
            <w:tcBorders>
              <w:top w:val="single" w:sz="4" w:space="0" w:color="auto"/>
              <w:right w:val="nil"/>
            </w:tcBorders>
            <w:shd w:val="clear" w:color="auto" w:fill="auto"/>
            <w:noWrap/>
            <w:vAlign w:val="bottom"/>
            <w:hideMark/>
          </w:tcPr>
          <w:p w14:paraId="0BB18B70" w14:textId="77777777" w:rsidR="008E166F" w:rsidRPr="00A47998" w:rsidRDefault="008E166F" w:rsidP="00B35CF6">
            <w:pPr>
              <w:spacing w:after="0" w:line="240" w:lineRule="auto"/>
              <w:jc w:val="center"/>
              <w:rPr>
                <w:rFonts w:eastAsia="Times New Roman" w:cs="Times New Roman"/>
                <w:b/>
                <w:bCs/>
                <w:color w:val="000000"/>
                <w:sz w:val="20"/>
                <w:lang w:eastAsia="sk-SK"/>
              </w:rPr>
            </w:pPr>
            <w:r>
              <w:rPr>
                <w:rFonts w:eastAsia="Times New Roman" w:cs="Times New Roman"/>
                <w:b/>
                <w:bCs/>
                <w:color w:val="000000"/>
                <w:sz w:val="20"/>
                <w:lang w:eastAsia="sk-SK"/>
              </w:rPr>
              <w:t>14 574</w:t>
            </w:r>
          </w:p>
        </w:tc>
        <w:tc>
          <w:tcPr>
            <w:tcW w:w="1380" w:type="dxa"/>
            <w:tcBorders>
              <w:top w:val="single" w:sz="4" w:space="0" w:color="auto"/>
              <w:left w:val="nil"/>
              <w:bottom w:val="single" w:sz="4" w:space="0" w:color="auto"/>
              <w:right w:val="nil"/>
            </w:tcBorders>
            <w:shd w:val="clear" w:color="auto" w:fill="auto"/>
            <w:noWrap/>
            <w:vAlign w:val="bottom"/>
            <w:hideMark/>
          </w:tcPr>
          <w:p w14:paraId="353F0F8B" w14:textId="77777777" w:rsidR="008E166F" w:rsidRPr="00A47998" w:rsidRDefault="008E166F" w:rsidP="00B35CF6">
            <w:pPr>
              <w:spacing w:after="0" w:line="240" w:lineRule="auto"/>
              <w:jc w:val="center"/>
              <w:rPr>
                <w:rFonts w:eastAsia="Times New Roman" w:cs="Times New Roman"/>
                <w:b/>
                <w:bCs/>
                <w:color w:val="000000"/>
                <w:sz w:val="20"/>
                <w:lang w:eastAsia="sk-SK"/>
              </w:rPr>
            </w:pPr>
            <w:r w:rsidRPr="00A47998">
              <w:rPr>
                <w:rFonts w:eastAsia="Times New Roman" w:cs="Times New Roman"/>
                <w:b/>
                <w:bCs/>
                <w:color w:val="000000"/>
                <w:sz w:val="20"/>
                <w:lang w:eastAsia="sk-SK"/>
              </w:rPr>
              <w:t>100,0%</w:t>
            </w:r>
          </w:p>
        </w:tc>
      </w:tr>
      <w:tr w:rsidR="008E166F" w:rsidRPr="00A47998" w14:paraId="64F2165A" w14:textId="77777777" w:rsidTr="00B35CF6">
        <w:trPr>
          <w:trHeight w:val="300"/>
          <w:jc w:val="center"/>
        </w:trPr>
        <w:tc>
          <w:tcPr>
            <w:tcW w:w="6268" w:type="dxa"/>
            <w:tcBorders>
              <w:top w:val="single" w:sz="4" w:space="0" w:color="auto"/>
              <w:left w:val="nil"/>
              <w:bottom w:val="nil"/>
            </w:tcBorders>
            <w:shd w:val="clear" w:color="auto" w:fill="auto"/>
            <w:noWrap/>
            <w:vAlign w:val="bottom"/>
          </w:tcPr>
          <w:p w14:paraId="04DC451D" w14:textId="77777777" w:rsidR="008E166F" w:rsidRPr="005325C9" w:rsidRDefault="008E166F" w:rsidP="00B35CF6">
            <w:pPr>
              <w:pStyle w:val="Bezriadkovania"/>
              <w:jc w:val="both"/>
              <w:rPr>
                <w:rFonts w:ascii="Arial Narrow" w:hAnsi="Arial Narrow"/>
                <w:bCs/>
                <w:i/>
                <w:sz w:val="18"/>
                <w:szCs w:val="18"/>
              </w:rPr>
            </w:pPr>
            <w:r>
              <w:rPr>
                <w:rFonts w:ascii="Arial Narrow" w:hAnsi="Arial Narrow"/>
                <w:bCs/>
                <w:i/>
                <w:sz w:val="18"/>
                <w:szCs w:val="18"/>
              </w:rPr>
              <w:t>Kategória iné zahŕňa žiakov s poruchami aktivity a pozornosti a žiakov chorých a zdravotne oslabených.</w:t>
            </w:r>
          </w:p>
        </w:tc>
        <w:tc>
          <w:tcPr>
            <w:tcW w:w="2840" w:type="dxa"/>
            <w:gridSpan w:val="2"/>
            <w:tcBorders>
              <w:top w:val="single" w:sz="4" w:space="0" w:color="auto"/>
              <w:left w:val="nil"/>
              <w:bottom w:val="nil"/>
              <w:right w:val="nil"/>
            </w:tcBorders>
            <w:shd w:val="clear" w:color="auto" w:fill="auto"/>
            <w:noWrap/>
            <w:vAlign w:val="bottom"/>
          </w:tcPr>
          <w:p w14:paraId="11542A93" w14:textId="77777777" w:rsidR="008E166F" w:rsidRPr="00A47998" w:rsidRDefault="008E166F" w:rsidP="00B35CF6">
            <w:pPr>
              <w:spacing w:after="0" w:line="240" w:lineRule="auto"/>
              <w:jc w:val="right"/>
              <w:rPr>
                <w:rFonts w:eastAsia="Times New Roman" w:cs="Times New Roman"/>
                <w:b/>
                <w:bCs/>
                <w:color w:val="000000"/>
                <w:sz w:val="20"/>
                <w:lang w:eastAsia="sk-SK"/>
              </w:rPr>
            </w:pPr>
            <w:r w:rsidRPr="00A47998">
              <w:rPr>
                <w:bCs/>
                <w:i/>
                <w:sz w:val="18"/>
                <w:szCs w:val="18"/>
              </w:rPr>
              <w:t>Zdroj: Vlastné prepočty IVP podľa dát CVTI (2017, 2018)</w:t>
            </w:r>
            <w:r>
              <w:rPr>
                <w:bCs/>
                <w:i/>
                <w:sz w:val="18"/>
                <w:szCs w:val="18"/>
              </w:rPr>
              <w:t>.</w:t>
            </w:r>
          </w:p>
        </w:tc>
      </w:tr>
    </w:tbl>
    <w:p w14:paraId="36506971" w14:textId="77777777" w:rsidR="008E166F" w:rsidRPr="00702901" w:rsidRDefault="008E166F" w:rsidP="008E166F">
      <w:pPr>
        <w:pStyle w:val="Bezriadkovania"/>
        <w:jc w:val="both"/>
        <w:rPr>
          <w:rFonts w:ascii="Arial Narrow" w:hAnsi="Arial Narrow"/>
          <w:bCs/>
          <w:i/>
          <w:sz w:val="18"/>
          <w:szCs w:val="18"/>
        </w:rPr>
      </w:pPr>
    </w:p>
    <w:p w14:paraId="3AB25DE4" w14:textId="76B79DA3" w:rsidR="007853BE" w:rsidRPr="007318D3" w:rsidRDefault="007853BE" w:rsidP="007853BE">
      <w:r>
        <w:rPr>
          <w:b/>
        </w:rPr>
        <w:t>Žiaci so ZZ okrem žiakov s</w:t>
      </w:r>
      <w:r w:rsidR="00A82437">
        <w:rPr>
          <w:b/>
        </w:rPr>
        <w:t> mentálnym postihnutím (</w:t>
      </w:r>
      <w:r>
        <w:rPr>
          <w:b/>
        </w:rPr>
        <w:t>MP</w:t>
      </w:r>
      <w:r w:rsidR="00A82437">
        <w:rPr>
          <w:b/>
        </w:rPr>
        <w:t>)</w:t>
      </w:r>
      <w:r>
        <w:rPr>
          <w:b/>
        </w:rPr>
        <w:t xml:space="preserve"> sa môžu vzdelávať v bežných stredných školách (gymnázia, stredné odborné učilištia a konzervatóriá) a v špeciálnych stredných školách (gymnáziá a stredné odborné školy). Pre žiakov s MP sú určené odborné učilištia a praktické školy. </w:t>
      </w:r>
      <w:r>
        <w:t xml:space="preserve">Žiakom s MP je tak ako jediným znemožnené pokračovať vo vzdelávaní v kolektíve svojich rovesníkov v bežnom prúde. </w:t>
      </w:r>
      <w:r w:rsidRPr="007318D3">
        <w:rPr>
          <w:bCs/>
        </w:rPr>
        <w:t>Je tomu tak preto, lebo ukončením základnej školy získavajú iba primárne a nie nižšie stredné vzdelanie</w:t>
      </w:r>
      <w:r w:rsidR="00A82437">
        <w:rPr>
          <w:bCs/>
        </w:rPr>
        <w:t xml:space="preserve"> (podkapitola </w:t>
      </w:r>
      <w:r w:rsidR="00A82437">
        <w:rPr>
          <w:bCs/>
        </w:rPr>
        <w:fldChar w:fldCharType="begin"/>
      </w:r>
      <w:r w:rsidR="00A82437">
        <w:rPr>
          <w:bCs/>
        </w:rPr>
        <w:instrText xml:space="preserve"> REF _Ref25652405 \r \h </w:instrText>
      </w:r>
      <w:r w:rsidR="00A82437">
        <w:rPr>
          <w:bCs/>
        </w:rPr>
      </w:r>
      <w:r w:rsidR="00A82437">
        <w:rPr>
          <w:bCs/>
        </w:rPr>
        <w:fldChar w:fldCharType="separate"/>
      </w:r>
      <w:r w:rsidR="00FA29AF">
        <w:rPr>
          <w:bCs/>
        </w:rPr>
        <w:t>5.2</w:t>
      </w:r>
      <w:r w:rsidR="00A82437">
        <w:rPr>
          <w:bCs/>
        </w:rPr>
        <w:fldChar w:fldCharType="end"/>
      </w:r>
      <w:r>
        <w:rPr>
          <w:bCs/>
        </w:rPr>
        <w:t>)</w:t>
      </w:r>
      <w:r w:rsidRPr="007318D3">
        <w:rPr>
          <w:bCs/>
        </w:rPr>
        <w:t>.</w:t>
      </w:r>
      <w:r>
        <w:rPr>
          <w:bCs/>
        </w:rPr>
        <w:t xml:space="preserve"> Absolvovaním niektorých odborov odborných učilíšť je možné získať aj výučný list, absolventi praktických škôl získavajú iba doklad o zaučení/zaškolení. </w:t>
      </w:r>
    </w:p>
    <w:p w14:paraId="67C8C0A1" w14:textId="2A0B876D" w:rsidR="007853BE" w:rsidRPr="003B6C6E" w:rsidRDefault="007853BE" w:rsidP="007853BE">
      <w:r w:rsidRPr="005919B4">
        <w:rPr>
          <w:b/>
        </w:rPr>
        <w:t>Medzi školskými rokmi 2017/18 a 2018/19 nepokračovalo v štúdiu na strednej škole takmer 5-násobne viac žiakov so ZZ (16,3 %) v porovnaní so žiakmi bez ZZ (3,3 %).</w:t>
      </w:r>
      <w:r>
        <w:t xml:space="preserve"> </w:t>
      </w:r>
      <w:r w:rsidRPr="00AA215C">
        <w:rPr>
          <w:b/>
        </w:rPr>
        <w:t>V rámci bežného prúdu</w:t>
      </w:r>
      <w:r>
        <w:t xml:space="preserve"> </w:t>
      </w:r>
      <w:r>
        <w:rPr>
          <w:b/>
        </w:rPr>
        <w:t>pokračovali takmer všetci žiaci</w:t>
      </w:r>
      <w:r w:rsidRPr="005919B4">
        <w:rPr>
          <w:b/>
        </w:rPr>
        <w:t xml:space="preserve"> so ZZ </w:t>
      </w:r>
      <w:r>
        <w:rPr>
          <w:b/>
        </w:rPr>
        <w:t xml:space="preserve">(okrem žiakov s MP) v štúdiu na </w:t>
      </w:r>
      <w:r w:rsidRPr="005919B4">
        <w:rPr>
          <w:b/>
        </w:rPr>
        <w:t>stredných</w:t>
      </w:r>
      <w:r>
        <w:rPr>
          <w:b/>
        </w:rPr>
        <w:t xml:space="preserve"> odborných</w:t>
      </w:r>
      <w:r w:rsidRPr="005919B4">
        <w:rPr>
          <w:b/>
        </w:rPr>
        <w:t xml:space="preserve"> školách (</w:t>
      </w:r>
      <w:r>
        <w:rPr>
          <w:b/>
        </w:rPr>
        <w:t xml:space="preserve">95,6 </w:t>
      </w:r>
      <w:r w:rsidRPr="005919B4">
        <w:rPr>
          <w:b/>
        </w:rPr>
        <w:t>%).</w:t>
      </w:r>
      <w:r>
        <w:rPr>
          <w:b/>
        </w:rPr>
        <w:t xml:space="preserve"> </w:t>
      </w:r>
      <w:r w:rsidRPr="00783318">
        <w:t>V štúdiu na gymnáziách pokračovalo 5-krát menej žiakov so ZZ (okrem žiakov s MP) (5,</w:t>
      </w:r>
      <w:r>
        <w:t>3</w:t>
      </w:r>
      <w:r w:rsidRPr="00783318">
        <w:t xml:space="preserve"> %) v porovnaní s populáciou žiakov bez ZZ (26,5 %). V špeciálnych stredných odborných školách určených pre žiakov so ZZ (okrem žiakov s MP) pokračovalo vo vzdelávaní 1,8 % zo všetkých žiakov so ZZ pokračujúcich v štúdiu na stredných školách. </w:t>
      </w:r>
      <w:r>
        <w:rPr>
          <w:bCs/>
        </w:rPr>
        <w:t>V</w:t>
      </w:r>
      <w:r w:rsidRPr="00783318">
        <w:t xml:space="preserve">äčšina žiakov s MP </w:t>
      </w:r>
      <w:r>
        <w:t xml:space="preserve">pokračovala </w:t>
      </w:r>
      <w:r w:rsidRPr="00783318">
        <w:t xml:space="preserve">vo vzdelávaní v odborných učilištiach (78 %) a menej ako pätina v praktických školách (22 %). </w:t>
      </w:r>
      <w:r>
        <w:t>Podrobné údaje v členení podľa vzdelávacích prúdov a jednotlivých druhov ZZ sú dostupné v </w:t>
      </w:r>
      <w:r w:rsidR="00E7619A">
        <w:fldChar w:fldCharType="begin"/>
      </w:r>
      <w:r w:rsidR="00E7619A">
        <w:instrText xml:space="preserve"> REF _Ref34215032 \h  \* MERGEFORMAT </w:instrText>
      </w:r>
      <w:r w:rsidR="00E7619A">
        <w:fldChar w:fldCharType="separate"/>
      </w:r>
      <w:r w:rsidR="00FA29AF" w:rsidRPr="00FA29AF">
        <w:t>Príloha 29</w:t>
      </w:r>
      <w:r w:rsidR="00E7619A">
        <w:fldChar w:fldCharType="end"/>
      </w:r>
      <w:r>
        <w:t>.</w:t>
      </w:r>
    </w:p>
    <w:p w14:paraId="7FCBEEEB" w14:textId="40F9F087" w:rsidR="008E166F" w:rsidRPr="0013631B" w:rsidRDefault="008E166F" w:rsidP="008E166F">
      <w:r>
        <w:rPr>
          <w:b/>
        </w:rPr>
        <w:t>V roku 2018 sa takmer dve tretiny žiakov stredných škôl so ZZ (61 %) vzdelávali v integrácii. Neplatí to však o žiakoch s niektorými druhmi zdravotného znevýhodnenia (</w:t>
      </w:r>
      <w:r w:rsidR="00D76EAE" w:rsidRPr="00D76EAE">
        <w:rPr>
          <w:b/>
          <w:highlight w:val="yellow"/>
        </w:rPr>
        <w:fldChar w:fldCharType="begin"/>
      </w:r>
      <w:r w:rsidR="00D76EAE" w:rsidRPr="00D76EAE">
        <w:rPr>
          <w:b/>
        </w:rPr>
        <w:instrText xml:space="preserve"> REF _Ref25748611 \h </w:instrText>
      </w:r>
      <w:r w:rsidR="00D76EAE" w:rsidRPr="00D76EAE">
        <w:rPr>
          <w:b/>
          <w:highlight w:val="yellow"/>
        </w:rPr>
        <w:instrText xml:space="preserve"> \* MERGEFORMAT </w:instrText>
      </w:r>
      <w:r w:rsidR="00D76EAE" w:rsidRPr="00D76EAE">
        <w:rPr>
          <w:b/>
          <w:highlight w:val="yellow"/>
        </w:rPr>
      </w:r>
      <w:r w:rsidR="00D76EAE" w:rsidRPr="00D76EAE">
        <w:rPr>
          <w:b/>
          <w:highlight w:val="yellow"/>
        </w:rPr>
        <w:fldChar w:fldCharType="separate"/>
      </w:r>
      <w:r w:rsidR="00FA29AF" w:rsidRPr="00FA29AF">
        <w:rPr>
          <w:b/>
        </w:rPr>
        <w:t>Graf 29</w:t>
      </w:r>
      <w:r w:rsidR="00D76EAE" w:rsidRPr="00D76EAE">
        <w:rPr>
          <w:b/>
          <w:highlight w:val="yellow"/>
        </w:rPr>
        <w:fldChar w:fldCharType="end"/>
      </w:r>
      <w:r w:rsidRPr="00D76EAE">
        <w:rPr>
          <w:b/>
        </w:rPr>
        <w:t>)</w:t>
      </w:r>
      <w:r>
        <w:rPr>
          <w:b/>
        </w:rPr>
        <w:t xml:space="preserve">. </w:t>
      </w:r>
      <w:r w:rsidR="007853BE">
        <w:t xml:space="preserve">Špeciálnu triedu pre žiakov so ZZ nemala v roku 2018 zriadenú ani jedna bežná stredná škola. Podiel žiakov so ZZ v integrácii na všetkých žiakoch SŠ v čase stúpa, podiel žiakov vzdelávaných v špeciálnych stredných školách je od roku 2014 </w:t>
      </w:r>
      <w:r w:rsidR="007853BE" w:rsidRPr="0013631B">
        <w:t>ustálený</w:t>
      </w:r>
      <w:r w:rsidRPr="0013631B">
        <w:t xml:space="preserve"> (</w:t>
      </w:r>
      <w:r w:rsidR="004D5CFE" w:rsidRPr="0013631B">
        <w:fldChar w:fldCharType="begin"/>
      </w:r>
      <w:r w:rsidR="004D5CFE" w:rsidRPr="0013631B">
        <w:instrText xml:space="preserve"> REF _Ref34320332 \h  \* MERGEFORMAT </w:instrText>
      </w:r>
      <w:r w:rsidR="004D5CFE" w:rsidRPr="0013631B">
        <w:fldChar w:fldCharType="separate"/>
      </w:r>
      <w:r w:rsidR="00FA29AF" w:rsidRPr="00FA29AF">
        <w:t>Príloha</w:t>
      </w:r>
      <w:r w:rsidR="00FA29AF" w:rsidRPr="002B2CCB">
        <w:rPr>
          <w:b/>
          <w:color w:val="2E74B5" w:themeColor="accent1" w:themeShade="BF"/>
        </w:rPr>
        <w:t xml:space="preserve"> </w:t>
      </w:r>
      <w:r w:rsidR="00FA29AF">
        <w:rPr>
          <w:b/>
          <w:noProof/>
          <w:color w:val="2E74B5" w:themeColor="accent1" w:themeShade="BF"/>
        </w:rPr>
        <w:t>30</w:t>
      </w:r>
      <w:r w:rsidR="004D5CFE" w:rsidRPr="0013631B">
        <w:fldChar w:fldCharType="end"/>
      </w:r>
      <w:r w:rsidRPr="0013631B">
        <w:t>).</w:t>
      </w:r>
    </w:p>
    <w:tbl>
      <w:tblPr>
        <w:tblW w:w="0" w:type="auto"/>
        <w:tblLook w:val="04A0" w:firstRow="1" w:lastRow="0" w:firstColumn="1" w:lastColumn="0" w:noHBand="0" w:noVBand="1"/>
      </w:tblPr>
      <w:tblGrid>
        <w:gridCol w:w="6472"/>
        <w:gridCol w:w="2554"/>
      </w:tblGrid>
      <w:tr w:rsidR="008E166F" w14:paraId="1D39FFD7" w14:textId="77777777" w:rsidTr="00137FC6">
        <w:tc>
          <w:tcPr>
            <w:tcW w:w="9062" w:type="dxa"/>
            <w:gridSpan w:val="2"/>
            <w:tcBorders>
              <w:top w:val="nil"/>
              <w:left w:val="nil"/>
              <w:bottom w:val="single" w:sz="4" w:space="0" w:color="auto"/>
              <w:right w:val="nil"/>
            </w:tcBorders>
          </w:tcPr>
          <w:p w14:paraId="4D99B823" w14:textId="682D053D" w:rsidR="008E166F" w:rsidRPr="00D76EAE" w:rsidRDefault="00D76EAE" w:rsidP="004B2E4E">
            <w:pPr>
              <w:pStyle w:val="Popis"/>
              <w:keepNext/>
              <w:spacing w:after="0"/>
              <w:jc w:val="left"/>
              <w:rPr>
                <w:b/>
                <w:i w:val="0"/>
                <w:sz w:val="20"/>
                <w:szCs w:val="20"/>
              </w:rPr>
            </w:pPr>
            <w:bookmarkStart w:id="433" w:name="_Ref25748611"/>
            <w:bookmarkStart w:id="434" w:name="_Toc34157587"/>
            <w:r w:rsidRPr="00D76EAE">
              <w:rPr>
                <w:b/>
                <w:i w:val="0"/>
                <w:color w:val="auto"/>
                <w:sz w:val="20"/>
                <w:szCs w:val="20"/>
              </w:rPr>
              <w:t xml:space="preserve">Graf </w:t>
            </w:r>
            <w:r w:rsidRPr="00D76EAE">
              <w:rPr>
                <w:b/>
                <w:i w:val="0"/>
                <w:color w:val="auto"/>
                <w:sz w:val="20"/>
                <w:szCs w:val="20"/>
              </w:rPr>
              <w:fldChar w:fldCharType="begin"/>
            </w:r>
            <w:r w:rsidRPr="00D76EAE">
              <w:rPr>
                <w:b/>
                <w:i w:val="0"/>
                <w:color w:val="auto"/>
                <w:sz w:val="20"/>
                <w:szCs w:val="20"/>
              </w:rPr>
              <w:instrText xml:space="preserve"> SEQ Graf \* ARABIC </w:instrText>
            </w:r>
            <w:r w:rsidRPr="00D76EAE">
              <w:rPr>
                <w:b/>
                <w:i w:val="0"/>
                <w:color w:val="auto"/>
                <w:sz w:val="20"/>
                <w:szCs w:val="20"/>
              </w:rPr>
              <w:fldChar w:fldCharType="separate"/>
            </w:r>
            <w:r w:rsidR="00FA29AF">
              <w:rPr>
                <w:b/>
                <w:i w:val="0"/>
                <w:noProof/>
                <w:color w:val="auto"/>
                <w:sz w:val="20"/>
                <w:szCs w:val="20"/>
              </w:rPr>
              <w:t>29</w:t>
            </w:r>
            <w:r w:rsidRPr="00D76EAE">
              <w:rPr>
                <w:b/>
                <w:i w:val="0"/>
                <w:color w:val="auto"/>
                <w:sz w:val="20"/>
                <w:szCs w:val="20"/>
              </w:rPr>
              <w:fldChar w:fldCharType="end"/>
            </w:r>
            <w:bookmarkEnd w:id="433"/>
            <w:r w:rsidRPr="00D76EAE">
              <w:rPr>
                <w:b/>
                <w:i w:val="0"/>
                <w:color w:val="auto"/>
                <w:sz w:val="20"/>
                <w:szCs w:val="20"/>
              </w:rPr>
              <w:t>:</w:t>
            </w:r>
            <w:r w:rsidR="008E166F" w:rsidRPr="00D76EAE">
              <w:rPr>
                <w:b/>
                <w:i w:val="0"/>
                <w:color w:val="auto"/>
                <w:sz w:val="20"/>
                <w:szCs w:val="20"/>
              </w:rPr>
              <w:t xml:space="preserve"> Podiel žiakov s jednotlivými druhmi </w:t>
            </w:r>
            <w:r w:rsidR="004B2E4E">
              <w:rPr>
                <w:b/>
                <w:i w:val="0"/>
                <w:color w:val="auto"/>
                <w:sz w:val="20"/>
                <w:szCs w:val="20"/>
              </w:rPr>
              <w:t>ZZ</w:t>
            </w:r>
            <w:r w:rsidR="008E166F" w:rsidRPr="00D76EAE">
              <w:rPr>
                <w:b/>
                <w:i w:val="0"/>
                <w:color w:val="auto"/>
                <w:sz w:val="20"/>
                <w:szCs w:val="20"/>
              </w:rPr>
              <w:t xml:space="preserve"> v bežných a špeciálnych stredných školách, 2018</w:t>
            </w:r>
            <w:bookmarkEnd w:id="434"/>
          </w:p>
        </w:tc>
      </w:tr>
      <w:tr w:rsidR="008E166F" w14:paraId="2EF9A410" w14:textId="77777777" w:rsidTr="00137FC6">
        <w:tc>
          <w:tcPr>
            <w:tcW w:w="9062" w:type="dxa"/>
            <w:gridSpan w:val="2"/>
            <w:tcBorders>
              <w:top w:val="single" w:sz="4" w:space="0" w:color="auto"/>
              <w:left w:val="nil"/>
              <w:bottom w:val="single" w:sz="4" w:space="0" w:color="auto"/>
              <w:right w:val="nil"/>
            </w:tcBorders>
          </w:tcPr>
          <w:p w14:paraId="5518AEE0" w14:textId="77777777" w:rsidR="008E166F" w:rsidRDefault="008E166F" w:rsidP="00B35CF6">
            <w:pPr>
              <w:spacing w:after="0"/>
            </w:pPr>
            <w:r>
              <w:rPr>
                <w:noProof/>
                <w:lang w:eastAsia="sk-SK"/>
              </w:rPr>
              <w:drawing>
                <wp:inline distT="0" distB="0" distL="0" distR="0" wp14:anchorId="54CCE1AF" wp14:editId="5E80662B">
                  <wp:extent cx="5676900" cy="2114550"/>
                  <wp:effectExtent l="0" t="0" r="0" b="0"/>
                  <wp:docPr id="33" name="Graf 3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EB0DB732-888D-4088-85DC-EC42134338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8E166F" w14:paraId="38A94161" w14:textId="77777777" w:rsidTr="00137FC6">
        <w:tc>
          <w:tcPr>
            <w:tcW w:w="6663" w:type="dxa"/>
            <w:tcBorders>
              <w:top w:val="single" w:sz="4" w:space="0" w:color="auto"/>
              <w:left w:val="nil"/>
              <w:bottom w:val="nil"/>
              <w:right w:val="nil"/>
            </w:tcBorders>
          </w:tcPr>
          <w:p w14:paraId="3A17C7BD" w14:textId="5F820E31" w:rsidR="008E166F" w:rsidRPr="00552F3B" w:rsidRDefault="008E166F" w:rsidP="00B35CF6">
            <w:pPr>
              <w:spacing w:before="20" w:after="0"/>
              <w:rPr>
                <w:i/>
                <w:szCs w:val="18"/>
              </w:rPr>
            </w:pPr>
            <w:r w:rsidRPr="00A47998">
              <w:rPr>
                <w:i/>
                <w:sz w:val="18"/>
                <w:szCs w:val="18"/>
              </w:rPr>
              <w:t>V populácii žiakov s mentálnym postihnutím sú započítaní žiaci s mentálnym postihnutím vrátane mentálneho postihnutia v kombinácii s iným zdravotnými znevýhodneniami. V populácii žiakov s autizmom sú započítaní iba žiaci s autizmom bez mentálneho postihnutia.</w:t>
            </w:r>
            <w:r w:rsidR="007853BE" w:rsidRPr="00A47998">
              <w:rPr>
                <w:i/>
                <w:sz w:val="18"/>
                <w:szCs w:val="18"/>
              </w:rPr>
              <w:t xml:space="preserve"> </w:t>
            </w:r>
            <w:r w:rsidR="007853BE">
              <w:rPr>
                <w:i/>
                <w:sz w:val="18"/>
                <w:szCs w:val="18"/>
              </w:rPr>
              <w:t>Pod označením špeciálne školy sa majú v grafe na mysli aj odborné učilištia a praktické školy pre žiakov s MP.</w:t>
            </w:r>
          </w:p>
        </w:tc>
        <w:tc>
          <w:tcPr>
            <w:tcW w:w="2399" w:type="dxa"/>
            <w:tcBorders>
              <w:top w:val="single" w:sz="4" w:space="0" w:color="auto"/>
              <w:left w:val="nil"/>
              <w:bottom w:val="nil"/>
              <w:right w:val="nil"/>
            </w:tcBorders>
          </w:tcPr>
          <w:p w14:paraId="3D5673E7" w14:textId="77777777" w:rsidR="008E166F" w:rsidRDefault="008E166F" w:rsidP="00B35CF6">
            <w:pPr>
              <w:spacing w:before="20" w:after="0"/>
              <w:jc w:val="right"/>
              <w:rPr>
                <w:sz w:val="18"/>
              </w:rPr>
            </w:pPr>
            <w:r w:rsidRPr="00A47998">
              <w:rPr>
                <w:i/>
                <w:sz w:val="18"/>
                <w:szCs w:val="18"/>
              </w:rPr>
              <w:t>Zdroj: Vlastné prepočty IVP na základe dát CVTI (2017, 2018).</w:t>
            </w:r>
          </w:p>
        </w:tc>
      </w:tr>
    </w:tbl>
    <w:p w14:paraId="766A875D" w14:textId="31931357" w:rsidR="008E166F" w:rsidRDefault="008E166F" w:rsidP="00DD7ED3">
      <w:pPr>
        <w:spacing w:before="120"/>
      </w:pPr>
      <w:r>
        <w:rPr>
          <w:b/>
        </w:rPr>
        <w:t>V porovnaní so žiakmi bez ZZ sú žiaci so ZZ viac zastúpení v stredných odborných školách a menej na gymnáziách. Na gymnáziách je ich zastúpenie takmer 2,5-násobne nižšie (</w:t>
      </w:r>
      <w:r w:rsidR="00BF76AA" w:rsidRPr="00BF76AA">
        <w:rPr>
          <w:b/>
        </w:rPr>
        <w:fldChar w:fldCharType="begin"/>
      </w:r>
      <w:r w:rsidR="00BF76AA" w:rsidRPr="00BF76AA">
        <w:rPr>
          <w:b/>
        </w:rPr>
        <w:instrText xml:space="preserve"> REF _Ref25748733 \h  \* MERGEFORMAT </w:instrText>
      </w:r>
      <w:r w:rsidR="00BF76AA" w:rsidRPr="00BF76AA">
        <w:rPr>
          <w:b/>
        </w:rPr>
      </w:r>
      <w:r w:rsidR="00BF76AA" w:rsidRPr="00BF76AA">
        <w:rPr>
          <w:b/>
        </w:rPr>
        <w:fldChar w:fldCharType="separate"/>
      </w:r>
      <w:r w:rsidR="00FA29AF" w:rsidRPr="00FA29AF">
        <w:rPr>
          <w:b/>
        </w:rPr>
        <w:t>Tabuľka 21</w:t>
      </w:r>
      <w:r w:rsidR="00BF76AA" w:rsidRPr="00BF76AA">
        <w:rPr>
          <w:b/>
        </w:rPr>
        <w:fldChar w:fldCharType="end"/>
      </w:r>
      <w:r>
        <w:rPr>
          <w:b/>
        </w:rPr>
        <w:t xml:space="preserve">). </w:t>
      </w:r>
      <w:r w:rsidRPr="004E34ED">
        <w:t>Aspoň jeden žiak so ZZ sa vzdelával na troch štvrtinách gymnázií (76 %), na každom konzervatóriu (100 %) a na 86 % stredných odborných škôl.</w:t>
      </w:r>
      <w:r>
        <w:rPr>
          <w:rStyle w:val="Odkaznapoznmkupodiarou"/>
        </w:rPr>
        <w:footnoteReference w:id="283"/>
      </w:r>
      <w:r w:rsidRPr="004E34ED">
        <w:t xml:space="preserve"> </w:t>
      </w:r>
    </w:p>
    <w:p w14:paraId="56B0B1FA" w14:textId="02A2C091" w:rsidR="00BF76AA" w:rsidRPr="00BF76AA" w:rsidRDefault="00BF76AA" w:rsidP="00BF76AA">
      <w:pPr>
        <w:pStyle w:val="Popis"/>
        <w:keepNext/>
        <w:spacing w:after="0"/>
        <w:rPr>
          <w:b/>
          <w:i w:val="0"/>
          <w:color w:val="auto"/>
          <w:sz w:val="20"/>
          <w:szCs w:val="20"/>
        </w:rPr>
      </w:pPr>
      <w:bookmarkStart w:id="435" w:name="_Ref25748733"/>
      <w:bookmarkStart w:id="436" w:name="_Toc34156860"/>
      <w:r w:rsidRPr="00BF76AA">
        <w:rPr>
          <w:b/>
          <w:i w:val="0"/>
          <w:color w:val="auto"/>
          <w:sz w:val="20"/>
          <w:szCs w:val="20"/>
        </w:rPr>
        <w:t xml:space="preserve">Tabuľka </w:t>
      </w:r>
      <w:r w:rsidRPr="00BF76AA">
        <w:rPr>
          <w:b/>
          <w:i w:val="0"/>
          <w:color w:val="auto"/>
          <w:sz w:val="20"/>
          <w:szCs w:val="20"/>
        </w:rPr>
        <w:fldChar w:fldCharType="begin"/>
      </w:r>
      <w:r w:rsidRPr="00BF76AA">
        <w:rPr>
          <w:b/>
          <w:i w:val="0"/>
          <w:color w:val="auto"/>
          <w:sz w:val="20"/>
          <w:szCs w:val="20"/>
        </w:rPr>
        <w:instrText xml:space="preserve"> SEQ Tabuľka \* ARABIC </w:instrText>
      </w:r>
      <w:r w:rsidRPr="00BF76AA">
        <w:rPr>
          <w:b/>
          <w:i w:val="0"/>
          <w:color w:val="auto"/>
          <w:sz w:val="20"/>
          <w:szCs w:val="20"/>
        </w:rPr>
        <w:fldChar w:fldCharType="separate"/>
      </w:r>
      <w:r w:rsidR="00FA29AF">
        <w:rPr>
          <w:b/>
          <w:i w:val="0"/>
          <w:noProof/>
          <w:color w:val="auto"/>
          <w:sz w:val="20"/>
          <w:szCs w:val="20"/>
        </w:rPr>
        <w:t>21</w:t>
      </w:r>
      <w:r w:rsidRPr="00BF76AA">
        <w:rPr>
          <w:b/>
          <w:i w:val="0"/>
          <w:color w:val="auto"/>
          <w:sz w:val="20"/>
          <w:szCs w:val="20"/>
        </w:rPr>
        <w:fldChar w:fldCharType="end"/>
      </w:r>
      <w:bookmarkEnd w:id="435"/>
      <w:r w:rsidRPr="00BF76AA">
        <w:rPr>
          <w:b/>
          <w:i w:val="0"/>
          <w:color w:val="auto"/>
          <w:sz w:val="20"/>
          <w:szCs w:val="20"/>
        </w:rPr>
        <w:t>:</w:t>
      </w:r>
      <w:r w:rsidRPr="00BF76AA">
        <w:rPr>
          <w:b/>
          <w:bCs/>
          <w:i w:val="0"/>
          <w:color w:val="auto"/>
          <w:sz w:val="20"/>
          <w:szCs w:val="20"/>
        </w:rPr>
        <w:t xml:space="preserve"> Zastúpenie žiakov bez ZZ a so ZZ na jednotlivých druhoch bežných stredných škôl</w:t>
      </w:r>
      <w:r w:rsidR="004D5EBE">
        <w:rPr>
          <w:b/>
          <w:bCs/>
          <w:i w:val="0"/>
          <w:color w:val="auto"/>
          <w:sz w:val="20"/>
          <w:szCs w:val="20"/>
        </w:rPr>
        <w:t xml:space="preserve"> (%)</w:t>
      </w:r>
      <w:bookmarkEnd w:id="436"/>
    </w:p>
    <w:tbl>
      <w:tblPr>
        <w:tblW w:w="5000" w:type="pct"/>
        <w:tblCellMar>
          <w:left w:w="70" w:type="dxa"/>
          <w:right w:w="70" w:type="dxa"/>
        </w:tblCellMar>
        <w:tblLook w:val="04A0" w:firstRow="1" w:lastRow="0" w:firstColumn="1" w:lastColumn="0" w:noHBand="0" w:noVBand="1"/>
      </w:tblPr>
      <w:tblGrid>
        <w:gridCol w:w="4334"/>
        <w:gridCol w:w="2439"/>
        <w:gridCol w:w="2253"/>
      </w:tblGrid>
      <w:tr w:rsidR="008E166F" w:rsidRPr="00C62D5C" w14:paraId="61E78FDF" w14:textId="77777777" w:rsidTr="00DD25B0">
        <w:trPr>
          <w:trHeight w:val="300"/>
        </w:trPr>
        <w:tc>
          <w:tcPr>
            <w:tcW w:w="2401" w:type="pct"/>
            <w:tcBorders>
              <w:top w:val="single" w:sz="4" w:space="0" w:color="auto"/>
              <w:left w:val="nil"/>
              <w:bottom w:val="single" w:sz="4" w:space="0" w:color="auto"/>
            </w:tcBorders>
            <w:shd w:val="clear" w:color="auto" w:fill="auto"/>
            <w:noWrap/>
            <w:vAlign w:val="bottom"/>
            <w:hideMark/>
          </w:tcPr>
          <w:p w14:paraId="4BFE0B12" w14:textId="77777777" w:rsidR="008E166F" w:rsidRPr="00C62D5C" w:rsidRDefault="008E166F" w:rsidP="00B35CF6">
            <w:pPr>
              <w:spacing w:after="0" w:line="240" w:lineRule="auto"/>
              <w:jc w:val="left"/>
              <w:rPr>
                <w:rFonts w:eastAsia="Times New Roman" w:cs="Calibri"/>
                <w:color w:val="000000"/>
                <w:sz w:val="20"/>
                <w:lang w:eastAsia="sk-SK"/>
              </w:rPr>
            </w:pPr>
            <w:r w:rsidRPr="00C62D5C">
              <w:rPr>
                <w:rFonts w:eastAsia="Times New Roman" w:cs="Calibri"/>
                <w:color w:val="000000"/>
                <w:sz w:val="20"/>
                <w:lang w:eastAsia="sk-SK"/>
              </w:rPr>
              <w:t> </w:t>
            </w:r>
          </w:p>
        </w:tc>
        <w:tc>
          <w:tcPr>
            <w:tcW w:w="1351" w:type="pct"/>
            <w:tcBorders>
              <w:top w:val="single" w:sz="4" w:space="0" w:color="auto"/>
              <w:bottom w:val="single" w:sz="4" w:space="0" w:color="auto"/>
              <w:right w:val="nil"/>
            </w:tcBorders>
            <w:shd w:val="clear" w:color="auto" w:fill="auto"/>
            <w:noWrap/>
            <w:vAlign w:val="center"/>
            <w:hideMark/>
          </w:tcPr>
          <w:p w14:paraId="6BFB8C46" w14:textId="77777777" w:rsidR="008E166F" w:rsidRPr="00C62D5C" w:rsidRDefault="008E166F" w:rsidP="004D5EBE">
            <w:pPr>
              <w:spacing w:after="0" w:line="240" w:lineRule="auto"/>
              <w:jc w:val="right"/>
              <w:rPr>
                <w:rFonts w:eastAsia="Times New Roman" w:cs="Calibri"/>
                <w:b/>
                <w:bCs/>
                <w:color w:val="000000"/>
                <w:sz w:val="20"/>
                <w:lang w:eastAsia="sk-SK"/>
              </w:rPr>
            </w:pPr>
            <w:r w:rsidRPr="00C62D5C">
              <w:rPr>
                <w:rFonts w:eastAsia="Times New Roman" w:cs="Calibri"/>
                <w:b/>
                <w:bCs/>
                <w:color w:val="000000"/>
                <w:sz w:val="20"/>
                <w:lang w:eastAsia="sk-SK"/>
              </w:rPr>
              <w:t>Žiaci bez ZZ</w:t>
            </w:r>
          </w:p>
        </w:tc>
        <w:tc>
          <w:tcPr>
            <w:tcW w:w="1248" w:type="pct"/>
            <w:tcBorders>
              <w:top w:val="single" w:sz="4" w:space="0" w:color="auto"/>
              <w:left w:val="nil"/>
              <w:bottom w:val="single" w:sz="4" w:space="0" w:color="auto"/>
              <w:right w:val="nil"/>
            </w:tcBorders>
            <w:shd w:val="clear" w:color="auto" w:fill="auto"/>
            <w:noWrap/>
            <w:vAlign w:val="center"/>
            <w:hideMark/>
          </w:tcPr>
          <w:p w14:paraId="2C41585C" w14:textId="77777777" w:rsidR="008E166F" w:rsidRPr="00C62D5C" w:rsidRDefault="008E166F" w:rsidP="004D5EBE">
            <w:pPr>
              <w:spacing w:after="0" w:line="240" w:lineRule="auto"/>
              <w:jc w:val="right"/>
              <w:rPr>
                <w:rFonts w:eastAsia="Times New Roman" w:cs="Calibri"/>
                <w:b/>
                <w:bCs/>
                <w:color w:val="000000"/>
                <w:sz w:val="20"/>
                <w:lang w:eastAsia="sk-SK"/>
              </w:rPr>
            </w:pPr>
            <w:r w:rsidRPr="00C62D5C">
              <w:rPr>
                <w:rFonts w:eastAsia="Times New Roman" w:cs="Calibri"/>
                <w:b/>
                <w:bCs/>
                <w:color w:val="000000"/>
                <w:sz w:val="20"/>
                <w:lang w:eastAsia="sk-SK"/>
              </w:rPr>
              <w:t>Žiaci so ZZ</w:t>
            </w:r>
          </w:p>
        </w:tc>
      </w:tr>
      <w:tr w:rsidR="008E166F" w:rsidRPr="00C62D5C" w14:paraId="20422550" w14:textId="77777777" w:rsidTr="00DD25B0">
        <w:trPr>
          <w:trHeight w:val="300"/>
        </w:trPr>
        <w:tc>
          <w:tcPr>
            <w:tcW w:w="2401" w:type="pct"/>
            <w:tcBorders>
              <w:top w:val="single" w:sz="4" w:space="0" w:color="auto"/>
              <w:left w:val="nil"/>
              <w:bottom w:val="nil"/>
            </w:tcBorders>
            <w:shd w:val="clear" w:color="auto" w:fill="auto"/>
            <w:noWrap/>
            <w:vAlign w:val="center"/>
            <w:hideMark/>
          </w:tcPr>
          <w:p w14:paraId="0B873EAC" w14:textId="77777777" w:rsidR="008E166F" w:rsidRPr="00751DBF" w:rsidRDefault="008E166F" w:rsidP="00BF76AA">
            <w:pPr>
              <w:spacing w:after="0" w:line="240" w:lineRule="auto"/>
              <w:jc w:val="left"/>
              <w:rPr>
                <w:rFonts w:eastAsia="Times New Roman" w:cs="Calibri"/>
                <w:bCs/>
                <w:color w:val="000000"/>
                <w:sz w:val="20"/>
                <w:lang w:eastAsia="sk-SK"/>
              </w:rPr>
            </w:pPr>
            <w:r w:rsidRPr="00751DBF">
              <w:rPr>
                <w:rFonts w:eastAsia="Times New Roman" w:cs="Calibri"/>
                <w:bCs/>
                <w:color w:val="000000"/>
                <w:sz w:val="20"/>
                <w:lang w:eastAsia="sk-SK"/>
              </w:rPr>
              <w:t>Gymnáziá</w:t>
            </w:r>
          </w:p>
        </w:tc>
        <w:tc>
          <w:tcPr>
            <w:tcW w:w="1351" w:type="pct"/>
            <w:tcBorders>
              <w:top w:val="single" w:sz="4" w:space="0" w:color="auto"/>
              <w:bottom w:val="nil"/>
              <w:right w:val="nil"/>
            </w:tcBorders>
            <w:shd w:val="clear" w:color="auto" w:fill="auto"/>
            <w:noWrap/>
            <w:vAlign w:val="center"/>
            <w:hideMark/>
          </w:tcPr>
          <w:p w14:paraId="5E7C0C19" w14:textId="22B4738C" w:rsidR="008E166F" w:rsidRPr="00C62D5C" w:rsidRDefault="008E166F" w:rsidP="004D5EBE">
            <w:pPr>
              <w:spacing w:after="0" w:line="240" w:lineRule="auto"/>
              <w:jc w:val="right"/>
              <w:rPr>
                <w:rFonts w:eastAsia="Times New Roman" w:cs="Calibri"/>
                <w:color w:val="000000"/>
                <w:sz w:val="20"/>
                <w:lang w:eastAsia="sk-SK"/>
              </w:rPr>
            </w:pPr>
            <w:r w:rsidRPr="00C62D5C">
              <w:rPr>
                <w:rFonts w:eastAsia="Times New Roman" w:cs="Calibri"/>
                <w:color w:val="000000"/>
                <w:sz w:val="20"/>
                <w:lang w:eastAsia="sk-SK"/>
              </w:rPr>
              <w:t>35,2</w:t>
            </w:r>
          </w:p>
        </w:tc>
        <w:tc>
          <w:tcPr>
            <w:tcW w:w="1248" w:type="pct"/>
            <w:tcBorders>
              <w:top w:val="single" w:sz="4" w:space="0" w:color="auto"/>
              <w:left w:val="nil"/>
              <w:bottom w:val="nil"/>
              <w:right w:val="nil"/>
            </w:tcBorders>
            <w:shd w:val="clear" w:color="auto" w:fill="auto"/>
            <w:noWrap/>
            <w:vAlign w:val="center"/>
            <w:hideMark/>
          </w:tcPr>
          <w:p w14:paraId="57E8FD16" w14:textId="7FC18A29" w:rsidR="008E166F" w:rsidRPr="00C62D5C" w:rsidRDefault="008E166F" w:rsidP="004D5EBE">
            <w:pPr>
              <w:spacing w:after="0" w:line="240" w:lineRule="auto"/>
              <w:jc w:val="right"/>
              <w:rPr>
                <w:rFonts w:eastAsia="Times New Roman" w:cs="Calibri"/>
                <w:color w:val="000000"/>
                <w:sz w:val="20"/>
                <w:lang w:eastAsia="sk-SK"/>
              </w:rPr>
            </w:pPr>
            <w:r w:rsidRPr="00C62D5C">
              <w:rPr>
                <w:rFonts w:eastAsia="Times New Roman" w:cs="Calibri"/>
                <w:color w:val="000000"/>
                <w:sz w:val="20"/>
                <w:lang w:eastAsia="sk-SK"/>
              </w:rPr>
              <w:t>14,4</w:t>
            </w:r>
          </w:p>
        </w:tc>
      </w:tr>
      <w:tr w:rsidR="008E166F" w:rsidRPr="00C62D5C" w14:paraId="0BD6804B" w14:textId="77777777" w:rsidTr="00DD25B0">
        <w:trPr>
          <w:trHeight w:val="300"/>
        </w:trPr>
        <w:tc>
          <w:tcPr>
            <w:tcW w:w="2401" w:type="pct"/>
            <w:tcBorders>
              <w:top w:val="nil"/>
              <w:left w:val="nil"/>
            </w:tcBorders>
            <w:shd w:val="clear" w:color="auto" w:fill="auto"/>
            <w:noWrap/>
            <w:vAlign w:val="center"/>
            <w:hideMark/>
          </w:tcPr>
          <w:p w14:paraId="249E2C41" w14:textId="77777777" w:rsidR="008E166F" w:rsidRPr="00751DBF" w:rsidRDefault="008E166F" w:rsidP="00BF76AA">
            <w:pPr>
              <w:spacing w:after="0" w:line="240" w:lineRule="auto"/>
              <w:jc w:val="left"/>
              <w:rPr>
                <w:rFonts w:eastAsia="Times New Roman" w:cs="Calibri"/>
                <w:bCs/>
                <w:color w:val="000000"/>
                <w:sz w:val="20"/>
                <w:lang w:eastAsia="sk-SK"/>
              </w:rPr>
            </w:pPr>
            <w:r w:rsidRPr="00751DBF">
              <w:rPr>
                <w:rFonts w:eastAsia="Times New Roman" w:cs="Calibri"/>
                <w:bCs/>
                <w:color w:val="000000"/>
                <w:sz w:val="20"/>
                <w:lang w:eastAsia="sk-SK"/>
              </w:rPr>
              <w:t>Konzervatória</w:t>
            </w:r>
          </w:p>
        </w:tc>
        <w:tc>
          <w:tcPr>
            <w:tcW w:w="1351" w:type="pct"/>
            <w:tcBorders>
              <w:top w:val="nil"/>
              <w:right w:val="nil"/>
            </w:tcBorders>
            <w:shd w:val="clear" w:color="auto" w:fill="auto"/>
            <w:noWrap/>
            <w:vAlign w:val="center"/>
            <w:hideMark/>
          </w:tcPr>
          <w:p w14:paraId="63148A4F" w14:textId="3EDE51F6" w:rsidR="008E166F" w:rsidRPr="00C62D5C" w:rsidRDefault="008E166F" w:rsidP="004D5EBE">
            <w:pPr>
              <w:spacing w:after="0" w:line="240" w:lineRule="auto"/>
              <w:jc w:val="right"/>
              <w:rPr>
                <w:rFonts w:eastAsia="Times New Roman" w:cs="Calibri"/>
                <w:color w:val="000000"/>
                <w:sz w:val="20"/>
                <w:lang w:eastAsia="sk-SK"/>
              </w:rPr>
            </w:pPr>
            <w:r w:rsidRPr="00C62D5C">
              <w:rPr>
                <w:rFonts w:eastAsia="Times New Roman" w:cs="Calibri"/>
                <w:color w:val="000000"/>
                <w:sz w:val="20"/>
                <w:lang w:eastAsia="sk-SK"/>
              </w:rPr>
              <w:t>1,4</w:t>
            </w:r>
          </w:p>
        </w:tc>
        <w:tc>
          <w:tcPr>
            <w:tcW w:w="1248" w:type="pct"/>
            <w:tcBorders>
              <w:top w:val="nil"/>
              <w:left w:val="nil"/>
              <w:right w:val="nil"/>
            </w:tcBorders>
            <w:shd w:val="clear" w:color="auto" w:fill="auto"/>
            <w:noWrap/>
            <w:vAlign w:val="center"/>
            <w:hideMark/>
          </w:tcPr>
          <w:p w14:paraId="260AEA98" w14:textId="71FB2900" w:rsidR="008E166F" w:rsidRPr="00C62D5C" w:rsidRDefault="008E166F" w:rsidP="004D5EBE">
            <w:pPr>
              <w:spacing w:after="0" w:line="240" w:lineRule="auto"/>
              <w:jc w:val="right"/>
              <w:rPr>
                <w:rFonts w:eastAsia="Times New Roman" w:cs="Calibri"/>
                <w:color w:val="000000"/>
                <w:sz w:val="20"/>
                <w:lang w:eastAsia="sk-SK"/>
              </w:rPr>
            </w:pPr>
            <w:r w:rsidRPr="00C62D5C">
              <w:rPr>
                <w:rFonts w:eastAsia="Times New Roman" w:cs="Calibri"/>
                <w:color w:val="000000"/>
                <w:sz w:val="20"/>
                <w:lang w:eastAsia="sk-SK"/>
              </w:rPr>
              <w:t>1,0</w:t>
            </w:r>
          </w:p>
        </w:tc>
      </w:tr>
      <w:tr w:rsidR="008E166F" w:rsidRPr="00C62D5C" w14:paraId="74041BBA" w14:textId="77777777" w:rsidTr="004D5EBE">
        <w:trPr>
          <w:trHeight w:val="300"/>
        </w:trPr>
        <w:tc>
          <w:tcPr>
            <w:tcW w:w="2401" w:type="pct"/>
            <w:tcBorders>
              <w:top w:val="nil"/>
              <w:left w:val="nil"/>
              <w:bottom w:val="single" w:sz="4" w:space="0" w:color="auto"/>
            </w:tcBorders>
            <w:shd w:val="clear" w:color="auto" w:fill="auto"/>
            <w:noWrap/>
            <w:vAlign w:val="center"/>
            <w:hideMark/>
          </w:tcPr>
          <w:p w14:paraId="3F048421" w14:textId="77777777" w:rsidR="008E166F" w:rsidRPr="00751DBF" w:rsidRDefault="008E166F" w:rsidP="00BF76AA">
            <w:pPr>
              <w:spacing w:after="0" w:line="240" w:lineRule="auto"/>
              <w:jc w:val="left"/>
              <w:rPr>
                <w:rFonts w:eastAsia="Times New Roman" w:cs="Calibri"/>
                <w:bCs/>
                <w:color w:val="000000"/>
                <w:sz w:val="20"/>
                <w:lang w:eastAsia="sk-SK"/>
              </w:rPr>
            </w:pPr>
            <w:r w:rsidRPr="00751DBF">
              <w:rPr>
                <w:rFonts w:eastAsia="Times New Roman" w:cs="Calibri"/>
                <w:bCs/>
                <w:color w:val="000000"/>
                <w:sz w:val="20"/>
                <w:lang w:eastAsia="sk-SK"/>
              </w:rPr>
              <w:t>Stredné odborné školy</w:t>
            </w:r>
          </w:p>
        </w:tc>
        <w:tc>
          <w:tcPr>
            <w:tcW w:w="1351" w:type="pct"/>
            <w:tcBorders>
              <w:top w:val="nil"/>
              <w:bottom w:val="single" w:sz="4" w:space="0" w:color="auto"/>
              <w:right w:val="nil"/>
            </w:tcBorders>
            <w:shd w:val="clear" w:color="auto" w:fill="auto"/>
            <w:noWrap/>
            <w:vAlign w:val="center"/>
            <w:hideMark/>
          </w:tcPr>
          <w:p w14:paraId="2B4DB963" w14:textId="4B60CEA6" w:rsidR="008E166F" w:rsidRPr="00C62D5C" w:rsidRDefault="008E166F" w:rsidP="004D5EBE">
            <w:pPr>
              <w:spacing w:after="0" w:line="240" w:lineRule="auto"/>
              <w:jc w:val="right"/>
              <w:rPr>
                <w:rFonts w:eastAsia="Times New Roman" w:cs="Calibri"/>
                <w:color w:val="000000"/>
                <w:sz w:val="20"/>
                <w:lang w:eastAsia="sk-SK"/>
              </w:rPr>
            </w:pPr>
            <w:r w:rsidRPr="00C62D5C">
              <w:rPr>
                <w:rFonts w:eastAsia="Times New Roman" w:cs="Calibri"/>
                <w:color w:val="000000"/>
                <w:sz w:val="20"/>
                <w:lang w:eastAsia="sk-SK"/>
              </w:rPr>
              <w:t>63,4</w:t>
            </w:r>
          </w:p>
        </w:tc>
        <w:tc>
          <w:tcPr>
            <w:tcW w:w="1248" w:type="pct"/>
            <w:tcBorders>
              <w:top w:val="nil"/>
              <w:left w:val="nil"/>
              <w:bottom w:val="single" w:sz="4" w:space="0" w:color="auto"/>
              <w:right w:val="nil"/>
            </w:tcBorders>
            <w:shd w:val="clear" w:color="auto" w:fill="auto"/>
            <w:noWrap/>
            <w:vAlign w:val="center"/>
            <w:hideMark/>
          </w:tcPr>
          <w:p w14:paraId="5FCDC4CF" w14:textId="5BE494A3" w:rsidR="008E166F" w:rsidRPr="00C62D5C" w:rsidRDefault="008E166F" w:rsidP="004D5EBE">
            <w:pPr>
              <w:spacing w:after="0" w:line="240" w:lineRule="auto"/>
              <w:jc w:val="right"/>
              <w:rPr>
                <w:rFonts w:eastAsia="Times New Roman" w:cs="Calibri"/>
                <w:color w:val="000000"/>
                <w:sz w:val="20"/>
                <w:lang w:eastAsia="sk-SK"/>
              </w:rPr>
            </w:pPr>
            <w:r w:rsidRPr="00C62D5C">
              <w:rPr>
                <w:rFonts w:eastAsia="Times New Roman" w:cs="Calibri"/>
                <w:color w:val="000000"/>
                <w:sz w:val="20"/>
                <w:lang w:eastAsia="sk-SK"/>
              </w:rPr>
              <w:t>84,5</w:t>
            </w:r>
          </w:p>
        </w:tc>
      </w:tr>
      <w:tr w:rsidR="008E166F" w:rsidRPr="00C62D5C" w14:paraId="2EFF4A73" w14:textId="77777777" w:rsidTr="004D5EBE">
        <w:trPr>
          <w:trHeight w:val="300"/>
        </w:trPr>
        <w:tc>
          <w:tcPr>
            <w:tcW w:w="2401" w:type="pct"/>
            <w:tcBorders>
              <w:top w:val="single" w:sz="4" w:space="0" w:color="auto"/>
              <w:left w:val="nil"/>
              <w:bottom w:val="single" w:sz="4" w:space="0" w:color="auto"/>
            </w:tcBorders>
            <w:shd w:val="clear" w:color="auto" w:fill="auto"/>
            <w:noWrap/>
            <w:vAlign w:val="center"/>
            <w:hideMark/>
          </w:tcPr>
          <w:p w14:paraId="5CA8A94D" w14:textId="77777777" w:rsidR="008E166F" w:rsidRPr="00C62D5C" w:rsidRDefault="008E166F" w:rsidP="00BF76AA">
            <w:pPr>
              <w:spacing w:after="0" w:line="240" w:lineRule="auto"/>
              <w:jc w:val="left"/>
              <w:rPr>
                <w:rFonts w:eastAsia="Times New Roman" w:cs="Calibri"/>
                <w:b/>
                <w:bCs/>
                <w:color w:val="000000"/>
                <w:sz w:val="20"/>
                <w:lang w:eastAsia="sk-SK"/>
              </w:rPr>
            </w:pPr>
            <w:r w:rsidRPr="00C62D5C">
              <w:rPr>
                <w:rFonts w:eastAsia="Times New Roman" w:cs="Calibri"/>
                <w:b/>
                <w:bCs/>
                <w:color w:val="000000"/>
                <w:sz w:val="20"/>
                <w:lang w:eastAsia="sk-SK"/>
              </w:rPr>
              <w:t>SPOLU</w:t>
            </w:r>
          </w:p>
        </w:tc>
        <w:tc>
          <w:tcPr>
            <w:tcW w:w="1351" w:type="pct"/>
            <w:tcBorders>
              <w:top w:val="single" w:sz="4" w:space="0" w:color="auto"/>
              <w:bottom w:val="single" w:sz="4" w:space="0" w:color="auto"/>
              <w:right w:val="nil"/>
            </w:tcBorders>
            <w:shd w:val="clear" w:color="auto" w:fill="auto"/>
            <w:noWrap/>
            <w:vAlign w:val="center"/>
            <w:hideMark/>
          </w:tcPr>
          <w:p w14:paraId="4D73DD31" w14:textId="6B27255A" w:rsidR="008E166F" w:rsidRPr="00C62D5C" w:rsidRDefault="008E166F" w:rsidP="004D5EBE">
            <w:pPr>
              <w:spacing w:after="0" w:line="240" w:lineRule="auto"/>
              <w:jc w:val="right"/>
              <w:rPr>
                <w:rFonts w:eastAsia="Times New Roman" w:cs="Calibri"/>
                <w:b/>
                <w:bCs/>
                <w:color w:val="000000"/>
                <w:sz w:val="20"/>
                <w:lang w:eastAsia="sk-SK"/>
              </w:rPr>
            </w:pPr>
            <w:r w:rsidRPr="00C62D5C">
              <w:rPr>
                <w:rFonts w:eastAsia="Times New Roman" w:cs="Calibri"/>
                <w:b/>
                <w:bCs/>
                <w:color w:val="000000"/>
                <w:sz w:val="20"/>
                <w:lang w:eastAsia="sk-SK"/>
              </w:rPr>
              <w:t>100,0</w:t>
            </w:r>
          </w:p>
        </w:tc>
        <w:tc>
          <w:tcPr>
            <w:tcW w:w="1248" w:type="pct"/>
            <w:tcBorders>
              <w:top w:val="single" w:sz="4" w:space="0" w:color="auto"/>
              <w:left w:val="nil"/>
              <w:bottom w:val="single" w:sz="4" w:space="0" w:color="auto"/>
              <w:right w:val="nil"/>
            </w:tcBorders>
            <w:shd w:val="clear" w:color="auto" w:fill="auto"/>
            <w:noWrap/>
            <w:vAlign w:val="center"/>
            <w:hideMark/>
          </w:tcPr>
          <w:p w14:paraId="70F9820E" w14:textId="57D0DC5D" w:rsidR="008E166F" w:rsidRPr="00C62D5C" w:rsidRDefault="008E166F" w:rsidP="004D5EBE">
            <w:pPr>
              <w:spacing w:after="0" w:line="240" w:lineRule="auto"/>
              <w:jc w:val="right"/>
              <w:rPr>
                <w:rFonts w:eastAsia="Times New Roman" w:cs="Calibri"/>
                <w:b/>
                <w:bCs/>
                <w:color w:val="000000"/>
                <w:sz w:val="20"/>
                <w:lang w:eastAsia="sk-SK"/>
              </w:rPr>
            </w:pPr>
            <w:r w:rsidRPr="00C62D5C">
              <w:rPr>
                <w:rFonts w:eastAsia="Times New Roman" w:cs="Calibri"/>
                <w:b/>
                <w:bCs/>
                <w:color w:val="000000"/>
                <w:sz w:val="20"/>
                <w:lang w:eastAsia="sk-SK"/>
              </w:rPr>
              <w:t>100,0</w:t>
            </w:r>
          </w:p>
        </w:tc>
      </w:tr>
    </w:tbl>
    <w:p w14:paraId="12D7DEE5" w14:textId="77777777" w:rsidR="008E166F" w:rsidRPr="00C62D5C" w:rsidRDefault="008E166F" w:rsidP="008E166F">
      <w:pPr>
        <w:pStyle w:val="Bezriadkovania"/>
        <w:spacing w:after="120" w:line="259" w:lineRule="auto"/>
        <w:jc w:val="right"/>
        <w:rPr>
          <w:rFonts w:ascii="Arial Narrow" w:hAnsi="Arial Narrow"/>
          <w:bCs/>
          <w:i/>
          <w:iCs/>
          <w:sz w:val="18"/>
          <w:szCs w:val="18"/>
        </w:rPr>
      </w:pPr>
      <w:r w:rsidRPr="00C62D5C">
        <w:rPr>
          <w:rFonts w:ascii="Arial Narrow" w:hAnsi="Arial Narrow"/>
          <w:bCs/>
          <w:i/>
          <w:iCs/>
          <w:sz w:val="18"/>
          <w:szCs w:val="18"/>
        </w:rPr>
        <w:t>Zdroj: Vlastné prepočty IVP na základe dát CVTI (2017,2018).</w:t>
      </w:r>
    </w:p>
    <w:p w14:paraId="15759DA6" w14:textId="7EDC65BF" w:rsidR="00A279BC" w:rsidRPr="00E528F7" w:rsidRDefault="00647708" w:rsidP="00E528F7">
      <w:pPr>
        <w:spacing w:before="160"/>
      </w:pPr>
      <w:r w:rsidRPr="00E63664">
        <w:rPr>
          <w:b/>
          <w:bCs/>
        </w:rPr>
        <w:t>V rámci špeciálnych stredných škôl študovala väčšina žiakov so ZZ v stredných odborných školách (</w:t>
      </w:r>
      <w:r>
        <w:rPr>
          <w:b/>
          <w:bCs/>
        </w:rPr>
        <w:t>99,1</w:t>
      </w:r>
      <w:r w:rsidR="003C3221">
        <w:rPr>
          <w:b/>
          <w:bCs/>
        </w:rPr>
        <w:t> </w:t>
      </w:r>
      <w:r>
        <w:rPr>
          <w:b/>
          <w:bCs/>
        </w:rPr>
        <w:t>%</w:t>
      </w:r>
      <w:r w:rsidRPr="00E63664">
        <w:rPr>
          <w:b/>
          <w:bCs/>
        </w:rPr>
        <w:t>) a 0,</w:t>
      </w:r>
      <w:r>
        <w:rPr>
          <w:b/>
          <w:bCs/>
        </w:rPr>
        <w:t>9</w:t>
      </w:r>
      <w:r w:rsidRPr="00E63664">
        <w:rPr>
          <w:b/>
          <w:bCs/>
        </w:rPr>
        <w:t xml:space="preserve"> % na gymnáziách.</w:t>
      </w:r>
      <w:r>
        <w:rPr>
          <w:b/>
          <w:bCs/>
        </w:rPr>
        <w:t xml:space="preserve"> </w:t>
      </w:r>
      <w:r>
        <w:t>Takmer všetci žiaci so ZZ vzdelávajúci sa v stredných odborných školách študovali v nematuritnom odbore (96,5 %).</w:t>
      </w:r>
      <w:r>
        <w:rPr>
          <w:rStyle w:val="Odkaznapoznmkupodiarou"/>
        </w:rPr>
        <w:footnoteReference w:id="284"/>
      </w:r>
      <w:r>
        <w:t xml:space="preserve"> Takmer všetci žiaci študujúci na odborných učilištiach (97 %) študovali v učebných odboroch s možnosťou získania výučného listu (odbor G). Všetci žiaci študujúci v praktických školách študovali v učebných odboroch, kde mali možnosť získať iba doklad o zaučení/zaškolení (odbory E).</w:t>
      </w:r>
      <w:r>
        <w:rPr>
          <w:rStyle w:val="Odkaznapoznmkupodiarou"/>
        </w:rPr>
        <w:footnoteReference w:id="285"/>
      </w:r>
      <w:r>
        <w:t xml:space="preserve"> </w:t>
      </w:r>
    </w:p>
    <w:p w14:paraId="41531E03" w14:textId="5A1BC2C8" w:rsidR="008E166F" w:rsidRDefault="008E166F" w:rsidP="00452DBC">
      <w:pPr>
        <w:pStyle w:val="Bezriadkovania"/>
        <w:spacing w:after="200" w:line="259" w:lineRule="auto"/>
        <w:jc w:val="both"/>
        <w:rPr>
          <w:rFonts w:ascii="Arial Narrow" w:hAnsi="Arial Narrow"/>
          <w:color w:val="0070C0"/>
        </w:rPr>
      </w:pPr>
      <w:r w:rsidRPr="00A47998">
        <w:rPr>
          <w:rFonts w:ascii="Arial Narrow" w:hAnsi="Arial Narrow"/>
          <w:color w:val="0070C0"/>
        </w:rPr>
        <w:t xml:space="preserve">Existujúce opatrenia na podporu vzdelávania zdravotne znevýhodnených </w:t>
      </w:r>
      <w:r w:rsidR="00A77C84">
        <w:rPr>
          <w:rFonts w:ascii="Arial Narrow" w:hAnsi="Arial Narrow"/>
          <w:color w:val="0070C0"/>
        </w:rPr>
        <w:t>žiakov</w:t>
      </w:r>
      <w:r w:rsidRPr="00A47998">
        <w:rPr>
          <w:rFonts w:ascii="Arial Narrow" w:hAnsi="Arial Narrow"/>
          <w:color w:val="0070C0"/>
        </w:rPr>
        <w:t xml:space="preserve"> v stredných školách</w:t>
      </w:r>
    </w:p>
    <w:p w14:paraId="2CB31ED9" w14:textId="77777777" w:rsidR="008E166F" w:rsidRPr="00DA637B" w:rsidRDefault="008E166F" w:rsidP="00452DBC">
      <w:pPr>
        <w:rPr>
          <w:b/>
          <w:u w:val="single"/>
        </w:rPr>
      </w:pPr>
      <w:r w:rsidRPr="00DA637B">
        <w:rPr>
          <w:b/>
          <w:u w:val="single"/>
        </w:rPr>
        <w:t>Debarierizácia stredných škôl</w:t>
      </w:r>
    </w:p>
    <w:p w14:paraId="6EB348CA" w14:textId="7F5B7F29" w:rsidR="008E166F" w:rsidRPr="00396735" w:rsidRDefault="00A77C84" w:rsidP="00452DBC">
      <w:pPr>
        <w:rPr>
          <w:bCs/>
          <w:szCs w:val="22"/>
        </w:rPr>
      </w:pPr>
      <w:r w:rsidRPr="00A47998">
        <w:rPr>
          <w:b/>
        </w:rPr>
        <w:t xml:space="preserve">V roku 2018 bolo sumou </w:t>
      </w:r>
      <w:r>
        <w:rPr>
          <w:b/>
        </w:rPr>
        <w:t>takmer 66</w:t>
      </w:r>
      <w:r w:rsidRPr="00A47998">
        <w:rPr>
          <w:b/>
        </w:rPr>
        <w:t xml:space="preserve"> tisíc eur podporená debarierizácia </w:t>
      </w:r>
      <w:r>
        <w:rPr>
          <w:b/>
        </w:rPr>
        <w:t>siedmich stredných škôl.</w:t>
      </w:r>
      <w:r w:rsidRPr="00A47998">
        <w:rPr>
          <w:b/>
        </w:rPr>
        <w:t xml:space="preserve"> </w:t>
      </w:r>
      <w:r w:rsidRPr="00A47998">
        <w:rPr>
          <w:bCs/>
          <w:szCs w:val="22"/>
        </w:rPr>
        <w:t xml:space="preserve">Komplexné údaje o bezbariérovosti </w:t>
      </w:r>
      <w:r>
        <w:rPr>
          <w:bCs/>
          <w:szCs w:val="22"/>
        </w:rPr>
        <w:t>stredných</w:t>
      </w:r>
      <w:r w:rsidRPr="00A47998">
        <w:rPr>
          <w:bCs/>
          <w:szCs w:val="22"/>
        </w:rPr>
        <w:t xml:space="preserve"> škôl nie sú dostupné.</w:t>
      </w:r>
      <w:r>
        <w:rPr>
          <w:bCs/>
          <w:szCs w:val="22"/>
        </w:rPr>
        <w:t xml:space="preserve"> </w:t>
      </w:r>
      <w:r w:rsidRPr="00A47998">
        <w:rPr>
          <w:bCs/>
          <w:szCs w:val="22"/>
        </w:rPr>
        <w:t>Podľa dotazníkového prieskumu považuje fyzické bariéry v budove školy za jeden z najväčších problémov pri vzdelávaní žia</w:t>
      </w:r>
      <w:r>
        <w:rPr>
          <w:bCs/>
          <w:szCs w:val="22"/>
        </w:rPr>
        <w:t>kov so špeciálnymi potrebami viac ako pätina riaditeľov bežných stredných škôl (22 %) a 7,4 % riaditeľov špeciálnych stredných škôl (To dá rozum, 2019)</w:t>
      </w:r>
      <w:r w:rsidRPr="00A47998">
        <w:rPr>
          <w:bCs/>
          <w:szCs w:val="22"/>
        </w:rPr>
        <w:t xml:space="preserve">. </w:t>
      </w:r>
      <w:r w:rsidR="00EA4899">
        <w:rPr>
          <w:bCs/>
          <w:szCs w:val="22"/>
        </w:rPr>
        <w:t>Aj </w:t>
      </w:r>
      <w:r>
        <w:rPr>
          <w:bCs/>
          <w:szCs w:val="22"/>
        </w:rPr>
        <w:t xml:space="preserve">v prípade stredných škôl sa zo strany Verejnej ochrankyne práve stretávame s kritikou, že medzi školami možno vnímať </w:t>
      </w:r>
      <w:r w:rsidRPr="00A47998">
        <w:rPr>
          <w:bCs/>
          <w:szCs w:val="22"/>
        </w:rPr>
        <w:t>nízke povedomie o</w:t>
      </w:r>
      <w:r>
        <w:rPr>
          <w:bCs/>
          <w:szCs w:val="22"/>
        </w:rPr>
        <w:t> </w:t>
      </w:r>
      <w:r w:rsidRPr="00A47998">
        <w:rPr>
          <w:bCs/>
          <w:szCs w:val="22"/>
        </w:rPr>
        <w:t>dôležitosti</w:t>
      </w:r>
      <w:r>
        <w:rPr>
          <w:bCs/>
          <w:szCs w:val="22"/>
        </w:rPr>
        <w:t xml:space="preserve"> a rozsahu potrebnej</w:t>
      </w:r>
      <w:r w:rsidRPr="00A47998">
        <w:rPr>
          <w:bCs/>
          <w:szCs w:val="22"/>
        </w:rPr>
        <w:t xml:space="preserve"> bezbariér</w:t>
      </w:r>
      <w:r>
        <w:rPr>
          <w:bCs/>
          <w:szCs w:val="22"/>
        </w:rPr>
        <w:t>ovosti (</w:t>
      </w:r>
      <w:r w:rsidR="0049387A">
        <w:rPr>
          <w:bCs/>
          <w:szCs w:val="22"/>
        </w:rPr>
        <w:t>Verejný ochranca práv</w:t>
      </w:r>
      <w:r>
        <w:rPr>
          <w:bCs/>
          <w:szCs w:val="22"/>
        </w:rPr>
        <w:t>, 2016)</w:t>
      </w:r>
      <w:r w:rsidRPr="00A47998">
        <w:rPr>
          <w:bCs/>
          <w:szCs w:val="22"/>
        </w:rPr>
        <w:t>.</w:t>
      </w:r>
      <w:r>
        <w:rPr>
          <w:bCs/>
          <w:szCs w:val="22"/>
        </w:rPr>
        <w:t xml:space="preserve"> Stredné školy sa uchádzajú o prostriedky na debarierizáciu spolu so základnými školami v rámci jedného balíku zdrojov vyčlenených na tento účel. Okrem opatrení uvedených ohľadom debarizácie v</w:t>
      </w:r>
      <w:r w:rsidR="008E166F">
        <w:rPr>
          <w:bCs/>
          <w:szCs w:val="22"/>
        </w:rPr>
        <w:t xml:space="preserve"> podkapitole </w:t>
      </w:r>
      <w:r w:rsidR="0073195A">
        <w:rPr>
          <w:bCs/>
          <w:szCs w:val="22"/>
        </w:rPr>
        <w:fldChar w:fldCharType="begin"/>
      </w:r>
      <w:r w:rsidR="0073195A">
        <w:rPr>
          <w:bCs/>
          <w:szCs w:val="22"/>
        </w:rPr>
        <w:instrText xml:space="preserve"> REF _Ref25748816 \r \h </w:instrText>
      </w:r>
      <w:r w:rsidR="0073195A">
        <w:rPr>
          <w:bCs/>
          <w:szCs w:val="22"/>
        </w:rPr>
      </w:r>
      <w:r w:rsidR="0073195A">
        <w:rPr>
          <w:bCs/>
          <w:szCs w:val="22"/>
        </w:rPr>
        <w:fldChar w:fldCharType="separate"/>
      </w:r>
      <w:r w:rsidR="00FA29AF">
        <w:rPr>
          <w:bCs/>
          <w:szCs w:val="22"/>
        </w:rPr>
        <w:t>6.3</w:t>
      </w:r>
      <w:r w:rsidR="0073195A">
        <w:rPr>
          <w:bCs/>
          <w:szCs w:val="22"/>
        </w:rPr>
        <w:fldChar w:fldCharType="end"/>
      </w:r>
      <w:r w:rsidR="008E166F">
        <w:rPr>
          <w:bCs/>
          <w:szCs w:val="22"/>
        </w:rPr>
        <w:t xml:space="preserve">, </w:t>
      </w:r>
      <w:r w:rsidR="008E166F">
        <w:rPr>
          <w:b/>
          <w:bCs/>
          <w:szCs w:val="22"/>
        </w:rPr>
        <w:t>r</w:t>
      </w:r>
      <w:r w:rsidR="008E166F" w:rsidRPr="00DA637B">
        <w:rPr>
          <w:b/>
          <w:bCs/>
          <w:szCs w:val="22"/>
        </w:rPr>
        <w:t xml:space="preserve">evízia navrhuje vyčleniť samostatný objem zdrojov na podporu debarierizácie stredných škôl. </w:t>
      </w:r>
    </w:p>
    <w:p w14:paraId="6EFC650A" w14:textId="77777777" w:rsidR="008E166F" w:rsidRPr="00C90ADD" w:rsidRDefault="008E166F" w:rsidP="00452DBC">
      <w:pPr>
        <w:rPr>
          <w:b/>
          <w:u w:val="single"/>
        </w:rPr>
      </w:pPr>
      <w:r w:rsidRPr="00C90ADD">
        <w:rPr>
          <w:b/>
          <w:u w:val="single"/>
        </w:rPr>
        <w:t>Navýšené normatívy na žiakov so zdravotným znevýhodnením</w:t>
      </w:r>
    </w:p>
    <w:p w14:paraId="63BD33FB" w14:textId="075543BB" w:rsidR="008E166F" w:rsidRDefault="008E166F" w:rsidP="00452DBC">
      <w:r w:rsidRPr="00C90ADD">
        <w:rPr>
          <w:b/>
        </w:rPr>
        <w:t>V roku 2018 predstavovali dodatočné náklady na vzdelávanie takmer 9 tisíc žiakov so ZZ v bežných stredných školách viac ako 18 miliónov eur</w:t>
      </w:r>
      <w:r w:rsidR="00A77C84">
        <w:rPr>
          <w:b/>
          <w:bCs/>
        </w:rPr>
        <w:t>, v priemere 2 122 eur na žiaka</w:t>
      </w:r>
      <w:r w:rsidRPr="00C90ADD">
        <w:rPr>
          <w:b/>
        </w:rPr>
        <w:t>.</w:t>
      </w:r>
      <w:r w:rsidRPr="004923FD">
        <w:t xml:space="preserve"> Dodatočné náklady zahŕňajú navýšenie základných normatívov na žiakov podľa druhu zdravotného znevýhodnenia (</w:t>
      </w:r>
      <w:r w:rsidR="00213C05" w:rsidRPr="00213C05">
        <w:fldChar w:fldCharType="begin"/>
      </w:r>
      <w:r w:rsidR="00213C05">
        <w:instrText xml:space="preserve"> REF _Ref25844859 \h  \* MERGEFORMAT </w:instrText>
      </w:r>
      <w:r w:rsidR="00213C05" w:rsidRPr="00213C05">
        <w:fldChar w:fldCharType="separate"/>
      </w:r>
      <w:r w:rsidR="00FA29AF" w:rsidRPr="00FA29AF">
        <w:t>Príloha 32</w:t>
      </w:r>
      <w:r w:rsidR="00213C05" w:rsidRPr="00213C05">
        <w:fldChar w:fldCharType="end"/>
      </w:r>
      <w:r>
        <w:t>)</w:t>
      </w:r>
      <w:r w:rsidRPr="00A47998">
        <w:t>.</w:t>
      </w:r>
      <w:r w:rsidRPr="00A47998">
        <w:rPr>
          <w:rStyle w:val="Odkaznapoznmkupodiarou"/>
          <w:bCs/>
        </w:rPr>
        <w:footnoteReference w:id="286"/>
      </w:r>
      <w:r>
        <w:t xml:space="preserve"> Na rozdiel od základných škôl sa však dodatočné zdroje nealokujú na žiakov so všetkými druhmi zdravotných znevýhodnení. Školy nedostávajú žiadne dodatočné zdroje na žiakov s poruchami </w:t>
      </w:r>
      <w:r w:rsidR="00A77C84">
        <w:t>správania a</w:t>
      </w:r>
      <w:r>
        <w:t xml:space="preserve"> s narušenou komunikačnou schopnosťou.</w:t>
      </w:r>
      <w:r>
        <w:rPr>
          <w:rStyle w:val="Odkaznapoznmkupodiarou"/>
          <w:bCs/>
        </w:rPr>
        <w:footnoteReference w:id="287"/>
      </w:r>
      <w:r>
        <w:t xml:space="preserve"> </w:t>
      </w:r>
    </w:p>
    <w:p w14:paraId="0CFA42E6" w14:textId="493F029B" w:rsidR="00C31ECA" w:rsidRDefault="00C31ECA" w:rsidP="00452DBC">
      <w:pPr>
        <w:pStyle w:val="Bezriadkovania"/>
        <w:spacing w:after="200" w:line="259" w:lineRule="auto"/>
        <w:jc w:val="both"/>
        <w:rPr>
          <w:rFonts w:ascii="Arial Narrow" w:hAnsi="Arial Narrow"/>
          <w:bCs/>
        </w:rPr>
      </w:pPr>
      <w:r w:rsidRPr="001C27CE">
        <w:rPr>
          <w:rFonts w:ascii="Arial Narrow" w:hAnsi="Arial Narrow"/>
          <w:b/>
          <w:bCs/>
        </w:rPr>
        <w:t xml:space="preserve">Dodatočné náklady na vzdelávanie </w:t>
      </w:r>
      <w:r>
        <w:rPr>
          <w:rFonts w:ascii="Arial Narrow" w:hAnsi="Arial Narrow"/>
          <w:b/>
          <w:bCs/>
        </w:rPr>
        <w:t>979</w:t>
      </w:r>
      <w:r w:rsidR="003C3221">
        <w:rPr>
          <w:rFonts w:ascii="Arial Narrow" w:hAnsi="Arial Narrow"/>
          <w:b/>
          <w:bCs/>
        </w:rPr>
        <w:t xml:space="preserve"> </w:t>
      </w:r>
      <w:r w:rsidRPr="001C27CE">
        <w:rPr>
          <w:rFonts w:ascii="Arial Narrow" w:hAnsi="Arial Narrow"/>
          <w:b/>
          <w:bCs/>
        </w:rPr>
        <w:t>žiakov so ZZ v </w:t>
      </w:r>
      <w:r w:rsidRPr="004923FD">
        <w:rPr>
          <w:rFonts w:ascii="Arial Narrow" w:hAnsi="Arial Narrow"/>
          <w:b/>
          <w:bCs/>
        </w:rPr>
        <w:t>špeciálnych stredných školách</w:t>
      </w:r>
      <w:r>
        <w:rPr>
          <w:rFonts w:ascii="Arial Narrow" w:hAnsi="Arial Narrow"/>
          <w:b/>
          <w:bCs/>
        </w:rPr>
        <w:t xml:space="preserve"> predstavovali takmer 1,4 </w:t>
      </w:r>
      <w:r w:rsidRPr="001C27CE">
        <w:rPr>
          <w:rFonts w:ascii="Arial Narrow" w:hAnsi="Arial Narrow"/>
          <w:b/>
          <w:bCs/>
        </w:rPr>
        <w:t>milióna eur</w:t>
      </w:r>
      <w:r>
        <w:rPr>
          <w:rFonts w:ascii="Arial Narrow" w:hAnsi="Arial Narrow"/>
          <w:b/>
          <w:bCs/>
        </w:rPr>
        <w:t>, v priemere 1 390 eur na žiaka</w:t>
      </w:r>
      <w:r w:rsidRPr="001C27CE">
        <w:rPr>
          <w:rFonts w:ascii="Arial Narrow" w:hAnsi="Arial Narrow"/>
          <w:b/>
          <w:bCs/>
        </w:rPr>
        <w:t>.</w:t>
      </w:r>
      <w:r>
        <w:rPr>
          <w:rFonts w:ascii="Arial Narrow" w:hAnsi="Arial Narrow"/>
          <w:bCs/>
        </w:rPr>
        <w:t xml:space="preserve"> 641 tisíc eur bolo alokovaných do špeciálnych gymnázií</w:t>
      </w:r>
      <w:r w:rsidR="0070047D">
        <w:rPr>
          <w:rFonts w:ascii="Arial Narrow" w:hAnsi="Arial Narrow"/>
          <w:bCs/>
        </w:rPr>
        <w:t xml:space="preserve"> </w:t>
      </w:r>
      <w:r>
        <w:rPr>
          <w:rFonts w:ascii="Arial Narrow" w:hAnsi="Arial Narrow"/>
          <w:bCs/>
        </w:rPr>
        <w:t>a 720</w:t>
      </w:r>
      <w:r w:rsidR="0070047D">
        <w:rPr>
          <w:rFonts w:ascii="Arial Narrow" w:hAnsi="Arial Narrow"/>
          <w:bCs/>
        </w:rPr>
        <w:t xml:space="preserve"> </w:t>
      </w:r>
      <w:r>
        <w:rPr>
          <w:rFonts w:ascii="Arial Narrow" w:hAnsi="Arial Narrow"/>
          <w:bCs/>
        </w:rPr>
        <w:t>tisíc do stredných odborných škôl. Zdroje na vzdelávanie žiakov so ZZ v špeciálnych stredných školách nie sú napočítavané podľa druhu zdravotného znevýhodnenia, ale sú určené paušálne podľa druhu školy.</w:t>
      </w:r>
      <w:r>
        <w:rPr>
          <w:rStyle w:val="Odkaznapoznmkupodiarou"/>
          <w:bCs/>
        </w:rPr>
        <w:footnoteReference w:id="288"/>
      </w:r>
      <w:r>
        <w:rPr>
          <w:rFonts w:ascii="Arial Narrow" w:hAnsi="Arial Narrow"/>
          <w:bCs/>
        </w:rPr>
        <w:t xml:space="preserve"> </w:t>
      </w:r>
    </w:p>
    <w:p w14:paraId="65ED36A6" w14:textId="10620C30" w:rsidR="00C31ECA" w:rsidRDefault="00C31ECA" w:rsidP="00452DBC">
      <w:r w:rsidRPr="00EA3DE5">
        <w:rPr>
          <w:b/>
          <w:bCs/>
        </w:rPr>
        <w:t>Priemerná výška dodatočných nákladov na vzdelávanie žiakov so ZZ</w:t>
      </w:r>
      <w:r w:rsidR="0070047D">
        <w:rPr>
          <w:b/>
          <w:bCs/>
        </w:rPr>
        <w:t xml:space="preserve"> </w:t>
      </w:r>
      <w:r w:rsidRPr="00EA3DE5">
        <w:rPr>
          <w:b/>
          <w:bCs/>
        </w:rPr>
        <w:t>bola v prípade špeciálnych stredných škôl v porovnaní s bežnými strednými školami</w:t>
      </w:r>
      <w:r>
        <w:rPr>
          <w:b/>
          <w:bCs/>
        </w:rPr>
        <w:t xml:space="preserve"> nižšia o 732 eur na žiaka</w:t>
      </w:r>
      <w:r w:rsidRPr="00EA3DE5">
        <w:rPr>
          <w:b/>
          <w:bCs/>
        </w:rPr>
        <w:t>.</w:t>
      </w:r>
      <w:r w:rsidRPr="00EA3DE5">
        <w:t xml:space="preserve"> V prípade špeciálnych gymnázií boli dodatočné zdroje nižšie o 44 % (894 eur) a v prípade špeciálnych stredných odborných š</w:t>
      </w:r>
      <w:r>
        <w:t xml:space="preserve">kôl o 14 % (279 eur) </w:t>
      </w:r>
      <w:r w:rsidR="008E166F">
        <w:t>(</w:t>
      </w:r>
      <w:r w:rsidR="00213C05" w:rsidRPr="00213C05">
        <w:fldChar w:fldCharType="begin"/>
      </w:r>
      <w:r w:rsidR="00213C05">
        <w:instrText xml:space="preserve"> REF _Ref25844873 \h  \* MERGEFORMAT </w:instrText>
      </w:r>
      <w:r w:rsidR="00213C05" w:rsidRPr="00213C05">
        <w:fldChar w:fldCharType="separate"/>
      </w:r>
      <w:r w:rsidR="00FA29AF" w:rsidRPr="00FA29AF">
        <w:t>Príloha 33</w:t>
      </w:r>
      <w:r w:rsidR="00213C05" w:rsidRPr="00213C05">
        <w:fldChar w:fldCharType="end"/>
      </w:r>
      <w:r w:rsidR="008E166F" w:rsidRPr="00EA3DE5">
        <w:t>). Toto zistenie korešponduje s výsledkami reprezentatívneho prieskumu, v ktorom až 39 % riaditeľov špeciálnych stredných škôl v porovnaní s 13 % riaditeľov bežných stredných škôl</w:t>
      </w:r>
      <w:r w:rsidR="008E166F">
        <w:t xml:space="preserve"> uviedlo, že </w:t>
      </w:r>
      <w:r w:rsidR="008E166F" w:rsidRPr="00EA3DE5">
        <w:t>nedostatok finančných prostriedkov</w:t>
      </w:r>
      <w:r w:rsidR="008E166F">
        <w:t xml:space="preserve"> považuje za</w:t>
      </w:r>
      <w:r w:rsidR="008E166F" w:rsidRPr="00EA3DE5">
        <w:t xml:space="preserve"> jeden z najväčších problémov vo vzdelávaní </w:t>
      </w:r>
      <w:r>
        <w:t>žiakov so špeciálnymi</w:t>
      </w:r>
      <w:r w:rsidRPr="00EA3DE5">
        <w:t xml:space="preserve"> potrebami</w:t>
      </w:r>
      <w:r>
        <w:t xml:space="preserve"> (To dá rozum, 2019)</w:t>
      </w:r>
      <w:r w:rsidRPr="00EA3DE5">
        <w:t>.</w:t>
      </w:r>
    </w:p>
    <w:p w14:paraId="4024CB2A" w14:textId="77777777" w:rsidR="00C31ECA" w:rsidRDefault="00C31ECA" w:rsidP="00452DBC">
      <w:pPr>
        <w:rPr>
          <w:b/>
          <w:bCs/>
        </w:rPr>
      </w:pPr>
      <w:r>
        <w:rPr>
          <w:b/>
          <w:bCs/>
        </w:rPr>
        <w:t xml:space="preserve">Dodatočné náklady na vzdelávanie 4 704 žiakov s MP v odborných učilištiach a praktických školách predstavovali vyše 10,1 milióna eur, v priemere 2 162 eur na žiaka. </w:t>
      </w:r>
    </w:p>
    <w:p w14:paraId="5108BEBD" w14:textId="77777777" w:rsidR="00E528F7" w:rsidRDefault="00E528F7">
      <w:pPr>
        <w:spacing w:after="160"/>
        <w:jc w:val="left"/>
        <w:rPr>
          <w:b/>
          <w:u w:val="single"/>
        </w:rPr>
      </w:pPr>
      <w:r>
        <w:rPr>
          <w:b/>
          <w:u w:val="single"/>
        </w:rPr>
        <w:br w:type="page"/>
      </w:r>
    </w:p>
    <w:p w14:paraId="5BDEED1C" w14:textId="68384054" w:rsidR="008E166F" w:rsidRPr="00C90ADD" w:rsidRDefault="008E166F" w:rsidP="00452DBC">
      <w:pPr>
        <w:rPr>
          <w:b/>
          <w:u w:val="single"/>
        </w:rPr>
      </w:pPr>
      <w:r w:rsidRPr="00C90ADD">
        <w:rPr>
          <w:b/>
          <w:u w:val="single"/>
        </w:rPr>
        <w:t>Odborní zamestnanci</w:t>
      </w:r>
    </w:p>
    <w:p w14:paraId="39ACB37B" w14:textId="3D746B32" w:rsidR="00C31ECA" w:rsidRDefault="00C31ECA" w:rsidP="00452DBC">
      <w:pPr>
        <w:pStyle w:val="Bezriadkovania"/>
        <w:spacing w:after="200" w:line="259" w:lineRule="auto"/>
        <w:jc w:val="both"/>
        <w:rPr>
          <w:rFonts w:ascii="Arial Narrow" w:hAnsi="Arial Narrow"/>
          <w:bCs/>
        </w:rPr>
      </w:pPr>
      <w:r w:rsidRPr="00A47998">
        <w:rPr>
          <w:rFonts w:ascii="Arial Narrow" w:hAnsi="Arial Narrow"/>
          <w:b/>
          <w:bCs/>
        </w:rPr>
        <w:t>V roku 2018 predstavovali výdavky na odborných zamestnancov pôsobiacich priamo v </w:t>
      </w:r>
      <w:r>
        <w:rPr>
          <w:rFonts w:ascii="Arial Narrow" w:hAnsi="Arial Narrow"/>
          <w:b/>
          <w:bCs/>
        </w:rPr>
        <w:t>stredných</w:t>
      </w:r>
      <w:r w:rsidRPr="00A47998">
        <w:rPr>
          <w:rFonts w:ascii="Arial Narrow" w:hAnsi="Arial Narrow"/>
          <w:b/>
          <w:bCs/>
        </w:rPr>
        <w:t xml:space="preserve"> školách </w:t>
      </w:r>
      <w:r>
        <w:rPr>
          <w:rFonts w:ascii="Arial Narrow" w:hAnsi="Arial Narrow"/>
          <w:b/>
          <w:bCs/>
        </w:rPr>
        <w:t>1,4</w:t>
      </w:r>
      <w:r w:rsidRPr="00A47998">
        <w:rPr>
          <w:rFonts w:ascii="Arial Narrow" w:hAnsi="Arial Narrow"/>
          <w:b/>
          <w:bCs/>
        </w:rPr>
        <w:t xml:space="preserve"> milióna eur v bežných </w:t>
      </w:r>
      <w:r>
        <w:rPr>
          <w:rFonts w:ascii="Arial Narrow" w:hAnsi="Arial Narrow"/>
          <w:b/>
          <w:bCs/>
        </w:rPr>
        <w:t>stredných</w:t>
      </w:r>
      <w:r w:rsidRPr="00A47998">
        <w:rPr>
          <w:rFonts w:ascii="Arial Narrow" w:hAnsi="Arial Narrow"/>
          <w:b/>
          <w:bCs/>
        </w:rPr>
        <w:t xml:space="preserve"> školách a </w:t>
      </w:r>
      <w:r>
        <w:rPr>
          <w:rFonts w:ascii="Arial Narrow" w:hAnsi="Arial Narrow"/>
          <w:b/>
          <w:bCs/>
        </w:rPr>
        <w:t>140</w:t>
      </w:r>
      <w:r w:rsidRPr="00A47998">
        <w:rPr>
          <w:rFonts w:ascii="Arial Narrow" w:hAnsi="Arial Narrow"/>
          <w:b/>
          <w:bCs/>
        </w:rPr>
        <w:t xml:space="preserve"> tisíc eur v špeciálnych </w:t>
      </w:r>
      <w:r>
        <w:rPr>
          <w:rFonts w:ascii="Arial Narrow" w:hAnsi="Arial Narrow"/>
          <w:b/>
          <w:bCs/>
        </w:rPr>
        <w:t>stredných</w:t>
      </w:r>
      <w:r w:rsidRPr="00A47998">
        <w:rPr>
          <w:rFonts w:ascii="Arial Narrow" w:hAnsi="Arial Narrow"/>
          <w:b/>
          <w:bCs/>
        </w:rPr>
        <w:t xml:space="preserve"> školách</w:t>
      </w:r>
      <w:r>
        <w:rPr>
          <w:rFonts w:ascii="Arial Narrow" w:hAnsi="Arial Narrow"/>
          <w:b/>
          <w:bCs/>
        </w:rPr>
        <w:t>, odborných učilištiach a praktických školách</w:t>
      </w:r>
      <w:r w:rsidRPr="00A47998">
        <w:rPr>
          <w:rFonts w:ascii="Arial Narrow" w:hAnsi="Arial Narrow"/>
          <w:b/>
          <w:bCs/>
        </w:rPr>
        <w:t xml:space="preserve">. </w:t>
      </w:r>
      <w:r w:rsidRPr="00A47998">
        <w:rPr>
          <w:rFonts w:ascii="Arial Narrow" w:hAnsi="Arial Narrow"/>
          <w:bCs/>
        </w:rPr>
        <w:t xml:space="preserve">V bežných </w:t>
      </w:r>
      <w:r>
        <w:rPr>
          <w:rFonts w:ascii="Arial Narrow" w:hAnsi="Arial Narrow"/>
          <w:bCs/>
        </w:rPr>
        <w:t>stredných</w:t>
      </w:r>
      <w:r w:rsidRPr="00A47998">
        <w:rPr>
          <w:rFonts w:ascii="Arial Narrow" w:hAnsi="Arial Narrow"/>
          <w:bCs/>
        </w:rPr>
        <w:t xml:space="preserve"> školách pôsobilo </w:t>
      </w:r>
      <w:r>
        <w:rPr>
          <w:rFonts w:ascii="Arial Narrow" w:hAnsi="Arial Narrow"/>
          <w:bCs/>
        </w:rPr>
        <w:t>193</w:t>
      </w:r>
      <w:r w:rsidRPr="00A47998">
        <w:rPr>
          <w:rFonts w:ascii="Arial Narrow" w:hAnsi="Arial Narrow"/>
          <w:bCs/>
        </w:rPr>
        <w:t xml:space="preserve"> odborných zamestnancov</w:t>
      </w:r>
      <w:r w:rsidRPr="00A47998">
        <w:rPr>
          <w:rStyle w:val="Odkaznapoznmkupodiarou"/>
          <w:bCs/>
        </w:rPr>
        <w:footnoteReference w:id="289"/>
      </w:r>
      <w:r w:rsidRPr="00A47998">
        <w:rPr>
          <w:rFonts w:ascii="Arial Narrow" w:hAnsi="Arial Narrow"/>
          <w:bCs/>
        </w:rPr>
        <w:t xml:space="preserve">, spolu mali </w:t>
      </w:r>
      <w:r>
        <w:rPr>
          <w:rFonts w:ascii="Arial Narrow" w:hAnsi="Arial Narrow"/>
          <w:bCs/>
        </w:rPr>
        <w:t>86</w:t>
      </w:r>
      <w:r w:rsidRPr="00A47998">
        <w:rPr>
          <w:rFonts w:ascii="Arial Narrow" w:hAnsi="Arial Narrow"/>
          <w:bCs/>
        </w:rPr>
        <w:t xml:space="preserve"> úväzkov. V špeciálnych </w:t>
      </w:r>
      <w:r>
        <w:rPr>
          <w:rFonts w:ascii="Arial Narrow" w:hAnsi="Arial Narrow"/>
          <w:bCs/>
        </w:rPr>
        <w:t xml:space="preserve">stredných </w:t>
      </w:r>
      <w:r w:rsidRPr="00A47998">
        <w:rPr>
          <w:rFonts w:ascii="Arial Narrow" w:hAnsi="Arial Narrow"/>
          <w:bCs/>
        </w:rPr>
        <w:t>školách</w:t>
      </w:r>
      <w:r>
        <w:rPr>
          <w:rFonts w:ascii="Arial Narrow" w:hAnsi="Arial Narrow"/>
          <w:bCs/>
        </w:rPr>
        <w:t>, odborných učilištiach a praktických školách</w:t>
      </w:r>
      <w:r w:rsidRPr="00A47998">
        <w:rPr>
          <w:rFonts w:ascii="Arial Narrow" w:hAnsi="Arial Narrow"/>
          <w:bCs/>
        </w:rPr>
        <w:t> pôsobilo </w:t>
      </w:r>
      <w:r>
        <w:rPr>
          <w:rFonts w:ascii="Arial Narrow" w:hAnsi="Arial Narrow"/>
          <w:bCs/>
        </w:rPr>
        <w:t xml:space="preserve">13 odborných zamestnancov </w:t>
      </w:r>
      <w:r w:rsidRPr="00A47998">
        <w:rPr>
          <w:rFonts w:ascii="Arial Narrow" w:hAnsi="Arial Narrow"/>
          <w:bCs/>
        </w:rPr>
        <w:t xml:space="preserve">a spolu mali </w:t>
      </w:r>
      <w:r>
        <w:rPr>
          <w:rFonts w:ascii="Arial Narrow" w:hAnsi="Arial Narrow"/>
          <w:bCs/>
        </w:rPr>
        <w:t>7</w:t>
      </w:r>
      <w:r w:rsidRPr="00A47998">
        <w:rPr>
          <w:rFonts w:ascii="Arial Narrow" w:hAnsi="Arial Narrow"/>
          <w:bCs/>
        </w:rPr>
        <w:t xml:space="preserve"> úväzkov.</w:t>
      </w:r>
      <w:r w:rsidRPr="00A47998">
        <w:rPr>
          <w:rStyle w:val="Odkaznapoznmkupodiarou"/>
          <w:bCs/>
        </w:rPr>
        <w:footnoteReference w:id="290"/>
      </w:r>
      <w:r w:rsidRPr="00A47998">
        <w:rPr>
          <w:rFonts w:ascii="Arial Narrow" w:hAnsi="Arial Narrow"/>
          <w:bCs/>
        </w:rPr>
        <w:t xml:space="preserve"> Za posledných 10 rokov sa počet psychológov v bežných </w:t>
      </w:r>
      <w:r>
        <w:rPr>
          <w:rFonts w:ascii="Arial Narrow" w:hAnsi="Arial Narrow"/>
          <w:bCs/>
        </w:rPr>
        <w:t>stredných</w:t>
      </w:r>
      <w:r w:rsidRPr="00A47998">
        <w:rPr>
          <w:rFonts w:ascii="Arial Narrow" w:hAnsi="Arial Narrow"/>
          <w:bCs/>
        </w:rPr>
        <w:t xml:space="preserve"> školách </w:t>
      </w:r>
      <w:r>
        <w:rPr>
          <w:rFonts w:ascii="Arial Narrow" w:hAnsi="Arial Narrow"/>
          <w:bCs/>
        </w:rPr>
        <w:t xml:space="preserve">viac ako </w:t>
      </w:r>
      <w:r w:rsidRPr="00A47998">
        <w:rPr>
          <w:rFonts w:ascii="Arial Narrow" w:hAnsi="Arial Narrow"/>
          <w:bCs/>
        </w:rPr>
        <w:t xml:space="preserve">zdvojnásobil a počet špeciálnych pedagógov </w:t>
      </w:r>
      <w:r>
        <w:rPr>
          <w:rFonts w:ascii="Arial Narrow" w:hAnsi="Arial Narrow"/>
          <w:bCs/>
        </w:rPr>
        <w:t>takmer strojnásobil. V špeciálnych stredných školách, odborných učilištiach a praktických školách</w:t>
      </w:r>
      <w:r w:rsidRPr="00A47998">
        <w:rPr>
          <w:rFonts w:ascii="Arial Narrow" w:hAnsi="Arial Narrow"/>
          <w:bCs/>
        </w:rPr>
        <w:t> </w:t>
      </w:r>
      <w:r>
        <w:rPr>
          <w:rFonts w:ascii="Arial Narrow" w:hAnsi="Arial Narrow"/>
          <w:bCs/>
        </w:rPr>
        <w:t>zostal počet odborných zamestnancov takmer nezmenený.</w:t>
      </w:r>
    </w:p>
    <w:p w14:paraId="6F38817F" w14:textId="77777777" w:rsidR="00C31ECA" w:rsidRPr="00F45142" w:rsidRDefault="00C31ECA" w:rsidP="00452DBC">
      <w:pPr>
        <w:pStyle w:val="Bezriadkovania"/>
        <w:spacing w:after="200" w:line="259" w:lineRule="auto"/>
        <w:jc w:val="both"/>
        <w:rPr>
          <w:rFonts w:ascii="Arial Narrow" w:hAnsi="Arial Narrow"/>
          <w:color w:val="0070C0"/>
        </w:rPr>
      </w:pPr>
      <w:r>
        <w:rPr>
          <w:rFonts w:ascii="Arial Narrow" w:hAnsi="Arial Narrow"/>
          <w:color w:val="0070C0"/>
        </w:rPr>
        <w:t>Chýbajúce</w:t>
      </w:r>
      <w:r w:rsidRPr="00A47998">
        <w:rPr>
          <w:rFonts w:ascii="Arial Narrow" w:hAnsi="Arial Narrow"/>
          <w:color w:val="0070C0"/>
        </w:rPr>
        <w:t xml:space="preserve"> opatrenia na podporu vzdelávania zdravotne znevýhodnených </w:t>
      </w:r>
      <w:r>
        <w:rPr>
          <w:rFonts w:ascii="Arial Narrow" w:hAnsi="Arial Narrow"/>
          <w:color w:val="0070C0"/>
        </w:rPr>
        <w:t>žiakov</w:t>
      </w:r>
      <w:r w:rsidRPr="00A47998">
        <w:rPr>
          <w:rFonts w:ascii="Arial Narrow" w:hAnsi="Arial Narrow"/>
          <w:color w:val="0070C0"/>
        </w:rPr>
        <w:t xml:space="preserve"> v stredných školách</w:t>
      </w:r>
    </w:p>
    <w:p w14:paraId="65CCDBF9" w14:textId="77777777" w:rsidR="00C31ECA" w:rsidRPr="00C31ECA" w:rsidRDefault="00C31ECA" w:rsidP="00452DBC">
      <w:pPr>
        <w:pStyle w:val="Bezriadkovania"/>
        <w:spacing w:after="200" w:line="259" w:lineRule="auto"/>
        <w:jc w:val="both"/>
        <w:rPr>
          <w:rFonts w:ascii="Arial Narrow" w:hAnsi="Arial Narrow"/>
          <w:b/>
          <w:bCs/>
          <w:u w:val="single"/>
        </w:rPr>
      </w:pPr>
      <w:r w:rsidRPr="00C31ECA">
        <w:rPr>
          <w:rFonts w:ascii="Arial Narrow" w:hAnsi="Arial Narrow"/>
          <w:b/>
          <w:bCs/>
          <w:u w:val="single"/>
        </w:rPr>
        <w:t xml:space="preserve">Duálne vzdelávanie </w:t>
      </w:r>
    </w:p>
    <w:p w14:paraId="2337C095" w14:textId="52DEF124" w:rsidR="009B7862" w:rsidRDefault="00C31ECA" w:rsidP="00452DBC">
      <w:pPr>
        <w:pStyle w:val="Bezriadkovania"/>
        <w:spacing w:after="200" w:line="259" w:lineRule="auto"/>
        <w:jc w:val="both"/>
        <w:rPr>
          <w:rFonts w:ascii="Arial Narrow" w:hAnsi="Arial Narrow"/>
          <w:bCs/>
        </w:rPr>
      </w:pPr>
      <w:r>
        <w:rPr>
          <w:rFonts w:ascii="Arial Narrow" w:hAnsi="Arial Narrow"/>
          <w:b/>
          <w:bCs/>
        </w:rPr>
        <w:t xml:space="preserve">Žiaci so ZZ vzdelávajúci sa v špeciálnych stredných odborných školách, v odborných učilištiach a praktických školách sa nemôžu zapojiť do duálneho vzdelávania. </w:t>
      </w:r>
      <w:r>
        <w:rPr>
          <w:rFonts w:ascii="Arial Narrow" w:hAnsi="Arial Narrow"/>
          <w:bCs/>
        </w:rPr>
        <w:t>V súla</w:t>
      </w:r>
      <w:r w:rsidR="00C13605">
        <w:rPr>
          <w:rFonts w:ascii="Arial Narrow" w:hAnsi="Arial Narrow"/>
          <w:bCs/>
        </w:rPr>
        <w:t>de s platnou legislatívou sa do </w:t>
      </w:r>
      <w:r>
        <w:rPr>
          <w:rFonts w:ascii="Arial Narrow" w:hAnsi="Arial Narrow"/>
          <w:bCs/>
        </w:rPr>
        <w:t>duálneho vzdelávania môžu zapájať iba žiaci bežných stredných odborných škôl.</w:t>
      </w:r>
      <w:r>
        <w:rPr>
          <w:rStyle w:val="Odkaznapoznmkupodiarou"/>
          <w:rFonts w:ascii="Arial Narrow" w:hAnsi="Arial Narrow"/>
          <w:b/>
          <w:bCs/>
        </w:rPr>
        <w:footnoteReference w:id="291"/>
      </w:r>
      <w:r w:rsidR="009A5E2E">
        <w:rPr>
          <w:rFonts w:ascii="Arial Narrow" w:hAnsi="Arial Narrow"/>
          <w:bCs/>
        </w:rPr>
        <w:t xml:space="preserve"> </w:t>
      </w:r>
      <w:r>
        <w:rPr>
          <w:rFonts w:ascii="Arial Narrow" w:hAnsi="Arial Narrow"/>
          <w:bCs/>
        </w:rPr>
        <w:t xml:space="preserve">Takýto prístup je v rozpore s medzinárodnou dobrou praxou. Odborníci upozorňujú, že prístup k duálnemu vzdelávaniu by mali mať žiaci všetkých škôl bez ohľadu na ich špeciálne potreby. Dôležité je, (1) aby všetky školy mali možnosť rozvíjať partnerstvá s miestnymi zamestnávateľmi, (2) </w:t>
      </w:r>
      <w:r w:rsidRPr="00972BCE">
        <w:rPr>
          <w:rFonts w:ascii="Arial Narrow" w:hAnsi="Arial Narrow"/>
          <w:bCs/>
        </w:rPr>
        <w:t>aby kompetentný personál</w:t>
      </w:r>
      <w:r>
        <w:rPr>
          <w:rFonts w:ascii="Arial Narrow" w:hAnsi="Arial Narrow"/>
          <w:bCs/>
        </w:rPr>
        <w:t>, ktorý sa zameria na prípravu žiakov a na poskytnutie podporných činností</w:t>
      </w:r>
      <w:r w:rsidRPr="00972BCE">
        <w:rPr>
          <w:rFonts w:ascii="Arial Narrow" w:hAnsi="Arial Narrow"/>
          <w:bCs/>
        </w:rPr>
        <w:t xml:space="preserve"> na plnenie </w:t>
      </w:r>
      <w:r>
        <w:rPr>
          <w:rFonts w:ascii="Arial Narrow" w:hAnsi="Arial Narrow"/>
          <w:bCs/>
        </w:rPr>
        <w:t>ich potrieb (Scholl, L. a kol., 2004) a potrieb zamestnávateľov bol dostupný pred zapojením sa aj počas zapojenia sa do praxe (</w:t>
      </w:r>
      <w:r w:rsidR="009A5E2E" w:rsidRPr="009A5E2E">
        <w:rPr>
          <w:rFonts w:ascii="Arial Narrow" w:hAnsi="Arial Narrow"/>
          <w:bCs/>
        </w:rPr>
        <w:fldChar w:fldCharType="begin"/>
      </w:r>
      <w:r w:rsidR="009A5E2E" w:rsidRPr="009A5E2E">
        <w:rPr>
          <w:rFonts w:ascii="Arial Narrow" w:hAnsi="Arial Narrow"/>
          <w:bCs/>
        </w:rPr>
        <w:instrText xml:space="preserve"> REF _Ref33277895 \h  \* MERGEFORMAT </w:instrText>
      </w:r>
      <w:r w:rsidR="009A5E2E" w:rsidRPr="009A5E2E">
        <w:rPr>
          <w:rFonts w:ascii="Arial Narrow" w:hAnsi="Arial Narrow"/>
          <w:bCs/>
        </w:rPr>
      </w:r>
      <w:r w:rsidR="009A5E2E" w:rsidRPr="009A5E2E">
        <w:rPr>
          <w:rFonts w:ascii="Arial Narrow" w:hAnsi="Arial Narrow"/>
          <w:bCs/>
        </w:rPr>
        <w:fldChar w:fldCharType="separate"/>
      </w:r>
      <w:r w:rsidR="00FA29AF" w:rsidRPr="00FA29AF">
        <w:rPr>
          <w:rFonts w:ascii="Arial Narrow" w:hAnsi="Arial Narrow"/>
          <w:bCs/>
          <w:color w:val="000000"/>
        </w:rPr>
        <w:t xml:space="preserve">Box </w:t>
      </w:r>
      <w:r w:rsidR="00FA29AF" w:rsidRPr="00FA29AF">
        <w:rPr>
          <w:rFonts w:ascii="Arial Narrow" w:hAnsi="Arial Narrow"/>
          <w:bCs/>
          <w:noProof/>
          <w:color w:val="000000"/>
        </w:rPr>
        <w:t>11</w:t>
      </w:r>
      <w:r w:rsidR="009A5E2E" w:rsidRPr="009A5E2E">
        <w:rPr>
          <w:rFonts w:ascii="Arial Narrow" w:hAnsi="Arial Narrow"/>
          <w:bCs/>
        </w:rPr>
        <w:fldChar w:fldCharType="end"/>
      </w:r>
      <w:r>
        <w:rPr>
          <w:rFonts w:ascii="Arial Narrow" w:hAnsi="Arial Narrow"/>
          <w:bCs/>
        </w:rPr>
        <w:t>), a (3) aby boli na tieto činnosti vyčlenené potrebné zdroje. Ukazuje sa, že účasť na duálnom vzdelávaní predstavuje efektívny prístup na predchádzanie ako aj elimináciu predčasného ukončovania štúdia a zjednodušuje prestup na otvorený trh práce (EASNIE, 2014</w:t>
      </w:r>
      <w:r w:rsidRPr="002A7EC0">
        <w:rPr>
          <w:rFonts w:ascii="Arial Narrow" w:hAnsi="Arial Narrow"/>
          <w:bCs/>
        </w:rPr>
        <w:t>;</w:t>
      </w:r>
      <w:r>
        <w:rPr>
          <w:rFonts w:ascii="Arial Narrow" w:hAnsi="Arial Narrow"/>
          <w:bCs/>
        </w:rPr>
        <w:t xml:space="preserve"> EASNIE, 2013). </w:t>
      </w:r>
    </w:p>
    <w:p w14:paraId="39E80FB0" w14:textId="4DD5DB6D" w:rsidR="00C31ECA" w:rsidRPr="00C31ECA" w:rsidRDefault="00C31ECA" w:rsidP="00452DBC">
      <w:pPr>
        <w:pStyle w:val="Bezriadkovania"/>
        <w:spacing w:after="200" w:line="259" w:lineRule="auto"/>
        <w:jc w:val="both"/>
        <w:rPr>
          <w:rFonts w:ascii="Arial Narrow" w:hAnsi="Arial Narrow"/>
          <w:bCs/>
        </w:rPr>
      </w:pPr>
      <w:r w:rsidRPr="00484B05">
        <w:rPr>
          <w:rFonts w:ascii="Arial Narrow" w:hAnsi="Arial Narrow"/>
          <w:b/>
          <w:bCs/>
        </w:rPr>
        <w:t>Revízia preto navrhuje upraviť zákon o odbornom vzdelávaní tak, aby sa aj žiaci zo špeciálnych stredných odborných škôl, odborných učilíšť a praktických škôl mohli zapojiť do systému duálneho vzdelávania. Na podporu implementácie duálneho vzdelávania vo vzťahu ku žiakom so ZZ by mohli byť použité doposiaľ nevyčerpané zdroje z Národné</w:t>
      </w:r>
      <w:r w:rsidR="00C13605">
        <w:rPr>
          <w:rFonts w:ascii="Arial Narrow" w:hAnsi="Arial Narrow"/>
          <w:b/>
          <w:bCs/>
        </w:rPr>
        <w:t>ho</w:t>
      </w:r>
      <w:r w:rsidRPr="00484B05">
        <w:rPr>
          <w:rFonts w:ascii="Arial Narrow" w:hAnsi="Arial Narrow"/>
          <w:b/>
          <w:bCs/>
        </w:rPr>
        <w:t xml:space="preserve"> projektu Duálne vzdelávanie.</w:t>
      </w:r>
      <w:r w:rsidRPr="009F02C4">
        <w:rPr>
          <w:rStyle w:val="Odkaznapoznmkupodiarou"/>
          <w:rFonts w:ascii="Arial Narrow" w:hAnsi="Arial Narrow"/>
          <w:b/>
          <w:bCs/>
        </w:rPr>
        <w:footnoteReference w:id="292"/>
      </w:r>
    </w:p>
    <w:tbl>
      <w:tblPr>
        <w:tblW w:w="0" w:type="auto"/>
        <w:shd w:val="clear" w:color="auto" w:fill="BDD6EE" w:themeFill="accent1" w:themeFillTint="66"/>
        <w:tblLook w:val="04A0" w:firstRow="1" w:lastRow="0" w:firstColumn="1" w:lastColumn="0" w:noHBand="0" w:noVBand="1"/>
      </w:tblPr>
      <w:tblGrid>
        <w:gridCol w:w="9026"/>
      </w:tblGrid>
      <w:tr w:rsidR="00C31ECA" w14:paraId="36A92717" w14:textId="77777777" w:rsidTr="00C31ECA">
        <w:tc>
          <w:tcPr>
            <w:tcW w:w="9080" w:type="dxa"/>
            <w:shd w:val="clear" w:color="auto" w:fill="BDD6EE" w:themeFill="accent1" w:themeFillTint="66"/>
          </w:tcPr>
          <w:p w14:paraId="2D239014" w14:textId="730B41A0" w:rsidR="00C31ECA" w:rsidRPr="00CA6AD8" w:rsidRDefault="00C31ECA" w:rsidP="00452DBC">
            <w:pPr>
              <w:spacing w:before="120"/>
              <w:rPr>
                <w:b/>
                <w:szCs w:val="22"/>
              </w:rPr>
            </w:pPr>
            <w:bookmarkStart w:id="437" w:name="_Ref33277895"/>
            <w:r w:rsidRPr="00A425AB">
              <w:rPr>
                <w:b/>
                <w:color w:val="000000"/>
                <w:szCs w:val="22"/>
              </w:rPr>
              <w:t xml:space="preserve">Box </w:t>
            </w:r>
            <w:r w:rsidRPr="00A425AB">
              <w:rPr>
                <w:b/>
                <w:color w:val="000000"/>
                <w:szCs w:val="22"/>
              </w:rPr>
              <w:fldChar w:fldCharType="begin"/>
            </w:r>
            <w:r w:rsidRPr="00A425AB">
              <w:rPr>
                <w:b/>
                <w:color w:val="000000"/>
                <w:szCs w:val="22"/>
              </w:rPr>
              <w:instrText xml:space="preserve"> SEQ Box \* ARABIC </w:instrText>
            </w:r>
            <w:r w:rsidRPr="00A425AB">
              <w:rPr>
                <w:b/>
                <w:color w:val="000000"/>
                <w:szCs w:val="22"/>
              </w:rPr>
              <w:fldChar w:fldCharType="separate"/>
            </w:r>
            <w:r w:rsidR="00FA29AF">
              <w:rPr>
                <w:b/>
                <w:noProof/>
                <w:color w:val="000000"/>
                <w:szCs w:val="22"/>
              </w:rPr>
              <w:t>11</w:t>
            </w:r>
            <w:r w:rsidRPr="00A425AB">
              <w:rPr>
                <w:b/>
                <w:color w:val="000000"/>
                <w:szCs w:val="22"/>
              </w:rPr>
              <w:fldChar w:fldCharType="end"/>
            </w:r>
            <w:bookmarkEnd w:id="437"/>
            <w:r w:rsidRPr="00CA6AD8">
              <w:rPr>
                <w:b/>
                <w:szCs w:val="22"/>
              </w:rPr>
              <w:t xml:space="preserve">: </w:t>
            </w:r>
            <w:r>
              <w:rPr>
                <w:b/>
                <w:szCs w:val="22"/>
              </w:rPr>
              <w:t>Projekt „Autisti v práci“</w:t>
            </w:r>
          </w:p>
          <w:p w14:paraId="46AB5A04" w14:textId="525F1B5E" w:rsidR="00C31ECA" w:rsidRPr="00C31ECA" w:rsidRDefault="00C31ECA" w:rsidP="00C13605">
            <w:pPr>
              <w:pStyle w:val="Textpoznmkypodiarou"/>
              <w:spacing w:after="200" w:line="259" w:lineRule="auto"/>
              <w:rPr>
                <w:sz w:val="22"/>
                <w:szCs w:val="22"/>
              </w:rPr>
            </w:pPr>
            <w:r w:rsidRPr="00C31ECA">
              <w:rPr>
                <w:sz w:val="22"/>
                <w:szCs w:val="22"/>
              </w:rPr>
              <w:t>Príklad dobrej praxe v oblasti zapracovávania sa a zamestnávania ľudí so ZZ predstavuje projekt občianskeho združenia SPOSA „Autisti v práci“. Vďaka projektu si našlo zamestnanie 23 ľudí s autizmom. V rámci projektu pôsobili tzv. job kouči, ktorí počas dvoch rokov pripravovali na prácu uchádzača o zamestnanie. Zamestnávateľovi zase pomáhali pripraviť sa na zapracovanie a prijatie zamestnanca so znevýhodnením. V čase realizácie projektu predstavovali ročné náklady štátu na jedného človeka s autizmom v domove sociálnych služieb približne 12 000 eur, pričom priemerné náklady za job kouča boli 12 800 eur za dva roky.</w:t>
            </w:r>
            <w:r w:rsidR="0070047D">
              <w:rPr>
                <w:sz w:val="22"/>
                <w:szCs w:val="22"/>
              </w:rPr>
              <w:t xml:space="preserve"> </w:t>
            </w:r>
            <w:r w:rsidRPr="00C31ECA">
              <w:rPr>
                <w:sz w:val="22"/>
                <w:szCs w:val="22"/>
              </w:rPr>
              <w:t>V dlhodobom horizonte predstavuje tento typ intervencie významné úspory pre štát, keďže významne znižuje odkázanosť človeka so ZZ na sociálne služb</w:t>
            </w:r>
            <w:r w:rsidR="00C13605">
              <w:rPr>
                <w:sz w:val="22"/>
                <w:szCs w:val="22"/>
              </w:rPr>
              <w:t>y (SPOSA, 2019</w:t>
            </w:r>
            <w:r w:rsidRPr="00C31ECA">
              <w:rPr>
                <w:sz w:val="22"/>
                <w:szCs w:val="22"/>
              </w:rPr>
              <w:t>). Uvedený typ job koučingu by sa dal analogicky využiť aj pri zapájaní žiakov so ZZ do duálneho vzdelávania.</w:t>
            </w:r>
          </w:p>
        </w:tc>
      </w:tr>
    </w:tbl>
    <w:p w14:paraId="22AE4BB1" w14:textId="77777777" w:rsidR="00C13605" w:rsidRDefault="00C13605">
      <w:pPr>
        <w:spacing w:after="160"/>
        <w:jc w:val="left"/>
        <w:rPr>
          <w:rFonts w:eastAsiaTheme="majorEastAsia" w:cstheme="majorBidi"/>
          <w:color w:val="0070C0"/>
          <w:sz w:val="26"/>
          <w:szCs w:val="26"/>
        </w:rPr>
      </w:pPr>
      <w:r>
        <w:br w:type="page"/>
      </w:r>
    </w:p>
    <w:p w14:paraId="01F6768B" w14:textId="415CDD9B" w:rsidR="008E166F" w:rsidRPr="00A47998" w:rsidRDefault="008E166F" w:rsidP="00452DBC">
      <w:pPr>
        <w:pStyle w:val="Nadpis2"/>
        <w:spacing w:before="200"/>
        <w:ind w:left="431" w:hanging="431"/>
      </w:pPr>
      <w:bookmarkStart w:id="438" w:name="_Toc34657724"/>
      <w:r w:rsidRPr="00A47998">
        <w:t>Vysokoškolské vzdelávanie</w:t>
      </w:r>
      <w:bookmarkEnd w:id="438"/>
    </w:p>
    <w:p w14:paraId="672E57E2" w14:textId="77777777" w:rsidR="008E166F" w:rsidRDefault="008E166F" w:rsidP="00452DBC">
      <w:pPr>
        <w:pStyle w:val="Bezriadkovania"/>
        <w:spacing w:before="160" w:after="200" w:line="259" w:lineRule="auto"/>
        <w:jc w:val="both"/>
        <w:rPr>
          <w:rFonts w:ascii="Arial Narrow" w:hAnsi="Arial Narrow"/>
          <w:color w:val="0070C0"/>
        </w:rPr>
      </w:pPr>
      <w:r w:rsidRPr="00A47998">
        <w:rPr>
          <w:rFonts w:ascii="Arial Narrow" w:hAnsi="Arial Narrow"/>
          <w:color w:val="0070C0"/>
        </w:rPr>
        <w:t>Výsledky vzdelávania zdravotne znevýhodnených študentov na vysokých školách</w:t>
      </w:r>
    </w:p>
    <w:p w14:paraId="77EE6B71" w14:textId="48935477" w:rsidR="008E166F" w:rsidRDefault="008E166F" w:rsidP="00452DBC">
      <w:r w:rsidRPr="00B0559E">
        <w:rPr>
          <w:b/>
          <w:bCs/>
        </w:rPr>
        <w:t xml:space="preserve">V roku 2018 predstavovali študenti so ZZ iba </w:t>
      </w:r>
      <w:r>
        <w:rPr>
          <w:b/>
          <w:bCs/>
        </w:rPr>
        <w:t xml:space="preserve">1 </w:t>
      </w:r>
      <w:r w:rsidRPr="00B0559E">
        <w:rPr>
          <w:b/>
          <w:bCs/>
        </w:rPr>
        <w:t xml:space="preserve">% populácie študentov </w:t>
      </w:r>
      <w:r>
        <w:rPr>
          <w:b/>
          <w:bCs/>
        </w:rPr>
        <w:t xml:space="preserve">verejných </w:t>
      </w:r>
      <w:r w:rsidRPr="00B0559E">
        <w:rPr>
          <w:b/>
          <w:bCs/>
        </w:rPr>
        <w:t>vysokých škôl</w:t>
      </w:r>
      <w:r>
        <w:rPr>
          <w:b/>
          <w:bCs/>
        </w:rPr>
        <w:t xml:space="preserve"> (1 054 študentov)</w:t>
      </w:r>
      <w:r w:rsidRPr="00B0559E">
        <w:rPr>
          <w:b/>
          <w:bCs/>
        </w:rPr>
        <w:t>.</w:t>
      </w:r>
      <w:r>
        <w:rPr>
          <w:rStyle w:val="Odkaznapoznmkupodiarou"/>
          <w:b/>
          <w:bCs/>
        </w:rPr>
        <w:footnoteReference w:id="293"/>
      </w:r>
      <w:r>
        <w:t xml:space="preserve"> Zastúpenie študentov so ZZ bolo na jednotlivých vysokých školách rôzne od 0,6 % na Technickej univerzite v Košiciach po 3 % na Katolíckej univerzite v Ružomberku (</w:t>
      </w:r>
      <w:r w:rsidR="00213C05" w:rsidRPr="00213C05">
        <w:fldChar w:fldCharType="begin"/>
      </w:r>
      <w:r w:rsidR="00213C05">
        <w:instrText xml:space="preserve"> REF _Ref25844896 \h  \* MERGEFORMAT </w:instrText>
      </w:r>
      <w:r w:rsidR="00213C05" w:rsidRPr="00213C05">
        <w:fldChar w:fldCharType="separate"/>
      </w:r>
      <w:r w:rsidR="00FA29AF" w:rsidRPr="00FA29AF">
        <w:t>Príloha 34</w:t>
      </w:r>
      <w:r w:rsidR="00213C05" w:rsidRPr="00213C05">
        <w:fldChar w:fldCharType="end"/>
      </w:r>
      <w:r>
        <w:t>). Údaje o počte študentov so ZZ na súkromných vysokých školách nie sú dostupné.</w:t>
      </w:r>
    </w:p>
    <w:p w14:paraId="109CC5F0" w14:textId="1513CDE7" w:rsidR="008E166F" w:rsidRDefault="008E166F" w:rsidP="00452DBC">
      <w:r w:rsidRPr="00B0559E">
        <w:rPr>
          <w:b/>
          <w:bCs/>
        </w:rPr>
        <w:t>Najpočetnejšie boli na vysokých školách zastúpení chorí a zdravotne oslabení študenti (</w:t>
      </w:r>
      <w:r>
        <w:rPr>
          <w:b/>
          <w:bCs/>
        </w:rPr>
        <w:t>45,5</w:t>
      </w:r>
      <w:r w:rsidRPr="00B0559E">
        <w:rPr>
          <w:b/>
          <w:bCs/>
        </w:rPr>
        <w:t xml:space="preserve"> %), študenti s poruchami učenia (2</w:t>
      </w:r>
      <w:r>
        <w:rPr>
          <w:b/>
          <w:bCs/>
        </w:rPr>
        <w:t>0</w:t>
      </w:r>
      <w:r w:rsidRPr="00B0559E">
        <w:rPr>
          <w:b/>
          <w:bCs/>
        </w:rPr>
        <w:t>,</w:t>
      </w:r>
      <w:r>
        <w:rPr>
          <w:b/>
          <w:bCs/>
        </w:rPr>
        <w:t>2</w:t>
      </w:r>
      <w:r w:rsidRPr="00B0559E">
        <w:rPr>
          <w:b/>
          <w:bCs/>
        </w:rPr>
        <w:t xml:space="preserve"> %) a študenti s telesným postihnutím (</w:t>
      </w:r>
      <w:r>
        <w:rPr>
          <w:b/>
          <w:bCs/>
        </w:rPr>
        <w:t>18,7</w:t>
      </w:r>
      <w:r w:rsidRPr="00B0559E">
        <w:rPr>
          <w:b/>
          <w:bCs/>
        </w:rPr>
        <w:t xml:space="preserve"> %).</w:t>
      </w:r>
      <w:r>
        <w:t xml:space="preserve"> Ostatní študenti so ZZ predstavovali od 2,7 % po 8 % školskej populácie (</w:t>
      </w:r>
      <w:r w:rsidR="00355F83" w:rsidRPr="00355F83">
        <w:fldChar w:fldCharType="begin"/>
      </w:r>
      <w:r w:rsidR="00355F83" w:rsidRPr="00355F83">
        <w:instrText xml:space="preserve"> REF _Ref25749153 \h </w:instrText>
      </w:r>
      <w:r w:rsidR="00355F83">
        <w:instrText xml:space="preserve"> \* MERGEFORMAT </w:instrText>
      </w:r>
      <w:r w:rsidR="00355F83" w:rsidRPr="00355F83">
        <w:fldChar w:fldCharType="separate"/>
      </w:r>
      <w:r w:rsidR="00FA29AF" w:rsidRPr="00FA29AF">
        <w:t>Tabuľka 22</w:t>
      </w:r>
      <w:r w:rsidR="00355F83" w:rsidRPr="00355F83">
        <w:fldChar w:fldCharType="end"/>
      </w:r>
      <w:r w:rsidRPr="00355F83">
        <w:t>)</w:t>
      </w:r>
      <w:r>
        <w:t>.</w:t>
      </w:r>
    </w:p>
    <w:p w14:paraId="5411B2E5" w14:textId="313A17A5" w:rsidR="00373238" w:rsidRDefault="00865FC7" w:rsidP="00A279BC">
      <w:r w:rsidRPr="00B0559E">
        <w:rPr>
          <w:b/>
          <w:bCs/>
        </w:rPr>
        <w:t xml:space="preserve">V roku 2018 každá vysoká škola vzdelávala aspoň jedného študenta so ZZ. </w:t>
      </w:r>
      <w:r>
        <w:t>Podľa zistení reprezentatívneho prieskumu vzdelávala študentov so ZZ počas svojho pôsobenia viac ako polovica vyso</w:t>
      </w:r>
      <w:r w:rsidR="009D226F">
        <w:t>koškolských</w:t>
      </w:r>
      <w:r w:rsidR="00213C05">
        <w:t xml:space="preserve"> učiteľov (53,6 </w:t>
      </w:r>
      <w:r w:rsidR="009D226F">
        <w:t>%) (To dá rozum, 2019).</w:t>
      </w:r>
    </w:p>
    <w:p w14:paraId="7300BE81" w14:textId="7D27D189" w:rsidR="00355F83" w:rsidRPr="00355F83" w:rsidRDefault="00355F83" w:rsidP="00355F83">
      <w:pPr>
        <w:pStyle w:val="Popis"/>
        <w:keepNext/>
        <w:spacing w:after="0"/>
        <w:rPr>
          <w:b/>
          <w:i w:val="0"/>
          <w:color w:val="auto"/>
          <w:sz w:val="20"/>
          <w:szCs w:val="20"/>
        </w:rPr>
      </w:pPr>
      <w:bookmarkStart w:id="439" w:name="_Ref25749153"/>
      <w:bookmarkStart w:id="440" w:name="_Toc34156861"/>
      <w:r w:rsidRPr="00355F83">
        <w:rPr>
          <w:b/>
          <w:i w:val="0"/>
          <w:color w:val="auto"/>
          <w:sz w:val="20"/>
          <w:szCs w:val="20"/>
        </w:rPr>
        <w:t xml:space="preserve">Tabuľka </w:t>
      </w:r>
      <w:r w:rsidRPr="00355F83">
        <w:rPr>
          <w:b/>
          <w:i w:val="0"/>
          <w:color w:val="auto"/>
          <w:sz w:val="20"/>
          <w:szCs w:val="20"/>
        </w:rPr>
        <w:fldChar w:fldCharType="begin"/>
      </w:r>
      <w:r w:rsidRPr="00355F83">
        <w:rPr>
          <w:b/>
          <w:i w:val="0"/>
          <w:color w:val="auto"/>
          <w:sz w:val="20"/>
          <w:szCs w:val="20"/>
        </w:rPr>
        <w:instrText xml:space="preserve"> SEQ Tabuľka \* ARABIC </w:instrText>
      </w:r>
      <w:r w:rsidRPr="00355F83">
        <w:rPr>
          <w:b/>
          <w:i w:val="0"/>
          <w:color w:val="auto"/>
          <w:sz w:val="20"/>
          <w:szCs w:val="20"/>
        </w:rPr>
        <w:fldChar w:fldCharType="separate"/>
      </w:r>
      <w:r w:rsidR="00FA29AF">
        <w:rPr>
          <w:b/>
          <w:i w:val="0"/>
          <w:noProof/>
          <w:color w:val="auto"/>
          <w:sz w:val="20"/>
          <w:szCs w:val="20"/>
        </w:rPr>
        <w:t>22</w:t>
      </w:r>
      <w:r w:rsidRPr="00355F83">
        <w:rPr>
          <w:b/>
          <w:i w:val="0"/>
          <w:color w:val="auto"/>
          <w:sz w:val="20"/>
          <w:szCs w:val="20"/>
        </w:rPr>
        <w:fldChar w:fldCharType="end"/>
      </w:r>
      <w:bookmarkEnd w:id="439"/>
      <w:r w:rsidRPr="00355F83">
        <w:rPr>
          <w:b/>
          <w:i w:val="0"/>
          <w:color w:val="auto"/>
          <w:sz w:val="20"/>
          <w:szCs w:val="20"/>
        </w:rPr>
        <w:t>:</w:t>
      </w:r>
      <w:r w:rsidRPr="00355F83">
        <w:rPr>
          <w:b/>
          <w:bCs/>
          <w:i w:val="0"/>
          <w:color w:val="auto"/>
          <w:sz w:val="20"/>
          <w:szCs w:val="20"/>
        </w:rPr>
        <w:t xml:space="preserve"> Podiel študentov s jednotlivými druhmi zdravotných znevýhodnení (2018)</w:t>
      </w:r>
      <w:bookmarkEnd w:id="440"/>
    </w:p>
    <w:tbl>
      <w:tblPr>
        <w:tblW w:w="5000" w:type="pct"/>
        <w:tblLayout w:type="fixed"/>
        <w:tblCellMar>
          <w:left w:w="70" w:type="dxa"/>
          <w:right w:w="70" w:type="dxa"/>
        </w:tblCellMar>
        <w:tblLook w:val="04A0" w:firstRow="1" w:lastRow="0" w:firstColumn="1" w:lastColumn="0" w:noHBand="0" w:noVBand="1"/>
      </w:tblPr>
      <w:tblGrid>
        <w:gridCol w:w="6065"/>
        <w:gridCol w:w="2961"/>
      </w:tblGrid>
      <w:tr w:rsidR="004D5EBE" w:rsidRPr="00922B21" w14:paraId="0FAC48D4" w14:textId="77777777" w:rsidTr="009A45CC">
        <w:trPr>
          <w:trHeight w:val="300"/>
        </w:trPr>
        <w:tc>
          <w:tcPr>
            <w:tcW w:w="3360" w:type="pct"/>
            <w:tcBorders>
              <w:top w:val="single" w:sz="4" w:space="0" w:color="auto"/>
              <w:left w:val="nil"/>
              <w:bottom w:val="nil"/>
            </w:tcBorders>
            <w:shd w:val="clear" w:color="auto" w:fill="auto"/>
            <w:noWrap/>
            <w:vAlign w:val="bottom"/>
          </w:tcPr>
          <w:p w14:paraId="79DBCBBF" w14:textId="77777777" w:rsidR="004D5EBE" w:rsidRPr="00C90ADD" w:rsidRDefault="004D5EBE" w:rsidP="00B35CF6">
            <w:pPr>
              <w:spacing w:after="0" w:line="240" w:lineRule="auto"/>
              <w:rPr>
                <w:rFonts w:eastAsia="Times New Roman" w:cs="Calibri"/>
                <w:bCs/>
                <w:color w:val="000000"/>
                <w:sz w:val="20"/>
                <w:lang w:eastAsia="sk-SK"/>
              </w:rPr>
            </w:pPr>
          </w:p>
        </w:tc>
        <w:tc>
          <w:tcPr>
            <w:tcW w:w="1640" w:type="pct"/>
            <w:tcBorders>
              <w:top w:val="single" w:sz="4" w:space="0" w:color="auto"/>
              <w:bottom w:val="single" w:sz="4" w:space="0" w:color="auto"/>
              <w:right w:val="nil"/>
            </w:tcBorders>
            <w:shd w:val="clear" w:color="auto" w:fill="auto"/>
            <w:noWrap/>
            <w:vAlign w:val="bottom"/>
          </w:tcPr>
          <w:p w14:paraId="002467BC" w14:textId="5F72A2F7" w:rsidR="004D5EBE" w:rsidRPr="004D5EBE" w:rsidRDefault="004D5EBE" w:rsidP="009A45CC">
            <w:pPr>
              <w:spacing w:after="0" w:line="240" w:lineRule="auto"/>
              <w:jc w:val="right"/>
              <w:rPr>
                <w:rFonts w:eastAsia="Times New Roman" w:cs="Calibri"/>
                <w:b/>
                <w:color w:val="000000"/>
                <w:sz w:val="20"/>
                <w:lang w:eastAsia="sk-SK"/>
              </w:rPr>
            </w:pPr>
            <w:r w:rsidRPr="004D5EBE">
              <w:rPr>
                <w:rFonts w:eastAsia="Times New Roman" w:cs="Calibri"/>
                <w:b/>
                <w:color w:val="000000"/>
                <w:sz w:val="20"/>
                <w:lang w:eastAsia="sk-SK"/>
              </w:rPr>
              <w:t>Podiel (%)</w:t>
            </w:r>
          </w:p>
        </w:tc>
      </w:tr>
      <w:tr w:rsidR="008E166F" w:rsidRPr="00922B21" w14:paraId="683776E1" w14:textId="77777777" w:rsidTr="009A45CC">
        <w:trPr>
          <w:trHeight w:val="300"/>
        </w:trPr>
        <w:tc>
          <w:tcPr>
            <w:tcW w:w="3360" w:type="pct"/>
            <w:tcBorders>
              <w:top w:val="single" w:sz="4" w:space="0" w:color="auto"/>
              <w:left w:val="nil"/>
              <w:bottom w:val="nil"/>
            </w:tcBorders>
            <w:shd w:val="clear" w:color="auto" w:fill="auto"/>
            <w:noWrap/>
            <w:vAlign w:val="bottom"/>
            <w:hideMark/>
          </w:tcPr>
          <w:p w14:paraId="7C2F910B" w14:textId="77777777" w:rsidR="008E166F" w:rsidRPr="00C90ADD" w:rsidRDefault="008E166F" w:rsidP="00B35CF6">
            <w:pPr>
              <w:spacing w:after="0" w:line="240" w:lineRule="auto"/>
              <w:rPr>
                <w:rFonts w:eastAsia="Times New Roman" w:cs="Calibri"/>
                <w:bCs/>
                <w:color w:val="000000"/>
                <w:sz w:val="20"/>
                <w:lang w:eastAsia="sk-SK"/>
              </w:rPr>
            </w:pPr>
            <w:r w:rsidRPr="00C90ADD">
              <w:rPr>
                <w:rFonts w:eastAsia="Times New Roman" w:cs="Calibri"/>
                <w:bCs/>
                <w:color w:val="000000"/>
                <w:sz w:val="20"/>
                <w:lang w:eastAsia="sk-SK"/>
              </w:rPr>
              <w:t>Chorí a zdravotne oslabení</w:t>
            </w:r>
          </w:p>
        </w:tc>
        <w:tc>
          <w:tcPr>
            <w:tcW w:w="1640" w:type="pct"/>
            <w:tcBorders>
              <w:top w:val="single" w:sz="4" w:space="0" w:color="auto"/>
              <w:bottom w:val="nil"/>
              <w:right w:val="nil"/>
            </w:tcBorders>
            <w:shd w:val="clear" w:color="auto" w:fill="auto"/>
            <w:noWrap/>
            <w:vAlign w:val="bottom"/>
            <w:hideMark/>
          </w:tcPr>
          <w:p w14:paraId="47DC445D" w14:textId="38C239EB" w:rsidR="008E166F" w:rsidRPr="00922B21" w:rsidRDefault="008E166F" w:rsidP="009A45CC">
            <w:pPr>
              <w:spacing w:after="0" w:line="240" w:lineRule="auto"/>
              <w:jc w:val="right"/>
              <w:rPr>
                <w:rFonts w:eastAsia="Times New Roman" w:cs="Calibri"/>
                <w:color w:val="000000"/>
                <w:sz w:val="20"/>
                <w:lang w:eastAsia="sk-SK"/>
              </w:rPr>
            </w:pPr>
            <w:r w:rsidRPr="00922B21">
              <w:rPr>
                <w:rFonts w:eastAsia="Times New Roman" w:cs="Calibri"/>
                <w:color w:val="000000"/>
                <w:sz w:val="20"/>
                <w:lang w:eastAsia="sk-SK"/>
              </w:rPr>
              <w:t>45,5</w:t>
            </w:r>
          </w:p>
        </w:tc>
      </w:tr>
      <w:tr w:rsidR="008E166F" w:rsidRPr="00922B21" w14:paraId="1B737D7B" w14:textId="77777777" w:rsidTr="009A45CC">
        <w:trPr>
          <w:trHeight w:val="300"/>
        </w:trPr>
        <w:tc>
          <w:tcPr>
            <w:tcW w:w="3360" w:type="pct"/>
            <w:tcBorders>
              <w:top w:val="nil"/>
              <w:left w:val="nil"/>
              <w:bottom w:val="nil"/>
            </w:tcBorders>
            <w:shd w:val="clear" w:color="auto" w:fill="auto"/>
            <w:noWrap/>
            <w:vAlign w:val="bottom"/>
            <w:hideMark/>
          </w:tcPr>
          <w:p w14:paraId="32D88070" w14:textId="77777777" w:rsidR="008E166F" w:rsidRPr="00C90ADD" w:rsidRDefault="008E166F" w:rsidP="00B35CF6">
            <w:pPr>
              <w:spacing w:after="0" w:line="240" w:lineRule="auto"/>
              <w:rPr>
                <w:rFonts w:eastAsia="Times New Roman" w:cs="Calibri"/>
                <w:bCs/>
                <w:color w:val="000000"/>
                <w:sz w:val="20"/>
                <w:lang w:eastAsia="sk-SK"/>
              </w:rPr>
            </w:pPr>
            <w:r w:rsidRPr="00C90ADD">
              <w:rPr>
                <w:rFonts w:eastAsia="Times New Roman" w:cs="Calibri"/>
                <w:bCs/>
                <w:color w:val="000000"/>
                <w:sz w:val="20"/>
                <w:lang w:eastAsia="sk-SK"/>
              </w:rPr>
              <w:t>Vývinové poruchy učenia</w:t>
            </w:r>
          </w:p>
        </w:tc>
        <w:tc>
          <w:tcPr>
            <w:tcW w:w="1640" w:type="pct"/>
            <w:tcBorders>
              <w:top w:val="nil"/>
              <w:bottom w:val="nil"/>
              <w:right w:val="nil"/>
            </w:tcBorders>
            <w:shd w:val="clear" w:color="auto" w:fill="auto"/>
            <w:noWrap/>
            <w:vAlign w:val="bottom"/>
            <w:hideMark/>
          </w:tcPr>
          <w:p w14:paraId="36C41557" w14:textId="0E34AB8B" w:rsidR="008E166F" w:rsidRPr="00922B21" w:rsidRDefault="008E166F" w:rsidP="009A45CC">
            <w:pPr>
              <w:spacing w:after="0" w:line="240" w:lineRule="auto"/>
              <w:jc w:val="right"/>
              <w:rPr>
                <w:rFonts w:eastAsia="Times New Roman" w:cs="Calibri"/>
                <w:color w:val="000000"/>
                <w:sz w:val="20"/>
                <w:lang w:eastAsia="sk-SK"/>
              </w:rPr>
            </w:pPr>
            <w:r w:rsidRPr="00922B21">
              <w:rPr>
                <w:rFonts w:eastAsia="Times New Roman" w:cs="Calibri"/>
                <w:color w:val="000000"/>
                <w:sz w:val="20"/>
                <w:lang w:eastAsia="sk-SK"/>
              </w:rPr>
              <w:t>20,2</w:t>
            </w:r>
          </w:p>
        </w:tc>
      </w:tr>
      <w:tr w:rsidR="008E166F" w:rsidRPr="00922B21" w14:paraId="6E24BEF8" w14:textId="77777777" w:rsidTr="009A45CC">
        <w:trPr>
          <w:trHeight w:val="300"/>
        </w:trPr>
        <w:tc>
          <w:tcPr>
            <w:tcW w:w="3360" w:type="pct"/>
            <w:tcBorders>
              <w:top w:val="nil"/>
              <w:left w:val="nil"/>
              <w:bottom w:val="nil"/>
            </w:tcBorders>
            <w:shd w:val="clear" w:color="auto" w:fill="auto"/>
            <w:noWrap/>
            <w:vAlign w:val="bottom"/>
            <w:hideMark/>
          </w:tcPr>
          <w:p w14:paraId="38A1871D" w14:textId="77777777" w:rsidR="008E166F" w:rsidRPr="00C90ADD" w:rsidRDefault="008E166F" w:rsidP="00B35CF6">
            <w:pPr>
              <w:spacing w:after="0" w:line="240" w:lineRule="auto"/>
              <w:rPr>
                <w:rFonts w:eastAsia="Times New Roman" w:cs="Calibri"/>
                <w:bCs/>
                <w:color w:val="000000"/>
                <w:sz w:val="20"/>
                <w:lang w:eastAsia="sk-SK"/>
              </w:rPr>
            </w:pPr>
            <w:r w:rsidRPr="00C90ADD">
              <w:rPr>
                <w:rFonts w:eastAsia="Times New Roman" w:cs="Calibri"/>
                <w:bCs/>
                <w:color w:val="000000"/>
                <w:sz w:val="20"/>
                <w:lang w:eastAsia="sk-SK"/>
              </w:rPr>
              <w:t>Telesne postihnutí</w:t>
            </w:r>
          </w:p>
        </w:tc>
        <w:tc>
          <w:tcPr>
            <w:tcW w:w="1640" w:type="pct"/>
            <w:tcBorders>
              <w:top w:val="nil"/>
              <w:bottom w:val="nil"/>
              <w:right w:val="nil"/>
            </w:tcBorders>
            <w:shd w:val="clear" w:color="auto" w:fill="auto"/>
            <w:noWrap/>
            <w:vAlign w:val="bottom"/>
            <w:hideMark/>
          </w:tcPr>
          <w:p w14:paraId="27C93C8D" w14:textId="15A59C56" w:rsidR="008E166F" w:rsidRPr="00922B21" w:rsidRDefault="008E166F" w:rsidP="009A45CC">
            <w:pPr>
              <w:spacing w:after="0" w:line="240" w:lineRule="auto"/>
              <w:jc w:val="right"/>
              <w:rPr>
                <w:rFonts w:eastAsia="Times New Roman" w:cs="Calibri"/>
                <w:color w:val="000000"/>
                <w:sz w:val="20"/>
                <w:lang w:eastAsia="sk-SK"/>
              </w:rPr>
            </w:pPr>
            <w:r w:rsidRPr="00922B21">
              <w:rPr>
                <w:rFonts w:eastAsia="Times New Roman" w:cs="Calibri"/>
                <w:color w:val="000000"/>
                <w:sz w:val="20"/>
                <w:lang w:eastAsia="sk-SK"/>
              </w:rPr>
              <w:t>18,7</w:t>
            </w:r>
          </w:p>
        </w:tc>
      </w:tr>
      <w:tr w:rsidR="008E166F" w:rsidRPr="00922B21" w14:paraId="266D88C2" w14:textId="77777777" w:rsidTr="009A45CC">
        <w:trPr>
          <w:trHeight w:val="300"/>
        </w:trPr>
        <w:tc>
          <w:tcPr>
            <w:tcW w:w="3360" w:type="pct"/>
            <w:tcBorders>
              <w:top w:val="nil"/>
              <w:left w:val="nil"/>
              <w:bottom w:val="nil"/>
            </w:tcBorders>
            <w:shd w:val="clear" w:color="auto" w:fill="auto"/>
            <w:noWrap/>
            <w:vAlign w:val="bottom"/>
            <w:hideMark/>
          </w:tcPr>
          <w:p w14:paraId="12BF1074" w14:textId="77777777" w:rsidR="008E166F" w:rsidRPr="00C90ADD" w:rsidRDefault="008E166F" w:rsidP="00B35CF6">
            <w:pPr>
              <w:spacing w:after="0" w:line="240" w:lineRule="auto"/>
              <w:rPr>
                <w:rFonts w:eastAsia="Times New Roman" w:cs="Calibri"/>
                <w:bCs/>
                <w:color w:val="000000"/>
                <w:sz w:val="20"/>
                <w:lang w:eastAsia="sk-SK"/>
              </w:rPr>
            </w:pPr>
            <w:r w:rsidRPr="00C90ADD">
              <w:rPr>
                <w:rFonts w:eastAsia="Times New Roman" w:cs="Calibri"/>
                <w:bCs/>
                <w:color w:val="000000"/>
                <w:sz w:val="20"/>
                <w:lang w:eastAsia="sk-SK"/>
              </w:rPr>
              <w:t>Zrakovo postihnutí</w:t>
            </w:r>
          </w:p>
        </w:tc>
        <w:tc>
          <w:tcPr>
            <w:tcW w:w="1640" w:type="pct"/>
            <w:tcBorders>
              <w:top w:val="nil"/>
              <w:bottom w:val="nil"/>
              <w:right w:val="nil"/>
            </w:tcBorders>
            <w:shd w:val="clear" w:color="auto" w:fill="auto"/>
            <w:noWrap/>
            <w:vAlign w:val="bottom"/>
            <w:hideMark/>
          </w:tcPr>
          <w:p w14:paraId="46E6FC65" w14:textId="0D6B427F" w:rsidR="008E166F" w:rsidRPr="00922B21" w:rsidRDefault="008E166F" w:rsidP="009A45CC">
            <w:pPr>
              <w:spacing w:after="0" w:line="240" w:lineRule="auto"/>
              <w:jc w:val="right"/>
              <w:rPr>
                <w:rFonts w:eastAsia="Times New Roman" w:cs="Calibri"/>
                <w:color w:val="000000"/>
                <w:sz w:val="20"/>
                <w:lang w:eastAsia="sk-SK"/>
              </w:rPr>
            </w:pPr>
            <w:r w:rsidRPr="00922B21">
              <w:rPr>
                <w:rFonts w:eastAsia="Times New Roman" w:cs="Calibri"/>
                <w:color w:val="000000"/>
                <w:sz w:val="20"/>
                <w:lang w:eastAsia="sk-SK"/>
              </w:rPr>
              <w:t>8,0</w:t>
            </w:r>
          </w:p>
        </w:tc>
      </w:tr>
      <w:tr w:rsidR="008E166F" w:rsidRPr="00922B21" w14:paraId="1AF816DE" w14:textId="77777777" w:rsidTr="009A45CC">
        <w:trPr>
          <w:trHeight w:val="300"/>
        </w:trPr>
        <w:tc>
          <w:tcPr>
            <w:tcW w:w="3360" w:type="pct"/>
            <w:tcBorders>
              <w:top w:val="nil"/>
              <w:left w:val="nil"/>
            </w:tcBorders>
            <w:shd w:val="clear" w:color="auto" w:fill="auto"/>
            <w:noWrap/>
            <w:vAlign w:val="bottom"/>
            <w:hideMark/>
          </w:tcPr>
          <w:p w14:paraId="53243AB0" w14:textId="77777777" w:rsidR="008E166F" w:rsidRPr="00C90ADD" w:rsidRDefault="008E166F" w:rsidP="00B35CF6">
            <w:pPr>
              <w:spacing w:after="0" w:line="240" w:lineRule="auto"/>
              <w:rPr>
                <w:rFonts w:eastAsia="Times New Roman" w:cs="Calibri"/>
                <w:bCs/>
                <w:color w:val="000000"/>
                <w:sz w:val="20"/>
                <w:lang w:eastAsia="sk-SK"/>
              </w:rPr>
            </w:pPr>
            <w:r w:rsidRPr="00C90ADD">
              <w:rPr>
                <w:rFonts w:eastAsia="Times New Roman" w:cs="Calibri"/>
                <w:bCs/>
                <w:color w:val="000000"/>
                <w:sz w:val="20"/>
                <w:lang w:eastAsia="sk-SK"/>
              </w:rPr>
              <w:t>Sluchovo postihnutí</w:t>
            </w:r>
          </w:p>
        </w:tc>
        <w:tc>
          <w:tcPr>
            <w:tcW w:w="1640" w:type="pct"/>
            <w:tcBorders>
              <w:top w:val="nil"/>
              <w:right w:val="nil"/>
            </w:tcBorders>
            <w:shd w:val="clear" w:color="auto" w:fill="auto"/>
            <w:noWrap/>
            <w:vAlign w:val="bottom"/>
            <w:hideMark/>
          </w:tcPr>
          <w:p w14:paraId="2FEC6554" w14:textId="66E2BEE7" w:rsidR="008E166F" w:rsidRPr="00922B21" w:rsidRDefault="008E166F" w:rsidP="009A45CC">
            <w:pPr>
              <w:spacing w:after="0" w:line="240" w:lineRule="auto"/>
              <w:jc w:val="right"/>
              <w:rPr>
                <w:rFonts w:eastAsia="Times New Roman" w:cs="Calibri"/>
                <w:color w:val="000000"/>
                <w:sz w:val="20"/>
                <w:lang w:eastAsia="sk-SK"/>
              </w:rPr>
            </w:pPr>
            <w:r w:rsidRPr="00922B21">
              <w:rPr>
                <w:rFonts w:eastAsia="Times New Roman" w:cs="Calibri"/>
                <w:color w:val="000000"/>
                <w:sz w:val="20"/>
                <w:lang w:eastAsia="sk-SK"/>
              </w:rPr>
              <w:t>5,0</w:t>
            </w:r>
          </w:p>
        </w:tc>
      </w:tr>
      <w:tr w:rsidR="008E166F" w:rsidRPr="00922B21" w14:paraId="2B5A1DFE" w14:textId="77777777" w:rsidTr="009A45CC">
        <w:trPr>
          <w:trHeight w:val="300"/>
        </w:trPr>
        <w:tc>
          <w:tcPr>
            <w:tcW w:w="3360" w:type="pct"/>
            <w:tcBorders>
              <w:top w:val="nil"/>
              <w:left w:val="nil"/>
              <w:bottom w:val="single" w:sz="4" w:space="0" w:color="auto"/>
            </w:tcBorders>
            <w:shd w:val="clear" w:color="auto" w:fill="auto"/>
            <w:noWrap/>
            <w:vAlign w:val="bottom"/>
            <w:hideMark/>
          </w:tcPr>
          <w:p w14:paraId="3A9203D6" w14:textId="77777777" w:rsidR="008E166F" w:rsidRPr="00C90ADD" w:rsidRDefault="008E166F" w:rsidP="00B35CF6">
            <w:pPr>
              <w:spacing w:after="0" w:line="240" w:lineRule="auto"/>
              <w:rPr>
                <w:rFonts w:eastAsia="Times New Roman" w:cs="Calibri"/>
                <w:bCs/>
                <w:color w:val="000000"/>
                <w:sz w:val="20"/>
                <w:lang w:eastAsia="sk-SK"/>
              </w:rPr>
            </w:pPr>
            <w:r w:rsidRPr="00C90ADD">
              <w:rPr>
                <w:rFonts w:eastAsia="Times New Roman" w:cs="Calibri"/>
                <w:bCs/>
                <w:color w:val="000000"/>
                <w:sz w:val="20"/>
                <w:lang w:eastAsia="sk-SK"/>
              </w:rPr>
              <w:t>Autizmus</w:t>
            </w:r>
          </w:p>
        </w:tc>
        <w:tc>
          <w:tcPr>
            <w:tcW w:w="1640" w:type="pct"/>
            <w:tcBorders>
              <w:top w:val="nil"/>
              <w:bottom w:val="single" w:sz="4" w:space="0" w:color="auto"/>
              <w:right w:val="nil"/>
            </w:tcBorders>
            <w:shd w:val="clear" w:color="auto" w:fill="auto"/>
            <w:noWrap/>
            <w:vAlign w:val="bottom"/>
            <w:hideMark/>
          </w:tcPr>
          <w:p w14:paraId="0EAA03A2" w14:textId="23C289AC" w:rsidR="008E166F" w:rsidRPr="00922B21" w:rsidRDefault="008E166F" w:rsidP="009A45CC">
            <w:pPr>
              <w:spacing w:after="0" w:line="240" w:lineRule="auto"/>
              <w:jc w:val="right"/>
              <w:rPr>
                <w:rFonts w:eastAsia="Times New Roman" w:cs="Calibri"/>
                <w:color w:val="000000"/>
                <w:sz w:val="20"/>
                <w:lang w:eastAsia="sk-SK"/>
              </w:rPr>
            </w:pPr>
            <w:r w:rsidRPr="00922B21">
              <w:rPr>
                <w:rFonts w:eastAsia="Times New Roman" w:cs="Calibri"/>
                <w:color w:val="000000"/>
                <w:sz w:val="20"/>
                <w:lang w:eastAsia="sk-SK"/>
              </w:rPr>
              <w:t>2,7</w:t>
            </w:r>
          </w:p>
        </w:tc>
      </w:tr>
      <w:tr w:rsidR="008E166F" w:rsidRPr="00922B21" w14:paraId="72162481" w14:textId="77777777" w:rsidTr="009A45CC">
        <w:trPr>
          <w:trHeight w:val="300"/>
        </w:trPr>
        <w:tc>
          <w:tcPr>
            <w:tcW w:w="3360" w:type="pct"/>
            <w:tcBorders>
              <w:top w:val="single" w:sz="4" w:space="0" w:color="auto"/>
              <w:left w:val="nil"/>
              <w:bottom w:val="single" w:sz="4" w:space="0" w:color="auto"/>
            </w:tcBorders>
            <w:shd w:val="clear" w:color="auto" w:fill="auto"/>
            <w:noWrap/>
            <w:vAlign w:val="bottom"/>
            <w:hideMark/>
          </w:tcPr>
          <w:p w14:paraId="3B3D5F55" w14:textId="77777777" w:rsidR="008E166F" w:rsidRPr="00922B21" w:rsidRDefault="008E166F" w:rsidP="00B35CF6">
            <w:pPr>
              <w:spacing w:after="0" w:line="240" w:lineRule="auto"/>
              <w:rPr>
                <w:rFonts w:eastAsia="Times New Roman" w:cs="Calibri"/>
                <w:b/>
                <w:bCs/>
                <w:color w:val="000000"/>
                <w:sz w:val="20"/>
                <w:lang w:eastAsia="sk-SK"/>
              </w:rPr>
            </w:pPr>
            <w:r w:rsidRPr="00922B21">
              <w:rPr>
                <w:rFonts w:eastAsia="Times New Roman" w:cs="Calibri"/>
                <w:b/>
                <w:bCs/>
                <w:color w:val="000000"/>
                <w:sz w:val="20"/>
                <w:lang w:eastAsia="sk-SK"/>
              </w:rPr>
              <w:t>SPOLU</w:t>
            </w:r>
          </w:p>
        </w:tc>
        <w:tc>
          <w:tcPr>
            <w:tcW w:w="1640" w:type="pct"/>
            <w:tcBorders>
              <w:top w:val="single" w:sz="4" w:space="0" w:color="auto"/>
              <w:bottom w:val="single" w:sz="4" w:space="0" w:color="auto"/>
              <w:right w:val="nil"/>
            </w:tcBorders>
            <w:shd w:val="clear" w:color="auto" w:fill="auto"/>
            <w:noWrap/>
            <w:vAlign w:val="bottom"/>
            <w:hideMark/>
          </w:tcPr>
          <w:p w14:paraId="3C7F1359" w14:textId="79285895" w:rsidR="008E166F" w:rsidRPr="00922B21" w:rsidRDefault="008E166F" w:rsidP="009A45CC">
            <w:pPr>
              <w:spacing w:after="0" w:line="240" w:lineRule="auto"/>
              <w:jc w:val="right"/>
              <w:rPr>
                <w:rFonts w:eastAsia="Times New Roman" w:cs="Calibri"/>
                <w:b/>
                <w:bCs/>
                <w:color w:val="000000"/>
                <w:sz w:val="20"/>
                <w:lang w:eastAsia="sk-SK"/>
              </w:rPr>
            </w:pPr>
            <w:r w:rsidRPr="00922B21">
              <w:rPr>
                <w:rFonts w:eastAsia="Times New Roman" w:cs="Calibri"/>
                <w:b/>
                <w:bCs/>
                <w:color w:val="000000"/>
                <w:sz w:val="20"/>
                <w:lang w:eastAsia="sk-SK"/>
              </w:rPr>
              <w:t>100,0</w:t>
            </w:r>
          </w:p>
        </w:tc>
      </w:tr>
      <w:tr w:rsidR="008E166F" w:rsidRPr="00922B21" w14:paraId="4709D38D" w14:textId="77777777" w:rsidTr="009A45CC">
        <w:trPr>
          <w:trHeight w:val="300"/>
        </w:trPr>
        <w:tc>
          <w:tcPr>
            <w:tcW w:w="3360" w:type="pct"/>
            <w:tcBorders>
              <w:top w:val="single" w:sz="4" w:space="0" w:color="auto"/>
              <w:left w:val="nil"/>
              <w:bottom w:val="nil"/>
              <w:right w:val="nil"/>
            </w:tcBorders>
            <w:shd w:val="clear" w:color="auto" w:fill="auto"/>
            <w:noWrap/>
            <w:vAlign w:val="bottom"/>
            <w:hideMark/>
          </w:tcPr>
          <w:p w14:paraId="56836DA3" w14:textId="77777777" w:rsidR="008E166F" w:rsidRPr="00922B21" w:rsidRDefault="008E166F" w:rsidP="00B35CF6">
            <w:pPr>
              <w:spacing w:after="0" w:line="240" w:lineRule="auto"/>
              <w:rPr>
                <w:rFonts w:eastAsia="Times New Roman" w:cs="Calibri"/>
                <w:b/>
                <w:bCs/>
                <w:color w:val="000000"/>
                <w:sz w:val="20"/>
                <w:lang w:eastAsia="sk-SK"/>
              </w:rPr>
            </w:pPr>
            <w:r>
              <w:rPr>
                <w:rFonts w:eastAsia="Times New Roman" w:cs="Calibri"/>
                <w:i/>
                <w:iCs/>
                <w:color w:val="000000"/>
                <w:sz w:val="18"/>
                <w:szCs w:val="18"/>
                <w:lang w:eastAsia="sk-SK"/>
              </w:rPr>
              <w:t>Chorí a zdravotne oslabení študenti zahŕňajú študentov s chronickým, psychickými ochoreniami a so zdravotnými oslabeniami.</w:t>
            </w:r>
          </w:p>
        </w:tc>
        <w:tc>
          <w:tcPr>
            <w:tcW w:w="1640" w:type="pct"/>
            <w:tcBorders>
              <w:top w:val="single" w:sz="4" w:space="0" w:color="auto"/>
              <w:left w:val="nil"/>
              <w:bottom w:val="nil"/>
              <w:right w:val="nil"/>
            </w:tcBorders>
            <w:shd w:val="clear" w:color="auto" w:fill="auto"/>
            <w:noWrap/>
            <w:hideMark/>
          </w:tcPr>
          <w:p w14:paraId="0B11DAF6" w14:textId="77777777" w:rsidR="008E166F" w:rsidRPr="00922B21" w:rsidRDefault="008E166F" w:rsidP="00B35CF6">
            <w:pPr>
              <w:spacing w:after="0" w:line="240" w:lineRule="auto"/>
              <w:jc w:val="right"/>
              <w:rPr>
                <w:rFonts w:ascii="Times New Roman" w:eastAsia="Times New Roman" w:hAnsi="Times New Roman" w:cs="Times New Roman"/>
                <w:sz w:val="20"/>
                <w:lang w:eastAsia="sk-SK"/>
              </w:rPr>
            </w:pPr>
            <w:r w:rsidRPr="00922B21">
              <w:rPr>
                <w:rFonts w:eastAsia="Times New Roman" w:cs="Calibri"/>
                <w:i/>
                <w:iCs/>
                <w:color w:val="000000"/>
                <w:sz w:val="18"/>
                <w:szCs w:val="18"/>
                <w:lang w:eastAsia="sk-SK"/>
              </w:rPr>
              <w:t>Zdroj: prepočty IVP na základe údajov CRŠ MŠVVŠ SR (2018)</w:t>
            </w:r>
            <w:r>
              <w:rPr>
                <w:rFonts w:eastAsia="Times New Roman" w:cs="Calibri"/>
                <w:i/>
                <w:iCs/>
                <w:color w:val="000000"/>
                <w:sz w:val="18"/>
                <w:szCs w:val="18"/>
                <w:lang w:eastAsia="sk-SK"/>
              </w:rPr>
              <w:t>.</w:t>
            </w:r>
          </w:p>
        </w:tc>
      </w:tr>
    </w:tbl>
    <w:p w14:paraId="7118A708" w14:textId="5C9D6F87" w:rsidR="008E166F" w:rsidRDefault="008E166F" w:rsidP="00452DBC">
      <w:pPr>
        <w:pStyle w:val="Bezriadkovania"/>
        <w:spacing w:before="200" w:after="200" w:line="259" w:lineRule="auto"/>
        <w:jc w:val="both"/>
        <w:rPr>
          <w:rFonts w:ascii="Arial Narrow" w:hAnsi="Arial Narrow"/>
          <w:color w:val="0070C0"/>
        </w:rPr>
      </w:pPr>
      <w:r w:rsidRPr="00A47998">
        <w:rPr>
          <w:rFonts w:ascii="Arial Narrow" w:hAnsi="Arial Narrow"/>
          <w:color w:val="0070C0"/>
        </w:rPr>
        <w:t>Existujúce opatrenia na podporu vzdelávania zdravotne znevýhodnených študentov na vysokých školách</w:t>
      </w:r>
    </w:p>
    <w:p w14:paraId="59CCE467" w14:textId="77777777" w:rsidR="008E166F" w:rsidRPr="00C72574" w:rsidRDefault="008E166F" w:rsidP="00452DBC">
      <w:pPr>
        <w:rPr>
          <w:b/>
          <w:u w:val="single"/>
        </w:rPr>
      </w:pPr>
      <w:r>
        <w:rPr>
          <w:b/>
          <w:u w:val="single"/>
        </w:rPr>
        <w:t>Podpora bez</w:t>
      </w:r>
      <w:r w:rsidRPr="00C72574">
        <w:rPr>
          <w:b/>
          <w:u w:val="single"/>
        </w:rPr>
        <w:t>b</w:t>
      </w:r>
      <w:r>
        <w:rPr>
          <w:b/>
          <w:u w:val="single"/>
        </w:rPr>
        <w:t>a</w:t>
      </w:r>
      <w:r w:rsidRPr="00C72574">
        <w:rPr>
          <w:b/>
          <w:u w:val="single"/>
        </w:rPr>
        <w:t>riérovosti</w:t>
      </w:r>
    </w:p>
    <w:p w14:paraId="24631F0F" w14:textId="77777777" w:rsidR="008E166F" w:rsidRDefault="008E166F" w:rsidP="00452DBC">
      <w:r w:rsidRPr="00C72574">
        <w:rPr>
          <w:b/>
        </w:rPr>
        <w:t xml:space="preserve">V roku 2018 bolo na podporu vytvárania prístupného akademického prostredia pre študentov so </w:t>
      </w:r>
      <w:r>
        <w:rPr>
          <w:b/>
        </w:rPr>
        <w:t>ZZ</w:t>
      </w:r>
      <w:r w:rsidRPr="00C72574">
        <w:rPr>
          <w:b/>
        </w:rPr>
        <w:t xml:space="preserve"> vyčlenených 900 tisíc eur.</w:t>
      </w:r>
      <w:r>
        <w:t xml:space="preserve"> Podporených bolo sedem univerzít sumou vo výške 30 až 300 tisíc eur. Prostriedky boli vyčlenené v rámci tematického rozvojového projektu, nevyčleňujú sa však pravidelne.</w:t>
      </w:r>
      <w:r>
        <w:rPr>
          <w:rStyle w:val="Odkaznapoznmkupodiarou"/>
        </w:rPr>
        <w:footnoteReference w:id="294"/>
      </w:r>
      <w:r>
        <w:t xml:space="preserve"> To je problematické, pretože zo zistení prieskumu bezbariérovej prístupnosti vysokoškolských budov (2016) vyplynulo, že takmer polovica (46,5 %) </w:t>
      </w:r>
      <w:r w:rsidRPr="00AA638D">
        <w:t>z celkového počtu hodnotených objektov fakúlt vysokých škôl</w:t>
      </w:r>
      <w:r>
        <w:t xml:space="preserve"> nevyhovuje požiadavkám bezbariérovosti. Ešte horšia bola situácia v prípade študentských domov, kde nevyhovujúci stav vykázalo až 90% objektov.</w:t>
      </w:r>
      <w:r>
        <w:rPr>
          <w:rStyle w:val="Odkaznapoznmkupodiarou"/>
        </w:rPr>
        <w:footnoteReference w:id="295"/>
      </w:r>
      <w:r>
        <w:t xml:space="preserve"> </w:t>
      </w:r>
    </w:p>
    <w:p w14:paraId="331975AB" w14:textId="42062DC2" w:rsidR="009D226F" w:rsidRDefault="009D226F" w:rsidP="00452DBC">
      <w:r>
        <w:t>Pozitívne možno hodnotiť, že na rozdiel od základných a stredných škôl, vysoké školy vnímajú odstraňovanie bariér ako svoju zodpovednosť a venujú tejto téme väčšiu pozornosť (VOP, 2016). Univerzita Komenského vytvorila manuál pre predchádzanie a odstraňovanie architektonických bariér vo vysokoškolskom prostredí (Holenová, 2015) a ministerstvo školstva aktuálne pracuje na vypracovaní Akčného plánu debarierizácie.</w:t>
      </w:r>
      <w:r>
        <w:rPr>
          <w:rStyle w:val="Odkaznapoznmkupodiarou"/>
        </w:rPr>
        <w:footnoteReference w:id="296"/>
      </w:r>
      <w:r w:rsidR="0070047D">
        <w:t xml:space="preserve"> </w:t>
      </w:r>
    </w:p>
    <w:p w14:paraId="72C3F6D7" w14:textId="79A9C570" w:rsidR="009D226F" w:rsidRPr="00C72574" w:rsidRDefault="004342BB" w:rsidP="00452DBC">
      <w:pPr>
        <w:rPr>
          <w:b/>
          <w:u w:val="single"/>
        </w:rPr>
      </w:pPr>
      <w:r>
        <w:rPr>
          <w:b/>
          <w:u w:val="single"/>
        </w:rPr>
        <w:t xml:space="preserve">Dotácie </w:t>
      </w:r>
      <w:r w:rsidR="009D226F" w:rsidRPr="008517BB">
        <w:rPr>
          <w:b/>
          <w:u w:val="single"/>
        </w:rPr>
        <w:t>na zabezpečenie podporných služieb študentom so špecifickými potrebami</w:t>
      </w:r>
    </w:p>
    <w:p w14:paraId="79096559" w14:textId="0AFDE0AD" w:rsidR="004342BB" w:rsidRDefault="004342BB" w:rsidP="00452DBC">
      <w:r w:rsidRPr="002903E8">
        <w:rPr>
          <w:b/>
          <w:bCs/>
        </w:rPr>
        <w:t>V roku 2018 bolo na špecifické potreby 1 054 študentov</w:t>
      </w:r>
      <w:r w:rsidRPr="002903E8">
        <w:rPr>
          <w:rStyle w:val="Odkaznapoznmkupodiarou"/>
          <w:b/>
          <w:bCs/>
        </w:rPr>
        <w:footnoteReference w:id="297"/>
      </w:r>
      <w:r w:rsidRPr="002903E8">
        <w:rPr>
          <w:b/>
          <w:bCs/>
        </w:rPr>
        <w:t xml:space="preserve"> alokovaných 700 tisíc eur, v priemere 664 eur na študenta.</w:t>
      </w:r>
      <w:r>
        <w:t xml:space="preserve"> </w:t>
      </w:r>
      <w:r w:rsidRPr="002903E8">
        <w:rPr>
          <w:b/>
          <w:bCs/>
        </w:rPr>
        <w:t>Požiadavky vysokých škôl boli uspokojené na 52 %, čo predstavuje najnižší podiel uspokojených požiadaviek od roku 2015, keď sa dotácie na špecifické pot</w:t>
      </w:r>
      <w:r>
        <w:rPr>
          <w:b/>
          <w:bCs/>
        </w:rPr>
        <w:t xml:space="preserve">reby začali vyplácať </w:t>
      </w:r>
      <w:r w:rsidR="008E166F">
        <w:rPr>
          <w:b/>
          <w:bCs/>
        </w:rPr>
        <w:t>(</w:t>
      </w:r>
      <w:r w:rsidR="00C04FE6" w:rsidRPr="004D5CFE">
        <w:rPr>
          <w:rFonts w:eastAsia="Arial Narrow" w:cs="Arial Narrow"/>
          <w:color w:val="000000"/>
        </w:rPr>
        <w:fldChar w:fldCharType="begin"/>
      </w:r>
      <w:r w:rsidR="00C04FE6" w:rsidRPr="004D5CFE">
        <w:rPr>
          <w:rFonts w:eastAsia="Arial Narrow" w:cs="Arial Narrow"/>
          <w:color w:val="000000"/>
        </w:rPr>
        <w:instrText xml:space="preserve"> REF _Ref34215182 \h </w:instrText>
      </w:r>
      <w:r w:rsidR="004D5CFE">
        <w:rPr>
          <w:rFonts w:eastAsia="Arial Narrow" w:cs="Arial Narrow"/>
          <w:color w:val="000000"/>
        </w:rPr>
        <w:instrText xml:space="preserve"> \* MERGEFORMAT </w:instrText>
      </w:r>
      <w:r w:rsidR="00C04FE6" w:rsidRPr="004D5CFE">
        <w:rPr>
          <w:rFonts w:eastAsia="Arial Narrow" w:cs="Arial Narrow"/>
          <w:color w:val="000000"/>
        </w:rPr>
      </w:r>
      <w:r w:rsidR="00C04FE6" w:rsidRPr="004D5CFE">
        <w:rPr>
          <w:rFonts w:eastAsia="Arial Narrow" w:cs="Arial Narrow"/>
          <w:color w:val="000000"/>
        </w:rPr>
        <w:fldChar w:fldCharType="separate"/>
      </w:r>
      <w:r w:rsidR="00FA29AF" w:rsidRPr="00FA29AF">
        <w:rPr>
          <w:rFonts w:eastAsia="Arial Narrow" w:cs="Arial Narrow"/>
          <w:color w:val="000000"/>
        </w:rPr>
        <w:t>Príloha 35</w:t>
      </w:r>
      <w:r w:rsidR="00C04FE6" w:rsidRPr="004D5CFE">
        <w:rPr>
          <w:rFonts w:eastAsia="Arial Narrow" w:cs="Arial Narrow"/>
          <w:color w:val="000000"/>
        </w:rPr>
        <w:fldChar w:fldCharType="end"/>
      </w:r>
      <w:r w:rsidR="008E166F" w:rsidRPr="002903E8">
        <w:rPr>
          <w:b/>
          <w:bCs/>
        </w:rPr>
        <w:t>).</w:t>
      </w:r>
      <w:r w:rsidR="008E166F">
        <w:t xml:space="preserve"> </w:t>
      </w:r>
      <w:r w:rsidRPr="004923FD">
        <w:rPr>
          <w:b/>
          <w:bCs/>
        </w:rPr>
        <w:t>Dotácie boli vyplácané iba verejným vysokým školám.</w:t>
      </w:r>
      <w:r>
        <w:t xml:space="preserve"> Zo zákona mali dotácie výšku </w:t>
      </w:r>
      <w:r w:rsidRPr="00AA638D">
        <w:t xml:space="preserve">od 325 </w:t>
      </w:r>
      <w:r>
        <w:t>eur</w:t>
      </w:r>
      <w:r w:rsidRPr="00AA638D">
        <w:t xml:space="preserve"> v prípade chronicky chorých študentov po 5 400 </w:t>
      </w:r>
      <w:r>
        <w:t>eur</w:t>
      </w:r>
      <w:r w:rsidRPr="00AA638D">
        <w:t xml:space="preserve"> v prípade nepočujúcich a nedoslýchavých študentov</w:t>
      </w:r>
      <w:r>
        <w:t>.</w:t>
      </w:r>
      <w:r>
        <w:rPr>
          <w:rStyle w:val="Odkaznapoznmkupodiarou"/>
        </w:rPr>
        <w:footnoteReference w:id="298"/>
      </w:r>
      <w:r>
        <w:t xml:space="preserve"> </w:t>
      </w:r>
      <w:r w:rsidRPr="008102E5">
        <w:t>Školy si tiež môžu zriaďovať vlastné fondy na podporu štúdia študentov so špecifickými potrebami.</w:t>
      </w:r>
      <w:r w:rsidRPr="008102E5">
        <w:rPr>
          <w:rStyle w:val="Odkaznapoznmkupodiarou"/>
        </w:rPr>
        <w:footnoteReference w:id="299"/>
      </w:r>
      <w:r w:rsidR="00546656">
        <w:t xml:space="preserve"> </w:t>
      </w:r>
    </w:p>
    <w:p w14:paraId="7F85E2C1" w14:textId="7881F746" w:rsidR="008E166F" w:rsidRPr="008102E5" w:rsidRDefault="00546656" w:rsidP="00452DBC">
      <w:r w:rsidRPr="003057D8">
        <w:t xml:space="preserve">Využitie finančných prostriedkov je účelovo viazané na zabezpečenie </w:t>
      </w:r>
      <w:r w:rsidRPr="008102E5">
        <w:t>podporných služieb študentom so špecifickými potrebami</w:t>
      </w:r>
      <w:r>
        <w:t>, momentálne však neexistuje usmernenie, ktoré by využitie dotácie bližšie upravovalo</w:t>
      </w:r>
      <w:r w:rsidRPr="008102E5">
        <w:t xml:space="preserve">. </w:t>
      </w:r>
      <w:r>
        <w:t>Vodítkom pre využitie zdrojov môže byť vyhláška o minimálnych nárokoch študenta so špecifickými potrebami, ktorá stanovuje priestorové, materiálne nároky a nároky súvisiace so štúdiom.</w:t>
      </w:r>
      <w:r>
        <w:rPr>
          <w:rStyle w:val="Odkaznapoznmkupodiarou"/>
        </w:rPr>
        <w:footnoteReference w:id="300"/>
      </w:r>
      <w:r>
        <w:t xml:space="preserve"> Inšpiráciou tiež môže byť m</w:t>
      </w:r>
      <w:r w:rsidRPr="008102E5">
        <w:t>etodick</w:t>
      </w:r>
      <w:r>
        <w:t>ý</w:t>
      </w:r>
      <w:r w:rsidRPr="008102E5">
        <w:t xml:space="preserve"> </w:t>
      </w:r>
      <w:r>
        <w:t>materiál o vytváraní podmienok na podporu študentov so špecifickými potrebami. Ten sa zameriava na</w:t>
      </w:r>
      <w:r w:rsidRPr="008102E5">
        <w:t xml:space="preserve"> vytvorenie všeobecne prístupného akademického prostredia</w:t>
      </w:r>
      <w:r>
        <w:t xml:space="preserve"> – na </w:t>
      </w:r>
      <w:r w:rsidRPr="008102E5">
        <w:t>architektonick</w:t>
      </w:r>
      <w:r>
        <w:t>ú</w:t>
      </w:r>
      <w:r w:rsidRPr="008102E5">
        <w:t>, ale aj informačn</w:t>
      </w:r>
      <w:r>
        <w:t>ú</w:t>
      </w:r>
      <w:r w:rsidRPr="008102E5">
        <w:t xml:space="preserve"> debarierizáci</w:t>
      </w:r>
      <w:r>
        <w:t>u</w:t>
      </w:r>
      <w:r w:rsidRPr="008102E5">
        <w:t xml:space="preserve"> s dôrazom na implementáciu pokrokových informačno-komunikačných technológií a služieb.</w:t>
      </w:r>
      <w:r w:rsidRPr="008102E5">
        <w:rPr>
          <w:rStyle w:val="Odkaznapoznmkupodiarou"/>
        </w:rPr>
        <w:footnoteReference w:id="301"/>
      </w:r>
      <w:r w:rsidRPr="008102E5">
        <w:t xml:space="preserve"> </w:t>
      </w:r>
    </w:p>
    <w:p w14:paraId="4E58F070" w14:textId="77777777" w:rsidR="008E166F" w:rsidRPr="007D3840" w:rsidRDefault="008E166F" w:rsidP="00452DBC">
      <w:pPr>
        <w:rPr>
          <w:b/>
          <w:bCs/>
          <w:u w:val="single"/>
        </w:rPr>
      </w:pPr>
      <w:r w:rsidRPr="007D3840">
        <w:rPr>
          <w:b/>
          <w:bCs/>
          <w:u w:val="single"/>
        </w:rPr>
        <w:t>Inštitucionálna podpora</w:t>
      </w:r>
    </w:p>
    <w:p w14:paraId="584D67FD" w14:textId="5B99282D" w:rsidR="00546656" w:rsidRDefault="00546656" w:rsidP="00452DBC">
      <w:r>
        <w:t xml:space="preserve">Na ministerstve školstva je zriadená Rada ministra na podporu štúdia študentov so špecifickými potrebami. Ide o osobitný poradný orgán pri sekcii vysokých škôl, ktorý bol zriadený v roku 2013 za účelom zabezpečenia systematického prístupu k problematike štúdia študentov so špecifickými potrebami. Predstavuje platformu na spoluprácu medzi ministerstvom, vysokými školami a neziskovými organizáciami. </w:t>
      </w:r>
      <w:r>
        <w:rPr>
          <w:rStyle w:val="Odkaznapoznmkupodiarou"/>
        </w:rPr>
        <w:footnoteReference w:id="302"/>
      </w:r>
      <w:r>
        <w:t xml:space="preserve"> Rada sa napríklad aktuálne spolupodieľa na príprave Národného akčného</w:t>
      </w:r>
      <w:r w:rsidRPr="00484B05">
        <w:t xml:space="preserve"> plán</w:t>
      </w:r>
      <w:r>
        <w:t>u</w:t>
      </w:r>
      <w:r w:rsidRPr="00484B05">
        <w:t xml:space="preserve"> na debarierizáciu vysokoškolského prostredia</w:t>
      </w:r>
      <w:r>
        <w:t>.</w:t>
      </w:r>
    </w:p>
    <w:p w14:paraId="242B8804" w14:textId="5512A965" w:rsidR="00416B7B" w:rsidRPr="00452DBC" w:rsidRDefault="00546656" w:rsidP="00452DBC">
      <w:r>
        <w:rPr>
          <w:b/>
        </w:rPr>
        <w:t>Vysoké školy si zriaďujú š</w:t>
      </w:r>
      <w:r w:rsidRPr="007D3840">
        <w:rPr>
          <w:b/>
        </w:rPr>
        <w:t>peciálne pedagogické pracoviská na podporu štúdia študentov so špecifickými potrebami</w:t>
      </w:r>
      <w:r>
        <w:rPr>
          <w:b/>
        </w:rPr>
        <w:t>.</w:t>
      </w:r>
      <w:r>
        <w:rPr>
          <w:rStyle w:val="Odkaznapoznmkupodiarou"/>
          <w:b/>
        </w:rPr>
        <w:footnoteReference w:id="303"/>
      </w:r>
      <w:r>
        <w:rPr>
          <w:b/>
        </w:rPr>
        <w:t xml:space="preserve"> </w:t>
      </w:r>
      <w:r>
        <w:t>Pracoviská na podporu študentov sú zo zákona zriadené na Univerzite Komenského a na Technickej univerzite v Košiciach. P</w:t>
      </w:r>
      <w:r w:rsidRPr="00CC632A">
        <w:t>lnia úlohu metodických, znalostných a koordinačných centier</w:t>
      </w:r>
      <w:r>
        <w:t xml:space="preserve"> a pôsobia v nich koordinátori pre študentov so špecifickými potrebami. Podľa informácií ministerstva školstva sú pracoviská s koordinátormi zriadené aj na všetkých ostatných vysokých školách. Napriek tomu takmer pätina učiteľov vysokých škôl (17,5 %) v reprezentatívnom prieskume uviedla, že pri práci so študentami so špecifickými potrebami nemá žiadnu podporu zo strany univerzity (To dá rozum, 2019). Z prieskumu o podmienkach</w:t>
      </w:r>
      <w:r w:rsidRPr="003057D8">
        <w:t xml:space="preserve"> štúdia a prístupnos</w:t>
      </w:r>
      <w:r>
        <w:t>ti</w:t>
      </w:r>
      <w:r w:rsidRPr="003057D8">
        <w:t xml:space="preserve"> akademického prostredia pre študentov so špecifickými potrebami</w:t>
      </w:r>
      <w:r>
        <w:t xml:space="preserve"> vyplynulo, že o existencii koordinátora nevedeli v niektorých prípadoch ani samotní študenti so špecifickými potrebami (Kešelová a kol. 2017).</w:t>
      </w:r>
      <w:r>
        <w:rPr>
          <w:rStyle w:val="Odkaznapoznmkupodiarou"/>
        </w:rPr>
        <w:footnoteReference w:id="304"/>
      </w:r>
    </w:p>
    <w:p w14:paraId="6B4A2FF7" w14:textId="3BF2BAFA" w:rsidR="00416B7B" w:rsidRPr="00CA2564" w:rsidRDefault="00EA7FF5" w:rsidP="00416B7B">
      <w:pPr>
        <w:pStyle w:val="Nadpis1"/>
      </w:pPr>
      <w:bookmarkStart w:id="441" w:name="_Ref25315280"/>
      <w:bookmarkStart w:id="442" w:name="_Toc34657725"/>
      <w:r w:rsidRPr="00CA2564">
        <w:t>Začleňovanie ohrozených skupín na trhu práce</w:t>
      </w:r>
      <w:bookmarkEnd w:id="441"/>
      <w:bookmarkEnd w:id="442"/>
    </w:p>
    <w:p w14:paraId="0D71089B" w14:textId="06ED78B5" w:rsidR="0029538D" w:rsidRPr="00905D23" w:rsidRDefault="0029538D" w:rsidP="0029538D">
      <w:pPr>
        <w:pStyle w:val="Odsekzoznamu"/>
        <w:numPr>
          <w:ilvl w:val="0"/>
          <w:numId w:val="6"/>
        </w:numPr>
        <w:ind w:left="284" w:hanging="284"/>
        <w:rPr>
          <w:b/>
          <w:color w:val="000000" w:themeColor="text1"/>
        </w:rPr>
      </w:pPr>
      <w:bookmarkStart w:id="443" w:name="_Toc18340936"/>
      <w:r>
        <w:rPr>
          <w:b/>
          <w:color w:val="000000" w:themeColor="text1"/>
        </w:rPr>
        <w:t>Ľudia z prostredia</w:t>
      </w:r>
      <w:r w:rsidRPr="00905D23">
        <w:rPr>
          <w:b/>
          <w:color w:val="000000" w:themeColor="text1"/>
        </w:rPr>
        <w:t xml:space="preserve"> MRK, </w:t>
      </w:r>
      <w:r>
        <w:rPr>
          <w:b/>
          <w:color w:val="000000" w:themeColor="text1"/>
        </w:rPr>
        <w:t xml:space="preserve">ľudia s nízkym vzdelaním, </w:t>
      </w:r>
      <w:r w:rsidRPr="00905D23">
        <w:rPr>
          <w:b/>
          <w:color w:val="000000" w:themeColor="text1"/>
        </w:rPr>
        <w:t>ľudia so zdravotným znevýhodnením</w:t>
      </w:r>
      <w:r w:rsidR="00FC074D">
        <w:rPr>
          <w:b/>
          <w:color w:val="000000" w:themeColor="text1"/>
        </w:rPr>
        <w:t>,</w:t>
      </w:r>
      <w:r w:rsidRPr="00905D23">
        <w:rPr>
          <w:b/>
          <w:color w:val="000000" w:themeColor="text1"/>
        </w:rPr>
        <w:t xml:space="preserve"> ako aj osamelé matky s malými deťmi majú výrazne nižšiu mieru zamestnanosti ako je priemer Slovenska.</w:t>
      </w:r>
    </w:p>
    <w:p w14:paraId="4463DA5B" w14:textId="40583636" w:rsidR="0029538D" w:rsidRPr="00905D23" w:rsidRDefault="0029538D" w:rsidP="0029538D">
      <w:pPr>
        <w:pStyle w:val="Odsekzoznamu"/>
        <w:numPr>
          <w:ilvl w:val="0"/>
          <w:numId w:val="6"/>
        </w:numPr>
        <w:ind w:left="284" w:hanging="284"/>
        <w:rPr>
          <w:b/>
          <w:color w:val="000000" w:themeColor="text1"/>
        </w:rPr>
      </w:pPr>
      <w:r w:rsidRPr="00905D23">
        <w:rPr>
          <w:b/>
          <w:color w:val="000000" w:themeColor="text1"/>
        </w:rPr>
        <w:t xml:space="preserve">Medzi </w:t>
      </w:r>
      <w:r w:rsidR="008B3553">
        <w:rPr>
          <w:b/>
          <w:color w:val="000000" w:themeColor="text1"/>
        </w:rPr>
        <w:t>najúčinnejšie</w:t>
      </w:r>
      <w:r w:rsidR="008B3553" w:rsidRPr="00905D23">
        <w:rPr>
          <w:b/>
          <w:color w:val="000000" w:themeColor="text1"/>
        </w:rPr>
        <w:t xml:space="preserve"> </w:t>
      </w:r>
      <w:r w:rsidRPr="00905D23">
        <w:rPr>
          <w:b/>
          <w:color w:val="000000" w:themeColor="text1"/>
        </w:rPr>
        <w:t>verejné politiky na zvýšenie zamestnanosti ťažko uplatniteľných uchádzačov patria včasné a individualizované služby zamestnanosti</w:t>
      </w:r>
      <w:r>
        <w:rPr>
          <w:b/>
          <w:color w:val="000000" w:themeColor="text1"/>
        </w:rPr>
        <w:t>,</w:t>
      </w:r>
      <w:r w:rsidRPr="00905D23">
        <w:rPr>
          <w:b/>
          <w:color w:val="000000" w:themeColor="text1"/>
        </w:rPr>
        <w:t xml:space="preserve"> vrátane odborného poradenstva</w:t>
      </w:r>
      <w:r>
        <w:rPr>
          <w:b/>
          <w:color w:val="000000" w:themeColor="text1"/>
        </w:rPr>
        <w:t>,</w:t>
      </w:r>
      <w:r w:rsidRPr="00905D23">
        <w:rPr>
          <w:b/>
          <w:color w:val="000000" w:themeColor="text1"/>
        </w:rPr>
        <w:t xml:space="preserve"> a nástroje na zvýšenie vedomostí a pracovných zručností</w:t>
      </w:r>
      <w:r>
        <w:rPr>
          <w:b/>
          <w:color w:val="000000" w:themeColor="text1"/>
        </w:rPr>
        <w:t>,</w:t>
      </w:r>
      <w:r w:rsidRPr="00905D23">
        <w:rPr>
          <w:b/>
          <w:color w:val="000000" w:themeColor="text1"/>
        </w:rPr>
        <w:t xml:space="preserve"> ako napríklad vzdelávanie, rekvalifikácia a podpora praxe v prirodzenom pracovnom prostredí. Pre osamelé matky s malými deťmi je kľúčová dostupnosť starostlivosti o deti do 3 rokov.</w:t>
      </w:r>
    </w:p>
    <w:p w14:paraId="45BCA9CD" w14:textId="7EA51982" w:rsidR="0029538D" w:rsidRPr="00D3189B" w:rsidRDefault="0029538D" w:rsidP="0029538D">
      <w:pPr>
        <w:pStyle w:val="Odsekzoznamu"/>
        <w:numPr>
          <w:ilvl w:val="0"/>
          <w:numId w:val="6"/>
        </w:numPr>
        <w:ind w:left="284" w:hanging="284"/>
        <w:rPr>
          <w:b/>
          <w:color w:val="000000" w:themeColor="text1"/>
        </w:rPr>
      </w:pPr>
      <w:r w:rsidRPr="00905D23">
        <w:rPr>
          <w:b/>
        </w:rPr>
        <w:t xml:space="preserve">Výdavky na pomoc </w:t>
      </w:r>
      <w:r w:rsidR="0039691F">
        <w:rPr>
          <w:b/>
        </w:rPr>
        <w:t>uchádzačom o zamestnanie</w:t>
      </w:r>
      <w:r w:rsidR="0039691F" w:rsidRPr="00905D23">
        <w:rPr>
          <w:b/>
        </w:rPr>
        <w:t xml:space="preserve"> </w:t>
      </w:r>
      <w:r w:rsidRPr="00905D23">
        <w:rPr>
          <w:b/>
        </w:rPr>
        <w:t>prostredníctvom aktívnych opatrení trhu práce (AOTP) v roku 2018 predstavovali 184,1 miliónov eur, čo je v pomere k HDP (0,20 %) výrazne menej ako priemer EÚ</w:t>
      </w:r>
      <w:r w:rsidR="009958F0">
        <w:rPr>
          <w:b/>
        </w:rPr>
        <w:t>15 (0,59</w:t>
      </w:r>
      <w:r w:rsidRPr="00905D23">
        <w:rPr>
          <w:b/>
        </w:rPr>
        <w:t> %)</w:t>
      </w:r>
      <w:r w:rsidR="009958F0">
        <w:rPr>
          <w:b/>
        </w:rPr>
        <w:t xml:space="preserve"> aj V3 (0,49 %)</w:t>
      </w:r>
      <w:r w:rsidRPr="00905D23">
        <w:rPr>
          <w:b/>
        </w:rPr>
        <w:t xml:space="preserve">. </w:t>
      </w:r>
      <w:r w:rsidRPr="00D3189B">
        <w:rPr>
          <w:b/>
        </w:rPr>
        <w:t>Štruktúra nástrojov AOTP je sústredená predovšetkým na dotovanie pracovných miest hoci zahraničné aj domáce štúdie ukazujú, že investície do vzdelávania a rekvalifikácie</w:t>
      </w:r>
      <w:r w:rsidRPr="004C2F72">
        <w:rPr>
          <w:b/>
        </w:rPr>
        <w:t xml:space="preserve"> </w:t>
      </w:r>
      <w:r w:rsidRPr="00D3189B">
        <w:rPr>
          <w:b/>
        </w:rPr>
        <w:t>sú</w:t>
      </w:r>
      <w:r w:rsidRPr="004C2F72">
        <w:rPr>
          <w:b/>
        </w:rPr>
        <w:t xml:space="preserve"> </w:t>
      </w:r>
      <w:r w:rsidRPr="00D3189B">
        <w:rPr>
          <w:b/>
        </w:rPr>
        <w:t xml:space="preserve">návratnejšie. </w:t>
      </w:r>
    </w:p>
    <w:p w14:paraId="71CB0805" w14:textId="77777777" w:rsidR="0029538D" w:rsidRPr="00905D23" w:rsidRDefault="0029538D" w:rsidP="0029538D">
      <w:pPr>
        <w:pStyle w:val="Odsekzoznamu"/>
        <w:numPr>
          <w:ilvl w:val="0"/>
          <w:numId w:val="6"/>
        </w:numPr>
        <w:ind w:left="284" w:hanging="284"/>
        <w:rPr>
          <w:b/>
          <w:color w:val="000000" w:themeColor="text1"/>
        </w:rPr>
      </w:pPr>
      <w:r w:rsidRPr="00905D23">
        <w:rPr>
          <w:b/>
        </w:rPr>
        <w:t>Za najlepšou zahraničnou praxou zaostáva profilácia uchádzačov o zamestnanie s cieľom účinnejšieho a včasnejšieho poskytnutia pomoci ľuďom s najväčšími prekážkami na trhu práce. Relevantné informácie, ktoré sú úradom práce dostupné, nie sú pri profilácii zohľadňované a intenzívnejšie poradenstvo zväčša nastupuje až po 6 mesiacoch v evidencii, čo ide proti princípu včasnej intervencie.</w:t>
      </w:r>
    </w:p>
    <w:p w14:paraId="14FF8CE6" w14:textId="5A538E28" w:rsidR="0029538D" w:rsidRPr="00905D23" w:rsidRDefault="0029538D" w:rsidP="0029538D">
      <w:pPr>
        <w:pStyle w:val="Odsekzoznamu"/>
        <w:numPr>
          <w:ilvl w:val="0"/>
          <w:numId w:val="6"/>
        </w:numPr>
        <w:ind w:left="284" w:hanging="284"/>
        <w:rPr>
          <w:b/>
        </w:rPr>
      </w:pPr>
      <w:r w:rsidRPr="00905D23">
        <w:rPr>
          <w:b/>
        </w:rPr>
        <w:t xml:space="preserve">Ťažšie uplatniteľní uchádzači o zamestnanie sú v zahraničí často a efektívne uplatnení na otvorenom trhu práce pomocou neštátnych služieb zamestnanosti, ktorých financovanie </w:t>
      </w:r>
      <w:r w:rsidR="001375A4">
        <w:rPr>
          <w:b/>
        </w:rPr>
        <w:t>kombinuje platbu za službu a platbu za</w:t>
      </w:r>
      <w:r w:rsidRPr="00905D23">
        <w:rPr>
          <w:b/>
        </w:rPr>
        <w:t xml:space="preserve"> výsledk</w:t>
      </w:r>
      <w:r w:rsidR="001375A4">
        <w:rPr>
          <w:b/>
        </w:rPr>
        <w:t>y</w:t>
      </w:r>
      <w:r w:rsidRPr="00905D23">
        <w:rPr>
          <w:b/>
        </w:rPr>
        <w:t>. Na Slovensku fungujú iba v obmedzenej miere</w:t>
      </w:r>
      <w:r>
        <w:rPr>
          <w:b/>
        </w:rPr>
        <w:t>,</w:t>
      </w:r>
      <w:r w:rsidRPr="00905D23">
        <w:rPr>
          <w:b/>
        </w:rPr>
        <w:t xml:space="preserve"> keďže ich podpora a spolupráca s úradmi práce nie je systémovo nastavená.</w:t>
      </w:r>
    </w:p>
    <w:p w14:paraId="2ACD0861" w14:textId="77777777" w:rsidR="0029538D" w:rsidRPr="00905D23" w:rsidRDefault="0029538D" w:rsidP="0029538D">
      <w:pPr>
        <w:pStyle w:val="Odsekzoznamu"/>
        <w:numPr>
          <w:ilvl w:val="0"/>
          <w:numId w:val="6"/>
        </w:numPr>
        <w:ind w:left="284" w:hanging="284"/>
        <w:rPr>
          <w:b/>
        </w:rPr>
      </w:pPr>
      <w:r w:rsidRPr="00905D23">
        <w:rPr>
          <w:b/>
        </w:rPr>
        <w:t>Najchudobnejších uchádzačov</w:t>
      </w:r>
      <w:r>
        <w:rPr>
          <w:b/>
        </w:rPr>
        <w:t>,</w:t>
      </w:r>
      <w:r w:rsidRPr="00905D23">
        <w:rPr>
          <w:b/>
        </w:rPr>
        <w:t xml:space="preserve"> vrátane mnohých </w:t>
      </w:r>
      <w:r>
        <w:rPr>
          <w:b/>
        </w:rPr>
        <w:t>ľudí z prostredia</w:t>
      </w:r>
      <w:r w:rsidRPr="00905D23">
        <w:rPr>
          <w:b/>
        </w:rPr>
        <w:t xml:space="preserve"> MRK</w:t>
      </w:r>
      <w:r>
        <w:rPr>
          <w:b/>
        </w:rPr>
        <w:t>,</w:t>
      </w:r>
      <w:r w:rsidRPr="00905D23">
        <w:rPr>
          <w:b/>
        </w:rPr>
        <w:t xml:space="preserve"> „aktivujú“ hlavne aktivačné práce, ktoré cielia podporu udržania pracovných návykov, ale </w:t>
      </w:r>
      <w:r w:rsidRPr="00905D23">
        <w:rPr>
          <w:rFonts w:cs="NeueHaasGroteskText W02"/>
          <w:b/>
        </w:rPr>
        <w:t>nezvyšujú šance na zamestnanie na otvorenom trhu práce ani prístup k sofistikovanejším nástrojom pomoci</w:t>
      </w:r>
      <w:r w:rsidRPr="00905D23">
        <w:rPr>
          <w:b/>
        </w:rPr>
        <w:t>. Na aktivačné práce smerujú aj ľudia s maturitou alebo vysokou školou.</w:t>
      </w:r>
    </w:p>
    <w:p w14:paraId="16C74D41" w14:textId="41B5811E" w:rsidR="0029538D" w:rsidRPr="00905D23" w:rsidRDefault="0029538D" w:rsidP="0029538D">
      <w:pPr>
        <w:pStyle w:val="Odsekzoznamu"/>
        <w:numPr>
          <w:ilvl w:val="0"/>
          <w:numId w:val="6"/>
        </w:numPr>
        <w:ind w:left="284" w:hanging="284"/>
        <w:rPr>
          <w:b/>
        </w:rPr>
      </w:pPr>
      <w:r w:rsidRPr="00D3189B">
        <w:rPr>
          <w:rFonts w:cs="Times New Roman"/>
          <w:b/>
          <w:szCs w:val="22"/>
        </w:rPr>
        <w:t xml:space="preserve">Nástroje AOTP zamerané na pomoc osobám so zdravotným postihnutím </w:t>
      </w:r>
      <w:r>
        <w:rPr>
          <w:rFonts w:cs="Times New Roman"/>
          <w:b/>
          <w:szCs w:val="22"/>
        </w:rPr>
        <w:t xml:space="preserve">(OZP) </w:t>
      </w:r>
      <w:r w:rsidRPr="00D3189B">
        <w:rPr>
          <w:rFonts w:cs="Times New Roman"/>
          <w:b/>
          <w:szCs w:val="22"/>
        </w:rPr>
        <w:t>sú cielené najmä na podporu zamestnávania v chránených dielňach a chránených pracoviskách. Hoci pre určité skupiny OZP predstavuje zamestnávanie v chránených dielňach dôležitý a nenahraditeľný nástroj integrácie, na Slovensku sú v tomto prostredí zamestnávaní aj ľudia, ktorí by sa s adekvátnou podporou dokázali uplatniť na otvorenom trhu práce. Prechod z chránených dielní na otvorený trh práce m</w:t>
      </w:r>
      <w:r w:rsidR="001375A4">
        <w:rPr>
          <w:rFonts w:cs="Times New Roman"/>
          <w:b/>
          <w:szCs w:val="22"/>
        </w:rPr>
        <w:t>ôže</w:t>
      </w:r>
      <w:r w:rsidRPr="00D3189B">
        <w:rPr>
          <w:rFonts w:cs="Times New Roman"/>
          <w:b/>
          <w:szCs w:val="22"/>
        </w:rPr>
        <w:t xml:space="preserve"> podporiť zákon o sociálnej ekonomike a sociálnych podnikoch.</w:t>
      </w:r>
      <w:r>
        <w:rPr>
          <w:rFonts w:cs="Times New Roman"/>
          <w:b/>
          <w:szCs w:val="22"/>
        </w:rPr>
        <w:t xml:space="preserve"> Ďalším možným </w:t>
      </w:r>
      <w:r>
        <w:rPr>
          <w:rFonts w:eastAsia="Arial Narrow" w:cs="Arial Narrow"/>
          <w:b/>
        </w:rPr>
        <w:t xml:space="preserve">podporným nástrojom je </w:t>
      </w:r>
      <w:r w:rsidR="001375A4">
        <w:rPr>
          <w:rFonts w:eastAsia="Arial Narrow" w:cs="Arial Narrow"/>
          <w:b/>
        </w:rPr>
        <w:t xml:space="preserve">uplatňovanie modelu podporovaného zamestnávania a </w:t>
      </w:r>
      <w:r>
        <w:rPr>
          <w:rFonts w:eastAsia="Arial Narrow" w:cs="Arial Narrow"/>
          <w:b/>
        </w:rPr>
        <w:t>p</w:t>
      </w:r>
      <w:r w:rsidRPr="001151FC">
        <w:rPr>
          <w:rFonts w:eastAsia="Arial Narrow" w:cs="Arial Narrow"/>
          <w:b/>
        </w:rPr>
        <w:t>racovná rehabilitácia a rekvalifikácia</w:t>
      </w:r>
      <w:r>
        <w:rPr>
          <w:rFonts w:eastAsia="Calibri" w:cs="Times New Roman"/>
          <w:b/>
        </w:rPr>
        <w:t>, ktor</w:t>
      </w:r>
      <w:r w:rsidR="001375A4">
        <w:rPr>
          <w:rFonts w:eastAsia="Calibri" w:cs="Times New Roman"/>
          <w:b/>
        </w:rPr>
        <w:t>é</w:t>
      </w:r>
      <w:r>
        <w:rPr>
          <w:rFonts w:eastAsia="Calibri" w:cs="Times New Roman"/>
          <w:b/>
        </w:rPr>
        <w:t xml:space="preserve"> však </w:t>
      </w:r>
      <w:r w:rsidRPr="00905D23">
        <w:rPr>
          <w:rFonts w:eastAsia="Calibri" w:cs="Times New Roman"/>
          <w:b/>
        </w:rPr>
        <w:t xml:space="preserve">na Slovensku </w:t>
      </w:r>
      <w:r>
        <w:rPr>
          <w:rFonts w:eastAsia="Calibri" w:cs="Times New Roman"/>
          <w:b/>
        </w:rPr>
        <w:t>nem</w:t>
      </w:r>
      <w:r w:rsidR="001375A4">
        <w:rPr>
          <w:rFonts w:eastAsia="Calibri" w:cs="Times New Roman"/>
          <w:b/>
        </w:rPr>
        <w:t>ajú</w:t>
      </w:r>
      <w:r>
        <w:rPr>
          <w:rFonts w:eastAsia="Calibri" w:cs="Times New Roman"/>
          <w:b/>
        </w:rPr>
        <w:t xml:space="preserve"> </w:t>
      </w:r>
      <w:r w:rsidRPr="00905D23">
        <w:rPr>
          <w:rFonts w:eastAsia="Calibri" w:cs="Times New Roman"/>
          <w:b/>
        </w:rPr>
        <w:t>jasnú koncepciu.</w:t>
      </w:r>
    </w:p>
    <w:p w14:paraId="76EB6C2F" w14:textId="77777777" w:rsidR="0029538D" w:rsidRPr="00A30E57" w:rsidRDefault="0029538D" w:rsidP="0029538D">
      <w:pPr>
        <w:pStyle w:val="Odsekzoznamu"/>
        <w:numPr>
          <w:ilvl w:val="0"/>
          <w:numId w:val="6"/>
        </w:numPr>
        <w:ind w:left="284" w:hanging="284"/>
        <w:rPr>
          <w:b/>
          <w:szCs w:val="22"/>
        </w:rPr>
      </w:pPr>
      <w:r w:rsidRPr="00905D23">
        <w:rPr>
          <w:b/>
        </w:rPr>
        <w:t xml:space="preserve">Zamestnávatelia na Slovensku majú povinnosť zamestnávať </w:t>
      </w:r>
      <w:r>
        <w:rPr>
          <w:b/>
        </w:rPr>
        <w:t xml:space="preserve">OZP </w:t>
      </w:r>
      <w:r w:rsidRPr="00905D23">
        <w:rPr>
          <w:b/>
        </w:rPr>
        <w:t xml:space="preserve">a robia tak nad zákonom stanovený rozsah. Ten je nižší ako </w:t>
      </w:r>
      <w:r w:rsidRPr="0053317E">
        <w:rPr>
          <w:b/>
          <w:szCs w:val="22"/>
        </w:rPr>
        <w:t>vo väčšine iných krajín EÚ, ktoré majú ustanovené kvóty</w:t>
      </w:r>
      <w:r w:rsidRPr="00A30E57">
        <w:rPr>
          <w:b/>
          <w:szCs w:val="22"/>
        </w:rPr>
        <w:t xml:space="preserve">, ale </w:t>
      </w:r>
      <w:r w:rsidRPr="00D3189B">
        <w:rPr>
          <w:rFonts w:cs="Times New Roman"/>
          <w:b/>
          <w:szCs w:val="22"/>
        </w:rPr>
        <w:t>vzťahuje sa na väčší okruh zamestnávateľov.</w:t>
      </w:r>
    </w:p>
    <w:p w14:paraId="40A24268" w14:textId="31448BA0" w:rsidR="0029538D" w:rsidRPr="00905D23" w:rsidRDefault="0029538D" w:rsidP="0029538D">
      <w:pPr>
        <w:pStyle w:val="Odsekzoznamu"/>
        <w:numPr>
          <w:ilvl w:val="0"/>
          <w:numId w:val="6"/>
        </w:numPr>
        <w:ind w:left="284" w:hanging="284"/>
        <w:rPr>
          <w:b/>
        </w:rPr>
      </w:pPr>
      <w:r>
        <w:rPr>
          <w:b/>
        </w:rPr>
        <w:t xml:space="preserve">Zosúlaďovanie rodinného a pracovného života </w:t>
      </w:r>
      <w:r w:rsidRPr="00905D23">
        <w:rPr>
          <w:b/>
        </w:rPr>
        <w:t xml:space="preserve">(nielen osamelých) </w:t>
      </w:r>
      <w:r w:rsidR="0052580F">
        <w:rPr>
          <w:b/>
        </w:rPr>
        <w:t>rodičov</w:t>
      </w:r>
      <w:r w:rsidRPr="00905D23">
        <w:rPr>
          <w:b/>
        </w:rPr>
        <w:t xml:space="preserve"> s malými deťmi </w:t>
      </w:r>
      <w:r>
        <w:rPr>
          <w:b/>
        </w:rPr>
        <w:t xml:space="preserve">komplikuje nedostupnosť </w:t>
      </w:r>
      <w:r w:rsidRPr="00905D23">
        <w:rPr>
          <w:b/>
        </w:rPr>
        <w:t xml:space="preserve">zariadení formálnej starostlivosti o deti </w:t>
      </w:r>
      <w:r>
        <w:rPr>
          <w:b/>
        </w:rPr>
        <w:t>v predškolskom</w:t>
      </w:r>
      <w:r w:rsidRPr="00905D23">
        <w:rPr>
          <w:b/>
        </w:rPr>
        <w:t xml:space="preserve"> veku</w:t>
      </w:r>
      <w:r>
        <w:rPr>
          <w:b/>
        </w:rPr>
        <w:t>. Pomoc osamelým rodičom na trhu práce pomocou dotovania pracovných miest sa iba rozbieha. Cielené a komplexné poradenstvo pre túto skupinu, ktoré sa osvedčilo v zahraničí, chýba.</w:t>
      </w:r>
    </w:p>
    <w:p w14:paraId="2BDA6906" w14:textId="77777777" w:rsidR="0029538D" w:rsidRPr="00905D23" w:rsidRDefault="0029538D" w:rsidP="0029538D">
      <w:pPr>
        <w:pStyle w:val="Odsekzoznamu"/>
        <w:numPr>
          <w:ilvl w:val="0"/>
          <w:numId w:val="6"/>
        </w:numPr>
        <w:ind w:left="284" w:hanging="284"/>
        <w:rPr>
          <w:b/>
          <w:color w:val="000000" w:themeColor="text1"/>
        </w:rPr>
      </w:pPr>
      <w:r w:rsidRPr="00905D23">
        <w:rPr>
          <w:b/>
        </w:rPr>
        <w:t>Bariéru na trhu práce, ktorú predstavovali exekúcie, sa podarilo znížiť vďaka zjednodušeniu osobných bankrotov. Chýba však systémová prevencia pred ďalším upadnutím oddlžených osôb do dlhov v budúcnosti.</w:t>
      </w:r>
    </w:p>
    <w:p w14:paraId="3CA3931B" w14:textId="3899BD5A" w:rsidR="005D738A" w:rsidRPr="0029538D" w:rsidRDefault="0029538D" w:rsidP="00D3189B">
      <w:pPr>
        <w:pStyle w:val="Odsekzoznamu"/>
        <w:numPr>
          <w:ilvl w:val="0"/>
          <w:numId w:val="6"/>
        </w:numPr>
        <w:ind w:left="284" w:hanging="284"/>
        <w:rPr>
          <w:b/>
        </w:rPr>
      </w:pPr>
      <w:r w:rsidRPr="00905D23">
        <w:rPr>
          <w:b/>
        </w:rPr>
        <w:t xml:space="preserve">Revízia navrhuje opatrenia pre zefektívnenie služieb zamestnanosti pre ťažšie uplatniteľných uchádzačov o zamestnanie pomocou </w:t>
      </w:r>
      <w:r w:rsidR="001375A4">
        <w:rPr>
          <w:b/>
        </w:rPr>
        <w:t xml:space="preserve">individuálnej práce s klientom </w:t>
      </w:r>
      <w:r w:rsidR="00CB32C0">
        <w:rPr>
          <w:b/>
        </w:rPr>
        <w:t>(aj prostredníctvom</w:t>
      </w:r>
      <w:r w:rsidR="001375A4">
        <w:rPr>
          <w:b/>
        </w:rPr>
        <w:t xml:space="preserve"> neštátnych subjektov)</w:t>
      </w:r>
      <w:r w:rsidRPr="00905D23">
        <w:rPr>
          <w:b/>
        </w:rPr>
        <w:t xml:space="preserve">, </w:t>
      </w:r>
      <w:r w:rsidR="006D13B1">
        <w:rPr>
          <w:b/>
        </w:rPr>
        <w:t>s</w:t>
      </w:r>
      <w:r>
        <w:rPr>
          <w:b/>
        </w:rPr>
        <w:t>kvalitnenie profilácie uchádzačov o za</w:t>
      </w:r>
      <w:r w:rsidR="006D13B1">
        <w:rPr>
          <w:b/>
        </w:rPr>
        <w:t>mestnanie pri zaradení do eviden</w:t>
      </w:r>
      <w:r>
        <w:rPr>
          <w:b/>
        </w:rPr>
        <w:t xml:space="preserve">cie, </w:t>
      </w:r>
      <w:r w:rsidR="0052580F">
        <w:rPr>
          <w:b/>
        </w:rPr>
        <w:t xml:space="preserve">zvýšenie motivácie uprednostňovať iné nástroje pomoci pred aktivačnými prácami, </w:t>
      </w:r>
      <w:r w:rsidRPr="00905D23">
        <w:rPr>
          <w:b/>
        </w:rPr>
        <w:t>zvýšenie ponuky pracovných miest pre osoby so zdravotným postihnutím a</w:t>
      </w:r>
      <w:r>
        <w:rPr>
          <w:b/>
        </w:rPr>
        <w:t xml:space="preserve"> komplexnejšiu </w:t>
      </w:r>
      <w:r w:rsidRPr="00905D23">
        <w:rPr>
          <w:b/>
        </w:rPr>
        <w:t>podporu zosúlaďovania pracovného a rodinného života pre (nielen) osamelé matky s malými deťmi.</w:t>
      </w:r>
    </w:p>
    <w:p w14:paraId="599E8AFC" w14:textId="3B34F453" w:rsidR="00EA7FF5" w:rsidRPr="00CA2564" w:rsidRDefault="00EA7FF5" w:rsidP="009E6C4C">
      <w:pPr>
        <w:pStyle w:val="Nadpis2"/>
        <w:spacing w:before="240"/>
      </w:pPr>
      <w:bookmarkStart w:id="444" w:name="_Ref25312612"/>
      <w:bookmarkStart w:id="445" w:name="_Ref25315580"/>
      <w:bookmarkStart w:id="446" w:name="_Ref25315611"/>
      <w:bookmarkStart w:id="447" w:name="_Toc34657726"/>
      <w:r w:rsidRPr="00CA2564">
        <w:t>Situácia ohrozených skupín na trhu práce</w:t>
      </w:r>
      <w:bookmarkEnd w:id="443"/>
      <w:bookmarkEnd w:id="444"/>
      <w:bookmarkEnd w:id="445"/>
      <w:bookmarkEnd w:id="446"/>
      <w:bookmarkEnd w:id="447"/>
    </w:p>
    <w:p w14:paraId="3246C588" w14:textId="192E85FF" w:rsidR="00EA7FF5" w:rsidRPr="00CA2564" w:rsidRDefault="00825BF7" w:rsidP="009E6C4C">
      <w:pPr>
        <w:rPr>
          <w:color w:val="0070C0"/>
        </w:rPr>
      </w:pPr>
      <w:r>
        <w:rPr>
          <w:color w:val="0070C0"/>
        </w:rPr>
        <w:t>Ľudia z prostredia</w:t>
      </w:r>
      <w:r w:rsidR="00EA7FF5" w:rsidRPr="00CA2564">
        <w:rPr>
          <w:color w:val="0070C0"/>
        </w:rPr>
        <w:t xml:space="preserve"> MRK</w:t>
      </w:r>
      <w:r w:rsidR="004C59DB">
        <w:rPr>
          <w:color w:val="0070C0"/>
        </w:rPr>
        <w:t xml:space="preserve"> a ľudia s nízkym vzdelaním</w:t>
      </w:r>
    </w:p>
    <w:p w14:paraId="6014C008" w14:textId="2F617326" w:rsidR="00EA7FF5" w:rsidRPr="00CA2564" w:rsidRDefault="00EA7FF5" w:rsidP="009E6C4C">
      <w:pPr>
        <w:rPr>
          <w:b/>
          <w:sz w:val="20"/>
          <w:lang w:eastAsia="sk-SK"/>
        </w:rPr>
      </w:pPr>
      <w:r w:rsidRPr="00CA2564">
        <w:rPr>
          <w:b/>
        </w:rPr>
        <w:t xml:space="preserve">Zamestnanosť </w:t>
      </w:r>
      <w:r w:rsidR="00825BF7">
        <w:rPr>
          <w:b/>
        </w:rPr>
        <w:t>ľudí z prostredia</w:t>
      </w:r>
      <w:r w:rsidRPr="00CA2564">
        <w:rPr>
          <w:b/>
        </w:rPr>
        <w:t xml:space="preserve"> MRK výrazne a dlhodobo zaostáva za zamestnanosťou majoritnej populácie a výraznejšie sa prejavujú rodové rozdiely. </w:t>
      </w:r>
      <w:r w:rsidRPr="00CA2564">
        <w:rPr>
          <w:rFonts w:cs="NeueHaasGroteskText W02"/>
          <w:color w:val="000000"/>
        </w:rPr>
        <w:t xml:space="preserve">V období rokov 2004 až 2017 miera zamestnanosti v MRK narástla iba mierne. Za celé sledované obdobie dosahovala v priemere len zhruba tretinu miery zamestnanosti </w:t>
      </w:r>
      <w:r w:rsidR="00F374A3">
        <w:rPr>
          <w:rFonts w:cs="NeueHaasGroteskText W02"/>
          <w:color w:val="000000"/>
        </w:rPr>
        <w:t>väčšinovej populácie (Hidas a k</w:t>
      </w:r>
      <w:r w:rsidRPr="00CA2564">
        <w:rPr>
          <w:rFonts w:cs="NeueHaasGroteskText W02"/>
          <w:color w:val="000000"/>
        </w:rPr>
        <w:t xml:space="preserve">ol., 2018). </w:t>
      </w:r>
      <w:r w:rsidRPr="00A91FC5">
        <w:rPr>
          <w:rFonts w:cs="NeueHaasGroteskText W02"/>
          <w:color w:val="000000"/>
        </w:rPr>
        <w:t>Tradičné rozdelen</w:t>
      </w:r>
      <w:r w:rsidR="00456893">
        <w:rPr>
          <w:rFonts w:cs="NeueHaasGroteskText W02"/>
          <w:color w:val="000000"/>
        </w:rPr>
        <w:t>ie úloh medzi mužmi a ženami je </w:t>
      </w:r>
      <w:r w:rsidRPr="00A91FC5">
        <w:rPr>
          <w:rFonts w:cs="NeueHaasGroteskText W02"/>
          <w:color w:val="000000"/>
        </w:rPr>
        <w:t>v prostredí MRK rozšírenejšie, čoho výsledkom sú výraznejšie rozdiely medzi mužmi a ženami na trhu práce (</w:t>
      </w:r>
      <w:r w:rsidRPr="00A91FC5">
        <w:rPr>
          <w:rFonts w:cs="NeueHaasGroteskText W02"/>
          <w:color w:val="000000"/>
        </w:rPr>
        <w:fldChar w:fldCharType="begin"/>
      </w:r>
      <w:r w:rsidRPr="00A91FC5">
        <w:rPr>
          <w:rFonts w:cs="NeueHaasGroteskText W02"/>
          <w:color w:val="000000"/>
        </w:rPr>
        <w:instrText xml:space="preserve"> REF _Ref15035421 \h  \* MERGEFORMAT </w:instrText>
      </w:r>
      <w:r w:rsidRPr="00A91FC5">
        <w:rPr>
          <w:rFonts w:cs="NeueHaasGroteskText W02"/>
          <w:color w:val="000000"/>
        </w:rPr>
      </w:r>
      <w:r w:rsidRPr="00A91FC5">
        <w:rPr>
          <w:rFonts w:cs="NeueHaasGroteskText W02"/>
          <w:color w:val="000000"/>
        </w:rPr>
        <w:fldChar w:fldCharType="separate"/>
      </w:r>
      <w:r w:rsidR="00FA29AF" w:rsidRPr="00FA29AF">
        <w:rPr>
          <w:rFonts w:cs="NeueHaasGroteskText W02"/>
          <w:color w:val="000000"/>
        </w:rPr>
        <w:t>Graf 30</w:t>
      </w:r>
      <w:r w:rsidRPr="00A91FC5">
        <w:rPr>
          <w:rFonts w:cs="NeueHaasGroteskText W02"/>
          <w:color w:val="000000"/>
        </w:rPr>
        <w:fldChar w:fldCharType="end"/>
      </w:r>
      <w:r w:rsidRPr="00A91FC5">
        <w:rPr>
          <w:rFonts w:cs="NeueHaasGroteskText W02"/>
          <w:color w:val="000000"/>
        </w:rPr>
        <w:t>) napriek podobným alebo lepším výsledkom žien vo vzdelávaní (</w:t>
      </w:r>
      <w:r w:rsidR="00213C05">
        <w:fldChar w:fldCharType="begin"/>
      </w:r>
      <w:r w:rsidR="00213C05" w:rsidRPr="00213C05">
        <w:instrText xml:space="preserve"> REF _Ref34130111 \h </w:instrText>
      </w:r>
      <w:r w:rsidR="00213C05">
        <w:instrText xml:space="preserve"> \* MERGEFORMAT </w:instrText>
      </w:r>
      <w:r w:rsidR="00213C05">
        <w:fldChar w:fldCharType="separate"/>
      </w:r>
      <w:r w:rsidR="00FA29AF" w:rsidRPr="00FA29AF">
        <w:t>Príloha 2</w:t>
      </w:r>
      <w:r w:rsidR="00213C05">
        <w:fldChar w:fldCharType="end"/>
      </w:r>
      <w:r w:rsidRPr="00A91FC5">
        <w:rPr>
          <w:rFonts w:cs="NeueHaasGroteskText W02"/>
          <w:color w:val="000000"/>
        </w:rPr>
        <w:t>).</w:t>
      </w:r>
    </w:p>
    <w:tbl>
      <w:tblPr>
        <w:tblW w:w="0" w:type="auto"/>
        <w:tblLook w:val="04E0" w:firstRow="1" w:lastRow="1" w:firstColumn="1" w:lastColumn="0" w:noHBand="0" w:noVBand="1"/>
      </w:tblPr>
      <w:tblGrid>
        <w:gridCol w:w="4402"/>
        <w:gridCol w:w="222"/>
        <w:gridCol w:w="4402"/>
      </w:tblGrid>
      <w:tr w:rsidR="00EA7FF5" w:rsidRPr="00CA2564" w14:paraId="467345FC" w14:textId="77777777" w:rsidTr="00137FC6">
        <w:tc>
          <w:tcPr>
            <w:tcW w:w="4432" w:type="dxa"/>
            <w:tcBorders>
              <w:bottom w:val="single" w:sz="4" w:space="0" w:color="auto"/>
            </w:tcBorders>
          </w:tcPr>
          <w:p w14:paraId="1717D3A4" w14:textId="77777777" w:rsidR="00EA7FF5" w:rsidRPr="00137FC6" w:rsidRDefault="00EA7FF5" w:rsidP="00137FC6">
            <w:pPr>
              <w:spacing w:after="0"/>
              <w:rPr>
                <w:b/>
                <w:sz w:val="20"/>
              </w:rPr>
            </w:pPr>
            <w:bookmarkStart w:id="448" w:name="_Ref15035421"/>
            <w:bookmarkStart w:id="449" w:name="_Toc17469395"/>
            <w:bookmarkStart w:id="450" w:name="_Toc34157588"/>
            <w:r w:rsidRPr="00137FC6">
              <w:rPr>
                <w:b/>
                <w:sz w:val="20"/>
              </w:rPr>
              <w:t xml:space="preserve">Graf </w:t>
            </w:r>
            <w:r w:rsidRPr="00137FC6">
              <w:rPr>
                <w:b/>
                <w:sz w:val="20"/>
              </w:rPr>
              <w:fldChar w:fldCharType="begin"/>
            </w:r>
            <w:r w:rsidRPr="00137FC6">
              <w:rPr>
                <w:b/>
                <w:sz w:val="20"/>
              </w:rPr>
              <w:instrText xml:space="preserve"> SEQ Graf \* ARABIC </w:instrText>
            </w:r>
            <w:r w:rsidRPr="00137FC6">
              <w:rPr>
                <w:b/>
                <w:sz w:val="20"/>
              </w:rPr>
              <w:fldChar w:fldCharType="separate"/>
            </w:r>
            <w:r w:rsidR="00FA29AF">
              <w:rPr>
                <w:b/>
                <w:noProof/>
                <w:sz w:val="20"/>
              </w:rPr>
              <w:t>30</w:t>
            </w:r>
            <w:r w:rsidRPr="00137FC6">
              <w:rPr>
                <w:b/>
                <w:sz w:val="20"/>
              </w:rPr>
              <w:fldChar w:fldCharType="end"/>
            </w:r>
            <w:bookmarkEnd w:id="448"/>
            <w:r w:rsidRPr="00137FC6">
              <w:rPr>
                <w:b/>
                <w:sz w:val="20"/>
              </w:rPr>
              <w:t>: Miera zamestnanosti podľa príslušnosti k MRK a pohlavia (%, populácia vo veku 15-64 rokov)</w:t>
            </w:r>
            <w:bookmarkEnd w:id="449"/>
            <w:bookmarkEnd w:id="450"/>
          </w:p>
        </w:tc>
        <w:tc>
          <w:tcPr>
            <w:tcW w:w="0" w:type="dxa"/>
            <w:tcBorders>
              <w:bottom w:val="nil"/>
            </w:tcBorders>
          </w:tcPr>
          <w:p w14:paraId="081F012A" w14:textId="77777777" w:rsidR="00EA7FF5" w:rsidRPr="00137FC6" w:rsidRDefault="00EA7FF5" w:rsidP="00137FC6">
            <w:pPr>
              <w:spacing w:after="0"/>
              <w:rPr>
                <w:b/>
                <w:sz w:val="20"/>
              </w:rPr>
            </w:pPr>
          </w:p>
        </w:tc>
        <w:tc>
          <w:tcPr>
            <w:tcW w:w="4418" w:type="dxa"/>
            <w:tcBorders>
              <w:bottom w:val="single" w:sz="4" w:space="0" w:color="auto"/>
            </w:tcBorders>
          </w:tcPr>
          <w:p w14:paraId="287C5FC8" w14:textId="77777777" w:rsidR="00EA7FF5" w:rsidRPr="00137FC6" w:rsidRDefault="00EA7FF5" w:rsidP="00137FC6">
            <w:pPr>
              <w:spacing w:after="0"/>
              <w:rPr>
                <w:b/>
                <w:sz w:val="20"/>
              </w:rPr>
            </w:pPr>
            <w:bookmarkStart w:id="451" w:name="_Ref15035970"/>
            <w:bookmarkStart w:id="452" w:name="_Toc17469396"/>
            <w:bookmarkStart w:id="453" w:name="_Toc34157589"/>
            <w:r w:rsidRPr="00137FC6">
              <w:rPr>
                <w:b/>
                <w:sz w:val="20"/>
              </w:rPr>
              <w:t xml:space="preserve">Graf </w:t>
            </w:r>
            <w:r w:rsidRPr="00137FC6">
              <w:rPr>
                <w:b/>
                <w:sz w:val="20"/>
              </w:rPr>
              <w:fldChar w:fldCharType="begin"/>
            </w:r>
            <w:r w:rsidRPr="00137FC6">
              <w:rPr>
                <w:b/>
                <w:sz w:val="20"/>
              </w:rPr>
              <w:instrText xml:space="preserve"> SEQ Graf \* ARABIC </w:instrText>
            </w:r>
            <w:r w:rsidRPr="00137FC6">
              <w:rPr>
                <w:b/>
                <w:sz w:val="20"/>
              </w:rPr>
              <w:fldChar w:fldCharType="separate"/>
            </w:r>
            <w:r w:rsidR="00FA29AF">
              <w:rPr>
                <w:b/>
                <w:noProof/>
                <w:sz w:val="20"/>
              </w:rPr>
              <w:t>31</w:t>
            </w:r>
            <w:r w:rsidRPr="00137FC6">
              <w:rPr>
                <w:b/>
                <w:sz w:val="20"/>
              </w:rPr>
              <w:fldChar w:fldCharType="end"/>
            </w:r>
            <w:bookmarkEnd w:id="451"/>
            <w:r w:rsidRPr="00137FC6">
              <w:rPr>
                <w:b/>
                <w:sz w:val="20"/>
              </w:rPr>
              <w:t>: Vývoj zamestnanosti (medziročný rast v %, populácia vo veku 15-64 rokov)</w:t>
            </w:r>
            <w:bookmarkEnd w:id="452"/>
            <w:bookmarkEnd w:id="453"/>
            <w:r w:rsidRPr="00137FC6">
              <w:rPr>
                <w:b/>
                <w:sz w:val="20"/>
              </w:rPr>
              <w:t xml:space="preserve"> </w:t>
            </w:r>
          </w:p>
        </w:tc>
      </w:tr>
      <w:tr w:rsidR="00EA7FF5" w:rsidRPr="00CA2564" w14:paraId="73BFE124" w14:textId="77777777" w:rsidTr="00137FC6">
        <w:tblPrEx>
          <w:tblCellMar>
            <w:left w:w="70" w:type="dxa"/>
            <w:right w:w="70" w:type="dxa"/>
          </w:tblCellMar>
        </w:tblPrEx>
        <w:tc>
          <w:tcPr>
            <w:tcW w:w="4432" w:type="dxa"/>
            <w:tcBorders>
              <w:top w:val="single" w:sz="4" w:space="0" w:color="auto"/>
              <w:bottom w:val="single" w:sz="4" w:space="0" w:color="auto"/>
            </w:tcBorders>
          </w:tcPr>
          <w:p w14:paraId="4F50B594" w14:textId="77777777" w:rsidR="00EA7FF5" w:rsidRPr="00CA2564" w:rsidRDefault="00EA7FF5" w:rsidP="00137FC6">
            <w:pPr>
              <w:spacing w:after="0"/>
              <w:rPr>
                <w:sz w:val="4"/>
                <w:szCs w:val="4"/>
              </w:rPr>
            </w:pPr>
          </w:p>
          <w:p w14:paraId="6652D138" w14:textId="77777777" w:rsidR="00EA7FF5" w:rsidRPr="00CA2564" w:rsidRDefault="00EA7FF5" w:rsidP="00137FC6">
            <w:pPr>
              <w:spacing w:after="0"/>
              <w:rPr>
                <w:sz w:val="4"/>
                <w:szCs w:val="4"/>
              </w:rPr>
            </w:pPr>
            <w:r w:rsidRPr="00CA2564">
              <w:rPr>
                <w:noProof/>
                <w:lang w:eastAsia="sk-SK"/>
              </w:rPr>
              <w:drawing>
                <wp:inline distT="0" distB="0" distL="0" distR="0" wp14:anchorId="27DDC434" wp14:editId="53073169">
                  <wp:extent cx="2828925" cy="2409825"/>
                  <wp:effectExtent l="0" t="0" r="0" b="0"/>
                  <wp:docPr id="28015" name="Graf 28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231451C" w14:textId="77777777" w:rsidR="00EA7FF5" w:rsidRPr="00CA2564" w:rsidRDefault="00EA7FF5" w:rsidP="00137FC6">
            <w:pPr>
              <w:spacing w:after="0"/>
              <w:rPr>
                <w:sz w:val="4"/>
                <w:szCs w:val="4"/>
              </w:rPr>
            </w:pPr>
          </w:p>
        </w:tc>
        <w:tc>
          <w:tcPr>
            <w:tcW w:w="222" w:type="dxa"/>
            <w:tcBorders>
              <w:top w:val="nil"/>
              <w:bottom w:val="nil"/>
            </w:tcBorders>
          </w:tcPr>
          <w:p w14:paraId="07350F01" w14:textId="77777777" w:rsidR="00EA7FF5" w:rsidRPr="00CA2564" w:rsidRDefault="00EA7FF5" w:rsidP="00137FC6">
            <w:pPr>
              <w:spacing w:after="0"/>
              <w:rPr>
                <w:noProof/>
                <w:sz w:val="4"/>
                <w:szCs w:val="4"/>
              </w:rPr>
            </w:pPr>
          </w:p>
        </w:tc>
        <w:tc>
          <w:tcPr>
            <w:tcW w:w="4418" w:type="dxa"/>
            <w:tcBorders>
              <w:top w:val="single" w:sz="4" w:space="0" w:color="auto"/>
              <w:bottom w:val="single" w:sz="4" w:space="0" w:color="auto"/>
            </w:tcBorders>
          </w:tcPr>
          <w:p w14:paraId="334D83F8" w14:textId="77777777" w:rsidR="00EA7FF5" w:rsidRDefault="00EA7FF5" w:rsidP="00137FC6">
            <w:pPr>
              <w:spacing w:after="0"/>
              <w:rPr>
                <w:noProof/>
                <w:sz w:val="4"/>
                <w:szCs w:val="4"/>
              </w:rPr>
            </w:pPr>
          </w:p>
          <w:p w14:paraId="3FCC8EB8" w14:textId="258C0994" w:rsidR="0052580F" w:rsidRDefault="0052580F" w:rsidP="00137FC6">
            <w:pPr>
              <w:spacing w:after="0"/>
              <w:rPr>
                <w:noProof/>
                <w:sz w:val="4"/>
                <w:szCs w:val="4"/>
              </w:rPr>
            </w:pPr>
            <w:r w:rsidRPr="00CA2564">
              <w:rPr>
                <w:noProof/>
                <w:lang w:eastAsia="sk-SK"/>
              </w:rPr>
              <w:drawing>
                <wp:inline distT="0" distB="0" distL="0" distR="0" wp14:anchorId="0858395A" wp14:editId="36111AFD">
                  <wp:extent cx="2828925" cy="2409825"/>
                  <wp:effectExtent l="0" t="0" r="0" b="0"/>
                  <wp:docPr id="28017" name="Graf 280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D9B8EBE" w14:textId="57E97C2C" w:rsidR="0052580F" w:rsidRPr="00CA2564" w:rsidRDefault="0052580F" w:rsidP="00137FC6">
            <w:pPr>
              <w:spacing w:after="0"/>
              <w:rPr>
                <w:noProof/>
                <w:sz w:val="4"/>
                <w:szCs w:val="4"/>
              </w:rPr>
            </w:pPr>
          </w:p>
        </w:tc>
      </w:tr>
      <w:tr w:rsidR="00EA7FF5" w:rsidRPr="00CA2564" w14:paraId="7EDFBD28" w14:textId="77777777" w:rsidTr="00137FC6">
        <w:tc>
          <w:tcPr>
            <w:tcW w:w="4432" w:type="dxa"/>
            <w:tcBorders>
              <w:top w:val="single" w:sz="4" w:space="0" w:color="auto"/>
            </w:tcBorders>
          </w:tcPr>
          <w:p w14:paraId="232D2548" w14:textId="77777777" w:rsidR="00EA7FF5" w:rsidRPr="00137FC6" w:rsidRDefault="00EA7FF5" w:rsidP="00137FC6">
            <w:pPr>
              <w:spacing w:after="0"/>
              <w:jc w:val="right"/>
              <w:rPr>
                <w:i/>
                <w:noProof/>
                <w:sz w:val="18"/>
                <w:szCs w:val="18"/>
              </w:rPr>
            </w:pPr>
            <w:r w:rsidRPr="00137FC6">
              <w:rPr>
                <w:i/>
                <w:noProof/>
                <w:sz w:val="18"/>
                <w:szCs w:val="18"/>
              </w:rPr>
              <w:t xml:space="preserve">Zdroj: IFP podľa údajov Sociálnej poisťovne </w:t>
            </w:r>
          </w:p>
          <w:p w14:paraId="15FBF0BC" w14:textId="77777777" w:rsidR="00EA7FF5" w:rsidRPr="00137FC6" w:rsidRDefault="00EA7FF5" w:rsidP="00137FC6">
            <w:pPr>
              <w:spacing w:after="0"/>
              <w:jc w:val="left"/>
              <w:rPr>
                <w:i/>
                <w:noProof/>
                <w:sz w:val="18"/>
                <w:szCs w:val="18"/>
              </w:rPr>
            </w:pPr>
            <w:r w:rsidRPr="00137FC6">
              <w:rPr>
                <w:i/>
                <w:noProof/>
                <w:sz w:val="18"/>
                <w:szCs w:val="18"/>
              </w:rPr>
              <w:t>Poznámka: zamestnanie aspoň 6 mesiacov v roku vrátane dohôd a SZČ</w:t>
            </w:r>
          </w:p>
        </w:tc>
        <w:tc>
          <w:tcPr>
            <w:tcW w:w="0" w:type="dxa"/>
            <w:tcBorders>
              <w:top w:val="nil"/>
            </w:tcBorders>
          </w:tcPr>
          <w:p w14:paraId="7D4F0AE6" w14:textId="77777777" w:rsidR="00EA7FF5" w:rsidRPr="00137FC6" w:rsidRDefault="00EA7FF5" w:rsidP="00137FC6">
            <w:pPr>
              <w:spacing w:after="0"/>
              <w:jc w:val="right"/>
              <w:rPr>
                <w:i/>
                <w:noProof/>
                <w:sz w:val="18"/>
                <w:szCs w:val="18"/>
              </w:rPr>
            </w:pPr>
          </w:p>
        </w:tc>
        <w:tc>
          <w:tcPr>
            <w:tcW w:w="4418" w:type="dxa"/>
            <w:tcBorders>
              <w:top w:val="single" w:sz="4" w:space="0" w:color="auto"/>
            </w:tcBorders>
          </w:tcPr>
          <w:p w14:paraId="5C621902" w14:textId="77777777" w:rsidR="00EA7FF5" w:rsidRPr="00137FC6" w:rsidRDefault="00EA7FF5" w:rsidP="00137FC6">
            <w:pPr>
              <w:spacing w:after="0"/>
              <w:jc w:val="right"/>
              <w:rPr>
                <w:i/>
                <w:noProof/>
                <w:sz w:val="18"/>
                <w:szCs w:val="18"/>
              </w:rPr>
            </w:pPr>
            <w:r w:rsidRPr="00137FC6">
              <w:rPr>
                <w:i/>
                <w:noProof/>
                <w:sz w:val="18"/>
                <w:szCs w:val="18"/>
              </w:rPr>
              <w:t xml:space="preserve">Zdroj: IFP podľa údajov Sociálnej poisťovne </w:t>
            </w:r>
          </w:p>
          <w:p w14:paraId="3A663A84" w14:textId="77777777" w:rsidR="00EA7FF5" w:rsidRPr="00137FC6" w:rsidRDefault="00EA7FF5" w:rsidP="00137FC6">
            <w:pPr>
              <w:spacing w:after="0"/>
              <w:jc w:val="left"/>
              <w:rPr>
                <w:i/>
                <w:noProof/>
                <w:sz w:val="18"/>
                <w:szCs w:val="18"/>
              </w:rPr>
            </w:pPr>
            <w:r w:rsidRPr="00137FC6">
              <w:rPr>
                <w:i/>
                <w:noProof/>
                <w:sz w:val="18"/>
                <w:szCs w:val="18"/>
              </w:rPr>
              <w:t>Poznámka: zamestnanie aspoň 6 mesiacov v roku vrátane dohôd a SZČ</w:t>
            </w:r>
          </w:p>
        </w:tc>
      </w:tr>
    </w:tbl>
    <w:p w14:paraId="68689440" w14:textId="60E7565B" w:rsidR="00EA7FF5" w:rsidRDefault="00EA7FF5" w:rsidP="009E6C4C">
      <w:pPr>
        <w:spacing w:before="160"/>
        <w:rPr>
          <w:rFonts w:cs="NeueHaasGroteskText W02"/>
          <w:color w:val="000000"/>
        </w:rPr>
      </w:pPr>
      <w:r w:rsidRPr="00CA2564">
        <w:rPr>
          <w:rFonts w:cs="NeueHaasGroteskText W02"/>
          <w:b/>
          <w:color w:val="000000"/>
        </w:rPr>
        <w:t xml:space="preserve">Zamestnanosť </w:t>
      </w:r>
      <w:r w:rsidR="00825BF7">
        <w:rPr>
          <w:rFonts w:cs="NeueHaasGroteskText W02"/>
          <w:b/>
          <w:color w:val="000000"/>
        </w:rPr>
        <w:t>ľudí z prostredia</w:t>
      </w:r>
      <w:r w:rsidRPr="00CA2564">
        <w:rPr>
          <w:rFonts w:cs="NeueHaasGroteskText W02"/>
          <w:b/>
          <w:color w:val="000000"/>
        </w:rPr>
        <w:t xml:space="preserve"> MRK je charakteristická vysokou volatilitou, čo naznačuje častejší výskyt krátkodobejších a sezónnych kontraktov.</w:t>
      </w:r>
      <w:r w:rsidRPr="00CA2564">
        <w:rPr>
          <w:rFonts w:cs="NeueHaasGroteskText W02"/>
          <w:color w:val="000000"/>
        </w:rPr>
        <w:t xml:space="preserve"> </w:t>
      </w:r>
      <w:r w:rsidR="00B73108">
        <w:rPr>
          <w:rFonts w:cs="NeueHaasGroteskText W02"/>
          <w:color w:val="000000"/>
        </w:rPr>
        <w:t>Hoci</w:t>
      </w:r>
      <w:r w:rsidR="00B73108" w:rsidRPr="00CA2564">
        <w:rPr>
          <w:rFonts w:cs="NeueHaasGroteskText W02"/>
          <w:color w:val="000000"/>
        </w:rPr>
        <w:t> </w:t>
      </w:r>
      <w:r w:rsidR="00B73108">
        <w:rPr>
          <w:rFonts w:cs="NeueHaasGroteskText W02"/>
          <w:color w:val="000000"/>
        </w:rPr>
        <w:t xml:space="preserve">v </w:t>
      </w:r>
      <w:r w:rsidRPr="00CA2564">
        <w:rPr>
          <w:rFonts w:cs="NeueHaasGroteskText W02"/>
          <w:color w:val="000000"/>
        </w:rPr>
        <w:t>období rýchleho ekonomického rastu rástla zamestnanosť v MRK rýchlejšie ako mimo MRK</w:t>
      </w:r>
      <w:r w:rsidR="00C51D7B">
        <w:rPr>
          <w:rFonts w:cs="NeueHaasGroteskText W02"/>
          <w:color w:val="000000"/>
        </w:rPr>
        <w:t>,</w:t>
      </w:r>
      <w:r w:rsidRPr="00CA2564">
        <w:rPr>
          <w:rFonts w:cs="NeueHaasGroteskText W02"/>
          <w:color w:val="000000"/>
        </w:rPr>
        <w:t xml:space="preserve"> v čase krízy boli </w:t>
      </w:r>
      <w:r w:rsidR="00825BF7">
        <w:rPr>
          <w:rFonts w:cs="NeueHaasGroteskText W02"/>
          <w:color w:val="000000"/>
        </w:rPr>
        <w:t>ľudia z prostredia</w:t>
      </w:r>
      <w:r w:rsidRPr="00CA2564">
        <w:rPr>
          <w:rFonts w:cs="NeueHaasGroteskText W02"/>
          <w:color w:val="000000"/>
        </w:rPr>
        <w:t xml:space="preserve"> MRK oveľa viac ovplyvnení prepúšťaním </w:t>
      </w:r>
      <w:r w:rsidR="00B73108">
        <w:rPr>
          <w:rFonts w:cs="NeueHaasGroteskText W02"/>
          <w:color w:val="000000"/>
        </w:rPr>
        <w:t>než</w:t>
      </w:r>
      <w:r w:rsidR="00A25A9A">
        <w:rPr>
          <w:rFonts w:cs="NeueHaasGroteskText W02"/>
          <w:color w:val="000000"/>
        </w:rPr>
        <w:t> </w:t>
      </w:r>
      <w:r w:rsidRPr="00CA2564">
        <w:rPr>
          <w:rFonts w:cs="NeueHaasGroteskText W02"/>
          <w:color w:val="000000"/>
        </w:rPr>
        <w:t>majorita (</w:t>
      </w:r>
      <w:r w:rsidRPr="002C7773">
        <w:rPr>
          <w:rFonts w:cs="NeueHaasGroteskText W02"/>
          <w:color w:val="000000"/>
          <w:szCs w:val="22"/>
        </w:rPr>
        <w:fldChar w:fldCharType="begin"/>
      </w:r>
      <w:r w:rsidRPr="002C7773">
        <w:rPr>
          <w:rFonts w:cs="NeueHaasGroteskText W02"/>
          <w:color w:val="000000"/>
          <w:szCs w:val="22"/>
        </w:rPr>
        <w:instrText xml:space="preserve"> REF _Ref15035970 \h </w:instrText>
      </w:r>
      <w:r w:rsidR="002C7773">
        <w:rPr>
          <w:rFonts w:cs="NeueHaasGroteskText W02"/>
          <w:color w:val="000000"/>
          <w:szCs w:val="22"/>
        </w:rPr>
        <w:instrText xml:space="preserve"> \* MERGEFORMAT </w:instrText>
      </w:r>
      <w:r w:rsidRPr="002C7773">
        <w:rPr>
          <w:rFonts w:cs="NeueHaasGroteskText W02"/>
          <w:color w:val="000000"/>
          <w:szCs w:val="22"/>
        </w:rPr>
      </w:r>
      <w:r w:rsidRPr="002C7773">
        <w:rPr>
          <w:rFonts w:cs="NeueHaasGroteskText W02"/>
          <w:color w:val="000000"/>
          <w:szCs w:val="22"/>
        </w:rPr>
        <w:fldChar w:fldCharType="separate"/>
      </w:r>
      <w:r w:rsidR="00FA29AF" w:rsidRPr="00FA29AF">
        <w:rPr>
          <w:szCs w:val="22"/>
        </w:rPr>
        <w:t xml:space="preserve">Graf </w:t>
      </w:r>
      <w:r w:rsidR="00FA29AF" w:rsidRPr="00FA29AF">
        <w:rPr>
          <w:noProof/>
          <w:szCs w:val="22"/>
        </w:rPr>
        <w:t>31</w:t>
      </w:r>
      <w:r w:rsidRPr="002C7773">
        <w:rPr>
          <w:rFonts w:cs="NeueHaasGroteskText W02"/>
          <w:color w:val="000000"/>
          <w:szCs w:val="22"/>
        </w:rPr>
        <w:fldChar w:fldCharType="end"/>
      </w:r>
      <w:r w:rsidRPr="00CA2564">
        <w:rPr>
          <w:rFonts w:cs="NeueHaasGroteskText W02"/>
          <w:color w:val="000000"/>
        </w:rPr>
        <w:t>).</w:t>
      </w:r>
    </w:p>
    <w:p w14:paraId="197BC7BD" w14:textId="3D41925F" w:rsidR="004F2DC5" w:rsidRPr="00CE4B44" w:rsidRDefault="004F2DC5" w:rsidP="009E6C4C">
      <w:pPr>
        <w:spacing w:before="160"/>
        <w:rPr>
          <w:rFonts w:cs="NeueHaasGroteskText W02"/>
          <w:b/>
          <w:color w:val="000000"/>
        </w:rPr>
      </w:pPr>
      <w:r w:rsidRPr="00D3189B">
        <w:rPr>
          <w:rFonts w:cs="NeueHaasGroteskText W02"/>
          <w:b/>
          <w:color w:val="000000"/>
        </w:rPr>
        <w:t xml:space="preserve">Významnou bariérou </w:t>
      </w:r>
      <w:r w:rsidR="00825BF7">
        <w:rPr>
          <w:rFonts w:cs="NeueHaasGroteskText W02"/>
          <w:b/>
          <w:color w:val="000000"/>
        </w:rPr>
        <w:t>ľudí z prostredia</w:t>
      </w:r>
      <w:r w:rsidRPr="00D3189B">
        <w:rPr>
          <w:rFonts w:cs="NeueHaasGroteskText W02"/>
          <w:b/>
          <w:color w:val="000000"/>
        </w:rPr>
        <w:t xml:space="preserve"> MRK je nízke dosiahnuté vzdelanie</w:t>
      </w:r>
      <w:r w:rsidR="00D632FD">
        <w:rPr>
          <w:rFonts w:cs="NeueHaasGroteskText W02"/>
          <w:b/>
          <w:color w:val="000000"/>
        </w:rPr>
        <w:t xml:space="preserve"> (kapitola </w:t>
      </w:r>
      <w:r w:rsidR="00162162">
        <w:rPr>
          <w:rFonts w:cs="NeueHaasGroteskText W02"/>
          <w:b/>
          <w:color w:val="000000"/>
        </w:rPr>
        <w:fldChar w:fldCharType="begin"/>
      </w:r>
      <w:r w:rsidR="00162162">
        <w:rPr>
          <w:rFonts w:cs="NeueHaasGroteskText W02"/>
          <w:b/>
          <w:color w:val="000000"/>
        </w:rPr>
        <w:instrText xml:space="preserve"> REF _Ref25313929 \r \h </w:instrText>
      </w:r>
      <w:r w:rsidR="00162162">
        <w:rPr>
          <w:rFonts w:cs="NeueHaasGroteskText W02"/>
          <w:b/>
          <w:color w:val="000000"/>
        </w:rPr>
      </w:r>
      <w:r w:rsidR="00162162">
        <w:rPr>
          <w:rFonts w:cs="NeueHaasGroteskText W02"/>
          <w:b/>
          <w:color w:val="000000"/>
        </w:rPr>
        <w:fldChar w:fldCharType="separate"/>
      </w:r>
      <w:r w:rsidR="00FA29AF">
        <w:rPr>
          <w:rFonts w:cs="NeueHaasGroteskText W02"/>
          <w:b/>
          <w:color w:val="000000"/>
        </w:rPr>
        <w:t>5</w:t>
      </w:r>
      <w:r w:rsidR="00162162">
        <w:rPr>
          <w:rFonts w:cs="NeueHaasGroteskText W02"/>
          <w:b/>
          <w:color w:val="000000"/>
        </w:rPr>
        <w:fldChar w:fldCharType="end"/>
      </w:r>
      <w:r w:rsidRPr="00D3189B">
        <w:rPr>
          <w:rFonts w:cs="NeueHaasGroteskText W02"/>
          <w:b/>
          <w:color w:val="000000"/>
        </w:rPr>
        <w:t xml:space="preserve">). Na Slovensku pritom </w:t>
      </w:r>
      <w:r w:rsidRPr="00D3189B">
        <w:rPr>
          <w:b/>
          <w:iCs/>
          <w:lang w:eastAsia="sk-SK"/>
        </w:rPr>
        <w:t xml:space="preserve">možno pozorovať neobvykle výrazný rozdiel vo výsledkoch na trhu práce podľa dosiahnutého vzdelania. </w:t>
      </w:r>
      <w:r w:rsidRPr="00D3189B">
        <w:rPr>
          <w:iCs/>
          <w:lang w:eastAsia="sk-SK"/>
        </w:rPr>
        <w:t xml:space="preserve">Spomedzi krajín EÚ je na Slovensku s náskokom najvyššia miera nezamestnanosti ľudí s nízkym </w:t>
      </w:r>
      <w:r w:rsidRPr="00C772D6">
        <w:rPr>
          <w:iCs/>
          <w:szCs w:val="22"/>
          <w:lang w:eastAsia="sk-SK"/>
        </w:rPr>
        <w:t>vzdelaním (</w:t>
      </w:r>
      <w:r w:rsidR="00265017" w:rsidRPr="00C772D6">
        <w:rPr>
          <w:rFonts w:cs="NeueHaasGroteskText W02"/>
          <w:color w:val="000000"/>
          <w:szCs w:val="22"/>
        </w:rPr>
        <w:fldChar w:fldCharType="begin"/>
      </w:r>
      <w:r w:rsidR="00265017" w:rsidRPr="00C772D6">
        <w:rPr>
          <w:rFonts w:cs="NeueHaasGroteskText W02"/>
          <w:color w:val="000000"/>
          <w:szCs w:val="22"/>
        </w:rPr>
        <w:instrText xml:space="preserve"> REF _Ref19531685 \h </w:instrText>
      </w:r>
      <w:r w:rsidR="002C7773" w:rsidRPr="00C772D6">
        <w:rPr>
          <w:rFonts w:cs="NeueHaasGroteskText W02"/>
          <w:color w:val="000000"/>
          <w:szCs w:val="22"/>
        </w:rPr>
        <w:instrText xml:space="preserve"> \* MERGEFORMAT </w:instrText>
      </w:r>
      <w:r w:rsidR="00265017" w:rsidRPr="00C772D6">
        <w:rPr>
          <w:rFonts w:cs="NeueHaasGroteskText W02"/>
          <w:color w:val="000000"/>
          <w:szCs w:val="22"/>
        </w:rPr>
      </w:r>
      <w:r w:rsidR="00265017" w:rsidRPr="00C772D6">
        <w:rPr>
          <w:rFonts w:cs="NeueHaasGroteskText W02"/>
          <w:color w:val="000000"/>
          <w:szCs w:val="22"/>
        </w:rPr>
        <w:fldChar w:fldCharType="separate"/>
      </w:r>
      <w:r w:rsidR="00FA29AF" w:rsidRPr="00FA29AF">
        <w:rPr>
          <w:rFonts w:cs="NeueHaasGroteskText W02"/>
          <w:color w:val="000000"/>
          <w:szCs w:val="22"/>
        </w:rPr>
        <w:t>Graf</w:t>
      </w:r>
      <w:r w:rsidR="00FA29AF" w:rsidRPr="00E46675">
        <w:rPr>
          <w:b/>
          <w:sz w:val="20"/>
        </w:rPr>
        <w:t xml:space="preserve"> </w:t>
      </w:r>
      <w:r w:rsidR="00FA29AF">
        <w:rPr>
          <w:b/>
          <w:noProof/>
          <w:sz w:val="20"/>
        </w:rPr>
        <w:t>32</w:t>
      </w:r>
      <w:r w:rsidR="00265017" w:rsidRPr="00C772D6">
        <w:rPr>
          <w:rFonts w:cs="NeueHaasGroteskText W02"/>
          <w:color w:val="000000"/>
          <w:szCs w:val="22"/>
        </w:rPr>
        <w:fldChar w:fldCharType="end"/>
      </w:r>
      <w:r w:rsidRPr="00C772D6">
        <w:rPr>
          <w:rFonts w:cs="NeueHaasGroteskText W02"/>
          <w:color w:val="000000"/>
          <w:szCs w:val="22"/>
        </w:rPr>
        <w:t>)</w:t>
      </w:r>
      <w:r w:rsidRPr="00C772D6">
        <w:rPr>
          <w:iCs/>
          <w:szCs w:val="22"/>
          <w:lang w:eastAsia="sk-SK"/>
        </w:rPr>
        <w:t xml:space="preserve">. Slovensko tiež </w:t>
      </w:r>
      <w:r w:rsidR="00ED168C" w:rsidRPr="00C772D6">
        <w:rPr>
          <w:iCs/>
          <w:szCs w:val="22"/>
          <w:lang w:eastAsia="sk-SK"/>
        </w:rPr>
        <w:t>zaznamenáva</w:t>
      </w:r>
      <w:r w:rsidRPr="00C772D6">
        <w:rPr>
          <w:iCs/>
          <w:szCs w:val="22"/>
          <w:lang w:eastAsia="sk-SK"/>
        </w:rPr>
        <w:t xml:space="preserve"> najväčší percentuálny rozdiel medzi nezamestnanosťou ľudí s nízkym</w:t>
      </w:r>
      <w:r w:rsidRPr="00D3189B">
        <w:rPr>
          <w:iCs/>
          <w:lang w:eastAsia="sk-SK"/>
        </w:rPr>
        <w:t xml:space="preserve"> vzdelaním (ISCED 0 až 2) a nezamestnanosťou ľudí s vyšším vzdelaním (ISCED 5 až 8). </w:t>
      </w:r>
      <w:r w:rsidR="00D71C5E" w:rsidRPr="00CE4B44">
        <w:rPr>
          <w:b/>
          <w:iCs/>
          <w:lang w:eastAsia="sk-SK"/>
        </w:rPr>
        <w:t>Zamestnanosť absolventov z prostredia MRK je však nižšia</w:t>
      </w:r>
      <w:r w:rsidR="002B5077">
        <w:rPr>
          <w:b/>
          <w:iCs/>
          <w:lang w:eastAsia="sk-SK"/>
        </w:rPr>
        <w:t xml:space="preserve"> ako ostatných absolventov</w:t>
      </w:r>
      <w:r w:rsidR="00D71C5E" w:rsidRPr="00CE4B44">
        <w:rPr>
          <w:b/>
          <w:iCs/>
          <w:lang w:eastAsia="sk-SK"/>
        </w:rPr>
        <w:t xml:space="preserve"> aj po zohľadnení dosiahnutého vzdelania (</w:t>
      </w:r>
      <w:r w:rsidR="00213C05" w:rsidRPr="00213C05">
        <w:rPr>
          <w:b/>
        </w:rPr>
        <w:fldChar w:fldCharType="begin"/>
      </w:r>
      <w:r w:rsidR="00213C05" w:rsidRPr="00213C05">
        <w:rPr>
          <w:b/>
        </w:rPr>
        <w:instrText xml:space="preserve"> REF _Ref34129746 \h  \* MERGEFORMAT </w:instrText>
      </w:r>
      <w:r w:rsidR="00213C05" w:rsidRPr="00213C05">
        <w:rPr>
          <w:b/>
        </w:rPr>
      </w:r>
      <w:r w:rsidR="00213C05" w:rsidRPr="00213C05">
        <w:rPr>
          <w:b/>
        </w:rPr>
        <w:fldChar w:fldCharType="separate"/>
      </w:r>
      <w:r w:rsidR="00FA29AF" w:rsidRPr="00FA29AF">
        <w:rPr>
          <w:b/>
        </w:rPr>
        <w:t>Príloha 13</w:t>
      </w:r>
      <w:r w:rsidR="00213C05" w:rsidRPr="00213C05">
        <w:rPr>
          <w:b/>
        </w:rPr>
        <w:fldChar w:fldCharType="end"/>
      </w:r>
      <w:r w:rsidR="00D71C5E" w:rsidRPr="00633B68">
        <w:rPr>
          <w:b/>
        </w:rPr>
        <w:t>)</w:t>
      </w:r>
      <w:r w:rsidR="00D71C5E" w:rsidRPr="00CE4B44">
        <w:rPr>
          <w:b/>
          <w:iCs/>
          <w:lang w:eastAsia="sk-SK"/>
        </w:rPr>
        <w:t>.</w:t>
      </w:r>
    </w:p>
    <w:p w14:paraId="355BE6E9" w14:textId="081ABA00" w:rsidR="00265017" w:rsidRPr="00D3189B" w:rsidRDefault="00EA7FF5" w:rsidP="002C7773">
      <w:r w:rsidRPr="00CA2564">
        <w:rPr>
          <w:b/>
        </w:rPr>
        <w:t>Jedným z</w:t>
      </w:r>
      <w:r w:rsidR="00F44931">
        <w:rPr>
          <w:b/>
        </w:rPr>
        <w:t xml:space="preserve"> ďalších</w:t>
      </w:r>
      <w:r w:rsidRPr="00CA2564">
        <w:rPr>
          <w:b/>
        </w:rPr>
        <w:t xml:space="preserve"> dôvodov horších výsledkov </w:t>
      </w:r>
      <w:r w:rsidR="00825BF7">
        <w:rPr>
          <w:b/>
        </w:rPr>
        <w:t>ľudí z prostredia</w:t>
      </w:r>
      <w:r w:rsidRPr="00CA2564">
        <w:rPr>
          <w:b/>
        </w:rPr>
        <w:t xml:space="preserve"> MRK na trhu práce môže byť diskriminácia.</w:t>
      </w:r>
      <w:r w:rsidRPr="00CA2564">
        <w:t xml:space="preserve"> Experiment Inštitútu finančnej politiky, v rámci ktorého boli zamestnávateľom rozoslané žiadosti o prácu fiktívnych uchádzačov o</w:t>
      </w:r>
      <w:r w:rsidR="00F30730">
        <w:t> </w:t>
      </w:r>
      <w:r w:rsidRPr="00CA2564">
        <w:t>zamestnanie</w:t>
      </w:r>
      <w:r w:rsidR="00F30730">
        <w:t>,</w:t>
      </w:r>
      <w:r w:rsidRPr="00CA2564">
        <w:t xml:space="preserve"> ukázal, že v porovnaní s majoritnou skupinou mali uchádzači </w:t>
      </w:r>
      <w:r w:rsidR="00F30730">
        <w:t>s</w:t>
      </w:r>
      <w:r w:rsidR="00F30730" w:rsidRPr="00CA2564">
        <w:t> </w:t>
      </w:r>
      <w:r w:rsidRPr="00CA2564">
        <w:t>rómskymi menami menej než polovičnú šancu, že budú pozvaní na pracovný pohovor, hoci obe skupiny mali rovnaké osobné a pracovné charakteristiky</w:t>
      </w:r>
      <w:r w:rsidR="00A25A9A">
        <w:t>,</w:t>
      </w:r>
      <w:r w:rsidRPr="00CA2564">
        <w:t xml:space="preserve"> vrátane vzdelania (IFP, 2014</w:t>
      </w:r>
      <w:r w:rsidR="00DA2EA2">
        <w:t>b</w:t>
      </w:r>
      <w:r w:rsidRPr="00CA2564">
        <w:t xml:space="preserve">). </w:t>
      </w:r>
      <w:r w:rsidR="000001E8">
        <w:t xml:space="preserve">Vysokú (v medzinárodnom porovnaní) a rastúcu mieru diskriminácie Rómov v hľadaní zamestnania naznačuje aj prieskum v prostredí MRK (FRA, 2018). </w:t>
      </w:r>
      <w:r w:rsidRPr="00CA2564">
        <w:t xml:space="preserve">Medzi ďalšie pravdepodobné dôvody nízkej zamestnanosti patria </w:t>
      </w:r>
      <w:r w:rsidRPr="004F2DC5">
        <w:t xml:space="preserve">horší zdravotný stav (kapitola </w:t>
      </w:r>
      <w:r w:rsidR="00752A9E">
        <w:fldChar w:fldCharType="begin"/>
      </w:r>
      <w:r w:rsidR="00752A9E">
        <w:instrText xml:space="preserve"> REF _Ref25313982 \r \h </w:instrText>
      </w:r>
      <w:r w:rsidR="00752A9E">
        <w:fldChar w:fldCharType="separate"/>
      </w:r>
      <w:r w:rsidR="00FA29AF">
        <w:t>10</w:t>
      </w:r>
      <w:r w:rsidR="00752A9E">
        <w:fldChar w:fldCharType="end"/>
      </w:r>
      <w:r w:rsidRPr="004F2DC5">
        <w:t xml:space="preserve">), vzdialenosť od pracovných príležitostí a problémy s dopravou v dôsledku priestorovej segregácie (kapitola </w:t>
      </w:r>
      <w:r w:rsidR="00752A9E">
        <w:fldChar w:fldCharType="begin"/>
      </w:r>
      <w:r w:rsidR="00752A9E">
        <w:instrText xml:space="preserve"> REF _Ref25313989 \r \h </w:instrText>
      </w:r>
      <w:r w:rsidR="00752A9E">
        <w:fldChar w:fldCharType="separate"/>
      </w:r>
      <w:r w:rsidR="00FA29AF">
        <w:t>9</w:t>
      </w:r>
      <w:r w:rsidR="00752A9E">
        <w:fldChar w:fldCharType="end"/>
      </w:r>
      <w:r w:rsidRPr="004F2DC5">
        <w:t>)</w:t>
      </w:r>
      <w:r w:rsidR="00C51D7B" w:rsidRPr="004F2DC5">
        <w:t>,</w:t>
      </w:r>
      <w:r w:rsidRPr="004F2DC5">
        <w:t xml:space="preserve"> ako aj nižšia finančná gramotnosť a s tým spojené vystavenie exekučnému zaťaženiu (podkapitola </w:t>
      </w:r>
      <w:r w:rsidR="00752A9E">
        <w:fldChar w:fldCharType="begin"/>
      </w:r>
      <w:r w:rsidR="00752A9E">
        <w:instrText xml:space="preserve"> REF _Ref25313998 \r \h </w:instrText>
      </w:r>
      <w:r w:rsidR="00752A9E">
        <w:fldChar w:fldCharType="separate"/>
      </w:r>
      <w:r w:rsidR="00FA29AF">
        <w:t>7.5</w:t>
      </w:r>
      <w:r w:rsidR="00752A9E">
        <w:fldChar w:fldCharType="end"/>
      </w:r>
      <w:r w:rsidRPr="004F2DC5">
        <w:t>).</w:t>
      </w:r>
    </w:p>
    <w:tbl>
      <w:tblPr>
        <w:tblW w:w="0" w:type="auto"/>
        <w:tblLook w:val="04E0" w:firstRow="1" w:lastRow="1" w:firstColumn="1" w:lastColumn="0" w:noHBand="0" w:noVBand="1"/>
      </w:tblPr>
      <w:tblGrid>
        <w:gridCol w:w="9026"/>
      </w:tblGrid>
      <w:tr w:rsidR="00265017" w:rsidRPr="00CA2564" w14:paraId="328F2860" w14:textId="77777777" w:rsidTr="00F038E7">
        <w:tc>
          <w:tcPr>
            <w:tcW w:w="9072" w:type="dxa"/>
          </w:tcPr>
          <w:p w14:paraId="546E9D23" w14:textId="27CA9CEF" w:rsidR="00265017" w:rsidRPr="00E46675" w:rsidRDefault="00265017" w:rsidP="00E46675">
            <w:pPr>
              <w:spacing w:after="0" w:line="240" w:lineRule="auto"/>
              <w:rPr>
                <w:b/>
                <w:sz w:val="20"/>
              </w:rPr>
            </w:pPr>
            <w:bookmarkStart w:id="454" w:name="_Ref19531685"/>
            <w:bookmarkStart w:id="455" w:name="_Toc34157590"/>
            <w:r w:rsidRPr="00E46675">
              <w:rPr>
                <w:b/>
                <w:sz w:val="20"/>
              </w:rPr>
              <w:t xml:space="preserve">Graf </w:t>
            </w:r>
            <w:r w:rsidRPr="00E46675">
              <w:rPr>
                <w:b/>
                <w:noProof/>
                <w:sz w:val="20"/>
              </w:rPr>
              <w:fldChar w:fldCharType="begin"/>
            </w:r>
            <w:r w:rsidRPr="00E46675">
              <w:rPr>
                <w:b/>
                <w:noProof/>
                <w:sz w:val="20"/>
              </w:rPr>
              <w:instrText xml:space="preserve"> SEQ Graf \* ARABIC </w:instrText>
            </w:r>
            <w:r w:rsidRPr="00E46675">
              <w:rPr>
                <w:b/>
                <w:noProof/>
                <w:sz w:val="20"/>
              </w:rPr>
              <w:fldChar w:fldCharType="separate"/>
            </w:r>
            <w:r w:rsidR="00FA29AF">
              <w:rPr>
                <w:b/>
                <w:noProof/>
                <w:sz w:val="20"/>
              </w:rPr>
              <w:t>32</w:t>
            </w:r>
            <w:r w:rsidRPr="00E46675">
              <w:rPr>
                <w:b/>
                <w:noProof/>
                <w:sz w:val="20"/>
              </w:rPr>
              <w:fldChar w:fldCharType="end"/>
            </w:r>
            <w:bookmarkEnd w:id="454"/>
            <w:r w:rsidRPr="00E46675">
              <w:rPr>
                <w:b/>
                <w:iCs/>
                <w:sz w:val="20"/>
              </w:rPr>
              <w:t>: Miera nezamestnanosti podľa výška dosiahnutého vzdelania, 20 až 64 rokov, 201</w:t>
            </w:r>
            <w:r w:rsidR="002101E9" w:rsidRPr="00E46675">
              <w:rPr>
                <w:b/>
                <w:iCs/>
                <w:sz w:val="20"/>
              </w:rPr>
              <w:t>8</w:t>
            </w:r>
            <w:r w:rsidRPr="00E46675">
              <w:rPr>
                <w:b/>
                <w:iCs/>
                <w:sz w:val="20"/>
              </w:rPr>
              <w:t xml:space="preserve"> (%)</w:t>
            </w:r>
            <w:bookmarkEnd w:id="455"/>
          </w:p>
        </w:tc>
      </w:tr>
      <w:tr w:rsidR="00265017" w:rsidRPr="00CA2564" w14:paraId="219B6435" w14:textId="77777777" w:rsidTr="002101E9">
        <w:tblPrEx>
          <w:tblCellMar>
            <w:left w:w="70" w:type="dxa"/>
            <w:right w:w="70" w:type="dxa"/>
          </w:tblCellMar>
        </w:tblPrEx>
        <w:tc>
          <w:tcPr>
            <w:tcW w:w="9072" w:type="dxa"/>
            <w:tcBorders>
              <w:top w:val="single" w:sz="4" w:space="0" w:color="auto"/>
              <w:bottom w:val="single" w:sz="4" w:space="0" w:color="auto"/>
            </w:tcBorders>
          </w:tcPr>
          <w:p w14:paraId="390CAA7D" w14:textId="77777777" w:rsidR="00265017" w:rsidRPr="00CA2564" w:rsidRDefault="00265017" w:rsidP="00E46675">
            <w:pPr>
              <w:spacing w:after="0" w:line="240" w:lineRule="auto"/>
              <w:jc w:val="center"/>
              <w:rPr>
                <w:sz w:val="4"/>
                <w:szCs w:val="4"/>
              </w:rPr>
            </w:pPr>
          </w:p>
          <w:p w14:paraId="35F55F6B" w14:textId="22F3558B" w:rsidR="00265017" w:rsidRPr="00CA2564" w:rsidRDefault="002101E9" w:rsidP="00E46675">
            <w:pPr>
              <w:spacing w:after="0" w:line="240" w:lineRule="auto"/>
              <w:jc w:val="center"/>
              <w:rPr>
                <w:sz w:val="4"/>
                <w:szCs w:val="4"/>
              </w:rPr>
            </w:pPr>
            <w:r>
              <w:rPr>
                <w:noProof/>
                <w:lang w:eastAsia="sk-SK"/>
              </w:rPr>
              <w:drawing>
                <wp:inline distT="0" distB="0" distL="0" distR="0" wp14:anchorId="4AA25F09" wp14:editId="041E98EA">
                  <wp:extent cx="5572125" cy="2000250"/>
                  <wp:effectExtent l="0" t="0" r="0" b="0"/>
                  <wp:docPr id="52" name="Graf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15A55D4" w14:textId="77777777" w:rsidR="00265017" w:rsidRPr="00CA2564" w:rsidRDefault="00265017" w:rsidP="00E46675">
            <w:pPr>
              <w:spacing w:after="0" w:line="240" w:lineRule="auto"/>
              <w:jc w:val="center"/>
              <w:rPr>
                <w:sz w:val="4"/>
                <w:szCs w:val="4"/>
              </w:rPr>
            </w:pPr>
          </w:p>
        </w:tc>
      </w:tr>
      <w:tr w:rsidR="00265017" w:rsidRPr="00D20FFB" w14:paraId="5E9B380E" w14:textId="77777777" w:rsidTr="00F038E7">
        <w:tc>
          <w:tcPr>
            <w:tcW w:w="9072" w:type="dxa"/>
          </w:tcPr>
          <w:p w14:paraId="616015F3" w14:textId="35CC5165" w:rsidR="00265017" w:rsidRPr="00E46675" w:rsidRDefault="00265017" w:rsidP="00120396">
            <w:pPr>
              <w:spacing w:after="0" w:line="240" w:lineRule="auto"/>
              <w:jc w:val="right"/>
              <w:rPr>
                <w:i/>
                <w:noProof/>
                <w:sz w:val="18"/>
                <w:szCs w:val="18"/>
              </w:rPr>
            </w:pPr>
            <w:r w:rsidRPr="00E46675">
              <w:rPr>
                <w:i/>
                <w:noProof/>
                <w:sz w:val="18"/>
                <w:szCs w:val="18"/>
              </w:rPr>
              <w:t xml:space="preserve">Zdroj: </w:t>
            </w:r>
            <w:r w:rsidRPr="00E46675">
              <w:rPr>
                <w:rFonts w:eastAsia="Times New Roman" w:cs="Arial"/>
                <w:i/>
                <w:iCs/>
                <w:color w:val="000000"/>
                <w:sz w:val="18"/>
                <w:szCs w:val="18"/>
              </w:rPr>
              <w:t>Eurostat</w:t>
            </w:r>
          </w:p>
          <w:p w14:paraId="3E36FD2B" w14:textId="292CAF2B" w:rsidR="00265017" w:rsidRPr="00D20FFB" w:rsidRDefault="00265017" w:rsidP="00120396">
            <w:pPr>
              <w:spacing w:after="0" w:line="240" w:lineRule="auto"/>
              <w:rPr>
                <w:b/>
                <w:i/>
                <w:sz w:val="18"/>
                <w:szCs w:val="18"/>
              </w:rPr>
            </w:pPr>
            <w:r w:rsidRPr="00E46675">
              <w:rPr>
                <w:rFonts w:eastAsia="Times New Roman" w:cs="Times New Roman"/>
                <w:i/>
                <w:iCs/>
                <w:color w:val="000000"/>
                <w:sz w:val="18"/>
                <w:szCs w:val="18"/>
              </w:rPr>
              <w:t xml:space="preserve">Poznámka: </w:t>
            </w:r>
            <w:r w:rsidRPr="00E46675">
              <w:rPr>
                <w:i/>
                <w:sz w:val="18"/>
                <w:szCs w:val="18"/>
              </w:rPr>
              <w:t xml:space="preserve">ISCED 0 až 2 predstavuje nižšie stredné odborné vzdelanie a menej, ISCED 3 až 4 predstavuje nižšie stredné odborné vzdelanie s výučným listom až postsekundárne vzdelanie, ISCED 5 až 8 predstavuje vyššie odborné vzdelanie a všetky druhy vysokoškolského vzdelania. Viac informácií o klasifikácii ISCED na </w:t>
            </w:r>
            <w:hyperlink r:id="rId52" w:history="1">
              <w:r w:rsidRPr="00E46675">
                <w:rPr>
                  <w:rStyle w:val="Hypertextovprepojenie"/>
                  <w:i/>
                  <w:sz w:val="18"/>
                  <w:szCs w:val="18"/>
                </w:rPr>
                <w:t>https://www.minedu.sk/data/att/5853.pdf</w:t>
              </w:r>
            </w:hyperlink>
          </w:p>
        </w:tc>
      </w:tr>
    </w:tbl>
    <w:p w14:paraId="5CE37658" w14:textId="70A01466" w:rsidR="00E80E78" w:rsidRPr="00D41517" w:rsidRDefault="00E80E78" w:rsidP="00D41517">
      <w:pPr>
        <w:spacing w:before="200"/>
        <w:rPr>
          <w:b/>
        </w:rPr>
      </w:pPr>
      <w:r w:rsidRPr="00E80E78">
        <w:rPr>
          <w:b/>
        </w:rPr>
        <w:t xml:space="preserve">Výskum zameraný na skúsenosti ľudí z prostredia MRK na trhu práce je obmedzený nízkou kvalitou etnických identifikátorov vo </w:t>
      </w:r>
      <w:r>
        <w:rPr>
          <w:b/>
        </w:rPr>
        <w:t xml:space="preserve">verejne dostupných </w:t>
      </w:r>
      <w:r w:rsidR="00EC0E7E">
        <w:rPr>
          <w:b/>
        </w:rPr>
        <w:t>dátach</w:t>
      </w:r>
      <w:r>
        <w:rPr>
          <w:b/>
        </w:rPr>
        <w:t xml:space="preserve">. </w:t>
      </w:r>
      <w:r w:rsidRPr="00D41517">
        <w:t xml:space="preserve">Sebaidentifikácia </w:t>
      </w:r>
      <w:r>
        <w:t xml:space="preserve">k etnickej </w:t>
      </w:r>
      <w:r w:rsidR="00016D0D">
        <w:t xml:space="preserve">alebo národnostnej </w:t>
      </w:r>
      <w:r>
        <w:t xml:space="preserve">menšine vedie v prieskumoch k výraznému podhodnoteniu podielu rómskej menšiny na celkovej populácii. </w:t>
      </w:r>
      <w:r w:rsidR="00016D0D">
        <w:t>Prepojenie Atl</w:t>
      </w:r>
      <w:r>
        <w:t>asu rómskych komunít a </w:t>
      </w:r>
      <w:r w:rsidR="00016D0D">
        <w:t>administratívnych</w:t>
      </w:r>
      <w:r>
        <w:t xml:space="preserve"> </w:t>
      </w:r>
      <w:r w:rsidRPr="002B01DB">
        <w:t>údajov (</w:t>
      </w:r>
      <w:r w:rsidR="002B01DB" w:rsidRPr="002B01DB">
        <w:fldChar w:fldCharType="begin"/>
      </w:r>
      <w:r w:rsidR="002B01DB" w:rsidRPr="002B01DB">
        <w:instrText xml:space="preserve"> REF _Ref33439692 \h  \* MERGEFORMAT </w:instrText>
      </w:r>
      <w:r w:rsidR="002B01DB" w:rsidRPr="002B01DB">
        <w:fldChar w:fldCharType="separate"/>
      </w:r>
      <w:r w:rsidR="00FA29AF" w:rsidRPr="00FA29AF">
        <w:t xml:space="preserve">Box </w:t>
      </w:r>
      <w:r w:rsidR="00FA29AF" w:rsidRPr="00FA29AF">
        <w:rPr>
          <w:noProof/>
        </w:rPr>
        <w:t>3</w:t>
      </w:r>
      <w:r w:rsidR="002B01DB" w:rsidRPr="002B01DB">
        <w:fldChar w:fldCharType="end"/>
      </w:r>
      <w:r w:rsidRPr="002B01DB">
        <w:t>) umožňuje</w:t>
      </w:r>
      <w:r>
        <w:t xml:space="preserve"> túto medzeru čiastočne vyplniť, avšak tieto údaje nie sú dostupné externým výskumníkom, čím je </w:t>
      </w:r>
      <w:r w:rsidR="00A25A9A">
        <w:t>obmedzená</w:t>
      </w:r>
      <w:r>
        <w:t xml:space="preserve"> ich užitočnosť. </w:t>
      </w:r>
      <w:r w:rsidRPr="0015311F">
        <w:t>Zahraničná skúsenosť ukazuje, že možnosť sebaidentifikácie k</w:t>
      </w:r>
      <w:r w:rsidR="00A25A9A">
        <w:t>u viacerým etnikám/národnostiam</w:t>
      </w:r>
      <w:r w:rsidRPr="0015311F">
        <w:t xml:space="preserve"> výrazne zvyšuje presnosť zberu etnických dát (napr. posledný cenzus v Maďarsku)</w:t>
      </w:r>
      <w:r w:rsidR="0016374A">
        <w:t xml:space="preserve"> (Messing, 2014)</w:t>
      </w:r>
      <w:r w:rsidRPr="0015311F">
        <w:t>.</w:t>
      </w:r>
      <w:r>
        <w:t xml:space="preserve"> </w:t>
      </w:r>
      <w:r w:rsidRPr="00D41517">
        <w:rPr>
          <w:b/>
        </w:rPr>
        <w:t xml:space="preserve">Revízia navrhuje </w:t>
      </w:r>
      <w:r w:rsidR="00016D0D" w:rsidRPr="00D41517">
        <w:rPr>
          <w:b/>
        </w:rPr>
        <w:t>doplniť reprezentatívne zbery dát na Slovensku (VZPS, SILC, Sčítanie obyvateľov) o možnosť voľby viacerých etnicít (multi-ethnicity question/self-identification).</w:t>
      </w:r>
    </w:p>
    <w:p w14:paraId="65995FC8" w14:textId="21B63D35" w:rsidR="00EA7FF5" w:rsidRPr="00CA2564" w:rsidRDefault="00EA7FF5" w:rsidP="004F2DC5">
      <w:pPr>
        <w:spacing w:before="240"/>
        <w:rPr>
          <w:color w:val="0070C0"/>
        </w:rPr>
      </w:pPr>
      <w:r w:rsidRPr="00CA2564">
        <w:rPr>
          <w:color w:val="0070C0"/>
        </w:rPr>
        <w:t>Osoby so zdravotným postihnutím</w:t>
      </w:r>
    </w:p>
    <w:p w14:paraId="47FC5771" w14:textId="301A3F15" w:rsidR="00EA7FF5" w:rsidRPr="00CA2564" w:rsidRDefault="00EA7FF5" w:rsidP="009E6C4C">
      <w:r w:rsidRPr="00CA2564">
        <w:rPr>
          <w:b/>
        </w:rPr>
        <w:t>Medzinárodné porovnanie zamestnanosti osôb so zdravotným znevýhodnením komplikuje nesúlad medzi jednotlivými zdrojmi údajov.</w:t>
      </w:r>
      <w:r w:rsidRPr="00CA2564">
        <w:t xml:space="preserve"> Podľa špeciálneho modulu štatistického zisťovania EU-LFS z roku 2011 bola miera zamestnanosti osôb so zdravotným znevýhodnením na Slovensku približne polo</w:t>
      </w:r>
      <w:r w:rsidR="00A25A9A">
        <w:t>vičná v porovnaní s osobami bez </w:t>
      </w:r>
      <w:r w:rsidRPr="00CA2564">
        <w:t>zdravotného znevýhodnenia a tiež výrazne pod priemerom EÚ</w:t>
      </w:r>
      <w:r w:rsidR="00D60187">
        <w:t>15</w:t>
      </w:r>
      <w:r w:rsidRPr="00CA2564">
        <w:t xml:space="preserve">. </w:t>
      </w:r>
      <w:r w:rsidR="00152DB5">
        <w:t>Š</w:t>
      </w:r>
      <w:r w:rsidRPr="00CA2564">
        <w:t>tatistické zisťovanie EU-SILC</w:t>
      </w:r>
      <w:r w:rsidR="00152DB5">
        <w:t xml:space="preserve"> z roku 201</w:t>
      </w:r>
      <w:r w:rsidR="00210352">
        <w:t>7</w:t>
      </w:r>
      <w:r w:rsidRPr="00CA2564">
        <w:t xml:space="preserve"> naopak naznačuje, že Slovensko má lepšie výsledky ako priemer EÚ</w:t>
      </w:r>
      <w:r w:rsidR="00D60187">
        <w:t>15</w:t>
      </w:r>
      <w:r w:rsidRPr="00CA2564">
        <w:t xml:space="preserve"> aj V3 (</w:t>
      </w:r>
      <w:r w:rsidRPr="00CA2564">
        <w:fldChar w:fldCharType="begin"/>
      </w:r>
      <w:r w:rsidRPr="00CA2564">
        <w:instrText xml:space="preserve"> REF _Ref15054275 \h  \* MERGEFORMAT </w:instrText>
      </w:r>
      <w:r w:rsidRPr="00CA2564">
        <w:fldChar w:fldCharType="separate"/>
      </w:r>
      <w:r w:rsidR="00FA29AF" w:rsidRPr="00FA29AF">
        <w:t xml:space="preserve">Graf </w:t>
      </w:r>
      <w:r w:rsidR="00FA29AF" w:rsidRPr="00FA29AF">
        <w:rPr>
          <w:noProof/>
        </w:rPr>
        <w:t>33</w:t>
      </w:r>
      <w:r w:rsidRPr="00CA2564">
        <w:fldChar w:fldCharType="end"/>
      </w:r>
      <w:r w:rsidR="00A25A9A">
        <w:t>). Tento rozdiel je </w:t>
      </w:r>
      <w:r w:rsidRPr="00CA2564">
        <w:t>pravdepodobne skôr dôsledkom rozdielnej definície zdravotného znevýhodnenia v týchto dvoch zisťovaniach ako dramatického zlepšenia situácie zdravotne znevýhodnených ľudí na trhu práce medzi rokmi 2011 a 201</w:t>
      </w:r>
      <w:r w:rsidR="00210352">
        <w:t>7</w:t>
      </w:r>
      <w:r w:rsidRPr="00CA2564">
        <w:t>.</w:t>
      </w:r>
      <w:r w:rsidRPr="00CA2564">
        <w:rPr>
          <w:rStyle w:val="Odkaznapoznmkupodiarou"/>
        </w:rPr>
        <w:footnoteReference w:id="305"/>
      </w:r>
    </w:p>
    <w:p w14:paraId="4974B20E" w14:textId="467D0962" w:rsidR="00000668" w:rsidRDefault="00EA7FF5" w:rsidP="00D3189B">
      <w:pPr>
        <w:spacing w:before="160"/>
      </w:pPr>
      <w:r w:rsidRPr="00CA2564">
        <w:rPr>
          <w:b/>
        </w:rPr>
        <w:t xml:space="preserve">Z administratívnych údajov nie je možné konzistentne opísať situáciu ľudí so zdravotným znevýhodnením na trhu práce, keďže neexistuje jednotné vymedzenie tejto skupiny </w:t>
      </w:r>
      <w:r w:rsidRPr="00000668">
        <w:t>(</w:t>
      </w:r>
      <w:r w:rsidR="00000668" w:rsidRPr="00225D12">
        <w:fldChar w:fldCharType="begin"/>
      </w:r>
      <w:r w:rsidR="00000668" w:rsidRPr="00000668">
        <w:instrText xml:space="preserve"> REF _Ref21085759 \h </w:instrText>
      </w:r>
      <w:r w:rsidR="00000668" w:rsidRPr="00D3189B">
        <w:instrText xml:space="preserve"> \* MERGEFORMAT </w:instrText>
      </w:r>
      <w:r w:rsidR="00000668" w:rsidRPr="00225D12">
        <w:fldChar w:fldCharType="separate"/>
      </w:r>
      <w:r w:rsidR="00FA29AF" w:rsidRPr="00FA29AF">
        <w:rPr>
          <w:iCs/>
        </w:rPr>
        <w:t>Box 12</w:t>
      </w:r>
      <w:r w:rsidR="00000668" w:rsidRPr="00225D12">
        <w:fldChar w:fldCharType="end"/>
      </w:r>
      <w:r w:rsidRPr="00000668">
        <w:t>)</w:t>
      </w:r>
      <w:r w:rsidRPr="00CA2564">
        <w:t>. Z tohto dôvodu sa aj revízia výdavkov v rôznych častiach zameria na rôzne podskupiny osôb so zdravotným znevýhodnením. Pri opatreniach týkajúcich sa trhu práce sa zameriava najmä na poberateľov invalidného dôchodku</w:t>
      </w:r>
      <w:r w:rsidR="00B44454">
        <w:t xml:space="preserve"> (ID)</w:t>
      </w:r>
      <w:r w:rsidRPr="00CA2564">
        <w:t xml:space="preserve"> a uchádzačov o zamestnanie so zdravotným postihnutím, pri sociálnych politikách (kapitola </w:t>
      </w:r>
      <w:r w:rsidR="00A02A8B">
        <w:fldChar w:fldCharType="begin"/>
      </w:r>
      <w:r w:rsidR="00A02A8B">
        <w:instrText xml:space="preserve"> REF _Ref25314980 \r \h </w:instrText>
      </w:r>
      <w:r w:rsidR="00A02A8B">
        <w:fldChar w:fldCharType="separate"/>
      </w:r>
      <w:r w:rsidR="00FA29AF">
        <w:t>8</w:t>
      </w:r>
      <w:r w:rsidR="00A02A8B">
        <w:fldChar w:fldCharType="end"/>
      </w:r>
      <w:r w:rsidRPr="00CA2564">
        <w:t xml:space="preserve">) sa zameria najmä na osoby s ťažkým zdravotným postihnutím. </w:t>
      </w:r>
    </w:p>
    <w:tbl>
      <w:tblPr>
        <w:tblW w:w="0" w:type="auto"/>
        <w:shd w:val="clear" w:color="auto" w:fill="BDD6EE" w:themeFill="accent1" w:themeFillTint="66"/>
        <w:tblLook w:val="04A0" w:firstRow="1" w:lastRow="0" w:firstColumn="1" w:lastColumn="0" w:noHBand="0" w:noVBand="1"/>
      </w:tblPr>
      <w:tblGrid>
        <w:gridCol w:w="9026"/>
      </w:tblGrid>
      <w:tr w:rsidR="00EA7FF5" w:rsidRPr="00CA2564" w14:paraId="73B1FEB5" w14:textId="77777777" w:rsidTr="009E6C4C">
        <w:tc>
          <w:tcPr>
            <w:tcW w:w="9062" w:type="dxa"/>
            <w:shd w:val="clear" w:color="auto" w:fill="BDD6EE" w:themeFill="accent1" w:themeFillTint="66"/>
          </w:tcPr>
          <w:p w14:paraId="4E65780A" w14:textId="2435BE3C" w:rsidR="00EA7FF5" w:rsidRPr="00225D12" w:rsidRDefault="00FF0500" w:rsidP="009E6C4C">
            <w:pPr>
              <w:spacing w:before="160"/>
              <w:rPr>
                <w:b/>
                <w:iCs/>
              </w:rPr>
            </w:pPr>
            <w:bookmarkStart w:id="456" w:name="_Ref21085759"/>
            <w:r w:rsidRPr="00000668">
              <w:rPr>
                <w:b/>
                <w:iCs/>
              </w:rPr>
              <w:t xml:space="preserve">Box </w:t>
            </w:r>
            <w:r>
              <w:rPr>
                <w:b/>
                <w:iCs/>
              </w:rPr>
              <w:fldChar w:fldCharType="begin"/>
            </w:r>
            <w:r>
              <w:rPr>
                <w:b/>
                <w:iCs/>
              </w:rPr>
              <w:instrText xml:space="preserve"> SEQ Box \* ARABIC </w:instrText>
            </w:r>
            <w:r>
              <w:rPr>
                <w:b/>
                <w:iCs/>
              </w:rPr>
              <w:fldChar w:fldCharType="separate"/>
            </w:r>
            <w:r w:rsidR="00FA29AF">
              <w:rPr>
                <w:b/>
                <w:iCs/>
                <w:noProof/>
              </w:rPr>
              <w:t>12</w:t>
            </w:r>
            <w:r>
              <w:rPr>
                <w:b/>
                <w:iCs/>
              </w:rPr>
              <w:fldChar w:fldCharType="end"/>
            </w:r>
            <w:bookmarkEnd w:id="456"/>
            <w:r w:rsidRPr="00CA2564">
              <w:rPr>
                <w:b/>
              </w:rPr>
              <w:t xml:space="preserve">: </w:t>
            </w:r>
            <w:r w:rsidR="00EA7FF5" w:rsidRPr="00CA2564">
              <w:rPr>
                <w:b/>
              </w:rPr>
              <w:t xml:space="preserve">Kto sú osoby so zdravotným </w:t>
            </w:r>
            <w:r w:rsidR="000A3C20">
              <w:rPr>
                <w:b/>
              </w:rPr>
              <w:t>postihnutím</w:t>
            </w:r>
            <w:r w:rsidR="00EA7FF5" w:rsidRPr="00CA2564">
              <w:rPr>
                <w:b/>
              </w:rPr>
              <w:t>?</w:t>
            </w:r>
          </w:p>
          <w:p w14:paraId="25BB0554" w14:textId="3CCFDAF0" w:rsidR="00EA7FF5" w:rsidRPr="00CA2564" w:rsidRDefault="00EA7FF5" w:rsidP="009E6C4C">
            <w:pPr>
              <w:rPr>
                <w:b/>
              </w:rPr>
            </w:pPr>
            <w:r w:rsidRPr="00CA2564">
              <w:t xml:space="preserve">V slovenskom právnom systéme neexistuje jednotné vymedzenie zdravotného znevýhodnenia. Na základe jednotlivých účelov, kritérií a spôsobov posudzovania je možné rozlíšiť rôzne podskupiny osôb so zdravotným </w:t>
            </w:r>
            <w:r w:rsidR="0093481D">
              <w:t>postihnutím</w:t>
            </w:r>
            <w:r w:rsidR="0093481D" w:rsidRPr="00CA2564">
              <w:t xml:space="preserve"> </w:t>
            </w:r>
            <w:r w:rsidRPr="00CA2564">
              <w:t>(zoznam nie je vyčerpávajúci):</w:t>
            </w:r>
          </w:p>
          <w:p w14:paraId="12C83E5C" w14:textId="77777777" w:rsidR="00EA7FF5" w:rsidRPr="00CA2564" w:rsidRDefault="00EA7FF5" w:rsidP="009E6C4C">
            <w:pPr>
              <w:rPr>
                <w:i/>
              </w:rPr>
            </w:pPr>
            <w:r w:rsidRPr="00CA2564">
              <w:rPr>
                <w:i/>
              </w:rPr>
              <w:t>Osoby s ťažkým zdravotným postihnutím (ŤZP)</w:t>
            </w:r>
          </w:p>
          <w:p w14:paraId="270D16E8" w14:textId="462D2698" w:rsidR="00EA7FF5" w:rsidRPr="00CA2564" w:rsidRDefault="00EA7FF5" w:rsidP="009E6C4C">
            <w:r w:rsidRPr="00CA2564">
              <w:t xml:space="preserve">Na účely podpory sociálneho začlenenia občanov so zdravotným postihnutím do spoločnosti </w:t>
            </w:r>
            <w:r w:rsidR="00120402">
              <w:t>(podkapitola</w:t>
            </w:r>
            <w:r w:rsidR="00970805">
              <w:t xml:space="preserve"> </w:t>
            </w:r>
            <w:r w:rsidR="00970805">
              <w:fldChar w:fldCharType="begin"/>
            </w:r>
            <w:r w:rsidR="00970805">
              <w:instrText xml:space="preserve"> REF _Ref33437399 \r \h </w:instrText>
            </w:r>
            <w:r w:rsidR="00970805">
              <w:fldChar w:fldCharType="separate"/>
            </w:r>
            <w:r w:rsidR="00FA29AF">
              <w:t>8.4</w:t>
            </w:r>
            <w:r w:rsidR="00970805">
              <w:fldChar w:fldCharType="end"/>
            </w:r>
            <w:r w:rsidR="00120402">
              <w:t xml:space="preserve">) </w:t>
            </w:r>
            <w:r w:rsidRPr="00CA2564">
              <w:t>sa používa pojem „ťažké zdravotné postihnutie“, ktorý je v Zákone č. 447/2008 Z. z.</w:t>
            </w:r>
            <w:r w:rsidRPr="00CA2564">
              <w:rPr>
                <w:rStyle w:val="Odkaznapoznmkupodiarou"/>
              </w:rPr>
              <w:footnoteReference w:id="306"/>
            </w:r>
            <w:r w:rsidRPr="00CA2564">
              <w:t xml:space="preserve"> definovaný ako zdravotné postihnutie s mierou funkčnej poruchy najmenej 50 %. Funkčná porucha je nedostatok telesných, zmyslových alebo duševných schopností, ktorý má predpoklad trvať dlhšie ako 12 mesiacov. Okrem zdravotného stavu, ktorý posudzuje posudkový lekár, sa pre tieto účely skúmajú aj sociálne faktory, akými sú individuálne predpoklady osoby s ŤZP riešiť nepriaznivú situáciu, rodinné prostredie,</w:t>
            </w:r>
            <w:r w:rsidR="004A651E">
              <w:t xml:space="preserve"> </w:t>
            </w:r>
            <w:r w:rsidR="006D13B1">
              <w:t xml:space="preserve">alebo </w:t>
            </w:r>
            <w:r w:rsidR="004A651E" w:rsidRPr="002F2249">
              <w:t>prostredie, ktoré ovplyvňuje začlenenie fyzick</w:t>
            </w:r>
            <w:r w:rsidR="004A651E">
              <w:t>ej osoby s ŤZP do spoločnosti (</w:t>
            </w:r>
            <w:r w:rsidR="004A651E" w:rsidRPr="002F2249">
              <w:t>napr.</w:t>
            </w:r>
            <w:r w:rsidR="004A651E">
              <w:t xml:space="preserve"> </w:t>
            </w:r>
            <w:r w:rsidRPr="00CA2564">
              <w:t>podmienky bývania či dopravných systémov</w:t>
            </w:r>
            <w:r w:rsidR="004A651E">
              <w:t>)</w:t>
            </w:r>
            <w:r w:rsidRPr="00CA2564">
              <w:t>. Tieto faktory posudzuje sociálny pracovník. Definíciu ŤZP v roku 2018 spĺňalo v priemere 418,5 tisíc osôb (343,5 v roku 2009).</w:t>
            </w:r>
          </w:p>
          <w:p w14:paraId="3C3480B2" w14:textId="77777777" w:rsidR="00EA7FF5" w:rsidRPr="00CA2564" w:rsidRDefault="00EA7FF5" w:rsidP="009E6C4C">
            <w:pPr>
              <w:rPr>
                <w:i/>
              </w:rPr>
            </w:pPr>
            <w:r w:rsidRPr="00CA2564">
              <w:rPr>
                <w:i/>
              </w:rPr>
              <w:t>Osoby s nepriaznivým zdravotným stavom</w:t>
            </w:r>
          </w:p>
          <w:p w14:paraId="453A1244" w14:textId="77777777" w:rsidR="00EA7FF5" w:rsidRPr="00CA2564" w:rsidRDefault="00EA7FF5" w:rsidP="009E6C4C">
            <w:r w:rsidRPr="00CA2564">
              <w:t>Na účely posudzovania nároku na niektoré sociálne služby sa okrem ťažkého zdravotného postihnutia používa aj pojem „nepriaznivý zdravotný stav“. Nepriaznivý zdravotný stav sa preukazuje potvrdením poskytovateľa zdravotnej starostlivosti. Ide o sociálne služby ako prepravná služba, požičiavanie pomôcok, monitorovanie a signalizácia potreby pomoci, jedáleň, práčovňa, či stredisko osobnej hygieny.</w:t>
            </w:r>
          </w:p>
          <w:p w14:paraId="5FDBA03B" w14:textId="77777777" w:rsidR="00EA7FF5" w:rsidRPr="00CA2564" w:rsidRDefault="00EA7FF5" w:rsidP="009E6C4C">
            <w:pPr>
              <w:rPr>
                <w:i/>
              </w:rPr>
            </w:pPr>
            <w:r w:rsidRPr="00CA2564">
              <w:rPr>
                <w:i/>
              </w:rPr>
              <w:t>Osoby odkázané na sociálnu službu</w:t>
            </w:r>
          </w:p>
          <w:p w14:paraId="079ED5FF" w14:textId="0CAB3D54" w:rsidR="00EA7FF5" w:rsidRPr="00CA2564" w:rsidRDefault="00EA7FF5" w:rsidP="009E6C4C">
            <w:r w:rsidRPr="00CA2564">
              <w:t>V kontexte niektorých sociálnych služieb existuje samostatná posudková činnosť, ktorá posudzuje odkázanosť fyzických osôb na sociálnu službu. Okrem posúdenia zdravotného stavu na účely zistenia odkázanosti fyzickej osoby na pomoc inej fyzickej osoby sa berú do úvahy aj sociálne faktory. Na základe zdravotného a sociálneho posudku sa určuje stupeň odkázanosti a navrhuje druh sociálnej služby s prihliadnutím na potreby odkázanej osoby. Služby, pri ktorých sa posudzuje odkázanosť</w:t>
            </w:r>
            <w:r w:rsidR="008A2A8D">
              <w:t>,</w:t>
            </w:r>
            <w:r w:rsidRPr="00CA2564">
              <w:t xml:space="preserve"> zahŕňajú okrem sociálnych služieb pre seniorov napríklad domovy sociálnych služieb, rehabilitačné strediská, denné stacionáre či zariadenia podporovaného bývania. </w:t>
            </w:r>
          </w:p>
          <w:p w14:paraId="738453F4" w14:textId="4601A07C" w:rsidR="00EA7FF5" w:rsidRPr="00CA2564" w:rsidRDefault="000A3C20" w:rsidP="009E6C4C">
            <w:pPr>
              <w:rPr>
                <w:i/>
              </w:rPr>
            </w:pPr>
            <w:r>
              <w:rPr>
                <w:i/>
              </w:rPr>
              <w:t>Poberatelia i</w:t>
            </w:r>
            <w:r w:rsidR="00EA7FF5" w:rsidRPr="00CA2564">
              <w:rPr>
                <w:i/>
              </w:rPr>
              <w:t>nvalidn</w:t>
            </w:r>
            <w:r>
              <w:rPr>
                <w:i/>
              </w:rPr>
              <w:t>ých</w:t>
            </w:r>
            <w:r w:rsidR="00EA7FF5" w:rsidRPr="00CA2564">
              <w:rPr>
                <w:i/>
              </w:rPr>
              <w:t xml:space="preserve"> dôchod</w:t>
            </w:r>
            <w:r>
              <w:rPr>
                <w:i/>
              </w:rPr>
              <w:t>kov</w:t>
            </w:r>
            <w:r w:rsidR="00EA7FF5" w:rsidRPr="00CA2564">
              <w:rPr>
                <w:i/>
              </w:rPr>
              <w:t xml:space="preserve"> </w:t>
            </w:r>
          </w:p>
          <w:p w14:paraId="7685E359" w14:textId="4ED1DE98" w:rsidR="00120402" w:rsidRDefault="00EA7FF5" w:rsidP="009E6C4C">
            <w:r w:rsidRPr="00CA2564">
              <w:t>Systém sociálneho poistenia vymedzuje poistencov, ktorí majú nárok na invalidný dôchodok. Podľa Zákona č. 461/2003 Z. z.</w:t>
            </w:r>
            <w:r w:rsidRPr="00CA2564">
              <w:rPr>
                <w:rStyle w:val="Odkaznapoznmkupodiarou"/>
              </w:rPr>
              <w:footnoteReference w:id="307"/>
            </w:r>
            <w:r w:rsidRPr="00CA2564">
              <w:t xml:space="preserve"> je poistenec invalidný, ak pre dlhodobo nepriaznivý zdravotný stav, ktorý má predpoklad trvať dlhšie ako 12 mesiacov,</w:t>
            </w:r>
            <w:r w:rsidRPr="00CA2564">
              <w:rPr>
                <w:b/>
              </w:rPr>
              <w:t xml:space="preserve"> </w:t>
            </w:r>
            <w:r w:rsidRPr="00CA2564">
              <w:t xml:space="preserve">má pokles schopnosti vykonávať zárobkovú činnosť o viac ako 40 % v porovnaní so zdravou fyzickou osobou. Posudzuje sa najmä zdravotný stav a zostávajúca schopnosť vykonávať zárobkovú činnosť alebo schopnosť prípravy na povolanie. </w:t>
            </w:r>
          </w:p>
          <w:p w14:paraId="369599F3" w14:textId="08B5B426" w:rsidR="00EA7FF5" w:rsidRPr="00CA2564" w:rsidRDefault="00EA7FF5" w:rsidP="009E6C4C">
            <w:r w:rsidRPr="00CA2564">
              <w:t xml:space="preserve">Pri </w:t>
            </w:r>
            <w:r w:rsidR="00C6200E" w:rsidRPr="00F632A6">
              <w:t xml:space="preserve">určení sumy invalidného dôchodku </w:t>
            </w:r>
            <w:r w:rsidRPr="00CA2564">
              <w:t>sa rozlišuje medzi poklesom schopnosti vykonávať zárobkovú činnosť (PSVZČ) do 70 % (</w:t>
            </w:r>
            <w:r w:rsidR="00C6200E">
              <w:t xml:space="preserve">tzv. </w:t>
            </w:r>
            <w:r w:rsidRPr="00CA2564">
              <w:t>čiastočná invalidita) a nad 70 % (</w:t>
            </w:r>
            <w:r w:rsidR="00C6200E">
              <w:t xml:space="preserve">tzv. </w:t>
            </w:r>
            <w:r w:rsidRPr="00CA2564">
              <w:t xml:space="preserve">úplná invalidita). Nárok na invalidný dôchodok je okrem posúdenia invalidity závislý aj od toho, či poistenec </w:t>
            </w:r>
            <w:r w:rsidR="00A70AD5">
              <w:t>dosiahol</w:t>
            </w:r>
            <w:r w:rsidR="00A70AD5" w:rsidRPr="00CA2564">
              <w:t xml:space="preserve"> </w:t>
            </w:r>
            <w:r w:rsidRPr="00CA2564">
              <w:t>potrebný počet rokov dôchodkového poistenia.</w:t>
            </w:r>
            <w:r w:rsidR="000F42CA">
              <w:rPr>
                <w:rStyle w:val="Odkaznapoznmkupodiarou"/>
              </w:rPr>
              <w:footnoteReference w:id="308"/>
            </w:r>
            <w:r w:rsidRPr="00CA2564">
              <w:t xml:space="preserve"> Výnimkou je tzv. invalidný dôchodok z mladosti, na ktorý vzniká nárok osobám, ktoré sa stali invalidnými ešte ako nezaopatrené deti alebo počas doktorandského štúdia v dennej forme do veku 26 rokov</w:t>
            </w:r>
            <w:r w:rsidR="005D3EA9">
              <w:t>,</w:t>
            </w:r>
            <w:r w:rsidR="00BA3E1C">
              <w:t xml:space="preserve"> a tiež prípad</w:t>
            </w:r>
            <w:r w:rsidR="00C6200E">
              <w:t>y</w:t>
            </w:r>
            <w:r w:rsidR="00BA3E1C">
              <w:t>, kedy invalidita vzni</w:t>
            </w:r>
            <w:r w:rsidR="005D3EA9">
              <w:t>kla v dôsledku pracovného úrazu</w:t>
            </w:r>
            <w:r w:rsidR="00BA3E1C">
              <w:t xml:space="preserve"> alebo choroby z povolania.</w:t>
            </w:r>
            <w:r w:rsidR="0070047D">
              <w:t xml:space="preserve"> </w:t>
            </w:r>
          </w:p>
          <w:p w14:paraId="43805699" w14:textId="0880CA69" w:rsidR="000F42CA" w:rsidRPr="009A4405" w:rsidRDefault="00EA7FF5">
            <w:r w:rsidRPr="00CA2564">
              <w:t xml:space="preserve">V roku 2018 bolo na Slovensku v priemere 251,6 tisíc invalidných dôchodcov (z čoho </w:t>
            </w:r>
            <w:r w:rsidR="00E219F3">
              <w:t xml:space="preserve">okolo </w:t>
            </w:r>
            <w:r w:rsidRPr="00CA2564">
              <w:t xml:space="preserve">6 % tvorili invalidi z </w:t>
            </w:r>
            <w:r w:rsidRPr="009A4405">
              <w:t xml:space="preserve">mladosti). </w:t>
            </w:r>
            <w:r w:rsidRPr="00D3189B">
              <w:t>Vo vekovej skupine 20-64 rokov tvorili invalidní dôchodcovia 7,6 % populácie. Počet invalidných dôchodcov narástol od roku 2009 približne o 46 tisíc.</w:t>
            </w:r>
          </w:p>
          <w:p w14:paraId="3C855318" w14:textId="77777777" w:rsidR="00EA7FF5" w:rsidRPr="00CA2564" w:rsidRDefault="00EA7FF5" w:rsidP="009E6C4C">
            <w:pPr>
              <w:rPr>
                <w:i/>
              </w:rPr>
            </w:pPr>
            <w:r w:rsidRPr="009A4405">
              <w:rPr>
                <w:i/>
              </w:rPr>
              <w:t>Občania so zdravotným postihnutím</w:t>
            </w:r>
          </w:p>
          <w:p w14:paraId="61D191EA" w14:textId="76BF84E4" w:rsidR="00EA7FF5" w:rsidRPr="000D6493" w:rsidRDefault="00C6200E">
            <w:pPr>
              <w:rPr>
                <w:szCs w:val="22"/>
              </w:rPr>
            </w:pPr>
            <w:r w:rsidRPr="00EE7779">
              <w:rPr>
                <w:rFonts w:cs="Times New Roman"/>
                <w:szCs w:val="22"/>
              </w:rPr>
              <w:t>V kontexte služieb zamestnanosti sa používa pojem „občan so zdravotným pos</w:t>
            </w:r>
            <w:r w:rsidR="005D3EA9">
              <w:rPr>
                <w:rFonts w:cs="Times New Roman"/>
                <w:szCs w:val="22"/>
              </w:rPr>
              <w:t>tihnutím“, ktorý je v zákone č. </w:t>
            </w:r>
            <w:r w:rsidRPr="00EE7779">
              <w:rPr>
                <w:rFonts w:cs="Times New Roman"/>
                <w:szCs w:val="22"/>
              </w:rPr>
              <w:t>5/2004 Z. z.</w:t>
            </w:r>
            <w:r w:rsidRPr="00EE7779">
              <w:rPr>
                <w:rStyle w:val="Odkaznapoznmkupodiarou"/>
                <w:rFonts w:cs="Times New Roman"/>
                <w:szCs w:val="22"/>
              </w:rPr>
              <w:footnoteReference w:id="309"/>
            </w:r>
            <w:r w:rsidRPr="000D6493">
              <w:rPr>
                <w:rFonts w:cs="Times New Roman"/>
                <w:szCs w:val="22"/>
              </w:rPr>
              <w:t xml:space="preserve"> definovaný ako občan, ktorý je uznaný za invalidného podľa osobitného predpisu s odkazom na § 7</w:t>
            </w:r>
            <w:r w:rsidRPr="00533C76">
              <w:rPr>
                <w:rFonts w:cs="Times New Roman"/>
                <w:szCs w:val="22"/>
              </w:rPr>
              <w:t>1 zákona č. 461/2003 Z.z. o sociálnom poistení v znení zákona č. 310/2006 Z.z. a zákon č. 328/2002 Z.z. o sociálnom zabezpečení policajtov a vojakov a o zmene a doplnení niektorých zákonov v znení neskorších pr</w:t>
            </w:r>
            <w:r w:rsidRPr="00C36C26">
              <w:rPr>
                <w:rFonts w:cs="Times New Roman"/>
                <w:szCs w:val="22"/>
              </w:rPr>
              <w:t xml:space="preserve">edpisov. </w:t>
            </w:r>
            <w:r w:rsidR="00EF0A39" w:rsidRPr="00D41517">
              <w:rPr>
                <w:rFonts w:cs="Times New Roman"/>
                <w:szCs w:val="22"/>
              </w:rPr>
              <w:t>O</w:t>
            </w:r>
            <w:r w:rsidR="00EF0A39" w:rsidRPr="00D41517">
              <w:rPr>
                <w:rStyle w:val="Siln"/>
                <w:rFonts w:cs="Times New Roman"/>
                <w:b w:val="0"/>
                <w:szCs w:val="22"/>
              </w:rPr>
              <w:t>bčan so zdravotným postihnutím preukazuje invaliditu a percentuálnu mieru poklesu jeho schopnosti vykonávať zárobkovú činnosť z dôvodu telesnej poruchy, duševnej poruchy alebo poruchy správania rozhodnutím alebo oznámením Sociálnej poisťovne alebo posudkom útvaru sociálneho zabezpečenia podľa osobitného predpisu.</w:t>
            </w:r>
            <w:r w:rsidR="00EF0A39" w:rsidRPr="00EE7779">
              <w:rPr>
                <w:szCs w:val="22"/>
              </w:rPr>
              <w:t xml:space="preserve"> </w:t>
            </w:r>
            <w:r w:rsidR="00EA7FF5" w:rsidRPr="00EE7779">
              <w:rPr>
                <w:szCs w:val="22"/>
              </w:rPr>
              <w:t>V roku 2018 úrady práce evidovali v priemere 6,4 tisíc uchádzačov o zamestnanie so zdravotným postihnutím. Počet UoZ so ZP poklesol z 12,9 tisíc v roku 2015 najmä z dôvodu ekonomického cyklu.</w:t>
            </w:r>
          </w:p>
          <w:p w14:paraId="3FD7A1D0" w14:textId="77777777" w:rsidR="00EA7FF5" w:rsidRPr="00CA2564" w:rsidRDefault="00EA7FF5" w:rsidP="009E6C4C">
            <w:pPr>
              <w:rPr>
                <w:i/>
              </w:rPr>
            </w:pPr>
            <w:r w:rsidRPr="00CA2564">
              <w:rPr>
                <w:i/>
              </w:rPr>
              <w:t>Osoby znevýhodnené z dôvodu spočívajúcom v ich zdravotnom stave</w:t>
            </w:r>
          </w:p>
          <w:p w14:paraId="4E67804E" w14:textId="77777777" w:rsidR="00EA7FF5" w:rsidRPr="00CA2564" w:rsidRDefault="00EA7FF5" w:rsidP="009E6C4C">
            <w:r w:rsidRPr="00CA2564">
              <w:t>Zákon č. 112/2018 Z. z. o sociálnej ekonomike priniesol definíciu zdravotného znevýhodnenia, ktorá je širšia ako v prípade „občanov so zdravotným postihnutím“. Táto širšia definícia zahŕňa okrem osôb uznaných za invalidné aj osoby, ktoré nie sú uznané za invalidné, ale majú dlhodobé zdravotné postihnutie znižujúce ich telesné, duševné a zmyslové schopnosti, ktoré bránia ich plnohodnotnému a účinnému zapojeniu sa do pracovného prostredia v porovnaní so zdravými fyzickými osobami. Používa sa napríklad v kontexte podpory sociálnych podnikov.</w:t>
            </w:r>
          </w:p>
        </w:tc>
      </w:tr>
    </w:tbl>
    <w:p w14:paraId="45DDE0F3" w14:textId="1E39320E" w:rsidR="0052580F" w:rsidRDefault="0052580F" w:rsidP="0052580F">
      <w:pPr>
        <w:spacing w:before="160"/>
      </w:pPr>
      <w:r w:rsidRPr="00CA2564">
        <w:rPr>
          <w:b/>
        </w:rPr>
        <w:t xml:space="preserve">Miera zamestnanosti </w:t>
      </w:r>
      <w:r>
        <w:rPr>
          <w:b/>
        </w:rPr>
        <w:t xml:space="preserve">poberateľov </w:t>
      </w:r>
      <w:r w:rsidRPr="00CA2564">
        <w:rPr>
          <w:b/>
        </w:rPr>
        <w:t>invalidn</w:t>
      </w:r>
      <w:r>
        <w:rPr>
          <w:b/>
        </w:rPr>
        <w:t>ého</w:t>
      </w:r>
      <w:r w:rsidRPr="00CA2564">
        <w:rPr>
          <w:b/>
        </w:rPr>
        <w:t xml:space="preserve"> dôchod</w:t>
      </w:r>
      <w:r>
        <w:rPr>
          <w:b/>
        </w:rPr>
        <w:t>ku</w:t>
      </w:r>
      <w:r w:rsidRPr="00CA2564">
        <w:rPr>
          <w:b/>
        </w:rPr>
        <w:t xml:space="preserve"> sa zlepšuje, oproti priemeru SR však zostáva relatívne nízka. </w:t>
      </w:r>
      <w:r w:rsidRPr="00CA2564">
        <w:t xml:space="preserve">V roku 2018 pracovalo 36,7 % </w:t>
      </w:r>
      <w:r>
        <w:t xml:space="preserve">poberateľov </w:t>
      </w:r>
      <w:r w:rsidRPr="00CA2564">
        <w:t>invalidn</w:t>
      </w:r>
      <w:r>
        <w:t>ého</w:t>
      </w:r>
      <w:r w:rsidRPr="00CA2564">
        <w:t xml:space="preserve"> dôchod</w:t>
      </w:r>
      <w:r>
        <w:t>ku</w:t>
      </w:r>
      <w:r w:rsidR="005D3EA9">
        <w:t xml:space="preserve"> (ID)</w:t>
      </w:r>
      <w:r w:rsidRPr="00CA2564">
        <w:t xml:space="preserve"> vo veku 20-64 rokov.</w:t>
      </w:r>
      <w:r w:rsidRPr="00CA2564">
        <w:rPr>
          <w:rStyle w:val="Odkaznapoznmkupodiarou"/>
        </w:rPr>
        <w:footnoteReference w:id="310"/>
      </w:r>
      <w:r w:rsidRPr="00CA2564">
        <w:t xml:space="preserve"> Oproti roku 2013 došlo </w:t>
      </w:r>
      <w:r>
        <w:t>k</w:t>
      </w:r>
      <w:r w:rsidRPr="00CA2564">
        <w:t> nárastu miery zamestnanosti o 9,3 p.b. (</w:t>
      </w:r>
      <w:r w:rsidRPr="00E14367">
        <w:rPr>
          <w:szCs w:val="22"/>
        </w:rPr>
        <w:fldChar w:fldCharType="begin"/>
      </w:r>
      <w:r w:rsidRPr="00E14367">
        <w:rPr>
          <w:szCs w:val="22"/>
        </w:rPr>
        <w:instrText xml:space="preserve"> REF _Ref15057245 \h </w:instrText>
      </w:r>
      <w:r>
        <w:rPr>
          <w:szCs w:val="22"/>
        </w:rPr>
        <w:instrText xml:space="preserve"> \* MERGEFORMAT </w:instrText>
      </w:r>
      <w:r w:rsidRPr="00E14367">
        <w:rPr>
          <w:szCs w:val="22"/>
        </w:rPr>
      </w:r>
      <w:r w:rsidRPr="00E14367">
        <w:rPr>
          <w:szCs w:val="22"/>
        </w:rPr>
        <w:fldChar w:fldCharType="separate"/>
      </w:r>
      <w:r w:rsidR="00FA29AF" w:rsidRPr="00FA29AF">
        <w:rPr>
          <w:szCs w:val="22"/>
        </w:rPr>
        <w:t xml:space="preserve">Graf </w:t>
      </w:r>
      <w:r w:rsidR="00FA29AF" w:rsidRPr="00FA29AF">
        <w:rPr>
          <w:noProof/>
          <w:szCs w:val="22"/>
        </w:rPr>
        <w:t>34</w:t>
      </w:r>
      <w:r w:rsidRPr="00E14367">
        <w:rPr>
          <w:szCs w:val="22"/>
        </w:rPr>
        <w:fldChar w:fldCharType="end"/>
      </w:r>
      <w:r w:rsidRPr="00CA2564">
        <w:t>). Podiel pracujúcich</w:t>
      </w:r>
      <w:r>
        <w:t xml:space="preserve"> poberateľov ID</w:t>
      </w:r>
      <w:r w:rsidR="005D3EA9">
        <w:t xml:space="preserve"> sa </w:t>
      </w:r>
      <w:r w:rsidRPr="00CA2564">
        <w:t>zvýšil u</w:t>
      </w:r>
      <w:r>
        <w:t xml:space="preserve"> osôb </w:t>
      </w:r>
      <w:r w:rsidRPr="00CA2564">
        <w:t>s čiastočným ako aj</w:t>
      </w:r>
      <w:r>
        <w:t xml:space="preserve"> s</w:t>
      </w:r>
      <w:r w:rsidRPr="00CA2564">
        <w:t xml:space="preserve"> plným invalidným dôchodkom. Miera zamestnanosti </w:t>
      </w:r>
      <w:r>
        <w:t xml:space="preserve">poberateľov ID </w:t>
      </w:r>
      <w:r w:rsidRPr="00834EEC">
        <w:t xml:space="preserve">vo veku 20-64 tvorila v roku 2018 iba približne polovicu priemeru Slovenska. </w:t>
      </w:r>
    </w:p>
    <w:p w14:paraId="6C0B96C7" w14:textId="6793A1D7" w:rsidR="0052580F" w:rsidRDefault="0052580F" w:rsidP="0052580F">
      <w:pPr>
        <w:spacing w:before="160"/>
        <w:rPr>
          <w:b/>
        </w:rPr>
      </w:pPr>
      <w:r w:rsidRPr="00834EEC">
        <w:t xml:space="preserve">Medzera zamestnanosti </w:t>
      </w:r>
      <w:r w:rsidR="006D13B1">
        <w:t xml:space="preserve">poberateľov ID </w:t>
      </w:r>
      <w:r w:rsidRPr="00834EEC">
        <w:t xml:space="preserve">oproti priemeru Slovenska sa od roku 2013 znížila len mierne (o 1,9 p. b.) na 35,7 p. b. v roku 2018. </w:t>
      </w:r>
      <w:r>
        <w:t>Z toho veľkú časť vysvetľuje meniaca sa štruktúra – klesajúci podiel poberateľov úplných a rastúci podiel poberateľov čiastočných invalidných dôchodkov. V prípad</w:t>
      </w:r>
      <w:r w:rsidR="005D3EA9">
        <w:t>e poberateľov čiastočných ID sa </w:t>
      </w:r>
      <w:r>
        <w:t xml:space="preserve">medzera oproti priemeru Slovenska znížila za rovnaké obdobie iba o 0,5 p.b., </w:t>
      </w:r>
      <w:r w:rsidR="006D13B1">
        <w:t>v prípade poberateľov úplných ID rástla miera zamestnanosti pomalšie ako priemer Slovenska a medzera zamestnanosti sa tak zvýšila o 2,4 p.b</w:t>
      </w:r>
      <w:r>
        <w:t xml:space="preserve">. </w:t>
      </w:r>
      <w:r w:rsidRPr="00834EEC">
        <w:t xml:space="preserve">Pomerne malý podiel </w:t>
      </w:r>
      <w:r>
        <w:t xml:space="preserve">poberateľov ID </w:t>
      </w:r>
      <w:r w:rsidRPr="00834EEC">
        <w:t>bez práce je v evidencii uchádzačov o zamestnanie. Veľká časť z nich</w:t>
      </w:r>
      <w:r w:rsidR="0070047D">
        <w:t xml:space="preserve"> </w:t>
      </w:r>
      <w:r w:rsidRPr="00834EEC">
        <w:t>je ekonomicky neaktívna</w:t>
      </w:r>
      <w:r>
        <w:t xml:space="preserve">, najmä </w:t>
      </w:r>
      <w:r w:rsidRPr="00834EEC">
        <w:t>medzi mladými.</w:t>
      </w:r>
      <w:r w:rsidRPr="00CA2564">
        <w:rPr>
          <w:b/>
        </w:rPr>
        <w:t xml:space="preserve"> </w:t>
      </w:r>
    </w:p>
    <w:p w14:paraId="24DD0AF2" w14:textId="77777777" w:rsidR="00120396" w:rsidRPr="004F2DC5" w:rsidRDefault="00120396" w:rsidP="0052580F">
      <w:pPr>
        <w:spacing w:before="160"/>
        <w:rPr>
          <w:b/>
        </w:rPr>
      </w:pPr>
    </w:p>
    <w:tbl>
      <w:tblPr>
        <w:tblW w:w="0" w:type="auto"/>
        <w:tblLook w:val="04E0" w:firstRow="1" w:lastRow="1" w:firstColumn="1" w:lastColumn="0" w:noHBand="0" w:noVBand="1"/>
      </w:tblPr>
      <w:tblGrid>
        <w:gridCol w:w="4352"/>
        <w:gridCol w:w="215"/>
        <w:gridCol w:w="15"/>
        <w:gridCol w:w="4444"/>
      </w:tblGrid>
      <w:tr w:rsidR="0052580F" w:rsidRPr="00CA2564" w14:paraId="4BC79D82" w14:textId="77777777" w:rsidTr="00E46675">
        <w:tc>
          <w:tcPr>
            <w:tcW w:w="4393" w:type="dxa"/>
            <w:tcBorders>
              <w:bottom w:val="single" w:sz="4" w:space="0" w:color="auto"/>
            </w:tcBorders>
          </w:tcPr>
          <w:p w14:paraId="13A43B98" w14:textId="77777777" w:rsidR="0052580F" w:rsidRPr="00E46675" w:rsidRDefault="0052580F" w:rsidP="00E46675">
            <w:pPr>
              <w:spacing w:after="0" w:line="240" w:lineRule="auto"/>
              <w:jc w:val="left"/>
              <w:rPr>
                <w:b/>
              </w:rPr>
            </w:pPr>
            <w:bookmarkStart w:id="457" w:name="_Ref15054275"/>
            <w:bookmarkStart w:id="458" w:name="_Toc17469397"/>
            <w:bookmarkStart w:id="459" w:name="_Toc34157591"/>
            <w:r w:rsidRPr="00E46675">
              <w:rPr>
                <w:b/>
                <w:sz w:val="20"/>
              </w:rPr>
              <w:t xml:space="preserve">Graf </w:t>
            </w:r>
            <w:r w:rsidRPr="00E46675">
              <w:rPr>
                <w:b/>
                <w:sz w:val="20"/>
              </w:rPr>
              <w:fldChar w:fldCharType="begin"/>
            </w:r>
            <w:r w:rsidRPr="00E46675">
              <w:rPr>
                <w:b/>
                <w:sz w:val="20"/>
              </w:rPr>
              <w:instrText xml:space="preserve"> SEQ Graf \* ARABIC </w:instrText>
            </w:r>
            <w:r w:rsidRPr="00E46675">
              <w:rPr>
                <w:b/>
                <w:sz w:val="20"/>
              </w:rPr>
              <w:fldChar w:fldCharType="separate"/>
            </w:r>
            <w:r w:rsidR="00FA29AF">
              <w:rPr>
                <w:b/>
                <w:noProof/>
                <w:sz w:val="20"/>
              </w:rPr>
              <w:t>33</w:t>
            </w:r>
            <w:r w:rsidRPr="00E46675">
              <w:rPr>
                <w:b/>
                <w:sz w:val="20"/>
              </w:rPr>
              <w:fldChar w:fldCharType="end"/>
            </w:r>
            <w:bookmarkEnd w:id="457"/>
            <w:r w:rsidRPr="00E46675">
              <w:rPr>
                <w:b/>
                <w:sz w:val="20"/>
              </w:rPr>
              <w:t>: Zamestnanosť ľudí vo veku 20 až 64 rokov (%)</w:t>
            </w:r>
            <w:bookmarkEnd w:id="458"/>
            <w:bookmarkEnd w:id="459"/>
          </w:p>
        </w:tc>
        <w:tc>
          <w:tcPr>
            <w:tcW w:w="236" w:type="dxa"/>
            <w:gridSpan w:val="2"/>
            <w:tcBorders>
              <w:bottom w:val="nil"/>
            </w:tcBorders>
          </w:tcPr>
          <w:p w14:paraId="1E8EEDE5" w14:textId="77777777" w:rsidR="0052580F" w:rsidRPr="00E46675" w:rsidRDefault="0052580F" w:rsidP="00E46675">
            <w:pPr>
              <w:spacing w:after="0" w:line="240" w:lineRule="auto"/>
              <w:rPr>
                <w:b/>
                <w:sz w:val="20"/>
              </w:rPr>
            </w:pPr>
          </w:p>
        </w:tc>
        <w:tc>
          <w:tcPr>
            <w:tcW w:w="4461" w:type="dxa"/>
            <w:tcBorders>
              <w:bottom w:val="single" w:sz="4" w:space="0" w:color="auto"/>
            </w:tcBorders>
          </w:tcPr>
          <w:p w14:paraId="6C491C17" w14:textId="69EC90F1" w:rsidR="0052580F" w:rsidRPr="00E46675" w:rsidRDefault="0052580F" w:rsidP="00E46675">
            <w:pPr>
              <w:spacing w:after="0" w:line="240" w:lineRule="auto"/>
              <w:rPr>
                <w:b/>
                <w:sz w:val="20"/>
              </w:rPr>
            </w:pPr>
            <w:bookmarkStart w:id="460" w:name="_Ref15057245"/>
            <w:bookmarkStart w:id="461" w:name="_Toc17469398"/>
            <w:bookmarkStart w:id="462" w:name="_Toc34157592"/>
            <w:r w:rsidRPr="00E46675">
              <w:rPr>
                <w:b/>
                <w:sz w:val="20"/>
              </w:rPr>
              <w:t xml:space="preserve">Graf </w:t>
            </w:r>
            <w:r w:rsidRPr="00E46675">
              <w:rPr>
                <w:b/>
                <w:sz w:val="20"/>
              </w:rPr>
              <w:fldChar w:fldCharType="begin"/>
            </w:r>
            <w:r w:rsidRPr="00E46675">
              <w:rPr>
                <w:b/>
                <w:sz w:val="20"/>
              </w:rPr>
              <w:instrText xml:space="preserve"> SEQ Graf \* ARABIC </w:instrText>
            </w:r>
            <w:r w:rsidRPr="00E46675">
              <w:rPr>
                <w:b/>
                <w:sz w:val="20"/>
              </w:rPr>
              <w:fldChar w:fldCharType="separate"/>
            </w:r>
            <w:r w:rsidR="00FA29AF">
              <w:rPr>
                <w:b/>
                <w:noProof/>
                <w:sz w:val="20"/>
              </w:rPr>
              <w:t>34</w:t>
            </w:r>
            <w:r w:rsidRPr="00E46675">
              <w:rPr>
                <w:b/>
                <w:sz w:val="20"/>
              </w:rPr>
              <w:fldChar w:fldCharType="end"/>
            </w:r>
            <w:bookmarkEnd w:id="460"/>
            <w:r w:rsidRPr="00E46675">
              <w:rPr>
                <w:b/>
                <w:sz w:val="20"/>
              </w:rPr>
              <w:t>: Vývoj miery zame</w:t>
            </w:r>
            <w:r w:rsidR="00E46675" w:rsidRPr="00E46675">
              <w:rPr>
                <w:b/>
                <w:sz w:val="20"/>
              </w:rPr>
              <w:t>stnanosti invalidných dôchodcov </w:t>
            </w:r>
            <w:r w:rsidRPr="00E46675">
              <w:rPr>
                <w:b/>
                <w:sz w:val="20"/>
              </w:rPr>
              <w:t>(%)</w:t>
            </w:r>
            <w:bookmarkEnd w:id="461"/>
            <w:bookmarkEnd w:id="462"/>
          </w:p>
        </w:tc>
      </w:tr>
      <w:tr w:rsidR="0052580F" w:rsidRPr="00CA2564" w14:paraId="5956AA00" w14:textId="77777777" w:rsidTr="00E46675">
        <w:tblPrEx>
          <w:tblCellMar>
            <w:left w:w="70" w:type="dxa"/>
            <w:right w:w="70" w:type="dxa"/>
          </w:tblCellMar>
        </w:tblPrEx>
        <w:tc>
          <w:tcPr>
            <w:tcW w:w="4393" w:type="dxa"/>
            <w:tcBorders>
              <w:top w:val="single" w:sz="4" w:space="0" w:color="auto"/>
              <w:bottom w:val="single" w:sz="4" w:space="0" w:color="auto"/>
            </w:tcBorders>
          </w:tcPr>
          <w:p w14:paraId="43F26782" w14:textId="77777777" w:rsidR="0052580F" w:rsidRPr="00CA2564" w:rsidRDefault="0052580F" w:rsidP="00E46675">
            <w:pPr>
              <w:spacing w:after="0" w:line="240" w:lineRule="auto"/>
              <w:rPr>
                <w:sz w:val="4"/>
                <w:szCs w:val="4"/>
              </w:rPr>
            </w:pPr>
          </w:p>
          <w:p w14:paraId="4579B38D" w14:textId="0DF37D5A" w:rsidR="0052580F" w:rsidRPr="00CA2564" w:rsidRDefault="00D60187" w:rsidP="00E46675">
            <w:pPr>
              <w:spacing w:after="0" w:line="240" w:lineRule="auto"/>
              <w:rPr>
                <w:sz w:val="4"/>
                <w:szCs w:val="4"/>
              </w:rPr>
            </w:pPr>
            <w:r>
              <w:rPr>
                <w:noProof/>
                <w:lang w:eastAsia="sk-SK"/>
              </w:rPr>
              <w:drawing>
                <wp:inline distT="0" distB="0" distL="0" distR="0" wp14:anchorId="511C90EE" wp14:editId="63F0CC72">
                  <wp:extent cx="2686050" cy="2743200"/>
                  <wp:effectExtent l="0" t="0" r="0" b="0"/>
                  <wp:docPr id="27" name="Graf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8EA1371" w14:textId="77777777" w:rsidR="0052580F" w:rsidRPr="00CA2564" w:rsidRDefault="0052580F" w:rsidP="00E46675">
            <w:pPr>
              <w:spacing w:after="0" w:line="240" w:lineRule="auto"/>
              <w:rPr>
                <w:sz w:val="4"/>
                <w:szCs w:val="4"/>
              </w:rPr>
            </w:pPr>
          </w:p>
        </w:tc>
        <w:tc>
          <w:tcPr>
            <w:tcW w:w="222" w:type="dxa"/>
            <w:tcBorders>
              <w:top w:val="nil"/>
              <w:bottom w:val="nil"/>
            </w:tcBorders>
          </w:tcPr>
          <w:p w14:paraId="76F8D37A" w14:textId="77777777" w:rsidR="0052580F" w:rsidRPr="00CA2564" w:rsidRDefault="0052580F" w:rsidP="00E46675">
            <w:pPr>
              <w:spacing w:after="0" w:line="240" w:lineRule="auto"/>
              <w:rPr>
                <w:noProof/>
                <w:sz w:val="4"/>
                <w:szCs w:val="4"/>
              </w:rPr>
            </w:pPr>
          </w:p>
        </w:tc>
        <w:tc>
          <w:tcPr>
            <w:tcW w:w="4475" w:type="dxa"/>
            <w:gridSpan w:val="2"/>
            <w:tcBorders>
              <w:bottom w:val="single" w:sz="4" w:space="0" w:color="auto"/>
            </w:tcBorders>
            <w:vAlign w:val="bottom"/>
          </w:tcPr>
          <w:p w14:paraId="42D5F212" w14:textId="33814CC9" w:rsidR="0052580F" w:rsidRPr="00CA2564" w:rsidRDefault="0052580F" w:rsidP="00E46675">
            <w:pPr>
              <w:spacing w:after="0" w:line="240" w:lineRule="auto"/>
              <w:jc w:val="center"/>
              <w:rPr>
                <w:noProof/>
                <w:sz w:val="4"/>
                <w:szCs w:val="4"/>
              </w:rPr>
            </w:pPr>
          </w:p>
          <w:p w14:paraId="24B47508" w14:textId="77777777" w:rsidR="0052580F" w:rsidRPr="00CA2564" w:rsidRDefault="0052580F" w:rsidP="00E46675">
            <w:pPr>
              <w:spacing w:after="0" w:line="240" w:lineRule="auto"/>
              <w:jc w:val="center"/>
              <w:rPr>
                <w:sz w:val="4"/>
                <w:szCs w:val="4"/>
              </w:rPr>
            </w:pPr>
            <w:r>
              <w:rPr>
                <w:noProof/>
                <w:lang w:eastAsia="sk-SK"/>
              </w:rPr>
              <w:drawing>
                <wp:inline distT="0" distB="0" distL="0" distR="0" wp14:anchorId="30754E78" wp14:editId="507C2B7E">
                  <wp:extent cx="2752725" cy="2743200"/>
                  <wp:effectExtent l="0" t="0" r="0" b="0"/>
                  <wp:docPr id="28027" name="Graf 2802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9FA7B3D" w14:textId="77777777" w:rsidR="0052580F" w:rsidRPr="00CA2564" w:rsidRDefault="0052580F" w:rsidP="00E46675">
            <w:pPr>
              <w:spacing w:after="0" w:line="240" w:lineRule="auto"/>
              <w:jc w:val="center"/>
              <w:rPr>
                <w:sz w:val="4"/>
                <w:szCs w:val="4"/>
              </w:rPr>
            </w:pPr>
          </w:p>
        </w:tc>
      </w:tr>
      <w:tr w:rsidR="0052580F" w:rsidRPr="00CA2564" w14:paraId="6DF213A3" w14:textId="77777777" w:rsidTr="00E46675">
        <w:tc>
          <w:tcPr>
            <w:tcW w:w="4393" w:type="dxa"/>
            <w:tcBorders>
              <w:top w:val="single" w:sz="4" w:space="0" w:color="auto"/>
            </w:tcBorders>
          </w:tcPr>
          <w:p w14:paraId="6CC4AFD8" w14:textId="77777777" w:rsidR="0052580F" w:rsidRPr="00E46675" w:rsidRDefault="0052580F" w:rsidP="00E46675">
            <w:pPr>
              <w:spacing w:after="0" w:line="240" w:lineRule="auto"/>
              <w:jc w:val="right"/>
              <w:rPr>
                <w:i/>
                <w:noProof/>
                <w:sz w:val="18"/>
                <w:szCs w:val="18"/>
              </w:rPr>
            </w:pPr>
            <w:r w:rsidRPr="00E46675">
              <w:rPr>
                <w:i/>
                <w:noProof/>
                <w:sz w:val="18"/>
                <w:szCs w:val="18"/>
              </w:rPr>
              <w:t>Zdroj: ISP podľa údajov EU SILC a ad hoc modulu EU LFS 2011</w:t>
            </w:r>
          </w:p>
        </w:tc>
        <w:tc>
          <w:tcPr>
            <w:tcW w:w="236" w:type="dxa"/>
            <w:gridSpan w:val="2"/>
            <w:tcBorders>
              <w:top w:val="single" w:sz="4" w:space="0" w:color="auto"/>
            </w:tcBorders>
          </w:tcPr>
          <w:p w14:paraId="509AD63F" w14:textId="77777777" w:rsidR="0052580F" w:rsidRPr="00E46675" w:rsidRDefault="0052580F" w:rsidP="00E46675">
            <w:pPr>
              <w:spacing w:after="0" w:line="240" w:lineRule="auto"/>
              <w:jc w:val="right"/>
              <w:rPr>
                <w:i/>
                <w:noProof/>
                <w:sz w:val="18"/>
                <w:szCs w:val="18"/>
              </w:rPr>
            </w:pPr>
          </w:p>
        </w:tc>
        <w:tc>
          <w:tcPr>
            <w:tcW w:w="4461" w:type="dxa"/>
            <w:tcBorders>
              <w:top w:val="single" w:sz="4" w:space="0" w:color="auto"/>
            </w:tcBorders>
          </w:tcPr>
          <w:p w14:paraId="5F1A1490" w14:textId="77777777" w:rsidR="0052580F" w:rsidRPr="00E46675" w:rsidRDefault="0052580F" w:rsidP="00E46675">
            <w:pPr>
              <w:spacing w:after="0" w:line="240" w:lineRule="auto"/>
              <w:jc w:val="right"/>
              <w:rPr>
                <w:i/>
                <w:noProof/>
                <w:sz w:val="18"/>
                <w:szCs w:val="18"/>
              </w:rPr>
            </w:pPr>
            <w:r w:rsidRPr="00E46675">
              <w:rPr>
                <w:i/>
                <w:noProof/>
                <w:sz w:val="18"/>
                <w:szCs w:val="18"/>
              </w:rPr>
              <w:t>Zdroj: ISP na základe údajov Sociálnej poisťovne</w:t>
            </w:r>
          </w:p>
          <w:p w14:paraId="0693C4D0" w14:textId="77777777" w:rsidR="0052580F" w:rsidRPr="00E46675" w:rsidRDefault="0052580F" w:rsidP="00E46675">
            <w:pPr>
              <w:spacing w:after="0" w:line="240" w:lineRule="auto"/>
              <w:jc w:val="left"/>
              <w:rPr>
                <w:i/>
                <w:noProof/>
                <w:sz w:val="18"/>
                <w:szCs w:val="18"/>
              </w:rPr>
            </w:pPr>
            <w:r w:rsidRPr="00E46675">
              <w:rPr>
                <w:i/>
                <w:noProof/>
                <w:sz w:val="18"/>
                <w:szCs w:val="18"/>
              </w:rPr>
              <w:t xml:space="preserve">Poznámka: </w:t>
            </w:r>
            <w:r w:rsidRPr="00E46675">
              <w:rPr>
                <w:i/>
                <w:noProof/>
                <w:sz w:val="18"/>
                <w:szCs w:val="18"/>
              </w:rPr>
              <w:fldChar w:fldCharType="begin"/>
            </w:r>
            <w:r w:rsidRPr="00E46675">
              <w:rPr>
                <w:i/>
                <w:noProof/>
                <w:sz w:val="18"/>
                <w:szCs w:val="18"/>
              </w:rPr>
              <w:instrText xml:space="preserve"> REF _Ref21085759 \h  \* MERGEFORMAT </w:instrText>
            </w:r>
            <w:r w:rsidRPr="00E46675">
              <w:rPr>
                <w:i/>
                <w:noProof/>
                <w:sz w:val="18"/>
                <w:szCs w:val="18"/>
              </w:rPr>
            </w:r>
            <w:r w:rsidRPr="00E46675">
              <w:rPr>
                <w:i/>
                <w:noProof/>
                <w:sz w:val="18"/>
                <w:szCs w:val="18"/>
              </w:rPr>
              <w:fldChar w:fldCharType="separate"/>
            </w:r>
            <w:r w:rsidR="00FA29AF" w:rsidRPr="00FA29AF">
              <w:rPr>
                <w:i/>
                <w:iCs/>
                <w:sz w:val="18"/>
                <w:szCs w:val="18"/>
              </w:rPr>
              <w:t>Box 12</w:t>
            </w:r>
            <w:r w:rsidRPr="00E46675">
              <w:rPr>
                <w:i/>
                <w:noProof/>
                <w:sz w:val="18"/>
                <w:szCs w:val="18"/>
              </w:rPr>
              <w:fldChar w:fldCharType="end"/>
            </w:r>
            <w:r w:rsidRPr="00E46675">
              <w:rPr>
                <w:i/>
                <w:noProof/>
                <w:sz w:val="18"/>
                <w:szCs w:val="18"/>
              </w:rPr>
              <w:t xml:space="preserve"> pre definíciu čiastočnej a úplnej invalidity</w:t>
            </w:r>
          </w:p>
        </w:tc>
      </w:tr>
    </w:tbl>
    <w:p w14:paraId="219697CC" w14:textId="2D75E206" w:rsidR="0052580F" w:rsidRDefault="0052580F" w:rsidP="009E6C4C">
      <w:pPr>
        <w:spacing w:before="160"/>
      </w:pPr>
      <w:r w:rsidRPr="00776CB5">
        <w:t xml:space="preserve">Štruktúra </w:t>
      </w:r>
      <w:r>
        <w:t xml:space="preserve">poberateľov ID </w:t>
      </w:r>
      <w:r w:rsidRPr="00776CB5">
        <w:t>vyznačujúca sa nižším podielom zamestnaných, vyšším podielom neaktívnych a nižším podielom uchádzačov o zamestnanie je do istej miery prirodzená z dôvodu zdravotných obmedzení. Časť medzery zamestnanosti však môže súvisieť aj s inými faktormi, napríklad s nedostatočnou ponukou pracovných</w:t>
      </w:r>
      <w:r w:rsidRPr="00CA2564">
        <w:t xml:space="preserve"> miest vhodných pre ľudí so zdravotným znevýhodnením, so zníženou motiváciou zamestnať sa</w:t>
      </w:r>
      <w:r w:rsidR="00FE1C63">
        <w:t xml:space="preserve"> (tzv. pasca inaktivity), s </w:t>
      </w:r>
      <w:r w:rsidRPr="00CA2564">
        <w:t>nedostatočnými podpornými mechanizmami (napr. komplexná rehabilitácia či podporované zamestnávanie) alebo s bariérami pri evidencii na úradoch práce.</w:t>
      </w:r>
    </w:p>
    <w:p w14:paraId="0E8565CF" w14:textId="294A1F50" w:rsidR="00EA7FF5" w:rsidRPr="00CA2564" w:rsidRDefault="00EA7FF5" w:rsidP="009E6C4C">
      <w:pPr>
        <w:spacing w:before="160"/>
        <w:rPr>
          <w:color w:val="0070C0"/>
        </w:rPr>
      </w:pPr>
      <w:r w:rsidRPr="00CA2564">
        <w:rPr>
          <w:color w:val="0070C0"/>
        </w:rPr>
        <w:t>Osamel</w:t>
      </w:r>
      <w:r w:rsidR="00F46270">
        <w:rPr>
          <w:color w:val="0070C0"/>
        </w:rPr>
        <w:t>í rodičia</w:t>
      </w:r>
    </w:p>
    <w:p w14:paraId="2E9F7A03" w14:textId="1F46BF72" w:rsidR="00EA7FF5" w:rsidRPr="00CA2564" w:rsidRDefault="00EA7FF5" w:rsidP="009E6C4C">
      <w:r w:rsidRPr="00CA2564">
        <w:rPr>
          <w:b/>
        </w:rPr>
        <w:t>Osamelé matky</w:t>
      </w:r>
      <w:r w:rsidR="00755677">
        <w:rPr>
          <w:b/>
        </w:rPr>
        <w:t xml:space="preserve"> majú podstatne horšie postavenie na trhu práce ako osameli otcovia a tvoria prevažnú časť neúplných rodín</w:t>
      </w:r>
      <w:r w:rsidRPr="00CA2564">
        <w:rPr>
          <w:b/>
        </w:rPr>
        <w:t xml:space="preserve"> </w:t>
      </w:r>
      <w:r w:rsidRPr="00D41517">
        <w:rPr>
          <w:bCs/>
        </w:rPr>
        <w:t>(</w:t>
      </w:r>
      <w:r w:rsidR="00D37212" w:rsidRPr="00D41517">
        <w:rPr>
          <w:bCs/>
        </w:rPr>
        <w:fldChar w:fldCharType="begin"/>
      </w:r>
      <w:r w:rsidR="00D37212" w:rsidRPr="00D41517">
        <w:rPr>
          <w:bCs/>
        </w:rPr>
        <w:instrText xml:space="preserve"> REF _Ref21086370 \h </w:instrText>
      </w:r>
      <w:r w:rsidR="00755677" w:rsidRPr="00755677">
        <w:rPr>
          <w:bCs/>
        </w:rPr>
        <w:instrText xml:space="preserve"> \* MERGEFORMAT </w:instrText>
      </w:r>
      <w:r w:rsidR="00D37212" w:rsidRPr="00D41517">
        <w:rPr>
          <w:bCs/>
        </w:rPr>
      </w:r>
      <w:r w:rsidR="00D37212" w:rsidRPr="00D41517">
        <w:rPr>
          <w:bCs/>
        </w:rPr>
        <w:fldChar w:fldCharType="separate"/>
      </w:r>
      <w:r w:rsidR="00FA29AF" w:rsidRPr="00FA29AF">
        <w:rPr>
          <w:bCs/>
          <w:szCs w:val="22"/>
        </w:rPr>
        <w:t xml:space="preserve">Box </w:t>
      </w:r>
      <w:r w:rsidR="00FA29AF" w:rsidRPr="00FA29AF">
        <w:rPr>
          <w:bCs/>
          <w:noProof/>
          <w:szCs w:val="22"/>
        </w:rPr>
        <w:t>13</w:t>
      </w:r>
      <w:r w:rsidR="00D37212" w:rsidRPr="00D41517">
        <w:rPr>
          <w:bCs/>
        </w:rPr>
        <w:fldChar w:fldCharType="end"/>
      </w:r>
      <w:r w:rsidRPr="00D41517">
        <w:rPr>
          <w:bCs/>
        </w:rPr>
        <w:t>).</w:t>
      </w:r>
      <w:r w:rsidRPr="00CA2564">
        <w:rPr>
          <w:b/>
        </w:rPr>
        <w:t xml:space="preserve"> </w:t>
      </w:r>
      <w:r w:rsidRPr="00CA2564">
        <w:t>Na jednej strane majú silnú motiváciu pracovať, pretože sa nemôžu oprieť o príjem partnera alebo partnerky.</w:t>
      </w:r>
      <w:r w:rsidRPr="00CA2564">
        <w:rPr>
          <w:rStyle w:val="Odkaznapoznmkupodiarou"/>
        </w:rPr>
        <w:footnoteReference w:id="311"/>
      </w:r>
      <w:r w:rsidRPr="00CA2564">
        <w:t xml:space="preserve"> Jedinou alternatívou pre nich je odkáz</w:t>
      </w:r>
      <w:r w:rsidR="00FE1C63">
        <w:t>anosť na sociálnych dávkach. Na </w:t>
      </w:r>
      <w:r w:rsidRPr="00CA2564">
        <w:t>druhej strane chýbajúci partner, s ktorým by mohli zdieľať zodpovednosť za starostlivosť o deti, predstavuje významnú prekážku pri zosúlaďovaní pracovného a rodinného života.</w:t>
      </w:r>
      <w:r w:rsidRPr="00CA2564" w:rsidDel="005E2D80">
        <w:t xml:space="preserve"> </w:t>
      </w:r>
    </w:p>
    <w:p w14:paraId="37188754" w14:textId="28E5589E" w:rsidR="00EA7FF5" w:rsidRPr="00CA2564" w:rsidRDefault="00EA7FF5" w:rsidP="009E6C4C">
      <w:r w:rsidRPr="00CA2564">
        <w:rPr>
          <w:b/>
        </w:rPr>
        <w:t xml:space="preserve">Miera zamestnanosti osamelých matiek je na Slovensku relatívne vysoká, neplatí to však pre osamelé matky s mladými deťmi. </w:t>
      </w:r>
      <w:r w:rsidRPr="00CA2564">
        <w:t>V roku 2018 bolo podľa výberového zisťovania pracovných síl zamestnaných 78 % osamelých matiek na Slovensku</w:t>
      </w:r>
      <w:r w:rsidR="00C51D7B">
        <w:t>,</w:t>
      </w:r>
      <w:r w:rsidRPr="00CA2564">
        <w:t xml:space="preserve"> kým priemer EÚ</w:t>
      </w:r>
      <w:r w:rsidR="00D60187">
        <w:t>15</w:t>
      </w:r>
      <w:r w:rsidR="001A48CE">
        <w:t xml:space="preserve"> bol 71</w:t>
      </w:r>
      <w:r w:rsidRPr="00CA2564">
        <w:t xml:space="preserve"> %. </w:t>
      </w:r>
      <w:r w:rsidR="00C51D7B">
        <w:t>Hoci</w:t>
      </w:r>
      <w:r w:rsidR="00C51D7B" w:rsidRPr="00CA2564">
        <w:t xml:space="preserve"> </w:t>
      </w:r>
      <w:r w:rsidRPr="00CA2564">
        <w:t>zamestnanosť osamelých matiek v roku 2014 prevyšovala priemer EÚ</w:t>
      </w:r>
      <w:r w:rsidR="001A48CE">
        <w:t>15 o 4 percentuálne body</w:t>
      </w:r>
      <w:r w:rsidRPr="00CA2564">
        <w:t xml:space="preserve">, v prípade matiek </w:t>
      </w:r>
      <w:r w:rsidR="00A6596F">
        <w:t xml:space="preserve">s najmladším dieťaťom vo veku do 15 rokov </w:t>
      </w:r>
      <w:r w:rsidRPr="00CA2564">
        <w:t>bola zamestnanosť na Slovensku o</w:t>
      </w:r>
      <w:r w:rsidR="001A48CE">
        <w:t xml:space="preserve"> vyše </w:t>
      </w:r>
      <w:r w:rsidRPr="00CA2564">
        <w:t>6 percentuálnych bodov nižšia ako priemer EÚ</w:t>
      </w:r>
      <w:r w:rsidR="001A48CE">
        <w:t>15 a o 3 percentuálne body nižšia ako priemer V3</w:t>
      </w:r>
      <w:r w:rsidRPr="00CA2564">
        <w:t xml:space="preserve"> (</w:t>
      </w:r>
      <w:r w:rsidRPr="00CA2564">
        <w:fldChar w:fldCharType="begin"/>
      </w:r>
      <w:r w:rsidRPr="00CA2564">
        <w:instrText xml:space="preserve"> REF _Ref12608728 \h  \* MERGEFORMAT </w:instrText>
      </w:r>
      <w:r w:rsidRPr="00CA2564">
        <w:fldChar w:fldCharType="separate"/>
      </w:r>
      <w:r w:rsidR="00FA29AF" w:rsidRPr="00FA29AF">
        <w:t xml:space="preserve">Graf </w:t>
      </w:r>
      <w:r w:rsidR="00FA29AF" w:rsidRPr="00FA29AF">
        <w:rPr>
          <w:noProof/>
        </w:rPr>
        <w:t>35</w:t>
      </w:r>
      <w:r w:rsidRPr="00CA2564">
        <w:fldChar w:fldCharType="end"/>
      </w:r>
      <w:r w:rsidRPr="00CA2564">
        <w:t>).</w:t>
      </w:r>
      <w:r w:rsidRPr="00CA2564">
        <w:rPr>
          <w:rStyle w:val="Odkaznapoznmkupodiarou"/>
        </w:rPr>
        <w:footnoteReference w:id="312"/>
      </w:r>
    </w:p>
    <w:p w14:paraId="430C6ADF" w14:textId="3198C657" w:rsidR="00EA7FF5" w:rsidRDefault="00EA7FF5" w:rsidP="009E6C4C">
      <w:r w:rsidRPr="00CA2564">
        <w:t>Podľa výberového zisťovania pracovných síl je Slovensko špecifické výrazne vyššou zamestnanosťou osamelých matiek oproti matkám žijúcim v úplných rodinách, hlavne v prípade matiek so staršími deťmi. Sčítanie obyvateľstva z roku 2011 však tento záver nepotvrdzuje. Podľa tohto zdroja bolo zamestnaných 60 % osamelých matiek v porovnaní so 67 % matiek v úplných rodinách.</w:t>
      </w:r>
      <w:r w:rsidRPr="00CA2564">
        <w:rPr>
          <w:rStyle w:val="Odkaznapoznmkupodiarou"/>
        </w:rPr>
        <w:footnoteReference w:id="313"/>
      </w:r>
    </w:p>
    <w:p w14:paraId="4CFDC36F" w14:textId="35C3C9B6" w:rsidR="008E73B3" w:rsidRPr="00CA2564" w:rsidRDefault="008E73B3" w:rsidP="009E6C4C">
      <w:r w:rsidRPr="00CA2564">
        <w:rPr>
          <w:b/>
        </w:rPr>
        <w:t xml:space="preserve">Z pohľadu uplatnenia na trhu práce sú na Slovensku zvlášť rizikovou skupinou osamelé matky s malými deťmi do 3 rokov. </w:t>
      </w:r>
      <w:r w:rsidRPr="00CA2564">
        <w:t>Podľa sčítania obyvateľstva zamestnanosť v tejto skupine predstavovala v roku 2011 iba 15 %. S vekom dieťaťa zamestnanosť matiek postupne rastie (</w:t>
      </w:r>
      <w:r w:rsidRPr="00172AB0">
        <w:rPr>
          <w:szCs w:val="22"/>
        </w:rPr>
        <w:fldChar w:fldCharType="begin"/>
      </w:r>
      <w:r w:rsidRPr="00172AB0">
        <w:rPr>
          <w:szCs w:val="22"/>
        </w:rPr>
        <w:instrText xml:space="preserve"> REF _Ref12629367 \h </w:instrText>
      </w:r>
      <w:r w:rsidR="00172AB0" w:rsidRPr="00172AB0">
        <w:rPr>
          <w:szCs w:val="22"/>
        </w:rPr>
        <w:instrText xml:space="preserve"> \* MERGEFORMAT </w:instrText>
      </w:r>
      <w:r w:rsidRPr="00172AB0">
        <w:rPr>
          <w:szCs w:val="22"/>
        </w:rPr>
      </w:r>
      <w:r w:rsidRPr="00172AB0">
        <w:rPr>
          <w:szCs w:val="22"/>
        </w:rPr>
        <w:fldChar w:fldCharType="separate"/>
      </w:r>
      <w:r w:rsidR="00FA29AF" w:rsidRPr="00FA29AF">
        <w:rPr>
          <w:szCs w:val="22"/>
        </w:rPr>
        <w:t xml:space="preserve">Graf </w:t>
      </w:r>
      <w:r w:rsidR="00FA29AF" w:rsidRPr="00FA29AF">
        <w:rPr>
          <w:noProof/>
          <w:szCs w:val="22"/>
        </w:rPr>
        <w:t>36</w:t>
      </w:r>
      <w:r w:rsidRPr="00172AB0">
        <w:rPr>
          <w:szCs w:val="22"/>
        </w:rPr>
        <w:fldChar w:fldCharType="end"/>
      </w:r>
      <w:r w:rsidRPr="00172AB0">
        <w:rPr>
          <w:szCs w:val="22"/>
        </w:rPr>
        <w:t>).</w:t>
      </w:r>
      <w:r w:rsidRPr="00CA2564">
        <w:t xml:space="preserve"> Podobný profil je možné pozorovať aj v prípade matiek v úplných rodinách. Ony sa však vo väčšine prípadov môžu oprieť o príjem manžela alebo partnera. Osamelí otcovia majú podstatne lepšie postavenie na trhu práce, aj v prípade otcov veľmi malých detí.</w:t>
      </w:r>
    </w:p>
    <w:tbl>
      <w:tblPr>
        <w:tblW w:w="9072" w:type="dxa"/>
        <w:tblLook w:val="04E0" w:firstRow="1" w:lastRow="1" w:firstColumn="1" w:lastColumn="0" w:noHBand="0" w:noVBand="1"/>
      </w:tblPr>
      <w:tblGrid>
        <w:gridCol w:w="4385"/>
        <w:gridCol w:w="222"/>
        <w:gridCol w:w="4535"/>
      </w:tblGrid>
      <w:tr w:rsidR="00EA7FF5" w:rsidRPr="00CA2564" w14:paraId="51CD8BD0" w14:textId="77777777" w:rsidTr="00B67A5E">
        <w:tc>
          <w:tcPr>
            <w:tcW w:w="4306" w:type="dxa"/>
            <w:tcBorders>
              <w:bottom w:val="single" w:sz="4" w:space="0" w:color="auto"/>
            </w:tcBorders>
          </w:tcPr>
          <w:p w14:paraId="4E6CC02E" w14:textId="77777777" w:rsidR="00EA7FF5" w:rsidRPr="00B67A5E" w:rsidRDefault="00EA7FF5" w:rsidP="00B67A5E">
            <w:pPr>
              <w:spacing w:after="0" w:line="240" w:lineRule="auto"/>
              <w:rPr>
                <w:b/>
              </w:rPr>
            </w:pPr>
            <w:bookmarkStart w:id="463" w:name="_Ref12608728"/>
            <w:bookmarkStart w:id="464" w:name="_Toc17469401"/>
            <w:bookmarkStart w:id="465" w:name="_Toc34157593"/>
            <w:r w:rsidRPr="00B67A5E">
              <w:rPr>
                <w:b/>
                <w:sz w:val="20"/>
              </w:rPr>
              <w:t xml:space="preserve">Graf </w:t>
            </w:r>
            <w:r w:rsidRPr="00B67A5E">
              <w:rPr>
                <w:b/>
                <w:sz w:val="20"/>
              </w:rPr>
              <w:fldChar w:fldCharType="begin"/>
            </w:r>
            <w:r w:rsidRPr="00B67A5E">
              <w:rPr>
                <w:b/>
                <w:sz w:val="20"/>
              </w:rPr>
              <w:instrText xml:space="preserve"> SEQ Graf \* ARABIC </w:instrText>
            </w:r>
            <w:r w:rsidRPr="00B67A5E">
              <w:rPr>
                <w:b/>
                <w:sz w:val="20"/>
              </w:rPr>
              <w:fldChar w:fldCharType="separate"/>
            </w:r>
            <w:r w:rsidR="00FA29AF">
              <w:rPr>
                <w:b/>
                <w:noProof/>
                <w:sz w:val="20"/>
              </w:rPr>
              <w:t>35</w:t>
            </w:r>
            <w:r w:rsidRPr="00B67A5E">
              <w:rPr>
                <w:b/>
                <w:sz w:val="20"/>
              </w:rPr>
              <w:fldChar w:fldCharType="end"/>
            </w:r>
            <w:bookmarkEnd w:id="463"/>
            <w:r w:rsidRPr="00B67A5E">
              <w:rPr>
                <w:b/>
                <w:sz w:val="20"/>
              </w:rPr>
              <w:t>: Zamestnanosť osamelých matiek a matiek v úplných rodinách (%, 2014)</w:t>
            </w:r>
            <w:bookmarkEnd w:id="464"/>
            <w:bookmarkEnd w:id="465"/>
          </w:p>
        </w:tc>
        <w:tc>
          <w:tcPr>
            <w:tcW w:w="222" w:type="dxa"/>
            <w:tcBorders>
              <w:bottom w:val="nil"/>
            </w:tcBorders>
          </w:tcPr>
          <w:p w14:paraId="3D159661" w14:textId="77777777" w:rsidR="00EA7FF5" w:rsidRPr="00B67A5E" w:rsidRDefault="00EA7FF5" w:rsidP="00B67A5E">
            <w:pPr>
              <w:spacing w:after="0" w:line="240" w:lineRule="auto"/>
              <w:rPr>
                <w:b/>
                <w:sz w:val="20"/>
              </w:rPr>
            </w:pPr>
          </w:p>
        </w:tc>
        <w:tc>
          <w:tcPr>
            <w:tcW w:w="4544" w:type="dxa"/>
            <w:tcBorders>
              <w:bottom w:val="single" w:sz="4" w:space="0" w:color="auto"/>
            </w:tcBorders>
          </w:tcPr>
          <w:p w14:paraId="0036CFC6" w14:textId="77777777" w:rsidR="00EA7FF5" w:rsidRPr="00B67A5E" w:rsidRDefault="00EA7FF5" w:rsidP="00B67A5E">
            <w:pPr>
              <w:spacing w:after="0" w:line="240" w:lineRule="auto"/>
              <w:rPr>
                <w:b/>
                <w:sz w:val="20"/>
              </w:rPr>
            </w:pPr>
            <w:bookmarkStart w:id="466" w:name="_Ref12629367"/>
            <w:bookmarkStart w:id="467" w:name="_Toc17469402"/>
            <w:bookmarkStart w:id="468" w:name="_Toc34157594"/>
            <w:r w:rsidRPr="00B67A5E">
              <w:rPr>
                <w:b/>
                <w:sz w:val="20"/>
              </w:rPr>
              <w:t xml:space="preserve">Graf </w:t>
            </w:r>
            <w:r w:rsidRPr="00B67A5E">
              <w:rPr>
                <w:b/>
                <w:sz w:val="20"/>
              </w:rPr>
              <w:fldChar w:fldCharType="begin"/>
            </w:r>
            <w:r w:rsidRPr="00B67A5E">
              <w:rPr>
                <w:b/>
                <w:sz w:val="20"/>
              </w:rPr>
              <w:instrText xml:space="preserve"> SEQ Graf \* ARABIC </w:instrText>
            </w:r>
            <w:r w:rsidRPr="00B67A5E">
              <w:rPr>
                <w:b/>
                <w:sz w:val="20"/>
              </w:rPr>
              <w:fldChar w:fldCharType="separate"/>
            </w:r>
            <w:r w:rsidR="00FA29AF">
              <w:rPr>
                <w:b/>
                <w:noProof/>
                <w:sz w:val="20"/>
              </w:rPr>
              <w:t>36</w:t>
            </w:r>
            <w:r w:rsidRPr="00B67A5E">
              <w:rPr>
                <w:b/>
                <w:sz w:val="20"/>
              </w:rPr>
              <w:fldChar w:fldCharType="end"/>
            </w:r>
            <w:bookmarkEnd w:id="466"/>
            <w:r w:rsidRPr="00B67A5E">
              <w:rPr>
                <w:b/>
                <w:sz w:val="20"/>
              </w:rPr>
              <w:t>: Zamestnanosť rodičov podľa druhu rodín a veku najmladšieho dieťaťa (%, 2011)</w:t>
            </w:r>
            <w:bookmarkEnd w:id="467"/>
            <w:bookmarkEnd w:id="468"/>
          </w:p>
        </w:tc>
      </w:tr>
      <w:tr w:rsidR="00EA7FF5" w:rsidRPr="00CA2564" w14:paraId="44F1077B" w14:textId="77777777" w:rsidTr="00B67A5E">
        <w:tblPrEx>
          <w:tblCellMar>
            <w:left w:w="70" w:type="dxa"/>
            <w:right w:w="70" w:type="dxa"/>
          </w:tblCellMar>
        </w:tblPrEx>
        <w:tc>
          <w:tcPr>
            <w:tcW w:w="4306" w:type="dxa"/>
            <w:tcBorders>
              <w:top w:val="single" w:sz="4" w:space="0" w:color="auto"/>
              <w:bottom w:val="single" w:sz="4" w:space="0" w:color="auto"/>
            </w:tcBorders>
          </w:tcPr>
          <w:p w14:paraId="55797CD6" w14:textId="77777777" w:rsidR="00EA7FF5" w:rsidRPr="00CA2564" w:rsidRDefault="00EA7FF5" w:rsidP="00B67A5E">
            <w:pPr>
              <w:spacing w:after="0" w:line="240" w:lineRule="auto"/>
              <w:rPr>
                <w:noProof/>
                <w:sz w:val="4"/>
                <w:szCs w:val="4"/>
              </w:rPr>
            </w:pPr>
            <w:r w:rsidRPr="00CA2564">
              <w:rPr>
                <w:noProof/>
                <w:sz w:val="4"/>
                <w:szCs w:val="4"/>
              </w:rPr>
              <w:t xml:space="preserve"> </w:t>
            </w:r>
          </w:p>
          <w:p w14:paraId="30B6F08A" w14:textId="54440C93" w:rsidR="00EA7FF5" w:rsidRPr="00CA2564" w:rsidRDefault="00D60187" w:rsidP="00B67A5E">
            <w:pPr>
              <w:spacing w:after="0" w:line="240" w:lineRule="auto"/>
              <w:rPr>
                <w:sz w:val="4"/>
                <w:szCs w:val="4"/>
              </w:rPr>
            </w:pPr>
            <w:r>
              <w:rPr>
                <w:noProof/>
                <w:lang w:eastAsia="sk-SK"/>
              </w:rPr>
              <w:drawing>
                <wp:inline distT="0" distB="0" distL="0" distR="0" wp14:anchorId="51A33453" wp14:editId="6927F09B">
                  <wp:extent cx="2695575" cy="2476500"/>
                  <wp:effectExtent l="0" t="0" r="0" b="0"/>
                  <wp:docPr id="28007" name="Graf 2800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536ACF4" w14:textId="77777777" w:rsidR="00EA7FF5" w:rsidRPr="00CA2564" w:rsidRDefault="00EA7FF5" w:rsidP="00B67A5E">
            <w:pPr>
              <w:spacing w:after="0" w:line="240" w:lineRule="auto"/>
              <w:rPr>
                <w:sz w:val="4"/>
                <w:szCs w:val="4"/>
              </w:rPr>
            </w:pPr>
          </w:p>
        </w:tc>
        <w:tc>
          <w:tcPr>
            <w:tcW w:w="222" w:type="dxa"/>
            <w:tcBorders>
              <w:top w:val="nil"/>
              <w:bottom w:val="nil"/>
            </w:tcBorders>
          </w:tcPr>
          <w:p w14:paraId="4D961024" w14:textId="77777777" w:rsidR="00EA7FF5" w:rsidRPr="00CA2564" w:rsidRDefault="00EA7FF5" w:rsidP="00B67A5E">
            <w:pPr>
              <w:spacing w:after="0" w:line="240" w:lineRule="auto"/>
              <w:rPr>
                <w:noProof/>
                <w:sz w:val="4"/>
                <w:szCs w:val="4"/>
              </w:rPr>
            </w:pPr>
          </w:p>
        </w:tc>
        <w:tc>
          <w:tcPr>
            <w:tcW w:w="4544" w:type="dxa"/>
            <w:tcBorders>
              <w:top w:val="single" w:sz="4" w:space="0" w:color="auto"/>
              <w:bottom w:val="single" w:sz="4" w:space="0" w:color="auto"/>
            </w:tcBorders>
          </w:tcPr>
          <w:p w14:paraId="10F60687" w14:textId="77777777" w:rsidR="00EA7FF5" w:rsidRPr="00CA2564" w:rsidRDefault="00EA7FF5" w:rsidP="00B67A5E">
            <w:pPr>
              <w:spacing w:after="0" w:line="240" w:lineRule="auto"/>
              <w:rPr>
                <w:sz w:val="4"/>
                <w:szCs w:val="4"/>
              </w:rPr>
            </w:pPr>
          </w:p>
          <w:p w14:paraId="49652D87" w14:textId="77777777" w:rsidR="00EA7FF5" w:rsidRPr="00CA2564" w:rsidRDefault="00EA7FF5" w:rsidP="00B67A5E">
            <w:pPr>
              <w:spacing w:after="0" w:line="240" w:lineRule="auto"/>
              <w:rPr>
                <w:sz w:val="4"/>
                <w:szCs w:val="4"/>
              </w:rPr>
            </w:pPr>
            <w:r w:rsidRPr="00CA2564">
              <w:rPr>
                <w:noProof/>
                <w:lang w:eastAsia="sk-SK"/>
              </w:rPr>
              <w:drawing>
                <wp:inline distT="0" distB="0" distL="0" distR="0" wp14:anchorId="6608D9F6" wp14:editId="33273456">
                  <wp:extent cx="2790825" cy="2466975"/>
                  <wp:effectExtent l="0" t="0" r="0" b="0"/>
                  <wp:docPr id="28022" name="Graf 28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9906EA2" w14:textId="77777777" w:rsidR="00EA7FF5" w:rsidRPr="00CA2564" w:rsidRDefault="00EA7FF5" w:rsidP="00B67A5E">
            <w:pPr>
              <w:spacing w:after="0" w:line="240" w:lineRule="auto"/>
              <w:rPr>
                <w:sz w:val="4"/>
                <w:szCs w:val="4"/>
              </w:rPr>
            </w:pPr>
          </w:p>
        </w:tc>
      </w:tr>
      <w:tr w:rsidR="00EA7FF5" w:rsidRPr="00CA2564" w14:paraId="6E640409" w14:textId="77777777" w:rsidTr="00B67A5E">
        <w:tc>
          <w:tcPr>
            <w:tcW w:w="4306" w:type="dxa"/>
            <w:tcBorders>
              <w:top w:val="single" w:sz="4" w:space="0" w:color="auto"/>
            </w:tcBorders>
          </w:tcPr>
          <w:p w14:paraId="6DB8D039" w14:textId="77777777" w:rsidR="00EA7FF5" w:rsidRPr="00B67A5E" w:rsidRDefault="00EA7FF5" w:rsidP="00B67A5E">
            <w:pPr>
              <w:spacing w:after="0" w:line="240" w:lineRule="auto"/>
              <w:jc w:val="right"/>
              <w:rPr>
                <w:i/>
                <w:noProof/>
                <w:sz w:val="18"/>
                <w:szCs w:val="18"/>
              </w:rPr>
            </w:pPr>
            <w:r w:rsidRPr="00B67A5E">
              <w:rPr>
                <w:i/>
                <w:noProof/>
                <w:sz w:val="18"/>
                <w:szCs w:val="18"/>
              </w:rPr>
              <w:t>Zdroj: EU LFS (VZPS)</w:t>
            </w:r>
          </w:p>
        </w:tc>
        <w:tc>
          <w:tcPr>
            <w:tcW w:w="222" w:type="dxa"/>
            <w:tcBorders>
              <w:top w:val="nil"/>
            </w:tcBorders>
          </w:tcPr>
          <w:p w14:paraId="6619130A" w14:textId="77777777" w:rsidR="00EA7FF5" w:rsidRPr="00B67A5E" w:rsidRDefault="00EA7FF5" w:rsidP="00B67A5E">
            <w:pPr>
              <w:spacing w:after="0" w:line="240" w:lineRule="auto"/>
              <w:jc w:val="right"/>
              <w:rPr>
                <w:i/>
                <w:noProof/>
                <w:sz w:val="18"/>
                <w:szCs w:val="18"/>
              </w:rPr>
            </w:pPr>
          </w:p>
        </w:tc>
        <w:tc>
          <w:tcPr>
            <w:tcW w:w="4544" w:type="dxa"/>
            <w:tcBorders>
              <w:top w:val="single" w:sz="4" w:space="0" w:color="auto"/>
            </w:tcBorders>
          </w:tcPr>
          <w:p w14:paraId="6AFC5C0B" w14:textId="77777777" w:rsidR="00EA7FF5" w:rsidRPr="00B67A5E" w:rsidRDefault="00EA7FF5" w:rsidP="00B67A5E">
            <w:pPr>
              <w:spacing w:after="0" w:line="240" w:lineRule="auto"/>
              <w:jc w:val="right"/>
              <w:rPr>
                <w:i/>
                <w:noProof/>
                <w:sz w:val="18"/>
                <w:szCs w:val="18"/>
              </w:rPr>
            </w:pPr>
            <w:r w:rsidRPr="00B67A5E">
              <w:rPr>
                <w:i/>
                <w:noProof/>
                <w:sz w:val="18"/>
                <w:szCs w:val="18"/>
              </w:rPr>
              <w:t>Zdroj: ÚHP na základe údajov ŠÚ (SODB)</w:t>
            </w:r>
          </w:p>
        </w:tc>
      </w:tr>
    </w:tbl>
    <w:p w14:paraId="5A3C555C" w14:textId="04CC6DB1" w:rsidR="00D37212" w:rsidRPr="00CA2564" w:rsidRDefault="00D37212" w:rsidP="008E73B3">
      <w:pPr>
        <w:spacing w:after="0"/>
      </w:pPr>
    </w:p>
    <w:tbl>
      <w:tblPr>
        <w:tblW w:w="0" w:type="auto"/>
        <w:shd w:val="clear" w:color="auto" w:fill="BDD6EE" w:themeFill="accent1" w:themeFillTint="66"/>
        <w:tblCellMar>
          <w:left w:w="70" w:type="dxa"/>
          <w:right w:w="70" w:type="dxa"/>
        </w:tblCellMar>
        <w:tblLook w:val="04A0" w:firstRow="1" w:lastRow="0" w:firstColumn="1" w:lastColumn="0" w:noHBand="0" w:noVBand="1"/>
      </w:tblPr>
      <w:tblGrid>
        <w:gridCol w:w="9026"/>
      </w:tblGrid>
      <w:tr w:rsidR="00EA7FF5" w:rsidRPr="00CA2564" w14:paraId="1BCF3640" w14:textId="77777777" w:rsidTr="009E6C4C">
        <w:tc>
          <w:tcPr>
            <w:tcW w:w="9062" w:type="dxa"/>
            <w:shd w:val="clear" w:color="auto" w:fill="BDD6EE" w:themeFill="accent1" w:themeFillTint="66"/>
          </w:tcPr>
          <w:p w14:paraId="0CED1067" w14:textId="374FBB74" w:rsidR="00EA7FF5" w:rsidRPr="000744D8" w:rsidRDefault="00D37212" w:rsidP="000744D8">
            <w:pPr>
              <w:spacing w:before="160"/>
              <w:rPr>
                <w:b/>
              </w:rPr>
            </w:pPr>
            <w:bookmarkStart w:id="469" w:name="_Ref21086370"/>
            <w:r w:rsidRPr="000744D8">
              <w:rPr>
                <w:b/>
              </w:rPr>
              <w:t xml:space="preserve">Box </w:t>
            </w:r>
            <w:r w:rsidR="00A425AB">
              <w:rPr>
                <w:b/>
              </w:rPr>
              <w:fldChar w:fldCharType="begin"/>
            </w:r>
            <w:r w:rsidR="00A425AB">
              <w:rPr>
                <w:b/>
              </w:rPr>
              <w:instrText xml:space="preserve"> SEQ Box \* ARABIC </w:instrText>
            </w:r>
            <w:r w:rsidR="00A425AB">
              <w:rPr>
                <w:b/>
              </w:rPr>
              <w:fldChar w:fldCharType="separate"/>
            </w:r>
            <w:r w:rsidR="00FA29AF">
              <w:rPr>
                <w:b/>
                <w:noProof/>
              </w:rPr>
              <w:t>13</w:t>
            </w:r>
            <w:r w:rsidR="00A425AB">
              <w:rPr>
                <w:b/>
              </w:rPr>
              <w:fldChar w:fldCharType="end"/>
            </w:r>
            <w:bookmarkEnd w:id="469"/>
            <w:r w:rsidRPr="000744D8">
              <w:rPr>
                <w:b/>
              </w:rPr>
              <w:t xml:space="preserve">: </w:t>
            </w:r>
            <w:r w:rsidR="00EA7FF5" w:rsidRPr="000744D8">
              <w:rPr>
                <w:b/>
              </w:rPr>
              <w:t>Kto sú osamelí rodičia?</w:t>
            </w:r>
          </w:p>
          <w:p w14:paraId="7D9AEBEC" w14:textId="4FF7CEDE" w:rsidR="00EA7FF5" w:rsidRPr="00CA2564" w:rsidRDefault="00EA7FF5" w:rsidP="00F46270">
            <w:r w:rsidRPr="00CA2564">
              <w:t>Neúplnú rodinu s deťmi tvorí osamelý rodič a jeho alebo jej deti žijúce v jednej domácnosti. Neúplná rodina môže vzniknúť smrťou jedného z rodičov, rozvodom, odlúčením manželov alebo part</w:t>
            </w:r>
            <w:r w:rsidR="00FE1C63">
              <w:t>nerov, rozhodnutím ženy stať sa </w:t>
            </w:r>
            <w:r w:rsidRPr="00CA2564">
              <w:t>osamelou matkou alebo dlhodobým pobytom jedného z partnerov/manželov v</w:t>
            </w:r>
            <w:r w:rsidR="00B523B2">
              <w:t> </w:t>
            </w:r>
            <w:r w:rsidRPr="00CA2564">
              <w:t>zahraničí</w:t>
            </w:r>
            <w:r w:rsidR="00B523B2">
              <w:t xml:space="preserve"> alebo v inom meste</w:t>
            </w:r>
            <w:r w:rsidRPr="00CA2564">
              <w:t>, často s cieľom finančne zabezpečiť rodinu. Neúplná rodina je definovaná na základe dlhodobej neprítomnosti partnera alebo partnerky v domácnosti, nie na základe rodinného stavu.</w:t>
            </w:r>
            <w:r w:rsidRPr="00CA2564">
              <w:rPr>
                <w:rStyle w:val="Odkaznapoznmkupodiarou"/>
              </w:rPr>
              <w:footnoteReference w:id="314"/>
            </w:r>
          </w:p>
          <w:p w14:paraId="3B59B8E4" w14:textId="47F9668D" w:rsidR="00EA7FF5" w:rsidRPr="00CA2564" w:rsidRDefault="00EA7FF5" w:rsidP="00F46270">
            <w:r w:rsidRPr="00CA2564">
              <w:t>Podľa sčítania obyvateľov v roku 2011 žilo v neúplných rodinách s deťmi okolo 7 % populácie Slovenska. Medzi závislými deťmi to bolo až 22 % (Šprocha a </w:t>
            </w:r>
            <w:r w:rsidR="00DA2EA2">
              <w:t>kol</w:t>
            </w:r>
            <w:r w:rsidRPr="00CA2564">
              <w:t>., 2014). Skoro polovicu (49 %) neúplných rodín tvorili v roku 2011 osamelý rodič a jedno dieťa a iba zhruba každá siedma neúplná rodina mala tri alebo viac detí. Priemerný počet detí v neúplných rodinách s deťmi bol 1,7 (Podmanická a spol., 2015).</w:t>
            </w:r>
          </w:p>
          <w:p w14:paraId="7C16DBEA" w14:textId="77777777" w:rsidR="00EA7FF5" w:rsidRPr="00CA2564" w:rsidRDefault="00EA7FF5" w:rsidP="00F46270">
            <w:r w:rsidRPr="00CA2564">
              <w:t xml:space="preserve">Neúplné rodiny s deťmi sú silne rodovo podmienené, až 84 % z nich tvorili v roku 2011 osamelé matky s deťmi. Spomedzi všetkých matiek s nezaopatrenými deťmi bolo osamelých 22 %. Aj preto sa diskusia v revízii zameriava najmä na osamelé matky. Navrhované opatrenia by však mali rovnako pomôcť aj osamelým otcom. </w:t>
            </w:r>
          </w:p>
          <w:p w14:paraId="13FF9F17" w14:textId="33A57776" w:rsidR="00EA7FF5" w:rsidRPr="00CA2564" w:rsidRDefault="00EA7FF5" w:rsidP="00F46270">
            <w:r w:rsidRPr="00CA2564">
              <w:t>Situáciu rodín s deťmi z pohľadu zamestnanosti rodičov</w:t>
            </w:r>
            <w:r w:rsidR="00D645E1">
              <w:t>,</w:t>
            </w:r>
            <w:r w:rsidRPr="00CA2564">
              <w:t xml:space="preserve"> ako aj nároku na niektoré druhy sociálnych dávok významne ovplyvňuje vek najmladšieho dieťaťa. </w:t>
            </w:r>
            <w:r w:rsidR="005E71FC">
              <w:t>T</w:t>
            </w:r>
            <w:r w:rsidRPr="00CA2564">
              <w:t xml:space="preserve">o platí </w:t>
            </w:r>
            <w:r w:rsidR="005E71FC">
              <w:t>ob</w:t>
            </w:r>
            <w:r w:rsidRPr="00CA2564">
              <w:t>zvlášť</w:t>
            </w:r>
            <w:r w:rsidR="005E71FC" w:rsidRPr="00CA2564">
              <w:t xml:space="preserve"> </w:t>
            </w:r>
            <w:r w:rsidR="005E71FC">
              <w:t>p</w:t>
            </w:r>
            <w:r w:rsidR="005E71FC" w:rsidRPr="00CA2564">
              <w:t>re osamelých rodičov</w:t>
            </w:r>
            <w:r w:rsidRPr="00CA2564">
              <w:t xml:space="preserve">, keďže sa nemôžu oprieť o zárobkovú schopnosť partnera alebo partnerky. Je preto zaujímavé, že štruktúra rodín osamelých matiek vo vzťahu k veku najmladšieho dieťaťa je odlišná </w:t>
            </w:r>
            <w:r w:rsidR="005E71FC">
              <w:t xml:space="preserve">tak </w:t>
            </w:r>
            <w:r w:rsidRPr="00CA2564">
              <w:t>od štruktúry úplných rodín, ako aj v porovnaní so štruktúrou rodín osamelých otcov. Kým 39 % osamelých matiek malo podľa sčítania obyvateľstva z roku 2011 najmladšie dieťa vo veku do 6 rokov, v prípade matiek v úplných rodinách to bolo 33 % a v prípade osamelých otcov 29 %.</w:t>
            </w:r>
          </w:p>
          <w:p w14:paraId="5086EB3A" w14:textId="783A7ED1" w:rsidR="00EA7FF5" w:rsidRPr="00CA2564" w:rsidRDefault="008711D9" w:rsidP="009E6C4C">
            <w:pPr>
              <w:pStyle w:val="Bezriadkovania"/>
              <w:spacing w:line="259" w:lineRule="auto"/>
              <w:jc w:val="center"/>
              <w:rPr>
                <w:rFonts w:ascii="Arial Narrow" w:hAnsi="Arial Narrow"/>
                <w:b/>
                <w:sz w:val="20"/>
                <w:szCs w:val="20"/>
              </w:rPr>
            </w:pPr>
            <w:r>
              <w:rPr>
                <w:rFonts w:ascii="Arial Narrow" w:hAnsi="Arial Narrow"/>
                <w:b/>
                <w:sz w:val="20"/>
                <w:szCs w:val="20"/>
              </w:rPr>
              <w:t>Distribúcia</w:t>
            </w:r>
            <w:r w:rsidRPr="00CA2564">
              <w:rPr>
                <w:rFonts w:ascii="Arial Narrow" w:hAnsi="Arial Narrow"/>
                <w:b/>
                <w:sz w:val="20"/>
                <w:szCs w:val="20"/>
              </w:rPr>
              <w:t xml:space="preserve"> </w:t>
            </w:r>
            <w:r w:rsidR="00EA7FF5" w:rsidRPr="00CA2564">
              <w:rPr>
                <w:rFonts w:ascii="Arial Narrow" w:hAnsi="Arial Narrow"/>
                <w:b/>
                <w:sz w:val="20"/>
                <w:szCs w:val="20"/>
              </w:rPr>
              <w:t>rodín so závislými deťmi podľa veku najmladšieho dieťaťa (% z danej skupiny, 2011)</w:t>
            </w:r>
          </w:p>
          <w:p w14:paraId="62FB00E9" w14:textId="77777777" w:rsidR="00EA7FF5" w:rsidRPr="00CA2564" w:rsidRDefault="00EA7FF5" w:rsidP="009E6C4C">
            <w:pPr>
              <w:pStyle w:val="Bezriadkovania"/>
              <w:spacing w:line="259" w:lineRule="auto"/>
              <w:jc w:val="center"/>
              <w:rPr>
                <w:rFonts w:ascii="Arial Narrow" w:hAnsi="Arial Narrow"/>
              </w:rPr>
            </w:pPr>
            <w:r w:rsidRPr="00CA2564">
              <w:rPr>
                <w:noProof/>
                <w:lang w:eastAsia="sk-SK"/>
              </w:rPr>
              <w:drawing>
                <wp:inline distT="0" distB="0" distL="0" distR="0" wp14:anchorId="6C8C1B5C" wp14:editId="60BC1996">
                  <wp:extent cx="5381625" cy="2038350"/>
                  <wp:effectExtent l="0" t="0" r="9525" b="0"/>
                  <wp:docPr id="28018" name="Graf 28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E84D0C3" w14:textId="77777777" w:rsidR="00EA7FF5" w:rsidRDefault="00EA7FF5" w:rsidP="009E6C4C">
            <w:pPr>
              <w:pStyle w:val="Bezriadkovania"/>
              <w:spacing w:line="259" w:lineRule="auto"/>
              <w:jc w:val="right"/>
              <w:rPr>
                <w:rFonts w:ascii="Arial Narrow" w:hAnsi="Arial Narrow"/>
                <w:i/>
                <w:noProof/>
                <w:sz w:val="16"/>
                <w:szCs w:val="16"/>
              </w:rPr>
            </w:pPr>
            <w:r w:rsidRPr="00CA2564">
              <w:rPr>
                <w:rFonts w:ascii="Arial Narrow" w:hAnsi="Arial Narrow"/>
                <w:i/>
                <w:sz w:val="16"/>
                <w:szCs w:val="16"/>
              </w:rPr>
              <w:t xml:space="preserve">Zdroj: </w:t>
            </w:r>
            <w:r w:rsidRPr="00CA2564">
              <w:rPr>
                <w:rFonts w:ascii="Arial Narrow" w:hAnsi="Arial Narrow"/>
                <w:i/>
                <w:noProof/>
                <w:sz w:val="16"/>
                <w:szCs w:val="16"/>
              </w:rPr>
              <w:t>ÚHP na základe údajov ŠÚ (SODB)</w:t>
            </w:r>
          </w:p>
          <w:p w14:paraId="525ED99D" w14:textId="5339487A" w:rsidR="008711D9" w:rsidRPr="00CA2564" w:rsidRDefault="008711D9" w:rsidP="00D41517">
            <w:pPr>
              <w:pStyle w:val="Bezriadkovania"/>
              <w:spacing w:line="259" w:lineRule="auto"/>
              <w:rPr>
                <w:rFonts w:ascii="Arial Narrow" w:hAnsi="Arial Narrow"/>
                <w:i/>
                <w:sz w:val="16"/>
                <w:szCs w:val="16"/>
              </w:rPr>
            </w:pPr>
            <w:r>
              <w:rPr>
                <w:rFonts w:ascii="Arial Narrow" w:hAnsi="Arial Narrow"/>
                <w:i/>
                <w:noProof/>
                <w:sz w:val="16"/>
                <w:szCs w:val="16"/>
              </w:rPr>
              <w:t>Poznámka: Súčet podielov naprieč vekom najmladšieho dieťaťa sa v prípade každého druhu rodiny rovná 100 %.</w:t>
            </w:r>
          </w:p>
        </w:tc>
      </w:tr>
    </w:tbl>
    <w:p w14:paraId="59F3D312" w14:textId="6410D991" w:rsidR="00E335A4" w:rsidRPr="00CA2564" w:rsidRDefault="00E335A4" w:rsidP="00D3189B">
      <w:pPr>
        <w:spacing w:before="240"/>
        <w:rPr>
          <w:color w:val="0070C0"/>
        </w:rPr>
      </w:pPr>
      <w:r>
        <w:rPr>
          <w:color w:val="0070C0"/>
        </w:rPr>
        <w:t>Prehľad nástrojov začleňovania na trhu práce</w:t>
      </w:r>
    </w:p>
    <w:p w14:paraId="5911ACA2" w14:textId="04DFF73F" w:rsidR="0079347D" w:rsidRDefault="00E335A4" w:rsidP="009E6C4C">
      <w:pPr>
        <w:spacing w:before="160"/>
      </w:pPr>
      <w:r w:rsidRPr="00D3189B">
        <w:rPr>
          <w:b/>
        </w:rPr>
        <w:t>Revízia ponúka prehľad širokého spektra nástrojov relevantných pre integráciu ohrozených skupín na trhu práce</w:t>
      </w:r>
      <w:r>
        <w:t xml:space="preserve"> (</w:t>
      </w:r>
      <w:r w:rsidR="004F0C69">
        <w:fldChar w:fldCharType="begin"/>
      </w:r>
      <w:r w:rsidR="004F0C69">
        <w:instrText xml:space="preserve"> REF _Ref19462162 \h </w:instrText>
      </w:r>
      <w:r w:rsidR="00524A3A">
        <w:instrText xml:space="preserve"> \* MERGEFORMAT </w:instrText>
      </w:r>
      <w:r w:rsidR="004F0C69">
        <w:fldChar w:fldCharType="separate"/>
      </w:r>
      <w:r w:rsidR="00FA29AF" w:rsidRPr="00FA29AF">
        <w:t>Tabuľka 23</w:t>
      </w:r>
      <w:r w:rsidR="004F0C69">
        <w:fldChar w:fldCharType="end"/>
      </w:r>
      <w:r>
        <w:t xml:space="preserve">). </w:t>
      </w:r>
      <w:r w:rsidR="00F13B91">
        <w:t xml:space="preserve">Kým niektoré aktívne opatrenia </w:t>
      </w:r>
      <w:r w:rsidR="00047FB7">
        <w:t xml:space="preserve">na </w:t>
      </w:r>
      <w:r w:rsidR="00F13B91">
        <w:t>trhu práce (AOTP) nie sú cielené na konkrétne skupiny alebo na znevýhodnených uchádzačov o zamestnanie, iné nástroje majú užšie zamer</w:t>
      </w:r>
      <w:r w:rsidR="00D645E1">
        <w:t>anie. Individuálna práca s </w:t>
      </w:r>
      <w:r w:rsidR="00C53D87">
        <w:t>klientom a</w:t>
      </w:r>
      <w:r w:rsidR="00F13B91">
        <w:t xml:space="preserve"> integračné </w:t>
      </w:r>
      <w:r w:rsidR="00C53D87">
        <w:t xml:space="preserve">sociálne </w:t>
      </w:r>
      <w:r w:rsidR="00F13B91">
        <w:t>podniky sú napríklad zamerané na ťažko umiestniteľných uchádzačov o zamestnanie, či už bariéra zamestnaniu spočíva v</w:t>
      </w:r>
      <w:r w:rsidR="00C15221">
        <w:t> </w:t>
      </w:r>
      <w:r w:rsidR="00F13B91">
        <w:t xml:space="preserve">sociálnom alebo zdravotnom znevýhodnení (podkapitola </w:t>
      </w:r>
      <w:r w:rsidR="00A02A8B">
        <w:fldChar w:fldCharType="begin"/>
      </w:r>
      <w:r w:rsidR="00A02A8B">
        <w:instrText xml:space="preserve"> REF _Ref25315001 \r \h </w:instrText>
      </w:r>
      <w:r w:rsidR="00A02A8B">
        <w:fldChar w:fldCharType="separate"/>
      </w:r>
      <w:r w:rsidR="00FA29AF">
        <w:t>7.2</w:t>
      </w:r>
      <w:r w:rsidR="00A02A8B">
        <w:fldChar w:fldCharType="end"/>
      </w:r>
      <w:r w:rsidR="00F13B91">
        <w:t>). Niektoré nástroje sú zamerané špeciálne na osoby so zdravotným postihnutím</w:t>
      </w:r>
      <w:r w:rsidR="00D645E1">
        <w:t>,</w:t>
      </w:r>
      <w:r w:rsidR="00F13B91">
        <w:t xml:space="preserve"> ak</w:t>
      </w:r>
      <w:r w:rsidR="00100500">
        <w:t>o napríklad niektoré druhy AOTP alebo</w:t>
      </w:r>
      <w:r w:rsidR="00F13B91">
        <w:t xml:space="preserve"> zákonná povinnosť zamestnávať OZP </w:t>
      </w:r>
      <w:r w:rsidR="008A326A">
        <w:t xml:space="preserve">(podkapitola </w:t>
      </w:r>
      <w:r w:rsidR="00A02A8B">
        <w:fldChar w:fldCharType="begin"/>
      </w:r>
      <w:r w:rsidR="00A02A8B">
        <w:instrText xml:space="preserve"> REF _Ref25315007 \r \h </w:instrText>
      </w:r>
      <w:r w:rsidR="00A02A8B">
        <w:fldChar w:fldCharType="separate"/>
      </w:r>
      <w:r w:rsidR="00FA29AF">
        <w:t>7.3</w:t>
      </w:r>
      <w:r w:rsidR="00A02A8B">
        <w:fldChar w:fldCharType="end"/>
      </w:r>
      <w:r w:rsidR="008A326A">
        <w:t>)</w:t>
      </w:r>
      <w:r w:rsidR="00F13B91">
        <w:t>. Politiky zamerané na zosúlaďovania pracovného a rodinného života sú obzvlášť relevantné pre osamelé matky</w:t>
      </w:r>
      <w:r w:rsidR="008A326A">
        <w:t xml:space="preserve"> (podkapitola </w:t>
      </w:r>
      <w:r w:rsidR="00A02A8B">
        <w:fldChar w:fldCharType="begin"/>
      </w:r>
      <w:r w:rsidR="00A02A8B">
        <w:instrText xml:space="preserve"> REF _Ref25315016 \r \h </w:instrText>
      </w:r>
      <w:r w:rsidR="00A02A8B">
        <w:fldChar w:fldCharType="separate"/>
      </w:r>
      <w:r w:rsidR="00FA29AF">
        <w:t>7.4</w:t>
      </w:r>
      <w:r w:rsidR="00A02A8B">
        <w:fldChar w:fldCharType="end"/>
      </w:r>
      <w:r w:rsidR="008A326A">
        <w:t>)</w:t>
      </w:r>
      <w:r w:rsidR="00F13B91">
        <w:t xml:space="preserve">. </w:t>
      </w:r>
      <w:r w:rsidR="008A326A">
        <w:t xml:space="preserve">Osobný bankrot </w:t>
      </w:r>
      <w:r w:rsidR="0079347D">
        <w:t>ako riešenie bariéry na trhu práce, ktorú predstavujú exekúcie, je dostupný všetkým</w:t>
      </w:r>
      <w:r w:rsidR="002064E8">
        <w:t>,</w:t>
      </w:r>
      <w:r w:rsidR="0079347D">
        <w:t xml:space="preserve"> ale zvlášť relevantný je pre ľudí s nízkou finančnou gramotnosťou a pre nemajetných </w:t>
      </w:r>
      <w:r w:rsidR="008A326A">
        <w:t xml:space="preserve">(podkapitola </w:t>
      </w:r>
      <w:r w:rsidR="00A02A8B">
        <w:fldChar w:fldCharType="begin"/>
      </w:r>
      <w:r w:rsidR="00A02A8B">
        <w:instrText xml:space="preserve"> REF _Ref25315024 \r \h </w:instrText>
      </w:r>
      <w:r w:rsidR="00A02A8B">
        <w:fldChar w:fldCharType="separate"/>
      </w:r>
      <w:r w:rsidR="00FA29AF">
        <w:t>7.5</w:t>
      </w:r>
      <w:r w:rsidR="00A02A8B">
        <w:fldChar w:fldCharType="end"/>
      </w:r>
      <w:r w:rsidR="008A326A">
        <w:t>).</w:t>
      </w:r>
    </w:p>
    <w:p w14:paraId="1530219B" w14:textId="579226D5" w:rsidR="00AB4A10" w:rsidRPr="000744D8" w:rsidRDefault="00AB4A10" w:rsidP="000744D8">
      <w:pPr>
        <w:spacing w:after="0"/>
        <w:rPr>
          <w:b/>
          <w:sz w:val="20"/>
        </w:rPr>
      </w:pPr>
      <w:bookmarkStart w:id="470" w:name="_Ref19462162"/>
      <w:bookmarkStart w:id="471" w:name="_Ref19462148"/>
      <w:bookmarkStart w:id="472" w:name="_Toc34156862"/>
      <w:r w:rsidRPr="000744D8">
        <w:rPr>
          <w:b/>
          <w:sz w:val="20"/>
        </w:rPr>
        <w:t xml:space="preserve">Tabuľka </w:t>
      </w:r>
      <w:r w:rsidRPr="000744D8">
        <w:rPr>
          <w:b/>
          <w:noProof/>
          <w:sz w:val="20"/>
        </w:rPr>
        <w:fldChar w:fldCharType="begin"/>
      </w:r>
      <w:r w:rsidRPr="000744D8">
        <w:rPr>
          <w:b/>
          <w:noProof/>
          <w:sz w:val="20"/>
        </w:rPr>
        <w:instrText xml:space="preserve"> SEQ Tabuľka \* ARABIC </w:instrText>
      </w:r>
      <w:r w:rsidRPr="000744D8">
        <w:rPr>
          <w:b/>
          <w:noProof/>
          <w:sz w:val="20"/>
        </w:rPr>
        <w:fldChar w:fldCharType="separate"/>
      </w:r>
      <w:r w:rsidR="00FA29AF">
        <w:rPr>
          <w:b/>
          <w:noProof/>
          <w:sz w:val="20"/>
        </w:rPr>
        <w:t>23</w:t>
      </w:r>
      <w:r w:rsidRPr="000744D8">
        <w:rPr>
          <w:b/>
          <w:noProof/>
          <w:sz w:val="20"/>
        </w:rPr>
        <w:fldChar w:fldCharType="end"/>
      </w:r>
      <w:bookmarkEnd w:id="470"/>
      <w:r w:rsidRPr="000744D8">
        <w:rPr>
          <w:b/>
          <w:sz w:val="20"/>
        </w:rPr>
        <w:t>: Prehľad zamerania jednotlivých nástrojov začleňovania na trhu práce</w:t>
      </w:r>
      <w:r w:rsidR="004F0C69" w:rsidRPr="000744D8">
        <w:rPr>
          <w:b/>
          <w:sz w:val="20"/>
        </w:rPr>
        <w:t xml:space="preserve"> na cieľové skupiny revízie</w:t>
      </w:r>
      <w:bookmarkEnd w:id="471"/>
      <w:bookmarkEnd w:id="472"/>
    </w:p>
    <w:tbl>
      <w:tblPr>
        <w:tblW w:w="9072" w:type="dxa"/>
        <w:tblLayout w:type="fixed"/>
        <w:tblCellMar>
          <w:left w:w="70" w:type="dxa"/>
          <w:right w:w="70" w:type="dxa"/>
        </w:tblCellMar>
        <w:tblLook w:val="04A0" w:firstRow="1" w:lastRow="0" w:firstColumn="1" w:lastColumn="0" w:noHBand="0" w:noVBand="1"/>
      </w:tblPr>
      <w:tblGrid>
        <w:gridCol w:w="3828"/>
        <w:gridCol w:w="1748"/>
        <w:gridCol w:w="1748"/>
        <w:gridCol w:w="1748"/>
      </w:tblGrid>
      <w:tr w:rsidR="00AB4A10" w:rsidRPr="00AB4A10" w14:paraId="3D00F21E" w14:textId="77777777" w:rsidTr="00D3189B">
        <w:trPr>
          <w:trHeight w:val="540"/>
        </w:trPr>
        <w:tc>
          <w:tcPr>
            <w:tcW w:w="3828" w:type="dxa"/>
            <w:tcBorders>
              <w:top w:val="single" w:sz="4" w:space="0" w:color="auto"/>
              <w:left w:val="nil"/>
              <w:bottom w:val="single" w:sz="4" w:space="0" w:color="auto"/>
              <w:right w:val="nil"/>
            </w:tcBorders>
            <w:shd w:val="clear" w:color="000000" w:fill="FFFFFF"/>
            <w:noWrap/>
            <w:vAlign w:val="bottom"/>
            <w:hideMark/>
          </w:tcPr>
          <w:p w14:paraId="28DCCEAF" w14:textId="77777777" w:rsidR="00AB4A10" w:rsidRPr="00AB4A10" w:rsidRDefault="00AB4A10" w:rsidP="00AB4A10">
            <w:pPr>
              <w:spacing w:after="0" w:line="240" w:lineRule="auto"/>
              <w:jc w:val="left"/>
              <w:rPr>
                <w:rFonts w:eastAsia="Times New Roman" w:cs="Arial"/>
                <w:sz w:val="20"/>
                <w:lang w:eastAsia="sk-SK"/>
              </w:rPr>
            </w:pPr>
            <w:r w:rsidRPr="00AB4A10">
              <w:rPr>
                <w:rFonts w:eastAsia="Times New Roman" w:cs="Arial"/>
                <w:sz w:val="20"/>
                <w:lang w:eastAsia="sk-SK"/>
              </w:rPr>
              <w:t> </w:t>
            </w:r>
          </w:p>
        </w:tc>
        <w:tc>
          <w:tcPr>
            <w:tcW w:w="1748" w:type="dxa"/>
            <w:tcBorders>
              <w:top w:val="single" w:sz="4" w:space="0" w:color="auto"/>
              <w:left w:val="nil"/>
              <w:bottom w:val="single" w:sz="4" w:space="0" w:color="auto"/>
              <w:right w:val="nil"/>
            </w:tcBorders>
            <w:shd w:val="clear" w:color="000000" w:fill="FFFFFF"/>
            <w:vAlign w:val="bottom"/>
            <w:hideMark/>
          </w:tcPr>
          <w:p w14:paraId="39F1DA6E" w14:textId="15622C52" w:rsidR="00AB4A10" w:rsidRPr="00AB4A10" w:rsidRDefault="00D81DF3" w:rsidP="00AB4A10">
            <w:pPr>
              <w:spacing w:after="0" w:line="240" w:lineRule="auto"/>
              <w:jc w:val="center"/>
              <w:rPr>
                <w:rFonts w:eastAsia="Times New Roman" w:cs="Arial"/>
                <w:b/>
                <w:bCs/>
                <w:sz w:val="20"/>
                <w:lang w:eastAsia="sk-SK"/>
              </w:rPr>
            </w:pPr>
            <w:r>
              <w:rPr>
                <w:rFonts w:eastAsia="Times New Roman" w:cs="Arial"/>
                <w:b/>
                <w:bCs/>
                <w:sz w:val="20"/>
                <w:lang w:eastAsia="sk-SK"/>
              </w:rPr>
              <w:t xml:space="preserve">MRK a </w:t>
            </w:r>
            <w:r w:rsidR="00AB4A10" w:rsidRPr="00AB4A10">
              <w:rPr>
                <w:rFonts w:eastAsia="Times New Roman" w:cs="Arial"/>
                <w:b/>
                <w:bCs/>
                <w:sz w:val="20"/>
                <w:lang w:eastAsia="sk-SK"/>
              </w:rPr>
              <w:t>ľudia s nízkym vzdelaním</w:t>
            </w:r>
          </w:p>
        </w:tc>
        <w:tc>
          <w:tcPr>
            <w:tcW w:w="1748" w:type="dxa"/>
            <w:tcBorders>
              <w:top w:val="single" w:sz="4" w:space="0" w:color="auto"/>
              <w:left w:val="nil"/>
              <w:bottom w:val="single" w:sz="4" w:space="0" w:color="auto"/>
              <w:right w:val="nil"/>
            </w:tcBorders>
            <w:shd w:val="clear" w:color="000000" w:fill="FFFFFF"/>
            <w:vAlign w:val="bottom"/>
            <w:hideMark/>
          </w:tcPr>
          <w:p w14:paraId="0E55730C" w14:textId="77777777" w:rsidR="00AB4A10" w:rsidRPr="00AB4A10" w:rsidRDefault="00AB4A10" w:rsidP="00AB4A10">
            <w:pPr>
              <w:spacing w:after="0" w:line="240" w:lineRule="auto"/>
              <w:jc w:val="center"/>
              <w:rPr>
                <w:rFonts w:eastAsia="Times New Roman" w:cs="Arial"/>
                <w:b/>
                <w:bCs/>
                <w:sz w:val="20"/>
                <w:lang w:eastAsia="sk-SK"/>
              </w:rPr>
            </w:pPr>
            <w:r w:rsidRPr="00AB4A10">
              <w:rPr>
                <w:rFonts w:eastAsia="Times New Roman" w:cs="Arial"/>
                <w:b/>
                <w:bCs/>
                <w:sz w:val="20"/>
                <w:lang w:eastAsia="sk-SK"/>
              </w:rPr>
              <w:t>Osoby so zdravotným postihnutím</w:t>
            </w:r>
          </w:p>
        </w:tc>
        <w:tc>
          <w:tcPr>
            <w:tcW w:w="1748" w:type="dxa"/>
            <w:tcBorders>
              <w:top w:val="single" w:sz="4" w:space="0" w:color="auto"/>
              <w:left w:val="nil"/>
              <w:bottom w:val="single" w:sz="4" w:space="0" w:color="auto"/>
              <w:right w:val="nil"/>
            </w:tcBorders>
            <w:shd w:val="clear" w:color="000000" w:fill="FFFFFF"/>
            <w:vAlign w:val="bottom"/>
            <w:hideMark/>
          </w:tcPr>
          <w:p w14:paraId="7F2B58F7" w14:textId="77777777" w:rsidR="00AB4A10" w:rsidRPr="00AB4A10" w:rsidRDefault="00AB4A10" w:rsidP="00AB4A10">
            <w:pPr>
              <w:spacing w:after="0" w:line="240" w:lineRule="auto"/>
              <w:jc w:val="center"/>
              <w:rPr>
                <w:rFonts w:eastAsia="Times New Roman" w:cs="Arial"/>
                <w:b/>
                <w:bCs/>
                <w:sz w:val="20"/>
                <w:lang w:eastAsia="sk-SK"/>
              </w:rPr>
            </w:pPr>
            <w:r w:rsidRPr="00AB4A10">
              <w:rPr>
                <w:rFonts w:eastAsia="Times New Roman" w:cs="Arial"/>
                <w:b/>
                <w:bCs/>
                <w:sz w:val="20"/>
                <w:lang w:eastAsia="sk-SK"/>
              </w:rPr>
              <w:t>Osamelé matky</w:t>
            </w:r>
          </w:p>
        </w:tc>
      </w:tr>
      <w:tr w:rsidR="00AB4A10" w:rsidRPr="00AB4A10" w14:paraId="376E5135" w14:textId="77777777" w:rsidTr="00D3189B">
        <w:trPr>
          <w:trHeight w:val="255"/>
        </w:trPr>
        <w:tc>
          <w:tcPr>
            <w:tcW w:w="3828" w:type="dxa"/>
            <w:tcBorders>
              <w:top w:val="nil"/>
              <w:left w:val="nil"/>
              <w:bottom w:val="nil"/>
              <w:right w:val="nil"/>
            </w:tcBorders>
            <w:shd w:val="clear" w:color="000000" w:fill="FFFFFF"/>
            <w:noWrap/>
            <w:vAlign w:val="bottom"/>
            <w:hideMark/>
          </w:tcPr>
          <w:p w14:paraId="492A7E5A" w14:textId="251EAD00" w:rsidR="00AB4A10" w:rsidRPr="00AB4A10" w:rsidRDefault="00F13B91" w:rsidP="00AB4A10">
            <w:pPr>
              <w:spacing w:after="0" w:line="240" w:lineRule="auto"/>
              <w:jc w:val="left"/>
              <w:rPr>
                <w:rFonts w:eastAsia="Times New Roman" w:cs="Arial"/>
                <w:sz w:val="20"/>
                <w:lang w:eastAsia="sk-SK"/>
              </w:rPr>
            </w:pPr>
            <w:r>
              <w:rPr>
                <w:rFonts w:eastAsia="Times New Roman" w:cs="Arial"/>
                <w:sz w:val="20"/>
                <w:lang w:eastAsia="sk-SK"/>
              </w:rPr>
              <w:t>Poradenské služby a a</w:t>
            </w:r>
            <w:r w:rsidR="00AB4A10" w:rsidRPr="00AB4A10">
              <w:rPr>
                <w:rFonts w:eastAsia="Times New Roman" w:cs="Arial"/>
                <w:sz w:val="20"/>
                <w:lang w:eastAsia="sk-SK"/>
              </w:rPr>
              <w:t>ktívne opatrenia trhu práce</w:t>
            </w:r>
          </w:p>
        </w:tc>
        <w:tc>
          <w:tcPr>
            <w:tcW w:w="1748" w:type="dxa"/>
            <w:tcBorders>
              <w:top w:val="nil"/>
              <w:left w:val="nil"/>
              <w:bottom w:val="nil"/>
              <w:right w:val="nil"/>
            </w:tcBorders>
            <w:shd w:val="clear" w:color="000000" w:fill="FFFFFF"/>
            <w:noWrap/>
            <w:vAlign w:val="bottom"/>
            <w:hideMark/>
          </w:tcPr>
          <w:p w14:paraId="7E3E1C3B" w14:textId="77777777" w:rsidR="00AB4A10" w:rsidRPr="00AB4A10" w:rsidRDefault="00AB4A10" w:rsidP="00AB4A10">
            <w:pPr>
              <w:spacing w:after="0" w:line="240" w:lineRule="auto"/>
              <w:jc w:val="center"/>
              <w:rPr>
                <w:rFonts w:eastAsia="Times New Roman" w:cs="Arial"/>
                <w:sz w:val="20"/>
                <w:lang w:eastAsia="sk-SK"/>
              </w:rPr>
            </w:pPr>
            <w:r w:rsidRPr="00AB4A10">
              <w:rPr>
                <w:rFonts w:eastAsia="Times New Roman" w:cs="Arial"/>
                <w:sz w:val="20"/>
                <w:lang w:eastAsia="sk-SK"/>
              </w:rPr>
              <w:t>x</w:t>
            </w:r>
          </w:p>
        </w:tc>
        <w:tc>
          <w:tcPr>
            <w:tcW w:w="1748" w:type="dxa"/>
            <w:tcBorders>
              <w:top w:val="nil"/>
              <w:left w:val="nil"/>
              <w:bottom w:val="nil"/>
              <w:right w:val="nil"/>
            </w:tcBorders>
            <w:shd w:val="clear" w:color="000000" w:fill="FFFFFF"/>
            <w:noWrap/>
            <w:vAlign w:val="bottom"/>
            <w:hideMark/>
          </w:tcPr>
          <w:p w14:paraId="2FCE05F6" w14:textId="77777777" w:rsidR="00AB4A10" w:rsidRPr="00AB4A10" w:rsidRDefault="00AB4A10" w:rsidP="00AB4A10">
            <w:pPr>
              <w:spacing w:after="0" w:line="240" w:lineRule="auto"/>
              <w:jc w:val="center"/>
              <w:rPr>
                <w:rFonts w:eastAsia="Times New Roman" w:cs="Arial"/>
                <w:sz w:val="20"/>
                <w:lang w:eastAsia="sk-SK"/>
              </w:rPr>
            </w:pPr>
            <w:r w:rsidRPr="00AB4A10">
              <w:rPr>
                <w:rFonts w:eastAsia="Times New Roman" w:cs="Arial"/>
                <w:sz w:val="20"/>
                <w:lang w:eastAsia="sk-SK"/>
              </w:rPr>
              <w:t>x</w:t>
            </w:r>
          </w:p>
        </w:tc>
        <w:tc>
          <w:tcPr>
            <w:tcW w:w="1748" w:type="dxa"/>
            <w:tcBorders>
              <w:top w:val="nil"/>
              <w:left w:val="nil"/>
              <w:bottom w:val="nil"/>
              <w:right w:val="nil"/>
            </w:tcBorders>
            <w:shd w:val="clear" w:color="000000" w:fill="FFFFFF"/>
            <w:noWrap/>
            <w:vAlign w:val="bottom"/>
            <w:hideMark/>
          </w:tcPr>
          <w:p w14:paraId="0DC77208" w14:textId="77777777" w:rsidR="00AB4A10" w:rsidRPr="00AB4A10" w:rsidRDefault="00AB4A10" w:rsidP="00AB4A10">
            <w:pPr>
              <w:spacing w:after="0" w:line="240" w:lineRule="auto"/>
              <w:jc w:val="center"/>
              <w:rPr>
                <w:rFonts w:eastAsia="Times New Roman" w:cs="Arial"/>
                <w:sz w:val="20"/>
                <w:lang w:eastAsia="sk-SK"/>
              </w:rPr>
            </w:pPr>
            <w:r w:rsidRPr="00AB4A10">
              <w:rPr>
                <w:rFonts w:eastAsia="Times New Roman" w:cs="Arial"/>
                <w:sz w:val="20"/>
                <w:lang w:eastAsia="sk-SK"/>
              </w:rPr>
              <w:t>x</w:t>
            </w:r>
          </w:p>
        </w:tc>
      </w:tr>
      <w:tr w:rsidR="00AB4A10" w:rsidRPr="00AB4A10" w14:paraId="52881792" w14:textId="77777777" w:rsidTr="00D3189B">
        <w:trPr>
          <w:trHeight w:val="255"/>
        </w:trPr>
        <w:tc>
          <w:tcPr>
            <w:tcW w:w="3828" w:type="dxa"/>
            <w:tcBorders>
              <w:top w:val="nil"/>
              <w:left w:val="nil"/>
              <w:bottom w:val="nil"/>
              <w:right w:val="nil"/>
            </w:tcBorders>
            <w:shd w:val="clear" w:color="000000" w:fill="FFFFFF"/>
            <w:noWrap/>
            <w:vAlign w:val="bottom"/>
            <w:hideMark/>
          </w:tcPr>
          <w:p w14:paraId="1E2E2FDA" w14:textId="772010EF" w:rsidR="00AB4A10" w:rsidRPr="00AB4A10" w:rsidRDefault="00C6200E" w:rsidP="00AB4A10">
            <w:pPr>
              <w:spacing w:after="0" w:line="240" w:lineRule="auto"/>
              <w:jc w:val="left"/>
              <w:rPr>
                <w:rFonts w:eastAsia="Times New Roman" w:cs="Arial"/>
                <w:sz w:val="20"/>
                <w:lang w:eastAsia="sk-SK"/>
              </w:rPr>
            </w:pPr>
            <w:r>
              <w:rPr>
                <w:rFonts w:eastAsia="Times New Roman" w:cs="Arial"/>
                <w:sz w:val="20"/>
                <w:lang w:eastAsia="sk-SK"/>
              </w:rPr>
              <w:t>Individuálna práca s</w:t>
            </w:r>
            <w:r w:rsidR="00BF5A4F">
              <w:rPr>
                <w:rFonts w:eastAsia="Times New Roman" w:cs="Arial"/>
                <w:sz w:val="20"/>
                <w:lang w:eastAsia="sk-SK"/>
              </w:rPr>
              <w:t> </w:t>
            </w:r>
            <w:r>
              <w:rPr>
                <w:rFonts w:eastAsia="Times New Roman" w:cs="Arial"/>
                <w:sz w:val="20"/>
                <w:lang w:eastAsia="sk-SK"/>
              </w:rPr>
              <w:t>klientom</w:t>
            </w:r>
          </w:p>
        </w:tc>
        <w:tc>
          <w:tcPr>
            <w:tcW w:w="1748" w:type="dxa"/>
            <w:tcBorders>
              <w:top w:val="nil"/>
              <w:left w:val="nil"/>
              <w:bottom w:val="nil"/>
              <w:right w:val="nil"/>
            </w:tcBorders>
            <w:shd w:val="clear" w:color="000000" w:fill="FFFFFF"/>
            <w:noWrap/>
            <w:vAlign w:val="bottom"/>
            <w:hideMark/>
          </w:tcPr>
          <w:p w14:paraId="6CEE909D" w14:textId="77777777" w:rsidR="00AB4A10" w:rsidRPr="00AB4A10" w:rsidRDefault="00AB4A10" w:rsidP="00AB4A10">
            <w:pPr>
              <w:spacing w:after="0" w:line="240" w:lineRule="auto"/>
              <w:jc w:val="center"/>
              <w:rPr>
                <w:rFonts w:eastAsia="Times New Roman" w:cs="Arial"/>
                <w:sz w:val="20"/>
                <w:lang w:eastAsia="sk-SK"/>
              </w:rPr>
            </w:pPr>
            <w:r w:rsidRPr="00AB4A10">
              <w:rPr>
                <w:rFonts w:eastAsia="Times New Roman" w:cs="Arial"/>
                <w:sz w:val="20"/>
                <w:lang w:eastAsia="sk-SK"/>
              </w:rPr>
              <w:t>x</w:t>
            </w:r>
          </w:p>
        </w:tc>
        <w:tc>
          <w:tcPr>
            <w:tcW w:w="1748" w:type="dxa"/>
            <w:tcBorders>
              <w:top w:val="nil"/>
              <w:left w:val="nil"/>
              <w:bottom w:val="nil"/>
              <w:right w:val="nil"/>
            </w:tcBorders>
            <w:shd w:val="clear" w:color="000000" w:fill="FFFFFF"/>
            <w:noWrap/>
            <w:vAlign w:val="bottom"/>
            <w:hideMark/>
          </w:tcPr>
          <w:p w14:paraId="172ECFBF" w14:textId="77777777" w:rsidR="00AB4A10" w:rsidRPr="00AB4A10" w:rsidRDefault="00AB4A10" w:rsidP="00AB4A10">
            <w:pPr>
              <w:spacing w:after="0" w:line="240" w:lineRule="auto"/>
              <w:jc w:val="center"/>
              <w:rPr>
                <w:rFonts w:eastAsia="Times New Roman" w:cs="Arial"/>
                <w:sz w:val="20"/>
                <w:lang w:eastAsia="sk-SK"/>
              </w:rPr>
            </w:pPr>
            <w:r w:rsidRPr="00AB4A10">
              <w:rPr>
                <w:rFonts w:eastAsia="Times New Roman" w:cs="Arial"/>
                <w:sz w:val="20"/>
                <w:lang w:eastAsia="sk-SK"/>
              </w:rPr>
              <w:t>x</w:t>
            </w:r>
          </w:p>
        </w:tc>
        <w:tc>
          <w:tcPr>
            <w:tcW w:w="1748" w:type="dxa"/>
            <w:tcBorders>
              <w:top w:val="nil"/>
              <w:left w:val="nil"/>
              <w:bottom w:val="nil"/>
              <w:right w:val="nil"/>
            </w:tcBorders>
            <w:shd w:val="clear" w:color="000000" w:fill="FFFFFF"/>
            <w:noWrap/>
            <w:vAlign w:val="bottom"/>
            <w:hideMark/>
          </w:tcPr>
          <w:p w14:paraId="79E49DD6" w14:textId="188B948A" w:rsidR="00AB4A10" w:rsidRPr="00AB4A10" w:rsidRDefault="009873AC" w:rsidP="00AB4A10">
            <w:pPr>
              <w:spacing w:after="0" w:line="240" w:lineRule="auto"/>
              <w:jc w:val="center"/>
              <w:rPr>
                <w:rFonts w:eastAsia="Times New Roman" w:cs="Arial"/>
                <w:sz w:val="20"/>
                <w:lang w:eastAsia="sk-SK"/>
              </w:rPr>
            </w:pPr>
            <w:r>
              <w:rPr>
                <w:rFonts w:eastAsia="Times New Roman" w:cs="Arial"/>
                <w:sz w:val="20"/>
                <w:lang w:eastAsia="sk-SK"/>
              </w:rPr>
              <w:t>x</w:t>
            </w:r>
          </w:p>
        </w:tc>
      </w:tr>
      <w:tr w:rsidR="00AB4A10" w:rsidRPr="00AB4A10" w14:paraId="4EEA8AFE" w14:textId="77777777" w:rsidTr="00D3189B">
        <w:trPr>
          <w:trHeight w:val="255"/>
        </w:trPr>
        <w:tc>
          <w:tcPr>
            <w:tcW w:w="3828" w:type="dxa"/>
            <w:tcBorders>
              <w:top w:val="nil"/>
              <w:left w:val="nil"/>
              <w:bottom w:val="nil"/>
              <w:right w:val="nil"/>
            </w:tcBorders>
            <w:shd w:val="clear" w:color="000000" w:fill="FFFFFF"/>
            <w:noWrap/>
            <w:vAlign w:val="bottom"/>
            <w:hideMark/>
          </w:tcPr>
          <w:p w14:paraId="49FD2D8E" w14:textId="36555CE9" w:rsidR="00AB4A10" w:rsidRPr="00AB4A10" w:rsidRDefault="00966FB7">
            <w:pPr>
              <w:spacing w:after="0" w:line="240" w:lineRule="auto"/>
              <w:jc w:val="left"/>
              <w:rPr>
                <w:rFonts w:eastAsia="Times New Roman" w:cs="Arial"/>
                <w:sz w:val="20"/>
                <w:lang w:eastAsia="sk-SK"/>
              </w:rPr>
            </w:pPr>
            <w:r>
              <w:rPr>
                <w:rFonts w:eastAsia="Times New Roman" w:cs="Arial"/>
                <w:sz w:val="20"/>
                <w:lang w:eastAsia="sk-SK"/>
              </w:rPr>
              <w:t>I</w:t>
            </w:r>
            <w:r w:rsidR="00F13B91">
              <w:rPr>
                <w:rFonts w:eastAsia="Times New Roman" w:cs="Arial"/>
                <w:sz w:val="20"/>
                <w:lang w:eastAsia="sk-SK"/>
              </w:rPr>
              <w:t xml:space="preserve">ntegračné </w:t>
            </w:r>
            <w:r>
              <w:rPr>
                <w:rFonts w:eastAsia="Times New Roman" w:cs="Arial"/>
                <w:sz w:val="20"/>
                <w:lang w:eastAsia="sk-SK"/>
              </w:rPr>
              <w:t xml:space="preserve">sociálne </w:t>
            </w:r>
            <w:r w:rsidR="00F13B91">
              <w:rPr>
                <w:rFonts w:eastAsia="Times New Roman" w:cs="Arial"/>
                <w:sz w:val="20"/>
                <w:lang w:eastAsia="sk-SK"/>
              </w:rPr>
              <w:t>podniky</w:t>
            </w:r>
          </w:p>
        </w:tc>
        <w:tc>
          <w:tcPr>
            <w:tcW w:w="1748" w:type="dxa"/>
            <w:tcBorders>
              <w:top w:val="nil"/>
              <w:left w:val="nil"/>
              <w:bottom w:val="nil"/>
              <w:right w:val="nil"/>
            </w:tcBorders>
            <w:shd w:val="clear" w:color="000000" w:fill="FFFFFF"/>
            <w:noWrap/>
            <w:vAlign w:val="bottom"/>
            <w:hideMark/>
          </w:tcPr>
          <w:p w14:paraId="10C9818C" w14:textId="77777777" w:rsidR="00AB4A10" w:rsidRPr="00AB4A10" w:rsidRDefault="00AB4A10" w:rsidP="00AB4A10">
            <w:pPr>
              <w:spacing w:after="0" w:line="240" w:lineRule="auto"/>
              <w:jc w:val="center"/>
              <w:rPr>
                <w:rFonts w:eastAsia="Times New Roman" w:cs="Arial"/>
                <w:sz w:val="20"/>
                <w:lang w:eastAsia="sk-SK"/>
              </w:rPr>
            </w:pPr>
            <w:r w:rsidRPr="00AB4A10">
              <w:rPr>
                <w:rFonts w:eastAsia="Times New Roman" w:cs="Arial"/>
                <w:sz w:val="20"/>
                <w:lang w:eastAsia="sk-SK"/>
              </w:rPr>
              <w:t>x</w:t>
            </w:r>
          </w:p>
        </w:tc>
        <w:tc>
          <w:tcPr>
            <w:tcW w:w="1748" w:type="dxa"/>
            <w:tcBorders>
              <w:top w:val="nil"/>
              <w:left w:val="nil"/>
              <w:bottom w:val="nil"/>
              <w:right w:val="nil"/>
            </w:tcBorders>
            <w:shd w:val="clear" w:color="000000" w:fill="FFFFFF"/>
            <w:noWrap/>
            <w:vAlign w:val="bottom"/>
            <w:hideMark/>
          </w:tcPr>
          <w:p w14:paraId="1D7B8CFC" w14:textId="77777777" w:rsidR="00AB4A10" w:rsidRPr="00AB4A10" w:rsidRDefault="00AB4A10" w:rsidP="00AB4A10">
            <w:pPr>
              <w:spacing w:after="0" w:line="240" w:lineRule="auto"/>
              <w:jc w:val="center"/>
              <w:rPr>
                <w:rFonts w:eastAsia="Times New Roman" w:cs="Arial"/>
                <w:sz w:val="20"/>
                <w:lang w:eastAsia="sk-SK"/>
              </w:rPr>
            </w:pPr>
            <w:r w:rsidRPr="00AB4A10">
              <w:rPr>
                <w:rFonts w:eastAsia="Times New Roman" w:cs="Arial"/>
                <w:sz w:val="20"/>
                <w:lang w:eastAsia="sk-SK"/>
              </w:rPr>
              <w:t>x</w:t>
            </w:r>
          </w:p>
        </w:tc>
        <w:tc>
          <w:tcPr>
            <w:tcW w:w="1748" w:type="dxa"/>
            <w:tcBorders>
              <w:top w:val="nil"/>
              <w:left w:val="nil"/>
              <w:bottom w:val="nil"/>
              <w:right w:val="nil"/>
            </w:tcBorders>
            <w:shd w:val="clear" w:color="000000" w:fill="FFFFFF"/>
            <w:noWrap/>
            <w:vAlign w:val="bottom"/>
            <w:hideMark/>
          </w:tcPr>
          <w:p w14:paraId="27DC7112" w14:textId="24368827" w:rsidR="00AB4A10" w:rsidRPr="00AB4A10" w:rsidRDefault="00882ACF" w:rsidP="00AB4A10">
            <w:pPr>
              <w:spacing w:after="0" w:line="240" w:lineRule="auto"/>
              <w:jc w:val="center"/>
              <w:rPr>
                <w:rFonts w:eastAsia="Times New Roman" w:cs="Arial"/>
                <w:sz w:val="20"/>
                <w:lang w:eastAsia="sk-SK"/>
              </w:rPr>
            </w:pPr>
            <w:r>
              <w:rPr>
                <w:rFonts w:eastAsia="Times New Roman" w:cs="Arial"/>
                <w:sz w:val="20"/>
                <w:lang w:eastAsia="sk-SK"/>
              </w:rPr>
              <w:t>x</w:t>
            </w:r>
          </w:p>
        </w:tc>
      </w:tr>
      <w:tr w:rsidR="00AB4A10" w:rsidRPr="00AB4A10" w14:paraId="496B01C5" w14:textId="77777777" w:rsidTr="00D3189B">
        <w:trPr>
          <w:trHeight w:val="255"/>
        </w:trPr>
        <w:tc>
          <w:tcPr>
            <w:tcW w:w="3828" w:type="dxa"/>
            <w:tcBorders>
              <w:top w:val="nil"/>
              <w:left w:val="nil"/>
              <w:bottom w:val="nil"/>
              <w:right w:val="nil"/>
            </w:tcBorders>
            <w:shd w:val="clear" w:color="000000" w:fill="FFFFFF"/>
            <w:noWrap/>
            <w:vAlign w:val="bottom"/>
            <w:hideMark/>
          </w:tcPr>
          <w:p w14:paraId="16E308BE" w14:textId="77777777" w:rsidR="00AB4A10" w:rsidRPr="00AB4A10" w:rsidRDefault="00AB4A10" w:rsidP="00AB4A10">
            <w:pPr>
              <w:spacing w:after="0" w:line="240" w:lineRule="auto"/>
              <w:jc w:val="left"/>
              <w:rPr>
                <w:rFonts w:eastAsia="Times New Roman" w:cs="Arial"/>
                <w:sz w:val="20"/>
                <w:lang w:eastAsia="sk-SK"/>
              </w:rPr>
            </w:pPr>
            <w:r w:rsidRPr="00AB4A10">
              <w:rPr>
                <w:rFonts w:eastAsia="Times New Roman" w:cs="Arial"/>
                <w:sz w:val="20"/>
                <w:lang w:eastAsia="sk-SK"/>
              </w:rPr>
              <w:t>Zákonná povinnosť zamestnávať OZP</w:t>
            </w:r>
          </w:p>
        </w:tc>
        <w:tc>
          <w:tcPr>
            <w:tcW w:w="1748" w:type="dxa"/>
            <w:tcBorders>
              <w:top w:val="nil"/>
              <w:left w:val="nil"/>
              <w:bottom w:val="nil"/>
              <w:right w:val="nil"/>
            </w:tcBorders>
            <w:shd w:val="clear" w:color="000000" w:fill="FFFFFF"/>
            <w:noWrap/>
            <w:vAlign w:val="bottom"/>
            <w:hideMark/>
          </w:tcPr>
          <w:p w14:paraId="1ED32C07" w14:textId="77777777" w:rsidR="00AB4A10" w:rsidRPr="00AB4A10" w:rsidRDefault="00AB4A10" w:rsidP="00AB4A10">
            <w:pPr>
              <w:spacing w:after="0" w:line="240" w:lineRule="auto"/>
              <w:jc w:val="center"/>
              <w:rPr>
                <w:rFonts w:eastAsia="Times New Roman" w:cs="Arial"/>
                <w:sz w:val="20"/>
                <w:lang w:eastAsia="sk-SK"/>
              </w:rPr>
            </w:pPr>
            <w:r w:rsidRPr="00AB4A10">
              <w:rPr>
                <w:rFonts w:eastAsia="Times New Roman" w:cs="Arial"/>
                <w:sz w:val="20"/>
                <w:lang w:eastAsia="sk-SK"/>
              </w:rPr>
              <w:t> </w:t>
            </w:r>
          </w:p>
        </w:tc>
        <w:tc>
          <w:tcPr>
            <w:tcW w:w="1748" w:type="dxa"/>
            <w:tcBorders>
              <w:top w:val="nil"/>
              <w:left w:val="nil"/>
              <w:bottom w:val="nil"/>
              <w:right w:val="nil"/>
            </w:tcBorders>
            <w:shd w:val="clear" w:color="000000" w:fill="FFFFFF"/>
            <w:noWrap/>
            <w:vAlign w:val="bottom"/>
            <w:hideMark/>
          </w:tcPr>
          <w:p w14:paraId="264CDB91" w14:textId="77777777" w:rsidR="00AB4A10" w:rsidRPr="00AB4A10" w:rsidRDefault="00AB4A10" w:rsidP="00AB4A10">
            <w:pPr>
              <w:spacing w:after="0" w:line="240" w:lineRule="auto"/>
              <w:jc w:val="center"/>
              <w:rPr>
                <w:rFonts w:eastAsia="Times New Roman" w:cs="Arial"/>
                <w:sz w:val="20"/>
                <w:lang w:eastAsia="sk-SK"/>
              </w:rPr>
            </w:pPr>
            <w:r w:rsidRPr="00AB4A10">
              <w:rPr>
                <w:rFonts w:eastAsia="Times New Roman" w:cs="Arial"/>
                <w:sz w:val="20"/>
                <w:lang w:eastAsia="sk-SK"/>
              </w:rPr>
              <w:t>x</w:t>
            </w:r>
          </w:p>
        </w:tc>
        <w:tc>
          <w:tcPr>
            <w:tcW w:w="1748" w:type="dxa"/>
            <w:tcBorders>
              <w:top w:val="nil"/>
              <w:left w:val="nil"/>
              <w:bottom w:val="nil"/>
              <w:right w:val="nil"/>
            </w:tcBorders>
            <w:shd w:val="clear" w:color="000000" w:fill="FFFFFF"/>
            <w:noWrap/>
            <w:vAlign w:val="bottom"/>
            <w:hideMark/>
          </w:tcPr>
          <w:p w14:paraId="6D90070A" w14:textId="77777777" w:rsidR="00AB4A10" w:rsidRPr="00AB4A10" w:rsidRDefault="00AB4A10" w:rsidP="00AB4A10">
            <w:pPr>
              <w:spacing w:after="0" w:line="240" w:lineRule="auto"/>
              <w:jc w:val="center"/>
              <w:rPr>
                <w:rFonts w:eastAsia="Times New Roman" w:cs="Arial"/>
                <w:sz w:val="20"/>
                <w:lang w:eastAsia="sk-SK"/>
              </w:rPr>
            </w:pPr>
            <w:r w:rsidRPr="00AB4A10">
              <w:rPr>
                <w:rFonts w:eastAsia="Times New Roman" w:cs="Arial"/>
                <w:sz w:val="20"/>
                <w:lang w:eastAsia="sk-SK"/>
              </w:rPr>
              <w:t> </w:t>
            </w:r>
          </w:p>
        </w:tc>
      </w:tr>
      <w:tr w:rsidR="00AB4A10" w:rsidRPr="00AB4A10" w14:paraId="79CA342D" w14:textId="77777777" w:rsidTr="00D3189B">
        <w:trPr>
          <w:trHeight w:val="255"/>
        </w:trPr>
        <w:tc>
          <w:tcPr>
            <w:tcW w:w="3828" w:type="dxa"/>
            <w:tcBorders>
              <w:top w:val="nil"/>
              <w:left w:val="nil"/>
              <w:bottom w:val="nil"/>
              <w:right w:val="nil"/>
            </w:tcBorders>
            <w:shd w:val="clear" w:color="000000" w:fill="FFFFFF"/>
            <w:noWrap/>
            <w:vAlign w:val="bottom"/>
            <w:hideMark/>
          </w:tcPr>
          <w:p w14:paraId="292FB537" w14:textId="77777777" w:rsidR="00AB4A10" w:rsidRPr="00AB4A10" w:rsidRDefault="00AB4A10" w:rsidP="00AB4A10">
            <w:pPr>
              <w:spacing w:after="0" w:line="240" w:lineRule="auto"/>
              <w:jc w:val="left"/>
              <w:rPr>
                <w:rFonts w:eastAsia="Times New Roman" w:cs="Arial"/>
                <w:sz w:val="20"/>
                <w:lang w:eastAsia="sk-SK"/>
              </w:rPr>
            </w:pPr>
            <w:r w:rsidRPr="00AB4A10">
              <w:rPr>
                <w:rFonts w:eastAsia="Times New Roman" w:cs="Arial"/>
                <w:sz w:val="20"/>
                <w:lang w:eastAsia="sk-SK"/>
              </w:rPr>
              <w:t>Pracovná rehabilitácia a rekvalifikácia</w:t>
            </w:r>
          </w:p>
        </w:tc>
        <w:tc>
          <w:tcPr>
            <w:tcW w:w="1748" w:type="dxa"/>
            <w:tcBorders>
              <w:top w:val="nil"/>
              <w:left w:val="nil"/>
              <w:bottom w:val="nil"/>
              <w:right w:val="nil"/>
            </w:tcBorders>
            <w:shd w:val="clear" w:color="000000" w:fill="FFFFFF"/>
            <w:noWrap/>
            <w:vAlign w:val="bottom"/>
            <w:hideMark/>
          </w:tcPr>
          <w:p w14:paraId="2647BFDF" w14:textId="77777777" w:rsidR="00AB4A10" w:rsidRPr="00AB4A10" w:rsidRDefault="00AB4A10" w:rsidP="00AB4A10">
            <w:pPr>
              <w:spacing w:after="0" w:line="240" w:lineRule="auto"/>
              <w:jc w:val="center"/>
              <w:rPr>
                <w:rFonts w:eastAsia="Times New Roman" w:cs="Arial"/>
                <w:sz w:val="20"/>
                <w:lang w:eastAsia="sk-SK"/>
              </w:rPr>
            </w:pPr>
            <w:r w:rsidRPr="00AB4A10">
              <w:rPr>
                <w:rFonts w:eastAsia="Times New Roman" w:cs="Arial"/>
                <w:sz w:val="20"/>
                <w:lang w:eastAsia="sk-SK"/>
              </w:rPr>
              <w:t> </w:t>
            </w:r>
          </w:p>
        </w:tc>
        <w:tc>
          <w:tcPr>
            <w:tcW w:w="1748" w:type="dxa"/>
            <w:tcBorders>
              <w:top w:val="nil"/>
              <w:left w:val="nil"/>
              <w:bottom w:val="nil"/>
              <w:right w:val="nil"/>
            </w:tcBorders>
            <w:shd w:val="clear" w:color="000000" w:fill="FFFFFF"/>
            <w:noWrap/>
            <w:vAlign w:val="bottom"/>
            <w:hideMark/>
          </w:tcPr>
          <w:p w14:paraId="29988D07" w14:textId="77777777" w:rsidR="00AB4A10" w:rsidRPr="00AB4A10" w:rsidRDefault="00AB4A10" w:rsidP="00AB4A10">
            <w:pPr>
              <w:spacing w:after="0" w:line="240" w:lineRule="auto"/>
              <w:jc w:val="center"/>
              <w:rPr>
                <w:rFonts w:eastAsia="Times New Roman" w:cs="Arial"/>
                <w:sz w:val="20"/>
                <w:lang w:eastAsia="sk-SK"/>
              </w:rPr>
            </w:pPr>
            <w:r w:rsidRPr="00AB4A10">
              <w:rPr>
                <w:rFonts w:eastAsia="Times New Roman" w:cs="Arial"/>
                <w:sz w:val="20"/>
                <w:lang w:eastAsia="sk-SK"/>
              </w:rPr>
              <w:t>x</w:t>
            </w:r>
          </w:p>
        </w:tc>
        <w:tc>
          <w:tcPr>
            <w:tcW w:w="1748" w:type="dxa"/>
            <w:tcBorders>
              <w:top w:val="nil"/>
              <w:left w:val="nil"/>
              <w:bottom w:val="nil"/>
              <w:right w:val="nil"/>
            </w:tcBorders>
            <w:shd w:val="clear" w:color="000000" w:fill="FFFFFF"/>
            <w:noWrap/>
            <w:vAlign w:val="bottom"/>
            <w:hideMark/>
          </w:tcPr>
          <w:p w14:paraId="5C67162A" w14:textId="77777777" w:rsidR="00AB4A10" w:rsidRPr="00AB4A10" w:rsidRDefault="00AB4A10" w:rsidP="00AB4A10">
            <w:pPr>
              <w:spacing w:after="0" w:line="240" w:lineRule="auto"/>
              <w:jc w:val="center"/>
              <w:rPr>
                <w:rFonts w:eastAsia="Times New Roman" w:cs="Arial"/>
                <w:sz w:val="20"/>
                <w:lang w:eastAsia="sk-SK"/>
              </w:rPr>
            </w:pPr>
            <w:r w:rsidRPr="00AB4A10">
              <w:rPr>
                <w:rFonts w:eastAsia="Times New Roman" w:cs="Arial"/>
                <w:sz w:val="20"/>
                <w:lang w:eastAsia="sk-SK"/>
              </w:rPr>
              <w:t> </w:t>
            </w:r>
          </w:p>
        </w:tc>
      </w:tr>
      <w:tr w:rsidR="00AB4A10" w:rsidRPr="00AB4A10" w14:paraId="44EF0639" w14:textId="77777777" w:rsidTr="00D948EE">
        <w:trPr>
          <w:trHeight w:val="255"/>
        </w:trPr>
        <w:tc>
          <w:tcPr>
            <w:tcW w:w="3828" w:type="dxa"/>
            <w:tcBorders>
              <w:top w:val="nil"/>
              <w:left w:val="nil"/>
              <w:right w:val="nil"/>
            </w:tcBorders>
            <w:shd w:val="clear" w:color="000000" w:fill="FFFFFF"/>
            <w:noWrap/>
            <w:vAlign w:val="bottom"/>
            <w:hideMark/>
          </w:tcPr>
          <w:p w14:paraId="5D40AA44" w14:textId="76F1B4BC" w:rsidR="00AB4A10" w:rsidRPr="00AB4A10" w:rsidRDefault="00AB4A10" w:rsidP="00AB4A10">
            <w:pPr>
              <w:spacing w:after="0" w:line="240" w:lineRule="auto"/>
              <w:jc w:val="left"/>
              <w:rPr>
                <w:rFonts w:eastAsia="Times New Roman" w:cs="Arial"/>
                <w:sz w:val="20"/>
                <w:lang w:eastAsia="sk-SK"/>
              </w:rPr>
            </w:pPr>
            <w:r>
              <w:rPr>
                <w:rFonts w:eastAsia="Times New Roman" w:cs="Arial"/>
                <w:sz w:val="20"/>
                <w:lang w:eastAsia="sk-SK"/>
              </w:rPr>
              <w:t>Zosúlaďovanie pracovného</w:t>
            </w:r>
            <w:r w:rsidRPr="00AB4A10">
              <w:rPr>
                <w:rFonts w:eastAsia="Times New Roman" w:cs="Arial"/>
                <w:sz w:val="20"/>
                <w:lang w:eastAsia="sk-SK"/>
              </w:rPr>
              <w:t xml:space="preserve"> a rodinného života</w:t>
            </w:r>
          </w:p>
        </w:tc>
        <w:tc>
          <w:tcPr>
            <w:tcW w:w="1748" w:type="dxa"/>
            <w:tcBorders>
              <w:top w:val="nil"/>
              <w:left w:val="nil"/>
              <w:right w:val="nil"/>
            </w:tcBorders>
            <w:shd w:val="clear" w:color="000000" w:fill="FFFFFF"/>
            <w:noWrap/>
            <w:vAlign w:val="bottom"/>
            <w:hideMark/>
          </w:tcPr>
          <w:p w14:paraId="14D0DFBA" w14:textId="77777777" w:rsidR="00AB4A10" w:rsidRPr="00AB4A10" w:rsidRDefault="00AB4A10" w:rsidP="00AB4A10">
            <w:pPr>
              <w:spacing w:after="0" w:line="240" w:lineRule="auto"/>
              <w:jc w:val="center"/>
              <w:rPr>
                <w:rFonts w:eastAsia="Times New Roman" w:cs="Arial"/>
                <w:sz w:val="20"/>
                <w:lang w:eastAsia="sk-SK"/>
              </w:rPr>
            </w:pPr>
            <w:r w:rsidRPr="00AB4A10">
              <w:rPr>
                <w:rFonts w:eastAsia="Times New Roman" w:cs="Arial"/>
                <w:sz w:val="20"/>
                <w:lang w:eastAsia="sk-SK"/>
              </w:rPr>
              <w:t> </w:t>
            </w:r>
          </w:p>
        </w:tc>
        <w:tc>
          <w:tcPr>
            <w:tcW w:w="1748" w:type="dxa"/>
            <w:tcBorders>
              <w:top w:val="nil"/>
              <w:left w:val="nil"/>
              <w:right w:val="nil"/>
            </w:tcBorders>
            <w:shd w:val="clear" w:color="000000" w:fill="FFFFFF"/>
            <w:noWrap/>
            <w:vAlign w:val="bottom"/>
            <w:hideMark/>
          </w:tcPr>
          <w:p w14:paraId="2C23A110" w14:textId="77777777" w:rsidR="00AB4A10" w:rsidRPr="00AB4A10" w:rsidRDefault="00AB4A10" w:rsidP="00AB4A10">
            <w:pPr>
              <w:spacing w:after="0" w:line="240" w:lineRule="auto"/>
              <w:jc w:val="center"/>
              <w:rPr>
                <w:rFonts w:eastAsia="Times New Roman" w:cs="Arial"/>
                <w:sz w:val="20"/>
                <w:lang w:eastAsia="sk-SK"/>
              </w:rPr>
            </w:pPr>
            <w:r w:rsidRPr="00AB4A10">
              <w:rPr>
                <w:rFonts w:eastAsia="Times New Roman" w:cs="Arial"/>
                <w:sz w:val="20"/>
                <w:lang w:eastAsia="sk-SK"/>
              </w:rPr>
              <w:t> </w:t>
            </w:r>
          </w:p>
        </w:tc>
        <w:tc>
          <w:tcPr>
            <w:tcW w:w="1748" w:type="dxa"/>
            <w:tcBorders>
              <w:top w:val="nil"/>
              <w:left w:val="nil"/>
              <w:right w:val="nil"/>
            </w:tcBorders>
            <w:shd w:val="clear" w:color="000000" w:fill="FFFFFF"/>
            <w:noWrap/>
            <w:vAlign w:val="bottom"/>
            <w:hideMark/>
          </w:tcPr>
          <w:p w14:paraId="6DE6A905" w14:textId="77777777" w:rsidR="00AB4A10" w:rsidRPr="00AB4A10" w:rsidRDefault="00AB4A10" w:rsidP="00AB4A10">
            <w:pPr>
              <w:spacing w:after="0" w:line="240" w:lineRule="auto"/>
              <w:jc w:val="center"/>
              <w:rPr>
                <w:rFonts w:eastAsia="Times New Roman" w:cs="Arial"/>
                <w:sz w:val="20"/>
                <w:lang w:eastAsia="sk-SK"/>
              </w:rPr>
            </w:pPr>
            <w:r w:rsidRPr="00AB4A10">
              <w:rPr>
                <w:rFonts w:eastAsia="Times New Roman" w:cs="Arial"/>
                <w:sz w:val="20"/>
                <w:lang w:eastAsia="sk-SK"/>
              </w:rPr>
              <w:t>x</w:t>
            </w:r>
          </w:p>
        </w:tc>
      </w:tr>
      <w:tr w:rsidR="008A326A" w:rsidRPr="00AB4A10" w14:paraId="6AA63C74" w14:textId="77777777" w:rsidTr="00D948EE">
        <w:trPr>
          <w:trHeight w:val="255"/>
        </w:trPr>
        <w:tc>
          <w:tcPr>
            <w:tcW w:w="3828" w:type="dxa"/>
            <w:tcBorders>
              <w:top w:val="nil"/>
              <w:left w:val="nil"/>
              <w:bottom w:val="single" w:sz="4" w:space="0" w:color="auto"/>
              <w:right w:val="nil"/>
            </w:tcBorders>
            <w:shd w:val="clear" w:color="000000" w:fill="FFFFFF"/>
            <w:noWrap/>
            <w:vAlign w:val="bottom"/>
          </w:tcPr>
          <w:p w14:paraId="22EF5D49" w14:textId="2E3988EA" w:rsidR="008A326A" w:rsidRDefault="008A326A" w:rsidP="00AB4A10">
            <w:pPr>
              <w:spacing w:after="0" w:line="240" w:lineRule="auto"/>
              <w:jc w:val="left"/>
              <w:rPr>
                <w:rFonts w:eastAsia="Times New Roman" w:cs="Arial"/>
                <w:sz w:val="20"/>
                <w:lang w:eastAsia="sk-SK"/>
              </w:rPr>
            </w:pPr>
            <w:r>
              <w:rPr>
                <w:rFonts w:eastAsia="Times New Roman" w:cs="Arial"/>
                <w:sz w:val="20"/>
                <w:lang w:eastAsia="sk-SK"/>
              </w:rPr>
              <w:t>Osobný bankrot</w:t>
            </w:r>
          </w:p>
        </w:tc>
        <w:tc>
          <w:tcPr>
            <w:tcW w:w="1748" w:type="dxa"/>
            <w:tcBorders>
              <w:top w:val="nil"/>
              <w:left w:val="nil"/>
              <w:bottom w:val="single" w:sz="4" w:space="0" w:color="auto"/>
              <w:right w:val="nil"/>
            </w:tcBorders>
            <w:shd w:val="clear" w:color="000000" w:fill="FFFFFF"/>
            <w:noWrap/>
            <w:vAlign w:val="bottom"/>
          </w:tcPr>
          <w:p w14:paraId="53DA75C3" w14:textId="066A11CD" w:rsidR="008A326A" w:rsidRPr="00AB4A10" w:rsidRDefault="008A326A" w:rsidP="00AB4A10">
            <w:pPr>
              <w:spacing w:after="0" w:line="240" w:lineRule="auto"/>
              <w:jc w:val="center"/>
              <w:rPr>
                <w:rFonts w:eastAsia="Times New Roman" w:cs="Arial"/>
                <w:sz w:val="20"/>
                <w:lang w:eastAsia="sk-SK"/>
              </w:rPr>
            </w:pPr>
            <w:r>
              <w:rPr>
                <w:rFonts w:eastAsia="Times New Roman" w:cs="Arial"/>
                <w:sz w:val="20"/>
                <w:lang w:eastAsia="sk-SK"/>
              </w:rPr>
              <w:t>x</w:t>
            </w:r>
          </w:p>
        </w:tc>
        <w:tc>
          <w:tcPr>
            <w:tcW w:w="1748" w:type="dxa"/>
            <w:tcBorders>
              <w:top w:val="nil"/>
              <w:left w:val="nil"/>
              <w:bottom w:val="single" w:sz="4" w:space="0" w:color="auto"/>
              <w:right w:val="nil"/>
            </w:tcBorders>
            <w:shd w:val="clear" w:color="000000" w:fill="FFFFFF"/>
            <w:noWrap/>
            <w:vAlign w:val="bottom"/>
          </w:tcPr>
          <w:p w14:paraId="7EE4952D" w14:textId="77777777" w:rsidR="008A326A" w:rsidRPr="00AB4A10" w:rsidRDefault="008A326A" w:rsidP="00AB4A10">
            <w:pPr>
              <w:spacing w:after="0" w:line="240" w:lineRule="auto"/>
              <w:jc w:val="center"/>
              <w:rPr>
                <w:rFonts w:eastAsia="Times New Roman" w:cs="Arial"/>
                <w:sz w:val="20"/>
                <w:lang w:eastAsia="sk-SK"/>
              </w:rPr>
            </w:pPr>
          </w:p>
        </w:tc>
        <w:tc>
          <w:tcPr>
            <w:tcW w:w="1748" w:type="dxa"/>
            <w:tcBorders>
              <w:top w:val="nil"/>
              <w:left w:val="nil"/>
              <w:bottom w:val="single" w:sz="4" w:space="0" w:color="auto"/>
              <w:right w:val="nil"/>
            </w:tcBorders>
            <w:shd w:val="clear" w:color="000000" w:fill="FFFFFF"/>
            <w:noWrap/>
            <w:vAlign w:val="bottom"/>
          </w:tcPr>
          <w:p w14:paraId="223BC94C" w14:textId="77777777" w:rsidR="008A326A" w:rsidRPr="00AB4A10" w:rsidRDefault="008A326A" w:rsidP="00AB4A10">
            <w:pPr>
              <w:spacing w:after="0" w:line="240" w:lineRule="auto"/>
              <w:jc w:val="center"/>
              <w:rPr>
                <w:rFonts w:eastAsia="Times New Roman" w:cs="Arial"/>
                <w:sz w:val="20"/>
                <w:lang w:eastAsia="sk-SK"/>
              </w:rPr>
            </w:pPr>
          </w:p>
        </w:tc>
      </w:tr>
      <w:tr w:rsidR="00D948EE" w:rsidRPr="00AB4A10" w14:paraId="75A2FBCE" w14:textId="77777777" w:rsidTr="00914ABF">
        <w:trPr>
          <w:trHeight w:val="255"/>
        </w:trPr>
        <w:tc>
          <w:tcPr>
            <w:tcW w:w="9072" w:type="dxa"/>
            <w:gridSpan w:val="4"/>
            <w:tcBorders>
              <w:top w:val="single" w:sz="4" w:space="0" w:color="auto"/>
              <w:left w:val="nil"/>
              <w:right w:val="nil"/>
            </w:tcBorders>
            <w:shd w:val="clear" w:color="000000" w:fill="FFFFFF"/>
            <w:noWrap/>
            <w:vAlign w:val="bottom"/>
          </w:tcPr>
          <w:p w14:paraId="52252255" w14:textId="2CF14669" w:rsidR="00D948EE" w:rsidRPr="00D948EE" w:rsidRDefault="00D948EE" w:rsidP="00D948EE">
            <w:pPr>
              <w:spacing w:after="0" w:line="240" w:lineRule="auto"/>
              <w:jc w:val="right"/>
              <w:rPr>
                <w:rFonts w:eastAsia="Times New Roman" w:cs="Arial"/>
                <w:i/>
                <w:sz w:val="18"/>
                <w:lang w:eastAsia="sk-SK"/>
              </w:rPr>
            </w:pPr>
            <w:r>
              <w:rPr>
                <w:rFonts w:eastAsia="Times New Roman" w:cs="Arial"/>
                <w:i/>
                <w:sz w:val="18"/>
                <w:lang w:eastAsia="sk-SK"/>
              </w:rPr>
              <w:t>Zdroj: ÚHP</w:t>
            </w:r>
          </w:p>
        </w:tc>
      </w:tr>
    </w:tbl>
    <w:p w14:paraId="45FDE776" w14:textId="5C665806" w:rsidR="00E335A4" w:rsidRDefault="00E335A4" w:rsidP="00E335A4">
      <w:pPr>
        <w:pStyle w:val="Nadpis2"/>
        <w:spacing w:before="240"/>
      </w:pPr>
      <w:bookmarkStart w:id="473" w:name="_Toc19464812"/>
      <w:bookmarkStart w:id="474" w:name="_Toc19468405"/>
      <w:bookmarkStart w:id="475" w:name="_Toc19515753"/>
      <w:bookmarkStart w:id="476" w:name="_Toc19517802"/>
      <w:bookmarkStart w:id="477" w:name="_Toc19531852"/>
      <w:bookmarkStart w:id="478" w:name="_Toc19539874"/>
      <w:bookmarkStart w:id="479" w:name="_Toc19686806"/>
      <w:bookmarkStart w:id="480" w:name="_Toc19711451"/>
      <w:bookmarkStart w:id="481" w:name="_Toc19711667"/>
      <w:bookmarkStart w:id="482" w:name="_Toc19723881"/>
      <w:bookmarkStart w:id="483" w:name="_Toc19880142"/>
      <w:bookmarkStart w:id="484" w:name="_Toc19881462"/>
      <w:bookmarkStart w:id="485" w:name="_Toc19885908"/>
      <w:bookmarkStart w:id="486" w:name="_Toc19939922"/>
      <w:bookmarkStart w:id="487" w:name="_Toc19941493"/>
      <w:bookmarkStart w:id="488" w:name="_Toc19944162"/>
      <w:bookmarkStart w:id="489" w:name="_Toc20048397"/>
      <w:bookmarkStart w:id="490" w:name="_Toc20064932"/>
      <w:bookmarkStart w:id="491" w:name="_Toc20153878"/>
      <w:bookmarkStart w:id="492" w:name="_Toc20154679"/>
      <w:bookmarkStart w:id="493" w:name="_Toc20208003"/>
      <w:bookmarkStart w:id="494" w:name="_Toc20300383"/>
      <w:bookmarkStart w:id="495" w:name="_Toc20660643"/>
      <w:bookmarkStart w:id="496" w:name="_Toc20661047"/>
      <w:bookmarkStart w:id="497" w:name="_Toc21108468"/>
      <w:bookmarkStart w:id="498" w:name="_Toc21108865"/>
      <w:bookmarkStart w:id="499" w:name="_Toc21109225"/>
      <w:bookmarkStart w:id="500" w:name="_Toc18340938"/>
      <w:bookmarkStart w:id="501" w:name="_Ref25235000"/>
      <w:bookmarkStart w:id="502" w:name="_Ref25309580"/>
      <w:bookmarkStart w:id="503" w:name="_Ref25309927"/>
      <w:bookmarkStart w:id="504" w:name="_Ref25309960"/>
      <w:bookmarkStart w:id="505" w:name="_Ref25310266"/>
      <w:bookmarkStart w:id="506" w:name="_Ref25310325"/>
      <w:bookmarkStart w:id="507" w:name="_Ref25310342"/>
      <w:bookmarkStart w:id="508" w:name="_Ref25310351"/>
      <w:bookmarkStart w:id="509" w:name="_Ref25312196"/>
      <w:bookmarkStart w:id="510" w:name="_Ref25312203"/>
      <w:bookmarkStart w:id="511" w:name="_Ref25315001"/>
      <w:bookmarkStart w:id="512" w:name="_Ref25315082"/>
      <w:bookmarkStart w:id="513" w:name="_Ref26431901"/>
      <w:bookmarkStart w:id="514" w:name="_Toc34657727"/>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r w:rsidRPr="00CA2564">
        <w:t>Služby zamestnanosti a</w:t>
      </w:r>
      <w:r>
        <w:t> </w:t>
      </w:r>
      <w:bookmarkEnd w:id="500"/>
      <w:r>
        <w:t>sociálna ekonomika</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14:paraId="55287638" w14:textId="00A65261" w:rsidR="00B554DC" w:rsidRDefault="00B554DC">
      <w:pPr>
        <w:spacing w:before="160"/>
      </w:pPr>
      <w:r w:rsidRPr="00D3189B">
        <w:rPr>
          <w:rStyle w:val="Siln"/>
          <w:b w:val="0"/>
        </w:rPr>
        <w:t>Služby zamestnanosti</w:t>
      </w:r>
      <w:r w:rsidRPr="00B554DC">
        <w:t xml:space="preserve"> predstavujú systém inštitúcií a nástrojov podpory a pomoci účastníkom trhu práce pri</w:t>
      </w:r>
      <w:r>
        <w:t xml:space="preserve"> hľadaní zamestnania, jeho zmene, pri obsadzovaní voľných pracovných miest a uplatňovaní aktívnych opatrení na trhu práce. P</w:t>
      </w:r>
      <w:r w:rsidRPr="00CA2564">
        <w:t>redpokladom pre to, aby človek bez práce dostal prístup k službám zamestnanosti</w:t>
      </w:r>
      <w:r w:rsidR="002064E8">
        <w:t>,</w:t>
      </w:r>
      <w:r>
        <w:t xml:space="preserve"> je </w:t>
      </w:r>
      <w:r w:rsidR="00BC5300">
        <w:t xml:space="preserve">jeho </w:t>
      </w:r>
      <w:r>
        <w:t xml:space="preserve">zaradenie do </w:t>
      </w:r>
      <w:r w:rsidRPr="00CA2564">
        <w:t>evidencie uchádzačov o</w:t>
      </w:r>
      <w:r w:rsidR="00C212A9">
        <w:t> </w:t>
      </w:r>
      <w:r w:rsidRPr="00CA2564">
        <w:t>zamestnanie</w:t>
      </w:r>
      <w:r w:rsidR="00C212A9">
        <w:t xml:space="preserve"> (UoZ)</w:t>
      </w:r>
      <w:r>
        <w:t>. Výnimkou sú informa</w:t>
      </w:r>
      <w:r w:rsidR="00C212A9">
        <w:t>čno-poradenské služby, ktoré sú </w:t>
      </w:r>
      <w:r>
        <w:t>dostupné všetkým záujemcom.</w:t>
      </w:r>
    </w:p>
    <w:p w14:paraId="323F506A" w14:textId="5BB03BD7" w:rsidR="0093481D" w:rsidRDefault="005B0D5F" w:rsidP="0093481D">
      <w:r>
        <w:rPr>
          <w:b/>
        </w:rPr>
        <w:t>Úrady práce nemajú</w:t>
      </w:r>
      <w:r w:rsidR="0093481D" w:rsidRPr="00BB34F3">
        <w:rPr>
          <w:b/>
        </w:rPr>
        <w:t xml:space="preserve"> dostatočné kapacity na individuálnu podporu ťažšie uplatniteľných uchádzačov o zamestnanie pri hľadaní a udržaní si vhodného zamestnania s ohľadom na ich špecifické potreby.</w:t>
      </w:r>
      <w:r w:rsidR="0093481D" w:rsidRPr="00BB34F3">
        <w:t xml:space="preserve"> </w:t>
      </w:r>
      <w:r w:rsidR="0093481D">
        <w:t xml:space="preserve">Nedávny prieskum realizovaný </w:t>
      </w:r>
      <w:r w:rsidR="0093481D" w:rsidRPr="00BE18F5">
        <w:t>Inštitút</w:t>
      </w:r>
      <w:r w:rsidR="0093481D">
        <w:t>om</w:t>
      </w:r>
      <w:r w:rsidR="0093481D" w:rsidRPr="00BE18F5">
        <w:t xml:space="preserve"> pre výskum práce a</w:t>
      </w:r>
      <w:r w:rsidR="0093481D">
        <w:t> </w:t>
      </w:r>
      <w:r w:rsidR="0093481D" w:rsidRPr="00BE18F5">
        <w:t>rodiny</w:t>
      </w:r>
      <w:r w:rsidR="0093481D">
        <w:t xml:space="preserve"> (IVPR) na úradoch práce naznačil nízku </w:t>
      </w:r>
      <w:r w:rsidR="00021A8B">
        <w:t xml:space="preserve">mieru </w:t>
      </w:r>
      <w:r w:rsidR="008354D2">
        <w:t>špecia</w:t>
      </w:r>
      <w:r w:rsidR="0093481D">
        <w:t>lizácie</w:t>
      </w:r>
      <w:r w:rsidR="0093481D" w:rsidRPr="004552F1">
        <w:t xml:space="preserve"> zamestnanc</w:t>
      </w:r>
      <w:r w:rsidR="0093481D">
        <w:t>ov</w:t>
      </w:r>
      <w:r w:rsidR="0093481D" w:rsidRPr="004552F1">
        <w:t xml:space="preserve"> poskytujúci</w:t>
      </w:r>
      <w:r w:rsidR="0093481D">
        <w:t>ch</w:t>
      </w:r>
      <w:r w:rsidR="0093481D" w:rsidRPr="004552F1">
        <w:t xml:space="preserve"> odborné poradenské služby (OPS) </w:t>
      </w:r>
      <w:r w:rsidR="0093481D">
        <w:t>na jednotlivé skupiny znevýhodnených uchádzačov o</w:t>
      </w:r>
      <w:r w:rsidR="00D73EAD">
        <w:t> </w:t>
      </w:r>
      <w:r w:rsidR="0093481D">
        <w:t>zamestnanie</w:t>
      </w:r>
      <w:r w:rsidR="00D73EAD">
        <w:t xml:space="preserve"> (Kešelová a spol., 2018)</w:t>
      </w:r>
      <w:r w:rsidR="0093481D">
        <w:t>.</w:t>
      </w:r>
    </w:p>
    <w:p w14:paraId="11C8C5BF" w14:textId="617B274A" w:rsidR="0093481D" w:rsidRDefault="0093481D" w:rsidP="0093481D">
      <w:pPr>
        <w:rPr>
          <w:rFonts w:eastAsia="Calibri" w:cs="Times New Roman"/>
        </w:rPr>
      </w:pPr>
      <w:r w:rsidRPr="00615EC0">
        <w:rPr>
          <w:rFonts w:eastAsia="Calibri" w:cs="Times New Roman"/>
          <w:b/>
        </w:rPr>
        <w:t>Zamestnanci úradov práce, sociálnych vecí a rodiny nie sú pri vykonávaní služieb súvisiaci</w:t>
      </w:r>
      <w:r w:rsidR="00D645E1">
        <w:rPr>
          <w:rFonts w:eastAsia="Calibri" w:cs="Times New Roman"/>
          <w:b/>
        </w:rPr>
        <w:t>ch</w:t>
      </w:r>
      <w:r w:rsidRPr="00615EC0">
        <w:rPr>
          <w:rFonts w:eastAsia="Calibri" w:cs="Times New Roman"/>
          <w:b/>
        </w:rPr>
        <w:t xml:space="preserve"> so sprostredkovaním zamestnania riadení jednotnou metodikou či pokynmi zameranými na prácu s uchádzačmi o zamestnanie so zdravotnými prekážkami. </w:t>
      </w:r>
      <w:r>
        <w:rPr>
          <w:rFonts w:eastAsia="Calibri" w:cs="Times New Roman"/>
        </w:rPr>
        <w:t xml:space="preserve">Podľa </w:t>
      </w:r>
      <w:r w:rsidRPr="00BE18F5">
        <w:rPr>
          <w:rFonts w:eastAsia="Calibri" w:cs="Times New Roman"/>
        </w:rPr>
        <w:t>prieskum</w:t>
      </w:r>
      <w:r>
        <w:rPr>
          <w:rFonts w:eastAsia="Calibri" w:cs="Times New Roman"/>
        </w:rPr>
        <w:t>u IVPR</w:t>
      </w:r>
      <w:r w:rsidRPr="00BE18F5">
        <w:rPr>
          <w:rFonts w:eastAsia="Calibri" w:cs="Times New Roman"/>
        </w:rPr>
        <w:t xml:space="preserve"> </w:t>
      </w:r>
      <w:r>
        <w:rPr>
          <w:rFonts w:eastAsia="Calibri" w:cs="Times New Roman"/>
        </w:rPr>
        <w:t>až 40% opýtaných</w:t>
      </w:r>
      <w:r w:rsidRPr="00BE18F5">
        <w:rPr>
          <w:rFonts w:eastAsia="Calibri" w:cs="Times New Roman"/>
        </w:rPr>
        <w:t xml:space="preserve"> zamestnanc</w:t>
      </w:r>
      <w:r>
        <w:rPr>
          <w:rFonts w:eastAsia="Calibri" w:cs="Times New Roman"/>
        </w:rPr>
        <w:t>ov úradov práce</w:t>
      </w:r>
      <w:r w:rsidRPr="00BE18F5">
        <w:rPr>
          <w:rFonts w:eastAsia="Calibri" w:cs="Times New Roman"/>
        </w:rPr>
        <w:t xml:space="preserve"> poskytujúci</w:t>
      </w:r>
      <w:r>
        <w:rPr>
          <w:rFonts w:eastAsia="Calibri" w:cs="Times New Roman"/>
        </w:rPr>
        <w:t>ch</w:t>
      </w:r>
      <w:r w:rsidRPr="00BE18F5">
        <w:rPr>
          <w:rFonts w:eastAsia="Calibri" w:cs="Times New Roman"/>
        </w:rPr>
        <w:t xml:space="preserve"> odborné poradenské služby (OPS) </w:t>
      </w:r>
      <w:r w:rsidR="00D645E1">
        <w:rPr>
          <w:rFonts w:eastAsia="Calibri" w:cs="Times New Roman"/>
        </w:rPr>
        <w:t>považuje chránené dielne za </w:t>
      </w:r>
      <w:r>
        <w:rPr>
          <w:rFonts w:eastAsia="Calibri" w:cs="Times New Roman"/>
        </w:rPr>
        <w:t>najvhodnejšie prostredie</w:t>
      </w:r>
      <w:r w:rsidRPr="00BE18F5">
        <w:rPr>
          <w:rFonts w:eastAsia="Calibri" w:cs="Times New Roman"/>
        </w:rPr>
        <w:t xml:space="preserve"> pre pracovné uplatnenie ľudí so ZP</w:t>
      </w:r>
      <w:r w:rsidR="00D73EAD">
        <w:rPr>
          <w:rFonts w:eastAsia="Calibri" w:cs="Times New Roman"/>
        </w:rPr>
        <w:t xml:space="preserve"> (</w:t>
      </w:r>
      <w:r w:rsidR="00D73EAD">
        <w:t>Kešelová a spol., 2018</w:t>
      </w:r>
      <w:r w:rsidR="00D73EAD">
        <w:rPr>
          <w:rFonts w:eastAsia="Calibri" w:cs="Times New Roman"/>
        </w:rPr>
        <w:t>)</w:t>
      </w:r>
      <w:r>
        <w:rPr>
          <w:rFonts w:eastAsia="Calibri" w:cs="Times New Roman"/>
        </w:rPr>
        <w:t>.</w:t>
      </w:r>
    </w:p>
    <w:p w14:paraId="08850235" w14:textId="135B4751" w:rsidR="008354D2" w:rsidRDefault="0093481D" w:rsidP="008354D2">
      <w:pPr>
        <w:rPr>
          <w:rFonts w:eastAsia="Calibri" w:cs="Times New Roman"/>
        </w:rPr>
      </w:pPr>
      <w:r w:rsidRPr="00D41517">
        <w:rPr>
          <w:rFonts w:eastAsia="Calibri" w:cs="Times New Roman"/>
          <w:b/>
        </w:rPr>
        <w:t xml:space="preserve">S cieľom zjednotiť a posilniť kvalitu služieb </w:t>
      </w:r>
      <w:r>
        <w:rPr>
          <w:rFonts w:eastAsia="Calibri" w:cs="Times New Roman"/>
          <w:b/>
        </w:rPr>
        <w:t>preto</w:t>
      </w:r>
      <w:r w:rsidRPr="0093481D">
        <w:rPr>
          <w:rFonts w:eastAsia="Calibri" w:cs="Times New Roman"/>
          <w:b/>
        </w:rPr>
        <w:t xml:space="preserve"> revízia</w:t>
      </w:r>
      <w:r>
        <w:rPr>
          <w:rFonts w:eastAsia="Calibri" w:cs="Times New Roman"/>
          <w:b/>
        </w:rPr>
        <w:t xml:space="preserve"> navrhuje</w:t>
      </w:r>
      <w:r w:rsidRPr="00615EC0">
        <w:rPr>
          <w:rFonts w:eastAsia="Calibri" w:cs="Times New Roman"/>
          <w:b/>
        </w:rPr>
        <w:t xml:space="preserve"> vytvorenie metodického pokynu, ktorý by mal upravovať postupy od prvého kontaktu úradov práce s osobou so zdravotným postihnutím až po jeho alebo jej umiestnenie v</w:t>
      </w:r>
      <w:r w:rsidR="008354D2">
        <w:rPr>
          <w:rFonts w:eastAsia="Calibri" w:cs="Times New Roman"/>
          <w:b/>
        </w:rPr>
        <w:t> </w:t>
      </w:r>
      <w:r w:rsidRPr="008354D2">
        <w:rPr>
          <w:rFonts w:eastAsia="Calibri" w:cs="Times New Roman"/>
          <w:b/>
        </w:rPr>
        <w:t>zamestnaní</w:t>
      </w:r>
      <w:r w:rsidR="008354D2" w:rsidRPr="008354D2">
        <w:rPr>
          <w:rFonts w:eastAsia="Calibri" w:cs="Times New Roman"/>
          <w:b/>
        </w:rPr>
        <w:t xml:space="preserve"> </w:t>
      </w:r>
      <w:r w:rsidR="008354D2" w:rsidRPr="008354D2">
        <w:rPr>
          <w:b/>
        </w:rPr>
        <w:t>a podporu zotrvania v zamestnaní</w:t>
      </w:r>
      <w:r w:rsidRPr="004552F1">
        <w:rPr>
          <w:rFonts w:eastAsia="Calibri" w:cs="Times New Roman"/>
        </w:rPr>
        <w:t xml:space="preserve">, či už priamo alebo prostredníctvom </w:t>
      </w:r>
      <w:r w:rsidR="008354D2">
        <w:t xml:space="preserve">agentúr </w:t>
      </w:r>
      <w:r w:rsidRPr="0093481D">
        <w:rPr>
          <w:rFonts w:eastAsia="Calibri" w:cs="Times New Roman"/>
        </w:rPr>
        <w:t xml:space="preserve">podporovaného zamestnávania </w:t>
      </w:r>
      <w:r w:rsidRPr="00D41517">
        <w:t>resp. iných vybraných subjektov zame</w:t>
      </w:r>
      <w:r w:rsidR="00D645E1">
        <w:t>raných na </w:t>
      </w:r>
      <w:r w:rsidRPr="00D41517">
        <w:t>individuálnu prácu s klientom</w:t>
      </w:r>
      <w:r w:rsidRPr="0093481D">
        <w:rPr>
          <w:rFonts w:eastAsia="Calibri" w:cs="Times New Roman"/>
        </w:rPr>
        <w:t>. Súčasťou</w:t>
      </w:r>
      <w:r w:rsidRPr="00615EC0">
        <w:rPr>
          <w:rFonts w:eastAsia="Calibri" w:cs="Times New Roman"/>
        </w:rPr>
        <w:t xml:space="preserve"> metodického pokynu by mal byť </w:t>
      </w:r>
      <w:r>
        <w:rPr>
          <w:rFonts w:eastAsia="Calibri" w:cs="Times New Roman"/>
        </w:rPr>
        <w:t xml:space="preserve">aj </w:t>
      </w:r>
      <w:r w:rsidRPr="00615EC0">
        <w:rPr>
          <w:rFonts w:eastAsia="Calibri" w:cs="Times New Roman"/>
        </w:rPr>
        <w:t>dôraz na umiestnovanie UoZ so ZP primárne na otvorenom trhu práce, pričom zamestnanie v chránených dielňach by malo byť ponúkané iba vybranej skupine UoZ s najväčšími prekážkami na trhu práce.</w:t>
      </w:r>
      <w:r>
        <w:rPr>
          <w:rFonts w:eastAsia="Calibri" w:cs="Times New Roman"/>
        </w:rPr>
        <w:t xml:space="preserve"> </w:t>
      </w:r>
      <w:r w:rsidRPr="00615EC0">
        <w:rPr>
          <w:rFonts w:eastAsia="Calibri" w:cs="Times New Roman"/>
        </w:rPr>
        <w:t>Metodický pokyn by mal obsahovať aj explicitný zákaz odrádzania osôb so zdravotným postihnutím od registráce v evidencii uchádzačov o</w:t>
      </w:r>
      <w:r>
        <w:rPr>
          <w:rFonts w:eastAsia="Calibri" w:cs="Times New Roman"/>
        </w:rPr>
        <w:t> </w:t>
      </w:r>
      <w:r w:rsidRPr="00615EC0">
        <w:rPr>
          <w:rFonts w:eastAsia="Calibri" w:cs="Times New Roman"/>
        </w:rPr>
        <w:t>zamestnanie</w:t>
      </w:r>
      <w:r>
        <w:rPr>
          <w:rFonts w:eastAsia="Calibri" w:cs="Times New Roman"/>
        </w:rPr>
        <w:t xml:space="preserve">. </w:t>
      </w:r>
    </w:p>
    <w:p w14:paraId="4576BD10" w14:textId="38276E61" w:rsidR="006B6EB7" w:rsidRPr="008354D2" w:rsidRDefault="006B6EB7" w:rsidP="008354D2">
      <w:pPr>
        <w:rPr>
          <w:rFonts w:eastAsia="Calibri" w:cs="Times New Roman"/>
        </w:rPr>
      </w:pPr>
      <w:r w:rsidRPr="008354D2">
        <w:rPr>
          <w:b/>
          <w:szCs w:val="22"/>
        </w:rPr>
        <w:t>Prístup k</w:t>
      </w:r>
      <w:r w:rsidR="00744A72" w:rsidRPr="008354D2">
        <w:rPr>
          <w:b/>
          <w:szCs w:val="22"/>
        </w:rPr>
        <w:t> službám zamestnanosti</w:t>
      </w:r>
      <w:r w:rsidRPr="008354D2">
        <w:rPr>
          <w:b/>
          <w:szCs w:val="22"/>
        </w:rPr>
        <w:t xml:space="preserve"> môže byť problematický pre ľudí s obmedzenou mobilitou, ak na úradoch práce nie je zabezpečená bezbariérovosť</w:t>
      </w:r>
      <w:r w:rsidRPr="008354D2">
        <w:rPr>
          <w:szCs w:val="22"/>
        </w:rPr>
        <w:t xml:space="preserve">. </w:t>
      </w:r>
      <w:r w:rsidR="00042C94" w:rsidRPr="008354D2">
        <w:rPr>
          <w:szCs w:val="22"/>
        </w:rPr>
        <w:t xml:space="preserve">Podľa </w:t>
      </w:r>
      <w:r w:rsidR="00794BE1">
        <w:rPr>
          <w:rFonts w:eastAsia="Times New Roman" w:cs="Times New Roman"/>
          <w:color w:val="000000"/>
          <w:szCs w:val="22"/>
          <w:lang w:eastAsia="sk-SK"/>
        </w:rPr>
        <w:t>monitoringu K</w:t>
      </w:r>
      <w:r w:rsidR="00042C94" w:rsidRPr="008354D2">
        <w:rPr>
          <w:rFonts w:eastAsia="Times New Roman" w:cs="Times New Roman"/>
          <w:color w:val="000000"/>
          <w:szCs w:val="22"/>
          <w:lang w:eastAsia="sk-SK"/>
        </w:rPr>
        <w:t>omisárky pre osoby so zdravotným postihnutím z roku 2016</w:t>
      </w:r>
      <w:r w:rsidRPr="008354D2">
        <w:rPr>
          <w:szCs w:val="22"/>
        </w:rPr>
        <w:t xml:space="preserve"> nemalo bezbariérový prístup k evidencii 9 úradov práce</w:t>
      </w:r>
      <w:r w:rsidR="0051611F" w:rsidRPr="008354D2">
        <w:rPr>
          <w:szCs w:val="22"/>
        </w:rPr>
        <w:t>, pričom počet pracovísk jednotlivých ú</w:t>
      </w:r>
      <w:r w:rsidR="00AF7D8B" w:rsidRPr="008354D2">
        <w:rPr>
          <w:szCs w:val="22"/>
        </w:rPr>
        <w:t>radov</w:t>
      </w:r>
      <w:r w:rsidR="008354D2">
        <w:rPr>
          <w:szCs w:val="22"/>
        </w:rPr>
        <w:t>,</w:t>
      </w:r>
      <w:r w:rsidR="00AF7D8B" w:rsidRPr="008354D2">
        <w:rPr>
          <w:szCs w:val="22"/>
        </w:rPr>
        <w:t xml:space="preserve"> kde nie je zabezpečená bezbariérovosť</w:t>
      </w:r>
      <w:r w:rsidR="008354D2">
        <w:rPr>
          <w:szCs w:val="22"/>
        </w:rPr>
        <w:t>,</w:t>
      </w:r>
      <w:r w:rsidR="00AF7D8B" w:rsidRPr="008354D2">
        <w:rPr>
          <w:szCs w:val="22"/>
        </w:rPr>
        <w:t xml:space="preserve"> môže byť vyšší</w:t>
      </w:r>
      <w:r w:rsidRPr="008354D2">
        <w:rPr>
          <w:szCs w:val="22"/>
        </w:rPr>
        <w:t>.</w:t>
      </w:r>
      <w:r w:rsidRPr="008354D2">
        <w:rPr>
          <w:rStyle w:val="Odkaznapoznmkupodiarou"/>
          <w:szCs w:val="22"/>
        </w:rPr>
        <w:footnoteReference w:id="315"/>
      </w:r>
      <w:r w:rsidRPr="008354D2">
        <w:rPr>
          <w:szCs w:val="22"/>
        </w:rPr>
        <w:t xml:space="preserve"> </w:t>
      </w:r>
      <w:r w:rsidRPr="008354D2">
        <w:rPr>
          <w:b/>
          <w:bCs/>
          <w:szCs w:val="22"/>
        </w:rPr>
        <w:t>Revízia preto navrhuje prioritne zabezpečiť bezbariérový prístup k</w:t>
      </w:r>
      <w:r w:rsidR="00744A72" w:rsidRPr="008354D2">
        <w:rPr>
          <w:b/>
          <w:bCs/>
          <w:szCs w:val="22"/>
        </w:rPr>
        <w:t> </w:t>
      </w:r>
      <w:r w:rsidRPr="008354D2">
        <w:rPr>
          <w:b/>
          <w:bCs/>
          <w:szCs w:val="22"/>
        </w:rPr>
        <w:t>evidencii</w:t>
      </w:r>
      <w:r w:rsidR="008354D2">
        <w:rPr>
          <w:b/>
          <w:bCs/>
          <w:szCs w:val="22"/>
        </w:rPr>
        <w:t>, poradenstvu a ďalším</w:t>
      </w:r>
      <w:r w:rsidR="00744A72" w:rsidRPr="008354D2">
        <w:rPr>
          <w:b/>
          <w:bCs/>
          <w:szCs w:val="22"/>
        </w:rPr>
        <w:t xml:space="preserve"> podporným službám</w:t>
      </w:r>
      <w:r w:rsidRPr="008354D2">
        <w:rPr>
          <w:b/>
          <w:bCs/>
          <w:szCs w:val="22"/>
        </w:rPr>
        <w:t xml:space="preserve"> na všetkých úradoch práce.</w:t>
      </w:r>
    </w:p>
    <w:p w14:paraId="7604EBCB" w14:textId="12BDE94C" w:rsidR="00F20EB2" w:rsidRPr="00AB28DA" w:rsidRDefault="00F20EB2" w:rsidP="009E6C4C">
      <w:pPr>
        <w:spacing w:before="160"/>
        <w:rPr>
          <w:color w:val="0070C0"/>
        </w:rPr>
      </w:pPr>
      <w:r w:rsidRPr="00AB28DA">
        <w:rPr>
          <w:color w:val="0070C0"/>
        </w:rPr>
        <w:t xml:space="preserve">Aktívne opatrenia </w:t>
      </w:r>
      <w:r w:rsidR="00047FB7">
        <w:rPr>
          <w:color w:val="0070C0"/>
        </w:rPr>
        <w:t xml:space="preserve">na </w:t>
      </w:r>
      <w:r w:rsidRPr="00AB28DA">
        <w:rPr>
          <w:color w:val="0070C0"/>
        </w:rPr>
        <w:t>trhu práce (AOTP)</w:t>
      </w:r>
    </w:p>
    <w:p w14:paraId="7013CB65" w14:textId="2A254708" w:rsidR="00EA7FF5" w:rsidRPr="00CA2564" w:rsidRDefault="00EA7FF5" w:rsidP="009E6C4C">
      <w:pPr>
        <w:spacing w:before="160"/>
      </w:pPr>
      <w:r w:rsidRPr="00AB28DA">
        <w:rPr>
          <w:b/>
        </w:rPr>
        <w:t xml:space="preserve">Výdavky na aktívne opatrenia </w:t>
      </w:r>
      <w:r w:rsidR="00047FB7">
        <w:rPr>
          <w:b/>
        </w:rPr>
        <w:t xml:space="preserve">na </w:t>
      </w:r>
      <w:r w:rsidRPr="00AB28DA">
        <w:rPr>
          <w:b/>
        </w:rPr>
        <w:t>trhu práce (AOTP) v roku 2018 predstavovali 184,1 miliónov eur (0,20 % HDP).</w:t>
      </w:r>
      <w:r w:rsidRPr="00AB28DA">
        <w:rPr>
          <w:rStyle w:val="Odkaznapoznmkupodiarou"/>
          <w:b/>
        </w:rPr>
        <w:footnoteReference w:id="316"/>
      </w:r>
      <w:r w:rsidRPr="00AB28DA">
        <w:rPr>
          <w:b/>
        </w:rPr>
        <w:t xml:space="preserve"> Podiel výdavkov na HDP je na Slovensku nižší ako vo </w:t>
      </w:r>
      <w:r w:rsidR="00BE0F42" w:rsidRPr="00905D23">
        <w:rPr>
          <w:b/>
        </w:rPr>
        <w:t>priemer EÚ</w:t>
      </w:r>
      <w:r w:rsidR="00BE0F42">
        <w:rPr>
          <w:b/>
        </w:rPr>
        <w:t>15 (0,59</w:t>
      </w:r>
      <w:r w:rsidR="00BE0F42" w:rsidRPr="00905D23">
        <w:rPr>
          <w:b/>
        </w:rPr>
        <w:t> %)</w:t>
      </w:r>
      <w:r w:rsidR="00BE0F42">
        <w:rPr>
          <w:b/>
        </w:rPr>
        <w:t xml:space="preserve"> aj V3 (0,49 %)</w:t>
      </w:r>
      <w:r w:rsidR="00BE0F42" w:rsidRPr="00905D23">
        <w:rPr>
          <w:b/>
        </w:rPr>
        <w:t xml:space="preserve"> </w:t>
      </w:r>
      <w:r w:rsidRPr="00CA2564">
        <w:t>(</w:t>
      </w:r>
      <w:r w:rsidRPr="00CA2564">
        <w:fldChar w:fldCharType="begin"/>
      </w:r>
      <w:r w:rsidRPr="00CA2564">
        <w:instrText xml:space="preserve"> REF _Ref525563127 \h  \* MERGEFORMAT </w:instrText>
      </w:r>
      <w:r w:rsidRPr="00CA2564">
        <w:fldChar w:fldCharType="separate"/>
      </w:r>
      <w:r w:rsidR="00FA29AF" w:rsidRPr="00FA29AF">
        <w:t>Graf</w:t>
      </w:r>
      <w:r w:rsidR="00FA29AF" w:rsidRPr="00A6673B">
        <w:rPr>
          <w:b/>
          <w:sz w:val="20"/>
        </w:rPr>
        <w:t xml:space="preserve"> </w:t>
      </w:r>
      <w:r w:rsidR="00FA29AF">
        <w:rPr>
          <w:b/>
          <w:noProof/>
          <w:sz w:val="20"/>
        </w:rPr>
        <w:t>37</w:t>
      </w:r>
      <w:r w:rsidRPr="00CA2564">
        <w:fldChar w:fldCharType="end"/>
      </w:r>
      <w:r w:rsidRPr="00CA2564">
        <w:t>). Nástroje AOTP sú zamerané predovšetkým na ťažšie zamestnateľných UoZ, ktorí by sa bez intenzívnejšej pomoci len s ťažkosťami uplatnili na trhu práce. Nízke výdavky na AOTP na Slovensku sú obzvlášť znepokojujúce vzhľadom na relatívne vysokú mieru dlhodobej nezamestnanosti v porovnaní s inými európskymi krajinami.</w:t>
      </w:r>
      <w:r w:rsidRPr="00CA2564" w:rsidDel="00B80CE3">
        <w:t xml:space="preserve"> </w:t>
      </w:r>
    </w:p>
    <w:p w14:paraId="426EDC0D" w14:textId="45F65E3B" w:rsidR="00EA7FF5" w:rsidRPr="00F34D53" w:rsidRDefault="00EA7FF5" w:rsidP="009E6C4C">
      <w:pPr>
        <w:spacing w:before="160"/>
      </w:pPr>
      <w:r w:rsidRPr="00CA2564">
        <w:rPr>
          <w:b/>
        </w:rPr>
        <w:t>Za priemerom EÚ</w:t>
      </w:r>
      <w:r w:rsidR="002C153C">
        <w:rPr>
          <w:b/>
        </w:rPr>
        <w:t>15</w:t>
      </w:r>
      <w:r w:rsidRPr="00CA2564">
        <w:rPr>
          <w:b/>
        </w:rPr>
        <w:t xml:space="preserve"> zaostáva Slovensko najviac vo výdavkoch na vzdelávanie</w:t>
      </w:r>
      <w:r w:rsidRPr="00CA2564">
        <w:t xml:space="preserve"> (</w:t>
      </w:r>
      <w:r w:rsidRPr="00CA2564">
        <w:fldChar w:fldCharType="begin"/>
      </w:r>
      <w:r w:rsidRPr="00CA2564">
        <w:instrText xml:space="preserve"> REF _Ref525563093 \h  \* MERGEFORMAT </w:instrText>
      </w:r>
      <w:r w:rsidRPr="00CA2564">
        <w:fldChar w:fldCharType="separate"/>
      </w:r>
      <w:r w:rsidR="00FA29AF" w:rsidRPr="00FA29AF">
        <w:t xml:space="preserve">Graf </w:t>
      </w:r>
      <w:r w:rsidR="00FA29AF" w:rsidRPr="00FA29AF">
        <w:rPr>
          <w:noProof/>
        </w:rPr>
        <w:t>38</w:t>
      </w:r>
      <w:r w:rsidRPr="00CA2564">
        <w:fldChar w:fldCharType="end"/>
      </w:r>
      <w:r w:rsidRPr="00CA2564">
        <w:t>). Ide pritom o nástroj, ktorý sa v zahraničných štúdiách ukazuje ako jeden z najefektívnejších, najmä v stredno- až dlhodobom horizonte a v prípade dlhodobo nezamestnaných (Card a kol., 2015). Podiel výdavkov na vzdelávanie na celkových výdavkoch na AOTP sa za posledné roky podarilo výrazne zvýšiť, zo 4,0 % v roku 2016 na 10,6 % v rolu 2018. Na Slovensku je väčšina výdavkov na vzdelávacie AOTP vynaložených prostredníctvom projekt</w:t>
      </w:r>
      <w:r w:rsidR="00B047B6">
        <w:t>ov</w:t>
      </w:r>
      <w:r w:rsidRPr="00CA2564">
        <w:t xml:space="preserve"> REPAS</w:t>
      </w:r>
      <w:r w:rsidR="00B047B6">
        <w:t xml:space="preserve"> (zameraného na rekvalifikáciu) a </w:t>
      </w:r>
      <w:r w:rsidR="009A655A">
        <w:t>KOMPAS</w:t>
      </w:r>
      <w:r w:rsidR="00B047B6">
        <w:t xml:space="preserve"> (zameraného na kompetenčné zručnosti).</w:t>
      </w:r>
      <w:r w:rsidR="00B047B6" w:rsidRPr="00CA2564">
        <w:rPr>
          <w:rStyle w:val="Odkaznapoznmkupodiarou"/>
        </w:rPr>
        <w:footnoteReference w:id="317"/>
      </w:r>
    </w:p>
    <w:p w14:paraId="31FCAA07" w14:textId="47CF3DBC" w:rsidR="00EA7FF5" w:rsidRPr="00CA2564" w:rsidRDefault="00EA7FF5" w:rsidP="009E6C4C">
      <w:pPr>
        <w:spacing w:before="160"/>
      </w:pPr>
      <w:r w:rsidRPr="00CA2564">
        <w:rPr>
          <w:b/>
        </w:rPr>
        <w:t>Hodnotenie čistej účinnosti projektu REPAS vykonané Inštitútom sociálnej politiky ukázalo, že účasť na vzdelávaní zvýšila uplatniteľnosť účastníkov na trhu práce približne o 3 až 5 percentuálnych bodov v porovnaní s kontrolnou skupinou</w:t>
      </w:r>
      <w:r w:rsidR="00A16EF0">
        <w:rPr>
          <w:b/>
        </w:rPr>
        <w:t xml:space="preserve"> a návr</w:t>
      </w:r>
      <w:r w:rsidR="007F266A">
        <w:rPr>
          <w:b/>
        </w:rPr>
        <w:t>a</w:t>
      </w:r>
      <w:r w:rsidR="00A16EF0">
        <w:rPr>
          <w:b/>
        </w:rPr>
        <w:t xml:space="preserve">tnosť výdavkov na </w:t>
      </w:r>
      <w:r w:rsidR="007F266A">
        <w:rPr>
          <w:b/>
        </w:rPr>
        <w:t xml:space="preserve">tento </w:t>
      </w:r>
      <w:r w:rsidR="00A16EF0">
        <w:rPr>
          <w:b/>
        </w:rPr>
        <w:t>nástroj v podobe vyšších daní a odvodov bol odhadnutý na 3 roky</w:t>
      </w:r>
      <w:r w:rsidRPr="00CA2564">
        <w:t xml:space="preserve"> (Petráš, 2018). Nadpriemerný účinok malo vzdelávanie v prípade mužov, </w:t>
      </w:r>
      <w:r w:rsidR="007F266A" w:rsidRPr="00CA2564">
        <w:t>dlhodob</w:t>
      </w:r>
      <w:r w:rsidR="007F266A">
        <w:t>o</w:t>
      </w:r>
      <w:r w:rsidR="007F266A" w:rsidRPr="00CA2564">
        <w:t xml:space="preserve"> </w:t>
      </w:r>
      <w:r w:rsidRPr="00CA2564">
        <w:t xml:space="preserve">nezamestnaných a znevýhodnených </w:t>
      </w:r>
      <w:r w:rsidR="0039691F">
        <w:t>uchádzačov o zamestnanie</w:t>
      </w:r>
      <w:r w:rsidRPr="00CA2564">
        <w:t>. Menší ako priemerný účinok dosiahol v prípade žien</w:t>
      </w:r>
      <w:r w:rsidRPr="00CA2564">
        <w:rPr>
          <w:rStyle w:val="Odkaznapoznmkupodiarou"/>
        </w:rPr>
        <w:footnoteReference w:id="318"/>
      </w:r>
      <w:r w:rsidRPr="00CA2564">
        <w:t xml:space="preserve"> a krátkodobo nezamestnaných.</w:t>
      </w:r>
      <w:r w:rsidR="00B047B6">
        <w:t xml:space="preserve"> Projektu REPAS </w:t>
      </w:r>
      <w:r w:rsidR="00B047B6" w:rsidRPr="00CA2564">
        <w:t xml:space="preserve">sa v období 2015-2017 </w:t>
      </w:r>
      <w:r w:rsidR="00794BE1">
        <w:t>zúčastnilo takmer 45 </w:t>
      </w:r>
      <w:r w:rsidR="00B047B6" w:rsidRPr="00F34D53">
        <w:t>tisíc UoZ.</w:t>
      </w:r>
      <w:r w:rsidR="00B047B6" w:rsidRPr="00F34D53">
        <w:rPr>
          <w:rStyle w:val="Odkaznapoznmkupodiarou"/>
        </w:rPr>
        <w:footnoteReference w:id="319"/>
      </w:r>
    </w:p>
    <w:p w14:paraId="45139713" w14:textId="11E046B0" w:rsidR="00EA7FF5" w:rsidRPr="00CA2564" w:rsidRDefault="00EA7FF5" w:rsidP="009E6C4C">
      <w:pPr>
        <w:spacing w:before="160"/>
      </w:pPr>
      <w:r w:rsidRPr="00CA2564">
        <w:rPr>
          <w:b/>
        </w:rPr>
        <w:t>Alokácia výdavkov na AOTP je naďalej zameraná predovšetkým na podporu dopytu na trhu práce dotovaním pracovných miest</w:t>
      </w:r>
      <w:r w:rsidR="00CC0457">
        <w:rPr>
          <w:b/>
        </w:rPr>
        <w:t xml:space="preserve"> </w:t>
      </w:r>
      <w:r w:rsidR="00CC0457" w:rsidRPr="00CC0457">
        <w:rPr>
          <w:bCs/>
        </w:rPr>
        <w:t>(</w:t>
      </w:r>
      <w:r w:rsidR="002C4CC8" w:rsidRPr="002C4CC8">
        <w:rPr>
          <w:bCs/>
          <w:szCs w:val="22"/>
        </w:rPr>
        <w:fldChar w:fldCharType="begin"/>
      </w:r>
      <w:r w:rsidR="002C4CC8" w:rsidRPr="002C4CC8">
        <w:rPr>
          <w:bCs/>
          <w:szCs w:val="22"/>
        </w:rPr>
        <w:instrText xml:space="preserve"> REF _Ref525563093 \h  \* MERGEFORMAT </w:instrText>
      </w:r>
      <w:r w:rsidR="002C4CC8" w:rsidRPr="002C4CC8">
        <w:rPr>
          <w:bCs/>
          <w:szCs w:val="22"/>
        </w:rPr>
      </w:r>
      <w:r w:rsidR="002C4CC8" w:rsidRPr="002C4CC8">
        <w:rPr>
          <w:bCs/>
          <w:szCs w:val="22"/>
        </w:rPr>
        <w:fldChar w:fldCharType="separate"/>
      </w:r>
      <w:r w:rsidR="00FA29AF" w:rsidRPr="00FA29AF">
        <w:rPr>
          <w:szCs w:val="22"/>
        </w:rPr>
        <w:t xml:space="preserve">Graf </w:t>
      </w:r>
      <w:r w:rsidR="00FA29AF" w:rsidRPr="00FA29AF">
        <w:rPr>
          <w:noProof/>
          <w:szCs w:val="22"/>
        </w:rPr>
        <w:t>38</w:t>
      </w:r>
      <w:r w:rsidR="002C4CC8" w:rsidRPr="002C4CC8">
        <w:rPr>
          <w:bCs/>
          <w:szCs w:val="22"/>
        </w:rPr>
        <w:fldChar w:fldCharType="end"/>
      </w:r>
      <w:r w:rsidR="00CC0457" w:rsidRPr="00CC0457">
        <w:rPr>
          <w:bCs/>
        </w:rPr>
        <w:t>)</w:t>
      </w:r>
      <w:r w:rsidRPr="00CC0457">
        <w:rPr>
          <w:bCs/>
        </w:rPr>
        <w:t>. Vo</w:t>
      </w:r>
      <w:r w:rsidRPr="00CA2564">
        <w:t xml:space="preserve"> všeobecnosti je takéto nastavenie problematické vzhľadom na fakt, že zamestnávatelia hlásia čoraz väčšie ťažkosti s obsadzovaním existujúcich voľných pracovných miest. Je však možné, že v prípade najťažšie zamestnateľných uchádzačov, ľudí, ktorí čelia diskriminácii na trhu práce a v regiónoch s veľkým nedostatkom pracovných miest má podpora dopytu svoje opodstatnenie.</w:t>
      </w:r>
    </w:p>
    <w:tbl>
      <w:tblPr>
        <w:tblW w:w="0" w:type="auto"/>
        <w:tblLook w:val="04E0" w:firstRow="1" w:lastRow="1" w:firstColumn="1" w:lastColumn="0" w:noHBand="0" w:noVBand="1"/>
      </w:tblPr>
      <w:tblGrid>
        <w:gridCol w:w="4631"/>
        <w:gridCol w:w="222"/>
        <w:gridCol w:w="4173"/>
      </w:tblGrid>
      <w:tr w:rsidR="00EA7FF5" w:rsidRPr="00CA2564" w14:paraId="603DDE77" w14:textId="77777777" w:rsidTr="00A6673B">
        <w:tc>
          <w:tcPr>
            <w:tcW w:w="4498" w:type="dxa"/>
            <w:tcBorders>
              <w:bottom w:val="single" w:sz="4" w:space="0" w:color="auto"/>
            </w:tcBorders>
          </w:tcPr>
          <w:p w14:paraId="1B978726" w14:textId="6404792B" w:rsidR="00EA7FF5" w:rsidRPr="00A6673B" w:rsidRDefault="00EA7FF5" w:rsidP="00A6673B">
            <w:pPr>
              <w:spacing w:after="0" w:line="240" w:lineRule="auto"/>
              <w:rPr>
                <w:b/>
              </w:rPr>
            </w:pPr>
            <w:bookmarkStart w:id="515" w:name="_Ref525563127"/>
            <w:bookmarkStart w:id="516" w:name="_Toc17469405"/>
            <w:bookmarkStart w:id="517" w:name="_Toc34157595"/>
            <w:r w:rsidRPr="00A6673B">
              <w:rPr>
                <w:b/>
                <w:sz w:val="20"/>
              </w:rPr>
              <w:t xml:space="preserve">Graf </w:t>
            </w:r>
            <w:r w:rsidRPr="00A6673B">
              <w:rPr>
                <w:b/>
                <w:sz w:val="20"/>
              </w:rPr>
              <w:fldChar w:fldCharType="begin"/>
            </w:r>
            <w:r w:rsidRPr="00A6673B">
              <w:rPr>
                <w:b/>
                <w:sz w:val="20"/>
              </w:rPr>
              <w:instrText xml:space="preserve"> SEQ Graf \* ARABIC </w:instrText>
            </w:r>
            <w:r w:rsidRPr="00A6673B">
              <w:rPr>
                <w:b/>
                <w:sz w:val="20"/>
              </w:rPr>
              <w:fldChar w:fldCharType="separate"/>
            </w:r>
            <w:r w:rsidR="00FA29AF">
              <w:rPr>
                <w:b/>
                <w:noProof/>
                <w:sz w:val="20"/>
              </w:rPr>
              <w:t>37</w:t>
            </w:r>
            <w:r w:rsidRPr="00A6673B">
              <w:rPr>
                <w:b/>
                <w:sz w:val="20"/>
              </w:rPr>
              <w:fldChar w:fldCharType="end"/>
            </w:r>
            <w:bookmarkEnd w:id="515"/>
            <w:r w:rsidRPr="00A6673B">
              <w:rPr>
                <w:b/>
                <w:sz w:val="20"/>
              </w:rPr>
              <w:t>: Výdavky na AOTP a miera dlhodobej nezamestnanosti (201</w:t>
            </w:r>
            <w:r w:rsidR="006262C4" w:rsidRPr="00A6673B">
              <w:rPr>
                <w:b/>
                <w:sz w:val="20"/>
              </w:rPr>
              <w:t>7</w:t>
            </w:r>
            <w:r w:rsidRPr="00A6673B">
              <w:rPr>
                <w:b/>
                <w:sz w:val="20"/>
              </w:rPr>
              <w:t>)</w:t>
            </w:r>
            <w:bookmarkEnd w:id="516"/>
            <w:bookmarkEnd w:id="517"/>
          </w:p>
        </w:tc>
        <w:tc>
          <w:tcPr>
            <w:tcW w:w="222" w:type="dxa"/>
            <w:tcBorders>
              <w:bottom w:val="nil"/>
            </w:tcBorders>
          </w:tcPr>
          <w:p w14:paraId="1F288F14" w14:textId="77777777" w:rsidR="00EA7FF5" w:rsidRPr="00A6673B" w:rsidRDefault="00EA7FF5" w:rsidP="00A6673B">
            <w:pPr>
              <w:spacing w:after="0" w:line="240" w:lineRule="auto"/>
              <w:rPr>
                <w:b/>
                <w:sz w:val="20"/>
              </w:rPr>
            </w:pPr>
          </w:p>
        </w:tc>
        <w:tc>
          <w:tcPr>
            <w:tcW w:w="4370" w:type="dxa"/>
            <w:tcBorders>
              <w:bottom w:val="single" w:sz="4" w:space="0" w:color="auto"/>
            </w:tcBorders>
          </w:tcPr>
          <w:p w14:paraId="7205B6AC" w14:textId="1AA95F68" w:rsidR="00EA7FF5" w:rsidRPr="00A6673B" w:rsidRDefault="00EA7FF5" w:rsidP="00A6673B">
            <w:pPr>
              <w:spacing w:after="0" w:line="240" w:lineRule="auto"/>
              <w:rPr>
                <w:b/>
                <w:sz w:val="20"/>
              </w:rPr>
            </w:pPr>
            <w:bookmarkStart w:id="518" w:name="_Ref525563093"/>
            <w:bookmarkStart w:id="519" w:name="_Toc17469406"/>
            <w:bookmarkStart w:id="520" w:name="_Toc34157596"/>
            <w:r w:rsidRPr="00A6673B">
              <w:rPr>
                <w:b/>
                <w:sz w:val="20"/>
              </w:rPr>
              <w:t xml:space="preserve">Graf </w:t>
            </w:r>
            <w:r w:rsidRPr="00A6673B">
              <w:rPr>
                <w:b/>
                <w:sz w:val="20"/>
              </w:rPr>
              <w:fldChar w:fldCharType="begin"/>
            </w:r>
            <w:r w:rsidRPr="00A6673B">
              <w:rPr>
                <w:b/>
                <w:sz w:val="20"/>
              </w:rPr>
              <w:instrText xml:space="preserve"> SEQ Graf \* ARABIC </w:instrText>
            </w:r>
            <w:r w:rsidRPr="00A6673B">
              <w:rPr>
                <w:b/>
                <w:sz w:val="20"/>
              </w:rPr>
              <w:fldChar w:fldCharType="separate"/>
            </w:r>
            <w:r w:rsidR="00FA29AF">
              <w:rPr>
                <w:b/>
                <w:noProof/>
                <w:sz w:val="20"/>
              </w:rPr>
              <w:t>38</w:t>
            </w:r>
            <w:r w:rsidRPr="00A6673B">
              <w:rPr>
                <w:b/>
                <w:sz w:val="20"/>
              </w:rPr>
              <w:fldChar w:fldCharType="end"/>
            </w:r>
            <w:bookmarkEnd w:id="518"/>
            <w:r w:rsidRPr="00A6673B">
              <w:rPr>
                <w:b/>
                <w:sz w:val="20"/>
              </w:rPr>
              <w:t>: Výdavky na AOTP podľa nástroja (201</w:t>
            </w:r>
            <w:r w:rsidR="006262C4" w:rsidRPr="00A6673B">
              <w:rPr>
                <w:b/>
                <w:sz w:val="20"/>
              </w:rPr>
              <w:t>7</w:t>
            </w:r>
            <w:r w:rsidRPr="00A6673B">
              <w:rPr>
                <w:b/>
                <w:sz w:val="20"/>
              </w:rPr>
              <w:t>, % HDP)</w:t>
            </w:r>
            <w:bookmarkEnd w:id="519"/>
            <w:bookmarkEnd w:id="520"/>
          </w:p>
        </w:tc>
      </w:tr>
      <w:tr w:rsidR="00EA7FF5" w:rsidRPr="00CA2564" w14:paraId="18FD95E5" w14:textId="77777777" w:rsidTr="00A6673B">
        <w:tblPrEx>
          <w:tblCellMar>
            <w:left w:w="70" w:type="dxa"/>
            <w:right w:w="70" w:type="dxa"/>
          </w:tblCellMar>
        </w:tblPrEx>
        <w:tc>
          <w:tcPr>
            <w:tcW w:w="4498" w:type="dxa"/>
            <w:tcBorders>
              <w:top w:val="single" w:sz="4" w:space="0" w:color="auto"/>
              <w:bottom w:val="single" w:sz="4" w:space="0" w:color="auto"/>
            </w:tcBorders>
          </w:tcPr>
          <w:p w14:paraId="408C7058" w14:textId="77777777" w:rsidR="00EA7FF5" w:rsidRPr="00CA2564" w:rsidRDefault="00EA7FF5" w:rsidP="00A6673B">
            <w:pPr>
              <w:spacing w:after="0" w:line="240" w:lineRule="auto"/>
              <w:rPr>
                <w:sz w:val="4"/>
                <w:szCs w:val="4"/>
              </w:rPr>
            </w:pPr>
          </w:p>
          <w:p w14:paraId="66BEB622" w14:textId="05B53310" w:rsidR="00EA7FF5" w:rsidRPr="00CA2564" w:rsidRDefault="00BE0F42" w:rsidP="00A6673B">
            <w:pPr>
              <w:spacing w:after="0" w:line="240" w:lineRule="auto"/>
              <w:rPr>
                <w:sz w:val="4"/>
                <w:szCs w:val="4"/>
              </w:rPr>
            </w:pPr>
            <w:r>
              <w:rPr>
                <w:noProof/>
                <w:lang w:eastAsia="sk-SK"/>
              </w:rPr>
              <w:drawing>
                <wp:inline distT="0" distB="0" distL="0" distR="0" wp14:anchorId="1374AAC8" wp14:editId="0ABC11A3">
                  <wp:extent cx="2990850" cy="2743200"/>
                  <wp:effectExtent l="0" t="0" r="0" b="0"/>
                  <wp:docPr id="41"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D5E3235" w14:textId="77777777" w:rsidR="00EA7FF5" w:rsidRPr="00CA2564" w:rsidRDefault="00EA7FF5" w:rsidP="00A6673B">
            <w:pPr>
              <w:spacing w:after="0" w:line="240" w:lineRule="auto"/>
              <w:rPr>
                <w:sz w:val="4"/>
                <w:szCs w:val="4"/>
              </w:rPr>
            </w:pPr>
          </w:p>
        </w:tc>
        <w:tc>
          <w:tcPr>
            <w:tcW w:w="222" w:type="dxa"/>
            <w:tcBorders>
              <w:top w:val="nil"/>
              <w:bottom w:val="nil"/>
            </w:tcBorders>
          </w:tcPr>
          <w:p w14:paraId="61B8FEC2" w14:textId="77777777" w:rsidR="00EA7FF5" w:rsidRPr="00CA2564" w:rsidRDefault="00EA7FF5" w:rsidP="00A6673B">
            <w:pPr>
              <w:spacing w:after="0" w:line="240" w:lineRule="auto"/>
              <w:rPr>
                <w:noProof/>
              </w:rPr>
            </w:pPr>
          </w:p>
        </w:tc>
        <w:tc>
          <w:tcPr>
            <w:tcW w:w="4370" w:type="dxa"/>
            <w:tcBorders>
              <w:top w:val="single" w:sz="4" w:space="0" w:color="auto"/>
              <w:bottom w:val="single" w:sz="4" w:space="0" w:color="auto"/>
            </w:tcBorders>
          </w:tcPr>
          <w:p w14:paraId="11123AB6" w14:textId="77777777" w:rsidR="00EA7FF5" w:rsidRPr="00CA2564" w:rsidRDefault="00EA7FF5" w:rsidP="00A6673B">
            <w:pPr>
              <w:spacing w:after="0" w:line="240" w:lineRule="auto"/>
              <w:rPr>
                <w:sz w:val="4"/>
                <w:szCs w:val="4"/>
              </w:rPr>
            </w:pPr>
          </w:p>
          <w:p w14:paraId="0363109E" w14:textId="50CB3A9D" w:rsidR="00EA7FF5" w:rsidRPr="00CA2564" w:rsidRDefault="00EA7FF5" w:rsidP="00A6673B">
            <w:pPr>
              <w:spacing w:after="0" w:line="240" w:lineRule="auto"/>
              <w:rPr>
                <w:sz w:val="4"/>
                <w:szCs w:val="4"/>
              </w:rPr>
            </w:pPr>
          </w:p>
          <w:p w14:paraId="0A812F3B" w14:textId="27940D10" w:rsidR="00EA7FF5" w:rsidRPr="00CA2564" w:rsidRDefault="002C153C" w:rsidP="00A6673B">
            <w:pPr>
              <w:spacing w:after="0" w:line="240" w:lineRule="auto"/>
              <w:rPr>
                <w:sz w:val="4"/>
                <w:szCs w:val="4"/>
              </w:rPr>
            </w:pPr>
            <w:r>
              <w:rPr>
                <w:noProof/>
                <w:lang w:eastAsia="sk-SK"/>
              </w:rPr>
              <w:drawing>
                <wp:inline distT="0" distB="0" distL="0" distR="0" wp14:anchorId="75C5F919" wp14:editId="55D0CA86">
                  <wp:extent cx="2676525" cy="2638425"/>
                  <wp:effectExtent l="0" t="0" r="9525" b="9525"/>
                  <wp:docPr id="28009" name="Graf 2800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r w:rsidR="00EA7FF5" w:rsidRPr="00CA2564" w14:paraId="5650F483" w14:textId="77777777" w:rsidTr="00A6673B">
        <w:tc>
          <w:tcPr>
            <w:tcW w:w="4498" w:type="dxa"/>
            <w:tcBorders>
              <w:top w:val="single" w:sz="4" w:space="0" w:color="auto"/>
            </w:tcBorders>
          </w:tcPr>
          <w:p w14:paraId="536C3327" w14:textId="113711CD" w:rsidR="00EA7FF5" w:rsidRPr="00A6673B" w:rsidRDefault="00EA7FF5" w:rsidP="00A6673B">
            <w:pPr>
              <w:spacing w:after="0" w:line="240" w:lineRule="auto"/>
              <w:jc w:val="right"/>
              <w:rPr>
                <w:bCs/>
                <w:i/>
                <w:noProof/>
                <w:sz w:val="18"/>
                <w:szCs w:val="18"/>
              </w:rPr>
            </w:pPr>
            <w:r w:rsidRPr="00A6673B">
              <w:rPr>
                <w:i/>
                <w:noProof/>
                <w:sz w:val="18"/>
                <w:szCs w:val="18"/>
              </w:rPr>
              <w:t>Zdroj: Eur</w:t>
            </w:r>
            <w:r w:rsidR="006262C4" w:rsidRPr="00A6673B">
              <w:rPr>
                <w:i/>
                <w:noProof/>
                <w:sz w:val="18"/>
                <w:szCs w:val="18"/>
              </w:rPr>
              <w:t>ópska komisia a Eurostat</w:t>
            </w:r>
            <w:r w:rsidRPr="00A6673B">
              <w:rPr>
                <w:i/>
                <w:noProof/>
                <w:sz w:val="18"/>
                <w:szCs w:val="18"/>
              </w:rPr>
              <w:t xml:space="preserve"> </w:t>
            </w:r>
          </w:p>
        </w:tc>
        <w:tc>
          <w:tcPr>
            <w:tcW w:w="222" w:type="dxa"/>
            <w:tcBorders>
              <w:top w:val="nil"/>
            </w:tcBorders>
          </w:tcPr>
          <w:p w14:paraId="78F34B83" w14:textId="77777777" w:rsidR="00EA7FF5" w:rsidRPr="00A6673B" w:rsidRDefault="00EA7FF5" w:rsidP="00A6673B">
            <w:pPr>
              <w:spacing w:after="0" w:line="240" w:lineRule="auto"/>
              <w:jc w:val="right"/>
              <w:rPr>
                <w:i/>
                <w:noProof/>
                <w:sz w:val="18"/>
                <w:szCs w:val="18"/>
              </w:rPr>
            </w:pPr>
          </w:p>
        </w:tc>
        <w:tc>
          <w:tcPr>
            <w:tcW w:w="4370" w:type="dxa"/>
            <w:tcBorders>
              <w:top w:val="single" w:sz="4" w:space="0" w:color="auto"/>
            </w:tcBorders>
          </w:tcPr>
          <w:p w14:paraId="28A4D375" w14:textId="08B29C2D" w:rsidR="00EA7FF5" w:rsidRPr="00A6673B" w:rsidRDefault="00EA7FF5" w:rsidP="00A6673B">
            <w:pPr>
              <w:spacing w:after="0" w:line="240" w:lineRule="auto"/>
              <w:jc w:val="right"/>
              <w:rPr>
                <w:i/>
                <w:noProof/>
                <w:sz w:val="18"/>
                <w:szCs w:val="18"/>
              </w:rPr>
            </w:pPr>
            <w:r w:rsidRPr="00A6673B">
              <w:rPr>
                <w:i/>
                <w:noProof/>
                <w:sz w:val="18"/>
                <w:szCs w:val="18"/>
              </w:rPr>
              <w:t>Zdroj: Eur</w:t>
            </w:r>
            <w:r w:rsidR="005D7AEC" w:rsidRPr="00A6673B">
              <w:rPr>
                <w:i/>
                <w:noProof/>
                <w:sz w:val="18"/>
                <w:szCs w:val="18"/>
              </w:rPr>
              <w:t>ópska komisia</w:t>
            </w:r>
          </w:p>
        </w:tc>
      </w:tr>
    </w:tbl>
    <w:p w14:paraId="1B1ADC61" w14:textId="7C4B1343" w:rsidR="009A655A" w:rsidRDefault="009A655A" w:rsidP="009E6C4C">
      <w:pPr>
        <w:spacing w:before="160"/>
      </w:pPr>
      <w:r w:rsidRPr="004260B0">
        <w:rPr>
          <w:b/>
        </w:rPr>
        <w:t xml:space="preserve">Podpora zamestnávania prostredníctvom dočasnej práce v samosprávach zvyšuje zamestnanosť </w:t>
      </w:r>
      <w:r>
        <w:rPr>
          <w:b/>
        </w:rPr>
        <w:t xml:space="preserve">účastníkov </w:t>
      </w:r>
      <w:r w:rsidRPr="004260B0">
        <w:rPr>
          <w:b/>
        </w:rPr>
        <w:t>o 15 p.b. a</w:t>
      </w:r>
      <w:r>
        <w:rPr>
          <w:b/>
        </w:rPr>
        <w:t xml:space="preserve"> ich </w:t>
      </w:r>
      <w:r w:rsidRPr="004260B0">
        <w:rPr>
          <w:b/>
        </w:rPr>
        <w:t>príjem o 40 eur</w:t>
      </w:r>
      <w:r>
        <w:rPr>
          <w:b/>
        </w:rPr>
        <w:t>, v tomto prípade bola n</w:t>
      </w:r>
      <w:r w:rsidRPr="004260B0">
        <w:rPr>
          <w:b/>
        </w:rPr>
        <w:t>ávratnosť výdavkov na tento nástroj AOTP odhadnutá na 6,5 až 8 rokov</w:t>
      </w:r>
      <w:r>
        <w:t xml:space="preserve"> (Petráš, 2019</w:t>
      </w:r>
      <w:r w:rsidRPr="00154996">
        <w:t>)</w:t>
      </w:r>
      <w:r>
        <w:t xml:space="preserve">. </w:t>
      </w:r>
      <w:r w:rsidR="00722808">
        <w:t>Tento nástroj</w:t>
      </w:r>
      <w:r w:rsidR="00C94614">
        <w:rPr>
          <w:rStyle w:val="Odkaznapoznmkupodiarou"/>
        </w:rPr>
        <w:footnoteReference w:id="320"/>
      </w:r>
      <w:r w:rsidR="00722808">
        <w:t xml:space="preserve"> patrí k najväčším v rámci stimulov k zamestnávaniu a je </w:t>
      </w:r>
      <w:r>
        <w:t>zameran</w:t>
      </w:r>
      <w:r w:rsidR="00722808">
        <w:t>ý</w:t>
      </w:r>
      <w:r>
        <w:t xml:space="preserve"> výlučne na znevýhodnených UoZ. </w:t>
      </w:r>
      <w:r w:rsidR="00722808">
        <w:t>V ob</w:t>
      </w:r>
      <w:r w:rsidR="001353FA">
        <w:t>dobí 2013-2018 sa tohto nástroja</w:t>
      </w:r>
      <w:r w:rsidR="00722808">
        <w:t xml:space="preserve"> zúčastnilo takmer 22 tisíc UoZ. </w:t>
      </w:r>
      <w:r>
        <w:t>Najvyšší efekt sa prejavil u dlhodobo nezame</w:t>
      </w:r>
      <w:r w:rsidR="00125BD2">
        <w:t>stnaných, ktorí dosiahli rok po </w:t>
      </w:r>
      <w:r>
        <w:t>ukončení programu o 20 p.b. vyššiu zamestnanosť oproti kontrolnej skupine. Výrazne vyššiu uplatniteľnosť na trhu práce zaznamenali absolventi dočasnej práce na kvalifikovanejších pozíciách (</w:t>
      </w:r>
      <w:r w:rsidRPr="00ED44F2">
        <w:t>napr. v administratíve alebo v</w:t>
      </w:r>
      <w:r>
        <w:t> </w:t>
      </w:r>
      <w:r w:rsidRPr="00ED44F2">
        <w:t>službách</w:t>
      </w:r>
      <w:r>
        <w:t>) v mestách, školách a sociálnych službách, ktoré tv</w:t>
      </w:r>
      <w:r w:rsidR="001353FA">
        <w:t>orili iba menšiu časť oproti niž</w:t>
      </w:r>
      <w:r>
        <w:t>šie kvalifikovanejším pozíciám vykonávaným v obciach.</w:t>
      </w:r>
    </w:p>
    <w:p w14:paraId="53D65843" w14:textId="17ADF10F" w:rsidR="00E51E6C" w:rsidRPr="00BF3599" w:rsidRDefault="00EA7FF5" w:rsidP="00921EF0">
      <w:pPr>
        <w:spacing w:before="160"/>
        <w:rPr>
          <w:szCs w:val="22"/>
        </w:rPr>
      </w:pPr>
      <w:r w:rsidRPr="00CA2564">
        <w:rPr>
          <w:b/>
          <w:bCs/>
        </w:rPr>
        <w:t>Podpora zamestnávania obyvateľov, ktorým sa poskytuje pomoc v hmotnej núdzi</w:t>
      </w:r>
      <w:r w:rsidR="00825BF7">
        <w:rPr>
          <w:b/>
          <w:bCs/>
        </w:rPr>
        <w:t> </w:t>
      </w:r>
      <w:r w:rsidR="007F2EEA">
        <w:rPr>
          <w:b/>
          <w:bCs/>
        </w:rPr>
        <w:t xml:space="preserve">(vrátane </w:t>
      </w:r>
      <w:r w:rsidR="00125BD2">
        <w:rPr>
          <w:b/>
          <w:bCs/>
        </w:rPr>
        <w:t>ľudí z </w:t>
      </w:r>
      <w:r w:rsidR="00825BF7">
        <w:rPr>
          <w:b/>
          <w:bCs/>
        </w:rPr>
        <w:t>prostredia</w:t>
      </w:r>
      <w:r w:rsidRPr="00CA2564">
        <w:rPr>
          <w:b/>
          <w:bCs/>
        </w:rPr>
        <w:t xml:space="preserve"> MRK</w:t>
      </w:r>
      <w:r w:rsidR="007F2EEA">
        <w:rPr>
          <w:b/>
          <w:bCs/>
        </w:rPr>
        <w:t>)</w:t>
      </w:r>
      <w:r w:rsidRPr="00CA2564">
        <w:rPr>
          <w:b/>
          <w:bCs/>
        </w:rPr>
        <w:t xml:space="preserve"> inými nástrojmi ako sú aktivačné práce, je relatívne nízka. </w:t>
      </w:r>
      <w:r w:rsidRPr="00CA2564">
        <w:rPr>
          <w:rFonts w:cs="NeueHaasGroteskText W02"/>
        </w:rPr>
        <w:t xml:space="preserve">Kým v priemernom mesiaci v roku 2017 sa zhruba každý štvrtý UoZ, ktorý nebol v systéme PHN, zúčastňoval na niektorom z nástrojov AOTP okrem aktivačných prác, medzi UoZ v systéme PHN to bol iba každý </w:t>
      </w:r>
      <w:r w:rsidRPr="00BF3599">
        <w:rPr>
          <w:rFonts w:cs="NeueHaasGroteskText W02"/>
          <w:szCs w:val="22"/>
        </w:rPr>
        <w:t>štrnásty (</w:t>
      </w:r>
      <w:r w:rsidR="00BF3599" w:rsidRPr="00BF3599">
        <w:rPr>
          <w:rFonts w:cs="NeueHaasGroteskText W02"/>
          <w:szCs w:val="22"/>
        </w:rPr>
        <w:fldChar w:fldCharType="begin"/>
      </w:r>
      <w:r w:rsidR="00BF3599" w:rsidRPr="00BF3599">
        <w:rPr>
          <w:rFonts w:cs="NeueHaasGroteskText W02"/>
          <w:szCs w:val="22"/>
        </w:rPr>
        <w:instrText xml:space="preserve"> REF _Ref33441645 \h  \* MERGEFORMAT </w:instrText>
      </w:r>
      <w:r w:rsidR="00BF3599" w:rsidRPr="00BF3599">
        <w:rPr>
          <w:rFonts w:cs="NeueHaasGroteskText W02"/>
          <w:szCs w:val="22"/>
        </w:rPr>
      </w:r>
      <w:r w:rsidR="00BF3599" w:rsidRPr="00BF3599">
        <w:rPr>
          <w:rFonts w:cs="NeueHaasGroteskText W02"/>
          <w:szCs w:val="22"/>
        </w:rPr>
        <w:fldChar w:fldCharType="separate"/>
      </w:r>
      <w:r w:rsidR="00FA29AF" w:rsidRPr="00FA29AF">
        <w:rPr>
          <w:szCs w:val="22"/>
        </w:rPr>
        <w:t xml:space="preserve">Tabuľka </w:t>
      </w:r>
      <w:r w:rsidR="00FA29AF" w:rsidRPr="00FA29AF">
        <w:rPr>
          <w:noProof/>
          <w:szCs w:val="22"/>
        </w:rPr>
        <w:t>24</w:t>
      </w:r>
      <w:r w:rsidR="00BF3599" w:rsidRPr="00BF3599">
        <w:rPr>
          <w:rFonts w:cs="NeueHaasGroteskText W02"/>
          <w:szCs w:val="22"/>
        </w:rPr>
        <w:fldChar w:fldCharType="end"/>
      </w:r>
      <w:r w:rsidRPr="00BF3599">
        <w:rPr>
          <w:rFonts w:cs="NeueHaasGroteskText W02"/>
          <w:szCs w:val="22"/>
        </w:rPr>
        <w:t>). Účasť</w:t>
      </w:r>
      <w:r w:rsidRPr="00CA2564">
        <w:rPr>
          <w:rFonts w:cs="NeueHaasGroteskText W02"/>
        </w:rPr>
        <w:t xml:space="preserve"> UoZ v systéme PHN na nástrojoch AOTP okrem aktivačných prác je veľmi nízka bez ohľadu na príslušnosť k MRK, i keď v prostredí MRK je ešte o tretinu nižšia ako mimo MRK.</w:t>
      </w:r>
      <w:r w:rsidR="003B01E7">
        <w:rPr>
          <w:rFonts w:cs="NeueHaasGroteskText W02"/>
        </w:rPr>
        <w:t xml:space="preserve"> Kým v prostredí mimo MRK je účasť žien na nástrojoch AOTP okrem aktivačných prác vyššia ako účasť mužov, v prostredí MRK je to opačne (</w:t>
      </w:r>
      <w:r w:rsidR="00213C05">
        <w:fldChar w:fldCharType="begin"/>
      </w:r>
      <w:r w:rsidR="00213C05" w:rsidRPr="00213C05">
        <w:instrText xml:space="preserve"> REF _Ref34130111 \h </w:instrText>
      </w:r>
      <w:r w:rsidR="00213C05">
        <w:instrText xml:space="preserve"> \* MERGEFORMAT </w:instrText>
      </w:r>
      <w:r w:rsidR="00213C05">
        <w:fldChar w:fldCharType="separate"/>
      </w:r>
      <w:r w:rsidR="00FA29AF" w:rsidRPr="00FA29AF">
        <w:t>Príloha 2</w:t>
      </w:r>
      <w:r w:rsidR="00213C05">
        <w:fldChar w:fldCharType="end"/>
      </w:r>
      <w:r w:rsidR="003B01E7">
        <w:rPr>
          <w:rFonts w:cs="NeueHaasGroteskText W02"/>
        </w:rPr>
        <w:t>).</w:t>
      </w:r>
      <w:bookmarkStart w:id="521" w:name="_Ref522709195"/>
      <w:bookmarkStart w:id="522" w:name="_Toc17469480"/>
    </w:p>
    <w:p w14:paraId="23DA2030" w14:textId="6648F61D" w:rsidR="00EA7FF5" w:rsidRPr="00A93B63" w:rsidRDefault="00EA7FF5" w:rsidP="002F45AF">
      <w:pPr>
        <w:spacing w:after="0"/>
        <w:rPr>
          <w:b/>
          <w:sz w:val="20"/>
        </w:rPr>
      </w:pPr>
      <w:bookmarkStart w:id="523" w:name="_Ref33441645"/>
      <w:bookmarkStart w:id="524" w:name="_Toc34156863"/>
      <w:r w:rsidRPr="00A93B63">
        <w:rPr>
          <w:b/>
          <w:sz w:val="20"/>
        </w:rPr>
        <w:t xml:space="preserve">Tabuľka </w:t>
      </w:r>
      <w:r w:rsidRPr="00A93B63">
        <w:rPr>
          <w:b/>
          <w:noProof/>
          <w:sz w:val="20"/>
        </w:rPr>
        <w:fldChar w:fldCharType="begin"/>
      </w:r>
      <w:r w:rsidRPr="00A93B63">
        <w:rPr>
          <w:b/>
          <w:noProof/>
          <w:sz w:val="20"/>
        </w:rPr>
        <w:instrText xml:space="preserve"> SEQ Tabuľka \* ARABIC </w:instrText>
      </w:r>
      <w:r w:rsidRPr="00A93B63">
        <w:rPr>
          <w:b/>
          <w:noProof/>
          <w:sz w:val="20"/>
        </w:rPr>
        <w:fldChar w:fldCharType="separate"/>
      </w:r>
      <w:r w:rsidR="00FA29AF">
        <w:rPr>
          <w:b/>
          <w:noProof/>
          <w:sz w:val="20"/>
        </w:rPr>
        <w:t>24</w:t>
      </w:r>
      <w:r w:rsidRPr="00A93B63">
        <w:rPr>
          <w:b/>
          <w:noProof/>
          <w:sz w:val="20"/>
        </w:rPr>
        <w:fldChar w:fldCharType="end"/>
      </w:r>
      <w:bookmarkEnd w:id="521"/>
      <w:bookmarkEnd w:id="523"/>
      <w:r w:rsidRPr="00A93B63">
        <w:rPr>
          <w:b/>
          <w:sz w:val="20"/>
        </w:rPr>
        <w:t>: Účasť UoZ na vybratých nástrojoch AOTP okrem aktivačných prác v roku 2017 (%)</w:t>
      </w:r>
      <w:bookmarkEnd w:id="522"/>
      <w:bookmarkEnd w:id="524"/>
    </w:p>
    <w:tbl>
      <w:tblPr>
        <w:tblW w:w="9072" w:type="dxa"/>
        <w:tblLayout w:type="fixed"/>
        <w:tblCellMar>
          <w:left w:w="70" w:type="dxa"/>
          <w:right w:w="70" w:type="dxa"/>
        </w:tblCellMar>
        <w:tblLook w:val="04A0" w:firstRow="1" w:lastRow="0" w:firstColumn="1" w:lastColumn="0" w:noHBand="0" w:noVBand="1"/>
      </w:tblPr>
      <w:tblGrid>
        <w:gridCol w:w="2268"/>
        <w:gridCol w:w="2268"/>
        <w:gridCol w:w="2268"/>
        <w:gridCol w:w="2268"/>
      </w:tblGrid>
      <w:tr w:rsidR="00DE0146" w:rsidRPr="00DE0146" w14:paraId="5A0B3A51" w14:textId="77777777" w:rsidTr="008C79EC">
        <w:trPr>
          <w:trHeight w:val="255"/>
        </w:trPr>
        <w:tc>
          <w:tcPr>
            <w:tcW w:w="2268" w:type="dxa"/>
            <w:tcBorders>
              <w:top w:val="single" w:sz="4" w:space="0" w:color="auto"/>
              <w:left w:val="nil"/>
              <w:bottom w:val="single" w:sz="4" w:space="0" w:color="auto"/>
              <w:right w:val="nil"/>
            </w:tcBorders>
            <w:shd w:val="clear" w:color="000000" w:fill="FFFFFF"/>
            <w:noWrap/>
            <w:vAlign w:val="center"/>
            <w:hideMark/>
          </w:tcPr>
          <w:p w14:paraId="347662AB" w14:textId="77777777" w:rsidR="00DE0146" w:rsidRPr="00DE0146" w:rsidRDefault="00DE0146" w:rsidP="008C79EC">
            <w:pPr>
              <w:spacing w:after="0" w:line="240" w:lineRule="auto"/>
              <w:jc w:val="right"/>
              <w:rPr>
                <w:rFonts w:eastAsia="Times New Roman" w:cs="Arial"/>
                <w:color w:val="000000"/>
                <w:sz w:val="20"/>
                <w:lang w:eastAsia="sk-SK"/>
              </w:rPr>
            </w:pPr>
            <w:r w:rsidRPr="00DE0146">
              <w:rPr>
                <w:rFonts w:eastAsia="Times New Roman" w:cs="Arial"/>
                <w:color w:val="000000"/>
                <w:sz w:val="20"/>
                <w:lang w:eastAsia="sk-SK"/>
              </w:rPr>
              <w:t> </w:t>
            </w:r>
          </w:p>
        </w:tc>
        <w:tc>
          <w:tcPr>
            <w:tcW w:w="2268" w:type="dxa"/>
            <w:tcBorders>
              <w:top w:val="single" w:sz="4" w:space="0" w:color="auto"/>
              <w:left w:val="nil"/>
              <w:bottom w:val="single" w:sz="4" w:space="0" w:color="auto"/>
              <w:right w:val="nil"/>
            </w:tcBorders>
            <w:shd w:val="clear" w:color="000000" w:fill="FFFFFF"/>
            <w:noWrap/>
            <w:vAlign w:val="center"/>
            <w:hideMark/>
          </w:tcPr>
          <w:p w14:paraId="3CB40C2B" w14:textId="77777777" w:rsidR="00DE0146" w:rsidRPr="00DE0146" w:rsidRDefault="00DE0146" w:rsidP="008C79EC">
            <w:pPr>
              <w:spacing w:after="0" w:line="240" w:lineRule="auto"/>
              <w:jc w:val="right"/>
              <w:rPr>
                <w:rFonts w:eastAsia="Times New Roman" w:cs="Arial"/>
                <w:b/>
                <w:bCs/>
                <w:color w:val="000000"/>
                <w:sz w:val="20"/>
                <w:lang w:eastAsia="sk-SK"/>
              </w:rPr>
            </w:pPr>
            <w:r w:rsidRPr="00DE0146">
              <w:rPr>
                <w:rFonts w:eastAsia="Times New Roman" w:cs="Arial"/>
                <w:b/>
                <w:bCs/>
                <w:color w:val="000000"/>
                <w:sz w:val="20"/>
                <w:lang w:eastAsia="sk-SK"/>
              </w:rPr>
              <w:t>MRK</w:t>
            </w:r>
          </w:p>
        </w:tc>
        <w:tc>
          <w:tcPr>
            <w:tcW w:w="2268" w:type="dxa"/>
            <w:tcBorders>
              <w:top w:val="single" w:sz="4" w:space="0" w:color="auto"/>
              <w:left w:val="nil"/>
              <w:bottom w:val="single" w:sz="4" w:space="0" w:color="auto"/>
              <w:right w:val="nil"/>
            </w:tcBorders>
            <w:shd w:val="clear" w:color="000000" w:fill="FFFFFF"/>
            <w:noWrap/>
            <w:vAlign w:val="center"/>
            <w:hideMark/>
          </w:tcPr>
          <w:p w14:paraId="6243A37D" w14:textId="77777777" w:rsidR="00DE0146" w:rsidRPr="00DE0146" w:rsidRDefault="00DE0146" w:rsidP="008C79EC">
            <w:pPr>
              <w:spacing w:after="0" w:line="240" w:lineRule="auto"/>
              <w:jc w:val="right"/>
              <w:rPr>
                <w:rFonts w:eastAsia="Times New Roman" w:cs="Arial"/>
                <w:b/>
                <w:bCs/>
                <w:color w:val="000000"/>
                <w:sz w:val="20"/>
                <w:lang w:eastAsia="sk-SK"/>
              </w:rPr>
            </w:pPr>
            <w:r w:rsidRPr="00DE0146">
              <w:rPr>
                <w:rFonts w:eastAsia="Times New Roman" w:cs="Arial"/>
                <w:b/>
                <w:bCs/>
                <w:color w:val="000000"/>
                <w:sz w:val="20"/>
                <w:lang w:eastAsia="sk-SK"/>
              </w:rPr>
              <w:t>mimo MRK</w:t>
            </w:r>
          </w:p>
        </w:tc>
        <w:tc>
          <w:tcPr>
            <w:tcW w:w="2268" w:type="dxa"/>
            <w:tcBorders>
              <w:top w:val="single" w:sz="4" w:space="0" w:color="auto"/>
              <w:left w:val="nil"/>
              <w:bottom w:val="single" w:sz="4" w:space="0" w:color="auto"/>
              <w:right w:val="nil"/>
            </w:tcBorders>
            <w:shd w:val="clear" w:color="000000" w:fill="FFFFFF"/>
            <w:noWrap/>
            <w:vAlign w:val="center"/>
            <w:hideMark/>
          </w:tcPr>
          <w:p w14:paraId="57E3D264" w14:textId="77777777" w:rsidR="00DE0146" w:rsidRPr="00DE0146" w:rsidRDefault="00DE0146" w:rsidP="008C79EC">
            <w:pPr>
              <w:spacing w:after="0" w:line="240" w:lineRule="auto"/>
              <w:jc w:val="right"/>
              <w:rPr>
                <w:rFonts w:eastAsia="Times New Roman" w:cs="Arial"/>
                <w:b/>
                <w:bCs/>
                <w:color w:val="000000"/>
                <w:sz w:val="20"/>
                <w:lang w:eastAsia="sk-SK"/>
              </w:rPr>
            </w:pPr>
            <w:r w:rsidRPr="00DE0146">
              <w:rPr>
                <w:rFonts w:eastAsia="Times New Roman" w:cs="Arial"/>
                <w:b/>
                <w:bCs/>
                <w:color w:val="000000"/>
                <w:sz w:val="20"/>
                <w:lang w:eastAsia="sk-SK"/>
              </w:rPr>
              <w:t>Celkom</w:t>
            </w:r>
          </w:p>
        </w:tc>
      </w:tr>
      <w:tr w:rsidR="00B901BE" w:rsidRPr="00DE0146" w14:paraId="3D7B3AD0" w14:textId="77777777" w:rsidTr="008C79EC">
        <w:trPr>
          <w:trHeight w:val="255"/>
        </w:trPr>
        <w:tc>
          <w:tcPr>
            <w:tcW w:w="2268" w:type="dxa"/>
            <w:tcBorders>
              <w:top w:val="nil"/>
              <w:left w:val="nil"/>
              <w:bottom w:val="nil"/>
              <w:right w:val="nil"/>
            </w:tcBorders>
            <w:shd w:val="clear" w:color="000000" w:fill="FFFFFF"/>
            <w:noWrap/>
            <w:vAlign w:val="center"/>
            <w:hideMark/>
          </w:tcPr>
          <w:p w14:paraId="7BC91628" w14:textId="77777777" w:rsidR="00B901BE" w:rsidRPr="00DE0146" w:rsidRDefault="00B901BE" w:rsidP="00B901BE">
            <w:pPr>
              <w:spacing w:after="0" w:line="240" w:lineRule="auto"/>
              <w:jc w:val="left"/>
              <w:rPr>
                <w:rFonts w:eastAsia="Times New Roman" w:cs="Arial"/>
                <w:b/>
                <w:bCs/>
                <w:color w:val="000000"/>
                <w:sz w:val="20"/>
                <w:lang w:eastAsia="sk-SK"/>
              </w:rPr>
            </w:pPr>
            <w:r w:rsidRPr="00DE0146">
              <w:rPr>
                <w:rFonts w:eastAsia="Times New Roman" w:cs="Arial"/>
                <w:b/>
                <w:bCs/>
                <w:color w:val="000000"/>
                <w:sz w:val="20"/>
                <w:lang w:eastAsia="sk-SK"/>
              </w:rPr>
              <w:t>HN</w:t>
            </w:r>
          </w:p>
        </w:tc>
        <w:tc>
          <w:tcPr>
            <w:tcW w:w="2268" w:type="dxa"/>
            <w:tcBorders>
              <w:top w:val="nil"/>
              <w:left w:val="nil"/>
              <w:bottom w:val="nil"/>
              <w:right w:val="nil"/>
            </w:tcBorders>
            <w:shd w:val="clear" w:color="000000" w:fill="FFFFFF"/>
            <w:noWrap/>
            <w:vAlign w:val="center"/>
            <w:hideMark/>
          </w:tcPr>
          <w:p w14:paraId="6C63E97A" w14:textId="328C84C7" w:rsidR="00B901BE" w:rsidRPr="00DE0146" w:rsidRDefault="00B901BE" w:rsidP="00B901BE">
            <w:pPr>
              <w:spacing w:after="0" w:line="240" w:lineRule="auto"/>
              <w:jc w:val="right"/>
              <w:rPr>
                <w:rFonts w:eastAsia="Times New Roman" w:cs="Arial"/>
                <w:color w:val="000000"/>
                <w:sz w:val="20"/>
                <w:lang w:eastAsia="sk-SK"/>
              </w:rPr>
            </w:pPr>
            <w:r w:rsidRPr="00DE0146">
              <w:rPr>
                <w:rFonts w:eastAsia="Times New Roman" w:cs="Arial"/>
                <w:color w:val="000000"/>
                <w:sz w:val="20"/>
                <w:lang w:eastAsia="sk-SK"/>
              </w:rPr>
              <w:t>5,3</w:t>
            </w:r>
          </w:p>
        </w:tc>
        <w:tc>
          <w:tcPr>
            <w:tcW w:w="2268" w:type="dxa"/>
            <w:tcBorders>
              <w:top w:val="nil"/>
              <w:left w:val="nil"/>
              <w:bottom w:val="nil"/>
              <w:right w:val="nil"/>
            </w:tcBorders>
            <w:shd w:val="clear" w:color="000000" w:fill="FFFFFF"/>
            <w:noWrap/>
            <w:vAlign w:val="center"/>
            <w:hideMark/>
          </w:tcPr>
          <w:p w14:paraId="5000CB5B" w14:textId="53CE91AC" w:rsidR="00B901BE" w:rsidRPr="00DE0146" w:rsidRDefault="00B901BE" w:rsidP="00B901BE">
            <w:pPr>
              <w:spacing w:after="0" w:line="240" w:lineRule="auto"/>
              <w:jc w:val="right"/>
              <w:rPr>
                <w:rFonts w:eastAsia="Times New Roman" w:cs="Arial"/>
                <w:color w:val="000000"/>
                <w:sz w:val="20"/>
                <w:lang w:eastAsia="sk-SK"/>
              </w:rPr>
            </w:pPr>
            <w:r w:rsidRPr="00DE0146">
              <w:rPr>
                <w:rFonts w:eastAsia="Times New Roman" w:cs="Arial"/>
                <w:color w:val="000000"/>
                <w:sz w:val="20"/>
                <w:lang w:eastAsia="sk-SK"/>
              </w:rPr>
              <w:t>8,1</w:t>
            </w:r>
          </w:p>
        </w:tc>
        <w:tc>
          <w:tcPr>
            <w:tcW w:w="2268" w:type="dxa"/>
            <w:tcBorders>
              <w:top w:val="nil"/>
              <w:left w:val="nil"/>
              <w:bottom w:val="nil"/>
              <w:right w:val="nil"/>
            </w:tcBorders>
            <w:shd w:val="clear" w:color="000000" w:fill="FFFFFF"/>
            <w:noWrap/>
            <w:vAlign w:val="center"/>
            <w:hideMark/>
          </w:tcPr>
          <w:p w14:paraId="49863A66" w14:textId="36B742FC" w:rsidR="00B901BE" w:rsidRPr="00DE0146" w:rsidRDefault="00B901BE" w:rsidP="00B901BE">
            <w:pPr>
              <w:spacing w:after="0" w:line="240" w:lineRule="auto"/>
              <w:jc w:val="right"/>
              <w:rPr>
                <w:rFonts w:eastAsia="Times New Roman" w:cs="Arial"/>
                <w:color w:val="000000"/>
                <w:sz w:val="20"/>
                <w:lang w:eastAsia="sk-SK"/>
              </w:rPr>
            </w:pPr>
            <w:r w:rsidRPr="00DE0146">
              <w:rPr>
                <w:rFonts w:eastAsia="Times New Roman" w:cs="Arial"/>
                <w:color w:val="000000"/>
                <w:sz w:val="20"/>
                <w:lang w:eastAsia="sk-SK"/>
              </w:rPr>
              <w:t>7,0</w:t>
            </w:r>
          </w:p>
        </w:tc>
      </w:tr>
      <w:tr w:rsidR="00B901BE" w:rsidRPr="00DE0146" w14:paraId="3378BE9E" w14:textId="77777777" w:rsidTr="008C79EC">
        <w:trPr>
          <w:trHeight w:val="255"/>
        </w:trPr>
        <w:tc>
          <w:tcPr>
            <w:tcW w:w="2268" w:type="dxa"/>
            <w:tcBorders>
              <w:top w:val="nil"/>
              <w:left w:val="nil"/>
              <w:bottom w:val="nil"/>
              <w:right w:val="nil"/>
            </w:tcBorders>
            <w:shd w:val="clear" w:color="000000" w:fill="FFFFFF"/>
            <w:noWrap/>
            <w:vAlign w:val="center"/>
            <w:hideMark/>
          </w:tcPr>
          <w:p w14:paraId="3B8C1CA6" w14:textId="77777777" w:rsidR="00B901BE" w:rsidRPr="00DE0146" w:rsidRDefault="00B901BE" w:rsidP="00B901BE">
            <w:pPr>
              <w:spacing w:after="0" w:line="240" w:lineRule="auto"/>
              <w:jc w:val="left"/>
              <w:rPr>
                <w:rFonts w:eastAsia="Times New Roman" w:cs="Arial"/>
                <w:b/>
                <w:bCs/>
                <w:color w:val="000000"/>
                <w:sz w:val="20"/>
                <w:lang w:eastAsia="sk-SK"/>
              </w:rPr>
            </w:pPr>
            <w:r w:rsidRPr="00DE0146">
              <w:rPr>
                <w:rFonts w:eastAsia="Times New Roman" w:cs="Arial"/>
                <w:b/>
                <w:bCs/>
                <w:color w:val="000000"/>
                <w:sz w:val="20"/>
                <w:lang w:eastAsia="sk-SK"/>
              </w:rPr>
              <w:t>mimo HN</w:t>
            </w:r>
          </w:p>
        </w:tc>
        <w:tc>
          <w:tcPr>
            <w:tcW w:w="2268" w:type="dxa"/>
            <w:tcBorders>
              <w:top w:val="nil"/>
              <w:left w:val="nil"/>
              <w:bottom w:val="nil"/>
              <w:right w:val="nil"/>
            </w:tcBorders>
            <w:shd w:val="clear" w:color="000000" w:fill="FFFFFF"/>
            <w:noWrap/>
            <w:vAlign w:val="center"/>
            <w:hideMark/>
          </w:tcPr>
          <w:p w14:paraId="0933D30A" w14:textId="2F918CAC" w:rsidR="00B901BE" w:rsidRPr="00DE0146" w:rsidRDefault="00B901BE" w:rsidP="00B901BE">
            <w:pPr>
              <w:spacing w:after="0" w:line="240" w:lineRule="auto"/>
              <w:jc w:val="right"/>
              <w:rPr>
                <w:rFonts w:eastAsia="Times New Roman" w:cs="Arial"/>
                <w:color w:val="000000"/>
                <w:sz w:val="20"/>
                <w:lang w:eastAsia="sk-SK"/>
              </w:rPr>
            </w:pPr>
            <w:r w:rsidRPr="00DE0146">
              <w:rPr>
                <w:rFonts w:eastAsia="Times New Roman" w:cs="Arial"/>
                <w:color w:val="000000"/>
                <w:sz w:val="20"/>
                <w:lang w:eastAsia="sk-SK"/>
              </w:rPr>
              <w:t>18,4</w:t>
            </w:r>
          </w:p>
        </w:tc>
        <w:tc>
          <w:tcPr>
            <w:tcW w:w="2268" w:type="dxa"/>
            <w:tcBorders>
              <w:top w:val="nil"/>
              <w:left w:val="nil"/>
              <w:bottom w:val="nil"/>
              <w:right w:val="nil"/>
            </w:tcBorders>
            <w:shd w:val="clear" w:color="000000" w:fill="FFFFFF"/>
            <w:noWrap/>
            <w:vAlign w:val="center"/>
            <w:hideMark/>
          </w:tcPr>
          <w:p w14:paraId="2433EC18" w14:textId="7DCE7520" w:rsidR="00B901BE" w:rsidRPr="00DE0146" w:rsidRDefault="00B901BE" w:rsidP="00B901BE">
            <w:pPr>
              <w:spacing w:after="0" w:line="240" w:lineRule="auto"/>
              <w:jc w:val="right"/>
              <w:rPr>
                <w:rFonts w:eastAsia="Times New Roman" w:cs="Arial"/>
                <w:color w:val="000000"/>
                <w:sz w:val="20"/>
                <w:lang w:eastAsia="sk-SK"/>
              </w:rPr>
            </w:pPr>
            <w:r w:rsidRPr="00DE0146">
              <w:rPr>
                <w:rFonts w:eastAsia="Times New Roman" w:cs="Arial"/>
                <w:color w:val="000000"/>
                <w:sz w:val="20"/>
                <w:lang w:eastAsia="sk-SK"/>
              </w:rPr>
              <w:t>24,8</w:t>
            </w:r>
          </w:p>
        </w:tc>
        <w:tc>
          <w:tcPr>
            <w:tcW w:w="2268" w:type="dxa"/>
            <w:tcBorders>
              <w:top w:val="nil"/>
              <w:left w:val="nil"/>
              <w:bottom w:val="nil"/>
              <w:right w:val="nil"/>
            </w:tcBorders>
            <w:shd w:val="clear" w:color="000000" w:fill="FFFFFF"/>
            <w:noWrap/>
            <w:vAlign w:val="center"/>
            <w:hideMark/>
          </w:tcPr>
          <w:p w14:paraId="76F516CD" w14:textId="74705A3D" w:rsidR="00B901BE" w:rsidRPr="00DE0146" w:rsidRDefault="00B901BE" w:rsidP="00B901BE">
            <w:pPr>
              <w:spacing w:after="0" w:line="240" w:lineRule="auto"/>
              <w:jc w:val="right"/>
              <w:rPr>
                <w:rFonts w:eastAsia="Times New Roman" w:cs="Arial"/>
                <w:color w:val="000000"/>
                <w:sz w:val="20"/>
                <w:lang w:eastAsia="sk-SK"/>
              </w:rPr>
            </w:pPr>
            <w:r w:rsidRPr="00DE0146">
              <w:rPr>
                <w:rFonts w:eastAsia="Times New Roman" w:cs="Arial"/>
                <w:color w:val="000000"/>
                <w:sz w:val="20"/>
                <w:lang w:eastAsia="sk-SK"/>
              </w:rPr>
              <w:t>24,3</w:t>
            </w:r>
          </w:p>
        </w:tc>
      </w:tr>
      <w:tr w:rsidR="00B901BE" w:rsidRPr="00DE0146" w14:paraId="41D2AA9E" w14:textId="77777777" w:rsidTr="008C79EC">
        <w:trPr>
          <w:trHeight w:val="255"/>
        </w:trPr>
        <w:tc>
          <w:tcPr>
            <w:tcW w:w="2268" w:type="dxa"/>
            <w:tcBorders>
              <w:top w:val="nil"/>
              <w:left w:val="nil"/>
              <w:bottom w:val="single" w:sz="4" w:space="0" w:color="auto"/>
              <w:right w:val="nil"/>
            </w:tcBorders>
            <w:shd w:val="clear" w:color="000000" w:fill="FFFFFF"/>
            <w:noWrap/>
            <w:vAlign w:val="center"/>
            <w:hideMark/>
          </w:tcPr>
          <w:p w14:paraId="3A358EE3" w14:textId="77777777" w:rsidR="00B901BE" w:rsidRPr="00DE0146" w:rsidRDefault="00B901BE" w:rsidP="00B901BE">
            <w:pPr>
              <w:spacing w:after="0" w:line="240" w:lineRule="auto"/>
              <w:jc w:val="left"/>
              <w:rPr>
                <w:rFonts w:eastAsia="Times New Roman" w:cs="Arial"/>
                <w:b/>
                <w:bCs/>
                <w:color w:val="000000"/>
                <w:sz w:val="20"/>
                <w:lang w:eastAsia="sk-SK"/>
              </w:rPr>
            </w:pPr>
            <w:r w:rsidRPr="00DE0146">
              <w:rPr>
                <w:rFonts w:eastAsia="Times New Roman" w:cs="Arial"/>
                <w:b/>
                <w:bCs/>
                <w:color w:val="000000"/>
                <w:sz w:val="20"/>
                <w:lang w:eastAsia="sk-SK"/>
              </w:rPr>
              <w:t>Celkom</w:t>
            </w:r>
          </w:p>
        </w:tc>
        <w:tc>
          <w:tcPr>
            <w:tcW w:w="2268" w:type="dxa"/>
            <w:tcBorders>
              <w:top w:val="nil"/>
              <w:left w:val="nil"/>
              <w:bottom w:val="single" w:sz="4" w:space="0" w:color="auto"/>
              <w:right w:val="nil"/>
            </w:tcBorders>
            <w:shd w:val="clear" w:color="000000" w:fill="FFFFFF"/>
            <w:noWrap/>
            <w:vAlign w:val="center"/>
            <w:hideMark/>
          </w:tcPr>
          <w:p w14:paraId="33B76BFD" w14:textId="1542BBB1" w:rsidR="00B901BE" w:rsidRPr="00DE0146" w:rsidRDefault="00B901BE" w:rsidP="00B901BE">
            <w:pPr>
              <w:spacing w:after="0" w:line="240" w:lineRule="auto"/>
              <w:jc w:val="right"/>
              <w:rPr>
                <w:rFonts w:eastAsia="Times New Roman" w:cs="Arial"/>
                <w:color w:val="000000"/>
                <w:sz w:val="20"/>
                <w:lang w:eastAsia="sk-SK"/>
              </w:rPr>
            </w:pPr>
            <w:r w:rsidRPr="00DE0146">
              <w:rPr>
                <w:rFonts w:eastAsia="Times New Roman" w:cs="Arial"/>
                <w:color w:val="000000"/>
                <w:sz w:val="20"/>
                <w:lang w:eastAsia="sk-SK"/>
              </w:rPr>
              <w:t>11,2</w:t>
            </w:r>
          </w:p>
        </w:tc>
        <w:tc>
          <w:tcPr>
            <w:tcW w:w="2268" w:type="dxa"/>
            <w:tcBorders>
              <w:top w:val="nil"/>
              <w:left w:val="nil"/>
              <w:bottom w:val="single" w:sz="4" w:space="0" w:color="auto"/>
              <w:right w:val="nil"/>
            </w:tcBorders>
            <w:shd w:val="clear" w:color="000000" w:fill="FFFFFF"/>
            <w:noWrap/>
            <w:vAlign w:val="center"/>
            <w:hideMark/>
          </w:tcPr>
          <w:p w14:paraId="1EB6945E" w14:textId="3C272D93" w:rsidR="00B901BE" w:rsidRPr="00DE0146" w:rsidRDefault="00B901BE" w:rsidP="00B901BE">
            <w:pPr>
              <w:spacing w:after="0" w:line="240" w:lineRule="auto"/>
              <w:jc w:val="right"/>
              <w:rPr>
                <w:rFonts w:eastAsia="Times New Roman" w:cs="Arial"/>
                <w:color w:val="000000"/>
                <w:sz w:val="20"/>
                <w:lang w:eastAsia="sk-SK"/>
              </w:rPr>
            </w:pPr>
            <w:r w:rsidRPr="00DE0146">
              <w:rPr>
                <w:rFonts w:eastAsia="Times New Roman" w:cs="Arial"/>
                <w:color w:val="000000"/>
                <w:sz w:val="20"/>
                <w:lang w:eastAsia="sk-SK"/>
              </w:rPr>
              <w:t>22,4</w:t>
            </w:r>
          </w:p>
        </w:tc>
        <w:tc>
          <w:tcPr>
            <w:tcW w:w="2268" w:type="dxa"/>
            <w:tcBorders>
              <w:top w:val="nil"/>
              <w:left w:val="nil"/>
              <w:bottom w:val="single" w:sz="4" w:space="0" w:color="auto"/>
              <w:right w:val="nil"/>
            </w:tcBorders>
            <w:shd w:val="clear" w:color="000000" w:fill="FFFFFF"/>
            <w:noWrap/>
            <w:vAlign w:val="center"/>
            <w:hideMark/>
          </w:tcPr>
          <w:p w14:paraId="5D668A40" w14:textId="460C23B0" w:rsidR="00B901BE" w:rsidRPr="00DE0146" w:rsidRDefault="00B901BE" w:rsidP="00B901BE">
            <w:pPr>
              <w:spacing w:after="0" w:line="240" w:lineRule="auto"/>
              <w:jc w:val="right"/>
              <w:rPr>
                <w:rFonts w:eastAsia="Times New Roman" w:cs="Arial"/>
                <w:color w:val="000000"/>
                <w:sz w:val="20"/>
                <w:lang w:eastAsia="sk-SK"/>
              </w:rPr>
            </w:pPr>
            <w:r w:rsidRPr="00DE0146">
              <w:rPr>
                <w:rFonts w:eastAsia="Times New Roman" w:cs="Arial"/>
                <w:color w:val="000000"/>
                <w:sz w:val="20"/>
                <w:lang w:eastAsia="sk-SK"/>
              </w:rPr>
              <w:t>21,0</w:t>
            </w:r>
          </w:p>
        </w:tc>
      </w:tr>
      <w:tr w:rsidR="00EA7FF5" w:rsidRPr="00CA2564" w14:paraId="3332F238" w14:textId="77777777" w:rsidTr="00DE0146">
        <w:trPr>
          <w:trHeight w:val="285"/>
        </w:trPr>
        <w:tc>
          <w:tcPr>
            <w:tcW w:w="9072" w:type="dxa"/>
            <w:gridSpan w:val="4"/>
            <w:tcBorders>
              <w:top w:val="nil"/>
              <w:left w:val="nil"/>
              <w:bottom w:val="nil"/>
              <w:right w:val="nil"/>
            </w:tcBorders>
            <w:shd w:val="clear" w:color="000000" w:fill="FFFFFF"/>
            <w:noWrap/>
            <w:vAlign w:val="center"/>
            <w:hideMark/>
          </w:tcPr>
          <w:p w14:paraId="7ED18326" w14:textId="77777777" w:rsidR="00EA7FF5" w:rsidRPr="00CA2564" w:rsidRDefault="00EA7FF5" w:rsidP="009E6C4C">
            <w:pPr>
              <w:spacing w:after="0"/>
              <w:jc w:val="right"/>
              <w:rPr>
                <w:rFonts w:eastAsia="Times New Roman" w:cs="Arial"/>
                <w:i/>
                <w:iCs/>
                <w:color w:val="000000"/>
                <w:sz w:val="16"/>
                <w:szCs w:val="16"/>
                <w:lang w:eastAsia="sk-SK"/>
              </w:rPr>
            </w:pPr>
            <w:r w:rsidRPr="00CA2564">
              <w:rPr>
                <w:rFonts w:eastAsia="Times New Roman" w:cs="Arial"/>
                <w:i/>
                <w:iCs/>
                <w:color w:val="000000"/>
                <w:sz w:val="16"/>
                <w:szCs w:val="16"/>
                <w:lang w:eastAsia="sk-SK"/>
              </w:rPr>
              <w:t>Zdroj: ÚHP na základe údajov ÚPSVR a ARK</w:t>
            </w:r>
          </w:p>
          <w:p w14:paraId="46A14077" w14:textId="319AC1D0" w:rsidR="00EA7FF5" w:rsidRPr="00CA2564" w:rsidRDefault="00EA7FF5" w:rsidP="002A676F">
            <w:pPr>
              <w:spacing w:after="0"/>
              <w:jc w:val="left"/>
              <w:rPr>
                <w:rFonts w:eastAsia="Times New Roman" w:cs="Arial"/>
                <w:i/>
                <w:iCs/>
                <w:color w:val="000000"/>
                <w:sz w:val="16"/>
                <w:szCs w:val="16"/>
                <w:lang w:eastAsia="sk-SK"/>
              </w:rPr>
            </w:pPr>
            <w:r w:rsidRPr="00CA2564">
              <w:rPr>
                <w:rFonts w:eastAsia="Times New Roman" w:cs="Times New Roman"/>
                <w:i/>
                <w:iCs/>
                <w:color w:val="000000"/>
                <w:sz w:val="16"/>
                <w:szCs w:val="16"/>
                <w:lang w:eastAsia="sk-SK"/>
              </w:rPr>
              <w:t xml:space="preserve">Poznámka: Čísla v tabuľke sú priemerné mesačné podiely. Okrem aktivačných prác vybraté nástroje AOTP nezahŕňajú informačné a poradenské služby (§ 42 zákona o službách </w:t>
            </w:r>
            <w:r w:rsidRPr="00980973">
              <w:rPr>
                <w:rFonts w:eastAsia="Times New Roman" w:cs="Times New Roman"/>
                <w:i/>
                <w:iCs/>
                <w:color w:val="000000"/>
                <w:sz w:val="16"/>
                <w:szCs w:val="16"/>
                <w:lang w:eastAsia="sk-SK"/>
              </w:rPr>
              <w:t>zamestnanosti</w:t>
            </w:r>
            <w:r w:rsidR="002A676F">
              <w:rPr>
                <w:i/>
                <w:noProof/>
                <w:sz w:val="16"/>
                <w:szCs w:val="16"/>
              </w:rPr>
              <w:t xml:space="preserve">). </w:t>
            </w:r>
            <w:r w:rsidR="002A676F" w:rsidRPr="002A676F">
              <w:rPr>
                <w:i/>
                <w:noProof/>
                <w:sz w:val="18"/>
                <w:szCs w:val="18"/>
              </w:rPr>
              <w:fldChar w:fldCharType="begin"/>
            </w:r>
            <w:r w:rsidR="002A676F" w:rsidRPr="002A676F">
              <w:rPr>
                <w:rFonts w:eastAsia="Times New Roman" w:cs="Times New Roman"/>
                <w:i/>
                <w:iCs/>
                <w:color w:val="000000"/>
                <w:sz w:val="18"/>
                <w:szCs w:val="18"/>
              </w:rPr>
              <w:instrText xml:space="preserve"> REF _Ref33439692 \h </w:instrText>
            </w:r>
            <w:r w:rsidR="002A676F" w:rsidRPr="002A676F">
              <w:rPr>
                <w:i/>
                <w:noProof/>
                <w:sz w:val="18"/>
                <w:szCs w:val="18"/>
              </w:rPr>
              <w:instrText xml:space="preserve"> \* MERGEFORMAT </w:instrText>
            </w:r>
            <w:r w:rsidR="002A676F" w:rsidRPr="002A676F">
              <w:rPr>
                <w:i/>
                <w:noProof/>
                <w:sz w:val="18"/>
                <w:szCs w:val="18"/>
              </w:rPr>
            </w:r>
            <w:r w:rsidR="002A676F" w:rsidRPr="002A676F">
              <w:rPr>
                <w:i/>
                <w:noProof/>
                <w:sz w:val="18"/>
                <w:szCs w:val="18"/>
              </w:rPr>
              <w:fldChar w:fldCharType="separate"/>
            </w:r>
            <w:r w:rsidR="00FA29AF" w:rsidRPr="00FA29AF">
              <w:rPr>
                <w:i/>
                <w:sz w:val="18"/>
                <w:szCs w:val="18"/>
              </w:rPr>
              <w:t xml:space="preserve">Box </w:t>
            </w:r>
            <w:r w:rsidR="00FA29AF" w:rsidRPr="00FA29AF">
              <w:rPr>
                <w:i/>
                <w:noProof/>
                <w:sz w:val="18"/>
                <w:szCs w:val="18"/>
              </w:rPr>
              <w:t>3</w:t>
            </w:r>
            <w:r w:rsidR="002A676F" w:rsidRPr="002A676F">
              <w:rPr>
                <w:i/>
                <w:noProof/>
                <w:sz w:val="18"/>
                <w:szCs w:val="18"/>
              </w:rPr>
              <w:fldChar w:fldCharType="end"/>
            </w:r>
            <w:r w:rsidR="002A676F" w:rsidRPr="002A676F">
              <w:rPr>
                <w:i/>
                <w:noProof/>
                <w:sz w:val="18"/>
                <w:szCs w:val="18"/>
              </w:rPr>
              <w:t xml:space="preserve"> </w:t>
            </w:r>
            <w:r w:rsidRPr="00CA2564">
              <w:rPr>
                <w:i/>
                <w:noProof/>
                <w:sz w:val="16"/>
                <w:szCs w:val="16"/>
              </w:rPr>
              <w:t>pre definíciu MRK a PHN.</w:t>
            </w:r>
          </w:p>
        </w:tc>
      </w:tr>
    </w:tbl>
    <w:p w14:paraId="448311C7" w14:textId="1470061B" w:rsidR="00EA7FF5" w:rsidRPr="00CA2564" w:rsidRDefault="00EA7FF5" w:rsidP="009E6C4C">
      <w:pPr>
        <w:spacing w:before="160"/>
      </w:pPr>
      <w:r w:rsidRPr="00CA2564">
        <w:rPr>
          <w:b/>
        </w:rPr>
        <w:t xml:space="preserve">Lepšie cielenie zdrojov a časovanie pomoci uchádzačom o zamestnanie s najväčším znevýhodnením na trhu práce by pomohla dosiahnuť ich profilácia hneď pri zaradení do evidencie. </w:t>
      </w:r>
      <w:r w:rsidRPr="00CA2564">
        <w:t>Profilácia je systematický prístup k odhadu rizika dlhodobej nezamestnanosti na základe charakteristík jednotlivca a miestneho pracovného trhu za účelom optimálneho nastavenia časovania, štruktúry a intenzity pomoci. Ide o diagnostický nástroj, ktorý nenahrádza</w:t>
      </w:r>
      <w:r w:rsidR="007971E7">
        <w:t>,</w:t>
      </w:r>
      <w:r w:rsidRPr="00CA2564">
        <w:t xml:space="preserve"> ale dopĺňa a zefektívňuje prácu zamestnancov úradov práce. Štatistická kvantitatívna profilácia na základe administratívnych údajov, prípadne doplnených o údaje získané </w:t>
      </w:r>
      <w:r w:rsidR="008F0CF5">
        <w:t xml:space="preserve">pri </w:t>
      </w:r>
      <w:r w:rsidRPr="00CA2564">
        <w:t>rozhovore s uchádzačom, poskytuje objektívnejší a presnejší obraz o miere znevýhodnenia ako subjektívne posúdenie pracovníka úradu práce alebo rigidná a binárna definícia znevýhodnenia v zákone o službách zamestnanosti.</w:t>
      </w:r>
    </w:p>
    <w:p w14:paraId="734DEB69" w14:textId="60C0B00F" w:rsidR="00EA7FF5" w:rsidRPr="00CA2564" w:rsidRDefault="00EA7FF5" w:rsidP="009E6C4C">
      <w:pPr>
        <w:spacing w:before="160"/>
      </w:pPr>
      <w:r w:rsidRPr="00CA2564">
        <w:t xml:space="preserve">Tento nástroj je používaný vo viacerých vyspelých krajinách (Kureková, 2014). Česká štúdia ukázala, že profilácia na základe administratívnych údajov dokázala správne predpovedať 79 % prípadov zotrvania uchádzača v evidencii viac ako 12 mesiacov v porovnaní s úspešnosťou 58 % na základe zákonom definovaných kritérií rizikového uchádzača o zamestnanie. Náklady na obe metódy sú pritom podobné (Soukup, 2009). </w:t>
      </w:r>
      <w:r w:rsidR="008F0CF5">
        <w:t>Spoločenský p</w:t>
      </w:r>
      <w:r w:rsidRPr="00CA2564">
        <w:t>rínos presnejšieho odhadu rizikovosti uchádzača samozrejme závisí od toho, ako túto informáciu úrady práce využijú a </w:t>
      </w:r>
      <w:r w:rsidR="008F0CF5">
        <w:t>od</w:t>
      </w:r>
      <w:r w:rsidRPr="00CA2564">
        <w:t xml:space="preserve"> kvalit</w:t>
      </w:r>
      <w:r w:rsidR="008F0CF5">
        <w:t>y</w:t>
      </w:r>
      <w:r w:rsidRPr="00CA2564">
        <w:t xml:space="preserve"> poskytnutej pomoci.</w:t>
      </w:r>
    </w:p>
    <w:p w14:paraId="0F4D1F79" w14:textId="6844AE9E" w:rsidR="00EA7FF5" w:rsidRPr="00CA2564" w:rsidRDefault="00EA7FF5" w:rsidP="009E6C4C">
      <w:pPr>
        <w:spacing w:before="160"/>
      </w:pPr>
      <w:r w:rsidRPr="00CA2564">
        <w:rPr>
          <w:b/>
        </w:rPr>
        <w:t xml:space="preserve">Profilácia uchádzačov o zamestnanie na Slovensku je robená veľmi nahrubo, bez použitia sofistikovaných štatistických nástrojov a bez </w:t>
      </w:r>
      <w:r w:rsidR="000975F1">
        <w:rPr>
          <w:b/>
        </w:rPr>
        <w:t>využitia všetkých</w:t>
      </w:r>
      <w:r w:rsidRPr="00CA2564">
        <w:rPr>
          <w:b/>
        </w:rPr>
        <w:t xml:space="preserve"> relevantn</w:t>
      </w:r>
      <w:r w:rsidR="000975F1">
        <w:rPr>
          <w:b/>
        </w:rPr>
        <w:t>ých</w:t>
      </w:r>
      <w:r w:rsidRPr="00CA2564">
        <w:rPr>
          <w:b/>
        </w:rPr>
        <w:t xml:space="preserve"> informáci</w:t>
      </w:r>
      <w:r w:rsidR="000975F1">
        <w:rPr>
          <w:b/>
        </w:rPr>
        <w:t>í</w:t>
      </w:r>
      <w:r w:rsidRPr="00CA2564">
        <w:rPr>
          <w:b/>
        </w:rPr>
        <w:t>, ktoré sú úradom práce dostupné</w:t>
      </w:r>
      <w:r w:rsidRPr="00CA2564">
        <w:t xml:space="preserve">. Profilácia spočíva v kategorizácii UoZ zamestnancami úradov práce </w:t>
      </w:r>
      <w:r w:rsidRPr="00CA2564">
        <w:rPr>
          <w:szCs w:val="22"/>
          <w:lang w:eastAsia="cs-CZ"/>
        </w:rPr>
        <w:t>z hľadiska uplatniteľnosti na trhu práce pri zohľadnení dĺžky evidencie</w:t>
      </w:r>
      <w:r w:rsidRPr="00CA2564">
        <w:rPr>
          <w:lang w:eastAsia="cs-CZ"/>
        </w:rPr>
        <w:t xml:space="preserve"> do piatich skupín. Skupinu A tvoria mladí do 29 rokov, ktorí sú považovaní za relatívne ľahko umiestniteľných. Skupinu B tvoria UoZ nad 50 rokov, ktorí sú považovaní za stredne ťažko umiestniteľn</w:t>
      </w:r>
      <w:r w:rsidR="007971E7">
        <w:rPr>
          <w:lang w:eastAsia="cs-CZ"/>
        </w:rPr>
        <w:t>ých</w:t>
      </w:r>
      <w:r w:rsidRPr="00CA2564">
        <w:rPr>
          <w:lang w:eastAsia="cs-CZ"/>
        </w:rPr>
        <w:t>. Skupinu C tvoria dlhodobo nezamestnaní UoZ, ktorí sú považovaní za ťažko umiestniteľných. Skupinu D tvoria „neumiestniteľní“ UoZ, ktorých prekážky na trhu práce spočívajú v závislosti (napr. drogy, gamblerstvo), absencii základných hygienických návykov alebo sociálnej neprispôsobi</w:t>
      </w:r>
      <w:r w:rsidR="00870096">
        <w:rPr>
          <w:lang w:eastAsia="cs-CZ"/>
        </w:rPr>
        <w:t>l</w:t>
      </w:r>
      <w:r w:rsidRPr="00CA2564">
        <w:rPr>
          <w:lang w:eastAsia="cs-CZ"/>
        </w:rPr>
        <w:t>osti (napr. agresivite, bezdomovectvu). Piatu skupinu tvoria ostatní UoZ</w:t>
      </w:r>
      <w:r w:rsidRPr="00CA2564">
        <w:rPr>
          <w:rStyle w:val="Odkaznapoznmkupodiarou"/>
          <w:lang w:eastAsia="cs-CZ"/>
        </w:rPr>
        <w:footnoteReference w:id="321"/>
      </w:r>
      <w:r w:rsidRPr="00CA2564">
        <w:rPr>
          <w:lang w:eastAsia="cs-CZ"/>
        </w:rPr>
        <w:t>.</w:t>
      </w:r>
    </w:p>
    <w:p w14:paraId="1CBD100B" w14:textId="49BA4ADB" w:rsidR="00EA7FF5" w:rsidRPr="00AB28DA" w:rsidRDefault="00EA7FF5" w:rsidP="009E6C4C">
      <w:pPr>
        <w:spacing w:before="160"/>
      </w:pPr>
      <w:r w:rsidRPr="00CA2564">
        <w:t>Informácie, ktoré sú vysoko relevantné pre uplatnenie na trhu práce</w:t>
      </w:r>
      <w:r w:rsidR="005E0891">
        <w:t>,</w:t>
      </w:r>
      <w:r w:rsidRPr="00CA2564">
        <w:t xml:space="preserve"> a sú buď dostupné z administratívnych údajov alebo ľahko zistiteľné pri pohovore s</w:t>
      </w:r>
      <w:r w:rsidR="005E0891">
        <w:t> </w:t>
      </w:r>
      <w:r w:rsidRPr="00CA2564">
        <w:t>klientom</w:t>
      </w:r>
      <w:r w:rsidR="005E0891">
        <w:t>,</w:t>
      </w:r>
      <w:r w:rsidRPr="00CA2564">
        <w:t xml:space="preserve"> ako napríklad rod, hmotná núdza, vzdelanie, prax, zdravotné postihnutie, predošlá účasť na nástrojoch AOTP, bydlisko v priestorovo vylúčenej komunite, motivácia nájsť si zamestnanie, starostlivosť o odkázanú osobu</w:t>
      </w:r>
      <w:r w:rsidR="00EF5191">
        <w:t>,</w:t>
      </w:r>
      <w:r w:rsidRPr="00CA2564">
        <w:t xml:space="preserve"> nie sú formálne zohľadňované pri profilácii. Komplexnejšie a intenzívnejšie poradenstvo zo strany úradov práce (napr. odborné poradenské služby, bilancia kompetencií, individuálny akčný plán) zväčša nastupuje až po 6 mesiacoch v evidencii, čo ide proti princípu včasnej intervencie s cieľom zabrániť </w:t>
      </w:r>
      <w:r w:rsidRPr="00AB28DA">
        <w:t>prepadu do dlhodobej nezamestnanosti.</w:t>
      </w:r>
    </w:p>
    <w:p w14:paraId="573E3237" w14:textId="2ECC0D39" w:rsidR="002F7F94" w:rsidRPr="00AB28DA" w:rsidRDefault="002F7F94" w:rsidP="009E6C4C">
      <w:pPr>
        <w:spacing w:before="160"/>
      </w:pPr>
      <w:r w:rsidRPr="00AB28DA">
        <w:rPr>
          <w:b/>
          <w:szCs w:val="22"/>
        </w:rPr>
        <w:t>Revízi</w:t>
      </w:r>
      <w:r w:rsidR="007E3D39" w:rsidRPr="00AB28DA">
        <w:rPr>
          <w:b/>
          <w:szCs w:val="22"/>
        </w:rPr>
        <w:t>a</w:t>
      </w:r>
      <w:r w:rsidRPr="00AB28DA">
        <w:rPr>
          <w:b/>
          <w:szCs w:val="22"/>
        </w:rPr>
        <w:t xml:space="preserve"> navrhuje vypracovať profiláciu uchádzačov o zamestnanie založenú na kvantitatívnych metódach s cieľom včasnej identifikácie tých uchádzačov o zamestnanie, u ktorých je zvýšené riziko upadnutia do dlhodobej nezamestnanosti.</w:t>
      </w:r>
    </w:p>
    <w:p w14:paraId="1C1D3A7C" w14:textId="6CFA989F" w:rsidR="00EA7FF5" w:rsidRDefault="00EA7FF5" w:rsidP="009E6C4C">
      <w:pPr>
        <w:spacing w:before="160"/>
        <w:rPr>
          <w:bCs/>
        </w:rPr>
      </w:pPr>
      <w:r w:rsidRPr="00AB28DA">
        <w:rPr>
          <w:b/>
        </w:rPr>
        <w:t>K</w:t>
      </w:r>
      <w:r w:rsidR="002F7F94" w:rsidRPr="00AB28DA">
        <w:rPr>
          <w:b/>
        </w:rPr>
        <w:t> tomuto cieľu</w:t>
      </w:r>
      <w:r w:rsidRPr="00AB28DA">
        <w:rPr>
          <w:b/>
        </w:rPr>
        <w:t xml:space="preserve"> môže prispieť národný</w:t>
      </w:r>
      <w:r w:rsidRPr="00CA2564">
        <w:rPr>
          <w:b/>
        </w:rPr>
        <w:t xml:space="preserve"> projekt Efektívnymi službami k občanovi 2 (ESKO 2) v rámci operačného programu Ľudské zdroje. </w:t>
      </w:r>
      <w:r w:rsidRPr="00CA2564">
        <w:rPr>
          <w:bCs/>
        </w:rPr>
        <w:t xml:space="preserve">Cieľom projektu je budovanie proklientsky orientovanej štátnej správy v oblasti zamestnanosti tak, aby poskytované služby boli dostupné, adresné a komplexné, so snahou riešiť životné situácie občana na jednom mieste. </w:t>
      </w:r>
      <w:r w:rsidRPr="00CA2564">
        <w:rPr>
          <w:rFonts w:cs="Arial"/>
          <w:bCs/>
          <w:color w:val="000000"/>
        </w:rPr>
        <w:t>Jednou z hlavných častí projektu ESKO 2 je profilácia klienta pomocou údajov z existujúcich rezortných interných systémov, iných orgánov verejnej moci (napr. Sociálna poisťovňa) a Big data.</w:t>
      </w:r>
      <w:r w:rsidRPr="00CA2564">
        <w:rPr>
          <w:bCs/>
        </w:rPr>
        <w:t xml:space="preserve"> </w:t>
      </w:r>
      <w:r w:rsidRPr="00CA2564">
        <w:rPr>
          <w:rFonts w:cs="Arial"/>
          <w:bCs/>
          <w:color w:val="000000"/>
        </w:rPr>
        <w:t>Revízia výdavkov na zamestnanosť a sociálne politiky odhadla prínosy projektu ESKO 2 z efektívnejšieho umiesťovania zamestnancov na trhu práce na 8,6 mil. eur ročne (</w:t>
      </w:r>
      <w:r w:rsidRPr="00CA2564">
        <w:t>ÚHP a ISP, 2017</w:t>
      </w:r>
      <w:r w:rsidRPr="00CA2564">
        <w:rPr>
          <w:rFonts w:cs="Arial"/>
          <w:bCs/>
          <w:color w:val="000000"/>
        </w:rPr>
        <w:t>). Útvar hodnoty za peniaze na základe predložených údajov očakáva, že projekt dosiahne pozitívny pomer prínosov a nákladov 1,5</w:t>
      </w:r>
      <w:r w:rsidR="009116BC">
        <w:rPr>
          <w:rFonts w:cs="Arial"/>
          <w:bCs/>
          <w:color w:val="000000"/>
        </w:rPr>
        <w:t>.</w:t>
      </w:r>
      <w:r w:rsidRPr="00CA2564">
        <w:rPr>
          <w:rStyle w:val="Odkaznapoznmkupodiarou"/>
          <w:rFonts w:cs="Arial"/>
          <w:bCs/>
          <w:color w:val="000000"/>
        </w:rPr>
        <w:footnoteReference w:id="322"/>
      </w:r>
      <w:r w:rsidR="0070047D">
        <w:rPr>
          <w:rFonts w:cs="Arial"/>
          <w:bCs/>
          <w:color w:val="000000"/>
        </w:rPr>
        <w:t xml:space="preserve"> </w:t>
      </w:r>
      <w:r w:rsidRPr="00CA2564">
        <w:rPr>
          <w:bCs/>
        </w:rPr>
        <w:t>Na projekt bolo</w:t>
      </w:r>
      <w:r w:rsidR="00A1434B">
        <w:rPr>
          <w:bCs/>
        </w:rPr>
        <w:t xml:space="preserve"> v júli 2019</w:t>
      </w:r>
      <w:r w:rsidRPr="00CA2564">
        <w:rPr>
          <w:bCs/>
        </w:rPr>
        <w:t xml:space="preserve"> zazmluvnených </w:t>
      </w:r>
      <w:r w:rsidR="008255F4">
        <w:rPr>
          <w:bCs/>
        </w:rPr>
        <w:t xml:space="preserve">približne </w:t>
      </w:r>
      <w:r w:rsidRPr="00CA2564">
        <w:rPr>
          <w:bCs/>
        </w:rPr>
        <w:t>34 miliónov eur.</w:t>
      </w:r>
    </w:p>
    <w:p w14:paraId="070F5710" w14:textId="61BFA3C5" w:rsidR="00EA7FF5" w:rsidRPr="00CA2564" w:rsidRDefault="00EA7FF5" w:rsidP="009E6C4C">
      <w:pPr>
        <w:spacing w:before="160"/>
        <w:rPr>
          <w:color w:val="0070C0"/>
        </w:rPr>
      </w:pPr>
      <w:r w:rsidRPr="00CA2564">
        <w:rPr>
          <w:color w:val="0070C0"/>
        </w:rPr>
        <w:t>Aktivačné práce ako AOTP</w:t>
      </w:r>
    </w:p>
    <w:p w14:paraId="6F06C71D" w14:textId="0FFAA2C6" w:rsidR="000F2AD2" w:rsidRDefault="00231820" w:rsidP="009E6C4C">
      <w:pPr>
        <w:spacing w:before="160"/>
        <w:rPr>
          <w:rFonts w:cs="Helvetica"/>
        </w:rPr>
      </w:pPr>
      <w:r>
        <w:rPr>
          <w:b/>
          <w:bCs/>
        </w:rPr>
        <w:t xml:space="preserve">Aktivačné práce vykonávalo v roku 2018 v priemere </w:t>
      </w:r>
      <w:r w:rsidR="009116BC">
        <w:rPr>
          <w:b/>
          <w:bCs/>
        </w:rPr>
        <w:t>24 8</w:t>
      </w:r>
      <w:r w:rsidR="00017759">
        <w:rPr>
          <w:b/>
          <w:bCs/>
        </w:rPr>
        <w:t>56</w:t>
      </w:r>
      <w:r>
        <w:rPr>
          <w:b/>
          <w:bCs/>
        </w:rPr>
        <w:t xml:space="preserve"> ľudí za mesiac. </w:t>
      </w:r>
      <w:r w:rsidR="00EA7FF5" w:rsidRPr="00CA2564">
        <w:rPr>
          <w:b/>
          <w:bCs/>
        </w:rPr>
        <w:t xml:space="preserve">Aktivačné práce sú na Slovensku implementované dvojkoľajne. </w:t>
      </w:r>
      <w:r w:rsidR="00EA7FF5" w:rsidRPr="00CA2564">
        <w:rPr>
          <w:bCs/>
        </w:rPr>
        <w:t xml:space="preserve">Jednu koľaj tvorí aktivačná činnosť formou </w:t>
      </w:r>
      <w:r w:rsidR="00EA7FF5" w:rsidRPr="00CA2564">
        <w:rPr>
          <w:rFonts w:cs="Helvetica"/>
        </w:rPr>
        <w:t>menších obecných služieb pre obec alebo formou menších služieb pre samosprávny kraj v rámci AOTP na základe dohody medzi uchádzačom o zamestnanie a úradom práce</w:t>
      </w:r>
      <w:r w:rsidR="00095985">
        <w:rPr>
          <w:rFonts w:cs="Helvetica"/>
        </w:rPr>
        <w:t xml:space="preserve"> a dohody medzi úradom práce a obcou alebo samosprávnym krajom</w:t>
      </w:r>
      <w:r w:rsidR="00FA17C4">
        <w:rPr>
          <w:rFonts w:cs="Helvetica"/>
        </w:rPr>
        <w:t xml:space="preserve"> </w:t>
      </w:r>
      <w:r>
        <w:rPr>
          <w:rFonts w:cs="Helvetica"/>
        </w:rPr>
        <w:t>(</w:t>
      </w:r>
      <w:r w:rsidR="00017759">
        <w:rPr>
          <w:rFonts w:cs="Helvetica"/>
        </w:rPr>
        <w:t>14</w:t>
      </w:r>
      <w:r>
        <w:rPr>
          <w:rFonts w:cs="Helvetica"/>
        </w:rPr>
        <w:t xml:space="preserve"> % všetkých účastníkov)</w:t>
      </w:r>
      <w:r w:rsidR="00EA7FF5" w:rsidRPr="00CA2564">
        <w:rPr>
          <w:rFonts w:cs="Helvetica"/>
        </w:rPr>
        <w:t xml:space="preserve">. Výdavky AOTP na túto činnosť pozostávajú z príspevku pre obec alebo samosprávny kraj, ktorý možno použiť na úhradu časti nákladov na osobné ochranné pracovné prostriedky, úrazové poistenie účastníkov, časti nákladov na pracovné náradie a ďalších nákladov ako aj na úhradu časti celkovej ceny práce koordinátora. </w:t>
      </w:r>
      <w:r w:rsidR="006E5D4C">
        <w:rPr>
          <w:rFonts w:cs="Helvetica"/>
        </w:rPr>
        <w:t xml:space="preserve">Druhá koľaj umožňuje obciam organizovať </w:t>
      </w:r>
      <w:r w:rsidR="00EA7FF5" w:rsidRPr="00CA2564">
        <w:rPr>
          <w:rFonts w:cs="Helvetica"/>
        </w:rPr>
        <w:t>aktivačné práce aj na základe dohody medzi uchádzačom o zamestnanie a obcou, v takom prípade však nedostávajú príspevok</w:t>
      </w:r>
      <w:r w:rsidR="00FA17C4">
        <w:rPr>
          <w:rFonts w:cs="Helvetica"/>
        </w:rPr>
        <w:t xml:space="preserve"> (</w:t>
      </w:r>
      <w:r w:rsidR="00017759">
        <w:rPr>
          <w:rFonts w:cs="Helvetica"/>
        </w:rPr>
        <w:t>86</w:t>
      </w:r>
      <w:r w:rsidR="00FA17C4">
        <w:rPr>
          <w:rFonts w:cs="Helvetica"/>
        </w:rPr>
        <w:t xml:space="preserve"> % všetkých účastníkov)</w:t>
      </w:r>
      <w:r w:rsidR="00EA7FF5" w:rsidRPr="00CA2564">
        <w:rPr>
          <w:rFonts w:cs="Helvetica"/>
        </w:rPr>
        <w:t>.</w:t>
      </w:r>
      <w:r w:rsidR="00EA7FF5" w:rsidRPr="00CA2564">
        <w:rPr>
          <w:rStyle w:val="Odkaznapoznmkupodiarou"/>
          <w:rFonts w:cs="Helvetica"/>
        </w:rPr>
        <w:footnoteReference w:id="323"/>
      </w:r>
      <w:r w:rsidR="00FA17C4">
        <w:rPr>
          <w:rFonts w:cs="Helvetica"/>
        </w:rPr>
        <w:t xml:space="preserve"> </w:t>
      </w:r>
    </w:p>
    <w:p w14:paraId="728BB0FD" w14:textId="2FEA12E7" w:rsidR="00EA7FF5" w:rsidRPr="00CA2564" w:rsidRDefault="000F2AD2" w:rsidP="009E6C4C">
      <w:pPr>
        <w:spacing w:before="160"/>
        <w:rPr>
          <w:rFonts w:cs="Helvetica"/>
        </w:rPr>
      </w:pPr>
      <w:r>
        <w:rPr>
          <w:rFonts w:cs="Helvetica"/>
        </w:rPr>
        <w:t xml:space="preserve">Koordináciu aktivačných prác, výber vhodných uchádzačov a poskytovanie </w:t>
      </w:r>
      <w:r w:rsidR="00237351">
        <w:rPr>
          <w:rFonts w:cs="Helvetica"/>
        </w:rPr>
        <w:t>podpory</w:t>
      </w:r>
      <w:r>
        <w:rPr>
          <w:rFonts w:cs="Helvetica"/>
        </w:rPr>
        <w:t xml:space="preserve"> a poradenstva uchádzačom počas vykonávania aktivačných činností majú </w:t>
      </w:r>
      <w:r w:rsidR="001511A3">
        <w:rPr>
          <w:rFonts w:cs="Helvetica"/>
        </w:rPr>
        <w:t xml:space="preserve">od roku 2014 </w:t>
      </w:r>
      <w:r>
        <w:rPr>
          <w:rFonts w:cs="Helvetica"/>
        </w:rPr>
        <w:t xml:space="preserve">na starosti aktivačné centrá. </w:t>
      </w:r>
      <w:r w:rsidR="00065F27">
        <w:rPr>
          <w:rFonts w:cs="Helvetica"/>
        </w:rPr>
        <w:t xml:space="preserve">Tých je na Slovensku 46 (každý úrad práce má zriadené toto centrum). </w:t>
      </w:r>
      <w:r w:rsidR="00EA7FF5" w:rsidRPr="00CA2564">
        <w:t>Aktivačná činnosť nie je vykonávaná na základe štandardného pracovného pomeru, na účastníkov sa nevzťahuje zákon o minimálnej mzde a organizátorom ne</w:t>
      </w:r>
      <w:r w:rsidR="00B24660">
        <w:t>vyplýva</w:t>
      </w:r>
      <w:r w:rsidR="00EA7FF5" w:rsidRPr="00CA2564">
        <w:t xml:space="preserve"> povinnosť platiť za nich sociálne poistenie.</w:t>
      </w:r>
    </w:p>
    <w:p w14:paraId="6ABB89EF" w14:textId="5F9836EF" w:rsidR="00EA7FF5" w:rsidRPr="00120396" w:rsidRDefault="00EA7FF5" w:rsidP="009E6C4C">
      <w:pPr>
        <w:spacing w:before="160"/>
        <w:rPr>
          <w:rFonts w:cs="NeueHaasGroteskText W02"/>
        </w:rPr>
      </w:pPr>
      <w:bookmarkStart w:id="525" w:name="_Hlk17634730"/>
      <w:r w:rsidRPr="00CA2564">
        <w:rPr>
          <w:b/>
          <w:bCs/>
        </w:rPr>
        <w:t xml:space="preserve">Aktivačné práce slúžia v rámci AOTP ako nástroj aktivácie UoZ, ktorí žijú v domácnostiach, ktorým sa poskytuje pomoc v hmotnej núdzi. </w:t>
      </w:r>
      <w:r w:rsidRPr="00CA2564">
        <w:rPr>
          <w:bCs/>
        </w:rPr>
        <w:t>Vyše polovica účastníkov AOTP v systéme PHN bola v roku 2017 „aktivovaná“ práve týmto nástrojom (</w:t>
      </w:r>
      <w:r w:rsidRPr="00CA2564">
        <w:rPr>
          <w:bCs/>
        </w:rPr>
        <w:fldChar w:fldCharType="begin"/>
      </w:r>
      <w:r w:rsidRPr="00CA2564">
        <w:rPr>
          <w:bCs/>
        </w:rPr>
        <w:instrText xml:space="preserve"> REF _Ref529463892 \h  \* MERGEFORMAT </w:instrText>
      </w:r>
      <w:r w:rsidRPr="00CA2564">
        <w:rPr>
          <w:bCs/>
        </w:rPr>
      </w:r>
      <w:r w:rsidRPr="00CA2564">
        <w:rPr>
          <w:bCs/>
        </w:rPr>
        <w:fldChar w:fldCharType="separate"/>
      </w:r>
      <w:r w:rsidR="00FA29AF" w:rsidRPr="00FA29AF">
        <w:t xml:space="preserve">Graf </w:t>
      </w:r>
      <w:r w:rsidR="00FA29AF" w:rsidRPr="00FA29AF">
        <w:rPr>
          <w:iCs/>
          <w:noProof/>
        </w:rPr>
        <w:t>39</w:t>
      </w:r>
      <w:r w:rsidRPr="00CA2564">
        <w:rPr>
          <w:bCs/>
        </w:rPr>
        <w:fldChar w:fldCharType="end"/>
      </w:r>
      <w:r w:rsidR="001549F0">
        <w:rPr>
          <w:bCs/>
        </w:rPr>
        <w:t>,</w:t>
      </w:r>
      <w:r w:rsidRPr="00CA2564">
        <w:rPr>
          <w:bCs/>
        </w:rPr>
        <w:t xml:space="preserve"> </w:t>
      </w:r>
      <w:r w:rsidRPr="00CA2564">
        <w:rPr>
          <w:rFonts w:cs="NeueHaasGroteskText W02"/>
        </w:rPr>
        <w:t xml:space="preserve">pod názvom </w:t>
      </w:r>
      <w:r w:rsidRPr="00CA2564">
        <w:rPr>
          <w:bCs/>
        </w:rPr>
        <w:t>priama tvorba pracovných miest</w:t>
      </w:r>
      <w:r w:rsidRPr="00CA2564">
        <w:rPr>
          <w:rStyle w:val="Odkaznapoznmkupodiarou"/>
          <w:bCs/>
        </w:rPr>
        <w:footnoteReference w:id="324"/>
      </w:r>
      <w:r w:rsidRPr="00CA2564">
        <w:rPr>
          <w:bCs/>
        </w:rPr>
        <w:t>). Medzi ľuďmi z prostredia MRK v systéme PHN to boli až tri štvrtiny účastníkov AOTP.</w:t>
      </w:r>
      <w:r w:rsidR="00120396">
        <w:rPr>
          <w:rFonts w:cs="NeueHaasGroteskText W02"/>
        </w:rPr>
        <w:t xml:space="preserve"> </w:t>
      </w:r>
    </w:p>
    <w:tbl>
      <w:tblPr>
        <w:tblW w:w="0" w:type="auto"/>
        <w:tblLook w:val="04E0" w:firstRow="1" w:lastRow="1" w:firstColumn="1" w:lastColumn="0" w:noHBand="0" w:noVBand="1"/>
      </w:tblPr>
      <w:tblGrid>
        <w:gridCol w:w="9026"/>
      </w:tblGrid>
      <w:tr w:rsidR="00EA7FF5" w:rsidRPr="00CA2564" w14:paraId="3116F488" w14:textId="77777777" w:rsidTr="00120396">
        <w:tc>
          <w:tcPr>
            <w:tcW w:w="9026" w:type="dxa"/>
          </w:tcPr>
          <w:p w14:paraId="37A787F1" w14:textId="77777777" w:rsidR="00EA7FF5" w:rsidRPr="00F11472" w:rsidRDefault="00EA7FF5" w:rsidP="00F11472">
            <w:pPr>
              <w:spacing w:after="0" w:line="240" w:lineRule="auto"/>
              <w:rPr>
                <w:b/>
                <w:sz w:val="20"/>
              </w:rPr>
            </w:pPr>
            <w:bookmarkStart w:id="526" w:name="_Ref529463892"/>
            <w:bookmarkStart w:id="527" w:name="_Toc17469407"/>
            <w:bookmarkStart w:id="528" w:name="_Toc34157597"/>
            <w:bookmarkEnd w:id="525"/>
            <w:r w:rsidRPr="00F11472">
              <w:rPr>
                <w:b/>
                <w:sz w:val="20"/>
              </w:rPr>
              <w:t xml:space="preserve">Graf </w:t>
            </w:r>
            <w:r w:rsidRPr="00F11472">
              <w:rPr>
                <w:b/>
                <w:noProof/>
                <w:sz w:val="20"/>
              </w:rPr>
              <w:fldChar w:fldCharType="begin"/>
            </w:r>
            <w:r w:rsidRPr="00F11472">
              <w:rPr>
                <w:b/>
                <w:noProof/>
                <w:sz w:val="20"/>
              </w:rPr>
              <w:instrText xml:space="preserve"> SEQ Graf \* ARABIC </w:instrText>
            </w:r>
            <w:r w:rsidRPr="00F11472">
              <w:rPr>
                <w:b/>
                <w:noProof/>
                <w:sz w:val="20"/>
              </w:rPr>
              <w:fldChar w:fldCharType="separate"/>
            </w:r>
            <w:r w:rsidR="00FA29AF">
              <w:rPr>
                <w:b/>
                <w:noProof/>
                <w:sz w:val="20"/>
              </w:rPr>
              <w:t>39</w:t>
            </w:r>
            <w:r w:rsidRPr="00F11472">
              <w:rPr>
                <w:b/>
                <w:noProof/>
                <w:sz w:val="20"/>
              </w:rPr>
              <w:fldChar w:fldCharType="end"/>
            </w:r>
            <w:bookmarkEnd w:id="526"/>
            <w:r w:rsidRPr="00F11472">
              <w:rPr>
                <w:b/>
                <w:iCs/>
                <w:sz w:val="20"/>
              </w:rPr>
              <w:t>: Štruktúra nástrojov AOTP podľa účasti (v % z celkového počtu účastníkov), 2017</w:t>
            </w:r>
            <w:bookmarkEnd w:id="527"/>
            <w:bookmarkEnd w:id="528"/>
          </w:p>
        </w:tc>
      </w:tr>
      <w:tr w:rsidR="00EA7FF5" w:rsidRPr="00CA2564" w14:paraId="0A57DB14" w14:textId="77777777" w:rsidTr="00120396">
        <w:tblPrEx>
          <w:tblCellMar>
            <w:left w:w="70" w:type="dxa"/>
            <w:right w:w="70" w:type="dxa"/>
          </w:tblCellMar>
        </w:tblPrEx>
        <w:tc>
          <w:tcPr>
            <w:tcW w:w="9026" w:type="dxa"/>
            <w:tcBorders>
              <w:top w:val="single" w:sz="4" w:space="0" w:color="auto"/>
              <w:bottom w:val="single" w:sz="4" w:space="0" w:color="auto"/>
            </w:tcBorders>
          </w:tcPr>
          <w:p w14:paraId="58AFBFED" w14:textId="77777777" w:rsidR="00EA7FF5" w:rsidRPr="00CA2564" w:rsidRDefault="00EA7FF5" w:rsidP="00F11472">
            <w:pPr>
              <w:spacing w:after="0" w:line="240" w:lineRule="auto"/>
              <w:jc w:val="center"/>
              <w:rPr>
                <w:sz w:val="4"/>
                <w:szCs w:val="4"/>
              </w:rPr>
            </w:pPr>
          </w:p>
          <w:p w14:paraId="6962BB9D" w14:textId="77777777" w:rsidR="00EA7FF5" w:rsidRPr="00CA2564" w:rsidRDefault="00EA7FF5" w:rsidP="00F11472">
            <w:pPr>
              <w:spacing w:after="0" w:line="240" w:lineRule="auto"/>
              <w:jc w:val="center"/>
              <w:rPr>
                <w:sz w:val="4"/>
                <w:szCs w:val="4"/>
              </w:rPr>
            </w:pPr>
            <w:r w:rsidRPr="00CA2564">
              <w:rPr>
                <w:noProof/>
                <w:lang w:eastAsia="sk-SK"/>
              </w:rPr>
              <w:drawing>
                <wp:inline distT="0" distB="0" distL="0" distR="0" wp14:anchorId="7A6BD2CF" wp14:editId="3A52A961">
                  <wp:extent cx="5381625" cy="2343150"/>
                  <wp:effectExtent l="0" t="0" r="0" b="0"/>
                  <wp:docPr id="312" name="Graf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BC4720C" w14:textId="77777777" w:rsidR="00EA7FF5" w:rsidRPr="00CA2564" w:rsidRDefault="00EA7FF5" w:rsidP="00F11472">
            <w:pPr>
              <w:spacing w:after="0" w:line="240" w:lineRule="auto"/>
              <w:jc w:val="center"/>
              <w:rPr>
                <w:sz w:val="4"/>
                <w:szCs w:val="4"/>
              </w:rPr>
            </w:pPr>
          </w:p>
        </w:tc>
      </w:tr>
      <w:tr w:rsidR="00EA7FF5" w:rsidRPr="007324E1" w14:paraId="723C44D5" w14:textId="77777777" w:rsidTr="00120396">
        <w:tc>
          <w:tcPr>
            <w:tcW w:w="9026" w:type="dxa"/>
          </w:tcPr>
          <w:p w14:paraId="677C41E4" w14:textId="77777777" w:rsidR="00EA7FF5" w:rsidRPr="00F11472" w:rsidRDefault="00EA7FF5" w:rsidP="00F11472">
            <w:pPr>
              <w:spacing w:after="0" w:line="240" w:lineRule="auto"/>
              <w:jc w:val="right"/>
              <w:rPr>
                <w:i/>
                <w:noProof/>
                <w:sz w:val="18"/>
                <w:szCs w:val="18"/>
              </w:rPr>
            </w:pPr>
            <w:r w:rsidRPr="00F11472">
              <w:rPr>
                <w:i/>
                <w:noProof/>
                <w:sz w:val="18"/>
                <w:szCs w:val="18"/>
              </w:rPr>
              <w:t xml:space="preserve">Zdroj: </w:t>
            </w:r>
            <w:r w:rsidRPr="00F11472">
              <w:rPr>
                <w:rFonts w:eastAsia="Times New Roman" w:cs="Arial"/>
                <w:i/>
                <w:iCs/>
                <w:color w:val="000000"/>
                <w:sz w:val="18"/>
                <w:szCs w:val="18"/>
              </w:rPr>
              <w:t>ÚHP na základe údajov ÚPSVR a ARK</w:t>
            </w:r>
          </w:p>
          <w:p w14:paraId="24F8A770" w14:textId="61FFFF30" w:rsidR="00EA7FF5" w:rsidRPr="007324E1" w:rsidRDefault="002A676F" w:rsidP="00F11472">
            <w:pPr>
              <w:spacing w:after="0" w:line="240" w:lineRule="auto"/>
              <w:jc w:val="left"/>
              <w:rPr>
                <w:b/>
                <w:i/>
                <w:sz w:val="18"/>
                <w:szCs w:val="18"/>
              </w:rPr>
            </w:pPr>
            <w:r w:rsidRPr="00F11472">
              <w:rPr>
                <w:rFonts w:eastAsia="Times New Roman" w:cs="Times New Roman"/>
                <w:i/>
                <w:iCs/>
                <w:color w:val="000000"/>
                <w:sz w:val="18"/>
                <w:szCs w:val="18"/>
              </w:rPr>
              <w:t xml:space="preserve">Poznámka: </w:t>
            </w:r>
            <w:r w:rsidRPr="00F11472">
              <w:rPr>
                <w:i/>
                <w:noProof/>
                <w:sz w:val="18"/>
                <w:szCs w:val="18"/>
              </w:rPr>
              <w:fldChar w:fldCharType="begin"/>
            </w:r>
            <w:r w:rsidRPr="00F11472">
              <w:rPr>
                <w:rFonts w:eastAsia="Times New Roman" w:cs="Times New Roman"/>
                <w:i/>
                <w:iCs/>
                <w:color w:val="000000"/>
                <w:sz w:val="18"/>
                <w:szCs w:val="18"/>
              </w:rPr>
              <w:instrText xml:space="preserve"> REF _Ref33439692 \h </w:instrText>
            </w:r>
            <w:r w:rsidRPr="00F11472">
              <w:rPr>
                <w:i/>
                <w:noProof/>
                <w:sz w:val="18"/>
                <w:szCs w:val="18"/>
              </w:rPr>
              <w:instrText xml:space="preserve"> \* MERGEFORMAT </w:instrText>
            </w:r>
            <w:r w:rsidRPr="00F11472">
              <w:rPr>
                <w:i/>
                <w:noProof/>
                <w:sz w:val="18"/>
                <w:szCs w:val="18"/>
              </w:rPr>
            </w:r>
            <w:r w:rsidRPr="00F11472">
              <w:rPr>
                <w:i/>
                <w:noProof/>
                <w:sz w:val="18"/>
                <w:szCs w:val="18"/>
              </w:rPr>
              <w:fldChar w:fldCharType="separate"/>
            </w:r>
            <w:r w:rsidR="00FA29AF" w:rsidRPr="00FA29AF">
              <w:rPr>
                <w:i/>
                <w:sz w:val="18"/>
                <w:szCs w:val="18"/>
              </w:rPr>
              <w:t xml:space="preserve">Box </w:t>
            </w:r>
            <w:r w:rsidR="00FA29AF" w:rsidRPr="00FA29AF">
              <w:rPr>
                <w:i/>
                <w:noProof/>
                <w:sz w:val="18"/>
                <w:szCs w:val="18"/>
              </w:rPr>
              <w:t>3</w:t>
            </w:r>
            <w:r w:rsidRPr="00F11472">
              <w:rPr>
                <w:i/>
                <w:noProof/>
                <w:sz w:val="18"/>
                <w:szCs w:val="18"/>
              </w:rPr>
              <w:fldChar w:fldCharType="end"/>
            </w:r>
            <w:r w:rsidRPr="00F11472">
              <w:rPr>
                <w:i/>
                <w:noProof/>
                <w:sz w:val="18"/>
                <w:szCs w:val="18"/>
              </w:rPr>
              <w:t xml:space="preserve"> </w:t>
            </w:r>
            <w:r w:rsidR="00EA7FF5" w:rsidRPr="00F11472">
              <w:rPr>
                <w:i/>
                <w:noProof/>
                <w:sz w:val="18"/>
                <w:szCs w:val="18"/>
              </w:rPr>
              <w:t>pre definíciu MRK a PHN.</w:t>
            </w:r>
          </w:p>
        </w:tc>
      </w:tr>
    </w:tbl>
    <w:p w14:paraId="1CA15BD8" w14:textId="77777777" w:rsidR="00120396" w:rsidRDefault="00120396" w:rsidP="00120396">
      <w:pPr>
        <w:spacing w:before="160"/>
        <w:rPr>
          <w:rFonts w:cs="NeueHaasGroteskText W02"/>
        </w:rPr>
      </w:pPr>
      <w:r w:rsidRPr="00CA2564">
        <w:rPr>
          <w:rFonts w:cs="NeueHaasGroteskText W02"/>
          <w:b/>
        </w:rPr>
        <w:t xml:space="preserve">Systém aktivácie pomocou aktivačných prác v rámci AOTP nie je pri dnešnom nastavení </w:t>
      </w:r>
      <w:r>
        <w:rPr>
          <w:rFonts w:cs="NeueHaasGroteskText W02"/>
          <w:b/>
        </w:rPr>
        <w:t>z hľadiska priameho vplyvu na znižovanie nezamestnanosti</w:t>
      </w:r>
      <w:r w:rsidRPr="00CA2564">
        <w:rPr>
          <w:rFonts w:cs="NeueHaasGroteskText W02"/>
          <w:b/>
        </w:rPr>
        <w:t xml:space="preserve"> efektívny. </w:t>
      </w:r>
      <w:r w:rsidRPr="00CA2564">
        <w:t>Kvantitatívne hodnotenia tohto nástroja naznačujú, že aktivačné práce</w:t>
      </w:r>
      <w:r w:rsidRPr="00CA2564">
        <w:rPr>
          <w:rFonts w:cs="NeueHaasGroteskText W02"/>
        </w:rPr>
        <w:t xml:space="preserve"> nezvyšujú šance na zamestnanie na otvorenom trhu práce (Hidas a kol., 2016).</w:t>
      </w:r>
      <w:r>
        <w:rPr>
          <w:rStyle w:val="Odkaznapoznmkupodiarou"/>
          <w:rFonts w:cs="NeueHaasGroteskText W02"/>
        </w:rPr>
        <w:footnoteReference w:id="325"/>
      </w:r>
      <w:r w:rsidRPr="00CA2564">
        <w:rPr>
          <w:rFonts w:cs="NeueHaasGroteskText W02"/>
        </w:rPr>
        <w:t xml:space="preserve"> </w:t>
      </w:r>
      <w:bookmarkStart w:id="529" w:name="_Hlk22374861"/>
      <w:r w:rsidRPr="00CA2564">
        <w:rPr>
          <w:rFonts w:cs="NeueHaasGroteskText W02"/>
        </w:rPr>
        <w:t>Obsahujú totiž prevažne nekvalifikované aktivity bez ďalšej nadstavby</w:t>
      </w:r>
      <w:bookmarkEnd w:id="529"/>
      <w:r w:rsidRPr="00CA2564">
        <w:rPr>
          <w:rFonts w:cs="NeueHaasGroteskText W02"/>
        </w:rPr>
        <w:t xml:space="preserve"> ako napríklad zametanie ulíc, zbieranie odpadkov, odhŕňanie snehu atď. </w:t>
      </w:r>
    </w:p>
    <w:p w14:paraId="52489636" w14:textId="77777777" w:rsidR="00120396" w:rsidRDefault="00120396" w:rsidP="00120396">
      <w:pPr>
        <w:spacing w:before="160"/>
      </w:pPr>
      <w:r w:rsidRPr="00CA2564">
        <w:rPr>
          <w:rFonts w:cs="NeueHaasGroteskText W02"/>
        </w:rPr>
        <w:t xml:space="preserve">Hoci cieľ </w:t>
      </w:r>
      <w:r w:rsidRPr="00CA2564">
        <w:t>„podpory udržiavania pracovných návykov dlhodobo nezamestnaného občana</w:t>
      </w:r>
      <w:r>
        <w:rPr>
          <w:rStyle w:val="Odkaznapoznmkupodiarou"/>
        </w:rPr>
        <w:footnoteReference w:id="326"/>
      </w:r>
      <w:r w:rsidRPr="00CA2564">
        <w:t xml:space="preserve"> je možné vnímať nezávisle od priameho vplyvu na zamestnateľnosť, tento nástroj by mal slúžiť minimálne ako stupienok ku ďalším, pokročilejším nástrojom s priamejším naviazaním na trh práce. Toto však </w:t>
      </w:r>
      <w:r>
        <w:t xml:space="preserve">v praxi </w:t>
      </w:r>
      <w:r w:rsidRPr="00CA2564">
        <w:t>neplatí. Spomedzi 13 953 účastníkov aktivačných prác v rámci AOTP, ktorí skončili účasť medzi júlom 2016 a júnom 2017</w:t>
      </w:r>
      <w:r>
        <w:t>,</w:t>
      </w:r>
      <w:r w:rsidRPr="00CA2564">
        <w:t xml:space="preserve"> si počas šiestich mesiacov po skončení našlo prácu alebo získalo prístup k niektorému z ostatných nástrojov AOTP iba 11 %.</w:t>
      </w:r>
      <w:r w:rsidRPr="00CA2564">
        <w:rPr>
          <w:rStyle w:val="Odkaznapoznmkupodiarou"/>
        </w:rPr>
        <w:footnoteReference w:id="327"/>
      </w:r>
    </w:p>
    <w:p w14:paraId="0D2994B8" w14:textId="45B77740" w:rsidR="00EA7FF5" w:rsidRPr="00CA2564" w:rsidRDefault="00EA7FF5" w:rsidP="00120396">
      <w:pPr>
        <w:spacing w:before="160"/>
        <w:rPr>
          <w:rFonts w:cs="NeueHaasGroteskText W02"/>
        </w:rPr>
      </w:pPr>
      <w:r w:rsidRPr="00CA2564">
        <w:rPr>
          <w:rFonts w:cs="NeueHaasGroteskText W02"/>
          <w:b/>
        </w:rPr>
        <w:t xml:space="preserve">Otázky tiež vyvoláva vzdelanostná štruktúra účastníkov aktivačných prác. </w:t>
      </w:r>
      <w:r w:rsidRPr="00CA2564">
        <w:rPr>
          <w:rFonts w:cs="NeueHaasGroteskText W02"/>
        </w:rPr>
        <w:t xml:space="preserve">Napriek tomu, že ide zväčša o jednoduché manuálne práce, až 10 % účastníkov tvorili v roku 2017 uchádzači o zamestnanie </w:t>
      </w:r>
      <w:bookmarkStart w:id="530" w:name="_Hlk17634897"/>
      <w:r w:rsidRPr="00CA2564">
        <w:rPr>
          <w:rFonts w:cs="NeueHaasGroteskText W02"/>
        </w:rPr>
        <w:t>s dosiahnutým úplným stredným vzdelaním (s maturitou) alebo s vysokoškolským vzdelaním</w:t>
      </w:r>
      <w:bookmarkEnd w:id="530"/>
      <w:r w:rsidRPr="00CA2564">
        <w:rPr>
          <w:rFonts w:cs="NeueHaasGroteskText W02"/>
        </w:rPr>
        <w:t>. Pre túto skupinu by zrejme boli vhodnejšie iné nástroje v rámci AOTP. Samotní účastníci nie sú motivovaní uprednostňovať iné formy aktivácie (napríklad vzdelávanie)</w:t>
      </w:r>
      <w:r w:rsidR="0014345B">
        <w:rPr>
          <w:rFonts w:cs="NeueHaasGroteskText W02"/>
        </w:rPr>
        <w:t>,</w:t>
      </w:r>
      <w:r w:rsidRPr="00CA2564">
        <w:rPr>
          <w:rFonts w:cs="NeueHaasGroteskText W02"/>
        </w:rPr>
        <w:t xml:space="preserve"> pretože výšku aktivačného príspevku</w:t>
      </w:r>
      <w:r w:rsidR="00A30E57">
        <w:rPr>
          <w:rFonts w:cs="NeueHaasGroteskText W02"/>
        </w:rPr>
        <w:t xml:space="preserve"> v rámci pomoci v hmotnej núdzi</w:t>
      </w:r>
      <w:r w:rsidRPr="00CA2564">
        <w:rPr>
          <w:rFonts w:cs="NeueHaasGroteskText W02"/>
        </w:rPr>
        <w:t xml:space="preserve"> tým neovplyvnia (viac o aktivačnom príspevku v podkapitole </w:t>
      </w:r>
      <w:r w:rsidR="002719DA">
        <w:rPr>
          <w:rFonts w:cs="NeueHaasGroteskText W02"/>
        </w:rPr>
        <w:fldChar w:fldCharType="begin"/>
      </w:r>
      <w:r w:rsidR="002719DA">
        <w:rPr>
          <w:rFonts w:cs="NeueHaasGroteskText W02"/>
        </w:rPr>
        <w:instrText xml:space="preserve"> REF _Ref25321429 \r \h </w:instrText>
      </w:r>
      <w:r w:rsidR="002719DA">
        <w:rPr>
          <w:rFonts w:cs="NeueHaasGroteskText W02"/>
        </w:rPr>
      </w:r>
      <w:r w:rsidR="002719DA">
        <w:rPr>
          <w:rFonts w:cs="NeueHaasGroteskText W02"/>
        </w:rPr>
        <w:fldChar w:fldCharType="separate"/>
      </w:r>
      <w:r w:rsidR="00FA29AF">
        <w:rPr>
          <w:rFonts w:cs="NeueHaasGroteskText W02"/>
        </w:rPr>
        <w:t>8.1</w:t>
      </w:r>
      <w:r w:rsidR="002719DA">
        <w:rPr>
          <w:rFonts w:cs="NeueHaasGroteskText W02"/>
        </w:rPr>
        <w:fldChar w:fldCharType="end"/>
      </w:r>
      <w:r w:rsidRPr="00CA2564">
        <w:rPr>
          <w:rFonts w:cs="NeueHaasGroteskText W02"/>
        </w:rPr>
        <w:t>).</w:t>
      </w:r>
      <w:r w:rsidRPr="00CA2564">
        <w:rPr>
          <w:rStyle w:val="Odkaznapoznmkupodiarou"/>
          <w:rFonts w:cs="NeueHaasGroteskText W02"/>
        </w:rPr>
        <w:footnoteReference w:id="328"/>
      </w:r>
    </w:p>
    <w:p w14:paraId="0A3F286B" w14:textId="213F65D8" w:rsidR="00D86943" w:rsidRPr="00AB28DA" w:rsidRDefault="00EA7FF5" w:rsidP="009E6C4C">
      <w:pPr>
        <w:spacing w:before="160"/>
      </w:pPr>
      <w:bookmarkStart w:id="531" w:name="_Hlk17635007"/>
      <w:r w:rsidRPr="00CA2564">
        <w:rPr>
          <w:rFonts w:cs="NeueHaasGroteskText W02"/>
          <w:b/>
        </w:rPr>
        <w:t>Informácie z terénu naznačujú, že mnohé obce, ktoré organizujú aktivačné práce priamo na základe dohody s uchádzačom o</w:t>
      </w:r>
      <w:r w:rsidR="0071407E">
        <w:rPr>
          <w:rFonts w:cs="NeueHaasGroteskText W02"/>
          <w:b/>
        </w:rPr>
        <w:t> </w:t>
      </w:r>
      <w:r w:rsidRPr="00CA2564">
        <w:rPr>
          <w:rFonts w:cs="NeueHaasGroteskText W02"/>
          <w:b/>
        </w:rPr>
        <w:t>zamestnanie</w:t>
      </w:r>
      <w:r w:rsidR="0071407E">
        <w:rPr>
          <w:rFonts w:cs="NeueHaasGroteskText W02"/>
          <w:b/>
        </w:rPr>
        <w:t>,</w:t>
      </w:r>
      <w:r w:rsidRPr="00CA2564">
        <w:rPr>
          <w:rFonts w:cs="NeueHaasGroteskText W02"/>
          <w:b/>
        </w:rPr>
        <w:t xml:space="preserve"> sú obmedzené nedostatkom zdrojov. </w:t>
      </w:r>
      <w:bookmarkEnd w:id="531"/>
      <w:r w:rsidR="00105B5F">
        <w:rPr>
          <w:rFonts w:cs="NeueHaasGroteskText W02"/>
        </w:rPr>
        <w:t xml:space="preserve">Nemajú totiž nárok na príspevok od štátu (na rozdiel od aktivačných prác v rámci AOTP). Hoci aktivačné práce </w:t>
      </w:r>
      <w:r w:rsidR="005D104C">
        <w:rPr>
          <w:rFonts w:cs="NeueHaasGroteskText W02"/>
        </w:rPr>
        <w:t>sú oproti zamestnávaniu ľudí za </w:t>
      </w:r>
      <w:r w:rsidR="0071407E">
        <w:rPr>
          <w:rFonts w:cs="NeueHaasGroteskText W02"/>
        </w:rPr>
        <w:t xml:space="preserve">trhovú </w:t>
      </w:r>
      <w:r w:rsidR="00105B5F">
        <w:rPr>
          <w:rFonts w:cs="NeueHaasGroteskText W02"/>
        </w:rPr>
        <w:t>mzdu</w:t>
      </w:r>
      <w:r w:rsidR="0071407E" w:rsidRPr="0071407E">
        <w:rPr>
          <w:rFonts w:cs="NeueHaasGroteskText W02"/>
        </w:rPr>
        <w:t xml:space="preserve"> </w:t>
      </w:r>
      <w:r w:rsidR="0071407E">
        <w:rPr>
          <w:rFonts w:cs="NeueHaasGroteskText W02"/>
        </w:rPr>
        <w:t>pre ne výhodnejšie</w:t>
      </w:r>
      <w:r w:rsidR="00105B5F">
        <w:rPr>
          <w:rFonts w:cs="NeueHaasGroteskText W02"/>
        </w:rPr>
        <w:t xml:space="preserve">, </w:t>
      </w:r>
      <w:r w:rsidR="00FB710B">
        <w:rPr>
          <w:rFonts w:cs="NeueHaasGroteskText W02"/>
        </w:rPr>
        <w:t xml:space="preserve">všetky </w:t>
      </w:r>
      <w:r w:rsidR="00105B5F">
        <w:rPr>
          <w:rFonts w:cs="NeueHaasGroteskText W02"/>
        </w:rPr>
        <w:t xml:space="preserve">náklady </w:t>
      </w:r>
      <w:r w:rsidR="00FB710B">
        <w:rPr>
          <w:rFonts w:cs="NeueHaasGroteskText W02"/>
        </w:rPr>
        <w:t>musia platiť v plnej výške z vlastných zdrojov.</w:t>
      </w:r>
      <w:r w:rsidRPr="00CA2564">
        <w:rPr>
          <w:rFonts w:cs="NeueHaasGroteskText W02"/>
        </w:rPr>
        <w:t xml:space="preserve"> V praxi to spôsobuje </w:t>
      </w:r>
      <w:r w:rsidRPr="00CA2564">
        <w:t xml:space="preserve">nedostatok </w:t>
      </w:r>
      <w:r w:rsidRPr="00AB28DA">
        <w:t>koordinátorov a náradia, čo obmedzuje schopnosť zabezpečiť účastníkom pestrejšiu a sofistikovanejšiu prácu s väčším potenciálom na osobný rast a vernejším napodobnením práce na otvorenom trhu (Kureková a kol., 2013).</w:t>
      </w:r>
    </w:p>
    <w:p w14:paraId="69A29F75" w14:textId="477A4B20" w:rsidR="00EA7FF5" w:rsidRPr="00AB28DA" w:rsidRDefault="00EA7FF5">
      <w:pPr>
        <w:spacing w:before="160"/>
        <w:rPr>
          <w:rFonts w:cs="NeueHaasGroteskText W02"/>
          <w:b/>
        </w:rPr>
      </w:pPr>
      <w:bookmarkStart w:id="532" w:name="_Hlk17634947"/>
      <w:r w:rsidRPr="00AB28DA">
        <w:rPr>
          <w:rFonts w:cs="NeueHaasGroteskText W02"/>
          <w:b/>
        </w:rPr>
        <w:t>Pre lepšie cielenie aktivačných prác a posilnenie ich úlohy ako stupienka ku sofistikovanejším nástrojom pomoci a eventuálne k začleneniu na trhu práce navrhuje revízia nasledovné opatrenia:</w:t>
      </w:r>
    </w:p>
    <w:p w14:paraId="4F62A4FB" w14:textId="01A0B8DD" w:rsidR="00A30E57" w:rsidRPr="00AB28DA" w:rsidRDefault="00A30E57">
      <w:pPr>
        <w:pStyle w:val="Odsekzoznamu"/>
        <w:numPr>
          <w:ilvl w:val="0"/>
          <w:numId w:val="8"/>
        </w:numPr>
        <w:spacing w:before="160"/>
      </w:pPr>
      <w:r w:rsidRPr="00AB28DA">
        <w:rPr>
          <w:rFonts w:cs="Times New Roman"/>
        </w:rPr>
        <w:t xml:space="preserve">Hodnota aktivačného príspevku </w:t>
      </w:r>
      <w:r w:rsidR="00171F71" w:rsidRPr="00AB28DA">
        <w:rPr>
          <w:rFonts w:cs="Times New Roman"/>
        </w:rPr>
        <w:t xml:space="preserve">(podkapitola </w:t>
      </w:r>
      <w:r w:rsidR="00A02A8B">
        <w:rPr>
          <w:rFonts w:cs="Times New Roman"/>
        </w:rPr>
        <w:fldChar w:fldCharType="begin"/>
      </w:r>
      <w:r w:rsidR="00A02A8B">
        <w:rPr>
          <w:rFonts w:cs="Times New Roman"/>
        </w:rPr>
        <w:instrText xml:space="preserve"> REF _Ref25315057 \r \h </w:instrText>
      </w:r>
      <w:r w:rsidR="00A02A8B">
        <w:rPr>
          <w:rFonts w:cs="Times New Roman"/>
        </w:rPr>
      </w:r>
      <w:r w:rsidR="00A02A8B">
        <w:rPr>
          <w:rFonts w:cs="Times New Roman"/>
        </w:rPr>
        <w:fldChar w:fldCharType="separate"/>
      </w:r>
      <w:r w:rsidR="00FA29AF">
        <w:rPr>
          <w:rFonts w:cs="Times New Roman"/>
        </w:rPr>
        <w:t>8.1</w:t>
      </w:r>
      <w:r w:rsidR="00A02A8B">
        <w:rPr>
          <w:rFonts w:cs="Times New Roman"/>
        </w:rPr>
        <w:fldChar w:fldCharType="end"/>
      </w:r>
      <w:r w:rsidR="00171F71" w:rsidRPr="00AB28DA">
        <w:rPr>
          <w:rFonts w:cs="Times New Roman"/>
        </w:rPr>
        <w:t xml:space="preserve">) </w:t>
      </w:r>
      <w:r w:rsidRPr="00AB28DA">
        <w:rPr>
          <w:rFonts w:cs="Times New Roman"/>
        </w:rPr>
        <w:t>by mala byť stanovená na vyššiu úroveň pre ľudí</w:t>
      </w:r>
      <w:r w:rsidRPr="00AB28DA">
        <w:t>, ktorí sa zúčastňujú na vzdelávaní</w:t>
      </w:r>
      <w:r w:rsidR="005D104C">
        <w:t>,</w:t>
      </w:r>
      <w:r w:rsidRPr="00AB28DA">
        <w:t xml:space="preserve"> alebo si zvyšujú kvalifikáciu ako pre účastníkov aktivačných prác.</w:t>
      </w:r>
      <w:r w:rsidR="009443D0" w:rsidRPr="00AB28DA">
        <w:t xml:space="preserve"> </w:t>
      </w:r>
      <w:r w:rsidR="00171F71" w:rsidRPr="00AB28DA">
        <w:t>Podporil by sa tým dopyt samotných uchádzačov o zamestnanie po iných</w:t>
      </w:r>
      <w:r w:rsidR="00EE589C">
        <w:t>, efektívnejších</w:t>
      </w:r>
      <w:r w:rsidR="00171F71" w:rsidRPr="00AB28DA">
        <w:t xml:space="preserve"> nástrojoch</w:t>
      </w:r>
      <w:r w:rsidR="009443D0" w:rsidRPr="00AB28DA">
        <w:t xml:space="preserve"> aktivácie.</w:t>
      </w:r>
    </w:p>
    <w:p w14:paraId="33D2755E" w14:textId="37A0B1FD" w:rsidR="009443D0" w:rsidRPr="00AB28DA" w:rsidRDefault="009443D0">
      <w:pPr>
        <w:pStyle w:val="Odsekzoznamu"/>
        <w:numPr>
          <w:ilvl w:val="0"/>
          <w:numId w:val="8"/>
        </w:numPr>
        <w:spacing w:before="160"/>
      </w:pPr>
      <w:r w:rsidRPr="00AB28DA">
        <w:t>Procesné pokyny na úradoch práce by mali byť upravené tak, aby uchádzači o zamestnanie, ktorí ukončili úplné stredné vzdelanie</w:t>
      </w:r>
      <w:r w:rsidR="00B00B7E" w:rsidRPr="00AB28DA">
        <w:t>,</w:t>
      </w:r>
      <w:r w:rsidRPr="00AB28DA">
        <w:t xml:space="preserve"> boli zaraďovaní primárne na iné programy v rámci AOTP ako na aktivačné práce. </w:t>
      </w:r>
    </w:p>
    <w:p w14:paraId="6A015C46" w14:textId="2AD90057" w:rsidR="00D90651" w:rsidRPr="00AB28DA" w:rsidRDefault="00D90651">
      <w:pPr>
        <w:pStyle w:val="Odsekzoznamu"/>
        <w:numPr>
          <w:ilvl w:val="0"/>
          <w:numId w:val="8"/>
        </w:numPr>
        <w:spacing w:before="160"/>
      </w:pPr>
      <w:r w:rsidRPr="00AB28DA">
        <w:t>Účastníci aktivačný</w:t>
      </w:r>
      <w:r w:rsidR="00C32DBD">
        <w:t>ch</w:t>
      </w:r>
      <w:r w:rsidRPr="00AB28DA">
        <w:t xml:space="preserve"> prác </w:t>
      </w:r>
      <w:r w:rsidR="00136597">
        <w:t xml:space="preserve">v rámci AOTP </w:t>
      </w:r>
      <w:r w:rsidRPr="00AB28DA">
        <w:t xml:space="preserve">by mali byť </w:t>
      </w:r>
      <w:r w:rsidR="00171F71" w:rsidRPr="00AB28DA">
        <w:t>formálne hodnotení koordinátorom</w:t>
      </w:r>
      <w:r w:rsidRPr="00AB28DA">
        <w:t xml:space="preserve"> alebo organizátorom (pracovníkom obce). Úspešnejším </w:t>
      </w:r>
      <w:r w:rsidR="00C32DBD">
        <w:t>účastníkom</w:t>
      </w:r>
      <w:r w:rsidR="00C32DBD" w:rsidRPr="00AB28DA">
        <w:t xml:space="preserve"> </w:t>
      </w:r>
      <w:r w:rsidRPr="00AB28DA">
        <w:t xml:space="preserve">by mal byť garantovaný prístup k sofistikovanejším nástrojom </w:t>
      </w:r>
      <w:r w:rsidR="00136597">
        <w:t xml:space="preserve">AOTP </w:t>
      </w:r>
      <w:r w:rsidRPr="00AB28DA">
        <w:t>a menej úspešní by mali byť nasmerovaní na intenzívnejšie a individualizovanejšie odborné poradenstvo, prípadne</w:t>
      </w:r>
      <w:r w:rsidR="00B00B7E" w:rsidRPr="00AB28DA">
        <w:t xml:space="preserve"> k</w:t>
      </w:r>
      <w:r w:rsidRPr="00AB28DA">
        <w:t xml:space="preserve"> neštátnym </w:t>
      </w:r>
      <w:r w:rsidR="00002CE7">
        <w:t>agentúram podporovaného zamestnávania</w:t>
      </w:r>
      <w:r w:rsidRPr="00AB28DA">
        <w:t xml:space="preserve"> (podkapitola </w:t>
      </w:r>
      <w:r w:rsidR="00A02A8B">
        <w:fldChar w:fldCharType="begin"/>
      </w:r>
      <w:r w:rsidR="00A02A8B">
        <w:instrText xml:space="preserve"> REF _Ref25315064 \r \h </w:instrText>
      </w:r>
      <w:r w:rsidR="00A02A8B">
        <w:fldChar w:fldCharType="separate"/>
      </w:r>
      <w:r w:rsidR="00FA29AF">
        <w:t>7.3</w:t>
      </w:r>
      <w:r w:rsidR="00A02A8B">
        <w:fldChar w:fldCharType="end"/>
      </w:r>
      <w:r w:rsidRPr="00AB28DA">
        <w:t>).</w:t>
      </w:r>
    </w:p>
    <w:p w14:paraId="70A59F78" w14:textId="3DAFFDA3" w:rsidR="00923555" w:rsidRPr="00AB28DA" w:rsidRDefault="00923555" w:rsidP="00773905">
      <w:pPr>
        <w:pStyle w:val="Odsekzoznamu"/>
        <w:numPr>
          <w:ilvl w:val="0"/>
          <w:numId w:val="8"/>
        </w:numPr>
        <w:spacing w:before="160"/>
        <w:ind w:left="714" w:hanging="357"/>
        <w:rPr>
          <w:rFonts w:eastAsia="Times New Roman" w:cs="Helvetica"/>
          <w:szCs w:val="22"/>
          <w:lang w:eastAsia="sk-SK"/>
        </w:rPr>
      </w:pPr>
      <w:r w:rsidRPr="00AB28DA">
        <w:rPr>
          <w:rFonts w:eastAsia="Times New Roman" w:cs="Helvetica"/>
          <w:szCs w:val="22"/>
          <w:lang w:eastAsia="sk-SK"/>
        </w:rPr>
        <w:t xml:space="preserve">Príspevok na aktivačnú činnosť formou menších obecných služieb pre obec alebo formou menších služieb pre samosprávny kraj by mal byť podmienený </w:t>
      </w:r>
      <w:r w:rsidR="00864D0D">
        <w:rPr>
          <w:rFonts w:eastAsia="Times New Roman" w:cs="Helvetica"/>
          <w:szCs w:val="22"/>
          <w:lang w:eastAsia="sk-SK"/>
        </w:rPr>
        <w:t xml:space="preserve">poskytnutím práce s vyššou pridanou hodnotou a možnosťami </w:t>
      </w:r>
      <w:r w:rsidRPr="00AB28DA">
        <w:rPr>
          <w:rFonts w:eastAsia="Times New Roman" w:cs="Helvetica"/>
          <w:szCs w:val="22"/>
          <w:lang w:eastAsia="sk-SK"/>
        </w:rPr>
        <w:t>rozvoja zručností</w:t>
      </w:r>
      <w:r w:rsidR="009E0C1B">
        <w:rPr>
          <w:rFonts w:eastAsia="Times New Roman" w:cs="Helvetica"/>
          <w:szCs w:val="22"/>
          <w:lang w:eastAsia="sk-SK"/>
        </w:rPr>
        <w:t xml:space="preserve"> účastníkov</w:t>
      </w:r>
      <w:r w:rsidRPr="00AB28DA">
        <w:rPr>
          <w:rFonts w:eastAsia="Times New Roman" w:cs="Helvetica"/>
          <w:szCs w:val="22"/>
          <w:lang w:eastAsia="sk-SK"/>
        </w:rPr>
        <w:t>.</w:t>
      </w:r>
      <w:r w:rsidR="00864D0D">
        <w:rPr>
          <w:rStyle w:val="Odkaznapoznmkupodiarou"/>
          <w:rFonts w:eastAsia="Times New Roman" w:cs="Helvetica"/>
          <w:szCs w:val="22"/>
          <w:lang w:eastAsia="sk-SK"/>
        </w:rPr>
        <w:footnoteReference w:id="329"/>
      </w:r>
      <w:r w:rsidRPr="00AB28DA">
        <w:rPr>
          <w:rFonts w:eastAsia="Times New Roman" w:cs="Helvetica"/>
          <w:szCs w:val="22"/>
          <w:lang w:eastAsia="sk-SK"/>
        </w:rPr>
        <w:t xml:space="preserve"> V prípade, že sa toto opatrenie osvedčí</w:t>
      </w:r>
      <w:r w:rsidR="001145C8" w:rsidRPr="00AB28DA">
        <w:rPr>
          <w:rFonts w:eastAsia="Times New Roman" w:cs="Helvetica"/>
          <w:szCs w:val="22"/>
          <w:lang w:eastAsia="sk-SK"/>
        </w:rPr>
        <w:t>,</w:t>
      </w:r>
      <w:r w:rsidRPr="00AB28DA">
        <w:rPr>
          <w:rFonts w:eastAsia="Times New Roman" w:cs="Helvetica"/>
          <w:szCs w:val="22"/>
          <w:lang w:eastAsia="sk-SK"/>
        </w:rPr>
        <w:t xml:space="preserve"> by príspevok mohol byť v budúcnosti rozšírený aj na účastníkov druhej koľaje (na základe </w:t>
      </w:r>
      <w:r w:rsidRPr="00AB28DA">
        <w:rPr>
          <w:rFonts w:cs="Helvetica"/>
        </w:rPr>
        <w:t>dohody medzi uchádzačom o zamestnanie a</w:t>
      </w:r>
      <w:r w:rsidR="00171F71" w:rsidRPr="00AB28DA">
        <w:rPr>
          <w:rFonts w:cs="Helvetica"/>
        </w:rPr>
        <w:t> </w:t>
      </w:r>
      <w:r w:rsidRPr="00AB28DA">
        <w:rPr>
          <w:rFonts w:cs="Helvetica"/>
        </w:rPr>
        <w:t>obcou</w:t>
      </w:r>
      <w:r w:rsidR="00171F71" w:rsidRPr="00AB28DA">
        <w:rPr>
          <w:rFonts w:cs="Helvetica"/>
        </w:rPr>
        <w:t>)</w:t>
      </w:r>
      <w:r w:rsidRPr="00AB28DA">
        <w:rPr>
          <w:rFonts w:cs="Helvetica"/>
        </w:rPr>
        <w:t>.</w:t>
      </w:r>
    </w:p>
    <w:p w14:paraId="7750D5B3" w14:textId="2A430474" w:rsidR="00EF1973" w:rsidRPr="00D3189B" w:rsidRDefault="00C86F4F" w:rsidP="00D3189B">
      <w:pPr>
        <w:spacing w:before="160"/>
        <w:rPr>
          <w:color w:val="0070C0"/>
        </w:rPr>
      </w:pPr>
      <w:bookmarkStart w:id="533" w:name="_Toc20660645"/>
      <w:bookmarkStart w:id="534" w:name="_Toc20660646"/>
      <w:bookmarkStart w:id="535" w:name="_Toc20660647"/>
      <w:bookmarkStart w:id="536" w:name="_Toc20660649"/>
      <w:bookmarkEnd w:id="532"/>
      <w:bookmarkEnd w:id="533"/>
      <w:bookmarkEnd w:id="534"/>
      <w:bookmarkEnd w:id="535"/>
      <w:bookmarkEnd w:id="536"/>
      <w:r>
        <w:rPr>
          <w:color w:val="0070C0"/>
        </w:rPr>
        <w:t>Individuálna práca s</w:t>
      </w:r>
      <w:r w:rsidR="005261E7">
        <w:rPr>
          <w:color w:val="0070C0"/>
        </w:rPr>
        <w:t> </w:t>
      </w:r>
      <w:r>
        <w:rPr>
          <w:color w:val="0070C0"/>
        </w:rPr>
        <w:t>klientom</w:t>
      </w:r>
      <w:r w:rsidR="005261E7">
        <w:rPr>
          <w:color w:val="0070C0"/>
        </w:rPr>
        <w:t xml:space="preserve"> a</w:t>
      </w:r>
      <w:r w:rsidR="007F2EEA">
        <w:rPr>
          <w:color w:val="0070C0"/>
        </w:rPr>
        <w:t xml:space="preserve"> p</w:t>
      </w:r>
      <w:r w:rsidR="00EF1973" w:rsidRPr="00AB28DA">
        <w:rPr>
          <w:color w:val="0070C0"/>
        </w:rPr>
        <w:t>odporované zamestnávanie</w:t>
      </w:r>
    </w:p>
    <w:p w14:paraId="42E456F1" w14:textId="19DBFA7B" w:rsidR="00EA7FF5" w:rsidRPr="00CA2564" w:rsidRDefault="00EA7FF5" w:rsidP="00C86F4F">
      <w:pPr>
        <w:widowControl w:val="0"/>
        <w:pBdr>
          <w:top w:val="nil"/>
          <w:left w:val="nil"/>
          <w:bottom w:val="nil"/>
          <w:right w:val="nil"/>
          <w:between w:val="nil"/>
        </w:pBdr>
        <w:rPr>
          <w:rFonts w:eastAsia="Arial Narrow" w:cs="Arial Narrow"/>
        </w:rPr>
      </w:pPr>
      <w:r w:rsidRPr="00CA2564">
        <w:rPr>
          <w:rFonts w:eastAsia="Arial Narrow" w:cs="Arial Narrow"/>
          <w:b/>
        </w:rPr>
        <w:t>Podporované zamestnávanie je komplex individualizovaných služieb určený (sociálne/zdravotne) znevýhodneným osobám na trhu práce so zameraním na získanie a udržanie pracovného miesta na otvorenom trhu práce.</w:t>
      </w:r>
      <w:r w:rsidRPr="00CA2564">
        <w:rPr>
          <w:rFonts w:eastAsia="Arial Narrow" w:cs="Arial Narrow"/>
        </w:rPr>
        <w:t xml:space="preserve"> Balíčky služieb sú prispôsobené individuálnym schopnostiam a potrebám človeka na pracovisku aj mimo neho. Zahŕňať môžu napríklad poskytovanie odborného poradenstva, zisťovanie odborných schopností a zručností uchádzačov, prípravu na zamestnanie, sprostredkovanie vhodného zamestnania, poskytovanie odborného poradenstva zamestnávateľovi pri úprave pracovného miesta a pracovných podmienok pre potreby </w:t>
      </w:r>
      <w:r w:rsidR="006B7954">
        <w:rPr>
          <w:rFonts w:eastAsia="Arial Narrow" w:cs="Arial Narrow"/>
        </w:rPr>
        <w:t>znevýhodnenej osoby</w:t>
      </w:r>
      <w:r w:rsidRPr="00CA2564">
        <w:rPr>
          <w:rFonts w:eastAsia="Arial Narrow" w:cs="Arial Narrow"/>
        </w:rPr>
        <w:t xml:space="preserve"> a „mentoring“ či asistenciu po nástupe</w:t>
      </w:r>
      <w:r w:rsidR="004D3944">
        <w:rPr>
          <w:rFonts w:eastAsia="Arial Narrow" w:cs="Arial Narrow"/>
        </w:rPr>
        <w:t xml:space="preserve"> </w:t>
      </w:r>
      <w:r w:rsidRPr="00CA2564">
        <w:rPr>
          <w:rFonts w:eastAsia="Arial Narrow" w:cs="Arial Narrow"/>
        </w:rPr>
        <w:t xml:space="preserve">do zamestnania. </w:t>
      </w:r>
    </w:p>
    <w:p w14:paraId="2A061C3E" w14:textId="6D3A2FC3" w:rsidR="00C86F4F" w:rsidRDefault="00EA7FF5" w:rsidP="00C86F4F">
      <w:pPr>
        <w:widowControl w:val="0"/>
        <w:pBdr>
          <w:top w:val="nil"/>
          <w:left w:val="nil"/>
          <w:bottom w:val="nil"/>
          <w:right w:val="nil"/>
          <w:between w:val="nil"/>
        </w:pBdr>
        <w:rPr>
          <w:rFonts w:eastAsia="Arial Narrow" w:cs="Arial Narrow"/>
        </w:rPr>
      </w:pPr>
      <w:r w:rsidRPr="00CA2564">
        <w:rPr>
          <w:rFonts w:eastAsia="Arial Narrow" w:cs="Arial Narrow"/>
          <w:b/>
        </w:rPr>
        <w:t>V</w:t>
      </w:r>
      <w:r w:rsidR="005261E7">
        <w:rPr>
          <w:rFonts w:eastAsia="Arial Narrow" w:cs="Arial Narrow"/>
          <w:b/>
        </w:rPr>
        <w:t> ni</w:t>
      </w:r>
      <w:r w:rsidR="008764F5">
        <w:rPr>
          <w:rFonts w:eastAsia="Arial Narrow" w:cs="Arial Narrow"/>
          <w:b/>
        </w:rPr>
        <w:t>e</w:t>
      </w:r>
      <w:r w:rsidR="005261E7">
        <w:rPr>
          <w:rFonts w:eastAsia="Arial Narrow" w:cs="Arial Narrow"/>
          <w:b/>
        </w:rPr>
        <w:t>ktorých krajinách</w:t>
      </w:r>
      <w:r w:rsidR="005261E7" w:rsidRPr="00CA2564">
        <w:rPr>
          <w:rFonts w:eastAsia="Arial Narrow" w:cs="Arial Narrow"/>
          <w:b/>
        </w:rPr>
        <w:t xml:space="preserve"> </w:t>
      </w:r>
      <w:r w:rsidRPr="00CA2564">
        <w:rPr>
          <w:rFonts w:eastAsia="Arial Narrow" w:cs="Arial Narrow"/>
          <w:b/>
        </w:rPr>
        <w:t xml:space="preserve">sú služby podporovaného zamestnávania pre uchádzačov znevýhodnených na trhu práce </w:t>
      </w:r>
      <w:r w:rsidR="00CA2564">
        <w:rPr>
          <w:rFonts w:eastAsia="Arial Narrow" w:cs="Arial Narrow"/>
          <w:b/>
        </w:rPr>
        <w:t xml:space="preserve">poskytované </w:t>
      </w:r>
      <w:r w:rsidRPr="00CA2564">
        <w:rPr>
          <w:rFonts w:eastAsia="Arial Narrow" w:cs="Arial Narrow"/>
          <w:b/>
        </w:rPr>
        <w:t>neštátnym</w:t>
      </w:r>
      <w:r w:rsidR="00CA2564">
        <w:rPr>
          <w:rFonts w:eastAsia="Arial Narrow" w:cs="Arial Narrow"/>
          <w:b/>
        </w:rPr>
        <w:t>i</w:t>
      </w:r>
      <w:r w:rsidRPr="00CA2564">
        <w:rPr>
          <w:rFonts w:eastAsia="Arial Narrow" w:cs="Arial Narrow"/>
          <w:b/>
        </w:rPr>
        <w:t xml:space="preserve"> </w:t>
      </w:r>
      <w:r w:rsidR="00CA2564">
        <w:rPr>
          <w:rFonts w:eastAsia="Arial Narrow" w:cs="Arial Narrow"/>
          <w:b/>
        </w:rPr>
        <w:t>poskytovateľmi</w:t>
      </w:r>
      <w:r w:rsidRPr="00CA2564">
        <w:rPr>
          <w:rFonts w:eastAsia="Arial Narrow" w:cs="Arial Narrow"/>
          <w:b/>
        </w:rPr>
        <w:t xml:space="preserve"> </w:t>
      </w:r>
      <w:r w:rsidRPr="00D3189B">
        <w:rPr>
          <w:rFonts w:eastAsia="Arial Narrow" w:cs="Arial Narrow"/>
        </w:rPr>
        <w:t>(</w:t>
      </w:r>
      <w:r w:rsidR="00193185" w:rsidRPr="00D3189B">
        <w:rPr>
          <w:rFonts w:eastAsia="Arial Narrow" w:cs="Arial Narrow"/>
        </w:rPr>
        <w:fldChar w:fldCharType="begin"/>
      </w:r>
      <w:r w:rsidR="00193185" w:rsidRPr="00D3189B">
        <w:rPr>
          <w:rFonts w:eastAsia="Arial Narrow" w:cs="Arial Narrow"/>
        </w:rPr>
        <w:instrText xml:space="preserve"> REF _Ref21087317 \h </w:instrText>
      </w:r>
      <w:r w:rsidR="00193185">
        <w:rPr>
          <w:rFonts w:eastAsia="Arial Narrow" w:cs="Arial Narrow"/>
        </w:rPr>
        <w:instrText xml:space="preserve"> \* MERGEFORMAT </w:instrText>
      </w:r>
      <w:r w:rsidR="00193185" w:rsidRPr="00D3189B">
        <w:rPr>
          <w:rFonts w:eastAsia="Arial Narrow" w:cs="Arial Narrow"/>
        </w:rPr>
      </w:r>
      <w:r w:rsidR="00193185" w:rsidRPr="00D3189B">
        <w:rPr>
          <w:rFonts w:eastAsia="Arial Narrow" w:cs="Arial Narrow"/>
        </w:rPr>
        <w:fldChar w:fldCharType="separate"/>
      </w:r>
      <w:r w:rsidR="00FA29AF" w:rsidRPr="00FA29AF">
        <w:rPr>
          <w:rFonts w:eastAsia="Arial Narrow" w:cs="Arial Narrow"/>
          <w:iCs/>
        </w:rPr>
        <w:t>Box 14</w:t>
      </w:r>
      <w:r w:rsidR="00193185" w:rsidRPr="00D3189B">
        <w:rPr>
          <w:rFonts w:eastAsia="Arial Narrow" w:cs="Arial Narrow"/>
        </w:rPr>
        <w:fldChar w:fldCharType="end"/>
      </w:r>
      <w:r w:rsidRPr="00D3189B">
        <w:rPr>
          <w:rFonts w:eastAsia="Arial Narrow" w:cs="Arial Narrow"/>
        </w:rPr>
        <w:t>).</w:t>
      </w:r>
      <w:r w:rsidRPr="00CA2564">
        <w:rPr>
          <w:rFonts w:eastAsia="Arial Narrow" w:cs="Arial Narrow"/>
          <w:b/>
        </w:rPr>
        <w:t xml:space="preserve"> </w:t>
      </w:r>
      <w:r w:rsidR="00C86F4F" w:rsidRPr="00CA2564">
        <w:rPr>
          <w:rFonts w:eastAsia="Arial Narrow" w:cs="Arial Narrow"/>
        </w:rPr>
        <w:t xml:space="preserve">Ich financovanie </w:t>
      </w:r>
      <w:r w:rsidR="00C86F4F">
        <w:rPr>
          <w:rFonts w:eastAsia="Arial Narrow" w:cs="Arial Narrow"/>
        </w:rPr>
        <w:t>je</w:t>
      </w:r>
      <w:r w:rsidR="00C86F4F" w:rsidRPr="00CA2564">
        <w:rPr>
          <w:rFonts w:eastAsia="Arial Narrow" w:cs="Arial Narrow"/>
        </w:rPr>
        <w:t xml:space="preserve"> typicky </w:t>
      </w:r>
      <w:r w:rsidR="00C86F4F">
        <w:rPr>
          <w:rFonts w:eastAsia="Arial Narrow" w:cs="Arial Narrow"/>
        </w:rPr>
        <w:t xml:space="preserve">kombináciou pravidelnej platby za poskytované služby a platby za </w:t>
      </w:r>
      <w:r w:rsidR="00C86F4F" w:rsidRPr="00CA2564">
        <w:rPr>
          <w:rFonts w:eastAsia="Arial Narrow" w:cs="Arial Narrow"/>
        </w:rPr>
        <w:t>výsledk</w:t>
      </w:r>
      <w:r w:rsidR="00C86F4F">
        <w:rPr>
          <w:rFonts w:eastAsia="Arial Narrow" w:cs="Arial Narrow"/>
        </w:rPr>
        <w:t>y</w:t>
      </w:r>
      <w:r w:rsidR="00C86F4F" w:rsidRPr="00CA2564">
        <w:rPr>
          <w:rFonts w:eastAsia="Arial Narrow" w:cs="Arial Narrow"/>
        </w:rPr>
        <w:t xml:space="preserve"> v zmysle umiestnenia a udržania klientov v zamestnaní. </w:t>
      </w:r>
      <w:r w:rsidR="00C86F4F">
        <w:rPr>
          <w:rFonts w:eastAsia="Arial Narrow" w:cs="Arial Narrow"/>
        </w:rPr>
        <w:t xml:space="preserve">Evaluácie vplyvov outsourcovania služieb zamestnanosti prinášajú zmiešané výsledky, čo súvisí s veľkými rozdielmi v modeloch outsourcovania v jednotlivých štátoch ako aj s použitím rozdielnych metód evaluácie. </w:t>
      </w:r>
      <w:r w:rsidR="007949CD">
        <w:rPr>
          <w:rFonts w:eastAsia="Arial Narrow" w:cs="Arial Narrow"/>
        </w:rPr>
        <w:t>Pri </w:t>
      </w:r>
      <w:r w:rsidR="008764F5">
        <w:rPr>
          <w:rFonts w:eastAsia="Arial Narrow" w:cs="Arial Narrow"/>
        </w:rPr>
        <w:t xml:space="preserve">vhodnom nastavení podmienok môže byť </w:t>
      </w:r>
      <w:r w:rsidR="008764F5" w:rsidRPr="00CA2564">
        <w:rPr>
          <w:rFonts w:eastAsia="Arial Narrow" w:cs="Arial Narrow"/>
        </w:rPr>
        <w:t>čiastočné outsourcovanie služieb zamestnanosti nákladovo efektívne, najmä v prípade ťažšie zamestnateľných klientov (Európska komisia, 2013, OECD, 2015</w:t>
      </w:r>
      <w:r w:rsidR="009C216F">
        <w:rPr>
          <w:rFonts w:eastAsia="Arial Narrow" w:cs="Arial Narrow"/>
        </w:rPr>
        <w:t>c</w:t>
      </w:r>
      <w:r w:rsidR="008764F5" w:rsidRPr="00CA2564">
        <w:rPr>
          <w:rFonts w:eastAsia="Arial Narrow" w:cs="Arial Narrow"/>
        </w:rPr>
        <w:t>, Eardley, 2003).</w:t>
      </w:r>
      <w:r w:rsidR="008764F5">
        <w:rPr>
          <w:rFonts w:eastAsia="Arial Narrow" w:cs="Arial Narrow"/>
        </w:rPr>
        <w:t xml:space="preserve"> P</w:t>
      </w:r>
      <w:r w:rsidR="00C86F4F">
        <w:rPr>
          <w:rFonts w:eastAsia="Arial Narrow" w:cs="Arial Narrow"/>
        </w:rPr>
        <w:t xml:space="preserve">ozitívny vplyv na výsledky na trhu práce </w:t>
      </w:r>
      <w:r w:rsidR="008764F5">
        <w:rPr>
          <w:rFonts w:eastAsia="Arial Narrow" w:cs="Arial Narrow"/>
        </w:rPr>
        <w:t xml:space="preserve">bol zdokumentovaný </w:t>
      </w:r>
      <w:r w:rsidR="00C86F4F">
        <w:rPr>
          <w:rFonts w:eastAsia="Arial Narrow" w:cs="Arial Narrow"/>
        </w:rPr>
        <w:t xml:space="preserve">napríklad pri dlhodobo </w:t>
      </w:r>
      <w:r w:rsidR="00C86F4F" w:rsidRPr="0026725B">
        <w:rPr>
          <w:rFonts w:eastAsia="Arial Narrow" w:cs="Arial Narrow"/>
        </w:rPr>
        <w:t xml:space="preserve">nezamestnaných klientoch (Hasluck a spol., 2003), pri klientoch so zdravotným znevýhodnením (Stafford a spol., 2007), pri klientoch s migračným pozadím či klientoch bez kvalifikácie (Bernhard a Wolff, 2008). </w:t>
      </w:r>
    </w:p>
    <w:p w14:paraId="05BFC6DA" w14:textId="3E0DE1ED" w:rsidR="00193185" w:rsidRPr="00C86F4F" w:rsidRDefault="00C86F4F" w:rsidP="00C86F4F">
      <w:pPr>
        <w:widowControl w:val="0"/>
        <w:pBdr>
          <w:top w:val="nil"/>
          <w:left w:val="nil"/>
          <w:bottom w:val="nil"/>
          <w:right w:val="nil"/>
          <w:between w:val="nil"/>
        </w:pBdr>
        <w:rPr>
          <w:rFonts w:eastAsia="Arial Narrow" w:cs="Arial Narrow"/>
        </w:rPr>
      </w:pPr>
      <w:r w:rsidRPr="0026725B">
        <w:rPr>
          <w:rFonts w:eastAsia="Arial Narrow" w:cs="Arial Narrow"/>
        </w:rPr>
        <w:t>Financovanie a kontrola neverejných poskytovateľov musia však byť nastavené tak, aby nielen odmeňovali pozitívne výsledky, ale zároveň minimalizovali tzv. „cream-skimming“ (t.j. selektívny výber najľahšie umiestni</w:t>
      </w:r>
      <w:r w:rsidRPr="0080071D">
        <w:rPr>
          <w:rFonts w:eastAsia="Arial Narrow" w:cs="Arial Narrow"/>
        </w:rPr>
        <w:t>teľných klientov). A</w:t>
      </w:r>
      <w:r w:rsidRPr="005C015A">
        <w:rPr>
          <w:rFonts w:eastAsia="Arial Narrow" w:cs="Arial Narrow"/>
        </w:rPr>
        <w:t xml:space="preserve">j napriek tomu </w:t>
      </w:r>
      <w:r w:rsidRPr="00C35529">
        <w:rPr>
          <w:rFonts w:eastAsia="Arial Narrow" w:cs="Arial Narrow"/>
        </w:rPr>
        <w:t xml:space="preserve">sa výhody outsourcovania </w:t>
      </w:r>
      <w:r w:rsidRPr="003574CB">
        <w:rPr>
          <w:rFonts w:eastAsia="Arial Narrow" w:cs="Arial Narrow"/>
        </w:rPr>
        <w:t>môžu dostaviť tak ako v Austrálii až s časovým odstupom</w:t>
      </w:r>
      <w:r w:rsidRPr="0026725B">
        <w:rPr>
          <w:rFonts w:eastAsia="Arial Narrow" w:cs="Arial Narrow"/>
        </w:rPr>
        <w:t>, keď je na trhu dosiahnutá dostatočná konkurencia poskytovateľov, je zabezpečené efektívne riadenie a monitorovani</w:t>
      </w:r>
      <w:r w:rsidR="00D64CA0">
        <w:rPr>
          <w:rFonts w:eastAsia="Arial Narrow" w:cs="Arial Narrow"/>
        </w:rPr>
        <w:t>e kvality poskytovaných služieb</w:t>
      </w:r>
      <w:r w:rsidRPr="0026725B">
        <w:rPr>
          <w:rFonts w:eastAsia="Arial Narrow" w:cs="Arial Narrow"/>
        </w:rPr>
        <w:t xml:space="preserve"> a menej kvalitní po</w:t>
      </w:r>
      <w:r w:rsidR="00D64CA0">
        <w:rPr>
          <w:rFonts w:eastAsia="Arial Narrow" w:cs="Arial Narrow"/>
        </w:rPr>
        <w:t>skytovatelia sú vylúčení (Finn, </w:t>
      </w:r>
      <w:r w:rsidRPr="0026725B">
        <w:rPr>
          <w:rFonts w:eastAsia="Arial Narrow" w:cs="Arial Narrow"/>
        </w:rPr>
        <w:t xml:space="preserve">2011). </w:t>
      </w:r>
    </w:p>
    <w:tbl>
      <w:tblPr>
        <w:tblW w:w="0" w:type="auto"/>
        <w:shd w:val="clear" w:color="auto" w:fill="BDD6EE" w:themeFill="accent1" w:themeFillTint="66"/>
        <w:tblLook w:val="04A0" w:firstRow="1" w:lastRow="0" w:firstColumn="1" w:lastColumn="0" w:noHBand="0" w:noVBand="1"/>
      </w:tblPr>
      <w:tblGrid>
        <w:gridCol w:w="9026"/>
      </w:tblGrid>
      <w:tr w:rsidR="00EA7FF5" w:rsidRPr="00CA2564" w14:paraId="50C782B8" w14:textId="77777777" w:rsidTr="009E6C4C">
        <w:tc>
          <w:tcPr>
            <w:tcW w:w="9062" w:type="dxa"/>
            <w:shd w:val="clear" w:color="auto" w:fill="BDD6EE" w:themeFill="accent1" w:themeFillTint="66"/>
          </w:tcPr>
          <w:p w14:paraId="47C739C4" w14:textId="3DE25A9D" w:rsidR="00EA7FF5" w:rsidRPr="00225D12" w:rsidRDefault="00193185" w:rsidP="009E6C4C">
            <w:pPr>
              <w:widowControl w:val="0"/>
              <w:spacing w:before="160"/>
              <w:rPr>
                <w:rFonts w:eastAsia="Arial Narrow" w:cs="Arial Narrow"/>
                <w:b/>
                <w:iCs/>
              </w:rPr>
            </w:pPr>
            <w:bookmarkStart w:id="537" w:name="_Ref21087317"/>
            <w:r w:rsidRPr="00193185">
              <w:rPr>
                <w:rFonts w:eastAsia="Arial Narrow" w:cs="Arial Narrow"/>
                <w:b/>
                <w:iCs/>
              </w:rPr>
              <w:t xml:space="preserve">Box </w:t>
            </w:r>
            <w:r w:rsidR="00A425AB">
              <w:rPr>
                <w:rFonts w:eastAsia="Arial Narrow" w:cs="Arial Narrow"/>
                <w:b/>
                <w:iCs/>
              </w:rPr>
              <w:fldChar w:fldCharType="begin"/>
            </w:r>
            <w:r w:rsidR="00A425AB">
              <w:rPr>
                <w:rFonts w:eastAsia="Arial Narrow" w:cs="Arial Narrow"/>
                <w:b/>
                <w:iCs/>
              </w:rPr>
              <w:instrText xml:space="preserve"> SEQ Box \* ARABIC </w:instrText>
            </w:r>
            <w:r w:rsidR="00A425AB">
              <w:rPr>
                <w:rFonts w:eastAsia="Arial Narrow" w:cs="Arial Narrow"/>
                <w:b/>
                <w:iCs/>
              </w:rPr>
              <w:fldChar w:fldCharType="separate"/>
            </w:r>
            <w:r w:rsidR="00FA29AF">
              <w:rPr>
                <w:rFonts w:eastAsia="Arial Narrow" w:cs="Arial Narrow"/>
                <w:b/>
                <w:iCs/>
                <w:noProof/>
              </w:rPr>
              <w:t>14</w:t>
            </w:r>
            <w:r w:rsidR="00A425AB">
              <w:rPr>
                <w:rFonts w:eastAsia="Arial Narrow" w:cs="Arial Narrow"/>
                <w:b/>
                <w:iCs/>
              </w:rPr>
              <w:fldChar w:fldCharType="end"/>
            </w:r>
            <w:bookmarkEnd w:id="537"/>
            <w:r>
              <w:rPr>
                <w:rFonts w:eastAsia="Arial Narrow" w:cs="Arial Narrow"/>
                <w:b/>
              </w:rPr>
              <w:t xml:space="preserve"> </w:t>
            </w:r>
            <w:r w:rsidR="00EA7FF5" w:rsidRPr="00CA2564">
              <w:rPr>
                <w:rFonts w:eastAsia="Arial Narrow" w:cs="Arial Narrow"/>
                <w:b/>
              </w:rPr>
              <w:t>: Outsourcing podporovaného zamestnávania v zahraničí</w:t>
            </w:r>
          </w:p>
          <w:p w14:paraId="40FFEB6C" w14:textId="79291E8D" w:rsidR="00EA7FF5" w:rsidRPr="00CA2564" w:rsidRDefault="00EA7FF5" w:rsidP="009E6C4C">
            <w:pPr>
              <w:widowControl w:val="0"/>
              <w:pBdr>
                <w:top w:val="nil"/>
                <w:left w:val="nil"/>
                <w:bottom w:val="nil"/>
                <w:right w:val="nil"/>
                <w:between w:val="nil"/>
              </w:pBdr>
              <w:spacing w:before="160"/>
              <w:rPr>
                <w:rFonts w:eastAsia="Arial Narrow" w:cs="Arial Narrow"/>
              </w:rPr>
            </w:pPr>
            <w:r w:rsidRPr="00CA2564">
              <w:rPr>
                <w:rFonts w:eastAsia="Arial Narrow" w:cs="Arial Narrow"/>
              </w:rPr>
              <w:t>V Španielsku je po posúdení na úradoch práce uchádzačom o zamestnanie so zdravotným postihnutím priznaný invalidný dôchodok a následne si môžu vybrať, aké služby zamestnanosti chcú využiť. Klienti môžu sami iniciovať kontakt s neštátnym poskytovateľom podporovaného zamestnávania, ale musí tomu predchádzať registráci</w:t>
            </w:r>
            <w:r w:rsidR="00E83EA6">
              <w:rPr>
                <w:rFonts w:eastAsia="Arial Narrow" w:cs="Arial Narrow"/>
              </w:rPr>
              <w:t>a</w:t>
            </w:r>
            <w:r w:rsidRPr="00CA2564">
              <w:rPr>
                <w:rFonts w:eastAsia="Arial Narrow" w:cs="Arial Narrow"/>
              </w:rPr>
              <w:t xml:space="preserve"> a schválenie úradmi práce. Pracovné poradenstvo môžu vykonávať samotné úrady práce, ale zvyčajne ho poskytujú </w:t>
            </w:r>
            <w:r w:rsidR="009B7D99">
              <w:rPr>
                <w:rFonts w:eastAsia="Arial Narrow" w:cs="Arial Narrow"/>
              </w:rPr>
              <w:t>neverejní</w:t>
            </w:r>
            <w:r w:rsidR="009B7D99" w:rsidRPr="00CA2564">
              <w:rPr>
                <w:rFonts w:eastAsia="Arial Narrow" w:cs="Arial Narrow"/>
              </w:rPr>
              <w:t xml:space="preserve"> </w:t>
            </w:r>
            <w:r w:rsidRPr="00CA2564">
              <w:rPr>
                <w:rFonts w:eastAsia="Arial Narrow" w:cs="Arial Narrow"/>
              </w:rPr>
              <w:t xml:space="preserve">poskytovatelia služieb, ktorí môžu požiadať o financovanie. V čase </w:t>
            </w:r>
            <w:r w:rsidR="00225E7E">
              <w:rPr>
                <w:rFonts w:eastAsia="Arial Narrow" w:cs="Arial Narrow"/>
              </w:rPr>
              <w:t>prieskumu</w:t>
            </w:r>
            <w:r w:rsidRPr="00CA2564">
              <w:rPr>
                <w:rFonts w:eastAsia="Arial Narrow" w:cs="Arial Narrow"/>
              </w:rPr>
              <w:t xml:space="preserve"> zamestnávalo približne 200-300 (najmä súkromných) poskytovateľov služieb zamestnanosti 400-500 koučov, ktorí pomá</w:t>
            </w:r>
            <w:r w:rsidR="00E333C0">
              <w:rPr>
                <w:rFonts w:eastAsia="Arial Narrow" w:cs="Arial Narrow"/>
              </w:rPr>
              <w:t>ha</w:t>
            </w:r>
            <w:r w:rsidRPr="00CA2564">
              <w:rPr>
                <w:rFonts w:eastAsia="Arial Narrow" w:cs="Arial Narrow"/>
              </w:rPr>
              <w:t>li približne 5 000 osobám s intenzívnejšími potrebami v oblasti integrácie na trhu práce (Európska komisia, 2013).</w:t>
            </w:r>
          </w:p>
          <w:p w14:paraId="34F75232" w14:textId="68081598" w:rsidR="00EA7FF5" w:rsidRPr="00CA2564" w:rsidRDefault="00EA7FF5" w:rsidP="009E6C4C">
            <w:pPr>
              <w:widowControl w:val="0"/>
              <w:pBdr>
                <w:top w:val="nil"/>
                <w:left w:val="nil"/>
                <w:bottom w:val="nil"/>
                <w:right w:val="nil"/>
                <w:between w:val="nil"/>
              </w:pBdr>
              <w:spacing w:before="160"/>
              <w:rPr>
                <w:rFonts w:eastAsia="Arial Narrow" w:cs="Arial Narrow"/>
              </w:rPr>
            </w:pPr>
            <w:r w:rsidRPr="00CA2564">
              <w:rPr>
                <w:rFonts w:eastAsia="Arial Narrow" w:cs="Arial Narrow"/>
              </w:rPr>
              <w:t>V Holandsku je „outsourcovaný“ celý proces podporovaného zamestnávania. Balíky služieb</w:t>
            </w:r>
            <w:r w:rsidR="00D64CA0">
              <w:rPr>
                <w:rFonts w:eastAsia="Arial Narrow" w:cs="Arial Narrow"/>
              </w:rPr>
              <w:t>,</w:t>
            </w:r>
            <w:r w:rsidRPr="00CA2564">
              <w:rPr>
                <w:rFonts w:eastAsia="Arial Narrow" w:cs="Arial Narrow"/>
              </w:rPr>
              <w:t xml:space="preserve"> alebo „trajektórie“</w:t>
            </w:r>
            <w:r w:rsidR="00D64CA0">
              <w:rPr>
                <w:rFonts w:eastAsia="Arial Narrow" w:cs="Arial Narrow"/>
              </w:rPr>
              <w:t>,</w:t>
            </w:r>
            <w:r w:rsidRPr="00CA2564">
              <w:rPr>
                <w:rFonts w:eastAsia="Arial Narrow" w:cs="Arial Narrow"/>
              </w:rPr>
              <w:t xml:space="preserve"> zahŕňajú individuálne riadenie prípadov, hodnotenie zručností, rehab</w:t>
            </w:r>
            <w:r w:rsidR="00D64CA0">
              <w:rPr>
                <w:rFonts w:eastAsia="Arial Narrow" w:cs="Arial Narrow"/>
              </w:rPr>
              <w:t>ilitáciu, odborné vzdelávanie a/</w:t>
            </w:r>
            <w:r w:rsidRPr="00CA2564">
              <w:rPr>
                <w:rFonts w:eastAsia="Arial Narrow" w:cs="Arial Narrow"/>
              </w:rPr>
              <w:t>alebo hľadanie zamestnania, stáže a služby v oblasti umiestnenia v zamestnaní a udržania pracovného miesta. Tieto balíky nakupujú úrady práce alebo obce prostredníctvom tendrov. Poskytovatelia služieb sú financovaní na základe výsledkov (napr. 20% na začiatku dohodnutého plánu, ďalších 30% po šiestich mesiacoch účasti a zvyšných 50% dohodnutého poplatku, ak je klient umiestnený a udržaný v zamestnaní) (Európska komisia, 2013).</w:t>
            </w:r>
          </w:p>
          <w:p w14:paraId="0F191857" w14:textId="260D150E" w:rsidR="00EA7FF5" w:rsidRPr="00CA2564" w:rsidRDefault="00EA7FF5">
            <w:pPr>
              <w:widowControl w:val="0"/>
              <w:spacing w:before="160"/>
            </w:pPr>
            <w:r w:rsidRPr="00CA2564">
              <w:t xml:space="preserve">V Austrálii sú služby zamestnanosti poskytované výlučne </w:t>
            </w:r>
            <w:r w:rsidR="00A94BFF">
              <w:t>neverejnými</w:t>
            </w:r>
            <w:r w:rsidR="00A94BFF" w:rsidRPr="00CA2564">
              <w:t xml:space="preserve"> </w:t>
            </w:r>
            <w:r w:rsidRPr="00CA2564">
              <w:t xml:space="preserve">poskytovateľmi, ktorí sú vybratí na základe tendrov. Pri príprave tendrovej výzvy austrálske ministerstvo práce zadefinuje minimálne požiadavky a štandardy služieb. Okrem nutnosti dodržania týchto minimálnych požiadaviek majú súťažiace subjekty voľnosť pri navrhovaní modelov služieb, čo dáva priestor rôznym inováciám a zabezpečuje rozmanitosť služieb. Navrhnuté modely a rozsahy služieb (nie cena) sú predmetom tendrovej súťaže. Ministerstvo práce následne monitoruje poskytovanie nakúpených služieb a zverejňuje „rating“ poskytovateľov na základe regresnej analýzy, ktorá zohľadňuje napríklad rozdiely v jednotlivých lokálnych pracovných trhoch ako aj v charakteristikách lokálnych populácií uchádzačov o zamestnanie. Výsledky ratingu jednotlivých poskytovateľov (aj ich pobočiek) sú verejné, a môžu tak informovať rozhodnutia uchádzačov o zamestnanie ako aj zamestnávateľov. Na základe výsledkov ratingu môže ministerstvo práce dokonca nariadiť ukončenie pôsobenia najmenej výkonných poskytovateľov v danej lokalite, alebo znížiť ich podiel na trhu v prospech výkonnejších poskytovateľov. Systém financovania je založený na dvoch typoch príspevkov: administratívne a výsledkové, ktoré </w:t>
            </w:r>
            <w:r w:rsidR="00225E7E">
              <w:t xml:space="preserve">sú stanovené vopred a </w:t>
            </w:r>
            <w:r w:rsidRPr="00CA2564">
              <w:t>nie sú predmetom tendrovej súťaže. Administratívne príspevky sú poskytované každých 6 mesiacov. Výsledkové príspevky sú vyplácané za umiestnenie a udržanie uchádzača o zamestnanie v zamestnaní – v 4., 12. a 26. týždni od jeho umiestnenia. Výška výsledkových príspevkov poskytovateľovi za daného uchádzača závisí od bydliska a výsledku profilácie (Australian National Audit Office, 2017).</w:t>
            </w:r>
          </w:p>
        </w:tc>
      </w:tr>
    </w:tbl>
    <w:p w14:paraId="2D9A4377" w14:textId="18A619D4" w:rsidR="00EA7FF5" w:rsidRPr="00AB28DA" w:rsidRDefault="00EA7FF5" w:rsidP="00D3189B">
      <w:pPr>
        <w:autoSpaceDE w:val="0"/>
        <w:autoSpaceDN w:val="0"/>
        <w:adjustRightInd w:val="0"/>
        <w:spacing w:before="160"/>
        <w:rPr>
          <w:rFonts w:eastAsia="Calibri" w:cs="Times New Roman"/>
        </w:rPr>
      </w:pPr>
      <w:r w:rsidRPr="00CA2564">
        <w:rPr>
          <w:b/>
        </w:rPr>
        <w:t xml:space="preserve">Neštátnymi poskytovateľmi služieb zamestnanosti na podporu zamestnávania občanov so zdravotným postihnutím a dlhodobo nezamestnaných občanov </w:t>
      </w:r>
      <w:bookmarkStart w:id="538" w:name="_Hlk17635812"/>
      <w:r w:rsidRPr="00CA2564">
        <w:rPr>
          <w:b/>
        </w:rPr>
        <w:t xml:space="preserve">na Slovensku sú agentúry podporovaného zamestnávania (APZ). </w:t>
      </w:r>
      <w:r w:rsidRPr="00CA2564">
        <w:rPr>
          <w:rFonts w:eastAsia="Calibri" w:cs="Times New Roman"/>
          <w:b/>
        </w:rPr>
        <w:t>Ich podpora však nie je systémovo nastavená.</w:t>
      </w:r>
      <w:r w:rsidRPr="00CA2564">
        <w:rPr>
          <w:rFonts w:eastAsia="Calibri" w:cs="Times New Roman"/>
        </w:rPr>
        <w:t xml:space="preserve"> </w:t>
      </w:r>
      <w:bookmarkEnd w:id="538"/>
      <w:r w:rsidRPr="00CA2564">
        <w:rPr>
          <w:rFonts w:eastAsia="Calibri" w:cs="Times New Roman"/>
        </w:rPr>
        <w:t>Povolenie na činnosť APZ vydáva ÚPSVR na základe vyhodnotenia splnenia presných podmienok</w:t>
      </w:r>
      <w:r w:rsidRPr="00CA2564">
        <w:rPr>
          <w:rStyle w:val="Odkaznapoznmkupodiarou"/>
          <w:rFonts w:eastAsia="Calibri" w:cs="Times New Roman"/>
        </w:rPr>
        <w:footnoteReference w:id="330"/>
      </w:r>
      <w:r w:rsidRPr="00CA2564">
        <w:rPr>
          <w:rFonts w:eastAsia="Calibri" w:cs="Times New Roman"/>
        </w:rPr>
        <w:t xml:space="preserve">. </w:t>
      </w:r>
      <w:r w:rsidRPr="00CA2564">
        <w:rPr>
          <w:rFonts w:eastAsia="Arial Narrow" w:cs="Arial Narrow"/>
        </w:rPr>
        <w:t xml:space="preserve">Zákon však nedefinuje jasné pravidlá fungovania a financovania, čoho dôsledkom je, že činnosť APZ nie je systematicky financovaná z verejných peňazí </w:t>
      </w:r>
      <w:r w:rsidR="00E83EA6">
        <w:rPr>
          <w:rFonts w:eastAsia="Arial Narrow" w:cs="Arial Narrow"/>
        </w:rPr>
        <w:t xml:space="preserve">a </w:t>
      </w:r>
      <w:r w:rsidRPr="00CA2564">
        <w:rPr>
          <w:rFonts w:eastAsia="Arial Narrow" w:cs="Arial Narrow"/>
        </w:rPr>
        <w:t>ani monitorovaná</w:t>
      </w:r>
      <w:r w:rsidRPr="00CA2564">
        <w:rPr>
          <w:rStyle w:val="Odkaznapoznmkupodiarou"/>
          <w:rFonts w:eastAsia="Arial Narrow" w:cs="Arial Narrow"/>
        </w:rPr>
        <w:footnoteReference w:id="331"/>
      </w:r>
      <w:r w:rsidRPr="00CA2564">
        <w:rPr>
          <w:rFonts w:eastAsia="Arial Narrow" w:cs="Arial Narrow"/>
        </w:rPr>
        <w:t xml:space="preserve">. Jediný </w:t>
      </w:r>
      <w:r w:rsidR="00C86F4F">
        <w:rPr>
          <w:rFonts w:eastAsia="Arial Narrow" w:cs="Arial Narrow"/>
        </w:rPr>
        <w:t>v zákone definovaný</w:t>
      </w:r>
      <w:r w:rsidR="00C86F4F" w:rsidRPr="00CA2564">
        <w:rPr>
          <w:rFonts w:eastAsia="Arial Narrow" w:cs="Arial Narrow"/>
        </w:rPr>
        <w:t xml:space="preserve"> </w:t>
      </w:r>
      <w:r w:rsidRPr="00CA2564">
        <w:rPr>
          <w:rFonts w:eastAsia="Arial Narrow" w:cs="Arial Narrow"/>
        </w:rPr>
        <w:t>nástroj na financovani</w:t>
      </w:r>
      <w:r w:rsidR="009D710B">
        <w:rPr>
          <w:rFonts w:eastAsia="Arial Narrow" w:cs="Arial Narrow"/>
        </w:rPr>
        <w:t>e APZ (platba zamestnávateľa za </w:t>
      </w:r>
      <w:r w:rsidRPr="00CA2564">
        <w:rPr>
          <w:rFonts w:eastAsia="Arial Narrow" w:cs="Arial Narrow"/>
        </w:rPr>
        <w:t>poskytnutie služieb APZ</w:t>
      </w:r>
      <w:r w:rsidRPr="00CA2564">
        <w:rPr>
          <w:rStyle w:val="Odkaznapoznmkupodiarou"/>
          <w:rFonts w:eastAsia="Calibri" w:cs="Times New Roman"/>
        </w:rPr>
        <w:footnoteReference w:id="332"/>
      </w:r>
      <w:r w:rsidRPr="00CA2564">
        <w:rPr>
          <w:rFonts w:eastAsia="Arial Narrow" w:cs="Arial Narrow"/>
        </w:rPr>
        <w:t>) sa v praxi využíva</w:t>
      </w:r>
      <w:r w:rsidR="00C86F4F">
        <w:rPr>
          <w:rFonts w:eastAsia="Arial Narrow" w:cs="Arial Narrow"/>
        </w:rPr>
        <w:t xml:space="preserve"> len v obmedzenom rozsahu a jeho výška nedokáže pokryť všetky náklady spojené s činnosťou APZ</w:t>
      </w:r>
      <w:r w:rsidRPr="00CA2564">
        <w:rPr>
          <w:rFonts w:eastAsia="Arial Narrow" w:cs="Arial Narrow"/>
        </w:rPr>
        <w:t xml:space="preserve">. </w:t>
      </w:r>
      <w:r w:rsidRPr="00CA2564">
        <w:rPr>
          <w:rFonts w:eastAsia="Calibri" w:cs="Times New Roman"/>
        </w:rPr>
        <w:t>Priemerný počet APZ s platným povolením na ich činnosť za posledné 3 roky predstavuje 52, pričom koncom roka 2018 klesol na 45</w:t>
      </w:r>
      <w:r w:rsidR="008764F5">
        <w:rPr>
          <w:rFonts w:eastAsia="Calibri" w:cs="Times New Roman"/>
        </w:rPr>
        <w:t>.</w:t>
      </w:r>
      <w:r w:rsidRPr="00CA2564">
        <w:rPr>
          <w:rStyle w:val="Odkaznapoznmkupodiarou"/>
          <w:rFonts w:eastAsia="Calibri" w:cs="Times New Roman"/>
        </w:rPr>
        <w:footnoteReference w:id="333"/>
      </w:r>
      <w:r w:rsidRPr="00CA2564">
        <w:rPr>
          <w:rFonts w:eastAsia="Calibri" w:cs="Times New Roman"/>
        </w:rPr>
        <w:t xml:space="preserve"> K</w:t>
      </w:r>
      <w:r w:rsidR="0070047D">
        <w:rPr>
          <w:rFonts w:eastAsia="Calibri" w:cs="Times New Roman"/>
        </w:rPr>
        <w:t xml:space="preserve"> </w:t>
      </w:r>
      <w:r w:rsidRPr="00CA2564">
        <w:rPr>
          <w:rFonts w:eastAsia="Calibri" w:cs="Times New Roman"/>
        </w:rPr>
        <w:t xml:space="preserve">17.5.2019 </w:t>
      </w:r>
      <w:r w:rsidRPr="00D1280A">
        <w:rPr>
          <w:rFonts w:eastAsia="Calibri" w:cs="Times New Roman"/>
        </w:rPr>
        <w:t xml:space="preserve">evidoval ÚPSVaR už len 39 platných APZ, pričom len približne štvrtina </w:t>
      </w:r>
      <w:r w:rsidRPr="003B1D6A">
        <w:rPr>
          <w:rFonts w:eastAsia="Calibri" w:cs="Times New Roman"/>
        </w:rPr>
        <w:t>z nich vykazovala svoju činnosť</w:t>
      </w:r>
      <w:r w:rsidR="008764F5">
        <w:rPr>
          <w:rFonts w:eastAsia="Calibri" w:cs="Times New Roman"/>
        </w:rPr>
        <w:t>.</w:t>
      </w:r>
      <w:r w:rsidRPr="003B1D6A">
        <w:rPr>
          <w:rStyle w:val="Odkaznapoznmkupodiarou"/>
          <w:rFonts w:eastAsia="Calibri" w:cs="Times New Roman"/>
        </w:rPr>
        <w:footnoteReference w:id="334"/>
      </w:r>
      <w:r w:rsidRPr="003B1D6A">
        <w:rPr>
          <w:rFonts w:eastAsia="Calibri" w:cs="Times New Roman"/>
        </w:rPr>
        <w:t xml:space="preserve"> </w:t>
      </w:r>
      <w:r w:rsidRPr="00D3189B">
        <w:rPr>
          <w:rFonts w:eastAsia="Calibri" w:cs="Times New Roman"/>
        </w:rPr>
        <w:t xml:space="preserve">Počas roka 2018 bola </w:t>
      </w:r>
      <w:r w:rsidR="00635A6D">
        <w:rPr>
          <w:rFonts w:eastAsia="Calibri" w:cs="Times New Roman"/>
        </w:rPr>
        <w:t xml:space="preserve">Inštitútom pre výskum práce </w:t>
      </w:r>
      <w:r w:rsidR="00635A6D" w:rsidRPr="00AB28DA">
        <w:rPr>
          <w:rFonts w:eastAsia="Calibri" w:cs="Times New Roman"/>
        </w:rPr>
        <w:t xml:space="preserve">a rodiny na podnet MPSVR SR vypracovaná analytická štúdia, ktorá navrhuje ako prechodné riešenie financovanie činnosti agentúr </w:t>
      </w:r>
      <w:r w:rsidRPr="00AB28DA">
        <w:rPr>
          <w:rFonts w:eastAsia="Calibri" w:cs="Times New Roman"/>
        </w:rPr>
        <w:t xml:space="preserve">podporovaného zamestnávania </w:t>
      </w:r>
      <w:r w:rsidR="00635A6D" w:rsidRPr="00AB28DA">
        <w:rPr>
          <w:rFonts w:eastAsia="Calibri" w:cs="Times New Roman"/>
        </w:rPr>
        <w:t>formou</w:t>
      </w:r>
      <w:r w:rsidRPr="00AB28DA">
        <w:rPr>
          <w:rFonts w:eastAsia="Calibri" w:cs="Times New Roman"/>
        </w:rPr>
        <w:t xml:space="preserve"> národného projektu (NP)</w:t>
      </w:r>
      <w:r w:rsidR="00240CA3">
        <w:rPr>
          <w:rFonts w:eastAsia="Calibri" w:cs="Times New Roman"/>
        </w:rPr>
        <w:t xml:space="preserve"> (Ondrušová a spol., 2018).</w:t>
      </w:r>
      <w:r w:rsidR="00635A6D" w:rsidRPr="00AB28DA">
        <w:rPr>
          <w:rFonts w:eastAsia="Calibri" w:cs="Times New Roman"/>
        </w:rPr>
        <w:t xml:space="preserve"> Táto inciatíva však zatiaľ neprešla do realizácie.</w:t>
      </w:r>
      <w:r w:rsidR="00410281">
        <w:rPr>
          <w:rStyle w:val="Odkaznapoznmkupodiarou"/>
          <w:rFonts w:eastAsia="Calibri" w:cs="Times New Roman"/>
        </w:rPr>
        <w:footnoteReference w:id="335"/>
      </w:r>
    </w:p>
    <w:p w14:paraId="3DAB0250" w14:textId="38B62CC3" w:rsidR="006F723E" w:rsidRPr="00AB28DA" w:rsidRDefault="00EA7FF5" w:rsidP="009E6C4C">
      <w:pPr>
        <w:spacing w:before="160"/>
        <w:rPr>
          <w:rFonts w:eastAsia="Arial Narrow" w:cs="Arial Narrow"/>
        </w:rPr>
      </w:pPr>
      <w:bookmarkStart w:id="539" w:name="_Hlk17635194"/>
      <w:r w:rsidRPr="00AB28DA">
        <w:rPr>
          <w:rFonts w:eastAsia="Arial Narrow" w:cs="Arial Narrow"/>
          <w:b/>
        </w:rPr>
        <w:t xml:space="preserve">Revízia navrhuje </w:t>
      </w:r>
      <w:r w:rsidR="008764F5">
        <w:rPr>
          <w:rFonts w:eastAsia="Arial Narrow" w:cs="Arial Narrow"/>
          <w:b/>
        </w:rPr>
        <w:t xml:space="preserve">posilniť </w:t>
      </w:r>
      <w:r w:rsidR="00583D91" w:rsidRPr="00D41517">
        <w:rPr>
          <w:rFonts w:eastAsia="Arial Narrow" w:cs="Times New Roman"/>
          <w:b/>
        </w:rPr>
        <w:t>individuálnu prácu so znevýhodnenými skupinami na trhu práce</w:t>
      </w:r>
      <w:r w:rsidR="00583D91">
        <w:rPr>
          <w:rFonts w:eastAsia="Arial Narrow" w:cs="Times New Roman"/>
          <w:b/>
        </w:rPr>
        <w:t xml:space="preserve">. </w:t>
      </w:r>
      <w:r w:rsidR="008764F5" w:rsidRPr="008B336A">
        <w:rPr>
          <w:rFonts w:eastAsia="Arial Narrow" w:cs="Times New Roman"/>
        </w:rPr>
        <w:t xml:space="preserve">Do úvahy prichádza </w:t>
      </w:r>
      <w:r w:rsidR="008764F5">
        <w:rPr>
          <w:rFonts w:eastAsia="Arial Narrow" w:cs="Times New Roman"/>
        </w:rPr>
        <w:t xml:space="preserve">intenzívnejšia </w:t>
      </w:r>
      <w:r w:rsidR="008764F5" w:rsidRPr="008764F5">
        <w:rPr>
          <w:rFonts w:eastAsia="Arial Narrow" w:cs="Times New Roman"/>
        </w:rPr>
        <w:t xml:space="preserve">spolupráca </w:t>
      </w:r>
      <w:r w:rsidR="008764F5" w:rsidRPr="008B336A">
        <w:rPr>
          <w:rFonts w:eastAsia="Arial Narrow" w:cs="Times New Roman"/>
        </w:rPr>
        <w:t>s neštátnymi službami zames</w:t>
      </w:r>
      <w:r w:rsidR="006F723E">
        <w:rPr>
          <w:rFonts w:eastAsia="Arial Narrow" w:cs="Times New Roman"/>
        </w:rPr>
        <w:t>tnanosti, resp. inými vybranými</w:t>
      </w:r>
      <w:r w:rsidR="008764F5" w:rsidRPr="008B336A">
        <w:rPr>
          <w:rFonts w:eastAsia="Arial Narrow" w:cs="Times New Roman"/>
        </w:rPr>
        <w:t xml:space="preserve"> subjektmi zameranými na tento druh činností</w:t>
      </w:r>
      <w:r w:rsidR="008764F5" w:rsidRPr="00D41517">
        <w:rPr>
          <w:rFonts w:eastAsia="Arial Narrow" w:cs="Times New Roman"/>
          <w:b/>
        </w:rPr>
        <w:t xml:space="preserve"> </w:t>
      </w:r>
      <w:r w:rsidR="008764F5">
        <w:rPr>
          <w:rFonts w:eastAsia="Arial Narrow" w:cs="Times New Roman"/>
        </w:rPr>
        <w:t>ako aj posilnenie štátnych kapacít v tejto oblasti</w:t>
      </w:r>
      <w:r w:rsidR="006F723E">
        <w:rPr>
          <w:rFonts w:eastAsia="Arial Narrow" w:cs="Times New Roman"/>
        </w:rPr>
        <w:t>, prípadne kombinácia týchto prístupov</w:t>
      </w:r>
      <w:r w:rsidR="008764F5">
        <w:rPr>
          <w:rFonts w:eastAsia="Arial Narrow" w:cs="Times New Roman"/>
        </w:rPr>
        <w:t xml:space="preserve">. </w:t>
      </w:r>
      <w:r w:rsidR="006F723E">
        <w:rPr>
          <w:rFonts w:eastAsia="Arial Narrow" w:cs="Times New Roman"/>
        </w:rPr>
        <w:t xml:space="preserve">V oboch prípadoch je potrebné naviazať časť financovania na dosiahnuté výsledky pri umiestňovaní uchádzačov na trh práce. V prípade outsourcovania je potrebné nastaviť jasnú </w:t>
      </w:r>
      <w:r w:rsidRPr="00D41517">
        <w:rPr>
          <w:rFonts w:eastAsia="Arial Narrow" w:cs="Arial Narrow"/>
        </w:rPr>
        <w:t>spoluprác</w:t>
      </w:r>
      <w:r w:rsidR="006F723E">
        <w:rPr>
          <w:rFonts w:eastAsia="Arial Narrow" w:cs="Arial Narrow"/>
        </w:rPr>
        <w:t>u</w:t>
      </w:r>
      <w:r w:rsidRPr="00D41517">
        <w:rPr>
          <w:rFonts w:eastAsia="Arial Narrow" w:cs="Arial Narrow"/>
        </w:rPr>
        <w:t xml:space="preserve"> s úradmi práce, systematické a udržateľné financovani</w:t>
      </w:r>
      <w:r w:rsidR="00583D91" w:rsidRPr="00D41517">
        <w:rPr>
          <w:rFonts w:eastAsia="Arial Narrow" w:cs="Arial Narrow"/>
        </w:rPr>
        <w:t>e</w:t>
      </w:r>
      <w:r w:rsidRPr="00D41517">
        <w:rPr>
          <w:rFonts w:eastAsia="Arial Narrow" w:cs="Arial Narrow"/>
        </w:rPr>
        <w:t xml:space="preserve"> a zber údajov </w:t>
      </w:r>
      <w:r w:rsidR="00044FE1" w:rsidRPr="00D41517">
        <w:rPr>
          <w:rFonts w:eastAsia="Arial Narrow" w:cs="Arial Narrow"/>
        </w:rPr>
        <w:t>o</w:t>
      </w:r>
      <w:r w:rsidR="006F723E">
        <w:rPr>
          <w:rFonts w:eastAsia="Arial Narrow" w:cs="Arial Narrow"/>
        </w:rPr>
        <w:t> </w:t>
      </w:r>
      <w:r w:rsidRPr="00D41517">
        <w:rPr>
          <w:rFonts w:eastAsia="Arial Narrow" w:cs="Arial Narrow"/>
        </w:rPr>
        <w:t>činnosti</w:t>
      </w:r>
      <w:r w:rsidR="006F723E">
        <w:rPr>
          <w:rFonts w:eastAsia="Arial Narrow" w:cs="Arial Narrow"/>
        </w:rPr>
        <w:t xml:space="preserve"> poskytovateľov</w:t>
      </w:r>
      <w:r w:rsidRPr="00D41517">
        <w:rPr>
          <w:rFonts w:eastAsia="Arial Narrow" w:cs="Arial Narrow"/>
        </w:rPr>
        <w:t xml:space="preserve">. </w:t>
      </w:r>
      <w:r w:rsidRPr="00583D91">
        <w:rPr>
          <w:rFonts w:eastAsia="Arial Narrow" w:cs="Arial Narrow"/>
        </w:rPr>
        <w:t>C</w:t>
      </w:r>
      <w:r w:rsidRPr="00AB28DA">
        <w:rPr>
          <w:rFonts w:eastAsia="Arial Narrow" w:cs="Arial Narrow"/>
        </w:rPr>
        <w:t xml:space="preserve">ieľom by malo byť, aby </w:t>
      </w:r>
      <w:r w:rsidR="00583D91">
        <w:rPr>
          <w:rFonts w:eastAsia="Arial Narrow" w:cs="Arial Narrow"/>
        </w:rPr>
        <w:t>takýchto poskytovateľov</w:t>
      </w:r>
      <w:r w:rsidRPr="00AB28DA">
        <w:rPr>
          <w:rFonts w:eastAsia="Arial Narrow" w:cs="Arial Narrow"/>
        </w:rPr>
        <w:t xml:space="preserve"> bolo v </w:t>
      </w:r>
      <w:r w:rsidR="00635A6D" w:rsidRPr="00AB28DA">
        <w:rPr>
          <w:rFonts w:eastAsia="Arial Narrow" w:cs="Arial Narrow"/>
        </w:rPr>
        <w:t xml:space="preserve">územnom obvode každého úradu práce </w:t>
      </w:r>
      <w:r w:rsidR="006F723E">
        <w:rPr>
          <w:rFonts w:eastAsia="Arial Narrow" w:cs="Arial Narrow"/>
        </w:rPr>
        <w:t>viacero</w:t>
      </w:r>
      <w:r w:rsidRPr="00AB28DA">
        <w:rPr>
          <w:rFonts w:eastAsia="Arial Narrow" w:cs="Arial Narrow"/>
        </w:rPr>
        <w:t xml:space="preserve"> s cieľom zabezpečiť </w:t>
      </w:r>
      <w:r w:rsidR="00C86F4F">
        <w:rPr>
          <w:rFonts w:eastAsia="Arial Narrow" w:cs="Arial Narrow"/>
        </w:rPr>
        <w:t>konkurenčné prostredie a požadovanú kvalitu služieb</w:t>
      </w:r>
      <w:r w:rsidRPr="00AB28DA">
        <w:rPr>
          <w:rFonts w:eastAsia="Arial Narrow" w:cs="Arial Narrow"/>
        </w:rPr>
        <w:t>. Za predpokladu zavedenia systému profilácie uchádzačov o zamestnanie hneď pri zaradení do evidencie môže byť odhadnuté riziko dlhodobej nezamestnanosti použité ako kritérium na</w:t>
      </w:r>
      <w:r w:rsidR="009D710B">
        <w:rPr>
          <w:rFonts w:eastAsia="Arial Narrow" w:cs="Arial Narrow"/>
        </w:rPr>
        <w:t> </w:t>
      </w:r>
      <w:r w:rsidRPr="00AB28DA">
        <w:rPr>
          <w:rFonts w:eastAsia="Arial Narrow" w:cs="Arial Narrow"/>
        </w:rPr>
        <w:t xml:space="preserve">smerovanie rizikových klientov </w:t>
      </w:r>
      <w:r w:rsidR="006F723E">
        <w:rPr>
          <w:rFonts w:eastAsia="Arial Narrow" w:cs="Arial Narrow"/>
        </w:rPr>
        <w:t>do tohto druhu individualizovanej pomoci</w:t>
      </w:r>
      <w:r w:rsidRPr="00AB28DA">
        <w:rPr>
          <w:rFonts w:eastAsia="Arial Narrow" w:cs="Arial Narrow"/>
        </w:rPr>
        <w:t xml:space="preserve"> ako aj na nastavenie finančnej kompenzácie. </w:t>
      </w:r>
    </w:p>
    <w:p w14:paraId="4BB5B481" w14:textId="05799B65" w:rsidR="00EF1973" w:rsidRPr="00AB28DA" w:rsidRDefault="006B7954" w:rsidP="00EF1973">
      <w:pPr>
        <w:spacing w:before="160"/>
        <w:rPr>
          <w:color w:val="0070C0"/>
        </w:rPr>
      </w:pPr>
      <w:bookmarkStart w:id="540" w:name="_Toc18340940"/>
      <w:bookmarkEnd w:id="539"/>
      <w:r w:rsidRPr="00AB28DA">
        <w:rPr>
          <w:color w:val="0070C0"/>
        </w:rPr>
        <w:t>Sociálne integračné podniky</w:t>
      </w:r>
    </w:p>
    <w:bookmarkEnd w:id="540"/>
    <w:p w14:paraId="01F8566C" w14:textId="2CB7A97E" w:rsidR="00EA7FF5" w:rsidRPr="00CA2564" w:rsidRDefault="00EA7FF5" w:rsidP="009E6C4C">
      <w:pPr>
        <w:spacing w:before="160"/>
      </w:pPr>
      <w:r w:rsidRPr="00AB28DA">
        <w:rPr>
          <w:rFonts w:cs="NeueHaasGroteskText W02"/>
          <w:b/>
        </w:rPr>
        <w:t>Nové príležitosti pre sociálne</w:t>
      </w:r>
      <w:r w:rsidRPr="00CA2564">
        <w:rPr>
          <w:rFonts w:cs="NeueHaasGroteskText W02"/>
          <w:b/>
        </w:rPr>
        <w:t xml:space="preserve"> aj zdravotne znevýhodnených uchádzačov o zamestnanie môže poskytnúť </w:t>
      </w:r>
      <w:r w:rsidRPr="00CA2564">
        <w:rPr>
          <w:rFonts w:eastAsia="Arial Narrow" w:cs="Arial Narrow"/>
          <w:b/>
        </w:rPr>
        <w:t>Zákon o sociálnej ekonomike a sociálnych podnikoch</w:t>
      </w:r>
      <w:r w:rsidRPr="00CA2564">
        <w:rPr>
          <w:rStyle w:val="Odkaznapoznmkupodiarou"/>
          <w:rFonts w:eastAsia="Arial Narrow" w:cs="Arial Narrow"/>
          <w:b/>
        </w:rPr>
        <w:footnoteReference w:id="336"/>
      </w:r>
      <w:r w:rsidRPr="00CA2564">
        <w:rPr>
          <w:rFonts w:eastAsia="Arial Narrow" w:cs="Arial Narrow"/>
          <w:b/>
        </w:rPr>
        <w:t xml:space="preserve"> prostredníctvom zavedenia podpory integračných sociálnych podnikov. </w:t>
      </w:r>
      <w:r w:rsidRPr="00CA2564">
        <w:t xml:space="preserve">Integračný podnik je typovo vymedzeným registrovaným sociálnym podnikom, ktorého dosahovanie pozitívneho sociálneho vplyvu spočíva v zamestnávaní znevýhodnených </w:t>
      </w:r>
      <w:r w:rsidR="00306088">
        <w:t xml:space="preserve">alebo zraniteľných </w:t>
      </w:r>
      <w:r w:rsidRPr="00CA2564">
        <w:t>osôb. Na rozdiel od aktivačných prác ponúka práca v integračnom podniku riadny pracovný pomer a väčší priestor na rozvoj zručností cenných pre potenciálnych zamestnávateľov.</w:t>
      </w:r>
    </w:p>
    <w:p w14:paraId="1363CEC1" w14:textId="435DBAEA" w:rsidR="00EA7FF5" w:rsidRPr="00CA2564" w:rsidRDefault="00EA7FF5" w:rsidP="00E51E6C">
      <w:r w:rsidRPr="00CA2564">
        <w:rPr>
          <w:rFonts w:eastAsia="Arial Narrow" w:cs="Arial Narrow"/>
          <w:b/>
        </w:rPr>
        <w:t xml:space="preserve">Financovanie integračných sociálnych podnikov bolo nastavené s cieľom motivovať integračné podniky k poskytovaniu pomoci svojim zamestnancom pri hľadaním zamestnania na otvorenom trhu práce </w:t>
      </w:r>
      <w:r w:rsidRPr="00D3189B">
        <w:rPr>
          <w:rFonts w:eastAsia="Arial Narrow" w:cs="Arial Narrow"/>
        </w:rPr>
        <w:t>(</w:t>
      </w:r>
      <w:r w:rsidR="005B1431" w:rsidRPr="00D3189B">
        <w:rPr>
          <w:rFonts w:eastAsia="Arial Narrow" w:cs="Arial Narrow"/>
        </w:rPr>
        <w:fldChar w:fldCharType="begin"/>
      </w:r>
      <w:r w:rsidR="005B1431" w:rsidRPr="00D3189B">
        <w:rPr>
          <w:rFonts w:eastAsia="Arial Narrow" w:cs="Arial Narrow"/>
        </w:rPr>
        <w:instrText xml:space="preserve"> REF _Ref21087416 \h </w:instrText>
      </w:r>
      <w:r w:rsidR="005B1431">
        <w:rPr>
          <w:rFonts w:eastAsia="Arial Narrow" w:cs="Arial Narrow"/>
        </w:rPr>
        <w:instrText xml:space="preserve"> \* MERGEFORMAT </w:instrText>
      </w:r>
      <w:r w:rsidR="005B1431" w:rsidRPr="00D3189B">
        <w:rPr>
          <w:rFonts w:eastAsia="Arial Narrow" w:cs="Arial Narrow"/>
        </w:rPr>
      </w:r>
      <w:r w:rsidR="005B1431" w:rsidRPr="00D3189B">
        <w:rPr>
          <w:rFonts w:eastAsia="Arial Narrow" w:cs="Arial Narrow"/>
        </w:rPr>
        <w:fldChar w:fldCharType="separate"/>
      </w:r>
      <w:r w:rsidR="00FA29AF" w:rsidRPr="00FA29AF">
        <w:rPr>
          <w:iCs/>
        </w:rPr>
        <w:t>Box</w:t>
      </w:r>
      <w:r w:rsidR="00FA29AF" w:rsidRPr="005B1431">
        <w:rPr>
          <w:b/>
          <w:iCs/>
        </w:rPr>
        <w:t xml:space="preserve"> </w:t>
      </w:r>
      <w:r w:rsidR="00FA29AF">
        <w:rPr>
          <w:b/>
          <w:iCs/>
          <w:noProof/>
        </w:rPr>
        <w:t>15</w:t>
      </w:r>
      <w:r w:rsidR="005B1431" w:rsidRPr="00D3189B">
        <w:rPr>
          <w:rFonts w:eastAsia="Arial Narrow" w:cs="Arial Narrow"/>
        </w:rPr>
        <w:fldChar w:fldCharType="end"/>
      </w:r>
      <w:r w:rsidRPr="00D3189B">
        <w:rPr>
          <w:rFonts w:eastAsia="Arial Narrow" w:cs="Arial Narrow"/>
        </w:rPr>
        <w:t>).</w:t>
      </w:r>
      <w:r w:rsidRPr="00CA2564">
        <w:rPr>
          <w:rFonts w:eastAsia="Arial Narrow" w:cs="Arial Narrow"/>
        </w:rPr>
        <w:t xml:space="preserve"> </w:t>
      </w:r>
      <w:r w:rsidR="0027516A">
        <w:rPr>
          <w:rFonts w:eastAsia="Arial Narrow" w:cs="Arial Narrow"/>
        </w:rPr>
        <w:t>Umiestňovací p</w:t>
      </w:r>
      <w:r w:rsidRPr="00CA2564">
        <w:rPr>
          <w:rFonts w:eastAsia="Arial Narrow" w:cs="Arial Narrow"/>
        </w:rPr>
        <w:t>ríspevok integračnému podniku (53f) je podmienený skončením pracovného pomeru znevýhodneného zamestnanca v integračnom podniku a jeho zamestnaním u zamestnávateľa, ktorý nie je integračným podnikom</w:t>
      </w:r>
      <w:r w:rsidR="003A2492">
        <w:rPr>
          <w:rFonts w:eastAsia="Arial Narrow" w:cs="Arial Narrow"/>
        </w:rPr>
        <w:t xml:space="preserve"> alebo chránenou dielňou</w:t>
      </w:r>
      <w:r w:rsidRPr="00CA2564">
        <w:rPr>
          <w:rFonts w:eastAsia="Arial Narrow" w:cs="Arial Narrow"/>
        </w:rPr>
        <w:t xml:space="preserve">. </w:t>
      </w:r>
      <w:r w:rsidR="0027516A">
        <w:rPr>
          <w:rFonts w:eastAsia="Arial Narrow" w:cs="Arial Narrow"/>
        </w:rPr>
        <w:t>Vyrovnávací</w:t>
      </w:r>
      <w:r w:rsidR="0027516A" w:rsidRPr="00CA2564">
        <w:rPr>
          <w:rFonts w:eastAsia="Arial Narrow" w:cs="Arial Narrow"/>
        </w:rPr>
        <w:t xml:space="preserve"> </w:t>
      </w:r>
      <w:r w:rsidRPr="00CA2564">
        <w:rPr>
          <w:rFonts w:eastAsia="Arial Narrow" w:cs="Arial Narrow"/>
        </w:rPr>
        <w:t>príspev</w:t>
      </w:r>
      <w:r w:rsidR="0027516A">
        <w:rPr>
          <w:rFonts w:eastAsia="Arial Narrow" w:cs="Arial Narrow"/>
        </w:rPr>
        <w:t>ok</w:t>
      </w:r>
      <w:r w:rsidRPr="00CA2564">
        <w:rPr>
          <w:rFonts w:eastAsia="Arial Narrow" w:cs="Arial Narrow"/>
        </w:rPr>
        <w:t xml:space="preserve"> integračnému podniku (53g) </w:t>
      </w:r>
      <w:r w:rsidR="0027516A">
        <w:rPr>
          <w:rFonts w:eastAsia="Arial Narrow" w:cs="Arial Narrow"/>
        </w:rPr>
        <w:t>je</w:t>
      </w:r>
      <w:r w:rsidRPr="00CA2564">
        <w:rPr>
          <w:rFonts w:eastAsia="Arial Narrow" w:cs="Arial Narrow"/>
        </w:rPr>
        <w:t xml:space="preserve"> </w:t>
      </w:r>
      <w:r w:rsidR="003A2492">
        <w:rPr>
          <w:rFonts w:eastAsia="Arial Narrow" w:cs="Arial Narrow"/>
        </w:rPr>
        <w:t>v prípade</w:t>
      </w:r>
      <w:r w:rsidRPr="00CA2564">
        <w:rPr>
          <w:rFonts w:eastAsia="Arial Narrow" w:cs="Arial Narrow"/>
        </w:rPr>
        <w:t xml:space="preserve"> zamestnancov, ktorých znevýhodnenie ne</w:t>
      </w:r>
      <w:r w:rsidR="00B24660">
        <w:rPr>
          <w:rFonts w:eastAsia="Arial Narrow" w:cs="Arial Narrow"/>
        </w:rPr>
        <w:t>vyplýva</w:t>
      </w:r>
      <w:r w:rsidRPr="00CA2564">
        <w:rPr>
          <w:rFonts w:eastAsia="Arial Narrow" w:cs="Arial Narrow"/>
        </w:rPr>
        <w:t xml:space="preserve"> z ich zdravotného stavu</w:t>
      </w:r>
      <w:r w:rsidR="00E83EA6">
        <w:rPr>
          <w:rFonts w:eastAsia="Arial Narrow" w:cs="Arial Narrow"/>
        </w:rPr>
        <w:t>,</w:t>
      </w:r>
      <w:r w:rsidRPr="00CA2564">
        <w:rPr>
          <w:rFonts w:eastAsia="Arial Narrow" w:cs="Arial Narrow"/>
        </w:rPr>
        <w:t xml:space="preserve"> </w:t>
      </w:r>
      <w:r w:rsidR="0027516A">
        <w:rPr>
          <w:rFonts w:eastAsia="Arial Narrow" w:cs="Arial Narrow"/>
        </w:rPr>
        <w:t>časovo ohraničený</w:t>
      </w:r>
      <w:r w:rsidR="003A2492">
        <w:rPr>
          <w:rFonts w:eastAsia="Arial Narrow" w:cs="Arial Narrow"/>
        </w:rPr>
        <w:t xml:space="preserve"> </w:t>
      </w:r>
      <w:r w:rsidRPr="00CA2564">
        <w:rPr>
          <w:rFonts w:eastAsia="Arial Narrow" w:cs="Arial Narrow"/>
        </w:rPr>
        <w:t xml:space="preserve">na maximálne 12 až 24 mesiacov. </w:t>
      </w:r>
      <w:r w:rsidRPr="00CA2564">
        <w:t>Tým sa vytvára motivácia pre medzitrh práce, v ktorom ťažko zamestnateľní ľudia získajú pracovné návyky a praktické skúsenosti, ktoré ich pripravia na posun na otvorený trh práce.</w:t>
      </w:r>
      <w:r w:rsidR="003A2492">
        <w:t xml:space="preserve"> </w:t>
      </w:r>
      <w:r w:rsidR="003A2492" w:rsidRPr="00283490">
        <w:t xml:space="preserve">V prípade zamestnancov, ktorých znevýhodnenie </w:t>
      </w:r>
      <w:r w:rsidR="00B24660">
        <w:t>vyplýva</w:t>
      </w:r>
      <w:r w:rsidR="003A2492" w:rsidRPr="00283490">
        <w:t xml:space="preserve"> zo zdravotného stavu je príspevok vyplácaný v zmysle 53g časovo neohraničený, príspevok vyplácaný v zmysle 53f však vytvára motiváciu pre umiestňovanie zamestnancov na otvorenom trhu práce.</w:t>
      </w:r>
    </w:p>
    <w:tbl>
      <w:tblPr>
        <w:tblW w:w="0" w:type="auto"/>
        <w:shd w:val="clear" w:color="auto" w:fill="BDD6EE" w:themeFill="accent1" w:themeFillTint="66"/>
        <w:tblLook w:val="04A0" w:firstRow="1" w:lastRow="0" w:firstColumn="1" w:lastColumn="0" w:noHBand="0" w:noVBand="1"/>
      </w:tblPr>
      <w:tblGrid>
        <w:gridCol w:w="9026"/>
      </w:tblGrid>
      <w:tr w:rsidR="00EA7FF5" w:rsidRPr="00CA2564" w14:paraId="5BE66702" w14:textId="77777777" w:rsidTr="009E6C4C">
        <w:tc>
          <w:tcPr>
            <w:tcW w:w="9062" w:type="dxa"/>
            <w:shd w:val="clear" w:color="auto" w:fill="BDD6EE" w:themeFill="accent1" w:themeFillTint="66"/>
          </w:tcPr>
          <w:p w14:paraId="76FF8300" w14:textId="5A50826D" w:rsidR="00EA7FF5" w:rsidRPr="00225D12" w:rsidRDefault="005B1431" w:rsidP="009E6C4C">
            <w:pPr>
              <w:spacing w:before="160"/>
              <w:rPr>
                <w:b/>
                <w:iCs/>
              </w:rPr>
            </w:pPr>
            <w:bookmarkStart w:id="541" w:name="_Ref21087416"/>
            <w:r w:rsidRPr="005B1431">
              <w:rPr>
                <w:b/>
                <w:iCs/>
              </w:rPr>
              <w:t xml:space="preserve">Box </w:t>
            </w:r>
            <w:r w:rsidR="00A425AB">
              <w:rPr>
                <w:b/>
                <w:iCs/>
              </w:rPr>
              <w:fldChar w:fldCharType="begin"/>
            </w:r>
            <w:r w:rsidR="00A425AB">
              <w:rPr>
                <w:b/>
                <w:iCs/>
              </w:rPr>
              <w:instrText xml:space="preserve"> SEQ Box \* ARABIC </w:instrText>
            </w:r>
            <w:r w:rsidR="00A425AB">
              <w:rPr>
                <w:b/>
                <w:iCs/>
              </w:rPr>
              <w:fldChar w:fldCharType="separate"/>
            </w:r>
            <w:r w:rsidR="00FA29AF">
              <w:rPr>
                <w:b/>
                <w:iCs/>
                <w:noProof/>
              </w:rPr>
              <w:t>15</w:t>
            </w:r>
            <w:r w:rsidR="00A425AB">
              <w:rPr>
                <w:b/>
                <w:iCs/>
              </w:rPr>
              <w:fldChar w:fldCharType="end"/>
            </w:r>
            <w:bookmarkEnd w:id="541"/>
            <w:r w:rsidR="00EA7FF5" w:rsidRPr="00CA2564">
              <w:rPr>
                <w:b/>
              </w:rPr>
              <w:t>: Podpora integračných sociálnych podnikov</w:t>
            </w:r>
          </w:p>
          <w:p w14:paraId="43517C61" w14:textId="78696992" w:rsidR="00EA7FF5" w:rsidRPr="00CA2564" w:rsidRDefault="00EA7FF5" w:rsidP="009E6C4C">
            <w:pPr>
              <w:spacing w:before="160"/>
              <w:rPr>
                <w:rFonts w:eastAsia="Times New Roman" w:cs="Times New Roman"/>
                <w:i/>
                <w:lang w:eastAsia="sk-SK"/>
              </w:rPr>
            </w:pPr>
            <w:r w:rsidRPr="00CA2564">
              <w:rPr>
                <w:rFonts w:eastAsia="Times New Roman" w:cs="Times New Roman"/>
                <w:bCs/>
                <w:i/>
                <w:color w:val="000000"/>
                <w:lang w:eastAsia="sk-SK"/>
              </w:rPr>
              <w:t xml:space="preserve">§ 53g </w:t>
            </w:r>
            <w:r w:rsidR="0027516A">
              <w:rPr>
                <w:rFonts w:eastAsia="Times New Roman" w:cs="Times New Roman"/>
                <w:bCs/>
                <w:i/>
                <w:color w:val="000000"/>
                <w:lang w:eastAsia="sk-SK"/>
              </w:rPr>
              <w:t>–</w:t>
            </w:r>
            <w:r w:rsidRPr="00CA2564">
              <w:rPr>
                <w:rFonts w:eastAsia="Times New Roman" w:cs="Times New Roman"/>
                <w:bCs/>
                <w:i/>
                <w:color w:val="000000"/>
                <w:lang w:eastAsia="sk-SK"/>
              </w:rPr>
              <w:t xml:space="preserve"> </w:t>
            </w:r>
            <w:r w:rsidR="0027516A">
              <w:rPr>
                <w:rFonts w:eastAsia="Times New Roman" w:cs="Times New Roman"/>
                <w:bCs/>
                <w:i/>
                <w:color w:val="000000"/>
                <w:lang w:eastAsia="sk-SK"/>
              </w:rPr>
              <w:t>Vyrovnávací</w:t>
            </w:r>
            <w:r w:rsidR="0027516A" w:rsidRPr="00CA2564">
              <w:rPr>
                <w:rFonts w:eastAsia="Times New Roman" w:cs="Times New Roman"/>
                <w:bCs/>
                <w:i/>
                <w:color w:val="000000"/>
                <w:lang w:eastAsia="sk-SK"/>
              </w:rPr>
              <w:t xml:space="preserve"> </w:t>
            </w:r>
            <w:r w:rsidRPr="00CA2564">
              <w:rPr>
                <w:rFonts w:eastAsia="Times New Roman" w:cs="Times New Roman"/>
                <w:bCs/>
                <w:i/>
                <w:color w:val="000000"/>
                <w:lang w:eastAsia="sk-SK"/>
              </w:rPr>
              <w:t>príspev</w:t>
            </w:r>
            <w:r w:rsidR="0027516A">
              <w:rPr>
                <w:rFonts w:eastAsia="Times New Roman" w:cs="Times New Roman"/>
                <w:bCs/>
                <w:i/>
                <w:color w:val="000000"/>
                <w:lang w:eastAsia="sk-SK"/>
              </w:rPr>
              <w:t>ok</w:t>
            </w:r>
            <w:r w:rsidRPr="00CA2564">
              <w:rPr>
                <w:rFonts w:eastAsia="Times New Roman" w:cs="Times New Roman"/>
                <w:bCs/>
                <w:i/>
                <w:color w:val="000000"/>
                <w:lang w:eastAsia="sk-SK"/>
              </w:rPr>
              <w:t xml:space="preserve"> integračnému podniku</w:t>
            </w:r>
          </w:p>
          <w:p w14:paraId="281D65F0" w14:textId="0A9BB5D3" w:rsidR="00EA7FF5" w:rsidRPr="00CA2564" w:rsidRDefault="00EA7FF5" w:rsidP="009E6C4C">
            <w:pPr>
              <w:spacing w:before="160"/>
              <w:rPr>
                <w:rFonts w:eastAsia="Times New Roman" w:cs="Times New Roman"/>
                <w:lang w:eastAsia="sk-SK"/>
              </w:rPr>
            </w:pPr>
            <w:r w:rsidRPr="00CA2564">
              <w:rPr>
                <w:rFonts w:eastAsia="Times New Roman" w:cs="Times New Roman"/>
                <w:color w:val="000000"/>
                <w:lang w:eastAsia="sk-SK"/>
              </w:rPr>
              <w:t>Tento príspevok</w:t>
            </w:r>
            <w:r w:rsidR="0070047D">
              <w:rPr>
                <w:rFonts w:eastAsia="Times New Roman" w:cs="Times New Roman"/>
                <w:color w:val="000000"/>
                <w:lang w:eastAsia="sk-SK"/>
              </w:rPr>
              <w:t xml:space="preserve"> </w:t>
            </w:r>
            <w:r w:rsidRPr="00CA2564">
              <w:rPr>
                <w:rFonts w:eastAsia="Times New Roman" w:cs="Times New Roman"/>
                <w:color w:val="000000"/>
                <w:lang w:eastAsia="sk-SK"/>
              </w:rPr>
              <w:t>slúži na financovanie</w:t>
            </w:r>
            <w:r w:rsidR="00D11F18">
              <w:rPr>
                <w:rFonts w:eastAsia="Times New Roman" w:cs="Times New Roman"/>
                <w:color w:val="000000"/>
                <w:lang w:eastAsia="sk-SK"/>
              </w:rPr>
              <w:t xml:space="preserve"> </w:t>
            </w:r>
            <w:r w:rsidRPr="00CA2564">
              <w:rPr>
                <w:rFonts w:eastAsia="Times New Roman" w:cs="Times New Roman"/>
                <w:color w:val="000000"/>
                <w:lang w:eastAsia="sk-SK"/>
              </w:rPr>
              <w:t>nákladov integračného podniku spojených so zamestnávaním znevýhodnených, značne znevýhodnených osôb a zraniteľných osôb (vrátane osôb znevýhodnených z dôvodu spočívajúcom v ich zdravotnom stave). Poskytuje ich ÚPSVR na základe uzatvorenej dohody, výška príspevku sa odvíja od skutočných oprávnených nákladov a </w:t>
            </w:r>
            <w:r w:rsidR="00D11F18" w:rsidRPr="00802EC5">
              <w:rPr>
                <w:rFonts w:eastAsia="Times New Roman" w:cs="Times New Roman"/>
                <w:color w:val="000000"/>
                <w:lang w:eastAsia="sk-SK"/>
              </w:rPr>
              <w:t>typu znevýhodnenia/zraniteľnosti zamestnanej osoby</w:t>
            </w:r>
            <w:r w:rsidR="00D11F18">
              <w:rPr>
                <w:rFonts w:eastAsia="Times New Roman" w:cs="Times New Roman"/>
                <w:color w:val="000000"/>
                <w:lang w:eastAsia="sk-SK"/>
              </w:rPr>
              <w:t>.</w:t>
            </w:r>
          </w:p>
          <w:p w14:paraId="0ADC73B8" w14:textId="61F78DA2" w:rsidR="00EA7FF5" w:rsidRPr="00CA2564" w:rsidRDefault="00EA7FF5" w:rsidP="009E6C4C">
            <w:pPr>
              <w:spacing w:before="160"/>
              <w:rPr>
                <w:rFonts w:eastAsia="Times New Roman" w:cs="Times New Roman"/>
                <w:i/>
                <w:lang w:eastAsia="sk-SK"/>
              </w:rPr>
            </w:pPr>
            <w:r w:rsidRPr="00CA2564">
              <w:rPr>
                <w:rFonts w:eastAsia="Times New Roman" w:cs="Times New Roman"/>
                <w:bCs/>
                <w:i/>
                <w:color w:val="000000"/>
                <w:lang w:eastAsia="sk-SK"/>
              </w:rPr>
              <w:t>§ 53f</w:t>
            </w:r>
            <w:r w:rsidR="0070047D">
              <w:rPr>
                <w:rFonts w:eastAsia="Times New Roman" w:cs="Times New Roman"/>
                <w:bCs/>
                <w:i/>
                <w:color w:val="000000"/>
                <w:lang w:eastAsia="sk-SK"/>
              </w:rPr>
              <w:t xml:space="preserve"> </w:t>
            </w:r>
            <w:r w:rsidRPr="00CA2564">
              <w:rPr>
                <w:rFonts w:eastAsia="Times New Roman" w:cs="Times New Roman"/>
                <w:bCs/>
                <w:i/>
                <w:color w:val="000000"/>
                <w:lang w:eastAsia="sk-SK"/>
              </w:rPr>
              <w:t xml:space="preserve">- </w:t>
            </w:r>
            <w:r w:rsidR="0027516A">
              <w:rPr>
                <w:rFonts w:eastAsia="Times New Roman" w:cs="Times New Roman"/>
                <w:bCs/>
                <w:i/>
                <w:color w:val="000000"/>
                <w:lang w:eastAsia="sk-SK"/>
              </w:rPr>
              <w:t>Umiestňovací p</w:t>
            </w:r>
            <w:r w:rsidRPr="00CA2564">
              <w:rPr>
                <w:rFonts w:eastAsia="Times New Roman" w:cs="Times New Roman"/>
                <w:bCs/>
                <w:i/>
                <w:color w:val="000000"/>
                <w:lang w:eastAsia="sk-SK"/>
              </w:rPr>
              <w:t>ríspevok integračnému podniku</w:t>
            </w:r>
          </w:p>
          <w:p w14:paraId="465010EA" w14:textId="7169BDA0" w:rsidR="00EA7FF5" w:rsidRPr="00CA2564" w:rsidRDefault="00EA7FF5" w:rsidP="009E6C4C">
            <w:pPr>
              <w:spacing w:before="160"/>
              <w:rPr>
                <w:rFonts w:eastAsia="Times New Roman" w:cs="Times New Roman"/>
                <w:lang w:eastAsia="sk-SK"/>
              </w:rPr>
            </w:pPr>
            <w:r w:rsidRPr="00CA2564">
              <w:rPr>
                <w:rFonts w:eastAsia="Times New Roman" w:cs="Times New Roman"/>
                <w:color w:val="000000"/>
                <w:lang w:eastAsia="sk-SK"/>
              </w:rPr>
              <w:t xml:space="preserve">ÚPSVR poskytne na základe uzatvorenej dohody integračnému podniku príspevok v prípade znevýhodnenej osoby, ak </w:t>
            </w:r>
            <w:r w:rsidR="00E83EA6">
              <w:rPr>
                <w:rFonts w:eastAsia="Times New Roman" w:cs="Times New Roman"/>
                <w:color w:val="000000"/>
                <w:lang w:eastAsia="sk-SK"/>
              </w:rPr>
              <w:t>s ňou u</w:t>
            </w:r>
            <w:r w:rsidRPr="00CA2564">
              <w:rPr>
                <w:rFonts w:eastAsia="Times New Roman" w:cs="Times New Roman"/>
                <w:color w:val="000000"/>
                <w:lang w:eastAsia="sk-SK"/>
              </w:rPr>
              <w:t>končí pracovný pomer dohodou</w:t>
            </w:r>
            <w:r w:rsidR="00E83EA6">
              <w:rPr>
                <w:rFonts w:eastAsia="Times New Roman" w:cs="Times New Roman"/>
                <w:color w:val="000000"/>
                <w:lang w:eastAsia="sk-SK"/>
              </w:rPr>
              <w:t>,</w:t>
            </w:r>
            <w:r w:rsidRPr="00CA2564">
              <w:rPr>
                <w:rFonts w:eastAsia="Times New Roman" w:cs="Times New Roman"/>
                <w:color w:val="000000"/>
                <w:lang w:eastAsia="sk-SK"/>
              </w:rPr>
              <w:t xml:space="preserve"> a ktorá sa zamestnala u zamestnávateľa, </w:t>
            </w:r>
            <w:r w:rsidR="00D11F18" w:rsidRPr="00CA2564">
              <w:rPr>
                <w:rFonts w:eastAsia="Times New Roman" w:cs="Times New Roman"/>
                <w:color w:val="000000"/>
                <w:lang w:eastAsia="sk-SK"/>
              </w:rPr>
              <w:t xml:space="preserve">ktorý </w:t>
            </w:r>
            <w:r w:rsidR="00D11F18">
              <w:rPr>
                <w:rFonts w:eastAsia="Times New Roman" w:cs="Times New Roman"/>
                <w:color w:val="000000"/>
                <w:lang w:eastAsia="sk-SK"/>
              </w:rPr>
              <w:t xml:space="preserve">nie je </w:t>
            </w:r>
            <w:r w:rsidR="00D11F18" w:rsidRPr="00CA2564">
              <w:rPr>
                <w:rFonts w:eastAsia="Times New Roman" w:cs="Times New Roman"/>
                <w:color w:val="000000"/>
                <w:lang w:eastAsia="sk-SK"/>
              </w:rPr>
              <w:t>integračným podnikom</w:t>
            </w:r>
            <w:r w:rsidR="00D11F18">
              <w:rPr>
                <w:rFonts w:eastAsia="Times New Roman" w:cs="Times New Roman"/>
                <w:color w:val="000000"/>
                <w:lang w:eastAsia="sk-SK"/>
              </w:rPr>
              <w:t>, jeho</w:t>
            </w:r>
            <w:r w:rsidR="00D11F18" w:rsidRPr="00CA2564">
              <w:rPr>
                <w:rFonts w:eastAsia="Times New Roman" w:cs="Times New Roman"/>
                <w:color w:val="000000"/>
                <w:lang w:eastAsia="sk-SK"/>
              </w:rPr>
              <w:t xml:space="preserve"> závislou osobou </w:t>
            </w:r>
            <w:r w:rsidR="00D11F18">
              <w:rPr>
                <w:rFonts w:eastAsia="Times New Roman" w:cs="Times New Roman"/>
                <w:color w:val="000000"/>
                <w:lang w:eastAsia="sk-SK"/>
              </w:rPr>
              <w:t>alebo chránenou dielňou</w:t>
            </w:r>
            <w:r w:rsidRPr="00CA2564">
              <w:rPr>
                <w:rFonts w:eastAsia="Times New Roman" w:cs="Times New Roman"/>
                <w:color w:val="000000"/>
                <w:lang w:eastAsia="sk-SK"/>
              </w:rPr>
              <w:t xml:space="preserve">. </w:t>
            </w:r>
            <w:r w:rsidRPr="007F4F6B">
              <w:rPr>
                <w:rFonts w:eastAsia="Times New Roman" w:cs="Times New Roman"/>
                <w:color w:val="000000"/>
                <w:lang w:eastAsia="sk-SK"/>
              </w:rPr>
              <w:t>Podpora</w:t>
            </w:r>
            <w:r w:rsidRPr="00CA2564">
              <w:rPr>
                <w:rFonts w:eastAsia="Times New Roman" w:cs="Times New Roman"/>
                <w:color w:val="000000"/>
                <w:lang w:eastAsia="sk-SK"/>
              </w:rPr>
              <w:t xml:space="preserve"> je časovo ohraničená na 12 mesiacov, pričom mesačný príspevok na 1 zamestnanca je diferencovaný podľa jednotlivých štvrťrokov. </w:t>
            </w:r>
          </w:p>
          <w:p w14:paraId="08A5CE42" w14:textId="5E7E2E94" w:rsidR="00EA7FF5" w:rsidRPr="00CA2564" w:rsidRDefault="00EA7FF5">
            <w:pPr>
              <w:spacing w:before="160"/>
            </w:pPr>
            <w:r w:rsidRPr="00CA2564">
              <w:rPr>
                <w:rFonts w:eastAsia="Times New Roman" w:cs="Times New Roman"/>
                <w:bCs/>
                <w:color w:val="000000"/>
                <w:lang w:eastAsia="sk-SK"/>
              </w:rPr>
              <w:t>Okrem kompenzačnej pomoci je podpora sociálnych podnikov realizovaná aj prostredníctvom investičnej pomoci</w:t>
            </w:r>
            <w:r w:rsidR="00D11F18">
              <w:rPr>
                <w:rFonts w:eastAsia="Times New Roman" w:cs="Times New Roman"/>
                <w:bCs/>
                <w:color w:val="000000"/>
                <w:lang w:eastAsia="sk-SK"/>
              </w:rPr>
              <w:t xml:space="preserve"> a prostredníctvom podpory dopytu </w:t>
            </w:r>
            <w:r w:rsidRPr="00CA2564">
              <w:rPr>
                <w:rFonts w:eastAsia="Times New Roman" w:cs="Times New Roman"/>
                <w:bCs/>
                <w:color w:val="000000"/>
                <w:lang w:eastAsia="sk-SK"/>
              </w:rPr>
              <w:t>formou servisných poukážok. Zo servisných poukážok benefit</w:t>
            </w:r>
            <w:r w:rsidR="00D11F18">
              <w:rPr>
                <w:rFonts w:eastAsia="Times New Roman" w:cs="Times New Roman"/>
                <w:bCs/>
                <w:color w:val="000000"/>
                <w:lang w:eastAsia="sk-SK"/>
              </w:rPr>
              <w:t>ujú</w:t>
            </w:r>
            <w:r w:rsidRPr="00CA2564">
              <w:rPr>
                <w:rFonts w:eastAsia="Times New Roman" w:cs="Times New Roman"/>
                <w:bCs/>
                <w:color w:val="000000"/>
                <w:lang w:eastAsia="sk-SK"/>
              </w:rPr>
              <w:t xml:space="preserve"> nielen registrované sociálne podniky, ale aj</w:t>
            </w:r>
            <w:r w:rsidR="0070047D">
              <w:rPr>
                <w:rFonts w:eastAsia="Times New Roman" w:cs="Times New Roman"/>
                <w:bCs/>
                <w:color w:val="000000"/>
                <w:lang w:eastAsia="sk-SK"/>
              </w:rPr>
              <w:t xml:space="preserve"> </w:t>
            </w:r>
            <w:r w:rsidRPr="00CA2564">
              <w:rPr>
                <w:rFonts w:eastAsia="Times New Roman" w:cs="Times New Roman"/>
                <w:bCs/>
                <w:color w:val="000000"/>
                <w:lang w:eastAsia="sk-SK"/>
              </w:rPr>
              <w:t xml:space="preserve">osoby odkázané na pomoc inej fyzickej osoby, ktoré si servisné poukážky (a tak aj služby sociálnych podnikov) </w:t>
            </w:r>
            <w:r w:rsidR="00D11F18">
              <w:rPr>
                <w:rFonts w:eastAsia="Times New Roman" w:cs="Times New Roman"/>
                <w:bCs/>
                <w:color w:val="000000"/>
                <w:lang w:eastAsia="sk-SK"/>
              </w:rPr>
              <w:t>môžu</w:t>
            </w:r>
            <w:r w:rsidRPr="00CA2564">
              <w:rPr>
                <w:rFonts w:eastAsia="Times New Roman" w:cs="Times New Roman"/>
                <w:bCs/>
                <w:color w:val="000000"/>
                <w:lang w:eastAsia="sk-SK"/>
              </w:rPr>
              <w:t xml:space="preserve"> zakúpiť za zvýhodnenú cenu. </w:t>
            </w:r>
            <w:r w:rsidRPr="00CA2564">
              <w:rPr>
                <w:rFonts w:cs="NeueHaasGroteskText W02"/>
              </w:rPr>
              <w:t xml:space="preserve">Štát môže sociálne podniky podporiť aj nepriamo, prostredníctvom </w:t>
            </w:r>
            <w:r w:rsidRPr="00CA2564">
              <w:t xml:space="preserve">nižšej, 10-percentnej dane z pridanej hodnoty, zbavením povinnosti platiť daň z časti zisku, ktorú podnik investuje naspäť do plnenia sociálneho cieľa, ako aj zvýhodnením vo verejnom obstarávaní. </w:t>
            </w:r>
            <w:r w:rsidR="009D2F8A">
              <w:t>K dispozícii je aj</w:t>
            </w:r>
            <w:r w:rsidRPr="00CA2564">
              <w:t xml:space="preserve"> sieť poradenských centier sociálnej ekonomiky, ktorých pracovníci poskyt</w:t>
            </w:r>
            <w:r w:rsidR="009D2F8A">
              <w:t>ujú</w:t>
            </w:r>
            <w:r w:rsidRPr="00CA2564">
              <w:t xml:space="preserve"> informácie o sociálnom podnikaní a nevyhnutnú pomoc a podporu pri rozbehu novovznikajúcim sociálnym podnikom.</w:t>
            </w:r>
            <w:r w:rsidRPr="00CA2564">
              <w:rPr>
                <w:rStyle w:val="Odkaznapoznmkupodiarou"/>
              </w:rPr>
              <w:footnoteReference w:id="337"/>
            </w:r>
          </w:p>
        </w:tc>
      </w:tr>
    </w:tbl>
    <w:p w14:paraId="36EE9ADB" w14:textId="189D8DF4" w:rsidR="00E51E6C" w:rsidRDefault="00E51E6C" w:rsidP="001F4453">
      <w:pPr>
        <w:spacing w:before="160"/>
        <w:rPr>
          <w:b/>
          <w:bCs/>
        </w:rPr>
      </w:pPr>
      <w:r w:rsidRPr="00CA2564">
        <w:rPr>
          <w:b/>
        </w:rPr>
        <w:t xml:space="preserve">Zatiaľ je priskoro na hodnotenie zákona o sociálnej ekonomike. </w:t>
      </w:r>
      <w:r w:rsidRPr="00CA2564">
        <w:t xml:space="preserve">Zákon nadobudol účinnosť 1. mája 2018, </w:t>
      </w:r>
      <w:r w:rsidRPr="00CA2564">
        <w:rPr>
          <w:rFonts w:eastAsia="Arial Narrow" w:cs="Arial Narrow"/>
        </w:rPr>
        <w:t>kedy začal proces registrácie integračných sociálnych podnikov a čerpanie príspevkov bolo v roku 2018 zanedbateľné.</w:t>
      </w:r>
      <w:r w:rsidR="0070047D">
        <w:t xml:space="preserve"> </w:t>
      </w:r>
      <w:r w:rsidR="00F06021">
        <w:t xml:space="preserve">Záujem o štatút registrovaného sociálneho podniku však narastá. </w:t>
      </w:r>
      <w:r w:rsidR="006B190E">
        <w:t>K 25.2</w:t>
      </w:r>
      <w:r w:rsidR="00F06021">
        <w:t>.</w:t>
      </w:r>
      <w:r>
        <w:t xml:space="preserve">2020 bol štatút registrovaného </w:t>
      </w:r>
      <w:r w:rsidR="006B190E">
        <w:t>integračného sociálneho podniku udelený 88</w:t>
      </w:r>
      <w:r>
        <w:t xml:space="preserve"> podnikom. K tomuto dátumu eviduje odbor sociálnej ekonomiky ministerstva práce, so</w:t>
      </w:r>
      <w:r w:rsidR="006B190E">
        <w:t>ciálnych vecí a rodiny ďalších 18</w:t>
      </w:r>
      <w:r>
        <w:t xml:space="preserve"> žiadostí o priznanie štatútu registrovaného </w:t>
      </w:r>
      <w:r w:rsidR="006B190E">
        <w:t xml:space="preserve">integračného </w:t>
      </w:r>
      <w:r>
        <w:t>sociálneho podniku</w:t>
      </w:r>
      <w:r w:rsidRPr="00CA2564">
        <w:t>.</w:t>
      </w:r>
      <w:r>
        <w:t xml:space="preserve"> </w:t>
      </w:r>
      <w:r w:rsidRPr="00AB28DA">
        <w:rPr>
          <w:b/>
          <w:bCs/>
        </w:rPr>
        <w:t>Revízia navrhuje vyhodnotiť uvádzanie zákona o sociálnej ekonomike do praxe po troch rokoch od jeho vstúpenia do platnosti.</w:t>
      </w:r>
    </w:p>
    <w:p w14:paraId="0A3EFBFB" w14:textId="27F6EE4E" w:rsidR="00E51E6C" w:rsidRPr="00E51E6C" w:rsidRDefault="00E51E6C" w:rsidP="001F4453">
      <w:pPr>
        <w:pStyle w:val="Nadpis2"/>
        <w:spacing w:before="160"/>
      </w:pPr>
      <w:bookmarkStart w:id="542" w:name="_Toc18340941"/>
      <w:bookmarkStart w:id="543" w:name="_Ref25235005"/>
      <w:bookmarkStart w:id="544" w:name="_Ref25310359"/>
      <w:bookmarkStart w:id="545" w:name="_Ref25310366"/>
      <w:bookmarkStart w:id="546" w:name="_Ref25312259"/>
      <w:bookmarkStart w:id="547" w:name="_Ref25312265"/>
      <w:bookmarkStart w:id="548" w:name="_Ref25315007"/>
      <w:bookmarkStart w:id="549" w:name="_Ref25315064"/>
      <w:bookmarkStart w:id="550" w:name="_Ref25315092"/>
      <w:bookmarkStart w:id="551" w:name="_Ref25315110"/>
      <w:bookmarkStart w:id="552" w:name="_Ref32849605"/>
      <w:bookmarkStart w:id="553" w:name="_Ref34384054"/>
      <w:bookmarkStart w:id="554" w:name="_Toc34657728"/>
      <w:r>
        <w:t>Politiky trhu práce zamerané na osoby</w:t>
      </w:r>
      <w:r w:rsidRPr="00CA2564">
        <w:t xml:space="preserve"> so zdravotným postihnutím</w:t>
      </w:r>
      <w:bookmarkEnd w:id="542"/>
      <w:bookmarkEnd w:id="543"/>
      <w:bookmarkEnd w:id="544"/>
      <w:bookmarkEnd w:id="545"/>
      <w:bookmarkEnd w:id="546"/>
      <w:bookmarkEnd w:id="547"/>
      <w:bookmarkEnd w:id="548"/>
      <w:bookmarkEnd w:id="549"/>
      <w:bookmarkEnd w:id="550"/>
      <w:bookmarkEnd w:id="551"/>
      <w:bookmarkEnd w:id="552"/>
      <w:bookmarkEnd w:id="553"/>
      <w:bookmarkEnd w:id="554"/>
    </w:p>
    <w:p w14:paraId="03586856" w14:textId="7AB79C7F" w:rsidR="001F4453" w:rsidRPr="00CA2564" w:rsidRDefault="001F4453" w:rsidP="001F4453">
      <w:pPr>
        <w:spacing w:before="160"/>
        <w:rPr>
          <w:color w:val="0070C0"/>
        </w:rPr>
      </w:pPr>
      <w:r w:rsidRPr="00CA2564">
        <w:rPr>
          <w:color w:val="0070C0"/>
        </w:rPr>
        <w:t>AOTP so zameraním na osoby so zdravotným znevýhodnením</w:t>
      </w:r>
    </w:p>
    <w:p w14:paraId="1BB1573D" w14:textId="28D624BB" w:rsidR="00030B8E" w:rsidRDefault="001F4453" w:rsidP="00306088">
      <w:pPr>
        <w:spacing w:before="160"/>
        <w:rPr>
          <w:rFonts w:eastAsia="Arial Narrow" w:cs="Arial Narrow"/>
        </w:rPr>
      </w:pPr>
      <w:r w:rsidRPr="00CA2564">
        <w:rPr>
          <w:rFonts w:eastAsia="Arial Narrow" w:cs="Arial Narrow"/>
          <w:b/>
        </w:rPr>
        <w:t xml:space="preserve">Verejné výdavky na začleňovanie osôb so zdravotným znevýhodnením na trhu práce prostredníctvom cielených aktívnych opatrení trhu práce (AOTP) v roku 2018 tvorili 36,9 miliónov eur, </w:t>
      </w:r>
      <w:r w:rsidR="00E841EE">
        <w:rPr>
          <w:rFonts w:eastAsia="Arial Narrow" w:cs="Arial Narrow"/>
        </w:rPr>
        <w:t>čo predstavuje asi 0,1 </w:t>
      </w:r>
      <w:r w:rsidRPr="00CA2564">
        <w:rPr>
          <w:rFonts w:eastAsia="Arial Narrow" w:cs="Arial Narrow"/>
        </w:rPr>
        <w:t>% z celkových verejných výdavkov a 20,1 % z celkových výdavkov na AOTP. V roku 2018 bolo prostredníctvom piatich cielených nástrojov podporených 10 557 občanov so ZP</w:t>
      </w:r>
      <w:r w:rsidRPr="00CA2564">
        <w:rPr>
          <w:rStyle w:val="Odkaznapoznmkupodiarou"/>
          <w:rFonts w:eastAsia="Arial Narrow" w:cs="Arial Narrow"/>
        </w:rPr>
        <w:footnoteReference w:id="338"/>
      </w:r>
      <w:r w:rsidRPr="00CA2564">
        <w:rPr>
          <w:rFonts w:eastAsia="Arial Narrow" w:cs="Arial Narrow"/>
        </w:rPr>
        <w:t xml:space="preserve">, pričom </w:t>
      </w:r>
      <w:r w:rsidR="00453F5B" w:rsidRPr="00CA2564">
        <w:rPr>
          <w:rFonts w:eastAsia="Arial Narrow" w:cs="Arial Narrow"/>
        </w:rPr>
        <w:t>jed</w:t>
      </w:r>
      <w:r w:rsidR="00C33603">
        <w:rPr>
          <w:rFonts w:eastAsia="Arial Narrow" w:cs="Arial Narrow"/>
        </w:rPr>
        <w:t>en</w:t>
      </w:r>
      <w:r w:rsidR="00453F5B" w:rsidRPr="00CA2564">
        <w:rPr>
          <w:rFonts w:eastAsia="Arial Narrow" w:cs="Arial Narrow"/>
        </w:rPr>
        <w:t xml:space="preserve"> </w:t>
      </w:r>
      <w:r w:rsidRPr="00CA2564">
        <w:rPr>
          <w:rFonts w:eastAsia="Arial Narrow" w:cs="Arial Narrow"/>
        </w:rPr>
        <w:t xml:space="preserve">OZP </w:t>
      </w:r>
      <w:r w:rsidR="00453F5B" w:rsidRPr="00CA2564">
        <w:rPr>
          <w:rFonts w:eastAsia="Arial Narrow" w:cs="Arial Narrow"/>
        </w:rPr>
        <w:t>moh</w:t>
      </w:r>
      <w:r w:rsidR="00C33603">
        <w:rPr>
          <w:rFonts w:eastAsia="Arial Narrow" w:cs="Arial Narrow"/>
        </w:rPr>
        <w:t>ol</w:t>
      </w:r>
      <w:r w:rsidR="00453F5B" w:rsidRPr="00CA2564">
        <w:rPr>
          <w:rFonts w:eastAsia="Arial Narrow" w:cs="Arial Narrow"/>
        </w:rPr>
        <w:t xml:space="preserve"> </w:t>
      </w:r>
      <w:r w:rsidRPr="00CA2564">
        <w:rPr>
          <w:rFonts w:eastAsia="Arial Narrow" w:cs="Arial Narrow"/>
        </w:rPr>
        <w:t xml:space="preserve">byť </w:t>
      </w:r>
      <w:r w:rsidR="00453F5B" w:rsidRPr="00CA2564">
        <w:rPr>
          <w:rFonts w:eastAsia="Arial Narrow" w:cs="Arial Narrow"/>
        </w:rPr>
        <w:t>podporen</w:t>
      </w:r>
      <w:r w:rsidR="00C33603">
        <w:rPr>
          <w:rFonts w:eastAsia="Arial Narrow" w:cs="Arial Narrow"/>
        </w:rPr>
        <w:t>ý</w:t>
      </w:r>
      <w:r w:rsidR="00453F5B" w:rsidRPr="00CA2564">
        <w:rPr>
          <w:rFonts w:eastAsia="Arial Narrow" w:cs="Arial Narrow"/>
        </w:rPr>
        <w:t xml:space="preserve"> </w:t>
      </w:r>
      <w:r w:rsidRPr="00CA2564">
        <w:rPr>
          <w:rFonts w:eastAsia="Arial Narrow" w:cs="Arial Narrow"/>
        </w:rPr>
        <w:t>viacerými nástrojmi. Počet OZP podporených niektorým z cielených n</w:t>
      </w:r>
      <w:r w:rsidR="00E841EE">
        <w:rPr>
          <w:rFonts w:eastAsia="Arial Narrow" w:cs="Arial Narrow"/>
        </w:rPr>
        <w:t>ástrojov AOTP predstavoval 11,3 </w:t>
      </w:r>
      <w:r w:rsidRPr="00CA2564">
        <w:rPr>
          <w:rFonts w:eastAsia="Arial Narrow" w:cs="Arial Narrow"/>
        </w:rPr>
        <w:t>% z celkového počtu pracujúcich poberateľov invalidného dôchodku vo veku 20-64 roko</w:t>
      </w:r>
      <w:r w:rsidR="00306088">
        <w:rPr>
          <w:rFonts w:eastAsia="Arial Narrow" w:cs="Arial Narrow"/>
        </w:rPr>
        <w:t>v.</w:t>
      </w:r>
    </w:p>
    <w:tbl>
      <w:tblPr>
        <w:tblW w:w="9086" w:type="dxa"/>
        <w:tblLayout w:type="fixed"/>
        <w:tblLook w:val="04E0" w:firstRow="1" w:lastRow="1" w:firstColumn="1" w:lastColumn="0" w:noHBand="0" w:noVBand="1"/>
      </w:tblPr>
      <w:tblGrid>
        <w:gridCol w:w="4395"/>
        <w:gridCol w:w="283"/>
        <w:gridCol w:w="4408"/>
      </w:tblGrid>
      <w:tr w:rsidR="001F4453" w:rsidRPr="00CA2564" w14:paraId="5E7036C8" w14:textId="77777777" w:rsidTr="00030B8E">
        <w:tc>
          <w:tcPr>
            <w:tcW w:w="4395" w:type="dxa"/>
            <w:tcBorders>
              <w:bottom w:val="single" w:sz="4" w:space="0" w:color="auto"/>
            </w:tcBorders>
          </w:tcPr>
          <w:p w14:paraId="5275F1FF" w14:textId="77777777" w:rsidR="001F4453" w:rsidRPr="00030B8E" w:rsidRDefault="001F4453" w:rsidP="00030B8E">
            <w:pPr>
              <w:spacing w:after="0" w:line="240" w:lineRule="auto"/>
              <w:rPr>
                <w:b/>
                <w:sz w:val="20"/>
              </w:rPr>
            </w:pPr>
            <w:bookmarkStart w:id="555" w:name="_Ref15134344"/>
            <w:bookmarkStart w:id="556" w:name="_Toc17469408"/>
            <w:bookmarkStart w:id="557" w:name="_Toc34157598"/>
            <w:r w:rsidRPr="00030B8E">
              <w:rPr>
                <w:b/>
                <w:sz w:val="20"/>
              </w:rPr>
              <w:t xml:space="preserve">Graf </w:t>
            </w:r>
            <w:r w:rsidRPr="00030B8E">
              <w:rPr>
                <w:b/>
                <w:sz w:val="20"/>
              </w:rPr>
              <w:fldChar w:fldCharType="begin"/>
            </w:r>
            <w:r w:rsidRPr="00030B8E">
              <w:rPr>
                <w:b/>
                <w:sz w:val="20"/>
              </w:rPr>
              <w:instrText xml:space="preserve"> SEQ Graf \* ARABIC </w:instrText>
            </w:r>
            <w:r w:rsidRPr="00030B8E">
              <w:rPr>
                <w:b/>
                <w:sz w:val="20"/>
              </w:rPr>
              <w:fldChar w:fldCharType="separate"/>
            </w:r>
            <w:r w:rsidR="00FA29AF">
              <w:rPr>
                <w:b/>
                <w:noProof/>
                <w:sz w:val="20"/>
              </w:rPr>
              <w:t>40</w:t>
            </w:r>
            <w:r w:rsidRPr="00030B8E">
              <w:rPr>
                <w:b/>
                <w:sz w:val="20"/>
              </w:rPr>
              <w:fldChar w:fldCharType="end"/>
            </w:r>
            <w:bookmarkEnd w:id="555"/>
            <w:r w:rsidRPr="00030B8E">
              <w:rPr>
                <w:b/>
                <w:sz w:val="20"/>
              </w:rPr>
              <w:t>: Vývoj a štruktúra výdavkov na AOTP pre OZP (mil. eur)</w:t>
            </w:r>
            <w:bookmarkEnd w:id="556"/>
            <w:bookmarkEnd w:id="557"/>
          </w:p>
        </w:tc>
        <w:tc>
          <w:tcPr>
            <w:tcW w:w="283" w:type="dxa"/>
            <w:tcBorders>
              <w:bottom w:val="nil"/>
            </w:tcBorders>
          </w:tcPr>
          <w:p w14:paraId="11D1B562" w14:textId="77777777" w:rsidR="001F4453" w:rsidRPr="00030B8E" w:rsidRDefault="001F4453" w:rsidP="00030B8E">
            <w:pPr>
              <w:spacing w:after="0" w:line="240" w:lineRule="auto"/>
              <w:rPr>
                <w:b/>
                <w:sz w:val="20"/>
              </w:rPr>
            </w:pPr>
          </w:p>
        </w:tc>
        <w:tc>
          <w:tcPr>
            <w:tcW w:w="4408" w:type="dxa"/>
            <w:tcBorders>
              <w:bottom w:val="single" w:sz="4" w:space="0" w:color="auto"/>
            </w:tcBorders>
          </w:tcPr>
          <w:p w14:paraId="352819BD" w14:textId="77777777" w:rsidR="001F4453" w:rsidRPr="00030B8E" w:rsidRDefault="001F4453" w:rsidP="00030B8E">
            <w:pPr>
              <w:spacing w:after="0" w:line="240" w:lineRule="auto"/>
              <w:rPr>
                <w:b/>
                <w:sz w:val="20"/>
              </w:rPr>
            </w:pPr>
            <w:bookmarkStart w:id="558" w:name="_Ref18408010"/>
            <w:bookmarkStart w:id="559" w:name="_Toc17469409"/>
            <w:bookmarkStart w:id="560" w:name="_Toc34157599"/>
            <w:r w:rsidRPr="00030B8E">
              <w:rPr>
                <w:b/>
                <w:sz w:val="20"/>
              </w:rPr>
              <w:t xml:space="preserve">Graf </w:t>
            </w:r>
            <w:r w:rsidRPr="00030B8E">
              <w:rPr>
                <w:b/>
                <w:sz w:val="20"/>
              </w:rPr>
              <w:fldChar w:fldCharType="begin"/>
            </w:r>
            <w:r w:rsidRPr="00030B8E">
              <w:rPr>
                <w:b/>
                <w:sz w:val="20"/>
              </w:rPr>
              <w:instrText xml:space="preserve"> SEQ Graf \* ARABIC </w:instrText>
            </w:r>
            <w:r w:rsidRPr="00030B8E">
              <w:rPr>
                <w:b/>
                <w:sz w:val="20"/>
              </w:rPr>
              <w:fldChar w:fldCharType="separate"/>
            </w:r>
            <w:r w:rsidR="00FA29AF">
              <w:rPr>
                <w:b/>
                <w:noProof/>
                <w:sz w:val="20"/>
              </w:rPr>
              <w:t>41</w:t>
            </w:r>
            <w:r w:rsidRPr="00030B8E">
              <w:rPr>
                <w:b/>
                <w:sz w:val="20"/>
              </w:rPr>
              <w:fldChar w:fldCharType="end"/>
            </w:r>
            <w:bookmarkEnd w:id="558"/>
            <w:r w:rsidRPr="00030B8E">
              <w:rPr>
                <w:b/>
                <w:sz w:val="20"/>
              </w:rPr>
              <w:t>: Podpora pracovných miest v chránenom prostredí a na otvorenom trhu práce</w:t>
            </w:r>
            <w:bookmarkEnd w:id="559"/>
            <w:bookmarkEnd w:id="560"/>
          </w:p>
        </w:tc>
      </w:tr>
      <w:tr w:rsidR="001F4453" w:rsidRPr="00CA2564" w14:paraId="338398D6" w14:textId="77777777" w:rsidTr="00030B8E">
        <w:tblPrEx>
          <w:tblCellMar>
            <w:left w:w="70" w:type="dxa"/>
            <w:right w:w="70" w:type="dxa"/>
          </w:tblCellMar>
        </w:tblPrEx>
        <w:tc>
          <w:tcPr>
            <w:tcW w:w="4395" w:type="dxa"/>
            <w:tcBorders>
              <w:top w:val="single" w:sz="4" w:space="0" w:color="auto"/>
              <w:bottom w:val="single" w:sz="4" w:space="0" w:color="auto"/>
            </w:tcBorders>
          </w:tcPr>
          <w:p w14:paraId="11F28FAB" w14:textId="77777777" w:rsidR="001F4453" w:rsidRPr="00CA2564" w:rsidRDefault="001F4453" w:rsidP="00030B8E">
            <w:pPr>
              <w:spacing w:after="0" w:line="240" w:lineRule="auto"/>
              <w:rPr>
                <w:sz w:val="4"/>
                <w:szCs w:val="4"/>
              </w:rPr>
            </w:pPr>
          </w:p>
          <w:p w14:paraId="217E5403" w14:textId="77777777" w:rsidR="001F4453" w:rsidRPr="00CA2564" w:rsidRDefault="001F4453" w:rsidP="00030B8E">
            <w:pPr>
              <w:spacing w:after="0" w:line="240" w:lineRule="auto"/>
              <w:rPr>
                <w:sz w:val="4"/>
                <w:szCs w:val="4"/>
              </w:rPr>
            </w:pPr>
            <w:r>
              <w:rPr>
                <w:noProof/>
                <w:lang w:eastAsia="sk-SK"/>
              </w:rPr>
              <w:drawing>
                <wp:inline distT="0" distB="0" distL="0" distR="0" wp14:anchorId="258A58E4" wp14:editId="4D1C48F6">
                  <wp:extent cx="2701925" cy="2543175"/>
                  <wp:effectExtent l="0" t="0" r="3175" b="0"/>
                  <wp:docPr id="10" name="Graf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BEA9ECC3-958D-47C5-BE4C-515DB7A66A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669B61C" w14:textId="77777777" w:rsidR="001F4453" w:rsidRPr="00CA2564" w:rsidRDefault="001F4453" w:rsidP="00030B8E">
            <w:pPr>
              <w:spacing w:after="0" w:line="240" w:lineRule="auto"/>
              <w:rPr>
                <w:sz w:val="4"/>
                <w:szCs w:val="4"/>
              </w:rPr>
            </w:pPr>
          </w:p>
        </w:tc>
        <w:tc>
          <w:tcPr>
            <w:tcW w:w="283" w:type="dxa"/>
            <w:tcBorders>
              <w:top w:val="nil"/>
              <w:bottom w:val="nil"/>
            </w:tcBorders>
          </w:tcPr>
          <w:p w14:paraId="207BFA6F" w14:textId="77777777" w:rsidR="001F4453" w:rsidRPr="00CA2564" w:rsidRDefault="001F4453" w:rsidP="00030B8E">
            <w:pPr>
              <w:spacing w:after="0" w:line="240" w:lineRule="auto"/>
              <w:rPr>
                <w:noProof/>
              </w:rPr>
            </w:pPr>
          </w:p>
        </w:tc>
        <w:tc>
          <w:tcPr>
            <w:tcW w:w="4408" w:type="dxa"/>
            <w:tcBorders>
              <w:top w:val="single" w:sz="4" w:space="0" w:color="auto"/>
              <w:bottom w:val="single" w:sz="4" w:space="0" w:color="auto"/>
            </w:tcBorders>
          </w:tcPr>
          <w:p w14:paraId="4F4338E2" w14:textId="77777777" w:rsidR="001F4453" w:rsidRPr="00CA2564" w:rsidRDefault="001F4453" w:rsidP="00030B8E">
            <w:pPr>
              <w:spacing w:after="0" w:line="240" w:lineRule="auto"/>
              <w:rPr>
                <w:sz w:val="4"/>
                <w:szCs w:val="4"/>
              </w:rPr>
            </w:pPr>
          </w:p>
          <w:p w14:paraId="60EA17A8" w14:textId="77777777" w:rsidR="001F4453" w:rsidRPr="00CA2564" w:rsidRDefault="001F4453" w:rsidP="00030B8E">
            <w:pPr>
              <w:spacing w:after="0" w:line="240" w:lineRule="auto"/>
              <w:rPr>
                <w:sz w:val="4"/>
                <w:szCs w:val="4"/>
              </w:rPr>
            </w:pPr>
            <w:r w:rsidRPr="00CA2564">
              <w:rPr>
                <w:noProof/>
                <w:lang w:eastAsia="sk-SK"/>
              </w:rPr>
              <w:drawing>
                <wp:inline distT="0" distB="0" distL="0" distR="0" wp14:anchorId="3722A38F" wp14:editId="220BF4C8">
                  <wp:extent cx="2728595" cy="2552700"/>
                  <wp:effectExtent l="0" t="0" r="0" b="0"/>
                  <wp:docPr id="28021" name="Chart 2802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9D6307B2-901E-423F-B9FE-7507DF2CDC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F9A74E8" w14:textId="77777777" w:rsidR="001F4453" w:rsidRPr="00CA2564" w:rsidRDefault="001F4453" w:rsidP="00030B8E">
            <w:pPr>
              <w:spacing w:after="0" w:line="240" w:lineRule="auto"/>
              <w:rPr>
                <w:sz w:val="4"/>
                <w:szCs w:val="4"/>
              </w:rPr>
            </w:pPr>
          </w:p>
        </w:tc>
      </w:tr>
      <w:tr w:rsidR="001F4453" w:rsidRPr="00CA2564" w14:paraId="4CDD6E41" w14:textId="77777777" w:rsidTr="00030B8E">
        <w:tc>
          <w:tcPr>
            <w:tcW w:w="4395" w:type="dxa"/>
            <w:tcBorders>
              <w:top w:val="single" w:sz="4" w:space="0" w:color="auto"/>
            </w:tcBorders>
          </w:tcPr>
          <w:p w14:paraId="5A8B1831" w14:textId="77777777" w:rsidR="001F4453" w:rsidRPr="00030B8E" w:rsidRDefault="001F4453" w:rsidP="00030B8E">
            <w:pPr>
              <w:spacing w:after="0" w:line="240" w:lineRule="auto"/>
              <w:jc w:val="right"/>
              <w:rPr>
                <w:bCs/>
                <w:i/>
                <w:noProof/>
                <w:sz w:val="18"/>
                <w:szCs w:val="18"/>
              </w:rPr>
            </w:pPr>
            <w:r w:rsidRPr="00030B8E">
              <w:rPr>
                <w:i/>
                <w:noProof/>
                <w:sz w:val="18"/>
                <w:szCs w:val="18"/>
              </w:rPr>
              <w:t>Zdroj: ISP na základe údajov UPSVR</w:t>
            </w:r>
          </w:p>
        </w:tc>
        <w:tc>
          <w:tcPr>
            <w:tcW w:w="283" w:type="dxa"/>
            <w:tcBorders>
              <w:top w:val="nil"/>
            </w:tcBorders>
          </w:tcPr>
          <w:p w14:paraId="252BF076" w14:textId="77777777" w:rsidR="001F4453" w:rsidRPr="00030B8E" w:rsidRDefault="001F4453" w:rsidP="00030B8E">
            <w:pPr>
              <w:spacing w:after="0" w:line="240" w:lineRule="auto"/>
              <w:jc w:val="right"/>
              <w:rPr>
                <w:i/>
                <w:noProof/>
                <w:sz w:val="18"/>
                <w:szCs w:val="18"/>
              </w:rPr>
            </w:pPr>
          </w:p>
        </w:tc>
        <w:tc>
          <w:tcPr>
            <w:tcW w:w="4408" w:type="dxa"/>
            <w:tcBorders>
              <w:top w:val="single" w:sz="4" w:space="0" w:color="auto"/>
            </w:tcBorders>
          </w:tcPr>
          <w:p w14:paraId="21B49E7C" w14:textId="77777777" w:rsidR="001F4453" w:rsidRPr="00030B8E" w:rsidRDefault="001F4453" w:rsidP="00030B8E">
            <w:pPr>
              <w:spacing w:after="0" w:line="240" w:lineRule="auto"/>
              <w:jc w:val="right"/>
              <w:rPr>
                <w:i/>
                <w:noProof/>
                <w:sz w:val="18"/>
                <w:szCs w:val="18"/>
              </w:rPr>
            </w:pPr>
            <w:r w:rsidRPr="00030B8E">
              <w:rPr>
                <w:i/>
                <w:noProof/>
                <w:sz w:val="18"/>
                <w:szCs w:val="18"/>
              </w:rPr>
              <w:t>Zdroj: ISP na základe údajov UPSVR</w:t>
            </w:r>
          </w:p>
          <w:p w14:paraId="2930B6B1" w14:textId="77777777" w:rsidR="001F4453" w:rsidRPr="00030B8E" w:rsidRDefault="001F4453" w:rsidP="00030B8E">
            <w:pPr>
              <w:spacing w:after="0" w:line="240" w:lineRule="auto"/>
              <w:jc w:val="left"/>
              <w:rPr>
                <w:i/>
                <w:noProof/>
                <w:sz w:val="18"/>
                <w:szCs w:val="18"/>
              </w:rPr>
            </w:pPr>
            <w:r w:rsidRPr="00030B8E">
              <w:rPr>
                <w:i/>
                <w:noProof/>
                <w:sz w:val="18"/>
                <w:szCs w:val="18"/>
              </w:rPr>
              <w:t>Poznámka: CHD/CHP sú chránené dielne a pracoviská, OTP je otvorený trh práce, PM sú pracovné miesta.</w:t>
            </w:r>
          </w:p>
        </w:tc>
      </w:tr>
    </w:tbl>
    <w:p w14:paraId="1C2C21E1" w14:textId="77777777" w:rsidR="00306088" w:rsidRDefault="00306088" w:rsidP="00E51E6C">
      <w:pPr>
        <w:spacing w:before="160"/>
        <w:rPr>
          <w:rFonts w:eastAsia="Arial Narrow" w:cs="Arial Narrow"/>
        </w:rPr>
      </w:pPr>
      <w:r w:rsidRPr="00CA2564">
        <w:rPr>
          <w:rFonts w:eastAsia="Arial Narrow" w:cs="Arial Narrow"/>
          <w:b/>
        </w:rPr>
        <w:t xml:space="preserve">Až 83 % výdavkov na AOTP pre </w:t>
      </w:r>
      <w:r>
        <w:rPr>
          <w:rFonts w:eastAsia="Arial Narrow" w:cs="Arial Narrow"/>
          <w:b/>
        </w:rPr>
        <w:t>O</w:t>
      </w:r>
      <w:r w:rsidRPr="00CA2564">
        <w:rPr>
          <w:rFonts w:eastAsia="Arial Narrow" w:cs="Arial Narrow"/>
          <w:b/>
        </w:rPr>
        <w:t xml:space="preserve">ZP išlo v roku 2018 na podporu chránených dielní a chránených pracovísk </w:t>
      </w:r>
      <w:r w:rsidRPr="00CA2564">
        <w:rPr>
          <w:rFonts w:eastAsia="Arial Narrow" w:cs="Arial Narrow"/>
        </w:rPr>
        <w:t>(</w:t>
      </w:r>
      <w:r w:rsidRPr="0080332C">
        <w:rPr>
          <w:rFonts w:eastAsia="Arial Narrow" w:cs="Arial Narrow"/>
          <w:szCs w:val="22"/>
        </w:rPr>
        <w:fldChar w:fldCharType="begin"/>
      </w:r>
      <w:r w:rsidRPr="0080332C">
        <w:rPr>
          <w:rFonts w:eastAsia="Arial Narrow" w:cs="Arial Narrow"/>
          <w:szCs w:val="22"/>
        </w:rPr>
        <w:instrText xml:space="preserve"> REF _Ref15134344 \h  \* MERGEFORMAT </w:instrText>
      </w:r>
      <w:r w:rsidRPr="0080332C">
        <w:rPr>
          <w:rFonts w:eastAsia="Arial Narrow" w:cs="Arial Narrow"/>
          <w:szCs w:val="22"/>
        </w:rPr>
      </w:r>
      <w:r w:rsidRPr="0080332C">
        <w:rPr>
          <w:rFonts w:eastAsia="Arial Narrow" w:cs="Arial Narrow"/>
          <w:szCs w:val="22"/>
        </w:rPr>
        <w:fldChar w:fldCharType="separate"/>
      </w:r>
      <w:r w:rsidR="00FA29AF" w:rsidRPr="00FA29AF">
        <w:rPr>
          <w:szCs w:val="22"/>
        </w:rPr>
        <w:t xml:space="preserve">Graf </w:t>
      </w:r>
      <w:r w:rsidR="00FA29AF" w:rsidRPr="00FA29AF">
        <w:rPr>
          <w:noProof/>
          <w:szCs w:val="22"/>
        </w:rPr>
        <w:t>40</w:t>
      </w:r>
      <w:r w:rsidRPr="0080332C">
        <w:rPr>
          <w:rFonts w:eastAsia="Arial Narrow" w:cs="Arial Narrow"/>
          <w:szCs w:val="22"/>
        </w:rPr>
        <w:fldChar w:fldCharType="end"/>
      </w:r>
      <w:r w:rsidRPr="0080332C">
        <w:rPr>
          <w:rFonts w:eastAsia="Arial Narrow" w:cs="Arial Narrow"/>
          <w:szCs w:val="22"/>
        </w:rPr>
        <w:t xml:space="preserve">, </w:t>
      </w:r>
      <w:r w:rsidRPr="0080332C">
        <w:rPr>
          <w:rFonts w:eastAsia="Arial Narrow" w:cs="Arial Narrow"/>
          <w:szCs w:val="22"/>
        </w:rPr>
        <w:fldChar w:fldCharType="begin"/>
      </w:r>
      <w:r w:rsidRPr="0080332C">
        <w:rPr>
          <w:rFonts w:eastAsia="Arial Narrow" w:cs="Arial Narrow"/>
          <w:szCs w:val="22"/>
        </w:rPr>
        <w:instrText xml:space="preserve"> REF _Ref18408010 \h </w:instrText>
      </w:r>
      <w:r>
        <w:rPr>
          <w:rFonts w:eastAsia="Arial Narrow" w:cs="Arial Narrow"/>
          <w:szCs w:val="22"/>
        </w:rPr>
        <w:instrText xml:space="preserve"> \* MERGEFORMAT </w:instrText>
      </w:r>
      <w:r w:rsidRPr="0080332C">
        <w:rPr>
          <w:rFonts w:eastAsia="Arial Narrow" w:cs="Arial Narrow"/>
          <w:szCs w:val="22"/>
        </w:rPr>
      </w:r>
      <w:r w:rsidRPr="0080332C">
        <w:rPr>
          <w:rFonts w:eastAsia="Arial Narrow" w:cs="Arial Narrow"/>
          <w:szCs w:val="22"/>
        </w:rPr>
        <w:fldChar w:fldCharType="separate"/>
      </w:r>
      <w:r w:rsidR="00FA29AF" w:rsidRPr="00FA29AF">
        <w:rPr>
          <w:szCs w:val="22"/>
        </w:rPr>
        <w:t xml:space="preserve">Graf </w:t>
      </w:r>
      <w:r w:rsidR="00FA29AF" w:rsidRPr="00FA29AF">
        <w:rPr>
          <w:noProof/>
          <w:szCs w:val="22"/>
        </w:rPr>
        <w:t>41</w:t>
      </w:r>
      <w:r w:rsidRPr="0080332C">
        <w:rPr>
          <w:rFonts w:eastAsia="Arial Narrow" w:cs="Arial Narrow"/>
          <w:szCs w:val="22"/>
        </w:rPr>
        <w:fldChar w:fldCharType="end"/>
      </w:r>
      <w:r w:rsidRPr="0080332C">
        <w:rPr>
          <w:rFonts w:eastAsia="Arial Narrow" w:cs="Arial Narrow"/>
          <w:szCs w:val="22"/>
        </w:rPr>
        <w:t xml:space="preserve"> </w:t>
      </w:r>
      <w:r w:rsidRPr="005B1431">
        <w:rPr>
          <w:rFonts w:eastAsia="Arial Narrow" w:cs="Arial Narrow"/>
          <w:szCs w:val="22"/>
        </w:rPr>
        <w:t>a </w:t>
      </w:r>
      <w:r w:rsidRPr="00225D12">
        <w:rPr>
          <w:rFonts w:eastAsia="Arial Narrow" w:cs="Arial Narrow"/>
          <w:szCs w:val="22"/>
        </w:rPr>
        <w:fldChar w:fldCharType="begin"/>
      </w:r>
      <w:r w:rsidRPr="005B1431">
        <w:rPr>
          <w:rFonts w:eastAsia="Arial Narrow" w:cs="Arial Narrow"/>
          <w:szCs w:val="22"/>
        </w:rPr>
        <w:instrText xml:space="preserve"> REF _Ref21087645 \h  \* MERGEFORMAT </w:instrText>
      </w:r>
      <w:r w:rsidRPr="00225D12">
        <w:rPr>
          <w:rFonts w:eastAsia="Arial Narrow" w:cs="Arial Narrow"/>
          <w:szCs w:val="22"/>
        </w:rPr>
      </w:r>
      <w:r w:rsidRPr="00225D12">
        <w:rPr>
          <w:rFonts w:eastAsia="Arial Narrow" w:cs="Arial Narrow"/>
          <w:szCs w:val="22"/>
        </w:rPr>
        <w:fldChar w:fldCharType="separate"/>
      </w:r>
      <w:r w:rsidR="00FA29AF" w:rsidRPr="00FA29AF">
        <w:rPr>
          <w:rFonts w:eastAsia="Arial Narrow" w:cs="Arial Narrow"/>
          <w:iCs/>
        </w:rPr>
        <w:t>Box 16</w:t>
      </w:r>
      <w:r w:rsidRPr="00225D12">
        <w:rPr>
          <w:rFonts w:eastAsia="Arial Narrow" w:cs="Arial Narrow"/>
          <w:szCs w:val="22"/>
        </w:rPr>
        <w:fldChar w:fldCharType="end"/>
      </w:r>
      <w:r w:rsidRPr="0080332C">
        <w:rPr>
          <w:rFonts w:eastAsia="Arial Narrow" w:cs="Arial Narrow"/>
          <w:szCs w:val="22"/>
        </w:rPr>
        <w:t>). Z toho 98 % podporuje udržiavanie existujúcich pracovných miest a 2 % zriadenie nových.</w:t>
      </w:r>
      <w:r>
        <w:rPr>
          <w:rStyle w:val="Odkaznapoznmkupodiarou"/>
          <w:rFonts w:eastAsia="Arial Narrow" w:cs="Arial Narrow"/>
          <w:szCs w:val="22"/>
        </w:rPr>
        <w:footnoteReference w:id="339"/>
      </w:r>
      <w:r w:rsidRPr="0080332C">
        <w:rPr>
          <w:rFonts w:eastAsia="Arial Narrow" w:cs="Arial Narrow"/>
          <w:szCs w:val="22"/>
        </w:rPr>
        <w:t xml:space="preserve"> Ku koncu roka 2018 pracovalo</w:t>
      </w:r>
      <w:r w:rsidRPr="00CA2564">
        <w:rPr>
          <w:rFonts w:eastAsia="Arial Narrow" w:cs="Arial Narrow"/>
        </w:rPr>
        <w:t xml:space="preserve"> v chránenom prostredí </w:t>
      </w:r>
      <w:r>
        <w:rPr>
          <w:rFonts w:eastAsia="Arial Narrow" w:cs="Arial Narrow"/>
        </w:rPr>
        <w:t xml:space="preserve">10 584 </w:t>
      </w:r>
      <w:r w:rsidRPr="00CA2564">
        <w:rPr>
          <w:rFonts w:eastAsia="Arial Narrow" w:cs="Arial Narrow"/>
        </w:rPr>
        <w:t>občanov so zdravotným postihnutím (</w:t>
      </w:r>
      <w:r>
        <w:rPr>
          <w:rFonts w:eastAsia="Arial Narrow" w:cs="Arial Narrow"/>
        </w:rPr>
        <w:t xml:space="preserve">6 135 </w:t>
      </w:r>
      <w:r w:rsidRPr="00CA2564">
        <w:rPr>
          <w:rFonts w:eastAsia="Arial Narrow" w:cs="Arial Narrow"/>
        </w:rPr>
        <w:t>v chránených dielňach a </w:t>
      </w:r>
      <w:r>
        <w:rPr>
          <w:rFonts w:eastAsia="Arial Narrow" w:cs="Arial Narrow"/>
        </w:rPr>
        <w:t xml:space="preserve">4 449 </w:t>
      </w:r>
      <w:r w:rsidRPr="00CA2564">
        <w:rPr>
          <w:rFonts w:eastAsia="Arial Narrow" w:cs="Arial Narrow"/>
        </w:rPr>
        <w:t>na chránených pracoviskách)</w:t>
      </w:r>
      <w:r w:rsidRPr="00CA2564">
        <w:rPr>
          <w:rFonts w:eastAsia="Arial Narrow" w:cs="Arial Narrow"/>
          <w:vertAlign w:val="superscript"/>
        </w:rPr>
        <w:footnoteReference w:id="340"/>
      </w:r>
      <w:r w:rsidRPr="00CA2564">
        <w:rPr>
          <w:rFonts w:eastAsia="Arial Narrow" w:cs="Arial Narrow"/>
        </w:rPr>
        <w:t xml:space="preserve"> čo predstavovalo </w:t>
      </w:r>
      <w:r>
        <w:rPr>
          <w:rFonts w:eastAsia="Arial Narrow" w:cs="Arial Narrow"/>
        </w:rPr>
        <w:t>11,3</w:t>
      </w:r>
      <w:r w:rsidRPr="00CA2564">
        <w:rPr>
          <w:rFonts w:eastAsia="Arial Narrow" w:cs="Arial Narrow"/>
        </w:rPr>
        <w:t xml:space="preserve"> % pracujúcich poberateľov invalidného</w:t>
      </w:r>
      <w:r>
        <w:rPr>
          <w:rFonts w:eastAsia="Arial Narrow" w:cs="Arial Narrow"/>
        </w:rPr>
        <w:t xml:space="preserve"> dôchodku vo veku 20-64 rokov.</w:t>
      </w:r>
    </w:p>
    <w:p w14:paraId="1413CB2C" w14:textId="641C6E48" w:rsidR="00E51E6C" w:rsidRDefault="00E51E6C" w:rsidP="00E51E6C">
      <w:pPr>
        <w:spacing w:before="160"/>
        <w:rPr>
          <w:rFonts w:eastAsia="Arial Narrow" w:cs="Arial Narrow"/>
          <w:b/>
        </w:rPr>
      </w:pPr>
      <w:r w:rsidRPr="00CA2564">
        <w:rPr>
          <w:rFonts w:eastAsia="Arial Narrow" w:cs="Arial Narrow"/>
          <w:b/>
        </w:rPr>
        <w:t xml:space="preserve">Chránené dielne predstavujú formu </w:t>
      </w:r>
      <w:r>
        <w:rPr>
          <w:rFonts w:eastAsia="Arial Narrow" w:cs="Arial Narrow"/>
          <w:b/>
        </w:rPr>
        <w:t>osobitného</w:t>
      </w:r>
      <w:r w:rsidRPr="00CA2564">
        <w:rPr>
          <w:rFonts w:eastAsia="Arial Narrow" w:cs="Arial Narrow"/>
          <w:b/>
        </w:rPr>
        <w:t xml:space="preserve"> zamestná</w:t>
      </w:r>
      <w:r w:rsidRPr="00DF3962">
        <w:rPr>
          <w:rFonts w:eastAsia="Arial Narrow" w:cs="Arial Narrow"/>
          <w:b/>
        </w:rPr>
        <w:t xml:space="preserve">vania a </w:t>
      </w:r>
      <w:r w:rsidRPr="00D3189B">
        <w:rPr>
          <w:rFonts w:eastAsia="Arial Narrow" w:cs="Arial Narrow"/>
          <w:b/>
        </w:rPr>
        <w:t>prechod z nich na otvorený trh práce býva zriedkavý</w:t>
      </w:r>
      <w:r>
        <w:rPr>
          <w:rFonts w:eastAsia="Arial Narrow" w:cs="Arial Narrow"/>
          <w:b/>
        </w:rPr>
        <w:t xml:space="preserve"> </w:t>
      </w:r>
      <w:r w:rsidRPr="00D41517">
        <w:rPr>
          <w:rFonts w:eastAsia="Arial Narrow" w:cs="Arial Narrow"/>
        </w:rPr>
        <w:t>(Európska komisia, 2013)</w:t>
      </w:r>
      <w:r w:rsidRPr="006673A0">
        <w:rPr>
          <w:rFonts w:eastAsia="Arial Narrow" w:cs="Arial Narrow"/>
        </w:rPr>
        <w:t>.</w:t>
      </w:r>
      <w:r w:rsidRPr="00CA2564">
        <w:rPr>
          <w:rFonts w:eastAsia="Arial Narrow" w:cs="Arial Narrow"/>
        </w:rPr>
        <w:t xml:space="preserve"> </w:t>
      </w:r>
      <w:r>
        <w:rPr>
          <w:rFonts w:eastAsia="Arial Narrow" w:cs="Arial Narrow"/>
        </w:rPr>
        <w:t xml:space="preserve">Hoci pre určité skupiny OZP predstavuje chránené zamestnanie dôležitý a nenahraditeľný nástroj integrácie na trhu práce (napr. starší ľudia), na Slovensku sú v tomto prostredí zamestnávaní aj ľudia, ktorí by sa s adekvátnou podporou dokázali uplatniť na otvorenom trhu, za čo si v roku 2016 Slovensko vyslúžilo kritiku od Výboru OSN </w:t>
      </w:r>
      <w:r w:rsidRPr="00CA2564">
        <w:rPr>
          <w:rFonts w:eastAsia="Arial Narrow" w:cs="Arial Narrow"/>
        </w:rPr>
        <w:t>pre práva osôb so zdravotným postihnutím.</w:t>
      </w:r>
      <w:r w:rsidRPr="00CA2564">
        <w:rPr>
          <w:rStyle w:val="Odkaznapoznmkupodiarou"/>
          <w:rFonts w:eastAsia="Arial Narrow" w:cs="Arial Narrow"/>
        </w:rPr>
        <w:footnoteReference w:id="341"/>
      </w:r>
      <w:r>
        <w:rPr>
          <w:rFonts w:eastAsia="Arial Narrow" w:cs="Arial Narrow"/>
          <w:b/>
        </w:rPr>
        <w:t xml:space="preserve"> </w:t>
      </w:r>
    </w:p>
    <w:p w14:paraId="5666177F" w14:textId="2DA33A51" w:rsidR="00E51E6C" w:rsidRDefault="00E51E6C" w:rsidP="00E51E6C">
      <w:pPr>
        <w:spacing w:before="160"/>
        <w:rPr>
          <w:rFonts w:eastAsia="Arial Narrow" w:cs="Arial Narrow"/>
        </w:rPr>
      </w:pPr>
      <w:r w:rsidRPr="00CA2564">
        <w:rPr>
          <w:rFonts w:eastAsia="Arial Narrow" w:cs="Arial Narrow"/>
        </w:rPr>
        <w:t xml:space="preserve">Viaceré európske krajiny (napr. Maďarsko, Holandsko, Švédsko, či Veľká Británia) prijali reformy, ktorými kladú väčší dôraz na podporu začleňovania osôb na otvorenom trhu práce, napríklad formou podporovaného zamestnávania </w:t>
      </w:r>
      <w:r>
        <w:rPr>
          <w:rFonts w:eastAsia="Arial Narrow" w:cs="Arial Narrow"/>
        </w:rPr>
        <w:t xml:space="preserve">(podkapitola </w:t>
      </w:r>
      <w:r>
        <w:rPr>
          <w:rFonts w:eastAsia="Arial Narrow" w:cs="Arial Narrow"/>
        </w:rPr>
        <w:fldChar w:fldCharType="begin"/>
      </w:r>
      <w:r>
        <w:rPr>
          <w:rFonts w:eastAsia="Arial Narrow" w:cs="Arial Narrow"/>
        </w:rPr>
        <w:instrText xml:space="preserve"> REF _Ref25315082 \r \h </w:instrText>
      </w:r>
      <w:r>
        <w:rPr>
          <w:rFonts w:eastAsia="Arial Narrow" w:cs="Arial Narrow"/>
        </w:rPr>
      </w:r>
      <w:r>
        <w:rPr>
          <w:rFonts w:eastAsia="Arial Narrow" w:cs="Arial Narrow"/>
        </w:rPr>
        <w:fldChar w:fldCharType="separate"/>
      </w:r>
      <w:r w:rsidR="00FA29AF">
        <w:rPr>
          <w:rFonts w:eastAsia="Arial Narrow" w:cs="Arial Narrow"/>
        </w:rPr>
        <w:t>7.2</w:t>
      </w:r>
      <w:r>
        <w:rPr>
          <w:rFonts w:eastAsia="Arial Narrow" w:cs="Arial Narrow"/>
        </w:rPr>
        <w:fldChar w:fldCharType="end"/>
      </w:r>
      <w:r>
        <w:rPr>
          <w:rFonts w:eastAsia="Arial Narrow" w:cs="Arial Narrow"/>
        </w:rPr>
        <w:t xml:space="preserve">) </w:t>
      </w:r>
      <w:r w:rsidRPr="00CA2564">
        <w:rPr>
          <w:rFonts w:eastAsia="Arial Narrow" w:cs="Arial Narrow"/>
        </w:rPr>
        <w:t>či pracovnej rehabilitácie</w:t>
      </w:r>
      <w:r>
        <w:rPr>
          <w:rFonts w:eastAsia="Arial Narrow" w:cs="Arial Narrow"/>
        </w:rPr>
        <w:t xml:space="preserve"> (Európska komisia, 2016</w:t>
      </w:r>
      <w:r w:rsidR="00493B33">
        <w:rPr>
          <w:rFonts w:eastAsia="Arial Narrow" w:cs="Arial Narrow"/>
        </w:rPr>
        <w:t>b</w:t>
      </w:r>
      <w:r>
        <w:rPr>
          <w:rFonts w:eastAsia="Arial Narrow" w:cs="Arial Narrow"/>
        </w:rPr>
        <w:t xml:space="preserve">). </w:t>
      </w:r>
      <w:r w:rsidRPr="00CA2564">
        <w:rPr>
          <w:rFonts w:eastAsia="Arial Narrow" w:cs="Arial Narrow"/>
        </w:rPr>
        <w:t>Prechod občanov so zdravotným postihnutím z chráneného zamestnania na otvorený trh práce m</w:t>
      </w:r>
      <w:r>
        <w:rPr>
          <w:rFonts w:eastAsia="Arial Narrow" w:cs="Arial Narrow"/>
        </w:rPr>
        <w:t>ôže</w:t>
      </w:r>
      <w:r w:rsidRPr="00CA2564">
        <w:rPr>
          <w:rFonts w:eastAsia="Arial Narrow" w:cs="Arial Narrow"/>
        </w:rPr>
        <w:t xml:space="preserve"> podporiť zákon o sociálnej ekonomike a sociálnych podnikoch (podkapitola</w:t>
      </w:r>
      <w:r w:rsidR="00F91552">
        <w:rPr>
          <w:rFonts w:eastAsia="Arial Narrow" w:cs="Arial Narrow"/>
        </w:rPr>
        <w:t xml:space="preserve"> </w:t>
      </w:r>
      <w:r w:rsidR="00F91552">
        <w:rPr>
          <w:rFonts w:eastAsia="Arial Narrow" w:cs="Arial Narrow"/>
        </w:rPr>
        <w:fldChar w:fldCharType="begin"/>
      </w:r>
      <w:r w:rsidR="00F91552">
        <w:rPr>
          <w:rFonts w:eastAsia="Arial Narrow" w:cs="Arial Narrow"/>
        </w:rPr>
        <w:instrText xml:space="preserve"> REF _Ref25235000 \r \h </w:instrText>
      </w:r>
      <w:r w:rsidR="00F91552">
        <w:rPr>
          <w:rFonts w:eastAsia="Arial Narrow" w:cs="Arial Narrow"/>
        </w:rPr>
      </w:r>
      <w:r w:rsidR="00F91552">
        <w:rPr>
          <w:rFonts w:eastAsia="Arial Narrow" w:cs="Arial Narrow"/>
        </w:rPr>
        <w:fldChar w:fldCharType="separate"/>
      </w:r>
      <w:r w:rsidR="00FA29AF">
        <w:rPr>
          <w:rFonts w:eastAsia="Arial Narrow" w:cs="Arial Narrow"/>
        </w:rPr>
        <w:t>7.2</w:t>
      </w:r>
      <w:r w:rsidR="00F91552">
        <w:rPr>
          <w:rFonts w:eastAsia="Arial Narrow" w:cs="Arial Narrow"/>
        </w:rPr>
        <w:fldChar w:fldCharType="end"/>
      </w:r>
      <w:r w:rsidRPr="00CA2564">
        <w:rPr>
          <w:rFonts w:eastAsia="Arial Narrow" w:cs="Arial Narrow"/>
        </w:rPr>
        <w:t>).</w:t>
      </w:r>
    </w:p>
    <w:p w14:paraId="6F767904" w14:textId="4A7B7D52" w:rsidR="001F4453" w:rsidRPr="00CA2564" w:rsidRDefault="00E51E6C" w:rsidP="00E51E6C">
      <w:pPr>
        <w:spacing w:before="120"/>
        <w:rPr>
          <w:rFonts w:eastAsia="Arial Narrow" w:cs="Arial Narrow"/>
        </w:rPr>
      </w:pPr>
      <w:r w:rsidRPr="00CA2564">
        <w:rPr>
          <w:rFonts w:eastAsia="Arial Narrow" w:cs="Arial Narrow"/>
          <w:b/>
        </w:rPr>
        <w:t>Výskum z USA naznačuje, že v prípade osôb so zdravotným znevýhodnením je podporované zamestnávanie</w:t>
      </w:r>
      <w:r>
        <w:rPr>
          <w:rFonts w:eastAsia="Arial Narrow" w:cs="Arial Narrow"/>
          <w:b/>
        </w:rPr>
        <w:t xml:space="preserve"> (</w:t>
      </w:r>
      <w:r w:rsidR="00970805">
        <w:rPr>
          <w:rFonts w:eastAsia="Arial Narrow" w:cs="Arial Narrow"/>
          <w:b/>
        </w:rPr>
        <w:t xml:space="preserve">podkapitola </w:t>
      </w:r>
      <w:r w:rsidR="00970805">
        <w:rPr>
          <w:rFonts w:eastAsia="Arial Narrow" w:cs="Arial Narrow"/>
          <w:b/>
        </w:rPr>
        <w:fldChar w:fldCharType="begin"/>
      </w:r>
      <w:r w:rsidR="00970805">
        <w:rPr>
          <w:rFonts w:eastAsia="Arial Narrow" w:cs="Arial Narrow"/>
          <w:b/>
        </w:rPr>
        <w:instrText xml:space="preserve"> REF _Ref25235000 \r \h </w:instrText>
      </w:r>
      <w:r w:rsidR="00970805">
        <w:rPr>
          <w:rFonts w:eastAsia="Arial Narrow" w:cs="Arial Narrow"/>
          <w:b/>
        </w:rPr>
      </w:r>
      <w:r w:rsidR="00970805">
        <w:rPr>
          <w:rFonts w:eastAsia="Arial Narrow" w:cs="Arial Narrow"/>
          <w:b/>
        </w:rPr>
        <w:fldChar w:fldCharType="separate"/>
      </w:r>
      <w:r w:rsidR="00FA29AF">
        <w:rPr>
          <w:rFonts w:eastAsia="Arial Narrow" w:cs="Arial Narrow"/>
          <w:b/>
        </w:rPr>
        <w:t>7.2</w:t>
      </w:r>
      <w:r w:rsidR="00970805">
        <w:rPr>
          <w:rFonts w:eastAsia="Arial Narrow" w:cs="Arial Narrow"/>
          <w:b/>
        </w:rPr>
        <w:fldChar w:fldCharType="end"/>
      </w:r>
      <w:r>
        <w:rPr>
          <w:rFonts w:eastAsia="Arial Narrow" w:cs="Arial Narrow"/>
          <w:b/>
        </w:rPr>
        <w:t>)</w:t>
      </w:r>
      <w:r w:rsidRPr="00CA2564">
        <w:rPr>
          <w:rFonts w:eastAsia="Arial Narrow" w:cs="Arial Narrow"/>
          <w:b/>
        </w:rPr>
        <w:t xml:space="preserve"> výhodnejšie ako chránené zamestnanie.</w:t>
      </w:r>
      <w:r w:rsidR="0070047D">
        <w:rPr>
          <w:rFonts w:eastAsia="Arial Narrow" w:cs="Arial Narrow"/>
        </w:rPr>
        <w:t xml:space="preserve"> </w:t>
      </w:r>
      <w:r>
        <w:rPr>
          <w:rFonts w:eastAsia="Arial Narrow" w:cs="Arial Narrow"/>
        </w:rPr>
        <w:t xml:space="preserve">Poskytuje totiž lepšie podmienky pre integráciu </w:t>
      </w:r>
      <w:r w:rsidRPr="00CA2564">
        <w:rPr>
          <w:rFonts w:eastAsia="Arial Narrow" w:cs="Arial Narrow"/>
        </w:rPr>
        <w:t>na trhu práce, aj čo sa týka mzdového ohodnotenia, a pre štát predstavuje nižšie náklady. Jedným z dôvodov je, že</w:t>
      </w:r>
      <w:r w:rsidRPr="00CA2564">
        <w:t xml:space="preserve"> </w:t>
      </w:r>
      <w:r w:rsidRPr="00CA2564">
        <w:rPr>
          <w:rFonts w:eastAsia="Arial Narrow" w:cs="Arial Narrow"/>
        </w:rPr>
        <w:t>zamestnanci v chránenom zamestnaní sú rôznymi nástrojmi podporovaní výrazne dlhšie ako zamestnanci v podporovanom zamestnaní a veľká časť osôb sa z chráneného prostredia nikdy nepresunie na otvorený trh práce (Kregel a Dean, 2002</w:t>
      </w:r>
      <w:r w:rsidR="00180588">
        <w:rPr>
          <w:rFonts w:eastAsia="Arial Narrow" w:cs="Arial Narrow"/>
        </w:rPr>
        <w:t>;</w:t>
      </w:r>
      <w:r w:rsidRPr="00CA2564">
        <w:rPr>
          <w:rFonts w:eastAsia="Arial Narrow" w:cs="Arial Narrow"/>
        </w:rPr>
        <w:t xml:space="preserve"> Cimera, 2011).</w:t>
      </w:r>
    </w:p>
    <w:tbl>
      <w:tblPr>
        <w:tblW w:w="0" w:type="auto"/>
        <w:shd w:val="clear" w:color="auto" w:fill="BDD6EE" w:themeFill="accent1" w:themeFillTint="66"/>
        <w:tblLook w:val="04A0" w:firstRow="1" w:lastRow="0" w:firstColumn="1" w:lastColumn="0" w:noHBand="0" w:noVBand="1"/>
      </w:tblPr>
      <w:tblGrid>
        <w:gridCol w:w="9026"/>
      </w:tblGrid>
      <w:tr w:rsidR="001F4453" w:rsidRPr="00CA2564" w14:paraId="73BEDC26" w14:textId="77777777" w:rsidTr="001F4453">
        <w:tc>
          <w:tcPr>
            <w:tcW w:w="9062" w:type="dxa"/>
            <w:shd w:val="clear" w:color="auto" w:fill="BDD6EE" w:themeFill="accent1" w:themeFillTint="66"/>
          </w:tcPr>
          <w:p w14:paraId="2F0D6EAA" w14:textId="3B906DF1" w:rsidR="001F4453" w:rsidRPr="00225D12" w:rsidRDefault="005B1431" w:rsidP="001F4453">
            <w:pPr>
              <w:spacing w:before="160"/>
              <w:rPr>
                <w:rFonts w:eastAsia="Arial Narrow" w:cs="Arial Narrow"/>
                <w:b/>
                <w:iCs/>
              </w:rPr>
            </w:pPr>
            <w:bookmarkStart w:id="561" w:name="_Ref21087645"/>
            <w:r w:rsidRPr="005B1431">
              <w:rPr>
                <w:rFonts w:eastAsia="Arial Narrow" w:cs="Arial Narrow"/>
                <w:b/>
                <w:iCs/>
              </w:rPr>
              <w:t xml:space="preserve">Box </w:t>
            </w:r>
            <w:r w:rsidR="00A425AB">
              <w:rPr>
                <w:rFonts w:eastAsia="Arial Narrow" w:cs="Arial Narrow"/>
                <w:b/>
                <w:iCs/>
              </w:rPr>
              <w:fldChar w:fldCharType="begin"/>
            </w:r>
            <w:r w:rsidR="00A425AB">
              <w:rPr>
                <w:rFonts w:eastAsia="Arial Narrow" w:cs="Arial Narrow"/>
                <w:b/>
                <w:iCs/>
              </w:rPr>
              <w:instrText xml:space="preserve"> SEQ Box \* ARABIC </w:instrText>
            </w:r>
            <w:r w:rsidR="00A425AB">
              <w:rPr>
                <w:rFonts w:eastAsia="Arial Narrow" w:cs="Arial Narrow"/>
                <w:b/>
                <w:iCs/>
              </w:rPr>
              <w:fldChar w:fldCharType="separate"/>
            </w:r>
            <w:r w:rsidR="00FA29AF">
              <w:rPr>
                <w:rFonts w:eastAsia="Arial Narrow" w:cs="Arial Narrow"/>
                <w:b/>
                <w:iCs/>
                <w:noProof/>
              </w:rPr>
              <w:t>16</w:t>
            </w:r>
            <w:r w:rsidR="00A425AB">
              <w:rPr>
                <w:rFonts w:eastAsia="Arial Narrow" w:cs="Arial Narrow"/>
                <w:b/>
                <w:iCs/>
              </w:rPr>
              <w:fldChar w:fldCharType="end"/>
            </w:r>
            <w:bookmarkEnd w:id="561"/>
            <w:r w:rsidR="001F4453" w:rsidRPr="00AF2705">
              <w:rPr>
                <w:rFonts w:eastAsia="Arial Narrow" w:cs="Arial Narrow"/>
                <w:b/>
              </w:rPr>
              <w:t xml:space="preserve">: </w:t>
            </w:r>
            <w:r w:rsidR="001459C9">
              <w:rPr>
                <w:rFonts w:eastAsia="Arial Narrow" w:cs="Arial Narrow"/>
                <w:b/>
              </w:rPr>
              <w:t>AOTP zamerané na podporu zamestnávania občanov so zdravotným postihnutím</w:t>
            </w:r>
          </w:p>
          <w:p w14:paraId="315B2BED" w14:textId="673798D2" w:rsidR="001F4453" w:rsidRPr="00AF2705" w:rsidRDefault="001459C9" w:rsidP="001F4453">
            <w:pPr>
              <w:spacing w:before="160"/>
              <w:rPr>
                <w:rFonts w:eastAsia="Arial Narrow" w:cs="Arial Narrow"/>
              </w:rPr>
            </w:pPr>
            <w:r w:rsidRPr="00A95538">
              <w:rPr>
                <w:rFonts w:eastAsia="Arial Narrow" w:cs="Arial Narrow"/>
              </w:rPr>
              <w:t>Na podporu zamestnávania</w:t>
            </w:r>
            <w:r w:rsidR="0070047D">
              <w:rPr>
                <w:rFonts w:eastAsia="Arial Narrow" w:cs="Arial Narrow"/>
              </w:rPr>
              <w:t xml:space="preserve"> </w:t>
            </w:r>
            <w:r w:rsidRPr="00A95538">
              <w:rPr>
                <w:rFonts w:eastAsia="Arial Narrow" w:cs="Arial Narrow"/>
              </w:rPr>
              <w:t>OZP</w:t>
            </w:r>
            <w:r w:rsidR="0070047D">
              <w:rPr>
                <w:rFonts w:eastAsia="Arial Narrow" w:cs="Arial Narrow"/>
              </w:rPr>
              <w:t xml:space="preserve"> </w:t>
            </w:r>
            <w:r w:rsidRPr="00A95538">
              <w:rPr>
                <w:rFonts w:eastAsia="Arial Narrow" w:cs="Arial Narrow"/>
              </w:rPr>
              <w:t xml:space="preserve">sú </w:t>
            </w:r>
            <w:r>
              <w:rPr>
                <w:rFonts w:eastAsia="Arial Narrow" w:cs="Arial Narrow"/>
              </w:rPr>
              <w:t xml:space="preserve">podľa </w:t>
            </w:r>
            <w:r w:rsidRPr="00A95538">
              <w:rPr>
                <w:rFonts w:eastAsia="Arial Narrow" w:cs="Arial Narrow"/>
              </w:rPr>
              <w:t>zákon</w:t>
            </w:r>
            <w:r>
              <w:rPr>
                <w:rFonts w:eastAsia="Arial Narrow" w:cs="Arial Narrow"/>
              </w:rPr>
              <w:t>a</w:t>
            </w:r>
            <w:r w:rsidRPr="00A95538">
              <w:rPr>
                <w:rFonts w:eastAsia="Arial Narrow" w:cs="Arial Narrow"/>
              </w:rPr>
              <w:t xml:space="preserve"> o službách zamestnanosti určené </w:t>
            </w:r>
            <w:r>
              <w:rPr>
                <w:rFonts w:eastAsia="Arial Narrow" w:cs="Arial Narrow"/>
              </w:rPr>
              <w:t>nasledovné aktívne opatrenia</w:t>
            </w:r>
            <w:r w:rsidRPr="00A95538">
              <w:rPr>
                <w:rFonts w:eastAsia="Arial Narrow" w:cs="Arial Narrow"/>
              </w:rPr>
              <w:t>:</w:t>
            </w:r>
            <w:r w:rsidRPr="00AF2705" w:rsidDel="001459C9">
              <w:rPr>
                <w:rFonts w:eastAsia="Arial Narrow" w:cs="Arial Narrow"/>
              </w:rPr>
              <w:t xml:space="preserve"> </w:t>
            </w:r>
          </w:p>
          <w:p w14:paraId="11B0F778" w14:textId="77777777" w:rsidR="001F4453" w:rsidRPr="00AF2705" w:rsidRDefault="001F4453" w:rsidP="001F4453">
            <w:pPr>
              <w:rPr>
                <w:rFonts w:cs="Times New Roman"/>
                <w:i/>
              </w:rPr>
            </w:pPr>
            <w:r w:rsidRPr="00AF2705">
              <w:rPr>
                <w:rFonts w:cs="Times New Roman"/>
                <w:i/>
              </w:rPr>
              <w:t>§ 56 - Príspevok na zriadenie chránenej dielne alebo chráneného pracoviska</w:t>
            </w:r>
          </w:p>
          <w:p w14:paraId="4D127E4D" w14:textId="10D320E3" w:rsidR="001F4453" w:rsidRPr="00AF2705" w:rsidRDefault="001F4453" w:rsidP="001F4453">
            <w:pPr>
              <w:rPr>
                <w:rFonts w:cs="Times New Roman"/>
              </w:rPr>
            </w:pPr>
            <w:r w:rsidRPr="00AF2705">
              <w:rPr>
                <w:rFonts w:cs="Times New Roman"/>
              </w:rPr>
              <w:t>Príspevok sa poskytuje na pokrytie časti nákladov na vytvorenie pracovného miesta pre občana so zdravotným postihnutím v chránenom prostredí. Výška príspevku je odvodená od priemernej mzdy v hospodárstve a od miery evidovanej nezamestnanosti v danom okrese. Vytvorené miesto musí existovať najmenej 2 roky.</w:t>
            </w:r>
          </w:p>
          <w:p w14:paraId="5984234B" w14:textId="0D5278DC" w:rsidR="001F4453" w:rsidRDefault="001F4453" w:rsidP="001F4453">
            <w:pPr>
              <w:rPr>
                <w:rFonts w:eastAsia="Arial Narrow" w:cs="Arial Narrow"/>
              </w:rPr>
            </w:pPr>
            <w:r w:rsidRPr="00AF2705">
              <w:rPr>
                <w:rFonts w:cs="Times New Roman"/>
              </w:rPr>
              <w:t>Chránené dielne a chránené pracoviská sú pracovné miesta</w:t>
            </w:r>
            <w:r w:rsidR="000E033A">
              <w:rPr>
                <w:rFonts w:cs="Times New Roman"/>
              </w:rPr>
              <w:t>,</w:t>
            </w:r>
            <w:r w:rsidR="0070047D">
              <w:rPr>
                <w:rFonts w:cs="Times New Roman"/>
              </w:rPr>
              <w:t xml:space="preserve"> </w:t>
            </w:r>
            <w:r w:rsidR="000E033A" w:rsidRPr="00C036E4">
              <w:rPr>
                <w:rFonts w:cs="Times New Roman"/>
              </w:rPr>
              <w:t>kde sú pracovné podmienky vrátane podmienok na pracovný výkon prispôsobené zdravotnému stavu občanov so zdravotným postihnutím,</w:t>
            </w:r>
            <w:r w:rsidR="000E033A">
              <w:rPr>
                <w:rFonts w:cs="Times New Roman"/>
              </w:rPr>
              <w:t xml:space="preserve"> </w:t>
            </w:r>
            <w:r w:rsidRPr="00AF2705">
              <w:rPr>
                <w:rFonts w:cs="Times New Roman"/>
              </w:rPr>
              <w:t xml:space="preserve">ktorí nie sú schopní nájsť si zamestnanie na otvorenom trhu práce, alebo ktorí sa pripravujú na prácu. </w:t>
            </w:r>
            <w:r w:rsidRPr="00AF2705">
              <w:rPr>
                <w:rFonts w:eastAsia="Arial Narrow" w:cs="Arial Narrow"/>
              </w:rPr>
              <w:t>Chránené dielne zamestnávajú aspoň 50</w:t>
            </w:r>
            <w:r w:rsidR="00AF2705">
              <w:rPr>
                <w:rFonts w:eastAsia="Arial Narrow" w:cs="Arial Narrow"/>
              </w:rPr>
              <w:t xml:space="preserve"> </w:t>
            </w:r>
            <w:r w:rsidRPr="00AF2705">
              <w:rPr>
                <w:rFonts w:eastAsia="Arial Narrow" w:cs="Arial Narrow"/>
              </w:rPr>
              <w:t>% zamestnancov so ZP. Chránené pracovisko predstavuje osobitú formu zamestnávania osôb so ZP. Ide o chránené pracovné miesto pre občana so zdravotným postihnutím, ktoré sa nevytvára v chránenej dielni.</w:t>
            </w:r>
          </w:p>
          <w:p w14:paraId="69CD4737" w14:textId="77777777" w:rsidR="001459C9" w:rsidRPr="00BC30EC" w:rsidRDefault="001459C9" w:rsidP="001459C9">
            <w:pPr>
              <w:rPr>
                <w:rFonts w:cs="Times New Roman"/>
                <w:i/>
                <w:szCs w:val="22"/>
              </w:rPr>
            </w:pPr>
            <w:r w:rsidRPr="00BC30EC">
              <w:rPr>
                <w:rFonts w:cs="Times New Roman"/>
                <w:i/>
                <w:szCs w:val="22"/>
              </w:rPr>
              <w:t>§ 56a - Príspevok na udržanie občana so zdravotným postihnutím v zamestnaní</w:t>
            </w:r>
          </w:p>
          <w:p w14:paraId="03320344" w14:textId="77777777" w:rsidR="001459C9" w:rsidRPr="00BC30EC" w:rsidRDefault="001459C9" w:rsidP="001459C9">
            <w:pPr>
              <w:rPr>
                <w:rFonts w:cs="Times New Roman"/>
                <w:szCs w:val="22"/>
              </w:rPr>
            </w:pPr>
            <w:r>
              <w:rPr>
                <w:rFonts w:cs="Times New Roman"/>
                <w:szCs w:val="22"/>
              </w:rPr>
              <w:t>Príspevok je určený pre zamestnávateľa</w:t>
            </w:r>
            <w:r w:rsidRPr="00BC30EC">
              <w:rPr>
                <w:rFonts w:cs="Times New Roman"/>
                <w:szCs w:val="22"/>
              </w:rPr>
              <w:t xml:space="preserve">, ktorý zamestnáva viac ako 25 % občanov so zdravotným postihnutím a zároveň sa nejedná o chránenú dielňu resp. chránené pracovisko. Umožňuje hradiť preddavky zdravotného a sociálneho poistenia a to najviac vo výške 60 % priemernej mzdy v národnom hospodárstve. </w:t>
            </w:r>
          </w:p>
          <w:p w14:paraId="30B40BF7" w14:textId="77777777" w:rsidR="001459C9" w:rsidRPr="00BC30EC" w:rsidRDefault="001459C9" w:rsidP="001459C9">
            <w:pPr>
              <w:rPr>
                <w:rFonts w:cs="Times New Roman"/>
                <w:i/>
                <w:szCs w:val="22"/>
              </w:rPr>
            </w:pPr>
            <w:r w:rsidRPr="00BC30EC">
              <w:rPr>
                <w:rFonts w:cs="Times New Roman"/>
                <w:i/>
                <w:szCs w:val="22"/>
              </w:rPr>
              <w:t>§ 57 - Príspevok občanovi so zdravotným postihnutím na prevádzkovanie alebo vykonávanie samostatnej zárobkovej činnosti</w:t>
            </w:r>
          </w:p>
          <w:p w14:paraId="063BC86C" w14:textId="77777777" w:rsidR="001459C9" w:rsidRPr="00BC30EC" w:rsidRDefault="001459C9" w:rsidP="001459C9">
            <w:pPr>
              <w:rPr>
                <w:rFonts w:cs="Times New Roman"/>
                <w:szCs w:val="22"/>
              </w:rPr>
            </w:pPr>
            <w:r>
              <w:rPr>
                <w:rFonts w:cs="Times New Roman"/>
                <w:szCs w:val="22"/>
              </w:rPr>
              <w:t>Príspevok s</w:t>
            </w:r>
            <w:r w:rsidRPr="00BC30EC">
              <w:rPr>
                <w:rFonts w:cs="Times New Roman"/>
                <w:szCs w:val="22"/>
              </w:rPr>
              <w:t xml:space="preserve">lúži na úhradu nákladov spojených s vykonávaním SZČO, ktorá musí byť prevádzkovaná najmenej 2 roky. Výška sa odvíja od priemernej mzdy v hospodárstve a od miery nezamestnanosti v danom okrese. Oprávneným žiadateľom je osoba, ktorá bola vedená v evidencii uchádzačov o zamestnanie najmenej 3 mesiace. Príspevok sa neposkytuje na úhradu odvodov ani na nájomné. </w:t>
            </w:r>
          </w:p>
          <w:p w14:paraId="3E847881" w14:textId="77777777" w:rsidR="001459C9" w:rsidRPr="00BC30EC" w:rsidRDefault="001459C9" w:rsidP="001459C9">
            <w:pPr>
              <w:rPr>
                <w:rFonts w:cs="Times New Roman"/>
                <w:szCs w:val="22"/>
              </w:rPr>
            </w:pPr>
            <w:r w:rsidRPr="00BC30EC">
              <w:rPr>
                <w:rFonts w:cs="Times New Roman"/>
                <w:i/>
                <w:szCs w:val="22"/>
              </w:rPr>
              <w:t>§</w:t>
            </w:r>
            <w:r w:rsidRPr="00BC30EC">
              <w:rPr>
                <w:rFonts w:cs="Times New Roman"/>
                <w:szCs w:val="22"/>
              </w:rPr>
              <w:t xml:space="preserve"> </w:t>
            </w:r>
            <w:r w:rsidRPr="00BC30EC">
              <w:rPr>
                <w:rFonts w:cs="Times New Roman"/>
                <w:i/>
                <w:szCs w:val="22"/>
              </w:rPr>
              <w:t>59 - Príspevok na činnosť pracovného asistenta</w:t>
            </w:r>
          </w:p>
          <w:p w14:paraId="30C0A6D7" w14:textId="2475BA52" w:rsidR="001459C9" w:rsidRPr="00AF2705" w:rsidRDefault="001459C9" w:rsidP="001459C9">
            <w:pPr>
              <w:rPr>
                <w:rFonts w:cs="Times New Roman"/>
              </w:rPr>
            </w:pPr>
            <w:r w:rsidRPr="00BC30EC">
              <w:rPr>
                <w:rFonts w:cs="Times New Roman"/>
                <w:szCs w:val="22"/>
              </w:rPr>
              <w:t>Poskytuje sa zamestnávateľovi</w:t>
            </w:r>
            <w:r>
              <w:rPr>
                <w:rFonts w:cs="Times New Roman"/>
                <w:szCs w:val="22"/>
              </w:rPr>
              <w:t xml:space="preserve"> resp. </w:t>
            </w:r>
            <w:r w:rsidRPr="00BC30EC">
              <w:rPr>
                <w:rFonts w:cs="Times New Roman"/>
                <w:szCs w:val="22"/>
              </w:rPr>
              <w:t>SZČO</w:t>
            </w:r>
            <w:r>
              <w:rPr>
                <w:rFonts w:cs="Times New Roman"/>
                <w:szCs w:val="22"/>
              </w:rPr>
              <w:t xml:space="preserve"> so zdravotným postihnutím. </w:t>
            </w:r>
            <w:r w:rsidRPr="00BC30EC">
              <w:rPr>
                <w:rFonts w:cs="Times New Roman"/>
                <w:szCs w:val="22"/>
              </w:rPr>
              <w:t>Výška príspevku mesačne je vo výške 41 % - 70 % celkovej ceny práce vypočítanej z priemernej mzdy v hospodárstve.</w:t>
            </w:r>
            <w:r w:rsidR="0070047D">
              <w:rPr>
                <w:rFonts w:cs="Times New Roman"/>
                <w:szCs w:val="22"/>
              </w:rPr>
              <w:t xml:space="preserve"> </w:t>
            </w:r>
          </w:p>
          <w:p w14:paraId="21EDC141" w14:textId="425BA5EC" w:rsidR="001F4453" w:rsidRPr="00AF2705" w:rsidRDefault="001F4453" w:rsidP="001F4453">
            <w:pPr>
              <w:rPr>
                <w:rFonts w:cs="Times New Roman"/>
                <w:i/>
              </w:rPr>
            </w:pPr>
            <w:r w:rsidRPr="00AF2705">
              <w:rPr>
                <w:rFonts w:cs="Times New Roman"/>
                <w:i/>
              </w:rPr>
              <w:t>§ 60 - Príspevok na úhradu prevádzkových nákladov chránenej dielne a</w:t>
            </w:r>
            <w:r w:rsidR="00180588">
              <w:rPr>
                <w:rFonts w:cs="Times New Roman"/>
                <w:i/>
              </w:rPr>
              <w:t>lebo chráneného pracoviska a na </w:t>
            </w:r>
            <w:r w:rsidRPr="00AF2705">
              <w:rPr>
                <w:rFonts w:cs="Times New Roman"/>
                <w:i/>
              </w:rPr>
              <w:t>úhradu nákladov na dopravu zamestnancov</w:t>
            </w:r>
          </w:p>
          <w:p w14:paraId="300122A2" w14:textId="1560E910" w:rsidR="001459C9" w:rsidRDefault="001F4453">
            <w:pPr>
              <w:spacing w:before="160"/>
              <w:rPr>
                <w:rFonts w:cs="Times New Roman"/>
              </w:rPr>
            </w:pPr>
            <w:r w:rsidRPr="00AF2705">
              <w:rPr>
                <w:rFonts w:cs="Times New Roman"/>
              </w:rPr>
              <w:t xml:space="preserve">Príspevok </w:t>
            </w:r>
            <w:r w:rsidR="001459C9">
              <w:rPr>
                <w:rFonts w:cs="Times New Roman"/>
              </w:rPr>
              <w:t xml:space="preserve">je </w:t>
            </w:r>
            <w:r w:rsidRPr="00AF2705">
              <w:rPr>
                <w:rFonts w:cs="Times New Roman"/>
              </w:rPr>
              <w:t>poskytovaný zamestnávateľom resp. SZČO so zdravotným postihnutím. Výška príspevku závisí na miere obmedzenia osoby so zdravotným postihnutím vykonávať zárobk</w:t>
            </w:r>
            <w:r w:rsidR="00180588">
              <w:rPr>
                <w:rFonts w:cs="Times New Roman"/>
              </w:rPr>
              <w:t>ovú činnosť podľa rozhodnutia o </w:t>
            </w:r>
            <w:r w:rsidRPr="00AF2705">
              <w:rPr>
                <w:rFonts w:cs="Times New Roman"/>
              </w:rPr>
              <w:t>invalidite vydaného Sociálnou poisťovňou.</w:t>
            </w:r>
          </w:p>
          <w:p w14:paraId="391B9F66" w14:textId="00B06B6D" w:rsidR="001F4453" w:rsidRPr="00CA2564" w:rsidRDefault="001459C9" w:rsidP="003266C4">
            <w:pPr>
              <w:spacing w:before="160"/>
              <w:rPr>
                <w:rFonts w:eastAsia="Arial Narrow" w:cs="Arial Narrow"/>
              </w:rPr>
            </w:pPr>
            <w:r w:rsidRPr="00A95538">
              <w:rPr>
                <w:rFonts w:eastAsia="Arial Narrow" w:cs="Arial Narrow"/>
              </w:rPr>
              <w:t>Obligatórne (nárokové príspevky) sú poskytované príspevky podľa § 59 a § 60. Zostávajúce príspevky sú poskytované fakultatívne (nenárokové príspevky) na základe schválenia žia</w:t>
            </w:r>
            <w:r w:rsidR="00180588">
              <w:rPr>
                <w:rFonts w:eastAsia="Arial Narrow" w:cs="Arial Narrow"/>
              </w:rPr>
              <w:t>dosti o príspevok vo Výbore pre </w:t>
            </w:r>
            <w:r w:rsidRPr="00A95538">
              <w:rPr>
                <w:rFonts w:eastAsia="Arial Narrow" w:cs="Arial Narrow"/>
              </w:rPr>
              <w:t xml:space="preserve">otázky zamestnanosti zriadeného </w:t>
            </w:r>
            <w:r w:rsidR="003266C4">
              <w:rPr>
                <w:rFonts w:eastAsia="Arial Narrow" w:cs="Arial Narrow"/>
              </w:rPr>
              <w:t>Ú</w:t>
            </w:r>
            <w:r w:rsidR="003266C4" w:rsidRPr="00A95538">
              <w:rPr>
                <w:rFonts w:eastAsia="Arial Narrow" w:cs="Arial Narrow"/>
              </w:rPr>
              <w:t xml:space="preserve">radom </w:t>
            </w:r>
            <w:r w:rsidRPr="00A95538">
              <w:rPr>
                <w:rFonts w:eastAsia="Arial Narrow" w:cs="Arial Narrow"/>
              </w:rPr>
              <w:t>práce, sociálnych vecí a rodiny. To sa odráža aj v samotnej využiteľnosti príspevkov.</w:t>
            </w:r>
          </w:p>
        </w:tc>
      </w:tr>
    </w:tbl>
    <w:p w14:paraId="5FB631F7" w14:textId="262F7AA1" w:rsidR="00E51E6C" w:rsidRDefault="00FB533B" w:rsidP="00E51E6C">
      <w:pPr>
        <w:spacing w:before="120"/>
        <w:rPr>
          <w:rFonts w:eastAsia="Arial Narrow" w:cs="Arial Narrow"/>
        </w:rPr>
      </w:pPr>
      <w:r w:rsidRPr="00FB533B">
        <w:rPr>
          <w:b/>
        </w:rPr>
        <w:t>Po podpore chráneného zamestnávania tvoril druhú najväčšiu časť výdavkov na nástroje pre občanov so ZP príspevok na činnosť pracovného asistenta (5,8 mil. eur).</w:t>
      </w:r>
      <w:r>
        <w:t xml:space="preserve"> </w:t>
      </w:r>
      <w:r w:rsidR="00E51E6C" w:rsidRPr="00CA2564">
        <w:rPr>
          <w:rFonts w:eastAsia="Arial Narrow" w:cs="Arial Narrow"/>
        </w:rPr>
        <w:t xml:space="preserve">V roku 2018 bolo podporených 1 128 pracovných asistentov, ktorí pomáhali 2 273 občanom so ZP. </w:t>
      </w:r>
      <w:r w:rsidR="00E51E6C" w:rsidRPr="00AF2705">
        <w:rPr>
          <w:rFonts w:cs="Times New Roman"/>
        </w:rPr>
        <w:t xml:space="preserve">Výška </w:t>
      </w:r>
      <w:r w:rsidR="00E51E6C">
        <w:rPr>
          <w:rFonts w:cs="Times New Roman"/>
        </w:rPr>
        <w:t xml:space="preserve">mesačného </w:t>
      </w:r>
      <w:r w:rsidR="00E51E6C" w:rsidRPr="00AF2705">
        <w:rPr>
          <w:rFonts w:cs="Times New Roman"/>
        </w:rPr>
        <w:t>príspevku je vo výške 41 % - 70 % celkovej ceny práce vypočítanej z priemernej mzdy v hospodárstve</w:t>
      </w:r>
      <w:r w:rsidR="00E51E6C" w:rsidRPr="00AF2705">
        <w:rPr>
          <w:rFonts w:cs="Times New Roman"/>
          <w:b/>
        </w:rPr>
        <w:t xml:space="preserve">. </w:t>
      </w:r>
      <w:r w:rsidR="00E51E6C" w:rsidRPr="00CA2564">
        <w:rPr>
          <w:rFonts w:eastAsia="Arial Narrow" w:cs="Arial Narrow"/>
        </w:rPr>
        <w:t>Pracovní asistenti sú dôležitým nástrojom na podporu integrácie osôb so ZP na otvorenom trhu práce, ktorý je využívaný vo väčšine krajín EÚ. Často býva súčasťou širších programov zameraných na integráciu osôb so ZP na trhu práce, rehabilitáciu či prispôsobenie pracovných podmienok</w:t>
      </w:r>
      <w:r w:rsidR="00E51E6C">
        <w:rPr>
          <w:rFonts w:eastAsia="Arial Narrow" w:cs="Arial Narrow"/>
        </w:rPr>
        <w:t xml:space="preserve"> (Heckl a Pecher, 2008)</w:t>
      </w:r>
      <w:r w:rsidR="00E51E6C" w:rsidRPr="00CA2564">
        <w:rPr>
          <w:rFonts w:eastAsia="Arial Narrow" w:cs="Arial Narrow"/>
        </w:rPr>
        <w:t>.</w:t>
      </w:r>
    </w:p>
    <w:p w14:paraId="6BA7B44F" w14:textId="77777777" w:rsidR="00E51E6C" w:rsidRDefault="00E51E6C" w:rsidP="00E51E6C">
      <w:pPr>
        <w:rPr>
          <w:rFonts w:eastAsia="Arial Narrow" w:cs="Arial Narrow"/>
        </w:rPr>
      </w:pPr>
      <w:r w:rsidRPr="00AF2705">
        <w:rPr>
          <w:rFonts w:eastAsia="Arial Narrow" w:cs="Arial Narrow"/>
          <w:b/>
        </w:rPr>
        <w:t xml:space="preserve">Na Slovensku sa </w:t>
      </w:r>
      <w:r>
        <w:rPr>
          <w:rFonts w:eastAsia="Arial Narrow" w:cs="Arial Narrow"/>
          <w:b/>
        </w:rPr>
        <w:t>pracovná</w:t>
      </w:r>
      <w:r w:rsidRPr="00AF2705">
        <w:rPr>
          <w:rFonts w:eastAsia="Arial Narrow" w:cs="Arial Narrow"/>
          <w:b/>
        </w:rPr>
        <w:t xml:space="preserve"> asistencia využíva primárne v kontexte chráneného zamestnávania. </w:t>
      </w:r>
      <w:r w:rsidRPr="00CA2564">
        <w:rPr>
          <w:rFonts w:eastAsia="Arial Narrow" w:cs="Arial Narrow"/>
        </w:rPr>
        <w:t xml:space="preserve">Až 93,4 % občanov so ZP, ktorí v roku 2018 využívali činnosť pracovného asistenta, pracovali v rovnakom roku na pracovnom mieste, ktoré bolo podporené príspevkom na prevádzku chránenej dielne alebo chráneného pracoviska. </w:t>
      </w:r>
      <w:r>
        <w:rPr>
          <w:rFonts w:eastAsia="Arial Narrow" w:cs="Arial Narrow"/>
        </w:rPr>
        <w:t xml:space="preserve">Pracovný asistent obyčajne asistuje viacerým ľuďom a v prípade, že asistovaný je práceneschopný alebo z iného dôvodu nie je na pracovisku, sa náklady na asistenciu nepreplácajú. To vytvára riziko pre zamestnávateľov, zvlášť tých s menším počtom zamestnancov, ktorí sú OZP. </w:t>
      </w:r>
      <w:r w:rsidRPr="00CA2564">
        <w:rPr>
          <w:rFonts w:eastAsia="Arial Narrow" w:cs="Arial Narrow"/>
        </w:rPr>
        <w:t xml:space="preserve">Medzi </w:t>
      </w:r>
      <w:r>
        <w:rPr>
          <w:rFonts w:eastAsia="Arial Narrow" w:cs="Arial Narrow"/>
        </w:rPr>
        <w:t xml:space="preserve">ďalšie </w:t>
      </w:r>
      <w:r w:rsidRPr="00CA2564">
        <w:rPr>
          <w:rFonts w:eastAsia="Arial Narrow" w:cs="Arial Narrow"/>
        </w:rPr>
        <w:t xml:space="preserve">dôvody slabého využitia nástroja zamestnávateľmi na otvorenom trhu práce môže patriť napríklad nízka miera informovanosti alebo nedostatočná výška príspevku na to, aby bol nástroj </w:t>
      </w:r>
      <w:r>
        <w:rPr>
          <w:rFonts w:eastAsia="Arial Narrow" w:cs="Arial Narrow"/>
        </w:rPr>
        <w:t>pre zamestnávateľov atraktívny.</w:t>
      </w:r>
    </w:p>
    <w:p w14:paraId="6E021001" w14:textId="7C9BF14A" w:rsidR="00E51E6C" w:rsidRDefault="00E51E6C" w:rsidP="00E51E6C">
      <w:pPr>
        <w:spacing w:before="240"/>
        <w:rPr>
          <w:rFonts w:eastAsia="Arial Narrow" w:cs="Arial Narrow"/>
        </w:rPr>
      </w:pPr>
      <w:r w:rsidRPr="00CA2564">
        <w:rPr>
          <w:rFonts w:eastAsia="Arial Narrow" w:cs="Arial Narrow"/>
          <w:b/>
        </w:rPr>
        <w:t>Ostatné nástroje AOTP pre občanov so zdravotným postihnutím sú využívané len v minimálnej miere.</w:t>
      </w:r>
      <w:r w:rsidRPr="00CA2564">
        <w:rPr>
          <w:rFonts w:eastAsia="Arial Narrow" w:cs="Arial Narrow"/>
        </w:rPr>
        <w:t xml:space="preserve"> Príspevkom pre zamestnávateľa na udržanie občana so ZP v zamestnaní bolo v roku 2018 bolo</w:t>
      </w:r>
      <w:r w:rsidR="0070047D">
        <w:rPr>
          <w:rFonts w:eastAsia="Arial Narrow" w:cs="Arial Narrow"/>
        </w:rPr>
        <w:t xml:space="preserve"> </w:t>
      </w:r>
      <w:r w:rsidRPr="00CA2564">
        <w:rPr>
          <w:rFonts w:eastAsia="Arial Narrow" w:cs="Arial Narrow"/>
        </w:rPr>
        <w:t>podporených len 22 pracovných miest. Podobne bol príspevok občanovi so ZP na prevádzkovanie alebo vykonávanie samostatnej zárobkovej činnosti využitý len v 76 prípadoch.</w:t>
      </w:r>
    </w:p>
    <w:p w14:paraId="1821D2B3" w14:textId="602CE495" w:rsidR="00EF1973" w:rsidRPr="00D3189B" w:rsidRDefault="00EF1973" w:rsidP="00E51E6C">
      <w:pPr>
        <w:spacing w:before="240"/>
        <w:rPr>
          <w:color w:val="0070C0"/>
        </w:rPr>
      </w:pPr>
      <w:r>
        <w:rPr>
          <w:color w:val="0070C0"/>
        </w:rPr>
        <w:t>Zákonná povinnosť zamestnávania osôb so zdravotným postihnutím</w:t>
      </w:r>
    </w:p>
    <w:p w14:paraId="7E738E5A" w14:textId="663C5065" w:rsidR="00EA7FF5" w:rsidRPr="00CA2564" w:rsidRDefault="00EA7FF5" w:rsidP="009E6C4C">
      <w:r w:rsidRPr="00CA2564">
        <w:rPr>
          <w:b/>
        </w:rPr>
        <w:t xml:space="preserve">Zamestnávanie OZP na otvorenom trhu práce má </w:t>
      </w:r>
      <w:r w:rsidR="00504136">
        <w:rPr>
          <w:b/>
        </w:rPr>
        <w:t>podporiť</w:t>
      </w:r>
      <w:r w:rsidR="00504136" w:rsidRPr="00CA2564">
        <w:rPr>
          <w:b/>
        </w:rPr>
        <w:t xml:space="preserve"> </w:t>
      </w:r>
      <w:r w:rsidRPr="00CA2564">
        <w:rPr>
          <w:b/>
        </w:rPr>
        <w:t xml:space="preserve">legislatívna povinnosť zamestnávateľov tieto osoby zamestnávať. </w:t>
      </w:r>
      <w:r w:rsidRPr="00CA2564">
        <w:t>Zákon o službách v zamestnanosti ukladá zamestnávateľom povinnosť zamestnávať občanov so zdravotným postihnutím v rozsahu 3,2 % z celkového p</w:t>
      </w:r>
      <w:r w:rsidR="00180588">
        <w:t>očtu zamestnancov v prípade, ak </w:t>
      </w:r>
      <w:r w:rsidRPr="00CA2564">
        <w:t>zamestnávajú aspoň 20 zamestnancov</w:t>
      </w:r>
      <w:r w:rsidR="00180588">
        <w:t>,</w:t>
      </w:r>
      <w:r w:rsidRPr="00CA2564">
        <w:t xml:space="preserve"> </w:t>
      </w:r>
      <w:r w:rsidR="009374A7" w:rsidRPr="00A12278">
        <w:t>a ak úrad práce v evidencii uchádzačov o zamestnanie vedie</w:t>
      </w:r>
      <w:r w:rsidR="00AF6038">
        <w:t xml:space="preserve"> občanov so zdravotným postihnutím </w:t>
      </w:r>
      <w:r w:rsidR="00AF6038" w:rsidRPr="00875CD4">
        <w:t>v počte, ktorý predst</w:t>
      </w:r>
      <w:r w:rsidR="00AF6038">
        <w:t>avuje 3,2 % z celkové</w:t>
      </w:r>
      <w:r w:rsidR="00FB533B">
        <w:t>ho</w:t>
      </w:r>
      <w:r w:rsidR="00AF6038">
        <w:t xml:space="preserve"> počtu ich</w:t>
      </w:r>
      <w:r w:rsidR="00AF6038" w:rsidRPr="00875CD4">
        <w:t xml:space="preserve"> zamestnancov</w:t>
      </w:r>
      <w:r w:rsidRPr="00CA2564">
        <w:t xml:space="preserve">. </w:t>
      </w:r>
      <w:r w:rsidR="007F7392">
        <w:t xml:space="preserve">Pre porovnanie, efektívny </w:t>
      </w:r>
      <w:r w:rsidR="00771B6A">
        <w:t>podiel</w:t>
      </w:r>
      <w:r w:rsidR="007F7392">
        <w:t xml:space="preserve"> </w:t>
      </w:r>
      <w:r w:rsidR="00FB533B">
        <w:t>poberateľov invalidného dôchodku</w:t>
      </w:r>
      <w:r w:rsidR="007F7392">
        <w:t xml:space="preserve"> pre účel plnenia povinného podielu </w:t>
      </w:r>
      <w:r w:rsidR="00180588">
        <w:t>na celkovej populácii vo </w:t>
      </w:r>
      <w:r w:rsidR="00771B6A">
        <w:t>veku 18 až 65 rokov bol v roku 2017 na úrovni 13,6 %.</w:t>
      </w:r>
      <w:r w:rsidR="00EA64DF">
        <w:rPr>
          <w:rStyle w:val="Odkaznapoznmkupodiarou"/>
        </w:rPr>
        <w:footnoteReference w:id="342"/>
      </w:r>
      <w:r w:rsidR="00EA64DF">
        <w:t xml:space="preserve"> </w:t>
      </w:r>
      <w:r w:rsidRPr="00CA2564">
        <w:t>Zamestnávateľ, ktorý nesplní uvedenú zákonnú povinnosť si môže zvoliť jej náhradné plnenie (</w:t>
      </w:r>
      <w:r w:rsidRPr="00CA2564">
        <w:fldChar w:fldCharType="begin"/>
      </w:r>
      <w:r w:rsidRPr="00CA2564">
        <w:instrText xml:space="preserve"> REF _Ref15145698 \h  \* MERGEFORMAT </w:instrText>
      </w:r>
      <w:r w:rsidRPr="00CA2564">
        <w:fldChar w:fldCharType="separate"/>
      </w:r>
      <w:r w:rsidR="00FA29AF" w:rsidRPr="00FA29AF">
        <w:rPr>
          <w:szCs w:val="22"/>
        </w:rPr>
        <w:t xml:space="preserve">Tabuľka </w:t>
      </w:r>
      <w:r w:rsidR="00FA29AF" w:rsidRPr="00FA29AF">
        <w:rPr>
          <w:noProof/>
          <w:szCs w:val="22"/>
        </w:rPr>
        <w:t>25</w:t>
      </w:r>
      <w:r w:rsidRPr="00CA2564">
        <w:fldChar w:fldCharType="end"/>
      </w:r>
      <w:r w:rsidRPr="00CA2564">
        <w:t>).</w:t>
      </w:r>
    </w:p>
    <w:p w14:paraId="32290D6E" w14:textId="1B23CC4B" w:rsidR="00EA7FF5" w:rsidRPr="00CA2564" w:rsidRDefault="00EA7FF5" w:rsidP="009E6C4C">
      <w:pPr>
        <w:spacing w:before="160"/>
        <w:rPr>
          <w:rFonts w:eastAsia="Arial Narrow" w:cs="Arial Narrow"/>
        </w:rPr>
      </w:pPr>
      <w:r w:rsidRPr="00CA2564">
        <w:rPr>
          <w:rFonts w:eastAsia="Arial Narrow" w:cs="Arial Narrow"/>
          <w:b/>
        </w:rPr>
        <w:t xml:space="preserve">Zamestnávatelia vykazujú plnenie zákonnej povinnosti zamestnávať OZP nad stanovený rozsah. </w:t>
      </w:r>
      <w:r w:rsidRPr="00CA2564">
        <w:rPr>
          <w:rFonts w:eastAsia="Arial Narrow" w:cs="Arial Narrow"/>
        </w:rPr>
        <w:t>Celkový počet započítaných OZP u všetkých dotknutých zamestnávateľov každý rok výrazne presahuje počet OZP potrebný na splnenie povinnosti o zamestnávaní 3,2 % podielu (</w:t>
      </w:r>
      <w:r w:rsidRPr="00CA2564">
        <w:rPr>
          <w:rFonts w:eastAsia="Arial Narrow" w:cs="Arial Narrow"/>
        </w:rPr>
        <w:fldChar w:fldCharType="begin"/>
      </w:r>
      <w:r w:rsidRPr="00CA2564">
        <w:rPr>
          <w:rFonts w:eastAsia="Arial Narrow" w:cs="Arial Narrow"/>
        </w:rPr>
        <w:instrText xml:space="preserve"> REF _Ref15190713 \h  \* MERGEFORMAT </w:instrText>
      </w:r>
      <w:r w:rsidRPr="00CA2564">
        <w:rPr>
          <w:rFonts w:eastAsia="Arial Narrow" w:cs="Arial Narrow"/>
        </w:rPr>
      </w:r>
      <w:r w:rsidRPr="00CA2564">
        <w:rPr>
          <w:rFonts w:eastAsia="Arial Narrow" w:cs="Arial Narrow"/>
        </w:rPr>
        <w:fldChar w:fldCharType="separate"/>
      </w:r>
      <w:r w:rsidR="00FA29AF" w:rsidRPr="00FA29AF">
        <w:t xml:space="preserve">Graf </w:t>
      </w:r>
      <w:r w:rsidR="00FA29AF" w:rsidRPr="00FA29AF">
        <w:rPr>
          <w:noProof/>
        </w:rPr>
        <w:t>42</w:t>
      </w:r>
      <w:r w:rsidRPr="00CA2564">
        <w:rPr>
          <w:rFonts w:eastAsia="Arial Narrow" w:cs="Arial Narrow"/>
        </w:rPr>
        <w:fldChar w:fldCharType="end"/>
      </w:r>
      <w:r w:rsidRPr="00CA2564">
        <w:rPr>
          <w:rFonts w:eastAsia="Arial Narrow" w:cs="Arial Narrow"/>
        </w:rPr>
        <w:t>). Odvody za neplnenie povinného podielu (prepočítané na počty osôb) sú pomerne málo využívané, a ich absolútna hodnota aj podiel na celkovom plnení majú klesajúci trend</w:t>
      </w:r>
      <w:r w:rsidR="005870C1">
        <w:rPr>
          <w:rFonts w:eastAsia="Arial Narrow" w:cs="Arial Narrow"/>
        </w:rPr>
        <w:t xml:space="preserve">, čo </w:t>
      </w:r>
      <w:r w:rsidR="005870C1" w:rsidRPr="003171F5">
        <w:rPr>
          <w:rFonts w:eastAsia="Arial Narrow" w:cs="Arial Narrow"/>
        </w:rPr>
        <w:t>svedčí o rastúcom záujme zamestnávate</w:t>
      </w:r>
      <w:r w:rsidR="005870C1">
        <w:rPr>
          <w:rFonts w:eastAsia="Arial Narrow" w:cs="Arial Narrow"/>
        </w:rPr>
        <w:t>ľov uprednostňovať zamestnávanie</w:t>
      </w:r>
      <w:r w:rsidR="00180588">
        <w:rPr>
          <w:rFonts w:eastAsia="Arial Narrow" w:cs="Arial Narrow"/>
        </w:rPr>
        <w:t xml:space="preserve"> OZP a </w:t>
      </w:r>
      <w:r w:rsidR="005870C1" w:rsidRPr="003171F5">
        <w:rPr>
          <w:rFonts w:eastAsia="Arial Narrow" w:cs="Arial Narrow"/>
        </w:rPr>
        <w:t>náhradnú formu zadávania zákazok pred platením odvodu za neplnenie povinného podielu</w:t>
      </w:r>
      <w:r w:rsidRPr="00CA2564">
        <w:rPr>
          <w:rFonts w:eastAsia="Arial Narrow" w:cs="Arial Narrow"/>
        </w:rPr>
        <w:t>. V roku 2017 zaplatili zamestnávatelia v rámci plnenia povinnosti o zamestnávaní 3,2 % podielu zamestnancov so zdravotným postihnutím</w:t>
      </w:r>
      <w:r w:rsidR="0070047D">
        <w:rPr>
          <w:rFonts w:eastAsia="Arial Narrow" w:cs="Arial Narrow"/>
        </w:rPr>
        <w:t xml:space="preserve"> </w:t>
      </w:r>
      <w:r w:rsidRPr="00CA2564">
        <w:rPr>
          <w:rFonts w:eastAsia="Arial Narrow" w:cs="Arial Narrow"/>
        </w:rPr>
        <w:t>odvody vo výške 1,8 mil. eur.</w:t>
      </w:r>
    </w:p>
    <w:p w14:paraId="6BF4FCD1" w14:textId="77777777" w:rsidR="00EA7FF5" w:rsidRPr="00BD458A" w:rsidRDefault="00EA7FF5" w:rsidP="0045503A">
      <w:pPr>
        <w:spacing w:after="0"/>
        <w:rPr>
          <w:b/>
          <w:sz w:val="20"/>
        </w:rPr>
      </w:pPr>
      <w:bookmarkStart w:id="562" w:name="_Ref15145698"/>
      <w:bookmarkStart w:id="563" w:name="_Toc17469481"/>
      <w:bookmarkStart w:id="564" w:name="_Toc34156864"/>
      <w:r w:rsidRPr="00BD458A">
        <w:rPr>
          <w:b/>
          <w:sz w:val="20"/>
        </w:rPr>
        <w:t xml:space="preserve">Tabuľka </w:t>
      </w:r>
      <w:r w:rsidRPr="00BD458A">
        <w:rPr>
          <w:b/>
          <w:noProof/>
          <w:sz w:val="20"/>
        </w:rPr>
        <w:fldChar w:fldCharType="begin"/>
      </w:r>
      <w:r w:rsidRPr="00BD458A">
        <w:rPr>
          <w:b/>
          <w:noProof/>
          <w:sz w:val="20"/>
        </w:rPr>
        <w:instrText xml:space="preserve"> SEQ Tabuľka \* ARABIC </w:instrText>
      </w:r>
      <w:r w:rsidRPr="00BD458A">
        <w:rPr>
          <w:b/>
          <w:noProof/>
          <w:sz w:val="20"/>
        </w:rPr>
        <w:fldChar w:fldCharType="separate"/>
      </w:r>
      <w:r w:rsidR="00FA29AF">
        <w:rPr>
          <w:b/>
          <w:noProof/>
          <w:sz w:val="20"/>
        </w:rPr>
        <w:t>25</w:t>
      </w:r>
      <w:r w:rsidRPr="00BD458A">
        <w:rPr>
          <w:b/>
          <w:noProof/>
          <w:sz w:val="20"/>
        </w:rPr>
        <w:fldChar w:fldCharType="end"/>
      </w:r>
      <w:bookmarkEnd w:id="562"/>
      <w:r w:rsidRPr="00BD458A">
        <w:rPr>
          <w:b/>
          <w:sz w:val="20"/>
        </w:rPr>
        <w:t>: Možnosti plnenia zákonnej povinnosti zamestnávania OZP</w:t>
      </w:r>
      <w:bookmarkEnd w:id="563"/>
      <w:bookmarkEnd w:id="564"/>
    </w:p>
    <w:tbl>
      <w:tblPr>
        <w:tblW w:w="9072" w:type="dxa"/>
        <w:tblCellMar>
          <w:left w:w="70" w:type="dxa"/>
          <w:right w:w="70" w:type="dxa"/>
        </w:tblCellMar>
        <w:tblLook w:val="04A0" w:firstRow="1" w:lastRow="0" w:firstColumn="1" w:lastColumn="0" w:noHBand="0" w:noVBand="1"/>
      </w:tblPr>
      <w:tblGrid>
        <w:gridCol w:w="4253"/>
        <w:gridCol w:w="4819"/>
      </w:tblGrid>
      <w:tr w:rsidR="00210ECB" w:rsidRPr="00210ECB" w14:paraId="1FC65A40" w14:textId="77777777" w:rsidTr="00210ECB">
        <w:trPr>
          <w:trHeight w:val="300"/>
        </w:trPr>
        <w:tc>
          <w:tcPr>
            <w:tcW w:w="4253" w:type="dxa"/>
            <w:tcBorders>
              <w:top w:val="single" w:sz="4" w:space="0" w:color="auto"/>
              <w:left w:val="nil"/>
              <w:bottom w:val="single" w:sz="4" w:space="0" w:color="auto"/>
              <w:right w:val="nil"/>
            </w:tcBorders>
            <w:shd w:val="clear" w:color="000000" w:fill="FFFFFF"/>
            <w:vAlign w:val="center"/>
            <w:hideMark/>
          </w:tcPr>
          <w:p w14:paraId="0651676B" w14:textId="77777777" w:rsidR="00210ECB" w:rsidRPr="00210ECB" w:rsidRDefault="00210ECB" w:rsidP="00210ECB">
            <w:pPr>
              <w:spacing w:after="0" w:line="240" w:lineRule="auto"/>
              <w:rPr>
                <w:rFonts w:eastAsia="Times New Roman" w:cs="Times New Roman"/>
                <w:b/>
                <w:bCs/>
                <w:color w:val="000000"/>
                <w:sz w:val="20"/>
                <w:lang w:eastAsia="sk-SK"/>
              </w:rPr>
            </w:pPr>
            <w:r w:rsidRPr="00210ECB">
              <w:rPr>
                <w:rFonts w:eastAsia="Times New Roman" w:cs="Times New Roman"/>
                <w:b/>
                <w:bCs/>
                <w:color w:val="000000"/>
                <w:sz w:val="20"/>
                <w:szCs w:val="22"/>
                <w:lang w:eastAsia="sk-SK"/>
              </w:rPr>
              <w:t>Spôsob plnenia</w:t>
            </w:r>
          </w:p>
        </w:tc>
        <w:tc>
          <w:tcPr>
            <w:tcW w:w="4819" w:type="dxa"/>
            <w:tcBorders>
              <w:top w:val="single" w:sz="4" w:space="0" w:color="auto"/>
              <w:left w:val="nil"/>
              <w:bottom w:val="single" w:sz="4" w:space="0" w:color="auto"/>
              <w:right w:val="nil"/>
            </w:tcBorders>
            <w:shd w:val="clear" w:color="000000" w:fill="FFFFFF"/>
            <w:vAlign w:val="center"/>
            <w:hideMark/>
          </w:tcPr>
          <w:p w14:paraId="7BF92326" w14:textId="77777777" w:rsidR="00210ECB" w:rsidRPr="00210ECB" w:rsidRDefault="00210ECB" w:rsidP="00210ECB">
            <w:pPr>
              <w:spacing w:after="0" w:line="240" w:lineRule="auto"/>
              <w:rPr>
                <w:rFonts w:eastAsia="Times New Roman" w:cs="Times New Roman"/>
                <w:b/>
                <w:bCs/>
                <w:color w:val="000000"/>
                <w:sz w:val="20"/>
                <w:lang w:eastAsia="sk-SK"/>
              </w:rPr>
            </w:pPr>
            <w:r w:rsidRPr="00210ECB">
              <w:rPr>
                <w:rFonts w:eastAsia="Times New Roman" w:cs="Times New Roman"/>
                <w:b/>
                <w:bCs/>
                <w:color w:val="000000"/>
                <w:sz w:val="20"/>
                <w:szCs w:val="22"/>
                <w:lang w:eastAsia="sk-SK"/>
              </w:rPr>
              <w:t xml:space="preserve">Spôsob započítania </w:t>
            </w:r>
          </w:p>
        </w:tc>
      </w:tr>
      <w:tr w:rsidR="00210ECB" w:rsidRPr="00210ECB" w14:paraId="6E8FF479" w14:textId="77777777" w:rsidTr="00210ECB">
        <w:trPr>
          <w:trHeight w:val="300"/>
        </w:trPr>
        <w:tc>
          <w:tcPr>
            <w:tcW w:w="4253" w:type="dxa"/>
            <w:tcBorders>
              <w:top w:val="nil"/>
              <w:left w:val="nil"/>
              <w:bottom w:val="nil"/>
              <w:right w:val="nil"/>
            </w:tcBorders>
            <w:shd w:val="clear" w:color="000000" w:fill="FFFFFF"/>
            <w:vAlign w:val="center"/>
            <w:hideMark/>
          </w:tcPr>
          <w:p w14:paraId="1780FD07" w14:textId="77777777" w:rsidR="00210ECB" w:rsidRPr="00210ECB" w:rsidRDefault="00210ECB" w:rsidP="00210ECB">
            <w:pPr>
              <w:spacing w:after="0" w:line="240" w:lineRule="auto"/>
              <w:rPr>
                <w:rFonts w:eastAsia="Times New Roman" w:cs="Times New Roman"/>
                <w:color w:val="000000"/>
                <w:sz w:val="20"/>
                <w:lang w:eastAsia="sk-SK"/>
              </w:rPr>
            </w:pPr>
            <w:r w:rsidRPr="00210ECB">
              <w:rPr>
                <w:rFonts w:eastAsia="Times New Roman" w:cs="Times New Roman"/>
                <w:bCs/>
                <w:color w:val="000000"/>
                <w:sz w:val="20"/>
                <w:szCs w:val="22"/>
                <w:lang w:eastAsia="sk-SK"/>
              </w:rPr>
              <w:t>Zamestnávanie občana s PSVZČ do 70%</w:t>
            </w:r>
          </w:p>
        </w:tc>
        <w:tc>
          <w:tcPr>
            <w:tcW w:w="4819" w:type="dxa"/>
            <w:tcBorders>
              <w:top w:val="nil"/>
              <w:left w:val="nil"/>
              <w:bottom w:val="nil"/>
              <w:right w:val="nil"/>
            </w:tcBorders>
            <w:shd w:val="clear" w:color="000000" w:fill="FFFFFF"/>
            <w:vAlign w:val="center"/>
            <w:hideMark/>
          </w:tcPr>
          <w:p w14:paraId="4A77BCB9" w14:textId="77777777" w:rsidR="00210ECB" w:rsidRPr="00210ECB" w:rsidRDefault="00210ECB" w:rsidP="00210ECB">
            <w:pPr>
              <w:spacing w:after="0" w:line="240" w:lineRule="auto"/>
              <w:rPr>
                <w:rFonts w:eastAsia="Times New Roman" w:cs="Times New Roman"/>
                <w:color w:val="000000"/>
                <w:sz w:val="20"/>
                <w:lang w:eastAsia="sk-SK"/>
              </w:rPr>
            </w:pPr>
            <w:r w:rsidRPr="00210ECB">
              <w:rPr>
                <w:rFonts w:eastAsia="Times New Roman" w:cs="Times New Roman"/>
                <w:color w:val="000000"/>
                <w:sz w:val="20"/>
                <w:szCs w:val="22"/>
                <w:lang w:eastAsia="sk-SK"/>
              </w:rPr>
              <w:t>Započítava sa ako 1 občan so ZP</w:t>
            </w:r>
          </w:p>
        </w:tc>
      </w:tr>
      <w:tr w:rsidR="00210ECB" w:rsidRPr="00210ECB" w14:paraId="7B6390D3" w14:textId="77777777" w:rsidTr="00210ECB">
        <w:trPr>
          <w:trHeight w:val="300"/>
        </w:trPr>
        <w:tc>
          <w:tcPr>
            <w:tcW w:w="4253" w:type="dxa"/>
            <w:tcBorders>
              <w:top w:val="nil"/>
              <w:left w:val="nil"/>
              <w:bottom w:val="nil"/>
              <w:right w:val="nil"/>
            </w:tcBorders>
            <w:shd w:val="clear" w:color="000000" w:fill="FFFFFF"/>
            <w:vAlign w:val="center"/>
            <w:hideMark/>
          </w:tcPr>
          <w:p w14:paraId="23A2BC0C" w14:textId="77777777" w:rsidR="00210ECB" w:rsidRPr="00210ECB" w:rsidRDefault="00210ECB" w:rsidP="00210ECB">
            <w:pPr>
              <w:spacing w:after="0" w:line="240" w:lineRule="auto"/>
              <w:rPr>
                <w:rFonts w:eastAsia="Times New Roman" w:cs="Times New Roman"/>
                <w:color w:val="000000"/>
                <w:sz w:val="20"/>
                <w:lang w:eastAsia="sk-SK"/>
              </w:rPr>
            </w:pPr>
            <w:r w:rsidRPr="00210ECB">
              <w:rPr>
                <w:rFonts w:eastAsia="Times New Roman" w:cs="Times New Roman"/>
                <w:bCs/>
                <w:color w:val="000000"/>
                <w:sz w:val="20"/>
                <w:szCs w:val="22"/>
                <w:lang w:eastAsia="sk-SK"/>
              </w:rPr>
              <w:t>Zamestnávanie občana s PSVZČ nad 70%</w:t>
            </w:r>
          </w:p>
        </w:tc>
        <w:tc>
          <w:tcPr>
            <w:tcW w:w="4819" w:type="dxa"/>
            <w:tcBorders>
              <w:top w:val="nil"/>
              <w:left w:val="nil"/>
              <w:bottom w:val="nil"/>
              <w:right w:val="nil"/>
            </w:tcBorders>
            <w:shd w:val="clear" w:color="000000" w:fill="FFFFFF"/>
            <w:vAlign w:val="center"/>
            <w:hideMark/>
          </w:tcPr>
          <w:p w14:paraId="3514D607" w14:textId="77777777" w:rsidR="00210ECB" w:rsidRPr="00210ECB" w:rsidRDefault="00210ECB" w:rsidP="00210ECB">
            <w:pPr>
              <w:spacing w:after="0" w:line="240" w:lineRule="auto"/>
              <w:rPr>
                <w:rFonts w:eastAsia="Times New Roman" w:cs="Times New Roman"/>
                <w:color w:val="000000"/>
                <w:sz w:val="20"/>
                <w:lang w:eastAsia="sk-SK"/>
              </w:rPr>
            </w:pPr>
            <w:r w:rsidRPr="00210ECB">
              <w:rPr>
                <w:rFonts w:eastAsia="Times New Roman" w:cs="Times New Roman"/>
                <w:color w:val="000000"/>
                <w:sz w:val="20"/>
                <w:szCs w:val="22"/>
                <w:lang w:eastAsia="sk-SK"/>
              </w:rPr>
              <w:t>Započítava sa ako 3 občania so ZP</w:t>
            </w:r>
          </w:p>
        </w:tc>
      </w:tr>
      <w:tr w:rsidR="00210ECB" w:rsidRPr="00210ECB" w14:paraId="4F871C76" w14:textId="77777777" w:rsidTr="00210ECB">
        <w:trPr>
          <w:trHeight w:val="319"/>
        </w:trPr>
        <w:tc>
          <w:tcPr>
            <w:tcW w:w="4253" w:type="dxa"/>
            <w:tcBorders>
              <w:top w:val="nil"/>
              <w:left w:val="nil"/>
              <w:bottom w:val="nil"/>
              <w:right w:val="nil"/>
            </w:tcBorders>
            <w:shd w:val="clear" w:color="000000" w:fill="FFFFFF"/>
            <w:vAlign w:val="center"/>
            <w:hideMark/>
          </w:tcPr>
          <w:p w14:paraId="35B7D707" w14:textId="6423A58E" w:rsidR="00210ECB" w:rsidRPr="00210ECB" w:rsidRDefault="00210ECB" w:rsidP="00210ECB">
            <w:pPr>
              <w:spacing w:after="0" w:line="240" w:lineRule="auto"/>
              <w:rPr>
                <w:rFonts w:eastAsia="Times New Roman" w:cs="Times New Roman"/>
                <w:color w:val="000000"/>
                <w:sz w:val="20"/>
                <w:lang w:eastAsia="sk-SK"/>
              </w:rPr>
            </w:pPr>
            <w:r w:rsidRPr="00210ECB">
              <w:rPr>
                <w:rFonts w:eastAsia="Times New Roman" w:cs="Times New Roman"/>
                <w:bCs/>
                <w:color w:val="000000"/>
                <w:sz w:val="20"/>
                <w:szCs w:val="22"/>
                <w:lang w:eastAsia="sk-SK"/>
              </w:rPr>
              <w:t>Zadanie zákazky integračnému podniku, chránenej dielni alebo chránenému pracovisku</w:t>
            </w:r>
            <w:r w:rsidR="009374A7">
              <w:rPr>
                <w:rFonts w:eastAsia="Times New Roman" w:cs="Times New Roman"/>
                <w:bCs/>
                <w:color w:val="000000"/>
                <w:sz w:val="20"/>
                <w:szCs w:val="22"/>
                <w:lang w:eastAsia="sk-SK"/>
              </w:rPr>
              <w:t xml:space="preserve">, </w:t>
            </w:r>
            <w:r w:rsidR="009374A7" w:rsidRPr="00C036E4">
              <w:rPr>
                <w:rFonts w:eastAsia="Times New Roman" w:cs="Times New Roman"/>
                <w:bCs/>
                <w:color w:val="000000"/>
                <w:sz w:val="20"/>
                <w:szCs w:val="22"/>
                <w:lang w:eastAsia="sk-SK"/>
              </w:rPr>
              <w:t>na ktorom OZP vykonáva alebo prevádzkuje SZČ</w:t>
            </w:r>
          </w:p>
        </w:tc>
        <w:tc>
          <w:tcPr>
            <w:tcW w:w="4819" w:type="dxa"/>
            <w:tcBorders>
              <w:top w:val="nil"/>
              <w:left w:val="nil"/>
              <w:bottom w:val="nil"/>
              <w:right w:val="nil"/>
            </w:tcBorders>
            <w:shd w:val="clear" w:color="000000" w:fill="FFFFFF"/>
            <w:vAlign w:val="center"/>
            <w:hideMark/>
          </w:tcPr>
          <w:p w14:paraId="68C1026E" w14:textId="77777777" w:rsidR="00210ECB" w:rsidRPr="00210ECB" w:rsidRDefault="00210ECB" w:rsidP="00210ECB">
            <w:pPr>
              <w:spacing w:after="0" w:line="240" w:lineRule="auto"/>
              <w:rPr>
                <w:rFonts w:eastAsia="Times New Roman" w:cs="Times New Roman"/>
                <w:color w:val="000000"/>
                <w:sz w:val="20"/>
                <w:lang w:eastAsia="sk-SK"/>
              </w:rPr>
            </w:pPr>
            <w:r w:rsidRPr="00210ECB">
              <w:rPr>
                <w:rFonts w:eastAsia="Times New Roman" w:cs="Times New Roman"/>
                <w:color w:val="000000"/>
                <w:sz w:val="20"/>
                <w:szCs w:val="22"/>
                <w:lang w:eastAsia="sk-SK"/>
              </w:rPr>
              <w:t xml:space="preserve">Zákazka vo výške 0,8-násobku celkovej ceny práce vypočítanej z priemernej mzdy zamestnanca v hospodárstve SR sa započítava ako 1 občan so ZP </w:t>
            </w:r>
          </w:p>
        </w:tc>
      </w:tr>
      <w:tr w:rsidR="00210ECB" w:rsidRPr="00210ECB" w14:paraId="3780A4DF" w14:textId="77777777" w:rsidTr="00210ECB">
        <w:trPr>
          <w:trHeight w:val="344"/>
        </w:trPr>
        <w:tc>
          <w:tcPr>
            <w:tcW w:w="4253" w:type="dxa"/>
            <w:tcBorders>
              <w:top w:val="nil"/>
              <w:left w:val="nil"/>
              <w:bottom w:val="nil"/>
              <w:right w:val="nil"/>
            </w:tcBorders>
            <w:shd w:val="clear" w:color="000000" w:fill="FFFFFF"/>
            <w:vAlign w:val="center"/>
            <w:hideMark/>
          </w:tcPr>
          <w:p w14:paraId="0D5BC74B" w14:textId="77777777" w:rsidR="00210ECB" w:rsidRPr="00210ECB" w:rsidRDefault="00210ECB" w:rsidP="00210ECB">
            <w:pPr>
              <w:spacing w:after="0" w:line="240" w:lineRule="auto"/>
              <w:rPr>
                <w:rFonts w:eastAsia="Times New Roman" w:cs="Times New Roman"/>
                <w:color w:val="000000"/>
                <w:sz w:val="20"/>
                <w:lang w:eastAsia="sk-SK"/>
              </w:rPr>
            </w:pPr>
            <w:r w:rsidRPr="00210ECB">
              <w:rPr>
                <w:rFonts w:eastAsia="Times New Roman" w:cs="Times New Roman"/>
                <w:bCs/>
                <w:color w:val="000000"/>
                <w:sz w:val="20"/>
                <w:szCs w:val="22"/>
                <w:lang w:eastAsia="sk-SK"/>
              </w:rPr>
              <w:t>Zadanie vyhradenej zákazky vo verejnom obstarávaní pre registrované integračné sociálne podniky, chránené dielne alebo chránené pracoviská (od roku 2018)</w:t>
            </w:r>
          </w:p>
        </w:tc>
        <w:tc>
          <w:tcPr>
            <w:tcW w:w="4819" w:type="dxa"/>
            <w:tcBorders>
              <w:top w:val="nil"/>
              <w:left w:val="nil"/>
              <w:bottom w:val="nil"/>
              <w:right w:val="nil"/>
            </w:tcBorders>
            <w:shd w:val="clear" w:color="000000" w:fill="FFFFFF"/>
            <w:vAlign w:val="center"/>
            <w:hideMark/>
          </w:tcPr>
          <w:p w14:paraId="14F9355B" w14:textId="71B900CC" w:rsidR="00210ECB" w:rsidRPr="00210ECB" w:rsidRDefault="00210ECB" w:rsidP="00210ECB">
            <w:pPr>
              <w:spacing w:after="0" w:line="240" w:lineRule="auto"/>
              <w:rPr>
                <w:rFonts w:eastAsia="Times New Roman" w:cs="Times New Roman"/>
                <w:color w:val="000000"/>
                <w:sz w:val="20"/>
                <w:lang w:eastAsia="sk-SK"/>
              </w:rPr>
            </w:pPr>
            <w:r w:rsidRPr="00210ECB">
              <w:rPr>
                <w:rFonts w:eastAsia="Times New Roman" w:cs="Times New Roman"/>
                <w:color w:val="000000"/>
                <w:sz w:val="20"/>
                <w:szCs w:val="22"/>
                <w:lang w:eastAsia="sk-SK"/>
              </w:rPr>
              <w:t>Zákazka vo výške 2</w:t>
            </w:r>
            <w:r w:rsidR="003F4E8E">
              <w:rPr>
                <w:rFonts w:eastAsia="Times New Roman" w:cs="Times New Roman"/>
                <w:color w:val="000000"/>
                <w:sz w:val="20"/>
                <w:szCs w:val="22"/>
                <w:lang w:eastAsia="sk-SK"/>
              </w:rPr>
              <w:t xml:space="preserve"> </w:t>
            </w:r>
            <w:r w:rsidRPr="00210ECB">
              <w:rPr>
                <w:rFonts w:eastAsia="Times New Roman" w:cs="Times New Roman"/>
                <w:color w:val="000000"/>
                <w:sz w:val="20"/>
                <w:szCs w:val="22"/>
                <w:lang w:eastAsia="sk-SK"/>
              </w:rPr>
              <w:t>000 eur (sú</w:t>
            </w:r>
            <w:r w:rsidR="00180588">
              <w:rPr>
                <w:rFonts w:eastAsia="Times New Roman" w:cs="Times New Roman"/>
                <w:color w:val="000000"/>
                <w:sz w:val="20"/>
                <w:szCs w:val="22"/>
                <w:lang w:eastAsia="sk-SK"/>
              </w:rPr>
              <w:t>ťažná cena) sa započítava ako 1 </w:t>
            </w:r>
            <w:r w:rsidRPr="00210ECB">
              <w:rPr>
                <w:rFonts w:eastAsia="Times New Roman" w:cs="Times New Roman"/>
                <w:color w:val="000000"/>
                <w:sz w:val="20"/>
                <w:szCs w:val="22"/>
                <w:lang w:eastAsia="sk-SK"/>
              </w:rPr>
              <w:t>občan so ZP</w:t>
            </w:r>
          </w:p>
        </w:tc>
      </w:tr>
      <w:tr w:rsidR="00210ECB" w:rsidRPr="00210ECB" w14:paraId="7F0DFD5D" w14:textId="77777777" w:rsidTr="00210ECB">
        <w:trPr>
          <w:trHeight w:val="510"/>
        </w:trPr>
        <w:tc>
          <w:tcPr>
            <w:tcW w:w="4253" w:type="dxa"/>
            <w:tcBorders>
              <w:top w:val="nil"/>
              <w:left w:val="nil"/>
              <w:bottom w:val="single" w:sz="4" w:space="0" w:color="auto"/>
              <w:right w:val="nil"/>
            </w:tcBorders>
            <w:shd w:val="clear" w:color="000000" w:fill="FFFFFF"/>
            <w:vAlign w:val="center"/>
            <w:hideMark/>
          </w:tcPr>
          <w:p w14:paraId="5D41DD6B" w14:textId="77777777" w:rsidR="00210ECB" w:rsidRPr="00210ECB" w:rsidRDefault="00210ECB" w:rsidP="00210ECB">
            <w:pPr>
              <w:spacing w:after="0" w:line="240" w:lineRule="auto"/>
              <w:rPr>
                <w:rFonts w:eastAsia="Times New Roman" w:cs="Times New Roman"/>
                <w:color w:val="000000"/>
                <w:sz w:val="20"/>
                <w:lang w:eastAsia="sk-SK"/>
              </w:rPr>
            </w:pPr>
            <w:r w:rsidRPr="00210ECB">
              <w:rPr>
                <w:rFonts w:eastAsia="Times New Roman" w:cs="Times New Roman"/>
                <w:bCs/>
                <w:color w:val="000000"/>
                <w:sz w:val="20"/>
                <w:szCs w:val="22"/>
                <w:lang w:eastAsia="sk-SK"/>
              </w:rPr>
              <w:t>Úhrada odvodu za neplnenie</w:t>
            </w:r>
          </w:p>
        </w:tc>
        <w:tc>
          <w:tcPr>
            <w:tcW w:w="4819" w:type="dxa"/>
            <w:tcBorders>
              <w:top w:val="nil"/>
              <w:left w:val="nil"/>
              <w:bottom w:val="single" w:sz="4" w:space="0" w:color="auto"/>
              <w:right w:val="nil"/>
            </w:tcBorders>
            <w:shd w:val="clear" w:color="000000" w:fill="FFFFFF"/>
            <w:vAlign w:val="center"/>
            <w:hideMark/>
          </w:tcPr>
          <w:p w14:paraId="42D84CFA" w14:textId="77777777" w:rsidR="00210ECB" w:rsidRPr="00210ECB" w:rsidRDefault="00210ECB" w:rsidP="00210ECB">
            <w:pPr>
              <w:spacing w:after="0" w:line="240" w:lineRule="auto"/>
              <w:rPr>
                <w:rFonts w:eastAsia="Times New Roman" w:cs="Times New Roman"/>
                <w:color w:val="000000"/>
                <w:sz w:val="20"/>
                <w:lang w:eastAsia="sk-SK"/>
              </w:rPr>
            </w:pPr>
            <w:r w:rsidRPr="00210ECB">
              <w:rPr>
                <w:rFonts w:eastAsia="Times New Roman" w:cs="Times New Roman"/>
                <w:color w:val="000000"/>
                <w:sz w:val="20"/>
                <w:szCs w:val="22"/>
                <w:lang w:eastAsia="sk-SK"/>
              </w:rPr>
              <w:t>0,9-násobok celkovej ceny práce vypočítanej z priemernej mzdy zamestnanca v hospodárstve SR za každého občana, ktorý chýba do splnenia povinného podielu</w:t>
            </w:r>
          </w:p>
        </w:tc>
      </w:tr>
    </w:tbl>
    <w:p w14:paraId="7BDEC2FE" w14:textId="77777777" w:rsidR="00EA7FF5" w:rsidRPr="00586773" w:rsidRDefault="00EA7FF5" w:rsidP="00D41517">
      <w:pPr>
        <w:spacing w:after="0"/>
        <w:jc w:val="right"/>
        <w:rPr>
          <w:rFonts w:cs="NeueHaasGroteskText W02"/>
          <w:i/>
          <w:sz w:val="18"/>
          <w:szCs w:val="18"/>
        </w:rPr>
      </w:pPr>
      <w:r w:rsidRPr="00586773">
        <w:rPr>
          <w:rFonts w:cs="NeueHaasGroteskText W02"/>
          <w:i/>
          <w:sz w:val="18"/>
          <w:szCs w:val="18"/>
        </w:rPr>
        <w:t xml:space="preserve">Zdroj: </w:t>
      </w:r>
      <w:r w:rsidRPr="00586773">
        <w:rPr>
          <w:i/>
          <w:sz w:val="18"/>
          <w:szCs w:val="18"/>
        </w:rPr>
        <w:t>Zákon č. 5/2004 Z. z. o službách zamestnanosti</w:t>
      </w:r>
      <w:r w:rsidRPr="00586773" w:rsidDel="008400C3">
        <w:rPr>
          <w:rFonts w:cs="NeueHaasGroteskText W02"/>
          <w:i/>
          <w:sz w:val="18"/>
          <w:szCs w:val="18"/>
        </w:rPr>
        <w:t xml:space="preserve"> </w:t>
      </w:r>
    </w:p>
    <w:p w14:paraId="66292ED3" w14:textId="6D9156BD" w:rsidR="00BA06E5" w:rsidRDefault="00EA7FF5" w:rsidP="00120396">
      <w:pPr>
        <w:spacing w:before="120"/>
        <w:rPr>
          <w:rFonts w:eastAsia="Arial Narrow" w:cs="Arial Narrow"/>
          <w:szCs w:val="22"/>
        </w:rPr>
      </w:pPr>
      <w:r w:rsidRPr="00CA2564">
        <w:rPr>
          <w:rFonts w:eastAsia="Arial Narrow" w:cs="Arial Narrow"/>
          <w:b/>
        </w:rPr>
        <w:t>Takmer všetci zamestnávatelia vykazujú aspoň čiastočné plnenie prostredníctvom zamestnávania OZP alebo zadávaním zákazky na dodanie tovaru či poskytnutie služby chráneným dielňam, chráneným pracoviskám či integračným podnikom.</w:t>
      </w:r>
      <w:r w:rsidRPr="00CA2564">
        <w:rPr>
          <w:rFonts w:eastAsia="Arial Narrow" w:cs="Arial Narrow"/>
        </w:rPr>
        <w:t xml:space="preserve"> Len 6,2 % dotknutých zamestnávateľov využilo výlučne možnosť zaplatenia odvodu. Tento podiel bol vyšší u </w:t>
      </w:r>
      <w:r w:rsidRPr="00697836">
        <w:rPr>
          <w:rFonts w:eastAsia="Arial Narrow" w:cs="Arial Narrow"/>
          <w:szCs w:val="22"/>
        </w:rPr>
        <w:t>zahraničných a medzinárodných zamestnávateľov, a naopak nižší bol u verejných zamestnávateľov a u subjektov vo vlastníctve družstiev, združení, politických strán a cirkví.</w:t>
      </w:r>
      <w:r w:rsidR="0070047D">
        <w:rPr>
          <w:rFonts w:eastAsia="Arial Narrow" w:cs="Arial Narrow"/>
          <w:szCs w:val="22"/>
        </w:rPr>
        <w:t xml:space="preserve"> </w:t>
      </w:r>
      <w:r w:rsidRPr="00697836">
        <w:rPr>
          <w:rFonts w:eastAsia="Arial Narrow" w:cs="Arial Narrow"/>
          <w:szCs w:val="22"/>
        </w:rPr>
        <w:t>Viac ako potrebný počet OZP podľa výkazov zamestnávala približne polovica zamestnávateľov (50,5 %), a viac ako traja z piatich verejných zamestnávateľov (62,2 %) (</w:t>
      </w:r>
      <w:r w:rsidRPr="00697836">
        <w:rPr>
          <w:rFonts w:eastAsia="Arial Narrow" w:cs="Arial Narrow"/>
          <w:szCs w:val="22"/>
        </w:rPr>
        <w:fldChar w:fldCharType="begin"/>
      </w:r>
      <w:r w:rsidRPr="00697836">
        <w:rPr>
          <w:rFonts w:eastAsia="Arial Narrow" w:cs="Arial Narrow"/>
          <w:szCs w:val="22"/>
        </w:rPr>
        <w:instrText xml:space="preserve"> REF _Ref15191808 \h </w:instrText>
      </w:r>
      <w:r w:rsidR="00697836">
        <w:rPr>
          <w:rFonts w:eastAsia="Arial Narrow" w:cs="Arial Narrow"/>
          <w:szCs w:val="22"/>
        </w:rPr>
        <w:instrText xml:space="preserve"> \* MERGEFORMAT </w:instrText>
      </w:r>
      <w:r w:rsidRPr="00697836">
        <w:rPr>
          <w:rFonts w:eastAsia="Arial Narrow" w:cs="Arial Narrow"/>
          <w:szCs w:val="22"/>
        </w:rPr>
      </w:r>
      <w:r w:rsidRPr="00697836">
        <w:rPr>
          <w:rFonts w:eastAsia="Arial Narrow" w:cs="Arial Narrow"/>
          <w:szCs w:val="22"/>
        </w:rPr>
        <w:fldChar w:fldCharType="separate"/>
      </w:r>
      <w:r w:rsidR="00FA29AF" w:rsidRPr="00FA29AF">
        <w:rPr>
          <w:szCs w:val="22"/>
        </w:rPr>
        <w:t xml:space="preserve">Graf </w:t>
      </w:r>
      <w:r w:rsidR="00FA29AF" w:rsidRPr="00FA29AF">
        <w:rPr>
          <w:noProof/>
          <w:szCs w:val="22"/>
        </w:rPr>
        <w:t>43</w:t>
      </w:r>
      <w:r w:rsidRPr="00697836">
        <w:rPr>
          <w:rFonts w:eastAsia="Arial Narrow" w:cs="Arial Narrow"/>
          <w:szCs w:val="22"/>
        </w:rPr>
        <w:fldChar w:fldCharType="end"/>
      </w:r>
      <w:r w:rsidRPr="00697836">
        <w:rPr>
          <w:rFonts w:eastAsia="Arial Narrow" w:cs="Arial Narrow"/>
          <w:szCs w:val="22"/>
        </w:rPr>
        <w:t>).</w:t>
      </w:r>
    </w:p>
    <w:tbl>
      <w:tblPr>
        <w:tblW w:w="9086" w:type="dxa"/>
        <w:tblLayout w:type="fixed"/>
        <w:tblLook w:val="04E0" w:firstRow="1" w:lastRow="1" w:firstColumn="1" w:lastColumn="0" w:noHBand="0" w:noVBand="1"/>
      </w:tblPr>
      <w:tblGrid>
        <w:gridCol w:w="4395"/>
        <w:gridCol w:w="283"/>
        <w:gridCol w:w="4408"/>
      </w:tblGrid>
      <w:tr w:rsidR="00EA7FF5" w:rsidRPr="00CA2564" w14:paraId="5CC4115A" w14:textId="77777777" w:rsidTr="004E69CB">
        <w:tc>
          <w:tcPr>
            <w:tcW w:w="4395" w:type="dxa"/>
            <w:tcBorders>
              <w:bottom w:val="single" w:sz="4" w:space="0" w:color="auto"/>
            </w:tcBorders>
          </w:tcPr>
          <w:p w14:paraId="032F9E79" w14:textId="77777777" w:rsidR="00EA7FF5" w:rsidRPr="004E69CB" w:rsidRDefault="00EA7FF5" w:rsidP="004E69CB">
            <w:pPr>
              <w:spacing w:after="0" w:line="240" w:lineRule="auto"/>
              <w:rPr>
                <w:b/>
                <w:sz w:val="20"/>
              </w:rPr>
            </w:pPr>
            <w:bookmarkStart w:id="565" w:name="_Ref15190713"/>
            <w:bookmarkStart w:id="566" w:name="_Toc17469410"/>
            <w:bookmarkStart w:id="567" w:name="_Toc34157600"/>
            <w:r w:rsidRPr="004E69CB">
              <w:rPr>
                <w:b/>
                <w:sz w:val="20"/>
              </w:rPr>
              <w:t xml:space="preserve">Graf </w:t>
            </w:r>
            <w:r w:rsidRPr="004E69CB">
              <w:rPr>
                <w:b/>
                <w:sz w:val="20"/>
              </w:rPr>
              <w:fldChar w:fldCharType="begin"/>
            </w:r>
            <w:r w:rsidRPr="004E69CB">
              <w:rPr>
                <w:b/>
                <w:sz w:val="20"/>
              </w:rPr>
              <w:instrText xml:space="preserve"> SEQ Graf \* ARABIC </w:instrText>
            </w:r>
            <w:r w:rsidRPr="004E69CB">
              <w:rPr>
                <w:b/>
                <w:sz w:val="20"/>
              </w:rPr>
              <w:fldChar w:fldCharType="separate"/>
            </w:r>
            <w:r w:rsidR="00FA29AF">
              <w:rPr>
                <w:b/>
                <w:noProof/>
                <w:sz w:val="20"/>
              </w:rPr>
              <w:t>42</w:t>
            </w:r>
            <w:r w:rsidRPr="004E69CB">
              <w:rPr>
                <w:b/>
                <w:sz w:val="20"/>
              </w:rPr>
              <w:fldChar w:fldCharType="end"/>
            </w:r>
            <w:bookmarkEnd w:id="565"/>
            <w:r w:rsidRPr="004E69CB">
              <w:rPr>
                <w:b/>
                <w:sz w:val="20"/>
              </w:rPr>
              <w:t>: Plnenie povinného podielu podľa spôsobu (tisíc)</w:t>
            </w:r>
            <w:bookmarkEnd w:id="566"/>
            <w:bookmarkEnd w:id="567"/>
          </w:p>
        </w:tc>
        <w:tc>
          <w:tcPr>
            <w:tcW w:w="283" w:type="dxa"/>
            <w:tcBorders>
              <w:bottom w:val="nil"/>
            </w:tcBorders>
          </w:tcPr>
          <w:p w14:paraId="54DF319E" w14:textId="77777777" w:rsidR="00EA7FF5" w:rsidRPr="004E69CB" w:rsidRDefault="00EA7FF5" w:rsidP="004E69CB">
            <w:pPr>
              <w:spacing w:after="0" w:line="240" w:lineRule="auto"/>
              <w:rPr>
                <w:b/>
                <w:sz w:val="20"/>
              </w:rPr>
            </w:pPr>
          </w:p>
        </w:tc>
        <w:tc>
          <w:tcPr>
            <w:tcW w:w="4408" w:type="dxa"/>
            <w:tcBorders>
              <w:bottom w:val="single" w:sz="4" w:space="0" w:color="auto"/>
            </w:tcBorders>
          </w:tcPr>
          <w:p w14:paraId="117F53F1" w14:textId="77777777" w:rsidR="00EA7FF5" w:rsidRPr="004E69CB" w:rsidRDefault="00EA7FF5" w:rsidP="004E69CB">
            <w:pPr>
              <w:spacing w:after="0" w:line="240" w:lineRule="auto"/>
              <w:rPr>
                <w:b/>
                <w:sz w:val="20"/>
              </w:rPr>
            </w:pPr>
            <w:bookmarkStart w:id="568" w:name="_Ref15191808"/>
            <w:bookmarkStart w:id="569" w:name="_Toc17469411"/>
            <w:bookmarkStart w:id="570" w:name="_Toc34157601"/>
            <w:r w:rsidRPr="004E69CB">
              <w:rPr>
                <w:b/>
                <w:sz w:val="20"/>
              </w:rPr>
              <w:t xml:space="preserve">Graf </w:t>
            </w:r>
            <w:r w:rsidRPr="004E69CB">
              <w:rPr>
                <w:b/>
                <w:sz w:val="20"/>
              </w:rPr>
              <w:fldChar w:fldCharType="begin"/>
            </w:r>
            <w:r w:rsidRPr="004E69CB">
              <w:rPr>
                <w:b/>
                <w:sz w:val="20"/>
              </w:rPr>
              <w:instrText xml:space="preserve"> SEQ Graf \* ARABIC </w:instrText>
            </w:r>
            <w:r w:rsidRPr="004E69CB">
              <w:rPr>
                <w:b/>
                <w:sz w:val="20"/>
              </w:rPr>
              <w:fldChar w:fldCharType="separate"/>
            </w:r>
            <w:r w:rsidR="00FA29AF">
              <w:rPr>
                <w:b/>
                <w:noProof/>
                <w:sz w:val="20"/>
              </w:rPr>
              <w:t>43</w:t>
            </w:r>
            <w:r w:rsidRPr="004E69CB">
              <w:rPr>
                <w:b/>
                <w:sz w:val="20"/>
              </w:rPr>
              <w:fldChar w:fldCharType="end"/>
            </w:r>
            <w:bookmarkEnd w:id="568"/>
            <w:r w:rsidRPr="004E69CB">
              <w:rPr>
                <w:b/>
                <w:sz w:val="20"/>
              </w:rPr>
              <w:t>: Podiel subjektov zamestnávajúcich viac ako povinný počet OZP (%)</w:t>
            </w:r>
            <w:bookmarkEnd w:id="569"/>
            <w:bookmarkEnd w:id="570"/>
          </w:p>
        </w:tc>
      </w:tr>
      <w:tr w:rsidR="00EA7FF5" w:rsidRPr="00CA2564" w14:paraId="5CA6107E" w14:textId="77777777" w:rsidTr="004E69CB">
        <w:tc>
          <w:tcPr>
            <w:tcW w:w="4395" w:type="dxa"/>
            <w:tcBorders>
              <w:top w:val="single" w:sz="4" w:space="0" w:color="auto"/>
              <w:bottom w:val="single" w:sz="4" w:space="0" w:color="auto"/>
            </w:tcBorders>
          </w:tcPr>
          <w:p w14:paraId="68DA8A80" w14:textId="77777777" w:rsidR="00EA7FF5" w:rsidRPr="00CA2564" w:rsidRDefault="00EA7FF5" w:rsidP="004E69CB">
            <w:pPr>
              <w:spacing w:after="0" w:line="240" w:lineRule="auto"/>
              <w:rPr>
                <w:sz w:val="4"/>
                <w:szCs w:val="4"/>
              </w:rPr>
            </w:pPr>
          </w:p>
          <w:p w14:paraId="2300446B" w14:textId="77777777" w:rsidR="00EA7FF5" w:rsidRPr="00CA2564" w:rsidRDefault="00EA7FF5" w:rsidP="004E69CB">
            <w:pPr>
              <w:spacing w:after="0" w:line="240" w:lineRule="auto"/>
              <w:rPr>
                <w:sz w:val="4"/>
                <w:szCs w:val="4"/>
              </w:rPr>
            </w:pPr>
            <w:r w:rsidRPr="00CA2564">
              <w:rPr>
                <w:noProof/>
                <w:lang w:eastAsia="sk-SK"/>
              </w:rPr>
              <w:drawing>
                <wp:inline distT="0" distB="0" distL="0" distR="0" wp14:anchorId="55728AA3" wp14:editId="4D9AC9EC">
                  <wp:extent cx="2739390" cy="2076450"/>
                  <wp:effectExtent l="0" t="0" r="3810" b="0"/>
                  <wp:docPr id="28029" name="Chart 2802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ADCDCEED-AB79-4BD5-8B8B-0A56E97031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C4D7045" w14:textId="77777777" w:rsidR="00EA7FF5" w:rsidRPr="00CA2564" w:rsidRDefault="00EA7FF5" w:rsidP="004E69CB">
            <w:pPr>
              <w:spacing w:after="0" w:line="240" w:lineRule="auto"/>
              <w:rPr>
                <w:sz w:val="4"/>
                <w:szCs w:val="4"/>
              </w:rPr>
            </w:pPr>
          </w:p>
        </w:tc>
        <w:tc>
          <w:tcPr>
            <w:tcW w:w="283" w:type="dxa"/>
            <w:tcBorders>
              <w:top w:val="nil"/>
              <w:bottom w:val="nil"/>
            </w:tcBorders>
          </w:tcPr>
          <w:p w14:paraId="21D8F823" w14:textId="77777777" w:rsidR="00EA7FF5" w:rsidRPr="00CA2564" w:rsidRDefault="00EA7FF5" w:rsidP="004E69CB">
            <w:pPr>
              <w:spacing w:after="0" w:line="240" w:lineRule="auto"/>
              <w:rPr>
                <w:noProof/>
              </w:rPr>
            </w:pPr>
          </w:p>
        </w:tc>
        <w:tc>
          <w:tcPr>
            <w:tcW w:w="4408" w:type="dxa"/>
            <w:tcBorders>
              <w:top w:val="single" w:sz="4" w:space="0" w:color="auto"/>
              <w:bottom w:val="single" w:sz="4" w:space="0" w:color="auto"/>
            </w:tcBorders>
          </w:tcPr>
          <w:p w14:paraId="1BB40DDD" w14:textId="77777777" w:rsidR="00EA7FF5" w:rsidRPr="00CA2564" w:rsidRDefault="00EA7FF5" w:rsidP="004E69CB">
            <w:pPr>
              <w:spacing w:after="0" w:line="240" w:lineRule="auto"/>
              <w:rPr>
                <w:sz w:val="4"/>
                <w:szCs w:val="4"/>
              </w:rPr>
            </w:pPr>
          </w:p>
          <w:p w14:paraId="6584A522" w14:textId="77777777" w:rsidR="00EA7FF5" w:rsidRPr="00CA2564" w:rsidRDefault="00EA7FF5" w:rsidP="004E69CB">
            <w:pPr>
              <w:spacing w:after="0" w:line="240" w:lineRule="auto"/>
              <w:rPr>
                <w:sz w:val="4"/>
                <w:szCs w:val="4"/>
              </w:rPr>
            </w:pPr>
            <w:r w:rsidRPr="00CA2564">
              <w:rPr>
                <w:noProof/>
                <w:lang w:eastAsia="sk-SK"/>
              </w:rPr>
              <w:drawing>
                <wp:inline distT="0" distB="0" distL="0" distR="0" wp14:anchorId="20AE64D3" wp14:editId="1DD6D89D">
                  <wp:extent cx="2709545" cy="2076450"/>
                  <wp:effectExtent l="0" t="0" r="0" b="0"/>
                  <wp:docPr id="28030" name="Chart 2803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3F1DB41D-B7EB-4F54-BF91-9CB2D7EB7E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CBFFEFE" w14:textId="77777777" w:rsidR="00EA7FF5" w:rsidRPr="00CA2564" w:rsidRDefault="00EA7FF5" w:rsidP="004E69CB">
            <w:pPr>
              <w:spacing w:after="0" w:line="240" w:lineRule="auto"/>
              <w:rPr>
                <w:sz w:val="4"/>
                <w:szCs w:val="4"/>
              </w:rPr>
            </w:pPr>
          </w:p>
        </w:tc>
      </w:tr>
      <w:tr w:rsidR="00EA7FF5" w:rsidRPr="00CA2564" w14:paraId="66B54113" w14:textId="77777777" w:rsidTr="004E69CB">
        <w:tc>
          <w:tcPr>
            <w:tcW w:w="4395" w:type="dxa"/>
            <w:tcBorders>
              <w:top w:val="single" w:sz="4" w:space="0" w:color="auto"/>
            </w:tcBorders>
          </w:tcPr>
          <w:p w14:paraId="69D390C8" w14:textId="77777777" w:rsidR="00EA7FF5" w:rsidRPr="004E69CB" w:rsidRDefault="00EA7FF5" w:rsidP="004E69CB">
            <w:pPr>
              <w:spacing w:after="0" w:line="240" w:lineRule="auto"/>
              <w:jc w:val="right"/>
              <w:rPr>
                <w:bCs/>
                <w:i/>
                <w:noProof/>
                <w:sz w:val="18"/>
                <w:szCs w:val="18"/>
              </w:rPr>
            </w:pPr>
            <w:r w:rsidRPr="004E69CB">
              <w:rPr>
                <w:i/>
                <w:noProof/>
                <w:sz w:val="18"/>
                <w:szCs w:val="18"/>
              </w:rPr>
              <w:t>Zdroj: ISP na základe údajov ÚPSVR</w:t>
            </w:r>
          </w:p>
        </w:tc>
        <w:tc>
          <w:tcPr>
            <w:tcW w:w="283" w:type="dxa"/>
            <w:tcBorders>
              <w:top w:val="nil"/>
            </w:tcBorders>
          </w:tcPr>
          <w:p w14:paraId="74662EC8" w14:textId="77777777" w:rsidR="00EA7FF5" w:rsidRPr="004E69CB" w:rsidRDefault="00EA7FF5" w:rsidP="004E69CB">
            <w:pPr>
              <w:spacing w:after="0" w:line="240" w:lineRule="auto"/>
              <w:jc w:val="right"/>
              <w:rPr>
                <w:i/>
                <w:noProof/>
                <w:sz w:val="18"/>
                <w:szCs w:val="18"/>
              </w:rPr>
            </w:pPr>
          </w:p>
        </w:tc>
        <w:tc>
          <w:tcPr>
            <w:tcW w:w="4408" w:type="dxa"/>
            <w:tcBorders>
              <w:top w:val="single" w:sz="4" w:space="0" w:color="auto"/>
            </w:tcBorders>
          </w:tcPr>
          <w:p w14:paraId="0F1D9E9A" w14:textId="77777777" w:rsidR="00EA7FF5" w:rsidRPr="004E69CB" w:rsidRDefault="00EA7FF5" w:rsidP="004E69CB">
            <w:pPr>
              <w:spacing w:after="0" w:line="240" w:lineRule="auto"/>
              <w:jc w:val="right"/>
              <w:rPr>
                <w:i/>
                <w:noProof/>
                <w:sz w:val="18"/>
                <w:szCs w:val="18"/>
              </w:rPr>
            </w:pPr>
            <w:r w:rsidRPr="004E69CB">
              <w:rPr>
                <w:i/>
                <w:noProof/>
                <w:sz w:val="18"/>
                <w:szCs w:val="18"/>
              </w:rPr>
              <w:t>Zdroj: ISP na základe údajov ÚPSVR, registra organizácií, registra subjektov verejnej správy a Finstatu</w:t>
            </w:r>
          </w:p>
          <w:p w14:paraId="7E5A3BCE" w14:textId="77777777" w:rsidR="00EA7FF5" w:rsidRPr="004E69CB" w:rsidRDefault="00EA7FF5" w:rsidP="004E69CB">
            <w:pPr>
              <w:spacing w:after="0" w:line="240" w:lineRule="auto"/>
              <w:jc w:val="left"/>
              <w:rPr>
                <w:i/>
                <w:noProof/>
                <w:sz w:val="18"/>
                <w:szCs w:val="18"/>
              </w:rPr>
            </w:pPr>
            <w:r w:rsidRPr="004E69CB">
              <w:rPr>
                <w:i/>
                <w:noProof/>
                <w:sz w:val="18"/>
                <w:szCs w:val="18"/>
              </w:rPr>
              <w:t>Poznámka: „Ostatné“ zahŕňa subjekty družstevné a subjekty vo vlastníctve združení, politických strán a cirkví</w:t>
            </w:r>
          </w:p>
        </w:tc>
      </w:tr>
    </w:tbl>
    <w:p w14:paraId="111A7423" w14:textId="65EF2492" w:rsidR="00E51E6C" w:rsidRDefault="00E51E6C" w:rsidP="00E51E6C">
      <w:pPr>
        <w:spacing w:before="160"/>
        <w:rPr>
          <w:rFonts w:eastAsia="Arial Narrow" w:cs="Arial Narrow"/>
        </w:rPr>
      </w:pPr>
      <w:r w:rsidRPr="00CA2564">
        <w:rPr>
          <w:rFonts w:eastAsia="Arial Narrow" w:cs="Arial Narrow"/>
          <w:b/>
        </w:rPr>
        <w:t xml:space="preserve">Odvod za neplnenie zákonnej povinnosti zamestnávať OZP si zamestnávatelia môžu zaradiť do daňových výdavkov. </w:t>
      </w:r>
      <w:r w:rsidRPr="00906B31">
        <w:rPr>
          <w:rFonts w:eastAsia="Arial Narrow" w:cs="Arial Narrow"/>
          <w:b/>
          <w:bCs/>
        </w:rPr>
        <w:t xml:space="preserve">Obmedzuje sa </w:t>
      </w:r>
      <w:r w:rsidRPr="00906B31">
        <w:rPr>
          <w:rFonts w:eastAsia="Arial Narrow" w:cs="Arial Narrow"/>
          <w:b/>
          <w:bCs/>
          <w:szCs w:val="22"/>
        </w:rPr>
        <w:t xml:space="preserve">tým sankčný účinok odvodu a motivácia zamestnávať OZP. Revízia preto navrhuje </w:t>
      </w:r>
      <w:r w:rsidRPr="00906B31">
        <w:rPr>
          <w:rFonts w:cs="Times New Roman"/>
          <w:b/>
          <w:bCs/>
          <w:szCs w:val="22"/>
        </w:rPr>
        <w:t>zabezpečiť vyňatie odvodu za neplnenie povinného p</w:t>
      </w:r>
      <w:r w:rsidR="006D45A6">
        <w:rPr>
          <w:rFonts w:cs="Times New Roman"/>
          <w:b/>
          <w:bCs/>
          <w:szCs w:val="22"/>
        </w:rPr>
        <w:t>odielu zamestnávania občanov so </w:t>
      </w:r>
      <w:r w:rsidRPr="00906B31">
        <w:rPr>
          <w:rFonts w:cs="Times New Roman"/>
          <w:b/>
          <w:bCs/>
          <w:szCs w:val="22"/>
        </w:rPr>
        <w:t>zdravotným postihnutím z daňových výdavkov zamestnávateľa.</w:t>
      </w:r>
      <w:r w:rsidRPr="00AB28DA">
        <w:rPr>
          <w:rFonts w:eastAsia="Arial Narrow" w:cs="Arial Narrow"/>
        </w:rPr>
        <w:t xml:space="preserve"> </w:t>
      </w:r>
    </w:p>
    <w:p w14:paraId="0CDBCA77" w14:textId="77777777" w:rsidR="00E51E6C" w:rsidRDefault="00E51E6C" w:rsidP="00E51E6C">
      <w:pPr>
        <w:spacing w:before="120"/>
        <w:rPr>
          <w:rFonts w:eastAsia="Arial Narrow" w:cs="Arial Narrow"/>
        </w:rPr>
      </w:pPr>
      <w:r w:rsidRPr="00CA2564">
        <w:rPr>
          <w:rFonts w:eastAsia="Arial Narrow" w:cs="Arial Narrow"/>
          <w:b/>
        </w:rPr>
        <w:t>Od roku 2018 majú zamestnávatelia možnosť plniť povinný podiel zamestnávania občanov so zdravotným postihnutím prostredníctvom zadávania vyhradených zákaziek vo verejnom obstarávaní.</w:t>
      </w:r>
      <w:r w:rsidRPr="00CA2564">
        <w:rPr>
          <w:rFonts w:eastAsia="Arial Narrow" w:cs="Arial Narrow"/>
        </w:rPr>
        <w:t xml:space="preserve"> Verejný obstarávateľ a obstarávateľ môžu vyhradiť právo účasti vo verejnom obstarávaní len pre registrované integračné sociálne podniky, chránené dielne, alebo fyzické osoby so zdravotným postihnutím</w:t>
      </w:r>
      <w:r>
        <w:rPr>
          <w:rFonts w:eastAsia="Arial Narrow" w:cs="Arial Narrow"/>
        </w:rPr>
        <w:t>, ktoré</w:t>
      </w:r>
      <w:r w:rsidRPr="00CA2564">
        <w:rPr>
          <w:rFonts w:eastAsia="Arial Narrow" w:cs="Arial Narrow"/>
        </w:rPr>
        <w:t xml:space="preserve"> na chránenom pracovisku</w:t>
      </w:r>
      <w:r>
        <w:rPr>
          <w:rFonts w:eastAsia="Arial Narrow" w:cs="Arial Narrow"/>
        </w:rPr>
        <w:t xml:space="preserve"> </w:t>
      </w:r>
      <w:r w:rsidRPr="00C23E08">
        <w:rPr>
          <w:rFonts w:eastAsia="Arial Narrow" w:cs="Arial Narrow"/>
        </w:rPr>
        <w:t>prevádzkujú alebo vykonávajú samostatnú zárobkovú činnosť</w:t>
      </w:r>
      <w:r w:rsidRPr="00CA2564">
        <w:rPr>
          <w:rFonts w:eastAsia="Arial Narrow" w:cs="Arial Narrow"/>
        </w:rPr>
        <w:t>. V súčasnosti nie je možne zhodnotiť vplyv tohto opatrenia z dôvodu ne</w:t>
      </w:r>
      <w:r>
        <w:rPr>
          <w:rFonts w:eastAsia="Arial Narrow" w:cs="Arial Narrow"/>
        </w:rPr>
        <w:t>dostupnosti údajov za rok 2018.</w:t>
      </w:r>
    </w:p>
    <w:p w14:paraId="68E8327F" w14:textId="144BB68C" w:rsidR="00EA7FF5" w:rsidRPr="00AB28DA" w:rsidRDefault="00EA7FF5" w:rsidP="00E51E6C">
      <w:pPr>
        <w:spacing w:before="120"/>
        <w:rPr>
          <w:rFonts w:eastAsia="Calibri" w:cs="Times New Roman"/>
        </w:rPr>
      </w:pPr>
      <w:r w:rsidRPr="00CA2564">
        <w:rPr>
          <w:rFonts w:eastAsia="Calibri" w:cs="Times New Roman"/>
          <w:b/>
        </w:rPr>
        <w:t>Slovensko má v porovnaní s okolitými krajinami EÚ nižší povin</w:t>
      </w:r>
      <w:r w:rsidR="006D45A6">
        <w:rPr>
          <w:rFonts w:eastAsia="Calibri" w:cs="Times New Roman"/>
          <w:b/>
        </w:rPr>
        <w:t>ný podiel zamestnávania osôb so </w:t>
      </w:r>
      <w:r w:rsidRPr="00CA2564">
        <w:rPr>
          <w:rFonts w:eastAsia="Calibri" w:cs="Times New Roman"/>
          <w:b/>
        </w:rPr>
        <w:t>zdravotným znevýhodnením</w:t>
      </w:r>
      <w:r w:rsidR="005E068A">
        <w:rPr>
          <w:rFonts w:eastAsia="Calibri" w:cs="Times New Roman"/>
          <w:b/>
        </w:rPr>
        <w:t>, ktorý sa však vzťahuje na väčší okruh zamestnávateľov</w:t>
      </w:r>
      <w:r w:rsidRPr="00CA2564">
        <w:rPr>
          <w:rFonts w:eastAsia="Calibri" w:cs="Times New Roman"/>
          <w:b/>
        </w:rPr>
        <w:t xml:space="preserve"> </w:t>
      </w:r>
      <w:r w:rsidRPr="00CA2564">
        <w:rPr>
          <w:rFonts w:eastAsia="Calibri" w:cs="Times New Roman"/>
        </w:rPr>
        <w:t>(</w:t>
      </w:r>
      <w:r w:rsidRPr="00CA2564">
        <w:rPr>
          <w:rFonts w:eastAsia="Calibri" w:cs="Times New Roman"/>
        </w:rPr>
        <w:fldChar w:fldCharType="begin"/>
      </w:r>
      <w:r w:rsidRPr="00CA2564">
        <w:rPr>
          <w:rFonts w:eastAsia="Calibri" w:cs="Times New Roman"/>
        </w:rPr>
        <w:instrText xml:space="preserve"> REF _Ref15192304 \h  \* MERGEFORMAT </w:instrText>
      </w:r>
      <w:r w:rsidRPr="00CA2564">
        <w:rPr>
          <w:rFonts w:eastAsia="Calibri" w:cs="Times New Roman"/>
        </w:rPr>
      </w:r>
      <w:r w:rsidRPr="00CA2564">
        <w:rPr>
          <w:rFonts w:eastAsia="Calibri" w:cs="Times New Roman"/>
        </w:rPr>
        <w:fldChar w:fldCharType="separate"/>
      </w:r>
      <w:r w:rsidR="00FA29AF" w:rsidRPr="00FA29AF">
        <w:rPr>
          <w:szCs w:val="22"/>
        </w:rPr>
        <w:t xml:space="preserve">Tabuľka </w:t>
      </w:r>
      <w:r w:rsidR="00FA29AF" w:rsidRPr="00FA29AF">
        <w:rPr>
          <w:noProof/>
          <w:szCs w:val="22"/>
        </w:rPr>
        <w:t>26</w:t>
      </w:r>
      <w:r w:rsidRPr="00CA2564">
        <w:rPr>
          <w:rFonts w:eastAsia="Calibri" w:cs="Times New Roman"/>
        </w:rPr>
        <w:fldChar w:fldCharType="end"/>
      </w:r>
      <w:r w:rsidRPr="00CA2564">
        <w:rPr>
          <w:rFonts w:eastAsia="Calibri" w:cs="Times New Roman"/>
        </w:rPr>
        <w:t xml:space="preserve">). Vzhľadom na vyššie uvedené zistenia o rozsahu a spôsobe plnenia povinnosti zamestnávateľmi na Slovensku existuje priestor na zavedenie vyššieho povinného </w:t>
      </w:r>
      <w:r w:rsidRPr="00AB28DA">
        <w:rPr>
          <w:rFonts w:eastAsia="Calibri" w:cs="Times New Roman"/>
        </w:rPr>
        <w:t xml:space="preserve">podielu. </w:t>
      </w:r>
      <w:r w:rsidR="00540D70" w:rsidRPr="00540D70">
        <w:rPr>
          <w:b/>
        </w:rPr>
        <w:t>Revízia preto navrhuje podporiť integráciu zdravotne znevýhodnených osôb na otvorenom trhu práce, ale aj vznikajúci sektor sociálneho podnikania, zvýšením povinného podielu z dnešných 3,2 % na 5 % (priemer V3).</w:t>
      </w:r>
    </w:p>
    <w:p w14:paraId="2EE6206F" w14:textId="77777777" w:rsidR="00EA7FF5" w:rsidRPr="0045503A" w:rsidRDefault="00EA7FF5" w:rsidP="0045503A">
      <w:pPr>
        <w:spacing w:after="0"/>
        <w:rPr>
          <w:b/>
          <w:sz w:val="20"/>
        </w:rPr>
      </w:pPr>
      <w:bookmarkStart w:id="571" w:name="_Ref15192304"/>
      <w:bookmarkStart w:id="572" w:name="_Toc17469482"/>
      <w:bookmarkStart w:id="573" w:name="_Toc34156865"/>
      <w:r w:rsidRPr="0045503A">
        <w:rPr>
          <w:b/>
          <w:sz w:val="20"/>
        </w:rPr>
        <w:t xml:space="preserve">Tabuľka </w:t>
      </w:r>
      <w:r w:rsidRPr="0045503A">
        <w:rPr>
          <w:b/>
          <w:noProof/>
          <w:sz w:val="20"/>
        </w:rPr>
        <w:fldChar w:fldCharType="begin"/>
      </w:r>
      <w:r w:rsidRPr="0045503A">
        <w:rPr>
          <w:b/>
          <w:noProof/>
          <w:sz w:val="20"/>
        </w:rPr>
        <w:instrText xml:space="preserve"> SEQ Tabuľka \* ARABIC </w:instrText>
      </w:r>
      <w:r w:rsidRPr="0045503A">
        <w:rPr>
          <w:b/>
          <w:noProof/>
          <w:sz w:val="20"/>
        </w:rPr>
        <w:fldChar w:fldCharType="separate"/>
      </w:r>
      <w:r w:rsidR="00FA29AF">
        <w:rPr>
          <w:b/>
          <w:noProof/>
          <w:sz w:val="20"/>
        </w:rPr>
        <w:t>26</w:t>
      </w:r>
      <w:r w:rsidRPr="0045503A">
        <w:rPr>
          <w:b/>
          <w:noProof/>
          <w:sz w:val="20"/>
        </w:rPr>
        <w:fldChar w:fldCharType="end"/>
      </w:r>
      <w:bookmarkEnd w:id="571"/>
      <w:r w:rsidRPr="0045503A">
        <w:rPr>
          <w:b/>
          <w:sz w:val="20"/>
        </w:rPr>
        <w:t>: Systém kvót pre osoby so zdravotným znevýhodnením vo vybraných krajinách EÚ</w:t>
      </w:r>
      <w:bookmarkEnd w:id="572"/>
      <w:bookmarkEnd w:id="573"/>
    </w:p>
    <w:tbl>
      <w:tblPr>
        <w:tblW w:w="9072" w:type="dxa"/>
        <w:tblCellMar>
          <w:left w:w="70" w:type="dxa"/>
          <w:right w:w="70" w:type="dxa"/>
        </w:tblCellMar>
        <w:tblLook w:val="04A0" w:firstRow="1" w:lastRow="0" w:firstColumn="1" w:lastColumn="0" w:noHBand="0" w:noVBand="1"/>
      </w:tblPr>
      <w:tblGrid>
        <w:gridCol w:w="1560"/>
        <w:gridCol w:w="1417"/>
        <w:gridCol w:w="6095"/>
      </w:tblGrid>
      <w:tr w:rsidR="007C78D6" w:rsidRPr="007C78D6" w14:paraId="492FFE1E" w14:textId="77777777" w:rsidTr="00BA06E5">
        <w:trPr>
          <w:trHeight w:val="161"/>
        </w:trPr>
        <w:tc>
          <w:tcPr>
            <w:tcW w:w="1560" w:type="dxa"/>
            <w:tcBorders>
              <w:top w:val="single" w:sz="4" w:space="0" w:color="auto"/>
              <w:left w:val="nil"/>
              <w:bottom w:val="single" w:sz="4" w:space="0" w:color="auto"/>
              <w:right w:val="nil"/>
            </w:tcBorders>
            <w:shd w:val="clear" w:color="000000" w:fill="FFFFFF"/>
            <w:vAlign w:val="center"/>
            <w:hideMark/>
          </w:tcPr>
          <w:p w14:paraId="3D7F45B2" w14:textId="77777777" w:rsidR="007C78D6" w:rsidRPr="007C78D6" w:rsidRDefault="007C78D6" w:rsidP="00FD7F33">
            <w:pPr>
              <w:spacing w:after="0"/>
              <w:rPr>
                <w:rFonts w:eastAsia="Times New Roman" w:cs="Times New Roman"/>
                <w:b/>
                <w:bCs/>
                <w:color w:val="000000"/>
                <w:sz w:val="20"/>
                <w:lang w:eastAsia="sk-SK"/>
              </w:rPr>
            </w:pPr>
            <w:r w:rsidRPr="007C78D6">
              <w:rPr>
                <w:rFonts w:eastAsia="Times New Roman" w:cs="Times New Roman"/>
                <w:b/>
                <w:bCs/>
                <w:color w:val="000000"/>
                <w:sz w:val="20"/>
                <w:lang w:eastAsia="sk-SK"/>
              </w:rPr>
              <w:t>Štát</w:t>
            </w:r>
          </w:p>
        </w:tc>
        <w:tc>
          <w:tcPr>
            <w:tcW w:w="1417" w:type="dxa"/>
            <w:tcBorders>
              <w:top w:val="single" w:sz="4" w:space="0" w:color="auto"/>
              <w:left w:val="nil"/>
              <w:bottom w:val="single" w:sz="4" w:space="0" w:color="auto"/>
              <w:right w:val="nil"/>
            </w:tcBorders>
            <w:shd w:val="clear" w:color="000000" w:fill="FFFFFF"/>
            <w:vAlign w:val="center"/>
            <w:hideMark/>
          </w:tcPr>
          <w:p w14:paraId="56A1A3DD" w14:textId="77777777" w:rsidR="007C78D6" w:rsidRPr="007C78D6" w:rsidRDefault="007C78D6" w:rsidP="00FD7F33">
            <w:pPr>
              <w:spacing w:after="0"/>
              <w:rPr>
                <w:rFonts w:eastAsia="Times New Roman" w:cs="Times New Roman"/>
                <w:b/>
                <w:bCs/>
                <w:color w:val="000000"/>
                <w:sz w:val="20"/>
                <w:lang w:eastAsia="sk-SK"/>
              </w:rPr>
            </w:pPr>
            <w:r w:rsidRPr="007C78D6">
              <w:rPr>
                <w:rFonts w:eastAsia="Times New Roman" w:cs="Times New Roman"/>
                <w:b/>
                <w:bCs/>
                <w:color w:val="000000"/>
                <w:sz w:val="20"/>
                <w:lang w:eastAsia="sk-SK"/>
              </w:rPr>
              <w:t>Výška kvóty</w:t>
            </w:r>
          </w:p>
        </w:tc>
        <w:tc>
          <w:tcPr>
            <w:tcW w:w="6095" w:type="dxa"/>
            <w:tcBorders>
              <w:top w:val="single" w:sz="4" w:space="0" w:color="auto"/>
              <w:left w:val="nil"/>
              <w:bottom w:val="single" w:sz="4" w:space="0" w:color="auto"/>
              <w:right w:val="nil"/>
            </w:tcBorders>
            <w:shd w:val="clear" w:color="000000" w:fill="FFFFFF"/>
            <w:vAlign w:val="center"/>
            <w:hideMark/>
          </w:tcPr>
          <w:p w14:paraId="12184C33" w14:textId="77777777" w:rsidR="007C78D6" w:rsidRPr="007C78D6" w:rsidRDefault="007C78D6" w:rsidP="00FD7F33">
            <w:pPr>
              <w:spacing w:after="0"/>
              <w:rPr>
                <w:rFonts w:eastAsia="Times New Roman" w:cs="Times New Roman"/>
                <w:b/>
                <w:bCs/>
                <w:color w:val="000000"/>
                <w:sz w:val="20"/>
                <w:lang w:eastAsia="sk-SK"/>
              </w:rPr>
            </w:pPr>
            <w:r w:rsidRPr="007C78D6">
              <w:rPr>
                <w:rFonts w:eastAsia="Times New Roman" w:cs="Times New Roman"/>
                <w:b/>
                <w:bCs/>
                <w:color w:val="000000"/>
                <w:sz w:val="20"/>
                <w:lang w:eastAsia="sk-SK"/>
              </w:rPr>
              <w:t>Veľkosť dotknutých subjektov</w:t>
            </w:r>
          </w:p>
        </w:tc>
      </w:tr>
      <w:tr w:rsidR="007C78D6" w:rsidRPr="007C78D6" w14:paraId="43187D67" w14:textId="77777777" w:rsidTr="00BA06E5">
        <w:trPr>
          <w:trHeight w:val="283"/>
        </w:trPr>
        <w:tc>
          <w:tcPr>
            <w:tcW w:w="1560" w:type="dxa"/>
            <w:tcBorders>
              <w:top w:val="nil"/>
              <w:left w:val="nil"/>
              <w:bottom w:val="nil"/>
              <w:right w:val="nil"/>
            </w:tcBorders>
            <w:shd w:val="clear" w:color="000000" w:fill="FFFFFF"/>
            <w:vAlign w:val="center"/>
            <w:hideMark/>
          </w:tcPr>
          <w:p w14:paraId="5134AA93" w14:textId="77777777" w:rsidR="007C78D6" w:rsidRPr="007C78D6" w:rsidRDefault="007C78D6" w:rsidP="00FD7F33">
            <w:pPr>
              <w:spacing w:after="0"/>
              <w:rPr>
                <w:rFonts w:eastAsia="Times New Roman" w:cs="Times New Roman"/>
                <w:color w:val="000000"/>
                <w:sz w:val="20"/>
                <w:lang w:eastAsia="sk-SK"/>
              </w:rPr>
            </w:pPr>
            <w:r w:rsidRPr="007C78D6">
              <w:rPr>
                <w:rFonts w:eastAsia="Times New Roman" w:cs="Times New Roman"/>
                <w:color w:val="000000"/>
                <w:sz w:val="20"/>
                <w:lang w:eastAsia="sk-SK"/>
              </w:rPr>
              <w:t>Slovensko</w:t>
            </w:r>
          </w:p>
        </w:tc>
        <w:tc>
          <w:tcPr>
            <w:tcW w:w="1417" w:type="dxa"/>
            <w:tcBorders>
              <w:top w:val="nil"/>
              <w:left w:val="nil"/>
              <w:bottom w:val="nil"/>
              <w:right w:val="nil"/>
            </w:tcBorders>
            <w:shd w:val="clear" w:color="000000" w:fill="FFFFFF"/>
            <w:vAlign w:val="center"/>
            <w:hideMark/>
          </w:tcPr>
          <w:p w14:paraId="6C80B5E5" w14:textId="77777777" w:rsidR="007C78D6" w:rsidRPr="007C78D6" w:rsidRDefault="007C78D6" w:rsidP="00FD7F33">
            <w:pPr>
              <w:spacing w:after="0"/>
              <w:rPr>
                <w:rFonts w:eastAsia="Times New Roman" w:cs="Times New Roman"/>
                <w:color w:val="000000"/>
                <w:sz w:val="20"/>
                <w:lang w:eastAsia="sk-SK"/>
              </w:rPr>
            </w:pPr>
            <w:r w:rsidRPr="007C78D6">
              <w:rPr>
                <w:rFonts w:eastAsia="Times New Roman" w:cs="Times New Roman"/>
                <w:color w:val="000000"/>
                <w:sz w:val="20"/>
                <w:lang w:eastAsia="sk-SK"/>
              </w:rPr>
              <w:t>3,20%</w:t>
            </w:r>
          </w:p>
        </w:tc>
        <w:tc>
          <w:tcPr>
            <w:tcW w:w="6095" w:type="dxa"/>
            <w:tcBorders>
              <w:top w:val="nil"/>
              <w:left w:val="nil"/>
              <w:bottom w:val="nil"/>
              <w:right w:val="nil"/>
            </w:tcBorders>
            <w:shd w:val="clear" w:color="000000" w:fill="FFFFFF"/>
            <w:vAlign w:val="center"/>
            <w:hideMark/>
          </w:tcPr>
          <w:p w14:paraId="20CF12FF" w14:textId="77777777" w:rsidR="007C78D6" w:rsidRPr="007C78D6" w:rsidRDefault="007C78D6" w:rsidP="00FD7F33">
            <w:pPr>
              <w:spacing w:after="0"/>
              <w:rPr>
                <w:rFonts w:eastAsia="Times New Roman" w:cs="Times New Roman"/>
                <w:color w:val="000000"/>
                <w:sz w:val="20"/>
                <w:lang w:eastAsia="sk-SK"/>
              </w:rPr>
            </w:pPr>
            <w:r w:rsidRPr="007C78D6">
              <w:rPr>
                <w:rFonts w:eastAsia="Times New Roman" w:cs="Times New Roman"/>
                <w:color w:val="000000"/>
                <w:sz w:val="20"/>
                <w:lang w:eastAsia="sk-SK"/>
              </w:rPr>
              <w:t>≥ 20 zamestnancov</w:t>
            </w:r>
          </w:p>
        </w:tc>
      </w:tr>
      <w:tr w:rsidR="007C78D6" w:rsidRPr="007C78D6" w14:paraId="3E0B1721" w14:textId="77777777" w:rsidTr="00BA06E5">
        <w:trPr>
          <w:trHeight w:val="283"/>
        </w:trPr>
        <w:tc>
          <w:tcPr>
            <w:tcW w:w="1560" w:type="dxa"/>
            <w:tcBorders>
              <w:top w:val="nil"/>
              <w:left w:val="nil"/>
              <w:bottom w:val="nil"/>
              <w:right w:val="nil"/>
            </w:tcBorders>
            <w:shd w:val="clear" w:color="000000" w:fill="FFFFFF"/>
            <w:vAlign w:val="center"/>
            <w:hideMark/>
          </w:tcPr>
          <w:p w14:paraId="1D8FBE2C" w14:textId="77777777" w:rsidR="007C78D6" w:rsidRPr="007C78D6" w:rsidRDefault="007C78D6" w:rsidP="00FD7F33">
            <w:pPr>
              <w:spacing w:after="0"/>
              <w:rPr>
                <w:rFonts w:eastAsia="Times New Roman" w:cs="Times New Roman"/>
                <w:color w:val="000000"/>
                <w:sz w:val="20"/>
                <w:lang w:eastAsia="sk-SK"/>
              </w:rPr>
            </w:pPr>
            <w:r w:rsidRPr="007C78D6">
              <w:rPr>
                <w:rFonts w:eastAsia="Times New Roman" w:cs="Times New Roman"/>
                <w:color w:val="000000"/>
                <w:sz w:val="20"/>
                <w:lang w:eastAsia="sk-SK"/>
              </w:rPr>
              <w:t>Česká republika</w:t>
            </w:r>
          </w:p>
        </w:tc>
        <w:tc>
          <w:tcPr>
            <w:tcW w:w="1417" w:type="dxa"/>
            <w:tcBorders>
              <w:top w:val="nil"/>
              <w:left w:val="nil"/>
              <w:bottom w:val="nil"/>
              <w:right w:val="nil"/>
            </w:tcBorders>
            <w:shd w:val="clear" w:color="000000" w:fill="FFFFFF"/>
            <w:vAlign w:val="center"/>
            <w:hideMark/>
          </w:tcPr>
          <w:p w14:paraId="2E7F6B16" w14:textId="77777777" w:rsidR="007C78D6" w:rsidRPr="007C78D6" w:rsidRDefault="007C78D6" w:rsidP="00FD7F33">
            <w:pPr>
              <w:spacing w:after="0"/>
              <w:rPr>
                <w:rFonts w:eastAsia="Times New Roman" w:cs="Times New Roman"/>
                <w:color w:val="000000"/>
                <w:sz w:val="20"/>
                <w:lang w:eastAsia="sk-SK"/>
              </w:rPr>
            </w:pPr>
            <w:r w:rsidRPr="007C78D6">
              <w:rPr>
                <w:rFonts w:eastAsia="Times New Roman" w:cs="Times New Roman"/>
                <w:color w:val="000000"/>
                <w:sz w:val="20"/>
                <w:lang w:eastAsia="sk-SK"/>
              </w:rPr>
              <w:t>4%</w:t>
            </w:r>
          </w:p>
        </w:tc>
        <w:tc>
          <w:tcPr>
            <w:tcW w:w="6095" w:type="dxa"/>
            <w:tcBorders>
              <w:top w:val="nil"/>
              <w:left w:val="nil"/>
              <w:bottom w:val="nil"/>
              <w:right w:val="nil"/>
            </w:tcBorders>
            <w:shd w:val="clear" w:color="000000" w:fill="FFFFFF"/>
            <w:vAlign w:val="center"/>
            <w:hideMark/>
          </w:tcPr>
          <w:p w14:paraId="693C014F" w14:textId="77777777" w:rsidR="007C78D6" w:rsidRPr="007C78D6" w:rsidRDefault="007C78D6" w:rsidP="00FD7F33">
            <w:pPr>
              <w:spacing w:after="0"/>
              <w:rPr>
                <w:rFonts w:eastAsia="Times New Roman" w:cs="Times New Roman"/>
                <w:color w:val="000000"/>
                <w:sz w:val="20"/>
                <w:lang w:eastAsia="sk-SK"/>
              </w:rPr>
            </w:pPr>
            <w:r w:rsidRPr="007C78D6">
              <w:rPr>
                <w:rFonts w:eastAsia="Times New Roman" w:cs="Times New Roman"/>
                <w:color w:val="000000"/>
                <w:sz w:val="20"/>
                <w:lang w:eastAsia="sk-SK"/>
              </w:rPr>
              <w:t>&gt; 25 zamestnancov</w:t>
            </w:r>
          </w:p>
        </w:tc>
      </w:tr>
      <w:tr w:rsidR="007C78D6" w:rsidRPr="007C78D6" w14:paraId="70789197" w14:textId="77777777" w:rsidTr="00BA06E5">
        <w:trPr>
          <w:trHeight w:val="283"/>
        </w:trPr>
        <w:tc>
          <w:tcPr>
            <w:tcW w:w="1560" w:type="dxa"/>
            <w:tcBorders>
              <w:top w:val="nil"/>
              <w:left w:val="nil"/>
              <w:bottom w:val="nil"/>
              <w:right w:val="nil"/>
            </w:tcBorders>
            <w:shd w:val="clear" w:color="000000" w:fill="FFFFFF"/>
            <w:vAlign w:val="center"/>
            <w:hideMark/>
          </w:tcPr>
          <w:p w14:paraId="4A832840" w14:textId="77777777" w:rsidR="007C78D6" w:rsidRPr="007C78D6" w:rsidRDefault="007C78D6" w:rsidP="00FD7F33">
            <w:pPr>
              <w:spacing w:after="0"/>
              <w:rPr>
                <w:rFonts w:eastAsia="Times New Roman" w:cs="Times New Roman"/>
                <w:color w:val="000000"/>
                <w:sz w:val="20"/>
                <w:lang w:eastAsia="sk-SK"/>
              </w:rPr>
            </w:pPr>
            <w:r w:rsidRPr="007C78D6">
              <w:rPr>
                <w:rFonts w:eastAsia="Times New Roman" w:cs="Times New Roman"/>
                <w:color w:val="000000"/>
                <w:sz w:val="20"/>
                <w:lang w:eastAsia="sk-SK"/>
              </w:rPr>
              <w:t>Maďarsko</w:t>
            </w:r>
          </w:p>
        </w:tc>
        <w:tc>
          <w:tcPr>
            <w:tcW w:w="1417" w:type="dxa"/>
            <w:tcBorders>
              <w:top w:val="nil"/>
              <w:left w:val="nil"/>
              <w:bottom w:val="nil"/>
              <w:right w:val="nil"/>
            </w:tcBorders>
            <w:shd w:val="clear" w:color="000000" w:fill="FFFFFF"/>
            <w:vAlign w:val="center"/>
            <w:hideMark/>
          </w:tcPr>
          <w:p w14:paraId="24AC023B" w14:textId="77777777" w:rsidR="007C78D6" w:rsidRPr="007C78D6" w:rsidRDefault="007C78D6" w:rsidP="00FD7F33">
            <w:pPr>
              <w:spacing w:after="0"/>
              <w:rPr>
                <w:rFonts w:eastAsia="Times New Roman" w:cs="Times New Roman"/>
                <w:color w:val="000000"/>
                <w:sz w:val="20"/>
                <w:lang w:eastAsia="sk-SK"/>
              </w:rPr>
            </w:pPr>
            <w:r w:rsidRPr="007C78D6">
              <w:rPr>
                <w:rFonts w:eastAsia="Times New Roman" w:cs="Times New Roman"/>
                <w:color w:val="000000"/>
                <w:sz w:val="20"/>
                <w:lang w:eastAsia="sk-SK"/>
              </w:rPr>
              <w:t>5%</w:t>
            </w:r>
          </w:p>
        </w:tc>
        <w:tc>
          <w:tcPr>
            <w:tcW w:w="6095" w:type="dxa"/>
            <w:tcBorders>
              <w:top w:val="nil"/>
              <w:left w:val="nil"/>
              <w:bottom w:val="nil"/>
              <w:right w:val="nil"/>
            </w:tcBorders>
            <w:shd w:val="clear" w:color="000000" w:fill="FFFFFF"/>
            <w:vAlign w:val="center"/>
            <w:hideMark/>
          </w:tcPr>
          <w:p w14:paraId="75DE693F" w14:textId="77777777" w:rsidR="007C78D6" w:rsidRPr="007C78D6" w:rsidRDefault="007C78D6" w:rsidP="00FD7F33">
            <w:pPr>
              <w:spacing w:after="0"/>
              <w:rPr>
                <w:rFonts w:eastAsia="Times New Roman" w:cs="Times New Roman"/>
                <w:color w:val="000000"/>
                <w:sz w:val="20"/>
                <w:lang w:eastAsia="sk-SK"/>
              </w:rPr>
            </w:pPr>
            <w:r w:rsidRPr="007C78D6">
              <w:rPr>
                <w:rFonts w:eastAsia="Times New Roman" w:cs="Times New Roman"/>
                <w:color w:val="000000"/>
                <w:sz w:val="20"/>
                <w:lang w:eastAsia="sk-SK"/>
              </w:rPr>
              <w:t>≥ 25 zamestnancov</w:t>
            </w:r>
          </w:p>
        </w:tc>
      </w:tr>
      <w:tr w:rsidR="007C78D6" w:rsidRPr="007C78D6" w14:paraId="516A586E" w14:textId="77777777" w:rsidTr="00BA06E5">
        <w:trPr>
          <w:trHeight w:val="283"/>
        </w:trPr>
        <w:tc>
          <w:tcPr>
            <w:tcW w:w="1560" w:type="dxa"/>
            <w:tcBorders>
              <w:top w:val="nil"/>
              <w:left w:val="nil"/>
              <w:bottom w:val="nil"/>
              <w:right w:val="nil"/>
            </w:tcBorders>
            <w:shd w:val="clear" w:color="000000" w:fill="FFFFFF"/>
            <w:vAlign w:val="center"/>
            <w:hideMark/>
          </w:tcPr>
          <w:p w14:paraId="5C7649DC" w14:textId="77777777" w:rsidR="007C78D6" w:rsidRPr="007C78D6" w:rsidRDefault="007C78D6" w:rsidP="00FD7F33">
            <w:pPr>
              <w:spacing w:after="0"/>
              <w:rPr>
                <w:rFonts w:eastAsia="Times New Roman" w:cs="Times New Roman"/>
                <w:color w:val="000000"/>
                <w:sz w:val="20"/>
                <w:lang w:eastAsia="sk-SK"/>
              </w:rPr>
            </w:pPr>
            <w:r w:rsidRPr="007C78D6">
              <w:rPr>
                <w:rFonts w:eastAsia="Times New Roman" w:cs="Times New Roman"/>
                <w:color w:val="000000"/>
                <w:sz w:val="20"/>
                <w:lang w:eastAsia="sk-SK"/>
              </w:rPr>
              <w:t>Poľsko</w:t>
            </w:r>
          </w:p>
        </w:tc>
        <w:tc>
          <w:tcPr>
            <w:tcW w:w="1417" w:type="dxa"/>
            <w:tcBorders>
              <w:top w:val="nil"/>
              <w:left w:val="nil"/>
              <w:bottom w:val="nil"/>
              <w:right w:val="nil"/>
            </w:tcBorders>
            <w:shd w:val="clear" w:color="000000" w:fill="FFFFFF"/>
            <w:vAlign w:val="center"/>
            <w:hideMark/>
          </w:tcPr>
          <w:p w14:paraId="40FC6E70" w14:textId="77777777" w:rsidR="007C78D6" w:rsidRPr="007C78D6" w:rsidRDefault="007C78D6" w:rsidP="00FD7F33">
            <w:pPr>
              <w:spacing w:after="0"/>
              <w:rPr>
                <w:rFonts w:eastAsia="Times New Roman" w:cs="Times New Roman"/>
                <w:color w:val="000000"/>
                <w:sz w:val="20"/>
                <w:lang w:eastAsia="sk-SK"/>
              </w:rPr>
            </w:pPr>
            <w:r w:rsidRPr="007C78D6">
              <w:rPr>
                <w:rFonts w:eastAsia="Times New Roman" w:cs="Times New Roman"/>
                <w:color w:val="000000"/>
                <w:sz w:val="20"/>
                <w:lang w:eastAsia="sk-SK"/>
              </w:rPr>
              <w:t>6%</w:t>
            </w:r>
          </w:p>
        </w:tc>
        <w:tc>
          <w:tcPr>
            <w:tcW w:w="6095" w:type="dxa"/>
            <w:tcBorders>
              <w:top w:val="nil"/>
              <w:left w:val="nil"/>
              <w:bottom w:val="nil"/>
              <w:right w:val="nil"/>
            </w:tcBorders>
            <w:shd w:val="clear" w:color="000000" w:fill="FFFFFF"/>
            <w:vAlign w:val="center"/>
            <w:hideMark/>
          </w:tcPr>
          <w:p w14:paraId="2F259FA5" w14:textId="77777777" w:rsidR="007C78D6" w:rsidRPr="007C78D6" w:rsidRDefault="007C78D6" w:rsidP="00FD7F33">
            <w:pPr>
              <w:spacing w:after="0"/>
              <w:rPr>
                <w:rFonts w:eastAsia="Times New Roman" w:cs="Times New Roman"/>
                <w:color w:val="000000"/>
                <w:sz w:val="20"/>
                <w:lang w:eastAsia="sk-SK"/>
              </w:rPr>
            </w:pPr>
            <w:r w:rsidRPr="007C78D6">
              <w:rPr>
                <w:rFonts w:eastAsia="Times New Roman" w:cs="Times New Roman"/>
                <w:color w:val="000000"/>
                <w:sz w:val="20"/>
                <w:lang w:eastAsia="sk-SK"/>
              </w:rPr>
              <w:t>≥ 25 zamestnancov</w:t>
            </w:r>
          </w:p>
        </w:tc>
      </w:tr>
      <w:tr w:rsidR="007C78D6" w:rsidRPr="007C78D6" w14:paraId="6FE501F7" w14:textId="77777777" w:rsidTr="00BA06E5">
        <w:trPr>
          <w:trHeight w:val="283"/>
        </w:trPr>
        <w:tc>
          <w:tcPr>
            <w:tcW w:w="1560" w:type="dxa"/>
            <w:tcBorders>
              <w:top w:val="nil"/>
              <w:left w:val="nil"/>
              <w:bottom w:val="nil"/>
              <w:right w:val="nil"/>
            </w:tcBorders>
            <w:shd w:val="clear" w:color="000000" w:fill="FFFFFF"/>
            <w:vAlign w:val="center"/>
            <w:hideMark/>
          </w:tcPr>
          <w:p w14:paraId="77CF457B" w14:textId="77777777" w:rsidR="007C78D6" w:rsidRPr="007C78D6" w:rsidRDefault="007C78D6" w:rsidP="00FD7F33">
            <w:pPr>
              <w:spacing w:after="0"/>
              <w:rPr>
                <w:rFonts w:eastAsia="Times New Roman" w:cs="Times New Roman"/>
                <w:color w:val="000000"/>
                <w:sz w:val="20"/>
                <w:lang w:eastAsia="sk-SK"/>
              </w:rPr>
            </w:pPr>
            <w:r w:rsidRPr="007C78D6">
              <w:rPr>
                <w:rFonts w:eastAsia="Times New Roman" w:cs="Times New Roman"/>
                <w:color w:val="000000"/>
                <w:sz w:val="20"/>
                <w:lang w:eastAsia="sk-SK"/>
              </w:rPr>
              <w:t>Nemecko</w:t>
            </w:r>
          </w:p>
        </w:tc>
        <w:tc>
          <w:tcPr>
            <w:tcW w:w="1417" w:type="dxa"/>
            <w:tcBorders>
              <w:top w:val="nil"/>
              <w:left w:val="nil"/>
              <w:bottom w:val="nil"/>
              <w:right w:val="nil"/>
            </w:tcBorders>
            <w:shd w:val="clear" w:color="000000" w:fill="FFFFFF"/>
            <w:vAlign w:val="center"/>
            <w:hideMark/>
          </w:tcPr>
          <w:p w14:paraId="65A9717F" w14:textId="77777777" w:rsidR="007C78D6" w:rsidRPr="007C78D6" w:rsidRDefault="007C78D6" w:rsidP="00FD7F33">
            <w:pPr>
              <w:spacing w:after="0"/>
              <w:rPr>
                <w:rFonts w:eastAsia="Times New Roman" w:cs="Times New Roman"/>
                <w:color w:val="000000"/>
                <w:sz w:val="20"/>
                <w:lang w:eastAsia="sk-SK"/>
              </w:rPr>
            </w:pPr>
            <w:r w:rsidRPr="007C78D6">
              <w:rPr>
                <w:rFonts w:eastAsia="Times New Roman" w:cs="Times New Roman"/>
                <w:color w:val="000000"/>
                <w:sz w:val="20"/>
                <w:lang w:eastAsia="sk-SK"/>
              </w:rPr>
              <w:t>5%</w:t>
            </w:r>
          </w:p>
        </w:tc>
        <w:tc>
          <w:tcPr>
            <w:tcW w:w="6095" w:type="dxa"/>
            <w:tcBorders>
              <w:top w:val="nil"/>
              <w:left w:val="nil"/>
              <w:bottom w:val="nil"/>
              <w:right w:val="nil"/>
            </w:tcBorders>
            <w:shd w:val="clear" w:color="000000" w:fill="FFFFFF"/>
            <w:vAlign w:val="center"/>
            <w:hideMark/>
          </w:tcPr>
          <w:p w14:paraId="3074120B" w14:textId="77777777" w:rsidR="007C78D6" w:rsidRPr="007C78D6" w:rsidRDefault="007C78D6" w:rsidP="00FD7F33">
            <w:pPr>
              <w:spacing w:after="0"/>
              <w:rPr>
                <w:rFonts w:eastAsia="Times New Roman" w:cs="Times New Roman"/>
                <w:color w:val="000000"/>
                <w:sz w:val="20"/>
                <w:lang w:eastAsia="sk-SK"/>
              </w:rPr>
            </w:pPr>
            <w:r w:rsidRPr="007C78D6">
              <w:rPr>
                <w:rFonts w:eastAsia="Times New Roman" w:cs="Times New Roman"/>
                <w:color w:val="000000"/>
                <w:sz w:val="20"/>
                <w:lang w:eastAsia="sk-SK"/>
              </w:rPr>
              <w:t>≥ 20 zamestnancov</w:t>
            </w:r>
          </w:p>
        </w:tc>
      </w:tr>
      <w:tr w:rsidR="007C78D6" w:rsidRPr="007C78D6" w14:paraId="0D54848F" w14:textId="77777777" w:rsidTr="00BA06E5">
        <w:trPr>
          <w:trHeight w:val="283"/>
        </w:trPr>
        <w:tc>
          <w:tcPr>
            <w:tcW w:w="1560" w:type="dxa"/>
            <w:tcBorders>
              <w:top w:val="nil"/>
              <w:left w:val="nil"/>
              <w:bottom w:val="nil"/>
              <w:right w:val="nil"/>
            </w:tcBorders>
            <w:shd w:val="clear" w:color="000000" w:fill="FFFFFF"/>
            <w:vAlign w:val="center"/>
            <w:hideMark/>
          </w:tcPr>
          <w:p w14:paraId="3F8955FE" w14:textId="77777777" w:rsidR="007C78D6" w:rsidRPr="007C78D6" w:rsidRDefault="007C78D6" w:rsidP="00FD7F33">
            <w:pPr>
              <w:spacing w:after="0" w:line="240" w:lineRule="auto"/>
              <w:rPr>
                <w:rFonts w:eastAsia="Times New Roman" w:cs="Times New Roman"/>
                <w:color w:val="000000"/>
                <w:sz w:val="20"/>
                <w:lang w:eastAsia="sk-SK"/>
              </w:rPr>
            </w:pPr>
            <w:r w:rsidRPr="007C78D6">
              <w:rPr>
                <w:rFonts w:eastAsia="Times New Roman" w:cs="Times New Roman"/>
                <w:color w:val="000000"/>
                <w:sz w:val="20"/>
                <w:lang w:eastAsia="sk-SK"/>
              </w:rPr>
              <w:t>Rakúsko</w:t>
            </w:r>
          </w:p>
        </w:tc>
        <w:tc>
          <w:tcPr>
            <w:tcW w:w="1417" w:type="dxa"/>
            <w:tcBorders>
              <w:top w:val="nil"/>
              <w:left w:val="nil"/>
              <w:bottom w:val="nil"/>
              <w:right w:val="nil"/>
            </w:tcBorders>
            <w:shd w:val="clear" w:color="000000" w:fill="FFFFFF"/>
            <w:vAlign w:val="center"/>
            <w:hideMark/>
          </w:tcPr>
          <w:p w14:paraId="12B4D575" w14:textId="77777777" w:rsidR="007C78D6" w:rsidRPr="007C78D6" w:rsidRDefault="007C78D6" w:rsidP="00FD7F33">
            <w:pPr>
              <w:spacing w:after="0"/>
              <w:rPr>
                <w:rFonts w:eastAsia="Times New Roman" w:cs="Times New Roman"/>
                <w:color w:val="000000"/>
                <w:sz w:val="20"/>
                <w:lang w:eastAsia="sk-SK"/>
              </w:rPr>
            </w:pPr>
            <w:r w:rsidRPr="007C78D6">
              <w:rPr>
                <w:rFonts w:eastAsia="Times New Roman" w:cs="Times New Roman"/>
                <w:color w:val="000000"/>
                <w:sz w:val="20"/>
                <w:lang w:eastAsia="sk-SK"/>
              </w:rPr>
              <w:t>4%</w:t>
            </w:r>
          </w:p>
        </w:tc>
        <w:tc>
          <w:tcPr>
            <w:tcW w:w="6095" w:type="dxa"/>
            <w:tcBorders>
              <w:top w:val="nil"/>
              <w:left w:val="nil"/>
              <w:bottom w:val="nil"/>
              <w:right w:val="nil"/>
            </w:tcBorders>
            <w:shd w:val="clear" w:color="000000" w:fill="FFFFFF"/>
            <w:vAlign w:val="center"/>
            <w:hideMark/>
          </w:tcPr>
          <w:p w14:paraId="3E6D975C" w14:textId="77777777" w:rsidR="007C78D6" w:rsidRPr="007C78D6" w:rsidRDefault="007C78D6" w:rsidP="00FD7F33">
            <w:pPr>
              <w:spacing w:after="0"/>
              <w:rPr>
                <w:rFonts w:eastAsia="Times New Roman" w:cs="Times New Roman"/>
                <w:color w:val="000000"/>
                <w:sz w:val="20"/>
                <w:lang w:eastAsia="sk-SK"/>
              </w:rPr>
            </w:pPr>
            <w:r w:rsidRPr="007C78D6">
              <w:rPr>
                <w:rFonts w:eastAsia="Times New Roman" w:cs="Times New Roman"/>
                <w:color w:val="000000"/>
                <w:sz w:val="20"/>
                <w:lang w:eastAsia="sk-SK"/>
              </w:rPr>
              <w:t>≥ 25 zamestnancov</w:t>
            </w:r>
          </w:p>
        </w:tc>
      </w:tr>
      <w:tr w:rsidR="007C78D6" w:rsidRPr="007C78D6" w14:paraId="5FC5E343" w14:textId="77777777" w:rsidTr="00BA06E5">
        <w:trPr>
          <w:trHeight w:val="283"/>
        </w:trPr>
        <w:tc>
          <w:tcPr>
            <w:tcW w:w="1560" w:type="dxa"/>
            <w:tcBorders>
              <w:top w:val="nil"/>
              <w:left w:val="nil"/>
              <w:bottom w:val="nil"/>
              <w:right w:val="nil"/>
            </w:tcBorders>
            <w:shd w:val="clear" w:color="000000" w:fill="FFFFFF"/>
            <w:vAlign w:val="center"/>
            <w:hideMark/>
          </w:tcPr>
          <w:p w14:paraId="7E6E1725" w14:textId="77777777" w:rsidR="007C78D6" w:rsidRPr="007C78D6" w:rsidRDefault="007C78D6" w:rsidP="00FD7F33">
            <w:pPr>
              <w:spacing w:after="0"/>
              <w:rPr>
                <w:rFonts w:eastAsia="Times New Roman" w:cs="Times New Roman"/>
                <w:color w:val="000000"/>
                <w:sz w:val="20"/>
                <w:lang w:eastAsia="sk-SK"/>
              </w:rPr>
            </w:pPr>
            <w:r w:rsidRPr="007C78D6">
              <w:rPr>
                <w:rFonts w:eastAsia="Times New Roman" w:cs="Times New Roman"/>
                <w:color w:val="000000"/>
                <w:sz w:val="20"/>
                <w:lang w:eastAsia="sk-SK"/>
              </w:rPr>
              <w:t>Chorvátsko</w:t>
            </w:r>
          </w:p>
        </w:tc>
        <w:tc>
          <w:tcPr>
            <w:tcW w:w="1417" w:type="dxa"/>
            <w:tcBorders>
              <w:top w:val="nil"/>
              <w:left w:val="nil"/>
              <w:bottom w:val="nil"/>
              <w:right w:val="nil"/>
            </w:tcBorders>
            <w:shd w:val="clear" w:color="000000" w:fill="FFFFFF"/>
            <w:vAlign w:val="center"/>
            <w:hideMark/>
          </w:tcPr>
          <w:p w14:paraId="607AE54B" w14:textId="77777777" w:rsidR="007C78D6" w:rsidRPr="007C78D6" w:rsidRDefault="007C78D6" w:rsidP="00FD7F33">
            <w:pPr>
              <w:spacing w:after="0"/>
              <w:rPr>
                <w:rFonts w:eastAsia="Times New Roman" w:cs="Times New Roman"/>
                <w:color w:val="000000"/>
                <w:sz w:val="20"/>
                <w:lang w:eastAsia="sk-SK"/>
              </w:rPr>
            </w:pPr>
            <w:r w:rsidRPr="007C78D6">
              <w:rPr>
                <w:rFonts w:eastAsia="Times New Roman" w:cs="Times New Roman"/>
                <w:color w:val="000000"/>
                <w:sz w:val="20"/>
                <w:lang w:eastAsia="sk-SK"/>
              </w:rPr>
              <w:t>3%</w:t>
            </w:r>
          </w:p>
        </w:tc>
        <w:tc>
          <w:tcPr>
            <w:tcW w:w="6095" w:type="dxa"/>
            <w:tcBorders>
              <w:top w:val="nil"/>
              <w:left w:val="nil"/>
              <w:bottom w:val="nil"/>
              <w:right w:val="nil"/>
            </w:tcBorders>
            <w:shd w:val="clear" w:color="000000" w:fill="FFFFFF"/>
            <w:vAlign w:val="center"/>
            <w:hideMark/>
          </w:tcPr>
          <w:p w14:paraId="65BB5C04" w14:textId="77777777" w:rsidR="007C78D6" w:rsidRPr="007C78D6" w:rsidRDefault="007C78D6" w:rsidP="00FD7F33">
            <w:pPr>
              <w:spacing w:after="0"/>
              <w:rPr>
                <w:rFonts w:eastAsia="Times New Roman" w:cs="Times New Roman"/>
                <w:color w:val="000000"/>
                <w:sz w:val="20"/>
                <w:lang w:eastAsia="sk-SK"/>
              </w:rPr>
            </w:pPr>
            <w:r w:rsidRPr="007C78D6">
              <w:rPr>
                <w:rFonts w:eastAsia="Times New Roman" w:cs="Times New Roman"/>
                <w:color w:val="000000"/>
                <w:sz w:val="20"/>
                <w:lang w:eastAsia="sk-SK"/>
              </w:rPr>
              <w:t>≥ 20 zamestnancov</w:t>
            </w:r>
          </w:p>
        </w:tc>
      </w:tr>
      <w:tr w:rsidR="007C78D6" w:rsidRPr="007C78D6" w14:paraId="63E35E7C" w14:textId="77777777" w:rsidTr="00BA06E5">
        <w:trPr>
          <w:trHeight w:val="283"/>
        </w:trPr>
        <w:tc>
          <w:tcPr>
            <w:tcW w:w="1560" w:type="dxa"/>
            <w:tcBorders>
              <w:top w:val="nil"/>
              <w:left w:val="nil"/>
              <w:bottom w:val="nil"/>
              <w:right w:val="nil"/>
            </w:tcBorders>
            <w:shd w:val="clear" w:color="000000" w:fill="FFFFFF"/>
            <w:vAlign w:val="center"/>
            <w:hideMark/>
          </w:tcPr>
          <w:p w14:paraId="45AC6B10" w14:textId="77777777" w:rsidR="007C78D6" w:rsidRPr="007C78D6" w:rsidRDefault="007C78D6" w:rsidP="00FD7F33">
            <w:pPr>
              <w:spacing w:after="0"/>
              <w:rPr>
                <w:rFonts w:eastAsia="Times New Roman" w:cs="Times New Roman"/>
                <w:color w:val="000000"/>
                <w:sz w:val="20"/>
                <w:lang w:eastAsia="sk-SK"/>
              </w:rPr>
            </w:pPr>
            <w:r w:rsidRPr="007C78D6">
              <w:rPr>
                <w:rFonts w:eastAsia="Times New Roman" w:cs="Times New Roman"/>
                <w:color w:val="000000"/>
                <w:sz w:val="20"/>
                <w:lang w:eastAsia="sk-SK"/>
              </w:rPr>
              <w:t>Slovinsko</w:t>
            </w:r>
          </w:p>
        </w:tc>
        <w:tc>
          <w:tcPr>
            <w:tcW w:w="1417" w:type="dxa"/>
            <w:tcBorders>
              <w:top w:val="nil"/>
              <w:left w:val="nil"/>
              <w:bottom w:val="nil"/>
              <w:right w:val="nil"/>
            </w:tcBorders>
            <w:shd w:val="clear" w:color="000000" w:fill="FFFFFF"/>
            <w:vAlign w:val="center"/>
            <w:hideMark/>
          </w:tcPr>
          <w:p w14:paraId="029429F8" w14:textId="77777777" w:rsidR="007C78D6" w:rsidRPr="007C78D6" w:rsidRDefault="007C78D6" w:rsidP="00FD7F33">
            <w:pPr>
              <w:spacing w:after="0"/>
              <w:rPr>
                <w:rFonts w:eastAsia="Times New Roman" w:cs="Times New Roman"/>
                <w:color w:val="000000"/>
                <w:sz w:val="20"/>
                <w:lang w:eastAsia="sk-SK"/>
              </w:rPr>
            </w:pPr>
            <w:r w:rsidRPr="007C78D6">
              <w:rPr>
                <w:rFonts w:eastAsia="Times New Roman" w:cs="Times New Roman"/>
                <w:color w:val="000000"/>
                <w:sz w:val="20"/>
                <w:lang w:eastAsia="sk-SK"/>
              </w:rPr>
              <w:t>2 – 6 %</w:t>
            </w:r>
          </w:p>
        </w:tc>
        <w:tc>
          <w:tcPr>
            <w:tcW w:w="6095" w:type="dxa"/>
            <w:tcBorders>
              <w:top w:val="nil"/>
              <w:left w:val="nil"/>
              <w:bottom w:val="nil"/>
              <w:right w:val="nil"/>
            </w:tcBorders>
            <w:shd w:val="clear" w:color="000000" w:fill="FFFFFF"/>
            <w:vAlign w:val="center"/>
            <w:hideMark/>
          </w:tcPr>
          <w:p w14:paraId="091ACAD1" w14:textId="77777777" w:rsidR="007C78D6" w:rsidRPr="007C78D6" w:rsidRDefault="007C78D6" w:rsidP="00FD7F33">
            <w:pPr>
              <w:spacing w:after="0"/>
              <w:rPr>
                <w:rFonts w:eastAsia="Times New Roman" w:cs="Times New Roman"/>
                <w:color w:val="000000"/>
                <w:sz w:val="20"/>
                <w:lang w:eastAsia="sk-SK"/>
              </w:rPr>
            </w:pPr>
            <w:r w:rsidRPr="007C78D6">
              <w:rPr>
                <w:rFonts w:eastAsia="Times New Roman" w:cs="Times New Roman"/>
                <w:color w:val="000000"/>
                <w:sz w:val="20"/>
                <w:lang w:eastAsia="sk-SK"/>
              </w:rPr>
              <w:t>&gt; 20 zamestnancov (kvóty závisia od oblasti ekonomickej aktivity)</w:t>
            </w:r>
          </w:p>
        </w:tc>
      </w:tr>
      <w:tr w:rsidR="007C78D6" w:rsidRPr="007C78D6" w14:paraId="59F24A64" w14:textId="77777777" w:rsidTr="00BA06E5">
        <w:trPr>
          <w:trHeight w:val="283"/>
        </w:trPr>
        <w:tc>
          <w:tcPr>
            <w:tcW w:w="1560" w:type="dxa"/>
            <w:tcBorders>
              <w:top w:val="nil"/>
              <w:left w:val="nil"/>
              <w:bottom w:val="nil"/>
              <w:right w:val="nil"/>
            </w:tcBorders>
            <w:shd w:val="clear" w:color="000000" w:fill="FFFFFF"/>
            <w:vAlign w:val="center"/>
            <w:hideMark/>
          </w:tcPr>
          <w:p w14:paraId="24ACB27A" w14:textId="77777777" w:rsidR="007C78D6" w:rsidRPr="007C78D6" w:rsidRDefault="007C78D6" w:rsidP="00FD7F33">
            <w:pPr>
              <w:spacing w:after="0"/>
              <w:rPr>
                <w:rFonts w:eastAsia="Times New Roman" w:cs="Times New Roman"/>
                <w:color w:val="000000"/>
                <w:sz w:val="20"/>
                <w:lang w:eastAsia="sk-SK"/>
              </w:rPr>
            </w:pPr>
            <w:r w:rsidRPr="007C78D6">
              <w:rPr>
                <w:rFonts w:eastAsia="Times New Roman" w:cs="Times New Roman"/>
                <w:color w:val="000000"/>
                <w:sz w:val="20"/>
                <w:lang w:eastAsia="sk-SK"/>
              </w:rPr>
              <w:t>Španielsko</w:t>
            </w:r>
          </w:p>
        </w:tc>
        <w:tc>
          <w:tcPr>
            <w:tcW w:w="1417" w:type="dxa"/>
            <w:tcBorders>
              <w:top w:val="nil"/>
              <w:left w:val="nil"/>
              <w:bottom w:val="nil"/>
              <w:right w:val="nil"/>
            </w:tcBorders>
            <w:shd w:val="clear" w:color="000000" w:fill="FFFFFF"/>
            <w:vAlign w:val="center"/>
            <w:hideMark/>
          </w:tcPr>
          <w:p w14:paraId="1047AB0B" w14:textId="77777777" w:rsidR="007C78D6" w:rsidRPr="007C78D6" w:rsidRDefault="007C78D6" w:rsidP="00FD7F33">
            <w:pPr>
              <w:spacing w:after="0"/>
              <w:rPr>
                <w:rFonts w:eastAsia="Times New Roman" w:cs="Times New Roman"/>
                <w:color w:val="000000"/>
                <w:sz w:val="20"/>
                <w:lang w:eastAsia="sk-SK"/>
              </w:rPr>
            </w:pPr>
            <w:r w:rsidRPr="007C78D6">
              <w:rPr>
                <w:rFonts w:eastAsia="Times New Roman" w:cs="Times New Roman"/>
                <w:color w:val="000000"/>
                <w:sz w:val="20"/>
                <w:lang w:eastAsia="sk-SK"/>
              </w:rPr>
              <w:t>2%</w:t>
            </w:r>
          </w:p>
        </w:tc>
        <w:tc>
          <w:tcPr>
            <w:tcW w:w="6095" w:type="dxa"/>
            <w:tcBorders>
              <w:top w:val="nil"/>
              <w:left w:val="nil"/>
              <w:bottom w:val="nil"/>
              <w:right w:val="nil"/>
            </w:tcBorders>
            <w:shd w:val="clear" w:color="000000" w:fill="FFFFFF"/>
            <w:vAlign w:val="center"/>
            <w:hideMark/>
          </w:tcPr>
          <w:p w14:paraId="28798BBB" w14:textId="77777777" w:rsidR="007C78D6" w:rsidRPr="007C78D6" w:rsidRDefault="007C78D6" w:rsidP="00FD7F33">
            <w:pPr>
              <w:spacing w:after="0"/>
              <w:rPr>
                <w:rFonts w:eastAsia="Times New Roman" w:cs="Times New Roman"/>
                <w:color w:val="000000"/>
                <w:sz w:val="20"/>
                <w:lang w:eastAsia="sk-SK"/>
              </w:rPr>
            </w:pPr>
            <w:r w:rsidRPr="007C78D6">
              <w:rPr>
                <w:rFonts w:eastAsia="Times New Roman" w:cs="Times New Roman"/>
                <w:color w:val="000000"/>
                <w:sz w:val="20"/>
                <w:lang w:eastAsia="sk-SK"/>
              </w:rPr>
              <w:t>&gt; 50 zamestnancov</w:t>
            </w:r>
          </w:p>
        </w:tc>
      </w:tr>
      <w:tr w:rsidR="007C78D6" w:rsidRPr="007C78D6" w14:paraId="543083FB" w14:textId="77777777" w:rsidTr="00BA06E5">
        <w:trPr>
          <w:trHeight w:val="283"/>
        </w:trPr>
        <w:tc>
          <w:tcPr>
            <w:tcW w:w="1560" w:type="dxa"/>
            <w:tcBorders>
              <w:top w:val="nil"/>
              <w:left w:val="nil"/>
              <w:bottom w:val="nil"/>
              <w:right w:val="nil"/>
            </w:tcBorders>
            <w:shd w:val="clear" w:color="000000" w:fill="FFFFFF"/>
            <w:vAlign w:val="center"/>
            <w:hideMark/>
          </w:tcPr>
          <w:p w14:paraId="3F1CC6C7" w14:textId="77777777" w:rsidR="007C78D6" w:rsidRPr="007C78D6" w:rsidRDefault="007C78D6" w:rsidP="00FD7F33">
            <w:pPr>
              <w:spacing w:after="0"/>
              <w:rPr>
                <w:rFonts w:eastAsia="Times New Roman" w:cs="Times New Roman"/>
                <w:color w:val="000000"/>
                <w:sz w:val="20"/>
                <w:lang w:eastAsia="sk-SK"/>
              </w:rPr>
            </w:pPr>
            <w:r w:rsidRPr="007C78D6">
              <w:rPr>
                <w:rFonts w:eastAsia="Times New Roman" w:cs="Times New Roman"/>
                <w:color w:val="000000"/>
                <w:sz w:val="20"/>
                <w:lang w:eastAsia="sk-SK"/>
              </w:rPr>
              <w:t>Francúzsko</w:t>
            </w:r>
          </w:p>
        </w:tc>
        <w:tc>
          <w:tcPr>
            <w:tcW w:w="1417" w:type="dxa"/>
            <w:tcBorders>
              <w:top w:val="nil"/>
              <w:left w:val="nil"/>
              <w:bottom w:val="nil"/>
              <w:right w:val="nil"/>
            </w:tcBorders>
            <w:shd w:val="clear" w:color="000000" w:fill="FFFFFF"/>
            <w:vAlign w:val="center"/>
            <w:hideMark/>
          </w:tcPr>
          <w:p w14:paraId="4E02A213" w14:textId="77777777" w:rsidR="007C78D6" w:rsidRPr="007C78D6" w:rsidRDefault="007C78D6" w:rsidP="00FD7F33">
            <w:pPr>
              <w:spacing w:after="0"/>
              <w:rPr>
                <w:rFonts w:eastAsia="Times New Roman" w:cs="Times New Roman"/>
                <w:color w:val="000000"/>
                <w:sz w:val="20"/>
                <w:lang w:eastAsia="sk-SK"/>
              </w:rPr>
            </w:pPr>
            <w:r w:rsidRPr="007C78D6">
              <w:rPr>
                <w:rFonts w:eastAsia="Times New Roman" w:cs="Times New Roman"/>
                <w:color w:val="000000"/>
                <w:sz w:val="20"/>
                <w:lang w:eastAsia="sk-SK"/>
              </w:rPr>
              <w:t>6%</w:t>
            </w:r>
          </w:p>
        </w:tc>
        <w:tc>
          <w:tcPr>
            <w:tcW w:w="6095" w:type="dxa"/>
            <w:tcBorders>
              <w:top w:val="nil"/>
              <w:left w:val="nil"/>
              <w:bottom w:val="nil"/>
              <w:right w:val="nil"/>
            </w:tcBorders>
            <w:shd w:val="clear" w:color="000000" w:fill="FFFFFF"/>
            <w:vAlign w:val="center"/>
            <w:hideMark/>
          </w:tcPr>
          <w:p w14:paraId="56108E50" w14:textId="77777777" w:rsidR="007C78D6" w:rsidRPr="007C78D6" w:rsidRDefault="007C78D6" w:rsidP="00FD7F33">
            <w:pPr>
              <w:spacing w:after="0"/>
              <w:rPr>
                <w:rFonts w:eastAsia="Times New Roman" w:cs="Times New Roman"/>
                <w:color w:val="000000"/>
                <w:sz w:val="20"/>
                <w:lang w:eastAsia="sk-SK"/>
              </w:rPr>
            </w:pPr>
            <w:r w:rsidRPr="007C78D6">
              <w:rPr>
                <w:rFonts w:eastAsia="Times New Roman" w:cs="Times New Roman"/>
                <w:color w:val="000000"/>
                <w:sz w:val="20"/>
                <w:lang w:eastAsia="sk-SK"/>
              </w:rPr>
              <w:t>&gt; 20 zamestnancov</w:t>
            </w:r>
          </w:p>
        </w:tc>
      </w:tr>
      <w:tr w:rsidR="007C78D6" w:rsidRPr="007C78D6" w14:paraId="099145F1" w14:textId="77777777" w:rsidTr="00BA06E5">
        <w:trPr>
          <w:trHeight w:val="283"/>
        </w:trPr>
        <w:tc>
          <w:tcPr>
            <w:tcW w:w="1560" w:type="dxa"/>
            <w:tcBorders>
              <w:top w:val="nil"/>
              <w:left w:val="nil"/>
              <w:bottom w:val="nil"/>
              <w:right w:val="nil"/>
            </w:tcBorders>
            <w:shd w:val="clear" w:color="000000" w:fill="FFFFFF"/>
            <w:vAlign w:val="center"/>
            <w:hideMark/>
          </w:tcPr>
          <w:p w14:paraId="644403C1" w14:textId="77777777" w:rsidR="007C78D6" w:rsidRPr="007C78D6" w:rsidRDefault="007C78D6" w:rsidP="00FD7F33">
            <w:pPr>
              <w:spacing w:after="0"/>
              <w:rPr>
                <w:rFonts w:eastAsia="Times New Roman" w:cs="Times New Roman"/>
                <w:color w:val="000000"/>
                <w:sz w:val="20"/>
                <w:lang w:eastAsia="sk-SK"/>
              </w:rPr>
            </w:pPr>
            <w:r w:rsidRPr="007C78D6">
              <w:rPr>
                <w:rFonts w:eastAsia="Times New Roman" w:cs="Times New Roman"/>
                <w:color w:val="000000"/>
                <w:sz w:val="20"/>
                <w:lang w:eastAsia="sk-SK"/>
              </w:rPr>
              <w:t>Taliansko</w:t>
            </w:r>
          </w:p>
        </w:tc>
        <w:tc>
          <w:tcPr>
            <w:tcW w:w="1417" w:type="dxa"/>
            <w:tcBorders>
              <w:top w:val="nil"/>
              <w:left w:val="nil"/>
              <w:bottom w:val="nil"/>
              <w:right w:val="nil"/>
            </w:tcBorders>
            <w:shd w:val="clear" w:color="000000" w:fill="FFFFFF"/>
            <w:vAlign w:val="center"/>
            <w:hideMark/>
          </w:tcPr>
          <w:p w14:paraId="2050FF92" w14:textId="77777777" w:rsidR="007C78D6" w:rsidRPr="007C78D6" w:rsidRDefault="007C78D6" w:rsidP="00FD7F33">
            <w:pPr>
              <w:spacing w:after="0"/>
              <w:rPr>
                <w:rFonts w:eastAsia="Times New Roman" w:cs="Times New Roman"/>
                <w:color w:val="000000"/>
                <w:sz w:val="20"/>
                <w:lang w:eastAsia="sk-SK"/>
              </w:rPr>
            </w:pPr>
            <w:r w:rsidRPr="007C78D6">
              <w:rPr>
                <w:rFonts w:eastAsia="Times New Roman" w:cs="Times New Roman"/>
                <w:color w:val="000000"/>
                <w:sz w:val="20"/>
                <w:lang w:eastAsia="sk-SK"/>
              </w:rPr>
              <w:t>7%</w:t>
            </w:r>
          </w:p>
        </w:tc>
        <w:tc>
          <w:tcPr>
            <w:tcW w:w="6095" w:type="dxa"/>
            <w:tcBorders>
              <w:top w:val="nil"/>
              <w:left w:val="nil"/>
              <w:bottom w:val="nil"/>
              <w:right w:val="nil"/>
            </w:tcBorders>
            <w:shd w:val="clear" w:color="000000" w:fill="FFFFFF"/>
            <w:vAlign w:val="center"/>
            <w:hideMark/>
          </w:tcPr>
          <w:p w14:paraId="5E695290" w14:textId="77777777" w:rsidR="007C78D6" w:rsidRPr="007C78D6" w:rsidRDefault="007C78D6" w:rsidP="00FD7F33">
            <w:pPr>
              <w:spacing w:after="0"/>
              <w:rPr>
                <w:rFonts w:eastAsia="Times New Roman" w:cs="Times New Roman"/>
                <w:color w:val="000000"/>
                <w:sz w:val="20"/>
                <w:lang w:eastAsia="sk-SK"/>
              </w:rPr>
            </w:pPr>
            <w:r w:rsidRPr="007C78D6">
              <w:rPr>
                <w:rFonts w:eastAsia="Times New Roman" w:cs="Times New Roman"/>
                <w:color w:val="000000"/>
                <w:sz w:val="20"/>
                <w:lang w:eastAsia="sk-SK"/>
              </w:rPr>
              <w:t>&gt; 50 zamestnancov (iné kvóty platia pre zamestnancov s 15-49 zamestnancami)</w:t>
            </w:r>
          </w:p>
        </w:tc>
      </w:tr>
      <w:tr w:rsidR="007C78D6" w:rsidRPr="007C78D6" w14:paraId="6175A36E" w14:textId="77777777" w:rsidTr="00BA06E5">
        <w:trPr>
          <w:trHeight w:val="283"/>
        </w:trPr>
        <w:tc>
          <w:tcPr>
            <w:tcW w:w="1560" w:type="dxa"/>
            <w:tcBorders>
              <w:top w:val="nil"/>
              <w:left w:val="nil"/>
              <w:bottom w:val="single" w:sz="4" w:space="0" w:color="auto"/>
              <w:right w:val="nil"/>
            </w:tcBorders>
            <w:shd w:val="clear" w:color="000000" w:fill="FFFFFF"/>
            <w:vAlign w:val="center"/>
            <w:hideMark/>
          </w:tcPr>
          <w:p w14:paraId="2534EA0C" w14:textId="77777777" w:rsidR="007C78D6" w:rsidRPr="007C78D6" w:rsidRDefault="007C78D6" w:rsidP="00FD7F33">
            <w:pPr>
              <w:spacing w:after="0"/>
              <w:rPr>
                <w:rFonts w:eastAsia="Times New Roman" w:cs="Times New Roman"/>
                <w:color w:val="000000"/>
                <w:sz w:val="20"/>
                <w:lang w:eastAsia="sk-SK"/>
              </w:rPr>
            </w:pPr>
            <w:r w:rsidRPr="007C78D6">
              <w:rPr>
                <w:rFonts w:eastAsia="Times New Roman" w:cs="Times New Roman"/>
                <w:color w:val="000000"/>
                <w:sz w:val="20"/>
                <w:lang w:eastAsia="sk-SK"/>
              </w:rPr>
              <w:t>Malta</w:t>
            </w:r>
          </w:p>
        </w:tc>
        <w:tc>
          <w:tcPr>
            <w:tcW w:w="1417" w:type="dxa"/>
            <w:tcBorders>
              <w:top w:val="nil"/>
              <w:left w:val="nil"/>
              <w:bottom w:val="single" w:sz="4" w:space="0" w:color="auto"/>
              <w:right w:val="nil"/>
            </w:tcBorders>
            <w:shd w:val="clear" w:color="000000" w:fill="FFFFFF"/>
            <w:vAlign w:val="center"/>
            <w:hideMark/>
          </w:tcPr>
          <w:p w14:paraId="7A038A60" w14:textId="77777777" w:rsidR="007C78D6" w:rsidRPr="007C78D6" w:rsidRDefault="007C78D6" w:rsidP="00FD7F33">
            <w:pPr>
              <w:spacing w:after="0"/>
              <w:rPr>
                <w:rFonts w:eastAsia="Times New Roman" w:cs="Times New Roman"/>
                <w:color w:val="000000"/>
                <w:sz w:val="20"/>
                <w:lang w:eastAsia="sk-SK"/>
              </w:rPr>
            </w:pPr>
            <w:r w:rsidRPr="007C78D6">
              <w:rPr>
                <w:rFonts w:eastAsia="Times New Roman" w:cs="Times New Roman"/>
                <w:color w:val="000000"/>
                <w:sz w:val="20"/>
                <w:lang w:eastAsia="sk-SK"/>
              </w:rPr>
              <w:t>2%</w:t>
            </w:r>
          </w:p>
        </w:tc>
        <w:tc>
          <w:tcPr>
            <w:tcW w:w="6095" w:type="dxa"/>
            <w:tcBorders>
              <w:top w:val="nil"/>
              <w:left w:val="nil"/>
              <w:bottom w:val="single" w:sz="4" w:space="0" w:color="auto"/>
              <w:right w:val="nil"/>
            </w:tcBorders>
            <w:shd w:val="clear" w:color="000000" w:fill="FFFFFF"/>
            <w:vAlign w:val="center"/>
            <w:hideMark/>
          </w:tcPr>
          <w:p w14:paraId="74E071AB" w14:textId="77777777" w:rsidR="007C78D6" w:rsidRPr="007C78D6" w:rsidRDefault="007C78D6" w:rsidP="00FD7F33">
            <w:pPr>
              <w:spacing w:after="0"/>
              <w:rPr>
                <w:rFonts w:eastAsia="Times New Roman" w:cs="Times New Roman"/>
                <w:color w:val="000000"/>
                <w:sz w:val="20"/>
                <w:lang w:eastAsia="sk-SK"/>
              </w:rPr>
            </w:pPr>
            <w:r w:rsidRPr="007C78D6">
              <w:rPr>
                <w:rFonts w:eastAsia="Times New Roman" w:cs="Times New Roman"/>
                <w:color w:val="000000"/>
                <w:sz w:val="20"/>
                <w:lang w:eastAsia="sk-SK"/>
              </w:rPr>
              <w:t>&gt; 20 zamestnancov</w:t>
            </w:r>
          </w:p>
        </w:tc>
      </w:tr>
    </w:tbl>
    <w:p w14:paraId="3EE40C48" w14:textId="77777777" w:rsidR="00EA7FF5" w:rsidRPr="00586773" w:rsidRDefault="00EA7FF5" w:rsidP="00E51E6C">
      <w:pPr>
        <w:spacing w:after="0"/>
        <w:jc w:val="right"/>
        <w:rPr>
          <w:rFonts w:cs="NeueHaasGroteskText W02"/>
          <w:i/>
          <w:sz w:val="18"/>
          <w:szCs w:val="18"/>
        </w:rPr>
      </w:pPr>
      <w:r w:rsidRPr="00586773">
        <w:rPr>
          <w:rFonts w:cs="NeueHaasGroteskText W02"/>
          <w:i/>
          <w:sz w:val="18"/>
          <w:szCs w:val="18"/>
        </w:rPr>
        <w:t xml:space="preserve">Zdroj: </w:t>
      </w:r>
      <w:r w:rsidRPr="00586773">
        <w:rPr>
          <w:i/>
          <w:sz w:val="18"/>
          <w:szCs w:val="18"/>
        </w:rPr>
        <w:t>MISSOC database</w:t>
      </w:r>
      <w:r w:rsidRPr="00586773" w:rsidDel="008400C3">
        <w:rPr>
          <w:rFonts w:cs="NeueHaasGroteskText W02"/>
          <w:i/>
          <w:sz w:val="18"/>
          <w:szCs w:val="18"/>
        </w:rPr>
        <w:t xml:space="preserve"> </w:t>
      </w:r>
    </w:p>
    <w:p w14:paraId="49D95C15" w14:textId="18F9DD10" w:rsidR="00EF1973" w:rsidRPr="00D3189B" w:rsidRDefault="00EF1973" w:rsidP="00E51E6C">
      <w:pPr>
        <w:spacing w:before="120" w:after="160"/>
        <w:jc w:val="left"/>
        <w:rPr>
          <w:color w:val="0070C0"/>
        </w:rPr>
      </w:pPr>
      <w:r>
        <w:rPr>
          <w:color w:val="0070C0"/>
        </w:rPr>
        <w:t>Pracovná rehabilitácia a rekvalifikácia</w:t>
      </w:r>
    </w:p>
    <w:p w14:paraId="25D95756" w14:textId="6C66D366" w:rsidR="00EA7FF5" w:rsidRPr="00CA2564" w:rsidRDefault="00EA7FF5" w:rsidP="009E6C4C">
      <w:pPr>
        <w:autoSpaceDE w:val="0"/>
        <w:autoSpaceDN w:val="0"/>
        <w:adjustRightInd w:val="0"/>
        <w:spacing w:before="160"/>
        <w:rPr>
          <w:rFonts w:eastAsia="Calibri" w:cs="Times New Roman"/>
        </w:rPr>
      </w:pPr>
      <w:r w:rsidRPr="00CA2564">
        <w:rPr>
          <w:rFonts w:eastAsia="Calibri" w:cs="Times New Roman"/>
          <w:b/>
        </w:rPr>
        <w:t>Pracovná rehabilitácia je nástrojom zameraným na identifikáciu a rozvoj</w:t>
      </w:r>
      <w:r w:rsidR="006D45A6">
        <w:rPr>
          <w:rFonts w:eastAsia="Calibri" w:cs="Times New Roman"/>
          <w:b/>
        </w:rPr>
        <w:t xml:space="preserve"> schopností a zručností osôb so </w:t>
      </w:r>
      <w:r w:rsidRPr="00CA2564">
        <w:rPr>
          <w:rFonts w:eastAsia="Calibri" w:cs="Times New Roman"/>
          <w:b/>
        </w:rPr>
        <w:t>zdravotným znevýhodnením (nielen v dôsledku úrazu ale</w:t>
      </w:r>
      <w:r w:rsidR="009250FE">
        <w:rPr>
          <w:rFonts w:eastAsia="Calibri" w:cs="Times New Roman"/>
          <w:b/>
        </w:rPr>
        <w:t>bo choroby z povolania) vedúci</w:t>
      </w:r>
      <w:r w:rsidRPr="00CA2564">
        <w:rPr>
          <w:rFonts w:eastAsia="Calibri" w:cs="Times New Roman"/>
          <w:b/>
        </w:rPr>
        <w:t xml:space="preserve"> k ich pracovnému začleneniu</w:t>
      </w:r>
      <w:r w:rsidRPr="00CA2564">
        <w:rPr>
          <w:rFonts w:eastAsia="Calibri" w:cs="Times New Roman"/>
        </w:rPr>
        <w:t>. Klientom poskytuje napríklad možnosti tréningu p</w:t>
      </w:r>
      <w:r w:rsidR="006D45A6">
        <w:rPr>
          <w:rFonts w:eastAsia="Calibri" w:cs="Times New Roman"/>
        </w:rPr>
        <w:t>racovných návykov, adaptácie na </w:t>
      </w:r>
      <w:r w:rsidRPr="00CA2564">
        <w:rPr>
          <w:rFonts w:eastAsia="Calibri" w:cs="Times New Roman"/>
        </w:rPr>
        <w:t>pracovné prostredie, rekvalifikácie či rozvoja motoriky.</w:t>
      </w:r>
      <w:r w:rsidRPr="00CA2564">
        <w:rPr>
          <w:rStyle w:val="Odkaznapoznmkupodiarou"/>
          <w:rFonts w:eastAsia="Calibri" w:cs="Times New Roman"/>
        </w:rPr>
        <w:footnoteReference w:id="343"/>
      </w:r>
      <w:r w:rsidRPr="00CA2564">
        <w:rPr>
          <w:rFonts w:eastAsia="Calibri" w:cs="Times New Roman"/>
        </w:rPr>
        <w:t xml:space="preserve"> Môže sa poskytovať spolu s ďalšími formami rehabilitácie, napríklad sociálnou, liečebnou, pedagogickou či psychologickou rehabilitáciou.</w:t>
      </w:r>
    </w:p>
    <w:p w14:paraId="59E6FF82" w14:textId="3CFA5E90" w:rsidR="006620E2" w:rsidRPr="00CA2564" w:rsidRDefault="00EA7FF5" w:rsidP="009E6C4C">
      <w:pPr>
        <w:autoSpaceDE w:val="0"/>
        <w:autoSpaceDN w:val="0"/>
        <w:adjustRightInd w:val="0"/>
        <w:spacing w:before="160"/>
        <w:rPr>
          <w:rFonts w:eastAsia="Calibri" w:cs="Times New Roman"/>
        </w:rPr>
      </w:pPr>
      <w:r w:rsidRPr="00CA2564">
        <w:rPr>
          <w:rFonts w:eastAsia="Calibri" w:cs="Times New Roman"/>
          <w:b/>
        </w:rPr>
        <w:t>Jasná a presne definovaná koncepcia pracovnej rehabilitácie</w:t>
      </w:r>
      <w:r w:rsidRPr="00CA2564">
        <w:t xml:space="preserve"> </w:t>
      </w:r>
      <w:r w:rsidRPr="00CA2564">
        <w:rPr>
          <w:rFonts w:eastAsia="Calibri" w:cs="Times New Roman"/>
          <w:b/>
        </w:rPr>
        <w:t xml:space="preserve">a rekvalifikácie v podmienkach SR chýba. </w:t>
      </w:r>
      <w:r w:rsidRPr="00CA2564">
        <w:rPr>
          <w:rFonts w:eastAsia="Calibri" w:cs="Times New Roman"/>
        </w:rPr>
        <w:t>Definovaná je len v kontexte sociálneho poistenia ako dávka financovaná z úrazového poistenia v dôsledku pracovného úrazu alebo choroby z povolania, ak podľa posudku lekára možno predpokladať opätovné zaradenie poškodeného do pracovného procesu. V praxi sa však nevyužíva.</w:t>
      </w:r>
      <w:r w:rsidR="006620E2">
        <w:rPr>
          <w:rFonts w:eastAsia="Calibri" w:cs="Times New Roman"/>
        </w:rPr>
        <w:t xml:space="preserve"> </w:t>
      </w:r>
      <w:r w:rsidR="006620E2">
        <w:t>Počas posledných 4 rokov evidovala Sociálna poisťovňa len 8 žiadostí o rehabilitačné a rekvalifikačné dávky</w:t>
      </w:r>
      <w:r w:rsidR="004A5C17">
        <w:t>,</w:t>
      </w:r>
      <w:r w:rsidR="006620E2">
        <w:t xml:space="preserve"> pričom k vyplácaniu dávok nedošlo</w:t>
      </w:r>
      <w:r w:rsidR="006620E2">
        <w:rPr>
          <w:rStyle w:val="Odkaznapoznmkupodiarou"/>
        </w:rPr>
        <w:footnoteReference w:id="344"/>
      </w:r>
      <w:r w:rsidR="006D45A6">
        <w:t>. Výdavky na </w:t>
      </w:r>
      <w:r w:rsidR="006620E2">
        <w:t xml:space="preserve">tieto dávky neboli ani obsiahnuté v schválenom rozpočte Sociálnej poisťovne. </w:t>
      </w:r>
    </w:p>
    <w:p w14:paraId="61DEE9C7" w14:textId="7F7A0128" w:rsidR="00EA7FF5" w:rsidRPr="00CA2564" w:rsidRDefault="00EA7FF5" w:rsidP="009E6C4C">
      <w:pPr>
        <w:autoSpaceDE w:val="0"/>
        <w:autoSpaceDN w:val="0"/>
        <w:adjustRightInd w:val="0"/>
        <w:spacing w:before="160"/>
        <w:rPr>
          <w:rFonts w:eastAsia="Calibri" w:cs="Times New Roman"/>
        </w:rPr>
      </w:pPr>
      <w:r w:rsidRPr="00CA2564">
        <w:rPr>
          <w:rFonts w:eastAsia="Calibri" w:cs="Times New Roman"/>
          <w:b/>
        </w:rPr>
        <w:t xml:space="preserve">V súčasnosti neexistuje register všetkých poskytovateľov pracovnej rehabilitácie či rekvalifikácie, čo môže sťažovať prístup k týmto službám. </w:t>
      </w:r>
      <w:r w:rsidRPr="00CA2564">
        <w:rPr>
          <w:rFonts w:eastAsia="Calibri" w:cs="Times New Roman"/>
        </w:rPr>
        <w:t>Z verejných inštitúcií vykonávajú pracovnú rehabilitáciu dve špecializované zariadenia MPSVR SR - Centrum sociálnej a pracovnej rehabil</w:t>
      </w:r>
      <w:r w:rsidR="008F6E96">
        <w:rPr>
          <w:rFonts w:eastAsia="Calibri" w:cs="Times New Roman"/>
        </w:rPr>
        <w:t>itácie (CSPR) pri Inštitúte pre </w:t>
      </w:r>
      <w:r w:rsidRPr="00CA2564">
        <w:rPr>
          <w:rFonts w:eastAsia="Calibri" w:cs="Times New Roman"/>
        </w:rPr>
        <w:t>pracovnú rehabilitáciu občanov so ZP (IPR) a Rehabilitačné stredisko pre zrakovo postihnutých v Levoči (RSZP). Do roku 2003 poskytovali pracovnú rehabilitáciu aj Poradensko-informačné centrá (PIC)</w:t>
      </w:r>
      <w:r w:rsidRPr="00CA2564">
        <w:rPr>
          <w:rStyle w:val="Odkaznapoznmkupodiarou"/>
          <w:rFonts w:eastAsia="Calibri" w:cs="Times New Roman"/>
        </w:rPr>
        <w:footnoteReference w:id="345"/>
      </w:r>
      <w:r w:rsidRPr="00CA2564">
        <w:rPr>
          <w:rFonts w:eastAsia="Calibri" w:cs="Times New Roman"/>
        </w:rPr>
        <w:t xml:space="preserve">, ktoré </w:t>
      </w:r>
      <w:r w:rsidR="00560350">
        <w:rPr>
          <w:rFonts w:eastAsia="Calibri" w:cs="Times New Roman"/>
        </w:rPr>
        <w:t>už</w:t>
      </w:r>
      <w:r w:rsidR="00560350" w:rsidRPr="00CA2564">
        <w:rPr>
          <w:rFonts w:eastAsia="Calibri" w:cs="Times New Roman"/>
        </w:rPr>
        <w:t xml:space="preserve"> </w:t>
      </w:r>
      <w:r w:rsidRPr="00CA2564">
        <w:rPr>
          <w:rFonts w:eastAsia="Calibri" w:cs="Times New Roman"/>
        </w:rPr>
        <w:t xml:space="preserve">v novej legislatíve (zákone o službách zamestnanosti) od roku 2004 neboli definované. Pracovnú rehabilitáciu môžu poskytovať aj agentúry podporovaného zamestnávania, ich fungovanie v podmienkach SR </w:t>
      </w:r>
      <w:r w:rsidR="00AA29DF" w:rsidRPr="00CA2564">
        <w:rPr>
          <w:rFonts w:eastAsia="Calibri" w:cs="Times New Roman"/>
        </w:rPr>
        <w:t xml:space="preserve">však </w:t>
      </w:r>
      <w:r w:rsidRPr="00CA2564">
        <w:rPr>
          <w:rFonts w:eastAsia="Calibri" w:cs="Times New Roman"/>
        </w:rPr>
        <w:t xml:space="preserve">nie je systémovo nastavené. </w:t>
      </w:r>
      <w:r w:rsidRPr="00AB28DA">
        <w:rPr>
          <w:rFonts w:eastAsia="Calibri" w:cs="Times New Roman"/>
          <w:b/>
        </w:rPr>
        <w:t xml:space="preserve">Revízia navrhuje vypracovať </w:t>
      </w:r>
      <w:r w:rsidR="00C05BCF">
        <w:rPr>
          <w:rFonts w:eastAsia="Calibri" w:cs="Times New Roman"/>
          <w:b/>
        </w:rPr>
        <w:t>návrh funkčného</w:t>
      </w:r>
      <w:r w:rsidR="00C05BCF" w:rsidRPr="00AB28DA">
        <w:rPr>
          <w:rFonts w:eastAsia="Calibri" w:cs="Times New Roman"/>
          <w:b/>
        </w:rPr>
        <w:t xml:space="preserve"> </w:t>
      </w:r>
      <w:r w:rsidRPr="00AB28DA">
        <w:rPr>
          <w:rFonts w:eastAsia="Calibri" w:cs="Times New Roman"/>
          <w:b/>
        </w:rPr>
        <w:t>sy</w:t>
      </w:r>
      <w:r w:rsidR="008F6E96">
        <w:rPr>
          <w:rFonts w:eastAsia="Calibri" w:cs="Times New Roman"/>
          <w:b/>
        </w:rPr>
        <w:t>stému pracovnej rehabilitácie a </w:t>
      </w:r>
      <w:r w:rsidRPr="00AB28DA">
        <w:rPr>
          <w:rFonts w:eastAsia="Calibri" w:cs="Times New Roman"/>
          <w:b/>
        </w:rPr>
        <w:t>rekvalifikácie.</w:t>
      </w:r>
      <w:r w:rsidRPr="00CA2564">
        <w:rPr>
          <w:rFonts w:eastAsia="Calibri" w:cs="Times New Roman"/>
          <w:b/>
        </w:rPr>
        <w:t xml:space="preserve"> </w:t>
      </w:r>
    </w:p>
    <w:p w14:paraId="3FBB69C9" w14:textId="1FD274AE" w:rsidR="00EA7FF5" w:rsidRPr="00CA2564" w:rsidRDefault="00EA7FF5" w:rsidP="009E6C4C">
      <w:pPr>
        <w:pStyle w:val="Nadpis2"/>
        <w:spacing w:before="160"/>
      </w:pPr>
      <w:bookmarkStart w:id="574" w:name="_Toc18340943"/>
      <w:bookmarkStart w:id="575" w:name="_Ref25235015"/>
      <w:bookmarkStart w:id="576" w:name="_Ref25310134"/>
      <w:bookmarkStart w:id="577" w:name="_Ref25312130"/>
      <w:bookmarkStart w:id="578" w:name="_Ref25315016"/>
      <w:bookmarkStart w:id="579" w:name="_Ref25315219"/>
      <w:bookmarkStart w:id="580" w:name="_Ref33185600"/>
      <w:bookmarkStart w:id="581" w:name="_Toc34657729"/>
      <w:r w:rsidRPr="00CA2564">
        <w:t>Politiky zamerané na zosúladenie pracovného a rodinného života</w:t>
      </w:r>
      <w:bookmarkEnd w:id="574"/>
      <w:bookmarkEnd w:id="575"/>
      <w:bookmarkEnd w:id="576"/>
      <w:bookmarkEnd w:id="577"/>
      <w:bookmarkEnd w:id="578"/>
      <w:bookmarkEnd w:id="579"/>
      <w:bookmarkEnd w:id="580"/>
      <w:bookmarkEnd w:id="581"/>
    </w:p>
    <w:p w14:paraId="13D60C7A" w14:textId="095A454F" w:rsidR="00EA7FF5" w:rsidRDefault="00EA7FF5" w:rsidP="009E6C4C">
      <w:pPr>
        <w:spacing w:before="160"/>
      </w:pPr>
      <w:r w:rsidRPr="00CA2564">
        <w:rPr>
          <w:b/>
        </w:rPr>
        <w:t xml:space="preserve">Zamestnanosť je jedným z najúčinnejších nástrojov v boji proti chudobe, zvlášť v prípade osamelých </w:t>
      </w:r>
      <w:r w:rsidR="00F46270">
        <w:rPr>
          <w:b/>
        </w:rPr>
        <w:t>rodičov</w:t>
      </w:r>
      <w:r w:rsidRPr="00CA2564">
        <w:rPr>
          <w:b/>
        </w:rPr>
        <w:t>.</w:t>
      </w:r>
      <w:r w:rsidRPr="00CA2564">
        <w:rPr>
          <w:rStyle w:val="Odkaznapoznmkupodiarou"/>
          <w:b/>
        </w:rPr>
        <w:footnoteReference w:id="346"/>
      </w:r>
      <w:r w:rsidRPr="00CA2564">
        <w:rPr>
          <w:b/>
        </w:rPr>
        <w:t xml:space="preserve"> </w:t>
      </w:r>
      <w:r w:rsidRPr="00CA2564">
        <w:t>Kľúčovú úlohu zohráva spôsob, akým štát pomáha rodinám čeliť napätiu medzi potrebou zabezpečiť príjem pre rodinu a potrebou zabezpečiť starostlivosť o deti. Štáty, v ktorých je podpora starostlivosti o deti nízka</w:t>
      </w:r>
      <w:r w:rsidR="00623880">
        <w:t>,</w:t>
      </w:r>
      <w:r w:rsidRPr="00CA2564">
        <w:t xml:space="preserve"> alebo v ktorých je podpora zameraná prevažne na domácu starostlivosť, zaznamenávajú podstatne vyššiu mieru chudoby osamelých </w:t>
      </w:r>
      <w:r w:rsidR="004E4961">
        <w:t>matiek</w:t>
      </w:r>
      <w:r w:rsidRPr="00CA2564">
        <w:t xml:space="preserve"> a ich detí ako štáty, ktoré aktívne pomáhajú matkám pri kombinovaní domácej starostlivosti s formálnou starostlivosťou mimo domova, ktorá matkám umožňuje pracovať (Misra a spol., 2007). Veľmi nízka miera zamestnanosti osamelých matiek s dieťaťom mladším ako 6 rokov na Slovensku pomáha vysvetliť veľmi vysokú mieru rizika chudoby alebo sociálneho vylúčenia tohto druhu rodín (</w:t>
      </w:r>
      <w:r w:rsidR="00420F41">
        <w:t>k</w:t>
      </w:r>
      <w:r w:rsidRPr="00CA2564">
        <w:t xml:space="preserve">apitola </w:t>
      </w:r>
      <w:r w:rsidR="00A02A8B">
        <w:fldChar w:fldCharType="begin"/>
      </w:r>
      <w:r w:rsidR="00A02A8B">
        <w:instrText xml:space="preserve"> REF _Ref25315166 \r \h </w:instrText>
      </w:r>
      <w:r w:rsidR="00A02A8B">
        <w:fldChar w:fldCharType="separate"/>
      </w:r>
      <w:r w:rsidR="00FA29AF">
        <w:t>2</w:t>
      </w:r>
      <w:r w:rsidR="00A02A8B">
        <w:fldChar w:fldCharType="end"/>
      </w:r>
      <w:r w:rsidRPr="00CA2564">
        <w:t>).</w:t>
      </w:r>
    </w:p>
    <w:p w14:paraId="355A72B8" w14:textId="680CB9B5" w:rsidR="002B6462" w:rsidRPr="00CE4B44" w:rsidRDefault="002B6462" w:rsidP="009E6C4C">
      <w:pPr>
        <w:spacing w:before="160"/>
        <w:rPr>
          <w:color w:val="0070C0"/>
        </w:rPr>
      </w:pPr>
      <w:r>
        <w:rPr>
          <w:color w:val="0070C0"/>
        </w:rPr>
        <w:t>Dostupnosť starostlivosti o deti do troch rokov veku dieťaťa</w:t>
      </w:r>
    </w:p>
    <w:p w14:paraId="15A9709A" w14:textId="2798D069" w:rsidR="00EA7FF5" w:rsidRPr="00CA2564" w:rsidRDefault="00EA7FF5" w:rsidP="009E6C4C">
      <w:pPr>
        <w:spacing w:before="160"/>
      </w:pPr>
      <w:r w:rsidRPr="00CA2564">
        <w:rPr>
          <w:b/>
        </w:rPr>
        <w:t xml:space="preserve">Finančne dostupná starostlivosť o deti patrí medzi najefektívnejšie nástroje pre podporu zamestnanosti matiek s malými deťmi. </w:t>
      </w:r>
      <w:r w:rsidRPr="00CA2564">
        <w:t xml:space="preserve">Na tomto závere sa zhodujú štúdie porovnávajúce systémy podpory rodín jednotlivých štátov ako aj štúdie skúmajúce dopady reforiem na zamestnanosť matiek v rámci jednotlivých štátov (Olivetti a Petrongolo, 2017). Dostupnosť formálnej starostlivosti o deti má významnejší dopad na zamestnanosť matiek s nižším vzdelaním, ktoré sú pravdepodobne chudobnejšie (Del Boca a spol., 2008). </w:t>
      </w:r>
      <w:r w:rsidR="00D710DF">
        <w:rPr>
          <w:b/>
        </w:rPr>
        <w:t>Pozitívny dopad na </w:t>
      </w:r>
      <w:r w:rsidRPr="00CA2564">
        <w:rPr>
          <w:b/>
        </w:rPr>
        <w:t>zamestnanosť je ešte výraznejší v prípade osamelých matiek.</w:t>
      </w:r>
      <w:r w:rsidRPr="00CA2564">
        <w:t xml:space="preserve"> Dokladujú to štúdie z USA (Gelbach</w:t>
      </w:r>
      <w:r w:rsidR="00D710DF">
        <w:t>, 2002;</w:t>
      </w:r>
      <w:r w:rsidRPr="00CA2564">
        <w:t xml:space="preserve"> Bainbridge a spol.</w:t>
      </w:r>
      <w:r w:rsidR="00D710DF">
        <w:t>,</w:t>
      </w:r>
      <w:r w:rsidRPr="00CA2564">
        <w:t xml:space="preserve"> </w:t>
      </w:r>
      <w:r w:rsidR="00D710DF">
        <w:t>2003;</w:t>
      </w:r>
      <w:r w:rsidRPr="00CA2564">
        <w:t xml:space="preserve"> Cascio</w:t>
      </w:r>
      <w:r w:rsidR="00D710DF">
        <w:t>,</w:t>
      </w:r>
      <w:r w:rsidRPr="00CA2564">
        <w:t xml:space="preserve"> 2009) aj Nemecka (Bauernschuster a Schlotter, 2015).</w:t>
      </w:r>
    </w:p>
    <w:p w14:paraId="205173FA" w14:textId="0A345F89" w:rsidR="00EA7FF5" w:rsidRPr="00CA2564" w:rsidRDefault="001153C1" w:rsidP="009E6C4C">
      <w:pPr>
        <w:spacing w:before="160"/>
      </w:pPr>
      <w:r>
        <w:rPr>
          <w:b/>
        </w:rPr>
        <w:t>Kvalitná formálna starostlivosť o deti do 3 rokov veku dieťaťa má konzi</w:t>
      </w:r>
      <w:r w:rsidR="00436E1D">
        <w:rPr>
          <w:b/>
        </w:rPr>
        <w:t>s</w:t>
      </w:r>
      <w:r>
        <w:rPr>
          <w:b/>
        </w:rPr>
        <w:t xml:space="preserve">tentne pozitívny dopad na </w:t>
      </w:r>
      <w:r w:rsidR="00436E1D">
        <w:rPr>
          <w:b/>
        </w:rPr>
        <w:t xml:space="preserve">ich </w:t>
      </w:r>
      <w:r>
        <w:rPr>
          <w:b/>
        </w:rPr>
        <w:t>vývi</w:t>
      </w:r>
      <w:r w:rsidR="00436E1D">
        <w:rPr>
          <w:b/>
        </w:rPr>
        <w:t>n</w:t>
      </w:r>
      <w:r>
        <w:rPr>
          <w:b/>
        </w:rPr>
        <w:t xml:space="preserve">, zvlášť v prípade detí so sociálnym znevýhodnením. </w:t>
      </w:r>
      <w:r>
        <w:t>K tomuto záveru dospela n</w:t>
      </w:r>
      <w:r w:rsidR="00EA7FF5" w:rsidRPr="00CA2564">
        <w:t>edávna meta</w:t>
      </w:r>
      <w:r w:rsidR="00D12C5E">
        <w:t>-</w:t>
      </w:r>
      <w:r w:rsidR="00EA7FF5" w:rsidRPr="00CA2564">
        <w:t xml:space="preserve">analýza skúmajúca výsledky 30 štúdii zameraných </w:t>
      </w:r>
      <w:r w:rsidR="00EB66D7">
        <w:t>na dlhodobé efekty formálnej ra</w:t>
      </w:r>
      <w:r w:rsidR="00EA7FF5" w:rsidRPr="00CA2564">
        <w:t>nej starostlivosti o deti. Verejne poskytované programy majú vyššiu úspešnosť ako súkromné a najväčší osoh má formálna starostlivosť v prípade sociálne znevýhodnených detí (Huizen a Plantenga, 2018). Autori usudzujú, že dostupné poznatky podporujú univerzálny prístup formálnej starostlivosti pre malé deti s kĺzajúcou stupnicou poplatkov v závislosti od príjmu domácnosti tak, aby kombinácia súkromných a verejných zdrojov financovania zabezpečila dostatočnú kvalitu.</w:t>
      </w:r>
      <w:r w:rsidR="0070047D">
        <w:t xml:space="preserve"> </w:t>
      </w:r>
    </w:p>
    <w:p w14:paraId="6FDB01DA" w14:textId="15FFFC96" w:rsidR="00EA7FF5" w:rsidRPr="00CA2564" w:rsidRDefault="00EA7FF5" w:rsidP="009E6C4C">
      <w:pPr>
        <w:spacing w:before="160"/>
      </w:pPr>
      <w:r w:rsidRPr="00CA2564">
        <w:rPr>
          <w:b/>
        </w:rPr>
        <w:t>Dostupnosť formálnej starostlivosti odporúčajú aj medzinárodné organizácie.</w:t>
      </w:r>
      <w:r w:rsidRPr="00CA2564">
        <w:t xml:space="preserve"> UNICEF štátom odporúča</w:t>
      </w:r>
      <w:r w:rsidR="00F25CB3">
        <w:t>,</w:t>
      </w:r>
      <w:r w:rsidRPr="00CA2564">
        <w:t xml:space="preserve"> aby zabezpečili dostupnosť dotovaných a regulovaných služieb starostlivosti, ktoré dokážu pokryť aspoň 25 % detí vo veku do 3 rokov (UNICEF, 2008).</w:t>
      </w:r>
      <w:r w:rsidRPr="00CA2564">
        <w:rPr>
          <w:rStyle w:val="Odkaznapoznmkupodiarou"/>
        </w:rPr>
        <w:footnoteReference w:id="347"/>
      </w:r>
      <w:r w:rsidRPr="00CA2564">
        <w:t xml:space="preserve"> Takzvané Barcelonské ciele, ku ktorým sa zaviazali členské štáty Európskej únie dokonca stanovili cieľ účasti na formálnej starostlivosti na 33 % detí vo veku do 3 rokov.</w:t>
      </w:r>
    </w:p>
    <w:p w14:paraId="575EE040" w14:textId="47C5CE2E" w:rsidR="008E73B3" w:rsidRPr="000D00C5" w:rsidRDefault="007F6C74" w:rsidP="00A103C8">
      <w:pPr>
        <w:spacing w:after="160"/>
      </w:pPr>
      <w:r>
        <w:rPr>
          <w:b/>
        </w:rPr>
        <w:t>Vzhľadom na iné opatrenia podpory rodičovstva využitie</w:t>
      </w:r>
      <w:r w:rsidR="00EA7FF5" w:rsidRPr="00CA2564">
        <w:rPr>
          <w:b/>
        </w:rPr>
        <w:t xml:space="preserve"> formálnej starostlivosti o deti </w:t>
      </w:r>
      <w:r>
        <w:rPr>
          <w:b/>
        </w:rPr>
        <w:t xml:space="preserve">do troch rokov veku </w:t>
      </w:r>
      <w:r w:rsidR="00EA7FF5" w:rsidRPr="00CA2564">
        <w:rPr>
          <w:b/>
        </w:rPr>
        <w:t xml:space="preserve">na Slovensku </w:t>
      </w:r>
      <w:r>
        <w:rPr>
          <w:b/>
        </w:rPr>
        <w:t>je výrazne nižšie</w:t>
      </w:r>
      <w:r w:rsidR="00EA7FF5" w:rsidRPr="00CA2564">
        <w:rPr>
          <w:b/>
        </w:rPr>
        <w:t xml:space="preserve"> v porovnaní s ostatnými vyspelými krajinami.</w:t>
      </w:r>
      <w:r w:rsidR="00EA7FF5" w:rsidRPr="00CA2564">
        <w:t xml:space="preserve"> Podľa OECD navštevovalo v roku 201</w:t>
      </w:r>
      <w:r w:rsidR="002E673E">
        <w:t>7</w:t>
      </w:r>
      <w:r w:rsidR="00EA7FF5" w:rsidRPr="00CA2564">
        <w:t xml:space="preserve"> na Slovensku jasle alebo podobné zariadenie iba </w:t>
      </w:r>
      <w:r w:rsidR="002E673E">
        <w:t>1,3</w:t>
      </w:r>
      <w:r w:rsidR="00EA7FF5" w:rsidRPr="00CA2564">
        <w:t xml:space="preserve"> % detí vo veku </w:t>
      </w:r>
      <w:r w:rsidR="00A502DF">
        <w:t xml:space="preserve">do 3 </w:t>
      </w:r>
      <w:r w:rsidR="00EA7FF5" w:rsidRPr="00CA2564">
        <w:t>rokov, čo je najnižší podiel v rámci EÚ</w:t>
      </w:r>
      <w:r w:rsidR="00C04186">
        <w:t>. Priemer vyspelých krajín EÚ15 bol 42</w:t>
      </w:r>
      <w:r w:rsidR="00EA7FF5" w:rsidRPr="00CA2564">
        <w:t xml:space="preserve"> %. Nedostatok formálnej starostlivosti pre malé deti vo viacerých krajinách supluje neformálna starostlivosť poskytovaná zvyčajne starými rodičmi dieťaťa, prípadne inými príbuznými, susedmi atď. (</w:t>
      </w:r>
      <w:r w:rsidR="00EA7FF5" w:rsidRPr="00CA2564">
        <w:fldChar w:fldCharType="begin"/>
      </w:r>
      <w:r w:rsidR="00EA7FF5" w:rsidRPr="00CA2564">
        <w:instrText xml:space="preserve"> REF _Ref16007068 \h  \* MERGEFORMAT </w:instrText>
      </w:r>
      <w:r w:rsidR="00EA7FF5" w:rsidRPr="00CA2564">
        <w:fldChar w:fldCharType="separate"/>
      </w:r>
      <w:r w:rsidR="00FA29AF" w:rsidRPr="00FA29AF">
        <w:t xml:space="preserve">Graf </w:t>
      </w:r>
      <w:r w:rsidR="00FA29AF" w:rsidRPr="00FA29AF">
        <w:rPr>
          <w:noProof/>
        </w:rPr>
        <w:t>44</w:t>
      </w:r>
      <w:r w:rsidR="00EA7FF5" w:rsidRPr="00CA2564">
        <w:fldChar w:fldCharType="end"/>
      </w:r>
      <w:r w:rsidR="00EA7FF5" w:rsidRPr="00CA2564">
        <w:t>) (Bordone a spol., 2017).</w:t>
      </w:r>
      <w:r w:rsidR="00D710DF">
        <w:t xml:space="preserve"> Avšak na Slovensku je účasť na </w:t>
      </w:r>
      <w:r w:rsidR="00EA7FF5" w:rsidRPr="00CA2564">
        <w:t xml:space="preserve">neformálnej starostlivosti </w:t>
      </w:r>
      <w:r w:rsidR="00C04186">
        <w:t>iba 25 %</w:t>
      </w:r>
      <w:r w:rsidR="00FD5EC4">
        <w:t>, čo naznačuje, že veľká väčšina malých detí zostáva doma s rodičom</w:t>
      </w:r>
      <w:r w:rsidR="00EA7FF5" w:rsidRPr="00CA2564">
        <w:t xml:space="preserve">. Slovensko tiež </w:t>
      </w:r>
      <w:r w:rsidR="00EA7FF5" w:rsidRPr="00710D5D">
        <w:rPr>
          <w:szCs w:val="22"/>
        </w:rPr>
        <w:t>zaostáva za väčšinou krajín EÚ v zaškolenosti detí vo veku od 4 rokov do začatia povi</w:t>
      </w:r>
      <w:r w:rsidR="004522D4" w:rsidRPr="00710D5D">
        <w:rPr>
          <w:szCs w:val="22"/>
        </w:rPr>
        <w:t>nnej školskej dochádzky (</w:t>
      </w:r>
      <w:r w:rsidR="00970805">
        <w:rPr>
          <w:szCs w:val="22"/>
        </w:rPr>
        <w:t>pod</w:t>
      </w:r>
      <w:r w:rsidR="004522D4" w:rsidRPr="00710D5D">
        <w:rPr>
          <w:szCs w:val="22"/>
        </w:rPr>
        <w:t>kapitola</w:t>
      </w:r>
      <w:r w:rsidR="00970805">
        <w:rPr>
          <w:szCs w:val="22"/>
        </w:rPr>
        <w:t xml:space="preserve"> </w:t>
      </w:r>
      <w:r w:rsidR="00970805">
        <w:rPr>
          <w:szCs w:val="22"/>
        </w:rPr>
        <w:fldChar w:fldCharType="begin"/>
      </w:r>
      <w:r w:rsidR="00970805">
        <w:rPr>
          <w:szCs w:val="22"/>
        </w:rPr>
        <w:instrText xml:space="preserve"> REF _Ref25310222 \r \h </w:instrText>
      </w:r>
      <w:r w:rsidR="00970805">
        <w:rPr>
          <w:szCs w:val="22"/>
        </w:rPr>
      </w:r>
      <w:r w:rsidR="00970805">
        <w:rPr>
          <w:szCs w:val="22"/>
        </w:rPr>
        <w:fldChar w:fldCharType="separate"/>
      </w:r>
      <w:r w:rsidR="00FA29AF">
        <w:rPr>
          <w:szCs w:val="22"/>
        </w:rPr>
        <w:t>5.1</w:t>
      </w:r>
      <w:r w:rsidR="00970805">
        <w:rPr>
          <w:szCs w:val="22"/>
        </w:rPr>
        <w:fldChar w:fldCharType="end"/>
      </w:r>
      <w:r w:rsidR="00EA7FF5" w:rsidRPr="00710D5D">
        <w:rPr>
          <w:szCs w:val="22"/>
        </w:rPr>
        <w:t>).</w:t>
      </w:r>
      <w:r w:rsidR="00EA7FF5" w:rsidRPr="00CA2564">
        <w:t xml:space="preserve"> </w:t>
      </w:r>
    </w:p>
    <w:tbl>
      <w:tblPr>
        <w:tblW w:w="9086" w:type="dxa"/>
        <w:tblLayout w:type="fixed"/>
        <w:tblLook w:val="04E0" w:firstRow="1" w:lastRow="1" w:firstColumn="1" w:lastColumn="0" w:noHBand="0" w:noVBand="1"/>
      </w:tblPr>
      <w:tblGrid>
        <w:gridCol w:w="4395"/>
        <w:gridCol w:w="283"/>
        <w:gridCol w:w="4408"/>
      </w:tblGrid>
      <w:tr w:rsidR="00EA7FF5" w:rsidRPr="00CA2564" w14:paraId="057D3AE5" w14:textId="77777777" w:rsidTr="009755A0">
        <w:tc>
          <w:tcPr>
            <w:tcW w:w="4395" w:type="dxa"/>
            <w:tcBorders>
              <w:bottom w:val="single" w:sz="4" w:space="0" w:color="auto"/>
            </w:tcBorders>
            <w:vAlign w:val="bottom"/>
          </w:tcPr>
          <w:p w14:paraId="035E8776" w14:textId="6AE8E689" w:rsidR="00EA7FF5" w:rsidRPr="009755A0" w:rsidRDefault="00EA7FF5" w:rsidP="009755A0">
            <w:pPr>
              <w:spacing w:after="0" w:line="240" w:lineRule="auto"/>
              <w:jc w:val="left"/>
              <w:rPr>
                <w:b/>
                <w:sz w:val="20"/>
              </w:rPr>
            </w:pPr>
            <w:bookmarkStart w:id="582" w:name="_Ref16007068"/>
            <w:bookmarkStart w:id="583" w:name="_Toc17469412"/>
            <w:bookmarkStart w:id="584" w:name="_Toc34157602"/>
            <w:r w:rsidRPr="009755A0">
              <w:rPr>
                <w:b/>
                <w:sz w:val="20"/>
              </w:rPr>
              <w:t xml:space="preserve">Graf </w:t>
            </w:r>
            <w:r w:rsidRPr="009755A0">
              <w:rPr>
                <w:b/>
                <w:sz w:val="20"/>
              </w:rPr>
              <w:fldChar w:fldCharType="begin"/>
            </w:r>
            <w:r w:rsidRPr="009755A0">
              <w:rPr>
                <w:b/>
                <w:sz w:val="20"/>
              </w:rPr>
              <w:instrText xml:space="preserve"> SEQ Graf \* ARABIC </w:instrText>
            </w:r>
            <w:r w:rsidRPr="009755A0">
              <w:rPr>
                <w:b/>
                <w:sz w:val="20"/>
              </w:rPr>
              <w:fldChar w:fldCharType="separate"/>
            </w:r>
            <w:r w:rsidR="00FA29AF">
              <w:rPr>
                <w:b/>
                <w:noProof/>
                <w:sz w:val="20"/>
              </w:rPr>
              <w:t>44</w:t>
            </w:r>
            <w:r w:rsidRPr="009755A0">
              <w:rPr>
                <w:b/>
                <w:sz w:val="20"/>
              </w:rPr>
              <w:fldChar w:fldCharType="end"/>
            </w:r>
            <w:bookmarkEnd w:id="582"/>
            <w:r w:rsidR="00A502DF">
              <w:rPr>
                <w:b/>
                <w:sz w:val="20"/>
              </w:rPr>
              <w:t>: Účasť detí vo veku do 3</w:t>
            </w:r>
            <w:r w:rsidRPr="009755A0">
              <w:rPr>
                <w:b/>
                <w:sz w:val="20"/>
              </w:rPr>
              <w:t xml:space="preserve"> rokov na formálnej a neformálnej starostlivosti (%, 201</w:t>
            </w:r>
            <w:r w:rsidR="002E673E" w:rsidRPr="009755A0">
              <w:rPr>
                <w:b/>
                <w:sz w:val="20"/>
              </w:rPr>
              <w:t>7</w:t>
            </w:r>
            <w:r w:rsidRPr="009755A0">
              <w:rPr>
                <w:b/>
                <w:sz w:val="20"/>
              </w:rPr>
              <w:t>)</w:t>
            </w:r>
            <w:bookmarkEnd w:id="583"/>
            <w:bookmarkEnd w:id="584"/>
          </w:p>
        </w:tc>
        <w:tc>
          <w:tcPr>
            <w:tcW w:w="283" w:type="dxa"/>
            <w:tcBorders>
              <w:bottom w:val="nil"/>
            </w:tcBorders>
          </w:tcPr>
          <w:p w14:paraId="5C7F6EC4" w14:textId="77777777" w:rsidR="00EA7FF5" w:rsidRPr="009755A0" w:rsidRDefault="00EA7FF5" w:rsidP="009755A0">
            <w:pPr>
              <w:spacing w:after="0" w:line="240" w:lineRule="auto"/>
              <w:rPr>
                <w:b/>
                <w:sz w:val="20"/>
              </w:rPr>
            </w:pPr>
          </w:p>
        </w:tc>
        <w:tc>
          <w:tcPr>
            <w:tcW w:w="4408" w:type="dxa"/>
            <w:tcBorders>
              <w:bottom w:val="single" w:sz="4" w:space="0" w:color="auto"/>
            </w:tcBorders>
          </w:tcPr>
          <w:p w14:paraId="1FC93830" w14:textId="3F3A5C82" w:rsidR="00EA7FF5" w:rsidRPr="009755A0" w:rsidRDefault="00EA7FF5" w:rsidP="00E528F7">
            <w:pPr>
              <w:spacing w:after="0" w:line="240" w:lineRule="auto"/>
              <w:rPr>
                <w:b/>
                <w:sz w:val="20"/>
              </w:rPr>
            </w:pPr>
            <w:bookmarkStart w:id="585" w:name="_Ref16008042"/>
            <w:bookmarkStart w:id="586" w:name="_Toc17469413"/>
            <w:bookmarkStart w:id="587" w:name="_Toc34157603"/>
            <w:r w:rsidRPr="009755A0">
              <w:rPr>
                <w:b/>
                <w:sz w:val="20"/>
              </w:rPr>
              <w:t xml:space="preserve">Graf </w:t>
            </w:r>
            <w:r w:rsidRPr="009755A0">
              <w:rPr>
                <w:b/>
                <w:sz w:val="20"/>
              </w:rPr>
              <w:fldChar w:fldCharType="begin"/>
            </w:r>
            <w:r w:rsidRPr="009755A0">
              <w:rPr>
                <w:b/>
                <w:sz w:val="20"/>
              </w:rPr>
              <w:instrText xml:space="preserve"> SEQ Graf \* ARABIC </w:instrText>
            </w:r>
            <w:r w:rsidRPr="009755A0">
              <w:rPr>
                <w:b/>
                <w:sz w:val="20"/>
              </w:rPr>
              <w:fldChar w:fldCharType="separate"/>
            </w:r>
            <w:r w:rsidR="00FA29AF">
              <w:rPr>
                <w:b/>
                <w:noProof/>
                <w:sz w:val="20"/>
              </w:rPr>
              <w:t>45</w:t>
            </w:r>
            <w:r w:rsidRPr="009755A0">
              <w:rPr>
                <w:b/>
                <w:sz w:val="20"/>
              </w:rPr>
              <w:fldChar w:fldCharType="end"/>
            </w:r>
            <w:bookmarkEnd w:id="585"/>
            <w:r w:rsidRPr="009755A0">
              <w:rPr>
                <w:b/>
                <w:sz w:val="20"/>
              </w:rPr>
              <w:t xml:space="preserve">: Počet detí podporených </w:t>
            </w:r>
            <w:r w:rsidR="00E528F7">
              <w:rPr>
                <w:b/>
                <w:sz w:val="20"/>
              </w:rPr>
              <w:t>pp.</w:t>
            </w:r>
            <w:r w:rsidRPr="009755A0">
              <w:rPr>
                <w:b/>
                <w:sz w:val="20"/>
              </w:rPr>
              <w:t xml:space="preserve"> na starostlivosť o dieťa podľa kraja a výšky poplatku (</w:t>
            </w:r>
            <w:r w:rsidR="00076E92" w:rsidRPr="009755A0">
              <w:rPr>
                <w:b/>
                <w:sz w:val="20"/>
              </w:rPr>
              <w:t>december</w:t>
            </w:r>
            <w:r w:rsidRPr="009755A0">
              <w:rPr>
                <w:b/>
                <w:sz w:val="20"/>
              </w:rPr>
              <w:t xml:space="preserve"> 2019)</w:t>
            </w:r>
            <w:bookmarkEnd w:id="586"/>
            <w:bookmarkEnd w:id="587"/>
          </w:p>
        </w:tc>
      </w:tr>
      <w:tr w:rsidR="00EA7FF5" w:rsidRPr="00CA2564" w14:paraId="05621E6B" w14:textId="77777777" w:rsidTr="009755A0">
        <w:tblPrEx>
          <w:tblCellMar>
            <w:left w:w="70" w:type="dxa"/>
            <w:right w:w="70" w:type="dxa"/>
          </w:tblCellMar>
        </w:tblPrEx>
        <w:tc>
          <w:tcPr>
            <w:tcW w:w="4395" w:type="dxa"/>
            <w:tcBorders>
              <w:top w:val="single" w:sz="4" w:space="0" w:color="auto"/>
              <w:bottom w:val="single" w:sz="4" w:space="0" w:color="auto"/>
            </w:tcBorders>
          </w:tcPr>
          <w:p w14:paraId="3049122C" w14:textId="77777777" w:rsidR="00EA7FF5" w:rsidRPr="00CA2564" w:rsidRDefault="00EA7FF5" w:rsidP="009755A0">
            <w:pPr>
              <w:spacing w:after="0" w:line="240" w:lineRule="auto"/>
              <w:rPr>
                <w:sz w:val="4"/>
                <w:szCs w:val="4"/>
              </w:rPr>
            </w:pPr>
          </w:p>
          <w:p w14:paraId="7E4AF78D" w14:textId="6A049802" w:rsidR="00EA7FF5" w:rsidRPr="00CA2564" w:rsidRDefault="00EA7FF5" w:rsidP="009755A0">
            <w:pPr>
              <w:spacing w:after="0" w:line="240" w:lineRule="auto"/>
              <w:rPr>
                <w:sz w:val="4"/>
                <w:szCs w:val="4"/>
              </w:rPr>
            </w:pPr>
          </w:p>
          <w:p w14:paraId="1D07C6B3" w14:textId="2B8F7286" w:rsidR="00EA7FF5" w:rsidRPr="00CA2564" w:rsidRDefault="004D4FBA" w:rsidP="009755A0">
            <w:pPr>
              <w:spacing w:after="0" w:line="240" w:lineRule="auto"/>
              <w:rPr>
                <w:sz w:val="4"/>
                <w:szCs w:val="4"/>
              </w:rPr>
            </w:pPr>
            <w:r>
              <w:rPr>
                <w:noProof/>
                <w:lang w:eastAsia="sk-SK"/>
              </w:rPr>
              <w:drawing>
                <wp:inline distT="0" distB="0" distL="0" distR="0" wp14:anchorId="392944AA" wp14:editId="042278F7">
                  <wp:extent cx="2701925" cy="2268220"/>
                  <wp:effectExtent l="0" t="0" r="3175" b="0"/>
                  <wp:docPr id="28010" name="Graf 28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c>
          <w:tcPr>
            <w:tcW w:w="283" w:type="dxa"/>
            <w:tcBorders>
              <w:top w:val="nil"/>
              <w:bottom w:val="nil"/>
            </w:tcBorders>
          </w:tcPr>
          <w:p w14:paraId="4E5E78D9" w14:textId="77777777" w:rsidR="00EA7FF5" w:rsidRPr="00CA2564" w:rsidRDefault="00EA7FF5" w:rsidP="009755A0">
            <w:pPr>
              <w:spacing w:after="0" w:line="240" w:lineRule="auto"/>
              <w:rPr>
                <w:noProof/>
              </w:rPr>
            </w:pPr>
          </w:p>
        </w:tc>
        <w:tc>
          <w:tcPr>
            <w:tcW w:w="4408" w:type="dxa"/>
            <w:tcBorders>
              <w:top w:val="single" w:sz="4" w:space="0" w:color="auto"/>
              <w:bottom w:val="single" w:sz="4" w:space="0" w:color="auto"/>
            </w:tcBorders>
          </w:tcPr>
          <w:p w14:paraId="194F0309" w14:textId="77777777" w:rsidR="00EA7FF5" w:rsidRPr="00CA2564" w:rsidRDefault="00EA7FF5" w:rsidP="009755A0">
            <w:pPr>
              <w:spacing w:after="0" w:line="240" w:lineRule="auto"/>
              <w:rPr>
                <w:sz w:val="4"/>
                <w:szCs w:val="4"/>
              </w:rPr>
            </w:pPr>
          </w:p>
          <w:p w14:paraId="073440D2" w14:textId="1268F488" w:rsidR="00EA7FF5" w:rsidRPr="00CA2564" w:rsidRDefault="003E4502" w:rsidP="009755A0">
            <w:pPr>
              <w:spacing w:after="0" w:line="240" w:lineRule="auto"/>
              <w:rPr>
                <w:sz w:val="4"/>
                <w:szCs w:val="4"/>
              </w:rPr>
            </w:pPr>
            <w:r>
              <w:rPr>
                <w:noProof/>
                <w:lang w:eastAsia="sk-SK"/>
              </w:rPr>
              <w:drawing>
                <wp:inline distT="0" distB="0" distL="0" distR="0" wp14:anchorId="49BAAAB6" wp14:editId="77E0D951">
                  <wp:extent cx="2675255" cy="2390775"/>
                  <wp:effectExtent l="0" t="0" r="0" b="0"/>
                  <wp:docPr id="60" name="Graf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AA775E0" w14:textId="77777777" w:rsidR="00EA7FF5" w:rsidRPr="00CA2564" w:rsidRDefault="00EA7FF5" w:rsidP="009755A0">
            <w:pPr>
              <w:spacing w:after="0" w:line="240" w:lineRule="auto"/>
              <w:rPr>
                <w:sz w:val="4"/>
                <w:szCs w:val="4"/>
              </w:rPr>
            </w:pPr>
          </w:p>
        </w:tc>
      </w:tr>
      <w:tr w:rsidR="00EA7FF5" w:rsidRPr="00CA2564" w14:paraId="11F04208" w14:textId="77777777" w:rsidTr="009755A0">
        <w:tc>
          <w:tcPr>
            <w:tcW w:w="4395" w:type="dxa"/>
            <w:tcBorders>
              <w:top w:val="single" w:sz="4" w:space="0" w:color="auto"/>
            </w:tcBorders>
          </w:tcPr>
          <w:p w14:paraId="2035B515" w14:textId="77777777" w:rsidR="00EA7FF5" w:rsidRPr="009755A0" w:rsidRDefault="00EA7FF5" w:rsidP="009755A0">
            <w:pPr>
              <w:spacing w:after="0" w:line="240" w:lineRule="auto"/>
              <w:jc w:val="right"/>
              <w:rPr>
                <w:bCs/>
                <w:i/>
                <w:noProof/>
                <w:sz w:val="18"/>
                <w:szCs w:val="18"/>
              </w:rPr>
            </w:pPr>
            <w:r w:rsidRPr="009755A0">
              <w:rPr>
                <w:i/>
                <w:noProof/>
                <w:sz w:val="18"/>
                <w:szCs w:val="18"/>
              </w:rPr>
              <w:t>Zdroj: OECD family database</w:t>
            </w:r>
          </w:p>
        </w:tc>
        <w:tc>
          <w:tcPr>
            <w:tcW w:w="283" w:type="dxa"/>
            <w:tcBorders>
              <w:top w:val="nil"/>
            </w:tcBorders>
          </w:tcPr>
          <w:p w14:paraId="4770A1AC" w14:textId="77777777" w:rsidR="00EA7FF5" w:rsidRPr="009755A0" w:rsidRDefault="00EA7FF5" w:rsidP="009755A0">
            <w:pPr>
              <w:spacing w:after="0" w:line="240" w:lineRule="auto"/>
              <w:jc w:val="right"/>
              <w:rPr>
                <w:i/>
                <w:noProof/>
                <w:sz w:val="18"/>
                <w:szCs w:val="18"/>
              </w:rPr>
            </w:pPr>
          </w:p>
        </w:tc>
        <w:tc>
          <w:tcPr>
            <w:tcW w:w="4408" w:type="dxa"/>
            <w:tcBorders>
              <w:top w:val="single" w:sz="4" w:space="0" w:color="auto"/>
            </w:tcBorders>
          </w:tcPr>
          <w:p w14:paraId="46F7226B" w14:textId="0BCCF477" w:rsidR="00EA7FF5" w:rsidRPr="009755A0" w:rsidRDefault="00EA7FF5" w:rsidP="009755A0">
            <w:pPr>
              <w:spacing w:after="0" w:line="240" w:lineRule="auto"/>
              <w:jc w:val="right"/>
              <w:rPr>
                <w:i/>
                <w:noProof/>
                <w:sz w:val="18"/>
                <w:szCs w:val="18"/>
              </w:rPr>
            </w:pPr>
            <w:r w:rsidRPr="009755A0">
              <w:rPr>
                <w:i/>
                <w:noProof/>
                <w:sz w:val="18"/>
                <w:szCs w:val="18"/>
              </w:rPr>
              <w:t xml:space="preserve">Zdroj: </w:t>
            </w:r>
            <w:r w:rsidR="00076E92" w:rsidRPr="009755A0">
              <w:rPr>
                <w:i/>
                <w:noProof/>
                <w:sz w:val="18"/>
                <w:szCs w:val="18"/>
              </w:rPr>
              <w:t xml:space="preserve">ÚHP na základe údajov </w:t>
            </w:r>
            <w:r w:rsidRPr="009755A0">
              <w:rPr>
                <w:i/>
                <w:noProof/>
                <w:sz w:val="18"/>
                <w:szCs w:val="18"/>
              </w:rPr>
              <w:t>MPSVR SR</w:t>
            </w:r>
          </w:p>
        </w:tc>
      </w:tr>
    </w:tbl>
    <w:p w14:paraId="3D0C98F6" w14:textId="101381AD" w:rsidR="00A103C8" w:rsidRDefault="00A103C8" w:rsidP="00A103C8">
      <w:pPr>
        <w:spacing w:before="120"/>
      </w:pPr>
      <w:r w:rsidRPr="00260A0B">
        <w:rPr>
          <w:b/>
        </w:rPr>
        <w:t>V Integrovanom regionálnom operačnom programe (IROP) je starostlivosť o deti do troch rokov veku dieťaťa špecifickým cieľom druhej prioritnej osi, na ktorý bola vyhlásená aj samostatná výzva</w:t>
      </w:r>
      <w:r>
        <w:rPr>
          <w:b/>
        </w:rPr>
        <w:t xml:space="preserve"> s alokáciou 13,5 miliónov eur</w:t>
      </w:r>
      <w:r w:rsidRPr="00260A0B">
        <w:rPr>
          <w:b/>
        </w:rPr>
        <w:t>.</w:t>
      </w:r>
      <w:r>
        <w:t xml:space="preserve"> </w:t>
      </w:r>
      <w:r w:rsidR="000624B6" w:rsidRPr="00497A17">
        <w:t>O výzvu bol prejavený vysoký záujem,</w:t>
      </w:r>
      <w:r w:rsidR="000624B6">
        <w:t xml:space="preserve"> suma</w:t>
      </w:r>
      <w:r w:rsidR="000624B6" w:rsidRPr="00497A17">
        <w:t xml:space="preserve"> </w:t>
      </w:r>
      <w:r w:rsidR="000624B6">
        <w:t>žiadostí o nenávratný grant prevyšovala alokáciu výzvy</w:t>
      </w:r>
      <w:r w:rsidR="000624B6" w:rsidRPr="00497A17">
        <w:t>.</w:t>
      </w:r>
      <w:r w:rsidR="000624B6">
        <w:t xml:space="preserve"> Vo viacerých regiónoch pozastavili prijímanie žiadostí už v októbri 2019 z dôvodu vyčerpania prostriedkov. Pre ostatné regióny, v ktorých záujem o grant nebol vysoký, sa výzva uzavrie v apríli 2020. Zámerom IROP a tejto výzvy je zvýšiť podiel detí vo veku</w:t>
      </w:r>
      <w:r w:rsidR="000624B6" w:rsidRPr="00E807BD">
        <w:t xml:space="preserve"> do troch rokov, ktorým je po</w:t>
      </w:r>
      <w:r w:rsidR="000624B6">
        <w:t>skytovaná služba starostlivosti. Podporované sú aktivity súvisiace s výstavbou, rekonštrukciou</w:t>
      </w:r>
      <w:r w:rsidR="000624B6" w:rsidRPr="00E807BD">
        <w:t xml:space="preserve"> a</w:t>
      </w:r>
      <w:r w:rsidR="000624B6">
        <w:t>lebo modernizáciou</w:t>
      </w:r>
      <w:r w:rsidR="000624B6" w:rsidRPr="00E807BD">
        <w:t xml:space="preserve"> zariadení</w:t>
      </w:r>
      <w:r w:rsidR="000624B6">
        <w:t>, ktoré majú slúžiť na tento účel. Podmienkou je vytvorenie zariadení s kapacitou minimálne 20 miest v jednom objekte.</w:t>
      </w:r>
    </w:p>
    <w:p w14:paraId="2754D7C1" w14:textId="1E635E33" w:rsidR="00A103C8" w:rsidRPr="00AB28DA" w:rsidRDefault="00A103C8" w:rsidP="00A103C8">
      <w:pPr>
        <w:spacing w:before="160" w:line="252" w:lineRule="auto"/>
        <w:rPr>
          <w:iCs/>
          <w:lang w:eastAsia="sk-SK"/>
        </w:rPr>
      </w:pPr>
      <w:r w:rsidRPr="00823129">
        <w:rPr>
          <w:b/>
          <w:bCs/>
          <w:iCs/>
          <w:lang w:eastAsia="sk-SK"/>
        </w:rPr>
        <w:t xml:space="preserve">V súčasnosti </w:t>
      </w:r>
      <w:r>
        <w:rPr>
          <w:b/>
          <w:bCs/>
          <w:iCs/>
          <w:lang w:eastAsia="sk-SK"/>
        </w:rPr>
        <w:t>nie sú</w:t>
      </w:r>
      <w:r w:rsidRPr="00823129">
        <w:rPr>
          <w:b/>
          <w:bCs/>
          <w:iCs/>
          <w:lang w:eastAsia="sk-SK"/>
        </w:rPr>
        <w:t xml:space="preserve"> údaje o formách starostlivosti o deti do 3 rokov</w:t>
      </w:r>
      <w:r>
        <w:rPr>
          <w:b/>
          <w:bCs/>
          <w:iCs/>
          <w:lang w:eastAsia="sk-SK"/>
        </w:rPr>
        <w:t xml:space="preserve"> veku vykazované v požadovanej štruktúre a rozsahu</w:t>
      </w:r>
      <w:r w:rsidRPr="00823129">
        <w:rPr>
          <w:b/>
          <w:bCs/>
          <w:iCs/>
          <w:lang w:eastAsia="sk-SK"/>
        </w:rPr>
        <w:t xml:space="preserve">. </w:t>
      </w:r>
      <w:r w:rsidRPr="00823129">
        <w:rPr>
          <w:iCs/>
          <w:lang w:eastAsia="sk-SK"/>
        </w:rPr>
        <w:t>Údaje o registrovaných zariadeniach starostlivosti o deti do 3 rokov sú súčasťou centrálneho registra poskytovateľov sociálnych služieb. V </w:t>
      </w:r>
      <w:r>
        <w:rPr>
          <w:iCs/>
          <w:lang w:eastAsia="sk-SK"/>
        </w:rPr>
        <w:t>3</w:t>
      </w:r>
      <w:r w:rsidRPr="00823129">
        <w:rPr>
          <w:iCs/>
          <w:lang w:eastAsia="sk-SK"/>
        </w:rPr>
        <w:t xml:space="preserve">. kvartáli 2019 </w:t>
      </w:r>
      <w:r>
        <w:rPr>
          <w:iCs/>
          <w:lang w:eastAsia="sk-SK"/>
        </w:rPr>
        <w:t>bolo</w:t>
      </w:r>
      <w:r w:rsidRPr="00823129">
        <w:rPr>
          <w:iCs/>
          <w:lang w:eastAsia="sk-SK"/>
        </w:rPr>
        <w:t xml:space="preserve"> v registri evidovaných </w:t>
      </w:r>
      <w:r w:rsidRPr="00823129">
        <w:rPr>
          <w:iCs/>
        </w:rPr>
        <w:t>2</w:t>
      </w:r>
      <w:r>
        <w:rPr>
          <w:iCs/>
        </w:rPr>
        <w:t>13</w:t>
      </w:r>
      <w:r w:rsidRPr="00823129">
        <w:rPr>
          <w:iCs/>
        </w:rPr>
        <w:t xml:space="preserve"> zariadení s kapacitou 3 </w:t>
      </w:r>
      <w:r>
        <w:rPr>
          <w:iCs/>
        </w:rPr>
        <w:t>666</w:t>
      </w:r>
      <w:r w:rsidRPr="00823129">
        <w:rPr>
          <w:iCs/>
        </w:rPr>
        <w:t xml:space="preserve"> detí. Deti do 3 rokov veku, ktoré navštevujú zariadenie predškolskej starostlivosti</w:t>
      </w:r>
      <w:r>
        <w:rPr>
          <w:iCs/>
        </w:rPr>
        <w:t>,</w:t>
      </w:r>
      <w:r w:rsidRPr="00823129">
        <w:rPr>
          <w:iCs/>
        </w:rPr>
        <w:t xml:space="preserve"> sú súčasťou rezortného štatistického zisťovania </w:t>
      </w:r>
      <w:r w:rsidR="00D710DF">
        <w:rPr>
          <w:iCs/>
        </w:rPr>
        <w:t>m</w:t>
      </w:r>
      <w:r w:rsidRPr="00823129">
        <w:rPr>
          <w:iCs/>
        </w:rPr>
        <w:t>inisterstva školstva, ktoré eviduje k </w:t>
      </w:r>
      <w:r>
        <w:rPr>
          <w:iCs/>
        </w:rPr>
        <w:t>15.09.2018 v materských školách</w:t>
      </w:r>
      <w:r w:rsidRPr="00823129">
        <w:rPr>
          <w:iCs/>
        </w:rPr>
        <w:t xml:space="preserve"> </w:t>
      </w:r>
      <w:r>
        <w:rPr>
          <w:iCs/>
        </w:rPr>
        <w:t>8 616</w:t>
      </w:r>
      <w:r w:rsidR="00D710DF">
        <w:rPr>
          <w:iCs/>
        </w:rPr>
        <w:t xml:space="preserve"> detí do 3 </w:t>
      </w:r>
      <w:r w:rsidRPr="00823129">
        <w:rPr>
          <w:iCs/>
        </w:rPr>
        <w:t xml:space="preserve">rokov. </w:t>
      </w:r>
      <w:r>
        <w:rPr>
          <w:iCs/>
        </w:rPr>
        <w:t>Celkový počet detí do 3 rokov veku na Slovensku bol v roku 2018 vyše 177 tisíc.</w:t>
      </w:r>
      <w:r>
        <w:rPr>
          <w:rStyle w:val="Odkaznapoznmkupodiarou"/>
          <w:iCs/>
        </w:rPr>
        <w:footnoteReference w:id="348"/>
      </w:r>
      <w:r>
        <w:rPr>
          <w:iCs/>
        </w:rPr>
        <w:t xml:space="preserve"> </w:t>
      </w:r>
      <w:r w:rsidR="00D710DF">
        <w:rPr>
          <w:iCs/>
        </w:rPr>
        <w:t>Vzhľadom na </w:t>
      </w:r>
      <w:r w:rsidRPr="00823129">
        <w:rPr>
          <w:iCs/>
        </w:rPr>
        <w:t>rastúci dopyt po zariadeniach starostlivosti o deti do troch rokov je nevyhnutné zmapovať kapacity všetkých foriem starostlivosti</w:t>
      </w:r>
      <w:r>
        <w:rPr>
          <w:iCs/>
        </w:rPr>
        <w:t>,</w:t>
      </w:r>
      <w:r w:rsidRPr="00823129">
        <w:rPr>
          <w:iCs/>
        </w:rPr>
        <w:t xml:space="preserve"> (napr. </w:t>
      </w:r>
      <w:r>
        <w:rPr>
          <w:iCs/>
        </w:rPr>
        <w:t xml:space="preserve">či je dieťa v </w:t>
      </w:r>
      <w:r w:rsidRPr="00823129">
        <w:rPr>
          <w:iCs/>
        </w:rPr>
        <w:t>starostlivos</w:t>
      </w:r>
      <w:r>
        <w:rPr>
          <w:iCs/>
        </w:rPr>
        <w:t>ti</w:t>
      </w:r>
      <w:r w:rsidRPr="00823129">
        <w:rPr>
          <w:iCs/>
        </w:rPr>
        <w:t xml:space="preserve"> rodiča</w:t>
      </w:r>
      <w:r>
        <w:rPr>
          <w:iCs/>
        </w:rPr>
        <w:t>, starého rodiča</w:t>
      </w:r>
      <w:r w:rsidRPr="00823129">
        <w:rPr>
          <w:iCs/>
        </w:rPr>
        <w:t xml:space="preserve"> alebo </w:t>
      </w:r>
      <w:r w:rsidRPr="00823129">
        <w:rPr>
          <w:iCs/>
          <w:lang w:eastAsia="sk-SK"/>
        </w:rPr>
        <w:t xml:space="preserve">v starostlivosti inej fyzickej osoby). </w:t>
      </w:r>
      <w:r w:rsidR="00D710DF">
        <w:rPr>
          <w:iCs/>
        </w:rPr>
        <w:t>Údaje </w:t>
      </w:r>
      <w:r w:rsidRPr="00823129">
        <w:rPr>
          <w:iCs/>
        </w:rPr>
        <w:t xml:space="preserve">o ponuke </w:t>
      </w:r>
      <w:r w:rsidRPr="00AB28DA">
        <w:rPr>
          <w:iCs/>
        </w:rPr>
        <w:t>formálnej starostlivosti o deti do 3 rokov sú nevyhnutné na prijímanie účinných politík a plánovanie projektov podpory rozširovania kapacít zariadení resp. ich výstavby.</w:t>
      </w:r>
    </w:p>
    <w:p w14:paraId="5ABE4F57" w14:textId="77777777" w:rsidR="00A103C8" w:rsidRDefault="00A103C8" w:rsidP="00A103C8">
      <w:pPr>
        <w:spacing w:before="160"/>
        <w:rPr>
          <w:iCs/>
          <w:lang w:eastAsia="sk-SK"/>
        </w:rPr>
      </w:pPr>
      <w:r w:rsidRPr="00AB28DA">
        <w:rPr>
          <w:b/>
          <w:bCs/>
          <w:iCs/>
        </w:rPr>
        <w:t xml:space="preserve">Revízia preto navrhuje zabezpečiť komplexný zber údajov o starostlivosti o deti do troch rokov veku dieťaťa potrebných pre budúce plánovanie kapacít. </w:t>
      </w:r>
      <w:r w:rsidRPr="00AB28DA">
        <w:rPr>
          <w:iCs/>
          <w:lang w:eastAsia="sk-SK"/>
        </w:rPr>
        <w:t>Zber údajov je možné realizovať dotazníkovou formou s ročnou periodicitou, alebo by sa mohol stať súčasťou rezortného štatistického zisťovania (napr. rozšírením informácie o predškolskej starostlivosti vo Výkaze o základnej škole Ministerstva školstva).</w:t>
      </w:r>
    </w:p>
    <w:p w14:paraId="4921FA9B" w14:textId="3BECC575" w:rsidR="00EA7FF5" w:rsidRPr="00CA2564" w:rsidRDefault="00EA7FF5" w:rsidP="00A103C8">
      <w:pPr>
        <w:spacing w:before="160"/>
      </w:pPr>
      <w:r w:rsidRPr="00AB28DA">
        <w:rPr>
          <w:b/>
        </w:rPr>
        <w:t>Pomoc pracujúcim rodičom s úhradou výdavkov na starostlivosť o deti poskytuje štát pomocou príspevku na starostlivosť o</w:t>
      </w:r>
      <w:r w:rsidRPr="00CA2564">
        <w:rPr>
          <w:b/>
        </w:rPr>
        <w:t> dieťa</w:t>
      </w:r>
      <w:r w:rsidRPr="00CA2564">
        <w:t xml:space="preserve">. </w:t>
      </w:r>
      <w:r w:rsidR="00584761">
        <w:t xml:space="preserve">Príspevok je podmienený zárobkovou činnosťou rodiča alebo štúdiom v dennej forme štúdia. </w:t>
      </w:r>
      <w:r w:rsidRPr="00CA2564">
        <w:t>Mesačná výška príspevku sa líši podľa typu poskytovateľa starostlivosti a nákladov. V</w:t>
      </w:r>
      <w:r w:rsidR="00D710DF">
        <w:t> </w:t>
      </w:r>
      <w:r w:rsidRPr="00CA2564">
        <w:t>prípade</w:t>
      </w:r>
      <w:r w:rsidR="00D710DF">
        <w:t>,</w:t>
      </w:r>
      <w:r w:rsidRPr="00CA2564">
        <w:t xml:space="preserve"> ak starostlivosť zabezpečuje súkromné zariadenie, živnostník alebo iná právnická osoba (čo zodpovedá 92 % prípadov</w:t>
      </w:r>
      <w:r w:rsidR="00E46940">
        <w:rPr>
          <w:rStyle w:val="Odkaznapoznmkupodiarou"/>
        </w:rPr>
        <w:footnoteReference w:id="349"/>
      </w:r>
      <w:r w:rsidRPr="00CA2564">
        <w:t>), predstavuje maximálna možná výška príspevku 280 eur. Príspevok sa poskytuje do troch rokov veku dieťaťa alebo do šiestich rokov veku dieťaťa s dlhodobo nepriaznivým zdravotným stavom. V roku 2018 predstavovali výdavky na príspevok na starostlivosť o dieťa 11,8 miliónov eur. Príspevok je financovaný z</w:t>
      </w:r>
      <w:r w:rsidR="009B6E34">
        <w:t> prostriedkov Európskeho sociálneho fondu</w:t>
      </w:r>
      <w:r w:rsidRPr="00CA2564">
        <w:t>.</w:t>
      </w:r>
    </w:p>
    <w:p w14:paraId="4942577B" w14:textId="45357FF7" w:rsidR="00A1700F" w:rsidRPr="000653CD" w:rsidRDefault="00EA7FF5" w:rsidP="009E6C4C">
      <w:pPr>
        <w:spacing w:before="160"/>
        <w:rPr>
          <w:rFonts w:cs="NeueHaasGroteskText W02"/>
          <w:color w:val="000000"/>
          <w:szCs w:val="22"/>
        </w:rPr>
      </w:pPr>
      <w:r w:rsidRPr="00CA2564">
        <w:rPr>
          <w:b/>
        </w:rPr>
        <w:t>Príspevok na starostlivosť o dieťa vo väčšine prípadov nepokrýva všetky výdavky na starostlivosť.</w:t>
      </w:r>
      <w:r w:rsidRPr="00CA2564">
        <w:t xml:space="preserve"> Okolo 6</w:t>
      </w:r>
      <w:r w:rsidR="003E4502">
        <w:t>3</w:t>
      </w:r>
      <w:r w:rsidRPr="00CA2564">
        <w:t xml:space="preserve"> % </w:t>
      </w:r>
      <w:r w:rsidR="00B34B37">
        <w:t>detí, na ktoré bol poskytnutý príspevok</w:t>
      </w:r>
      <w:r w:rsidR="00B34B37" w:rsidRPr="00CA2564">
        <w:t xml:space="preserve"> </w:t>
      </w:r>
      <w:r w:rsidR="00B34B37">
        <w:t>bolo v </w:t>
      </w:r>
      <w:r w:rsidR="003E4502">
        <w:t xml:space="preserve">decembri </w:t>
      </w:r>
      <w:r w:rsidR="00B34B37">
        <w:t>2019 umiestnených v zariadení s poplatkom</w:t>
      </w:r>
      <w:r w:rsidR="0070047D">
        <w:t xml:space="preserve"> </w:t>
      </w:r>
      <w:r w:rsidRPr="00CA2564">
        <w:t xml:space="preserve">290 eur alebo viac, čo znamená, že </w:t>
      </w:r>
      <w:r w:rsidR="00B34B37">
        <w:t xml:space="preserve">ich rodičia </w:t>
      </w:r>
      <w:r w:rsidRPr="00CA2564">
        <w:t>m</w:t>
      </w:r>
      <w:r w:rsidR="001E3008">
        <w:t>useli doplácať</w:t>
      </w:r>
      <w:r w:rsidR="00015B8C">
        <w:t xml:space="preserve"> </w:t>
      </w:r>
      <w:r w:rsidR="00015B8C">
        <w:rPr>
          <w:bCs/>
          <w:szCs w:val="22"/>
        </w:rPr>
        <w:t xml:space="preserve">(v </w:t>
      </w:r>
      <w:r w:rsidR="00015B8C" w:rsidRPr="009B7937">
        <w:rPr>
          <w:bCs/>
          <w:szCs w:val="22"/>
        </w:rPr>
        <w:t xml:space="preserve">priemere </w:t>
      </w:r>
      <w:r w:rsidR="009B7937" w:rsidRPr="009B7937">
        <w:rPr>
          <w:bCs/>
          <w:szCs w:val="22"/>
        </w:rPr>
        <w:t>73</w:t>
      </w:r>
      <w:r w:rsidR="00015B8C" w:rsidRPr="009B7937">
        <w:rPr>
          <w:bCs/>
          <w:szCs w:val="22"/>
        </w:rPr>
        <w:t xml:space="preserve"> eur</w:t>
      </w:r>
      <w:r w:rsidR="00015B8C">
        <w:rPr>
          <w:bCs/>
          <w:szCs w:val="22"/>
        </w:rPr>
        <w:t xml:space="preserve"> mesačne)</w:t>
      </w:r>
      <w:r w:rsidR="001E3008">
        <w:t xml:space="preserve">. Najvyšší podiel </w:t>
      </w:r>
      <w:r w:rsidR="00B34B37">
        <w:t>takýchto detí</w:t>
      </w:r>
      <w:r w:rsidR="001E3008">
        <w:t xml:space="preserve"> </w:t>
      </w:r>
      <w:r w:rsidRPr="00D1280A">
        <w:rPr>
          <w:szCs w:val="22"/>
        </w:rPr>
        <w:t>bol trenčianskom (8</w:t>
      </w:r>
      <w:r w:rsidR="003E4502">
        <w:rPr>
          <w:szCs w:val="22"/>
        </w:rPr>
        <w:t>8</w:t>
      </w:r>
      <w:r w:rsidRPr="00D1280A">
        <w:rPr>
          <w:szCs w:val="22"/>
        </w:rPr>
        <w:t xml:space="preserve"> %) a bratislavskom kraji (8</w:t>
      </w:r>
      <w:r w:rsidR="003E4502">
        <w:rPr>
          <w:szCs w:val="22"/>
        </w:rPr>
        <w:t>5</w:t>
      </w:r>
      <w:r w:rsidRPr="00D1280A">
        <w:rPr>
          <w:szCs w:val="22"/>
        </w:rPr>
        <w:t xml:space="preserve"> %), najmenší v prešovskom (2</w:t>
      </w:r>
      <w:r w:rsidR="003E4502">
        <w:rPr>
          <w:szCs w:val="22"/>
        </w:rPr>
        <w:t>2</w:t>
      </w:r>
      <w:r w:rsidRPr="00D1280A">
        <w:rPr>
          <w:szCs w:val="22"/>
        </w:rPr>
        <w:t xml:space="preserve"> %) a </w:t>
      </w:r>
      <w:r w:rsidRPr="000653CD">
        <w:rPr>
          <w:szCs w:val="22"/>
        </w:rPr>
        <w:t>košickom kraji (3</w:t>
      </w:r>
      <w:r w:rsidR="003E4502" w:rsidRPr="000653CD">
        <w:rPr>
          <w:szCs w:val="22"/>
        </w:rPr>
        <w:t>1</w:t>
      </w:r>
      <w:r w:rsidRPr="000653CD">
        <w:rPr>
          <w:szCs w:val="22"/>
        </w:rPr>
        <w:t xml:space="preserve"> %) </w:t>
      </w:r>
      <w:r w:rsidRPr="000653CD">
        <w:rPr>
          <w:rFonts w:cs="NeueHaasGroteskText W02"/>
          <w:color w:val="000000"/>
          <w:szCs w:val="22"/>
        </w:rPr>
        <w:t>(</w:t>
      </w:r>
      <w:r w:rsidRPr="000653CD">
        <w:rPr>
          <w:rFonts w:cs="NeueHaasGroteskText W02"/>
          <w:color w:val="000000"/>
          <w:szCs w:val="22"/>
        </w:rPr>
        <w:fldChar w:fldCharType="begin"/>
      </w:r>
      <w:r w:rsidRPr="000653CD">
        <w:rPr>
          <w:rFonts w:cs="NeueHaasGroteskText W02"/>
          <w:color w:val="000000"/>
          <w:szCs w:val="22"/>
        </w:rPr>
        <w:instrText xml:space="preserve"> REF _Ref16008042 \h </w:instrText>
      </w:r>
      <w:r w:rsidR="00B24E3B" w:rsidRPr="000653CD">
        <w:rPr>
          <w:rFonts w:cs="NeueHaasGroteskText W02"/>
          <w:color w:val="000000"/>
          <w:szCs w:val="22"/>
        </w:rPr>
        <w:instrText xml:space="preserve"> \* MERGEFORMAT </w:instrText>
      </w:r>
      <w:r w:rsidRPr="000653CD">
        <w:rPr>
          <w:rFonts w:cs="NeueHaasGroteskText W02"/>
          <w:color w:val="000000"/>
          <w:szCs w:val="22"/>
        </w:rPr>
      </w:r>
      <w:r w:rsidRPr="000653CD">
        <w:rPr>
          <w:rFonts w:cs="NeueHaasGroteskText W02"/>
          <w:color w:val="000000"/>
          <w:szCs w:val="22"/>
        </w:rPr>
        <w:fldChar w:fldCharType="separate"/>
      </w:r>
      <w:r w:rsidR="00FA29AF" w:rsidRPr="00FA29AF">
        <w:rPr>
          <w:rFonts w:cs="NeueHaasGroteskText W02"/>
          <w:color w:val="000000"/>
          <w:szCs w:val="22"/>
        </w:rPr>
        <w:t>Graf</w:t>
      </w:r>
      <w:r w:rsidR="00FA29AF" w:rsidRPr="009755A0">
        <w:rPr>
          <w:b/>
          <w:sz w:val="20"/>
        </w:rPr>
        <w:t xml:space="preserve"> </w:t>
      </w:r>
      <w:r w:rsidR="00FA29AF">
        <w:rPr>
          <w:b/>
          <w:noProof/>
          <w:sz w:val="20"/>
        </w:rPr>
        <w:t>45</w:t>
      </w:r>
      <w:r w:rsidRPr="000653CD">
        <w:rPr>
          <w:rFonts w:cs="NeueHaasGroteskText W02"/>
          <w:color w:val="000000"/>
          <w:szCs w:val="22"/>
        </w:rPr>
        <w:fldChar w:fldCharType="end"/>
      </w:r>
      <w:r w:rsidRPr="000653CD">
        <w:rPr>
          <w:rFonts w:cs="NeueHaasGroteskText W02"/>
          <w:color w:val="000000"/>
          <w:szCs w:val="22"/>
        </w:rPr>
        <w:t>).</w:t>
      </w:r>
    </w:p>
    <w:p w14:paraId="3797F403" w14:textId="3C0870E5" w:rsidR="00EA7FF5" w:rsidRDefault="00A1700F" w:rsidP="009E6C4C">
      <w:pPr>
        <w:spacing w:before="160"/>
        <w:rPr>
          <w:szCs w:val="22"/>
        </w:rPr>
      </w:pPr>
      <w:r w:rsidRPr="00D3189B">
        <w:rPr>
          <w:b/>
          <w:szCs w:val="22"/>
        </w:rPr>
        <w:t xml:space="preserve">Po zvýšení rodičovského príspevku </w:t>
      </w:r>
      <w:r w:rsidR="0079346E">
        <w:rPr>
          <w:b/>
          <w:szCs w:val="22"/>
        </w:rPr>
        <w:t xml:space="preserve">novelou zákona zo septembra 2019 </w:t>
      </w:r>
      <w:r w:rsidRPr="00D3189B">
        <w:rPr>
          <w:b/>
          <w:szCs w:val="22"/>
        </w:rPr>
        <w:t xml:space="preserve">sa atraktívnosť príspevku na starostlivosť o dieťa </w:t>
      </w:r>
      <w:r w:rsidR="0079346E">
        <w:rPr>
          <w:b/>
          <w:szCs w:val="22"/>
        </w:rPr>
        <w:t>výrazne zníži</w:t>
      </w:r>
      <w:r w:rsidRPr="00D3189B">
        <w:rPr>
          <w:b/>
          <w:szCs w:val="22"/>
        </w:rPr>
        <w:t>.</w:t>
      </w:r>
      <w:r w:rsidR="00A27A56">
        <w:rPr>
          <w:b/>
          <w:szCs w:val="22"/>
        </w:rPr>
        <w:t xml:space="preserve"> </w:t>
      </w:r>
      <w:r w:rsidR="00A27A56" w:rsidRPr="00D3189B">
        <w:t>Príspevok na starostlivosť o dieťa sa vylučuje s rodičovským príspevkom</w:t>
      </w:r>
      <w:r w:rsidR="004F75B7">
        <w:t>,</w:t>
      </w:r>
      <w:r>
        <w:rPr>
          <w:szCs w:val="22"/>
        </w:rPr>
        <w:t xml:space="preserve"> </w:t>
      </w:r>
      <w:r w:rsidR="00A27A56">
        <w:rPr>
          <w:szCs w:val="22"/>
        </w:rPr>
        <w:t>a tým pádom je atraktívny iba v</w:t>
      </w:r>
      <w:r w:rsidR="004F75B7">
        <w:rPr>
          <w:szCs w:val="22"/>
        </w:rPr>
        <w:t> </w:t>
      </w:r>
      <w:r w:rsidR="00A27A56">
        <w:rPr>
          <w:szCs w:val="22"/>
        </w:rPr>
        <w:t>prípade</w:t>
      </w:r>
      <w:r w:rsidR="004F75B7">
        <w:rPr>
          <w:szCs w:val="22"/>
        </w:rPr>
        <w:t>,</w:t>
      </w:r>
      <w:r w:rsidR="00A27A56">
        <w:rPr>
          <w:szCs w:val="22"/>
        </w:rPr>
        <w:t xml:space="preserve"> ak je vyšší ako rodičovský príspevok.</w:t>
      </w:r>
      <w:r w:rsidR="00A27A56" w:rsidRPr="00CA2564">
        <w:rPr>
          <w:rStyle w:val="Odkaznapoznmkupodiarou"/>
        </w:rPr>
        <w:footnoteReference w:id="350"/>
      </w:r>
      <w:r w:rsidR="00A27A56">
        <w:rPr>
          <w:szCs w:val="22"/>
        </w:rPr>
        <w:t xml:space="preserve"> Po zvýšení rodičovského príspevku na 370 </w:t>
      </w:r>
      <w:r w:rsidR="004F75B7">
        <w:rPr>
          <w:szCs w:val="22"/>
        </w:rPr>
        <w:t xml:space="preserve">eur </w:t>
      </w:r>
      <w:r w:rsidR="00A27A56">
        <w:rPr>
          <w:szCs w:val="22"/>
        </w:rPr>
        <w:t>pre rodičov, ktor</w:t>
      </w:r>
      <w:r w:rsidR="009C524A">
        <w:rPr>
          <w:szCs w:val="22"/>
        </w:rPr>
        <w:t>ý</w:t>
      </w:r>
      <w:r w:rsidR="00A27A56">
        <w:rPr>
          <w:szCs w:val="22"/>
        </w:rPr>
        <w:t>m sa pred tým, ako im vznikol nárok na rodičovský príspevok</w:t>
      </w:r>
      <w:r w:rsidR="004F75B7">
        <w:rPr>
          <w:szCs w:val="22"/>
        </w:rPr>
        <w:t>,</w:t>
      </w:r>
      <w:r w:rsidR="00A27A56">
        <w:rPr>
          <w:szCs w:val="22"/>
        </w:rPr>
        <w:t xml:space="preserve"> vyplácalo materské</w:t>
      </w:r>
      <w:r w:rsidR="004F75B7">
        <w:rPr>
          <w:szCs w:val="22"/>
        </w:rPr>
        <w:t>,</w:t>
      </w:r>
      <w:r w:rsidR="00A27A56">
        <w:rPr>
          <w:szCs w:val="22"/>
        </w:rPr>
        <w:t xml:space="preserve"> a na 270 eur pre rodičov, ktorým sa materské nevyplácalo (podkapitola </w:t>
      </w:r>
      <w:r w:rsidR="00A02A8B">
        <w:rPr>
          <w:szCs w:val="22"/>
        </w:rPr>
        <w:fldChar w:fldCharType="begin"/>
      </w:r>
      <w:r w:rsidR="00A02A8B">
        <w:rPr>
          <w:szCs w:val="22"/>
        </w:rPr>
        <w:instrText xml:space="preserve"> REF _Ref25315194 \r \h </w:instrText>
      </w:r>
      <w:r w:rsidR="00A02A8B">
        <w:rPr>
          <w:szCs w:val="22"/>
        </w:rPr>
      </w:r>
      <w:r w:rsidR="00A02A8B">
        <w:rPr>
          <w:szCs w:val="22"/>
        </w:rPr>
        <w:fldChar w:fldCharType="separate"/>
      </w:r>
      <w:r w:rsidR="00FA29AF">
        <w:rPr>
          <w:szCs w:val="22"/>
        </w:rPr>
        <w:t>8.2</w:t>
      </w:r>
      <w:r w:rsidR="00A02A8B">
        <w:rPr>
          <w:szCs w:val="22"/>
        </w:rPr>
        <w:fldChar w:fldCharType="end"/>
      </w:r>
      <w:r w:rsidR="00A27A56">
        <w:rPr>
          <w:szCs w:val="22"/>
        </w:rPr>
        <w:t>)</w:t>
      </w:r>
      <w:r w:rsidR="004F75B7">
        <w:rPr>
          <w:szCs w:val="22"/>
        </w:rPr>
        <w:t>, bude príspevok na </w:t>
      </w:r>
      <w:r w:rsidR="00A27A56">
        <w:rPr>
          <w:szCs w:val="22"/>
        </w:rPr>
        <w:t>starostlivosť o dieťa veľmi mierne prevyšovať rodičovský prísepevok iba v tom druhom prípade.</w:t>
      </w:r>
      <w:r w:rsidR="00A27A56" w:rsidRPr="00CA2564">
        <w:rPr>
          <w:rStyle w:val="Odkaznapoznmkupodiarou"/>
        </w:rPr>
        <w:footnoteReference w:id="351"/>
      </w:r>
      <w:r w:rsidR="00A27A56" w:rsidRPr="00CA2564">
        <w:rPr>
          <w:vertAlign w:val="superscript"/>
        </w:rPr>
        <w:t>,</w:t>
      </w:r>
      <w:r w:rsidR="00A27A56" w:rsidRPr="00CA2564">
        <w:rPr>
          <w:rStyle w:val="Odkaznapoznmkupodiarou"/>
        </w:rPr>
        <w:footnoteReference w:id="352"/>
      </w:r>
      <w:r w:rsidR="00443783">
        <w:rPr>
          <w:vertAlign w:val="superscript"/>
        </w:rPr>
        <w:t xml:space="preserve"> </w:t>
      </w:r>
      <w:r w:rsidR="004F75B7">
        <w:t>Možno </w:t>
      </w:r>
      <w:r w:rsidR="00443783">
        <w:t>preto očakávať výrazný pokles záujmu o tento príspevok.</w:t>
      </w:r>
    </w:p>
    <w:p w14:paraId="5B76B0DF" w14:textId="5BC08836" w:rsidR="00962280" w:rsidRDefault="00106929" w:rsidP="00B2148E">
      <w:pPr>
        <w:spacing w:before="160"/>
      </w:pPr>
      <w:bookmarkStart w:id="588" w:name="_Toc19460308"/>
      <w:bookmarkStart w:id="589" w:name="_Toc19460523"/>
      <w:bookmarkStart w:id="590" w:name="_Toc19464816"/>
      <w:bookmarkStart w:id="591" w:name="_Toc19468409"/>
      <w:bookmarkStart w:id="592" w:name="_Toc19515757"/>
      <w:bookmarkStart w:id="593" w:name="_Toc19517806"/>
      <w:bookmarkStart w:id="594" w:name="_Toc19531856"/>
      <w:bookmarkStart w:id="595" w:name="_Toc19539878"/>
      <w:bookmarkStart w:id="596" w:name="_Toc19686810"/>
      <w:bookmarkStart w:id="597" w:name="_Toc19711455"/>
      <w:bookmarkStart w:id="598" w:name="_Toc19711671"/>
      <w:bookmarkStart w:id="599" w:name="_Toc19723885"/>
      <w:bookmarkStart w:id="600" w:name="_Toc19880146"/>
      <w:bookmarkStart w:id="601" w:name="_Toc19881466"/>
      <w:bookmarkStart w:id="602" w:name="_Toc19885912"/>
      <w:bookmarkStart w:id="603" w:name="_Toc19939926"/>
      <w:bookmarkStart w:id="604" w:name="_Toc19941497"/>
      <w:bookmarkStart w:id="605" w:name="_Toc19944166"/>
      <w:bookmarkStart w:id="606" w:name="_Toc20048401"/>
      <w:bookmarkStart w:id="607" w:name="_Toc20064936"/>
      <w:bookmarkStart w:id="608" w:name="_Toc20153882"/>
      <w:bookmarkStart w:id="609" w:name="_Toc20154683"/>
      <w:bookmarkStart w:id="610" w:name="_Toc20208007"/>
      <w:bookmarkStart w:id="611" w:name="_Toc20300387"/>
      <w:bookmarkStart w:id="612" w:name="_Toc19460309"/>
      <w:bookmarkStart w:id="613" w:name="_Toc19460524"/>
      <w:bookmarkStart w:id="614" w:name="_Toc19464817"/>
      <w:bookmarkStart w:id="615" w:name="_Toc19468410"/>
      <w:bookmarkStart w:id="616" w:name="_Toc19515758"/>
      <w:bookmarkStart w:id="617" w:name="_Toc19517807"/>
      <w:bookmarkStart w:id="618" w:name="_Toc19531857"/>
      <w:bookmarkStart w:id="619" w:name="_Toc19539879"/>
      <w:bookmarkStart w:id="620" w:name="_Toc19686811"/>
      <w:bookmarkStart w:id="621" w:name="_Toc19711456"/>
      <w:bookmarkStart w:id="622" w:name="_Toc19711672"/>
      <w:bookmarkStart w:id="623" w:name="_Toc19723886"/>
      <w:bookmarkStart w:id="624" w:name="_Toc19880147"/>
      <w:bookmarkStart w:id="625" w:name="_Toc19881467"/>
      <w:bookmarkStart w:id="626" w:name="_Toc19885913"/>
      <w:bookmarkStart w:id="627" w:name="_Toc19939927"/>
      <w:bookmarkStart w:id="628" w:name="_Toc19941498"/>
      <w:bookmarkStart w:id="629" w:name="_Toc19944167"/>
      <w:bookmarkStart w:id="630" w:name="_Toc20048402"/>
      <w:bookmarkStart w:id="631" w:name="_Toc20064937"/>
      <w:bookmarkStart w:id="632" w:name="_Toc20153883"/>
      <w:bookmarkStart w:id="633" w:name="_Toc20154684"/>
      <w:bookmarkStart w:id="634" w:name="_Toc20208008"/>
      <w:bookmarkStart w:id="635" w:name="_Toc20300388"/>
      <w:bookmarkStart w:id="636" w:name="_Toc19460310"/>
      <w:bookmarkStart w:id="637" w:name="_Toc19460525"/>
      <w:bookmarkStart w:id="638" w:name="_Toc19464818"/>
      <w:bookmarkStart w:id="639" w:name="_Toc19468411"/>
      <w:bookmarkStart w:id="640" w:name="_Toc19515759"/>
      <w:bookmarkStart w:id="641" w:name="_Toc19517808"/>
      <w:bookmarkStart w:id="642" w:name="_Toc19531858"/>
      <w:bookmarkStart w:id="643" w:name="_Toc19539880"/>
      <w:bookmarkStart w:id="644" w:name="_Toc19686812"/>
      <w:bookmarkStart w:id="645" w:name="_Toc19711457"/>
      <w:bookmarkStart w:id="646" w:name="_Toc19711673"/>
      <w:bookmarkStart w:id="647" w:name="_Toc19723887"/>
      <w:bookmarkStart w:id="648" w:name="_Toc19880148"/>
      <w:bookmarkStart w:id="649" w:name="_Toc19881468"/>
      <w:bookmarkStart w:id="650" w:name="_Toc19885914"/>
      <w:bookmarkStart w:id="651" w:name="_Toc19939928"/>
      <w:bookmarkStart w:id="652" w:name="_Toc19941499"/>
      <w:bookmarkStart w:id="653" w:name="_Toc19944168"/>
      <w:bookmarkStart w:id="654" w:name="_Toc20048403"/>
      <w:bookmarkStart w:id="655" w:name="_Toc20064938"/>
      <w:bookmarkStart w:id="656" w:name="_Toc20153884"/>
      <w:bookmarkStart w:id="657" w:name="_Toc20154685"/>
      <w:bookmarkStart w:id="658" w:name="_Toc20208009"/>
      <w:bookmarkStart w:id="659" w:name="_Toc20300389"/>
      <w:bookmarkStart w:id="660" w:name="_Toc19460311"/>
      <w:bookmarkStart w:id="661" w:name="_Toc19460526"/>
      <w:bookmarkStart w:id="662" w:name="_Toc19464819"/>
      <w:bookmarkStart w:id="663" w:name="_Toc19468412"/>
      <w:bookmarkStart w:id="664" w:name="_Toc19515760"/>
      <w:bookmarkStart w:id="665" w:name="_Toc19517809"/>
      <w:bookmarkStart w:id="666" w:name="_Toc19531859"/>
      <w:bookmarkStart w:id="667" w:name="_Toc19539881"/>
      <w:bookmarkStart w:id="668" w:name="_Toc19686813"/>
      <w:bookmarkStart w:id="669" w:name="_Toc19711458"/>
      <w:bookmarkStart w:id="670" w:name="_Toc19711674"/>
      <w:bookmarkStart w:id="671" w:name="_Toc19723888"/>
      <w:bookmarkStart w:id="672" w:name="_Toc19880149"/>
      <w:bookmarkStart w:id="673" w:name="_Toc19881469"/>
      <w:bookmarkStart w:id="674" w:name="_Toc19885915"/>
      <w:bookmarkStart w:id="675" w:name="_Toc19939929"/>
      <w:bookmarkStart w:id="676" w:name="_Toc19941500"/>
      <w:bookmarkStart w:id="677" w:name="_Toc19944169"/>
      <w:bookmarkStart w:id="678" w:name="_Toc20048404"/>
      <w:bookmarkStart w:id="679" w:name="_Toc20064939"/>
      <w:bookmarkStart w:id="680" w:name="_Toc20153885"/>
      <w:bookmarkStart w:id="681" w:name="_Toc20154686"/>
      <w:bookmarkStart w:id="682" w:name="_Toc20208010"/>
      <w:bookmarkStart w:id="683" w:name="_Toc20300390"/>
      <w:bookmarkStart w:id="684" w:name="_Toc19460312"/>
      <w:bookmarkStart w:id="685" w:name="_Toc19460527"/>
      <w:bookmarkStart w:id="686" w:name="_Toc19464820"/>
      <w:bookmarkStart w:id="687" w:name="_Toc19468413"/>
      <w:bookmarkStart w:id="688" w:name="_Toc19515761"/>
      <w:bookmarkStart w:id="689" w:name="_Toc19517810"/>
      <w:bookmarkStart w:id="690" w:name="_Toc19531860"/>
      <w:bookmarkStart w:id="691" w:name="_Toc19539882"/>
      <w:bookmarkStart w:id="692" w:name="_Toc19686814"/>
      <w:bookmarkStart w:id="693" w:name="_Toc19711459"/>
      <w:bookmarkStart w:id="694" w:name="_Toc19711675"/>
      <w:bookmarkStart w:id="695" w:name="_Toc19723889"/>
      <w:bookmarkStart w:id="696" w:name="_Toc19880150"/>
      <w:bookmarkStart w:id="697" w:name="_Toc19881470"/>
      <w:bookmarkStart w:id="698" w:name="_Toc19885916"/>
      <w:bookmarkStart w:id="699" w:name="_Toc19939930"/>
      <w:bookmarkStart w:id="700" w:name="_Toc19941501"/>
      <w:bookmarkStart w:id="701" w:name="_Toc19944170"/>
      <w:bookmarkStart w:id="702" w:name="_Toc20048405"/>
      <w:bookmarkStart w:id="703" w:name="_Toc20064940"/>
      <w:bookmarkStart w:id="704" w:name="_Toc20153886"/>
      <w:bookmarkStart w:id="705" w:name="_Toc20154687"/>
      <w:bookmarkStart w:id="706" w:name="_Toc20208011"/>
      <w:bookmarkStart w:id="707" w:name="_Toc20300391"/>
      <w:bookmarkStart w:id="708" w:name="_Toc19460313"/>
      <w:bookmarkStart w:id="709" w:name="_Toc19460528"/>
      <w:bookmarkStart w:id="710" w:name="_Toc19464821"/>
      <w:bookmarkStart w:id="711" w:name="_Toc19468414"/>
      <w:bookmarkStart w:id="712" w:name="_Toc19515762"/>
      <w:bookmarkStart w:id="713" w:name="_Toc19517811"/>
      <w:bookmarkStart w:id="714" w:name="_Toc19531861"/>
      <w:bookmarkStart w:id="715" w:name="_Toc19539883"/>
      <w:bookmarkStart w:id="716" w:name="_Toc19686815"/>
      <w:bookmarkStart w:id="717" w:name="_Toc19711460"/>
      <w:bookmarkStart w:id="718" w:name="_Toc19711676"/>
      <w:bookmarkStart w:id="719" w:name="_Toc19723890"/>
      <w:bookmarkStart w:id="720" w:name="_Toc19880151"/>
      <w:bookmarkStart w:id="721" w:name="_Toc19881471"/>
      <w:bookmarkStart w:id="722" w:name="_Toc19885917"/>
      <w:bookmarkStart w:id="723" w:name="_Toc19939931"/>
      <w:bookmarkStart w:id="724" w:name="_Toc19941502"/>
      <w:bookmarkStart w:id="725" w:name="_Toc19944171"/>
      <w:bookmarkStart w:id="726" w:name="_Toc20048406"/>
      <w:bookmarkStart w:id="727" w:name="_Toc20064941"/>
      <w:bookmarkStart w:id="728" w:name="_Toc20153887"/>
      <w:bookmarkStart w:id="729" w:name="_Toc20154688"/>
      <w:bookmarkStart w:id="730" w:name="_Toc20208012"/>
      <w:bookmarkStart w:id="731" w:name="_Toc20300392"/>
      <w:bookmarkStart w:id="732" w:name="_Toc19460318"/>
      <w:bookmarkStart w:id="733" w:name="_Toc19460533"/>
      <w:bookmarkStart w:id="734" w:name="_Toc19464826"/>
      <w:bookmarkStart w:id="735" w:name="_Toc19468419"/>
      <w:bookmarkStart w:id="736" w:name="_Toc19515767"/>
      <w:bookmarkStart w:id="737" w:name="_Toc19517816"/>
      <w:bookmarkStart w:id="738" w:name="_Toc19531866"/>
      <w:bookmarkStart w:id="739" w:name="_Toc19539888"/>
      <w:bookmarkStart w:id="740" w:name="_Toc19686820"/>
      <w:bookmarkStart w:id="741" w:name="_Toc19711465"/>
      <w:bookmarkStart w:id="742" w:name="_Toc19711681"/>
      <w:bookmarkStart w:id="743" w:name="_Toc19723895"/>
      <w:bookmarkStart w:id="744" w:name="_Toc19880156"/>
      <w:bookmarkStart w:id="745" w:name="_Toc19881476"/>
      <w:bookmarkStart w:id="746" w:name="_Toc19885922"/>
      <w:bookmarkStart w:id="747" w:name="_Toc19939936"/>
      <w:bookmarkStart w:id="748" w:name="_Toc19941507"/>
      <w:bookmarkStart w:id="749" w:name="_Toc19944176"/>
      <w:bookmarkStart w:id="750" w:name="_Toc20048411"/>
      <w:bookmarkStart w:id="751" w:name="_Toc20064946"/>
      <w:bookmarkStart w:id="752" w:name="_Toc20153892"/>
      <w:bookmarkStart w:id="753" w:name="_Toc20154693"/>
      <w:bookmarkStart w:id="754" w:name="_Toc20208017"/>
      <w:bookmarkStart w:id="755" w:name="_Toc20300397"/>
      <w:bookmarkStart w:id="756" w:name="_Toc19460330"/>
      <w:bookmarkStart w:id="757" w:name="_Toc19460545"/>
      <w:bookmarkStart w:id="758" w:name="_Toc19464838"/>
      <w:bookmarkStart w:id="759" w:name="_Toc19468431"/>
      <w:bookmarkStart w:id="760" w:name="_Toc19515779"/>
      <w:bookmarkStart w:id="761" w:name="_Toc19517828"/>
      <w:bookmarkStart w:id="762" w:name="_Toc19531878"/>
      <w:bookmarkStart w:id="763" w:name="_Toc19539900"/>
      <w:bookmarkStart w:id="764" w:name="_Toc19686832"/>
      <w:bookmarkStart w:id="765" w:name="_Toc19711477"/>
      <w:bookmarkStart w:id="766" w:name="_Toc19711693"/>
      <w:bookmarkStart w:id="767" w:name="_Toc19723907"/>
      <w:bookmarkStart w:id="768" w:name="_Toc19880168"/>
      <w:bookmarkStart w:id="769" w:name="_Toc19881488"/>
      <w:bookmarkStart w:id="770" w:name="_Toc19885934"/>
      <w:bookmarkStart w:id="771" w:name="_Toc19939948"/>
      <w:bookmarkStart w:id="772" w:name="_Toc19941519"/>
      <w:bookmarkStart w:id="773" w:name="_Toc19944188"/>
      <w:bookmarkStart w:id="774" w:name="_Toc20048423"/>
      <w:bookmarkStart w:id="775" w:name="_Toc20064958"/>
      <w:bookmarkStart w:id="776" w:name="_Toc20153904"/>
      <w:bookmarkStart w:id="777" w:name="_Toc20154705"/>
      <w:bookmarkStart w:id="778" w:name="_Toc20208029"/>
      <w:bookmarkStart w:id="779" w:name="_Toc20300409"/>
      <w:bookmarkStart w:id="780" w:name="_Toc19460331"/>
      <w:bookmarkStart w:id="781" w:name="_Toc19460546"/>
      <w:bookmarkStart w:id="782" w:name="_Toc19464839"/>
      <w:bookmarkStart w:id="783" w:name="_Toc19468432"/>
      <w:bookmarkStart w:id="784" w:name="_Toc19515780"/>
      <w:bookmarkStart w:id="785" w:name="_Toc19517829"/>
      <w:bookmarkStart w:id="786" w:name="_Toc19531879"/>
      <w:bookmarkStart w:id="787" w:name="_Toc19539901"/>
      <w:bookmarkStart w:id="788" w:name="_Toc19686833"/>
      <w:bookmarkStart w:id="789" w:name="_Toc19711478"/>
      <w:bookmarkStart w:id="790" w:name="_Toc19711694"/>
      <w:bookmarkStart w:id="791" w:name="_Toc19723908"/>
      <w:bookmarkStart w:id="792" w:name="_Toc19880169"/>
      <w:bookmarkStart w:id="793" w:name="_Toc19881489"/>
      <w:bookmarkStart w:id="794" w:name="_Toc19885935"/>
      <w:bookmarkStart w:id="795" w:name="_Toc19939949"/>
      <w:bookmarkStart w:id="796" w:name="_Toc19941520"/>
      <w:bookmarkStart w:id="797" w:name="_Toc19944189"/>
      <w:bookmarkStart w:id="798" w:name="_Toc20048424"/>
      <w:bookmarkStart w:id="799" w:name="_Toc20064959"/>
      <w:bookmarkStart w:id="800" w:name="_Toc20153905"/>
      <w:bookmarkStart w:id="801" w:name="_Toc20154706"/>
      <w:bookmarkStart w:id="802" w:name="_Toc20208030"/>
      <w:bookmarkStart w:id="803" w:name="_Toc20300410"/>
      <w:bookmarkStart w:id="804" w:name="_Hlk17636762"/>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r w:rsidRPr="00AB28DA">
        <w:rPr>
          <w:b/>
          <w:szCs w:val="22"/>
        </w:rPr>
        <w:t>Revízia navrhuje</w:t>
      </w:r>
      <w:r w:rsidR="00962280" w:rsidRPr="00AB28DA">
        <w:rPr>
          <w:b/>
          <w:szCs w:val="22"/>
        </w:rPr>
        <w:t xml:space="preserve"> zvýšiť </w:t>
      </w:r>
      <w:r w:rsidR="004D017D">
        <w:rPr>
          <w:b/>
          <w:szCs w:val="22"/>
        </w:rPr>
        <w:t xml:space="preserve">maximálnu možnú výšku </w:t>
      </w:r>
      <w:r w:rsidR="00962280" w:rsidRPr="00AB28DA">
        <w:rPr>
          <w:b/>
          <w:szCs w:val="22"/>
        </w:rPr>
        <w:t>príspev</w:t>
      </w:r>
      <w:r w:rsidR="004D017D">
        <w:rPr>
          <w:b/>
          <w:szCs w:val="22"/>
        </w:rPr>
        <w:t>ku</w:t>
      </w:r>
      <w:r w:rsidR="00962280" w:rsidRPr="00AB28DA">
        <w:rPr>
          <w:b/>
          <w:szCs w:val="22"/>
        </w:rPr>
        <w:t xml:space="preserve"> na starostlivosť o dieťa na 3</w:t>
      </w:r>
      <w:r w:rsidR="00641D66">
        <w:rPr>
          <w:b/>
          <w:szCs w:val="22"/>
        </w:rPr>
        <w:t>25</w:t>
      </w:r>
      <w:r w:rsidR="00962280" w:rsidRPr="00AB28DA">
        <w:rPr>
          <w:b/>
          <w:szCs w:val="22"/>
        </w:rPr>
        <w:t xml:space="preserve"> eur mesačne.</w:t>
      </w:r>
      <w:r w:rsidR="00641D66">
        <w:rPr>
          <w:rStyle w:val="Odkaznapoznmkupodiarou"/>
          <w:b/>
          <w:szCs w:val="22"/>
        </w:rPr>
        <w:footnoteReference w:id="353"/>
      </w:r>
      <w:r w:rsidR="00962280" w:rsidRPr="00AB28DA">
        <w:rPr>
          <w:b/>
          <w:szCs w:val="22"/>
        </w:rPr>
        <w:t xml:space="preserve"> </w:t>
      </w:r>
      <w:r w:rsidR="00962280" w:rsidRPr="00AB28DA">
        <w:rPr>
          <w:szCs w:val="22"/>
        </w:rPr>
        <w:t xml:space="preserve">Cieľom tohto opatrenia je </w:t>
      </w:r>
      <w:r w:rsidR="005D2E66">
        <w:rPr>
          <w:szCs w:val="22"/>
        </w:rPr>
        <w:t xml:space="preserve">reagovať na zvšujúce sa priemerné poplatky za zariadenia starostlivosti o deti do 3 rokov veku dieťaťa a </w:t>
      </w:r>
      <w:r w:rsidR="00C93BED" w:rsidRPr="00AB28DA">
        <w:rPr>
          <w:szCs w:val="22"/>
        </w:rPr>
        <w:t>zjednodušiť cestu na trh práce matkám</w:t>
      </w:r>
      <w:r w:rsidR="00962280" w:rsidRPr="00AB28DA">
        <w:t>, ktoré pred narodením dieťaťa boli nezamestnané alebo neaktívne,</w:t>
      </w:r>
      <w:r w:rsidRPr="00AB28DA">
        <w:t xml:space="preserve"> nemali nárok na materské (a tým pádom na vyšší rodičovský príspevok),</w:t>
      </w:r>
      <w:r w:rsidR="00962280" w:rsidRPr="00AB28DA">
        <w:t xml:space="preserve"> a ktoré v priemere zostávajú na rodičovskej dovolenke podstatne dlhšie ako matky s lepším ukotvením na trhu práce (Hidas a Horváthová, 2018)</w:t>
      </w:r>
      <w:r w:rsidRPr="00AB28DA">
        <w:t xml:space="preserve">. </w:t>
      </w:r>
      <w:r w:rsidR="004D017D">
        <w:t>Revízia</w:t>
      </w:r>
      <w:r w:rsidR="003F3F7C">
        <w:t xml:space="preserve"> zároveň navrhuje predĺžiť nárok na príspevok na starostlivosť o dieťa do začiatku školského roka v roku, v ktorom dieťa dovŕši 3 roky veku (alebo 6 rokov veku v prípade dieťaťa s dlhodobo nepriaznivým zdravotným stavom). Úlohou tohto predĺženia je zabezpečiť, aby bolo plynule touto podporou pokryté celé obdobie pred tým, ako spravidla možno umiestniť dieťa do príslušného predškolského zariadenia resp. školského zariadenia (začiatok školského roka).</w:t>
      </w:r>
    </w:p>
    <w:p w14:paraId="335849D4" w14:textId="7EB928D4" w:rsidR="002B6462" w:rsidRPr="00D3189B" w:rsidRDefault="003549E7" w:rsidP="00B2148E">
      <w:pPr>
        <w:spacing w:before="160"/>
        <w:rPr>
          <w:color w:val="0070C0"/>
        </w:rPr>
      </w:pPr>
      <w:r>
        <w:rPr>
          <w:color w:val="0070C0"/>
        </w:rPr>
        <w:t>Po</w:t>
      </w:r>
      <w:r w:rsidR="00B2148E">
        <w:rPr>
          <w:color w:val="0070C0"/>
        </w:rPr>
        <w:t>moc</w:t>
      </w:r>
      <w:r>
        <w:rPr>
          <w:color w:val="0070C0"/>
        </w:rPr>
        <w:t xml:space="preserve"> </w:t>
      </w:r>
      <w:r w:rsidR="002B6462">
        <w:rPr>
          <w:color w:val="0070C0"/>
        </w:rPr>
        <w:t>osamelý</w:t>
      </w:r>
      <w:r w:rsidR="00B2148E">
        <w:rPr>
          <w:color w:val="0070C0"/>
        </w:rPr>
        <w:t>m</w:t>
      </w:r>
      <w:r w:rsidR="002B6462">
        <w:rPr>
          <w:color w:val="0070C0"/>
        </w:rPr>
        <w:t xml:space="preserve"> rodičo</w:t>
      </w:r>
      <w:r w:rsidR="00B2148E">
        <w:rPr>
          <w:color w:val="0070C0"/>
        </w:rPr>
        <w:t>m uplatniť sa</w:t>
      </w:r>
      <w:r w:rsidR="002B6462">
        <w:rPr>
          <w:color w:val="0070C0"/>
        </w:rPr>
        <w:t xml:space="preserve"> na trhu práce</w:t>
      </w:r>
    </w:p>
    <w:p w14:paraId="5371E01B" w14:textId="491A79D5" w:rsidR="00B2148E" w:rsidRDefault="00B2148E" w:rsidP="00B2148E">
      <w:pPr>
        <w:spacing w:before="160"/>
      </w:pPr>
      <w:r>
        <w:rPr>
          <w:b/>
        </w:rPr>
        <w:t>Pomoc (nielen) osamelým rodičom uplatniť sa na trhu práce je aktuálne poskytovaná prostredníctvom príspevkov pre zamestnávateľov.</w:t>
      </w:r>
      <w:r>
        <w:t xml:space="preserve"> V septembri 2019 bol vyhlásený národný projekt „Zosúladenie rodinného a pracovného života“ s alokáciou z ESF vo výške 11 miliónov eur.</w:t>
      </w:r>
      <w:r>
        <w:rPr>
          <w:rStyle w:val="Odkaznapoznmkupodiarou"/>
        </w:rPr>
        <w:footnoteReference w:id="354"/>
      </w:r>
      <w:r>
        <w:t xml:space="preserve"> Cieľom je zlepšiť podmienky pre zosúladenie rodinného a pracovného života, zvýšenie zamestnanosti osôb s rodičovskými povinnosťami, predovšetkým žien.</w:t>
      </w:r>
      <w:r w:rsidR="00991091">
        <w:t xml:space="preserve"> </w:t>
      </w:r>
      <w:r>
        <w:t xml:space="preserve">Oprávnenými osobami sú UoZ vedení v evidencii minimálne 3 mesiace. Malo by ísť o ženy starajúce sa o dieťa do 6 rokov veku alebo osamelé dospelé osoby, ktoré žijú aspoň s jednou osobou odkázanou na jeho/jej starostlivosť pred ukončením povinnej školskej dochádzky. </w:t>
      </w:r>
    </w:p>
    <w:p w14:paraId="52AF52D6" w14:textId="2A4AE295" w:rsidR="00B2148E" w:rsidRDefault="00B2148E" w:rsidP="00B2148E">
      <w:pPr>
        <w:spacing w:before="160"/>
      </w:pPr>
      <w:r>
        <w:rPr>
          <w:b/>
        </w:rPr>
        <w:t>Hlavnou aktivitou projektu je poskytovanie finančného príspevku zamestnávateľovi, ktorý do pracovného pomeru príjme oprávnenú osobu na dobu minimálne 3 mesiacov.</w:t>
      </w:r>
      <w:r>
        <w:t xml:space="preserve"> </w:t>
      </w:r>
      <w:r w:rsidR="00991091">
        <w:t>Finančný príspevok je stanovený vo výške 95 % ceny práce, najviac však vo výške 1,2 násobku minimálnej celkovej ceny práce. Na rok 2019 to predstavuje sumu maximálne 844 eur na mesiac. Príspev</w:t>
      </w:r>
      <w:r w:rsidR="00EB360B">
        <w:t>ok</w:t>
      </w:r>
      <w:r w:rsidR="00991091">
        <w:t xml:space="preserve"> sa poskytuj</w:t>
      </w:r>
      <w:r w:rsidR="00EB360B">
        <w:t>e</w:t>
      </w:r>
      <w:r w:rsidR="00991091">
        <w:t xml:space="preserve"> zamestnávateľovi maximáne po dobu 12 mesiacov v závislosti od trvania pracovného pomeru. Podporované</w:t>
      </w:r>
      <w:r>
        <w:t xml:space="preserve"> by sa mali </w:t>
      </w:r>
      <w:r w:rsidR="00991091">
        <w:t xml:space="preserve">byť </w:t>
      </w:r>
      <w:r>
        <w:t xml:space="preserve">flexibilné formy zamestnávania – práca na kratší pracovný čas, vytvorenie deleného pracovného miesta alebo domácka práca či telepráca. </w:t>
      </w:r>
    </w:p>
    <w:p w14:paraId="2D2096F8" w14:textId="4F8F1026" w:rsidR="00B2148E" w:rsidRDefault="00B2148E" w:rsidP="00B2148E">
      <w:pPr>
        <w:spacing w:before="160"/>
      </w:pPr>
      <w:r>
        <w:rPr>
          <w:b/>
        </w:rPr>
        <w:t>Osamel</w:t>
      </w:r>
      <w:r w:rsidR="00A63669">
        <w:rPr>
          <w:b/>
        </w:rPr>
        <w:t>í rodičia</w:t>
      </w:r>
      <w:r>
        <w:rPr>
          <w:b/>
        </w:rPr>
        <w:t xml:space="preserve"> potrebujú špecifickú individualizovanú formu pomoci na trhu práce</w:t>
      </w:r>
      <w:r w:rsidR="00A63669">
        <w:rPr>
          <w:b/>
        </w:rPr>
        <w:t>, ktorá na Slovensku chýba</w:t>
      </w:r>
      <w:r>
        <w:rPr>
          <w:b/>
        </w:rPr>
        <w:t xml:space="preserve">. </w:t>
      </w:r>
      <w:r>
        <w:t>Zvýšiť zamestnateľnosť osamelých rodičov je možné prostredníctvom širšieho spektra aktivít, napríklad mentoringom, prípravou na činnosti zamerané na zamestnanie, tréningom mäkkých a prenosných zručností, poskytovaním vzdelávania a odbornej prípravy, kariérneho poradenstva a rozvoja a sprostredkovaním pracovných skúseností na medzitrhu práce. Na všetkých úrovniach pomoci je najväčšou prekážkou na trhu práce pre osamel</w:t>
      </w:r>
      <w:r w:rsidR="00576BDE">
        <w:t>ých</w:t>
      </w:r>
      <w:r>
        <w:t xml:space="preserve"> </w:t>
      </w:r>
      <w:r w:rsidR="00576BDE">
        <w:t>rodičov</w:t>
      </w:r>
      <w:r>
        <w:t xml:space="preserve"> zabezpečenie starostlivosti o dieťa. Zabezpečenie starostlivosti o dieťa minimálne počas trvania aktivít je integrálnou súčasťou pomoci osamelým rodičom na trhu práce.</w:t>
      </w:r>
    </w:p>
    <w:p w14:paraId="1D809F01" w14:textId="38AE5A8B" w:rsidR="00B2148E" w:rsidRDefault="00A63669" w:rsidP="00B2148E">
      <w:pPr>
        <w:spacing w:before="160"/>
        <w:rPr>
          <w:rFonts w:asciiTheme="minorHAnsi" w:hAnsiTheme="minorHAnsi"/>
          <w:szCs w:val="22"/>
        </w:rPr>
      </w:pPr>
      <w:r>
        <w:rPr>
          <w:b/>
        </w:rPr>
        <w:t>Dobrá p</w:t>
      </w:r>
      <w:r w:rsidR="00B2148E">
        <w:rPr>
          <w:b/>
        </w:rPr>
        <w:t>rax zo zahraničia (</w:t>
      </w:r>
      <w:r w:rsidR="002D608E">
        <w:rPr>
          <w:b/>
        </w:rPr>
        <w:fldChar w:fldCharType="begin"/>
      </w:r>
      <w:r w:rsidR="002D608E">
        <w:rPr>
          <w:b/>
        </w:rPr>
        <w:instrText xml:space="preserve"> REF _Ref23854537 \h </w:instrText>
      </w:r>
      <w:r w:rsidR="002D608E">
        <w:rPr>
          <w:b/>
        </w:rPr>
      </w:r>
      <w:r w:rsidR="002D608E">
        <w:rPr>
          <w:b/>
        </w:rPr>
        <w:fldChar w:fldCharType="separate"/>
      </w:r>
      <w:r w:rsidR="00FA29AF" w:rsidRPr="00576BDE">
        <w:rPr>
          <w:rFonts w:eastAsia="Arial Narrow" w:cs="Arial Narrow"/>
          <w:b/>
          <w:iCs/>
        </w:rPr>
        <w:t xml:space="preserve">Box </w:t>
      </w:r>
      <w:r w:rsidR="00FA29AF">
        <w:rPr>
          <w:rFonts w:eastAsia="Arial Narrow" w:cs="Arial Narrow"/>
          <w:b/>
          <w:iCs/>
          <w:noProof/>
        </w:rPr>
        <w:t>17</w:t>
      </w:r>
      <w:r w:rsidR="002D608E">
        <w:rPr>
          <w:b/>
        </w:rPr>
        <w:fldChar w:fldCharType="end"/>
      </w:r>
      <w:r w:rsidR="00B2148E">
        <w:rPr>
          <w:b/>
        </w:rPr>
        <w:t xml:space="preserve">) </w:t>
      </w:r>
      <w:r>
        <w:rPr>
          <w:b/>
        </w:rPr>
        <w:t>ukazuje</w:t>
      </w:r>
      <w:r w:rsidR="00B2148E">
        <w:rPr>
          <w:b/>
        </w:rPr>
        <w:t xml:space="preserve"> dôležitosť holistického prístupu pri riešení problémov so zamestnaním osamelých rodičov.</w:t>
      </w:r>
      <w:r w:rsidR="00B2148E">
        <w:t xml:space="preserve"> Úspešná pracovná integrácia si vyžaduje koordináciu špecializovaných odborníkov, napríklad z oblasti finančného poradenstva, psychologickej podpory, osobnostného rozvoja aj rozvoja zručností, obzvlášť dôležitá je pomoc pri jednaní s potenciálnymi zamestnávateľmi o podmienkach zamestnania.</w:t>
      </w:r>
      <w:r w:rsidR="00162C43">
        <w:rPr>
          <w:b/>
          <w:bCs/>
        </w:rPr>
        <w:t xml:space="preserve"> </w:t>
      </w:r>
      <w:r w:rsidR="00B2148E" w:rsidRPr="00576BDE">
        <w:rPr>
          <w:b/>
          <w:bCs/>
        </w:rPr>
        <w:t xml:space="preserve">Revízia odporúča v budúcom programovom období 2021-2027 </w:t>
      </w:r>
      <w:r w:rsidR="00B6765E">
        <w:rPr>
          <w:b/>
          <w:bCs/>
        </w:rPr>
        <w:t xml:space="preserve">uskutočniť pilotný projekt zameraný </w:t>
      </w:r>
      <w:r w:rsidR="00B2148E" w:rsidRPr="00576BDE">
        <w:rPr>
          <w:b/>
          <w:bCs/>
        </w:rPr>
        <w:t>na komplexnú podporu osamelých rodičov na trhu práce.</w:t>
      </w:r>
      <w:r w:rsidR="00B2148E" w:rsidRPr="00576BDE">
        <w:t xml:space="preserve"> </w:t>
      </w:r>
    </w:p>
    <w:tbl>
      <w:tblPr>
        <w:tblW w:w="9221" w:type="dxa"/>
        <w:tblBorders>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221"/>
      </w:tblGrid>
      <w:tr w:rsidR="00B2148E" w14:paraId="725911A2" w14:textId="77777777" w:rsidTr="00B2148E">
        <w:trPr>
          <w:trHeight w:val="80"/>
        </w:trPr>
        <w:tc>
          <w:tcPr>
            <w:tcW w:w="9221" w:type="dxa"/>
            <w:shd w:val="clear" w:color="auto" w:fill="BDD6EE" w:themeFill="accent1" w:themeFillTint="66"/>
            <w:hideMark/>
          </w:tcPr>
          <w:p w14:paraId="6A60BE41" w14:textId="630A9149" w:rsidR="00B2148E" w:rsidRPr="00576BDE" w:rsidRDefault="00576BDE" w:rsidP="00576BDE">
            <w:pPr>
              <w:spacing w:before="160" w:line="252" w:lineRule="auto"/>
              <w:rPr>
                <w:b/>
              </w:rPr>
            </w:pPr>
            <w:bookmarkStart w:id="805" w:name="_Ref23854537"/>
            <w:r w:rsidRPr="00576BDE">
              <w:rPr>
                <w:rFonts w:eastAsia="Arial Narrow" w:cs="Arial Narrow"/>
                <w:b/>
                <w:iCs/>
              </w:rPr>
              <w:t xml:space="preserve">Box </w:t>
            </w:r>
            <w:r w:rsidR="00A425AB">
              <w:rPr>
                <w:rFonts w:eastAsia="Arial Narrow" w:cs="Arial Narrow"/>
                <w:b/>
                <w:iCs/>
              </w:rPr>
              <w:fldChar w:fldCharType="begin"/>
            </w:r>
            <w:r w:rsidR="00A425AB">
              <w:rPr>
                <w:rFonts w:eastAsia="Arial Narrow" w:cs="Arial Narrow"/>
                <w:b/>
                <w:iCs/>
              </w:rPr>
              <w:instrText xml:space="preserve"> SEQ Box \* ARABIC </w:instrText>
            </w:r>
            <w:r w:rsidR="00A425AB">
              <w:rPr>
                <w:rFonts w:eastAsia="Arial Narrow" w:cs="Arial Narrow"/>
                <w:b/>
                <w:iCs/>
              </w:rPr>
              <w:fldChar w:fldCharType="separate"/>
            </w:r>
            <w:r w:rsidR="00FA29AF">
              <w:rPr>
                <w:rFonts w:eastAsia="Arial Narrow" w:cs="Arial Narrow"/>
                <w:b/>
                <w:iCs/>
                <w:noProof/>
              </w:rPr>
              <w:t>17</w:t>
            </w:r>
            <w:r w:rsidR="00A425AB">
              <w:rPr>
                <w:rFonts w:eastAsia="Arial Narrow" w:cs="Arial Narrow"/>
                <w:b/>
                <w:iCs/>
              </w:rPr>
              <w:fldChar w:fldCharType="end"/>
            </w:r>
            <w:bookmarkEnd w:id="805"/>
            <w:r w:rsidRPr="00576BDE">
              <w:rPr>
                <w:rFonts w:eastAsia="Arial Narrow" w:cs="Arial Narrow"/>
                <w:b/>
              </w:rPr>
              <w:t>: Pomoc osamelým rodičom na trhu práce v zahraničí</w:t>
            </w:r>
          </w:p>
          <w:p w14:paraId="1C6FBC1A" w14:textId="77777777" w:rsidR="00B2148E" w:rsidRPr="00576BDE" w:rsidRDefault="00B2148E" w:rsidP="00576BDE">
            <w:pPr>
              <w:spacing w:before="160"/>
              <w:rPr>
                <w:i/>
              </w:rPr>
            </w:pPr>
            <w:r w:rsidRPr="00576BDE">
              <w:rPr>
                <w:i/>
              </w:rPr>
              <w:t>Nemecko</w:t>
            </w:r>
          </w:p>
          <w:p w14:paraId="058FE7EC" w14:textId="2A36874C" w:rsidR="00B2148E" w:rsidRPr="00576BDE" w:rsidRDefault="00B2148E" w:rsidP="00576BDE">
            <w:pPr>
              <w:spacing w:before="160"/>
            </w:pPr>
            <w:r w:rsidRPr="00576BDE">
              <w:t>V Nemecku sú osamelí rodičia jednou z prioritných cieľových skupín aktivačných politík, pričom je kladený dôraz na zosúladenie pracovného a rodinného života. Z iniciatívy federálneho ministerstva práce a sociálnych vecí boli realizované viaceré projekty na národnej úrovni, najvýznamnejšie z nich „Dobré zamestnanie pre osamelých rodičov “ a naňho naväzujúca „Sieť efektívnej pomoci osamelým rodičom “, ktoré prebiehali medzi rokmi 2009 a 2013 a boli spolufinancované z Európskeho sociálneho fondu. Prvý z nich bol určený pre osamelých rodičov poberajúcich dávky v nezamestnanosti pr</w:t>
            </w:r>
            <w:r w:rsidR="00C16685">
              <w:t>e príjmovo znevýhodnené skupiny</w:t>
            </w:r>
            <w:r w:rsidRPr="00576BDE">
              <w:t xml:space="preserve"> s cieľom dosiahnuť ich úspešnú integráciu na pracovnom trhu a udržanie si pracovného miesta. Druhý sa zameral na riešenie štrukturálnych bariér obmedzujúcich prístup osamelých rodičov k zamestnaniu. Účelom bolo docieliť koordinovanie aktivít jednotlivých aktérov (úrady, komunitné centrá, zamestnávatelia, neziskový sektor, lobbystické organizácie, atď.) do uceleného systému pomoci osamelým rodičom. Hlavnými realizátormi boli v oboch prípadoch úrady práce v spolupráci s neziskovým sektorom, ktorí poskytovali osamelým rodičom komplexné odborné poradenstvo pri hľadaní práce, so zreteľom na ich špecifickú situáciu a sprostredkovali kontakt so zamestnávateľmi, prípadne aj prevádzkovateľmi predškolských zariadení. Záverečné hodnotenie intervencii poukázalo na dôležitosť holistického prístupu pri poskytovaní týchto služieb - úspešnosť pracovnej integrácie do veľkej miery závisela od riešenia problémov v iných oblastiach života osamelých rodičov (psychologická podpora, zabezpečenie starostlivosti pre deti, tréning osobnostného rozvoja) ako aj širokej spolupráce najmä so zamestnávateľmi v snahe docieliť obojstranne vyhovujúce podmienky (Zagel, 2015). </w:t>
            </w:r>
          </w:p>
          <w:p w14:paraId="7CC0FE3B" w14:textId="77777777" w:rsidR="00B2148E" w:rsidRPr="00576BDE" w:rsidRDefault="00B2148E" w:rsidP="00576BDE">
            <w:pPr>
              <w:spacing w:before="160"/>
              <w:rPr>
                <w:i/>
              </w:rPr>
            </w:pPr>
            <w:r w:rsidRPr="00576BDE">
              <w:rPr>
                <w:i/>
              </w:rPr>
              <w:t>Veľká Británia</w:t>
            </w:r>
          </w:p>
          <w:p w14:paraId="12E611CD" w14:textId="6E7FF6CF" w:rsidR="00B2148E" w:rsidRPr="00576BDE" w:rsidRDefault="00D82666" w:rsidP="00576BDE">
            <w:pPr>
              <w:spacing w:before="160"/>
            </w:pPr>
            <w:r>
              <w:t>Program</w:t>
            </w:r>
            <w:r w:rsidR="00B2148E" w:rsidRPr="00576BDE">
              <w:t xml:space="preserve"> „New Deal for Lone Parents“ zameran</w:t>
            </w:r>
            <w:r>
              <w:t>ý</w:t>
            </w:r>
            <w:r w:rsidR="00B2148E" w:rsidRPr="00576BDE">
              <w:t xml:space="preserve"> na poskytovanie špecifickej, individualizovanej pomoci osamelým rodičom pri hľadaní zamestnania</w:t>
            </w:r>
            <w:r>
              <w:t xml:space="preserve"> pomohol</w:t>
            </w:r>
            <w:r w:rsidR="00B2148E" w:rsidRPr="00576BDE">
              <w:t xml:space="preserve"> zvýšiť počet osamelých rodičov, ktorí prestali byť odkázaní na sociálne dávky o 20 </w:t>
            </w:r>
            <w:r>
              <w:t xml:space="preserve">% </w:t>
            </w:r>
            <w:r w:rsidR="00B2148E" w:rsidRPr="00576BDE">
              <w:t>až 25</w:t>
            </w:r>
            <w:r>
              <w:t xml:space="preserve"> </w:t>
            </w:r>
            <w:r w:rsidR="00B2148E" w:rsidRPr="00576BDE">
              <w:t>% (Cebulla a kol., 2008). V roku 2008</w:t>
            </w:r>
            <w:r>
              <w:t xml:space="preserve"> bol</w:t>
            </w:r>
            <w:r w:rsidR="00B2148E" w:rsidRPr="00576BDE">
              <w:t xml:space="preserve"> celonárodne implementovaný predtým pilotne odskúšaný program „Doplatok k mzde pre osamelých rodičov “. O sumu 40 libier týždenne si mohli zažiadať osamelí rodičia, ktorí si našli prácu</w:t>
            </w:r>
            <w:r w:rsidR="00C16685">
              <w:t>,</w:t>
            </w:r>
            <w:r w:rsidR="00B2148E" w:rsidRPr="00576BDE">
              <w:t xml:space="preserve"> a predtým po dobu jedného roka poberali sociálne dávky. Doplatok k mzde nebol príjmovo testovanou dávkou a bol vyplácaný najviac 12 mesiacov po nástupe do zamestnania. Podmienkou bolo odpracovať aspoň 16 hodín týždenne. Program bol hodnotený pozitívne – po jeho zavedení viac ako 11% osamelých rodičov spĺňajúcich podmienky na poberanie príspevku uvied</w:t>
            </w:r>
            <w:r w:rsidR="00C16685">
              <w:t>lo, že bez tejto možnosti by do </w:t>
            </w:r>
            <w:r w:rsidR="00B2148E" w:rsidRPr="00576BDE">
              <w:t>zamestnania nenastúpili. Väčšina poberateľov bola schopná si prácu udržať aj po skončení 12 mesačnej lehoty. Kvalitatívny výskum pozostávajúci z rozhovorov s osamelými rodičmi ktorí obdržali príspevok potvrdil, že program vnímali pozitívne a značne nápomocný bol najmä pre osoby s finančnými ťažkosťami. Vzhľadom na pomerne nízky požadovaný počet odpracovaných hodín však program viedol najmä k prechodu zo sociálnych dávok k zamestnaniu sa na čiastočný úväzok, pričom jeho vplyv na zamestnanie sa na plný úväzok bol minimálny. Podobné opatrenia s vyšším požadovaným počtom odpracovaných hodín dosiahli v tomto smere lepšie výsledky (Brewer a kol., 2017, Millar a kol., 2016).</w:t>
            </w:r>
          </w:p>
          <w:p w14:paraId="1F459C66" w14:textId="77777777" w:rsidR="00B2148E" w:rsidRPr="00576BDE" w:rsidRDefault="00B2148E" w:rsidP="00576BDE">
            <w:pPr>
              <w:spacing w:before="160"/>
              <w:rPr>
                <w:i/>
              </w:rPr>
            </w:pPr>
            <w:r w:rsidRPr="00576BDE">
              <w:rPr>
                <w:i/>
              </w:rPr>
              <w:t>Iné príklady</w:t>
            </w:r>
          </w:p>
          <w:p w14:paraId="4C8DAE00" w14:textId="434FB6CA" w:rsidR="00B2148E" w:rsidRDefault="00B2148E" w:rsidP="00576BDE">
            <w:pPr>
              <w:spacing w:before="160"/>
            </w:pPr>
            <w:r w:rsidRPr="00576BDE">
              <w:t>Zabezpečenie predškolskej</w:t>
            </w:r>
            <w:r w:rsidR="00C16685">
              <w:t>,</w:t>
            </w:r>
            <w:r w:rsidRPr="00576BDE">
              <w:t xml:space="preserve"> ako aj (v prípade potreby) mimoškolskej starostlivosti o dieťa je častokrát nevyhnutným predpokladom pre návrat osamelého rodičia do zamestnania. Pred vytvorením dostatočných kapacít pre všetky deti, boli na Islande pri prijímaní do škôlok uprednostňované deti osamelých rodičov. Zároveň sú poplatky za škôlku vo viacerých samosprávach nižšie pre osamelých rodičo</w:t>
            </w:r>
            <w:r w:rsidR="00C16685">
              <w:t>v ako pre páry (Eydal, 2018). V </w:t>
            </w:r>
            <w:r w:rsidRPr="00576BDE">
              <w:t>Dánsku, kde zamestnanosť osamelých matiek dosahuje 74</w:t>
            </w:r>
            <w:r w:rsidR="00D82666">
              <w:t xml:space="preserve"> </w:t>
            </w:r>
            <w:r w:rsidRPr="00576BDE">
              <w:t>% (OECD, 2016), 61</w:t>
            </w:r>
            <w:r w:rsidR="00D82666">
              <w:t xml:space="preserve"> </w:t>
            </w:r>
            <w:r w:rsidRPr="00576BDE">
              <w:t>% detí od 0 do 2 rokov a</w:t>
            </w:r>
            <w:r w:rsidR="00D82666">
              <w:t> </w:t>
            </w:r>
            <w:r w:rsidRPr="00576BDE">
              <w:t>97</w:t>
            </w:r>
            <w:r w:rsidR="00D82666">
              <w:t xml:space="preserve"> </w:t>
            </w:r>
            <w:r w:rsidRPr="00576BDE">
              <w:t>% detí vo veku 3-5 rokov navštevuje predškolské zariadenia (OECD, 2016). Zároveň ich obvyklá pracovná doba (od 6:30 do 17:00)</w:t>
            </w:r>
            <w:r w:rsidR="00C16685">
              <w:t>,</w:t>
            </w:r>
            <w:r w:rsidRPr="00576BDE">
              <w:t xml:space="preserve"> a v niektorých prípadoch aj možnosť starostlivosti o dieťa mimo stanovených hodín, umožňujú rodičom pracovať bez problémov na plný úväzok. K dispozícii je aj samostatný príspevok na dieťa pre osamelých rodičov (EC, 2019, WID, 2019).</w:t>
            </w:r>
          </w:p>
        </w:tc>
      </w:tr>
    </w:tbl>
    <w:p w14:paraId="736C3C91" w14:textId="6B01DEBB" w:rsidR="00962280" w:rsidRPr="000E27B6" w:rsidRDefault="00962280" w:rsidP="00D3189B">
      <w:pPr>
        <w:pStyle w:val="Nadpis2"/>
        <w:spacing w:before="240"/>
      </w:pPr>
      <w:bookmarkStart w:id="806" w:name="_Ref25233959"/>
      <w:bookmarkStart w:id="807" w:name="_Ref25235023"/>
      <w:bookmarkStart w:id="808" w:name="_Ref25310085"/>
      <w:bookmarkStart w:id="809" w:name="_Ref25313998"/>
      <w:bookmarkStart w:id="810" w:name="_Ref25315024"/>
      <w:bookmarkStart w:id="811" w:name="_Toc34657730"/>
      <w:r>
        <w:t>Pomoc s riešením dlhových problémov</w:t>
      </w:r>
      <w:bookmarkEnd w:id="806"/>
      <w:bookmarkEnd w:id="807"/>
      <w:bookmarkEnd w:id="808"/>
      <w:bookmarkEnd w:id="809"/>
      <w:bookmarkEnd w:id="810"/>
      <w:bookmarkEnd w:id="811"/>
    </w:p>
    <w:p w14:paraId="03998DF3" w14:textId="3C00AA5F" w:rsidR="00EF1973" w:rsidRPr="00CA2564" w:rsidRDefault="00EF1973" w:rsidP="00EF1973">
      <w:pPr>
        <w:spacing w:before="160"/>
        <w:rPr>
          <w:rFonts w:cs="NeueHaasGroteskText W02"/>
        </w:rPr>
      </w:pPr>
      <w:r w:rsidRPr="00CA2564">
        <w:rPr>
          <w:rFonts w:cs="NeueHaasGroteskText W02"/>
          <w:b/>
        </w:rPr>
        <w:t xml:space="preserve">Veľkú bariéru pri zamestnávaní osôb zo slabších sociálnych pomerov predstavujú prebiehajúce exekúcie. </w:t>
      </w:r>
      <w:bookmarkEnd w:id="804"/>
      <w:r w:rsidRPr="00CA2564">
        <w:rPr>
          <w:rFonts w:cs="NeueHaasGroteskText W02"/>
        </w:rPr>
        <w:t>Exekúcie výrazne znižujú motiváciu zamestnať sa na legálnom trhu práce</w:t>
      </w:r>
      <w:r w:rsidR="002B7A04">
        <w:rPr>
          <w:rFonts w:cs="NeueHaasGroteskText W02"/>
        </w:rPr>
        <w:t>,</w:t>
      </w:r>
      <w:r w:rsidRPr="00CA2564">
        <w:rPr>
          <w:rFonts w:cs="NeueHaasGroteskText W02"/>
        </w:rPr>
        <w:t xml:space="preserve"> keďže značná časť príjmu z práce je automaticky strhnutá v prospech exekútora za účelom splácania existujúcich dlhov. </w:t>
      </w:r>
    </w:p>
    <w:p w14:paraId="34E75734" w14:textId="77777777" w:rsidR="00EF1973" w:rsidRPr="00CA2564" w:rsidRDefault="00EF1973" w:rsidP="00EF1973">
      <w:pPr>
        <w:spacing w:before="160"/>
        <w:rPr>
          <w:rFonts w:cs="NeueHaasGroteskText W02"/>
        </w:rPr>
      </w:pPr>
      <w:r w:rsidRPr="00CA2564">
        <w:rPr>
          <w:rFonts w:cs="NeueHaasGroteskText W02"/>
          <w:b/>
        </w:rPr>
        <w:t>Napriek vysokému počtu exekúcií na Slovensku (okolo 3,7 milióna</w:t>
      </w:r>
      <w:r w:rsidRPr="00CA2564">
        <w:rPr>
          <w:rStyle w:val="Odkaznapoznmkupodiarou"/>
          <w:rFonts w:cs="NeueHaasGroteskText W02"/>
          <w:b/>
        </w:rPr>
        <w:footnoteReference w:id="355"/>
      </w:r>
      <w:r w:rsidRPr="00CA2564">
        <w:rPr>
          <w:rFonts w:cs="NeueHaasGroteskText W02"/>
          <w:b/>
        </w:rPr>
        <w:t xml:space="preserve">), možnosť riešiť dlhové problémy prostredníctvom inštitútu osobného bankrotu bola pred rokom 2016 využívaná minimálne. </w:t>
      </w:r>
      <w:r w:rsidRPr="00CA2564">
        <w:rPr>
          <w:rFonts w:cs="NeueHaasGroteskText W02"/>
        </w:rPr>
        <w:t xml:space="preserve">Kým </w:t>
      </w:r>
      <w:r w:rsidRPr="00CA2564">
        <w:t>v roku 2015 bolo v Českej republike podaných viac ako 32 tisíc žiadostí o osobný bankrot, za rovnaké obdobie využilo túto možnosť na Slovensku iba 391 ľudí. Dôvodom</w:t>
      </w:r>
      <w:r w:rsidRPr="00CA2564">
        <w:rPr>
          <w:rFonts w:cs="NeueHaasGroteskText W02"/>
        </w:rPr>
        <w:t xml:space="preserve"> boli pomerne zložité podmienky prístupu k tejto forme pomoci, čo znamenalo, že nešlo o účinný právny prostriedok.</w:t>
      </w:r>
    </w:p>
    <w:p w14:paraId="7DCBB5DF" w14:textId="3A4D7357" w:rsidR="00533302" w:rsidRDefault="00EF1973" w:rsidP="00EF1973">
      <w:pPr>
        <w:spacing w:before="160"/>
      </w:pPr>
      <w:bookmarkStart w:id="812" w:name="_Hlk17636785"/>
      <w:r w:rsidRPr="00CA2564">
        <w:rPr>
          <w:rFonts w:cs="NeueHaasGroteskText W02"/>
          <w:b/>
        </w:rPr>
        <w:t>Zmena v zákone od marca 2017 výrazne zjednodušila proces osobného bankrotu</w:t>
      </w:r>
      <w:r w:rsidR="002B7A04">
        <w:rPr>
          <w:rFonts w:cs="NeueHaasGroteskText W02"/>
          <w:b/>
        </w:rPr>
        <w:t>,</w:t>
      </w:r>
      <w:r w:rsidRPr="00CA2564">
        <w:rPr>
          <w:rFonts w:cs="NeueHaasGroteskText W02"/>
          <w:b/>
        </w:rPr>
        <w:t xml:space="preserve"> vďaka čomu ich počet vzrástol </w:t>
      </w:r>
      <w:bookmarkEnd w:id="812"/>
      <w:r w:rsidRPr="00CA2564">
        <w:rPr>
          <w:rFonts w:cs="NeueHaasGroteskText W02"/>
          <w:b/>
        </w:rPr>
        <w:t xml:space="preserve">na 14 756 v roku 2018. </w:t>
      </w:r>
      <w:r w:rsidRPr="00CA2564">
        <w:rPr>
          <w:rFonts w:cs="NeueHaasGroteskText W02"/>
        </w:rPr>
        <w:t xml:space="preserve">Oddlženie sa uskutočňuje skoro výlučne formou konkurzu, pri ktorom </w:t>
      </w:r>
      <w:r w:rsidRPr="00CA2564">
        <w:t>celý majetok dlžníka prepadá v prospech veriteľov. Tento nástroj poskytuje relatívne bezbolestné a rýchle zbavenie sa dlhov pre nemajetné skupiny obyvateľstva</w:t>
      </w:r>
      <w:r w:rsidR="00EB3D97">
        <w:t>.</w:t>
      </w:r>
      <w:r w:rsidRPr="00CA2564">
        <w:rPr>
          <w:rStyle w:val="Odkaznapoznmkupodiarou"/>
        </w:rPr>
        <w:footnoteReference w:id="356"/>
      </w:r>
      <w:r w:rsidRPr="00CA2564">
        <w:t xml:space="preserve"> Oddlženie formou splátkového kalendára, ktoré predpokladá čiastočné splácanie dlhov, bolo v roku 2018 uskutočnené iba v 157 prípadoch.</w:t>
      </w:r>
    </w:p>
    <w:p w14:paraId="1432229F" w14:textId="2409247C" w:rsidR="00533302" w:rsidRPr="00CA2564" w:rsidRDefault="00533302" w:rsidP="00EF1973">
      <w:pPr>
        <w:spacing w:before="160"/>
      </w:pPr>
      <w:r w:rsidRPr="00D3189B">
        <w:rPr>
          <w:b/>
        </w:rPr>
        <w:t>V rámci terénnej s</w:t>
      </w:r>
      <w:r w:rsidR="002B7A04">
        <w:rPr>
          <w:b/>
        </w:rPr>
        <w:t>o</w:t>
      </w:r>
      <w:r w:rsidRPr="00D3189B">
        <w:rPr>
          <w:b/>
        </w:rPr>
        <w:t>ciálnej práce v prostredí MRK (kapitola</w:t>
      </w:r>
      <w:r w:rsidR="004177A4">
        <w:rPr>
          <w:b/>
        </w:rPr>
        <w:t xml:space="preserve"> </w:t>
      </w:r>
      <w:r w:rsidR="004177A4">
        <w:rPr>
          <w:b/>
        </w:rPr>
        <w:fldChar w:fldCharType="begin"/>
      </w:r>
      <w:r w:rsidR="004177A4">
        <w:rPr>
          <w:b/>
        </w:rPr>
        <w:instrText xml:space="preserve"> REF _Ref25310095 \r \h </w:instrText>
      </w:r>
      <w:r w:rsidR="004177A4">
        <w:rPr>
          <w:b/>
        </w:rPr>
      </w:r>
      <w:r w:rsidR="004177A4">
        <w:rPr>
          <w:b/>
        </w:rPr>
        <w:fldChar w:fldCharType="separate"/>
      </w:r>
      <w:r w:rsidR="00FA29AF">
        <w:rPr>
          <w:b/>
        </w:rPr>
        <w:t>11</w:t>
      </w:r>
      <w:r w:rsidR="004177A4">
        <w:rPr>
          <w:b/>
        </w:rPr>
        <w:fldChar w:fldCharType="end"/>
      </w:r>
      <w:r w:rsidRPr="00D3189B">
        <w:rPr>
          <w:b/>
        </w:rPr>
        <w:t>) sú intervnencie zamerané na exekúcie, splátkové kalendáre a finančné poradenstvo najčastejším druhom intervencií.</w:t>
      </w:r>
      <w:r>
        <w:t xml:space="preserve"> Toto platilo pre 90 % navštívených samospráv v rámci evaluácie terénnej sociálnej práce v roku 2018 (Škobla a spol., 2019). Z dostupných údajov však nie je možné určiť aký podiel zo všetkých ľudí, ktor</w:t>
      </w:r>
      <w:r w:rsidR="002B7A04">
        <w:t>í</w:t>
      </w:r>
      <w:r>
        <w:t xml:space="preserve"> prešli osobným bankrotom</w:t>
      </w:r>
      <w:r w:rsidR="002B7A04">
        <w:t>,</w:t>
      </w:r>
      <w:r>
        <w:t xml:space="preserve"> tvoria ľudia z prostredia MRK. </w:t>
      </w:r>
      <w:r w:rsidRPr="00DA110C">
        <w:t xml:space="preserve">Jedným možným zdrojom dlhových problémov v MRK je okrem chudoby aj úžera. O rozsahu úžerníctva v prostredí MRK však neexistujú </w:t>
      </w:r>
      <w:r>
        <w:t>údaje</w:t>
      </w:r>
      <w:r w:rsidRPr="00DA110C">
        <w:t>.</w:t>
      </w:r>
    </w:p>
    <w:p w14:paraId="3B559696" w14:textId="2BF1B3E0" w:rsidR="00EF1973" w:rsidRPr="00AB28DA" w:rsidRDefault="00EF1973" w:rsidP="00EF1973">
      <w:pPr>
        <w:spacing w:before="160"/>
        <w:rPr>
          <w:b/>
          <w:bCs/>
        </w:rPr>
      </w:pPr>
      <w:bookmarkStart w:id="813" w:name="_Hlk17636809"/>
      <w:r w:rsidRPr="00CA2564">
        <w:rPr>
          <w:b/>
        </w:rPr>
        <w:t>Jednoduchý a rýchly proces osobného bankrotu pomáha riešiť dlho</w:t>
      </w:r>
      <w:r w:rsidR="00577F9A">
        <w:rPr>
          <w:b/>
        </w:rPr>
        <w:t>vé problémy z minulosti. Zatiaľ </w:t>
      </w:r>
      <w:r w:rsidRPr="00CA2564">
        <w:rPr>
          <w:b/>
        </w:rPr>
        <w:t xml:space="preserve">neexistuje žiadne systémové opatrenie, ktoré by sa zameriavalo na </w:t>
      </w:r>
      <w:r w:rsidR="007C2E52">
        <w:rPr>
          <w:b/>
        </w:rPr>
        <w:t xml:space="preserve">finančnú gramotnosť ohrozených skupín ani na </w:t>
      </w:r>
      <w:r w:rsidRPr="00CA2564">
        <w:rPr>
          <w:b/>
        </w:rPr>
        <w:t xml:space="preserve">prevenciu pred ďalším upadnutím </w:t>
      </w:r>
      <w:r w:rsidR="007C2E52">
        <w:rPr>
          <w:b/>
        </w:rPr>
        <w:t xml:space="preserve">už </w:t>
      </w:r>
      <w:r w:rsidRPr="00CA2564">
        <w:rPr>
          <w:b/>
        </w:rPr>
        <w:t xml:space="preserve">oddlžených osôb do dlhov v budúcnosti. </w:t>
      </w:r>
      <w:r w:rsidRPr="00CA2564">
        <w:t xml:space="preserve">Inštitút osobného bankrotu pritom často využívajú práve skupiny obyvateľov, ktoré majú najväčšie problémy s finančnou gramotnosťou. </w:t>
      </w:r>
      <w:bookmarkEnd w:id="813"/>
      <w:r w:rsidRPr="00CA2564">
        <w:t>Vzhľadom na fakt, že osobný bankrotom je možné prejsť najviac raz za desať rokov</w:t>
      </w:r>
      <w:r w:rsidR="00E22185">
        <w:t>,</w:t>
      </w:r>
      <w:r w:rsidRPr="00CA2564">
        <w:t xml:space="preserve"> existuje riziko, že únik z exekučnej pasce bude pre nezanedbateľnú časť cieľovej populácie iba dočasný.</w:t>
      </w:r>
      <w:r w:rsidR="00BC0DA7">
        <w:rPr>
          <w:b/>
          <w:bCs/>
        </w:rPr>
        <w:t xml:space="preserve"> </w:t>
      </w:r>
      <w:bookmarkStart w:id="814" w:name="_Hlk17636819"/>
      <w:r w:rsidR="00577F9A">
        <w:rPr>
          <w:b/>
          <w:bCs/>
        </w:rPr>
        <w:t>Revízia </w:t>
      </w:r>
      <w:r w:rsidR="00BC0DA7">
        <w:rPr>
          <w:b/>
          <w:bCs/>
        </w:rPr>
        <w:t xml:space="preserve">preto </w:t>
      </w:r>
      <w:r w:rsidRPr="00AB28DA">
        <w:rPr>
          <w:b/>
          <w:bCs/>
        </w:rPr>
        <w:t xml:space="preserve">navrhuje </w:t>
      </w:r>
      <w:r w:rsidR="00BC0DA7">
        <w:rPr>
          <w:b/>
          <w:bCs/>
        </w:rPr>
        <w:t xml:space="preserve">v budúcom progamovom období </w:t>
      </w:r>
      <w:r w:rsidR="00BC0DA7" w:rsidRPr="00576BDE">
        <w:rPr>
          <w:b/>
          <w:bCs/>
        </w:rPr>
        <w:t xml:space="preserve">2021-2027 </w:t>
      </w:r>
      <w:r w:rsidR="00BC0DA7">
        <w:rPr>
          <w:b/>
          <w:bCs/>
        </w:rPr>
        <w:t xml:space="preserve">uskutočniť pilotný projekt </w:t>
      </w:r>
      <w:r w:rsidR="00162C43">
        <w:rPr>
          <w:b/>
          <w:bCs/>
        </w:rPr>
        <w:t xml:space="preserve">zameraný </w:t>
      </w:r>
      <w:r w:rsidR="00BC0DA7">
        <w:rPr>
          <w:b/>
          <w:bCs/>
        </w:rPr>
        <w:t xml:space="preserve">na </w:t>
      </w:r>
      <w:r w:rsidRPr="00AB28DA">
        <w:rPr>
          <w:b/>
          <w:bCs/>
        </w:rPr>
        <w:t>individualizovan</w:t>
      </w:r>
      <w:r w:rsidR="00162C43">
        <w:rPr>
          <w:b/>
          <w:bCs/>
        </w:rPr>
        <w:t>ú</w:t>
      </w:r>
      <w:r w:rsidRPr="00AB28DA">
        <w:rPr>
          <w:b/>
          <w:bCs/>
        </w:rPr>
        <w:t xml:space="preserve"> pomoc pre osob</w:t>
      </w:r>
      <w:r w:rsidR="00162C43">
        <w:rPr>
          <w:b/>
          <w:bCs/>
        </w:rPr>
        <w:t>y</w:t>
      </w:r>
      <w:r w:rsidRPr="00AB28DA">
        <w:rPr>
          <w:b/>
          <w:bCs/>
        </w:rPr>
        <w:t>, ktoré prešli osobným bankrotom</w:t>
      </w:r>
      <w:r w:rsidR="00BC0DA7">
        <w:rPr>
          <w:b/>
          <w:bCs/>
        </w:rPr>
        <w:t xml:space="preserve">. </w:t>
      </w:r>
    </w:p>
    <w:bookmarkEnd w:id="814"/>
    <w:p w14:paraId="0FA25D33" w14:textId="0B706CE0" w:rsidR="008C0BD8" w:rsidRDefault="008C0BD8" w:rsidP="00D3189B">
      <w:pPr>
        <w:spacing w:before="160"/>
      </w:pPr>
      <w:r w:rsidRPr="00D3189B">
        <w:rPr>
          <w:rFonts w:cs="NeueHaasGroteskText W02"/>
          <w:b/>
        </w:rPr>
        <w:t>Bremeno exekúcií pomáha znížiť aj Zákon o ukončení niektorých exekučných konaní, ktorý nadobud</w:t>
      </w:r>
      <w:r w:rsidR="00EB3D97">
        <w:rPr>
          <w:rFonts w:cs="NeueHaasGroteskText W02"/>
          <w:b/>
        </w:rPr>
        <w:t>ol</w:t>
      </w:r>
      <w:r w:rsidRPr="00D3189B">
        <w:rPr>
          <w:rFonts w:cs="NeueHaasGroteskText W02"/>
          <w:b/>
        </w:rPr>
        <w:t xml:space="preserve"> účinnosť 1.1.2020</w:t>
      </w:r>
      <w:r w:rsidRPr="008C0BD8">
        <w:rPr>
          <w:rFonts w:cs="NeueHaasGroteskText W02"/>
        </w:rPr>
        <w:t>.</w:t>
      </w:r>
      <w:r w:rsidRPr="008C0BD8">
        <w:rPr>
          <w:rStyle w:val="Odkaznapoznmkupodiarou"/>
          <w:rFonts w:cs="NeueHaasGroteskText W02"/>
        </w:rPr>
        <w:footnoteReference w:id="357"/>
      </w:r>
      <w:r w:rsidRPr="008C0BD8">
        <w:rPr>
          <w:rFonts w:cs="NeueHaasGroteskText W02"/>
        </w:rPr>
        <w:t xml:space="preserve"> Zákon zastavuje exekúcie, ktoré boli začaté pred 1.4.2017 v prípade, ak uplynulo päť rokov od začatia exekúcie a za posledných 18 mesiacov nebol dosiahnutý výťažok spolu aspoň vo </w:t>
      </w:r>
      <w:r w:rsidR="00E22185" w:rsidRPr="008C0BD8">
        <w:rPr>
          <w:rFonts w:cs="NeueHaasGroteskText W02"/>
        </w:rPr>
        <w:t>výšk</w:t>
      </w:r>
      <w:r w:rsidR="00E22185">
        <w:rPr>
          <w:rFonts w:cs="NeueHaasGroteskText W02"/>
        </w:rPr>
        <w:t>e</w:t>
      </w:r>
      <w:r w:rsidR="00E22185" w:rsidRPr="008C0BD8">
        <w:rPr>
          <w:rFonts w:cs="NeueHaasGroteskText W02"/>
        </w:rPr>
        <w:t xml:space="preserve"> </w:t>
      </w:r>
      <w:r w:rsidRPr="008C0BD8">
        <w:rPr>
          <w:rFonts w:cs="NeueHaasGroteskText W02"/>
        </w:rPr>
        <w:t xml:space="preserve">15 eur. </w:t>
      </w:r>
      <w:r w:rsidR="007906DB">
        <w:t>Zákon </w:t>
      </w:r>
      <w:r>
        <w:t xml:space="preserve">tiež počíta </w:t>
      </w:r>
      <w:r w:rsidRPr="00D3189B">
        <w:t xml:space="preserve">s výnimkami, ktorých sa ukončenie </w:t>
      </w:r>
      <w:r>
        <w:t>netýka</w:t>
      </w:r>
      <w:r w:rsidRPr="00D3189B">
        <w:t>. Ide napríklad o vymáhanie výživn</w:t>
      </w:r>
      <w:r>
        <w:t>ého alebo nepeňažného plnenia.</w:t>
      </w:r>
    </w:p>
    <w:p w14:paraId="6E6C9244" w14:textId="529B28F8" w:rsidR="00520D76" w:rsidRPr="00A42768" w:rsidRDefault="009F5056" w:rsidP="00D3189B">
      <w:pPr>
        <w:spacing w:before="160"/>
      </w:pPr>
      <w:r w:rsidRPr="00D3189B">
        <w:rPr>
          <w:b/>
        </w:rPr>
        <w:t xml:space="preserve">Hoci ukončenie niektorých exekúcií neznamená, že dlžoba automaticky zmizne, v praxi sa očakáva, že znovu podaných návrhov na exekúciu bude málo. </w:t>
      </w:r>
      <w:r w:rsidRPr="00D3189B">
        <w:t>V prípade,</w:t>
      </w:r>
      <w:r>
        <w:t xml:space="preserve"> že je veriteľ presvedčený, že existuje šanca na získanie peňazí (napríklad z dôvodu, že dlžník zdedil majetok), bude môcť podať nový návrh na začatie exekúcie. V takom prípade však veriteľ musí zaplatiť poplatok, čo pravdepodobne odradí tých, ktorí usúdia, že ich pohľadávky sú nedobytné.</w:t>
      </w:r>
      <w:r w:rsidR="00FB669A">
        <w:t xml:space="preserve"> </w:t>
      </w:r>
      <w:r w:rsidR="00E22185">
        <w:t>E</w:t>
      </w:r>
      <w:r w:rsidR="00FB669A">
        <w:t xml:space="preserve">xekúcií, </w:t>
      </w:r>
      <w:r w:rsidR="00E22185">
        <w:t xml:space="preserve">v ktorých </w:t>
      </w:r>
      <w:r w:rsidR="00FB669A">
        <w:t>sa reálne nič nevymáha, je zhruba milión.</w:t>
      </w:r>
    </w:p>
    <w:p w14:paraId="5594B47D" w14:textId="73585D37" w:rsidR="007E0579" w:rsidRPr="00CA2564" w:rsidRDefault="007E0579" w:rsidP="007E0579">
      <w:pPr>
        <w:pStyle w:val="Nadpis1"/>
        <w:rPr>
          <w:noProof/>
        </w:rPr>
      </w:pPr>
      <w:bookmarkStart w:id="815" w:name="_Ref25312407"/>
      <w:bookmarkStart w:id="816" w:name="_Ref25314980"/>
      <w:bookmarkStart w:id="817" w:name="_Ref25315803"/>
      <w:bookmarkStart w:id="818" w:name="_Toc34657731"/>
      <w:r w:rsidRPr="00CA2564">
        <w:t>Sociálne zabezpečenie a rodinná politika</w:t>
      </w:r>
      <w:bookmarkEnd w:id="815"/>
      <w:bookmarkEnd w:id="816"/>
      <w:bookmarkEnd w:id="817"/>
      <w:bookmarkEnd w:id="818"/>
    </w:p>
    <w:p w14:paraId="5D627B44" w14:textId="77777777" w:rsidR="00D62C16" w:rsidRPr="006806A6" w:rsidRDefault="00D62C16" w:rsidP="00D62C16">
      <w:pPr>
        <w:pStyle w:val="Odsekzoznamu"/>
        <w:numPr>
          <w:ilvl w:val="0"/>
          <w:numId w:val="6"/>
        </w:numPr>
        <w:spacing w:before="160"/>
        <w:ind w:left="284" w:hanging="284"/>
        <w:rPr>
          <w:b/>
        </w:rPr>
      </w:pPr>
      <w:r>
        <w:rPr>
          <w:rFonts w:eastAsia="TimesNewRomanPSMT" w:cs="Times New Roman"/>
          <w:b/>
        </w:rPr>
        <w:t>Chudobu a sociálne vylúčenie pomáha</w:t>
      </w:r>
      <w:r w:rsidRPr="006806A6">
        <w:rPr>
          <w:rFonts w:eastAsia="TimesNewRomanPSMT" w:cs="Times New Roman"/>
          <w:b/>
        </w:rPr>
        <w:t xml:space="preserve"> zmierňovať </w:t>
      </w:r>
      <w:r>
        <w:rPr>
          <w:rFonts w:eastAsia="TimesNewRomanPSMT" w:cs="Times New Roman"/>
          <w:b/>
        </w:rPr>
        <w:t>systém</w:t>
      </w:r>
      <w:r w:rsidRPr="006806A6">
        <w:rPr>
          <w:rFonts w:eastAsia="TimesNewRomanPSMT" w:cs="Times New Roman"/>
          <w:b/>
        </w:rPr>
        <w:t xml:space="preserve"> sociálnej pomoci (pomoc v hmotnej núdzi, </w:t>
      </w:r>
      <w:r w:rsidRPr="006806A6">
        <w:rPr>
          <w:b/>
        </w:rPr>
        <w:t>kompenzácia sociálnych dôsledkov ťažkého zdravotného postihnutia</w:t>
      </w:r>
      <w:r>
        <w:rPr>
          <w:b/>
        </w:rPr>
        <w:t xml:space="preserve">, náhradné výživné), niektoré daňové výdavky, ktoré zvyšujú disponibilný príjem pracujúcich ľudí a motivujú k práci, a v prípade rodín s deťmi čiastočne aj systém sociálnej podpory, ktorý však nie je cielený iba na nízkopríjmové rodiny. Invalidný dôchodok v rámci systému sociálneho poistenia je dôležitým nástrojom inklúzie ľudí, ktorých postihla invalidita. </w:t>
      </w:r>
    </w:p>
    <w:p w14:paraId="261FCCE0" w14:textId="41738BEC" w:rsidR="00D62C16" w:rsidRDefault="00D62C16" w:rsidP="00D62C16">
      <w:pPr>
        <w:pStyle w:val="Odsekzoznamu"/>
        <w:numPr>
          <w:ilvl w:val="0"/>
          <w:numId w:val="6"/>
        </w:numPr>
        <w:spacing w:before="160"/>
        <w:ind w:left="284" w:hanging="284"/>
        <w:rPr>
          <w:b/>
        </w:rPr>
      </w:pPr>
      <w:r w:rsidRPr="00CA2564">
        <w:rPr>
          <w:b/>
        </w:rPr>
        <w:t>S</w:t>
      </w:r>
      <w:r w:rsidR="009C50D5">
        <w:rPr>
          <w:b/>
        </w:rPr>
        <w:t>ystém s</w:t>
      </w:r>
      <w:r w:rsidRPr="00CA2564">
        <w:rPr>
          <w:b/>
        </w:rPr>
        <w:t>ociáln</w:t>
      </w:r>
      <w:r w:rsidR="009C50D5">
        <w:rPr>
          <w:b/>
        </w:rPr>
        <w:t>ych</w:t>
      </w:r>
      <w:r w:rsidRPr="00CA2564">
        <w:rPr>
          <w:b/>
        </w:rPr>
        <w:t xml:space="preserve"> </w:t>
      </w:r>
      <w:r w:rsidR="009C50D5">
        <w:rPr>
          <w:b/>
        </w:rPr>
        <w:t>transferov</w:t>
      </w:r>
      <w:r w:rsidR="009C50D5" w:rsidRPr="00CA2564">
        <w:rPr>
          <w:b/>
        </w:rPr>
        <w:t xml:space="preserve"> </w:t>
      </w:r>
      <w:r w:rsidRPr="00CA2564">
        <w:rPr>
          <w:b/>
        </w:rPr>
        <w:t>na Slovensku je menej úspešný v znižovaní rizika chudoby detí ako priemer EÚ</w:t>
      </w:r>
      <w:r w:rsidR="009958F0">
        <w:rPr>
          <w:b/>
        </w:rPr>
        <w:t>15</w:t>
      </w:r>
      <w:r w:rsidRPr="00CA2564">
        <w:rPr>
          <w:b/>
        </w:rPr>
        <w:t xml:space="preserve"> aj okolitých krajín</w:t>
      </w:r>
      <w:r>
        <w:rPr>
          <w:b/>
        </w:rPr>
        <w:t xml:space="preserve"> a hĺbka chudoby detí je väčšia</w:t>
      </w:r>
      <w:r w:rsidRPr="00CA2564">
        <w:rPr>
          <w:b/>
        </w:rPr>
        <w:t>.</w:t>
      </w:r>
      <w:r>
        <w:rPr>
          <w:b/>
        </w:rPr>
        <w:t xml:space="preserve"> </w:t>
      </w:r>
    </w:p>
    <w:p w14:paraId="2D0379CE" w14:textId="6D844B8E" w:rsidR="00D62C16" w:rsidRPr="00605712" w:rsidRDefault="00D62C16" w:rsidP="00D62C16">
      <w:pPr>
        <w:pStyle w:val="Odsekzoznamu"/>
        <w:numPr>
          <w:ilvl w:val="0"/>
          <w:numId w:val="6"/>
        </w:numPr>
        <w:spacing w:before="160"/>
        <w:ind w:left="284" w:hanging="284"/>
        <w:rPr>
          <w:b/>
        </w:rPr>
      </w:pPr>
      <w:r w:rsidRPr="00CA2564">
        <w:rPr>
          <w:b/>
        </w:rPr>
        <w:t xml:space="preserve">Pomoc </w:t>
      </w:r>
      <w:r>
        <w:rPr>
          <w:b/>
        </w:rPr>
        <w:t xml:space="preserve">v hmotnej núdzi </w:t>
      </w:r>
      <w:r w:rsidRPr="00CA2564">
        <w:rPr>
          <w:b/>
        </w:rPr>
        <w:t xml:space="preserve">je </w:t>
      </w:r>
      <w:r>
        <w:rPr>
          <w:b/>
        </w:rPr>
        <w:t>na Slovensku</w:t>
      </w:r>
      <w:r w:rsidRPr="00CA2564">
        <w:rPr>
          <w:b/>
        </w:rPr>
        <w:t xml:space="preserve"> </w:t>
      </w:r>
      <w:r>
        <w:rPr>
          <w:b/>
        </w:rPr>
        <w:t xml:space="preserve">v pomere k strednému príjmu v hospodárstve </w:t>
      </w:r>
      <w:r w:rsidRPr="00CA2564">
        <w:rPr>
          <w:b/>
        </w:rPr>
        <w:t xml:space="preserve">výrazne nižšia ako obdobná pomoc </w:t>
      </w:r>
      <w:r>
        <w:rPr>
          <w:b/>
        </w:rPr>
        <w:t>vo väčšine ostatných krajín EÚ</w:t>
      </w:r>
      <w:r w:rsidR="009958F0">
        <w:rPr>
          <w:b/>
        </w:rPr>
        <w:t xml:space="preserve"> aj V3</w:t>
      </w:r>
      <w:r w:rsidR="007A59F2">
        <w:rPr>
          <w:b/>
        </w:rPr>
        <w:t xml:space="preserve"> a hlboko pod hranicou rizika chudoby</w:t>
      </w:r>
      <w:r>
        <w:rPr>
          <w:b/>
        </w:rPr>
        <w:t xml:space="preserve">. </w:t>
      </w:r>
      <w:r w:rsidR="00E51E6C">
        <w:rPr>
          <w:b/>
        </w:rPr>
        <w:t>Absencia valorizácie od roku 2009</w:t>
      </w:r>
      <w:r>
        <w:rPr>
          <w:b/>
        </w:rPr>
        <w:t xml:space="preserve"> </w:t>
      </w:r>
      <w:r w:rsidR="00E51E6C">
        <w:rPr>
          <w:b/>
        </w:rPr>
        <w:t>spôsobila</w:t>
      </w:r>
      <w:r>
        <w:rPr>
          <w:b/>
        </w:rPr>
        <w:t xml:space="preserve"> vyše 20 % pokles oproti </w:t>
      </w:r>
      <w:r w:rsidR="009958F0">
        <w:rPr>
          <w:b/>
        </w:rPr>
        <w:t xml:space="preserve">tejto </w:t>
      </w:r>
      <w:r>
        <w:rPr>
          <w:b/>
        </w:rPr>
        <w:t xml:space="preserve">hranici. </w:t>
      </w:r>
      <w:r w:rsidRPr="00605712">
        <w:rPr>
          <w:b/>
        </w:rPr>
        <w:t xml:space="preserve">Prístup k aktivačným programom, ktoré vytvárajú nárok na </w:t>
      </w:r>
      <w:r w:rsidR="00882AAA">
        <w:rPr>
          <w:b/>
        </w:rPr>
        <w:t xml:space="preserve">zásluhovú časť v podobe </w:t>
      </w:r>
      <w:r w:rsidRPr="00605712">
        <w:rPr>
          <w:b/>
        </w:rPr>
        <w:t>aktivačn</w:t>
      </w:r>
      <w:r w:rsidR="00882AAA">
        <w:rPr>
          <w:b/>
        </w:rPr>
        <w:t>ého</w:t>
      </w:r>
      <w:r w:rsidRPr="00605712">
        <w:rPr>
          <w:b/>
        </w:rPr>
        <w:t xml:space="preserve"> príspev</w:t>
      </w:r>
      <w:r w:rsidR="00882AAA">
        <w:rPr>
          <w:b/>
        </w:rPr>
        <w:t>ku</w:t>
      </w:r>
      <w:r w:rsidRPr="00605712">
        <w:rPr>
          <w:b/>
        </w:rPr>
        <w:t>, navyše nie je garantovaný pre všetkých záujemcov, ale závisí od ochoty a schopnosti samospráv a štátu vytvárať dostatočné príležitosti. Niektorí záujemcovia tak prichádzajú o možnosť zvýšiť svoj príjem.</w:t>
      </w:r>
    </w:p>
    <w:p w14:paraId="796491CC" w14:textId="436448D3" w:rsidR="00D62C16" w:rsidRDefault="000B44CC" w:rsidP="00D62C16">
      <w:pPr>
        <w:pStyle w:val="Odsekzoznamu"/>
        <w:numPr>
          <w:ilvl w:val="0"/>
          <w:numId w:val="6"/>
        </w:numPr>
        <w:ind w:left="284" w:hanging="284"/>
        <w:rPr>
          <w:b/>
        </w:rPr>
      </w:pPr>
      <w:r>
        <w:rPr>
          <w:b/>
        </w:rPr>
        <w:t>Príjem n</w:t>
      </w:r>
      <w:r w:rsidR="00D62C16" w:rsidRPr="00F85D1F">
        <w:rPr>
          <w:b/>
        </w:rPr>
        <w:t>ajchudobnejš</w:t>
      </w:r>
      <w:r>
        <w:rPr>
          <w:b/>
        </w:rPr>
        <w:t>ích</w:t>
      </w:r>
      <w:r w:rsidR="00D62C16" w:rsidRPr="00F85D1F">
        <w:rPr>
          <w:b/>
        </w:rPr>
        <w:t xml:space="preserve"> rod</w:t>
      </w:r>
      <w:r>
        <w:rPr>
          <w:b/>
        </w:rPr>
        <w:t>ín</w:t>
      </w:r>
      <w:r w:rsidR="00D62C16" w:rsidRPr="00F85D1F">
        <w:rPr>
          <w:b/>
        </w:rPr>
        <w:t xml:space="preserve"> s malými deťmi </w:t>
      </w:r>
      <w:r>
        <w:rPr>
          <w:b/>
        </w:rPr>
        <w:t xml:space="preserve">zostáva po získaní </w:t>
      </w:r>
      <w:r w:rsidR="00D62C16">
        <w:rPr>
          <w:b/>
        </w:rPr>
        <w:t xml:space="preserve">rodičovského príspevku </w:t>
      </w:r>
      <w:r>
        <w:rPr>
          <w:b/>
        </w:rPr>
        <w:t>nezmenený. V</w:t>
      </w:r>
      <w:r w:rsidR="00D62C16" w:rsidRPr="00F85D1F">
        <w:rPr>
          <w:b/>
        </w:rPr>
        <w:t xml:space="preserve"> niektorých situáciách si dokonca môžu finančne pohoršiť. Matky z MRK častejšie </w:t>
      </w:r>
      <w:r w:rsidR="004E76D1">
        <w:rPr>
          <w:b/>
        </w:rPr>
        <w:t>nespĺňajú podmienky</w:t>
      </w:r>
      <w:r w:rsidR="00D62C16" w:rsidRPr="00F85D1F">
        <w:rPr>
          <w:b/>
        </w:rPr>
        <w:t> nárok</w:t>
      </w:r>
      <w:r w:rsidR="004E76D1">
        <w:rPr>
          <w:b/>
        </w:rPr>
        <w:t>u</w:t>
      </w:r>
      <w:r w:rsidR="00D62C16" w:rsidRPr="00F85D1F">
        <w:rPr>
          <w:b/>
        </w:rPr>
        <w:t xml:space="preserve"> na príspevok pri narodení dieťaťa.</w:t>
      </w:r>
    </w:p>
    <w:p w14:paraId="223A47A2" w14:textId="7F609D9C" w:rsidR="00D62C16" w:rsidRDefault="00D62C16" w:rsidP="00D62C16">
      <w:pPr>
        <w:pStyle w:val="Odsekzoznamu"/>
        <w:numPr>
          <w:ilvl w:val="0"/>
          <w:numId w:val="6"/>
        </w:numPr>
        <w:ind w:left="284" w:hanging="284"/>
        <w:rPr>
          <w:b/>
        </w:rPr>
      </w:pPr>
      <w:r w:rsidRPr="00CA2564">
        <w:rPr>
          <w:b/>
        </w:rPr>
        <w:t>Finančná motivácia pracovať oproti poberaniu sociálnych dávok je na Slovensku vyššia ako priemer EÚ</w:t>
      </w:r>
      <w:r w:rsidR="009958F0">
        <w:rPr>
          <w:b/>
        </w:rPr>
        <w:t>15</w:t>
      </w:r>
      <w:r w:rsidRPr="00CA2564">
        <w:rPr>
          <w:b/>
        </w:rPr>
        <w:t xml:space="preserve"> aj </w:t>
      </w:r>
      <w:r w:rsidR="009958F0">
        <w:rPr>
          <w:b/>
        </w:rPr>
        <w:t>V3</w:t>
      </w:r>
      <w:r w:rsidRPr="00CA2564">
        <w:rPr>
          <w:b/>
        </w:rPr>
        <w:t xml:space="preserve"> a za posledné tri roky sa výrazne zvýšila.</w:t>
      </w:r>
      <w:r>
        <w:rPr>
          <w:b/>
        </w:rPr>
        <w:t xml:space="preserve"> Dôležitou súčasťou motivácie je osobitný príspevok, ktorý umožňuje časovo ohraničený súbeh poberania sociálnych dávok a práce pre dlhodobo nezamestnaných alebo neaktívnych prijímateľov pomoci v hmotnej núdzi. Príspevok však sám </w:t>
      </w:r>
      <w:r w:rsidRPr="005F2FCA">
        <w:rPr>
          <w:b/>
        </w:rPr>
        <w:t>o sebe nedokáže zabezpečiť ich dlhodobejš</w:t>
      </w:r>
      <w:r>
        <w:rPr>
          <w:b/>
        </w:rPr>
        <w:t>ie ukotvenie v zamestnaní a nemôže byť náhradou účinných aktívnych opatrení trhu práce.</w:t>
      </w:r>
    </w:p>
    <w:p w14:paraId="30DAC388" w14:textId="58667CBD" w:rsidR="00D62C16" w:rsidRPr="00CA2564" w:rsidRDefault="00D62C16" w:rsidP="00D62C16">
      <w:pPr>
        <w:pStyle w:val="Odsekzoznamu"/>
        <w:numPr>
          <w:ilvl w:val="0"/>
          <w:numId w:val="6"/>
        </w:numPr>
        <w:ind w:left="284" w:hanging="284"/>
        <w:rPr>
          <w:b/>
        </w:rPr>
      </w:pPr>
      <w:r w:rsidRPr="00CA2564">
        <w:rPr>
          <w:b/>
        </w:rPr>
        <w:t>V ochran</w:t>
      </w:r>
      <w:r>
        <w:rPr>
          <w:b/>
        </w:rPr>
        <w:t>e</w:t>
      </w:r>
      <w:r w:rsidRPr="00CA2564">
        <w:rPr>
          <w:b/>
        </w:rPr>
        <w:t xml:space="preserve"> osôb so zdravotným znevýhodnením pred chudobou zaznamenáva Slovensko podľa dostupných údajov vyššie výdavky v pomere k HDP aj lepšie výs</w:t>
      </w:r>
      <w:r>
        <w:rPr>
          <w:b/>
        </w:rPr>
        <w:t xml:space="preserve">ledky ako </w:t>
      </w:r>
      <w:r w:rsidR="009958F0">
        <w:rPr>
          <w:b/>
        </w:rPr>
        <w:t>väčšina ostatných krajín</w:t>
      </w:r>
      <w:r>
        <w:rPr>
          <w:b/>
        </w:rPr>
        <w:t xml:space="preserve"> EÚ, hoci p</w:t>
      </w:r>
      <w:r w:rsidRPr="00CA2564">
        <w:rPr>
          <w:b/>
        </w:rPr>
        <w:t xml:space="preserve">orovnateľnosť údajov medzi krajinami </w:t>
      </w:r>
      <w:r>
        <w:rPr>
          <w:b/>
        </w:rPr>
        <w:t>je obmedzená</w:t>
      </w:r>
      <w:r w:rsidRPr="00CA2564">
        <w:rPr>
          <w:b/>
        </w:rPr>
        <w:t>.</w:t>
      </w:r>
      <w:r>
        <w:rPr>
          <w:b/>
        </w:rPr>
        <w:t xml:space="preserve"> Výška spoluúčasti na financovaní pomôcok, zdvíhacích zariadení, a úprav bytu, domu, motorového vozidla alebo garáže môže predstavovať bariéru pre najchudobnejšie osoby so zdravotným postihnutím.</w:t>
      </w:r>
    </w:p>
    <w:p w14:paraId="538BFC4A" w14:textId="3C277409" w:rsidR="00D62C16" w:rsidRPr="009B3FA0" w:rsidRDefault="00D62C16" w:rsidP="00D62C16">
      <w:pPr>
        <w:pStyle w:val="Odsekzoznamu"/>
        <w:numPr>
          <w:ilvl w:val="0"/>
          <w:numId w:val="6"/>
        </w:numPr>
        <w:ind w:left="284" w:hanging="284"/>
        <w:rPr>
          <w:b/>
        </w:rPr>
      </w:pPr>
      <w:r w:rsidRPr="00CA2564">
        <w:rPr>
          <w:b/>
        </w:rPr>
        <w:t xml:space="preserve">Výška mzdy zamestnancov po </w:t>
      </w:r>
      <w:r>
        <w:rPr>
          <w:b/>
        </w:rPr>
        <w:t>uznaní</w:t>
      </w:r>
      <w:r w:rsidRPr="00CA2564">
        <w:rPr>
          <w:b/>
        </w:rPr>
        <w:t xml:space="preserve"> invalidity naznačuje, že časť z nich poberá invalidný dôchodok napriek </w:t>
      </w:r>
      <w:r>
        <w:rPr>
          <w:b/>
        </w:rPr>
        <w:t>nezmenenému resp. vyššiemu príjmu</w:t>
      </w:r>
      <w:r w:rsidRPr="00CA2564">
        <w:rPr>
          <w:b/>
        </w:rPr>
        <w:t xml:space="preserve">. Na druhej strane </w:t>
      </w:r>
      <w:r w:rsidRPr="00CA2564">
        <w:rPr>
          <w:rFonts w:eastAsia="Arial Narrow" w:cs="Arial Narrow"/>
          <w:b/>
        </w:rPr>
        <w:t xml:space="preserve">osoby, ktoré síce splnili lekársku podmienku na priznanie invalidity, ale chýba im čo i len malá časť potrebnej doby dôchodkového poistenia, </w:t>
      </w:r>
      <w:r w:rsidR="009374A7">
        <w:rPr>
          <w:rFonts w:eastAsia="Arial Narrow" w:cs="Arial Narrow"/>
          <w:b/>
        </w:rPr>
        <w:t>môžu stratiť</w:t>
      </w:r>
      <w:r w:rsidR="009374A7" w:rsidRPr="00CA2564">
        <w:rPr>
          <w:rFonts w:eastAsia="Arial Narrow" w:cs="Arial Narrow"/>
          <w:b/>
        </w:rPr>
        <w:t xml:space="preserve"> </w:t>
      </w:r>
      <w:r w:rsidRPr="00CA2564">
        <w:rPr>
          <w:rFonts w:eastAsia="Arial Narrow" w:cs="Arial Narrow"/>
          <w:b/>
        </w:rPr>
        <w:t>nárok na celý invalidný dôchodok</w:t>
      </w:r>
      <w:r w:rsidR="009B3FA0" w:rsidRPr="009B3FA0">
        <w:rPr>
          <w:rFonts w:eastAsia="Arial Narrow" w:cs="Arial Narrow"/>
          <w:b/>
        </w:rPr>
        <w:t>.</w:t>
      </w:r>
    </w:p>
    <w:p w14:paraId="3C5A9274" w14:textId="77777777" w:rsidR="00D62C16" w:rsidRPr="00764AA0" w:rsidRDefault="00D62C16" w:rsidP="00D62C16">
      <w:pPr>
        <w:pStyle w:val="Odsekzoznamu"/>
        <w:numPr>
          <w:ilvl w:val="0"/>
          <w:numId w:val="6"/>
        </w:numPr>
        <w:ind w:left="284" w:hanging="284"/>
        <w:rPr>
          <w:b/>
        </w:rPr>
      </w:pPr>
      <w:r w:rsidRPr="00CA2564">
        <w:rPr>
          <w:b/>
        </w:rPr>
        <w:t xml:space="preserve">Revízia navrhuje opatrenia pre zvýšenie pomoci v hmotnej núdzi, </w:t>
      </w:r>
      <w:r>
        <w:rPr>
          <w:b/>
        </w:rPr>
        <w:t xml:space="preserve">rozšírenie príspevku na nezaopatrené dieťa na deti v predškolskom veku, </w:t>
      </w:r>
      <w:r w:rsidRPr="00CA2564">
        <w:rPr>
          <w:b/>
        </w:rPr>
        <w:t xml:space="preserve">zlepšenie dostupnosti </w:t>
      </w:r>
      <w:r>
        <w:rPr>
          <w:b/>
        </w:rPr>
        <w:t xml:space="preserve">aktivačných činností, ktoré vytvárajú nárok na aktivačný príspevok, zvýšenie pokrytia </w:t>
      </w:r>
      <w:r w:rsidRPr="00CA2564">
        <w:rPr>
          <w:b/>
        </w:rPr>
        <w:t xml:space="preserve">príspevku pri narodení dieťaťa </w:t>
      </w:r>
      <w:r>
        <w:rPr>
          <w:b/>
        </w:rPr>
        <w:t xml:space="preserve">a </w:t>
      </w:r>
      <w:r w:rsidRPr="00CA2564">
        <w:rPr>
          <w:b/>
        </w:rPr>
        <w:t xml:space="preserve">zlepšenie dostupnosti </w:t>
      </w:r>
      <w:r>
        <w:rPr>
          <w:b/>
        </w:rPr>
        <w:t xml:space="preserve">pomôcok pre najchudobnejšie osoby so zdravotným postihnutím. </w:t>
      </w:r>
      <w:r w:rsidRPr="00D3189B">
        <w:rPr>
          <w:b/>
        </w:rPr>
        <w:t>Navrhované opatrenia je možné čiastočne financovať úspornými opatrenia</w:t>
      </w:r>
      <w:r>
        <w:rPr>
          <w:b/>
        </w:rPr>
        <w:t xml:space="preserve">mi uvedenými </w:t>
      </w:r>
      <w:r w:rsidRPr="00D3189B">
        <w:rPr>
          <w:b/>
        </w:rPr>
        <w:t>v revízii výdavkov na politiky trhu práce a sociálne politiky.</w:t>
      </w:r>
    </w:p>
    <w:p w14:paraId="2D912548" w14:textId="1BE616D7" w:rsidR="007E0579" w:rsidRPr="00CA2564" w:rsidRDefault="007E0579" w:rsidP="007E0579">
      <w:pPr>
        <w:spacing w:before="240"/>
      </w:pPr>
      <w:r w:rsidRPr="00CA2564">
        <w:rPr>
          <w:b/>
          <w:bCs/>
        </w:rPr>
        <w:t xml:space="preserve">Systém sociálneho zabezpečenia na Slovensku je zložený z troch častí. Sociálne poistenie </w:t>
      </w:r>
      <w:r w:rsidRPr="00CA2564">
        <w:t xml:space="preserve">chráni obyvateľov v rôznych situáciách (napr. materstvo, pracovná neschopnosť, strata zamestnania) prostredníctvom poistenia z predchádzajúcej ekonomickej aktivity. </w:t>
      </w:r>
      <w:r w:rsidRPr="00CA2564">
        <w:rPr>
          <w:b/>
          <w:bCs/>
        </w:rPr>
        <w:t xml:space="preserve">Sociálna pomoc </w:t>
      </w:r>
      <w:r w:rsidRPr="00CA2564">
        <w:t>predstavuje systém pomoci zo strany štátu v rôznych sociálnych situáciách, ako je napr. stav hmotnej núdze, ťažké zdravotné postihnutie a pod. Je</w:t>
      </w:r>
      <w:r w:rsidR="00623880">
        <w:t>j</w:t>
      </w:r>
      <w:r w:rsidRPr="00CA2564">
        <w:t xml:space="preserve"> hlavnými cieľmi sú predchádzanie materiálnej deprivácii a dlhodobej marginalizácii (najmä cez integráciu na trh práce). Pomocou štátnej </w:t>
      </w:r>
      <w:r w:rsidRPr="00CA2564">
        <w:rPr>
          <w:b/>
          <w:bCs/>
        </w:rPr>
        <w:t xml:space="preserve">sociálnej podpory </w:t>
      </w:r>
      <w:r w:rsidRPr="00CA2564">
        <w:t>štát prispieva na zabezpečenie výdavkov v niektorých štátom uznaných životných situáciách (napr. narodenie dieťaťa, starostlivosť o dieťa). Nárok na štátne sociálne dávky nie je podmienený platením príspevkov, či príjmovými pomermi oprávnených osôb.</w:t>
      </w:r>
    </w:p>
    <w:p w14:paraId="15F2B4D6" w14:textId="74EB319D" w:rsidR="00DB41F8" w:rsidRPr="00CA2564" w:rsidRDefault="007E0579" w:rsidP="007E0579">
      <w:r w:rsidRPr="00CA2564">
        <w:t>Pre sociálne začleňovanie ľudí ohrozených chudobou alebo sociálnym vylúčením sú obzvlášť dôležité zložky sociálnej pomoci a sociálnej podpory, keďže títo ľudia vzhľadom na ich sociálnu situáciu a problémy s uplatnením na trhu práce si často nedokážu zabezpečiť adekvátny príjem</w:t>
      </w:r>
      <w:r w:rsidR="0098358D">
        <w:t xml:space="preserve"> z práce</w:t>
      </w:r>
      <w:r w:rsidRPr="00CA2564">
        <w:t xml:space="preserve"> zo systému sociálneho poistenia, ktorý je riadený princípom zásluhovosti.</w:t>
      </w:r>
      <w:r w:rsidR="003C7106">
        <w:t xml:space="preserve"> </w:t>
      </w:r>
      <w:r w:rsidR="00DB41F8">
        <w:t xml:space="preserve">Revízia nemá ambíciu </w:t>
      </w:r>
      <w:r w:rsidR="003C7106">
        <w:t xml:space="preserve">komplexne </w:t>
      </w:r>
      <w:r w:rsidR="00DB41F8">
        <w:t>hodnotiť s</w:t>
      </w:r>
      <w:r w:rsidR="00F84D60">
        <w:t>ystém sociálneho zabezpečenia</w:t>
      </w:r>
      <w:r w:rsidR="00DB41F8">
        <w:t xml:space="preserve"> na Slov</w:t>
      </w:r>
      <w:r w:rsidR="00F84D60">
        <w:t>en</w:t>
      </w:r>
      <w:r w:rsidR="00DB41F8">
        <w:t>sku ako taký. Jej cieľom je poukázať na prípady nedostatočnej miery podpory buď z dôvodu jej nízkej úrovne alebo z dôvodu nedostatočného pokrytia</w:t>
      </w:r>
      <w:r w:rsidR="00F84D60">
        <w:t xml:space="preserve"> resp. obmedzeného prístupu niektorých ohrozených skupín obyvateľstva</w:t>
      </w:r>
      <w:r w:rsidR="00DB41F8">
        <w:t>.</w:t>
      </w:r>
    </w:p>
    <w:p w14:paraId="7FB26743" w14:textId="7BA04B66" w:rsidR="007E0579" w:rsidRPr="00CA2564" w:rsidRDefault="007E0579" w:rsidP="007E0579">
      <w:pPr>
        <w:pStyle w:val="Nadpis2"/>
        <w:spacing w:before="160"/>
      </w:pPr>
      <w:bookmarkStart w:id="819" w:name="_Toc18340946"/>
      <w:bookmarkStart w:id="820" w:name="_Ref25309939"/>
      <w:bookmarkStart w:id="821" w:name="_Ref25310027"/>
      <w:bookmarkStart w:id="822" w:name="_Ref25312253"/>
      <w:bookmarkStart w:id="823" w:name="_Ref25313824"/>
      <w:bookmarkStart w:id="824" w:name="_Ref25315050"/>
      <w:bookmarkStart w:id="825" w:name="_Ref25315057"/>
      <w:bookmarkStart w:id="826" w:name="_Ref25315681"/>
      <w:bookmarkStart w:id="827" w:name="_Ref25315703"/>
      <w:bookmarkStart w:id="828" w:name="_Ref25315963"/>
      <w:bookmarkStart w:id="829" w:name="_Ref25321429"/>
      <w:bookmarkStart w:id="830" w:name="_Ref25321786"/>
      <w:bookmarkStart w:id="831" w:name="_Ref25321797"/>
      <w:bookmarkStart w:id="832" w:name="_Ref25489092"/>
      <w:bookmarkStart w:id="833" w:name="_Ref25489122"/>
      <w:bookmarkStart w:id="834" w:name="_Ref25585786"/>
      <w:bookmarkStart w:id="835" w:name="_Ref25587249"/>
      <w:bookmarkStart w:id="836" w:name="_Ref32241255"/>
      <w:bookmarkStart w:id="837" w:name="_Ref32241262"/>
      <w:bookmarkStart w:id="838" w:name="_Ref33184817"/>
      <w:bookmarkStart w:id="839" w:name="_Ref33434348"/>
      <w:bookmarkStart w:id="840" w:name="_Ref33434413"/>
      <w:bookmarkStart w:id="841" w:name="_Ref33439118"/>
      <w:bookmarkStart w:id="842" w:name="_Toc34657732"/>
      <w:r w:rsidRPr="00CA2564">
        <w:t>Pomoc v hmotnej núdzi</w:t>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14:paraId="7A306DD2" w14:textId="27235682" w:rsidR="007E0579" w:rsidRPr="00CA2564" w:rsidRDefault="007E0579" w:rsidP="007E0579">
      <w:r w:rsidRPr="00CA2564">
        <w:rPr>
          <w:b/>
        </w:rPr>
        <w:t>Sociálnu pomoc domácnostiam, ktoré si vlastným pričinením nemôžu alebo nevedia zabezpečiť alebo zvýšiť príjem vlastnou prácou, zabezpečuje pomoc v hmotnej núdzi.</w:t>
      </w:r>
      <w:r w:rsidRPr="00CA2564">
        <w:rPr>
          <w:rStyle w:val="Odkaznapoznmkupodiarou"/>
          <w:b/>
        </w:rPr>
        <w:footnoteReference w:id="358"/>
      </w:r>
      <w:r w:rsidRPr="00CA2564">
        <w:rPr>
          <w:b/>
        </w:rPr>
        <w:t xml:space="preserve"> </w:t>
      </w:r>
      <w:r w:rsidRPr="00CA2564">
        <w:t>PHN vychádza z ústavnej garancie zabezpečenia základných životných podmienok a skladá sa z piatich zložiek tak, aby výška celkovej pomoci čiastočne zohľadňovala konkrétne okolnosti jednotlivých domácností a aktivitu ich členov (</w:t>
      </w:r>
      <w:r w:rsidR="0077220E" w:rsidRPr="00225D12">
        <w:fldChar w:fldCharType="begin"/>
      </w:r>
      <w:r w:rsidR="0077220E" w:rsidRPr="0077220E">
        <w:instrText xml:space="preserve"> REF _Ref21087806 \h </w:instrText>
      </w:r>
      <w:r w:rsidR="0077220E" w:rsidRPr="00D3189B">
        <w:instrText xml:space="preserve"> \* MERGEFORMAT </w:instrText>
      </w:r>
      <w:r w:rsidR="0077220E" w:rsidRPr="00225D12">
        <w:fldChar w:fldCharType="separate"/>
      </w:r>
      <w:r w:rsidR="00FA29AF" w:rsidRPr="00FA29AF">
        <w:rPr>
          <w:bCs/>
          <w:iCs/>
        </w:rPr>
        <w:t>Box 18</w:t>
      </w:r>
      <w:r w:rsidR="0077220E" w:rsidRPr="00225D12">
        <w:fldChar w:fldCharType="end"/>
      </w:r>
      <w:r w:rsidRPr="0077220E">
        <w:t>)</w:t>
      </w:r>
      <w:r w:rsidRPr="00CA2564">
        <w:t>.</w:t>
      </w:r>
    </w:p>
    <w:tbl>
      <w:tblPr>
        <w:tblW w:w="0" w:type="auto"/>
        <w:shd w:val="clear" w:color="auto" w:fill="BDD6EE" w:themeFill="accent1" w:themeFillTint="66"/>
        <w:tblLook w:val="04A0" w:firstRow="1" w:lastRow="0" w:firstColumn="1" w:lastColumn="0" w:noHBand="0" w:noVBand="1"/>
      </w:tblPr>
      <w:tblGrid>
        <w:gridCol w:w="9026"/>
      </w:tblGrid>
      <w:tr w:rsidR="007E0579" w:rsidRPr="00CA2564" w14:paraId="745567E2" w14:textId="77777777" w:rsidTr="00A16C60">
        <w:tc>
          <w:tcPr>
            <w:tcW w:w="9062" w:type="dxa"/>
            <w:shd w:val="clear" w:color="auto" w:fill="BDD6EE" w:themeFill="accent1" w:themeFillTint="66"/>
          </w:tcPr>
          <w:p w14:paraId="2EF2147D" w14:textId="7ACFC7FC" w:rsidR="007E0579" w:rsidRPr="00225D12" w:rsidRDefault="0077220E" w:rsidP="007E0579">
            <w:pPr>
              <w:spacing w:before="160"/>
              <w:rPr>
                <w:b/>
                <w:bCs/>
                <w:iCs/>
              </w:rPr>
            </w:pPr>
            <w:bookmarkStart w:id="843" w:name="_Ref21087806"/>
            <w:r w:rsidRPr="0077220E">
              <w:rPr>
                <w:b/>
                <w:bCs/>
                <w:iCs/>
              </w:rPr>
              <w:t xml:space="preserve">Box </w:t>
            </w:r>
            <w:r w:rsidR="00A425AB">
              <w:rPr>
                <w:b/>
                <w:bCs/>
                <w:iCs/>
              </w:rPr>
              <w:fldChar w:fldCharType="begin"/>
            </w:r>
            <w:r w:rsidR="00A425AB">
              <w:rPr>
                <w:b/>
                <w:bCs/>
                <w:iCs/>
              </w:rPr>
              <w:instrText xml:space="preserve"> SEQ Box \* ARABIC </w:instrText>
            </w:r>
            <w:r w:rsidR="00A425AB">
              <w:rPr>
                <w:b/>
                <w:bCs/>
                <w:iCs/>
              </w:rPr>
              <w:fldChar w:fldCharType="separate"/>
            </w:r>
            <w:r w:rsidR="00FA29AF">
              <w:rPr>
                <w:b/>
                <w:bCs/>
                <w:iCs/>
                <w:noProof/>
              </w:rPr>
              <w:t>18</w:t>
            </w:r>
            <w:r w:rsidR="00A425AB">
              <w:rPr>
                <w:b/>
                <w:bCs/>
                <w:iCs/>
              </w:rPr>
              <w:fldChar w:fldCharType="end"/>
            </w:r>
            <w:bookmarkEnd w:id="843"/>
            <w:r w:rsidR="007E0579" w:rsidRPr="00CA2564">
              <w:rPr>
                <w:b/>
                <w:bCs/>
              </w:rPr>
              <w:t>: Pomoc v hmotnej núdzi a životné minimum</w:t>
            </w:r>
          </w:p>
          <w:p w14:paraId="1808DB5A" w14:textId="77777777" w:rsidR="007E0579" w:rsidRPr="00CA2564" w:rsidRDefault="007E0579" w:rsidP="007E0579">
            <w:pPr>
              <w:spacing w:before="160"/>
              <w:rPr>
                <w:b/>
                <w:bCs/>
              </w:rPr>
            </w:pPr>
            <w:r w:rsidRPr="00CA2564">
              <w:t xml:space="preserve">Pomoc v hmotnej núdzi sa skladá z dávky v hmotnej núdzi, aktivačného príspevku, ochranného príspevku, príspevku na nezaopatrené dieťa a príspevku na bývanie. </w:t>
            </w:r>
          </w:p>
          <w:p w14:paraId="26D3BA4D" w14:textId="3A8913B8" w:rsidR="007E0579" w:rsidRPr="00CA2564" w:rsidRDefault="007E0579" w:rsidP="008C7ADC">
            <w:pPr>
              <w:rPr>
                <w:b/>
                <w:bCs/>
              </w:rPr>
            </w:pPr>
            <w:r w:rsidRPr="00CA2564">
              <w:t>Účelom dávky v hmotnej núdzi je podľa zákona zabezpečenie základných životných podmienok - jedného teplého jedla denne, nevyhnutného ošatenia a prístrešia.</w:t>
            </w:r>
            <w:r w:rsidRPr="00CA2564">
              <w:rPr>
                <w:rFonts w:eastAsia="TimesNewRomanPSMT" w:cs="Times New Roman"/>
              </w:rPr>
              <w:t xml:space="preserve"> </w:t>
            </w:r>
            <w:r w:rsidRPr="00CA2564">
              <w:t>Získanie plnej výšky dávky v hmotnej núdzi je pre plnoletých členov domácnosti od januára 2014 podmienené výkonom činností vo forme menších obecných služieb, dobrovoľníckej činnosti alebo práce pri mimoriadnych situáciách v rozsahu najmenej 32 hodín mesačne</w:t>
            </w:r>
            <w:r w:rsidR="00D46E1C">
              <w:t>, ak je im takáto činnosť ponúknutá</w:t>
            </w:r>
            <w:r w:rsidRPr="00CA2564">
              <w:rPr>
                <w:sz w:val="20"/>
              </w:rPr>
              <w:t>.</w:t>
            </w:r>
          </w:p>
          <w:p w14:paraId="239EF511" w14:textId="77777777" w:rsidR="007E0579" w:rsidRPr="00CA2564" w:rsidRDefault="007E0579" w:rsidP="008C7ADC">
            <w:pPr>
              <w:rPr>
                <w:b/>
                <w:bCs/>
              </w:rPr>
            </w:pPr>
            <w:r w:rsidRPr="00CA2564">
              <w:t>Aktivačný príspevok je určený na podporu získania, udržania, prehĺbenia alebo zvýšenia vedomostí, odborných zručností, praktických skúseností, pracovných návykov na účely zvýšenia pracovného uplatnenia na trhu práce. V prípade ľudí bez práce je nárok na aktivačný príspevok podmienený zaradením do evidencie uchádzačov o zamestnanie a účasťou na niektorých druhoch štúdia, na niektorých programoch aktívnych opatrení trhu práce, aktivačných činnostiach, menších obecných službách</w:t>
            </w:r>
            <w:r w:rsidRPr="00CA2564" w:rsidDel="005572FB">
              <w:t xml:space="preserve"> </w:t>
            </w:r>
            <w:r w:rsidRPr="00CA2564">
              <w:t>alebo dobrovoľníckej činnosti.</w:t>
            </w:r>
          </w:p>
          <w:p w14:paraId="242C3F88" w14:textId="77777777" w:rsidR="007E0579" w:rsidRPr="00CA2564" w:rsidRDefault="007E0579" w:rsidP="008C7ADC">
            <w:pPr>
              <w:rPr>
                <w:b/>
                <w:bCs/>
              </w:rPr>
            </w:pPr>
            <w:r w:rsidRPr="00CA2564">
              <w:t>Ochranný príspevok je určený na zabezpečenie osobných výdavkov člena domácnosti, ktorý nemá možnosť zabezpečiť si príjem alebo zvýšiť si príjem vlastnou prácou z dôvodu veku, nepriaznivého zdravotného stavu alebo starostlivosti o dieťa.</w:t>
            </w:r>
          </w:p>
          <w:p w14:paraId="508DFA47" w14:textId="77777777" w:rsidR="007E0579" w:rsidRPr="00CA2564" w:rsidRDefault="007E0579" w:rsidP="008C7ADC">
            <w:pPr>
              <w:rPr>
                <w:b/>
                <w:bCs/>
              </w:rPr>
            </w:pPr>
            <w:r w:rsidRPr="00CA2564">
              <w:t xml:space="preserve">Príspevok na nezaopatrené dieťa je určený na podporu výchovy, vzdelávania a všestranného rozvoja dieťaťa v domácnosti. Príspevok je podmienený riadnym plnením povinnej školskej dochádzky. </w:t>
            </w:r>
          </w:p>
          <w:p w14:paraId="71C766A2" w14:textId="2CCBE6FF" w:rsidR="007E0579" w:rsidRPr="00CA2564" w:rsidRDefault="007E0579" w:rsidP="008C7ADC">
            <w:pPr>
              <w:rPr>
                <w:b/>
                <w:bCs/>
              </w:rPr>
            </w:pPr>
            <w:r w:rsidRPr="00CA2564">
              <w:t>Príspevok na bývanie je určený na čiastočnú úhradu nákladov spojených s bývaním. Nárok na príspevok majú vlastníci alebo nájomcovia bytu alebo domu, osoby žijúce v zariadeniach, v ktorých sa poskytuje sociálna služba celoročnou pobytovou formou a tiež domácnosti žijúce v byte alebo dome na základe práva doživotného užívania.</w:t>
            </w:r>
          </w:p>
          <w:p w14:paraId="09B943D3" w14:textId="2569A200" w:rsidR="007E0579" w:rsidRPr="00CA2564" w:rsidRDefault="007E0579" w:rsidP="008C7ADC">
            <w:pPr>
              <w:rPr>
                <w:b/>
                <w:bCs/>
              </w:rPr>
            </w:pPr>
            <w:r w:rsidRPr="00CA2564">
              <w:t>Stav hmotnej núdze nastáva, ak príjem domácnosti nedosahuje úroveň životného minima. Výška nárokov pomoci sa však od životného minima neodvíja a pomoc negarantuje príjem na úrovni životného minima. Nárok na pomoc v hmotnej núdzi vzniká v prípade, ak má domácnosť príjmy nižšie ako súčet nárokov na jednotlivé zložky pomoci v hmotnej núdzi. Výška poskytnutej pomoci v hmotnej núdzi je rozdiel celkového nároku a posudzovaného príjmu.</w:t>
            </w:r>
          </w:p>
          <w:p w14:paraId="236BA994" w14:textId="3A952DDD" w:rsidR="007E0579" w:rsidRPr="00CA2564" w:rsidRDefault="00673D32" w:rsidP="00970805">
            <w:pPr>
              <w:spacing w:before="160"/>
              <w:rPr>
                <w:b/>
                <w:bCs/>
              </w:rPr>
            </w:pPr>
            <w:r>
              <w:t>D</w:t>
            </w:r>
            <w:r w:rsidR="007E0579" w:rsidRPr="00CA2564">
              <w:t xml:space="preserve">eťom z domácností s príjmom pod hranicou životného minima štát poskytuje </w:t>
            </w:r>
            <w:r w:rsidR="007E0579" w:rsidRPr="00CA2564">
              <w:rPr>
                <w:bCs/>
              </w:rPr>
              <w:t>dotáciu na stravu v</w:t>
            </w:r>
            <w:r w:rsidR="000A01D2">
              <w:rPr>
                <w:bCs/>
              </w:rPr>
              <w:t xml:space="preserve"> materskej </w:t>
            </w:r>
            <w:r w:rsidR="007E0579" w:rsidRPr="00CA2564">
              <w:rPr>
                <w:bCs/>
              </w:rPr>
              <w:t>škole</w:t>
            </w:r>
            <w:r w:rsidR="007E0579" w:rsidRPr="00CA2564">
              <w:t>.</w:t>
            </w:r>
            <w:r w:rsidR="000A01D2">
              <w:rPr>
                <w:rStyle w:val="Odkaznapoznmkupodiarou"/>
              </w:rPr>
              <w:footnoteReference w:id="359"/>
            </w:r>
            <w:r w:rsidR="007E0579" w:rsidRPr="00CA2564">
              <w:t xml:space="preserve"> </w:t>
            </w:r>
            <w:r>
              <w:t xml:space="preserve">Predškoláci a školáci majú nárok na príspevok bez ohľadu na príjem domácnosti. </w:t>
            </w:r>
            <w:r w:rsidR="000A01D2">
              <w:t>Predškolákom a školákom z</w:t>
            </w:r>
            <w:r>
              <w:t> domácností s príjmom pod hranicou životného minima</w:t>
            </w:r>
            <w:r w:rsidR="007E0579" w:rsidRPr="00CA2564">
              <w:t xml:space="preserve"> sa poskytuje tiež </w:t>
            </w:r>
            <w:r w:rsidR="007E0579" w:rsidRPr="00CA2564">
              <w:rPr>
                <w:bCs/>
              </w:rPr>
              <w:t xml:space="preserve">dotácia na školské pomôcky </w:t>
            </w:r>
            <w:r w:rsidR="007E0579" w:rsidRPr="00CA2564">
              <w:t xml:space="preserve">(podkapitola </w:t>
            </w:r>
            <w:r w:rsidR="00A02A8B">
              <w:fldChar w:fldCharType="begin"/>
            </w:r>
            <w:r w:rsidR="00A02A8B">
              <w:instrText xml:space="preserve"> REF _Ref25315264 \r \h </w:instrText>
            </w:r>
            <w:r w:rsidR="00A02A8B">
              <w:fldChar w:fldCharType="separate"/>
            </w:r>
            <w:r w:rsidR="00FA29AF">
              <w:t>5.1</w:t>
            </w:r>
            <w:r w:rsidR="00A02A8B">
              <w:fldChar w:fldCharType="end"/>
            </w:r>
            <w:r w:rsidR="00970805">
              <w:t xml:space="preserve"> a </w:t>
            </w:r>
            <w:r w:rsidR="00970805">
              <w:fldChar w:fldCharType="begin"/>
            </w:r>
            <w:r w:rsidR="00970805">
              <w:instrText xml:space="preserve"> REF _Ref25652405 \r \h </w:instrText>
            </w:r>
            <w:r w:rsidR="00970805">
              <w:fldChar w:fldCharType="separate"/>
            </w:r>
            <w:r w:rsidR="00FA29AF">
              <w:t>5.2</w:t>
            </w:r>
            <w:r w:rsidR="00970805">
              <w:fldChar w:fldCharType="end"/>
            </w:r>
            <w:r w:rsidR="007E0579" w:rsidRPr="00CA2564">
              <w:t>).</w:t>
            </w:r>
          </w:p>
        </w:tc>
      </w:tr>
    </w:tbl>
    <w:p w14:paraId="0B7F3022" w14:textId="59266B9C" w:rsidR="007E0579" w:rsidRPr="00CA2564" w:rsidRDefault="007E0579" w:rsidP="007E0579">
      <w:pPr>
        <w:pStyle w:val="Default"/>
        <w:spacing w:before="160" w:after="240" w:line="259" w:lineRule="auto"/>
        <w:jc w:val="both"/>
        <w:rPr>
          <w:rFonts w:ascii="Arial Narrow" w:eastAsia="TimesNewRomanPSMT" w:hAnsi="Arial Narrow" w:cs="Times New Roman"/>
          <w:sz w:val="22"/>
          <w:szCs w:val="22"/>
        </w:rPr>
      </w:pPr>
      <w:r w:rsidRPr="00CA2564">
        <w:rPr>
          <w:rFonts w:ascii="Arial Narrow" w:eastAsia="TimesNewRomanPSMT" w:hAnsi="Arial Narrow" w:cs="Times New Roman"/>
          <w:b/>
          <w:sz w:val="22"/>
          <w:szCs w:val="22"/>
        </w:rPr>
        <w:t>Výdavky na pomoc v hmotnej núdzi predstavovali v roku 2018 celkovo 126 miliónov eur, čo tvorilo </w:t>
      </w:r>
      <w:r w:rsidR="001632E1">
        <w:rPr>
          <w:rFonts w:ascii="Arial Narrow" w:eastAsia="TimesNewRomanPSMT" w:hAnsi="Arial Narrow" w:cs="Times New Roman"/>
          <w:b/>
          <w:sz w:val="22"/>
          <w:szCs w:val="22"/>
        </w:rPr>
        <w:t>zhruba tretinu jedného</w:t>
      </w:r>
      <w:r w:rsidR="001632E1" w:rsidRPr="00CA2564">
        <w:rPr>
          <w:rFonts w:ascii="Arial Narrow" w:eastAsia="TimesNewRomanPSMT" w:hAnsi="Arial Narrow" w:cs="Times New Roman"/>
          <w:b/>
          <w:sz w:val="22"/>
          <w:szCs w:val="22"/>
        </w:rPr>
        <w:t xml:space="preserve"> </w:t>
      </w:r>
      <w:r w:rsidRPr="00CA2564">
        <w:rPr>
          <w:rFonts w:ascii="Arial Narrow" w:eastAsia="TimesNewRomanPSMT" w:hAnsi="Arial Narrow" w:cs="Times New Roman"/>
          <w:b/>
          <w:sz w:val="22"/>
          <w:szCs w:val="22"/>
        </w:rPr>
        <w:t>percenta (0,34</w:t>
      </w:r>
      <w:r w:rsidRPr="00CA2564">
        <w:rPr>
          <w:rFonts w:ascii="Arial Narrow" w:eastAsia="TimesNewRomanPSMT" w:hAnsi="Arial Narrow" w:cs="Times New Roman"/>
          <w:b/>
          <w:color w:val="FF0000"/>
          <w:sz w:val="22"/>
          <w:szCs w:val="22"/>
        </w:rPr>
        <w:t xml:space="preserve"> </w:t>
      </w:r>
      <w:r w:rsidRPr="00CA2564">
        <w:rPr>
          <w:rFonts w:ascii="Arial Narrow" w:eastAsia="TimesNewRomanPSMT" w:hAnsi="Arial Narrow" w:cs="Times New Roman"/>
          <w:b/>
          <w:sz w:val="22"/>
          <w:szCs w:val="22"/>
        </w:rPr>
        <w:t xml:space="preserve">%) verejných výdavkov. Za posledných päť rokov výdavky prudko klesajú spolu s počtom príjemcov pomoci </w:t>
      </w:r>
      <w:r w:rsidRPr="00CA2564">
        <w:rPr>
          <w:rFonts w:ascii="Arial Narrow" w:eastAsia="TimesNewRomanPSMT" w:hAnsi="Arial Narrow" w:cs="Times New Roman"/>
          <w:sz w:val="22"/>
          <w:szCs w:val="22"/>
        </w:rPr>
        <w:t>(</w:t>
      </w:r>
      <w:r w:rsidRPr="00CA2564">
        <w:rPr>
          <w:rFonts w:ascii="Arial Narrow" w:eastAsia="TimesNewRomanPSMT" w:hAnsi="Arial Narrow" w:cs="Times New Roman"/>
          <w:sz w:val="22"/>
          <w:szCs w:val="22"/>
        </w:rPr>
        <w:fldChar w:fldCharType="begin"/>
      </w:r>
      <w:r w:rsidRPr="00CA2564">
        <w:rPr>
          <w:rFonts w:ascii="Arial Narrow" w:eastAsia="TimesNewRomanPSMT" w:hAnsi="Arial Narrow" w:cs="Times New Roman"/>
          <w:sz w:val="22"/>
          <w:szCs w:val="22"/>
        </w:rPr>
        <w:instrText xml:space="preserve"> REF _Ref523999784 \h  \* MERGEFORMAT </w:instrText>
      </w:r>
      <w:r w:rsidRPr="00CA2564">
        <w:rPr>
          <w:rFonts w:ascii="Arial Narrow" w:eastAsia="TimesNewRomanPSMT" w:hAnsi="Arial Narrow" w:cs="Times New Roman"/>
          <w:sz w:val="22"/>
          <w:szCs w:val="22"/>
        </w:rPr>
      </w:r>
      <w:r w:rsidRPr="00CA2564">
        <w:rPr>
          <w:rFonts w:ascii="Arial Narrow" w:eastAsia="TimesNewRomanPSMT" w:hAnsi="Arial Narrow" w:cs="Times New Roman"/>
          <w:sz w:val="22"/>
          <w:szCs w:val="22"/>
        </w:rPr>
        <w:fldChar w:fldCharType="separate"/>
      </w:r>
      <w:r w:rsidR="00FA29AF" w:rsidRPr="00FA29AF">
        <w:rPr>
          <w:rFonts w:ascii="Arial Narrow" w:hAnsi="Arial Narrow"/>
          <w:sz w:val="22"/>
          <w:szCs w:val="22"/>
        </w:rPr>
        <w:t xml:space="preserve">Graf </w:t>
      </w:r>
      <w:r w:rsidR="00FA29AF" w:rsidRPr="00FA29AF">
        <w:rPr>
          <w:rFonts w:ascii="Arial Narrow" w:hAnsi="Arial Narrow"/>
          <w:noProof/>
          <w:sz w:val="22"/>
          <w:szCs w:val="22"/>
        </w:rPr>
        <w:t>46</w:t>
      </w:r>
      <w:r w:rsidRPr="00CA2564">
        <w:rPr>
          <w:rFonts w:ascii="Arial Narrow" w:eastAsia="TimesNewRomanPSMT" w:hAnsi="Arial Narrow" w:cs="Times New Roman"/>
          <w:sz w:val="22"/>
          <w:szCs w:val="22"/>
        </w:rPr>
        <w:fldChar w:fldCharType="end"/>
      </w:r>
      <w:r w:rsidRPr="00CA2564">
        <w:rPr>
          <w:rFonts w:ascii="Arial Narrow" w:eastAsia="TimesNewRomanPSMT" w:hAnsi="Arial Narrow" w:cs="Times New Roman"/>
          <w:sz w:val="22"/>
          <w:szCs w:val="22"/>
        </w:rPr>
        <w:t>). Pokles počtu príjemcov čiastočne odráža rastúci dopyt na trhu práce v dôsledku zlepšujúcej sa makroekonomickej situácie. Spomedzi príjemcov, ktorí stratili nárok na pomoc v hmotnej núdzi v rokoch 2016 a</w:t>
      </w:r>
      <w:r w:rsidR="00B5794D">
        <w:rPr>
          <w:rFonts w:ascii="Arial Narrow" w:eastAsia="TimesNewRomanPSMT" w:hAnsi="Arial Narrow" w:cs="Times New Roman"/>
          <w:sz w:val="22"/>
          <w:szCs w:val="22"/>
        </w:rPr>
        <w:t>ž</w:t>
      </w:r>
      <w:r w:rsidRPr="00CA2564">
        <w:rPr>
          <w:rFonts w:ascii="Arial Narrow" w:eastAsia="TimesNewRomanPSMT" w:hAnsi="Arial Narrow" w:cs="Times New Roman"/>
          <w:sz w:val="22"/>
          <w:szCs w:val="22"/>
        </w:rPr>
        <w:t> 201</w:t>
      </w:r>
      <w:r w:rsidR="00B5794D">
        <w:rPr>
          <w:rFonts w:ascii="Arial Narrow" w:eastAsia="TimesNewRomanPSMT" w:hAnsi="Arial Narrow" w:cs="Times New Roman"/>
          <w:sz w:val="22"/>
          <w:szCs w:val="22"/>
        </w:rPr>
        <w:t>8</w:t>
      </w:r>
      <w:r w:rsidRPr="00CA2564">
        <w:rPr>
          <w:rFonts w:ascii="Arial Narrow" w:eastAsia="TimesNewRomanPSMT" w:hAnsi="Arial Narrow" w:cs="Times New Roman"/>
          <w:sz w:val="22"/>
          <w:szCs w:val="22"/>
        </w:rPr>
        <w:t>, zhruba tretina v rovnakom čase nastúpila do pracovného pomeru.</w:t>
      </w:r>
      <w:r w:rsidRPr="00CA2564">
        <w:rPr>
          <w:rStyle w:val="Odkaznapoznmkupodiarou"/>
          <w:rFonts w:ascii="Arial Narrow" w:eastAsia="TimesNewRomanPSMT" w:hAnsi="Arial Narrow" w:cs="Times New Roman"/>
          <w:sz w:val="22"/>
          <w:szCs w:val="22"/>
        </w:rPr>
        <w:footnoteReference w:id="360"/>
      </w:r>
      <w:r w:rsidRPr="00CA2564">
        <w:rPr>
          <w:rFonts w:ascii="Arial Narrow" w:eastAsia="TimesNewRomanPSMT" w:hAnsi="Arial Narrow" w:cs="Times New Roman"/>
          <w:sz w:val="22"/>
          <w:szCs w:val="22"/>
        </w:rPr>
        <w:t xml:space="preserve"> Avšak vo viac ako polovici prípadov bol poberateľ bez práce pred aj po strate nároku.</w:t>
      </w:r>
    </w:p>
    <w:p w14:paraId="2966328A" w14:textId="46C62406" w:rsidR="007E0579" w:rsidRPr="00CA2564" w:rsidRDefault="007E0579" w:rsidP="007E0579">
      <w:pPr>
        <w:spacing w:before="160"/>
        <w:rPr>
          <w:b/>
        </w:rPr>
      </w:pPr>
      <w:r w:rsidRPr="00CA2564">
        <w:rPr>
          <w:rFonts w:eastAsia="TimesNewRomanPSMT" w:cs="Times New Roman"/>
          <w:b/>
        </w:rPr>
        <w:t>Významný vplyv zrejme mali aj legislatívne úpravy nároku na pomoc v hmotnej núdzi.</w:t>
      </w:r>
      <w:r w:rsidRPr="00CA2564">
        <w:rPr>
          <w:rFonts w:eastAsia="TimesNewRomanPSMT" w:cs="Times New Roman"/>
        </w:rPr>
        <w:t xml:space="preserve"> Ide o </w:t>
      </w:r>
      <w:r w:rsidRPr="00CA2564">
        <w:t xml:space="preserve">podmienenie plnej výšky </w:t>
      </w:r>
      <w:r w:rsidR="00D83510">
        <w:t xml:space="preserve">základnej </w:t>
      </w:r>
      <w:r w:rsidR="00720344">
        <w:t>dávky v hmotnej núdzi</w:t>
      </w:r>
      <w:r w:rsidRPr="00CA2564">
        <w:t xml:space="preserve"> účasťou na verejnoprospešných činnostiach (</w:t>
      </w:r>
      <w:r w:rsidR="006F7CE4">
        <w:t>ak je prijímateľovi ponúknutá) (</w:t>
      </w:r>
      <w:r w:rsidRPr="00CA2564">
        <w:t>od januára 2014), zavedenie súbehu PHN a mzdy v podobe modifikovaného osobitného príspevku (od januára 2015) a zmena podmienok pri posudzovaní príjmu u prijímateľov osobitného príspevku (od mája 2017).</w:t>
      </w:r>
    </w:p>
    <w:tbl>
      <w:tblPr>
        <w:tblW w:w="9072" w:type="dxa"/>
        <w:tblLayout w:type="fixed"/>
        <w:tblLook w:val="04E0" w:firstRow="1" w:lastRow="1" w:firstColumn="1" w:lastColumn="0" w:noHBand="0" w:noVBand="1"/>
      </w:tblPr>
      <w:tblGrid>
        <w:gridCol w:w="4395"/>
        <w:gridCol w:w="4677"/>
      </w:tblGrid>
      <w:tr w:rsidR="007E0579" w:rsidRPr="00CA2564" w14:paraId="2AAF2D99" w14:textId="77777777" w:rsidTr="00440580">
        <w:tc>
          <w:tcPr>
            <w:tcW w:w="4395" w:type="dxa"/>
            <w:tcBorders>
              <w:bottom w:val="single" w:sz="4" w:space="0" w:color="auto"/>
            </w:tcBorders>
            <w:vAlign w:val="bottom"/>
          </w:tcPr>
          <w:p w14:paraId="50AD95B9" w14:textId="77777777" w:rsidR="007E0579" w:rsidRPr="00440580" w:rsidRDefault="007E0579" w:rsidP="00440580">
            <w:pPr>
              <w:spacing w:after="0" w:line="240" w:lineRule="auto"/>
              <w:jc w:val="left"/>
              <w:rPr>
                <w:b/>
                <w:sz w:val="20"/>
              </w:rPr>
            </w:pPr>
            <w:bookmarkStart w:id="844" w:name="_Ref523999784"/>
            <w:bookmarkStart w:id="845" w:name="_Ref523999778"/>
            <w:bookmarkStart w:id="846" w:name="_Toc17469417"/>
            <w:bookmarkStart w:id="847" w:name="_Toc34157604"/>
            <w:r w:rsidRPr="00440580">
              <w:rPr>
                <w:b/>
                <w:sz w:val="20"/>
              </w:rPr>
              <w:t xml:space="preserve">Graf </w:t>
            </w:r>
            <w:r w:rsidRPr="00440580">
              <w:rPr>
                <w:b/>
                <w:sz w:val="20"/>
              </w:rPr>
              <w:fldChar w:fldCharType="begin"/>
            </w:r>
            <w:r w:rsidRPr="00440580">
              <w:rPr>
                <w:b/>
                <w:sz w:val="20"/>
              </w:rPr>
              <w:instrText xml:space="preserve"> SEQ Graf \* ARABIC </w:instrText>
            </w:r>
            <w:r w:rsidRPr="00440580">
              <w:rPr>
                <w:b/>
                <w:sz w:val="20"/>
              </w:rPr>
              <w:fldChar w:fldCharType="separate"/>
            </w:r>
            <w:r w:rsidR="00FA29AF">
              <w:rPr>
                <w:b/>
                <w:noProof/>
                <w:sz w:val="20"/>
              </w:rPr>
              <w:t>46</w:t>
            </w:r>
            <w:r w:rsidRPr="00440580">
              <w:rPr>
                <w:b/>
                <w:sz w:val="20"/>
              </w:rPr>
              <w:fldChar w:fldCharType="end"/>
            </w:r>
            <w:bookmarkEnd w:id="844"/>
            <w:r w:rsidRPr="00440580">
              <w:rPr>
                <w:b/>
                <w:iCs/>
                <w:sz w:val="20"/>
              </w:rPr>
              <w:t>: Vývoj pomoci v hmotnej núdzi</w:t>
            </w:r>
            <w:bookmarkEnd w:id="845"/>
            <w:bookmarkEnd w:id="846"/>
            <w:bookmarkEnd w:id="847"/>
          </w:p>
        </w:tc>
        <w:tc>
          <w:tcPr>
            <w:tcW w:w="4677" w:type="dxa"/>
            <w:tcBorders>
              <w:bottom w:val="single" w:sz="4" w:space="0" w:color="auto"/>
            </w:tcBorders>
          </w:tcPr>
          <w:p w14:paraId="2E55BFE3" w14:textId="77777777" w:rsidR="007E0579" w:rsidRPr="00440580" w:rsidRDefault="007E0579" w:rsidP="00440580">
            <w:pPr>
              <w:spacing w:after="0" w:line="240" w:lineRule="auto"/>
              <w:rPr>
                <w:b/>
                <w:sz w:val="20"/>
              </w:rPr>
            </w:pPr>
            <w:bookmarkStart w:id="848" w:name="_Ref523841903"/>
            <w:bookmarkStart w:id="849" w:name="_Toc17469418"/>
            <w:bookmarkStart w:id="850" w:name="_Toc34157605"/>
            <w:r w:rsidRPr="00440580">
              <w:rPr>
                <w:b/>
                <w:sz w:val="20"/>
              </w:rPr>
              <w:t xml:space="preserve">Graf </w:t>
            </w:r>
            <w:r w:rsidRPr="00440580">
              <w:rPr>
                <w:b/>
                <w:sz w:val="20"/>
              </w:rPr>
              <w:fldChar w:fldCharType="begin"/>
            </w:r>
            <w:r w:rsidRPr="00440580">
              <w:rPr>
                <w:b/>
                <w:sz w:val="20"/>
              </w:rPr>
              <w:instrText xml:space="preserve"> SEQ Graf \* ARABIC </w:instrText>
            </w:r>
            <w:r w:rsidRPr="00440580">
              <w:rPr>
                <w:b/>
                <w:sz w:val="20"/>
              </w:rPr>
              <w:fldChar w:fldCharType="separate"/>
            </w:r>
            <w:r w:rsidR="00FA29AF">
              <w:rPr>
                <w:b/>
                <w:noProof/>
                <w:sz w:val="20"/>
              </w:rPr>
              <w:t>47</w:t>
            </w:r>
            <w:r w:rsidRPr="00440580">
              <w:rPr>
                <w:b/>
                <w:sz w:val="20"/>
              </w:rPr>
              <w:fldChar w:fldCharType="end"/>
            </w:r>
            <w:bookmarkEnd w:id="848"/>
            <w:r w:rsidRPr="00440580">
              <w:rPr>
                <w:b/>
                <w:iCs/>
                <w:sz w:val="20"/>
              </w:rPr>
              <w:t>: Životné minimum a pomoc v hmotnej núdzi ako podiel stredného príjmu v hospodárstve (%)</w:t>
            </w:r>
            <w:bookmarkEnd w:id="849"/>
            <w:bookmarkEnd w:id="850"/>
          </w:p>
        </w:tc>
      </w:tr>
      <w:tr w:rsidR="007E0579" w:rsidRPr="00CA2564" w14:paraId="775CF406" w14:textId="77777777" w:rsidTr="00440580">
        <w:tblPrEx>
          <w:tblCellMar>
            <w:left w:w="70" w:type="dxa"/>
            <w:right w:w="70" w:type="dxa"/>
          </w:tblCellMar>
        </w:tblPrEx>
        <w:tc>
          <w:tcPr>
            <w:tcW w:w="4395" w:type="dxa"/>
            <w:tcBorders>
              <w:top w:val="single" w:sz="4" w:space="0" w:color="auto"/>
              <w:bottom w:val="single" w:sz="4" w:space="0" w:color="auto"/>
            </w:tcBorders>
          </w:tcPr>
          <w:p w14:paraId="1D752106" w14:textId="77777777" w:rsidR="007E0579" w:rsidRPr="00CA2564" w:rsidRDefault="007E0579" w:rsidP="00440580">
            <w:pPr>
              <w:spacing w:after="0" w:line="240" w:lineRule="auto"/>
              <w:rPr>
                <w:noProof/>
                <w:sz w:val="4"/>
                <w:szCs w:val="4"/>
              </w:rPr>
            </w:pPr>
          </w:p>
          <w:p w14:paraId="31809FDF" w14:textId="0657F76F" w:rsidR="007E0579" w:rsidRPr="00CA2564" w:rsidRDefault="00B7233B" w:rsidP="00440580">
            <w:pPr>
              <w:spacing w:after="0" w:line="240" w:lineRule="auto"/>
              <w:rPr>
                <w:noProof/>
                <w:sz w:val="4"/>
                <w:szCs w:val="4"/>
              </w:rPr>
            </w:pPr>
            <w:r>
              <w:rPr>
                <w:noProof/>
                <w:lang w:eastAsia="sk-SK"/>
              </w:rPr>
              <w:drawing>
                <wp:inline distT="0" distB="0" distL="0" distR="0" wp14:anchorId="04959F87" wp14:editId="285BD21E">
                  <wp:extent cx="2701925" cy="2512695"/>
                  <wp:effectExtent l="0" t="0" r="3175" b="1905"/>
                  <wp:docPr id="28011" name="Graf 280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E820CCC" w14:textId="77777777" w:rsidR="007E0579" w:rsidRPr="00CA2564" w:rsidRDefault="007E0579" w:rsidP="00440580">
            <w:pPr>
              <w:spacing w:after="0" w:line="240" w:lineRule="auto"/>
              <w:rPr>
                <w:sz w:val="4"/>
                <w:szCs w:val="4"/>
              </w:rPr>
            </w:pPr>
          </w:p>
        </w:tc>
        <w:tc>
          <w:tcPr>
            <w:tcW w:w="4677" w:type="dxa"/>
            <w:tcBorders>
              <w:top w:val="single" w:sz="4" w:space="0" w:color="auto"/>
              <w:bottom w:val="single" w:sz="4" w:space="0" w:color="auto"/>
            </w:tcBorders>
          </w:tcPr>
          <w:p w14:paraId="4E31BF55" w14:textId="77777777" w:rsidR="007E0579" w:rsidRPr="00CA2564" w:rsidRDefault="007E0579" w:rsidP="00440580">
            <w:pPr>
              <w:spacing w:after="0" w:line="240" w:lineRule="auto"/>
              <w:rPr>
                <w:noProof/>
                <w:sz w:val="4"/>
                <w:szCs w:val="4"/>
              </w:rPr>
            </w:pPr>
          </w:p>
          <w:p w14:paraId="6585F5D2" w14:textId="77777777" w:rsidR="007E0579" w:rsidRPr="00CA2564" w:rsidRDefault="007E0579" w:rsidP="00440580">
            <w:pPr>
              <w:spacing w:after="0" w:line="240" w:lineRule="auto"/>
              <w:rPr>
                <w:sz w:val="4"/>
                <w:szCs w:val="4"/>
              </w:rPr>
            </w:pPr>
            <w:r w:rsidRPr="00CA2564">
              <w:rPr>
                <w:noProof/>
                <w:lang w:eastAsia="sk-SK"/>
              </w:rPr>
              <w:drawing>
                <wp:inline distT="0" distB="0" distL="0" distR="0" wp14:anchorId="5BA0F474" wp14:editId="48CEDFE8">
                  <wp:extent cx="2880995" cy="2522220"/>
                  <wp:effectExtent l="0" t="0" r="0" b="0"/>
                  <wp:docPr id="298" name="Graf 29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F34603D" w14:textId="77777777" w:rsidR="007E0579" w:rsidRPr="00CA2564" w:rsidRDefault="007E0579" w:rsidP="00440580">
            <w:pPr>
              <w:spacing w:after="0" w:line="240" w:lineRule="auto"/>
              <w:rPr>
                <w:sz w:val="4"/>
                <w:szCs w:val="4"/>
              </w:rPr>
            </w:pPr>
          </w:p>
        </w:tc>
      </w:tr>
      <w:tr w:rsidR="007E0579" w:rsidRPr="00CA2564" w14:paraId="4D2EE32F" w14:textId="77777777" w:rsidTr="00440580">
        <w:tc>
          <w:tcPr>
            <w:tcW w:w="4395" w:type="dxa"/>
            <w:tcBorders>
              <w:top w:val="single" w:sz="4" w:space="0" w:color="auto"/>
            </w:tcBorders>
          </w:tcPr>
          <w:p w14:paraId="440A91A6" w14:textId="77777777" w:rsidR="007E0579" w:rsidRPr="00440580" w:rsidRDefault="007E0579" w:rsidP="00440580">
            <w:pPr>
              <w:spacing w:after="0" w:line="240" w:lineRule="auto"/>
              <w:jc w:val="right"/>
              <w:rPr>
                <w:i/>
                <w:noProof/>
                <w:sz w:val="18"/>
                <w:szCs w:val="18"/>
              </w:rPr>
            </w:pPr>
            <w:r w:rsidRPr="00440580">
              <w:rPr>
                <w:i/>
                <w:noProof/>
                <w:sz w:val="18"/>
                <w:szCs w:val="18"/>
              </w:rPr>
              <w:t>Zdroj: ÚPSVR</w:t>
            </w:r>
          </w:p>
        </w:tc>
        <w:tc>
          <w:tcPr>
            <w:tcW w:w="4677" w:type="dxa"/>
            <w:tcBorders>
              <w:top w:val="single" w:sz="4" w:space="0" w:color="auto"/>
            </w:tcBorders>
          </w:tcPr>
          <w:p w14:paraId="648276BA" w14:textId="77777777" w:rsidR="007E0579" w:rsidRPr="00440580" w:rsidRDefault="007E0579" w:rsidP="00440580">
            <w:pPr>
              <w:spacing w:after="0" w:line="240" w:lineRule="auto"/>
              <w:jc w:val="right"/>
              <w:rPr>
                <w:i/>
                <w:noProof/>
                <w:sz w:val="18"/>
                <w:szCs w:val="18"/>
              </w:rPr>
            </w:pPr>
            <w:r w:rsidRPr="00440580">
              <w:rPr>
                <w:i/>
                <w:noProof/>
                <w:sz w:val="18"/>
                <w:szCs w:val="18"/>
              </w:rPr>
              <w:t xml:space="preserve">Zdroj: ÚHP na základe údajov ŠÚ a ÚPSVR </w:t>
            </w:r>
          </w:p>
          <w:p w14:paraId="7C11AD36" w14:textId="77777777" w:rsidR="007E0579" w:rsidRPr="00440580" w:rsidRDefault="007E0579" w:rsidP="00440580">
            <w:pPr>
              <w:spacing w:after="0" w:line="240" w:lineRule="auto"/>
              <w:rPr>
                <w:bCs/>
                <w:i/>
                <w:noProof/>
                <w:sz w:val="18"/>
                <w:szCs w:val="18"/>
              </w:rPr>
            </w:pPr>
            <w:r w:rsidRPr="00440580">
              <w:rPr>
                <w:i/>
                <w:noProof/>
                <w:sz w:val="18"/>
                <w:szCs w:val="18"/>
              </w:rPr>
              <w:t>Poznámka: Výška pomoci v hmotnej núdzi nezahŕňa aktivačný ani ochranný príspevok, keďže tieto príspevky poberá menej ako polovica príjemcov PHN.</w:t>
            </w:r>
          </w:p>
        </w:tc>
      </w:tr>
    </w:tbl>
    <w:p w14:paraId="3387F7C7" w14:textId="3B8D9A10" w:rsidR="008C554C" w:rsidRDefault="008C554C" w:rsidP="008C554C">
      <w:pPr>
        <w:spacing w:before="160"/>
      </w:pPr>
      <w:r w:rsidRPr="00CA2564">
        <w:rPr>
          <w:b/>
        </w:rPr>
        <w:t xml:space="preserve">Hoci hmotná núdza je v časti verejnosti vnímaná optikou etnicity, </w:t>
      </w:r>
      <w:r w:rsidR="00825BF7">
        <w:rPr>
          <w:b/>
        </w:rPr>
        <w:t>ľudia z prostredia</w:t>
      </w:r>
      <w:r w:rsidRPr="00CA2564">
        <w:rPr>
          <w:b/>
        </w:rPr>
        <w:t xml:space="preserve"> MRK tvorili v roku 201</w:t>
      </w:r>
      <w:r w:rsidR="005F5F3F">
        <w:rPr>
          <w:b/>
        </w:rPr>
        <w:t>8</w:t>
      </w:r>
      <w:r w:rsidRPr="00CA2564">
        <w:rPr>
          <w:b/>
        </w:rPr>
        <w:t xml:space="preserve"> v priemere menej ako polovicu (4</w:t>
      </w:r>
      <w:r w:rsidR="005F5F3F">
        <w:rPr>
          <w:b/>
        </w:rPr>
        <w:t>4</w:t>
      </w:r>
      <w:r w:rsidRPr="00CA2564">
        <w:rPr>
          <w:b/>
        </w:rPr>
        <w:t xml:space="preserve"> %) osôb žijúcich v domácnostiach, ktorým sa poskytovala pomoc v hmotnej núdzi. </w:t>
      </w:r>
      <w:r w:rsidRPr="00CA2564">
        <w:t xml:space="preserve">Spomedzi </w:t>
      </w:r>
      <w:r w:rsidR="00825BF7">
        <w:t>ľudí z prostredia</w:t>
      </w:r>
      <w:r w:rsidRPr="00CA2564">
        <w:t xml:space="preserve"> MRK </w:t>
      </w:r>
      <w:r w:rsidR="005F5F3F">
        <w:t xml:space="preserve">menej ako </w:t>
      </w:r>
      <w:r w:rsidRPr="00CA2564">
        <w:t>štvrtina (2</w:t>
      </w:r>
      <w:r w:rsidR="005F5F3F">
        <w:t>3</w:t>
      </w:r>
      <w:r w:rsidRPr="00CA2564">
        <w:t xml:space="preserve"> %) žila v takýchto domácnostiach. To neznamená, že ostatní </w:t>
      </w:r>
      <w:r w:rsidR="00825BF7">
        <w:t>príslušníci</w:t>
      </w:r>
      <w:r w:rsidRPr="00CA2564">
        <w:t xml:space="preserve"> MRK nežijú vo veľmi ťažkej sociálnej situácii. Ako bolo uvedené v kapitole </w:t>
      </w:r>
      <w:r w:rsidR="002719DA">
        <w:fldChar w:fldCharType="begin"/>
      </w:r>
      <w:r w:rsidR="002719DA">
        <w:instrText xml:space="preserve"> REF _Ref25321671 \r \h </w:instrText>
      </w:r>
      <w:r w:rsidR="002719DA">
        <w:fldChar w:fldCharType="separate"/>
      </w:r>
      <w:r w:rsidR="00FA29AF">
        <w:t>2</w:t>
      </w:r>
      <w:r w:rsidR="002719DA">
        <w:fldChar w:fldCharType="end"/>
      </w:r>
      <w:r w:rsidRPr="00CA2564">
        <w:t>, miera rizika chudoby v</w:t>
      </w:r>
      <w:r>
        <w:t> MRK</w:t>
      </w:r>
      <w:r w:rsidRPr="00CA2564">
        <w:t xml:space="preserve"> je podľa prieskumov blízko 90 % (FRA, 2016). Hmotnú núdzu ani chudobu však nemožno vnímať ako výlučne „rómsky problém“.</w:t>
      </w:r>
    </w:p>
    <w:p w14:paraId="6C3C974B" w14:textId="47647538" w:rsidR="008C554C" w:rsidRPr="00D3189B" w:rsidRDefault="008C554C" w:rsidP="007E0579">
      <w:pPr>
        <w:spacing w:before="160"/>
        <w:rPr>
          <w:color w:val="0070C0"/>
        </w:rPr>
      </w:pPr>
      <w:r w:rsidRPr="00CA2564">
        <w:rPr>
          <w:color w:val="0070C0"/>
        </w:rPr>
        <w:t>A</w:t>
      </w:r>
      <w:r>
        <w:rPr>
          <w:color w:val="0070C0"/>
        </w:rPr>
        <w:t>dekvátnosť pomoci</w:t>
      </w:r>
      <w:r w:rsidR="0002318F">
        <w:rPr>
          <w:color w:val="0070C0"/>
        </w:rPr>
        <w:t xml:space="preserve"> v hmotnej núdzi</w:t>
      </w:r>
    </w:p>
    <w:p w14:paraId="1ACE5193" w14:textId="657ACE59" w:rsidR="007E0579" w:rsidRPr="00D3189B" w:rsidRDefault="00AD08A2" w:rsidP="007E0579">
      <w:pPr>
        <w:spacing w:before="160"/>
        <w:rPr>
          <w:highlight w:val="yellow"/>
        </w:rPr>
      </w:pPr>
      <w:r>
        <w:rPr>
          <w:b/>
        </w:rPr>
        <w:t>V</w:t>
      </w:r>
      <w:r w:rsidR="00932AF2">
        <w:rPr>
          <w:b/>
        </w:rPr>
        <w:t xml:space="preserve">ýška pomoci v hmotnej núdzi </w:t>
      </w:r>
      <w:r>
        <w:rPr>
          <w:b/>
        </w:rPr>
        <w:t xml:space="preserve">pre domácnosť bez vlastného príjmu </w:t>
      </w:r>
      <w:r w:rsidR="00932AF2" w:rsidRPr="00932AF2">
        <w:rPr>
          <w:b/>
        </w:rPr>
        <w:t>zostal</w:t>
      </w:r>
      <w:r w:rsidR="00835C2B">
        <w:rPr>
          <w:b/>
        </w:rPr>
        <w:t>a</w:t>
      </w:r>
      <w:r w:rsidR="00932AF2" w:rsidRPr="00932AF2">
        <w:rPr>
          <w:b/>
        </w:rPr>
        <w:t xml:space="preserve"> od roku 2009 do roku 2019 </w:t>
      </w:r>
      <w:r w:rsidR="00932AF2" w:rsidRPr="00D3189B">
        <w:rPr>
          <w:b/>
        </w:rPr>
        <w:t>nezmenená</w:t>
      </w:r>
      <w:r w:rsidR="00932AF2" w:rsidRPr="00D3189B">
        <w:rPr>
          <w:rStyle w:val="Odkaznapoznmkupodiarou"/>
          <w:b/>
        </w:rPr>
        <w:footnoteReference w:id="361"/>
      </w:r>
      <w:r w:rsidR="00932AF2" w:rsidRPr="00D3189B">
        <w:rPr>
          <w:b/>
        </w:rPr>
        <w:t xml:space="preserve">, čo spôsobilo pokles oproti hranici </w:t>
      </w:r>
      <w:r w:rsidR="00932AF2">
        <w:rPr>
          <w:b/>
        </w:rPr>
        <w:t xml:space="preserve">rizika </w:t>
      </w:r>
      <w:r w:rsidR="00932AF2" w:rsidRPr="00D3189B">
        <w:rPr>
          <w:b/>
        </w:rPr>
        <w:t>chudoby</w:t>
      </w:r>
      <w:r w:rsidR="00932AF2" w:rsidRPr="00D3189B">
        <w:rPr>
          <w:rStyle w:val="Odkaznapoznmkupodiarou"/>
          <w:b/>
        </w:rPr>
        <w:footnoteReference w:id="362"/>
      </w:r>
      <w:r w:rsidR="00932AF2" w:rsidRPr="00D3189B">
        <w:rPr>
          <w:b/>
        </w:rPr>
        <w:t xml:space="preserve"> v prípade jednotlivca o 22 % a v prípade dvojice s dvomi deťmi o 23 %</w:t>
      </w:r>
      <w:r w:rsidR="00932AF2">
        <w:rPr>
          <w:b/>
        </w:rPr>
        <w:t xml:space="preserve"> </w:t>
      </w:r>
      <w:r w:rsidR="00932AF2" w:rsidRPr="00D3189B">
        <w:t>(</w:t>
      </w:r>
      <w:r w:rsidR="00932AF2" w:rsidRPr="00D3189B">
        <w:fldChar w:fldCharType="begin"/>
      </w:r>
      <w:r w:rsidR="00932AF2" w:rsidRPr="00D3189B">
        <w:instrText xml:space="preserve"> REF _Ref523841903 \h </w:instrText>
      </w:r>
      <w:r w:rsidR="00932AF2">
        <w:instrText xml:space="preserve"> \* MERGEFORMAT </w:instrText>
      </w:r>
      <w:r w:rsidR="00932AF2" w:rsidRPr="00D3189B">
        <w:fldChar w:fldCharType="separate"/>
      </w:r>
      <w:r w:rsidR="00FA29AF" w:rsidRPr="00FA29AF">
        <w:t xml:space="preserve">Graf </w:t>
      </w:r>
      <w:r w:rsidR="00FA29AF" w:rsidRPr="00FA29AF">
        <w:rPr>
          <w:noProof/>
        </w:rPr>
        <w:t>47</w:t>
      </w:r>
      <w:r w:rsidR="00932AF2" w:rsidRPr="00D3189B">
        <w:fldChar w:fldCharType="end"/>
      </w:r>
      <w:r w:rsidR="00932AF2" w:rsidRPr="00D3189B">
        <w:t>)</w:t>
      </w:r>
      <w:r w:rsidR="00932AF2" w:rsidRPr="00932AF2">
        <w:t xml:space="preserve">. </w:t>
      </w:r>
      <w:r w:rsidR="00932AF2" w:rsidRPr="00CA2564">
        <w:t>Valorizácia pomoci v hmotnej núdzi nebola do roku 2019 upravená v zákone a závisela od vlády. Novela zákona o pomoci v hmotnej núdzi s účinnosťou od apríla 2019 zvýšila základnú dávku a príspevky, s výnimkou príspevku na bývanie, o zhruba 5 % a zaviedla automatickú valorizáciu PHN podľa rovnak</w:t>
      </w:r>
      <w:r w:rsidR="00835C2B">
        <w:t>ých pravidiel ako</w:t>
      </w:r>
      <w:r w:rsidR="00932AF2" w:rsidRPr="00CA2564">
        <w:t xml:space="preserve"> životné minimum.</w:t>
      </w:r>
      <w:r w:rsidR="00932AF2" w:rsidRPr="00CA2564">
        <w:rPr>
          <w:rStyle w:val="Odkaznapoznmkupodiarou"/>
        </w:rPr>
        <w:footnoteReference w:id="363"/>
      </w:r>
      <w:r w:rsidR="00932AF2">
        <w:t xml:space="preserve"> </w:t>
      </w:r>
      <w:r w:rsidR="007E0579" w:rsidRPr="00932AF2">
        <w:t>Výška životného minima sa ročne upravuje podľa koeficientu, ktorý zodpovedá nižšej hodnote spomedzi koeficientu rastu čistých peňažných príjmov na osobu a koeficientu rastu životných nákladov nízkopríjmových</w:t>
      </w:r>
      <w:r w:rsidR="007E0579" w:rsidRPr="00CA2564">
        <w:t xml:space="preserve"> domácností.</w:t>
      </w:r>
    </w:p>
    <w:p w14:paraId="6F5764B0" w14:textId="1961AEB4" w:rsidR="007E0579" w:rsidRPr="00CA2564" w:rsidRDefault="007E0579" w:rsidP="007E0579">
      <w:pPr>
        <w:spacing w:before="160"/>
      </w:pPr>
      <w:r w:rsidRPr="00CA2564">
        <w:rPr>
          <w:b/>
        </w:rPr>
        <w:t xml:space="preserve">Výška minimálneho garantovaného príjmu v pomere k strednému príjmu v hospodárstve je </w:t>
      </w:r>
      <w:r w:rsidR="00DB63D6">
        <w:rPr>
          <w:b/>
        </w:rPr>
        <w:t>na Slovensku</w:t>
      </w:r>
      <w:r w:rsidRPr="00CA2564">
        <w:rPr>
          <w:b/>
        </w:rPr>
        <w:t xml:space="preserve"> výrazne nižšia ako vo väčšine ostatných krajín EÚ </w:t>
      </w:r>
      <w:r w:rsidRPr="00CA2564">
        <w:t>(</w:t>
      </w:r>
      <w:r w:rsidRPr="00CA2564">
        <w:fldChar w:fldCharType="begin"/>
      </w:r>
      <w:r w:rsidRPr="00CA2564">
        <w:instrText xml:space="preserve"> REF _Ref525563214 \h  \* MERGEFORMAT </w:instrText>
      </w:r>
      <w:r w:rsidRPr="00CA2564">
        <w:fldChar w:fldCharType="separate"/>
      </w:r>
      <w:r w:rsidR="00FA29AF" w:rsidRPr="00FA29AF">
        <w:t xml:space="preserve">Graf </w:t>
      </w:r>
      <w:r w:rsidR="00FA29AF" w:rsidRPr="00FA29AF">
        <w:rPr>
          <w:iCs/>
          <w:noProof/>
        </w:rPr>
        <w:t>48</w:t>
      </w:r>
      <w:r w:rsidRPr="00CA2564">
        <w:fldChar w:fldCharType="end"/>
      </w:r>
      <w:r w:rsidRPr="00CA2564">
        <w:t>). Systém sociálnej pomoci vo forme garantovaného minimálneho príjmu chráni občanov pred úplnou stratou príjmu. Na Slovensku zodpovedá pomoci v hmotnej núdzi. Krajiny strednej a východnej Európy a krajiny na juhu Európy majú zväčša nižší pomer minimálneho príjmu k strednému príjmu ako krajiny na západe a severe Únie.</w:t>
      </w:r>
      <w:r w:rsidR="007D02D6">
        <w:t xml:space="preserve"> </w:t>
      </w:r>
      <w:r w:rsidR="007D02D6" w:rsidRPr="00D41517">
        <w:rPr>
          <w:b/>
        </w:rPr>
        <w:t xml:space="preserve">Počet všetkých členov domácností v systéme PHN bol v roku 2018 v priemere 160 212 osôb za mesiac, čo predstavuje odhadom </w:t>
      </w:r>
      <w:r w:rsidR="007D02D6">
        <w:rPr>
          <w:b/>
        </w:rPr>
        <w:t>2</w:t>
      </w:r>
      <w:r w:rsidR="00342C2F">
        <w:rPr>
          <w:b/>
        </w:rPr>
        <w:t>4 % ľudí žijúcich pod </w:t>
      </w:r>
      <w:r w:rsidR="007D02D6" w:rsidRPr="00D41517">
        <w:rPr>
          <w:b/>
        </w:rPr>
        <w:t>hranicou rizika chudoby.</w:t>
      </w:r>
      <w:r w:rsidR="007D02D6" w:rsidRPr="00CA2564">
        <w:rPr>
          <w:rStyle w:val="Odkaznapoznmkupodiarou"/>
        </w:rPr>
        <w:footnoteReference w:id="364"/>
      </w:r>
    </w:p>
    <w:tbl>
      <w:tblPr>
        <w:tblW w:w="0" w:type="auto"/>
        <w:tblLook w:val="04E0" w:firstRow="1" w:lastRow="1" w:firstColumn="1" w:lastColumn="0" w:noHBand="0" w:noVBand="1"/>
      </w:tblPr>
      <w:tblGrid>
        <w:gridCol w:w="9026"/>
      </w:tblGrid>
      <w:tr w:rsidR="007E0579" w:rsidRPr="00CA2564" w14:paraId="595745C3" w14:textId="77777777" w:rsidTr="00330D91">
        <w:tc>
          <w:tcPr>
            <w:tcW w:w="9072" w:type="dxa"/>
            <w:tcBorders>
              <w:bottom w:val="single" w:sz="4" w:space="0" w:color="auto"/>
            </w:tcBorders>
          </w:tcPr>
          <w:p w14:paraId="06BE9B44" w14:textId="77777777" w:rsidR="007E0579" w:rsidRPr="00330D91" w:rsidRDefault="007E0579" w:rsidP="00330D91">
            <w:pPr>
              <w:spacing w:after="0" w:line="240" w:lineRule="auto"/>
              <w:rPr>
                <w:b/>
                <w:sz w:val="20"/>
              </w:rPr>
            </w:pPr>
            <w:bookmarkStart w:id="851" w:name="_Ref525563214"/>
            <w:bookmarkStart w:id="852" w:name="_Toc17469419"/>
            <w:bookmarkStart w:id="853" w:name="_Toc34157606"/>
            <w:r w:rsidRPr="00330D91">
              <w:rPr>
                <w:b/>
                <w:sz w:val="20"/>
              </w:rPr>
              <w:t xml:space="preserve">Graf </w:t>
            </w:r>
            <w:r w:rsidRPr="00330D91">
              <w:rPr>
                <w:b/>
                <w:noProof/>
                <w:sz w:val="20"/>
              </w:rPr>
              <w:fldChar w:fldCharType="begin"/>
            </w:r>
            <w:r w:rsidRPr="00330D91">
              <w:rPr>
                <w:b/>
                <w:iCs/>
                <w:noProof/>
                <w:sz w:val="20"/>
              </w:rPr>
              <w:instrText xml:space="preserve"> SEQ Graf \* ARABIC </w:instrText>
            </w:r>
            <w:r w:rsidRPr="00330D91">
              <w:rPr>
                <w:b/>
                <w:noProof/>
                <w:sz w:val="20"/>
              </w:rPr>
              <w:fldChar w:fldCharType="separate"/>
            </w:r>
            <w:r w:rsidR="00FA29AF">
              <w:rPr>
                <w:b/>
                <w:iCs/>
                <w:noProof/>
                <w:sz w:val="20"/>
              </w:rPr>
              <w:t>48</w:t>
            </w:r>
            <w:r w:rsidRPr="00330D91">
              <w:rPr>
                <w:b/>
                <w:noProof/>
                <w:sz w:val="20"/>
              </w:rPr>
              <w:fldChar w:fldCharType="end"/>
            </w:r>
            <w:bookmarkEnd w:id="851"/>
            <w:r w:rsidRPr="00330D91">
              <w:rPr>
                <w:b/>
                <w:sz w:val="20"/>
              </w:rPr>
              <w:t>: Minimálny garantovaný príjem ako percento stredného príjmu v hospodárstve, 2018</w:t>
            </w:r>
            <w:bookmarkEnd w:id="852"/>
            <w:bookmarkEnd w:id="853"/>
          </w:p>
        </w:tc>
      </w:tr>
      <w:tr w:rsidR="007E0579" w:rsidRPr="00CA2564" w14:paraId="5EAD3CC3" w14:textId="77777777" w:rsidTr="00330D91">
        <w:tblPrEx>
          <w:tblCellMar>
            <w:left w:w="70" w:type="dxa"/>
            <w:right w:w="70" w:type="dxa"/>
          </w:tblCellMar>
        </w:tblPrEx>
        <w:tc>
          <w:tcPr>
            <w:tcW w:w="9072" w:type="dxa"/>
            <w:tcBorders>
              <w:top w:val="single" w:sz="4" w:space="0" w:color="auto"/>
              <w:bottom w:val="single" w:sz="4" w:space="0" w:color="auto"/>
            </w:tcBorders>
          </w:tcPr>
          <w:p w14:paraId="041C1D50" w14:textId="77777777" w:rsidR="007E0579" w:rsidRPr="00CA2564" w:rsidRDefault="007E0579" w:rsidP="00330D91">
            <w:pPr>
              <w:spacing w:after="0" w:line="240" w:lineRule="auto"/>
              <w:jc w:val="center"/>
              <w:rPr>
                <w:noProof/>
                <w:sz w:val="4"/>
                <w:szCs w:val="4"/>
              </w:rPr>
            </w:pPr>
          </w:p>
          <w:p w14:paraId="459D46E0" w14:textId="7148CCF6" w:rsidR="007E0579" w:rsidRPr="00CA2564" w:rsidRDefault="00B6015C" w:rsidP="00330D91">
            <w:pPr>
              <w:spacing w:after="0" w:line="240" w:lineRule="auto"/>
              <w:jc w:val="center"/>
              <w:rPr>
                <w:noProof/>
                <w:sz w:val="4"/>
                <w:szCs w:val="4"/>
              </w:rPr>
            </w:pPr>
            <w:r>
              <w:rPr>
                <w:noProof/>
                <w:lang w:eastAsia="sk-SK"/>
              </w:rPr>
              <w:drawing>
                <wp:inline distT="0" distB="0" distL="0" distR="0" wp14:anchorId="10EBF59A" wp14:editId="5506EED2">
                  <wp:extent cx="5172075" cy="2486025"/>
                  <wp:effectExtent l="0" t="0" r="0" b="0"/>
                  <wp:docPr id="28014" name="Graf 2801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xmlns:arto="http://schemas.microsoft.com/office/word/2006/arto"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DB4DDC9" w14:textId="77777777" w:rsidR="007E0579" w:rsidRPr="00CA2564" w:rsidRDefault="007E0579" w:rsidP="00330D91">
            <w:pPr>
              <w:spacing w:after="0" w:line="240" w:lineRule="auto"/>
              <w:jc w:val="center"/>
              <w:rPr>
                <w:sz w:val="4"/>
                <w:szCs w:val="4"/>
              </w:rPr>
            </w:pPr>
          </w:p>
        </w:tc>
      </w:tr>
      <w:tr w:rsidR="007E0579" w:rsidRPr="00CA2564" w14:paraId="4312171C" w14:textId="77777777" w:rsidTr="00330D91">
        <w:tc>
          <w:tcPr>
            <w:tcW w:w="9072" w:type="dxa"/>
            <w:tcBorders>
              <w:top w:val="single" w:sz="4" w:space="0" w:color="auto"/>
            </w:tcBorders>
          </w:tcPr>
          <w:p w14:paraId="3700EF64" w14:textId="77777777" w:rsidR="007E0579" w:rsidRPr="00330D91" w:rsidRDefault="007E0579" w:rsidP="00330D91">
            <w:pPr>
              <w:spacing w:after="0" w:line="240" w:lineRule="auto"/>
              <w:jc w:val="right"/>
              <w:rPr>
                <w:i/>
                <w:sz w:val="18"/>
                <w:szCs w:val="18"/>
              </w:rPr>
            </w:pPr>
            <w:r w:rsidRPr="00330D91">
              <w:rPr>
                <w:i/>
                <w:sz w:val="18"/>
                <w:szCs w:val="18"/>
              </w:rPr>
              <w:t>Zdroj: OECD</w:t>
            </w:r>
          </w:p>
          <w:p w14:paraId="39EC8E0B" w14:textId="77777777" w:rsidR="007E0579" w:rsidRPr="00CA2564" w:rsidRDefault="007E0579" w:rsidP="00330D91">
            <w:pPr>
              <w:spacing w:after="0" w:line="240" w:lineRule="auto"/>
              <w:jc w:val="left"/>
              <w:rPr>
                <w:b/>
                <w:sz w:val="18"/>
                <w:szCs w:val="18"/>
              </w:rPr>
            </w:pPr>
            <w:r w:rsidRPr="00330D91">
              <w:rPr>
                <w:i/>
                <w:sz w:val="18"/>
                <w:szCs w:val="18"/>
              </w:rPr>
              <w:t>Poznámka: V Taliansku neexistuje systém sociálnej pomoci vo forme garantovaného minimálneho príjmu.</w:t>
            </w:r>
          </w:p>
        </w:tc>
      </w:tr>
    </w:tbl>
    <w:p w14:paraId="1B269B7A" w14:textId="15DE2457" w:rsidR="00A850AD" w:rsidRPr="00AB28DA" w:rsidRDefault="00A850AD" w:rsidP="00A850AD">
      <w:pPr>
        <w:spacing w:before="160"/>
      </w:pPr>
      <w:r w:rsidRPr="00D359BC">
        <w:rPr>
          <w:b/>
        </w:rPr>
        <w:t xml:space="preserve">Rodiny s malými deťmi nemajú nárok na príspevok na nezaopatrené dieťa v rámci pomoci v hmotnej núdzi. </w:t>
      </w:r>
      <w:r>
        <w:t xml:space="preserve">Na tento príspevok vzniká nárok až po nástupe dieťaťa na povinnú školskú dochádzku a je podmienený jej riadnym plnením. Toto nastavenie ide proti princípu včasnej intervencie v ranom detstve kedy majú investície najväčší pozitívny dopad na vývin detí a najviac zmierňujú dlhodobé negatívne dôsledky vyrastania v chudobe. Rodiny </w:t>
      </w:r>
      <w:r w:rsidRPr="00AB28DA">
        <w:t>v systéme pomoci v hmotnej núdzi majú pritom najväčšie problémy so zabezpečením podnetného prostredia pre svoje deti v domácom prostredí z dôvodu finančnej nedostupnosti hračiek, knižiek a iných pomôcok.</w:t>
      </w:r>
    </w:p>
    <w:p w14:paraId="672AC2C4" w14:textId="26C22B94" w:rsidR="00A850AD" w:rsidRDefault="00A850AD" w:rsidP="00A34060">
      <w:pPr>
        <w:spacing w:before="160"/>
      </w:pPr>
      <w:r w:rsidRPr="00AB28DA">
        <w:rPr>
          <w:b/>
          <w:bCs/>
        </w:rPr>
        <w:t>S cieľom napraviť devalváciu pomoci v hmotnej núdzi oproti hranici rizika chudoby za posledných 10 rokov a čiastočne zmierniť zaostávanie za európskym štandardom ako aj štandardom okolitých krajín navrhuje revízia úpravu výšky pomoci hmotnej núdzi smerom nahor tak, aby bez príspevku na bývanie</w:t>
      </w:r>
      <w:r w:rsidR="00F31E9B" w:rsidRPr="00AB28DA">
        <w:rPr>
          <w:rStyle w:val="Odkaznapoznmkupodiarou"/>
          <w:b/>
          <w:bCs/>
        </w:rPr>
        <w:footnoteReference w:id="365"/>
      </w:r>
      <w:r w:rsidRPr="00AB28DA">
        <w:rPr>
          <w:b/>
          <w:bCs/>
        </w:rPr>
        <w:t xml:space="preserve"> ale spolu s prídavkom na dieťa</w:t>
      </w:r>
      <w:r w:rsidR="00F31E9B" w:rsidRPr="00AB28DA">
        <w:rPr>
          <w:rStyle w:val="Odkaznapoznmkupodiarou"/>
        </w:rPr>
        <w:footnoteReference w:id="366"/>
      </w:r>
      <w:r w:rsidRPr="00AB28DA">
        <w:rPr>
          <w:b/>
          <w:bCs/>
        </w:rPr>
        <w:t xml:space="preserve"> bola schopná zabezpečiť </w:t>
      </w:r>
      <w:r w:rsidR="00C9773E" w:rsidRPr="00AB28DA">
        <w:rPr>
          <w:b/>
          <w:bCs/>
        </w:rPr>
        <w:t xml:space="preserve">každej domácnosti </w:t>
      </w:r>
      <w:r w:rsidR="0085187B" w:rsidRPr="00AB28DA">
        <w:rPr>
          <w:b/>
          <w:bCs/>
        </w:rPr>
        <w:t xml:space="preserve">s deťmi </w:t>
      </w:r>
      <w:r w:rsidR="00C9773E" w:rsidRPr="00AB28DA">
        <w:rPr>
          <w:b/>
          <w:bCs/>
        </w:rPr>
        <w:t>ekvivalentný disponibilný príjem na úrovni životného minima jednotlivca bez detí, použitím OECD ekvivalenčnej škály</w:t>
      </w:r>
      <w:r w:rsidR="00F31E9B" w:rsidRPr="00AB28DA">
        <w:rPr>
          <w:b/>
          <w:bCs/>
        </w:rPr>
        <w:t xml:space="preserve"> </w:t>
      </w:r>
      <w:r w:rsidR="00F31E9B" w:rsidRPr="00CE4B44">
        <w:rPr>
          <w:b/>
        </w:rPr>
        <w:t>(</w:t>
      </w:r>
      <w:r w:rsidR="00F31E9B" w:rsidRPr="00CE4B44">
        <w:rPr>
          <w:b/>
        </w:rPr>
        <w:fldChar w:fldCharType="begin"/>
      </w:r>
      <w:r w:rsidR="00F31E9B" w:rsidRPr="00CE4B44">
        <w:rPr>
          <w:b/>
        </w:rPr>
        <w:instrText xml:space="preserve"> REF _Ref21087997 \h  \* MERGEFORMAT </w:instrText>
      </w:r>
      <w:r w:rsidR="00F31E9B" w:rsidRPr="00CE4B44">
        <w:rPr>
          <w:b/>
        </w:rPr>
      </w:r>
      <w:r w:rsidR="00F31E9B" w:rsidRPr="00CE4B44">
        <w:rPr>
          <w:b/>
        </w:rPr>
        <w:fldChar w:fldCharType="separate"/>
      </w:r>
      <w:r w:rsidR="00FA29AF" w:rsidRPr="00FC56B1">
        <w:rPr>
          <w:b/>
          <w:iCs/>
        </w:rPr>
        <w:t xml:space="preserve">Box </w:t>
      </w:r>
      <w:r w:rsidR="00FA29AF">
        <w:rPr>
          <w:b/>
          <w:iCs/>
        </w:rPr>
        <w:t>19</w:t>
      </w:r>
      <w:r w:rsidR="00F31E9B" w:rsidRPr="00CE4B44">
        <w:rPr>
          <w:b/>
        </w:rPr>
        <w:fldChar w:fldCharType="end"/>
      </w:r>
      <w:r w:rsidR="00F31E9B" w:rsidRPr="00CE4B44">
        <w:rPr>
          <w:b/>
        </w:rPr>
        <w:t>)</w:t>
      </w:r>
      <w:r w:rsidRPr="00AB28DA">
        <w:rPr>
          <w:b/>
          <w:bCs/>
        </w:rPr>
        <w:t xml:space="preserve">. </w:t>
      </w:r>
      <w:r w:rsidR="00C9773E" w:rsidRPr="00CE4B44">
        <w:rPr>
          <w:b/>
        </w:rPr>
        <w:t>Súčasťou opatrenia je rozšírenie príspevku na nezaopatrené dieťa na všetky deti v systéme PHN od narodenia až po ukončenie povinnej školskej dochádzky</w:t>
      </w:r>
      <w:r w:rsidR="00073688">
        <w:rPr>
          <w:b/>
        </w:rPr>
        <w:t xml:space="preserve">, podmienené od 3 rokov </w:t>
      </w:r>
      <w:r w:rsidR="00DF7308">
        <w:rPr>
          <w:b/>
        </w:rPr>
        <w:t xml:space="preserve">veku dieťaťa jeho </w:t>
      </w:r>
      <w:r w:rsidR="00073688">
        <w:rPr>
          <w:b/>
        </w:rPr>
        <w:t>účasťou vo vzdelávaní</w:t>
      </w:r>
      <w:r w:rsidR="00C9773E" w:rsidRPr="00CE4B44">
        <w:rPr>
          <w:b/>
        </w:rPr>
        <w:t>.</w:t>
      </w:r>
      <w:r w:rsidR="0085187B" w:rsidRPr="00AB28DA">
        <w:t xml:space="preserve"> </w:t>
      </w:r>
      <w:r w:rsidRPr="00AB28DA">
        <w:t xml:space="preserve">Toto nastavenie by znamenalo, že maximálna výška nárokov všetkých domácností </w:t>
      </w:r>
      <w:r w:rsidR="0085187B" w:rsidRPr="00AB28DA">
        <w:t xml:space="preserve">s deťmi </w:t>
      </w:r>
      <w:r w:rsidRPr="00AB28DA">
        <w:t>spolu s prídavkom na dieťa by bola rovnako vzdialená od hranice rizika chudoby.</w:t>
      </w:r>
      <w:r w:rsidR="00B147FD" w:rsidRPr="00AB28DA">
        <w:rPr>
          <w:rStyle w:val="Odkaznapoznmkupodiarou"/>
        </w:rPr>
        <w:footnoteReference w:id="367"/>
      </w:r>
      <w:r w:rsidRPr="00AB28DA">
        <w:t xml:space="preserve"> Tento cieľ je možné dosiahnuť rôznymi kombináciami parametrov v rámci PHN. Jeden príklad je popísaný v </w:t>
      </w:r>
      <w:r w:rsidRPr="00AB28DA">
        <w:fldChar w:fldCharType="begin"/>
      </w:r>
      <w:r w:rsidRPr="00AB28DA">
        <w:instrText xml:space="preserve"> REF _Ref21088099 \h  \* MERGEFORMAT </w:instrText>
      </w:r>
      <w:r w:rsidRPr="00AB28DA">
        <w:fldChar w:fldCharType="separate"/>
      </w:r>
      <w:r w:rsidR="00FA29AF" w:rsidRPr="00FA29AF">
        <w:rPr>
          <w:iCs/>
        </w:rPr>
        <w:t>Box 20</w:t>
      </w:r>
      <w:r w:rsidRPr="00AB28DA">
        <w:fldChar w:fldCharType="end"/>
      </w:r>
      <w:r w:rsidRPr="00AB28DA">
        <w:t>.</w:t>
      </w:r>
    </w:p>
    <w:tbl>
      <w:tblPr>
        <w:tblW w:w="0" w:type="auto"/>
        <w:shd w:val="clear" w:color="auto" w:fill="BDD6EE" w:themeFill="accent1" w:themeFillTint="66"/>
        <w:tblLook w:val="04A0" w:firstRow="1" w:lastRow="0" w:firstColumn="1" w:lastColumn="0" w:noHBand="0" w:noVBand="1"/>
      </w:tblPr>
      <w:tblGrid>
        <w:gridCol w:w="9026"/>
      </w:tblGrid>
      <w:tr w:rsidR="00A850AD" w:rsidRPr="00CA2564" w14:paraId="05605DCE" w14:textId="77777777" w:rsidTr="005C6EAA">
        <w:tc>
          <w:tcPr>
            <w:tcW w:w="9062" w:type="dxa"/>
            <w:shd w:val="clear" w:color="auto" w:fill="BDD6EE" w:themeFill="accent1" w:themeFillTint="66"/>
          </w:tcPr>
          <w:p w14:paraId="6E7ED3B5" w14:textId="1FA9FECF" w:rsidR="00A850AD" w:rsidRPr="00225D12" w:rsidRDefault="00A850AD" w:rsidP="005C6EAA">
            <w:pPr>
              <w:spacing w:before="160"/>
              <w:rPr>
                <w:b/>
                <w:iCs/>
              </w:rPr>
            </w:pPr>
            <w:bookmarkStart w:id="854" w:name="_Ref21087997"/>
            <w:r w:rsidRPr="00FC56B1">
              <w:rPr>
                <w:b/>
                <w:iCs/>
              </w:rPr>
              <w:t xml:space="preserve">Box </w:t>
            </w:r>
            <w:r w:rsidR="00A425AB">
              <w:rPr>
                <w:b/>
                <w:iCs/>
              </w:rPr>
              <w:fldChar w:fldCharType="begin"/>
            </w:r>
            <w:r w:rsidR="00A425AB">
              <w:rPr>
                <w:b/>
                <w:iCs/>
              </w:rPr>
              <w:instrText xml:space="preserve"> SEQ Box \* ARABIC </w:instrText>
            </w:r>
            <w:r w:rsidR="00A425AB">
              <w:rPr>
                <w:b/>
                <w:iCs/>
              </w:rPr>
              <w:fldChar w:fldCharType="separate"/>
            </w:r>
            <w:r w:rsidR="00FA29AF">
              <w:rPr>
                <w:b/>
                <w:iCs/>
                <w:noProof/>
              </w:rPr>
              <w:t>19</w:t>
            </w:r>
            <w:r w:rsidR="00A425AB">
              <w:rPr>
                <w:b/>
                <w:iCs/>
              </w:rPr>
              <w:fldChar w:fldCharType="end"/>
            </w:r>
            <w:bookmarkEnd w:id="854"/>
            <w:r w:rsidRPr="00CA2564">
              <w:rPr>
                <w:b/>
              </w:rPr>
              <w:t>: Ekvivalenčná škála pre porovnávanie príjmov rôznych druhov rodín</w:t>
            </w:r>
          </w:p>
          <w:p w14:paraId="128CC649" w14:textId="0145E14A" w:rsidR="00A850AD" w:rsidRDefault="00A850AD" w:rsidP="005C6EAA">
            <w:pPr>
              <w:spacing w:before="160"/>
            </w:pPr>
            <w:r w:rsidRPr="00947AAB">
              <w:rPr>
                <w:bCs/>
              </w:rPr>
              <w:t>Domácnosť dvoch ľudí nepotrebuje</w:t>
            </w:r>
            <w:r w:rsidRPr="00CA2564">
              <w:t xml:space="preserve"> dvojnásobný príjem oproti domácnosti jedného človeka aby dosiahla rovnaký životný štandard. Napríklad náklady na kúrenie alebo nájom nerastú úmerne s počtom členov domácnosti. Tieto úspory z rozsahu domácnosti sú </w:t>
            </w:r>
            <w:r>
              <w:t>vyjadrené v takzvanej ekvivalenčnej škále, ktorá znázorňuje</w:t>
            </w:r>
            <w:r w:rsidR="00B61E09">
              <w:t>,</w:t>
            </w:r>
            <w:r>
              <w:t xml:space="preserve"> ako sa potreby domácnosti zvyšujú s počtom jej členov.</w:t>
            </w:r>
          </w:p>
          <w:p w14:paraId="3D9F97FD" w14:textId="77777777" w:rsidR="00A850AD" w:rsidRDefault="00A850AD" w:rsidP="005C6EAA">
            <w:pPr>
              <w:spacing w:before="160"/>
            </w:pPr>
            <w:r w:rsidRPr="00CA2564">
              <w:t xml:space="preserve">Ekvivalentný disponibilný príjem domácnosti je vypočítaný delením celkového disponibilného príjmu domácnosti váženým počtom </w:t>
            </w:r>
            <w:r>
              <w:t xml:space="preserve">jej </w:t>
            </w:r>
            <w:r w:rsidRPr="00CA2564">
              <w:t>členov. Ekvivalenčná škála určuje, aká váha je priradená jednotlivým členom domácnosti.</w:t>
            </w:r>
            <w:r>
              <w:t xml:space="preserve"> Equivalenčná škála, ktorú používa Eurostat a OECD na porovnávanie príjmov a určovanie hranice miery rizika chudoby jednotlivých druhov domácností</w:t>
            </w:r>
            <w:r w:rsidRPr="00CA2564">
              <w:t xml:space="preserve"> priraďuje váhu 1 prvému členovi domácnosti, 0,5 každému druhému dospelému členovi domácnosti a 0,3 každému dieťaťu</w:t>
            </w:r>
            <w:r>
              <w:t xml:space="preserve"> (OECD ekvivalenčná škála).</w:t>
            </w:r>
          </w:p>
          <w:p w14:paraId="2E96AAF7" w14:textId="44C812C5" w:rsidR="00A850AD" w:rsidRPr="00FA6D66" w:rsidRDefault="00A850AD" w:rsidP="005C6EAA">
            <w:pPr>
              <w:spacing w:before="160"/>
            </w:pPr>
            <w:r>
              <w:t>Pre porovnanie</w:t>
            </w:r>
            <w:r w:rsidR="00B61E09">
              <w:t>,</w:t>
            </w:r>
            <w:r>
              <w:t xml:space="preserve"> </w:t>
            </w:r>
            <w:r w:rsidR="007D7B75">
              <w:t xml:space="preserve">aktuálne </w:t>
            </w:r>
            <w:r>
              <w:t xml:space="preserve">životné minimum na Slovensku </w:t>
            </w:r>
            <w:r w:rsidRPr="00CA2564">
              <w:t>implicitne používa škál</w:t>
            </w:r>
            <w:r>
              <w:t>u</w:t>
            </w:r>
            <w:r w:rsidR="00342C2F">
              <w:t>, ktorá priraďuje váhu 1 </w:t>
            </w:r>
            <w:r w:rsidRPr="00CA2564">
              <w:t>prvému členovi domácnosti, 0,6976 každému druhému dospel</w:t>
            </w:r>
            <w:r w:rsidR="00342C2F">
              <w:t>ému členovi domácnosti a 0,4565 </w:t>
            </w:r>
            <w:r w:rsidRPr="00CA2564">
              <w:t>každému dieťaťu.</w:t>
            </w:r>
            <w:r>
              <w:t xml:space="preserve"> Veľké rodiny tak dostávajú vyššiu váhu v porovnaní s OECD škálou, čoho dôsledkom je, že životné minimum rodiny dvoch rodičov a dvoch detí, je bližšie k hranici rizika chudoby ako životné minimum jednotlivca bez </w:t>
            </w:r>
            <w:r w:rsidRPr="00FA6D66">
              <w:t>detí (</w:t>
            </w:r>
            <w:r w:rsidRPr="00FA6D66">
              <w:rPr>
                <w:highlight w:val="yellow"/>
              </w:rPr>
              <w:fldChar w:fldCharType="begin"/>
            </w:r>
            <w:r w:rsidRPr="00FA6D66">
              <w:instrText xml:space="preserve"> REF _Ref523841903 \h </w:instrText>
            </w:r>
            <w:r w:rsidRPr="00FA6D66">
              <w:rPr>
                <w:highlight w:val="yellow"/>
              </w:rPr>
              <w:instrText xml:space="preserve"> \* MERGEFORMAT </w:instrText>
            </w:r>
            <w:r w:rsidRPr="00FA6D66">
              <w:rPr>
                <w:highlight w:val="yellow"/>
              </w:rPr>
            </w:r>
            <w:r w:rsidRPr="00FA6D66">
              <w:rPr>
                <w:highlight w:val="yellow"/>
              </w:rPr>
              <w:fldChar w:fldCharType="separate"/>
            </w:r>
            <w:r w:rsidR="00FA29AF" w:rsidRPr="00FA29AF">
              <w:t xml:space="preserve">Graf </w:t>
            </w:r>
            <w:r w:rsidR="00FA29AF" w:rsidRPr="00FA29AF">
              <w:rPr>
                <w:noProof/>
              </w:rPr>
              <w:t>47</w:t>
            </w:r>
            <w:r w:rsidRPr="00FA6D66">
              <w:rPr>
                <w:highlight w:val="yellow"/>
              </w:rPr>
              <w:fldChar w:fldCharType="end"/>
            </w:r>
            <w:r w:rsidRPr="00FA6D66">
              <w:t>).</w:t>
            </w:r>
          </w:p>
          <w:p w14:paraId="65298857" w14:textId="77777777" w:rsidR="00A850AD" w:rsidRPr="00CA2564" w:rsidRDefault="00A850AD" w:rsidP="005C6EAA">
            <w:pPr>
              <w:spacing w:before="160"/>
            </w:pPr>
            <w:r w:rsidRPr="00CA2564">
              <w:t>Na výber vhodnej ekvivalenčnej škály neexistuje všeobecne uznávaná metóda. Výber totiž závisí nielen na technických parametroch úspor z rozsahu v spotrebe domácností ale takisto na hodnotiacich úsudkoch ohľadom priority, ktorú spoločnosť kladie na potreby jednotlivých skupín ako sú napríklad deti alebo dôchodcovia. Analýzy senzitivity naznačujú, že kým výška a štruktúra príjmovej chudoby je ovplyvnená výberom ekvivalenčnej škály, trendy v čase a porovnania naprieč krajinami sú oveľa menej ovplyvnené (Burniaux a spol., 1998).</w:t>
            </w:r>
          </w:p>
        </w:tc>
      </w:tr>
    </w:tbl>
    <w:p w14:paraId="33944A98" w14:textId="77777777" w:rsidR="00A850AD" w:rsidRDefault="00A850AD" w:rsidP="00D41517">
      <w:pPr>
        <w:spacing w:after="0"/>
      </w:pPr>
    </w:p>
    <w:tbl>
      <w:tblPr>
        <w:tblW w:w="0" w:type="auto"/>
        <w:shd w:val="clear" w:color="auto" w:fill="BDD6EE" w:themeFill="accent1" w:themeFillTint="66"/>
        <w:tblLook w:val="04A0" w:firstRow="1" w:lastRow="0" w:firstColumn="1" w:lastColumn="0" w:noHBand="0" w:noVBand="1"/>
      </w:tblPr>
      <w:tblGrid>
        <w:gridCol w:w="9026"/>
      </w:tblGrid>
      <w:tr w:rsidR="00A850AD" w:rsidRPr="00CA2564" w14:paraId="7C02B1D8" w14:textId="77777777" w:rsidTr="005C6EAA">
        <w:tc>
          <w:tcPr>
            <w:tcW w:w="9072" w:type="dxa"/>
            <w:shd w:val="clear" w:color="auto" w:fill="BDD6EE" w:themeFill="accent1" w:themeFillTint="66"/>
          </w:tcPr>
          <w:p w14:paraId="5AFE8681" w14:textId="4938C6BD" w:rsidR="00A850AD" w:rsidRDefault="00A850AD" w:rsidP="005C6EAA">
            <w:pPr>
              <w:spacing w:before="160"/>
              <w:rPr>
                <w:b/>
              </w:rPr>
            </w:pPr>
            <w:bookmarkStart w:id="855" w:name="_Ref21088099"/>
            <w:r w:rsidRPr="00FC56B1">
              <w:rPr>
                <w:b/>
                <w:iCs/>
              </w:rPr>
              <w:t xml:space="preserve">Box </w:t>
            </w:r>
            <w:r w:rsidR="00A425AB">
              <w:rPr>
                <w:b/>
                <w:iCs/>
              </w:rPr>
              <w:fldChar w:fldCharType="begin"/>
            </w:r>
            <w:r w:rsidR="00A425AB">
              <w:rPr>
                <w:b/>
                <w:iCs/>
              </w:rPr>
              <w:instrText xml:space="preserve"> SEQ Box \* ARABIC </w:instrText>
            </w:r>
            <w:r w:rsidR="00A425AB">
              <w:rPr>
                <w:b/>
                <w:iCs/>
              </w:rPr>
              <w:fldChar w:fldCharType="separate"/>
            </w:r>
            <w:r w:rsidR="00FA29AF">
              <w:rPr>
                <w:b/>
                <w:iCs/>
                <w:noProof/>
              </w:rPr>
              <w:t>20</w:t>
            </w:r>
            <w:r w:rsidR="00A425AB">
              <w:rPr>
                <w:b/>
                <w:iCs/>
              </w:rPr>
              <w:fldChar w:fldCharType="end"/>
            </w:r>
            <w:bookmarkEnd w:id="855"/>
            <w:r w:rsidRPr="00CA2564">
              <w:rPr>
                <w:b/>
              </w:rPr>
              <w:t xml:space="preserve">: </w:t>
            </w:r>
            <w:r w:rsidR="00DA333C">
              <w:rPr>
                <w:b/>
              </w:rPr>
              <w:t xml:space="preserve">Možná alternatíva </w:t>
            </w:r>
            <w:r>
              <w:rPr>
                <w:b/>
              </w:rPr>
              <w:t>zmeny systému</w:t>
            </w:r>
            <w:r w:rsidRPr="00CA2564">
              <w:rPr>
                <w:b/>
              </w:rPr>
              <w:t xml:space="preserve"> pomoci v hmotnej núdzi</w:t>
            </w:r>
          </w:p>
          <w:p w14:paraId="768CAD56" w14:textId="159B1DA7" w:rsidR="00F81E5C" w:rsidRPr="00F81E5C" w:rsidRDefault="00F81E5C" w:rsidP="005C6EAA">
            <w:pPr>
              <w:spacing w:before="160"/>
            </w:pPr>
            <w:r w:rsidRPr="00CA2564">
              <w:t>Navrhovaný model necháva nezmenenú výšku aktivačného príspevku, ochranného príspevku a prídavku na dieťa. Dávka v hmotnej núdzi je zjednodušená tak, aby jej výška nezávisela na počte detí v</w:t>
            </w:r>
            <w:r>
              <w:t> </w:t>
            </w:r>
            <w:r w:rsidRPr="00CA2564">
              <w:t>domácnosti</w:t>
            </w:r>
            <w:r>
              <w:t xml:space="preserve"> s vínimkou bezdetných domácností</w:t>
            </w:r>
            <w:r w:rsidRPr="00CA2564">
              <w:t xml:space="preserve">. </w:t>
            </w:r>
            <w:r>
              <w:t>V prípade jednotlivca s deťmi je dávka zvýšená na úroveň 14</w:t>
            </w:r>
            <w:r w:rsidR="00821100">
              <w:t>2</w:t>
            </w:r>
            <w:r>
              <w:t>,</w:t>
            </w:r>
            <w:r w:rsidR="00821100">
              <w:t>3</w:t>
            </w:r>
            <w:r>
              <w:t>0 eur, v prípade dvojice s deťmi na 1</w:t>
            </w:r>
            <w:r w:rsidR="00821100">
              <w:t>79</w:t>
            </w:r>
            <w:r>
              <w:t>,</w:t>
            </w:r>
            <w:r w:rsidR="00821100">
              <w:t>5</w:t>
            </w:r>
            <w:r>
              <w:t>0 eur.</w:t>
            </w:r>
            <w:r>
              <w:rPr>
                <w:rStyle w:val="Odkaznapoznmkupodiarou"/>
              </w:rPr>
              <w:footnoteReference w:id="368"/>
            </w:r>
            <w:r>
              <w:t xml:space="preserve"> </w:t>
            </w:r>
            <w:r w:rsidRPr="00CA2564">
              <w:t xml:space="preserve">Zohľadnenie počtu detí je v návrhu účelom (zvýšeného) príspevku na nezaopatrené dieťa a (nezmeneného) prídavku na dieťa. </w:t>
            </w:r>
            <w:r>
              <w:t>Príspevok na nezaopatrené dieťa je v návrhu zvýšený z dnešných 18,60 eur na 38,</w:t>
            </w:r>
            <w:r w:rsidR="00821100">
              <w:t>11</w:t>
            </w:r>
            <w:r>
              <w:t xml:space="preserve"> eur. </w:t>
            </w:r>
          </w:p>
          <w:tbl>
            <w:tblPr>
              <w:tblW w:w="0" w:type="auto"/>
              <w:tblLook w:val="04E0" w:firstRow="1" w:lastRow="1" w:firstColumn="1" w:lastColumn="0" w:noHBand="0" w:noVBand="1"/>
            </w:tblPr>
            <w:tblGrid>
              <w:gridCol w:w="4287"/>
              <w:gridCol w:w="222"/>
              <w:gridCol w:w="4301"/>
            </w:tblGrid>
            <w:tr w:rsidR="00A00FBC" w:rsidRPr="00CA2564" w14:paraId="2FC83801" w14:textId="77777777" w:rsidTr="00AD0464">
              <w:tc>
                <w:tcPr>
                  <w:tcW w:w="8874" w:type="dxa"/>
                  <w:gridSpan w:val="3"/>
                  <w:tcBorders>
                    <w:bottom w:val="single" w:sz="4" w:space="0" w:color="auto"/>
                  </w:tcBorders>
                </w:tcPr>
                <w:p w14:paraId="621A8E0B" w14:textId="77777777" w:rsidR="00A00FBC" w:rsidRPr="00AD0464" w:rsidRDefault="00A00FBC" w:rsidP="00AD0464">
                  <w:pPr>
                    <w:spacing w:after="0" w:line="240" w:lineRule="auto"/>
                    <w:jc w:val="center"/>
                    <w:rPr>
                      <w:b/>
                      <w:sz w:val="20"/>
                    </w:rPr>
                  </w:pPr>
                  <w:r w:rsidRPr="00AD0464">
                    <w:rPr>
                      <w:b/>
                      <w:sz w:val="20"/>
                    </w:rPr>
                    <w:t>Domácnosť jednotlivca s rôznym počtom detí</w:t>
                  </w:r>
                </w:p>
              </w:tc>
            </w:tr>
            <w:tr w:rsidR="00A00FBC" w:rsidRPr="00CA2564" w14:paraId="27B6DCAC" w14:textId="77777777" w:rsidTr="00AD0464">
              <w:tc>
                <w:tcPr>
                  <w:tcW w:w="4326" w:type="dxa"/>
                  <w:tcBorders>
                    <w:top w:val="single" w:sz="4" w:space="0" w:color="auto"/>
                  </w:tcBorders>
                </w:tcPr>
                <w:p w14:paraId="2F194971" w14:textId="77777777" w:rsidR="00A00FBC" w:rsidRPr="00AD0464" w:rsidRDefault="00A00FBC" w:rsidP="00AD0464">
                  <w:pPr>
                    <w:spacing w:after="0" w:line="240" w:lineRule="auto"/>
                    <w:jc w:val="center"/>
                    <w:rPr>
                      <w:b/>
                      <w:sz w:val="20"/>
                    </w:rPr>
                  </w:pPr>
                  <w:r w:rsidRPr="00AD0464">
                    <w:rPr>
                      <w:b/>
                      <w:sz w:val="20"/>
                    </w:rPr>
                    <w:t>Aktuálny stav</w:t>
                  </w:r>
                </w:p>
              </w:tc>
              <w:tc>
                <w:tcPr>
                  <w:tcW w:w="222" w:type="dxa"/>
                  <w:tcBorders>
                    <w:top w:val="single" w:sz="4" w:space="0" w:color="auto"/>
                  </w:tcBorders>
                </w:tcPr>
                <w:p w14:paraId="78234E09" w14:textId="77777777" w:rsidR="00A00FBC" w:rsidRPr="00AD0464" w:rsidRDefault="00A00FBC" w:rsidP="00AD0464">
                  <w:pPr>
                    <w:spacing w:after="0" w:line="240" w:lineRule="auto"/>
                    <w:rPr>
                      <w:sz w:val="20"/>
                    </w:rPr>
                  </w:pPr>
                </w:p>
              </w:tc>
              <w:tc>
                <w:tcPr>
                  <w:tcW w:w="4326" w:type="dxa"/>
                  <w:tcBorders>
                    <w:top w:val="single" w:sz="4" w:space="0" w:color="auto"/>
                  </w:tcBorders>
                </w:tcPr>
                <w:p w14:paraId="7D75B53D" w14:textId="77777777" w:rsidR="00A00FBC" w:rsidRPr="00AD0464" w:rsidRDefault="00A00FBC" w:rsidP="00AD0464">
                  <w:pPr>
                    <w:spacing w:after="0" w:line="240" w:lineRule="auto"/>
                    <w:jc w:val="center"/>
                    <w:rPr>
                      <w:b/>
                      <w:sz w:val="20"/>
                    </w:rPr>
                  </w:pPr>
                  <w:r w:rsidRPr="00AD0464">
                    <w:rPr>
                      <w:b/>
                      <w:sz w:val="20"/>
                    </w:rPr>
                    <w:t>Návrh</w:t>
                  </w:r>
                </w:p>
              </w:tc>
            </w:tr>
            <w:tr w:rsidR="00A00FBC" w:rsidRPr="00CA2564" w14:paraId="7AE4085C" w14:textId="77777777" w:rsidTr="00821100">
              <w:tblPrEx>
                <w:tblCellMar>
                  <w:left w:w="70" w:type="dxa"/>
                  <w:right w:w="70" w:type="dxa"/>
                </w:tblCellMar>
              </w:tblPrEx>
              <w:tc>
                <w:tcPr>
                  <w:tcW w:w="4326" w:type="dxa"/>
                </w:tcPr>
                <w:p w14:paraId="2D3C8189" w14:textId="77777777" w:rsidR="00A00FBC" w:rsidRPr="00CA2564" w:rsidRDefault="00A00FBC" w:rsidP="00AD0464">
                  <w:pPr>
                    <w:spacing w:after="0" w:line="240" w:lineRule="auto"/>
                    <w:rPr>
                      <w:sz w:val="4"/>
                      <w:szCs w:val="4"/>
                    </w:rPr>
                  </w:pPr>
                </w:p>
                <w:p w14:paraId="05423073" w14:textId="7EBA5A42" w:rsidR="00A00FBC" w:rsidRPr="00CA2564" w:rsidRDefault="00821100" w:rsidP="00AD0464">
                  <w:pPr>
                    <w:spacing w:after="0" w:line="240" w:lineRule="auto"/>
                    <w:rPr>
                      <w:sz w:val="4"/>
                      <w:szCs w:val="4"/>
                    </w:rPr>
                  </w:pPr>
                  <w:r>
                    <w:rPr>
                      <w:noProof/>
                      <w:lang w:eastAsia="sk-SK"/>
                    </w:rPr>
                    <w:drawing>
                      <wp:inline distT="0" distB="0" distL="0" distR="0" wp14:anchorId="2B3F5F58" wp14:editId="234E04D5">
                        <wp:extent cx="2724150" cy="2667000"/>
                        <wp:effectExtent l="0" t="0" r="0" b="0"/>
                        <wp:docPr id="62" name="Graf 6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0000000-0008-0000-19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74970C9" w14:textId="77777777" w:rsidR="00A00FBC" w:rsidRPr="00CA2564" w:rsidRDefault="00A00FBC" w:rsidP="00AD0464">
                  <w:pPr>
                    <w:spacing w:after="0" w:line="240" w:lineRule="auto"/>
                    <w:rPr>
                      <w:sz w:val="4"/>
                      <w:szCs w:val="4"/>
                    </w:rPr>
                  </w:pPr>
                </w:p>
              </w:tc>
              <w:tc>
                <w:tcPr>
                  <w:tcW w:w="222" w:type="dxa"/>
                </w:tcPr>
                <w:p w14:paraId="3778B406" w14:textId="77777777" w:rsidR="00A00FBC" w:rsidRPr="00CA2564" w:rsidRDefault="00A00FBC" w:rsidP="00AD0464">
                  <w:pPr>
                    <w:spacing w:after="0" w:line="240" w:lineRule="auto"/>
                    <w:rPr>
                      <w:noProof/>
                      <w:sz w:val="4"/>
                      <w:szCs w:val="4"/>
                    </w:rPr>
                  </w:pPr>
                </w:p>
              </w:tc>
              <w:tc>
                <w:tcPr>
                  <w:tcW w:w="4326" w:type="dxa"/>
                </w:tcPr>
                <w:p w14:paraId="2C9F1E53" w14:textId="677BB3B2" w:rsidR="00A00FBC" w:rsidRPr="00CA2564" w:rsidRDefault="0070047D" w:rsidP="00AD0464">
                  <w:pPr>
                    <w:spacing w:after="0" w:line="240" w:lineRule="auto"/>
                    <w:rPr>
                      <w:noProof/>
                      <w:sz w:val="4"/>
                      <w:szCs w:val="4"/>
                    </w:rPr>
                  </w:pPr>
                  <w:r>
                    <w:rPr>
                      <w:noProof/>
                      <w:sz w:val="4"/>
                      <w:szCs w:val="4"/>
                    </w:rPr>
                    <w:t xml:space="preserve"> </w:t>
                  </w:r>
                </w:p>
                <w:p w14:paraId="6F5B2F50" w14:textId="27D2F253" w:rsidR="00A00FBC" w:rsidRPr="00CA2564" w:rsidRDefault="00821100" w:rsidP="00AD0464">
                  <w:pPr>
                    <w:spacing w:after="0" w:line="240" w:lineRule="auto"/>
                    <w:rPr>
                      <w:noProof/>
                      <w:sz w:val="4"/>
                      <w:szCs w:val="4"/>
                    </w:rPr>
                  </w:pPr>
                  <w:r>
                    <w:rPr>
                      <w:noProof/>
                      <w:lang w:eastAsia="sk-SK"/>
                    </w:rPr>
                    <w:drawing>
                      <wp:inline distT="0" distB="0" distL="0" distR="0" wp14:anchorId="6928DAA8" wp14:editId="349BF70D">
                        <wp:extent cx="2733675" cy="2638425"/>
                        <wp:effectExtent l="0" t="0" r="0" b="0"/>
                        <wp:docPr id="63" name="Graf 6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0000000-0008-0000-19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833161D" w14:textId="77777777" w:rsidR="00A00FBC" w:rsidRPr="00CA2564" w:rsidRDefault="00A00FBC" w:rsidP="00AD0464">
                  <w:pPr>
                    <w:spacing w:after="0" w:line="240" w:lineRule="auto"/>
                    <w:rPr>
                      <w:sz w:val="4"/>
                      <w:szCs w:val="4"/>
                    </w:rPr>
                  </w:pPr>
                </w:p>
              </w:tc>
            </w:tr>
            <w:tr w:rsidR="00A00FBC" w:rsidRPr="00CA2564" w14:paraId="2C952E08" w14:textId="77777777" w:rsidTr="00821100">
              <w:trPr>
                <w:trHeight w:val="180"/>
              </w:trPr>
              <w:tc>
                <w:tcPr>
                  <w:tcW w:w="4326" w:type="dxa"/>
                </w:tcPr>
                <w:p w14:paraId="1921A99C" w14:textId="77777777" w:rsidR="00A00FBC" w:rsidRPr="00AD0464" w:rsidRDefault="00A00FBC" w:rsidP="00AD0464">
                  <w:pPr>
                    <w:spacing w:after="0" w:line="240" w:lineRule="auto"/>
                    <w:jc w:val="right"/>
                    <w:rPr>
                      <w:bCs/>
                      <w:i/>
                      <w:noProof/>
                      <w:sz w:val="18"/>
                      <w:szCs w:val="18"/>
                    </w:rPr>
                  </w:pPr>
                  <w:r w:rsidRPr="00AD0464">
                    <w:rPr>
                      <w:i/>
                      <w:noProof/>
                      <w:sz w:val="18"/>
                      <w:szCs w:val="18"/>
                    </w:rPr>
                    <w:t>Zdroj: ÚHP</w:t>
                  </w:r>
                </w:p>
              </w:tc>
              <w:tc>
                <w:tcPr>
                  <w:tcW w:w="222" w:type="dxa"/>
                </w:tcPr>
                <w:p w14:paraId="3B7486A3" w14:textId="77777777" w:rsidR="00A00FBC" w:rsidRPr="00AD0464" w:rsidRDefault="00A00FBC" w:rsidP="00AD0464">
                  <w:pPr>
                    <w:spacing w:after="0" w:line="240" w:lineRule="auto"/>
                    <w:jc w:val="right"/>
                    <w:rPr>
                      <w:i/>
                      <w:noProof/>
                      <w:sz w:val="18"/>
                      <w:szCs w:val="18"/>
                    </w:rPr>
                  </w:pPr>
                </w:p>
              </w:tc>
              <w:tc>
                <w:tcPr>
                  <w:tcW w:w="4326" w:type="dxa"/>
                </w:tcPr>
                <w:p w14:paraId="005DE134" w14:textId="77777777" w:rsidR="00A00FBC" w:rsidRPr="00AD0464" w:rsidRDefault="00A00FBC" w:rsidP="00AD0464">
                  <w:pPr>
                    <w:spacing w:after="0" w:line="240" w:lineRule="auto"/>
                    <w:jc w:val="right"/>
                    <w:rPr>
                      <w:i/>
                      <w:noProof/>
                      <w:sz w:val="18"/>
                      <w:szCs w:val="18"/>
                    </w:rPr>
                  </w:pPr>
                  <w:r w:rsidRPr="00AD0464">
                    <w:rPr>
                      <w:i/>
                      <w:noProof/>
                      <w:sz w:val="18"/>
                      <w:szCs w:val="18"/>
                    </w:rPr>
                    <w:t>Zdroj: ÚHP</w:t>
                  </w:r>
                </w:p>
              </w:tc>
            </w:tr>
            <w:tr w:rsidR="00A00FBC" w:rsidRPr="00CA2564" w14:paraId="5C3ED9DF" w14:textId="77777777" w:rsidTr="00821100">
              <w:trPr>
                <w:trHeight w:val="230"/>
              </w:trPr>
              <w:tc>
                <w:tcPr>
                  <w:tcW w:w="8874" w:type="dxa"/>
                  <w:gridSpan w:val="3"/>
                  <w:tcBorders>
                    <w:bottom w:val="single" w:sz="4" w:space="0" w:color="auto"/>
                  </w:tcBorders>
                </w:tcPr>
                <w:p w14:paraId="7213ADD7" w14:textId="77777777" w:rsidR="00A00FBC" w:rsidRDefault="00A00FBC" w:rsidP="00AD0464">
                  <w:pPr>
                    <w:spacing w:after="0" w:line="240" w:lineRule="auto"/>
                    <w:jc w:val="center"/>
                    <w:rPr>
                      <w:b/>
                      <w:sz w:val="20"/>
                    </w:rPr>
                  </w:pPr>
                </w:p>
                <w:p w14:paraId="036BDE61" w14:textId="77777777" w:rsidR="00A00FBC" w:rsidRPr="00AD0464" w:rsidRDefault="00A00FBC" w:rsidP="00AD0464">
                  <w:pPr>
                    <w:spacing w:after="0" w:line="240" w:lineRule="auto"/>
                    <w:jc w:val="center"/>
                    <w:rPr>
                      <w:b/>
                      <w:sz w:val="20"/>
                    </w:rPr>
                  </w:pPr>
                  <w:r w:rsidRPr="00AD0464">
                    <w:rPr>
                      <w:b/>
                      <w:sz w:val="20"/>
                    </w:rPr>
                    <w:t>Domácnosť páru s rôznym počtom detí</w:t>
                  </w:r>
                </w:p>
              </w:tc>
            </w:tr>
            <w:tr w:rsidR="00A00FBC" w:rsidRPr="00CA2564" w14:paraId="0922A16F" w14:textId="77777777" w:rsidTr="00821100">
              <w:tc>
                <w:tcPr>
                  <w:tcW w:w="4326" w:type="dxa"/>
                  <w:tcBorders>
                    <w:top w:val="single" w:sz="4" w:space="0" w:color="auto"/>
                  </w:tcBorders>
                </w:tcPr>
                <w:p w14:paraId="72392769" w14:textId="77777777" w:rsidR="00A00FBC" w:rsidRPr="00AD0464" w:rsidRDefault="00A00FBC" w:rsidP="00AD0464">
                  <w:pPr>
                    <w:spacing w:after="0" w:line="240" w:lineRule="auto"/>
                    <w:jc w:val="center"/>
                    <w:rPr>
                      <w:b/>
                      <w:sz w:val="20"/>
                    </w:rPr>
                  </w:pPr>
                  <w:r w:rsidRPr="00AD0464">
                    <w:rPr>
                      <w:b/>
                      <w:sz w:val="20"/>
                    </w:rPr>
                    <w:t>Aktuálny stav</w:t>
                  </w:r>
                </w:p>
              </w:tc>
              <w:tc>
                <w:tcPr>
                  <w:tcW w:w="222" w:type="dxa"/>
                  <w:tcBorders>
                    <w:top w:val="single" w:sz="4" w:space="0" w:color="auto"/>
                  </w:tcBorders>
                </w:tcPr>
                <w:p w14:paraId="15A9DA76" w14:textId="77777777" w:rsidR="00A00FBC" w:rsidRPr="00AD0464" w:rsidRDefault="00A00FBC" w:rsidP="00AD0464">
                  <w:pPr>
                    <w:spacing w:after="0" w:line="240" w:lineRule="auto"/>
                    <w:rPr>
                      <w:sz w:val="20"/>
                    </w:rPr>
                  </w:pPr>
                </w:p>
              </w:tc>
              <w:tc>
                <w:tcPr>
                  <w:tcW w:w="4326" w:type="dxa"/>
                  <w:tcBorders>
                    <w:top w:val="single" w:sz="4" w:space="0" w:color="auto"/>
                  </w:tcBorders>
                </w:tcPr>
                <w:p w14:paraId="302EA953" w14:textId="77777777" w:rsidR="00A00FBC" w:rsidRPr="00AD0464" w:rsidRDefault="00A00FBC" w:rsidP="00AD0464">
                  <w:pPr>
                    <w:spacing w:after="0" w:line="240" w:lineRule="auto"/>
                    <w:jc w:val="center"/>
                    <w:rPr>
                      <w:b/>
                      <w:sz w:val="20"/>
                    </w:rPr>
                  </w:pPr>
                  <w:r w:rsidRPr="00AD0464">
                    <w:rPr>
                      <w:b/>
                      <w:sz w:val="20"/>
                    </w:rPr>
                    <w:t>Návrh</w:t>
                  </w:r>
                </w:p>
              </w:tc>
            </w:tr>
            <w:tr w:rsidR="00A00FBC" w:rsidRPr="00CA2564" w14:paraId="55B9492A" w14:textId="77777777" w:rsidTr="00821100">
              <w:tblPrEx>
                <w:tblCellMar>
                  <w:left w:w="70" w:type="dxa"/>
                  <w:right w:w="70" w:type="dxa"/>
                </w:tblCellMar>
              </w:tblPrEx>
              <w:tc>
                <w:tcPr>
                  <w:tcW w:w="4326" w:type="dxa"/>
                </w:tcPr>
                <w:p w14:paraId="1097CF5B" w14:textId="77777777" w:rsidR="00A00FBC" w:rsidRPr="00CA2564" w:rsidRDefault="00A00FBC" w:rsidP="00AD0464">
                  <w:pPr>
                    <w:spacing w:after="0" w:line="240" w:lineRule="auto"/>
                    <w:rPr>
                      <w:sz w:val="4"/>
                      <w:szCs w:val="4"/>
                    </w:rPr>
                  </w:pPr>
                </w:p>
                <w:p w14:paraId="2AFA9A18" w14:textId="4C7AF229" w:rsidR="00A00FBC" w:rsidRPr="00CA2564" w:rsidRDefault="00821100" w:rsidP="00AD0464">
                  <w:pPr>
                    <w:spacing w:after="0" w:line="240" w:lineRule="auto"/>
                    <w:rPr>
                      <w:sz w:val="4"/>
                      <w:szCs w:val="4"/>
                    </w:rPr>
                  </w:pPr>
                  <w:r>
                    <w:rPr>
                      <w:noProof/>
                      <w:lang w:eastAsia="sk-SK"/>
                    </w:rPr>
                    <w:drawing>
                      <wp:inline distT="0" distB="0" distL="0" distR="0" wp14:anchorId="2F3B25A8" wp14:editId="54FA3BA0">
                        <wp:extent cx="2724150" cy="2667000"/>
                        <wp:effectExtent l="0" t="0" r="0" b="0"/>
                        <wp:docPr id="301" name="Graf 30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0000000-0008-0000-19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AF661DC" w14:textId="77777777" w:rsidR="00A00FBC" w:rsidRPr="00CA2564" w:rsidRDefault="00A00FBC" w:rsidP="00AD0464">
                  <w:pPr>
                    <w:spacing w:after="0" w:line="240" w:lineRule="auto"/>
                    <w:rPr>
                      <w:sz w:val="4"/>
                      <w:szCs w:val="4"/>
                    </w:rPr>
                  </w:pPr>
                </w:p>
              </w:tc>
              <w:tc>
                <w:tcPr>
                  <w:tcW w:w="222" w:type="dxa"/>
                </w:tcPr>
                <w:p w14:paraId="09151848" w14:textId="77777777" w:rsidR="00A00FBC" w:rsidRPr="00CA2564" w:rsidRDefault="00A00FBC" w:rsidP="00AD0464">
                  <w:pPr>
                    <w:spacing w:after="0" w:line="240" w:lineRule="auto"/>
                    <w:rPr>
                      <w:noProof/>
                      <w:sz w:val="4"/>
                      <w:szCs w:val="4"/>
                    </w:rPr>
                  </w:pPr>
                </w:p>
              </w:tc>
              <w:tc>
                <w:tcPr>
                  <w:tcW w:w="4326" w:type="dxa"/>
                </w:tcPr>
                <w:p w14:paraId="0951303E" w14:textId="77777777" w:rsidR="00A00FBC" w:rsidRPr="00CA2564" w:rsidRDefault="00A00FBC" w:rsidP="00AD0464">
                  <w:pPr>
                    <w:spacing w:after="0" w:line="240" w:lineRule="auto"/>
                    <w:rPr>
                      <w:noProof/>
                      <w:sz w:val="4"/>
                      <w:szCs w:val="4"/>
                    </w:rPr>
                  </w:pPr>
                  <w:r w:rsidRPr="00CA2564">
                    <w:rPr>
                      <w:noProof/>
                      <w:sz w:val="4"/>
                      <w:szCs w:val="4"/>
                    </w:rPr>
                    <w:t xml:space="preserve"> </w:t>
                  </w:r>
                </w:p>
                <w:p w14:paraId="0AB462D7" w14:textId="1DAC0E84" w:rsidR="00A00FBC" w:rsidRPr="00CA2564" w:rsidRDefault="00821100" w:rsidP="00AD0464">
                  <w:pPr>
                    <w:spacing w:after="0" w:line="240" w:lineRule="auto"/>
                    <w:rPr>
                      <w:noProof/>
                      <w:sz w:val="4"/>
                      <w:szCs w:val="4"/>
                    </w:rPr>
                  </w:pPr>
                  <w:r>
                    <w:rPr>
                      <w:noProof/>
                      <w:lang w:eastAsia="sk-SK"/>
                    </w:rPr>
                    <w:drawing>
                      <wp:inline distT="0" distB="0" distL="0" distR="0" wp14:anchorId="16A32F21" wp14:editId="0C521919">
                        <wp:extent cx="2724150" cy="2657475"/>
                        <wp:effectExtent l="0" t="0" r="0" b="0"/>
                        <wp:docPr id="303" name="Graf 30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0000000-0008-0000-19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45407AF1" w14:textId="77777777" w:rsidR="00A00FBC" w:rsidRPr="00CA2564" w:rsidRDefault="00A00FBC" w:rsidP="00AD0464">
                  <w:pPr>
                    <w:spacing w:after="0" w:line="240" w:lineRule="auto"/>
                    <w:rPr>
                      <w:sz w:val="4"/>
                      <w:szCs w:val="4"/>
                    </w:rPr>
                  </w:pPr>
                </w:p>
              </w:tc>
            </w:tr>
            <w:tr w:rsidR="00A00FBC" w:rsidRPr="00CA2564" w14:paraId="53BDEF3B" w14:textId="77777777" w:rsidTr="00821100">
              <w:trPr>
                <w:trHeight w:val="180"/>
              </w:trPr>
              <w:tc>
                <w:tcPr>
                  <w:tcW w:w="4326" w:type="dxa"/>
                </w:tcPr>
                <w:p w14:paraId="4038B363" w14:textId="77777777" w:rsidR="00A00FBC" w:rsidRPr="00AD0464" w:rsidRDefault="00A00FBC" w:rsidP="00AD0464">
                  <w:pPr>
                    <w:spacing w:after="0" w:line="240" w:lineRule="auto"/>
                    <w:jc w:val="right"/>
                    <w:rPr>
                      <w:i/>
                      <w:noProof/>
                      <w:sz w:val="18"/>
                      <w:szCs w:val="18"/>
                    </w:rPr>
                  </w:pPr>
                  <w:r w:rsidRPr="00AD0464">
                    <w:rPr>
                      <w:i/>
                      <w:noProof/>
                      <w:sz w:val="18"/>
                      <w:szCs w:val="18"/>
                    </w:rPr>
                    <w:t>Zdroj: ÚHP</w:t>
                  </w:r>
                </w:p>
              </w:tc>
              <w:tc>
                <w:tcPr>
                  <w:tcW w:w="222" w:type="dxa"/>
                </w:tcPr>
                <w:p w14:paraId="5A46C2B7" w14:textId="77777777" w:rsidR="00A00FBC" w:rsidRPr="00AD0464" w:rsidRDefault="00A00FBC" w:rsidP="00AD0464">
                  <w:pPr>
                    <w:spacing w:after="0" w:line="240" w:lineRule="auto"/>
                    <w:jc w:val="right"/>
                    <w:rPr>
                      <w:i/>
                      <w:noProof/>
                      <w:sz w:val="18"/>
                      <w:szCs w:val="18"/>
                    </w:rPr>
                  </w:pPr>
                </w:p>
              </w:tc>
              <w:tc>
                <w:tcPr>
                  <w:tcW w:w="4326" w:type="dxa"/>
                </w:tcPr>
                <w:p w14:paraId="67A8D9F1" w14:textId="77777777" w:rsidR="00A00FBC" w:rsidRPr="00AD0464" w:rsidRDefault="00A00FBC" w:rsidP="00AD0464">
                  <w:pPr>
                    <w:spacing w:after="0" w:line="240" w:lineRule="auto"/>
                    <w:jc w:val="right"/>
                    <w:rPr>
                      <w:i/>
                      <w:noProof/>
                      <w:sz w:val="18"/>
                      <w:szCs w:val="18"/>
                    </w:rPr>
                  </w:pPr>
                  <w:r w:rsidRPr="00AD0464">
                    <w:rPr>
                      <w:i/>
                      <w:noProof/>
                      <w:sz w:val="18"/>
                      <w:szCs w:val="18"/>
                    </w:rPr>
                    <w:t>Zdroj: ÚHP</w:t>
                  </w:r>
                </w:p>
              </w:tc>
            </w:tr>
          </w:tbl>
          <w:p w14:paraId="733EE094" w14:textId="2EFA41C8" w:rsidR="00201AFA" w:rsidRDefault="00A850AD" w:rsidP="005C6EAA">
            <w:pPr>
              <w:spacing w:before="160"/>
            </w:pPr>
            <w:r w:rsidRPr="00CA2564">
              <w:t xml:space="preserve">Z návrhu </w:t>
            </w:r>
            <w:r w:rsidR="00B24660">
              <w:t>vyplýva</w:t>
            </w:r>
            <w:r w:rsidRPr="00CA2564">
              <w:t xml:space="preserve"> zvýšenie nárokov na pomoc v hmotnej núdzi bez príspevku na bývanie o </w:t>
            </w:r>
            <w:r w:rsidR="00C943A9">
              <w:t>9</w:t>
            </w:r>
            <w:r w:rsidRPr="00CA2564">
              <w:t xml:space="preserve"> % až </w:t>
            </w:r>
            <w:r w:rsidR="00303863">
              <w:t>2</w:t>
            </w:r>
            <w:r w:rsidR="00821100">
              <w:t>6</w:t>
            </w:r>
            <w:r w:rsidRPr="00CA2564">
              <w:t xml:space="preserve"> % v závislosti od typu domácnosti. Najvyšší nárast by zaznamenali jednotlivci </w:t>
            </w:r>
            <w:r w:rsidR="00C943A9">
              <w:t>so št</w:t>
            </w:r>
            <w:r w:rsidR="005D0AE5">
              <w:t>y</w:t>
            </w:r>
            <w:r w:rsidR="00C943A9">
              <w:t>rmi deťmi</w:t>
            </w:r>
            <w:r w:rsidRPr="00CA2564">
              <w:t xml:space="preserve">, najmenší páry </w:t>
            </w:r>
            <w:r w:rsidR="00C943A9">
              <w:t>bez detí a jednotlivci bez detí</w:t>
            </w:r>
            <w:r w:rsidRPr="00CA2564">
              <w:t xml:space="preserve">. </w:t>
            </w:r>
            <w:r w:rsidRPr="00F322D1">
              <w:t xml:space="preserve">Priemerný nárast </w:t>
            </w:r>
            <w:r w:rsidR="00E04659" w:rsidRPr="00F322D1">
              <w:t xml:space="preserve">nárokov </w:t>
            </w:r>
            <w:r w:rsidRPr="00F322D1">
              <w:t xml:space="preserve">po zohľadnení štruktúry domácností v systéme pomoci v hmotnej núdzi v roku 2018 by bol okolo </w:t>
            </w:r>
            <w:r w:rsidR="00303863" w:rsidRPr="00F322D1">
              <w:t>1</w:t>
            </w:r>
            <w:r w:rsidR="00F322D1" w:rsidRPr="00D41517">
              <w:t>1</w:t>
            </w:r>
            <w:r w:rsidRPr="00F322D1">
              <w:t xml:space="preserve"> %</w:t>
            </w:r>
            <w:r w:rsidR="00303863" w:rsidRPr="00F322D1">
              <w:t>, v rodinách s deťmi o 1</w:t>
            </w:r>
            <w:r w:rsidR="00F322D1" w:rsidRPr="00D41517">
              <w:t>4</w:t>
            </w:r>
            <w:r w:rsidR="00303863" w:rsidRPr="00F322D1">
              <w:t xml:space="preserve"> %</w:t>
            </w:r>
            <w:r w:rsidRPr="00F322D1">
              <w:t>.</w:t>
            </w:r>
          </w:p>
          <w:p w14:paraId="29358910" w14:textId="5D91E755" w:rsidR="00A00FBC" w:rsidRDefault="00213037" w:rsidP="005C6EAA">
            <w:pPr>
              <w:spacing w:before="160"/>
            </w:pPr>
            <w:r>
              <w:t>Opatrenie by pomohlo mierne</w:t>
            </w:r>
            <w:r w:rsidR="00847FBE">
              <w:t>, ale viditeľne znížiť hĺ</w:t>
            </w:r>
            <w:r>
              <w:t xml:space="preserve">bku chudoby detí, ktorá je na Slovensku výrazne nad priemerom EÚ aj okolitých </w:t>
            </w:r>
            <w:r w:rsidRPr="00347E76">
              <w:rPr>
                <w:szCs w:val="22"/>
              </w:rPr>
              <w:t>krajín (</w:t>
            </w:r>
            <w:r w:rsidRPr="00347E76">
              <w:rPr>
                <w:szCs w:val="22"/>
              </w:rPr>
              <w:fldChar w:fldCharType="begin"/>
            </w:r>
            <w:r w:rsidRPr="00CE4B44">
              <w:rPr>
                <w:szCs w:val="22"/>
              </w:rPr>
              <w:instrText xml:space="preserve"> REF _Ref15634836 \h </w:instrText>
            </w:r>
            <w:r>
              <w:rPr>
                <w:szCs w:val="22"/>
              </w:rPr>
              <w:instrText xml:space="preserve"> \* MERGEFORMAT </w:instrText>
            </w:r>
            <w:r w:rsidRPr="00347E76">
              <w:rPr>
                <w:szCs w:val="22"/>
              </w:rPr>
            </w:r>
            <w:r w:rsidRPr="00347E76">
              <w:rPr>
                <w:szCs w:val="22"/>
              </w:rPr>
              <w:fldChar w:fldCharType="separate"/>
            </w:r>
            <w:r w:rsidR="00FA29AF" w:rsidRPr="00FA29AF">
              <w:rPr>
                <w:szCs w:val="22"/>
              </w:rPr>
              <w:t xml:space="preserve">Graf </w:t>
            </w:r>
            <w:r w:rsidR="00FA29AF" w:rsidRPr="00FA29AF">
              <w:rPr>
                <w:noProof/>
                <w:szCs w:val="22"/>
              </w:rPr>
              <w:t>56</w:t>
            </w:r>
            <w:r w:rsidRPr="00347E76">
              <w:rPr>
                <w:szCs w:val="22"/>
              </w:rPr>
              <w:fldChar w:fldCharType="end"/>
            </w:r>
            <w:r w:rsidRPr="00347E76">
              <w:rPr>
                <w:szCs w:val="22"/>
              </w:rPr>
              <w:t>).</w:t>
            </w:r>
            <w:r>
              <w:rPr>
                <w:szCs w:val="22"/>
              </w:rPr>
              <w:t xml:space="preserve"> Podľa odhadu na základe</w:t>
            </w:r>
            <w:r w:rsidR="00847FBE">
              <w:rPr>
                <w:szCs w:val="22"/>
              </w:rPr>
              <w:t xml:space="preserve"> jednotkových údajov EU SILC by </w:t>
            </w:r>
            <w:r>
              <w:rPr>
                <w:szCs w:val="22"/>
              </w:rPr>
              <w:t>navrhované zvýšenie PHN viedlo k zníženiu hĺbky chudoby detí o 4 % až 6 % (1,3 p.b. až 1,8 p.b.) v závislosti od veku.</w:t>
            </w:r>
            <w:r>
              <w:t xml:space="preserve"> </w:t>
            </w:r>
          </w:p>
          <w:p w14:paraId="2852653E" w14:textId="11B0C80E" w:rsidR="00A850AD" w:rsidRPr="00CA2564" w:rsidRDefault="00A00FBC" w:rsidP="004D5CFE">
            <w:r w:rsidRPr="001D6156">
              <w:t>Motivácia pracovať oproti poberaniu sociálnej pomoci meraná tzv. pascou i</w:t>
            </w:r>
            <w:r w:rsidR="00C54962">
              <w:t>naktivity zostáva pri realizácii</w:t>
            </w:r>
            <w:r w:rsidRPr="001D6156">
              <w:t xml:space="preserve"> návrhu vysoká. Pre domácnosti s deťmi sa oproti poberaniu dávok oplatí pracovať výrazne viac ako pre bezdetné domácnosti</w:t>
            </w:r>
            <w:r>
              <w:t>. Pasca inaktivity je v prípade rodičov negatívna, čo znamená, že na sociálnych dávkach získajú viac keď pracujú ako keď sú nezamestnaní alebo neaktívni.</w:t>
            </w:r>
            <w:r w:rsidRPr="001D6156">
              <w:t xml:space="preserve"> </w:t>
            </w:r>
            <w:r>
              <w:t xml:space="preserve">Navrhované opatrenia revízie výrazne zvýšia motiváciu pracovať v prípade osamelých rodičov. Motivácia v prípade dvojíc s deťmi sa mierne zníži ale pasca inaktivity aj v ich prípade zostane negatívna </w:t>
            </w:r>
            <w:r w:rsidRPr="001D6156">
              <w:t>(</w:t>
            </w:r>
            <w:r w:rsidR="004D5CFE" w:rsidRPr="004D5CFE">
              <w:rPr>
                <w:rFonts w:eastAsia="Arial Narrow" w:cs="Arial Narrow"/>
                <w:color w:val="000000"/>
              </w:rPr>
              <w:fldChar w:fldCharType="begin"/>
            </w:r>
            <w:r w:rsidR="004D5CFE" w:rsidRPr="004D5CFE">
              <w:rPr>
                <w:rFonts w:eastAsia="Arial Narrow" w:cs="Arial Narrow"/>
                <w:color w:val="000000"/>
              </w:rPr>
              <w:instrText xml:space="preserve"> REF _Ref34320398 \h </w:instrText>
            </w:r>
            <w:r w:rsidR="004D5CFE">
              <w:rPr>
                <w:rFonts w:eastAsia="Arial Narrow" w:cs="Arial Narrow"/>
                <w:color w:val="000000"/>
              </w:rPr>
              <w:instrText xml:space="preserve"> \* MERGEFORMAT </w:instrText>
            </w:r>
            <w:r w:rsidR="004D5CFE" w:rsidRPr="004D5CFE">
              <w:rPr>
                <w:rFonts w:eastAsia="Arial Narrow" w:cs="Arial Narrow"/>
                <w:color w:val="000000"/>
              </w:rPr>
            </w:r>
            <w:r w:rsidR="004D5CFE" w:rsidRPr="004D5CFE">
              <w:rPr>
                <w:rFonts w:eastAsia="Arial Narrow" w:cs="Arial Narrow"/>
                <w:color w:val="000000"/>
              </w:rPr>
              <w:fldChar w:fldCharType="separate"/>
            </w:r>
            <w:r w:rsidR="00FA29AF" w:rsidRPr="00FA29AF">
              <w:rPr>
                <w:rFonts w:eastAsia="Arial Narrow" w:cs="Arial Narrow"/>
                <w:color w:val="000000"/>
              </w:rPr>
              <w:t>Príloha 36</w:t>
            </w:r>
            <w:r w:rsidR="004D5CFE" w:rsidRPr="004D5CFE">
              <w:rPr>
                <w:rFonts w:eastAsia="Arial Narrow" w:cs="Arial Narrow"/>
                <w:color w:val="000000"/>
              </w:rPr>
              <w:fldChar w:fldCharType="end"/>
            </w:r>
            <w:r w:rsidRPr="00BE6270">
              <w:t>)</w:t>
            </w:r>
            <w:r w:rsidRPr="001D6156">
              <w:t>.</w:t>
            </w:r>
            <w:r>
              <w:rPr>
                <w:rStyle w:val="Odkaznapoznmkupodiarou"/>
              </w:rPr>
              <w:footnoteReference w:id="369"/>
            </w:r>
          </w:p>
        </w:tc>
      </w:tr>
    </w:tbl>
    <w:p w14:paraId="4F4F89AE" w14:textId="5F2E2C2B" w:rsidR="007E0579" w:rsidRPr="00CA2564" w:rsidRDefault="0002318F" w:rsidP="00A850AD">
      <w:pPr>
        <w:spacing w:before="240"/>
        <w:rPr>
          <w:color w:val="0070C0"/>
        </w:rPr>
      </w:pPr>
      <w:r>
        <w:rPr>
          <w:color w:val="0070C0"/>
        </w:rPr>
        <w:t xml:space="preserve">Dostupnosť </w:t>
      </w:r>
      <w:r w:rsidR="00F032C2">
        <w:rPr>
          <w:color w:val="0070C0"/>
        </w:rPr>
        <w:t>zásluhovej</w:t>
      </w:r>
      <w:r>
        <w:rPr>
          <w:color w:val="0070C0"/>
        </w:rPr>
        <w:t xml:space="preserve"> zložky pomoci v hmotnej núdzi</w:t>
      </w:r>
    </w:p>
    <w:p w14:paraId="392BF9C1" w14:textId="03BCC92F" w:rsidR="00463BF0" w:rsidRDefault="007E0579" w:rsidP="007E0579">
      <w:pPr>
        <w:spacing w:before="160"/>
      </w:pPr>
      <w:r w:rsidRPr="00CA2564">
        <w:rPr>
          <w:b/>
        </w:rPr>
        <w:t xml:space="preserve">Aktivačný príspevok je podmienený </w:t>
      </w:r>
      <w:r w:rsidR="00463BF0">
        <w:rPr>
          <w:b/>
        </w:rPr>
        <w:t>prácou alebo zaradením do evide</w:t>
      </w:r>
      <w:r w:rsidR="00C54962">
        <w:rPr>
          <w:b/>
        </w:rPr>
        <w:t>ncie uchádzačov o zamestnanie a </w:t>
      </w:r>
      <w:r w:rsidRPr="00CA2564">
        <w:rPr>
          <w:b/>
        </w:rPr>
        <w:t>účasťou na niektorej z vymedzených aktivačných činností (</w:t>
      </w:r>
      <w:r w:rsidR="007C6209">
        <w:rPr>
          <w:b/>
          <w:highlight w:val="yellow"/>
        </w:rPr>
        <w:fldChar w:fldCharType="begin"/>
      </w:r>
      <w:r w:rsidR="007C6209">
        <w:rPr>
          <w:b/>
        </w:rPr>
        <w:instrText xml:space="preserve"> REF _Ref21087806 \h </w:instrText>
      </w:r>
      <w:r w:rsidR="007C6209">
        <w:rPr>
          <w:b/>
          <w:highlight w:val="yellow"/>
        </w:rPr>
      </w:r>
      <w:r w:rsidR="007C6209">
        <w:rPr>
          <w:b/>
          <w:highlight w:val="yellow"/>
        </w:rPr>
        <w:fldChar w:fldCharType="separate"/>
      </w:r>
      <w:r w:rsidR="00FA29AF" w:rsidRPr="0077220E">
        <w:rPr>
          <w:b/>
          <w:bCs/>
          <w:iCs/>
        </w:rPr>
        <w:t xml:space="preserve">Box </w:t>
      </w:r>
      <w:r w:rsidR="00FA29AF">
        <w:rPr>
          <w:b/>
          <w:bCs/>
          <w:iCs/>
          <w:noProof/>
        </w:rPr>
        <w:t>18</w:t>
      </w:r>
      <w:r w:rsidR="007C6209">
        <w:rPr>
          <w:b/>
          <w:highlight w:val="yellow"/>
        </w:rPr>
        <w:fldChar w:fldCharType="end"/>
      </w:r>
      <w:r w:rsidRPr="00CA2564">
        <w:rPr>
          <w:b/>
        </w:rPr>
        <w:t>)</w:t>
      </w:r>
      <w:r w:rsidR="00463BF0">
        <w:rPr>
          <w:b/>
        </w:rPr>
        <w:t>.</w:t>
      </w:r>
      <w:r w:rsidRPr="00CA2564">
        <w:rPr>
          <w:b/>
        </w:rPr>
        <w:t xml:space="preserve"> </w:t>
      </w:r>
      <w:r w:rsidR="00463BF0">
        <w:rPr>
          <w:b/>
        </w:rPr>
        <w:t>P</w:t>
      </w:r>
      <w:r w:rsidRPr="00CA2564">
        <w:rPr>
          <w:b/>
        </w:rPr>
        <w:t xml:space="preserve">re mnohých ľudí v systéme PHN predstavuje jediný spôsob, ako zvýšiť svoj príjem. </w:t>
      </w:r>
      <w:r w:rsidRPr="00CA2564">
        <w:t>Kým v kontexte AOTP je vhodné hodnotiť aktivačnú činnosť na základe efektivity v dosahovaní zvýšenej uplatniteľnosti na trhu práce, v kontexte sociálnej pomoci je potrebné hodnotiť prístup ohrozených ľudí k príležitostiam zlepšiť svoju sociálnu situáciu.</w:t>
      </w:r>
    </w:p>
    <w:p w14:paraId="511F5E61" w14:textId="24BF39CE" w:rsidR="00A34060" w:rsidRPr="00CA2564" w:rsidRDefault="00463BF0" w:rsidP="007E0579">
      <w:pPr>
        <w:spacing w:before="160"/>
      </w:pPr>
      <w:r>
        <w:rPr>
          <w:b/>
        </w:rPr>
        <w:t>A</w:t>
      </w:r>
      <w:r w:rsidR="007E0579" w:rsidRPr="00CA2564">
        <w:rPr>
          <w:b/>
        </w:rPr>
        <w:t xml:space="preserve">ktivačný príspevok </w:t>
      </w:r>
      <w:r>
        <w:rPr>
          <w:b/>
        </w:rPr>
        <w:t xml:space="preserve">dostáva iba približne každý druhý uchádzač </w:t>
      </w:r>
      <w:r w:rsidR="007E0579" w:rsidRPr="00CA2564">
        <w:rPr>
          <w:b/>
        </w:rPr>
        <w:t>o zamestnanie v systéme PHN, väčšinou z titulu účasti na aktivačných prácach</w:t>
      </w:r>
      <w:r w:rsidR="007E0579" w:rsidRPr="00CA2564">
        <w:t xml:space="preserve"> </w:t>
      </w:r>
      <w:r w:rsidR="007E0579" w:rsidRPr="00FA6D66">
        <w:t>(</w:t>
      </w:r>
      <w:r w:rsidR="00FA6D66" w:rsidRPr="00FA6D66">
        <w:rPr>
          <w:highlight w:val="yellow"/>
        </w:rPr>
        <w:fldChar w:fldCharType="begin"/>
      </w:r>
      <w:r w:rsidR="00FA6D66" w:rsidRPr="00FA6D66">
        <w:instrText xml:space="preserve"> REF _Ref524090971 \h </w:instrText>
      </w:r>
      <w:r w:rsidR="00FA6D66" w:rsidRPr="00FA6D66">
        <w:rPr>
          <w:highlight w:val="yellow"/>
        </w:rPr>
        <w:instrText xml:space="preserve"> \* MERGEFORMAT </w:instrText>
      </w:r>
      <w:r w:rsidR="00FA6D66" w:rsidRPr="00FA6D66">
        <w:rPr>
          <w:highlight w:val="yellow"/>
        </w:rPr>
      </w:r>
      <w:r w:rsidR="00FA6D66" w:rsidRPr="00FA6D66">
        <w:rPr>
          <w:highlight w:val="yellow"/>
        </w:rPr>
        <w:fldChar w:fldCharType="separate"/>
      </w:r>
      <w:r w:rsidR="00FA29AF" w:rsidRPr="00FA29AF">
        <w:t xml:space="preserve">Graf </w:t>
      </w:r>
      <w:r w:rsidR="00FA29AF" w:rsidRPr="00FA29AF">
        <w:rPr>
          <w:noProof/>
        </w:rPr>
        <w:t>49</w:t>
      </w:r>
      <w:r w:rsidR="00FA6D66" w:rsidRPr="00FA6D66">
        <w:rPr>
          <w:highlight w:val="yellow"/>
        </w:rPr>
        <w:fldChar w:fldCharType="end"/>
      </w:r>
      <w:r w:rsidR="007E0579" w:rsidRPr="00FA6D66">
        <w:t>). Po</w:t>
      </w:r>
      <w:r>
        <w:t>diel</w:t>
      </w:r>
      <w:r w:rsidR="007E0579" w:rsidRPr="00CA2564">
        <w:t xml:space="preserve"> </w:t>
      </w:r>
      <w:r>
        <w:t xml:space="preserve">UoZ v systéme </w:t>
      </w:r>
      <w:r w:rsidR="00C54962">
        <w:t>PHN, ktorí spĺňajú podmienky na </w:t>
      </w:r>
      <w:r>
        <w:t>získanie aktivačného príspevku časom rastie.</w:t>
      </w:r>
      <w:r w:rsidR="007E0579" w:rsidRPr="00CA2564">
        <w:t xml:space="preserve"> Dôvodom môže byť aj pokles v absolútnom počte UoZ v systéme PHN z vyše 171-tisíc v roku 2013 na 59-tisíc v roku 2018</w:t>
      </w:r>
      <w:r w:rsidR="00F31E9B">
        <w:t xml:space="preserve"> a</w:t>
      </w:r>
      <w:r w:rsidR="003A7231">
        <w:t>ko aj</w:t>
      </w:r>
      <w:r w:rsidR="00F31E9B">
        <w:t xml:space="preserve"> zmena štruktúry UoZ v systéme PHN.</w:t>
      </w:r>
    </w:p>
    <w:tbl>
      <w:tblPr>
        <w:tblW w:w="0" w:type="auto"/>
        <w:tblLayout w:type="fixed"/>
        <w:tblLook w:val="04E0" w:firstRow="1" w:lastRow="1" w:firstColumn="1" w:lastColumn="0" w:noHBand="0" w:noVBand="1"/>
      </w:tblPr>
      <w:tblGrid>
        <w:gridCol w:w="3960"/>
        <w:gridCol w:w="270"/>
        <w:gridCol w:w="4842"/>
      </w:tblGrid>
      <w:tr w:rsidR="007E0579" w:rsidRPr="00BF3599" w14:paraId="082873E2" w14:textId="77777777" w:rsidTr="008E4D9D">
        <w:tc>
          <w:tcPr>
            <w:tcW w:w="3960" w:type="dxa"/>
            <w:tcBorders>
              <w:bottom w:val="single" w:sz="4" w:space="0" w:color="auto"/>
            </w:tcBorders>
          </w:tcPr>
          <w:p w14:paraId="7E6852A5" w14:textId="56B8E78D" w:rsidR="007E0579" w:rsidRPr="008E4D9D" w:rsidRDefault="007E0579" w:rsidP="008E4D9D">
            <w:pPr>
              <w:spacing w:after="0" w:line="240" w:lineRule="auto"/>
              <w:rPr>
                <w:b/>
                <w:sz w:val="20"/>
              </w:rPr>
            </w:pPr>
            <w:bookmarkStart w:id="856" w:name="_Ref524090971"/>
            <w:bookmarkStart w:id="857" w:name="_Toc17469420"/>
            <w:bookmarkStart w:id="858" w:name="_Toc34157607"/>
            <w:r w:rsidRPr="008E4D9D">
              <w:rPr>
                <w:b/>
                <w:sz w:val="20"/>
              </w:rPr>
              <w:t xml:space="preserve">Graf </w:t>
            </w:r>
            <w:r w:rsidRPr="008E4D9D">
              <w:rPr>
                <w:b/>
                <w:sz w:val="20"/>
              </w:rPr>
              <w:fldChar w:fldCharType="begin"/>
            </w:r>
            <w:r w:rsidRPr="008E4D9D">
              <w:rPr>
                <w:b/>
                <w:sz w:val="20"/>
              </w:rPr>
              <w:instrText xml:space="preserve"> SEQ Graf \* ARABIC </w:instrText>
            </w:r>
            <w:r w:rsidRPr="008E4D9D">
              <w:rPr>
                <w:b/>
                <w:sz w:val="20"/>
              </w:rPr>
              <w:fldChar w:fldCharType="separate"/>
            </w:r>
            <w:r w:rsidR="00FA29AF">
              <w:rPr>
                <w:b/>
                <w:noProof/>
                <w:sz w:val="20"/>
              </w:rPr>
              <w:t>49</w:t>
            </w:r>
            <w:r w:rsidRPr="008E4D9D">
              <w:rPr>
                <w:b/>
                <w:sz w:val="20"/>
              </w:rPr>
              <w:fldChar w:fldCharType="end"/>
            </w:r>
            <w:bookmarkEnd w:id="856"/>
            <w:r w:rsidRPr="008E4D9D">
              <w:rPr>
                <w:b/>
                <w:iCs/>
                <w:sz w:val="20"/>
              </w:rPr>
              <w:t xml:space="preserve">: </w:t>
            </w:r>
            <w:r w:rsidR="00116021" w:rsidRPr="008E4D9D">
              <w:rPr>
                <w:b/>
                <w:iCs/>
                <w:sz w:val="20"/>
              </w:rPr>
              <w:t>Podiel UoZ v systéme PHN, ktorým vznikol nárok na aktivačný príspevok (%)</w:t>
            </w:r>
            <w:bookmarkEnd w:id="857"/>
            <w:bookmarkEnd w:id="858"/>
          </w:p>
        </w:tc>
        <w:tc>
          <w:tcPr>
            <w:tcW w:w="270" w:type="dxa"/>
            <w:tcBorders>
              <w:bottom w:val="nil"/>
            </w:tcBorders>
          </w:tcPr>
          <w:p w14:paraId="03378220" w14:textId="77777777" w:rsidR="007E0579" w:rsidRPr="008E4D9D" w:rsidRDefault="007E0579" w:rsidP="008E4D9D">
            <w:pPr>
              <w:spacing w:after="0" w:line="240" w:lineRule="auto"/>
              <w:rPr>
                <w:b/>
                <w:sz w:val="20"/>
              </w:rPr>
            </w:pPr>
          </w:p>
        </w:tc>
        <w:tc>
          <w:tcPr>
            <w:tcW w:w="4842" w:type="dxa"/>
            <w:tcBorders>
              <w:bottom w:val="single" w:sz="4" w:space="0" w:color="auto"/>
            </w:tcBorders>
          </w:tcPr>
          <w:p w14:paraId="0387B49C" w14:textId="65ECCF8F" w:rsidR="007E0579" w:rsidRPr="008E4D9D" w:rsidRDefault="007E0579" w:rsidP="008E4D9D">
            <w:pPr>
              <w:spacing w:after="0" w:line="240" w:lineRule="auto"/>
              <w:rPr>
                <w:b/>
                <w:sz w:val="20"/>
              </w:rPr>
            </w:pPr>
            <w:bookmarkStart w:id="859" w:name="_Ref524177663"/>
            <w:bookmarkStart w:id="860" w:name="_Toc17469421"/>
            <w:bookmarkStart w:id="861" w:name="_Toc34157608"/>
            <w:r w:rsidRPr="008E4D9D">
              <w:rPr>
                <w:b/>
                <w:sz w:val="20"/>
              </w:rPr>
              <w:t xml:space="preserve">Graf </w:t>
            </w:r>
            <w:r w:rsidRPr="008E4D9D">
              <w:rPr>
                <w:b/>
                <w:sz w:val="20"/>
              </w:rPr>
              <w:fldChar w:fldCharType="begin"/>
            </w:r>
            <w:r w:rsidRPr="008E4D9D">
              <w:rPr>
                <w:b/>
                <w:sz w:val="20"/>
              </w:rPr>
              <w:instrText xml:space="preserve"> SEQ Graf \* ARABIC </w:instrText>
            </w:r>
            <w:r w:rsidRPr="008E4D9D">
              <w:rPr>
                <w:b/>
                <w:sz w:val="20"/>
              </w:rPr>
              <w:fldChar w:fldCharType="separate"/>
            </w:r>
            <w:r w:rsidR="00FA29AF">
              <w:rPr>
                <w:b/>
                <w:noProof/>
                <w:sz w:val="20"/>
              </w:rPr>
              <w:t>50</w:t>
            </w:r>
            <w:r w:rsidRPr="008E4D9D">
              <w:rPr>
                <w:b/>
                <w:sz w:val="20"/>
              </w:rPr>
              <w:fldChar w:fldCharType="end"/>
            </w:r>
            <w:bookmarkEnd w:id="859"/>
            <w:r w:rsidRPr="008E4D9D">
              <w:rPr>
                <w:b/>
                <w:iCs/>
                <w:sz w:val="20"/>
              </w:rPr>
              <w:t xml:space="preserve">: </w:t>
            </w:r>
            <w:r w:rsidR="00116021" w:rsidRPr="008E4D9D">
              <w:rPr>
                <w:b/>
                <w:iCs/>
                <w:sz w:val="20"/>
              </w:rPr>
              <w:t>Podiel populácie v obci, ktorý tvoria UoZ v systéme PHN a pokrytie aktivačného príspevku, 201</w:t>
            </w:r>
            <w:r w:rsidR="00E12E73" w:rsidRPr="008E4D9D">
              <w:rPr>
                <w:b/>
                <w:iCs/>
                <w:sz w:val="20"/>
              </w:rPr>
              <w:t>8</w:t>
            </w:r>
            <w:bookmarkEnd w:id="860"/>
            <w:bookmarkEnd w:id="861"/>
          </w:p>
        </w:tc>
      </w:tr>
      <w:tr w:rsidR="007E0579" w:rsidRPr="00CA2564" w14:paraId="6180233A" w14:textId="77777777" w:rsidTr="008E4D9D">
        <w:tblPrEx>
          <w:tblCellMar>
            <w:left w:w="70" w:type="dxa"/>
            <w:right w:w="70" w:type="dxa"/>
          </w:tblCellMar>
        </w:tblPrEx>
        <w:tc>
          <w:tcPr>
            <w:tcW w:w="3960" w:type="dxa"/>
            <w:tcBorders>
              <w:top w:val="single" w:sz="4" w:space="0" w:color="auto"/>
              <w:bottom w:val="single" w:sz="4" w:space="0" w:color="auto"/>
            </w:tcBorders>
          </w:tcPr>
          <w:p w14:paraId="12F259D8" w14:textId="77777777" w:rsidR="007E0579" w:rsidRPr="00CA2564" w:rsidRDefault="007E0579" w:rsidP="008E4D9D">
            <w:pPr>
              <w:spacing w:after="0" w:line="240" w:lineRule="auto"/>
              <w:rPr>
                <w:sz w:val="4"/>
                <w:szCs w:val="4"/>
              </w:rPr>
            </w:pPr>
          </w:p>
          <w:p w14:paraId="766D7941" w14:textId="468FABA0" w:rsidR="007E0579" w:rsidRPr="00CA2564" w:rsidRDefault="00116021" w:rsidP="008E4D9D">
            <w:pPr>
              <w:spacing w:after="0" w:line="240" w:lineRule="auto"/>
              <w:rPr>
                <w:sz w:val="4"/>
                <w:szCs w:val="4"/>
              </w:rPr>
            </w:pPr>
            <w:r w:rsidRPr="00CA2564">
              <w:rPr>
                <w:noProof/>
                <w:lang w:eastAsia="sk-SK"/>
              </w:rPr>
              <w:drawing>
                <wp:inline distT="0" distB="0" distL="0" distR="0" wp14:anchorId="2F51D741" wp14:editId="71BBB094">
                  <wp:extent cx="2461260" cy="2510790"/>
                  <wp:effectExtent l="0" t="0" r="0" b="3810"/>
                  <wp:docPr id="11" name="Graf 29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0000000-0008-0000-07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60D197FD" w14:textId="77777777" w:rsidR="007E0579" w:rsidRPr="00CA2564" w:rsidRDefault="007E0579" w:rsidP="008E4D9D">
            <w:pPr>
              <w:spacing w:after="0" w:line="240" w:lineRule="auto"/>
              <w:rPr>
                <w:sz w:val="4"/>
                <w:szCs w:val="4"/>
              </w:rPr>
            </w:pPr>
          </w:p>
        </w:tc>
        <w:tc>
          <w:tcPr>
            <w:tcW w:w="270" w:type="dxa"/>
            <w:tcBorders>
              <w:top w:val="nil"/>
              <w:bottom w:val="nil"/>
            </w:tcBorders>
          </w:tcPr>
          <w:p w14:paraId="63C0BBF8" w14:textId="77777777" w:rsidR="007E0579" w:rsidRPr="00CA2564" w:rsidRDefault="007E0579" w:rsidP="008E4D9D">
            <w:pPr>
              <w:spacing w:after="0" w:line="240" w:lineRule="auto"/>
              <w:rPr>
                <w:noProof/>
              </w:rPr>
            </w:pPr>
          </w:p>
        </w:tc>
        <w:tc>
          <w:tcPr>
            <w:tcW w:w="4842" w:type="dxa"/>
            <w:tcBorders>
              <w:top w:val="single" w:sz="4" w:space="0" w:color="auto"/>
              <w:bottom w:val="single" w:sz="4" w:space="0" w:color="auto"/>
            </w:tcBorders>
          </w:tcPr>
          <w:p w14:paraId="73F80AFB" w14:textId="77777777" w:rsidR="007E0579" w:rsidRPr="00CA2564" w:rsidRDefault="007E0579" w:rsidP="008E4D9D">
            <w:pPr>
              <w:spacing w:after="0" w:line="240" w:lineRule="auto"/>
              <w:rPr>
                <w:noProof/>
                <w:sz w:val="4"/>
                <w:szCs w:val="4"/>
              </w:rPr>
            </w:pPr>
          </w:p>
          <w:p w14:paraId="0DCA42FC" w14:textId="4F8A60F7" w:rsidR="007E0579" w:rsidRPr="00CA2564" w:rsidRDefault="002516AC" w:rsidP="008E4D9D">
            <w:pPr>
              <w:spacing w:after="0" w:line="240" w:lineRule="auto"/>
              <w:rPr>
                <w:noProof/>
                <w:sz w:val="4"/>
                <w:szCs w:val="4"/>
              </w:rPr>
            </w:pPr>
            <w:r>
              <w:rPr>
                <w:noProof/>
                <w:lang w:eastAsia="sk-SK"/>
              </w:rPr>
              <w:drawing>
                <wp:inline distT="0" distB="0" distL="0" distR="0" wp14:anchorId="272E1C5E" wp14:editId="7BEE835D">
                  <wp:extent cx="3019425" cy="2505075"/>
                  <wp:effectExtent l="0" t="0" r="0" b="0"/>
                  <wp:docPr id="58" name="Graf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3788482" w14:textId="77777777" w:rsidR="007E0579" w:rsidRPr="00CA2564" w:rsidRDefault="007E0579" w:rsidP="008E4D9D">
            <w:pPr>
              <w:spacing w:after="0" w:line="240" w:lineRule="auto"/>
              <w:rPr>
                <w:sz w:val="4"/>
                <w:szCs w:val="4"/>
              </w:rPr>
            </w:pPr>
          </w:p>
        </w:tc>
      </w:tr>
      <w:tr w:rsidR="007E0579" w:rsidRPr="00CA2564" w14:paraId="22A3ACA6" w14:textId="77777777" w:rsidTr="008E4D9D">
        <w:tc>
          <w:tcPr>
            <w:tcW w:w="3960" w:type="dxa"/>
            <w:tcBorders>
              <w:top w:val="single" w:sz="4" w:space="0" w:color="auto"/>
            </w:tcBorders>
          </w:tcPr>
          <w:p w14:paraId="0BD44429" w14:textId="7A6F90BB" w:rsidR="007E0579" w:rsidRPr="008E4D9D" w:rsidRDefault="007E0579" w:rsidP="008E4D9D">
            <w:pPr>
              <w:spacing w:after="0" w:line="240" w:lineRule="auto"/>
              <w:jc w:val="right"/>
              <w:rPr>
                <w:i/>
                <w:noProof/>
                <w:sz w:val="18"/>
                <w:szCs w:val="18"/>
              </w:rPr>
            </w:pPr>
            <w:r w:rsidRPr="008E4D9D">
              <w:rPr>
                <w:i/>
                <w:noProof/>
                <w:sz w:val="18"/>
                <w:szCs w:val="18"/>
              </w:rPr>
              <w:t xml:space="preserve">Zdroj: </w:t>
            </w:r>
            <w:r w:rsidR="00116021" w:rsidRPr="008E4D9D">
              <w:rPr>
                <w:i/>
                <w:noProof/>
                <w:sz w:val="18"/>
                <w:szCs w:val="18"/>
              </w:rPr>
              <w:t>ÚPSVR</w:t>
            </w:r>
          </w:p>
          <w:p w14:paraId="6947956F" w14:textId="25103E76" w:rsidR="007E0579" w:rsidRPr="008E4D9D" w:rsidRDefault="007E0579" w:rsidP="008E4D9D">
            <w:pPr>
              <w:spacing w:after="0" w:line="240" w:lineRule="auto"/>
              <w:jc w:val="left"/>
              <w:rPr>
                <w:bCs/>
                <w:i/>
                <w:noProof/>
                <w:sz w:val="18"/>
                <w:szCs w:val="18"/>
              </w:rPr>
            </w:pPr>
            <w:r w:rsidRPr="008E4D9D">
              <w:rPr>
                <w:rFonts w:eastAsia="Times New Roman" w:cs="Times New Roman"/>
                <w:i/>
                <w:iCs/>
                <w:color w:val="000000"/>
                <w:sz w:val="18"/>
                <w:szCs w:val="18"/>
              </w:rPr>
              <w:t xml:space="preserve">Poznámka: </w:t>
            </w:r>
            <w:r w:rsidR="00116021" w:rsidRPr="008E4D9D">
              <w:rPr>
                <w:i/>
                <w:noProof/>
                <w:sz w:val="18"/>
                <w:szCs w:val="18"/>
              </w:rPr>
              <w:t>Aktivačné práce označujú menšie obecné služby alebo menšie služby pre samosprávny kraj.</w:t>
            </w:r>
          </w:p>
        </w:tc>
        <w:tc>
          <w:tcPr>
            <w:tcW w:w="270" w:type="dxa"/>
            <w:tcBorders>
              <w:top w:val="nil"/>
            </w:tcBorders>
          </w:tcPr>
          <w:p w14:paraId="7A3CBA88" w14:textId="77777777" w:rsidR="007E0579" w:rsidRPr="008E4D9D" w:rsidRDefault="007E0579" w:rsidP="008E4D9D">
            <w:pPr>
              <w:spacing w:after="0" w:line="240" w:lineRule="auto"/>
              <w:jc w:val="right"/>
              <w:rPr>
                <w:i/>
                <w:noProof/>
                <w:sz w:val="18"/>
                <w:szCs w:val="18"/>
              </w:rPr>
            </w:pPr>
          </w:p>
        </w:tc>
        <w:tc>
          <w:tcPr>
            <w:tcW w:w="4842" w:type="dxa"/>
            <w:tcBorders>
              <w:top w:val="single" w:sz="4" w:space="0" w:color="auto"/>
            </w:tcBorders>
          </w:tcPr>
          <w:p w14:paraId="06CCF33D" w14:textId="3BC868FE" w:rsidR="007E0579" w:rsidRPr="008E4D9D" w:rsidRDefault="007E0579" w:rsidP="008E4D9D">
            <w:pPr>
              <w:spacing w:after="0" w:line="240" w:lineRule="auto"/>
              <w:jc w:val="right"/>
              <w:rPr>
                <w:i/>
                <w:noProof/>
                <w:sz w:val="18"/>
                <w:szCs w:val="18"/>
              </w:rPr>
            </w:pPr>
            <w:r w:rsidRPr="008E4D9D">
              <w:rPr>
                <w:i/>
                <w:noProof/>
                <w:sz w:val="18"/>
                <w:szCs w:val="18"/>
              </w:rPr>
              <w:t xml:space="preserve">Zdroj: </w:t>
            </w:r>
            <w:r w:rsidR="00116021" w:rsidRPr="008E4D9D">
              <w:rPr>
                <w:i/>
                <w:noProof/>
                <w:sz w:val="18"/>
                <w:szCs w:val="18"/>
              </w:rPr>
              <w:t xml:space="preserve">ÚHP na základe údajov </w:t>
            </w:r>
            <w:r w:rsidRPr="008E4D9D">
              <w:rPr>
                <w:i/>
                <w:noProof/>
                <w:sz w:val="18"/>
                <w:szCs w:val="18"/>
              </w:rPr>
              <w:t xml:space="preserve">ÚPSVR </w:t>
            </w:r>
          </w:p>
          <w:p w14:paraId="7F9C1A23" w14:textId="7B38F753" w:rsidR="007E0579" w:rsidRPr="008E4D9D" w:rsidRDefault="007E0579" w:rsidP="008E4D9D">
            <w:pPr>
              <w:spacing w:after="0" w:line="240" w:lineRule="auto"/>
              <w:jc w:val="left"/>
              <w:rPr>
                <w:i/>
                <w:noProof/>
                <w:sz w:val="18"/>
                <w:szCs w:val="18"/>
              </w:rPr>
            </w:pPr>
            <w:r w:rsidRPr="008E4D9D">
              <w:rPr>
                <w:i/>
                <w:noProof/>
                <w:sz w:val="18"/>
                <w:szCs w:val="18"/>
              </w:rPr>
              <w:t xml:space="preserve">Poznámka: </w:t>
            </w:r>
            <w:r w:rsidR="00116021" w:rsidRPr="008E4D9D">
              <w:rPr>
                <w:i/>
                <w:noProof/>
                <w:sz w:val="18"/>
                <w:szCs w:val="18"/>
              </w:rPr>
              <w:t>Graf ukazuje iba obce, kde počet UoZ v systéme PHN je aspoň 10.</w:t>
            </w:r>
          </w:p>
        </w:tc>
      </w:tr>
    </w:tbl>
    <w:p w14:paraId="4F19D277" w14:textId="39092111" w:rsidR="00017F2A" w:rsidRDefault="00C02CED" w:rsidP="00C02CED">
      <w:pPr>
        <w:spacing w:before="160"/>
      </w:pPr>
      <w:bookmarkStart w:id="862" w:name="_Hlk17636354"/>
      <w:r w:rsidRPr="00CA2564">
        <w:rPr>
          <w:b/>
        </w:rPr>
        <w:t>Prístup k aktivačným programom, ktoré vytvárajú nárok na príspevok, nie je garantovaný pre každého záujemcu, ale závisí od kapacít.</w:t>
      </w:r>
      <w:r w:rsidRPr="00CA2564">
        <w:t xml:space="preserve"> </w:t>
      </w:r>
      <w:bookmarkEnd w:id="862"/>
      <w:r w:rsidRPr="00CA2564">
        <w:t>Cieľ „podpory získania, udržania, prehĺbenia alebo zvýšenia vedomostí, odborných zručností, praktických skúseností, pracovných návykov na účely zv</w:t>
      </w:r>
      <w:r w:rsidR="006A330C">
        <w:t>ýšenia pracovného uplatnenia na </w:t>
      </w:r>
      <w:r w:rsidRPr="00CA2564">
        <w:t xml:space="preserve">trhu práce“ tak paradoxne nezávisí iba od aktivity a motivácie ľudí v hmotnej núdzi zlepšiť svoju sociálnu situáciu, ale tiež od </w:t>
      </w:r>
      <w:bookmarkStart w:id="863" w:name="_Hlk17636459"/>
      <w:r w:rsidRPr="00CA2564">
        <w:t>schopnosti a vôle obcí a samospráv (v prípade aktivačných prác) a štátu (v prípade ostatných nástrojov AOTP) vytvoriť dostatočné príležitosti</w:t>
      </w:r>
      <w:bookmarkEnd w:id="863"/>
      <w:r w:rsidRPr="00CA2564">
        <w:t>.</w:t>
      </w:r>
    </w:p>
    <w:p w14:paraId="3117671E" w14:textId="77777777" w:rsidR="00C02CED" w:rsidRPr="00CA2564" w:rsidRDefault="00C02CED" w:rsidP="00C02CED">
      <w:pPr>
        <w:spacing w:before="160"/>
      </w:pPr>
      <w:r w:rsidRPr="00D3189B">
        <w:rPr>
          <w:b/>
        </w:rPr>
        <w:t xml:space="preserve">Miera pokrytia UoZ v systéme PHN aktivačným príspevkom sa naprieč obcami výrazne líši. </w:t>
      </w:r>
      <w:r w:rsidRPr="00D3189B">
        <w:t>S podielom populácie v obci, ktorý tvoria uchádzači o zamestnanie v systéme pomoci v hmotnej núdzi</w:t>
      </w:r>
      <w:r>
        <w:t>,</w:t>
      </w:r>
      <w:r w:rsidRPr="00D3189B">
        <w:t xml:space="preserve"> sa miera pokrytia všeobecne </w:t>
      </w:r>
      <w:r w:rsidRPr="00D3189B">
        <w:rPr>
          <w:szCs w:val="22"/>
        </w:rPr>
        <w:t>zvyšuje (</w:t>
      </w:r>
      <w:r w:rsidRPr="00FA6D66">
        <w:rPr>
          <w:szCs w:val="22"/>
          <w:highlight w:val="yellow"/>
        </w:rPr>
        <w:fldChar w:fldCharType="begin"/>
      </w:r>
      <w:r w:rsidRPr="00FA6D66">
        <w:rPr>
          <w:szCs w:val="22"/>
        </w:rPr>
        <w:instrText xml:space="preserve"> REF _Ref524177663 \h </w:instrText>
      </w:r>
      <w:r>
        <w:rPr>
          <w:szCs w:val="22"/>
          <w:highlight w:val="yellow"/>
        </w:rPr>
        <w:instrText xml:space="preserve"> \* MERGEFORMAT </w:instrText>
      </w:r>
      <w:r w:rsidRPr="00FA6D66">
        <w:rPr>
          <w:szCs w:val="22"/>
          <w:highlight w:val="yellow"/>
        </w:rPr>
      </w:r>
      <w:r w:rsidRPr="00FA6D66">
        <w:rPr>
          <w:szCs w:val="22"/>
          <w:highlight w:val="yellow"/>
        </w:rPr>
        <w:fldChar w:fldCharType="separate"/>
      </w:r>
      <w:r w:rsidR="00FA29AF" w:rsidRPr="00FA29AF">
        <w:rPr>
          <w:szCs w:val="22"/>
        </w:rPr>
        <w:t xml:space="preserve">Graf </w:t>
      </w:r>
      <w:r w:rsidR="00FA29AF" w:rsidRPr="00FA29AF">
        <w:rPr>
          <w:noProof/>
          <w:szCs w:val="22"/>
        </w:rPr>
        <w:t>50</w:t>
      </w:r>
      <w:r w:rsidRPr="00FA6D66">
        <w:rPr>
          <w:szCs w:val="22"/>
          <w:highlight w:val="yellow"/>
        </w:rPr>
        <w:fldChar w:fldCharType="end"/>
      </w:r>
      <w:r w:rsidRPr="00D3189B">
        <w:rPr>
          <w:szCs w:val="22"/>
        </w:rPr>
        <w:t>). Rozdiely</w:t>
      </w:r>
      <w:r w:rsidRPr="00D3189B">
        <w:t xml:space="preserve"> medzi obcami sú však výrazné. Veľká diverzita naznačuje potrebu skúmať dôvody nízkeho výkonu niektorých obcí alebo úradov práce pri aktivovaní uchádzačov o zamestnanie a priestor na šírenie dobrej praxe z obcí, ktoré sú v tejto oblasti úspešné.</w:t>
      </w:r>
    </w:p>
    <w:p w14:paraId="603DBB99" w14:textId="2E792234" w:rsidR="00C02CED" w:rsidRDefault="00C02CED" w:rsidP="00C02CED">
      <w:pPr>
        <w:spacing w:before="160"/>
        <w:rPr>
          <w:b/>
          <w:bCs/>
        </w:rPr>
      </w:pPr>
      <w:r w:rsidRPr="00CA2564">
        <w:rPr>
          <w:b/>
        </w:rPr>
        <w:t xml:space="preserve">Problém nedostatočnej kapacity aktivačných programov môže prehlbovať zavedenie </w:t>
      </w:r>
      <w:r>
        <w:rPr>
          <w:b/>
        </w:rPr>
        <w:t>možnosti podmieňovať</w:t>
      </w:r>
      <w:r w:rsidRPr="00CA2564">
        <w:rPr>
          <w:b/>
        </w:rPr>
        <w:t xml:space="preserve"> plnú výšku</w:t>
      </w:r>
      <w:r>
        <w:rPr>
          <w:b/>
        </w:rPr>
        <w:t xml:space="preserve"> základnej</w:t>
      </w:r>
      <w:r w:rsidRPr="00CA2564">
        <w:rPr>
          <w:b/>
        </w:rPr>
        <w:t xml:space="preserve"> dávky v hmotnej núdzi</w:t>
      </w:r>
      <w:r>
        <w:rPr>
          <w:b/>
        </w:rPr>
        <w:t xml:space="preserve"> výkonom</w:t>
      </w:r>
      <w:r w:rsidRPr="00CA2564">
        <w:rPr>
          <w:b/>
        </w:rPr>
        <w:t xml:space="preserve"> verejnoprospešných činností. </w:t>
      </w:r>
      <w:r>
        <w:t>Ak je takáto činnosť dospelej osobe v systéme PHN ponúknutá a on/ona ju ponuku odmietne, základná dávka PHN sa kráti o 6</w:t>
      </w:r>
      <w:r w:rsidR="00131D97">
        <w:t>6</w:t>
      </w:r>
      <w:r>
        <w:t>,</w:t>
      </w:r>
      <w:r w:rsidR="00131D97">
        <w:t>3</w:t>
      </w:r>
      <w:r>
        <w:t>0 eur.</w:t>
      </w:r>
      <w:r>
        <w:rPr>
          <w:rStyle w:val="Odkaznapoznmkupodiarou"/>
        </w:rPr>
        <w:footnoteReference w:id="370"/>
      </w:r>
      <w:r>
        <w:t xml:space="preserve"> </w:t>
      </w:r>
      <w:r w:rsidRPr="00CA2564">
        <w:t xml:space="preserve">Pre úrady práce a obce </w:t>
      </w:r>
      <w:r>
        <w:t>však využívanie tejto možnosti môže vytvárať</w:t>
      </w:r>
      <w:r w:rsidRPr="00CA2564">
        <w:t xml:space="preserve"> dodatočn</w:t>
      </w:r>
      <w:r>
        <w:t>ú</w:t>
      </w:r>
      <w:r w:rsidRPr="00CA2564">
        <w:t xml:space="preserve"> administratívn</w:t>
      </w:r>
      <w:r>
        <w:t>u</w:t>
      </w:r>
      <w:r w:rsidRPr="00CA2564">
        <w:t xml:space="preserve"> záťaž, ktorá obmedzuje kapacitu </w:t>
      </w:r>
      <w:r w:rsidRPr="00AB28DA">
        <w:t>využívať ostatné aktivačné nástroje vrátane nástrojov, ktoré vytvárajú nárok na aktivačný príspevok (Lajčáková a kol., 2017</w:t>
      </w:r>
      <w:r>
        <w:t>, Škobla</w:t>
      </w:r>
      <w:r w:rsidR="00CD06BE">
        <w:t xml:space="preserve"> a kol.</w:t>
      </w:r>
      <w:r>
        <w:t>, 2016</w:t>
      </w:r>
      <w:r w:rsidR="00CD06BE">
        <w:t>a</w:t>
      </w:r>
      <w:r w:rsidRPr="00AB28DA">
        <w:t xml:space="preserve">). Najvyššia záťaž je v relatívne malých obciach s vysokým počtom príjemcov pomoci v hmotnej núdzi. </w:t>
      </w:r>
      <w:r w:rsidRPr="00FB6E71">
        <w:rPr>
          <w:b/>
          <w:bCs/>
        </w:rPr>
        <w:t xml:space="preserve">Revízia navrhuje </w:t>
      </w:r>
      <w:r>
        <w:rPr>
          <w:b/>
          <w:iCs/>
        </w:rPr>
        <w:t>v</w:t>
      </w:r>
      <w:r w:rsidRPr="00D41517">
        <w:rPr>
          <w:b/>
          <w:iCs/>
        </w:rPr>
        <w:t>ypracovať a zverejniť analytický komentár založený na administratívnych údajoch o využívaní možnosti podmieňovať plnú výšku dávky v hmotnej núdzi výkonom verejnoprospešných činností</w:t>
      </w:r>
      <w:r>
        <w:rPr>
          <w:b/>
          <w:bCs/>
        </w:rPr>
        <w:t>.</w:t>
      </w:r>
    </w:p>
    <w:p w14:paraId="743A1D12" w14:textId="30C5340E" w:rsidR="00A850AD" w:rsidRDefault="007E0579" w:rsidP="00C02CED">
      <w:pPr>
        <w:spacing w:before="160"/>
      </w:pPr>
      <w:r w:rsidRPr="00CA2564">
        <w:rPr>
          <w:b/>
        </w:rPr>
        <w:t xml:space="preserve">Príležitosť </w:t>
      </w:r>
      <w:r w:rsidR="004F65F4">
        <w:rPr>
          <w:b/>
        </w:rPr>
        <w:t xml:space="preserve">reálne </w:t>
      </w:r>
      <w:r w:rsidRPr="00CA2564">
        <w:rPr>
          <w:b/>
        </w:rPr>
        <w:t xml:space="preserve">zlepšiť svoju sociálnu situáciu aktivačnými činnosťami </w:t>
      </w:r>
      <w:r w:rsidR="004F65F4">
        <w:rPr>
          <w:b/>
        </w:rPr>
        <w:t xml:space="preserve">je </w:t>
      </w:r>
      <w:r w:rsidRPr="00CA2564">
        <w:rPr>
          <w:b/>
        </w:rPr>
        <w:t>obmedz</w:t>
      </w:r>
      <w:r w:rsidR="004F65F4">
        <w:rPr>
          <w:b/>
        </w:rPr>
        <w:t>ená</w:t>
      </w:r>
      <w:r w:rsidRPr="00CA2564">
        <w:rPr>
          <w:b/>
        </w:rPr>
        <w:t xml:space="preserve"> tiež nízk</w:t>
      </w:r>
      <w:r w:rsidR="004F65F4">
        <w:rPr>
          <w:b/>
        </w:rPr>
        <w:t>ou</w:t>
      </w:r>
      <w:r w:rsidRPr="00CA2564">
        <w:rPr>
          <w:b/>
        </w:rPr>
        <w:t xml:space="preserve"> úrov</w:t>
      </w:r>
      <w:r w:rsidR="004F65F4">
        <w:rPr>
          <w:b/>
        </w:rPr>
        <w:t>ňou</w:t>
      </w:r>
      <w:r w:rsidRPr="00CA2564">
        <w:rPr>
          <w:b/>
        </w:rPr>
        <w:t xml:space="preserve"> aktivačného príspevku.</w:t>
      </w:r>
      <w:r w:rsidRPr="00CA2564">
        <w:t xml:space="preserve"> Ten bol prvý krát od roku 200</w:t>
      </w:r>
      <w:r w:rsidR="00C16FAB">
        <w:t>9</w:t>
      </w:r>
      <w:r w:rsidRPr="00CA2564">
        <w:t xml:space="preserve"> valorizovaný až v roku 2019 a to iba o 5 %.</w:t>
      </w:r>
      <w:r w:rsidR="00C16FAB">
        <w:rPr>
          <w:rStyle w:val="Odkaznapoznmkupodiarou"/>
        </w:rPr>
        <w:footnoteReference w:id="371"/>
      </w:r>
      <w:r w:rsidRPr="00CA2564">
        <w:t xml:space="preserve"> Minimálna mzda bola za rovnaké obdobie valorizovaná o 106 %. </w:t>
      </w:r>
      <w:r w:rsidR="00FD77B6">
        <w:t>Hodinový a</w:t>
      </w:r>
      <w:r w:rsidRPr="00CA2564">
        <w:t xml:space="preserve">ktivačný príspevok prepočítaný na maximálny počet hodín aktivácie (20 hodín za týždeň) aktuálne predstavuje iba </w:t>
      </w:r>
      <w:r w:rsidR="00017F2A">
        <w:t>23</w:t>
      </w:r>
      <w:r w:rsidRPr="00CA2564">
        <w:t xml:space="preserve"> % čistej minimálnej mzdy.</w:t>
      </w:r>
      <w:r w:rsidR="00214F06" w:rsidRPr="00CA2564" w:rsidDel="00214F06">
        <w:t xml:space="preserve"> </w:t>
      </w:r>
    </w:p>
    <w:p w14:paraId="2D1E37A4" w14:textId="747A439B" w:rsidR="007E0579" w:rsidRPr="00CA2564" w:rsidRDefault="004D2594" w:rsidP="007E0579">
      <w:pPr>
        <w:spacing w:before="160"/>
        <w:rPr>
          <w:color w:val="0070C0"/>
        </w:rPr>
      </w:pPr>
      <w:r>
        <w:rPr>
          <w:color w:val="0070C0"/>
        </w:rPr>
        <w:t>M</w:t>
      </w:r>
      <w:r w:rsidR="007E0579" w:rsidRPr="00CA2564">
        <w:rPr>
          <w:color w:val="0070C0"/>
        </w:rPr>
        <w:t>otivácia pracovať</w:t>
      </w:r>
      <w:r w:rsidR="00F84D60">
        <w:rPr>
          <w:color w:val="0070C0"/>
        </w:rPr>
        <w:t xml:space="preserve"> namiesto odkázanosti na sociálnych dávkach</w:t>
      </w:r>
    </w:p>
    <w:p w14:paraId="7B49590E" w14:textId="186AB882" w:rsidR="007E0579" w:rsidRPr="00CA2564" w:rsidRDefault="007E0579" w:rsidP="007E0579">
      <w:r w:rsidRPr="00CA2564">
        <w:t xml:space="preserve">Ekonomická teória hovorí, že strata sociálnej pomoci pri nastúpení do práce znižuje finančnú motiváciu hľadať si zamestnanie, a tým môže prispievať k takzvanej pasci nezamestnanosti a inaktivity. Platí to hlavne v prípade </w:t>
      </w:r>
      <w:r w:rsidR="00CA2564" w:rsidRPr="00CA2564">
        <w:t>nízko kvalifikovaných</w:t>
      </w:r>
      <w:r w:rsidRPr="00CA2564">
        <w:t xml:space="preserve"> ľudí, ktorí majú malú šancu nájsť si vysoko platené zamestnanie. Krátenie sociálnej pomoci predstavuje jeden spôsob ako riešiť tento problém, ale </w:t>
      </w:r>
      <w:r w:rsidR="00027A08">
        <w:t>tento prístup</w:t>
      </w:r>
      <w:r w:rsidRPr="00CA2564">
        <w:t xml:space="preserve"> má neželané vedľajšie účinky v podobe prehlbujúcej sa chudoby a sociálneho vylúčenia najzraniteľnejších ľudí, ktorí si nedokážu nájsť prácu. Alternatívnym spôsobom ako zatraktívniť nástup do zamestnania aj za nízku mzdu je rozšíriť nárok na sociálnu pomoc na širšiu skupinu nízko-príjmových zamestnancov. </w:t>
      </w:r>
    </w:p>
    <w:p w14:paraId="47EA688E" w14:textId="5E319809" w:rsidR="007E0579" w:rsidRDefault="007E0579" w:rsidP="007E0579">
      <w:r w:rsidRPr="00CA2564">
        <w:rPr>
          <w:b/>
        </w:rPr>
        <w:t>Osobitný príspevok je na Slovensku hlavným nástrojom zabezpečujúcim súbeh sociálnej pomoci a príjmu zo zamestnania.</w:t>
      </w:r>
      <w:r w:rsidRPr="00CA2564">
        <w:t xml:space="preserve"> Osobitný príspevok bol zavedený v roku 2014</w:t>
      </w:r>
      <w:r w:rsidRPr="00CA2564">
        <w:rPr>
          <w:rStyle w:val="Odkaznapoznmkupodiarou"/>
        </w:rPr>
        <w:footnoteReference w:id="372"/>
      </w:r>
      <w:r w:rsidRPr="00CA2564">
        <w:t xml:space="preserve"> a patrí ľuďom, ktorí nastúpia do zamestnania s nízkym príjmom</w:t>
      </w:r>
      <w:r w:rsidRPr="00CA2564">
        <w:rPr>
          <w:rStyle w:val="Odkaznapoznmkupodiarou"/>
        </w:rPr>
        <w:footnoteReference w:id="373"/>
      </w:r>
      <w:r w:rsidRPr="00CA2564">
        <w:t>, ktorí boli predtým dlhodobo nezamestnaní alebo dlhodobo neaktívni, a ktorí sú v systéme PHN alebo z neho vypadli kvôli nástupu do zamestnania. Súbeh PHN a práce je od mája 2017 rozšírený zmenou podmienok pri posudzovaní príjmu u prijímateľov osobitného príspevku.</w:t>
      </w:r>
      <w:r w:rsidRPr="00CA2564">
        <w:rPr>
          <w:rStyle w:val="Odkaznapoznmkupodiarou"/>
        </w:rPr>
        <w:footnoteReference w:id="374"/>
      </w:r>
      <w:r w:rsidR="004D2594">
        <w:t xml:space="preserve"> S účinnosťou od apríla 2019 bola predĺžená maximálna dĺžka poberania príspevku na 18 mesiacov. </w:t>
      </w:r>
      <w:r w:rsidR="004D2594" w:rsidRPr="00CA2564">
        <w:t>Príspevok sa aktuálne vyplác</w:t>
      </w:r>
      <w:r w:rsidR="004D2594">
        <w:t>a</w:t>
      </w:r>
      <w:r w:rsidR="006A330C">
        <w:t xml:space="preserve"> vo výške 126,14 </w:t>
      </w:r>
      <w:r w:rsidR="004D2594" w:rsidRPr="00CA2564">
        <w:t>eur za prvých 12 mesiacov a 63,07 eur za ďalších 6 mesiacov.</w:t>
      </w:r>
      <w:r w:rsidR="004D2594" w:rsidRPr="00CA2564">
        <w:rPr>
          <w:rStyle w:val="Odkaznapoznmkupodiarou"/>
        </w:rPr>
        <w:footnoteReference w:id="375"/>
      </w:r>
    </w:p>
    <w:p w14:paraId="102C3C02" w14:textId="7B02F559" w:rsidR="00C02CED" w:rsidRPr="00CA2564" w:rsidRDefault="00C02CED" w:rsidP="00C02CED">
      <w:pPr>
        <w:spacing w:before="160"/>
      </w:pPr>
      <w:r w:rsidRPr="00CA2564">
        <w:rPr>
          <w:b/>
        </w:rPr>
        <w:t xml:space="preserve">Na osobitný príspevok bolo v roku 2018 vynaložených 7,8 milióna eur, a podporených bolo v priemere 6 777 osôb za mesiac. </w:t>
      </w:r>
      <w:r w:rsidRPr="00CA2564">
        <w:t>Výdavky na osobitný príspevok a počet poberateľov výrazne stúpli rok po jeho zavedení (</w:t>
      </w:r>
      <w:r w:rsidRPr="00CA2564">
        <w:fldChar w:fldCharType="begin"/>
      </w:r>
      <w:r w:rsidRPr="00CA2564">
        <w:instrText xml:space="preserve"> REF _Ref526782071 \h  \* MERGEFORMAT </w:instrText>
      </w:r>
      <w:r w:rsidRPr="00CA2564">
        <w:fldChar w:fldCharType="separate"/>
      </w:r>
      <w:r w:rsidR="00FA29AF" w:rsidRPr="00FA29AF">
        <w:t xml:space="preserve">Graf </w:t>
      </w:r>
      <w:r w:rsidR="00FA29AF" w:rsidRPr="00FA29AF">
        <w:rPr>
          <w:noProof/>
        </w:rPr>
        <w:t>51</w:t>
      </w:r>
      <w:r w:rsidRPr="00CA2564">
        <w:fldChar w:fldCharType="end"/>
      </w:r>
      <w:r w:rsidRPr="00CA2564">
        <w:t>)</w:t>
      </w:r>
      <w:r>
        <w:t>,</w:t>
      </w:r>
      <w:r w:rsidRPr="00CA2564">
        <w:t xml:space="preserve"> ale v posledných dvoch rokoch zaznamenali pokles, ktorý odráža pokles počtu </w:t>
      </w:r>
      <w:r>
        <w:t>príjemcov</w:t>
      </w:r>
      <w:r w:rsidRPr="00CA2564">
        <w:t xml:space="preserve"> pomoci v hmotnej núdzi (</w:t>
      </w:r>
      <w:r w:rsidRPr="00CA2564">
        <w:fldChar w:fldCharType="begin"/>
      </w:r>
      <w:r w:rsidRPr="00CA2564">
        <w:instrText xml:space="preserve"> REF _Ref523999784 \h  \* MERGEFORMAT </w:instrText>
      </w:r>
      <w:r w:rsidRPr="00CA2564">
        <w:fldChar w:fldCharType="separate"/>
      </w:r>
      <w:r w:rsidR="00FA29AF" w:rsidRPr="00FA29AF">
        <w:t xml:space="preserve">Graf </w:t>
      </w:r>
      <w:r w:rsidR="00FA29AF" w:rsidRPr="00FA29AF">
        <w:rPr>
          <w:noProof/>
        </w:rPr>
        <w:t>46</w:t>
      </w:r>
      <w:r w:rsidRPr="00CA2564">
        <w:fldChar w:fldCharType="end"/>
      </w:r>
      <w:r w:rsidRPr="00CA2564">
        <w:t>). Podiel poberateľov osobitného príspevku z prostredia MRK bol v roku 201</w:t>
      </w:r>
      <w:r>
        <w:t>8</w:t>
      </w:r>
      <w:r w:rsidRPr="00CA2564">
        <w:t xml:space="preserve"> v priemere </w:t>
      </w:r>
      <w:r>
        <w:t>31</w:t>
      </w:r>
      <w:r w:rsidRPr="00CA2564">
        <w:t xml:space="preserve"> %, čo je viac ako podiel ľudí z MRK na populácii </w:t>
      </w:r>
      <w:r>
        <w:t>dlhodobo nezamestnaných (17 %).</w:t>
      </w:r>
    </w:p>
    <w:tbl>
      <w:tblPr>
        <w:tblW w:w="0" w:type="auto"/>
        <w:tblLayout w:type="fixed"/>
        <w:tblLook w:val="04E0" w:firstRow="1" w:lastRow="1" w:firstColumn="1" w:lastColumn="0" w:noHBand="0" w:noVBand="1"/>
      </w:tblPr>
      <w:tblGrid>
        <w:gridCol w:w="4536"/>
        <w:gridCol w:w="236"/>
        <w:gridCol w:w="4300"/>
      </w:tblGrid>
      <w:tr w:rsidR="007E0579" w:rsidRPr="00CA2564" w14:paraId="513A3BB0" w14:textId="77777777" w:rsidTr="00AA558B">
        <w:tc>
          <w:tcPr>
            <w:tcW w:w="4536" w:type="dxa"/>
            <w:tcBorders>
              <w:bottom w:val="single" w:sz="4" w:space="0" w:color="auto"/>
            </w:tcBorders>
            <w:vAlign w:val="bottom"/>
          </w:tcPr>
          <w:p w14:paraId="06B9F890" w14:textId="77777777" w:rsidR="007E0579" w:rsidRPr="00AA558B" w:rsidRDefault="007E0579" w:rsidP="00AA558B">
            <w:pPr>
              <w:spacing w:after="0" w:line="240" w:lineRule="auto"/>
              <w:jc w:val="left"/>
              <w:rPr>
                <w:b/>
                <w:iCs/>
                <w:sz w:val="20"/>
              </w:rPr>
            </w:pPr>
            <w:bookmarkStart w:id="864" w:name="_Ref526782071"/>
            <w:bookmarkStart w:id="865" w:name="_Toc17469423"/>
            <w:bookmarkStart w:id="866" w:name="_Toc34157609"/>
            <w:r w:rsidRPr="00AA558B">
              <w:rPr>
                <w:b/>
                <w:sz w:val="20"/>
              </w:rPr>
              <w:t xml:space="preserve">Graf </w:t>
            </w:r>
            <w:r w:rsidRPr="00AA558B">
              <w:rPr>
                <w:b/>
                <w:sz w:val="20"/>
              </w:rPr>
              <w:fldChar w:fldCharType="begin"/>
            </w:r>
            <w:r w:rsidRPr="00AA558B">
              <w:rPr>
                <w:b/>
                <w:sz w:val="20"/>
              </w:rPr>
              <w:instrText xml:space="preserve"> SEQ Graf \* ARABIC </w:instrText>
            </w:r>
            <w:r w:rsidRPr="00AA558B">
              <w:rPr>
                <w:b/>
                <w:sz w:val="20"/>
              </w:rPr>
              <w:fldChar w:fldCharType="separate"/>
            </w:r>
            <w:r w:rsidR="00FA29AF">
              <w:rPr>
                <w:b/>
                <w:noProof/>
                <w:sz w:val="20"/>
              </w:rPr>
              <w:t>51</w:t>
            </w:r>
            <w:r w:rsidRPr="00AA558B">
              <w:rPr>
                <w:b/>
                <w:sz w:val="20"/>
              </w:rPr>
              <w:fldChar w:fldCharType="end"/>
            </w:r>
            <w:bookmarkEnd w:id="864"/>
            <w:r w:rsidRPr="00AA558B">
              <w:rPr>
                <w:b/>
                <w:sz w:val="20"/>
              </w:rPr>
              <w:t>: Vývoj osobitného príspevku</w:t>
            </w:r>
            <w:bookmarkEnd w:id="865"/>
            <w:bookmarkEnd w:id="866"/>
          </w:p>
        </w:tc>
        <w:tc>
          <w:tcPr>
            <w:tcW w:w="236" w:type="dxa"/>
            <w:tcBorders>
              <w:bottom w:val="nil"/>
            </w:tcBorders>
          </w:tcPr>
          <w:p w14:paraId="27817226" w14:textId="77777777" w:rsidR="007E0579" w:rsidRPr="00AA558B" w:rsidRDefault="007E0579" w:rsidP="00AA558B">
            <w:pPr>
              <w:spacing w:after="0" w:line="240" w:lineRule="auto"/>
              <w:rPr>
                <w:b/>
                <w:sz w:val="20"/>
              </w:rPr>
            </w:pPr>
          </w:p>
        </w:tc>
        <w:tc>
          <w:tcPr>
            <w:tcW w:w="4300" w:type="dxa"/>
            <w:tcBorders>
              <w:bottom w:val="single" w:sz="4" w:space="0" w:color="auto"/>
            </w:tcBorders>
          </w:tcPr>
          <w:p w14:paraId="2C04DA5F" w14:textId="77777777" w:rsidR="007E0579" w:rsidRPr="00AA558B" w:rsidRDefault="007E0579" w:rsidP="00AA558B">
            <w:pPr>
              <w:spacing w:after="0" w:line="240" w:lineRule="auto"/>
              <w:rPr>
                <w:b/>
                <w:sz w:val="20"/>
              </w:rPr>
            </w:pPr>
            <w:bookmarkStart w:id="867" w:name="_Ref529265450"/>
            <w:bookmarkStart w:id="868" w:name="_Ref529265433"/>
            <w:bookmarkStart w:id="869" w:name="_Toc17469424"/>
            <w:bookmarkStart w:id="870" w:name="_Toc34157610"/>
            <w:r w:rsidRPr="00AA558B">
              <w:rPr>
                <w:b/>
                <w:sz w:val="20"/>
              </w:rPr>
              <w:t xml:space="preserve">Graf </w:t>
            </w:r>
            <w:r w:rsidRPr="00AA558B">
              <w:rPr>
                <w:b/>
                <w:sz w:val="20"/>
              </w:rPr>
              <w:fldChar w:fldCharType="begin"/>
            </w:r>
            <w:r w:rsidRPr="00AA558B">
              <w:rPr>
                <w:b/>
                <w:sz w:val="20"/>
              </w:rPr>
              <w:instrText xml:space="preserve"> SEQ Graf \* ARABIC </w:instrText>
            </w:r>
            <w:r w:rsidRPr="00AA558B">
              <w:rPr>
                <w:b/>
                <w:sz w:val="20"/>
              </w:rPr>
              <w:fldChar w:fldCharType="separate"/>
            </w:r>
            <w:r w:rsidR="00FA29AF">
              <w:rPr>
                <w:b/>
                <w:noProof/>
                <w:sz w:val="20"/>
              </w:rPr>
              <w:t>52</w:t>
            </w:r>
            <w:r w:rsidRPr="00AA558B">
              <w:rPr>
                <w:b/>
                <w:sz w:val="20"/>
              </w:rPr>
              <w:fldChar w:fldCharType="end"/>
            </w:r>
            <w:bookmarkEnd w:id="867"/>
            <w:r w:rsidRPr="00AA558B">
              <w:rPr>
                <w:b/>
                <w:sz w:val="20"/>
              </w:rPr>
              <w:t>: Kumulatívny podiel prijímateľov OP, ktorí sa vrátili do evidencie UoZ podľa dĺžky poberania OP</w:t>
            </w:r>
            <w:bookmarkEnd w:id="868"/>
            <w:bookmarkEnd w:id="869"/>
            <w:bookmarkEnd w:id="870"/>
          </w:p>
        </w:tc>
      </w:tr>
      <w:tr w:rsidR="007E0579" w:rsidRPr="00CA2564" w14:paraId="28B48132" w14:textId="77777777" w:rsidTr="00AA558B">
        <w:tblPrEx>
          <w:tblCellMar>
            <w:left w:w="70" w:type="dxa"/>
            <w:right w:w="70" w:type="dxa"/>
          </w:tblCellMar>
        </w:tblPrEx>
        <w:tc>
          <w:tcPr>
            <w:tcW w:w="4536" w:type="dxa"/>
            <w:tcBorders>
              <w:top w:val="single" w:sz="4" w:space="0" w:color="auto"/>
              <w:bottom w:val="single" w:sz="4" w:space="0" w:color="auto"/>
            </w:tcBorders>
          </w:tcPr>
          <w:p w14:paraId="4210AC39" w14:textId="77777777" w:rsidR="007E0579" w:rsidRPr="00CA2564" w:rsidRDefault="007E0579" w:rsidP="00AA558B">
            <w:pPr>
              <w:spacing w:after="0" w:line="240" w:lineRule="auto"/>
              <w:rPr>
                <w:sz w:val="4"/>
                <w:szCs w:val="4"/>
              </w:rPr>
            </w:pPr>
          </w:p>
          <w:p w14:paraId="14ABE605" w14:textId="325011E3" w:rsidR="007E0579" w:rsidRPr="00CA2564" w:rsidRDefault="006B4CC3" w:rsidP="00AA558B">
            <w:pPr>
              <w:spacing w:after="0" w:line="240" w:lineRule="auto"/>
              <w:rPr>
                <w:sz w:val="4"/>
                <w:szCs w:val="4"/>
              </w:rPr>
            </w:pPr>
            <w:r>
              <w:rPr>
                <w:noProof/>
                <w:lang w:eastAsia="sk-SK"/>
              </w:rPr>
              <w:drawing>
                <wp:inline distT="0" distB="0" distL="0" distR="0" wp14:anchorId="289B4063" wp14:editId="207C779D">
                  <wp:extent cx="2791460" cy="2667000"/>
                  <wp:effectExtent l="0" t="0" r="8890" b="0"/>
                  <wp:docPr id="28019" name="Graf 2801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0000000-0008-0000-0B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1A40318" w14:textId="77777777" w:rsidR="007E0579" w:rsidRPr="00CA2564" w:rsidRDefault="007E0579" w:rsidP="00AA558B">
            <w:pPr>
              <w:spacing w:after="0" w:line="240" w:lineRule="auto"/>
              <w:rPr>
                <w:sz w:val="4"/>
                <w:szCs w:val="4"/>
              </w:rPr>
            </w:pPr>
          </w:p>
        </w:tc>
        <w:tc>
          <w:tcPr>
            <w:tcW w:w="236" w:type="dxa"/>
            <w:tcBorders>
              <w:top w:val="nil"/>
              <w:bottom w:val="nil"/>
            </w:tcBorders>
          </w:tcPr>
          <w:p w14:paraId="2C1768D1" w14:textId="77777777" w:rsidR="007E0579" w:rsidRPr="00CA2564" w:rsidRDefault="007E0579" w:rsidP="00AA558B">
            <w:pPr>
              <w:spacing w:after="0" w:line="240" w:lineRule="auto"/>
              <w:rPr>
                <w:noProof/>
                <w:sz w:val="4"/>
                <w:szCs w:val="4"/>
              </w:rPr>
            </w:pPr>
          </w:p>
        </w:tc>
        <w:tc>
          <w:tcPr>
            <w:tcW w:w="4300" w:type="dxa"/>
            <w:tcBorders>
              <w:top w:val="single" w:sz="4" w:space="0" w:color="auto"/>
              <w:bottom w:val="single" w:sz="4" w:space="0" w:color="auto"/>
            </w:tcBorders>
          </w:tcPr>
          <w:p w14:paraId="191CDD24" w14:textId="77777777" w:rsidR="007E0579" w:rsidRPr="00CA2564" w:rsidRDefault="007E0579" w:rsidP="00AA558B">
            <w:pPr>
              <w:spacing w:after="0" w:line="240" w:lineRule="auto"/>
              <w:rPr>
                <w:sz w:val="4"/>
                <w:szCs w:val="4"/>
              </w:rPr>
            </w:pPr>
            <w:r w:rsidRPr="00CA2564">
              <w:rPr>
                <w:noProof/>
                <w:lang w:eastAsia="sk-SK"/>
              </w:rPr>
              <w:drawing>
                <wp:inline distT="0" distB="0" distL="0" distR="0" wp14:anchorId="53AC7241" wp14:editId="19A81982">
                  <wp:extent cx="2641600" cy="2638425"/>
                  <wp:effectExtent l="0" t="0" r="6350" b="0"/>
                  <wp:docPr id="28012" name="Graf 280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35C5EEF" w14:textId="77777777" w:rsidR="007E0579" w:rsidRPr="00CA2564" w:rsidRDefault="007E0579" w:rsidP="00AA558B">
            <w:pPr>
              <w:spacing w:after="0" w:line="240" w:lineRule="auto"/>
              <w:rPr>
                <w:sz w:val="4"/>
                <w:szCs w:val="4"/>
              </w:rPr>
            </w:pPr>
          </w:p>
          <w:p w14:paraId="09B2BACA" w14:textId="77777777" w:rsidR="007E0579" w:rsidRPr="00CA2564" w:rsidRDefault="007E0579" w:rsidP="00AA558B">
            <w:pPr>
              <w:spacing w:after="0" w:line="240" w:lineRule="auto"/>
              <w:rPr>
                <w:sz w:val="4"/>
                <w:szCs w:val="4"/>
              </w:rPr>
            </w:pPr>
          </w:p>
        </w:tc>
      </w:tr>
      <w:tr w:rsidR="007E0579" w:rsidRPr="00523186" w14:paraId="451E83CE" w14:textId="77777777" w:rsidTr="00AA558B">
        <w:tc>
          <w:tcPr>
            <w:tcW w:w="4536" w:type="dxa"/>
            <w:tcBorders>
              <w:top w:val="single" w:sz="4" w:space="0" w:color="auto"/>
            </w:tcBorders>
          </w:tcPr>
          <w:p w14:paraId="2FCD1C47" w14:textId="77777777" w:rsidR="007E0579" w:rsidRPr="00AA558B" w:rsidRDefault="007E0579" w:rsidP="00AA558B">
            <w:pPr>
              <w:spacing w:after="0" w:line="240" w:lineRule="auto"/>
              <w:jc w:val="right"/>
              <w:rPr>
                <w:i/>
                <w:noProof/>
                <w:sz w:val="18"/>
                <w:szCs w:val="18"/>
              </w:rPr>
            </w:pPr>
            <w:r w:rsidRPr="00AA558B">
              <w:rPr>
                <w:i/>
                <w:noProof/>
                <w:sz w:val="18"/>
                <w:szCs w:val="18"/>
              </w:rPr>
              <w:t>Zdroj: ÚHP na základe údajov ÚPSVR a ARK</w:t>
            </w:r>
          </w:p>
          <w:p w14:paraId="6AC2A3B6" w14:textId="76B011B0" w:rsidR="007E0579" w:rsidRPr="00AA558B" w:rsidRDefault="007E0579" w:rsidP="00AA558B">
            <w:pPr>
              <w:spacing w:after="0" w:line="240" w:lineRule="auto"/>
              <w:rPr>
                <w:i/>
                <w:noProof/>
                <w:sz w:val="18"/>
                <w:szCs w:val="18"/>
              </w:rPr>
            </w:pPr>
            <w:r w:rsidRPr="00AA558B">
              <w:rPr>
                <w:i/>
                <w:noProof/>
                <w:sz w:val="18"/>
                <w:szCs w:val="18"/>
              </w:rPr>
              <w:t>Poznámka: Rozdelenie poberateľov medzi MRK a mimo MRK v roku 2014 a 2018</w:t>
            </w:r>
            <w:r w:rsidR="0070047D" w:rsidRPr="00AA558B">
              <w:rPr>
                <w:i/>
                <w:noProof/>
                <w:sz w:val="18"/>
                <w:szCs w:val="18"/>
              </w:rPr>
              <w:t xml:space="preserve"> </w:t>
            </w:r>
            <w:r w:rsidRPr="00AA558B">
              <w:rPr>
                <w:i/>
                <w:noProof/>
                <w:sz w:val="18"/>
                <w:szCs w:val="18"/>
              </w:rPr>
              <w:t>nie je m</w:t>
            </w:r>
            <w:r w:rsidR="002A676F" w:rsidRPr="00AA558B">
              <w:rPr>
                <w:i/>
                <w:noProof/>
                <w:sz w:val="18"/>
                <w:szCs w:val="18"/>
              </w:rPr>
              <w:t xml:space="preserve">ožné na základe dostupných dát. </w:t>
            </w:r>
            <w:r w:rsidR="002A676F" w:rsidRPr="00AA558B">
              <w:rPr>
                <w:i/>
                <w:noProof/>
                <w:sz w:val="18"/>
                <w:szCs w:val="18"/>
              </w:rPr>
              <w:fldChar w:fldCharType="begin"/>
            </w:r>
            <w:r w:rsidR="002A676F" w:rsidRPr="00AA558B">
              <w:rPr>
                <w:rFonts w:eastAsia="Times New Roman" w:cs="Times New Roman"/>
                <w:i/>
                <w:iCs/>
                <w:color w:val="000000"/>
                <w:sz w:val="18"/>
                <w:szCs w:val="18"/>
              </w:rPr>
              <w:instrText xml:space="preserve"> REF _Ref33439692 \h </w:instrText>
            </w:r>
            <w:r w:rsidR="002A676F" w:rsidRPr="00AA558B">
              <w:rPr>
                <w:i/>
                <w:noProof/>
                <w:sz w:val="18"/>
                <w:szCs w:val="18"/>
              </w:rPr>
              <w:instrText xml:space="preserve"> \* MERGEFORMAT </w:instrText>
            </w:r>
            <w:r w:rsidR="002A676F" w:rsidRPr="00AA558B">
              <w:rPr>
                <w:i/>
                <w:noProof/>
                <w:sz w:val="18"/>
                <w:szCs w:val="18"/>
              </w:rPr>
            </w:r>
            <w:r w:rsidR="002A676F" w:rsidRPr="00AA558B">
              <w:rPr>
                <w:i/>
                <w:noProof/>
                <w:sz w:val="18"/>
                <w:szCs w:val="18"/>
              </w:rPr>
              <w:fldChar w:fldCharType="separate"/>
            </w:r>
            <w:r w:rsidR="00FA29AF" w:rsidRPr="00FA29AF">
              <w:rPr>
                <w:i/>
                <w:sz w:val="18"/>
                <w:szCs w:val="18"/>
              </w:rPr>
              <w:t>Box</w:t>
            </w:r>
            <w:r w:rsidR="00FA29AF" w:rsidRPr="006E2B6B">
              <w:rPr>
                <w:b/>
              </w:rPr>
              <w:t xml:space="preserve"> </w:t>
            </w:r>
            <w:r w:rsidR="00FA29AF">
              <w:rPr>
                <w:b/>
                <w:noProof/>
              </w:rPr>
              <w:t>3</w:t>
            </w:r>
            <w:r w:rsidR="002A676F" w:rsidRPr="00AA558B">
              <w:rPr>
                <w:i/>
                <w:noProof/>
                <w:sz w:val="18"/>
                <w:szCs w:val="18"/>
              </w:rPr>
              <w:fldChar w:fldCharType="end"/>
            </w:r>
            <w:r w:rsidR="002A676F" w:rsidRPr="00AA558B">
              <w:rPr>
                <w:i/>
                <w:noProof/>
                <w:sz w:val="18"/>
                <w:szCs w:val="18"/>
              </w:rPr>
              <w:t xml:space="preserve"> </w:t>
            </w:r>
            <w:r w:rsidRPr="00AA558B">
              <w:rPr>
                <w:i/>
                <w:noProof/>
                <w:sz w:val="18"/>
                <w:szCs w:val="18"/>
              </w:rPr>
              <w:t>pre definíciu MRK.</w:t>
            </w:r>
            <w:r w:rsidR="0070047D" w:rsidRPr="00AA558B">
              <w:rPr>
                <w:i/>
                <w:noProof/>
                <w:sz w:val="18"/>
                <w:szCs w:val="18"/>
              </w:rPr>
              <w:t xml:space="preserve"> </w:t>
            </w:r>
          </w:p>
        </w:tc>
        <w:tc>
          <w:tcPr>
            <w:tcW w:w="236" w:type="dxa"/>
            <w:tcBorders>
              <w:top w:val="nil"/>
            </w:tcBorders>
          </w:tcPr>
          <w:p w14:paraId="480F67BD" w14:textId="77777777" w:rsidR="007E0579" w:rsidRPr="00AA558B" w:rsidRDefault="007E0579" w:rsidP="00AA558B">
            <w:pPr>
              <w:spacing w:after="0" w:line="240" w:lineRule="auto"/>
              <w:jc w:val="right"/>
              <w:rPr>
                <w:bCs/>
                <w:i/>
                <w:noProof/>
                <w:sz w:val="18"/>
                <w:szCs w:val="18"/>
              </w:rPr>
            </w:pPr>
          </w:p>
        </w:tc>
        <w:tc>
          <w:tcPr>
            <w:tcW w:w="4300" w:type="dxa"/>
            <w:tcBorders>
              <w:top w:val="single" w:sz="4" w:space="0" w:color="auto"/>
            </w:tcBorders>
          </w:tcPr>
          <w:p w14:paraId="120BA9B6" w14:textId="77777777" w:rsidR="007E0579" w:rsidRPr="00AA558B" w:rsidRDefault="007E0579" w:rsidP="00AA558B">
            <w:pPr>
              <w:spacing w:after="0" w:line="240" w:lineRule="auto"/>
              <w:jc w:val="right"/>
              <w:rPr>
                <w:bCs/>
                <w:i/>
                <w:noProof/>
                <w:sz w:val="18"/>
                <w:szCs w:val="18"/>
              </w:rPr>
            </w:pPr>
            <w:r w:rsidRPr="00AA558B">
              <w:rPr>
                <w:bCs/>
                <w:i/>
                <w:noProof/>
                <w:sz w:val="18"/>
                <w:szCs w:val="18"/>
              </w:rPr>
              <w:t>Zdroj: ÚHP na základe údajov ÚPSVR a ARK</w:t>
            </w:r>
          </w:p>
          <w:p w14:paraId="647A5BBE" w14:textId="77777777" w:rsidR="007E0579" w:rsidRPr="00AA558B" w:rsidRDefault="007E0579" w:rsidP="00AA558B">
            <w:pPr>
              <w:spacing w:after="0" w:line="240" w:lineRule="auto"/>
              <w:rPr>
                <w:bCs/>
                <w:i/>
                <w:noProof/>
                <w:sz w:val="18"/>
                <w:szCs w:val="18"/>
              </w:rPr>
            </w:pPr>
            <w:r w:rsidRPr="00AA558B">
              <w:rPr>
                <w:bCs/>
                <w:i/>
                <w:noProof/>
                <w:sz w:val="18"/>
                <w:szCs w:val="18"/>
              </w:rPr>
              <w:t xml:space="preserve">Poznámka: Graf zahŕňa ľudí, ktorí začali poberať osobitný príspevok medzi júlom 2015 a júnom 2016. </w:t>
            </w:r>
          </w:p>
        </w:tc>
      </w:tr>
    </w:tbl>
    <w:p w14:paraId="3D337FD6" w14:textId="2EC3722C" w:rsidR="0033191F" w:rsidRDefault="007E0579" w:rsidP="007E0579">
      <w:pPr>
        <w:spacing w:before="160"/>
        <w:rPr>
          <w:szCs w:val="22"/>
        </w:rPr>
      </w:pPr>
      <w:r w:rsidRPr="00CA2564">
        <w:rPr>
          <w:b/>
        </w:rPr>
        <w:t xml:space="preserve">Osobitný príspevok </w:t>
      </w:r>
      <w:r w:rsidR="009173AB">
        <w:rPr>
          <w:b/>
        </w:rPr>
        <w:t xml:space="preserve">(OP) </w:t>
      </w:r>
      <w:r w:rsidRPr="00A16C60">
        <w:rPr>
          <w:b/>
          <w:szCs w:val="22"/>
        </w:rPr>
        <w:t>nedokáže sám o sebe zabezpečiť dlhodobejšie ukotvenie dlhodobo nezamestnaných na trhu práce. Až 78 % z nich končí do 18 mesiacov od začatia poberania príspevku späť v evidencii UoZ</w:t>
      </w:r>
      <w:r w:rsidRPr="00A16C60">
        <w:rPr>
          <w:szCs w:val="22"/>
        </w:rPr>
        <w:t xml:space="preserve"> (</w:t>
      </w:r>
      <w:r w:rsidRPr="00A16C60">
        <w:rPr>
          <w:szCs w:val="22"/>
        </w:rPr>
        <w:fldChar w:fldCharType="begin"/>
      </w:r>
      <w:r w:rsidRPr="00A16C60">
        <w:rPr>
          <w:szCs w:val="22"/>
        </w:rPr>
        <w:instrText xml:space="preserve"> REF _Ref529265450 \h </w:instrText>
      </w:r>
      <w:r w:rsidR="00A16C60">
        <w:rPr>
          <w:szCs w:val="22"/>
        </w:rPr>
        <w:instrText xml:space="preserve"> \* MERGEFORMAT </w:instrText>
      </w:r>
      <w:r w:rsidRPr="00A16C60">
        <w:rPr>
          <w:szCs w:val="22"/>
        </w:rPr>
      </w:r>
      <w:r w:rsidRPr="00A16C60">
        <w:rPr>
          <w:szCs w:val="22"/>
        </w:rPr>
        <w:fldChar w:fldCharType="separate"/>
      </w:r>
      <w:r w:rsidR="00FA29AF" w:rsidRPr="00FA29AF">
        <w:rPr>
          <w:szCs w:val="22"/>
        </w:rPr>
        <w:t xml:space="preserve">Graf </w:t>
      </w:r>
      <w:r w:rsidR="00FA29AF" w:rsidRPr="00FA29AF">
        <w:rPr>
          <w:noProof/>
          <w:szCs w:val="22"/>
        </w:rPr>
        <w:t>52</w:t>
      </w:r>
      <w:r w:rsidRPr="00A16C60">
        <w:rPr>
          <w:szCs w:val="22"/>
        </w:rPr>
        <w:fldChar w:fldCharType="end"/>
      </w:r>
      <w:r w:rsidRPr="00A16C60">
        <w:rPr>
          <w:szCs w:val="22"/>
        </w:rPr>
        <w:t>). Hoci dôvody straty zamestnania nie sú systematicky sledované, nezanedbateľná časť odchodov do evidencie je pravdepodobne spôsobená vyčerpaním dotácie na pracovné miesto zamestnávateľom. Vyše tretina (35 %) prijímateľov OP bola pred odchodom do evidencie podporovaná niektorým z nástrojov AOTP, z toho predovšetkým v rámci národných projektov</w:t>
      </w:r>
      <w:r w:rsidRPr="00A16C60">
        <w:rPr>
          <w:rStyle w:val="Odkaznapoznmkupodiarou"/>
          <w:szCs w:val="22"/>
        </w:rPr>
        <w:footnoteReference w:id="376"/>
      </w:r>
      <w:r w:rsidRPr="00A16C60">
        <w:rPr>
          <w:szCs w:val="22"/>
        </w:rPr>
        <w:t xml:space="preserve"> (29 %) a príspevku na podporu rozvoja miestnej a regionálnej zamestnanosti</w:t>
      </w:r>
      <w:r w:rsidRPr="00A16C60">
        <w:rPr>
          <w:rStyle w:val="Odkaznapoznmkupodiarou"/>
          <w:szCs w:val="22"/>
        </w:rPr>
        <w:footnoteReference w:id="377"/>
      </w:r>
      <w:r w:rsidRPr="00A16C60">
        <w:rPr>
          <w:szCs w:val="22"/>
        </w:rPr>
        <w:t xml:space="preserve"> (4 %). Skokové nárasty odchodov do evidencie sa zhodujú s dĺžkou nároku na tento druh podpory vytvorených pracovných miest.</w:t>
      </w:r>
      <w:r w:rsidRPr="00A16C60">
        <w:rPr>
          <w:rStyle w:val="Odkaznapoznmkupodiarou"/>
          <w:szCs w:val="22"/>
        </w:rPr>
        <w:footnoteReference w:id="378"/>
      </w:r>
      <w:r w:rsidRPr="00A16C60">
        <w:rPr>
          <w:szCs w:val="22"/>
        </w:rPr>
        <w:t xml:space="preserve"> </w:t>
      </w:r>
    </w:p>
    <w:p w14:paraId="006BECDE" w14:textId="327E0786" w:rsidR="007E0579" w:rsidRDefault="007E0579" w:rsidP="007E0579">
      <w:pPr>
        <w:spacing w:before="160"/>
      </w:pPr>
      <w:r w:rsidRPr="00A16C60">
        <w:rPr>
          <w:szCs w:val="22"/>
        </w:rPr>
        <w:t xml:space="preserve">To naznačuje, že nezanedbateľná časť návratov do evidencie nie je spôsobená nedostatočnou motiváciou podporovaných ľudí pracovať, ale nedostatkom dopytu po ich službách bez štátnych dotácií zo strany zamestnávateľov. </w:t>
      </w:r>
      <w:r w:rsidR="00F349AF">
        <w:rPr>
          <w:szCs w:val="22"/>
        </w:rPr>
        <w:t xml:space="preserve">Z tohto dôvodu </w:t>
      </w:r>
      <w:r w:rsidR="00F349AF" w:rsidRPr="00F349AF">
        <w:rPr>
          <w:szCs w:val="22"/>
        </w:rPr>
        <w:t>je možné osobitný príspevok vnímať ako doplnok</w:t>
      </w:r>
      <w:r w:rsidR="00DC4C88">
        <w:rPr>
          <w:szCs w:val="22"/>
        </w:rPr>
        <w:t>,</w:t>
      </w:r>
      <w:r w:rsidR="00F349AF" w:rsidRPr="00F349AF">
        <w:rPr>
          <w:szCs w:val="22"/>
        </w:rPr>
        <w:t xml:space="preserve"> ale určite nie ako náhradu </w:t>
      </w:r>
      <w:r w:rsidR="00F349AF" w:rsidRPr="00D3189B">
        <w:t xml:space="preserve">účinných aktívnych opatrení trhu práce zameraných na zvyšovanie zamestnateľnosti znevýhodnených uchádzačov o zamestnanie (kapitola </w:t>
      </w:r>
      <w:r w:rsidR="00A02A8B">
        <w:fldChar w:fldCharType="begin"/>
      </w:r>
      <w:r w:rsidR="00A02A8B">
        <w:instrText xml:space="preserve"> REF _Ref25315280 \r \h </w:instrText>
      </w:r>
      <w:r w:rsidR="00A02A8B">
        <w:fldChar w:fldCharType="separate"/>
      </w:r>
      <w:r w:rsidR="00FA29AF">
        <w:t>7</w:t>
      </w:r>
      <w:r w:rsidR="00A02A8B">
        <w:fldChar w:fldCharType="end"/>
      </w:r>
      <w:r w:rsidR="00F349AF" w:rsidRPr="00D3189B">
        <w:t>).</w:t>
      </w:r>
    </w:p>
    <w:p w14:paraId="77EF0F44" w14:textId="6D51521E" w:rsidR="00C02CED" w:rsidRPr="00C02CED" w:rsidRDefault="00C02CED" w:rsidP="007E0579">
      <w:pPr>
        <w:spacing w:before="160"/>
      </w:pPr>
      <w:r w:rsidRPr="00CA2564">
        <w:rPr>
          <w:b/>
        </w:rPr>
        <w:t xml:space="preserve">Výhodnosť práce oproti poberaniu sociálnej pomoci potvrdzuje aj medzinárodné porovnanie sociálnych systémov. </w:t>
      </w:r>
      <w:r w:rsidRPr="00CA2564">
        <w:t>Pasca inaktivity, meraná ako efektívna daň pri nástupe do zamestnania zo systému sociálnej pomoci,</w:t>
      </w:r>
      <w:r w:rsidRPr="00CA2564">
        <w:rPr>
          <w:rStyle w:val="Odkaznapoznmkupodiarou"/>
        </w:rPr>
        <w:footnoteReference w:id="379"/>
      </w:r>
      <w:r w:rsidRPr="00CA2564">
        <w:t xml:space="preserve"> bola v roku 2018 na Slovensku výrazne pod priemerom EÚ</w:t>
      </w:r>
      <w:r w:rsidR="00B6015C">
        <w:t>15</w:t>
      </w:r>
      <w:r w:rsidRPr="00CA2564">
        <w:t xml:space="preserve"> aj V3 pre väčšinu typov domácností pri</w:t>
      </w:r>
      <w:r w:rsidR="00223A18">
        <w:t> </w:t>
      </w:r>
      <w:r w:rsidRPr="00CA2564">
        <w:t>nástupe do práce s minimálnou mzdou (</w:t>
      </w:r>
      <w:r w:rsidRPr="00CA2564">
        <w:fldChar w:fldCharType="begin"/>
      </w:r>
      <w:r w:rsidRPr="00CA2564">
        <w:instrText xml:space="preserve"> REF _Ref18408190 \h  \* MERGEFORMAT </w:instrText>
      </w:r>
      <w:r w:rsidRPr="00CA2564">
        <w:fldChar w:fldCharType="separate"/>
      </w:r>
      <w:r w:rsidR="00FA29AF" w:rsidRPr="00FA29AF">
        <w:t xml:space="preserve">Graf </w:t>
      </w:r>
      <w:r w:rsidR="00FA29AF" w:rsidRPr="00FA29AF">
        <w:rPr>
          <w:noProof/>
        </w:rPr>
        <w:t>53</w:t>
      </w:r>
      <w:r w:rsidRPr="00CA2564">
        <w:fldChar w:fldCharType="end"/>
      </w:r>
      <w:r w:rsidRPr="00CA2564">
        <w:t>).</w:t>
      </w:r>
      <w:r w:rsidRPr="00CA2564">
        <w:rPr>
          <w:rStyle w:val="Odkaznapoznmkupodiarou"/>
        </w:rPr>
        <w:footnoteReference w:id="380"/>
      </w:r>
      <w:r w:rsidRPr="00CA2564">
        <w:t xml:space="preserve"> Napríklad v prípade jednotlivcov bez detí (táto skupina tvorí 56 % poberateľov PHN) bola pasca inaktivity v roku 2018 na úrovni 14 %, ak uchádzač nastúpil do zamestnania s minimálnou mzdou. To znamená, že 86 % hrubého príjmu predstavovalo čistý finančný zisk oproti poberaniu PHN.</w:t>
      </w:r>
    </w:p>
    <w:tbl>
      <w:tblPr>
        <w:tblW w:w="0" w:type="auto"/>
        <w:tblLayout w:type="fixed"/>
        <w:tblLook w:val="04E0" w:firstRow="1" w:lastRow="1" w:firstColumn="1" w:lastColumn="0" w:noHBand="0" w:noVBand="1"/>
      </w:tblPr>
      <w:tblGrid>
        <w:gridCol w:w="4536"/>
        <w:gridCol w:w="236"/>
        <w:gridCol w:w="4300"/>
      </w:tblGrid>
      <w:tr w:rsidR="007E0579" w:rsidRPr="00CA2564" w14:paraId="5C8EF902" w14:textId="77777777" w:rsidTr="00986FEE">
        <w:tc>
          <w:tcPr>
            <w:tcW w:w="4536" w:type="dxa"/>
            <w:tcBorders>
              <w:bottom w:val="single" w:sz="4" w:space="0" w:color="auto"/>
            </w:tcBorders>
            <w:vAlign w:val="bottom"/>
          </w:tcPr>
          <w:p w14:paraId="476AB8C5" w14:textId="77777777" w:rsidR="007E0579" w:rsidRPr="00986FEE" w:rsidRDefault="007E0579" w:rsidP="00986FEE">
            <w:pPr>
              <w:spacing w:after="0" w:line="240" w:lineRule="auto"/>
              <w:jc w:val="left"/>
              <w:rPr>
                <w:b/>
                <w:iCs/>
                <w:sz w:val="20"/>
              </w:rPr>
            </w:pPr>
            <w:bookmarkStart w:id="871" w:name="_Ref18408190"/>
            <w:bookmarkStart w:id="872" w:name="_Toc17469425"/>
            <w:bookmarkStart w:id="873" w:name="_Toc34157611"/>
            <w:r w:rsidRPr="00986FEE">
              <w:rPr>
                <w:b/>
                <w:sz w:val="20"/>
              </w:rPr>
              <w:t xml:space="preserve">Graf </w:t>
            </w:r>
            <w:r w:rsidRPr="00986FEE">
              <w:rPr>
                <w:b/>
                <w:sz w:val="20"/>
              </w:rPr>
              <w:fldChar w:fldCharType="begin"/>
            </w:r>
            <w:r w:rsidRPr="00986FEE">
              <w:rPr>
                <w:b/>
                <w:sz w:val="20"/>
              </w:rPr>
              <w:instrText xml:space="preserve"> SEQ Graf \* ARABIC </w:instrText>
            </w:r>
            <w:r w:rsidRPr="00986FEE">
              <w:rPr>
                <w:b/>
                <w:sz w:val="20"/>
              </w:rPr>
              <w:fldChar w:fldCharType="separate"/>
            </w:r>
            <w:r w:rsidR="00FA29AF">
              <w:rPr>
                <w:b/>
                <w:noProof/>
                <w:sz w:val="20"/>
              </w:rPr>
              <w:t>53</w:t>
            </w:r>
            <w:r w:rsidRPr="00986FEE">
              <w:rPr>
                <w:b/>
                <w:sz w:val="20"/>
              </w:rPr>
              <w:fldChar w:fldCharType="end"/>
            </w:r>
            <w:bookmarkEnd w:id="871"/>
            <w:r w:rsidRPr="00986FEE">
              <w:rPr>
                <w:b/>
                <w:iCs/>
                <w:sz w:val="20"/>
              </w:rPr>
              <w:t>: Pasca inaktivity: efektívna daň pri nástupe s platom na úrovni minimálnej mzdy, 2018 (%)</w:t>
            </w:r>
            <w:bookmarkEnd w:id="872"/>
            <w:bookmarkEnd w:id="873"/>
          </w:p>
        </w:tc>
        <w:tc>
          <w:tcPr>
            <w:tcW w:w="236" w:type="dxa"/>
            <w:tcBorders>
              <w:bottom w:val="nil"/>
            </w:tcBorders>
          </w:tcPr>
          <w:p w14:paraId="643F3947" w14:textId="77777777" w:rsidR="007E0579" w:rsidRPr="00986FEE" w:rsidRDefault="007E0579" w:rsidP="00986FEE">
            <w:pPr>
              <w:spacing w:after="0" w:line="240" w:lineRule="auto"/>
              <w:rPr>
                <w:b/>
                <w:sz w:val="20"/>
              </w:rPr>
            </w:pPr>
          </w:p>
        </w:tc>
        <w:tc>
          <w:tcPr>
            <w:tcW w:w="4300" w:type="dxa"/>
            <w:tcBorders>
              <w:bottom w:val="single" w:sz="4" w:space="0" w:color="auto"/>
            </w:tcBorders>
          </w:tcPr>
          <w:p w14:paraId="68854AAF" w14:textId="23299E15" w:rsidR="007E0579" w:rsidRPr="00986FEE" w:rsidRDefault="007E0579" w:rsidP="00E528F7">
            <w:pPr>
              <w:spacing w:after="0" w:line="240" w:lineRule="auto"/>
              <w:rPr>
                <w:b/>
                <w:sz w:val="20"/>
              </w:rPr>
            </w:pPr>
            <w:bookmarkStart w:id="874" w:name="_Ref14191155"/>
            <w:bookmarkStart w:id="875" w:name="_Toc17469426"/>
            <w:bookmarkStart w:id="876" w:name="_Toc34157612"/>
            <w:r w:rsidRPr="00986FEE">
              <w:rPr>
                <w:b/>
                <w:sz w:val="20"/>
              </w:rPr>
              <w:t xml:space="preserve">Graf </w:t>
            </w:r>
            <w:r w:rsidRPr="00986FEE">
              <w:rPr>
                <w:b/>
                <w:sz w:val="20"/>
              </w:rPr>
              <w:fldChar w:fldCharType="begin"/>
            </w:r>
            <w:r w:rsidRPr="00986FEE">
              <w:rPr>
                <w:b/>
                <w:sz w:val="20"/>
              </w:rPr>
              <w:instrText xml:space="preserve"> SEQ Graf \* ARABIC </w:instrText>
            </w:r>
            <w:r w:rsidRPr="00986FEE">
              <w:rPr>
                <w:b/>
                <w:sz w:val="20"/>
              </w:rPr>
              <w:fldChar w:fldCharType="separate"/>
            </w:r>
            <w:r w:rsidR="00FA29AF">
              <w:rPr>
                <w:b/>
                <w:noProof/>
                <w:sz w:val="20"/>
              </w:rPr>
              <w:t>54</w:t>
            </w:r>
            <w:r w:rsidRPr="00986FEE">
              <w:rPr>
                <w:b/>
                <w:sz w:val="20"/>
              </w:rPr>
              <w:fldChar w:fldCharType="end"/>
            </w:r>
            <w:bookmarkEnd w:id="874"/>
            <w:r w:rsidRPr="00986FEE">
              <w:rPr>
                <w:b/>
                <w:iCs/>
                <w:sz w:val="20"/>
              </w:rPr>
              <w:t xml:space="preserve">: </w:t>
            </w:r>
            <w:r w:rsidRPr="00986FEE">
              <w:rPr>
                <w:b/>
                <w:sz w:val="20"/>
              </w:rPr>
              <w:t>Vývoj príjm</w:t>
            </w:r>
            <w:r w:rsidR="00E528F7">
              <w:rPr>
                <w:b/>
                <w:sz w:val="20"/>
              </w:rPr>
              <w:t>u z dávok a z práce za min.</w:t>
            </w:r>
            <w:r w:rsidRPr="00986FEE">
              <w:rPr>
                <w:b/>
                <w:sz w:val="20"/>
              </w:rPr>
              <w:t xml:space="preserve"> mzdu pre dlhodobo nezamestnaného </w:t>
            </w:r>
            <w:r w:rsidR="00E528F7">
              <w:rPr>
                <w:b/>
                <w:sz w:val="20"/>
              </w:rPr>
              <w:t xml:space="preserve">občana </w:t>
            </w:r>
            <w:r w:rsidRPr="00986FEE">
              <w:rPr>
                <w:b/>
                <w:sz w:val="20"/>
              </w:rPr>
              <w:t>(eur)</w:t>
            </w:r>
            <w:bookmarkEnd w:id="875"/>
            <w:bookmarkEnd w:id="876"/>
          </w:p>
        </w:tc>
      </w:tr>
      <w:tr w:rsidR="007E0579" w:rsidRPr="00CA2564" w14:paraId="44AFE55E" w14:textId="77777777" w:rsidTr="00986FEE">
        <w:tblPrEx>
          <w:tblCellMar>
            <w:left w:w="70" w:type="dxa"/>
            <w:right w:w="70" w:type="dxa"/>
          </w:tblCellMar>
        </w:tblPrEx>
        <w:tc>
          <w:tcPr>
            <w:tcW w:w="4536" w:type="dxa"/>
            <w:tcBorders>
              <w:top w:val="single" w:sz="4" w:space="0" w:color="auto"/>
              <w:bottom w:val="single" w:sz="4" w:space="0" w:color="auto"/>
            </w:tcBorders>
          </w:tcPr>
          <w:p w14:paraId="73F3AEF8" w14:textId="77777777" w:rsidR="007E0579" w:rsidRPr="00CA2564" w:rsidRDefault="007E0579" w:rsidP="00986FEE">
            <w:pPr>
              <w:spacing w:after="0" w:line="240" w:lineRule="auto"/>
              <w:rPr>
                <w:sz w:val="4"/>
                <w:szCs w:val="4"/>
              </w:rPr>
            </w:pPr>
          </w:p>
          <w:p w14:paraId="668C59DA" w14:textId="49CE197F" w:rsidR="007E0579" w:rsidRPr="00CA2564" w:rsidRDefault="00B6015C" w:rsidP="00986FEE">
            <w:pPr>
              <w:spacing w:after="0" w:line="240" w:lineRule="auto"/>
              <w:rPr>
                <w:sz w:val="4"/>
                <w:szCs w:val="4"/>
              </w:rPr>
            </w:pPr>
            <w:r>
              <w:rPr>
                <w:noProof/>
                <w:lang w:eastAsia="sk-SK"/>
              </w:rPr>
              <w:drawing>
                <wp:inline distT="0" distB="0" distL="0" distR="0" wp14:anchorId="02B4F87A" wp14:editId="7DA76D7A">
                  <wp:extent cx="2791460" cy="2505075"/>
                  <wp:effectExtent l="0" t="0" r="8890" b="0"/>
                  <wp:docPr id="28026" name="Graf 2802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xmlns:arto="http://schemas.microsoft.com/office/word/2006/arto" id="{00000000-0008-0000-1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15FE07B" w14:textId="77777777" w:rsidR="007E0579" w:rsidRPr="00CA2564" w:rsidRDefault="007E0579" w:rsidP="00986FEE">
            <w:pPr>
              <w:spacing w:after="0" w:line="240" w:lineRule="auto"/>
              <w:rPr>
                <w:sz w:val="4"/>
                <w:szCs w:val="4"/>
              </w:rPr>
            </w:pPr>
          </w:p>
        </w:tc>
        <w:tc>
          <w:tcPr>
            <w:tcW w:w="236" w:type="dxa"/>
            <w:tcBorders>
              <w:top w:val="nil"/>
              <w:bottom w:val="nil"/>
            </w:tcBorders>
          </w:tcPr>
          <w:p w14:paraId="463391D2" w14:textId="77777777" w:rsidR="007E0579" w:rsidRPr="00CA2564" w:rsidRDefault="007E0579" w:rsidP="00986FEE">
            <w:pPr>
              <w:spacing w:after="0" w:line="240" w:lineRule="auto"/>
              <w:rPr>
                <w:b/>
                <w:noProof/>
                <w:sz w:val="4"/>
                <w:szCs w:val="4"/>
              </w:rPr>
            </w:pPr>
          </w:p>
        </w:tc>
        <w:tc>
          <w:tcPr>
            <w:tcW w:w="4300" w:type="dxa"/>
            <w:tcBorders>
              <w:top w:val="single" w:sz="4" w:space="0" w:color="auto"/>
              <w:bottom w:val="single" w:sz="4" w:space="0" w:color="auto"/>
            </w:tcBorders>
          </w:tcPr>
          <w:p w14:paraId="436DF58A" w14:textId="7F88F59F" w:rsidR="007E0579" w:rsidRPr="00CA2564" w:rsidRDefault="00E62627" w:rsidP="00986FEE">
            <w:pPr>
              <w:spacing w:after="0" w:line="240" w:lineRule="auto"/>
              <w:rPr>
                <w:b/>
                <w:sz w:val="4"/>
                <w:szCs w:val="4"/>
              </w:rPr>
            </w:pPr>
            <w:r>
              <w:rPr>
                <w:noProof/>
                <w:lang w:eastAsia="sk-SK"/>
              </w:rPr>
              <w:drawing>
                <wp:inline distT="0" distB="0" distL="0" distR="0" wp14:anchorId="5893F4FD" wp14:editId="76B33E84">
                  <wp:extent cx="2809875" cy="2514600"/>
                  <wp:effectExtent l="0" t="0" r="0" b="0"/>
                  <wp:docPr id="61" name="Graf 6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0000000-0008-0000-0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6C717736" w14:textId="77777777" w:rsidR="007E0579" w:rsidRPr="00CA2564" w:rsidRDefault="007E0579" w:rsidP="00986FEE">
            <w:pPr>
              <w:spacing w:after="0" w:line="240" w:lineRule="auto"/>
              <w:rPr>
                <w:b/>
                <w:sz w:val="4"/>
                <w:szCs w:val="4"/>
              </w:rPr>
            </w:pPr>
          </w:p>
          <w:p w14:paraId="57F748C7" w14:textId="77777777" w:rsidR="007E0579" w:rsidRPr="00CA2564" w:rsidRDefault="007E0579" w:rsidP="00986FEE">
            <w:pPr>
              <w:spacing w:after="0" w:line="240" w:lineRule="auto"/>
              <w:rPr>
                <w:b/>
                <w:sz w:val="4"/>
                <w:szCs w:val="4"/>
              </w:rPr>
            </w:pPr>
          </w:p>
        </w:tc>
      </w:tr>
      <w:tr w:rsidR="007E0579" w:rsidRPr="00CA2564" w14:paraId="1FABE2F7" w14:textId="77777777" w:rsidTr="00986FEE">
        <w:tc>
          <w:tcPr>
            <w:tcW w:w="4536" w:type="dxa"/>
            <w:tcBorders>
              <w:top w:val="single" w:sz="4" w:space="0" w:color="auto"/>
            </w:tcBorders>
          </w:tcPr>
          <w:p w14:paraId="2AFF1048" w14:textId="77777777" w:rsidR="007E0579" w:rsidRPr="00986FEE" w:rsidRDefault="007E0579" w:rsidP="00986FEE">
            <w:pPr>
              <w:spacing w:after="0" w:line="240" w:lineRule="auto"/>
              <w:jc w:val="right"/>
              <w:rPr>
                <w:i/>
                <w:noProof/>
                <w:sz w:val="18"/>
                <w:szCs w:val="18"/>
              </w:rPr>
            </w:pPr>
            <w:r w:rsidRPr="00986FEE">
              <w:rPr>
                <w:i/>
                <w:noProof/>
                <w:sz w:val="18"/>
                <w:szCs w:val="18"/>
              </w:rPr>
              <w:t xml:space="preserve">Zdroj: OECD </w:t>
            </w:r>
          </w:p>
          <w:p w14:paraId="1620586D" w14:textId="2A190CF6" w:rsidR="007E0579" w:rsidRPr="00986FEE" w:rsidRDefault="007E0579" w:rsidP="00986FEE">
            <w:pPr>
              <w:spacing w:after="0" w:line="240" w:lineRule="auto"/>
              <w:rPr>
                <w:bCs/>
                <w:i/>
                <w:noProof/>
                <w:sz w:val="18"/>
                <w:szCs w:val="18"/>
              </w:rPr>
            </w:pPr>
            <w:r w:rsidRPr="00986FEE">
              <w:rPr>
                <w:i/>
                <w:noProof/>
                <w:sz w:val="18"/>
                <w:szCs w:val="18"/>
              </w:rPr>
              <w:t xml:space="preserve">Poznámka: </w:t>
            </w:r>
            <w:r w:rsidR="009326D9" w:rsidRPr="00986FEE">
              <w:rPr>
                <w:i/>
                <w:noProof/>
                <w:sz w:val="18"/>
                <w:szCs w:val="18"/>
              </w:rPr>
              <w:t>E</w:t>
            </w:r>
            <w:r w:rsidRPr="00986FEE">
              <w:rPr>
                <w:i/>
                <w:noProof/>
                <w:sz w:val="18"/>
                <w:szCs w:val="18"/>
              </w:rPr>
              <w:t>fektívna daň je vypočítaná pri nástupe zo systému minimálneho garanotvaného príjmu (na Slovnesku PHN)</w:t>
            </w:r>
            <w:r w:rsidR="00447309" w:rsidRPr="00986FEE">
              <w:rPr>
                <w:i/>
                <w:noProof/>
                <w:sz w:val="18"/>
                <w:szCs w:val="18"/>
              </w:rPr>
              <w:t xml:space="preserve"> po dvoch mesiacoch nezamestnanosti. V prípade manželov sa predpokladá, že manžel(ka) osoby vstupujúcej do zamestnania je bez práce.</w:t>
            </w:r>
          </w:p>
        </w:tc>
        <w:tc>
          <w:tcPr>
            <w:tcW w:w="236" w:type="dxa"/>
            <w:tcBorders>
              <w:top w:val="nil"/>
            </w:tcBorders>
          </w:tcPr>
          <w:p w14:paraId="71ECFEE6" w14:textId="77777777" w:rsidR="007E0579" w:rsidRPr="00986FEE" w:rsidRDefault="007E0579" w:rsidP="00986FEE">
            <w:pPr>
              <w:spacing w:after="0" w:line="240" w:lineRule="auto"/>
              <w:jc w:val="right"/>
              <w:rPr>
                <w:i/>
                <w:noProof/>
                <w:sz w:val="18"/>
                <w:szCs w:val="18"/>
              </w:rPr>
            </w:pPr>
          </w:p>
        </w:tc>
        <w:tc>
          <w:tcPr>
            <w:tcW w:w="4300" w:type="dxa"/>
            <w:tcBorders>
              <w:top w:val="single" w:sz="4" w:space="0" w:color="auto"/>
            </w:tcBorders>
          </w:tcPr>
          <w:p w14:paraId="2BFBAB54" w14:textId="5F0CEC44" w:rsidR="007E0579" w:rsidRPr="00986FEE" w:rsidRDefault="007E0579" w:rsidP="00986FEE">
            <w:pPr>
              <w:spacing w:after="0" w:line="240" w:lineRule="auto"/>
              <w:jc w:val="right"/>
              <w:rPr>
                <w:rStyle w:val="Hypertextovprepojenie"/>
                <w:i/>
                <w:sz w:val="18"/>
                <w:szCs w:val="18"/>
              </w:rPr>
            </w:pPr>
            <w:r w:rsidRPr="00986FEE">
              <w:rPr>
                <w:i/>
                <w:noProof/>
                <w:sz w:val="18"/>
                <w:szCs w:val="18"/>
              </w:rPr>
              <w:t>Zdroj:</w:t>
            </w:r>
            <w:r w:rsidRPr="00986FEE">
              <w:rPr>
                <w:rStyle w:val="Hypertextovprepojenie"/>
                <w:i/>
                <w:sz w:val="18"/>
                <w:szCs w:val="18"/>
              </w:rPr>
              <w:t xml:space="preserve"> </w:t>
            </w:r>
            <w:hyperlink r:id="rId80" w:history="1">
              <w:r w:rsidRPr="00986FEE">
                <w:rPr>
                  <w:rStyle w:val="Hypertextovprepojenie"/>
                  <w:i/>
                  <w:sz w:val="18"/>
                  <w:szCs w:val="18"/>
                </w:rPr>
                <w:t>https://w</w:t>
              </w:r>
              <w:r w:rsidR="001B56A6" w:rsidRPr="00986FEE">
                <w:rPr>
                  <w:rStyle w:val="Hypertextovprepojenie"/>
                  <w:i/>
                  <w:sz w:val="18"/>
                  <w:szCs w:val="18"/>
                </w:rPr>
                <w:t>w.iz.sk</w:t>
              </w:r>
              <w:r w:rsidRPr="00986FEE">
                <w:rPr>
                  <w:rStyle w:val="Hypertextovprepojenie"/>
                  <w:i/>
                  <w:sz w:val="18"/>
                  <w:szCs w:val="18"/>
                </w:rPr>
                <w:t>w/kalkulacka</w:t>
              </w:r>
            </w:hyperlink>
          </w:p>
          <w:p w14:paraId="70E86D09" w14:textId="5BCC35D3" w:rsidR="007E0579" w:rsidRPr="00986FEE" w:rsidRDefault="007E0579" w:rsidP="00986FEE">
            <w:pPr>
              <w:spacing w:after="0" w:line="240" w:lineRule="auto"/>
              <w:rPr>
                <w:i/>
                <w:noProof/>
                <w:sz w:val="18"/>
                <w:szCs w:val="18"/>
              </w:rPr>
            </w:pPr>
            <w:r w:rsidRPr="00986FEE">
              <w:rPr>
                <w:rStyle w:val="Hypertextovprepojenie"/>
                <w:i/>
                <w:color w:val="auto"/>
                <w:sz w:val="18"/>
                <w:szCs w:val="18"/>
                <w:u w:val="none"/>
              </w:rPr>
              <w:t>Poznámka: Výpočet predpokladá bydlisko v najmenej rozvinutom okrese, nepracujúceho partnera v prípade dvojíc, tretinu detí vo veku do 3 r., tretinu v MŠ a tretinu v</w:t>
            </w:r>
            <w:r w:rsidR="001D27EB" w:rsidRPr="00986FEE">
              <w:rPr>
                <w:rStyle w:val="Hypertextovprepojenie"/>
                <w:i/>
                <w:color w:val="auto"/>
                <w:sz w:val="18"/>
                <w:szCs w:val="18"/>
                <w:u w:val="none"/>
              </w:rPr>
              <w:t> </w:t>
            </w:r>
            <w:r w:rsidRPr="00986FEE">
              <w:rPr>
                <w:rStyle w:val="Hypertextovprepojenie"/>
                <w:i/>
                <w:color w:val="auto"/>
                <w:sz w:val="18"/>
                <w:szCs w:val="18"/>
                <w:u w:val="none"/>
              </w:rPr>
              <w:t>ZŠ</w:t>
            </w:r>
            <w:r w:rsidR="001D27EB" w:rsidRPr="00986FEE">
              <w:rPr>
                <w:rStyle w:val="Hypertextovprepojenie"/>
                <w:i/>
                <w:color w:val="auto"/>
                <w:sz w:val="18"/>
                <w:szCs w:val="18"/>
                <w:u w:val="none"/>
              </w:rPr>
              <w:t xml:space="preserve"> a </w:t>
            </w:r>
            <w:r w:rsidR="007E4122" w:rsidRPr="00986FEE">
              <w:rPr>
                <w:rStyle w:val="Hypertextovprepojenie"/>
                <w:i/>
                <w:color w:val="auto"/>
                <w:sz w:val="18"/>
                <w:szCs w:val="18"/>
                <w:u w:val="none"/>
              </w:rPr>
              <w:t>nárok na príspevok na bývanie</w:t>
            </w:r>
            <w:r w:rsidR="001D27EB" w:rsidRPr="00986FEE">
              <w:rPr>
                <w:rStyle w:val="Hypertextovprepojenie"/>
                <w:i/>
                <w:color w:val="auto"/>
                <w:sz w:val="18"/>
                <w:szCs w:val="18"/>
                <w:u w:val="none"/>
              </w:rPr>
              <w:t>.</w:t>
            </w:r>
          </w:p>
        </w:tc>
      </w:tr>
    </w:tbl>
    <w:p w14:paraId="4030A383" w14:textId="7BFD284F" w:rsidR="007E0579" w:rsidRDefault="007E0579" w:rsidP="007E0579">
      <w:pPr>
        <w:spacing w:before="160"/>
      </w:pPr>
      <w:r w:rsidRPr="00CA2564">
        <w:rPr>
          <w:b/>
        </w:rPr>
        <w:t xml:space="preserve">Za posledné tri roky sa výrazne zvýšila finančná motivácia pracovať oproti poberaniu sociálnych dávok. </w:t>
      </w:r>
      <w:r w:rsidRPr="00CA2564">
        <w:t xml:space="preserve">Kým príjem dlhodobo nezamestnaného občana zo sociálnych dávok </w:t>
      </w:r>
      <w:r w:rsidRPr="005C3BAF">
        <w:rPr>
          <w:szCs w:val="22"/>
        </w:rPr>
        <w:t>vzrástol od roku 2016 do roku 2019 iba minimálne, príjem z práce za minimálnu mzdu narástol veľmi výrazne (</w:t>
      </w:r>
      <w:r w:rsidRPr="005C3BAF">
        <w:rPr>
          <w:szCs w:val="22"/>
        </w:rPr>
        <w:fldChar w:fldCharType="begin"/>
      </w:r>
      <w:r w:rsidRPr="005C3BAF">
        <w:rPr>
          <w:szCs w:val="22"/>
        </w:rPr>
        <w:instrText xml:space="preserve"> REF _Ref14191155 \h </w:instrText>
      </w:r>
      <w:r w:rsidR="005C3BAF">
        <w:rPr>
          <w:szCs w:val="22"/>
        </w:rPr>
        <w:instrText xml:space="preserve"> \* MERGEFORMAT </w:instrText>
      </w:r>
      <w:r w:rsidRPr="005C3BAF">
        <w:rPr>
          <w:szCs w:val="22"/>
        </w:rPr>
      </w:r>
      <w:r w:rsidRPr="005C3BAF">
        <w:rPr>
          <w:szCs w:val="22"/>
        </w:rPr>
        <w:fldChar w:fldCharType="separate"/>
      </w:r>
      <w:r w:rsidR="00FA29AF" w:rsidRPr="00FA29AF">
        <w:rPr>
          <w:szCs w:val="22"/>
        </w:rPr>
        <w:t xml:space="preserve">Graf </w:t>
      </w:r>
      <w:r w:rsidR="00FA29AF" w:rsidRPr="00FA29AF">
        <w:rPr>
          <w:noProof/>
          <w:szCs w:val="22"/>
        </w:rPr>
        <w:t>54</w:t>
      </w:r>
      <w:r w:rsidRPr="005C3BAF">
        <w:rPr>
          <w:szCs w:val="22"/>
        </w:rPr>
        <w:fldChar w:fldCharType="end"/>
      </w:r>
      <w:r w:rsidRPr="005C3BAF">
        <w:rPr>
          <w:szCs w:val="22"/>
        </w:rPr>
        <w:t>). Významnú úlohu v tomto zohral rast minimálnej mzdy ako aj rozšírenie súbehu PHN a príjmu z práce. Príjem z dávok a z práce</w:t>
      </w:r>
      <w:r w:rsidRPr="00CA2564">
        <w:t xml:space="preserve"> ovplyvňujú mnohé faktory</w:t>
      </w:r>
      <w:r w:rsidR="00F95819">
        <w:t>,</w:t>
      </w:r>
      <w:r w:rsidRPr="00CA2564">
        <w:t xml:space="preserve"> ako napríklad zloženie domácnosti, vek detí, dĺžka nezamestnanosti pred nastúpením do práce a dĺžka obdobia od začatia pracovného pomeru (Páleník, 2018). Pre všetky druhy domácností, vrátane mnohodetných, však platí, že v porovnaní s odkázanosťou na sociálnych dávkach je príjem pracujúcich rodín výrazne vyšší.</w:t>
      </w:r>
    </w:p>
    <w:p w14:paraId="3575AEF4" w14:textId="77777777" w:rsidR="00A850AD" w:rsidRPr="00CA2564" w:rsidRDefault="00A850AD" w:rsidP="00A850AD">
      <w:pPr>
        <w:pStyle w:val="Nadpis2"/>
        <w:spacing w:before="240"/>
        <w:ind w:left="562" w:hanging="562"/>
      </w:pPr>
      <w:bookmarkStart w:id="877" w:name="_Toc18340947"/>
      <w:bookmarkStart w:id="878" w:name="_Ref25309947"/>
      <w:bookmarkStart w:id="879" w:name="_Ref25309966"/>
      <w:bookmarkStart w:id="880" w:name="_Ref25310050"/>
      <w:bookmarkStart w:id="881" w:name="_Ref25315194"/>
      <w:bookmarkStart w:id="882" w:name="_Ref26435332"/>
      <w:bookmarkStart w:id="883" w:name="_Ref26435339"/>
      <w:bookmarkStart w:id="884" w:name="_Ref26435350"/>
      <w:bookmarkStart w:id="885" w:name="_Ref33185355"/>
      <w:bookmarkStart w:id="886" w:name="_Toc34657733"/>
      <w:r w:rsidRPr="00CA2564">
        <w:t>Podpora rodín s deťmi</w:t>
      </w:r>
      <w:bookmarkEnd w:id="877"/>
      <w:bookmarkEnd w:id="878"/>
      <w:bookmarkEnd w:id="879"/>
      <w:bookmarkEnd w:id="880"/>
      <w:bookmarkEnd w:id="881"/>
      <w:bookmarkEnd w:id="882"/>
      <w:bookmarkEnd w:id="883"/>
      <w:bookmarkEnd w:id="884"/>
      <w:bookmarkEnd w:id="885"/>
      <w:bookmarkEnd w:id="886"/>
    </w:p>
    <w:p w14:paraId="31D5CD1A" w14:textId="3D7297DC" w:rsidR="007E0579" w:rsidRPr="00CA2564" w:rsidRDefault="007E0579" w:rsidP="007E0579">
      <w:r w:rsidRPr="00CA2564">
        <w:rPr>
          <w:b/>
        </w:rPr>
        <w:t xml:space="preserve">Podpora rodín s deťmi je </w:t>
      </w:r>
      <w:r w:rsidR="00071817">
        <w:rPr>
          <w:b/>
        </w:rPr>
        <w:t xml:space="preserve">realizovaná okrem iného </w:t>
      </w:r>
      <w:r w:rsidRPr="00CA2564">
        <w:rPr>
          <w:b/>
        </w:rPr>
        <w:t>formou štátnej sociálnej podpory, ktorou štát prispieva rodičom na výdavky spojené s narodením dieťaťa alebo viacerých detí súčasne, a</w:t>
      </w:r>
      <w:r w:rsidR="00071817">
        <w:rPr>
          <w:b/>
        </w:rPr>
        <w:t> podporuje</w:t>
      </w:r>
      <w:r w:rsidRPr="00CA2564">
        <w:rPr>
          <w:b/>
        </w:rPr>
        <w:t xml:space="preserve"> zabezpečen</w:t>
      </w:r>
      <w:r w:rsidR="00071817">
        <w:rPr>
          <w:b/>
        </w:rPr>
        <w:t>ie</w:t>
      </w:r>
      <w:r w:rsidRPr="00CA2564">
        <w:rPr>
          <w:b/>
        </w:rPr>
        <w:t xml:space="preserve"> starostlivosti o nezaopatrené deti, ich výchovy a výživy.</w:t>
      </w:r>
      <w:r w:rsidRPr="00CA2564">
        <w:t xml:space="preserve"> Na rozdiel od PHN, nárok na štátne sociálne dávky v rámci podpory rodín s deťmi sa neviaže na príjem domácnosti a všetky rodi</w:t>
      </w:r>
      <w:r w:rsidR="00655295">
        <w:t>ny, ktoré spĺňajú podmienky, sú </w:t>
      </w:r>
      <w:r w:rsidRPr="00CA2564">
        <w:t>podporované rovnakou sumou.</w:t>
      </w:r>
      <w:r w:rsidR="0084001D">
        <w:t xml:space="preserve"> Hlavne p</w:t>
      </w:r>
      <w:r w:rsidRPr="00CA2564">
        <w:t>re chudobné rodiny ide o dôležitý doplnok príjmu, ktorý pomáha zmierňovať negatívne dôsledky chudoby na vývin detí.</w:t>
      </w:r>
    </w:p>
    <w:p w14:paraId="77E65959" w14:textId="3314647E" w:rsidR="00AB5422" w:rsidRPr="00CA2564" w:rsidRDefault="007E0579" w:rsidP="007E0579">
      <w:r w:rsidRPr="00CA2564">
        <w:rPr>
          <w:b/>
        </w:rPr>
        <w:t>Sociáln</w:t>
      </w:r>
      <w:r w:rsidR="00071817">
        <w:rPr>
          <w:b/>
        </w:rPr>
        <w:t xml:space="preserve">e transfery </w:t>
      </w:r>
      <w:r w:rsidRPr="00CA2564">
        <w:rPr>
          <w:b/>
        </w:rPr>
        <w:t xml:space="preserve">na Slovensku </w:t>
      </w:r>
      <w:r w:rsidR="00071817">
        <w:rPr>
          <w:b/>
        </w:rPr>
        <w:t>sú</w:t>
      </w:r>
      <w:r w:rsidRPr="00CA2564">
        <w:rPr>
          <w:b/>
        </w:rPr>
        <w:t xml:space="preserve"> menej úspešn</w:t>
      </w:r>
      <w:r w:rsidR="00071817">
        <w:rPr>
          <w:b/>
        </w:rPr>
        <w:t>é</w:t>
      </w:r>
      <w:r w:rsidRPr="00CA2564">
        <w:rPr>
          <w:b/>
        </w:rPr>
        <w:t xml:space="preserve"> v znižovaní rizika chudoby detí </w:t>
      </w:r>
      <w:r w:rsidR="007A782C">
        <w:rPr>
          <w:b/>
        </w:rPr>
        <w:t>v porovnaní s priemerom krajín</w:t>
      </w:r>
      <w:r w:rsidRPr="00CA2564">
        <w:rPr>
          <w:b/>
        </w:rPr>
        <w:t xml:space="preserve"> EÚ</w:t>
      </w:r>
      <w:r w:rsidR="007A782C">
        <w:rPr>
          <w:b/>
        </w:rPr>
        <w:t>15</w:t>
      </w:r>
      <w:r w:rsidRPr="00CA2564">
        <w:rPr>
          <w:b/>
        </w:rPr>
        <w:t xml:space="preserve">. </w:t>
      </w:r>
      <w:r w:rsidRPr="00CA2564">
        <w:t>Miera rizika chudoby detí do veku 16 rokov pred započítaním sociálnych transferov je na Slovensku pod priemerom EÚ</w:t>
      </w:r>
      <w:r w:rsidR="007A782C">
        <w:t>15</w:t>
      </w:r>
      <w:r w:rsidR="000E7D24">
        <w:t>,</w:t>
      </w:r>
      <w:r w:rsidRPr="00CA2564">
        <w:t xml:space="preserve"> po zohľadnení sociálnych transferov je detská chudoba na Slovensku mierne nadpriemerná. Percentuálne zníženie rizika chudoby detí, ktoré možno pripísať pôsobeniu štátnych sociálnych dávok (2</w:t>
      </w:r>
      <w:r w:rsidR="005D1370">
        <w:t>9</w:t>
      </w:r>
      <w:r w:rsidRPr="00CA2564">
        <w:t xml:space="preserve"> %)</w:t>
      </w:r>
      <w:r w:rsidR="00155E94">
        <w:t>,</w:t>
      </w:r>
      <w:r w:rsidRPr="00CA2564">
        <w:t xml:space="preserve"> je tak výrazne nižšie ako priemer </w:t>
      </w:r>
      <w:r w:rsidR="007A782C">
        <w:t xml:space="preserve">EÚ15 </w:t>
      </w:r>
      <w:r w:rsidRPr="00CA2564">
        <w:t>(4</w:t>
      </w:r>
      <w:r w:rsidR="007A782C">
        <w:t>2</w:t>
      </w:r>
      <w:r w:rsidRPr="00CA2564">
        <w:t xml:space="preserve"> %). Za priemerom V3 (5</w:t>
      </w:r>
      <w:r w:rsidR="005D1370">
        <w:t>7</w:t>
      </w:r>
      <w:r w:rsidRPr="00CA2564">
        <w:t xml:space="preserve"> %) Slovensko zaostáva ešte viac</w:t>
      </w:r>
      <w:r w:rsidR="004522D4" w:rsidRPr="00CA2564">
        <w:t xml:space="preserve"> (</w:t>
      </w:r>
      <w:r w:rsidR="004522D4" w:rsidRPr="00CA2564">
        <w:fldChar w:fldCharType="begin"/>
      </w:r>
      <w:r w:rsidR="004522D4" w:rsidRPr="00CA2564">
        <w:instrText xml:space="preserve"> REF _Ref18408233 \h  \* MERGEFORMAT </w:instrText>
      </w:r>
      <w:r w:rsidR="004522D4" w:rsidRPr="00CA2564">
        <w:fldChar w:fldCharType="separate"/>
      </w:r>
      <w:r w:rsidR="00FA29AF" w:rsidRPr="00FA29AF">
        <w:t xml:space="preserve">Graf </w:t>
      </w:r>
      <w:r w:rsidR="00FA29AF" w:rsidRPr="00FA29AF">
        <w:rPr>
          <w:noProof/>
        </w:rPr>
        <w:t>55</w:t>
      </w:r>
      <w:r w:rsidR="004522D4" w:rsidRPr="00CA2564">
        <w:fldChar w:fldCharType="end"/>
      </w:r>
      <w:r w:rsidR="004522D4" w:rsidRPr="00CA2564">
        <w:t>)</w:t>
      </w:r>
      <w:r w:rsidRPr="00CA2564">
        <w:t>.</w:t>
      </w:r>
    </w:p>
    <w:tbl>
      <w:tblPr>
        <w:tblW w:w="0" w:type="auto"/>
        <w:tblLayout w:type="fixed"/>
        <w:tblLook w:val="04E0" w:firstRow="1" w:lastRow="1" w:firstColumn="1" w:lastColumn="0" w:noHBand="0" w:noVBand="1"/>
      </w:tblPr>
      <w:tblGrid>
        <w:gridCol w:w="5245"/>
        <w:gridCol w:w="284"/>
        <w:gridCol w:w="3543"/>
      </w:tblGrid>
      <w:tr w:rsidR="007E0579" w:rsidRPr="00CA2564" w14:paraId="51D10F47" w14:textId="77777777" w:rsidTr="00711303">
        <w:tc>
          <w:tcPr>
            <w:tcW w:w="5245" w:type="dxa"/>
            <w:tcBorders>
              <w:bottom w:val="single" w:sz="4" w:space="0" w:color="auto"/>
            </w:tcBorders>
          </w:tcPr>
          <w:p w14:paraId="57B5A617" w14:textId="031A7431" w:rsidR="007E0579" w:rsidRPr="00711303" w:rsidRDefault="007E0579" w:rsidP="00711303">
            <w:pPr>
              <w:spacing w:after="0" w:line="240" w:lineRule="auto"/>
              <w:rPr>
                <w:b/>
                <w:iCs/>
                <w:sz w:val="20"/>
              </w:rPr>
            </w:pPr>
            <w:bookmarkStart w:id="887" w:name="_Ref18408233"/>
            <w:bookmarkStart w:id="888" w:name="_Toc17469427"/>
            <w:bookmarkStart w:id="889" w:name="_Toc34157613"/>
            <w:r w:rsidRPr="00711303">
              <w:rPr>
                <w:b/>
                <w:sz w:val="20"/>
              </w:rPr>
              <w:t xml:space="preserve">Graf </w:t>
            </w:r>
            <w:r w:rsidRPr="00711303">
              <w:rPr>
                <w:b/>
                <w:sz w:val="20"/>
              </w:rPr>
              <w:fldChar w:fldCharType="begin"/>
            </w:r>
            <w:r w:rsidRPr="00711303">
              <w:rPr>
                <w:b/>
                <w:sz w:val="20"/>
              </w:rPr>
              <w:instrText xml:space="preserve"> SEQ Graf \* ARABIC </w:instrText>
            </w:r>
            <w:r w:rsidRPr="00711303">
              <w:rPr>
                <w:b/>
                <w:sz w:val="20"/>
              </w:rPr>
              <w:fldChar w:fldCharType="separate"/>
            </w:r>
            <w:r w:rsidR="00FA29AF">
              <w:rPr>
                <w:b/>
                <w:noProof/>
                <w:sz w:val="20"/>
              </w:rPr>
              <w:t>55</w:t>
            </w:r>
            <w:r w:rsidRPr="00711303">
              <w:rPr>
                <w:b/>
                <w:sz w:val="20"/>
              </w:rPr>
              <w:fldChar w:fldCharType="end"/>
            </w:r>
            <w:bookmarkEnd w:id="887"/>
            <w:r w:rsidRPr="00711303">
              <w:rPr>
                <w:b/>
                <w:sz w:val="20"/>
              </w:rPr>
              <w:t>: Miera rizika chudoby detí do 16 rokov pred a po sociálnych transferoch, 201</w:t>
            </w:r>
            <w:r w:rsidR="005D1370" w:rsidRPr="00711303">
              <w:rPr>
                <w:b/>
                <w:sz w:val="20"/>
              </w:rPr>
              <w:t>8</w:t>
            </w:r>
            <w:bookmarkEnd w:id="888"/>
            <w:bookmarkEnd w:id="889"/>
          </w:p>
        </w:tc>
        <w:tc>
          <w:tcPr>
            <w:tcW w:w="284" w:type="dxa"/>
            <w:tcBorders>
              <w:bottom w:val="nil"/>
            </w:tcBorders>
          </w:tcPr>
          <w:p w14:paraId="6EB19566" w14:textId="77777777" w:rsidR="007E0579" w:rsidRPr="00711303" w:rsidRDefault="007E0579" w:rsidP="00711303">
            <w:pPr>
              <w:spacing w:after="0" w:line="240" w:lineRule="auto"/>
              <w:rPr>
                <w:b/>
                <w:sz w:val="20"/>
              </w:rPr>
            </w:pPr>
          </w:p>
        </w:tc>
        <w:tc>
          <w:tcPr>
            <w:tcW w:w="3543" w:type="dxa"/>
            <w:tcBorders>
              <w:bottom w:val="single" w:sz="4" w:space="0" w:color="auto"/>
            </w:tcBorders>
          </w:tcPr>
          <w:p w14:paraId="2DBD4A1D" w14:textId="1926230C" w:rsidR="007E0579" w:rsidRPr="00711303" w:rsidRDefault="007E0579" w:rsidP="00711303">
            <w:pPr>
              <w:spacing w:after="0" w:line="240" w:lineRule="auto"/>
              <w:rPr>
                <w:b/>
                <w:sz w:val="20"/>
              </w:rPr>
            </w:pPr>
            <w:bookmarkStart w:id="890" w:name="_Ref15634836"/>
            <w:bookmarkStart w:id="891" w:name="_Toc17469428"/>
            <w:bookmarkStart w:id="892" w:name="_Toc34157614"/>
            <w:r w:rsidRPr="00711303">
              <w:rPr>
                <w:b/>
                <w:sz w:val="20"/>
              </w:rPr>
              <w:t xml:space="preserve">Graf </w:t>
            </w:r>
            <w:r w:rsidRPr="00711303">
              <w:rPr>
                <w:b/>
                <w:sz w:val="20"/>
              </w:rPr>
              <w:fldChar w:fldCharType="begin"/>
            </w:r>
            <w:r w:rsidRPr="00711303">
              <w:rPr>
                <w:b/>
                <w:sz w:val="20"/>
              </w:rPr>
              <w:instrText xml:space="preserve"> SEQ Graf \* ARABIC </w:instrText>
            </w:r>
            <w:r w:rsidRPr="00711303">
              <w:rPr>
                <w:b/>
                <w:sz w:val="20"/>
              </w:rPr>
              <w:fldChar w:fldCharType="separate"/>
            </w:r>
            <w:r w:rsidR="00FA29AF">
              <w:rPr>
                <w:b/>
                <w:noProof/>
                <w:sz w:val="20"/>
              </w:rPr>
              <w:t>56</w:t>
            </w:r>
            <w:r w:rsidRPr="00711303">
              <w:rPr>
                <w:b/>
                <w:sz w:val="20"/>
              </w:rPr>
              <w:fldChar w:fldCharType="end"/>
            </w:r>
            <w:bookmarkEnd w:id="890"/>
            <w:r w:rsidRPr="00711303">
              <w:rPr>
                <w:b/>
                <w:sz w:val="20"/>
              </w:rPr>
              <w:t xml:space="preserve">: </w:t>
            </w:r>
            <w:r w:rsidR="003A724B" w:rsidRPr="00711303">
              <w:rPr>
                <w:b/>
                <w:sz w:val="20"/>
              </w:rPr>
              <w:t>Relatívna hĺbka</w:t>
            </w:r>
            <w:r w:rsidRPr="00711303">
              <w:rPr>
                <w:b/>
                <w:sz w:val="20"/>
              </w:rPr>
              <w:t xml:space="preserve"> chudoby detí, 201</w:t>
            </w:r>
            <w:r w:rsidR="005D1370" w:rsidRPr="00711303">
              <w:rPr>
                <w:b/>
                <w:sz w:val="20"/>
              </w:rPr>
              <w:t>8</w:t>
            </w:r>
            <w:bookmarkEnd w:id="891"/>
            <w:bookmarkEnd w:id="892"/>
          </w:p>
        </w:tc>
      </w:tr>
      <w:tr w:rsidR="007E0579" w:rsidRPr="00CA2564" w14:paraId="086C8A8D" w14:textId="77777777" w:rsidTr="00711303">
        <w:tblPrEx>
          <w:tblCellMar>
            <w:left w:w="70" w:type="dxa"/>
            <w:right w:w="70" w:type="dxa"/>
          </w:tblCellMar>
        </w:tblPrEx>
        <w:tc>
          <w:tcPr>
            <w:tcW w:w="5245" w:type="dxa"/>
            <w:tcBorders>
              <w:top w:val="single" w:sz="4" w:space="0" w:color="auto"/>
              <w:bottom w:val="single" w:sz="4" w:space="0" w:color="auto"/>
            </w:tcBorders>
          </w:tcPr>
          <w:p w14:paraId="5C440157" w14:textId="77777777" w:rsidR="007E0579" w:rsidRPr="00CA2564" w:rsidRDefault="007E0579" w:rsidP="00711303">
            <w:pPr>
              <w:spacing w:after="0" w:line="240" w:lineRule="auto"/>
              <w:rPr>
                <w:sz w:val="4"/>
                <w:szCs w:val="4"/>
              </w:rPr>
            </w:pPr>
          </w:p>
          <w:p w14:paraId="37F44BAF" w14:textId="1CF924BF" w:rsidR="007E0579" w:rsidRPr="00CA2564" w:rsidRDefault="007E0579" w:rsidP="00711303">
            <w:pPr>
              <w:spacing w:after="0" w:line="240" w:lineRule="auto"/>
              <w:rPr>
                <w:sz w:val="4"/>
                <w:szCs w:val="4"/>
              </w:rPr>
            </w:pPr>
          </w:p>
          <w:p w14:paraId="320853B0" w14:textId="53515F77" w:rsidR="007E0579" w:rsidRPr="00CA2564" w:rsidRDefault="00711303" w:rsidP="00711303">
            <w:pPr>
              <w:spacing w:after="0" w:line="240" w:lineRule="auto"/>
              <w:rPr>
                <w:sz w:val="4"/>
                <w:szCs w:val="4"/>
              </w:rPr>
            </w:pPr>
            <w:r>
              <w:rPr>
                <w:noProof/>
                <w:lang w:eastAsia="sk-SK"/>
              </w:rPr>
              <w:drawing>
                <wp:inline distT="0" distB="0" distL="0" distR="0" wp14:anchorId="73C834C4" wp14:editId="15BA5287">
                  <wp:extent cx="3241675" cy="2590800"/>
                  <wp:effectExtent l="0" t="0" r="0" b="0"/>
                  <wp:docPr id="22" name="Graf 22">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xmlns:arto="http://schemas.microsoft.com/office/word/2006/arto" id="{00000000-0008-0000-2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c>
          <w:tcPr>
            <w:tcW w:w="284" w:type="dxa"/>
            <w:tcBorders>
              <w:top w:val="nil"/>
              <w:bottom w:val="nil"/>
            </w:tcBorders>
          </w:tcPr>
          <w:p w14:paraId="047F5BFC" w14:textId="77777777" w:rsidR="007E0579" w:rsidRPr="00CA2564" w:rsidRDefault="007E0579" w:rsidP="00711303">
            <w:pPr>
              <w:spacing w:after="0" w:line="240" w:lineRule="auto"/>
              <w:rPr>
                <w:noProof/>
                <w:sz w:val="4"/>
                <w:szCs w:val="4"/>
              </w:rPr>
            </w:pPr>
          </w:p>
        </w:tc>
        <w:tc>
          <w:tcPr>
            <w:tcW w:w="3543" w:type="dxa"/>
            <w:tcBorders>
              <w:top w:val="single" w:sz="4" w:space="0" w:color="auto"/>
              <w:bottom w:val="single" w:sz="4" w:space="0" w:color="auto"/>
            </w:tcBorders>
          </w:tcPr>
          <w:p w14:paraId="24F88C3E" w14:textId="77777777" w:rsidR="007E0579" w:rsidRPr="00CA2564" w:rsidRDefault="007E0579" w:rsidP="00711303">
            <w:pPr>
              <w:spacing w:after="0" w:line="240" w:lineRule="auto"/>
              <w:rPr>
                <w:sz w:val="4"/>
                <w:szCs w:val="4"/>
              </w:rPr>
            </w:pPr>
          </w:p>
          <w:p w14:paraId="6E28FB1D" w14:textId="1B1462D2" w:rsidR="007E0579" w:rsidRPr="00CA2564" w:rsidRDefault="004411B3" w:rsidP="00711303">
            <w:pPr>
              <w:spacing w:after="0" w:line="240" w:lineRule="auto"/>
              <w:rPr>
                <w:sz w:val="4"/>
                <w:szCs w:val="4"/>
              </w:rPr>
            </w:pPr>
            <w:r>
              <w:rPr>
                <w:noProof/>
                <w:lang w:eastAsia="sk-SK"/>
              </w:rPr>
              <w:drawing>
                <wp:inline distT="0" distB="0" distL="0" distR="0" wp14:anchorId="781FC5C3" wp14:editId="60442363">
                  <wp:extent cx="2160905" cy="2562225"/>
                  <wp:effectExtent l="0" t="0" r="0" b="0"/>
                  <wp:docPr id="28013" name="Graf 28013">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xmlns:arto="http://schemas.microsoft.com/office/word/2006/arto" id="{00000000-0008-0000-2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sidR="00D24A95" w:rsidRPr="00CA2564" w:rsidDel="00D24A95">
              <w:rPr>
                <w:noProof/>
              </w:rPr>
              <w:t xml:space="preserve"> </w:t>
            </w:r>
          </w:p>
          <w:p w14:paraId="35368A83" w14:textId="77777777" w:rsidR="007E0579" w:rsidRPr="00CA2564" w:rsidRDefault="007E0579" w:rsidP="00711303">
            <w:pPr>
              <w:spacing w:after="0" w:line="240" w:lineRule="auto"/>
              <w:rPr>
                <w:sz w:val="4"/>
                <w:szCs w:val="4"/>
              </w:rPr>
            </w:pPr>
          </w:p>
        </w:tc>
      </w:tr>
      <w:tr w:rsidR="007E0579" w:rsidRPr="00CA2564" w14:paraId="62C41684" w14:textId="77777777" w:rsidTr="00711303">
        <w:tc>
          <w:tcPr>
            <w:tcW w:w="5245" w:type="dxa"/>
            <w:tcBorders>
              <w:top w:val="single" w:sz="4" w:space="0" w:color="auto"/>
            </w:tcBorders>
          </w:tcPr>
          <w:p w14:paraId="470BF739" w14:textId="77777777" w:rsidR="007E0579" w:rsidRPr="00711303" w:rsidRDefault="007E0579" w:rsidP="00711303">
            <w:pPr>
              <w:spacing w:after="0" w:line="240" w:lineRule="auto"/>
              <w:jc w:val="right"/>
              <w:rPr>
                <w:i/>
                <w:noProof/>
                <w:sz w:val="18"/>
                <w:szCs w:val="18"/>
              </w:rPr>
            </w:pPr>
            <w:r w:rsidRPr="00711303">
              <w:rPr>
                <w:i/>
                <w:noProof/>
                <w:sz w:val="18"/>
                <w:szCs w:val="18"/>
              </w:rPr>
              <w:t>Zdroj: Eurostat</w:t>
            </w:r>
          </w:p>
        </w:tc>
        <w:tc>
          <w:tcPr>
            <w:tcW w:w="284" w:type="dxa"/>
            <w:tcBorders>
              <w:top w:val="nil"/>
            </w:tcBorders>
          </w:tcPr>
          <w:p w14:paraId="311821CC" w14:textId="77777777" w:rsidR="007E0579" w:rsidRPr="00711303" w:rsidRDefault="007E0579" w:rsidP="00711303">
            <w:pPr>
              <w:spacing w:after="0" w:line="240" w:lineRule="auto"/>
              <w:jc w:val="right"/>
              <w:rPr>
                <w:i/>
                <w:noProof/>
                <w:sz w:val="18"/>
                <w:szCs w:val="18"/>
              </w:rPr>
            </w:pPr>
          </w:p>
        </w:tc>
        <w:tc>
          <w:tcPr>
            <w:tcW w:w="3543" w:type="dxa"/>
            <w:tcBorders>
              <w:top w:val="single" w:sz="4" w:space="0" w:color="auto"/>
            </w:tcBorders>
          </w:tcPr>
          <w:p w14:paraId="05D54BA8" w14:textId="77777777" w:rsidR="007E0579" w:rsidRPr="00711303" w:rsidRDefault="007E0579" w:rsidP="00711303">
            <w:pPr>
              <w:spacing w:after="0" w:line="240" w:lineRule="auto"/>
              <w:jc w:val="right"/>
              <w:rPr>
                <w:i/>
                <w:noProof/>
                <w:sz w:val="18"/>
                <w:szCs w:val="18"/>
              </w:rPr>
            </w:pPr>
            <w:r w:rsidRPr="00711303">
              <w:rPr>
                <w:i/>
                <w:noProof/>
                <w:sz w:val="18"/>
                <w:szCs w:val="18"/>
              </w:rPr>
              <w:t xml:space="preserve">Zdroj: Eurostat </w:t>
            </w:r>
          </w:p>
        </w:tc>
      </w:tr>
    </w:tbl>
    <w:p w14:paraId="17A09F6C" w14:textId="5293AF79" w:rsidR="007E0579" w:rsidRPr="00CA2564" w:rsidRDefault="007E0579" w:rsidP="007E0579">
      <w:pPr>
        <w:spacing w:before="160"/>
      </w:pPr>
      <w:r w:rsidRPr="00CA2564">
        <w:rPr>
          <w:b/>
        </w:rPr>
        <w:t>Chudobné deti na Slovensku žijú v hlbšej chudobe ako je priemer EÚ</w:t>
      </w:r>
      <w:r w:rsidR="004411B3">
        <w:rPr>
          <w:b/>
        </w:rPr>
        <w:t>15</w:t>
      </w:r>
      <w:r w:rsidRPr="00CA2564">
        <w:rPr>
          <w:b/>
        </w:rPr>
        <w:t xml:space="preserve"> aj</w:t>
      </w:r>
      <w:r w:rsidR="00E316E5">
        <w:rPr>
          <w:b/>
        </w:rPr>
        <w:t xml:space="preserve"> </w:t>
      </w:r>
      <w:r w:rsidR="001449A2">
        <w:rPr>
          <w:b/>
        </w:rPr>
        <w:t>okolitých krajín</w:t>
      </w:r>
      <w:r w:rsidRPr="00CA2564">
        <w:rPr>
          <w:b/>
        </w:rPr>
        <w:t>.</w:t>
      </w:r>
      <w:r w:rsidRPr="00CA2564">
        <w:t xml:space="preserve"> Poukazuje na to </w:t>
      </w:r>
      <w:r w:rsidR="003A724B">
        <w:t>relatívna hĺbka</w:t>
      </w:r>
      <w:r w:rsidRPr="00CA2564">
        <w:t xml:space="preserve"> chudoby, ktorá meria</w:t>
      </w:r>
      <w:r w:rsidR="00D24A95">
        <w:t xml:space="preserve"> medzeru medzi mediánovým (stredným) príjmom chudobných rodín</w:t>
      </w:r>
      <w:r w:rsidR="00D24A95">
        <w:rPr>
          <w:rStyle w:val="Odkaznapoznmkupodiarou"/>
        </w:rPr>
        <w:footnoteReference w:id="381"/>
      </w:r>
      <w:r w:rsidR="00D24A95">
        <w:t xml:space="preserve"> a hranicou rizika chudoby </w:t>
      </w:r>
      <w:r w:rsidR="00053695">
        <w:t xml:space="preserve">vyjadrenú </w:t>
      </w:r>
      <w:r w:rsidR="00D24A95">
        <w:t>ako % hranice rizika chudoby</w:t>
      </w:r>
      <w:r w:rsidRPr="00CA2564">
        <w:t xml:space="preserve"> (</w:t>
      </w:r>
      <w:r w:rsidRPr="009D5D8E">
        <w:fldChar w:fldCharType="begin"/>
      </w:r>
      <w:r w:rsidRPr="009D5D8E">
        <w:instrText xml:space="preserve"> REF _Ref15634836 \h </w:instrText>
      </w:r>
      <w:r w:rsidR="009D5D8E">
        <w:instrText xml:space="preserve"> \* MERGEFORMAT </w:instrText>
      </w:r>
      <w:r w:rsidRPr="009D5D8E">
        <w:fldChar w:fldCharType="separate"/>
      </w:r>
      <w:r w:rsidR="00FA29AF" w:rsidRPr="00FA29AF">
        <w:t>Graf 56</w:t>
      </w:r>
      <w:r w:rsidRPr="009D5D8E">
        <w:fldChar w:fldCharType="end"/>
      </w:r>
      <w:r w:rsidRPr="00CA2564">
        <w:t xml:space="preserve">). </w:t>
      </w:r>
      <w:r w:rsidR="00D24A95">
        <w:t>Väčšia medzera na Slovnesku ukazuje, že typická rodina s deťmi žijúca pod hranicou rizika chudoby má oproti tejto hranici nižší príjem ako typická rodina v</w:t>
      </w:r>
      <w:r w:rsidR="001449A2">
        <w:t> </w:t>
      </w:r>
      <w:r w:rsidR="00D24A95">
        <w:t>EÚ</w:t>
      </w:r>
      <w:r w:rsidR="001449A2">
        <w:t>15</w:t>
      </w:r>
      <w:r w:rsidR="00D24A95">
        <w:t xml:space="preserve"> alebo </w:t>
      </w:r>
      <w:r w:rsidR="00E316E5">
        <w:t>v </w:t>
      </w:r>
      <w:r w:rsidR="00A764DF">
        <w:t>Č</w:t>
      </w:r>
      <w:r w:rsidR="00E316E5">
        <w:t>eskej republike či Poľsku</w:t>
      </w:r>
      <w:r w:rsidR="00D24A95">
        <w:t xml:space="preserve">. </w:t>
      </w:r>
      <w:r w:rsidR="00A764DF">
        <w:t xml:space="preserve">Slovensko sa v hĺbke chudoby detí viac podobá krajinám východnej a južnej Európy ako vyspelým krajinám v západnej a severnej Európe. </w:t>
      </w:r>
      <w:r w:rsidR="00E316E5">
        <w:t xml:space="preserve">Hĺbka chudoby má negatívne dopady na </w:t>
      </w:r>
      <w:r w:rsidRPr="00CA2564">
        <w:t>kognitívn</w:t>
      </w:r>
      <w:r w:rsidR="00E316E5">
        <w:t>y</w:t>
      </w:r>
      <w:r w:rsidRPr="00CA2564">
        <w:t xml:space="preserve"> a emocionáln</w:t>
      </w:r>
      <w:r w:rsidR="00E316E5">
        <w:t>y</w:t>
      </w:r>
      <w:r w:rsidRPr="00CA2564">
        <w:t xml:space="preserve"> vývin dieťaťa</w:t>
      </w:r>
      <w:r w:rsidR="008F5608">
        <w:t xml:space="preserve"> (</w:t>
      </w:r>
      <w:r w:rsidR="008F5608" w:rsidRPr="00D41517">
        <w:fldChar w:fldCharType="begin"/>
      </w:r>
      <w:r w:rsidR="008F5608" w:rsidRPr="008F5608">
        <w:instrText xml:space="preserve"> REF _Ref30771129 \h </w:instrText>
      </w:r>
      <w:r w:rsidR="008F5608" w:rsidRPr="00D41517">
        <w:instrText xml:space="preserve"> \* MERGEFORMAT </w:instrText>
      </w:r>
      <w:r w:rsidR="008F5608" w:rsidRPr="00D41517">
        <w:fldChar w:fldCharType="separate"/>
      </w:r>
      <w:r w:rsidR="00FA29AF" w:rsidRPr="00FA29AF">
        <w:rPr>
          <w:iCs/>
        </w:rPr>
        <w:t xml:space="preserve">Box </w:t>
      </w:r>
      <w:r w:rsidR="00FA29AF" w:rsidRPr="00FA29AF">
        <w:rPr>
          <w:iCs/>
          <w:noProof/>
        </w:rPr>
        <w:t>21</w:t>
      </w:r>
      <w:r w:rsidR="008F5608" w:rsidRPr="00D41517">
        <w:fldChar w:fldCharType="end"/>
      </w:r>
      <w:r w:rsidR="008F5608">
        <w:t>)</w:t>
      </w:r>
      <w:r w:rsidRPr="00CA2564">
        <w:t>.</w:t>
      </w:r>
    </w:p>
    <w:tbl>
      <w:tblPr>
        <w:tblW w:w="0" w:type="auto"/>
        <w:shd w:val="clear" w:color="auto" w:fill="BDD6EE" w:themeFill="accent1" w:themeFillTint="66"/>
        <w:tblLook w:val="04A0" w:firstRow="1" w:lastRow="0" w:firstColumn="1" w:lastColumn="0" w:noHBand="0" w:noVBand="1"/>
      </w:tblPr>
      <w:tblGrid>
        <w:gridCol w:w="9026"/>
      </w:tblGrid>
      <w:tr w:rsidR="008F5608" w14:paraId="53C8B13F" w14:textId="77777777" w:rsidTr="00D41517">
        <w:tc>
          <w:tcPr>
            <w:tcW w:w="9080" w:type="dxa"/>
            <w:shd w:val="clear" w:color="auto" w:fill="BDD6EE" w:themeFill="accent1" w:themeFillTint="66"/>
          </w:tcPr>
          <w:p w14:paraId="7516C06E" w14:textId="783D07F5" w:rsidR="008F5608" w:rsidRDefault="008F5608" w:rsidP="007E0579">
            <w:pPr>
              <w:spacing w:before="160"/>
              <w:rPr>
                <w:b/>
              </w:rPr>
            </w:pPr>
            <w:bookmarkStart w:id="893" w:name="_Ref30771129"/>
            <w:r w:rsidRPr="00FC56B1">
              <w:rPr>
                <w:b/>
                <w:iCs/>
              </w:rPr>
              <w:t xml:space="preserve">Box </w:t>
            </w:r>
            <w:r>
              <w:rPr>
                <w:b/>
                <w:iCs/>
              </w:rPr>
              <w:fldChar w:fldCharType="begin"/>
            </w:r>
            <w:r>
              <w:rPr>
                <w:b/>
                <w:iCs/>
              </w:rPr>
              <w:instrText xml:space="preserve"> SEQ Box \* ARABIC </w:instrText>
            </w:r>
            <w:r>
              <w:rPr>
                <w:b/>
                <w:iCs/>
              </w:rPr>
              <w:fldChar w:fldCharType="separate"/>
            </w:r>
            <w:r w:rsidR="00FA29AF">
              <w:rPr>
                <w:b/>
                <w:iCs/>
                <w:noProof/>
              </w:rPr>
              <w:t>21</w:t>
            </w:r>
            <w:r>
              <w:rPr>
                <w:b/>
                <w:iCs/>
              </w:rPr>
              <w:fldChar w:fldCharType="end"/>
            </w:r>
            <w:bookmarkEnd w:id="893"/>
            <w:r w:rsidRPr="00CA2564">
              <w:rPr>
                <w:b/>
              </w:rPr>
              <w:t xml:space="preserve">: </w:t>
            </w:r>
            <w:r>
              <w:rPr>
                <w:b/>
              </w:rPr>
              <w:t xml:space="preserve">Vplyv chudoby </w:t>
            </w:r>
            <w:r w:rsidR="007A58CF">
              <w:rPr>
                <w:b/>
              </w:rPr>
              <w:t>v ranom veku na vývin dieťaťa</w:t>
            </w:r>
          </w:p>
          <w:p w14:paraId="25DA8ED9" w14:textId="7B911050" w:rsidR="008F5608" w:rsidRDefault="008F5608" w:rsidP="00D41517">
            <w:r w:rsidRPr="00BD61A8">
              <w:t>Kognitívne a emocionálne</w:t>
            </w:r>
            <w:r>
              <w:t xml:space="preserve"> schopnosti a zručnosti jednotlivca nie sú iba výsle</w:t>
            </w:r>
            <w:r w:rsidR="005575C1">
              <w:t>dkom genetického dedičstva, ale </w:t>
            </w:r>
            <w:r>
              <w:t xml:space="preserve">sú do vysokej miery ovplyvnené sociálnym prostredím v ranom </w:t>
            </w:r>
            <w:r w:rsidRPr="008F5608">
              <w:t xml:space="preserve">veku. </w:t>
            </w:r>
            <w:r w:rsidRPr="00D41517">
              <w:t>Výskum v oblasti neurovedy ukázal, že aj po zohľadnení vplyvu genetiky</w:t>
            </w:r>
            <w:r w:rsidRPr="008F5608">
              <w:t xml:space="preserve">, </w:t>
            </w:r>
            <w:r w:rsidRPr="008F5608">
              <w:rPr>
                <w:noProof/>
              </w:rPr>
              <w:t>deti z chudobného prostredia m</w:t>
            </w:r>
            <w:r>
              <w:rPr>
                <w:noProof/>
              </w:rPr>
              <w:t>ajú menej rozvinuté tie časti mozgu, ktoré sú zodpovedné za rozvoj základných kognitívnych funkcií. Je možné u nich pozorovať menší objem mozgovej kôry, ktorá okrem iného umožňuje osvojiť si jazyk, ovplyvňuje myslenie, anylytické zručnosti, plánovanie a spracovanie emócií (Noble a kol., 2015). Oslabená je aj funkcia mozgového centra pamäti a učenia (Hanson a kol., 2011, Duval a kol., 2016) a regulácie emócií (Kim a kol., 2013). Dedičnosť</w:t>
            </w:r>
            <w:r w:rsidRPr="00652FC6">
              <w:rPr>
                <w:noProof/>
              </w:rPr>
              <w:t xml:space="preserve"> inteligenčného kvocientu </w:t>
            </w:r>
            <w:r>
              <w:rPr>
                <w:noProof/>
              </w:rPr>
              <w:t xml:space="preserve">(IQ) </w:t>
            </w:r>
            <w:r w:rsidRPr="00652FC6">
              <w:rPr>
                <w:noProof/>
              </w:rPr>
              <w:t>závisí od soci</w:t>
            </w:r>
            <w:r>
              <w:rPr>
                <w:noProof/>
              </w:rPr>
              <w:t xml:space="preserve">álneho zázemia a pri jeho zlepšení sa prejaví </w:t>
            </w:r>
            <w:r w:rsidRPr="00C33B87">
              <w:t xml:space="preserve">zvýšením IQ </w:t>
            </w:r>
            <w:r>
              <w:t xml:space="preserve">(Nisbett a kol., 2012). </w:t>
            </w:r>
            <w:r w:rsidRPr="00C33B87">
              <w:t>IQ detí zo sociálne znevýhodneného prostredia, ktoré boli adoptované do rodín strednej vrstvy</w:t>
            </w:r>
            <w:r>
              <w:t>,</w:t>
            </w:r>
            <w:r w:rsidRPr="00C33B87">
              <w:t xml:space="preserve"> </w:t>
            </w:r>
            <w:r>
              <w:t xml:space="preserve">bolo </w:t>
            </w:r>
            <w:r w:rsidRPr="00C33B87">
              <w:t xml:space="preserve">priemerne o 12 až 18 percentuálnych bodov vyššie ako IQ ich </w:t>
            </w:r>
            <w:r>
              <w:t>rovesníkov</w:t>
            </w:r>
            <w:r w:rsidRPr="00C33B87">
              <w:t>.</w:t>
            </w:r>
          </w:p>
          <w:p w14:paraId="2BC8DCBB" w14:textId="01243C6E" w:rsidR="008F5608" w:rsidRPr="00D41517" w:rsidRDefault="008F5608" w:rsidP="00D41517">
            <w:pPr>
              <w:rPr>
                <w:noProof/>
              </w:rPr>
            </w:pPr>
            <w:r>
              <w:rPr>
                <w:noProof/>
              </w:rPr>
              <w:t>Znížené funkcie mozgu u chudobných detí sú následkom zvýšenej stresovej a environmentálnej záťaže a materiálnej deprivácie (Johnson a kol., 2016). Tie vplývajú negatívne na vychovné schopnosti rodičov a vzťahy v rodine (Conger a Conger, 2002, Conger a kol, 2010). V rodinách, ktoré nie sú schopné vytvoriť podporujúce prostredie, je negatívny účinok na kognitívny a emočný vývin dietaťa zosilnený (Luby a kol. 2013).</w:t>
            </w:r>
            <w:r w:rsidRPr="00B92E83">
              <w:rPr>
                <w:noProof/>
              </w:rPr>
              <w:t xml:space="preserve"> </w:t>
            </w:r>
            <w:r>
              <w:rPr>
                <w:noProof/>
              </w:rPr>
              <w:t>Chudoba preukázateľne ovplyvňuje aj duševné a telesné zdravie detí. Nepriaznivé podmienky v detstve vyvolávajú fyziologické procesy, ktoré sú predstupňom ďalších ochorení a ovplyvňujú mozgovú činnosť (Nusslock a Miller, 2016). U detí z chudobných rodín je vyšší výskyt chorôb, ako sú srdcové ochorenia, obezita, cukrovka, diabetes, astma, rakovina a poruchy duševného zdravia (Wise, 2016).</w:t>
            </w:r>
          </w:p>
        </w:tc>
      </w:tr>
    </w:tbl>
    <w:p w14:paraId="0810A111" w14:textId="77777777" w:rsidR="007E0579" w:rsidRPr="00CA2564" w:rsidRDefault="007E0579" w:rsidP="007E0579">
      <w:pPr>
        <w:spacing w:before="160"/>
        <w:rPr>
          <w:color w:val="0070C0"/>
        </w:rPr>
      </w:pPr>
      <w:r w:rsidRPr="00CA2564">
        <w:rPr>
          <w:color w:val="0070C0"/>
        </w:rPr>
        <w:t>Rodičovský príspevok</w:t>
      </w:r>
    </w:p>
    <w:p w14:paraId="00FFD0D0" w14:textId="787FAED8" w:rsidR="007E0579" w:rsidRPr="008F5608" w:rsidRDefault="00495EDB" w:rsidP="007E0579">
      <w:pPr>
        <w:spacing w:before="160"/>
        <w:rPr>
          <w:b/>
          <w:szCs w:val="22"/>
        </w:rPr>
      </w:pPr>
      <w:bookmarkStart w:id="894" w:name="_Hlk17638685"/>
      <w:r w:rsidRPr="00375E0C">
        <w:rPr>
          <w:b/>
        </w:rPr>
        <w:t>Výdavky na rodičovský príspevok v</w:t>
      </w:r>
      <w:r w:rsidRPr="00495EDB">
        <w:rPr>
          <w:b/>
        </w:rPr>
        <w:t xml:space="preserve"> roku 2018 predstavovali </w:t>
      </w:r>
      <w:r w:rsidRPr="00D3189B">
        <w:rPr>
          <w:b/>
        </w:rPr>
        <w:t>368,7 miliónov eur</w:t>
      </w:r>
      <w:r>
        <w:rPr>
          <w:b/>
        </w:rPr>
        <w:t xml:space="preserve">. Do rodín v systéme pomoci v hmotnej núdzi išlo z tejto sumy iba 7,4 milióna eur a do rodín ohrozených chudobou alebo sociálnym vylúčením odhadom 147,4 miliónov eur. </w:t>
      </w:r>
      <w:r w:rsidRPr="00CA2564">
        <w:t>Rodičovský príspevok je dávka, ktorou štát prispieva oprávnenej osobe na zabezpečenie riadnej starostlivosti o dieťa do troch rokov veku.</w:t>
      </w:r>
      <w:r>
        <w:t xml:space="preserve"> </w:t>
      </w:r>
      <w:r w:rsidR="00784240">
        <w:t>Predstavuje na</w:t>
      </w:r>
      <w:r w:rsidR="002E68D5">
        <w:t>j</w:t>
      </w:r>
      <w:r w:rsidR="00784240">
        <w:t>väčšiu zložku sociálnej podpor</w:t>
      </w:r>
      <w:r w:rsidR="002E68D5">
        <w:t>y</w:t>
      </w:r>
      <w:r w:rsidR="00784240">
        <w:t xml:space="preserve"> rodín s deťmi (</w:t>
      </w:r>
      <w:r w:rsidR="00420F41">
        <w:t>pod</w:t>
      </w:r>
      <w:r w:rsidR="00784240">
        <w:t xml:space="preserve">kapitola </w:t>
      </w:r>
      <w:r w:rsidR="00A02A8B">
        <w:fldChar w:fldCharType="begin"/>
      </w:r>
      <w:r w:rsidR="00A02A8B">
        <w:instrText xml:space="preserve"> REF _Ref25315437 \r \h </w:instrText>
      </w:r>
      <w:r w:rsidR="00A02A8B">
        <w:fldChar w:fldCharType="separate"/>
      </w:r>
      <w:r w:rsidR="00FA29AF">
        <w:t>3.2</w:t>
      </w:r>
      <w:r w:rsidR="00A02A8B">
        <w:fldChar w:fldCharType="end"/>
      </w:r>
      <w:r w:rsidR="00784240">
        <w:t xml:space="preserve">). </w:t>
      </w:r>
      <w:r w:rsidR="00F80A40">
        <w:t>S účinnosťou od 1.1.2020 bola</w:t>
      </w:r>
      <w:r w:rsidR="00F80A40" w:rsidRPr="00CA2564">
        <w:t xml:space="preserve"> </w:t>
      </w:r>
      <w:r w:rsidRPr="00CA2564">
        <w:t xml:space="preserve">výška príspevku </w:t>
      </w:r>
      <w:r w:rsidR="00F80A40">
        <w:t>zvýšená na</w:t>
      </w:r>
      <w:r w:rsidR="00F80A40" w:rsidRPr="00CA2564">
        <w:t xml:space="preserve"> </w:t>
      </w:r>
      <w:r w:rsidR="007076E4">
        <w:t>270 eur a v </w:t>
      </w:r>
      <w:r w:rsidR="007076E4" w:rsidRPr="000E27B6">
        <w:rPr>
          <w:szCs w:val="22"/>
        </w:rPr>
        <w:t xml:space="preserve">prípade </w:t>
      </w:r>
      <w:r w:rsidR="007076E4" w:rsidRPr="00F24004">
        <w:rPr>
          <w:rStyle w:val="awspan1"/>
          <w:sz w:val="22"/>
          <w:szCs w:val="22"/>
        </w:rPr>
        <w:t>oprávnenej</w:t>
      </w:r>
      <w:r w:rsidR="007076E4" w:rsidRPr="00D92EC7">
        <w:rPr>
          <w:rStyle w:val="awspan1"/>
          <w:spacing w:val="27"/>
          <w:sz w:val="22"/>
          <w:szCs w:val="22"/>
        </w:rPr>
        <w:t xml:space="preserve"> </w:t>
      </w:r>
      <w:r w:rsidR="007076E4" w:rsidRPr="00D92EC7">
        <w:rPr>
          <w:rStyle w:val="awspan1"/>
          <w:sz w:val="22"/>
          <w:szCs w:val="22"/>
        </w:rPr>
        <w:t>osoby,</w:t>
      </w:r>
      <w:r w:rsidR="007076E4" w:rsidRPr="00225D12">
        <w:rPr>
          <w:rStyle w:val="awspan1"/>
          <w:spacing w:val="27"/>
          <w:sz w:val="22"/>
          <w:szCs w:val="22"/>
        </w:rPr>
        <w:t xml:space="preserve"> </w:t>
      </w:r>
      <w:r w:rsidR="007076E4">
        <w:rPr>
          <w:rStyle w:val="awspan1"/>
          <w:sz w:val="22"/>
          <w:szCs w:val="22"/>
        </w:rPr>
        <w:t xml:space="preserve">ktorej sa </w:t>
      </w:r>
      <w:r w:rsidR="007076E4" w:rsidRPr="000E27B6">
        <w:rPr>
          <w:rStyle w:val="awspan1"/>
          <w:sz w:val="22"/>
          <w:szCs w:val="22"/>
        </w:rPr>
        <w:t>pred vznikom</w:t>
      </w:r>
      <w:r w:rsidR="007076E4" w:rsidRPr="00F24004">
        <w:rPr>
          <w:rStyle w:val="awspan1"/>
          <w:spacing w:val="36"/>
          <w:sz w:val="22"/>
          <w:szCs w:val="22"/>
        </w:rPr>
        <w:t xml:space="preserve"> </w:t>
      </w:r>
      <w:r w:rsidR="007076E4" w:rsidRPr="00D92EC7">
        <w:rPr>
          <w:rStyle w:val="awspan1"/>
          <w:sz w:val="22"/>
          <w:szCs w:val="22"/>
        </w:rPr>
        <w:t>nároku</w:t>
      </w:r>
      <w:r w:rsidR="007076E4" w:rsidRPr="00D92EC7">
        <w:rPr>
          <w:rStyle w:val="awspan1"/>
          <w:spacing w:val="36"/>
          <w:sz w:val="22"/>
          <w:szCs w:val="22"/>
        </w:rPr>
        <w:t xml:space="preserve"> </w:t>
      </w:r>
      <w:r w:rsidR="007076E4" w:rsidRPr="00225D12">
        <w:rPr>
          <w:rStyle w:val="awspan1"/>
          <w:sz w:val="22"/>
          <w:szCs w:val="22"/>
        </w:rPr>
        <w:t>na</w:t>
      </w:r>
      <w:r w:rsidR="007076E4" w:rsidRPr="00225D12">
        <w:rPr>
          <w:rStyle w:val="awspan1"/>
          <w:spacing w:val="36"/>
          <w:sz w:val="22"/>
          <w:szCs w:val="22"/>
        </w:rPr>
        <w:t xml:space="preserve"> </w:t>
      </w:r>
      <w:r w:rsidR="007076E4" w:rsidRPr="00D3189B">
        <w:rPr>
          <w:rStyle w:val="awspan1"/>
          <w:sz w:val="22"/>
          <w:szCs w:val="22"/>
        </w:rPr>
        <w:t>rodičovský</w:t>
      </w:r>
      <w:r w:rsidR="007076E4" w:rsidRPr="00D3189B">
        <w:rPr>
          <w:rStyle w:val="awspan1"/>
          <w:spacing w:val="36"/>
          <w:sz w:val="22"/>
          <w:szCs w:val="22"/>
        </w:rPr>
        <w:t xml:space="preserve"> </w:t>
      </w:r>
      <w:r w:rsidR="007076E4" w:rsidRPr="00D3189B">
        <w:rPr>
          <w:rStyle w:val="awspan1"/>
          <w:sz w:val="22"/>
          <w:szCs w:val="22"/>
        </w:rPr>
        <w:t>príspevok</w:t>
      </w:r>
      <w:r w:rsidR="007076E4" w:rsidRPr="00D3189B">
        <w:rPr>
          <w:rStyle w:val="awspan1"/>
          <w:spacing w:val="36"/>
          <w:sz w:val="22"/>
          <w:szCs w:val="22"/>
        </w:rPr>
        <w:t xml:space="preserve"> </w:t>
      </w:r>
      <w:r w:rsidR="007076E4" w:rsidRPr="00D3189B">
        <w:rPr>
          <w:rStyle w:val="awspan1"/>
          <w:sz w:val="22"/>
          <w:szCs w:val="22"/>
        </w:rPr>
        <w:t>vyplácalo</w:t>
      </w:r>
      <w:r w:rsidR="007076E4" w:rsidRPr="00D3189B">
        <w:rPr>
          <w:rStyle w:val="awspan1"/>
          <w:spacing w:val="36"/>
          <w:sz w:val="22"/>
          <w:szCs w:val="22"/>
        </w:rPr>
        <w:t xml:space="preserve"> </w:t>
      </w:r>
      <w:r w:rsidR="007076E4" w:rsidRPr="00D3189B">
        <w:rPr>
          <w:rStyle w:val="awspan1"/>
          <w:sz w:val="22"/>
          <w:szCs w:val="22"/>
        </w:rPr>
        <w:t>z dôvodu</w:t>
      </w:r>
      <w:r w:rsidR="007076E4" w:rsidRPr="00D3189B">
        <w:rPr>
          <w:rStyle w:val="awspan1"/>
          <w:spacing w:val="36"/>
          <w:sz w:val="22"/>
          <w:szCs w:val="22"/>
        </w:rPr>
        <w:t xml:space="preserve"> </w:t>
      </w:r>
      <w:r w:rsidR="007076E4" w:rsidRPr="00D3189B">
        <w:rPr>
          <w:rStyle w:val="awspan1"/>
          <w:sz w:val="22"/>
          <w:szCs w:val="22"/>
        </w:rPr>
        <w:t>starostlivosti</w:t>
      </w:r>
      <w:r w:rsidR="007076E4" w:rsidRPr="00D3189B">
        <w:rPr>
          <w:rStyle w:val="awspan1"/>
          <w:spacing w:val="36"/>
          <w:sz w:val="22"/>
          <w:szCs w:val="22"/>
        </w:rPr>
        <w:t xml:space="preserve"> </w:t>
      </w:r>
      <w:r w:rsidR="007076E4" w:rsidRPr="00D3189B">
        <w:rPr>
          <w:rStyle w:val="awspan1"/>
          <w:sz w:val="22"/>
          <w:szCs w:val="22"/>
        </w:rPr>
        <w:t>o toto</w:t>
      </w:r>
      <w:r w:rsidR="007076E4" w:rsidRPr="00D3189B">
        <w:rPr>
          <w:rStyle w:val="awspan1"/>
          <w:spacing w:val="36"/>
          <w:sz w:val="22"/>
          <w:szCs w:val="22"/>
        </w:rPr>
        <w:t xml:space="preserve"> </w:t>
      </w:r>
      <w:r w:rsidR="007076E4" w:rsidRPr="00D3189B">
        <w:rPr>
          <w:rStyle w:val="awspan1"/>
          <w:sz w:val="22"/>
          <w:szCs w:val="22"/>
        </w:rPr>
        <w:t>dieťa materské</w:t>
      </w:r>
      <w:r w:rsidR="00F80A40">
        <w:rPr>
          <w:rStyle w:val="awspan1"/>
          <w:sz w:val="22"/>
          <w:szCs w:val="22"/>
        </w:rPr>
        <w:t>, na</w:t>
      </w:r>
      <w:r w:rsidR="007076E4">
        <w:rPr>
          <w:rStyle w:val="awspan1"/>
          <w:sz w:val="22"/>
          <w:szCs w:val="22"/>
        </w:rPr>
        <w:t xml:space="preserve"> 370 eur.</w:t>
      </w:r>
      <w:r w:rsidR="007076E4">
        <w:rPr>
          <w:rStyle w:val="Odkaznapoznmkupodiarou"/>
          <w:color w:val="000000"/>
          <w:szCs w:val="22"/>
        </w:rPr>
        <w:footnoteReference w:id="382"/>
      </w:r>
    </w:p>
    <w:tbl>
      <w:tblPr>
        <w:tblW w:w="0" w:type="auto"/>
        <w:tblLayout w:type="fixed"/>
        <w:tblLook w:val="04E0" w:firstRow="1" w:lastRow="1" w:firstColumn="1" w:lastColumn="0" w:noHBand="0" w:noVBand="1"/>
      </w:tblPr>
      <w:tblGrid>
        <w:gridCol w:w="3969"/>
        <w:gridCol w:w="284"/>
        <w:gridCol w:w="4819"/>
      </w:tblGrid>
      <w:tr w:rsidR="007E0579" w:rsidRPr="00CA2564" w14:paraId="5F217E61" w14:textId="77777777" w:rsidTr="00D549D1">
        <w:tc>
          <w:tcPr>
            <w:tcW w:w="3969" w:type="dxa"/>
            <w:tcBorders>
              <w:bottom w:val="single" w:sz="4" w:space="0" w:color="auto"/>
            </w:tcBorders>
          </w:tcPr>
          <w:p w14:paraId="70FA618C" w14:textId="6B7AC123" w:rsidR="007E0579" w:rsidRPr="00D549D1" w:rsidRDefault="007E0579" w:rsidP="00D549D1">
            <w:pPr>
              <w:spacing w:after="0" w:line="240" w:lineRule="auto"/>
              <w:rPr>
                <w:b/>
                <w:iCs/>
                <w:sz w:val="20"/>
              </w:rPr>
            </w:pPr>
            <w:bookmarkStart w:id="895" w:name="_Ref524352288"/>
            <w:bookmarkStart w:id="896" w:name="_Toc17469429"/>
            <w:bookmarkStart w:id="897" w:name="_Toc34157615"/>
            <w:bookmarkEnd w:id="894"/>
            <w:r w:rsidRPr="00D549D1">
              <w:rPr>
                <w:b/>
                <w:sz w:val="20"/>
              </w:rPr>
              <w:t xml:space="preserve">Graf </w:t>
            </w:r>
            <w:r w:rsidRPr="00D549D1">
              <w:rPr>
                <w:b/>
                <w:sz w:val="20"/>
              </w:rPr>
              <w:fldChar w:fldCharType="begin"/>
            </w:r>
            <w:r w:rsidRPr="00D549D1">
              <w:rPr>
                <w:b/>
                <w:sz w:val="20"/>
              </w:rPr>
              <w:instrText xml:space="preserve"> SEQ Graf \* ARABIC </w:instrText>
            </w:r>
            <w:r w:rsidRPr="00D549D1">
              <w:rPr>
                <w:b/>
                <w:sz w:val="20"/>
              </w:rPr>
              <w:fldChar w:fldCharType="separate"/>
            </w:r>
            <w:r w:rsidR="00FA29AF">
              <w:rPr>
                <w:b/>
                <w:noProof/>
                <w:sz w:val="20"/>
              </w:rPr>
              <w:t>57</w:t>
            </w:r>
            <w:r w:rsidRPr="00D549D1">
              <w:rPr>
                <w:b/>
                <w:sz w:val="20"/>
              </w:rPr>
              <w:fldChar w:fldCharType="end"/>
            </w:r>
            <w:bookmarkEnd w:id="895"/>
            <w:r w:rsidRPr="00D549D1">
              <w:rPr>
                <w:b/>
                <w:sz w:val="20"/>
              </w:rPr>
              <w:t xml:space="preserve">: Dopad rodičovského príspevku na príjem </w:t>
            </w:r>
            <w:r w:rsidR="00D549D1">
              <w:rPr>
                <w:b/>
                <w:sz w:val="20"/>
              </w:rPr>
              <w:t>domácnosti 2 dospelých a 2 detí</w:t>
            </w:r>
            <w:r w:rsidRPr="00D549D1">
              <w:rPr>
                <w:b/>
                <w:sz w:val="20"/>
              </w:rPr>
              <w:t xml:space="preserve"> </w:t>
            </w:r>
            <w:r w:rsidR="00D549D1">
              <w:rPr>
                <w:b/>
                <w:sz w:val="20"/>
              </w:rPr>
              <w:t>(</w:t>
            </w:r>
            <w:r w:rsidRPr="00D549D1">
              <w:rPr>
                <w:b/>
                <w:sz w:val="20"/>
              </w:rPr>
              <w:t>20</w:t>
            </w:r>
            <w:r w:rsidR="00F80A40" w:rsidRPr="00D549D1">
              <w:rPr>
                <w:b/>
                <w:sz w:val="20"/>
              </w:rPr>
              <w:t>20</w:t>
            </w:r>
            <w:bookmarkEnd w:id="896"/>
            <w:r w:rsidR="00D549D1">
              <w:rPr>
                <w:b/>
                <w:sz w:val="20"/>
              </w:rPr>
              <w:t>)</w:t>
            </w:r>
            <w:bookmarkEnd w:id="897"/>
          </w:p>
        </w:tc>
        <w:tc>
          <w:tcPr>
            <w:tcW w:w="284" w:type="dxa"/>
            <w:tcBorders>
              <w:bottom w:val="nil"/>
            </w:tcBorders>
          </w:tcPr>
          <w:p w14:paraId="507D3B95" w14:textId="77777777" w:rsidR="007E0579" w:rsidRPr="00D549D1" w:rsidRDefault="007E0579" w:rsidP="00D549D1">
            <w:pPr>
              <w:spacing w:after="0" w:line="240" w:lineRule="auto"/>
              <w:rPr>
                <w:b/>
                <w:sz w:val="20"/>
              </w:rPr>
            </w:pPr>
          </w:p>
        </w:tc>
        <w:tc>
          <w:tcPr>
            <w:tcW w:w="4819" w:type="dxa"/>
            <w:tcBorders>
              <w:bottom w:val="single" w:sz="4" w:space="0" w:color="auto"/>
            </w:tcBorders>
          </w:tcPr>
          <w:p w14:paraId="6F63B4F1" w14:textId="1B9E91DB" w:rsidR="007E0579" w:rsidRPr="00D549D1" w:rsidRDefault="007E0579" w:rsidP="00D549D1">
            <w:pPr>
              <w:spacing w:after="0" w:line="240" w:lineRule="auto"/>
              <w:rPr>
                <w:b/>
                <w:sz w:val="20"/>
              </w:rPr>
            </w:pPr>
            <w:bookmarkStart w:id="898" w:name="_Ref529513771"/>
            <w:bookmarkStart w:id="899" w:name="_Ref529513751"/>
            <w:bookmarkStart w:id="900" w:name="_Toc17469430"/>
            <w:bookmarkStart w:id="901" w:name="_Toc34157616"/>
            <w:r w:rsidRPr="00D549D1">
              <w:rPr>
                <w:b/>
                <w:sz w:val="20"/>
              </w:rPr>
              <w:t xml:space="preserve">Graf </w:t>
            </w:r>
            <w:r w:rsidRPr="00D549D1">
              <w:rPr>
                <w:b/>
                <w:sz w:val="20"/>
              </w:rPr>
              <w:fldChar w:fldCharType="begin"/>
            </w:r>
            <w:r w:rsidRPr="00D549D1">
              <w:rPr>
                <w:b/>
                <w:sz w:val="20"/>
              </w:rPr>
              <w:instrText xml:space="preserve"> SEQ Graf \* ARABIC </w:instrText>
            </w:r>
            <w:r w:rsidRPr="00D549D1">
              <w:rPr>
                <w:b/>
                <w:sz w:val="20"/>
              </w:rPr>
              <w:fldChar w:fldCharType="separate"/>
            </w:r>
            <w:r w:rsidR="00FA29AF">
              <w:rPr>
                <w:b/>
                <w:noProof/>
                <w:sz w:val="20"/>
              </w:rPr>
              <w:t>58</w:t>
            </w:r>
            <w:r w:rsidRPr="00D549D1">
              <w:rPr>
                <w:b/>
                <w:sz w:val="20"/>
              </w:rPr>
              <w:fldChar w:fldCharType="end"/>
            </w:r>
            <w:bookmarkEnd w:id="898"/>
            <w:r w:rsidRPr="00D549D1">
              <w:rPr>
                <w:b/>
                <w:sz w:val="20"/>
              </w:rPr>
              <w:t>: Príjem rodiny dvoch dospelých bez vlastného príjmu pred a po narodení prvého dieťaťa, (eur, 20</w:t>
            </w:r>
            <w:r w:rsidR="00F7137D" w:rsidRPr="00D549D1">
              <w:rPr>
                <w:b/>
                <w:sz w:val="20"/>
              </w:rPr>
              <w:t>20</w:t>
            </w:r>
            <w:r w:rsidRPr="00D549D1">
              <w:rPr>
                <w:b/>
                <w:sz w:val="20"/>
              </w:rPr>
              <w:t>)</w:t>
            </w:r>
            <w:bookmarkEnd w:id="899"/>
            <w:bookmarkEnd w:id="900"/>
            <w:bookmarkEnd w:id="901"/>
          </w:p>
        </w:tc>
      </w:tr>
      <w:tr w:rsidR="007E0579" w:rsidRPr="00CA2564" w14:paraId="571D031D" w14:textId="77777777" w:rsidTr="00D549D1">
        <w:tblPrEx>
          <w:tblCellMar>
            <w:left w:w="70" w:type="dxa"/>
            <w:right w:w="70" w:type="dxa"/>
          </w:tblCellMar>
        </w:tblPrEx>
        <w:tc>
          <w:tcPr>
            <w:tcW w:w="3969" w:type="dxa"/>
            <w:tcBorders>
              <w:top w:val="single" w:sz="4" w:space="0" w:color="auto"/>
              <w:bottom w:val="single" w:sz="4" w:space="0" w:color="auto"/>
            </w:tcBorders>
          </w:tcPr>
          <w:p w14:paraId="22FA40C2" w14:textId="77777777" w:rsidR="007E0579" w:rsidRPr="00CA2564" w:rsidRDefault="007E0579" w:rsidP="00D549D1">
            <w:pPr>
              <w:spacing w:after="0" w:line="240" w:lineRule="auto"/>
              <w:rPr>
                <w:sz w:val="4"/>
                <w:szCs w:val="4"/>
              </w:rPr>
            </w:pPr>
          </w:p>
          <w:p w14:paraId="75930D11" w14:textId="265E2FBF" w:rsidR="007E0579" w:rsidRPr="00CA2564" w:rsidRDefault="00F80A40" w:rsidP="00D549D1">
            <w:pPr>
              <w:spacing w:after="0" w:line="240" w:lineRule="auto"/>
              <w:rPr>
                <w:sz w:val="4"/>
                <w:szCs w:val="4"/>
              </w:rPr>
            </w:pPr>
            <w:r>
              <w:rPr>
                <w:noProof/>
                <w:lang w:eastAsia="sk-SK"/>
              </w:rPr>
              <w:drawing>
                <wp:inline distT="0" distB="0" distL="0" distR="0" wp14:anchorId="67E4F33C" wp14:editId="4C0B6EFB">
                  <wp:extent cx="2431415" cy="2543175"/>
                  <wp:effectExtent l="0" t="0" r="6985" b="0"/>
                  <wp:docPr id="307" name="Graf 30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0000000-0008-0000-1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25694707" w14:textId="77777777" w:rsidR="007E0579" w:rsidRPr="00CA2564" w:rsidRDefault="007E0579" w:rsidP="00D549D1">
            <w:pPr>
              <w:spacing w:after="0" w:line="240" w:lineRule="auto"/>
              <w:rPr>
                <w:sz w:val="4"/>
                <w:szCs w:val="4"/>
              </w:rPr>
            </w:pPr>
          </w:p>
        </w:tc>
        <w:tc>
          <w:tcPr>
            <w:tcW w:w="284" w:type="dxa"/>
            <w:tcBorders>
              <w:top w:val="nil"/>
              <w:bottom w:val="nil"/>
            </w:tcBorders>
          </w:tcPr>
          <w:p w14:paraId="52D6A924" w14:textId="77777777" w:rsidR="007E0579" w:rsidRPr="00CA2564" w:rsidRDefault="007E0579" w:rsidP="00D549D1">
            <w:pPr>
              <w:spacing w:after="0" w:line="240" w:lineRule="auto"/>
              <w:rPr>
                <w:noProof/>
                <w:sz w:val="4"/>
                <w:szCs w:val="4"/>
              </w:rPr>
            </w:pPr>
          </w:p>
        </w:tc>
        <w:tc>
          <w:tcPr>
            <w:tcW w:w="4819" w:type="dxa"/>
            <w:tcBorders>
              <w:top w:val="single" w:sz="4" w:space="0" w:color="auto"/>
              <w:bottom w:val="single" w:sz="4" w:space="0" w:color="auto"/>
            </w:tcBorders>
          </w:tcPr>
          <w:p w14:paraId="10239C81" w14:textId="6C43CEAD" w:rsidR="007E0579" w:rsidRPr="00CA2564" w:rsidRDefault="007E0579" w:rsidP="00D549D1">
            <w:pPr>
              <w:spacing w:after="0" w:line="240" w:lineRule="auto"/>
              <w:rPr>
                <w:noProof/>
                <w:sz w:val="4"/>
                <w:szCs w:val="4"/>
              </w:rPr>
            </w:pPr>
          </w:p>
          <w:p w14:paraId="4137ACD9" w14:textId="0B2D60F8" w:rsidR="007E0579" w:rsidRPr="00CA2564" w:rsidRDefault="00C87806" w:rsidP="00D549D1">
            <w:pPr>
              <w:spacing w:after="0" w:line="240" w:lineRule="auto"/>
              <w:rPr>
                <w:noProof/>
                <w:sz w:val="4"/>
                <w:szCs w:val="4"/>
              </w:rPr>
            </w:pPr>
            <w:r>
              <w:rPr>
                <w:noProof/>
                <w:lang w:eastAsia="sk-SK"/>
              </w:rPr>
              <w:drawing>
                <wp:inline distT="0" distB="0" distL="0" distR="0" wp14:anchorId="5199D4F3" wp14:editId="3A3AC431">
                  <wp:extent cx="2962275" cy="2533650"/>
                  <wp:effectExtent l="0" t="0" r="0" b="0"/>
                  <wp:docPr id="309" name="Graf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FEECC37" w14:textId="77777777" w:rsidR="007E0579" w:rsidRPr="00CA2564" w:rsidRDefault="007E0579" w:rsidP="00D549D1">
            <w:pPr>
              <w:spacing w:after="0" w:line="240" w:lineRule="auto"/>
              <w:rPr>
                <w:sz w:val="4"/>
                <w:szCs w:val="4"/>
              </w:rPr>
            </w:pPr>
          </w:p>
        </w:tc>
      </w:tr>
      <w:tr w:rsidR="007E0579" w:rsidRPr="00CA2564" w14:paraId="2C89453C" w14:textId="77777777" w:rsidTr="00D549D1">
        <w:trPr>
          <w:trHeight w:val="180"/>
        </w:trPr>
        <w:tc>
          <w:tcPr>
            <w:tcW w:w="3969" w:type="dxa"/>
            <w:tcBorders>
              <w:top w:val="single" w:sz="4" w:space="0" w:color="auto"/>
            </w:tcBorders>
          </w:tcPr>
          <w:p w14:paraId="0F0D6507" w14:textId="77777777" w:rsidR="007E0579" w:rsidRPr="00D549D1" w:rsidRDefault="007E0579" w:rsidP="00D549D1">
            <w:pPr>
              <w:spacing w:after="0" w:line="240" w:lineRule="auto"/>
              <w:jc w:val="right"/>
              <w:rPr>
                <w:bCs/>
                <w:i/>
                <w:noProof/>
                <w:sz w:val="18"/>
                <w:szCs w:val="18"/>
              </w:rPr>
            </w:pPr>
            <w:r w:rsidRPr="00D549D1">
              <w:rPr>
                <w:i/>
                <w:noProof/>
                <w:sz w:val="18"/>
                <w:szCs w:val="18"/>
              </w:rPr>
              <w:t>Zdroj: ÚHP</w:t>
            </w:r>
          </w:p>
        </w:tc>
        <w:tc>
          <w:tcPr>
            <w:tcW w:w="284" w:type="dxa"/>
            <w:tcBorders>
              <w:top w:val="nil"/>
            </w:tcBorders>
          </w:tcPr>
          <w:p w14:paraId="0FE969D4" w14:textId="77777777" w:rsidR="007E0579" w:rsidRPr="00D549D1" w:rsidRDefault="007E0579" w:rsidP="00D549D1">
            <w:pPr>
              <w:spacing w:after="0" w:line="240" w:lineRule="auto"/>
              <w:jc w:val="right"/>
              <w:rPr>
                <w:i/>
                <w:noProof/>
                <w:sz w:val="18"/>
                <w:szCs w:val="18"/>
              </w:rPr>
            </w:pPr>
          </w:p>
        </w:tc>
        <w:tc>
          <w:tcPr>
            <w:tcW w:w="4819" w:type="dxa"/>
            <w:tcBorders>
              <w:top w:val="single" w:sz="4" w:space="0" w:color="auto"/>
            </w:tcBorders>
          </w:tcPr>
          <w:p w14:paraId="088DAAE8" w14:textId="77777777" w:rsidR="007E0579" w:rsidRPr="00D549D1" w:rsidRDefault="007E0579" w:rsidP="00D549D1">
            <w:pPr>
              <w:spacing w:after="0" w:line="240" w:lineRule="auto"/>
              <w:jc w:val="right"/>
              <w:rPr>
                <w:i/>
                <w:noProof/>
                <w:sz w:val="18"/>
                <w:szCs w:val="18"/>
              </w:rPr>
            </w:pPr>
            <w:r w:rsidRPr="00D549D1">
              <w:rPr>
                <w:i/>
                <w:noProof/>
                <w:sz w:val="18"/>
                <w:szCs w:val="18"/>
              </w:rPr>
              <w:t>Zdroj: ÚHP</w:t>
            </w:r>
          </w:p>
          <w:p w14:paraId="3DE2454C" w14:textId="77777777" w:rsidR="007E0579" w:rsidRPr="00D549D1" w:rsidRDefault="007E0579" w:rsidP="00D549D1">
            <w:pPr>
              <w:spacing w:after="0" w:line="240" w:lineRule="auto"/>
              <w:rPr>
                <w:i/>
                <w:noProof/>
                <w:sz w:val="18"/>
                <w:szCs w:val="18"/>
              </w:rPr>
            </w:pPr>
            <w:r w:rsidRPr="00D549D1">
              <w:rPr>
                <w:i/>
                <w:noProof/>
                <w:sz w:val="18"/>
                <w:szCs w:val="18"/>
              </w:rPr>
              <w:t xml:space="preserve">Poznámka: </w:t>
            </w:r>
            <w:r w:rsidRPr="00D549D1">
              <w:rPr>
                <w:i/>
                <w:sz w:val="18"/>
                <w:szCs w:val="18"/>
              </w:rPr>
              <w:t>Výpočet predpokladá poberanie aktivačného príspevku oboma rodičmi pred narodením dieťaťa. Po narodení vzniká jednému rodičovi počas jedného roka nárok na ochranný príspevok. Výpočet predpokladá, že jeden z rodičov zostáva do troch rokov veku dieťaťa doma a stráca tak nárok na aktivačný príspevok.</w:t>
            </w:r>
          </w:p>
        </w:tc>
      </w:tr>
    </w:tbl>
    <w:p w14:paraId="19CDF320" w14:textId="4D4FA526" w:rsidR="008F5608" w:rsidRDefault="008F5608" w:rsidP="00F914A5">
      <w:pPr>
        <w:spacing w:before="160"/>
      </w:pPr>
      <w:bookmarkStart w:id="902" w:name="_Hlk17638692"/>
      <w:r>
        <w:rPr>
          <w:b/>
        </w:rPr>
        <w:t xml:space="preserve">Príjem najchudobnejších rodín </w:t>
      </w:r>
      <w:r w:rsidRPr="00CA2564">
        <w:rPr>
          <w:b/>
        </w:rPr>
        <w:t xml:space="preserve">s malými deťmi </w:t>
      </w:r>
      <w:r>
        <w:rPr>
          <w:b/>
        </w:rPr>
        <w:t xml:space="preserve">zostáva po získaní rodičovského príspevku nezmenený. </w:t>
      </w:r>
      <w:r w:rsidRPr="00CA2564">
        <w:t>Hoci na príspevok majú nárok všetci rodičia, ktorí spĺňajú podmienky, príspevok sa počíta v plnej miere ako príjem pri určovaní nároku na PHN. Pre najnižšie príjmové skupiny to znamená, že PHN sa kráti úmerne s výškou rodičovského príspevku, a teda príjem domácnosti zostáva nezmenený (</w:t>
      </w:r>
      <w:r w:rsidRPr="00CA2564">
        <w:fldChar w:fldCharType="begin"/>
      </w:r>
      <w:r w:rsidRPr="00CA2564">
        <w:instrText xml:space="preserve"> REF _Ref524352288 \h  \* MERGEFORMAT </w:instrText>
      </w:r>
      <w:r w:rsidRPr="00CA2564">
        <w:fldChar w:fldCharType="separate"/>
      </w:r>
      <w:r w:rsidR="00FA29AF" w:rsidRPr="00FA29AF">
        <w:t xml:space="preserve">Graf </w:t>
      </w:r>
      <w:r w:rsidR="00FA29AF" w:rsidRPr="00FA29AF">
        <w:rPr>
          <w:noProof/>
        </w:rPr>
        <w:t>57</w:t>
      </w:r>
      <w:r w:rsidRPr="00CA2564">
        <w:fldChar w:fldCharType="end"/>
      </w:r>
      <w:r w:rsidRPr="00CA2564">
        <w:t>).</w:t>
      </w:r>
      <w:r>
        <w:rPr>
          <w:rStyle w:val="Odkaznapoznmkupodiarou"/>
        </w:rPr>
        <w:footnoteReference w:id="383"/>
      </w:r>
    </w:p>
    <w:p w14:paraId="172772BB" w14:textId="0920BC2E" w:rsidR="00F914A5" w:rsidRDefault="00F914A5" w:rsidP="00F914A5">
      <w:pPr>
        <w:spacing w:before="160"/>
      </w:pPr>
      <w:r w:rsidRPr="00CA2564">
        <w:rPr>
          <w:b/>
        </w:rPr>
        <w:t>Hoci kombinácia pomoci v hmotnej núdzi a podpor</w:t>
      </w:r>
      <w:r>
        <w:rPr>
          <w:b/>
        </w:rPr>
        <w:t>y</w:t>
      </w:r>
      <w:r w:rsidRPr="00CA2564">
        <w:rPr>
          <w:b/>
        </w:rPr>
        <w:t xml:space="preserve"> rodiny zabezpečuje mierny nárast príjmu pri narodení dieťaťa pre domácnosť bez vlastného príjmu, domácnosť napriek tomu padá hlbšie do chudoby.</w:t>
      </w:r>
      <w:r w:rsidRPr="00CA2564">
        <w:t xml:space="preserve"> Medzera medzi príjmom a hranicou životného minima sa totiž narodením dieťaťa roztvára, najmä ak z dôvodu celodennej starostlivosti o dieťa </w:t>
      </w:r>
      <w:r w:rsidR="00071817">
        <w:t xml:space="preserve">sa </w:t>
      </w:r>
      <w:r w:rsidRPr="00CA2564">
        <w:t xml:space="preserve">jeden z rodičov </w:t>
      </w:r>
      <w:r w:rsidR="00071817">
        <w:t xml:space="preserve">nezúčastňuje aktivačnej činnosti a nedostáva </w:t>
      </w:r>
      <w:r w:rsidRPr="00CA2564">
        <w:t>aktivačný príspevok</w:t>
      </w:r>
      <w:r w:rsidR="00071817">
        <w:t xml:space="preserve"> </w:t>
      </w:r>
      <w:r w:rsidRPr="00872643">
        <w:rPr>
          <w:rFonts w:cs="NeueHaasGroteskText W02"/>
          <w:color w:val="000000"/>
        </w:rPr>
        <w:t>(</w:t>
      </w:r>
      <w:r w:rsidRPr="00872643">
        <w:rPr>
          <w:rFonts w:cs="NeueHaasGroteskText W02"/>
          <w:color w:val="000000"/>
        </w:rPr>
        <w:fldChar w:fldCharType="begin"/>
      </w:r>
      <w:r w:rsidRPr="00872643">
        <w:rPr>
          <w:rFonts w:cs="NeueHaasGroteskText W02"/>
          <w:color w:val="000000"/>
        </w:rPr>
        <w:instrText xml:space="preserve"> REF _Ref529513771 \h </w:instrText>
      </w:r>
      <w:r w:rsidR="008F73BC" w:rsidRPr="00872643">
        <w:rPr>
          <w:rFonts w:cs="NeueHaasGroteskText W02"/>
          <w:color w:val="000000"/>
        </w:rPr>
        <w:instrText xml:space="preserve"> \* MERGEFORMAT </w:instrText>
      </w:r>
      <w:r w:rsidRPr="00872643">
        <w:rPr>
          <w:rFonts w:cs="NeueHaasGroteskText W02"/>
          <w:color w:val="000000"/>
        </w:rPr>
      </w:r>
      <w:r w:rsidRPr="00872643">
        <w:rPr>
          <w:rFonts w:cs="NeueHaasGroteskText W02"/>
          <w:color w:val="000000"/>
        </w:rPr>
        <w:fldChar w:fldCharType="separate"/>
      </w:r>
      <w:r w:rsidR="00FA29AF" w:rsidRPr="00FA29AF">
        <w:rPr>
          <w:rFonts w:cs="NeueHaasGroteskText W02"/>
          <w:color w:val="000000"/>
        </w:rPr>
        <w:t>Graf</w:t>
      </w:r>
      <w:r w:rsidR="00FA29AF" w:rsidRPr="00D549D1">
        <w:rPr>
          <w:b/>
          <w:sz w:val="20"/>
        </w:rPr>
        <w:t xml:space="preserve"> </w:t>
      </w:r>
      <w:r w:rsidR="00FA29AF">
        <w:rPr>
          <w:b/>
          <w:noProof/>
          <w:sz w:val="20"/>
        </w:rPr>
        <w:t>58</w:t>
      </w:r>
      <w:r w:rsidRPr="00872643">
        <w:rPr>
          <w:rFonts w:cs="NeueHaasGroteskText W02"/>
          <w:color w:val="000000"/>
        </w:rPr>
        <w:fldChar w:fldCharType="end"/>
      </w:r>
      <w:r w:rsidRPr="00872643">
        <w:rPr>
          <w:rFonts w:cs="NeueHaasGroteskText W02"/>
          <w:color w:val="000000"/>
        </w:rPr>
        <w:t>).</w:t>
      </w:r>
    </w:p>
    <w:p w14:paraId="2931D35C" w14:textId="10B5B62C" w:rsidR="007E0579" w:rsidRPr="00CA2564" w:rsidRDefault="007E0579" w:rsidP="007E0579">
      <w:pPr>
        <w:spacing w:before="160"/>
      </w:pPr>
      <w:r w:rsidRPr="00CA2564">
        <w:rPr>
          <w:b/>
        </w:rPr>
        <w:t>Existujú dokonca situácie, kedy si chudobná rodina získaním nároku na rodičovský príspevok finančne pohorší oproti situácii</w:t>
      </w:r>
      <w:r w:rsidR="00F84587">
        <w:rPr>
          <w:b/>
        </w:rPr>
        <w:t>,</w:t>
      </w:r>
      <w:r w:rsidRPr="00CA2564">
        <w:rPr>
          <w:b/>
        </w:rPr>
        <w:t xml:space="preserve"> </w:t>
      </w:r>
      <w:r w:rsidR="00F84587">
        <w:rPr>
          <w:b/>
        </w:rPr>
        <w:t xml:space="preserve">ak </w:t>
      </w:r>
      <w:r w:rsidR="00F84587" w:rsidRPr="00CA2564">
        <w:rPr>
          <w:b/>
        </w:rPr>
        <w:t xml:space="preserve">by </w:t>
      </w:r>
      <w:r w:rsidRPr="00CA2564">
        <w:rPr>
          <w:b/>
        </w:rPr>
        <w:t xml:space="preserve">rodičovský príspevok vôbec neexistoval. </w:t>
      </w:r>
      <w:bookmarkEnd w:id="902"/>
      <w:r w:rsidRPr="00CA2564">
        <w:t>Ak výška rodičovského príspevku presiahne sumu nárokov na pomoc v hmotnej núdzi</w:t>
      </w:r>
      <w:r w:rsidR="00F84587">
        <w:t>,</w:t>
      </w:r>
      <w:r w:rsidRPr="00CA2564">
        <w:t xml:space="preserve"> rodina stráca na PHN nárok. Tým tiež stráca nárok na </w:t>
      </w:r>
      <w:r w:rsidR="00BB4364" w:rsidRPr="00CA2564">
        <w:t xml:space="preserve">odpustenie poplatkov za </w:t>
      </w:r>
      <w:r w:rsidR="00BB4364">
        <w:t>účasť dieťaťa</w:t>
      </w:r>
      <w:r w:rsidR="00BB4364" w:rsidRPr="00CA2564">
        <w:t xml:space="preserve"> v materskej škole </w:t>
      </w:r>
      <w:r w:rsidRPr="00CA2564">
        <w:t>(</w:t>
      </w:r>
      <w:r w:rsidR="00C33C7B">
        <w:fldChar w:fldCharType="begin"/>
      </w:r>
      <w:r w:rsidR="00C33C7B">
        <w:instrText xml:space="preserve"> REF _Ref24486290 \h  \* MERGEFORMAT </w:instrText>
      </w:r>
      <w:r w:rsidR="00C33C7B">
        <w:fldChar w:fldCharType="separate"/>
      </w:r>
      <w:r w:rsidR="00FA29AF" w:rsidRPr="00FA29AF">
        <w:t>Tabuľka 8</w:t>
      </w:r>
      <w:r w:rsidR="00C33C7B">
        <w:fldChar w:fldCharType="end"/>
      </w:r>
      <w:r w:rsidR="00C33C7B">
        <w:t>,</w:t>
      </w:r>
      <w:r w:rsidR="00BB4364" w:rsidRPr="00C33C7B">
        <w:t xml:space="preserve"> podkapitola</w:t>
      </w:r>
      <w:r w:rsidR="00C33C7B">
        <w:t xml:space="preserve"> </w:t>
      </w:r>
      <w:r w:rsidR="00C33C7B" w:rsidRPr="00C33C7B">
        <w:fldChar w:fldCharType="begin"/>
      </w:r>
      <w:r w:rsidR="00C33C7B">
        <w:instrText xml:space="preserve"> REF _Ref25329451 \r \h  \* MERGEFORMAT </w:instrText>
      </w:r>
      <w:r w:rsidR="00C33C7B" w:rsidRPr="00C33C7B">
        <w:fldChar w:fldCharType="separate"/>
      </w:r>
      <w:r w:rsidR="00FA29AF">
        <w:t>5.1</w:t>
      </w:r>
      <w:r w:rsidR="00C33C7B" w:rsidRPr="00C33C7B">
        <w:fldChar w:fldCharType="end"/>
      </w:r>
      <w:r w:rsidRPr="00CA2564">
        <w:t>). Ak je rozdiel medzi výškou rodičovského príspevku a sumou nárokov na PHN nižší ako výška poplatku za škôlku, príjem rodiny po zaplatení poplatku je nižší s rodičovský</w:t>
      </w:r>
      <w:r w:rsidR="00F84587">
        <w:t>m</w:t>
      </w:r>
      <w:r w:rsidRPr="00CA2564">
        <w:t xml:space="preserve"> príspevkom ako bez neho. Pre osamelého rodiča so zdravotne znevýhodneným dieťaťom v materskej škole, </w:t>
      </w:r>
      <w:r w:rsidR="00A63792" w:rsidRPr="00CA2564">
        <w:t xml:space="preserve">ktorý nemá nárok na </w:t>
      </w:r>
      <w:r w:rsidR="00A63792">
        <w:t xml:space="preserve">aktivačný príspevok ani príspevok na </w:t>
      </w:r>
      <w:r w:rsidR="00A63792" w:rsidRPr="00CA2564">
        <w:t>bývanie</w:t>
      </w:r>
      <w:r w:rsidR="001C6DB4">
        <w:t>,</w:t>
      </w:r>
      <w:r w:rsidR="00A63792">
        <w:rPr>
          <w:rStyle w:val="Odkaznapoznmkupodiarou"/>
        </w:rPr>
        <w:footnoteReference w:id="384"/>
      </w:r>
      <w:r w:rsidR="00A63792" w:rsidRPr="00CA2564">
        <w:t xml:space="preserve"> toto platí</w:t>
      </w:r>
      <w:r w:rsidR="001C6DB4">
        <w:t>,</w:t>
      </w:r>
      <w:r w:rsidR="00A63792" w:rsidRPr="00CA2564">
        <w:t xml:space="preserve"> ak výška poplatku za škôlku presiahne </w:t>
      </w:r>
      <w:r w:rsidR="00A63792">
        <w:t>8,40</w:t>
      </w:r>
      <w:r w:rsidR="00A63792" w:rsidRPr="00CA2564">
        <w:t xml:space="preserve"> eur za mesiac</w:t>
      </w:r>
      <w:r w:rsidRPr="00CA2564">
        <w:t xml:space="preserve"> (</w:t>
      </w:r>
      <w:r w:rsidR="004D5CFE" w:rsidRPr="004D5CFE">
        <w:rPr>
          <w:rFonts w:eastAsia="Arial Narrow" w:cs="Arial Narrow"/>
          <w:color w:val="000000"/>
        </w:rPr>
        <w:fldChar w:fldCharType="begin"/>
      </w:r>
      <w:r w:rsidR="004D5CFE" w:rsidRPr="004D5CFE">
        <w:rPr>
          <w:rFonts w:eastAsia="Arial Narrow" w:cs="Arial Narrow"/>
          <w:color w:val="000000"/>
        </w:rPr>
        <w:instrText xml:space="preserve"> REF _Ref34320417 \h </w:instrText>
      </w:r>
      <w:r w:rsidR="004D5CFE">
        <w:rPr>
          <w:rFonts w:eastAsia="Arial Narrow" w:cs="Arial Narrow"/>
          <w:color w:val="000000"/>
        </w:rPr>
        <w:instrText xml:space="preserve"> \* MERGEFORMAT </w:instrText>
      </w:r>
      <w:r w:rsidR="004D5CFE" w:rsidRPr="004D5CFE">
        <w:rPr>
          <w:rFonts w:eastAsia="Arial Narrow" w:cs="Arial Narrow"/>
          <w:color w:val="000000"/>
        </w:rPr>
      </w:r>
      <w:r w:rsidR="004D5CFE" w:rsidRPr="004D5CFE">
        <w:rPr>
          <w:rFonts w:eastAsia="Arial Narrow" w:cs="Arial Narrow"/>
          <w:color w:val="000000"/>
        </w:rPr>
        <w:fldChar w:fldCharType="separate"/>
      </w:r>
      <w:r w:rsidR="00FA29AF" w:rsidRPr="00FA29AF">
        <w:rPr>
          <w:rFonts w:eastAsia="Arial Narrow" w:cs="Arial Narrow"/>
          <w:color w:val="000000"/>
        </w:rPr>
        <w:t>Príloha 37</w:t>
      </w:r>
      <w:r w:rsidR="004D5CFE" w:rsidRPr="004D5CFE">
        <w:rPr>
          <w:rFonts w:eastAsia="Arial Narrow" w:cs="Arial Narrow"/>
          <w:color w:val="000000"/>
        </w:rPr>
        <w:fldChar w:fldCharType="end"/>
      </w:r>
      <w:r w:rsidRPr="00CA2564">
        <w:t>).</w:t>
      </w:r>
      <w:r w:rsidR="0079346E">
        <w:rPr>
          <w:rStyle w:val="Odkaznapoznmkupodiarou"/>
        </w:rPr>
        <w:footnoteReference w:id="385"/>
      </w:r>
    </w:p>
    <w:p w14:paraId="77862B9D" w14:textId="339E0CAC" w:rsidR="007E0579" w:rsidRPr="00CA2564" w:rsidRDefault="007E0579" w:rsidP="007E0579">
      <w:pPr>
        <w:spacing w:before="160"/>
      </w:pPr>
      <w:r w:rsidRPr="00CA2564">
        <w:t>Ďalším problémom, ktorý spôsobuje strata nároku na PHN</w:t>
      </w:r>
      <w:r w:rsidR="00380EB7">
        <w:t>,</w:t>
      </w:r>
      <w:r w:rsidRPr="00CA2564">
        <w:t xml:space="preserve"> je strata možnosti </w:t>
      </w:r>
      <w:r w:rsidR="00380EB7">
        <w:t xml:space="preserve">(po splnení podmienok nároku, napr. nastúpením do zamestnania z dlhodobej nezamestnanosti) </w:t>
      </w:r>
      <w:r w:rsidRPr="00CA2564">
        <w:t>zvýšiť rodinný príjem pomocou osobitného príspevk</w:t>
      </w:r>
      <w:r w:rsidR="00380EB7">
        <w:t>u. T</w:t>
      </w:r>
      <w:r w:rsidRPr="00CA2564">
        <w:t xml:space="preserve">o znamená, že </w:t>
      </w:r>
      <w:r w:rsidR="00B0471E">
        <w:t xml:space="preserve">v niektorých prípadoch je </w:t>
      </w:r>
      <w:r w:rsidRPr="00CA2564">
        <w:t xml:space="preserve">rodinný príjem, ktorý môžu rodičia dosiahnuť </w:t>
      </w:r>
      <w:r w:rsidR="00380EB7">
        <w:t xml:space="preserve">zamestnaním </w:t>
      </w:r>
      <w:r w:rsidR="00B0471E">
        <w:t xml:space="preserve">sa </w:t>
      </w:r>
      <w:r w:rsidR="00380EB7">
        <w:t>po narodení dieťaťa</w:t>
      </w:r>
      <w:r w:rsidR="004C41CC">
        <w:t>,</w:t>
      </w:r>
      <w:r w:rsidR="00B0471E">
        <w:t xml:space="preserve"> </w:t>
      </w:r>
      <w:r w:rsidRPr="00CA2564">
        <w:t>nižší v systéme s rodičovským príspevkom ako bez neho.</w:t>
      </w:r>
      <w:r w:rsidR="00B0471E">
        <w:t xml:space="preserve"> Platí to najmä v prípade zamestnania sa na čiastočný úväzok za minimálnu mzdu.</w:t>
      </w:r>
      <w:r w:rsidRPr="00CA2564">
        <w:t xml:space="preserve"> </w:t>
      </w:r>
      <w:r w:rsidR="00B0471E">
        <w:t>N</w:t>
      </w:r>
      <w:r w:rsidRPr="00CA2564">
        <w:t xml:space="preserve">apríklad </w:t>
      </w:r>
      <w:r w:rsidR="00B0471E">
        <w:t xml:space="preserve">v prípade </w:t>
      </w:r>
      <w:r w:rsidRPr="00CA2564">
        <w:t>rodin</w:t>
      </w:r>
      <w:r w:rsidR="00B0471E">
        <w:t>y</w:t>
      </w:r>
      <w:r w:rsidRPr="00CA2564">
        <w:t xml:space="preserve"> dvoch dlhodobo nezamestnaných </w:t>
      </w:r>
      <w:r w:rsidR="00A63792" w:rsidRPr="00CA2564">
        <w:t>rodičov</w:t>
      </w:r>
      <w:r w:rsidR="00B0471E">
        <w:t xml:space="preserve"> a</w:t>
      </w:r>
      <w:r w:rsidR="00A63792">
        <w:t xml:space="preserve"> jedného dieťaťa </w:t>
      </w:r>
      <w:r w:rsidR="00B0471E">
        <w:t>vo veku 1 až 3 roky</w:t>
      </w:r>
      <w:r w:rsidR="00FD772B">
        <w:t xml:space="preserve">, </w:t>
      </w:r>
      <w:r w:rsidR="00A63792">
        <w:t>ktorá nemá nárok</w:t>
      </w:r>
      <w:r w:rsidR="00A63792" w:rsidRPr="00CA2564">
        <w:t xml:space="preserve"> na </w:t>
      </w:r>
      <w:r w:rsidR="00B0471E">
        <w:t>aktivačný príspevok</w:t>
      </w:r>
      <w:r w:rsidR="009021C1">
        <w:t>,</w:t>
      </w:r>
      <w:r w:rsidR="00B0471E">
        <w:t xml:space="preserve"> ale má nárok na </w:t>
      </w:r>
      <w:r w:rsidR="00A63792" w:rsidRPr="00CA2564">
        <w:t>príspevok na bývanie</w:t>
      </w:r>
      <w:r w:rsidR="009021C1">
        <w:t>,</w:t>
      </w:r>
      <w:r w:rsidR="00B0471E">
        <w:t xml:space="preserve"> môže </w:t>
      </w:r>
      <w:r w:rsidR="004C41CC">
        <w:t xml:space="preserve">táto strata príjmového potenciálu dosiahnuť až 125 eur mesačne </w:t>
      </w:r>
      <w:r w:rsidR="00A63792" w:rsidRPr="00CA2564">
        <w:t>(</w:t>
      </w:r>
      <w:r w:rsidR="004D5CFE" w:rsidRPr="004D5CFE">
        <w:rPr>
          <w:rFonts w:eastAsia="Arial Narrow" w:cs="Arial Narrow"/>
          <w:color w:val="000000"/>
        </w:rPr>
        <w:fldChar w:fldCharType="begin"/>
      </w:r>
      <w:r w:rsidR="004D5CFE" w:rsidRPr="004D5CFE">
        <w:rPr>
          <w:rFonts w:eastAsia="Arial Narrow" w:cs="Arial Narrow"/>
          <w:color w:val="000000"/>
        </w:rPr>
        <w:instrText xml:space="preserve"> REF _Ref34320417 \h </w:instrText>
      </w:r>
      <w:r w:rsidR="004D5CFE">
        <w:rPr>
          <w:rFonts w:eastAsia="Arial Narrow" w:cs="Arial Narrow"/>
          <w:color w:val="000000"/>
        </w:rPr>
        <w:instrText xml:space="preserve"> \* MERGEFORMAT </w:instrText>
      </w:r>
      <w:r w:rsidR="004D5CFE" w:rsidRPr="004D5CFE">
        <w:rPr>
          <w:rFonts w:eastAsia="Arial Narrow" w:cs="Arial Narrow"/>
          <w:color w:val="000000"/>
        </w:rPr>
      </w:r>
      <w:r w:rsidR="004D5CFE" w:rsidRPr="004D5CFE">
        <w:rPr>
          <w:rFonts w:eastAsia="Arial Narrow" w:cs="Arial Narrow"/>
          <w:color w:val="000000"/>
        </w:rPr>
        <w:fldChar w:fldCharType="separate"/>
      </w:r>
      <w:r w:rsidR="00FA29AF" w:rsidRPr="00FA29AF">
        <w:rPr>
          <w:rFonts w:eastAsia="Arial Narrow" w:cs="Arial Narrow"/>
          <w:color w:val="000000"/>
        </w:rPr>
        <w:t>Príloha 37</w:t>
      </w:r>
      <w:r w:rsidR="004D5CFE" w:rsidRPr="004D5CFE">
        <w:rPr>
          <w:rFonts w:eastAsia="Arial Narrow" w:cs="Arial Narrow"/>
          <w:color w:val="000000"/>
        </w:rPr>
        <w:fldChar w:fldCharType="end"/>
      </w:r>
      <w:r w:rsidR="00A63792" w:rsidRPr="00CA2564">
        <w:t>).</w:t>
      </w:r>
    </w:p>
    <w:p w14:paraId="6A271825" w14:textId="77A25B7E" w:rsidR="00DB47CE" w:rsidRPr="00AB28DA" w:rsidRDefault="00DB47CE" w:rsidP="007E0579">
      <w:pPr>
        <w:spacing w:before="160"/>
        <w:rPr>
          <w:b/>
          <w:color w:val="0070C0"/>
        </w:rPr>
      </w:pPr>
      <w:r w:rsidRPr="00AB28DA">
        <w:rPr>
          <w:b/>
        </w:rPr>
        <w:t xml:space="preserve">Revízia navrhuje ponechať </w:t>
      </w:r>
      <w:r w:rsidR="00DC2448" w:rsidRPr="00AB28DA">
        <w:rPr>
          <w:b/>
        </w:rPr>
        <w:t xml:space="preserve">nárok na </w:t>
      </w:r>
      <w:r w:rsidRPr="00AB28DA">
        <w:rPr>
          <w:b/>
        </w:rPr>
        <w:t xml:space="preserve">osobitný príspevok pre </w:t>
      </w:r>
      <w:r w:rsidR="00DC2448" w:rsidRPr="00AB28DA">
        <w:rPr>
          <w:b/>
        </w:rPr>
        <w:t xml:space="preserve">dlhodobo nezamestnaných alebo neaktívnych </w:t>
      </w:r>
      <w:r w:rsidRPr="00AB28DA">
        <w:rPr>
          <w:b/>
        </w:rPr>
        <w:t>rodičov, ktorí stratili nárok na pomoc v hmotnej núdzi z dôvodu získania nároku na rodičovský príspevok</w:t>
      </w:r>
      <w:r w:rsidR="00DC2448" w:rsidRPr="00AB28DA">
        <w:rPr>
          <w:b/>
        </w:rPr>
        <w:t>, a ktorí sa následne zamestnajú</w:t>
      </w:r>
      <w:r w:rsidRPr="00AB28DA">
        <w:rPr>
          <w:b/>
        </w:rPr>
        <w:t xml:space="preserve">. Táto úprava nároku by mala trvať po dobu </w:t>
      </w:r>
      <w:r w:rsidR="00FE4C46" w:rsidRPr="00AB28DA">
        <w:rPr>
          <w:b/>
        </w:rPr>
        <w:t>dvoch rokov od straty nároku na PHN</w:t>
      </w:r>
      <w:r w:rsidRPr="00AB28DA">
        <w:rPr>
          <w:b/>
        </w:rPr>
        <w:t xml:space="preserve">. </w:t>
      </w:r>
    </w:p>
    <w:p w14:paraId="15018830" w14:textId="1A75FB16" w:rsidR="007E0579" w:rsidRPr="00DB47CE" w:rsidRDefault="00DB47CE" w:rsidP="007E0579">
      <w:pPr>
        <w:spacing w:before="160"/>
      </w:pPr>
      <w:r>
        <w:rPr>
          <w:color w:val="0070C0"/>
        </w:rPr>
        <w:t xml:space="preserve">Príspevok </w:t>
      </w:r>
      <w:r w:rsidR="007E0579" w:rsidRPr="00CA2564">
        <w:rPr>
          <w:color w:val="0070C0"/>
        </w:rPr>
        <w:t>pri narodení dieťaťa</w:t>
      </w:r>
    </w:p>
    <w:p w14:paraId="4EA2A046" w14:textId="79CDC298" w:rsidR="00DB47CE" w:rsidRPr="00782276" w:rsidRDefault="00DB47CE" w:rsidP="00DB47CE">
      <w:pPr>
        <w:spacing w:before="160"/>
        <w:rPr>
          <w:b/>
        </w:rPr>
      </w:pPr>
      <w:r w:rsidRPr="00782276">
        <w:rPr>
          <w:b/>
        </w:rPr>
        <w:t xml:space="preserve">Výdavky na príspevok </w:t>
      </w:r>
      <w:r>
        <w:rPr>
          <w:b/>
        </w:rPr>
        <w:t xml:space="preserve">pri narodení dieťaťa </w:t>
      </w:r>
      <w:r w:rsidRPr="00782276">
        <w:rPr>
          <w:b/>
        </w:rPr>
        <w:t xml:space="preserve">v roku 2018 predstavovali </w:t>
      </w:r>
      <w:r>
        <w:rPr>
          <w:b/>
        </w:rPr>
        <w:t>44,0</w:t>
      </w:r>
      <w:r w:rsidRPr="00782276">
        <w:rPr>
          <w:b/>
        </w:rPr>
        <w:t xml:space="preserve"> miliónov eur</w:t>
      </w:r>
      <w:r>
        <w:rPr>
          <w:b/>
        </w:rPr>
        <w:t xml:space="preserve">. Do rodín v systéme pomoci v hmotnej núdzi išlo z tejto sumy iba 0,7 milióna eur a do rodín ohrozených chudobou alebo sociálnym vylúčením odhadom 12,4 miliónov eur. </w:t>
      </w:r>
      <w:r w:rsidRPr="00CA2564">
        <w:t>Príspevok pri narodení dieťaťa je štátna sociáln</w:t>
      </w:r>
      <w:r>
        <w:t>a</w:t>
      </w:r>
      <w:r w:rsidRPr="00CA2564">
        <w:t xml:space="preserve"> dávka, ktorou štát prispieva na pokrytie výdavkov spojených so zabezpečením nevyhnutných potrieb novorodenca. Príspevok sa aktuálne vypláca vo výške 829,86 eur pri narodení jedného dieťaťa z prvého až tretieho pôrodu.</w:t>
      </w:r>
      <w:r w:rsidRPr="00CA2564">
        <w:rPr>
          <w:rStyle w:val="Odkaznapoznmkupodiarou"/>
        </w:rPr>
        <w:footnoteReference w:id="386"/>
      </w:r>
    </w:p>
    <w:p w14:paraId="76D24604" w14:textId="1C2B3E9A" w:rsidR="007E0579" w:rsidRPr="00CA2564" w:rsidRDefault="007E0579" w:rsidP="007E0579">
      <w:r w:rsidRPr="00CA2564">
        <w:rPr>
          <w:b/>
        </w:rPr>
        <w:t xml:space="preserve">Podmienky nároku na príspevok pri narodení dieťaťa spĺňa oveľa menší podiel rodičov detí v MRK ako mimo MRK. </w:t>
      </w:r>
      <w:r w:rsidRPr="00CA2564">
        <w:t xml:space="preserve">Kým príspevok v prostredí mimo MRK nedostalo okolo </w:t>
      </w:r>
      <w:r w:rsidR="00155A1B">
        <w:t>4</w:t>
      </w:r>
      <w:r w:rsidRPr="00CA2564">
        <w:t xml:space="preserve"> % rodičov detí, ktoré sa narodili v roku 201</w:t>
      </w:r>
      <w:r w:rsidR="00155A1B">
        <w:t>7</w:t>
      </w:r>
      <w:r w:rsidRPr="00CA2564">
        <w:t>, v MRK to bol</w:t>
      </w:r>
      <w:r w:rsidR="00C56146">
        <w:t>a skoro štvrtina</w:t>
      </w:r>
      <w:r w:rsidRPr="00CA2564">
        <w:t xml:space="preserve"> (</w:t>
      </w:r>
      <w:r w:rsidRPr="00CA2564">
        <w:fldChar w:fldCharType="begin"/>
      </w:r>
      <w:r w:rsidRPr="00CA2564">
        <w:instrText xml:space="preserve"> REF _Ref15565890 \h  \* MERGEFORMAT </w:instrText>
      </w:r>
      <w:r w:rsidRPr="00CA2564">
        <w:fldChar w:fldCharType="separate"/>
      </w:r>
      <w:r w:rsidR="00FA29AF" w:rsidRPr="00FA29AF">
        <w:rPr>
          <w:szCs w:val="22"/>
        </w:rPr>
        <w:t xml:space="preserve">Tabuľka </w:t>
      </w:r>
      <w:r w:rsidR="00FA29AF" w:rsidRPr="00FA29AF">
        <w:rPr>
          <w:noProof/>
          <w:szCs w:val="22"/>
        </w:rPr>
        <w:t>27</w:t>
      </w:r>
      <w:r w:rsidRPr="00CA2564">
        <w:fldChar w:fldCharType="end"/>
      </w:r>
      <w:r w:rsidRPr="00CA2564">
        <w:t xml:space="preserve">). </w:t>
      </w:r>
      <w:r w:rsidR="00155A1B">
        <w:t>Výrazne nadpriemerný výskyt straty nároku na príspevok možno pozorovať aj v rodinách v systéme PHN mimo MRK.</w:t>
      </w:r>
    </w:p>
    <w:p w14:paraId="3703A4CF" w14:textId="420D4FF8" w:rsidR="007E0579" w:rsidRPr="00B97058" w:rsidRDefault="007E0579" w:rsidP="00B97058">
      <w:pPr>
        <w:spacing w:after="0"/>
        <w:rPr>
          <w:b/>
          <w:sz w:val="20"/>
        </w:rPr>
      </w:pPr>
      <w:bookmarkStart w:id="903" w:name="_Ref15565890"/>
      <w:bookmarkStart w:id="904" w:name="_Toc17469483"/>
      <w:bookmarkStart w:id="905" w:name="_Toc34156866"/>
      <w:r w:rsidRPr="00B97058">
        <w:rPr>
          <w:b/>
          <w:sz w:val="20"/>
        </w:rPr>
        <w:t xml:space="preserve">Tabuľka </w:t>
      </w:r>
      <w:r w:rsidRPr="00B97058">
        <w:rPr>
          <w:b/>
          <w:noProof/>
          <w:sz w:val="20"/>
        </w:rPr>
        <w:fldChar w:fldCharType="begin"/>
      </w:r>
      <w:r w:rsidRPr="00B97058">
        <w:rPr>
          <w:b/>
          <w:noProof/>
          <w:sz w:val="20"/>
        </w:rPr>
        <w:instrText xml:space="preserve"> SEQ Tabuľka \* ARABIC </w:instrText>
      </w:r>
      <w:r w:rsidRPr="00B97058">
        <w:rPr>
          <w:b/>
          <w:noProof/>
          <w:sz w:val="20"/>
        </w:rPr>
        <w:fldChar w:fldCharType="separate"/>
      </w:r>
      <w:r w:rsidR="00FA29AF">
        <w:rPr>
          <w:b/>
          <w:noProof/>
          <w:sz w:val="20"/>
        </w:rPr>
        <w:t>27</w:t>
      </w:r>
      <w:r w:rsidRPr="00B97058">
        <w:rPr>
          <w:b/>
          <w:noProof/>
          <w:sz w:val="20"/>
        </w:rPr>
        <w:fldChar w:fldCharType="end"/>
      </w:r>
      <w:bookmarkEnd w:id="903"/>
      <w:r w:rsidRPr="00B97058">
        <w:rPr>
          <w:b/>
          <w:sz w:val="20"/>
        </w:rPr>
        <w:t>: Podiel detí narodených v roku 201</w:t>
      </w:r>
      <w:r w:rsidR="00D90223" w:rsidRPr="00B97058">
        <w:rPr>
          <w:b/>
          <w:sz w:val="20"/>
        </w:rPr>
        <w:t>7</w:t>
      </w:r>
      <w:r w:rsidRPr="00B97058">
        <w:rPr>
          <w:b/>
          <w:sz w:val="20"/>
        </w:rPr>
        <w:t>, ktorých rodičia nedostali príspevok pri narodení dieťaťa (%)</w:t>
      </w:r>
      <w:bookmarkEnd w:id="904"/>
      <w:bookmarkEnd w:id="905"/>
    </w:p>
    <w:tbl>
      <w:tblPr>
        <w:tblW w:w="9072" w:type="dxa"/>
        <w:tblLayout w:type="fixed"/>
        <w:tblCellMar>
          <w:left w:w="70" w:type="dxa"/>
          <w:right w:w="70" w:type="dxa"/>
        </w:tblCellMar>
        <w:tblLook w:val="04A0" w:firstRow="1" w:lastRow="0" w:firstColumn="1" w:lastColumn="0" w:noHBand="0" w:noVBand="1"/>
      </w:tblPr>
      <w:tblGrid>
        <w:gridCol w:w="2268"/>
        <w:gridCol w:w="2268"/>
        <w:gridCol w:w="2268"/>
        <w:gridCol w:w="2268"/>
      </w:tblGrid>
      <w:tr w:rsidR="008C79EC" w:rsidRPr="008C79EC" w14:paraId="4C3A0909" w14:textId="77777777" w:rsidTr="008C79EC">
        <w:trPr>
          <w:trHeight w:val="255"/>
        </w:trPr>
        <w:tc>
          <w:tcPr>
            <w:tcW w:w="2268" w:type="dxa"/>
            <w:tcBorders>
              <w:top w:val="single" w:sz="4" w:space="0" w:color="auto"/>
              <w:left w:val="nil"/>
              <w:bottom w:val="single" w:sz="4" w:space="0" w:color="auto"/>
              <w:right w:val="nil"/>
            </w:tcBorders>
            <w:shd w:val="clear" w:color="000000" w:fill="FFFFFF"/>
            <w:noWrap/>
            <w:vAlign w:val="center"/>
            <w:hideMark/>
          </w:tcPr>
          <w:p w14:paraId="0AAB5D3E" w14:textId="77777777" w:rsidR="008C79EC" w:rsidRPr="008C79EC" w:rsidRDefault="008C79EC" w:rsidP="008C79EC">
            <w:pPr>
              <w:spacing w:after="0" w:line="240" w:lineRule="auto"/>
              <w:jc w:val="right"/>
              <w:rPr>
                <w:rFonts w:eastAsia="Times New Roman" w:cs="Times New Roman"/>
                <w:color w:val="000000"/>
                <w:sz w:val="20"/>
                <w:lang w:eastAsia="sk-SK"/>
              </w:rPr>
            </w:pPr>
            <w:r w:rsidRPr="008C79EC">
              <w:rPr>
                <w:rFonts w:eastAsia="Times New Roman" w:cs="Times New Roman"/>
                <w:color w:val="000000"/>
                <w:sz w:val="20"/>
                <w:lang w:eastAsia="sk-SK"/>
              </w:rPr>
              <w:t> </w:t>
            </w:r>
          </w:p>
        </w:tc>
        <w:tc>
          <w:tcPr>
            <w:tcW w:w="2268" w:type="dxa"/>
            <w:tcBorders>
              <w:top w:val="single" w:sz="4" w:space="0" w:color="auto"/>
              <w:left w:val="nil"/>
              <w:bottom w:val="single" w:sz="4" w:space="0" w:color="auto"/>
              <w:right w:val="nil"/>
            </w:tcBorders>
            <w:shd w:val="clear" w:color="000000" w:fill="FFFFFF"/>
            <w:noWrap/>
            <w:vAlign w:val="center"/>
            <w:hideMark/>
          </w:tcPr>
          <w:p w14:paraId="6B24B923" w14:textId="77777777" w:rsidR="008C79EC" w:rsidRPr="008C79EC" w:rsidRDefault="008C79EC" w:rsidP="008C79EC">
            <w:pPr>
              <w:spacing w:after="0" w:line="240" w:lineRule="auto"/>
              <w:jc w:val="right"/>
              <w:rPr>
                <w:rFonts w:eastAsia="Times New Roman" w:cs="Times New Roman"/>
                <w:b/>
                <w:bCs/>
                <w:color w:val="000000"/>
                <w:sz w:val="20"/>
                <w:lang w:eastAsia="sk-SK"/>
              </w:rPr>
            </w:pPr>
            <w:r w:rsidRPr="008C79EC">
              <w:rPr>
                <w:rFonts w:eastAsia="Times New Roman" w:cs="Times New Roman"/>
                <w:b/>
                <w:bCs/>
                <w:color w:val="000000"/>
                <w:sz w:val="20"/>
                <w:lang w:eastAsia="sk-SK"/>
              </w:rPr>
              <w:t>MRK</w:t>
            </w:r>
          </w:p>
        </w:tc>
        <w:tc>
          <w:tcPr>
            <w:tcW w:w="2268" w:type="dxa"/>
            <w:tcBorders>
              <w:top w:val="single" w:sz="4" w:space="0" w:color="auto"/>
              <w:left w:val="nil"/>
              <w:bottom w:val="single" w:sz="4" w:space="0" w:color="auto"/>
              <w:right w:val="nil"/>
            </w:tcBorders>
            <w:shd w:val="clear" w:color="000000" w:fill="FFFFFF"/>
            <w:noWrap/>
            <w:vAlign w:val="center"/>
            <w:hideMark/>
          </w:tcPr>
          <w:p w14:paraId="7ADF5498" w14:textId="77777777" w:rsidR="008C79EC" w:rsidRPr="008C79EC" w:rsidRDefault="008C79EC" w:rsidP="008C79EC">
            <w:pPr>
              <w:spacing w:after="0" w:line="240" w:lineRule="auto"/>
              <w:jc w:val="right"/>
              <w:rPr>
                <w:rFonts w:eastAsia="Times New Roman" w:cs="Times New Roman"/>
                <w:b/>
                <w:bCs/>
                <w:color w:val="000000"/>
                <w:sz w:val="20"/>
                <w:lang w:eastAsia="sk-SK"/>
              </w:rPr>
            </w:pPr>
            <w:r w:rsidRPr="008C79EC">
              <w:rPr>
                <w:rFonts w:eastAsia="Times New Roman" w:cs="Times New Roman"/>
                <w:b/>
                <w:bCs/>
                <w:color w:val="000000"/>
                <w:sz w:val="20"/>
                <w:lang w:eastAsia="sk-SK"/>
              </w:rPr>
              <w:t>mimo MRK</w:t>
            </w:r>
          </w:p>
        </w:tc>
        <w:tc>
          <w:tcPr>
            <w:tcW w:w="2268" w:type="dxa"/>
            <w:tcBorders>
              <w:top w:val="single" w:sz="4" w:space="0" w:color="auto"/>
              <w:left w:val="nil"/>
              <w:bottom w:val="single" w:sz="4" w:space="0" w:color="auto"/>
              <w:right w:val="nil"/>
            </w:tcBorders>
            <w:shd w:val="clear" w:color="000000" w:fill="FFFFFF"/>
            <w:noWrap/>
            <w:vAlign w:val="center"/>
            <w:hideMark/>
          </w:tcPr>
          <w:p w14:paraId="64BD462D" w14:textId="77777777" w:rsidR="008C79EC" w:rsidRPr="008C79EC" w:rsidRDefault="008C79EC" w:rsidP="008C79EC">
            <w:pPr>
              <w:spacing w:after="0" w:line="240" w:lineRule="auto"/>
              <w:jc w:val="right"/>
              <w:rPr>
                <w:rFonts w:eastAsia="Times New Roman" w:cs="Times New Roman"/>
                <w:b/>
                <w:bCs/>
                <w:color w:val="000000"/>
                <w:sz w:val="20"/>
                <w:lang w:eastAsia="sk-SK"/>
              </w:rPr>
            </w:pPr>
            <w:r w:rsidRPr="008C79EC">
              <w:rPr>
                <w:rFonts w:eastAsia="Times New Roman" w:cs="Times New Roman"/>
                <w:b/>
                <w:bCs/>
                <w:color w:val="000000"/>
                <w:sz w:val="20"/>
                <w:lang w:eastAsia="sk-SK"/>
              </w:rPr>
              <w:t>Celkom</w:t>
            </w:r>
          </w:p>
        </w:tc>
      </w:tr>
      <w:tr w:rsidR="00155A1B" w:rsidRPr="008C79EC" w14:paraId="2F729DB4" w14:textId="77777777" w:rsidTr="008C79EC">
        <w:trPr>
          <w:trHeight w:val="255"/>
        </w:trPr>
        <w:tc>
          <w:tcPr>
            <w:tcW w:w="2268" w:type="dxa"/>
            <w:tcBorders>
              <w:top w:val="nil"/>
              <w:left w:val="nil"/>
              <w:bottom w:val="nil"/>
              <w:right w:val="nil"/>
            </w:tcBorders>
            <w:shd w:val="clear" w:color="000000" w:fill="FFFFFF"/>
            <w:noWrap/>
            <w:vAlign w:val="center"/>
            <w:hideMark/>
          </w:tcPr>
          <w:p w14:paraId="69796C31" w14:textId="77777777" w:rsidR="00155A1B" w:rsidRPr="008C79EC" w:rsidRDefault="00155A1B" w:rsidP="00155A1B">
            <w:pPr>
              <w:spacing w:after="0" w:line="240" w:lineRule="auto"/>
              <w:jc w:val="left"/>
              <w:rPr>
                <w:rFonts w:eastAsia="Times New Roman" w:cs="Times New Roman"/>
                <w:b/>
                <w:bCs/>
                <w:color w:val="000000"/>
                <w:sz w:val="20"/>
                <w:lang w:eastAsia="sk-SK"/>
              </w:rPr>
            </w:pPr>
            <w:r w:rsidRPr="008C79EC">
              <w:rPr>
                <w:rFonts w:eastAsia="Times New Roman" w:cs="Times New Roman"/>
                <w:b/>
                <w:bCs/>
                <w:color w:val="000000"/>
                <w:sz w:val="20"/>
                <w:lang w:eastAsia="sk-SK"/>
              </w:rPr>
              <w:t>HN</w:t>
            </w:r>
          </w:p>
        </w:tc>
        <w:tc>
          <w:tcPr>
            <w:tcW w:w="2268" w:type="dxa"/>
            <w:tcBorders>
              <w:top w:val="nil"/>
              <w:left w:val="nil"/>
              <w:bottom w:val="nil"/>
              <w:right w:val="nil"/>
            </w:tcBorders>
            <w:shd w:val="clear" w:color="000000" w:fill="FFFFFF"/>
            <w:noWrap/>
            <w:vAlign w:val="center"/>
            <w:hideMark/>
          </w:tcPr>
          <w:p w14:paraId="72389067" w14:textId="35B86C94" w:rsidR="00155A1B" w:rsidRPr="008C79EC" w:rsidRDefault="00155A1B" w:rsidP="00155A1B">
            <w:pPr>
              <w:spacing w:after="0" w:line="240" w:lineRule="auto"/>
              <w:jc w:val="right"/>
              <w:rPr>
                <w:rFonts w:eastAsia="Times New Roman" w:cs="Times New Roman"/>
                <w:color w:val="000000"/>
                <w:sz w:val="20"/>
                <w:lang w:eastAsia="sk-SK"/>
              </w:rPr>
            </w:pPr>
            <w:r>
              <w:rPr>
                <w:color w:val="000000"/>
                <w:sz w:val="20"/>
              </w:rPr>
              <w:t>24,4</w:t>
            </w:r>
          </w:p>
        </w:tc>
        <w:tc>
          <w:tcPr>
            <w:tcW w:w="2268" w:type="dxa"/>
            <w:tcBorders>
              <w:top w:val="nil"/>
              <w:left w:val="nil"/>
              <w:bottom w:val="nil"/>
              <w:right w:val="nil"/>
            </w:tcBorders>
            <w:shd w:val="clear" w:color="000000" w:fill="FFFFFF"/>
            <w:noWrap/>
            <w:vAlign w:val="center"/>
            <w:hideMark/>
          </w:tcPr>
          <w:p w14:paraId="7F08C23D" w14:textId="7F2A3A9C" w:rsidR="00155A1B" w:rsidRPr="008C79EC" w:rsidRDefault="00155A1B" w:rsidP="00155A1B">
            <w:pPr>
              <w:spacing w:after="0" w:line="240" w:lineRule="auto"/>
              <w:jc w:val="right"/>
              <w:rPr>
                <w:rFonts w:eastAsia="Times New Roman" w:cs="Times New Roman"/>
                <w:color w:val="000000"/>
                <w:sz w:val="20"/>
                <w:lang w:eastAsia="sk-SK"/>
              </w:rPr>
            </w:pPr>
            <w:r>
              <w:rPr>
                <w:color w:val="000000"/>
                <w:sz w:val="20"/>
              </w:rPr>
              <w:t>16,6</w:t>
            </w:r>
          </w:p>
        </w:tc>
        <w:tc>
          <w:tcPr>
            <w:tcW w:w="2268" w:type="dxa"/>
            <w:tcBorders>
              <w:top w:val="nil"/>
              <w:left w:val="nil"/>
              <w:bottom w:val="nil"/>
              <w:right w:val="nil"/>
            </w:tcBorders>
            <w:shd w:val="clear" w:color="000000" w:fill="FFFFFF"/>
            <w:noWrap/>
            <w:vAlign w:val="center"/>
            <w:hideMark/>
          </w:tcPr>
          <w:p w14:paraId="0E10A40F" w14:textId="12177281" w:rsidR="00155A1B" w:rsidRPr="008C79EC" w:rsidRDefault="00155A1B" w:rsidP="00155A1B">
            <w:pPr>
              <w:spacing w:after="0" w:line="240" w:lineRule="auto"/>
              <w:jc w:val="right"/>
              <w:rPr>
                <w:rFonts w:eastAsia="Times New Roman" w:cs="Times New Roman"/>
                <w:color w:val="000000"/>
                <w:sz w:val="20"/>
                <w:lang w:eastAsia="sk-SK"/>
              </w:rPr>
            </w:pPr>
            <w:r>
              <w:rPr>
                <w:color w:val="000000"/>
                <w:sz w:val="20"/>
              </w:rPr>
              <w:t>19,7</w:t>
            </w:r>
          </w:p>
        </w:tc>
      </w:tr>
      <w:tr w:rsidR="00155A1B" w:rsidRPr="008C79EC" w14:paraId="40FE5E0C" w14:textId="77777777" w:rsidTr="008C79EC">
        <w:trPr>
          <w:trHeight w:val="255"/>
        </w:trPr>
        <w:tc>
          <w:tcPr>
            <w:tcW w:w="2268" w:type="dxa"/>
            <w:tcBorders>
              <w:top w:val="nil"/>
              <w:left w:val="nil"/>
              <w:bottom w:val="nil"/>
              <w:right w:val="nil"/>
            </w:tcBorders>
            <w:shd w:val="clear" w:color="000000" w:fill="FFFFFF"/>
            <w:noWrap/>
            <w:vAlign w:val="center"/>
            <w:hideMark/>
          </w:tcPr>
          <w:p w14:paraId="5B18DC74" w14:textId="77777777" w:rsidR="00155A1B" w:rsidRPr="008C79EC" w:rsidRDefault="00155A1B" w:rsidP="00155A1B">
            <w:pPr>
              <w:spacing w:after="0" w:line="240" w:lineRule="auto"/>
              <w:jc w:val="left"/>
              <w:rPr>
                <w:rFonts w:eastAsia="Times New Roman" w:cs="Times New Roman"/>
                <w:b/>
                <w:bCs/>
                <w:color w:val="000000"/>
                <w:sz w:val="20"/>
                <w:lang w:eastAsia="sk-SK"/>
              </w:rPr>
            </w:pPr>
            <w:r w:rsidRPr="008C79EC">
              <w:rPr>
                <w:rFonts w:eastAsia="Times New Roman" w:cs="Times New Roman"/>
                <w:b/>
                <w:bCs/>
                <w:color w:val="000000"/>
                <w:sz w:val="20"/>
                <w:lang w:eastAsia="sk-SK"/>
              </w:rPr>
              <w:t>mimo HN</w:t>
            </w:r>
          </w:p>
        </w:tc>
        <w:tc>
          <w:tcPr>
            <w:tcW w:w="2268" w:type="dxa"/>
            <w:tcBorders>
              <w:top w:val="nil"/>
              <w:left w:val="nil"/>
              <w:bottom w:val="nil"/>
              <w:right w:val="nil"/>
            </w:tcBorders>
            <w:shd w:val="clear" w:color="000000" w:fill="FFFFFF"/>
            <w:noWrap/>
            <w:vAlign w:val="center"/>
            <w:hideMark/>
          </w:tcPr>
          <w:p w14:paraId="63CE34B7" w14:textId="28906DD8" w:rsidR="00155A1B" w:rsidRPr="008C79EC" w:rsidRDefault="00155A1B" w:rsidP="00155A1B">
            <w:pPr>
              <w:spacing w:after="0" w:line="240" w:lineRule="auto"/>
              <w:jc w:val="right"/>
              <w:rPr>
                <w:rFonts w:eastAsia="Times New Roman" w:cs="Times New Roman"/>
                <w:color w:val="000000"/>
                <w:sz w:val="20"/>
                <w:lang w:eastAsia="sk-SK"/>
              </w:rPr>
            </w:pPr>
            <w:r>
              <w:rPr>
                <w:color w:val="000000"/>
                <w:sz w:val="20"/>
              </w:rPr>
              <w:t>24,1</w:t>
            </w:r>
          </w:p>
        </w:tc>
        <w:tc>
          <w:tcPr>
            <w:tcW w:w="2268" w:type="dxa"/>
            <w:tcBorders>
              <w:top w:val="nil"/>
              <w:left w:val="nil"/>
              <w:bottom w:val="nil"/>
              <w:right w:val="nil"/>
            </w:tcBorders>
            <w:shd w:val="clear" w:color="000000" w:fill="FFFFFF"/>
            <w:noWrap/>
            <w:vAlign w:val="center"/>
            <w:hideMark/>
          </w:tcPr>
          <w:p w14:paraId="78C943DE" w14:textId="47D2CD09" w:rsidR="00155A1B" w:rsidRPr="008C79EC" w:rsidRDefault="00155A1B" w:rsidP="00155A1B">
            <w:pPr>
              <w:spacing w:after="0" w:line="240" w:lineRule="auto"/>
              <w:jc w:val="right"/>
              <w:rPr>
                <w:rFonts w:eastAsia="Times New Roman" w:cs="Times New Roman"/>
                <w:color w:val="000000"/>
                <w:sz w:val="20"/>
                <w:lang w:eastAsia="sk-SK"/>
              </w:rPr>
            </w:pPr>
            <w:r>
              <w:rPr>
                <w:color w:val="000000"/>
                <w:sz w:val="20"/>
              </w:rPr>
              <w:t>3,0</w:t>
            </w:r>
          </w:p>
        </w:tc>
        <w:tc>
          <w:tcPr>
            <w:tcW w:w="2268" w:type="dxa"/>
            <w:tcBorders>
              <w:top w:val="nil"/>
              <w:left w:val="nil"/>
              <w:bottom w:val="nil"/>
              <w:right w:val="nil"/>
            </w:tcBorders>
            <w:shd w:val="clear" w:color="000000" w:fill="FFFFFF"/>
            <w:noWrap/>
            <w:vAlign w:val="center"/>
            <w:hideMark/>
          </w:tcPr>
          <w:p w14:paraId="5C3D915C" w14:textId="7D10BCBD" w:rsidR="00155A1B" w:rsidRPr="008C79EC" w:rsidRDefault="00155A1B" w:rsidP="00155A1B">
            <w:pPr>
              <w:spacing w:after="0" w:line="240" w:lineRule="auto"/>
              <w:jc w:val="right"/>
              <w:rPr>
                <w:rFonts w:eastAsia="Times New Roman" w:cs="Times New Roman"/>
                <w:color w:val="000000"/>
                <w:sz w:val="20"/>
                <w:lang w:eastAsia="sk-SK"/>
              </w:rPr>
            </w:pPr>
            <w:r>
              <w:rPr>
                <w:color w:val="000000"/>
                <w:sz w:val="20"/>
              </w:rPr>
              <w:t>4,2</w:t>
            </w:r>
          </w:p>
        </w:tc>
      </w:tr>
      <w:tr w:rsidR="00155A1B" w:rsidRPr="008C79EC" w14:paraId="540DF7B5" w14:textId="77777777" w:rsidTr="008C79EC">
        <w:trPr>
          <w:trHeight w:val="255"/>
        </w:trPr>
        <w:tc>
          <w:tcPr>
            <w:tcW w:w="2268" w:type="dxa"/>
            <w:tcBorders>
              <w:top w:val="nil"/>
              <w:left w:val="nil"/>
              <w:bottom w:val="single" w:sz="4" w:space="0" w:color="auto"/>
              <w:right w:val="nil"/>
            </w:tcBorders>
            <w:shd w:val="clear" w:color="000000" w:fill="FFFFFF"/>
            <w:noWrap/>
            <w:vAlign w:val="center"/>
            <w:hideMark/>
          </w:tcPr>
          <w:p w14:paraId="796AD436" w14:textId="77777777" w:rsidR="00155A1B" w:rsidRPr="008C79EC" w:rsidRDefault="00155A1B" w:rsidP="00155A1B">
            <w:pPr>
              <w:spacing w:after="0" w:line="240" w:lineRule="auto"/>
              <w:jc w:val="left"/>
              <w:rPr>
                <w:rFonts w:eastAsia="Times New Roman" w:cs="Times New Roman"/>
                <w:b/>
                <w:bCs/>
                <w:color w:val="000000"/>
                <w:sz w:val="20"/>
                <w:lang w:eastAsia="sk-SK"/>
              </w:rPr>
            </w:pPr>
            <w:r w:rsidRPr="008C79EC">
              <w:rPr>
                <w:rFonts w:eastAsia="Times New Roman" w:cs="Times New Roman"/>
                <w:b/>
                <w:bCs/>
                <w:color w:val="000000"/>
                <w:sz w:val="20"/>
                <w:lang w:eastAsia="sk-SK"/>
              </w:rPr>
              <w:t>Celkom</w:t>
            </w:r>
          </w:p>
        </w:tc>
        <w:tc>
          <w:tcPr>
            <w:tcW w:w="2268" w:type="dxa"/>
            <w:tcBorders>
              <w:top w:val="nil"/>
              <w:left w:val="nil"/>
              <w:bottom w:val="single" w:sz="4" w:space="0" w:color="auto"/>
              <w:right w:val="nil"/>
            </w:tcBorders>
            <w:shd w:val="clear" w:color="000000" w:fill="FFFFFF"/>
            <w:noWrap/>
            <w:vAlign w:val="center"/>
            <w:hideMark/>
          </w:tcPr>
          <w:p w14:paraId="125C245D" w14:textId="0625A323" w:rsidR="00155A1B" w:rsidRPr="008C79EC" w:rsidRDefault="00155A1B" w:rsidP="00155A1B">
            <w:pPr>
              <w:spacing w:after="0" w:line="240" w:lineRule="auto"/>
              <w:jc w:val="right"/>
              <w:rPr>
                <w:rFonts w:eastAsia="Times New Roman" w:cs="Times New Roman"/>
                <w:color w:val="000000"/>
                <w:sz w:val="20"/>
                <w:lang w:eastAsia="sk-SK"/>
              </w:rPr>
            </w:pPr>
            <w:r>
              <w:rPr>
                <w:color w:val="000000"/>
                <w:sz w:val="20"/>
              </w:rPr>
              <w:t>24,2</w:t>
            </w:r>
          </w:p>
        </w:tc>
        <w:tc>
          <w:tcPr>
            <w:tcW w:w="2268" w:type="dxa"/>
            <w:tcBorders>
              <w:top w:val="nil"/>
              <w:left w:val="nil"/>
              <w:bottom w:val="single" w:sz="4" w:space="0" w:color="auto"/>
              <w:right w:val="nil"/>
            </w:tcBorders>
            <w:shd w:val="clear" w:color="000000" w:fill="FFFFFF"/>
            <w:noWrap/>
            <w:vAlign w:val="center"/>
            <w:hideMark/>
          </w:tcPr>
          <w:p w14:paraId="73EBCA4A" w14:textId="6CF02E95" w:rsidR="00155A1B" w:rsidRPr="008C79EC" w:rsidRDefault="00155A1B" w:rsidP="00155A1B">
            <w:pPr>
              <w:spacing w:after="0" w:line="240" w:lineRule="auto"/>
              <w:jc w:val="right"/>
              <w:rPr>
                <w:rFonts w:eastAsia="Times New Roman" w:cs="Times New Roman"/>
                <w:color w:val="000000"/>
                <w:sz w:val="20"/>
                <w:lang w:eastAsia="sk-SK"/>
              </w:rPr>
            </w:pPr>
            <w:r>
              <w:rPr>
                <w:color w:val="000000"/>
                <w:sz w:val="20"/>
              </w:rPr>
              <w:t>3,7</w:t>
            </w:r>
          </w:p>
        </w:tc>
        <w:tc>
          <w:tcPr>
            <w:tcW w:w="2268" w:type="dxa"/>
            <w:tcBorders>
              <w:top w:val="nil"/>
              <w:left w:val="nil"/>
              <w:bottom w:val="single" w:sz="4" w:space="0" w:color="auto"/>
              <w:right w:val="nil"/>
            </w:tcBorders>
            <w:shd w:val="clear" w:color="000000" w:fill="FFFFFF"/>
            <w:noWrap/>
            <w:vAlign w:val="center"/>
            <w:hideMark/>
          </w:tcPr>
          <w:p w14:paraId="37BC762A" w14:textId="55380529" w:rsidR="00155A1B" w:rsidRPr="008C79EC" w:rsidRDefault="00155A1B" w:rsidP="00155A1B">
            <w:pPr>
              <w:spacing w:after="0" w:line="240" w:lineRule="auto"/>
              <w:jc w:val="right"/>
              <w:rPr>
                <w:rFonts w:eastAsia="Times New Roman" w:cs="Times New Roman"/>
                <w:color w:val="000000"/>
                <w:sz w:val="20"/>
                <w:lang w:eastAsia="sk-SK"/>
              </w:rPr>
            </w:pPr>
            <w:r>
              <w:rPr>
                <w:color w:val="000000"/>
                <w:sz w:val="20"/>
              </w:rPr>
              <w:t>5,5</w:t>
            </w:r>
          </w:p>
        </w:tc>
      </w:tr>
      <w:tr w:rsidR="004C1FB3" w:rsidRPr="00CA2564" w14:paraId="6C864362" w14:textId="77777777" w:rsidTr="000029A4">
        <w:trPr>
          <w:trHeight w:val="104"/>
        </w:trPr>
        <w:tc>
          <w:tcPr>
            <w:tcW w:w="4536" w:type="dxa"/>
            <w:gridSpan w:val="2"/>
            <w:tcBorders>
              <w:top w:val="single" w:sz="4" w:space="0" w:color="auto"/>
              <w:left w:val="nil"/>
              <w:bottom w:val="nil"/>
              <w:right w:val="nil"/>
            </w:tcBorders>
            <w:shd w:val="clear" w:color="auto" w:fill="auto"/>
            <w:vAlign w:val="bottom"/>
            <w:hideMark/>
          </w:tcPr>
          <w:p w14:paraId="317E597D" w14:textId="231286CB" w:rsidR="004C1FB3" w:rsidRPr="00CA2564" w:rsidRDefault="004C1FB3" w:rsidP="004C1FB3">
            <w:pPr>
              <w:spacing w:after="0"/>
              <w:jc w:val="left"/>
              <w:rPr>
                <w:rFonts w:eastAsia="Times New Roman" w:cs="Times New Roman"/>
                <w:i/>
                <w:iCs/>
                <w:color w:val="000000"/>
                <w:sz w:val="18"/>
                <w:szCs w:val="18"/>
                <w:lang w:eastAsia="sk-SK"/>
              </w:rPr>
            </w:pPr>
            <w:r>
              <w:rPr>
                <w:rFonts w:eastAsia="Times New Roman" w:cs="Times New Roman"/>
                <w:i/>
                <w:iCs/>
                <w:color w:val="000000"/>
                <w:sz w:val="18"/>
                <w:szCs w:val="18"/>
                <w:lang w:eastAsia="sk-SK"/>
              </w:rPr>
              <w:t xml:space="preserve">Poznámka: </w:t>
            </w:r>
            <w:r w:rsidRPr="002A676F">
              <w:rPr>
                <w:i/>
                <w:noProof/>
                <w:sz w:val="18"/>
                <w:szCs w:val="18"/>
              </w:rPr>
              <w:fldChar w:fldCharType="begin"/>
            </w:r>
            <w:r w:rsidRPr="002A676F">
              <w:rPr>
                <w:rFonts w:eastAsia="Times New Roman" w:cs="Times New Roman"/>
                <w:i/>
                <w:iCs/>
                <w:color w:val="000000"/>
                <w:sz w:val="18"/>
                <w:szCs w:val="18"/>
              </w:rPr>
              <w:instrText xml:space="preserve"> REF _Ref33439692 \h </w:instrText>
            </w:r>
            <w:r w:rsidRPr="002A676F">
              <w:rPr>
                <w:i/>
                <w:noProof/>
                <w:sz w:val="18"/>
                <w:szCs w:val="18"/>
              </w:rPr>
              <w:instrText xml:space="preserve"> \* MERGEFORMAT </w:instrText>
            </w:r>
            <w:r w:rsidRPr="002A676F">
              <w:rPr>
                <w:i/>
                <w:noProof/>
                <w:sz w:val="18"/>
                <w:szCs w:val="18"/>
              </w:rPr>
            </w:r>
            <w:r w:rsidRPr="002A676F">
              <w:rPr>
                <w:i/>
                <w:noProof/>
                <w:sz w:val="18"/>
                <w:szCs w:val="18"/>
              </w:rPr>
              <w:fldChar w:fldCharType="separate"/>
            </w:r>
            <w:r w:rsidR="00FA29AF" w:rsidRPr="00FA29AF">
              <w:rPr>
                <w:i/>
                <w:sz w:val="18"/>
                <w:szCs w:val="18"/>
              </w:rPr>
              <w:t xml:space="preserve">Box </w:t>
            </w:r>
            <w:r w:rsidR="00FA29AF" w:rsidRPr="00FA29AF">
              <w:rPr>
                <w:i/>
                <w:noProof/>
                <w:sz w:val="18"/>
                <w:szCs w:val="18"/>
              </w:rPr>
              <w:t>3</w:t>
            </w:r>
            <w:r w:rsidRPr="002A676F">
              <w:rPr>
                <w:i/>
                <w:noProof/>
                <w:sz w:val="18"/>
                <w:szCs w:val="18"/>
              </w:rPr>
              <w:fldChar w:fldCharType="end"/>
            </w:r>
            <w:r w:rsidRPr="002A676F">
              <w:rPr>
                <w:i/>
                <w:noProof/>
                <w:sz w:val="18"/>
                <w:szCs w:val="18"/>
              </w:rPr>
              <w:t xml:space="preserve"> </w:t>
            </w:r>
            <w:r w:rsidRPr="00980973">
              <w:rPr>
                <w:i/>
                <w:noProof/>
                <w:sz w:val="18"/>
                <w:szCs w:val="18"/>
              </w:rPr>
              <w:t>pre definíciu</w:t>
            </w:r>
            <w:r w:rsidRPr="00CA2564">
              <w:rPr>
                <w:i/>
                <w:noProof/>
                <w:sz w:val="18"/>
                <w:szCs w:val="18"/>
              </w:rPr>
              <w:t xml:space="preserve"> MRK a PHN.</w:t>
            </w:r>
          </w:p>
        </w:tc>
        <w:tc>
          <w:tcPr>
            <w:tcW w:w="4536" w:type="dxa"/>
            <w:gridSpan w:val="2"/>
            <w:tcBorders>
              <w:top w:val="single" w:sz="4" w:space="0" w:color="auto"/>
              <w:left w:val="nil"/>
              <w:bottom w:val="nil"/>
              <w:right w:val="nil"/>
            </w:tcBorders>
            <w:shd w:val="clear" w:color="auto" w:fill="auto"/>
            <w:vAlign w:val="bottom"/>
          </w:tcPr>
          <w:p w14:paraId="283AA2DA" w14:textId="18C9E4E7" w:rsidR="004C1FB3" w:rsidRPr="00CA2564" w:rsidRDefault="004C1FB3" w:rsidP="004C1FB3">
            <w:pPr>
              <w:spacing w:after="0"/>
              <w:jc w:val="right"/>
              <w:rPr>
                <w:rFonts w:eastAsia="Times New Roman" w:cs="Times New Roman"/>
                <w:i/>
                <w:iCs/>
                <w:color w:val="000000"/>
                <w:sz w:val="18"/>
                <w:szCs w:val="18"/>
                <w:lang w:eastAsia="sk-SK"/>
              </w:rPr>
            </w:pPr>
            <w:r w:rsidRPr="00CA2564">
              <w:rPr>
                <w:rFonts w:eastAsia="Times New Roman" w:cs="Times New Roman"/>
                <w:i/>
                <w:iCs/>
                <w:color w:val="000000"/>
                <w:sz w:val="18"/>
                <w:szCs w:val="18"/>
                <w:lang w:eastAsia="sk-SK"/>
              </w:rPr>
              <w:t xml:space="preserve">Zdroj: ÚHP na základe údajov </w:t>
            </w:r>
            <w:r w:rsidRPr="00CA2564">
              <w:rPr>
                <w:i/>
                <w:noProof/>
                <w:sz w:val="18"/>
                <w:szCs w:val="18"/>
              </w:rPr>
              <w:t>RIS MŠVVŠ, ÚPSVR, ARK</w:t>
            </w:r>
          </w:p>
        </w:tc>
      </w:tr>
    </w:tbl>
    <w:p w14:paraId="23BBABFA" w14:textId="6B9EF19A" w:rsidR="00DB47CE" w:rsidRPr="00AB28DA" w:rsidRDefault="00FB6408" w:rsidP="00D3189B">
      <w:pPr>
        <w:spacing w:before="160"/>
      </w:pPr>
      <w:r>
        <w:rPr>
          <w:b/>
        </w:rPr>
        <w:t xml:space="preserve">Vyplatenie príspevku je podmienené </w:t>
      </w:r>
      <w:r w:rsidR="00DB47CE" w:rsidRPr="00CA2564">
        <w:rPr>
          <w:b/>
        </w:rPr>
        <w:t xml:space="preserve">pravidelnými preventívnymi zdravotnými prehliadkami pred pôrodom a zotrvaním matky v zdravotníckom zariadení po pôrode až do prepustenia. </w:t>
      </w:r>
      <w:r w:rsidR="00F13B24">
        <w:t>Ženy z prostredia MRK</w:t>
      </w:r>
      <w:r w:rsidR="00F13B24" w:rsidRPr="00CA2564">
        <w:t xml:space="preserve"> </w:t>
      </w:r>
      <w:r w:rsidR="00DB47CE" w:rsidRPr="00CA2564">
        <w:t>však čelia horšej dostupnosti gynekologických ambulancií ako ženy z </w:t>
      </w:r>
      <w:r w:rsidR="00DB47CE" w:rsidRPr="00F63247">
        <w:rPr>
          <w:szCs w:val="22"/>
        </w:rPr>
        <w:t>majority (</w:t>
      </w:r>
      <w:r w:rsidR="00DB47CE" w:rsidRPr="00F63247">
        <w:rPr>
          <w:szCs w:val="22"/>
        </w:rPr>
        <w:fldChar w:fldCharType="begin"/>
      </w:r>
      <w:r w:rsidR="00DB47CE" w:rsidRPr="00F63247">
        <w:rPr>
          <w:szCs w:val="22"/>
        </w:rPr>
        <w:instrText xml:space="preserve"> REF _Ref521657676 \h </w:instrText>
      </w:r>
      <w:r w:rsidR="004F5690">
        <w:rPr>
          <w:szCs w:val="22"/>
        </w:rPr>
        <w:instrText xml:space="preserve"> \* MERGEFORMAT </w:instrText>
      </w:r>
      <w:r w:rsidR="00DB47CE" w:rsidRPr="00F63247">
        <w:rPr>
          <w:szCs w:val="22"/>
        </w:rPr>
      </w:r>
      <w:r w:rsidR="00DB47CE" w:rsidRPr="00F63247">
        <w:rPr>
          <w:szCs w:val="22"/>
        </w:rPr>
        <w:fldChar w:fldCharType="separate"/>
      </w:r>
      <w:r w:rsidR="00FA29AF" w:rsidRPr="00FA29AF">
        <w:rPr>
          <w:szCs w:val="22"/>
        </w:rPr>
        <w:t xml:space="preserve">Graf </w:t>
      </w:r>
      <w:r w:rsidR="00FA29AF" w:rsidRPr="00FA29AF">
        <w:rPr>
          <w:noProof/>
          <w:szCs w:val="22"/>
        </w:rPr>
        <w:t>83</w:t>
      </w:r>
      <w:r w:rsidR="00DB47CE" w:rsidRPr="00F63247">
        <w:rPr>
          <w:szCs w:val="22"/>
        </w:rPr>
        <w:fldChar w:fldCharType="end"/>
      </w:r>
      <w:r w:rsidR="00DB47CE" w:rsidRPr="00F63247">
        <w:rPr>
          <w:szCs w:val="22"/>
        </w:rPr>
        <w:t>, kapitola</w:t>
      </w:r>
      <w:r w:rsidR="00DB47CE" w:rsidRPr="00CA2564">
        <w:t xml:space="preserve"> </w:t>
      </w:r>
      <w:r w:rsidR="00A02A8B">
        <w:fldChar w:fldCharType="begin"/>
      </w:r>
      <w:r w:rsidR="00A02A8B">
        <w:instrText xml:space="preserve"> REF _Ref25315462 \r \h </w:instrText>
      </w:r>
      <w:r w:rsidR="00A02A8B">
        <w:fldChar w:fldCharType="separate"/>
      </w:r>
      <w:r w:rsidR="00FA29AF">
        <w:t>10</w:t>
      </w:r>
      <w:r w:rsidR="00A02A8B">
        <w:fldChar w:fldCharType="end"/>
      </w:r>
      <w:r w:rsidR="00DB47CE" w:rsidRPr="00CA2564">
        <w:t xml:space="preserve">). Útek </w:t>
      </w:r>
      <w:r w:rsidR="00DB47CE" w:rsidRPr="00AB28DA">
        <w:t xml:space="preserve">rómskych matiek z nemocnice po pôrode je tiež niekedy dôsledkom ich zlých skúseností v zdravotníckych zariadeniach (podkapitola </w:t>
      </w:r>
      <w:r w:rsidR="00A02A8B">
        <w:fldChar w:fldCharType="begin"/>
      </w:r>
      <w:r w:rsidR="00A02A8B">
        <w:instrText xml:space="preserve"> REF _Ref25315469 \r \h </w:instrText>
      </w:r>
      <w:r w:rsidR="00A02A8B">
        <w:fldChar w:fldCharType="separate"/>
      </w:r>
      <w:r w:rsidR="00FA29AF">
        <w:t>10.3</w:t>
      </w:r>
      <w:r w:rsidR="00A02A8B">
        <w:fldChar w:fldCharType="end"/>
      </w:r>
      <w:r w:rsidR="00DB47CE" w:rsidRPr="00AB28DA">
        <w:t>)</w:t>
      </w:r>
      <w:r w:rsidR="00426B9A">
        <w:t xml:space="preserve"> a zložitej sociálnej situácie</w:t>
      </w:r>
      <w:r w:rsidR="00DB47CE" w:rsidRPr="00AB28DA">
        <w:t xml:space="preserve">. </w:t>
      </w:r>
    </w:p>
    <w:p w14:paraId="028431AA" w14:textId="04F8AD48" w:rsidR="00DB47CE" w:rsidRPr="00AB28DA" w:rsidRDefault="00DB47CE" w:rsidP="007E0579">
      <w:pPr>
        <w:spacing w:before="160"/>
      </w:pPr>
      <w:r w:rsidRPr="00AB28DA">
        <w:rPr>
          <w:b/>
        </w:rPr>
        <w:t xml:space="preserve">S cieľom zabezpečiť </w:t>
      </w:r>
      <w:r w:rsidR="005808E1" w:rsidRPr="00AB28DA">
        <w:rPr>
          <w:b/>
        </w:rPr>
        <w:t>základné potreby novorodenca aj v</w:t>
      </w:r>
      <w:r w:rsidR="00F13B24" w:rsidRPr="00AB28DA">
        <w:rPr>
          <w:b/>
        </w:rPr>
        <w:t> </w:t>
      </w:r>
      <w:r w:rsidR="005808E1" w:rsidRPr="00AB28DA">
        <w:rPr>
          <w:b/>
        </w:rPr>
        <w:t>prípade</w:t>
      </w:r>
      <w:r w:rsidR="00F13B24" w:rsidRPr="00AB28DA">
        <w:rPr>
          <w:b/>
        </w:rPr>
        <w:t>,</w:t>
      </w:r>
      <w:r w:rsidR="005808E1" w:rsidRPr="00AB28DA">
        <w:rPr>
          <w:b/>
        </w:rPr>
        <w:t xml:space="preserve"> že matka nesplní </w:t>
      </w:r>
      <w:r w:rsidR="002D6315" w:rsidRPr="00AB28DA">
        <w:rPr>
          <w:b/>
        </w:rPr>
        <w:t xml:space="preserve">aktuálne </w:t>
      </w:r>
      <w:r w:rsidR="005808E1" w:rsidRPr="00AB28DA">
        <w:rPr>
          <w:b/>
        </w:rPr>
        <w:t>podmienky získania nároku na príspevok pri narodení dieťaťa</w:t>
      </w:r>
      <w:r w:rsidR="00F13B24" w:rsidRPr="00AB28DA">
        <w:rPr>
          <w:b/>
        </w:rPr>
        <w:t>,</w:t>
      </w:r>
      <w:r w:rsidRPr="00AB28DA">
        <w:rPr>
          <w:b/>
        </w:rPr>
        <w:t xml:space="preserve"> revízia odporúča</w:t>
      </w:r>
      <w:r w:rsidR="002D6315" w:rsidRPr="00AB28DA">
        <w:rPr>
          <w:b/>
        </w:rPr>
        <w:t xml:space="preserve"> v takomto prípade poskytnúť príspevok </w:t>
      </w:r>
      <w:r w:rsidR="00F00FF1">
        <w:rPr>
          <w:b/>
        </w:rPr>
        <w:t xml:space="preserve">v polovičnej výške </w:t>
      </w:r>
      <w:r w:rsidR="002D6315" w:rsidRPr="00AB28DA">
        <w:rPr>
          <w:b/>
        </w:rPr>
        <w:t>prostredníctvom už existujúceho inštitútu osobitného príjemcu</w:t>
      </w:r>
      <w:r w:rsidRPr="00AB28DA">
        <w:rPr>
          <w:b/>
        </w:rPr>
        <w:t xml:space="preserve">. </w:t>
      </w:r>
      <w:r w:rsidR="004D0E69" w:rsidRPr="00AB28DA">
        <w:t>Inštitút osobitného príjemcu umožňuje poskytovanie dávky prostredníctvom inej osoby ako je rodič dieťaťa, napríklad prostredníctvom obce. Osobitný príjemca má zabezpečiť, aby dávka bola použitá na účel, na ktorý je určená. Matke by v tomto prípade bola obmedzená voľnosť nakladať s</w:t>
      </w:r>
      <w:r w:rsidR="00F13B24" w:rsidRPr="00AB28DA">
        <w:t> </w:t>
      </w:r>
      <w:r w:rsidR="004D0E69" w:rsidRPr="00AB28DA">
        <w:t>príspevkom</w:t>
      </w:r>
      <w:r w:rsidR="00F13B24" w:rsidRPr="00AB28DA">
        <w:t>,</w:t>
      </w:r>
      <w:r w:rsidR="004D0E69" w:rsidRPr="00AB28DA">
        <w:t xml:space="preserve"> ako ona uzná za vhodné, ale účel dávky, ktorým je zabezpečenie nevyhnutných potrieb novorodenca</w:t>
      </w:r>
      <w:r w:rsidR="00F13B24" w:rsidRPr="00AB28DA">
        <w:t>,</w:t>
      </w:r>
      <w:r w:rsidR="004D0E69" w:rsidRPr="00AB28DA">
        <w:t xml:space="preserve"> by bol </w:t>
      </w:r>
      <w:r w:rsidR="00F00FF1">
        <w:t xml:space="preserve">čiastočne </w:t>
      </w:r>
      <w:r w:rsidR="004D0E69" w:rsidRPr="00AB28DA">
        <w:t xml:space="preserve">zachovaný a dieťa by nebolo trestané </w:t>
      </w:r>
      <w:r w:rsidR="00F00FF1">
        <w:t xml:space="preserve">úplným </w:t>
      </w:r>
      <w:r w:rsidR="004D0E69" w:rsidRPr="00AB28DA">
        <w:t xml:space="preserve">odňatím príspevku. </w:t>
      </w:r>
    </w:p>
    <w:p w14:paraId="19A4A45E" w14:textId="5BD9CBE8" w:rsidR="00D42F8C" w:rsidRPr="00CE4B44" w:rsidRDefault="00D42F8C" w:rsidP="007E0579">
      <w:pPr>
        <w:spacing w:before="160"/>
      </w:pPr>
      <w:r w:rsidRPr="00CE4B44">
        <w:rPr>
          <w:b/>
        </w:rPr>
        <w:t xml:space="preserve">Väčšina obcí s prítomnosťou MRK </w:t>
      </w:r>
      <w:r w:rsidRPr="00AB28DA">
        <w:rPr>
          <w:b/>
        </w:rPr>
        <w:t xml:space="preserve">má už dnes skúsenosť s inštitútom osobitného príjemcu a navrhované opatrenie by preto nemalo predstavovať problém. </w:t>
      </w:r>
      <w:r w:rsidRPr="00CE4B44">
        <w:t>Z </w:t>
      </w:r>
      <w:r w:rsidRPr="00CE4B44">
        <w:rPr>
          <w:bCs/>
        </w:rPr>
        <w:t xml:space="preserve">2 928 obcí </w:t>
      </w:r>
      <w:r w:rsidR="00B335F6" w:rsidRPr="00AB28DA">
        <w:t>na Slovensku</w:t>
      </w:r>
      <w:r w:rsidRPr="00CE4B44">
        <w:rPr>
          <w:bCs/>
        </w:rPr>
        <w:t xml:space="preserve"> </w:t>
      </w:r>
      <w:r w:rsidR="00B335F6" w:rsidRPr="00AB28DA">
        <w:rPr>
          <w:bCs/>
        </w:rPr>
        <w:t xml:space="preserve">v roku 2018 bol </w:t>
      </w:r>
      <w:r w:rsidRPr="00CE4B44">
        <w:rPr>
          <w:bCs/>
        </w:rPr>
        <w:t xml:space="preserve">v 1 374 obciach </w:t>
      </w:r>
      <w:r w:rsidRPr="00CE4B44">
        <w:t>aspoň jeden poberateľ, ktorý poberal (či už prídav</w:t>
      </w:r>
      <w:r w:rsidR="007171F5">
        <w:t>ok na dieťa</w:t>
      </w:r>
      <w:r w:rsidRPr="00CE4B44">
        <w:t xml:space="preserve"> alebo príspevok pri narodení) cez osobitného príjemcu. Zo </w:t>
      </w:r>
      <w:r w:rsidRPr="00CE4B44">
        <w:rPr>
          <w:bCs/>
        </w:rPr>
        <w:t xml:space="preserve">134 obcí </w:t>
      </w:r>
      <w:r w:rsidRPr="00CE4B44">
        <w:t>s nadpolovičnou väčšinou rómskej populácie (podľa Atlasu rómskych komunít) bol v</w:t>
      </w:r>
      <w:r w:rsidR="0004116F">
        <w:t> </w:t>
      </w:r>
      <w:r w:rsidR="0004116F">
        <w:rPr>
          <w:bCs/>
        </w:rPr>
        <w:t>133 </w:t>
      </w:r>
      <w:r w:rsidRPr="00CE4B44">
        <w:rPr>
          <w:bCs/>
        </w:rPr>
        <w:t>obciach</w:t>
      </w:r>
      <w:r w:rsidRPr="00CE4B44">
        <w:t xml:space="preserve"> aspoň jeden </w:t>
      </w:r>
      <w:r>
        <w:t>takýto poberateľ</w:t>
      </w:r>
      <w:r w:rsidRPr="00CE4B44">
        <w:t>.</w:t>
      </w:r>
    </w:p>
    <w:p w14:paraId="1EDACEB4" w14:textId="77777777" w:rsidR="007E0579" w:rsidRPr="00CA2564" w:rsidRDefault="007E0579" w:rsidP="007E0579">
      <w:pPr>
        <w:spacing w:before="160"/>
        <w:rPr>
          <w:color w:val="0070C0"/>
        </w:rPr>
      </w:pPr>
      <w:r w:rsidRPr="00CA2564">
        <w:rPr>
          <w:color w:val="0070C0"/>
        </w:rPr>
        <w:t>Náhradné výživné</w:t>
      </w:r>
    </w:p>
    <w:p w14:paraId="4B3899F2" w14:textId="4413298B" w:rsidR="007E0579" w:rsidRPr="00CA2564" w:rsidRDefault="007E0579" w:rsidP="007E0579">
      <w:r w:rsidRPr="00CA2564">
        <w:rPr>
          <w:b/>
        </w:rPr>
        <w:t>Náhradné výživné je dávka, ktor</w:t>
      </w:r>
      <w:r w:rsidR="003E54EB">
        <w:rPr>
          <w:b/>
        </w:rPr>
        <w:t>ou</w:t>
      </w:r>
      <w:r w:rsidRPr="00CA2564">
        <w:rPr>
          <w:b/>
        </w:rPr>
        <w:t xml:space="preserve"> štát </w:t>
      </w:r>
      <w:r w:rsidR="003E54EB">
        <w:rPr>
          <w:b/>
        </w:rPr>
        <w:t xml:space="preserve">v určitých prípadoch </w:t>
      </w:r>
      <w:r w:rsidRPr="00CA2564">
        <w:rPr>
          <w:b/>
        </w:rPr>
        <w:t>prispieva na zabezpečenie výživy nezaopatreného dieťaťa.</w:t>
      </w:r>
      <w:r w:rsidRPr="00CA2564">
        <w:t xml:space="preserve"> Obaja rodičia sú povinní zabezpečiť nezaopatrenému dieťaťu minimálne požiadavky na výživu. Rodič, ktorý s dieťaťom nežije v jednej domácnosti, prispieva finančne formou výživného, ktorého výšku určuje súd. V prípade, ak si túto povinnosť dlhodobo neplní, alebo ak ide o osirelé nezaopatrené dieťa</w:t>
      </w:r>
      <w:r w:rsidRPr="00CA2564">
        <w:rPr>
          <w:rStyle w:val="Odkaznapoznmkupodiarou"/>
        </w:rPr>
        <w:footnoteReference w:id="387"/>
      </w:r>
      <w:r w:rsidRPr="00CA2564">
        <w:t>, môže rodičovi s dieťaťom pomôcť štát vyplatením náhradného výživného. V prípade, ak rodič platí len časť výživného, štát náhradné výživné poskytne vo výške rozdielu medzi určenou a zaplatenou sumou. O náhradné výživné môže požiadať oprávnený člen domácnosti, ktorej príjem nesmie prekročiť 2,2-násobok sumy životného minima určeného na všetkých jej členov.</w:t>
      </w:r>
    </w:p>
    <w:p w14:paraId="5576A87D" w14:textId="78E7D71F" w:rsidR="007E0579" w:rsidRDefault="007E0579" w:rsidP="007E0579">
      <w:pPr>
        <w:spacing w:before="160"/>
      </w:pPr>
      <w:r w:rsidRPr="00CA2564">
        <w:rPr>
          <w:b/>
        </w:rPr>
        <w:t xml:space="preserve">Výdavky na náhradné výživné v roku 2018 predstavovali </w:t>
      </w:r>
      <w:r w:rsidR="00160347">
        <w:rPr>
          <w:b/>
        </w:rPr>
        <w:t>7,0</w:t>
      </w:r>
      <w:r w:rsidRPr="00CA2564">
        <w:rPr>
          <w:b/>
        </w:rPr>
        <w:t xml:space="preserve"> </w:t>
      </w:r>
      <w:r w:rsidR="00037177" w:rsidRPr="00CA2564">
        <w:rPr>
          <w:b/>
        </w:rPr>
        <w:t>milión</w:t>
      </w:r>
      <w:r w:rsidR="00037177">
        <w:rPr>
          <w:b/>
        </w:rPr>
        <w:t>ov</w:t>
      </w:r>
      <w:r w:rsidR="00037177" w:rsidRPr="00CA2564">
        <w:rPr>
          <w:b/>
        </w:rPr>
        <w:t xml:space="preserve"> </w:t>
      </w:r>
      <w:r w:rsidRPr="00CA2564">
        <w:rPr>
          <w:b/>
        </w:rPr>
        <w:t xml:space="preserve">eur a boli vyplatené v priemere </w:t>
      </w:r>
      <w:r w:rsidR="0004116F">
        <w:rPr>
          <w:b/>
        </w:rPr>
        <w:t>8 186 </w:t>
      </w:r>
      <w:r w:rsidR="00160347">
        <w:rPr>
          <w:b/>
        </w:rPr>
        <w:t>deťom</w:t>
      </w:r>
      <w:r w:rsidRPr="00CA2564">
        <w:rPr>
          <w:b/>
        </w:rPr>
        <w:t xml:space="preserve"> za mesiac.</w:t>
      </w:r>
      <w:r w:rsidRPr="00CA2564">
        <w:t xml:space="preserve"> </w:t>
      </w:r>
      <w:r w:rsidR="00160347">
        <w:t xml:space="preserve">V roku 2018 bol maximálny nárok na náhradné výživné na jedno dieťa 112,33 eur. </w:t>
      </w:r>
      <w:r w:rsidRPr="00CA2564">
        <w:t>Výraznú väčšinu poberateľov tvorili ženy, takmer 92</w:t>
      </w:r>
      <w:r w:rsidR="00555F38">
        <w:t xml:space="preserve"> </w:t>
      </w:r>
      <w:r w:rsidRPr="00CA2564">
        <w:t>%.</w:t>
      </w:r>
      <w:r w:rsidR="00603E13">
        <w:t xml:space="preserve"> </w:t>
      </w:r>
    </w:p>
    <w:p w14:paraId="6CB6ADE8" w14:textId="22B497C9" w:rsidR="00F22186" w:rsidRPr="00CA2564" w:rsidRDefault="00274C8D" w:rsidP="00F22186">
      <w:pPr>
        <w:pStyle w:val="Nadpis2"/>
        <w:spacing w:before="240"/>
        <w:ind w:left="562" w:hanging="562"/>
      </w:pPr>
      <w:bookmarkStart w:id="906" w:name="_Ref25310071"/>
      <w:bookmarkStart w:id="907" w:name="_Ref25310415"/>
      <w:bookmarkStart w:id="908" w:name="_Ref25312274"/>
      <w:bookmarkStart w:id="909" w:name="_Ref25314992"/>
      <w:bookmarkStart w:id="910" w:name="_Ref25489028"/>
      <w:bookmarkStart w:id="911" w:name="_Toc34657734"/>
      <w:r>
        <w:t>Vybrané d</w:t>
      </w:r>
      <w:r w:rsidR="00F22186">
        <w:t>aňové výdavky</w:t>
      </w:r>
      <w:bookmarkEnd w:id="906"/>
      <w:bookmarkEnd w:id="907"/>
      <w:bookmarkEnd w:id="908"/>
      <w:bookmarkEnd w:id="909"/>
      <w:bookmarkEnd w:id="910"/>
      <w:bookmarkEnd w:id="911"/>
    </w:p>
    <w:p w14:paraId="3BFA3B1F" w14:textId="6F6D90AF" w:rsidR="00F22186" w:rsidRDefault="00483B31" w:rsidP="00F22186">
      <w:pPr>
        <w:spacing w:before="160"/>
      </w:pPr>
      <w:r>
        <w:t>Vybrané d</w:t>
      </w:r>
      <w:r w:rsidR="00F22186">
        <w:t xml:space="preserve">aňové výdavky majú za cieľ zvýšiť disponibilný príjem domácností a motivovať </w:t>
      </w:r>
      <w:r w:rsidR="00124428">
        <w:t>ľudí</w:t>
      </w:r>
      <w:r w:rsidR="00F22186">
        <w:t xml:space="preserve"> nájsť si zamestnanie. Nástroje sú zamerané na znižovanie odvodovej záťaže (o</w:t>
      </w:r>
      <w:r w:rsidR="00F22186" w:rsidRPr="005862AD">
        <w:t>dvodová úľava pre dlhodobo nezamestnaných</w:t>
      </w:r>
      <w:r w:rsidR="00F22186">
        <w:t xml:space="preserve"> a o</w:t>
      </w:r>
      <w:r w:rsidR="00F22186" w:rsidRPr="00C72C86">
        <w:t>dvodová odpočítateľná položka pre nízkopríjmových</w:t>
      </w:r>
      <w:r w:rsidR="00F22186">
        <w:t>), znižovanie</w:t>
      </w:r>
      <w:r w:rsidR="0070047D">
        <w:t xml:space="preserve"> </w:t>
      </w:r>
      <w:r w:rsidR="00F22186">
        <w:t>daňovej záťaže (nezdaniteľná časť základu dane na manžela(ku)) a zvyšovanie čistého príjmu prostredníctvom finančných príspevkov na nezaopatrené deti (daňový bonus na dieťa).</w:t>
      </w:r>
    </w:p>
    <w:p w14:paraId="22A8B3BB" w14:textId="363C5AA3" w:rsidR="00F22186" w:rsidRPr="00DB47CE" w:rsidRDefault="00F22186" w:rsidP="00F22186">
      <w:pPr>
        <w:spacing w:before="160"/>
      </w:pPr>
      <w:r>
        <w:rPr>
          <w:color w:val="0070C0"/>
        </w:rPr>
        <w:t>Odvodová úľava pre dlhodobo nezamestnaných</w:t>
      </w:r>
    </w:p>
    <w:p w14:paraId="7D9530C2" w14:textId="4C9BD444" w:rsidR="003F4982" w:rsidRDefault="00F22186" w:rsidP="00F22186">
      <w:pPr>
        <w:spacing w:before="160"/>
      </w:pPr>
      <w:r w:rsidRPr="00DC58B2">
        <w:rPr>
          <w:b/>
        </w:rPr>
        <w:t>Dlhodobo nezamestnaní</w:t>
      </w:r>
      <w:r>
        <w:rPr>
          <w:rStyle w:val="Odkaznapoznmkupodiarou"/>
          <w:b/>
        </w:rPr>
        <w:footnoteReference w:id="388"/>
      </w:r>
      <w:r w:rsidRPr="00DC58B2">
        <w:rPr>
          <w:b/>
        </w:rPr>
        <w:t xml:space="preserve"> ani ich zamestnávatelia nemusia odvádzať poistné do Sociálnej poisťovne počas prvého roka od nástupu do zamestnania.</w:t>
      </w:r>
      <w:r>
        <w:t xml:space="preserve"> Nárok na odvodovú úľavu pre dlhodobo nezamestnaných vzniká automaticky pri nástupe do práce. Zamestnávateľ prvých 12 mesiacov odvádza iba úrazové a garančné poistenie. Jednou z podmienok je výška hrubého mesačného príjmu, ktorého suma nesmie byť vyššia ako 67 % priemernej mzdy platnej 2 roky pred rokom, v ktorom vznikol pracovný pomer. Hranica sa nemení počas celej doby uplatňovania odvodovej úľavy, pre rok 20</w:t>
      </w:r>
      <w:r w:rsidR="00BD5956">
        <w:t>20</w:t>
      </w:r>
      <w:r>
        <w:t xml:space="preserve"> </w:t>
      </w:r>
      <w:r w:rsidR="00483B31">
        <w:t>ide o sumu</w:t>
      </w:r>
      <w:r>
        <w:t xml:space="preserve"> </w:t>
      </w:r>
      <w:r w:rsidR="00BD5956">
        <w:t xml:space="preserve">678,71 </w:t>
      </w:r>
      <w:r>
        <w:t>eur.</w:t>
      </w:r>
    </w:p>
    <w:p w14:paraId="0C9ACC53" w14:textId="3A896B4D" w:rsidR="00541A55" w:rsidRPr="00B7032D" w:rsidRDefault="00541A55" w:rsidP="00541A55">
      <w:pPr>
        <w:spacing w:before="160"/>
      </w:pPr>
      <w:r w:rsidRPr="00B81096">
        <w:rPr>
          <w:b/>
        </w:rPr>
        <w:t>Vplyv opatrenia na zamestnávanie dlhodobo nezamestnaných bol pozitívny.</w:t>
      </w:r>
      <w:r>
        <w:t xml:space="preserve"> P</w:t>
      </w:r>
      <w:r w:rsidRPr="000459F8">
        <w:t>odiel dlhodobo nezamestnaných na počte zamestnávaných sa zvýšil o 4 percentuálne body</w:t>
      </w:r>
      <w:r>
        <w:t xml:space="preserve"> a odhadovaná pravdepodobnosť zamestnania </w:t>
      </w:r>
      <w:r w:rsidRPr="00B7032D">
        <w:t xml:space="preserve">ukazuje presun preferencií k zamestnávaniu osôb s nárokom na odvodovú úľavu. </w:t>
      </w:r>
      <w:r w:rsidR="00B7032D">
        <w:t>Až</w:t>
      </w:r>
      <w:r w:rsidRPr="00B7032D">
        <w:t xml:space="preserve"> 40 % podporených bolo v evidencii UoZ dlhšie ako dva roky. Na zamestnávanie nízko kvalifikovaných úľava nemala dopad</w:t>
      </w:r>
      <w:r w:rsidR="00B7032D" w:rsidRPr="00B7032D">
        <w:t xml:space="preserve"> </w:t>
      </w:r>
      <w:r w:rsidR="00B7032D" w:rsidRPr="00D41517">
        <w:t>(IFP 2014a)</w:t>
      </w:r>
      <w:r w:rsidRPr="00B7032D">
        <w:t xml:space="preserve">. </w:t>
      </w:r>
    </w:p>
    <w:p w14:paraId="529F0C15" w14:textId="44E631CE" w:rsidR="00541A55" w:rsidRDefault="00541A55" w:rsidP="00541A55">
      <w:pPr>
        <w:spacing w:before="160"/>
      </w:pPr>
      <w:r w:rsidRPr="00B81096">
        <w:rPr>
          <w:b/>
        </w:rPr>
        <w:t>Potenciál úľavy však nie je využitý.</w:t>
      </w:r>
      <w:r w:rsidRPr="004723A1">
        <w:rPr>
          <w:rStyle w:val="Odkaznapoznmkupodiarou"/>
          <w:b/>
        </w:rPr>
        <w:footnoteReference w:id="389"/>
      </w:r>
      <w:r w:rsidRPr="00B81096">
        <w:rPr>
          <w:b/>
        </w:rPr>
        <w:t xml:space="preserve"> </w:t>
      </w:r>
      <w:r w:rsidRPr="004723A1">
        <w:rPr>
          <w:b/>
        </w:rPr>
        <w:t>Oproti o</w:t>
      </w:r>
      <w:r w:rsidRPr="00400BE9">
        <w:rPr>
          <w:b/>
        </w:rPr>
        <w:t xml:space="preserve">čakávanej </w:t>
      </w:r>
      <w:r>
        <w:rPr>
          <w:b/>
        </w:rPr>
        <w:t>úrovni</w:t>
      </w:r>
      <w:r w:rsidRPr="00400BE9">
        <w:rPr>
          <w:b/>
        </w:rPr>
        <w:t xml:space="preserve"> podpory 15 tisíc </w:t>
      </w:r>
      <w:r w:rsidRPr="009C0604">
        <w:rPr>
          <w:b/>
        </w:rPr>
        <w:t>ľudí si v roku 2014 uplatnilo úľavu 3</w:t>
      </w:r>
      <w:r w:rsidR="00B7032D">
        <w:rPr>
          <w:b/>
        </w:rPr>
        <w:t xml:space="preserve"> </w:t>
      </w:r>
      <w:r w:rsidRPr="009C0604">
        <w:rPr>
          <w:b/>
        </w:rPr>
        <w:t>875 a v roku 2018 už iba 2</w:t>
      </w:r>
      <w:r w:rsidR="00B7032D">
        <w:rPr>
          <w:b/>
        </w:rPr>
        <w:t xml:space="preserve"> </w:t>
      </w:r>
      <w:r w:rsidRPr="009C0604">
        <w:rPr>
          <w:b/>
        </w:rPr>
        <w:t>090</w:t>
      </w:r>
      <w:r w:rsidRPr="00B81096">
        <w:rPr>
          <w:b/>
        </w:rPr>
        <w:t xml:space="preserve"> </w:t>
      </w:r>
      <w:r w:rsidRPr="009C0604">
        <w:rPr>
          <w:b/>
        </w:rPr>
        <w:t>zamestnancov</w:t>
      </w:r>
      <w:r>
        <w:rPr>
          <w:b/>
        </w:rPr>
        <w:t xml:space="preserve">, čo prinieslo daňové </w:t>
      </w:r>
      <w:r w:rsidRPr="00B81096">
        <w:rPr>
          <w:b/>
        </w:rPr>
        <w:t>výdavky vo výške 1,5 mil. eur</w:t>
      </w:r>
      <w:r w:rsidRPr="004723A1">
        <w:rPr>
          <w:b/>
        </w:rPr>
        <w:t>.</w:t>
      </w:r>
      <w:r>
        <w:rPr>
          <w:b/>
        </w:rPr>
        <w:t xml:space="preserve"> </w:t>
      </w:r>
      <w:r w:rsidRPr="00B81096">
        <w:t xml:space="preserve">Na jednej strane </w:t>
      </w:r>
      <w:r>
        <w:t xml:space="preserve">ovplyvňujú nízke využitie </w:t>
      </w:r>
      <w:r w:rsidRPr="00B81096">
        <w:t>rôzne programy na dotovanie ceny práce</w:t>
      </w:r>
      <w:r>
        <w:t xml:space="preserve">, ktoré sú pre zamestnávateľa atraktívnejšie. Tieto sú spojené s vyššími verejnými výdavkami a alokácia výdavkov na dotovanie ceny práce je problematická hlavne v kontexte obsadzovania už existujúcich voľných pracovných miest (kapitola </w:t>
      </w:r>
      <w:r>
        <w:rPr>
          <w:highlight w:val="yellow"/>
        </w:rPr>
        <w:fldChar w:fldCharType="begin"/>
      </w:r>
      <w:r>
        <w:instrText xml:space="preserve"> REF _Ref26431901 \r \h </w:instrText>
      </w:r>
      <w:r>
        <w:rPr>
          <w:highlight w:val="yellow"/>
        </w:rPr>
      </w:r>
      <w:r>
        <w:rPr>
          <w:highlight w:val="yellow"/>
        </w:rPr>
        <w:fldChar w:fldCharType="separate"/>
      </w:r>
      <w:r w:rsidR="00FA29AF">
        <w:t>7.2</w:t>
      </w:r>
      <w:r>
        <w:rPr>
          <w:highlight w:val="yellow"/>
        </w:rPr>
        <w:fldChar w:fldCharType="end"/>
      </w:r>
      <w:r>
        <w:t>)</w:t>
      </w:r>
      <w:r w:rsidRPr="00B81096">
        <w:t>.</w:t>
      </w:r>
      <w:r>
        <w:rPr>
          <w:b/>
        </w:rPr>
        <w:t xml:space="preserve"> </w:t>
      </w:r>
      <w:r w:rsidRPr="00B81096">
        <w:t xml:space="preserve">Na druhej strane znamená </w:t>
      </w:r>
      <w:r w:rsidRPr="00A7515B">
        <w:t>odvodová</w:t>
      </w:r>
      <w:r w:rsidRPr="00B81096">
        <w:t xml:space="preserve"> úľava stratu nároku na niektoré poistné dávky.</w:t>
      </w:r>
      <w:r>
        <w:rPr>
          <w:rStyle w:val="Odkaznapoznmkupodiarou"/>
        </w:rPr>
        <w:footnoteReference w:id="390"/>
      </w:r>
      <w:r>
        <w:t xml:space="preserve"> Keďže pri uplatňovaní úľavy existuje možnosť voľby</w:t>
      </w:r>
      <w:r w:rsidR="00BD5956">
        <w:t>,</w:t>
      </w:r>
      <w:r>
        <w:t xml:space="preserve"> táto skutočnosť môže prispievať k nízkemu využívaniu odvodovej úľavy.</w:t>
      </w:r>
    </w:p>
    <w:p w14:paraId="69CDF213" w14:textId="1BDFF21F" w:rsidR="00F22186" w:rsidRPr="00DB47CE" w:rsidRDefault="00F22186" w:rsidP="00F22186">
      <w:pPr>
        <w:spacing w:before="160"/>
      </w:pPr>
      <w:r>
        <w:rPr>
          <w:color w:val="0070C0"/>
        </w:rPr>
        <w:t>Odvodová odpočítateľná položka pre nízkopríjmových</w:t>
      </w:r>
    </w:p>
    <w:p w14:paraId="7773C407" w14:textId="6683F7EE" w:rsidR="00F22186" w:rsidRPr="000A36FA" w:rsidRDefault="00F22186" w:rsidP="00F22186">
      <w:pPr>
        <w:spacing w:before="160"/>
      </w:pPr>
      <w:r w:rsidRPr="000236FD">
        <w:rPr>
          <w:b/>
        </w:rPr>
        <w:t>Zamestnanci s nízkym príjmom majú možnosť znížiť vymeriavací z</w:t>
      </w:r>
      <w:r w:rsidR="00545776">
        <w:rPr>
          <w:b/>
        </w:rPr>
        <w:t>áklad pre výpočet preddavkov na </w:t>
      </w:r>
      <w:r w:rsidRPr="000236FD">
        <w:rPr>
          <w:b/>
        </w:rPr>
        <w:t>poistné pre zdravotnú poisťovňu</w:t>
      </w:r>
      <w:r w:rsidR="00566214">
        <w:rPr>
          <w:b/>
        </w:rPr>
        <w:t>.</w:t>
      </w:r>
      <w:r>
        <w:rPr>
          <w:rStyle w:val="Odkaznapoznmkupodiarou"/>
          <w:b/>
        </w:rPr>
        <w:footnoteReference w:id="391"/>
      </w:r>
      <w:r>
        <w:t xml:space="preserve"> Odpočítateľná položka je najviac vo výške 380 eur mesačne a nesmie byť vyššia ako výška príjmu zamestnanca. V prípade rastu príjmu sa položka znižuje v dvojnásobnej miere. Uplatnenie položky je obmedzené na príjem z činnosti do výšky 570 eur mesačne.</w:t>
      </w:r>
    </w:p>
    <w:p w14:paraId="2F344997" w14:textId="1EBB2FD4" w:rsidR="00F22186" w:rsidRDefault="00F22186" w:rsidP="00F22186">
      <w:pPr>
        <w:spacing w:before="160"/>
        <w:rPr>
          <w:color w:val="000000"/>
          <w:sz w:val="20"/>
        </w:rPr>
      </w:pPr>
      <w:r>
        <w:rPr>
          <w:b/>
        </w:rPr>
        <w:t>Odvodová odpočítateľná položka pre nízkopríjmových bola v roku 2018 vo výške 119,9 miliónov eur</w:t>
      </w:r>
      <w:r w:rsidR="00566214">
        <w:rPr>
          <w:b/>
        </w:rPr>
        <w:t>.</w:t>
      </w:r>
      <w:r>
        <w:rPr>
          <w:b/>
        </w:rPr>
        <w:t xml:space="preserve"> </w:t>
      </w:r>
      <w:r>
        <w:t xml:space="preserve">V budúcich rokoch sa očakáva výrazný pokles výdavkov. Dôvodom je </w:t>
      </w:r>
      <w:r w:rsidR="00566214">
        <w:t xml:space="preserve">nárast minimálnej mzdy na 580 eur v roku 2020, ktorý </w:t>
      </w:r>
      <w:r>
        <w:t>obmedz</w:t>
      </w:r>
      <w:r w:rsidR="00566214">
        <w:t>í</w:t>
      </w:r>
      <w:r>
        <w:t xml:space="preserve"> poč</w:t>
      </w:r>
      <w:r w:rsidR="00566214">
        <w:t>et</w:t>
      </w:r>
      <w:r>
        <w:t xml:space="preserve"> zamestnancov </w:t>
      </w:r>
      <w:r w:rsidR="00566214">
        <w:t xml:space="preserve">s nárokom na </w:t>
      </w:r>
      <w:r>
        <w:t>uplat</w:t>
      </w:r>
      <w:r w:rsidR="00566214">
        <w:t>nenie</w:t>
      </w:r>
      <w:r>
        <w:t xml:space="preserve"> si odpočítateľn</w:t>
      </w:r>
      <w:r w:rsidR="00566214">
        <w:t>ej</w:t>
      </w:r>
      <w:r>
        <w:t xml:space="preserve"> položk</w:t>
      </w:r>
      <w:r w:rsidR="00566214">
        <w:t>y</w:t>
      </w:r>
      <w:r>
        <w:t>.</w:t>
      </w:r>
    </w:p>
    <w:p w14:paraId="56DDD828" w14:textId="381375AE" w:rsidR="00F22186" w:rsidRPr="00DB47CE" w:rsidRDefault="00F22186" w:rsidP="00F22186">
      <w:pPr>
        <w:spacing w:before="160"/>
      </w:pPr>
      <w:r>
        <w:rPr>
          <w:color w:val="0070C0"/>
        </w:rPr>
        <w:t>Uplatňovanie nezdaniteľnej časti základu dane na manžela/manželku</w:t>
      </w:r>
    </w:p>
    <w:p w14:paraId="20D1DA4F" w14:textId="033EC9FC" w:rsidR="00F22186" w:rsidRDefault="00F22186" w:rsidP="00F22186">
      <w:pPr>
        <w:spacing w:before="160"/>
      </w:pPr>
      <w:r w:rsidRPr="00342F0B">
        <w:rPr>
          <w:b/>
        </w:rPr>
        <w:t>Dočasný výpadok príjmu manžela(ky) v domácnosti si môžu zamestnanci kompenzovať v ročnom daňovom priznaní prostredníctvom uplatnenia nezdaniteľnej časti základu dane na manžela(ku).</w:t>
      </w:r>
      <w:r>
        <w:t xml:space="preserve"> Nárok sa vzťahuje na úhrn príjmov z aktívne vykonávanej práce, pričom do úvahy sa berú príjmy osoby, na ktorú sa nezdaniteľná časť uplatňuje</w:t>
      </w:r>
      <w:r w:rsidR="00F774B6">
        <w:t>.</w:t>
      </w:r>
      <w:r>
        <w:rPr>
          <w:rStyle w:val="Odkaznapoznmkupodiarou"/>
        </w:rPr>
        <w:footnoteReference w:id="392"/>
      </w:r>
      <w:r>
        <w:t xml:space="preserve"> Ak daňovník zarába ročne menej ako je 176,8 násobok životného minima (v roku 20</w:t>
      </w:r>
      <w:r w:rsidR="00BD5956">
        <w:t>20</w:t>
      </w:r>
      <w:r>
        <w:t xml:space="preserve"> suma 3</w:t>
      </w:r>
      <w:r w:rsidR="00BD5956">
        <w:t>7 163</w:t>
      </w:r>
      <w:r>
        <w:t>,3</w:t>
      </w:r>
      <w:r w:rsidR="00BD5956">
        <w:t>6</w:t>
      </w:r>
      <w:r>
        <w:t xml:space="preserve"> eur), môže si uplatniť nezdaniteľnú časť základu dane vo výške rozdielu medzi príjmom manžela(ky) a 19,2 násobkom životného minima (</w:t>
      </w:r>
      <w:r w:rsidR="00BD5956">
        <w:t>v roku 2020 suma 4 035,84 eur</w:t>
      </w:r>
      <w:r>
        <w:t xml:space="preserve">). Zamestnanci s vyšším príjmom podliehajú iným pravidlám uplatňovania nezdaniteľnej časti základu dane. </w:t>
      </w:r>
    </w:p>
    <w:p w14:paraId="2DB0B9DB" w14:textId="3749D52E" w:rsidR="00F22186" w:rsidRPr="00F04E7A" w:rsidRDefault="00F22186" w:rsidP="00F22186">
      <w:pPr>
        <w:spacing w:before="160"/>
      </w:pPr>
      <w:r w:rsidRPr="008E00AE">
        <w:rPr>
          <w:b/>
        </w:rPr>
        <w:t xml:space="preserve">Výdavky na nezdaniteľnú časť základu dane na manžela(ku) predstavovali v roku 2018 </w:t>
      </w:r>
      <w:r>
        <w:rPr>
          <w:b/>
        </w:rPr>
        <w:t xml:space="preserve">sumu </w:t>
      </w:r>
      <w:r w:rsidRPr="008E00AE">
        <w:rPr>
          <w:b/>
        </w:rPr>
        <w:t>63 miliónov eur</w:t>
      </w:r>
      <w:r w:rsidR="006742C0">
        <w:rPr>
          <w:b/>
        </w:rPr>
        <w:t>. Odhadom okolo</w:t>
      </w:r>
      <w:r w:rsidRPr="008E00AE">
        <w:rPr>
          <w:b/>
        </w:rPr>
        <w:t xml:space="preserve"> 27 % </w:t>
      </w:r>
      <w:r>
        <w:rPr>
          <w:b/>
        </w:rPr>
        <w:t>výdavkov</w:t>
      </w:r>
      <w:r w:rsidRPr="008E00AE">
        <w:rPr>
          <w:b/>
        </w:rPr>
        <w:t xml:space="preserve"> </w:t>
      </w:r>
      <w:r w:rsidR="006742C0" w:rsidRPr="008E00AE">
        <w:rPr>
          <w:b/>
        </w:rPr>
        <w:t>(17 miliónov eur)</w:t>
      </w:r>
      <w:r w:rsidR="006742C0">
        <w:rPr>
          <w:b/>
        </w:rPr>
        <w:t xml:space="preserve"> </w:t>
      </w:r>
      <w:r>
        <w:rPr>
          <w:b/>
        </w:rPr>
        <w:t>smerovalo k ľuďom ohrozeným</w:t>
      </w:r>
      <w:r w:rsidRPr="008E00AE">
        <w:rPr>
          <w:b/>
        </w:rPr>
        <w:t xml:space="preserve"> chudobou alebo sociálnym vylúčením. </w:t>
      </w:r>
      <w:r>
        <w:t xml:space="preserve">V budúcnosti sa očakáva nárast výdavkov o približne 2 % ročne. </w:t>
      </w:r>
    </w:p>
    <w:p w14:paraId="5FEBF058" w14:textId="29AB6578" w:rsidR="00F22186" w:rsidRPr="00DB47CE" w:rsidRDefault="00F22186" w:rsidP="00F22186">
      <w:pPr>
        <w:spacing w:before="160"/>
      </w:pPr>
      <w:r>
        <w:rPr>
          <w:color w:val="0070C0"/>
        </w:rPr>
        <w:t>Daňový bonus na deti</w:t>
      </w:r>
    </w:p>
    <w:p w14:paraId="57515EE1" w14:textId="422B25B4" w:rsidR="00F22186" w:rsidRDefault="00F22186" w:rsidP="00F22186">
      <w:pPr>
        <w:spacing w:before="160"/>
      </w:pPr>
      <w:r>
        <w:rPr>
          <w:b/>
        </w:rPr>
        <w:t>Rodina</w:t>
      </w:r>
      <w:r w:rsidRPr="00021EA0">
        <w:rPr>
          <w:b/>
        </w:rPr>
        <w:t xml:space="preserve"> s nezaopatreným dieťaťom si môže mesačný príjem navýšiť o daňový bonus na dieťa</w:t>
      </w:r>
      <w:r w:rsidR="00D81BCE">
        <w:rPr>
          <w:b/>
        </w:rPr>
        <w:t>.</w:t>
      </w:r>
      <w:r>
        <w:rPr>
          <w:rStyle w:val="Odkaznapoznmkupodiarou"/>
          <w:b/>
        </w:rPr>
        <w:footnoteReference w:id="393"/>
      </w:r>
      <w:r>
        <w:t xml:space="preserve"> Podmienkou je dosiahnuť príjem z aktívnej zárobkovej činnosti vo výške najmenej 6 násobku minimálnej mzdy za kalendárny rok, pričom nárok nie je obmedzený hornou hranicou príjmu. </w:t>
      </w:r>
      <w:r w:rsidR="00BD5956">
        <w:t>Bonus si môže uplatniť vždy iba jeden z rodičov a to vo výške 22,72 eur na každé dieťa, ktoré dovŕšilo 6 rokov veku alebo 45,44 eur na dieťa, ktoré má menej ako 6 rokov</w:t>
      </w:r>
      <w:r w:rsidR="00D81BCE">
        <w:t>.</w:t>
      </w:r>
      <w:r>
        <w:rPr>
          <w:rStyle w:val="Odkaznapoznmkupodiarou"/>
        </w:rPr>
        <w:footnoteReference w:id="394"/>
      </w:r>
      <w:r>
        <w:t xml:space="preserve"> Daňovník nemusí spĺňať podmienku minimálneho príjmu (polovica minimálnej mzdy) vo všetkých mesiacoch kalendárneho roka, nárok mu nezaniká, pokiaľ mu bonus zamestnávateľ už priznal.</w:t>
      </w:r>
    </w:p>
    <w:p w14:paraId="7EE736E8" w14:textId="74AD7722" w:rsidR="00F22186" w:rsidRPr="00F22186" w:rsidRDefault="00F22186" w:rsidP="00F22186">
      <w:pPr>
        <w:spacing w:before="160"/>
        <w:rPr>
          <w:b/>
        </w:rPr>
      </w:pPr>
      <w:r w:rsidRPr="00A83420">
        <w:rPr>
          <w:b/>
        </w:rPr>
        <w:t>Výdavky na daňový bonus na dieťa v roku 2018 boli vo výške 269,1 miliónov eur</w:t>
      </w:r>
      <w:r w:rsidR="00F87DC2">
        <w:rPr>
          <w:b/>
        </w:rPr>
        <w:t>.</w:t>
      </w:r>
      <w:r w:rsidRPr="00A83420">
        <w:rPr>
          <w:b/>
        </w:rPr>
        <w:t xml:space="preserve"> </w:t>
      </w:r>
      <w:r w:rsidR="00F87DC2">
        <w:rPr>
          <w:b/>
        </w:rPr>
        <w:t>Z </w:t>
      </w:r>
      <w:r w:rsidRPr="00A83420">
        <w:rPr>
          <w:b/>
        </w:rPr>
        <w:t>toho</w:t>
      </w:r>
      <w:r w:rsidR="00F87DC2">
        <w:rPr>
          <w:b/>
        </w:rPr>
        <w:t xml:space="preserve"> odhadom okolo</w:t>
      </w:r>
      <w:r w:rsidRPr="00A83420">
        <w:rPr>
          <w:b/>
        </w:rPr>
        <w:t xml:space="preserve"> </w:t>
      </w:r>
      <w:r w:rsidR="00F87DC2">
        <w:rPr>
          <w:b/>
        </w:rPr>
        <w:t>15</w:t>
      </w:r>
      <w:r w:rsidRPr="00A83420">
        <w:rPr>
          <w:b/>
        </w:rPr>
        <w:t xml:space="preserve"> % (39,8 miliónov eur) poberali rodiny ohrozené chudobou alebo sociálnym vylúčením. </w:t>
      </w:r>
      <w:r>
        <w:t>Novela zákona a zvýšenie bonusu pre deti v predškolskom veku sú jedným z dôvodov, prečo sa v budúcnosti očakáva nárast výdavkov na daňový bonus na dieťa.</w:t>
      </w:r>
    </w:p>
    <w:p w14:paraId="3CA79861" w14:textId="78908C1F" w:rsidR="000D6BDD" w:rsidRPr="000D6BDD" w:rsidRDefault="000D6BDD" w:rsidP="007E0579">
      <w:pPr>
        <w:pStyle w:val="Nadpis2"/>
        <w:spacing w:before="160"/>
      </w:pPr>
      <w:bookmarkStart w:id="912" w:name="_Toc20660657"/>
      <w:bookmarkStart w:id="913" w:name="_Toc20661055"/>
      <w:bookmarkStart w:id="914" w:name="_Toc21108476"/>
      <w:bookmarkStart w:id="915" w:name="_Toc21108873"/>
      <w:bookmarkStart w:id="916" w:name="_Toc21109233"/>
      <w:bookmarkStart w:id="917" w:name="_Toc20660658"/>
      <w:bookmarkStart w:id="918" w:name="_Toc20661056"/>
      <w:bookmarkStart w:id="919" w:name="_Toc21108477"/>
      <w:bookmarkStart w:id="920" w:name="_Toc21108874"/>
      <w:bookmarkStart w:id="921" w:name="_Toc21109234"/>
      <w:bookmarkStart w:id="922" w:name="_Toc19342160"/>
      <w:bookmarkStart w:id="923" w:name="_Toc19342269"/>
      <w:bookmarkStart w:id="924" w:name="_Toc19426443"/>
      <w:bookmarkStart w:id="925" w:name="_Toc19429567"/>
      <w:bookmarkStart w:id="926" w:name="_Toc19460030"/>
      <w:bookmarkStart w:id="927" w:name="_Toc19460347"/>
      <w:bookmarkStart w:id="928" w:name="_Toc19460562"/>
      <w:bookmarkStart w:id="929" w:name="_Toc19464855"/>
      <w:bookmarkStart w:id="930" w:name="_Toc19468448"/>
      <w:bookmarkStart w:id="931" w:name="_Toc19515796"/>
      <w:bookmarkStart w:id="932" w:name="_Toc19517845"/>
      <w:bookmarkStart w:id="933" w:name="_Toc19531895"/>
      <w:bookmarkStart w:id="934" w:name="_Toc19539917"/>
      <w:bookmarkStart w:id="935" w:name="_Toc19686849"/>
      <w:bookmarkStart w:id="936" w:name="_Toc19711494"/>
      <w:bookmarkStart w:id="937" w:name="_Toc19711710"/>
      <w:bookmarkStart w:id="938" w:name="_Toc19723924"/>
      <w:bookmarkStart w:id="939" w:name="_Toc19880185"/>
      <w:bookmarkStart w:id="940" w:name="_Toc19881505"/>
      <w:bookmarkStart w:id="941" w:name="_Toc19885951"/>
      <w:bookmarkStart w:id="942" w:name="_Toc19939965"/>
      <w:bookmarkStart w:id="943" w:name="_Toc19941536"/>
      <w:bookmarkStart w:id="944" w:name="_Toc19944205"/>
      <w:bookmarkStart w:id="945" w:name="_Toc20048440"/>
      <w:bookmarkStart w:id="946" w:name="_Toc20064975"/>
      <w:bookmarkStart w:id="947" w:name="_Toc20153921"/>
      <w:bookmarkStart w:id="948" w:name="_Toc20154722"/>
      <w:bookmarkStart w:id="949" w:name="_Toc20208046"/>
      <w:bookmarkStart w:id="950" w:name="_Toc20300426"/>
      <w:bookmarkStart w:id="951" w:name="_Toc20660659"/>
      <w:bookmarkStart w:id="952" w:name="_Toc20661057"/>
      <w:bookmarkStart w:id="953" w:name="_Toc21108478"/>
      <w:bookmarkStart w:id="954" w:name="_Toc21108875"/>
      <w:bookmarkStart w:id="955" w:name="_Toc21109235"/>
      <w:bookmarkStart w:id="956" w:name="_Toc19342161"/>
      <w:bookmarkStart w:id="957" w:name="_Toc19342270"/>
      <w:bookmarkStart w:id="958" w:name="_Toc19426444"/>
      <w:bookmarkStart w:id="959" w:name="_Toc19429568"/>
      <w:bookmarkStart w:id="960" w:name="_Toc19460031"/>
      <w:bookmarkStart w:id="961" w:name="_Toc19460348"/>
      <w:bookmarkStart w:id="962" w:name="_Toc19460563"/>
      <w:bookmarkStart w:id="963" w:name="_Toc19464856"/>
      <w:bookmarkStart w:id="964" w:name="_Toc19468449"/>
      <w:bookmarkStart w:id="965" w:name="_Toc19515797"/>
      <w:bookmarkStart w:id="966" w:name="_Toc19517846"/>
      <w:bookmarkStart w:id="967" w:name="_Toc19531896"/>
      <w:bookmarkStart w:id="968" w:name="_Toc19539918"/>
      <w:bookmarkStart w:id="969" w:name="_Toc19686850"/>
      <w:bookmarkStart w:id="970" w:name="_Toc19711495"/>
      <w:bookmarkStart w:id="971" w:name="_Toc19711711"/>
      <w:bookmarkStart w:id="972" w:name="_Toc19723925"/>
      <w:bookmarkStart w:id="973" w:name="_Toc19880186"/>
      <w:bookmarkStart w:id="974" w:name="_Toc19881506"/>
      <w:bookmarkStart w:id="975" w:name="_Toc19885952"/>
      <w:bookmarkStart w:id="976" w:name="_Toc19939966"/>
      <w:bookmarkStart w:id="977" w:name="_Toc19941537"/>
      <w:bookmarkStart w:id="978" w:name="_Toc19944206"/>
      <w:bookmarkStart w:id="979" w:name="_Toc20048441"/>
      <w:bookmarkStart w:id="980" w:name="_Toc20064976"/>
      <w:bookmarkStart w:id="981" w:name="_Toc20153922"/>
      <w:bookmarkStart w:id="982" w:name="_Toc20154723"/>
      <w:bookmarkStart w:id="983" w:name="_Toc20208047"/>
      <w:bookmarkStart w:id="984" w:name="_Toc20300427"/>
      <w:bookmarkStart w:id="985" w:name="_Toc20660660"/>
      <w:bookmarkStart w:id="986" w:name="_Toc20661058"/>
      <w:bookmarkStart w:id="987" w:name="_Toc21108479"/>
      <w:bookmarkStart w:id="988" w:name="_Toc21108876"/>
      <w:bookmarkStart w:id="989" w:name="_Toc21109236"/>
      <w:bookmarkStart w:id="990" w:name="_Toc19342163"/>
      <w:bookmarkStart w:id="991" w:name="_Toc19342272"/>
      <w:bookmarkStart w:id="992" w:name="_Toc19426446"/>
      <w:bookmarkStart w:id="993" w:name="_Toc19429570"/>
      <w:bookmarkStart w:id="994" w:name="_Toc19460033"/>
      <w:bookmarkStart w:id="995" w:name="_Toc19460350"/>
      <w:bookmarkStart w:id="996" w:name="_Toc19460565"/>
      <w:bookmarkStart w:id="997" w:name="_Toc19464858"/>
      <w:bookmarkStart w:id="998" w:name="_Toc19468451"/>
      <w:bookmarkStart w:id="999" w:name="_Toc19515799"/>
      <w:bookmarkStart w:id="1000" w:name="_Toc19517848"/>
      <w:bookmarkStart w:id="1001" w:name="_Toc19531898"/>
      <w:bookmarkStart w:id="1002" w:name="_Toc19539920"/>
      <w:bookmarkStart w:id="1003" w:name="_Toc19686852"/>
      <w:bookmarkStart w:id="1004" w:name="_Toc19711497"/>
      <w:bookmarkStart w:id="1005" w:name="_Toc19711713"/>
      <w:bookmarkStart w:id="1006" w:name="_Toc19723927"/>
      <w:bookmarkStart w:id="1007" w:name="_Toc19880188"/>
      <w:bookmarkStart w:id="1008" w:name="_Toc19881508"/>
      <w:bookmarkStart w:id="1009" w:name="_Toc19885954"/>
      <w:bookmarkStart w:id="1010" w:name="_Toc19939968"/>
      <w:bookmarkStart w:id="1011" w:name="_Toc19941539"/>
      <w:bookmarkStart w:id="1012" w:name="_Toc19944208"/>
      <w:bookmarkStart w:id="1013" w:name="_Toc20048443"/>
      <w:bookmarkStart w:id="1014" w:name="_Toc20064978"/>
      <w:bookmarkStart w:id="1015" w:name="_Toc20153924"/>
      <w:bookmarkStart w:id="1016" w:name="_Toc20154725"/>
      <w:bookmarkStart w:id="1017" w:name="_Toc20208049"/>
      <w:bookmarkStart w:id="1018" w:name="_Toc20300429"/>
      <w:bookmarkStart w:id="1019" w:name="_Toc20660662"/>
      <w:bookmarkStart w:id="1020" w:name="_Toc20661060"/>
      <w:bookmarkStart w:id="1021" w:name="_Toc21108481"/>
      <w:bookmarkStart w:id="1022" w:name="_Toc21108878"/>
      <w:bookmarkStart w:id="1023" w:name="_Toc21109238"/>
      <w:bookmarkStart w:id="1024" w:name="_Toc19342206"/>
      <w:bookmarkStart w:id="1025" w:name="_Toc19342315"/>
      <w:bookmarkStart w:id="1026" w:name="_Toc19426489"/>
      <w:bookmarkStart w:id="1027" w:name="_Toc19429613"/>
      <w:bookmarkStart w:id="1028" w:name="_Toc19460076"/>
      <w:bookmarkStart w:id="1029" w:name="_Toc19460393"/>
      <w:bookmarkStart w:id="1030" w:name="_Toc19460608"/>
      <w:bookmarkStart w:id="1031" w:name="_Toc19464901"/>
      <w:bookmarkStart w:id="1032" w:name="_Toc19468494"/>
      <w:bookmarkStart w:id="1033" w:name="_Toc19515842"/>
      <w:bookmarkStart w:id="1034" w:name="_Toc19517891"/>
      <w:bookmarkStart w:id="1035" w:name="_Toc19531941"/>
      <w:bookmarkStart w:id="1036" w:name="_Toc19539963"/>
      <w:bookmarkStart w:id="1037" w:name="_Toc19686895"/>
      <w:bookmarkStart w:id="1038" w:name="_Toc19711540"/>
      <w:bookmarkStart w:id="1039" w:name="_Toc19711756"/>
      <w:bookmarkStart w:id="1040" w:name="_Toc19723970"/>
      <w:bookmarkStart w:id="1041" w:name="_Toc19880231"/>
      <w:bookmarkStart w:id="1042" w:name="_Toc19881551"/>
      <w:bookmarkStart w:id="1043" w:name="_Toc19885997"/>
      <w:bookmarkStart w:id="1044" w:name="_Toc19940011"/>
      <w:bookmarkStart w:id="1045" w:name="_Toc19941582"/>
      <w:bookmarkStart w:id="1046" w:name="_Toc19944251"/>
      <w:bookmarkStart w:id="1047" w:name="_Toc20048486"/>
      <w:bookmarkStart w:id="1048" w:name="_Toc20065021"/>
      <w:bookmarkStart w:id="1049" w:name="_Toc20153967"/>
      <w:bookmarkStart w:id="1050" w:name="_Toc20154768"/>
      <w:bookmarkStart w:id="1051" w:name="_Toc20208092"/>
      <w:bookmarkStart w:id="1052" w:name="_Toc20300472"/>
      <w:bookmarkStart w:id="1053" w:name="_Toc20660705"/>
      <w:bookmarkStart w:id="1054" w:name="_Toc20661103"/>
      <w:bookmarkStart w:id="1055" w:name="_Toc21108524"/>
      <w:bookmarkStart w:id="1056" w:name="_Toc21108921"/>
      <w:bookmarkStart w:id="1057" w:name="_Toc21109281"/>
      <w:bookmarkStart w:id="1058" w:name="_Toc18340948"/>
      <w:bookmarkStart w:id="1059" w:name="_Ref25409741"/>
      <w:bookmarkStart w:id="1060" w:name="_Ref27498525"/>
      <w:bookmarkStart w:id="1061" w:name="_Ref30001534"/>
      <w:bookmarkStart w:id="1062" w:name="_Ref33437399"/>
      <w:bookmarkStart w:id="1063" w:name="_Toc34657735"/>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r w:rsidRPr="00CA2564">
        <w:t>Podpora osôb so zdravotným postihnutím</w:t>
      </w:r>
      <w:bookmarkEnd w:id="1058"/>
      <w:bookmarkEnd w:id="1059"/>
      <w:bookmarkEnd w:id="1060"/>
      <w:bookmarkEnd w:id="1061"/>
      <w:bookmarkEnd w:id="1062"/>
      <w:bookmarkEnd w:id="1063"/>
    </w:p>
    <w:p w14:paraId="508EFBA9" w14:textId="2D193F8C" w:rsidR="007E0579" w:rsidRPr="008510C6" w:rsidRDefault="007E0579" w:rsidP="007E0579">
      <w:pPr>
        <w:rPr>
          <w:rFonts w:eastAsia="Arial Narrow" w:cs="Arial Narrow"/>
        </w:rPr>
      </w:pPr>
      <w:r w:rsidRPr="008510C6">
        <w:rPr>
          <w:rFonts w:eastAsia="Arial Narrow" w:cs="Arial Narrow"/>
        </w:rPr>
        <w:t>Štát podporuje osoby so zdravotným postihnutím prostredníctvom sociálnej pomoci určenej pre osoby s ťažkým zdravotným postihnutím, prostredníctvom sociálneho poistenia, z ktorého sa vyplácajú invalidné dôchodky, a tiež prostredníctvom vybraných sociálnych služieb.</w:t>
      </w:r>
    </w:p>
    <w:p w14:paraId="18595F62" w14:textId="38EDC79B" w:rsidR="007E0579" w:rsidRPr="00CA2564" w:rsidRDefault="007E0579" w:rsidP="007E0579">
      <w:pPr>
        <w:rPr>
          <w:rFonts w:eastAsia="Arial Narrow" w:cs="Arial Narrow"/>
        </w:rPr>
      </w:pPr>
      <w:r w:rsidRPr="00CA2564">
        <w:rPr>
          <w:rFonts w:eastAsia="Arial Narrow" w:cs="Arial Narrow"/>
          <w:b/>
        </w:rPr>
        <w:t xml:space="preserve">Podľa údajov Eurostatu sú výdavky Slovenska na sociálnu ochranu v oblasti choroby, invalidity a zdravotného postihnutia v pomere k HDP vyššie ako priemer EÚ. </w:t>
      </w:r>
      <w:r w:rsidR="00540D70">
        <w:t>Kým krajiny EÚ vynaložili v roku 2018 v priemere 2,7 % svojho HDP na túto oblasť, na Slovensku dosiahli výdavky 3,1 % HDP (2,8 mld. eur)</w:t>
      </w:r>
      <w:r w:rsidRPr="00CA2564">
        <w:rPr>
          <w:rFonts w:eastAsia="Arial Narrow" w:cs="Arial Narrow"/>
        </w:rPr>
        <w:t>.</w:t>
      </w:r>
      <w:r w:rsidRPr="00D41517">
        <w:rPr>
          <w:rStyle w:val="Odkaznapoznmkupodiarou"/>
        </w:rPr>
        <w:footnoteReference w:id="395"/>
      </w:r>
      <w:r w:rsidRPr="00CA2564">
        <w:rPr>
          <w:b/>
        </w:rPr>
        <w:t xml:space="preserve"> </w:t>
      </w:r>
      <w:r w:rsidRPr="00CA2564">
        <w:t>Výdavky je potrebné vidieť aj v kontexte rôzneho výskytu zdravotného postihnutia v jednotlivých krajinách, jednoznačné a objektívne medzinárodne porovnateľné údaje však nie sú známe.</w:t>
      </w:r>
      <w:r w:rsidRPr="00CA2564">
        <w:rPr>
          <w:rStyle w:val="Odkaznapoznmkupodiarou"/>
        </w:rPr>
        <w:footnoteReference w:id="396"/>
      </w:r>
      <w:r w:rsidRPr="00CA2564">
        <w:t xml:space="preserve"> </w:t>
      </w:r>
    </w:p>
    <w:p w14:paraId="0167A365" w14:textId="1E91842B" w:rsidR="007E0579" w:rsidRPr="009564D6" w:rsidRDefault="007E0579" w:rsidP="009564D6">
      <w:pPr>
        <w:rPr>
          <w:rFonts w:eastAsia="Arial Narrow" w:cs="Arial Narrow"/>
          <w:szCs w:val="22"/>
        </w:rPr>
      </w:pPr>
      <w:r w:rsidRPr="00CA2564">
        <w:rPr>
          <w:rFonts w:eastAsia="Arial Narrow" w:cs="Arial Narrow"/>
          <w:b/>
        </w:rPr>
        <w:t xml:space="preserve">Podľa údajov z prieskumu EU-SILC </w:t>
      </w:r>
      <w:r w:rsidR="00AF0BE8">
        <w:rPr>
          <w:rFonts w:eastAsia="Arial Narrow" w:cs="Arial Narrow"/>
          <w:b/>
        </w:rPr>
        <w:t xml:space="preserve">z roku 2018 </w:t>
      </w:r>
      <w:r w:rsidRPr="00CA2564">
        <w:rPr>
          <w:rFonts w:eastAsia="Arial Narrow" w:cs="Arial Narrow"/>
          <w:b/>
        </w:rPr>
        <w:t xml:space="preserve">je sociálny systém na Slovensku najúspešnejší v znižovaní rizika chudoby zdravotne znevýhodnených osôb v rámci EÚ. </w:t>
      </w:r>
      <w:r w:rsidRPr="00CA2564">
        <w:rPr>
          <w:rFonts w:eastAsia="Arial Narrow" w:cs="Arial Narrow"/>
        </w:rPr>
        <w:t>Kým bez sociálnych transferov by bola miera rizika chudoby zdravotne znevýhodnených osôb na Slovensku na úrovni 5</w:t>
      </w:r>
      <w:r w:rsidR="00540D70">
        <w:rPr>
          <w:rFonts w:eastAsia="Arial Narrow" w:cs="Arial Narrow"/>
        </w:rPr>
        <w:t>7,8</w:t>
      </w:r>
      <w:r w:rsidR="002E034C">
        <w:rPr>
          <w:rFonts w:eastAsia="Arial Narrow" w:cs="Arial Narrow"/>
        </w:rPr>
        <w:t xml:space="preserve"> %, po zohľadnení príjmu zo </w:t>
      </w:r>
      <w:r w:rsidRPr="00CA2564">
        <w:rPr>
          <w:rFonts w:eastAsia="Arial Narrow" w:cs="Arial Narrow"/>
        </w:rPr>
        <w:t>sociálnych transferov je to iba 11</w:t>
      </w:r>
      <w:r w:rsidR="00540D70">
        <w:rPr>
          <w:rFonts w:eastAsia="Arial Narrow" w:cs="Arial Narrow"/>
        </w:rPr>
        <w:t>,4</w:t>
      </w:r>
      <w:r w:rsidRPr="00CA2564">
        <w:rPr>
          <w:rFonts w:eastAsia="Arial Narrow" w:cs="Arial Narrow"/>
        </w:rPr>
        <w:t xml:space="preserve"> %, čo </w:t>
      </w:r>
      <w:r w:rsidR="00540D70">
        <w:rPr>
          <w:rFonts w:eastAsia="Arial Narrow" w:cs="Arial Narrow"/>
          <w:szCs w:val="22"/>
        </w:rPr>
        <w:t>predstavuje vyše 80</w:t>
      </w:r>
      <w:r w:rsidRPr="009564D6">
        <w:rPr>
          <w:rFonts w:eastAsia="Arial Narrow" w:cs="Arial Narrow"/>
          <w:szCs w:val="22"/>
        </w:rPr>
        <w:t xml:space="preserve"> % pokles. Priemerný pokles v krajinách EÚ je pritom 6</w:t>
      </w:r>
      <w:r w:rsidR="00AF0BE8">
        <w:rPr>
          <w:rFonts w:eastAsia="Arial Narrow" w:cs="Arial Narrow"/>
          <w:szCs w:val="22"/>
        </w:rPr>
        <w:t>6</w:t>
      </w:r>
      <w:r w:rsidRPr="009564D6">
        <w:rPr>
          <w:rFonts w:eastAsia="Arial Narrow" w:cs="Arial Narrow"/>
          <w:szCs w:val="22"/>
        </w:rPr>
        <w:t xml:space="preserve"> % (</w:t>
      </w:r>
      <w:r w:rsidRPr="009564D6">
        <w:rPr>
          <w:rFonts w:eastAsia="Arial Narrow" w:cs="Arial Narrow"/>
          <w:szCs w:val="22"/>
        </w:rPr>
        <w:fldChar w:fldCharType="begin"/>
      </w:r>
      <w:r w:rsidRPr="009564D6">
        <w:rPr>
          <w:rFonts w:eastAsia="Arial Narrow" w:cs="Arial Narrow"/>
          <w:szCs w:val="22"/>
        </w:rPr>
        <w:instrText xml:space="preserve"> REF _Ref17116245 \h </w:instrText>
      </w:r>
      <w:r w:rsidR="009564D6">
        <w:rPr>
          <w:rFonts w:eastAsia="Arial Narrow" w:cs="Arial Narrow"/>
          <w:szCs w:val="22"/>
        </w:rPr>
        <w:instrText xml:space="preserve"> \* MERGEFORMAT </w:instrText>
      </w:r>
      <w:r w:rsidRPr="009564D6">
        <w:rPr>
          <w:rFonts w:eastAsia="Arial Narrow" w:cs="Arial Narrow"/>
          <w:szCs w:val="22"/>
        </w:rPr>
      </w:r>
      <w:r w:rsidRPr="009564D6">
        <w:rPr>
          <w:rFonts w:eastAsia="Arial Narrow" w:cs="Arial Narrow"/>
          <w:szCs w:val="22"/>
        </w:rPr>
        <w:fldChar w:fldCharType="separate"/>
      </w:r>
      <w:r w:rsidR="00FA29AF" w:rsidRPr="00FA29AF">
        <w:rPr>
          <w:szCs w:val="22"/>
        </w:rPr>
        <w:t xml:space="preserve">Graf </w:t>
      </w:r>
      <w:r w:rsidR="00FA29AF" w:rsidRPr="00FA29AF">
        <w:rPr>
          <w:iCs/>
          <w:noProof/>
          <w:szCs w:val="22"/>
        </w:rPr>
        <w:t>59</w:t>
      </w:r>
      <w:r w:rsidRPr="009564D6">
        <w:rPr>
          <w:rFonts w:eastAsia="Arial Narrow" w:cs="Arial Narrow"/>
          <w:szCs w:val="22"/>
        </w:rPr>
        <w:fldChar w:fldCharType="end"/>
      </w:r>
      <w:r w:rsidR="009564D6">
        <w:rPr>
          <w:rFonts w:eastAsia="Arial Narrow" w:cs="Arial Narrow"/>
          <w:szCs w:val="22"/>
        </w:rPr>
        <w:t xml:space="preserve">). </w:t>
      </w:r>
    </w:p>
    <w:tbl>
      <w:tblPr>
        <w:tblW w:w="0" w:type="auto"/>
        <w:tblLook w:val="04E0" w:firstRow="1" w:lastRow="1" w:firstColumn="1" w:lastColumn="0" w:noHBand="0" w:noVBand="1"/>
      </w:tblPr>
      <w:tblGrid>
        <w:gridCol w:w="9026"/>
      </w:tblGrid>
      <w:tr w:rsidR="007E0579" w:rsidRPr="00CA2564" w14:paraId="5148152E" w14:textId="77777777" w:rsidTr="00944D68">
        <w:tc>
          <w:tcPr>
            <w:tcW w:w="9072" w:type="dxa"/>
            <w:tcBorders>
              <w:bottom w:val="single" w:sz="4" w:space="0" w:color="auto"/>
            </w:tcBorders>
          </w:tcPr>
          <w:p w14:paraId="7FF41149" w14:textId="0B744660" w:rsidR="007E0579" w:rsidRPr="00944D68" w:rsidRDefault="007E0579" w:rsidP="00944D68">
            <w:pPr>
              <w:spacing w:after="0" w:line="240" w:lineRule="auto"/>
              <w:rPr>
                <w:b/>
                <w:sz w:val="20"/>
              </w:rPr>
            </w:pPr>
            <w:bookmarkStart w:id="1064" w:name="_Ref17116245"/>
            <w:bookmarkStart w:id="1065" w:name="_Toc17469433"/>
            <w:bookmarkStart w:id="1066" w:name="_Toc34157617"/>
            <w:r w:rsidRPr="00944D68">
              <w:rPr>
                <w:b/>
                <w:sz w:val="20"/>
              </w:rPr>
              <w:t xml:space="preserve">Graf </w:t>
            </w:r>
            <w:r w:rsidRPr="00944D68">
              <w:rPr>
                <w:b/>
                <w:noProof/>
                <w:sz w:val="20"/>
              </w:rPr>
              <w:fldChar w:fldCharType="begin"/>
            </w:r>
            <w:r w:rsidRPr="00944D68">
              <w:rPr>
                <w:b/>
                <w:iCs/>
                <w:noProof/>
                <w:sz w:val="20"/>
              </w:rPr>
              <w:instrText xml:space="preserve"> SEQ Graf \* ARABIC </w:instrText>
            </w:r>
            <w:r w:rsidRPr="00944D68">
              <w:rPr>
                <w:b/>
                <w:noProof/>
                <w:sz w:val="20"/>
              </w:rPr>
              <w:fldChar w:fldCharType="separate"/>
            </w:r>
            <w:r w:rsidR="00FA29AF">
              <w:rPr>
                <w:b/>
                <w:iCs/>
                <w:noProof/>
                <w:sz w:val="20"/>
              </w:rPr>
              <w:t>59</w:t>
            </w:r>
            <w:r w:rsidRPr="00944D68">
              <w:rPr>
                <w:b/>
                <w:noProof/>
                <w:sz w:val="20"/>
              </w:rPr>
              <w:fldChar w:fldCharType="end"/>
            </w:r>
            <w:bookmarkEnd w:id="1064"/>
            <w:r w:rsidRPr="00944D68">
              <w:rPr>
                <w:b/>
                <w:sz w:val="20"/>
              </w:rPr>
              <w:t xml:space="preserve">: Miera rizika chudoby osôb so </w:t>
            </w:r>
            <w:r w:rsidR="00E528F7">
              <w:rPr>
                <w:b/>
                <w:sz w:val="20"/>
              </w:rPr>
              <w:t>zdrav.</w:t>
            </w:r>
            <w:r w:rsidRPr="00944D68">
              <w:rPr>
                <w:b/>
                <w:sz w:val="20"/>
              </w:rPr>
              <w:t xml:space="preserve"> znevýhodnením</w:t>
            </w:r>
            <w:r w:rsidR="00E528F7">
              <w:rPr>
                <w:b/>
                <w:sz w:val="20"/>
              </w:rPr>
              <w:t xml:space="preserve"> pred a po soc.</w:t>
            </w:r>
            <w:r w:rsidRPr="00944D68">
              <w:rPr>
                <w:b/>
                <w:sz w:val="20"/>
              </w:rPr>
              <w:t xml:space="preserve"> transferoch (%, 201</w:t>
            </w:r>
            <w:r w:rsidR="00AF0BE8" w:rsidRPr="00944D68">
              <w:rPr>
                <w:b/>
                <w:sz w:val="20"/>
              </w:rPr>
              <w:t>8</w:t>
            </w:r>
            <w:r w:rsidRPr="00944D68">
              <w:rPr>
                <w:b/>
                <w:sz w:val="20"/>
              </w:rPr>
              <w:t>)</w:t>
            </w:r>
            <w:bookmarkEnd w:id="1065"/>
            <w:bookmarkEnd w:id="1066"/>
          </w:p>
        </w:tc>
      </w:tr>
      <w:tr w:rsidR="007E0579" w:rsidRPr="00CA2564" w14:paraId="775EA918" w14:textId="77777777" w:rsidTr="00AB4FCC">
        <w:tblPrEx>
          <w:tblCellMar>
            <w:left w:w="70" w:type="dxa"/>
            <w:right w:w="70" w:type="dxa"/>
          </w:tblCellMar>
        </w:tblPrEx>
        <w:tc>
          <w:tcPr>
            <w:tcW w:w="9072" w:type="dxa"/>
            <w:tcBorders>
              <w:top w:val="single" w:sz="4" w:space="0" w:color="auto"/>
              <w:bottom w:val="single" w:sz="4" w:space="0" w:color="auto"/>
            </w:tcBorders>
          </w:tcPr>
          <w:p w14:paraId="55616E3C" w14:textId="77777777" w:rsidR="007E0579" w:rsidRPr="00CA2564" w:rsidRDefault="007E0579" w:rsidP="00944D68">
            <w:pPr>
              <w:spacing w:after="0" w:line="240" w:lineRule="auto"/>
              <w:jc w:val="center"/>
              <w:rPr>
                <w:noProof/>
                <w:sz w:val="4"/>
                <w:szCs w:val="4"/>
              </w:rPr>
            </w:pPr>
          </w:p>
          <w:p w14:paraId="15CEDC8D" w14:textId="10E5A4C3" w:rsidR="007E0579" w:rsidRPr="00CA2564" w:rsidRDefault="00AB4FCC" w:rsidP="00944D68">
            <w:pPr>
              <w:spacing w:after="0" w:line="240" w:lineRule="auto"/>
              <w:jc w:val="center"/>
              <w:rPr>
                <w:noProof/>
                <w:sz w:val="4"/>
                <w:szCs w:val="4"/>
              </w:rPr>
            </w:pPr>
            <w:r>
              <w:rPr>
                <w:noProof/>
                <w:lang w:eastAsia="sk-SK"/>
              </w:rPr>
              <w:drawing>
                <wp:inline distT="0" distB="0" distL="0" distR="0" wp14:anchorId="54EE76A6" wp14:editId="3761DA6D">
                  <wp:extent cx="5334000" cy="2305050"/>
                  <wp:effectExtent l="0" t="0" r="0" b="0"/>
                  <wp:docPr id="39"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3BEFBE27" w14:textId="77777777" w:rsidR="007E0579" w:rsidRPr="00CA2564" w:rsidRDefault="007E0579" w:rsidP="00944D68">
            <w:pPr>
              <w:spacing w:after="0" w:line="240" w:lineRule="auto"/>
              <w:jc w:val="center"/>
              <w:rPr>
                <w:sz w:val="4"/>
                <w:szCs w:val="4"/>
              </w:rPr>
            </w:pPr>
          </w:p>
        </w:tc>
      </w:tr>
      <w:tr w:rsidR="007E0579" w:rsidRPr="00CA2564" w14:paraId="17CE3048" w14:textId="77777777" w:rsidTr="00944D68">
        <w:tc>
          <w:tcPr>
            <w:tcW w:w="9072" w:type="dxa"/>
            <w:tcBorders>
              <w:top w:val="single" w:sz="4" w:space="0" w:color="auto"/>
            </w:tcBorders>
          </w:tcPr>
          <w:p w14:paraId="0589F023" w14:textId="77777777" w:rsidR="007E0579" w:rsidRPr="00CA2564" w:rsidRDefault="007E0579" w:rsidP="00944D68">
            <w:pPr>
              <w:spacing w:after="0" w:line="240" w:lineRule="auto"/>
              <w:jc w:val="right"/>
              <w:rPr>
                <w:b/>
                <w:sz w:val="18"/>
                <w:szCs w:val="18"/>
              </w:rPr>
            </w:pPr>
            <w:r w:rsidRPr="00944D68">
              <w:rPr>
                <w:i/>
                <w:sz w:val="18"/>
                <w:szCs w:val="18"/>
              </w:rPr>
              <w:t>Zdroj: Eurostat (EU SILC</w:t>
            </w:r>
            <w:r w:rsidRPr="00CA2564">
              <w:rPr>
                <w:b/>
                <w:sz w:val="18"/>
                <w:szCs w:val="18"/>
              </w:rPr>
              <w:t>)</w:t>
            </w:r>
          </w:p>
        </w:tc>
      </w:tr>
    </w:tbl>
    <w:p w14:paraId="364DE4AA" w14:textId="19770A8F" w:rsidR="009564D6" w:rsidRDefault="009564D6" w:rsidP="007E0579">
      <w:pPr>
        <w:spacing w:before="160"/>
      </w:pPr>
      <w:r w:rsidRPr="00CA2564">
        <w:rPr>
          <w:rFonts w:eastAsia="Arial Narrow" w:cs="Arial Narrow"/>
          <w:b/>
        </w:rPr>
        <w:t xml:space="preserve">K dobrým výsledkom na Slovensku však môže čiastočne prispievať aj nejasne položená otázka v prieskume a výsledná nízka porovnateľnosť s ostatnými krajinami. </w:t>
      </w:r>
      <w:r w:rsidR="00A25093">
        <w:t>Formulácia otázky v prieskume </w:t>
      </w:r>
      <w:r w:rsidRPr="00CA2564">
        <w:t>EU-SILC je nejednoznačná, čo pravdepodobne spôsobuje nadhodnotenie počtu zdravotne znevýhodnených osôb v populácii a zaradenie aj menej zraniteľných osôb do kategórie „zdravotne z</w:t>
      </w:r>
      <w:r w:rsidR="00A25093">
        <w:t>nevýhodnení“ (Bahna, 2018). Kým </w:t>
      </w:r>
      <w:r w:rsidRPr="00CA2564">
        <w:t>podľa zisťovania EU-SILC z roku 201</w:t>
      </w:r>
      <w:r w:rsidR="000E1005">
        <w:t>7</w:t>
      </w:r>
      <w:r w:rsidRPr="00CA2564">
        <w:t xml:space="preserve"> vykazuje na Slovensku zdravotné znevýhodnenie vyšší podiel ľudí ako v priemere EÚ (</w:t>
      </w:r>
      <w:r w:rsidR="000E1005">
        <w:t>31,9</w:t>
      </w:r>
      <w:r w:rsidRPr="00CA2564">
        <w:t xml:space="preserve"> % verzus 24,</w:t>
      </w:r>
      <w:r w:rsidR="000E1005">
        <w:t>5</w:t>
      </w:r>
      <w:r w:rsidRPr="00CA2564">
        <w:t xml:space="preserve"> %), v špeciálnom module EU-LFS z roku 2011 sa k zdravotnému znevýhodneniu na Slovensku prihlásil menší podiel ľudí</w:t>
      </w:r>
      <w:r w:rsidR="002E034C">
        <w:t>,</w:t>
      </w:r>
      <w:r w:rsidRPr="00CA2564">
        <w:t xml:space="preserve"> ako je priemer EÚ (18,6 % verzus 29,1 %).</w:t>
      </w:r>
      <w:r w:rsidRPr="00CA2564">
        <w:rPr>
          <w:rStyle w:val="Odkaznapoznmkupodiarou"/>
        </w:rPr>
        <w:footnoteReference w:id="397"/>
      </w:r>
    </w:p>
    <w:p w14:paraId="5C1EEB28" w14:textId="654A2798" w:rsidR="007E0579" w:rsidRPr="00CA2564" w:rsidRDefault="007E0579" w:rsidP="007E0579">
      <w:pPr>
        <w:spacing w:before="160"/>
        <w:rPr>
          <w:b/>
          <w:highlight w:val="green"/>
        </w:rPr>
      </w:pPr>
      <w:r w:rsidRPr="00CA2564">
        <w:rPr>
          <w:color w:val="0070C0"/>
        </w:rPr>
        <w:t>Kompenzácia sociálnych dôsledkov ťažkého zdravotného postihnutia</w:t>
      </w:r>
    </w:p>
    <w:p w14:paraId="293055CB" w14:textId="3AD9AFB6" w:rsidR="007E0579" w:rsidRPr="00CA2564" w:rsidRDefault="007E0579" w:rsidP="007E0579">
      <w:pPr>
        <w:rPr>
          <w:rFonts w:eastAsia="Arial Narrow" w:cs="Arial Narrow"/>
        </w:rPr>
      </w:pPr>
      <w:r w:rsidRPr="00CA2564">
        <w:rPr>
          <w:rFonts w:eastAsia="Arial Narrow" w:cs="Arial Narrow"/>
          <w:b/>
        </w:rPr>
        <w:t xml:space="preserve">Výdavky na kompenzáciu sociálnych dôsledkov ťažkého zdravotného postihnutia (ŤZP) v roku 2018 tvorili 293,2 miliónov eur (0,8 % verejných výdavkov). </w:t>
      </w:r>
      <w:r w:rsidRPr="00CA2564">
        <w:rPr>
          <w:rFonts w:eastAsia="Arial Narrow" w:cs="Arial Narrow"/>
        </w:rPr>
        <w:t xml:space="preserve">Sociálne dôsledky ŤZP pomáha štát kompenzovať poskytovaním rôznych jednorazových a opakovaných peňažných príspevkov, ktorými podporuje začleňovanie osôb s ŤZP do </w:t>
      </w:r>
      <w:r w:rsidRPr="007F4037">
        <w:rPr>
          <w:rFonts w:eastAsia="Arial Narrow" w:cs="Arial Narrow"/>
        </w:rPr>
        <w:t>spoločnosti (</w:t>
      </w:r>
      <w:r w:rsidR="007F4037" w:rsidRPr="00225D12">
        <w:rPr>
          <w:rFonts w:eastAsia="Arial Narrow" w:cs="Arial Narrow"/>
        </w:rPr>
        <w:fldChar w:fldCharType="begin"/>
      </w:r>
      <w:r w:rsidR="007F4037" w:rsidRPr="007F4037">
        <w:rPr>
          <w:rFonts w:eastAsia="Arial Narrow" w:cs="Arial Narrow"/>
        </w:rPr>
        <w:instrText xml:space="preserve"> REF _Ref21088264 \h </w:instrText>
      </w:r>
      <w:r w:rsidR="007F4037" w:rsidRPr="00D3189B">
        <w:rPr>
          <w:rFonts w:eastAsia="Arial Narrow" w:cs="Arial Narrow"/>
        </w:rPr>
        <w:instrText xml:space="preserve"> \* MERGEFORMAT </w:instrText>
      </w:r>
      <w:r w:rsidR="007F4037" w:rsidRPr="00225D12">
        <w:rPr>
          <w:rFonts w:eastAsia="Arial Narrow" w:cs="Arial Narrow"/>
        </w:rPr>
      </w:r>
      <w:r w:rsidR="007F4037" w:rsidRPr="00225D12">
        <w:rPr>
          <w:rFonts w:eastAsia="Arial Narrow" w:cs="Arial Narrow"/>
        </w:rPr>
        <w:fldChar w:fldCharType="separate"/>
      </w:r>
      <w:r w:rsidR="00FA29AF" w:rsidRPr="00FA29AF">
        <w:rPr>
          <w:rFonts w:eastAsia="Arial Narrow" w:cs="Arial Narrow"/>
          <w:iCs/>
        </w:rPr>
        <w:t>Box 22</w:t>
      </w:r>
      <w:r w:rsidR="007F4037" w:rsidRPr="00225D12">
        <w:rPr>
          <w:rFonts w:eastAsia="Arial Narrow" w:cs="Arial Narrow"/>
        </w:rPr>
        <w:fldChar w:fldCharType="end"/>
      </w:r>
      <w:r w:rsidRPr="007F4037">
        <w:rPr>
          <w:rFonts w:eastAsia="Arial Narrow" w:cs="Arial Narrow"/>
        </w:rPr>
        <w:t>).</w:t>
      </w:r>
      <w:r w:rsidRPr="00CA2564">
        <w:rPr>
          <w:rFonts w:eastAsia="Arial Narrow" w:cs="Arial Narrow"/>
          <w:b/>
        </w:rPr>
        <w:t xml:space="preserve"> </w:t>
      </w:r>
      <w:r w:rsidRPr="00CA2564">
        <w:rPr>
          <w:rFonts w:eastAsia="Arial Narrow" w:cs="Arial Narrow"/>
        </w:rPr>
        <w:t>Mesačne boli tieto príspevky poskytované v priemere 159,3 tis. osobám s ťažkým zdravotným postihnutím a 53,4 tis. opatrujúcim osobám.</w:t>
      </w:r>
      <w:r w:rsidR="0070047D">
        <w:rPr>
          <w:rFonts w:eastAsia="Arial Narrow" w:cs="Arial Narrow"/>
        </w:rPr>
        <w:t xml:space="preserve"> </w:t>
      </w:r>
      <w:r w:rsidRPr="00CA2564">
        <w:rPr>
          <w:rFonts w:eastAsia="Arial Narrow" w:cs="Arial Narrow"/>
        </w:rPr>
        <w:t>Výdavky vzrástli</w:t>
      </w:r>
      <w:r w:rsidR="0060230D">
        <w:rPr>
          <w:rFonts w:eastAsia="Arial Narrow" w:cs="Arial Narrow"/>
        </w:rPr>
        <w:t xml:space="preserve"> oproti roku 2017 o viac ako 20 </w:t>
      </w:r>
      <w:r w:rsidRPr="00CA2564">
        <w:rPr>
          <w:rFonts w:eastAsia="Arial Narrow" w:cs="Arial Narrow"/>
        </w:rPr>
        <w:t>% (49,0 mil. eur), čo predstavovalo najvýraznejší ročný nárast od roku 2010 (</w:t>
      </w:r>
      <w:r w:rsidRPr="00CA2564">
        <w:rPr>
          <w:rFonts w:eastAsia="Arial Narrow" w:cs="Arial Narrow"/>
        </w:rPr>
        <w:fldChar w:fldCharType="begin"/>
      </w:r>
      <w:r w:rsidRPr="00CA2564">
        <w:rPr>
          <w:rFonts w:eastAsia="Arial Narrow" w:cs="Arial Narrow"/>
        </w:rPr>
        <w:instrText xml:space="preserve"> REF _Ref16867868 \h  \* MERGEFORMAT </w:instrText>
      </w:r>
      <w:r w:rsidRPr="00CA2564">
        <w:rPr>
          <w:rFonts w:eastAsia="Arial Narrow" w:cs="Arial Narrow"/>
        </w:rPr>
      </w:r>
      <w:r w:rsidRPr="00CA2564">
        <w:rPr>
          <w:rFonts w:eastAsia="Arial Narrow" w:cs="Arial Narrow"/>
        </w:rPr>
        <w:fldChar w:fldCharType="separate"/>
      </w:r>
      <w:r w:rsidR="00FA29AF" w:rsidRPr="00FA29AF">
        <w:t xml:space="preserve">Graf </w:t>
      </w:r>
      <w:r w:rsidR="00FA29AF" w:rsidRPr="00FA29AF">
        <w:rPr>
          <w:noProof/>
        </w:rPr>
        <w:t>60</w:t>
      </w:r>
      <w:r w:rsidRPr="00CA2564">
        <w:rPr>
          <w:rFonts w:eastAsia="Arial Narrow" w:cs="Arial Narrow"/>
        </w:rPr>
        <w:fldChar w:fldCharType="end"/>
      </w:r>
      <w:r w:rsidRPr="00CA2564">
        <w:rPr>
          <w:rFonts w:eastAsia="Arial Narrow" w:cs="Arial Narrow"/>
        </w:rPr>
        <w:t>). Zvýšenie výdavkov spôsobili najmä legislatívne zmeny s účinnosťou od 1. júla 2018, ktorými sa zvýšila výška rôznych príspevkov a uvoľnili niektoré podmienky poskytovania.</w:t>
      </w:r>
    </w:p>
    <w:p w14:paraId="541E1912" w14:textId="4C36AE3C" w:rsidR="007E0579" w:rsidRPr="00CA2564" w:rsidRDefault="007E0579" w:rsidP="00F84E2D">
      <w:pPr>
        <w:spacing w:before="160"/>
        <w:rPr>
          <w:rFonts w:eastAsia="Arial Narrow" w:cs="Arial Narrow"/>
        </w:rPr>
      </w:pPr>
      <w:r w:rsidRPr="00CA2564">
        <w:rPr>
          <w:rFonts w:eastAsia="Arial Narrow" w:cs="Arial Narrow"/>
          <w:b/>
        </w:rPr>
        <w:t>Najväčšiu časť výdavkov na kompenzáciu sociálnych dôsledkov ŤZP tvoria výdavky na peňažný príspevok na opatrovanie (51 %</w:t>
      </w:r>
      <w:r w:rsidR="00B13205">
        <w:rPr>
          <w:rFonts w:eastAsia="Arial Narrow" w:cs="Arial Narrow"/>
          <w:b/>
        </w:rPr>
        <w:t>,</w:t>
      </w:r>
      <w:r w:rsidR="007F4037">
        <w:rPr>
          <w:rFonts w:eastAsia="Arial Narrow" w:cs="Arial Narrow"/>
          <w:b/>
        </w:rPr>
        <w:t xml:space="preserve"> </w:t>
      </w:r>
      <w:r w:rsidR="007F4037">
        <w:rPr>
          <w:rFonts w:eastAsia="Arial Narrow" w:cs="Arial Narrow"/>
          <w:b/>
        </w:rPr>
        <w:fldChar w:fldCharType="begin"/>
      </w:r>
      <w:r w:rsidR="007F4037">
        <w:rPr>
          <w:rFonts w:eastAsia="Arial Narrow" w:cs="Arial Narrow"/>
          <w:b/>
        </w:rPr>
        <w:instrText xml:space="preserve"> REF _Ref21088264 \h </w:instrText>
      </w:r>
      <w:r w:rsidR="007F4037">
        <w:rPr>
          <w:rFonts w:eastAsia="Arial Narrow" w:cs="Arial Narrow"/>
          <w:b/>
        </w:rPr>
      </w:r>
      <w:r w:rsidR="007F4037">
        <w:rPr>
          <w:rFonts w:eastAsia="Arial Narrow" w:cs="Arial Narrow"/>
          <w:b/>
        </w:rPr>
        <w:fldChar w:fldCharType="separate"/>
      </w:r>
      <w:r w:rsidR="00FA29AF" w:rsidRPr="007F4037">
        <w:rPr>
          <w:rFonts w:eastAsia="Arial Narrow" w:cs="Arial Narrow"/>
          <w:b/>
          <w:iCs/>
        </w:rPr>
        <w:t xml:space="preserve">Box </w:t>
      </w:r>
      <w:r w:rsidR="00FA29AF">
        <w:rPr>
          <w:rFonts w:eastAsia="Arial Narrow" w:cs="Arial Narrow"/>
          <w:b/>
          <w:iCs/>
          <w:noProof/>
        </w:rPr>
        <w:t>22</w:t>
      </w:r>
      <w:r w:rsidR="007F4037">
        <w:rPr>
          <w:rFonts w:eastAsia="Arial Narrow" w:cs="Arial Narrow"/>
          <w:b/>
        </w:rPr>
        <w:fldChar w:fldCharType="end"/>
      </w:r>
      <w:r w:rsidRPr="00CA2564">
        <w:rPr>
          <w:rFonts w:eastAsia="Arial Narrow" w:cs="Arial Narrow"/>
          <w:b/>
        </w:rPr>
        <w:t xml:space="preserve">). V roku 2018 bolo na tento účel vynaložených 149,4 miliónov eur. </w:t>
      </w:r>
      <w:r w:rsidRPr="00CA2564">
        <w:rPr>
          <w:rFonts w:eastAsia="Arial Narrow" w:cs="Arial Narrow"/>
        </w:rPr>
        <w:t xml:space="preserve">V priemere bol vyplácaný 53 356 opatrujúcim osobám, priemerná výška príspevku tvorila 215 eur za mesiac. Priemerný mesačný počet poberateľov príspevku </w:t>
      </w:r>
      <w:r w:rsidR="00945E88">
        <w:rPr>
          <w:rFonts w:eastAsia="Arial Narrow" w:cs="Arial Narrow"/>
        </w:rPr>
        <w:t xml:space="preserve">na opatrovanie </w:t>
      </w:r>
      <w:r w:rsidRPr="00CA2564">
        <w:rPr>
          <w:rFonts w:eastAsia="Arial Narrow" w:cs="Arial Narrow"/>
        </w:rPr>
        <w:t xml:space="preserve">klesol v období 2014 až 2017 o necelých 6 tisíc. Klesajúci trend v roku 2018 pravdepodobne prerušili legislatívne zmeny, ktorými sa výraznejšie navýšili sumy príspevku, zvýšila sa hranica príjmu opatrovanej osoby, po prekročení ktorej </w:t>
      </w:r>
      <w:r w:rsidR="000B1DE4">
        <w:rPr>
          <w:rFonts w:eastAsia="Arial Narrow" w:cs="Arial Narrow"/>
        </w:rPr>
        <w:t>sa kráti výška príspevku, z 1,7-</w:t>
      </w:r>
      <w:r w:rsidR="0060230D">
        <w:rPr>
          <w:rFonts w:eastAsia="Arial Narrow" w:cs="Arial Narrow"/>
        </w:rPr>
        <w:t> </w:t>
      </w:r>
      <w:r w:rsidRPr="00CA2564">
        <w:rPr>
          <w:rFonts w:eastAsia="Arial Narrow" w:cs="Arial Narrow"/>
        </w:rPr>
        <w:t>násobku sumy životného minima na 2-násobok, a uvoľnili sa ďalšie podmienky.</w:t>
      </w:r>
      <w:r w:rsidRPr="00CA2564">
        <w:rPr>
          <w:rStyle w:val="Odkaznapoznmkupodiarou"/>
          <w:rFonts w:eastAsia="Arial Narrow" w:cs="Arial Narrow"/>
        </w:rPr>
        <w:footnoteReference w:id="398"/>
      </w:r>
    </w:p>
    <w:tbl>
      <w:tblPr>
        <w:tblW w:w="0" w:type="auto"/>
        <w:tblLayout w:type="fixed"/>
        <w:tblLook w:val="04E0" w:firstRow="1" w:lastRow="1" w:firstColumn="1" w:lastColumn="0" w:noHBand="0" w:noVBand="1"/>
      </w:tblPr>
      <w:tblGrid>
        <w:gridCol w:w="4395"/>
        <w:gridCol w:w="283"/>
        <w:gridCol w:w="4394"/>
      </w:tblGrid>
      <w:tr w:rsidR="007E0579" w:rsidRPr="00CA2564" w14:paraId="09C95F3C" w14:textId="77777777" w:rsidTr="00944D68">
        <w:tc>
          <w:tcPr>
            <w:tcW w:w="4395" w:type="dxa"/>
            <w:tcBorders>
              <w:bottom w:val="single" w:sz="4" w:space="0" w:color="auto"/>
            </w:tcBorders>
          </w:tcPr>
          <w:p w14:paraId="21B4BAC8" w14:textId="77777777" w:rsidR="007E0579" w:rsidRPr="00944D68" w:rsidRDefault="007E0579" w:rsidP="00944D68">
            <w:pPr>
              <w:spacing w:after="0" w:line="240" w:lineRule="auto"/>
              <w:rPr>
                <w:b/>
                <w:iCs/>
                <w:sz w:val="20"/>
              </w:rPr>
            </w:pPr>
            <w:bookmarkStart w:id="1067" w:name="_Ref16867868"/>
            <w:bookmarkStart w:id="1068" w:name="_Toc17469434"/>
            <w:bookmarkStart w:id="1069" w:name="_Toc34157618"/>
            <w:r w:rsidRPr="00944D68">
              <w:rPr>
                <w:b/>
                <w:sz w:val="20"/>
              </w:rPr>
              <w:t xml:space="preserve">Graf </w:t>
            </w:r>
            <w:r w:rsidRPr="00944D68">
              <w:rPr>
                <w:b/>
                <w:sz w:val="20"/>
              </w:rPr>
              <w:fldChar w:fldCharType="begin"/>
            </w:r>
            <w:r w:rsidRPr="00944D68">
              <w:rPr>
                <w:b/>
                <w:sz w:val="20"/>
              </w:rPr>
              <w:instrText xml:space="preserve"> SEQ Graf \* ARABIC </w:instrText>
            </w:r>
            <w:r w:rsidRPr="00944D68">
              <w:rPr>
                <w:b/>
                <w:sz w:val="20"/>
              </w:rPr>
              <w:fldChar w:fldCharType="separate"/>
            </w:r>
            <w:r w:rsidR="00FA29AF">
              <w:rPr>
                <w:b/>
                <w:noProof/>
                <w:sz w:val="20"/>
              </w:rPr>
              <w:t>60</w:t>
            </w:r>
            <w:r w:rsidRPr="00944D68">
              <w:rPr>
                <w:b/>
                <w:sz w:val="20"/>
              </w:rPr>
              <w:fldChar w:fldCharType="end"/>
            </w:r>
            <w:bookmarkEnd w:id="1067"/>
            <w:r w:rsidRPr="00944D68">
              <w:rPr>
                <w:b/>
                <w:sz w:val="20"/>
              </w:rPr>
              <w:t>: Štruktúra výdavkov na kompenzáciu sociálnych dôsledkov ŤZP, mil. eur</w:t>
            </w:r>
            <w:bookmarkEnd w:id="1068"/>
            <w:bookmarkEnd w:id="1069"/>
          </w:p>
        </w:tc>
        <w:tc>
          <w:tcPr>
            <w:tcW w:w="283" w:type="dxa"/>
            <w:tcBorders>
              <w:bottom w:val="nil"/>
            </w:tcBorders>
          </w:tcPr>
          <w:p w14:paraId="2D6E4C12" w14:textId="77777777" w:rsidR="007E0579" w:rsidRPr="00944D68" w:rsidRDefault="007E0579" w:rsidP="00944D68">
            <w:pPr>
              <w:spacing w:after="0" w:line="240" w:lineRule="auto"/>
              <w:rPr>
                <w:b/>
                <w:sz w:val="20"/>
              </w:rPr>
            </w:pPr>
          </w:p>
        </w:tc>
        <w:tc>
          <w:tcPr>
            <w:tcW w:w="4394" w:type="dxa"/>
            <w:tcBorders>
              <w:bottom w:val="single" w:sz="4" w:space="0" w:color="auto"/>
            </w:tcBorders>
          </w:tcPr>
          <w:p w14:paraId="7B6917F7" w14:textId="77777777" w:rsidR="007E0579" w:rsidRPr="00944D68" w:rsidRDefault="007E0579" w:rsidP="00944D68">
            <w:pPr>
              <w:spacing w:after="0" w:line="240" w:lineRule="auto"/>
              <w:rPr>
                <w:b/>
                <w:sz w:val="20"/>
              </w:rPr>
            </w:pPr>
            <w:bookmarkStart w:id="1070" w:name="_Ref16867903"/>
            <w:bookmarkStart w:id="1071" w:name="_Toc17469435"/>
            <w:bookmarkStart w:id="1072" w:name="_Toc34157619"/>
            <w:r w:rsidRPr="00944D68">
              <w:rPr>
                <w:b/>
                <w:sz w:val="20"/>
              </w:rPr>
              <w:t xml:space="preserve">Graf </w:t>
            </w:r>
            <w:r w:rsidRPr="00944D68">
              <w:rPr>
                <w:b/>
                <w:sz w:val="20"/>
              </w:rPr>
              <w:fldChar w:fldCharType="begin"/>
            </w:r>
            <w:r w:rsidRPr="00944D68">
              <w:rPr>
                <w:b/>
                <w:sz w:val="20"/>
              </w:rPr>
              <w:instrText xml:space="preserve"> SEQ Graf \* ARABIC </w:instrText>
            </w:r>
            <w:r w:rsidRPr="00944D68">
              <w:rPr>
                <w:b/>
                <w:sz w:val="20"/>
              </w:rPr>
              <w:fldChar w:fldCharType="separate"/>
            </w:r>
            <w:r w:rsidR="00FA29AF">
              <w:rPr>
                <w:b/>
                <w:noProof/>
                <w:sz w:val="20"/>
              </w:rPr>
              <w:t>61</w:t>
            </w:r>
            <w:r w:rsidRPr="00944D68">
              <w:rPr>
                <w:b/>
                <w:sz w:val="20"/>
              </w:rPr>
              <w:fldChar w:fldCharType="end"/>
            </w:r>
            <w:bookmarkEnd w:id="1070"/>
            <w:r w:rsidRPr="00944D68">
              <w:rPr>
                <w:b/>
                <w:sz w:val="20"/>
              </w:rPr>
              <w:t>: Príspevok na opatrovanie jednej osoby s ŤZP osobou v produktívnom veku</w:t>
            </w:r>
            <w:bookmarkEnd w:id="1071"/>
            <w:bookmarkEnd w:id="1072"/>
          </w:p>
        </w:tc>
      </w:tr>
      <w:tr w:rsidR="007E0579" w:rsidRPr="00CA2564" w14:paraId="0AA9CEBE" w14:textId="77777777" w:rsidTr="00944D68">
        <w:tblPrEx>
          <w:tblCellMar>
            <w:left w:w="70" w:type="dxa"/>
            <w:right w:w="70" w:type="dxa"/>
          </w:tblCellMar>
        </w:tblPrEx>
        <w:tc>
          <w:tcPr>
            <w:tcW w:w="4395" w:type="dxa"/>
            <w:tcBorders>
              <w:top w:val="single" w:sz="4" w:space="0" w:color="auto"/>
              <w:bottom w:val="single" w:sz="4" w:space="0" w:color="auto"/>
            </w:tcBorders>
          </w:tcPr>
          <w:p w14:paraId="0D57480F" w14:textId="77777777" w:rsidR="007E0579" w:rsidRPr="00CA2564" w:rsidRDefault="007E0579" w:rsidP="00944D68">
            <w:pPr>
              <w:spacing w:after="0" w:line="240" w:lineRule="auto"/>
              <w:rPr>
                <w:sz w:val="4"/>
                <w:szCs w:val="4"/>
              </w:rPr>
            </w:pPr>
          </w:p>
          <w:p w14:paraId="687410F5" w14:textId="77777777" w:rsidR="007E0579" w:rsidRPr="00CA2564" w:rsidRDefault="007E0579" w:rsidP="00944D68">
            <w:pPr>
              <w:spacing w:after="0" w:line="240" w:lineRule="auto"/>
              <w:rPr>
                <w:sz w:val="4"/>
                <w:szCs w:val="4"/>
              </w:rPr>
            </w:pPr>
            <w:r w:rsidRPr="00CA2564">
              <w:rPr>
                <w:noProof/>
                <w:lang w:eastAsia="sk-SK"/>
              </w:rPr>
              <w:drawing>
                <wp:inline distT="0" distB="0" distL="0" distR="0" wp14:anchorId="0C6A3B12" wp14:editId="618D3311">
                  <wp:extent cx="2701925" cy="2728595"/>
                  <wp:effectExtent l="0" t="0" r="3175" b="0"/>
                  <wp:docPr id="356" name="Graf 35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47BB78F8" w14:textId="77777777" w:rsidR="007E0579" w:rsidRPr="00CA2564" w:rsidRDefault="007E0579" w:rsidP="00944D68">
            <w:pPr>
              <w:spacing w:after="0" w:line="240" w:lineRule="auto"/>
              <w:rPr>
                <w:sz w:val="4"/>
                <w:szCs w:val="4"/>
              </w:rPr>
            </w:pPr>
          </w:p>
        </w:tc>
        <w:tc>
          <w:tcPr>
            <w:tcW w:w="283" w:type="dxa"/>
            <w:tcBorders>
              <w:top w:val="nil"/>
              <w:bottom w:val="nil"/>
            </w:tcBorders>
          </w:tcPr>
          <w:p w14:paraId="7E1CA67F" w14:textId="77777777" w:rsidR="007E0579" w:rsidRPr="00CA2564" w:rsidRDefault="007E0579" w:rsidP="00944D68">
            <w:pPr>
              <w:spacing w:after="0" w:line="240" w:lineRule="auto"/>
              <w:rPr>
                <w:noProof/>
                <w:sz w:val="4"/>
                <w:szCs w:val="4"/>
              </w:rPr>
            </w:pPr>
          </w:p>
        </w:tc>
        <w:tc>
          <w:tcPr>
            <w:tcW w:w="4394" w:type="dxa"/>
            <w:tcBorders>
              <w:top w:val="single" w:sz="4" w:space="0" w:color="auto"/>
              <w:bottom w:val="single" w:sz="4" w:space="0" w:color="auto"/>
            </w:tcBorders>
          </w:tcPr>
          <w:p w14:paraId="2C2C3F43" w14:textId="6210ADEF" w:rsidR="007E0579" w:rsidRPr="00CA2564" w:rsidRDefault="0070047D" w:rsidP="00944D68">
            <w:pPr>
              <w:spacing w:after="0" w:line="240" w:lineRule="auto"/>
              <w:rPr>
                <w:noProof/>
                <w:sz w:val="4"/>
                <w:szCs w:val="4"/>
              </w:rPr>
            </w:pPr>
            <w:r>
              <w:rPr>
                <w:noProof/>
                <w:sz w:val="4"/>
                <w:szCs w:val="4"/>
              </w:rPr>
              <w:t xml:space="preserve"> </w:t>
            </w:r>
          </w:p>
          <w:p w14:paraId="3883C12F" w14:textId="77777777" w:rsidR="007E0579" w:rsidRPr="00CA2564" w:rsidRDefault="007E0579" w:rsidP="00944D68">
            <w:pPr>
              <w:spacing w:after="0" w:line="240" w:lineRule="auto"/>
              <w:rPr>
                <w:noProof/>
                <w:sz w:val="4"/>
                <w:szCs w:val="4"/>
              </w:rPr>
            </w:pPr>
            <w:r w:rsidRPr="00CA2564">
              <w:rPr>
                <w:noProof/>
                <w:lang w:eastAsia="sk-SK"/>
              </w:rPr>
              <w:drawing>
                <wp:inline distT="0" distB="0" distL="0" distR="0" wp14:anchorId="6D16B139" wp14:editId="4C4C50C1">
                  <wp:extent cx="2686050" cy="2743200"/>
                  <wp:effectExtent l="0" t="0" r="0" b="0"/>
                  <wp:docPr id="358" name="Graf 358"/>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31970BBB" w14:textId="77777777" w:rsidR="007E0579" w:rsidRPr="00CA2564" w:rsidRDefault="007E0579" w:rsidP="00944D68">
            <w:pPr>
              <w:spacing w:after="0" w:line="240" w:lineRule="auto"/>
              <w:rPr>
                <w:sz w:val="4"/>
                <w:szCs w:val="4"/>
              </w:rPr>
            </w:pPr>
          </w:p>
        </w:tc>
      </w:tr>
      <w:tr w:rsidR="007E0579" w:rsidRPr="00CA2564" w14:paraId="2750AC55" w14:textId="77777777" w:rsidTr="00944D68">
        <w:trPr>
          <w:trHeight w:val="180"/>
        </w:trPr>
        <w:tc>
          <w:tcPr>
            <w:tcW w:w="4395" w:type="dxa"/>
            <w:tcBorders>
              <w:top w:val="single" w:sz="4" w:space="0" w:color="auto"/>
            </w:tcBorders>
          </w:tcPr>
          <w:p w14:paraId="2F6CFF47" w14:textId="77777777" w:rsidR="007E0579" w:rsidRPr="00944D68" w:rsidRDefault="007E0579" w:rsidP="008F2165">
            <w:pPr>
              <w:spacing w:after="0" w:line="240" w:lineRule="auto"/>
              <w:jc w:val="right"/>
              <w:rPr>
                <w:bCs/>
                <w:i/>
                <w:noProof/>
                <w:sz w:val="18"/>
                <w:szCs w:val="18"/>
              </w:rPr>
            </w:pPr>
            <w:r w:rsidRPr="00944D68">
              <w:rPr>
                <w:i/>
                <w:noProof/>
                <w:sz w:val="18"/>
                <w:szCs w:val="18"/>
              </w:rPr>
              <w:t>Zdroj: ISP podľa údajov MPSVR SR</w:t>
            </w:r>
          </w:p>
        </w:tc>
        <w:tc>
          <w:tcPr>
            <w:tcW w:w="283" w:type="dxa"/>
            <w:tcBorders>
              <w:top w:val="nil"/>
            </w:tcBorders>
          </w:tcPr>
          <w:p w14:paraId="038A1FBD" w14:textId="77777777" w:rsidR="007E0579" w:rsidRPr="00944D68" w:rsidRDefault="007E0579" w:rsidP="008F2165">
            <w:pPr>
              <w:spacing w:after="0" w:line="240" w:lineRule="auto"/>
              <w:jc w:val="right"/>
              <w:rPr>
                <w:i/>
                <w:noProof/>
                <w:sz w:val="18"/>
                <w:szCs w:val="18"/>
              </w:rPr>
            </w:pPr>
          </w:p>
        </w:tc>
        <w:tc>
          <w:tcPr>
            <w:tcW w:w="4394" w:type="dxa"/>
            <w:tcBorders>
              <w:top w:val="single" w:sz="4" w:space="0" w:color="auto"/>
            </w:tcBorders>
          </w:tcPr>
          <w:p w14:paraId="64F03A13" w14:textId="77777777" w:rsidR="007E0579" w:rsidRPr="00944D68" w:rsidRDefault="007E0579" w:rsidP="008F2165">
            <w:pPr>
              <w:spacing w:after="0" w:line="240" w:lineRule="auto"/>
              <w:jc w:val="right"/>
              <w:rPr>
                <w:i/>
                <w:noProof/>
                <w:sz w:val="18"/>
                <w:szCs w:val="18"/>
              </w:rPr>
            </w:pPr>
            <w:r w:rsidRPr="00944D68">
              <w:rPr>
                <w:i/>
                <w:noProof/>
                <w:sz w:val="18"/>
                <w:szCs w:val="18"/>
              </w:rPr>
              <w:t>Zdroj: ISP podľa údajov MPSVR SR</w:t>
            </w:r>
          </w:p>
          <w:p w14:paraId="6EF0CF61" w14:textId="1E7DC1A8" w:rsidR="007E0579" w:rsidRPr="00944D68" w:rsidRDefault="007E0579" w:rsidP="008F2165">
            <w:pPr>
              <w:spacing w:after="0" w:line="240" w:lineRule="auto"/>
              <w:rPr>
                <w:i/>
                <w:noProof/>
                <w:sz w:val="18"/>
                <w:szCs w:val="18"/>
              </w:rPr>
            </w:pPr>
            <w:r w:rsidRPr="00944D68">
              <w:rPr>
                <w:i/>
                <w:noProof/>
                <w:sz w:val="18"/>
                <w:szCs w:val="18"/>
              </w:rPr>
              <w:t>Poznámka: Hranica rizika chudoby je uvedená pre jednotlivca bez detí. Na rok 2019 je hranic</w:t>
            </w:r>
            <w:r w:rsidR="00AB4FCC">
              <w:rPr>
                <w:i/>
                <w:noProof/>
                <w:sz w:val="18"/>
                <w:szCs w:val="18"/>
              </w:rPr>
              <w:t>a odhadnutá za predpokladu rovna</w:t>
            </w:r>
            <w:r w:rsidRPr="00944D68">
              <w:rPr>
                <w:i/>
                <w:noProof/>
                <w:sz w:val="18"/>
                <w:szCs w:val="18"/>
              </w:rPr>
              <w:t>kého percentuálneho zvýšenia ako v roku 2018.</w:t>
            </w:r>
          </w:p>
        </w:tc>
      </w:tr>
    </w:tbl>
    <w:p w14:paraId="22895536" w14:textId="79BF4870" w:rsidR="000A3C71" w:rsidRDefault="00F84E2D" w:rsidP="007E0579">
      <w:pPr>
        <w:spacing w:before="160"/>
        <w:rPr>
          <w:rFonts w:eastAsia="Arial Narrow" w:cs="Arial Narrow"/>
          <w:b/>
        </w:rPr>
      </w:pPr>
      <w:r w:rsidRPr="00CA2564">
        <w:rPr>
          <w:rFonts w:eastAsia="Arial Narrow" w:cs="Arial Narrow"/>
          <w:b/>
        </w:rPr>
        <w:t xml:space="preserve">Príjem zo základného príspevku na opatrovanie bez iných ďalších príjmov sa pre osoby v produktívnom veku opatrujúce jednu osobu s ŤZP donedávna pohyboval hlboko pod hranicou rizika chudoby. </w:t>
      </w:r>
      <w:r w:rsidRPr="00CA2564">
        <w:rPr>
          <w:rFonts w:eastAsia="Arial Narrow" w:cs="Arial Narrow"/>
        </w:rPr>
        <w:t>K výraznejšiemu navýšeniu došlo od 1.1.2017 a následne od 1.7.2018, kedy suma základného príspevku dosiahla výšku 99 % hranice rizika chudoby. Od 1. júla 2019 sa nariadením vlády výška pr</w:t>
      </w:r>
      <w:r w:rsidR="0060230D">
        <w:rPr>
          <w:rFonts w:eastAsia="Arial Narrow" w:cs="Arial Narrow"/>
        </w:rPr>
        <w:t>íspevku ďalej zvýšila na 430,35 </w:t>
      </w:r>
      <w:r w:rsidRPr="00CA2564">
        <w:rPr>
          <w:rFonts w:eastAsia="Arial Narrow" w:cs="Arial Narrow"/>
        </w:rPr>
        <w:t>eur, čím sa vyrovnala výške čistej minimálnej mzdy a je možné predpokladať, že po prvý krát prekročí hranicu rizika chudoby (</w:t>
      </w:r>
      <w:r w:rsidRPr="00CA2564">
        <w:rPr>
          <w:rFonts w:eastAsia="Arial Narrow" w:cs="Arial Narrow"/>
        </w:rPr>
        <w:fldChar w:fldCharType="begin"/>
      </w:r>
      <w:r w:rsidRPr="00CA2564">
        <w:rPr>
          <w:rFonts w:eastAsia="Arial Narrow" w:cs="Arial Narrow"/>
        </w:rPr>
        <w:instrText xml:space="preserve"> REF _Ref16867903 \h  \* MERGEFORMAT </w:instrText>
      </w:r>
      <w:r w:rsidRPr="00CA2564">
        <w:rPr>
          <w:rFonts w:eastAsia="Arial Narrow" w:cs="Arial Narrow"/>
        </w:rPr>
      </w:r>
      <w:r w:rsidRPr="00CA2564">
        <w:rPr>
          <w:rFonts w:eastAsia="Arial Narrow" w:cs="Arial Narrow"/>
        </w:rPr>
        <w:fldChar w:fldCharType="separate"/>
      </w:r>
      <w:r w:rsidR="00FA29AF" w:rsidRPr="00FA29AF">
        <w:t xml:space="preserve">Graf </w:t>
      </w:r>
      <w:r w:rsidR="00FA29AF" w:rsidRPr="00FA29AF">
        <w:rPr>
          <w:noProof/>
        </w:rPr>
        <w:t>61</w:t>
      </w:r>
      <w:r w:rsidRPr="00CA2564">
        <w:rPr>
          <w:rFonts w:eastAsia="Arial Narrow" w:cs="Arial Narrow"/>
        </w:rPr>
        <w:fldChar w:fldCharType="end"/>
      </w:r>
      <w:r w:rsidRPr="00CA2564">
        <w:rPr>
          <w:rFonts w:eastAsia="Arial Narrow" w:cs="Arial Narrow"/>
        </w:rPr>
        <w:t>). Zvýšenie súm príspevku výrazne prispelo aj k poklesu v podiel</w:t>
      </w:r>
      <w:r>
        <w:rPr>
          <w:rFonts w:eastAsia="Arial Narrow" w:cs="Arial Narrow"/>
        </w:rPr>
        <w:t>e</w:t>
      </w:r>
      <w:r w:rsidRPr="00CA2564">
        <w:rPr>
          <w:rFonts w:eastAsia="Arial Narrow" w:cs="Arial Narrow"/>
        </w:rPr>
        <w:t xml:space="preserve"> opatrujúcich odkázaných na pomoc v hmotnej núdzi zo 4,3 % opatrujúcich v roku 2016 na 1</w:t>
      </w:r>
      <w:r w:rsidR="0060230D">
        <w:rPr>
          <w:rFonts w:eastAsia="Arial Narrow" w:cs="Arial Narrow"/>
        </w:rPr>
        <w:t xml:space="preserve">,4 % v roku 2018 a na 0,2 % v prvom </w:t>
      </w:r>
      <w:r w:rsidRPr="00CA2564">
        <w:rPr>
          <w:rFonts w:eastAsia="Arial Narrow" w:cs="Arial Narrow"/>
        </w:rPr>
        <w:t>polroku 2019.</w:t>
      </w:r>
      <w:r w:rsidR="0070047D">
        <w:rPr>
          <w:rFonts w:eastAsia="Arial Narrow" w:cs="Arial Narrow"/>
        </w:rPr>
        <w:t xml:space="preserve"> </w:t>
      </w:r>
    </w:p>
    <w:tbl>
      <w:tblPr>
        <w:tblW w:w="0" w:type="auto"/>
        <w:shd w:val="clear" w:color="auto" w:fill="BDD6EE" w:themeFill="accent1" w:themeFillTint="66"/>
        <w:tblLook w:val="04A0" w:firstRow="1" w:lastRow="0" w:firstColumn="1" w:lastColumn="0" w:noHBand="0" w:noVBand="1"/>
      </w:tblPr>
      <w:tblGrid>
        <w:gridCol w:w="9026"/>
      </w:tblGrid>
      <w:tr w:rsidR="000A3C71" w:rsidRPr="00CA2564" w14:paraId="7666517C" w14:textId="77777777" w:rsidTr="002E33D9">
        <w:tc>
          <w:tcPr>
            <w:tcW w:w="9062" w:type="dxa"/>
            <w:shd w:val="clear" w:color="auto" w:fill="BDD6EE" w:themeFill="accent1" w:themeFillTint="66"/>
          </w:tcPr>
          <w:p w14:paraId="445D8F77" w14:textId="77777777" w:rsidR="000A3C71" w:rsidRPr="00225D12" w:rsidRDefault="000A3C71" w:rsidP="002E33D9">
            <w:pPr>
              <w:spacing w:before="160"/>
              <w:rPr>
                <w:rFonts w:eastAsia="Arial Narrow" w:cs="Arial Narrow"/>
                <w:b/>
                <w:iCs/>
              </w:rPr>
            </w:pPr>
            <w:bookmarkStart w:id="1073" w:name="_Ref21088264"/>
            <w:r w:rsidRPr="007F4037">
              <w:rPr>
                <w:rFonts w:eastAsia="Arial Narrow" w:cs="Arial Narrow"/>
                <w:b/>
                <w:iCs/>
              </w:rPr>
              <w:t xml:space="preserve">Box </w:t>
            </w:r>
            <w:r>
              <w:rPr>
                <w:rFonts w:eastAsia="Arial Narrow" w:cs="Arial Narrow"/>
                <w:b/>
                <w:iCs/>
              </w:rPr>
              <w:fldChar w:fldCharType="begin"/>
            </w:r>
            <w:r>
              <w:rPr>
                <w:rFonts w:eastAsia="Arial Narrow" w:cs="Arial Narrow"/>
                <w:b/>
                <w:iCs/>
              </w:rPr>
              <w:instrText xml:space="preserve"> SEQ Box \* ARABIC </w:instrText>
            </w:r>
            <w:r>
              <w:rPr>
                <w:rFonts w:eastAsia="Arial Narrow" w:cs="Arial Narrow"/>
                <w:b/>
                <w:iCs/>
              </w:rPr>
              <w:fldChar w:fldCharType="separate"/>
            </w:r>
            <w:r w:rsidR="00FA29AF">
              <w:rPr>
                <w:rFonts w:eastAsia="Arial Narrow" w:cs="Arial Narrow"/>
                <w:b/>
                <w:iCs/>
                <w:noProof/>
              </w:rPr>
              <w:t>22</w:t>
            </w:r>
            <w:r>
              <w:rPr>
                <w:rFonts w:eastAsia="Arial Narrow" w:cs="Arial Narrow"/>
                <w:b/>
                <w:iCs/>
              </w:rPr>
              <w:fldChar w:fldCharType="end"/>
            </w:r>
            <w:bookmarkEnd w:id="1073"/>
            <w:r w:rsidRPr="00CA2564">
              <w:rPr>
                <w:rFonts w:eastAsia="Arial Narrow" w:cs="Arial Narrow"/>
                <w:b/>
              </w:rPr>
              <w:t>: Peňažné príspevky v rámci kompenzácie sociálnych dôsledkov ŤZP</w:t>
            </w:r>
          </w:p>
          <w:p w14:paraId="5455A18B" w14:textId="77777777" w:rsidR="000A3C71" w:rsidRDefault="000A3C71" w:rsidP="002E33D9">
            <w:pPr>
              <w:rPr>
                <w:rFonts w:eastAsia="Arial Narrow" w:cs="Arial Narrow"/>
                <w:b/>
              </w:rPr>
            </w:pPr>
            <w:r w:rsidRPr="00135393">
              <w:rPr>
                <w:bCs/>
                <w:szCs w:val="22"/>
              </w:rPr>
              <w:t xml:space="preserve">Zákon č. 447/2008 Z. z. o peňažných príspevkoch na kompenzáciu ťažkého zdravotného postihnutia </w:t>
            </w:r>
            <w:r>
              <w:rPr>
                <w:bCs/>
                <w:szCs w:val="22"/>
              </w:rPr>
              <w:t xml:space="preserve">a o zmene a doplnení niektorých zákonov v znení neskorších predpisov </w:t>
            </w:r>
            <w:r w:rsidRPr="00135393">
              <w:rPr>
                <w:bCs/>
                <w:szCs w:val="22"/>
              </w:rPr>
              <w:t>upravuje nasled</w:t>
            </w:r>
            <w:r>
              <w:rPr>
                <w:bCs/>
                <w:szCs w:val="22"/>
              </w:rPr>
              <w:t>ovné nástroje sociálnej pomoci:</w:t>
            </w:r>
            <w:r>
              <w:rPr>
                <w:bCs/>
              </w:rPr>
              <w:t xml:space="preserve"> </w:t>
            </w:r>
          </w:p>
          <w:p w14:paraId="74233F1D" w14:textId="544ECFE4" w:rsidR="000A3C71" w:rsidRPr="00CA2564" w:rsidRDefault="000A3C71" w:rsidP="002E33D9">
            <w:r w:rsidRPr="00CA2564">
              <w:rPr>
                <w:rFonts w:eastAsia="Arial Narrow" w:cs="Arial Narrow"/>
                <w:b/>
              </w:rPr>
              <w:t>Peňažným príspevkom na opatrovanie</w:t>
            </w:r>
            <w:r w:rsidRPr="00CA2564">
              <w:rPr>
                <w:rFonts w:eastAsia="Arial Narrow" w:cs="Arial Narrow"/>
              </w:rPr>
              <w:t xml:space="preserve"> sa kompenzuje odkázanosť osoby s </w:t>
            </w:r>
            <w:r>
              <w:rPr>
                <w:rFonts w:eastAsia="Arial Narrow" w:cs="Arial Narrow"/>
              </w:rPr>
              <w:t>ŤZP</w:t>
            </w:r>
            <w:r w:rsidRPr="00CA2564">
              <w:rPr>
                <w:rFonts w:eastAsia="Arial Narrow" w:cs="Arial Narrow"/>
              </w:rPr>
              <w:t xml:space="preserve"> na pomoc inej osoby pri zabezpečovaní úkonov sebaobsluhy, starostlivosti o domácnosť a pri realizovaní sociálnych aktivít, s cieľom zotrvať v prirodzenom domácom prostredí. Peňažný príspevok na opatrovanie sa poskytuje opatrujúcej osobe, ktorá opatruje osobu s ŤZP vo veku 6 a viac rokov. Príspevok môžu poberať aj opatr</w:t>
            </w:r>
            <w:r w:rsidRPr="00CA2564">
              <w:t>ujúci</w:t>
            </w:r>
            <w:r w:rsidRPr="00CA2564">
              <w:rPr>
                <w:rFonts w:eastAsia="Arial Narrow" w:cs="Arial Narrow"/>
              </w:rPr>
              <w:t xml:space="preserve"> poberajúci dôchodkovú dávku, vtedy sa poskytuje príspevok vo výške 50 % výšky prí</w:t>
            </w:r>
            <w:r w:rsidR="003208EA">
              <w:rPr>
                <w:rFonts w:eastAsia="Arial Narrow" w:cs="Arial Narrow"/>
              </w:rPr>
              <w:t>spevku pre opatrovateľov v </w:t>
            </w:r>
            <w:r w:rsidR="00D04F9F">
              <w:rPr>
                <w:rFonts w:eastAsia="Arial Narrow" w:cs="Arial Narrow"/>
              </w:rPr>
              <w:t>tzv. </w:t>
            </w:r>
            <w:r w:rsidRPr="00CA2564">
              <w:rPr>
                <w:rFonts w:eastAsia="Arial Narrow" w:cs="Arial Narrow"/>
              </w:rPr>
              <w:t>produktívnom veku.</w:t>
            </w:r>
          </w:p>
          <w:p w14:paraId="073931C7" w14:textId="62D58950" w:rsidR="000A3C71" w:rsidRPr="00CA2564" w:rsidRDefault="000A3C71" w:rsidP="002E33D9">
            <w:r w:rsidRPr="00CA2564">
              <w:rPr>
                <w:rFonts w:eastAsia="Arial Narrow" w:cs="Arial Narrow"/>
              </w:rPr>
              <w:t xml:space="preserve">Účelom osobnej asistencie je aktivizácia osoby s ŤZP, podpora jej sociálneho začlenenia, nezávislosti, možnosti rozhodovať sa, plnenia rodinných rolí a vykonávania pracovných, vzdelávacích či voľnočasových aktivít. </w:t>
            </w:r>
            <w:r w:rsidRPr="00CA2564">
              <w:rPr>
                <w:rFonts w:eastAsia="Arial Narrow" w:cs="Arial Narrow"/>
                <w:b/>
              </w:rPr>
              <w:t>Peňažný príspevok na osobnú asistenciu</w:t>
            </w:r>
            <w:r w:rsidRPr="00CA2564">
              <w:rPr>
                <w:rFonts w:eastAsia="Arial Narrow" w:cs="Arial Narrow"/>
              </w:rPr>
              <w:t xml:space="preserve"> sa poskytuje osobám s ŤZP vo veku od 6 do 65 rokov</w:t>
            </w:r>
            <w:r w:rsidRPr="00CA2564">
              <w:rPr>
                <w:rStyle w:val="Odkaznapoznmkupodiarou"/>
              </w:rPr>
              <w:footnoteReference w:id="399"/>
            </w:r>
            <w:r w:rsidR="003208EA">
              <w:rPr>
                <w:rFonts w:eastAsia="Arial Narrow" w:cs="Arial Narrow"/>
              </w:rPr>
              <w:t>, ktoré v </w:t>
            </w:r>
            <w:r w:rsidRPr="00CA2564">
              <w:rPr>
                <w:rFonts w:eastAsia="Arial Narrow" w:cs="Arial Narrow"/>
              </w:rPr>
              <w:t>dôsledku postihnutia nemôžu vykonávať niektoré činnosti, napr. sebaob</w:t>
            </w:r>
            <w:r w:rsidR="00D04F9F">
              <w:rPr>
                <w:rFonts w:eastAsia="Arial Narrow" w:cs="Arial Narrow"/>
              </w:rPr>
              <w:t>služné úkony, úkony súvisiace s </w:t>
            </w:r>
            <w:r w:rsidRPr="00CA2564">
              <w:rPr>
                <w:rFonts w:eastAsia="Arial Narrow" w:cs="Arial Narrow"/>
              </w:rPr>
              <w:t xml:space="preserve">mobilitou a premiestňovaním, starostlivosťou o domácnosť alebo dorozumievaním. Pri týchto činnostiach osobe s ŤZP na základe zmluvy o výkone osobnej asistencie pomáha osobný asistent. Príspevok sa poskytuje na osobnú asistenciu v určenom rozsahu, maximálne 7 300 hodín ročne. Rozsah osobnej asistencie sa určuje podľa jednotlivých činností, ktoré si osoba s </w:t>
            </w:r>
            <w:r>
              <w:rPr>
                <w:rFonts w:eastAsia="Arial Narrow" w:cs="Arial Narrow"/>
              </w:rPr>
              <w:t>ŤZP</w:t>
            </w:r>
            <w:r w:rsidRPr="00CA2564">
              <w:rPr>
                <w:rFonts w:eastAsia="Arial Narrow" w:cs="Arial Narrow"/>
              </w:rPr>
              <w:t xml:space="preserve"> nemôže vykonávať sama, a počtu hodín, k</w:t>
            </w:r>
            <w:r w:rsidR="003208EA">
              <w:rPr>
                <w:rFonts w:eastAsia="Arial Narrow" w:cs="Arial Narrow"/>
              </w:rPr>
              <w:t>toré sú potrebné na </w:t>
            </w:r>
            <w:r w:rsidRPr="00CA2564">
              <w:rPr>
                <w:rFonts w:eastAsia="Arial Narrow" w:cs="Arial Narrow"/>
              </w:rPr>
              <w:t>ich vykonanie.</w:t>
            </w:r>
          </w:p>
          <w:p w14:paraId="383744AF" w14:textId="77777777" w:rsidR="000A3C71" w:rsidRPr="00CA2564" w:rsidRDefault="000A3C71" w:rsidP="002E33D9">
            <w:r w:rsidRPr="00CA2564">
              <w:rPr>
                <w:rFonts w:eastAsia="Arial Narrow" w:cs="Arial Narrow"/>
                <w:b/>
              </w:rPr>
              <w:t>Príspevok na kompenzáciu zvýšených výdavkov</w:t>
            </w:r>
            <w:r w:rsidRPr="00CA2564">
              <w:rPr>
                <w:rFonts w:eastAsia="Arial Narrow" w:cs="Arial Narrow"/>
              </w:rPr>
              <w:t xml:space="preserve"> sa poskytuje:</w:t>
            </w:r>
          </w:p>
          <w:p w14:paraId="3B52B98D" w14:textId="77777777" w:rsidR="000A3C71" w:rsidRPr="00CA2564" w:rsidRDefault="000A3C71" w:rsidP="002E33D9">
            <w:pPr>
              <w:pStyle w:val="Odsekzoznamu"/>
              <w:numPr>
                <w:ilvl w:val="0"/>
                <w:numId w:val="12"/>
              </w:numPr>
              <w:jc w:val="left"/>
            </w:pPr>
            <w:r w:rsidRPr="00CA2564">
              <w:rPr>
                <w:rFonts w:eastAsia="Arial Narrow" w:cs="Arial Narrow"/>
                <w:color w:val="000000"/>
              </w:rPr>
              <w:t xml:space="preserve">na </w:t>
            </w:r>
            <w:r>
              <w:rPr>
                <w:rFonts w:eastAsia="Arial Narrow" w:cs="Arial Narrow"/>
                <w:color w:val="000000"/>
              </w:rPr>
              <w:t xml:space="preserve">zvýšené výdavky na </w:t>
            </w:r>
            <w:r w:rsidRPr="00CA2564">
              <w:rPr>
                <w:rFonts w:eastAsia="Arial Narrow" w:cs="Arial Narrow"/>
                <w:color w:val="000000"/>
              </w:rPr>
              <w:t xml:space="preserve">diétne stravovanie, </w:t>
            </w:r>
          </w:p>
          <w:p w14:paraId="6FA5371A" w14:textId="77777777" w:rsidR="000A3C71" w:rsidRPr="00CA2564" w:rsidRDefault="000A3C71" w:rsidP="002E33D9">
            <w:pPr>
              <w:pStyle w:val="Odsekzoznamu"/>
              <w:numPr>
                <w:ilvl w:val="0"/>
                <w:numId w:val="12"/>
              </w:numPr>
              <w:jc w:val="left"/>
            </w:pPr>
            <w:r w:rsidRPr="00CA2564">
              <w:rPr>
                <w:rFonts w:eastAsia="Arial Narrow" w:cs="Arial Narrow"/>
                <w:color w:val="000000"/>
              </w:rPr>
              <w:t xml:space="preserve">na </w:t>
            </w:r>
            <w:r>
              <w:rPr>
                <w:rFonts w:eastAsia="Arial Narrow" w:cs="Arial Narrow"/>
                <w:color w:val="000000"/>
              </w:rPr>
              <w:t xml:space="preserve">zvýšené </w:t>
            </w:r>
            <w:r w:rsidRPr="00CA2564">
              <w:rPr>
                <w:rFonts w:eastAsia="Arial Narrow" w:cs="Arial Narrow"/>
                <w:color w:val="000000"/>
              </w:rPr>
              <w:t>výdavky súvisiace s hygienou alebo s opotrebovaním šatstva, bielizne, obuvi a bytového zariadenia,</w:t>
            </w:r>
          </w:p>
          <w:p w14:paraId="303FDB54" w14:textId="77777777" w:rsidR="000A3C71" w:rsidRPr="00CA2564" w:rsidRDefault="000A3C71" w:rsidP="002E33D9">
            <w:pPr>
              <w:pStyle w:val="Odsekzoznamu"/>
              <w:numPr>
                <w:ilvl w:val="0"/>
                <w:numId w:val="12"/>
              </w:numPr>
              <w:jc w:val="left"/>
            </w:pPr>
            <w:r w:rsidRPr="00CA2564">
              <w:rPr>
                <w:rFonts w:eastAsia="Arial Narrow" w:cs="Arial Narrow"/>
                <w:color w:val="000000"/>
              </w:rPr>
              <w:t xml:space="preserve">na </w:t>
            </w:r>
            <w:r>
              <w:rPr>
                <w:rFonts w:eastAsia="Arial Narrow" w:cs="Arial Narrow"/>
                <w:color w:val="000000"/>
              </w:rPr>
              <w:t xml:space="preserve">zvýšené </w:t>
            </w:r>
            <w:r w:rsidRPr="00CA2564">
              <w:rPr>
                <w:rFonts w:eastAsia="Arial Narrow" w:cs="Arial Narrow"/>
                <w:color w:val="000000"/>
              </w:rPr>
              <w:t>výdavky súvisiace so zabezpečením prevádzky osobného motorového vozidla,</w:t>
            </w:r>
          </w:p>
          <w:p w14:paraId="1CCDFB29" w14:textId="77777777" w:rsidR="000A3C71" w:rsidRPr="00CA2564" w:rsidRDefault="000A3C71" w:rsidP="002E33D9">
            <w:pPr>
              <w:pStyle w:val="Odsekzoznamu"/>
              <w:numPr>
                <w:ilvl w:val="0"/>
                <w:numId w:val="12"/>
              </w:numPr>
              <w:jc w:val="left"/>
            </w:pPr>
            <w:r w:rsidRPr="00CA2564">
              <w:rPr>
                <w:rFonts w:eastAsia="Arial Narrow" w:cs="Arial Narrow"/>
                <w:color w:val="000000"/>
              </w:rPr>
              <w:t xml:space="preserve">na </w:t>
            </w:r>
            <w:r>
              <w:rPr>
                <w:rFonts w:eastAsia="Arial Narrow" w:cs="Arial Narrow"/>
                <w:color w:val="000000"/>
              </w:rPr>
              <w:t xml:space="preserve">zvýšené </w:t>
            </w:r>
            <w:r w:rsidRPr="00CA2564">
              <w:rPr>
                <w:rFonts w:eastAsia="Arial Narrow" w:cs="Arial Narrow"/>
                <w:color w:val="000000"/>
              </w:rPr>
              <w:t>výdavky súvisiace so starostlivosťou o psa so špeciálnym výcvikom.</w:t>
            </w:r>
          </w:p>
          <w:p w14:paraId="25291EFA" w14:textId="07CA975C" w:rsidR="000A3C71" w:rsidRPr="00CA2564" w:rsidRDefault="00127A8F" w:rsidP="002E33D9">
            <w:r w:rsidRPr="00CA2564">
              <w:rPr>
                <w:rFonts w:eastAsia="Arial Narrow" w:cs="Arial Narrow"/>
              </w:rPr>
              <w:t>Výšky jednotlivých peňažných príspevkov sú stanovené v percentuálnych podieloch sumy životného minima</w:t>
            </w:r>
            <w:r w:rsidR="000A3C71" w:rsidRPr="00CA2564">
              <w:rPr>
                <w:rFonts w:eastAsia="Arial Narrow" w:cs="Arial Narrow"/>
              </w:rPr>
              <w:t xml:space="preserve">. </w:t>
            </w:r>
          </w:p>
          <w:p w14:paraId="35961072" w14:textId="0C523972" w:rsidR="000A3C71" w:rsidRPr="00CA2564" w:rsidRDefault="000A3C71" w:rsidP="002E33D9">
            <w:r w:rsidRPr="00CA2564">
              <w:rPr>
                <w:rFonts w:eastAsia="Arial Narrow" w:cs="Arial Narrow"/>
                <w:b/>
              </w:rPr>
              <w:t>Príspevok na prepravu</w:t>
            </w:r>
            <w:r w:rsidRPr="00CA2564">
              <w:rPr>
                <w:rFonts w:eastAsia="Arial Narrow" w:cs="Arial Narrow"/>
              </w:rPr>
              <w:t xml:space="preserve"> sa poskytuje osobám s ŤZP, ktoré sú odkázané na individuálnu prepravu osobným motorovým vozidlom na svoje pracovné, vzdelávacie, rodinné alebo občianske aktivity. Preprava môže byť zabezpečovaná osobou s oprávnením na vykonávanie prepravy, obcou alebo registrovaným subjektom. Peňažný príspevok sa poskytuje vo výške 50-95% preukázaných nákladov v závislosti od výšky príjmu osoby s ŤZP, mesačne najviac 51,02 % sumy životného minima</w:t>
            </w:r>
            <w:r>
              <w:rPr>
                <w:rFonts w:eastAsia="Arial Narrow" w:cs="Arial Narrow"/>
              </w:rPr>
              <w:t xml:space="preserve"> </w:t>
            </w:r>
            <w:r>
              <w:rPr>
                <w:rFonts w:eastAsia="Arial Narrow" w:cs="Arial Narrow"/>
                <w:szCs w:val="22"/>
              </w:rPr>
              <w:t>pre jednu plnoletú fyzickú osobu</w:t>
            </w:r>
            <w:r>
              <w:t>.</w:t>
            </w:r>
            <w:r w:rsidRPr="00CA2564">
              <w:rPr>
                <w:rStyle w:val="Odkaznapoznmkupodiarou"/>
              </w:rPr>
              <w:footnoteReference w:id="400"/>
            </w:r>
          </w:p>
          <w:p w14:paraId="5901C505" w14:textId="77777777" w:rsidR="000A3C71" w:rsidRPr="00CA2564" w:rsidRDefault="000A3C71" w:rsidP="002E33D9">
            <w:r w:rsidRPr="00CA2564">
              <w:rPr>
                <w:rFonts w:eastAsia="Arial Narrow" w:cs="Arial Narrow"/>
                <w:b/>
              </w:rPr>
              <w:t>Jednorazové peňažné príspevky</w:t>
            </w:r>
            <w:r w:rsidRPr="00CA2564">
              <w:rPr>
                <w:rFonts w:eastAsia="Arial Narrow" w:cs="Arial Narrow"/>
              </w:rPr>
              <w:t xml:space="preserve"> sa poskytujú na: </w:t>
            </w:r>
          </w:p>
          <w:p w14:paraId="33F04854" w14:textId="77777777" w:rsidR="000A3C71" w:rsidRPr="00CA2564" w:rsidRDefault="000A3C71" w:rsidP="002E33D9">
            <w:pPr>
              <w:pStyle w:val="Odsekzoznamu"/>
              <w:numPr>
                <w:ilvl w:val="0"/>
                <w:numId w:val="13"/>
              </w:numPr>
              <w:jc w:val="left"/>
              <w:rPr>
                <w:color w:val="000000"/>
              </w:rPr>
            </w:pPr>
            <w:r w:rsidRPr="00CA2564">
              <w:rPr>
                <w:rFonts w:eastAsia="Arial Narrow" w:cs="Arial Narrow"/>
                <w:color w:val="000000"/>
              </w:rPr>
              <w:t>kúpu, výcvik používania, úpravu a opravu pomôcky</w:t>
            </w:r>
            <w:r>
              <w:rPr>
                <w:rFonts w:eastAsia="Arial Narrow" w:cs="Arial Narrow"/>
                <w:color w:val="000000"/>
              </w:rPr>
              <w:t>,</w:t>
            </w:r>
          </w:p>
          <w:p w14:paraId="24138D7E" w14:textId="77777777" w:rsidR="000A3C71" w:rsidRPr="00CA2564" w:rsidRDefault="000A3C71" w:rsidP="002E33D9">
            <w:pPr>
              <w:pStyle w:val="Odsekzoznamu"/>
              <w:numPr>
                <w:ilvl w:val="0"/>
                <w:numId w:val="13"/>
              </w:numPr>
              <w:jc w:val="left"/>
              <w:rPr>
                <w:color w:val="000000"/>
              </w:rPr>
            </w:pPr>
            <w:r w:rsidRPr="00CA2564">
              <w:rPr>
                <w:rFonts w:eastAsia="Arial Narrow" w:cs="Arial Narrow"/>
                <w:color w:val="000000"/>
              </w:rPr>
              <w:t>kúpu osobného motorového vozidla</w:t>
            </w:r>
            <w:r>
              <w:rPr>
                <w:rFonts w:eastAsia="Calibri" w:cs="Calibri"/>
                <w:color w:val="000000"/>
              </w:rPr>
              <w:t>,</w:t>
            </w:r>
          </w:p>
          <w:p w14:paraId="1D27DF7C" w14:textId="77777777" w:rsidR="000A3C71" w:rsidRPr="00CA2564" w:rsidRDefault="000A3C71" w:rsidP="002E33D9">
            <w:pPr>
              <w:pStyle w:val="Odsekzoznamu"/>
              <w:numPr>
                <w:ilvl w:val="0"/>
                <w:numId w:val="13"/>
              </w:numPr>
              <w:jc w:val="left"/>
              <w:rPr>
                <w:color w:val="000000"/>
              </w:rPr>
            </w:pPr>
            <w:r w:rsidRPr="00CA2564">
              <w:rPr>
                <w:rFonts w:eastAsia="Arial Narrow" w:cs="Arial Narrow"/>
                <w:color w:val="000000"/>
              </w:rPr>
              <w:t>kúpu zdvíhacieho zariadenia</w:t>
            </w:r>
            <w:r>
              <w:rPr>
                <w:rFonts w:eastAsia="Arial Narrow" w:cs="Arial Narrow"/>
                <w:color w:val="000000"/>
              </w:rPr>
              <w:t>,</w:t>
            </w:r>
          </w:p>
          <w:p w14:paraId="1DB5612E" w14:textId="77777777" w:rsidR="000A3C71" w:rsidRPr="00CA2564" w:rsidRDefault="000A3C71" w:rsidP="00BC4520">
            <w:pPr>
              <w:pStyle w:val="Odsekzoznamu"/>
              <w:numPr>
                <w:ilvl w:val="0"/>
                <w:numId w:val="13"/>
              </w:numPr>
              <w:spacing w:after="0"/>
              <w:ind w:left="714" w:hanging="357"/>
              <w:jc w:val="left"/>
              <w:rPr>
                <w:color w:val="000000"/>
              </w:rPr>
            </w:pPr>
            <w:r w:rsidRPr="00CA2564">
              <w:rPr>
                <w:rFonts w:eastAsia="Arial Narrow" w:cs="Arial Narrow"/>
                <w:color w:val="000000"/>
              </w:rPr>
              <w:t>úpravu bytu, rodinného domu, garáže alebo osobného motorového vozidla</w:t>
            </w:r>
            <w:r>
              <w:rPr>
                <w:rFonts w:eastAsia="Arial Narrow" w:cs="Arial Narrow"/>
                <w:color w:val="000000"/>
              </w:rPr>
              <w:t>.</w:t>
            </w:r>
          </w:p>
          <w:p w14:paraId="525DDFFA" w14:textId="77777777" w:rsidR="000A3C71" w:rsidRPr="00CA2564" w:rsidRDefault="000A3C71" w:rsidP="002E33D9">
            <w:pPr>
              <w:spacing w:before="160"/>
              <w:rPr>
                <w:rFonts w:eastAsia="Arial Narrow" w:cs="Arial Narrow"/>
                <w:b/>
              </w:rPr>
            </w:pPr>
            <w:r w:rsidRPr="00CA2564">
              <w:t>Výška príspevkov sa vo väčšine prípadov určuje na základe výšky nákladov (ceny) a príjmu osoby s</w:t>
            </w:r>
            <w:r>
              <w:t> </w:t>
            </w:r>
            <w:r w:rsidRPr="00CA2564">
              <w:t>ŤZP.</w:t>
            </w:r>
          </w:p>
        </w:tc>
      </w:tr>
    </w:tbl>
    <w:p w14:paraId="3FE3F05D" w14:textId="1F95A4AB" w:rsidR="007E0579" w:rsidRPr="00CA2564" w:rsidRDefault="007E0579" w:rsidP="007E0579">
      <w:pPr>
        <w:spacing w:before="160"/>
        <w:rPr>
          <w:rFonts w:eastAsia="Arial Narrow" w:cs="Arial Narrow"/>
        </w:rPr>
      </w:pPr>
      <w:r w:rsidRPr="00CA2564">
        <w:rPr>
          <w:rFonts w:eastAsia="Arial Narrow" w:cs="Arial Narrow"/>
          <w:b/>
        </w:rPr>
        <w:t xml:space="preserve">Výdavky na príspevok na osobnú asistenciu v roku 2018 tvorili 55 miliónov eur (18,8 % celkových výdavkov na kompenzáciu sociálnych dôsledkov ťažkého zdravotného postihnutia). </w:t>
      </w:r>
      <w:r w:rsidRPr="00CA2564">
        <w:rPr>
          <w:rFonts w:eastAsia="Arial Narrow" w:cs="Arial Narrow"/>
        </w:rPr>
        <w:t>Príspevok mesačne poberalo v priemere 10 100 osôb s</w:t>
      </w:r>
      <w:r w:rsidR="0076076E">
        <w:rPr>
          <w:rFonts w:eastAsia="Arial Narrow" w:cs="Arial Narrow"/>
        </w:rPr>
        <w:t> </w:t>
      </w:r>
      <w:r w:rsidRPr="00CA2564">
        <w:rPr>
          <w:rFonts w:eastAsia="Arial Narrow" w:cs="Arial Narrow"/>
        </w:rPr>
        <w:t>ŤZP</w:t>
      </w:r>
      <w:r w:rsidR="0076076E">
        <w:rPr>
          <w:rFonts w:eastAsia="Arial Narrow" w:cs="Arial Narrow"/>
        </w:rPr>
        <w:t xml:space="preserve"> (2,4 %)</w:t>
      </w:r>
      <w:r w:rsidRPr="00CA2564">
        <w:rPr>
          <w:rFonts w:eastAsia="Arial Narrow" w:cs="Arial Narrow"/>
        </w:rPr>
        <w:t>.</w:t>
      </w:r>
      <w:r w:rsidR="0070047D">
        <w:rPr>
          <w:rFonts w:eastAsia="Arial Narrow" w:cs="Arial Narrow"/>
        </w:rPr>
        <w:t xml:space="preserve"> </w:t>
      </w:r>
      <w:r w:rsidRPr="00CA2564">
        <w:rPr>
          <w:rFonts w:eastAsia="Arial Narrow" w:cs="Arial Narrow"/>
        </w:rPr>
        <w:t>Počas sledovaného obdobia od roku 2010 počet poberateľov kontinuálne rástol, v priemere o necelých 400 poberateľov ročne. Legislatívne zmeny od 1.7. 2018 priniesli zvýšenie sadzby na hodinu osobnej asistencie, ako aj zrušenie testovania na príjem poberateľa.</w:t>
      </w:r>
      <w:r w:rsidRPr="00CA2564">
        <w:rPr>
          <w:rStyle w:val="Odkaznapoznmkupodiarou"/>
          <w:rFonts w:eastAsia="Arial Narrow" w:cs="Arial Narrow"/>
        </w:rPr>
        <w:footnoteReference w:id="401"/>
      </w:r>
      <w:r w:rsidRPr="00CA2564">
        <w:rPr>
          <w:rFonts w:eastAsia="Arial Narrow" w:cs="Arial Narrow"/>
        </w:rPr>
        <w:t xml:space="preserve"> Zvýšenie hodinovej sadzby sa prejavilo na zvýšení priemernej mesačnej sumy príspevku z</w:t>
      </w:r>
      <w:r w:rsidR="00925942">
        <w:rPr>
          <w:rFonts w:eastAsia="Arial Narrow" w:cs="Arial Narrow"/>
        </w:rPr>
        <w:t xml:space="preserve"> 383,5 eur v roku 2017 na 443,5 </w:t>
      </w:r>
      <w:r w:rsidRPr="00CA2564">
        <w:rPr>
          <w:rFonts w:eastAsia="Arial Narrow" w:cs="Arial Narrow"/>
        </w:rPr>
        <w:t>eur v roku 2018.</w:t>
      </w:r>
      <w:r w:rsidRPr="00CA2564" w:rsidDel="008E42AC">
        <w:rPr>
          <w:rFonts w:eastAsia="Arial Narrow" w:cs="Arial Narrow"/>
        </w:rPr>
        <w:t xml:space="preserve"> </w:t>
      </w:r>
    </w:p>
    <w:tbl>
      <w:tblPr>
        <w:tblW w:w="0" w:type="auto"/>
        <w:tblLook w:val="04E0" w:firstRow="1" w:lastRow="1" w:firstColumn="1" w:lastColumn="0" w:noHBand="0" w:noVBand="1"/>
      </w:tblPr>
      <w:tblGrid>
        <w:gridCol w:w="9026"/>
      </w:tblGrid>
      <w:tr w:rsidR="007E0579" w:rsidRPr="00CA2564" w14:paraId="711F324F" w14:textId="77777777" w:rsidTr="00076A51">
        <w:tc>
          <w:tcPr>
            <w:tcW w:w="9072" w:type="dxa"/>
            <w:tcBorders>
              <w:bottom w:val="single" w:sz="4" w:space="0" w:color="auto"/>
            </w:tcBorders>
          </w:tcPr>
          <w:p w14:paraId="26890205" w14:textId="06950DE0" w:rsidR="007E0579" w:rsidRPr="00076A51" w:rsidRDefault="007E0579" w:rsidP="00E528F7">
            <w:pPr>
              <w:spacing w:after="0" w:line="240" w:lineRule="auto"/>
              <w:rPr>
                <w:b/>
                <w:sz w:val="20"/>
              </w:rPr>
            </w:pPr>
            <w:bookmarkStart w:id="1074" w:name="_Ref17109846"/>
            <w:bookmarkStart w:id="1075" w:name="_Toc17469436"/>
            <w:bookmarkStart w:id="1076" w:name="_Toc34157620"/>
            <w:r w:rsidRPr="00076A51">
              <w:rPr>
                <w:b/>
                <w:sz w:val="20"/>
              </w:rPr>
              <w:t xml:space="preserve">Graf </w:t>
            </w:r>
            <w:r w:rsidRPr="00076A51">
              <w:rPr>
                <w:b/>
                <w:noProof/>
                <w:sz w:val="20"/>
              </w:rPr>
              <w:fldChar w:fldCharType="begin"/>
            </w:r>
            <w:r w:rsidRPr="00076A51">
              <w:rPr>
                <w:b/>
                <w:iCs/>
                <w:noProof/>
                <w:sz w:val="20"/>
              </w:rPr>
              <w:instrText xml:space="preserve"> SEQ Graf \* ARABIC </w:instrText>
            </w:r>
            <w:r w:rsidRPr="00076A51">
              <w:rPr>
                <w:b/>
                <w:noProof/>
                <w:sz w:val="20"/>
              </w:rPr>
              <w:fldChar w:fldCharType="separate"/>
            </w:r>
            <w:r w:rsidR="00FA29AF">
              <w:rPr>
                <w:b/>
                <w:iCs/>
                <w:noProof/>
                <w:sz w:val="20"/>
              </w:rPr>
              <w:t>62</w:t>
            </w:r>
            <w:r w:rsidRPr="00076A51">
              <w:rPr>
                <w:b/>
                <w:noProof/>
                <w:sz w:val="20"/>
              </w:rPr>
              <w:fldChar w:fldCharType="end"/>
            </w:r>
            <w:bookmarkEnd w:id="1074"/>
            <w:r w:rsidRPr="00076A51">
              <w:rPr>
                <w:b/>
                <w:sz w:val="20"/>
              </w:rPr>
              <w:t xml:space="preserve">: Daň z participácie pri </w:t>
            </w:r>
            <w:r w:rsidR="00E528F7">
              <w:rPr>
                <w:b/>
                <w:sz w:val="20"/>
              </w:rPr>
              <w:t>príspevku</w:t>
            </w:r>
            <w:r w:rsidRPr="00076A51">
              <w:rPr>
                <w:b/>
                <w:sz w:val="20"/>
              </w:rPr>
              <w:t xml:space="preserve"> na osobnú asistenciu (%, 201</w:t>
            </w:r>
            <w:r w:rsidR="000E1005" w:rsidRPr="00076A51">
              <w:rPr>
                <w:b/>
                <w:sz w:val="20"/>
              </w:rPr>
              <w:t>8</w:t>
            </w:r>
            <w:r w:rsidRPr="00076A51">
              <w:rPr>
                <w:b/>
                <w:sz w:val="20"/>
              </w:rPr>
              <w:t>)</w:t>
            </w:r>
            <w:bookmarkEnd w:id="1075"/>
            <w:bookmarkEnd w:id="1076"/>
          </w:p>
        </w:tc>
      </w:tr>
      <w:tr w:rsidR="007E0579" w:rsidRPr="00CA2564" w14:paraId="07403D8C" w14:textId="77777777" w:rsidTr="00076A51">
        <w:tblPrEx>
          <w:tblCellMar>
            <w:left w:w="70" w:type="dxa"/>
            <w:right w:w="70" w:type="dxa"/>
          </w:tblCellMar>
        </w:tblPrEx>
        <w:tc>
          <w:tcPr>
            <w:tcW w:w="9072" w:type="dxa"/>
            <w:tcBorders>
              <w:top w:val="single" w:sz="4" w:space="0" w:color="auto"/>
              <w:bottom w:val="single" w:sz="4" w:space="0" w:color="auto"/>
            </w:tcBorders>
          </w:tcPr>
          <w:p w14:paraId="54D9FF41" w14:textId="77777777" w:rsidR="007E0579" w:rsidRPr="00CA2564" w:rsidRDefault="007E0579" w:rsidP="00076A51">
            <w:pPr>
              <w:spacing w:after="0" w:line="240" w:lineRule="auto"/>
              <w:jc w:val="center"/>
              <w:rPr>
                <w:noProof/>
                <w:sz w:val="4"/>
                <w:szCs w:val="4"/>
              </w:rPr>
            </w:pPr>
          </w:p>
          <w:p w14:paraId="4A223282" w14:textId="48E7008E" w:rsidR="007E0579" w:rsidRPr="00CA2564" w:rsidRDefault="000E1005" w:rsidP="00076A51">
            <w:pPr>
              <w:spacing w:after="0" w:line="240" w:lineRule="auto"/>
              <w:jc w:val="center"/>
              <w:rPr>
                <w:noProof/>
                <w:sz w:val="4"/>
                <w:szCs w:val="4"/>
              </w:rPr>
            </w:pPr>
            <w:r>
              <w:rPr>
                <w:noProof/>
                <w:lang w:eastAsia="sk-SK"/>
              </w:rPr>
              <w:drawing>
                <wp:inline distT="0" distB="0" distL="0" distR="0" wp14:anchorId="3B1969BE" wp14:editId="154A6A98">
                  <wp:extent cx="5375868" cy="2204720"/>
                  <wp:effectExtent l="0" t="0" r="0" b="5080"/>
                  <wp:docPr id="321" name="Graf 3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1CF89386" w14:textId="77777777" w:rsidR="007E0579" w:rsidRPr="00CA2564" w:rsidRDefault="007E0579" w:rsidP="00076A51">
            <w:pPr>
              <w:spacing w:after="0" w:line="240" w:lineRule="auto"/>
              <w:jc w:val="center"/>
              <w:rPr>
                <w:sz w:val="4"/>
                <w:szCs w:val="4"/>
              </w:rPr>
            </w:pPr>
          </w:p>
        </w:tc>
      </w:tr>
      <w:tr w:rsidR="007E0579" w:rsidRPr="00CA2564" w14:paraId="56798E50" w14:textId="77777777" w:rsidTr="00076A51">
        <w:tc>
          <w:tcPr>
            <w:tcW w:w="9072" w:type="dxa"/>
            <w:tcBorders>
              <w:top w:val="single" w:sz="4" w:space="0" w:color="auto"/>
            </w:tcBorders>
          </w:tcPr>
          <w:p w14:paraId="4685CA5F" w14:textId="77777777" w:rsidR="007E0579" w:rsidRPr="00076A51" w:rsidRDefault="007E0579" w:rsidP="00076A51">
            <w:pPr>
              <w:spacing w:after="0" w:line="240" w:lineRule="auto"/>
              <w:jc w:val="right"/>
              <w:rPr>
                <w:i/>
                <w:sz w:val="18"/>
                <w:szCs w:val="18"/>
              </w:rPr>
            </w:pPr>
            <w:r w:rsidRPr="00076A51">
              <w:rPr>
                <w:i/>
                <w:sz w:val="18"/>
                <w:szCs w:val="18"/>
              </w:rPr>
              <w:t>Zdroj: ISP na základe údajov MPSVR SR a Sociálnej poisťovne</w:t>
            </w:r>
          </w:p>
          <w:p w14:paraId="15B1864A" w14:textId="4F88757D" w:rsidR="007E0579" w:rsidRPr="00CA2564" w:rsidRDefault="007E0579" w:rsidP="00076A51">
            <w:pPr>
              <w:spacing w:after="0" w:line="240" w:lineRule="auto"/>
              <w:rPr>
                <w:b/>
                <w:bCs/>
                <w:sz w:val="18"/>
                <w:szCs w:val="18"/>
              </w:rPr>
            </w:pPr>
            <w:r w:rsidRPr="00076A51">
              <w:rPr>
                <w:i/>
                <w:sz w:val="18"/>
                <w:szCs w:val="18"/>
              </w:rPr>
              <w:t>Poznámka: Pre zjednodušenie je vo všetkých scenároch použitá priemerná výška príspevku na osobnú asistenciu v roku 201</w:t>
            </w:r>
            <w:r w:rsidR="000E1005" w:rsidRPr="00076A51">
              <w:rPr>
                <w:i/>
                <w:sz w:val="18"/>
                <w:szCs w:val="18"/>
              </w:rPr>
              <w:t>8</w:t>
            </w:r>
            <w:r w:rsidRPr="00076A51">
              <w:rPr>
                <w:i/>
                <w:sz w:val="18"/>
                <w:szCs w:val="18"/>
              </w:rPr>
              <w:t xml:space="preserve">.Čiastočný invalidný dôchodok je vo výške priemernej sumy vyplatených </w:t>
            </w:r>
            <w:r w:rsidR="00BE3C29" w:rsidRPr="00076A51">
              <w:rPr>
                <w:i/>
                <w:sz w:val="18"/>
                <w:szCs w:val="18"/>
              </w:rPr>
              <w:t xml:space="preserve">čiastočných </w:t>
            </w:r>
            <w:r w:rsidRPr="00076A51">
              <w:rPr>
                <w:i/>
                <w:sz w:val="18"/>
                <w:szCs w:val="18"/>
              </w:rPr>
              <w:t>ID k decembru 201</w:t>
            </w:r>
            <w:r w:rsidR="000E1005" w:rsidRPr="00076A51">
              <w:rPr>
                <w:i/>
                <w:sz w:val="18"/>
                <w:szCs w:val="18"/>
              </w:rPr>
              <w:t>8</w:t>
            </w:r>
            <w:r w:rsidRPr="00076A51">
              <w:rPr>
                <w:i/>
                <w:sz w:val="18"/>
                <w:szCs w:val="18"/>
              </w:rPr>
              <w:t>. Daň z p</w:t>
            </w:r>
            <w:r w:rsidR="00925942">
              <w:rPr>
                <w:i/>
                <w:sz w:val="18"/>
                <w:szCs w:val="18"/>
              </w:rPr>
              <w:t>articipácie je definovaná ako 1 </w:t>
            </w:r>
            <w:r w:rsidRPr="00076A51">
              <w:rPr>
                <w:i/>
                <w:sz w:val="18"/>
                <w:szCs w:val="18"/>
              </w:rPr>
              <w:t>mínus čistý finančný zisk z nástupu do zamestnania ako percento hrubej mzdy.</w:t>
            </w:r>
          </w:p>
        </w:tc>
      </w:tr>
    </w:tbl>
    <w:p w14:paraId="10556D34" w14:textId="0B2F8053" w:rsidR="007E0579" w:rsidRPr="00292D7B" w:rsidRDefault="007E0579" w:rsidP="007E0579">
      <w:pPr>
        <w:spacing w:before="160"/>
        <w:rPr>
          <w:rFonts w:eastAsia="Arial Narrow" w:cs="Arial Narrow"/>
          <w:szCs w:val="22"/>
        </w:rPr>
      </w:pPr>
      <w:r w:rsidRPr="00292D7B">
        <w:rPr>
          <w:rFonts w:eastAsia="Arial Narrow" w:cs="Arial Narrow"/>
          <w:b/>
          <w:szCs w:val="22"/>
        </w:rPr>
        <w:t xml:space="preserve">Zrušenie testovania na príjem poberateľov osobnej asistencie zvyšuje motiváciu poberateľov zamestnať sa. </w:t>
      </w:r>
      <w:r w:rsidRPr="00292D7B">
        <w:rPr>
          <w:rFonts w:eastAsia="Arial Narrow" w:cs="Arial Narrow"/>
          <w:szCs w:val="22"/>
        </w:rPr>
        <w:t>Poberateľ príspevku na osobnú asistenciu a čiastočného invalidného dôchodku by v pôvodnom nastavení pri zamestnaní sa za priemernú mzdu (1</w:t>
      </w:r>
      <w:r w:rsidR="00251BBE">
        <w:rPr>
          <w:rFonts w:eastAsia="Arial Narrow" w:cs="Arial Narrow"/>
          <w:szCs w:val="22"/>
        </w:rPr>
        <w:t xml:space="preserve"> </w:t>
      </w:r>
      <w:r w:rsidRPr="00292D7B">
        <w:rPr>
          <w:rFonts w:eastAsia="Arial Narrow" w:cs="Arial Narrow"/>
          <w:szCs w:val="22"/>
        </w:rPr>
        <w:t xml:space="preserve">013 eur v roku 2018) prišiel o príjem vo výške </w:t>
      </w:r>
      <w:r w:rsidR="000E1005">
        <w:rPr>
          <w:rFonts w:eastAsia="Arial Narrow" w:cs="Arial Narrow"/>
          <w:szCs w:val="22"/>
        </w:rPr>
        <w:t>39</w:t>
      </w:r>
      <w:r w:rsidRPr="00292D7B">
        <w:rPr>
          <w:rFonts w:eastAsia="Arial Narrow" w:cs="Arial Narrow"/>
          <w:szCs w:val="22"/>
        </w:rPr>
        <w:t xml:space="preserve"> % hrubej mzdy (daň z participácie) (</w:t>
      </w:r>
      <w:r w:rsidRPr="00292D7B">
        <w:rPr>
          <w:rFonts w:eastAsia="Arial Narrow" w:cs="Arial Narrow"/>
          <w:szCs w:val="22"/>
        </w:rPr>
        <w:fldChar w:fldCharType="begin"/>
      </w:r>
      <w:r w:rsidRPr="00292D7B">
        <w:rPr>
          <w:rFonts w:eastAsia="Arial Narrow" w:cs="Arial Narrow"/>
          <w:szCs w:val="22"/>
        </w:rPr>
        <w:instrText xml:space="preserve"> REF _Ref17109846 \h </w:instrText>
      </w:r>
      <w:r w:rsidR="00292D7B">
        <w:rPr>
          <w:rFonts w:eastAsia="Arial Narrow" w:cs="Arial Narrow"/>
          <w:szCs w:val="22"/>
        </w:rPr>
        <w:instrText xml:space="preserve"> \* MERGEFORMAT </w:instrText>
      </w:r>
      <w:r w:rsidRPr="00292D7B">
        <w:rPr>
          <w:rFonts w:eastAsia="Arial Narrow" w:cs="Arial Narrow"/>
          <w:szCs w:val="22"/>
        </w:rPr>
      </w:r>
      <w:r w:rsidRPr="00292D7B">
        <w:rPr>
          <w:rFonts w:eastAsia="Arial Narrow" w:cs="Arial Narrow"/>
          <w:szCs w:val="22"/>
        </w:rPr>
        <w:fldChar w:fldCharType="separate"/>
      </w:r>
      <w:r w:rsidR="00FA29AF" w:rsidRPr="00FA29AF">
        <w:rPr>
          <w:szCs w:val="22"/>
        </w:rPr>
        <w:t xml:space="preserve">Graf </w:t>
      </w:r>
      <w:r w:rsidR="00FA29AF" w:rsidRPr="00FA29AF">
        <w:rPr>
          <w:iCs/>
          <w:noProof/>
          <w:szCs w:val="22"/>
        </w:rPr>
        <w:t>62</w:t>
      </w:r>
      <w:r w:rsidRPr="00292D7B">
        <w:rPr>
          <w:rFonts w:eastAsia="Arial Narrow" w:cs="Arial Narrow"/>
          <w:szCs w:val="22"/>
        </w:rPr>
        <w:fldChar w:fldCharType="end"/>
      </w:r>
      <w:r w:rsidRPr="00292D7B">
        <w:rPr>
          <w:rFonts w:eastAsia="Arial Narrow" w:cs="Arial Narrow"/>
          <w:szCs w:val="22"/>
        </w:rPr>
        <w:t xml:space="preserve">). Po zrušení testovania na príjem má táto osoba aj po zamestnaní sa nárok na plnú výšku príspevku na osobnú asistenciu a daň z participácie je tak podstatne nižšia (24 %). </w:t>
      </w:r>
    </w:p>
    <w:p w14:paraId="071F2A0C" w14:textId="3CFDDC94" w:rsidR="00F90C7B" w:rsidRDefault="00BE3C29" w:rsidP="00D3189B">
      <w:pPr>
        <w:rPr>
          <w:rFonts w:eastAsia="Arial Narrow" w:cs="Arial Narrow"/>
        </w:rPr>
      </w:pPr>
      <w:r>
        <w:rPr>
          <w:rFonts w:eastAsia="Arial Narrow" w:cs="Arial Narrow"/>
          <w:b/>
        </w:rPr>
        <w:t>Nárok na osobnú asistenciu nemajú osoby s ŤZP, kt</w:t>
      </w:r>
      <w:r w:rsidRPr="008E70F5">
        <w:rPr>
          <w:rFonts w:eastAsia="Arial Narrow" w:cs="Arial Narrow"/>
          <w:b/>
        </w:rPr>
        <w:t xml:space="preserve">oré sa stanú odkázanými na pomoc osobného </w:t>
      </w:r>
      <w:r>
        <w:rPr>
          <w:rFonts w:eastAsia="Arial Narrow" w:cs="Arial Narrow"/>
          <w:b/>
        </w:rPr>
        <w:t>asistenta až po 65. roku života.</w:t>
      </w:r>
      <w:r w:rsidR="0070047D">
        <w:rPr>
          <w:rFonts w:eastAsia="Arial Narrow" w:cs="Arial Narrow"/>
          <w:b/>
        </w:rPr>
        <w:t xml:space="preserve"> </w:t>
      </w:r>
      <w:r w:rsidRPr="007A38D3">
        <w:rPr>
          <w:rFonts w:eastAsia="Arial Narrow" w:cs="Arial Narrow"/>
        </w:rPr>
        <w:t>Iné nástroje ako opatrovateľský príspevok či sociálne</w:t>
      </w:r>
      <w:r>
        <w:rPr>
          <w:rFonts w:eastAsia="Arial Narrow" w:cs="Arial Narrow"/>
        </w:rPr>
        <w:t xml:space="preserve"> služby </w:t>
      </w:r>
      <w:r w:rsidRPr="007F4504">
        <w:rPr>
          <w:rFonts w:eastAsia="Arial Narrow" w:cs="Arial Narrow"/>
        </w:rPr>
        <w:t xml:space="preserve">nemusia byť vždy vhodnou alternatívou </w:t>
      </w:r>
      <w:r>
        <w:rPr>
          <w:rFonts w:eastAsia="Arial Narrow" w:cs="Arial Narrow"/>
        </w:rPr>
        <w:t xml:space="preserve">vzhľadom na odlišné podmienky poskytovania (napr. vysoký stupeň odkázanosti na pomoc inej fyzickej osoby). Pomoc osobného asistenta nie je možné využiť ani žiakmi s ŤZP počas vyučovacieho procesu. Prekážkam v integrácií v oblasti vzdelávania detí s ŤZP sa podrobnejšie venuje </w:t>
      </w:r>
      <w:r w:rsidR="00605327">
        <w:rPr>
          <w:rFonts w:eastAsia="Arial Narrow" w:cs="Arial Narrow"/>
        </w:rPr>
        <w:t xml:space="preserve">podkapitola </w:t>
      </w:r>
      <w:r w:rsidR="00605327">
        <w:rPr>
          <w:rFonts w:eastAsia="Arial Narrow" w:cs="Arial Narrow"/>
          <w:highlight w:val="yellow"/>
        </w:rPr>
        <w:fldChar w:fldCharType="begin"/>
      </w:r>
      <w:r w:rsidR="00605327">
        <w:rPr>
          <w:rFonts w:eastAsia="Arial Narrow" w:cs="Arial Narrow"/>
        </w:rPr>
        <w:instrText xml:space="preserve"> REF _Ref25743147 \r \h </w:instrText>
      </w:r>
      <w:r w:rsidR="00605327">
        <w:rPr>
          <w:rFonts w:eastAsia="Arial Narrow" w:cs="Arial Narrow"/>
          <w:highlight w:val="yellow"/>
        </w:rPr>
      </w:r>
      <w:r w:rsidR="00605327">
        <w:rPr>
          <w:rFonts w:eastAsia="Arial Narrow" w:cs="Arial Narrow"/>
          <w:highlight w:val="yellow"/>
        </w:rPr>
        <w:fldChar w:fldCharType="separate"/>
      </w:r>
      <w:r w:rsidR="00FA29AF">
        <w:rPr>
          <w:rFonts w:eastAsia="Arial Narrow" w:cs="Arial Narrow"/>
        </w:rPr>
        <w:t>6.2</w:t>
      </w:r>
      <w:r w:rsidR="00605327">
        <w:rPr>
          <w:rFonts w:eastAsia="Arial Narrow" w:cs="Arial Narrow"/>
          <w:highlight w:val="yellow"/>
        </w:rPr>
        <w:fldChar w:fldCharType="end"/>
      </w:r>
      <w:r w:rsidR="00F90C7B">
        <w:rPr>
          <w:rFonts w:eastAsia="Arial Narrow" w:cs="Arial Narrow"/>
        </w:rPr>
        <w:t>.</w:t>
      </w:r>
    </w:p>
    <w:p w14:paraId="088314ED" w14:textId="5C98F60B" w:rsidR="007E0579" w:rsidRPr="00AB28DA" w:rsidRDefault="007E0579" w:rsidP="00D3189B">
      <w:pPr>
        <w:rPr>
          <w:rFonts w:eastAsia="Arial Narrow" w:cs="Arial Narrow"/>
        </w:rPr>
      </w:pPr>
      <w:r w:rsidRPr="00AB28DA">
        <w:rPr>
          <w:rFonts w:eastAsia="Arial Narrow" w:cs="Arial Narrow"/>
          <w:b/>
        </w:rPr>
        <w:t xml:space="preserve">Na peňažné príspevky na kompenzáciu zvýšených výdavkov bolo v roku </w:t>
      </w:r>
      <w:r w:rsidR="00925942">
        <w:rPr>
          <w:rFonts w:eastAsia="Arial Narrow" w:cs="Arial Narrow"/>
          <w:b/>
        </w:rPr>
        <w:t>2018 vynaložených necelých 61,9 </w:t>
      </w:r>
      <w:r w:rsidRPr="00AB28DA">
        <w:rPr>
          <w:rFonts w:eastAsia="Arial Narrow" w:cs="Arial Narrow"/>
          <w:b/>
        </w:rPr>
        <w:t xml:space="preserve">miliónov eur. </w:t>
      </w:r>
      <w:r w:rsidRPr="00AB28DA">
        <w:rPr>
          <w:rFonts w:eastAsia="Arial Narrow" w:cs="Arial Narrow"/>
        </w:rPr>
        <w:t>Z pohľadu priemerného počtu poberateľov ide o najviac využívaný príspevok (v priemere 154 665 poberateľov), priemerná mesačná výška príspevku tvorila 32,8</w:t>
      </w:r>
      <w:r w:rsidR="008C1CAF" w:rsidRPr="00AB28DA">
        <w:rPr>
          <w:rFonts w:eastAsia="Arial Narrow" w:cs="Arial Narrow"/>
        </w:rPr>
        <w:t>0</w:t>
      </w:r>
      <w:r w:rsidRPr="00AB28DA">
        <w:rPr>
          <w:rFonts w:eastAsia="Arial Narrow" w:cs="Arial Narrow"/>
        </w:rPr>
        <w:t xml:space="preserve"> eur. </w:t>
      </w:r>
      <w:r w:rsidR="00292D7B" w:rsidRPr="00AB28DA">
        <w:rPr>
          <w:rFonts w:eastAsia="Arial Narrow" w:cs="Arial Narrow"/>
        </w:rPr>
        <w:t xml:space="preserve">Väčšina poberateľov je v poproduktívnom veku (54,2 % má 65 a viac rokov). </w:t>
      </w:r>
      <w:r w:rsidRPr="00AB28DA">
        <w:rPr>
          <w:rFonts w:eastAsia="Arial Narrow" w:cs="Arial Narrow"/>
        </w:rPr>
        <w:t>Peňažné príspevky na zvýšené výdavky podliehajú testovaniu na príjem, pričom sa neposkytujú, ak príjem osoby s ťažkým zdravotným postihnutím je vyšší ako 3-</w:t>
      </w:r>
      <w:r w:rsidR="00761448">
        <w:rPr>
          <w:rFonts w:eastAsia="Arial Narrow" w:cs="Arial Narrow"/>
        </w:rPr>
        <w:t> </w:t>
      </w:r>
      <w:r w:rsidRPr="00AB28DA">
        <w:rPr>
          <w:rFonts w:eastAsia="Arial Narrow" w:cs="Arial Narrow"/>
        </w:rPr>
        <w:t>násobok životného minima</w:t>
      </w:r>
      <w:r w:rsidR="00FA221E" w:rsidRPr="00AB28DA">
        <w:rPr>
          <w:rFonts w:eastAsia="Arial Narrow" w:cs="Arial Narrow"/>
        </w:rPr>
        <w:t xml:space="preserve"> pre jednu plnoletú fyzickú osobu.</w:t>
      </w:r>
      <w:r w:rsidRPr="00AB28DA">
        <w:rPr>
          <w:rFonts w:eastAsia="Arial Narrow" w:cs="Arial Narrow"/>
        </w:rPr>
        <w:t xml:space="preserve"> </w:t>
      </w:r>
    </w:p>
    <w:p w14:paraId="27C685C4" w14:textId="6428467B" w:rsidR="007E0579" w:rsidRPr="00AB28DA" w:rsidRDefault="007E0579" w:rsidP="007E0579">
      <w:r w:rsidRPr="00AB28DA">
        <w:rPr>
          <w:rFonts w:eastAsia="Arial Narrow" w:cs="Arial Narrow"/>
          <w:b/>
        </w:rPr>
        <w:t xml:space="preserve">Na peňažný príspevok na prepravu bolo v roku 2018 vynaložených 3,2 miliónov eur. </w:t>
      </w:r>
      <w:r w:rsidRPr="00AB28DA">
        <w:rPr>
          <w:rFonts w:eastAsia="Arial Narrow" w:cs="Arial Narrow"/>
        </w:rPr>
        <w:t>Bol poskytovaný v priemere 3 102 osobám s ŤZP mesačne v priemernej sume necelých 88 eur. Príspevok na prepravu je priznávaný prevažne osobám s ŤZP v poproduktívnom veku (68,3 % poberateľov má 65 a viac rokov</w:t>
      </w:r>
      <w:r w:rsidRPr="00AB28DA">
        <w:rPr>
          <w:rStyle w:val="TextkomentraChar"/>
        </w:rPr>
        <w:t xml:space="preserve"> </w:t>
      </w:r>
      <w:r w:rsidRPr="00AB28DA">
        <w:rPr>
          <w:rStyle w:val="Odkaznapoznmkupodiarou"/>
        </w:rPr>
        <w:footnoteReference w:id="402"/>
      </w:r>
      <w:r w:rsidRPr="00AB28DA">
        <w:t xml:space="preserve">). </w:t>
      </w:r>
    </w:p>
    <w:p w14:paraId="7378ACC4" w14:textId="77777777" w:rsidR="00375E0C" w:rsidRPr="00AB28DA" w:rsidRDefault="007E0579" w:rsidP="00375E0C">
      <w:pPr>
        <w:spacing w:before="160"/>
        <w:rPr>
          <w:rFonts w:eastAsia="Arial Narrow" w:cs="Arial Narrow"/>
        </w:rPr>
      </w:pPr>
      <w:r w:rsidRPr="00AB28DA">
        <w:rPr>
          <w:rFonts w:eastAsia="Arial Narrow" w:cs="Arial Narrow"/>
          <w:b/>
        </w:rPr>
        <w:t xml:space="preserve">Na jednorazové peňažné príspevky na kompenzáciu sociálnych dôsledkov ťažkého zdravotného postihnutia štát vynaložil necelých 23,4 miliónov eur. </w:t>
      </w:r>
      <w:r w:rsidRPr="00AB28DA">
        <w:rPr>
          <w:rFonts w:eastAsia="Arial Narrow" w:cs="Arial Narrow"/>
        </w:rPr>
        <w:t>Najviac príspevkov bolo poskytnutých na kúpu pomôcky (2 540) a kúpu osobného motorového vozidla (1 404). Najvyššia priemerná výška príspevkov je pri príspevkoch na kúpu zdvíhacieho zariadenia (9 261 eur) a kúpu osobného motorového vozidla (6 775 eur)</w:t>
      </w:r>
      <w:r w:rsidR="00375E0C" w:rsidRPr="00AB28DA">
        <w:rPr>
          <w:rFonts w:eastAsia="Arial Narrow" w:cs="Arial Narrow"/>
        </w:rPr>
        <w:t>.</w:t>
      </w:r>
    </w:p>
    <w:p w14:paraId="7093ADB4" w14:textId="3AE71B3B" w:rsidR="00285B72" w:rsidRPr="00AB28DA" w:rsidRDefault="007E0579">
      <w:pPr>
        <w:spacing w:before="160"/>
        <w:rPr>
          <w:rFonts w:eastAsia="Arial Narrow" w:cs="Arial Narrow"/>
        </w:rPr>
      </w:pPr>
      <w:r w:rsidRPr="00AB28DA">
        <w:rPr>
          <w:rFonts w:eastAsia="Arial Narrow" w:cs="Arial Narrow"/>
          <w:b/>
        </w:rPr>
        <w:t>Pomôcky, zdvíhacie zariadenia či úpravy bytu, domu alebo garáže nemusia byť finančne dostupné pre osoby s ŤZP s nízkym príjmom, keďže nie sú v plnej miere preplácané z verejných peňazí</w:t>
      </w:r>
      <w:r w:rsidRPr="00AB28DA">
        <w:rPr>
          <w:rFonts w:eastAsia="Arial Narrow" w:cs="Arial Narrow"/>
        </w:rPr>
        <w:t xml:space="preserve">. Napríklad aj osoby s príjmom pod hranicou životného minima si musia doplácať 5 až 15 % z celkovej ceny pomôcky či úpravy, čo môže pri drahších pomôckach </w:t>
      </w:r>
      <w:r w:rsidR="00AC6279" w:rsidRPr="00AB28DA">
        <w:rPr>
          <w:rFonts w:eastAsia="Arial Narrow" w:cs="Arial Narrow"/>
        </w:rPr>
        <w:t xml:space="preserve">a </w:t>
      </w:r>
      <w:r w:rsidRPr="00AB28DA">
        <w:rPr>
          <w:rFonts w:eastAsia="Arial Narrow" w:cs="Arial Narrow"/>
        </w:rPr>
        <w:t xml:space="preserve">úpravách predstavovať veľkú finančnú záťaž. </w:t>
      </w:r>
      <w:r w:rsidR="00285B72" w:rsidRPr="00906B31">
        <w:rPr>
          <w:rFonts w:eastAsia="Arial Narrow" w:cs="Arial Narrow"/>
          <w:b/>
          <w:bCs/>
        </w:rPr>
        <w:t>Revízia preto navrhuje nastaviť výhodnejšie podmienky poskytovania jednorazových peňažných príspevkov tak, aby u osôb s príjmom pod hranicou životného minima bolo zvýšené percento úhrady z ceny napr. pomôcky, zdvíhacieho zariadenia (podľa druhu príspevku) prostredníctvom peňažného príspevku. Uvedenou zmenou sa zvýšia peňažné príspevky a zníži spoluúčasť poberateľa s nízkym príjmom</w:t>
      </w:r>
      <w:r w:rsidR="00285B72" w:rsidRPr="00AB28DA">
        <w:rPr>
          <w:rFonts w:eastAsia="Arial Narrow" w:cs="Arial Narrow"/>
        </w:rPr>
        <w:t xml:space="preserve">. </w:t>
      </w:r>
    </w:p>
    <w:p w14:paraId="21042290" w14:textId="77777777" w:rsidR="008C79EC" w:rsidRPr="00686FCC" w:rsidRDefault="007E0579" w:rsidP="00686FCC">
      <w:pPr>
        <w:spacing w:after="0"/>
        <w:rPr>
          <w:b/>
          <w:sz w:val="20"/>
        </w:rPr>
      </w:pPr>
      <w:bookmarkStart w:id="1077" w:name="_Ref27740338"/>
      <w:bookmarkStart w:id="1078" w:name="_Toc17469485"/>
      <w:bookmarkStart w:id="1079" w:name="_Toc34156867"/>
      <w:r w:rsidRPr="00686FCC">
        <w:rPr>
          <w:b/>
          <w:sz w:val="20"/>
        </w:rPr>
        <w:t xml:space="preserve">Tabuľka </w:t>
      </w:r>
      <w:r w:rsidRPr="00686FCC">
        <w:rPr>
          <w:b/>
          <w:noProof/>
          <w:sz w:val="20"/>
        </w:rPr>
        <w:fldChar w:fldCharType="begin"/>
      </w:r>
      <w:r w:rsidRPr="00686FCC">
        <w:rPr>
          <w:b/>
          <w:noProof/>
          <w:sz w:val="20"/>
        </w:rPr>
        <w:instrText xml:space="preserve"> SEQ Tabuľka \* ARABIC </w:instrText>
      </w:r>
      <w:r w:rsidRPr="00686FCC">
        <w:rPr>
          <w:b/>
          <w:noProof/>
          <w:sz w:val="20"/>
        </w:rPr>
        <w:fldChar w:fldCharType="separate"/>
      </w:r>
      <w:r w:rsidR="00FA29AF">
        <w:rPr>
          <w:b/>
          <w:noProof/>
          <w:sz w:val="20"/>
        </w:rPr>
        <w:t>28</w:t>
      </w:r>
      <w:r w:rsidRPr="00686FCC">
        <w:rPr>
          <w:b/>
          <w:noProof/>
          <w:sz w:val="20"/>
        </w:rPr>
        <w:fldChar w:fldCharType="end"/>
      </w:r>
      <w:bookmarkEnd w:id="1077"/>
      <w:r w:rsidRPr="00686FCC">
        <w:rPr>
          <w:b/>
          <w:sz w:val="20"/>
        </w:rPr>
        <w:t>: Výška jednorazového peňažného príspevku ako podiel celkovej ceny pomôcky alebo služby</w:t>
      </w:r>
      <w:bookmarkEnd w:id="1078"/>
      <w:bookmarkEnd w:id="1079"/>
    </w:p>
    <w:tbl>
      <w:tblPr>
        <w:tblW w:w="9072" w:type="dxa"/>
        <w:tblLayout w:type="fixed"/>
        <w:tblCellMar>
          <w:left w:w="70" w:type="dxa"/>
          <w:right w:w="70" w:type="dxa"/>
        </w:tblCellMar>
        <w:tblLook w:val="04A0" w:firstRow="1" w:lastRow="0" w:firstColumn="1" w:lastColumn="0" w:noHBand="0" w:noVBand="1"/>
      </w:tblPr>
      <w:tblGrid>
        <w:gridCol w:w="4111"/>
        <w:gridCol w:w="992"/>
        <w:gridCol w:w="992"/>
        <w:gridCol w:w="992"/>
        <w:gridCol w:w="992"/>
        <w:gridCol w:w="993"/>
      </w:tblGrid>
      <w:tr w:rsidR="00285B72" w:rsidRPr="00AB28DA" w14:paraId="16BDDE8D" w14:textId="77777777" w:rsidTr="00285B72">
        <w:trPr>
          <w:trHeight w:val="255"/>
        </w:trPr>
        <w:tc>
          <w:tcPr>
            <w:tcW w:w="4111" w:type="dxa"/>
            <w:vMerge w:val="restart"/>
            <w:tcBorders>
              <w:top w:val="single" w:sz="4" w:space="0" w:color="auto"/>
              <w:left w:val="nil"/>
              <w:bottom w:val="single" w:sz="4" w:space="0" w:color="000000"/>
              <w:right w:val="nil"/>
            </w:tcBorders>
            <w:shd w:val="clear" w:color="000000" w:fill="FFFFFF"/>
            <w:noWrap/>
            <w:vAlign w:val="center"/>
            <w:hideMark/>
          </w:tcPr>
          <w:p w14:paraId="7A277C07" w14:textId="77777777" w:rsidR="00285B72" w:rsidRPr="00AB28DA" w:rsidRDefault="00285B72" w:rsidP="008C79EC">
            <w:pPr>
              <w:spacing w:after="0" w:line="240" w:lineRule="auto"/>
              <w:jc w:val="left"/>
              <w:rPr>
                <w:rFonts w:eastAsia="Times New Roman" w:cs="Times New Roman"/>
                <w:color w:val="000000"/>
                <w:sz w:val="20"/>
                <w:lang w:eastAsia="sk-SK"/>
              </w:rPr>
            </w:pPr>
            <w:r w:rsidRPr="00AB28DA">
              <w:rPr>
                <w:rFonts w:eastAsia="Times New Roman" w:cs="Times New Roman"/>
                <w:color w:val="000000"/>
                <w:sz w:val="20"/>
                <w:lang w:eastAsia="sk-SK"/>
              </w:rPr>
              <w:t> </w:t>
            </w:r>
          </w:p>
        </w:tc>
        <w:tc>
          <w:tcPr>
            <w:tcW w:w="4961" w:type="dxa"/>
            <w:gridSpan w:val="5"/>
            <w:tcBorders>
              <w:top w:val="single" w:sz="4" w:space="0" w:color="auto"/>
              <w:left w:val="nil"/>
              <w:bottom w:val="nil"/>
              <w:right w:val="nil"/>
            </w:tcBorders>
            <w:shd w:val="clear" w:color="000000" w:fill="FFFFFF"/>
          </w:tcPr>
          <w:p w14:paraId="57CE0C62" w14:textId="25D160F9" w:rsidR="00285B72" w:rsidRPr="00AB28DA" w:rsidRDefault="00285B72" w:rsidP="008C79EC">
            <w:pPr>
              <w:spacing w:after="0" w:line="240" w:lineRule="auto"/>
              <w:jc w:val="center"/>
              <w:rPr>
                <w:rFonts w:eastAsia="Times New Roman" w:cs="Times New Roman"/>
                <w:b/>
                <w:bCs/>
                <w:color w:val="000000"/>
                <w:sz w:val="20"/>
                <w:lang w:eastAsia="sk-SK"/>
              </w:rPr>
            </w:pPr>
            <w:r w:rsidRPr="00AB28DA">
              <w:rPr>
                <w:rFonts w:eastAsia="Times New Roman" w:cs="Times New Roman"/>
                <w:b/>
                <w:bCs/>
                <w:color w:val="000000"/>
                <w:sz w:val="20"/>
                <w:lang w:eastAsia="sk-SK"/>
              </w:rPr>
              <w:t xml:space="preserve">Príjem (násobok </w:t>
            </w:r>
            <w:r w:rsidR="00A76D67" w:rsidRPr="00AB28DA">
              <w:rPr>
                <w:rFonts w:eastAsia="Times New Roman" w:cs="Times New Roman"/>
                <w:b/>
                <w:bCs/>
                <w:color w:val="000000"/>
                <w:sz w:val="20"/>
                <w:lang w:eastAsia="sk-SK"/>
              </w:rPr>
              <w:t xml:space="preserve">súm </w:t>
            </w:r>
            <w:r w:rsidRPr="00AB28DA">
              <w:rPr>
                <w:rFonts w:eastAsia="Times New Roman" w:cs="Times New Roman"/>
                <w:b/>
                <w:bCs/>
                <w:color w:val="000000"/>
                <w:sz w:val="20"/>
                <w:lang w:eastAsia="sk-SK"/>
              </w:rPr>
              <w:t>životného minima) </w:t>
            </w:r>
          </w:p>
        </w:tc>
      </w:tr>
      <w:tr w:rsidR="00285B72" w:rsidRPr="00AB28DA" w14:paraId="330A3212" w14:textId="77777777" w:rsidTr="00CE4B44">
        <w:trPr>
          <w:trHeight w:val="255"/>
        </w:trPr>
        <w:tc>
          <w:tcPr>
            <w:tcW w:w="4111" w:type="dxa"/>
            <w:vMerge/>
            <w:tcBorders>
              <w:top w:val="single" w:sz="4" w:space="0" w:color="auto"/>
              <w:left w:val="nil"/>
              <w:bottom w:val="single" w:sz="4" w:space="0" w:color="000000"/>
              <w:right w:val="nil"/>
            </w:tcBorders>
            <w:vAlign w:val="center"/>
            <w:hideMark/>
          </w:tcPr>
          <w:p w14:paraId="0D0F7DA0" w14:textId="77777777" w:rsidR="00285B72" w:rsidRPr="00AB28DA" w:rsidRDefault="00285B72" w:rsidP="008C79EC">
            <w:pPr>
              <w:spacing w:after="0" w:line="240" w:lineRule="auto"/>
              <w:jc w:val="left"/>
              <w:rPr>
                <w:rFonts w:eastAsia="Times New Roman" w:cs="Times New Roman"/>
                <w:color w:val="000000"/>
                <w:sz w:val="20"/>
                <w:lang w:eastAsia="sk-SK"/>
              </w:rPr>
            </w:pPr>
          </w:p>
        </w:tc>
        <w:tc>
          <w:tcPr>
            <w:tcW w:w="992" w:type="dxa"/>
            <w:tcBorders>
              <w:top w:val="nil"/>
              <w:left w:val="nil"/>
              <w:bottom w:val="single" w:sz="4" w:space="0" w:color="auto"/>
              <w:right w:val="nil"/>
            </w:tcBorders>
            <w:shd w:val="clear" w:color="000000" w:fill="FFFFFF"/>
          </w:tcPr>
          <w:p w14:paraId="1C38C781" w14:textId="196663D5" w:rsidR="00285B72" w:rsidRPr="00AB28DA" w:rsidRDefault="00285B72" w:rsidP="008C79EC">
            <w:pPr>
              <w:spacing w:after="0" w:line="240" w:lineRule="auto"/>
              <w:jc w:val="center"/>
              <w:rPr>
                <w:rFonts w:eastAsia="Times New Roman" w:cs="Times New Roman"/>
                <w:b/>
                <w:bCs/>
                <w:color w:val="000000"/>
                <w:sz w:val="20"/>
                <w:lang w:eastAsia="sk-SK"/>
              </w:rPr>
            </w:pPr>
            <w:r w:rsidRPr="00AB28DA">
              <w:rPr>
                <w:rFonts w:eastAsia="Times New Roman" w:cs="Times New Roman"/>
                <w:b/>
                <w:bCs/>
                <w:color w:val="000000"/>
                <w:sz w:val="20"/>
                <w:lang w:eastAsia="sk-SK"/>
              </w:rPr>
              <w:t>do 1x</w:t>
            </w:r>
          </w:p>
        </w:tc>
        <w:tc>
          <w:tcPr>
            <w:tcW w:w="992" w:type="dxa"/>
            <w:tcBorders>
              <w:top w:val="nil"/>
              <w:left w:val="nil"/>
              <w:bottom w:val="single" w:sz="4" w:space="0" w:color="auto"/>
              <w:right w:val="nil"/>
            </w:tcBorders>
            <w:shd w:val="clear" w:color="000000" w:fill="FFFFFF"/>
            <w:noWrap/>
            <w:vAlign w:val="center"/>
            <w:hideMark/>
          </w:tcPr>
          <w:p w14:paraId="265311A8" w14:textId="6E10F94C" w:rsidR="00285B72" w:rsidRPr="00AB28DA" w:rsidRDefault="00285B72" w:rsidP="008C79EC">
            <w:pPr>
              <w:spacing w:after="0" w:line="240" w:lineRule="auto"/>
              <w:jc w:val="center"/>
              <w:rPr>
                <w:rFonts w:eastAsia="Times New Roman" w:cs="Times New Roman"/>
                <w:b/>
                <w:bCs/>
                <w:color w:val="000000"/>
                <w:sz w:val="20"/>
                <w:lang w:eastAsia="sk-SK"/>
              </w:rPr>
            </w:pPr>
            <w:r w:rsidRPr="00AB28DA">
              <w:rPr>
                <w:rFonts w:eastAsia="Times New Roman" w:cs="Times New Roman"/>
                <w:b/>
                <w:bCs/>
                <w:color w:val="000000"/>
                <w:sz w:val="20"/>
                <w:lang w:eastAsia="sk-SK"/>
              </w:rPr>
              <w:t>do 2x</w:t>
            </w:r>
          </w:p>
        </w:tc>
        <w:tc>
          <w:tcPr>
            <w:tcW w:w="992" w:type="dxa"/>
            <w:tcBorders>
              <w:top w:val="nil"/>
              <w:left w:val="nil"/>
              <w:bottom w:val="single" w:sz="4" w:space="0" w:color="auto"/>
              <w:right w:val="nil"/>
            </w:tcBorders>
            <w:shd w:val="clear" w:color="000000" w:fill="FFFFFF"/>
            <w:noWrap/>
            <w:vAlign w:val="center"/>
            <w:hideMark/>
          </w:tcPr>
          <w:p w14:paraId="5BD92C27" w14:textId="77777777" w:rsidR="00285B72" w:rsidRPr="00AB28DA" w:rsidRDefault="00285B72" w:rsidP="008C79EC">
            <w:pPr>
              <w:spacing w:after="0" w:line="240" w:lineRule="auto"/>
              <w:jc w:val="center"/>
              <w:rPr>
                <w:rFonts w:eastAsia="Times New Roman" w:cs="Times New Roman"/>
                <w:b/>
                <w:bCs/>
                <w:color w:val="000000"/>
                <w:sz w:val="20"/>
                <w:lang w:eastAsia="sk-SK"/>
              </w:rPr>
            </w:pPr>
            <w:r w:rsidRPr="00AB28DA">
              <w:rPr>
                <w:rFonts w:eastAsia="Times New Roman" w:cs="Times New Roman"/>
                <w:b/>
                <w:bCs/>
                <w:color w:val="000000"/>
                <w:sz w:val="20"/>
                <w:lang w:eastAsia="sk-SK"/>
              </w:rPr>
              <w:t>do 3x</w:t>
            </w:r>
          </w:p>
        </w:tc>
        <w:tc>
          <w:tcPr>
            <w:tcW w:w="992" w:type="dxa"/>
            <w:tcBorders>
              <w:top w:val="nil"/>
              <w:left w:val="nil"/>
              <w:bottom w:val="single" w:sz="4" w:space="0" w:color="auto"/>
              <w:right w:val="nil"/>
            </w:tcBorders>
            <w:shd w:val="clear" w:color="000000" w:fill="FFFFFF"/>
            <w:noWrap/>
            <w:vAlign w:val="center"/>
            <w:hideMark/>
          </w:tcPr>
          <w:p w14:paraId="357FB101" w14:textId="77777777" w:rsidR="00285B72" w:rsidRPr="00AB28DA" w:rsidRDefault="00285B72" w:rsidP="008C79EC">
            <w:pPr>
              <w:spacing w:after="0" w:line="240" w:lineRule="auto"/>
              <w:jc w:val="center"/>
              <w:rPr>
                <w:rFonts w:eastAsia="Times New Roman" w:cs="Times New Roman"/>
                <w:b/>
                <w:bCs/>
                <w:color w:val="000000"/>
                <w:sz w:val="20"/>
                <w:lang w:eastAsia="sk-SK"/>
              </w:rPr>
            </w:pPr>
            <w:r w:rsidRPr="00AB28DA">
              <w:rPr>
                <w:rFonts w:eastAsia="Times New Roman" w:cs="Times New Roman"/>
                <w:b/>
                <w:bCs/>
                <w:color w:val="000000"/>
                <w:sz w:val="20"/>
                <w:lang w:eastAsia="sk-SK"/>
              </w:rPr>
              <w:t>do 4x</w:t>
            </w:r>
          </w:p>
        </w:tc>
        <w:tc>
          <w:tcPr>
            <w:tcW w:w="993" w:type="dxa"/>
            <w:tcBorders>
              <w:top w:val="nil"/>
              <w:left w:val="nil"/>
              <w:bottom w:val="single" w:sz="4" w:space="0" w:color="auto"/>
              <w:right w:val="nil"/>
            </w:tcBorders>
            <w:shd w:val="clear" w:color="000000" w:fill="FFFFFF"/>
            <w:noWrap/>
            <w:vAlign w:val="center"/>
            <w:hideMark/>
          </w:tcPr>
          <w:p w14:paraId="7EB64F39" w14:textId="77777777" w:rsidR="00285B72" w:rsidRPr="00AB28DA" w:rsidRDefault="00285B72" w:rsidP="008C79EC">
            <w:pPr>
              <w:spacing w:after="0" w:line="240" w:lineRule="auto"/>
              <w:jc w:val="center"/>
              <w:rPr>
                <w:rFonts w:eastAsia="Times New Roman" w:cs="Times New Roman"/>
                <w:b/>
                <w:bCs/>
                <w:color w:val="000000"/>
                <w:sz w:val="20"/>
                <w:lang w:eastAsia="sk-SK"/>
              </w:rPr>
            </w:pPr>
            <w:r w:rsidRPr="00AB28DA">
              <w:rPr>
                <w:rFonts w:eastAsia="Times New Roman" w:cs="Times New Roman"/>
                <w:b/>
                <w:bCs/>
                <w:color w:val="000000"/>
                <w:sz w:val="20"/>
                <w:lang w:eastAsia="sk-SK"/>
              </w:rPr>
              <w:t>do 5x</w:t>
            </w:r>
          </w:p>
        </w:tc>
      </w:tr>
      <w:tr w:rsidR="00285B72" w:rsidRPr="00AB28DA" w14:paraId="21C50E81" w14:textId="77777777" w:rsidTr="00CE4B44">
        <w:trPr>
          <w:trHeight w:val="574"/>
        </w:trPr>
        <w:tc>
          <w:tcPr>
            <w:tcW w:w="4111" w:type="dxa"/>
            <w:tcBorders>
              <w:top w:val="nil"/>
              <w:left w:val="nil"/>
              <w:bottom w:val="nil"/>
              <w:right w:val="nil"/>
            </w:tcBorders>
            <w:shd w:val="clear" w:color="000000" w:fill="FFFFFF"/>
            <w:vAlign w:val="center"/>
            <w:hideMark/>
          </w:tcPr>
          <w:p w14:paraId="292FB9D4" w14:textId="2EE6A07D" w:rsidR="00285B72" w:rsidRPr="00AB28DA" w:rsidRDefault="00285B72" w:rsidP="008C79EC">
            <w:pPr>
              <w:spacing w:after="0" w:line="240" w:lineRule="auto"/>
              <w:jc w:val="left"/>
              <w:rPr>
                <w:rFonts w:eastAsia="Times New Roman" w:cs="Times New Roman"/>
                <w:b/>
                <w:bCs/>
                <w:color w:val="000000"/>
                <w:sz w:val="20"/>
                <w:lang w:eastAsia="sk-SK"/>
              </w:rPr>
            </w:pPr>
            <w:r w:rsidRPr="00AB28DA">
              <w:rPr>
                <w:rFonts w:eastAsia="Times New Roman" w:cs="Times New Roman"/>
                <w:b/>
                <w:bCs/>
                <w:color w:val="000000"/>
                <w:sz w:val="20"/>
                <w:lang w:eastAsia="sk-SK"/>
              </w:rPr>
              <w:t xml:space="preserve">Kúpa pomôcky, výcvik používania pomôcky, úprava pomôcky, úprava OMV, úprava bytu, </w:t>
            </w:r>
            <w:r w:rsidR="00861CD4" w:rsidRPr="00AB28DA">
              <w:rPr>
                <w:rFonts w:eastAsia="Times New Roman" w:cs="Times New Roman"/>
                <w:b/>
                <w:bCs/>
                <w:color w:val="000000"/>
                <w:sz w:val="20"/>
                <w:lang w:eastAsia="sk-SK"/>
              </w:rPr>
              <w:t>rodinného domu</w:t>
            </w:r>
            <w:r w:rsidRPr="00AB28DA">
              <w:rPr>
                <w:rFonts w:eastAsia="Times New Roman" w:cs="Times New Roman"/>
                <w:b/>
                <w:bCs/>
                <w:color w:val="000000"/>
                <w:sz w:val="20"/>
                <w:lang w:eastAsia="sk-SK"/>
              </w:rPr>
              <w:t xml:space="preserve"> alebo garáže</w:t>
            </w:r>
          </w:p>
        </w:tc>
        <w:tc>
          <w:tcPr>
            <w:tcW w:w="992" w:type="dxa"/>
            <w:tcBorders>
              <w:top w:val="nil"/>
              <w:left w:val="nil"/>
              <w:bottom w:val="nil"/>
              <w:right w:val="nil"/>
            </w:tcBorders>
            <w:shd w:val="clear" w:color="000000" w:fill="FFFFFF"/>
          </w:tcPr>
          <w:p w14:paraId="482ECB71" w14:textId="77777777" w:rsidR="00285B72" w:rsidRPr="00AB28DA" w:rsidRDefault="00285B72" w:rsidP="008C79EC">
            <w:pPr>
              <w:spacing w:after="0" w:line="240" w:lineRule="auto"/>
              <w:jc w:val="left"/>
              <w:rPr>
                <w:rFonts w:eastAsia="Times New Roman" w:cs="Times New Roman"/>
                <w:color w:val="000000"/>
                <w:sz w:val="20"/>
                <w:lang w:eastAsia="sk-SK"/>
              </w:rPr>
            </w:pPr>
          </w:p>
        </w:tc>
        <w:tc>
          <w:tcPr>
            <w:tcW w:w="992" w:type="dxa"/>
            <w:tcBorders>
              <w:top w:val="nil"/>
              <w:left w:val="nil"/>
              <w:bottom w:val="nil"/>
              <w:right w:val="nil"/>
            </w:tcBorders>
            <w:shd w:val="clear" w:color="000000" w:fill="FFFFFF"/>
            <w:noWrap/>
            <w:vAlign w:val="center"/>
            <w:hideMark/>
          </w:tcPr>
          <w:p w14:paraId="26F8B2F7" w14:textId="494A731C" w:rsidR="00285B72" w:rsidRPr="00AB28DA" w:rsidRDefault="00285B72" w:rsidP="008C79EC">
            <w:pPr>
              <w:spacing w:after="0" w:line="240" w:lineRule="auto"/>
              <w:jc w:val="left"/>
              <w:rPr>
                <w:rFonts w:eastAsia="Times New Roman" w:cs="Times New Roman"/>
                <w:color w:val="000000"/>
                <w:sz w:val="20"/>
                <w:lang w:eastAsia="sk-SK"/>
              </w:rPr>
            </w:pPr>
            <w:r w:rsidRPr="00AB28DA">
              <w:rPr>
                <w:rFonts w:eastAsia="Times New Roman" w:cs="Times New Roman"/>
                <w:color w:val="000000"/>
                <w:sz w:val="20"/>
                <w:lang w:eastAsia="sk-SK"/>
              </w:rPr>
              <w:t> </w:t>
            </w:r>
          </w:p>
        </w:tc>
        <w:tc>
          <w:tcPr>
            <w:tcW w:w="992" w:type="dxa"/>
            <w:tcBorders>
              <w:top w:val="nil"/>
              <w:left w:val="nil"/>
              <w:bottom w:val="nil"/>
              <w:right w:val="nil"/>
            </w:tcBorders>
            <w:shd w:val="clear" w:color="000000" w:fill="FFFFFF"/>
            <w:noWrap/>
            <w:vAlign w:val="center"/>
            <w:hideMark/>
          </w:tcPr>
          <w:p w14:paraId="2DF66302" w14:textId="77777777" w:rsidR="00285B72" w:rsidRPr="00AB28DA" w:rsidRDefault="00285B72" w:rsidP="008C79EC">
            <w:pPr>
              <w:spacing w:after="0" w:line="240" w:lineRule="auto"/>
              <w:jc w:val="left"/>
              <w:rPr>
                <w:rFonts w:eastAsia="Times New Roman" w:cs="Times New Roman"/>
                <w:color w:val="000000"/>
                <w:sz w:val="20"/>
                <w:lang w:eastAsia="sk-SK"/>
              </w:rPr>
            </w:pPr>
            <w:r w:rsidRPr="00AB28DA">
              <w:rPr>
                <w:rFonts w:eastAsia="Times New Roman" w:cs="Times New Roman"/>
                <w:color w:val="000000"/>
                <w:sz w:val="20"/>
                <w:lang w:eastAsia="sk-SK"/>
              </w:rPr>
              <w:t> </w:t>
            </w:r>
          </w:p>
        </w:tc>
        <w:tc>
          <w:tcPr>
            <w:tcW w:w="992" w:type="dxa"/>
            <w:tcBorders>
              <w:top w:val="nil"/>
              <w:left w:val="nil"/>
              <w:bottom w:val="nil"/>
              <w:right w:val="nil"/>
            </w:tcBorders>
            <w:shd w:val="clear" w:color="000000" w:fill="FFFFFF"/>
            <w:noWrap/>
            <w:vAlign w:val="center"/>
            <w:hideMark/>
          </w:tcPr>
          <w:p w14:paraId="6040FCD2" w14:textId="77777777" w:rsidR="00285B72" w:rsidRPr="00AB28DA" w:rsidRDefault="00285B72" w:rsidP="008C79EC">
            <w:pPr>
              <w:spacing w:after="0" w:line="240" w:lineRule="auto"/>
              <w:jc w:val="left"/>
              <w:rPr>
                <w:rFonts w:eastAsia="Times New Roman" w:cs="Times New Roman"/>
                <w:color w:val="000000"/>
                <w:sz w:val="20"/>
                <w:lang w:eastAsia="sk-SK"/>
              </w:rPr>
            </w:pPr>
            <w:r w:rsidRPr="00AB28DA">
              <w:rPr>
                <w:rFonts w:eastAsia="Times New Roman" w:cs="Times New Roman"/>
                <w:color w:val="000000"/>
                <w:sz w:val="20"/>
                <w:lang w:eastAsia="sk-SK"/>
              </w:rPr>
              <w:t> </w:t>
            </w:r>
          </w:p>
        </w:tc>
        <w:tc>
          <w:tcPr>
            <w:tcW w:w="993" w:type="dxa"/>
            <w:tcBorders>
              <w:top w:val="nil"/>
              <w:left w:val="nil"/>
              <w:bottom w:val="nil"/>
              <w:right w:val="nil"/>
            </w:tcBorders>
            <w:shd w:val="clear" w:color="000000" w:fill="FFFFFF"/>
            <w:noWrap/>
            <w:vAlign w:val="center"/>
            <w:hideMark/>
          </w:tcPr>
          <w:p w14:paraId="382FEDDD" w14:textId="77777777" w:rsidR="00285B72" w:rsidRPr="00AB28DA" w:rsidRDefault="00285B72" w:rsidP="008C79EC">
            <w:pPr>
              <w:spacing w:after="0" w:line="240" w:lineRule="auto"/>
              <w:jc w:val="left"/>
              <w:rPr>
                <w:rFonts w:eastAsia="Times New Roman" w:cs="Times New Roman"/>
                <w:color w:val="000000"/>
                <w:sz w:val="20"/>
                <w:lang w:eastAsia="sk-SK"/>
              </w:rPr>
            </w:pPr>
            <w:r w:rsidRPr="00AB28DA">
              <w:rPr>
                <w:rFonts w:eastAsia="Times New Roman" w:cs="Times New Roman"/>
                <w:color w:val="000000"/>
                <w:sz w:val="20"/>
                <w:lang w:eastAsia="sk-SK"/>
              </w:rPr>
              <w:t> </w:t>
            </w:r>
          </w:p>
        </w:tc>
      </w:tr>
      <w:tr w:rsidR="00285B72" w:rsidRPr="00AB28DA" w14:paraId="27C56EF7" w14:textId="77777777" w:rsidTr="00CE4B44">
        <w:trPr>
          <w:trHeight w:val="255"/>
        </w:trPr>
        <w:tc>
          <w:tcPr>
            <w:tcW w:w="4111" w:type="dxa"/>
            <w:tcBorders>
              <w:top w:val="nil"/>
              <w:left w:val="nil"/>
              <w:bottom w:val="nil"/>
              <w:right w:val="nil"/>
            </w:tcBorders>
            <w:shd w:val="clear" w:color="000000" w:fill="FFFFFF"/>
            <w:noWrap/>
            <w:vAlign w:val="center"/>
            <w:hideMark/>
          </w:tcPr>
          <w:p w14:paraId="1FCA2ED3" w14:textId="60A7AF7A" w:rsidR="00285B72" w:rsidRPr="00AB28DA" w:rsidRDefault="00285B72" w:rsidP="00285B72">
            <w:pPr>
              <w:spacing w:after="0" w:line="240" w:lineRule="auto"/>
              <w:ind w:firstLineChars="100" w:firstLine="200"/>
              <w:jc w:val="left"/>
              <w:rPr>
                <w:rFonts w:eastAsia="Times New Roman" w:cs="Times New Roman"/>
                <w:color w:val="000000"/>
                <w:sz w:val="20"/>
                <w:lang w:eastAsia="sk-SK"/>
              </w:rPr>
            </w:pPr>
            <w:r w:rsidRPr="00AB28DA">
              <w:rPr>
                <w:rFonts w:eastAsia="Times New Roman" w:cs="Times New Roman"/>
                <w:color w:val="000000"/>
                <w:sz w:val="20"/>
                <w:lang w:eastAsia="sk-SK"/>
              </w:rPr>
              <w:t>do 331,94 eur</w:t>
            </w:r>
          </w:p>
        </w:tc>
        <w:tc>
          <w:tcPr>
            <w:tcW w:w="992" w:type="dxa"/>
            <w:tcBorders>
              <w:top w:val="nil"/>
              <w:left w:val="nil"/>
              <w:bottom w:val="nil"/>
              <w:right w:val="nil"/>
            </w:tcBorders>
            <w:shd w:val="clear" w:color="000000" w:fill="FFFFFF"/>
            <w:vAlign w:val="center"/>
          </w:tcPr>
          <w:p w14:paraId="10D6AA47" w14:textId="10AF7197" w:rsidR="00285B72" w:rsidRPr="00AB28DA" w:rsidRDefault="00285B72" w:rsidP="00285B72">
            <w:pPr>
              <w:spacing w:after="0" w:line="240" w:lineRule="auto"/>
              <w:jc w:val="right"/>
              <w:rPr>
                <w:rFonts w:eastAsia="Times New Roman" w:cs="Times New Roman"/>
                <w:color w:val="000000"/>
                <w:sz w:val="20"/>
                <w:lang w:eastAsia="sk-SK"/>
              </w:rPr>
            </w:pPr>
            <w:r w:rsidRPr="00AB28DA">
              <w:rPr>
                <w:rFonts w:eastAsia="Times New Roman" w:cs="Times New Roman"/>
                <w:color w:val="000000"/>
                <w:sz w:val="20"/>
                <w:lang w:eastAsia="sk-SK"/>
              </w:rPr>
              <w:t>90%</w:t>
            </w:r>
          </w:p>
        </w:tc>
        <w:tc>
          <w:tcPr>
            <w:tcW w:w="992" w:type="dxa"/>
            <w:tcBorders>
              <w:top w:val="nil"/>
              <w:left w:val="nil"/>
              <w:bottom w:val="nil"/>
              <w:right w:val="nil"/>
            </w:tcBorders>
            <w:shd w:val="clear" w:color="000000" w:fill="FFFFFF"/>
            <w:vAlign w:val="center"/>
            <w:hideMark/>
          </w:tcPr>
          <w:p w14:paraId="2A7324D4" w14:textId="463F98D3" w:rsidR="00285B72" w:rsidRPr="00AB28DA" w:rsidRDefault="00285B72" w:rsidP="00285B72">
            <w:pPr>
              <w:spacing w:after="0" w:line="240" w:lineRule="auto"/>
              <w:jc w:val="right"/>
              <w:rPr>
                <w:rFonts w:eastAsia="Times New Roman" w:cs="Times New Roman"/>
                <w:color w:val="000000"/>
                <w:sz w:val="20"/>
                <w:lang w:eastAsia="sk-SK"/>
              </w:rPr>
            </w:pPr>
            <w:r w:rsidRPr="00AB28DA">
              <w:rPr>
                <w:rFonts w:eastAsia="Times New Roman" w:cs="Times New Roman"/>
                <w:color w:val="000000"/>
                <w:sz w:val="20"/>
                <w:lang w:eastAsia="sk-SK"/>
              </w:rPr>
              <w:t>90%</w:t>
            </w:r>
          </w:p>
        </w:tc>
        <w:tc>
          <w:tcPr>
            <w:tcW w:w="992" w:type="dxa"/>
            <w:tcBorders>
              <w:top w:val="nil"/>
              <w:left w:val="nil"/>
              <w:bottom w:val="nil"/>
              <w:right w:val="nil"/>
            </w:tcBorders>
            <w:shd w:val="clear" w:color="000000" w:fill="FFFFFF"/>
            <w:vAlign w:val="center"/>
            <w:hideMark/>
          </w:tcPr>
          <w:p w14:paraId="1E589A21" w14:textId="77777777" w:rsidR="00285B72" w:rsidRPr="00AB28DA" w:rsidRDefault="00285B72" w:rsidP="00285B72">
            <w:pPr>
              <w:spacing w:after="0" w:line="240" w:lineRule="auto"/>
              <w:jc w:val="right"/>
              <w:rPr>
                <w:rFonts w:eastAsia="Times New Roman" w:cs="Times New Roman"/>
                <w:color w:val="000000"/>
                <w:sz w:val="20"/>
                <w:lang w:eastAsia="sk-SK"/>
              </w:rPr>
            </w:pPr>
            <w:r w:rsidRPr="00AB28DA">
              <w:rPr>
                <w:rFonts w:eastAsia="Times New Roman" w:cs="Times New Roman"/>
                <w:color w:val="000000"/>
                <w:sz w:val="20"/>
                <w:lang w:eastAsia="sk-SK"/>
              </w:rPr>
              <w:t>90%</w:t>
            </w:r>
          </w:p>
        </w:tc>
        <w:tc>
          <w:tcPr>
            <w:tcW w:w="992" w:type="dxa"/>
            <w:tcBorders>
              <w:top w:val="nil"/>
              <w:left w:val="nil"/>
              <w:bottom w:val="nil"/>
              <w:right w:val="nil"/>
            </w:tcBorders>
            <w:shd w:val="clear" w:color="000000" w:fill="FFFFFF"/>
            <w:vAlign w:val="center"/>
            <w:hideMark/>
          </w:tcPr>
          <w:p w14:paraId="481DB7E8" w14:textId="77777777" w:rsidR="00285B72" w:rsidRPr="00AB28DA" w:rsidRDefault="00285B72" w:rsidP="00285B72">
            <w:pPr>
              <w:spacing w:after="0" w:line="240" w:lineRule="auto"/>
              <w:jc w:val="right"/>
              <w:rPr>
                <w:rFonts w:eastAsia="Times New Roman" w:cs="Times New Roman"/>
                <w:color w:val="000000"/>
                <w:sz w:val="20"/>
                <w:lang w:eastAsia="sk-SK"/>
              </w:rPr>
            </w:pPr>
            <w:r w:rsidRPr="00AB28DA">
              <w:rPr>
                <w:rFonts w:eastAsia="Times New Roman" w:cs="Times New Roman"/>
                <w:color w:val="000000"/>
                <w:sz w:val="20"/>
                <w:lang w:eastAsia="sk-SK"/>
              </w:rPr>
              <w:t>70%</w:t>
            </w:r>
          </w:p>
        </w:tc>
        <w:tc>
          <w:tcPr>
            <w:tcW w:w="993" w:type="dxa"/>
            <w:tcBorders>
              <w:top w:val="nil"/>
              <w:left w:val="nil"/>
              <w:bottom w:val="nil"/>
              <w:right w:val="nil"/>
            </w:tcBorders>
            <w:shd w:val="clear" w:color="000000" w:fill="FFFFFF"/>
            <w:vAlign w:val="center"/>
            <w:hideMark/>
          </w:tcPr>
          <w:p w14:paraId="372529E8" w14:textId="77777777" w:rsidR="00285B72" w:rsidRPr="00AB28DA" w:rsidRDefault="00285B72" w:rsidP="00285B72">
            <w:pPr>
              <w:spacing w:after="0" w:line="240" w:lineRule="auto"/>
              <w:jc w:val="right"/>
              <w:rPr>
                <w:rFonts w:eastAsia="Times New Roman" w:cs="Times New Roman"/>
                <w:color w:val="000000"/>
                <w:sz w:val="20"/>
                <w:lang w:eastAsia="sk-SK"/>
              </w:rPr>
            </w:pPr>
            <w:r w:rsidRPr="00AB28DA">
              <w:rPr>
                <w:rFonts w:eastAsia="Times New Roman" w:cs="Times New Roman"/>
                <w:color w:val="000000"/>
                <w:sz w:val="20"/>
                <w:lang w:eastAsia="sk-SK"/>
              </w:rPr>
              <w:t>50%</w:t>
            </w:r>
          </w:p>
        </w:tc>
      </w:tr>
      <w:tr w:rsidR="00285B72" w:rsidRPr="00AB28DA" w14:paraId="753C668F" w14:textId="77777777" w:rsidTr="00CE4B44">
        <w:trPr>
          <w:trHeight w:val="255"/>
        </w:trPr>
        <w:tc>
          <w:tcPr>
            <w:tcW w:w="4111" w:type="dxa"/>
            <w:tcBorders>
              <w:top w:val="nil"/>
              <w:left w:val="nil"/>
              <w:bottom w:val="nil"/>
              <w:right w:val="nil"/>
            </w:tcBorders>
            <w:shd w:val="clear" w:color="000000" w:fill="FFFFFF"/>
            <w:noWrap/>
            <w:vAlign w:val="center"/>
            <w:hideMark/>
          </w:tcPr>
          <w:p w14:paraId="5C3ED0B9" w14:textId="1C03D3E2" w:rsidR="00285B72" w:rsidRPr="00AB28DA" w:rsidRDefault="00285B72" w:rsidP="00285B72">
            <w:pPr>
              <w:spacing w:after="0" w:line="240" w:lineRule="auto"/>
              <w:ind w:firstLineChars="100" w:firstLine="200"/>
              <w:jc w:val="left"/>
              <w:rPr>
                <w:rFonts w:eastAsia="Times New Roman" w:cs="Times New Roman"/>
                <w:color w:val="000000"/>
                <w:sz w:val="20"/>
                <w:lang w:eastAsia="sk-SK"/>
              </w:rPr>
            </w:pPr>
            <w:r w:rsidRPr="00AB28DA">
              <w:rPr>
                <w:rFonts w:eastAsia="Times New Roman" w:cs="Times New Roman"/>
                <w:color w:val="000000"/>
                <w:sz w:val="20"/>
                <w:lang w:eastAsia="sk-SK"/>
              </w:rPr>
              <w:t>do 1 659,70 eur</w:t>
            </w:r>
          </w:p>
        </w:tc>
        <w:tc>
          <w:tcPr>
            <w:tcW w:w="992" w:type="dxa"/>
            <w:tcBorders>
              <w:top w:val="nil"/>
              <w:left w:val="nil"/>
              <w:bottom w:val="nil"/>
              <w:right w:val="nil"/>
            </w:tcBorders>
            <w:shd w:val="clear" w:color="000000" w:fill="FFFFFF"/>
            <w:vAlign w:val="center"/>
          </w:tcPr>
          <w:p w14:paraId="71DFD0E0" w14:textId="35A56ED2" w:rsidR="00285B72" w:rsidRPr="00AB28DA" w:rsidRDefault="00285B72" w:rsidP="00285B72">
            <w:pPr>
              <w:spacing w:after="0" w:line="240" w:lineRule="auto"/>
              <w:jc w:val="right"/>
              <w:rPr>
                <w:rFonts w:eastAsia="Times New Roman" w:cs="Times New Roman"/>
                <w:color w:val="000000"/>
                <w:sz w:val="20"/>
                <w:lang w:eastAsia="sk-SK"/>
              </w:rPr>
            </w:pPr>
            <w:r w:rsidRPr="00AB28DA">
              <w:rPr>
                <w:rFonts w:eastAsia="Times New Roman" w:cs="Times New Roman"/>
                <w:color w:val="000000"/>
                <w:sz w:val="20"/>
                <w:lang w:eastAsia="sk-SK"/>
              </w:rPr>
              <w:t>95%</w:t>
            </w:r>
          </w:p>
        </w:tc>
        <w:tc>
          <w:tcPr>
            <w:tcW w:w="992" w:type="dxa"/>
            <w:tcBorders>
              <w:top w:val="nil"/>
              <w:left w:val="nil"/>
              <w:bottom w:val="nil"/>
              <w:right w:val="nil"/>
            </w:tcBorders>
            <w:shd w:val="clear" w:color="000000" w:fill="FFFFFF"/>
            <w:vAlign w:val="center"/>
            <w:hideMark/>
          </w:tcPr>
          <w:p w14:paraId="70DA1E9F" w14:textId="164F0E2F" w:rsidR="00285B72" w:rsidRPr="00AB28DA" w:rsidRDefault="00285B72" w:rsidP="00285B72">
            <w:pPr>
              <w:spacing w:after="0" w:line="240" w:lineRule="auto"/>
              <w:jc w:val="right"/>
              <w:rPr>
                <w:rFonts w:eastAsia="Times New Roman" w:cs="Times New Roman"/>
                <w:color w:val="000000"/>
                <w:sz w:val="20"/>
                <w:lang w:eastAsia="sk-SK"/>
              </w:rPr>
            </w:pPr>
            <w:r w:rsidRPr="00AB28DA">
              <w:rPr>
                <w:rFonts w:eastAsia="Times New Roman" w:cs="Times New Roman"/>
                <w:color w:val="000000"/>
                <w:sz w:val="20"/>
                <w:lang w:eastAsia="sk-SK"/>
              </w:rPr>
              <w:t>95%</w:t>
            </w:r>
          </w:p>
        </w:tc>
        <w:tc>
          <w:tcPr>
            <w:tcW w:w="992" w:type="dxa"/>
            <w:tcBorders>
              <w:top w:val="nil"/>
              <w:left w:val="nil"/>
              <w:bottom w:val="nil"/>
              <w:right w:val="nil"/>
            </w:tcBorders>
            <w:shd w:val="clear" w:color="000000" w:fill="FFFFFF"/>
            <w:vAlign w:val="center"/>
            <w:hideMark/>
          </w:tcPr>
          <w:p w14:paraId="7AD5BCA8" w14:textId="77777777" w:rsidR="00285B72" w:rsidRPr="00AB28DA" w:rsidRDefault="00285B72" w:rsidP="00285B72">
            <w:pPr>
              <w:spacing w:after="0" w:line="240" w:lineRule="auto"/>
              <w:jc w:val="right"/>
              <w:rPr>
                <w:rFonts w:eastAsia="Times New Roman" w:cs="Times New Roman"/>
                <w:color w:val="000000"/>
                <w:sz w:val="20"/>
                <w:lang w:eastAsia="sk-SK"/>
              </w:rPr>
            </w:pPr>
            <w:r w:rsidRPr="00AB28DA">
              <w:rPr>
                <w:rFonts w:eastAsia="Times New Roman" w:cs="Times New Roman"/>
                <w:color w:val="000000"/>
                <w:sz w:val="20"/>
                <w:lang w:eastAsia="sk-SK"/>
              </w:rPr>
              <w:t>85%</w:t>
            </w:r>
          </w:p>
        </w:tc>
        <w:tc>
          <w:tcPr>
            <w:tcW w:w="992" w:type="dxa"/>
            <w:tcBorders>
              <w:top w:val="nil"/>
              <w:left w:val="nil"/>
              <w:bottom w:val="nil"/>
              <w:right w:val="nil"/>
            </w:tcBorders>
            <w:shd w:val="clear" w:color="000000" w:fill="FFFFFF"/>
            <w:vAlign w:val="center"/>
            <w:hideMark/>
          </w:tcPr>
          <w:p w14:paraId="74B385D2" w14:textId="77777777" w:rsidR="00285B72" w:rsidRPr="00AB28DA" w:rsidRDefault="00285B72" w:rsidP="00285B72">
            <w:pPr>
              <w:spacing w:after="0" w:line="240" w:lineRule="auto"/>
              <w:jc w:val="right"/>
              <w:rPr>
                <w:rFonts w:eastAsia="Times New Roman" w:cs="Times New Roman"/>
                <w:color w:val="000000"/>
                <w:sz w:val="20"/>
                <w:lang w:eastAsia="sk-SK"/>
              </w:rPr>
            </w:pPr>
            <w:r w:rsidRPr="00AB28DA">
              <w:rPr>
                <w:rFonts w:eastAsia="Times New Roman" w:cs="Times New Roman"/>
                <w:color w:val="000000"/>
                <w:sz w:val="20"/>
                <w:lang w:eastAsia="sk-SK"/>
              </w:rPr>
              <w:t>75%</w:t>
            </w:r>
          </w:p>
        </w:tc>
        <w:tc>
          <w:tcPr>
            <w:tcW w:w="993" w:type="dxa"/>
            <w:tcBorders>
              <w:top w:val="nil"/>
              <w:left w:val="nil"/>
              <w:bottom w:val="nil"/>
              <w:right w:val="nil"/>
            </w:tcBorders>
            <w:shd w:val="clear" w:color="000000" w:fill="FFFFFF"/>
            <w:vAlign w:val="center"/>
            <w:hideMark/>
          </w:tcPr>
          <w:p w14:paraId="2621AED2" w14:textId="77777777" w:rsidR="00285B72" w:rsidRPr="00AB28DA" w:rsidRDefault="00285B72" w:rsidP="00285B72">
            <w:pPr>
              <w:spacing w:after="0" w:line="240" w:lineRule="auto"/>
              <w:jc w:val="right"/>
              <w:rPr>
                <w:rFonts w:eastAsia="Times New Roman" w:cs="Times New Roman"/>
                <w:color w:val="000000"/>
                <w:sz w:val="20"/>
                <w:lang w:eastAsia="sk-SK"/>
              </w:rPr>
            </w:pPr>
            <w:r w:rsidRPr="00AB28DA">
              <w:rPr>
                <w:rFonts w:eastAsia="Times New Roman" w:cs="Times New Roman"/>
                <w:color w:val="000000"/>
                <w:sz w:val="20"/>
                <w:lang w:eastAsia="sk-SK"/>
              </w:rPr>
              <w:t>65%</w:t>
            </w:r>
          </w:p>
        </w:tc>
      </w:tr>
      <w:tr w:rsidR="00285B72" w:rsidRPr="00AB28DA" w14:paraId="7B6D8D02" w14:textId="77777777" w:rsidTr="00CE4B44">
        <w:trPr>
          <w:trHeight w:val="255"/>
        </w:trPr>
        <w:tc>
          <w:tcPr>
            <w:tcW w:w="4111" w:type="dxa"/>
            <w:tcBorders>
              <w:top w:val="nil"/>
              <w:left w:val="nil"/>
              <w:bottom w:val="nil"/>
              <w:right w:val="nil"/>
            </w:tcBorders>
            <w:shd w:val="clear" w:color="000000" w:fill="FFFFFF"/>
            <w:noWrap/>
            <w:vAlign w:val="center"/>
            <w:hideMark/>
          </w:tcPr>
          <w:p w14:paraId="2937659A" w14:textId="59E4428B" w:rsidR="00285B72" w:rsidRPr="00AB28DA" w:rsidRDefault="00285B72" w:rsidP="00285B72">
            <w:pPr>
              <w:spacing w:after="0" w:line="240" w:lineRule="auto"/>
              <w:ind w:firstLineChars="100" w:firstLine="200"/>
              <w:jc w:val="left"/>
              <w:rPr>
                <w:rFonts w:eastAsia="Times New Roman" w:cs="Times New Roman"/>
                <w:color w:val="000000"/>
                <w:sz w:val="20"/>
                <w:lang w:eastAsia="sk-SK"/>
              </w:rPr>
            </w:pPr>
            <w:r w:rsidRPr="00AB28DA">
              <w:rPr>
                <w:rFonts w:eastAsia="Times New Roman" w:cs="Times New Roman"/>
                <w:color w:val="000000"/>
                <w:sz w:val="20"/>
                <w:lang w:eastAsia="sk-SK"/>
              </w:rPr>
              <w:t>nad 1 659,70 eur</w:t>
            </w:r>
          </w:p>
        </w:tc>
        <w:tc>
          <w:tcPr>
            <w:tcW w:w="992" w:type="dxa"/>
            <w:tcBorders>
              <w:top w:val="nil"/>
              <w:left w:val="nil"/>
              <w:bottom w:val="nil"/>
              <w:right w:val="nil"/>
            </w:tcBorders>
            <w:shd w:val="clear" w:color="000000" w:fill="FFFFFF"/>
            <w:vAlign w:val="center"/>
          </w:tcPr>
          <w:p w14:paraId="39374404" w14:textId="6C6ECF3F" w:rsidR="00285B72" w:rsidRPr="00AB28DA" w:rsidRDefault="00285B72" w:rsidP="00285B72">
            <w:pPr>
              <w:spacing w:after="0" w:line="240" w:lineRule="auto"/>
              <w:jc w:val="right"/>
              <w:rPr>
                <w:rFonts w:eastAsia="Times New Roman" w:cs="Times New Roman"/>
                <w:color w:val="000000"/>
                <w:sz w:val="20"/>
                <w:lang w:eastAsia="sk-SK"/>
              </w:rPr>
            </w:pPr>
            <w:r w:rsidRPr="00AB28DA">
              <w:rPr>
                <w:rFonts w:eastAsia="Times New Roman" w:cs="Times New Roman"/>
                <w:color w:val="000000"/>
                <w:sz w:val="20"/>
                <w:lang w:eastAsia="sk-SK"/>
              </w:rPr>
              <w:t>95% (</w:t>
            </w:r>
            <w:r w:rsidRPr="00127A8F">
              <w:rPr>
                <w:rFonts w:eastAsia="Times New Roman" w:cs="Times New Roman"/>
                <w:color w:val="5B9BD5" w:themeColor="accent1"/>
                <w:sz w:val="20"/>
                <w:lang w:eastAsia="sk-SK"/>
              </w:rPr>
              <w:t>98%</w:t>
            </w:r>
            <w:r w:rsidRPr="00AB28DA">
              <w:rPr>
                <w:rFonts w:eastAsia="Times New Roman" w:cs="Times New Roman"/>
                <w:color w:val="000000"/>
                <w:sz w:val="20"/>
                <w:lang w:eastAsia="sk-SK"/>
              </w:rPr>
              <w:t>)</w:t>
            </w:r>
          </w:p>
        </w:tc>
        <w:tc>
          <w:tcPr>
            <w:tcW w:w="992" w:type="dxa"/>
            <w:tcBorders>
              <w:top w:val="nil"/>
              <w:left w:val="nil"/>
              <w:bottom w:val="nil"/>
              <w:right w:val="nil"/>
            </w:tcBorders>
            <w:shd w:val="clear" w:color="000000" w:fill="FFFFFF"/>
            <w:vAlign w:val="center"/>
            <w:hideMark/>
          </w:tcPr>
          <w:p w14:paraId="4D417CEB" w14:textId="325D1D3C" w:rsidR="00285B72" w:rsidRPr="00AB28DA" w:rsidRDefault="00285B72" w:rsidP="00285B72">
            <w:pPr>
              <w:spacing w:after="0" w:line="240" w:lineRule="auto"/>
              <w:jc w:val="right"/>
              <w:rPr>
                <w:rFonts w:eastAsia="Times New Roman" w:cs="Times New Roman"/>
                <w:color w:val="000000"/>
                <w:sz w:val="20"/>
                <w:lang w:eastAsia="sk-SK"/>
              </w:rPr>
            </w:pPr>
            <w:r w:rsidRPr="00AB28DA">
              <w:rPr>
                <w:rFonts w:eastAsia="Times New Roman" w:cs="Times New Roman"/>
                <w:color w:val="000000"/>
                <w:sz w:val="20"/>
                <w:lang w:eastAsia="sk-SK"/>
              </w:rPr>
              <w:t>95%</w:t>
            </w:r>
          </w:p>
        </w:tc>
        <w:tc>
          <w:tcPr>
            <w:tcW w:w="992" w:type="dxa"/>
            <w:tcBorders>
              <w:top w:val="nil"/>
              <w:left w:val="nil"/>
              <w:bottom w:val="nil"/>
              <w:right w:val="nil"/>
            </w:tcBorders>
            <w:shd w:val="clear" w:color="000000" w:fill="FFFFFF"/>
            <w:vAlign w:val="center"/>
            <w:hideMark/>
          </w:tcPr>
          <w:p w14:paraId="64621125" w14:textId="77777777" w:rsidR="00285B72" w:rsidRPr="00AB28DA" w:rsidRDefault="00285B72" w:rsidP="00285B72">
            <w:pPr>
              <w:spacing w:after="0" w:line="240" w:lineRule="auto"/>
              <w:jc w:val="right"/>
              <w:rPr>
                <w:rFonts w:eastAsia="Times New Roman" w:cs="Times New Roman"/>
                <w:color w:val="000000"/>
                <w:sz w:val="20"/>
                <w:lang w:eastAsia="sk-SK"/>
              </w:rPr>
            </w:pPr>
            <w:r w:rsidRPr="00AB28DA">
              <w:rPr>
                <w:rFonts w:eastAsia="Times New Roman" w:cs="Times New Roman"/>
                <w:color w:val="000000"/>
                <w:sz w:val="20"/>
                <w:lang w:eastAsia="sk-SK"/>
              </w:rPr>
              <w:t>90%</w:t>
            </w:r>
          </w:p>
        </w:tc>
        <w:tc>
          <w:tcPr>
            <w:tcW w:w="992" w:type="dxa"/>
            <w:tcBorders>
              <w:top w:val="nil"/>
              <w:left w:val="nil"/>
              <w:bottom w:val="nil"/>
              <w:right w:val="nil"/>
            </w:tcBorders>
            <w:shd w:val="clear" w:color="000000" w:fill="FFFFFF"/>
            <w:vAlign w:val="center"/>
            <w:hideMark/>
          </w:tcPr>
          <w:p w14:paraId="2138A71D" w14:textId="77777777" w:rsidR="00285B72" w:rsidRPr="00AB28DA" w:rsidRDefault="00285B72" w:rsidP="00285B72">
            <w:pPr>
              <w:spacing w:after="0" w:line="240" w:lineRule="auto"/>
              <w:jc w:val="right"/>
              <w:rPr>
                <w:rFonts w:eastAsia="Times New Roman" w:cs="Times New Roman"/>
                <w:color w:val="000000"/>
                <w:sz w:val="20"/>
                <w:lang w:eastAsia="sk-SK"/>
              </w:rPr>
            </w:pPr>
            <w:r w:rsidRPr="00AB28DA">
              <w:rPr>
                <w:rFonts w:eastAsia="Times New Roman" w:cs="Times New Roman"/>
                <w:color w:val="000000"/>
                <w:sz w:val="20"/>
                <w:lang w:eastAsia="sk-SK"/>
              </w:rPr>
              <w:t>80%</w:t>
            </w:r>
          </w:p>
        </w:tc>
        <w:tc>
          <w:tcPr>
            <w:tcW w:w="993" w:type="dxa"/>
            <w:tcBorders>
              <w:top w:val="nil"/>
              <w:left w:val="nil"/>
              <w:bottom w:val="nil"/>
              <w:right w:val="nil"/>
            </w:tcBorders>
            <w:shd w:val="clear" w:color="000000" w:fill="FFFFFF"/>
            <w:vAlign w:val="center"/>
            <w:hideMark/>
          </w:tcPr>
          <w:p w14:paraId="156FC1E1" w14:textId="77777777" w:rsidR="00285B72" w:rsidRPr="00AB28DA" w:rsidRDefault="00285B72" w:rsidP="00285B72">
            <w:pPr>
              <w:spacing w:after="0" w:line="240" w:lineRule="auto"/>
              <w:jc w:val="right"/>
              <w:rPr>
                <w:rFonts w:eastAsia="Times New Roman" w:cs="Times New Roman"/>
                <w:color w:val="000000"/>
                <w:sz w:val="20"/>
                <w:lang w:eastAsia="sk-SK"/>
              </w:rPr>
            </w:pPr>
            <w:r w:rsidRPr="00AB28DA">
              <w:rPr>
                <w:rFonts w:eastAsia="Times New Roman" w:cs="Times New Roman"/>
                <w:color w:val="000000"/>
                <w:sz w:val="20"/>
                <w:lang w:eastAsia="sk-SK"/>
              </w:rPr>
              <w:t>70%</w:t>
            </w:r>
          </w:p>
        </w:tc>
      </w:tr>
      <w:tr w:rsidR="00285B72" w:rsidRPr="00AB28DA" w14:paraId="73608209" w14:textId="77777777" w:rsidTr="00285B72">
        <w:trPr>
          <w:trHeight w:val="255"/>
        </w:trPr>
        <w:tc>
          <w:tcPr>
            <w:tcW w:w="4111" w:type="dxa"/>
            <w:tcBorders>
              <w:top w:val="nil"/>
              <w:left w:val="nil"/>
              <w:bottom w:val="nil"/>
              <w:right w:val="nil"/>
            </w:tcBorders>
            <w:shd w:val="clear" w:color="000000" w:fill="FFFFFF"/>
            <w:noWrap/>
            <w:vAlign w:val="center"/>
          </w:tcPr>
          <w:p w14:paraId="12FB0F1D" w14:textId="58698B4E" w:rsidR="00285B72" w:rsidRPr="00AB28DA" w:rsidRDefault="00285B72" w:rsidP="00285B72">
            <w:pPr>
              <w:spacing w:after="0" w:line="240" w:lineRule="auto"/>
              <w:jc w:val="left"/>
              <w:rPr>
                <w:rFonts w:eastAsia="Times New Roman" w:cs="Times New Roman"/>
                <w:b/>
                <w:bCs/>
                <w:color w:val="000000"/>
                <w:sz w:val="20"/>
                <w:lang w:eastAsia="sk-SK"/>
              </w:rPr>
            </w:pPr>
            <w:r w:rsidRPr="00AB28DA">
              <w:rPr>
                <w:rFonts w:eastAsia="Times New Roman" w:cs="Times New Roman"/>
                <w:b/>
                <w:bCs/>
                <w:color w:val="000000"/>
                <w:sz w:val="20"/>
                <w:lang w:eastAsia="sk-SK"/>
              </w:rPr>
              <w:t>Zdvíhacie zariadenie</w:t>
            </w:r>
          </w:p>
        </w:tc>
        <w:tc>
          <w:tcPr>
            <w:tcW w:w="992" w:type="dxa"/>
            <w:tcBorders>
              <w:top w:val="nil"/>
              <w:left w:val="nil"/>
              <w:bottom w:val="nil"/>
              <w:right w:val="nil"/>
            </w:tcBorders>
            <w:shd w:val="clear" w:color="000000" w:fill="FFFFFF"/>
            <w:vAlign w:val="center"/>
          </w:tcPr>
          <w:p w14:paraId="447F7532" w14:textId="22EB558A" w:rsidR="00285B72" w:rsidRPr="00AB28DA" w:rsidRDefault="00285B72" w:rsidP="00285B72">
            <w:pPr>
              <w:spacing w:after="0" w:line="240" w:lineRule="auto"/>
              <w:jc w:val="right"/>
              <w:rPr>
                <w:rFonts w:eastAsia="Times New Roman" w:cs="Times New Roman"/>
                <w:color w:val="000000"/>
                <w:sz w:val="20"/>
                <w:lang w:eastAsia="sk-SK"/>
              </w:rPr>
            </w:pPr>
            <w:r w:rsidRPr="00AB28DA">
              <w:rPr>
                <w:rFonts w:eastAsia="Times New Roman" w:cs="Times New Roman"/>
                <w:color w:val="000000"/>
                <w:sz w:val="20"/>
                <w:lang w:eastAsia="sk-SK"/>
              </w:rPr>
              <w:t>95% (</w:t>
            </w:r>
            <w:r w:rsidRPr="00127A8F">
              <w:rPr>
                <w:rFonts w:eastAsia="Times New Roman" w:cs="Times New Roman"/>
                <w:color w:val="5B9BD5" w:themeColor="accent1"/>
                <w:sz w:val="20"/>
                <w:lang w:eastAsia="sk-SK"/>
              </w:rPr>
              <w:t>98%</w:t>
            </w:r>
            <w:r w:rsidRPr="00AB28DA">
              <w:rPr>
                <w:rFonts w:eastAsia="Times New Roman" w:cs="Times New Roman"/>
                <w:color w:val="000000"/>
                <w:sz w:val="20"/>
                <w:lang w:eastAsia="sk-SK"/>
              </w:rPr>
              <w:t>)</w:t>
            </w:r>
          </w:p>
        </w:tc>
        <w:tc>
          <w:tcPr>
            <w:tcW w:w="992" w:type="dxa"/>
            <w:tcBorders>
              <w:top w:val="nil"/>
              <w:left w:val="nil"/>
              <w:bottom w:val="nil"/>
              <w:right w:val="nil"/>
            </w:tcBorders>
            <w:shd w:val="clear" w:color="000000" w:fill="FFFFFF"/>
            <w:vAlign w:val="center"/>
          </w:tcPr>
          <w:p w14:paraId="68BFD8B4" w14:textId="6E5B89F5" w:rsidR="00285B72" w:rsidRPr="00AB28DA" w:rsidRDefault="00285B72" w:rsidP="00285B72">
            <w:pPr>
              <w:spacing w:after="0" w:line="240" w:lineRule="auto"/>
              <w:jc w:val="right"/>
              <w:rPr>
                <w:rFonts w:eastAsia="Times New Roman" w:cs="Times New Roman"/>
                <w:color w:val="000000"/>
                <w:sz w:val="20"/>
                <w:lang w:eastAsia="sk-SK"/>
              </w:rPr>
            </w:pPr>
            <w:r w:rsidRPr="00AB28DA">
              <w:rPr>
                <w:rFonts w:eastAsia="Times New Roman" w:cs="Times New Roman"/>
                <w:color w:val="000000"/>
                <w:sz w:val="20"/>
                <w:lang w:eastAsia="sk-SK"/>
              </w:rPr>
              <w:t>95%</w:t>
            </w:r>
          </w:p>
        </w:tc>
        <w:tc>
          <w:tcPr>
            <w:tcW w:w="992" w:type="dxa"/>
            <w:tcBorders>
              <w:top w:val="nil"/>
              <w:left w:val="nil"/>
              <w:bottom w:val="nil"/>
              <w:right w:val="nil"/>
            </w:tcBorders>
            <w:shd w:val="clear" w:color="000000" w:fill="FFFFFF"/>
            <w:vAlign w:val="center"/>
          </w:tcPr>
          <w:p w14:paraId="22E94D8E" w14:textId="413BC97D" w:rsidR="00285B72" w:rsidRPr="00AB28DA" w:rsidRDefault="00285B72" w:rsidP="00285B72">
            <w:pPr>
              <w:spacing w:after="0" w:line="240" w:lineRule="auto"/>
              <w:jc w:val="right"/>
              <w:rPr>
                <w:rFonts w:eastAsia="Times New Roman" w:cs="Times New Roman"/>
                <w:color w:val="000000"/>
                <w:sz w:val="20"/>
                <w:lang w:eastAsia="sk-SK"/>
              </w:rPr>
            </w:pPr>
            <w:r w:rsidRPr="00AB28DA">
              <w:rPr>
                <w:rFonts w:eastAsia="Times New Roman" w:cs="Times New Roman"/>
                <w:color w:val="000000"/>
                <w:sz w:val="20"/>
                <w:lang w:eastAsia="sk-SK"/>
              </w:rPr>
              <w:t>90%</w:t>
            </w:r>
          </w:p>
        </w:tc>
        <w:tc>
          <w:tcPr>
            <w:tcW w:w="992" w:type="dxa"/>
            <w:tcBorders>
              <w:top w:val="nil"/>
              <w:left w:val="nil"/>
              <w:bottom w:val="nil"/>
              <w:right w:val="nil"/>
            </w:tcBorders>
            <w:shd w:val="clear" w:color="000000" w:fill="FFFFFF"/>
            <w:vAlign w:val="center"/>
          </w:tcPr>
          <w:p w14:paraId="6B510418" w14:textId="2BB6545B" w:rsidR="00285B72" w:rsidRPr="00AB28DA" w:rsidRDefault="00285B72" w:rsidP="00285B72">
            <w:pPr>
              <w:spacing w:after="0" w:line="240" w:lineRule="auto"/>
              <w:jc w:val="right"/>
              <w:rPr>
                <w:rFonts w:eastAsia="Times New Roman" w:cs="Times New Roman"/>
                <w:color w:val="000000"/>
                <w:sz w:val="20"/>
                <w:lang w:eastAsia="sk-SK"/>
              </w:rPr>
            </w:pPr>
            <w:r w:rsidRPr="00AB28DA">
              <w:rPr>
                <w:rFonts w:eastAsia="Times New Roman" w:cs="Times New Roman"/>
                <w:color w:val="000000"/>
                <w:sz w:val="20"/>
                <w:lang w:eastAsia="sk-SK"/>
              </w:rPr>
              <w:t>80%</w:t>
            </w:r>
            <w:r w:rsidR="00610F39" w:rsidRPr="00AB28DA">
              <w:rPr>
                <w:rFonts w:eastAsia="Times New Roman" w:cs="Times New Roman"/>
                <w:color w:val="000000"/>
                <w:sz w:val="20"/>
                <w:lang w:eastAsia="sk-SK"/>
              </w:rPr>
              <w:t xml:space="preserve"> (</w:t>
            </w:r>
            <w:r w:rsidR="00610F39" w:rsidRPr="00127A8F">
              <w:rPr>
                <w:rFonts w:eastAsia="Times New Roman" w:cs="Times New Roman"/>
                <w:color w:val="5B9BD5" w:themeColor="accent1"/>
                <w:sz w:val="20"/>
                <w:lang w:eastAsia="sk-SK"/>
              </w:rPr>
              <w:t>85%</w:t>
            </w:r>
            <w:r w:rsidR="00610F39" w:rsidRPr="00AB28DA">
              <w:rPr>
                <w:rFonts w:eastAsia="Times New Roman" w:cs="Times New Roman"/>
                <w:color w:val="000000"/>
                <w:sz w:val="20"/>
                <w:lang w:eastAsia="sk-SK"/>
              </w:rPr>
              <w:t>)</w:t>
            </w:r>
          </w:p>
        </w:tc>
        <w:tc>
          <w:tcPr>
            <w:tcW w:w="993" w:type="dxa"/>
            <w:tcBorders>
              <w:top w:val="nil"/>
              <w:left w:val="nil"/>
              <w:bottom w:val="nil"/>
              <w:right w:val="nil"/>
            </w:tcBorders>
            <w:shd w:val="clear" w:color="000000" w:fill="FFFFFF"/>
            <w:vAlign w:val="center"/>
          </w:tcPr>
          <w:p w14:paraId="1E16FFD0" w14:textId="0CCF03D3" w:rsidR="00285B72" w:rsidRPr="00AB28DA" w:rsidRDefault="00285B72" w:rsidP="00285B72">
            <w:pPr>
              <w:spacing w:after="0" w:line="240" w:lineRule="auto"/>
              <w:jc w:val="right"/>
              <w:rPr>
                <w:rFonts w:eastAsia="Times New Roman" w:cs="Times New Roman"/>
                <w:color w:val="000000"/>
                <w:sz w:val="20"/>
                <w:lang w:eastAsia="sk-SK"/>
              </w:rPr>
            </w:pPr>
            <w:r w:rsidRPr="00AB28DA">
              <w:rPr>
                <w:rFonts w:eastAsia="Times New Roman" w:cs="Times New Roman"/>
                <w:color w:val="000000"/>
                <w:sz w:val="20"/>
                <w:lang w:eastAsia="sk-SK"/>
              </w:rPr>
              <w:t>70%</w:t>
            </w:r>
            <w:r w:rsidR="00610F39" w:rsidRPr="00AB28DA">
              <w:rPr>
                <w:rFonts w:eastAsia="Times New Roman" w:cs="Times New Roman"/>
                <w:color w:val="000000"/>
                <w:sz w:val="20"/>
                <w:lang w:eastAsia="sk-SK"/>
              </w:rPr>
              <w:t xml:space="preserve"> (</w:t>
            </w:r>
            <w:r w:rsidR="00610F39" w:rsidRPr="00127A8F">
              <w:rPr>
                <w:rFonts w:eastAsia="Times New Roman" w:cs="Times New Roman"/>
                <w:color w:val="5B9BD5" w:themeColor="accent1"/>
                <w:sz w:val="20"/>
                <w:lang w:eastAsia="sk-SK"/>
              </w:rPr>
              <w:t>80%</w:t>
            </w:r>
            <w:r w:rsidR="00610F39" w:rsidRPr="00AB28DA">
              <w:rPr>
                <w:rFonts w:eastAsia="Times New Roman" w:cs="Times New Roman"/>
                <w:color w:val="000000"/>
                <w:sz w:val="20"/>
                <w:lang w:eastAsia="sk-SK"/>
              </w:rPr>
              <w:t>)</w:t>
            </w:r>
          </w:p>
        </w:tc>
      </w:tr>
      <w:tr w:rsidR="00285B72" w:rsidRPr="00AB28DA" w14:paraId="23399E1D" w14:textId="77777777" w:rsidTr="00CE4B44">
        <w:trPr>
          <w:trHeight w:val="255"/>
        </w:trPr>
        <w:tc>
          <w:tcPr>
            <w:tcW w:w="4111" w:type="dxa"/>
            <w:tcBorders>
              <w:top w:val="nil"/>
              <w:left w:val="nil"/>
              <w:bottom w:val="nil"/>
              <w:right w:val="nil"/>
            </w:tcBorders>
            <w:shd w:val="clear" w:color="000000" w:fill="FFFFFF"/>
            <w:noWrap/>
            <w:vAlign w:val="center"/>
            <w:hideMark/>
          </w:tcPr>
          <w:p w14:paraId="34C76F60" w14:textId="77777777" w:rsidR="00285B72" w:rsidRPr="00AB28DA" w:rsidRDefault="00285B72" w:rsidP="00285B72">
            <w:pPr>
              <w:spacing w:after="0" w:line="240" w:lineRule="auto"/>
              <w:jc w:val="left"/>
              <w:rPr>
                <w:rFonts w:eastAsia="Times New Roman" w:cs="Times New Roman"/>
                <w:b/>
                <w:bCs/>
                <w:color w:val="000000"/>
                <w:sz w:val="20"/>
                <w:lang w:eastAsia="sk-SK"/>
              </w:rPr>
            </w:pPr>
            <w:r w:rsidRPr="00AB28DA">
              <w:rPr>
                <w:rFonts w:eastAsia="Times New Roman" w:cs="Times New Roman"/>
                <w:b/>
                <w:bCs/>
                <w:color w:val="000000"/>
                <w:sz w:val="20"/>
                <w:lang w:eastAsia="sk-SK"/>
              </w:rPr>
              <w:t>Pes so špeciálnym výcvikom</w:t>
            </w:r>
          </w:p>
        </w:tc>
        <w:tc>
          <w:tcPr>
            <w:tcW w:w="992" w:type="dxa"/>
            <w:tcBorders>
              <w:top w:val="nil"/>
              <w:left w:val="nil"/>
              <w:bottom w:val="nil"/>
              <w:right w:val="nil"/>
            </w:tcBorders>
            <w:shd w:val="clear" w:color="000000" w:fill="FFFFFF"/>
            <w:vAlign w:val="center"/>
          </w:tcPr>
          <w:p w14:paraId="6032C19F" w14:textId="5E772DEE" w:rsidR="00285B72" w:rsidRPr="00AB28DA" w:rsidRDefault="00285B72" w:rsidP="00285B72">
            <w:pPr>
              <w:spacing w:after="0" w:line="240" w:lineRule="auto"/>
              <w:jc w:val="right"/>
              <w:rPr>
                <w:rFonts w:eastAsia="Times New Roman" w:cs="Times New Roman"/>
                <w:color w:val="000000"/>
                <w:sz w:val="20"/>
                <w:lang w:eastAsia="sk-SK"/>
              </w:rPr>
            </w:pPr>
            <w:r w:rsidRPr="00AB28DA">
              <w:rPr>
                <w:rFonts w:eastAsia="Times New Roman" w:cs="Times New Roman"/>
                <w:color w:val="000000"/>
                <w:sz w:val="20"/>
                <w:lang w:eastAsia="sk-SK"/>
              </w:rPr>
              <w:t>100%</w:t>
            </w:r>
          </w:p>
        </w:tc>
        <w:tc>
          <w:tcPr>
            <w:tcW w:w="992" w:type="dxa"/>
            <w:tcBorders>
              <w:top w:val="nil"/>
              <w:left w:val="nil"/>
              <w:bottom w:val="nil"/>
              <w:right w:val="nil"/>
            </w:tcBorders>
            <w:shd w:val="clear" w:color="000000" w:fill="FFFFFF"/>
            <w:vAlign w:val="center"/>
            <w:hideMark/>
          </w:tcPr>
          <w:p w14:paraId="62089435" w14:textId="1839104B" w:rsidR="00285B72" w:rsidRPr="00AB28DA" w:rsidRDefault="00285B72" w:rsidP="00285B72">
            <w:pPr>
              <w:spacing w:after="0" w:line="240" w:lineRule="auto"/>
              <w:jc w:val="right"/>
              <w:rPr>
                <w:rFonts w:eastAsia="Times New Roman" w:cs="Times New Roman"/>
                <w:color w:val="000000"/>
                <w:sz w:val="20"/>
                <w:lang w:eastAsia="sk-SK"/>
              </w:rPr>
            </w:pPr>
            <w:r w:rsidRPr="00AB28DA">
              <w:rPr>
                <w:rFonts w:eastAsia="Times New Roman" w:cs="Times New Roman"/>
                <w:color w:val="000000"/>
                <w:sz w:val="20"/>
                <w:lang w:eastAsia="sk-SK"/>
              </w:rPr>
              <w:t>100%</w:t>
            </w:r>
          </w:p>
        </w:tc>
        <w:tc>
          <w:tcPr>
            <w:tcW w:w="992" w:type="dxa"/>
            <w:tcBorders>
              <w:top w:val="nil"/>
              <w:left w:val="nil"/>
              <w:bottom w:val="nil"/>
              <w:right w:val="nil"/>
            </w:tcBorders>
            <w:shd w:val="clear" w:color="000000" w:fill="FFFFFF"/>
            <w:vAlign w:val="center"/>
            <w:hideMark/>
          </w:tcPr>
          <w:p w14:paraId="7E2AA964" w14:textId="77777777" w:rsidR="00285B72" w:rsidRPr="00AB28DA" w:rsidRDefault="00285B72" w:rsidP="00285B72">
            <w:pPr>
              <w:spacing w:after="0" w:line="240" w:lineRule="auto"/>
              <w:jc w:val="right"/>
              <w:rPr>
                <w:rFonts w:eastAsia="Times New Roman" w:cs="Times New Roman"/>
                <w:color w:val="000000"/>
                <w:sz w:val="20"/>
                <w:lang w:eastAsia="sk-SK"/>
              </w:rPr>
            </w:pPr>
            <w:r w:rsidRPr="00AB28DA">
              <w:rPr>
                <w:rFonts w:eastAsia="Times New Roman" w:cs="Times New Roman"/>
                <w:color w:val="000000"/>
                <w:sz w:val="20"/>
                <w:lang w:eastAsia="sk-SK"/>
              </w:rPr>
              <w:t>95%</w:t>
            </w:r>
          </w:p>
        </w:tc>
        <w:tc>
          <w:tcPr>
            <w:tcW w:w="992" w:type="dxa"/>
            <w:tcBorders>
              <w:top w:val="nil"/>
              <w:left w:val="nil"/>
              <w:bottom w:val="nil"/>
              <w:right w:val="nil"/>
            </w:tcBorders>
            <w:shd w:val="clear" w:color="000000" w:fill="FFFFFF"/>
            <w:vAlign w:val="center"/>
            <w:hideMark/>
          </w:tcPr>
          <w:p w14:paraId="45B14FFF" w14:textId="77777777" w:rsidR="00285B72" w:rsidRPr="00AB28DA" w:rsidRDefault="00285B72" w:rsidP="00285B72">
            <w:pPr>
              <w:spacing w:after="0" w:line="240" w:lineRule="auto"/>
              <w:jc w:val="right"/>
              <w:rPr>
                <w:rFonts w:eastAsia="Times New Roman" w:cs="Times New Roman"/>
                <w:color w:val="000000"/>
                <w:sz w:val="20"/>
                <w:lang w:eastAsia="sk-SK"/>
              </w:rPr>
            </w:pPr>
            <w:r w:rsidRPr="00AB28DA">
              <w:rPr>
                <w:rFonts w:eastAsia="Times New Roman" w:cs="Times New Roman"/>
                <w:color w:val="000000"/>
                <w:sz w:val="20"/>
                <w:lang w:eastAsia="sk-SK"/>
              </w:rPr>
              <w:t>90%</w:t>
            </w:r>
          </w:p>
        </w:tc>
        <w:tc>
          <w:tcPr>
            <w:tcW w:w="993" w:type="dxa"/>
            <w:tcBorders>
              <w:top w:val="nil"/>
              <w:left w:val="nil"/>
              <w:bottom w:val="nil"/>
              <w:right w:val="nil"/>
            </w:tcBorders>
            <w:shd w:val="clear" w:color="000000" w:fill="FFFFFF"/>
            <w:vAlign w:val="center"/>
            <w:hideMark/>
          </w:tcPr>
          <w:p w14:paraId="3E56CE6A" w14:textId="77777777" w:rsidR="00285B72" w:rsidRPr="00AB28DA" w:rsidRDefault="00285B72" w:rsidP="00285B72">
            <w:pPr>
              <w:spacing w:after="0" w:line="240" w:lineRule="auto"/>
              <w:jc w:val="right"/>
              <w:rPr>
                <w:rFonts w:eastAsia="Times New Roman" w:cs="Times New Roman"/>
                <w:color w:val="000000"/>
                <w:sz w:val="20"/>
                <w:lang w:eastAsia="sk-SK"/>
              </w:rPr>
            </w:pPr>
            <w:r w:rsidRPr="00AB28DA">
              <w:rPr>
                <w:rFonts w:eastAsia="Times New Roman" w:cs="Times New Roman"/>
                <w:color w:val="000000"/>
                <w:sz w:val="20"/>
                <w:lang w:eastAsia="sk-SK"/>
              </w:rPr>
              <w:t>80%</w:t>
            </w:r>
          </w:p>
        </w:tc>
      </w:tr>
      <w:tr w:rsidR="00285B72" w:rsidRPr="00AB28DA" w14:paraId="59EA1BAA" w14:textId="77777777" w:rsidTr="00CE4B44">
        <w:trPr>
          <w:trHeight w:val="255"/>
        </w:trPr>
        <w:tc>
          <w:tcPr>
            <w:tcW w:w="4111" w:type="dxa"/>
            <w:tcBorders>
              <w:top w:val="nil"/>
              <w:left w:val="nil"/>
              <w:bottom w:val="nil"/>
              <w:right w:val="nil"/>
            </w:tcBorders>
            <w:shd w:val="clear" w:color="000000" w:fill="FFFFFF"/>
            <w:noWrap/>
            <w:vAlign w:val="center"/>
            <w:hideMark/>
          </w:tcPr>
          <w:p w14:paraId="74737DB2" w14:textId="77777777" w:rsidR="00285B72" w:rsidRPr="00AB28DA" w:rsidRDefault="00285B72" w:rsidP="00285B72">
            <w:pPr>
              <w:spacing w:after="0" w:line="240" w:lineRule="auto"/>
              <w:jc w:val="left"/>
              <w:rPr>
                <w:rFonts w:eastAsia="Times New Roman" w:cs="Times New Roman"/>
                <w:b/>
                <w:bCs/>
                <w:color w:val="000000"/>
                <w:sz w:val="20"/>
                <w:lang w:eastAsia="sk-SK"/>
              </w:rPr>
            </w:pPr>
            <w:r w:rsidRPr="00AB28DA">
              <w:rPr>
                <w:rFonts w:eastAsia="Times New Roman" w:cs="Times New Roman"/>
                <w:b/>
                <w:bCs/>
                <w:color w:val="000000"/>
                <w:sz w:val="20"/>
                <w:lang w:eastAsia="sk-SK"/>
              </w:rPr>
              <w:t>Oprava pomôcky</w:t>
            </w:r>
          </w:p>
        </w:tc>
        <w:tc>
          <w:tcPr>
            <w:tcW w:w="992" w:type="dxa"/>
            <w:tcBorders>
              <w:top w:val="nil"/>
              <w:left w:val="nil"/>
              <w:bottom w:val="nil"/>
              <w:right w:val="nil"/>
            </w:tcBorders>
            <w:shd w:val="clear" w:color="000000" w:fill="FFFFFF"/>
            <w:vAlign w:val="center"/>
          </w:tcPr>
          <w:p w14:paraId="684A69D0" w14:textId="1D29EEC3" w:rsidR="00285B72" w:rsidRPr="00AB28DA" w:rsidRDefault="00285B72" w:rsidP="00285B72">
            <w:pPr>
              <w:spacing w:after="0" w:line="240" w:lineRule="auto"/>
              <w:jc w:val="left"/>
              <w:rPr>
                <w:rFonts w:eastAsia="Times New Roman" w:cs="Times New Roman"/>
                <w:color w:val="000000"/>
                <w:sz w:val="20"/>
                <w:lang w:eastAsia="sk-SK"/>
              </w:rPr>
            </w:pPr>
            <w:r w:rsidRPr="00AB28DA">
              <w:rPr>
                <w:rFonts w:eastAsia="Times New Roman" w:cs="Times New Roman"/>
                <w:color w:val="000000"/>
                <w:sz w:val="20"/>
                <w:lang w:eastAsia="sk-SK"/>
              </w:rPr>
              <w:t> </w:t>
            </w:r>
          </w:p>
        </w:tc>
        <w:tc>
          <w:tcPr>
            <w:tcW w:w="992" w:type="dxa"/>
            <w:tcBorders>
              <w:top w:val="nil"/>
              <w:left w:val="nil"/>
              <w:bottom w:val="nil"/>
              <w:right w:val="nil"/>
            </w:tcBorders>
            <w:shd w:val="clear" w:color="000000" w:fill="FFFFFF"/>
            <w:noWrap/>
            <w:vAlign w:val="center"/>
            <w:hideMark/>
          </w:tcPr>
          <w:p w14:paraId="0DAA1A97" w14:textId="163AC954" w:rsidR="00285B72" w:rsidRPr="00AB28DA" w:rsidRDefault="00285B72" w:rsidP="00285B72">
            <w:pPr>
              <w:spacing w:after="0" w:line="240" w:lineRule="auto"/>
              <w:jc w:val="left"/>
              <w:rPr>
                <w:rFonts w:eastAsia="Times New Roman" w:cs="Times New Roman"/>
                <w:color w:val="000000"/>
                <w:sz w:val="20"/>
                <w:lang w:eastAsia="sk-SK"/>
              </w:rPr>
            </w:pPr>
            <w:r w:rsidRPr="00AB28DA">
              <w:rPr>
                <w:rFonts w:eastAsia="Times New Roman" w:cs="Times New Roman"/>
                <w:color w:val="000000"/>
                <w:sz w:val="20"/>
                <w:lang w:eastAsia="sk-SK"/>
              </w:rPr>
              <w:t> </w:t>
            </w:r>
          </w:p>
        </w:tc>
        <w:tc>
          <w:tcPr>
            <w:tcW w:w="992" w:type="dxa"/>
            <w:tcBorders>
              <w:top w:val="nil"/>
              <w:left w:val="nil"/>
              <w:bottom w:val="nil"/>
              <w:right w:val="nil"/>
            </w:tcBorders>
            <w:shd w:val="clear" w:color="000000" w:fill="FFFFFF"/>
            <w:noWrap/>
            <w:vAlign w:val="center"/>
            <w:hideMark/>
          </w:tcPr>
          <w:p w14:paraId="51CACF52" w14:textId="77777777" w:rsidR="00285B72" w:rsidRPr="00AB28DA" w:rsidRDefault="00285B72" w:rsidP="00285B72">
            <w:pPr>
              <w:spacing w:after="0" w:line="240" w:lineRule="auto"/>
              <w:jc w:val="left"/>
              <w:rPr>
                <w:rFonts w:eastAsia="Times New Roman" w:cs="Times New Roman"/>
                <w:color w:val="000000"/>
                <w:sz w:val="20"/>
                <w:lang w:eastAsia="sk-SK"/>
              </w:rPr>
            </w:pPr>
            <w:r w:rsidRPr="00AB28DA">
              <w:rPr>
                <w:rFonts w:eastAsia="Times New Roman" w:cs="Times New Roman"/>
                <w:color w:val="000000"/>
                <w:sz w:val="20"/>
                <w:lang w:eastAsia="sk-SK"/>
              </w:rPr>
              <w:t> </w:t>
            </w:r>
          </w:p>
        </w:tc>
        <w:tc>
          <w:tcPr>
            <w:tcW w:w="992" w:type="dxa"/>
            <w:tcBorders>
              <w:top w:val="nil"/>
              <w:left w:val="nil"/>
              <w:bottom w:val="nil"/>
              <w:right w:val="nil"/>
            </w:tcBorders>
            <w:shd w:val="clear" w:color="000000" w:fill="FFFFFF"/>
            <w:noWrap/>
            <w:vAlign w:val="center"/>
            <w:hideMark/>
          </w:tcPr>
          <w:p w14:paraId="6C806D07" w14:textId="77777777" w:rsidR="00285B72" w:rsidRPr="00AB28DA" w:rsidRDefault="00285B72" w:rsidP="00285B72">
            <w:pPr>
              <w:spacing w:after="0" w:line="240" w:lineRule="auto"/>
              <w:jc w:val="left"/>
              <w:rPr>
                <w:rFonts w:eastAsia="Times New Roman" w:cs="Times New Roman"/>
                <w:color w:val="000000"/>
                <w:sz w:val="20"/>
                <w:lang w:eastAsia="sk-SK"/>
              </w:rPr>
            </w:pPr>
            <w:r w:rsidRPr="00AB28DA">
              <w:rPr>
                <w:rFonts w:eastAsia="Times New Roman" w:cs="Times New Roman"/>
                <w:color w:val="000000"/>
                <w:sz w:val="20"/>
                <w:lang w:eastAsia="sk-SK"/>
              </w:rPr>
              <w:t> </w:t>
            </w:r>
          </w:p>
        </w:tc>
        <w:tc>
          <w:tcPr>
            <w:tcW w:w="993" w:type="dxa"/>
            <w:tcBorders>
              <w:top w:val="nil"/>
              <w:left w:val="nil"/>
              <w:bottom w:val="nil"/>
              <w:right w:val="nil"/>
            </w:tcBorders>
            <w:shd w:val="clear" w:color="000000" w:fill="FFFFFF"/>
            <w:noWrap/>
            <w:vAlign w:val="center"/>
            <w:hideMark/>
          </w:tcPr>
          <w:p w14:paraId="15E3A97F" w14:textId="77777777" w:rsidR="00285B72" w:rsidRPr="00AB28DA" w:rsidRDefault="00285B72" w:rsidP="00285B72">
            <w:pPr>
              <w:spacing w:after="0" w:line="240" w:lineRule="auto"/>
              <w:jc w:val="left"/>
              <w:rPr>
                <w:rFonts w:eastAsia="Times New Roman" w:cs="Times New Roman"/>
                <w:color w:val="000000"/>
                <w:sz w:val="20"/>
                <w:lang w:eastAsia="sk-SK"/>
              </w:rPr>
            </w:pPr>
            <w:r w:rsidRPr="00AB28DA">
              <w:rPr>
                <w:rFonts w:eastAsia="Times New Roman" w:cs="Times New Roman"/>
                <w:color w:val="000000"/>
                <w:sz w:val="20"/>
                <w:lang w:eastAsia="sk-SK"/>
              </w:rPr>
              <w:t> </w:t>
            </w:r>
          </w:p>
        </w:tc>
      </w:tr>
      <w:tr w:rsidR="00285B72" w:rsidRPr="00AB28DA" w14:paraId="00673D63" w14:textId="77777777" w:rsidTr="00CE4B44">
        <w:trPr>
          <w:trHeight w:val="255"/>
        </w:trPr>
        <w:tc>
          <w:tcPr>
            <w:tcW w:w="4111" w:type="dxa"/>
            <w:tcBorders>
              <w:top w:val="nil"/>
              <w:left w:val="nil"/>
              <w:bottom w:val="nil"/>
              <w:right w:val="nil"/>
            </w:tcBorders>
            <w:shd w:val="clear" w:color="000000" w:fill="FFFFFF"/>
            <w:vAlign w:val="center"/>
            <w:hideMark/>
          </w:tcPr>
          <w:p w14:paraId="0534413F" w14:textId="24D9A63D" w:rsidR="00285B72" w:rsidRPr="00AB28DA" w:rsidRDefault="00285B72" w:rsidP="00285B72">
            <w:pPr>
              <w:spacing w:after="0" w:line="240" w:lineRule="auto"/>
              <w:ind w:firstLineChars="100" w:firstLine="200"/>
              <w:jc w:val="left"/>
              <w:rPr>
                <w:rFonts w:eastAsia="Times New Roman" w:cs="Times New Roman"/>
                <w:color w:val="000000"/>
                <w:sz w:val="20"/>
                <w:lang w:eastAsia="sk-SK"/>
              </w:rPr>
            </w:pPr>
            <w:r w:rsidRPr="00AB28DA">
              <w:rPr>
                <w:rFonts w:eastAsia="Times New Roman" w:cs="Times New Roman"/>
                <w:color w:val="000000"/>
                <w:sz w:val="20"/>
                <w:lang w:eastAsia="sk-SK"/>
              </w:rPr>
              <w:t>do 165,97 eur</w:t>
            </w:r>
          </w:p>
        </w:tc>
        <w:tc>
          <w:tcPr>
            <w:tcW w:w="992" w:type="dxa"/>
            <w:tcBorders>
              <w:top w:val="nil"/>
              <w:left w:val="nil"/>
              <w:bottom w:val="nil"/>
              <w:right w:val="nil"/>
            </w:tcBorders>
            <w:shd w:val="clear" w:color="000000" w:fill="FFFFFF"/>
            <w:vAlign w:val="center"/>
          </w:tcPr>
          <w:p w14:paraId="30782D2A" w14:textId="6CB96682" w:rsidR="00285B72" w:rsidRPr="00AB28DA" w:rsidRDefault="00285B72" w:rsidP="00285B72">
            <w:pPr>
              <w:spacing w:after="0" w:line="240" w:lineRule="auto"/>
              <w:jc w:val="right"/>
              <w:rPr>
                <w:rFonts w:eastAsia="Times New Roman" w:cs="Times New Roman"/>
                <w:color w:val="000000"/>
                <w:sz w:val="20"/>
                <w:lang w:eastAsia="sk-SK"/>
              </w:rPr>
            </w:pPr>
            <w:r w:rsidRPr="00AB28DA">
              <w:rPr>
                <w:rFonts w:eastAsia="Times New Roman" w:cs="Times New Roman"/>
                <w:color w:val="000000"/>
                <w:sz w:val="20"/>
                <w:lang w:eastAsia="sk-SK"/>
              </w:rPr>
              <w:t>95%</w:t>
            </w:r>
          </w:p>
        </w:tc>
        <w:tc>
          <w:tcPr>
            <w:tcW w:w="992" w:type="dxa"/>
            <w:tcBorders>
              <w:top w:val="nil"/>
              <w:left w:val="nil"/>
              <w:bottom w:val="nil"/>
              <w:right w:val="nil"/>
            </w:tcBorders>
            <w:shd w:val="clear" w:color="000000" w:fill="FFFFFF"/>
            <w:vAlign w:val="center"/>
            <w:hideMark/>
          </w:tcPr>
          <w:p w14:paraId="40B7C45C" w14:textId="09CA49A6" w:rsidR="00285B72" w:rsidRPr="00AB28DA" w:rsidRDefault="00285B72" w:rsidP="00285B72">
            <w:pPr>
              <w:spacing w:after="0" w:line="240" w:lineRule="auto"/>
              <w:jc w:val="right"/>
              <w:rPr>
                <w:rFonts w:eastAsia="Times New Roman" w:cs="Times New Roman"/>
                <w:color w:val="000000"/>
                <w:sz w:val="20"/>
                <w:lang w:eastAsia="sk-SK"/>
              </w:rPr>
            </w:pPr>
            <w:r w:rsidRPr="00AB28DA">
              <w:rPr>
                <w:rFonts w:eastAsia="Times New Roman" w:cs="Times New Roman"/>
                <w:color w:val="000000"/>
                <w:sz w:val="20"/>
                <w:lang w:eastAsia="sk-SK"/>
              </w:rPr>
              <w:t>95%</w:t>
            </w:r>
          </w:p>
        </w:tc>
        <w:tc>
          <w:tcPr>
            <w:tcW w:w="992" w:type="dxa"/>
            <w:tcBorders>
              <w:top w:val="nil"/>
              <w:left w:val="nil"/>
              <w:bottom w:val="nil"/>
              <w:right w:val="nil"/>
            </w:tcBorders>
            <w:shd w:val="clear" w:color="000000" w:fill="FFFFFF"/>
            <w:vAlign w:val="center"/>
            <w:hideMark/>
          </w:tcPr>
          <w:p w14:paraId="64F4D948" w14:textId="77777777" w:rsidR="00285B72" w:rsidRPr="00AB28DA" w:rsidRDefault="00285B72" w:rsidP="00285B72">
            <w:pPr>
              <w:spacing w:after="0" w:line="240" w:lineRule="auto"/>
              <w:jc w:val="right"/>
              <w:rPr>
                <w:rFonts w:eastAsia="Times New Roman" w:cs="Times New Roman"/>
                <w:color w:val="000000"/>
                <w:sz w:val="20"/>
                <w:lang w:eastAsia="sk-SK"/>
              </w:rPr>
            </w:pPr>
            <w:r w:rsidRPr="00AB28DA">
              <w:rPr>
                <w:rFonts w:eastAsia="Times New Roman" w:cs="Times New Roman"/>
                <w:color w:val="000000"/>
                <w:sz w:val="20"/>
                <w:lang w:eastAsia="sk-SK"/>
              </w:rPr>
              <w:t>50%</w:t>
            </w:r>
          </w:p>
        </w:tc>
        <w:tc>
          <w:tcPr>
            <w:tcW w:w="992" w:type="dxa"/>
            <w:tcBorders>
              <w:top w:val="nil"/>
              <w:left w:val="nil"/>
              <w:bottom w:val="nil"/>
              <w:right w:val="nil"/>
            </w:tcBorders>
            <w:shd w:val="clear" w:color="000000" w:fill="FFFFFF"/>
            <w:vAlign w:val="center"/>
            <w:hideMark/>
          </w:tcPr>
          <w:p w14:paraId="20409386" w14:textId="77777777" w:rsidR="00285B72" w:rsidRPr="00AB28DA" w:rsidRDefault="00285B72" w:rsidP="00285B72">
            <w:pPr>
              <w:spacing w:after="0" w:line="240" w:lineRule="auto"/>
              <w:jc w:val="right"/>
              <w:rPr>
                <w:rFonts w:eastAsia="Times New Roman" w:cs="Times New Roman"/>
                <w:color w:val="000000"/>
                <w:sz w:val="20"/>
                <w:lang w:eastAsia="sk-SK"/>
              </w:rPr>
            </w:pPr>
            <w:r w:rsidRPr="00AB28DA">
              <w:rPr>
                <w:rFonts w:eastAsia="Times New Roman" w:cs="Times New Roman"/>
                <w:color w:val="000000"/>
                <w:sz w:val="20"/>
                <w:lang w:eastAsia="sk-SK"/>
              </w:rPr>
              <w:t>0%</w:t>
            </w:r>
          </w:p>
        </w:tc>
        <w:tc>
          <w:tcPr>
            <w:tcW w:w="993" w:type="dxa"/>
            <w:tcBorders>
              <w:top w:val="nil"/>
              <w:left w:val="nil"/>
              <w:bottom w:val="nil"/>
              <w:right w:val="nil"/>
            </w:tcBorders>
            <w:shd w:val="clear" w:color="000000" w:fill="FFFFFF"/>
            <w:vAlign w:val="center"/>
            <w:hideMark/>
          </w:tcPr>
          <w:p w14:paraId="68683286" w14:textId="77777777" w:rsidR="00285B72" w:rsidRPr="00AB28DA" w:rsidRDefault="00285B72" w:rsidP="00285B72">
            <w:pPr>
              <w:spacing w:after="0" w:line="240" w:lineRule="auto"/>
              <w:jc w:val="right"/>
              <w:rPr>
                <w:rFonts w:eastAsia="Times New Roman" w:cs="Times New Roman"/>
                <w:color w:val="000000"/>
                <w:sz w:val="20"/>
                <w:lang w:eastAsia="sk-SK"/>
              </w:rPr>
            </w:pPr>
            <w:r w:rsidRPr="00AB28DA">
              <w:rPr>
                <w:rFonts w:eastAsia="Times New Roman" w:cs="Times New Roman"/>
                <w:color w:val="000000"/>
                <w:sz w:val="20"/>
                <w:lang w:eastAsia="sk-SK"/>
              </w:rPr>
              <w:t>0%</w:t>
            </w:r>
          </w:p>
        </w:tc>
      </w:tr>
      <w:tr w:rsidR="00285B72" w:rsidRPr="00AB28DA" w14:paraId="17349414" w14:textId="77777777" w:rsidTr="00CE4B44">
        <w:trPr>
          <w:trHeight w:val="255"/>
        </w:trPr>
        <w:tc>
          <w:tcPr>
            <w:tcW w:w="4111" w:type="dxa"/>
            <w:tcBorders>
              <w:top w:val="nil"/>
              <w:left w:val="nil"/>
              <w:bottom w:val="nil"/>
              <w:right w:val="nil"/>
            </w:tcBorders>
            <w:shd w:val="clear" w:color="000000" w:fill="FFFFFF"/>
            <w:vAlign w:val="center"/>
            <w:hideMark/>
          </w:tcPr>
          <w:p w14:paraId="13AAB85D" w14:textId="4CCB4089" w:rsidR="00285B72" w:rsidRPr="00AB28DA" w:rsidRDefault="00285B72" w:rsidP="00285B72">
            <w:pPr>
              <w:spacing w:after="0" w:line="240" w:lineRule="auto"/>
              <w:ind w:firstLineChars="100" w:firstLine="200"/>
              <w:jc w:val="left"/>
              <w:rPr>
                <w:rFonts w:eastAsia="Times New Roman" w:cs="Times New Roman"/>
                <w:color w:val="000000"/>
                <w:sz w:val="20"/>
                <w:lang w:eastAsia="sk-SK"/>
              </w:rPr>
            </w:pPr>
            <w:r w:rsidRPr="00AB28DA">
              <w:rPr>
                <w:rFonts w:eastAsia="Times New Roman" w:cs="Times New Roman"/>
                <w:color w:val="000000"/>
                <w:sz w:val="20"/>
                <w:lang w:eastAsia="sk-SK"/>
              </w:rPr>
              <w:t>do 331,94 eur</w:t>
            </w:r>
          </w:p>
        </w:tc>
        <w:tc>
          <w:tcPr>
            <w:tcW w:w="992" w:type="dxa"/>
            <w:tcBorders>
              <w:top w:val="nil"/>
              <w:left w:val="nil"/>
              <w:bottom w:val="nil"/>
              <w:right w:val="nil"/>
            </w:tcBorders>
            <w:shd w:val="clear" w:color="000000" w:fill="FFFFFF"/>
            <w:vAlign w:val="center"/>
          </w:tcPr>
          <w:p w14:paraId="1E742C2B" w14:textId="1F9E87DC" w:rsidR="00285B72" w:rsidRPr="00AB28DA" w:rsidRDefault="00285B72" w:rsidP="00285B72">
            <w:pPr>
              <w:spacing w:after="0" w:line="240" w:lineRule="auto"/>
              <w:jc w:val="right"/>
              <w:rPr>
                <w:rFonts w:eastAsia="Times New Roman" w:cs="Times New Roman"/>
                <w:color w:val="000000"/>
                <w:sz w:val="20"/>
                <w:lang w:eastAsia="sk-SK"/>
              </w:rPr>
            </w:pPr>
            <w:r w:rsidRPr="00AB28DA">
              <w:rPr>
                <w:rFonts w:eastAsia="Times New Roman" w:cs="Times New Roman"/>
                <w:color w:val="000000"/>
                <w:sz w:val="20"/>
                <w:lang w:eastAsia="sk-SK"/>
              </w:rPr>
              <w:t>95%</w:t>
            </w:r>
          </w:p>
        </w:tc>
        <w:tc>
          <w:tcPr>
            <w:tcW w:w="992" w:type="dxa"/>
            <w:tcBorders>
              <w:top w:val="nil"/>
              <w:left w:val="nil"/>
              <w:bottom w:val="nil"/>
              <w:right w:val="nil"/>
            </w:tcBorders>
            <w:shd w:val="clear" w:color="000000" w:fill="FFFFFF"/>
            <w:vAlign w:val="center"/>
            <w:hideMark/>
          </w:tcPr>
          <w:p w14:paraId="176F8083" w14:textId="0D695F28" w:rsidR="00285B72" w:rsidRPr="00AB28DA" w:rsidRDefault="00285B72" w:rsidP="00285B72">
            <w:pPr>
              <w:spacing w:after="0" w:line="240" w:lineRule="auto"/>
              <w:jc w:val="right"/>
              <w:rPr>
                <w:rFonts w:eastAsia="Times New Roman" w:cs="Times New Roman"/>
                <w:color w:val="000000"/>
                <w:sz w:val="20"/>
                <w:lang w:eastAsia="sk-SK"/>
              </w:rPr>
            </w:pPr>
            <w:r w:rsidRPr="00AB28DA">
              <w:rPr>
                <w:rFonts w:eastAsia="Times New Roman" w:cs="Times New Roman"/>
                <w:color w:val="000000"/>
                <w:sz w:val="20"/>
                <w:lang w:eastAsia="sk-SK"/>
              </w:rPr>
              <w:t>95%</w:t>
            </w:r>
          </w:p>
        </w:tc>
        <w:tc>
          <w:tcPr>
            <w:tcW w:w="992" w:type="dxa"/>
            <w:tcBorders>
              <w:top w:val="nil"/>
              <w:left w:val="nil"/>
              <w:bottom w:val="nil"/>
              <w:right w:val="nil"/>
            </w:tcBorders>
            <w:shd w:val="clear" w:color="000000" w:fill="FFFFFF"/>
            <w:vAlign w:val="center"/>
            <w:hideMark/>
          </w:tcPr>
          <w:p w14:paraId="2BA1D054" w14:textId="77777777" w:rsidR="00285B72" w:rsidRPr="00AB28DA" w:rsidRDefault="00285B72" w:rsidP="00285B72">
            <w:pPr>
              <w:spacing w:after="0" w:line="240" w:lineRule="auto"/>
              <w:jc w:val="right"/>
              <w:rPr>
                <w:rFonts w:eastAsia="Times New Roman" w:cs="Times New Roman"/>
                <w:color w:val="000000"/>
                <w:sz w:val="20"/>
                <w:lang w:eastAsia="sk-SK"/>
              </w:rPr>
            </w:pPr>
            <w:r w:rsidRPr="00AB28DA">
              <w:rPr>
                <w:rFonts w:eastAsia="Times New Roman" w:cs="Times New Roman"/>
                <w:color w:val="000000"/>
                <w:sz w:val="20"/>
                <w:lang w:eastAsia="sk-SK"/>
              </w:rPr>
              <w:t>70%</w:t>
            </w:r>
          </w:p>
        </w:tc>
        <w:tc>
          <w:tcPr>
            <w:tcW w:w="992" w:type="dxa"/>
            <w:tcBorders>
              <w:top w:val="nil"/>
              <w:left w:val="nil"/>
              <w:bottom w:val="nil"/>
              <w:right w:val="nil"/>
            </w:tcBorders>
            <w:shd w:val="clear" w:color="000000" w:fill="FFFFFF"/>
            <w:vAlign w:val="center"/>
            <w:hideMark/>
          </w:tcPr>
          <w:p w14:paraId="79C1EF06" w14:textId="77777777" w:rsidR="00285B72" w:rsidRPr="00AB28DA" w:rsidRDefault="00285B72" w:rsidP="00285B72">
            <w:pPr>
              <w:spacing w:after="0" w:line="240" w:lineRule="auto"/>
              <w:jc w:val="right"/>
              <w:rPr>
                <w:rFonts w:eastAsia="Times New Roman" w:cs="Times New Roman"/>
                <w:color w:val="000000"/>
                <w:sz w:val="20"/>
                <w:lang w:eastAsia="sk-SK"/>
              </w:rPr>
            </w:pPr>
            <w:r w:rsidRPr="00AB28DA">
              <w:rPr>
                <w:rFonts w:eastAsia="Times New Roman" w:cs="Times New Roman"/>
                <w:color w:val="000000"/>
                <w:sz w:val="20"/>
                <w:lang w:eastAsia="sk-SK"/>
              </w:rPr>
              <w:t>50%</w:t>
            </w:r>
          </w:p>
        </w:tc>
        <w:tc>
          <w:tcPr>
            <w:tcW w:w="993" w:type="dxa"/>
            <w:tcBorders>
              <w:top w:val="nil"/>
              <w:left w:val="nil"/>
              <w:bottom w:val="nil"/>
              <w:right w:val="nil"/>
            </w:tcBorders>
            <w:shd w:val="clear" w:color="000000" w:fill="FFFFFF"/>
            <w:vAlign w:val="center"/>
            <w:hideMark/>
          </w:tcPr>
          <w:p w14:paraId="1FFBBAA8" w14:textId="77777777" w:rsidR="00285B72" w:rsidRPr="00AB28DA" w:rsidRDefault="00285B72" w:rsidP="00285B72">
            <w:pPr>
              <w:spacing w:after="0" w:line="240" w:lineRule="auto"/>
              <w:jc w:val="right"/>
              <w:rPr>
                <w:rFonts w:eastAsia="Times New Roman" w:cs="Times New Roman"/>
                <w:color w:val="000000"/>
                <w:sz w:val="20"/>
                <w:lang w:eastAsia="sk-SK"/>
              </w:rPr>
            </w:pPr>
            <w:r w:rsidRPr="00AB28DA">
              <w:rPr>
                <w:rFonts w:eastAsia="Times New Roman" w:cs="Times New Roman"/>
                <w:color w:val="000000"/>
                <w:sz w:val="20"/>
                <w:lang w:eastAsia="sk-SK"/>
              </w:rPr>
              <w:t>25%</w:t>
            </w:r>
          </w:p>
        </w:tc>
      </w:tr>
      <w:tr w:rsidR="00285B72" w:rsidRPr="00AB28DA" w14:paraId="06D63323" w14:textId="77777777" w:rsidTr="00CE4B44">
        <w:trPr>
          <w:trHeight w:val="255"/>
        </w:trPr>
        <w:tc>
          <w:tcPr>
            <w:tcW w:w="4111" w:type="dxa"/>
            <w:tcBorders>
              <w:top w:val="nil"/>
              <w:left w:val="nil"/>
              <w:bottom w:val="nil"/>
              <w:right w:val="nil"/>
            </w:tcBorders>
            <w:shd w:val="clear" w:color="000000" w:fill="FFFFFF"/>
            <w:vAlign w:val="center"/>
            <w:hideMark/>
          </w:tcPr>
          <w:p w14:paraId="57217CF6" w14:textId="2C77A176" w:rsidR="00285B72" w:rsidRPr="00AB28DA" w:rsidRDefault="00285B72" w:rsidP="00285B72">
            <w:pPr>
              <w:spacing w:after="0" w:line="240" w:lineRule="auto"/>
              <w:ind w:firstLineChars="100" w:firstLine="200"/>
              <w:jc w:val="left"/>
              <w:rPr>
                <w:rFonts w:eastAsia="Times New Roman" w:cs="Times New Roman"/>
                <w:color w:val="000000"/>
                <w:sz w:val="20"/>
                <w:lang w:eastAsia="sk-SK"/>
              </w:rPr>
            </w:pPr>
            <w:r w:rsidRPr="00AB28DA">
              <w:rPr>
                <w:rFonts w:eastAsia="Times New Roman" w:cs="Times New Roman"/>
                <w:color w:val="000000"/>
                <w:sz w:val="20"/>
                <w:lang w:eastAsia="sk-SK"/>
              </w:rPr>
              <w:t>do 829,85 eur</w:t>
            </w:r>
          </w:p>
        </w:tc>
        <w:tc>
          <w:tcPr>
            <w:tcW w:w="992" w:type="dxa"/>
            <w:tcBorders>
              <w:top w:val="nil"/>
              <w:left w:val="nil"/>
              <w:bottom w:val="nil"/>
              <w:right w:val="nil"/>
            </w:tcBorders>
            <w:shd w:val="clear" w:color="000000" w:fill="FFFFFF"/>
            <w:vAlign w:val="center"/>
          </w:tcPr>
          <w:p w14:paraId="4C3DD658" w14:textId="1FCEB580" w:rsidR="00285B72" w:rsidRPr="00AB28DA" w:rsidRDefault="00285B72" w:rsidP="00285B72">
            <w:pPr>
              <w:spacing w:after="0" w:line="240" w:lineRule="auto"/>
              <w:jc w:val="right"/>
              <w:rPr>
                <w:rFonts w:eastAsia="Times New Roman" w:cs="Times New Roman"/>
                <w:color w:val="000000"/>
                <w:sz w:val="20"/>
                <w:lang w:eastAsia="sk-SK"/>
              </w:rPr>
            </w:pPr>
            <w:r w:rsidRPr="00AB28DA">
              <w:rPr>
                <w:rFonts w:eastAsia="Times New Roman" w:cs="Times New Roman"/>
                <w:color w:val="000000"/>
                <w:sz w:val="20"/>
                <w:lang w:eastAsia="sk-SK"/>
              </w:rPr>
              <w:t>95%</w:t>
            </w:r>
          </w:p>
        </w:tc>
        <w:tc>
          <w:tcPr>
            <w:tcW w:w="992" w:type="dxa"/>
            <w:tcBorders>
              <w:top w:val="nil"/>
              <w:left w:val="nil"/>
              <w:bottom w:val="nil"/>
              <w:right w:val="nil"/>
            </w:tcBorders>
            <w:shd w:val="clear" w:color="000000" w:fill="FFFFFF"/>
            <w:vAlign w:val="center"/>
            <w:hideMark/>
          </w:tcPr>
          <w:p w14:paraId="3AC3BDF6" w14:textId="69CF2EA8" w:rsidR="00285B72" w:rsidRPr="00AB28DA" w:rsidRDefault="00285B72" w:rsidP="00285B72">
            <w:pPr>
              <w:spacing w:after="0" w:line="240" w:lineRule="auto"/>
              <w:jc w:val="right"/>
              <w:rPr>
                <w:rFonts w:eastAsia="Times New Roman" w:cs="Times New Roman"/>
                <w:color w:val="000000"/>
                <w:sz w:val="20"/>
                <w:lang w:eastAsia="sk-SK"/>
              </w:rPr>
            </w:pPr>
            <w:r w:rsidRPr="00AB28DA">
              <w:rPr>
                <w:rFonts w:eastAsia="Times New Roman" w:cs="Times New Roman"/>
                <w:color w:val="000000"/>
                <w:sz w:val="20"/>
                <w:lang w:eastAsia="sk-SK"/>
              </w:rPr>
              <w:t>95%</w:t>
            </w:r>
          </w:p>
        </w:tc>
        <w:tc>
          <w:tcPr>
            <w:tcW w:w="992" w:type="dxa"/>
            <w:tcBorders>
              <w:top w:val="nil"/>
              <w:left w:val="nil"/>
              <w:bottom w:val="nil"/>
              <w:right w:val="nil"/>
            </w:tcBorders>
            <w:shd w:val="clear" w:color="000000" w:fill="FFFFFF"/>
            <w:vAlign w:val="center"/>
            <w:hideMark/>
          </w:tcPr>
          <w:p w14:paraId="025B62FC" w14:textId="77777777" w:rsidR="00285B72" w:rsidRPr="00AB28DA" w:rsidRDefault="00285B72" w:rsidP="00285B72">
            <w:pPr>
              <w:spacing w:after="0" w:line="240" w:lineRule="auto"/>
              <w:jc w:val="right"/>
              <w:rPr>
                <w:rFonts w:eastAsia="Times New Roman" w:cs="Times New Roman"/>
                <w:color w:val="000000"/>
                <w:sz w:val="20"/>
                <w:lang w:eastAsia="sk-SK"/>
              </w:rPr>
            </w:pPr>
            <w:r w:rsidRPr="00AB28DA">
              <w:rPr>
                <w:rFonts w:eastAsia="Times New Roman" w:cs="Times New Roman"/>
                <w:color w:val="000000"/>
                <w:sz w:val="20"/>
                <w:lang w:eastAsia="sk-SK"/>
              </w:rPr>
              <w:t>80%</w:t>
            </w:r>
          </w:p>
        </w:tc>
        <w:tc>
          <w:tcPr>
            <w:tcW w:w="992" w:type="dxa"/>
            <w:tcBorders>
              <w:top w:val="nil"/>
              <w:left w:val="nil"/>
              <w:bottom w:val="nil"/>
              <w:right w:val="nil"/>
            </w:tcBorders>
            <w:shd w:val="clear" w:color="000000" w:fill="FFFFFF"/>
            <w:vAlign w:val="center"/>
            <w:hideMark/>
          </w:tcPr>
          <w:p w14:paraId="06F0FE25" w14:textId="77777777" w:rsidR="00285B72" w:rsidRPr="00AB28DA" w:rsidRDefault="00285B72" w:rsidP="00285B72">
            <w:pPr>
              <w:spacing w:after="0" w:line="240" w:lineRule="auto"/>
              <w:jc w:val="right"/>
              <w:rPr>
                <w:rFonts w:eastAsia="Times New Roman" w:cs="Times New Roman"/>
                <w:color w:val="000000"/>
                <w:sz w:val="20"/>
                <w:lang w:eastAsia="sk-SK"/>
              </w:rPr>
            </w:pPr>
            <w:r w:rsidRPr="00AB28DA">
              <w:rPr>
                <w:rFonts w:eastAsia="Times New Roman" w:cs="Times New Roman"/>
                <w:color w:val="000000"/>
                <w:sz w:val="20"/>
                <w:lang w:eastAsia="sk-SK"/>
              </w:rPr>
              <w:t>60%</w:t>
            </w:r>
          </w:p>
        </w:tc>
        <w:tc>
          <w:tcPr>
            <w:tcW w:w="993" w:type="dxa"/>
            <w:tcBorders>
              <w:top w:val="nil"/>
              <w:left w:val="nil"/>
              <w:bottom w:val="nil"/>
              <w:right w:val="nil"/>
            </w:tcBorders>
            <w:shd w:val="clear" w:color="000000" w:fill="FFFFFF"/>
            <w:vAlign w:val="center"/>
            <w:hideMark/>
          </w:tcPr>
          <w:p w14:paraId="66528571" w14:textId="77777777" w:rsidR="00285B72" w:rsidRPr="00AB28DA" w:rsidRDefault="00285B72" w:rsidP="00285B72">
            <w:pPr>
              <w:spacing w:after="0" w:line="240" w:lineRule="auto"/>
              <w:jc w:val="right"/>
              <w:rPr>
                <w:rFonts w:eastAsia="Times New Roman" w:cs="Times New Roman"/>
                <w:color w:val="000000"/>
                <w:sz w:val="20"/>
                <w:lang w:eastAsia="sk-SK"/>
              </w:rPr>
            </w:pPr>
            <w:r w:rsidRPr="00AB28DA">
              <w:rPr>
                <w:rFonts w:eastAsia="Times New Roman" w:cs="Times New Roman"/>
                <w:color w:val="000000"/>
                <w:sz w:val="20"/>
                <w:lang w:eastAsia="sk-SK"/>
              </w:rPr>
              <w:t>40%</w:t>
            </w:r>
          </w:p>
        </w:tc>
      </w:tr>
      <w:tr w:rsidR="00285B72" w:rsidRPr="00AB28DA" w14:paraId="2B00D275" w14:textId="77777777" w:rsidTr="00CE4B44">
        <w:trPr>
          <w:trHeight w:val="255"/>
        </w:trPr>
        <w:tc>
          <w:tcPr>
            <w:tcW w:w="4111" w:type="dxa"/>
            <w:tcBorders>
              <w:top w:val="nil"/>
              <w:left w:val="nil"/>
              <w:bottom w:val="nil"/>
              <w:right w:val="nil"/>
            </w:tcBorders>
            <w:shd w:val="clear" w:color="000000" w:fill="FFFFFF"/>
            <w:vAlign w:val="center"/>
            <w:hideMark/>
          </w:tcPr>
          <w:p w14:paraId="627469E7" w14:textId="0479EF9B" w:rsidR="00285B72" w:rsidRPr="00AB28DA" w:rsidRDefault="00285B72" w:rsidP="00285B72">
            <w:pPr>
              <w:spacing w:after="0" w:line="240" w:lineRule="auto"/>
              <w:ind w:firstLineChars="100" w:firstLine="200"/>
              <w:jc w:val="left"/>
              <w:rPr>
                <w:rFonts w:eastAsia="Times New Roman" w:cs="Times New Roman"/>
                <w:color w:val="000000"/>
                <w:sz w:val="20"/>
                <w:lang w:eastAsia="sk-SK"/>
              </w:rPr>
            </w:pPr>
            <w:r w:rsidRPr="00AB28DA">
              <w:rPr>
                <w:rFonts w:eastAsia="Times New Roman" w:cs="Times New Roman"/>
                <w:color w:val="000000"/>
                <w:sz w:val="20"/>
                <w:lang w:eastAsia="sk-SK"/>
              </w:rPr>
              <w:t>nad 829,85 eur</w:t>
            </w:r>
          </w:p>
        </w:tc>
        <w:tc>
          <w:tcPr>
            <w:tcW w:w="992" w:type="dxa"/>
            <w:tcBorders>
              <w:top w:val="nil"/>
              <w:left w:val="nil"/>
              <w:bottom w:val="nil"/>
              <w:right w:val="nil"/>
            </w:tcBorders>
            <w:shd w:val="clear" w:color="000000" w:fill="FFFFFF"/>
            <w:vAlign w:val="center"/>
          </w:tcPr>
          <w:p w14:paraId="01A41DCB" w14:textId="721187D7" w:rsidR="00285B72" w:rsidRPr="00AB28DA" w:rsidRDefault="00285B72" w:rsidP="00285B72">
            <w:pPr>
              <w:spacing w:after="0" w:line="240" w:lineRule="auto"/>
              <w:jc w:val="right"/>
              <w:rPr>
                <w:rFonts w:eastAsia="Times New Roman" w:cs="Times New Roman"/>
                <w:color w:val="000000"/>
                <w:sz w:val="20"/>
                <w:lang w:eastAsia="sk-SK"/>
              </w:rPr>
            </w:pPr>
            <w:r w:rsidRPr="00AB28DA">
              <w:rPr>
                <w:rFonts w:eastAsia="Times New Roman" w:cs="Times New Roman"/>
                <w:color w:val="000000"/>
                <w:sz w:val="20"/>
                <w:lang w:eastAsia="sk-SK"/>
              </w:rPr>
              <w:t>95% (</w:t>
            </w:r>
            <w:r w:rsidRPr="00127A8F">
              <w:rPr>
                <w:rFonts w:eastAsia="Times New Roman" w:cs="Times New Roman"/>
                <w:color w:val="5B9BD5" w:themeColor="accent1"/>
                <w:sz w:val="20"/>
                <w:lang w:eastAsia="sk-SK"/>
              </w:rPr>
              <w:t>98%</w:t>
            </w:r>
            <w:r w:rsidRPr="00AB28DA">
              <w:rPr>
                <w:rFonts w:eastAsia="Times New Roman" w:cs="Times New Roman"/>
                <w:color w:val="000000"/>
                <w:sz w:val="20"/>
                <w:lang w:eastAsia="sk-SK"/>
              </w:rPr>
              <w:t>)</w:t>
            </w:r>
          </w:p>
        </w:tc>
        <w:tc>
          <w:tcPr>
            <w:tcW w:w="992" w:type="dxa"/>
            <w:tcBorders>
              <w:top w:val="nil"/>
              <w:left w:val="nil"/>
              <w:bottom w:val="nil"/>
              <w:right w:val="nil"/>
            </w:tcBorders>
            <w:shd w:val="clear" w:color="000000" w:fill="FFFFFF"/>
            <w:vAlign w:val="center"/>
            <w:hideMark/>
          </w:tcPr>
          <w:p w14:paraId="270FB8DB" w14:textId="7B54DCB6" w:rsidR="00285B72" w:rsidRPr="00AB28DA" w:rsidRDefault="00285B72" w:rsidP="00285B72">
            <w:pPr>
              <w:spacing w:after="0" w:line="240" w:lineRule="auto"/>
              <w:jc w:val="right"/>
              <w:rPr>
                <w:rFonts w:eastAsia="Times New Roman" w:cs="Times New Roman"/>
                <w:color w:val="000000"/>
                <w:sz w:val="20"/>
                <w:lang w:eastAsia="sk-SK"/>
              </w:rPr>
            </w:pPr>
            <w:r w:rsidRPr="00AB28DA">
              <w:rPr>
                <w:rFonts w:eastAsia="Times New Roman" w:cs="Times New Roman"/>
                <w:color w:val="000000"/>
                <w:sz w:val="20"/>
                <w:lang w:eastAsia="sk-SK"/>
              </w:rPr>
              <w:t>95%</w:t>
            </w:r>
          </w:p>
        </w:tc>
        <w:tc>
          <w:tcPr>
            <w:tcW w:w="992" w:type="dxa"/>
            <w:tcBorders>
              <w:top w:val="nil"/>
              <w:left w:val="nil"/>
              <w:bottom w:val="nil"/>
              <w:right w:val="nil"/>
            </w:tcBorders>
            <w:shd w:val="clear" w:color="000000" w:fill="FFFFFF"/>
            <w:vAlign w:val="center"/>
            <w:hideMark/>
          </w:tcPr>
          <w:p w14:paraId="21337FA7" w14:textId="77777777" w:rsidR="00285B72" w:rsidRPr="00AB28DA" w:rsidRDefault="00285B72" w:rsidP="00285B72">
            <w:pPr>
              <w:spacing w:after="0" w:line="240" w:lineRule="auto"/>
              <w:jc w:val="right"/>
              <w:rPr>
                <w:rFonts w:eastAsia="Times New Roman" w:cs="Times New Roman"/>
                <w:color w:val="000000"/>
                <w:sz w:val="20"/>
                <w:lang w:eastAsia="sk-SK"/>
              </w:rPr>
            </w:pPr>
            <w:r w:rsidRPr="00AB28DA">
              <w:rPr>
                <w:rFonts w:eastAsia="Times New Roman" w:cs="Times New Roman"/>
                <w:color w:val="000000"/>
                <w:sz w:val="20"/>
                <w:lang w:eastAsia="sk-SK"/>
              </w:rPr>
              <w:t>90%</w:t>
            </w:r>
          </w:p>
        </w:tc>
        <w:tc>
          <w:tcPr>
            <w:tcW w:w="992" w:type="dxa"/>
            <w:tcBorders>
              <w:top w:val="nil"/>
              <w:left w:val="nil"/>
              <w:bottom w:val="nil"/>
              <w:right w:val="nil"/>
            </w:tcBorders>
            <w:shd w:val="clear" w:color="000000" w:fill="FFFFFF"/>
            <w:vAlign w:val="center"/>
            <w:hideMark/>
          </w:tcPr>
          <w:p w14:paraId="4FB4F831" w14:textId="77777777" w:rsidR="00285B72" w:rsidRPr="00AB28DA" w:rsidRDefault="00285B72" w:rsidP="00285B72">
            <w:pPr>
              <w:spacing w:after="0" w:line="240" w:lineRule="auto"/>
              <w:jc w:val="right"/>
              <w:rPr>
                <w:rFonts w:eastAsia="Times New Roman" w:cs="Times New Roman"/>
                <w:color w:val="000000"/>
                <w:sz w:val="20"/>
                <w:lang w:eastAsia="sk-SK"/>
              </w:rPr>
            </w:pPr>
            <w:r w:rsidRPr="00AB28DA">
              <w:rPr>
                <w:rFonts w:eastAsia="Times New Roman" w:cs="Times New Roman"/>
                <w:color w:val="000000"/>
                <w:sz w:val="20"/>
                <w:lang w:eastAsia="sk-SK"/>
              </w:rPr>
              <w:t>70%</w:t>
            </w:r>
          </w:p>
        </w:tc>
        <w:tc>
          <w:tcPr>
            <w:tcW w:w="993" w:type="dxa"/>
            <w:tcBorders>
              <w:top w:val="nil"/>
              <w:left w:val="nil"/>
              <w:bottom w:val="nil"/>
              <w:right w:val="nil"/>
            </w:tcBorders>
            <w:shd w:val="clear" w:color="000000" w:fill="FFFFFF"/>
            <w:vAlign w:val="center"/>
            <w:hideMark/>
          </w:tcPr>
          <w:p w14:paraId="6CA2576D" w14:textId="77777777" w:rsidR="00285B72" w:rsidRPr="00AB28DA" w:rsidRDefault="00285B72" w:rsidP="00285B72">
            <w:pPr>
              <w:spacing w:after="0" w:line="240" w:lineRule="auto"/>
              <w:jc w:val="right"/>
              <w:rPr>
                <w:rFonts w:eastAsia="Times New Roman" w:cs="Times New Roman"/>
                <w:color w:val="000000"/>
                <w:sz w:val="20"/>
                <w:lang w:eastAsia="sk-SK"/>
              </w:rPr>
            </w:pPr>
            <w:r w:rsidRPr="00AB28DA">
              <w:rPr>
                <w:rFonts w:eastAsia="Times New Roman" w:cs="Times New Roman"/>
                <w:color w:val="000000"/>
                <w:sz w:val="20"/>
                <w:lang w:eastAsia="sk-SK"/>
              </w:rPr>
              <w:t>50%</w:t>
            </w:r>
          </w:p>
        </w:tc>
      </w:tr>
      <w:tr w:rsidR="00285B72" w:rsidRPr="00AB28DA" w14:paraId="60510D69" w14:textId="77777777" w:rsidTr="00CE4B44">
        <w:trPr>
          <w:trHeight w:val="255"/>
        </w:trPr>
        <w:tc>
          <w:tcPr>
            <w:tcW w:w="4111" w:type="dxa"/>
            <w:tcBorders>
              <w:top w:val="nil"/>
              <w:left w:val="nil"/>
              <w:bottom w:val="single" w:sz="4" w:space="0" w:color="auto"/>
              <w:right w:val="nil"/>
            </w:tcBorders>
            <w:shd w:val="clear" w:color="000000" w:fill="FFFFFF"/>
            <w:noWrap/>
            <w:vAlign w:val="center"/>
            <w:hideMark/>
          </w:tcPr>
          <w:p w14:paraId="59968EAC" w14:textId="77777777" w:rsidR="00285B72" w:rsidRPr="00AB28DA" w:rsidRDefault="00285B72" w:rsidP="00285B72">
            <w:pPr>
              <w:spacing w:after="0" w:line="240" w:lineRule="auto"/>
              <w:jc w:val="left"/>
              <w:rPr>
                <w:rFonts w:eastAsia="Times New Roman" w:cs="Times New Roman"/>
                <w:b/>
                <w:bCs/>
                <w:color w:val="000000"/>
                <w:sz w:val="20"/>
                <w:lang w:eastAsia="sk-SK"/>
              </w:rPr>
            </w:pPr>
            <w:r w:rsidRPr="00AB28DA">
              <w:rPr>
                <w:rFonts w:eastAsia="Times New Roman" w:cs="Times New Roman"/>
                <w:b/>
                <w:bCs/>
                <w:color w:val="000000"/>
                <w:sz w:val="20"/>
                <w:lang w:eastAsia="sk-SK"/>
              </w:rPr>
              <w:t>Kúpa OMV</w:t>
            </w:r>
          </w:p>
        </w:tc>
        <w:tc>
          <w:tcPr>
            <w:tcW w:w="992" w:type="dxa"/>
            <w:tcBorders>
              <w:top w:val="nil"/>
              <w:left w:val="nil"/>
              <w:bottom w:val="single" w:sz="4" w:space="0" w:color="auto"/>
              <w:right w:val="nil"/>
            </w:tcBorders>
            <w:shd w:val="clear" w:color="000000" w:fill="FFFFFF"/>
            <w:vAlign w:val="center"/>
          </w:tcPr>
          <w:p w14:paraId="76BA2315" w14:textId="259528EF" w:rsidR="00285B72" w:rsidRPr="00AB28DA" w:rsidRDefault="00285B72" w:rsidP="00285B72">
            <w:pPr>
              <w:spacing w:after="0" w:line="240" w:lineRule="auto"/>
              <w:jc w:val="right"/>
              <w:rPr>
                <w:rFonts w:eastAsia="Times New Roman" w:cs="Times New Roman"/>
                <w:color w:val="000000"/>
                <w:sz w:val="20"/>
                <w:lang w:eastAsia="sk-SK"/>
              </w:rPr>
            </w:pPr>
            <w:r w:rsidRPr="00AB28DA">
              <w:rPr>
                <w:rFonts w:eastAsia="Times New Roman" w:cs="Times New Roman"/>
                <w:color w:val="000000"/>
                <w:sz w:val="20"/>
                <w:lang w:eastAsia="sk-SK"/>
              </w:rPr>
              <w:t>85% (</w:t>
            </w:r>
            <w:r w:rsidRPr="00127A8F">
              <w:rPr>
                <w:rFonts w:eastAsia="Times New Roman" w:cs="Times New Roman"/>
                <w:color w:val="5B9BD5" w:themeColor="accent1"/>
                <w:sz w:val="20"/>
                <w:lang w:eastAsia="sk-SK"/>
              </w:rPr>
              <w:t>90%</w:t>
            </w:r>
            <w:r w:rsidRPr="00AB28DA">
              <w:rPr>
                <w:rFonts w:eastAsia="Times New Roman" w:cs="Times New Roman"/>
                <w:color w:val="000000"/>
                <w:sz w:val="20"/>
                <w:lang w:eastAsia="sk-SK"/>
              </w:rPr>
              <w:t>)</w:t>
            </w:r>
          </w:p>
        </w:tc>
        <w:tc>
          <w:tcPr>
            <w:tcW w:w="992" w:type="dxa"/>
            <w:tcBorders>
              <w:top w:val="nil"/>
              <w:left w:val="nil"/>
              <w:bottom w:val="single" w:sz="4" w:space="0" w:color="auto"/>
              <w:right w:val="nil"/>
            </w:tcBorders>
            <w:shd w:val="clear" w:color="000000" w:fill="FFFFFF"/>
            <w:vAlign w:val="center"/>
            <w:hideMark/>
          </w:tcPr>
          <w:p w14:paraId="7FEC30DA" w14:textId="1017A8F9" w:rsidR="00285B72" w:rsidRPr="00AB28DA" w:rsidRDefault="00285B72" w:rsidP="00285B72">
            <w:pPr>
              <w:spacing w:after="0" w:line="240" w:lineRule="auto"/>
              <w:jc w:val="right"/>
              <w:rPr>
                <w:rFonts w:eastAsia="Times New Roman" w:cs="Times New Roman"/>
                <w:color w:val="000000"/>
                <w:sz w:val="20"/>
                <w:lang w:eastAsia="sk-SK"/>
              </w:rPr>
            </w:pPr>
            <w:r w:rsidRPr="00AB28DA">
              <w:rPr>
                <w:rFonts w:eastAsia="Times New Roman" w:cs="Times New Roman"/>
                <w:color w:val="000000"/>
                <w:sz w:val="20"/>
                <w:lang w:eastAsia="sk-SK"/>
              </w:rPr>
              <w:t>85%</w:t>
            </w:r>
          </w:p>
        </w:tc>
        <w:tc>
          <w:tcPr>
            <w:tcW w:w="992" w:type="dxa"/>
            <w:tcBorders>
              <w:top w:val="nil"/>
              <w:left w:val="nil"/>
              <w:bottom w:val="single" w:sz="4" w:space="0" w:color="auto"/>
              <w:right w:val="nil"/>
            </w:tcBorders>
            <w:shd w:val="clear" w:color="000000" w:fill="FFFFFF"/>
            <w:vAlign w:val="center"/>
            <w:hideMark/>
          </w:tcPr>
          <w:p w14:paraId="231B0944" w14:textId="77777777" w:rsidR="00285B72" w:rsidRPr="00AB28DA" w:rsidRDefault="00285B72" w:rsidP="00285B72">
            <w:pPr>
              <w:spacing w:after="0" w:line="240" w:lineRule="auto"/>
              <w:jc w:val="right"/>
              <w:rPr>
                <w:rFonts w:eastAsia="Times New Roman" w:cs="Times New Roman"/>
                <w:color w:val="000000"/>
                <w:sz w:val="20"/>
                <w:lang w:eastAsia="sk-SK"/>
              </w:rPr>
            </w:pPr>
            <w:r w:rsidRPr="00AB28DA">
              <w:rPr>
                <w:rFonts w:eastAsia="Times New Roman" w:cs="Times New Roman"/>
                <w:color w:val="000000"/>
                <w:sz w:val="20"/>
                <w:lang w:eastAsia="sk-SK"/>
              </w:rPr>
              <w:t>80%</w:t>
            </w:r>
          </w:p>
        </w:tc>
        <w:tc>
          <w:tcPr>
            <w:tcW w:w="992" w:type="dxa"/>
            <w:tcBorders>
              <w:top w:val="nil"/>
              <w:left w:val="nil"/>
              <w:bottom w:val="single" w:sz="4" w:space="0" w:color="auto"/>
              <w:right w:val="nil"/>
            </w:tcBorders>
            <w:shd w:val="clear" w:color="000000" w:fill="FFFFFF"/>
            <w:vAlign w:val="center"/>
            <w:hideMark/>
          </w:tcPr>
          <w:p w14:paraId="5F3F4919" w14:textId="77777777" w:rsidR="00285B72" w:rsidRPr="00AB28DA" w:rsidRDefault="00285B72" w:rsidP="00285B72">
            <w:pPr>
              <w:spacing w:after="0" w:line="240" w:lineRule="auto"/>
              <w:jc w:val="right"/>
              <w:rPr>
                <w:rFonts w:eastAsia="Times New Roman" w:cs="Times New Roman"/>
                <w:color w:val="000000"/>
                <w:sz w:val="20"/>
                <w:lang w:eastAsia="sk-SK"/>
              </w:rPr>
            </w:pPr>
            <w:r w:rsidRPr="00AB28DA">
              <w:rPr>
                <w:rFonts w:eastAsia="Times New Roman" w:cs="Times New Roman"/>
                <w:color w:val="000000"/>
                <w:sz w:val="20"/>
                <w:lang w:eastAsia="sk-SK"/>
              </w:rPr>
              <w:t>70%</w:t>
            </w:r>
          </w:p>
        </w:tc>
        <w:tc>
          <w:tcPr>
            <w:tcW w:w="993" w:type="dxa"/>
            <w:tcBorders>
              <w:top w:val="nil"/>
              <w:left w:val="nil"/>
              <w:bottom w:val="single" w:sz="4" w:space="0" w:color="auto"/>
              <w:right w:val="nil"/>
            </w:tcBorders>
            <w:shd w:val="clear" w:color="000000" w:fill="FFFFFF"/>
            <w:vAlign w:val="center"/>
            <w:hideMark/>
          </w:tcPr>
          <w:p w14:paraId="19E4244B" w14:textId="77777777" w:rsidR="00285B72" w:rsidRPr="00AB28DA" w:rsidRDefault="00285B72" w:rsidP="00285B72">
            <w:pPr>
              <w:spacing w:after="0" w:line="240" w:lineRule="auto"/>
              <w:jc w:val="right"/>
              <w:rPr>
                <w:rFonts w:eastAsia="Times New Roman" w:cs="Times New Roman"/>
                <w:color w:val="000000"/>
                <w:sz w:val="20"/>
                <w:lang w:eastAsia="sk-SK"/>
              </w:rPr>
            </w:pPr>
            <w:r w:rsidRPr="00AB28DA">
              <w:rPr>
                <w:rFonts w:eastAsia="Times New Roman" w:cs="Times New Roman"/>
                <w:color w:val="000000"/>
                <w:sz w:val="20"/>
                <w:lang w:eastAsia="sk-SK"/>
              </w:rPr>
              <w:t>55%</w:t>
            </w:r>
          </w:p>
        </w:tc>
      </w:tr>
      <w:tr w:rsidR="00285B72" w:rsidRPr="00AB28DA" w14:paraId="2EF49920" w14:textId="77777777" w:rsidTr="00285B72">
        <w:trPr>
          <w:trHeight w:val="255"/>
        </w:trPr>
        <w:tc>
          <w:tcPr>
            <w:tcW w:w="9072" w:type="dxa"/>
            <w:gridSpan w:val="6"/>
            <w:tcBorders>
              <w:top w:val="single" w:sz="4" w:space="0" w:color="auto"/>
              <w:left w:val="nil"/>
              <w:right w:val="nil"/>
            </w:tcBorders>
            <w:shd w:val="clear" w:color="000000" w:fill="FFFFFF"/>
          </w:tcPr>
          <w:p w14:paraId="447282B2" w14:textId="77777777" w:rsidR="00285B72" w:rsidRPr="00AB28DA" w:rsidRDefault="00285B72" w:rsidP="008C79EC">
            <w:pPr>
              <w:spacing w:after="0" w:line="240" w:lineRule="auto"/>
              <w:jc w:val="right"/>
              <w:rPr>
                <w:rFonts w:eastAsia="Times New Roman" w:cs="Times New Roman"/>
                <w:i/>
                <w:color w:val="000000"/>
                <w:sz w:val="18"/>
                <w:szCs w:val="18"/>
                <w:lang w:eastAsia="sk-SK"/>
              </w:rPr>
            </w:pPr>
            <w:r w:rsidRPr="00AB28DA">
              <w:rPr>
                <w:rFonts w:eastAsia="Times New Roman" w:cs="Times New Roman"/>
                <w:i/>
                <w:color w:val="000000"/>
                <w:sz w:val="18"/>
                <w:szCs w:val="18"/>
                <w:lang w:eastAsia="sk-SK"/>
              </w:rPr>
              <w:t>Zdroj: Zákon č. 4 47/2008 Z. z. o peňažných príspevkoch na kompenzáciu ťažkého zdravotného postihnutia</w:t>
            </w:r>
          </w:p>
          <w:p w14:paraId="0EAD71D4" w14:textId="4EA09686" w:rsidR="00285B72" w:rsidRPr="00AB28DA" w:rsidRDefault="00285B72" w:rsidP="00127A8F">
            <w:pPr>
              <w:spacing w:after="0" w:line="240" w:lineRule="auto"/>
              <w:jc w:val="left"/>
              <w:rPr>
                <w:rFonts w:eastAsia="Times New Roman" w:cs="Times New Roman"/>
                <w:i/>
                <w:color w:val="000000"/>
                <w:sz w:val="20"/>
                <w:lang w:eastAsia="sk-SK"/>
              </w:rPr>
            </w:pPr>
            <w:r w:rsidRPr="00AB28DA">
              <w:rPr>
                <w:rFonts w:eastAsia="Times New Roman" w:cs="Times New Roman"/>
                <w:i/>
                <w:color w:val="000000"/>
                <w:sz w:val="18"/>
                <w:szCs w:val="18"/>
                <w:lang w:eastAsia="sk-SK"/>
              </w:rPr>
              <w:t>Poznámka: Navrhované zmeny sú v tabuľke uvedené v</w:t>
            </w:r>
            <w:r w:rsidR="00610F39" w:rsidRPr="00AB28DA">
              <w:rPr>
                <w:rFonts w:eastAsia="Times New Roman" w:cs="Times New Roman"/>
                <w:i/>
                <w:color w:val="000000"/>
                <w:sz w:val="18"/>
                <w:szCs w:val="18"/>
                <w:lang w:eastAsia="sk-SK"/>
              </w:rPr>
              <w:t> </w:t>
            </w:r>
            <w:r w:rsidRPr="00AB28DA">
              <w:rPr>
                <w:rFonts w:eastAsia="Times New Roman" w:cs="Times New Roman"/>
                <w:i/>
                <w:color w:val="000000"/>
                <w:sz w:val="18"/>
                <w:szCs w:val="18"/>
                <w:lang w:eastAsia="sk-SK"/>
              </w:rPr>
              <w:t>zátvorke</w:t>
            </w:r>
            <w:r w:rsidR="00610F39" w:rsidRPr="00AB28DA">
              <w:rPr>
                <w:rFonts w:eastAsia="Times New Roman" w:cs="Times New Roman"/>
                <w:i/>
                <w:color w:val="000000"/>
                <w:sz w:val="18"/>
                <w:szCs w:val="18"/>
                <w:lang w:eastAsia="sk-SK"/>
              </w:rPr>
              <w:t xml:space="preserve"> a zvýraznené </w:t>
            </w:r>
            <w:r w:rsidR="00127A8F">
              <w:rPr>
                <w:rFonts w:eastAsia="Times New Roman" w:cs="Times New Roman"/>
                <w:i/>
                <w:color w:val="5B9BD5" w:themeColor="accent1"/>
                <w:sz w:val="18"/>
                <w:szCs w:val="18"/>
                <w:lang w:eastAsia="sk-SK"/>
              </w:rPr>
              <w:t>modrou</w:t>
            </w:r>
            <w:r w:rsidR="00861CD4" w:rsidRPr="00AB28DA">
              <w:rPr>
                <w:rFonts w:eastAsia="Times New Roman" w:cs="Times New Roman"/>
                <w:i/>
                <w:color w:val="000000"/>
                <w:sz w:val="18"/>
                <w:szCs w:val="18"/>
                <w:lang w:eastAsia="sk-SK"/>
              </w:rPr>
              <w:t>. OMV označuje osobné motorové vozidlo.</w:t>
            </w:r>
          </w:p>
        </w:tc>
      </w:tr>
    </w:tbl>
    <w:p w14:paraId="4577E726" w14:textId="6658DA31" w:rsidR="00EF0608" w:rsidRPr="008F2165" w:rsidRDefault="007E0579" w:rsidP="008F2165">
      <w:pPr>
        <w:spacing w:before="160"/>
        <w:rPr>
          <w:rFonts w:eastAsia="Arial Narrow" w:cs="Arial Narrow"/>
        </w:rPr>
      </w:pPr>
      <w:r w:rsidRPr="00AB28DA">
        <w:rPr>
          <w:rFonts w:eastAsia="Arial Narrow" w:cs="Arial Narrow"/>
          <w:b/>
        </w:rPr>
        <w:t xml:space="preserve">Niektorí ľudia s ťažkým zdravotným postihnutím žijúci v bytových domoch </w:t>
      </w:r>
      <w:r w:rsidR="002420C0">
        <w:rPr>
          <w:rFonts w:eastAsia="Arial Narrow" w:cs="Arial Narrow"/>
          <w:b/>
        </w:rPr>
        <w:t>mohli donedávna</w:t>
      </w:r>
      <w:r w:rsidR="002420C0" w:rsidRPr="00AB28DA">
        <w:rPr>
          <w:rFonts w:eastAsia="Arial Narrow" w:cs="Arial Narrow"/>
          <w:b/>
        </w:rPr>
        <w:t xml:space="preserve"> </w:t>
      </w:r>
      <w:r w:rsidRPr="00AB28DA">
        <w:rPr>
          <w:rFonts w:eastAsia="Arial Narrow" w:cs="Arial Narrow"/>
          <w:b/>
        </w:rPr>
        <w:t>čeliť prekážkam pri úprave priestorov na zabezpečenie bezbariérového prístupu aj napriek tomu</w:t>
      </w:r>
      <w:r w:rsidR="00191A7D" w:rsidRPr="00AB28DA">
        <w:rPr>
          <w:rFonts w:eastAsia="Arial Narrow" w:cs="Arial Narrow"/>
          <w:b/>
        </w:rPr>
        <w:t>,</w:t>
      </w:r>
      <w:r w:rsidRPr="00AB28DA">
        <w:rPr>
          <w:rFonts w:eastAsia="Arial Narrow" w:cs="Arial Narrow"/>
          <w:b/>
        </w:rPr>
        <w:t xml:space="preserve"> že im bol na to </w:t>
      </w:r>
      <w:r w:rsidR="00191A7D" w:rsidRPr="00AB28DA">
        <w:rPr>
          <w:rFonts w:eastAsia="Arial Narrow" w:cs="Arial Narrow"/>
          <w:b/>
        </w:rPr>
        <w:t xml:space="preserve">priznaný </w:t>
      </w:r>
      <w:r w:rsidRPr="00AB28DA">
        <w:rPr>
          <w:rFonts w:eastAsia="Arial Narrow" w:cs="Arial Narrow"/>
          <w:b/>
        </w:rPr>
        <w:t xml:space="preserve">určený príspevok. </w:t>
      </w:r>
      <w:r w:rsidRPr="00AB28DA">
        <w:rPr>
          <w:rFonts w:eastAsia="Arial Narrow" w:cs="Arial Narrow"/>
        </w:rPr>
        <w:t>Uskutočňovanie zásahov do spoločných priestorov bytových domov (napr. montáž schodiskovej plošiny) si vyžad</w:t>
      </w:r>
      <w:r w:rsidR="002420C0">
        <w:rPr>
          <w:rFonts w:eastAsia="Arial Narrow" w:cs="Arial Narrow"/>
        </w:rPr>
        <w:t>ovalo</w:t>
      </w:r>
      <w:r w:rsidRPr="00AB28DA">
        <w:rPr>
          <w:rFonts w:eastAsia="Arial Narrow" w:cs="Arial Narrow"/>
        </w:rPr>
        <w:t xml:space="preserve"> súhlas od nadpolovičnej väčšiny od vlastníkov bytov a nebytových priestorov</w:t>
      </w:r>
      <w:r w:rsidRPr="00AB28DA">
        <w:rPr>
          <w:rStyle w:val="Odkaznapoznmkupodiarou"/>
        </w:rPr>
        <w:footnoteReference w:id="403"/>
      </w:r>
      <w:r w:rsidRPr="00AB28DA">
        <w:t xml:space="preserve">. </w:t>
      </w:r>
      <w:r w:rsidRPr="00AB28DA">
        <w:rPr>
          <w:rFonts w:eastAsia="Arial Narrow" w:cs="Arial Narrow"/>
        </w:rPr>
        <w:t xml:space="preserve">Vlastníci tak </w:t>
      </w:r>
      <w:r w:rsidR="002420C0">
        <w:rPr>
          <w:rFonts w:eastAsia="Arial Narrow" w:cs="Arial Narrow"/>
        </w:rPr>
        <w:t>mali</w:t>
      </w:r>
      <w:r w:rsidR="002420C0" w:rsidRPr="00AB28DA">
        <w:rPr>
          <w:rFonts w:eastAsia="Arial Narrow" w:cs="Arial Narrow"/>
        </w:rPr>
        <w:t xml:space="preserve"> </w:t>
      </w:r>
      <w:r w:rsidRPr="00AB28DA">
        <w:rPr>
          <w:rFonts w:eastAsia="Arial Narrow" w:cs="Arial Narrow"/>
        </w:rPr>
        <w:t>možnosť hlasovaním zabrániť vybudovaniu bezbariérového prístupu.</w:t>
      </w:r>
      <w:r w:rsidRPr="00AB28DA">
        <w:rPr>
          <w:rStyle w:val="Odkaznapoznmkupodiarou"/>
        </w:rPr>
        <w:footnoteReference w:id="404"/>
      </w:r>
      <w:r w:rsidRPr="00AB28DA">
        <w:t xml:space="preserve"> </w:t>
      </w:r>
      <w:r w:rsidR="002420C0" w:rsidRPr="00D41517">
        <w:t>Novelou zákona č. 182/1992 o vlastníctve bytov a nebytových priestorov</w:t>
      </w:r>
      <w:r w:rsidR="0070047D">
        <w:t xml:space="preserve"> </w:t>
      </w:r>
      <w:r w:rsidR="00AB6B7E">
        <w:t>s účin</w:t>
      </w:r>
      <w:r w:rsidR="002420C0" w:rsidRPr="00D41517">
        <w:t>nosťou od februára 2020 bola podmienka súhlasu susedov zrušená v prípade montáže zdvíhacieho zariadenia v spoločných častiach bytového domu.</w:t>
      </w:r>
    </w:p>
    <w:p w14:paraId="066BD41E" w14:textId="5B7F7C05" w:rsidR="007E0579" w:rsidRPr="00BC4520" w:rsidRDefault="007E0579" w:rsidP="00BC4520">
      <w:pPr>
        <w:spacing w:after="160"/>
        <w:jc w:val="left"/>
        <w:rPr>
          <w:color w:val="0070C0"/>
        </w:rPr>
      </w:pPr>
      <w:r w:rsidRPr="00AB28DA">
        <w:rPr>
          <w:color w:val="0070C0"/>
        </w:rPr>
        <w:t>Invalidný dôchodok</w:t>
      </w:r>
    </w:p>
    <w:p w14:paraId="71B53C71" w14:textId="74736756" w:rsidR="007E0579" w:rsidRPr="00CA2564" w:rsidRDefault="007E0579" w:rsidP="007E0579">
      <w:pPr>
        <w:rPr>
          <w:rFonts w:eastAsia="Arial Narrow" w:cs="Arial Narrow"/>
          <w:sz w:val="20"/>
        </w:rPr>
      </w:pPr>
      <w:r w:rsidRPr="00AB28DA">
        <w:rPr>
          <w:rFonts w:eastAsia="Arial Narrow" w:cs="Arial Narrow"/>
        </w:rPr>
        <w:t>Príjem osôb so zníženou schopnosťou vykonávať zárobkovú činnosť v dôsledku dlhodobo nepriaznivého zdravotného stavu</w:t>
      </w:r>
      <w:r w:rsidRPr="00CA2564">
        <w:rPr>
          <w:rFonts w:eastAsia="Arial Narrow" w:cs="Arial Narrow"/>
        </w:rPr>
        <w:t xml:space="preserve"> má zabezpečiť invalidný dôchodok, ktorý je vyplácaný zo základného fondu invalidného poistenia (</w:t>
      </w:r>
      <w:r w:rsidR="007643F7" w:rsidRPr="00225D12">
        <w:rPr>
          <w:rFonts w:eastAsia="Arial Narrow" w:cs="Arial Narrow"/>
        </w:rPr>
        <w:fldChar w:fldCharType="begin"/>
      </w:r>
      <w:r w:rsidR="007643F7" w:rsidRPr="007643F7">
        <w:rPr>
          <w:rFonts w:eastAsia="Arial Narrow" w:cs="Arial Narrow"/>
        </w:rPr>
        <w:instrText xml:space="preserve"> REF _Ref21085759 \h </w:instrText>
      </w:r>
      <w:r w:rsidR="007643F7" w:rsidRPr="00D3189B">
        <w:rPr>
          <w:rFonts w:eastAsia="Arial Narrow" w:cs="Arial Narrow"/>
        </w:rPr>
        <w:instrText xml:space="preserve"> \* MERGEFORMAT </w:instrText>
      </w:r>
      <w:r w:rsidR="007643F7" w:rsidRPr="00225D12">
        <w:rPr>
          <w:rFonts w:eastAsia="Arial Narrow" w:cs="Arial Narrow"/>
        </w:rPr>
      </w:r>
      <w:r w:rsidR="007643F7" w:rsidRPr="00225D12">
        <w:rPr>
          <w:rFonts w:eastAsia="Arial Narrow" w:cs="Arial Narrow"/>
        </w:rPr>
        <w:fldChar w:fldCharType="separate"/>
      </w:r>
      <w:r w:rsidR="00FA29AF" w:rsidRPr="00FA29AF">
        <w:rPr>
          <w:iCs/>
        </w:rPr>
        <w:t>Box 12</w:t>
      </w:r>
      <w:r w:rsidR="007643F7" w:rsidRPr="00225D12">
        <w:rPr>
          <w:rFonts w:eastAsia="Arial Narrow" w:cs="Arial Narrow"/>
        </w:rPr>
        <w:fldChar w:fldCharType="end"/>
      </w:r>
      <w:r w:rsidR="00AD10CC" w:rsidRPr="007643F7">
        <w:rPr>
          <w:rFonts w:eastAsia="Arial Narrow" w:cs="Arial Narrow"/>
        </w:rPr>
        <w:t>,</w:t>
      </w:r>
      <w:r w:rsidR="00AD10CC">
        <w:rPr>
          <w:rFonts w:eastAsia="Arial Narrow" w:cs="Arial Narrow"/>
        </w:rPr>
        <w:t xml:space="preserve"> podkapitola </w:t>
      </w:r>
      <w:r w:rsidR="00596CBC">
        <w:rPr>
          <w:rFonts w:eastAsia="Arial Narrow" w:cs="Arial Narrow"/>
        </w:rPr>
        <w:fldChar w:fldCharType="begin"/>
      </w:r>
      <w:r w:rsidR="00596CBC">
        <w:rPr>
          <w:rFonts w:eastAsia="Arial Narrow" w:cs="Arial Narrow"/>
        </w:rPr>
        <w:instrText xml:space="preserve"> REF _Ref25315580 \r \h </w:instrText>
      </w:r>
      <w:r w:rsidR="00596CBC">
        <w:rPr>
          <w:rFonts w:eastAsia="Arial Narrow" w:cs="Arial Narrow"/>
        </w:rPr>
      </w:r>
      <w:r w:rsidR="00596CBC">
        <w:rPr>
          <w:rFonts w:eastAsia="Arial Narrow" w:cs="Arial Narrow"/>
        </w:rPr>
        <w:fldChar w:fldCharType="separate"/>
      </w:r>
      <w:r w:rsidR="00FA29AF">
        <w:rPr>
          <w:rFonts w:eastAsia="Arial Narrow" w:cs="Arial Narrow"/>
        </w:rPr>
        <w:t>7.1</w:t>
      </w:r>
      <w:r w:rsidR="00596CBC">
        <w:rPr>
          <w:rFonts w:eastAsia="Arial Narrow" w:cs="Arial Narrow"/>
        </w:rPr>
        <w:fldChar w:fldCharType="end"/>
      </w:r>
      <w:r w:rsidRPr="00CA2564">
        <w:rPr>
          <w:rFonts w:eastAsia="Arial Narrow" w:cs="Arial Narrow"/>
        </w:rPr>
        <w:t>)</w:t>
      </w:r>
    </w:p>
    <w:p w14:paraId="07DF4C74" w14:textId="5B3FEE7A" w:rsidR="00051B04" w:rsidRDefault="007E0579" w:rsidP="00D3189B">
      <w:pPr>
        <w:spacing w:before="240"/>
        <w:rPr>
          <w:rFonts w:eastAsia="Arial Narrow" w:cs="Arial Narrow"/>
          <w:b/>
        </w:rPr>
      </w:pPr>
      <w:r w:rsidRPr="00CA2564">
        <w:rPr>
          <w:rFonts w:eastAsia="Arial Narrow" w:cs="Arial Narrow"/>
          <w:b/>
        </w:rPr>
        <w:t xml:space="preserve">Celkové výdavky </w:t>
      </w:r>
      <w:r w:rsidR="0076076E">
        <w:rPr>
          <w:rFonts w:eastAsia="Arial Narrow" w:cs="Arial Narrow"/>
          <w:b/>
        </w:rPr>
        <w:t>na invalidné dôchodky</w:t>
      </w:r>
      <w:r w:rsidRPr="00CA2564">
        <w:rPr>
          <w:rFonts w:eastAsia="Arial Narrow" w:cs="Arial Narrow"/>
          <w:b/>
        </w:rPr>
        <w:t xml:space="preserve"> v roku 2018 tvorili 785,8 miliónov eur (0,94 % HDP). </w:t>
      </w:r>
      <w:r w:rsidR="00996FD3">
        <w:rPr>
          <w:rFonts w:eastAsia="Arial Narrow" w:cs="Arial Narrow"/>
        </w:rPr>
        <w:t>O</w:t>
      </w:r>
      <w:r w:rsidRPr="00CA2564">
        <w:rPr>
          <w:rFonts w:eastAsia="Arial Narrow" w:cs="Arial Narrow"/>
        </w:rPr>
        <w:t>proti roku 2009</w:t>
      </w:r>
      <w:r w:rsidR="00996FD3">
        <w:rPr>
          <w:rFonts w:eastAsia="Arial Narrow" w:cs="Arial Narrow"/>
        </w:rPr>
        <w:t xml:space="preserve"> narástli</w:t>
      </w:r>
      <w:r w:rsidRPr="00CA2564">
        <w:rPr>
          <w:rFonts w:eastAsia="Arial Narrow" w:cs="Arial Narrow"/>
        </w:rPr>
        <w:t xml:space="preserve"> o 26,3 %. Výdavky na invalidné dôchodky hradené štátom (tzv. invalidné dôchodky z mladosti) tvorili 56,2 miliónov eur. Od roku 2009 narástli o 470 %. Podľa prognózy Európskej </w:t>
      </w:r>
      <w:r w:rsidR="00702011">
        <w:rPr>
          <w:rFonts w:eastAsia="Arial Narrow" w:cs="Arial Narrow"/>
        </w:rPr>
        <w:t>k</w:t>
      </w:r>
      <w:r w:rsidRPr="00CA2564">
        <w:rPr>
          <w:rFonts w:eastAsia="Arial Narrow" w:cs="Arial Narrow"/>
        </w:rPr>
        <w:t xml:space="preserve">omisie do roku 2070 majú výdavky na invalidné dôchodky zostať na úrovni približne 1 % HDP. Podiel </w:t>
      </w:r>
      <w:r w:rsidR="00BF38A9">
        <w:rPr>
          <w:rFonts w:eastAsia="Arial Narrow" w:cs="Arial Narrow"/>
        </w:rPr>
        <w:t xml:space="preserve">poberateľov invalidného dôchodku </w:t>
      </w:r>
      <w:r w:rsidRPr="00CA2564">
        <w:rPr>
          <w:rFonts w:eastAsia="Arial Narrow" w:cs="Arial Narrow"/>
        </w:rPr>
        <w:t xml:space="preserve">na celkovom obyvateľstve </w:t>
      </w:r>
      <w:r w:rsidR="00CA7D1E">
        <w:rPr>
          <w:rFonts w:eastAsia="Arial Narrow" w:cs="Arial Narrow"/>
        </w:rPr>
        <w:t xml:space="preserve">Slovenska </w:t>
      </w:r>
      <w:r w:rsidRPr="00CA2564">
        <w:rPr>
          <w:rFonts w:eastAsia="Arial Narrow" w:cs="Arial Narrow"/>
        </w:rPr>
        <w:t>má tiež zostať na súčasnej úrovni okolo 7 %.</w:t>
      </w:r>
      <w:r w:rsidRPr="00CA2564">
        <w:rPr>
          <w:rStyle w:val="Odkaznapoznmkupodiarou"/>
        </w:rPr>
        <w:footnoteReference w:id="405"/>
      </w:r>
      <w:r w:rsidR="00D92EC7">
        <w:rPr>
          <w:rFonts w:eastAsia="Arial Narrow" w:cs="Arial Narrow"/>
        </w:rPr>
        <w:t xml:space="preserve"> Priemer krajín V3 je pritom 5,1 </w:t>
      </w:r>
      <w:r w:rsidR="00D92EC7" w:rsidRPr="00217C0B">
        <w:rPr>
          <w:rFonts w:eastAsia="Arial Narrow" w:cs="Arial Narrow"/>
        </w:rPr>
        <w:t>%</w:t>
      </w:r>
      <w:r w:rsidR="00217C0B" w:rsidRPr="00D41517">
        <w:rPr>
          <w:rFonts w:eastAsia="Arial Narrow" w:cs="Arial Narrow"/>
        </w:rPr>
        <w:t>, hoci</w:t>
      </w:r>
      <w:r w:rsidR="00217C0B">
        <w:rPr>
          <w:rFonts w:eastAsia="Arial Narrow" w:cs="Arial Narrow"/>
          <w:b/>
        </w:rPr>
        <w:t xml:space="preserve"> </w:t>
      </w:r>
      <w:r w:rsidR="00217C0B">
        <w:rPr>
          <w:rFonts w:eastAsia="Arial Narrow" w:cs="Arial Narrow"/>
        </w:rPr>
        <w:t>porovnateľnosť údajov medzi krajinami je vzhľadom na odlišnosti v systémoch invalidného poistenia obmedzená.</w:t>
      </w:r>
    </w:p>
    <w:p w14:paraId="6B11F93B" w14:textId="52E095F2" w:rsidR="007E0579" w:rsidRPr="00CB0792" w:rsidRDefault="007E0579" w:rsidP="00D3189B">
      <w:pPr>
        <w:spacing w:before="240"/>
        <w:rPr>
          <w:rFonts w:eastAsia="Arial Narrow" w:cs="Arial Narrow"/>
        </w:rPr>
      </w:pPr>
      <w:r w:rsidRPr="00CA2564">
        <w:rPr>
          <w:rFonts w:eastAsia="Arial Narrow" w:cs="Arial Narrow"/>
          <w:b/>
        </w:rPr>
        <w:t xml:space="preserve">Kým výška priemerného plného invalidného dôchodku zabezpečuje príjem nad hranicou rizika chudoby a invalidný dôchodok z mladosti sa k tejto hranici časom približuje, výška čiastočných invalidných dôchodkov relatívne k hranici rizika chudoby klesá </w:t>
      </w:r>
      <w:r w:rsidRPr="00CA2564">
        <w:rPr>
          <w:rFonts w:eastAsia="Arial Narrow" w:cs="Arial Narrow"/>
        </w:rPr>
        <w:t>(</w:t>
      </w:r>
      <w:r w:rsidRPr="00CA2564">
        <w:rPr>
          <w:rFonts w:eastAsia="Arial Narrow" w:cs="Arial Narrow"/>
        </w:rPr>
        <w:fldChar w:fldCharType="begin"/>
      </w:r>
      <w:r w:rsidRPr="00CA2564">
        <w:rPr>
          <w:rFonts w:eastAsia="Arial Narrow" w:cs="Arial Narrow"/>
        </w:rPr>
        <w:instrText xml:space="preserve"> REF _Ref17719227 \h  \* MERGEFORMAT </w:instrText>
      </w:r>
      <w:r w:rsidRPr="00CA2564">
        <w:rPr>
          <w:rFonts w:eastAsia="Arial Narrow" w:cs="Arial Narrow"/>
        </w:rPr>
      </w:r>
      <w:r w:rsidRPr="00CA2564">
        <w:rPr>
          <w:rFonts w:eastAsia="Arial Narrow" w:cs="Arial Narrow"/>
        </w:rPr>
        <w:fldChar w:fldCharType="separate"/>
      </w:r>
      <w:r w:rsidR="00FA29AF" w:rsidRPr="00FA29AF">
        <w:t xml:space="preserve">Graf </w:t>
      </w:r>
      <w:r w:rsidR="00FA29AF" w:rsidRPr="00FA29AF">
        <w:rPr>
          <w:noProof/>
        </w:rPr>
        <w:t>63</w:t>
      </w:r>
      <w:r w:rsidRPr="00CA2564">
        <w:rPr>
          <w:rFonts w:eastAsia="Arial Narrow" w:cs="Arial Narrow"/>
        </w:rPr>
        <w:fldChar w:fldCharType="end"/>
      </w:r>
      <w:r w:rsidRPr="00CA2564">
        <w:rPr>
          <w:rFonts w:eastAsia="Arial Narrow" w:cs="Arial Narrow"/>
        </w:rPr>
        <w:t>). Priemerný plný invalidný dôchodok dosiahol v roku 2018 necelých 368 eur mesačne. Osoby s poklesom schopnosti vykonávať zárobkovú činnosť o</w:t>
      </w:r>
      <w:r w:rsidR="00C071E9">
        <w:rPr>
          <w:rFonts w:eastAsia="Arial Narrow" w:cs="Arial Narrow"/>
        </w:rPr>
        <w:t> viac ako </w:t>
      </w:r>
      <w:r w:rsidRPr="00CA2564">
        <w:rPr>
          <w:rFonts w:eastAsia="Arial Narrow" w:cs="Arial Narrow"/>
        </w:rPr>
        <w:t>70</w:t>
      </w:r>
      <w:r w:rsidR="00C071E9">
        <w:rPr>
          <w:rFonts w:eastAsia="Arial Narrow" w:cs="Arial Narrow"/>
        </w:rPr>
        <w:t> </w:t>
      </w:r>
      <w:r w:rsidRPr="00CA2564">
        <w:rPr>
          <w:rFonts w:eastAsia="Arial Narrow" w:cs="Arial Narrow"/>
        </w:rPr>
        <w:t xml:space="preserve">% tak mali v priemere </w:t>
      </w:r>
      <w:r w:rsidRPr="00CB0792">
        <w:rPr>
          <w:rFonts w:eastAsia="Arial Narrow" w:cs="Arial Narrow"/>
        </w:rPr>
        <w:t xml:space="preserve">zabezpečený príjem vo výške 91,2 % čistej minimálnej mzdy. Poberateľ čiastočného invalidného dôchodku dostával v priemere 204 eur (55 % hranice rizika chudoby alebo </w:t>
      </w:r>
      <w:r w:rsidR="00CB0792" w:rsidRPr="00CB0792">
        <w:rPr>
          <w:rFonts w:eastAsia="Arial Narrow" w:cs="Arial Narrow"/>
        </w:rPr>
        <w:t xml:space="preserve">50,6 % čistej minimálnej mzdy). </w:t>
      </w:r>
      <w:r w:rsidRPr="00CB0792">
        <w:rPr>
          <w:rFonts w:eastAsia="Arial Narrow" w:cs="Arial Narrow"/>
        </w:rPr>
        <w:t>Približne 2,2 % poberateľov invalidného dôchodku je odkázaných na pomoc v hmotnej núdzi (2,8 % u poberateľov čiastočného invalidného dôchodku a 1,4 % u poberateľo</w:t>
      </w:r>
      <w:r w:rsidR="00CB0792" w:rsidRPr="00CB0792">
        <w:rPr>
          <w:rFonts w:eastAsia="Arial Narrow" w:cs="Arial Narrow"/>
        </w:rPr>
        <w:t>v plného invalidného dôchodku).</w:t>
      </w:r>
    </w:p>
    <w:tbl>
      <w:tblPr>
        <w:tblW w:w="0" w:type="auto"/>
        <w:tblLayout w:type="fixed"/>
        <w:tblLook w:val="04E0" w:firstRow="1" w:lastRow="1" w:firstColumn="1" w:lastColumn="0" w:noHBand="0" w:noVBand="1"/>
      </w:tblPr>
      <w:tblGrid>
        <w:gridCol w:w="4395"/>
        <w:gridCol w:w="283"/>
        <w:gridCol w:w="4394"/>
      </w:tblGrid>
      <w:tr w:rsidR="007E0579" w:rsidRPr="00CA2564" w14:paraId="43F2D3EE" w14:textId="77777777" w:rsidTr="00EF0608">
        <w:tc>
          <w:tcPr>
            <w:tcW w:w="4395" w:type="dxa"/>
            <w:tcBorders>
              <w:bottom w:val="single" w:sz="4" w:space="0" w:color="auto"/>
            </w:tcBorders>
          </w:tcPr>
          <w:p w14:paraId="2B934BAA" w14:textId="77777777" w:rsidR="007E0579" w:rsidRPr="00EF0608" w:rsidRDefault="007E0579" w:rsidP="00EF0608">
            <w:pPr>
              <w:spacing w:after="0" w:line="240" w:lineRule="auto"/>
              <w:rPr>
                <w:b/>
                <w:iCs/>
              </w:rPr>
            </w:pPr>
            <w:bookmarkStart w:id="1080" w:name="_Ref17719227"/>
            <w:bookmarkStart w:id="1081" w:name="_Toc34157621"/>
            <w:r w:rsidRPr="00EF0608">
              <w:rPr>
                <w:b/>
                <w:sz w:val="20"/>
              </w:rPr>
              <w:t xml:space="preserve">Graf </w:t>
            </w:r>
            <w:r w:rsidRPr="00EF0608">
              <w:rPr>
                <w:b/>
                <w:sz w:val="20"/>
              </w:rPr>
              <w:fldChar w:fldCharType="begin"/>
            </w:r>
            <w:r w:rsidRPr="00EF0608">
              <w:rPr>
                <w:b/>
                <w:sz w:val="20"/>
              </w:rPr>
              <w:instrText xml:space="preserve"> SEQ Graf \* ARABIC </w:instrText>
            </w:r>
            <w:r w:rsidRPr="00EF0608">
              <w:rPr>
                <w:b/>
                <w:sz w:val="20"/>
              </w:rPr>
              <w:fldChar w:fldCharType="separate"/>
            </w:r>
            <w:r w:rsidR="00FA29AF">
              <w:rPr>
                <w:b/>
                <w:noProof/>
                <w:sz w:val="20"/>
              </w:rPr>
              <w:t>63</w:t>
            </w:r>
            <w:r w:rsidRPr="00EF0608">
              <w:rPr>
                <w:b/>
                <w:sz w:val="20"/>
              </w:rPr>
              <w:fldChar w:fldCharType="end"/>
            </w:r>
            <w:bookmarkEnd w:id="1080"/>
            <w:r w:rsidRPr="00EF0608">
              <w:rPr>
                <w:b/>
                <w:sz w:val="20"/>
              </w:rPr>
              <w:t>: Priemerné invalidné dôchodky ako % stredného ekvivalentného disponibilného príjmu</w:t>
            </w:r>
            <w:bookmarkEnd w:id="1081"/>
          </w:p>
        </w:tc>
        <w:tc>
          <w:tcPr>
            <w:tcW w:w="283" w:type="dxa"/>
            <w:tcBorders>
              <w:bottom w:val="nil"/>
            </w:tcBorders>
          </w:tcPr>
          <w:p w14:paraId="4CCA7CB8" w14:textId="77777777" w:rsidR="007E0579" w:rsidRPr="00EF0608" w:rsidRDefault="007E0579" w:rsidP="00EF0608">
            <w:pPr>
              <w:spacing w:after="0" w:line="240" w:lineRule="auto"/>
              <w:rPr>
                <w:b/>
                <w:sz w:val="20"/>
              </w:rPr>
            </w:pPr>
          </w:p>
        </w:tc>
        <w:tc>
          <w:tcPr>
            <w:tcW w:w="4394" w:type="dxa"/>
            <w:tcBorders>
              <w:bottom w:val="single" w:sz="4" w:space="0" w:color="auto"/>
            </w:tcBorders>
          </w:tcPr>
          <w:p w14:paraId="0F1F6F05" w14:textId="77777777" w:rsidR="007E0579" w:rsidRPr="00EF0608" w:rsidRDefault="007E0579" w:rsidP="00EF0608">
            <w:pPr>
              <w:spacing w:after="0" w:line="240" w:lineRule="auto"/>
              <w:rPr>
                <w:b/>
                <w:sz w:val="20"/>
              </w:rPr>
            </w:pPr>
            <w:bookmarkStart w:id="1082" w:name="_Ref17719331"/>
            <w:bookmarkStart w:id="1083" w:name="_Toc34157622"/>
            <w:r w:rsidRPr="00EF0608">
              <w:rPr>
                <w:b/>
                <w:sz w:val="20"/>
              </w:rPr>
              <w:t xml:space="preserve">Graf </w:t>
            </w:r>
            <w:r w:rsidRPr="00EF0608">
              <w:rPr>
                <w:b/>
                <w:sz w:val="20"/>
              </w:rPr>
              <w:fldChar w:fldCharType="begin"/>
            </w:r>
            <w:r w:rsidRPr="00EF0608">
              <w:rPr>
                <w:b/>
                <w:sz w:val="20"/>
              </w:rPr>
              <w:instrText xml:space="preserve"> SEQ Graf \* ARABIC </w:instrText>
            </w:r>
            <w:r w:rsidRPr="00EF0608">
              <w:rPr>
                <w:b/>
                <w:sz w:val="20"/>
              </w:rPr>
              <w:fldChar w:fldCharType="separate"/>
            </w:r>
            <w:r w:rsidR="00FA29AF">
              <w:rPr>
                <w:b/>
                <w:noProof/>
                <w:sz w:val="20"/>
              </w:rPr>
              <w:t>64</w:t>
            </w:r>
            <w:r w:rsidRPr="00EF0608">
              <w:rPr>
                <w:b/>
                <w:sz w:val="20"/>
              </w:rPr>
              <w:fldChar w:fldCharType="end"/>
            </w:r>
            <w:bookmarkEnd w:id="1082"/>
            <w:r w:rsidRPr="00EF0608">
              <w:rPr>
                <w:b/>
                <w:sz w:val="20"/>
              </w:rPr>
              <w:t>: Zmena vo výške príjmu z práce po priznaní invalidity</w:t>
            </w:r>
            <w:bookmarkEnd w:id="1083"/>
          </w:p>
        </w:tc>
      </w:tr>
      <w:tr w:rsidR="007E0579" w:rsidRPr="00CA2564" w14:paraId="582720CC" w14:textId="77777777" w:rsidTr="00EF0608">
        <w:tblPrEx>
          <w:tblCellMar>
            <w:left w:w="70" w:type="dxa"/>
            <w:right w:w="70" w:type="dxa"/>
          </w:tblCellMar>
        </w:tblPrEx>
        <w:tc>
          <w:tcPr>
            <w:tcW w:w="4395" w:type="dxa"/>
            <w:tcBorders>
              <w:top w:val="single" w:sz="4" w:space="0" w:color="auto"/>
              <w:bottom w:val="single" w:sz="4" w:space="0" w:color="auto"/>
            </w:tcBorders>
          </w:tcPr>
          <w:p w14:paraId="55B92561" w14:textId="77777777" w:rsidR="007E0579" w:rsidRPr="00CA2564" w:rsidRDefault="007E0579" w:rsidP="00EF0608">
            <w:pPr>
              <w:spacing w:after="0" w:line="240" w:lineRule="auto"/>
              <w:rPr>
                <w:sz w:val="4"/>
                <w:szCs w:val="4"/>
              </w:rPr>
            </w:pPr>
          </w:p>
          <w:p w14:paraId="3ADBE4DD" w14:textId="77777777" w:rsidR="007E0579" w:rsidRPr="00CA2564" w:rsidRDefault="007E0579" w:rsidP="00EF0608">
            <w:pPr>
              <w:spacing w:after="0" w:line="240" w:lineRule="auto"/>
              <w:rPr>
                <w:sz w:val="4"/>
                <w:szCs w:val="4"/>
              </w:rPr>
            </w:pPr>
            <w:r w:rsidRPr="00CA2564">
              <w:rPr>
                <w:noProof/>
                <w:lang w:eastAsia="sk-SK"/>
              </w:rPr>
              <w:drawing>
                <wp:inline distT="0" distB="0" distL="0" distR="0" wp14:anchorId="02ECE024" wp14:editId="545F85F7">
                  <wp:extent cx="2701925" cy="2609215"/>
                  <wp:effectExtent l="0" t="0" r="3175" b="635"/>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20E7B7F8" w14:textId="77777777" w:rsidR="007E0579" w:rsidRPr="00CA2564" w:rsidRDefault="007E0579" w:rsidP="00EF0608">
            <w:pPr>
              <w:spacing w:after="0" w:line="240" w:lineRule="auto"/>
              <w:rPr>
                <w:sz w:val="4"/>
                <w:szCs w:val="4"/>
              </w:rPr>
            </w:pPr>
          </w:p>
        </w:tc>
        <w:tc>
          <w:tcPr>
            <w:tcW w:w="283" w:type="dxa"/>
            <w:tcBorders>
              <w:top w:val="nil"/>
              <w:bottom w:val="nil"/>
            </w:tcBorders>
          </w:tcPr>
          <w:p w14:paraId="74897C15" w14:textId="77777777" w:rsidR="007E0579" w:rsidRPr="00CA2564" w:rsidRDefault="007E0579" w:rsidP="00EF0608">
            <w:pPr>
              <w:spacing w:after="0" w:line="240" w:lineRule="auto"/>
              <w:rPr>
                <w:noProof/>
                <w:sz w:val="4"/>
                <w:szCs w:val="4"/>
              </w:rPr>
            </w:pPr>
          </w:p>
        </w:tc>
        <w:tc>
          <w:tcPr>
            <w:tcW w:w="4394" w:type="dxa"/>
            <w:tcBorders>
              <w:top w:val="single" w:sz="4" w:space="0" w:color="auto"/>
              <w:bottom w:val="single" w:sz="4" w:space="0" w:color="auto"/>
            </w:tcBorders>
          </w:tcPr>
          <w:p w14:paraId="596A2D69" w14:textId="6247940A" w:rsidR="007E0579" w:rsidRPr="00CA2564" w:rsidRDefault="0070047D" w:rsidP="00EF0608">
            <w:pPr>
              <w:spacing w:after="0" w:line="240" w:lineRule="auto"/>
              <w:rPr>
                <w:noProof/>
                <w:sz w:val="4"/>
                <w:szCs w:val="4"/>
              </w:rPr>
            </w:pPr>
            <w:r>
              <w:rPr>
                <w:noProof/>
                <w:sz w:val="4"/>
                <w:szCs w:val="4"/>
              </w:rPr>
              <w:t xml:space="preserve"> </w:t>
            </w:r>
          </w:p>
          <w:p w14:paraId="595CF1AE" w14:textId="77777777" w:rsidR="007E0579" w:rsidRPr="00CA2564" w:rsidRDefault="007E0579" w:rsidP="00EF0608">
            <w:pPr>
              <w:spacing w:after="0" w:line="240" w:lineRule="auto"/>
              <w:rPr>
                <w:noProof/>
                <w:sz w:val="4"/>
                <w:szCs w:val="4"/>
              </w:rPr>
            </w:pPr>
            <w:r w:rsidRPr="00CA2564">
              <w:rPr>
                <w:noProof/>
                <w:lang w:eastAsia="sk-SK"/>
              </w:rPr>
              <w:drawing>
                <wp:inline distT="0" distB="0" distL="0" distR="0" wp14:anchorId="6FA33A1C" wp14:editId="63F92BCC">
                  <wp:extent cx="2701290" cy="2584450"/>
                  <wp:effectExtent l="0" t="0" r="3810" b="6350"/>
                  <wp:docPr id="28008" name="Graf 28008"/>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5DB08690" w14:textId="77777777" w:rsidR="007E0579" w:rsidRPr="00CA2564" w:rsidRDefault="007E0579" w:rsidP="00EF0608">
            <w:pPr>
              <w:spacing w:after="0" w:line="240" w:lineRule="auto"/>
              <w:rPr>
                <w:sz w:val="4"/>
                <w:szCs w:val="4"/>
              </w:rPr>
            </w:pPr>
          </w:p>
        </w:tc>
      </w:tr>
      <w:tr w:rsidR="007E0579" w:rsidRPr="00CA2564" w14:paraId="32CA475A" w14:textId="77777777" w:rsidTr="00EF0608">
        <w:trPr>
          <w:trHeight w:val="180"/>
        </w:trPr>
        <w:tc>
          <w:tcPr>
            <w:tcW w:w="0" w:type="dxa"/>
            <w:tcBorders>
              <w:top w:val="single" w:sz="4" w:space="0" w:color="auto"/>
            </w:tcBorders>
          </w:tcPr>
          <w:p w14:paraId="70220DD2" w14:textId="77777777" w:rsidR="007E0579" w:rsidRPr="00EF0608" w:rsidRDefault="007E0579" w:rsidP="00EF0608">
            <w:pPr>
              <w:spacing w:after="0" w:line="240" w:lineRule="auto"/>
              <w:jc w:val="right"/>
              <w:rPr>
                <w:bCs/>
                <w:i/>
                <w:noProof/>
                <w:sz w:val="18"/>
                <w:szCs w:val="18"/>
              </w:rPr>
            </w:pPr>
            <w:r w:rsidRPr="00EF0608">
              <w:rPr>
                <w:i/>
                <w:noProof/>
                <w:sz w:val="18"/>
                <w:szCs w:val="18"/>
              </w:rPr>
              <w:t>Zdroj: ISP podľa údajov Sociálnej poisťovne a EU SILC</w:t>
            </w:r>
          </w:p>
        </w:tc>
        <w:tc>
          <w:tcPr>
            <w:tcW w:w="0" w:type="dxa"/>
            <w:tcBorders>
              <w:top w:val="nil"/>
            </w:tcBorders>
          </w:tcPr>
          <w:p w14:paraId="657917B7" w14:textId="77777777" w:rsidR="007E0579" w:rsidRPr="00EF0608" w:rsidRDefault="007E0579" w:rsidP="00EF0608">
            <w:pPr>
              <w:spacing w:after="0" w:line="240" w:lineRule="auto"/>
              <w:jc w:val="right"/>
              <w:rPr>
                <w:i/>
                <w:noProof/>
                <w:sz w:val="18"/>
                <w:szCs w:val="18"/>
              </w:rPr>
            </w:pPr>
          </w:p>
        </w:tc>
        <w:tc>
          <w:tcPr>
            <w:tcW w:w="0" w:type="dxa"/>
            <w:tcBorders>
              <w:top w:val="single" w:sz="4" w:space="0" w:color="auto"/>
            </w:tcBorders>
          </w:tcPr>
          <w:p w14:paraId="718FAD01" w14:textId="77777777" w:rsidR="007E0579" w:rsidRPr="00EF0608" w:rsidRDefault="007E0579" w:rsidP="00EF0608">
            <w:pPr>
              <w:spacing w:after="0" w:line="240" w:lineRule="auto"/>
              <w:jc w:val="right"/>
              <w:rPr>
                <w:i/>
                <w:noProof/>
                <w:sz w:val="18"/>
                <w:szCs w:val="18"/>
              </w:rPr>
            </w:pPr>
            <w:r w:rsidRPr="00EF0608">
              <w:rPr>
                <w:i/>
                <w:noProof/>
                <w:sz w:val="18"/>
                <w:szCs w:val="18"/>
              </w:rPr>
              <w:t>Zdroj: IFP podľa údajov Sociálnej poisťovne</w:t>
            </w:r>
          </w:p>
          <w:p w14:paraId="2FED044A" w14:textId="77777777" w:rsidR="007E0579" w:rsidRPr="00EF0608" w:rsidRDefault="007E0579" w:rsidP="00EF0608">
            <w:pPr>
              <w:spacing w:after="0" w:line="240" w:lineRule="auto"/>
              <w:rPr>
                <w:i/>
                <w:noProof/>
                <w:sz w:val="18"/>
                <w:szCs w:val="18"/>
              </w:rPr>
            </w:pPr>
            <w:r w:rsidRPr="00EF0608">
              <w:rPr>
                <w:i/>
                <w:noProof/>
                <w:sz w:val="18"/>
                <w:szCs w:val="18"/>
              </w:rPr>
              <w:t>Poznámka: Graf je zoradený podľa roku, v ktorom bola priznaná invalidita.</w:t>
            </w:r>
          </w:p>
        </w:tc>
      </w:tr>
    </w:tbl>
    <w:p w14:paraId="4471384C" w14:textId="10A07AEF" w:rsidR="00D92EC7" w:rsidRDefault="007E0579" w:rsidP="007E0579">
      <w:pPr>
        <w:spacing w:before="240"/>
      </w:pPr>
      <w:r w:rsidRPr="00CA2564">
        <w:rPr>
          <w:b/>
        </w:rPr>
        <w:t xml:space="preserve">Výška mzdy zamestnancov po </w:t>
      </w:r>
      <w:r w:rsidR="00302CE3">
        <w:rPr>
          <w:b/>
        </w:rPr>
        <w:t>uznaní</w:t>
      </w:r>
      <w:r w:rsidRPr="00CA2564">
        <w:rPr>
          <w:b/>
        </w:rPr>
        <w:t xml:space="preserve"> invalidity naznačuje, že </w:t>
      </w:r>
      <w:r w:rsidR="003738BF">
        <w:rPr>
          <w:b/>
        </w:rPr>
        <w:t>aj napriek rozhodnutiu Sociálnej poisťovne o poklese schopnosti vykonávať zárobkovú činnosť</w:t>
      </w:r>
      <w:r w:rsidR="00F40AD0">
        <w:rPr>
          <w:b/>
        </w:rPr>
        <w:t>,</w:t>
      </w:r>
      <w:r w:rsidR="003738BF">
        <w:rPr>
          <w:b/>
        </w:rPr>
        <w:t xml:space="preserve"> je </w:t>
      </w:r>
      <w:r w:rsidRPr="00CA2564">
        <w:rPr>
          <w:b/>
        </w:rPr>
        <w:t xml:space="preserve">časť </w:t>
      </w:r>
      <w:r w:rsidR="00302CE3">
        <w:rPr>
          <w:b/>
        </w:rPr>
        <w:t>z nich</w:t>
      </w:r>
      <w:r w:rsidRPr="00CA2564">
        <w:rPr>
          <w:b/>
        </w:rPr>
        <w:t xml:space="preserve"> </w:t>
      </w:r>
      <w:r w:rsidR="003738BF">
        <w:rPr>
          <w:b/>
        </w:rPr>
        <w:t>naďalej schopná vykonávať svoje zamestnanie.</w:t>
      </w:r>
      <w:r w:rsidRPr="00CA2564">
        <w:rPr>
          <w:rStyle w:val="Odkaznapoznmkupodiarou"/>
          <w:b/>
        </w:rPr>
        <w:footnoteReference w:id="406"/>
      </w:r>
      <w:r w:rsidRPr="00CA2564">
        <w:t xml:space="preserve"> Po priznaní invalidného dôchodku v roku 2015 sa mzda v nasledovnom roku zvýšila viac ako tretine </w:t>
      </w:r>
      <w:r w:rsidR="00BF38A9">
        <w:t>poberateľov</w:t>
      </w:r>
      <w:r w:rsidRPr="00CA2564">
        <w:t xml:space="preserve">. </w:t>
      </w:r>
      <w:r w:rsidR="00D92EC7" w:rsidRPr="00CA2564">
        <w:t xml:space="preserve">Tento podiel má navyše rastúci </w:t>
      </w:r>
      <w:r w:rsidR="00D92EC7" w:rsidRPr="004C1305">
        <w:rPr>
          <w:szCs w:val="22"/>
        </w:rPr>
        <w:t>trend (</w:t>
      </w:r>
      <w:r w:rsidR="00D92EC7" w:rsidRPr="004C1305">
        <w:rPr>
          <w:szCs w:val="22"/>
        </w:rPr>
        <w:fldChar w:fldCharType="begin"/>
      </w:r>
      <w:r w:rsidR="00D92EC7" w:rsidRPr="004C1305">
        <w:rPr>
          <w:szCs w:val="22"/>
        </w:rPr>
        <w:instrText xml:space="preserve"> REF _Ref17719331 \h </w:instrText>
      </w:r>
      <w:r w:rsidR="004C1305">
        <w:rPr>
          <w:szCs w:val="22"/>
        </w:rPr>
        <w:instrText xml:space="preserve"> \* MERGEFORMAT </w:instrText>
      </w:r>
      <w:r w:rsidR="00D92EC7" w:rsidRPr="004C1305">
        <w:rPr>
          <w:szCs w:val="22"/>
        </w:rPr>
      </w:r>
      <w:r w:rsidR="00D92EC7" w:rsidRPr="004C1305">
        <w:rPr>
          <w:szCs w:val="22"/>
        </w:rPr>
        <w:fldChar w:fldCharType="separate"/>
      </w:r>
      <w:r w:rsidR="00FA29AF" w:rsidRPr="00FA29AF">
        <w:rPr>
          <w:szCs w:val="22"/>
        </w:rPr>
        <w:t xml:space="preserve">Graf </w:t>
      </w:r>
      <w:r w:rsidR="00FA29AF" w:rsidRPr="00FA29AF">
        <w:rPr>
          <w:noProof/>
          <w:szCs w:val="22"/>
        </w:rPr>
        <w:t>64</w:t>
      </w:r>
      <w:r w:rsidR="00D92EC7" w:rsidRPr="004C1305">
        <w:rPr>
          <w:szCs w:val="22"/>
        </w:rPr>
        <w:fldChar w:fldCharType="end"/>
      </w:r>
      <w:r w:rsidR="00D92EC7" w:rsidRPr="00CA2564">
        <w:t>)</w:t>
      </w:r>
      <w:r w:rsidR="00D92EC7" w:rsidRPr="00CA2564">
        <w:rPr>
          <w:rStyle w:val="Odkaznapoznmkupodiarou"/>
        </w:rPr>
        <w:footnoteReference w:id="407"/>
      </w:r>
      <w:r w:rsidR="00D92EC7" w:rsidRPr="00CA2564">
        <w:t>.</w:t>
      </w:r>
      <w:r w:rsidR="00D92EC7">
        <w:t xml:space="preserve"> </w:t>
      </w:r>
      <w:r w:rsidRPr="00CA2564">
        <w:t>Celkovo takm</w:t>
      </w:r>
      <w:r w:rsidR="002D4FFB">
        <w:t>er 20 tisíc poberateľov ID (8,1 </w:t>
      </w:r>
      <w:r w:rsidRPr="00CA2564">
        <w:t xml:space="preserve">% z celkového počtu), ktorí pracovali v roku 2016, malo </w:t>
      </w:r>
      <w:r w:rsidR="00F40AD0" w:rsidRPr="00CA2564">
        <w:t xml:space="preserve">vyšší </w:t>
      </w:r>
      <w:r w:rsidRPr="00CA2564">
        <w:t xml:space="preserve">čistý príjem – teda čistú mzdu spolu s invalidným dôchodkom, než bola ich čistá mzda pred invaliditou. Celkový čistý príjem týchto osôb sa tak po priznaní ID zvýšil v priemere o 2 850 eur za rok. </w:t>
      </w:r>
    </w:p>
    <w:p w14:paraId="606B629F" w14:textId="3FC37E3A" w:rsidR="008E297B" w:rsidRDefault="00651B4E" w:rsidP="007E0579">
      <w:pPr>
        <w:spacing w:before="240"/>
      </w:pPr>
      <w:r>
        <w:rPr>
          <w:b/>
        </w:rPr>
        <w:t>R</w:t>
      </w:r>
      <w:r w:rsidRPr="00D3189B">
        <w:rPr>
          <w:b/>
        </w:rPr>
        <w:t xml:space="preserve">astúci trend podielu </w:t>
      </w:r>
      <w:r w:rsidR="00BF38A9">
        <w:rPr>
          <w:b/>
        </w:rPr>
        <w:t>poberateľov invalidného dôchodku</w:t>
      </w:r>
      <w:r w:rsidRPr="00D3189B">
        <w:rPr>
          <w:b/>
        </w:rPr>
        <w:t xml:space="preserve">, ktorých príjem sa po uznaní invalidity neznížil </w:t>
      </w:r>
      <w:r>
        <w:rPr>
          <w:b/>
        </w:rPr>
        <w:t xml:space="preserve">aj prípady podhodnotenia diagnózy posudkovým lekárom, </w:t>
      </w:r>
      <w:r w:rsidRPr="00D3189B">
        <w:rPr>
          <w:b/>
        </w:rPr>
        <w:t>môž</w:t>
      </w:r>
      <w:r>
        <w:rPr>
          <w:b/>
        </w:rPr>
        <w:t>u</w:t>
      </w:r>
      <w:r w:rsidRPr="00D3189B">
        <w:rPr>
          <w:b/>
        </w:rPr>
        <w:t xml:space="preserve"> okrem iného odrážať nedostatky v posudkovej činnosti. </w:t>
      </w:r>
      <w:r w:rsidR="008E297B" w:rsidRPr="00D3189B">
        <w:t xml:space="preserve">Tá nebola </w:t>
      </w:r>
      <w:r w:rsidR="008E297B">
        <w:t xml:space="preserve">výrazne zmenená </w:t>
      </w:r>
      <w:r w:rsidR="008E297B" w:rsidRPr="00D3189B">
        <w:t xml:space="preserve">od </w:t>
      </w:r>
      <w:r w:rsidR="008E297B">
        <w:t xml:space="preserve">reformy v </w:t>
      </w:r>
      <w:r w:rsidR="008E297B" w:rsidRPr="00D3189B">
        <w:t xml:space="preserve">roku </w:t>
      </w:r>
      <w:r w:rsidR="008E297B">
        <w:t>2004. Tabuľky diagnóz, ktoré posudkoví lekári používajú na stanovenie rozsahu poklesu schopnosti vykonávať zárobkovú činnosť</w:t>
      </w:r>
      <w:r w:rsidR="00F40AD0">
        <w:t>,</w:t>
      </w:r>
      <w:r w:rsidR="008E297B">
        <w:t xml:space="preserve"> už nemusia byť aktuálne vzhľadom na vývoj v medicíne aj na trhu práce</w:t>
      </w:r>
      <w:r w:rsidR="00217C0B">
        <w:t xml:space="preserve"> (napr. vývoj nových technológií)</w:t>
      </w:r>
      <w:r w:rsidR="008E297B">
        <w:t xml:space="preserve">. </w:t>
      </w:r>
      <w:r w:rsidR="00584299">
        <w:t>Výbor OSN pre práva osôb so zdravotným postihnutím tiež odporúča Slovensku nahradiť medicínsky model posudkovej činnosti (výlučne na základe diagnóz) bio-psycho-sociálnym modelom, ktorý by zohľadňoval nepríklad aj zručnosti a kvalifikáciu danej osoby.</w:t>
      </w:r>
      <w:r w:rsidR="00584299">
        <w:rPr>
          <w:rStyle w:val="Odkaznapoznmkupodiarou"/>
        </w:rPr>
        <w:footnoteReference w:id="408"/>
      </w:r>
    </w:p>
    <w:p w14:paraId="598429FB" w14:textId="12412EF1" w:rsidR="00996FD3" w:rsidRPr="008E297B" w:rsidRDefault="008E297B" w:rsidP="007E0579">
      <w:pPr>
        <w:spacing w:before="240"/>
      </w:pPr>
      <w:r w:rsidRPr="00D3189B">
        <w:rPr>
          <w:b/>
        </w:rPr>
        <w:t>Posudková činnosť je navyše fragmentovaná.</w:t>
      </w:r>
      <w:r>
        <w:t xml:space="preserve"> </w:t>
      </w:r>
      <w:r w:rsidRPr="00CA2564">
        <w:rPr>
          <w:rFonts w:eastAsia="Arial Narrow" w:cs="Arial Narrow"/>
        </w:rPr>
        <w:t>Posudzovanie je vykonávané samostatne pre účely priznania invalidného dôchodku, samostatne pre účely priznania ťažkého zdravotného postihnutia a peňažných príspevkov na kompenzáciu jeho sociálnych dôsledkov a samostatne pre účely posúdenia odkázanosti na sociálne služby. Zdravotný stav jedného občana tak môže posudzovať Sociálna poisťovňa, úrady práce, obce aj samosprávne kraje.</w:t>
      </w:r>
      <w:r>
        <w:rPr>
          <w:rFonts w:eastAsia="Arial Narrow" w:cs="Arial Narrow"/>
        </w:rPr>
        <w:t xml:space="preserve"> Tieto skutočnosti naznačujú potenciál pre zefektívnenie systému, úspory vo verejných výdavkoch</w:t>
      </w:r>
      <w:r w:rsidR="00F40AD0">
        <w:rPr>
          <w:rFonts w:eastAsia="Arial Narrow" w:cs="Arial Narrow"/>
        </w:rPr>
        <w:t>,</w:t>
      </w:r>
      <w:r>
        <w:rPr>
          <w:rFonts w:eastAsia="Arial Narrow" w:cs="Arial Narrow"/>
        </w:rPr>
        <w:t xml:space="preserve"> ako aj výhody pre samotných </w:t>
      </w:r>
      <w:r w:rsidRPr="00CA2564">
        <w:rPr>
          <w:rFonts w:eastAsia="Arial Narrow" w:cs="Arial Narrow"/>
        </w:rPr>
        <w:t>občanov so zdravotným znevýhodnením vo forme jednoduchších procesov a nižšej administratívnej, časovej a finančnej záťaže</w:t>
      </w:r>
      <w:r>
        <w:rPr>
          <w:rFonts w:eastAsia="Arial Narrow" w:cs="Arial Narrow"/>
        </w:rPr>
        <w:t>.</w:t>
      </w:r>
    </w:p>
    <w:p w14:paraId="200371E1" w14:textId="012F5497" w:rsidR="00312202" w:rsidRDefault="007E0579" w:rsidP="00D3189B">
      <w:pPr>
        <w:spacing w:before="240"/>
        <w:rPr>
          <w:rFonts w:eastAsia="Arial Narrow" w:cs="Arial Narrow"/>
        </w:rPr>
      </w:pPr>
      <w:r w:rsidRPr="00CA2564">
        <w:rPr>
          <w:rFonts w:eastAsia="Arial Narrow" w:cs="Arial Narrow"/>
          <w:b/>
        </w:rPr>
        <w:t xml:space="preserve">Medzi najzraniteľnejšie skupiny patria osoby so zdravotným znevýhodnením, ktoré síce splnili lekársku podmienku na priznanie invalidity, ale nesplnili potrebnú dobu dôchodkového poistenia. </w:t>
      </w:r>
      <w:r w:rsidRPr="00CA2564">
        <w:rPr>
          <w:rFonts w:eastAsia="Arial Narrow" w:cs="Arial Narrow"/>
        </w:rPr>
        <w:t>Napriek tomu, že zdravotný stav im nedovoľuje pracovať, alebo im to dovoľuje len v obmedzenej miere, nemajú nárok na hmotné zabezpečenie vo forme invalidného dôchodku.</w:t>
      </w:r>
      <w:r w:rsidR="00545CC8">
        <w:rPr>
          <w:rStyle w:val="Odkaznapoznmkupodiarou"/>
          <w:rFonts w:eastAsia="Arial Narrow" w:cs="Arial Narrow"/>
        </w:rPr>
        <w:footnoteReference w:id="409"/>
      </w:r>
      <w:r w:rsidRPr="00CA2564">
        <w:rPr>
          <w:rFonts w:eastAsia="Arial Narrow" w:cs="Arial Narrow"/>
        </w:rPr>
        <w:t xml:space="preserve"> Komisár</w:t>
      </w:r>
      <w:r w:rsidR="00651B4E">
        <w:rPr>
          <w:rFonts w:eastAsia="Arial Narrow" w:cs="Arial Narrow"/>
        </w:rPr>
        <w:t>ka</w:t>
      </w:r>
      <w:r w:rsidRPr="00CA2564">
        <w:rPr>
          <w:rFonts w:eastAsia="Arial Narrow" w:cs="Arial Narrow"/>
        </w:rPr>
        <w:t xml:space="preserve"> pre osoby so zdravotným postihnutím opakovane dostáva podnety, kde podávateľom chýba iba časť potrebnej doby dôchodkového poistenia, napriek tomu im invalidný dôchodok nemohol byť </w:t>
      </w:r>
      <w:r w:rsidRPr="00312202">
        <w:rPr>
          <w:rFonts w:eastAsia="Arial Narrow" w:cs="Arial Narrow"/>
        </w:rPr>
        <w:t>priznaný.</w:t>
      </w:r>
      <w:r w:rsidR="00312202" w:rsidRPr="00D3189B">
        <w:rPr>
          <w:rStyle w:val="Odkaznapoznmkupodiarou"/>
          <w:rFonts w:eastAsia="Arial Narrow" w:cs="Arial Narrow"/>
        </w:rPr>
        <w:footnoteReference w:id="410"/>
      </w:r>
    </w:p>
    <w:p w14:paraId="47F1C712" w14:textId="0B106E8B" w:rsidR="00E76BBC" w:rsidRPr="00521AC3" w:rsidRDefault="00651B4E" w:rsidP="00D3189B">
      <w:pPr>
        <w:spacing w:before="240"/>
        <w:rPr>
          <w:rFonts w:eastAsia="Arial Narrow" w:cs="Arial Narrow"/>
          <w:b/>
          <w:bCs/>
        </w:rPr>
      </w:pPr>
      <w:r w:rsidRPr="00521AC3">
        <w:rPr>
          <w:rFonts w:eastAsia="Arial Narrow" w:cs="Arial Narrow"/>
          <w:b/>
          <w:bCs/>
        </w:rPr>
        <w:t xml:space="preserve">Revízia navrhuje pripraviť hlbšiu analýzu systému </w:t>
      </w:r>
      <w:r>
        <w:rPr>
          <w:rFonts w:eastAsia="Arial Narrow" w:cs="Arial Narrow"/>
          <w:b/>
          <w:bCs/>
        </w:rPr>
        <w:t xml:space="preserve">invalidného </w:t>
      </w:r>
      <w:r w:rsidRPr="00521AC3">
        <w:rPr>
          <w:rFonts w:eastAsia="Arial Narrow" w:cs="Arial Narrow"/>
          <w:b/>
          <w:bCs/>
        </w:rPr>
        <w:t xml:space="preserve">poistenia na Slovensku spolu s návrhom opatrení zameraných na zvýšenie </w:t>
      </w:r>
      <w:r>
        <w:rPr>
          <w:rFonts w:eastAsia="Arial Narrow" w:cs="Arial Narrow"/>
          <w:b/>
          <w:bCs/>
        </w:rPr>
        <w:t xml:space="preserve">efektívnosti verejných výdavkov </w:t>
      </w:r>
      <w:r w:rsidRPr="00521AC3">
        <w:rPr>
          <w:rFonts w:eastAsia="Arial Narrow" w:cs="Arial Narrow"/>
          <w:b/>
          <w:bCs/>
        </w:rPr>
        <w:t>a zároveň na zlepšenie prístupu podpory pre ľudí, ktorým zdravotný stav nedovoľuje pracovať.</w:t>
      </w:r>
      <w:r w:rsidR="00E76BBC" w:rsidRPr="00521AC3">
        <w:rPr>
          <w:rFonts w:eastAsia="Arial Narrow" w:cs="Arial Narrow"/>
          <w:b/>
          <w:bCs/>
        </w:rPr>
        <w:br w:type="page"/>
      </w:r>
    </w:p>
    <w:p w14:paraId="66A72B2C" w14:textId="58AB6A3E" w:rsidR="00E76BBC" w:rsidRPr="00CA2564" w:rsidRDefault="00E76BBC" w:rsidP="00E76BBC">
      <w:pPr>
        <w:pStyle w:val="Nadpis1"/>
        <w:rPr>
          <w:noProof/>
        </w:rPr>
      </w:pPr>
      <w:bookmarkStart w:id="1084" w:name="_Ref25233946"/>
      <w:bookmarkStart w:id="1085" w:name="_Ref25313989"/>
      <w:bookmarkStart w:id="1086" w:name="_Ref25315719"/>
      <w:bookmarkStart w:id="1087" w:name="_Ref25315787"/>
      <w:bookmarkStart w:id="1088" w:name="_Ref25315794"/>
      <w:bookmarkStart w:id="1089" w:name="_Ref25321745"/>
      <w:bookmarkStart w:id="1090" w:name="_Ref25321775"/>
      <w:bookmarkStart w:id="1091" w:name="_Toc34657736"/>
      <w:bookmarkStart w:id="1092" w:name="_Toc18340949"/>
      <w:r>
        <w:t>Dostupnosť bývania a základnej infraštruktúry</w:t>
      </w:r>
      <w:bookmarkEnd w:id="1084"/>
      <w:bookmarkEnd w:id="1085"/>
      <w:bookmarkEnd w:id="1086"/>
      <w:bookmarkEnd w:id="1087"/>
      <w:bookmarkEnd w:id="1088"/>
      <w:bookmarkEnd w:id="1089"/>
      <w:bookmarkEnd w:id="1090"/>
      <w:bookmarkEnd w:id="1091"/>
    </w:p>
    <w:p w14:paraId="7074886D" w14:textId="3616D37F" w:rsidR="00C14FFF" w:rsidRPr="00CA2564" w:rsidRDefault="00135CFE" w:rsidP="00C14FFF">
      <w:pPr>
        <w:pStyle w:val="Odsekzoznamu"/>
        <w:numPr>
          <w:ilvl w:val="0"/>
          <w:numId w:val="6"/>
        </w:numPr>
        <w:spacing w:after="160"/>
        <w:ind w:left="360"/>
        <w:rPr>
          <w:b/>
          <w:color w:val="000000" w:themeColor="text1"/>
        </w:rPr>
      </w:pPr>
      <w:bookmarkStart w:id="1093" w:name="_Toc19342317"/>
      <w:bookmarkStart w:id="1094" w:name="_Toc19426491"/>
      <w:bookmarkStart w:id="1095" w:name="_Toc19429615"/>
      <w:bookmarkStart w:id="1096" w:name="_Toc19460078"/>
      <w:bookmarkStart w:id="1097" w:name="_Toc19460395"/>
      <w:bookmarkStart w:id="1098" w:name="_Toc19460610"/>
      <w:bookmarkStart w:id="1099" w:name="_Toc19464903"/>
      <w:bookmarkStart w:id="1100" w:name="_Toc19468496"/>
      <w:bookmarkStart w:id="1101" w:name="_Toc19515844"/>
      <w:bookmarkStart w:id="1102" w:name="_Toc19517893"/>
      <w:bookmarkStart w:id="1103" w:name="_Toc19531943"/>
      <w:bookmarkStart w:id="1104" w:name="_Toc19539965"/>
      <w:bookmarkStart w:id="1105" w:name="_Toc19686897"/>
      <w:bookmarkStart w:id="1106" w:name="_Toc19711542"/>
      <w:bookmarkStart w:id="1107" w:name="_Toc19711758"/>
      <w:bookmarkStart w:id="1108" w:name="_Toc19723972"/>
      <w:bookmarkStart w:id="1109" w:name="_Toc19880233"/>
      <w:bookmarkStart w:id="1110" w:name="_Toc19881553"/>
      <w:bookmarkStart w:id="1111" w:name="_Toc19885999"/>
      <w:bookmarkStart w:id="1112" w:name="_Toc19940013"/>
      <w:bookmarkStart w:id="1113" w:name="_Toc19342318"/>
      <w:bookmarkStart w:id="1114" w:name="_Toc19426492"/>
      <w:bookmarkStart w:id="1115" w:name="_Toc19429616"/>
      <w:bookmarkStart w:id="1116" w:name="_Toc19460079"/>
      <w:bookmarkStart w:id="1117" w:name="_Toc19460396"/>
      <w:bookmarkStart w:id="1118" w:name="_Toc19460611"/>
      <w:bookmarkStart w:id="1119" w:name="_Toc19464904"/>
      <w:bookmarkStart w:id="1120" w:name="_Toc19468497"/>
      <w:bookmarkStart w:id="1121" w:name="_Toc19515845"/>
      <w:bookmarkStart w:id="1122" w:name="_Toc19517894"/>
      <w:bookmarkStart w:id="1123" w:name="_Toc19531944"/>
      <w:bookmarkStart w:id="1124" w:name="_Toc19539966"/>
      <w:bookmarkStart w:id="1125" w:name="_Toc19686898"/>
      <w:bookmarkStart w:id="1126" w:name="_Toc19711543"/>
      <w:bookmarkStart w:id="1127" w:name="_Toc19711759"/>
      <w:bookmarkStart w:id="1128" w:name="_Toc19723973"/>
      <w:bookmarkStart w:id="1129" w:name="_Toc19880234"/>
      <w:bookmarkStart w:id="1130" w:name="_Toc19881554"/>
      <w:bookmarkStart w:id="1131" w:name="_Toc19886000"/>
      <w:bookmarkStart w:id="1132" w:name="_Toc19940014"/>
      <w:bookmarkStart w:id="1133" w:name="_Toc19342319"/>
      <w:bookmarkStart w:id="1134" w:name="_Toc19426493"/>
      <w:bookmarkStart w:id="1135" w:name="_Toc19429617"/>
      <w:bookmarkStart w:id="1136" w:name="_Toc19460080"/>
      <w:bookmarkStart w:id="1137" w:name="_Toc19460397"/>
      <w:bookmarkStart w:id="1138" w:name="_Toc19460612"/>
      <w:bookmarkStart w:id="1139" w:name="_Toc19464905"/>
      <w:bookmarkStart w:id="1140" w:name="_Toc19468498"/>
      <w:bookmarkStart w:id="1141" w:name="_Toc19515846"/>
      <w:bookmarkStart w:id="1142" w:name="_Toc19517895"/>
      <w:bookmarkStart w:id="1143" w:name="_Toc19531945"/>
      <w:bookmarkStart w:id="1144" w:name="_Toc19539967"/>
      <w:bookmarkStart w:id="1145" w:name="_Toc19686899"/>
      <w:bookmarkStart w:id="1146" w:name="_Toc19711544"/>
      <w:bookmarkStart w:id="1147" w:name="_Toc19711760"/>
      <w:bookmarkStart w:id="1148" w:name="_Toc19723974"/>
      <w:bookmarkStart w:id="1149" w:name="_Toc19880235"/>
      <w:bookmarkStart w:id="1150" w:name="_Toc19881555"/>
      <w:bookmarkStart w:id="1151" w:name="_Toc19886001"/>
      <w:bookmarkStart w:id="1152" w:name="_Toc19940015"/>
      <w:bookmarkStart w:id="1153" w:name="_Toc19342320"/>
      <w:bookmarkStart w:id="1154" w:name="_Toc19426494"/>
      <w:bookmarkStart w:id="1155" w:name="_Toc19429618"/>
      <w:bookmarkStart w:id="1156" w:name="_Toc19460081"/>
      <w:bookmarkStart w:id="1157" w:name="_Toc19460398"/>
      <w:bookmarkStart w:id="1158" w:name="_Toc19460613"/>
      <w:bookmarkStart w:id="1159" w:name="_Toc19464906"/>
      <w:bookmarkStart w:id="1160" w:name="_Toc19468499"/>
      <w:bookmarkStart w:id="1161" w:name="_Toc19515847"/>
      <w:bookmarkStart w:id="1162" w:name="_Toc19517896"/>
      <w:bookmarkStart w:id="1163" w:name="_Toc19531946"/>
      <w:bookmarkStart w:id="1164" w:name="_Toc19539968"/>
      <w:bookmarkStart w:id="1165" w:name="_Toc19686900"/>
      <w:bookmarkStart w:id="1166" w:name="_Toc19711545"/>
      <w:bookmarkStart w:id="1167" w:name="_Toc19711761"/>
      <w:bookmarkStart w:id="1168" w:name="_Toc19723975"/>
      <w:bookmarkStart w:id="1169" w:name="_Toc19880236"/>
      <w:bookmarkStart w:id="1170" w:name="_Toc19881556"/>
      <w:bookmarkStart w:id="1171" w:name="_Toc19886002"/>
      <w:bookmarkStart w:id="1172" w:name="_Toc19940016"/>
      <w:bookmarkStart w:id="1173" w:name="_Toc19342321"/>
      <w:bookmarkStart w:id="1174" w:name="_Toc19426495"/>
      <w:bookmarkStart w:id="1175" w:name="_Toc19429619"/>
      <w:bookmarkStart w:id="1176" w:name="_Toc19460082"/>
      <w:bookmarkStart w:id="1177" w:name="_Toc19460399"/>
      <w:bookmarkStart w:id="1178" w:name="_Toc19460614"/>
      <w:bookmarkStart w:id="1179" w:name="_Toc19464907"/>
      <w:bookmarkStart w:id="1180" w:name="_Toc19468500"/>
      <w:bookmarkStart w:id="1181" w:name="_Toc19515848"/>
      <w:bookmarkStart w:id="1182" w:name="_Toc19517897"/>
      <w:bookmarkStart w:id="1183" w:name="_Toc19531947"/>
      <w:bookmarkStart w:id="1184" w:name="_Toc19539969"/>
      <w:bookmarkStart w:id="1185" w:name="_Toc19686901"/>
      <w:bookmarkStart w:id="1186" w:name="_Toc19711546"/>
      <w:bookmarkStart w:id="1187" w:name="_Toc19711762"/>
      <w:bookmarkStart w:id="1188" w:name="_Toc19723976"/>
      <w:bookmarkStart w:id="1189" w:name="_Toc19880237"/>
      <w:bookmarkStart w:id="1190" w:name="_Toc19881557"/>
      <w:bookmarkStart w:id="1191" w:name="_Toc19886003"/>
      <w:bookmarkStart w:id="1192" w:name="_Toc19940017"/>
      <w:bookmarkStart w:id="1193" w:name="_Toc19342322"/>
      <w:bookmarkStart w:id="1194" w:name="_Toc19426496"/>
      <w:bookmarkStart w:id="1195" w:name="_Toc19429620"/>
      <w:bookmarkStart w:id="1196" w:name="_Toc19460083"/>
      <w:bookmarkStart w:id="1197" w:name="_Toc19460400"/>
      <w:bookmarkStart w:id="1198" w:name="_Toc19460615"/>
      <w:bookmarkStart w:id="1199" w:name="_Toc19464908"/>
      <w:bookmarkStart w:id="1200" w:name="_Toc19468501"/>
      <w:bookmarkStart w:id="1201" w:name="_Toc19515849"/>
      <w:bookmarkStart w:id="1202" w:name="_Toc19517898"/>
      <w:bookmarkStart w:id="1203" w:name="_Toc19531948"/>
      <w:bookmarkStart w:id="1204" w:name="_Toc19539970"/>
      <w:bookmarkStart w:id="1205" w:name="_Toc19686902"/>
      <w:bookmarkStart w:id="1206" w:name="_Toc19711547"/>
      <w:bookmarkStart w:id="1207" w:name="_Toc19711763"/>
      <w:bookmarkStart w:id="1208" w:name="_Toc19723977"/>
      <w:bookmarkStart w:id="1209" w:name="_Toc19880238"/>
      <w:bookmarkStart w:id="1210" w:name="_Toc19881558"/>
      <w:bookmarkStart w:id="1211" w:name="_Toc19886004"/>
      <w:bookmarkStart w:id="1212" w:name="_Toc19940018"/>
      <w:bookmarkStart w:id="1213" w:name="_Toc19342323"/>
      <w:bookmarkStart w:id="1214" w:name="_Toc19426497"/>
      <w:bookmarkStart w:id="1215" w:name="_Toc19429621"/>
      <w:bookmarkStart w:id="1216" w:name="_Toc19460084"/>
      <w:bookmarkStart w:id="1217" w:name="_Toc19460401"/>
      <w:bookmarkStart w:id="1218" w:name="_Toc19460616"/>
      <w:bookmarkStart w:id="1219" w:name="_Toc19464909"/>
      <w:bookmarkStart w:id="1220" w:name="_Toc19468502"/>
      <w:bookmarkStart w:id="1221" w:name="_Toc19515850"/>
      <w:bookmarkStart w:id="1222" w:name="_Toc19517899"/>
      <w:bookmarkStart w:id="1223" w:name="_Toc19531949"/>
      <w:bookmarkStart w:id="1224" w:name="_Toc19539971"/>
      <w:bookmarkStart w:id="1225" w:name="_Toc19686903"/>
      <w:bookmarkStart w:id="1226" w:name="_Toc19711548"/>
      <w:bookmarkStart w:id="1227" w:name="_Toc19711764"/>
      <w:bookmarkStart w:id="1228" w:name="_Toc19723978"/>
      <w:bookmarkStart w:id="1229" w:name="_Toc19880239"/>
      <w:bookmarkStart w:id="1230" w:name="_Toc19881559"/>
      <w:bookmarkStart w:id="1231" w:name="_Toc19886005"/>
      <w:bookmarkStart w:id="1232" w:name="_Toc19940019"/>
      <w:bookmarkStart w:id="1233" w:name="_Toc19342324"/>
      <w:bookmarkStart w:id="1234" w:name="_Toc19426498"/>
      <w:bookmarkStart w:id="1235" w:name="_Toc19429622"/>
      <w:bookmarkStart w:id="1236" w:name="_Toc19460085"/>
      <w:bookmarkStart w:id="1237" w:name="_Toc19460402"/>
      <w:bookmarkStart w:id="1238" w:name="_Toc19460617"/>
      <w:bookmarkStart w:id="1239" w:name="_Toc19464910"/>
      <w:bookmarkStart w:id="1240" w:name="_Toc19468503"/>
      <w:bookmarkStart w:id="1241" w:name="_Toc19515851"/>
      <w:bookmarkStart w:id="1242" w:name="_Toc19517900"/>
      <w:bookmarkStart w:id="1243" w:name="_Toc19531950"/>
      <w:bookmarkStart w:id="1244" w:name="_Toc19539972"/>
      <w:bookmarkStart w:id="1245" w:name="_Toc19686904"/>
      <w:bookmarkStart w:id="1246" w:name="_Toc19711549"/>
      <w:bookmarkStart w:id="1247" w:name="_Toc19711765"/>
      <w:bookmarkStart w:id="1248" w:name="_Toc19723979"/>
      <w:bookmarkStart w:id="1249" w:name="_Toc19880240"/>
      <w:bookmarkStart w:id="1250" w:name="_Toc19881560"/>
      <w:bookmarkStart w:id="1251" w:name="_Toc19886006"/>
      <w:bookmarkStart w:id="1252" w:name="_Toc19940020"/>
      <w:bookmarkStart w:id="1253" w:name="_Toc19342325"/>
      <w:bookmarkStart w:id="1254" w:name="_Toc19426499"/>
      <w:bookmarkStart w:id="1255" w:name="_Toc19429623"/>
      <w:bookmarkStart w:id="1256" w:name="_Toc19460086"/>
      <w:bookmarkStart w:id="1257" w:name="_Toc19460403"/>
      <w:bookmarkStart w:id="1258" w:name="_Toc19460618"/>
      <w:bookmarkStart w:id="1259" w:name="_Toc19464911"/>
      <w:bookmarkStart w:id="1260" w:name="_Toc19468504"/>
      <w:bookmarkStart w:id="1261" w:name="_Toc19515852"/>
      <w:bookmarkStart w:id="1262" w:name="_Toc19517901"/>
      <w:bookmarkStart w:id="1263" w:name="_Toc19531951"/>
      <w:bookmarkStart w:id="1264" w:name="_Toc19539973"/>
      <w:bookmarkStart w:id="1265" w:name="_Toc19686905"/>
      <w:bookmarkStart w:id="1266" w:name="_Toc19711550"/>
      <w:bookmarkStart w:id="1267" w:name="_Toc19711766"/>
      <w:bookmarkStart w:id="1268" w:name="_Toc19723980"/>
      <w:bookmarkStart w:id="1269" w:name="_Toc19880241"/>
      <w:bookmarkStart w:id="1270" w:name="_Toc19881561"/>
      <w:bookmarkStart w:id="1271" w:name="_Toc19886007"/>
      <w:bookmarkStart w:id="1272" w:name="_Toc19940021"/>
      <w:bookmarkStart w:id="1273" w:name="_Toc19342326"/>
      <w:bookmarkStart w:id="1274" w:name="_Toc19426500"/>
      <w:bookmarkStart w:id="1275" w:name="_Toc19429624"/>
      <w:bookmarkStart w:id="1276" w:name="_Toc19460087"/>
      <w:bookmarkStart w:id="1277" w:name="_Toc19460404"/>
      <w:bookmarkStart w:id="1278" w:name="_Toc19460619"/>
      <w:bookmarkStart w:id="1279" w:name="_Toc19464912"/>
      <w:bookmarkStart w:id="1280" w:name="_Toc19468505"/>
      <w:bookmarkStart w:id="1281" w:name="_Toc19515853"/>
      <w:bookmarkStart w:id="1282" w:name="_Toc19517902"/>
      <w:bookmarkStart w:id="1283" w:name="_Toc19531952"/>
      <w:bookmarkStart w:id="1284" w:name="_Toc19539974"/>
      <w:bookmarkStart w:id="1285" w:name="_Toc19686906"/>
      <w:bookmarkStart w:id="1286" w:name="_Toc19711551"/>
      <w:bookmarkStart w:id="1287" w:name="_Toc19711767"/>
      <w:bookmarkStart w:id="1288" w:name="_Toc19723981"/>
      <w:bookmarkStart w:id="1289" w:name="_Toc19880242"/>
      <w:bookmarkStart w:id="1290" w:name="_Toc19881562"/>
      <w:bookmarkStart w:id="1291" w:name="_Toc19886008"/>
      <w:bookmarkStart w:id="1292" w:name="_Toc19940022"/>
      <w:bookmarkStart w:id="1293" w:name="_Toc19342327"/>
      <w:bookmarkStart w:id="1294" w:name="_Toc19426501"/>
      <w:bookmarkStart w:id="1295" w:name="_Toc19429625"/>
      <w:bookmarkStart w:id="1296" w:name="_Toc19460088"/>
      <w:bookmarkStart w:id="1297" w:name="_Toc19460405"/>
      <w:bookmarkStart w:id="1298" w:name="_Toc19460620"/>
      <w:bookmarkStart w:id="1299" w:name="_Toc19464913"/>
      <w:bookmarkStart w:id="1300" w:name="_Toc19468506"/>
      <w:bookmarkStart w:id="1301" w:name="_Toc19515854"/>
      <w:bookmarkStart w:id="1302" w:name="_Toc19517903"/>
      <w:bookmarkStart w:id="1303" w:name="_Toc19531953"/>
      <w:bookmarkStart w:id="1304" w:name="_Toc19539975"/>
      <w:bookmarkStart w:id="1305" w:name="_Toc19686907"/>
      <w:bookmarkStart w:id="1306" w:name="_Toc19711552"/>
      <w:bookmarkStart w:id="1307" w:name="_Toc19711768"/>
      <w:bookmarkStart w:id="1308" w:name="_Toc19723982"/>
      <w:bookmarkStart w:id="1309" w:name="_Toc19880243"/>
      <w:bookmarkStart w:id="1310" w:name="_Toc19881563"/>
      <w:bookmarkStart w:id="1311" w:name="_Toc19886009"/>
      <w:bookmarkStart w:id="1312" w:name="_Toc19940023"/>
      <w:bookmarkStart w:id="1313" w:name="_Toc19342328"/>
      <w:bookmarkStart w:id="1314" w:name="_Toc19426502"/>
      <w:bookmarkStart w:id="1315" w:name="_Toc19429626"/>
      <w:bookmarkStart w:id="1316" w:name="_Toc19460089"/>
      <w:bookmarkStart w:id="1317" w:name="_Toc19460406"/>
      <w:bookmarkStart w:id="1318" w:name="_Toc19460621"/>
      <w:bookmarkStart w:id="1319" w:name="_Toc19464914"/>
      <w:bookmarkStart w:id="1320" w:name="_Toc19468507"/>
      <w:bookmarkStart w:id="1321" w:name="_Toc19515855"/>
      <w:bookmarkStart w:id="1322" w:name="_Toc19517904"/>
      <w:bookmarkStart w:id="1323" w:name="_Toc19531954"/>
      <w:bookmarkStart w:id="1324" w:name="_Toc19539976"/>
      <w:bookmarkStart w:id="1325" w:name="_Toc19686908"/>
      <w:bookmarkStart w:id="1326" w:name="_Toc19711553"/>
      <w:bookmarkStart w:id="1327" w:name="_Toc19711769"/>
      <w:bookmarkStart w:id="1328" w:name="_Toc19723983"/>
      <w:bookmarkStart w:id="1329" w:name="_Toc19880244"/>
      <w:bookmarkStart w:id="1330" w:name="_Toc19881564"/>
      <w:bookmarkStart w:id="1331" w:name="_Toc19886010"/>
      <w:bookmarkStart w:id="1332" w:name="_Toc19940024"/>
      <w:bookmarkStart w:id="1333" w:name="_Toc19342333"/>
      <w:bookmarkStart w:id="1334" w:name="_Toc19426507"/>
      <w:bookmarkStart w:id="1335" w:name="_Toc19429631"/>
      <w:bookmarkStart w:id="1336" w:name="_Toc19460094"/>
      <w:bookmarkStart w:id="1337" w:name="_Toc19460411"/>
      <w:bookmarkStart w:id="1338" w:name="_Toc19460626"/>
      <w:bookmarkStart w:id="1339" w:name="_Toc19464919"/>
      <w:bookmarkStart w:id="1340" w:name="_Toc19468512"/>
      <w:bookmarkStart w:id="1341" w:name="_Toc19515860"/>
      <w:bookmarkStart w:id="1342" w:name="_Toc19517909"/>
      <w:bookmarkStart w:id="1343" w:name="_Toc19531959"/>
      <w:bookmarkStart w:id="1344" w:name="_Toc19539981"/>
      <w:bookmarkStart w:id="1345" w:name="_Toc19686913"/>
      <w:bookmarkStart w:id="1346" w:name="_Toc19711558"/>
      <w:bookmarkStart w:id="1347" w:name="_Toc19711774"/>
      <w:bookmarkStart w:id="1348" w:name="_Toc19723988"/>
      <w:bookmarkStart w:id="1349" w:name="_Toc19880249"/>
      <w:bookmarkStart w:id="1350" w:name="_Toc19881569"/>
      <w:bookmarkStart w:id="1351" w:name="_Toc19886015"/>
      <w:bookmarkStart w:id="1352" w:name="_Toc19940029"/>
      <w:bookmarkStart w:id="1353" w:name="_Toc19342346"/>
      <w:bookmarkStart w:id="1354" w:name="_Toc19426520"/>
      <w:bookmarkStart w:id="1355" w:name="_Toc19429644"/>
      <w:bookmarkStart w:id="1356" w:name="_Toc19460107"/>
      <w:bookmarkStart w:id="1357" w:name="_Toc19460424"/>
      <w:bookmarkStart w:id="1358" w:name="_Toc19460639"/>
      <w:bookmarkStart w:id="1359" w:name="_Toc19464932"/>
      <w:bookmarkStart w:id="1360" w:name="_Toc19468525"/>
      <w:bookmarkStart w:id="1361" w:name="_Toc19515873"/>
      <w:bookmarkStart w:id="1362" w:name="_Toc19517922"/>
      <w:bookmarkStart w:id="1363" w:name="_Toc19531972"/>
      <w:bookmarkStart w:id="1364" w:name="_Toc19539994"/>
      <w:bookmarkStart w:id="1365" w:name="_Toc19686926"/>
      <w:bookmarkStart w:id="1366" w:name="_Toc19711571"/>
      <w:bookmarkStart w:id="1367" w:name="_Toc19711787"/>
      <w:bookmarkStart w:id="1368" w:name="_Toc19724001"/>
      <w:bookmarkStart w:id="1369" w:name="_Toc19880262"/>
      <w:bookmarkStart w:id="1370" w:name="_Toc19881582"/>
      <w:bookmarkStart w:id="1371" w:name="_Toc19886028"/>
      <w:bookmarkStart w:id="1372" w:name="_Toc19940042"/>
      <w:bookmarkStart w:id="1373" w:name="_Toc19342347"/>
      <w:bookmarkStart w:id="1374" w:name="_Toc19426521"/>
      <w:bookmarkStart w:id="1375" w:name="_Toc19429645"/>
      <w:bookmarkStart w:id="1376" w:name="_Toc19460108"/>
      <w:bookmarkStart w:id="1377" w:name="_Toc19460425"/>
      <w:bookmarkStart w:id="1378" w:name="_Toc19460640"/>
      <w:bookmarkStart w:id="1379" w:name="_Toc19464933"/>
      <w:bookmarkStart w:id="1380" w:name="_Toc19468526"/>
      <w:bookmarkStart w:id="1381" w:name="_Toc19515874"/>
      <w:bookmarkStart w:id="1382" w:name="_Toc19517923"/>
      <w:bookmarkStart w:id="1383" w:name="_Toc19531973"/>
      <w:bookmarkStart w:id="1384" w:name="_Toc19539995"/>
      <w:bookmarkStart w:id="1385" w:name="_Toc19686927"/>
      <w:bookmarkStart w:id="1386" w:name="_Toc19711572"/>
      <w:bookmarkStart w:id="1387" w:name="_Toc19711788"/>
      <w:bookmarkStart w:id="1388" w:name="_Toc19724002"/>
      <w:bookmarkStart w:id="1389" w:name="_Toc19880263"/>
      <w:bookmarkStart w:id="1390" w:name="_Toc19881583"/>
      <w:bookmarkStart w:id="1391" w:name="_Toc19886029"/>
      <w:bookmarkStart w:id="1392" w:name="_Toc19940043"/>
      <w:bookmarkStart w:id="1393" w:name="_Toc19342348"/>
      <w:bookmarkStart w:id="1394" w:name="_Toc19426522"/>
      <w:bookmarkStart w:id="1395" w:name="_Toc19429646"/>
      <w:bookmarkStart w:id="1396" w:name="_Toc19460109"/>
      <w:bookmarkStart w:id="1397" w:name="_Toc19460426"/>
      <w:bookmarkStart w:id="1398" w:name="_Toc19460641"/>
      <w:bookmarkStart w:id="1399" w:name="_Toc19464934"/>
      <w:bookmarkStart w:id="1400" w:name="_Toc19468527"/>
      <w:bookmarkStart w:id="1401" w:name="_Toc19515875"/>
      <w:bookmarkStart w:id="1402" w:name="_Toc19517924"/>
      <w:bookmarkStart w:id="1403" w:name="_Toc19531974"/>
      <w:bookmarkStart w:id="1404" w:name="_Toc19539996"/>
      <w:bookmarkStart w:id="1405" w:name="_Toc19686928"/>
      <w:bookmarkStart w:id="1406" w:name="_Toc19711573"/>
      <w:bookmarkStart w:id="1407" w:name="_Toc19711789"/>
      <w:bookmarkStart w:id="1408" w:name="_Toc19724003"/>
      <w:bookmarkStart w:id="1409" w:name="_Toc19880264"/>
      <w:bookmarkStart w:id="1410" w:name="_Toc19881584"/>
      <w:bookmarkStart w:id="1411" w:name="_Toc19886030"/>
      <w:bookmarkStart w:id="1412" w:name="_Toc19940044"/>
      <w:bookmarkStart w:id="1413" w:name="_Toc19342349"/>
      <w:bookmarkStart w:id="1414" w:name="_Toc19426523"/>
      <w:bookmarkStart w:id="1415" w:name="_Toc19429647"/>
      <w:bookmarkStart w:id="1416" w:name="_Toc19460110"/>
      <w:bookmarkStart w:id="1417" w:name="_Toc19460427"/>
      <w:bookmarkStart w:id="1418" w:name="_Toc19460642"/>
      <w:bookmarkStart w:id="1419" w:name="_Toc19464935"/>
      <w:bookmarkStart w:id="1420" w:name="_Toc19468528"/>
      <w:bookmarkStart w:id="1421" w:name="_Toc19515876"/>
      <w:bookmarkStart w:id="1422" w:name="_Toc19517925"/>
      <w:bookmarkStart w:id="1423" w:name="_Toc19531975"/>
      <w:bookmarkStart w:id="1424" w:name="_Toc19539997"/>
      <w:bookmarkStart w:id="1425" w:name="_Toc19686929"/>
      <w:bookmarkStart w:id="1426" w:name="_Toc19711574"/>
      <w:bookmarkStart w:id="1427" w:name="_Toc19711790"/>
      <w:bookmarkStart w:id="1428" w:name="_Toc19724004"/>
      <w:bookmarkStart w:id="1429" w:name="_Toc19880265"/>
      <w:bookmarkStart w:id="1430" w:name="_Toc19881585"/>
      <w:bookmarkStart w:id="1431" w:name="_Toc19886031"/>
      <w:bookmarkStart w:id="1432" w:name="_Toc19940045"/>
      <w:bookmarkStart w:id="1433" w:name="_Toc19342350"/>
      <w:bookmarkStart w:id="1434" w:name="_Toc19426524"/>
      <w:bookmarkStart w:id="1435" w:name="_Toc19429648"/>
      <w:bookmarkStart w:id="1436" w:name="_Toc19460111"/>
      <w:bookmarkStart w:id="1437" w:name="_Toc19460428"/>
      <w:bookmarkStart w:id="1438" w:name="_Toc19460643"/>
      <w:bookmarkStart w:id="1439" w:name="_Toc19464936"/>
      <w:bookmarkStart w:id="1440" w:name="_Toc19468529"/>
      <w:bookmarkStart w:id="1441" w:name="_Toc19515877"/>
      <w:bookmarkStart w:id="1442" w:name="_Toc19517926"/>
      <w:bookmarkStart w:id="1443" w:name="_Toc19531976"/>
      <w:bookmarkStart w:id="1444" w:name="_Toc19539998"/>
      <w:bookmarkStart w:id="1445" w:name="_Toc19686930"/>
      <w:bookmarkStart w:id="1446" w:name="_Toc19711575"/>
      <w:bookmarkStart w:id="1447" w:name="_Toc19711791"/>
      <w:bookmarkStart w:id="1448" w:name="_Toc19724005"/>
      <w:bookmarkStart w:id="1449" w:name="_Toc19880266"/>
      <w:bookmarkStart w:id="1450" w:name="_Toc19881586"/>
      <w:bookmarkStart w:id="1451" w:name="_Toc19886032"/>
      <w:bookmarkStart w:id="1452" w:name="_Toc19940046"/>
      <w:bookmarkStart w:id="1453" w:name="_Toc19342351"/>
      <w:bookmarkStart w:id="1454" w:name="_Toc19426525"/>
      <w:bookmarkStart w:id="1455" w:name="_Toc19429649"/>
      <w:bookmarkStart w:id="1456" w:name="_Toc19460112"/>
      <w:bookmarkStart w:id="1457" w:name="_Toc19460429"/>
      <w:bookmarkStart w:id="1458" w:name="_Toc19460644"/>
      <w:bookmarkStart w:id="1459" w:name="_Toc19464937"/>
      <w:bookmarkStart w:id="1460" w:name="_Toc19468530"/>
      <w:bookmarkStart w:id="1461" w:name="_Toc19515878"/>
      <w:bookmarkStart w:id="1462" w:name="_Toc19517927"/>
      <w:bookmarkStart w:id="1463" w:name="_Toc19531977"/>
      <w:bookmarkStart w:id="1464" w:name="_Toc19539999"/>
      <w:bookmarkStart w:id="1465" w:name="_Toc19686931"/>
      <w:bookmarkStart w:id="1466" w:name="_Toc19711576"/>
      <w:bookmarkStart w:id="1467" w:name="_Toc19711792"/>
      <w:bookmarkStart w:id="1468" w:name="_Toc19724006"/>
      <w:bookmarkStart w:id="1469" w:name="_Toc19880267"/>
      <w:bookmarkStart w:id="1470" w:name="_Toc19881587"/>
      <w:bookmarkStart w:id="1471" w:name="_Toc19886033"/>
      <w:bookmarkStart w:id="1472" w:name="_Toc19940047"/>
      <w:bookmarkStart w:id="1473" w:name="_Toc19342352"/>
      <w:bookmarkStart w:id="1474" w:name="_Toc19426526"/>
      <w:bookmarkStart w:id="1475" w:name="_Toc19429650"/>
      <w:bookmarkStart w:id="1476" w:name="_Toc19460113"/>
      <w:bookmarkStart w:id="1477" w:name="_Toc19460430"/>
      <w:bookmarkStart w:id="1478" w:name="_Toc19460645"/>
      <w:bookmarkStart w:id="1479" w:name="_Toc19464938"/>
      <w:bookmarkStart w:id="1480" w:name="_Toc19468531"/>
      <w:bookmarkStart w:id="1481" w:name="_Toc19515879"/>
      <w:bookmarkStart w:id="1482" w:name="_Toc19517928"/>
      <w:bookmarkStart w:id="1483" w:name="_Toc19531978"/>
      <w:bookmarkStart w:id="1484" w:name="_Toc19540000"/>
      <w:bookmarkStart w:id="1485" w:name="_Toc19686932"/>
      <w:bookmarkStart w:id="1486" w:name="_Toc19711577"/>
      <w:bookmarkStart w:id="1487" w:name="_Toc19711793"/>
      <w:bookmarkStart w:id="1488" w:name="_Toc19724007"/>
      <w:bookmarkStart w:id="1489" w:name="_Toc19880268"/>
      <w:bookmarkStart w:id="1490" w:name="_Toc19881588"/>
      <w:bookmarkStart w:id="1491" w:name="_Toc19886034"/>
      <w:bookmarkStart w:id="1492" w:name="_Toc19940048"/>
      <w:bookmarkStart w:id="1493" w:name="_Toc19342353"/>
      <w:bookmarkStart w:id="1494" w:name="_Toc19426527"/>
      <w:bookmarkStart w:id="1495" w:name="_Toc19429651"/>
      <w:bookmarkStart w:id="1496" w:name="_Toc19460114"/>
      <w:bookmarkStart w:id="1497" w:name="_Toc19460431"/>
      <w:bookmarkStart w:id="1498" w:name="_Toc19460646"/>
      <w:bookmarkStart w:id="1499" w:name="_Toc19464939"/>
      <w:bookmarkStart w:id="1500" w:name="_Toc19468532"/>
      <w:bookmarkStart w:id="1501" w:name="_Toc19515880"/>
      <w:bookmarkStart w:id="1502" w:name="_Toc19517929"/>
      <w:bookmarkStart w:id="1503" w:name="_Toc19531979"/>
      <w:bookmarkStart w:id="1504" w:name="_Toc19540001"/>
      <w:bookmarkStart w:id="1505" w:name="_Toc19686933"/>
      <w:bookmarkStart w:id="1506" w:name="_Toc19711578"/>
      <w:bookmarkStart w:id="1507" w:name="_Toc19711794"/>
      <w:bookmarkStart w:id="1508" w:name="_Toc19724008"/>
      <w:bookmarkStart w:id="1509" w:name="_Toc19880269"/>
      <w:bookmarkStart w:id="1510" w:name="_Toc19881589"/>
      <w:bookmarkStart w:id="1511" w:name="_Toc19886035"/>
      <w:bookmarkStart w:id="1512" w:name="_Toc19940049"/>
      <w:bookmarkStart w:id="1513" w:name="_Toc19342354"/>
      <w:bookmarkStart w:id="1514" w:name="_Toc19426528"/>
      <w:bookmarkStart w:id="1515" w:name="_Toc19429652"/>
      <w:bookmarkStart w:id="1516" w:name="_Toc19460115"/>
      <w:bookmarkStart w:id="1517" w:name="_Toc19460432"/>
      <w:bookmarkStart w:id="1518" w:name="_Toc19460647"/>
      <w:bookmarkStart w:id="1519" w:name="_Toc19464940"/>
      <w:bookmarkStart w:id="1520" w:name="_Toc19468533"/>
      <w:bookmarkStart w:id="1521" w:name="_Toc19515881"/>
      <w:bookmarkStart w:id="1522" w:name="_Toc19517930"/>
      <w:bookmarkStart w:id="1523" w:name="_Toc19531980"/>
      <w:bookmarkStart w:id="1524" w:name="_Toc19540002"/>
      <w:bookmarkStart w:id="1525" w:name="_Toc19686934"/>
      <w:bookmarkStart w:id="1526" w:name="_Toc19711579"/>
      <w:bookmarkStart w:id="1527" w:name="_Toc19711795"/>
      <w:bookmarkStart w:id="1528" w:name="_Toc19724009"/>
      <w:bookmarkStart w:id="1529" w:name="_Toc19880270"/>
      <w:bookmarkStart w:id="1530" w:name="_Toc19881590"/>
      <w:bookmarkStart w:id="1531" w:name="_Toc19886036"/>
      <w:bookmarkStart w:id="1532" w:name="_Toc19940050"/>
      <w:bookmarkStart w:id="1533" w:name="_Toc19342355"/>
      <w:bookmarkStart w:id="1534" w:name="_Toc19426529"/>
      <w:bookmarkStart w:id="1535" w:name="_Toc19429653"/>
      <w:bookmarkStart w:id="1536" w:name="_Toc19460116"/>
      <w:bookmarkStart w:id="1537" w:name="_Toc19460433"/>
      <w:bookmarkStart w:id="1538" w:name="_Toc19460648"/>
      <w:bookmarkStart w:id="1539" w:name="_Toc19464941"/>
      <w:bookmarkStart w:id="1540" w:name="_Toc19468534"/>
      <w:bookmarkStart w:id="1541" w:name="_Toc19515882"/>
      <w:bookmarkStart w:id="1542" w:name="_Toc19517931"/>
      <w:bookmarkStart w:id="1543" w:name="_Toc19531981"/>
      <w:bookmarkStart w:id="1544" w:name="_Toc19540003"/>
      <w:bookmarkStart w:id="1545" w:name="_Toc19686935"/>
      <w:bookmarkStart w:id="1546" w:name="_Toc19711580"/>
      <w:bookmarkStart w:id="1547" w:name="_Toc19711796"/>
      <w:bookmarkStart w:id="1548" w:name="_Toc19724010"/>
      <w:bookmarkStart w:id="1549" w:name="_Toc19880271"/>
      <w:bookmarkStart w:id="1550" w:name="_Toc19881591"/>
      <w:bookmarkStart w:id="1551" w:name="_Toc19886037"/>
      <w:bookmarkStart w:id="1552" w:name="_Toc19940051"/>
      <w:bookmarkStart w:id="1553" w:name="_Toc19342356"/>
      <w:bookmarkStart w:id="1554" w:name="_Toc19426530"/>
      <w:bookmarkStart w:id="1555" w:name="_Toc19429654"/>
      <w:bookmarkStart w:id="1556" w:name="_Toc19460117"/>
      <w:bookmarkStart w:id="1557" w:name="_Toc19460434"/>
      <w:bookmarkStart w:id="1558" w:name="_Toc19460649"/>
      <w:bookmarkStart w:id="1559" w:name="_Toc19464942"/>
      <w:bookmarkStart w:id="1560" w:name="_Toc19468535"/>
      <w:bookmarkStart w:id="1561" w:name="_Toc19515883"/>
      <w:bookmarkStart w:id="1562" w:name="_Toc19517932"/>
      <w:bookmarkStart w:id="1563" w:name="_Toc19531982"/>
      <w:bookmarkStart w:id="1564" w:name="_Toc19540004"/>
      <w:bookmarkStart w:id="1565" w:name="_Toc19686936"/>
      <w:bookmarkStart w:id="1566" w:name="_Toc19711581"/>
      <w:bookmarkStart w:id="1567" w:name="_Toc19711797"/>
      <w:bookmarkStart w:id="1568" w:name="_Toc19724011"/>
      <w:bookmarkStart w:id="1569" w:name="_Toc19880272"/>
      <w:bookmarkStart w:id="1570" w:name="_Toc19881592"/>
      <w:bookmarkStart w:id="1571" w:name="_Toc19886038"/>
      <w:bookmarkStart w:id="1572" w:name="_Toc19940052"/>
      <w:bookmarkStart w:id="1573" w:name="_Toc19342400"/>
      <w:bookmarkStart w:id="1574" w:name="_Toc19426574"/>
      <w:bookmarkStart w:id="1575" w:name="_Toc19429698"/>
      <w:bookmarkStart w:id="1576" w:name="_Toc19460161"/>
      <w:bookmarkStart w:id="1577" w:name="_Toc19460478"/>
      <w:bookmarkStart w:id="1578" w:name="_Toc19460693"/>
      <w:bookmarkStart w:id="1579" w:name="_Toc19464986"/>
      <w:bookmarkStart w:id="1580" w:name="_Toc19468579"/>
      <w:bookmarkStart w:id="1581" w:name="_Toc19515927"/>
      <w:bookmarkStart w:id="1582" w:name="_Toc19517976"/>
      <w:bookmarkStart w:id="1583" w:name="_Toc19532026"/>
      <w:bookmarkStart w:id="1584" w:name="_Toc19540048"/>
      <w:bookmarkStart w:id="1585" w:name="_Toc19686980"/>
      <w:bookmarkStart w:id="1586" w:name="_Toc19711625"/>
      <w:bookmarkStart w:id="1587" w:name="_Toc19711841"/>
      <w:bookmarkStart w:id="1588" w:name="_Toc19724055"/>
      <w:bookmarkStart w:id="1589" w:name="_Toc19880316"/>
      <w:bookmarkStart w:id="1590" w:name="_Toc19881636"/>
      <w:bookmarkStart w:id="1591" w:name="_Toc19886082"/>
      <w:bookmarkStart w:id="1592" w:name="_Toc19940096"/>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r>
        <w:rPr>
          <w:b/>
          <w:color w:val="000000" w:themeColor="text1"/>
        </w:rPr>
        <w:t>Fyzická d</w:t>
      </w:r>
      <w:r w:rsidR="00C14FFF">
        <w:rPr>
          <w:b/>
          <w:color w:val="000000" w:themeColor="text1"/>
        </w:rPr>
        <w:t>ostupnosť bývania</w:t>
      </w:r>
      <w:r w:rsidR="00C14FFF" w:rsidRPr="00CA2564">
        <w:rPr>
          <w:b/>
          <w:color w:val="000000" w:themeColor="text1"/>
        </w:rPr>
        <w:t xml:space="preserve"> na Slovensku </w:t>
      </w:r>
      <w:r w:rsidR="00C14FFF">
        <w:rPr>
          <w:b/>
          <w:color w:val="000000" w:themeColor="text1"/>
        </w:rPr>
        <w:t xml:space="preserve">meraná počtom bytov na 1000 obyvateľov </w:t>
      </w:r>
      <w:r w:rsidR="00C14FFF" w:rsidRPr="00CA2564">
        <w:rPr>
          <w:b/>
          <w:color w:val="000000" w:themeColor="text1"/>
        </w:rPr>
        <w:t xml:space="preserve">patrí k najnižším v rámci EÚ. </w:t>
      </w:r>
      <w:r w:rsidR="005364AC">
        <w:rPr>
          <w:b/>
          <w:color w:val="000000" w:themeColor="text1"/>
        </w:rPr>
        <w:t xml:space="preserve">Miera závažnej deprivácie v bývaní v populácii ohrozenej chudobou je </w:t>
      </w:r>
      <w:r w:rsidR="00E46D04">
        <w:rPr>
          <w:b/>
          <w:color w:val="000000" w:themeColor="text1"/>
        </w:rPr>
        <w:t>vyššia ako</w:t>
      </w:r>
      <w:r w:rsidR="005364AC">
        <w:rPr>
          <w:b/>
          <w:color w:val="000000" w:themeColor="text1"/>
        </w:rPr>
        <w:t xml:space="preserve"> pri</w:t>
      </w:r>
      <w:r w:rsidR="00E46D04">
        <w:rPr>
          <w:b/>
          <w:color w:val="000000" w:themeColor="text1"/>
        </w:rPr>
        <w:t>emer</w:t>
      </w:r>
      <w:r w:rsidR="005364AC">
        <w:rPr>
          <w:b/>
          <w:color w:val="000000" w:themeColor="text1"/>
        </w:rPr>
        <w:t xml:space="preserve"> EÚ</w:t>
      </w:r>
      <w:r w:rsidR="00E46D04">
        <w:rPr>
          <w:b/>
          <w:color w:val="000000" w:themeColor="text1"/>
        </w:rPr>
        <w:t>15 aj V3</w:t>
      </w:r>
      <w:r w:rsidR="005364AC">
        <w:rPr>
          <w:b/>
          <w:color w:val="000000" w:themeColor="text1"/>
        </w:rPr>
        <w:t xml:space="preserve"> </w:t>
      </w:r>
      <w:r w:rsidR="00C14FFF">
        <w:rPr>
          <w:b/>
          <w:color w:val="000000" w:themeColor="text1"/>
        </w:rPr>
        <w:t>a</w:t>
      </w:r>
      <w:r w:rsidR="00C14FFF" w:rsidRPr="00CA2564">
        <w:rPr>
          <w:b/>
          <w:color w:val="000000" w:themeColor="text1"/>
        </w:rPr>
        <w:t xml:space="preserve"> navyše sa v čase zhoršuje.</w:t>
      </w:r>
    </w:p>
    <w:p w14:paraId="41A2B722" w14:textId="5021E19E" w:rsidR="00C14FFF" w:rsidRPr="00F014C1" w:rsidRDefault="00C14FFF" w:rsidP="00C14FFF">
      <w:pPr>
        <w:pStyle w:val="Odsekzoznamu"/>
        <w:numPr>
          <w:ilvl w:val="0"/>
          <w:numId w:val="6"/>
        </w:numPr>
        <w:spacing w:after="160"/>
        <w:ind w:left="360"/>
        <w:rPr>
          <w:b/>
          <w:color w:val="000000" w:themeColor="text1"/>
        </w:rPr>
      </w:pPr>
      <w:r>
        <w:rPr>
          <w:b/>
          <w:color w:val="000000" w:themeColor="text1"/>
        </w:rPr>
        <w:t>P</w:t>
      </w:r>
      <w:r w:rsidRPr="00CA2564">
        <w:rPr>
          <w:b/>
          <w:color w:val="000000" w:themeColor="text1"/>
        </w:rPr>
        <w:t xml:space="preserve">onuka </w:t>
      </w:r>
      <w:r w:rsidR="0069390E">
        <w:rPr>
          <w:b/>
          <w:color w:val="000000" w:themeColor="text1"/>
        </w:rPr>
        <w:t>nájomného</w:t>
      </w:r>
      <w:r w:rsidR="0069390E" w:rsidRPr="00CA2564">
        <w:rPr>
          <w:b/>
          <w:color w:val="000000" w:themeColor="text1"/>
        </w:rPr>
        <w:t xml:space="preserve"> </w:t>
      </w:r>
      <w:r w:rsidRPr="00CA2564">
        <w:rPr>
          <w:b/>
          <w:color w:val="000000" w:themeColor="text1"/>
        </w:rPr>
        <w:t xml:space="preserve">bývania </w:t>
      </w:r>
      <w:r>
        <w:rPr>
          <w:b/>
          <w:color w:val="000000" w:themeColor="text1"/>
        </w:rPr>
        <w:t xml:space="preserve">s regulovaným nájmom </w:t>
      </w:r>
      <w:r w:rsidRPr="00CA2564">
        <w:rPr>
          <w:b/>
          <w:color w:val="000000" w:themeColor="text1"/>
        </w:rPr>
        <w:t xml:space="preserve">je </w:t>
      </w:r>
      <w:r>
        <w:rPr>
          <w:b/>
          <w:color w:val="000000" w:themeColor="text1"/>
        </w:rPr>
        <w:t xml:space="preserve">na Slovensku </w:t>
      </w:r>
      <w:r w:rsidRPr="00CA2564">
        <w:rPr>
          <w:b/>
          <w:color w:val="000000" w:themeColor="text1"/>
        </w:rPr>
        <w:t>jedna z najnižších v rámci EÚ. Výstavba nových bytov napriek tomu spomaľuje.</w:t>
      </w:r>
    </w:p>
    <w:p w14:paraId="1A585ECF" w14:textId="1DAB30D3" w:rsidR="00C14FFF" w:rsidRPr="00722323" w:rsidRDefault="00C14FFF" w:rsidP="00C14FFF">
      <w:pPr>
        <w:pStyle w:val="Odsekzoznamu"/>
        <w:numPr>
          <w:ilvl w:val="0"/>
          <w:numId w:val="6"/>
        </w:numPr>
        <w:spacing w:after="160"/>
        <w:ind w:left="360"/>
        <w:rPr>
          <w:b/>
          <w:bCs/>
        </w:rPr>
      </w:pPr>
      <w:r>
        <w:rPr>
          <w:b/>
          <w:color w:val="000000" w:themeColor="text1"/>
        </w:rPr>
        <w:t xml:space="preserve">Vysoká miera nezávislosti samospráv pri určovaní podmienok a procesu prideľovania </w:t>
      </w:r>
      <w:r w:rsidR="0069390E">
        <w:rPr>
          <w:b/>
          <w:color w:val="000000" w:themeColor="text1"/>
        </w:rPr>
        <w:t xml:space="preserve">nájomných </w:t>
      </w:r>
      <w:r>
        <w:rPr>
          <w:b/>
          <w:color w:val="000000" w:themeColor="text1"/>
        </w:rPr>
        <w:t xml:space="preserve">bytov </w:t>
      </w:r>
      <w:r w:rsidR="0069390E">
        <w:rPr>
          <w:b/>
          <w:color w:val="000000" w:themeColor="text1"/>
        </w:rPr>
        <w:t xml:space="preserve">s regulovaným nájmom </w:t>
      </w:r>
      <w:r>
        <w:rPr>
          <w:b/>
          <w:color w:val="000000" w:themeColor="text1"/>
        </w:rPr>
        <w:t xml:space="preserve">vytvára priestor pre diskrimináciu a obmedzený prístup pre niektoré ohrozené skupiny. </w:t>
      </w:r>
    </w:p>
    <w:p w14:paraId="4B39DB4E" w14:textId="11B25C92" w:rsidR="00C14FFF" w:rsidRPr="00722323" w:rsidRDefault="00C14FFF" w:rsidP="00C14FFF">
      <w:pPr>
        <w:pStyle w:val="Odsekzoznamu"/>
        <w:numPr>
          <w:ilvl w:val="0"/>
          <w:numId w:val="6"/>
        </w:numPr>
        <w:spacing w:after="160"/>
        <w:ind w:left="360"/>
        <w:rPr>
          <w:b/>
          <w:bCs/>
        </w:rPr>
      </w:pPr>
      <w:r>
        <w:rPr>
          <w:b/>
          <w:color w:val="000000" w:themeColor="text1"/>
        </w:rPr>
        <w:t xml:space="preserve">Inkluzívny prístup a podporu klientov by mohlo zabezpečiť rozsiahlejšie zapojenie mimovládneho sektora do správy alebo aj vlastníctva </w:t>
      </w:r>
      <w:r w:rsidR="0069390E">
        <w:rPr>
          <w:b/>
          <w:color w:val="000000" w:themeColor="text1"/>
        </w:rPr>
        <w:t xml:space="preserve">nájomného </w:t>
      </w:r>
      <w:r>
        <w:rPr>
          <w:b/>
          <w:color w:val="000000" w:themeColor="text1"/>
        </w:rPr>
        <w:t>bývania</w:t>
      </w:r>
      <w:r w:rsidR="0069390E">
        <w:rPr>
          <w:b/>
          <w:color w:val="000000" w:themeColor="text1"/>
        </w:rPr>
        <w:t xml:space="preserve"> s regulovaným nájmom</w:t>
      </w:r>
      <w:r>
        <w:rPr>
          <w:b/>
          <w:color w:val="000000" w:themeColor="text1"/>
        </w:rPr>
        <w:t>, ako tomu býva v zahraničí. Napomôcť tomuto cieľu by mohol nový zákon o sociálnej ekonomike.</w:t>
      </w:r>
    </w:p>
    <w:p w14:paraId="7D67F388" w14:textId="50550634" w:rsidR="00F32C9C" w:rsidRDefault="00F32C9C" w:rsidP="00F32C9C">
      <w:pPr>
        <w:pStyle w:val="Odsekzoznamu"/>
        <w:numPr>
          <w:ilvl w:val="0"/>
          <w:numId w:val="6"/>
        </w:numPr>
        <w:spacing w:after="160"/>
        <w:ind w:left="360"/>
        <w:rPr>
          <w:b/>
        </w:rPr>
      </w:pPr>
      <w:r>
        <w:rPr>
          <w:b/>
        </w:rPr>
        <w:t>Sociálna dávka v podobe príspevku</w:t>
      </w:r>
      <w:r w:rsidRPr="00CA2564">
        <w:rPr>
          <w:b/>
        </w:rPr>
        <w:t xml:space="preserve"> na bývanie </w:t>
      </w:r>
      <w:r>
        <w:rPr>
          <w:b/>
        </w:rPr>
        <w:t>je na Slovensku naviazaná na relatívne obmedzený systém pomoci v hmotnej núdzi. Aj v rámci neho dostáva príspevok menej ako polovica príjemcov pomoci kvôli reštriktívnym podmienkam nároku, ktoré nedokážu splniť najzraniteľnejšie domácnosti</w:t>
      </w:r>
      <w:r w:rsidR="00430ECB">
        <w:rPr>
          <w:b/>
        </w:rPr>
        <w:t>,</w:t>
      </w:r>
      <w:r>
        <w:rPr>
          <w:b/>
        </w:rPr>
        <w:t xml:space="preserve"> ako napríklad obyvatelia chatrčí v rómskych osadách. Príspevok je navyše málo citlivý na životné podmienky prijímateľov, ako napríklad veľkosť rodiny a </w:t>
      </w:r>
      <w:r w:rsidR="00F701AE">
        <w:rPr>
          <w:b/>
        </w:rPr>
        <w:t>náklady</w:t>
      </w:r>
      <w:r>
        <w:rPr>
          <w:b/>
        </w:rPr>
        <w:t xml:space="preserve"> na bývanie. Toto nastavenie možno označiť za </w:t>
      </w:r>
      <w:r w:rsidRPr="00CA2564">
        <w:rPr>
          <w:b/>
        </w:rPr>
        <w:t xml:space="preserve">neštandardné v porovnaní s inými </w:t>
      </w:r>
      <w:r>
        <w:rPr>
          <w:b/>
        </w:rPr>
        <w:t xml:space="preserve">vyspelými </w:t>
      </w:r>
      <w:r w:rsidRPr="00CA2564">
        <w:rPr>
          <w:b/>
        </w:rPr>
        <w:t>krajinami</w:t>
      </w:r>
      <w:r>
        <w:rPr>
          <w:b/>
        </w:rPr>
        <w:t>.</w:t>
      </w:r>
    </w:p>
    <w:p w14:paraId="059F0A58" w14:textId="1845B2AD" w:rsidR="00C14FFF" w:rsidRPr="00F92914" w:rsidRDefault="00C14FFF" w:rsidP="00C14FFF">
      <w:pPr>
        <w:pStyle w:val="Odsekzoznamu"/>
        <w:numPr>
          <w:ilvl w:val="0"/>
          <w:numId w:val="6"/>
        </w:numPr>
        <w:spacing w:after="160"/>
        <w:ind w:left="360"/>
        <w:rPr>
          <w:b/>
          <w:color w:val="000000" w:themeColor="text1"/>
        </w:rPr>
      </w:pPr>
      <w:r>
        <w:rPr>
          <w:b/>
          <w:color w:val="000000" w:themeColor="text1"/>
        </w:rPr>
        <w:t>Až 81 % Rómov na Slovensku žije v koncentrovaných osídleniach oddelene od majoritnej populácie. K</w:t>
      </w:r>
      <w:r w:rsidRPr="00CA2564">
        <w:rPr>
          <w:b/>
          <w:color w:val="000000" w:themeColor="text1"/>
        </w:rPr>
        <w:t>valita</w:t>
      </w:r>
      <w:r>
        <w:rPr>
          <w:b/>
          <w:color w:val="000000" w:themeColor="text1"/>
        </w:rPr>
        <w:t xml:space="preserve"> a právne vysporiadanie bývania v</w:t>
      </w:r>
      <w:r w:rsidR="00491B9A">
        <w:rPr>
          <w:b/>
          <w:color w:val="000000" w:themeColor="text1"/>
        </w:rPr>
        <w:t> </w:t>
      </w:r>
      <w:r>
        <w:rPr>
          <w:b/>
          <w:color w:val="000000" w:themeColor="text1"/>
        </w:rPr>
        <w:t>MRK</w:t>
      </w:r>
      <w:r w:rsidR="00491B9A">
        <w:rPr>
          <w:b/>
          <w:color w:val="000000" w:themeColor="text1"/>
        </w:rPr>
        <w:t>,</w:t>
      </w:r>
      <w:r>
        <w:rPr>
          <w:b/>
          <w:color w:val="000000" w:themeColor="text1"/>
        </w:rPr>
        <w:t xml:space="preserve"> ako aj </w:t>
      </w:r>
      <w:r w:rsidRPr="00CA2564">
        <w:rPr>
          <w:b/>
          <w:color w:val="000000" w:themeColor="text1"/>
        </w:rPr>
        <w:t xml:space="preserve">dostupnosť základnej infraštruktúry klesá v osídleniach s vyššou mierou priestorového vylúčenia. </w:t>
      </w:r>
      <w:r w:rsidRPr="00CA2564">
        <w:rPr>
          <w:rFonts w:cs="Calibri"/>
          <w:b/>
        </w:rPr>
        <w:t xml:space="preserve">Viaceré segregované osídlenia sa nachádzajú v nebezpečnej blízkosti od skládok odpadu. </w:t>
      </w:r>
    </w:p>
    <w:p w14:paraId="1356A14E" w14:textId="0943CACA" w:rsidR="00FE6535" w:rsidRPr="00D41517" w:rsidRDefault="00C14FFF" w:rsidP="00FE6535">
      <w:pPr>
        <w:pStyle w:val="Odsekzoznamu"/>
        <w:numPr>
          <w:ilvl w:val="0"/>
          <w:numId w:val="6"/>
        </w:numPr>
        <w:spacing w:after="160"/>
        <w:ind w:left="360"/>
        <w:rPr>
          <w:b/>
          <w:color w:val="000000" w:themeColor="text1"/>
        </w:rPr>
      </w:pPr>
      <w:r w:rsidRPr="00755687">
        <w:rPr>
          <w:b/>
          <w:bCs/>
        </w:rPr>
        <w:t xml:space="preserve">V prostredí MRK sa osvedčila svojpomocná výstavba </w:t>
      </w:r>
      <w:r>
        <w:rPr>
          <w:b/>
          <w:bCs/>
        </w:rPr>
        <w:t xml:space="preserve">individuálne stojacich </w:t>
      </w:r>
      <w:r w:rsidRPr="00755687">
        <w:rPr>
          <w:b/>
          <w:bCs/>
        </w:rPr>
        <w:t xml:space="preserve">domov </w:t>
      </w:r>
      <w:r>
        <w:rPr>
          <w:b/>
          <w:bCs/>
        </w:rPr>
        <w:t xml:space="preserve">do osobného vlastníctva </w:t>
      </w:r>
      <w:r w:rsidRPr="00755687">
        <w:rPr>
          <w:b/>
          <w:bCs/>
        </w:rPr>
        <w:t xml:space="preserve">za pomoci mikropôžičiek, ktorú doposiaľ </w:t>
      </w:r>
      <w:r w:rsidR="00F701AE">
        <w:rPr>
          <w:b/>
          <w:bCs/>
        </w:rPr>
        <w:t xml:space="preserve">v malom rozsahu </w:t>
      </w:r>
      <w:r w:rsidRPr="00755687">
        <w:rPr>
          <w:b/>
          <w:bCs/>
        </w:rPr>
        <w:t xml:space="preserve">organizoval mimovládny sektor. </w:t>
      </w:r>
      <w:r w:rsidR="00F701AE">
        <w:rPr>
          <w:b/>
          <w:bCs/>
        </w:rPr>
        <w:t>V</w:t>
      </w:r>
      <w:r>
        <w:rPr>
          <w:b/>
          <w:bCs/>
        </w:rPr>
        <w:t xml:space="preserve">iacero projektov financovaných z eurofondov </w:t>
      </w:r>
      <w:r w:rsidR="00F701AE">
        <w:rPr>
          <w:b/>
          <w:bCs/>
        </w:rPr>
        <w:t xml:space="preserve">je </w:t>
      </w:r>
      <w:r>
        <w:rPr>
          <w:b/>
          <w:bCs/>
        </w:rPr>
        <w:t xml:space="preserve">zameraných na vysporiadanie </w:t>
      </w:r>
      <w:r w:rsidR="00552F49">
        <w:rPr>
          <w:b/>
          <w:bCs/>
        </w:rPr>
        <w:t>pozem</w:t>
      </w:r>
      <w:r>
        <w:rPr>
          <w:b/>
          <w:bCs/>
        </w:rPr>
        <w:t>kov a budovanie bývania a</w:t>
      </w:r>
      <w:r w:rsidR="00F701AE">
        <w:rPr>
          <w:b/>
          <w:bCs/>
        </w:rPr>
        <w:t> </w:t>
      </w:r>
      <w:r>
        <w:rPr>
          <w:b/>
          <w:bCs/>
        </w:rPr>
        <w:t>infr</w:t>
      </w:r>
      <w:r w:rsidR="00F701AE">
        <w:rPr>
          <w:b/>
          <w:bCs/>
        </w:rPr>
        <w:t>aštruktúry v prostredí MRK.</w:t>
      </w:r>
    </w:p>
    <w:p w14:paraId="7C003800" w14:textId="02960038" w:rsidR="00FE6535" w:rsidRPr="00D41517" w:rsidRDefault="00FE6535">
      <w:pPr>
        <w:pStyle w:val="Odsekzoznamu"/>
        <w:numPr>
          <w:ilvl w:val="0"/>
          <w:numId w:val="6"/>
        </w:numPr>
        <w:spacing w:after="160"/>
        <w:ind w:left="360"/>
        <w:rPr>
          <w:b/>
          <w:bCs/>
          <w:color w:val="000000" w:themeColor="text1"/>
        </w:rPr>
      </w:pPr>
      <w:r w:rsidRPr="00D41517">
        <w:rPr>
          <w:b/>
          <w:bCs/>
        </w:rPr>
        <w:t xml:space="preserve">Verejná podpora sociálnych služieb krízovej intervencie, ktoré poskytujú </w:t>
      </w:r>
      <w:r w:rsidR="00BE048C">
        <w:rPr>
          <w:b/>
          <w:bCs/>
        </w:rPr>
        <w:t>ubytovanie</w:t>
      </w:r>
      <w:r w:rsidRPr="00D41517">
        <w:rPr>
          <w:b/>
          <w:bCs/>
        </w:rPr>
        <w:t xml:space="preserve"> ľuďom v bytovej núdzi, v čase klesá. Prepájanie sociálnych služieb krízovej intervencie do uceleného systému nie je legislatívne ukotvené napriek tomu, že by mohlo znížiť verejné výdavky spojené s bezdomovectvom a významne prispieť ku kvalite života ľudí bez domova.</w:t>
      </w:r>
    </w:p>
    <w:p w14:paraId="1472A3DC" w14:textId="77777777" w:rsidR="00C14FFF" w:rsidRPr="00CA2564" w:rsidRDefault="00C14FFF" w:rsidP="00C14FFF">
      <w:pPr>
        <w:pStyle w:val="Odsekzoznamu"/>
        <w:numPr>
          <w:ilvl w:val="0"/>
          <w:numId w:val="6"/>
        </w:numPr>
        <w:spacing w:after="160"/>
        <w:ind w:left="360"/>
        <w:rPr>
          <w:b/>
          <w:color w:val="000000" w:themeColor="text1"/>
        </w:rPr>
      </w:pPr>
      <w:r w:rsidRPr="00CA2564">
        <w:rPr>
          <w:b/>
          <w:color w:val="000000" w:themeColor="text1"/>
        </w:rPr>
        <w:t xml:space="preserve">Na Slovensku chýba systematické a pravidelné zbieranie údajov </w:t>
      </w:r>
      <w:r>
        <w:rPr>
          <w:b/>
          <w:color w:val="000000" w:themeColor="text1"/>
        </w:rPr>
        <w:t>o</w:t>
      </w:r>
      <w:r w:rsidRPr="00CA2564">
        <w:rPr>
          <w:b/>
          <w:color w:val="000000" w:themeColor="text1"/>
        </w:rPr>
        <w:t> ľuďoch bez domova</w:t>
      </w:r>
      <w:r>
        <w:rPr>
          <w:b/>
          <w:color w:val="000000" w:themeColor="text1"/>
        </w:rPr>
        <w:t>,</w:t>
      </w:r>
      <w:r w:rsidRPr="00CA2564">
        <w:rPr>
          <w:b/>
          <w:color w:val="000000" w:themeColor="text1"/>
        </w:rPr>
        <w:t xml:space="preserve"> čo sťažuje plánovanie investícií do kapacít zariadení krízového ubytovania a hodnotenie verejných politík. </w:t>
      </w:r>
      <w:r>
        <w:rPr>
          <w:b/>
          <w:color w:val="000000" w:themeColor="text1"/>
        </w:rPr>
        <w:t xml:space="preserve">Úspešné skúsenosti v zahraničí so stratégiou </w:t>
      </w:r>
      <w:r w:rsidRPr="00CA2564">
        <w:rPr>
          <w:b/>
          <w:bCs/>
        </w:rPr>
        <w:t>„housing first“ ako riešeni</w:t>
      </w:r>
      <w:r>
        <w:rPr>
          <w:b/>
          <w:bCs/>
        </w:rPr>
        <w:t>a</w:t>
      </w:r>
      <w:r w:rsidRPr="00CA2564">
        <w:rPr>
          <w:b/>
          <w:bCs/>
        </w:rPr>
        <w:t xml:space="preserve"> bezdomovectva</w:t>
      </w:r>
      <w:r>
        <w:rPr>
          <w:b/>
          <w:bCs/>
        </w:rPr>
        <w:t xml:space="preserve"> určitej časti tejto skupiny by mohli inšpirovať jej rozsiahlejšie skúšanie aj v slovenských mestách.</w:t>
      </w:r>
    </w:p>
    <w:p w14:paraId="0E126461" w14:textId="011F2275" w:rsidR="00C14FFF" w:rsidRPr="002C1D3A" w:rsidRDefault="00C14FFF" w:rsidP="00C14FFF">
      <w:pPr>
        <w:pStyle w:val="Odsekzoznamu"/>
        <w:numPr>
          <w:ilvl w:val="0"/>
          <w:numId w:val="6"/>
        </w:numPr>
        <w:spacing w:after="160"/>
        <w:ind w:left="360"/>
        <w:rPr>
          <w:b/>
        </w:rPr>
      </w:pPr>
      <w:r w:rsidRPr="00BC622E">
        <w:rPr>
          <w:b/>
        </w:rPr>
        <w:t xml:space="preserve">Revízia navrhuje opatrenia pre </w:t>
      </w:r>
      <w:r w:rsidR="005273F4">
        <w:rPr>
          <w:b/>
        </w:rPr>
        <w:t>zvýšenie</w:t>
      </w:r>
      <w:r w:rsidRPr="00BC622E">
        <w:rPr>
          <w:b/>
        </w:rPr>
        <w:t xml:space="preserve"> finančnej pomoci s nákladmi na bývanie pomocou </w:t>
      </w:r>
      <w:r w:rsidR="005273F4">
        <w:rPr>
          <w:b/>
        </w:rPr>
        <w:t xml:space="preserve">úpravy </w:t>
      </w:r>
      <w:r w:rsidRPr="00BC622E">
        <w:rPr>
          <w:b/>
        </w:rPr>
        <w:t>príspevku na bývanie</w:t>
      </w:r>
      <w:r w:rsidR="005273F4">
        <w:rPr>
          <w:b/>
        </w:rPr>
        <w:t>,</w:t>
      </w:r>
      <w:r w:rsidRPr="00BC622E">
        <w:rPr>
          <w:b/>
        </w:rPr>
        <w:t xml:space="preserve"> efektívnejšiu pomoc ľuďom bez domova</w:t>
      </w:r>
      <w:r w:rsidR="00952CB9">
        <w:rPr>
          <w:b/>
        </w:rPr>
        <w:t xml:space="preserve"> a ľuďom ohorzeným stratou domova</w:t>
      </w:r>
      <w:r w:rsidRPr="00BC622E">
        <w:rPr>
          <w:b/>
        </w:rPr>
        <w:t xml:space="preserve"> za pomoci komplexnejších údajov a </w:t>
      </w:r>
      <w:r w:rsidR="00952CB9">
        <w:rPr>
          <w:b/>
        </w:rPr>
        <w:t>o</w:t>
      </w:r>
      <w:r w:rsidRPr="00BC622E">
        <w:rPr>
          <w:b/>
        </w:rPr>
        <w:t>testovani</w:t>
      </w:r>
      <w:r w:rsidR="00952CB9">
        <w:rPr>
          <w:b/>
        </w:rPr>
        <w:t>e</w:t>
      </w:r>
      <w:r w:rsidRPr="00BC622E">
        <w:rPr>
          <w:b/>
        </w:rPr>
        <w:t xml:space="preserve"> stratégie „housing first“ v podmienkach Slovenska.</w:t>
      </w:r>
    </w:p>
    <w:p w14:paraId="0A7B02BE" w14:textId="24226978" w:rsidR="00A03081" w:rsidRPr="00D41517" w:rsidRDefault="00DA342E" w:rsidP="00DA342E">
      <w:pPr>
        <w:pStyle w:val="Bezriadkovania"/>
        <w:spacing w:before="160" w:line="259" w:lineRule="auto"/>
        <w:jc w:val="both"/>
        <w:rPr>
          <w:rFonts w:ascii="Arial Narrow" w:hAnsi="Arial Narrow"/>
        </w:rPr>
      </w:pPr>
      <w:r w:rsidRPr="00CA2564">
        <w:rPr>
          <w:rFonts w:ascii="Arial Narrow" w:hAnsi="Arial Narrow"/>
          <w:b/>
        </w:rPr>
        <w:t>Bývanie je jednou zo základných ľudských potrieb a jeho dostupnosť a kvalita slúžia ako hodnotiace ukazovatele životnej úrovne</w:t>
      </w:r>
      <w:r w:rsidRPr="00CA2564">
        <w:rPr>
          <w:rFonts w:ascii="Arial Narrow" w:hAnsi="Arial Narrow"/>
        </w:rPr>
        <w:t xml:space="preserve">. </w:t>
      </w:r>
      <w:r w:rsidR="00A03081">
        <w:rPr>
          <w:rFonts w:ascii="Arial Narrow" w:hAnsi="Arial Narrow"/>
        </w:rPr>
        <w:t>Viaceré medzinárodné dokumenty, ktorých signatárom je aj Slovensko určujú štandardy, ktoré by primerané bývanie malo spĺňať.</w:t>
      </w:r>
      <w:r w:rsidR="00A03081" w:rsidRPr="00CA2564">
        <w:rPr>
          <w:rStyle w:val="Odkaznapoznmkupodiarou"/>
          <w:rFonts w:ascii="Arial Narrow" w:hAnsi="Arial Narrow"/>
        </w:rPr>
        <w:footnoteReference w:id="411"/>
      </w:r>
      <w:r w:rsidR="00A03081">
        <w:rPr>
          <w:rFonts w:ascii="Arial Narrow" w:hAnsi="Arial Narrow"/>
        </w:rPr>
        <w:t xml:space="preserve"> Patria medzi ne napríklad </w:t>
      </w:r>
      <w:r w:rsidRPr="00CA2564">
        <w:rPr>
          <w:rFonts w:ascii="Arial Narrow" w:hAnsi="Arial Narrow"/>
        </w:rPr>
        <w:t xml:space="preserve">finančná dostupnosť, obývateľnosť, prístupnosť a adekvátna poloha. </w:t>
      </w:r>
      <w:r w:rsidR="00A03081" w:rsidRPr="00CA2564">
        <w:rPr>
          <w:rFonts w:ascii="Arial Narrow" w:hAnsi="Arial Narrow"/>
        </w:rPr>
        <w:t>Ústava SR samo</w:t>
      </w:r>
      <w:r w:rsidR="00A03081">
        <w:rPr>
          <w:rFonts w:ascii="Arial Narrow" w:hAnsi="Arial Narrow"/>
        </w:rPr>
        <w:t>tné právo na bývanie nezmieňuje</w:t>
      </w:r>
      <w:r w:rsidR="00A03081" w:rsidRPr="00134992">
        <w:rPr>
          <w:rStyle w:val="Odkaznapoznmkupodiarou"/>
          <w:rFonts w:ascii="Arial Narrow" w:hAnsi="Arial Narrow"/>
        </w:rPr>
        <w:footnoteReference w:id="412"/>
      </w:r>
      <w:r w:rsidR="00A03081" w:rsidRPr="00134992">
        <w:rPr>
          <w:rFonts w:ascii="Arial Narrow" w:hAnsi="Arial Narrow"/>
        </w:rPr>
        <w:t xml:space="preserve"> a </w:t>
      </w:r>
      <w:r w:rsidR="00A03081" w:rsidRPr="00D41517">
        <w:rPr>
          <w:rFonts w:ascii="Arial Narrow" w:hAnsi="Arial Narrow"/>
        </w:rPr>
        <w:t>koncepcie štátnej bytovej politiky (prijímané pravidelne od roku 1994)</w:t>
      </w:r>
      <w:r w:rsidR="0070047D">
        <w:rPr>
          <w:rFonts w:ascii="Arial Narrow" w:hAnsi="Arial Narrow"/>
        </w:rPr>
        <w:t xml:space="preserve"> </w:t>
      </w:r>
      <w:r w:rsidR="00A03081" w:rsidRPr="00D41517">
        <w:rPr>
          <w:rFonts w:ascii="Arial Narrow" w:hAnsi="Arial Narrow"/>
        </w:rPr>
        <w:t>konštatujú, že v podmienkach trhovej ekonomiky je zodpovednosť za obstaranie vlastného bývania prenesená na občana.</w:t>
      </w:r>
    </w:p>
    <w:p w14:paraId="6CE8C85B" w14:textId="15706C0A" w:rsidR="00DA342E" w:rsidRPr="00CA2564" w:rsidRDefault="00DA342E" w:rsidP="00DA342E">
      <w:pPr>
        <w:pStyle w:val="Nadpis2"/>
        <w:spacing w:before="160"/>
      </w:pPr>
      <w:bookmarkStart w:id="1593" w:name="_Toc18340951"/>
      <w:bookmarkStart w:id="1594" w:name="_Ref25315695"/>
      <w:bookmarkStart w:id="1595" w:name="_Toc34657737"/>
      <w:r w:rsidRPr="00CA2564">
        <w:t>Kvalita a dostupnosť bývania na Slovensku</w:t>
      </w:r>
      <w:bookmarkEnd w:id="1593"/>
      <w:bookmarkEnd w:id="1594"/>
      <w:bookmarkEnd w:id="1595"/>
    </w:p>
    <w:p w14:paraId="395B372E" w14:textId="6AE6A63D" w:rsidR="00DA342E" w:rsidRPr="00CA2564" w:rsidRDefault="007C631A" w:rsidP="00986B94">
      <w:pPr>
        <w:spacing w:before="160"/>
      </w:pPr>
      <w:r w:rsidRPr="007F5412">
        <w:rPr>
          <w:b/>
        </w:rPr>
        <w:t xml:space="preserve">O slabej dostupnosti bývania na Slovensku svedčí počet bytov na 1000 obyvateľov, ktorý je najnižší v rámci EÚ. </w:t>
      </w:r>
      <w:r w:rsidR="008160EA" w:rsidRPr="007F5412">
        <w:t>Podľa sčítania obyvateľov, domov a bytov n</w:t>
      </w:r>
      <w:r w:rsidRPr="007F5412">
        <w:t>a Slovensku pripadá na 1000 obyvateľov 3</w:t>
      </w:r>
      <w:r w:rsidR="008160EA" w:rsidRPr="007F5412">
        <w:t>21 obývaných</w:t>
      </w:r>
      <w:r w:rsidRPr="007F5412">
        <w:t xml:space="preserve"> bytov, </w:t>
      </w:r>
      <w:r w:rsidR="008160EA" w:rsidRPr="007F5412">
        <w:t>kým priemer EÚ</w:t>
      </w:r>
      <w:r w:rsidR="007F5412" w:rsidRPr="007F5412">
        <w:t xml:space="preserve">15 </w:t>
      </w:r>
      <w:r w:rsidR="007F5412">
        <w:t xml:space="preserve">je </w:t>
      </w:r>
      <w:r w:rsidR="007F5412" w:rsidRPr="007F5412">
        <w:t>416 a priemer V3 je 373</w:t>
      </w:r>
      <w:r w:rsidR="008160EA" w:rsidRPr="007F5412">
        <w:t xml:space="preserve"> </w:t>
      </w:r>
      <w:r w:rsidRPr="007F5412">
        <w:t>(</w:t>
      </w:r>
      <w:r w:rsidR="008160EA" w:rsidRPr="007F5412">
        <w:t>NBS</w:t>
      </w:r>
      <w:r w:rsidRPr="007F5412">
        <w:t>, 201</w:t>
      </w:r>
      <w:r w:rsidR="008160EA" w:rsidRPr="007F5412">
        <w:t>5</w:t>
      </w:r>
      <w:r w:rsidRPr="007F5412">
        <w:t>). S týmto súvisí aj vysoký</w:t>
      </w:r>
      <w:r w:rsidRPr="002161FB">
        <w:t xml:space="preserve"> podiel „preplnených“ domácností na Slovensku, ktorý bol v roku 201</w:t>
      </w:r>
      <w:r w:rsidR="00FD5864">
        <w:t>8</w:t>
      </w:r>
      <w:r w:rsidRPr="002161FB">
        <w:t xml:space="preserve"> </w:t>
      </w:r>
      <w:r w:rsidR="00FD5864">
        <w:t>piaty</w:t>
      </w:r>
      <w:r w:rsidR="00FD5864" w:rsidRPr="002161FB">
        <w:t xml:space="preserve"> </w:t>
      </w:r>
      <w:r w:rsidRPr="002161FB">
        <w:t>najvyšší v EÚ (36 %)</w:t>
      </w:r>
      <w:r w:rsidRPr="00CA2564">
        <w:t xml:space="preserve"> a medzi domácnosťami ohrozenými chudobou dokonca druhý najvyšší (5</w:t>
      </w:r>
      <w:r w:rsidR="00520D38">
        <w:t>6</w:t>
      </w:r>
      <w:r w:rsidRPr="00CA2564">
        <w:t xml:space="preserve"> %).</w:t>
      </w:r>
      <w:r w:rsidRPr="00CA2564">
        <w:rPr>
          <w:rStyle w:val="Odkaznapoznmkupodiarou"/>
        </w:rPr>
        <w:footnoteReference w:id="413"/>
      </w:r>
    </w:p>
    <w:tbl>
      <w:tblPr>
        <w:tblW w:w="0" w:type="auto"/>
        <w:tblLook w:val="04E0" w:firstRow="1" w:lastRow="1" w:firstColumn="1" w:lastColumn="0" w:noHBand="0" w:noVBand="1"/>
      </w:tblPr>
      <w:tblGrid>
        <w:gridCol w:w="6379"/>
        <w:gridCol w:w="2647"/>
      </w:tblGrid>
      <w:tr w:rsidR="00DA342E" w:rsidRPr="00CA2564" w14:paraId="495C20A7" w14:textId="77777777" w:rsidTr="008113C2">
        <w:tc>
          <w:tcPr>
            <w:tcW w:w="9026" w:type="dxa"/>
            <w:gridSpan w:val="2"/>
            <w:tcBorders>
              <w:bottom w:val="single" w:sz="4" w:space="0" w:color="auto"/>
            </w:tcBorders>
          </w:tcPr>
          <w:p w14:paraId="7B60BDBE" w14:textId="46D31B55" w:rsidR="00DA342E" w:rsidRPr="00E22C15" w:rsidRDefault="00DA342E" w:rsidP="00E22C15">
            <w:pPr>
              <w:spacing w:after="0" w:line="240" w:lineRule="auto"/>
              <w:jc w:val="left"/>
              <w:rPr>
                <w:b/>
                <w:sz w:val="20"/>
              </w:rPr>
            </w:pPr>
            <w:bookmarkStart w:id="1596" w:name="_Ref18408403"/>
            <w:bookmarkStart w:id="1597" w:name="_Toc17469440"/>
            <w:bookmarkStart w:id="1598" w:name="_Toc34157623"/>
            <w:r w:rsidRPr="00E22C15">
              <w:rPr>
                <w:b/>
                <w:sz w:val="20"/>
              </w:rPr>
              <w:t xml:space="preserve">Graf </w:t>
            </w:r>
            <w:r w:rsidRPr="00E22C15">
              <w:rPr>
                <w:b/>
                <w:noProof/>
                <w:sz w:val="20"/>
              </w:rPr>
              <w:fldChar w:fldCharType="begin"/>
            </w:r>
            <w:r w:rsidRPr="00E22C15">
              <w:rPr>
                <w:b/>
                <w:iCs/>
                <w:noProof/>
                <w:sz w:val="20"/>
              </w:rPr>
              <w:instrText xml:space="preserve"> SEQ Graf \* ARABIC </w:instrText>
            </w:r>
            <w:r w:rsidRPr="00E22C15">
              <w:rPr>
                <w:b/>
                <w:noProof/>
                <w:sz w:val="20"/>
              </w:rPr>
              <w:fldChar w:fldCharType="separate"/>
            </w:r>
            <w:r w:rsidR="00FA29AF">
              <w:rPr>
                <w:b/>
                <w:iCs/>
                <w:noProof/>
                <w:sz w:val="20"/>
              </w:rPr>
              <w:t>65</w:t>
            </w:r>
            <w:r w:rsidRPr="00E22C15">
              <w:rPr>
                <w:b/>
                <w:noProof/>
                <w:sz w:val="20"/>
              </w:rPr>
              <w:fldChar w:fldCharType="end"/>
            </w:r>
            <w:bookmarkEnd w:id="1596"/>
            <w:r w:rsidRPr="00E22C15">
              <w:rPr>
                <w:b/>
                <w:sz w:val="20"/>
              </w:rPr>
              <w:t>: Miera závažnej deprivácie v bývaní, 201</w:t>
            </w:r>
            <w:r w:rsidR="00FD5864" w:rsidRPr="00E22C15">
              <w:rPr>
                <w:b/>
                <w:sz w:val="20"/>
              </w:rPr>
              <w:t>8</w:t>
            </w:r>
            <w:r w:rsidRPr="00E22C15">
              <w:rPr>
                <w:b/>
                <w:sz w:val="20"/>
              </w:rPr>
              <w:t xml:space="preserve"> (%)</w:t>
            </w:r>
            <w:bookmarkEnd w:id="1597"/>
            <w:bookmarkEnd w:id="1598"/>
          </w:p>
        </w:tc>
      </w:tr>
      <w:tr w:rsidR="00DA342E" w:rsidRPr="00CA2564" w14:paraId="65FE4B72" w14:textId="77777777" w:rsidTr="008113C2">
        <w:tblPrEx>
          <w:tblCellMar>
            <w:left w:w="70" w:type="dxa"/>
            <w:right w:w="70" w:type="dxa"/>
          </w:tblCellMar>
        </w:tblPrEx>
        <w:tc>
          <w:tcPr>
            <w:tcW w:w="9026" w:type="dxa"/>
            <w:gridSpan w:val="2"/>
            <w:tcBorders>
              <w:top w:val="single" w:sz="4" w:space="0" w:color="auto"/>
              <w:bottom w:val="single" w:sz="4" w:space="0" w:color="auto"/>
            </w:tcBorders>
          </w:tcPr>
          <w:p w14:paraId="6E5D7F9B" w14:textId="77777777" w:rsidR="00DA342E" w:rsidRPr="00CA2564" w:rsidRDefault="00DA342E" w:rsidP="00E22C15">
            <w:pPr>
              <w:spacing w:after="0" w:line="240" w:lineRule="auto"/>
              <w:jc w:val="center"/>
              <w:rPr>
                <w:noProof/>
                <w:sz w:val="4"/>
                <w:szCs w:val="4"/>
              </w:rPr>
            </w:pPr>
          </w:p>
          <w:p w14:paraId="13F54E74" w14:textId="7E0FCB92" w:rsidR="00DA342E" w:rsidRPr="00CA2564" w:rsidRDefault="0061311B" w:rsidP="00E22C15">
            <w:pPr>
              <w:spacing w:after="0" w:line="240" w:lineRule="auto"/>
              <w:jc w:val="center"/>
              <w:rPr>
                <w:noProof/>
                <w:sz w:val="4"/>
                <w:szCs w:val="4"/>
              </w:rPr>
            </w:pPr>
            <w:r>
              <w:rPr>
                <w:noProof/>
                <w:lang w:eastAsia="sk-SK"/>
              </w:rPr>
              <w:drawing>
                <wp:inline distT="0" distB="0" distL="0" distR="0" wp14:anchorId="3F01936E" wp14:editId="0AA88700">
                  <wp:extent cx="5381625" cy="2114550"/>
                  <wp:effectExtent l="0" t="0" r="0" b="0"/>
                  <wp:docPr id="28031" name="Graf 2803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xmlns:arto="http://schemas.microsoft.com/office/word/2006/arto"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4CF7668" w14:textId="77777777" w:rsidR="00DA342E" w:rsidRPr="00CA2564" w:rsidRDefault="00DA342E" w:rsidP="00E22C15">
            <w:pPr>
              <w:spacing w:after="0" w:line="240" w:lineRule="auto"/>
              <w:jc w:val="center"/>
              <w:rPr>
                <w:sz w:val="4"/>
                <w:szCs w:val="4"/>
              </w:rPr>
            </w:pPr>
          </w:p>
        </w:tc>
      </w:tr>
      <w:tr w:rsidR="008113C2" w:rsidRPr="00CA2564" w14:paraId="0F30E1D4" w14:textId="77777777" w:rsidTr="008113C2">
        <w:tc>
          <w:tcPr>
            <w:tcW w:w="6379" w:type="dxa"/>
            <w:tcBorders>
              <w:top w:val="single" w:sz="4" w:space="0" w:color="auto"/>
            </w:tcBorders>
          </w:tcPr>
          <w:p w14:paraId="4083EAF7" w14:textId="77777777" w:rsidR="008113C2" w:rsidRPr="00CA2564" w:rsidRDefault="008113C2" w:rsidP="00E22C15">
            <w:pPr>
              <w:spacing w:after="0" w:line="240" w:lineRule="auto"/>
              <w:jc w:val="left"/>
              <w:rPr>
                <w:b/>
                <w:sz w:val="18"/>
                <w:szCs w:val="18"/>
              </w:rPr>
            </w:pPr>
            <w:r w:rsidRPr="00E22C15">
              <w:rPr>
                <w:i/>
                <w:sz w:val="18"/>
                <w:szCs w:val="18"/>
              </w:rPr>
              <w:t xml:space="preserve">Poznámka: </w:t>
            </w:r>
            <w:r w:rsidRPr="00E22C15">
              <w:rPr>
                <w:i/>
                <w:sz w:val="18"/>
                <w:szCs w:val="18"/>
              </w:rPr>
              <w:fldChar w:fldCharType="begin"/>
            </w:r>
            <w:r w:rsidRPr="00E22C15">
              <w:rPr>
                <w:i/>
                <w:sz w:val="18"/>
                <w:szCs w:val="18"/>
              </w:rPr>
              <w:instrText xml:space="preserve"> REF _Ref21079087 \h  \* MERGEFORMAT </w:instrText>
            </w:r>
            <w:r w:rsidRPr="00E22C15">
              <w:rPr>
                <w:i/>
                <w:sz w:val="18"/>
                <w:szCs w:val="18"/>
              </w:rPr>
            </w:r>
            <w:r w:rsidRPr="00E22C15">
              <w:rPr>
                <w:i/>
                <w:sz w:val="18"/>
                <w:szCs w:val="18"/>
              </w:rPr>
              <w:fldChar w:fldCharType="separate"/>
            </w:r>
            <w:r w:rsidR="00FA29AF" w:rsidRPr="00FA29AF">
              <w:rPr>
                <w:i/>
                <w:sz w:val="18"/>
                <w:szCs w:val="18"/>
              </w:rPr>
              <w:t>Box 1</w:t>
            </w:r>
            <w:r w:rsidRPr="00E22C15">
              <w:rPr>
                <w:i/>
                <w:sz w:val="18"/>
                <w:szCs w:val="18"/>
              </w:rPr>
              <w:fldChar w:fldCharType="end"/>
            </w:r>
            <w:r w:rsidRPr="00E22C15">
              <w:rPr>
                <w:i/>
                <w:sz w:val="18"/>
                <w:szCs w:val="18"/>
              </w:rPr>
              <w:t xml:space="preserve"> pre definíciu miery závažnej deprivácie v bývaní a hranice rizika chudoby.</w:t>
            </w:r>
          </w:p>
        </w:tc>
        <w:tc>
          <w:tcPr>
            <w:tcW w:w="2647" w:type="dxa"/>
            <w:tcBorders>
              <w:top w:val="single" w:sz="4" w:space="0" w:color="auto"/>
            </w:tcBorders>
          </w:tcPr>
          <w:p w14:paraId="3074E2E3" w14:textId="0506FE1D" w:rsidR="008113C2" w:rsidRPr="008113C2" w:rsidRDefault="008113C2" w:rsidP="008113C2">
            <w:pPr>
              <w:spacing w:after="0" w:line="240" w:lineRule="auto"/>
              <w:jc w:val="right"/>
              <w:rPr>
                <w:i/>
                <w:sz w:val="18"/>
                <w:szCs w:val="18"/>
              </w:rPr>
            </w:pPr>
            <w:r>
              <w:rPr>
                <w:i/>
                <w:sz w:val="18"/>
                <w:szCs w:val="18"/>
              </w:rPr>
              <w:t>Zdroj: Eurostat</w:t>
            </w:r>
          </w:p>
        </w:tc>
      </w:tr>
    </w:tbl>
    <w:p w14:paraId="74317BE2" w14:textId="3DB1E315" w:rsidR="006E3B03" w:rsidRDefault="00986B94" w:rsidP="008113C2">
      <w:pPr>
        <w:spacing w:before="160"/>
      </w:pPr>
      <w:r w:rsidRPr="00CA2564">
        <w:rPr>
          <w:b/>
        </w:rPr>
        <w:t>Príjmová situácia domácnosti má na Slovensku oveľa väčší dopad na výskyt problémov s kvalit</w:t>
      </w:r>
      <w:r w:rsidR="001361C1">
        <w:rPr>
          <w:b/>
        </w:rPr>
        <w:t>ou a dostupnosťou bývania ako vo vyspelých</w:t>
      </w:r>
      <w:r w:rsidRPr="00CA2564">
        <w:rPr>
          <w:b/>
        </w:rPr>
        <w:t xml:space="preserve"> krajinách EÚ.</w:t>
      </w:r>
      <w:r w:rsidRPr="00CA2564">
        <w:t xml:space="preserve"> Kým miera závažnej deprivácie v bývaní</w:t>
      </w:r>
      <w:r w:rsidRPr="00CA2564">
        <w:rPr>
          <w:rStyle w:val="Odkaznapoznmkupodiarou"/>
        </w:rPr>
        <w:footnoteReference w:id="414"/>
      </w:r>
      <w:r w:rsidR="00C071E9">
        <w:t xml:space="preserve"> je na </w:t>
      </w:r>
      <w:r w:rsidRPr="00CA2564">
        <w:t xml:space="preserve">Slovensku </w:t>
      </w:r>
      <w:r>
        <w:t xml:space="preserve">mierne </w:t>
      </w:r>
      <w:r w:rsidR="00BC1F6A">
        <w:t>nad priemerom krajín EÚ15</w:t>
      </w:r>
      <w:r w:rsidRPr="00CA2564">
        <w:t>, v populácii s príjmom pod hranicou rizika chudoby</w:t>
      </w:r>
      <w:r w:rsidRPr="00CA2564">
        <w:rPr>
          <w:rStyle w:val="Odkaznapoznmkupodiarou"/>
        </w:rPr>
        <w:footnoteReference w:id="415"/>
      </w:r>
      <w:r w:rsidRPr="00CA2564">
        <w:t xml:space="preserve"> </w:t>
      </w:r>
      <w:r w:rsidR="00C071E9">
        <w:t>je </w:t>
      </w:r>
      <w:r w:rsidRPr="00CA2564">
        <w:t>hodnot</w:t>
      </w:r>
      <w:r>
        <w:t>a</w:t>
      </w:r>
      <w:r w:rsidRPr="00CA2564">
        <w:t xml:space="preserve"> tohto ukazovateľa sociálneho vylúčenia</w:t>
      </w:r>
      <w:r>
        <w:t xml:space="preserve"> </w:t>
      </w:r>
      <w:r w:rsidR="00BC1F6A">
        <w:t>dvojnásobná oproti priemeru EÚ15</w:t>
      </w:r>
      <w:r w:rsidRPr="00CA2564">
        <w:t xml:space="preserve"> (</w:t>
      </w:r>
      <w:r w:rsidRPr="00CA2564">
        <w:fldChar w:fldCharType="begin"/>
      </w:r>
      <w:r w:rsidRPr="00CA2564">
        <w:instrText xml:space="preserve"> REF _Ref18408403 \h  \* MERGEFORMAT </w:instrText>
      </w:r>
      <w:r w:rsidRPr="00CA2564">
        <w:fldChar w:fldCharType="separate"/>
      </w:r>
      <w:r w:rsidR="00FA29AF" w:rsidRPr="00FA29AF">
        <w:t xml:space="preserve">Graf </w:t>
      </w:r>
      <w:r w:rsidR="00FA29AF" w:rsidRPr="00FA29AF">
        <w:rPr>
          <w:noProof/>
        </w:rPr>
        <w:t>65</w:t>
      </w:r>
      <w:r w:rsidRPr="00CA2564">
        <w:fldChar w:fldCharType="end"/>
      </w:r>
      <w:r w:rsidRPr="00CA2564">
        <w:t>). Skutočná miera deprivácie v bývaní medzi chudobnými obyvateľmi Slovenska je pravdepodobne ešte väčšia</w:t>
      </w:r>
      <w:r>
        <w:t>,</w:t>
      </w:r>
      <w:r w:rsidRPr="00CA2564">
        <w:t xml:space="preserve"> keďže štatistické zisťovanie nezahŕňa domácnosti žijúce v nezdokumentovaných resp. nezlegalizovaných príbytkoch.</w:t>
      </w:r>
      <w:r w:rsidRPr="00CA2564">
        <w:rPr>
          <w:rStyle w:val="Odkaznapoznmkupodiarou"/>
        </w:rPr>
        <w:footnoteReference w:id="416"/>
      </w:r>
    </w:p>
    <w:tbl>
      <w:tblPr>
        <w:tblW w:w="9148" w:type="dxa"/>
        <w:tblLayout w:type="fixed"/>
        <w:tblLook w:val="04E0" w:firstRow="1" w:lastRow="1" w:firstColumn="1" w:lastColumn="0" w:noHBand="0" w:noVBand="1"/>
      </w:tblPr>
      <w:tblGrid>
        <w:gridCol w:w="4536"/>
        <w:gridCol w:w="284"/>
        <w:gridCol w:w="18"/>
        <w:gridCol w:w="4234"/>
        <w:gridCol w:w="76"/>
      </w:tblGrid>
      <w:tr w:rsidR="00986B94" w:rsidRPr="00CA2564" w14:paraId="259C711B" w14:textId="77777777" w:rsidTr="006E3B03">
        <w:tc>
          <w:tcPr>
            <w:tcW w:w="4536" w:type="dxa"/>
            <w:tcBorders>
              <w:bottom w:val="single" w:sz="4" w:space="0" w:color="auto"/>
            </w:tcBorders>
          </w:tcPr>
          <w:p w14:paraId="6C65FA5E" w14:textId="77777777" w:rsidR="00986B94" w:rsidRPr="006E3B03" w:rsidRDefault="00986B94" w:rsidP="006E3B03">
            <w:pPr>
              <w:spacing w:after="0" w:line="240" w:lineRule="auto"/>
              <w:rPr>
                <w:b/>
              </w:rPr>
            </w:pPr>
            <w:bookmarkStart w:id="1599" w:name="_Ref18408437"/>
            <w:bookmarkStart w:id="1600" w:name="_Toc17469441"/>
            <w:bookmarkStart w:id="1601" w:name="_Toc34157624"/>
            <w:r w:rsidRPr="006E3B03">
              <w:rPr>
                <w:b/>
                <w:sz w:val="20"/>
              </w:rPr>
              <w:t xml:space="preserve">Graf </w:t>
            </w:r>
            <w:r w:rsidRPr="006E3B03">
              <w:rPr>
                <w:b/>
                <w:sz w:val="20"/>
              </w:rPr>
              <w:fldChar w:fldCharType="begin"/>
            </w:r>
            <w:r w:rsidRPr="006E3B03">
              <w:rPr>
                <w:b/>
                <w:sz w:val="20"/>
              </w:rPr>
              <w:instrText xml:space="preserve"> SEQ Graf \* ARABIC </w:instrText>
            </w:r>
            <w:r w:rsidRPr="006E3B03">
              <w:rPr>
                <w:b/>
                <w:sz w:val="20"/>
              </w:rPr>
              <w:fldChar w:fldCharType="separate"/>
            </w:r>
            <w:r w:rsidR="00FA29AF">
              <w:rPr>
                <w:b/>
                <w:noProof/>
                <w:sz w:val="20"/>
              </w:rPr>
              <w:t>66</w:t>
            </w:r>
            <w:r w:rsidRPr="006E3B03">
              <w:rPr>
                <w:b/>
                <w:sz w:val="20"/>
              </w:rPr>
              <w:fldChar w:fldCharType="end"/>
            </w:r>
            <w:bookmarkEnd w:id="1599"/>
            <w:r w:rsidRPr="006E3B03">
              <w:rPr>
                <w:b/>
                <w:sz w:val="20"/>
              </w:rPr>
              <w:t>: Miera závažnej deprivácie v bývaní v populácii pod hranicou rizika chudoby (%)</w:t>
            </w:r>
            <w:bookmarkEnd w:id="1600"/>
            <w:bookmarkEnd w:id="1601"/>
          </w:p>
        </w:tc>
        <w:tc>
          <w:tcPr>
            <w:tcW w:w="284" w:type="dxa"/>
            <w:tcBorders>
              <w:bottom w:val="nil"/>
            </w:tcBorders>
          </w:tcPr>
          <w:p w14:paraId="1F42D15A" w14:textId="77777777" w:rsidR="00986B94" w:rsidRPr="006E3B03" w:rsidRDefault="00986B94" w:rsidP="006E3B03">
            <w:pPr>
              <w:spacing w:after="0" w:line="240" w:lineRule="auto"/>
              <w:rPr>
                <w:b/>
                <w:sz w:val="20"/>
              </w:rPr>
            </w:pPr>
          </w:p>
        </w:tc>
        <w:tc>
          <w:tcPr>
            <w:tcW w:w="4328" w:type="dxa"/>
            <w:gridSpan w:val="3"/>
            <w:tcBorders>
              <w:bottom w:val="single" w:sz="4" w:space="0" w:color="auto"/>
            </w:tcBorders>
          </w:tcPr>
          <w:p w14:paraId="61661E12" w14:textId="77777777" w:rsidR="00986B94" w:rsidRPr="006E3B03" w:rsidRDefault="00986B94" w:rsidP="006E3B03">
            <w:pPr>
              <w:spacing w:after="0" w:line="240" w:lineRule="auto"/>
              <w:rPr>
                <w:b/>
                <w:sz w:val="20"/>
              </w:rPr>
            </w:pPr>
            <w:bookmarkStart w:id="1602" w:name="_Ref18408475"/>
            <w:bookmarkStart w:id="1603" w:name="_Toc17469442"/>
            <w:bookmarkStart w:id="1604" w:name="_Toc34157625"/>
            <w:r w:rsidRPr="006E3B03">
              <w:rPr>
                <w:b/>
                <w:sz w:val="20"/>
              </w:rPr>
              <w:t xml:space="preserve">Graf </w:t>
            </w:r>
            <w:r w:rsidRPr="006E3B03">
              <w:rPr>
                <w:b/>
                <w:sz w:val="20"/>
              </w:rPr>
              <w:fldChar w:fldCharType="begin"/>
            </w:r>
            <w:r w:rsidRPr="006E3B03">
              <w:rPr>
                <w:b/>
                <w:sz w:val="20"/>
              </w:rPr>
              <w:instrText xml:space="preserve"> SEQ Graf \* ARABIC </w:instrText>
            </w:r>
            <w:r w:rsidRPr="006E3B03">
              <w:rPr>
                <w:b/>
                <w:sz w:val="20"/>
              </w:rPr>
              <w:fldChar w:fldCharType="separate"/>
            </w:r>
            <w:r w:rsidR="00FA29AF">
              <w:rPr>
                <w:b/>
                <w:noProof/>
                <w:sz w:val="20"/>
              </w:rPr>
              <w:t>67</w:t>
            </w:r>
            <w:r w:rsidRPr="006E3B03">
              <w:rPr>
                <w:b/>
                <w:sz w:val="20"/>
              </w:rPr>
              <w:fldChar w:fldCharType="end"/>
            </w:r>
            <w:bookmarkEnd w:id="1602"/>
            <w:r w:rsidRPr="006E3B03">
              <w:rPr>
                <w:b/>
                <w:sz w:val="20"/>
              </w:rPr>
              <w:t>: Rozdelenie populácie naprieč kvalitatívnymi kategóriami bytov (%)</w:t>
            </w:r>
            <w:bookmarkEnd w:id="1603"/>
            <w:bookmarkEnd w:id="1604"/>
          </w:p>
        </w:tc>
      </w:tr>
      <w:tr w:rsidR="00986B94" w:rsidRPr="00CA2564" w14:paraId="68C4B2C1" w14:textId="77777777" w:rsidTr="006E3B03">
        <w:tblPrEx>
          <w:tblCellMar>
            <w:left w:w="70" w:type="dxa"/>
            <w:right w:w="70" w:type="dxa"/>
          </w:tblCellMar>
        </w:tblPrEx>
        <w:trPr>
          <w:gridAfter w:val="1"/>
          <w:wAfter w:w="76" w:type="dxa"/>
        </w:trPr>
        <w:tc>
          <w:tcPr>
            <w:tcW w:w="4536" w:type="dxa"/>
            <w:tcBorders>
              <w:top w:val="single" w:sz="4" w:space="0" w:color="auto"/>
              <w:bottom w:val="single" w:sz="4" w:space="0" w:color="auto"/>
            </w:tcBorders>
          </w:tcPr>
          <w:p w14:paraId="7DABE71B" w14:textId="77777777" w:rsidR="00986B94" w:rsidRPr="00CA2564" w:rsidRDefault="00986B94" w:rsidP="006E3B03">
            <w:pPr>
              <w:spacing w:after="0" w:line="240" w:lineRule="auto"/>
              <w:rPr>
                <w:noProof/>
                <w:sz w:val="4"/>
                <w:szCs w:val="4"/>
              </w:rPr>
            </w:pPr>
          </w:p>
          <w:p w14:paraId="46CDEFE5" w14:textId="1BADAF14" w:rsidR="00986B94" w:rsidRPr="00CA2564" w:rsidRDefault="00D02E39" w:rsidP="006E3B03">
            <w:pPr>
              <w:spacing w:after="0" w:line="240" w:lineRule="auto"/>
              <w:rPr>
                <w:sz w:val="4"/>
                <w:szCs w:val="4"/>
              </w:rPr>
            </w:pPr>
            <w:r>
              <w:rPr>
                <w:noProof/>
                <w:lang w:eastAsia="sk-SK"/>
              </w:rPr>
              <w:drawing>
                <wp:inline distT="0" distB="0" distL="0" distR="0" wp14:anchorId="712250D4" wp14:editId="30F85F8E">
                  <wp:extent cx="2791460" cy="2095500"/>
                  <wp:effectExtent l="0" t="0" r="8890" b="0"/>
                  <wp:docPr id="28025" name="Graf 2802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xmlns:arto="http://schemas.microsoft.com/office/word/2006/arto"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578EC0C" w14:textId="77777777" w:rsidR="00986B94" w:rsidRPr="00CA2564" w:rsidRDefault="00986B94" w:rsidP="006E3B03">
            <w:pPr>
              <w:spacing w:after="0" w:line="240" w:lineRule="auto"/>
              <w:rPr>
                <w:sz w:val="4"/>
                <w:szCs w:val="4"/>
              </w:rPr>
            </w:pPr>
          </w:p>
        </w:tc>
        <w:tc>
          <w:tcPr>
            <w:tcW w:w="302" w:type="dxa"/>
            <w:gridSpan w:val="2"/>
            <w:tcBorders>
              <w:top w:val="nil"/>
              <w:bottom w:val="nil"/>
            </w:tcBorders>
          </w:tcPr>
          <w:p w14:paraId="6B04699D" w14:textId="77777777" w:rsidR="00986B94" w:rsidRPr="00CA2564" w:rsidRDefault="00986B94" w:rsidP="006E3B03">
            <w:pPr>
              <w:spacing w:after="0" w:line="240" w:lineRule="auto"/>
              <w:ind w:hanging="212"/>
              <w:rPr>
                <w:noProof/>
                <w:sz w:val="4"/>
                <w:szCs w:val="4"/>
              </w:rPr>
            </w:pPr>
          </w:p>
        </w:tc>
        <w:tc>
          <w:tcPr>
            <w:tcW w:w="4234" w:type="dxa"/>
            <w:tcBorders>
              <w:bottom w:val="single" w:sz="4" w:space="0" w:color="auto"/>
            </w:tcBorders>
          </w:tcPr>
          <w:p w14:paraId="2354A366" w14:textId="77777777" w:rsidR="00986B94" w:rsidRPr="00CA2564" w:rsidRDefault="00986B94" w:rsidP="006E3B03">
            <w:pPr>
              <w:spacing w:after="0" w:line="240" w:lineRule="auto"/>
              <w:rPr>
                <w:sz w:val="4"/>
                <w:szCs w:val="4"/>
              </w:rPr>
            </w:pPr>
          </w:p>
          <w:p w14:paraId="010D412C" w14:textId="77777777" w:rsidR="00986B94" w:rsidRPr="00CA2564" w:rsidRDefault="00986B94" w:rsidP="006E3B03">
            <w:pPr>
              <w:spacing w:after="0" w:line="240" w:lineRule="auto"/>
              <w:rPr>
                <w:sz w:val="4"/>
                <w:szCs w:val="4"/>
              </w:rPr>
            </w:pPr>
            <w:r w:rsidRPr="00CA2564">
              <w:rPr>
                <w:noProof/>
                <w:lang w:eastAsia="sk-SK"/>
              </w:rPr>
              <w:drawing>
                <wp:inline distT="0" distB="0" distL="0" distR="0" wp14:anchorId="4EFEFD36" wp14:editId="6FBC1A82">
                  <wp:extent cx="2667000" cy="2085975"/>
                  <wp:effectExtent l="0" t="0" r="0" b="0"/>
                  <wp:docPr id="359" name="Graf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7489E28A" w14:textId="77777777" w:rsidR="00986B94" w:rsidRPr="00CA2564" w:rsidRDefault="00986B94" w:rsidP="006E3B03">
            <w:pPr>
              <w:spacing w:after="0" w:line="240" w:lineRule="auto"/>
              <w:rPr>
                <w:sz w:val="4"/>
                <w:szCs w:val="4"/>
              </w:rPr>
            </w:pPr>
          </w:p>
        </w:tc>
      </w:tr>
      <w:tr w:rsidR="00986B94" w:rsidRPr="00CA2564" w14:paraId="6F7695A1" w14:textId="77777777" w:rsidTr="006E3B03">
        <w:tc>
          <w:tcPr>
            <w:tcW w:w="4536" w:type="dxa"/>
            <w:tcBorders>
              <w:top w:val="single" w:sz="4" w:space="0" w:color="auto"/>
            </w:tcBorders>
          </w:tcPr>
          <w:p w14:paraId="5D0A8DC6" w14:textId="77777777" w:rsidR="00986B94" w:rsidRPr="006E3B03" w:rsidRDefault="00986B94" w:rsidP="006E3B03">
            <w:pPr>
              <w:spacing w:after="0" w:line="240" w:lineRule="auto"/>
              <w:jc w:val="right"/>
              <w:rPr>
                <w:i/>
                <w:noProof/>
                <w:sz w:val="18"/>
                <w:szCs w:val="18"/>
              </w:rPr>
            </w:pPr>
            <w:r w:rsidRPr="006E3B03">
              <w:rPr>
                <w:i/>
                <w:noProof/>
                <w:sz w:val="18"/>
                <w:szCs w:val="18"/>
              </w:rPr>
              <w:t>Zdroj: Eurostat</w:t>
            </w:r>
          </w:p>
          <w:p w14:paraId="78EDC1D6" w14:textId="77777777" w:rsidR="00986B94" w:rsidRPr="006E3B03" w:rsidRDefault="00986B94" w:rsidP="006E3B03">
            <w:pPr>
              <w:spacing w:after="0" w:line="240" w:lineRule="auto"/>
              <w:rPr>
                <w:bCs/>
                <w:i/>
                <w:noProof/>
                <w:sz w:val="18"/>
                <w:szCs w:val="18"/>
              </w:rPr>
            </w:pPr>
            <w:r w:rsidRPr="006E3B03">
              <w:rPr>
                <w:i/>
                <w:sz w:val="18"/>
                <w:szCs w:val="18"/>
              </w:rPr>
              <w:t xml:space="preserve">Poznámka: </w:t>
            </w:r>
            <w:r w:rsidRPr="006E3B03">
              <w:rPr>
                <w:i/>
                <w:sz w:val="18"/>
                <w:szCs w:val="18"/>
              </w:rPr>
              <w:fldChar w:fldCharType="begin"/>
            </w:r>
            <w:r w:rsidRPr="006E3B03">
              <w:rPr>
                <w:i/>
                <w:sz w:val="18"/>
                <w:szCs w:val="18"/>
              </w:rPr>
              <w:instrText xml:space="preserve"> REF _Ref21079087 \h  \* MERGEFORMAT </w:instrText>
            </w:r>
            <w:r w:rsidRPr="006E3B03">
              <w:rPr>
                <w:i/>
                <w:sz w:val="18"/>
                <w:szCs w:val="18"/>
              </w:rPr>
            </w:r>
            <w:r w:rsidRPr="006E3B03">
              <w:rPr>
                <w:i/>
                <w:sz w:val="18"/>
                <w:szCs w:val="18"/>
              </w:rPr>
              <w:fldChar w:fldCharType="separate"/>
            </w:r>
            <w:r w:rsidR="00FA29AF" w:rsidRPr="00FA29AF">
              <w:rPr>
                <w:i/>
                <w:sz w:val="18"/>
                <w:szCs w:val="18"/>
              </w:rPr>
              <w:t xml:space="preserve">Box </w:t>
            </w:r>
            <w:r w:rsidR="00FA29AF" w:rsidRPr="00FA29AF">
              <w:rPr>
                <w:i/>
                <w:noProof/>
                <w:sz w:val="18"/>
                <w:szCs w:val="18"/>
              </w:rPr>
              <w:t>1</w:t>
            </w:r>
            <w:r w:rsidRPr="006E3B03">
              <w:rPr>
                <w:i/>
                <w:sz w:val="18"/>
                <w:szCs w:val="18"/>
              </w:rPr>
              <w:fldChar w:fldCharType="end"/>
            </w:r>
            <w:r w:rsidRPr="006E3B03">
              <w:rPr>
                <w:i/>
                <w:sz w:val="18"/>
                <w:szCs w:val="18"/>
              </w:rPr>
              <w:t xml:space="preserve"> pre definíciu miery závažnej deprivácie v bývaní a hranice rizika chudoby.</w:t>
            </w:r>
            <w:r w:rsidRPr="006E3B03">
              <w:rPr>
                <w:i/>
                <w:noProof/>
                <w:sz w:val="18"/>
                <w:szCs w:val="18"/>
              </w:rPr>
              <w:t xml:space="preserve"> </w:t>
            </w:r>
          </w:p>
        </w:tc>
        <w:tc>
          <w:tcPr>
            <w:tcW w:w="284" w:type="dxa"/>
            <w:tcBorders>
              <w:top w:val="nil"/>
            </w:tcBorders>
          </w:tcPr>
          <w:p w14:paraId="543237EF" w14:textId="77777777" w:rsidR="00986B94" w:rsidRPr="006E3B03" w:rsidRDefault="00986B94" w:rsidP="006E3B03">
            <w:pPr>
              <w:spacing w:after="0" w:line="240" w:lineRule="auto"/>
              <w:jc w:val="right"/>
              <w:rPr>
                <w:i/>
                <w:noProof/>
                <w:sz w:val="18"/>
                <w:szCs w:val="18"/>
              </w:rPr>
            </w:pPr>
          </w:p>
        </w:tc>
        <w:tc>
          <w:tcPr>
            <w:tcW w:w="4328" w:type="dxa"/>
            <w:gridSpan w:val="3"/>
          </w:tcPr>
          <w:p w14:paraId="2598BC25" w14:textId="77777777" w:rsidR="00986B94" w:rsidRPr="006E3B03" w:rsidRDefault="00986B94" w:rsidP="006E3B03">
            <w:pPr>
              <w:spacing w:after="0" w:line="240" w:lineRule="auto"/>
              <w:jc w:val="right"/>
              <w:rPr>
                <w:i/>
                <w:noProof/>
                <w:sz w:val="18"/>
                <w:szCs w:val="18"/>
              </w:rPr>
            </w:pPr>
            <w:r w:rsidRPr="006E3B03">
              <w:rPr>
                <w:i/>
                <w:noProof/>
                <w:sz w:val="18"/>
                <w:szCs w:val="18"/>
              </w:rPr>
              <w:t>Zdroj: Kusá (2013) podľa údajov Štatistického úradu SR</w:t>
            </w:r>
          </w:p>
        </w:tc>
      </w:tr>
    </w:tbl>
    <w:p w14:paraId="615440CE" w14:textId="3F3A9BCE" w:rsidR="00DA342E" w:rsidRDefault="00DA342E" w:rsidP="00773D27">
      <w:pPr>
        <w:spacing w:before="160"/>
      </w:pPr>
      <w:r w:rsidRPr="00CA2564">
        <w:rPr>
          <w:b/>
        </w:rPr>
        <w:t>Kým v</w:t>
      </w:r>
      <w:r w:rsidR="0000511E">
        <w:rPr>
          <w:b/>
        </w:rPr>
        <w:t> </w:t>
      </w:r>
      <w:r w:rsidRPr="00CA2564">
        <w:rPr>
          <w:b/>
        </w:rPr>
        <w:t>EÚ</w:t>
      </w:r>
      <w:r w:rsidR="0000511E">
        <w:rPr>
          <w:b/>
        </w:rPr>
        <w:t xml:space="preserve">15 bol </w:t>
      </w:r>
      <w:r w:rsidRPr="00CA2564">
        <w:rPr>
          <w:b/>
        </w:rPr>
        <w:t xml:space="preserve">podiel chudobných ľudí trpiacich závažnou depriváciou v bývaní </w:t>
      </w:r>
      <w:r w:rsidR="0000511E" w:rsidRPr="00CA2564">
        <w:rPr>
          <w:b/>
        </w:rPr>
        <w:t xml:space="preserve">za posledných dvanásť rokov </w:t>
      </w:r>
      <w:r w:rsidR="0000511E">
        <w:rPr>
          <w:b/>
        </w:rPr>
        <w:t>stabilný a v krajinách V3 výrazne klesol</w:t>
      </w:r>
      <w:r w:rsidRPr="00CA2564">
        <w:rPr>
          <w:b/>
        </w:rPr>
        <w:t>, na Slovensku naopak narástol</w:t>
      </w:r>
      <w:r w:rsidRPr="00CA2564">
        <w:t xml:space="preserve"> (</w:t>
      </w:r>
      <w:r w:rsidR="007C4E85" w:rsidRPr="00CA2564">
        <w:fldChar w:fldCharType="begin"/>
      </w:r>
      <w:r w:rsidR="007C4E85" w:rsidRPr="00CA2564">
        <w:instrText xml:space="preserve"> REF _Ref18408437 \h  \* MERGEFORMAT </w:instrText>
      </w:r>
      <w:r w:rsidR="007C4E85" w:rsidRPr="00CA2564">
        <w:fldChar w:fldCharType="separate"/>
      </w:r>
      <w:r w:rsidR="00FA29AF" w:rsidRPr="00FA29AF">
        <w:t xml:space="preserve">Graf </w:t>
      </w:r>
      <w:r w:rsidR="00FA29AF" w:rsidRPr="00FA29AF">
        <w:rPr>
          <w:noProof/>
        </w:rPr>
        <w:t>66</w:t>
      </w:r>
      <w:r w:rsidR="007C4E85" w:rsidRPr="00CA2564">
        <w:fldChar w:fldCharType="end"/>
      </w:r>
      <w:r w:rsidRPr="00CA2564">
        <w:t>). V krajinách V3 tento ukazovateľ od roku 2005 klesol v priemere o </w:t>
      </w:r>
      <w:r w:rsidR="00E16C16">
        <w:t>67</w:t>
      </w:r>
      <w:r w:rsidRPr="00CA2564">
        <w:t xml:space="preserve"> %, kým na Slovensku zaznamenal nárast o </w:t>
      </w:r>
      <w:r w:rsidR="00E16C16">
        <w:t>9</w:t>
      </w:r>
      <w:r w:rsidRPr="00CA2564">
        <w:t xml:space="preserve"> %.</w:t>
      </w:r>
    </w:p>
    <w:p w14:paraId="6FE6D1C4" w14:textId="705DBF6D" w:rsidR="001654E3" w:rsidRDefault="001654E3" w:rsidP="001654E3">
      <w:pPr>
        <w:spacing w:before="160"/>
      </w:pPr>
      <w:r w:rsidRPr="00CA2564">
        <w:rPr>
          <w:b/>
        </w:rPr>
        <w:t>Zhoršenie kvality bývania za poslednú dobu predstavuje obrat v pozitívnom trende, ktorý Slovensko zaznamenávalo minimálne od 60-t</w:t>
      </w:r>
      <w:r w:rsidR="00DA4EE5">
        <w:rPr>
          <w:b/>
        </w:rPr>
        <w:t>y</w:t>
      </w:r>
      <w:r w:rsidRPr="00CA2564">
        <w:rPr>
          <w:b/>
        </w:rPr>
        <w:t>ch rokov minulého storočia.</w:t>
      </w:r>
      <w:r w:rsidRPr="00CA2564">
        <w:t xml:space="preserve"> Podiel populácie na Slovensku žijúcej v byte 4. </w:t>
      </w:r>
      <w:r w:rsidR="00251BBE">
        <w:t xml:space="preserve">(najnižšej) </w:t>
      </w:r>
      <w:r w:rsidRPr="00CA2564">
        <w:t xml:space="preserve">kategórie od roku 1961 do roku 2001 výrazne klesol zo 77,3 % </w:t>
      </w:r>
      <w:r w:rsidRPr="00CA2564">
        <w:rPr>
          <w:szCs w:val="22"/>
        </w:rPr>
        <w:t>na 7,5 % (</w:t>
      </w:r>
      <w:r w:rsidRPr="00CA2564">
        <w:rPr>
          <w:szCs w:val="22"/>
        </w:rPr>
        <w:fldChar w:fldCharType="begin"/>
      </w:r>
      <w:r w:rsidRPr="00CA2564">
        <w:rPr>
          <w:szCs w:val="22"/>
        </w:rPr>
        <w:instrText xml:space="preserve"> REF _Ref18408475 \h  \* MERGEFORMAT </w:instrText>
      </w:r>
      <w:r w:rsidRPr="00CA2564">
        <w:rPr>
          <w:szCs w:val="22"/>
        </w:rPr>
      </w:r>
      <w:r w:rsidRPr="00CA2564">
        <w:rPr>
          <w:szCs w:val="22"/>
        </w:rPr>
        <w:fldChar w:fldCharType="separate"/>
      </w:r>
      <w:r w:rsidR="00FA29AF" w:rsidRPr="00FA29AF">
        <w:rPr>
          <w:szCs w:val="22"/>
        </w:rPr>
        <w:t xml:space="preserve">Graf </w:t>
      </w:r>
      <w:r w:rsidR="00FA29AF" w:rsidRPr="00FA29AF">
        <w:rPr>
          <w:noProof/>
          <w:szCs w:val="22"/>
        </w:rPr>
        <w:t>67</w:t>
      </w:r>
      <w:r w:rsidRPr="00CA2564">
        <w:rPr>
          <w:szCs w:val="22"/>
        </w:rPr>
        <w:fldChar w:fldCharType="end"/>
      </w:r>
      <w:r w:rsidRPr="00CA2564">
        <w:rPr>
          <w:szCs w:val="22"/>
        </w:rPr>
        <w:t xml:space="preserve">). Sčítanie obyvateľov domov a bytov v SR v roku 2011 však zaznamenalo po prvý krát zvýšenie v tomto </w:t>
      </w:r>
      <w:r w:rsidR="00131DC3" w:rsidRPr="00CA2564">
        <w:rPr>
          <w:szCs w:val="22"/>
        </w:rPr>
        <w:t>podiel</w:t>
      </w:r>
      <w:r w:rsidR="00131DC3">
        <w:rPr>
          <w:szCs w:val="22"/>
        </w:rPr>
        <w:t>e</w:t>
      </w:r>
      <w:r w:rsidR="00131DC3" w:rsidRPr="00CA2564">
        <w:rPr>
          <w:szCs w:val="22"/>
        </w:rPr>
        <w:t xml:space="preserve"> </w:t>
      </w:r>
      <w:r w:rsidR="004D3364">
        <w:rPr>
          <w:szCs w:val="22"/>
        </w:rPr>
        <w:t>na 11,6 % </w:t>
      </w:r>
      <w:r w:rsidRPr="00CA2564">
        <w:rPr>
          <w:szCs w:val="22"/>
        </w:rPr>
        <w:t>populácie</w:t>
      </w:r>
      <w:r>
        <w:t>.</w:t>
      </w:r>
    </w:p>
    <w:p w14:paraId="1DB24D04" w14:textId="77777777" w:rsidR="00DA342E" w:rsidRPr="00CA2564" w:rsidRDefault="00DA342E" w:rsidP="00DA342E">
      <w:pPr>
        <w:pStyle w:val="Bezriadkovania"/>
        <w:spacing w:before="160" w:after="240" w:line="259" w:lineRule="auto"/>
        <w:jc w:val="both"/>
        <w:rPr>
          <w:rFonts w:ascii="Arial Narrow" w:hAnsi="Arial Narrow"/>
          <w:color w:val="0070C0"/>
        </w:rPr>
      </w:pPr>
      <w:r w:rsidRPr="00CA2564">
        <w:rPr>
          <w:rFonts w:ascii="Arial Narrow" w:hAnsi="Arial Narrow"/>
          <w:color w:val="0070C0"/>
        </w:rPr>
        <w:t>Kvalita bývania a infraštruktúry v marginalizovaných rómskych komunitách</w:t>
      </w:r>
    </w:p>
    <w:p w14:paraId="75DB9284" w14:textId="450B953F" w:rsidR="00A66DAC" w:rsidRDefault="00016A35" w:rsidP="00297996">
      <w:pPr>
        <w:spacing w:before="160"/>
      </w:pPr>
      <w:r w:rsidRPr="00CA2564">
        <w:rPr>
          <w:b/>
        </w:rPr>
        <w:t>Rozdiely v</w:t>
      </w:r>
      <w:r>
        <w:rPr>
          <w:b/>
        </w:rPr>
        <w:t xml:space="preserve"> priemernej </w:t>
      </w:r>
      <w:r w:rsidRPr="00CA2564">
        <w:rPr>
          <w:b/>
        </w:rPr>
        <w:t xml:space="preserve">kvalite bývania </w:t>
      </w:r>
      <w:r w:rsidR="00F557E7">
        <w:rPr>
          <w:b/>
        </w:rPr>
        <w:t>medzi</w:t>
      </w:r>
      <w:r>
        <w:rPr>
          <w:b/>
        </w:rPr>
        <w:t xml:space="preserve"> MRK</w:t>
      </w:r>
      <w:r w:rsidRPr="00CA2564">
        <w:rPr>
          <w:b/>
        </w:rPr>
        <w:t xml:space="preserve"> a</w:t>
      </w:r>
      <w:r w:rsidR="00F557E7">
        <w:rPr>
          <w:b/>
        </w:rPr>
        <w:t> </w:t>
      </w:r>
      <w:r w:rsidRPr="00CA2564">
        <w:rPr>
          <w:b/>
        </w:rPr>
        <w:t>majorit</w:t>
      </w:r>
      <w:r w:rsidR="00F557E7">
        <w:rPr>
          <w:b/>
        </w:rPr>
        <w:t>ným prostredím</w:t>
      </w:r>
      <w:r w:rsidRPr="00CA2564">
        <w:rPr>
          <w:b/>
        </w:rPr>
        <w:t xml:space="preserve"> sú výrazné</w:t>
      </w:r>
      <w:r w:rsidR="004D3364">
        <w:rPr>
          <w:b/>
        </w:rPr>
        <w:t>, aj v porovnaní so </w:t>
      </w:r>
      <w:r>
        <w:rPr>
          <w:b/>
        </w:rPr>
        <w:t>susednými krajinami</w:t>
      </w:r>
      <w:r w:rsidRPr="00CA2564">
        <w:rPr>
          <w:b/>
        </w:rPr>
        <w:t xml:space="preserve">. </w:t>
      </w:r>
      <w:r w:rsidRPr="00CA2564">
        <w:t xml:space="preserve">Podľa prieskumu FRA až 84 % </w:t>
      </w:r>
      <w:r>
        <w:t xml:space="preserve">ľudí z prostredia MRK </w:t>
      </w:r>
      <w:r w:rsidRPr="00CA2564">
        <w:t>na Slovensku žije v preplnenom obydlí, 43 % nemá v príbytku hygienické zariadenie a 34 % žije v obydlí, ktoré</w:t>
      </w:r>
      <w:r w:rsidR="00BB2C42">
        <w:t xml:space="preserve"> má stavebné nedostatky (deravú </w:t>
      </w:r>
      <w:r w:rsidRPr="00CA2564">
        <w:t xml:space="preserve">strechu, vlhké steny, podlahy alebo základy alebo pleseň v okenných rámoch alebo podlahe). Rozdiely medzi </w:t>
      </w:r>
      <w:r>
        <w:t>ľuďmi z prostredia MRK</w:t>
      </w:r>
      <w:r w:rsidRPr="00CA2564">
        <w:t xml:space="preserve"> a majoritnou populáciou sú v posledných dvoch indikáto</w:t>
      </w:r>
      <w:r w:rsidR="004D3364">
        <w:t>roch kvality bývania väčšie ako </w:t>
      </w:r>
      <w:r w:rsidRPr="00CA2564">
        <w:t>v Českej republike</w:t>
      </w:r>
      <w:r w:rsidR="00986B94">
        <w:rPr>
          <w:rStyle w:val="Odkaznapoznmkupodiarou"/>
        </w:rPr>
        <w:footnoteReference w:id="417"/>
      </w:r>
      <w:r w:rsidRPr="00CA2564">
        <w:t xml:space="preserve"> či Maďarsku (</w:t>
      </w:r>
      <w:r w:rsidRPr="00A42768">
        <w:rPr>
          <w:szCs w:val="22"/>
        </w:rPr>
        <w:fldChar w:fldCharType="begin"/>
      </w:r>
      <w:r w:rsidRPr="0097693A">
        <w:rPr>
          <w:szCs w:val="22"/>
        </w:rPr>
        <w:instrText xml:space="preserve"> REF _Ref18225377 \h </w:instrText>
      </w:r>
      <w:r>
        <w:rPr>
          <w:szCs w:val="22"/>
        </w:rPr>
        <w:instrText xml:space="preserve"> \* MERGEFORMAT </w:instrText>
      </w:r>
      <w:r w:rsidRPr="00A42768">
        <w:rPr>
          <w:szCs w:val="22"/>
        </w:rPr>
      </w:r>
      <w:r w:rsidRPr="00A42768">
        <w:rPr>
          <w:szCs w:val="22"/>
        </w:rPr>
        <w:fldChar w:fldCharType="separate"/>
      </w:r>
      <w:r w:rsidR="00FA29AF" w:rsidRPr="00FA29AF">
        <w:rPr>
          <w:szCs w:val="22"/>
        </w:rPr>
        <w:t xml:space="preserve">Graf </w:t>
      </w:r>
      <w:r w:rsidR="00FA29AF" w:rsidRPr="00FA29AF">
        <w:rPr>
          <w:iCs/>
          <w:noProof/>
          <w:szCs w:val="22"/>
        </w:rPr>
        <w:t>68</w:t>
      </w:r>
      <w:r w:rsidRPr="00A42768">
        <w:rPr>
          <w:szCs w:val="22"/>
        </w:rPr>
        <w:fldChar w:fldCharType="end"/>
      </w:r>
      <w:r w:rsidRPr="00CA2564">
        <w:t xml:space="preserve">). </w:t>
      </w:r>
      <w:r w:rsidR="00D8360D">
        <w:t xml:space="preserve">Nízka kvalita bývania a základnej infraštruktúry má negatívne a trvalé násladky na zdravie a školské </w:t>
      </w:r>
      <w:r w:rsidR="00D8360D" w:rsidRPr="00CB1850">
        <w:t>výsledky detí (</w:t>
      </w:r>
      <w:r w:rsidR="00CB1850" w:rsidRPr="00CB1850">
        <w:fldChar w:fldCharType="begin"/>
      </w:r>
      <w:r w:rsidR="00CB1850" w:rsidRPr="00CB1850">
        <w:instrText xml:space="preserve"> REF _Ref33542243 \h  \* MERGEFORMAT </w:instrText>
      </w:r>
      <w:r w:rsidR="00CB1850" w:rsidRPr="00CB1850">
        <w:fldChar w:fldCharType="separate"/>
      </w:r>
      <w:r w:rsidR="00FA29AF" w:rsidRPr="00FA29AF">
        <w:rPr>
          <w:rFonts w:eastAsia="Arial Narrow" w:cs="Arial Narrow"/>
          <w:iCs/>
        </w:rPr>
        <w:t xml:space="preserve">Box </w:t>
      </w:r>
      <w:r w:rsidR="00FA29AF" w:rsidRPr="00FA29AF">
        <w:rPr>
          <w:rFonts w:eastAsia="Arial Narrow" w:cs="Arial Narrow"/>
          <w:iCs/>
          <w:noProof/>
        </w:rPr>
        <w:t>23</w:t>
      </w:r>
      <w:r w:rsidR="00CB1850" w:rsidRPr="00CB1850">
        <w:fldChar w:fldCharType="end"/>
      </w:r>
      <w:r w:rsidR="00D8360D" w:rsidRPr="00CB1850">
        <w:t>).</w:t>
      </w:r>
    </w:p>
    <w:tbl>
      <w:tblPr>
        <w:tblW w:w="0" w:type="auto"/>
        <w:tblLook w:val="04E0" w:firstRow="1" w:lastRow="1" w:firstColumn="1" w:lastColumn="0" w:noHBand="0" w:noVBand="1"/>
      </w:tblPr>
      <w:tblGrid>
        <w:gridCol w:w="9026"/>
      </w:tblGrid>
      <w:tr w:rsidR="00016A35" w:rsidRPr="00CA2564" w14:paraId="7926EB52" w14:textId="77777777" w:rsidTr="00A66DAC">
        <w:tc>
          <w:tcPr>
            <w:tcW w:w="9026" w:type="dxa"/>
            <w:tcBorders>
              <w:bottom w:val="single" w:sz="4" w:space="0" w:color="auto"/>
            </w:tcBorders>
          </w:tcPr>
          <w:p w14:paraId="1ACB0260" w14:textId="707124CA" w:rsidR="00016A35" w:rsidRPr="00B97C79" w:rsidRDefault="00016A35" w:rsidP="00B97C79">
            <w:pPr>
              <w:spacing w:after="0" w:line="240" w:lineRule="auto"/>
              <w:jc w:val="left"/>
              <w:rPr>
                <w:b/>
                <w:sz w:val="20"/>
              </w:rPr>
            </w:pPr>
            <w:bookmarkStart w:id="1605" w:name="_Ref18225377"/>
            <w:bookmarkStart w:id="1606" w:name="_Toc17469446"/>
            <w:bookmarkStart w:id="1607" w:name="_Toc34157626"/>
            <w:r w:rsidRPr="00B97C79">
              <w:rPr>
                <w:b/>
                <w:sz w:val="20"/>
              </w:rPr>
              <w:t xml:space="preserve">Graf </w:t>
            </w:r>
            <w:r w:rsidRPr="00B97C79">
              <w:rPr>
                <w:b/>
                <w:noProof/>
                <w:sz w:val="20"/>
              </w:rPr>
              <w:fldChar w:fldCharType="begin"/>
            </w:r>
            <w:r w:rsidRPr="00B97C79">
              <w:rPr>
                <w:b/>
                <w:iCs/>
                <w:noProof/>
                <w:sz w:val="20"/>
              </w:rPr>
              <w:instrText xml:space="preserve"> SEQ Graf \* ARABIC </w:instrText>
            </w:r>
            <w:r w:rsidRPr="00B97C79">
              <w:rPr>
                <w:b/>
                <w:noProof/>
                <w:sz w:val="20"/>
              </w:rPr>
              <w:fldChar w:fldCharType="separate"/>
            </w:r>
            <w:r w:rsidR="00FA29AF">
              <w:rPr>
                <w:b/>
                <w:iCs/>
                <w:noProof/>
                <w:sz w:val="20"/>
              </w:rPr>
              <w:t>68</w:t>
            </w:r>
            <w:r w:rsidRPr="00B97C79">
              <w:rPr>
                <w:b/>
                <w:noProof/>
                <w:sz w:val="20"/>
              </w:rPr>
              <w:fldChar w:fldCharType="end"/>
            </w:r>
            <w:bookmarkEnd w:id="1605"/>
            <w:r w:rsidRPr="00B97C79">
              <w:rPr>
                <w:b/>
                <w:sz w:val="20"/>
              </w:rPr>
              <w:t>: Ukazovatele kvality bývania, 2016</w:t>
            </w:r>
            <w:r w:rsidR="0070047D" w:rsidRPr="00B97C79">
              <w:rPr>
                <w:b/>
                <w:sz w:val="20"/>
              </w:rPr>
              <w:t xml:space="preserve"> </w:t>
            </w:r>
            <w:r w:rsidRPr="00B97C79">
              <w:rPr>
                <w:b/>
                <w:sz w:val="20"/>
              </w:rPr>
              <w:t>(% populácie)</w:t>
            </w:r>
            <w:bookmarkEnd w:id="1606"/>
            <w:bookmarkEnd w:id="1607"/>
          </w:p>
        </w:tc>
      </w:tr>
      <w:tr w:rsidR="00016A35" w:rsidRPr="00CA2564" w14:paraId="7DD44ECA" w14:textId="77777777" w:rsidTr="00A66DAC">
        <w:tc>
          <w:tcPr>
            <w:tcW w:w="9026" w:type="dxa"/>
            <w:tcBorders>
              <w:top w:val="single" w:sz="4" w:space="0" w:color="auto"/>
              <w:bottom w:val="single" w:sz="4" w:space="0" w:color="auto"/>
            </w:tcBorders>
          </w:tcPr>
          <w:p w14:paraId="651EAFCF" w14:textId="77777777" w:rsidR="00016A35" w:rsidRPr="00CA2564" w:rsidRDefault="00016A35" w:rsidP="00B97C79">
            <w:pPr>
              <w:spacing w:after="0" w:line="240" w:lineRule="auto"/>
              <w:jc w:val="center"/>
              <w:rPr>
                <w:noProof/>
                <w:sz w:val="4"/>
                <w:szCs w:val="4"/>
              </w:rPr>
            </w:pPr>
          </w:p>
          <w:p w14:paraId="654B7E53" w14:textId="1D48CEDA" w:rsidR="00016A35" w:rsidRPr="00CA2564" w:rsidRDefault="00016A35" w:rsidP="00B97C79">
            <w:pPr>
              <w:spacing w:after="0" w:line="240" w:lineRule="auto"/>
              <w:jc w:val="center"/>
              <w:rPr>
                <w:noProof/>
                <w:sz w:val="4"/>
                <w:szCs w:val="4"/>
              </w:rPr>
            </w:pPr>
            <w:r>
              <w:rPr>
                <w:noProof/>
                <w:lang w:eastAsia="sk-SK"/>
              </w:rPr>
              <w:drawing>
                <wp:inline distT="0" distB="0" distL="0" distR="0" wp14:anchorId="6D56648D" wp14:editId="3713A262">
                  <wp:extent cx="4819650" cy="1781175"/>
                  <wp:effectExtent l="0" t="0" r="0" b="9525"/>
                  <wp:docPr id="3" name="Chart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0000000-0008-0000-0A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1C3A2619" w14:textId="77777777" w:rsidR="00016A35" w:rsidRPr="00CA2564" w:rsidRDefault="00016A35" w:rsidP="00B97C79">
            <w:pPr>
              <w:spacing w:after="0" w:line="240" w:lineRule="auto"/>
              <w:jc w:val="center"/>
              <w:rPr>
                <w:sz w:val="4"/>
                <w:szCs w:val="4"/>
              </w:rPr>
            </w:pPr>
          </w:p>
        </w:tc>
      </w:tr>
      <w:tr w:rsidR="00016A35" w:rsidRPr="00CA2564" w14:paraId="7A42BCEA" w14:textId="77777777" w:rsidTr="00A66DAC">
        <w:tc>
          <w:tcPr>
            <w:tcW w:w="9026" w:type="dxa"/>
            <w:tcBorders>
              <w:top w:val="single" w:sz="4" w:space="0" w:color="auto"/>
            </w:tcBorders>
          </w:tcPr>
          <w:p w14:paraId="54DFA70C" w14:textId="77777777" w:rsidR="00016A35" w:rsidRPr="00B97C79" w:rsidRDefault="00016A35" w:rsidP="00B97C79">
            <w:pPr>
              <w:spacing w:after="0" w:line="240" w:lineRule="auto"/>
              <w:jc w:val="right"/>
              <w:rPr>
                <w:i/>
                <w:sz w:val="18"/>
                <w:szCs w:val="18"/>
              </w:rPr>
            </w:pPr>
            <w:r w:rsidRPr="00B97C79">
              <w:rPr>
                <w:i/>
                <w:sz w:val="18"/>
                <w:szCs w:val="18"/>
              </w:rPr>
              <w:t>Zdroj: FRA a Eurostat</w:t>
            </w:r>
          </w:p>
          <w:p w14:paraId="23186761" w14:textId="77777777" w:rsidR="00016A35" w:rsidRPr="00CA2564" w:rsidRDefault="00016A35" w:rsidP="00B97C79">
            <w:pPr>
              <w:spacing w:after="0" w:line="240" w:lineRule="auto"/>
              <w:rPr>
                <w:b/>
                <w:sz w:val="18"/>
                <w:szCs w:val="18"/>
              </w:rPr>
            </w:pPr>
            <w:r w:rsidRPr="00B97C79">
              <w:rPr>
                <w:i/>
                <w:sz w:val="18"/>
                <w:szCs w:val="18"/>
              </w:rPr>
              <w:t xml:space="preserve">Poznámka: </w:t>
            </w:r>
            <w:r w:rsidRPr="00B97C79">
              <w:rPr>
                <w:rFonts w:cs="MyriadPro-It"/>
                <w:i/>
                <w:iCs/>
                <w:sz w:val="18"/>
                <w:szCs w:val="18"/>
              </w:rPr>
              <w:t>Preplnené bývanie označuje situáciu, kedy počet izieb nezodpovedá veľkosti a zloženiu domácnosti. Chýbajúce hygienické zariadenie označuje domácnosti, ktoré nemajú prístup k vani, sprche ani splachovacej toalete vo svojom príbytku. Stavebné nedostatky označujú domácnosti žijúce v príbytku so zatekajúcou strechou, vlhkými stenami, podlahou alebo základmi alebo s plesňou na okenných rámoch alebo podlahe.</w:t>
            </w:r>
          </w:p>
        </w:tc>
      </w:tr>
    </w:tbl>
    <w:p w14:paraId="5C4141CE" w14:textId="0863624E" w:rsidR="00DA342E" w:rsidRDefault="00DA342E" w:rsidP="00DA342E">
      <w:pPr>
        <w:spacing w:before="160"/>
      </w:pPr>
      <w:r w:rsidRPr="00CA2564">
        <w:rPr>
          <w:b/>
        </w:rPr>
        <w:t>Údaje z</w:t>
      </w:r>
      <w:r w:rsidR="00FD7346">
        <w:rPr>
          <w:b/>
        </w:rPr>
        <w:t xml:space="preserve"> najnovšieho </w:t>
      </w:r>
      <w:r w:rsidRPr="00CA2564">
        <w:rPr>
          <w:b/>
        </w:rPr>
        <w:t xml:space="preserve">Atlasu rómskych komunít </w:t>
      </w:r>
      <w:r w:rsidR="00C41101">
        <w:rPr>
          <w:b/>
        </w:rPr>
        <w:t xml:space="preserve">(2019) </w:t>
      </w:r>
      <w:r w:rsidRPr="00CA2564">
        <w:rPr>
          <w:b/>
        </w:rPr>
        <w:t xml:space="preserve">naznačujú, že </w:t>
      </w:r>
      <w:r w:rsidR="00FD7346" w:rsidRPr="00CA2564">
        <w:rPr>
          <w:b/>
        </w:rPr>
        <w:t xml:space="preserve">viac ako </w:t>
      </w:r>
      <w:r w:rsidR="00FD7346">
        <w:rPr>
          <w:b/>
        </w:rPr>
        <w:t>trištvrte</w:t>
      </w:r>
      <w:r w:rsidR="00FD7346" w:rsidRPr="00CA2564">
        <w:rPr>
          <w:b/>
        </w:rPr>
        <w:t xml:space="preserve"> (</w:t>
      </w:r>
      <w:r w:rsidR="00FD7346">
        <w:rPr>
          <w:b/>
        </w:rPr>
        <w:t>81</w:t>
      </w:r>
      <w:r w:rsidR="00FD7346" w:rsidRPr="00CA2564">
        <w:rPr>
          <w:b/>
        </w:rPr>
        <w:t xml:space="preserve"> %) </w:t>
      </w:r>
      <w:r w:rsidRPr="00CA2564">
        <w:rPr>
          <w:b/>
        </w:rPr>
        <w:t xml:space="preserve">rómskeho obyvateľstva na Slovensku žije v koncentrovaných osídleniach oddelene od majoritnej populácie. </w:t>
      </w:r>
      <w:r w:rsidR="004D3364">
        <w:t>Zhruba </w:t>
      </w:r>
      <w:r w:rsidR="00FD7346">
        <w:t>31</w:t>
      </w:r>
      <w:r w:rsidRPr="00CA2564">
        <w:t xml:space="preserve"> % žije v osídleniach vnútri obce, </w:t>
      </w:r>
      <w:r w:rsidR="00FD7346">
        <w:t>36</w:t>
      </w:r>
      <w:r w:rsidRPr="00CA2564">
        <w:t xml:space="preserve"> % v osídleniach na okraji obce a 1</w:t>
      </w:r>
      <w:r w:rsidR="00FD7346">
        <w:t>4</w:t>
      </w:r>
      <w:r w:rsidRPr="00CA2564">
        <w:t xml:space="preserve"> % v osídleniach mimo obce. Koncentrácia rómskeho </w:t>
      </w:r>
      <w:r w:rsidRPr="0044034F">
        <w:rPr>
          <w:szCs w:val="22"/>
        </w:rPr>
        <w:t xml:space="preserve">obyvateľstva v osídleniach je </w:t>
      </w:r>
      <w:r w:rsidR="00C41101">
        <w:rPr>
          <w:szCs w:val="22"/>
        </w:rPr>
        <w:t>najväčšia v </w:t>
      </w:r>
      <w:r w:rsidR="00EE454B">
        <w:rPr>
          <w:szCs w:val="22"/>
        </w:rPr>
        <w:t>B</w:t>
      </w:r>
      <w:r w:rsidR="00C41101">
        <w:rPr>
          <w:szCs w:val="22"/>
        </w:rPr>
        <w:t xml:space="preserve">anskobystrickom a </w:t>
      </w:r>
      <w:r w:rsidR="00EE454B">
        <w:rPr>
          <w:szCs w:val="22"/>
        </w:rPr>
        <w:t>T</w:t>
      </w:r>
      <w:r w:rsidR="00C41101">
        <w:rPr>
          <w:szCs w:val="22"/>
        </w:rPr>
        <w:t>rnavskom</w:t>
      </w:r>
      <w:r w:rsidRPr="0044034F">
        <w:rPr>
          <w:szCs w:val="22"/>
        </w:rPr>
        <w:t xml:space="preserve"> kraji, </w:t>
      </w:r>
      <w:r w:rsidR="004D3364">
        <w:rPr>
          <w:szCs w:val="22"/>
        </w:rPr>
        <w:t>kým </w:t>
      </w:r>
      <w:r w:rsidR="00C41101">
        <w:rPr>
          <w:szCs w:val="22"/>
        </w:rPr>
        <w:t>najviac Rómov žije v </w:t>
      </w:r>
      <w:r w:rsidR="00EE454B">
        <w:rPr>
          <w:szCs w:val="22"/>
        </w:rPr>
        <w:t>K</w:t>
      </w:r>
      <w:r w:rsidR="00C41101">
        <w:rPr>
          <w:szCs w:val="22"/>
        </w:rPr>
        <w:t>ošickom a </w:t>
      </w:r>
      <w:r w:rsidR="00EE454B">
        <w:rPr>
          <w:szCs w:val="22"/>
        </w:rPr>
        <w:t>P</w:t>
      </w:r>
      <w:r w:rsidR="00C41101">
        <w:rPr>
          <w:szCs w:val="22"/>
        </w:rPr>
        <w:t xml:space="preserve">rešovskom kraji </w:t>
      </w:r>
      <w:r w:rsidRPr="0044034F">
        <w:rPr>
          <w:szCs w:val="22"/>
        </w:rPr>
        <w:t>(</w:t>
      </w:r>
      <w:r w:rsidRPr="0044034F">
        <w:rPr>
          <w:szCs w:val="22"/>
        </w:rPr>
        <w:fldChar w:fldCharType="begin"/>
      </w:r>
      <w:r w:rsidRPr="0044034F">
        <w:rPr>
          <w:szCs w:val="22"/>
        </w:rPr>
        <w:instrText xml:space="preserve"> REF _Ref18225136 \h </w:instrText>
      </w:r>
      <w:r w:rsidR="0044034F">
        <w:rPr>
          <w:szCs w:val="22"/>
        </w:rPr>
        <w:instrText xml:space="preserve"> \* MERGEFORMAT </w:instrText>
      </w:r>
      <w:r w:rsidRPr="0044034F">
        <w:rPr>
          <w:szCs w:val="22"/>
        </w:rPr>
      </w:r>
      <w:r w:rsidRPr="0044034F">
        <w:rPr>
          <w:szCs w:val="22"/>
        </w:rPr>
        <w:fldChar w:fldCharType="separate"/>
      </w:r>
      <w:r w:rsidR="00FA29AF" w:rsidRPr="00FA29AF">
        <w:rPr>
          <w:szCs w:val="22"/>
        </w:rPr>
        <w:t xml:space="preserve">Graf </w:t>
      </w:r>
      <w:r w:rsidR="00FA29AF" w:rsidRPr="00FA29AF">
        <w:rPr>
          <w:iCs/>
          <w:noProof/>
          <w:szCs w:val="22"/>
        </w:rPr>
        <w:t>69</w:t>
      </w:r>
      <w:r w:rsidRPr="0044034F">
        <w:rPr>
          <w:szCs w:val="22"/>
        </w:rPr>
        <w:fldChar w:fldCharType="end"/>
      </w:r>
      <w:r w:rsidRPr="0044034F">
        <w:rPr>
          <w:szCs w:val="22"/>
        </w:rPr>
        <w:t xml:space="preserve">). </w:t>
      </w:r>
      <w:r w:rsidR="009E40CD">
        <w:t xml:space="preserve">Spomedzi </w:t>
      </w:r>
      <w:r w:rsidR="00825BF7">
        <w:t>ľudí z prostredia</w:t>
      </w:r>
      <w:r w:rsidR="009E40CD">
        <w:t xml:space="preserve"> MRK ži</w:t>
      </w:r>
      <w:r w:rsidR="00C41101">
        <w:t>júcich v osídleniach mimo obce 6</w:t>
      </w:r>
      <w:r w:rsidR="009E40CD">
        <w:t>5 % žije v osídlení vzdialenom do jedného kilometra od najbližšej obce a </w:t>
      </w:r>
      <w:r w:rsidR="00C41101">
        <w:t>10</w:t>
      </w:r>
      <w:r w:rsidR="004D3364">
        <w:t xml:space="preserve"> % žije v </w:t>
      </w:r>
      <w:r w:rsidR="009E40CD">
        <w:t xml:space="preserve">osídlení vzdialenom viac ako 3 kilometre od najbližšej obce. </w:t>
      </w:r>
      <w:r w:rsidRPr="0044034F">
        <w:rPr>
          <w:szCs w:val="22"/>
        </w:rPr>
        <w:t>Údaje</w:t>
      </w:r>
      <w:r w:rsidRPr="00CA2564">
        <w:t xml:space="preserve"> sú orientačné, keďže Atlas rómskych komunít nie je sčítaním rómskeho obyvateľstva</w:t>
      </w:r>
      <w:r w:rsidR="004574A6">
        <w:t>.</w:t>
      </w:r>
    </w:p>
    <w:p w14:paraId="4B713433" w14:textId="4030C9BE" w:rsidR="00CB1850" w:rsidRPr="00CB1850" w:rsidRDefault="00986B94" w:rsidP="00CB1850">
      <w:pPr>
        <w:spacing w:before="240"/>
      </w:pPr>
      <w:r>
        <w:rPr>
          <w:b/>
        </w:rPr>
        <w:t>Až</w:t>
      </w:r>
      <w:r w:rsidRPr="00C41101">
        <w:rPr>
          <w:b/>
        </w:rPr>
        <w:t xml:space="preserve"> </w:t>
      </w:r>
      <w:r w:rsidRPr="00D3189B">
        <w:rPr>
          <w:b/>
        </w:rPr>
        <w:t>70</w:t>
      </w:r>
      <w:r w:rsidRPr="00C41101">
        <w:rPr>
          <w:b/>
        </w:rPr>
        <w:t xml:space="preserve"> % </w:t>
      </w:r>
      <w:r>
        <w:rPr>
          <w:b/>
        </w:rPr>
        <w:t xml:space="preserve">rómskych </w:t>
      </w:r>
      <w:r w:rsidRPr="00C41101">
        <w:rPr>
          <w:b/>
        </w:rPr>
        <w:t xml:space="preserve">osídlení na okraji alebo mimo obcí nemá prístupový chodník. </w:t>
      </w:r>
      <w:r w:rsidRPr="00D3189B">
        <w:t xml:space="preserve">Spolu ide o 477 osídlení, v ktorých žije </w:t>
      </w:r>
      <w:r w:rsidRPr="00C41101">
        <w:t xml:space="preserve">120 tisíc osôb. Zhruba 10 % osídlení mimo obce nemá prístupovú cestu, žije v nich </w:t>
      </w:r>
      <w:r w:rsidRPr="00D3189B">
        <w:t>takmer 2 tisíc</w:t>
      </w:r>
      <w:r w:rsidRPr="00C41101">
        <w:t xml:space="preserve"> osôb. Neexistujúce</w:t>
      </w:r>
      <w:r>
        <w:t xml:space="preserve"> či závažne poškodené pozemné komunikácie sťažujú osobám zo segregovaných osídlení prístup ku vzdelávaniu alebo zdravotnej starostlivosti, čím sa ich sociálne vylúčenie stáva ešte výraznejším.</w:t>
      </w:r>
    </w:p>
    <w:tbl>
      <w:tblPr>
        <w:tblW w:w="0" w:type="auto"/>
        <w:shd w:val="clear" w:color="auto" w:fill="BDD6EE" w:themeFill="accent1" w:themeFillTint="66"/>
        <w:tblLook w:val="04A0" w:firstRow="1" w:lastRow="0" w:firstColumn="1" w:lastColumn="0" w:noHBand="0" w:noVBand="1"/>
      </w:tblPr>
      <w:tblGrid>
        <w:gridCol w:w="9026"/>
      </w:tblGrid>
      <w:tr w:rsidR="00CB1850" w14:paraId="4E6E5800" w14:textId="77777777" w:rsidTr="00A66DAC">
        <w:tc>
          <w:tcPr>
            <w:tcW w:w="9026" w:type="dxa"/>
            <w:shd w:val="clear" w:color="auto" w:fill="BDD6EE" w:themeFill="accent1" w:themeFillTint="66"/>
          </w:tcPr>
          <w:p w14:paraId="50EC7459" w14:textId="77777777" w:rsidR="00CB1850" w:rsidRPr="00225D12" w:rsidRDefault="00CB1850" w:rsidP="00CB1850">
            <w:pPr>
              <w:spacing w:before="120"/>
              <w:rPr>
                <w:rFonts w:eastAsia="Arial Narrow" w:cs="Arial Narrow"/>
                <w:b/>
                <w:iCs/>
              </w:rPr>
            </w:pPr>
            <w:bookmarkStart w:id="1608" w:name="_Ref33542243"/>
            <w:r w:rsidRPr="007F4037">
              <w:rPr>
                <w:rFonts w:eastAsia="Arial Narrow" w:cs="Arial Narrow"/>
                <w:b/>
                <w:iCs/>
              </w:rPr>
              <w:t xml:space="preserve">Box </w:t>
            </w:r>
            <w:r>
              <w:rPr>
                <w:rFonts w:eastAsia="Arial Narrow" w:cs="Arial Narrow"/>
                <w:b/>
                <w:iCs/>
              </w:rPr>
              <w:fldChar w:fldCharType="begin"/>
            </w:r>
            <w:r>
              <w:rPr>
                <w:rFonts w:eastAsia="Arial Narrow" w:cs="Arial Narrow"/>
                <w:b/>
                <w:iCs/>
              </w:rPr>
              <w:instrText xml:space="preserve"> SEQ Box \* ARABIC </w:instrText>
            </w:r>
            <w:r>
              <w:rPr>
                <w:rFonts w:eastAsia="Arial Narrow" w:cs="Arial Narrow"/>
                <w:b/>
                <w:iCs/>
              </w:rPr>
              <w:fldChar w:fldCharType="separate"/>
            </w:r>
            <w:r w:rsidR="00FA29AF">
              <w:rPr>
                <w:rFonts w:eastAsia="Arial Narrow" w:cs="Arial Narrow"/>
                <w:b/>
                <w:iCs/>
                <w:noProof/>
              </w:rPr>
              <w:t>23</w:t>
            </w:r>
            <w:r>
              <w:rPr>
                <w:rFonts w:eastAsia="Arial Narrow" w:cs="Arial Narrow"/>
                <w:b/>
                <w:iCs/>
              </w:rPr>
              <w:fldChar w:fldCharType="end"/>
            </w:r>
            <w:bookmarkEnd w:id="1608"/>
            <w:r w:rsidRPr="00CA2564">
              <w:rPr>
                <w:rFonts w:eastAsia="Arial Narrow" w:cs="Arial Narrow"/>
                <w:b/>
              </w:rPr>
              <w:t xml:space="preserve">: </w:t>
            </w:r>
            <w:r>
              <w:rPr>
                <w:rFonts w:eastAsia="Arial Narrow" w:cs="Arial Narrow"/>
                <w:b/>
              </w:rPr>
              <w:t>Vplyv kvality bývania na deti</w:t>
            </w:r>
          </w:p>
          <w:p w14:paraId="1A3862C9" w14:textId="6D163CD5" w:rsidR="00CB1850" w:rsidRDefault="00CB1850" w:rsidP="006228E5">
            <w:pPr>
              <w:spacing w:before="160" w:after="240"/>
            </w:pPr>
            <w:r>
              <w:rPr>
                <w:b/>
              </w:rPr>
              <w:t xml:space="preserve">Nízka kvalita bývania výrazne negatívne vplýva na zdravie detí a následky s tým súvisiace sú neskôr ťažko zvrátiteľné. </w:t>
            </w:r>
            <w:r>
              <w:t>Deti žijúce v segregovaných osadách častejšie trpia hnačkovými ochoreniami</w:t>
            </w:r>
            <w:r w:rsidRPr="00001943">
              <w:t>, podvýži</w:t>
            </w:r>
            <w:r>
              <w:t>vou a respiračnými</w:t>
            </w:r>
            <w:r w:rsidRPr="00001943">
              <w:t xml:space="preserve"> </w:t>
            </w:r>
            <w:r>
              <w:t>ochoreniami (Unger, 2013). Nevyhovujúce podmienky</w:t>
            </w:r>
            <w:r w:rsidR="000D3D61">
              <w:t>,</w:t>
            </w:r>
            <w:r>
              <w:t xml:space="preserve"> ako vlhkosť, </w:t>
            </w:r>
            <w:r w:rsidRPr="00375067">
              <w:t>p</w:t>
            </w:r>
            <w:r>
              <w:t>leseň, nedostatok svetla, hluk či chlad</w:t>
            </w:r>
            <w:r w:rsidR="000D3D61">
              <w:t>,</w:t>
            </w:r>
            <w:r w:rsidRPr="00375067">
              <w:t xml:space="preserve"> </w:t>
            </w:r>
            <w:r>
              <w:t>zvyšujú pravdepodobnosť zdravotných problémov viac ako 4-násobne (</w:t>
            </w:r>
            <w:r w:rsidRPr="006A028A">
              <w:t>Gehrt a kol.</w:t>
            </w:r>
            <w:r>
              <w:t>,</w:t>
            </w:r>
            <w:r w:rsidRPr="006A028A">
              <w:t xml:space="preserve"> 2019)</w:t>
            </w:r>
            <w:r w:rsidRPr="00375067">
              <w:t>.</w:t>
            </w:r>
            <w:r>
              <w:t xml:space="preserve"> Vlhké alebo plesnivé steny zvyšujú výskyt ochorení dýchacích ciest</w:t>
            </w:r>
            <w:r w:rsidR="000D3D61">
              <w:t>,</w:t>
            </w:r>
            <w:r>
              <w:t xml:space="preserve"> ako sú astma, alergie a dýchavičnosť (Karvonen a kol., 2015, </w:t>
            </w:r>
            <w:r w:rsidRPr="007F5B7D">
              <w:t>Hurrass</w:t>
            </w:r>
            <w:r>
              <w:t xml:space="preserve"> a kol., 2017). </w:t>
            </w:r>
          </w:p>
          <w:p w14:paraId="00327471" w14:textId="5E9C928E" w:rsidR="00CB1850" w:rsidRDefault="00CB1850" w:rsidP="006228E5">
            <w:pPr>
              <w:spacing w:before="160" w:after="240"/>
            </w:pPr>
            <w:r>
              <w:t>Nevyhovujúce</w:t>
            </w:r>
            <w:r w:rsidRPr="001102C5">
              <w:t xml:space="preserve"> alebo </w:t>
            </w:r>
            <w:r>
              <w:t>preplnené</w:t>
            </w:r>
            <w:r w:rsidRPr="001102C5">
              <w:t xml:space="preserve"> </w:t>
            </w:r>
            <w:r>
              <w:t>bývanie podmieňuje aj výskyt psychických</w:t>
            </w:r>
            <w:r w:rsidRPr="001102C5">
              <w:t xml:space="preserve"> </w:t>
            </w:r>
            <w:r>
              <w:t>ťažkostí. Chronický stres a problémy s uspokojovaním najzakladanejších potrieb prispievajú u detí k e</w:t>
            </w:r>
            <w:r w:rsidRPr="001102C5">
              <w:t>mocionáln</w:t>
            </w:r>
            <w:r>
              <w:t xml:space="preserve">ym ťažkostiam a </w:t>
            </w:r>
            <w:r w:rsidRPr="001102C5">
              <w:t>poruch</w:t>
            </w:r>
            <w:r>
              <w:t>ám</w:t>
            </w:r>
            <w:r w:rsidRPr="001102C5">
              <w:t xml:space="preserve"> správania</w:t>
            </w:r>
            <w:r>
              <w:t xml:space="preserve"> (Coley a kol., 2013, Wells a kol., 2016). Zlé podmienky bývania sú spájané s častejšou prítomnosťou stavov </w:t>
            </w:r>
            <w:r w:rsidRPr="001102C5">
              <w:t>úzkosti a</w:t>
            </w:r>
            <w:r>
              <w:t> </w:t>
            </w:r>
            <w:r w:rsidRPr="001102C5">
              <w:t>depresie</w:t>
            </w:r>
            <w:r>
              <w:t xml:space="preserve"> a s tým súvisiacimi problémami </w:t>
            </w:r>
            <w:r w:rsidRPr="001102C5">
              <w:t xml:space="preserve">so spánkom </w:t>
            </w:r>
            <w:r>
              <w:t xml:space="preserve">a </w:t>
            </w:r>
            <w:r w:rsidRPr="001102C5">
              <w:t xml:space="preserve">zvládaním </w:t>
            </w:r>
            <w:r>
              <w:t>záťažových situácií</w:t>
            </w:r>
            <w:r w:rsidRPr="001102C5">
              <w:t xml:space="preserve"> </w:t>
            </w:r>
            <w:r>
              <w:t>(</w:t>
            </w:r>
            <w:r w:rsidRPr="00AA2B91">
              <w:t>Rollings</w:t>
            </w:r>
            <w:r>
              <w:t xml:space="preserve"> a kol.</w:t>
            </w:r>
            <w:r w:rsidRPr="009F6574">
              <w:t xml:space="preserve">, </w:t>
            </w:r>
            <w:r>
              <w:t>2017</w:t>
            </w:r>
            <w:r w:rsidRPr="009F6574">
              <w:t>)</w:t>
            </w:r>
            <w:r>
              <w:t>.</w:t>
            </w:r>
            <w:r w:rsidRPr="009F6574">
              <w:t xml:space="preserve"> </w:t>
            </w:r>
            <w:r w:rsidR="00FF705B">
              <w:t>Navyše</w:t>
            </w:r>
            <w:r>
              <w:t xml:space="preserve"> sú ne</w:t>
            </w:r>
            <w:r w:rsidRPr="00F338DB">
              <w:t xml:space="preserve">gatívne efekty zlého bývania ťažko </w:t>
            </w:r>
            <w:r>
              <w:t>zvrátiteľné. Zlepšenie domácich podmienok prispelo len k zastaveniu zhoršeného zdravotného stavu</w:t>
            </w:r>
            <w:r w:rsidR="00FF705B">
              <w:t>,</w:t>
            </w:r>
            <w:r>
              <w:t xml:space="preserve"> nie k jeho zlepšeniu (Thomson a kol., 2013).</w:t>
            </w:r>
          </w:p>
          <w:p w14:paraId="2AA9C81A" w14:textId="4DBF5D09" w:rsidR="00CB1850" w:rsidRDefault="00CB1850" w:rsidP="006228E5">
            <w:pPr>
              <w:spacing w:before="160" w:after="240"/>
            </w:pPr>
            <w:r>
              <w:rPr>
                <w:b/>
              </w:rPr>
              <w:t xml:space="preserve">Bývanie výrazne ovplyvňuje aj vzdelávacie </w:t>
            </w:r>
            <w:r w:rsidRPr="00375067">
              <w:rPr>
                <w:b/>
              </w:rPr>
              <w:t>výsledky detí.</w:t>
            </w:r>
            <w:r>
              <w:rPr>
                <w:b/>
              </w:rPr>
              <w:t xml:space="preserve"> </w:t>
            </w:r>
            <w:r w:rsidRPr="00773004">
              <w:t>V</w:t>
            </w:r>
            <w:r>
              <w:t> </w:t>
            </w:r>
            <w:r w:rsidRPr="00773004">
              <w:t xml:space="preserve">dôsledku zdravotných problémov </w:t>
            </w:r>
            <w:r>
              <w:t>súvisiacich s bývaním v nezdravom/vlhkom prostredí vymeškajú postihnuté deti v rámci Európy v priemere 1 až 4 dni za rok v závislosti od choroby (</w:t>
            </w:r>
            <w:r w:rsidRPr="006A028A">
              <w:t>Gehrt a kol.</w:t>
            </w:r>
            <w:r>
              <w:t>,</w:t>
            </w:r>
            <w:r w:rsidRPr="006A028A">
              <w:t xml:space="preserve"> 2019)</w:t>
            </w:r>
            <w:r>
              <w:t>. V preplnených domácnostiach chýbajú priestory na učenie a písanie domácich úloh s dostatočným osvetlením bez nadmerného ruchu, čo sa prejavuje na schopnosti detí sústrediť sa, čoho častým dôsledkom je predčasne ukončená školská dochádzka a nižší dosiahnutý stupeň vzdelania (Solari a Mare, 2012)</w:t>
            </w:r>
            <w:r w:rsidR="00196B47">
              <w:t>,</w:t>
            </w:r>
            <w:r>
              <w:t xml:space="preserve"> ako aj slabšie výsledky v čítaní a počítaní (Goux a Maurin, 2005).</w:t>
            </w:r>
          </w:p>
        </w:tc>
      </w:tr>
    </w:tbl>
    <w:p w14:paraId="5080CB7D" w14:textId="37CE6599" w:rsidR="00297996" w:rsidRDefault="00297996" w:rsidP="00297996">
      <w:pPr>
        <w:spacing w:after="0"/>
        <w:rPr>
          <w:b/>
        </w:rPr>
      </w:pPr>
      <w:bookmarkStart w:id="1609" w:name="_Toc30778589"/>
      <w:bookmarkStart w:id="1610" w:name="_Toc32339477"/>
      <w:bookmarkEnd w:id="1609"/>
      <w:bookmarkEnd w:id="1610"/>
    </w:p>
    <w:tbl>
      <w:tblPr>
        <w:tblW w:w="0" w:type="auto"/>
        <w:tblLook w:val="04E0" w:firstRow="1" w:lastRow="1" w:firstColumn="1" w:lastColumn="0" w:noHBand="0" w:noVBand="1"/>
      </w:tblPr>
      <w:tblGrid>
        <w:gridCol w:w="9026"/>
      </w:tblGrid>
      <w:tr w:rsidR="00297996" w:rsidRPr="00CA2564" w14:paraId="3E7F6A42" w14:textId="77777777" w:rsidTr="00297996">
        <w:tc>
          <w:tcPr>
            <w:tcW w:w="9026" w:type="dxa"/>
            <w:tcBorders>
              <w:bottom w:val="single" w:sz="4" w:space="0" w:color="auto"/>
            </w:tcBorders>
          </w:tcPr>
          <w:p w14:paraId="2EBDB2C1" w14:textId="77777777" w:rsidR="00297996" w:rsidRPr="00D92764" w:rsidRDefault="00297996" w:rsidP="00297996">
            <w:pPr>
              <w:spacing w:after="0" w:line="240" w:lineRule="auto"/>
              <w:jc w:val="left"/>
              <w:rPr>
                <w:b/>
                <w:sz w:val="20"/>
              </w:rPr>
            </w:pPr>
            <w:bookmarkStart w:id="1611" w:name="_Ref18225136"/>
            <w:bookmarkStart w:id="1612" w:name="_Toc17469443"/>
            <w:bookmarkStart w:id="1613" w:name="_Toc34157627"/>
            <w:r w:rsidRPr="00D92764">
              <w:rPr>
                <w:b/>
                <w:sz w:val="20"/>
              </w:rPr>
              <w:t xml:space="preserve">Graf </w:t>
            </w:r>
            <w:r w:rsidRPr="00D92764">
              <w:rPr>
                <w:b/>
                <w:noProof/>
                <w:sz w:val="20"/>
              </w:rPr>
              <w:fldChar w:fldCharType="begin"/>
            </w:r>
            <w:r w:rsidRPr="00D92764">
              <w:rPr>
                <w:b/>
                <w:iCs/>
                <w:noProof/>
                <w:sz w:val="20"/>
              </w:rPr>
              <w:instrText xml:space="preserve"> SEQ Graf \* ARABIC </w:instrText>
            </w:r>
            <w:r w:rsidRPr="00D92764">
              <w:rPr>
                <w:b/>
                <w:noProof/>
                <w:sz w:val="20"/>
              </w:rPr>
              <w:fldChar w:fldCharType="separate"/>
            </w:r>
            <w:r w:rsidR="00FA29AF">
              <w:rPr>
                <w:b/>
                <w:iCs/>
                <w:noProof/>
                <w:sz w:val="20"/>
              </w:rPr>
              <w:t>69</w:t>
            </w:r>
            <w:r w:rsidRPr="00D92764">
              <w:rPr>
                <w:b/>
                <w:noProof/>
                <w:sz w:val="20"/>
              </w:rPr>
              <w:fldChar w:fldCharType="end"/>
            </w:r>
            <w:bookmarkEnd w:id="1611"/>
            <w:r w:rsidRPr="00D92764">
              <w:rPr>
                <w:b/>
                <w:sz w:val="20"/>
              </w:rPr>
              <w:t>: Rozdelenie obyvateľov rómskych komunít podľa druhu osídlenia (%)</w:t>
            </w:r>
            <w:bookmarkEnd w:id="1612"/>
            <w:bookmarkEnd w:id="1613"/>
          </w:p>
        </w:tc>
      </w:tr>
      <w:tr w:rsidR="00297996" w:rsidRPr="00CA2564" w14:paraId="4D29F0DB" w14:textId="77777777" w:rsidTr="00297996">
        <w:tblPrEx>
          <w:tblCellMar>
            <w:left w:w="70" w:type="dxa"/>
            <w:right w:w="70" w:type="dxa"/>
          </w:tblCellMar>
        </w:tblPrEx>
        <w:tc>
          <w:tcPr>
            <w:tcW w:w="9026" w:type="dxa"/>
            <w:tcBorders>
              <w:top w:val="single" w:sz="4" w:space="0" w:color="auto"/>
              <w:bottom w:val="single" w:sz="4" w:space="0" w:color="auto"/>
            </w:tcBorders>
          </w:tcPr>
          <w:p w14:paraId="391C3F24" w14:textId="77777777" w:rsidR="00297996" w:rsidRPr="00CA2564" w:rsidRDefault="00297996" w:rsidP="00297996">
            <w:pPr>
              <w:spacing w:after="0" w:line="240" w:lineRule="auto"/>
              <w:jc w:val="center"/>
              <w:rPr>
                <w:noProof/>
                <w:sz w:val="4"/>
                <w:szCs w:val="4"/>
              </w:rPr>
            </w:pPr>
          </w:p>
          <w:p w14:paraId="0BAF27C4" w14:textId="77777777" w:rsidR="00297996" w:rsidRPr="00CA2564" w:rsidRDefault="00297996" w:rsidP="00297996">
            <w:pPr>
              <w:spacing w:after="0" w:line="240" w:lineRule="auto"/>
              <w:jc w:val="center"/>
              <w:rPr>
                <w:noProof/>
                <w:sz w:val="4"/>
                <w:szCs w:val="4"/>
              </w:rPr>
            </w:pPr>
            <w:r>
              <w:rPr>
                <w:noProof/>
                <w:lang w:eastAsia="sk-SK"/>
              </w:rPr>
              <w:drawing>
                <wp:inline distT="0" distB="0" distL="0" distR="0" wp14:anchorId="13495245" wp14:editId="7EE5D43D">
                  <wp:extent cx="5314950" cy="2019300"/>
                  <wp:effectExtent l="0" t="0" r="0" b="0"/>
                  <wp:docPr id="327" name="Graf 3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9953BF4" w14:textId="77777777" w:rsidR="00297996" w:rsidRPr="00CA2564" w:rsidRDefault="00297996" w:rsidP="00297996">
            <w:pPr>
              <w:spacing w:after="0" w:line="240" w:lineRule="auto"/>
              <w:jc w:val="center"/>
              <w:rPr>
                <w:sz w:val="4"/>
                <w:szCs w:val="4"/>
              </w:rPr>
            </w:pPr>
          </w:p>
        </w:tc>
      </w:tr>
      <w:tr w:rsidR="00297996" w:rsidRPr="00CA2564" w14:paraId="60D62B55" w14:textId="77777777" w:rsidTr="00297996">
        <w:tc>
          <w:tcPr>
            <w:tcW w:w="9026" w:type="dxa"/>
            <w:tcBorders>
              <w:top w:val="single" w:sz="4" w:space="0" w:color="auto"/>
            </w:tcBorders>
          </w:tcPr>
          <w:p w14:paraId="5D09ED01" w14:textId="77777777" w:rsidR="00297996" w:rsidRPr="00D92764" w:rsidRDefault="00297996" w:rsidP="00297996">
            <w:pPr>
              <w:spacing w:after="0" w:line="240" w:lineRule="auto"/>
              <w:jc w:val="right"/>
              <w:rPr>
                <w:i/>
                <w:sz w:val="18"/>
                <w:szCs w:val="18"/>
              </w:rPr>
            </w:pPr>
            <w:r w:rsidRPr="00D92764">
              <w:rPr>
                <w:i/>
                <w:sz w:val="18"/>
                <w:szCs w:val="18"/>
              </w:rPr>
              <w:t>Zdroj: ARK 2019</w:t>
            </w:r>
          </w:p>
        </w:tc>
      </w:tr>
    </w:tbl>
    <w:p w14:paraId="6411C430" w14:textId="22C2602D" w:rsidR="00DA342E" w:rsidRPr="00CA2564" w:rsidRDefault="00DA342E" w:rsidP="00DA342E">
      <w:pPr>
        <w:spacing w:before="160"/>
      </w:pPr>
      <w:r w:rsidRPr="00CA2564">
        <w:rPr>
          <w:b/>
        </w:rPr>
        <w:t>Kvalita a dostupnosť bývania v</w:t>
      </w:r>
      <w:r w:rsidR="00DA4EE5">
        <w:rPr>
          <w:b/>
        </w:rPr>
        <w:t xml:space="preserve"> marginalizovaných </w:t>
      </w:r>
      <w:r w:rsidRPr="00CA2564">
        <w:rPr>
          <w:b/>
        </w:rPr>
        <w:t>r</w:t>
      </w:r>
      <w:r w:rsidR="00552F49">
        <w:rPr>
          <w:b/>
        </w:rPr>
        <w:t>ómskych komunitách sa zhoršuje s</w:t>
      </w:r>
      <w:r w:rsidRPr="00CA2564">
        <w:rPr>
          <w:b/>
        </w:rPr>
        <w:t xml:space="preserve"> mierou priestorového vylúčenia. </w:t>
      </w:r>
      <w:r w:rsidR="00DF2F11">
        <w:t>V</w:t>
      </w:r>
      <w:r w:rsidR="00DA4EE5">
        <w:t xml:space="preserve"> marginalizovaných </w:t>
      </w:r>
      <w:r w:rsidRPr="00CA2564">
        <w:t>rómskych osídleniach vnútri obce žije 90 % obyvateľov v legálnych obydliach (zapísaných do katastra alebo so stavebným povolením) a iba 4 % obyvateľov žije v nebytových priestoroch</w:t>
      </w:r>
      <w:r w:rsidR="00DF2F11" w:rsidRPr="00DF2F11">
        <w:t xml:space="preserve"> </w:t>
      </w:r>
      <w:r w:rsidR="00DF2F11" w:rsidRPr="00CA2564">
        <w:t>alebo</w:t>
      </w:r>
      <w:r w:rsidR="00DF2F11" w:rsidRPr="00DF2F11">
        <w:t xml:space="preserve"> </w:t>
      </w:r>
      <w:r w:rsidR="00DF2F11" w:rsidRPr="00CA2564">
        <w:t>v nelegálnych obydliach, ktorých kvalita nezodpovedá normám</w:t>
      </w:r>
      <w:r w:rsidR="00DF2F11" w:rsidRPr="00CA2564">
        <w:rPr>
          <w:rStyle w:val="Odkaznapoznmkupodiarou"/>
        </w:rPr>
        <w:footnoteReference w:id="418"/>
      </w:r>
      <w:r w:rsidR="00DF2F11">
        <w:t>. Naproti tomu</w:t>
      </w:r>
      <w:r w:rsidR="00196B47">
        <w:t>,</w:t>
      </w:r>
      <w:r w:rsidR="00087E5A">
        <w:t xml:space="preserve"> v </w:t>
      </w:r>
      <w:r w:rsidRPr="00CA2564">
        <w:t>osídleniach mimo obce žije v legálnych obydliach iba mierne viac ako polovica obyvateľov (54 %) a až 26 % žije v obydliach s nedostatočnou kvalitou alebo v nebytových priestoroch (</w:t>
      </w:r>
      <w:r w:rsidRPr="00CA2564">
        <w:fldChar w:fldCharType="begin"/>
      </w:r>
      <w:r w:rsidRPr="00CA2564">
        <w:instrText xml:space="preserve"> REF _Ref18225235 \h  \* MERGEFORMAT </w:instrText>
      </w:r>
      <w:r w:rsidRPr="00CA2564">
        <w:fldChar w:fldCharType="separate"/>
      </w:r>
      <w:r w:rsidR="00FA29AF" w:rsidRPr="00FA29AF">
        <w:t xml:space="preserve">Graf </w:t>
      </w:r>
      <w:r w:rsidR="00FA29AF" w:rsidRPr="00FA29AF">
        <w:rPr>
          <w:noProof/>
        </w:rPr>
        <w:t>70</w:t>
      </w:r>
      <w:r w:rsidRPr="00CA2564">
        <w:fldChar w:fldCharType="end"/>
      </w:r>
      <w:r w:rsidRPr="00CA2564">
        <w:t>).</w:t>
      </w:r>
      <w:r w:rsidR="00C41101">
        <w:rPr>
          <w:rStyle w:val="Odkaznapoznmkupodiarou"/>
        </w:rPr>
        <w:footnoteReference w:id="419"/>
      </w:r>
      <w:r w:rsidR="0070047D">
        <w:t xml:space="preserve"> </w:t>
      </w:r>
    </w:p>
    <w:p w14:paraId="18A0602C" w14:textId="43934E61" w:rsidR="00DA342E" w:rsidRDefault="00DA342E" w:rsidP="00DA342E">
      <w:pPr>
        <w:spacing w:before="160"/>
      </w:pPr>
      <w:r w:rsidRPr="00CA2564">
        <w:t xml:space="preserve">Vznik a rozmach mnohých segregovaných osád mimo obcí bol v minulosti ovplyvnený násilným presídľovaním rómskeho obyvateľstva počas vojnového slovenského štátu, násilnou asimiláciou počas socializmu, ako aj stratou </w:t>
      </w:r>
      <w:r w:rsidRPr="00D8704D">
        <w:t>mestského bývania mnohých rómskych rodín po nástupe kapitalizmu a výraznom náraste nezamestnanosti (Jurová, 2002). Vysporiadanie</w:t>
      </w:r>
      <w:r w:rsidRPr="00CA2564">
        <w:t xml:space="preserve"> majetkov skomplikovala reštitúcia, ktorá štátne p</w:t>
      </w:r>
      <w:r w:rsidR="00087E5A">
        <w:t>ozemky pod osadami previedla do </w:t>
      </w:r>
      <w:r w:rsidRPr="00CA2564">
        <w:t>súkromného vlastníctva.</w:t>
      </w:r>
    </w:p>
    <w:p w14:paraId="11C69937" w14:textId="03D9C629" w:rsidR="00A66DAC" w:rsidRDefault="00DF1EB1" w:rsidP="00297996">
      <w:pPr>
        <w:spacing w:before="160"/>
      </w:pPr>
      <w:r w:rsidRPr="00CA2564">
        <w:rPr>
          <w:b/>
        </w:rPr>
        <w:t xml:space="preserve">Nevysporiadané pozemky komplikujú investície do infraštruktúry. </w:t>
      </w:r>
      <w:r w:rsidR="00196B47">
        <w:rPr>
          <w:b/>
        </w:rPr>
        <w:t>S</w:t>
      </w:r>
      <w:r w:rsidR="00D01226">
        <w:rPr>
          <w:b/>
        </w:rPr>
        <w:t> mi</w:t>
      </w:r>
      <w:r w:rsidR="00087E5A">
        <w:rPr>
          <w:b/>
        </w:rPr>
        <w:t>erou priestorového vylúčenia sa </w:t>
      </w:r>
      <w:r w:rsidR="00D01226">
        <w:rPr>
          <w:b/>
        </w:rPr>
        <w:t xml:space="preserve">zhoršuje dostupnosť inžinierských sietí </w:t>
      </w:r>
      <w:r w:rsidRPr="00A42768">
        <w:rPr>
          <w:szCs w:val="22"/>
        </w:rPr>
        <w:t>(</w:t>
      </w:r>
      <w:r w:rsidRPr="00A42768">
        <w:rPr>
          <w:szCs w:val="22"/>
        </w:rPr>
        <w:fldChar w:fldCharType="begin"/>
      </w:r>
      <w:r w:rsidRPr="0097693A">
        <w:rPr>
          <w:szCs w:val="22"/>
        </w:rPr>
        <w:instrText xml:space="preserve"> REF _Ref18225260 \h </w:instrText>
      </w:r>
      <w:r>
        <w:rPr>
          <w:szCs w:val="22"/>
        </w:rPr>
        <w:instrText xml:space="preserve"> \* MERGEFORMAT </w:instrText>
      </w:r>
      <w:r w:rsidRPr="00A42768">
        <w:rPr>
          <w:szCs w:val="22"/>
        </w:rPr>
      </w:r>
      <w:r w:rsidRPr="00A42768">
        <w:rPr>
          <w:szCs w:val="22"/>
        </w:rPr>
        <w:fldChar w:fldCharType="separate"/>
      </w:r>
      <w:r w:rsidR="00FA29AF" w:rsidRPr="00FA29AF">
        <w:rPr>
          <w:szCs w:val="22"/>
        </w:rPr>
        <w:t xml:space="preserve">Graf </w:t>
      </w:r>
      <w:r w:rsidR="00FA29AF" w:rsidRPr="00FA29AF">
        <w:rPr>
          <w:noProof/>
          <w:szCs w:val="22"/>
        </w:rPr>
        <w:t>71</w:t>
      </w:r>
      <w:r w:rsidRPr="00A42768">
        <w:rPr>
          <w:szCs w:val="22"/>
        </w:rPr>
        <w:fldChar w:fldCharType="end"/>
      </w:r>
      <w:r w:rsidRPr="00CA2564">
        <w:t xml:space="preserve">). Najvyššie pokrytie v rómskych osídleniach má elektrická sieť, najnižšie plynové rozvody. Viaceré osídlenia patria k obciam, kde chýba inžinierska sieť </w:t>
      </w:r>
      <w:r>
        <w:t>aj v príbytkoch majority</w:t>
      </w:r>
      <w:r w:rsidR="00196B47">
        <w:t>,</w:t>
      </w:r>
      <w:r>
        <w:t xml:space="preserve"> </w:t>
      </w:r>
      <w:r w:rsidRPr="00CA2564">
        <w:t>ale významná časť obyvateľov žije v osídleniach s nízkym pokr</w:t>
      </w:r>
      <w:r w:rsidR="00087E5A">
        <w:t>ytím napriek tomu, že v obci je </w:t>
      </w:r>
      <w:r w:rsidRPr="00CA2564">
        <w:t>infraštruktúra zabezpečená. Dostupnosť inžinierskej siete v osídlení ešte nez</w:t>
      </w:r>
      <w:r w:rsidR="00087E5A">
        <w:t>namená, že všetky obydlia ju aj </w:t>
      </w:r>
      <w:r w:rsidRPr="00CA2564">
        <w:t>využívajú. Plyn je napríklad relatívne finančne náročný zdroj energie a chudobné domácnosti ho často nahrádzajú tuhým palivom.</w:t>
      </w:r>
      <w:r w:rsidR="00B25336">
        <w:t xml:space="preserve"> Vykurovanie a varenie na tuhom palive spô</w:t>
      </w:r>
      <w:r w:rsidR="00F341A2">
        <w:t xml:space="preserve">sobuje znečistenie vonkajšieho </w:t>
      </w:r>
      <w:r w:rsidR="00087E5A">
        <w:t>aj </w:t>
      </w:r>
      <w:r w:rsidR="00B25336">
        <w:t>vnútorného ovzdušia, čo prispieva k zvýšenému výskytu respiračných a srdcovo-cievnych chorôb.</w:t>
      </w:r>
    </w:p>
    <w:tbl>
      <w:tblPr>
        <w:tblW w:w="9148" w:type="dxa"/>
        <w:tblLayout w:type="fixed"/>
        <w:tblLook w:val="04E0" w:firstRow="1" w:lastRow="1" w:firstColumn="1" w:lastColumn="0" w:noHBand="0" w:noVBand="1"/>
      </w:tblPr>
      <w:tblGrid>
        <w:gridCol w:w="4536"/>
        <w:gridCol w:w="284"/>
        <w:gridCol w:w="18"/>
        <w:gridCol w:w="4234"/>
        <w:gridCol w:w="76"/>
      </w:tblGrid>
      <w:tr w:rsidR="00DA342E" w:rsidRPr="00DF1EB1" w14:paraId="46CEDBA7" w14:textId="77777777" w:rsidTr="00FB1202">
        <w:tc>
          <w:tcPr>
            <w:tcW w:w="4536" w:type="dxa"/>
            <w:tcBorders>
              <w:bottom w:val="single" w:sz="4" w:space="0" w:color="auto"/>
            </w:tcBorders>
          </w:tcPr>
          <w:p w14:paraId="5B963FB0" w14:textId="77777777" w:rsidR="00DA342E" w:rsidRPr="00FB1202" w:rsidRDefault="00DA342E" w:rsidP="00FB1202">
            <w:pPr>
              <w:spacing w:after="0" w:line="240" w:lineRule="auto"/>
              <w:rPr>
                <w:b/>
                <w:sz w:val="20"/>
              </w:rPr>
            </w:pPr>
            <w:bookmarkStart w:id="1614" w:name="_Ref18225235"/>
            <w:bookmarkStart w:id="1615" w:name="_Toc17469444"/>
            <w:bookmarkStart w:id="1616" w:name="_Toc34157628"/>
            <w:r w:rsidRPr="00FB1202">
              <w:rPr>
                <w:b/>
                <w:sz w:val="20"/>
              </w:rPr>
              <w:t xml:space="preserve">Graf </w:t>
            </w:r>
            <w:r w:rsidRPr="00FB1202">
              <w:rPr>
                <w:b/>
                <w:sz w:val="20"/>
              </w:rPr>
              <w:fldChar w:fldCharType="begin"/>
            </w:r>
            <w:r w:rsidRPr="00FB1202">
              <w:rPr>
                <w:b/>
                <w:sz w:val="20"/>
              </w:rPr>
              <w:instrText xml:space="preserve"> SEQ Graf \* ARABIC </w:instrText>
            </w:r>
            <w:r w:rsidRPr="00FB1202">
              <w:rPr>
                <w:b/>
                <w:sz w:val="20"/>
              </w:rPr>
              <w:fldChar w:fldCharType="separate"/>
            </w:r>
            <w:r w:rsidR="00FA29AF">
              <w:rPr>
                <w:b/>
                <w:noProof/>
                <w:sz w:val="20"/>
              </w:rPr>
              <w:t>70</w:t>
            </w:r>
            <w:r w:rsidRPr="00FB1202">
              <w:rPr>
                <w:b/>
                <w:sz w:val="20"/>
              </w:rPr>
              <w:fldChar w:fldCharType="end"/>
            </w:r>
            <w:bookmarkEnd w:id="1614"/>
            <w:r w:rsidRPr="00FB1202">
              <w:rPr>
                <w:b/>
                <w:sz w:val="20"/>
              </w:rPr>
              <w:t>: Rozdelenie obyvateľov rómskych komunít naprieč druhmi bývania podľa typu osídlenia (%)</w:t>
            </w:r>
            <w:bookmarkEnd w:id="1615"/>
            <w:bookmarkEnd w:id="1616"/>
          </w:p>
        </w:tc>
        <w:tc>
          <w:tcPr>
            <w:tcW w:w="284" w:type="dxa"/>
            <w:tcBorders>
              <w:bottom w:val="nil"/>
            </w:tcBorders>
          </w:tcPr>
          <w:p w14:paraId="2E163C9F" w14:textId="77777777" w:rsidR="00DA342E" w:rsidRPr="00FB1202" w:rsidRDefault="00DA342E" w:rsidP="00FB1202">
            <w:pPr>
              <w:spacing w:after="0" w:line="240" w:lineRule="auto"/>
              <w:rPr>
                <w:b/>
                <w:sz w:val="20"/>
              </w:rPr>
            </w:pPr>
          </w:p>
        </w:tc>
        <w:tc>
          <w:tcPr>
            <w:tcW w:w="4328" w:type="dxa"/>
            <w:gridSpan w:val="3"/>
            <w:tcBorders>
              <w:bottom w:val="single" w:sz="4" w:space="0" w:color="auto"/>
            </w:tcBorders>
          </w:tcPr>
          <w:p w14:paraId="26207901" w14:textId="77777777" w:rsidR="00DA342E" w:rsidRPr="00FB1202" w:rsidRDefault="00DA342E" w:rsidP="00FB1202">
            <w:pPr>
              <w:spacing w:after="0" w:line="240" w:lineRule="auto"/>
              <w:rPr>
                <w:b/>
                <w:sz w:val="20"/>
              </w:rPr>
            </w:pPr>
            <w:bookmarkStart w:id="1617" w:name="_Ref18225260"/>
            <w:bookmarkStart w:id="1618" w:name="_Toc17469445"/>
            <w:bookmarkStart w:id="1619" w:name="_Toc34157629"/>
            <w:r w:rsidRPr="00FB1202">
              <w:rPr>
                <w:b/>
                <w:sz w:val="20"/>
              </w:rPr>
              <w:t xml:space="preserve">Graf </w:t>
            </w:r>
            <w:r w:rsidRPr="00FB1202">
              <w:rPr>
                <w:b/>
                <w:sz w:val="20"/>
              </w:rPr>
              <w:fldChar w:fldCharType="begin"/>
            </w:r>
            <w:r w:rsidRPr="00FB1202">
              <w:rPr>
                <w:b/>
                <w:sz w:val="20"/>
              </w:rPr>
              <w:instrText xml:space="preserve"> SEQ Graf \* ARABIC </w:instrText>
            </w:r>
            <w:r w:rsidRPr="00FB1202">
              <w:rPr>
                <w:b/>
                <w:sz w:val="20"/>
              </w:rPr>
              <w:fldChar w:fldCharType="separate"/>
            </w:r>
            <w:r w:rsidR="00FA29AF">
              <w:rPr>
                <w:b/>
                <w:noProof/>
                <w:sz w:val="20"/>
              </w:rPr>
              <w:t>71</w:t>
            </w:r>
            <w:r w:rsidRPr="00FB1202">
              <w:rPr>
                <w:b/>
                <w:sz w:val="20"/>
              </w:rPr>
              <w:fldChar w:fldCharType="end"/>
            </w:r>
            <w:bookmarkEnd w:id="1617"/>
            <w:r w:rsidRPr="00FB1202">
              <w:rPr>
                <w:b/>
                <w:iCs/>
                <w:sz w:val="20"/>
              </w:rPr>
              <w:t xml:space="preserve">: </w:t>
            </w:r>
            <w:r w:rsidRPr="00FB1202">
              <w:rPr>
                <w:b/>
                <w:sz w:val="20"/>
              </w:rPr>
              <w:t>Podiel obyvateľov rómskych komunít žijúci v osídlení s menej ako 50 % pokrytím inžin. sieti (%)</w:t>
            </w:r>
            <w:bookmarkEnd w:id="1618"/>
            <w:bookmarkEnd w:id="1619"/>
          </w:p>
        </w:tc>
      </w:tr>
      <w:tr w:rsidR="00DA342E" w:rsidRPr="00CA2564" w14:paraId="2E94A83D" w14:textId="77777777" w:rsidTr="00FB1202">
        <w:tblPrEx>
          <w:tblCellMar>
            <w:left w:w="70" w:type="dxa"/>
            <w:right w:w="70" w:type="dxa"/>
          </w:tblCellMar>
        </w:tblPrEx>
        <w:trPr>
          <w:gridAfter w:val="1"/>
          <w:wAfter w:w="76" w:type="dxa"/>
        </w:trPr>
        <w:tc>
          <w:tcPr>
            <w:tcW w:w="4536" w:type="dxa"/>
            <w:tcBorders>
              <w:top w:val="single" w:sz="4" w:space="0" w:color="auto"/>
              <w:bottom w:val="single" w:sz="4" w:space="0" w:color="auto"/>
            </w:tcBorders>
          </w:tcPr>
          <w:p w14:paraId="08CD69AB" w14:textId="77777777" w:rsidR="00DA342E" w:rsidRPr="00CA2564" w:rsidRDefault="00DA342E" w:rsidP="00FB1202">
            <w:pPr>
              <w:spacing w:after="0" w:line="240" w:lineRule="auto"/>
              <w:rPr>
                <w:noProof/>
                <w:sz w:val="4"/>
                <w:szCs w:val="4"/>
              </w:rPr>
            </w:pPr>
          </w:p>
          <w:p w14:paraId="4B5B69FC" w14:textId="77777777" w:rsidR="00DA342E" w:rsidRPr="00CA2564" w:rsidRDefault="00DA342E" w:rsidP="00FB1202">
            <w:pPr>
              <w:spacing w:after="0" w:line="240" w:lineRule="auto"/>
              <w:jc w:val="center"/>
              <w:rPr>
                <w:sz w:val="4"/>
                <w:szCs w:val="4"/>
              </w:rPr>
            </w:pPr>
            <w:r w:rsidRPr="00CA2564">
              <w:rPr>
                <w:noProof/>
                <w:lang w:eastAsia="sk-SK"/>
              </w:rPr>
              <w:drawing>
                <wp:inline distT="0" distB="0" distL="0" distR="0" wp14:anchorId="335086DA" wp14:editId="51F22CBF">
                  <wp:extent cx="2747645" cy="2209800"/>
                  <wp:effectExtent l="0" t="0" r="0" b="0"/>
                  <wp:docPr id="364" name="Chart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0CFDD07A" w14:textId="77777777" w:rsidR="00DA342E" w:rsidRPr="00CA2564" w:rsidRDefault="00DA342E" w:rsidP="00FB1202">
            <w:pPr>
              <w:spacing w:after="0" w:line="240" w:lineRule="auto"/>
              <w:rPr>
                <w:sz w:val="4"/>
                <w:szCs w:val="4"/>
              </w:rPr>
            </w:pPr>
          </w:p>
        </w:tc>
        <w:tc>
          <w:tcPr>
            <w:tcW w:w="302" w:type="dxa"/>
            <w:gridSpan w:val="2"/>
            <w:tcBorders>
              <w:top w:val="nil"/>
              <w:bottom w:val="nil"/>
            </w:tcBorders>
          </w:tcPr>
          <w:p w14:paraId="00338954" w14:textId="77777777" w:rsidR="00DA342E" w:rsidRPr="00CA2564" w:rsidRDefault="00DA342E" w:rsidP="00FB1202">
            <w:pPr>
              <w:spacing w:after="0" w:line="240" w:lineRule="auto"/>
              <w:ind w:hanging="212"/>
              <w:rPr>
                <w:noProof/>
                <w:sz w:val="4"/>
                <w:szCs w:val="4"/>
              </w:rPr>
            </w:pPr>
          </w:p>
        </w:tc>
        <w:tc>
          <w:tcPr>
            <w:tcW w:w="4234" w:type="dxa"/>
            <w:tcBorders>
              <w:bottom w:val="single" w:sz="4" w:space="0" w:color="auto"/>
            </w:tcBorders>
          </w:tcPr>
          <w:p w14:paraId="5428070C" w14:textId="77777777" w:rsidR="00DA342E" w:rsidRPr="00CA2564" w:rsidRDefault="00DA342E" w:rsidP="00FB1202">
            <w:pPr>
              <w:spacing w:after="0" w:line="240" w:lineRule="auto"/>
              <w:rPr>
                <w:sz w:val="4"/>
                <w:szCs w:val="4"/>
              </w:rPr>
            </w:pPr>
          </w:p>
          <w:p w14:paraId="1EA345A8" w14:textId="31E3F51F" w:rsidR="00DA342E" w:rsidRPr="00CA2564" w:rsidRDefault="000313EF" w:rsidP="00FB1202">
            <w:pPr>
              <w:spacing w:after="0" w:line="240" w:lineRule="auto"/>
              <w:jc w:val="center"/>
              <w:rPr>
                <w:sz w:val="4"/>
                <w:szCs w:val="4"/>
              </w:rPr>
            </w:pPr>
            <w:r>
              <w:rPr>
                <w:noProof/>
                <w:lang w:eastAsia="sk-SK"/>
              </w:rPr>
              <w:drawing>
                <wp:inline distT="0" distB="0" distL="0" distR="0" wp14:anchorId="07F7AA75" wp14:editId="4D3E4B07">
                  <wp:extent cx="2723515" cy="2257425"/>
                  <wp:effectExtent l="0" t="0" r="635" b="0"/>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78B40E47" w14:textId="77777777" w:rsidR="00DA342E" w:rsidRPr="00CA2564" w:rsidRDefault="00DA342E" w:rsidP="00FB1202">
            <w:pPr>
              <w:spacing w:after="0" w:line="240" w:lineRule="auto"/>
              <w:jc w:val="center"/>
              <w:rPr>
                <w:sz w:val="4"/>
                <w:szCs w:val="4"/>
              </w:rPr>
            </w:pPr>
          </w:p>
        </w:tc>
      </w:tr>
      <w:tr w:rsidR="00DA342E" w:rsidRPr="00CA2564" w14:paraId="038A0EDC" w14:textId="77777777" w:rsidTr="00FB1202">
        <w:tc>
          <w:tcPr>
            <w:tcW w:w="4536" w:type="dxa"/>
            <w:tcBorders>
              <w:top w:val="single" w:sz="4" w:space="0" w:color="auto"/>
            </w:tcBorders>
          </w:tcPr>
          <w:p w14:paraId="1806FC1D" w14:textId="414C62D7" w:rsidR="00DA342E" w:rsidRPr="00FB1202" w:rsidRDefault="00DA342E" w:rsidP="00FB1202">
            <w:pPr>
              <w:spacing w:after="0" w:line="240" w:lineRule="auto"/>
              <w:jc w:val="right"/>
              <w:rPr>
                <w:i/>
                <w:noProof/>
                <w:sz w:val="18"/>
                <w:szCs w:val="18"/>
              </w:rPr>
            </w:pPr>
            <w:r w:rsidRPr="00FB1202">
              <w:rPr>
                <w:i/>
                <w:noProof/>
                <w:sz w:val="18"/>
                <w:szCs w:val="18"/>
              </w:rPr>
              <w:t>Zdroj: ARK</w:t>
            </w:r>
            <w:r w:rsidR="00C41101" w:rsidRPr="00FB1202">
              <w:rPr>
                <w:i/>
                <w:noProof/>
                <w:sz w:val="18"/>
                <w:szCs w:val="18"/>
              </w:rPr>
              <w:t xml:space="preserve"> 2013</w:t>
            </w:r>
          </w:p>
          <w:p w14:paraId="5F0290BE" w14:textId="77777777" w:rsidR="00DA342E" w:rsidRPr="00FB1202" w:rsidRDefault="00DA342E" w:rsidP="00FB1202">
            <w:pPr>
              <w:spacing w:after="0" w:line="240" w:lineRule="auto"/>
              <w:rPr>
                <w:bCs/>
                <w:i/>
                <w:noProof/>
                <w:sz w:val="18"/>
                <w:szCs w:val="18"/>
              </w:rPr>
            </w:pPr>
            <w:r w:rsidRPr="00FB1202">
              <w:rPr>
                <w:i/>
                <w:sz w:val="18"/>
                <w:szCs w:val="18"/>
              </w:rPr>
              <w:t>Poznámka: Príbytky nezapísané v katastri sú rozdelené podľa toho, či stavebne spĺňajú technický charakter stavby, ktorú by bolo možné legalizovať.</w:t>
            </w:r>
            <w:r w:rsidRPr="00FB1202">
              <w:rPr>
                <w:i/>
                <w:noProof/>
                <w:sz w:val="18"/>
                <w:szCs w:val="18"/>
              </w:rPr>
              <w:t xml:space="preserve"> </w:t>
            </w:r>
          </w:p>
        </w:tc>
        <w:tc>
          <w:tcPr>
            <w:tcW w:w="284" w:type="dxa"/>
            <w:tcBorders>
              <w:top w:val="nil"/>
            </w:tcBorders>
          </w:tcPr>
          <w:p w14:paraId="0077A94F" w14:textId="77777777" w:rsidR="00DA342E" w:rsidRPr="00FB1202" w:rsidRDefault="00DA342E" w:rsidP="00FB1202">
            <w:pPr>
              <w:spacing w:after="0" w:line="240" w:lineRule="auto"/>
              <w:jc w:val="right"/>
              <w:rPr>
                <w:i/>
                <w:noProof/>
                <w:sz w:val="18"/>
                <w:szCs w:val="18"/>
              </w:rPr>
            </w:pPr>
          </w:p>
        </w:tc>
        <w:tc>
          <w:tcPr>
            <w:tcW w:w="4328" w:type="dxa"/>
            <w:gridSpan w:val="3"/>
          </w:tcPr>
          <w:p w14:paraId="09A6FED7" w14:textId="23540753" w:rsidR="00DA342E" w:rsidRPr="00FB1202" w:rsidRDefault="00DA342E" w:rsidP="00FB1202">
            <w:pPr>
              <w:spacing w:after="0" w:line="240" w:lineRule="auto"/>
              <w:jc w:val="right"/>
              <w:rPr>
                <w:i/>
                <w:noProof/>
                <w:sz w:val="18"/>
                <w:szCs w:val="18"/>
              </w:rPr>
            </w:pPr>
            <w:r w:rsidRPr="00FB1202">
              <w:rPr>
                <w:i/>
                <w:noProof/>
                <w:sz w:val="18"/>
                <w:szCs w:val="18"/>
              </w:rPr>
              <w:t>Zdroj: ÚHP na základe údajov ARK</w:t>
            </w:r>
            <w:r w:rsidR="008D33E1" w:rsidRPr="00FB1202">
              <w:rPr>
                <w:i/>
                <w:noProof/>
                <w:sz w:val="18"/>
                <w:szCs w:val="18"/>
              </w:rPr>
              <w:t xml:space="preserve"> 201</w:t>
            </w:r>
            <w:r w:rsidR="000313EF" w:rsidRPr="00FB1202">
              <w:rPr>
                <w:i/>
                <w:noProof/>
                <w:sz w:val="18"/>
                <w:szCs w:val="18"/>
              </w:rPr>
              <w:t>9</w:t>
            </w:r>
          </w:p>
          <w:p w14:paraId="668B27FD" w14:textId="69A9D36A" w:rsidR="00DA342E" w:rsidRPr="00FB1202" w:rsidRDefault="00DA342E" w:rsidP="00FB1202">
            <w:pPr>
              <w:spacing w:after="0" w:line="240" w:lineRule="auto"/>
              <w:rPr>
                <w:i/>
                <w:noProof/>
                <w:sz w:val="18"/>
                <w:szCs w:val="18"/>
              </w:rPr>
            </w:pPr>
            <w:r w:rsidRPr="00FB1202">
              <w:rPr>
                <w:i/>
                <w:noProof/>
                <w:sz w:val="18"/>
                <w:szCs w:val="18"/>
              </w:rPr>
              <w:t>Poznámka: Podiel je rozdelený podľa toho, či prístup ku konkrétnej inžinierskej sieti je nedostupný iba v os</w:t>
            </w:r>
            <w:r w:rsidR="00FA4F26" w:rsidRPr="00FB1202">
              <w:rPr>
                <w:i/>
                <w:noProof/>
                <w:sz w:val="18"/>
                <w:szCs w:val="18"/>
              </w:rPr>
              <w:t>ídlení</w:t>
            </w:r>
            <w:r w:rsidRPr="00FB1202">
              <w:rPr>
                <w:i/>
                <w:noProof/>
                <w:sz w:val="18"/>
                <w:szCs w:val="18"/>
              </w:rPr>
              <w:t xml:space="preserve"> alebo aj v obci, ku ktorej osídlenie patrí.</w:t>
            </w:r>
          </w:p>
        </w:tc>
      </w:tr>
    </w:tbl>
    <w:p w14:paraId="1FC0979F" w14:textId="428D2EF0" w:rsidR="00863A66" w:rsidRDefault="00863A66" w:rsidP="00DF1EB1">
      <w:pPr>
        <w:spacing w:before="240"/>
        <w:rPr>
          <w:szCs w:val="22"/>
        </w:rPr>
      </w:pPr>
      <w:r>
        <w:rPr>
          <w:b/>
        </w:rPr>
        <w:t>Zvlášť pálčivým problémom v MRK je prístup k pitnej vode</w:t>
      </w:r>
      <w:r w:rsidRPr="00852772">
        <w:rPr>
          <w:b/>
        </w:rPr>
        <w:t>.</w:t>
      </w:r>
      <w:r>
        <w:t xml:space="preserve"> Ten</w:t>
      </w:r>
      <w:r w:rsidRPr="00021AE4">
        <w:t xml:space="preserve"> je </w:t>
      </w:r>
      <w:r>
        <w:t>podľa Valné</w:t>
      </w:r>
      <w:r w:rsidR="0084692A">
        <w:t>ho zhromaždenia OSN považovaný za základné ľudské právo</w:t>
      </w:r>
      <w:r>
        <w:t xml:space="preserve">. Ide o kľúčový faktor zachovania verejného zdravia a nevyhnutnú podmienku zdravého životného aj pracovného prostredia. </w:t>
      </w:r>
      <w:r w:rsidRPr="00FF38B9">
        <w:t xml:space="preserve">Podľa Atlasu </w:t>
      </w:r>
      <w:r w:rsidR="00094F44">
        <w:t xml:space="preserve">rómskych </w:t>
      </w:r>
      <w:r w:rsidR="008D33E1">
        <w:t>komunít z roku 2019</w:t>
      </w:r>
      <w:r w:rsidR="006738F5">
        <w:t xml:space="preserve"> nemalo </w:t>
      </w:r>
      <w:r w:rsidR="006738F5" w:rsidRPr="00FF38B9">
        <w:t xml:space="preserve">prístup k pitnej </w:t>
      </w:r>
      <w:r w:rsidR="006738F5" w:rsidRPr="00C67D59">
        <w:rPr>
          <w:szCs w:val="22"/>
        </w:rPr>
        <w:t>vode</w:t>
      </w:r>
      <w:r w:rsidRPr="00FF38B9">
        <w:t xml:space="preserve"> </w:t>
      </w:r>
      <w:r>
        <w:t xml:space="preserve">v priemere viac ako </w:t>
      </w:r>
      <w:r w:rsidR="008D33E1">
        <w:t>1</w:t>
      </w:r>
      <w:r>
        <w:t xml:space="preserve">7 </w:t>
      </w:r>
      <w:r w:rsidRPr="00FF38B9">
        <w:t xml:space="preserve">% </w:t>
      </w:r>
      <w:r w:rsidR="00C715EF">
        <w:t>obyvateľov rómskych osídlení</w:t>
      </w:r>
      <w:r w:rsidRPr="00FF38B9">
        <w:t xml:space="preserve"> </w:t>
      </w:r>
      <w:r w:rsidR="00EA32A8">
        <w:rPr>
          <w:szCs w:val="22"/>
        </w:rPr>
        <w:t>(</w:t>
      </w:r>
      <w:r w:rsidR="008D33E1">
        <w:rPr>
          <w:szCs w:val="22"/>
        </w:rPr>
        <w:t>takmer 46 tisíc</w:t>
      </w:r>
      <w:r w:rsidR="00EA32A8">
        <w:rPr>
          <w:szCs w:val="22"/>
        </w:rPr>
        <w:t xml:space="preserve"> ľudí)</w:t>
      </w:r>
      <w:r w:rsidR="00087E5A">
        <w:rPr>
          <w:szCs w:val="22"/>
        </w:rPr>
        <w:t>. Situácia je </w:t>
      </w:r>
      <w:r w:rsidRPr="00F63247">
        <w:rPr>
          <w:szCs w:val="22"/>
        </w:rPr>
        <w:t xml:space="preserve">najhoršia v koncentráciách mimo obce, kde k pitnej vode nemá prístup </w:t>
      </w:r>
      <w:r w:rsidR="0084692A" w:rsidRPr="00F63247">
        <w:rPr>
          <w:szCs w:val="22"/>
        </w:rPr>
        <w:t xml:space="preserve">až </w:t>
      </w:r>
      <w:r w:rsidR="008D33E1">
        <w:rPr>
          <w:szCs w:val="22"/>
        </w:rPr>
        <w:t>28</w:t>
      </w:r>
      <w:r w:rsidR="0084692A" w:rsidRPr="00F63247">
        <w:rPr>
          <w:szCs w:val="22"/>
        </w:rPr>
        <w:t xml:space="preserve"> % obyvateľov (</w:t>
      </w:r>
      <w:r w:rsidR="0084692A" w:rsidRPr="00F63247">
        <w:rPr>
          <w:szCs w:val="22"/>
        </w:rPr>
        <w:fldChar w:fldCharType="begin"/>
      </w:r>
      <w:r w:rsidR="0084692A" w:rsidRPr="00F63247">
        <w:rPr>
          <w:szCs w:val="22"/>
        </w:rPr>
        <w:instrText xml:space="preserve"> REF _Ref20050169 \h </w:instrText>
      </w:r>
      <w:r w:rsidR="0084692A">
        <w:rPr>
          <w:szCs w:val="22"/>
        </w:rPr>
        <w:instrText xml:space="preserve"> \* MERGEFORMAT </w:instrText>
      </w:r>
      <w:r w:rsidR="0084692A" w:rsidRPr="00F63247">
        <w:rPr>
          <w:szCs w:val="22"/>
        </w:rPr>
      </w:r>
      <w:r w:rsidR="0084692A" w:rsidRPr="00F63247">
        <w:rPr>
          <w:szCs w:val="22"/>
        </w:rPr>
        <w:fldChar w:fldCharType="separate"/>
      </w:r>
      <w:r w:rsidR="00FA29AF" w:rsidRPr="00FA29AF">
        <w:rPr>
          <w:szCs w:val="22"/>
        </w:rPr>
        <w:t xml:space="preserve">Graf </w:t>
      </w:r>
      <w:r w:rsidR="00FA29AF" w:rsidRPr="00FA29AF">
        <w:rPr>
          <w:iCs/>
          <w:noProof/>
          <w:szCs w:val="22"/>
        </w:rPr>
        <w:t>72</w:t>
      </w:r>
      <w:r w:rsidR="0084692A" w:rsidRPr="00F63247">
        <w:rPr>
          <w:szCs w:val="22"/>
        </w:rPr>
        <w:fldChar w:fldCharType="end"/>
      </w:r>
      <w:r w:rsidRPr="00F63247">
        <w:rPr>
          <w:szCs w:val="22"/>
        </w:rPr>
        <w:t>).</w:t>
      </w:r>
      <w:r w:rsidR="006738F5">
        <w:rPr>
          <w:szCs w:val="22"/>
        </w:rPr>
        <w:t xml:space="preserve"> </w:t>
      </w:r>
      <w:r w:rsidR="00691ED7">
        <w:rPr>
          <w:szCs w:val="22"/>
        </w:rPr>
        <w:t>V porovnaní s rokom 2013 sa situácia v osídleniach mierne zlepšila.</w:t>
      </w:r>
    </w:p>
    <w:p w14:paraId="0760F523" w14:textId="199CBA41" w:rsidR="00CB1850" w:rsidRPr="00CB1850" w:rsidRDefault="00CB1850" w:rsidP="00CB1850">
      <w:pPr>
        <w:spacing w:before="160"/>
        <w:rPr>
          <w:rFonts w:cs="Calibri"/>
        </w:rPr>
      </w:pPr>
      <w:r w:rsidRPr="00CA2564">
        <w:rPr>
          <w:rFonts w:cs="Calibri"/>
          <w:b/>
        </w:rPr>
        <w:t xml:space="preserve">Viaceré </w:t>
      </w:r>
      <w:r>
        <w:rPr>
          <w:rFonts w:cs="Calibri"/>
          <w:b/>
        </w:rPr>
        <w:t xml:space="preserve">rómske </w:t>
      </w:r>
      <w:r w:rsidRPr="00CA2564">
        <w:rPr>
          <w:rFonts w:cs="Calibri"/>
          <w:b/>
        </w:rPr>
        <w:t xml:space="preserve">osídlenia sa nachádzajú v nebezpečnej blízkosti od </w:t>
      </w:r>
      <w:r>
        <w:rPr>
          <w:rFonts w:cs="Calibri"/>
          <w:b/>
        </w:rPr>
        <w:t xml:space="preserve">legálnych </w:t>
      </w:r>
      <w:r w:rsidRPr="00CA2564">
        <w:rPr>
          <w:rFonts w:cs="Calibri"/>
          <w:b/>
        </w:rPr>
        <w:t xml:space="preserve">skládok odpadu. </w:t>
      </w:r>
      <w:r w:rsidRPr="00CA2564">
        <w:t>Slovenská norma platná od roku 2004 hovorí o minimálne 500-metrovej vzdialenosti oficiálnej skládky od ľudských obydlí.</w:t>
      </w:r>
      <w:r w:rsidRPr="00CA2564">
        <w:rPr>
          <w:rFonts w:cs="Calibri"/>
        </w:rPr>
        <w:t xml:space="preserve"> </w:t>
      </w:r>
      <w:r w:rsidRPr="00CA2564">
        <w:t xml:space="preserve">Problémom sú skládky, ktoré vznikli pred jej platnosťou. </w:t>
      </w:r>
      <w:r w:rsidRPr="00CA2564">
        <w:rPr>
          <w:rFonts w:cs="Calibri"/>
        </w:rPr>
        <w:t xml:space="preserve">Podľa výpočtov Inštitútu pre environmentálnu politiku minimálne 4 800 </w:t>
      </w:r>
      <w:r>
        <w:rPr>
          <w:rFonts w:cs="Calibri"/>
        </w:rPr>
        <w:t>ľudí z prostredia</w:t>
      </w:r>
      <w:r w:rsidRPr="00CA2564">
        <w:rPr>
          <w:rFonts w:cs="Calibri"/>
        </w:rPr>
        <w:t xml:space="preserve"> MRK žije v rizikovej zóne najbližšej skládky.</w:t>
      </w:r>
      <w:r w:rsidRPr="00CA2564">
        <w:rPr>
          <w:rStyle w:val="Odkaznapoznmkupodiarou"/>
          <w:rFonts w:cs="Calibri"/>
        </w:rPr>
        <w:footnoteReference w:id="420"/>
      </w:r>
      <w:r w:rsidRPr="00CA2564">
        <w:rPr>
          <w:rFonts w:cs="Calibri"/>
        </w:rPr>
        <w:t xml:space="preserve"> Týka sa to v prvom rade skládky Košice-Myslava, v ktorej okolí je sídlisko Luník IX. Jeho obyvatelia tvoria najväčšiu časť obyvateľov žijúcich v okolí tejto skládky. Ďalším príkladom je skládka v Martine, v tesnej blízkosti od ktorej je situovaná segregov</w:t>
      </w:r>
      <w:r w:rsidR="00E53247">
        <w:rPr>
          <w:rFonts w:cs="Calibri"/>
        </w:rPr>
        <w:t>aná osada s vyše 300 obyvateľmi</w:t>
      </w:r>
      <w:r w:rsidRPr="00CA2564">
        <w:rPr>
          <w:rFonts w:cs="Calibri"/>
        </w:rPr>
        <w:t xml:space="preserve"> v značnej vzdialenosti od iných mestských častí. Inými </w:t>
      </w:r>
      <w:r w:rsidR="00E53247">
        <w:rPr>
          <w:rFonts w:cs="Calibri"/>
        </w:rPr>
        <w:t>skládkami, ktoré sú situované v </w:t>
      </w:r>
      <w:r w:rsidRPr="00CA2564">
        <w:rPr>
          <w:rFonts w:cs="Calibri"/>
        </w:rPr>
        <w:t>blízkosti segregovaných rómskych obydlí</w:t>
      </w:r>
      <w:r>
        <w:rPr>
          <w:rFonts w:cs="Calibri"/>
        </w:rPr>
        <w:t>,</w:t>
      </w:r>
      <w:r w:rsidRPr="00CA2564">
        <w:rPr>
          <w:rFonts w:cs="Calibri"/>
        </w:rPr>
        <w:t xml:space="preserve"> sú skládky v Spišskej Novej Vsi, Veľkých Ozorovciach v okrese Trebišov a v Kozárovciach v okrese Levice </w:t>
      </w:r>
      <w:r w:rsidRPr="00F71192">
        <w:rPr>
          <w:rFonts w:cs="Calibri"/>
        </w:rPr>
        <w:t>(</w:t>
      </w:r>
      <w:r w:rsidR="00C04FE6" w:rsidRPr="00C04FE6">
        <w:fldChar w:fldCharType="begin"/>
      </w:r>
      <w:r w:rsidR="00C04FE6" w:rsidRPr="00C04FE6">
        <w:instrText xml:space="preserve"> REF _Ref34215261 \h </w:instrText>
      </w:r>
      <w:r w:rsidR="00C04FE6">
        <w:instrText xml:space="preserve"> \* MERGEFORMAT </w:instrText>
      </w:r>
      <w:r w:rsidR="00C04FE6" w:rsidRPr="00C04FE6">
        <w:fldChar w:fldCharType="separate"/>
      </w:r>
      <w:r w:rsidR="00FA29AF" w:rsidRPr="00FA29AF">
        <w:t>Príloha 38</w:t>
      </w:r>
      <w:r w:rsidR="00C04FE6" w:rsidRPr="00C04FE6">
        <w:fldChar w:fldCharType="end"/>
      </w:r>
      <w:r w:rsidRPr="000669CA">
        <w:t>)</w:t>
      </w:r>
      <w:r w:rsidRPr="00CA2564">
        <w:rPr>
          <w:rFonts w:cs="Calibri"/>
        </w:rPr>
        <w:t>.</w:t>
      </w:r>
      <w:r>
        <w:rPr>
          <w:rFonts w:cs="Calibri"/>
        </w:rPr>
        <w:t xml:space="preserve"> Nelegálnych skládok odpadu v blízkostí rómskych osídlení môže byť </w:t>
      </w:r>
      <w:r w:rsidR="002431F6">
        <w:rPr>
          <w:rFonts w:cs="Calibri"/>
        </w:rPr>
        <w:t xml:space="preserve">v skutočnosti </w:t>
      </w:r>
      <w:r>
        <w:rPr>
          <w:rFonts w:cs="Calibri"/>
        </w:rPr>
        <w:t>podstatne viac.</w:t>
      </w:r>
    </w:p>
    <w:tbl>
      <w:tblPr>
        <w:tblW w:w="0" w:type="auto"/>
        <w:tblLook w:val="04E0" w:firstRow="1" w:lastRow="1" w:firstColumn="1" w:lastColumn="0" w:noHBand="0" w:noVBand="1"/>
      </w:tblPr>
      <w:tblGrid>
        <w:gridCol w:w="9026"/>
      </w:tblGrid>
      <w:tr w:rsidR="00863A66" w:rsidRPr="00DF1EB1" w14:paraId="50BC3E74" w14:textId="77777777" w:rsidTr="00CC23DA">
        <w:tc>
          <w:tcPr>
            <w:tcW w:w="9072" w:type="dxa"/>
            <w:tcBorders>
              <w:bottom w:val="single" w:sz="4" w:space="0" w:color="auto"/>
            </w:tcBorders>
          </w:tcPr>
          <w:p w14:paraId="159358A4" w14:textId="5F18EE6A" w:rsidR="00863A66" w:rsidRPr="00CC23DA" w:rsidRDefault="00863A66" w:rsidP="00CC23DA">
            <w:pPr>
              <w:spacing w:after="0" w:line="240" w:lineRule="auto"/>
              <w:jc w:val="left"/>
              <w:rPr>
                <w:b/>
                <w:sz w:val="20"/>
              </w:rPr>
            </w:pPr>
            <w:bookmarkStart w:id="1620" w:name="_Ref20050169"/>
            <w:bookmarkStart w:id="1621" w:name="_Toc34157630"/>
            <w:r w:rsidRPr="00CC23DA">
              <w:rPr>
                <w:b/>
                <w:sz w:val="20"/>
              </w:rPr>
              <w:t xml:space="preserve">Graf </w:t>
            </w:r>
            <w:r w:rsidRPr="00CC23DA">
              <w:rPr>
                <w:b/>
                <w:noProof/>
                <w:sz w:val="20"/>
              </w:rPr>
              <w:fldChar w:fldCharType="begin"/>
            </w:r>
            <w:r w:rsidRPr="00CC23DA">
              <w:rPr>
                <w:b/>
                <w:noProof/>
                <w:sz w:val="20"/>
              </w:rPr>
              <w:instrText xml:space="preserve"> SEQ Graf \* ARABIC </w:instrText>
            </w:r>
            <w:r w:rsidRPr="00CC23DA">
              <w:rPr>
                <w:b/>
                <w:noProof/>
                <w:sz w:val="20"/>
              </w:rPr>
              <w:fldChar w:fldCharType="separate"/>
            </w:r>
            <w:r w:rsidR="00FA29AF">
              <w:rPr>
                <w:b/>
                <w:noProof/>
                <w:sz w:val="20"/>
              </w:rPr>
              <w:t>72</w:t>
            </w:r>
            <w:r w:rsidRPr="00CC23DA">
              <w:rPr>
                <w:b/>
                <w:noProof/>
                <w:sz w:val="20"/>
              </w:rPr>
              <w:fldChar w:fldCharType="end"/>
            </w:r>
            <w:bookmarkEnd w:id="1620"/>
            <w:r w:rsidRPr="00CC23DA">
              <w:rPr>
                <w:b/>
                <w:iCs/>
                <w:sz w:val="20"/>
              </w:rPr>
              <w:t>: Zdroj vody v rómskych osídleniach (% populácie osídlenia)</w:t>
            </w:r>
            <w:bookmarkEnd w:id="1621"/>
          </w:p>
        </w:tc>
      </w:tr>
      <w:tr w:rsidR="00863A66" w:rsidRPr="00CA2564" w14:paraId="4B1BB02D" w14:textId="77777777" w:rsidTr="00CC23DA">
        <w:tblPrEx>
          <w:tblCellMar>
            <w:left w:w="70" w:type="dxa"/>
            <w:right w:w="70" w:type="dxa"/>
          </w:tblCellMar>
        </w:tblPrEx>
        <w:tc>
          <w:tcPr>
            <w:tcW w:w="9072" w:type="dxa"/>
            <w:tcBorders>
              <w:top w:val="single" w:sz="4" w:space="0" w:color="auto"/>
              <w:bottom w:val="single" w:sz="4" w:space="0" w:color="auto"/>
            </w:tcBorders>
          </w:tcPr>
          <w:p w14:paraId="60B4CECA" w14:textId="77777777" w:rsidR="00863A66" w:rsidRPr="00CA2564" w:rsidRDefault="00863A66" w:rsidP="00CC23DA">
            <w:pPr>
              <w:spacing w:after="0" w:line="240" w:lineRule="auto"/>
              <w:jc w:val="center"/>
              <w:rPr>
                <w:noProof/>
                <w:sz w:val="4"/>
                <w:szCs w:val="4"/>
              </w:rPr>
            </w:pPr>
          </w:p>
          <w:p w14:paraId="136E15BE" w14:textId="328433DC" w:rsidR="00863A66" w:rsidRPr="00CA2564" w:rsidRDefault="00973CA3" w:rsidP="00CC23DA">
            <w:pPr>
              <w:spacing w:after="0" w:line="240" w:lineRule="auto"/>
              <w:jc w:val="center"/>
              <w:rPr>
                <w:noProof/>
                <w:sz w:val="4"/>
                <w:szCs w:val="4"/>
              </w:rPr>
            </w:pPr>
            <w:r>
              <w:rPr>
                <w:noProof/>
                <w:lang w:eastAsia="sk-SK"/>
              </w:rPr>
              <w:drawing>
                <wp:inline distT="0" distB="0" distL="0" distR="0" wp14:anchorId="370DA27B" wp14:editId="3579113A">
                  <wp:extent cx="5172075" cy="1624519"/>
                  <wp:effectExtent l="0" t="0" r="0" b="0"/>
                  <wp:docPr id="335" name="Graf 3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0144E541" w14:textId="77777777" w:rsidR="00863A66" w:rsidRPr="00CA2564" w:rsidRDefault="00863A66" w:rsidP="00CC23DA">
            <w:pPr>
              <w:spacing w:after="0" w:line="240" w:lineRule="auto"/>
              <w:jc w:val="center"/>
              <w:rPr>
                <w:sz w:val="4"/>
                <w:szCs w:val="4"/>
              </w:rPr>
            </w:pPr>
          </w:p>
        </w:tc>
      </w:tr>
      <w:tr w:rsidR="00863A66" w:rsidRPr="00CA2564" w14:paraId="7F111061" w14:textId="77777777" w:rsidTr="00CC23DA">
        <w:tc>
          <w:tcPr>
            <w:tcW w:w="9072" w:type="dxa"/>
            <w:tcBorders>
              <w:top w:val="single" w:sz="4" w:space="0" w:color="auto"/>
            </w:tcBorders>
          </w:tcPr>
          <w:p w14:paraId="13109AD8" w14:textId="46B5C83F" w:rsidR="00863A66" w:rsidRPr="00CC23DA" w:rsidRDefault="00863A66" w:rsidP="00CC23DA">
            <w:pPr>
              <w:spacing w:after="0" w:line="240" w:lineRule="auto"/>
              <w:jc w:val="right"/>
              <w:rPr>
                <w:i/>
                <w:sz w:val="18"/>
                <w:szCs w:val="18"/>
              </w:rPr>
            </w:pPr>
            <w:r w:rsidRPr="00CC23DA">
              <w:rPr>
                <w:i/>
                <w:sz w:val="18"/>
                <w:szCs w:val="18"/>
              </w:rPr>
              <w:t xml:space="preserve">Zdroj: </w:t>
            </w:r>
            <w:r w:rsidR="00BD0B8E" w:rsidRPr="00CC23DA">
              <w:rPr>
                <w:i/>
                <w:sz w:val="18"/>
                <w:szCs w:val="18"/>
              </w:rPr>
              <w:t>ÚHP na základe ARK 2019</w:t>
            </w:r>
          </w:p>
        </w:tc>
      </w:tr>
    </w:tbl>
    <w:p w14:paraId="382E1D3A" w14:textId="1FCFE3E0" w:rsidR="00DA342E" w:rsidRDefault="001A4384" w:rsidP="00CB1850">
      <w:pPr>
        <w:spacing w:before="120"/>
        <w:rPr>
          <w:rFonts w:cs="Calibri"/>
        </w:rPr>
      </w:pPr>
      <w:r w:rsidRPr="0053660A">
        <w:rPr>
          <w:b/>
        </w:rPr>
        <w:t xml:space="preserve">Takmer </w:t>
      </w:r>
      <w:r w:rsidR="0053660A" w:rsidRPr="00D3189B">
        <w:rPr>
          <w:b/>
        </w:rPr>
        <w:t>6</w:t>
      </w:r>
      <w:r w:rsidR="0053660A" w:rsidRPr="0053660A">
        <w:rPr>
          <w:b/>
        </w:rPr>
        <w:t xml:space="preserve"> %</w:t>
      </w:r>
      <w:r w:rsidR="00625EB7" w:rsidRPr="00D3189B">
        <w:rPr>
          <w:b/>
        </w:rPr>
        <w:t> </w:t>
      </w:r>
      <w:r w:rsidR="006738F5" w:rsidRPr="0053660A">
        <w:rPr>
          <w:b/>
        </w:rPr>
        <w:t>rómskych</w:t>
      </w:r>
      <w:r w:rsidR="00625EB7" w:rsidRPr="00D3189B">
        <w:rPr>
          <w:b/>
        </w:rPr>
        <w:t xml:space="preserve"> </w:t>
      </w:r>
      <w:r w:rsidR="009F781E">
        <w:rPr>
          <w:b/>
        </w:rPr>
        <w:t>osídlení (</w:t>
      </w:r>
      <w:r w:rsidR="0009757D">
        <w:rPr>
          <w:b/>
        </w:rPr>
        <w:t>viac ako 7,5 tisíc osôb</w:t>
      </w:r>
      <w:r w:rsidR="009F781E">
        <w:rPr>
          <w:b/>
        </w:rPr>
        <w:t>)</w:t>
      </w:r>
      <w:r w:rsidR="00625EB7" w:rsidRPr="00D3189B">
        <w:rPr>
          <w:b/>
        </w:rPr>
        <w:t xml:space="preserve"> </w:t>
      </w:r>
      <w:r w:rsidR="009F781E">
        <w:rPr>
          <w:b/>
        </w:rPr>
        <w:t>nemá prístup k</w:t>
      </w:r>
      <w:r w:rsidR="00625EB7" w:rsidRPr="00D3189B">
        <w:rPr>
          <w:b/>
        </w:rPr>
        <w:t xml:space="preserve"> zberu komunálneho odpadu.</w:t>
      </w:r>
      <w:r w:rsidR="0053660A">
        <w:rPr>
          <w:rStyle w:val="Odkaznapoznmkupodiarou"/>
          <w:b/>
        </w:rPr>
        <w:footnoteReference w:id="421"/>
      </w:r>
      <w:r w:rsidR="00625EB7" w:rsidRPr="00D3189B">
        <w:rPr>
          <w:b/>
        </w:rPr>
        <w:t xml:space="preserve"> </w:t>
      </w:r>
      <w:r w:rsidR="009F781E">
        <w:rPr>
          <w:rFonts w:cs="Calibri"/>
        </w:rPr>
        <w:t xml:space="preserve">Práve </w:t>
      </w:r>
      <w:r w:rsidR="009F781E" w:rsidRPr="00CA2564">
        <w:rPr>
          <w:rFonts w:cs="Calibri"/>
        </w:rPr>
        <w:t>v dôsledku nedostatočného zabezpe</w:t>
      </w:r>
      <w:r w:rsidR="009F781E">
        <w:rPr>
          <w:rFonts w:cs="Calibri"/>
        </w:rPr>
        <w:t xml:space="preserve">čenia odvozu komunálneho dopadu často vznikajú v </w:t>
      </w:r>
      <w:r w:rsidR="006738F5">
        <w:rPr>
          <w:rFonts w:cs="Calibri"/>
        </w:rPr>
        <w:t>osídleniach</w:t>
      </w:r>
      <w:r w:rsidR="009F781E">
        <w:rPr>
          <w:rFonts w:cs="Calibri"/>
        </w:rPr>
        <w:t xml:space="preserve"> nelegálne skládky odpadu. </w:t>
      </w:r>
      <w:r w:rsidR="00DA342E" w:rsidRPr="00CA2564">
        <w:rPr>
          <w:rFonts w:cs="Calibri"/>
        </w:rPr>
        <w:t xml:space="preserve">Sú zdokumentované prípady, kedy v dôsledku neplatičstva časti obyvateľov osady boli od tejto verejnej služby odstrihnutí všetci obyvatelia osady (Európska komisia, 2019). </w:t>
      </w:r>
      <w:r w:rsidR="00691ED7">
        <w:rPr>
          <w:rFonts w:cs="Calibri"/>
        </w:rPr>
        <w:t xml:space="preserve">V roku 2013 malo obmedzený prístup ku zberu komunálneho odpadu viac ako 13 % obyvateľstva v MRK. </w:t>
      </w:r>
      <w:r w:rsidR="003C02B8">
        <w:rPr>
          <w:rFonts w:cs="Calibri"/>
        </w:rPr>
        <w:t>Z</w:t>
      </w:r>
      <w:r w:rsidR="00DA342E" w:rsidRPr="00CA2564">
        <w:rPr>
          <w:rFonts w:cs="Calibri"/>
        </w:rPr>
        <w:t>áťaže</w:t>
      </w:r>
      <w:r w:rsidR="003C02B8">
        <w:rPr>
          <w:rFonts w:cs="Calibri"/>
        </w:rPr>
        <w:t xml:space="preserve"> životného prostredia</w:t>
      </w:r>
      <w:r w:rsidR="00DA342E" w:rsidRPr="00CA2564">
        <w:rPr>
          <w:rFonts w:cs="Calibri"/>
        </w:rPr>
        <w:t xml:space="preserve"> sú jedným z dôvodov horšieho zdravotného stavu a nižšej očakávanej dĺžky života v prostredí MRK (kapitola </w:t>
      </w:r>
      <w:r w:rsidR="00596CBC">
        <w:rPr>
          <w:rFonts w:cs="Calibri"/>
        </w:rPr>
        <w:fldChar w:fldCharType="begin"/>
      </w:r>
      <w:r w:rsidR="00596CBC">
        <w:rPr>
          <w:rFonts w:cs="Calibri"/>
        </w:rPr>
        <w:instrText xml:space="preserve"> REF _Ref25315598 \r \h </w:instrText>
      </w:r>
      <w:r w:rsidR="00596CBC">
        <w:rPr>
          <w:rFonts w:cs="Calibri"/>
        </w:rPr>
      </w:r>
      <w:r w:rsidR="00596CBC">
        <w:rPr>
          <w:rFonts w:cs="Calibri"/>
        </w:rPr>
        <w:fldChar w:fldCharType="separate"/>
      </w:r>
      <w:r w:rsidR="00FA29AF">
        <w:rPr>
          <w:rFonts w:cs="Calibri"/>
        </w:rPr>
        <w:t>10</w:t>
      </w:r>
      <w:r w:rsidR="00596CBC">
        <w:rPr>
          <w:rFonts w:cs="Calibri"/>
        </w:rPr>
        <w:fldChar w:fldCharType="end"/>
      </w:r>
      <w:r w:rsidR="00DA342E" w:rsidRPr="00CA2564">
        <w:rPr>
          <w:rFonts w:cs="Calibri"/>
        </w:rPr>
        <w:t>).</w:t>
      </w:r>
    </w:p>
    <w:p w14:paraId="1415D1DE" w14:textId="77777777" w:rsidR="00CB1850" w:rsidRPr="00CA2564" w:rsidRDefault="00CB1850" w:rsidP="00CB1850">
      <w:pPr>
        <w:pStyle w:val="Nadpis2"/>
        <w:spacing w:before="200"/>
      </w:pPr>
      <w:bookmarkStart w:id="1622" w:name="_Toc18340952"/>
      <w:bookmarkStart w:id="1623" w:name="_Ref25310438"/>
      <w:bookmarkStart w:id="1624" w:name="_Ref25312211"/>
      <w:bookmarkStart w:id="1625" w:name="_Ref25315652"/>
      <w:bookmarkStart w:id="1626" w:name="_Toc34657738"/>
      <w:r>
        <w:t>N</w:t>
      </w:r>
      <w:r w:rsidRPr="00CA2564">
        <w:t>ájomné bývanie</w:t>
      </w:r>
      <w:bookmarkEnd w:id="1622"/>
      <w:bookmarkEnd w:id="1623"/>
      <w:bookmarkEnd w:id="1624"/>
      <w:bookmarkEnd w:id="1625"/>
      <w:r>
        <w:t xml:space="preserve"> s regulovaným nájmom</w:t>
      </w:r>
      <w:bookmarkEnd w:id="1626"/>
    </w:p>
    <w:p w14:paraId="6EF744FF" w14:textId="07A9EC62" w:rsidR="00DA342E" w:rsidRPr="00CA2564" w:rsidRDefault="00DA342E" w:rsidP="00591091">
      <w:r w:rsidRPr="00CA2564">
        <w:rPr>
          <w:b/>
        </w:rPr>
        <w:t>Trhové prostredie nedokáže uspokojiť potrebu bývania pre všetky skupiny obyvateľstva a riešenie tejto potreby nie je možné zabezpečiť bez intervencií štátu a iných subjektov na trhu</w:t>
      </w:r>
      <w:r w:rsidRPr="00CA2564">
        <w:t>. Jedným z deklarovaných cieľov Koncepcie štátnej bytovej politiky do roku 2020</w:t>
      </w:r>
      <w:r w:rsidRPr="00CA2564">
        <w:rPr>
          <w:rStyle w:val="Odkaznapoznmkupodiarou"/>
        </w:rPr>
        <w:footnoteReference w:id="422"/>
      </w:r>
      <w:r w:rsidRPr="00CA2564">
        <w:t xml:space="preserve"> je zabezpečiť, aby každá </w:t>
      </w:r>
      <w:r w:rsidRPr="00591091">
        <w:rPr>
          <w:rFonts w:cs="Calibri"/>
        </w:rPr>
        <w:t>domácnosť</w:t>
      </w:r>
      <w:r w:rsidR="009758A5">
        <w:t xml:space="preserve"> mala prístup k </w:t>
      </w:r>
      <w:r w:rsidRPr="00CA2564">
        <w:t>adekvátnemu a cenovo dostupnému bývaniu. Medzi kľúčové nástroje pre dosiahnutie tohto cieľa patrí nájomné bývanie</w:t>
      </w:r>
      <w:r w:rsidR="00A03E5D">
        <w:t xml:space="preserve"> s regulovaným nájmom</w:t>
      </w:r>
      <w:r w:rsidRPr="00CA2564">
        <w:t>.</w:t>
      </w:r>
    </w:p>
    <w:p w14:paraId="1F1ED33D" w14:textId="0C132207" w:rsidR="00DA342E" w:rsidRDefault="00A03E5D" w:rsidP="00DA342E">
      <w:r>
        <w:rPr>
          <w:b/>
          <w:bCs/>
        </w:rPr>
        <w:t>Nájomné</w:t>
      </w:r>
      <w:r w:rsidRPr="00CA2564">
        <w:rPr>
          <w:b/>
          <w:bCs/>
        </w:rPr>
        <w:t xml:space="preserve"> </w:t>
      </w:r>
      <w:r w:rsidR="00DA342E" w:rsidRPr="00CA2564">
        <w:rPr>
          <w:b/>
          <w:bCs/>
        </w:rPr>
        <w:t xml:space="preserve">bývanie </w:t>
      </w:r>
      <w:r>
        <w:rPr>
          <w:b/>
          <w:bCs/>
        </w:rPr>
        <w:t xml:space="preserve">s regulovaným nájmom </w:t>
      </w:r>
      <w:r w:rsidR="00DA342E" w:rsidRPr="00CA2564">
        <w:rPr>
          <w:b/>
          <w:bCs/>
        </w:rPr>
        <w:t>na Slovensku charakterizuje previazanosť na verejné financie</w:t>
      </w:r>
      <w:r>
        <w:rPr>
          <w:b/>
          <w:bCs/>
        </w:rPr>
        <w:t xml:space="preserve"> </w:t>
      </w:r>
      <w:r w:rsidR="00DA342E" w:rsidRPr="00CA2564">
        <w:rPr>
          <w:b/>
          <w:bCs/>
        </w:rPr>
        <w:t>a cielenie na skupiny obyvateľstva, ktoré sú znevýhodnené na trhu s bývaním</w:t>
      </w:r>
      <w:r w:rsidR="00DA342E" w:rsidRPr="00CA2564">
        <w:rPr>
          <w:rStyle w:val="Odkaznapoznmkupodiarou"/>
          <w:b/>
          <w:bCs/>
        </w:rPr>
        <w:footnoteReference w:id="423"/>
      </w:r>
      <w:r w:rsidR="00DA342E" w:rsidRPr="00CA2564">
        <w:rPr>
          <w:b/>
          <w:bCs/>
        </w:rPr>
        <w:t xml:space="preserve">. </w:t>
      </w:r>
      <w:r w:rsidR="00DA342E" w:rsidRPr="00CA2564">
        <w:rPr>
          <w:bCs/>
        </w:rPr>
        <w:t>Dva hlavné nástroje podpory ponuky v tejto oblasti sú zvýhodnené úvery poskytované ŠFRB a dotácie MDV SR (</w:t>
      </w:r>
      <w:r w:rsidR="00837D80" w:rsidRPr="00D41517">
        <w:rPr>
          <w:bCs/>
        </w:rPr>
        <w:fldChar w:fldCharType="begin"/>
      </w:r>
      <w:r w:rsidR="00837D80" w:rsidRPr="00837D80">
        <w:rPr>
          <w:bCs/>
        </w:rPr>
        <w:instrText xml:space="preserve"> REF _Ref30776414 \h </w:instrText>
      </w:r>
      <w:r w:rsidR="00837D80" w:rsidRPr="00D41517">
        <w:rPr>
          <w:bCs/>
        </w:rPr>
        <w:instrText xml:space="preserve"> \* MERGEFORMAT </w:instrText>
      </w:r>
      <w:r w:rsidR="00837D80" w:rsidRPr="00D41517">
        <w:rPr>
          <w:bCs/>
        </w:rPr>
      </w:r>
      <w:r w:rsidR="00837D80" w:rsidRPr="00D41517">
        <w:rPr>
          <w:bCs/>
        </w:rPr>
        <w:fldChar w:fldCharType="separate"/>
      </w:r>
      <w:r w:rsidR="00FA29AF" w:rsidRPr="00FA29AF">
        <w:rPr>
          <w:rFonts w:eastAsia="Arial Narrow" w:cs="Arial Narrow"/>
          <w:iCs/>
        </w:rPr>
        <w:t xml:space="preserve">Box </w:t>
      </w:r>
      <w:r w:rsidR="00FA29AF" w:rsidRPr="00FA29AF">
        <w:rPr>
          <w:rFonts w:eastAsia="Arial Narrow" w:cs="Arial Narrow"/>
          <w:iCs/>
          <w:noProof/>
        </w:rPr>
        <w:t>24</w:t>
      </w:r>
      <w:r w:rsidR="00837D80" w:rsidRPr="00D41517">
        <w:rPr>
          <w:bCs/>
        </w:rPr>
        <w:fldChar w:fldCharType="end"/>
      </w:r>
      <w:r w:rsidR="00DA342E" w:rsidRPr="0066092B">
        <w:rPr>
          <w:bCs/>
        </w:rPr>
        <w:t>)</w:t>
      </w:r>
      <w:r w:rsidR="00DA342E" w:rsidRPr="00CA2564">
        <w:rPr>
          <w:bCs/>
        </w:rPr>
        <w:t xml:space="preserve">. </w:t>
      </w:r>
      <w:r w:rsidR="00FD77D6">
        <w:rPr>
          <w:bCs/>
        </w:rPr>
        <w:t xml:space="preserve">Za </w:t>
      </w:r>
      <w:r>
        <w:rPr>
          <w:bCs/>
        </w:rPr>
        <w:t>tento druh</w:t>
      </w:r>
      <w:r w:rsidR="00FD77D6">
        <w:rPr>
          <w:bCs/>
        </w:rPr>
        <w:t xml:space="preserve"> bývani</w:t>
      </w:r>
      <w:r>
        <w:rPr>
          <w:bCs/>
        </w:rPr>
        <w:t>a</w:t>
      </w:r>
      <w:r w:rsidR="00FD77D6">
        <w:rPr>
          <w:bCs/>
        </w:rPr>
        <w:t xml:space="preserve"> zodpovedajú obce</w:t>
      </w:r>
      <w:r w:rsidR="00DA342E" w:rsidRPr="00CA2564">
        <w:rPr>
          <w:bCs/>
        </w:rPr>
        <w:t>. Nájomné v týchto priestoroch je regulované, nemá trhový charakter</w:t>
      </w:r>
      <w:r w:rsidR="008E41E8">
        <w:rPr>
          <w:bCs/>
        </w:rPr>
        <w:t>,</w:t>
      </w:r>
      <w:r w:rsidR="00DA342E" w:rsidRPr="00CA2564">
        <w:rPr>
          <w:bCs/>
        </w:rPr>
        <w:t xml:space="preserve"> ale závisí od </w:t>
      </w:r>
      <w:r w:rsidR="00DA342E" w:rsidRPr="00E43D01">
        <w:rPr>
          <w:bCs/>
        </w:rPr>
        <w:t>obstarávacích nákladov (tzv. nákladové nájomné)</w:t>
      </w:r>
      <w:r w:rsidR="00DA342E" w:rsidRPr="00E43D01">
        <w:rPr>
          <w:rStyle w:val="Odkaznapoznmkupodiarou"/>
          <w:bCs/>
        </w:rPr>
        <w:footnoteReference w:id="424"/>
      </w:r>
      <w:r w:rsidR="00DA342E" w:rsidRPr="00E43D01">
        <w:rPr>
          <w:bCs/>
        </w:rPr>
        <w:t xml:space="preserve">. </w:t>
      </w:r>
      <w:r w:rsidR="00DA342E" w:rsidRPr="00E43D01">
        <w:t>Oprávnenie</w:t>
      </w:r>
      <w:r w:rsidR="003863ED">
        <w:t xml:space="preserve"> k užívaniu majú osoby žijúce v </w:t>
      </w:r>
      <w:r w:rsidR="00DA342E" w:rsidRPr="00E43D01">
        <w:t>domácnostiach, ktorých mesačný príjem nepresahuje výšku trojnásobku, v určitých prípadoch štvornásobku, životného minima</w:t>
      </w:r>
      <w:r w:rsidR="00DA342E" w:rsidRPr="00E43D01">
        <w:rPr>
          <w:rStyle w:val="Odkaznapoznmkupodiarou"/>
        </w:rPr>
        <w:footnoteReference w:id="425"/>
      </w:r>
      <w:r w:rsidR="00DA342E" w:rsidRPr="00E43D01">
        <w:t xml:space="preserve">. Dôležitou súčasťou je aj sociálna práca a poskytovanie sociálnych služieb nájomníkom, u ktorých si to okolnosti vyžadujú. </w:t>
      </w:r>
    </w:p>
    <w:p w14:paraId="5DBE9EB6" w14:textId="77777777" w:rsidR="00297996" w:rsidRDefault="00297996" w:rsidP="00DA342E"/>
    <w:p w14:paraId="2F002B97" w14:textId="77777777" w:rsidR="00297996" w:rsidRDefault="00297996" w:rsidP="00DA342E"/>
    <w:tbl>
      <w:tblPr>
        <w:tblW w:w="0" w:type="auto"/>
        <w:shd w:val="clear" w:color="auto" w:fill="BDD6EE" w:themeFill="accent1" w:themeFillTint="66"/>
        <w:tblLook w:val="04A0" w:firstRow="1" w:lastRow="0" w:firstColumn="1" w:lastColumn="0" w:noHBand="0" w:noVBand="1"/>
      </w:tblPr>
      <w:tblGrid>
        <w:gridCol w:w="9026"/>
      </w:tblGrid>
      <w:tr w:rsidR="00367E38" w14:paraId="48154768" w14:textId="77777777" w:rsidTr="00D41517">
        <w:tc>
          <w:tcPr>
            <w:tcW w:w="9080" w:type="dxa"/>
            <w:shd w:val="clear" w:color="auto" w:fill="BDD6EE" w:themeFill="accent1" w:themeFillTint="66"/>
          </w:tcPr>
          <w:p w14:paraId="614A8BBF" w14:textId="49444CB5" w:rsidR="00367E38" w:rsidRDefault="00367E38" w:rsidP="00367E38">
            <w:pPr>
              <w:spacing w:before="160"/>
              <w:rPr>
                <w:rFonts w:eastAsia="Arial Narrow" w:cs="Arial Narrow"/>
                <w:b/>
              </w:rPr>
            </w:pPr>
            <w:bookmarkStart w:id="1627" w:name="_Ref30776414"/>
            <w:r w:rsidRPr="007F4037">
              <w:rPr>
                <w:rFonts w:eastAsia="Arial Narrow" w:cs="Arial Narrow"/>
                <w:b/>
                <w:iCs/>
              </w:rPr>
              <w:t xml:space="preserve">Box </w:t>
            </w:r>
            <w:r>
              <w:rPr>
                <w:rFonts w:eastAsia="Arial Narrow" w:cs="Arial Narrow"/>
                <w:b/>
                <w:iCs/>
              </w:rPr>
              <w:fldChar w:fldCharType="begin"/>
            </w:r>
            <w:r>
              <w:rPr>
                <w:rFonts w:eastAsia="Arial Narrow" w:cs="Arial Narrow"/>
                <w:b/>
                <w:iCs/>
              </w:rPr>
              <w:instrText xml:space="preserve"> SEQ Box \* ARABIC </w:instrText>
            </w:r>
            <w:r>
              <w:rPr>
                <w:rFonts w:eastAsia="Arial Narrow" w:cs="Arial Narrow"/>
                <w:b/>
                <w:iCs/>
              </w:rPr>
              <w:fldChar w:fldCharType="separate"/>
            </w:r>
            <w:r w:rsidR="00FA29AF">
              <w:rPr>
                <w:rFonts w:eastAsia="Arial Narrow" w:cs="Arial Narrow"/>
                <w:b/>
                <w:iCs/>
                <w:noProof/>
              </w:rPr>
              <w:t>24</w:t>
            </w:r>
            <w:r>
              <w:rPr>
                <w:rFonts w:eastAsia="Arial Narrow" w:cs="Arial Narrow"/>
                <w:b/>
                <w:iCs/>
              </w:rPr>
              <w:fldChar w:fldCharType="end"/>
            </w:r>
            <w:bookmarkEnd w:id="1627"/>
            <w:r w:rsidRPr="00CA2564">
              <w:rPr>
                <w:rFonts w:eastAsia="Arial Narrow" w:cs="Arial Narrow"/>
                <w:b/>
              </w:rPr>
              <w:t xml:space="preserve">: </w:t>
            </w:r>
            <w:r w:rsidR="00837D80">
              <w:rPr>
                <w:rFonts w:eastAsia="Arial Narrow" w:cs="Arial Narrow"/>
                <w:b/>
              </w:rPr>
              <w:t>Nástroje podpory výstavby nájomného bývania s regulovaným nájmom na Slovensku</w:t>
            </w:r>
          </w:p>
          <w:p w14:paraId="35D35460" w14:textId="72222A20" w:rsidR="00837D80" w:rsidRPr="00865FC7" w:rsidRDefault="00837D80" w:rsidP="00837D80">
            <w:r w:rsidRPr="00865FC7">
              <w:rPr>
                <w:b/>
              </w:rPr>
              <w:t>Štátny fond rozvoja bývania (ŠFRB</w:t>
            </w:r>
            <w:r w:rsidRPr="00865FC7">
              <w:t>)</w:t>
            </w:r>
            <w:r w:rsidRPr="00865FC7">
              <w:rPr>
                <w:rStyle w:val="Odkaznapoznmkupodiarou"/>
              </w:rPr>
              <w:footnoteReference w:id="426"/>
            </w:r>
            <w:r w:rsidRPr="00865FC7">
              <w:t xml:space="preserve"> je dominantným nástrojom podpory bývania určeným na komplexnú podporu obno</w:t>
            </w:r>
            <w:r w:rsidR="00A335D2">
              <w:t>vy bytového fondu, nájomného a čiastočne</w:t>
            </w:r>
            <w:r w:rsidRPr="00865FC7">
              <w:t xml:space="preserve"> aj vlastného bývania. Návratnú podporu z tohto nástroja môžu čerpať fyzické osoby, obce, VÚC, neziskové organizácie založené obcou, vlastníci bytov a nebytových priestorov, ako aj iné právnické osoby. Obce a neziskové organizácie v najmenej rozvinutých regiónoch sú oslobodené od platenia úrokov, ostatní žiadatelia platia úroky vo výške 1 %</w:t>
            </w:r>
            <w:r w:rsidR="00092A01">
              <w:t xml:space="preserve"> počas celej doby splatnosti úveru (maximálne do 2 % ročne po dobu 40 rokov)</w:t>
            </w:r>
            <w:r w:rsidRPr="00865FC7">
              <w:t xml:space="preserve">. Pri nájomných bytoch môže byť poskytnutý úver až do výšky 100 % obstarávacej ceny, maximálne však 90 tisíc eur a príjem nájomníkov nesmie v tomto prípade presiahnuť 4-násobok životného minima (5-násobok v prípade, ak je žiadateľom iná právnická osoba). </w:t>
            </w:r>
          </w:p>
          <w:p w14:paraId="38950609" w14:textId="20BB0129" w:rsidR="00367E38" w:rsidRPr="00D41517" w:rsidRDefault="00837D80" w:rsidP="00D41517">
            <w:pPr>
              <w:spacing w:before="160"/>
              <w:rPr>
                <w:rFonts w:eastAsia="Arial Narrow" w:cs="Arial Narrow"/>
                <w:b/>
                <w:iCs/>
              </w:rPr>
            </w:pPr>
            <w:r w:rsidRPr="00865FC7">
              <w:rPr>
                <w:b/>
              </w:rPr>
              <w:t>Dotácie na rozvoj bývania poskytované MDV SR</w:t>
            </w:r>
            <w:r w:rsidRPr="00865FC7">
              <w:rPr>
                <w:rStyle w:val="Odkaznapoznmkupodiarou"/>
                <w:b/>
              </w:rPr>
              <w:footnoteReference w:id="427"/>
            </w:r>
            <w:r w:rsidRPr="00865FC7">
              <w:t xml:space="preserve"> sú určené na obstaranie nájomných bytov a</w:t>
            </w:r>
            <w:r w:rsidR="00092A01">
              <w:t xml:space="preserve"> prislúchajúcej </w:t>
            </w:r>
            <w:r w:rsidRPr="00865FC7">
              <w:t>technickej vybavenosti. Môžu o ne požiadať obce, VÚC a neziskové organizácie</w:t>
            </w:r>
            <w:r w:rsidR="00092A01">
              <w:t xml:space="preserve"> založené obcou</w:t>
            </w:r>
            <w:r w:rsidRPr="00865FC7">
              <w:t>. Výška dotácie na obstaranie nájomného bytu sa líši v závislosti od typu bytu od 30 % do 75 % obstarávacích nákladov. Je určená maximálna veľkosť bytu ako aj maximálna výška obstarávacích nákladov. Účel nájomného bývania musí žiadateľ v podporenom projekte zachovať po zákonom vymedzenu dobu (s účinnosťou od 1.1.2020 počas celej živostnosti budovy). Zároveň je toto bývanie možné poskytnúť iba domácnostiam, ktorých príjem nepresahuje výšku 3-násobku, resp. 4</w:t>
            </w:r>
            <w:r w:rsidR="00BF5AC3">
              <w:t>- násobku životného minima (pri </w:t>
            </w:r>
            <w:r w:rsidRPr="00865FC7">
              <w:t>opätovnom uzatvorení nájomnej zmluvy sa posudzuje príjem ku 31.12. predchádzajúceho kalendárneho roka, ktorý by nemal prekročiť hranicu 3,5, resp. 4,5-násobku životného minima</w:t>
            </w:r>
            <w:r>
              <w:t>).</w:t>
            </w:r>
          </w:p>
        </w:tc>
      </w:tr>
    </w:tbl>
    <w:p w14:paraId="5D4BC24C" w14:textId="67A464D3" w:rsidR="00DA342E" w:rsidRPr="00E43D01" w:rsidRDefault="00DA342E" w:rsidP="00DA342E">
      <w:pPr>
        <w:spacing w:before="160"/>
        <w:rPr>
          <w:color w:val="0070C0"/>
        </w:rPr>
      </w:pPr>
      <w:r w:rsidRPr="00E43D01">
        <w:rPr>
          <w:color w:val="0070C0"/>
        </w:rPr>
        <w:t>Dostupnosť nájomného bývania</w:t>
      </w:r>
      <w:r w:rsidR="00A03E5D" w:rsidRPr="00E43D01">
        <w:rPr>
          <w:color w:val="0070C0"/>
        </w:rPr>
        <w:t xml:space="preserve"> s regulovaným nájmom</w:t>
      </w:r>
    </w:p>
    <w:p w14:paraId="374D2C02" w14:textId="5F49A9FE" w:rsidR="0016434D" w:rsidRPr="00D41517" w:rsidRDefault="00711491" w:rsidP="0016434D">
      <w:pPr>
        <w:spacing w:before="240"/>
      </w:pPr>
      <w:r>
        <w:rPr>
          <w:b/>
        </w:rPr>
        <w:t>Cenovú</w:t>
      </w:r>
      <w:r w:rsidR="0016434D">
        <w:rPr>
          <w:b/>
        </w:rPr>
        <w:t xml:space="preserve"> dostupnosť</w:t>
      </w:r>
      <w:r>
        <w:rPr>
          <w:b/>
        </w:rPr>
        <w:t xml:space="preserve"> nájomného bývania s regulovaným nájmom aj pre </w:t>
      </w:r>
      <w:r w:rsidR="00E11171">
        <w:rPr>
          <w:b/>
        </w:rPr>
        <w:t>nízkopríjmové rodiny</w:t>
      </w:r>
      <w:r>
        <w:rPr>
          <w:b/>
        </w:rPr>
        <w:t xml:space="preserve"> </w:t>
      </w:r>
      <w:r w:rsidR="00126EE2">
        <w:rPr>
          <w:b/>
        </w:rPr>
        <w:t>pomáha zabezpečiť</w:t>
      </w:r>
      <w:r>
        <w:rPr>
          <w:b/>
        </w:rPr>
        <w:t xml:space="preserve"> možnosť stavať časť týchto bytov v nižšom štandarde</w:t>
      </w:r>
      <w:r>
        <w:rPr>
          <w:rStyle w:val="Odkaznapoznmkupodiarou"/>
          <w:b/>
        </w:rPr>
        <w:footnoteReference w:id="428"/>
      </w:r>
      <w:r>
        <w:rPr>
          <w:b/>
        </w:rPr>
        <w:t xml:space="preserve"> s vymedzením niektorých prvkov v základnom režime. </w:t>
      </w:r>
      <w:r>
        <w:t>Obstarávacia cena takto postavených bytov je v porovnaní s bytmi bežného štandardu podstatne nižšia (za roky 2017 až 2019 v priemere o 41 %) čím sa v rámci regulácie</w:t>
      </w:r>
      <w:r w:rsidR="00C33BDC">
        <w:rPr>
          <w:rStyle w:val="Odkaznapoznmkupodiarou"/>
        </w:rPr>
        <w:footnoteReference w:id="429"/>
      </w:r>
      <w:r>
        <w:t xml:space="preserve"> úmerne znižuje aj maximálna výška mesačného nájomného</w:t>
      </w:r>
      <w:r w:rsidR="00C33BDC">
        <w:t xml:space="preserve">. Priemerný maximálny limit mesačného nájomného v bytoch postavených v období 2017 až 2019 </w:t>
      </w:r>
      <w:r w:rsidR="0056476C">
        <w:t>bol</w:t>
      </w:r>
      <w:r w:rsidR="00C33BDC">
        <w:t xml:space="preserve"> 117 eur, čo predstavuje </w:t>
      </w:r>
      <w:r w:rsidR="00FA7F97">
        <w:t>28 %</w:t>
      </w:r>
      <w:r w:rsidR="00C33BDC">
        <w:t xml:space="preserve"> príjmu štvorčlennej rodiny </w:t>
      </w:r>
      <w:r w:rsidR="00286BCB">
        <w:t xml:space="preserve">bez vlastného príjmu </w:t>
      </w:r>
      <w:r w:rsidR="00C33BDC">
        <w:t>odkázanej na pomoc v hmotnej núdzi.</w:t>
      </w:r>
      <w:r w:rsidR="00C33BDC">
        <w:rPr>
          <w:rStyle w:val="Odkaznapoznmkupodiarou"/>
        </w:rPr>
        <w:footnoteReference w:id="430"/>
      </w:r>
      <w:r w:rsidR="00C33BDC">
        <w:t xml:space="preserve"> </w:t>
      </w:r>
      <w:r w:rsidR="00D33DE5">
        <w:t xml:space="preserve">V prípade jednotlivca je to 61 % mesačného príjmu. </w:t>
      </w:r>
      <w:r w:rsidR="0056476C">
        <w:t xml:space="preserve">Byty nižšieho štandardu v tomto období predstavovali menej ako 9 % bytov postavených s podporou dotácie </w:t>
      </w:r>
      <w:r w:rsidR="00BF5AC3">
        <w:t>ministerstva dopravy a výstavby (</w:t>
      </w:r>
      <w:r w:rsidR="0056476C">
        <w:t>MDV</w:t>
      </w:r>
      <w:r w:rsidR="00BF5AC3">
        <w:t>)</w:t>
      </w:r>
      <w:r w:rsidR="00CB1850">
        <w:t xml:space="preserve"> (344 bytov z celkového počtu 3 </w:t>
      </w:r>
      <w:r w:rsidR="0056476C">
        <w:t xml:space="preserve">908). </w:t>
      </w:r>
      <w:r w:rsidR="00402A2F">
        <w:t xml:space="preserve">Navrhované úpravy príspevku na bývanie (podkapitola </w:t>
      </w:r>
      <w:r w:rsidR="00402A2F">
        <w:fldChar w:fldCharType="begin"/>
      </w:r>
      <w:r w:rsidR="00402A2F">
        <w:instrText xml:space="preserve"> REF _Ref30419693 \r \h </w:instrText>
      </w:r>
      <w:r w:rsidR="00402A2F">
        <w:fldChar w:fldCharType="separate"/>
      </w:r>
      <w:r w:rsidR="00FA29AF">
        <w:t>9.5</w:t>
      </w:r>
      <w:r w:rsidR="00402A2F">
        <w:fldChar w:fldCharType="end"/>
      </w:r>
      <w:r w:rsidR="00BF5AC3">
        <w:t>) by cenovú dostupnosť pre </w:t>
      </w:r>
      <w:r w:rsidR="00402A2F">
        <w:t xml:space="preserve">zraniteľné skupiny </w:t>
      </w:r>
      <w:r w:rsidR="00126EE2">
        <w:t>posilnili</w:t>
      </w:r>
      <w:r w:rsidR="00402A2F">
        <w:t>.</w:t>
      </w:r>
    </w:p>
    <w:p w14:paraId="3E69D6FE" w14:textId="46E5D259" w:rsidR="00DA342E" w:rsidRDefault="00D05131" w:rsidP="00DA342E">
      <w:pPr>
        <w:spacing w:before="160"/>
      </w:pPr>
      <w:r>
        <w:rPr>
          <w:b/>
        </w:rPr>
        <w:t>Fyzi</w:t>
      </w:r>
      <w:r w:rsidR="00201F3C">
        <w:rPr>
          <w:b/>
        </w:rPr>
        <w:t>cká d</w:t>
      </w:r>
      <w:r w:rsidR="00DA342E" w:rsidRPr="00E43D01">
        <w:rPr>
          <w:b/>
        </w:rPr>
        <w:t>ostupnosť nájomného bývania</w:t>
      </w:r>
      <w:r w:rsidR="005B51CD" w:rsidRPr="00E43D01">
        <w:rPr>
          <w:b/>
        </w:rPr>
        <w:t xml:space="preserve"> </w:t>
      </w:r>
      <w:r w:rsidR="00A03E5D" w:rsidRPr="00E43D01">
        <w:rPr>
          <w:b/>
        </w:rPr>
        <w:t xml:space="preserve">s regulovaným nájmom </w:t>
      </w:r>
      <w:r w:rsidR="00DA342E" w:rsidRPr="00E43D01">
        <w:rPr>
          <w:b/>
        </w:rPr>
        <w:t>aj bývania s trhovým nájmom je veľmi nízka.</w:t>
      </w:r>
      <w:r w:rsidR="00DA342E" w:rsidRPr="00E43D01">
        <w:t xml:space="preserve"> V nájomnom bývaní žilo podľa prieskumu EU SILC </w:t>
      </w:r>
      <w:r w:rsidR="00425DD3">
        <w:t>9</w:t>
      </w:r>
      <w:r w:rsidR="00DA342E" w:rsidRPr="00E43D01">
        <w:t xml:space="preserve"> % populácie Slovenska v roku 201</w:t>
      </w:r>
      <w:r w:rsidR="00425DD3">
        <w:t>8</w:t>
      </w:r>
      <w:r w:rsidR="00DA342E" w:rsidRPr="00E43D01">
        <w:t>. Išlo o </w:t>
      </w:r>
      <w:r w:rsidR="00425DD3">
        <w:t>druhý</w:t>
      </w:r>
      <w:r w:rsidR="00425DD3" w:rsidRPr="00E43D01">
        <w:t xml:space="preserve"> </w:t>
      </w:r>
      <w:r w:rsidR="00DA342E" w:rsidRPr="00E43D01">
        <w:t>najnižší podiel v rámci EÚ (</w:t>
      </w:r>
      <w:r w:rsidR="00DA342E" w:rsidRPr="00134992">
        <w:fldChar w:fldCharType="begin"/>
      </w:r>
      <w:r w:rsidR="00DA342E" w:rsidRPr="00E43D01">
        <w:instrText xml:space="preserve"> REF _Ref17282631 \h  \* MERGEFORMAT </w:instrText>
      </w:r>
      <w:r w:rsidR="00DA342E" w:rsidRPr="00134992">
        <w:fldChar w:fldCharType="separate"/>
      </w:r>
      <w:r w:rsidR="00FA29AF" w:rsidRPr="00FA29AF">
        <w:t xml:space="preserve">Graf </w:t>
      </w:r>
      <w:r w:rsidR="00FA29AF" w:rsidRPr="00FA29AF">
        <w:rPr>
          <w:noProof/>
        </w:rPr>
        <w:t>73</w:t>
      </w:r>
      <w:r w:rsidR="00DA342E" w:rsidRPr="00134992">
        <w:fldChar w:fldCharType="end"/>
      </w:r>
      <w:r w:rsidR="00DA342E" w:rsidRPr="00E43D01">
        <w:t>). V nájomnom bývaní s</w:t>
      </w:r>
      <w:r w:rsidR="00245E4D" w:rsidRPr="00E43D01">
        <w:t> </w:t>
      </w:r>
      <w:r w:rsidR="00DA342E" w:rsidRPr="00E43D01">
        <w:t>regulovaným nájmom žilo iba 1,</w:t>
      </w:r>
      <w:r w:rsidR="00425DD3">
        <w:t>2</w:t>
      </w:r>
      <w:r w:rsidR="00DA342E" w:rsidRPr="00E43D01">
        <w:t xml:space="preserve"> % populácie v porovnaní s priemerom EÚ</w:t>
      </w:r>
      <w:r w:rsidR="00515DD6">
        <w:t>15 na úrovni 8</w:t>
      </w:r>
      <w:r w:rsidR="00DA342E" w:rsidRPr="00E43D01">
        <w:t>,</w:t>
      </w:r>
      <w:r w:rsidR="00515DD6">
        <w:t>5</w:t>
      </w:r>
      <w:r w:rsidR="00DA342E" w:rsidRPr="00E43D01">
        <w:t xml:space="preserve"> %</w:t>
      </w:r>
      <w:r w:rsidR="00F05344">
        <w:t xml:space="preserve"> a priemerom V3 na úrovni 8,8 %</w:t>
      </w:r>
      <w:r w:rsidR="00DA342E" w:rsidRPr="00E43D01">
        <w:t xml:space="preserve">. </w:t>
      </w:r>
      <w:r w:rsidR="00EC753E">
        <w:t xml:space="preserve">Prieskum obecného nájomného bývania v okresných mestách Slovenska ukázal, že dostupnosť nájomného </w:t>
      </w:r>
      <w:r w:rsidR="00087E5A">
        <w:t>bývania s regulovaným nájmom sa </w:t>
      </w:r>
      <w:r w:rsidR="00EC753E">
        <w:t>medzi mestami výrazne líši. Z</w:t>
      </w:r>
      <w:r w:rsidR="008123B5">
        <w:t> väčších</w:t>
      </w:r>
      <w:r w:rsidR="00EC753E">
        <w:t xml:space="preserve"> miest </w:t>
      </w:r>
      <w:r w:rsidR="008123B5">
        <w:t xml:space="preserve">(nad 40 tisíc obavateľov) </w:t>
      </w:r>
      <w:r w:rsidR="00EC753E">
        <w:t>je najnižší poč</w:t>
      </w:r>
      <w:r w:rsidR="00087E5A">
        <w:t>et mestských bytov na </w:t>
      </w:r>
      <w:r w:rsidR="00BF5AC3">
        <w:t>100 </w:t>
      </w:r>
      <w:r w:rsidR="00EC753E">
        <w:t xml:space="preserve">obyvateľov v Bratislave </w:t>
      </w:r>
      <w:r w:rsidR="008123B5">
        <w:t>(0,3), najviac vo Zvolene (1,4</w:t>
      </w:r>
      <w:r w:rsidR="00EC753E">
        <w:t>) (</w:t>
      </w:r>
      <w:r w:rsidR="008123B5">
        <w:t>Fico a spol., 2019</w:t>
      </w:r>
      <w:r w:rsidR="00EC753E">
        <w:t xml:space="preserve">). </w:t>
      </w:r>
      <w:r w:rsidR="00DA342E" w:rsidRPr="00E43D01">
        <w:t>Nedostatok</w:t>
      </w:r>
      <w:r w:rsidR="00DA342E" w:rsidRPr="00CA2564">
        <w:t xml:space="preserve"> cenovo dostupného nájomného bývania pre ľudí, ktorí si nemôžu dovoliť bývať „vo vlastnom“</w:t>
      </w:r>
      <w:r w:rsidR="005B51CD">
        <w:t>,</w:t>
      </w:r>
      <w:r w:rsidR="00DA342E" w:rsidRPr="00CA2564">
        <w:t xml:space="preserve"> prispieva k preplnenosti a znižovaniu kvality bývania (podkapitola </w:t>
      </w:r>
      <w:r w:rsidR="00596CBC">
        <w:fldChar w:fldCharType="begin"/>
      </w:r>
      <w:r w:rsidR="00596CBC">
        <w:instrText xml:space="preserve"> REF _Ref25315611 \r \h </w:instrText>
      </w:r>
      <w:r w:rsidR="00596CBC">
        <w:fldChar w:fldCharType="separate"/>
      </w:r>
      <w:r w:rsidR="00FA29AF">
        <w:t>7.1</w:t>
      </w:r>
      <w:r w:rsidR="00596CBC">
        <w:fldChar w:fldCharType="end"/>
      </w:r>
      <w:r w:rsidR="00DA342E" w:rsidRPr="00CA2564">
        <w:t>).</w:t>
      </w:r>
    </w:p>
    <w:p w14:paraId="530D7B50" w14:textId="1F0D68A0" w:rsidR="00062793" w:rsidRDefault="001654E3" w:rsidP="00297996">
      <w:pPr>
        <w:spacing w:before="160"/>
        <w:rPr>
          <w:szCs w:val="22"/>
        </w:rPr>
      </w:pPr>
      <w:r w:rsidRPr="001654E3">
        <w:rPr>
          <w:b/>
          <w:szCs w:val="22"/>
        </w:rPr>
        <w:t>Za posledných desať rokov došlo k výraznému spomaleniu výstavby nových nájomných bytov</w:t>
      </w:r>
      <w:r w:rsidR="00A03E5D">
        <w:rPr>
          <w:b/>
          <w:szCs w:val="22"/>
        </w:rPr>
        <w:t xml:space="preserve"> s regulovaným nájmom</w:t>
      </w:r>
      <w:r w:rsidRPr="001654E3">
        <w:rPr>
          <w:b/>
          <w:szCs w:val="22"/>
        </w:rPr>
        <w:t xml:space="preserve">. </w:t>
      </w:r>
      <w:r w:rsidRPr="001654E3">
        <w:rPr>
          <w:szCs w:val="22"/>
        </w:rPr>
        <w:t>Kým v roku 2007 bolo dokončených vo vlastníct</w:t>
      </w:r>
      <w:r w:rsidR="00EE25E7">
        <w:rPr>
          <w:szCs w:val="22"/>
        </w:rPr>
        <w:t>ve samosprávy 3 149 bytov (19 % </w:t>
      </w:r>
      <w:r w:rsidRPr="001654E3">
        <w:rPr>
          <w:szCs w:val="22"/>
        </w:rPr>
        <w:t>z celkového počtu dokončených bytov), v roku 2018 to bolo už iba 195 bytov (1 %) (</w:t>
      </w:r>
      <w:r w:rsidRPr="001654E3">
        <w:rPr>
          <w:szCs w:val="22"/>
        </w:rPr>
        <w:fldChar w:fldCharType="begin"/>
      </w:r>
      <w:r w:rsidRPr="001654E3">
        <w:rPr>
          <w:szCs w:val="22"/>
        </w:rPr>
        <w:instrText xml:space="preserve"> REF _Ref17219796 \h </w:instrText>
      </w:r>
      <w:r>
        <w:rPr>
          <w:szCs w:val="22"/>
        </w:rPr>
        <w:instrText xml:space="preserve"> \* MERGEFORMAT </w:instrText>
      </w:r>
      <w:r w:rsidRPr="001654E3">
        <w:rPr>
          <w:szCs w:val="22"/>
        </w:rPr>
      </w:r>
      <w:r w:rsidRPr="001654E3">
        <w:rPr>
          <w:szCs w:val="22"/>
        </w:rPr>
        <w:fldChar w:fldCharType="separate"/>
      </w:r>
      <w:r w:rsidR="00FA29AF" w:rsidRPr="00FA29AF">
        <w:rPr>
          <w:szCs w:val="22"/>
        </w:rPr>
        <w:t xml:space="preserve">Graf </w:t>
      </w:r>
      <w:r w:rsidR="00FA29AF" w:rsidRPr="00FA29AF">
        <w:rPr>
          <w:noProof/>
          <w:szCs w:val="22"/>
        </w:rPr>
        <w:t>74</w:t>
      </w:r>
      <w:r w:rsidRPr="001654E3">
        <w:rPr>
          <w:szCs w:val="22"/>
        </w:rPr>
        <w:fldChar w:fldCharType="end"/>
      </w:r>
      <w:r w:rsidRPr="001654E3">
        <w:rPr>
          <w:szCs w:val="22"/>
        </w:rPr>
        <w:t>). Tento pokles však môže do určitej miery odzrkadľovať rastúcu preferenciu samospráv kupovať už hotové byty a</w:t>
      </w:r>
      <w:r w:rsidR="0070047D">
        <w:rPr>
          <w:szCs w:val="22"/>
        </w:rPr>
        <w:t xml:space="preserve"> </w:t>
      </w:r>
      <w:r w:rsidRPr="001654E3">
        <w:rPr>
          <w:szCs w:val="22"/>
        </w:rPr>
        <w:t xml:space="preserve">ich výstavbu </w:t>
      </w:r>
      <w:r w:rsidR="005B51CD" w:rsidRPr="001654E3">
        <w:rPr>
          <w:szCs w:val="22"/>
        </w:rPr>
        <w:t xml:space="preserve">prenechať </w:t>
      </w:r>
      <w:r w:rsidRPr="001654E3">
        <w:rPr>
          <w:szCs w:val="22"/>
        </w:rPr>
        <w:t>súkromnému staviteľovi. Tieto byty nie sú v momente dokončenia evidované vo vlastníctve samosprávy. Avšak aj počet bytov podporených štátnou dotáciou časom klesá. V roku 2006 ich bolo podporených 3 569 ale v roku 2018 už iba 1 385 (</w:t>
      </w:r>
      <w:r w:rsidRPr="001654E3">
        <w:rPr>
          <w:szCs w:val="22"/>
        </w:rPr>
        <w:fldChar w:fldCharType="begin"/>
      </w:r>
      <w:r w:rsidRPr="001654E3">
        <w:rPr>
          <w:szCs w:val="22"/>
        </w:rPr>
        <w:instrText xml:space="preserve"> REF _Ref17219796 \h </w:instrText>
      </w:r>
      <w:r>
        <w:rPr>
          <w:szCs w:val="22"/>
        </w:rPr>
        <w:instrText xml:space="preserve"> \* MERGEFORMAT </w:instrText>
      </w:r>
      <w:r w:rsidRPr="001654E3">
        <w:rPr>
          <w:szCs w:val="22"/>
        </w:rPr>
      </w:r>
      <w:r w:rsidRPr="001654E3">
        <w:rPr>
          <w:szCs w:val="22"/>
        </w:rPr>
        <w:fldChar w:fldCharType="separate"/>
      </w:r>
      <w:r w:rsidR="00FA29AF" w:rsidRPr="00FA29AF">
        <w:rPr>
          <w:szCs w:val="22"/>
        </w:rPr>
        <w:t xml:space="preserve">Graf </w:t>
      </w:r>
      <w:r w:rsidR="00FA29AF" w:rsidRPr="00FA29AF">
        <w:rPr>
          <w:noProof/>
          <w:szCs w:val="22"/>
        </w:rPr>
        <w:t>74</w:t>
      </w:r>
      <w:r w:rsidRPr="001654E3">
        <w:rPr>
          <w:szCs w:val="22"/>
        </w:rPr>
        <w:fldChar w:fldCharType="end"/>
      </w:r>
      <w:r w:rsidRPr="001654E3">
        <w:rPr>
          <w:szCs w:val="22"/>
        </w:rPr>
        <w:t>).</w:t>
      </w:r>
      <w:r w:rsidRPr="001654E3" w:rsidDel="00D10BEF">
        <w:rPr>
          <w:szCs w:val="22"/>
        </w:rPr>
        <w:t xml:space="preserve"> </w:t>
      </w:r>
    </w:p>
    <w:tbl>
      <w:tblPr>
        <w:tblW w:w="9072" w:type="dxa"/>
        <w:tblLayout w:type="fixed"/>
        <w:tblLook w:val="04E0" w:firstRow="1" w:lastRow="1" w:firstColumn="1" w:lastColumn="0" w:noHBand="0" w:noVBand="1"/>
      </w:tblPr>
      <w:tblGrid>
        <w:gridCol w:w="4660"/>
        <w:gridCol w:w="160"/>
        <w:gridCol w:w="76"/>
        <w:gridCol w:w="4176"/>
      </w:tblGrid>
      <w:tr w:rsidR="00DA342E" w:rsidRPr="00CA2564" w14:paraId="73DA46AC" w14:textId="77777777" w:rsidTr="00B7725F">
        <w:tc>
          <w:tcPr>
            <w:tcW w:w="4660" w:type="dxa"/>
            <w:tcBorders>
              <w:bottom w:val="single" w:sz="4" w:space="0" w:color="auto"/>
            </w:tcBorders>
            <w:vAlign w:val="bottom"/>
          </w:tcPr>
          <w:p w14:paraId="7D69B200" w14:textId="10AA5CBD" w:rsidR="00DA342E" w:rsidRPr="00B7725F" w:rsidRDefault="00DA342E" w:rsidP="00B7725F">
            <w:pPr>
              <w:spacing w:after="0" w:line="240" w:lineRule="auto"/>
              <w:jc w:val="left"/>
              <w:rPr>
                <w:b/>
              </w:rPr>
            </w:pPr>
            <w:bookmarkStart w:id="1628" w:name="_Ref17282631"/>
            <w:bookmarkStart w:id="1629" w:name="_Toc17469447"/>
            <w:bookmarkStart w:id="1630" w:name="_Toc34157631"/>
            <w:r w:rsidRPr="00B7725F">
              <w:rPr>
                <w:b/>
                <w:sz w:val="20"/>
              </w:rPr>
              <w:t xml:space="preserve">Graf </w:t>
            </w:r>
            <w:r w:rsidRPr="00B7725F">
              <w:rPr>
                <w:b/>
                <w:sz w:val="20"/>
              </w:rPr>
              <w:fldChar w:fldCharType="begin"/>
            </w:r>
            <w:r w:rsidRPr="00B7725F">
              <w:rPr>
                <w:b/>
                <w:sz w:val="20"/>
              </w:rPr>
              <w:instrText xml:space="preserve"> SEQ Graf \* ARABIC </w:instrText>
            </w:r>
            <w:r w:rsidRPr="00B7725F">
              <w:rPr>
                <w:b/>
                <w:sz w:val="20"/>
              </w:rPr>
              <w:fldChar w:fldCharType="separate"/>
            </w:r>
            <w:r w:rsidR="00FA29AF">
              <w:rPr>
                <w:b/>
                <w:noProof/>
                <w:sz w:val="20"/>
              </w:rPr>
              <w:t>73</w:t>
            </w:r>
            <w:r w:rsidRPr="00B7725F">
              <w:rPr>
                <w:b/>
                <w:sz w:val="20"/>
              </w:rPr>
              <w:fldChar w:fldCharType="end"/>
            </w:r>
            <w:bookmarkEnd w:id="1628"/>
            <w:r w:rsidRPr="00B7725F">
              <w:rPr>
                <w:b/>
                <w:sz w:val="20"/>
              </w:rPr>
              <w:t>: Podiel populácie v nájomnom bývaní (%, 201</w:t>
            </w:r>
            <w:r w:rsidR="00425DD3" w:rsidRPr="00B7725F">
              <w:rPr>
                <w:b/>
                <w:sz w:val="20"/>
              </w:rPr>
              <w:t>8</w:t>
            </w:r>
            <w:r w:rsidRPr="00B7725F">
              <w:rPr>
                <w:b/>
                <w:sz w:val="20"/>
              </w:rPr>
              <w:t>)</w:t>
            </w:r>
            <w:bookmarkEnd w:id="1629"/>
            <w:bookmarkEnd w:id="1630"/>
          </w:p>
        </w:tc>
        <w:tc>
          <w:tcPr>
            <w:tcW w:w="236" w:type="dxa"/>
            <w:gridSpan w:val="2"/>
            <w:tcBorders>
              <w:bottom w:val="nil"/>
            </w:tcBorders>
          </w:tcPr>
          <w:p w14:paraId="5ADEA122" w14:textId="77777777" w:rsidR="00DA342E" w:rsidRPr="00B7725F" w:rsidRDefault="00DA342E" w:rsidP="00B7725F">
            <w:pPr>
              <w:spacing w:after="0" w:line="240" w:lineRule="auto"/>
              <w:rPr>
                <w:b/>
                <w:sz w:val="20"/>
              </w:rPr>
            </w:pPr>
          </w:p>
        </w:tc>
        <w:tc>
          <w:tcPr>
            <w:tcW w:w="4176" w:type="dxa"/>
            <w:tcBorders>
              <w:bottom w:val="single" w:sz="4" w:space="0" w:color="auto"/>
            </w:tcBorders>
          </w:tcPr>
          <w:p w14:paraId="29D88E5D" w14:textId="64526022" w:rsidR="00DA342E" w:rsidRPr="00B7725F" w:rsidRDefault="00DA342E" w:rsidP="00B7725F">
            <w:pPr>
              <w:spacing w:after="0" w:line="240" w:lineRule="auto"/>
              <w:rPr>
                <w:b/>
                <w:sz w:val="20"/>
              </w:rPr>
            </w:pPr>
            <w:bookmarkStart w:id="1631" w:name="_Ref17219796"/>
            <w:bookmarkStart w:id="1632" w:name="_Toc17469448"/>
            <w:bookmarkStart w:id="1633" w:name="_Toc34157632"/>
            <w:r w:rsidRPr="00B7725F">
              <w:rPr>
                <w:b/>
                <w:sz w:val="20"/>
              </w:rPr>
              <w:t xml:space="preserve">Graf </w:t>
            </w:r>
            <w:r w:rsidRPr="00B7725F">
              <w:rPr>
                <w:b/>
                <w:sz w:val="20"/>
              </w:rPr>
              <w:fldChar w:fldCharType="begin"/>
            </w:r>
            <w:r w:rsidRPr="00B7725F">
              <w:rPr>
                <w:b/>
                <w:sz w:val="20"/>
              </w:rPr>
              <w:instrText xml:space="preserve"> SEQ Graf \* ARABIC </w:instrText>
            </w:r>
            <w:r w:rsidRPr="00B7725F">
              <w:rPr>
                <w:b/>
                <w:sz w:val="20"/>
              </w:rPr>
              <w:fldChar w:fldCharType="separate"/>
            </w:r>
            <w:r w:rsidR="00FA29AF">
              <w:rPr>
                <w:b/>
                <w:noProof/>
                <w:sz w:val="20"/>
              </w:rPr>
              <w:t>74</w:t>
            </w:r>
            <w:r w:rsidRPr="00B7725F">
              <w:rPr>
                <w:b/>
                <w:sz w:val="20"/>
              </w:rPr>
              <w:fldChar w:fldCharType="end"/>
            </w:r>
            <w:bookmarkEnd w:id="1631"/>
            <w:r w:rsidRPr="00B7725F">
              <w:rPr>
                <w:b/>
                <w:sz w:val="20"/>
              </w:rPr>
              <w:t xml:space="preserve">: Vývoj ponuky </w:t>
            </w:r>
            <w:r w:rsidR="00A03E5D" w:rsidRPr="00B7725F">
              <w:rPr>
                <w:b/>
                <w:sz w:val="20"/>
              </w:rPr>
              <w:t>nájomného</w:t>
            </w:r>
            <w:r w:rsidRPr="00B7725F">
              <w:rPr>
                <w:b/>
                <w:sz w:val="20"/>
              </w:rPr>
              <w:t xml:space="preserve"> bývania</w:t>
            </w:r>
            <w:bookmarkEnd w:id="1632"/>
            <w:r w:rsidR="00A03E5D" w:rsidRPr="00B7725F">
              <w:rPr>
                <w:b/>
                <w:sz w:val="20"/>
              </w:rPr>
              <w:t xml:space="preserve"> s regulovaným nájmom</w:t>
            </w:r>
            <w:bookmarkEnd w:id="1633"/>
          </w:p>
        </w:tc>
      </w:tr>
      <w:tr w:rsidR="00DA342E" w:rsidRPr="00CA2564" w14:paraId="73F09D65" w14:textId="77777777" w:rsidTr="00B7725F">
        <w:tblPrEx>
          <w:tblCellMar>
            <w:left w:w="70" w:type="dxa"/>
            <w:right w:w="70" w:type="dxa"/>
          </w:tblCellMar>
        </w:tblPrEx>
        <w:tc>
          <w:tcPr>
            <w:tcW w:w="4660" w:type="dxa"/>
            <w:tcBorders>
              <w:top w:val="single" w:sz="4" w:space="0" w:color="auto"/>
              <w:bottom w:val="single" w:sz="4" w:space="0" w:color="auto"/>
            </w:tcBorders>
          </w:tcPr>
          <w:p w14:paraId="17D619DD" w14:textId="77777777" w:rsidR="00DA342E" w:rsidRPr="00CA2564" w:rsidRDefault="00DA342E" w:rsidP="00B7725F">
            <w:pPr>
              <w:spacing w:after="0" w:line="240" w:lineRule="auto"/>
              <w:rPr>
                <w:noProof/>
                <w:sz w:val="4"/>
                <w:szCs w:val="4"/>
              </w:rPr>
            </w:pPr>
          </w:p>
          <w:p w14:paraId="0BAB03FD" w14:textId="7A4425EA" w:rsidR="00DA342E" w:rsidRPr="00CA2564" w:rsidRDefault="00967486" w:rsidP="00B7725F">
            <w:pPr>
              <w:spacing w:after="0" w:line="240" w:lineRule="auto"/>
              <w:rPr>
                <w:sz w:val="4"/>
                <w:szCs w:val="4"/>
              </w:rPr>
            </w:pPr>
            <w:r>
              <w:rPr>
                <w:noProof/>
                <w:lang w:eastAsia="sk-SK"/>
              </w:rPr>
              <w:drawing>
                <wp:inline distT="0" distB="0" distL="0" distR="0" wp14:anchorId="236F70FB" wp14:editId="63A361FE">
                  <wp:extent cx="2870200" cy="2482215"/>
                  <wp:effectExtent l="0" t="0" r="6350" b="0"/>
                  <wp:docPr id="32" name="Graf 3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xmlns:arto="http://schemas.microsoft.com/office/word/2006/arto" id="{00000000-0008-0000-0B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3AC4A613" w14:textId="77777777" w:rsidR="00DA342E" w:rsidRPr="00CA2564" w:rsidRDefault="00DA342E" w:rsidP="00B7725F">
            <w:pPr>
              <w:spacing w:after="0" w:line="240" w:lineRule="auto"/>
              <w:rPr>
                <w:sz w:val="4"/>
                <w:szCs w:val="4"/>
              </w:rPr>
            </w:pPr>
          </w:p>
        </w:tc>
        <w:tc>
          <w:tcPr>
            <w:tcW w:w="160" w:type="dxa"/>
            <w:tcBorders>
              <w:top w:val="nil"/>
              <w:bottom w:val="nil"/>
            </w:tcBorders>
          </w:tcPr>
          <w:p w14:paraId="25240457" w14:textId="77777777" w:rsidR="00DA342E" w:rsidRPr="00CA2564" w:rsidRDefault="00DA342E" w:rsidP="00B7725F">
            <w:pPr>
              <w:spacing w:after="0" w:line="240" w:lineRule="auto"/>
              <w:rPr>
                <w:noProof/>
              </w:rPr>
            </w:pPr>
          </w:p>
        </w:tc>
        <w:tc>
          <w:tcPr>
            <w:tcW w:w="4252" w:type="dxa"/>
            <w:gridSpan w:val="2"/>
            <w:tcBorders>
              <w:bottom w:val="single" w:sz="4" w:space="0" w:color="auto"/>
            </w:tcBorders>
          </w:tcPr>
          <w:p w14:paraId="71C7447C" w14:textId="77777777" w:rsidR="00DA342E" w:rsidRPr="00CA2564" w:rsidRDefault="00DA342E" w:rsidP="00B7725F">
            <w:pPr>
              <w:spacing w:after="0" w:line="240" w:lineRule="auto"/>
              <w:rPr>
                <w:noProof/>
                <w:sz w:val="4"/>
                <w:szCs w:val="4"/>
              </w:rPr>
            </w:pPr>
          </w:p>
          <w:p w14:paraId="049B42CF" w14:textId="77777777" w:rsidR="00DA342E" w:rsidRPr="00CA2564" w:rsidRDefault="00DA342E" w:rsidP="00B7725F">
            <w:pPr>
              <w:spacing w:after="0" w:line="240" w:lineRule="auto"/>
              <w:rPr>
                <w:noProof/>
                <w:sz w:val="4"/>
                <w:szCs w:val="4"/>
              </w:rPr>
            </w:pPr>
            <w:r w:rsidRPr="00CA2564">
              <w:rPr>
                <w:noProof/>
                <w:lang w:eastAsia="sk-SK"/>
              </w:rPr>
              <w:drawing>
                <wp:inline distT="0" distB="0" distL="0" distR="0" wp14:anchorId="7D1794C0" wp14:editId="23AF5C72">
                  <wp:extent cx="2611120" cy="2409825"/>
                  <wp:effectExtent l="0" t="0" r="0" b="0"/>
                  <wp:docPr id="368" name="Graf 3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535EB91E" w14:textId="77777777" w:rsidR="00DA342E" w:rsidRPr="00CA2564" w:rsidRDefault="00DA342E" w:rsidP="00B7725F">
            <w:pPr>
              <w:spacing w:after="0" w:line="240" w:lineRule="auto"/>
              <w:rPr>
                <w:sz w:val="4"/>
                <w:szCs w:val="4"/>
              </w:rPr>
            </w:pPr>
          </w:p>
        </w:tc>
      </w:tr>
      <w:tr w:rsidR="00DA342E" w:rsidRPr="00CA2564" w14:paraId="36782EF5" w14:textId="77777777" w:rsidTr="00B7725F">
        <w:tc>
          <w:tcPr>
            <w:tcW w:w="4660" w:type="dxa"/>
            <w:tcBorders>
              <w:top w:val="single" w:sz="4" w:space="0" w:color="auto"/>
            </w:tcBorders>
          </w:tcPr>
          <w:p w14:paraId="70D3224D" w14:textId="77777777" w:rsidR="00DA342E" w:rsidRPr="00B7725F" w:rsidRDefault="00DA342E" w:rsidP="00B7725F">
            <w:pPr>
              <w:spacing w:after="0" w:line="240" w:lineRule="auto"/>
              <w:jc w:val="right"/>
              <w:rPr>
                <w:i/>
                <w:noProof/>
                <w:sz w:val="18"/>
                <w:szCs w:val="18"/>
              </w:rPr>
            </w:pPr>
            <w:r w:rsidRPr="00B7725F">
              <w:rPr>
                <w:i/>
                <w:noProof/>
                <w:sz w:val="18"/>
                <w:szCs w:val="18"/>
              </w:rPr>
              <w:t>Zdroj: Eurostat (EU SILC)</w:t>
            </w:r>
          </w:p>
        </w:tc>
        <w:tc>
          <w:tcPr>
            <w:tcW w:w="236" w:type="dxa"/>
            <w:gridSpan w:val="2"/>
            <w:tcBorders>
              <w:top w:val="single" w:sz="4" w:space="0" w:color="auto"/>
            </w:tcBorders>
          </w:tcPr>
          <w:p w14:paraId="6ED7D27D" w14:textId="77777777" w:rsidR="00DA342E" w:rsidRPr="00B7725F" w:rsidRDefault="00DA342E" w:rsidP="00B7725F">
            <w:pPr>
              <w:spacing w:after="0" w:line="240" w:lineRule="auto"/>
              <w:jc w:val="right"/>
              <w:rPr>
                <w:i/>
                <w:noProof/>
                <w:sz w:val="18"/>
                <w:szCs w:val="18"/>
              </w:rPr>
            </w:pPr>
          </w:p>
        </w:tc>
        <w:tc>
          <w:tcPr>
            <w:tcW w:w="4176" w:type="dxa"/>
            <w:tcBorders>
              <w:top w:val="single" w:sz="4" w:space="0" w:color="auto"/>
            </w:tcBorders>
          </w:tcPr>
          <w:p w14:paraId="68B3029D" w14:textId="77777777" w:rsidR="00DA342E" w:rsidRPr="00B7725F" w:rsidRDefault="00DA342E" w:rsidP="00B7725F">
            <w:pPr>
              <w:spacing w:after="0" w:line="240" w:lineRule="auto"/>
              <w:jc w:val="right"/>
              <w:rPr>
                <w:i/>
                <w:noProof/>
                <w:sz w:val="18"/>
                <w:szCs w:val="18"/>
              </w:rPr>
            </w:pPr>
            <w:r w:rsidRPr="00B7725F">
              <w:rPr>
                <w:i/>
                <w:noProof/>
                <w:sz w:val="18"/>
                <w:szCs w:val="18"/>
              </w:rPr>
              <w:t>Zdroj: MDV SR</w:t>
            </w:r>
          </w:p>
        </w:tc>
      </w:tr>
    </w:tbl>
    <w:p w14:paraId="17879D31" w14:textId="5095677E" w:rsidR="001654E3" w:rsidRDefault="00552F49" w:rsidP="00DA342E">
      <w:pPr>
        <w:spacing w:before="160"/>
        <w:rPr>
          <w:bCs/>
        </w:rPr>
      </w:pPr>
      <w:r>
        <w:rPr>
          <w:b/>
          <w:bCs/>
        </w:rPr>
        <w:t>Samo</w:t>
      </w:r>
      <w:r w:rsidR="00CE10C7" w:rsidRPr="00D3189B">
        <w:rPr>
          <w:b/>
          <w:bCs/>
        </w:rPr>
        <w:t>správy pri výstavbe nájomných bytov typicky kombinujú podporu z dotácií MDV SR a úvery od ŠFRB.</w:t>
      </w:r>
      <w:r w:rsidR="00CE10C7">
        <w:rPr>
          <w:bCs/>
        </w:rPr>
        <w:t xml:space="preserve"> </w:t>
      </w:r>
      <w:r w:rsidR="00CE10C7" w:rsidRPr="00D3189B">
        <w:rPr>
          <w:szCs w:val="22"/>
        </w:rPr>
        <w:t>V roku 201</w:t>
      </w:r>
      <w:r w:rsidR="00325CF9">
        <w:rPr>
          <w:szCs w:val="22"/>
        </w:rPr>
        <w:t>9</w:t>
      </w:r>
      <w:r w:rsidR="00CE10C7" w:rsidRPr="00D3189B">
        <w:rPr>
          <w:szCs w:val="22"/>
        </w:rPr>
        <w:t xml:space="preserve"> získali obce </w:t>
      </w:r>
      <w:r w:rsidR="00F11921" w:rsidRPr="00D3189B">
        <w:rPr>
          <w:szCs w:val="22"/>
        </w:rPr>
        <w:t>dotácie z MDV SR</w:t>
      </w:r>
      <w:r w:rsidR="00F11921">
        <w:rPr>
          <w:szCs w:val="22"/>
        </w:rPr>
        <w:t xml:space="preserve"> </w:t>
      </w:r>
      <w:r w:rsidR="00F11921" w:rsidRPr="00D3189B">
        <w:rPr>
          <w:szCs w:val="22"/>
        </w:rPr>
        <w:t xml:space="preserve">v priemere vo výške </w:t>
      </w:r>
      <w:r w:rsidR="00325CF9">
        <w:rPr>
          <w:szCs w:val="22"/>
        </w:rPr>
        <w:t>41</w:t>
      </w:r>
      <w:r w:rsidR="00F11921">
        <w:rPr>
          <w:szCs w:val="22"/>
        </w:rPr>
        <w:t xml:space="preserve"> % oprávnených nákladov a zvýšnú časť nákladov pokrývali </w:t>
      </w:r>
      <w:r w:rsidR="00CE10C7" w:rsidRPr="00D3189B">
        <w:rPr>
          <w:szCs w:val="22"/>
        </w:rPr>
        <w:t>úvery zo ŠFRB</w:t>
      </w:r>
      <w:r w:rsidR="00CE10C7" w:rsidRPr="00134992">
        <w:rPr>
          <w:szCs w:val="22"/>
        </w:rPr>
        <w:t>.</w:t>
      </w:r>
      <w:r w:rsidR="00CE10C7">
        <w:rPr>
          <w:szCs w:val="22"/>
        </w:rPr>
        <w:t xml:space="preserve"> </w:t>
      </w:r>
      <w:r w:rsidR="00DA342E" w:rsidRPr="00D92EC7">
        <w:rPr>
          <w:bCs/>
          <w:szCs w:val="22"/>
        </w:rPr>
        <w:t>Celkové množstvo</w:t>
      </w:r>
      <w:r w:rsidR="00DA342E" w:rsidRPr="00CA2564">
        <w:rPr>
          <w:bCs/>
        </w:rPr>
        <w:t xml:space="preserve"> využitých dotácii </w:t>
      </w:r>
      <w:r w:rsidR="00CE10C7">
        <w:rPr>
          <w:bCs/>
        </w:rPr>
        <w:t>na obstaranie nájomných bytov však značne</w:t>
      </w:r>
      <w:r w:rsidR="00CE10C7" w:rsidRPr="00CA2564">
        <w:rPr>
          <w:bCs/>
        </w:rPr>
        <w:t xml:space="preserve"> </w:t>
      </w:r>
      <w:r w:rsidR="00DA342E" w:rsidRPr="00CA2564">
        <w:rPr>
          <w:bCs/>
        </w:rPr>
        <w:t xml:space="preserve">pokleslo zo </w:t>
      </w:r>
      <w:r w:rsidR="00CE10C7">
        <w:rPr>
          <w:bCs/>
        </w:rPr>
        <w:t>4</w:t>
      </w:r>
      <w:r w:rsidR="00DA342E" w:rsidRPr="00CA2564">
        <w:rPr>
          <w:bCs/>
        </w:rPr>
        <w:t>1,</w:t>
      </w:r>
      <w:r w:rsidR="00CE10C7">
        <w:rPr>
          <w:bCs/>
        </w:rPr>
        <w:t>5</w:t>
      </w:r>
      <w:r w:rsidR="00DA342E" w:rsidRPr="00CA2564">
        <w:rPr>
          <w:bCs/>
        </w:rPr>
        <w:t xml:space="preserve"> mil. eur v roku 2008 na </w:t>
      </w:r>
      <w:r w:rsidR="00325CF9">
        <w:rPr>
          <w:bCs/>
        </w:rPr>
        <w:t>18</w:t>
      </w:r>
      <w:r w:rsidR="00DA342E" w:rsidRPr="00CA2564">
        <w:rPr>
          <w:bCs/>
        </w:rPr>
        <w:t>,</w:t>
      </w:r>
      <w:r w:rsidR="00325CF9">
        <w:rPr>
          <w:bCs/>
        </w:rPr>
        <w:t>1</w:t>
      </w:r>
      <w:r w:rsidR="00DA342E" w:rsidRPr="00CA2564">
        <w:rPr>
          <w:bCs/>
        </w:rPr>
        <w:t xml:space="preserve"> mil. eur v </w:t>
      </w:r>
      <w:r w:rsidR="00DA342E" w:rsidRPr="00CA2564">
        <w:rPr>
          <w:bCs/>
          <w:szCs w:val="22"/>
        </w:rPr>
        <w:t>roku 201</w:t>
      </w:r>
      <w:r w:rsidR="00325CF9">
        <w:rPr>
          <w:bCs/>
          <w:szCs w:val="22"/>
        </w:rPr>
        <w:t>9</w:t>
      </w:r>
      <w:r w:rsidR="00CD3B16">
        <w:rPr>
          <w:bCs/>
          <w:szCs w:val="22"/>
        </w:rPr>
        <w:t xml:space="preserve"> a výdavky v posledných rokoch výrazne zaostávali za rozpočtovanými zdrojmi</w:t>
      </w:r>
      <w:r w:rsidR="00DA342E" w:rsidRPr="00CA2564">
        <w:rPr>
          <w:bCs/>
          <w:szCs w:val="22"/>
        </w:rPr>
        <w:t xml:space="preserve"> (</w:t>
      </w:r>
      <w:r w:rsidR="003B49E2" w:rsidRPr="00D41517">
        <w:rPr>
          <w:bCs/>
          <w:szCs w:val="22"/>
        </w:rPr>
        <w:fldChar w:fldCharType="begin"/>
      </w:r>
      <w:r w:rsidR="003B49E2" w:rsidRPr="003B49E2">
        <w:rPr>
          <w:bCs/>
          <w:szCs w:val="22"/>
        </w:rPr>
        <w:instrText xml:space="preserve"> REF _Ref18408514 \h </w:instrText>
      </w:r>
      <w:r w:rsidR="003B49E2">
        <w:rPr>
          <w:bCs/>
          <w:szCs w:val="22"/>
        </w:rPr>
        <w:instrText xml:space="preserve"> \* MERGEFORMAT </w:instrText>
      </w:r>
      <w:r w:rsidR="003B49E2" w:rsidRPr="00D41517">
        <w:rPr>
          <w:bCs/>
          <w:szCs w:val="22"/>
        </w:rPr>
      </w:r>
      <w:r w:rsidR="003B49E2" w:rsidRPr="00D41517">
        <w:rPr>
          <w:bCs/>
          <w:szCs w:val="22"/>
        </w:rPr>
        <w:fldChar w:fldCharType="separate"/>
      </w:r>
      <w:r w:rsidR="00FA29AF" w:rsidRPr="00FA29AF">
        <w:rPr>
          <w:szCs w:val="22"/>
        </w:rPr>
        <w:t xml:space="preserve">Graf </w:t>
      </w:r>
      <w:r w:rsidR="00FA29AF" w:rsidRPr="00FA29AF">
        <w:rPr>
          <w:noProof/>
          <w:szCs w:val="22"/>
        </w:rPr>
        <w:t>75</w:t>
      </w:r>
      <w:r w:rsidR="003B49E2" w:rsidRPr="00D41517">
        <w:rPr>
          <w:bCs/>
          <w:szCs w:val="22"/>
        </w:rPr>
        <w:fldChar w:fldCharType="end"/>
      </w:r>
      <w:r w:rsidR="00DA342E" w:rsidRPr="00CA2564">
        <w:rPr>
          <w:bCs/>
          <w:szCs w:val="22"/>
        </w:rPr>
        <w:t>). To poukaz</w:t>
      </w:r>
      <w:r w:rsidR="005A46DB">
        <w:rPr>
          <w:bCs/>
          <w:szCs w:val="22"/>
        </w:rPr>
        <w:t>uje</w:t>
      </w:r>
      <w:r w:rsidR="00DA342E" w:rsidRPr="00CA2564">
        <w:rPr>
          <w:bCs/>
          <w:szCs w:val="22"/>
        </w:rPr>
        <w:t xml:space="preserve"> na nedostatočné využívanie týchto nástrojov.</w:t>
      </w:r>
      <w:r w:rsidR="00D74665">
        <w:rPr>
          <w:bCs/>
          <w:szCs w:val="22"/>
        </w:rPr>
        <w:t xml:space="preserve"> Až </w:t>
      </w:r>
      <w:r w:rsidR="00AD2F89">
        <w:rPr>
          <w:bCs/>
          <w:szCs w:val="22"/>
        </w:rPr>
        <w:t>75 </w:t>
      </w:r>
      <w:r w:rsidR="00F11921">
        <w:rPr>
          <w:bCs/>
          <w:szCs w:val="22"/>
        </w:rPr>
        <w:t>% z celkového počtu úverov ŠFRB bolo posk</w:t>
      </w:r>
      <w:r w:rsidR="007C41CF">
        <w:rPr>
          <w:bCs/>
          <w:szCs w:val="22"/>
        </w:rPr>
        <w:t>y</w:t>
      </w:r>
      <w:r w:rsidR="00F11921">
        <w:rPr>
          <w:bCs/>
          <w:szCs w:val="22"/>
        </w:rPr>
        <w:t xml:space="preserve">tnutých na obnovu existujúceho bytového fondu </w:t>
      </w:r>
      <w:r w:rsidR="00F11921" w:rsidRPr="00CA2564">
        <w:rPr>
          <w:bCs/>
        </w:rPr>
        <w:t>(</w:t>
      </w:r>
      <w:r w:rsidR="003B49E2" w:rsidRPr="00D41517">
        <w:rPr>
          <w:bCs/>
          <w:szCs w:val="22"/>
        </w:rPr>
        <w:fldChar w:fldCharType="begin"/>
      </w:r>
      <w:r w:rsidR="003B49E2" w:rsidRPr="00D41517">
        <w:rPr>
          <w:bCs/>
          <w:szCs w:val="22"/>
        </w:rPr>
        <w:instrText xml:space="preserve"> REF _Ref18408548 \h </w:instrText>
      </w:r>
      <w:r w:rsidR="003B49E2">
        <w:rPr>
          <w:bCs/>
          <w:szCs w:val="22"/>
        </w:rPr>
        <w:instrText xml:space="preserve"> \* MERGEFORMAT </w:instrText>
      </w:r>
      <w:r w:rsidR="003B49E2" w:rsidRPr="00D41517">
        <w:rPr>
          <w:bCs/>
          <w:szCs w:val="22"/>
        </w:rPr>
      </w:r>
      <w:r w:rsidR="003B49E2" w:rsidRPr="00D41517">
        <w:rPr>
          <w:bCs/>
          <w:szCs w:val="22"/>
        </w:rPr>
        <w:fldChar w:fldCharType="separate"/>
      </w:r>
      <w:r w:rsidR="00FA29AF" w:rsidRPr="00FA29AF">
        <w:rPr>
          <w:szCs w:val="22"/>
        </w:rPr>
        <w:t xml:space="preserve">Graf </w:t>
      </w:r>
      <w:r w:rsidR="00FA29AF" w:rsidRPr="00FA29AF">
        <w:rPr>
          <w:noProof/>
          <w:szCs w:val="22"/>
        </w:rPr>
        <w:t>76</w:t>
      </w:r>
      <w:r w:rsidR="003B49E2" w:rsidRPr="00D41517">
        <w:rPr>
          <w:bCs/>
          <w:szCs w:val="22"/>
        </w:rPr>
        <w:fldChar w:fldCharType="end"/>
      </w:r>
      <w:r w:rsidR="00F11921" w:rsidRPr="00CA2564">
        <w:rPr>
          <w:bCs/>
        </w:rPr>
        <w:t>). Dôvodom je zlý technický stav veľkého počtu bytov, ako aj možnosť čerpať fondy EU za účelom obnovy.</w:t>
      </w:r>
    </w:p>
    <w:p w14:paraId="724E8564" w14:textId="20B0C052" w:rsidR="00CB1850" w:rsidRDefault="00CB1850" w:rsidP="00CB1850">
      <w:pPr>
        <w:spacing w:before="240"/>
        <w:rPr>
          <w:bCs/>
        </w:rPr>
      </w:pPr>
      <w:r w:rsidRPr="00CA2564">
        <w:rPr>
          <w:b/>
          <w:bCs/>
        </w:rPr>
        <w:t xml:space="preserve">Väčšina starostov miest a obcí </w:t>
      </w:r>
      <w:r>
        <w:rPr>
          <w:b/>
          <w:bCs/>
        </w:rPr>
        <w:t xml:space="preserve">deklaruje </w:t>
      </w:r>
      <w:r w:rsidRPr="00CA2564">
        <w:rPr>
          <w:b/>
          <w:bCs/>
        </w:rPr>
        <w:t>podporu rozvoj</w:t>
      </w:r>
      <w:r>
        <w:rPr>
          <w:b/>
          <w:bCs/>
        </w:rPr>
        <w:t>a</w:t>
      </w:r>
      <w:r w:rsidRPr="00CA2564">
        <w:rPr>
          <w:b/>
          <w:bCs/>
        </w:rPr>
        <w:t xml:space="preserve"> nájomného bývania. </w:t>
      </w:r>
      <w:r w:rsidRPr="00CA2564">
        <w:rPr>
          <w:bCs/>
        </w:rPr>
        <w:t>Podľa prieskumu</w:t>
      </w:r>
      <w:r w:rsidR="00A72587">
        <w:rPr>
          <w:bCs/>
        </w:rPr>
        <w:t xml:space="preserve"> Združenia miest a obcí Slovenska</w:t>
      </w:r>
      <w:r w:rsidRPr="00CA2564">
        <w:rPr>
          <w:bCs/>
        </w:rPr>
        <w:t xml:space="preserve"> </w:t>
      </w:r>
      <w:r w:rsidR="00A72587">
        <w:rPr>
          <w:bCs/>
        </w:rPr>
        <w:t>(</w:t>
      </w:r>
      <w:r w:rsidRPr="00CA2564">
        <w:rPr>
          <w:bCs/>
        </w:rPr>
        <w:t>ZMOS</w:t>
      </w:r>
      <w:r w:rsidR="00A72587">
        <w:rPr>
          <w:bCs/>
        </w:rPr>
        <w:t>)</w:t>
      </w:r>
      <w:r w:rsidRPr="00CA2564">
        <w:rPr>
          <w:bCs/>
        </w:rPr>
        <w:t xml:space="preserve"> z marca 2019 až 83,9 % zo 413 oslovených starostov a primátorov odpovedalo kladne na otázku, či je potrebná podpora nájomného bývania, pričom 46,6 % je o tom presvedčených. Zároveň takmer 40 % z nich potvrdilo, že obyvatelia v ich obci alebo meste majú záujem o verejné nájomné bývanie a existujú naň poradovníky</w:t>
      </w:r>
      <w:r>
        <w:rPr>
          <w:bCs/>
        </w:rPr>
        <w:t>.</w:t>
      </w:r>
      <w:r w:rsidRPr="00CA2564">
        <w:rPr>
          <w:rStyle w:val="Odkaznapoznmkupodiarou"/>
          <w:bCs/>
        </w:rPr>
        <w:footnoteReference w:id="431"/>
      </w:r>
    </w:p>
    <w:p w14:paraId="7E37611F" w14:textId="3C4CA473" w:rsidR="00062793" w:rsidRDefault="00CB1850" w:rsidP="00297996">
      <w:pPr>
        <w:spacing w:before="240"/>
        <w:rPr>
          <w:bCs/>
        </w:rPr>
      </w:pPr>
      <w:r w:rsidRPr="00CA2564">
        <w:rPr>
          <w:b/>
        </w:rPr>
        <w:t xml:space="preserve">Napriek </w:t>
      </w:r>
      <w:r>
        <w:rPr>
          <w:b/>
        </w:rPr>
        <w:t xml:space="preserve">podpore v plnej výške obstarávacích nákladov, samosprávy </w:t>
      </w:r>
      <w:r w:rsidRPr="00CA2564">
        <w:rPr>
          <w:b/>
        </w:rPr>
        <w:t>môžu čeliť prekážkam pri rozširovaní fondu nájomného bývania</w:t>
      </w:r>
      <w:r>
        <w:rPr>
          <w:b/>
        </w:rPr>
        <w:t xml:space="preserve"> s regulovaným nájmom</w:t>
      </w:r>
      <w:r w:rsidRPr="00CA2564">
        <w:rPr>
          <w:b/>
        </w:rPr>
        <w:t xml:space="preserve">. </w:t>
      </w:r>
      <w:r>
        <w:t xml:space="preserve">Medzi najväčšie prekážky identifikované samosprávami patrí nedostatok vhodných </w:t>
      </w:r>
      <w:r w:rsidR="00D74665">
        <w:t>pozemkov</w:t>
      </w:r>
      <w:r>
        <w:t xml:space="preserve"> vo vlastníctve miest a obcí, často aj v dôsledku odpredaja pozemkov v minulosti za účelom financovania prevádzkových nákladov (Szolgayová a kol., 2019). S účinnosťou o</w:t>
      </w:r>
      <w:r w:rsidR="004164DD">
        <w:t>d </w:t>
      </w:r>
      <w:r w:rsidR="00D74665">
        <w:t>1.1.2020 </w:t>
      </w:r>
      <w:r>
        <w:t>môžu obce za účelom kúpy pozemkov pre nájomné bývanie využiť</w:t>
      </w:r>
      <w:r w:rsidR="004164DD">
        <w:t xml:space="preserve"> zvýhodnené úvery zo ŠFRB. Obce </w:t>
      </w:r>
      <w:r>
        <w:t>tiež môže odrádzať značná byrokracia spojená s podávaním žiadostí o poskytnutie podpory</w:t>
      </w:r>
      <w:r w:rsidR="00D74665">
        <w:t>,</w:t>
      </w:r>
      <w:r w:rsidR="004164DD">
        <w:t xml:space="preserve"> ako aj </w:t>
      </w:r>
      <w:r>
        <w:t xml:space="preserve">nejasnosti ohľadom správnych postupov pri verejnom obstarávaní nájomných bytov, ktoré v prípade pochybenia vedú k finančným pokutám. </w:t>
      </w:r>
      <w:r>
        <w:rPr>
          <w:bCs/>
        </w:rPr>
        <w:t>O</w:t>
      </w:r>
      <w:r w:rsidRPr="00CA2564">
        <w:rPr>
          <w:bCs/>
        </w:rPr>
        <w:t>bavy z nesúhlasu obyvateľov</w:t>
      </w:r>
      <w:r>
        <w:rPr>
          <w:bCs/>
        </w:rPr>
        <w:t xml:space="preserve">, </w:t>
      </w:r>
      <w:r w:rsidRPr="00CA2564">
        <w:rPr>
          <w:bCs/>
        </w:rPr>
        <w:t>najmä v</w:t>
      </w:r>
      <w:r>
        <w:rPr>
          <w:bCs/>
        </w:rPr>
        <w:t> </w:t>
      </w:r>
      <w:r w:rsidRPr="00CA2564">
        <w:rPr>
          <w:bCs/>
        </w:rPr>
        <w:t>prípade</w:t>
      </w:r>
      <w:r>
        <w:rPr>
          <w:bCs/>
        </w:rPr>
        <w:t>,</w:t>
      </w:r>
      <w:r w:rsidRPr="00CA2564">
        <w:rPr>
          <w:bCs/>
        </w:rPr>
        <w:t xml:space="preserve"> ak sú nájomníci sociálne slabšie prípady alebo </w:t>
      </w:r>
      <w:r>
        <w:rPr>
          <w:bCs/>
        </w:rPr>
        <w:t xml:space="preserve">ľudia </w:t>
      </w:r>
      <w:r w:rsidRPr="00CA2564">
        <w:rPr>
          <w:bCs/>
        </w:rPr>
        <w:t>z</w:t>
      </w:r>
      <w:r>
        <w:rPr>
          <w:bCs/>
        </w:rPr>
        <w:t xml:space="preserve"> prostredia </w:t>
      </w:r>
      <w:r w:rsidRPr="00CA2564">
        <w:rPr>
          <w:bCs/>
        </w:rPr>
        <w:t>MRK</w:t>
      </w:r>
      <w:r w:rsidR="005D4068">
        <w:rPr>
          <w:bCs/>
        </w:rPr>
        <w:t>,</w:t>
      </w:r>
      <w:r>
        <w:rPr>
          <w:bCs/>
        </w:rPr>
        <w:t xml:space="preserve"> môžu tiež vplývať na ochotu predstaviteľov samospráv investovať do nájomného bývania</w:t>
      </w:r>
      <w:r w:rsidRPr="00CA2564">
        <w:rPr>
          <w:bCs/>
        </w:rPr>
        <w:t xml:space="preserve"> (Smatanová, 2018).</w:t>
      </w:r>
      <w:r>
        <w:rPr>
          <w:rStyle w:val="Odkaznapoznmkupodiarou"/>
          <w:bCs/>
        </w:rPr>
        <w:footnoteReference w:id="432"/>
      </w:r>
      <w:r w:rsidRPr="00CA2564">
        <w:rPr>
          <w:bCs/>
        </w:rPr>
        <w:t xml:space="preserve"> </w:t>
      </w:r>
    </w:p>
    <w:tbl>
      <w:tblPr>
        <w:tblW w:w="9072" w:type="dxa"/>
        <w:tblLayout w:type="fixed"/>
        <w:tblLook w:val="04E0" w:firstRow="1" w:lastRow="1" w:firstColumn="1" w:lastColumn="0" w:noHBand="0" w:noVBand="1"/>
      </w:tblPr>
      <w:tblGrid>
        <w:gridCol w:w="4395"/>
        <w:gridCol w:w="236"/>
        <w:gridCol w:w="4441"/>
      </w:tblGrid>
      <w:tr w:rsidR="00DA342E" w:rsidRPr="00CA2564" w14:paraId="467E893F" w14:textId="77777777" w:rsidTr="00062793">
        <w:tc>
          <w:tcPr>
            <w:tcW w:w="4395" w:type="dxa"/>
            <w:tcBorders>
              <w:bottom w:val="single" w:sz="4" w:space="0" w:color="auto"/>
            </w:tcBorders>
          </w:tcPr>
          <w:p w14:paraId="2793D677" w14:textId="76709582" w:rsidR="00DA342E" w:rsidRPr="00FB118F" w:rsidRDefault="00DA342E" w:rsidP="00FB118F">
            <w:pPr>
              <w:spacing w:after="0" w:line="240" w:lineRule="auto"/>
              <w:rPr>
                <w:b/>
              </w:rPr>
            </w:pPr>
            <w:bookmarkStart w:id="1634" w:name="_Ref18408514"/>
            <w:bookmarkStart w:id="1635" w:name="_Toc17469449"/>
            <w:bookmarkStart w:id="1636" w:name="_Toc34157633"/>
            <w:r w:rsidRPr="00FB118F">
              <w:rPr>
                <w:b/>
                <w:sz w:val="20"/>
              </w:rPr>
              <w:t xml:space="preserve">Graf </w:t>
            </w:r>
            <w:r w:rsidRPr="00FB118F">
              <w:rPr>
                <w:b/>
                <w:sz w:val="20"/>
              </w:rPr>
              <w:fldChar w:fldCharType="begin"/>
            </w:r>
            <w:r w:rsidRPr="00FB118F">
              <w:rPr>
                <w:b/>
                <w:sz w:val="20"/>
              </w:rPr>
              <w:instrText xml:space="preserve"> SEQ Graf \* ARABIC </w:instrText>
            </w:r>
            <w:r w:rsidRPr="00FB118F">
              <w:rPr>
                <w:b/>
                <w:sz w:val="20"/>
              </w:rPr>
              <w:fldChar w:fldCharType="separate"/>
            </w:r>
            <w:r w:rsidR="00FA29AF">
              <w:rPr>
                <w:b/>
                <w:noProof/>
                <w:sz w:val="20"/>
              </w:rPr>
              <w:t>75</w:t>
            </w:r>
            <w:r w:rsidRPr="00FB118F">
              <w:rPr>
                <w:b/>
                <w:sz w:val="20"/>
              </w:rPr>
              <w:fldChar w:fldCharType="end"/>
            </w:r>
            <w:bookmarkEnd w:id="1634"/>
            <w:r w:rsidRPr="00FB118F">
              <w:rPr>
                <w:b/>
                <w:sz w:val="20"/>
              </w:rPr>
              <w:t xml:space="preserve">: </w:t>
            </w:r>
            <w:r w:rsidR="003B49E2" w:rsidRPr="00FB118F">
              <w:rPr>
                <w:b/>
                <w:sz w:val="20"/>
              </w:rPr>
              <w:t>Podpora z MDV SR podľa účelu použitia (mil. eur)</w:t>
            </w:r>
            <w:bookmarkEnd w:id="1635"/>
            <w:bookmarkEnd w:id="1636"/>
          </w:p>
        </w:tc>
        <w:tc>
          <w:tcPr>
            <w:tcW w:w="236" w:type="dxa"/>
            <w:tcBorders>
              <w:bottom w:val="nil"/>
            </w:tcBorders>
          </w:tcPr>
          <w:p w14:paraId="6D97614E" w14:textId="77777777" w:rsidR="00DA342E" w:rsidRPr="00FB118F" w:rsidRDefault="00DA342E" w:rsidP="00FB118F">
            <w:pPr>
              <w:spacing w:after="0" w:line="240" w:lineRule="auto"/>
              <w:rPr>
                <w:b/>
                <w:sz w:val="20"/>
              </w:rPr>
            </w:pPr>
          </w:p>
        </w:tc>
        <w:tc>
          <w:tcPr>
            <w:tcW w:w="4441" w:type="dxa"/>
            <w:tcBorders>
              <w:bottom w:val="single" w:sz="4" w:space="0" w:color="auto"/>
            </w:tcBorders>
          </w:tcPr>
          <w:p w14:paraId="637CD183" w14:textId="582493E3" w:rsidR="00DA342E" w:rsidRPr="00FB118F" w:rsidRDefault="00DA342E" w:rsidP="00FB118F">
            <w:pPr>
              <w:spacing w:after="0" w:line="240" w:lineRule="auto"/>
              <w:rPr>
                <w:b/>
                <w:sz w:val="20"/>
              </w:rPr>
            </w:pPr>
            <w:bookmarkStart w:id="1637" w:name="_Ref18408548"/>
            <w:bookmarkStart w:id="1638" w:name="_Toc17469450"/>
            <w:bookmarkStart w:id="1639" w:name="_Toc34157634"/>
            <w:r w:rsidRPr="00FB118F">
              <w:rPr>
                <w:b/>
                <w:sz w:val="20"/>
              </w:rPr>
              <w:t xml:space="preserve">Graf </w:t>
            </w:r>
            <w:r w:rsidRPr="00FB118F">
              <w:rPr>
                <w:b/>
                <w:sz w:val="20"/>
              </w:rPr>
              <w:fldChar w:fldCharType="begin"/>
            </w:r>
            <w:r w:rsidRPr="00FB118F">
              <w:rPr>
                <w:b/>
                <w:sz w:val="20"/>
              </w:rPr>
              <w:instrText xml:space="preserve"> SEQ Graf \* ARABIC </w:instrText>
            </w:r>
            <w:r w:rsidRPr="00FB118F">
              <w:rPr>
                <w:b/>
                <w:sz w:val="20"/>
              </w:rPr>
              <w:fldChar w:fldCharType="separate"/>
            </w:r>
            <w:r w:rsidR="00FA29AF">
              <w:rPr>
                <w:b/>
                <w:noProof/>
                <w:sz w:val="20"/>
              </w:rPr>
              <w:t>76</w:t>
            </w:r>
            <w:r w:rsidRPr="00FB118F">
              <w:rPr>
                <w:b/>
                <w:sz w:val="20"/>
              </w:rPr>
              <w:fldChar w:fldCharType="end"/>
            </w:r>
            <w:bookmarkEnd w:id="1637"/>
            <w:r w:rsidRPr="00FB118F">
              <w:rPr>
                <w:b/>
                <w:sz w:val="20"/>
              </w:rPr>
              <w:t xml:space="preserve">: </w:t>
            </w:r>
            <w:bookmarkEnd w:id="1638"/>
            <w:r w:rsidR="003B49E2" w:rsidRPr="00FB118F">
              <w:rPr>
                <w:b/>
                <w:sz w:val="20"/>
              </w:rPr>
              <w:t>Podpora zo ŠFRB podľa účelu použitia (mil. eur)</w:t>
            </w:r>
            <w:bookmarkEnd w:id="1639"/>
          </w:p>
        </w:tc>
      </w:tr>
      <w:tr w:rsidR="00DA342E" w:rsidRPr="00CA2564" w14:paraId="718319D9" w14:textId="77777777" w:rsidTr="00062793">
        <w:tblPrEx>
          <w:tblCellMar>
            <w:left w:w="70" w:type="dxa"/>
            <w:right w:w="70" w:type="dxa"/>
          </w:tblCellMar>
        </w:tblPrEx>
        <w:tc>
          <w:tcPr>
            <w:tcW w:w="4395" w:type="dxa"/>
            <w:tcBorders>
              <w:top w:val="single" w:sz="4" w:space="0" w:color="auto"/>
              <w:bottom w:val="single" w:sz="4" w:space="0" w:color="auto"/>
            </w:tcBorders>
          </w:tcPr>
          <w:p w14:paraId="7F641CFC" w14:textId="77777777" w:rsidR="00DA342E" w:rsidRPr="00CA2564" w:rsidRDefault="00DA342E" w:rsidP="00FB118F">
            <w:pPr>
              <w:spacing w:after="0" w:line="240" w:lineRule="auto"/>
              <w:rPr>
                <w:noProof/>
                <w:sz w:val="4"/>
                <w:szCs w:val="4"/>
              </w:rPr>
            </w:pPr>
          </w:p>
          <w:p w14:paraId="3EB8ED5A" w14:textId="0E4A4874" w:rsidR="00DA342E" w:rsidRPr="00CA2564" w:rsidRDefault="003B49E2" w:rsidP="00FB118F">
            <w:pPr>
              <w:spacing w:after="0" w:line="240" w:lineRule="auto"/>
              <w:rPr>
                <w:sz w:val="4"/>
                <w:szCs w:val="4"/>
              </w:rPr>
            </w:pPr>
            <w:r>
              <w:rPr>
                <w:noProof/>
                <w:lang w:eastAsia="sk-SK"/>
              </w:rPr>
              <w:drawing>
                <wp:inline distT="0" distB="0" distL="0" distR="0" wp14:anchorId="409F8F2E" wp14:editId="7F0D8B80">
                  <wp:extent cx="2800350" cy="2451370"/>
                  <wp:effectExtent l="0" t="0" r="0" b="6350"/>
                  <wp:docPr id="28024" name="Graf 280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57766EA2" w14:textId="77777777" w:rsidR="00DA342E" w:rsidRPr="00CA2564" w:rsidRDefault="00DA342E" w:rsidP="00FB118F">
            <w:pPr>
              <w:spacing w:after="0" w:line="240" w:lineRule="auto"/>
              <w:rPr>
                <w:sz w:val="4"/>
                <w:szCs w:val="4"/>
              </w:rPr>
            </w:pPr>
          </w:p>
        </w:tc>
        <w:tc>
          <w:tcPr>
            <w:tcW w:w="236" w:type="dxa"/>
            <w:tcBorders>
              <w:top w:val="nil"/>
              <w:bottom w:val="nil"/>
            </w:tcBorders>
          </w:tcPr>
          <w:p w14:paraId="757F2DFE" w14:textId="77777777" w:rsidR="00DA342E" w:rsidRPr="00CA2564" w:rsidRDefault="00DA342E" w:rsidP="00FB118F">
            <w:pPr>
              <w:spacing w:after="0" w:line="240" w:lineRule="auto"/>
              <w:rPr>
                <w:noProof/>
              </w:rPr>
            </w:pPr>
          </w:p>
        </w:tc>
        <w:tc>
          <w:tcPr>
            <w:tcW w:w="4441" w:type="dxa"/>
            <w:tcBorders>
              <w:top w:val="single" w:sz="4" w:space="0" w:color="auto"/>
              <w:bottom w:val="single" w:sz="4" w:space="0" w:color="auto"/>
            </w:tcBorders>
          </w:tcPr>
          <w:p w14:paraId="2B144DC1" w14:textId="77777777" w:rsidR="00DA342E" w:rsidRPr="00CA2564" w:rsidRDefault="00DA342E" w:rsidP="00FB118F">
            <w:pPr>
              <w:spacing w:after="0" w:line="240" w:lineRule="auto"/>
              <w:rPr>
                <w:noProof/>
                <w:sz w:val="4"/>
                <w:szCs w:val="4"/>
              </w:rPr>
            </w:pPr>
          </w:p>
          <w:p w14:paraId="44F7AEEB" w14:textId="52CA4D93" w:rsidR="00DA342E" w:rsidRPr="00CA2564" w:rsidRDefault="003B49E2" w:rsidP="00FB118F">
            <w:pPr>
              <w:spacing w:after="0" w:line="240" w:lineRule="auto"/>
              <w:rPr>
                <w:noProof/>
                <w:sz w:val="4"/>
                <w:szCs w:val="4"/>
              </w:rPr>
            </w:pPr>
            <w:r w:rsidRPr="00CA2564">
              <w:rPr>
                <w:noProof/>
                <w:lang w:eastAsia="sk-SK"/>
              </w:rPr>
              <w:drawing>
                <wp:inline distT="0" distB="0" distL="0" distR="0" wp14:anchorId="3DAE245C" wp14:editId="68A54055">
                  <wp:extent cx="2733473" cy="2451100"/>
                  <wp:effectExtent l="0" t="0" r="0" b="6350"/>
                  <wp:docPr id="313" name="Graf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6CFE43FC" w14:textId="77777777" w:rsidR="00DA342E" w:rsidRPr="00CA2564" w:rsidRDefault="00DA342E" w:rsidP="00FB118F">
            <w:pPr>
              <w:spacing w:after="0" w:line="240" w:lineRule="auto"/>
              <w:rPr>
                <w:sz w:val="4"/>
                <w:szCs w:val="4"/>
              </w:rPr>
            </w:pPr>
          </w:p>
        </w:tc>
      </w:tr>
      <w:tr w:rsidR="00DA342E" w:rsidRPr="00CA2564" w14:paraId="6629071C" w14:textId="77777777" w:rsidTr="00062793">
        <w:tc>
          <w:tcPr>
            <w:tcW w:w="4395" w:type="dxa"/>
            <w:tcBorders>
              <w:top w:val="single" w:sz="4" w:space="0" w:color="auto"/>
            </w:tcBorders>
          </w:tcPr>
          <w:p w14:paraId="4D838B0C" w14:textId="360EEC86" w:rsidR="00DA342E" w:rsidRPr="00FB118F" w:rsidRDefault="00DA342E" w:rsidP="00FB118F">
            <w:pPr>
              <w:spacing w:after="0" w:line="240" w:lineRule="auto"/>
              <w:jc w:val="right"/>
              <w:rPr>
                <w:i/>
                <w:noProof/>
                <w:sz w:val="18"/>
                <w:szCs w:val="18"/>
              </w:rPr>
            </w:pPr>
            <w:r w:rsidRPr="00FB118F">
              <w:rPr>
                <w:i/>
                <w:noProof/>
                <w:sz w:val="18"/>
                <w:szCs w:val="18"/>
              </w:rPr>
              <w:t xml:space="preserve">Zdroj: </w:t>
            </w:r>
            <w:r w:rsidR="003B49E2" w:rsidRPr="00FB118F">
              <w:rPr>
                <w:i/>
                <w:noProof/>
                <w:sz w:val="18"/>
                <w:szCs w:val="18"/>
              </w:rPr>
              <w:t>MDV SR</w:t>
            </w:r>
            <w:r w:rsidRPr="00FB118F">
              <w:rPr>
                <w:i/>
                <w:noProof/>
                <w:sz w:val="18"/>
                <w:szCs w:val="18"/>
              </w:rPr>
              <w:t xml:space="preserve"> </w:t>
            </w:r>
          </w:p>
        </w:tc>
        <w:tc>
          <w:tcPr>
            <w:tcW w:w="236" w:type="dxa"/>
            <w:tcBorders>
              <w:top w:val="nil"/>
            </w:tcBorders>
          </w:tcPr>
          <w:p w14:paraId="4A7A36E2" w14:textId="77777777" w:rsidR="00DA342E" w:rsidRPr="00FB118F" w:rsidRDefault="00DA342E" w:rsidP="00FB118F">
            <w:pPr>
              <w:spacing w:after="0" w:line="240" w:lineRule="auto"/>
              <w:jc w:val="right"/>
              <w:rPr>
                <w:i/>
                <w:noProof/>
                <w:sz w:val="18"/>
                <w:szCs w:val="18"/>
              </w:rPr>
            </w:pPr>
          </w:p>
        </w:tc>
        <w:tc>
          <w:tcPr>
            <w:tcW w:w="4441" w:type="dxa"/>
            <w:tcBorders>
              <w:top w:val="single" w:sz="4" w:space="0" w:color="auto"/>
            </w:tcBorders>
          </w:tcPr>
          <w:p w14:paraId="4D9848AE" w14:textId="7594AEA3" w:rsidR="00DA342E" w:rsidRPr="00FB118F" w:rsidRDefault="00DA342E" w:rsidP="00FB118F">
            <w:pPr>
              <w:spacing w:after="0" w:line="240" w:lineRule="auto"/>
              <w:jc w:val="right"/>
              <w:rPr>
                <w:i/>
                <w:noProof/>
                <w:sz w:val="18"/>
                <w:szCs w:val="18"/>
              </w:rPr>
            </w:pPr>
            <w:r w:rsidRPr="00FB118F">
              <w:rPr>
                <w:i/>
                <w:noProof/>
                <w:sz w:val="18"/>
                <w:szCs w:val="18"/>
              </w:rPr>
              <w:t xml:space="preserve">Zdroj: </w:t>
            </w:r>
            <w:r w:rsidR="003B49E2" w:rsidRPr="00FB118F">
              <w:rPr>
                <w:i/>
                <w:noProof/>
                <w:sz w:val="18"/>
                <w:szCs w:val="18"/>
              </w:rPr>
              <w:t xml:space="preserve">IFP a ÚHP na základe údajov ŠFRB </w:t>
            </w:r>
          </w:p>
        </w:tc>
      </w:tr>
    </w:tbl>
    <w:p w14:paraId="1E9A3EAE" w14:textId="02E02109" w:rsidR="00DA342E" w:rsidRPr="00CA2564" w:rsidRDefault="000206DD" w:rsidP="00D3189B">
      <w:pPr>
        <w:spacing w:before="240"/>
        <w:rPr>
          <w:bCs/>
          <w:color w:val="0070C0"/>
        </w:rPr>
      </w:pPr>
      <w:r>
        <w:rPr>
          <w:bCs/>
          <w:color w:val="0070C0"/>
        </w:rPr>
        <w:t>Problémy segregácie a diskriminácie</w:t>
      </w:r>
    </w:p>
    <w:p w14:paraId="65A0E9A8" w14:textId="7775FE71" w:rsidR="00DA342E" w:rsidRPr="00CA2564" w:rsidRDefault="00DA342E" w:rsidP="00DA342E">
      <w:pPr>
        <w:spacing w:before="160"/>
      </w:pPr>
      <w:r w:rsidRPr="00CA2564">
        <w:rPr>
          <w:b/>
        </w:rPr>
        <w:t>Výstavb</w:t>
      </w:r>
      <w:r w:rsidR="00BD416A">
        <w:rPr>
          <w:b/>
        </w:rPr>
        <w:t>u</w:t>
      </w:r>
      <w:r w:rsidRPr="00CA2564">
        <w:rPr>
          <w:b/>
        </w:rPr>
        <w:t xml:space="preserve"> </w:t>
      </w:r>
      <w:r w:rsidR="00426349">
        <w:rPr>
          <w:b/>
        </w:rPr>
        <w:t>nájomných</w:t>
      </w:r>
      <w:r w:rsidRPr="00CA2564">
        <w:rPr>
          <w:b/>
        </w:rPr>
        <w:t xml:space="preserve"> bytov, hlavne n</w:t>
      </w:r>
      <w:r w:rsidR="00154BF9">
        <w:rPr>
          <w:b/>
        </w:rPr>
        <w:t>ižšieho</w:t>
      </w:r>
      <w:r w:rsidRPr="00CA2564">
        <w:rPr>
          <w:b/>
        </w:rPr>
        <w:t xml:space="preserve"> štandardu, </w:t>
      </w:r>
      <w:r w:rsidR="00BD416A">
        <w:rPr>
          <w:b/>
        </w:rPr>
        <w:t xml:space="preserve">obce nezriedka realizujú </w:t>
      </w:r>
      <w:r w:rsidRPr="00CA2564">
        <w:rPr>
          <w:b/>
        </w:rPr>
        <w:t>v rezidenčne segregovaných lokalitách, navyše s iba čiastočnou inžinierskou vybavenosťou a lacným technickým riešením.</w:t>
      </w:r>
      <w:r w:rsidRPr="00CA2564">
        <w:t xml:space="preserve"> </w:t>
      </w:r>
      <w:r w:rsidR="00BD416A">
        <w:t xml:space="preserve">Jedným z dôvodov môže byť aj nedostupnosť vhodných pozemkov vo vnútri obce. </w:t>
      </w:r>
      <w:r w:rsidRPr="00CA2564">
        <w:t>Tým však upadá kvalita bývania a rastú náklady s ním spojené. Koncentrácia chudobných domácností v jednej lokalite je často sprevádzaná negatívnymi synergickými efektmi</w:t>
      </w:r>
      <w:r w:rsidR="004A678D">
        <w:t>,</w:t>
      </w:r>
      <w:r w:rsidRPr="00CA2564">
        <w:t xml:space="preserve"> ako </w:t>
      </w:r>
      <w:r w:rsidR="00A707AA">
        <w:t xml:space="preserve">napríklad </w:t>
      </w:r>
      <w:r w:rsidRPr="00CA2564">
        <w:t>prehlbovan</w:t>
      </w:r>
      <w:r w:rsidR="00A707AA">
        <w:t>ie</w:t>
      </w:r>
      <w:r w:rsidRPr="00CA2564">
        <w:t xml:space="preserve"> chudoby, </w:t>
      </w:r>
      <w:r w:rsidR="00A707AA" w:rsidRPr="00CA2564">
        <w:t>zl</w:t>
      </w:r>
      <w:r w:rsidR="00A707AA">
        <w:t>á</w:t>
      </w:r>
      <w:r w:rsidR="00A707AA" w:rsidRPr="00CA2564">
        <w:t xml:space="preserve"> </w:t>
      </w:r>
      <w:r w:rsidR="00D06BA1">
        <w:t>dostupnosť škôl (kapitola </w:t>
      </w:r>
      <w:r w:rsidR="00596CBC">
        <w:fldChar w:fldCharType="begin"/>
      </w:r>
      <w:r w:rsidR="00596CBC">
        <w:instrText xml:space="preserve"> REF _Ref25315627 \r \h </w:instrText>
      </w:r>
      <w:r w:rsidR="00596CBC">
        <w:fldChar w:fldCharType="separate"/>
      </w:r>
      <w:r w:rsidR="00FA29AF">
        <w:t>5</w:t>
      </w:r>
      <w:r w:rsidR="00596CBC">
        <w:fldChar w:fldCharType="end"/>
      </w:r>
      <w:r w:rsidRPr="00CA2564">
        <w:t xml:space="preserve">), zdravotníckych </w:t>
      </w:r>
      <w:r w:rsidRPr="002E6CDA">
        <w:t>zariadení (</w:t>
      </w:r>
      <w:r w:rsidRPr="00D41517">
        <w:t xml:space="preserve">kapitola </w:t>
      </w:r>
      <w:r w:rsidR="00936D58" w:rsidRPr="00D41517">
        <w:fldChar w:fldCharType="begin"/>
      </w:r>
      <w:r w:rsidR="00936D58" w:rsidRPr="00D41517">
        <w:instrText xml:space="preserve"> REF _Ref25757713 \r \h </w:instrText>
      </w:r>
      <w:r w:rsidR="002E6CDA">
        <w:instrText xml:space="preserve"> \* MERGEFORMAT </w:instrText>
      </w:r>
      <w:r w:rsidR="00936D58" w:rsidRPr="00D41517">
        <w:fldChar w:fldCharType="separate"/>
      </w:r>
      <w:r w:rsidR="00FA29AF">
        <w:t>10</w:t>
      </w:r>
      <w:r w:rsidR="00936D58" w:rsidRPr="00D41517">
        <w:fldChar w:fldCharType="end"/>
      </w:r>
      <w:r w:rsidRPr="002E6CDA">
        <w:t>) a</w:t>
      </w:r>
      <w:r w:rsidRPr="00CA2564">
        <w:t> iných služieb, chátran</w:t>
      </w:r>
      <w:r w:rsidR="00A707AA">
        <w:t>ie</w:t>
      </w:r>
      <w:r w:rsidRPr="00CA2564">
        <w:t xml:space="preserve"> bytov alebo </w:t>
      </w:r>
      <w:r w:rsidR="00A707AA" w:rsidRPr="00CA2564">
        <w:t>zvýšen</w:t>
      </w:r>
      <w:r w:rsidR="00A707AA">
        <w:t>á</w:t>
      </w:r>
      <w:r w:rsidR="00A707AA" w:rsidRPr="00CA2564">
        <w:t xml:space="preserve"> mier</w:t>
      </w:r>
      <w:r w:rsidR="00A707AA">
        <w:t>a</w:t>
      </w:r>
      <w:r w:rsidR="00A707AA" w:rsidRPr="00CA2564">
        <w:t xml:space="preserve"> </w:t>
      </w:r>
      <w:r w:rsidRPr="00CA2564">
        <w:t>kriminality. Toto vo výsledku vedie k zvýšeným výdavkom štátu a samospráv na riešenie vzniknutých problémov. Na Slovensku sa táto situácia týka najmä príslušníkov MRK</w:t>
      </w:r>
      <w:r w:rsidRPr="00CA2564">
        <w:rPr>
          <w:rStyle w:val="Odkaznapoznmkupodiarou"/>
        </w:rPr>
        <w:footnoteReference w:id="433"/>
      </w:r>
      <w:r w:rsidRPr="00CA2564">
        <w:t xml:space="preserve"> (Brňak, 2017, Škobla, 2018). </w:t>
      </w:r>
      <w:r w:rsidR="00EF03B9">
        <w:rPr>
          <w:bCs/>
        </w:rPr>
        <w:t>Ako efektívne preventívne opatrenie proti chátraniu bytov sa ukazuje zriadenie pozície domovníka (</w:t>
      </w:r>
      <w:r w:rsidR="00EF03B9" w:rsidRPr="00225D12">
        <w:rPr>
          <w:bCs/>
        </w:rPr>
        <w:fldChar w:fldCharType="begin"/>
      </w:r>
      <w:r w:rsidR="00EF03B9" w:rsidRPr="0066092B">
        <w:rPr>
          <w:bCs/>
        </w:rPr>
        <w:instrText xml:space="preserve"> REF _Ref21088729 \h </w:instrText>
      </w:r>
      <w:r w:rsidR="00EF03B9" w:rsidRPr="00D3189B">
        <w:rPr>
          <w:bCs/>
        </w:rPr>
        <w:instrText xml:space="preserve"> \* MERGEFORMAT </w:instrText>
      </w:r>
      <w:r w:rsidR="00EF03B9" w:rsidRPr="00225D12">
        <w:rPr>
          <w:bCs/>
        </w:rPr>
      </w:r>
      <w:r w:rsidR="00EF03B9" w:rsidRPr="00225D12">
        <w:rPr>
          <w:bCs/>
        </w:rPr>
        <w:fldChar w:fldCharType="separate"/>
      </w:r>
      <w:r w:rsidR="00FA29AF" w:rsidRPr="00FA29AF">
        <w:rPr>
          <w:bCs/>
          <w:iCs/>
        </w:rPr>
        <w:t>Box 25</w:t>
      </w:r>
      <w:r w:rsidR="00EF03B9" w:rsidRPr="00225D12">
        <w:rPr>
          <w:bCs/>
        </w:rPr>
        <w:fldChar w:fldCharType="end"/>
      </w:r>
      <w:r w:rsidR="00EF03B9" w:rsidRPr="0066092B">
        <w:rPr>
          <w:bCs/>
        </w:rPr>
        <w:t>)</w:t>
      </w:r>
      <w:r w:rsidR="00EF03B9">
        <w:rPr>
          <w:bCs/>
        </w:rPr>
        <w:t>.</w:t>
      </w:r>
    </w:p>
    <w:p w14:paraId="5705417C" w14:textId="2C208AB5" w:rsidR="009A57ED" w:rsidRDefault="00DA342E" w:rsidP="00DA342E">
      <w:pPr>
        <w:rPr>
          <w:bCs/>
        </w:rPr>
      </w:pPr>
      <w:r w:rsidRPr="00CA2564">
        <w:rPr>
          <w:b/>
          <w:bCs/>
        </w:rPr>
        <w:t xml:space="preserve">Podmienky prideľovania nájomných bytov </w:t>
      </w:r>
      <w:r w:rsidR="00426349">
        <w:rPr>
          <w:b/>
          <w:bCs/>
        </w:rPr>
        <w:t xml:space="preserve">s regulovaným nájmom </w:t>
      </w:r>
      <w:r w:rsidR="009A57ED">
        <w:rPr>
          <w:b/>
          <w:bCs/>
        </w:rPr>
        <w:t>môžu v niektorých</w:t>
      </w:r>
      <w:r w:rsidRPr="00CA2564">
        <w:rPr>
          <w:b/>
          <w:bCs/>
        </w:rPr>
        <w:t xml:space="preserve"> prípadoch pôsob</w:t>
      </w:r>
      <w:r w:rsidR="009A57ED">
        <w:rPr>
          <w:b/>
          <w:bCs/>
        </w:rPr>
        <w:t>iť</w:t>
      </w:r>
      <w:r w:rsidRPr="00CA2564">
        <w:rPr>
          <w:b/>
          <w:bCs/>
        </w:rPr>
        <w:t xml:space="preserve"> diskriminačne a vytvára</w:t>
      </w:r>
      <w:r w:rsidR="009A57ED">
        <w:rPr>
          <w:b/>
          <w:bCs/>
        </w:rPr>
        <w:t>ť</w:t>
      </w:r>
      <w:r w:rsidRPr="00CA2564">
        <w:rPr>
          <w:b/>
          <w:bCs/>
        </w:rPr>
        <w:t xml:space="preserve"> prekážky v prístupe pre určité skupiny</w:t>
      </w:r>
      <w:r w:rsidRPr="00CA2564">
        <w:rPr>
          <w:bCs/>
        </w:rPr>
        <w:t xml:space="preserve">. Podmienky a proces pridelenia </w:t>
      </w:r>
      <w:r w:rsidR="00426349">
        <w:rPr>
          <w:bCs/>
        </w:rPr>
        <w:t xml:space="preserve">nájomného </w:t>
      </w:r>
      <w:r w:rsidRPr="00CA2564">
        <w:rPr>
          <w:bCs/>
        </w:rPr>
        <w:t xml:space="preserve">bývania </w:t>
      </w:r>
      <w:r w:rsidR="00426349">
        <w:rPr>
          <w:bCs/>
        </w:rPr>
        <w:t xml:space="preserve">s regulovaným nájmom </w:t>
      </w:r>
      <w:r w:rsidRPr="00CA2564">
        <w:rPr>
          <w:bCs/>
        </w:rPr>
        <w:t>sú, s výnimkou zákonom stanovených pravidiel, v kompetenci</w:t>
      </w:r>
      <w:r w:rsidR="00477211">
        <w:rPr>
          <w:bCs/>
        </w:rPr>
        <w:t>i</w:t>
      </w:r>
      <w:r w:rsidR="004A678D">
        <w:rPr>
          <w:bCs/>
        </w:rPr>
        <w:t xml:space="preserve"> samospráv. Tie </w:t>
      </w:r>
      <w:r w:rsidRPr="00CA2564">
        <w:rPr>
          <w:bCs/>
        </w:rPr>
        <w:t xml:space="preserve">však </w:t>
      </w:r>
      <w:r w:rsidR="009A57ED">
        <w:rPr>
          <w:bCs/>
        </w:rPr>
        <w:t>niekedy</w:t>
      </w:r>
      <w:r w:rsidRPr="00CA2564">
        <w:rPr>
          <w:bCs/>
        </w:rPr>
        <w:t xml:space="preserve"> vytvárajú iba ťažko prekonateľné bariéry pre niektorých žiadateľov</w:t>
      </w:r>
      <w:r w:rsidR="00A707AA">
        <w:rPr>
          <w:bCs/>
        </w:rPr>
        <w:t>,</w:t>
      </w:r>
      <w:r w:rsidRPr="00CA2564">
        <w:rPr>
          <w:bCs/>
        </w:rPr>
        <w:t xml:space="preserve"> ako napríklad zloženie finančnej zábezpeky</w:t>
      </w:r>
      <w:r w:rsidR="0060007D">
        <w:rPr>
          <w:bCs/>
        </w:rPr>
        <w:t xml:space="preserve">, trvalý pobyt </w:t>
      </w:r>
      <w:r w:rsidR="0060007D" w:rsidRPr="00CA2564">
        <w:rPr>
          <w:bCs/>
        </w:rPr>
        <w:t xml:space="preserve">v obci v určitom minimálnom trvaní, neexistencia záväzkov voči obci (aj tých nesúvisiacich s bývaním), </w:t>
      </w:r>
      <w:r w:rsidRPr="00CA2564">
        <w:rPr>
          <w:bCs/>
        </w:rPr>
        <w:t xml:space="preserve">či nastavenie výšky nájmu nad možnosti najzraniteľnejších domácností. </w:t>
      </w:r>
    </w:p>
    <w:tbl>
      <w:tblPr>
        <w:tblW w:w="0" w:type="auto"/>
        <w:shd w:val="clear" w:color="auto" w:fill="BDD6EE" w:themeFill="accent1" w:themeFillTint="66"/>
        <w:tblLook w:val="04A0" w:firstRow="1" w:lastRow="0" w:firstColumn="1" w:lastColumn="0" w:noHBand="0" w:noVBand="1"/>
      </w:tblPr>
      <w:tblGrid>
        <w:gridCol w:w="9026"/>
      </w:tblGrid>
      <w:tr w:rsidR="00EF10B5" w14:paraId="1C43699A" w14:textId="77777777" w:rsidTr="00D3189B">
        <w:tc>
          <w:tcPr>
            <w:tcW w:w="9062" w:type="dxa"/>
            <w:shd w:val="clear" w:color="auto" w:fill="BDD6EE" w:themeFill="accent1" w:themeFillTint="66"/>
          </w:tcPr>
          <w:p w14:paraId="4AC5AAB3" w14:textId="3D6DDAC6" w:rsidR="00EF10B5" w:rsidRPr="00D3189B" w:rsidRDefault="0066092B" w:rsidP="00D3189B">
            <w:pPr>
              <w:spacing w:before="160"/>
              <w:rPr>
                <w:b/>
                <w:bCs/>
                <w:iCs/>
              </w:rPr>
            </w:pPr>
            <w:bookmarkStart w:id="1640" w:name="_Ref21088729"/>
            <w:r w:rsidRPr="0066092B">
              <w:rPr>
                <w:b/>
                <w:bCs/>
                <w:iCs/>
              </w:rPr>
              <w:t xml:space="preserve">Box </w:t>
            </w:r>
            <w:r w:rsidR="00A425AB">
              <w:rPr>
                <w:b/>
                <w:bCs/>
                <w:iCs/>
              </w:rPr>
              <w:fldChar w:fldCharType="begin"/>
            </w:r>
            <w:r w:rsidR="00A425AB">
              <w:rPr>
                <w:b/>
                <w:bCs/>
                <w:iCs/>
              </w:rPr>
              <w:instrText xml:space="preserve"> SEQ Box \* ARABIC </w:instrText>
            </w:r>
            <w:r w:rsidR="00A425AB">
              <w:rPr>
                <w:b/>
                <w:bCs/>
                <w:iCs/>
              </w:rPr>
              <w:fldChar w:fldCharType="separate"/>
            </w:r>
            <w:r w:rsidR="00FA29AF">
              <w:rPr>
                <w:b/>
                <w:bCs/>
                <w:iCs/>
                <w:noProof/>
              </w:rPr>
              <w:t>25</w:t>
            </w:r>
            <w:r w:rsidR="00A425AB">
              <w:rPr>
                <w:b/>
                <w:bCs/>
                <w:iCs/>
              </w:rPr>
              <w:fldChar w:fldCharType="end"/>
            </w:r>
            <w:bookmarkEnd w:id="1640"/>
            <w:r w:rsidR="00EF10B5" w:rsidRPr="00D3189B">
              <w:rPr>
                <w:b/>
                <w:bCs/>
              </w:rPr>
              <w:t>: Domovníci</w:t>
            </w:r>
          </w:p>
          <w:p w14:paraId="2DCF26AD" w14:textId="1D297459" w:rsidR="008A3980" w:rsidRPr="00F23F5A" w:rsidRDefault="008A3980" w:rsidP="008A3980">
            <w:r>
              <w:t>Projekt</w:t>
            </w:r>
            <w:r w:rsidR="0070047D">
              <w:t xml:space="preserve"> </w:t>
            </w:r>
            <w:r w:rsidRPr="00F23F5A">
              <w:t>„Terénni domovníci“ bol spustený v roku 2004 ako súčasť dlhodobého úsilia Komunitného Centra Me</w:t>
            </w:r>
            <w:r>
              <w:t>nšín (KCM) vo Veľkom Krtíši</w:t>
            </w:r>
            <w:r w:rsidRPr="00F23F5A">
              <w:t xml:space="preserve"> o zlepšenie situácie (nielen) bývania miestnych </w:t>
            </w:r>
            <w:r w:rsidR="00F557E7">
              <w:t>ľudí</w:t>
            </w:r>
            <w:r w:rsidRPr="00F23F5A">
              <w:t xml:space="preserve"> z MRK – konkrétne išlo o 800 ľudí žijúcich v 132 bytoch. V priebehu 16 rokov došlo vďaka intenzívnej práci k výraznému skvalitneniu bytového fondu, hygienických podmienok, usporiadaniu vlastníckych vzťahov, zmene postojov nájomníkov a neskorších vlastníkov bytov. Zároveň sa podarilo znížiť celkovú výšku zadĺženosti pre nedoplatky z približne 94 </w:t>
            </w:r>
            <w:r>
              <w:t>tisíc</w:t>
            </w:r>
            <w:r w:rsidRPr="00F23F5A">
              <w:t xml:space="preserve"> eur na 63 </w:t>
            </w:r>
            <w:r>
              <w:t>tisíc</w:t>
            </w:r>
            <w:r w:rsidRPr="00F23F5A">
              <w:t xml:space="preserve"> eur za pohľadávky </w:t>
            </w:r>
            <w:r>
              <w:t>z pred roku</w:t>
            </w:r>
            <w:r w:rsidRPr="00F23F5A">
              <w:t xml:space="preserve"> 2009, pričom</w:t>
            </w:r>
            <w:r>
              <w:t xml:space="preserve"> nové pohľadávky už nevznikajú.</w:t>
            </w:r>
          </w:p>
          <w:p w14:paraId="25BA9873" w14:textId="77777777" w:rsidR="008A3980" w:rsidRDefault="008A3980" w:rsidP="008A3980">
            <w:r>
              <w:t>D</w:t>
            </w:r>
            <w:r w:rsidRPr="00F23F5A">
              <w:t>omovníci v jednotlivých vchodoch obytných domov</w:t>
            </w:r>
            <w:r>
              <w:t xml:space="preserve"> boli zvolení samotnými nájomcami z vlastných radov</w:t>
            </w:r>
            <w:r w:rsidRPr="00F23F5A">
              <w:t xml:space="preserve">. Motiváciou pre ich participáciu bola </w:t>
            </w:r>
            <w:r>
              <w:t>úľava na nájomnom a možnosť práce na dohodu. Domovníci organizujú pravidelné domové schôdze, asistujú</w:t>
            </w:r>
            <w:r w:rsidRPr="00EF10B5">
              <w:t xml:space="preserve"> pri starostlivosti a udržiavaní technicky funkčného stavu bytového domu, </w:t>
            </w:r>
            <w:r>
              <w:t>zabezpečujú čistotu a poriadok</w:t>
            </w:r>
            <w:r w:rsidRPr="00EF10B5">
              <w:t xml:space="preserve"> v bytovke a okolí a</w:t>
            </w:r>
            <w:r>
              <w:t> pomáhajú v prevencii</w:t>
            </w:r>
            <w:r w:rsidRPr="00EF10B5">
              <w:t xml:space="preserve"> trestnej činnosti a sociálno-patologických javov. Komunikujú s nájomníkmi ohľadom otázok týkajúcich sa napr. platenia nájomného, energií, prevencie neplatičstva aj s bytovým podnikom/správcom, policajným zborom, mestskou/obecnou políciou, alebo občianskymi poriadkovými službami</w:t>
            </w:r>
            <w:r>
              <w:t xml:space="preserve">. Tieto aktivity vykonávajú </w:t>
            </w:r>
            <w:r w:rsidRPr="00F23F5A">
              <w:t xml:space="preserve">3-krát do týždňa po dobu 5 hodín. </w:t>
            </w:r>
          </w:p>
          <w:p w14:paraId="76BC1EFE" w14:textId="61AE8C26" w:rsidR="008A3980" w:rsidRPr="00F23F5A" w:rsidRDefault="008A3980" w:rsidP="008A3980">
            <w:r w:rsidRPr="00F23F5A">
              <w:t>Zároveň sa vytvoril systém podávania</w:t>
            </w:r>
            <w:r>
              <w:t xml:space="preserve"> týždenných správ, ktoré slúžia</w:t>
            </w:r>
            <w:r w:rsidRPr="00F23F5A">
              <w:t xml:space="preserve"> na vyhodnocovanie stavu v je</w:t>
            </w:r>
            <w:r>
              <w:t>dnotlivých bytovkách a určujú</w:t>
            </w:r>
            <w:r w:rsidRPr="00F23F5A">
              <w:t xml:space="preserve"> obsah a intenzitu pravidelných verejných stretnutí býv</w:t>
            </w:r>
            <w:r>
              <w:t>ajúcich. Ak si problém vyžaduje</w:t>
            </w:r>
            <w:r w:rsidRPr="00F23F5A">
              <w:t xml:space="preserve"> účasť samosprávy, </w:t>
            </w:r>
            <w:r>
              <w:t>sú</w:t>
            </w:r>
            <w:r w:rsidRPr="00F23F5A">
              <w:t xml:space="preserve"> súčasťou týchto stretnutí s</w:t>
            </w:r>
            <w:r>
              <w:t xml:space="preserve"> nájomníkmi a vlastníkmi domov.</w:t>
            </w:r>
          </w:p>
          <w:p w14:paraId="0B4221F9" w14:textId="5DE0EFE9" w:rsidR="008A3980" w:rsidRDefault="008A3980" w:rsidP="00D3189B">
            <w:pPr>
              <w:tabs>
                <w:tab w:val="left" w:pos="7935"/>
              </w:tabs>
            </w:pPr>
            <w:r w:rsidRPr="00F23F5A">
              <w:t xml:space="preserve">Zavedenie sociálnej práce a vytvorenie pozície domovníkov zároveň </w:t>
            </w:r>
            <w:r>
              <w:t>motivuje</w:t>
            </w:r>
            <w:r w:rsidRPr="00F23F5A">
              <w:t xml:space="preserve"> aj príslušníkov komunity podieľať sa na riešení svojho bývania. Vznikla možnosť splácania dlhov na nájomnom a zlepšila sa situácia v bytových domov aj v ich okolí. Zlepšenie vzhľadu a hygienického stavu ulíc zároveň prispelo k zamedzeniu vzniku infekčných chorôb. Dodržiavanie domového poriadku a ochrana majetku mesta v</w:t>
            </w:r>
            <w:r w:rsidR="00AC5481">
              <w:t>iedla k zníženiu kriminality na </w:t>
            </w:r>
            <w:r w:rsidRPr="00F23F5A">
              <w:t>týchto uliciach. Tieto faktory takisto prispeli aj k postupnému zlepšeniu pohľadu majority na minoritu práve ich aktívnou starostlivosťou o prostred</w:t>
            </w:r>
            <w:r>
              <w:t>ie, v ktorom žijú</w:t>
            </w:r>
            <w:r w:rsidRPr="00F23F5A">
              <w:t>.</w:t>
            </w:r>
            <w:r>
              <w:rPr>
                <w:rStyle w:val="Odkaznapoznmkupodiarou"/>
              </w:rPr>
              <w:footnoteReference w:id="434"/>
            </w:r>
          </w:p>
          <w:p w14:paraId="75FD94D3" w14:textId="4753D994" w:rsidR="00EF10B5" w:rsidRPr="00A42768" w:rsidRDefault="00DF4580" w:rsidP="00D3189B">
            <w:pPr>
              <w:tabs>
                <w:tab w:val="left" w:pos="7935"/>
              </w:tabs>
            </w:pPr>
            <w:r>
              <w:t>Cieľ z</w:t>
            </w:r>
            <w:r w:rsidRPr="00697D54">
              <w:t xml:space="preserve">abezpečiť poskytovanie služby domovníka v bytových domoch s prítomnosťou MRK </w:t>
            </w:r>
            <w:r>
              <w:t>má v</w:t>
            </w:r>
            <w:r w:rsidR="00EF10B5" w:rsidRPr="00D3189B">
              <w:t xml:space="preserve"> pláne MV SR </w:t>
            </w:r>
            <w:r>
              <w:t>prostredníctvom pripravovanej dopytovo orientovanej výzvy s alokáciou</w:t>
            </w:r>
            <w:r w:rsidR="00E901A9">
              <w:t xml:space="preserve"> 3 milióny</w:t>
            </w:r>
            <w:r w:rsidR="008A3980">
              <w:t xml:space="preserve"> eur.</w:t>
            </w:r>
          </w:p>
        </w:tc>
      </w:tr>
    </w:tbl>
    <w:p w14:paraId="03EA9AF8" w14:textId="77777777" w:rsidR="00DA342E" w:rsidRPr="00CA2564" w:rsidRDefault="00DA342E" w:rsidP="00D3189B">
      <w:pPr>
        <w:spacing w:before="240"/>
        <w:rPr>
          <w:bCs/>
          <w:color w:val="0070C0"/>
        </w:rPr>
      </w:pPr>
      <w:r w:rsidRPr="00CA2564">
        <w:rPr>
          <w:bCs/>
          <w:color w:val="0070C0"/>
        </w:rPr>
        <w:t>Zapojenie neziskového sektora</w:t>
      </w:r>
    </w:p>
    <w:p w14:paraId="1D00B68F" w14:textId="7D26828F" w:rsidR="00631129" w:rsidRDefault="00DA342E" w:rsidP="00DA342E">
      <w:pPr>
        <w:rPr>
          <w:bCs/>
        </w:rPr>
      </w:pPr>
      <w:r w:rsidRPr="00CA2564">
        <w:rPr>
          <w:b/>
          <w:bCs/>
        </w:rPr>
        <w:t xml:space="preserve">V zahraničí je bežnou praxou prenechanie správy nad </w:t>
      </w:r>
      <w:r w:rsidR="00426349">
        <w:rPr>
          <w:b/>
          <w:bCs/>
        </w:rPr>
        <w:t>nájomným</w:t>
      </w:r>
      <w:r w:rsidR="00426349" w:rsidRPr="00CA2564">
        <w:rPr>
          <w:b/>
          <w:bCs/>
        </w:rPr>
        <w:t xml:space="preserve"> </w:t>
      </w:r>
      <w:r w:rsidRPr="00CA2564">
        <w:rPr>
          <w:b/>
          <w:bCs/>
        </w:rPr>
        <w:t>bývaním</w:t>
      </w:r>
      <w:r w:rsidR="00426349">
        <w:rPr>
          <w:b/>
          <w:bCs/>
        </w:rPr>
        <w:t xml:space="preserve"> s regulovaným nájmom</w:t>
      </w:r>
      <w:r w:rsidRPr="00CA2564">
        <w:rPr>
          <w:b/>
          <w:bCs/>
        </w:rPr>
        <w:t xml:space="preserve"> (alebo aj jeho vlastníctva) na mimovládne neziskové organizácie </w:t>
      </w:r>
      <w:r w:rsidRPr="00D3189B">
        <w:rPr>
          <w:bCs/>
        </w:rPr>
        <w:t>(</w:t>
      </w:r>
      <w:r w:rsidR="00250823" w:rsidRPr="00D3189B">
        <w:rPr>
          <w:bCs/>
        </w:rPr>
        <w:fldChar w:fldCharType="begin"/>
      </w:r>
      <w:r w:rsidR="00250823" w:rsidRPr="00D3189B">
        <w:rPr>
          <w:bCs/>
        </w:rPr>
        <w:instrText xml:space="preserve"> REF _Ref21088798 \h </w:instrText>
      </w:r>
      <w:r w:rsidR="00250823">
        <w:rPr>
          <w:bCs/>
        </w:rPr>
        <w:instrText xml:space="preserve"> \* MERGEFORMAT </w:instrText>
      </w:r>
      <w:r w:rsidR="00250823" w:rsidRPr="00D3189B">
        <w:rPr>
          <w:bCs/>
        </w:rPr>
      </w:r>
      <w:r w:rsidR="00250823" w:rsidRPr="00D3189B">
        <w:rPr>
          <w:bCs/>
        </w:rPr>
        <w:fldChar w:fldCharType="separate"/>
      </w:r>
      <w:r w:rsidR="00FA29AF" w:rsidRPr="00FA29AF">
        <w:rPr>
          <w:iCs/>
        </w:rPr>
        <w:t>Box 26</w:t>
      </w:r>
      <w:r w:rsidR="00250823" w:rsidRPr="00D3189B">
        <w:rPr>
          <w:bCs/>
        </w:rPr>
        <w:fldChar w:fldCharType="end"/>
      </w:r>
      <w:r w:rsidRPr="00D3189B">
        <w:rPr>
          <w:bCs/>
        </w:rPr>
        <w:t>).</w:t>
      </w:r>
      <w:r w:rsidRPr="00CA2564">
        <w:rPr>
          <w:bCs/>
        </w:rPr>
        <w:t xml:space="preserve"> Hlavnými dôvodmi sú efektívnejšia správa bytov spojená s nižšou byrokraciou, nižšou mierou korupcie, nezneužívaním bývania na politický boj</w:t>
      </w:r>
      <w:r w:rsidR="00A932FA">
        <w:rPr>
          <w:bCs/>
        </w:rPr>
        <w:t>,</w:t>
      </w:r>
      <w:r w:rsidRPr="00CA2564">
        <w:rPr>
          <w:bCs/>
        </w:rPr>
        <w:t xml:space="preserve"> či ochota zabezpečovať sociálny mix a inklúziu. Zároveň väčšina týchto organizácii poskytuje v prípade potreby súbežne s bývaním aj komplexné sociálne služby s cieľom dosiahnuť zlepšenie životných podmienok nájomníkov (Svidroňová, 2016</w:t>
      </w:r>
      <w:r w:rsidR="00A932FA">
        <w:rPr>
          <w:bCs/>
        </w:rPr>
        <w:t>;</w:t>
      </w:r>
      <w:r w:rsidRPr="00CA2564">
        <w:rPr>
          <w:bCs/>
        </w:rPr>
        <w:t xml:space="preserve"> Brňak, 2017). </w:t>
      </w:r>
    </w:p>
    <w:p w14:paraId="5A47DBEE" w14:textId="7E160ED7" w:rsidR="00DA342E" w:rsidRPr="00CA2564" w:rsidRDefault="00690A02" w:rsidP="00DA342E">
      <w:pPr>
        <w:rPr>
          <w:bCs/>
        </w:rPr>
      </w:pPr>
      <w:r w:rsidRPr="00D3189B">
        <w:rPr>
          <w:b/>
        </w:rPr>
        <w:t>Relatívne vysoká fluktuácia neziskových organizácií na Slovensku je prekážkou ich účasti v sektore nájomného bývania</w:t>
      </w:r>
      <w:r w:rsidR="00426349">
        <w:rPr>
          <w:b/>
        </w:rPr>
        <w:t xml:space="preserve"> s regulovaným nájmom</w:t>
      </w:r>
      <w:r w:rsidRPr="00D3189B">
        <w:rPr>
          <w:b/>
        </w:rPr>
        <w:t>.</w:t>
      </w:r>
      <w:r>
        <w:rPr>
          <w:bCs/>
        </w:rPr>
        <w:t xml:space="preserve"> Tá </w:t>
      </w:r>
      <w:r w:rsidR="00631129">
        <w:rPr>
          <w:bCs/>
        </w:rPr>
        <w:t>si vyžaduje stabilitu neziskových organizácií</w:t>
      </w:r>
      <w:r w:rsidR="00742676">
        <w:rPr>
          <w:bCs/>
        </w:rPr>
        <w:t xml:space="preserve">, dlhodobý zámer a v prípade vlastníctva aj finančné predpoklady pre dlhodobé investovanie do bytového fondu. Aj z toho dôvodu </w:t>
      </w:r>
      <w:r>
        <w:rPr>
          <w:bCs/>
        </w:rPr>
        <w:t xml:space="preserve">je v súčasnosti účasť neziskového sektora na nájomnom bývaní podmienená partnerstvom so samosprávou. </w:t>
      </w:r>
      <w:r w:rsidR="00DA342E" w:rsidRPr="00CA2564">
        <w:rPr>
          <w:bCs/>
        </w:rPr>
        <w:t xml:space="preserve">O štátnu podporu na rozvoj bývania na Slovensku je </w:t>
      </w:r>
      <w:r>
        <w:rPr>
          <w:bCs/>
        </w:rPr>
        <w:t>napríklad</w:t>
      </w:r>
      <w:r w:rsidR="00DA342E" w:rsidRPr="00CA2564">
        <w:rPr>
          <w:bCs/>
        </w:rPr>
        <w:t xml:space="preserve"> oprávnená žiadať iba nezisková organizácia zriadená obcou alebo VÚC, ktorých vklad tvorí najmenej 51 % jej majetku a v správnej rade ich zastupuje nadpolovičný počet členov</w:t>
      </w:r>
      <w:r w:rsidR="001D32F6">
        <w:rPr>
          <w:bCs/>
        </w:rPr>
        <w:t>.</w:t>
      </w:r>
      <w:r w:rsidR="00DA342E" w:rsidRPr="00CA2564">
        <w:rPr>
          <w:rStyle w:val="Odkaznapoznmkupodiarou"/>
          <w:bCs/>
        </w:rPr>
        <w:footnoteReference w:id="435"/>
      </w:r>
    </w:p>
    <w:p w14:paraId="11CD3060" w14:textId="563BB6AF" w:rsidR="00DA342E" w:rsidRPr="00CA2564" w:rsidRDefault="00DA342E" w:rsidP="00DA342E">
      <w:r w:rsidRPr="00CA2564">
        <w:rPr>
          <w:b/>
        </w:rPr>
        <w:t xml:space="preserve">K rozvoju neziskového sektora s regulovaným nájmom by mohol prispieť sociálny podnik bývania definovaný v zákone o sociálnej ekonomike a sociálnych podnikoch. </w:t>
      </w:r>
      <w:r w:rsidRPr="00CA2564">
        <w:rPr>
          <w:bCs/>
        </w:rPr>
        <w:t>Ide o verejn</w:t>
      </w:r>
      <w:r w:rsidR="00D44F52">
        <w:rPr>
          <w:bCs/>
        </w:rPr>
        <w:t>oprospešný podnik, v </w:t>
      </w:r>
      <w:r w:rsidRPr="00CA2564">
        <w:rPr>
          <w:bCs/>
        </w:rPr>
        <w:t xml:space="preserve">ktorom obec alebo VÚC </w:t>
      </w:r>
      <w:r w:rsidR="00D1068B">
        <w:rPr>
          <w:bCs/>
        </w:rPr>
        <w:t>nemusí mať</w:t>
      </w:r>
      <w:r w:rsidR="00D1068B" w:rsidRPr="00CA2564">
        <w:rPr>
          <w:bCs/>
        </w:rPr>
        <w:t xml:space="preserve"> </w:t>
      </w:r>
      <w:r w:rsidRPr="00CA2564">
        <w:rPr>
          <w:bCs/>
        </w:rPr>
        <w:t xml:space="preserve">väčšinový podiel. Jeho účelom je prenajímať najmenej 70 % ním vlastnených bytov za zvýhodnené, nákladové nájomné domácnostiam, ktorých mesačný príjem v úhrne neprevyšuje štvornásobok sumy životného minima. Viac ako polovica prípadného zisku musí byť reinvestovaná do podniku na plnenie jeho funkcie. </w:t>
      </w:r>
      <w:r w:rsidRPr="00CA2564">
        <w:t>Sociálne podniky bývania by mali získavať väčšiu časť prostriedkov z vlastných, komerčných zdrojov, no zároveň je k dispozícii priama (úvery, granty, dotácie) ale aj nepriama (daňové úľavy) podpora zo strany štátu (Ondrušová a </w:t>
      </w:r>
      <w:r w:rsidR="009D4E37">
        <w:t>Fico</w:t>
      </w:r>
      <w:r w:rsidRPr="00CA2564">
        <w:t xml:space="preserve">, 2018). </w:t>
      </w:r>
    </w:p>
    <w:p w14:paraId="07C59078" w14:textId="02248269" w:rsidR="00DA342E" w:rsidRDefault="00DA342E" w:rsidP="00DA342E">
      <w:pPr>
        <w:spacing w:before="160"/>
      </w:pPr>
      <w:r w:rsidRPr="00CA2564">
        <w:rPr>
          <w:b/>
        </w:rPr>
        <w:t xml:space="preserve">Zatiaľ je priskoro na hodnotenie pôsobnosti sociálnych podnikov bývania. </w:t>
      </w:r>
      <w:r w:rsidRPr="00CA2564">
        <w:t>Zákon o sociálnej ekonomike nadobudol účinnosť 1. mája 2018. Z</w:t>
      </w:r>
      <w:r w:rsidR="004F220D">
        <w:t>o 89</w:t>
      </w:r>
      <w:r w:rsidR="0070047D">
        <w:t xml:space="preserve"> </w:t>
      </w:r>
      <w:r w:rsidRPr="00CA2564">
        <w:t>sociálnych podnikov, ktorým bol udelený štatút k</w:t>
      </w:r>
      <w:r w:rsidR="004F220D">
        <w:t> 25.2.2020</w:t>
      </w:r>
      <w:r w:rsidR="006E1F9A">
        <w:t>,</w:t>
      </w:r>
      <w:r w:rsidRPr="00CA2564">
        <w:t xml:space="preserve"> </w:t>
      </w:r>
      <w:r w:rsidR="004F220D">
        <w:t>bol iba jeden</w:t>
      </w:r>
      <w:r w:rsidRPr="00CA2564">
        <w:t xml:space="preserve"> </w:t>
      </w:r>
      <w:r w:rsidR="008F7FC7">
        <w:t xml:space="preserve">registrovaný </w:t>
      </w:r>
      <w:r w:rsidRPr="00CA2564">
        <w:t xml:space="preserve">sociálny podnik bývania. K tomuto dátumu odbor sociálnej ekonomiky </w:t>
      </w:r>
      <w:r w:rsidR="006E1F9A">
        <w:t>M</w:t>
      </w:r>
      <w:r w:rsidR="006E1F9A" w:rsidRPr="00CA2564">
        <w:t xml:space="preserve">inisterstva </w:t>
      </w:r>
      <w:r w:rsidRPr="00CA2564">
        <w:t xml:space="preserve">práce, sociálnych vecí a rodiny </w:t>
      </w:r>
      <w:r w:rsidR="008F7FC7">
        <w:t xml:space="preserve">SR </w:t>
      </w:r>
      <w:r w:rsidR="004F220D">
        <w:t>evidoval jednu žiadosť</w:t>
      </w:r>
      <w:r w:rsidRPr="00CA2564">
        <w:t xml:space="preserve"> o priznanie štatútu </w:t>
      </w:r>
      <w:r w:rsidR="008F7FC7">
        <w:t xml:space="preserve">registrovaného </w:t>
      </w:r>
      <w:r w:rsidRPr="00CA2564">
        <w:t xml:space="preserve">sociálneho </w:t>
      </w:r>
      <w:r w:rsidR="004F220D">
        <w:t>podniku bývania.</w:t>
      </w:r>
    </w:p>
    <w:tbl>
      <w:tblPr>
        <w:tblW w:w="0" w:type="auto"/>
        <w:shd w:val="clear" w:color="auto" w:fill="BDD6EE" w:themeFill="accent1" w:themeFillTint="66"/>
        <w:tblLook w:val="04A0" w:firstRow="1" w:lastRow="0" w:firstColumn="1" w:lastColumn="0" w:noHBand="0" w:noVBand="1"/>
      </w:tblPr>
      <w:tblGrid>
        <w:gridCol w:w="9026"/>
      </w:tblGrid>
      <w:tr w:rsidR="00DA342E" w:rsidRPr="00CA2564" w14:paraId="2D5A810A" w14:textId="77777777" w:rsidTr="00062793">
        <w:tc>
          <w:tcPr>
            <w:tcW w:w="9026" w:type="dxa"/>
            <w:shd w:val="clear" w:color="auto" w:fill="BDD6EE" w:themeFill="accent1" w:themeFillTint="66"/>
          </w:tcPr>
          <w:p w14:paraId="41440AE9" w14:textId="4182B53E" w:rsidR="00DA342E" w:rsidRPr="00225D12" w:rsidRDefault="00250823" w:rsidP="00DA342E">
            <w:pPr>
              <w:spacing w:before="160"/>
              <w:rPr>
                <w:b/>
                <w:iCs/>
              </w:rPr>
            </w:pPr>
            <w:bookmarkStart w:id="1641" w:name="_Ref21088798"/>
            <w:r w:rsidRPr="00250823">
              <w:rPr>
                <w:b/>
                <w:iCs/>
              </w:rPr>
              <w:t xml:space="preserve">Box </w:t>
            </w:r>
            <w:r w:rsidR="00A425AB">
              <w:rPr>
                <w:b/>
                <w:iCs/>
              </w:rPr>
              <w:fldChar w:fldCharType="begin"/>
            </w:r>
            <w:r w:rsidR="00A425AB">
              <w:rPr>
                <w:b/>
                <w:iCs/>
              </w:rPr>
              <w:instrText xml:space="preserve"> SEQ Box \* ARABIC </w:instrText>
            </w:r>
            <w:r w:rsidR="00A425AB">
              <w:rPr>
                <w:b/>
                <w:iCs/>
              </w:rPr>
              <w:fldChar w:fldCharType="separate"/>
            </w:r>
            <w:r w:rsidR="00FA29AF">
              <w:rPr>
                <w:b/>
                <w:iCs/>
                <w:noProof/>
              </w:rPr>
              <w:t>26</w:t>
            </w:r>
            <w:r w:rsidR="00A425AB">
              <w:rPr>
                <w:b/>
                <w:iCs/>
              </w:rPr>
              <w:fldChar w:fldCharType="end"/>
            </w:r>
            <w:bookmarkEnd w:id="1641"/>
            <w:r w:rsidR="00DA342E" w:rsidRPr="00CA2564">
              <w:rPr>
                <w:b/>
              </w:rPr>
              <w:t xml:space="preserve">: </w:t>
            </w:r>
            <w:r w:rsidR="00DA342E" w:rsidRPr="00CA2564">
              <w:rPr>
                <w:b/>
                <w:bCs/>
              </w:rPr>
              <w:t>Úloha neziskového sektora v Rakúsku a Holandsku</w:t>
            </w:r>
          </w:p>
          <w:p w14:paraId="6A6352C6" w14:textId="77777777" w:rsidR="00DA342E" w:rsidRPr="00CA2564" w:rsidRDefault="00DA342E" w:rsidP="00DA342E">
            <w:pPr>
              <w:rPr>
                <w:i/>
              </w:rPr>
            </w:pPr>
            <w:r w:rsidRPr="00CA2564">
              <w:rPr>
                <w:i/>
              </w:rPr>
              <w:t>Rakúsko</w:t>
            </w:r>
          </w:p>
          <w:p w14:paraId="7F6B76BA" w14:textId="73C939D7" w:rsidR="00DA342E" w:rsidRPr="00E31022" w:rsidRDefault="00DA342E" w:rsidP="00DA342E">
            <w:pPr>
              <w:spacing w:before="160"/>
            </w:pPr>
            <w:r w:rsidRPr="00CA2564">
              <w:t xml:space="preserve">V posledných rokoch bola hlavná časť nového </w:t>
            </w:r>
            <w:r w:rsidR="00426349">
              <w:t>nájomného</w:t>
            </w:r>
            <w:r w:rsidR="00426349" w:rsidRPr="00CA2564">
              <w:t xml:space="preserve"> </w:t>
            </w:r>
            <w:r w:rsidRPr="00CA2564">
              <w:t xml:space="preserve">bývania </w:t>
            </w:r>
            <w:r w:rsidR="00426349">
              <w:t xml:space="preserve">s regulovaným nájmom </w:t>
            </w:r>
            <w:r w:rsidRPr="00CA2564">
              <w:t xml:space="preserve">v Rakúsku vybudovaná neziskovými spoločnosťami pre bytovú výstavbu, ktoré spravujú celkovo cca 650 000 bytov a </w:t>
            </w:r>
            <w:r w:rsidRPr="00E31022">
              <w:t>stavajú ďalších zhruba 15 000 bytov ročne. Podmienky pre výber nájomcov sa líšia, posudzuje sa najmä ich príjem. Celkovo býva v bytoch s regulovaným nájmom zhruba 15 % obyvateľov a ďalších 30 % v bytoch s trhovým nájmom (</w:t>
            </w:r>
            <w:r w:rsidRPr="00E31022">
              <w:rPr>
                <w:rStyle w:val="Hypertextovprepojenie"/>
                <w:color w:val="auto"/>
                <w:u w:val="none"/>
              </w:rPr>
              <w:t>Zúbková a kol</w:t>
            </w:r>
            <w:r w:rsidR="00A56A64">
              <w:t>., 2008;</w:t>
            </w:r>
            <w:r w:rsidRPr="00E31022">
              <w:t xml:space="preserve"> </w:t>
            </w:r>
            <w:r w:rsidR="008B0858">
              <w:t>Kubala a Peciar</w:t>
            </w:r>
            <w:r w:rsidRPr="00E31022">
              <w:t>, 2019</w:t>
            </w:r>
            <w:r w:rsidR="00A56A64">
              <w:t>;</w:t>
            </w:r>
            <w:r w:rsidRPr="00E31022">
              <w:t xml:space="preserve"> </w:t>
            </w:r>
            <w:r w:rsidRPr="00E31022">
              <w:rPr>
                <w:rStyle w:val="Hypertextovprepojenie"/>
                <w:color w:val="auto"/>
                <w:u w:val="none"/>
              </w:rPr>
              <w:t>Petránsky</w:t>
            </w:r>
            <w:r w:rsidR="00A56A64">
              <w:t>, 2015;</w:t>
            </w:r>
            <w:r w:rsidRPr="00E31022">
              <w:t xml:space="preserve"> </w:t>
            </w:r>
            <w:r w:rsidRPr="00E31022">
              <w:rPr>
                <w:rStyle w:val="Hypertextovprepojenie"/>
                <w:color w:val="auto"/>
                <w:u w:val="none"/>
              </w:rPr>
              <w:t>Adams</w:t>
            </w:r>
            <w:r w:rsidR="00A56A64">
              <w:t>, 2019;</w:t>
            </w:r>
            <w:r w:rsidRPr="00E31022">
              <w:t xml:space="preserve"> Svidroňová, 2016).</w:t>
            </w:r>
          </w:p>
          <w:p w14:paraId="58B6C6FD" w14:textId="57FFE168" w:rsidR="00DA342E" w:rsidRPr="00CA2564" w:rsidRDefault="00DA342E" w:rsidP="00DA342E">
            <w:r w:rsidRPr="00CA2564">
              <w:t>Vo Viedni vlastnia neziskové spoločnosti pre bytovú výstavbu okolo 136 tisíc bytov s regulovaným, nákladovým nájomným. Ďalších približne 220 tisíc</w:t>
            </w:r>
            <w:r w:rsidR="0070047D">
              <w:t xml:space="preserve"> </w:t>
            </w:r>
            <w:r w:rsidRPr="00CA2564">
              <w:t>bytových jednotiek s regulovaným nájmom vlastní mesto Viedeň. Vo výsledku tak viac než 60 % obyvateľov mesta býva v nájomných bytoch. Viedeň tiež ponúka súkromným developerom spoluprácu, v ktorej im zabezpečí pozemok a výhodný úver. Ako protihodnotu dostane 50 % bytových jednotiek z takto podporeného projektu. Regulované nájomné v mes</w:t>
            </w:r>
            <w:r w:rsidR="001D32F6">
              <w:t>tských bytoch sa pohybuje od 20 </w:t>
            </w:r>
            <w:r w:rsidRPr="00CA2564">
              <w:t>% do 25 % príjmu nájomcov.</w:t>
            </w:r>
          </w:p>
          <w:p w14:paraId="76FCB6D7" w14:textId="6C90FFEF" w:rsidR="00DA342E" w:rsidRPr="002B01DB" w:rsidRDefault="00DA342E" w:rsidP="00DA342E">
            <w:r w:rsidRPr="00CA2564">
              <w:t xml:space="preserve">Bytová politika je v Rakúsku značne decentralizovaná a v kompetencii spolkových krajín. Časť financovania je však riadená na centrálnej úrovni a pozostáva z fixnej časti dane z príjmu fyzických osôb a dane zo zisku spoločností. Tieto príjmy sú prerozdeľované </w:t>
            </w:r>
            <w:r w:rsidR="001D32F6">
              <w:t>medzi spolkové krajiny</w:t>
            </w:r>
            <w:r w:rsidRPr="00CA2564">
              <w:t>.</w:t>
            </w:r>
            <w:r w:rsidR="00585B51">
              <w:t xml:space="preserve"> Štátna p</w:t>
            </w:r>
            <w:r w:rsidR="0009170D">
              <w:t xml:space="preserve">odpora </w:t>
            </w:r>
            <w:r w:rsidR="00585B51">
              <w:t>výstavby nájomných bytov v Rakúsku spočíva v zábezpeke úveru obstarávateľa, čo možno považovať za m</w:t>
            </w:r>
            <w:r w:rsidR="00D856B4">
              <w:t>enej štedrý systém ako na Sloven</w:t>
            </w:r>
            <w:r w:rsidR="00585B51">
              <w:t xml:space="preserve">sku, kde sú k dispozícii regulovaný úver aj </w:t>
            </w:r>
            <w:r w:rsidR="00585B51" w:rsidRPr="002B01DB">
              <w:t>dotácia (</w:t>
            </w:r>
            <w:r w:rsidR="002B01DB" w:rsidRPr="002B01DB">
              <w:fldChar w:fldCharType="begin"/>
            </w:r>
            <w:r w:rsidR="002B01DB" w:rsidRPr="002B01DB">
              <w:instrText xml:space="preserve"> REF _Ref30776414 \h  \* MERGEFORMAT </w:instrText>
            </w:r>
            <w:r w:rsidR="002B01DB" w:rsidRPr="002B01DB">
              <w:fldChar w:fldCharType="separate"/>
            </w:r>
            <w:r w:rsidR="00FA29AF" w:rsidRPr="00FA29AF">
              <w:rPr>
                <w:rFonts w:eastAsia="Arial Narrow" w:cs="Arial Narrow"/>
                <w:iCs/>
              </w:rPr>
              <w:t xml:space="preserve">Box </w:t>
            </w:r>
            <w:r w:rsidR="00FA29AF" w:rsidRPr="00FA29AF">
              <w:rPr>
                <w:rFonts w:eastAsia="Arial Narrow" w:cs="Arial Narrow"/>
                <w:iCs/>
                <w:noProof/>
              </w:rPr>
              <w:t>24</w:t>
            </w:r>
            <w:r w:rsidR="002B01DB" w:rsidRPr="002B01DB">
              <w:fldChar w:fldCharType="end"/>
            </w:r>
            <w:r w:rsidR="00585B51" w:rsidRPr="002B01DB">
              <w:t>).</w:t>
            </w:r>
          </w:p>
          <w:p w14:paraId="57FF5BA0" w14:textId="77777777" w:rsidR="00DA342E" w:rsidRPr="00CA2564" w:rsidRDefault="00DA342E" w:rsidP="00DA342E">
            <w:pPr>
              <w:spacing w:before="160"/>
              <w:rPr>
                <w:i/>
              </w:rPr>
            </w:pPr>
            <w:r w:rsidRPr="00CA2564">
              <w:rPr>
                <w:i/>
              </w:rPr>
              <w:t>Holandsko</w:t>
            </w:r>
          </w:p>
          <w:p w14:paraId="7A6AFD56" w14:textId="2AD6F6CE" w:rsidR="00DA342E" w:rsidRPr="00E31022" w:rsidRDefault="00DA342E" w:rsidP="00DA342E">
            <w:pPr>
              <w:rPr>
                <w:color w:val="000000" w:themeColor="text1"/>
                <w:szCs w:val="22"/>
              </w:rPr>
            </w:pPr>
            <w:r w:rsidRPr="00CA2564">
              <w:rPr>
                <w:color w:val="000000" w:themeColor="text1"/>
              </w:rPr>
              <w:t xml:space="preserve">Holandsko </w:t>
            </w:r>
            <w:r w:rsidR="001D32F6">
              <w:rPr>
                <w:color w:val="000000" w:themeColor="text1"/>
              </w:rPr>
              <w:t>sa vyznačuje</w:t>
            </w:r>
            <w:r w:rsidRPr="00CA2564">
              <w:rPr>
                <w:color w:val="000000" w:themeColor="text1"/>
              </w:rPr>
              <w:t xml:space="preserve"> najvyšším zastúpením </w:t>
            </w:r>
            <w:r w:rsidR="00426349">
              <w:rPr>
                <w:color w:val="000000" w:themeColor="text1"/>
              </w:rPr>
              <w:t>nájomného</w:t>
            </w:r>
            <w:r w:rsidR="00426349" w:rsidRPr="00CA2564">
              <w:rPr>
                <w:color w:val="000000" w:themeColor="text1"/>
              </w:rPr>
              <w:t xml:space="preserve"> </w:t>
            </w:r>
            <w:r w:rsidRPr="00CA2564">
              <w:rPr>
                <w:color w:val="000000" w:themeColor="text1"/>
              </w:rPr>
              <w:t xml:space="preserve">bývania </w:t>
            </w:r>
            <w:r w:rsidR="00426349">
              <w:rPr>
                <w:color w:val="000000" w:themeColor="text1"/>
              </w:rPr>
              <w:t xml:space="preserve">s regulovaným nájmom </w:t>
            </w:r>
            <w:r w:rsidRPr="00CA2564">
              <w:rPr>
                <w:color w:val="000000" w:themeColor="text1"/>
              </w:rPr>
              <w:t>v EÚ (okolo 30</w:t>
            </w:r>
            <w:r w:rsidR="001D32F6">
              <w:rPr>
                <w:color w:val="000000" w:themeColor="text1"/>
              </w:rPr>
              <w:t xml:space="preserve"> % z celkového bytového fondu) a vysokou kvalitou </w:t>
            </w:r>
            <w:r w:rsidRPr="00CA2564">
              <w:rPr>
                <w:color w:val="000000" w:themeColor="text1"/>
              </w:rPr>
              <w:t xml:space="preserve">(nízka miera preplnenosti, dôraz na technické </w:t>
            </w:r>
            <w:r w:rsidR="001D32F6">
              <w:rPr>
                <w:color w:val="000000" w:themeColor="text1"/>
                <w:szCs w:val="22"/>
              </w:rPr>
              <w:t>riešenie). V</w:t>
            </w:r>
            <w:r w:rsidRPr="00E31022">
              <w:rPr>
                <w:color w:val="000000" w:themeColor="text1"/>
                <w:szCs w:val="22"/>
              </w:rPr>
              <w:t xml:space="preserve">ýhradným poskytovateľom </w:t>
            </w:r>
            <w:r w:rsidR="001D32F6">
              <w:rPr>
                <w:color w:val="000000" w:themeColor="text1"/>
                <w:szCs w:val="22"/>
              </w:rPr>
              <w:t xml:space="preserve">nájomného bývania sú neziskové bytové družstvá </w:t>
            </w:r>
            <w:r w:rsidRPr="00E31022">
              <w:rPr>
                <w:color w:val="000000" w:themeColor="text1"/>
                <w:szCs w:val="22"/>
              </w:rPr>
              <w:t>podliehajú</w:t>
            </w:r>
            <w:r w:rsidR="001D32F6">
              <w:rPr>
                <w:color w:val="000000" w:themeColor="text1"/>
                <w:szCs w:val="22"/>
              </w:rPr>
              <w:t>ce verejnému</w:t>
            </w:r>
            <w:r w:rsidRPr="00E31022">
              <w:rPr>
                <w:color w:val="000000" w:themeColor="text1"/>
                <w:szCs w:val="22"/>
              </w:rPr>
              <w:t xml:space="preserve"> dohľadu. Zároveň sú však finančne nezávislé od štátu</w:t>
            </w:r>
            <w:r w:rsidR="00D1068B">
              <w:rPr>
                <w:color w:val="000000" w:themeColor="text1"/>
                <w:szCs w:val="22"/>
              </w:rPr>
              <w:t xml:space="preserve"> (</w:t>
            </w:r>
            <w:r w:rsidR="00D1068B">
              <w:t>na výstavbu ani prevádzku sa v Holandsku neposkytujú štátne dotácie</w:t>
            </w:r>
            <w:r w:rsidR="00D1068B">
              <w:rPr>
                <w:color w:val="000000" w:themeColor="text1"/>
                <w:szCs w:val="22"/>
              </w:rPr>
              <w:t>)</w:t>
            </w:r>
            <w:r w:rsidRPr="00E31022">
              <w:rPr>
                <w:color w:val="000000" w:themeColor="text1"/>
                <w:szCs w:val="22"/>
              </w:rPr>
              <w:t>. K ich samostatnému fungovaniu napomáha aj systém verejných záruk pri čerpaní komerčných úverov či rôzne f</w:t>
            </w:r>
            <w:r w:rsidR="001D32F6">
              <w:rPr>
                <w:color w:val="000000" w:themeColor="text1"/>
                <w:szCs w:val="22"/>
              </w:rPr>
              <w:t>ormy podpory (granty a pôžičky)</w:t>
            </w:r>
            <w:r w:rsidRPr="00E31022">
              <w:rPr>
                <w:color w:val="000000" w:themeColor="text1"/>
                <w:szCs w:val="22"/>
              </w:rPr>
              <w:t xml:space="preserve"> </w:t>
            </w:r>
            <w:r w:rsidR="001D32F6">
              <w:rPr>
                <w:color w:val="000000" w:themeColor="text1"/>
                <w:szCs w:val="22"/>
              </w:rPr>
              <w:t xml:space="preserve">ako aj </w:t>
            </w:r>
            <w:r w:rsidRPr="00E31022">
              <w:rPr>
                <w:color w:val="000000" w:themeColor="text1"/>
                <w:szCs w:val="22"/>
              </w:rPr>
              <w:t>zab</w:t>
            </w:r>
            <w:r w:rsidR="00B73803">
              <w:rPr>
                <w:color w:val="000000" w:themeColor="text1"/>
                <w:szCs w:val="22"/>
              </w:rPr>
              <w:t>ezpečenie pozemkov samosprávami</w:t>
            </w:r>
            <w:r w:rsidRPr="00E31022">
              <w:rPr>
                <w:color w:val="000000" w:themeColor="text1"/>
                <w:szCs w:val="22"/>
              </w:rPr>
              <w:t xml:space="preserve">. </w:t>
            </w:r>
          </w:p>
          <w:p w14:paraId="6A1DA99D" w14:textId="5A22C086" w:rsidR="00DA342E" w:rsidRPr="00E31022" w:rsidRDefault="00CA11E1" w:rsidP="00DA342E">
            <w:pPr>
              <w:rPr>
                <w:color w:val="000000" w:themeColor="text1"/>
                <w:szCs w:val="22"/>
              </w:rPr>
            </w:pPr>
            <w:r w:rsidRPr="00E31022">
              <w:rPr>
                <w:szCs w:val="22"/>
              </w:rPr>
              <w:t>Výška nájmu závisí od finančných možností domácnosti</w:t>
            </w:r>
            <w:r>
              <w:rPr>
                <w:szCs w:val="22"/>
              </w:rPr>
              <w:t>.</w:t>
            </w:r>
            <w:r w:rsidRPr="00E31022">
              <w:rPr>
                <w:rStyle w:val="Odkaznapoznmkupodiarou"/>
                <w:szCs w:val="22"/>
              </w:rPr>
              <w:footnoteReference w:id="436"/>
            </w:r>
            <w:r>
              <w:rPr>
                <w:szCs w:val="22"/>
              </w:rPr>
              <w:t xml:space="preserve"> </w:t>
            </w:r>
            <w:r w:rsidR="00DA342E" w:rsidRPr="00E31022">
              <w:rPr>
                <w:szCs w:val="22"/>
              </w:rPr>
              <w:t>Vlastné prostriedky získavajú organizácie aj prostredníctvom výstavby a predaja nových bytov za trhové ceny. Zisky sú následne investované do výstavby a správy nájomného bývania</w:t>
            </w:r>
            <w:r w:rsidR="00426349">
              <w:rPr>
                <w:szCs w:val="22"/>
              </w:rPr>
              <w:t xml:space="preserve"> s regulovaným nájmom</w:t>
            </w:r>
            <w:r w:rsidR="00DA342E" w:rsidRPr="00E31022">
              <w:rPr>
                <w:szCs w:val="22"/>
              </w:rPr>
              <w:t>. Okrem ubytovania sú organizácie s časti zodpovedné aj za zabezpečenie podmienok pre kvalitný život nájomníkov. To zahŕňa starostlivosť o bytový fond, organizovanie a podporu lokálnych akcii, výstavbu športovísk, či prevádzkovanie komunitných centier.</w:t>
            </w:r>
            <w:r w:rsidR="00474F03">
              <w:rPr>
                <w:rStyle w:val="Odkaznapoznmkupodiarou"/>
                <w:szCs w:val="22"/>
              </w:rPr>
              <w:footnoteReference w:id="437"/>
            </w:r>
            <w:r w:rsidR="00DA342E" w:rsidRPr="00E31022">
              <w:rPr>
                <w:szCs w:val="22"/>
              </w:rPr>
              <w:t xml:space="preserve"> </w:t>
            </w:r>
          </w:p>
          <w:p w14:paraId="0F00D0E4" w14:textId="77777777" w:rsidR="00DA342E" w:rsidRPr="00CA2564" w:rsidRDefault="00DA342E" w:rsidP="00DA342E">
            <w:pPr>
              <w:spacing w:before="160"/>
              <w:rPr>
                <w:b/>
              </w:rPr>
            </w:pPr>
            <w:r w:rsidRPr="00E31022">
              <w:rPr>
                <w:color w:val="000000" w:themeColor="text1"/>
                <w:szCs w:val="22"/>
              </w:rPr>
              <w:t>Podstatným aspektom je aj dobre fungujúca štruktúra organizácii. Dôležitú kontrolnú úlohu zvyčajne zohráva dozorná rada, so zastúpením všetkých zainteresovaných subjektov – členovia organizácie (poskytovateľ), zástupcovia miestnej samosprávy (verejný, podporný subjekt) a zástupcovia nájomníkov (spotrebitelia). (Kuvíková a kol., 2015).</w:t>
            </w:r>
          </w:p>
        </w:tc>
      </w:tr>
    </w:tbl>
    <w:p w14:paraId="041517AE" w14:textId="5357E2B9" w:rsidR="00DA342E" w:rsidRPr="00CA2564" w:rsidRDefault="00DA342E" w:rsidP="00CB6EAE">
      <w:pPr>
        <w:pStyle w:val="Nadpis2"/>
        <w:spacing w:before="240"/>
        <w:ind w:left="562" w:hanging="562"/>
      </w:pPr>
      <w:bookmarkStart w:id="1642" w:name="_Toc18340953"/>
      <w:bookmarkStart w:id="1643" w:name="_Ref25310178"/>
      <w:bookmarkStart w:id="1644" w:name="_Ref25312141"/>
      <w:bookmarkStart w:id="1645" w:name="_Ref25315689"/>
      <w:bookmarkStart w:id="1646" w:name="_Ref31877623"/>
      <w:bookmarkStart w:id="1647" w:name="_Ref33539730"/>
      <w:bookmarkStart w:id="1648" w:name="_Toc34657739"/>
      <w:r w:rsidRPr="00CA2564">
        <w:t>Pomoc ľuďom v bytovej núdzi</w:t>
      </w:r>
      <w:bookmarkEnd w:id="1642"/>
      <w:bookmarkEnd w:id="1643"/>
      <w:bookmarkEnd w:id="1644"/>
      <w:bookmarkEnd w:id="1645"/>
      <w:bookmarkEnd w:id="1646"/>
      <w:bookmarkEnd w:id="1647"/>
      <w:bookmarkEnd w:id="1648"/>
    </w:p>
    <w:p w14:paraId="383A26C8" w14:textId="77777777" w:rsidR="00DA342E" w:rsidRPr="00CA2564" w:rsidRDefault="00DA342E" w:rsidP="00DA342E">
      <w:pPr>
        <w:spacing w:before="160"/>
        <w:rPr>
          <w:bCs/>
          <w:color w:val="0070C0"/>
        </w:rPr>
      </w:pPr>
      <w:r w:rsidRPr="00CA2564">
        <w:rPr>
          <w:bCs/>
          <w:color w:val="0070C0"/>
        </w:rPr>
        <w:t>Sociálne služby krízovej intervencie</w:t>
      </w:r>
    </w:p>
    <w:p w14:paraId="435C10A0" w14:textId="1C326FBF" w:rsidR="00DA342E" w:rsidRDefault="00DA342E" w:rsidP="005907E8">
      <w:r w:rsidRPr="00E04D50">
        <w:rPr>
          <w:b/>
        </w:rPr>
        <w:t xml:space="preserve">Na Slovensku je </w:t>
      </w:r>
      <w:r w:rsidR="00E74BA4">
        <w:rPr>
          <w:b/>
        </w:rPr>
        <w:t>ubytovanie</w:t>
      </w:r>
      <w:r w:rsidR="00E74BA4" w:rsidRPr="00E04D50">
        <w:rPr>
          <w:b/>
        </w:rPr>
        <w:t xml:space="preserve"> </w:t>
      </w:r>
      <w:r w:rsidRPr="00E04D50">
        <w:rPr>
          <w:b/>
        </w:rPr>
        <w:t xml:space="preserve">pre ľudí v bytovej </w:t>
      </w:r>
      <w:r w:rsidRPr="0068595B">
        <w:rPr>
          <w:b/>
          <w:szCs w:val="22"/>
        </w:rPr>
        <w:t xml:space="preserve">núdzi </w:t>
      </w:r>
      <w:r w:rsidR="00672BB2" w:rsidRPr="008E12D6">
        <w:rPr>
          <w:b/>
          <w:szCs w:val="22"/>
        </w:rPr>
        <w:t>(</w:t>
      </w:r>
      <w:r w:rsidR="00EA5BE6">
        <w:rPr>
          <w:b/>
          <w:szCs w:val="22"/>
        </w:rPr>
        <w:fldChar w:fldCharType="begin"/>
      </w:r>
      <w:r w:rsidR="00EA5BE6">
        <w:rPr>
          <w:b/>
          <w:szCs w:val="22"/>
        </w:rPr>
        <w:instrText xml:space="preserve"> REF _Ref25242488 \h </w:instrText>
      </w:r>
      <w:r w:rsidR="00EA5BE6">
        <w:rPr>
          <w:b/>
          <w:szCs w:val="22"/>
        </w:rPr>
      </w:r>
      <w:r w:rsidR="00EA5BE6">
        <w:rPr>
          <w:b/>
          <w:szCs w:val="22"/>
        </w:rPr>
        <w:fldChar w:fldCharType="separate"/>
      </w:r>
      <w:r w:rsidR="00FA29AF" w:rsidRPr="0066092B">
        <w:rPr>
          <w:b/>
          <w:bCs/>
          <w:iCs/>
        </w:rPr>
        <w:t xml:space="preserve">Box </w:t>
      </w:r>
      <w:r w:rsidR="00FA29AF">
        <w:rPr>
          <w:b/>
          <w:bCs/>
          <w:iCs/>
          <w:noProof/>
        </w:rPr>
        <w:t>27</w:t>
      </w:r>
      <w:r w:rsidR="00EA5BE6">
        <w:rPr>
          <w:b/>
          <w:szCs w:val="22"/>
        </w:rPr>
        <w:fldChar w:fldCharType="end"/>
      </w:r>
      <w:r w:rsidR="00672BB2" w:rsidRPr="00C35208">
        <w:rPr>
          <w:b/>
          <w:szCs w:val="22"/>
        </w:rPr>
        <w:t xml:space="preserve">) </w:t>
      </w:r>
      <w:r w:rsidRPr="00E04D50">
        <w:rPr>
          <w:b/>
        </w:rPr>
        <w:t>zabezpečované v rámci sociálnych služieb krízovej intervencie. Jedná sa o zariadenia krízového ubytovania (nocľahárne, útulky, domovy na pol ceste a zariadenia núdzového ubytovania</w:t>
      </w:r>
      <w:r w:rsidRPr="00E04D50">
        <w:rPr>
          <w:rStyle w:val="Odkaznapoznmkupodiarou"/>
        </w:rPr>
        <w:footnoteReference w:id="438"/>
      </w:r>
      <w:r w:rsidRPr="00E04D50">
        <w:rPr>
          <w:b/>
        </w:rPr>
        <w:t>) v kombinácii s terénnou sociálnou službou krízovej intervencie</w:t>
      </w:r>
      <w:r w:rsidRPr="00E04D50">
        <w:t xml:space="preserve">. Zariadenia krízového ubytovania sa medzi sebou odlišujú s ohľadom na dĺžku pobytu, cieľovú skupinu či rozsah </w:t>
      </w:r>
      <w:r w:rsidRPr="00D3189B">
        <w:t>poskytovaných služieb (</w:t>
      </w:r>
      <w:r w:rsidR="00213C05" w:rsidRPr="00213C05">
        <w:fldChar w:fldCharType="begin"/>
      </w:r>
      <w:r w:rsidR="00213C05">
        <w:instrText xml:space="preserve"> REF _Ref34132043 \h  \* MERGEFORMAT </w:instrText>
      </w:r>
      <w:r w:rsidR="00213C05" w:rsidRPr="00213C05">
        <w:fldChar w:fldCharType="separate"/>
      </w:r>
      <w:r w:rsidR="00FA29AF" w:rsidRPr="00FA29AF">
        <w:t>Príloha 39</w:t>
      </w:r>
      <w:r w:rsidR="00213C05" w:rsidRPr="00213C05">
        <w:fldChar w:fldCharType="end"/>
      </w:r>
      <w:r w:rsidRPr="00D3189B">
        <w:t>).</w:t>
      </w:r>
      <w:r w:rsidRPr="00E04D50">
        <w:t xml:space="preserve"> Terénna služba krízovej intervencie spo</w:t>
      </w:r>
      <w:r w:rsidR="00E917BE">
        <w:t>číva v aktivitách zameraných na </w:t>
      </w:r>
      <w:r w:rsidRPr="00E04D50">
        <w:t>predchádzanie rizikovému správaniu a </w:t>
      </w:r>
      <w:r w:rsidRPr="005907E8">
        <w:rPr>
          <w:bCs/>
        </w:rPr>
        <w:t>situáciám</w:t>
      </w:r>
      <w:r w:rsidRPr="00E04D50">
        <w:t>, ich prekonanie alebo riešenie. Terénna práca v lokalitách, v ktorých sa ľudia bez domova pohybujú</w:t>
      </w:r>
      <w:r w:rsidR="00C610D5">
        <w:t>,</w:t>
      </w:r>
      <w:r w:rsidRPr="00E04D50">
        <w:t xml:space="preserve"> dokáže zasiahnuť aj ľudí, ktorí starostliv</w:t>
      </w:r>
      <w:r w:rsidR="00E917BE">
        <w:t>osť síce potrebujú, ale sami ju </w:t>
      </w:r>
      <w:r w:rsidRPr="00E04D50">
        <w:t>aktívne nevyhľadávajú.</w:t>
      </w:r>
    </w:p>
    <w:p w14:paraId="68203F16" w14:textId="45406B86" w:rsidR="00CB6EAE" w:rsidRPr="00CA2564" w:rsidRDefault="00CB6EAE" w:rsidP="005907E8">
      <w:r w:rsidRPr="00CA2564">
        <w:rPr>
          <w:b/>
        </w:rPr>
        <w:t xml:space="preserve">Zariadenia krízového ubytovania sú financované z viacerých zdrojov </w:t>
      </w:r>
      <w:r w:rsidR="00E917BE">
        <w:rPr>
          <w:b/>
        </w:rPr>
        <w:t>–</w:t>
      </w:r>
      <w:r w:rsidRPr="00CA2564">
        <w:rPr>
          <w:b/>
        </w:rPr>
        <w:t xml:space="preserve"> podiel</w:t>
      </w:r>
      <w:r w:rsidR="00414A3D">
        <w:rPr>
          <w:b/>
        </w:rPr>
        <w:t xml:space="preserve"> verejnej podpory klesol z 28,3 </w:t>
      </w:r>
      <w:r w:rsidRPr="00CA2564">
        <w:rPr>
          <w:b/>
        </w:rPr>
        <w:t>% v roku 2014 na 22,8 % v roku 2017</w:t>
      </w:r>
      <w:r w:rsidRPr="00CA2564">
        <w:t xml:space="preserve">. Podmienky čerpania štátnych prostriedkov závisia od </w:t>
      </w:r>
      <w:r w:rsidR="00E917BE">
        <w:t>orgánu, pod </w:t>
      </w:r>
      <w:r w:rsidRPr="00CA2564">
        <w:t>ktorý daná služba patrí (obec, VÚC)</w:t>
      </w:r>
      <w:r w:rsidRPr="00CA2564">
        <w:rPr>
          <w:rStyle w:val="Odkaznapoznmkupodiarou"/>
        </w:rPr>
        <w:footnoteReference w:id="439"/>
      </w:r>
      <w:r w:rsidRPr="00CA2564">
        <w:t>, prevádzkovateľa (verejný, neverejný, za účelom zisku), alebo udelenej zákonnej povinnosti túto službu prevádzkovať. Ich výška v sledovanom období kaž</w:t>
      </w:r>
      <w:r w:rsidR="00E917BE">
        <w:t>doročne mierne rastie (2,5 mil. </w:t>
      </w:r>
      <w:r w:rsidRPr="00CA2564">
        <w:t xml:space="preserve">eur v roku 2014, 2,8 mil. eur v roku 2017), no ich podiel na celkových výdavkoch sa zmenšuje. Takto sa zvyšuje záťaž na poskytovateľov týchto služieb, čím je ohrozovaná ich kvalita aj rozsah. Zároveň chýba pravidelné zisťovanie súhrnných údajov o financovaní sociálnych služieb krízovej intervencie z rozpočtov obcí, miest a VÚC. Nesledujú sa ani dôvody vedúce k zmenám vo financovaní (MPSVR, 2018, Ondrušová a </w:t>
      </w:r>
      <w:r w:rsidR="009D4E37">
        <w:t>Fico</w:t>
      </w:r>
      <w:r w:rsidRPr="00CA2564">
        <w:t>, 2018).</w:t>
      </w:r>
    </w:p>
    <w:p w14:paraId="2B9AAE5F" w14:textId="3E9276AD" w:rsidR="00CB6EAE" w:rsidRDefault="00CB6EAE" w:rsidP="005907E8">
      <w:r w:rsidRPr="00CA2564">
        <w:rPr>
          <w:b/>
        </w:rPr>
        <w:t>Klienti zariadení krízového ubytovania v nich zotrvávajú dlhodobo.</w:t>
      </w:r>
      <w:r w:rsidRPr="00CA2564">
        <w:t xml:space="preserve"> Sčítanie ľudí bez domova v Bratislave v roku 2016 poukázalo na vysokú mieru nemennosti ich situácie bývania</w:t>
      </w:r>
      <w:r w:rsidRPr="00CA2564">
        <w:rPr>
          <w:rStyle w:val="Odkaznapoznmkupodiarou"/>
        </w:rPr>
        <w:footnoteReference w:id="440"/>
      </w:r>
      <w:r w:rsidRPr="00CA2564">
        <w:t xml:space="preserve">. Viac než polovica ľudí bez domova, ktorí v čase sčítania využili služby nocľahární, v nich prespala aj rok predtým. Dlhodobé zotrvávanie v zariadeniach krízového ubytovania vytvára tlak na ich už aj tak obmedzené kapacity. Zároveň je v rozpore so samotnou povahou týchto služieb, ako aj s princípom deinštitucionalizácie, ku ktorému sa Slovenská republika hlási (Národné priority rozvoja sociálnych služieb na roky 2015-2020). Jedným z dôvodov je nedostatok cenovo dostupného, stabilného bývania </w:t>
      </w:r>
      <w:r w:rsidR="00426349">
        <w:t xml:space="preserve">s regulovaným nájmom </w:t>
      </w:r>
      <w:r w:rsidRPr="00CA2564">
        <w:t xml:space="preserve">(podkapitola </w:t>
      </w:r>
      <w:r w:rsidR="00596CBC">
        <w:fldChar w:fldCharType="begin"/>
      </w:r>
      <w:r w:rsidR="00596CBC">
        <w:instrText xml:space="preserve"> REF _Ref25315652 \r \h </w:instrText>
      </w:r>
      <w:r w:rsidR="00596CBC">
        <w:fldChar w:fldCharType="separate"/>
      </w:r>
      <w:r w:rsidR="00FA29AF">
        <w:t>9.2</w:t>
      </w:r>
      <w:r w:rsidR="00596CBC">
        <w:fldChar w:fldCharType="end"/>
      </w:r>
      <w:r w:rsidRPr="00CA2564">
        <w:t>).</w:t>
      </w:r>
    </w:p>
    <w:p w14:paraId="65A4A2D3" w14:textId="77777777" w:rsidR="00FD0685" w:rsidRDefault="00FD0685" w:rsidP="00FD0685">
      <w:pPr>
        <w:spacing w:before="200"/>
      </w:pPr>
      <w:r w:rsidRPr="00115EE3">
        <w:rPr>
          <w:b/>
        </w:rPr>
        <w:t xml:space="preserve">V súčasnosti nie je prepájanie služieb krízovej intervencie do uceleného systému legislatívne ukotvené. </w:t>
      </w:r>
      <w:r w:rsidRPr="00CA2564">
        <w:t>Pri jednotlivých zložkách krízovej intervencie (terénna sociálna práca, zariadenia krízového ubytovania, sociálne poradenstvo) tak nedochádza ku koncepčnej spolupráci a starostlivosť o klienta stráca na účinnosti.</w:t>
      </w:r>
    </w:p>
    <w:p w14:paraId="78075DE1" w14:textId="6237677A" w:rsidR="00FD0685" w:rsidRPr="00294CE5" w:rsidRDefault="00FD0685" w:rsidP="00FD0685">
      <w:r w:rsidRPr="00294CE5">
        <w:rPr>
          <w:b/>
        </w:rPr>
        <w:t>Komplexný a integrovaný systém krízovej intervencie by</w:t>
      </w:r>
      <w:r>
        <w:rPr>
          <w:b/>
        </w:rPr>
        <w:t xml:space="preserve"> pritom</w:t>
      </w:r>
      <w:r w:rsidRPr="00294CE5">
        <w:rPr>
          <w:b/>
        </w:rPr>
        <w:t xml:space="preserve"> mohol znížiť verejné výdavky spojené s bezdomovectvom a významne prispieť ku kvalite života ľudí bez domova. </w:t>
      </w:r>
      <w:r w:rsidR="00B24660">
        <w:t>Vyplýva</w:t>
      </w:r>
      <w:r w:rsidRPr="00294CE5">
        <w:t xml:space="preserve"> to </w:t>
      </w:r>
      <w:r>
        <w:t xml:space="preserve">z analýzy nákladov a prínosov občianskeho združenia Vagus, ktorú pripravil Inštitút environmentálnej politiky na Ministerstve životného prostredia (Dráb a spol. 2019). Analýza ukazuje, že služby krízovej intervencie majú významný ekonomický rozmer u ľudí v produktívnom veku a u tých, u ktorých je možné predísť komplikáciám zdravotného stavu. Naopak, k finančnej úspore nedochádza pri ľuďoch, ktorí sú aj za bežných okolností skôr poberateľmi ako prispievateľmi štátneho rozpočtu a v tých prípadoch, kde je proces integrácie dlhodobý a neprináša bezprostrednú úsporu. Vo všetkých prípadoch však intervencie prinášajú dôležité a ťažko vyčísliteľné benefity pre dotknutých ľudí v podobe opory v krízových situáciách, menšej bolesti, dôstojnej smrti, či udržiavaní sociálnych kontaktov. </w:t>
      </w:r>
    </w:p>
    <w:p w14:paraId="170DD95D" w14:textId="792E19B3" w:rsidR="00DA342E" w:rsidRPr="00521AC3" w:rsidRDefault="00EE682F" w:rsidP="00DA342E">
      <w:pPr>
        <w:pStyle w:val="Bezriadkovania"/>
        <w:spacing w:before="160" w:after="240" w:line="259" w:lineRule="auto"/>
        <w:jc w:val="both"/>
        <w:rPr>
          <w:rFonts w:ascii="Arial Narrow" w:hAnsi="Arial Narrow"/>
        </w:rPr>
      </w:pPr>
      <w:r>
        <w:rPr>
          <w:rFonts w:ascii="Arial Narrow" w:hAnsi="Arial Narrow"/>
          <w:b/>
        </w:rPr>
        <w:t>Na Slovensku a</w:t>
      </w:r>
      <w:r w:rsidR="00DA342E" w:rsidRPr="00CA2564">
        <w:rPr>
          <w:rFonts w:ascii="Arial Narrow" w:hAnsi="Arial Narrow"/>
          <w:b/>
        </w:rPr>
        <w:t xml:space="preserve">bsentuje evidencia ľudí bez domova a zisťovanie údajov o ich počte a životných podmienkach. </w:t>
      </w:r>
      <w:r w:rsidR="00DA342E" w:rsidRPr="00CA2564">
        <w:rPr>
          <w:rFonts w:ascii="Arial Narrow" w:hAnsi="Arial Narrow"/>
        </w:rPr>
        <w:t>Podľa údajov zo sčítania</w:t>
      </w:r>
      <w:r w:rsidR="00DA342E" w:rsidRPr="00CA2564">
        <w:rPr>
          <w:rFonts w:ascii="Arial Narrow" w:hAnsi="Arial Narrow"/>
          <w:b/>
        </w:rPr>
        <w:t xml:space="preserve"> </w:t>
      </w:r>
      <w:r w:rsidR="00DA342E" w:rsidRPr="00CA2564">
        <w:rPr>
          <w:rFonts w:ascii="Arial Narrow" w:hAnsi="Arial Narrow"/>
        </w:rPr>
        <w:t xml:space="preserve">obyvateľstva bolo v roku 2011 na Slovensku 23 483 ľudí bez domova </w:t>
      </w:r>
      <w:r w:rsidR="00DA342E" w:rsidRPr="005907E8">
        <w:rPr>
          <w:rFonts w:ascii="Arial Narrow" w:hAnsi="Arial Narrow"/>
        </w:rPr>
        <w:t>(</w:t>
      </w:r>
      <w:r w:rsidR="00C672A4">
        <w:rPr>
          <w:rFonts w:ascii="Arial Narrow" w:hAnsi="Arial Narrow"/>
        </w:rPr>
        <w:fldChar w:fldCharType="begin"/>
      </w:r>
      <w:r w:rsidR="00C672A4">
        <w:rPr>
          <w:rFonts w:ascii="Arial Narrow" w:hAnsi="Arial Narrow"/>
        </w:rPr>
        <w:instrText xml:space="preserve"> REF _Ref25242488 \h  \* MERGEFORMAT </w:instrText>
      </w:r>
      <w:r w:rsidR="00C672A4">
        <w:rPr>
          <w:rFonts w:ascii="Arial Narrow" w:hAnsi="Arial Narrow"/>
        </w:rPr>
      </w:r>
      <w:r w:rsidR="00C672A4">
        <w:rPr>
          <w:rFonts w:ascii="Arial Narrow" w:hAnsi="Arial Narrow"/>
        </w:rPr>
        <w:fldChar w:fldCharType="separate"/>
      </w:r>
      <w:r w:rsidR="00FA29AF" w:rsidRPr="00FA29AF">
        <w:rPr>
          <w:rFonts w:ascii="Arial Narrow" w:hAnsi="Arial Narrow"/>
        </w:rPr>
        <w:t>Box 27</w:t>
      </w:r>
      <w:r w:rsidR="00C672A4">
        <w:rPr>
          <w:rFonts w:ascii="Arial Narrow" w:hAnsi="Arial Narrow"/>
        </w:rPr>
        <w:fldChar w:fldCharType="end"/>
      </w:r>
      <w:r w:rsidR="00DA342E" w:rsidRPr="005907E8">
        <w:rPr>
          <w:rFonts w:ascii="Arial Narrow" w:hAnsi="Arial Narrow"/>
        </w:rPr>
        <w:t>). Toto číslo</w:t>
      </w:r>
      <w:r w:rsidR="00DA342E" w:rsidRPr="00CA2564">
        <w:rPr>
          <w:rFonts w:ascii="Arial Narrow" w:hAnsi="Arial Narrow"/>
        </w:rPr>
        <w:t xml:space="preserve"> však možno považovať za spodnú hranicu, keďže pri zisťovaní bol použitý koncept sekundárneho bezdomovectva</w:t>
      </w:r>
      <w:r w:rsidR="00DA342E" w:rsidRPr="00CA2564">
        <w:rPr>
          <w:rStyle w:val="Odkaznapoznmkupodiarou"/>
          <w:rFonts w:ascii="Arial Narrow" w:hAnsi="Arial Narrow"/>
        </w:rPr>
        <w:footnoteReference w:id="441"/>
      </w:r>
      <w:r w:rsidR="00DA342E" w:rsidRPr="00CA2564">
        <w:rPr>
          <w:rFonts w:ascii="Arial Narrow" w:hAnsi="Arial Narrow"/>
        </w:rPr>
        <w:t xml:space="preserve"> a osoby bez prístrešia prespávajúce vonku na ulici doňho neboli zahrnuté</w:t>
      </w:r>
      <w:r w:rsidR="00DA342E" w:rsidRPr="00CA2564">
        <w:rPr>
          <w:rStyle w:val="Odkaznapoznmkupodiarou"/>
          <w:rFonts w:ascii="Arial Narrow" w:hAnsi="Arial Narrow"/>
        </w:rPr>
        <w:footnoteReference w:id="442"/>
      </w:r>
      <w:r w:rsidR="00DA342E" w:rsidRPr="00CA2564">
        <w:rPr>
          <w:rFonts w:ascii="Arial Narrow" w:hAnsi="Arial Narrow"/>
        </w:rPr>
        <w:t xml:space="preserve">. Monitorovanie situácie na národnej úrovni neexistuje, tým pádom nie je možné určiť dopyt po krízovom ubytovaní </w:t>
      </w:r>
      <w:r w:rsidR="00DA342E" w:rsidRPr="00521AC3">
        <w:rPr>
          <w:rFonts w:ascii="Arial Narrow" w:hAnsi="Arial Narrow"/>
        </w:rPr>
        <w:t xml:space="preserve">a vytvoriť tak zodpovedajúce kapacity. </w:t>
      </w:r>
      <w:r w:rsidR="008541AF" w:rsidRPr="00521AC3">
        <w:rPr>
          <w:rFonts w:ascii="Arial Narrow" w:hAnsi="Arial Narrow"/>
        </w:rPr>
        <w:t xml:space="preserve">Medzi rokmi 2010 až </w:t>
      </w:r>
      <w:r w:rsidR="008541AF">
        <w:rPr>
          <w:rFonts w:ascii="Arial Narrow" w:hAnsi="Arial Narrow"/>
        </w:rPr>
        <w:t>2018</w:t>
      </w:r>
      <w:r w:rsidR="008541AF" w:rsidRPr="00521AC3">
        <w:rPr>
          <w:rFonts w:ascii="Arial Narrow" w:hAnsi="Arial Narrow"/>
        </w:rPr>
        <w:t xml:space="preserve"> vzrástol celkový počet miest v zariadeniach krízového ubytovania z 3 274 na</w:t>
      </w:r>
      <w:r w:rsidR="0070047D">
        <w:rPr>
          <w:rFonts w:ascii="Arial Narrow" w:hAnsi="Arial Narrow"/>
        </w:rPr>
        <w:t xml:space="preserve"> </w:t>
      </w:r>
      <w:r w:rsidR="008541AF">
        <w:rPr>
          <w:rFonts w:ascii="Arial Narrow" w:hAnsi="Arial Narrow"/>
        </w:rPr>
        <w:t>4 386</w:t>
      </w:r>
      <w:r w:rsidR="008541AF" w:rsidRPr="00521AC3">
        <w:rPr>
          <w:rFonts w:ascii="Arial Narrow" w:hAnsi="Arial Narrow"/>
        </w:rPr>
        <w:t>, no vzhľadom na odhadovaný počet ľudí bez domova je ponuka značne poddimenzovaná (</w:t>
      </w:r>
      <w:r w:rsidR="008541AF" w:rsidRPr="006D0BF8">
        <w:rPr>
          <w:rFonts w:ascii="Arial Narrow" w:hAnsi="Arial Narrow"/>
        </w:rPr>
        <w:t>Ročný výkaz o zariadeniach sociálnych služieb</w:t>
      </w:r>
      <w:r w:rsidR="008541AF">
        <w:rPr>
          <w:rFonts w:ascii="Arial Narrow" w:hAnsi="Arial Narrow"/>
        </w:rPr>
        <w:t xml:space="preserve"> 2018</w:t>
      </w:r>
      <w:r w:rsidR="00DA342E" w:rsidRPr="00521AC3">
        <w:rPr>
          <w:rFonts w:ascii="Arial Narrow" w:hAnsi="Arial Narrow"/>
        </w:rPr>
        <w:t xml:space="preserve">, Ondrušová a </w:t>
      </w:r>
      <w:r w:rsidR="009D4E37">
        <w:rPr>
          <w:rFonts w:ascii="Arial Narrow" w:hAnsi="Arial Narrow"/>
        </w:rPr>
        <w:t>Fico</w:t>
      </w:r>
      <w:r w:rsidR="00DA342E" w:rsidRPr="00521AC3">
        <w:rPr>
          <w:rFonts w:ascii="Arial Narrow" w:hAnsi="Arial Narrow"/>
        </w:rPr>
        <w:t>, 2018).</w:t>
      </w:r>
      <w:r w:rsidR="00C672A4">
        <w:rPr>
          <w:rFonts w:ascii="Arial Narrow" w:hAnsi="Arial Narrow"/>
        </w:rPr>
        <w:t xml:space="preserve"> </w:t>
      </w:r>
    </w:p>
    <w:p w14:paraId="1BC9A93F" w14:textId="4A824ED3" w:rsidR="00C672A4" w:rsidRDefault="00DA342E" w:rsidP="00C672A4">
      <w:pPr>
        <w:pStyle w:val="Bezriadkovania"/>
        <w:spacing w:before="160" w:after="240" w:line="259" w:lineRule="auto"/>
        <w:jc w:val="both"/>
        <w:rPr>
          <w:rFonts w:ascii="Arial Narrow" w:hAnsi="Arial Narrow"/>
        </w:rPr>
      </w:pPr>
      <w:r w:rsidRPr="00521AC3">
        <w:rPr>
          <w:rFonts w:ascii="Arial Narrow" w:hAnsi="Arial Narrow"/>
          <w:b/>
        </w:rPr>
        <w:t>Za účelom efektívnejšieho plánovania verejných politík smerujúcich k prevencii a ukončovaniu bezdomovectva navrhuje revízia zaviesť systematický a pravidelný zber údajov o ľuďoch bez domova</w:t>
      </w:r>
      <w:r w:rsidR="001E1229">
        <w:rPr>
          <w:rFonts w:ascii="Arial Narrow" w:hAnsi="Arial Narrow"/>
          <w:b/>
        </w:rPr>
        <w:t xml:space="preserve"> a ľuďoch ohrozených stratou bývania</w:t>
      </w:r>
      <w:r w:rsidRPr="00521AC3">
        <w:rPr>
          <w:rFonts w:ascii="Arial Narrow" w:hAnsi="Arial Narrow"/>
          <w:b/>
        </w:rPr>
        <w:t>.</w:t>
      </w:r>
      <w:r w:rsidRPr="00521AC3">
        <w:rPr>
          <w:rFonts w:ascii="Arial Narrow" w:hAnsi="Arial Narrow"/>
        </w:rPr>
        <w:t xml:space="preserve"> Tento cieľ by bolo možné dosiahnuť obstaraním a správou softvérového riešenia evidencie klientov pre všetky organizácie, ktoré poskytujú sociálne služby ľuďom bez domova, vrátane služieb poskytovaných terénnou formou, v súlade so všetkými požiadavkami dodržiavania ochrany osobných údajov</w:t>
      </w:r>
      <w:r w:rsidR="00D6420F">
        <w:rPr>
          <w:rFonts w:ascii="Arial Narrow" w:hAnsi="Arial Narrow"/>
        </w:rPr>
        <w:t xml:space="preserve"> a nízkoprahového charakteru niektorých sociálnych služieb</w:t>
      </w:r>
      <w:r w:rsidRPr="00521AC3">
        <w:rPr>
          <w:rFonts w:ascii="Arial Narrow" w:hAnsi="Arial Narrow"/>
        </w:rPr>
        <w:t xml:space="preserve"> (Ondrušová a </w:t>
      </w:r>
      <w:r w:rsidR="009D4E37">
        <w:rPr>
          <w:rFonts w:ascii="Arial Narrow" w:hAnsi="Arial Narrow"/>
        </w:rPr>
        <w:t>Fico</w:t>
      </w:r>
      <w:r w:rsidRPr="00521AC3">
        <w:rPr>
          <w:rFonts w:ascii="Arial Narrow" w:hAnsi="Arial Narrow"/>
        </w:rPr>
        <w:t>, 2018). Výhodou takéhoto prístupu oproti príležitostným sčítaniam ľudí bez domova je možnosť sledovať odliv a príliv ľudí bez domova a dĺžku trvania bezdomovectva</w:t>
      </w:r>
      <w:r w:rsidR="00A85C93">
        <w:rPr>
          <w:rFonts w:ascii="Arial Narrow" w:hAnsi="Arial Narrow"/>
        </w:rPr>
        <w:t>,</w:t>
      </w:r>
      <w:r w:rsidRPr="00521AC3">
        <w:rPr>
          <w:rFonts w:ascii="Arial Narrow" w:hAnsi="Arial Narrow"/>
        </w:rPr>
        <w:t xml:space="preserve"> čo by umožnilo skúmať jeho príčiny a vyhodnocovať účinnosť verejných politík. Skúsenosť so spoločným registrom klientov už majú mnohé európske krajiny, vrátane Dánska, Írska, Holandska, či Belgicka (Edgar a spol., 2007).</w:t>
      </w:r>
      <w:r w:rsidR="001E1229">
        <w:rPr>
          <w:rFonts w:ascii="Arial Narrow" w:hAnsi="Arial Narrow"/>
        </w:rPr>
        <w:t xml:space="preserve"> V prípade ľudí ohrozených stratou bývania je potrebné </w:t>
      </w:r>
      <w:r w:rsidR="00E569CB">
        <w:rPr>
          <w:rFonts w:ascii="Arial Narrow" w:hAnsi="Arial Narrow"/>
        </w:rPr>
        <w:t xml:space="preserve">hľadať spôsoby ako </w:t>
      </w:r>
      <w:r w:rsidR="00C23BCA">
        <w:rPr>
          <w:rFonts w:ascii="Arial Narrow" w:hAnsi="Arial Narrow"/>
        </w:rPr>
        <w:t>ich i</w:t>
      </w:r>
      <w:r w:rsidR="00E569CB">
        <w:rPr>
          <w:rFonts w:ascii="Arial Narrow" w:hAnsi="Arial Narrow"/>
        </w:rPr>
        <w:t xml:space="preserve">dentifikovať napríklad v spolupráci s verejnými a súkromnými </w:t>
      </w:r>
      <w:r w:rsidR="00C23BCA">
        <w:rPr>
          <w:rFonts w:ascii="Arial Narrow" w:hAnsi="Arial Narrow"/>
        </w:rPr>
        <w:t>vlastníkmi nájomných bytov a</w:t>
      </w:r>
      <w:r w:rsidR="00E569CB">
        <w:rPr>
          <w:rFonts w:ascii="Arial Narrow" w:hAnsi="Arial Narrow"/>
        </w:rPr>
        <w:t xml:space="preserve"> ubytovní, detskými domovami</w:t>
      </w:r>
      <w:r w:rsidR="00345688">
        <w:rPr>
          <w:rFonts w:ascii="Arial Narrow" w:hAnsi="Arial Narrow"/>
        </w:rPr>
        <w:t>, zdravotnými poisťovňami</w:t>
      </w:r>
      <w:r w:rsidR="00E569CB">
        <w:rPr>
          <w:rFonts w:ascii="Arial Narrow" w:hAnsi="Arial Narrow"/>
        </w:rPr>
        <w:t xml:space="preserve"> </w:t>
      </w:r>
      <w:r w:rsidR="00C23BCA">
        <w:rPr>
          <w:rFonts w:ascii="Arial Narrow" w:hAnsi="Arial Narrow"/>
        </w:rPr>
        <w:t>či úradmi práce.</w:t>
      </w:r>
    </w:p>
    <w:p w14:paraId="6F26EE69" w14:textId="4700F1BA" w:rsidR="005D3372" w:rsidRPr="00413802" w:rsidRDefault="00B65094" w:rsidP="00C672A4">
      <w:pPr>
        <w:pStyle w:val="Bezriadkovania"/>
        <w:spacing w:before="160" w:after="240" w:line="259" w:lineRule="auto"/>
        <w:jc w:val="both"/>
        <w:rPr>
          <w:rFonts w:ascii="Arial Narrow" w:hAnsi="Arial Narrow"/>
        </w:rPr>
      </w:pPr>
      <w:r w:rsidRPr="008B336A">
        <w:rPr>
          <w:rFonts w:ascii="Arial Narrow" w:hAnsi="Arial Narrow"/>
          <w:b/>
        </w:rPr>
        <w:t xml:space="preserve">Slovensko zatiaľ nemá ucelenú koncepciu riešenia bezdomovectva na národnej úrovni. </w:t>
      </w:r>
      <w:r w:rsidRPr="008B336A">
        <w:rPr>
          <w:rFonts w:ascii="Arial Narrow" w:hAnsi="Arial Narrow"/>
        </w:rPr>
        <w:t>Takúto str</w:t>
      </w:r>
      <w:r w:rsidR="00413802">
        <w:rPr>
          <w:rFonts w:ascii="Arial Narrow" w:hAnsi="Arial Narrow"/>
        </w:rPr>
        <w:t>a</w:t>
      </w:r>
      <w:r w:rsidRPr="008B336A">
        <w:rPr>
          <w:rFonts w:ascii="Arial Narrow" w:hAnsi="Arial Narrow"/>
        </w:rPr>
        <w:t xml:space="preserve">tégiu má </w:t>
      </w:r>
      <w:r>
        <w:rPr>
          <w:rFonts w:ascii="Arial Narrow" w:hAnsi="Arial Narrow"/>
        </w:rPr>
        <w:t>tretina krajín OECD, pričom skúsenosti Fínska ukazujú, že integrácia politík na národnej úrovni môže viesť k efektívnejšiemu využívaniu verejných financií (OECD, 2015</w:t>
      </w:r>
      <w:r w:rsidR="005D3372">
        <w:rPr>
          <w:rFonts w:ascii="Arial Narrow" w:hAnsi="Arial Narrow"/>
        </w:rPr>
        <w:t>a</w:t>
      </w:r>
      <w:r>
        <w:rPr>
          <w:rFonts w:ascii="Arial Narrow" w:hAnsi="Arial Narrow"/>
        </w:rPr>
        <w:t xml:space="preserve">). Nastavenie jasnej spolupráce štátu so samosprávami je dôležité aj z toho dôvodu, že </w:t>
      </w:r>
      <w:r w:rsidR="005D3372">
        <w:rPr>
          <w:rFonts w:ascii="Arial Narrow" w:hAnsi="Arial Narrow"/>
        </w:rPr>
        <w:t xml:space="preserve">väčšina úspor z efektívnej prevencie a riešenia bezdomovectva vzniká predovšetkým na výdavkoch štátu (napr. na zdravotnú starostlivosť a zásahy polície) kým mnohé relevantné politiky (napr. v oblasti sociálnych služieb) sú v originálnej kompetencii samospráv. </w:t>
      </w:r>
      <w:r w:rsidR="005D3372" w:rsidRPr="008B336A">
        <w:rPr>
          <w:rFonts w:ascii="Arial Narrow" w:hAnsi="Arial Narrow"/>
          <w:b/>
        </w:rPr>
        <w:t>Revízia preto navrhuje vypracovať a prijať národnú stratégiu prevencie a riešenia bezdomovectva.</w:t>
      </w:r>
      <w:r w:rsidR="005D3372">
        <w:rPr>
          <w:rStyle w:val="Odkaznapoznmkupodiarou"/>
          <w:rFonts w:ascii="Arial Narrow" w:hAnsi="Arial Narrow"/>
          <w:b/>
        </w:rPr>
        <w:footnoteReference w:id="443"/>
      </w:r>
    </w:p>
    <w:tbl>
      <w:tblPr>
        <w:tblW w:w="0" w:type="auto"/>
        <w:tblInd w:w="-5" w:type="dxa"/>
        <w:shd w:val="clear" w:color="auto" w:fill="BDD6EE" w:themeFill="accent1" w:themeFillTint="66"/>
        <w:tblLook w:val="04A0" w:firstRow="1" w:lastRow="0" w:firstColumn="1" w:lastColumn="0" w:noHBand="0" w:noVBand="1"/>
      </w:tblPr>
      <w:tblGrid>
        <w:gridCol w:w="9031"/>
      </w:tblGrid>
      <w:tr w:rsidR="00F765FD" w:rsidRPr="00A42768" w14:paraId="26A0F426" w14:textId="77777777" w:rsidTr="00F765FD">
        <w:tc>
          <w:tcPr>
            <w:tcW w:w="9062" w:type="dxa"/>
            <w:shd w:val="clear" w:color="auto" w:fill="BDD6EE" w:themeFill="accent1" w:themeFillTint="66"/>
          </w:tcPr>
          <w:p w14:paraId="707D806E" w14:textId="741B9B7C" w:rsidR="00F765FD" w:rsidRPr="00D3189B" w:rsidRDefault="00F765FD" w:rsidP="00B04C05">
            <w:pPr>
              <w:spacing w:before="160"/>
              <w:rPr>
                <w:b/>
                <w:bCs/>
                <w:iCs/>
              </w:rPr>
            </w:pPr>
            <w:bookmarkStart w:id="1649" w:name="_Ref25242488"/>
            <w:r w:rsidRPr="0066092B">
              <w:rPr>
                <w:b/>
                <w:bCs/>
                <w:iCs/>
              </w:rPr>
              <w:t xml:space="preserve">Box </w:t>
            </w:r>
            <w:r w:rsidR="00A425AB">
              <w:rPr>
                <w:b/>
                <w:bCs/>
                <w:iCs/>
              </w:rPr>
              <w:fldChar w:fldCharType="begin"/>
            </w:r>
            <w:r w:rsidR="00A425AB">
              <w:rPr>
                <w:b/>
                <w:bCs/>
                <w:iCs/>
              </w:rPr>
              <w:instrText xml:space="preserve"> SEQ Box \* ARABIC </w:instrText>
            </w:r>
            <w:r w:rsidR="00A425AB">
              <w:rPr>
                <w:b/>
                <w:bCs/>
                <w:iCs/>
              </w:rPr>
              <w:fldChar w:fldCharType="separate"/>
            </w:r>
            <w:r w:rsidR="00FA29AF">
              <w:rPr>
                <w:b/>
                <w:bCs/>
                <w:iCs/>
                <w:noProof/>
              </w:rPr>
              <w:t>27</w:t>
            </w:r>
            <w:r w:rsidR="00A425AB">
              <w:rPr>
                <w:b/>
                <w:bCs/>
                <w:iCs/>
              </w:rPr>
              <w:fldChar w:fldCharType="end"/>
            </w:r>
            <w:bookmarkEnd w:id="1649"/>
            <w:r w:rsidRPr="00D3189B">
              <w:rPr>
                <w:b/>
                <w:bCs/>
              </w:rPr>
              <w:t xml:space="preserve">: </w:t>
            </w:r>
            <w:r>
              <w:rPr>
                <w:b/>
                <w:bCs/>
              </w:rPr>
              <w:t>Kto sú ľudia v bytovej núdzi?</w:t>
            </w:r>
          </w:p>
          <w:p w14:paraId="19B501DC" w14:textId="77FCE076" w:rsidR="00F765FD" w:rsidRPr="00F23F5A" w:rsidRDefault="00F765FD" w:rsidP="00B04C05">
            <w:r>
              <w:t>Na Slovensku nie sú bezdomovectvo ani pojem „ľudia bez domova“ legislatívne ukotvené. Vo viacerých európskych krajinách sa k tomuto účelu využíva typológia bezdomovectva a vylúčenia z bývania ETHOS</w:t>
            </w:r>
            <w:r>
              <w:rPr>
                <w:rStyle w:val="Odkaznapoznmkupodiarou"/>
              </w:rPr>
              <w:footnoteReference w:id="444"/>
            </w:r>
            <w:r>
              <w:t>, vypracovaná Európskou federáciou organizácií pracujúcich s ľuďmi bez domova (FEANTSA). Dôvodom jej vzniku bolo umožnenie porovnávania dát o bezdomovectve na európskej úrovn</w:t>
            </w:r>
            <w:r w:rsidR="00A85C93">
              <w:t>i. Jej prínos však spočíva aj v </w:t>
            </w:r>
            <w:r>
              <w:t>poukázaní na skutočnosť, že osoby prespávajúce na ulici ako najviac viditeľná skupina ľudí bez domova, predstavujú len špičku ľadovca oveľa závažnejšieho a rozsiahlejšieho spoločenského problému. V súčasnosti už existuje široký konsenzus v tom, že termín bezdomovectvo môže zahŕňať viacero životných situácií (Ondrušová a </w:t>
            </w:r>
            <w:r w:rsidR="009D4E37">
              <w:t>Fico</w:t>
            </w:r>
            <w:r>
              <w:t>, 2015).</w:t>
            </w:r>
          </w:p>
          <w:p w14:paraId="60970512" w14:textId="40B111A0" w:rsidR="00F765FD" w:rsidRDefault="00F765FD" w:rsidP="00F765FD">
            <w:r>
              <w:t>Hlavným zohľadňovaným</w:t>
            </w:r>
            <w:r w:rsidR="0070047D">
              <w:t xml:space="preserve"> </w:t>
            </w:r>
            <w:r>
              <w:t>faktorom v rámci typológie ETHOS je chýbajúci domov. Ten primárne charakterizujú tri oblasti – fyzická (adekvátne bývanie využívané výlučne danou osobou a jej rodinou), sociálna (priestor na súkromie a budovanie vzťahov) a právna (oprávnenie užívať obydlie na základe oficiálneho dok</w:t>
            </w:r>
            <w:r w:rsidR="004D020D">
              <w:t>umentu). Ak </w:t>
            </w:r>
            <w:r>
              <w:t>absentuje jedna, či viaceré z týchto oblastí, dochádza k bezdomovectvu, alebo vylúčeniu z bývania. Rozlišujú sa takisto štyri koncepčné kategórie v závislosti od toho, či je osoba (1) bez prístrešia, (2) bez bývania, žije v (3) neistom, alebo (4) nevyhovujúcom bývaní. Prvé dve kategórie pritom definujú bezdomovectvo, kdežto ďalšie dve je možné označiť za vylúčenie z bývania (Ondrušová a </w:t>
            </w:r>
            <w:r w:rsidR="009D4E37">
              <w:t>Fico</w:t>
            </w:r>
            <w:r>
              <w:t>, 2018)</w:t>
            </w:r>
            <w:r w:rsidRPr="00F23F5A">
              <w:t>.</w:t>
            </w:r>
          </w:p>
          <w:tbl>
            <w:tblPr>
              <w:tblW w:w="0" w:type="auto"/>
              <w:tblBorders>
                <w:top w:val="single" w:sz="4" w:space="0" w:color="auto"/>
                <w:bottom w:val="single" w:sz="4" w:space="0" w:color="auto"/>
              </w:tblBorders>
              <w:tblLook w:val="04A0" w:firstRow="1" w:lastRow="0" w:firstColumn="1" w:lastColumn="0" w:noHBand="0" w:noVBand="1"/>
            </w:tblPr>
            <w:tblGrid>
              <w:gridCol w:w="2043"/>
              <w:gridCol w:w="2156"/>
              <w:gridCol w:w="4616"/>
            </w:tblGrid>
            <w:tr w:rsidR="00F765FD" w14:paraId="0DCDA6BD" w14:textId="77777777" w:rsidTr="00B04C05">
              <w:tc>
                <w:tcPr>
                  <w:tcW w:w="2047" w:type="dxa"/>
                  <w:tcBorders>
                    <w:top w:val="single" w:sz="4" w:space="0" w:color="auto"/>
                    <w:bottom w:val="single" w:sz="4" w:space="0" w:color="auto"/>
                  </w:tcBorders>
                </w:tcPr>
                <w:p w14:paraId="1CAA694B" w14:textId="77777777" w:rsidR="00F765FD" w:rsidRPr="00F7660F" w:rsidRDefault="00F765FD" w:rsidP="00F765FD">
                  <w:pPr>
                    <w:pStyle w:val="Bezriadkovania"/>
                    <w:spacing w:line="259" w:lineRule="auto"/>
                    <w:rPr>
                      <w:rFonts w:ascii="Arial Narrow" w:hAnsi="Arial Narrow"/>
                      <w:sz w:val="20"/>
                      <w:szCs w:val="20"/>
                    </w:rPr>
                  </w:pPr>
                </w:p>
              </w:tc>
              <w:tc>
                <w:tcPr>
                  <w:tcW w:w="2160" w:type="dxa"/>
                  <w:tcBorders>
                    <w:top w:val="single" w:sz="4" w:space="0" w:color="auto"/>
                    <w:bottom w:val="single" w:sz="4" w:space="0" w:color="auto"/>
                  </w:tcBorders>
                </w:tcPr>
                <w:p w14:paraId="50962F59" w14:textId="77777777" w:rsidR="00F765FD" w:rsidRPr="00F7660F" w:rsidRDefault="00F765FD" w:rsidP="00F765FD">
                  <w:pPr>
                    <w:pStyle w:val="Bezriadkovania"/>
                    <w:spacing w:line="259" w:lineRule="auto"/>
                    <w:rPr>
                      <w:rFonts w:ascii="Arial Narrow" w:hAnsi="Arial Narrow"/>
                      <w:sz w:val="20"/>
                      <w:szCs w:val="20"/>
                    </w:rPr>
                  </w:pPr>
                  <w:r w:rsidRPr="00F7660F">
                    <w:rPr>
                      <w:rFonts w:ascii="Arial Narrow" w:hAnsi="Arial Narrow"/>
                      <w:b/>
                      <w:sz w:val="20"/>
                      <w:szCs w:val="20"/>
                    </w:rPr>
                    <w:t>Koncepčná kategória</w:t>
                  </w:r>
                </w:p>
              </w:tc>
              <w:tc>
                <w:tcPr>
                  <w:tcW w:w="4629" w:type="dxa"/>
                  <w:tcBorders>
                    <w:top w:val="single" w:sz="4" w:space="0" w:color="auto"/>
                    <w:bottom w:val="single" w:sz="4" w:space="0" w:color="auto"/>
                  </w:tcBorders>
                </w:tcPr>
                <w:p w14:paraId="2CA33FA7" w14:textId="77777777" w:rsidR="00F765FD" w:rsidRPr="00F7660F" w:rsidRDefault="00F765FD" w:rsidP="00F765FD">
                  <w:pPr>
                    <w:pStyle w:val="Bezriadkovania"/>
                    <w:spacing w:line="259" w:lineRule="auto"/>
                    <w:rPr>
                      <w:rFonts w:ascii="Arial Narrow" w:hAnsi="Arial Narrow"/>
                      <w:sz w:val="20"/>
                      <w:szCs w:val="20"/>
                    </w:rPr>
                  </w:pPr>
                  <w:r w:rsidRPr="00F7660F">
                    <w:rPr>
                      <w:rFonts w:ascii="Arial Narrow" w:hAnsi="Arial Narrow"/>
                      <w:b/>
                      <w:sz w:val="20"/>
                      <w:szCs w:val="20"/>
                    </w:rPr>
                    <w:t>Operačná kategória</w:t>
                  </w:r>
                </w:p>
              </w:tc>
            </w:tr>
            <w:tr w:rsidR="00F765FD" w14:paraId="1EF72C23" w14:textId="77777777" w:rsidTr="00B04C05">
              <w:tc>
                <w:tcPr>
                  <w:tcW w:w="2047" w:type="dxa"/>
                  <w:vMerge w:val="restart"/>
                  <w:tcBorders>
                    <w:top w:val="single" w:sz="4" w:space="0" w:color="auto"/>
                  </w:tcBorders>
                </w:tcPr>
                <w:p w14:paraId="25825590" w14:textId="77777777" w:rsidR="00F765FD" w:rsidRPr="00F7660F" w:rsidRDefault="00F765FD" w:rsidP="00F765FD">
                  <w:pPr>
                    <w:pStyle w:val="Bezriadkovania"/>
                    <w:spacing w:line="259" w:lineRule="auto"/>
                    <w:rPr>
                      <w:rFonts w:ascii="Arial Narrow" w:hAnsi="Arial Narrow"/>
                      <w:sz w:val="20"/>
                      <w:szCs w:val="20"/>
                    </w:rPr>
                  </w:pPr>
                  <w:r w:rsidRPr="009E515A">
                    <w:rPr>
                      <w:rFonts w:ascii="Arial Narrow" w:hAnsi="Arial Narrow"/>
                      <w:sz w:val="20"/>
                      <w:szCs w:val="20"/>
                    </w:rPr>
                    <w:t>Bezdomovectvo</w:t>
                  </w:r>
                </w:p>
              </w:tc>
              <w:tc>
                <w:tcPr>
                  <w:tcW w:w="2160" w:type="dxa"/>
                  <w:vMerge w:val="restart"/>
                  <w:tcBorders>
                    <w:top w:val="single" w:sz="4" w:space="0" w:color="auto"/>
                  </w:tcBorders>
                </w:tcPr>
                <w:p w14:paraId="141931EF" w14:textId="77777777" w:rsidR="00F765FD" w:rsidRPr="00F7660F" w:rsidRDefault="00F765FD" w:rsidP="00F765FD">
                  <w:pPr>
                    <w:pStyle w:val="Bezriadkovania"/>
                    <w:spacing w:line="259" w:lineRule="auto"/>
                    <w:rPr>
                      <w:rFonts w:ascii="Arial Narrow" w:hAnsi="Arial Narrow"/>
                      <w:bCs/>
                      <w:sz w:val="20"/>
                      <w:szCs w:val="20"/>
                    </w:rPr>
                  </w:pPr>
                  <w:r w:rsidRPr="00F7660F">
                    <w:rPr>
                      <w:rFonts w:ascii="Arial Narrow" w:hAnsi="Arial Narrow"/>
                      <w:bCs/>
                      <w:sz w:val="20"/>
                      <w:szCs w:val="20"/>
                    </w:rPr>
                    <w:t>Bez prístrešia</w:t>
                  </w:r>
                </w:p>
              </w:tc>
              <w:tc>
                <w:tcPr>
                  <w:tcW w:w="4629" w:type="dxa"/>
                  <w:tcBorders>
                    <w:top w:val="single" w:sz="4" w:space="0" w:color="auto"/>
                  </w:tcBorders>
                </w:tcPr>
                <w:p w14:paraId="259D4F47" w14:textId="77777777" w:rsidR="00F765FD" w:rsidRPr="00F7660F" w:rsidRDefault="00F765FD" w:rsidP="00F765FD">
                  <w:pPr>
                    <w:pStyle w:val="Bezriadkovania"/>
                    <w:spacing w:line="259" w:lineRule="auto"/>
                    <w:rPr>
                      <w:rFonts w:ascii="Arial Narrow" w:hAnsi="Arial Narrow"/>
                      <w:sz w:val="20"/>
                      <w:szCs w:val="20"/>
                    </w:rPr>
                  </w:pPr>
                  <w:r w:rsidRPr="00F7660F">
                    <w:rPr>
                      <w:rFonts w:ascii="Arial Narrow" w:hAnsi="Arial Narrow"/>
                      <w:sz w:val="20"/>
                      <w:szCs w:val="20"/>
                    </w:rPr>
                    <w:t>1. Ľudia (žijúci) na ulici</w:t>
                  </w:r>
                </w:p>
              </w:tc>
            </w:tr>
            <w:tr w:rsidR="00F765FD" w14:paraId="6441B6D0" w14:textId="77777777" w:rsidTr="00B04C05">
              <w:tc>
                <w:tcPr>
                  <w:tcW w:w="2047" w:type="dxa"/>
                  <w:vMerge/>
                </w:tcPr>
                <w:p w14:paraId="0B651049" w14:textId="77777777" w:rsidR="00F765FD" w:rsidRPr="00F7660F" w:rsidRDefault="00F765FD" w:rsidP="00F765FD">
                  <w:pPr>
                    <w:pStyle w:val="Bezriadkovania"/>
                    <w:spacing w:line="259" w:lineRule="auto"/>
                    <w:rPr>
                      <w:rFonts w:ascii="Arial Narrow" w:hAnsi="Arial Narrow"/>
                      <w:sz w:val="20"/>
                      <w:szCs w:val="20"/>
                    </w:rPr>
                  </w:pPr>
                </w:p>
              </w:tc>
              <w:tc>
                <w:tcPr>
                  <w:tcW w:w="2160" w:type="dxa"/>
                  <w:vMerge/>
                </w:tcPr>
                <w:p w14:paraId="3F2E84A1" w14:textId="77777777" w:rsidR="00F765FD" w:rsidRPr="00F7660F" w:rsidRDefault="00F765FD" w:rsidP="00F765FD">
                  <w:pPr>
                    <w:pStyle w:val="Bezriadkovania"/>
                    <w:spacing w:line="259" w:lineRule="auto"/>
                    <w:rPr>
                      <w:rFonts w:ascii="Arial Narrow" w:hAnsi="Arial Narrow"/>
                      <w:sz w:val="20"/>
                      <w:szCs w:val="20"/>
                    </w:rPr>
                  </w:pPr>
                </w:p>
              </w:tc>
              <w:tc>
                <w:tcPr>
                  <w:tcW w:w="4629" w:type="dxa"/>
                </w:tcPr>
                <w:p w14:paraId="76A2F298" w14:textId="77777777" w:rsidR="00F765FD" w:rsidRPr="00F7660F" w:rsidRDefault="00F765FD" w:rsidP="00F765FD">
                  <w:pPr>
                    <w:pStyle w:val="Bezriadkovania"/>
                    <w:spacing w:line="259" w:lineRule="auto"/>
                    <w:rPr>
                      <w:rFonts w:ascii="Arial Narrow" w:hAnsi="Arial Narrow"/>
                      <w:sz w:val="20"/>
                      <w:szCs w:val="20"/>
                    </w:rPr>
                  </w:pPr>
                  <w:r w:rsidRPr="00F7660F">
                    <w:rPr>
                      <w:rFonts w:ascii="Arial Narrow" w:hAnsi="Arial Narrow"/>
                      <w:sz w:val="20"/>
                      <w:szCs w:val="20"/>
                    </w:rPr>
                    <w:t xml:space="preserve">2. Ľudia </w:t>
                  </w:r>
                  <w:r w:rsidRPr="00F7660F">
                    <w:rPr>
                      <w:rFonts w:ascii="Arial Narrow" w:hAnsi="Arial Narrow"/>
                      <w:spacing w:val="-13"/>
                      <w:sz w:val="20"/>
                      <w:szCs w:val="20"/>
                    </w:rPr>
                    <w:t xml:space="preserve">v </w:t>
                  </w:r>
                  <w:r w:rsidRPr="00F7660F">
                    <w:rPr>
                      <w:rFonts w:ascii="Arial Narrow" w:hAnsi="Arial Narrow"/>
                      <w:sz w:val="20"/>
                      <w:szCs w:val="20"/>
                    </w:rPr>
                    <w:t xml:space="preserve">krízovom ubytovaní </w:t>
                  </w:r>
                  <w:r w:rsidRPr="00F7660F">
                    <w:rPr>
                      <w:rFonts w:ascii="Arial Narrow" w:hAnsi="Arial Narrow"/>
                      <w:spacing w:val="-8"/>
                      <w:sz w:val="20"/>
                      <w:szCs w:val="20"/>
                    </w:rPr>
                    <w:t xml:space="preserve">za </w:t>
                  </w:r>
                  <w:r w:rsidRPr="00F7660F">
                    <w:rPr>
                      <w:rFonts w:ascii="Arial Narrow" w:hAnsi="Arial Narrow"/>
                      <w:sz w:val="20"/>
                      <w:szCs w:val="20"/>
                    </w:rPr>
                    <w:t>účelom prenocovania</w:t>
                  </w:r>
                </w:p>
              </w:tc>
            </w:tr>
            <w:tr w:rsidR="00F765FD" w14:paraId="4C617EA4" w14:textId="77777777" w:rsidTr="00B04C05">
              <w:tc>
                <w:tcPr>
                  <w:tcW w:w="2047" w:type="dxa"/>
                  <w:vMerge/>
                </w:tcPr>
                <w:p w14:paraId="480F44AB" w14:textId="77777777" w:rsidR="00F765FD" w:rsidRPr="00F7660F" w:rsidRDefault="00F765FD" w:rsidP="00F765FD">
                  <w:pPr>
                    <w:pStyle w:val="Bezriadkovania"/>
                    <w:spacing w:line="259" w:lineRule="auto"/>
                    <w:rPr>
                      <w:rFonts w:ascii="Arial Narrow" w:hAnsi="Arial Narrow"/>
                      <w:sz w:val="20"/>
                      <w:szCs w:val="20"/>
                    </w:rPr>
                  </w:pPr>
                </w:p>
              </w:tc>
              <w:tc>
                <w:tcPr>
                  <w:tcW w:w="2160" w:type="dxa"/>
                  <w:vMerge w:val="restart"/>
                </w:tcPr>
                <w:p w14:paraId="0CCA3EAC" w14:textId="77777777" w:rsidR="00F765FD" w:rsidRPr="00F7660F" w:rsidRDefault="00F765FD" w:rsidP="00F765FD">
                  <w:pPr>
                    <w:pStyle w:val="Bezriadkovania"/>
                    <w:spacing w:line="259" w:lineRule="auto"/>
                    <w:rPr>
                      <w:rFonts w:ascii="Arial Narrow" w:hAnsi="Arial Narrow"/>
                      <w:sz w:val="20"/>
                      <w:szCs w:val="20"/>
                    </w:rPr>
                  </w:pPr>
                  <w:r w:rsidRPr="00F7660F">
                    <w:rPr>
                      <w:rFonts w:ascii="Arial Narrow" w:hAnsi="Arial Narrow"/>
                      <w:sz w:val="20"/>
                      <w:szCs w:val="20"/>
                    </w:rPr>
                    <w:t>Bez bývania</w:t>
                  </w:r>
                </w:p>
              </w:tc>
              <w:tc>
                <w:tcPr>
                  <w:tcW w:w="4629" w:type="dxa"/>
                </w:tcPr>
                <w:p w14:paraId="45D30B33" w14:textId="77777777" w:rsidR="00F765FD" w:rsidRPr="00F7660F" w:rsidRDefault="00F765FD" w:rsidP="00F765FD">
                  <w:pPr>
                    <w:pStyle w:val="Bezriadkovania"/>
                    <w:spacing w:line="259" w:lineRule="auto"/>
                    <w:rPr>
                      <w:rFonts w:ascii="Arial Narrow" w:hAnsi="Arial Narrow"/>
                      <w:sz w:val="20"/>
                      <w:szCs w:val="20"/>
                    </w:rPr>
                  </w:pPr>
                  <w:r w:rsidRPr="00F7660F">
                    <w:rPr>
                      <w:rFonts w:ascii="Arial Narrow" w:hAnsi="Arial Narrow"/>
                      <w:sz w:val="20"/>
                      <w:szCs w:val="20"/>
                    </w:rPr>
                    <w:t>3. Ľudia v krátkodobom ubytovaní pre ľudí bez domova</w:t>
                  </w:r>
                </w:p>
              </w:tc>
            </w:tr>
            <w:tr w:rsidR="00F765FD" w14:paraId="50CAC7CA" w14:textId="77777777" w:rsidTr="00B04C05">
              <w:tc>
                <w:tcPr>
                  <w:tcW w:w="2047" w:type="dxa"/>
                  <w:vMerge/>
                </w:tcPr>
                <w:p w14:paraId="53442E9F" w14:textId="77777777" w:rsidR="00F765FD" w:rsidRPr="00F7660F" w:rsidRDefault="00F765FD" w:rsidP="00F765FD">
                  <w:pPr>
                    <w:pStyle w:val="Bezriadkovania"/>
                    <w:spacing w:line="259" w:lineRule="auto"/>
                    <w:rPr>
                      <w:rFonts w:ascii="Arial Narrow" w:hAnsi="Arial Narrow"/>
                      <w:sz w:val="20"/>
                      <w:szCs w:val="20"/>
                    </w:rPr>
                  </w:pPr>
                </w:p>
              </w:tc>
              <w:tc>
                <w:tcPr>
                  <w:tcW w:w="2160" w:type="dxa"/>
                  <w:vMerge/>
                </w:tcPr>
                <w:p w14:paraId="79BD69D1" w14:textId="77777777" w:rsidR="00F765FD" w:rsidRPr="00F7660F" w:rsidRDefault="00F765FD" w:rsidP="00F765FD">
                  <w:pPr>
                    <w:pStyle w:val="Bezriadkovania"/>
                    <w:spacing w:line="259" w:lineRule="auto"/>
                    <w:rPr>
                      <w:rFonts w:ascii="Arial Narrow" w:hAnsi="Arial Narrow"/>
                      <w:sz w:val="20"/>
                      <w:szCs w:val="20"/>
                    </w:rPr>
                  </w:pPr>
                </w:p>
              </w:tc>
              <w:tc>
                <w:tcPr>
                  <w:tcW w:w="4629" w:type="dxa"/>
                </w:tcPr>
                <w:p w14:paraId="729171E1" w14:textId="77777777" w:rsidR="00F765FD" w:rsidRPr="00F7660F" w:rsidRDefault="00F765FD" w:rsidP="00F765FD">
                  <w:pPr>
                    <w:pStyle w:val="Bezriadkovania"/>
                    <w:spacing w:line="259" w:lineRule="auto"/>
                    <w:rPr>
                      <w:rFonts w:ascii="Arial Narrow" w:hAnsi="Arial Narrow"/>
                      <w:sz w:val="20"/>
                      <w:szCs w:val="20"/>
                    </w:rPr>
                  </w:pPr>
                  <w:r w:rsidRPr="00F7660F">
                    <w:rPr>
                      <w:rFonts w:ascii="Arial Narrow" w:hAnsi="Arial Narrow"/>
                      <w:sz w:val="20"/>
                      <w:szCs w:val="20"/>
                    </w:rPr>
                    <w:t>4. Ženy v núdzovom ubytovaní z dôvodu domáceho násilia</w:t>
                  </w:r>
                </w:p>
              </w:tc>
            </w:tr>
            <w:tr w:rsidR="00F765FD" w14:paraId="58E856C0" w14:textId="77777777" w:rsidTr="00B04C05">
              <w:tc>
                <w:tcPr>
                  <w:tcW w:w="2047" w:type="dxa"/>
                  <w:vMerge/>
                </w:tcPr>
                <w:p w14:paraId="0E5F5E63" w14:textId="77777777" w:rsidR="00F765FD" w:rsidRPr="00F7660F" w:rsidRDefault="00F765FD" w:rsidP="00F765FD">
                  <w:pPr>
                    <w:pStyle w:val="Bezriadkovania"/>
                    <w:spacing w:line="259" w:lineRule="auto"/>
                    <w:rPr>
                      <w:rFonts w:ascii="Arial Narrow" w:hAnsi="Arial Narrow"/>
                      <w:sz w:val="20"/>
                      <w:szCs w:val="20"/>
                    </w:rPr>
                  </w:pPr>
                </w:p>
              </w:tc>
              <w:tc>
                <w:tcPr>
                  <w:tcW w:w="2160" w:type="dxa"/>
                  <w:vMerge/>
                </w:tcPr>
                <w:p w14:paraId="7BB4B2CF" w14:textId="77777777" w:rsidR="00F765FD" w:rsidRPr="00F7660F" w:rsidRDefault="00F765FD" w:rsidP="00F765FD">
                  <w:pPr>
                    <w:pStyle w:val="Bezriadkovania"/>
                    <w:spacing w:line="259" w:lineRule="auto"/>
                    <w:rPr>
                      <w:rFonts w:ascii="Arial Narrow" w:hAnsi="Arial Narrow"/>
                      <w:sz w:val="20"/>
                      <w:szCs w:val="20"/>
                    </w:rPr>
                  </w:pPr>
                </w:p>
              </w:tc>
              <w:tc>
                <w:tcPr>
                  <w:tcW w:w="4629" w:type="dxa"/>
                </w:tcPr>
                <w:p w14:paraId="5E3CADE7" w14:textId="77777777" w:rsidR="00F765FD" w:rsidRPr="00F7660F" w:rsidRDefault="00F765FD" w:rsidP="00F765FD">
                  <w:pPr>
                    <w:pStyle w:val="Bezriadkovania"/>
                    <w:spacing w:line="259" w:lineRule="auto"/>
                    <w:rPr>
                      <w:rFonts w:ascii="Arial Narrow" w:hAnsi="Arial Narrow"/>
                      <w:sz w:val="20"/>
                      <w:szCs w:val="20"/>
                    </w:rPr>
                  </w:pPr>
                  <w:r w:rsidRPr="00F7660F">
                    <w:rPr>
                      <w:rFonts w:ascii="Arial Narrow" w:hAnsi="Arial Narrow"/>
                      <w:sz w:val="20"/>
                      <w:szCs w:val="20"/>
                    </w:rPr>
                    <w:t>5. Ľudia v ubytovaní pre cudzincov</w:t>
                  </w:r>
                </w:p>
              </w:tc>
            </w:tr>
            <w:tr w:rsidR="00F765FD" w14:paraId="69FF9899" w14:textId="77777777" w:rsidTr="00B04C05">
              <w:tc>
                <w:tcPr>
                  <w:tcW w:w="2047" w:type="dxa"/>
                  <w:vMerge/>
                </w:tcPr>
                <w:p w14:paraId="6454E9CD" w14:textId="77777777" w:rsidR="00F765FD" w:rsidRPr="00F7660F" w:rsidRDefault="00F765FD" w:rsidP="00F765FD">
                  <w:pPr>
                    <w:pStyle w:val="Bezriadkovania"/>
                    <w:spacing w:line="259" w:lineRule="auto"/>
                    <w:rPr>
                      <w:rFonts w:ascii="Arial Narrow" w:hAnsi="Arial Narrow"/>
                      <w:sz w:val="20"/>
                      <w:szCs w:val="20"/>
                    </w:rPr>
                  </w:pPr>
                </w:p>
              </w:tc>
              <w:tc>
                <w:tcPr>
                  <w:tcW w:w="2160" w:type="dxa"/>
                  <w:vMerge/>
                </w:tcPr>
                <w:p w14:paraId="289A4673" w14:textId="77777777" w:rsidR="00F765FD" w:rsidRPr="00F7660F" w:rsidRDefault="00F765FD" w:rsidP="00F765FD">
                  <w:pPr>
                    <w:pStyle w:val="Bezriadkovania"/>
                    <w:spacing w:line="259" w:lineRule="auto"/>
                    <w:rPr>
                      <w:rFonts w:ascii="Arial Narrow" w:hAnsi="Arial Narrow"/>
                      <w:sz w:val="20"/>
                      <w:szCs w:val="20"/>
                    </w:rPr>
                  </w:pPr>
                </w:p>
              </w:tc>
              <w:tc>
                <w:tcPr>
                  <w:tcW w:w="4629" w:type="dxa"/>
                </w:tcPr>
                <w:p w14:paraId="418D6F9C" w14:textId="77777777" w:rsidR="00F765FD" w:rsidRPr="00F7660F" w:rsidRDefault="00F765FD" w:rsidP="00F765FD">
                  <w:pPr>
                    <w:pStyle w:val="Bezriadkovania"/>
                    <w:spacing w:line="259" w:lineRule="auto"/>
                    <w:rPr>
                      <w:rFonts w:ascii="Arial Narrow" w:hAnsi="Arial Narrow"/>
                      <w:sz w:val="20"/>
                      <w:szCs w:val="20"/>
                    </w:rPr>
                  </w:pPr>
                  <w:r w:rsidRPr="00F7660F">
                    <w:rPr>
                      <w:rFonts w:ascii="Arial Narrow" w:hAnsi="Arial Narrow"/>
                      <w:sz w:val="20"/>
                      <w:szCs w:val="20"/>
                    </w:rPr>
                    <w:t xml:space="preserve">6. Ľudia </w:t>
                  </w:r>
                  <w:r w:rsidRPr="00F7660F">
                    <w:rPr>
                      <w:rFonts w:ascii="Arial Narrow" w:hAnsi="Arial Narrow"/>
                      <w:spacing w:val="-5"/>
                      <w:sz w:val="20"/>
                      <w:szCs w:val="20"/>
                    </w:rPr>
                    <w:t xml:space="preserve">pred </w:t>
                  </w:r>
                  <w:r w:rsidRPr="00F7660F">
                    <w:rPr>
                      <w:rFonts w:ascii="Arial Narrow" w:hAnsi="Arial Narrow"/>
                      <w:sz w:val="20"/>
                      <w:szCs w:val="20"/>
                    </w:rPr>
                    <w:t>prepustením z</w:t>
                  </w:r>
                  <w:r w:rsidRPr="00F7660F">
                    <w:rPr>
                      <w:rFonts w:ascii="Arial Narrow" w:hAnsi="Arial Narrow"/>
                      <w:spacing w:val="-11"/>
                      <w:sz w:val="20"/>
                      <w:szCs w:val="20"/>
                    </w:rPr>
                    <w:t xml:space="preserve"> </w:t>
                  </w:r>
                  <w:r w:rsidRPr="00F7660F">
                    <w:rPr>
                      <w:rFonts w:ascii="Arial Narrow" w:hAnsi="Arial Narrow"/>
                      <w:sz w:val="20"/>
                      <w:szCs w:val="20"/>
                    </w:rPr>
                    <w:t>inštitucionálnej starostlivosti</w:t>
                  </w:r>
                </w:p>
              </w:tc>
            </w:tr>
            <w:tr w:rsidR="00F765FD" w14:paraId="0AC30E43" w14:textId="77777777" w:rsidTr="00B04C05">
              <w:tc>
                <w:tcPr>
                  <w:tcW w:w="2047" w:type="dxa"/>
                  <w:vMerge/>
                </w:tcPr>
                <w:p w14:paraId="0D8E1920" w14:textId="77777777" w:rsidR="00F765FD" w:rsidRPr="00F7660F" w:rsidRDefault="00F765FD" w:rsidP="00F765FD">
                  <w:pPr>
                    <w:pStyle w:val="Bezriadkovania"/>
                    <w:spacing w:line="259" w:lineRule="auto"/>
                    <w:rPr>
                      <w:rFonts w:ascii="Arial Narrow" w:hAnsi="Arial Narrow"/>
                      <w:sz w:val="20"/>
                      <w:szCs w:val="20"/>
                    </w:rPr>
                  </w:pPr>
                </w:p>
              </w:tc>
              <w:tc>
                <w:tcPr>
                  <w:tcW w:w="2160" w:type="dxa"/>
                  <w:vMerge/>
                </w:tcPr>
                <w:p w14:paraId="1F66978D" w14:textId="77777777" w:rsidR="00F765FD" w:rsidRPr="00F7660F" w:rsidRDefault="00F765FD" w:rsidP="00F765FD">
                  <w:pPr>
                    <w:pStyle w:val="Bezriadkovania"/>
                    <w:spacing w:line="259" w:lineRule="auto"/>
                    <w:rPr>
                      <w:rFonts w:ascii="Arial Narrow" w:hAnsi="Arial Narrow"/>
                      <w:sz w:val="20"/>
                      <w:szCs w:val="20"/>
                    </w:rPr>
                  </w:pPr>
                </w:p>
              </w:tc>
              <w:tc>
                <w:tcPr>
                  <w:tcW w:w="4629" w:type="dxa"/>
                </w:tcPr>
                <w:p w14:paraId="3DD0B52B" w14:textId="77777777" w:rsidR="00F765FD" w:rsidRPr="00F7660F" w:rsidRDefault="00F765FD" w:rsidP="00F765FD">
                  <w:pPr>
                    <w:pStyle w:val="Bezriadkovania"/>
                    <w:spacing w:line="259" w:lineRule="auto"/>
                    <w:rPr>
                      <w:rFonts w:ascii="Arial Narrow" w:hAnsi="Arial Narrow"/>
                      <w:sz w:val="20"/>
                      <w:szCs w:val="20"/>
                    </w:rPr>
                  </w:pPr>
                  <w:r w:rsidRPr="00F7660F">
                    <w:rPr>
                      <w:rFonts w:ascii="Arial Narrow" w:hAnsi="Arial Narrow"/>
                      <w:sz w:val="20"/>
                      <w:szCs w:val="20"/>
                    </w:rPr>
                    <w:t>7. Ľudia prijímajúci dlhodobú podporu spojenú s bývaním z dôvodu bezdomovectva</w:t>
                  </w:r>
                </w:p>
              </w:tc>
            </w:tr>
            <w:tr w:rsidR="00F765FD" w14:paraId="5C6C05C2" w14:textId="77777777" w:rsidTr="00B04C05">
              <w:tc>
                <w:tcPr>
                  <w:tcW w:w="2047" w:type="dxa"/>
                  <w:vMerge w:val="restart"/>
                </w:tcPr>
                <w:p w14:paraId="7806D96F" w14:textId="77777777" w:rsidR="00F765FD" w:rsidRPr="00F7660F" w:rsidRDefault="00F765FD" w:rsidP="00F765FD">
                  <w:pPr>
                    <w:pStyle w:val="Bezriadkovania"/>
                    <w:spacing w:line="259" w:lineRule="auto"/>
                    <w:rPr>
                      <w:rFonts w:ascii="Arial Narrow" w:hAnsi="Arial Narrow"/>
                      <w:sz w:val="20"/>
                      <w:szCs w:val="20"/>
                    </w:rPr>
                  </w:pPr>
                  <w:r w:rsidRPr="00F7660F">
                    <w:rPr>
                      <w:rFonts w:ascii="Arial Narrow" w:hAnsi="Arial Narrow"/>
                      <w:sz w:val="20"/>
                      <w:szCs w:val="20"/>
                    </w:rPr>
                    <w:t>Vylúčenie z bývania</w:t>
                  </w:r>
                </w:p>
              </w:tc>
              <w:tc>
                <w:tcPr>
                  <w:tcW w:w="2160" w:type="dxa"/>
                  <w:vMerge w:val="restart"/>
                </w:tcPr>
                <w:p w14:paraId="39D060E6" w14:textId="77777777" w:rsidR="00F765FD" w:rsidRPr="00F7660F" w:rsidRDefault="00F765FD" w:rsidP="00F765FD">
                  <w:pPr>
                    <w:pStyle w:val="Bezriadkovania"/>
                    <w:spacing w:line="259" w:lineRule="auto"/>
                    <w:rPr>
                      <w:rFonts w:ascii="Arial Narrow" w:hAnsi="Arial Narrow"/>
                      <w:sz w:val="20"/>
                      <w:szCs w:val="20"/>
                    </w:rPr>
                  </w:pPr>
                  <w:r w:rsidRPr="00F7660F">
                    <w:rPr>
                      <w:rFonts w:ascii="Arial Narrow" w:hAnsi="Arial Narrow"/>
                      <w:sz w:val="20"/>
                      <w:szCs w:val="20"/>
                    </w:rPr>
                    <w:t>Neisté bývanie</w:t>
                  </w:r>
                </w:p>
              </w:tc>
              <w:tc>
                <w:tcPr>
                  <w:tcW w:w="4629" w:type="dxa"/>
                </w:tcPr>
                <w:p w14:paraId="0A222EDA" w14:textId="77777777" w:rsidR="00F765FD" w:rsidRPr="00F7660F" w:rsidRDefault="00F765FD" w:rsidP="00F765FD">
                  <w:pPr>
                    <w:pStyle w:val="Bezriadkovania"/>
                    <w:spacing w:line="259" w:lineRule="auto"/>
                    <w:rPr>
                      <w:rFonts w:ascii="Arial Narrow" w:hAnsi="Arial Narrow"/>
                      <w:sz w:val="20"/>
                      <w:szCs w:val="20"/>
                    </w:rPr>
                  </w:pPr>
                  <w:r w:rsidRPr="00F7660F">
                    <w:rPr>
                      <w:rFonts w:ascii="Arial Narrow" w:hAnsi="Arial Narrow"/>
                      <w:sz w:val="20"/>
                      <w:szCs w:val="20"/>
                    </w:rPr>
                    <w:t>8. Ľudia žijúci v neistom obydlí</w:t>
                  </w:r>
                </w:p>
              </w:tc>
            </w:tr>
            <w:tr w:rsidR="00F765FD" w14:paraId="755AF8B0" w14:textId="77777777" w:rsidTr="00B04C05">
              <w:tc>
                <w:tcPr>
                  <w:tcW w:w="2047" w:type="dxa"/>
                  <w:vMerge/>
                </w:tcPr>
                <w:p w14:paraId="3725D5E5" w14:textId="77777777" w:rsidR="00F765FD" w:rsidRPr="00F7660F" w:rsidRDefault="00F765FD" w:rsidP="00F765FD">
                  <w:pPr>
                    <w:pStyle w:val="Bezriadkovania"/>
                    <w:spacing w:line="259" w:lineRule="auto"/>
                    <w:rPr>
                      <w:rFonts w:ascii="Arial Narrow" w:hAnsi="Arial Narrow"/>
                      <w:sz w:val="20"/>
                      <w:szCs w:val="20"/>
                    </w:rPr>
                  </w:pPr>
                </w:p>
              </w:tc>
              <w:tc>
                <w:tcPr>
                  <w:tcW w:w="2160" w:type="dxa"/>
                  <w:vMerge/>
                </w:tcPr>
                <w:p w14:paraId="418B73AE" w14:textId="77777777" w:rsidR="00F765FD" w:rsidRPr="00F7660F" w:rsidRDefault="00F765FD" w:rsidP="00F765FD">
                  <w:pPr>
                    <w:pStyle w:val="Bezriadkovania"/>
                    <w:spacing w:line="259" w:lineRule="auto"/>
                    <w:rPr>
                      <w:rFonts w:ascii="Arial Narrow" w:hAnsi="Arial Narrow"/>
                      <w:sz w:val="20"/>
                      <w:szCs w:val="20"/>
                    </w:rPr>
                  </w:pPr>
                </w:p>
              </w:tc>
              <w:tc>
                <w:tcPr>
                  <w:tcW w:w="4629" w:type="dxa"/>
                </w:tcPr>
                <w:p w14:paraId="1DE1AA9D" w14:textId="77777777" w:rsidR="00F765FD" w:rsidRPr="00F7660F" w:rsidRDefault="00F765FD" w:rsidP="00F765FD">
                  <w:pPr>
                    <w:pStyle w:val="Bezriadkovania"/>
                    <w:spacing w:line="259" w:lineRule="auto"/>
                    <w:rPr>
                      <w:rFonts w:ascii="Arial Narrow" w:hAnsi="Arial Narrow"/>
                      <w:sz w:val="20"/>
                      <w:szCs w:val="20"/>
                    </w:rPr>
                  </w:pPr>
                  <w:r w:rsidRPr="00F7660F">
                    <w:rPr>
                      <w:rFonts w:ascii="Arial Narrow" w:hAnsi="Arial Narrow"/>
                      <w:sz w:val="20"/>
                      <w:szCs w:val="20"/>
                    </w:rPr>
                    <w:t>9. Ľudia ohrození vysťahovaním</w:t>
                  </w:r>
                </w:p>
              </w:tc>
            </w:tr>
            <w:tr w:rsidR="00F765FD" w14:paraId="4150ACB8" w14:textId="77777777" w:rsidTr="00B04C05">
              <w:tc>
                <w:tcPr>
                  <w:tcW w:w="2047" w:type="dxa"/>
                  <w:vMerge/>
                </w:tcPr>
                <w:p w14:paraId="3E0365DC" w14:textId="77777777" w:rsidR="00F765FD" w:rsidRPr="00F7660F" w:rsidRDefault="00F765FD" w:rsidP="00F765FD">
                  <w:pPr>
                    <w:pStyle w:val="Bezriadkovania"/>
                    <w:spacing w:line="259" w:lineRule="auto"/>
                    <w:rPr>
                      <w:rFonts w:ascii="Arial Narrow" w:hAnsi="Arial Narrow"/>
                      <w:sz w:val="20"/>
                      <w:szCs w:val="20"/>
                    </w:rPr>
                  </w:pPr>
                </w:p>
              </w:tc>
              <w:tc>
                <w:tcPr>
                  <w:tcW w:w="2160" w:type="dxa"/>
                  <w:vMerge/>
                </w:tcPr>
                <w:p w14:paraId="23676E62" w14:textId="77777777" w:rsidR="00F765FD" w:rsidRPr="00F7660F" w:rsidRDefault="00F765FD" w:rsidP="00F765FD">
                  <w:pPr>
                    <w:pStyle w:val="Bezriadkovania"/>
                    <w:spacing w:line="259" w:lineRule="auto"/>
                    <w:rPr>
                      <w:rFonts w:ascii="Arial Narrow" w:hAnsi="Arial Narrow"/>
                      <w:sz w:val="20"/>
                      <w:szCs w:val="20"/>
                    </w:rPr>
                  </w:pPr>
                </w:p>
              </w:tc>
              <w:tc>
                <w:tcPr>
                  <w:tcW w:w="4629" w:type="dxa"/>
                </w:tcPr>
                <w:p w14:paraId="520267B0" w14:textId="77777777" w:rsidR="00F765FD" w:rsidRPr="00F7660F" w:rsidRDefault="00F765FD" w:rsidP="00F765FD">
                  <w:pPr>
                    <w:pStyle w:val="Bezriadkovania"/>
                    <w:spacing w:line="259" w:lineRule="auto"/>
                    <w:rPr>
                      <w:rFonts w:ascii="Arial Narrow" w:hAnsi="Arial Narrow"/>
                      <w:sz w:val="20"/>
                      <w:szCs w:val="20"/>
                    </w:rPr>
                  </w:pPr>
                  <w:r w:rsidRPr="00F7660F">
                    <w:rPr>
                      <w:rFonts w:ascii="Arial Narrow" w:hAnsi="Arial Narrow"/>
                      <w:sz w:val="20"/>
                      <w:szCs w:val="20"/>
                    </w:rPr>
                    <w:t>10. Ľudia žijúci pod hrozbou domáceho násilia</w:t>
                  </w:r>
                </w:p>
              </w:tc>
            </w:tr>
            <w:tr w:rsidR="00F765FD" w14:paraId="48701347" w14:textId="77777777" w:rsidTr="00B04C05">
              <w:tc>
                <w:tcPr>
                  <w:tcW w:w="2047" w:type="dxa"/>
                  <w:vMerge/>
                </w:tcPr>
                <w:p w14:paraId="4EFEEA41" w14:textId="77777777" w:rsidR="00F765FD" w:rsidRPr="00F7660F" w:rsidRDefault="00F765FD" w:rsidP="00F765FD">
                  <w:pPr>
                    <w:pStyle w:val="Bezriadkovania"/>
                    <w:spacing w:line="259" w:lineRule="auto"/>
                    <w:rPr>
                      <w:rFonts w:ascii="Arial Narrow" w:hAnsi="Arial Narrow"/>
                      <w:sz w:val="20"/>
                      <w:szCs w:val="20"/>
                    </w:rPr>
                  </w:pPr>
                </w:p>
              </w:tc>
              <w:tc>
                <w:tcPr>
                  <w:tcW w:w="2160" w:type="dxa"/>
                  <w:vMerge w:val="restart"/>
                </w:tcPr>
                <w:p w14:paraId="246DB088" w14:textId="77777777" w:rsidR="00F765FD" w:rsidRPr="00F7660F" w:rsidRDefault="00F765FD" w:rsidP="00F765FD">
                  <w:pPr>
                    <w:pStyle w:val="Bezriadkovania"/>
                    <w:spacing w:line="259" w:lineRule="auto"/>
                    <w:rPr>
                      <w:rFonts w:ascii="Arial Narrow" w:hAnsi="Arial Narrow"/>
                      <w:sz w:val="20"/>
                      <w:szCs w:val="20"/>
                    </w:rPr>
                  </w:pPr>
                  <w:r w:rsidRPr="00F7660F">
                    <w:rPr>
                      <w:rFonts w:ascii="Arial Narrow" w:hAnsi="Arial Narrow"/>
                      <w:sz w:val="20"/>
                      <w:szCs w:val="20"/>
                    </w:rPr>
                    <w:t>Nevyhovujúce bývanie</w:t>
                  </w:r>
                </w:p>
              </w:tc>
              <w:tc>
                <w:tcPr>
                  <w:tcW w:w="4629" w:type="dxa"/>
                </w:tcPr>
                <w:p w14:paraId="1F1A20FC" w14:textId="77777777" w:rsidR="00F765FD" w:rsidRPr="00F7660F" w:rsidRDefault="00F765FD" w:rsidP="00F765FD">
                  <w:pPr>
                    <w:pStyle w:val="Bezriadkovania"/>
                    <w:spacing w:line="259" w:lineRule="auto"/>
                    <w:rPr>
                      <w:rFonts w:ascii="Arial Narrow" w:hAnsi="Arial Narrow"/>
                      <w:sz w:val="20"/>
                      <w:szCs w:val="20"/>
                    </w:rPr>
                  </w:pPr>
                  <w:r w:rsidRPr="00F7660F">
                    <w:rPr>
                      <w:rFonts w:ascii="Arial Narrow" w:hAnsi="Arial Narrow"/>
                      <w:sz w:val="20"/>
                      <w:szCs w:val="20"/>
                    </w:rPr>
                    <w:t>11. Ľudia žijúci v mobilných, neštandardných a provizórnych obydliach</w:t>
                  </w:r>
                </w:p>
              </w:tc>
            </w:tr>
            <w:tr w:rsidR="00F765FD" w14:paraId="05707426" w14:textId="77777777" w:rsidTr="00B04C05">
              <w:tc>
                <w:tcPr>
                  <w:tcW w:w="2047" w:type="dxa"/>
                  <w:vMerge/>
                </w:tcPr>
                <w:p w14:paraId="0EA05952" w14:textId="77777777" w:rsidR="00F765FD" w:rsidRPr="00F7660F" w:rsidRDefault="00F765FD" w:rsidP="00F765FD">
                  <w:pPr>
                    <w:pStyle w:val="Bezriadkovania"/>
                    <w:spacing w:line="259" w:lineRule="auto"/>
                    <w:rPr>
                      <w:rFonts w:ascii="Arial Narrow" w:hAnsi="Arial Narrow"/>
                      <w:sz w:val="20"/>
                      <w:szCs w:val="20"/>
                    </w:rPr>
                  </w:pPr>
                </w:p>
              </w:tc>
              <w:tc>
                <w:tcPr>
                  <w:tcW w:w="2160" w:type="dxa"/>
                  <w:vMerge/>
                </w:tcPr>
                <w:p w14:paraId="388F600D" w14:textId="77777777" w:rsidR="00F765FD" w:rsidRPr="00F7660F" w:rsidRDefault="00F765FD" w:rsidP="00F765FD">
                  <w:pPr>
                    <w:pStyle w:val="Bezriadkovania"/>
                    <w:spacing w:line="259" w:lineRule="auto"/>
                    <w:rPr>
                      <w:rFonts w:ascii="Arial Narrow" w:hAnsi="Arial Narrow"/>
                      <w:sz w:val="20"/>
                      <w:szCs w:val="20"/>
                    </w:rPr>
                  </w:pPr>
                </w:p>
              </w:tc>
              <w:tc>
                <w:tcPr>
                  <w:tcW w:w="4629" w:type="dxa"/>
                </w:tcPr>
                <w:p w14:paraId="6F64B494" w14:textId="77777777" w:rsidR="00F765FD" w:rsidRPr="00F7660F" w:rsidRDefault="00F765FD" w:rsidP="00F765FD">
                  <w:pPr>
                    <w:pStyle w:val="Bezriadkovania"/>
                    <w:spacing w:line="259" w:lineRule="auto"/>
                    <w:rPr>
                      <w:rFonts w:ascii="Arial Narrow" w:hAnsi="Arial Narrow"/>
                      <w:sz w:val="20"/>
                      <w:szCs w:val="20"/>
                    </w:rPr>
                  </w:pPr>
                  <w:r w:rsidRPr="00F7660F">
                    <w:rPr>
                      <w:rFonts w:ascii="Arial Narrow" w:hAnsi="Arial Narrow"/>
                      <w:sz w:val="20"/>
                      <w:szCs w:val="20"/>
                    </w:rPr>
                    <w:t>12. Ľudia žijúci v obydlí nespôsobilom na bývanie</w:t>
                  </w:r>
                </w:p>
              </w:tc>
            </w:tr>
            <w:tr w:rsidR="00F765FD" w14:paraId="0C33BD83" w14:textId="77777777" w:rsidTr="00B04C05">
              <w:tc>
                <w:tcPr>
                  <w:tcW w:w="2047" w:type="dxa"/>
                  <w:vMerge/>
                </w:tcPr>
                <w:p w14:paraId="46249C50" w14:textId="77777777" w:rsidR="00F765FD" w:rsidRPr="00F7660F" w:rsidRDefault="00F765FD" w:rsidP="00F765FD">
                  <w:pPr>
                    <w:pStyle w:val="Bezriadkovania"/>
                    <w:spacing w:line="259" w:lineRule="auto"/>
                    <w:rPr>
                      <w:rFonts w:ascii="Arial Narrow" w:hAnsi="Arial Narrow"/>
                      <w:sz w:val="20"/>
                      <w:szCs w:val="20"/>
                    </w:rPr>
                  </w:pPr>
                </w:p>
              </w:tc>
              <w:tc>
                <w:tcPr>
                  <w:tcW w:w="2160" w:type="dxa"/>
                  <w:vMerge/>
                </w:tcPr>
                <w:p w14:paraId="058D7FFC" w14:textId="77777777" w:rsidR="00F765FD" w:rsidRPr="00F7660F" w:rsidRDefault="00F765FD" w:rsidP="00F765FD">
                  <w:pPr>
                    <w:pStyle w:val="Bezriadkovania"/>
                    <w:spacing w:line="259" w:lineRule="auto"/>
                    <w:rPr>
                      <w:rFonts w:ascii="Arial Narrow" w:hAnsi="Arial Narrow"/>
                      <w:sz w:val="20"/>
                      <w:szCs w:val="20"/>
                    </w:rPr>
                  </w:pPr>
                </w:p>
              </w:tc>
              <w:tc>
                <w:tcPr>
                  <w:tcW w:w="4629" w:type="dxa"/>
                </w:tcPr>
                <w:p w14:paraId="20738EA3" w14:textId="77777777" w:rsidR="00F765FD" w:rsidRPr="00F7660F" w:rsidRDefault="00F765FD" w:rsidP="00F765FD">
                  <w:pPr>
                    <w:pStyle w:val="Bezriadkovania"/>
                    <w:spacing w:line="259" w:lineRule="auto"/>
                    <w:rPr>
                      <w:rFonts w:ascii="Arial Narrow" w:hAnsi="Arial Narrow"/>
                      <w:sz w:val="20"/>
                      <w:szCs w:val="20"/>
                    </w:rPr>
                  </w:pPr>
                  <w:r w:rsidRPr="00F7660F">
                    <w:rPr>
                      <w:rFonts w:ascii="Arial Narrow" w:hAnsi="Arial Narrow"/>
                      <w:sz w:val="20"/>
                      <w:szCs w:val="20"/>
                    </w:rPr>
                    <w:t>13. Ľudia žijúci v extrémne preľudnenom obydlí</w:t>
                  </w:r>
                </w:p>
              </w:tc>
            </w:tr>
          </w:tbl>
          <w:p w14:paraId="73D7533B" w14:textId="4A8E8153" w:rsidR="00F765FD" w:rsidRPr="00A42768" w:rsidRDefault="00F765FD" w:rsidP="00F15621">
            <w:pPr>
              <w:jc w:val="right"/>
            </w:pPr>
            <w:r w:rsidRPr="00F7660F">
              <w:rPr>
                <w:i/>
                <w:sz w:val="18"/>
                <w:szCs w:val="18"/>
              </w:rPr>
              <w:t>Zdroj: Ondrušová a</w:t>
            </w:r>
            <w:r w:rsidR="009D4E37">
              <w:rPr>
                <w:i/>
                <w:sz w:val="18"/>
                <w:szCs w:val="18"/>
              </w:rPr>
              <w:t xml:space="preserve"> Fico, </w:t>
            </w:r>
            <w:r w:rsidRPr="00F7660F">
              <w:rPr>
                <w:i/>
                <w:sz w:val="18"/>
                <w:szCs w:val="18"/>
              </w:rPr>
              <w:t>2018</w:t>
            </w:r>
          </w:p>
        </w:tc>
      </w:tr>
    </w:tbl>
    <w:p w14:paraId="4869236D" w14:textId="67FC5396" w:rsidR="00DA342E" w:rsidRPr="00CA2564" w:rsidRDefault="00DA342E" w:rsidP="00DA342E">
      <w:pPr>
        <w:spacing w:before="160"/>
        <w:rPr>
          <w:bCs/>
          <w:color w:val="0070C0"/>
        </w:rPr>
      </w:pPr>
      <w:r w:rsidRPr="00CA2564">
        <w:rPr>
          <w:bCs/>
          <w:color w:val="0070C0"/>
        </w:rPr>
        <w:t>Prestupné bývanie</w:t>
      </w:r>
    </w:p>
    <w:p w14:paraId="0480EED5" w14:textId="2DB042E5" w:rsidR="00DA342E" w:rsidRPr="00CA2564" w:rsidRDefault="00DA342E" w:rsidP="00DA342E">
      <w:r w:rsidRPr="00CA2564">
        <w:rPr>
          <w:b/>
        </w:rPr>
        <w:t>Prestupné bývanie</w:t>
      </w:r>
      <w:r w:rsidRPr="00CA2564">
        <w:rPr>
          <w:rStyle w:val="Odkaznapoznmkupodiarou"/>
          <w:b/>
        </w:rPr>
        <w:footnoteReference w:id="445"/>
      </w:r>
      <w:r w:rsidRPr="00CA2564">
        <w:rPr>
          <w:b/>
        </w:rPr>
        <w:t xml:space="preserve"> predstavuje integráciu </w:t>
      </w:r>
      <w:r w:rsidR="00426349">
        <w:rPr>
          <w:b/>
        </w:rPr>
        <w:t>nájomného</w:t>
      </w:r>
      <w:r w:rsidR="00426349" w:rsidRPr="00CA2564">
        <w:rPr>
          <w:b/>
        </w:rPr>
        <w:t xml:space="preserve"> </w:t>
      </w:r>
      <w:r w:rsidRPr="00CA2564">
        <w:rPr>
          <w:b/>
        </w:rPr>
        <w:t xml:space="preserve">bývania </w:t>
      </w:r>
      <w:r w:rsidR="00426349">
        <w:rPr>
          <w:b/>
        </w:rPr>
        <w:t xml:space="preserve">s regulovaným nájmom </w:t>
      </w:r>
      <w:r w:rsidRPr="00CA2564">
        <w:rPr>
          <w:b/>
        </w:rPr>
        <w:t xml:space="preserve">a sociálnych služieb do viacstupňovej, obojstranne priepustnej sústavy podporovaného bývania založenej na princípe zásluhovosti. </w:t>
      </w:r>
      <w:r w:rsidR="00EB65A3">
        <w:t>Klient/</w:t>
      </w:r>
      <w:r w:rsidRPr="00CA2564">
        <w:t>domácnosť sa v tejto schéme splnením vopred stanoven</w:t>
      </w:r>
      <w:r w:rsidR="00EB65A3">
        <w:t>ých kritérií postupne presúva z </w:t>
      </w:r>
      <w:r w:rsidRPr="00CA2564">
        <w:t xml:space="preserve">nižšieho stupňa bývania na vyšší stupeň (napr. z núdzového bývania do nájomného bývania nižšieho a následne vyššieho štandardu), avšak zostup je takisto prípustný. Vyšší stupeň by mal ponúknuť väčší komfort, dlhšiu nájomnú zmluvu, menej prísny režim (napr. kontroly) ale zároveň prísnejšie podmienky pridelenia. Zámerom je tak motivovať k zlepšovaniu svojej životnej situácie, pričom výstupom by malo byť vlastné, samostatné bývanie. </w:t>
      </w:r>
      <w:r w:rsidR="00AF7889">
        <w:t>S</w:t>
      </w:r>
      <w:r w:rsidRPr="00CA2564">
        <w:t xml:space="preserve">účasťou </w:t>
      </w:r>
      <w:r w:rsidR="00AF7889">
        <w:t xml:space="preserve">prestupného bývania </w:t>
      </w:r>
      <w:r w:rsidRPr="00CA2564">
        <w:t>je sociálna práca a poradenstvo, ktoré pomáhajú klientovi pri riešení jeho osobných problémov (závislosti, depresie a pod.) a budovaní schopností si býv</w:t>
      </w:r>
      <w:r w:rsidR="006F6C9A">
        <w:t>anie udržať. Ich intenzita sa s </w:t>
      </w:r>
      <w:r w:rsidRPr="00CA2564">
        <w:t xml:space="preserve">postupom na vyšší stupeň znižuje (Jesenská a kol., 2018, </w:t>
      </w:r>
      <w:r w:rsidR="009D4E37">
        <w:t>Ondrušová a Fico</w:t>
      </w:r>
      <w:r w:rsidR="001E4C34" w:rsidRPr="00CA2564">
        <w:t>, 2018</w:t>
      </w:r>
      <w:r w:rsidR="001E4C34">
        <w:t xml:space="preserve">, </w:t>
      </w:r>
      <w:r w:rsidRPr="00CA2564">
        <w:t>Smatanová, 2019).</w:t>
      </w:r>
    </w:p>
    <w:p w14:paraId="6B75420C" w14:textId="34BCCE9D" w:rsidR="00F56B50" w:rsidRDefault="00DA342E" w:rsidP="00DA342E">
      <w:r w:rsidRPr="00CA2564">
        <w:rPr>
          <w:b/>
        </w:rPr>
        <w:t>Na Slovensku zatiaľ sociálne služby</w:t>
      </w:r>
      <w:r w:rsidR="00F56B50">
        <w:rPr>
          <w:b/>
        </w:rPr>
        <w:t xml:space="preserve"> krízovej intervencie</w:t>
      </w:r>
      <w:r w:rsidRPr="00CA2564">
        <w:rPr>
          <w:b/>
        </w:rPr>
        <w:t xml:space="preserve"> fungujú nezávisle od systému nájomného bývania</w:t>
      </w:r>
      <w:r w:rsidR="00F56B50">
        <w:rPr>
          <w:b/>
        </w:rPr>
        <w:t xml:space="preserve"> </w:t>
      </w:r>
      <w:r w:rsidR="00426349">
        <w:rPr>
          <w:b/>
        </w:rPr>
        <w:t xml:space="preserve">s regulovaným nájmom </w:t>
      </w:r>
      <w:r w:rsidR="00F56B50">
        <w:rPr>
          <w:b/>
        </w:rPr>
        <w:t xml:space="preserve">a osobitná sociálna práca a poradenstvo so zameraním na klientov </w:t>
      </w:r>
      <w:r w:rsidR="00426349">
        <w:rPr>
          <w:b/>
        </w:rPr>
        <w:t xml:space="preserve">nájomného </w:t>
      </w:r>
      <w:r w:rsidR="00F56B50">
        <w:rPr>
          <w:b/>
        </w:rPr>
        <w:t>bývania neexistuje</w:t>
      </w:r>
      <w:r w:rsidRPr="00CA2564">
        <w:rPr>
          <w:b/>
        </w:rPr>
        <w:t xml:space="preserve">. </w:t>
      </w:r>
      <w:r w:rsidRPr="00CA2564">
        <w:t xml:space="preserve">Analýza komunitných plánov sociálnych služieb krajských miest ukázala, že väčšina z nich (s výnimkou Banskej Bystrice) sa prístupu ľudí bez domova k nájomnému bývaniu </w:t>
      </w:r>
      <w:r w:rsidR="00426349">
        <w:t xml:space="preserve">s regulovaným nájmom </w:t>
      </w:r>
      <w:r w:rsidR="006F6C9A">
        <w:t>a </w:t>
      </w:r>
      <w:r w:rsidRPr="00CA2564">
        <w:t>bývaniu s podporou nevenovala a obmedzovali sa len na poskytovanie sociálnych služieb krízovej intervencie, prípadne prevádzkovali ubytovne najmä pre rodiny s deťmi (v Nitre či Bratislave) (Ondrušová a </w:t>
      </w:r>
      <w:r w:rsidR="009D4E37">
        <w:t>Fico</w:t>
      </w:r>
      <w:r w:rsidRPr="00CA2564">
        <w:t xml:space="preserve">, 2018). </w:t>
      </w:r>
    </w:p>
    <w:p w14:paraId="6F400B3B" w14:textId="70BA3B92" w:rsidR="00BC47A1" w:rsidRDefault="00A1487D" w:rsidP="00D3189B">
      <w:r w:rsidRPr="00D3189B">
        <w:rPr>
          <w:b/>
          <w:bCs/>
        </w:rPr>
        <w:t>Zavedeni</w:t>
      </w:r>
      <w:r w:rsidR="00AF7889">
        <w:rPr>
          <w:b/>
          <w:bCs/>
        </w:rPr>
        <w:t>e princípov prestupného bývania do systému sociálneho bývania má za cieľ</w:t>
      </w:r>
      <w:r w:rsidRPr="00D3189B">
        <w:rPr>
          <w:b/>
          <w:bCs/>
        </w:rPr>
        <w:t xml:space="preserve"> </w:t>
      </w:r>
      <w:r w:rsidR="00BC47A1">
        <w:rPr>
          <w:b/>
          <w:bCs/>
        </w:rPr>
        <w:t xml:space="preserve">dopytovo orientovaná </w:t>
      </w:r>
      <w:r w:rsidRPr="00D3189B">
        <w:rPr>
          <w:b/>
          <w:bCs/>
        </w:rPr>
        <w:t xml:space="preserve">výzva </w:t>
      </w:r>
      <w:r w:rsidR="00BC47A1">
        <w:rPr>
          <w:b/>
          <w:bCs/>
        </w:rPr>
        <w:t xml:space="preserve">zameraná </w:t>
      </w:r>
      <w:r w:rsidR="00BC47A1" w:rsidRPr="00BC47A1">
        <w:rPr>
          <w:b/>
          <w:bCs/>
        </w:rPr>
        <w:t xml:space="preserve">na </w:t>
      </w:r>
      <w:r w:rsidR="00BC47A1" w:rsidRPr="00D3189B">
        <w:rPr>
          <w:b/>
        </w:rPr>
        <w:t>obc</w:t>
      </w:r>
      <w:r w:rsidR="00AF7889">
        <w:rPr>
          <w:b/>
        </w:rPr>
        <w:t>e</w:t>
      </w:r>
      <w:r w:rsidR="00BC47A1" w:rsidRPr="00D3189B">
        <w:rPr>
          <w:b/>
        </w:rPr>
        <w:t xml:space="preserve"> s prítomnosťou MRK</w:t>
      </w:r>
      <w:r w:rsidR="00BC47A1" w:rsidRPr="00BC47A1" w:rsidDel="00BC47A1">
        <w:rPr>
          <w:b/>
          <w:bCs/>
        </w:rPr>
        <w:t xml:space="preserve"> </w:t>
      </w:r>
      <w:r w:rsidRPr="00D3189B">
        <w:rPr>
          <w:b/>
          <w:bCs/>
        </w:rPr>
        <w:t xml:space="preserve">v hodnote </w:t>
      </w:r>
      <w:r w:rsidR="00BC47A1">
        <w:rPr>
          <w:b/>
          <w:bCs/>
        </w:rPr>
        <w:t>52,9</w:t>
      </w:r>
      <w:r w:rsidRPr="00D3189B">
        <w:rPr>
          <w:b/>
          <w:bCs/>
        </w:rPr>
        <w:t xml:space="preserve"> mil</w:t>
      </w:r>
      <w:r w:rsidR="00BC47A1">
        <w:rPr>
          <w:b/>
          <w:bCs/>
        </w:rPr>
        <w:t>iónov</w:t>
      </w:r>
      <w:r w:rsidR="00F9314A">
        <w:rPr>
          <w:b/>
          <w:bCs/>
        </w:rPr>
        <w:t xml:space="preserve"> eur</w:t>
      </w:r>
      <w:r w:rsidRPr="00D3189B">
        <w:rPr>
          <w:b/>
          <w:bCs/>
        </w:rPr>
        <w:t xml:space="preserve"> z prostriedkov Európskeho fondu regionálneho rozvoja.</w:t>
      </w:r>
      <w:r w:rsidR="00BC47A1" w:rsidRPr="00CA2564">
        <w:rPr>
          <w:rStyle w:val="Odkaznapoznmkupodiarou"/>
        </w:rPr>
        <w:footnoteReference w:id="446"/>
      </w:r>
      <w:r w:rsidR="00BC47A1">
        <w:t xml:space="preserve"> </w:t>
      </w:r>
      <w:r w:rsidR="00BC47A1" w:rsidRPr="00D3189B">
        <w:t>V rámci výzvy sú definované povinné zásady systému prestupného bývania, ktoré žiadatelia musia dodržiavať. K hlavným zásadám patrí prestupnosť – systém musí byť m</w:t>
      </w:r>
      <w:r w:rsidR="0082748C">
        <w:t>inimálne 2-stupňový, obojsmerný</w:t>
      </w:r>
      <w:r w:rsidR="0082748C">
        <w:rPr>
          <w:rStyle w:val="Odkaznapoznmkupodiarou"/>
        </w:rPr>
        <w:footnoteReference w:id="447"/>
      </w:r>
      <w:r w:rsidR="00BC47A1" w:rsidRPr="00D3189B">
        <w:t xml:space="preserve"> a žiadateľ je povinný v rámci projektu stavebne realizovať (výstavbou, rekonštrukciou, prestavbou objektov) minimálne jeden stupeň bývania. Vyžaduje sa jasné vymedzenie kritérií výberu domácnosti, vstupu, výstupu a prestupu medzi jednotlivými stupňami. </w:t>
      </w:r>
      <w:r w:rsidR="00D70D36" w:rsidRPr="00697D54">
        <w:t>Aby sa predišlo situácii „uviaznutia“ v systéme, obec musí v žiadosti deklarovať, akým spôsobom je tento výstup z neho zabezpečený a aké sú možnosti individuálneho, cenovo</w:t>
      </w:r>
      <w:r w:rsidR="0070047D">
        <w:t xml:space="preserve"> </w:t>
      </w:r>
      <w:r w:rsidR="00D70D36" w:rsidRPr="00697D54">
        <w:t>bývania v danej lokalite</w:t>
      </w:r>
      <w:r w:rsidR="00D70D36">
        <w:t>.</w:t>
      </w:r>
      <w:r w:rsidR="00D70D36">
        <w:rPr>
          <w:rStyle w:val="Odkaznapoznmkupodiarou"/>
        </w:rPr>
        <w:footnoteReference w:id="448"/>
      </w:r>
      <w:r w:rsidR="00D70D36">
        <w:t xml:space="preserve"> </w:t>
      </w:r>
      <w:r w:rsidR="00AF7889">
        <w:t>Od štandardného prístupu prestupného bývania sa výzva líši v tom, že nezahŕňa najnižší stupeň bývania (nocľahárne, útulky</w:t>
      </w:r>
      <w:r w:rsidR="00B31710">
        <w:t>, ubytovne</w:t>
      </w:r>
      <w:r w:rsidR="00AF7889">
        <w:t xml:space="preserve"> atď.) vzhľadom na podmienky bývania cieľovej skupiny.</w:t>
      </w:r>
      <w:r w:rsidR="00AF7889">
        <w:rPr>
          <w:rStyle w:val="Odkaznapoznmkupodiarou"/>
        </w:rPr>
        <w:footnoteReference w:id="449"/>
      </w:r>
    </w:p>
    <w:p w14:paraId="40A2C181" w14:textId="42527550" w:rsidR="00BC47A1" w:rsidRDefault="00BC47A1" w:rsidP="00D3189B">
      <w:r w:rsidRPr="00D3189B">
        <w:t xml:space="preserve">Dôležitým aspektom je povinnosť zabezpečiť pre klientov </w:t>
      </w:r>
      <w:r w:rsidR="00224461" w:rsidRPr="00D3189B">
        <w:t xml:space="preserve">poskytovanie </w:t>
      </w:r>
      <w:r w:rsidRPr="00D3189B">
        <w:t>bezplatnej sprievodnej sociálnej služby na každom stupni bývania prostredníctvom funkcie asistenta/asistentky bývania. Jeho/jej úlohou je komplexná práca a pomoc domácnosti s cieľom budovať kapacity potrebné k prestupu na vyšší stupeň a samostatnému bývaniu po úspešnom vystúpení zo systému.</w:t>
      </w:r>
      <w:r w:rsidR="002B74A4">
        <w:rPr>
          <w:rStyle w:val="Odkaznapoznmkupodiarou"/>
        </w:rPr>
        <w:footnoteReference w:id="450"/>
      </w:r>
      <w:r w:rsidRPr="00D3189B">
        <w:t xml:space="preserve"> </w:t>
      </w:r>
      <w:r w:rsidR="002B74A4">
        <w:t>Domácnosti musia so sprievodnou sociálnou službou súhlasiť, v opačnom prípade nemôžu byť zapojení do tohto systému prestupného bývania.</w:t>
      </w:r>
      <w:r w:rsidR="009C7376">
        <w:t xml:space="preserve"> Dopyt zo strany obcí bol zatiaľ nízky kvôli problému so zabezpečením možností individuálneho bývania v danej lokalite po výstupe zo systému.</w:t>
      </w:r>
      <w:r w:rsidR="009C7376">
        <w:rPr>
          <w:rStyle w:val="Odkaznapoznmkupodiarou"/>
        </w:rPr>
        <w:footnoteReference w:id="451"/>
      </w:r>
    </w:p>
    <w:p w14:paraId="33213880" w14:textId="6D4B14FF" w:rsidR="00DA342E" w:rsidRPr="00CA2564" w:rsidRDefault="00A15F33" w:rsidP="00DA342E">
      <w:pPr>
        <w:rPr>
          <w:bCs/>
          <w:color w:val="0070C0"/>
        </w:rPr>
      </w:pPr>
      <w:r w:rsidRPr="00D3189B" w:rsidDel="00A15F33">
        <w:t xml:space="preserve"> </w:t>
      </w:r>
      <w:r w:rsidR="00DA342E" w:rsidRPr="00A15F33">
        <w:rPr>
          <w:bCs/>
          <w:color w:val="0070C0"/>
        </w:rPr>
        <w:t>„Housing first“</w:t>
      </w:r>
    </w:p>
    <w:p w14:paraId="1C815FAB" w14:textId="6A477E89" w:rsidR="00DA342E" w:rsidRPr="00CA2564" w:rsidRDefault="005B08AB" w:rsidP="00DA342E">
      <w:r>
        <w:rPr>
          <w:b/>
        </w:rPr>
        <w:t xml:space="preserve">Pre ľudí bez domova žijúcich v mestách predstavuje ďalšiu z možností riešenia ich bytovej situácie </w:t>
      </w:r>
      <w:r w:rsidR="00DA342E" w:rsidRPr="00CA2564">
        <w:rPr>
          <w:b/>
        </w:rPr>
        <w:t xml:space="preserve">stratégia „housing first“ (bývanie ako prvé). </w:t>
      </w:r>
      <w:r w:rsidR="00DA342E" w:rsidRPr="00CA2564">
        <w:t xml:space="preserve">Základný rozdiel </w:t>
      </w:r>
      <w:r>
        <w:t xml:space="preserve">oproti prestupnému bývaniu </w:t>
      </w:r>
      <w:r w:rsidR="000A7218">
        <w:t>spočíva v prístupe k </w:t>
      </w:r>
      <w:r w:rsidR="00DA342E" w:rsidRPr="00CA2564">
        <w:t xml:space="preserve">bývaniu a úlohe, ktorú bývanie zohráva v rozvoji jednotlivca. Kým systém prestupného </w:t>
      </w:r>
      <w:r w:rsidR="00F31500" w:rsidRPr="00CA2564">
        <w:t>bývani</w:t>
      </w:r>
      <w:r w:rsidR="00F31500">
        <w:t>a</w:t>
      </w:r>
      <w:r w:rsidR="00F31500" w:rsidRPr="00CA2564">
        <w:t xml:space="preserve"> </w:t>
      </w:r>
      <w:r w:rsidR="000A7218">
        <w:t>je postavený na </w:t>
      </w:r>
      <w:r w:rsidR="00DA342E" w:rsidRPr="00CA2564">
        <w:t>myšlienke, že k zaobstaraniu a udržaniu si vlastného bývania je v prvom rade potrebné si osvojiť určité návyky, „housing first“ vychádza z predpokladu, že bývanie nemá slúžiť ako motivácia, ale je základnou potrebou človeka, ktorej naplnenie je kľúčovým predpokladom sociálneho začlenenia. „Housing-first“ nezahŕňa žiadne formy inštitucionálneho alebo segregovaného bývania a ľuďom v bytovej núdzi ponúka okamžitý prístup k stálemu, cenovo dostupnému bývaniu v prirodzenom, spoločensky integrovanom prostredí</w:t>
      </w:r>
      <w:r w:rsidR="00DA342E" w:rsidRPr="00CA2564">
        <w:rPr>
          <w:rStyle w:val="Odkaznapoznmkupodiarou"/>
        </w:rPr>
        <w:footnoteReference w:id="452"/>
      </w:r>
      <w:r w:rsidR="00DA342E" w:rsidRPr="00CA2564">
        <w:t>. Na rozdiel od systému prestupného bývania sa k získaniu bývania nevyžaduje splnenie určitých podmienok (abstinencia, podstúpenie psychologickej liečby a pod.). Klient však musí súhlasiť s vyčlenením ča</w:t>
      </w:r>
      <w:r w:rsidR="000A7218">
        <w:t>sti svojho príjmu na nájom a so </w:t>
      </w:r>
      <w:r w:rsidR="00DA342E" w:rsidRPr="00CA2564">
        <w:t>spoluprácou so sociálnymi pracovníkmi pri stanovení ďalších cieľov (Škobla a kol., 2016</w:t>
      </w:r>
      <w:r w:rsidR="00CD06BE">
        <w:t>b</w:t>
      </w:r>
      <w:r w:rsidR="00DA342E" w:rsidRPr="00CA2564">
        <w:t>).</w:t>
      </w:r>
    </w:p>
    <w:p w14:paraId="2A3FDC71" w14:textId="2B6448B6" w:rsidR="00DA342E" w:rsidRPr="00CA2564" w:rsidRDefault="00E1460A" w:rsidP="00DA342E">
      <w:r>
        <w:rPr>
          <w:b/>
        </w:rPr>
        <w:t>Zahraničné p</w:t>
      </w:r>
      <w:r w:rsidR="00DA342E" w:rsidRPr="00CA2564">
        <w:rPr>
          <w:b/>
        </w:rPr>
        <w:t>ilotné štúdie stratégie „housing first“ naznačujú lepšie výsledky a efektívnejšie využitie verejných financií v porovnaní s prestupným bývaním</w:t>
      </w:r>
      <w:r>
        <w:rPr>
          <w:b/>
        </w:rPr>
        <w:t xml:space="preserve"> v prípade niektorých skupín klientov</w:t>
      </w:r>
      <w:r w:rsidR="00DA342E" w:rsidRPr="00CA2564">
        <w:rPr>
          <w:b/>
        </w:rPr>
        <w:t xml:space="preserve">. </w:t>
      </w:r>
      <w:r w:rsidR="00DA342E" w:rsidRPr="00CA2564">
        <w:t>Kým v systéme prestupného bývania si</w:t>
      </w:r>
      <w:r w:rsidR="00DA342E" w:rsidRPr="00CA2564">
        <w:rPr>
          <w:b/>
        </w:rPr>
        <w:t xml:space="preserve"> </w:t>
      </w:r>
      <w:r w:rsidR="00DA342E" w:rsidRPr="00CA2564">
        <w:t xml:space="preserve">spravidla dokáže </w:t>
      </w:r>
      <w:r w:rsidR="00DA342E" w:rsidRPr="00B61EC3">
        <w:t>udržať samostatné bývanie 40-50 % kliento</w:t>
      </w:r>
      <w:r w:rsidR="000A7218">
        <w:t>v, v prípade „housing first“ je </w:t>
      </w:r>
      <w:r w:rsidR="00DA342E" w:rsidRPr="00B61EC3">
        <w:t>úspešnosť dva krát vyššia (80-90 %) (P</w:t>
      </w:r>
      <w:r w:rsidR="00B61EC3" w:rsidRPr="00B61EC3">
        <w:t>l</w:t>
      </w:r>
      <w:r w:rsidR="00DA342E" w:rsidRPr="00B61EC3">
        <w:t>eace, 2013, Tsemberis, 2010). Na nižších stupňoch v rámci prestupného bývania spravidla dlhodobo uviaznu práve najzraniteľnejšie skupiny ľudí</w:t>
      </w:r>
      <w:r w:rsidR="00274B9B">
        <w:t>,</w:t>
      </w:r>
      <w:r w:rsidR="00DA342E" w:rsidRPr="00B61EC3">
        <w:t xml:space="preserve"> ako sú napríklad</w:t>
      </w:r>
      <w:r w:rsidR="00DA342E" w:rsidRPr="00CA2564">
        <w:t xml:space="preserve"> ľudia s psychiatrickým ochorením alebo ľudia závislí na alkohole alebo iných </w:t>
      </w:r>
      <w:r>
        <w:t xml:space="preserve">návykových </w:t>
      </w:r>
      <w:r w:rsidR="00DA342E" w:rsidRPr="00CA2564">
        <w:t>látkach. Stratégia „housing first“ sa navyše ukazuje ako lacnejšia</w:t>
      </w:r>
      <w:r w:rsidR="00A360EC">
        <w:t>, pretože</w:t>
      </w:r>
      <w:r w:rsidR="00DA342E" w:rsidRPr="00CA2564">
        <w:t xml:space="preserve"> ráta s menšou ubytovacou kapacitou a zároveň znižuje využívanie krízových služieb. Odhady z USA naznačujú, že náklady spojené so službami pre klientov žijúcich dlhodobo na ulici alebo v najnižšom stupni bývania (napr. náklady na zdravotnú starostlivosť a policajné zásahy) môžu byť až dvojnásobné oproti nákladom na klienta v systéme „housing first“ (Tsemberis, 2010). </w:t>
      </w:r>
    </w:p>
    <w:p w14:paraId="6EF8B32A" w14:textId="2A2FFB96" w:rsidR="00DA342E" w:rsidRPr="00521AC3" w:rsidRDefault="00DA342E" w:rsidP="00DA342E">
      <w:r w:rsidRPr="00CA2564">
        <w:rPr>
          <w:b/>
        </w:rPr>
        <w:t>Dôvodom úspechu pilotných projektov „housing first“ môže byť vhodnejšie prostredie pre získanie zručností pre samostatné bývanie a účinnejšia podpora ale aj selektívny výber klientov do skúmanej vzorky.</w:t>
      </w:r>
      <w:r w:rsidR="00E56318">
        <w:rPr>
          <w:rStyle w:val="Odkaznapoznmkupodiarou"/>
          <w:b/>
        </w:rPr>
        <w:footnoteReference w:id="453"/>
      </w:r>
      <w:r w:rsidRPr="00CA2564">
        <w:rPr>
          <w:b/>
        </w:rPr>
        <w:t xml:space="preserve"> </w:t>
      </w:r>
      <w:r w:rsidRPr="00CA2564">
        <w:t xml:space="preserve">Bývanie na nižších stupňoch prestupového bývania </w:t>
      </w:r>
      <w:r w:rsidR="00274B9B">
        <w:t>je</w:t>
      </w:r>
      <w:r w:rsidR="00274B9B" w:rsidRPr="00CA2564">
        <w:t xml:space="preserve"> </w:t>
      </w:r>
      <w:r w:rsidRPr="00CA2564">
        <w:t>väčšino</w:t>
      </w:r>
      <w:r w:rsidR="000A7218">
        <w:t>u zdieľané a jeho zvládnutie si </w:t>
      </w:r>
      <w:r w:rsidRPr="00CA2564">
        <w:t xml:space="preserve">tak vyžaduje iný typ schopností ako samostatné bývanie. Vyriešením akútnej núdze bývania získavajú klienti „housing first“ priestor sledovať ďalšie ciele na ceste k sociálnemu začleneniu. Podpora zo strany sociálnych </w:t>
      </w:r>
      <w:r w:rsidR="00274B9B" w:rsidRPr="00CA2564">
        <w:t>pracovníko</w:t>
      </w:r>
      <w:r w:rsidR="00274B9B">
        <w:t>v</w:t>
      </w:r>
      <w:r w:rsidR="00274B9B" w:rsidRPr="00CA2564">
        <w:t xml:space="preserve"> </w:t>
      </w:r>
      <w:r w:rsidRPr="00CA2564">
        <w:t xml:space="preserve">navyše pokračuje dlhodobejšie, kým v prestupnom bývaní spravidla končí pri dosiahnutí najvyššieho stupňa. Nemožno však vylúčiť ani možnosť, že pozitívne výsledky sú čiastočne zapríčinené aj výberom tých menej problémových </w:t>
      </w:r>
      <w:r w:rsidRPr="00521AC3">
        <w:t>klientov (Škobla a kol., 2016</w:t>
      </w:r>
      <w:r w:rsidR="00CD06BE">
        <w:t>b</w:t>
      </w:r>
      <w:r w:rsidRPr="00521AC3">
        <w:t xml:space="preserve">). </w:t>
      </w:r>
    </w:p>
    <w:p w14:paraId="55FE4379" w14:textId="4E4B21E0" w:rsidR="00DA342E" w:rsidRDefault="00274B9B" w:rsidP="00DA342E">
      <w:r w:rsidRPr="00521AC3">
        <w:rPr>
          <w:b/>
        </w:rPr>
        <w:t>O</w:t>
      </w:r>
      <w:r w:rsidR="00DA342E" w:rsidRPr="00521AC3">
        <w:rPr>
          <w:b/>
        </w:rPr>
        <w:t>bjem pozitívnych skúseností zo zahraničia je dostatočný na to, aby bo</w:t>
      </w:r>
      <w:r w:rsidR="00633C48">
        <w:rPr>
          <w:b/>
        </w:rPr>
        <w:t>l podobný prístup otestovaný aj </w:t>
      </w:r>
      <w:r w:rsidR="00DA342E" w:rsidRPr="00521AC3">
        <w:rPr>
          <w:b/>
        </w:rPr>
        <w:t>v slovenských podmienkach.</w:t>
      </w:r>
      <w:r w:rsidR="00DA342E" w:rsidRPr="00521AC3">
        <w:t xml:space="preserve"> </w:t>
      </w:r>
      <w:r w:rsidR="00DA342E" w:rsidRPr="00906B31">
        <w:rPr>
          <w:b/>
          <w:bCs/>
        </w:rPr>
        <w:t xml:space="preserve">Revízia preto navrhuje uskutočniť v budúcom programovom období </w:t>
      </w:r>
      <w:r w:rsidR="00C34E92">
        <w:rPr>
          <w:b/>
          <w:bCs/>
        </w:rPr>
        <w:t>pilotný projekt, ktorý otestuje</w:t>
      </w:r>
      <w:r w:rsidR="00DA342E" w:rsidRPr="00906B31">
        <w:rPr>
          <w:b/>
          <w:bCs/>
        </w:rPr>
        <w:t xml:space="preserve"> „housing first“ ako riešenie problémov ľudí bez domova.</w:t>
      </w:r>
      <w:r w:rsidR="00633C48">
        <w:t xml:space="preserve"> Problém selekcie je </w:t>
      </w:r>
      <w:r w:rsidR="00DA342E" w:rsidRPr="00521AC3">
        <w:t>možné vyriešiť náhodným výberom klientov do skúmanej vzorky a porovnať ich výsledky s ľuďmi bez domova v existujúcom systéme.</w:t>
      </w:r>
    </w:p>
    <w:tbl>
      <w:tblPr>
        <w:tblW w:w="0" w:type="auto"/>
        <w:shd w:val="clear" w:color="auto" w:fill="BDD6EE" w:themeFill="accent1" w:themeFillTint="66"/>
        <w:tblLook w:val="04A0" w:firstRow="1" w:lastRow="0" w:firstColumn="1" w:lastColumn="0" w:noHBand="0" w:noVBand="1"/>
      </w:tblPr>
      <w:tblGrid>
        <w:gridCol w:w="9026"/>
      </w:tblGrid>
      <w:tr w:rsidR="00DA342E" w:rsidRPr="00CA2564" w14:paraId="501255FE" w14:textId="77777777" w:rsidTr="00105BE6">
        <w:tc>
          <w:tcPr>
            <w:tcW w:w="9026" w:type="dxa"/>
            <w:shd w:val="clear" w:color="auto" w:fill="BDD6EE" w:themeFill="accent1" w:themeFillTint="66"/>
          </w:tcPr>
          <w:p w14:paraId="166F647B" w14:textId="106A4A18" w:rsidR="00DA342E" w:rsidRPr="00225D12" w:rsidRDefault="00250823" w:rsidP="00DA342E">
            <w:pPr>
              <w:spacing w:before="160"/>
              <w:rPr>
                <w:b/>
                <w:iCs/>
              </w:rPr>
            </w:pPr>
            <w:r w:rsidRPr="00250823">
              <w:rPr>
                <w:b/>
                <w:iCs/>
              </w:rPr>
              <w:t xml:space="preserve">Box </w:t>
            </w:r>
            <w:r w:rsidR="00A425AB">
              <w:rPr>
                <w:b/>
                <w:iCs/>
              </w:rPr>
              <w:fldChar w:fldCharType="begin"/>
            </w:r>
            <w:r w:rsidR="00A425AB">
              <w:rPr>
                <w:b/>
                <w:iCs/>
              </w:rPr>
              <w:instrText xml:space="preserve"> SEQ Box \* ARABIC </w:instrText>
            </w:r>
            <w:r w:rsidR="00A425AB">
              <w:rPr>
                <w:b/>
                <w:iCs/>
              </w:rPr>
              <w:fldChar w:fldCharType="separate"/>
            </w:r>
            <w:r w:rsidR="00FA29AF">
              <w:rPr>
                <w:b/>
                <w:iCs/>
                <w:noProof/>
              </w:rPr>
              <w:t>28</w:t>
            </w:r>
            <w:r w:rsidR="00A425AB">
              <w:rPr>
                <w:b/>
                <w:iCs/>
              </w:rPr>
              <w:fldChar w:fldCharType="end"/>
            </w:r>
            <w:r w:rsidR="00DA342E" w:rsidRPr="00CA2564">
              <w:rPr>
                <w:b/>
              </w:rPr>
              <w:t>: Príklady projektov „housing first“ v</w:t>
            </w:r>
            <w:r w:rsidR="006D0E38">
              <w:rPr>
                <w:b/>
              </w:rPr>
              <w:t> Brne, vo Fínsku a v Bratislave</w:t>
            </w:r>
          </w:p>
          <w:p w14:paraId="4A6E8F43" w14:textId="77777777" w:rsidR="00DA342E" w:rsidRPr="00CA2564" w:rsidRDefault="00DA342E">
            <w:pPr>
              <w:rPr>
                <w:i/>
              </w:rPr>
            </w:pPr>
            <w:r w:rsidRPr="00CA2564">
              <w:rPr>
                <w:i/>
              </w:rPr>
              <w:t>Brno</w:t>
            </w:r>
          </w:p>
          <w:p w14:paraId="0E7AC93F" w14:textId="431DDA80" w:rsidR="00DA342E" w:rsidRPr="00CA2564" w:rsidRDefault="00DA342E">
            <w:r w:rsidRPr="00CA2564">
              <w:t>Projekt rapid re-housing</w:t>
            </w:r>
            <w:r w:rsidRPr="00CA2564">
              <w:rPr>
                <w:rStyle w:val="Odkaznapoznmkupodiarou"/>
              </w:rPr>
              <w:footnoteReference w:id="454"/>
            </w:r>
            <w:r w:rsidRPr="00CA2564">
              <w:t xml:space="preserve"> bol spustený v roku 2016</w:t>
            </w:r>
            <w:r w:rsidRPr="00CA2564">
              <w:rPr>
                <w:b/>
              </w:rPr>
              <w:t> </w:t>
            </w:r>
            <w:r w:rsidRPr="00CA2564">
              <w:t>za spolupráce neziskových organizácii magistrátu mesta a akademických inštitúcii. Cieľom bolo zabezpečiť náhradné bývanie pre 50 vybraných rodín s deťmi v akútnej bytovej núdzi, finančnými ťažkosťami (dlhy, nezamestnanosť) a skúsenosti s diskrimináciou pri hľadaní si ubytovania. Týmto rodinám boli, aj s možnosťou výberu, poskytnuté nevyužívané sociálne nájomné byty za zvýhodnených podmienok a</w:t>
            </w:r>
            <w:r w:rsidR="0070047D">
              <w:t xml:space="preserve"> </w:t>
            </w:r>
            <w:r w:rsidRPr="00CA2564">
              <w:t>sociálna práca, intenzívna najmä v prvých mesiacoch bývania. Ďalších 99 rodín s podobnými charakteristikami bolo vybraných ako kontrolná skupina, ktorým byt pridelený nebol.</w:t>
            </w:r>
          </w:p>
          <w:p w14:paraId="17872971" w14:textId="00562697" w:rsidR="00DA342E" w:rsidRPr="00CA2564" w:rsidRDefault="00DA342E">
            <w:r w:rsidRPr="00CA2564">
              <w:t xml:space="preserve">Evaluácia projektu po prvom roku fungovania priniesla veľmi pozitívne výsledky. Až 96 % (48 z 50) rodín bolo schopných si nájomné bývanie udržať po dobu celého roka (78 % z nich bez dlhov). Tieto rodiny tak strávili v stabilnom bývaní v priemere 4,3-krát viac času než rodiny v kontrolnej skupine (11,8 oproti 2,7 mesiaca). Zároveň mali </w:t>
            </w:r>
            <w:r w:rsidR="00A34BAA">
              <w:t>dvoj</w:t>
            </w:r>
            <w:r w:rsidRPr="00CA2564">
              <w:t xml:space="preserve">násobne nižšie riziko návštevy pohotovosti a 4,5 </w:t>
            </w:r>
            <w:r w:rsidR="00A34BAA">
              <w:t xml:space="preserve">krát </w:t>
            </w:r>
            <w:r w:rsidR="00A34BAA" w:rsidRPr="00CA2564">
              <w:t>nižši</w:t>
            </w:r>
            <w:r w:rsidR="00A34BAA">
              <w:t>u</w:t>
            </w:r>
            <w:r w:rsidR="00A34BAA" w:rsidRPr="00CA2564">
              <w:t xml:space="preserve"> </w:t>
            </w:r>
            <w:r w:rsidRPr="00CA2564">
              <w:t>šancu vystavenia sa vysokej úrovni stresu. Z hľadiska verejných financií sa podarilo na jednej rodine celkovo ušetriť 31 447 Kč, čo v súčte predstavuje viac než 1,5 milióna Kč (58 tis. eur) ušetrených prostriedkov za prvý rok. Na základe týchto výstupov bol následne vypracovaný „Akčný plán“, ktorý počíta s každoročným pridelením 100 bytov rodinám v bytovej núdzi, s cieľom úplne eliminovať bezdomovectvo rodín v Brne do roku 2026 (Ripka a kol., 2018).</w:t>
            </w:r>
          </w:p>
          <w:p w14:paraId="2D020E75" w14:textId="77777777" w:rsidR="006D0E38" w:rsidRDefault="006D0E38">
            <w:pPr>
              <w:spacing w:before="160"/>
              <w:rPr>
                <w:i/>
              </w:rPr>
            </w:pPr>
            <w:r w:rsidRPr="00D3189B">
              <w:rPr>
                <w:i/>
              </w:rPr>
              <w:t>Fínsko</w:t>
            </w:r>
          </w:p>
          <w:p w14:paraId="71131152" w14:textId="03DEDED1" w:rsidR="00F849FE" w:rsidRDefault="006D0E38" w:rsidP="00D3189B">
            <w:pPr>
              <w:pStyle w:val="Odsekzoznamu"/>
              <w:ind w:left="0"/>
            </w:pPr>
            <w:r w:rsidRPr="00F23F5A">
              <w:t>Boj proti bezdomovectvu a snahy o jeho redukciu/elimináciu majú vo Fínsku</w:t>
            </w:r>
            <w:r w:rsidR="00633C48">
              <w:t xml:space="preserve"> dlhú tradíciu. Od roku 1987 sa </w:t>
            </w:r>
            <w:r w:rsidRPr="00F23F5A">
              <w:t>k tomuto cieľu zaviazala každá z úradujúcich vlád. Avšak v roku 2008 do</w:t>
            </w:r>
            <w:r w:rsidR="00633C48">
              <w:t>šlo k zmene stratégie potom, čo </w:t>
            </w:r>
            <w:r w:rsidRPr="00F23F5A">
              <w:t>prieskumy odhalili, že aj napriek znižovaniu celkového počtu ľudí bez domova, ostáva počet tých dlhodobo bez domova približne rovnaký. Bol vytvorený Fínsky národný program zameraný na redukciu dlhodobého bezdomovectva, založený na princípe housing first</w:t>
            </w:r>
            <w:r w:rsidRPr="00F23F5A">
              <w:rPr>
                <w:rStyle w:val="Odkaznapoznmkupodiarou"/>
              </w:rPr>
              <w:footnoteReference w:id="455"/>
            </w:r>
            <w:r w:rsidRPr="00F23F5A">
              <w:t>, ktorý nahradil dovtedajšiu koncepciu prestupného bývania.</w:t>
            </w:r>
          </w:p>
          <w:p w14:paraId="3E592479" w14:textId="77777777" w:rsidR="00F849FE" w:rsidRDefault="00F849FE" w:rsidP="00D3189B">
            <w:pPr>
              <w:pStyle w:val="Odsekzoznamu"/>
              <w:ind w:left="0"/>
            </w:pPr>
          </w:p>
          <w:p w14:paraId="07073C33" w14:textId="3AFC2619" w:rsidR="006D0E38" w:rsidRPr="00F23F5A" w:rsidRDefault="006D0E38" w:rsidP="00D3189B">
            <w:pPr>
              <w:pStyle w:val="Odsekzoznamu"/>
              <w:ind w:left="0"/>
            </w:pPr>
            <w:r w:rsidRPr="00D3189B">
              <w:t xml:space="preserve">Fínsko je momentálne jedinou krajinou </w:t>
            </w:r>
            <w:r w:rsidR="00A34BAA">
              <w:t>EÚ</w:t>
            </w:r>
            <w:r w:rsidRPr="00D3189B">
              <w:t>, ktorej sa darí znižovať počet ľudí bez domova</w:t>
            </w:r>
            <w:r w:rsidRPr="006D0E38">
              <w:t>. Kľúčový</w:t>
            </w:r>
            <w:r w:rsidRPr="00F23F5A">
              <w:t>mi faktormi úspešného fungovania systému sú najmä medzisektorová spolupráca, koordinovaný postup a plánovanie s dlhodobými cieľmi, komplexná bytová politika zameraná na zvyšovanie počtu cenovo dostupných bytov (výstavbou alebo kúpou od súkromného sektora), či vytváranie inkluzívneho sociálneho mixu</w:t>
            </w:r>
            <w:r w:rsidR="00F849FE">
              <w:t>.</w:t>
            </w:r>
            <w:r w:rsidRPr="00F23F5A">
              <w:rPr>
                <w:rStyle w:val="Odkaznapoznmkupodiarou"/>
              </w:rPr>
              <w:footnoteReference w:id="456"/>
            </w:r>
            <w:r w:rsidRPr="00F23F5A">
              <w:t xml:space="preserve"> Štát poskytuje bankové záruky a dotácie na výstavbu sociálnych bytov, prevažne vo vlastníctve samospráv, ale aj neziskových organizácii. Samosprávy následne umožňujú neziskovým organizáciám </w:t>
            </w:r>
            <w:r w:rsidR="00633C48">
              <w:t>využívať mestský bytový fond na </w:t>
            </w:r>
            <w:r w:rsidRPr="00F23F5A">
              <w:t xml:space="preserve">zabezpečenie bývania a sociálnych služieb (finančne podporených štátom) pre ľudí bez domova v súlade s princípmi housing first. </w:t>
            </w:r>
          </w:p>
          <w:p w14:paraId="3B9D1AF0" w14:textId="77777777" w:rsidR="006D0E38" w:rsidRPr="00F23F5A" w:rsidRDefault="006D0E38" w:rsidP="00D3189B">
            <w:pPr>
              <w:pStyle w:val="Odsekzoznamu"/>
              <w:ind w:left="0"/>
            </w:pPr>
          </w:p>
          <w:p w14:paraId="6CF1A744" w14:textId="3557055E" w:rsidR="006D0E38" w:rsidRDefault="006D0E38" w:rsidP="00D3189B">
            <w:pPr>
              <w:pStyle w:val="Odsekzoznamu"/>
              <w:ind w:left="0"/>
            </w:pPr>
            <w:r w:rsidRPr="00F23F5A">
              <w:t>Celková suma doposiaľ investovaných verejných prostriedkov je približne 250 mil. eur, avšak odhadované úspory na jednu ubytovanú osobu ročne, v porovnaní so situáciou, ak by zostala aj naďalej bez domova a využívala služby krízového bývania, sa pohybujú okolo 15 </w:t>
            </w:r>
            <w:r w:rsidR="00F849FE">
              <w:t>tisíc</w:t>
            </w:r>
            <w:r w:rsidRPr="00F23F5A">
              <w:t xml:space="preserve"> eur. Od za</w:t>
            </w:r>
            <w:r w:rsidR="00633C48">
              <w:t>vedenia programu v roku 2008 sa </w:t>
            </w:r>
            <w:r w:rsidRPr="00F23F5A">
              <w:t>podarilo zredukovať počet ľudí žijúcich dlhodobo bez domova o</w:t>
            </w:r>
            <w:r w:rsidR="00F849FE">
              <w:t> </w:t>
            </w:r>
            <w:r w:rsidRPr="00F23F5A">
              <w:t>35</w:t>
            </w:r>
            <w:r w:rsidR="00F849FE">
              <w:t xml:space="preserve"> </w:t>
            </w:r>
            <w:r w:rsidRPr="00F23F5A">
              <w:t>%. Zároveň sa značne znižuje počet útulkov a nocľahární - v Helsinkách z 558</w:t>
            </w:r>
            <w:r w:rsidR="00F849FE">
              <w:t xml:space="preserve"> v roku 2008 na 56 v roku 2016 (</w:t>
            </w:r>
            <w:r w:rsidRPr="00F23F5A">
              <w:t>Y-Foundation, 2017).</w:t>
            </w:r>
            <w:r w:rsidR="00F849FE">
              <w:rPr>
                <w:rStyle w:val="Odkaznapoznmkupodiarou"/>
              </w:rPr>
              <w:footnoteReference w:id="457"/>
            </w:r>
            <w:r w:rsidRPr="00F23F5A">
              <w:t xml:space="preserve"> </w:t>
            </w:r>
          </w:p>
          <w:p w14:paraId="69CC9E30" w14:textId="77777777" w:rsidR="006D0E38" w:rsidRPr="00CA2564" w:rsidRDefault="006D0E38">
            <w:pPr>
              <w:spacing w:before="160"/>
              <w:rPr>
                <w:i/>
              </w:rPr>
            </w:pPr>
            <w:r w:rsidRPr="00CA2564">
              <w:rPr>
                <w:i/>
              </w:rPr>
              <w:t>Bratislava</w:t>
            </w:r>
          </w:p>
          <w:p w14:paraId="5B15029E" w14:textId="4F87AF6D" w:rsidR="00DA342E" w:rsidRPr="00CA2564" w:rsidRDefault="006D0E38">
            <w:pPr>
              <w:spacing w:before="160"/>
            </w:pPr>
            <w:r w:rsidRPr="00CA2564">
              <w:t>Projekt Cverna prebieha v Bratislave od júna 2018, s očakávanou dĺžkou</w:t>
            </w:r>
            <w:r w:rsidR="00633C48">
              <w:t xml:space="preserve"> najmenej 2 roky. Organizuje ho </w:t>
            </w:r>
            <w:r w:rsidRPr="00C507BD">
              <w:t>Občianske združenie Vagus v spolupráci s Nadáciou Cvernovka, ktorá zabezpečila 3 ubytovacie jednotky v budove bývalých internátov. Na základe pohovorov bolo bývanie spolu so sociálnou prácou a poradenstvom poskytnuté 4 osobám. Doterajšie výsledky sú do veľkej miery pozitívne. Plánuje sa aj vyhotovenie finálnej štúdie, ktorá zdokumentuje celý proces a prínos projektu, pričom by mala slúžiť ako podklad k implementácii podobných projektov v širšom rozsahu a za podpory verejného sektora.</w:t>
            </w:r>
            <w:r w:rsidRPr="00C507BD">
              <w:rPr>
                <w:rStyle w:val="Odkaznapoznmkupodiarou"/>
              </w:rPr>
              <w:footnoteReference w:id="458"/>
            </w:r>
          </w:p>
        </w:tc>
      </w:tr>
    </w:tbl>
    <w:p w14:paraId="6A79CF02" w14:textId="48B0C873" w:rsidR="00DA342E" w:rsidRPr="00CA2564" w:rsidRDefault="00DA342E" w:rsidP="00DA342E">
      <w:pPr>
        <w:pStyle w:val="Nadpis2"/>
        <w:spacing w:before="240"/>
      </w:pPr>
      <w:bookmarkStart w:id="1650" w:name="_Toc18340954"/>
      <w:bookmarkStart w:id="1651" w:name="_Ref25310170"/>
      <w:bookmarkStart w:id="1652" w:name="_Toc34657740"/>
      <w:r w:rsidRPr="00CA2564">
        <w:t>Svojpomocná výstavba</w:t>
      </w:r>
      <w:r w:rsidR="00475A6B">
        <w:t xml:space="preserve"> a budovanie infraštruktúry</w:t>
      </w:r>
      <w:r w:rsidRPr="00CA2564">
        <w:t xml:space="preserve"> v prostredí MRK</w:t>
      </w:r>
      <w:bookmarkEnd w:id="1650"/>
      <w:bookmarkEnd w:id="1651"/>
      <w:bookmarkEnd w:id="1652"/>
    </w:p>
    <w:p w14:paraId="652EBF20" w14:textId="07068F80" w:rsidR="00523ACF" w:rsidRPr="00D3189B" w:rsidRDefault="00523ACF" w:rsidP="00D3189B">
      <w:pPr>
        <w:rPr>
          <w:bCs/>
          <w:color w:val="0070C0"/>
        </w:rPr>
      </w:pPr>
      <w:r>
        <w:rPr>
          <w:bCs/>
          <w:color w:val="0070C0"/>
        </w:rPr>
        <w:t>Svojpomocná výstavba</w:t>
      </w:r>
    </w:p>
    <w:p w14:paraId="5E07627B" w14:textId="1E91268C" w:rsidR="00DA342E" w:rsidRPr="00CA2564" w:rsidRDefault="00DA342E" w:rsidP="00DA342E">
      <w:pPr>
        <w:spacing w:before="160"/>
      </w:pPr>
      <w:r w:rsidRPr="00CA2564">
        <w:rPr>
          <w:b/>
        </w:rPr>
        <w:t xml:space="preserve">Svojpomocná výstavba príbytku za pomoci mikropôžičky predstavuje alternatívu voči nájomnému bývaniu </w:t>
      </w:r>
      <w:r w:rsidR="00426349">
        <w:rPr>
          <w:b/>
        </w:rPr>
        <w:t xml:space="preserve">s regulovaným nájmom </w:t>
      </w:r>
      <w:r w:rsidRPr="00CA2564">
        <w:rPr>
          <w:b/>
        </w:rPr>
        <w:t xml:space="preserve">pre niektoré druhy rodín žijúcich v marginalizovaných komunitách. </w:t>
      </w:r>
      <w:r w:rsidRPr="00CA2564">
        <w:t>Vybraným domácnostiam sú v rámci projektu poskytnuté mikropôžičky na svojpomocnú výstavbu (pod odborným vedením) domov do osobného vlastníctva na vysporiadaných pozemkoch. Podmienkou získani</w:t>
      </w:r>
      <w:r w:rsidR="001F30D1">
        <w:t>a mikropôžičky je </w:t>
      </w:r>
      <w:r w:rsidRPr="00CA2564">
        <w:t>preukázanie schopnosti pravidelne šetriť</w:t>
      </w:r>
      <w:r w:rsidR="008A0331">
        <w:t xml:space="preserve">. </w:t>
      </w:r>
      <w:r w:rsidRPr="00CA2564">
        <w:t>Záujemca sporením nielen získa prostriedky na finančnú spoluúčasť na výstavbe ale takisto preukáže predpoklad pre následné úspešné splácanie vyt</w:t>
      </w:r>
      <w:r w:rsidR="001F30D1">
        <w:t>voreného dlhu. Tento nástroj je </w:t>
      </w:r>
      <w:r w:rsidRPr="00CA2564">
        <w:t>vhodný pre rodiny, ktoré sú schopné podieľať sa na výstavbe</w:t>
      </w:r>
      <w:r w:rsidRPr="00CA2564">
        <w:rPr>
          <w:rStyle w:val="Odkaznapoznmkupodiarou"/>
        </w:rPr>
        <w:footnoteReference w:id="459"/>
      </w:r>
      <w:r w:rsidRPr="00CA2564">
        <w:t>.</w:t>
      </w:r>
      <w:r w:rsidR="008A0331">
        <w:t xml:space="preserve"> Inštitúcia poskytujúca mikropôžičky musí splniť všetky podmienky tak, ako ich definuje Národná banka Slovenska</w:t>
      </w:r>
      <w:r w:rsidR="008A0331" w:rsidRPr="00CA2564">
        <w:t>.</w:t>
      </w:r>
      <w:r w:rsidR="00F16CF4">
        <w:t xml:space="preserve"> </w:t>
      </w:r>
      <w:r w:rsidR="00F16CF4" w:rsidRPr="00CA2564">
        <w:t>Na Slovensku túto formu pomoci s bývaním doposiaľ realizoval výlučne mimovládny sektor (ETP Slovakia a projekt DOM.ov v spolupráci so Slovenskou sporiteľňou) (</w:t>
      </w:r>
      <w:r w:rsidR="00F16CF4" w:rsidRPr="00225D12">
        <w:fldChar w:fldCharType="begin"/>
      </w:r>
      <w:r w:rsidR="00F16CF4" w:rsidRPr="00832F2A">
        <w:instrText xml:space="preserve"> REF _Ref21089479 \h </w:instrText>
      </w:r>
      <w:r w:rsidR="00F16CF4" w:rsidRPr="00D3189B">
        <w:instrText xml:space="preserve"> \* MERGEFORMAT </w:instrText>
      </w:r>
      <w:r w:rsidR="00F16CF4" w:rsidRPr="00225D12">
        <w:fldChar w:fldCharType="separate"/>
      </w:r>
      <w:r w:rsidR="00FA29AF" w:rsidRPr="00FA29AF">
        <w:rPr>
          <w:iCs/>
        </w:rPr>
        <w:t>Box 29</w:t>
      </w:r>
      <w:r w:rsidR="00F16CF4" w:rsidRPr="00225D12">
        <w:fldChar w:fldCharType="end"/>
      </w:r>
      <w:r w:rsidR="00F16CF4" w:rsidRPr="00832F2A">
        <w:t>)</w:t>
      </w:r>
      <w:r w:rsidR="00F16CF4" w:rsidRPr="00CA2564">
        <w:t>.</w:t>
      </w:r>
    </w:p>
    <w:p w14:paraId="5C59F1F5" w14:textId="672F53E6" w:rsidR="00DA342E" w:rsidRPr="00CA2564" w:rsidRDefault="00DA342E" w:rsidP="00DA342E">
      <w:pPr>
        <w:spacing w:before="160"/>
      </w:pPr>
      <w:r w:rsidRPr="00CA2564">
        <w:rPr>
          <w:b/>
        </w:rPr>
        <w:t>Svojpomocná výstavba má potenciál výrazne prospievať nielen samotným klientom</w:t>
      </w:r>
      <w:r w:rsidR="008A0331">
        <w:rPr>
          <w:b/>
        </w:rPr>
        <w:t>,</w:t>
      </w:r>
      <w:r w:rsidRPr="00CA2564">
        <w:rPr>
          <w:b/>
        </w:rPr>
        <w:t xml:space="preserve"> ale celej komunite a obci. </w:t>
      </w:r>
      <w:r w:rsidRPr="00CA2564">
        <w:t>Stavebníci za pomoci odborného stavebného dozoru získavajú pracovné návyky a zručnosti uplatniteľné na trhu práce.</w:t>
      </w:r>
      <w:r w:rsidR="0070047D">
        <w:t xml:space="preserve"> </w:t>
      </w:r>
      <w:r w:rsidRPr="00CA2564">
        <w:t xml:space="preserve">Svojpomocnou výstavbou získavajú majitelia vzťah </w:t>
      </w:r>
      <w:r w:rsidR="00C55338">
        <w:t>k</w:t>
      </w:r>
      <w:r w:rsidR="00C55338" w:rsidRPr="00CA2564">
        <w:t> </w:t>
      </w:r>
      <w:r w:rsidRPr="00CA2564">
        <w:t xml:space="preserve">vlastnému domu a motiváciu starať sa o jeho údržbu. Aktívne riešenie svojej bytovej situácie pomáha rúcať stereotypy o neprispôsobivých Rómoch odkázaných na sociálne dávky, zvyšuje sociálny status rodiny a motivuje ostatných členov komunity. Obec získava nových </w:t>
      </w:r>
      <w:r w:rsidR="0080177A">
        <w:t>platiteľov dane z nehnuteľnosti</w:t>
      </w:r>
      <w:r w:rsidRPr="00CA2564">
        <w:t xml:space="preserve"> a</w:t>
      </w:r>
      <w:r w:rsidR="0080177A">
        <w:t> </w:t>
      </w:r>
      <w:r w:rsidRPr="00CA2564">
        <w:t>zníž</w:t>
      </w:r>
      <w:r w:rsidR="0080177A">
        <w:t>uje sa</w:t>
      </w:r>
      <w:r w:rsidRPr="00CA2564">
        <w:t xml:space="preserve"> tlak na často nedostatočné kapacity obecných nájomných bytov.</w:t>
      </w:r>
      <w:r w:rsidR="0080177A">
        <w:t xml:space="preserve"> Na </w:t>
      </w:r>
      <w:r w:rsidR="0033780C">
        <w:t>druhej strane výstavba do vlastníctva vo vylúčených lokalitách umocňuje priestorovú segregáciu a v porovnaní s nájomný bývaním znižuje mobilitu za prácou.</w:t>
      </w:r>
    </w:p>
    <w:p w14:paraId="01A425B7" w14:textId="0CFE92A6" w:rsidR="00DA342E" w:rsidRPr="00CA2564" w:rsidRDefault="00DA342E" w:rsidP="00DA342E">
      <w:pPr>
        <w:spacing w:before="160"/>
      </w:pPr>
      <w:r w:rsidRPr="00D41517">
        <w:rPr>
          <w:b/>
        </w:rPr>
        <w:t xml:space="preserve">Priemerný rozpočet na jeden dom v rámci projektu </w:t>
      </w:r>
      <w:r w:rsidR="008A0331" w:rsidRPr="00D41517">
        <w:rPr>
          <w:b/>
        </w:rPr>
        <w:t>Dom.ov je</w:t>
      </w:r>
      <w:r w:rsidRPr="00D41517">
        <w:rPr>
          <w:b/>
        </w:rPr>
        <w:t xml:space="preserve"> odhadnutý na </w:t>
      </w:r>
      <w:r w:rsidR="00B400F1" w:rsidRPr="00D41517">
        <w:rPr>
          <w:b/>
        </w:rPr>
        <w:t>30 tisíc</w:t>
      </w:r>
      <w:r w:rsidRPr="00D41517">
        <w:rPr>
          <w:b/>
        </w:rPr>
        <w:t xml:space="preserve"> eur</w:t>
      </w:r>
      <w:r w:rsidR="00B400F1" w:rsidRPr="00D41517">
        <w:rPr>
          <w:b/>
        </w:rPr>
        <w:t>.</w:t>
      </w:r>
      <w:r w:rsidR="00B400F1">
        <w:t xml:space="preserve"> Zhruba polovicu z tohto tvoria náklady na kúpu</w:t>
      </w:r>
      <w:r w:rsidRPr="00B400F1">
        <w:t xml:space="preserve"> pozemku</w:t>
      </w:r>
      <w:r w:rsidR="00B400F1">
        <w:t xml:space="preserve"> a </w:t>
      </w:r>
      <w:r w:rsidR="008A0331" w:rsidRPr="00B400F1">
        <w:t>materiálu</w:t>
      </w:r>
      <w:r w:rsidR="00B400F1">
        <w:t xml:space="preserve">, ktoré si z vlastných úspor a úveru hradí samotný klient. Druhú polovicu tvoria náklad na </w:t>
      </w:r>
      <w:r w:rsidR="008A0331" w:rsidRPr="00B400F1">
        <w:t>sprievodn</w:t>
      </w:r>
      <w:r w:rsidR="00B400F1">
        <w:t>é</w:t>
      </w:r>
      <w:r w:rsidR="008A0331" w:rsidRPr="00B400F1">
        <w:t xml:space="preserve"> služb</w:t>
      </w:r>
      <w:r w:rsidR="00B400F1">
        <w:t>y</w:t>
      </w:r>
      <w:r w:rsidR="00C55338">
        <w:t>,</w:t>
      </w:r>
      <w:r w:rsidR="008A0331" w:rsidRPr="00B400F1">
        <w:t xml:space="preserve"> ako sú napríklad </w:t>
      </w:r>
      <w:r w:rsidR="008A0331" w:rsidRPr="003D48D2">
        <w:t>práca stavebného učiteľa, stavebného koordinátora a sociálna práca zameraná na fina</w:t>
      </w:r>
      <w:r w:rsidR="00B400F1" w:rsidRPr="003D48D2">
        <w:t>n</w:t>
      </w:r>
      <w:r w:rsidR="008A0331" w:rsidRPr="003D48D2">
        <w:t>čnú gramotnosť klientov</w:t>
      </w:r>
      <w:r w:rsidR="004F3E85">
        <w:t>.</w:t>
      </w:r>
      <w:r w:rsidRPr="003D48D2">
        <w:rPr>
          <w:rStyle w:val="Odkaznapoznmkupodiarou"/>
        </w:rPr>
        <w:footnoteReference w:id="460"/>
      </w:r>
      <w:r w:rsidRPr="003D48D2">
        <w:t xml:space="preserve"> Pre porovnanie</w:t>
      </w:r>
      <w:r w:rsidR="00C55338">
        <w:t>,</w:t>
      </w:r>
      <w:r w:rsidRPr="003D48D2">
        <w:t xml:space="preserve"> priemerné náklady na nájomný byt</w:t>
      </w:r>
      <w:r w:rsidR="0033780C">
        <w:t xml:space="preserve"> nižšieho štandardu </w:t>
      </w:r>
      <w:r w:rsidRPr="003D48D2">
        <w:t xml:space="preserve">podporený dotáciou na rozvoj bývania </w:t>
      </w:r>
      <w:r w:rsidR="0033780C">
        <w:t xml:space="preserve">v období 2017 až 2019 tvorili </w:t>
      </w:r>
      <w:r w:rsidR="0017452E">
        <w:t xml:space="preserve">okolo </w:t>
      </w:r>
      <w:r w:rsidR="0033780C">
        <w:t xml:space="preserve">28 </w:t>
      </w:r>
      <w:r w:rsidR="0017452E">
        <w:t>tisíc eur</w:t>
      </w:r>
      <w:r w:rsidR="003D48D2">
        <w:t>.</w:t>
      </w:r>
      <w:r w:rsidRPr="003D48D2">
        <w:rPr>
          <w:rStyle w:val="Odkaznapoznmkupodiarou"/>
        </w:rPr>
        <w:footnoteReference w:id="461"/>
      </w:r>
      <w:r w:rsidRPr="00CA2564">
        <w:t xml:space="preserve"> </w:t>
      </w:r>
      <w:r w:rsidR="001703F8">
        <w:t>Pri obstarávaní nájomných bytov je tiež možné využiť svojpomoc budúcich nájomníkov.</w:t>
      </w:r>
    </w:p>
    <w:p w14:paraId="11478B91" w14:textId="64EF3346" w:rsidR="00DA342E" w:rsidRDefault="00DA342E" w:rsidP="00DA342E">
      <w:r w:rsidRPr="00CA2564">
        <w:rPr>
          <w:b/>
        </w:rPr>
        <w:t>Prieskum Ministerstva financií SR z roku 2018 odhadol medzeru vo financovaní svojpomocnej výstavby na úrovni 8,4 až 13,2 milióna eur za obdobie 2019 až 2023.</w:t>
      </w:r>
      <w:r w:rsidRPr="00CA2564">
        <w:t xml:space="preserve"> Medzera predstavuje rozdiel me</w:t>
      </w:r>
      <w:r w:rsidR="0080177A">
        <w:t>dzi dopytom po </w:t>
      </w:r>
      <w:r w:rsidRPr="00CA2564">
        <w:t>účasti na svojpomocnej výstavbe odhadnutý ETP na základe dopytu po mikroúveroch (14,4 až 19,2 miliónov eur</w:t>
      </w:r>
      <w:r w:rsidRPr="00CA2564">
        <w:rPr>
          <w:rStyle w:val="Odkaznapoznmkupodiarou"/>
        </w:rPr>
        <w:footnoteReference w:id="462"/>
      </w:r>
      <w:r w:rsidRPr="00CA2564">
        <w:t xml:space="preserve">) a prostriedkami, ktoré na tento účel vie poskytnúť súkromný sektor (6 miliónov </w:t>
      </w:r>
      <w:r w:rsidRPr="00137551">
        <w:t>eur)</w:t>
      </w:r>
      <w:r w:rsidRPr="00D44863">
        <w:t>.</w:t>
      </w:r>
      <w:r w:rsidR="006E40F0">
        <w:rPr>
          <w:rStyle w:val="Odkaznapoznmkupodiarou"/>
        </w:rPr>
        <w:footnoteReference w:id="463"/>
      </w:r>
      <w:r w:rsidRPr="00D44863">
        <w:t xml:space="preserve"> </w:t>
      </w:r>
      <w:r w:rsidRPr="00CA2564">
        <w:t>Štát sa na financovaní svojpomocnej výstavby doposiaľ výraznejšie nepodieľal.</w:t>
      </w:r>
    </w:p>
    <w:p w14:paraId="60D2561F" w14:textId="22854EAB" w:rsidR="00AC1AFC" w:rsidRDefault="00B6077C" w:rsidP="00DA342E">
      <w:r w:rsidRPr="00D3189B">
        <w:rPr>
          <w:b/>
        </w:rPr>
        <w:t xml:space="preserve">Finančnú podporu </w:t>
      </w:r>
      <w:r w:rsidR="00C55338">
        <w:rPr>
          <w:b/>
        </w:rPr>
        <w:t xml:space="preserve">pre </w:t>
      </w:r>
      <w:r w:rsidR="00C55338" w:rsidRPr="00D3189B">
        <w:rPr>
          <w:b/>
        </w:rPr>
        <w:t>svojpomocn</w:t>
      </w:r>
      <w:r w:rsidR="00C55338">
        <w:rPr>
          <w:b/>
        </w:rPr>
        <w:t>ú</w:t>
      </w:r>
      <w:r w:rsidR="00C55338" w:rsidRPr="00D3189B">
        <w:rPr>
          <w:b/>
        </w:rPr>
        <w:t xml:space="preserve"> výstavb</w:t>
      </w:r>
      <w:r w:rsidR="00C55338">
        <w:rPr>
          <w:b/>
        </w:rPr>
        <w:t>u</w:t>
      </w:r>
      <w:r w:rsidR="00C55338" w:rsidRPr="00D3189B">
        <w:rPr>
          <w:b/>
        </w:rPr>
        <w:t xml:space="preserve"> </w:t>
      </w:r>
      <w:r w:rsidRPr="00D3189B">
        <w:rPr>
          <w:b/>
        </w:rPr>
        <w:t>pomocou mikropôžičiek má zabezpečiť vyzvanie v rámci prioritnej osi 6 Operačného programu Ľudské zdroje s alokáciou 13,6 miliónov eur.</w:t>
      </w:r>
      <w:r w:rsidR="00983430">
        <w:rPr>
          <w:rStyle w:val="Odkaznapoznmkupodiarou"/>
          <w:b/>
        </w:rPr>
        <w:footnoteReference w:id="464"/>
      </w:r>
      <w:r w:rsidRPr="00F128C5">
        <w:t xml:space="preserve"> Oprávneným žiadateľom vyzvania je Slovenská záručná a rozvojová banka Asset management a.s.</w:t>
      </w:r>
      <w:r w:rsidR="00F128C5">
        <w:t xml:space="preserve">, </w:t>
      </w:r>
      <w:r w:rsidR="00983430">
        <w:t>dnes Slovak investmen</w:t>
      </w:r>
      <w:r w:rsidR="00F128C5">
        <w:t>t holding</w:t>
      </w:r>
      <w:r w:rsidR="00983430">
        <w:t xml:space="preserve"> (SIH)</w:t>
      </w:r>
      <w:r w:rsidR="00F128C5">
        <w:t>.</w:t>
      </w:r>
      <w:r w:rsidR="00882A6F" w:rsidRPr="00F128C5">
        <w:t xml:space="preserve"> </w:t>
      </w:r>
      <w:r w:rsidR="00F128C5">
        <w:t>Jeho úlohou je výber f</w:t>
      </w:r>
      <w:r w:rsidR="00983430">
        <w:t>inančných sprostredkovateľov (bánk</w:t>
      </w:r>
      <w:r w:rsidR="00F128C5">
        <w:t>)</w:t>
      </w:r>
      <w:r w:rsidR="00983430">
        <w:t>,</w:t>
      </w:r>
      <w:r w:rsidR="00F128C5">
        <w:t xml:space="preserve"> ktoré budú mikropôžičky poskytovať prostredníctvom svojej siete</w:t>
      </w:r>
      <w:r w:rsidR="00983430">
        <w:t>. SIH má tiež sp</w:t>
      </w:r>
      <w:r w:rsidR="00C55338">
        <w:t>o</w:t>
      </w:r>
      <w:r w:rsidR="00983430">
        <w:t>lufinacovať samotné</w:t>
      </w:r>
      <w:r w:rsidR="00F128C5">
        <w:t xml:space="preserve"> </w:t>
      </w:r>
      <w:r w:rsidR="00983430">
        <w:t xml:space="preserve">úvery </w:t>
      </w:r>
      <w:r w:rsidR="00F128C5">
        <w:t>klientom.</w:t>
      </w:r>
      <w:r w:rsidR="00653611" w:rsidRPr="00F128C5">
        <w:t xml:space="preserve"> </w:t>
      </w:r>
      <w:r w:rsidR="00882A6F" w:rsidRPr="00F128C5">
        <w:t xml:space="preserve">Hoci zmluva v plnej výške </w:t>
      </w:r>
      <w:r w:rsidR="00653611" w:rsidRPr="00D3189B">
        <w:t xml:space="preserve">alokácie </w:t>
      </w:r>
      <w:r w:rsidR="00983430">
        <w:t>bola uzavretá v roku 201</w:t>
      </w:r>
      <w:r w:rsidR="00F128C5">
        <w:t xml:space="preserve">6, </w:t>
      </w:r>
      <w:r w:rsidR="00882A6F" w:rsidRPr="00F128C5">
        <w:t>k spusteniu mikropôžičkovej schémy doposiaľ nedošlo. Dôvodom je</w:t>
      </w:r>
      <w:r w:rsidR="00F128C5">
        <w:t xml:space="preserve"> zdĺhavý proces výberu finančných sprostredkovateľov cez verejné obstarávanie</w:t>
      </w:r>
      <w:r w:rsidR="00983430">
        <w:t xml:space="preserve"> (podmienka Európskej komisie) a potreba zmeny investičnej stratégie SIH tak, aby umožňovala financovanie úverov pre </w:t>
      </w:r>
      <w:r w:rsidR="00022643">
        <w:t>fy</w:t>
      </w:r>
      <w:r w:rsidR="00983430">
        <w:t>zické osoby ako konečných príjímateľov.</w:t>
      </w:r>
    </w:p>
    <w:p w14:paraId="7787CAFE" w14:textId="1D4C82D0" w:rsidR="007C7843" w:rsidRPr="00CA2564" w:rsidRDefault="005106B2" w:rsidP="00D3189B">
      <w:r w:rsidRPr="00D3189B">
        <w:rPr>
          <w:b/>
        </w:rPr>
        <w:t xml:space="preserve">Úspech </w:t>
      </w:r>
      <w:r>
        <w:rPr>
          <w:b/>
        </w:rPr>
        <w:t xml:space="preserve">mikropôžičkovej </w:t>
      </w:r>
      <w:r w:rsidRPr="00D3189B">
        <w:rPr>
          <w:b/>
        </w:rPr>
        <w:t xml:space="preserve">schémy bude závisieť od záujmu zo strany potenciálnych finančných sprostredkovateľov. </w:t>
      </w:r>
      <w:r w:rsidR="0041179C">
        <w:t>Vzhľadom na malé objemy transakcií, byrokraciu spojenú s verejným obstarávaním a prístup k stále lacnému finacovaniu na trhu nemusí byť spolufinacovanie z verejných zdrojov pre súkromné banky dostatočne atraktívne.</w:t>
      </w:r>
      <w:r w:rsidR="00A06C4C" w:rsidRPr="005106B2" w:rsidDel="00A06C4C">
        <w:t xml:space="preserve"> </w:t>
      </w:r>
    </w:p>
    <w:tbl>
      <w:tblPr>
        <w:tblW w:w="0" w:type="auto"/>
        <w:shd w:val="clear" w:color="auto" w:fill="BDD6EE" w:themeFill="accent1" w:themeFillTint="66"/>
        <w:tblLook w:val="04A0" w:firstRow="1" w:lastRow="0" w:firstColumn="1" w:lastColumn="0" w:noHBand="0" w:noVBand="1"/>
      </w:tblPr>
      <w:tblGrid>
        <w:gridCol w:w="9026"/>
      </w:tblGrid>
      <w:tr w:rsidR="007C7843" w:rsidRPr="00CA2564" w14:paraId="103CDBE1" w14:textId="77777777" w:rsidTr="007C7843">
        <w:tc>
          <w:tcPr>
            <w:tcW w:w="9062" w:type="dxa"/>
            <w:shd w:val="clear" w:color="auto" w:fill="BDD6EE" w:themeFill="accent1" w:themeFillTint="66"/>
          </w:tcPr>
          <w:p w14:paraId="2F8372ED" w14:textId="08F64257" w:rsidR="007C7843" w:rsidRPr="00225D12" w:rsidRDefault="00832F2A" w:rsidP="007C7843">
            <w:pPr>
              <w:spacing w:before="160"/>
              <w:rPr>
                <w:b/>
                <w:iCs/>
              </w:rPr>
            </w:pPr>
            <w:bookmarkStart w:id="1653" w:name="_Ref21089479"/>
            <w:r w:rsidRPr="00832F2A">
              <w:rPr>
                <w:b/>
                <w:iCs/>
              </w:rPr>
              <w:t xml:space="preserve">Box </w:t>
            </w:r>
            <w:r w:rsidR="00A425AB">
              <w:rPr>
                <w:b/>
                <w:iCs/>
              </w:rPr>
              <w:fldChar w:fldCharType="begin"/>
            </w:r>
            <w:r w:rsidR="00A425AB">
              <w:rPr>
                <w:b/>
                <w:iCs/>
              </w:rPr>
              <w:instrText xml:space="preserve"> SEQ Box \* ARABIC </w:instrText>
            </w:r>
            <w:r w:rsidR="00A425AB">
              <w:rPr>
                <w:b/>
                <w:iCs/>
              </w:rPr>
              <w:fldChar w:fldCharType="separate"/>
            </w:r>
            <w:r w:rsidR="00FA29AF">
              <w:rPr>
                <w:b/>
                <w:iCs/>
                <w:noProof/>
              </w:rPr>
              <w:t>29</w:t>
            </w:r>
            <w:r w:rsidR="00A425AB">
              <w:rPr>
                <w:b/>
                <w:iCs/>
              </w:rPr>
              <w:fldChar w:fldCharType="end"/>
            </w:r>
            <w:bookmarkEnd w:id="1653"/>
            <w:r w:rsidR="007C7843" w:rsidRPr="00CA2564">
              <w:rPr>
                <w:b/>
              </w:rPr>
              <w:t>: Svojpomocná výstavba v Rankovciach</w:t>
            </w:r>
          </w:p>
          <w:p w14:paraId="60DCC34A" w14:textId="694E63B0" w:rsidR="007C7843" w:rsidRPr="00CA2564" w:rsidRDefault="007C7843" w:rsidP="006D1F7C">
            <w:r w:rsidRPr="00CA2564">
              <w:t>Jedným z úspešných príkladov svojpomocnej výstavby je obec Rankovce v Prešovskom kraji. Pilotný projekt svojpomocnej výstavby organizácii ETP</w:t>
            </w:r>
            <w:r w:rsidR="00EB3E14">
              <w:rPr>
                <w:rStyle w:val="Odkaznapoznmkupodiarou"/>
              </w:rPr>
              <w:footnoteReference w:id="465"/>
            </w:r>
            <w:r w:rsidRPr="00CA2564">
              <w:t xml:space="preserve"> a následne DOM.ov začal v roku 2013. Od záujemcov-rodín sa vyžaduje preukázať schopnosť nasporiť minimálne 50 eur mesačne po dobu jedného roka. Celý proces je dôsledne monitorovaný, pričom rodina si tak vytvára návyk na splácanie budúcich záväzkov. Po roku si za našetrenú sumu 600 eur môže s pomocou obce zakúpiť pozemok a takisto požiadať o pôžičku od Slovenskej sporiteľne vo výške 9 tisíc eur. Celkové náklady na výstavbu jedného domu sú zhruba 12 až 13 tisíc eur. Ráta sa teda s finančnou spoluúčasťou rodiny, ktorá na získanie pôžičky musí deklarovať zdroj príjmu z práce aspoň jedného z jej členov. Navyše súhlasí s aktívnou spoluprácou s terénnymi sociálnymi pracovníkmi po dobu splácania pôžičky. Tí okrem iného zabezpečujú aj vzdelávanie v oblasti finančnej gramotnosti. Počet postavených domov v rámci projektu sa postupne zvyšoval (4 v prvej fáze, 10 v druhej a 14 domov v tre</w:t>
            </w:r>
            <w:r w:rsidR="006D1F7C">
              <w:t>tej fáze),</w:t>
            </w:r>
            <w:r w:rsidRPr="00CA2564">
              <w:t xml:space="preserve"> v súčasnosti sa plánuje výstavba ďalších 20.</w:t>
            </w:r>
          </w:p>
        </w:tc>
      </w:tr>
    </w:tbl>
    <w:p w14:paraId="21BBC2FF" w14:textId="1C05BF8F" w:rsidR="00523ACF" w:rsidRDefault="00721900" w:rsidP="00D3189B">
      <w:pPr>
        <w:spacing w:before="240"/>
        <w:rPr>
          <w:bCs/>
          <w:color w:val="0070C0"/>
        </w:rPr>
      </w:pPr>
      <w:r>
        <w:rPr>
          <w:bCs/>
          <w:color w:val="0070C0"/>
        </w:rPr>
        <w:t>Vysporiadanie pozemkov</w:t>
      </w:r>
    </w:p>
    <w:p w14:paraId="7EB16586" w14:textId="6F89A941" w:rsidR="009610E4" w:rsidRDefault="009610E4" w:rsidP="00D3189B">
      <w:pPr>
        <w:spacing w:before="240"/>
      </w:pPr>
      <w:r w:rsidRPr="00D3189B">
        <w:rPr>
          <w:b/>
          <w:bCs/>
        </w:rPr>
        <w:t xml:space="preserve">Nevysporiadané pozemky sú jednou z najväčších </w:t>
      </w:r>
      <w:r w:rsidR="00486336">
        <w:rPr>
          <w:b/>
          <w:bCs/>
        </w:rPr>
        <w:t>prekážok investíciám</w:t>
      </w:r>
      <w:r w:rsidRPr="00D3189B">
        <w:rPr>
          <w:b/>
          <w:bCs/>
        </w:rPr>
        <w:t xml:space="preserve"> do infraštruktúry v MRK. </w:t>
      </w:r>
      <w:r>
        <w:t>Pridelenie prostriedkov a realizácia projektov prioritnej osi 6 Operačného programu Ľudské zdroje je podmienená vysporiadanými majetkovo-právnymi vzťahmi a povoleniami na stavbu.</w:t>
      </w:r>
      <w:r>
        <w:rPr>
          <w:rStyle w:val="Odkaznapoznmkupodiarou"/>
        </w:rPr>
        <w:footnoteReference w:id="466"/>
      </w:r>
      <w:r w:rsidR="005116F1">
        <w:t xml:space="preserve"> Problém s evidenciou vlastníctva k pozemkom </w:t>
      </w:r>
      <w:r w:rsidR="00E03E1F">
        <w:t xml:space="preserve">nachádzajúcich </w:t>
      </w:r>
      <w:r w:rsidR="005116F1">
        <w:t xml:space="preserve">sa v rómskych osídleniach tiež bráni obciam v realizácii akýchkoľvek </w:t>
      </w:r>
      <w:r w:rsidR="00E03E1F">
        <w:t>verejnoprospešných opatrení</w:t>
      </w:r>
      <w:r w:rsidR="005116F1">
        <w:t xml:space="preserve">. </w:t>
      </w:r>
    </w:p>
    <w:p w14:paraId="6728F1F6" w14:textId="3E680838" w:rsidR="000624B6" w:rsidRDefault="000624B6" w:rsidP="00D3189B">
      <w:pPr>
        <w:autoSpaceDE w:val="0"/>
        <w:autoSpaceDN w:val="0"/>
        <w:adjustRightInd w:val="0"/>
        <w:spacing w:before="160"/>
      </w:pPr>
      <w:r>
        <w:rPr>
          <w:b/>
        </w:rPr>
        <w:t xml:space="preserve">Na pomoc s </w:t>
      </w:r>
      <w:r w:rsidRPr="00C67D59">
        <w:rPr>
          <w:b/>
        </w:rPr>
        <w:t xml:space="preserve">vysporiadaním pozemkov v MRK </w:t>
      </w:r>
      <w:r>
        <w:rPr>
          <w:b/>
        </w:rPr>
        <w:t xml:space="preserve">boli zamerané dva národné projekty s celkovou alokáciou 5,5 milióna eur v rámci prioritnej osi 5 Operačného programu Ľudské zdroje. </w:t>
      </w:r>
      <w:r>
        <w:t>Ku koncu roka 2018 bolo z prvého vyzvania vo výške 3,1 milióna eur kontrahovaných viac ako 76 % alokovaných prostriedkov, čerpanie bolo na úrovni 137 tisíc eur. V druhej polovici roka 2019 bolo vyhlásené a uzavreté doplňujúce vyzvanie na dodatočnú podporu pri vysporiadaní pozemkov v MRK.</w:t>
      </w:r>
    </w:p>
    <w:p w14:paraId="67B449C7" w14:textId="6A82987D" w:rsidR="005116F1" w:rsidRPr="00D3189B" w:rsidRDefault="00BA7AE6" w:rsidP="00D3189B">
      <w:pPr>
        <w:autoSpaceDE w:val="0"/>
        <w:autoSpaceDN w:val="0"/>
        <w:adjustRightInd w:val="0"/>
        <w:spacing w:before="160"/>
        <w:rPr>
          <w:rFonts w:cs="GretaSansPro-Reg"/>
          <w:szCs w:val="22"/>
        </w:rPr>
      </w:pPr>
      <w:r w:rsidRPr="00D3189B">
        <w:rPr>
          <w:b/>
        </w:rPr>
        <w:t>Vysporiadaniu pozemkov</w:t>
      </w:r>
      <w:r w:rsidR="005116F1" w:rsidRPr="00D3189B">
        <w:rPr>
          <w:b/>
        </w:rPr>
        <w:t xml:space="preserve"> tiež napomáha zavedenie takzvaných </w:t>
      </w:r>
      <w:r w:rsidR="005116F1">
        <w:rPr>
          <w:b/>
        </w:rPr>
        <w:t>jednoduchých pozemkových úprav.</w:t>
      </w:r>
      <w:r w:rsidR="005116F1">
        <w:rPr>
          <w:rStyle w:val="Odkaznapoznmkupodiarou"/>
          <w:rFonts w:cs="GretaSansPro-Reg"/>
          <w:szCs w:val="22"/>
        </w:rPr>
        <w:footnoteReference w:id="467"/>
      </w:r>
      <w:r w:rsidR="005116F1">
        <w:rPr>
          <w:rFonts w:cs="GretaSansPro-Reg"/>
          <w:szCs w:val="22"/>
        </w:rPr>
        <w:t xml:space="preserve"> </w:t>
      </w:r>
      <w:r w:rsidR="005116F1">
        <w:t>Jednoduché pozemkové úpravy</w:t>
      </w:r>
      <w:r w:rsidR="006D1F7C">
        <w:t xml:space="preserve"> (JPÚ)</w:t>
      </w:r>
      <w:r w:rsidR="005116F1" w:rsidRPr="008D659A">
        <w:t xml:space="preserve"> </w:t>
      </w:r>
      <w:r w:rsidR="005116F1">
        <w:t>umožňujú</w:t>
      </w:r>
      <w:r w:rsidR="005116F1" w:rsidRPr="008D659A">
        <w:t xml:space="preserve"> užívateľom pozemkov usporiadať v záujmovom území vlastnícke vzťahy v prípade, keď to</w:t>
      </w:r>
      <w:r w:rsidR="005116F1">
        <w:t xml:space="preserve"> pre ich veľkú zložitosť, počet</w:t>
      </w:r>
      <w:r w:rsidR="005116F1" w:rsidRPr="008D659A">
        <w:t xml:space="preserve"> a celkovú rozdrobenosť nie je možné vykonať inými bežnými prostriedkami</w:t>
      </w:r>
      <w:r w:rsidR="005116F1">
        <w:t>. V prípade, že sa obydlia MRK nachádzajú na cudzích pozemkoch, tak dochádza k preusporiadaniu vlastníckych práv – vlastníkom týchto</w:t>
      </w:r>
      <w:r w:rsidR="005116F1" w:rsidRPr="00F1644E">
        <w:t xml:space="preserve"> pozemkov</w:t>
      </w:r>
      <w:r w:rsidR="005116F1">
        <w:t xml:space="preserve"> je ponúknutá náhrada v podobe pozemkov vlastnených obcou alebo štátom v inej lokalite, výmenou za pozemky pod obydliami MRK, ktoré prechádzajú</w:t>
      </w:r>
      <w:r w:rsidR="005116F1" w:rsidRPr="00F1644E">
        <w:t xml:space="preserve"> do vlastníctva obce.</w:t>
      </w:r>
      <w:r w:rsidR="005116F1" w:rsidRPr="00906076">
        <w:t xml:space="preserve"> </w:t>
      </w:r>
      <w:r w:rsidR="005116F1">
        <w:t>Obec následne dotknutý pozemok prevedie do vlastníctva obyvateľa obydlia, alebo na základe uzatvorenej nájomnej zmluvy dostane obyvateľ obydlia dotknutý pozemok do nájmu.</w:t>
      </w:r>
      <w:r w:rsidR="005116F1">
        <w:rPr>
          <w:b/>
        </w:rPr>
        <w:t xml:space="preserve"> </w:t>
      </w:r>
      <w:r w:rsidR="005116F1">
        <w:t>Výhodou JPÚ je spravidla kratšie trvanie ako pri komplexných pozemkových úpravách (cca 12 až 24 mesiacov)</w:t>
      </w:r>
      <w:r w:rsidR="0077729E">
        <w:t>,</w:t>
      </w:r>
      <w:r w:rsidR="005116F1">
        <w:t xml:space="preserve"> a keďže sa v nich rieši len zadané a nie celé katastrálne územie, je značne zjednodušená požadovaná dokumentácia</w:t>
      </w:r>
      <w:r w:rsidR="003D59B2">
        <w:t>.</w:t>
      </w:r>
      <w:r w:rsidR="003D59B2">
        <w:rPr>
          <w:rStyle w:val="Odkaznapoznmkupodiarou"/>
        </w:rPr>
        <w:footnoteReference w:id="468"/>
      </w:r>
    </w:p>
    <w:p w14:paraId="6AECCFD3" w14:textId="6A7D035A" w:rsidR="00721900" w:rsidRDefault="005941E6">
      <w:pPr>
        <w:rPr>
          <w:bCs/>
          <w:color w:val="0070C0"/>
        </w:rPr>
      </w:pPr>
      <w:r>
        <w:rPr>
          <w:bCs/>
          <w:color w:val="0070C0"/>
        </w:rPr>
        <w:t>Pozemné komunikácie</w:t>
      </w:r>
    </w:p>
    <w:p w14:paraId="1C239487" w14:textId="60D3EC53" w:rsidR="00721900" w:rsidRPr="00D3189B" w:rsidRDefault="005941E6">
      <w:r w:rsidRPr="00D3189B">
        <w:rPr>
          <w:b/>
        </w:rPr>
        <w:t xml:space="preserve">Dostupnosť pozemných komunikácií </w:t>
      </w:r>
      <w:r w:rsidR="006E396A" w:rsidRPr="00D3189B">
        <w:rPr>
          <w:b/>
        </w:rPr>
        <w:t>v rómskych osídleniach</w:t>
      </w:r>
      <w:r w:rsidRPr="00D3189B">
        <w:rPr>
          <w:b/>
        </w:rPr>
        <w:t xml:space="preserve"> rieši </w:t>
      </w:r>
      <w:r w:rsidR="006E396A" w:rsidRPr="00D3189B">
        <w:rPr>
          <w:b/>
        </w:rPr>
        <w:t>dopytovo orientovaná výzva pre obce s prítomnosťou MRK</w:t>
      </w:r>
      <w:r w:rsidRPr="00D3189B">
        <w:rPr>
          <w:b/>
        </w:rPr>
        <w:t xml:space="preserve"> vyhlásená v júni 2019</w:t>
      </w:r>
      <w:r w:rsidR="006E396A">
        <w:rPr>
          <w:b/>
        </w:rPr>
        <w:t xml:space="preserve"> s alokáciou 12,4 miliónov eur</w:t>
      </w:r>
      <w:r w:rsidRPr="00D3189B">
        <w:rPr>
          <w:b/>
        </w:rPr>
        <w:t>.</w:t>
      </w:r>
      <w:r>
        <w:t xml:space="preserve"> V rámci realizácie projektov bude podporená výstavba a rekonštrukcia pozemných komunikácii pre motorové vozidlá, výstavba a rekonštrukcia chodníkov pre peších a/alebo cyklistov, výstavba a rekonštrukcia lávok pre peš</w:t>
      </w:r>
      <w:r w:rsidR="009470DE">
        <w:t>ích alebo peších a cyklistov, a </w:t>
      </w:r>
      <w:r>
        <w:t>mostných objektov pre motorové vozidlá, výstavba verejného osvetlenia, ako súčasť vyššie uvedených podporených objektov, a ostatné výstavby a rekonštrukcie pozemných komunikácií súvisiace s podporenou infraštruktúrou. Aby sa zabránilo neoprávnenému využitiu prostriedkov, rekonštrukcia je oprávnená iba v prípade, ak je predmetom projektu aj výstavba nových pozemných komunikácií, oprava a údržba pozemných komunikácii nie je oprávnená.</w:t>
      </w:r>
    </w:p>
    <w:p w14:paraId="2392937D" w14:textId="733F237A" w:rsidR="00721900" w:rsidRDefault="00721900">
      <w:pPr>
        <w:rPr>
          <w:bCs/>
          <w:color w:val="0070C0"/>
        </w:rPr>
      </w:pPr>
      <w:r>
        <w:rPr>
          <w:bCs/>
          <w:color w:val="0070C0"/>
        </w:rPr>
        <w:t>Pitná voda</w:t>
      </w:r>
    </w:p>
    <w:p w14:paraId="4EF41296" w14:textId="21E634BE" w:rsidR="00016A35" w:rsidRDefault="00016A35" w:rsidP="00D3189B">
      <w:r>
        <w:rPr>
          <w:b/>
        </w:rPr>
        <w:t>Zlepšiť prístup</w:t>
      </w:r>
      <w:r w:rsidRPr="00341353">
        <w:rPr>
          <w:b/>
        </w:rPr>
        <w:t xml:space="preserve"> k pitnej vode v MRK je cieľom </w:t>
      </w:r>
      <w:r w:rsidR="00E84C5F">
        <w:rPr>
          <w:b/>
        </w:rPr>
        <w:t xml:space="preserve">dopytovo orientovanej </w:t>
      </w:r>
      <w:r w:rsidRPr="00341353">
        <w:rPr>
          <w:b/>
        </w:rPr>
        <w:t xml:space="preserve">výzvy prioritnej osi </w:t>
      </w:r>
      <w:r w:rsidR="00486336">
        <w:rPr>
          <w:b/>
        </w:rPr>
        <w:t>6 Operačného programu Ľudské zdroje</w:t>
      </w:r>
      <w:r w:rsidRPr="00341353">
        <w:rPr>
          <w:b/>
        </w:rPr>
        <w:t>, záujem o ňu je však nízky.</w:t>
      </w:r>
      <w:r>
        <w:t xml:space="preserve"> V porovnaní s ostatnými výzvami </w:t>
      </w:r>
      <w:r w:rsidR="001717F8">
        <w:t>prioritnej osi</w:t>
      </w:r>
      <w:r w:rsidR="00486336">
        <w:t xml:space="preserve"> 6</w:t>
      </w:r>
      <w:r w:rsidR="008A66C0">
        <w:rPr>
          <w:szCs w:val="22"/>
        </w:rPr>
        <w:t xml:space="preserve"> ide </w:t>
      </w:r>
      <w:r w:rsidRPr="00F63247">
        <w:rPr>
          <w:szCs w:val="22"/>
        </w:rPr>
        <w:t>o </w:t>
      </w:r>
      <w:r w:rsidR="00486336" w:rsidRPr="00F63247">
        <w:rPr>
          <w:szCs w:val="22"/>
        </w:rPr>
        <w:t xml:space="preserve">najmenej kontrahovanú výzvu – </w:t>
      </w:r>
      <w:r w:rsidR="0033326C">
        <w:rPr>
          <w:szCs w:val="22"/>
        </w:rPr>
        <w:t>2,5</w:t>
      </w:r>
      <w:r w:rsidR="00486336" w:rsidRPr="00F63247">
        <w:rPr>
          <w:szCs w:val="22"/>
        </w:rPr>
        <w:t xml:space="preserve"> miliónov </w:t>
      </w:r>
      <w:r w:rsidRPr="00F63247">
        <w:rPr>
          <w:szCs w:val="22"/>
        </w:rPr>
        <w:t xml:space="preserve">eur, čo predstavuje 14 % pridelených </w:t>
      </w:r>
      <w:r w:rsidRPr="004A0ED3">
        <w:rPr>
          <w:szCs w:val="22"/>
        </w:rPr>
        <w:t>prostriedkov</w:t>
      </w:r>
      <w:r w:rsidR="00486336" w:rsidRPr="004A0ED3">
        <w:rPr>
          <w:szCs w:val="22"/>
        </w:rPr>
        <w:t xml:space="preserve"> (</w:t>
      </w:r>
      <w:r w:rsidR="004A0ED3" w:rsidRPr="00A30E57">
        <w:rPr>
          <w:szCs w:val="22"/>
        </w:rPr>
        <w:fldChar w:fldCharType="begin"/>
      </w:r>
      <w:r w:rsidR="004A0ED3" w:rsidRPr="004A0ED3">
        <w:rPr>
          <w:szCs w:val="22"/>
        </w:rPr>
        <w:instrText xml:space="preserve"> REF _Ref20206332 \h </w:instrText>
      </w:r>
      <w:r w:rsidR="004A0ED3">
        <w:rPr>
          <w:szCs w:val="22"/>
        </w:rPr>
        <w:instrText xml:space="preserve"> \* MERGEFORMAT </w:instrText>
      </w:r>
      <w:r w:rsidR="004A0ED3" w:rsidRPr="00A30E57">
        <w:rPr>
          <w:szCs w:val="22"/>
        </w:rPr>
      </w:r>
      <w:r w:rsidR="004A0ED3" w:rsidRPr="00A30E57">
        <w:rPr>
          <w:szCs w:val="22"/>
        </w:rPr>
        <w:fldChar w:fldCharType="separate"/>
      </w:r>
      <w:r w:rsidR="00FA29AF" w:rsidRPr="00FA29AF">
        <w:rPr>
          <w:szCs w:val="22"/>
        </w:rPr>
        <w:t xml:space="preserve">Graf </w:t>
      </w:r>
      <w:r w:rsidR="00FA29AF" w:rsidRPr="00FA29AF">
        <w:rPr>
          <w:noProof/>
          <w:szCs w:val="22"/>
        </w:rPr>
        <w:t>9</w:t>
      </w:r>
      <w:r w:rsidR="004A0ED3" w:rsidRPr="00A30E57">
        <w:rPr>
          <w:szCs w:val="22"/>
        </w:rPr>
        <w:fldChar w:fldCharType="end"/>
      </w:r>
      <w:r w:rsidR="00486336" w:rsidRPr="004A0ED3">
        <w:rPr>
          <w:szCs w:val="22"/>
        </w:rPr>
        <w:t>)</w:t>
      </w:r>
      <w:r w:rsidRPr="004A0ED3">
        <w:rPr>
          <w:szCs w:val="22"/>
        </w:rPr>
        <w:t>.</w:t>
      </w:r>
      <w:r w:rsidRPr="0053317E">
        <w:rPr>
          <w:szCs w:val="22"/>
        </w:rPr>
        <w:t xml:space="preserve"> Najväčšou prekážkou pri schválení žiadosti o nenávratný finančný prís</w:t>
      </w:r>
      <w:r w:rsidRPr="00A30E57">
        <w:rPr>
          <w:szCs w:val="22"/>
        </w:rPr>
        <w:t>pevok je podmienka vysporiadania majetkovo-právnych vzťahov. V niektorých prípadoch obce pristúpili k riešeniu problému s nedostupnosťou pitnej vody zabe</w:t>
      </w:r>
      <w:r w:rsidRPr="00F041A9">
        <w:rPr>
          <w:szCs w:val="22"/>
        </w:rPr>
        <w:t>zpečením</w:t>
      </w:r>
      <w:r>
        <w:t xml:space="preserve"> v</w:t>
      </w:r>
      <w:r w:rsidR="00486336">
        <w:t>ýdajných miest na vodu</w:t>
      </w:r>
      <w:r>
        <w:t>.</w:t>
      </w:r>
    </w:p>
    <w:p w14:paraId="4930E146" w14:textId="67EB3745" w:rsidR="00721900" w:rsidRPr="00D3189B" w:rsidRDefault="005E380B">
      <w:r w:rsidRPr="00D3189B">
        <w:rPr>
          <w:b/>
        </w:rPr>
        <w:t>Zámer operačného programu pre koniec programového obdobia (2023) je</w:t>
      </w:r>
      <w:r w:rsidR="001717F8">
        <w:rPr>
          <w:b/>
        </w:rPr>
        <w:t xml:space="preserve"> zlepšiť dodávku vody takmer 27 </w:t>
      </w:r>
      <w:r w:rsidRPr="00D3189B">
        <w:rPr>
          <w:b/>
        </w:rPr>
        <w:t>tisícom obyvateľov rómskych osídlení a zvýšiť podiel osídlení s prí</w:t>
      </w:r>
      <w:r w:rsidR="001717F8">
        <w:rPr>
          <w:b/>
        </w:rPr>
        <w:t>st</w:t>
      </w:r>
      <w:r w:rsidR="008A66C0">
        <w:rPr>
          <w:b/>
        </w:rPr>
        <w:t>upom k pitnej vode o takmer </w:t>
      </w:r>
      <w:r w:rsidR="001717F8">
        <w:rPr>
          <w:b/>
        </w:rPr>
        <w:t>7 </w:t>
      </w:r>
      <w:r w:rsidRPr="00D3189B">
        <w:rPr>
          <w:b/>
        </w:rPr>
        <w:t xml:space="preserve">percentuálnych bodov (zo 74,6 % % na 81 %). </w:t>
      </w:r>
      <w:r>
        <w:t>Pre porovnanie</w:t>
      </w:r>
      <w:r w:rsidR="00CB68E6">
        <w:t>,</w:t>
      </w:r>
      <w:r>
        <w:t xml:space="preserve"> celkový počet obyvateľov rómskych osídlení bez prístupu k verejnému vodovodu alebo vlastnej studni je podľa Atlasu rómskych komunít z roku 2019 takmer 46 tisíc. </w:t>
      </w:r>
      <w:r w:rsidR="00486336" w:rsidRPr="00D3189B">
        <w:t xml:space="preserve">Podľa </w:t>
      </w:r>
      <w:r w:rsidR="008C263B" w:rsidRPr="00D3189B">
        <w:t xml:space="preserve">doteraz schválených </w:t>
      </w:r>
      <w:r w:rsidR="00486336" w:rsidRPr="00D3189B">
        <w:t>žiadostí o nenávratný finančný príspevok</w:t>
      </w:r>
      <w:r w:rsidR="00016A35" w:rsidRPr="00D3189B">
        <w:t xml:space="preserve"> by projekty mali pomôcť dohromady vyše 16 tisícom osôb z MRK.</w:t>
      </w:r>
      <w:r w:rsidR="00016A35" w:rsidRPr="005E380B">
        <w:t xml:space="preserve"> </w:t>
      </w:r>
      <w:r w:rsidR="008C263B">
        <w:t>Podľa Výročnej správy o vykonávaní O</w:t>
      </w:r>
      <w:r w:rsidR="008A66C0">
        <w:t>P Ľudské zdroje za rok 2018 bol </w:t>
      </w:r>
      <w:r w:rsidR="008C263B">
        <w:t>ku</w:t>
      </w:r>
      <w:r w:rsidR="00016A35">
        <w:t xml:space="preserve"> 31.12.2018 umožnený lepší prístup k pitnej vode 5 tisícom ľudí z minority. </w:t>
      </w:r>
    </w:p>
    <w:p w14:paraId="5840F27C" w14:textId="4EA35FEE" w:rsidR="00721900" w:rsidRDefault="00721900">
      <w:pPr>
        <w:rPr>
          <w:bCs/>
          <w:color w:val="0070C0"/>
        </w:rPr>
      </w:pPr>
      <w:r>
        <w:rPr>
          <w:bCs/>
          <w:color w:val="0070C0"/>
        </w:rPr>
        <w:t>Zber odpadu</w:t>
      </w:r>
    </w:p>
    <w:p w14:paraId="5AD3AE75" w14:textId="7E22F14E" w:rsidR="00721900" w:rsidRPr="00D3189B" w:rsidRDefault="00A14ED2">
      <w:r w:rsidRPr="00D3189B">
        <w:rPr>
          <w:b/>
        </w:rPr>
        <w:t>Budovanie systému triedeného zberu a odvozu komunálneho odpadu</w:t>
      </w:r>
      <w:r w:rsidR="008A66C0">
        <w:rPr>
          <w:b/>
        </w:rPr>
        <w:t xml:space="preserve"> a realizácie sanačných prác na </w:t>
      </w:r>
      <w:r w:rsidRPr="00D3189B">
        <w:rPr>
          <w:b/>
        </w:rPr>
        <w:t xml:space="preserve">nelegálnych skládkach, vrátane eliminácie ich nepriaznivých vplyvov je predmetom dopytovo orientovanej výzvy s alokáciou 21,4 miliónov eur. </w:t>
      </w:r>
      <w:r>
        <w:t>Z alokovaných zdrojov bolo ku 31.12.2018</w:t>
      </w:r>
      <w:r w:rsidR="0070047D">
        <w:t xml:space="preserve"> </w:t>
      </w:r>
      <w:r w:rsidR="00EA32A8">
        <w:t xml:space="preserve">kontrahovaných 74 %, čerpanie </w:t>
      </w:r>
      <w:r w:rsidR="00577DFB">
        <w:t>dosiahl</w:t>
      </w:r>
      <w:r w:rsidR="00EA32A8" w:rsidRPr="00976C9E">
        <w:t>o výšku 3</w:t>
      </w:r>
      <w:r w:rsidR="00577DFB">
        <w:t>,9</w:t>
      </w:r>
      <w:r w:rsidR="00EA32A8" w:rsidRPr="00976C9E">
        <w:t xml:space="preserve"> milióny eur. Celkovo bolo podporených 136 projektov v 130 mestách a</w:t>
      </w:r>
      <w:r w:rsidR="00B6226A" w:rsidRPr="00976C9E">
        <w:t> </w:t>
      </w:r>
      <w:r w:rsidR="00EA32A8" w:rsidRPr="00976C9E">
        <w:t>obciach</w:t>
      </w:r>
      <w:r w:rsidR="00976C9E" w:rsidRPr="00976C9E">
        <w:t>, v ktorých žilo</w:t>
      </w:r>
      <w:r w:rsidR="00B6226A" w:rsidRPr="00976C9E">
        <w:t xml:space="preserve"> </w:t>
      </w:r>
      <w:r w:rsidR="00976C9E" w:rsidRPr="00D3189B">
        <w:t>25</w:t>
      </w:r>
      <w:r w:rsidR="00B6226A">
        <w:t xml:space="preserve"> % rómskej populácie</w:t>
      </w:r>
      <w:r>
        <w:t>.</w:t>
      </w:r>
      <w:r w:rsidR="00976C9E">
        <w:rPr>
          <w:rStyle w:val="Odkaznapoznmkupodiarou"/>
        </w:rPr>
        <w:footnoteReference w:id="469"/>
      </w:r>
      <w:r w:rsidR="00EA32A8">
        <w:t xml:space="preserve"> Po</w:t>
      </w:r>
      <w:r>
        <w:t>diely osôb z MRK</w:t>
      </w:r>
      <w:r w:rsidR="00EA32A8">
        <w:t xml:space="preserve"> v zapojených obciach </w:t>
      </w:r>
      <w:r>
        <w:t>sa</w:t>
      </w:r>
      <w:r w:rsidR="008A66C0">
        <w:t xml:space="preserve"> pohybujú v rozmedzí od 1 </w:t>
      </w:r>
      <w:r w:rsidR="00EA32A8">
        <w:t>% do 86 % celkového počtu obyvateľov obce.</w:t>
      </w:r>
    </w:p>
    <w:p w14:paraId="5EE6BEB8" w14:textId="0F63C79B" w:rsidR="00475A6B" w:rsidRPr="00475A6B" w:rsidRDefault="00475A6B" w:rsidP="00475A6B">
      <w:pPr>
        <w:pStyle w:val="Nadpis2"/>
        <w:spacing w:before="240"/>
      </w:pPr>
      <w:bookmarkStart w:id="1654" w:name="_Toc19711631"/>
      <w:bookmarkStart w:id="1655" w:name="_Toc19711847"/>
      <w:bookmarkStart w:id="1656" w:name="_Toc19724061"/>
      <w:bookmarkStart w:id="1657" w:name="_Toc19880322"/>
      <w:bookmarkStart w:id="1658" w:name="_Toc19881642"/>
      <w:bookmarkStart w:id="1659" w:name="_Toc19886088"/>
      <w:bookmarkStart w:id="1660" w:name="_Toc19940102"/>
      <w:bookmarkStart w:id="1661" w:name="_Toc19941589"/>
      <w:bookmarkStart w:id="1662" w:name="_Toc19944258"/>
      <w:bookmarkStart w:id="1663" w:name="_Toc20048493"/>
      <w:bookmarkStart w:id="1664" w:name="_Toc20065028"/>
      <w:bookmarkStart w:id="1665" w:name="_Toc20153974"/>
      <w:bookmarkStart w:id="1666" w:name="_Toc20154775"/>
      <w:bookmarkStart w:id="1667" w:name="_Toc20208099"/>
      <w:bookmarkStart w:id="1668" w:name="_Toc20300479"/>
      <w:bookmarkStart w:id="1669" w:name="_Toc20660712"/>
      <w:bookmarkStart w:id="1670" w:name="_Toc20661110"/>
      <w:bookmarkStart w:id="1671" w:name="_Toc21108531"/>
      <w:bookmarkStart w:id="1672" w:name="_Toc21108928"/>
      <w:bookmarkStart w:id="1673" w:name="_Toc21109288"/>
      <w:bookmarkStart w:id="1674" w:name="_Toc18340955"/>
      <w:bookmarkStart w:id="1675" w:name="_Ref25310163"/>
      <w:bookmarkStart w:id="1676" w:name="_Ref25315477"/>
      <w:bookmarkStart w:id="1677" w:name="_Ref25315950"/>
      <w:bookmarkStart w:id="1678" w:name="_Ref25315989"/>
      <w:bookmarkStart w:id="1679" w:name="_Ref30419693"/>
      <w:bookmarkStart w:id="1680" w:name="_Toc34657741"/>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r w:rsidRPr="00CA2564">
        <w:t>Príspevok na bývanie</w:t>
      </w:r>
      <w:bookmarkEnd w:id="1674"/>
      <w:bookmarkEnd w:id="1675"/>
      <w:bookmarkEnd w:id="1676"/>
      <w:bookmarkEnd w:id="1677"/>
      <w:bookmarkEnd w:id="1678"/>
      <w:bookmarkEnd w:id="1679"/>
      <w:bookmarkEnd w:id="1680"/>
    </w:p>
    <w:p w14:paraId="00388C44" w14:textId="4E1C8F7F" w:rsidR="0007665E" w:rsidRDefault="007C7843" w:rsidP="007C7843">
      <w:pPr>
        <w:spacing w:before="160"/>
        <w:rPr>
          <w:bCs/>
        </w:rPr>
      </w:pPr>
      <w:r w:rsidRPr="00CA2564">
        <w:rPr>
          <w:b/>
          <w:bCs/>
        </w:rPr>
        <w:t>Príspevok na bývanie je poskytovaný v rámci pomoci v hmotnej núdzi na čiastočné pokrytie nákladov spojených s</w:t>
      </w:r>
      <w:r w:rsidR="00340B97">
        <w:rPr>
          <w:b/>
          <w:bCs/>
        </w:rPr>
        <w:t> </w:t>
      </w:r>
      <w:r w:rsidRPr="00CA2564">
        <w:rPr>
          <w:b/>
          <w:bCs/>
        </w:rPr>
        <w:t>bývaním</w:t>
      </w:r>
      <w:r w:rsidR="00340B97">
        <w:rPr>
          <w:b/>
          <w:bCs/>
        </w:rPr>
        <w:t>.</w:t>
      </w:r>
      <w:r w:rsidRPr="00CA2564">
        <w:rPr>
          <w:rStyle w:val="Odkaznapoznmkupodiarou"/>
          <w:b/>
          <w:bCs/>
        </w:rPr>
        <w:footnoteReference w:id="470"/>
      </w:r>
      <w:r w:rsidRPr="00CA2564">
        <w:rPr>
          <w:b/>
          <w:bCs/>
        </w:rPr>
        <w:t xml:space="preserve"> </w:t>
      </w:r>
      <w:r w:rsidRPr="00CA2564">
        <w:rPr>
          <w:bCs/>
        </w:rPr>
        <w:t>Aktuálna výška nároku na príspevok je 5</w:t>
      </w:r>
      <w:r w:rsidR="00340B97">
        <w:rPr>
          <w:bCs/>
        </w:rPr>
        <w:t>7</w:t>
      </w:r>
      <w:r w:rsidRPr="00CA2564">
        <w:rPr>
          <w:bCs/>
        </w:rPr>
        <w:t>,</w:t>
      </w:r>
      <w:r w:rsidR="00340B97">
        <w:rPr>
          <w:bCs/>
        </w:rPr>
        <w:t>2</w:t>
      </w:r>
      <w:r w:rsidR="00840B84">
        <w:rPr>
          <w:bCs/>
        </w:rPr>
        <w:t>0</w:t>
      </w:r>
      <w:r w:rsidRPr="00CA2564">
        <w:rPr>
          <w:bCs/>
        </w:rPr>
        <w:t xml:space="preserve"> eu</w:t>
      </w:r>
      <w:r w:rsidR="008A66C0">
        <w:rPr>
          <w:bCs/>
        </w:rPr>
        <w:t>r za mesiac pre osamelú osobu a </w:t>
      </w:r>
      <w:r w:rsidR="00340B97">
        <w:rPr>
          <w:bCs/>
        </w:rPr>
        <w:t>91</w:t>
      </w:r>
      <w:r w:rsidRPr="00CA2564">
        <w:rPr>
          <w:bCs/>
        </w:rPr>
        <w:t>,</w:t>
      </w:r>
      <w:r w:rsidR="00340B97">
        <w:rPr>
          <w:bCs/>
        </w:rPr>
        <w:t>4</w:t>
      </w:r>
      <w:r w:rsidR="00840B84">
        <w:rPr>
          <w:bCs/>
        </w:rPr>
        <w:t>0</w:t>
      </w:r>
      <w:r w:rsidR="005A1ECD">
        <w:rPr>
          <w:bCs/>
        </w:rPr>
        <w:t> </w:t>
      </w:r>
      <w:r w:rsidRPr="00CA2564">
        <w:rPr>
          <w:bCs/>
        </w:rPr>
        <w:t xml:space="preserve">eur v prípade viacčlennej domácnosti. </w:t>
      </w:r>
      <w:r w:rsidRPr="00CA2564">
        <w:t>Nárok na príspevok majú vlastníci alebo nájomcovia bytu alebo domu, osoby žijúce v zariadeniach, v ktorých sa poskytuje sociálna služba celoročnou pobytovou formou</w:t>
      </w:r>
      <w:r w:rsidRPr="00CA2564">
        <w:rPr>
          <w:rStyle w:val="Odkaznapoznmkupodiarou"/>
        </w:rPr>
        <w:footnoteReference w:id="471"/>
      </w:r>
      <w:r w:rsidRPr="00CA2564">
        <w:t>, a tiež domácnosti žijúce v byte alebo dome na základe práva doživotného užívania</w:t>
      </w:r>
      <w:r w:rsidRPr="00CA2564">
        <w:rPr>
          <w:bCs/>
        </w:rPr>
        <w:t>. Vzhľadom na nízku v</w:t>
      </w:r>
      <w:r w:rsidR="005A1ECD">
        <w:rPr>
          <w:bCs/>
        </w:rPr>
        <w:t>ýšku dávky v </w:t>
      </w:r>
      <w:r w:rsidRPr="00CA2564">
        <w:rPr>
          <w:bCs/>
        </w:rPr>
        <w:t xml:space="preserve">hmotnej núdzi (podkapitola </w:t>
      </w:r>
      <w:r w:rsidR="00596CBC">
        <w:rPr>
          <w:bCs/>
        </w:rPr>
        <w:fldChar w:fldCharType="begin"/>
      </w:r>
      <w:r w:rsidR="00596CBC">
        <w:rPr>
          <w:bCs/>
        </w:rPr>
        <w:instrText xml:space="preserve"> REF _Ref25315681 \r \h </w:instrText>
      </w:r>
      <w:r w:rsidR="00596CBC">
        <w:rPr>
          <w:bCs/>
        </w:rPr>
      </w:r>
      <w:r w:rsidR="00596CBC">
        <w:rPr>
          <w:bCs/>
        </w:rPr>
        <w:fldChar w:fldCharType="separate"/>
      </w:r>
      <w:r w:rsidR="00FA29AF">
        <w:rPr>
          <w:bCs/>
        </w:rPr>
        <w:t>8.1</w:t>
      </w:r>
      <w:r w:rsidR="00596CBC">
        <w:rPr>
          <w:bCs/>
        </w:rPr>
        <w:fldChar w:fldCharType="end"/>
      </w:r>
      <w:r w:rsidRPr="00CA2564">
        <w:rPr>
          <w:bCs/>
        </w:rPr>
        <w:t>) je príspevok na bývanie považovaný za zásad</w:t>
      </w:r>
      <w:r w:rsidR="008A66C0">
        <w:rPr>
          <w:bCs/>
        </w:rPr>
        <w:t>ný nástroj bytovej politiky pre </w:t>
      </w:r>
      <w:r w:rsidRPr="00CA2564">
        <w:rPr>
          <w:bCs/>
        </w:rPr>
        <w:t>zabezpečenie základných potrieb bývania a zabráneniu zadlženosti vo vzťahu k bývaniu (Škobla, 2018</w:t>
      </w:r>
      <w:r w:rsidR="005A1ECD">
        <w:rPr>
          <w:bCs/>
        </w:rPr>
        <w:t>;</w:t>
      </w:r>
      <w:r w:rsidRPr="00CA2564">
        <w:rPr>
          <w:bCs/>
        </w:rPr>
        <w:t xml:space="preserve"> Gerbery, 2009</w:t>
      </w:r>
      <w:r w:rsidR="005A1ECD">
        <w:rPr>
          <w:bCs/>
        </w:rPr>
        <w:t>;</w:t>
      </w:r>
      <w:r w:rsidRPr="00CA2564">
        <w:rPr>
          <w:bCs/>
        </w:rPr>
        <w:t xml:space="preserve"> Kusá, 2009).</w:t>
      </w:r>
      <w:r w:rsidR="00544674">
        <w:rPr>
          <w:bCs/>
        </w:rPr>
        <w:t xml:space="preserve"> </w:t>
      </w:r>
    </w:p>
    <w:p w14:paraId="76B62245" w14:textId="5A62B463" w:rsidR="00F15621" w:rsidRDefault="0007665E" w:rsidP="007C7843">
      <w:pPr>
        <w:spacing w:before="160"/>
      </w:pPr>
      <w:r w:rsidRPr="00D41517">
        <w:rPr>
          <w:b/>
        </w:rPr>
        <w:t>Príspevok na bývanie pre viacčlennú domácnosť postačuje na pokrytie nákladov na nájomné v mestských bytoch v polovici miest Slovenska.</w:t>
      </w:r>
      <w:r w:rsidR="007F2A44">
        <w:t xml:space="preserve"> </w:t>
      </w:r>
      <w:r w:rsidR="00B24660">
        <w:t>Vyplýva</w:t>
      </w:r>
      <w:r>
        <w:t xml:space="preserve"> to z p</w:t>
      </w:r>
      <w:r w:rsidR="00544674">
        <w:t>rieskum obecného nájomného bývania v</w:t>
      </w:r>
      <w:r>
        <w:t> </w:t>
      </w:r>
      <w:r w:rsidR="00544674">
        <w:t>okresných mestách Slovenska. Z väčších miest je najväčší problém v Bratislave, kde príspevok pokrýva menej ako polovicu (48,5 %) priemerného nájmu v mestských bytoch</w:t>
      </w:r>
      <w:r w:rsidR="00506B23">
        <w:t xml:space="preserve"> (184 eur) </w:t>
      </w:r>
      <w:r w:rsidR="00544674">
        <w:t>(Fico a spol., 2019).</w:t>
      </w:r>
      <w:r w:rsidR="00506B23">
        <w:rPr>
          <w:rStyle w:val="Odkaznapoznmkupodiarou"/>
        </w:rPr>
        <w:footnoteReference w:id="472"/>
      </w:r>
    </w:p>
    <w:p w14:paraId="17AF2291" w14:textId="77777777" w:rsidR="00F15621" w:rsidRDefault="00F15621">
      <w:pPr>
        <w:spacing w:after="160"/>
        <w:jc w:val="left"/>
      </w:pPr>
      <w:r>
        <w:br w:type="page"/>
      </w:r>
    </w:p>
    <w:tbl>
      <w:tblPr>
        <w:tblW w:w="9072" w:type="dxa"/>
        <w:tblLayout w:type="fixed"/>
        <w:tblLook w:val="04E0" w:firstRow="1" w:lastRow="1" w:firstColumn="1" w:lastColumn="0" w:noHBand="0" w:noVBand="1"/>
      </w:tblPr>
      <w:tblGrid>
        <w:gridCol w:w="4536"/>
        <w:gridCol w:w="160"/>
        <w:gridCol w:w="76"/>
        <w:gridCol w:w="4300"/>
      </w:tblGrid>
      <w:tr w:rsidR="007C7843" w:rsidRPr="00CA2564" w14:paraId="6357C6C1" w14:textId="77777777" w:rsidTr="00141913">
        <w:tc>
          <w:tcPr>
            <w:tcW w:w="4536" w:type="dxa"/>
            <w:tcBorders>
              <w:bottom w:val="single" w:sz="4" w:space="0" w:color="auto"/>
            </w:tcBorders>
          </w:tcPr>
          <w:p w14:paraId="5481E4FA" w14:textId="2CD52B45" w:rsidR="007C7843" w:rsidRPr="00141913" w:rsidRDefault="007C7843" w:rsidP="00141913">
            <w:pPr>
              <w:spacing w:after="0" w:line="240" w:lineRule="auto"/>
              <w:rPr>
                <w:b/>
              </w:rPr>
            </w:pPr>
            <w:bookmarkStart w:id="1681" w:name="_Ref17459815"/>
            <w:bookmarkStart w:id="1682" w:name="_Toc17469451"/>
            <w:bookmarkStart w:id="1683" w:name="_Toc34157635"/>
            <w:r w:rsidRPr="00141913">
              <w:rPr>
                <w:b/>
                <w:sz w:val="20"/>
              </w:rPr>
              <w:t xml:space="preserve">Graf </w:t>
            </w:r>
            <w:r w:rsidRPr="00141913">
              <w:rPr>
                <w:b/>
                <w:sz w:val="20"/>
              </w:rPr>
              <w:fldChar w:fldCharType="begin"/>
            </w:r>
            <w:r w:rsidRPr="00141913">
              <w:rPr>
                <w:b/>
                <w:sz w:val="20"/>
              </w:rPr>
              <w:instrText xml:space="preserve"> SEQ Graf \* ARABIC </w:instrText>
            </w:r>
            <w:r w:rsidRPr="00141913">
              <w:rPr>
                <w:b/>
                <w:sz w:val="20"/>
              </w:rPr>
              <w:fldChar w:fldCharType="separate"/>
            </w:r>
            <w:r w:rsidR="00FA29AF">
              <w:rPr>
                <w:b/>
                <w:noProof/>
                <w:sz w:val="20"/>
              </w:rPr>
              <w:t>77</w:t>
            </w:r>
            <w:r w:rsidRPr="00141913">
              <w:rPr>
                <w:b/>
                <w:sz w:val="20"/>
              </w:rPr>
              <w:fldChar w:fldCharType="end"/>
            </w:r>
            <w:bookmarkEnd w:id="1681"/>
            <w:r w:rsidRPr="00141913">
              <w:rPr>
                <w:b/>
                <w:sz w:val="20"/>
              </w:rPr>
              <w:t>: Pokrytie príspevku na bývanie podľa podielu MRK medzi osobami v systéme PHN v</w:t>
            </w:r>
            <w:r w:rsidR="00340B97" w:rsidRPr="00141913">
              <w:rPr>
                <w:b/>
                <w:sz w:val="20"/>
              </w:rPr>
              <w:t> </w:t>
            </w:r>
            <w:r w:rsidRPr="00141913">
              <w:rPr>
                <w:b/>
                <w:sz w:val="20"/>
              </w:rPr>
              <w:t>obci</w:t>
            </w:r>
            <w:bookmarkEnd w:id="1682"/>
            <w:r w:rsidR="00340B97" w:rsidRPr="00141913">
              <w:rPr>
                <w:b/>
                <w:sz w:val="20"/>
              </w:rPr>
              <w:t xml:space="preserve"> (2018)</w:t>
            </w:r>
            <w:bookmarkEnd w:id="1683"/>
          </w:p>
        </w:tc>
        <w:tc>
          <w:tcPr>
            <w:tcW w:w="236" w:type="dxa"/>
            <w:gridSpan w:val="2"/>
            <w:tcBorders>
              <w:bottom w:val="nil"/>
            </w:tcBorders>
          </w:tcPr>
          <w:p w14:paraId="163A2CC1" w14:textId="77777777" w:rsidR="007C7843" w:rsidRPr="00141913" w:rsidRDefault="007C7843" w:rsidP="00141913">
            <w:pPr>
              <w:spacing w:after="0" w:line="240" w:lineRule="auto"/>
              <w:rPr>
                <w:b/>
                <w:sz w:val="20"/>
              </w:rPr>
            </w:pPr>
          </w:p>
        </w:tc>
        <w:tc>
          <w:tcPr>
            <w:tcW w:w="4300" w:type="dxa"/>
            <w:tcBorders>
              <w:bottom w:val="single" w:sz="4" w:space="0" w:color="auto"/>
            </w:tcBorders>
          </w:tcPr>
          <w:p w14:paraId="50D3AB19" w14:textId="7FFA99B5" w:rsidR="007C7843" w:rsidRPr="00141913" w:rsidRDefault="007C7843" w:rsidP="00141913">
            <w:pPr>
              <w:spacing w:after="0" w:line="240" w:lineRule="auto"/>
              <w:rPr>
                <w:b/>
                <w:sz w:val="20"/>
              </w:rPr>
            </w:pPr>
            <w:bookmarkStart w:id="1684" w:name="_Ref17459828"/>
            <w:bookmarkStart w:id="1685" w:name="_Toc17469452"/>
            <w:bookmarkStart w:id="1686" w:name="_Toc34157636"/>
            <w:r w:rsidRPr="00141913">
              <w:rPr>
                <w:b/>
                <w:sz w:val="20"/>
              </w:rPr>
              <w:t xml:space="preserve">Graf </w:t>
            </w:r>
            <w:r w:rsidRPr="00141913">
              <w:rPr>
                <w:b/>
                <w:sz w:val="20"/>
              </w:rPr>
              <w:fldChar w:fldCharType="begin"/>
            </w:r>
            <w:r w:rsidRPr="00141913">
              <w:rPr>
                <w:b/>
                <w:sz w:val="20"/>
              </w:rPr>
              <w:instrText xml:space="preserve"> SEQ Graf \* ARABIC </w:instrText>
            </w:r>
            <w:r w:rsidRPr="00141913">
              <w:rPr>
                <w:b/>
                <w:sz w:val="20"/>
              </w:rPr>
              <w:fldChar w:fldCharType="separate"/>
            </w:r>
            <w:r w:rsidR="00FA29AF">
              <w:rPr>
                <w:b/>
                <w:noProof/>
                <w:sz w:val="20"/>
              </w:rPr>
              <w:t>78</w:t>
            </w:r>
            <w:r w:rsidRPr="00141913">
              <w:rPr>
                <w:b/>
                <w:sz w:val="20"/>
              </w:rPr>
              <w:fldChar w:fldCharType="end"/>
            </w:r>
            <w:bookmarkEnd w:id="1684"/>
            <w:r w:rsidRPr="00141913">
              <w:rPr>
                <w:b/>
                <w:sz w:val="20"/>
              </w:rPr>
              <w:t>: Podiel domácnosti v spodnom príjmovom kvintile, ktoré dostávajú príspevok na bývanie (201</w:t>
            </w:r>
            <w:r w:rsidR="00226B8B" w:rsidRPr="00141913">
              <w:rPr>
                <w:b/>
                <w:sz w:val="20"/>
              </w:rPr>
              <w:t>7</w:t>
            </w:r>
            <w:r w:rsidRPr="00141913">
              <w:rPr>
                <w:b/>
                <w:sz w:val="20"/>
              </w:rPr>
              <w:t>)</w:t>
            </w:r>
            <w:bookmarkEnd w:id="1685"/>
            <w:bookmarkEnd w:id="1686"/>
          </w:p>
        </w:tc>
      </w:tr>
      <w:tr w:rsidR="007C7843" w:rsidRPr="00CA2564" w14:paraId="06BB4854" w14:textId="77777777" w:rsidTr="00141913">
        <w:tblPrEx>
          <w:tblCellMar>
            <w:left w:w="70" w:type="dxa"/>
            <w:right w:w="70" w:type="dxa"/>
          </w:tblCellMar>
        </w:tblPrEx>
        <w:tc>
          <w:tcPr>
            <w:tcW w:w="4536" w:type="dxa"/>
            <w:tcBorders>
              <w:top w:val="single" w:sz="4" w:space="0" w:color="auto"/>
              <w:bottom w:val="single" w:sz="4" w:space="0" w:color="auto"/>
            </w:tcBorders>
          </w:tcPr>
          <w:p w14:paraId="3970D0CD" w14:textId="77777777" w:rsidR="007C7843" w:rsidRPr="00CA2564" w:rsidRDefault="007C7843" w:rsidP="00141913">
            <w:pPr>
              <w:spacing w:after="0" w:line="240" w:lineRule="auto"/>
              <w:rPr>
                <w:noProof/>
                <w:sz w:val="4"/>
                <w:szCs w:val="4"/>
              </w:rPr>
            </w:pPr>
          </w:p>
          <w:p w14:paraId="38071786" w14:textId="68941284" w:rsidR="007C7843" w:rsidRPr="00CA2564" w:rsidRDefault="00226B8B" w:rsidP="00141913">
            <w:pPr>
              <w:spacing w:after="0" w:line="240" w:lineRule="auto"/>
              <w:rPr>
                <w:sz w:val="4"/>
                <w:szCs w:val="4"/>
              </w:rPr>
            </w:pPr>
            <w:r>
              <w:rPr>
                <w:noProof/>
                <w:lang w:eastAsia="sk-SK"/>
              </w:rPr>
              <w:drawing>
                <wp:inline distT="0" distB="0" distL="0" distR="0" wp14:anchorId="48EEAEF6" wp14:editId="120DAFFB">
                  <wp:extent cx="2791460" cy="2714625"/>
                  <wp:effectExtent l="0" t="0" r="8890" b="0"/>
                  <wp:docPr id="314" name="Graf 3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0000000-0008-0000-0D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031E3B5C" w14:textId="77777777" w:rsidR="007C7843" w:rsidRPr="00CA2564" w:rsidRDefault="007C7843" w:rsidP="00141913">
            <w:pPr>
              <w:spacing w:after="0" w:line="240" w:lineRule="auto"/>
              <w:rPr>
                <w:sz w:val="4"/>
                <w:szCs w:val="4"/>
              </w:rPr>
            </w:pPr>
          </w:p>
        </w:tc>
        <w:tc>
          <w:tcPr>
            <w:tcW w:w="160" w:type="dxa"/>
            <w:tcBorders>
              <w:top w:val="nil"/>
              <w:bottom w:val="nil"/>
            </w:tcBorders>
          </w:tcPr>
          <w:p w14:paraId="39D7FD6E" w14:textId="77777777" w:rsidR="007C7843" w:rsidRPr="00CA2564" w:rsidRDefault="007C7843" w:rsidP="00141913">
            <w:pPr>
              <w:spacing w:after="0" w:line="240" w:lineRule="auto"/>
              <w:rPr>
                <w:noProof/>
              </w:rPr>
            </w:pPr>
          </w:p>
        </w:tc>
        <w:tc>
          <w:tcPr>
            <w:tcW w:w="4376" w:type="dxa"/>
            <w:gridSpan w:val="2"/>
          </w:tcPr>
          <w:p w14:paraId="2E2249F8" w14:textId="77777777" w:rsidR="007C7843" w:rsidRPr="00CA2564" w:rsidRDefault="007C7843" w:rsidP="00141913">
            <w:pPr>
              <w:spacing w:after="0" w:line="240" w:lineRule="auto"/>
              <w:rPr>
                <w:noProof/>
                <w:sz w:val="4"/>
                <w:szCs w:val="4"/>
              </w:rPr>
            </w:pPr>
          </w:p>
          <w:p w14:paraId="747C73E0" w14:textId="4F2AD812" w:rsidR="007C7843" w:rsidRPr="00CA2564" w:rsidRDefault="00F05344" w:rsidP="00141913">
            <w:pPr>
              <w:spacing w:after="0" w:line="240" w:lineRule="auto"/>
              <w:rPr>
                <w:noProof/>
                <w:sz w:val="4"/>
                <w:szCs w:val="4"/>
              </w:rPr>
            </w:pPr>
            <w:r>
              <w:rPr>
                <w:noProof/>
                <w:lang w:eastAsia="sk-SK"/>
              </w:rPr>
              <w:drawing>
                <wp:inline distT="0" distB="0" distL="0" distR="0" wp14:anchorId="39AFFD7C" wp14:editId="06E296F1">
                  <wp:extent cx="2689860" cy="2686050"/>
                  <wp:effectExtent l="0" t="0" r="0" b="0"/>
                  <wp:docPr id="40" name="Graf 4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xmlns:arto="http://schemas.microsoft.com/office/word/2006/arto" id="{00000000-0008-0000-0E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65764ED6" w14:textId="77777777" w:rsidR="007C7843" w:rsidRPr="00CA2564" w:rsidRDefault="007C7843" w:rsidP="00141913">
            <w:pPr>
              <w:spacing w:after="0" w:line="240" w:lineRule="auto"/>
              <w:rPr>
                <w:sz w:val="4"/>
                <w:szCs w:val="4"/>
              </w:rPr>
            </w:pPr>
          </w:p>
        </w:tc>
      </w:tr>
      <w:tr w:rsidR="007C7843" w:rsidRPr="00CA2564" w14:paraId="79205D57" w14:textId="77777777" w:rsidTr="00141913">
        <w:tc>
          <w:tcPr>
            <w:tcW w:w="4536" w:type="dxa"/>
          </w:tcPr>
          <w:p w14:paraId="59D27729" w14:textId="77777777" w:rsidR="007C7843" w:rsidRPr="00141913" w:rsidRDefault="007C7843" w:rsidP="00141913">
            <w:pPr>
              <w:spacing w:after="0" w:line="240" w:lineRule="auto"/>
              <w:jc w:val="right"/>
              <w:rPr>
                <w:i/>
                <w:noProof/>
                <w:sz w:val="18"/>
                <w:szCs w:val="18"/>
              </w:rPr>
            </w:pPr>
            <w:r w:rsidRPr="00141913">
              <w:rPr>
                <w:i/>
                <w:noProof/>
                <w:sz w:val="18"/>
                <w:szCs w:val="18"/>
              </w:rPr>
              <w:t>Zdroj: ÚHP na základe údajov MPSVR SR</w:t>
            </w:r>
          </w:p>
          <w:p w14:paraId="7A324605" w14:textId="77777777" w:rsidR="007C7843" w:rsidRPr="00141913" w:rsidRDefault="007C7843" w:rsidP="00141913">
            <w:pPr>
              <w:spacing w:after="0" w:line="240" w:lineRule="auto"/>
              <w:rPr>
                <w:i/>
                <w:noProof/>
                <w:sz w:val="18"/>
                <w:szCs w:val="18"/>
              </w:rPr>
            </w:pPr>
            <w:r w:rsidRPr="00141913">
              <w:rPr>
                <w:i/>
                <w:noProof/>
                <w:sz w:val="18"/>
                <w:szCs w:val="18"/>
              </w:rPr>
              <w:t>Poznámka: Pokrytie príspevku je definované ako počet osôb v systéme PHN, ktoré majú nárok na príspevok ako percento všetkých osôb v systéme PHN v obci.</w:t>
            </w:r>
          </w:p>
        </w:tc>
        <w:tc>
          <w:tcPr>
            <w:tcW w:w="236" w:type="dxa"/>
            <w:gridSpan w:val="2"/>
          </w:tcPr>
          <w:p w14:paraId="75B51DC2" w14:textId="77777777" w:rsidR="007C7843" w:rsidRPr="00141913" w:rsidRDefault="007C7843" w:rsidP="00141913">
            <w:pPr>
              <w:spacing w:after="0" w:line="240" w:lineRule="auto"/>
              <w:jc w:val="right"/>
              <w:rPr>
                <w:i/>
                <w:noProof/>
                <w:sz w:val="18"/>
                <w:szCs w:val="18"/>
              </w:rPr>
            </w:pPr>
          </w:p>
        </w:tc>
        <w:tc>
          <w:tcPr>
            <w:tcW w:w="4300" w:type="dxa"/>
            <w:tcBorders>
              <w:top w:val="single" w:sz="4" w:space="0" w:color="auto"/>
            </w:tcBorders>
          </w:tcPr>
          <w:p w14:paraId="404383B4" w14:textId="6D7334F0" w:rsidR="007C7843" w:rsidRPr="00141913" w:rsidRDefault="007C7843" w:rsidP="00141913">
            <w:pPr>
              <w:spacing w:after="0" w:line="240" w:lineRule="auto"/>
              <w:jc w:val="right"/>
              <w:rPr>
                <w:i/>
                <w:noProof/>
                <w:sz w:val="18"/>
                <w:szCs w:val="18"/>
              </w:rPr>
            </w:pPr>
            <w:r w:rsidRPr="00141913">
              <w:rPr>
                <w:i/>
                <w:noProof/>
                <w:sz w:val="18"/>
                <w:szCs w:val="18"/>
              </w:rPr>
              <w:t>Zdroj: OECD Affordable Housing Database</w:t>
            </w:r>
            <w:r w:rsidR="0064050A">
              <w:rPr>
                <w:i/>
                <w:noProof/>
                <w:sz w:val="18"/>
                <w:szCs w:val="18"/>
              </w:rPr>
              <w:t>, MPSVaR SR, ŠÚ </w:t>
            </w:r>
            <w:r w:rsidR="00D10329" w:rsidRPr="00141913">
              <w:rPr>
                <w:i/>
                <w:noProof/>
                <w:sz w:val="18"/>
                <w:szCs w:val="18"/>
              </w:rPr>
              <w:t>SR</w:t>
            </w:r>
          </w:p>
        </w:tc>
      </w:tr>
    </w:tbl>
    <w:p w14:paraId="7E98081B" w14:textId="0694DD65" w:rsidR="00AA1B90" w:rsidRPr="00D41517" w:rsidRDefault="00AA1B90" w:rsidP="00AA1B90">
      <w:pPr>
        <w:spacing w:before="160"/>
      </w:pPr>
      <w:r w:rsidRPr="00CA2564">
        <w:rPr>
          <w:b/>
          <w:bCs/>
        </w:rPr>
        <w:t>Viac ako polovica príjemcov pomoci v hmotnej núdzi nemá nárok na príspevok na bývanie z dôvodu nesplnenia zákonom stanovených podmienok</w:t>
      </w:r>
      <w:r w:rsidRPr="00CA2564">
        <w:t>. V roku 2018 malo n</w:t>
      </w:r>
      <w:r w:rsidR="0064050A">
        <w:t>árok na príspevok v priemere 35 115 </w:t>
      </w:r>
      <w:r w:rsidRPr="00CA2564">
        <w:t>domácností</w:t>
      </w:r>
      <w:r w:rsidR="0064050A">
        <w:t>,</w:t>
      </w:r>
      <w:r w:rsidRPr="00CA2564">
        <w:t xml:space="preserve"> čo tvorilo 48,8 % všetkých príjemcov pomoci v hmotnej núdzi. Pokrytie príspevku na bývanie od roku 2013 nikdy neprekročilo polovicu prijímateľov PHN. Medzi hlavné bariéry v prístupe patrí podmienka preukázať zaplatenie nákladov na bývanie za posledných šesť mesiacov a požiadavka legálne vlastneného alebo prenajatého obydlia za účelom trvalého bývania. Toto kritérium je však len ťažko splniteľné pre tých najchudobnejších, ako sú rodiny z MRK žijúce v nelegálnych príbytkoch (podkapitola </w:t>
      </w:r>
      <w:r>
        <w:fldChar w:fldCharType="begin"/>
      </w:r>
      <w:r>
        <w:instrText xml:space="preserve"> REF _Ref25315695 \r \h </w:instrText>
      </w:r>
      <w:r>
        <w:fldChar w:fldCharType="separate"/>
      </w:r>
      <w:r w:rsidR="00FA29AF">
        <w:t>9.1</w:t>
      </w:r>
      <w:r>
        <w:fldChar w:fldCharType="end"/>
      </w:r>
      <w:r w:rsidRPr="00CA2564">
        <w:t>)</w:t>
      </w:r>
      <w:r w:rsidR="0064050A">
        <w:t>,</w:t>
      </w:r>
      <w:r w:rsidRPr="00CA2564">
        <w:t xml:space="preserve"> či ľudia bez domova (podkapitola </w:t>
      </w:r>
      <w:r>
        <w:fldChar w:fldCharType="begin"/>
      </w:r>
      <w:r>
        <w:instrText xml:space="preserve"> REF _Ref25315689 \r \h </w:instrText>
      </w:r>
      <w:r>
        <w:fldChar w:fldCharType="separate"/>
      </w:r>
      <w:r w:rsidR="00FA29AF">
        <w:t>9.3</w:t>
      </w:r>
      <w:r>
        <w:fldChar w:fldCharType="end"/>
      </w:r>
      <w:r w:rsidRPr="00CA2564">
        <w:t xml:space="preserve">). </w:t>
      </w:r>
      <w:r w:rsidRPr="00CA2564">
        <w:rPr>
          <w:b/>
        </w:rPr>
        <w:t xml:space="preserve">Medzi pokrytím príspevku na bývanie na úrovni obce a podielom </w:t>
      </w:r>
      <w:r>
        <w:rPr>
          <w:b/>
        </w:rPr>
        <w:t>ľudí z prostredia</w:t>
      </w:r>
      <w:r w:rsidRPr="00CA2564">
        <w:rPr>
          <w:b/>
        </w:rPr>
        <w:t xml:space="preserve"> MRK na celkovom počte obyvateľov v systéme PHN vidieť silný negatívny vzťah </w:t>
      </w:r>
      <w:r w:rsidRPr="00D41517">
        <w:t>(</w:t>
      </w:r>
      <w:r w:rsidRPr="00D41517">
        <w:fldChar w:fldCharType="begin"/>
      </w:r>
      <w:r w:rsidRPr="00340B97">
        <w:instrText xml:space="preserve"> REF _Ref17459815 \h  \* MERGEFORMAT </w:instrText>
      </w:r>
      <w:r w:rsidRPr="00D41517">
        <w:fldChar w:fldCharType="separate"/>
      </w:r>
      <w:r w:rsidR="00FA29AF" w:rsidRPr="00FA29AF">
        <w:t>Graf 77</w:t>
      </w:r>
      <w:r w:rsidRPr="00D41517">
        <w:fldChar w:fldCharType="end"/>
      </w:r>
      <w:r w:rsidRPr="00D41517">
        <w:t>).</w:t>
      </w:r>
    </w:p>
    <w:p w14:paraId="186E8454" w14:textId="77777777" w:rsidR="00AA1B90" w:rsidRDefault="00AA1B90" w:rsidP="00AA1B90">
      <w:pPr>
        <w:spacing w:before="160"/>
      </w:pPr>
      <w:r w:rsidRPr="00CA2564">
        <w:t>Aj v prípade oprávnených prijímateľov príspevku hrozí riziko straty nároku pri nesplácaní dlhov (napr. za komunálny odpad). Navyše pri spolunažívaní viacerých domácností, ktoré sú v hmotnej núdzi, môže byť príspevok vyplatený iba jednej z nich.</w:t>
      </w:r>
    </w:p>
    <w:p w14:paraId="630AA63A" w14:textId="52A5E976" w:rsidR="000B705C" w:rsidRDefault="000B705C" w:rsidP="00AA1B90">
      <w:pPr>
        <w:spacing w:before="160"/>
        <w:rPr>
          <w:bCs/>
          <w:szCs w:val="22"/>
        </w:rPr>
      </w:pPr>
      <w:r w:rsidRPr="00CA2564">
        <w:rPr>
          <w:b/>
          <w:bCs/>
        </w:rPr>
        <w:t>Naviazanosť príspevku na bývanie na pomoc v hmotnej núdzi, ako aj reštriktívne podmienky nároku</w:t>
      </w:r>
      <w:r>
        <w:rPr>
          <w:b/>
          <w:bCs/>
        </w:rPr>
        <w:t>,</w:t>
      </w:r>
      <w:r w:rsidRPr="00CA2564">
        <w:rPr>
          <w:b/>
          <w:bCs/>
        </w:rPr>
        <w:t xml:space="preserve"> spôsobujú </w:t>
      </w:r>
      <w:r>
        <w:rPr>
          <w:b/>
          <w:bCs/>
        </w:rPr>
        <w:t>relatívne</w:t>
      </w:r>
      <w:r w:rsidRPr="00CA2564">
        <w:rPr>
          <w:b/>
          <w:bCs/>
        </w:rPr>
        <w:t xml:space="preserve"> nízku dostupnosť tohto druhu pomoci pre nízkopríjmové domácnosti v porovnaní s inými krajinami. </w:t>
      </w:r>
      <w:r>
        <w:rPr>
          <w:bCs/>
        </w:rPr>
        <w:t xml:space="preserve">Meraná miera pokrytia </w:t>
      </w:r>
      <w:r w:rsidRPr="00CA2564">
        <w:rPr>
          <w:bCs/>
        </w:rPr>
        <w:t xml:space="preserve">v spodnom </w:t>
      </w:r>
      <w:r w:rsidRPr="00B400F1">
        <w:rPr>
          <w:bCs/>
          <w:szCs w:val="22"/>
        </w:rPr>
        <w:t>kvintile (spodných 20 %) príjmovej distribúcie</w:t>
      </w:r>
      <w:r>
        <w:rPr>
          <w:bCs/>
        </w:rPr>
        <w:t xml:space="preserve"> je výrazne vyššia podľa administratívnych údajov</w:t>
      </w:r>
      <w:r>
        <w:rPr>
          <w:rStyle w:val="Odkaznapoznmkupodiarou"/>
          <w:bCs/>
        </w:rPr>
        <w:footnoteReference w:id="473"/>
      </w:r>
      <w:r>
        <w:rPr>
          <w:bCs/>
        </w:rPr>
        <w:t xml:space="preserve"> ako vychádza z prieskumu EU S</w:t>
      </w:r>
      <w:r w:rsidR="002A00E0">
        <w:rPr>
          <w:bCs/>
        </w:rPr>
        <w:t>ILC, čo môže súvisieť s tým, že </w:t>
      </w:r>
      <w:r>
        <w:rPr>
          <w:bCs/>
        </w:rPr>
        <w:t>príspevok je poskytovaný ako súčasť pomoci v hmotnej núdzi.</w:t>
      </w:r>
      <w:r>
        <w:rPr>
          <w:rStyle w:val="Odkaznapoznmkupodiarou"/>
          <w:bCs/>
        </w:rPr>
        <w:footnoteReference w:id="474"/>
      </w:r>
      <w:r>
        <w:rPr>
          <w:bCs/>
        </w:rPr>
        <w:t xml:space="preserve"> Aj tak sa však Slovensko nachádza hlboko pod priemerom krajín EÚ</w:t>
      </w:r>
      <w:r w:rsidR="00CC7D83">
        <w:rPr>
          <w:bCs/>
        </w:rPr>
        <w:t>15</w:t>
      </w:r>
      <w:r>
        <w:rPr>
          <w:bCs/>
        </w:rPr>
        <w:t xml:space="preserve"> </w:t>
      </w:r>
      <w:r w:rsidRPr="00B400F1">
        <w:rPr>
          <w:bCs/>
          <w:szCs w:val="22"/>
        </w:rPr>
        <w:t>(</w:t>
      </w:r>
      <w:r w:rsidRPr="00AD5605">
        <w:rPr>
          <w:bCs/>
          <w:szCs w:val="22"/>
        </w:rPr>
        <w:fldChar w:fldCharType="begin"/>
      </w:r>
      <w:r w:rsidRPr="0097693A">
        <w:rPr>
          <w:bCs/>
          <w:szCs w:val="22"/>
        </w:rPr>
        <w:instrText xml:space="preserve"> REF _Ref17459828 \h </w:instrText>
      </w:r>
      <w:r>
        <w:rPr>
          <w:bCs/>
          <w:szCs w:val="22"/>
        </w:rPr>
        <w:instrText xml:space="preserve"> \* MERGEFORMAT </w:instrText>
      </w:r>
      <w:r w:rsidRPr="00AD5605">
        <w:rPr>
          <w:bCs/>
          <w:szCs w:val="22"/>
        </w:rPr>
      </w:r>
      <w:r w:rsidRPr="00AD5605">
        <w:rPr>
          <w:bCs/>
          <w:szCs w:val="22"/>
        </w:rPr>
        <w:fldChar w:fldCharType="separate"/>
      </w:r>
      <w:r w:rsidR="00FA29AF" w:rsidRPr="00FA29AF">
        <w:rPr>
          <w:szCs w:val="22"/>
        </w:rPr>
        <w:t xml:space="preserve">Graf </w:t>
      </w:r>
      <w:r w:rsidR="00FA29AF" w:rsidRPr="00FA29AF">
        <w:rPr>
          <w:noProof/>
          <w:szCs w:val="22"/>
        </w:rPr>
        <w:t>78</w:t>
      </w:r>
      <w:r w:rsidRPr="00AD5605">
        <w:rPr>
          <w:bCs/>
          <w:szCs w:val="22"/>
        </w:rPr>
        <w:fldChar w:fldCharType="end"/>
      </w:r>
      <w:r w:rsidRPr="00B400F1">
        <w:rPr>
          <w:bCs/>
          <w:szCs w:val="22"/>
        </w:rPr>
        <w:t>).</w:t>
      </w:r>
    </w:p>
    <w:p w14:paraId="084E1D69" w14:textId="4C0A73BA" w:rsidR="000B705C" w:rsidRDefault="000B705C" w:rsidP="007C7843">
      <w:pPr>
        <w:spacing w:before="160"/>
        <w:rPr>
          <w:bCs/>
        </w:rPr>
      </w:pPr>
      <w:r w:rsidRPr="00CA2564">
        <w:rPr>
          <w:b/>
          <w:bCs/>
        </w:rPr>
        <w:t xml:space="preserve">Nastavenie príspevku na bývanie na Slovensku možno označiť za neštandardné. </w:t>
      </w:r>
      <w:r w:rsidRPr="00CA2564">
        <w:rPr>
          <w:bCs/>
        </w:rPr>
        <w:t xml:space="preserve">Podľa prieskumu OECD z roku 2016 patrí Slovensko k iba trom krajinám OECD (spolu so Slovinskom a Rumunskom), ktoré nemajú </w:t>
      </w:r>
      <w:r w:rsidR="00F54EB1">
        <w:rPr>
          <w:bCs/>
        </w:rPr>
        <w:t>samostatný</w:t>
      </w:r>
      <w:r w:rsidR="00F54EB1" w:rsidRPr="00CA2564">
        <w:rPr>
          <w:bCs/>
        </w:rPr>
        <w:t xml:space="preserve"> </w:t>
      </w:r>
      <w:r w:rsidRPr="00CA2564">
        <w:rPr>
          <w:bCs/>
        </w:rPr>
        <w:t>príspevok na bývanie oddelen</w:t>
      </w:r>
      <w:r>
        <w:rPr>
          <w:bCs/>
        </w:rPr>
        <w:t>ý</w:t>
      </w:r>
      <w:r w:rsidRPr="00CA2564">
        <w:rPr>
          <w:bCs/>
        </w:rPr>
        <w:t xml:space="preserve"> od systému sociálnej pomoci</w:t>
      </w:r>
      <w:r>
        <w:rPr>
          <w:bCs/>
        </w:rPr>
        <w:t>.</w:t>
      </w:r>
      <w:r w:rsidRPr="00CA2564">
        <w:rPr>
          <w:rStyle w:val="Odkaznapoznmkupodiarou"/>
          <w:bCs/>
        </w:rPr>
        <w:footnoteReference w:id="475"/>
      </w:r>
      <w:r w:rsidRPr="00CA2564">
        <w:rPr>
          <w:bCs/>
        </w:rPr>
        <w:t xml:space="preserve"> Väčšina krajín má viac ako jeden nástroj finančnej pomoci domácnostiam s nákladmi na bývanie. Podmienky nároku a výška príspevku v zahraničí tiež typicky závisia od príjmu domácnosti, jej zloženia</w:t>
      </w:r>
      <w:r>
        <w:rPr>
          <w:bCs/>
        </w:rPr>
        <w:t>,</w:t>
      </w:r>
      <w:r w:rsidRPr="00CA2564">
        <w:rPr>
          <w:bCs/>
        </w:rPr>
        <w:t xml:space="preserve"> ako aj nákladov na bývanie </w:t>
      </w:r>
      <w:r w:rsidRPr="008926C4">
        <w:rPr>
          <w:bCs/>
        </w:rPr>
        <w:t>(</w:t>
      </w:r>
      <w:r w:rsidRPr="00225D12">
        <w:rPr>
          <w:bCs/>
        </w:rPr>
        <w:fldChar w:fldCharType="begin"/>
      </w:r>
      <w:r w:rsidRPr="008926C4">
        <w:rPr>
          <w:bCs/>
        </w:rPr>
        <w:instrText xml:space="preserve"> REF _Ref21089613 \h </w:instrText>
      </w:r>
      <w:r w:rsidRPr="00D3189B">
        <w:rPr>
          <w:bCs/>
        </w:rPr>
        <w:instrText xml:space="preserve"> \* MERGEFORMAT </w:instrText>
      </w:r>
      <w:r w:rsidRPr="00225D12">
        <w:rPr>
          <w:bCs/>
        </w:rPr>
      </w:r>
      <w:r w:rsidRPr="00225D12">
        <w:rPr>
          <w:bCs/>
        </w:rPr>
        <w:fldChar w:fldCharType="separate"/>
      </w:r>
      <w:r w:rsidR="00FA29AF" w:rsidRPr="00FA29AF">
        <w:rPr>
          <w:bCs/>
          <w:iCs/>
        </w:rPr>
        <w:t>Box 30</w:t>
      </w:r>
      <w:r w:rsidRPr="00225D12">
        <w:rPr>
          <w:bCs/>
        </w:rPr>
        <w:fldChar w:fldCharType="end"/>
      </w:r>
      <w:r w:rsidRPr="008926C4">
        <w:rPr>
          <w:bCs/>
        </w:rPr>
        <w:t>)</w:t>
      </w:r>
      <w:r w:rsidRPr="00CA2564">
        <w:rPr>
          <w:bCs/>
        </w:rPr>
        <w:t>. Slovenský príspevok je v porovnaní relatívne málo citlivý na životné podmienky domácností.</w:t>
      </w:r>
    </w:p>
    <w:p w14:paraId="222E439F" w14:textId="183AA68A" w:rsidR="007C7843" w:rsidRPr="00521AC3" w:rsidRDefault="007C7843" w:rsidP="007C7843">
      <w:pPr>
        <w:spacing w:before="160"/>
        <w:rPr>
          <w:bCs/>
        </w:rPr>
      </w:pPr>
      <w:r w:rsidRPr="00CA2564">
        <w:rPr>
          <w:b/>
          <w:bCs/>
        </w:rPr>
        <w:t>Príspevok na bývanie dokáže pri adekvátnej výške a pokrytí menej obmedzovať mobilitu pracovných síl ako nájomné bývanie</w:t>
      </w:r>
      <w:r w:rsidR="00426349">
        <w:rPr>
          <w:b/>
          <w:bCs/>
        </w:rPr>
        <w:t xml:space="preserve"> s regulovaným nájmom</w:t>
      </w:r>
      <w:r w:rsidRPr="00CA2564">
        <w:rPr>
          <w:b/>
          <w:bCs/>
        </w:rPr>
        <w:t xml:space="preserve">. </w:t>
      </w:r>
      <w:r w:rsidRPr="00CA2564">
        <w:rPr>
          <w:bCs/>
        </w:rPr>
        <w:t xml:space="preserve">Keďže pomoc je viazaná na jednotlivca, nie na byt, a často zohľadňuje regionálne rozdiely vo výške nájmov, umožňuje prijímateľom sťahovať sa za prácou bez straty nároku na pomoc. </w:t>
      </w:r>
      <w:r w:rsidRPr="00CA2564">
        <w:rPr>
          <w:b/>
          <w:bCs/>
        </w:rPr>
        <w:t>Na druhej strane</w:t>
      </w:r>
      <w:r w:rsidR="0001252B">
        <w:rPr>
          <w:b/>
          <w:bCs/>
        </w:rPr>
        <w:t>,</w:t>
      </w:r>
      <w:r w:rsidRPr="00CA2564">
        <w:rPr>
          <w:b/>
          <w:bCs/>
        </w:rPr>
        <w:t xml:space="preserve"> pri nedostatočnej ponuke nájomného bývania môžu značnú časť ukrojiť prenajímatelia v podobe vyššieho nájmu</w:t>
      </w:r>
      <w:r w:rsidR="00201F3C">
        <w:t>.</w:t>
      </w:r>
      <w:r w:rsidRPr="00CA2564">
        <w:rPr>
          <w:bCs/>
        </w:rPr>
        <w:t xml:space="preserve"> </w:t>
      </w:r>
      <w:r w:rsidRPr="00521AC3">
        <w:rPr>
          <w:bCs/>
        </w:rPr>
        <w:t>Odhad podielu príspevku, ktorý sa odrazil na vyššom nájme</w:t>
      </w:r>
      <w:r w:rsidR="00C86028" w:rsidRPr="00521AC3">
        <w:rPr>
          <w:bCs/>
        </w:rPr>
        <w:t>,</w:t>
      </w:r>
      <w:r w:rsidRPr="00521AC3">
        <w:rPr>
          <w:bCs/>
        </w:rPr>
        <w:t xml:space="preserve"> sa líši od 16 % v USA (Susin, 2002) až po 50 % v Británii (Gibbons a Manning, 20</w:t>
      </w:r>
      <w:r w:rsidR="0001252B">
        <w:rPr>
          <w:bCs/>
        </w:rPr>
        <w:t>06) a 78 % vo Francúzsku (Fack, </w:t>
      </w:r>
      <w:r w:rsidRPr="00521AC3">
        <w:rPr>
          <w:bCs/>
        </w:rPr>
        <w:t xml:space="preserve">2006). </w:t>
      </w:r>
      <w:r w:rsidR="00201F3C">
        <w:rPr>
          <w:bCs/>
        </w:rPr>
        <w:t>V prípade nájomného bývania s regulovaným nájmom je možnosť zvýšiť nájom v reakcii na výšku príspevku obmedzená.</w:t>
      </w:r>
    </w:p>
    <w:p w14:paraId="73F70E27" w14:textId="152E10AD" w:rsidR="00252808" w:rsidRDefault="007C7843" w:rsidP="00862D5A">
      <w:r w:rsidRPr="00521AC3">
        <w:rPr>
          <w:b/>
        </w:rPr>
        <w:t xml:space="preserve">Revízia navrhuje, v súlade s medzinárodnou praxou, vyňať príspevok na bývanie zo systému pomoci v hmotnej núdzi a zmeniť kritériá nároku s cieľom rozšíriť jeho dostupnosť pre širšie skupiny obyvateľstva. </w:t>
      </w:r>
      <w:r w:rsidRPr="00521AC3">
        <w:t>Zároveň by jeho výška mala zohľadňovať veľkosť a zloženie domácnosti</w:t>
      </w:r>
      <w:r w:rsidR="00394459" w:rsidRPr="00521AC3">
        <w:t>,</w:t>
      </w:r>
      <w:r w:rsidRPr="00521AC3">
        <w:t xml:space="preserve"> ako aj reálne náklady spojené s</w:t>
      </w:r>
      <w:r w:rsidR="00E75BF8" w:rsidRPr="00521AC3">
        <w:t> </w:t>
      </w:r>
      <w:r w:rsidRPr="00521AC3">
        <w:t>bývaním</w:t>
      </w:r>
      <w:r w:rsidR="00E75BF8" w:rsidRPr="00521AC3">
        <w:t>.</w:t>
      </w:r>
      <w:r w:rsidRPr="00521AC3">
        <w:t xml:space="preserve"> </w:t>
      </w:r>
      <w:r w:rsidR="002B0CBF" w:rsidRPr="00521AC3">
        <w:t>Príspevok na bývanie by mal byť spre</w:t>
      </w:r>
      <w:r w:rsidR="005C3EAD">
        <w:t>vádzaný zvýšením ponuky bývania, i</w:t>
      </w:r>
      <w:r w:rsidR="002B0CBF" w:rsidRPr="00521AC3">
        <w:t>nak môže dôjsť k umelému rastu cien nájmov/bytov z dôvodu podpory dopytu.</w:t>
      </w:r>
      <w:r w:rsidR="00252808">
        <w:t xml:space="preserve"> Proces prípravy novej právnej úpravy príspevku na bývanie je aktuálne v štádiu prípravy.</w:t>
      </w:r>
      <w:r w:rsidR="00252808">
        <w:rPr>
          <w:rStyle w:val="Odkaznapoznmkupodiarou"/>
        </w:rPr>
        <w:footnoteReference w:id="476"/>
      </w:r>
    </w:p>
    <w:tbl>
      <w:tblPr>
        <w:tblW w:w="0" w:type="auto"/>
        <w:shd w:val="clear" w:color="auto" w:fill="BDD6EE" w:themeFill="accent1" w:themeFillTint="66"/>
        <w:tblLook w:val="04A0" w:firstRow="1" w:lastRow="0" w:firstColumn="1" w:lastColumn="0" w:noHBand="0" w:noVBand="1"/>
      </w:tblPr>
      <w:tblGrid>
        <w:gridCol w:w="9026"/>
      </w:tblGrid>
      <w:tr w:rsidR="007C7843" w:rsidRPr="00CA2564" w14:paraId="2030F8A9" w14:textId="77777777" w:rsidTr="00D3189B">
        <w:tc>
          <w:tcPr>
            <w:tcW w:w="9072" w:type="dxa"/>
            <w:shd w:val="clear" w:color="auto" w:fill="BDD6EE" w:themeFill="accent1" w:themeFillTint="66"/>
          </w:tcPr>
          <w:p w14:paraId="5F5F4E1F" w14:textId="0EE6767C" w:rsidR="007C7843" w:rsidRPr="00225D12" w:rsidRDefault="008926C4" w:rsidP="007C7843">
            <w:pPr>
              <w:spacing w:before="160"/>
              <w:rPr>
                <w:b/>
                <w:bCs/>
                <w:iCs/>
              </w:rPr>
            </w:pPr>
            <w:bookmarkStart w:id="1687" w:name="_Ref21089613"/>
            <w:r w:rsidRPr="008926C4">
              <w:rPr>
                <w:b/>
                <w:bCs/>
                <w:iCs/>
              </w:rPr>
              <w:t xml:space="preserve">Box </w:t>
            </w:r>
            <w:r w:rsidR="00A425AB">
              <w:rPr>
                <w:b/>
                <w:bCs/>
                <w:iCs/>
              </w:rPr>
              <w:fldChar w:fldCharType="begin"/>
            </w:r>
            <w:r w:rsidR="00A425AB">
              <w:rPr>
                <w:b/>
                <w:bCs/>
                <w:iCs/>
              </w:rPr>
              <w:instrText xml:space="preserve"> SEQ Box \* ARABIC </w:instrText>
            </w:r>
            <w:r w:rsidR="00A425AB">
              <w:rPr>
                <w:b/>
                <w:bCs/>
                <w:iCs/>
              </w:rPr>
              <w:fldChar w:fldCharType="separate"/>
            </w:r>
            <w:r w:rsidR="00FA29AF">
              <w:rPr>
                <w:b/>
                <w:bCs/>
                <w:iCs/>
                <w:noProof/>
              </w:rPr>
              <w:t>30</w:t>
            </w:r>
            <w:r w:rsidR="00A425AB">
              <w:rPr>
                <w:b/>
                <w:bCs/>
                <w:iCs/>
              </w:rPr>
              <w:fldChar w:fldCharType="end"/>
            </w:r>
            <w:bookmarkEnd w:id="1687"/>
            <w:r w:rsidR="007C7843" w:rsidRPr="00CA2564">
              <w:rPr>
                <w:b/>
                <w:bCs/>
              </w:rPr>
              <w:t>: Príspevok na bývanie v zahraničí</w:t>
            </w:r>
          </w:p>
          <w:p w14:paraId="6644EC2D" w14:textId="6C7A8EA7" w:rsidR="007C7843" w:rsidRPr="00CA2564" w:rsidRDefault="007C7843" w:rsidP="007C7843">
            <w:pPr>
              <w:spacing w:after="0"/>
            </w:pPr>
            <w:r w:rsidRPr="00CA2564">
              <w:t xml:space="preserve">Poskytovanie príspevku na </w:t>
            </w:r>
            <w:r w:rsidR="00394459" w:rsidRPr="00CA2564">
              <w:t>bývani</w:t>
            </w:r>
            <w:r w:rsidR="00394459">
              <w:t>e</w:t>
            </w:r>
            <w:r w:rsidR="00394459" w:rsidRPr="00CA2564">
              <w:t xml:space="preserve"> </w:t>
            </w:r>
            <w:r w:rsidRPr="00CA2564">
              <w:t xml:space="preserve">pre nízkopríjmové domácnosti sa medzi krajinami EÚ líši v objeme podpory a v podmienkach na </w:t>
            </w:r>
            <w:r w:rsidR="00394459">
              <w:t>jeho</w:t>
            </w:r>
            <w:r w:rsidR="00394459" w:rsidRPr="00CA2564">
              <w:t xml:space="preserve"> </w:t>
            </w:r>
            <w:r w:rsidRPr="00CA2564">
              <w:t>získanie. Viaceré krajiny, ktoré príspevky využívajú, testujú príjem a majetok poberateľa, zohľadňujú regionálne rozdiely v cenách bývania, ako aj počet osôb v domácnosti.</w:t>
            </w:r>
          </w:p>
          <w:p w14:paraId="7D257048" w14:textId="77777777" w:rsidR="007C7843" w:rsidRPr="00CA2564" w:rsidRDefault="007C7843" w:rsidP="007C7843">
            <w:pPr>
              <w:spacing w:after="0"/>
            </w:pPr>
          </w:p>
          <w:tbl>
            <w:tblPr>
              <w:tblW w:w="8856" w:type="dxa"/>
              <w:tblCellMar>
                <w:left w:w="70" w:type="dxa"/>
                <w:right w:w="70" w:type="dxa"/>
              </w:tblCellMar>
              <w:tblLook w:val="04A0" w:firstRow="1" w:lastRow="0" w:firstColumn="1" w:lastColumn="0" w:noHBand="0" w:noVBand="1"/>
            </w:tblPr>
            <w:tblGrid>
              <w:gridCol w:w="978"/>
              <w:gridCol w:w="1170"/>
              <w:gridCol w:w="565"/>
              <w:gridCol w:w="2820"/>
              <w:gridCol w:w="1692"/>
              <w:gridCol w:w="1585"/>
            </w:tblGrid>
            <w:tr w:rsidR="007C7843" w:rsidRPr="00CA2564" w14:paraId="2757766A" w14:textId="77777777" w:rsidTr="00B83081">
              <w:trPr>
                <w:trHeight w:val="510"/>
              </w:trPr>
              <w:tc>
                <w:tcPr>
                  <w:tcW w:w="984" w:type="dxa"/>
                  <w:tcBorders>
                    <w:top w:val="single" w:sz="4" w:space="0" w:color="auto"/>
                    <w:left w:val="nil"/>
                    <w:bottom w:val="single" w:sz="4" w:space="0" w:color="auto"/>
                    <w:right w:val="nil"/>
                  </w:tcBorders>
                  <w:shd w:val="clear" w:color="000000" w:fill="BDD6EE" w:themeFill="accent1" w:themeFillTint="66"/>
                  <w:noWrap/>
                  <w:vAlign w:val="bottom"/>
                  <w:hideMark/>
                </w:tcPr>
                <w:p w14:paraId="2051769D" w14:textId="77777777" w:rsidR="007C7843" w:rsidRPr="00CA2564" w:rsidRDefault="007C7843" w:rsidP="007C7843">
                  <w:pPr>
                    <w:spacing w:after="0" w:line="240" w:lineRule="auto"/>
                    <w:jc w:val="left"/>
                    <w:rPr>
                      <w:rFonts w:eastAsia="Times New Roman" w:cs="Times New Roman"/>
                      <w:b/>
                      <w:bCs/>
                      <w:color w:val="000000"/>
                      <w:sz w:val="20"/>
                      <w:lang w:eastAsia="sk-SK"/>
                    </w:rPr>
                  </w:pPr>
                  <w:r w:rsidRPr="00CA2564">
                    <w:rPr>
                      <w:rFonts w:eastAsia="Times New Roman" w:cs="Times New Roman"/>
                      <w:b/>
                      <w:bCs/>
                      <w:color w:val="000000"/>
                      <w:sz w:val="20"/>
                      <w:lang w:eastAsia="sk-SK"/>
                    </w:rPr>
                    <w:t>Krajina</w:t>
                  </w:r>
                </w:p>
              </w:tc>
              <w:tc>
                <w:tcPr>
                  <w:tcW w:w="1176" w:type="dxa"/>
                  <w:tcBorders>
                    <w:top w:val="single" w:sz="4" w:space="0" w:color="auto"/>
                    <w:left w:val="nil"/>
                    <w:bottom w:val="single" w:sz="4" w:space="0" w:color="auto"/>
                    <w:right w:val="nil"/>
                  </w:tcBorders>
                  <w:shd w:val="clear" w:color="000000" w:fill="BDD6EE" w:themeFill="accent1" w:themeFillTint="66"/>
                  <w:vAlign w:val="bottom"/>
                  <w:hideMark/>
                </w:tcPr>
                <w:p w14:paraId="704033A2" w14:textId="77777777" w:rsidR="007C7843" w:rsidRPr="00CA2564" w:rsidRDefault="007C7843" w:rsidP="007C7843">
                  <w:pPr>
                    <w:spacing w:after="0" w:line="240" w:lineRule="auto"/>
                    <w:jc w:val="left"/>
                    <w:rPr>
                      <w:rFonts w:eastAsia="Times New Roman" w:cs="Times New Roman"/>
                      <w:b/>
                      <w:bCs/>
                      <w:color w:val="000000"/>
                      <w:sz w:val="20"/>
                      <w:lang w:eastAsia="sk-SK"/>
                    </w:rPr>
                  </w:pPr>
                  <w:r w:rsidRPr="00CA2564">
                    <w:rPr>
                      <w:rFonts w:eastAsia="Times New Roman" w:cs="Times New Roman"/>
                      <w:b/>
                      <w:bCs/>
                      <w:color w:val="000000"/>
                      <w:sz w:val="20"/>
                      <w:lang w:eastAsia="sk-SK"/>
                    </w:rPr>
                    <w:t>Počet poberateľov (domácností)</w:t>
                  </w:r>
                </w:p>
              </w:tc>
              <w:tc>
                <w:tcPr>
                  <w:tcW w:w="567" w:type="dxa"/>
                  <w:tcBorders>
                    <w:top w:val="single" w:sz="4" w:space="0" w:color="auto"/>
                    <w:left w:val="nil"/>
                    <w:bottom w:val="single" w:sz="4" w:space="0" w:color="auto"/>
                    <w:right w:val="nil"/>
                  </w:tcBorders>
                  <w:shd w:val="clear" w:color="000000" w:fill="BDD6EE" w:themeFill="accent1" w:themeFillTint="66"/>
                  <w:vAlign w:val="bottom"/>
                  <w:hideMark/>
                </w:tcPr>
                <w:p w14:paraId="6A09BC72" w14:textId="77777777" w:rsidR="007C7843" w:rsidRPr="00CA2564" w:rsidRDefault="007C7843" w:rsidP="007C7843">
                  <w:pPr>
                    <w:spacing w:after="0" w:line="240" w:lineRule="auto"/>
                    <w:jc w:val="left"/>
                    <w:rPr>
                      <w:rFonts w:eastAsia="Times New Roman" w:cs="Times New Roman"/>
                      <w:b/>
                      <w:bCs/>
                      <w:color w:val="000000"/>
                      <w:sz w:val="20"/>
                      <w:lang w:eastAsia="sk-SK"/>
                    </w:rPr>
                  </w:pPr>
                  <w:r w:rsidRPr="00CA2564">
                    <w:rPr>
                      <w:rFonts w:eastAsia="Times New Roman" w:cs="Times New Roman"/>
                      <w:b/>
                      <w:bCs/>
                      <w:color w:val="000000"/>
                      <w:sz w:val="20"/>
                      <w:lang w:eastAsia="sk-SK"/>
                    </w:rPr>
                    <w:t>% HDP</w:t>
                  </w:r>
                </w:p>
              </w:tc>
              <w:tc>
                <w:tcPr>
                  <w:tcW w:w="2835" w:type="dxa"/>
                  <w:tcBorders>
                    <w:top w:val="single" w:sz="4" w:space="0" w:color="auto"/>
                    <w:left w:val="nil"/>
                    <w:bottom w:val="single" w:sz="4" w:space="0" w:color="auto"/>
                    <w:right w:val="nil"/>
                  </w:tcBorders>
                  <w:shd w:val="clear" w:color="000000" w:fill="BDD6EE" w:themeFill="accent1" w:themeFillTint="66"/>
                  <w:noWrap/>
                  <w:vAlign w:val="bottom"/>
                  <w:hideMark/>
                </w:tcPr>
                <w:p w14:paraId="128F3F27" w14:textId="77777777" w:rsidR="007C7843" w:rsidRPr="00CA2564" w:rsidRDefault="007C7843" w:rsidP="007C7843">
                  <w:pPr>
                    <w:spacing w:after="0" w:line="240" w:lineRule="auto"/>
                    <w:jc w:val="left"/>
                    <w:rPr>
                      <w:rFonts w:eastAsia="Times New Roman" w:cs="Times New Roman"/>
                      <w:b/>
                      <w:bCs/>
                      <w:color w:val="000000"/>
                      <w:sz w:val="20"/>
                      <w:lang w:eastAsia="sk-SK"/>
                    </w:rPr>
                  </w:pPr>
                  <w:r w:rsidRPr="00CA2564">
                    <w:rPr>
                      <w:rFonts w:eastAsia="Times New Roman" w:cs="Times New Roman"/>
                      <w:b/>
                      <w:bCs/>
                      <w:color w:val="000000"/>
                      <w:sz w:val="20"/>
                      <w:lang w:eastAsia="sk-SK"/>
                    </w:rPr>
                    <w:t>Kto môže poberať?</w:t>
                  </w:r>
                </w:p>
              </w:tc>
              <w:tc>
                <w:tcPr>
                  <w:tcW w:w="1701" w:type="dxa"/>
                  <w:tcBorders>
                    <w:top w:val="single" w:sz="4" w:space="0" w:color="auto"/>
                    <w:left w:val="nil"/>
                    <w:bottom w:val="single" w:sz="4" w:space="0" w:color="auto"/>
                    <w:right w:val="nil"/>
                  </w:tcBorders>
                  <w:shd w:val="clear" w:color="000000" w:fill="BDD6EE" w:themeFill="accent1" w:themeFillTint="66"/>
                  <w:noWrap/>
                  <w:vAlign w:val="bottom"/>
                  <w:hideMark/>
                </w:tcPr>
                <w:p w14:paraId="1C767790" w14:textId="77777777" w:rsidR="007C7843" w:rsidRPr="00CA2564" w:rsidRDefault="007C7843" w:rsidP="007C7843">
                  <w:pPr>
                    <w:spacing w:after="0" w:line="240" w:lineRule="auto"/>
                    <w:jc w:val="left"/>
                    <w:rPr>
                      <w:rFonts w:eastAsia="Times New Roman" w:cs="Times New Roman"/>
                      <w:b/>
                      <w:bCs/>
                      <w:color w:val="000000"/>
                      <w:sz w:val="20"/>
                      <w:lang w:eastAsia="sk-SK"/>
                    </w:rPr>
                  </w:pPr>
                  <w:r w:rsidRPr="00CA2564">
                    <w:rPr>
                      <w:rFonts w:eastAsia="Times New Roman" w:cs="Times New Roman"/>
                      <w:b/>
                      <w:bCs/>
                      <w:color w:val="000000"/>
                      <w:sz w:val="20"/>
                      <w:lang w:eastAsia="sk-SK"/>
                    </w:rPr>
                    <w:t>Výška príspevku</w:t>
                  </w:r>
                </w:p>
              </w:tc>
              <w:tc>
                <w:tcPr>
                  <w:tcW w:w="1593" w:type="dxa"/>
                  <w:tcBorders>
                    <w:top w:val="single" w:sz="4" w:space="0" w:color="auto"/>
                    <w:left w:val="nil"/>
                    <w:bottom w:val="single" w:sz="4" w:space="0" w:color="auto"/>
                    <w:right w:val="nil"/>
                  </w:tcBorders>
                  <w:shd w:val="clear" w:color="000000" w:fill="BDD6EE" w:themeFill="accent1" w:themeFillTint="66"/>
                  <w:noWrap/>
                  <w:vAlign w:val="bottom"/>
                  <w:hideMark/>
                </w:tcPr>
                <w:p w14:paraId="07D5923A" w14:textId="77777777" w:rsidR="007C7843" w:rsidRPr="00CA2564" w:rsidRDefault="007C7843" w:rsidP="007C7843">
                  <w:pPr>
                    <w:spacing w:after="0" w:line="240" w:lineRule="auto"/>
                    <w:jc w:val="left"/>
                    <w:rPr>
                      <w:rFonts w:eastAsia="Times New Roman" w:cs="Times New Roman"/>
                      <w:b/>
                      <w:bCs/>
                      <w:color w:val="000000"/>
                      <w:sz w:val="20"/>
                      <w:lang w:eastAsia="sk-SK"/>
                    </w:rPr>
                  </w:pPr>
                  <w:r w:rsidRPr="00CA2564">
                    <w:rPr>
                      <w:rFonts w:eastAsia="Times New Roman" w:cs="Times New Roman"/>
                      <w:b/>
                      <w:bCs/>
                      <w:color w:val="000000"/>
                      <w:sz w:val="20"/>
                      <w:lang w:eastAsia="sk-SK"/>
                    </w:rPr>
                    <w:t>Obmedzenia</w:t>
                  </w:r>
                </w:p>
              </w:tc>
            </w:tr>
            <w:tr w:rsidR="007C7843" w:rsidRPr="00CA2564" w14:paraId="0AA75FD2" w14:textId="77777777" w:rsidTr="00B83081">
              <w:trPr>
                <w:trHeight w:val="1020"/>
              </w:trPr>
              <w:tc>
                <w:tcPr>
                  <w:tcW w:w="984" w:type="dxa"/>
                  <w:tcBorders>
                    <w:top w:val="nil"/>
                    <w:left w:val="nil"/>
                    <w:bottom w:val="nil"/>
                    <w:right w:val="nil"/>
                  </w:tcBorders>
                  <w:shd w:val="clear" w:color="000000" w:fill="BDD6EE" w:themeFill="accent1" w:themeFillTint="66"/>
                  <w:noWrap/>
                  <w:vAlign w:val="bottom"/>
                  <w:hideMark/>
                </w:tcPr>
                <w:p w14:paraId="616694F3" w14:textId="77777777" w:rsidR="007C7843" w:rsidRPr="00CA2564" w:rsidRDefault="007C7843" w:rsidP="007C7843">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Rakúsko</w:t>
                  </w:r>
                </w:p>
              </w:tc>
              <w:tc>
                <w:tcPr>
                  <w:tcW w:w="1176" w:type="dxa"/>
                  <w:tcBorders>
                    <w:top w:val="nil"/>
                    <w:left w:val="nil"/>
                    <w:bottom w:val="nil"/>
                    <w:right w:val="nil"/>
                  </w:tcBorders>
                  <w:shd w:val="clear" w:color="000000" w:fill="BDD6EE" w:themeFill="accent1" w:themeFillTint="66"/>
                  <w:noWrap/>
                  <w:vAlign w:val="bottom"/>
                  <w:hideMark/>
                </w:tcPr>
                <w:p w14:paraId="376D2351" w14:textId="3454EC67" w:rsidR="007C7843" w:rsidRPr="00CA2564" w:rsidRDefault="00DD36CC" w:rsidP="007C7843">
                  <w:pPr>
                    <w:spacing w:after="0" w:line="240" w:lineRule="auto"/>
                    <w:jc w:val="left"/>
                    <w:rPr>
                      <w:rFonts w:eastAsia="Times New Roman" w:cs="Times New Roman"/>
                      <w:color w:val="000000"/>
                      <w:sz w:val="20"/>
                      <w:lang w:eastAsia="sk-SK"/>
                    </w:rPr>
                  </w:pPr>
                  <w:r>
                    <w:rPr>
                      <w:rFonts w:eastAsia="Times New Roman" w:cs="Times New Roman"/>
                      <w:color w:val="000000"/>
                      <w:sz w:val="20"/>
                      <w:lang w:eastAsia="sk-SK"/>
                    </w:rPr>
                    <w:t xml:space="preserve">177 tis., </w:t>
                  </w:r>
                  <w:r w:rsidR="007C7843" w:rsidRPr="00CA2564">
                    <w:rPr>
                      <w:rFonts w:eastAsia="Times New Roman" w:cs="Times New Roman"/>
                      <w:color w:val="000000"/>
                      <w:sz w:val="20"/>
                      <w:lang w:eastAsia="sk-SK"/>
                    </w:rPr>
                    <w:t>4,7</w:t>
                  </w:r>
                  <w:r w:rsidR="00E67194">
                    <w:t> </w:t>
                  </w:r>
                  <w:r w:rsidR="007C7843" w:rsidRPr="00CA2564">
                    <w:rPr>
                      <w:rFonts w:eastAsia="Times New Roman" w:cs="Times New Roman"/>
                      <w:color w:val="000000"/>
                      <w:sz w:val="20"/>
                      <w:lang w:eastAsia="sk-SK"/>
                    </w:rPr>
                    <w:t>% (2014)</w:t>
                  </w:r>
                </w:p>
              </w:tc>
              <w:tc>
                <w:tcPr>
                  <w:tcW w:w="567" w:type="dxa"/>
                  <w:tcBorders>
                    <w:top w:val="nil"/>
                    <w:left w:val="nil"/>
                    <w:bottom w:val="nil"/>
                    <w:right w:val="nil"/>
                  </w:tcBorders>
                  <w:shd w:val="clear" w:color="000000" w:fill="BDD6EE" w:themeFill="accent1" w:themeFillTint="66"/>
                  <w:noWrap/>
                  <w:vAlign w:val="bottom"/>
                  <w:hideMark/>
                </w:tcPr>
                <w:p w14:paraId="70F0A99F" w14:textId="77777777" w:rsidR="007C7843" w:rsidRPr="00CA2564" w:rsidRDefault="007C7843" w:rsidP="007C7843">
                  <w:pPr>
                    <w:spacing w:after="0" w:line="240" w:lineRule="auto"/>
                    <w:jc w:val="right"/>
                    <w:rPr>
                      <w:rFonts w:eastAsia="Times New Roman" w:cs="Times New Roman"/>
                      <w:color w:val="000000"/>
                      <w:sz w:val="20"/>
                      <w:lang w:eastAsia="sk-SK"/>
                    </w:rPr>
                  </w:pPr>
                  <w:r w:rsidRPr="00CA2564">
                    <w:rPr>
                      <w:rFonts w:eastAsia="Times New Roman" w:cs="Times New Roman"/>
                      <w:color w:val="000000"/>
                      <w:sz w:val="20"/>
                      <w:lang w:eastAsia="sk-SK"/>
                    </w:rPr>
                    <w:t>0,1</w:t>
                  </w:r>
                </w:p>
              </w:tc>
              <w:tc>
                <w:tcPr>
                  <w:tcW w:w="2835" w:type="dxa"/>
                  <w:tcBorders>
                    <w:top w:val="nil"/>
                    <w:left w:val="nil"/>
                    <w:bottom w:val="nil"/>
                    <w:right w:val="nil"/>
                  </w:tcBorders>
                  <w:shd w:val="clear" w:color="000000" w:fill="BDD6EE" w:themeFill="accent1" w:themeFillTint="66"/>
                  <w:vAlign w:val="bottom"/>
                  <w:hideMark/>
                </w:tcPr>
                <w:p w14:paraId="5BA838BD" w14:textId="77777777" w:rsidR="007C7843" w:rsidRPr="00CA2564" w:rsidRDefault="007C7843" w:rsidP="007C7843">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Mení sa v závislosti od spolkovej krajiny. V štyroch regiónoch je stanovený minimálny príjem.</w:t>
                  </w:r>
                </w:p>
              </w:tc>
              <w:tc>
                <w:tcPr>
                  <w:tcW w:w="1701" w:type="dxa"/>
                  <w:tcBorders>
                    <w:top w:val="nil"/>
                    <w:left w:val="nil"/>
                    <w:bottom w:val="nil"/>
                    <w:right w:val="nil"/>
                  </w:tcBorders>
                  <w:shd w:val="clear" w:color="000000" w:fill="BDD6EE" w:themeFill="accent1" w:themeFillTint="66"/>
                  <w:vAlign w:val="bottom"/>
                  <w:hideMark/>
                </w:tcPr>
                <w:p w14:paraId="5F958DCA" w14:textId="77777777" w:rsidR="007C7843" w:rsidRPr="00CA2564" w:rsidRDefault="007C7843" w:rsidP="007C7843">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Rozdiel približne 25 % príjmu domácností a "rozumných" nákladov na bývanie (110 až 220 eur)</w:t>
                  </w:r>
                </w:p>
              </w:tc>
              <w:tc>
                <w:tcPr>
                  <w:tcW w:w="1593" w:type="dxa"/>
                  <w:tcBorders>
                    <w:top w:val="nil"/>
                    <w:left w:val="nil"/>
                    <w:bottom w:val="nil"/>
                    <w:right w:val="nil"/>
                  </w:tcBorders>
                  <w:shd w:val="clear" w:color="000000" w:fill="BDD6EE" w:themeFill="accent1" w:themeFillTint="66"/>
                  <w:vAlign w:val="bottom"/>
                  <w:hideMark/>
                </w:tcPr>
                <w:p w14:paraId="076D6424" w14:textId="77777777" w:rsidR="007C7843" w:rsidRPr="00CA2564" w:rsidRDefault="007C7843" w:rsidP="007C7843">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Výška plateného nájomného (závisí od regiónu, počtu osôb v domácnosti a bytu)</w:t>
                  </w:r>
                </w:p>
              </w:tc>
            </w:tr>
            <w:tr w:rsidR="007C7843" w:rsidRPr="00CA2564" w14:paraId="10C31234" w14:textId="77777777" w:rsidTr="00B83081">
              <w:trPr>
                <w:trHeight w:val="765"/>
              </w:trPr>
              <w:tc>
                <w:tcPr>
                  <w:tcW w:w="984" w:type="dxa"/>
                  <w:tcBorders>
                    <w:top w:val="nil"/>
                    <w:left w:val="nil"/>
                    <w:bottom w:val="nil"/>
                    <w:right w:val="nil"/>
                  </w:tcBorders>
                  <w:shd w:val="clear" w:color="000000" w:fill="BDD6EE" w:themeFill="accent1" w:themeFillTint="66"/>
                  <w:noWrap/>
                  <w:vAlign w:val="bottom"/>
                  <w:hideMark/>
                </w:tcPr>
                <w:p w14:paraId="5213AB3E" w14:textId="77777777" w:rsidR="007C7843" w:rsidRPr="00CA2564" w:rsidRDefault="007C7843" w:rsidP="007C7843">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Grécko</w:t>
                  </w:r>
                </w:p>
              </w:tc>
              <w:tc>
                <w:tcPr>
                  <w:tcW w:w="1176" w:type="dxa"/>
                  <w:tcBorders>
                    <w:top w:val="nil"/>
                    <w:left w:val="nil"/>
                    <w:bottom w:val="nil"/>
                    <w:right w:val="nil"/>
                  </w:tcBorders>
                  <w:shd w:val="clear" w:color="000000" w:fill="BDD6EE" w:themeFill="accent1" w:themeFillTint="66"/>
                  <w:noWrap/>
                  <w:vAlign w:val="bottom"/>
                  <w:hideMark/>
                </w:tcPr>
                <w:p w14:paraId="579D4CF4" w14:textId="38FDEFD4" w:rsidR="007C7843" w:rsidRPr="00CA2564" w:rsidRDefault="007C7843" w:rsidP="007C7843">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105 tis.</w:t>
                  </w:r>
                  <w:r w:rsidR="00004183">
                    <w:rPr>
                      <w:rFonts w:eastAsia="Times New Roman" w:cs="Times New Roman"/>
                      <w:color w:val="000000"/>
                      <w:sz w:val="20"/>
                      <w:lang w:eastAsia="sk-SK"/>
                    </w:rPr>
                    <w:t xml:space="preserve">, 2,6 % </w:t>
                  </w:r>
                  <w:r w:rsidRPr="00CA2564">
                    <w:rPr>
                      <w:rFonts w:eastAsia="Times New Roman" w:cs="Times New Roman"/>
                      <w:color w:val="000000"/>
                      <w:sz w:val="20"/>
                      <w:lang w:eastAsia="sk-SK"/>
                    </w:rPr>
                    <w:t>(2009)</w:t>
                  </w:r>
                </w:p>
              </w:tc>
              <w:tc>
                <w:tcPr>
                  <w:tcW w:w="567" w:type="dxa"/>
                  <w:tcBorders>
                    <w:top w:val="nil"/>
                    <w:left w:val="nil"/>
                    <w:bottom w:val="nil"/>
                    <w:right w:val="nil"/>
                  </w:tcBorders>
                  <w:shd w:val="clear" w:color="000000" w:fill="BDD6EE" w:themeFill="accent1" w:themeFillTint="66"/>
                  <w:noWrap/>
                  <w:vAlign w:val="bottom"/>
                  <w:hideMark/>
                </w:tcPr>
                <w:p w14:paraId="489E07E7" w14:textId="77777777" w:rsidR="007C7843" w:rsidRPr="00CA2564" w:rsidRDefault="007C7843" w:rsidP="007C7843">
                  <w:pPr>
                    <w:spacing w:after="0" w:line="240" w:lineRule="auto"/>
                    <w:jc w:val="right"/>
                    <w:rPr>
                      <w:rFonts w:eastAsia="Times New Roman" w:cs="Times New Roman"/>
                      <w:color w:val="000000"/>
                      <w:sz w:val="20"/>
                      <w:lang w:eastAsia="sk-SK"/>
                    </w:rPr>
                  </w:pPr>
                  <w:r w:rsidRPr="00CA2564">
                    <w:rPr>
                      <w:rFonts w:eastAsia="Times New Roman" w:cs="Times New Roman"/>
                      <w:color w:val="000000"/>
                      <w:sz w:val="20"/>
                      <w:lang w:eastAsia="sk-SK"/>
                    </w:rPr>
                    <w:t>0,07</w:t>
                  </w:r>
                </w:p>
              </w:tc>
              <w:tc>
                <w:tcPr>
                  <w:tcW w:w="2835" w:type="dxa"/>
                  <w:tcBorders>
                    <w:top w:val="nil"/>
                    <w:left w:val="nil"/>
                    <w:bottom w:val="nil"/>
                    <w:right w:val="nil"/>
                  </w:tcBorders>
                  <w:shd w:val="clear" w:color="000000" w:fill="BDD6EE" w:themeFill="accent1" w:themeFillTint="66"/>
                  <w:vAlign w:val="bottom"/>
                  <w:hideMark/>
                </w:tcPr>
                <w:p w14:paraId="71A20BE5" w14:textId="77777777" w:rsidR="007C7843" w:rsidRPr="00CA2564" w:rsidRDefault="007C7843" w:rsidP="007C7843">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Zamestnanec s určitým obdobím poistenia, nikto z domácností nevlastní nehnuteľnosť</w:t>
                  </w:r>
                </w:p>
              </w:tc>
              <w:tc>
                <w:tcPr>
                  <w:tcW w:w="1701" w:type="dxa"/>
                  <w:tcBorders>
                    <w:top w:val="nil"/>
                    <w:left w:val="nil"/>
                    <w:bottom w:val="nil"/>
                    <w:right w:val="nil"/>
                  </w:tcBorders>
                  <w:shd w:val="clear" w:color="000000" w:fill="BDD6EE" w:themeFill="accent1" w:themeFillTint="66"/>
                  <w:vAlign w:val="bottom"/>
                  <w:hideMark/>
                </w:tcPr>
                <w:p w14:paraId="70AF4E5E" w14:textId="77777777" w:rsidR="007C7843" w:rsidRPr="00CA2564" w:rsidRDefault="007C7843" w:rsidP="007C7843">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V závislosti od počtu detí (od 115 do 215 eur)</w:t>
                  </w:r>
                </w:p>
              </w:tc>
              <w:tc>
                <w:tcPr>
                  <w:tcW w:w="1593" w:type="dxa"/>
                  <w:tcBorders>
                    <w:top w:val="nil"/>
                    <w:left w:val="nil"/>
                    <w:bottom w:val="nil"/>
                    <w:right w:val="nil"/>
                  </w:tcBorders>
                  <w:shd w:val="clear" w:color="000000" w:fill="BDD6EE" w:themeFill="accent1" w:themeFillTint="66"/>
                  <w:vAlign w:val="bottom"/>
                  <w:hideMark/>
                </w:tcPr>
                <w:p w14:paraId="105E67DC" w14:textId="77777777" w:rsidR="007C7843" w:rsidRPr="00CA2564" w:rsidRDefault="007C7843" w:rsidP="007C7843">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Veľkosť príjmu v závislosti od počtu detí v domácnosti (od 12 tis. do 20 tis. eur ročne).</w:t>
                  </w:r>
                </w:p>
              </w:tc>
            </w:tr>
            <w:tr w:rsidR="007C7843" w:rsidRPr="00CA2564" w14:paraId="0B6CAA28" w14:textId="77777777" w:rsidTr="00B83081">
              <w:trPr>
                <w:trHeight w:val="510"/>
              </w:trPr>
              <w:tc>
                <w:tcPr>
                  <w:tcW w:w="984" w:type="dxa"/>
                  <w:tcBorders>
                    <w:top w:val="nil"/>
                    <w:left w:val="nil"/>
                    <w:bottom w:val="nil"/>
                    <w:right w:val="nil"/>
                  </w:tcBorders>
                  <w:shd w:val="clear" w:color="000000" w:fill="BDD6EE" w:themeFill="accent1" w:themeFillTint="66"/>
                  <w:noWrap/>
                  <w:vAlign w:val="bottom"/>
                  <w:hideMark/>
                </w:tcPr>
                <w:p w14:paraId="269E1FF8" w14:textId="77777777" w:rsidR="007C7843" w:rsidRPr="00CA2564" w:rsidRDefault="007C7843" w:rsidP="007C7843">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Maďarsko</w:t>
                  </w:r>
                </w:p>
              </w:tc>
              <w:tc>
                <w:tcPr>
                  <w:tcW w:w="1176" w:type="dxa"/>
                  <w:tcBorders>
                    <w:top w:val="nil"/>
                    <w:left w:val="nil"/>
                    <w:bottom w:val="nil"/>
                    <w:right w:val="nil"/>
                  </w:tcBorders>
                  <w:shd w:val="clear" w:color="000000" w:fill="BDD6EE" w:themeFill="accent1" w:themeFillTint="66"/>
                  <w:noWrap/>
                  <w:vAlign w:val="bottom"/>
                  <w:hideMark/>
                </w:tcPr>
                <w:p w14:paraId="1B3D4716" w14:textId="00E66BA4" w:rsidR="007C7843" w:rsidRPr="00CA2564" w:rsidRDefault="007C7843" w:rsidP="007C7843">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412 tis.</w:t>
                  </w:r>
                  <w:r w:rsidR="00004183">
                    <w:rPr>
                      <w:rFonts w:eastAsia="Times New Roman" w:cs="Times New Roman"/>
                      <w:color w:val="000000"/>
                      <w:sz w:val="20"/>
                      <w:lang w:eastAsia="sk-SK"/>
                    </w:rPr>
                    <w:t>, 10,3 %</w:t>
                  </w:r>
                  <w:r w:rsidRPr="00CA2564">
                    <w:rPr>
                      <w:rFonts w:eastAsia="Times New Roman" w:cs="Times New Roman"/>
                      <w:color w:val="000000"/>
                      <w:sz w:val="20"/>
                      <w:lang w:eastAsia="sk-SK"/>
                    </w:rPr>
                    <w:t>(2014)</w:t>
                  </w:r>
                </w:p>
              </w:tc>
              <w:tc>
                <w:tcPr>
                  <w:tcW w:w="567" w:type="dxa"/>
                  <w:tcBorders>
                    <w:top w:val="nil"/>
                    <w:left w:val="nil"/>
                    <w:bottom w:val="nil"/>
                    <w:right w:val="nil"/>
                  </w:tcBorders>
                  <w:shd w:val="clear" w:color="000000" w:fill="BDD6EE" w:themeFill="accent1" w:themeFillTint="66"/>
                  <w:noWrap/>
                  <w:vAlign w:val="bottom"/>
                  <w:hideMark/>
                </w:tcPr>
                <w:p w14:paraId="18DCD03D" w14:textId="77777777" w:rsidR="007C7843" w:rsidRPr="00CA2564" w:rsidRDefault="007C7843" w:rsidP="007C7843">
                  <w:pPr>
                    <w:spacing w:after="0" w:line="240" w:lineRule="auto"/>
                    <w:jc w:val="right"/>
                    <w:rPr>
                      <w:rFonts w:eastAsia="Times New Roman" w:cs="Times New Roman"/>
                      <w:color w:val="000000"/>
                      <w:sz w:val="20"/>
                      <w:lang w:eastAsia="sk-SK"/>
                    </w:rPr>
                  </w:pPr>
                  <w:r w:rsidRPr="00CA2564">
                    <w:rPr>
                      <w:rFonts w:eastAsia="Times New Roman" w:cs="Times New Roman"/>
                      <w:color w:val="000000"/>
                      <w:sz w:val="20"/>
                      <w:lang w:eastAsia="sk-SK"/>
                    </w:rPr>
                    <w:t>0,06</w:t>
                  </w:r>
                </w:p>
              </w:tc>
              <w:tc>
                <w:tcPr>
                  <w:tcW w:w="2835" w:type="dxa"/>
                  <w:tcBorders>
                    <w:top w:val="nil"/>
                    <w:left w:val="nil"/>
                    <w:bottom w:val="nil"/>
                    <w:right w:val="nil"/>
                  </w:tcBorders>
                  <w:shd w:val="clear" w:color="000000" w:fill="BDD6EE" w:themeFill="accent1" w:themeFillTint="66"/>
                  <w:vAlign w:val="bottom"/>
                  <w:hideMark/>
                </w:tcPr>
                <w:p w14:paraId="6A2D854E" w14:textId="77777777" w:rsidR="007C7843" w:rsidRPr="00CA2564" w:rsidRDefault="007C7843" w:rsidP="007C7843">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V závislosti od municipality. Do roku 2015: príjem nepresiahol 250 %, minimálneho dôchodku. Nevlastní nehnuteľnosť.</w:t>
                  </w:r>
                </w:p>
              </w:tc>
              <w:tc>
                <w:tcPr>
                  <w:tcW w:w="1701" w:type="dxa"/>
                  <w:tcBorders>
                    <w:top w:val="nil"/>
                    <w:left w:val="nil"/>
                    <w:bottom w:val="nil"/>
                    <w:right w:val="nil"/>
                  </w:tcBorders>
                  <w:shd w:val="clear" w:color="000000" w:fill="BDD6EE" w:themeFill="accent1" w:themeFillTint="66"/>
                  <w:vAlign w:val="bottom"/>
                  <w:hideMark/>
                </w:tcPr>
                <w:p w14:paraId="6F5FF6AC" w14:textId="77777777" w:rsidR="007C7843" w:rsidRPr="00CA2564" w:rsidRDefault="007C7843" w:rsidP="007C7843">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V závislosti od príjmu domácností do 92 eur</w:t>
                  </w:r>
                </w:p>
              </w:tc>
              <w:tc>
                <w:tcPr>
                  <w:tcW w:w="1593" w:type="dxa"/>
                  <w:tcBorders>
                    <w:top w:val="nil"/>
                    <w:left w:val="nil"/>
                    <w:bottom w:val="nil"/>
                    <w:right w:val="nil"/>
                  </w:tcBorders>
                  <w:shd w:val="clear" w:color="000000" w:fill="BDD6EE" w:themeFill="accent1" w:themeFillTint="66"/>
                  <w:vAlign w:val="bottom"/>
                  <w:hideMark/>
                </w:tcPr>
                <w:p w14:paraId="4F870F8E" w14:textId="77777777" w:rsidR="007C7843" w:rsidRPr="00CA2564" w:rsidRDefault="007C7843" w:rsidP="007C7843">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Výška príjmu</w:t>
                  </w:r>
                </w:p>
              </w:tc>
            </w:tr>
            <w:tr w:rsidR="007C7843" w:rsidRPr="00CA2564" w14:paraId="7EE7E10B" w14:textId="77777777" w:rsidTr="00B83081">
              <w:trPr>
                <w:trHeight w:val="765"/>
              </w:trPr>
              <w:tc>
                <w:tcPr>
                  <w:tcW w:w="984" w:type="dxa"/>
                  <w:tcBorders>
                    <w:top w:val="nil"/>
                    <w:left w:val="nil"/>
                    <w:bottom w:val="nil"/>
                    <w:right w:val="nil"/>
                  </w:tcBorders>
                  <w:shd w:val="clear" w:color="000000" w:fill="BDD6EE" w:themeFill="accent1" w:themeFillTint="66"/>
                  <w:noWrap/>
                  <w:vAlign w:val="bottom"/>
                  <w:hideMark/>
                </w:tcPr>
                <w:p w14:paraId="62C885C3" w14:textId="77777777" w:rsidR="007C7843" w:rsidRPr="00CA2564" w:rsidRDefault="007C7843" w:rsidP="007C7843">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Holandsko</w:t>
                  </w:r>
                </w:p>
              </w:tc>
              <w:tc>
                <w:tcPr>
                  <w:tcW w:w="1176" w:type="dxa"/>
                  <w:tcBorders>
                    <w:top w:val="nil"/>
                    <w:left w:val="nil"/>
                    <w:bottom w:val="nil"/>
                    <w:right w:val="nil"/>
                  </w:tcBorders>
                  <w:shd w:val="clear" w:color="000000" w:fill="BDD6EE" w:themeFill="accent1" w:themeFillTint="66"/>
                  <w:noWrap/>
                  <w:vAlign w:val="bottom"/>
                  <w:hideMark/>
                </w:tcPr>
                <w:p w14:paraId="41C083C0" w14:textId="22BC1AF7" w:rsidR="007C7843" w:rsidRPr="00CA2564" w:rsidRDefault="007C7843" w:rsidP="007C7843">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1,26 mil, 16,8</w:t>
                  </w:r>
                  <w:r w:rsidR="00E67194">
                    <w:rPr>
                      <w:rFonts w:eastAsia="Times New Roman" w:cs="Times New Roman"/>
                      <w:color w:val="000000"/>
                      <w:sz w:val="20"/>
                      <w:lang w:eastAsia="sk-SK"/>
                    </w:rPr>
                    <w:t> </w:t>
                  </w:r>
                  <w:r w:rsidRPr="00CA2564">
                    <w:rPr>
                      <w:rFonts w:eastAsia="Times New Roman" w:cs="Times New Roman"/>
                      <w:color w:val="000000"/>
                      <w:sz w:val="20"/>
                      <w:lang w:eastAsia="sk-SK"/>
                    </w:rPr>
                    <w:t>% (2016)</w:t>
                  </w:r>
                </w:p>
              </w:tc>
              <w:tc>
                <w:tcPr>
                  <w:tcW w:w="567" w:type="dxa"/>
                  <w:tcBorders>
                    <w:top w:val="nil"/>
                    <w:left w:val="nil"/>
                    <w:bottom w:val="nil"/>
                    <w:right w:val="nil"/>
                  </w:tcBorders>
                  <w:shd w:val="clear" w:color="000000" w:fill="BDD6EE" w:themeFill="accent1" w:themeFillTint="66"/>
                  <w:noWrap/>
                  <w:vAlign w:val="bottom"/>
                  <w:hideMark/>
                </w:tcPr>
                <w:p w14:paraId="118B2489" w14:textId="77777777" w:rsidR="007C7843" w:rsidRPr="00CA2564" w:rsidRDefault="007C7843" w:rsidP="007C7843">
                  <w:pPr>
                    <w:spacing w:after="0" w:line="240" w:lineRule="auto"/>
                    <w:jc w:val="right"/>
                    <w:rPr>
                      <w:rFonts w:eastAsia="Times New Roman" w:cs="Times New Roman"/>
                      <w:color w:val="000000"/>
                      <w:sz w:val="20"/>
                      <w:lang w:eastAsia="sk-SK"/>
                    </w:rPr>
                  </w:pPr>
                  <w:r w:rsidRPr="00CA2564">
                    <w:rPr>
                      <w:rFonts w:eastAsia="Times New Roman" w:cs="Times New Roman"/>
                      <w:color w:val="000000"/>
                      <w:sz w:val="20"/>
                      <w:lang w:eastAsia="sk-SK"/>
                    </w:rPr>
                    <w:t>0,4</w:t>
                  </w:r>
                </w:p>
              </w:tc>
              <w:tc>
                <w:tcPr>
                  <w:tcW w:w="2835" w:type="dxa"/>
                  <w:tcBorders>
                    <w:top w:val="nil"/>
                    <w:left w:val="nil"/>
                    <w:bottom w:val="nil"/>
                    <w:right w:val="nil"/>
                  </w:tcBorders>
                  <w:shd w:val="clear" w:color="000000" w:fill="BDD6EE" w:themeFill="accent1" w:themeFillTint="66"/>
                  <w:vAlign w:val="bottom"/>
                  <w:hideMark/>
                </w:tcPr>
                <w:p w14:paraId="22054FB2" w14:textId="77777777" w:rsidR="007C7843" w:rsidRPr="00CA2564" w:rsidRDefault="007C7843" w:rsidP="007C7843">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Nájomníci s príjmom nižším ako stanovená hranica (22,1 tis. eur), obmedzené vlastníctvo majetku (24,5 tis. eur)</w:t>
                  </w:r>
                </w:p>
              </w:tc>
              <w:tc>
                <w:tcPr>
                  <w:tcW w:w="1701" w:type="dxa"/>
                  <w:tcBorders>
                    <w:top w:val="nil"/>
                    <w:left w:val="nil"/>
                    <w:bottom w:val="nil"/>
                    <w:right w:val="nil"/>
                  </w:tcBorders>
                  <w:shd w:val="clear" w:color="000000" w:fill="BDD6EE" w:themeFill="accent1" w:themeFillTint="66"/>
                  <w:vAlign w:val="bottom"/>
                  <w:hideMark/>
                </w:tcPr>
                <w:p w14:paraId="40CF34C8" w14:textId="77777777" w:rsidR="007C7843" w:rsidRPr="00CA2564" w:rsidRDefault="007C7843" w:rsidP="007C7843">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V závislosti od kvality bývania (veľkosť a zariadenie) a jeho umiestnenia</w:t>
                  </w:r>
                </w:p>
              </w:tc>
              <w:tc>
                <w:tcPr>
                  <w:tcW w:w="1593" w:type="dxa"/>
                  <w:tcBorders>
                    <w:top w:val="nil"/>
                    <w:left w:val="nil"/>
                    <w:bottom w:val="nil"/>
                    <w:right w:val="nil"/>
                  </w:tcBorders>
                  <w:shd w:val="clear" w:color="000000" w:fill="BDD6EE" w:themeFill="accent1" w:themeFillTint="66"/>
                  <w:vAlign w:val="bottom"/>
                  <w:hideMark/>
                </w:tcPr>
                <w:p w14:paraId="6828C3AE" w14:textId="77777777" w:rsidR="007C7843" w:rsidRPr="00CA2564" w:rsidRDefault="007C7843" w:rsidP="007C7843">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Výška príjmu a majetku</w:t>
                  </w:r>
                </w:p>
              </w:tc>
            </w:tr>
            <w:tr w:rsidR="007C7843" w:rsidRPr="00CA2564" w14:paraId="250BF19F" w14:textId="77777777" w:rsidTr="00B83081">
              <w:trPr>
                <w:trHeight w:val="765"/>
              </w:trPr>
              <w:tc>
                <w:tcPr>
                  <w:tcW w:w="984" w:type="dxa"/>
                  <w:tcBorders>
                    <w:top w:val="nil"/>
                    <w:left w:val="nil"/>
                    <w:bottom w:val="nil"/>
                    <w:right w:val="nil"/>
                  </w:tcBorders>
                  <w:shd w:val="clear" w:color="000000" w:fill="BDD6EE" w:themeFill="accent1" w:themeFillTint="66"/>
                  <w:noWrap/>
                  <w:vAlign w:val="bottom"/>
                  <w:hideMark/>
                </w:tcPr>
                <w:p w14:paraId="20B16659" w14:textId="77777777" w:rsidR="007C7843" w:rsidRPr="00CA2564" w:rsidRDefault="007C7843" w:rsidP="007C7843">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Taliansko</w:t>
                  </w:r>
                </w:p>
              </w:tc>
              <w:tc>
                <w:tcPr>
                  <w:tcW w:w="1176" w:type="dxa"/>
                  <w:tcBorders>
                    <w:top w:val="nil"/>
                    <w:left w:val="nil"/>
                    <w:bottom w:val="nil"/>
                    <w:right w:val="nil"/>
                  </w:tcBorders>
                  <w:shd w:val="clear" w:color="000000" w:fill="BDD6EE" w:themeFill="accent1" w:themeFillTint="66"/>
                  <w:noWrap/>
                  <w:vAlign w:val="bottom"/>
                  <w:hideMark/>
                </w:tcPr>
                <w:p w14:paraId="50B027D7" w14:textId="52D9D187" w:rsidR="007C7843" w:rsidRPr="00CA2564" w:rsidRDefault="00E80CE2" w:rsidP="007C7843">
                  <w:pPr>
                    <w:spacing w:after="0" w:line="240" w:lineRule="auto"/>
                    <w:jc w:val="left"/>
                    <w:rPr>
                      <w:rFonts w:eastAsia="Times New Roman" w:cs="Times New Roman"/>
                      <w:color w:val="000000"/>
                      <w:sz w:val="20"/>
                      <w:lang w:eastAsia="sk-SK"/>
                    </w:rPr>
                  </w:pPr>
                  <w:r>
                    <w:rPr>
                      <w:rFonts w:eastAsia="Times New Roman" w:cs="Times New Roman"/>
                      <w:color w:val="000000"/>
                      <w:sz w:val="20"/>
                      <w:lang w:eastAsia="sk-SK"/>
                    </w:rPr>
                    <w:t>n.a.</w:t>
                  </w:r>
                </w:p>
              </w:tc>
              <w:tc>
                <w:tcPr>
                  <w:tcW w:w="567" w:type="dxa"/>
                  <w:tcBorders>
                    <w:top w:val="nil"/>
                    <w:left w:val="nil"/>
                    <w:bottom w:val="nil"/>
                    <w:right w:val="nil"/>
                  </w:tcBorders>
                  <w:shd w:val="clear" w:color="000000" w:fill="BDD6EE" w:themeFill="accent1" w:themeFillTint="66"/>
                  <w:noWrap/>
                  <w:vAlign w:val="bottom"/>
                  <w:hideMark/>
                </w:tcPr>
                <w:p w14:paraId="10F55633" w14:textId="77777777" w:rsidR="007C7843" w:rsidRPr="00CA2564" w:rsidRDefault="007C7843" w:rsidP="007C7843">
                  <w:pPr>
                    <w:spacing w:after="0" w:line="240" w:lineRule="auto"/>
                    <w:jc w:val="right"/>
                    <w:rPr>
                      <w:rFonts w:eastAsia="Times New Roman" w:cs="Times New Roman"/>
                      <w:color w:val="000000"/>
                      <w:sz w:val="20"/>
                      <w:lang w:eastAsia="sk-SK"/>
                    </w:rPr>
                  </w:pPr>
                  <w:r w:rsidRPr="00CA2564">
                    <w:rPr>
                      <w:rFonts w:eastAsia="Times New Roman" w:cs="Times New Roman"/>
                      <w:color w:val="000000"/>
                      <w:sz w:val="20"/>
                      <w:lang w:eastAsia="sk-SK"/>
                    </w:rPr>
                    <w:t>0,02</w:t>
                  </w:r>
                </w:p>
              </w:tc>
              <w:tc>
                <w:tcPr>
                  <w:tcW w:w="2835" w:type="dxa"/>
                  <w:tcBorders>
                    <w:top w:val="nil"/>
                    <w:left w:val="nil"/>
                    <w:bottom w:val="nil"/>
                    <w:right w:val="nil"/>
                  </w:tcBorders>
                  <w:shd w:val="clear" w:color="000000" w:fill="BDD6EE" w:themeFill="accent1" w:themeFillTint="66"/>
                  <w:vAlign w:val="bottom"/>
                  <w:hideMark/>
                </w:tcPr>
                <w:p w14:paraId="2EF89601" w14:textId="77777777" w:rsidR="007C7843" w:rsidRPr="00CA2564" w:rsidRDefault="007C7843" w:rsidP="007C7843">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Domácnosti s príjmom nižším ako dvojnásobok minimálneho dôchodku</w:t>
                  </w:r>
                </w:p>
              </w:tc>
              <w:tc>
                <w:tcPr>
                  <w:tcW w:w="1701" w:type="dxa"/>
                  <w:tcBorders>
                    <w:top w:val="nil"/>
                    <w:left w:val="nil"/>
                    <w:bottom w:val="nil"/>
                    <w:right w:val="nil"/>
                  </w:tcBorders>
                  <w:shd w:val="clear" w:color="000000" w:fill="BDD6EE" w:themeFill="accent1" w:themeFillTint="66"/>
                  <w:vAlign w:val="bottom"/>
                  <w:hideMark/>
                </w:tcPr>
                <w:p w14:paraId="119F760A" w14:textId="77777777" w:rsidR="007C7843" w:rsidRPr="00CA2564" w:rsidRDefault="007C7843" w:rsidP="007C7843">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V závislosti od výšky nájomného a príjmu. Max však 500 eur</w:t>
                  </w:r>
                </w:p>
              </w:tc>
              <w:tc>
                <w:tcPr>
                  <w:tcW w:w="1593" w:type="dxa"/>
                  <w:tcBorders>
                    <w:top w:val="nil"/>
                    <w:left w:val="nil"/>
                    <w:bottom w:val="nil"/>
                    <w:right w:val="nil"/>
                  </w:tcBorders>
                  <w:shd w:val="clear" w:color="000000" w:fill="BDD6EE" w:themeFill="accent1" w:themeFillTint="66"/>
                  <w:vAlign w:val="bottom"/>
                  <w:hideMark/>
                </w:tcPr>
                <w:p w14:paraId="2D8010A9" w14:textId="77777777" w:rsidR="007C7843" w:rsidRPr="00CA2564" w:rsidRDefault="007C7843" w:rsidP="007C7843">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Výška príjmu</w:t>
                  </w:r>
                </w:p>
              </w:tc>
            </w:tr>
            <w:tr w:rsidR="007C7843" w:rsidRPr="00CA2564" w14:paraId="5E93C465" w14:textId="77777777" w:rsidTr="00B83081">
              <w:trPr>
                <w:trHeight w:val="765"/>
              </w:trPr>
              <w:tc>
                <w:tcPr>
                  <w:tcW w:w="984" w:type="dxa"/>
                  <w:tcBorders>
                    <w:top w:val="nil"/>
                    <w:left w:val="nil"/>
                    <w:bottom w:val="nil"/>
                    <w:right w:val="nil"/>
                  </w:tcBorders>
                  <w:shd w:val="clear" w:color="000000" w:fill="BDD6EE" w:themeFill="accent1" w:themeFillTint="66"/>
                  <w:noWrap/>
                  <w:vAlign w:val="bottom"/>
                  <w:hideMark/>
                </w:tcPr>
                <w:p w14:paraId="56412C83" w14:textId="77777777" w:rsidR="007C7843" w:rsidRPr="00CA2564" w:rsidRDefault="007C7843" w:rsidP="007C7843">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Švédsko</w:t>
                  </w:r>
                </w:p>
              </w:tc>
              <w:tc>
                <w:tcPr>
                  <w:tcW w:w="1176" w:type="dxa"/>
                  <w:tcBorders>
                    <w:top w:val="nil"/>
                    <w:left w:val="nil"/>
                    <w:bottom w:val="nil"/>
                    <w:right w:val="nil"/>
                  </w:tcBorders>
                  <w:shd w:val="clear" w:color="000000" w:fill="BDD6EE" w:themeFill="accent1" w:themeFillTint="66"/>
                  <w:noWrap/>
                  <w:vAlign w:val="bottom"/>
                  <w:hideMark/>
                </w:tcPr>
                <w:p w14:paraId="1D558FEF" w14:textId="25634BE7" w:rsidR="007C7843" w:rsidRPr="00CA2564" w:rsidRDefault="007C7843" w:rsidP="007C7843">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186 tis.</w:t>
                  </w:r>
                  <w:r w:rsidR="00004183">
                    <w:rPr>
                      <w:rFonts w:eastAsia="Times New Roman" w:cs="Times New Roman"/>
                      <w:color w:val="000000"/>
                      <w:sz w:val="20"/>
                      <w:lang w:eastAsia="sk-SK"/>
                    </w:rPr>
                    <w:t xml:space="preserve">, 4,2 % </w:t>
                  </w:r>
                  <w:r w:rsidRPr="00CA2564">
                    <w:rPr>
                      <w:rFonts w:eastAsia="Times New Roman" w:cs="Times New Roman"/>
                      <w:color w:val="000000"/>
                      <w:sz w:val="20"/>
                      <w:lang w:eastAsia="sk-SK"/>
                    </w:rPr>
                    <w:t>(2015)</w:t>
                  </w:r>
                </w:p>
              </w:tc>
              <w:tc>
                <w:tcPr>
                  <w:tcW w:w="567" w:type="dxa"/>
                  <w:tcBorders>
                    <w:top w:val="nil"/>
                    <w:left w:val="nil"/>
                    <w:bottom w:val="nil"/>
                    <w:right w:val="nil"/>
                  </w:tcBorders>
                  <w:shd w:val="clear" w:color="000000" w:fill="BDD6EE" w:themeFill="accent1" w:themeFillTint="66"/>
                  <w:noWrap/>
                  <w:vAlign w:val="bottom"/>
                  <w:hideMark/>
                </w:tcPr>
                <w:p w14:paraId="767F7E57" w14:textId="77777777" w:rsidR="007C7843" w:rsidRPr="00CA2564" w:rsidRDefault="007C7843" w:rsidP="007C7843">
                  <w:pPr>
                    <w:spacing w:after="0" w:line="240" w:lineRule="auto"/>
                    <w:jc w:val="right"/>
                    <w:rPr>
                      <w:rFonts w:eastAsia="Times New Roman" w:cs="Times New Roman"/>
                      <w:color w:val="000000"/>
                      <w:sz w:val="20"/>
                      <w:lang w:eastAsia="sk-SK"/>
                    </w:rPr>
                  </w:pPr>
                  <w:r w:rsidRPr="00CA2564">
                    <w:rPr>
                      <w:rFonts w:eastAsia="Times New Roman" w:cs="Times New Roman"/>
                      <w:color w:val="000000"/>
                      <w:sz w:val="20"/>
                      <w:lang w:eastAsia="sk-SK"/>
                    </w:rPr>
                    <w:t>0,12</w:t>
                  </w:r>
                </w:p>
              </w:tc>
              <w:tc>
                <w:tcPr>
                  <w:tcW w:w="2835" w:type="dxa"/>
                  <w:tcBorders>
                    <w:top w:val="nil"/>
                    <w:left w:val="nil"/>
                    <w:bottom w:val="nil"/>
                    <w:right w:val="nil"/>
                  </w:tcBorders>
                  <w:shd w:val="clear" w:color="000000" w:fill="BDD6EE" w:themeFill="accent1" w:themeFillTint="66"/>
                  <w:vAlign w:val="bottom"/>
                  <w:hideMark/>
                </w:tcPr>
                <w:p w14:paraId="141ECA7E" w14:textId="4F30D24A" w:rsidR="007C7843" w:rsidRPr="00CA2564" w:rsidRDefault="007C7843" w:rsidP="007C7843">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 xml:space="preserve">Nájomníci ako aj vlastníci. Domácnosti s </w:t>
                  </w:r>
                  <w:r w:rsidR="00E31022" w:rsidRPr="00CA2564">
                    <w:rPr>
                      <w:rFonts w:eastAsia="Times New Roman" w:cs="Times New Roman"/>
                      <w:color w:val="000000"/>
                      <w:sz w:val="20"/>
                      <w:lang w:eastAsia="sk-SK"/>
                    </w:rPr>
                    <w:t>deťmi</w:t>
                  </w:r>
                  <w:r w:rsidRPr="00CA2564">
                    <w:rPr>
                      <w:rFonts w:eastAsia="Times New Roman" w:cs="Times New Roman"/>
                      <w:color w:val="000000"/>
                      <w:sz w:val="20"/>
                      <w:lang w:eastAsia="sk-SK"/>
                    </w:rPr>
                    <w:t>, ak platia za nájom nad stanovenú hranicu. Domácnosti bez detí v závislosti od príjmu</w:t>
                  </w:r>
                </w:p>
              </w:tc>
              <w:tc>
                <w:tcPr>
                  <w:tcW w:w="1701" w:type="dxa"/>
                  <w:tcBorders>
                    <w:top w:val="nil"/>
                    <w:left w:val="nil"/>
                    <w:bottom w:val="nil"/>
                    <w:right w:val="nil"/>
                  </w:tcBorders>
                  <w:shd w:val="clear" w:color="000000" w:fill="BDD6EE" w:themeFill="accent1" w:themeFillTint="66"/>
                  <w:vAlign w:val="bottom"/>
                  <w:hideMark/>
                </w:tcPr>
                <w:p w14:paraId="7C4AF30D" w14:textId="77777777" w:rsidR="007C7843" w:rsidRPr="00CA2564" w:rsidRDefault="007C7843" w:rsidP="007C7843">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V závislosti od príjmu, výšky nájmu a počtu detí (max približne 130 eur)</w:t>
                  </w:r>
                </w:p>
              </w:tc>
              <w:tc>
                <w:tcPr>
                  <w:tcW w:w="1593" w:type="dxa"/>
                  <w:tcBorders>
                    <w:top w:val="nil"/>
                    <w:left w:val="nil"/>
                    <w:bottom w:val="nil"/>
                    <w:right w:val="nil"/>
                  </w:tcBorders>
                  <w:shd w:val="clear" w:color="000000" w:fill="BDD6EE" w:themeFill="accent1" w:themeFillTint="66"/>
                  <w:vAlign w:val="bottom"/>
                  <w:hideMark/>
                </w:tcPr>
                <w:p w14:paraId="625B2B2A" w14:textId="77777777" w:rsidR="007C7843" w:rsidRPr="00CA2564" w:rsidRDefault="007C7843" w:rsidP="007C7843">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Výška príjmu a nájomného</w:t>
                  </w:r>
                </w:p>
              </w:tc>
            </w:tr>
            <w:tr w:rsidR="007C7843" w:rsidRPr="00CA2564" w14:paraId="5D98180A" w14:textId="77777777" w:rsidTr="00B83081">
              <w:trPr>
                <w:trHeight w:val="1020"/>
              </w:trPr>
              <w:tc>
                <w:tcPr>
                  <w:tcW w:w="984" w:type="dxa"/>
                  <w:tcBorders>
                    <w:top w:val="nil"/>
                    <w:left w:val="nil"/>
                    <w:bottom w:val="nil"/>
                    <w:right w:val="nil"/>
                  </w:tcBorders>
                  <w:shd w:val="clear" w:color="000000" w:fill="BDD6EE" w:themeFill="accent1" w:themeFillTint="66"/>
                  <w:noWrap/>
                  <w:vAlign w:val="bottom"/>
                  <w:hideMark/>
                </w:tcPr>
                <w:p w14:paraId="65E2443C" w14:textId="77777777" w:rsidR="007C7843" w:rsidRPr="00CA2564" w:rsidRDefault="007C7843" w:rsidP="007C7843">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Veľká Británia</w:t>
                  </w:r>
                </w:p>
              </w:tc>
              <w:tc>
                <w:tcPr>
                  <w:tcW w:w="1176" w:type="dxa"/>
                  <w:tcBorders>
                    <w:top w:val="nil"/>
                    <w:left w:val="nil"/>
                    <w:bottom w:val="nil"/>
                    <w:right w:val="nil"/>
                  </w:tcBorders>
                  <w:shd w:val="clear" w:color="000000" w:fill="BDD6EE" w:themeFill="accent1" w:themeFillTint="66"/>
                  <w:noWrap/>
                  <w:vAlign w:val="bottom"/>
                  <w:hideMark/>
                </w:tcPr>
                <w:p w14:paraId="3460A111" w14:textId="6D63978C" w:rsidR="007C7843" w:rsidRPr="00CA2564" w:rsidRDefault="007C7843" w:rsidP="007C7843">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4,68 mil.</w:t>
                  </w:r>
                  <w:r w:rsidR="00004183">
                    <w:rPr>
                      <w:rFonts w:eastAsia="Times New Roman" w:cs="Times New Roman"/>
                      <w:color w:val="000000"/>
                      <w:sz w:val="20"/>
                      <w:lang w:eastAsia="sk-SK"/>
                    </w:rPr>
                    <w:t xml:space="preserve">, 17,3 % </w:t>
                  </w:r>
                  <w:r w:rsidRPr="00CA2564">
                    <w:rPr>
                      <w:rFonts w:eastAsia="Times New Roman" w:cs="Times New Roman"/>
                      <w:color w:val="000000"/>
                      <w:sz w:val="20"/>
                      <w:lang w:eastAsia="sk-SK"/>
                    </w:rPr>
                    <w:t>(2016)</w:t>
                  </w:r>
                </w:p>
              </w:tc>
              <w:tc>
                <w:tcPr>
                  <w:tcW w:w="567" w:type="dxa"/>
                  <w:tcBorders>
                    <w:top w:val="nil"/>
                    <w:left w:val="nil"/>
                    <w:bottom w:val="nil"/>
                    <w:right w:val="nil"/>
                  </w:tcBorders>
                  <w:shd w:val="clear" w:color="000000" w:fill="BDD6EE" w:themeFill="accent1" w:themeFillTint="66"/>
                  <w:noWrap/>
                  <w:vAlign w:val="bottom"/>
                  <w:hideMark/>
                </w:tcPr>
                <w:p w14:paraId="7A0FD8E5" w14:textId="77777777" w:rsidR="007C7843" w:rsidRPr="00CA2564" w:rsidRDefault="007C7843" w:rsidP="007C7843">
                  <w:pPr>
                    <w:spacing w:after="0" w:line="240" w:lineRule="auto"/>
                    <w:jc w:val="right"/>
                    <w:rPr>
                      <w:rFonts w:eastAsia="Times New Roman" w:cs="Times New Roman"/>
                      <w:color w:val="000000"/>
                      <w:sz w:val="20"/>
                      <w:lang w:eastAsia="sk-SK"/>
                    </w:rPr>
                  </w:pPr>
                  <w:r w:rsidRPr="00CA2564">
                    <w:rPr>
                      <w:rFonts w:eastAsia="Times New Roman" w:cs="Times New Roman"/>
                      <w:color w:val="000000"/>
                      <w:sz w:val="20"/>
                      <w:lang w:eastAsia="sk-SK"/>
                    </w:rPr>
                    <w:t>1,8</w:t>
                  </w:r>
                </w:p>
              </w:tc>
              <w:tc>
                <w:tcPr>
                  <w:tcW w:w="2835" w:type="dxa"/>
                  <w:tcBorders>
                    <w:top w:val="nil"/>
                    <w:left w:val="nil"/>
                    <w:bottom w:val="nil"/>
                    <w:right w:val="nil"/>
                  </w:tcBorders>
                  <w:shd w:val="clear" w:color="000000" w:fill="BDD6EE" w:themeFill="accent1" w:themeFillTint="66"/>
                  <w:vAlign w:val="bottom"/>
                  <w:hideMark/>
                </w:tcPr>
                <w:p w14:paraId="4D00D395" w14:textId="77777777" w:rsidR="007C7843" w:rsidRPr="00CA2564" w:rsidRDefault="007C7843" w:rsidP="007C7843">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Nízkopríjmový platca nájomného. Úspory nižšie ako 16 tis. libier (18 tis eur)</w:t>
                  </w:r>
                </w:p>
              </w:tc>
              <w:tc>
                <w:tcPr>
                  <w:tcW w:w="1701" w:type="dxa"/>
                  <w:tcBorders>
                    <w:top w:val="nil"/>
                    <w:left w:val="nil"/>
                    <w:bottom w:val="nil"/>
                    <w:right w:val="nil"/>
                  </w:tcBorders>
                  <w:shd w:val="clear" w:color="000000" w:fill="BDD6EE" w:themeFill="accent1" w:themeFillTint="66"/>
                  <w:vAlign w:val="bottom"/>
                  <w:hideMark/>
                </w:tcPr>
                <w:p w14:paraId="33C1E7DA" w14:textId="688E8938" w:rsidR="007C7843" w:rsidRPr="00CA2564" w:rsidRDefault="007C7843" w:rsidP="007C7843">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Do 417 libier (470 eur) týždenne v závislosti od počtu spá</w:t>
                  </w:r>
                  <w:r w:rsidR="00E31022">
                    <w:rPr>
                      <w:rFonts w:eastAsia="Times New Roman" w:cs="Times New Roman"/>
                      <w:color w:val="000000"/>
                      <w:sz w:val="20"/>
                      <w:lang w:eastAsia="sk-SK"/>
                    </w:rPr>
                    <w:t>lní, zdravotného stavu a polohy</w:t>
                  </w:r>
                </w:p>
              </w:tc>
              <w:tc>
                <w:tcPr>
                  <w:tcW w:w="1593" w:type="dxa"/>
                  <w:tcBorders>
                    <w:top w:val="nil"/>
                    <w:left w:val="nil"/>
                    <w:bottom w:val="nil"/>
                    <w:right w:val="nil"/>
                  </w:tcBorders>
                  <w:shd w:val="clear" w:color="000000" w:fill="BDD6EE" w:themeFill="accent1" w:themeFillTint="66"/>
                  <w:vAlign w:val="bottom"/>
                  <w:hideMark/>
                </w:tcPr>
                <w:p w14:paraId="30E85F2D" w14:textId="77777777" w:rsidR="007C7843" w:rsidRPr="00CA2564" w:rsidRDefault="007C7843" w:rsidP="007C7843">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Výška príjmu a úspor</w:t>
                  </w:r>
                </w:p>
              </w:tc>
            </w:tr>
            <w:tr w:rsidR="007C7843" w:rsidRPr="00CA2564" w14:paraId="6F3BD992" w14:textId="77777777" w:rsidTr="00B83081">
              <w:trPr>
                <w:trHeight w:val="765"/>
              </w:trPr>
              <w:tc>
                <w:tcPr>
                  <w:tcW w:w="984" w:type="dxa"/>
                  <w:tcBorders>
                    <w:top w:val="nil"/>
                    <w:left w:val="nil"/>
                    <w:bottom w:val="single" w:sz="4" w:space="0" w:color="auto"/>
                    <w:right w:val="nil"/>
                  </w:tcBorders>
                  <w:shd w:val="clear" w:color="000000" w:fill="BDD6EE" w:themeFill="accent1" w:themeFillTint="66"/>
                  <w:noWrap/>
                  <w:vAlign w:val="bottom"/>
                  <w:hideMark/>
                </w:tcPr>
                <w:p w14:paraId="2EDF178B" w14:textId="77777777" w:rsidR="007C7843" w:rsidRPr="00CA2564" w:rsidRDefault="007C7843" w:rsidP="007C7843">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Česko</w:t>
                  </w:r>
                </w:p>
              </w:tc>
              <w:tc>
                <w:tcPr>
                  <w:tcW w:w="1176" w:type="dxa"/>
                  <w:tcBorders>
                    <w:top w:val="nil"/>
                    <w:left w:val="nil"/>
                    <w:bottom w:val="single" w:sz="4" w:space="0" w:color="auto"/>
                    <w:right w:val="nil"/>
                  </w:tcBorders>
                  <w:shd w:val="clear" w:color="000000" w:fill="BDD6EE" w:themeFill="accent1" w:themeFillTint="66"/>
                  <w:noWrap/>
                  <w:vAlign w:val="bottom"/>
                  <w:hideMark/>
                </w:tcPr>
                <w:p w14:paraId="3F96F627" w14:textId="20B9C804" w:rsidR="007C7843" w:rsidRPr="00CA2564" w:rsidRDefault="007C7843" w:rsidP="007C7843">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203 tis.</w:t>
                  </w:r>
                  <w:r w:rsidR="00004183">
                    <w:rPr>
                      <w:rFonts w:eastAsia="Times New Roman" w:cs="Times New Roman"/>
                      <w:color w:val="000000"/>
                      <w:sz w:val="20"/>
                      <w:lang w:eastAsia="sk-SK"/>
                    </w:rPr>
                    <w:t xml:space="preserve">, 4,6 % </w:t>
                  </w:r>
                  <w:r w:rsidRPr="00CA2564">
                    <w:rPr>
                      <w:rFonts w:eastAsia="Times New Roman" w:cs="Times New Roman"/>
                      <w:color w:val="000000"/>
                      <w:sz w:val="20"/>
                      <w:lang w:eastAsia="sk-SK"/>
                    </w:rPr>
                    <w:t>(2018)</w:t>
                  </w:r>
                </w:p>
              </w:tc>
              <w:tc>
                <w:tcPr>
                  <w:tcW w:w="567" w:type="dxa"/>
                  <w:tcBorders>
                    <w:top w:val="nil"/>
                    <w:left w:val="nil"/>
                    <w:bottom w:val="single" w:sz="4" w:space="0" w:color="auto"/>
                    <w:right w:val="nil"/>
                  </w:tcBorders>
                  <w:shd w:val="clear" w:color="000000" w:fill="BDD6EE" w:themeFill="accent1" w:themeFillTint="66"/>
                  <w:noWrap/>
                  <w:vAlign w:val="bottom"/>
                  <w:hideMark/>
                </w:tcPr>
                <w:p w14:paraId="1D6E1B06" w14:textId="77777777" w:rsidR="007C7843" w:rsidRPr="00CA2564" w:rsidRDefault="007C7843" w:rsidP="007C7843">
                  <w:pPr>
                    <w:spacing w:after="0" w:line="240" w:lineRule="auto"/>
                    <w:jc w:val="right"/>
                    <w:rPr>
                      <w:rFonts w:eastAsia="Times New Roman" w:cs="Times New Roman"/>
                      <w:color w:val="000000"/>
                      <w:sz w:val="20"/>
                      <w:lang w:eastAsia="sk-SK"/>
                    </w:rPr>
                  </w:pPr>
                  <w:r w:rsidRPr="00CA2564">
                    <w:rPr>
                      <w:rFonts w:eastAsia="Times New Roman" w:cs="Times New Roman"/>
                      <w:color w:val="000000"/>
                      <w:sz w:val="20"/>
                      <w:lang w:eastAsia="sk-SK"/>
                    </w:rPr>
                    <w:t>0,14</w:t>
                  </w:r>
                </w:p>
              </w:tc>
              <w:tc>
                <w:tcPr>
                  <w:tcW w:w="2835" w:type="dxa"/>
                  <w:tcBorders>
                    <w:top w:val="nil"/>
                    <w:left w:val="nil"/>
                    <w:bottom w:val="single" w:sz="4" w:space="0" w:color="auto"/>
                    <w:right w:val="nil"/>
                  </w:tcBorders>
                  <w:shd w:val="clear" w:color="000000" w:fill="BDD6EE" w:themeFill="accent1" w:themeFillTint="66"/>
                  <w:vAlign w:val="bottom"/>
                  <w:hideMark/>
                </w:tcPr>
                <w:p w14:paraId="240F7B64" w14:textId="77777777" w:rsidR="007C7843" w:rsidRPr="00CA2564" w:rsidRDefault="007C7843" w:rsidP="007C7843">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Domácnosti, ktorých náklady na bývanie presahujú 30% z celkového príjmu (35% v prípade hl. mesta), pričom súčin ich príjmu a koeficientu 0,3 (0,35) nepresahuje výšku normatívnych nákladov na bývanie pre dané sídlo</w:t>
                  </w:r>
                </w:p>
              </w:tc>
              <w:tc>
                <w:tcPr>
                  <w:tcW w:w="1701" w:type="dxa"/>
                  <w:tcBorders>
                    <w:top w:val="nil"/>
                    <w:left w:val="nil"/>
                    <w:bottom w:val="single" w:sz="4" w:space="0" w:color="auto"/>
                    <w:right w:val="nil"/>
                  </w:tcBorders>
                  <w:shd w:val="clear" w:color="000000" w:fill="BDD6EE" w:themeFill="accent1" w:themeFillTint="66"/>
                  <w:vAlign w:val="bottom"/>
                  <w:hideMark/>
                </w:tcPr>
                <w:p w14:paraId="00FD6660" w14:textId="2757CD04" w:rsidR="007C7843" w:rsidRPr="00CA2564" w:rsidRDefault="00B83081" w:rsidP="002B59F3">
                  <w:pPr>
                    <w:spacing w:after="0" w:line="240" w:lineRule="auto"/>
                    <w:jc w:val="left"/>
                    <w:rPr>
                      <w:rFonts w:eastAsia="Times New Roman" w:cs="Times New Roman"/>
                      <w:color w:val="000000"/>
                      <w:sz w:val="20"/>
                      <w:lang w:eastAsia="sk-SK"/>
                    </w:rPr>
                  </w:pPr>
                  <w:r>
                    <w:rPr>
                      <w:rFonts w:eastAsia="Times New Roman" w:cs="Times New Roman"/>
                      <w:color w:val="000000"/>
                      <w:sz w:val="20"/>
                      <w:lang w:eastAsia="sk-SK"/>
                    </w:rPr>
                    <w:t>Závisí</w:t>
                  </w:r>
                  <w:r w:rsidR="007C7843" w:rsidRPr="00CA2564">
                    <w:rPr>
                      <w:rFonts w:eastAsia="Times New Roman" w:cs="Times New Roman"/>
                      <w:color w:val="000000"/>
                      <w:sz w:val="20"/>
                      <w:lang w:eastAsia="sk-SK"/>
                    </w:rPr>
                    <w:t xml:space="preserve"> od lokality, počtu de</w:t>
                  </w:r>
                  <w:r w:rsidR="002B59F3">
                    <w:rPr>
                      <w:rFonts w:eastAsia="Times New Roman" w:cs="Times New Roman"/>
                      <w:color w:val="000000"/>
                      <w:sz w:val="20"/>
                      <w:lang w:eastAsia="sk-SK"/>
                    </w:rPr>
                    <w:t>tí a právneho vzťahu k bývaniu.</w:t>
                  </w:r>
                  <w:r>
                    <w:rPr>
                      <w:rFonts w:eastAsia="Times New Roman" w:cs="Times New Roman"/>
                      <w:color w:val="000000"/>
                      <w:sz w:val="20"/>
                      <w:lang w:eastAsia="sk-SK"/>
                    </w:rPr>
                    <w:t xml:space="preserve"> Priemerný príspevok</w:t>
                  </w:r>
                  <w:r w:rsidR="002B59F3">
                    <w:rPr>
                      <w:rFonts w:eastAsia="Times New Roman" w:cs="Times New Roman"/>
                      <w:color w:val="000000"/>
                      <w:sz w:val="20"/>
                      <w:lang w:eastAsia="sk-SK"/>
                    </w:rPr>
                    <w:t xml:space="preserve"> v roku 2017 bol 3 493 Kč (137 eur)</w:t>
                  </w:r>
                  <w:r>
                    <w:rPr>
                      <w:rFonts w:eastAsia="Times New Roman" w:cs="Times New Roman"/>
                      <w:color w:val="000000"/>
                      <w:sz w:val="20"/>
                      <w:lang w:eastAsia="sk-SK"/>
                    </w:rPr>
                    <w:t>.</w:t>
                  </w:r>
                </w:p>
              </w:tc>
              <w:tc>
                <w:tcPr>
                  <w:tcW w:w="1593" w:type="dxa"/>
                  <w:tcBorders>
                    <w:top w:val="nil"/>
                    <w:left w:val="nil"/>
                    <w:bottom w:val="single" w:sz="4" w:space="0" w:color="auto"/>
                    <w:right w:val="nil"/>
                  </w:tcBorders>
                  <w:shd w:val="clear" w:color="000000" w:fill="BDD6EE" w:themeFill="accent1" w:themeFillTint="66"/>
                  <w:vAlign w:val="bottom"/>
                  <w:hideMark/>
                </w:tcPr>
                <w:p w14:paraId="144D2973" w14:textId="77777777" w:rsidR="007C7843" w:rsidRPr="00CA2564" w:rsidRDefault="007C7843" w:rsidP="007C7843">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Výška výdavkov na bývanie vzhľadom k celkovému príjmu</w:t>
                  </w:r>
                </w:p>
              </w:tc>
            </w:tr>
            <w:tr w:rsidR="007C7843" w:rsidRPr="00CA2564" w14:paraId="1041CB69" w14:textId="77777777" w:rsidTr="007C7843">
              <w:trPr>
                <w:trHeight w:val="127"/>
              </w:trPr>
              <w:tc>
                <w:tcPr>
                  <w:tcW w:w="8856" w:type="dxa"/>
                  <w:gridSpan w:val="6"/>
                  <w:tcBorders>
                    <w:top w:val="single" w:sz="4" w:space="0" w:color="auto"/>
                    <w:left w:val="nil"/>
                    <w:bottom w:val="nil"/>
                    <w:right w:val="nil"/>
                  </w:tcBorders>
                  <w:shd w:val="clear" w:color="auto" w:fill="auto"/>
                  <w:noWrap/>
                  <w:vAlign w:val="bottom"/>
                  <w:hideMark/>
                </w:tcPr>
                <w:p w14:paraId="6616B59A" w14:textId="64F960D6" w:rsidR="007C7843" w:rsidRPr="00CA2564" w:rsidRDefault="007C7843">
                  <w:pPr>
                    <w:spacing w:after="0" w:line="240" w:lineRule="auto"/>
                    <w:jc w:val="right"/>
                    <w:rPr>
                      <w:rFonts w:eastAsia="Times New Roman" w:cs="Times New Roman"/>
                      <w:color w:val="000000"/>
                      <w:sz w:val="18"/>
                      <w:szCs w:val="18"/>
                      <w:lang w:eastAsia="sk-SK"/>
                    </w:rPr>
                  </w:pPr>
                  <w:r w:rsidRPr="00CA2564">
                    <w:rPr>
                      <w:rFonts w:eastAsia="Times New Roman" w:cs="Times New Roman"/>
                      <w:color w:val="000000"/>
                      <w:sz w:val="18"/>
                      <w:szCs w:val="18"/>
                      <w:lang w:eastAsia="sk-SK"/>
                    </w:rPr>
                    <w:t xml:space="preserve">Zdroj: </w:t>
                  </w:r>
                  <w:r w:rsidR="00452258">
                    <w:rPr>
                      <w:rFonts w:eastAsia="Times New Roman" w:cs="Times New Roman"/>
                      <w:color w:val="000000"/>
                      <w:sz w:val="18"/>
                      <w:szCs w:val="18"/>
                      <w:lang w:eastAsia="sk-SK"/>
                    </w:rPr>
                    <w:t>Kubala a Peciar</w:t>
                  </w:r>
                  <w:r w:rsidRPr="00CA2564">
                    <w:rPr>
                      <w:rFonts w:eastAsia="Times New Roman" w:cs="Times New Roman"/>
                      <w:color w:val="000000"/>
                      <w:sz w:val="18"/>
                      <w:szCs w:val="18"/>
                      <w:lang w:eastAsia="sk-SK"/>
                    </w:rPr>
                    <w:t>, 2019</w:t>
                  </w:r>
                  <w:r w:rsidR="008B4F73">
                    <w:rPr>
                      <w:rFonts w:eastAsia="Times New Roman" w:cs="Times New Roman"/>
                      <w:color w:val="000000"/>
                      <w:sz w:val="18"/>
                      <w:szCs w:val="18"/>
                      <w:lang w:eastAsia="sk-SK"/>
                    </w:rPr>
                    <w:t>,</w:t>
                  </w:r>
                  <w:r w:rsidRPr="00CA2564">
                    <w:rPr>
                      <w:rFonts w:eastAsia="Times New Roman" w:cs="Times New Roman"/>
                      <w:color w:val="000000"/>
                      <w:sz w:val="18"/>
                      <w:szCs w:val="18"/>
                      <w:lang w:eastAsia="sk-SK"/>
                    </w:rPr>
                    <w:t xml:space="preserve"> ÚHP na základe údajov MPSV ČR</w:t>
                  </w:r>
                  <w:r w:rsidR="00B408B3">
                    <w:rPr>
                      <w:rFonts w:eastAsia="Times New Roman" w:cs="Times New Roman"/>
                      <w:color w:val="000000"/>
                      <w:sz w:val="18"/>
                      <w:szCs w:val="18"/>
                      <w:lang w:eastAsia="sk-SK"/>
                    </w:rPr>
                    <w:t>, Český statistický úřad</w:t>
                  </w:r>
                  <w:r w:rsidR="008B4F73">
                    <w:rPr>
                      <w:rFonts w:eastAsia="Times New Roman" w:cs="Times New Roman"/>
                      <w:color w:val="000000"/>
                      <w:sz w:val="18"/>
                      <w:szCs w:val="18"/>
                      <w:lang w:eastAsia="sk-SK"/>
                    </w:rPr>
                    <w:t xml:space="preserve"> a ECB</w:t>
                  </w:r>
                </w:p>
              </w:tc>
            </w:tr>
          </w:tbl>
          <w:p w14:paraId="4725354A" w14:textId="77777777" w:rsidR="007C7843" w:rsidRPr="00CA2564" w:rsidRDefault="007C7843" w:rsidP="007C7843">
            <w:pPr>
              <w:spacing w:after="0"/>
            </w:pPr>
          </w:p>
          <w:p w14:paraId="797A2FEC" w14:textId="77777777" w:rsidR="007C7843" w:rsidRPr="00CA2564" w:rsidRDefault="007C7843" w:rsidP="007C7843">
            <w:pPr>
              <w:rPr>
                <w:i/>
              </w:rPr>
            </w:pPr>
            <w:r w:rsidRPr="00CA2564">
              <w:rPr>
                <w:i/>
              </w:rPr>
              <w:t>Česká republika</w:t>
            </w:r>
          </w:p>
          <w:p w14:paraId="5F8D5AFB" w14:textId="7E8BDB71" w:rsidR="007C7843" w:rsidRPr="00CA2564" w:rsidRDefault="007C7843" w:rsidP="007C7843">
            <w:r w:rsidRPr="00CA2564">
              <w:t>Príspevok na bývanie v ČR je prístupný pre všetky domácnosti, ktorých náklady na bývanie</w:t>
            </w:r>
            <w:r w:rsidRPr="00CA2564">
              <w:rPr>
                <w:rStyle w:val="Odkaznapoznmkupodiarou"/>
              </w:rPr>
              <w:footnoteReference w:id="477"/>
            </w:r>
            <w:r w:rsidRPr="00CA2564">
              <w:t xml:space="preserve"> presahujú 30 % z celkového príjmu (35% v prípade Prahy). Výška príspevku je v porovnaní s tou na Slovensku výrazne štedrejšia. </w:t>
            </w:r>
            <w:r w:rsidR="003B209A">
              <w:t>J</w:t>
            </w:r>
            <w:r w:rsidRPr="00CA2564">
              <w:t>e flexibilná a pri jej určovaní sa</w:t>
            </w:r>
            <w:r w:rsidR="0070047D">
              <w:t xml:space="preserve"> </w:t>
            </w:r>
            <w:r w:rsidRPr="00CA2564">
              <w:t>zohľadňuje viacero faktorov</w:t>
            </w:r>
            <w:r w:rsidR="003B209A">
              <w:t>,</w:t>
            </w:r>
            <w:r w:rsidRPr="00CA2564">
              <w:t xml:space="preserve"> ako počet členov domácnosti, regionálne rozdiely v cenách nájmu, veľkosť sídla, v ktorom domácnosť býva</w:t>
            </w:r>
            <w:r w:rsidR="003B209A">
              <w:t>,</w:t>
            </w:r>
            <w:r w:rsidRPr="00CA2564">
              <w:t xml:space="preserve"> či vzťah žiadateľa k bývaniu (nájomný alebo vlastnícky). Maximálna suma pre jednotlivca v niektorých prípadoch môže byť aj trojnásobne vyššia ako na Slovensku. </w:t>
            </w:r>
          </w:p>
          <w:p w14:paraId="4CE83EE7" w14:textId="48883DDE" w:rsidR="007C7843" w:rsidRPr="00CA2564" w:rsidRDefault="007C7843" w:rsidP="007C7843">
            <w:r w:rsidRPr="00CA2564">
              <w:t>Okrem príspevku na bývanie je v ČR k dispozícii aj tzv. doplatok na bývanie, ktorý je súčasťou pomoci v hmotnej núdzi. Slúži na doplnenie príjmov domácností, ktoré by aj napriek poberaniu príspevku na bývanie mali po uhradení výdavkov na bývanie nižší príjem ako je životné minimum. Tieto dve dávky sú dostatočne vysoké na pokrytie nájomného pre rodiny s nízkymi príjmami v nájomných byto</w:t>
            </w:r>
            <w:r w:rsidR="002D41BA">
              <w:t>ch</w:t>
            </w:r>
            <w:r w:rsidRPr="00CA2564">
              <w:t xml:space="preserve">, </w:t>
            </w:r>
            <w:r w:rsidR="002D41BA">
              <w:t>ale aj v komerčných ubytovniach.</w:t>
            </w:r>
          </w:p>
          <w:p w14:paraId="04C1F718" w14:textId="74C016C4" w:rsidR="007C7843" w:rsidRPr="00CA2564" w:rsidRDefault="007C7843" w:rsidP="007C7843">
            <w:pPr>
              <w:spacing w:before="160"/>
              <w:rPr>
                <w:bCs/>
              </w:rPr>
            </w:pPr>
            <w:r w:rsidRPr="00CA2564">
              <w:t>Problémovým sa však v tomto smere ukázalo byť konanie niektorých majiteľov ubytovní, ktorí umelo navýšili ceny nájomného s vedomím, že rozdiel klienti pokryjú zvýšeným čerpaním príspevku. V niektorých prípadoch ceny dokonca prevyšovali trhové nájomné v bytoch. Táto prax bola široko kritizovaná a často označovaná ako "obchod s chudobou" (Škobla a kol., 2016</w:t>
            </w:r>
            <w:r w:rsidR="00CD06BE">
              <w:t>b</w:t>
            </w:r>
            <w:r w:rsidRPr="00CA2564">
              <w:t>).</w:t>
            </w:r>
          </w:p>
        </w:tc>
      </w:tr>
    </w:tbl>
    <w:p w14:paraId="244DFC8B" w14:textId="4E04EC40" w:rsidR="007C7843" w:rsidRPr="00CA2564" w:rsidRDefault="007C7843">
      <w:pPr>
        <w:spacing w:after="160"/>
        <w:jc w:val="left"/>
      </w:pPr>
    </w:p>
    <w:p w14:paraId="4DD9F12F" w14:textId="76494C98" w:rsidR="007C7843" w:rsidRPr="00CA2564" w:rsidRDefault="007C7843" w:rsidP="007C7843">
      <w:pPr>
        <w:pStyle w:val="Nadpis1"/>
        <w:rPr>
          <w:noProof/>
        </w:rPr>
      </w:pPr>
      <w:bookmarkStart w:id="1688" w:name="_Ref25227762"/>
      <w:bookmarkStart w:id="1689" w:name="_Ref25233934"/>
      <w:bookmarkStart w:id="1690" w:name="_Ref25310155"/>
      <w:bookmarkStart w:id="1691" w:name="_Ref25313982"/>
      <w:bookmarkStart w:id="1692" w:name="_Ref25315462"/>
      <w:bookmarkStart w:id="1693" w:name="_Ref25315598"/>
      <w:bookmarkStart w:id="1694" w:name="_Ref25757713"/>
      <w:bookmarkStart w:id="1695" w:name="_Toc34657742"/>
      <w:r w:rsidRPr="00CA2564">
        <w:t>Dostupnosť zdravotnej starostlivosti</w:t>
      </w:r>
      <w:bookmarkEnd w:id="1688"/>
      <w:bookmarkEnd w:id="1689"/>
      <w:bookmarkEnd w:id="1690"/>
      <w:bookmarkEnd w:id="1691"/>
      <w:bookmarkEnd w:id="1692"/>
      <w:bookmarkEnd w:id="1693"/>
      <w:bookmarkEnd w:id="1694"/>
      <w:bookmarkEnd w:id="1695"/>
    </w:p>
    <w:p w14:paraId="449E3CCE" w14:textId="58B3C8AD" w:rsidR="000B2714" w:rsidRPr="00CA2564" w:rsidRDefault="00986B76" w:rsidP="000B2714">
      <w:pPr>
        <w:pStyle w:val="Odsekzoznamu"/>
        <w:numPr>
          <w:ilvl w:val="0"/>
          <w:numId w:val="6"/>
        </w:numPr>
        <w:spacing w:before="160"/>
        <w:ind w:left="284" w:hanging="284"/>
        <w:rPr>
          <w:b/>
        </w:rPr>
      </w:pPr>
      <w:bookmarkStart w:id="1696" w:name="_Toc18340958"/>
      <w:r>
        <w:rPr>
          <w:b/>
        </w:rPr>
        <w:t>Ľ</w:t>
      </w:r>
      <w:r w:rsidR="00A6467E">
        <w:rPr>
          <w:b/>
        </w:rPr>
        <w:t>ud</w:t>
      </w:r>
      <w:r>
        <w:rPr>
          <w:b/>
        </w:rPr>
        <w:t>ia</w:t>
      </w:r>
      <w:r w:rsidR="00A6467E">
        <w:rPr>
          <w:b/>
        </w:rPr>
        <w:t xml:space="preserve"> z prostredia</w:t>
      </w:r>
      <w:r w:rsidR="000B2714">
        <w:rPr>
          <w:b/>
        </w:rPr>
        <w:t xml:space="preserve"> MRK a ľud</w:t>
      </w:r>
      <w:r>
        <w:rPr>
          <w:b/>
        </w:rPr>
        <w:t>ia</w:t>
      </w:r>
      <w:r w:rsidR="000B2714">
        <w:rPr>
          <w:b/>
        </w:rPr>
        <w:t xml:space="preserve"> v systéme pomoci v hmotnej núdzi</w:t>
      </w:r>
      <w:r w:rsidR="000B2714" w:rsidRPr="00CA2564">
        <w:rPr>
          <w:b/>
        </w:rPr>
        <w:t xml:space="preserve"> </w:t>
      </w:r>
      <w:r>
        <w:rPr>
          <w:b/>
        </w:rPr>
        <w:t xml:space="preserve">zaznamenávajú </w:t>
      </w:r>
      <w:r w:rsidR="000B2714" w:rsidRPr="00CA2564">
        <w:rPr>
          <w:b/>
        </w:rPr>
        <w:t>výrazne nižši</w:t>
      </w:r>
      <w:r>
        <w:rPr>
          <w:b/>
        </w:rPr>
        <w:t>u</w:t>
      </w:r>
      <w:r w:rsidR="000B2714" w:rsidRPr="00CA2564">
        <w:rPr>
          <w:b/>
        </w:rPr>
        <w:t xml:space="preserve"> očakávan</w:t>
      </w:r>
      <w:r>
        <w:rPr>
          <w:b/>
        </w:rPr>
        <w:t>ú</w:t>
      </w:r>
      <w:r w:rsidR="000B2714" w:rsidRPr="00CA2564">
        <w:rPr>
          <w:b/>
        </w:rPr>
        <w:t xml:space="preserve"> dĺžk</w:t>
      </w:r>
      <w:r>
        <w:rPr>
          <w:b/>
        </w:rPr>
        <w:t>u</w:t>
      </w:r>
      <w:r w:rsidR="000B2714" w:rsidRPr="00CA2564">
        <w:rPr>
          <w:b/>
        </w:rPr>
        <w:t xml:space="preserve"> života</w:t>
      </w:r>
      <w:r w:rsidR="00E74BA4">
        <w:rPr>
          <w:b/>
        </w:rPr>
        <w:t xml:space="preserve"> a</w:t>
      </w:r>
      <w:r w:rsidR="000B2714" w:rsidRPr="00CA2564">
        <w:rPr>
          <w:b/>
        </w:rPr>
        <w:t xml:space="preserve"> vy</w:t>
      </w:r>
      <w:r w:rsidR="00E74BA4">
        <w:rPr>
          <w:b/>
        </w:rPr>
        <w:t>ššiu</w:t>
      </w:r>
      <w:r w:rsidR="000B2714" w:rsidRPr="00CA2564">
        <w:rPr>
          <w:b/>
        </w:rPr>
        <w:t xml:space="preserve"> dojčensk</w:t>
      </w:r>
      <w:r>
        <w:rPr>
          <w:b/>
        </w:rPr>
        <w:t>ú</w:t>
      </w:r>
      <w:r w:rsidR="000B2714" w:rsidRPr="00CA2564">
        <w:rPr>
          <w:b/>
        </w:rPr>
        <w:t xml:space="preserve"> úmrtnosť</w:t>
      </w:r>
      <w:r w:rsidR="001027D9">
        <w:rPr>
          <w:b/>
        </w:rPr>
        <w:t>,</w:t>
      </w:r>
      <w:r w:rsidR="000B2714" w:rsidRPr="00CA2564">
        <w:rPr>
          <w:b/>
        </w:rPr>
        <w:t xml:space="preserve"> </w:t>
      </w:r>
      <w:r w:rsidR="00E74BA4">
        <w:rPr>
          <w:b/>
        </w:rPr>
        <w:t xml:space="preserve">ako je priemer celkovej populácie. V prostredí MRK </w:t>
      </w:r>
      <w:r w:rsidR="00E74BA4" w:rsidRPr="00285121">
        <w:rPr>
          <w:b/>
        </w:rPr>
        <w:t xml:space="preserve">s vekom rýchlejšie rastie podiel osôb, </w:t>
      </w:r>
      <w:r w:rsidR="00E74BA4">
        <w:rPr>
          <w:b/>
        </w:rPr>
        <w:t>ktorým sa poskytuje kompenzácia sociálnych dôsledkov ťažkého zdravotného postihnutia</w:t>
      </w:r>
      <w:r w:rsidR="000B2714" w:rsidRPr="00CA2564">
        <w:rPr>
          <w:b/>
        </w:rPr>
        <w:t>.</w:t>
      </w:r>
    </w:p>
    <w:p w14:paraId="058F9217" w14:textId="66F5CD45" w:rsidR="000B2714" w:rsidRPr="00CA2564" w:rsidRDefault="000B2714" w:rsidP="000B2714">
      <w:pPr>
        <w:pStyle w:val="Odsekzoznamu"/>
        <w:numPr>
          <w:ilvl w:val="0"/>
          <w:numId w:val="6"/>
        </w:numPr>
        <w:spacing w:before="160"/>
        <w:ind w:left="284" w:hanging="284"/>
        <w:rPr>
          <w:b/>
        </w:rPr>
      </w:pPr>
      <w:r w:rsidRPr="00CA2564">
        <w:rPr>
          <w:b/>
        </w:rPr>
        <w:t xml:space="preserve">Napriek </w:t>
      </w:r>
      <w:r w:rsidR="00986B76">
        <w:rPr>
          <w:b/>
        </w:rPr>
        <w:t xml:space="preserve">horšiemu zdravotnému stavu </w:t>
      </w:r>
      <w:r w:rsidRPr="00CA2564">
        <w:rPr>
          <w:b/>
        </w:rPr>
        <w:t xml:space="preserve">spotreba zdravotnej starostlivosti medzi </w:t>
      </w:r>
      <w:r w:rsidR="00A6467E">
        <w:rPr>
          <w:b/>
        </w:rPr>
        <w:t>ľuďmi z prostredia</w:t>
      </w:r>
      <w:r w:rsidRPr="00CA2564">
        <w:rPr>
          <w:b/>
        </w:rPr>
        <w:t xml:space="preserve"> MRK je </w:t>
      </w:r>
      <w:r w:rsidR="00986B76">
        <w:rPr>
          <w:b/>
        </w:rPr>
        <w:t>výrazne podpriemerná</w:t>
      </w:r>
      <w:r w:rsidRPr="00CA2564">
        <w:rPr>
          <w:b/>
        </w:rPr>
        <w:t>, predovšetkým v mladších vekovýc</w:t>
      </w:r>
      <w:r>
        <w:rPr>
          <w:b/>
        </w:rPr>
        <w:t>h skupinách. To naznačuje nižšiu dostupnosť a</w:t>
      </w:r>
      <w:r w:rsidRPr="00CA2564">
        <w:rPr>
          <w:b/>
        </w:rPr>
        <w:t xml:space="preserve"> využívanie preventívnej zdravotnej </w:t>
      </w:r>
      <w:r>
        <w:rPr>
          <w:b/>
        </w:rPr>
        <w:t>starostlivosti, čo potvrdzujú aj prieskumy a údaje o zaočkovanosti detí.</w:t>
      </w:r>
      <w:r w:rsidR="0070047D">
        <w:rPr>
          <w:b/>
        </w:rPr>
        <w:t xml:space="preserve"> </w:t>
      </w:r>
    </w:p>
    <w:p w14:paraId="6FE43B5E" w14:textId="1A389739" w:rsidR="000B2714" w:rsidRPr="00610EDE" w:rsidRDefault="000B2714" w:rsidP="000B2714">
      <w:pPr>
        <w:pStyle w:val="Odsekzoznamu"/>
        <w:numPr>
          <w:ilvl w:val="0"/>
          <w:numId w:val="6"/>
        </w:numPr>
        <w:spacing w:before="160"/>
        <w:ind w:left="284" w:hanging="284"/>
        <w:rPr>
          <w:b/>
        </w:rPr>
      </w:pPr>
      <w:r w:rsidRPr="00CA2564">
        <w:rPr>
          <w:b/>
        </w:rPr>
        <w:t>Medzi prekážky dostupnosti patrí finančná spoluúčasť pacientov</w:t>
      </w:r>
      <w:r>
        <w:rPr>
          <w:b/>
        </w:rPr>
        <w:t xml:space="preserve"> </w:t>
      </w:r>
      <w:r w:rsidRPr="00CA2564">
        <w:rPr>
          <w:b/>
        </w:rPr>
        <w:t>na financovaní zdravotnej starostlivosti</w:t>
      </w:r>
      <w:r>
        <w:rPr>
          <w:b/>
        </w:rPr>
        <w:t xml:space="preserve">. </w:t>
      </w:r>
      <w:r w:rsidRPr="00CA2564">
        <w:rPr>
          <w:b/>
        </w:rPr>
        <w:t>Na rozdiel od väčšiny ostatných krajín OECD na Slovensku úplne absentujú opatrenia na zmiernenie finančnej záťaže v dôsledku nízkeho príjmu</w:t>
      </w:r>
      <w:r>
        <w:rPr>
          <w:b/>
        </w:rPr>
        <w:t>. F</w:t>
      </w:r>
      <w:r w:rsidRPr="00CA2564">
        <w:rPr>
          <w:b/>
        </w:rPr>
        <w:t>yzická dostupnosť zdravotníckych zariadení</w:t>
      </w:r>
      <w:r>
        <w:rPr>
          <w:b/>
        </w:rPr>
        <w:t xml:space="preserve"> (zvlášť gynekologických ambulancií)</w:t>
      </w:r>
      <w:r w:rsidRPr="00CA2564">
        <w:rPr>
          <w:b/>
        </w:rPr>
        <w:t xml:space="preserve"> </w:t>
      </w:r>
      <w:r>
        <w:rPr>
          <w:b/>
        </w:rPr>
        <w:t>je tiež problémová v</w:t>
      </w:r>
      <w:r w:rsidRPr="00CA2564">
        <w:rPr>
          <w:b/>
        </w:rPr>
        <w:t xml:space="preserve"> obciach s početnou </w:t>
      </w:r>
      <w:r w:rsidRPr="00610EDE">
        <w:rPr>
          <w:b/>
        </w:rPr>
        <w:t>populáciou</w:t>
      </w:r>
      <w:r w:rsidR="0038144E">
        <w:rPr>
          <w:b/>
        </w:rPr>
        <w:t xml:space="preserve"> MRK</w:t>
      </w:r>
      <w:r w:rsidRPr="00610EDE">
        <w:rPr>
          <w:b/>
        </w:rPr>
        <w:t>. Vážnou bariérou je tiež úplatkárstvo a diskriminácia Rómov v zdravotníckych zariadeniach</w:t>
      </w:r>
      <w:r>
        <w:rPr>
          <w:b/>
        </w:rPr>
        <w:t>.</w:t>
      </w:r>
    </w:p>
    <w:p w14:paraId="21C67C23" w14:textId="77777777" w:rsidR="000B2714" w:rsidRPr="00BB2DEB" w:rsidRDefault="000B2714" w:rsidP="000B2714">
      <w:pPr>
        <w:pStyle w:val="Odsekzoznamu"/>
        <w:numPr>
          <w:ilvl w:val="0"/>
          <w:numId w:val="6"/>
        </w:numPr>
        <w:spacing w:before="160"/>
        <w:ind w:left="284" w:hanging="284"/>
        <w:rPr>
          <w:b/>
        </w:rPr>
      </w:pPr>
      <w:r w:rsidRPr="00CA2564">
        <w:rPr>
          <w:b/>
        </w:rPr>
        <w:t>Viaceré</w:t>
      </w:r>
      <w:r>
        <w:rPr>
          <w:b/>
        </w:rPr>
        <w:t xml:space="preserve"> rozvojové</w:t>
      </w:r>
      <w:r w:rsidRPr="00CA2564">
        <w:rPr>
          <w:b/>
        </w:rPr>
        <w:t xml:space="preserve"> krajiny úspešne </w:t>
      </w:r>
      <w:r>
        <w:rPr>
          <w:b/>
        </w:rPr>
        <w:t>podporujú dopyt po preventívnej starostlivosti v prostredí generačnej chudoby prostredníctvom</w:t>
      </w:r>
      <w:r w:rsidRPr="00CA2564">
        <w:rPr>
          <w:b/>
        </w:rPr>
        <w:t xml:space="preserve"> podmienených finančných transferov, ktoré </w:t>
      </w:r>
      <w:r>
        <w:rPr>
          <w:b/>
        </w:rPr>
        <w:t>kompenzujú náklady spojené s návštevou lekára. Ide o</w:t>
      </w:r>
      <w:r w:rsidRPr="00CA2564">
        <w:rPr>
          <w:b/>
        </w:rPr>
        <w:t xml:space="preserve"> </w:t>
      </w:r>
      <w:r>
        <w:rPr>
          <w:b/>
        </w:rPr>
        <w:t>dôležitú</w:t>
      </w:r>
      <w:r w:rsidRPr="00CA2564">
        <w:rPr>
          <w:b/>
        </w:rPr>
        <w:t xml:space="preserve"> súčasť investície d</w:t>
      </w:r>
      <w:r>
        <w:rPr>
          <w:b/>
        </w:rPr>
        <w:t>o zdravia chudobných obyvateľov, ktorá sa vracia v podobe nižšej chorobnosti a výskytu akútnych zdravotných problémov.</w:t>
      </w:r>
    </w:p>
    <w:p w14:paraId="2F77D1FD" w14:textId="4894C8D4" w:rsidR="000B2714" w:rsidRPr="005161FA" w:rsidRDefault="000B2714" w:rsidP="000B2714">
      <w:pPr>
        <w:pStyle w:val="Odsekzoznamu"/>
        <w:numPr>
          <w:ilvl w:val="0"/>
          <w:numId w:val="6"/>
        </w:numPr>
        <w:spacing w:before="160"/>
        <w:ind w:left="284" w:hanging="284"/>
        <w:rPr>
          <w:b/>
        </w:rPr>
      </w:pPr>
      <w:r w:rsidRPr="00CA2564">
        <w:rPr>
          <w:b/>
        </w:rPr>
        <w:t xml:space="preserve">Revízia navrhuje opatrenia zamerané na zníženie finančných bariér prístupu k zdravotnej starostlivosti </w:t>
      </w:r>
      <w:r w:rsidR="00E053F3">
        <w:rPr>
          <w:b/>
        </w:rPr>
        <w:t>a</w:t>
      </w:r>
      <w:r w:rsidRPr="00CA2564">
        <w:rPr>
          <w:b/>
        </w:rPr>
        <w:t xml:space="preserve"> zlepšenie pripravenosti zdravotného personálu pre prácu s</w:t>
      </w:r>
      <w:r w:rsidR="00E053F3">
        <w:rPr>
          <w:b/>
        </w:rPr>
        <w:t xml:space="preserve"> príslušníkmi </w:t>
      </w:r>
      <w:r w:rsidRPr="00CA2564">
        <w:rPr>
          <w:b/>
        </w:rPr>
        <w:t>MRK</w:t>
      </w:r>
      <w:r w:rsidR="00E053F3">
        <w:rPr>
          <w:b/>
        </w:rPr>
        <w:t xml:space="preserve">. V kapitole </w:t>
      </w:r>
      <w:r w:rsidR="002719DA">
        <w:rPr>
          <w:b/>
        </w:rPr>
        <w:fldChar w:fldCharType="begin"/>
      </w:r>
      <w:r w:rsidR="002719DA">
        <w:rPr>
          <w:b/>
        </w:rPr>
        <w:instrText xml:space="preserve"> REF _Ref25321690 \r \h </w:instrText>
      </w:r>
      <w:r w:rsidR="002719DA">
        <w:rPr>
          <w:b/>
        </w:rPr>
      </w:r>
      <w:r w:rsidR="002719DA">
        <w:rPr>
          <w:b/>
        </w:rPr>
        <w:fldChar w:fldCharType="separate"/>
      </w:r>
      <w:r w:rsidR="00FA29AF">
        <w:rPr>
          <w:b/>
        </w:rPr>
        <w:t>11</w:t>
      </w:r>
      <w:r w:rsidR="002719DA">
        <w:rPr>
          <w:b/>
        </w:rPr>
        <w:fldChar w:fldCharType="end"/>
      </w:r>
      <w:r w:rsidR="002719DA">
        <w:rPr>
          <w:b/>
        </w:rPr>
        <w:t xml:space="preserve"> </w:t>
      </w:r>
      <w:r w:rsidR="005C5859">
        <w:rPr>
          <w:b/>
        </w:rPr>
        <w:t>je </w:t>
      </w:r>
      <w:r w:rsidR="00E053F3">
        <w:rPr>
          <w:b/>
        </w:rPr>
        <w:t>navrhnuté opatrenie pre</w:t>
      </w:r>
      <w:r w:rsidRPr="00CA2564">
        <w:rPr>
          <w:b/>
        </w:rPr>
        <w:t> zabezpečenie dlhodobej udržateľnosti osvetových aktivít a zdravotnej mediácie v prostredí MRK.</w:t>
      </w:r>
    </w:p>
    <w:p w14:paraId="50F513C4" w14:textId="4A9134F8" w:rsidR="007C7843" w:rsidRPr="00CA2564" w:rsidRDefault="007C7843" w:rsidP="007C7843">
      <w:pPr>
        <w:pStyle w:val="Nadpis2"/>
      </w:pPr>
      <w:bookmarkStart w:id="1697" w:name="_Toc34657743"/>
      <w:r w:rsidRPr="00CA2564">
        <w:t>Zdravotný stav sociálne znevýhodnených ľudí</w:t>
      </w:r>
      <w:bookmarkEnd w:id="1696"/>
      <w:bookmarkEnd w:id="1697"/>
    </w:p>
    <w:p w14:paraId="65041793" w14:textId="28C594E9" w:rsidR="007C7843" w:rsidRPr="00CA2564" w:rsidRDefault="007C7843" w:rsidP="007C7843">
      <w:pPr>
        <w:spacing w:before="160"/>
      </w:pPr>
      <w:r w:rsidRPr="00CA2564">
        <w:rPr>
          <w:b/>
        </w:rPr>
        <w:t xml:space="preserve">Očakávaná dĺžka života pri narodení je podstatne nižšia v skupinách čeliacich nepriaznivej sociálnej situácii ako vo zvyšku populácie, čo naznačuje výrazné rozdiely v priemernom zdravotnom stave. </w:t>
      </w:r>
      <w:r w:rsidRPr="00CA2564">
        <w:t>Kým priemerná očakávaná dĺžka života v roku 2015 bola v celkovej populácii 76 rokov, ľudia v systéme PHN sa dožívali v priemere o sedem rokov menej (</w:t>
      </w:r>
      <w:r w:rsidRPr="00CA2564">
        <w:fldChar w:fldCharType="begin"/>
      </w:r>
      <w:r w:rsidRPr="00CA2564">
        <w:instrText xml:space="preserve"> REF _Ref521655986 \h  \* MERGEFORMAT </w:instrText>
      </w:r>
      <w:r w:rsidRPr="00CA2564">
        <w:fldChar w:fldCharType="separate"/>
      </w:r>
      <w:r w:rsidR="00FA29AF" w:rsidRPr="00FA29AF">
        <w:rPr>
          <w:szCs w:val="22"/>
        </w:rPr>
        <w:t xml:space="preserve">Tabuľka </w:t>
      </w:r>
      <w:r w:rsidR="00FA29AF" w:rsidRPr="00FA29AF">
        <w:rPr>
          <w:noProof/>
          <w:szCs w:val="22"/>
        </w:rPr>
        <w:t>29</w:t>
      </w:r>
      <w:r w:rsidRPr="00CA2564">
        <w:fldChar w:fldCharType="end"/>
      </w:r>
      <w:r w:rsidRPr="00CA2564">
        <w:t>). Aj po zohľadnení PHN, príslušnosť k MRK je spojená s nižšou očakávanou mierou dožitia. Ľudia v systéme PHN žijúci v MRK sa dožívajú v priemere iba 68 rokov, čo je menej ako priemerná miera dožitia celkovej populácie Slovenska v roku 1960</w:t>
      </w:r>
      <w:r w:rsidRPr="00CA2564">
        <w:rPr>
          <w:rStyle w:val="Odkaznapoznmkupodiarou"/>
        </w:rPr>
        <w:footnoteReference w:id="478"/>
      </w:r>
      <w:r w:rsidRPr="00CA2564">
        <w:t xml:space="preserve"> a zhruba na úrovni populácie dnešnej Kambodže, Bolívie alebo Východného Timoru.</w:t>
      </w:r>
      <w:r w:rsidRPr="00CA2564">
        <w:rPr>
          <w:rStyle w:val="Odkaznapoznmkupodiarou"/>
        </w:rPr>
        <w:footnoteReference w:id="479"/>
      </w:r>
      <w:r w:rsidRPr="00CA2564">
        <w:t xml:space="preserve"> </w:t>
      </w:r>
      <w:r w:rsidRPr="00CA2564">
        <w:rPr>
          <w:b/>
        </w:rPr>
        <w:t>Zlý zdravotný stav sociálne znevýhodnených skupín prispieva k ich sociálnemu vylúčeniu v iných oblastiach, pretože znižuj</w:t>
      </w:r>
      <w:r w:rsidR="005C5859">
        <w:rPr>
          <w:b/>
        </w:rPr>
        <w:t>e šance uspieť vo vzdelávaní či </w:t>
      </w:r>
      <w:r w:rsidRPr="00CA2564">
        <w:rPr>
          <w:b/>
        </w:rPr>
        <w:t>na trhu práce.</w:t>
      </w:r>
    </w:p>
    <w:p w14:paraId="69094648" w14:textId="77777777" w:rsidR="007C7843" w:rsidRPr="00EA36CA" w:rsidRDefault="007C7843" w:rsidP="00EA36CA">
      <w:pPr>
        <w:spacing w:after="0"/>
        <w:rPr>
          <w:b/>
          <w:sz w:val="20"/>
        </w:rPr>
      </w:pPr>
      <w:bookmarkStart w:id="1698" w:name="_Ref521655986"/>
      <w:bookmarkStart w:id="1699" w:name="_Toc17469487"/>
      <w:bookmarkStart w:id="1700" w:name="_Toc34156868"/>
      <w:r w:rsidRPr="00EA36CA">
        <w:rPr>
          <w:b/>
          <w:sz w:val="20"/>
        </w:rPr>
        <w:t xml:space="preserve">Tabuľka </w:t>
      </w:r>
      <w:r w:rsidRPr="00EA36CA">
        <w:rPr>
          <w:b/>
          <w:noProof/>
          <w:sz w:val="20"/>
        </w:rPr>
        <w:fldChar w:fldCharType="begin"/>
      </w:r>
      <w:r w:rsidRPr="00EA36CA">
        <w:rPr>
          <w:b/>
          <w:noProof/>
          <w:sz w:val="20"/>
        </w:rPr>
        <w:instrText xml:space="preserve"> SEQ Tabuľka \* ARABIC </w:instrText>
      </w:r>
      <w:r w:rsidRPr="00EA36CA">
        <w:rPr>
          <w:b/>
          <w:noProof/>
          <w:sz w:val="20"/>
        </w:rPr>
        <w:fldChar w:fldCharType="separate"/>
      </w:r>
      <w:r w:rsidR="00FA29AF">
        <w:rPr>
          <w:b/>
          <w:noProof/>
          <w:sz w:val="20"/>
        </w:rPr>
        <w:t>29</w:t>
      </w:r>
      <w:r w:rsidRPr="00EA36CA">
        <w:rPr>
          <w:b/>
          <w:noProof/>
          <w:sz w:val="20"/>
        </w:rPr>
        <w:fldChar w:fldCharType="end"/>
      </w:r>
      <w:bookmarkEnd w:id="1698"/>
      <w:r w:rsidRPr="00EA36CA">
        <w:rPr>
          <w:b/>
          <w:sz w:val="20"/>
        </w:rPr>
        <w:t>: Očakávaná dĺžka dožitia pri narodení, 2015</w:t>
      </w:r>
      <w:bookmarkEnd w:id="1699"/>
      <w:bookmarkEnd w:id="1700"/>
    </w:p>
    <w:tbl>
      <w:tblPr>
        <w:tblW w:w="9072" w:type="dxa"/>
        <w:tblLayout w:type="fixed"/>
        <w:tblCellMar>
          <w:left w:w="70" w:type="dxa"/>
          <w:right w:w="70" w:type="dxa"/>
        </w:tblCellMar>
        <w:tblLook w:val="04A0" w:firstRow="1" w:lastRow="0" w:firstColumn="1" w:lastColumn="0" w:noHBand="0" w:noVBand="1"/>
      </w:tblPr>
      <w:tblGrid>
        <w:gridCol w:w="2835"/>
        <w:gridCol w:w="2079"/>
        <w:gridCol w:w="2079"/>
        <w:gridCol w:w="2079"/>
      </w:tblGrid>
      <w:tr w:rsidR="007C7843" w:rsidRPr="00CA2564" w14:paraId="78D15354" w14:textId="77777777" w:rsidTr="007C7843">
        <w:trPr>
          <w:trHeight w:val="330"/>
        </w:trPr>
        <w:tc>
          <w:tcPr>
            <w:tcW w:w="2835" w:type="dxa"/>
            <w:tcBorders>
              <w:top w:val="single" w:sz="4" w:space="0" w:color="auto"/>
              <w:left w:val="nil"/>
              <w:bottom w:val="single" w:sz="4" w:space="0" w:color="auto"/>
              <w:right w:val="nil"/>
            </w:tcBorders>
            <w:shd w:val="clear" w:color="000000" w:fill="FFFFFF"/>
            <w:noWrap/>
            <w:vAlign w:val="center"/>
            <w:hideMark/>
          </w:tcPr>
          <w:p w14:paraId="23DA16DE" w14:textId="77777777" w:rsidR="007C7843" w:rsidRPr="00CA2564" w:rsidRDefault="007C7843" w:rsidP="007C7843">
            <w:pPr>
              <w:spacing w:after="0"/>
              <w:jc w:val="center"/>
              <w:rPr>
                <w:rFonts w:eastAsia="Times New Roman" w:cs="Times New Roman"/>
                <w:color w:val="000000"/>
                <w:sz w:val="20"/>
                <w:lang w:eastAsia="sk-SK"/>
              </w:rPr>
            </w:pPr>
          </w:p>
        </w:tc>
        <w:tc>
          <w:tcPr>
            <w:tcW w:w="2079" w:type="dxa"/>
            <w:tcBorders>
              <w:top w:val="single" w:sz="4" w:space="0" w:color="auto"/>
              <w:left w:val="nil"/>
              <w:bottom w:val="single" w:sz="4" w:space="0" w:color="auto"/>
              <w:right w:val="nil"/>
            </w:tcBorders>
            <w:shd w:val="clear" w:color="000000" w:fill="FFFFFF"/>
            <w:noWrap/>
            <w:vAlign w:val="center"/>
            <w:hideMark/>
          </w:tcPr>
          <w:p w14:paraId="00AC0CE8" w14:textId="77777777" w:rsidR="007C7843" w:rsidRPr="00CA2564" w:rsidRDefault="007C7843" w:rsidP="007C7843">
            <w:pPr>
              <w:spacing w:after="0"/>
              <w:jc w:val="center"/>
              <w:rPr>
                <w:rFonts w:eastAsia="Times New Roman" w:cs="Times New Roman"/>
                <w:b/>
                <w:bCs/>
                <w:color w:val="000000"/>
                <w:sz w:val="20"/>
                <w:lang w:eastAsia="sk-SK"/>
              </w:rPr>
            </w:pPr>
            <w:r w:rsidRPr="00CA2564">
              <w:rPr>
                <w:rFonts w:eastAsia="Times New Roman" w:cs="Times New Roman"/>
                <w:b/>
                <w:bCs/>
                <w:color w:val="000000"/>
                <w:sz w:val="20"/>
                <w:lang w:eastAsia="sk-SK"/>
              </w:rPr>
              <w:t>MRK</w:t>
            </w:r>
          </w:p>
        </w:tc>
        <w:tc>
          <w:tcPr>
            <w:tcW w:w="2079" w:type="dxa"/>
            <w:tcBorders>
              <w:top w:val="single" w:sz="4" w:space="0" w:color="auto"/>
              <w:left w:val="nil"/>
              <w:bottom w:val="single" w:sz="4" w:space="0" w:color="auto"/>
              <w:right w:val="nil"/>
            </w:tcBorders>
            <w:shd w:val="clear" w:color="000000" w:fill="FFFFFF"/>
            <w:noWrap/>
            <w:vAlign w:val="center"/>
            <w:hideMark/>
          </w:tcPr>
          <w:p w14:paraId="6377D3FB" w14:textId="77777777" w:rsidR="007C7843" w:rsidRPr="00CA2564" w:rsidRDefault="007C7843" w:rsidP="007C7843">
            <w:pPr>
              <w:spacing w:after="0"/>
              <w:jc w:val="center"/>
              <w:rPr>
                <w:rFonts w:eastAsia="Times New Roman" w:cs="Times New Roman"/>
                <w:b/>
                <w:bCs/>
                <w:color w:val="000000"/>
                <w:sz w:val="20"/>
                <w:lang w:eastAsia="sk-SK"/>
              </w:rPr>
            </w:pPr>
            <w:r w:rsidRPr="00CA2564">
              <w:rPr>
                <w:rFonts w:eastAsia="Times New Roman" w:cs="Times New Roman"/>
                <w:b/>
                <w:bCs/>
                <w:color w:val="000000"/>
                <w:sz w:val="20"/>
                <w:lang w:eastAsia="sk-SK"/>
              </w:rPr>
              <w:t>mimo MRK</w:t>
            </w:r>
          </w:p>
        </w:tc>
        <w:tc>
          <w:tcPr>
            <w:tcW w:w="2079" w:type="dxa"/>
            <w:tcBorders>
              <w:top w:val="single" w:sz="4" w:space="0" w:color="auto"/>
              <w:left w:val="nil"/>
              <w:bottom w:val="single" w:sz="4" w:space="0" w:color="auto"/>
              <w:right w:val="nil"/>
            </w:tcBorders>
            <w:shd w:val="clear" w:color="000000" w:fill="FFFFFF"/>
            <w:noWrap/>
            <w:vAlign w:val="center"/>
            <w:hideMark/>
          </w:tcPr>
          <w:p w14:paraId="070C2AC4" w14:textId="77777777" w:rsidR="007C7843" w:rsidRPr="00CA2564" w:rsidRDefault="007C7843" w:rsidP="007C7843">
            <w:pPr>
              <w:spacing w:after="0"/>
              <w:jc w:val="center"/>
              <w:rPr>
                <w:rFonts w:eastAsia="Times New Roman" w:cs="Times New Roman"/>
                <w:b/>
                <w:bCs/>
                <w:color w:val="000000"/>
                <w:sz w:val="20"/>
                <w:lang w:eastAsia="sk-SK"/>
              </w:rPr>
            </w:pPr>
            <w:r w:rsidRPr="00CA2564">
              <w:rPr>
                <w:rFonts w:eastAsia="Times New Roman" w:cs="Times New Roman"/>
                <w:b/>
                <w:bCs/>
                <w:color w:val="000000"/>
                <w:sz w:val="20"/>
                <w:lang w:eastAsia="sk-SK"/>
              </w:rPr>
              <w:t>Celkom</w:t>
            </w:r>
          </w:p>
        </w:tc>
      </w:tr>
      <w:tr w:rsidR="007C7843" w:rsidRPr="00CA2564" w14:paraId="166A6DDA" w14:textId="77777777" w:rsidTr="007C7843">
        <w:trPr>
          <w:trHeight w:val="330"/>
        </w:trPr>
        <w:tc>
          <w:tcPr>
            <w:tcW w:w="2835" w:type="dxa"/>
            <w:tcBorders>
              <w:top w:val="nil"/>
              <w:left w:val="nil"/>
              <w:bottom w:val="nil"/>
              <w:right w:val="nil"/>
            </w:tcBorders>
            <w:shd w:val="clear" w:color="000000" w:fill="FFFFFF"/>
            <w:noWrap/>
            <w:vAlign w:val="center"/>
            <w:hideMark/>
          </w:tcPr>
          <w:p w14:paraId="1176AB37" w14:textId="77777777" w:rsidR="007C7843" w:rsidRPr="00CA2564" w:rsidRDefault="007C7843" w:rsidP="007C7843">
            <w:pPr>
              <w:spacing w:after="0"/>
              <w:jc w:val="left"/>
              <w:rPr>
                <w:rFonts w:eastAsia="Times New Roman" w:cs="Times New Roman"/>
                <w:b/>
                <w:bCs/>
                <w:color w:val="000000"/>
                <w:sz w:val="20"/>
                <w:lang w:eastAsia="sk-SK"/>
              </w:rPr>
            </w:pPr>
            <w:r w:rsidRPr="00CA2564">
              <w:rPr>
                <w:rFonts w:eastAsia="Times New Roman" w:cs="Times New Roman"/>
                <w:b/>
                <w:bCs/>
                <w:color w:val="000000"/>
                <w:sz w:val="20"/>
                <w:lang w:eastAsia="sk-SK"/>
              </w:rPr>
              <w:t>PHN</w:t>
            </w:r>
          </w:p>
        </w:tc>
        <w:tc>
          <w:tcPr>
            <w:tcW w:w="2079" w:type="dxa"/>
            <w:tcBorders>
              <w:top w:val="nil"/>
              <w:left w:val="nil"/>
              <w:bottom w:val="nil"/>
              <w:right w:val="nil"/>
            </w:tcBorders>
            <w:shd w:val="clear" w:color="000000" w:fill="FFFFFF"/>
            <w:noWrap/>
            <w:vAlign w:val="center"/>
            <w:hideMark/>
          </w:tcPr>
          <w:p w14:paraId="10930D76" w14:textId="77777777" w:rsidR="007C7843" w:rsidRPr="00CA2564" w:rsidRDefault="007C7843" w:rsidP="007C7843">
            <w:pPr>
              <w:spacing w:after="0"/>
              <w:jc w:val="right"/>
              <w:rPr>
                <w:rFonts w:eastAsia="Times New Roman" w:cs="Times New Roman"/>
                <w:color w:val="000000"/>
                <w:sz w:val="20"/>
                <w:lang w:eastAsia="sk-SK"/>
              </w:rPr>
            </w:pPr>
            <w:r w:rsidRPr="00CA2564">
              <w:rPr>
                <w:rFonts w:eastAsia="Times New Roman" w:cs="Times New Roman"/>
                <w:color w:val="000000"/>
                <w:sz w:val="20"/>
                <w:lang w:eastAsia="sk-SK"/>
              </w:rPr>
              <w:t>67,7</w:t>
            </w:r>
          </w:p>
        </w:tc>
        <w:tc>
          <w:tcPr>
            <w:tcW w:w="2079" w:type="dxa"/>
            <w:tcBorders>
              <w:top w:val="nil"/>
              <w:left w:val="nil"/>
              <w:bottom w:val="nil"/>
              <w:right w:val="nil"/>
            </w:tcBorders>
            <w:shd w:val="clear" w:color="000000" w:fill="FFFFFF"/>
            <w:noWrap/>
            <w:vAlign w:val="center"/>
            <w:hideMark/>
          </w:tcPr>
          <w:p w14:paraId="74782F59" w14:textId="77777777" w:rsidR="007C7843" w:rsidRPr="00CA2564" w:rsidRDefault="007C7843" w:rsidP="007C7843">
            <w:pPr>
              <w:spacing w:after="0"/>
              <w:jc w:val="right"/>
              <w:rPr>
                <w:rFonts w:eastAsia="Times New Roman" w:cs="Times New Roman"/>
                <w:color w:val="000000"/>
                <w:sz w:val="20"/>
                <w:lang w:eastAsia="sk-SK"/>
              </w:rPr>
            </w:pPr>
            <w:r w:rsidRPr="00CA2564">
              <w:rPr>
                <w:rFonts w:eastAsia="Times New Roman" w:cs="Times New Roman"/>
                <w:color w:val="000000"/>
                <w:sz w:val="20"/>
                <w:lang w:eastAsia="sk-SK"/>
              </w:rPr>
              <w:t>69,7</w:t>
            </w:r>
          </w:p>
        </w:tc>
        <w:tc>
          <w:tcPr>
            <w:tcW w:w="2079" w:type="dxa"/>
            <w:tcBorders>
              <w:top w:val="nil"/>
              <w:left w:val="nil"/>
              <w:bottom w:val="nil"/>
              <w:right w:val="nil"/>
            </w:tcBorders>
            <w:shd w:val="clear" w:color="000000" w:fill="FFFFFF"/>
            <w:noWrap/>
            <w:vAlign w:val="center"/>
            <w:hideMark/>
          </w:tcPr>
          <w:p w14:paraId="41BD4E1C" w14:textId="77777777" w:rsidR="007C7843" w:rsidRPr="00CA2564" w:rsidRDefault="007C7843" w:rsidP="007C7843">
            <w:pPr>
              <w:spacing w:after="0"/>
              <w:jc w:val="right"/>
              <w:rPr>
                <w:rFonts w:eastAsia="Times New Roman" w:cs="Times New Roman"/>
                <w:color w:val="000000"/>
                <w:sz w:val="20"/>
                <w:lang w:eastAsia="sk-SK"/>
              </w:rPr>
            </w:pPr>
            <w:r w:rsidRPr="00CA2564">
              <w:rPr>
                <w:rFonts w:eastAsia="Times New Roman" w:cs="Times New Roman"/>
                <w:color w:val="000000"/>
                <w:sz w:val="20"/>
                <w:lang w:eastAsia="sk-SK"/>
              </w:rPr>
              <w:t>69,3</w:t>
            </w:r>
          </w:p>
        </w:tc>
      </w:tr>
      <w:tr w:rsidR="007C7843" w:rsidRPr="00CA2564" w14:paraId="4DFA3100" w14:textId="77777777" w:rsidTr="007C7843">
        <w:trPr>
          <w:trHeight w:val="330"/>
        </w:trPr>
        <w:tc>
          <w:tcPr>
            <w:tcW w:w="2835" w:type="dxa"/>
            <w:tcBorders>
              <w:top w:val="nil"/>
              <w:left w:val="nil"/>
              <w:bottom w:val="nil"/>
              <w:right w:val="nil"/>
            </w:tcBorders>
            <w:shd w:val="clear" w:color="000000" w:fill="FFFFFF"/>
            <w:noWrap/>
            <w:vAlign w:val="center"/>
            <w:hideMark/>
          </w:tcPr>
          <w:p w14:paraId="0C050A55" w14:textId="77777777" w:rsidR="007C7843" w:rsidRPr="00CA2564" w:rsidRDefault="007C7843" w:rsidP="007C7843">
            <w:pPr>
              <w:spacing w:after="0"/>
              <w:jc w:val="left"/>
              <w:rPr>
                <w:rFonts w:eastAsia="Times New Roman" w:cs="Times New Roman"/>
                <w:b/>
                <w:bCs/>
                <w:color w:val="000000"/>
                <w:sz w:val="20"/>
                <w:lang w:eastAsia="sk-SK"/>
              </w:rPr>
            </w:pPr>
            <w:r w:rsidRPr="00CA2564">
              <w:rPr>
                <w:rFonts w:eastAsia="Times New Roman" w:cs="Times New Roman"/>
                <w:b/>
                <w:bCs/>
                <w:color w:val="000000"/>
                <w:sz w:val="20"/>
                <w:lang w:eastAsia="sk-SK"/>
              </w:rPr>
              <w:t>mimo PHN</w:t>
            </w:r>
          </w:p>
        </w:tc>
        <w:tc>
          <w:tcPr>
            <w:tcW w:w="2079" w:type="dxa"/>
            <w:tcBorders>
              <w:top w:val="nil"/>
              <w:left w:val="nil"/>
              <w:bottom w:val="nil"/>
              <w:right w:val="nil"/>
            </w:tcBorders>
            <w:shd w:val="clear" w:color="000000" w:fill="FFFFFF"/>
            <w:noWrap/>
            <w:vAlign w:val="center"/>
            <w:hideMark/>
          </w:tcPr>
          <w:p w14:paraId="386A12F4" w14:textId="77777777" w:rsidR="007C7843" w:rsidRPr="00CA2564" w:rsidRDefault="007C7843" w:rsidP="007C7843">
            <w:pPr>
              <w:spacing w:after="0"/>
              <w:jc w:val="right"/>
              <w:rPr>
                <w:rFonts w:eastAsia="Times New Roman" w:cs="Times New Roman"/>
                <w:color w:val="000000"/>
                <w:sz w:val="20"/>
                <w:lang w:eastAsia="sk-SK"/>
              </w:rPr>
            </w:pPr>
            <w:r w:rsidRPr="00CA2564">
              <w:rPr>
                <w:rFonts w:eastAsia="Times New Roman" w:cs="Times New Roman"/>
                <w:color w:val="000000"/>
                <w:sz w:val="20"/>
                <w:lang w:eastAsia="sk-SK"/>
              </w:rPr>
              <w:t>70,3</w:t>
            </w:r>
          </w:p>
        </w:tc>
        <w:tc>
          <w:tcPr>
            <w:tcW w:w="2079" w:type="dxa"/>
            <w:tcBorders>
              <w:top w:val="nil"/>
              <w:left w:val="nil"/>
              <w:bottom w:val="nil"/>
              <w:right w:val="nil"/>
            </w:tcBorders>
            <w:shd w:val="clear" w:color="000000" w:fill="FFFFFF"/>
            <w:noWrap/>
            <w:vAlign w:val="center"/>
            <w:hideMark/>
          </w:tcPr>
          <w:p w14:paraId="5865FDB2" w14:textId="77777777" w:rsidR="007C7843" w:rsidRPr="00CA2564" w:rsidRDefault="007C7843" w:rsidP="007C7843">
            <w:pPr>
              <w:spacing w:after="0"/>
              <w:jc w:val="right"/>
              <w:rPr>
                <w:rFonts w:eastAsia="Times New Roman" w:cs="Times New Roman"/>
                <w:color w:val="000000"/>
                <w:sz w:val="20"/>
                <w:lang w:eastAsia="sk-SK"/>
              </w:rPr>
            </w:pPr>
            <w:r w:rsidRPr="00CA2564">
              <w:rPr>
                <w:rFonts w:eastAsia="Times New Roman" w:cs="Times New Roman"/>
                <w:color w:val="000000"/>
                <w:sz w:val="20"/>
                <w:lang w:eastAsia="sk-SK"/>
              </w:rPr>
              <w:t>76,7</w:t>
            </w:r>
          </w:p>
        </w:tc>
        <w:tc>
          <w:tcPr>
            <w:tcW w:w="2079" w:type="dxa"/>
            <w:tcBorders>
              <w:top w:val="nil"/>
              <w:left w:val="nil"/>
              <w:bottom w:val="nil"/>
              <w:right w:val="nil"/>
            </w:tcBorders>
            <w:shd w:val="clear" w:color="000000" w:fill="FFFFFF"/>
            <w:noWrap/>
            <w:vAlign w:val="center"/>
            <w:hideMark/>
          </w:tcPr>
          <w:p w14:paraId="5BC27472" w14:textId="77777777" w:rsidR="007C7843" w:rsidRPr="00CA2564" w:rsidRDefault="007C7843" w:rsidP="007C7843">
            <w:pPr>
              <w:spacing w:after="0"/>
              <w:jc w:val="right"/>
              <w:rPr>
                <w:rFonts w:eastAsia="Times New Roman" w:cs="Times New Roman"/>
                <w:color w:val="000000"/>
                <w:sz w:val="20"/>
                <w:lang w:eastAsia="sk-SK"/>
              </w:rPr>
            </w:pPr>
            <w:r w:rsidRPr="00CA2564">
              <w:rPr>
                <w:rFonts w:eastAsia="Times New Roman" w:cs="Times New Roman"/>
                <w:color w:val="000000"/>
                <w:sz w:val="20"/>
                <w:lang w:eastAsia="sk-SK"/>
              </w:rPr>
              <w:t>76,5</w:t>
            </w:r>
          </w:p>
        </w:tc>
      </w:tr>
      <w:tr w:rsidR="007C7843" w:rsidRPr="00CA2564" w14:paraId="11C7460A" w14:textId="77777777" w:rsidTr="007C7843">
        <w:trPr>
          <w:trHeight w:val="330"/>
        </w:trPr>
        <w:tc>
          <w:tcPr>
            <w:tcW w:w="2835" w:type="dxa"/>
            <w:tcBorders>
              <w:top w:val="nil"/>
              <w:left w:val="nil"/>
              <w:bottom w:val="single" w:sz="4" w:space="0" w:color="auto"/>
              <w:right w:val="nil"/>
            </w:tcBorders>
            <w:shd w:val="clear" w:color="000000" w:fill="FFFFFF"/>
            <w:noWrap/>
            <w:vAlign w:val="center"/>
            <w:hideMark/>
          </w:tcPr>
          <w:p w14:paraId="1236A2F2" w14:textId="77777777" w:rsidR="007C7843" w:rsidRPr="00CA2564" w:rsidRDefault="007C7843" w:rsidP="007C7843">
            <w:pPr>
              <w:spacing w:after="0"/>
              <w:jc w:val="left"/>
              <w:rPr>
                <w:rFonts w:eastAsia="Times New Roman" w:cs="Times New Roman"/>
                <w:b/>
                <w:bCs/>
                <w:color w:val="000000"/>
                <w:sz w:val="20"/>
                <w:lang w:eastAsia="sk-SK"/>
              </w:rPr>
            </w:pPr>
            <w:r w:rsidRPr="00CA2564">
              <w:rPr>
                <w:rFonts w:eastAsia="Times New Roman" w:cs="Times New Roman"/>
                <w:b/>
                <w:bCs/>
                <w:color w:val="000000"/>
                <w:sz w:val="20"/>
                <w:lang w:eastAsia="sk-SK"/>
              </w:rPr>
              <w:t>Celkom</w:t>
            </w:r>
          </w:p>
        </w:tc>
        <w:tc>
          <w:tcPr>
            <w:tcW w:w="2079" w:type="dxa"/>
            <w:tcBorders>
              <w:top w:val="nil"/>
              <w:left w:val="nil"/>
              <w:bottom w:val="single" w:sz="4" w:space="0" w:color="auto"/>
              <w:right w:val="nil"/>
            </w:tcBorders>
            <w:shd w:val="clear" w:color="000000" w:fill="FFFFFF"/>
            <w:noWrap/>
            <w:vAlign w:val="center"/>
            <w:hideMark/>
          </w:tcPr>
          <w:p w14:paraId="5515DE80" w14:textId="77777777" w:rsidR="007C7843" w:rsidRPr="00CA2564" w:rsidRDefault="007C7843" w:rsidP="007C7843">
            <w:pPr>
              <w:spacing w:after="0"/>
              <w:jc w:val="right"/>
              <w:rPr>
                <w:rFonts w:eastAsia="Times New Roman" w:cs="Times New Roman"/>
                <w:color w:val="000000"/>
                <w:sz w:val="20"/>
                <w:lang w:eastAsia="sk-SK"/>
              </w:rPr>
            </w:pPr>
            <w:r w:rsidRPr="00CA2564">
              <w:rPr>
                <w:rFonts w:eastAsia="Times New Roman" w:cs="Times New Roman"/>
                <w:color w:val="000000"/>
                <w:sz w:val="20"/>
                <w:lang w:eastAsia="sk-SK"/>
              </w:rPr>
              <w:t>69,6</w:t>
            </w:r>
          </w:p>
        </w:tc>
        <w:tc>
          <w:tcPr>
            <w:tcW w:w="2079" w:type="dxa"/>
            <w:tcBorders>
              <w:top w:val="nil"/>
              <w:left w:val="nil"/>
              <w:bottom w:val="single" w:sz="4" w:space="0" w:color="auto"/>
              <w:right w:val="nil"/>
            </w:tcBorders>
            <w:shd w:val="clear" w:color="000000" w:fill="FFFFFF"/>
            <w:noWrap/>
            <w:vAlign w:val="center"/>
            <w:hideMark/>
          </w:tcPr>
          <w:p w14:paraId="4305C45E" w14:textId="77777777" w:rsidR="007C7843" w:rsidRPr="00CA2564" w:rsidRDefault="007C7843" w:rsidP="007C7843">
            <w:pPr>
              <w:spacing w:after="0"/>
              <w:jc w:val="right"/>
              <w:rPr>
                <w:rFonts w:eastAsia="Times New Roman" w:cs="Times New Roman"/>
                <w:color w:val="000000"/>
                <w:sz w:val="20"/>
                <w:lang w:eastAsia="sk-SK"/>
              </w:rPr>
            </w:pPr>
            <w:r w:rsidRPr="00CA2564">
              <w:rPr>
                <w:rFonts w:eastAsia="Times New Roman" w:cs="Times New Roman"/>
                <w:color w:val="000000"/>
                <w:sz w:val="20"/>
                <w:lang w:eastAsia="sk-SK"/>
              </w:rPr>
              <w:t>76,4</w:t>
            </w:r>
          </w:p>
        </w:tc>
        <w:tc>
          <w:tcPr>
            <w:tcW w:w="2079" w:type="dxa"/>
            <w:tcBorders>
              <w:top w:val="nil"/>
              <w:left w:val="nil"/>
              <w:bottom w:val="single" w:sz="4" w:space="0" w:color="auto"/>
              <w:right w:val="nil"/>
            </w:tcBorders>
            <w:shd w:val="clear" w:color="000000" w:fill="FFFFFF"/>
            <w:noWrap/>
            <w:vAlign w:val="center"/>
            <w:hideMark/>
          </w:tcPr>
          <w:p w14:paraId="4F4B2B41" w14:textId="77777777" w:rsidR="007C7843" w:rsidRPr="00CA2564" w:rsidRDefault="007C7843" w:rsidP="007C7843">
            <w:pPr>
              <w:spacing w:after="0"/>
              <w:jc w:val="right"/>
              <w:rPr>
                <w:rFonts w:eastAsia="Times New Roman" w:cs="Times New Roman"/>
                <w:color w:val="000000"/>
                <w:sz w:val="20"/>
                <w:lang w:eastAsia="sk-SK"/>
              </w:rPr>
            </w:pPr>
            <w:r w:rsidRPr="00CA2564">
              <w:rPr>
                <w:rFonts w:eastAsia="Times New Roman" w:cs="Times New Roman"/>
                <w:color w:val="000000"/>
                <w:sz w:val="20"/>
                <w:lang w:eastAsia="sk-SK"/>
              </w:rPr>
              <w:t>76,0</w:t>
            </w:r>
          </w:p>
        </w:tc>
      </w:tr>
      <w:tr w:rsidR="007C7843" w:rsidRPr="00CA2564" w14:paraId="5139160A" w14:textId="77777777" w:rsidTr="007C7843">
        <w:trPr>
          <w:trHeight w:val="300"/>
        </w:trPr>
        <w:tc>
          <w:tcPr>
            <w:tcW w:w="9072" w:type="dxa"/>
            <w:gridSpan w:val="4"/>
            <w:tcBorders>
              <w:top w:val="nil"/>
              <w:left w:val="nil"/>
              <w:bottom w:val="nil"/>
              <w:right w:val="nil"/>
            </w:tcBorders>
            <w:shd w:val="clear" w:color="000000" w:fill="FFFFFF"/>
            <w:noWrap/>
            <w:vAlign w:val="center"/>
            <w:hideMark/>
          </w:tcPr>
          <w:p w14:paraId="24D6B6EA" w14:textId="77777777" w:rsidR="007C7843" w:rsidRPr="00CA2564" w:rsidRDefault="007C7843" w:rsidP="007C7843">
            <w:pPr>
              <w:spacing w:after="0"/>
              <w:jc w:val="right"/>
              <w:rPr>
                <w:rFonts w:eastAsia="Times New Roman" w:cs="Times New Roman"/>
                <w:i/>
                <w:iCs/>
                <w:color w:val="000000"/>
                <w:sz w:val="18"/>
                <w:szCs w:val="18"/>
                <w:lang w:eastAsia="sk-SK"/>
              </w:rPr>
            </w:pPr>
            <w:r w:rsidRPr="00CA2564">
              <w:rPr>
                <w:rFonts w:eastAsia="Times New Roman" w:cs="Times New Roman"/>
                <w:i/>
                <w:iCs/>
                <w:color w:val="000000"/>
                <w:sz w:val="18"/>
                <w:szCs w:val="18"/>
                <w:lang w:eastAsia="sk-SK"/>
              </w:rPr>
              <w:t>Zdroj: ÚHP na základe údajov ÚPSVR, ARK a centrálneho registra poistencov.</w:t>
            </w:r>
          </w:p>
          <w:p w14:paraId="5C33FB35" w14:textId="571879EE" w:rsidR="007C7843" w:rsidRPr="00CA2564" w:rsidRDefault="007C7843" w:rsidP="002A676F">
            <w:pPr>
              <w:spacing w:after="0"/>
              <w:rPr>
                <w:rFonts w:eastAsia="Times New Roman" w:cs="Times New Roman"/>
                <w:i/>
                <w:iCs/>
                <w:color w:val="000000"/>
                <w:sz w:val="18"/>
                <w:szCs w:val="18"/>
                <w:lang w:eastAsia="sk-SK"/>
              </w:rPr>
            </w:pPr>
            <w:r w:rsidRPr="00CA2564">
              <w:rPr>
                <w:rFonts w:eastAsia="Times New Roman" w:cs="Times New Roman"/>
                <w:i/>
                <w:iCs/>
                <w:color w:val="000000"/>
                <w:sz w:val="18"/>
                <w:szCs w:val="18"/>
                <w:lang w:eastAsia="sk-SK"/>
              </w:rPr>
              <w:t>Poznámka: Mierna odchýlka odhadu miery dožitia celkovej populácie od údajov ŠÚ je spôsobená odstránením ľudí žijúcich v zahraničí na základe údajov o existencii zdravotného poistenia z c</w:t>
            </w:r>
            <w:r w:rsidR="002A676F">
              <w:rPr>
                <w:rFonts w:eastAsia="Times New Roman" w:cs="Times New Roman"/>
                <w:i/>
                <w:iCs/>
                <w:color w:val="000000"/>
                <w:sz w:val="18"/>
                <w:szCs w:val="18"/>
                <w:lang w:eastAsia="sk-SK"/>
              </w:rPr>
              <w:t xml:space="preserve">entrálneho registra poistencov. </w:t>
            </w:r>
            <w:r w:rsidR="002A676F" w:rsidRPr="002A676F">
              <w:rPr>
                <w:i/>
                <w:noProof/>
                <w:sz w:val="18"/>
                <w:szCs w:val="18"/>
              </w:rPr>
              <w:fldChar w:fldCharType="begin"/>
            </w:r>
            <w:r w:rsidR="002A676F" w:rsidRPr="002A676F">
              <w:rPr>
                <w:rFonts w:eastAsia="Times New Roman" w:cs="Times New Roman"/>
                <w:i/>
                <w:iCs/>
                <w:color w:val="000000"/>
                <w:sz w:val="18"/>
                <w:szCs w:val="18"/>
              </w:rPr>
              <w:instrText xml:space="preserve"> REF _Ref33439692 \h </w:instrText>
            </w:r>
            <w:r w:rsidR="002A676F" w:rsidRPr="002A676F">
              <w:rPr>
                <w:i/>
                <w:noProof/>
                <w:sz w:val="18"/>
                <w:szCs w:val="18"/>
              </w:rPr>
              <w:instrText xml:space="preserve"> \* MERGEFORMAT </w:instrText>
            </w:r>
            <w:r w:rsidR="002A676F" w:rsidRPr="002A676F">
              <w:rPr>
                <w:i/>
                <w:noProof/>
                <w:sz w:val="18"/>
                <w:szCs w:val="18"/>
              </w:rPr>
            </w:r>
            <w:r w:rsidR="002A676F" w:rsidRPr="002A676F">
              <w:rPr>
                <w:i/>
                <w:noProof/>
                <w:sz w:val="18"/>
                <w:szCs w:val="18"/>
              </w:rPr>
              <w:fldChar w:fldCharType="separate"/>
            </w:r>
            <w:r w:rsidR="00FA29AF" w:rsidRPr="00FA29AF">
              <w:rPr>
                <w:i/>
                <w:sz w:val="18"/>
                <w:szCs w:val="18"/>
              </w:rPr>
              <w:t xml:space="preserve">Box </w:t>
            </w:r>
            <w:r w:rsidR="00FA29AF" w:rsidRPr="00FA29AF">
              <w:rPr>
                <w:i/>
                <w:noProof/>
                <w:sz w:val="18"/>
                <w:szCs w:val="18"/>
              </w:rPr>
              <w:t>3</w:t>
            </w:r>
            <w:r w:rsidR="002A676F" w:rsidRPr="002A676F">
              <w:rPr>
                <w:i/>
                <w:noProof/>
                <w:sz w:val="18"/>
                <w:szCs w:val="18"/>
              </w:rPr>
              <w:fldChar w:fldCharType="end"/>
            </w:r>
            <w:r w:rsidR="002A676F" w:rsidRPr="002A676F">
              <w:rPr>
                <w:i/>
                <w:noProof/>
                <w:sz w:val="18"/>
                <w:szCs w:val="18"/>
              </w:rPr>
              <w:t xml:space="preserve"> </w:t>
            </w:r>
            <w:r w:rsidRPr="00980973">
              <w:rPr>
                <w:i/>
                <w:noProof/>
                <w:sz w:val="18"/>
                <w:szCs w:val="18"/>
              </w:rPr>
              <w:t>pre defi</w:t>
            </w:r>
            <w:r w:rsidRPr="00CA2564">
              <w:rPr>
                <w:i/>
                <w:noProof/>
                <w:sz w:val="18"/>
                <w:szCs w:val="18"/>
              </w:rPr>
              <w:t>níciu MRK a PHN.</w:t>
            </w:r>
          </w:p>
        </w:tc>
      </w:tr>
    </w:tbl>
    <w:p w14:paraId="160F6C28" w14:textId="759747D9" w:rsidR="007C7843" w:rsidRPr="00CA2564" w:rsidRDefault="007C7843" w:rsidP="007C7843">
      <w:pPr>
        <w:spacing w:before="160"/>
      </w:pPr>
      <w:r w:rsidRPr="00CA2564">
        <w:rPr>
          <w:b/>
        </w:rPr>
        <w:t>Medzery v ukazovateľoch zdravia medzi majoritou a sociálne znevýhodnenými skupinami začínajú hneď pri narodení. Úmrtnosť dojčiat v domácnostiach, ktorým sa poskytuje pomoc v hmotnej núdzi, a dojčiat v prostredí MRK, je viac ako trojnásobná oproti zvyšku populácie</w:t>
      </w:r>
      <w:r w:rsidRPr="00CA2564">
        <w:t xml:space="preserve"> (</w:t>
      </w:r>
      <w:r w:rsidRPr="00CA2564">
        <w:fldChar w:fldCharType="begin"/>
      </w:r>
      <w:r w:rsidRPr="00CA2564">
        <w:instrText xml:space="preserve"> REF _Ref525039781 \h  \* MERGEFORMAT </w:instrText>
      </w:r>
      <w:r w:rsidRPr="00CA2564">
        <w:fldChar w:fldCharType="separate"/>
      </w:r>
      <w:r w:rsidR="00FA29AF" w:rsidRPr="00FA29AF">
        <w:rPr>
          <w:szCs w:val="22"/>
        </w:rPr>
        <w:t xml:space="preserve">Tabuľka </w:t>
      </w:r>
      <w:r w:rsidR="00FA29AF" w:rsidRPr="00FA29AF">
        <w:rPr>
          <w:noProof/>
          <w:szCs w:val="22"/>
        </w:rPr>
        <w:t>30</w:t>
      </w:r>
      <w:r w:rsidRPr="00CA2564">
        <w:fldChar w:fldCharType="end"/>
      </w:r>
      <w:r w:rsidRPr="00CA2564">
        <w:t>).</w:t>
      </w:r>
      <w:r w:rsidRPr="00CA2564">
        <w:rPr>
          <w:b/>
        </w:rPr>
        <w:t xml:space="preserve"> </w:t>
      </w:r>
      <w:r w:rsidRPr="00CA2564">
        <w:t xml:space="preserve">Za obdobie 2006-2015 zomieralo ročne v priemere 13,3 dojčiat v domácnostiach v systéme PHN a 12,3 dojčiat v prostredí MRK na tisíc živonarodených detí. V populácii, ktorá nie je v systéme PHN a nie je z prostredia MRK, to bolo v priemere 3,9 úmrtí. Uvedené údaje naznačujú, že vysoká dojčenská úmrtnosť je viac problémom chudoby ako etnicity. Aj tak </w:t>
      </w:r>
      <w:r w:rsidR="00EC7464" w:rsidRPr="00CA2564">
        <w:t xml:space="preserve">je dojčenská úmrtnosť </w:t>
      </w:r>
      <w:r w:rsidRPr="00CA2564">
        <w:t>spomedzi rodín v systéme PHN v priemere o 0,5 úmrtí vyššia v prostredí MRK ako mimo neho.</w:t>
      </w:r>
    </w:p>
    <w:p w14:paraId="68B4EAEF" w14:textId="7C04F866" w:rsidR="007C7843" w:rsidRPr="008276E3" w:rsidRDefault="007C7843" w:rsidP="008276E3">
      <w:pPr>
        <w:spacing w:after="0"/>
        <w:rPr>
          <w:b/>
          <w:sz w:val="20"/>
        </w:rPr>
      </w:pPr>
      <w:bookmarkStart w:id="1701" w:name="_Ref525039781"/>
      <w:bookmarkStart w:id="1702" w:name="_Toc17469488"/>
      <w:bookmarkStart w:id="1703" w:name="_Toc34156869"/>
      <w:r w:rsidRPr="008276E3">
        <w:rPr>
          <w:b/>
          <w:sz w:val="20"/>
        </w:rPr>
        <w:t xml:space="preserve">Tabuľka </w:t>
      </w:r>
      <w:r w:rsidRPr="008276E3">
        <w:rPr>
          <w:b/>
          <w:noProof/>
          <w:sz w:val="20"/>
        </w:rPr>
        <w:fldChar w:fldCharType="begin"/>
      </w:r>
      <w:r w:rsidRPr="008276E3">
        <w:rPr>
          <w:b/>
          <w:noProof/>
          <w:sz w:val="20"/>
        </w:rPr>
        <w:instrText xml:space="preserve"> SEQ Tabuľka \* ARABIC </w:instrText>
      </w:r>
      <w:r w:rsidRPr="008276E3">
        <w:rPr>
          <w:b/>
          <w:noProof/>
          <w:sz w:val="20"/>
        </w:rPr>
        <w:fldChar w:fldCharType="separate"/>
      </w:r>
      <w:r w:rsidR="00FA29AF">
        <w:rPr>
          <w:b/>
          <w:noProof/>
          <w:sz w:val="20"/>
        </w:rPr>
        <w:t>30</w:t>
      </w:r>
      <w:r w:rsidRPr="008276E3">
        <w:rPr>
          <w:b/>
          <w:noProof/>
          <w:sz w:val="20"/>
        </w:rPr>
        <w:fldChar w:fldCharType="end"/>
      </w:r>
      <w:bookmarkEnd w:id="1701"/>
      <w:r w:rsidRPr="008276E3">
        <w:rPr>
          <w:b/>
          <w:sz w:val="20"/>
        </w:rPr>
        <w:t>: Dojčensk</w:t>
      </w:r>
      <w:r w:rsidR="004B2E4E">
        <w:rPr>
          <w:b/>
          <w:sz w:val="20"/>
        </w:rPr>
        <w:t>á úmrtnosť (</w:t>
      </w:r>
      <w:r w:rsidRPr="008276E3">
        <w:rPr>
          <w:b/>
          <w:sz w:val="20"/>
        </w:rPr>
        <w:t>na 1000 živonarodených detí), priemer rokov 2006 – 2015</w:t>
      </w:r>
      <w:bookmarkEnd w:id="1702"/>
      <w:bookmarkEnd w:id="1703"/>
      <w:r w:rsidRPr="008276E3">
        <w:rPr>
          <w:b/>
          <w:sz w:val="20"/>
        </w:rPr>
        <w:t xml:space="preserve"> </w:t>
      </w:r>
    </w:p>
    <w:tbl>
      <w:tblPr>
        <w:tblW w:w="9072" w:type="dxa"/>
        <w:tblLayout w:type="fixed"/>
        <w:tblCellMar>
          <w:left w:w="70" w:type="dxa"/>
          <w:right w:w="70" w:type="dxa"/>
        </w:tblCellMar>
        <w:tblLook w:val="04A0" w:firstRow="1" w:lastRow="0" w:firstColumn="1" w:lastColumn="0" w:noHBand="0" w:noVBand="1"/>
      </w:tblPr>
      <w:tblGrid>
        <w:gridCol w:w="2835"/>
        <w:gridCol w:w="795"/>
        <w:gridCol w:w="1284"/>
        <w:gridCol w:w="2079"/>
        <w:gridCol w:w="2079"/>
      </w:tblGrid>
      <w:tr w:rsidR="007C7843" w:rsidRPr="00CA2564" w14:paraId="5AA10DD7" w14:textId="77777777" w:rsidTr="007C7843">
        <w:trPr>
          <w:trHeight w:val="330"/>
        </w:trPr>
        <w:tc>
          <w:tcPr>
            <w:tcW w:w="2835" w:type="dxa"/>
            <w:tcBorders>
              <w:top w:val="single" w:sz="4" w:space="0" w:color="auto"/>
              <w:left w:val="nil"/>
              <w:bottom w:val="single" w:sz="4" w:space="0" w:color="auto"/>
              <w:right w:val="nil"/>
            </w:tcBorders>
            <w:shd w:val="clear" w:color="000000" w:fill="FFFFFF"/>
            <w:noWrap/>
            <w:vAlign w:val="center"/>
            <w:hideMark/>
          </w:tcPr>
          <w:p w14:paraId="7FA5B9B2" w14:textId="77777777" w:rsidR="007C7843" w:rsidRPr="00CA2564" w:rsidRDefault="007C7843" w:rsidP="007C7843">
            <w:pPr>
              <w:spacing w:after="0"/>
              <w:jc w:val="center"/>
              <w:rPr>
                <w:rFonts w:eastAsia="Times New Roman" w:cs="Times New Roman"/>
                <w:color w:val="000000"/>
                <w:sz w:val="20"/>
                <w:lang w:eastAsia="sk-SK"/>
              </w:rPr>
            </w:pPr>
          </w:p>
        </w:tc>
        <w:tc>
          <w:tcPr>
            <w:tcW w:w="2079" w:type="dxa"/>
            <w:gridSpan w:val="2"/>
            <w:tcBorders>
              <w:top w:val="single" w:sz="4" w:space="0" w:color="auto"/>
              <w:left w:val="nil"/>
              <w:bottom w:val="single" w:sz="4" w:space="0" w:color="auto"/>
              <w:right w:val="nil"/>
            </w:tcBorders>
            <w:shd w:val="clear" w:color="000000" w:fill="FFFFFF"/>
            <w:noWrap/>
            <w:vAlign w:val="center"/>
            <w:hideMark/>
          </w:tcPr>
          <w:p w14:paraId="13D1F0EE" w14:textId="77777777" w:rsidR="007C7843" w:rsidRPr="00CA2564" w:rsidRDefault="007C7843" w:rsidP="007C7843">
            <w:pPr>
              <w:spacing w:after="0"/>
              <w:jc w:val="center"/>
              <w:rPr>
                <w:rFonts w:eastAsia="Times New Roman" w:cs="Times New Roman"/>
                <w:b/>
                <w:bCs/>
                <w:color w:val="000000"/>
                <w:sz w:val="20"/>
                <w:lang w:eastAsia="sk-SK"/>
              </w:rPr>
            </w:pPr>
            <w:r w:rsidRPr="00CA2564">
              <w:rPr>
                <w:rFonts w:eastAsia="Times New Roman" w:cs="Times New Roman"/>
                <w:b/>
                <w:bCs/>
                <w:color w:val="000000"/>
                <w:sz w:val="20"/>
                <w:lang w:eastAsia="sk-SK"/>
              </w:rPr>
              <w:t>MRK</w:t>
            </w:r>
          </w:p>
        </w:tc>
        <w:tc>
          <w:tcPr>
            <w:tcW w:w="2079" w:type="dxa"/>
            <w:tcBorders>
              <w:top w:val="single" w:sz="4" w:space="0" w:color="auto"/>
              <w:left w:val="nil"/>
              <w:bottom w:val="single" w:sz="4" w:space="0" w:color="auto"/>
              <w:right w:val="nil"/>
            </w:tcBorders>
            <w:shd w:val="clear" w:color="000000" w:fill="FFFFFF"/>
            <w:noWrap/>
            <w:vAlign w:val="center"/>
            <w:hideMark/>
          </w:tcPr>
          <w:p w14:paraId="78149953" w14:textId="77777777" w:rsidR="007C7843" w:rsidRPr="00CA2564" w:rsidRDefault="007C7843" w:rsidP="007C7843">
            <w:pPr>
              <w:spacing w:after="0"/>
              <w:jc w:val="center"/>
              <w:rPr>
                <w:rFonts w:eastAsia="Times New Roman" w:cs="Times New Roman"/>
                <w:b/>
                <w:bCs/>
                <w:color w:val="000000"/>
                <w:sz w:val="20"/>
                <w:lang w:eastAsia="sk-SK"/>
              </w:rPr>
            </w:pPr>
            <w:r w:rsidRPr="00CA2564">
              <w:rPr>
                <w:rFonts w:eastAsia="Times New Roman" w:cs="Times New Roman"/>
                <w:b/>
                <w:bCs/>
                <w:color w:val="000000"/>
                <w:sz w:val="20"/>
                <w:lang w:eastAsia="sk-SK"/>
              </w:rPr>
              <w:t>mimo MRK</w:t>
            </w:r>
          </w:p>
        </w:tc>
        <w:tc>
          <w:tcPr>
            <w:tcW w:w="2079" w:type="dxa"/>
            <w:tcBorders>
              <w:top w:val="single" w:sz="4" w:space="0" w:color="auto"/>
              <w:left w:val="nil"/>
              <w:bottom w:val="single" w:sz="4" w:space="0" w:color="auto"/>
              <w:right w:val="nil"/>
            </w:tcBorders>
            <w:shd w:val="clear" w:color="000000" w:fill="FFFFFF"/>
            <w:noWrap/>
            <w:vAlign w:val="center"/>
            <w:hideMark/>
          </w:tcPr>
          <w:p w14:paraId="494AEE34" w14:textId="77777777" w:rsidR="007C7843" w:rsidRPr="00CA2564" w:rsidRDefault="007C7843" w:rsidP="007C7843">
            <w:pPr>
              <w:spacing w:after="0"/>
              <w:jc w:val="center"/>
              <w:rPr>
                <w:rFonts w:eastAsia="Times New Roman" w:cs="Times New Roman"/>
                <w:b/>
                <w:bCs/>
                <w:color w:val="000000"/>
                <w:sz w:val="20"/>
                <w:lang w:eastAsia="sk-SK"/>
              </w:rPr>
            </w:pPr>
            <w:r w:rsidRPr="00CA2564">
              <w:rPr>
                <w:rFonts w:eastAsia="Times New Roman" w:cs="Times New Roman"/>
                <w:b/>
                <w:bCs/>
                <w:color w:val="000000"/>
                <w:sz w:val="20"/>
                <w:lang w:eastAsia="sk-SK"/>
              </w:rPr>
              <w:t>Celkom</w:t>
            </w:r>
          </w:p>
        </w:tc>
      </w:tr>
      <w:tr w:rsidR="007C7843" w:rsidRPr="00CA2564" w14:paraId="03D15DFC" w14:textId="77777777" w:rsidTr="007C7843">
        <w:trPr>
          <w:trHeight w:val="330"/>
        </w:trPr>
        <w:tc>
          <w:tcPr>
            <w:tcW w:w="2835" w:type="dxa"/>
            <w:tcBorders>
              <w:top w:val="nil"/>
              <w:left w:val="nil"/>
              <w:bottom w:val="nil"/>
              <w:right w:val="nil"/>
            </w:tcBorders>
            <w:shd w:val="clear" w:color="000000" w:fill="FFFFFF"/>
            <w:noWrap/>
            <w:vAlign w:val="center"/>
            <w:hideMark/>
          </w:tcPr>
          <w:p w14:paraId="6F9CDFD9" w14:textId="77777777" w:rsidR="007C7843" w:rsidRPr="00CA2564" w:rsidRDefault="007C7843" w:rsidP="007C7843">
            <w:pPr>
              <w:spacing w:after="0"/>
              <w:jc w:val="left"/>
              <w:rPr>
                <w:rFonts w:eastAsia="Times New Roman" w:cs="Times New Roman"/>
                <w:b/>
                <w:bCs/>
                <w:color w:val="000000"/>
                <w:sz w:val="20"/>
                <w:lang w:eastAsia="sk-SK"/>
              </w:rPr>
            </w:pPr>
            <w:r w:rsidRPr="00CA2564">
              <w:rPr>
                <w:rFonts w:eastAsia="Times New Roman" w:cs="Times New Roman"/>
                <w:b/>
                <w:bCs/>
                <w:color w:val="000000"/>
                <w:sz w:val="20"/>
                <w:lang w:eastAsia="sk-SK"/>
              </w:rPr>
              <w:t>PHN</w:t>
            </w:r>
          </w:p>
        </w:tc>
        <w:tc>
          <w:tcPr>
            <w:tcW w:w="2079" w:type="dxa"/>
            <w:gridSpan w:val="2"/>
            <w:tcBorders>
              <w:top w:val="nil"/>
              <w:left w:val="nil"/>
              <w:bottom w:val="nil"/>
              <w:right w:val="nil"/>
            </w:tcBorders>
            <w:shd w:val="clear" w:color="000000" w:fill="FFFFFF"/>
            <w:noWrap/>
            <w:vAlign w:val="center"/>
            <w:hideMark/>
          </w:tcPr>
          <w:p w14:paraId="70447380" w14:textId="77777777" w:rsidR="007C7843" w:rsidRPr="00CA2564" w:rsidRDefault="007C7843" w:rsidP="00A379BE">
            <w:pPr>
              <w:spacing w:after="0"/>
              <w:jc w:val="center"/>
              <w:rPr>
                <w:rFonts w:eastAsia="Times New Roman" w:cs="Times New Roman"/>
                <w:color w:val="000000"/>
                <w:sz w:val="20"/>
                <w:lang w:eastAsia="sk-SK"/>
              </w:rPr>
            </w:pPr>
            <w:r w:rsidRPr="00CA2564">
              <w:rPr>
                <w:rFonts w:eastAsia="Times New Roman" w:cs="Times New Roman"/>
                <w:color w:val="000000"/>
                <w:sz w:val="20"/>
                <w:lang w:eastAsia="sk-SK"/>
              </w:rPr>
              <w:t>13,6</w:t>
            </w:r>
          </w:p>
        </w:tc>
        <w:tc>
          <w:tcPr>
            <w:tcW w:w="2079" w:type="dxa"/>
            <w:tcBorders>
              <w:top w:val="nil"/>
              <w:left w:val="nil"/>
              <w:bottom w:val="nil"/>
              <w:right w:val="nil"/>
            </w:tcBorders>
            <w:shd w:val="clear" w:color="000000" w:fill="FFFFFF"/>
            <w:noWrap/>
            <w:vAlign w:val="center"/>
            <w:hideMark/>
          </w:tcPr>
          <w:p w14:paraId="0D0FF674" w14:textId="77777777" w:rsidR="007C7843" w:rsidRPr="00CA2564" w:rsidRDefault="007C7843" w:rsidP="00A379BE">
            <w:pPr>
              <w:spacing w:after="0"/>
              <w:jc w:val="center"/>
              <w:rPr>
                <w:rFonts w:eastAsia="Times New Roman" w:cs="Times New Roman"/>
                <w:color w:val="000000"/>
                <w:sz w:val="20"/>
                <w:lang w:eastAsia="sk-SK"/>
              </w:rPr>
            </w:pPr>
            <w:r w:rsidRPr="00CA2564">
              <w:rPr>
                <w:rFonts w:eastAsia="Times New Roman" w:cs="Times New Roman"/>
                <w:color w:val="000000"/>
                <w:sz w:val="20"/>
                <w:lang w:eastAsia="sk-SK"/>
              </w:rPr>
              <w:t>13,1</w:t>
            </w:r>
          </w:p>
        </w:tc>
        <w:tc>
          <w:tcPr>
            <w:tcW w:w="2079" w:type="dxa"/>
            <w:tcBorders>
              <w:top w:val="nil"/>
              <w:left w:val="nil"/>
              <w:bottom w:val="nil"/>
              <w:right w:val="nil"/>
            </w:tcBorders>
            <w:shd w:val="clear" w:color="000000" w:fill="FFFFFF"/>
            <w:noWrap/>
            <w:vAlign w:val="center"/>
            <w:hideMark/>
          </w:tcPr>
          <w:p w14:paraId="386E8AD8" w14:textId="77777777" w:rsidR="007C7843" w:rsidRPr="00CA2564" w:rsidRDefault="007C7843" w:rsidP="00A379BE">
            <w:pPr>
              <w:spacing w:after="0"/>
              <w:jc w:val="center"/>
              <w:rPr>
                <w:rFonts w:eastAsia="Times New Roman" w:cs="Times New Roman"/>
                <w:color w:val="000000"/>
                <w:sz w:val="20"/>
                <w:lang w:eastAsia="sk-SK"/>
              </w:rPr>
            </w:pPr>
            <w:r w:rsidRPr="00CA2564">
              <w:rPr>
                <w:rFonts w:eastAsia="Times New Roman" w:cs="Times New Roman"/>
                <w:color w:val="000000"/>
                <w:sz w:val="20"/>
                <w:lang w:eastAsia="sk-SK"/>
              </w:rPr>
              <w:t>13,3</w:t>
            </w:r>
          </w:p>
        </w:tc>
      </w:tr>
      <w:tr w:rsidR="007C7843" w:rsidRPr="00CA2564" w14:paraId="70C6426D" w14:textId="77777777" w:rsidTr="007C7843">
        <w:trPr>
          <w:trHeight w:val="330"/>
        </w:trPr>
        <w:tc>
          <w:tcPr>
            <w:tcW w:w="2835" w:type="dxa"/>
            <w:tcBorders>
              <w:top w:val="nil"/>
              <w:left w:val="nil"/>
              <w:bottom w:val="nil"/>
              <w:right w:val="nil"/>
            </w:tcBorders>
            <w:shd w:val="clear" w:color="000000" w:fill="FFFFFF"/>
            <w:noWrap/>
            <w:vAlign w:val="center"/>
            <w:hideMark/>
          </w:tcPr>
          <w:p w14:paraId="120F340A" w14:textId="77777777" w:rsidR="007C7843" w:rsidRPr="00CA2564" w:rsidRDefault="007C7843" w:rsidP="007C7843">
            <w:pPr>
              <w:spacing w:after="0"/>
              <w:jc w:val="left"/>
              <w:rPr>
                <w:rFonts w:eastAsia="Times New Roman" w:cs="Times New Roman"/>
                <w:b/>
                <w:bCs/>
                <w:color w:val="000000"/>
                <w:sz w:val="20"/>
                <w:lang w:eastAsia="sk-SK"/>
              </w:rPr>
            </w:pPr>
            <w:r w:rsidRPr="00CA2564">
              <w:rPr>
                <w:rFonts w:eastAsia="Times New Roman" w:cs="Times New Roman"/>
                <w:b/>
                <w:bCs/>
                <w:color w:val="000000"/>
                <w:sz w:val="20"/>
                <w:lang w:eastAsia="sk-SK"/>
              </w:rPr>
              <w:t>mimo PHN</w:t>
            </w:r>
          </w:p>
        </w:tc>
        <w:tc>
          <w:tcPr>
            <w:tcW w:w="2079" w:type="dxa"/>
            <w:gridSpan w:val="2"/>
            <w:tcBorders>
              <w:top w:val="nil"/>
              <w:left w:val="nil"/>
              <w:bottom w:val="nil"/>
              <w:right w:val="nil"/>
            </w:tcBorders>
            <w:shd w:val="clear" w:color="000000" w:fill="FFFFFF"/>
            <w:noWrap/>
            <w:vAlign w:val="center"/>
            <w:hideMark/>
          </w:tcPr>
          <w:p w14:paraId="6C4C0C8B" w14:textId="77777777" w:rsidR="007C7843" w:rsidRPr="00CA2564" w:rsidRDefault="007C7843" w:rsidP="00A379BE">
            <w:pPr>
              <w:spacing w:after="0"/>
              <w:jc w:val="center"/>
              <w:rPr>
                <w:rFonts w:eastAsia="Times New Roman" w:cs="Times New Roman"/>
                <w:color w:val="000000"/>
                <w:sz w:val="20"/>
                <w:lang w:eastAsia="sk-SK"/>
              </w:rPr>
            </w:pPr>
            <w:r w:rsidRPr="00CA2564">
              <w:rPr>
                <w:rFonts w:eastAsia="Times New Roman" w:cs="Times New Roman"/>
                <w:color w:val="000000"/>
                <w:sz w:val="20"/>
                <w:lang w:eastAsia="sk-SK"/>
              </w:rPr>
              <w:t>10,8</w:t>
            </w:r>
          </w:p>
        </w:tc>
        <w:tc>
          <w:tcPr>
            <w:tcW w:w="2079" w:type="dxa"/>
            <w:tcBorders>
              <w:top w:val="nil"/>
              <w:left w:val="nil"/>
              <w:bottom w:val="nil"/>
              <w:right w:val="nil"/>
            </w:tcBorders>
            <w:shd w:val="clear" w:color="000000" w:fill="FFFFFF"/>
            <w:noWrap/>
            <w:vAlign w:val="center"/>
            <w:hideMark/>
          </w:tcPr>
          <w:p w14:paraId="3C8A1114" w14:textId="77777777" w:rsidR="007C7843" w:rsidRPr="00CA2564" w:rsidRDefault="007C7843" w:rsidP="00A379BE">
            <w:pPr>
              <w:spacing w:after="0"/>
              <w:jc w:val="center"/>
              <w:rPr>
                <w:rFonts w:eastAsia="Times New Roman" w:cs="Times New Roman"/>
                <w:color w:val="000000"/>
                <w:sz w:val="20"/>
                <w:lang w:eastAsia="sk-SK"/>
              </w:rPr>
            </w:pPr>
            <w:r w:rsidRPr="00CA2564">
              <w:rPr>
                <w:rFonts w:eastAsia="Times New Roman" w:cs="Times New Roman"/>
                <w:color w:val="000000"/>
                <w:sz w:val="20"/>
                <w:lang w:eastAsia="sk-SK"/>
              </w:rPr>
              <w:t>3,9</w:t>
            </w:r>
          </w:p>
        </w:tc>
        <w:tc>
          <w:tcPr>
            <w:tcW w:w="2079" w:type="dxa"/>
            <w:tcBorders>
              <w:top w:val="nil"/>
              <w:left w:val="nil"/>
              <w:bottom w:val="nil"/>
              <w:right w:val="nil"/>
            </w:tcBorders>
            <w:shd w:val="clear" w:color="000000" w:fill="FFFFFF"/>
            <w:noWrap/>
            <w:vAlign w:val="center"/>
            <w:hideMark/>
          </w:tcPr>
          <w:p w14:paraId="17BE0B5A" w14:textId="77777777" w:rsidR="007C7843" w:rsidRPr="00CA2564" w:rsidRDefault="007C7843" w:rsidP="00A379BE">
            <w:pPr>
              <w:spacing w:after="0"/>
              <w:jc w:val="center"/>
              <w:rPr>
                <w:rFonts w:eastAsia="Times New Roman" w:cs="Times New Roman"/>
                <w:color w:val="000000"/>
                <w:sz w:val="20"/>
                <w:lang w:eastAsia="sk-SK"/>
              </w:rPr>
            </w:pPr>
            <w:r w:rsidRPr="00CA2564">
              <w:rPr>
                <w:rFonts w:eastAsia="Times New Roman" w:cs="Times New Roman"/>
                <w:color w:val="000000"/>
                <w:sz w:val="20"/>
                <w:lang w:eastAsia="sk-SK"/>
              </w:rPr>
              <w:t>4,3</w:t>
            </w:r>
          </w:p>
        </w:tc>
      </w:tr>
      <w:tr w:rsidR="007C7843" w:rsidRPr="00CA2564" w14:paraId="3F1217FB" w14:textId="77777777" w:rsidTr="007C7843">
        <w:trPr>
          <w:trHeight w:val="330"/>
        </w:trPr>
        <w:tc>
          <w:tcPr>
            <w:tcW w:w="2835" w:type="dxa"/>
            <w:tcBorders>
              <w:top w:val="nil"/>
              <w:left w:val="nil"/>
              <w:bottom w:val="single" w:sz="4" w:space="0" w:color="auto"/>
              <w:right w:val="nil"/>
            </w:tcBorders>
            <w:shd w:val="clear" w:color="000000" w:fill="FFFFFF"/>
            <w:noWrap/>
            <w:vAlign w:val="center"/>
            <w:hideMark/>
          </w:tcPr>
          <w:p w14:paraId="00EF3B6C" w14:textId="77777777" w:rsidR="007C7843" w:rsidRPr="00CA2564" w:rsidRDefault="007C7843" w:rsidP="007C7843">
            <w:pPr>
              <w:spacing w:after="0"/>
              <w:jc w:val="left"/>
              <w:rPr>
                <w:rFonts w:eastAsia="Times New Roman" w:cs="Times New Roman"/>
                <w:b/>
                <w:bCs/>
                <w:color w:val="000000"/>
                <w:sz w:val="20"/>
                <w:lang w:eastAsia="sk-SK"/>
              </w:rPr>
            </w:pPr>
            <w:r w:rsidRPr="00CA2564">
              <w:rPr>
                <w:rFonts w:eastAsia="Times New Roman" w:cs="Times New Roman"/>
                <w:b/>
                <w:bCs/>
                <w:color w:val="000000"/>
                <w:sz w:val="20"/>
                <w:lang w:eastAsia="sk-SK"/>
              </w:rPr>
              <w:t>Celkom</w:t>
            </w:r>
          </w:p>
        </w:tc>
        <w:tc>
          <w:tcPr>
            <w:tcW w:w="2079" w:type="dxa"/>
            <w:gridSpan w:val="2"/>
            <w:tcBorders>
              <w:top w:val="nil"/>
              <w:left w:val="nil"/>
              <w:bottom w:val="single" w:sz="4" w:space="0" w:color="auto"/>
              <w:right w:val="nil"/>
            </w:tcBorders>
            <w:shd w:val="clear" w:color="000000" w:fill="FFFFFF"/>
            <w:noWrap/>
            <w:vAlign w:val="center"/>
            <w:hideMark/>
          </w:tcPr>
          <w:p w14:paraId="74C76065" w14:textId="77777777" w:rsidR="007C7843" w:rsidRPr="00CA2564" w:rsidRDefault="007C7843" w:rsidP="00A379BE">
            <w:pPr>
              <w:spacing w:after="0"/>
              <w:jc w:val="center"/>
              <w:rPr>
                <w:rFonts w:eastAsia="Times New Roman" w:cs="Times New Roman"/>
                <w:color w:val="000000"/>
                <w:sz w:val="20"/>
                <w:lang w:eastAsia="sk-SK"/>
              </w:rPr>
            </w:pPr>
            <w:r w:rsidRPr="00CA2564">
              <w:rPr>
                <w:rFonts w:eastAsia="Times New Roman" w:cs="Times New Roman"/>
                <w:color w:val="000000"/>
                <w:sz w:val="20"/>
                <w:lang w:eastAsia="sk-SK"/>
              </w:rPr>
              <w:t>12,3</w:t>
            </w:r>
          </w:p>
        </w:tc>
        <w:tc>
          <w:tcPr>
            <w:tcW w:w="2079" w:type="dxa"/>
            <w:tcBorders>
              <w:top w:val="nil"/>
              <w:left w:val="nil"/>
              <w:bottom w:val="single" w:sz="4" w:space="0" w:color="auto"/>
              <w:right w:val="nil"/>
            </w:tcBorders>
            <w:shd w:val="clear" w:color="000000" w:fill="FFFFFF"/>
            <w:noWrap/>
            <w:vAlign w:val="center"/>
            <w:hideMark/>
          </w:tcPr>
          <w:p w14:paraId="1FC9EB72" w14:textId="77777777" w:rsidR="007C7843" w:rsidRPr="00CA2564" w:rsidRDefault="007C7843" w:rsidP="00A379BE">
            <w:pPr>
              <w:spacing w:after="0"/>
              <w:jc w:val="center"/>
              <w:rPr>
                <w:rFonts w:eastAsia="Times New Roman" w:cs="Times New Roman"/>
                <w:color w:val="000000"/>
                <w:sz w:val="20"/>
                <w:lang w:eastAsia="sk-SK"/>
              </w:rPr>
            </w:pPr>
            <w:r w:rsidRPr="00CA2564">
              <w:rPr>
                <w:rFonts w:eastAsia="Times New Roman" w:cs="Times New Roman"/>
                <w:color w:val="000000"/>
                <w:sz w:val="20"/>
                <w:lang w:eastAsia="sk-SK"/>
              </w:rPr>
              <w:t>4,6</w:t>
            </w:r>
          </w:p>
        </w:tc>
        <w:tc>
          <w:tcPr>
            <w:tcW w:w="2079" w:type="dxa"/>
            <w:tcBorders>
              <w:top w:val="nil"/>
              <w:left w:val="nil"/>
              <w:bottom w:val="single" w:sz="4" w:space="0" w:color="auto"/>
              <w:right w:val="nil"/>
            </w:tcBorders>
            <w:shd w:val="clear" w:color="000000" w:fill="FFFFFF"/>
            <w:noWrap/>
            <w:vAlign w:val="center"/>
            <w:hideMark/>
          </w:tcPr>
          <w:p w14:paraId="205A30E2" w14:textId="77777777" w:rsidR="007C7843" w:rsidRPr="00CA2564" w:rsidRDefault="007C7843" w:rsidP="00A379BE">
            <w:pPr>
              <w:spacing w:after="0"/>
              <w:jc w:val="center"/>
              <w:rPr>
                <w:rFonts w:eastAsia="Times New Roman" w:cs="Times New Roman"/>
                <w:color w:val="000000"/>
                <w:sz w:val="20"/>
                <w:lang w:eastAsia="sk-SK"/>
              </w:rPr>
            </w:pPr>
            <w:r w:rsidRPr="00CA2564">
              <w:rPr>
                <w:rFonts w:eastAsia="Times New Roman" w:cs="Times New Roman"/>
                <w:color w:val="000000"/>
                <w:sz w:val="20"/>
                <w:lang w:eastAsia="sk-SK"/>
              </w:rPr>
              <w:t>5,5</w:t>
            </w:r>
          </w:p>
        </w:tc>
      </w:tr>
      <w:tr w:rsidR="00041889" w:rsidRPr="00CA2564" w14:paraId="39E0901E" w14:textId="7736993A" w:rsidTr="00041889">
        <w:trPr>
          <w:trHeight w:val="300"/>
        </w:trPr>
        <w:tc>
          <w:tcPr>
            <w:tcW w:w="3630" w:type="dxa"/>
            <w:gridSpan w:val="2"/>
            <w:tcBorders>
              <w:top w:val="nil"/>
              <w:left w:val="nil"/>
              <w:bottom w:val="nil"/>
            </w:tcBorders>
            <w:shd w:val="clear" w:color="000000" w:fill="FFFFFF"/>
            <w:noWrap/>
            <w:hideMark/>
          </w:tcPr>
          <w:p w14:paraId="03CBBB64" w14:textId="6D79E700" w:rsidR="00041889" w:rsidRPr="00684539" w:rsidRDefault="00041889" w:rsidP="002A676F">
            <w:pPr>
              <w:spacing w:after="0"/>
              <w:jc w:val="left"/>
              <w:rPr>
                <w:i/>
                <w:sz w:val="18"/>
                <w:szCs w:val="18"/>
              </w:rPr>
            </w:pPr>
            <w:r w:rsidRPr="00980973">
              <w:rPr>
                <w:rFonts w:eastAsia="Times New Roman" w:cs="Times New Roman"/>
                <w:i/>
                <w:iCs/>
                <w:color w:val="000000"/>
                <w:sz w:val="18"/>
                <w:szCs w:val="18"/>
                <w:lang w:eastAsia="sk-SK"/>
              </w:rPr>
              <w:t xml:space="preserve">Poznámka: </w:t>
            </w:r>
            <w:r w:rsidR="002A676F" w:rsidRPr="002A676F">
              <w:rPr>
                <w:i/>
                <w:noProof/>
                <w:sz w:val="18"/>
                <w:szCs w:val="18"/>
              </w:rPr>
              <w:fldChar w:fldCharType="begin"/>
            </w:r>
            <w:r w:rsidR="002A676F" w:rsidRPr="002A676F">
              <w:rPr>
                <w:rFonts w:eastAsia="Times New Roman" w:cs="Times New Roman"/>
                <w:i/>
                <w:iCs/>
                <w:color w:val="000000"/>
                <w:sz w:val="18"/>
                <w:szCs w:val="18"/>
              </w:rPr>
              <w:instrText xml:space="preserve"> REF _Ref33439692 \h </w:instrText>
            </w:r>
            <w:r w:rsidR="002A676F" w:rsidRPr="002A676F">
              <w:rPr>
                <w:i/>
                <w:noProof/>
                <w:sz w:val="18"/>
                <w:szCs w:val="18"/>
              </w:rPr>
              <w:instrText xml:space="preserve"> \* MERGEFORMAT </w:instrText>
            </w:r>
            <w:r w:rsidR="002A676F" w:rsidRPr="002A676F">
              <w:rPr>
                <w:i/>
                <w:noProof/>
                <w:sz w:val="18"/>
                <w:szCs w:val="18"/>
              </w:rPr>
            </w:r>
            <w:r w:rsidR="002A676F" w:rsidRPr="002A676F">
              <w:rPr>
                <w:i/>
                <w:noProof/>
                <w:sz w:val="18"/>
                <w:szCs w:val="18"/>
              </w:rPr>
              <w:fldChar w:fldCharType="separate"/>
            </w:r>
            <w:r w:rsidR="00FA29AF" w:rsidRPr="00FA29AF">
              <w:rPr>
                <w:i/>
                <w:sz w:val="18"/>
                <w:szCs w:val="18"/>
              </w:rPr>
              <w:t xml:space="preserve">Box </w:t>
            </w:r>
            <w:r w:rsidR="00FA29AF" w:rsidRPr="00FA29AF">
              <w:rPr>
                <w:i/>
                <w:noProof/>
                <w:sz w:val="18"/>
                <w:szCs w:val="18"/>
              </w:rPr>
              <w:t>3</w:t>
            </w:r>
            <w:r w:rsidR="002A676F" w:rsidRPr="002A676F">
              <w:rPr>
                <w:i/>
                <w:noProof/>
                <w:sz w:val="18"/>
                <w:szCs w:val="18"/>
              </w:rPr>
              <w:fldChar w:fldCharType="end"/>
            </w:r>
            <w:r w:rsidR="002A676F" w:rsidRPr="002A676F">
              <w:rPr>
                <w:i/>
                <w:noProof/>
                <w:sz w:val="18"/>
                <w:szCs w:val="18"/>
              </w:rPr>
              <w:t xml:space="preserve"> </w:t>
            </w:r>
            <w:r w:rsidRPr="00980973">
              <w:rPr>
                <w:i/>
                <w:noProof/>
                <w:sz w:val="18"/>
                <w:szCs w:val="18"/>
              </w:rPr>
              <w:t>pre defi</w:t>
            </w:r>
            <w:r w:rsidRPr="00CA2564">
              <w:rPr>
                <w:i/>
                <w:noProof/>
                <w:sz w:val="18"/>
                <w:szCs w:val="18"/>
              </w:rPr>
              <w:t>níciu MRK a PHN.</w:t>
            </w:r>
          </w:p>
        </w:tc>
        <w:tc>
          <w:tcPr>
            <w:tcW w:w="5442" w:type="dxa"/>
            <w:gridSpan w:val="3"/>
            <w:tcBorders>
              <w:top w:val="nil"/>
              <w:left w:val="nil"/>
              <w:bottom w:val="nil"/>
              <w:right w:val="nil"/>
            </w:tcBorders>
            <w:shd w:val="clear" w:color="000000" w:fill="FFFFFF"/>
          </w:tcPr>
          <w:p w14:paraId="04A14767" w14:textId="6B190624" w:rsidR="00041889" w:rsidRPr="00041889" w:rsidRDefault="00041889" w:rsidP="00041889">
            <w:pPr>
              <w:spacing w:after="0"/>
              <w:jc w:val="right"/>
              <w:rPr>
                <w:rFonts w:eastAsia="Times New Roman" w:cs="Times New Roman"/>
                <w:i/>
                <w:iCs/>
                <w:color w:val="000000"/>
                <w:sz w:val="18"/>
                <w:szCs w:val="18"/>
                <w:lang w:eastAsia="sk-SK"/>
              </w:rPr>
            </w:pPr>
            <w:r w:rsidRPr="00CA2564">
              <w:rPr>
                <w:rFonts w:eastAsia="Times New Roman" w:cs="Times New Roman"/>
                <w:i/>
                <w:iCs/>
                <w:color w:val="000000"/>
                <w:sz w:val="18"/>
                <w:szCs w:val="18"/>
                <w:lang w:eastAsia="sk-SK"/>
              </w:rPr>
              <w:t>Zdroj: ÚHP na základe údajov ÚPSVR, ARK a centrálneho registra poistencov.</w:t>
            </w:r>
          </w:p>
        </w:tc>
      </w:tr>
    </w:tbl>
    <w:p w14:paraId="7705AFDA" w14:textId="47F93279" w:rsidR="007C7843" w:rsidRPr="00CA2564" w:rsidRDefault="007C7843" w:rsidP="007C7843">
      <w:pPr>
        <w:spacing w:before="160"/>
      </w:pPr>
      <w:r w:rsidRPr="00CA2564">
        <w:t>Vysoká dojčenská úmrtnosť môže byť spôsobená zhoršeným prístupom k informáciám a zdravotnej starostlivosti (Šprocha, 2014)</w:t>
      </w:r>
      <w:r w:rsidR="00EC7464">
        <w:t>,</w:t>
      </w:r>
      <w:r w:rsidRPr="00CA2564">
        <w:t xml:space="preserve"> ako aj podmienkami života v chudobe. Rómky napríklad zaznamenávajú nižší prírastok hmotnosti v tehotenstve spojený s nepravidelnou a nekvalitnou stravou (</w:t>
      </w:r>
      <w:r w:rsidRPr="00CA2564">
        <w:rPr>
          <w:noProof/>
        </w:rPr>
        <w:t>Hijová &amp; Madarasová-Gecková, 2012</w:t>
      </w:r>
      <w:r w:rsidR="00DC64CB">
        <w:t>). Riziko pre </w:t>
      </w:r>
      <w:r w:rsidRPr="00CA2564">
        <w:t>novorodencov predstavuje aj vysoký výskyt infekčných chorôb v prostredí MRK, najmä pre nízky štandard hygieny, bývania a</w:t>
      </w:r>
      <w:r w:rsidR="003C02B8">
        <w:t> environmentálne nevhodné</w:t>
      </w:r>
      <w:r w:rsidRPr="00CA2564">
        <w:t xml:space="preserve"> prostredie (kapitola </w:t>
      </w:r>
      <w:r w:rsidR="00596CBC">
        <w:fldChar w:fldCharType="begin"/>
      </w:r>
      <w:r w:rsidR="00596CBC">
        <w:instrText xml:space="preserve"> REF _Ref25315719 \r \h </w:instrText>
      </w:r>
      <w:r w:rsidR="00596CBC">
        <w:fldChar w:fldCharType="separate"/>
      </w:r>
      <w:r w:rsidR="00FA29AF">
        <w:t>9</w:t>
      </w:r>
      <w:r w:rsidR="00596CBC">
        <w:fldChar w:fldCharType="end"/>
      </w:r>
      <w:r w:rsidRPr="00CA2564">
        <w:t xml:space="preserve"> a </w:t>
      </w:r>
      <w:r w:rsidRPr="00CA2564">
        <w:rPr>
          <w:noProof/>
        </w:rPr>
        <w:t>Šupinová, a spol., 2015</w:t>
      </w:r>
      <w:r w:rsidRPr="00CA2564">
        <w:t>).</w:t>
      </w:r>
    </w:p>
    <w:p w14:paraId="3038400C" w14:textId="06E50D18" w:rsidR="007C7843" w:rsidRPr="00CA2564" w:rsidRDefault="007C7843" w:rsidP="007C7843">
      <w:pPr>
        <w:spacing w:before="160"/>
      </w:pPr>
      <w:r w:rsidRPr="00CA2564">
        <w:rPr>
          <w:b/>
        </w:rPr>
        <w:t xml:space="preserve">Dojčenská úmrtnosť </w:t>
      </w:r>
      <w:r w:rsidR="00624D99">
        <w:rPr>
          <w:b/>
        </w:rPr>
        <w:t xml:space="preserve">je ovplyvnená vekom matky pri pôrode. V prostredí MRK </w:t>
      </w:r>
      <w:r w:rsidRPr="00CA2564">
        <w:rPr>
          <w:b/>
        </w:rPr>
        <w:t xml:space="preserve">začína rásť </w:t>
      </w:r>
      <w:r w:rsidR="00624D99">
        <w:rPr>
          <w:b/>
        </w:rPr>
        <w:t>v oveľa skoršom veku matky</w:t>
      </w:r>
      <w:r w:rsidRPr="00CA2564">
        <w:rPr>
          <w:b/>
        </w:rPr>
        <w:t xml:space="preserve"> ako mimo MRK, čo znamená, že skoré materstvo môže byť adaptívne.</w:t>
      </w:r>
      <w:r w:rsidRPr="00CA2564">
        <w:t xml:space="preserve"> </w:t>
      </w:r>
      <w:r w:rsidRPr="00CA2564">
        <w:rPr>
          <w:szCs w:val="22"/>
        </w:rPr>
        <w:t xml:space="preserve">Dojčenská úmrtnosť s vekom matky </w:t>
      </w:r>
      <w:r w:rsidRPr="002E75D7">
        <w:rPr>
          <w:szCs w:val="22"/>
        </w:rPr>
        <w:t>štandardne najprv klesá a neskôr narastá, ale v MRK rastie počas väčšiny plodného veku (</w:t>
      </w:r>
      <w:r w:rsidRPr="002E75D7">
        <w:rPr>
          <w:szCs w:val="22"/>
        </w:rPr>
        <w:fldChar w:fldCharType="begin"/>
      </w:r>
      <w:r w:rsidRPr="002E75D7">
        <w:rPr>
          <w:szCs w:val="22"/>
        </w:rPr>
        <w:instrText xml:space="preserve"> REF _Ref12977104 \h  \* MERGEFORMAT </w:instrText>
      </w:r>
      <w:r w:rsidRPr="002E75D7">
        <w:rPr>
          <w:szCs w:val="22"/>
        </w:rPr>
      </w:r>
      <w:r w:rsidRPr="002E75D7">
        <w:rPr>
          <w:szCs w:val="22"/>
        </w:rPr>
        <w:fldChar w:fldCharType="separate"/>
      </w:r>
      <w:r w:rsidR="00FA29AF" w:rsidRPr="00FA29AF">
        <w:rPr>
          <w:szCs w:val="22"/>
        </w:rPr>
        <w:t>Graf</w:t>
      </w:r>
      <w:r w:rsidR="00FA29AF" w:rsidRPr="002D4F4C">
        <w:rPr>
          <w:b/>
          <w:sz w:val="20"/>
        </w:rPr>
        <w:t xml:space="preserve"> </w:t>
      </w:r>
      <w:r w:rsidR="00FA29AF">
        <w:rPr>
          <w:b/>
          <w:noProof/>
          <w:sz w:val="20"/>
        </w:rPr>
        <w:t>79</w:t>
      </w:r>
      <w:r w:rsidRPr="002E75D7">
        <w:rPr>
          <w:szCs w:val="22"/>
        </w:rPr>
        <w:fldChar w:fldCharType="end"/>
      </w:r>
      <w:r w:rsidRPr="002E75D7">
        <w:rPr>
          <w:szCs w:val="22"/>
        </w:rPr>
        <w:t>).</w:t>
      </w:r>
      <w:r w:rsidRPr="002E75D7">
        <w:rPr>
          <w:rStyle w:val="Odkaznapoznmkupodiarou"/>
          <w:szCs w:val="22"/>
        </w:rPr>
        <w:footnoteReference w:id="480"/>
      </w:r>
      <w:r w:rsidRPr="002E75D7">
        <w:rPr>
          <w:szCs w:val="22"/>
        </w:rPr>
        <w:t xml:space="preserve"> </w:t>
      </w:r>
      <w:r w:rsidRPr="00CA2564">
        <w:t>Kým v prostredí mimo MRK je dojčenská úmrtnosť najnižšia vo veku matky od 25 do 34 rokov, v prostredí MRK je to oveľa skôr, už vo veku 15 až 16 rokov.</w:t>
      </w:r>
      <w:r w:rsidRPr="00CA2564">
        <w:rPr>
          <w:rStyle w:val="Odkaznapoznmkupodiarou"/>
        </w:rPr>
        <w:footnoteReference w:id="481"/>
      </w:r>
      <w:r w:rsidRPr="00CA2564">
        <w:t xml:space="preserve"> Podobný trend vidieť aj pri porovnaní Afro-</w:t>
      </w:r>
      <w:r w:rsidR="00DC64CB">
        <w:t> </w:t>
      </w:r>
      <w:r w:rsidRPr="00CA2564">
        <w:t>Amerických a bielych žien v USA. Stúpajúca dojčenská úmrtnosť s vekom m</w:t>
      </w:r>
      <w:r w:rsidR="003C3ACE">
        <w:t>atky platí aj po zohľadnení jej </w:t>
      </w:r>
      <w:r w:rsidRPr="00CA2564">
        <w:t>vzdelania, počtu predošlých detí, a rizikových faktorov</w:t>
      </w:r>
      <w:r w:rsidR="003C3ACE">
        <w:t>,</w:t>
      </w:r>
      <w:r w:rsidRPr="00CA2564">
        <w:t xml:space="preserve"> ako viac </w:t>
      </w:r>
      <w:r w:rsidR="003C3ACE">
        <w:t>spolu narodených detí a fajčenie</w:t>
      </w:r>
      <w:r w:rsidRPr="00CA2564">
        <w:t xml:space="preserve"> počas tehotenstva (Cohen, 2016). Pravdepodobným dôvodom je zhoršujúci sa zdravotný stav žien počas plodného veku v prostredí chudoby, čo potvrdzuje aj výskum porovnávajúci alostatické zaťaženie (opotrebovanie tela v dôsledku vystavenia chronickému stresu) bielych a Afro-Amerických žien (Geronimus a spol., 2006). Vysokú mieru dojčenskej úmrtnosti v prostredí MRK preto nemožno pripisovať skoršiemu materstvu rómskych </w:t>
      </w:r>
      <w:r w:rsidRPr="006D6FE3">
        <w:t>žien (</w:t>
      </w:r>
      <w:r w:rsidR="00605327" w:rsidRPr="006D6FE3">
        <w:t>podkapitola</w:t>
      </w:r>
      <w:r w:rsidR="003C3ACE">
        <w:t> </w:t>
      </w:r>
      <w:r w:rsidR="006D6FE3" w:rsidRPr="006D6FE3">
        <w:fldChar w:fldCharType="begin"/>
      </w:r>
      <w:r w:rsidR="006D6FE3" w:rsidRPr="006D6FE3">
        <w:instrText xml:space="preserve"> REF _Ref26713408 \r \h </w:instrText>
      </w:r>
      <w:r w:rsidR="006D6FE3">
        <w:instrText xml:space="preserve"> \* MERGEFORMAT </w:instrText>
      </w:r>
      <w:r w:rsidR="006D6FE3" w:rsidRPr="006D6FE3">
        <w:fldChar w:fldCharType="separate"/>
      </w:r>
      <w:r w:rsidR="00FA29AF">
        <w:t>10.2</w:t>
      </w:r>
      <w:r w:rsidR="006D6FE3" w:rsidRPr="006D6FE3">
        <w:fldChar w:fldCharType="end"/>
      </w:r>
      <w:r w:rsidRPr="006D6FE3">
        <w:t>). To môže</w:t>
      </w:r>
      <w:r w:rsidRPr="00CA2564">
        <w:t xml:space="preserve"> byť dokonca príkladom spoločenskej adaptácie na život v extrémnej chudobe.</w:t>
      </w:r>
    </w:p>
    <w:tbl>
      <w:tblPr>
        <w:tblW w:w="0" w:type="auto"/>
        <w:tblLook w:val="04E0" w:firstRow="1" w:lastRow="1" w:firstColumn="1" w:lastColumn="0" w:noHBand="0" w:noVBand="1"/>
      </w:tblPr>
      <w:tblGrid>
        <w:gridCol w:w="9026"/>
      </w:tblGrid>
      <w:tr w:rsidR="007C7843" w:rsidRPr="00CA2564" w14:paraId="3E38D26D" w14:textId="77777777" w:rsidTr="002D4F4C">
        <w:tc>
          <w:tcPr>
            <w:tcW w:w="9072" w:type="dxa"/>
            <w:tcBorders>
              <w:bottom w:val="single" w:sz="4" w:space="0" w:color="auto"/>
            </w:tcBorders>
          </w:tcPr>
          <w:p w14:paraId="78FDDDF4" w14:textId="04003000" w:rsidR="007C7843" w:rsidRPr="002D4F4C" w:rsidRDefault="007C7843" w:rsidP="002D4F4C">
            <w:pPr>
              <w:spacing w:after="0" w:line="240" w:lineRule="auto"/>
              <w:jc w:val="left"/>
              <w:rPr>
                <w:b/>
                <w:sz w:val="20"/>
              </w:rPr>
            </w:pPr>
            <w:bookmarkStart w:id="1704" w:name="_Ref12977104"/>
            <w:bookmarkStart w:id="1705" w:name="_Toc17469453"/>
            <w:bookmarkStart w:id="1706" w:name="_Toc34157637"/>
            <w:r w:rsidRPr="002D4F4C">
              <w:rPr>
                <w:b/>
                <w:sz w:val="20"/>
              </w:rPr>
              <w:t xml:space="preserve">Graf </w:t>
            </w:r>
            <w:r w:rsidRPr="002D4F4C">
              <w:rPr>
                <w:b/>
                <w:noProof/>
                <w:sz w:val="20"/>
              </w:rPr>
              <w:fldChar w:fldCharType="begin"/>
            </w:r>
            <w:r w:rsidRPr="002D4F4C">
              <w:rPr>
                <w:b/>
                <w:noProof/>
                <w:sz w:val="20"/>
              </w:rPr>
              <w:instrText xml:space="preserve"> SEQ Graf \* ARABIC </w:instrText>
            </w:r>
            <w:r w:rsidRPr="002D4F4C">
              <w:rPr>
                <w:b/>
                <w:noProof/>
                <w:sz w:val="20"/>
              </w:rPr>
              <w:fldChar w:fldCharType="separate"/>
            </w:r>
            <w:r w:rsidR="00FA29AF">
              <w:rPr>
                <w:b/>
                <w:noProof/>
                <w:sz w:val="20"/>
              </w:rPr>
              <w:t>79</w:t>
            </w:r>
            <w:r w:rsidRPr="002D4F4C">
              <w:rPr>
                <w:b/>
                <w:noProof/>
                <w:sz w:val="20"/>
              </w:rPr>
              <w:fldChar w:fldCharType="end"/>
            </w:r>
            <w:bookmarkEnd w:id="1704"/>
            <w:r w:rsidRPr="002D4F4C">
              <w:rPr>
                <w:b/>
                <w:iCs/>
                <w:sz w:val="20"/>
              </w:rPr>
              <w:t xml:space="preserve">: </w:t>
            </w:r>
            <w:r w:rsidRPr="002D4F4C">
              <w:rPr>
                <w:rFonts w:eastAsia="Calibri" w:cs="Times New Roman"/>
                <w:b/>
                <w:iCs/>
                <w:sz w:val="20"/>
              </w:rPr>
              <w:t xml:space="preserve">Dojčenská úmrtnosť </w:t>
            </w:r>
            <w:r w:rsidR="00E528F7">
              <w:rPr>
                <w:rFonts w:eastAsia="Calibri" w:cs="Times New Roman"/>
                <w:b/>
                <w:iCs/>
                <w:sz w:val="20"/>
              </w:rPr>
              <w:t>(</w:t>
            </w:r>
            <w:r w:rsidR="00624D99" w:rsidRPr="002D4F4C">
              <w:rPr>
                <w:rFonts w:eastAsia="Calibri" w:cs="Times New Roman"/>
                <w:b/>
                <w:iCs/>
                <w:sz w:val="20"/>
              </w:rPr>
              <w:t>na 1000 živ</w:t>
            </w:r>
            <w:r w:rsidR="00157382" w:rsidRPr="002D4F4C">
              <w:rPr>
                <w:rFonts w:eastAsia="Calibri" w:cs="Times New Roman"/>
                <w:b/>
                <w:iCs/>
                <w:sz w:val="20"/>
              </w:rPr>
              <w:t>o</w:t>
            </w:r>
            <w:r w:rsidR="00624D99" w:rsidRPr="002D4F4C">
              <w:rPr>
                <w:rFonts w:eastAsia="Calibri" w:cs="Times New Roman"/>
                <w:b/>
                <w:iCs/>
                <w:sz w:val="20"/>
              </w:rPr>
              <w:t>n</w:t>
            </w:r>
            <w:r w:rsidR="00157382" w:rsidRPr="002D4F4C">
              <w:rPr>
                <w:rFonts w:eastAsia="Calibri" w:cs="Times New Roman"/>
                <w:b/>
                <w:iCs/>
                <w:sz w:val="20"/>
              </w:rPr>
              <w:t>a</w:t>
            </w:r>
            <w:r w:rsidR="00624D99" w:rsidRPr="002D4F4C">
              <w:rPr>
                <w:rFonts w:eastAsia="Calibri" w:cs="Times New Roman"/>
                <w:b/>
                <w:iCs/>
                <w:sz w:val="20"/>
              </w:rPr>
              <w:t xml:space="preserve">rodených detí) </w:t>
            </w:r>
            <w:r w:rsidRPr="002D4F4C">
              <w:rPr>
                <w:rFonts w:eastAsia="Calibri" w:cs="Times New Roman"/>
                <w:b/>
                <w:iCs/>
                <w:sz w:val="20"/>
              </w:rPr>
              <w:t>podľa veku matky, 2006 – 2015</w:t>
            </w:r>
            <w:bookmarkEnd w:id="1705"/>
            <w:bookmarkEnd w:id="1706"/>
            <w:r w:rsidRPr="002D4F4C">
              <w:rPr>
                <w:rFonts w:eastAsia="Calibri" w:cs="Times New Roman"/>
                <w:b/>
                <w:iCs/>
                <w:sz w:val="20"/>
              </w:rPr>
              <w:t xml:space="preserve"> </w:t>
            </w:r>
          </w:p>
        </w:tc>
      </w:tr>
      <w:tr w:rsidR="007C7843" w:rsidRPr="00CA2564" w14:paraId="2330C683" w14:textId="77777777" w:rsidTr="002D4F4C">
        <w:tblPrEx>
          <w:tblCellMar>
            <w:left w:w="70" w:type="dxa"/>
            <w:right w:w="70" w:type="dxa"/>
          </w:tblCellMar>
        </w:tblPrEx>
        <w:tc>
          <w:tcPr>
            <w:tcW w:w="9072" w:type="dxa"/>
            <w:tcBorders>
              <w:top w:val="single" w:sz="4" w:space="0" w:color="auto"/>
              <w:bottom w:val="single" w:sz="4" w:space="0" w:color="auto"/>
            </w:tcBorders>
          </w:tcPr>
          <w:p w14:paraId="24ED71F2" w14:textId="77777777" w:rsidR="007C7843" w:rsidRPr="00CA2564" w:rsidRDefault="007C7843" w:rsidP="002D4F4C">
            <w:pPr>
              <w:spacing w:after="0" w:line="240" w:lineRule="auto"/>
              <w:jc w:val="center"/>
              <w:rPr>
                <w:b/>
                <w:noProof/>
                <w:sz w:val="4"/>
                <w:szCs w:val="4"/>
              </w:rPr>
            </w:pPr>
          </w:p>
          <w:p w14:paraId="44391C4B" w14:textId="77777777" w:rsidR="007C7843" w:rsidRPr="00CA2564" w:rsidRDefault="007C7843" w:rsidP="002D4F4C">
            <w:pPr>
              <w:spacing w:after="0" w:line="240" w:lineRule="auto"/>
              <w:jc w:val="center"/>
              <w:rPr>
                <w:b/>
                <w:noProof/>
                <w:sz w:val="4"/>
                <w:szCs w:val="4"/>
              </w:rPr>
            </w:pPr>
            <w:r w:rsidRPr="00CA2564">
              <w:rPr>
                <w:noProof/>
                <w:lang w:eastAsia="sk-SK"/>
              </w:rPr>
              <w:drawing>
                <wp:inline distT="0" distB="0" distL="0" distR="0" wp14:anchorId="721A8368" wp14:editId="2DF7EE65">
                  <wp:extent cx="5362575" cy="1700213"/>
                  <wp:effectExtent l="0" t="0" r="0" b="0"/>
                  <wp:docPr id="28016" name="Graf 28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5DFF38BE" w14:textId="77777777" w:rsidR="007C7843" w:rsidRPr="00CA2564" w:rsidRDefault="007C7843" w:rsidP="002D4F4C">
            <w:pPr>
              <w:spacing w:after="0" w:line="240" w:lineRule="auto"/>
              <w:jc w:val="center"/>
              <w:rPr>
                <w:b/>
                <w:sz w:val="4"/>
                <w:szCs w:val="4"/>
              </w:rPr>
            </w:pPr>
          </w:p>
        </w:tc>
      </w:tr>
      <w:tr w:rsidR="007C7843" w:rsidRPr="00CA2564" w14:paraId="24917F0D" w14:textId="77777777" w:rsidTr="002D4F4C">
        <w:tc>
          <w:tcPr>
            <w:tcW w:w="9072" w:type="dxa"/>
            <w:tcBorders>
              <w:top w:val="single" w:sz="4" w:space="0" w:color="auto"/>
            </w:tcBorders>
          </w:tcPr>
          <w:p w14:paraId="213C623D" w14:textId="77777777" w:rsidR="007C7843" w:rsidRPr="002D4F4C" w:rsidRDefault="007C7843" w:rsidP="002D4F4C">
            <w:pPr>
              <w:spacing w:after="0" w:line="240" w:lineRule="auto"/>
              <w:jc w:val="right"/>
              <w:rPr>
                <w:rFonts w:eastAsia="Times New Roman" w:cs="Times New Roman"/>
                <w:i/>
                <w:iCs/>
                <w:color w:val="000000"/>
                <w:sz w:val="18"/>
                <w:szCs w:val="18"/>
              </w:rPr>
            </w:pPr>
            <w:r w:rsidRPr="002D4F4C">
              <w:rPr>
                <w:i/>
                <w:sz w:val="18"/>
                <w:szCs w:val="18"/>
              </w:rPr>
              <w:t xml:space="preserve">Zdroj: ÚHP na základe údajov </w:t>
            </w:r>
            <w:r w:rsidRPr="002D4F4C">
              <w:rPr>
                <w:rFonts w:eastAsia="Times New Roman" w:cs="Times New Roman"/>
                <w:i/>
                <w:iCs/>
                <w:color w:val="000000"/>
                <w:sz w:val="18"/>
                <w:szCs w:val="18"/>
              </w:rPr>
              <w:t>ÚPSVR, ARK a MV SR</w:t>
            </w:r>
          </w:p>
        </w:tc>
      </w:tr>
    </w:tbl>
    <w:p w14:paraId="566FB455" w14:textId="43D38B4F" w:rsidR="003A38FA" w:rsidRDefault="007C7843" w:rsidP="007C7843">
      <w:pPr>
        <w:spacing w:before="160"/>
        <w:rPr>
          <w:b/>
        </w:rPr>
      </w:pPr>
      <w:r w:rsidRPr="00CA2564">
        <w:rPr>
          <w:b/>
        </w:rPr>
        <w:t>Značné rozdiely v dojčenskej úmrtnosti v MRK existujú na regionálnej úrovn</w:t>
      </w:r>
      <w:r w:rsidRPr="003A38FA">
        <w:rPr>
          <w:b/>
        </w:rPr>
        <w:t>i</w:t>
      </w:r>
      <w:r w:rsidRPr="00D41517">
        <w:rPr>
          <w:b/>
        </w:rPr>
        <w:t>.</w:t>
      </w:r>
      <w:r w:rsidRPr="00CA2564">
        <w:t xml:space="preserve"> Najvyššia dojčenská úmrtnosť je v Košickom kraji (v priemere 14,8 úmrtí dojčiat na 1 000 živonarodených detí z MRK), najnižšia v Trnavskom kraji (v priemere 5,5 úmrtí dojčiat na 1 000 živonarodených detí z MRK).</w:t>
      </w:r>
      <w:r w:rsidR="00BD2C16">
        <w:t xml:space="preserve"> Najvyššia dojčenská úmrtnosť v </w:t>
      </w:r>
      <w:r w:rsidRPr="00CA2564">
        <w:t>MRK</w:t>
      </w:r>
      <w:r w:rsidR="00BD2C16">
        <w:t> </w:t>
      </w:r>
      <w:r w:rsidRPr="00CA2564">
        <w:t>je</w:t>
      </w:r>
      <w:r w:rsidR="00BD2C16">
        <w:t> </w:t>
      </w:r>
      <w:r w:rsidRPr="00CA2564">
        <w:t>v okrese Trebišov, kde medzi rokmi 2006 a 2015 dosahovala v priemere via</w:t>
      </w:r>
      <w:r w:rsidR="00BD2C16">
        <w:t>c ako 27 úmrtí dojčiat na 1 000 </w:t>
      </w:r>
      <w:r w:rsidRPr="00CA2564">
        <w:t>živonarodených detí, čo je zhruba na úrovni dnešnej Guatemaly alebo Alžírska.</w:t>
      </w:r>
      <w:r w:rsidRPr="00CA2564">
        <w:rPr>
          <w:rStyle w:val="Odkaznapoznmkupodiarou"/>
        </w:rPr>
        <w:footnoteReference w:id="482"/>
      </w:r>
    </w:p>
    <w:p w14:paraId="64EF4D1C" w14:textId="0A332CAA" w:rsidR="00C36630" w:rsidRDefault="007C7843" w:rsidP="007C7843">
      <w:pPr>
        <w:spacing w:before="160"/>
      </w:pPr>
      <w:r w:rsidRPr="00CA2564">
        <w:rPr>
          <w:b/>
        </w:rPr>
        <w:t>Ľudia z MRK nielen kratšie žijú, ale život častejšie prežijú v horšom zdravotnom stave.</w:t>
      </w:r>
      <w:r w:rsidR="0070047D">
        <w:rPr>
          <w:b/>
        </w:rPr>
        <w:t xml:space="preserve"> </w:t>
      </w:r>
      <w:r w:rsidRPr="00CA2564">
        <w:t>Medzi najdôležitejšie faktory patria nevhodné pracovné a životné podmienky spojené s chudobou (</w:t>
      </w:r>
      <w:r w:rsidRPr="00CA2564">
        <w:rPr>
          <w:noProof/>
        </w:rPr>
        <w:t>Gavurová &amp; Šoltés, 2013</w:t>
      </w:r>
      <w:r w:rsidRPr="00CA2564">
        <w:t>), časté onkologické ochorenia, užívanie návykových látok a s nimi súvisiace choroby</w:t>
      </w:r>
      <w:r w:rsidR="00BD2C16">
        <w:t xml:space="preserve"> a nezdravé stravovanie (Šoltés </w:t>
      </w:r>
      <w:r w:rsidRPr="00CA2564">
        <w:t xml:space="preserve">a kol., 2014). Nedostatočný prístup k pitnej vode a centrálnej kanalizácii v segregovaných oblastiach (kapitola </w:t>
      </w:r>
      <w:r w:rsidR="00596CBC">
        <w:fldChar w:fldCharType="begin"/>
      </w:r>
      <w:r w:rsidR="00596CBC">
        <w:instrText xml:space="preserve"> REF _Ref25315787 \r \h </w:instrText>
      </w:r>
      <w:r w:rsidR="00596CBC">
        <w:fldChar w:fldCharType="separate"/>
      </w:r>
      <w:r w:rsidR="00FA29AF">
        <w:t>9</w:t>
      </w:r>
      <w:r w:rsidR="00596CBC">
        <w:fldChar w:fldCharType="end"/>
      </w:r>
      <w:r w:rsidRPr="00CA2564">
        <w:t>) pomáha rozšíreniu infekčných ochorení</w:t>
      </w:r>
      <w:r w:rsidR="00BD2C16">
        <w:t xml:space="preserve">, ako osýpky a </w:t>
      </w:r>
      <w:r w:rsidRPr="00CA2564">
        <w:t>hepatitída A (Európska komisia, 2014)</w:t>
      </w:r>
      <w:r w:rsidR="00BD2C16">
        <w:t>,</w:t>
      </w:r>
      <w:r w:rsidRPr="00CA2564">
        <w:t xml:space="preserve"> i respiračných ochorení – 60 až 70 % novozistených výskytov tuberkulózy u mladistvých pochádza z MRK (</w:t>
      </w:r>
      <w:r w:rsidR="00BD2C16">
        <w:rPr>
          <w:noProof/>
        </w:rPr>
        <w:t>Solovič </w:t>
      </w:r>
      <w:r w:rsidRPr="00CA2564">
        <w:rPr>
          <w:noProof/>
        </w:rPr>
        <w:t>a kol., 2011</w:t>
      </w:r>
      <w:r w:rsidRPr="00CA2564">
        <w:t xml:space="preserve">). K horšiemu zdravotnému stavu </w:t>
      </w:r>
      <w:r w:rsidR="00A6467E">
        <w:t>ľudí z prostredia</w:t>
      </w:r>
      <w:r w:rsidRPr="00CA2564">
        <w:t xml:space="preserve"> MRK tiež prispieva ich väčšie vystavenie záťažiam </w:t>
      </w:r>
      <w:r w:rsidR="003C02B8">
        <w:t xml:space="preserve">životného prostredia </w:t>
      </w:r>
      <w:r w:rsidRPr="00CA2564">
        <w:t xml:space="preserve">ako je napríklad blízkosť k skládkam odpadu (legálnym aj nelegálnym) a </w:t>
      </w:r>
      <w:r w:rsidR="00803AB5">
        <w:t>kúrenie tuhým palivom (kapitola </w:t>
      </w:r>
      <w:r w:rsidR="00596CBC">
        <w:fldChar w:fldCharType="begin"/>
      </w:r>
      <w:r w:rsidR="00596CBC">
        <w:instrText xml:space="preserve"> REF _Ref25315794 \r \h </w:instrText>
      </w:r>
      <w:r w:rsidR="00596CBC">
        <w:fldChar w:fldCharType="separate"/>
      </w:r>
      <w:r w:rsidR="00FA29AF">
        <w:t>9</w:t>
      </w:r>
      <w:r w:rsidR="00596CBC">
        <w:fldChar w:fldCharType="end"/>
      </w:r>
      <w:r w:rsidRPr="00CA2564">
        <w:t>).</w:t>
      </w:r>
    </w:p>
    <w:tbl>
      <w:tblPr>
        <w:tblW w:w="0" w:type="auto"/>
        <w:tblLook w:val="04E0" w:firstRow="1" w:lastRow="1" w:firstColumn="1" w:lastColumn="0" w:noHBand="0" w:noVBand="1"/>
      </w:tblPr>
      <w:tblGrid>
        <w:gridCol w:w="9026"/>
      </w:tblGrid>
      <w:tr w:rsidR="00EF01EC" w:rsidRPr="00BB70D7" w14:paraId="666EAB67" w14:textId="77777777" w:rsidTr="00BB70D7">
        <w:tc>
          <w:tcPr>
            <w:tcW w:w="9072" w:type="dxa"/>
            <w:tcBorders>
              <w:bottom w:val="single" w:sz="4" w:space="0" w:color="auto"/>
            </w:tcBorders>
          </w:tcPr>
          <w:p w14:paraId="4035AE5B" w14:textId="261C3F73" w:rsidR="00EF01EC" w:rsidRPr="00BB70D7" w:rsidRDefault="00EF01EC" w:rsidP="00BB70D7">
            <w:pPr>
              <w:spacing w:after="0" w:line="240" w:lineRule="auto"/>
              <w:jc w:val="left"/>
              <w:rPr>
                <w:b/>
                <w:sz w:val="20"/>
              </w:rPr>
            </w:pPr>
            <w:bookmarkStart w:id="1707" w:name="_Ref30001781"/>
            <w:bookmarkStart w:id="1708" w:name="_Toc34157638"/>
            <w:r w:rsidRPr="00BB70D7">
              <w:rPr>
                <w:b/>
                <w:sz w:val="20"/>
              </w:rPr>
              <w:t xml:space="preserve">Graf </w:t>
            </w:r>
            <w:r w:rsidRPr="00BB70D7">
              <w:rPr>
                <w:b/>
                <w:sz w:val="20"/>
              </w:rPr>
              <w:fldChar w:fldCharType="begin"/>
            </w:r>
            <w:r w:rsidRPr="00BB70D7">
              <w:rPr>
                <w:b/>
                <w:sz w:val="20"/>
              </w:rPr>
              <w:instrText xml:space="preserve"> SEQ Graf \* ARABIC </w:instrText>
            </w:r>
            <w:r w:rsidRPr="00BB70D7">
              <w:rPr>
                <w:b/>
                <w:sz w:val="20"/>
              </w:rPr>
              <w:fldChar w:fldCharType="separate"/>
            </w:r>
            <w:r w:rsidR="00FA29AF">
              <w:rPr>
                <w:b/>
                <w:noProof/>
                <w:sz w:val="20"/>
              </w:rPr>
              <w:t>80</w:t>
            </w:r>
            <w:r w:rsidRPr="00BB70D7">
              <w:rPr>
                <w:b/>
                <w:sz w:val="20"/>
              </w:rPr>
              <w:fldChar w:fldCharType="end"/>
            </w:r>
            <w:bookmarkEnd w:id="1707"/>
            <w:r w:rsidRPr="00BB70D7">
              <w:rPr>
                <w:b/>
                <w:sz w:val="20"/>
              </w:rPr>
              <w:t xml:space="preserve">: </w:t>
            </w:r>
            <w:r w:rsidR="00BB70D7">
              <w:rPr>
                <w:b/>
                <w:sz w:val="20"/>
              </w:rPr>
              <w:t>Podiel</w:t>
            </w:r>
            <w:r w:rsidRPr="00BB70D7">
              <w:rPr>
                <w:b/>
                <w:sz w:val="20"/>
              </w:rPr>
              <w:t xml:space="preserve"> osôb v populácii, ktorým sa poskytuje kompenzá</w:t>
            </w:r>
            <w:r w:rsidR="00BB70D7">
              <w:rPr>
                <w:b/>
                <w:sz w:val="20"/>
              </w:rPr>
              <w:t>c</w:t>
            </w:r>
            <w:r w:rsidRPr="00BB70D7">
              <w:rPr>
                <w:b/>
                <w:sz w:val="20"/>
              </w:rPr>
              <w:t>i</w:t>
            </w:r>
            <w:r w:rsidR="005E1B61" w:rsidRPr="00BB70D7">
              <w:rPr>
                <w:b/>
                <w:sz w:val="20"/>
              </w:rPr>
              <w:t>a sociálnych dôsledkov ŤZP, 2018</w:t>
            </w:r>
            <w:r w:rsidRPr="00BB70D7">
              <w:rPr>
                <w:b/>
                <w:sz w:val="20"/>
              </w:rPr>
              <w:t xml:space="preserve"> (%)</w:t>
            </w:r>
            <w:bookmarkEnd w:id="1708"/>
          </w:p>
        </w:tc>
      </w:tr>
      <w:tr w:rsidR="00EF01EC" w:rsidRPr="00BB70D7" w14:paraId="139AC593" w14:textId="77777777" w:rsidTr="00BB70D7">
        <w:tblPrEx>
          <w:tblCellMar>
            <w:left w:w="70" w:type="dxa"/>
            <w:right w:w="70" w:type="dxa"/>
          </w:tblCellMar>
        </w:tblPrEx>
        <w:tc>
          <w:tcPr>
            <w:tcW w:w="9072" w:type="dxa"/>
            <w:tcBorders>
              <w:top w:val="single" w:sz="4" w:space="0" w:color="auto"/>
              <w:bottom w:val="single" w:sz="4" w:space="0" w:color="auto"/>
            </w:tcBorders>
          </w:tcPr>
          <w:p w14:paraId="3EB28029" w14:textId="77777777" w:rsidR="00EF01EC" w:rsidRPr="004A6338" w:rsidRDefault="00EF01EC" w:rsidP="00BB70D7">
            <w:pPr>
              <w:spacing w:after="0" w:line="240" w:lineRule="auto"/>
              <w:jc w:val="left"/>
              <w:rPr>
                <w:b/>
                <w:sz w:val="4"/>
                <w:szCs w:val="4"/>
              </w:rPr>
            </w:pPr>
          </w:p>
          <w:p w14:paraId="60EB7464" w14:textId="49E12771" w:rsidR="00EF01EC" w:rsidRPr="00BB70D7" w:rsidRDefault="005E1B61" w:rsidP="004A6338">
            <w:pPr>
              <w:spacing w:after="0" w:line="240" w:lineRule="auto"/>
              <w:jc w:val="center"/>
              <w:rPr>
                <w:b/>
                <w:sz w:val="20"/>
              </w:rPr>
            </w:pPr>
            <w:r w:rsidRPr="00BB70D7">
              <w:rPr>
                <w:b/>
                <w:noProof/>
                <w:sz w:val="20"/>
                <w:lang w:eastAsia="sk-SK"/>
              </w:rPr>
              <w:drawing>
                <wp:inline distT="0" distB="0" distL="0" distR="0" wp14:anchorId="5DB2E9FF" wp14:editId="460CBE78">
                  <wp:extent cx="5419725" cy="2000250"/>
                  <wp:effectExtent l="0" t="0" r="0" b="0"/>
                  <wp:docPr id="316" name="Graf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43DD15D1" w14:textId="77777777" w:rsidR="00EF01EC" w:rsidRPr="004A6338" w:rsidRDefault="00EF01EC" w:rsidP="00BB70D7">
            <w:pPr>
              <w:spacing w:after="0" w:line="240" w:lineRule="auto"/>
              <w:jc w:val="left"/>
              <w:rPr>
                <w:b/>
                <w:sz w:val="4"/>
                <w:szCs w:val="4"/>
              </w:rPr>
            </w:pPr>
          </w:p>
        </w:tc>
      </w:tr>
      <w:tr w:rsidR="00EF01EC" w:rsidRPr="00BB70D7" w14:paraId="43605143" w14:textId="77777777" w:rsidTr="00BB70D7">
        <w:tc>
          <w:tcPr>
            <w:tcW w:w="9072" w:type="dxa"/>
            <w:tcBorders>
              <w:top w:val="single" w:sz="4" w:space="0" w:color="auto"/>
            </w:tcBorders>
          </w:tcPr>
          <w:p w14:paraId="339A594B" w14:textId="77777777" w:rsidR="00EF01EC" w:rsidRPr="00BB70D7" w:rsidRDefault="00EF01EC" w:rsidP="00BB70D7">
            <w:pPr>
              <w:spacing w:after="0" w:line="240" w:lineRule="auto"/>
              <w:jc w:val="right"/>
              <w:rPr>
                <w:i/>
                <w:sz w:val="20"/>
              </w:rPr>
            </w:pPr>
            <w:r w:rsidRPr="00BB70D7">
              <w:rPr>
                <w:i/>
                <w:sz w:val="18"/>
              </w:rPr>
              <w:t>Zdroj: ÚHP na základe údajov ÚPSVR, ARK a MV SR</w:t>
            </w:r>
          </w:p>
        </w:tc>
      </w:tr>
    </w:tbl>
    <w:p w14:paraId="4E1B742D" w14:textId="5661A3F4" w:rsidR="00B5791C" w:rsidRDefault="00B5791C" w:rsidP="007C7843">
      <w:pPr>
        <w:spacing w:before="160"/>
      </w:pPr>
      <w:bookmarkStart w:id="1709" w:name="_Toc19881646"/>
      <w:bookmarkStart w:id="1710" w:name="_Toc19886092"/>
      <w:bookmarkStart w:id="1711" w:name="_Toc19940106"/>
      <w:bookmarkStart w:id="1712" w:name="_Toc19941593"/>
      <w:bookmarkStart w:id="1713" w:name="_Toc19944262"/>
      <w:bookmarkStart w:id="1714" w:name="_Toc20048497"/>
      <w:bookmarkStart w:id="1715" w:name="_Toc20065032"/>
      <w:bookmarkStart w:id="1716" w:name="_Toc20153978"/>
      <w:bookmarkStart w:id="1717" w:name="_Toc20154779"/>
      <w:bookmarkStart w:id="1718" w:name="_Toc20208103"/>
      <w:bookmarkStart w:id="1719" w:name="_Toc20300483"/>
      <w:bookmarkStart w:id="1720" w:name="_Toc20660716"/>
      <w:bookmarkStart w:id="1721" w:name="_Toc20661114"/>
      <w:bookmarkStart w:id="1722" w:name="_Toc21108535"/>
      <w:bookmarkStart w:id="1723" w:name="_Toc21108932"/>
      <w:bookmarkStart w:id="1724" w:name="_Toc21109292"/>
      <w:bookmarkStart w:id="1725" w:name="_Toc19881647"/>
      <w:bookmarkStart w:id="1726" w:name="_Toc19886093"/>
      <w:bookmarkStart w:id="1727" w:name="_Toc19940107"/>
      <w:bookmarkStart w:id="1728" w:name="_Toc19941594"/>
      <w:bookmarkStart w:id="1729" w:name="_Toc19944263"/>
      <w:bookmarkStart w:id="1730" w:name="_Toc20048498"/>
      <w:bookmarkStart w:id="1731" w:name="_Toc20065033"/>
      <w:bookmarkStart w:id="1732" w:name="_Toc20153979"/>
      <w:bookmarkStart w:id="1733" w:name="_Toc20154780"/>
      <w:bookmarkStart w:id="1734" w:name="_Toc20208104"/>
      <w:bookmarkStart w:id="1735" w:name="_Toc20300484"/>
      <w:bookmarkStart w:id="1736" w:name="_Toc20660717"/>
      <w:bookmarkStart w:id="1737" w:name="_Toc20661115"/>
      <w:bookmarkStart w:id="1738" w:name="_Toc21108536"/>
      <w:bookmarkStart w:id="1739" w:name="_Toc21108933"/>
      <w:bookmarkStart w:id="1740" w:name="_Toc21109293"/>
      <w:bookmarkStart w:id="1741" w:name="_Toc19881648"/>
      <w:bookmarkStart w:id="1742" w:name="_Toc19886094"/>
      <w:bookmarkStart w:id="1743" w:name="_Toc19940108"/>
      <w:bookmarkStart w:id="1744" w:name="_Toc19941595"/>
      <w:bookmarkStart w:id="1745" w:name="_Toc19944264"/>
      <w:bookmarkStart w:id="1746" w:name="_Toc20048499"/>
      <w:bookmarkStart w:id="1747" w:name="_Toc20065034"/>
      <w:bookmarkStart w:id="1748" w:name="_Toc20153980"/>
      <w:bookmarkStart w:id="1749" w:name="_Toc20154781"/>
      <w:bookmarkStart w:id="1750" w:name="_Toc20208105"/>
      <w:bookmarkStart w:id="1751" w:name="_Toc20300485"/>
      <w:bookmarkStart w:id="1752" w:name="_Toc20660718"/>
      <w:bookmarkStart w:id="1753" w:name="_Toc20661116"/>
      <w:bookmarkStart w:id="1754" w:name="_Toc21108537"/>
      <w:bookmarkStart w:id="1755" w:name="_Toc21108934"/>
      <w:bookmarkStart w:id="1756" w:name="_Toc21109294"/>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r w:rsidRPr="00285121">
        <w:rPr>
          <w:b/>
        </w:rPr>
        <w:t xml:space="preserve">O horšom zdravotnom stave v prostredí MRK svedčí aj skutočnosť, že s vekom rýchlejšie rastie podiel osôb, </w:t>
      </w:r>
      <w:r>
        <w:rPr>
          <w:b/>
        </w:rPr>
        <w:t>ktorým sa poskytuje kompenzácia sociálnych dôsledkov ťažkého zdravotného postihnutia (ŤZP).</w:t>
      </w:r>
      <w:r>
        <w:rPr>
          <w:rStyle w:val="Odkaznapoznmkupodiarou"/>
          <w:b/>
        </w:rPr>
        <w:footnoteReference w:id="483"/>
      </w:r>
      <w:r>
        <w:rPr>
          <w:b/>
        </w:rPr>
        <w:t xml:space="preserve"> </w:t>
      </w:r>
      <w:r>
        <w:t>Kým vo vekovej skupine pod 30 rokov je podiel poberateľov tohto druhu sociálnej pomoci podobný v prostredí MRK ako v celkovej populácii, vo vekovej skupine 60 až 69 ročných je už tento podiel v prostredí MRK o</w:t>
      </w:r>
      <w:r w:rsidR="00465362">
        <w:t xml:space="preserve"> vyše </w:t>
      </w:r>
      <w:r>
        <w:t>polovicu vyšší (</w:t>
      </w:r>
      <w:r w:rsidRPr="00285121">
        <w:rPr>
          <w:szCs w:val="22"/>
        </w:rPr>
        <w:fldChar w:fldCharType="begin"/>
      </w:r>
      <w:r w:rsidRPr="00285121">
        <w:rPr>
          <w:szCs w:val="22"/>
        </w:rPr>
        <w:instrText xml:space="preserve"> REF _Ref30001781 \h </w:instrText>
      </w:r>
      <w:r>
        <w:rPr>
          <w:szCs w:val="22"/>
        </w:rPr>
        <w:instrText xml:space="preserve"> \* MERGEFORMAT </w:instrText>
      </w:r>
      <w:r w:rsidRPr="00285121">
        <w:rPr>
          <w:szCs w:val="22"/>
        </w:rPr>
      </w:r>
      <w:r w:rsidRPr="00285121">
        <w:rPr>
          <w:szCs w:val="22"/>
        </w:rPr>
        <w:fldChar w:fldCharType="separate"/>
      </w:r>
      <w:r w:rsidR="00FA29AF" w:rsidRPr="00FA29AF">
        <w:rPr>
          <w:szCs w:val="22"/>
        </w:rPr>
        <w:t xml:space="preserve">Graf </w:t>
      </w:r>
      <w:r w:rsidR="00FA29AF" w:rsidRPr="00FA29AF">
        <w:rPr>
          <w:noProof/>
          <w:szCs w:val="22"/>
        </w:rPr>
        <w:t>80</w:t>
      </w:r>
      <w:r w:rsidRPr="00285121">
        <w:rPr>
          <w:szCs w:val="22"/>
        </w:rPr>
        <w:fldChar w:fldCharType="end"/>
      </w:r>
      <w:r>
        <w:t>). V celej populácii MRK je pritom podiel poberateľov nižší</w:t>
      </w:r>
      <w:r w:rsidR="00DB3ABB">
        <w:t>,</w:t>
      </w:r>
      <w:r>
        <w:t xml:space="preserve"> ako je priemer Slovenska. Dôvodom je odlišná veková štruktúra (vyšší podiel mladých ľudí v prostredí MRK).</w:t>
      </w:r>
    </w:p>
    <w:p w14:paraId="22AA772D" w14:textId="77777777" w:rsidR="00B5791C" w:rsidRPr="00CA2564" w:rsidRDefault="00B5791C" w:rsidP="00B5791C">
      <w:pPr>
        <w:pStyle w:val="Nadpis2"/>
        <w:spacing w:before="160"/>
      </w:pPr>
      <w:bookmarkStart w:id="1757" w:name="_Toc18340959"/>
      <w:bookmarkStart w:id="1758" w:name="_Ref26713408"/>
      <w:bookmarkStart w:id="1759" w:name="_Ref27498864"/>
      <w:bookmarkStart w:id="1760" w:name="_Toc34657744"/>
      <w:r w:rsidRPr="00CA2564">
        <w:t>Využívanie zdravotnej starostlivosti v prostredí MRK</w:t>
      </w:r>
      <w:bookmarkEnd w:id="1757"/>
      <w:bookmarkEnd w:id="1758"/>
      <w:bookmarkEnd w:id="1759"/>
      <w:bookmarkEnd w:id="1760"/>
    </w:p>
    <w:p w14:paraId="73474D59" w14:textId="2E2E66AD" w:rsidR="007C7843" w:rsidRPr="00CA2564" w:rsidRDefault="007C7843" w:rsidP="007C7843">
      <w:pPr>
        <w:spacing w:before="160"/>
      </w:pPr>
      <w:r w:rsidRPr="00CA2564">
        <w:rPr>
          <w:b/>
        </w:rPr>
        <w:t>Napriek horšiemu priemernému zdravotnému stavu a skoro univerzálnej miere pokrytia zdravotným poistením</w:t>
      </w:r>
      <w:r w:rsidRPr="00CA2564">
        <w:rPr>
          <w:rStyle w:val="Odkaznapoznmkupodiarou"/>
          <w:b/>
        </w:rPr>
        <w:footnoteReference w:id="484"/>
      </w:r>
      <w:r w:rsidRPr="00CA2564">
        <w:rPr>
          <w:b/>
        </w:rPr>
        <w:t xml:space="preserve"> je využívanie zdravotnej starostlivosti medzi </w:t>
      </w:r>
      <w:r w:rsidR="00A6467E">
        <w:rPr>
          <w:b/>
        </w:rPr>
        <w:t>ľuďmi z prostredia</w:t>
      </w:r>
      <w:r w:rsidR="00DB3ABB">
        <w:rPr>
          <w:b/>
        </w:rPr>
        <w:t xml:space="preserve"> MRK o 36 % nižšie ako </w:t>
      </w:r>
      <w:r w:rsidRPr="00CA2564">
        <w:rPr>
          <w:b/>
        </w:rPr>
        <w:t>v celkovej populácii</w:t>
      </w:r>
      <w:r w:rsidRPr="00CA2564">
        <w:t>. V roku 2016 tvorili priemerné výdavky verejného</w:t>
      </w:r>
      <w:r w:rsidR="00DB3ABB">
        <w:t xml:space="preserve"> zdravotného poistenia (VZP) na </w:t>
      </w:r>
      <w:r w:rsidR="00A6467E">
        <w:t>jedného človeka z prostredia</w:t>
      </w:r>
      <w:r w:rsidRPr="00CA2564">
        <w:t xml:space="preserve"> MRK 508 eur, kým na človeka z prostredia mimo MRK to bolo 793 eur. Tento rozdiel do veľkej miery odráža relatívne mladšiu vekovú štruktúru </w:t>
      </w:r>
      <w:r w:rsidR="00F557E7">
        <w:t>ľudí z prostredia</w:t>
      </w:r>
      <w:r w:rsidRPr="00CA2564">
        <w:t xml:space="preserve"> MRK – stredná hodnota veku v prostredí MRK je 22 rokov, vo zvyšku populácie je to 39 rokov. Aj po zohľadnení rozdielnej vekovej štruktúry zostáva medzera výdavkov na úrovni 4 %.</w:t>
      </w:r>
    </w:p>
    <w:p w14:paraId="116F4619" w14:textId="7CA76012" w:rsidR="007C7843" w:rsidRPr="00CA2564" w:rsidRDefault="007C7843" w:rsidP="007C7843">
      <w:pPr>
        <w:spacing w:before="160"/>
      </w:pPr>
      <w:r w:rsidRPr="00CA2564">
        <w:rPr>
          <w:b/>
        </w:rPr>
        <w:t>Nepomer vo využívaní zdravotnej starostlivosti je najväčší v mladších vekových skupinách, čo naznačuje nedostatočnú spotrebu preventívnej zdravotnej starostlivosti</w:t>
      </w:r>
      <w:r w:rsidRPr="00CA2564">
        <w:t xml:space="preserve"> (</w:t>
      </w:r>
      <w:r w:rsidRPr="00251BBE">
        <w:rPr>
          <w:szCs w:val="22"/>
        </w:rPr>
        <w:fldChar w:fldCharType="begin"/>
      </w:r>
      <w:r w:rsidRPr="00A379BE">
        <w:rPr>
          <w:szCs w:val="22"/>
        </w:rPr>
        <w:instrText xml:space="preserve"> REF _Ref525030828 \h </w:instrText>
      </w:r>
      <w:r w:rsidR="00091223">
        <w:rPr>
          <w:szCs w:val="22"/>
        </w:rPr>
        <w:instrText xml:space="preserve"> \* MERGEFORMAT </w:instrText>
      </w:r>
      <w:r w:rsidRPr="00251BBE">
        <w:rPr>
          <w:szCs w:val="22"/>
        </w:rPr>
      </w:r>
      <w:r w:rsidRPr="00251BBE">
        <w:rPr>
          <w:szCs w:val="22"/>
        </w:rPr>
        <w:fldChar w:fldCharType="separate"/>
      </w:r>
      <w:r w:rsidR="00FA29AF" w:rsidRPr="00FA29AF">
        <w:rPr>
          <w:szCs w:val="22"/>
        </w:rPr>
        <w:t xml:space="preserve">Graf </w:t>
      </w:r>
      <w:r w:rsidR="00FA29AF" w:rsidRPr="00FA29AF">
        <w:rPr>
          <w:iCs/>
          <w:noProof/>
          <w:szCs w:val="22"/>
        </w:rPr>
        <w:t>81</w:t>
      </w:r>
      <w:r w:rsidRPr="00251BBE">
        <w:rPr>
          <w:szCs w:val="22"/>
        </w:rPr>
        <w:fldChar w:fldCharType="end"/>
      </w:r>
      <w:r w:rsidRPr="00CA2564">
        <w:t>). Vo vekovej skupine 5 až 19 rokov sú výdavky na mužov z prostredia MRK o 38 % nižšie ako na mužov vo zvyšku populácie. To môže negatívne vplývať na zdravotný stav (a výdavky) v neskorších rokoch</w:t>
      </w:r>
      <w:r w:rsidR="002554B3">
        <w:t>,</w:t>
      </w:r>
      <w:r w:rsidRPr="00CA2564">
        <w:t xml:space="preserve"> ako aj na mieru dožitia. Nadpriemerná spotreba zdravotnej starostlivosti v prostredí MRK vo vekovej skupine do 4 rokov môže byť dôsledkom rovnakých faktorov</w:t>
      </w:r>
      <w:r w:rsidR="002554B3">
        <w:t>, ako </w:t>
      </w:r>
      <w:r w:rsidRPr="00CA2564">
        <w:t>relatívne vysoká dojčenská úmrtnosť. Zdravotné problémy po narodení zvyšujú výdavky na zdravotnú starostlivosť o novorodencov a v niektorých prípadoch sa končia smrťou.</w:t>
      </w:r>
    </w:p>
    <w:p w14:paraId="74E0DCCF" w14:textId="53574E6E" w:rsidR="007C7843" w:rsidRPr="001447D4" w:rsidRDefault="007C7843" w:rsidP="007C7843">
      <w:pPr>
        <w:spacing w:before="160"/>
        <w:rPr>
          <w:szCs w:val="22"/>
        </w:rPr>
      </w:pPr>
      <w:r w:rsidRPr="00CA2564">
        <w:rPr>
          <w:b/>
        </w:rPr>
        <w:t>Vekový profil žien je ovplyvnený využívaním zdravotníckych zariadení pri pôrode.</w:t>
      </w:r>
      <w:r w:rsidRPr="00CA2564">
        <w:t xml:space="preserve"> Ženy z MRK mávajú viac detí a v skoršom veku. Kým priemerný vek prvorodičiek v roku 2017 bol v populácii mimo MRK 28,6 rokov, v </w:t>
      </w:r>
      <w:r w:rsidRPr="001447D4">
        <w:rPr>
          <w:szCs w:val="22"/>
        </w:rPr>
        <w:t>prostredí MRK to bolo iba 20,9 rokov.</w:t>
      </w:r>
      <w:r w:rsidRPr="001447D4">
        <w:rPr>
          <w:rStyle w:val="Odkaznapoznmkupodiarou"/>
          <w:szCs w:val="22"/>
        </w:rPr>
        <w:footnoteReference w:id="485"/>
      </w:r>
      <w:r w:rsidRPr="001447D4">
        <w:rPr>
          <w:szCs w:val="22"/>
        </w:rPr>
        <w:t xml:space="preserve"> Tento rozdiel spôsobuje, že vo vekov</w:t>
      </w:r>
      <w:r w:rsidR="002554B3" w:rsidRPr="001447D4">
        <w:rPr>
          <w:szCs w:val="22"/>
        </w:rPr>
        <w:t>ej skupine od 15 do 24 rokov je </w:t>
      </w:r>
      <w:r w:rsidRPr="001447D4">
        <w:rPr>
          <w:szCs w:val="22"/>
        </w:rPr>
        <w:t>spotreba zdravotnej starostlivosti medzi ženami z MRK dočasne vyššia ako priemer celkovej populácie žien (</w:t>
      </w:r>
      <w:r w:rsidRPr="001447D4">
        <w:rPr>
          <w:szCs w:val="22"/>
        </w:rPr>
        <w:fldChar w:fldCharType="begin"/>
      </w:r>
      <w:r w:rsidRPr="001447D4">
        <w:rPr>
          <w:szCs w:val="22"/>
        </w:rPr>
        <w:instrText xml:space="preserve"> REF _Ref525030828 \h </w:instrText>
      </w:r>
      <w:r w:rsidR="00043F5E" w:rsidRPr="001447D4">
        <w:rPr>
          <w:szCs w:val="22"/>
        </w:rPr>
        <w:instrText xml:space="preserve"> \* MERGEFORMAT </w:instrText>
      </w:r>
      <w:r w:rsidRPr="001447D4">
        <w:rPr>
          <w:szCs w:val="22"/>
        </w:rPr>
      </w:r>
      <w:r w:rsidRPr="001447D4">
        <w:rPr>
          <w:szCs w:val="22"/>
        </w:rPr>
        <w:fldChar w:fldCharType="separate"/>
      </w:r>
      <w:r w:rsidR="00FA29AF" w:rsidRPr="00FA29AF">
        <w:rPr>
          <w:szCs w:val="22"/>
        </w:rPr>
        <w:t xml:space="preserve">Graf </w:t>
      </w:r>
      <w:r w:rsidR="00FA29AF" w:rsidRPr="00FA29AF">
        <w:rPr>
          <w:iCs/>
          <w:noProof/>
          <w:szCs w:val="22"/>
        </w:rPr>
        <w:t>81</w:t>
      </w:r>
      <w:r w:rsidRPr="001447D4">
        <w:rPr>
          <w:szCs w:val="22"/>
        </w:rPr>
        <w:fldChar w:fldCharType="end"/>
      </w:r>
      <w:r w:rsidRPr="001447D4">
        <w:rPr>
          <w:szCs w:val="22"/>
        </w:rPr>
        <w:t xml:space="preserve">). </w:t>
      </w:r>
    </w:p>
    <w:tbl>
      <w:tblPr>
        <w:tblW w:w="0" w:type="auto"/>
        <w:tblLook w:val="04E0" w:firstRow="1" w:lastRow="1" w:firstColumn="1" w:lastColumn="0" w:noHBand="0" w:noVBand="1"/>
      </w:tblPr>
      <w:tblGrid>
        <w:gridCol w:w="9026"/>
      </w:tblGrid>
      <w:tr w:rsidR="007C7843" w:rsidRPr="00CA2564" w14:paraId="6C1EC19E" w14:textId="77777777" w:rsidTr="000E0245">
        <w:tc>
          <w:tcPr>
            <w:tcW w:w="9072" w:type="dxa"/>
            <w:tcBorders>
              <w:bottom w:val="single" w:sz="4" w:space="0" w:color="auto"/>
            </w:tcBorders>
          </w:tcPr>
          <w:p w14:paraId="7183E616" w14:textId="6D3D71AD" w:rsidR="007C7843" w:rsidRPr="000E0245" w:rsidRDefault="007C7843" w:rsidP="000E0245">
            <w:pPr>
              <w:spacing w:after="0" w:line="240" w:lineRule="auto"/>
              <w:jc w:val="left"/>
              <w:rPr>
                <w:b/>
                <w:sz w:val="20"/>
              </w:rPr>
            </w:pPr>
            <w:bookmarkStart w:id="1761" w:name="_Ref525030828"/>
            <w:bookmarkStart w:id="1762" w:name="_Toc17469455"/>
            <w:bookmarkStart w:id="1763" w:name="_Toc34157639"/>
            <w:r w:rsidRPr="000E0245">
              <w:rPr>
                <w:b/>
                <w:sz w:val="20"/>
              </w:rPr>
              <w:t xml:space="preserve">Graf </w:t>
            </w:r>
            <w:r w:rsidRPr="000E0245">
              <w:rPr>
                <w:b/>
                <w:noProof/>
                <w:sz w:val="20"/>
              </w:rPr>
              <w:fldChar w:fldCharType="begin"/>
            </w:r>
            <w:r w:rsidRPr="000E0245">
              <w:rPr>
                <w:b/>
                <w:iCs/>
                <w:noProof/>
                <w:sz w:val="20"/>
              </w:rPr>
              <w:instrText xml:space="preserve"> SEQ Graf \* ARABIC </w:instrText>
            </w:r>
            <w:r w:rsidRPr="000E0245">
              <w:rPr>
                <w:b/>
                <w:noProof/>
                <w:sz w:val="20"/>
              </w:rPr>
              <w:fldChar w:fldCharType="separate"/>
            </w:r>
            <w:r w:rsidR="00FA29AF">
              <w:rPr>
                <w:b/>
                <w:iCs/>
                <w:noProof/>
                <w:sz w:val="20"/>
              </w:rPr>
              <w:t>81</w:t>
            </w:r>
            <w:r w:rsidRPr="000E0245">
              <w:rPr>
                <w:b/>
                <w:noProof/>
                <w:sz w:val="20"/>
              </w:rPr>
              <w:fldChar w:fldCharType="end"/>
            </w:r>
            <w:bookmarkEnd w:id="1761"/>
            <w:r w:rsidRPr="000E0245">
              <w:rPr>
                <w:b/>
                <w:sz w:val="20"/>
              </w:rPr>
              <w:t xml:space="preserve">: </w:t>
            </w:r>
            <w:r w:rsidRPr="000E0245">
              <w:rPr>
                <w:rFonts w:eastAsia="Calibri" w:cs="Times New Roman"/>
                <w:b/>
                <w:sz w:val="20"/>
              </w:rPr>
              <w:t>Priemerné výdavky VZP na hlavu podľa veku –</w:t>
            </w:r>
            <w:r w:rsidR="00A6467E" w:rsidRPr="000E0245">
              <w:rPr>
                <w:rFonts w:eastAsia="Calibri" w:cs="Times New Roman"/>
                <w:b/>
                <w:sz w:val="20"/>
              </w:rPr>
              <w:t xml:space="preserve"> </w:t>
            </w:r>
            <w:r w:rsidRPr="000E0245">
              <w:rPr>
                <w:rFonts w:eastAsia="Calibri" w:cs="Times New Roman"/>
                <w:b/>
                <w:sz w:val="20"/>
              </w:rPr>
              <w:t>MRK ako % slovenského priemeru, 2016</w:t>
            </w:r>
            <w:bookmarkEnd w:id="1762"/>
            <w:bookmarkEnd w:id="1763"/>
          </w:p>
        </w:tc>
      </w:tr>
      <w:tr w:rsidR="007C7843" w:rsidRPr="00CA2564" w14:paraId="52103887" w14:textId="77777777" w:rsidTr="000E0245">
        <w:tblPrEx>
          <w:tblCellMar>
            <w:left w:w="70" w:type="dxa"/>
            <w:right w:w="70" w:type="dxa"/>
          </w:tblCellMar>
        </w:tblPrEx>
        <w:tc>
          <w:tcPr>
            <w:tcW w:w="9072" w:type="dxa"/>
            <w:tcBorders>
              <w:top w:val="single" w:sz="4" w:space="0" w:color="auto"/>
              <w:bottom w:val="single" w:sz="4" w:space="0" w:color="auto"/>
            </w:tcBorders>
          </w:tcPr>
          <w:p w14:paraId="72F6AC54" w14:textId="77777777" w:rsidR="007C7843" w:rsidRPr="00CA2564" w:rsidRDefault="007C7843" w:rsidP="000E0245">
            <w:pPr>
              <w:spacing w:after="0" w:line="240" w:lineRule="auto"/>
              <w:jc w:val="center"/>
              <w:rPr>
                <w:b/>
                <w:sz w:val="4"/>
                <w:szCs w:val="4"/>
              </w:rPr>
            </w:pPr>
          </w:p>
          <w:p w14:paraId="7C3DFBF0" w14:textId="77777777" w:rsidR="007C7843" w:rsidRPr="00CA2564" w:rsidRDefault="007C7843" w:rsidP="000E0245">
            <w:pPr>
              <w:spacing w:after="0" w:line="240" w:lineRule="auto"/>
              <w:jc w:val="center"/>
              <w:rPr>
                <w:b/>
                <w:sz w:val="4"/>
                <w:szCs w:val="4"/>
              </w:rPr>
            </w:pPr>
            <w:r w:rsidRPr="00CA2564">
              <w:rPr>
                <w:noProof/>
                <w:lang w:eastAsia="sk-SK"/>
              </w:rPr>
              <w:drawing>
                <wp:inline distT="0" distB="0" distL="0" distR="0" wp14:anchorId="5F4EE033" wp14:editId="35A4EBD7">
                  <wp:extent cx="5760720" cy="2505075"/>
                  <wp:effectExtent l="0" t="0" r="0" b="0"/>
                  <wp:docPr id="353" name="Graf 3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70F715E7" w14:textId="795307EF" w:rsidR="007C7843" w:rsidRPr="00CA2564" w:rsidRDefault="0070047D" w:rsidP="000E0245">
            <w:pPr>
              <w:spacing w:after="0" w:line="240" w:lineRule="auto"/>
              <w:jc w:val="center"/>
              <w:rPr>
                <w:sz w:val="4"/>
                <w:szCs w:val="4"/>
              </w:rPr>
            </w:pPr>
            <w:r>
              <w:rPr>
                <w:b/>
                <w:sz w:val="4"/>
                <w:szCs w:val="4"/>
              </w:rPr>
              <w:t xml:space="preserve"> </w:t>
            </w:r>
          </w:p>
        </w:tc>
      </w:tr>
      <w:tr w:rsidR="007C7843" w:rsidRPr="00A379BE" w14:paraId="68668740" w14:textId="77777777" w:rsidTr="000E0245">
        <w:tc>
          <w:tcPr>
            <w:tcW w:w="9072" w:type="dxa"/>
            <w:tcBorders>
              <w:top w:val="single" w:sz="4" w:space="0" w:color="auto"/>
            </w:tcBorders>
          </w:tcPr>
          <w:p w14:paraId="53556563" w14:textId="77777777" w:rsidR="007C7843" w:rsidRPr="000E0245" w:rsidRDefault="007C7843" w:rsidP="000E0245">
            <w:pPr>
              <w:spacing w:after="0" w:line="240" w:lineRule="auto"/>
              <w:jc w:val="right"/>
              <w:rPr>
                <w:i/>
                <w:sz w:val="18"/>
                <w:szCs w:val="18"/>
              </w:rPr>
            </w:pPr>
            <w:r w:rsidRPr="000E0245">
              <w:rPr>
                <w:i/>
                <w:sz w:val="18"/>
                <w:szCs w:val="18"/>
              </w:rPr>
              <w:t>Zdroj: IFP na základe údajov MZ SR, ARK</w:t>
            </w:r>
          </w:p>
          <w:p w14:paraId="0E1F78B6" w14:textId="7F3A2C2B" w:rsidR="007C7843" w:rsidRPr="00A379BE" w:rsidRDefault="002A676F" w:rsidP="000E0245">
            <w:pPr>
              <w:spacing w:after="0" w:line="240" w:lineRule="auto"/>
              <w:jc w:val="left"/>
              <w:rPr>
                <w:b/>
                <w:sz w:val="18"/>
                <w:szCs w:val="18"/>
              </w:rPr>
            </w:pPr>
            <w:r w:rsidRPr="000E0245">
              <w:rPr>
                <w:rFonts w:eastAsia="Times New Roman" w:cs="Times New Roman"/>
                <w:i/>
                <w:iCs/>
                <w:color w:val="000000"/>
                <w:sz w:val="18"/>
                <w:szCs w:val="18"/>
              </w:rPr>
              <w:t xml:space="preserve">Poznámka: </w:t>
            </w:r>
            <w:r w:rsidRPr="000E0245">
              <w:rPr>
                <w:i/>
                <w:noProof/>
                <w:sz w:val="18"/>
                <w:szCs w:val="18"/>
              </w:rPr>
              <w:fldChar w:fldCharType="begin"/>
            </w:r>
            <w:r w:rsidRPr="000E0245">
              <w:rPr>
                <w:rFonts w:eastAsia="Times New Roman" w:cs="Times New Roman"/>
                <w:i/>
                <w:iCs/>
                <w:color w:val="000000"/>
                <w:sz w:val="18"/>
                <w:szCs w:val="18"/>
              </w:rPr>
              <w:instrText xml:space="preserve"> REF _Ref33439692 \h </w:instrText>
            </w:r>
            <w:r w:rsidRPr="000E0245">
              <w:rPr>
                <w:i/>
                <w:noProof/>
                <w:sz w:val="18"/>
                <w:szCs w:val="18"/>
              </w:rPr>
              <w:instrText xml:space="preserve"> \* MERGEFORMAT </w:instrText>
            </w:r>
            <w:r w:rsidRPr="000E0245">
              <w:rPr>
                <w:i/>
                <w:noProof/>
                <w:sz w:val="18"/>
                <w:szCs w:val="18"/>
              </w:rPr>
            </w:r>
            <w:r w:rsidRPr="000E0245">
              <w:rPr>
                <w:i/>
                <w:noProof/>
                <w:sz w:val="18"/>
                <w:szCs w:val="18"/>
              </w:rPr>
              <w:fldChar w:fldCharType="separate"/>
            </w:r>
            <w:r w:rsidR="00FA29AF" w:rsidRPr="00FA29AF">
              <w:rPr>
                <w:i/>
                <w:sz w:val="18"/>
                <w:szCs w:val="18"/>
              </w:rPr>
              <w:t xml:space="preserve">Box </w:t>
            </w:r>
            <w:r w:rsidR="00FA29AF" w:rsidRPr="00FA29AF">
              <w:rPr>
                <w:i/>
                <w:noProof/>
                <w:sz w:val="18"/>
                <w:szCs w:val="18"/>
              </w:rPr>
              <w:t>3</w:t>
            </w:r>
            <w:r w:rsidRPr="000E0245">
              <w:rPr>
                <w:i/>
                <w:noProof/>
                <w:sz w:val="18"/>
                <w:szCs w:val="18"/>
              </w:rPr>
              <w:fldChar w:fldCharType="end"/>
            </w:r>
            <w:r w:rsidRPr="000E0245">
              <w:rPr>
                <w:i/>
                <w:noProof/>
                <w:sz w:val="18"/>
                <w:szCs w:val="18"/>
              </w:rPr>
              <w:t xml:space="preserve"> </w:t>
            </w:r>
            <w:r w:rsidR="007C7843" w:rsidRPr="000E0245">
              <w:rPr>
                <w:i/>
                <w:noProof/>
                <w:sz w:val="18"/>
                <w:szCs w:val="18"/>
              </w:rPr>
              <w:t>pre definíciu MRK.</w:t>
            </w:r>
            <w:r w:rsidR="0070047D">
              <w:rPr>
                <w:rFonts w:eastAsia="Times New Roman" w:cs="Times New Roman"/>
                <w:b/>
                <w:iCs/>
                <w:color w:val="000000"/>
                <w:sz w:val="18"/>
                <w:szCs w:val="18"/>
              </w:rPr>
              <w:t xml:space="preserve"> </w:t>
            </w:r>
          </w:p>
        </w:tc>
      </w:tr>
    </w:tbl>
    <w:p w14:paraId="405F97BD" w14:textId="67AD30F5" w:rsidR="007C7843" w:rsidRPr="00CA2564" w:rsidRDefault="007C7843" w:rsidP="007C7843">
      <w:pPr>
        <w:spacing w:before="160"/>
      </w:pPr>
      <w:r w:rsidRPr="00CA2564">
        <w:rPr>
          <w:b/>
        </w:rPr>
        <w:t xml:space="preserve">Odlišný prístup k zdravotnej starostlivosti </w:t>
      </w:r>
      <w:r w:rsidR="00A6467E">
        <w:rPr>
          <w:b/>
        </w:rPr>
        <w:t>ľudí z prostredia MRK</w:t>
      </w:r>
      <w:r w:rsidRPr="00CA2564">
        <w:rPr>
          <w:b/>
        </w:rPr>
        <w:t xml:space="preserve"> pot</w:t>
      </w:r>
      <w:r w:rsidR="002554B3">
        <w:rPr>
          <w:b/>
        </w:rPr>
        <w:t>vrdzujú aj prieskumy. Menej ako </w:t>
      </w:r>
      <w:r w:rsidRPr="00CA2564">
        <w:rPr>
          <w:b/>
        </w:rPr>
        <w:t xml:space="preserve">polovica </w:t>
      </w:r>
      <w:r w:rsidR="00A6467E">
        <w:rPr>
          <w:b/>
        </w:rPr>
        <w:t>obyvateľov</w:t>
      </w:r>
      <w:r w:rsidRPr="00CA2564">
        <w:rPr>
          <w:b/>
        </w:rPr>
        <w:t> segregovaných alebo oddelených osídlen</w:t>
      </w:r>
      <w:r w:rsidR="00A6467E">
        <w:rPr>
          <w:b/>
        </w:rPr>
        <w:t>í</w:t>
      </w:r>
      <w:r w:rsidRPr="00CA2564">
        <w:rPr>
          <w:b/>
        </w:rPr>
        <w:t xml:space="preserve"> vyhľadá zdravotnú pomoc pri každom zdravotnom probléme, kým v majoritnej populácii žijúcej v ich blízkosti sa tak zachová skoro 60 % respondentov </w:t>
      </w:r>
      <w:r w:rsidRPr="00CA2564">
        <w:t xml:space="preserve">(UNDP, 2012). Navyše aj medzi tými, ktorí doktora navštívia, oveľa väčší podiel </w:t>
      </w:r>
      <w:r w:rsidR="00A6467E">
        <w:t>ľudí z prostredia</w:t>
      </w:r>
      <w:r w:rsidRPr="00CA2564">
        <w:t xml:space="preserve"> MRK si nekúpi všetky predpísané lieky v porovnaní s </w:t>
      </w:r>
      <w:r w:rsidR="00A6467E">
        <w:t>príslušníkmi</w:t>
      </w:r>
      <w:r w:rsidR="00A6467E" w:rsidRPr="00CA2564">
        <w:t xml:space="preserve"> </w:t>
      </w:r>
      <w:r w:rsidRPr="00CA2564">
        <w:t>majority. Rómovia taktiež málo spotrebúvajú preventívnu starostlivosť – takmer polovica vôbec nie je očkovaná v porovnaní s 1 % celej populácie (Európska komisia, 2014). Napriek tomu, že očkovanie je bezplatné a povinné, medzi rómskymi deťmi sa zaočkovanosť pohybuje od 48 % do 67 % v závislosti od typu očkovania, kým v celkovej populácii sa zaočkovanosť pohybuje v rozmedzí 98 % až 99 % (</w:t>
      </w:r>
      <w:r w:rsidRPr="00CA2564">
        <w:rPr>
          <w:noProof/>
        </w:rPr>
        <w:t>Popper a spol., 2009</w:t>
      </w:r>
      <w:r w:rsidRPr="00CA2564">
        <w:t>).</w:t>
      </w:r>
    </w:p>
    <w:p w14:paraId="2E4D004F" w14:textId="5EE1753A" w:rsidR="007C7843" w:rsidRPr="00CA2564" w:rsidRDefault="007C7843" w:rsidP="007C7843">
      <w:pPr>
        <w:pStyle w:val="Nadpis2"/>
        <w:spacing w:before="160"/>
      </w:pPr>
      <w:bookmarkStart w:id="1764" w:name="_Toc18340960"/>
      <w:bookmarkStart w:id="1765" w:name="_Ref25310043"/>
      <w:bookmarkStart w:id="1766" w:name="_Ref25310146"/>
      <w:bookmarkStart w:id="1767" w:name="_Ref25310430"/>
      <w:bookmarkStart w:id="1768" w:name="_Ref25315469"/>
      <w:bookmarkStart w:id="1769" w:name="_Toc34657745"/>
      <w:r w:rsidRPr="00CA2564">
        <w:t>Prekážky v dostupnosti zdravotnej starostlivosti a diskriminácia</w:t>
      </w:r>
      <w:bookmarkEnd w:id="1764"/>
      <w:bookmarkEnd w:id="1765"/>
      <w:bookmarkEnd w:id="1766"/>
      <w:bookmarkEnd w:id="1767"/>
      <w:bookmarkEnd w:id="1768"/>
      <w:bookmarkEnd w:id="1769"/>
    </w:p>
    <w:p w14:paraId="5B119796" w14:textId="5FD459DD" w:rsidR="007C7843" w:rsidRPr="00CA2564" w:rsidRDefault="007C7843" w:rsidP="007C7843">
      <w:pPr>
        <w:spacing w:before="160"/>
      </w:pPr>
      <w:r w:rsidRPr="00CA2564">
        <w:rPr>
          <w:b/>
        </w:rPr>
        <w:t>Prístup k zdravotnej starostlivosti pre chudobných ľudí obmedzujú vysoké dopravné náklady a doplatky</w:t>
      </w:r>
      <w:r w:rsidRPr="00CA2564">
        <w:t xml:space="preserve"> (</w:t>
      </w:r>
      <w:r w:rsidRPr="00CA2564">
        <w:rPr>
          <w:noProof/>
        </w:rPr>
        <w:t>Gavurová, Šoltés, &amp; Šoltés, 2014</w:t>
      </w:r>
      <w:r w:rsidRPr="00CA2564">
        <w:t>). Až 18 % rómskych respondentov v prieskume UNDP, ktorí nevyhľadali zdravotnú starostlivosť, keď ju potrebovali, uviedli ako dôvod finančnú nedostupnosť, v porovnaní s 1 % v majoritnej populácii žijúcej v ich blízkosti (</w:t>
      </w:r>
      <w:r w:rsidRPr="00CA2564">
        <w:fldChar w:fldCharType="begin"/>
      </w:r>
      <w:r w:rsidRPr="00CA2564">
        <w:instrText xml:space="preserve"> REF _Ref521656114 \h  \* MERGEFORMAT </w:instrText>
      </w:r>
      <w:r w:rsidRPr="00CA2564">
        <w:fldChar w:fldCharType="separate"/>
      </w:r>
      <w:r w:rsidR="00FA29AF" w:rsidRPr="00FA29AF">
        <w:t xml:space="preserve">Graf </w:t>
      </w:r>
      <w:r w:rsidR="00FA29AF" w:rsidRPr="00FA29AF">
        <w:rPr>
          <w:noProof/>
        </w:rPr>
        <w:t>82</w:t>
      </w:r>
      <w:r w:rsidRPr="00CA2564">
        <w:fldChar w:fldCharType="end"/>
      </w:r>
      <w:r w:rsidRPr="00CA2564">
        <w:t>).</w:t>
      </w:r>
    </w:p>
    <w:p w14:paraId="5D6C4DA2" w14:textId="14BFF589" w:rsidR="007C7843" w:rsidRPr="000D2847" w:rsidRDefault="007C7843" w:rsidP="007C7843">
      <w:pPr>
        <w:spacing w:before="160"/>
      </w:pPr>
      <w:r w:rsidRPr="00CA2564">
        <w:rPr>
          <w:b/>
        </w:rPr>
        <w:t>Finančná spoluúčasť pacientov na financovaní zdravotnej starostlivosti predstavuje v priemere 2,</w:t>
      </w:r>
      <w:r w:rsidR="002525BA">
        <w:rPr>
          <w:b/>
        </w:rPr>
        <w:t>3</w:t>
      </w:r>
      <w:r w:rsidRPr="00CA2564">
        <w:rPr>
          <w:b/>
        </w:rPr>
        <w:t xml:space="preserve"> % spotreby domácností, čo je pod priemerom krajín EÚ (</w:t>
      </w:r>
      <w:r w:rsidR="002525BA">
        <w:rPr>
          <w:b/>
        </w:rPr>
        <w:t>3,1</w:t>
      </w:r>
      <w:r w:rsidRPr="00CA2564">
        <w:rPr>
          <w:b/>
        </w:rPr>
        <w:t xml:space="preserve"> %)</w:t>
      </w:r>
      <w:r w:rsidRPr="00CA2564">
        <w:t xml:space="preserve"> (OECD, 201</w:t>
      </w:r>
      <w:r w:rsidR="002525BA">
        <w:t>9</w:t>
      </w:r>
      <w:r w:rsidRPr="00CA2564">
        <w:t>). Najväčšiu časť (71 %) spoluúčasti tvoria doplatky na lieky a zdravotné pomôcky. Druhou najväčšou kategóriou sú ambulantné služby. Z pohľadu špecializácií platia Slováci z vlastného vrecka najviac (po odrátaní platieb za lekárenskú ZS) u zubárov, za kúpeľnú zdravotnú starostlivosť a na gynekológii (Revízia</w:t>
      </w:r>
      <w:r w:rsidR="000D2847">
        <w:t xml:space="preserve"> výdavkov na zdravotníctvo II).</w:t>
      </w:r>
    </w:p>
    <w:tbl>
      <w:tblPr>
        <w:tblW w:w="0" w:type="auto"/>
        <w:tblLook w:val="04E0" w:firstRow="1" w:lastRow="1" w:firstColumn="1" w:lastColumn="0" w:noHBand="0" w:noVBand="1"/>
      </w:tblPr>
      <w:tblGrid>
        <w:gridCol w:w="4848"/>
        <w:gridCol w:w="222"/>
        <w:gridCol w:w="3956"/>
      </w:tblGrid>
      <w:tr w:rsidR="007C7843" w:rsidRPr="00CA2564" w14:paraId="05B1724B" w14:textId="77777777" w:rsidTr="006D788A">
        <w:tc>
          <w:tcPr>
            <w:tcW w:w="4883" w:type="dxa"/>
            <w:tcBorders>
              <w:bottom w:val="single" w:sz="4" w:space="0" w:color="auto"/>
            </w:tcBorders>
          </w:tcPr>
          <w:p w14:paraId="1EEB2AC7" w14:textId="29F74182" w:rsidR="007C7843" w:rsidRPr="006D788A" w:rsidRDefault="007C7843" w:rsidP="006D788A">
            <w:pPr>
              <w:spacing w:after="0" w:line="240" w:lineRule="auto"/>
              <w:rPr>
                <w:b/>
                <w:sz w:val="20"/>
              </w:rPr>
            </w:pPr>
            <w:bookmarkStart w:id="1770" w:name="_Ref521656114"/>
            <w:bookmarkStart w:id="1771" w:name="_Toc17469456"/>
            <w:bookmarkStart w:id="1772" w:name="_Toc34157640"/>
            <w:r w:rsidRPr="006D788A">
              <w:rPr>
                <w:b/>
                <w:sz w:val="20"/>
              </w:rPr>
              <w:t xml:space="preserve">Graf </w:t>
            </w:r>
            <w:r w:rsidRPr="006D788A">
              <w:rPr>
                <w:b/>
                <w:sz w:val="20"/>
              </w:rPr>
              <w:fldChar w:fldCharType="begin"/>
            </w:r>
            <w:r w:rsidRPr="006D788A">
              <w:rPr>
                <w:b/>
                <w:sz w:val="20"/>
              </w:rPr>
              <w:instrText xml:space="preserve"> SEQ Graf \* ARABIC </w:instrText>
            </w:r>
            <w:r w:rsidRPr="006D788A">
              <w:rPr>
                <w:b/>
                <w:sz w:val="20"/>
              </w:rPr>
              <w:fldChar w:fldCharType="separate"/>
            </w:r>
            <w:r w:rsidR="00FA29AF">
              <w:rPr>
                <w:b/>
                <w:noProof/>
                <w:sz w:val="20"/>
              </w:rPr>
              <w:t>82</w:t>
            </w:r>
            <w:r w:rsidRPr="006D788A">
              <w:rPr>
                <w:b/>
                <w:sz w:val="20"/>
              </w:rPr>
              <w:fldChar w:fldCharType="end"/>
            </w:r>
            <w:bookmarkEnd w:id="1770"/>
            <w:r w:rsidRPr="006D788A">
              <w:rPr>
                <w:b/>
                <w:iCs/>
                <w:sz w:val="20"/>
              </w:rPr>
              <w:t>: Dôvody nevyhľa</w:t>
            </w:r>
            <w:r w:rsidR="00FC45F0">
              <w:rPr>
                <w:b/>
                <w:iCs/>
                <w:sz w:val="20"/>
              </w:rPr>
              <w:t>dania lekárskeho vyšetrenia 6 a </w:t>
            </w:r>
            <w:r w:rsidRPr="006D788A">
              <w:rPr>
                <w:b/>
                <w:iCs/>
                <w:sz w:val="20"/>
              </w:rPr>
              <w:t>viac ročných so zdravotnými problémami</w:t>
            </w:r>
            <w:r w:rsidRPr="006D788A">
              <w:rPr>
                <w:b/>
                <w:sz w:val="20"/>
              </w:rPr>
              <w:t xml:space="preserve"> (%)</w:t>
            </w:r>
            <w:bookmarkEnd w:id="1771"/>
            <w:bookmarkEnd w:id="1772"/>
          </w:p>
        </w:tc>
        <w:tc>
          <w:tcPr>
            <w:tcW w:w="222" w:type="dxa"/>
            <w:tcBorders>
              <w:bottom w:val="nil"/>
            </w:tcBorders>
          </w:tcPr>
          <w:p w14:paraId="3ED4CF7D" w14:textId="77777777" w:rsidR="007C7843" w:rsidRPr="006D788A" w:rsidRDefault="007C7843" w:rsidP="006D788A">
            <w:pPr>
              <w:spacing w:after="0" w:line="240" w:lineRule="auto"/>
              <w:rPr>
                <w:b/>
                <w:sz w:val="20"/>
              </w:rPr>
            </w:pPr>
          </w:p>
        </w:tc>
        <w:tc>
          <w:tcPr>
            <w:tcW w:w="3985" w:type="dxa"/>
            <w:tcBorders>
              <w:bottom w:val="single" w:sz="4" w:space="0" w:color="auto"/>
            </w:tcBorders>
          </w:tcPr>
          <w:p w14:paraId="0528B4EC" w14:textId="77777777" w:rsidR="007C7843" w:rsidRPr="006D788A" w:rsidRDefault="007C7843" w:rsidP="006D788A">
            <w:pPr>
              <w:spacing w:after="0" w:line="240" w:lineRule="auto"/>
              <w:rPr>
                <w:b/>
                <w:sz w:val="20"/>
              </w:rPr>
            </w:pPr>
            <w:bookmarkStart w:id="1773" w:name="_Ref521657676"/>
            <w:bookmarkStart w:id="1774" w:name="_Toc17469457"/>
            <w:bookmarkStart w:id="1775" w:name="_Toc34157641"/>
            <w:r w:rsidRPr="006D788A">
              <w:rPr>
                <w:b/>
                <w:sz w:val="20"/>
              </w:rPr>
              <w:t xml:space="preserve">Graf </w:t>
            </w:r>
            <w:r w:rsidRPr="006D788A">
              <w:rPr>
                <w:b/>
                <w:sz w:val="20"/>
              </w:rPr>
              <w:fldChar w:fldCharType="begin"/>
            </w:r>
            <w:r w:rsidRPr="006D788A">
              <w:rPr>
                <w:b/>
                <w:sz w:val="20"/>
              </w:rPr>
              <w:instrText xml:space="preserve"> SEQ Graf \* ARABIC </w:instrText>
            </w:r>
            <w:r w:rsidRPr="006D788A">
              <w:rPr>
                <w:b/>
                <w:sz w:val="20"/>
              </w:rPr>
              <w:fldChar w:fldCharType="separate"/>
            </w:r>
            <w:r w:rsidR="00FA29AF">
              <w:rPr>
                <w:b/>
                <w:noProof/>
                <w:sz w:val="20"/>
              </w:rPr>
              <w:t>83</w:t>
            </w:r>
            <w:r w:rsidRPr="006D788A">
              <w:rPr>
                <w:b/>
                <w:sz w:val="20"/>
              </w:rPr>
              <w:fldChar w:fldCharType="end"/>
            </w:r>
            <w:bookmarkEnd w:id="1773"/>
            <w:r w:rsidRPr="006D788A">
              <w:rPr>
                <w:b/>
                <w:iCs/>
                <w:sz w:val="20"/>
              </w:rPr>
              <w:t>: Podiel populácie žijúcej v obci vzdialenej 10 a viac km od najbližšej lekárskej ambulancie (%)</w:t>
            </w:r>
            <w:bookmarkEnd w:id="1774"/>
            <w:bookmarkEnd w:id="1775"/>
          </w:p>
        </w:tc>
      </w:tr>
      <w:tr w:rsidR="007C7843" w:rsidRPr="00CA2564" w14:paraId="3F707329" w14:textId="77777777" w:rsidTr="006D788A">
        <w:tblPrEx>
          <w:tblCellMar>
            <w:left w:w="70" w:type="dxa"/>
            <w:right w:w="70" w:type="dxa"/>
          </w:tblCellMar>
        </w:tblPrEx>
        <w:tc>
          <w:tcPr>
            <w:tcW w:w="4883" w:type="dxa"/>
            <w:tcBorders>
              <w:top w:val="single" w:sz="4" w:space="0" w:color="auto"/>
              <w:bottom w:val="single" w:sz="4" w:space="0" w:color="auto"/>
            </w:tcBorders>
          </w:tcPr>
          <w:p w14:paraId="037A4F56" w14:textId="77777777" w:rsidR="007C7843" w:rsidRPr="00CA2564" w:rsidRDefault="007C7843" w:rsidP="006D788A">
            <w:pPr>
              <w:spacing w:after="0" w:line="240" w:lineRule="auto"/>
              <w:rPr>
                <w:sz w:val="4"/>
                <w:szCs w:val="4"/>
              </w:rPr>
            </w:pPr>
          </w:p>
          <w:p w14:paraId="0642508A" w14:textId="77777777" w:rsidR="007C7843" w:rsidRPr="00CA2564" w:rsidRDefault="007C7843" w:rsidP="006D788A">
            <w:pPr>
              <w:spacing w:after="0" w:line="240" w:lineRule="auto"/>
              <w:rPr>
                <w:sz w:val="4"/>
                <w:szCs w:val="4"/>
              </w:rPr>
            </w:pPr>
            <w:r w:rsidRPr="00CA2564">
              <w:rPr>
                <w:noProof/>
                <w:lang w:eastAsia="sk-SK"/>
              </w:rPr>
              <w:drawing>
                <wp:inline distT="0" distB="0" distL="0" distR="0" wp14:anchorId="2E37FAAE" wp14:editId="2DF19BC0">
                  <wp:extent cx="3114675" cy="2419350"/>
                  <wp:effectExtent l="0" t="0" r="0" b="0"/>
                  <wp:docPr id="355" name="Graf 3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39187DBF" w14:textId="77777777" w:rsidR="007C7843" w:rsidRPr="00CA2564" w:rsidRDefault="007C7843" w:rsidP="006D788A">
            <w:pPr>
              <w:spacing w:after="0" w:line="240" w:lineRule="auto"/>
              <w:rPr>
                <w:sz w:val="4"/>
                <w:szCs w:val="4"/>
              </w:rPr>
            </w:pPr>
          </w:p>
        </w:tc>
        <w:tc>
          <w:tcPr>
            <w:tcW w:w="222" w:type="dxa"/>
            <w:tcBorders>
              <w:top w:val="nil"/>
              <w:bottom w:val="nil"/>
            </w:tcBorders>
          </w:tcPr>
          <w:p w14:paraId="7B9CEA64" w14:textId="77777777" w:rsidR="007C7843" w:rsidRPr="00CA2564" w:rsidRDefault="007C7843" w:rsidP="006D788A">
            <w:pPr>
              <w:spacing w:after="0" w:line="240" w:lineRule="auto"/>
              <w:rPr>
                <w:noProof/>
              </w:rPr>
            </w:pPr>
          </w:p>
        </w:tc>
        <w:tc>
          <w:tcPr>
            <w:tcW w:w="3985" w:type="dxa"/>
            <w:tcBorders>
              <w:top w:val="single" w:sz="4" w:space="0" w:color="auto"/>
              <w:bottom w:val="single" w:sz="4" w:space="0" w:color="auto"/>
            </w:tcBorders>
          </w:tcPr>
          <w:p w14:paraId="4DD8EEA5" w14:textId="77777777" w:rsidR="007C7843" w:rsidRPr="00CA2564" w:rsidRDefault="007C7843" w:rsidP="006D788A">
            <w:pPr>
              <w:spacing w:after="0" w:line="240" w:lineRule="auto"/>
              <w:rPr>
                <w:noProof/>
                <w:sz w:val="4"/>
                <w:szCs w:val="4"/>
              </w:rPr>
            </w:pPr>
          </w:p>
          <w:p w14:paraId="16481493" w14:textId="1C399018" w:rsidR="007C7843" w:rsidRPr="00CA2564" w:rsidRDefault="00D40C58" w:rsidP="006D788A">
            <w:pPr>
              <w:spacing w:after="0" w:line="240" w:lineRule="auto"/>
              <w:rPr>
                <w:noProof/>
                <w:sz w:val="4"/>
                <w:szCs w:val="4"/>
              </w:rPr>
            </w:pPr>
            <w:r>
              <w:rPr>
                <w:noProof/>
                <w:lang w:eastAsia="sk-SK"/>
              </w:rPr>
              <w:drawing>
                <wp:inline distT="0" distB="0" distL="0" distR="0" wp14:anchorId="2CD68F7C" wp14:editId="3C26A134">
                  <wp:extent cx="2524125" cy="2409825"/>
                  <wp:effectExtent l="0" t="0" r="0" b="0"/>
                  <wp:docPr id="325" name="Graf 3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6649FCB4" w14:textId="77777777" w:rsidR="007C7843" w:rsidRPr="00CA2564" w:rsidRDefault="007C7843" w:rsidP="006D788A">
            <w:pPr>
              <w:spacing w:after="0" w:line="240" w:lineRule="auto"/>
              <w:rPr>
                <w:sz w:val="4"/>
                <w:szCs w:val="4"/>
              </w:rPr>
            </w:pPr>
          </w:p>
        </w:tc>
      </w:tr>
      <w:tr w:rsidR="007C7843" w:rsidRPr="00CA2564" w14:paraId="0DAEF7BE" w14:textId="77777777" w:rsidTr="006D788A">
        <w:tc>
          <w:tcPr>
            <w:tcW w:w="4883" w:type="dxa"/>
            <w:tcBorders>
              <w:top w:val="single" w:sz="4" w:space="0" w:color="auto"/>
            </w:tcBorders>
          </w:tcPr>
          <w:p w14:paraId="57FEC9B4" w14:textId="77777777" w:rsidR="007C7843" w:rsidRPr="006D788A" w:rsidRDefault="007C7843" w:rsidP="006D788A">
            <w:pPr>
              <w:spacing w:after="0" w:line="240" w:lineRule="auto"/>
              <w:jc w:val="right"/>
              <w:rPr>
                <w:i/>
                <w:noProof/>
                <w:sz w:val="18"/>
                <w:szCs w:val="18"/>
              </w:rPr>
            </w:pPr>
            <w:r w:rsidRPr="006D788A">
              <w:rPr>
                <w:i/>
                <w:noProof/>
                <w:sz w:val="18"/>
                <w:szCs w:val="18"/>
              </w:rPr>
              <w:t>Zdroj: UNDP</w:t>
            </w:r>
          </w:p>
          <w:p w14:paraId="648CE81D" w14:textId="00F9E00C" w:rsidR="007C7843" w:rsidRPr="006D788A" w:rsidRDefault="007C7843" w:rsidP="006D788A">
            <w:pPr>
              <w:spacing w:after="0" w:line="240" w:lineRule="auto"/>
              <w:rPr>
                <w:i/>
                <w:noProof/>
                <w:sz w:val="18"/>
                <w:szCs w:val="18"/>
              </w:rPr>
            </w:pPr>
            <w:r w:rsidRPr="006D788A">
              <w:rPr>
                <w:i/>
                <w:noProof/>
                <w:sz w:val="18"/>
                <w:szCs w:val="18"/>
              </w:rPr>
              <w:t xml:space="preserve">Otázka: </w:t>
            </w:r>
            <w:r w:rsidRPr="006D788A">
              <w:rPr>
                <w:rFonts w:eastAsia="MyriadPro-It" w:cs="MyriadPro-It"/>
                <w:i/>
                <w:iCs/>
                <w:sz w:val="18"/>
                <w:szCs w:val="18"/>
              </w:rPr>
              <w:t>Čo bolo hlavným dôvodom, že</w:t>
            </w:r>
            <w:r w:rsidR="0070047D" w:rsidRPr="006D788A">
              <w:rPr>
                <w:rFonts w:eastAsia="MyriadPro-It" w:cs="MyriadPro-It"/>
                <w:i/>
                <w:iCs/>
                <w:sz w:val="18"/>
                <w:szCs w:val="18"/>
              </w:rPr>
              <w:t xml:space="preserve"> </w:t>
            </w:r>
            <w:r w:rsidRPr="006D788A">
              <w:rPr>
                <w:rFonts w:eastAsia="MyriadPro-It" w:cs="MyriadPro-It"/>
                <w:i/>
                <w:iCs/>
                <w:sz w:val="18"/>
                <w:szCs w:val="18"/>
              </w:rPr>
              <w:t>ste nevyhľadali lekárske ošetrenie, nebolo Vám poskytnuté vyšetrenie či liečba?</w:t>
            </w:r>
          </w:p>
        </w:tc>
        <w:tc>
          <w:tcPr>
            <w:tcW w:w="222" w:type="dxa"/>
            <w:tcBorders>
              <w:top w:val="nil"/>
            </w:tcBorders>
          </w:tcPr>
          <w:p w14:paraId="0CB185B1" w14:textId="77777777" w:rsidR="007C7843" w:rsidRPr="006D788A" w:rsidRDefault="007C7843" w:rsidP="006D788A">
            <w:pPr>
              <w:spacing w:after="0" w:line="240" w:lineRule="auto"/>
              <w:jc w:val="right"/>
              <w:rPr>
                <w:i/>
                <w:noProof/>
                <w:sz w:val="18"/>
                <w:szCs w:val="18"/>
              </w:rPr>
            </w:pPr>
          </w:p>
        </w:tc>
        <w:tc>
          <w:tcPr>
            <w:tcW w:w="3985" w:type="dxa"/>
            <w:tcBorders>
              <w:top w:val="single" w:sz="4" w:space="0" w:color="auto"/>
            </w:tcBorders>
          </w:tcPr>
          <w:p w14:paraId="11629306" w14:textId="15667C64" w:rsidR="007C7843" w:rsidRPr="006D788A" w:rsidRDefault="007C7843" w:rsidP="006D788A">
            <w:pPr>
              <w:spacing w:after="0" w:line="240" w:lineRule="auto"/>
              <w:jc w:val="right"/>
              <w:rPr>
                <w:i/>
                <w:noProof/>
                <w:sz w:val="18"/>
                <w:szCs w:val="18"/>
              </w:rPr>
            </w:pPr>
            <w:r w:rsidRPr="006D788A">
              <w:rPr>
                <w:i/>
                <w:noProof/>
                <w:sz w:val="18"/>
                <w:szCs w:val="18"/>
              </w:rPr>
              <w:t>Zdroj: ÚHP na základe údajov z</w:t>
            </w:r>
            <w:r w:rsidR="004A0ED3" w:rsidRPr="006D788A">
              <w:rPr>
                <w:i/>
                <w:noProof/>
                <w:sz w:val="18"/>
                <w:szCs w:val="18"/>
              </w:rPr>
              <w:t> </w:t>
            </w:r>
            <w:r w:rsidRPr="006D788A">
              <w:rPr>
                <w:i/>
                <w:noProof/>
                <w:sz w:val="18"/>
                <w:szCs w:val="18"/>
              </w:rPr>
              <w:t>ARK</w:t>
            </w:r>
            <w:r w:rsidR="004A0ED3" w:rsidRPr="006D788A">
              <w:rPr>
                <w:i/>
                <w:noProof/>
                <w:sz w:val="18"/>
                <w:szCs w:val="18"/>
              </w:rPr>
              <w:t xml:space="preserve"> 2019</w:t>
            </w:r>
          </w:p>
        </w:tc>
      </w:tr>
    </w:tbl>
    <w:p w14:paraId="50E25183" w14:textId="77777777" w:rsidR="00870A4F" w:rsidRDefault="000D2847" w:rsidP="007C7843">
      <w:pPr>
        <w:spacing w:before="160"/>
        <w:rPr>
          <w:b/>
          <w:bCs/>
        </w:rPr>
      </w:pPr>
      <w:r w:rsidRPr="00CA2564">
        <w:rPr>
          <w:b/>
        </w:rPr>
        <w:t xml:space="preserve">Na rozdiel od väčšiny ostatných krajín OECD na Slovensku úplne absentujú opatrenia na zmiernenie finančnej záťaže v dôsledku nízkeho príjmu </w:t>
      </w:r>
      <w:r w:rsidRPr="00CA2564">
        <w:t>(Paris, 2016). Pritom pre chudobných ľudí môže byť finančná záťaž mnohonásobne vyššia</w:t>
      </w:r>
      <w:r>
        <w:t>,</w:t>
      </w:r>
      <w:r w:rsidRPr="00CA2564">
        <w:t xml:space="preserve"> ako je celoštátny priemer. Slovenská legislatíva ochraňuje akurát dôchodcov, deti do 6 rokov veku a zdravotne postihnutých pred vysokými doplatkami za lieky. Časť doplatku, ktorá prekračuje zákonom stanovený limit</w:t>
      </w:r>
      <w:r>
        <w:t>,</w:t>
      </w:r>
      <w:r w:rsidRPr="00CA2564">
        <w:t xml:space="preserve"> sa pre tieto skupiny dodatočne prepláca.</w:t>
      </w:r>
      <w:r>
        <w:rPr>
          <w:rStyle w:val="Odkaznapoznmkupodiarou"/>
        </w:rPr>
        <w:footnoteReference w:id="486"/>
      </w:r>
      <w:r w:rsidRPr="00CA2564">
        <w:t xml:space="preserve"> </w:t>
      </w:r>
      <w:r w:rsidRPr="00521AC3">
        <w:rPr>
          <w:b/>
          <w:bCs/>
        </w:rPr>
        <w:t>Revízia preto navrhuje zaradiť ľudí s príjmom pod hranicou životného minima medzi chránené skupiny.</w:t>
      </w:r>
      <w:r w:rsidR="00870A4F">
        <w:rPr>
          <w:b/>
          <w:bCs/>
        </w:rPr>
        <w:t xml:space="preserve"> </w:t>
      </w:r>
    </w:p>
    <w:p w14:paraId="0C62EE19" w14:textId="155DF5C3" w:rsidR="007C7843" w:rsidRPr="00CA2564" w:rsidRDefault="007C7843" w:rsidP="007C7843">
      <w:pPr>
        <w:spacing w:before="160"/>
      </w:pPr>
      <w:r w:rsidRPr="00CA2564">
        <w:rPr>
          <w:b/>
        </w:rPr>
        <w:t xml:space="preserve">Medzi dôvody nízkej spotreby zdravotnej starostlivosti v rómskych komunitách patrí aj vzdialenosť zdravotných zariadení od miesta bydliska. </w:t>
      </w:r>
      <w:r w:rsidRPr="00CA2564">
        <w:t xml:space="preserve">V obciach s príslušnosťou rómskych komunít je podiel Rómov žijúcich 10 a viac kilometrov od najbližšej ambulancie </w:t>
      </w:r>
      <w:r w:rsidR="00D40C58">
        <w:t>viac ako</w:t>
      </w:r>
      <w:r w:rsidR="00D40C58" w:rsidRPr="00CA2564">
        <w:t xml:space="preserve"> </w:t>
      </w:r>
      <w:r w:rsidRPr="00CA2564">
        <w:t xml:space="preserve">trojnásobný oproti majoritnej populácii. Najväčší problém je s dostupnosťou gynekologických ambulancií – </w:t>
      </w:r>
      <w:r w:rsidR="00D40C58">
        <w:t>takmer tretina</w:t>
      </w:r>
      <w:r w:rsidRPr="00CA2564">
        <w:t xml:space="preserve"> obyvateliek rómskych komunít musí cestovať 10 a viac kilometrov</w:t>
      </w:r>
      <w:r w:rsidR="006F79D3">
        <w:t xml:space="preserve"> </w:t>
      </w:r>
      <w:r w:rsidR="006F79D3" w:rsidRPr="00CA2564">
        <w:t>(</w:t>
      </w:r>
      <w:r w:rsidR="006F79D3" w:rsidRPr="00CA2564">
        <w:fldChar w:fldCharType="begin"/>
      </w:r>
      <w:r w:rsidR="006F79D3" w:rsidRPr="00CA2564">
        <w:instrText xml:space="preserve"> REF _Ref521657676 \h  \* MERGEFORMAT </w:instrText>
      </w:r>
      <w:r w:rsidR="006F79D3" w:rsidRPr="00CA2564">
        <w:fldChar w:fldCharType="separate"/>
      </w:r>
      <w:r w:rsidR="00FA29AF" w:rsidRPr="00FA29AF">
        <w:t xml:space="preserve">Graf </w:t>
      </w:r>
      <w:r w:rsidR="00FA29AF" w:rsidRPr="00FA29AF">
        <w:rPr>
          <w:noProof/>
        </w:rPr>
        <w:t>83</w:t>
      </w:r>
      <w:r w:rsidR="006F79D3" w:rsidRPr="00CA2564">
        <w:fldChar w:fldCharType="end"/>
      </w:r>
      <w:r w:rsidR="006F79D3" w:rsidRPr="00CA2564">
        <w:t>)</w:t>
      </w:r>
      <w:r w:rsidRPr="00CA2564">
        <w:t>.</w:t>
      </w:r>
      <w:r w:rsidRPr="00CA2564">
        <w:rPr>
          <w:rStyle w:val="Odkaznapoznmkupodiarou"/>
        </w:rPr>
        <w:footnoteReference w:id="487"/>
      </w:r>
    </w:p>
    <w:p w14:paraId="4A54DFCA" w14:textId="23A6EAD4" w:rsidR="007C7843" w:rsidRPr="00CA2564" w:rsidRDefault="007C7843" w:rsidP="007C7843">
      <w:pPr>
        <w:spacing w:before="160"/>
      </w:pPr>
      <w:r w:rsidRPr="00CA2564">
        <w:rPr>
          <w:b/>
        </w:rPr>
        <w:t xml:space="preserve">Prístup ku kvalitnej a včasnej zdravotnej starostlivosti pre chudobných ľudí môže tiež obmedzovať korupcia v zdravotníctve. </w:t>
      </w:r>
      <w:r w:rsidRPr="00CA2564">
        <w:t>Podľa prieskumov pre Transparency International je zdravotníctvo dlhodobo na prvom mieste vo vnímanej miere rozšírenia úplatkárstva (Focus, 2015). V najnovšom prieskume z roku 2015 až 64 % respondentov uviedlo, že úplatkárstvo v zdravotníctve existuje a je veľmi rozšírené a 22 % respondentov priznalo, že v priebehu posledných dvoch rokov dalo úplatok pri návšteve zdravotníckeho zariadenia. Korupcia je prekážkou v dostupnosti pre všetkých</w:t>
      </w:r>
      <w:r w:rsidR="00A94B0E">
        <w:t>,</w:t>
      </w:r>
      <w:r w:rsidRPr="00CA2564">
        <w:t xml:space="preserve"> ale zvlášť pre chudobných ľudí, ktorí si nemôžu dovoliť poskytnúť úplatok, a ktorých menší sociálny kapitál im neumožňuje vybavenie prednostného prístupu „po známosti“.</w:t>
      </w:r>
    </w:p>
    <w:p w14:paraId="351A36C1" w14:textId="6C4D428E" w:rsidR="007C7843" w:rsidRPr="00CA2564" w:rsidRDefault="007C7843" w:rsidP="007C7843">
      <w:pPr>
        <w:spacing w:before="160"/>
      </w:pPr>
      <w:r w:rsidRPr="00CA2564">
        <w:rPr>
          <w:b/>
        </w:rPr>
        <w:t xml:space="preserve">Slovenská republika čelí viacerým žalobám pre priamu a nepriamu diskrimináciu Rómov v oblasti zdravotníctva, ktorá vedie k nižšej kvalite poskytovanej starostlivosti. </w:t>
      </w:r>
      <w:r w:rsidRPr="00CA2564">
        <w:t xml:space="preserve">Poradňa pre občianske a ľudské práva zdokumentovala viacero prípadov diskriminácie v zdravotníckych zariadeniach ako napríklad segregáciu rómskych žien v pôrodniciach aj prípady fyzického násilia a dehonestujúceho správania sa zdravotného personálu voči Rómkam pri pôrode (Európska komisia, 2019). </w:t>
      </w:r>
    </w:p>
    <w:p w14:paraId="49B352F1" w14:textId="77777777" w:rsidR="007C7843" w:rsidRPr="00CA2564" w:rsidRDefault="007C7843" w:rsidP="007C7843">
      <w:pPr>
        <w:spacing w:before="160"/>
      </w:pPr>
      <w:r w:rsidRPr="00CA2564">
        <w:t xml:space="preserve">Zlé skúsenosti Rómov v zdravotníckych zariadeniach môžu byť spôsobené aj nedostatkom zdravotného personálu so znalosťou rómskeho jazyka a špecifík rómskej komunity. </w:t>
      </w:r>
      <w:r w:rsidRPr="00521AC3">
        <w:rPr>
          <w:b/>
          <w:bCs/>
        </w:rPr>
        <w:t>Revízia preto navrhuje vytvoriť študijný program ďalšieho vzdelávania v tematickej oblasti práce s MRK pre vybrané zdravotnícke povolania.</w:t>
      </w:r>
    </w:p>
    <w:p w14:paraId="7F81D6AA" w14:textId="03ECA10E" w:rsidR="007C7843" w:rsidRPr="00CA2564" w:rsidRDefault="007C7843" w:rsidP="007C7843">
      <w:pPr>
        <w:pStyle w:val="Nadpis2"/>
        <w:spacing w:before="160"/>
      </w:pPr>
      <w:bookmarkStart w:id="1776" w:name="_Toc18340961"/>
      <w:bookmarkStart w:id="1777" w:name="_Ref33434131"/>
      <w:bookmarkStart w:id="1778" w:name="_Toc34657746"/>
      <w:r w:rsidRPr="00CA2564">
        <w:t>Opatrenia na podporu dopytu po preventívnej zdravotnej starostlivosti</w:t>
      </w:r>
      <w:bookmarkEnd w:id="1776"/>
      <w:bookmarkEnd w:id="1777"/>
      <w:bookmarkEnd w:id="1778"/>
    </w:p>
    <w:p w14:paraId="33154646" w14:textId="6AFF2803" w:rsidR="007C7843" w:rsidRPr="00CA2564" w:rsidRDefault="007C7843" w:rsidP="007C7843">
      <w:pPr>
        <w:spacing w:before="160"/>
      </w:pPr>
      <w:r w:rsidRPr="00CA2564">
        <w:rPr>
          <w:b/>
        </w:rPr>
        <w:t>Podpora dopytu po preventívnej zdravotnej starostlivosti zo strany štátu je založená na princípe trestania namiesto pozitívnej motivácie.</w:t>
      </w:r>
      <w:r w:rsidRPr="00CA2564">
        <w:t xml:space="preserve"> Tehotné ženy napríklad prichádzajú o nárok na príspevok pri narodení dieťaťa v rámci podpory rodiny</w:t>
      </w:r>
      <w:r w:rsidR="00624672">
        <w:t>,</w:t>
      </w:r>
      <w:r w:rsidRPr="00CA2564">
        <w:t xml:space="preserve"> ako aj ochranný príspevok v rámci pomoci v hmotnej núdzi, ak sa od štvrtého mesiaca tehotenstva do pôrodu nezúčastňujú raz za mesiac na preventívnych prehliadkach u gynekológa. Vzhľadom na nedostupnosť gynekologických ambulancií vo vidieckych oblastiach a najmä v obciach s vysokým zastúpením Rómov (</w:t>
      </w:r>
      <w:r w:rsidRPr="00CA2564">
        <w:fldChar w:fldCharType="begin"/>
      </w:r>
      <w:r w:rsidRPr="00CA2564">
        <w:instrText xml:space="preserve"> REF _Ref521657676 \h  \* MERGEFORMAT </w:instrText>
      </w:r>
      <w:r w:rsidRPr="00CA2564">
        <w:fldChar w:fldCharType="separate"/>
      </w:r>
      <w:r w:rsidR="00FA29AF" w:rsidRPr="00FA29AF">
        <w:t xml:space="preserve">Graf </w:t>
      </w:r>
      <w:r w:rsidR="00FA29AF" w:rsidRPr="00FA29AF">
        <w:rPr>
          <w:noProof/>
        </w:rPr>
        <w:t>83</w:t>
      </w:r>
      <w:r w:rsidRPr="00CA2564">
        <w:fldChar w:fldCharType="end"/>
      </w:r>
      <w:r w:rsidRPr="00CA2564">
        <w:t>) sa môže toto opatrenie v časti sociálne znevýhodnenej populácie míňať svojim účinkom. Podobné opatrenie, keď pacient stráca nárok na bezplatnú starostlivosť u</w:t>
      </w:r>
      <w:r w:rsidR="00624672">
        <w:t> </w:t>
      </w:r>
      <w:r w:rsidRPr="00CA2564">
        <w:t>zubára</w:t>
      </w:r>
      <w:r w:rsidR="00624672">
        <w:t>,</w:t>
      </w:r>
      <w:r w:rsidRPr="00CA2564">
        <w:t xml:space="preserve"> ak neabsolvoval v predchádzajúcom kalendárnom roku preventívnu prehliadku, takisto najvážnejšie postihuje sociálne najslabších pacientov.</w:t>
      </w:r>
      <w:r w:rsidR="00D40C58">
        <w:rPr>
          <w:rStyle w:val="Odkaznapoznmkupodiarou"/>
        </w:rPr>
        <w:footnoteReference w:id="488"/>
      </w:r>
    </w:p>
    <w:p w14:paraId="5235B17D" w14:textId="404689C7" w:rsidR="007C7843" w:rsidRPr="00521AC3" w:rsidRDefault="007C7843" w:rsidP="007C7843">
      <w:pPr>
        <w:spacing w:before="160"/>
        <w:rPr>
          <w:b/>
          <w:bCs/>
        </w:rPr>
      </w:pPr>
      <w:r w:rsidRPr="00CA2564">
        <w:rPr>
          <w:b/>
        </w:rPr>
        <w:t>Viaceré krajiny úspešne uplatňujú opatrenia podmienených finančných transferov, ktoré predstavujú efektívnu súčasť investície do zdravia chudobných obyvateľov.</w:t>
      </w:r>
      <w:r w:rsidRPr="00CA2564">
        <w:rPr>
          <w:color w:val="FF0000"/>
        </w:rPr>
        <w:t xml:space="preserve"> </w:t>
      </w:r>
      <w:r w:rsidRPr="00CA2564">
        <w:t>Finančná pomoc je mierená na sociálne slabšie rodiny a jej výška je nastavená tak</w:t>
      </w:r>
      <w:r w:rsidR="00624672">
        <w:t>,</w:t>
      </w:r>
      <w:r w:rsidRPr="00CA2564">
        <w:t xml:space="preserve"> aby kompenzovala peňažné aj nepeňažné náklady spojené s návštevou lekára. Pomoc je podmienená pravidelnou účasťou na preventívnych prehliadkach a riadnou zaočkovanosťou detí. Finančná podpora je niekde kombinovaná so zdravotnou mediáciou, ktorá odbúrava informačné a kultúrne bariéry, ktorým čelia znevýhodnené sk</w:t>
      </w:r>
      <w:r w:rsidR="003C7E46">
        <w:t xml:space="preserve">upiny (zdravotnej </w:t>
      </w:r>
      <w:r w:rsidR="004F39CC">
        <w:t>mediácii sa na Slovensku venuje </w:t>
      </w:r>
      <w:r w:rsidR="003C7E46">
        <w:t xml:space="preserve">príspevková organizácia Ministerstva Zdravotníctva Zdravé regióny, </w:t>
      </w:r>
      <w:r w:rsidR="00E43A71">
        <w:t xml:space="preserve">viac v </w:t>
      </w:r>
      <w:r w:rsidR="003C7E46">
        <w:t>kapitol</w:t>
      </w:r>
      <w:r w:rsidR="00E43A71">
        <w:t>e</w:t>
      </w:r>
      <w:r w:rsidR="003C7E46">
        <w:t xml:space="preserve"> </w:t>
      </w:r>
      <w:r w:rsidR="002719DA">
        <w:fldChar w:fldCharType="begin"/>
      </w:r>
      <w:r w:rsidR="002719DA">
        <w:instrText xml:space="preserve"> REF _Ref25321703 \r \h </w:instrText>
      </w:r>
      <w:r w:rsidR="002719DA">
        <w:fldChar w:fldCharType="separate"/>
      </w:r>
      <w:r w:rsidR="00FA29AF">
        <w:t>11</w:t>
      </w:r>
      <w:r w:rsidR="002719DA">
        <w:fldChar w:fldCharType="end"/>
      </w:r>
      <w:r w:rsidR="004F39CC">
        <w:t>). Tento model sa vo </w:t>
      </w:r>
      <w:r w:rsidRPr="00CA2564">
        <w:t xml:space="preserve">viacerých krajinách ukázal ako efektívny spôsob podpory dopytu po preventívnej zdravotnej starostlivosti (Rawlings a Rubio, 2005). Konečný vplyv na ukazovatele zdravia však závisí do veľkej miery od kapacít a kvality na ponukovej strane zdravotnej starostlivosti (Evans a spol. 2016). </w:t>
      </w:r>
      <w:r w:rsidRPr="00521AC3">
        <w:rPr>
          <w:b/>
          <w:bCs/>
        </w:rPr>
        <w:t xml:space="preserve">Revízia navrhuje pilotne otestovať finančné transfery pre </w:t>
      </w:r>
      <w:r w:rsidR="0097693A" w:rsidRPr="00521AC3">
        <w:rPr>
          <w:b/>
          <w:bCs/>
        </w:rPr>
        <w:t>ľudí z prostredia</w:t>
      </w:r>
      <w:r w:rsidRPr="00521AC3">
        <w:rPr>
          <w:b/>
          <w:bCs/>
        </w:rPr>
        <w:t xml:space="preserve"> MRK podmienené účasťou na preventívnych opatreniach, so špeciálnym zameraním na tehotné ženy a deti.</w:t>
      </w:r>
    </w:p>
    <w:p w14:paraId="2827AB4E" w14:textId="1DF692C3" w:rsidR="003C7E46" w:rsidRPr="00CA2564" w:rsidRDefault="003C7E46" w:rsidP="003C7E46">
      <w:pPr>
        <w:pStyle w:val="Nadpis1"/>
        <w:rPr>
          <w:noProof/>
        </w:rPr>
      </w:pPr>
      <w:bookmarkStart w:id="1779" w:name="_Toc26809105"/>
      <w:bookmarkStart w:id="1780" w:name="_Toc27657974"/>
      <w:bookmarkStart w:id="1781" w:name="_Toc29371045"/>
      <w:bookmarkStart w:id="1782" w:name="_Toc30769104"/>
      <w:bookmarkStart w:id="1783" w:name="_Toc30769984"/>
      <w:bookmarkStart w:id="1784" w:name="_Toc30771816"/>
      <w:bookmarkStart w:id="1785" w:name="_Toc30778599"/>
      <w:bookmarkStart w:id="1786" w:name="_Toc32339487"/>
      <w:bookmarkStart w:id="1787" w:name="_Toc26809109"/>
      <w:bookmarkStart w:id="1788" w:name="_Toc27657978"/>
      <w:bookmarkStart w:id="1789" w:name="_Toc29371049"/>
      <w:bookmarkStart w:id="1790" w:name="_Toc30769108"/>
      <w:bookmarkStart w:id="1791" w:name="_Toc30769988"/>
      <w:bookmarkStart w:id="1792" w:name="_Toc30771820"/>
      <w:bookmarkStart w:id="1793" w:name="_Toc30778603"/>
      <w:bookmarkStart w:id="1794" w:name="_Toc32339491"/>
      <w:bookmarkStart w:id="1795" w:name="_Toc19881767"/>
      <w:bookmarkStart w:id="1796" w:name="_Toc19886213"/>
      <w:bookmarkStart w:id="1797" w:name="_Toc19940227"/>
      <w:bookmarkStart w:id="1798" w:name="_Toc19941714"/>
      <w:bookmarkStart w:id="1799" w:name="_Toc19944383"/>
      <w:bookmarkStart w:id="1800" w:name="_Toc20048618"/>
      <w:bookmarkStart w:id="1801" w:name="_Toc20065153"/>
      <w:bookmarkStart w:id="1802" w:name="_Toc20154099"/>
      <w:bookmarkStart w:id="1803" w:name="_Toc20154900"/>
      <w:bookmarkStart w:id="1804" w:name="_Toc20208224"/>
      <w:bookmarkStart w:id="1805" w:name="_Toc20300604"/>
      <w:bookmarkStart w:id="1806" w:name="_Toc20660837"/>
      <w:bookmarkStart w:id="1807" w:name="_Toc20661235"/>
      <w:bookmarkStart w:id="1808" w:name="_Toc21108656"/>
      <w:bookmarkStart w:id="1809" w:name="_Toc21109053"/>
      <w:bookmarkStart w:id="1810" w:name="_Toc21109413"/>
      <w:bookmarkStart w:id="1811" w:name="_Toc19881768"/>
      <w:bookmarkStart w:id="1812" w:name="_Toc19886214"/>
      <w:bookmarkStart w:id="1813" w:name="_Toc19940228"/>
      <w:bookmarkStart w:id="1814" w:name="_Toc19941715"/>
      <w:bookmarkStart w:id="1815" w:name="_Toc19944384"/>
      <w:bookmarkStart w:id="1816" w:name="_Toc20048619"/>
      <w:bookmarkStart w:id="1817" w:name="_Toc20065154"/>
      <w:bookmarkStart w:id="1818" w:name="_Toc20154100"/>
      <w:bookmarkStart w:id="1819" w:name="_Toc20154901"/>
      <w:bookmarkStart w:id="1820" w:name="_Toc20208225"/>
      <w:bookmarkStart w:id="1821" w:name="_Toc20300605"/>
      <w:bookmarkStart w:id="1822" w:name="_Toc20660838"/>
      <w:bookmarkStart w:id="1823" w:name="_Toc20661236"/>
      <w:bookmarkStart w:id="1824" w:name="_Toc21108657"/>
      <w:bookmarkStart w:id="1825" w:name="_Toc21109054"/>
      <w:bookmarkStart w:id="1826" w:name="_Toc21109414"/>
      <w:bookmarkStart w:id="1827" w:name="_Toc19881769"/>
      <w:bookmarkStart w:id="1828" w:name="_Toc19886215"/>
      <w:bookmarkStart w:id="1829" w:name="_Toc19940229"/>
      <w:bookmarkStart w:id="1830" w:name="_Toc19941716"/>
      <w:bookmarkStart w:id="1831" w:name="_Toc19944385"/>
      <w:bookmarkStart w:id="1832" w:name="_Toc20048620"/>
      <w:bookmarkStart w:id="1833" w:name="_Toc20065155"/>
      <w:bookmarkStart w:id="1834" w:name="_Toc20154101"/>
      <w:bookmarkStart w:id="1835" w:name="_Toc20154902"/>
      <w:bookmarkStart w:id="1836" w:name="_Toc20208226"/>
      <w:bookmarkStart w:id="1837" w:name="_Toc20300606"/>
      <w:bookmarkStart w:id="1838" w:name="_Toc20660839"/>
      <w:bookmarkStart w:id="1839" w:name="_Toc20661237"/>
      <w:bookmarkStart w:id="1840" w:name="_Toc21108658"/>
      <w:bookmarkStart w:id="1841" w:name="_Toc21109055"/>
      <w:bookmarkStart w:id="1842" w:name="_Toc21109415"/>
      <w:bookmarkStart w:id="1843" w:name="_Ref25310095"/>
      <w:bookmarkStart w:id="1844" w:name="_Ref25310461"/>
      <w:bookmarkStart w:id="1845" w:name="_Ref25310471"/>
      <w:bookmarkStart w:id="1846" w:name="_Ref25315207"/>
      <w:bookmarkStart w:id="1847" w:name="_Ref25315232"/>
      <w:bookmarkStart w:id="1848" w:name="_Ref25315852"/>
      <w:bookmarkStart w:id="1849" w:name="_Ref25321690"/>
      <w:bookmarkStart w:id="1850" w:name="_Ref25321703"/>
      <w:bookmarkStart w:id="1851" w:name="_Ref25321758"/>
      <w:bookmarkStart w:id="1852" w:name="_Toc34657747"/>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r>
        <w:t xml:space="preserve">Podporné programy </w:t>
      </w:r>
      <w:r w:rsidR="00AD5B60">
        <w:t>pre obce s prítomnosťou</w:t>
      </w:r>
      <w:r>
        <w:t xml:space="preserve"> MRK</w:t>
      </w:r>
      <w:bookmarkEnd w:id="1843"/>
      <w:bookmarkEnd w:id="1844"/>
      <w:bookmarkEnd w:id="1845"/>
      <w:bookmarkEnd w:id="1846"/>
      <w:bookmarkEnd w:id="1847"/>
      <w:bookmarkEnd w:id="1848"/>
      <w:bookmarkEnd w:id="1849"/>
      <w:bookmarkEnd w:id="1850"/>
      <w:bookmarkEnd w:id="1851"/>
      <w:bookmarkEnd w:id="1852"/>
    </w:p>
    <w:p w14:paraId="14E39BB1" w14:textId="2F7F9C6C" w:rsidR="003C7E46" w:rsidRDefault="003C7E46" w:rsidP="003C7E46">
      <w:pPr>
        <w:pStyle w:val="Odsekzoznamu"/>
        <w:numPr>
          <w:ilvl w:val="0"/>
          <w:numId w:val="6"/>
        </w:numPr>
        <w:ind w:left="284" w:hanging="284"/>
        <w:rPr>
          <w:b/>
        </w:rPr>
      </w:pPr>
      <w:r>
        <w:rPr>
          <w:b/>
        </w:rPr>
        <w:t xml:space="preserve">Obce s prítomnosťou MRK majú prístup k viacerým podporným programom zameraným na zlepšenie prístupu </w:t>
      </w:r>
      <w:r w:rsidR="0097693A">
        <w:rPr>
          <w:b/>
        </w:rPr>
        <w:t>ľudí z prostredia</w:t>
      </w:r>
      <w:r>
        <w:rPr>
          <w:b/>
        </w:rPr>
        <w:t xml:space="preserve"> MRK k sociálnej a právnej pomoci, poradenstvu, verejným službám, zdravotnej starostlivosti</w:t>
      </w:r>
      <w:r w:rsidR="00332EF4">
        <w:rPr>
          <w:b/>
        </w:rPr>
        <w:t>,</w:t>
      </w:r>
      <w:r>
        <w:rPr>
          <w:b/>
        </w:rPr>
        <w:t xml:space="preserve"> ako aj preventívnym aktivitám v oblasti zdravia či kriminality. Tieto programy sa ukazujú ako kľúčový nástroj sociálnej inklúzi</w:t>
      </w:r>
      <w:r w:rsidR="007553FD">
        <w:rPr>
          <w:b/>
        </w:rPr>
        <w:t>e a vo všeobecnosti sú klientmi,</w:t>
      </w:r>
      <w:r>
        <w:rPr>
          <w:b/>
        </w:rPr>
        <w:t xml:space="preserve"> pracovníkmi a</w:t>
      </w:r>
      <w:r w:rsidR="007553FD">
        <w:rPr>
          <w:b/>
        </w:rPr>
        <w:t>j</w:t>
      </w:r>
      <w:r>
        <w:rPr>
          <w:b/>
        </w:rPr>
        <w:t> samosprávami hodnotené pozitívne. Podporné programy však nepokrývajú všetky obce s prítomnosťou MRK, keďže ich úspešná realizácia závisí na spolupráci a angažovanosti samospráv.</w:t>
      </w:r>
    </w:p>
    <w:p w14:paraId="7AD88C4B" w14:textId="29EA735F" w:rsidR="003C7E46" w:rsidRDefault="003C7E46" w:rsidP="003C7E46">
      <w:pPr>
        <w:pStyle w:val="Odsekzoznamu"/>
        <w:numPr>
          <w:ilvl w:val="0"/>
          <w:numId w:val="6"/>
        </w:numPr>
        <w:ind w:left="284" w:hanging="284"/>
        <w:rPr>
          <w:b/>
        </w:rPr>
      </w:pPr>
      <w:r>
        <w:rPr>
          <w:b/>
        </w:rPr>
        <w:t xml:space="preserve">Neefektívnosť v riadení niektorých podporných programov </w:t>
      </w:r>
      <w:r w:rsidR="002D79CB">
        <w:rPr>
          <w:b/>
        </w:rPr>
        <w:t xml:space="preserve">je spôsobená </w:t>
      </w:r>
      <w:r>
        <w:rPr>
          <w:b/>
        </w:rPr>
        <w:t>ich rozdelen</w:t>
      </w:r>
      <w:r w:rsidR="002D79CB">
        <w:rPr>
          <w:b/>
        </w:rPr>
        <w:t>ím</w:t>
      </w:r>
      <w:r>
        <w:rPr>
          <w:b/>
        </w:rPr>
        <w:t xml:space="preserve"> do dvoch národných projektov. Významným nedostatkom je tiež chýbajúca koordinácia jednotlivých programov a znížené možnosti pozitívnych synergií s tým spojené. </w:t>
      </w:r>
    </w:p>
    <w:p w14:paraId="608B25E3" w14:textId="3D5BA623" w:rsidR="003C7E46" w:rsidRPr="00503FA9" w:rsidRDefault="003C7E46" w:rsidP="003C7E46">
      <w:pPr>
        <w:pStyle w:val="Odsekzoznamu"/>
        <w:numPr>
          <w:ilvl w:val="0"/>
          <w:numId w:val="6"/>
        </w:numPr>
        <w:ind w:left="284" w:hanging="284"/>
        <w:rPr>
          <w:b/>
        </w:rPr>
      </w:pPr>
      <w:r>
        <w:rPr>
          <w:b/>
        </w:rPr>
        <w:t>Podporné programy sú závislé od financovania z</w:t>
      </w:r>
      <w:r w:rsidR="00E9726D">
        <w:rPr>
          <w:b/>
        </w:rPr>
        <w:t> </w:t>
      </w:r>
      <w:r>
        <w:rPr>
          <w:b/>
        </w:rPr>
        <w:t>eurofondov</w:t>
      </w:r>
      <w:r w:rsidR="00E9726D">
        <w:rPr>
          <w:b/>
        </w:rPr>
        <w:t>,</w:t>
      </w:r>
      <w:r>
        <w:rPr>
          <w:b/>
        </w:rPr>
        <w:t xml:space="preserve"> keďže obce nemajú dostatok vlastných zdrojov na ich financovanie v rámci originálnych kompetencií. To vytvára riziko pre ich dlhodobú </w:t>
      </w:r>
      <w:r w:rsidRPr="008649BC">
        <w:rPr>
          <w:b/>
        </w:rPr>
        <w:t>udržateľnosť v dnešnom rozsahu a kvalite.</w:t>
      </w:r>
    </w:p>
    <w:p w14:paraId="55394D0E" w14:textId="6CF10192" w:rsidR="003C7E46" w:rsidRPr="00761A0E" w:rsidRDefault="003C7E46" w:rsidP="003C7E46">
      <w:pPr>
        <w:pStyle w:val="Odsekzoznamu"/>
        <w:numPr>
          <w:ilvl w:val="0"/>
          <w:numId w:val="6"/>
        </w:numPr>
        <w:ind w:left="284" w:hanging="284"/>
        <w:rPr>
          <w:b/>
        </w:rPr>
      </w:pPr>
      <w:r>
        <w:rPr>
          <w:b/>
          <w:bCs/>
        </w:rPr>
        <w:t>Revízia navrhuje opatrenia na podporu kontinuálneho vzdelávania pracovníkov podporných programov, účinnejšiu koordináciu jednotlivých programov ako aj spoluprácu s predstaviteľmi iných zainteresovaných inštitúcií, a zabezpečenie dlhodobej udržateľnosti podporných programov pomocou ich financovania zo štátneho rozpočtu.</w:t>
      </w:r>
    </w:p>
    <w:p w14:paraId="124DF8E4" w14:textId="77777777" w:rsidR="003C7E46" w:rsidRPr="00CA2564" w:rsidRDefault="003C7E46" w:rsidP="003C7E46">
      <w:pPr>
        <w:pStyle w:val="Nadpis2"/>
        <w:spacing w:before="0"/>
        <w:ind w:left="709" w:hanging="709"/>
      </w:pPr>
      <w:bookmarkStart w:id="1853" w:name="_Ref25310196"/>
      <w:bookmarkStart w:id="1854" w:name="_Ref25409690"/>
      <w:bookmarkStart w:id="1855" w:name="_Ref25664198"/>
      <w:bookmarkStart w:id="1856" w:name="_Toc34657748"/>
      <w:r>
        <w:t>Rozsah a dopad podporných programov</w:t>
      </w:r>
      <w:bookmarkEnd w:id="1853"/>
      <w:bookmarkEnd w:id="1854"/>
      <w:bookmarkEnd w:id="1855"/>
      <w:bookmarkEnd w:id="1856"/>
    </w:p>
    <w:p w14:paraId="5451FE65" w14:textId="77777777" w:rsidR="003C7E46" w:rsidRPr="00CA2564" w:rsidRDefault="003C7E46" w:rsidP="003C7E46">
      <w:pPr>
        <w:spacing w:before="160"/>
      </w:pPr>
      <w:r w:rsidRPr="00CA2564">
        <w:rPr>
          <w:color w:val="0070C0"/>
        </w:rPr>
        <w:t>Terénna sociálna práca</w:t>
      </w:r>
    </w:p>
    <w:p w14:paraId="6899520A" w14:textId="6DD8DDC4" w:rsidR="003C7E46" w:rsidRDefault="003C7E46" w:rsidP="003C7E46">
      <w:pPr>
        <w:spacing w:before="160"/>
      </w:pPr>
      <w:r w:rsidRPr="00CA2564">
        <w:rPr>
          <w:b/>
        </w:rPr>
        <w:t>Terénna sociálna práca (TSP) je jedna z metód sociálnej práce zameraná na prevenciu sociálneho vylúčenia a jeho prehlbovania, vykonávaná v prirodzenom prostredí človeka.</w:t>
      </w:r>
      <w:r w:rsidRPr="00CA2564">
        <w:t xml:space="preserve"> Jej cieľom je motivácia a aktivizácia jednotlivcov a rodín na riešenie problémov prostredníctvom spoločnej aktivity s pomocou a podporou te</w:t>
      </w:r>
      <w:r>
        <w:t xml:space="preserve">rénneho sociálneho pracovníka. </w:t>
      </w:r>
      <w:r w:rsidRPr="00F26791">
        <w:t>Osobitosťou TSP je, že aktívne vyhľadáva a pracuje s ľuďmi, ktorí z rôznych dôvodov nemajú prístup</w:t>
      </w:r>
      <w:r w:rsidR="00135F04">
        <w:t>,</w:t>
      </w:r>
      <w:r w:rsidRPr="00F26791">
        <w:t xml:space="preserve"> alebo nevyužívajú sociálnu pomoc a verejné služby v </w:t>
      </w:r>
      <w:r w:rsidR="00A54665">
        <w:t>plnom rozsahu a prepadávajú cez </w:t>
      </w:r>
      <w:r w:rsidRPr="00F26791">
        <w:t>sieť sociálnej pomoci určenú na zachytenie a podporu tých najzraniteľnejších. Vytvorenie a udržanie spojenia a určitej dôvery medzi marginalizovanou osobou a majoritou (napr. na úrade, v škole</w:t>
      </w:r>
      <w:r w:rsidR="00A54665">
        <w:t xml:space="preserve"> alebo v nemocnici) je </w:t>
      </w:r>
      <w:r w:rsidRPr="00CA2564">
        <w:t xml:space="preserve">základnou podmienkou na realizáciu akýchkoľvek ďalších intervencií, ktoré by mohli pomôcť danej osobe pri riešení svojej životnej situácie. </w:t>
      </w:r>
    </w:p>
    <w:p w14:paraId="5CED324E" w14:textId="00015121" w:rsidR="003C7E46" w:rsidRPr="00CA2564" w:rsidRDefault="003C7E46" w:rsidP="003C7E46">
      <w:pPr>
        <w:spacing w:before="160"/>
      </w:pPr>
      <w:r w:rsidRPr="00CA2564">
        <w:t xml:space="preserve">Vzhľadom na rôznorodosť problémov, ktorým čelia </w:t>
      </w:r>
      <w:r w:rsidR="00135F04" w:rsidRPr="00CA2564">
        <w:t>jednotliv</w:t>
      </w:r>
      <w:r w:rsidR="00135F04">
        <w:t>í</w:t>
      </w:r>
      <w:r w:rsidR="00135F04" w:rsidRPr="00CA2564">
        <w:t xml:space="preserve"> </w:t>
      </w:r>
      <w:r w:rsidRPr="00CA2564">
        <w:t>klienti a rodiny, sa TSP vyznačuje tiež svojím prierezovým nastavením. Pracovníci TSP sa snažia flexibilne reagovať na konkrétnu situáciu danej lokality, pričom v niektorej môže byť kladený dôraz na školskú dochádzku, v inej na vymáhanie občianskych práv a inde na zamestnanosť.</w:t>
      </w:r>
    </w:p>
    <w:p w14:paraId="12AFD107" w14:textId="09C42297" w:rsidR="003C7E46" w:rsidRPr="00CA2564" w:rsidRDefault="003C7E46" w:rsidP="003C7E46">
      <w:pPr>
        <w:spacing w:before="160"/>
      </w:pPr>
      <w:r w:rsidRPr="00CA2564">
        <w:rPr>
          <w:b/>
        </w:rPr>
        <w:t>Na Slovensku je TSP poskytovaná verejným sektorom od roku 2005</w:t>
      </w:r>
      <w:r w:rsidRPr="00CA2564">
        <w:rPr>
          <w:rStyle w:val="Odkaznapoznmkupodiarou"/>
          <w:b/>
        </w:rPr>
        <w:footnoteReference w:id="489"/>
      </w:r>
      <w:r w:rsidRPr="00CA2564">
        <w:rPr>
          <w:b/>
        </w:rPr>
        <w:t xml:space="preserve"> a dnes je rozdelená do dvoch národných projektov financovaných z</w:t>
      </w:r>
      <w:r w:rsidR="00786DED">
        <w:rPr>
          <w:b/>
        </w:rPr>
        <w:t> </w:t>
      </w:r>
      <w:r w:rsidRPr="00CA2564">
        <w:rPr>
          <w:b/>
        </w:rPr>
        <w:t>EŠIF</w:t>
      </w:r>
      <w:r w:rsidR="00786DED">
        <w:rPr>
          <w:b/>
        </w:rPr>
        <w:t xml:space="preserve"> </w:t>
      </w:r>
      <w:r w:rsidRPr="00CA2564">
        <w:rPr>
          <w:b/>
        </w:rPr>
        <w:t>realizovaných v rámci zdieľanej zodpovednosti medzi prijímateľmi nenávratnej finančnej pomoci a samosprávami.</w:t>
      </w:r>
      <w:r w:rsidRPr="00CA2564">
        <w:t xml:space="preserve"> Jedným prijímateľom je Implementačná agentúra Ministerstva práce sociálnych vecí a rodiny SR (IA MPSVR) a druhým Úrad splnomocnenca vlády pre rómske komunity (ÚSVRK). Prijímatelia poskytujú koordináciu a metodickú podporu, zatiaľ čo samosprávy sú priamymi zamestnávateľmi terénnych sociálnych pracovníkov</w:t>
      </w:r>
      <w:r>
        <w:t xml:space="preserve"> (model zdieľanej zodpovednosti)</w:t>
      </w:r>
      <w:r w:rsidRPr="00CA2564">
        <w:t>.</w:t>
      </w:r>
      <w:r w:rsidR="000C1DAD">
        <w:t xml:space="preserve"> TSP je tak poskytovaná so </w:t>
      </w:r>
      <w:r w:rsidR="002F657B">
        <w:t>súhlasom a spoluprácou samotných obcí.</w:t>
      </w:r>
    </w:p>
    <w:p w14:paraId="7DF2A23A" w14:textId="09D657B2" w:rsidR="003C7E46" w:rsidRPr="00CA2564" w:rsidRDefault="003C7E46" w:rsidP="003C7E46">
      <w:pPr>
        <w:spacing w:before="160"/>
      </w:pPr>
      <w:r w:rsidRPr="00CA2564">
        <w:rPr>
          <w:b/>
        </w:rPr>
        <w:t>Prioritnou cieľovou skupinou TSP na Slovensku sú ľudia z prostredia MRK.</w:t>
      </w:r>
      <w:r w:rsidR="000C1DAD">
        <w:t xml:space="preserve"> Avšak program IA MPSVR sa </w:t>
      </w:r>
      <w:r w:rsidRPr="00CA2564">
        <w:t>venuje aj pomoci ľuďom z ďalších cieľových skupín (napr. ľuďom bez domova) vykazujúcim rovnaké alebo podobné charakteristiky (vysoký stupeň vylúčenia, nedôvera voči úradom a pod.). ÚSVRK realizuje TSP v obciach, ktoré boli vybraté na základe „zjednodušeného indexu podrozvinutosti“ ako obce, ktoré si vyžadujú zvýšenú mieru intervencie</w:t>
      </w:r>
      <w:r w:rsidR="009A40FD">
        <w:t xml:space="preserve"> </w:t>
      </w:r>
      <w:r w:rsidRPr="00CA2564">
        <w:t>v porovnaní s ostatnými obcami s prítomnosťou MRK.</w:t>
      </w:r>
      <w:r w:rsidRPr="00CA2564">
        <w:rPr>
          <w:rStyle w:val="Odkaznapoznmkupodiarou"/>
        </w:rPr>
        <w:footnoteReference w:id="490"/>
      </w:r>
    </w:p>
    <w:p w14:paraId="60467D1C" w14:textId="307EAD41" w:rsidR="003C7E46" w:rsidRPr="00CA2564" w:rsidRDefault="003C7E46" w:rsidP="003C7E46">
      <w:pPr>
        <w:spacing w:before="160"/>
      </w:pPr>
      <w:r w:rsidRPr="00CA2564">
        <w:rPr>
          <w:b/>
        </w:rPr>
        <w:t>Celkové v</w:t>
      </w:r>
      <w:r>
        <w:rPr>
          <w:b/>
        </w:rPr>
        <w:t>ýdavky na TSP v roku 2018 predstavovali 12,4</w:t>
      </w:r>
      <w:r w:rsidRPr="00CA2564">
        <w:rPr>
          <w:b/>
        </w:rPr>
        <w:t xml:space="preserve"> miliónov eur</w:t>
      </w:r>
      <w:r w:rsidR="000C1DAD">
        <w:rPr>
          <w:b/>
        </w:rPr>
        <w:t xml:space="preserve"> financovaných v plnej miere zo </w:t>
      </w:r>
      <w:r w:rsidRPr="00CA2564">
        <w:rPr>
          <w:b/>
        </w:rPr>
        <w:t xml:space="preserve">zdrojov EŠIF (Operačný program Ľudské zdroje) a spolufinancovania. </w:t>
      </w:r>
      <w:r w:rsidRPr="00CA2564">
        <w:t>Z toho na</w:t>
      </w:r>
      <w:r w:rsidR="000C1DAD">
        <w:t xml:space="preserve"> TSP realizovanú IA </w:t>
      </w:r>
      <w:r>
        <w:t>MPSVR išlo 6</w:t>
      </w:r>
      <w:r w:rsidRPr="00CA2564">
        <w:t>,3 miliónov eur</w:t>
      </w:r>
      <w:r w:rsidRPr="00CA2564">
        <w:rPr>
          <w:rStyle w:val="Odkaznapoznmkupodiarou"/>
        </w:rPr>
        <w:footnoteReference w:id="491"/>
      </w:r>
      <w:r w:rsidRPr="00CA2564">
        <w:t xml:space="preserve"> a na TSP realizovanú ÚSVRK išlo </w:t>
      </w:r>
      <w:r>
        <w:t>6,1</w:t>
      </w:r>
      <w:r w:rsidRPr="00CA2564">
        <w:t xml:space="preserve"> miliónov eur.</w:t>
      </w:r>
      <w:r w:rsidRPr="00CA2564">
        <w:rPr>
          <w:rStyle w:val="Odkaznapoznmkupodiarou"/>
        </w:rPr>
        <w:footnoteReference w:id="492"/>
      </w:r>
      <w:r>
        <w:t xml:space="preserve"> </w:t>
      </w:r>
      <w:r w:rsidRPr="001A23CD">
        <w:rPr>
          <w:bCs/>
        </w:rPr>
        <w:t xml:space="preserve">Program TSP </w:t>
      </w:r>
      <w:r w:rsidRPr="00DF10F7">
        <w:rPr>
          <w:bCs/>
        </w:rPr>
        <w:t>aktuálne prebieha v </w:t>
      </w:r>
      <w:r w:rsidRPr="00D41517">
        <w:rPr>
          <w:bCs/>
        </w:rPr>
        <w:t>37</w:t>
      </w:r>
      <w:r w:rsidR="00DF10F7">
        <w:rPr>
          <w:bCs/>
        </w:rPr>
        <w:t>6</w:t>
      </w:r>
      <w:r w:rsidRPr="00DF10F7">
        <w:rPr>
          <w:bCs/>
        </w:rPr>
        <w:t xml:space="preserve"> obciach na Slovensku, z toho IA MPSVR realizuje TSP v 229 obciach a</w:t>
      </w:r>
      <w:r w:rsidRPr="00DF10F7">
        <w:t> ÚSVRK v </w:t>
      </w:r>
      <w:r w:rsidRPr="00D41517">
        <w:t>147</w:t>
      </w:r>
      <w:r w:rsidRPr="00DF10F7">
        <w:t xml:space="preserve"> obciach. Program sa uskutočňuje prostredníctvom </w:t>
      </w:r>
      <w:r w:rsidRPr="00D41517">
        <w:t>4</w:t>
      </w:r>
      <w:r w:rsidR="00DF10F7">
        <w:t>97</w:t>
      </w:r>
      <w:r w:rsidRPr="00DF10F7">
        <w:t xml:space="preserve"> terénnych sociálnych pracovníkov a </w:t>
      </w:r>
      <w:r w:rsidRPr="00D41517">
        <w:t>50</w:t>
      </w:r>
      <w:r w:rsidR="00DF10F7">
        <w:t>9</w:t>
      </w:r>
      <w:r w:rsidRPr="00DF10F7">
        <w:t xml:space="preserve"> terénnych pracovníkov, pričom 278 TSP a 253 TP je zamestnaných v projekte IA MPSVR SR a </w:t>
      </w:r>
      <w:r w:rsidRPr="00D41517">
        <w:t>219</w:t>
      </w:r>
      <w:r w:rsidRPr="00DF10F7">
        <w:t xml:space="preserve"> TSP a </w:t>
      </w:r>
      <w:r w:rsidRPr="00D41517">
        <w:t>256</w:t>
      </w:r>
      <w:r w:rsidRPr="00DF10F7">
        <w:t xml:space="preserve"> TP v projekte</w:t>
      </w:r>
      <w:r>
        <w:t xml:space="preserve"> ÚSVRK.</w:t>
      </w:r>
    </w:p>
    <w:p w14:paraId="0B3A86B3" w14:textId="0CE05F4F" w:rsidR="003C7E46" w:rsidRPr="00CE4B44" w:rsidRDefault="003C7E46">
      <w:pPr>
        <w:spacing w:before="160"/>
        <w:rPr>
          <w:b/>
          <w:bCs/>
          <w:szCs w:val="22"/>
        </w:rPr>
      </w:pPr>
      <w:r w:rsidRPr="00CA2564">
        <w:rPr>
          <w:b/>
        </w:rPr>
        <w:t xml:space="preserve">Stále však existujú obce, kde napriek veľmi zlej situácii TSP chýba. </w:t>
      </w:r>
      <w:r w:rsidR="00920360">
        <w:t>V rámci</w:t>
      </w:r>
      <w:r w:rsidRPr="00CA2564">
        <w:t xml:space="preserve"> kontextovej evaluácie TSP, ktorú v roku 2018 realizovala IA MPSVR, </w:t>
      </w:r>
      <w:r w:rsidR="00920360">
        <w:t xml:space="preserve">bol </w:t>
      </w:r>
      <w:r w:rsidR="00663578">
        <w:t>vytvorený</w:t>
      </w:r>
      <w:r w:rsidR="00920360">
        <w:t xml:space="preserve"> index potrebnosti TSP</w:t>
      </w:r>
      <w:r w:rsidR="00394FE0">
        <w:t xml:space="preserve"> pre</w:t>
      </w:r>
      <w:r w:rsidR="000C1DAD">
        <w:t xml:space="preserve"> jednotlivé rómske osídlenia na </w:t>
      </w:r>
      <w:r w:rsidR="00394FE0">
        <w:t xml:space="preserve">základe údajov o </w:t>
      </w:r>
      <w:r w:rsidR="00394FE0" w:rsidRPr="00CA2564">
        <w:t>mier</w:t>
      </w:r>
      <w:r w:rsidR="00394FE0">
        <w:t>e</w:t>
      </w:r>
      <w:r w:rsidR="00394FE0" w:rsidRPr="00CA2564">
        <w:t xml:space="preserve"> vylúčenia MRK, kvalit</w:t>
      </w:r>
      <w:r w:rsidR="00394FE0">
        <w:t>e</w:t>
      </w:r>
      <w:r w:rsidR="00394FE0" w:rsidRPr="00CA2564">
        <w:t xml:space="preserve"> bývania a miestnej infraštruktúry a výšk</w:t>
      </w:r>
      <w:r w:rsidR="00394FE0">
        <w:t>y</w:t>
      </w:r>
      <w:r w:rsidR="00394FE0" w:rsidRPr="00CA2564">
        <w:t xml:space="preserve"> </w:t>
      </w:r>
      <w:r w:rsidR="005F2329">
        <w:t xml:space="preserve">registrovanej </w:t>
      </w:r>
      <w:r w:rsidR="00394FE0" w:rsidRPr="00CA2564">
        <w:t>nezamestnanosti</w:t>
      </w:r>
      <w:r w:rsidR="00394FE0">
        <w:t xml:space="preserve"> (Filčák a spol., 2019</w:t>
      </w:r>
      <w:r w:rsidR="00394FE0" w:rsidRPr="00CA2564">
        <w:t>)</w:t>
      </w:r>
      <w:r w:rsidR="00920360">
        <w:t>.</w:t>
      </w:r>
      <w:r w:rsidRPr="00CA2564">
        <w:t xml:space="preserve"> </w:t>
      </w:r>
      <w:bookmarkStart w:id="1857" w:name="_Hlk23702996"/>
      <w:r w:rsidR="00394FE0">
        <w:t>Z 203 osídlení s najvyššou hodnotou indexu</w:t>
      </w:r>
      <w:r w:rsidR="006C7D38">
        <w:t xml:space="preserve"> (viac ako 10)</w:t>
      </w:r>
      <w:r w:rsidR="00394FE0">
        <w:t xml:space="preserve"> je 78 (39 %) takých, kde </w:t>
      </w:r>
      <w:r w:rsidRPr="00CA2564">
        <w:t>táto služba s</w:t>
      </w:r>
      <w:r w:rsidR="00B4786D">
        <w:t>tále chýba</w:t>
      </w:r>
      <w:r w:rsidRPr="00CA2564">
        <w:t>.</w:t>
      </w:r>
      <w:r w:rsidR="00394FE0">
        <w:rPr>
          <w:rStyle w:val="Odkaznapoznmkupodiarou"/>
        </w:rPr>
        <w:footnoteReference w:id="493"/>
      </w:r>
      <w:r w:rsidRPr="00CA2564">
        <w:t xml:space="preserve"> Ide prevažne o malé obce, kde v prostredí MRK žije menej </w:t>
      </w:r>
      <w:r w:rsidRPr="00E8557F">
        <w:rPr>
          <w:szCs w:val="22"/>
        </w:rPr>
        <w:t>ako 100 ľudí.</w:t>
      </w:r>
      <w:r w:rsidR="006C7D38" w:rsidRPr="003549E7">
        <w:rPr>
          <w:szCs w:val="22"/>
        </w:rPr>
        <w:t xml:space="preserve"> </w:t>
      </w:r>
      <w:r w:rsidR="006C7D38" w:rsidRPr="00CE4B44">
        <w:rPr>
          <w:szCs w:val="22"/>
        </w:rPr>
        <w:t xml:space="preserve">Pre doplnenie kapacít v týchto obciach by bolo potrebné vytvoriť </w:t>
      </w:r>
      <w:r w:rsidR="006C7D38">
        <w:rPr>
          <w:szCs w:val="22"/>
        </w:rPr>
        <w:t xml:space="preserve">odhadom okolo </w:t>
      </w:r>
      <w:r w:rsidR="000C1DAD">
        <w:rPr>
          <w:szCs w:val="22"/>
        </w:rPr>
        <w:t>102 pracovných miest pre </w:t>
      </w:r>
      <w:r w:rsidR="006C7D38" w:rsidRPr="00CE4B44">
        <w:rPr>
          <w:szCs w:val="22"/>
        </w:rPr>
        <w:t xml:space="preserve">terénnych sociálnych pracovníkov a 47 pracovných miest pre terénnych pracovníkov </w:t>
      </w:r>
      <w:bookmarkEnd w:id="1857"/>
      <w:r w:rsidR="006C7D38" w:rsidRPr="00CE4B44">
        <w:rPr>
          <w:szCs w:val="22"/>
        </w:rPr>
        <w:t>(</w:t>
      </w:r>
      <w:r w:rsidR="00213C05" w:rsidRPr="00213C05">
        <w:fldChar w:fldCharType="begin"/>
      </w:r>
      <w:r w:rsidR="00213C05" w:rsidRPr="00213C05">
        <w:instrText xml:space="preserve"> REF _Ref34129538 \h </w:instrText>
      </w:r>
      <w:r w:rsidR="00213C05">
        <w:instrText xml:space="preserve"> \* MERGEFORMAT </w:instrText>
      </w:r>
      <w:r w:rsidR="00213C05" w:rsidRPr="00213C05">
        <w:fldChar w:fldCharType="separate"/>
      </w:r>
      <w:r w:rsidR="00FA29AF" w:rsidRPr="00FA29AF">
        <w:t>Príloha 40</w:t>
      </w:r>
      <w:r w:rsidR="00213C05" w:rsidRPr="00213C05">
        <w:fldChar w:fldCharType="end"/>
      </w:r>
      <w:r w:rsidR="006C7D38">
        <w:rPr>
          <w:szCs w:val="22"/>
        </w:rPr>
        <w:t>)</w:t>
      </w:r>
      <w:r w:rsidR="006C7D38" w:rsidRPr="00CE4B44">
        <w:rPr>
          <w:szCs w:val="22"/>
        </w:rPr>
        <w:t>.</w:t>
      </w:r>
      <w:r w:rsidR="006C7D38">
        <w:rPr>
          <w:szCs w:val="22"/>
        </w:rPr>
        <w:t xml:space="preserve"> </w:t>
      </w:r>
      <w:r w:rsidR="000C1DAD">
        <w:rPr>
          <w:b/>
          <w:bCs/>
          <w:szCs w:val="22"/>
        </w:rPr>
        <w:t>Revízia </w:t>
      </w:r>
      <w:r w:rsidR="006C7D38" w:rsidRPr="00CE4B44">
        <w:rPr>
          <w:b/>
          <w:bCs/>
          <w:szCs w:val="22"/>
        </w:rPr>
        <w:t xml:space="preserve">navrhuje </w:t>
      </w:r>
      <w:r w:rsidR="00BD3597">
        <w:rPr>
          <w:b/>
          <w:bCs/>
          <w:szCs w:val="22"/>
        </w:rPr>
        <w:t>navýšiť financovanie</w:t>
      </w:r>
      <w:r w:rsidR="00BD3597" w:rsidRPr="00CE4B44">
        <w:rPr>
          <w:b/>
          <w:bCs/>
          <w:szCs w:val="22"/>
        </w:rPr>
        <w:t xml:space="preserve"> </w:t>
      </w:r>
      <w:r w:rsidR="006C7D38" w:rsidRPr="00CE4B44">
        <w:rPr>
          <w:b/>
          <w:bCs/>
          <w:szCs w:val="22"/>
        </w:rPr>
        <w:t>program</w:t>
      </w:r>
      <w:r w:rsidR="00A37FFB">
        <w:rPr>
          <w:b/>
          <w:bCs/>
          <w:szCs w:val="22"/>
        </w:rPr>
        <w:t>u</w:t>
      </w:r>
      <w:r w:rsidR="006C7D38" w:rsidRPr="00CE4B44">
        <w:rPr>
          <w:b/>
          <w:bCs/>
          <w:szCs w:val="22"/>
        </w:rPr>
        <w:t xml:space="preserve"> TSP </w:t>
      </w:r>
      <w:r w:rsidR="00BD3597">
        <w:rPr>
          <w:b/>
          <w:bCs/>
          <w:szCs w:val="22"/>
        </w:rPr>
        <w:t xml:space="preserve">tak, aby umožnilo jeho rozšírenie </w:t>
      </w:r>
      <w:r w:rsidR="006C7D38" w:rsidRPr="00CE4B44">
        <w:rPr>
          <w:b/>
          <w:bCs/>
          <w:szCs w:val="22"/>
        </w:rPr>
        <w:t>na všetky obce s indexom potrebnosti TSP vyšším ako 10</w:t>
      </w:r>
      <w:r w:rsidR="002F657B">
        <w:rPr>
          <w:b/>
          <w:bCs/>
          <w:szCs w:val="22"/>
        </w:rPr>
        <w:t xml:space="preserve"> v závislosti od ich záujmu</w:t>
      </w:r>
      <w:r w:rsidR="006C7D38" w:rsidRPr="00CE4B44">
        <w:rPr>
          <w:b/>
          <w:bCs/>
          <w:szCs w:val="22"/>
        </w:rPr>
        <w:t>.</w:t>
      </w:r>
    </w:p>
    <w:p w14:paraId="5F4E273D" w14:textId="202490FE" w:rsidR="003C7E46" w:rsidRPr="003B34B0" w:rsidRDefault="003C7E46" w:rsidP="003C7E46">
      <w:pPr>
        <w:spacing w:before="160"/>
      </w:pPr>
      <w:r w:rsidRPr="000F08E5">
        <w:rPr>
          <w:b/>
        </w:rPr>
        <w:t>Aj v</w:t>
      </w:r>
      <w:r w:rsidR="00CF718B">
        <w:rPr>
          <w:b/>
        </w:rPr>
        <w:t> </w:t>
      </w:r>
      <w:r w:rsidRPr="000F08E5">
        <w:rPr>
          <w:b/>
        </w:rPr>
        <w:t>obciach</w:t>
      </w:r>
      <w:r w:rsidR="00CF718B">
        <w:rPr>
          <w:b/>
        </w:rPr>
        <w:t>,</w:t>
      </w:r>
      <w:r w:rsidRPr="000F08E5">
        <w:rPr>
          <w:b/>
        </w:rPr>
        <w:t xml:space="preserve"> kde TSP funguje</w:t>
      </w:r>
      <w:r w:rsidR="00CF718B">
        <w:rPr>
          <w:b/>
        </w:rPr>
        <w:t>,</w:t>
      </w:r>
      <w:r w:rsidRPr="000F08E5">
        <w:rPr>
          <w:b/>
        </w:rPr>
        <w:t xml:space="preserve"> je častou sťažnosťou pracovníkov </w:t>
      </w:r>
      <w:r>
        <w:rPr>
          <w:b/>
        </w:rPr>
        <w:t>veľké množstvo klientov a úkonov</w:t>
      </w:r>
      <w:r w:rsidR="000C1DAD">
        <w:rPr>
          <w:b/>
        </w:rPr>
        <w:t xml:space="preserve"> a </w:t>
      </w:r>
      <w:r w:rsidRPr="000F08E5">
        <w:rPr>
          <w:b/>
        </w:rPr>
        <w:t xml:space="preserve">nedostatok času na systematickú prácu s klientom s cieľom posilňovania jeho </w:t>
      </w:r>
      <w:r w:rsidR="000C1DAD">
        <w:rPr>
          <w:b/>
        </w:rPr>
        <w:t>samostatnosti a </w:t>
      </w:r>
      <w:r w:rsidR="00CF718B">
        <w:rPr>
          <w:b/>
        </w:rPr>
        <w:t>sebadôvery</w:t>
      </w:r>
      <w:r w:rsidRPr="000F08E5">
        <w:rPr>
          <w:b/>
        </w:rPr>
        <w:t>.</w:t>
      </w:r>
      <w:r>
        <w:rPr>
          <w:b/>
        </w:rPr>
        <w:t xml:space="preserve"> </w:t>
      </w:r>
      <w:r w:rsidRPr="003B34B0">
        <w:t xml:space="preserve">Vo viacerých lokalitách </w:t>
      </w:r>
      <w:r w:rsidR="00CF718B">
        <w:t>je</w:t>
      </w:r>
      <w:r w:rsidR="00CF718B" w:rsidRPr="003B34B0">
        <w:t xml:space="preserve"> </w:t>
      </w:r>
      <w:r w:rsidRPr="003B34B0">
        <w:t xml:space="preserve">tak </w:t>
      </w:r>
      <w:r>
        <w:t>práca terénnych pracovníkov zredukovaná na „hasenie požiarov“ – jednorazový problémovo-orientovaný prístup zameraný na vyrovnanie sa s konkrétnou problémovou situáciou (napr. komunikácia s exekútormi vo veci dlhov, komunikácia s inými inštitúciami ako napríklad lekárm</w:t>
      </w:r>
      <w:r w:rsidR="00711DD5">
        <w:t>i alebo </w:t>
      </w:r>
      <w:r>
        <w:t>ÚPSVR) (Škobla a spol., 2019).</w:t>
      </w:r>
    </w:p>
    <w:p w14:paraId="598ECC83" w14:textId="0E4FFF37" w:rsidR="003C7E46" w:rsidRPr="00FA7E94" w:rsidRDefault="003C7E46" w:rsidP="003C7E46">
      <w:pPr>
        <w:spacing w:before="160"/>
      </w:pPr>
      <w:bookmarkStart w:id="1858" w:name="_Hlk23702886"/>
      <w:r>
        <w:rPr>
          <w:b/>
        </w:rPr>
        <w:t xml:space="preserve">Kvalitatívne hodnotenie dopadu TSP zistilo pozitívny dopad jednotlivých okruhov intervencií na situáciu klientov a komunity. </w:t>
      </w:r>
      <w:bookmarkEnd w:id="1858"/>
      <w:r w:rsidRPr="00FA7E94">
        <w:t>Rozhovory s</w:t>
      </w:r>
      <w:r>
        <w:t> terénnymi sociálnymi pracovníkmi aj predstaviteľmi inštitúcií, ktoré majú priame napojenie na jednotlivé okruhy intervencií TSP (školy, úrady práce, polícia atď.), naznačujú významný dopad TSP na zlepšovanie školskej dochádzky, riešenie dlhových problémov, zvyšovanie zamestnanosti a zlepšovanie prístupu k zdravotnej starostlivosti (najmä v obciach kde nepôsobia Zdravé regióny) (Škobla a spol., 2019).</w:t>
      </w:r>
    </w:p>
    <w:p w14:paraId="5C07AF4B" w14:textId="753ECDC3" w:rsidR="00521AC3" w:rsidRDefault="003C7E46" w:rsidP="003C7E46">
      <w:pPr>
        <w:spacing w:before="160"/>
      </w:pPr>
      <w:r w:rsidRPr="00367C69">
        <w:rPr>
          <w:b/>
        </w:rPr>
        <w:t xml:space="preserve">Výrazný posun pri výkone TSP v porovnaní s predchádzajúcim programovým obdobím je vidieť v oblasti vzdelávania. </w:t>
      </w:r>
      <w:r>
        <w:t>Kým v minulosti systém školení a kontinuálneho vzdelávania terénnych sociálnych pracovníkov a terénnych pracovníkov neexistoval, v aktuálnom programovom období už prebiehajú školenia na rôzne témy (napr. rodová rovnosť, exekúcie, legislatíva v sociálnej oblasti, metódy a techniky s</w:t>
      </w:r>
      <w:r w:rsidR="00A762D6">
        <w:t>ociálnej práce, kultúra chudoby </w:t>
      </w:r>
      <w:r>
        <w:t xml:space="preserve">atď.) (Škobla a spol., 2019). </w:t>
      </w:r>
      <w:r w:rsidR="0061550C">
        <w:t>Kvalifikačným predpokladom na pozíciu ter</w:t>
      </w:r>
      <w:r w:rsidR="00600879">
        <w:t>énneho sociálneho pracovníka je </w:t>
      </w:r>
      <w:r w:rsidR="008D5709">
        <w:t xml:space="preserve">ukončenie </w:t>
      </w:r>
      <w:r w:rsidR="0061550C">
        <w:t>vysokoškolského vzdelania II</w:t>
      </w:r>
      <w:r w:rsidR="008D5709">
        <w:t>.</w:t>
      </w:r>
      <w:r w:rsidR="0061550C">
        <w:t xml:space="preserve"> stupňa. Terénnym pracovníkom postačuje </w:t>
      </w:r>
      <w:r w:rsidR="0061550C">
        <w:rPr>
          <w:rFonts w:eastAsia="Calibri" w:cs="Calibri"/>
        </w:rPr>
        <w:t>neúplné stredoškolské vzdelanie resp. nižšie stredné odborné vzdelanie.</w:t>
      </w:r>
      <w:r w:rsidR="0061550C">
        <w:t xml:space="preserve"> Pre ďalší kariérny rast terénnych pracovníkov by bolo vhodné podporiť ich snahu zvýšiť si kvalifikáciu aj prostredníctvom ďalšieho štú</w:t>
      </w:r>
      <w:r w:rsidR="00A762D6">
        <w:t>dia na strednej a vysokej škole</w:t>
      </w:r>
      <w:r w:rsidR="0061550C">
        <w:t xml:space="preserve"> a umožniť im postúpiť na pozíciu terénneho sociálneho pracovníka. </w:t>
      </w:r>
    </w:p>
    <w:p w14:paraId="5648963B" w14:textId="522E79E9" w:rsidR="003C7E46" w:rsidRPr="00521AC3" w:rsidRDefault="003C7E46" w:rsidP="003C7E46">
      <w:pPr>
        <w:spacing w:before="160"/>
        <w:rPr>
          <w:b/>
          <w:bCs/>
        </w:rPr>
      </w:pPr>
      <w:r w:rsidRPr="00521AC3">
        <w:rPr>
          <w:b/>
          <w:bCs/>
        </w:rPr>
        <w:t xml:space="preserve">Revízia preto navrhuje </w:t>
      </w:r>
      <w:r w:rsidR="00A67B35" w:rsidRPr="00521AC3">
        <w:rPr>
          <w:b/>
          <w:bCs/>
        </w:rPr>
        <w:t>zaviesť štipendijnú schému</w:t>
      </w:r>
      <w:r w:rsidRPr="00521AC3">
        <w:rPr>
          <w:b/>
          <w:bCs/>
        </w:rPr>
        <w:t>, ktor</w:t>
      </w:r>
      <w:r w:rsidR="00A67B35" w:rsidRPr="00521AC3">
        <w:rPr>
          <w:b/>
          <w:bCs/>
        </w:rPr>
        <w:t>á</w:t>
      </w:r>
      <w:r w:rsidRPr="00521AC3">
        <w:rPr>
          <w:b/>
          <w:bCs/>
        </w:rPr>
        <w:t xml:space="preserve"> by podporoval</w:t>
      </w:r>
      <w:r w:rsidR="00A67B35" w:rsidRPr="00521AC3">
        <w:rPr>
          <w:b/>
          <w:bCs/>
        </w:rPr>
        <w:t>a</w:t>
      </w:r>
      <w:r w:rsidRPr="00521AC3">
        <w:rPr>
          <w:b/>
          <w:bCs/>
        </w:rPr>
        <w:t xml:space="preserve"> terénnych pracovníkov v štúdiu.</w:t>
      </w:r>
      <w:r w:rsidR="0061550C" w:rsidRPr="00521AC3">
        <w:rPr>
          <w:b/>
          <w:bCs/>
        </w:rPr>
        <w:t xml:space="preserve"> Keďže nízke dosiahnuté vzdelanie je často prekážkou pre ľudí z MRK získať zamestnanie vyžadujúce vyššiu kvalifikáciu, toto opatrenie by postupom času mohlo pomôcť zvýšiť zastúpenie ľudí z MRK medzi terénnymi sociálnymi pracovníkmi.</w:t>
      </w:r>
    </w:p>
    <w:p w14:paraId="39B82AB4" w14:textId="205B3067" w:rsidR="003C7E46" w:rsidRPr="00CA2564" w:rsidRDefault="003C7E46" w:rsidP="003C7E46">
      <w:pPr>
        <w:spacing w:before="160"/>
      </w:pPr>
      <w:r w:rsidRPr="00CA2564">
        <w:rPr>
          <w:b/>
        </w:rPr>
        <w:t xml:space="preserve">Kvantitatívne hodnotenie dopadov TSP je metodologicky problematické vzhľadom na charakteristiky tohto druhu intervencie. V prvom rade ide o spomínané prierezové nastavenie TSP. </w:t>
      </w:r>
      <w:r w:rsidRPr="00CA2564">
        <w:t>Na rozdiel od iných nástrojov</w:t>
      </w:r>
      <w:r w:rsidR="00600879">
        <w:t>,</w:t>
      </w:r>
      <w:r w:rsidRPr="00CA2564">
        <w:t xml:space="preserve"> TSP </w:t>
      </w:r>
      <w:r w:rsidR="00600879" w:rsidRPr="00CA2564">
        <w:t xml:space="preserve">je </w:t>
      </w:r>
      <w:r w:rsidRPr="00CA2564">
        <w:t xml:space="preserve">zameraná na široké spektrum oblastí a priority </w:t>
      </w:r>
      <w:r w:rsidR="008D5709" w:rsidRPr="00CA2564">
        <w:t xml:space="preserve">sa </w:t>
      </w:r>
      <w:r w:rsidRPr="00CA2564">
        <w:t>v každej lokalite líšia podľa jej konkrétnych potrieb. Použitie jedného výsledkového ukazovateľa na hodnotenie dopadov TSP naprieč rôznymi lokalitami je preto problematické. Potrebu odbornej diskusie na túto tému potvrdila aj kontextová evaluáci</w:t>
      </w:r>
      <w:r w:rsidR="00B4786D">
        <w:t>a IA MPSVR (Filčák a spol., 2019</w:t>
      </w:r>
      <w:r w:rsidRPr="00CA2564">
        <w:t>).</w:t>
      </w:r>
    </w:p>
    <w:p w14:paraId="694B09FD" w14:textId="2B652DE6" w:rsidR="003C7E46" w:rsidRDefault="003C7E46" w:rsidP="003C7E46">
      <w:pPr>
        <w:spacing w:before="160"/>
      </w:pPr>
      <w:r w:rsidRPr="00CA2564">
        <w:rPr>
          <w:b/>
        </w:rPr>
        <w:t xml:space="preserve">Druhým zásadným problémom kvantitatívneho hodnotenia TSP je skutočnosť, že jej úspech v dosahovaní pozitívnej zmeny závisí od prístupu k nadväzujúcim službám a ich kvality v danej oblasti. </w:t>
      </w:r>
      <w:r w:rsidR="00600879">
        <w:t>Podstatou TSP je </w:t>
      </w:r>
      <w:r w:rsidRPr="00CA2564">
        <w:t>zlepšenie prístupu k existujúcim nástrojom a službám sociálnej pomoci. Hoci sa TSP ukazuje ako nenahraditeľná súčasť riešenia integrácie marginalizovaných osôb do spoločnosti, celkový vplyv intervencií v konečnom dôsledku závisí od prítomnosti a kvality jednotlivých služie</w:t>
      </w:r>
      <w:r>
        <w:t>b a opatrení v danej lokalite.</w:t>
      </w:r>
    </w:p>
    <w:p w14:paraId="7ECB1D80" w14:textId="77777777" w:rsidR="003C7E46" w:rsidRPr="00442D2E" w:rsidRDefault="003C7E46" w:rsidP="003C7E46">
      <w:pPr>
        <w:spacing w:after="160"/>
        <w:jc w:val="left"/>
        <w:rPr>
          <w:color w:val="FF0000"/>
        </w:rPr>
      </w:pPr>
      <w:r>
        <w:rPr>
          <w:color w:val="0070C0"/>
        </w:rPr>
        <w:t>Zdravé komunity</w:t>
      </w:r>
    </w:p>
    <w:p w14:paraId="20BF7324" w14:textId="7DB52AAC" w:rsidR="0093167F" w:rsidRPr="00CA2564" w:rsidRDefault="003C7E46" w:rsidP="003C7E46">
      <w:pPr>
        <w:spacing w:before="160"/>
      </w:pPr>
      <w:r w:rsidRPr="00CA2564">
        <w:rPr>
          <w:b/>
        </w:rPr>
        <w:t xml:space="preserve">Najdôležitejším nástrojom na Slovensku, ktorý je explicitne zameraný na sociálnu inklúziu v oblasti zdravia, je národný projekt Zdravé komunity. </w:t>
      </w:r>
      <w:r w:rsidRPr="00CA2564">
        <w:t xml:space="preserve">Projekt realizuje štátna príspevková organizácia Zdravé regióny zriadená </w:t>
      </w:r>
      <w:r w:rsidR="00600879">
        <w:t>m</w:t>
      </w:r>
      <w:r w:rsidRPr="00CA2564">
        <w:t>inisterstvom zdravotníctva v decembri 2016. Ide o formu terénnej so</w:t>
      </w:r>
      <w:r w:rsidR="00600879">
        <w:t>ciálnej práce, ktorá je však, na </w:t>
      </w:r>
      <w:r w:rsidRPr="00CA2564">
        <w:t>rozdiel od programu TSP</w:t>
      </w:r>
      <w:r w:rsidR="00600879">
        <w:t>,</w:t>
      </w:r>
      <w:r w:rsidRPr="00CA2564">
        <w:t xml:space="preserve"> zameraná užšie na zlepšenie </w:t>
      </w:r>
      <w:r w:rsidR="0093167F">
        <w:t>podmienok pre zdravie</w:t>
      </w:r>
      <w:r w:rsidRPr="00CA2564">
        <w:t xml:space="preserve"> vylúčených skupín, predovšetkým MRK. Pomocou asistentov a asistentiek osvety zdravia, ktorí pracujú v teréne s cieľovou skupinou, organizácia realizuje </w:t>
      </w:r>
      <w:r w:rsidR="0093167F">
        <w:t xml:space="preserve">v prostredí MRK osvetové aktivity, </w:t>
      </w:r>
      <w:r w:rsidRPr="00CA2564">
        <w:t xml:space="preserve">zdravotnú mediáciu (napr. komunikácia medzi </w:t>
      </w:r>
      <w:r w:rsidR="00600879">
        <w:t>ľuďmi z </w:t>
      </w:r>
      <w:r w:rsidR="0097693A">
        <w:t>prostredia</w:t>
      </w:r>
      <w:r w:rsidRPr="00CA2564">
        <w:t xml:space="preserve"> MRK a zdravotníckymi zariadeniami)</w:t>
      </w:r>
      <w:r w:rsidR="0093167F">
        <w:t xml:space="preserve"> a ďalšiu podporu zdravia (napr. psychosociálnu alebo v oblasti materiálnych podmienok)</w:t>
      </w:r>
      <w:r w:rsidRPr="00CA2564">
        <w:t xml:space="preserve">. </w:t>
      </w:r>
      <w:r w:rsidR="0093167F" w:rsidRPr="00CA2564">
        <w:t>Hlavným cieľ</w:t>
      </w:r>
      <w:r w:rsidR="0093167F">
        <w:t>om</w:t>
      </w:r>
      <w:r w:rsidR="0093167F" w:rsidRPr="00CA2564">
        <w:t xml:space="preserve"> týchto aktivít </w:t>
      </w:r>
      <w:r w:rsidR="0093167F">
        <w:t xml:space="preserve">je vylepšenie podmienok pre zdravie prostredníctvom </w:t>
      </w:r>
      <w:r w:rsidR="0093167F" w:rsidRPr="00CA2564">
        <w:t>zn</w:t>
      </w:r>
      <w:r w:rsidR="0093167F">
        <w:t>í</w:t>
      </w:r>
      <w:r w:rsidR="0093167F" w:rsidRPr="00CA2564">
        <w:t>ženi</w:t>
      </w:r>
      <w:r w:rsidR="0093167F">
        <w:t>a</w:t>
      </w:r>
      <w:r w:rsidR="0093167F" w:rsidRPr="00CA2564">
        <w:t xml:space="preserve"> bariér v prístupe k zdravotnej starostlivosti, zvýšeni</w:t>
      </w:r>
      <w:r w:rsidR="0093167F">
        <w:t>a</w:t>
      </w:r>
      <w:r w:rsidR="0093167F" w:rsidRPr="00CA2564">
        <w:t xml:space="preserve"> zdravotnej gramotnosti</w:t>
      </w:r>
      <w:r w:rsidR="0093167F">
        <w:t>,</w:t>
      </w:r>
      <w:r w:rsidR="0093167F" w:rsidRPr="00CA2564">
        <w:t> zlepšeni</w:t>
      </w:r>
      <w:r w:rsidR="0093167F">
        <w:t>a</w:t>
      </w:r>
      <w:r w:rsidR="0093167F" w:rsidRPr="00CA2564">
        <w:t xml:space="preserve"> správania súvisiaceho so zdravím (predovšetkým zníženie rizikov</w:t>
      </w:r>
      <w:r w:rsidR="0093167F">
        <w:t>osti</w:t>
      </w:r>
      <w:r w:rsidR="0093167F" w:rsidRPr="00CA2564">
        <w:t xml:space="preserve"> životného štýlu)</w:t>
      </w:r>
      <w:r w:rsidR="0093167F">
        <w:t xml:space="preserve"> a vylepšovania </w:t>
      </w:r>
      <w:r w:rsidR="00FF6861">
        <w:t xml:space="preserve">so zdravím súvisiacej </w:t>
      </w:r>
      <w:r w:rsidR="0093167F">
        <w:t>základnej infraštruktúry</w:t>
      </w:r>
      <w:r w:rsidR="0093167F" w:rsidRPr="00CA2564">
        <w:t>.</w:t>
      </w:r>
    </w:p>
    <w:p w14:paraId="6224BF69" w14:textId="7DB4EF94" w:rsidR="003C7E46" w:rsidRDefault="003C7E46" w:rsidP="003C7E46">
      <w:pPr>
        <w:spacing w:before="160"/>
      </w:pPr>
      <w:r w:rsidRPr="00CA2564">
        <w:rPr>
          <w:b/>
        </w:rPr>
        <w:t>Celkové výdavky na Zdravé regióny v roku 20</w:t>
      </w:r>
      <w:r>
        <w:rPr>
          <w:b/>
        </w:rPr>
        <w:t xml:space="preserve">18 </w:t>
      </w:r>
      <w:r w:rsidRPr="00412BA9">
        <w:rPr>
          <w:b/>
        </w:rPr>
        <w:t>tvorili 3,2 miliónov</w:t>
      </w:r>
      <w:r w:rsidRPr="00CA2564">
        <w:rPr>
          <w:b/>
        </w:rPr>
        <w:t xml:space="preserve"> eur</w:t>
      </w:r>
      <w:r>
        <w:rPr>
          <w:b/>
        </w:rPr>
        <w:t xml:space="preserve"> </w:t>
      </w:r>
      <w:r w:rsidRPr="00CA2564">
        <w:rPr>
          <w:b/>
        </w:rPr>
        <w:t>financovaných v plnej miere zo zdrojov EŠIF (Operačný program Ľud</w:t>
      </w:r>
      <w:r>
        <w:rPr>
          <w:b/>
        </w:rPr>
        <w:t>ské zdroje) a spolufinancovania</w:t>
      </w:r>
      <w:r w:rsidRPr="00CA2564">
        <w:rPr>
          <w:b/>
        </w:rPr>
        <w:t>.</w:t>
      </w:r>
      <w:r w:rsidRPr="00CA2564">
        <w:rPr>
          <w:rStyle w:val="Odkaznapoznmkupodiarou"/>
        </w:rPr>
        <w:footnoteReference w:id="494"/>
      </w:r>
      <w:r>
        <w:t xml:space="preserve"> K 31.12.2018</w:t>
      </w:r>
      <w:r w:rsidRPr="00CA2564">
        <w:t xml:space="preserve"> </w:t>
      </w:r>
      <w:r w:rsidRPr="006E32C0">
        <w:t>zamestnávali Zdravé regióny 253 asistentov osvety zdravia a 25 koordinátor</w:t>
      </w:r>
      <w:r w:rsidRPr="00CA2564">
        <w:t xml:space="preserve">ov, z toho viac </w:t>
      </w:r>
      <w:r w:rsidRPr="004962F9">
        <w:t>ako 86 % bolo z</w:t>
      </w:r>
      <w:r w:rsidRPr="00CA2564">
        <w:t> prostredia MRK.</w:t>
      </w:r>
      <w:r>
        <w:rPr>
          <w:rStyle w:val="Odkaznapoznmkupodiarou"/>
        </w:rPr>
        <w:footnoteReference w:id="495"/>
      </w:r>
      <w:r w:rsidRPr="00CA2564">
        <w:t xml:space="preserve"> Pôsobili </w:t>
      </w:r>
      <w:r w:rsidRPr="0093167F">
        <w:t>v </w:t>
      </w:r>
      <w:r w:rsidR="0093167F" w:rsidRPr="0093167F">
        <w:t>271</w:t>
      </w:r>
      <w:r w:rsidRPr="0093167F">
        <w:t xml:space="preserve"> zapojených</w:t>
      </w:r>
      <w:r w:rsidRPr="00CA2564">
        <w:t xml:space="preserve"> lokalitách</w:t>
      </w:r>
      <w:r w:rsidRPr="009527D2">
        <w:t xml:space="preserve">. </w:t>
      </w:r>
    </w:p>
    <w:p w14:paraId="7BCDD2CC" w14:textId="3DA2D383" w:rsidR="00FD0C2F" w:rsidRPr="005B170E" w:rsidRDefault="00FD0C2F" w:rsidP="00FD0C2F">
      <w:pPr>
        <w:spacing w:before="160"/>
        <w:rPr>
          <w:rFonts w:cs="GTAmerica-Regular"/>
          <w:szCs w:val="22"/>
        </w:rPr>
      </w:pPr>
      <w:r w:rsidRPr="005B170E">
        <w:rPr>
          <w:b/>
        </w:rPr>
        <w:t>Organizácia Zdravé regióny v roku 2018 spolupracovala so 611 lekármi, ktorí jej aktivity hodnotia veľmi pozitívne.</w:t>
      </w:r>
      <w:r w:rsidR="0070047D">
        <w:t xml:space="preserve"> </w:t>
      </w:r>
      <w:r>
        <w:t xml:space="preserve">Prieskum medzi spolupracujúcimi lekármi prvého kontaktu (pediatri a všeobecní lekári pre dospelých) ukázal, že 78 % </w:t>
      </w:r>
      <w:r w:rsidRPr="005B170E">
        <w:rPr>
          <w:szCs w:val="22"/>
        </w:rPr>
        <w:t xml:space="preserve">pediatrov a 80 % všeobecných lekárov spolupracuje s asistentmi osvety zdravia </w:t>
      </w:r>
      <w:r w:rsidR="003C75A2">
        <w:rPr>
          <w:szCs w:val="22"/>
        </w:rPr>
        <w:t xml:space="preserve">(AOZ) </w:t>
      </w:r>
      <w:r w:rsidRPr="005B170E">
        <w:rPr>
          <w:szCs w:val="22"/>
        </w:rPr>
        <w:t xml:space="preserve">viackrát do týždňa a 99 % pediatrov a 98 % všeobecných lekárov </w:t>
      </w:r>
      <w:r w:rsidRPr="005B170E">
        <w:rPr>
          <w:rFonts w:cs="GTAmerica-Regular"/>
          <w:szCs w:val="22"/>
        </w:rPr>
        <w:t>si želá aj naďalej</w:t>
      </w:r>
      <w:r w:rsidRPr="005B170E">
        <w:rPr>
          <w:szCs w:val="22"/>
        </w:rPr>
        <w:t xml:space="preserve"> </w:t>
      </w:r>
      <w:r w:rsidRPr="005B170E">
        <w:rPr>
          <w:rFonts w:cs="GTAmerica-Regular"/>
          <w:szCs w:val="22"/>
        </w:rPr>
        <w:t xml:space="preserve">pokračovať v spolupráci v príslušných lokalitách. </w:t>
      </w:r>
      <w:bookmarkStart w:id="1859" w:name="_Hlk23703334"/>
      <w:r w:rsidRPr="005B170E">
        <w:rPr>
          <w:rFonts w:cs="GTAmerica-Regular"/>
          <w:szCs w:val="22"/>
        </w:rPr>
        <w:t xml:space="preserve">Z prieskumu tiež </w:t>
      </w:r>
      <w:r w:rsidR="004D33EE">
        <w:rPr>
          <w:rFonts w:cs="GTAmerica-Regular"/>
          <w:szCs w:val="22"/>
        </w:rPr>
        <w:t>v</w:t>
      </w:r>
      <w:r w:rsidR="00B24660">
        <w:rPr>
          <w:rFonts w:cs="GTAmerica-Regular"/>
          <w:szCs w:val="22"/>
        </w:rPr>
        <w:t>yplýva</w:t>
      </w:r>
      <w:r w:rsidRPr="005B170E">
        <w:rPr>
          <w:rFonts w:cs="GTAmerica-Regular"/>
          <w:szCs w:val="22"/>
        </w:rPr>
        <w:t>, že 33% všeobecných lekárov pre dospelých a 29% pediatrov eviduje lokality, v ktorých bude potrebné pôsobenie AOZ zaviesť a tiež vyjadrili potrebu zvýšenia počtu AOZ vo väčších a problematických komunitách</w:t>
      </w:r>
      <w:bookmarkEnd w:id="1859"/>
      <w:r w:rsidRPr="005B170E">
        <w:rPr>
          <w:rFonts w:cs="GTAmerica-Regular"/>
          <w:szCs w:val="22"/>
        </w:rPr>
        <w:t>.</w:t>
      </w:r>
      <w:r w:rsidRPr="005B170E">
        <w:rPr>
          <w:rStyle w:val="Odkaznapoznmkupodiarou"/>
          <w:szCs w:val="22"/>
        </w:rPr>
        <w:footnoteReference w:id="496"/>
      </w:r>
      <w:r>
        <w:rPr>
          <w:rFonts w:cs="GTAmerica-Regular"/>
          <w:szCs w:val="22"/>
        </w:rPr>
        <w:t xml:space="preserve"> </w:t>
      </w:r>
      <w:r w:rsidRPr="005B170E">
        <w:rPr>
          <w:szCs w:val="22"/>
        </w:rPr>
        <w:t>Komplexné hodnotenie</w:t>
      </w:r>
      <w:r w:rsidRPr="009527D2">
        <w:t xml:space="preserve"> aktivít Zdra</w:t>
      </w:r>
      <w:r>
        <w:t>vých regiónov akt</w:t>
      </w:r>
      <w:r w:rsidR="00705B18">
        <w:t>uálne prebieha</w:t>
      </w:r>
      <w:r>
        <w:t>.</w:t>
      </w:r>
    </w:p>
    <w:p w14:paraId="221CC769" w14:textId="6FBB8FB2" w:rsidR="00FD0C2F" w:rsidRPr="002427B1" w:rsidRDefault="00CC4346" w:rsidP="00FD0C2F">
      <w:pPr>
        <w:spacing w:before="160"/>
      </w:pPr>
      <w:r>
        <w:rPr>
          <w:b/>
        </w:rPr>
        <w:t>Revízia navrhuje rozšíriť program Zdravé komunity tak, aby dosiahol</w:t>
      </w:r>
      <w:r w:rsidR="00FD0C2F" w:rsidRPr="002427B1">
        <w:rPr>
          <w:b/>
        </w:rPr>
        <w:t xml:space="preserve"> úplné pokrytie MRK v rámci podpory zdravia, zdravotnej osvety a</w:t>
      </w:r>
      <w:r>
        <w:rPr>
          <w:b/>
        </w:rPr>
        <w:t> </w:t>
      </w:r>
      <w:r w:rsidR="00FD0C2F" w:rsidRPr="002427B1">
        <w:rPr>
          <w:b/>
        </w:rPr>
        <w:t>mediácie</w:t>
      </w:r>
      <w:r>
        <w:rPr>
          <w:b/>
        </w:rPr>
        <w:t>. Za týmto účelom</w:t>
      </w:r>
      <w:r w:rsidR="00FD0C2F" w:rsidRPr="002427B1">
        <w:rPr>
          <w:b/>
        </w:rPr>
        <w:t xml:space="preserve"> by bolo potrebných zamestnať ďalších približne 50 asistentov a 10 koordinátorov osvety zdravia.</w:t>
      </w:r>
    </w:p>
    <w:p w14:paraId="2A9912C5" w14:textId="77777777" w:rsidR="00705B18" w:rsidRDefault="00705B18" w:rsidP="003C7E46">
      <w:pPr>
        <w:spacing w:before="160"/>
        <w:rPr>
          <w:color w:val="0070C0"/>
        </w:rPr>
      </w:pPr>
    </w:p>
    <w:p w14:paraId="6632C40A" w14:textId="77777777" w:rsidR="003C7E46" w:rsidRPr="00CA2564" w:rsidRDefault="003C7E46" w:rsidP="003C7E46">
      <w:pPr>
        <w:spacing w:before="160"/>
        <w:rPr>
          <w:color w:val="0070C0"/>
        </w:rPr>
      </w:pPr>
      <w:r w:rsidRPr="00CA2564">
        <w:rPr>
          <w:color w:val="0070C0"/>
        </w:rPr>
        <w:t>Miestne občianske poriadkové služby (MOPS)</w:t>
      </w:r>
    </w:p>
    <w:p w14:paraId="4497A526" w14:textId="04912068" w:rsidR="003C7E46" w:rsidRDefault="003C7E46" w:rsidP="003C7E46">
      <w:pPr>
        <w:spacing w:before="160"/>
      </w:pPr>
      <w:r w:rsidRPr="00CA2564">
        <w:rPr>
          <w:b/>
        </w:rPr>
        <w:t xml:space="preserve">Dôležitú </w:t>
      </w:r>
      <w:r>
        <w:rPr>
          <w:b/>
        </w:rPr>
        <w:t xml:space="preserve">súčasť komunitnej policajnej práce </w:t>
      </w:r>
      <w:r w:rsidR="00052E83">
        <w:rPr>
          <w:b/>
        </w:rPr>
        <w:t xml:space="preserve">(community policing) </w:t>
      </w:r>
      <w:r>
        <w:rPr>
          <w:b/>
        </w:rPr>
        <w:t>v prostredí MRK</w:t>
      </w:r>
      <w:r w:rsidRPr="00CA2564">
        <w:rPr>
          <w:b/>
        </w:rPr>
        <w:t xml:space="preserve"> zohrávajú miestne občianske poriadkové služby (MOPS).</w:t>
      </w:r>
      <w:r w:rsidRPr="00CA2564">
        <w:t xml:space="preserve"> </w:t>
      </w:r>
      <w:bookmarkStart w:id="1860" w:name="_Hlk23703399"/>
      <w:r w:rsidRPr="00CA2564">
        <w:t>Príslušníci MOPS sú vyberaní prevažne priamo z</w:t>
      </w:r>
      <w:r>
        <w:t> </w:t>
      </w:r>
      <w:r w:rsidRPr="00CA2564">
        <w:t>komunity</w:t>
      </w:r>
      <w:r>
        <w:t xml:space="preserve"> a hoci nie sú príslušníkmi </w:t>
      </w:r>
      <w:r w:rsidR="00E53BDB">
        <w:t>P</w:t>
      </w:r>
      <w:r>
        <w:t xml:space="preserve">olicajného zboru, spolupracujú s policajnými špecialistami pre prácu </w:t>
      </w:r>
      <w:r w:rsidR="00E53BDB">
        <w:t>s </w:t>
      </w:r>
      <w:r>
        <w:t>rómskymi komunitami. Ich</w:t>
      </w:r>
      <w:r w:rsidR="00806C71">
        <w:t> </w:t>
      </w:r>
      <w:r w:rsidRPr="00CA2564">
        <w:t xml:space="preserve">činnosť je zameraná na ochranu verejného poriadku, súkromného a verejného majetku, detí a mládeže pred negatívnymi javmi, životného prostredia a plynulosti a bezpečnosti cestnej premávky. </w:t>
      </w:r>
      <w:bookmarkEnd w:id="1860"/>
      <w:r w:rsidRPr="00CA2564">
        <w:t>Konkrétnu podobu pracovných činností, ktoré MOPS vykonávajú</w:t>
      </w:r>
      <w:r w:rsidR="00E53BDB">
        <w:t>,</w:t>
      </w:r>
      <w:r w:rsidRPr="00CA2564">
        <w:t xml:space="preserve"> určuje zamestnávateľ (obec). Môžu zahŕňať činnosti ako napríklad odprevádzanie detí do školy, organizácia spoločenských akcií, upozorňovanie príslu</w:t>
      </w:r>
      <w:r w:rsidR="00806C71">
        <w:t>šných orgánov na </w:t>
      </w:r>
      <w:r w:rsidRPr="00CA2564">
        <w:t>protispoločenskú alebo trestnú činnosť (napr. vandalizmus), nahlasovanie nelegálnych skládok a kontrola pohybu a miesta stretávania maloletých detí a mládeže vo večerných hodinách.</w:t>
      </w:r>
    </w:p>
    <w:p w14:paraId="08A783C4" w14:textId="1A9ED327" w:rsidR="003C7E46" w:rsidRPr="00CA2564" w:rsidRDefault="003C7E46" w:rsidP="003C7E46">
      <w:pPr>
        <w:spacing w:before="160"/>
      </w:pPr>
      <w:r>
        <w:rPr>
          <w:b/>
        </w:rPr>
        <w:t xml:space="preserve">MOPS na Slovensku systematicky fungujú od </w:t>
      </w:r>
      <w:r w:rsidR="00D174CE">
        <w:rPr>
          <w:b/>
        </w:rPr>
        <w:t xml:space="preserve">minulého programového obdobia (2007-2013) </w:t>
      </w:r>
      <w:r>
        <w:rPr>
          <w:b/>
        </w:rPr>
        <w:t>na základe dopytovo orientovaných výziev.</w:t>
      </w:r>
      <w:r>
        <w:rPr>
          <w:rStyle w:val="Odkaznapoznmkupodiarou"/>
          <w:b/>
        </w:rPr>
        <w:footnoteReference w:id="497"/>
      </w:r>
      <w:r>
        <w:rPr>
          <w:b/>
        </w:rPr>
        <w:t xml:space="preserve"> </w:t>
      </w:r>
      <w:r w:rsidR="00D174CE">
        <w:rPr>
          <w:b/>
        </w:rPr>
        <w:t xml:space="preserve">Čerpanie za rok 2018 predstavovalo </w:t>
      </w:r>
      <w:r w:rsidR="0046072F">
        <w:rPr>
          <w:b/>
        </w:rPr>
        <w:t>5,3</w:t>
      </w:r>
      <w:r>
        <w:rPr>
          <w:b/>
        </w:rPr>
        <w:t xml:space="preserve"> miliónov eur financovaných v plnej miere zo zdrojov EŠIF (Operačný program Ľudské zdroje) a spolufinancovania. </w:t>
      </w:r>
      <w:r>
        <w:t xml:space="preserve">K 31.12.2018 evidoval Úrad splnomocnenca vlády pre rómske komunity zazmluvnené projekty MOPS v 151 </w:t>
      </w:r>
      <w:r w:rsidRPr="00134DA2">
        <w:t>obciach</w:t>
      </w:r>
      <w:r>
        <w:t xml:space="preserve">, </w:t>
      </w:r>
      <w:r w:rsidRPr="00134DA2">
        <w:t>v ktorých žije takmer 134 tisíc Rómov</w:t>
      </w:r>
      <w:r>
        <w:t xml:space="preserve">, čo predstavuje </w:t>
      </w:r>
      <w:r w:rsidRPr="00134DA2">
        <w:t xml:space="preserve">tretinu populácie MRK v rámci Atlasu rómskych komunít. </w:t>
      </w:r>
    </w:p>
    <w:p w14:paraId="6C978709" w14:textId="2127B410" w:rsidR="003C7E46" w:rsidRPr="00CA2564" w:rsidRDefault="003C7E46" w:rsidP="003C7E46">
      <w:pPr>
        <w:spacing w:before="160"/>
      </w:pPr>
      <w:bookmarkStart w:id="1861" w:name="_Hlk23703494"/>
      <w:r w:rsidRPr="00CA2564">
        <w:rPr>
          <w:b/>
        </w:rPr>
        <w:t>Hoci program MOPS nebol podrobený kvantitatívnej evaluácii, výskum z USA naznačuje, že poriadkové hliadky majú mierny ale konzistentný dopad na zníženie trestnej činnosti.</w:t>
      </w:r>
      <w:r w:rsidRPr="00CA2564">
        <w:t xml:space="preserve"> </w:t>
      </w:r>
      <w:bookmarkEnd w:id="1861"/>
      <w:r w:rsidR="006D1CA3">
        <w:t>Systematické zhodnotenie 18 </w:t>
      </w:r>
      <w:r w:rsidRPr="00CA2564">
        <w:t>kvázi-experimentálnych kontrolovaných experimentov ukázalo zníženie kriminality oproti kontrolnej skupine o 16 až 26</w:t>
      </w:r>
      <w:r w:rsidR="00521DE2">
        <w:t> </w:t>
      </w:r>
      <w:r w:rsidRPr="00CA2564">
        <w:t xml:space="preserve">%, avšak </w:t>
      </w:r>
      <w:r w:rsidR="00E53BDB">
        <w:t>z</w:t>
      </w:r>
      <w:r w:rsidR="00E53BDB" w:rsidRPr="00CA2564">
        <w:t> </w:t>
      </w:r>
      <w:r w:rsidRPr="00CA2564">
        <w:t xml:space="preserve">nízkeho základu, keďže štúdie boli robené v susedstvách, kde býva prevažne stredná trieda (Bennett a spol., 2006). Informácie z terénu </w:t>
      </w:r>
      <w:r>
        <w:t xml:space="preserve">na Slovensku </w:t>
      </w:r>
      <w:r w:rsidRPr="00CA2564">
        <w:t xml:space="preserve">naznačujú, že program je hodnotený pozitívne, o čom svedčí aj </w:t>
      </w:r>
      <w:bookmarkStart w:id="1862" w:name="_Hlk23703639"/>
      <w:r>
        <w:t>vysoký záujem</w:t>
      </w:r>
      <w:r w:rsidRPr="00CA2564">
        <w:t xml:space="preserve"> zo strany obcí s príslušnosťou MRK</w:t>
      </w:r>
      <w:bookmarkEnd w:id="1862"/>
      <w:r w:rsidRPr="00CA2564">
        <w:t>.</w:t>
      </w:r>
      <w:r>
        <w:t xml:space="preserve"> V rámci prvej výzvy z roku 2017 bolo do konca roka 2018 zazmluvnených až 99 % z celkovej alokácie, čo je najviac spomedzi všetkých výziev v rámci prioritných osí 5 a 6 Operačného programu Ľudské zdroje (</w:t>
      </w:r>
      <w:r w:rsidR="00525CFC">
        <w:t>pod</w:t>
      </w:r>
      <w:r>
        <w:t xml:space="preserve">kapitola </w:t>
      </w:r>
      <w:r w:rsidR="00596CBC">
        <w:fldChar w:fldCharType="begin"/>
      </w:r>
      <w:r w:rsidR="00596CBC">
        <w:instrText xml:space="preserve"> REF _Ref25315880 \r \h </w:instrText>
      </w:r>
      <w:r w:rsidR="00596CBC">
        <w:fldChar w:fldCharType="separate"/>
      </w:r>
      <w:r w:rsidR="00FA29AF">
        <w:t>3.5</w:t>
      </w:r>
      <w:r w:rsidR="00596CBC">
        <w:fldChar w:fldCharType="end"/>
      </w:r>
      <w:r>
        <w:t>). Z dôvodu vysokého záujmu bola v roku 2018 vyhlásená nová výzva, ktorá v súčasnosti prebieha. Počet zapojených obcí sa zvýši zo 151 na 249.</w:t>
      </w:r>
      <w:r w:rsidR="00B17421">
        <w:t xml:space="preserve"> </w:t>
      </w:r>
      <w:r w:rsidR="00B17421" w:rsidRPr="00CE4B44">
        <w:rPr>
          <w:b/>
          <w:bCs/>
        </w:rPr>
        <w:t xml:space="preserve">Revízia navrhuje </w:t>
      </w:r>
      <w:r w:rsidR="00663578">
        <w:rPr>
          <w:b/>
          <w:bCs/>
        </w:rPr>
        <w:t>navýšiť</w:t>
      </w:r>
      <w:r w:rsidR="00BD3597">
        <w:rPr>
          <w:b/>
          <w:bCs/>
        </w:rPr>
        <w:t xml:space="preserve"> financovanie </w:t>
      </w:r>
      <w:r w:rsidR="00B17421" w:rsidRPr="00CE4B44">
        <w:rPr>
          <w:b/>
          <w:bCs/>
        </w:rPr>
        <w:t>program</w:t>
      </w:r>
      <w:r w:rsidR="00BD3597">
        <w:rPr>
          <w:b/>
          <w:bCs/>
        </w:rPr>
        <w:t>u</w:t>
      </w:r>
      <w:r w:rsidR="00B17421" w:rsidRPr="00CE4B44">
        <w:rPr>
          <w:b/>
          <w:bCs/>
        </w:rPr>
        <w:t xml:space="preserve"> MOPS </w:t>
      </w:r>
      <w:r w:rsidR="00BD3597">
        <w:rPr>
          <w:b/>
          <w:bCs/>
        </w:rPr>
        <w:t xml:space="preserve">tak, aby umožnilo jeho rozšírenie </w:t>
      </w:r>
      <w:r w:rsidR="00B17421" w:rsidRPr="00CE4B44">
        <w:rPr>
          <w:b/>
          <w:bCs/>
        </w:rPr>
        <w:t>na všetky obce s početnou prítomnosťou MRK v závislosti od ich záujmu.</w:t>
      </w:r>
      <w:r w:rsidR="00B17421">
        <w:t xml:space="preserve"> </w:t>
      </w:r>
    </w:p>
    <w:p w14:paraId="0C245617" w14:textId="7542DE4A" w:rsidR="003C7E46" w:rsidRPr="00C40BF7" w:rsidRDefault="003C7E46" w:rsidP="003C7E46">
      <w:pPr>
        <w:spacing w:before="160"/>
        <w:rPr>
          <w:bCs/>
        </w:rPr>
      </w:pPr>
      <w:r w:rsidRPr="00367C69">
        <w:rPr>
          <w:b/>
          <w:bCs/>
        </w:rPr>
        <w:t xml:space="preserve">Kariérnemu rastu príslušníkov MOPS bráni skutočnosť, že </w:t>
      </w:r>
      <w:r w:rsidR="00293670" w:rsidRPr="00367C69">
        <w:rPr>
          <w:b/>
          <w:bCs/>
        </w:rPr>
        <w:t>často</w:t>
      </w:r>
      <w:r w:rsidR="00293670">
        <w:rPr>
          <w:b/>
          <w:bCs/>
        </w:rPr>
        <w:t>,</w:t>
      </w:r>
      <w:r w:rsidR="00293670" w:rsidRPr="00367C69">
        <w:rPr>
          <w:b/>
          <w:bCs/>
        </w:rPr>
        <w:t xml:space="preserve"> </w:t>
      </w:r>
      <w:r w:rsidRPr="00367C69">
        <w:rPr>
          <w:b/>
          <w:bCs/>
        </w:rPr>
        <w:t xml:space="preserve">napriek dlhoročnej a relevantnej </w:t>
      </w:r>
      <w:r w:rsidR="00293670" w:rsidRPr="00367C69">
        <w:rPr>
          <w:b/>
          <w:bCs/>
        </w:rPr>
        <w:t>prax</w:t>
      </w:r>
      <w:r w:rsidR="00293670">
        <w:rPr>
          <w:b/>
          <w:bCs/>
        </w:rPr>
        <w:t>i,</w:t>
      </w:r>
      <w:r w:rsidR="00293670" w:rsidRPr="00367C69">
        <w:rPr>
          <w:b/>
          <w:bCs/>
        </w:rPr>
        <w:t xml:space="preserve"> </w:t>
      </w:r>
      <w:r w:rsidRPr="00367C69">
        <w:rPr>
          <w:b/>
          <w:bCs/>
        </w:rPr>
        <w:t>mnohí nemajú dokončenú základnú školu.</w:t>
      </w:r>
      <w:r>
        <w:rPr>
          <w:bCs/>
        </w:rPr>
        <w:t xml:space="preserve"> Nemôžu tak pokračovať v štúdiu na policajnej akadémii s cieľom získať potrebnú kvalifikáciu pre prácu v policajnom zbore.</w:t>
      </w:r>
      <w:r w:rsidR="00626E1D">
        <w:rPr>
          <w:bCs/>
        </w:rPr>
        <w:t xml:space="preserve"> </w:t>
      </w:r>
      <w:r w:rsidR="00092FA9">
        <w:rPr>
          <w:bCs/>
        </w:rPr>
        <w:t xml:space="preserve">K riešenou tohto problému by mohla pomôcť </w:t>
      </w:r>
      <w:r w:rsidR="00770E53">
        <w:rPr>
          <w:bCs/>
        </w:rPr>
        <w:t>podpora druhošancového vzdelávania (</w:t>
      </w:r>
      <w:r w:rsidR="00770E53" w:rsidRPr="004F489F">
        <w:rPr>
          <w:bCs/>
        </w:rPr>
        <w:t>podkapitola</w:t>
      </w:r>
      <w:r w:rsidR="00A35861">
        <w:rPr>
          <w:bCs/>
        </w:rPr>
        <w:t xml:space="preserve"> </w:t>
      </w:r>
      <w:r w:rsidR="00A35861">
        <w:rPr>
          <w:bCs/>
        </w:rPr>
        <w:fldChar w:fldCharType="begin"/>
      </w:r>
      <w:r w:rsidR="00A35861">
        <w:rPr>
          <w:bCs/>
        </w:rPr>
        <w:instrText xml:space="preserve"> REF _Ref34380112 \r \h </w:instrText>
      </w:r>
      <w:r w:rsidR="00A35861">
        <w:rPr>
          <w:bCs/>
        </w:rPr>
      </w:r>
      <w:r w:rsidR="00A35861">
        <w:rPr>
          <w:bCs/>
        </w:rPr>
        <w:fldChar w:fldCharType="separate"/>
      </w:r>
      <w:r w:rsidR="00FA29AF">
        <w:rPr>
          <w:bCs/>
        </w:rPr>
        <w:t>5.3</w:t>
      </w:r>
      <w:r w:rsidR="00A35861">
        <w:rPr>
          <w:bCs/>
        </w:rPr>
        <w:fldChar w:fldCharType="end"/>
      </w:r>
      <w:r w:rsidR="00770E53">
        <w:rPr>
          <w:bCs/>
        </w:rPr>
        <w:t>).</w:t>
      </w:r>
    </w:p>
    <w:p w14:paraId="69076088" w14:textId="77777777" w:rsidR="003C7E46" w:rsidRPr="00442D2E" w:rsidRDefault="003C7E46" w:rsidP="003C7E46">
      <w:pPr>
        <w:spacing w:after="160"/>
        <w:jc w:val="left"/>
        <w:rPr>
          <w:color w:val="FF0000"/>
        </w:rPr>
      </w:pPr>
      <w:r w:rsidRPr="00CA2564">
        <w:rPr>
          <w:color w:val="0070C0"/>
        </w:rPr>
        <w:t>Podpora vybraných sociálnych služieb krízovej intervencie</w:t>
      </w:r>
    </w:p>
    <w:p w14:paraId="5B0F39BD" w14:textId="77777777" w:rsidR="003C7E46" w:rsidRPr="00CA2564" w:rsidRDefault="003C7E46" w:rsidP="003C7E46">
      <w:pPr>
        <w:spacing w:before="160"/>
        <w:rPr>
          <w:rFonts w:cs="Arial"/>
        </w:rPr>
      </w:pPr>
      <w:r w:rsidRPr="00CA2564">
        <w:rPr>
          <w:rFonts w:cs="Arial"/>
        </w:rPr>
        <w:t>Sociálne služby krízovej intervencie (SSKI) sú určené na pomoc v situáciách, keď človek nemá zabezpečené nevyhnutné podmienky na uspokojovanie svojich životných potrieb; keď je ohrozené jeho začlenenie do spoločnosti pre ohrozujúce životné návyky, závislosti alebo škodlivé činnosti; pre ťažké zdravotné postihnutie alebo nepriaznivý zdravotný stav; pre ohrozenie správaním niekoho iného; alebo pre zotrvávanie v priestorovo segregovanej lokalite s prítomnosťou koncentrovanej a generačne reprodukovanej chudoby.</w:t>
      </w:r>
      <w:r w:rsidRPr="00CA2564">
        <w:rPr>
          <w:rStyle w:val="Odkaznapoznmkupodiarou"/>
          <w:rFonts w:cs="Arial"/>
        </w:rPr>
        <w:footnoteReference w:id="498"/>
      </w:r>
      <w:r w:rsidRPr="00CA2564">
        <w:rPr>
          <w:rFonts w:cs="Arial"/>
        </w:rPr>
        <w:t xml:space="preserve"> </w:t>
      </w:r>
    </w:p>
    <w:p w14:paraId="7226FCEC" w14:textId="53BA6329" w:rsidR="003C7E46" w:rsidRPr="00CA2564" w:rsidRDefault="003C7E46" w:rsidP="003C7E46">
      <w:pPr>
        <w:spacing w:before="160"/>
        <w:rPr>
          <w:rFonts w:cs="Arial"/>
        </w:rPr>
      </w:pPr>
      <w:r>
        <w:rPr>
          <w:rFonts w:cs="Arial"/>
          <w:b/>
        </w:rPr>
        <w:t>V súvislosti s MRK sa r</w:t>
      </w:r>
      <w:r w:rsidRPr="00CA2564">
        <w:rPr>
          <w:rFonts w:cs="Arial"/>
          <w:b/>
        </w:rPr>
        <w:t xml:space="preserve">evízia zameriava na tri vybrané SSKI podporované v rámci národného projektu </w:t>
      </w:r>
      <w:r w:rsidRPr="00CA2564">
        <w:rPr>
          <w:rFonts w:cstheme="majorHAnsi"/>
          <w:b/>
        </w:rPr>
        <w:t>Podpora vybraných sociálnych služieb krízovej intervencie na komunitnej úrovni a národného projektu Komunitné centrá v mestách a obciach s prítomnosťou marginalizovaných rómskych komunít</w:t>
      </w:r>
      <w:r>
        <w:rPr>
          <w:rFonts w:cs="Arial"/>
          <w:b/>
        </w:rPr>
        <w:t xml:space="preserve">. Sú nimi </w:t>
      </w:r>
      <w:r w:rsidRPr="00CA2564">
        <w:rPr>
          <w:rFonts w:cs="Arial"/>
          <w:b/>
        </w:rPr>
        <w:t xml:space="preserve">komunitné centrum (KC), nízkoprahové denné centrum (NDC) a nízkoprahová sociálna služba pre deti a rodinu (NSSDR). </w:t>
      </w:r>
      <w:r w:rsidRPr="00CA2564">
        <w:rPr>
          <w:rFonts w:cs="Arial"/>
        </w:rPr>
        <w:t xml:space="preserve">Medzi poskytované služby v týchto zariadeniach patrí sociálne poradenstvo, právna pomoc, preventívna aktivita, záujmová činnosť, </w:t>
      </w:r>
      <w:r w:rsidRPr="00CA2564">
        <w:t>pomoc pri príprave na školské vyučovanie</w:t>
      </w:r>
      <w:r w:rsidRPr="00CA2564">
        <w:rPr>
          <w:rFonts w:cs="Arial"/>
        </w:rPr>
        <w:t xml:space="preserve"> a </w:t>
      </w:r>
      <w:r w:rsidRPr="00CA2564">
        <w:t>podpora neformálneho vzdelávania detí, mládeže a dospelých</w:t>
      </w:r>
      <w:r w:rsidRPr="00CA2564">
        <w:rPr>
          <w:rFonts w:cs="Arial"/>
        </w:rPr>
        <w:t xml:space="preserve">. Uvedené národné projekty rozširujú zameranie na širší okruh sociálnych služieb krízovej intervencie oproti predchádzajúcemu programovému obdobiu, kedy bola </w:t>
      </w:r>
      <w:r w:rsidR="009C37F9">
        <w:rPr>
          <w:rFonts w:cs="Arial"/>
        </w:rPr>
        <w:t>podpora sústredená na </w:t>
      </w:r>
      <w:r w:rsidRPr="00CA2564">
        <w:rPr>
          <w:rFonts w:cs="Arial"/>
        </w:rPr>
        <w:t>komunitné centrá.</w:t>
      </w:r>
    </w:p>
    <w:p w14:paraId="5CC1CDD6" w14:textId="77777777" w:rsidR="003C7E46" w:rsidRPr="00CA2564" w:rsidRDefault="003C7E46" w:rsidP="003C7E46">
      <w:pPr>
        <w:spacing w:before="160"/>
        <w:rPr>
          <w:rFonts w:cs="Arial"/>
        </w:rPr>
      </w:pPr>
      <w:r w:rsidRPr="00CA2564">
        <w:rPr>
          <w:b/>
        </w:rPr>
        <w:t xml:space="preserve">Celkové výdavky na uvedené </w:t>
      </w:r>
      <w:r>
        <w:rPr>
          <w:b/>
        </w:rPr>
        <w:t>dva národné projekty v roku 2018 predstavovali 5,7</w:t>
      </w:r>
      <w:r w:rsidRPr="00CA2564">
        <w:rPr>
          <w:b/>
        </w:rPr>
        <w:t xml:space="preserve"> miliónov eur financovaných v plnej miere zo zdrojov EŠIF (Operačný program Ľudské zdroje) a spolufinancovania. </w:t>
      </w:r>
      <w:r w:rsidRPr="00CA2564">
        <w:t xml:space="preserve">Národný projekt </w:t>
      </w:r>
      <w:r w:rsidRPr="00CA2564">
        <w:rPr>
          <w:rFonts w:cstheme="majorHAnsi"/>
        </w:rPr>
        <w:t>Podpora vybraných sociálnych služieb krízovej intervencie na komunitnej úrovni</w:t>
      </w:r>
      <w:r>
        <w:t xml:space="preserve"> (3,9 milióny eur v roku 2018</w:t>
      </w:r>
      <w:r w:rsidRPr="00CA2564">
        <w:t>)</w:t>
      </w:r>
      <w:r w:rsidRPr="00CA2564">
        <w:rPr>
          <w:rStyle w:val="Odkaznapoznmkupodiarou"/>
        </w:rPr>
        <w:footnoteReference w:id="499"/>
      </w:r>
      <w:r w:rsidRPr="00CA2564">
        <w:t xml:space="preserve"> </w:t>
      </w:r>
      <w:r>
        <w:t>uskutočňuje Implementačná agentúra</w:t>
      </w:r>
      <w:r w:rsidRPr="00CA2564">
        <w:t xml:space="preserve"> Ministerstva práce sociálnych vecí a rodiny SR (IA MPSVR) a zahŕňa podporu všetkých troch </w:t>
      </w:r>
      <w:r>
        <w:t>uvedených SSKI. Národný projekt</w:t>
      </w:r>
      <w:r w:rsidRPr="00CA2564">
        <w:t xml:space="preserve"> Komunitné centrá v mestách a obciach s prítomnosťou </w:t>
      </w:r>
      <w:r>
        <w:t>MRK (1,8 milióna eur v roku 2018</w:t>
      </w:r>
      <w:r w:rsidRPr="00CA2564">
        <w:t>)</w:t>
      </w:r>
      <w:r w:rsidRPr="00CA2564">
        <w:rPr>
          <w:rStyle w:val="Odkaznapoznmkupodiarou"/>
        </w:rPr>
        <w:footnoteReference w:id="500"/>
      </w:r>
      <w:r w:rsidRPr="00CA2564">
        <w:t xml:space="preserve"> </w:t>
      </w:r>
      <w:r>
        <w:t>realizuje Úrad</w:t>
      </w:r>
      <w:r w:rsidRPr="00CA2564">
        <w:t xml:space="preserve"> splnomocnenca vlády pre rómske komunity (ÚSVRK) a sústredí sa na podporu komunitných centier. </w:t>
      </w:r>
    </w:p>
    <w:p w14:paraId="12027E5C" w14:textId="4D37C569" w:rsidR="003C7E46" w:rsidRPr="006F7896" w:rsidRDefault="003C7E46" w:rsidP="003C7E46">
      <w:pPr>
        <w:spacing w:before="160"/>
      </w:pPr>
      <w:r w:rsidRPr="00D41517">
        <w:rPr>
          <w:b/>
        </w:rPr>
        <w:t>KC/NDC/NSSDR sú podporované v 1</w:t>
      </w:r>
      <w:r w:rsidR="006F7896" w:rsidRPr="00D41517">
        <w:rPr>
          <w:b/>
        </w:rPr>
        <w:t>59</w:t>
      </w:r>
      <w:r w:rsidRPr="00D41517">
        <w:rPr>
          <w:b/>
        </w:rPr>
        <w:t xml:space="preserve"> lokalitách na Slovensku za pomoci 4</w:t>
      </w:r>
      <w:r w:rsidR="006F7896" w:rsidRPr="00D41517">
        <w:rPr>
          <w:b/>
        </w:rPr>
        <w:t>54</w:t>
      </w:r>
      <w:r w:rsidRPr="00D41517">
        <w:rPr>
          <w:b/>
        </w:rPr>
        <w:t xml:space="preserve"> zamestnancov. </w:t>
      </w:r>
      <w:r w:rsidR="00777B9B">
        <w:t>Z toho IA </w:t>
      </w:r>
      <w:r w:rsidRPr="006F7896">
        <w:t>MPSVR podporuje KC/NDC/NSS</w:t>
      </w:r>
      <w:r w:rsidR="00867E0E" w:rsidRPr="006F7896">
        <w:t>DR v 92 lokalitách za pomoci 257</w:t>
      </w:r>
      <w:r w:rsidRPr="006F7896">
        <w:t xml:space="preserve"> zamestnancov </w:t>
      </w:r>
      <w:r w:rsidRPr="00D41517">
        <w:t>a ÚSVRK v</w:t>
      </w:r>
      <w:r w:rsidR="00EC44CC">
        <w:t> </w:t>
      </w:r>
      <w:r w:rsidR="006F7896" w:rsidRPr="00D41517">
        <w:t>67</w:t>
      </w:r>
      <w:r w:rsidR="00EC44CC">
        <w:t> </w:t>
      </w:r>
      <w:r w:rsidRPr="00D41517">
        <w:t>lokalitách za pomoci 1</w:t>
      </w:r>
      <w:r w:rsidR="006F7896" w:rsidRPr="00D41517">
        <w:t>97</w:t>
      </w:r>
      <w:r w:rsidRPr="00D41517">
        <w:t xml:space="preserve"> zamestnancov (</w:t>
      </w:r>
      <w:r w:rsidR="006F7896" w:rsidRPr="00D41517">
        <w:fldChar w:fldCharType="begin"/>
      </w:r>
      <w:r w:rsidR="006F7896" w:rsidRPr="00D41517">
        <w:instrText xml:space="preserve"> REF _Ref24640493 \h </w:instrText>
      </w:r>
      <w:r w:rsidR="006F7896">
        <w:instrText xml:space="preserve"> \* MERGEFORMAT </w:instrText>
      </w:r>
      <w:r w:rsidR="006F7896" w:rsidRPr="00D41517">
        <w:fldChar w:fldCharType="separate"/>
      </w:r>
      <w:r w:rsidR="00FA29AF" w:rsidRPr="00FA29AF">
        <w:t xml:space="preserve">Tabuľka </w:t>
      </w:r>
      <w:r w:rsidR="00FA29AF" w:rsidRPr="00FA29AF">
        <w:rPr>
          <w:noProof/>
        </w:rPr>
        <w:t>31</w:t>
      </w:r>
      <w:r w:rsidR="006F7896" w:rsidRPr="00D41517">
        <w:fldChar w:fldCharType="end"/>
      </w:r>
      <w:r w:rsidRPr="00D41517">
        <w:t>).</w:t>
      </w:r>
    </w:p>
    <w:p w14:paraId="04B64D51" w14:textId="77777777" w:rsidR="003C7E46" w:rsidRPr="00552D2A" w:rsidRDefault="003C7E46" w:rsidP="00552D2A">
      <w:pPr>
        <w:spacing w:after="0"/>
        <w:rPr>
          <w:b/>
          <w:sz w:val="20"/>
        </w:rPr>
      </w:pPr>
      <w:bookmarkStart w:id="1863" w:name="_Ref24640493"/>
      <w:bookmarkStart w:id="1864" w:name="_Toc34156870"/>
      <w:r w:rsidRPr="00552D2A">
        <w:rPr>
          <w:b/>
          <w:sz w:val="20"/>
        </w:rPr>
        <w:t xml:space="preserve">Tabuľka </w:t>
      </w:r>
      <w:r w:rsidRPr="00552D2A">
        <w:rPr>
          <w:b/>
          <w:noProof/>
          <w:sz w:val="20"/>
        </w:rPr>
        <w:fldChar w:fldCharType="begin"/>
      </w:r>
      <w:r w:rsidRPr="00552D2A">
        <w:rPr>
          <w:b/>
          <w:noProof/>
          <w:sz w:val="20"/>
        </w:rPr>
        <w:instrText xml:space="preserve"> SEQ Tabuľka \* ARABIC </w:instrText>
      </w:r>
      <w:r w:rsidRPr="00552D2A">
        <w:rPr>
          <w:b/>
          <w:noProof/>
          <w:sz w:val="20"/>
        </w:rPr>
        <w:fldChar w:fldCharType="separate"/>
      </w:r>
      <w:r w:rsidR="00FA29AF">
        <w:rPr>
          <w:b/>
          <w:noProof/>
          <w:sz w:val="20"/>
        </w:rPr>
        <w:t>31</w:t>
      </w:r>
      <w:r w:rsidRPr="00552D2A">
        <w:rPr>
          <w:b/>
          <w:noProof/>
          <w:sz w:val="20"/>
        </w:rPr>
        <w:fldChar w:fldCharType="end"/>
      </w:r>
      <w:bookmarkEnd w:id="1863"/>
      <w:r w:rsidRPr="00552D2A">
        <w:rPr>
          <w:b/>
          <w:sz w:val="20"/>
        </w:rPr>
        <w:t>: Počet pracovníkov v rámci podporených SSKI</w:t>
      </w:r>
      <w:bookmarkEnd w:id="1864"/>
    </w:p>
    <w:tbl>
      <w:tblPr>
        <w:tblW w:w="9072" w:type="dxa"/>
        <w:tblLayout w:type="fixed"/>
        <w:tblCellMar>
          <w:left w:w="70" w:type="dxa"/>
          <w:right w:w="70" w:type="dxa"/>
        </w:tblCellMar>
        <w:tblLook w:val="04A0" w:firstRow="1" w:lastRow="0" w:firstColumn="1" w:lastColumn="0" w:noHBand="0" w:noVBand="1"/>
      </w:tblPr>
      <w:tblGrid>
        <w:gridCol w:w="2268"/>
        <w:gridCol w:w="851"/>
        <w:gridCol w:w="992"/>
        <w:gridCol w:w="1134"/>
        <w:gridCol w:w="851"/>
        <w:gridCol w:w="992"/>
        <w:gridCol w:w="992"/>
        <w:gridCol w:w="992"/>
      </w:tblGrid>
      <w:tr w:rsidR="003C7E46" w:rsidRPr="006F7896" w14:paraId="41131FEE" w14:textId="77777777" w:rsidTr="003C7E46">
        <w:trPr>
          <w:trHeight w:val="737"/>
        </w:trPr>
        <w:tc>
          <w:tcPr>
            <w:tcW w:w="2268" w:type="dxa"/>
            <w:tcBorders>
              <w:top w:val="single" w:sz="4" w:space="0" w:color="auto"/>
              <w:left w:val="nil"/>
              <w:bottom w:val="nil"/>
              <w:right w:val="nil"/>
            </w:tcBorders>
            <w:shd w:val="clear" w:color="000000" w:fill="FFFFFF"/>
            <w:noWrap/>
            <w:vAlign w:val="bottom"/>
            <w:hideMark/>
          </w:tcPr>
          <w:p w14:paraId="60C0D140" w14:textId="77777777" w:rsidR="003C7E46" w:rsidRPr="006F7896" w:rsidRDefault="003C7E46" w:rsidP="003C7E46">
            <w:pPr>
              <w:spacing w:after="0"/>
              <w:jc w:val="left"/>
              <w:rPr>
                <w:rFonts w:eastAsia="Times New Roman" w:cs="Times New Roman"/>
                <w:b/>
                <w:bCs/>
                <w:color w:val="000000"/>
                <w:sz w:val="20"/>
                <w:lang w:eastAsia="sk-SK"/>
              </w:rPr>
            </w:pPr>
            <w:r w:rsidRPr="006F7896">
              <w:rPr>
                <w:rFonts w:eastAsia="Times New Roman" w:cs="Times New Roman"/>
                <w:b/>
                <w:bCs/>
                <w:color w:val="000000"/>
                <w:sz w:val="20"/>
                <w:lang w:eastAsia="sk-SK"/>
              </w:rPr>
              <w:t> </w:t>
            </w:r>
          </w:p>
        </w:tc>
        <w:tc>
          <w:tcPr>
            <w:tcW w:w="2977" w:type="dxa"/>
            <w:gridSpan w:val="3"/>
            <w:tcBorders>
              <w:top w:val="single" w:sz="4" w:space="0" w:color="auto"/>
              <w:left w:val="nil"/>
              <w:bottom w:val="nil"/>
              <w:right w:val="nil"/>
            </w:tcBorders>
            <w:shd w:val="clear" w:color="000000" w:fill="FFFFFF"/>
            <w:vAlign w:val="bottom"/>
            <w:hideMark/>
          </w:tcPr>
          <w:p w14:paraId="60286043" w14:textId="77777777" w:rsidR="003C7E46" w:rsidRPr="006F7896" w:rsidRDefault="003C7E46" w:rsidP="003C7E46">
            <w:pPr>
              <w:spacing w:after="0"/>
              <w:jc w:val="center"/>
              <w:rPr>
                <w:rFonts w:eastAsia="Times New Roman" w:cs="Times New Roman"/>
                <w:b/>
                <w:bCs/>
                <w:color w:val="000000"/>
                <w:sz w:val="20"/>
                <w:lang w:eastAsia="sk-SK"/>
              </w:rPr>
            </w:pPr>
            <w:r w:rsidRPr="006F7896">
              <w:rPr>
                <w:rFonts w:eastAsia="Times New Roman" w:cs="Times New Roman"/>
                <w:b/>
                <w:bCs/>
                <w:color w:val="000000"/>
                <w:sz w:val="20"/>
                <w:lang w:eastAsia="sk-SK"/>
              </w:rPr>
              <w:t xml:space="preserve">NP Podpora vybraných sociálnych služieb krízovej intervencie na komunitnej úrovni </w:t>
            </w:r>
          </w:p>
        </w:tc>
        <w:tc>
          <w:tcPr>
            <w:tcW w:w="2835" w:type="dxa"/>
            <w:gridSpan w:val="3"/>
            <w:tcBorders>
              <w:top w:val="single" w:sz="4" w:space="0" w:color="auto"/>
              <w:left w:val="nil"/>
              <w:bottom w:val="nil"/>
              <w:right w:val="nil"/>
            </w:tcBorders>
            <w:shd w:val="clear" w:color="000000" w:fill="FFFFFF"/>
          </w:tcPr>
          <w:p w14:paraId="0801C648" w14:textId="77777777" w:rsidR="003C7E46" w:rsidRPr="00D41517" w:rsidRDefault="003C7E46" w:rsidP="003C7E46">
            <w:pPr>
              <w:spacing w:after="0"/>
              <w:jc w:val="center"/>
              <w:rPr>
                <w:rFonts w:eastAsia="Times New Roman" w:cs="Times New Roman"/>
                <w:b/>
                <w:bCs/>
                <w:color w:val="000000"/>
                <w:sz w:val="20"/>
                <w:lang w:eastAsia="sk-SK"/>
              </w:rPr>
            </w:pPr>
            <w:r w:rsidRPr="00D41517">
              <w:rPr>
                <w:rFonts w:eastAsia="Times New Roman" w:cs="Times New Roman"/>
                <w:b/>
                <w:bCs/>
                <w:color w:val="000000"/>
                <w:sz w:val="20"/>
                <w:lang w:eastAsia="sk-SK"/>
              </w:rPr>
              <w:t>NP Komunitné centrá v mestách a obciach s príslušnosťou MRK</w:t>
            </w:r>
          </w:p>
        </w:tc>
        <w:tc>
          <w:tcPr>
            <w:tcW w:w="992" w:type="dxa"/>
            <w:tcBorders>
              <w:top w:val="single" w:sz="4" w:space="0" w:color="auto"/>
              <w:left w:val="nil"/>
              <w:bottom w:val="nil"/>
              <w:right w:val="nil"/>
            </w:tcBorders>
            <w:shd w:val="clear" w:color="000000" w:fill="FFFFFF"/>
            <w:noWrap/>
            <w:vAlign w:val="bottom"/>
            <w:hideMark/>
          </w:tcPr>
          <w:p w14:paraId="472066C3" w14:textId="77777777" w:rsidR="003C7E46" w:rsidRPr="00D41517" w:rsidRDefault="003C7E46" w:rsidP="003C7E46">
            <w:pPr>
              <w:spacing w:after="0"/>
              <w:jc w:val="center"/>
              <w:rPr>
                <w:rFonts w:eastAsia="Times New Roman" w:cs="Times New Roman"/>
                <w:b/>
                <w:bCs/>
                <w:color w:val="000000"/>
                <w:sz w:val="20"/>
                <w:lang w:eastAsia="sk-SK"/>
              </w:rPr>
            </w:pPr>
            <w:r w:rsidRPr="00D41517">
              <w:rPr>
                <w:rFonts w:eastAsia="Times New Roman" w:cs="Times New Roman"/>
                <w:b/>
                <w:bCs/>
                <w:color w:val="000000"/>
                <w:sz w:val="20"/>
                <w:lang w:eastAsia="sk-SK"/>
              </w:rPr>
              <w:t>Spolu</w:t>
            </w:r>
          </w:p>
        </w:tc>
      </w:tr>
      <w:tr w:rsidR="003C7E46" w:rsidRPr="006F7896" w14:paraId="11409CE3" w14:textId="77777777" w:rsidTr="003C7E46">
        <w:trPr>
          <w:trHeight w:val="330"/>
        </w:trPr>
        <w:tc>
          <w:tcPr>
            <w:tcW w:w="2268" w:type="dxa"/>
            <w:tcBorders>
              <w:top w:val="single" w:sz="4" w:space="0" w:color="auto"/>
              <w:left w:val="nil"/>
              <w:bottom w:val="single" w:sz="4" w:space="0" w:color="auto"/>
              <w:right w:val="nil"/>
            </w:tcBorders>
            <w:shd w:val="clear" w:color="000000" w:fill="FFFFFF"/>
            <w:noWrap/>
            <w:vAlign w:val="bottom"/>
            <w:hideMark/>
          </w:tcPr>
          <w:p w14:paraId="15BCC62E" w14:textId="77777777" w:rsidR="003C7E46" w:rsidRPr="006F7896" w:rsidRDefault="003C7E46" w:rsidP="003C7E46">
            <w:pPr>
              <w:spacing w:after="0"/>
              <w:jc w:val="left"/>
              <w:rPr>
                <w:rFonts w:eastAsia="Times New Roman" w:cs="Times New Roman"/>
                <w:color w:val="000000"/>
                <w:sz w:val="20"/>
                <w:lang w:eastAsia="sk-SK"/>
              </w:rPr>
            </w:pPr>
            <w:r w:rsidRPr="006F7896">
              <w:rPr>
                <w:rFonts w:eastAsia="Times New Roman" w:cs="Times New Roman"/>
                <w:color w:val="000000"/>
                <w:sz w:val="20"/>
                <w:lang w:eastAsia="sk-SK"/>
              </w:rPr>
              <w:t> </w:t>
            </w:r>
          </w:p>
        </w:tc>
        <w:tc>
          <w:tcPr>
            <w:tcW w:w="851" w:type="dxa"/>
            <w:tcBorders>
              <w:top w:val="single" w:sz="4" w:space="0" w:color="auto"/>
              <w:left w:val="nil"/>
              <w:bottom w:val="nil"/>
              <w:right w:val="nil"/>
            </w:tcBorders>
            <w:shd w:val="clear" w:color="000000" w:fill="FFFFFF"/>
            <w:noWrap/>
            <w:vAlign w:val="bottom"/>
            <w:hideMark/>
          </w:tcPr>
          <w:p w14:paraId="060B8897" w14:textId="77777777" w:rsidR="003C7E46" w:rsidRPr="006F7896" w:rsidRDefault="003C7E46" w:rsidP="003C7E46">
            <w:pPr>
              <w:spacing w:after="0"/>
              <w:jc w:val="center"/>
              <w:rPr>
                <w:rFonts w:eastAsia="Times New Roman" w:cs="Times New Roman"/>
                <w:color w:val="000000"/>
                <w:sz w:val="20"/>
                <w:lang w:eastAsia="sk-SK"/>
              </w:rPr>
            </w:pPr>
            <w:r w:rsidRPr="006F7896">
              <w:rPr>
                <w:rFonts w:eastAsia="Times New Roman" w:cs="Times New Roman"/>
                <w:color w:val="000000"/>
                <w:sz w:val="20"/>
                <w:lang w:eastAsia="sk-SK"/>
              </w:rPr>
              <w:t>Odborný garant</w:t>
            </w:r>
          </w:p>
        </w:tc>
        <w:tc>
          <w:tcPr>
            <w:tcW w:w="992" w:type="dxa"/>
            <w:tcBorders>
              <w:top w:val="single" w:sz="4" w:space="0" w:color="auto"/>
              <w:left w:val="nil"/>
              <w:bottom w:val="nil"/>
              <w:right w:val="nil"/>
            </w:tcBorders>
            <w:shd w:val="clear" w:color="000000" w:fill="FFFFFF"/>
            <w:noWrap/>
            <w:vAlign w:val="bottom"/>
            <w:hideMark/>
          </w:tcPr>
          <w:p w14:paraId="0383ACFA" w14:textId="77777777" w:rsidR="003C7E46" w:rsidRPr="006F7896" w:rsidRDefault="003C7E46" w:rsidP="003C7E46">
            <w:pPr>
              <w:spacing w:after="0"/>
              <w:jc w:val="center"/>
              <w:rPr>
                <w:rFonts w:eastAsia="Times New Roman" w:cs="Times New Roman"/>
                <w:color w:val="000000"/>
                <w:sz w:val="20"/>
                <w:lang w:eastAsia="sk-SK"/>
              </w:rPr>
            </w:pPr>
            <w:r w:rsidRPr="006F7896">
              <w:rPr>
                <w:rFonts w:eastAsia="Times New Roman" w:cs="Times New Roman"/>
                <w:color w:val="000000"/>
                <w:sz w:val="20"/>
                <w:lang w:eastAsia="sk-SK"/>
              </w:rPr>
              <w:t>Odborný pracovník</w:t>
            </w:r>
          </w:p>
        </w:tc>
        <w:tc>
          <w:tcPr>
            <w:tcW w:w="1134" w:type="dxa"/>
            <w:tcBorders>
              <w:top w:val="single" w:sz="4" w:space="0" w:color="auto"/>
              <w:left w:val="nil"/>
              <w:bottom w:val="nil"/>
              <w:right w:val="nil"/>
            </w:tcBorders>
            <w:shd w:val="clear" w:color="000000" w:fill="FFFFFF"/>
            <w:noWrap/>
            <w:vAlign w:val="bottom"/>
            <w:hideMark/>
          </w:tcPr>
          <w:p w14:paraId="6D8F950F" w14:textId="77777777" w:rsidR="003C7E46" w:rsidRPr="006F7896" w:rsidRDefault="003C7E46" w:rsidP="003C7E46">
            <w:pPr>
              <w:spacing w:after="0"/>
              <w:jc w:val="center"/>
              <w:rPr>
                <w:rFonts w:eastAsia="Times New Roman" w:cs="Times New Roman"/>
                <w:color w:val="000000"/>
                <w:sz w:val="20"/>
                <w:lang w:eastAsia="sk-SK"/>
              </w:rPr>
            </w:pPr>
            <w:r w:rsidRPr="006F7896">
              <w:rPr>
                <w:rFonts w:eastAsia="Times New Roman" w:cs="Times New Roman"/>
                <w:color w:val="000000"/>
                <w:sz w:val="20"/>
                <w:lang w:eastAsia="sk-SK"/>
              </w:rPr>
              <w:t>Pracovník</w:t>
            </w:r>
          </w:p>
        </w:tc>
        <w:tc>
          <w:tcPr>
            <w:tcW w:w="851" w:type="dxa"/>
            <w:tcBorders>
              <w:top w:val="single" w:sz="4" w:space="0" w:color="auto"/>
              <w:left w:val="nil"/>
              <w:bottom w:val="nil"/>
              <w:right w:val="nil"/>
            </w:tcBorders>
            <w:shd w:val="clear" w:color="000000" w:fill="FFFFFF"/>
            <w:vAlign w:val="bottom"/>
          </w:tcPr>
          <w:p w14:paraId="38566107" w14:textId="77777777" w:rsidR="003C7E46" w:rsidRPr="00D41517" w:rsidRDefault="003C7E46" w:rsidP="003C7E46">
            <w:pPr>
              <w:spacing w:after="0"/>
              <w:jc w:val="center"/>
              <w:rPr>
                <w:rFonts w:eastAsia="Times New Roman" w:cs="Times New Roman"/>
                <w:color w:val="000000"/>
                <w:sz w:val="20"/>
                <w:lang w:eastAsia="sk-SK"/>
              </w:rPr>
            </w:pPr>
            <w:r w:rsidRPr="00D41517">
              <w:rPr>
                <w:rFonts w:eastAsia="Times New Roman" w:cs="Times New Roman"/>
                <w:color w:val="000000"/>
                <w:sz w:val="20"/>
                <w:lang w:eastAsia="sk-SK"/>
              </w:rPr>
              <w:t>Odborný garant</w:t>
            </w:r>
          </w:p>
        </w:tc>
        <w:tc>
          <w:tcPr>
            <w:tcW w:w="992" w:type="dxa"/>
            <w:tcBorders>
              <w:top w:val="single" w:sz="4" w:space="0" w:color="auto"/>
              <w:left w:val="nil"/>
              <w:bottom w:val="nil"/>
              <w:right w:val="nil"/>
            </w:tcBorders>
            <w:shd w:val="clear" w:color="000000" w:fill="FFFFFF"/>
            <w:vAlign w:val="bottom"/>
          </w:tcPr>
          <w:p w14:paraId="64D517B1" w14:textId="77777777" w:rsidR="003C7E46" w:rsidRPr="00D41517" w:rsidRDefault="003C7E46" w:rsidP="003C7E46">
            <w:pPr>
              <w:spacing w:after="0"/>
              <w:jc w:val="center"/>
              <w:rPr>
                <w:rFonts w:eastAsia="Times New Roman" w:cs="Times New Roman"/>
                <w:color w:val="000000"/>
                <w:sz w:val="20"/>
                <w:lang w:eastAsia="sk-SK"/>
              </w:rPr>
            </w:pPr>
            <w:r w:rsidRPr="00D41517">
              <w:rPr>
                <w:rFonts w:eastAsia="Times New Roman" w:cs="Times New Roman"/>
                <w:color w:val="000000"/>
                <w:sz w:val="20"/>
                <w:lang w:eastAsia="sk-SK"/>
              </w:rPr>
              <w:t>Odborný pracovník</w:t>
            </w:r>
          </w:p>
        </w:tc>
        <w:tc>
          <w:tcPr>
            <w:tcW w:w="992" w:type="dxa"/>
            <w:tcBorders>
              <w:top w:val="single" w:sz="4" w:space="0" w:color="auto"/>
              <w:left w:val="nil"/>
              <w:bottom w:val="nil"/>
              <w:right w:val="nil"/>
            </w:tcBorders>
            <w:shd w:val="clear" w:color="000000" w:fill="FFFFFF"/>
            <w:noWrap/>
            <w:vAlign w:val="bottom"/>
            <w:hideMark/>
          </w:tcPr>
          <w:p w14:paraId="5DFACC72" w14:textId="77777777" w:rsidR="003C7E46" w:rsidRPr="00D41517" w:rsidRDefault="003C7E46" w:rsidP="003C7E46">
            <w:pPr>
              <w:spacing w:after="0"/>
              <w:jc w:val="center"/>
              <w:rPr>
                <w:rFonts w:eastAsia="Times New Roman" w:cs="Times New Roman"/>
                <w:color w:val="000000"/>
                <w:sz w:val="20"/>
                <w:lang w:eastAsia="sk-SK"/>
              </w:rPr>
            </w:pPr>
            <w:r w:rsidRPr="00D41517">
              <w:rPr>
                <w:rFonts w:eastAsia="Times New Roman" w:cs="Times New Roman"/>
                <w:color w:val="000000"/>
                <w:sz w:val="20"/>
                <w:lang w:eastAsia="sk-SK"/>
              </w:rPr>
              <w:t>Pracovník</w:t>
            </w:r>
          </w:p>
        </w:tc>
        <w:tc>
          <w:tcPr>
            <w:tcW w:w="992" w:type="dxa"/>
            <w:tcBorders>
              <w:top w:val="single" w:sz="4" w:space="0" w:color="auto"/>
              <w:left w:val="nil"/>
              <w:bottom w:val="nil"/>
              <w:right w:val="nil"/>
            </w:tcBorders>
            <w:shd w:val="clear" w:color="000000" w:fill="FFFFFF"/>
            <w:noWrap/>
            <w:vAlign w:val="bottom"/>
            <w:hideMark/>
          </w:tcPr>
          <w:p w14:paraId="798227DF" w14:textId="77777777" w:rsidR="003C7E46" w:rsidRPr="00D41517" w:rsidRDefault="003C7E46" w:rsidP="003C7E46">
            <w:pPr>
              <w:spacing w:after="0"/>
              <w:jc w:val="left"/>
              <w:rPr>
                <w:rFonts w:eastAsia="Times New Roman" w:cs="Times New Roman"/>
                <w:color w:val="000000"/>
                <w:sz w:val="20"/>
                <w:lang w:eastAsia="sk-SK"/>
              </w:rPr>
            </w:pPr>
            <w:r w:rsidRPr="00D41517">
              <w:rPr>
                <w:rFonts w:eastAsia="Times New Roman" w:cs="Times New Roman"/>
                <w:color w:val="000000"/>
                <w:sz w:val="20"/>
                <w:lang w:eastAsia="sk-SK"/>
              </w:rPr>
              <w:t> </w:t>
            </w:r>
          </w:p>
        </w:tc>
      </w:tr>
      <w:tr w:rsidR="006F7896" w:rsidRPr="006F7896" w14:paraId="3E08EC27" w14:textId="77777777" w:rsidTr="003C7E46">
        <w:trPr>
          <w:trHeight w:val="330"/>
        </w:trPr>
        <w:tc>
          <w:tcPr>
            <w:tcW w:w="2268" w:type="dxa"/>
            <w:tcBorders>
              <w:top w:val="nil"/>
              <w:left w:val="nil"/>
              <w:bottom w:val="nil"/>
              <w:right w:val="nil"/>
            </w:tcBorders>
            <w:shd w:val="clear" w:color="000000" w:fill="FFFFFF"/>
            <w:noWrap/>
            <w:vAlign w:val="bottom"/>
            <w:hideMark/>
          </w:tcPr>
          <w:p w14:paraId="76CF6224" w14:textId="77777777" w:rsidR="006F7896" w:rsidRPr="006F7896" w:rsidRDefault="006F7896" w:rsidP="006F7896">
            <w:pPr>
              <w:spacing w:after="0"/>
              <w:jc w:val="left"/>
              <w:rPr>
                <w:rFonts w:eastAsia="Times New Roman" w:cs="Times New Roman"/>
                <w:b/>
                <w:bCs/>
                <w:color w:val="000000"/>
                <w:sz w:val="20"/>
                <w:lang w:eastAsia="sk-SK"/>
              </w:rPr>
            </w:pPr>
            <w:r w:rsidRPr="006F7896">
              <w:rPr>
                <w:rFonts w:eastAsia="Times New Roman" w:cs="Times New Roman"/>
                <w:b/>
                <w:bCs/>
                <w:color w:val="000000"/>
                <w:sz w:val="20"/>
                <w:lang w:eastAsia="sk-SK"/>
              </w:rPr>
              <w:t>Komunitné centrum</w:t>
            </w:r>
          </w:p>
        </w:tc>
        <w:tc>
          <w:tcPr>
            <w:tcW w:w="851" w:type="dxa"/>
            <w:tcBorders>
              <w:top w:val="single" w:sz="4" w:space="0" w:color="auto"/>
              <w:left w:val="nil"/>
              <w:bottom w:val="nil"/>
              <w:right w:val="nil"/>
            </w:tcBorders>
            <w:shd w:val="clear" w:color="000000" w:fill="FFFFFF"/>
            <w:noWrap/>
            <w:vAlign w:val="center"/>
            <w:hideMark/>
          </w:tcPr>
          <w:p w14:paraId="0CF4E954" w14:textId="60434DB9" w:rsidR="006F7896" w:rsidRPr="006F7896" w:rsidRDefault="006F7896" w:rsidP="006F7896">
            <w:pPr>
              <w:spacing w:after="0"/>
              <w:jc w:val="right"/>
              <w:rPr>
                <w:rFonts w:eastAsia="Times New Roman" w:cs="Times New Roman"/>
                <w:color w:val="000000"/>
                <w:sz w:val="20"/>
                <w:lang w:eastAsia="sk-SK"/>
              </w:rPr>
            </w:pPr>
            <w:r w:rsidRPr="006F7896">
              <w:rPr>
                <w:color w:val="000000"/>
                <w:sz w:val="20"/>
              </w:rPr>
              <w:t>73</w:t>
            </w:r>
          </w:p>
        </w:tc>
        <w:tc>
          <w:tcPr>
            <w:tcW w:w="992" w:type="dxa"/>
            <w:tcBorders>
              <w:top w:val="single" w:sz="4" w:space="0" w:color="auto"/>
              <w:left w:val="nil"/>
              <w:bottom w:val="nil"/>
              <w:right w:val="nil"/>
            </w:tcBorders>
            <w:shd w:val="clear" w:color="000000" w:fill="FFFFFF"/>
            <w:noWrap/>
            <w:vAlign w:val="center"/>
            <w:hideMark/>
          </w:tcPr>
          <w:p w14:paraId="2AA804DF" w14:textId="3617DC7D" w:rsidR="006F7896" w:rsidRPr="006F7896" w:rsidRDefault="006F7896" w:rsidP="006F7896">
            <w:pPr>
              <w:spacing w:after="0"/>
              <w:jc w:val="right"/>
              <w:rPr>
                <w:rFonts w:eastAsia="Times New Roman" w:cs="Times New Roman"/>
                <w:color w:val="000000"/>
                <w:sz w:val="20"/>
                <w:lang w:eastAsia="sk-SK"/>
              </w:rPr>
            </w:pPr>
            <w:r w:rsidRPr="006F7896">
              <w:rPr>
                <w:color w:val="000000"/>
                <w:sz w:val="20"/>
              </w:rPr>
              <w:t>66</w:t>
            </w:r>
          </w:p>
        </w:tc>
        <w:tc>
          <w:tcPr>
            <w:tcW w:w="1134" w:type="dxa"/>
            <w:tcBorders>
              <w:top w:val="single" w:sz="4" w:space="0" w:color="auto"/>
              <w:left w:val="nil"/>
              <w:bottom w:val="nil"/>
              <w:right w:val="nil"/>
            </w:tcBorders>
            <w:shd w:val="clear" w:color="000000" w:fill="FFFFFF"/>
            <w:noWrap/>
            <w:vAlign w:val="center"/>
            <w:hideMark/>
          </w:tcPr>
          <w:p w14:paraId="0ACFB230" w14:textId="600063FB" w:rsidR="006F7896" w:rsidRPr="006F7896" w:rsidRDefault="006F7896" w:rsidP="006F7896">
            <w:pPr>
              <w:spacing w:after="0"/>
              <w:jc w:val="right"/>
              <w:rPr>
                <w:rFonts w:eastAsia="Times New Roman" w:cs="Times New Roman"/>
                <w:color w:val="000000"/>
                <w:sz w:val="20"/>
                <w:lang w:eastAsia="sk-SK"/>
              </w:rPr>
            </w:pPr>
            <w:r w:rsidRPr="006F7896">
              <w:rPr>
                <w:color w:val="000000"/>
                <w:sz w:val="20"/>
              </w:rPr>
              <w:t>75</w:t>
            </w:r>
          </w:p>
        </w:tc>
        <w:tc>
          <w:tcPr>
            <w:tcW w:w="851" w:type="dxa"/>
            <w:tcBorders>
              <w:top w:val="single" w:sz="4" w:space="0" w:color="auto"/>
              <w:left w:val="nil"/>
              <w:bottom w:val="nil"/>
              <w:right w:val="nil"/>
            </w:tcBorders>
            <w:shd w:val="clear" w:color="000000" w:fill="FFFFFF"/>
            <w:vAlign w:val="center"/>
          </w:tcPr>
          <w:p w14:paraId="5CF38060" w14:textId="18D8B2C8" w:rsidR="006F7896" w:rsidRPr="00D41517" w:rsidRDefault="006F7896" w:rsidP="006F7896">
            <w:pPr>
              <w:spacing w:after="0"/>
              <w:jc w:val="right"/>
              <w:rPr>
                <w:rFonts w:eastAsia="Times New Roman" w:cs="Times New Roman"/>
                <w:color w:val="000000"/>
                <w:sz w:val="20"/>
                <w:lang w:eastAsia="sk-SK"/>
              </w:rPr>
            </w:pPr>
            <w:r w:rsidRPr="00D41517">
              <w:rPr>
                <w:rFonts w:eastAsia="Times New Roman" w:cs="Times New Roman"/>
                <w:color w:val="000000"/>
                <w:sz w:val="20"/>
                <w:lang w:eastAsia="sk-SK"/>
              </w:rPr>
              <w:t>66</w:t>
            </w:r>
          </w:p>
        </w:tc>
        <w:tc>
          <w:tcPr>
            <w:tcW w:w="992" w:type="dxa"/>
            <w:tcBorders>
              <w:top w:val="single" w:sz="4" w:space="0" w:color="auto"/>
              <w:left w:val="nil"/>
              <w:bottom w:val="nil"/>
              <w:right w:val="nil"/>
            </w:tcBorders>
            <w:shd w:val="clear" w:color="000000" w:fill="FFFFFF"/>
            <w:vAlign w:val="center"/>
          </w:tcPr>
          <w:p w14:paraId="0490D1C6" w14:textId="4C4F5B27" w:rsidR="006F7896" w:rsidRPr="00D41517" w:rsidRDefault="006F7896" w:rsidP="006F7896">
            <w:pPr>
              <w:spacing w:after="0"/>
              <w:jc w:val="right"/>
              <w:rPr>
                <w:rFonts w:eastAsia="Times New Roman" w:cs="Times New Roman"/>
                <w:color w:val="000000"/>
                <w:sz w:val="20"/>
                <w:lang w:eastAsia="sk-SK"/>
              </w:rPr>
            </w:pPr>
            <w:r w:rsidRPr="00D41517">
              <w:rPr>
                <w:rFonts w:eastAsia="Times New Roman" w:cs="Times New Roman"/>
                <w:color w:val="000000"/>
                <w:sz w:val="20"/>
                <w:lang w:eastAsia="sk-SK"/>
              </w:rPr>
              <w:t>64</w:t>
            </w:r>
          </w:p>
        </w:tc>
        <w:tc>
          <w:tcPr>
            <w:tcW w:w="992" w:type="dxa"/>
            <w:tcBorders>
              <w:top w:val="single" w:sz="4" w:space="0" w:color="auto"/>
              <w:left w:val="nil"/>
              <w:bottom w:val="nil"/>
              <w:right w:val="nil"/>
            </w:tcBorders>
            <w:shd w:val="clear" w:color="000000" w:fill="FFFFFF"/>
            <w:noWrap/>
            <w:vAlign w:val="center"/>
            <w:hideMark/>
          </w:tcPr>
          <w:p w14:paraId="42CC45D0" w14:textId="1B68BF5C" w:rsidR="006F7896" w:rsidRPr="00D41517" w:rsidRDefault="006F7896" w:rsidP="006F7896">
            <w:pPr>
              <w:spacing w:after="0"/>
              <w:jc w:val="right"/>
              <w:rPr>
                <w:rFonts w:eastAsia="Times New Roman" w:cs="Times New Roman"/>
                <w:color w:val="000000"/>
                <w:sz w:val="20"/>
                <w:lang w:eastAsia="sk-SK"/>
              </w:rPr>
            </w:pPr>
            <w:r w:rsidRPr="00D41517">
              <w:rPr>
                <w:rFonts w:eastAsia="Times New Roman" w:cs="Times New Roman"/>
                <w:color w:val="000000"/>
                <w:sz w:val="20"/>
                <w:lang w:eastAsia="sk-SK"/>
              </w:rPr>
              <w:t>67 </w:t>
            </w:r>
          </w:p>
        </w:tc>
        <w:tc>
          <w:tcPr>
            <w:tcW w:w="992" w:type="dxa"/>
            <w:tcBorders>
              <w:top w:val="single" w:sz="4" w:space="0" w:color="auto"/>
              <w:left w:val="nil"/>
              <w:bottom w:val="nil"/>
              <w:right w:val="nil"/>
            </w:tcBorders>
            <w:shd w:val="clear" w:color="000000" w:fill="FFFFFF"/>
            <w:noWrap/>
            <w:vAlign w:val="center"/>
            <w:hideMark/>
          </w:tcPr>
          <w:p w14:paraId="319F0ED6" w14:textId="1C81FE3F" w:rsidR="006F7896" w:rsidRPr="00D41517" w:rsidRDefault="006F7896" w:rsidP="006F7896">
            <w:pPr>
              <w:spacing w:after="0"/>
              <w:jc w:val="right"/>
              <w:rPr>
                <w:rFonts w:eastAsia="Times New Roman" w:cs="Times New Roman"/>
                <w:color w:val="000000"/>
                <w:sz w:val="20"/>
                <w:lang w:eastAsia="sk-SK"/>
              </w:rPr>
            </w:pPr>
            <w:r w:rsidRPr="00D41517">
              <w:rPr>
                <w:rFonts w:eastAsia="Times New Roman" w:cs="Times New Roman"/>
                <w:color w:val="000000"/>
                <w:sz w:val="20"/>
                <w:lang w:eastAsia="sk-SK"/>
              </w:rPr>
              <w:t>411</w:t>
            </w:r>
          </w:p>
        </w:tc>
      </w:tr>
      <w:tr w:rsidR="006F7896" w:rsidRPr="006F7896" w14:paraId="2E6E32D2" w14:textId="77777777" w:rsidTr="003C7E46">
        <w:trPr>
          <w:trHeight w:val="330"/>
        </w:trPr>
        <w:tc>
          <w:tcPr>
            <w:tcW w:w="2268" w:type="dxa"/>
            <w:tcBorders>
              <w:top w:val="nil"/>
              <w:left w:val="nil"/>
              <w:bottom w:val="nil"/>
              <w:right w:val="nil"/>
            </w:tcBorders>
            <w:shd w:val="clear" w:color="000000" w:fill="FFFFFF"/>
            <w:noWrap/>
            <w:vAlign w:val="bottom"/>
            <w:hideMark/>
          </w:tcPr>
          <w:p w14:paraId="775867C9" w14:textId="77777777" w:rsidR="006F7896" w:rsidRPr="006F7896" w:rsidRDefault="006F7896" w:rsidP="006F7896">
            <w:pPr>
              <w:spacing w:after="0"/>
              <w:jc w:val="left"/>
              <w:rPr>
                <w:rFonts w:eastAsia="Times New Roman" w:cs="Times New Roman"/>
                <w:b/>
                <w:bCs/>
                <w:color w:val="000000"/>
                <w:sz w:val="20"/>
                <w:lang w:eastAsia="sk-SK"/>
              </w:rPr>
            </w:pPr>
            <w:r w:rsidRPr="006F7896">
              <w:rPr>
                <w:rFonts w:eastAsia="Times New Roman" w:cs="Times New Roman"/>
                <w:b/>
                <w:bCs/>
                <w:color w:val="000000"/>
                <w:sz w:val="20"/>
                <w:lang w:eastAsia="sk-SK"/>
              </w:rPr>
              <w:t>Nízkoprahové denné centrum</w:t>
            </w:r>
          </w:p>
        </w:tc>
        <w:tc>
          <w:tcPr>
            <w:tcW w:w="851" w:type="dxa"/>
            <w:tcBorders>
              <w:top w:val="nil"/>
              <w:left w:val="nil"/>
              <w:bottom w:val="nil"/>
              <w:right w:val="nil"/>
            </w:tcBorders>
            <w:shd w:val="clear" w:color="000000" w:fill="FFFFFF"/>
            <w:noWrap/>
            <w:vAlign w:val="center"/>
            <w:hideMark/>
          </w:tcPr>
          <w:p w14:paraId="15927F23" w14:textId="029C74E5" w:rsidR="006F7896" w:rsidRPr="006F7896" w:rsidRDefault="006F7896" w:rsidP="006F7896">
            <w:pPr>
              <w:spacing w:after="0"/>
              <w:jc w:val="right"/>
              <w:rPr>
                <w:rFonts w:eastAsia="Times New Roman" w:cs="Times New Roman"/>
                <w:color w:val="000000"/>
                <w:sz w:val="20"/>
                <w:lang w:eastAsia="sk-SK"/>
              </w:rPr>
            </w:pPr>
            <w:r w:rsidRPr="006F7896">
              <w:rPr>
                <w:color w:val="000000"/>
                <w:sz w:val="20"/>
              </w:rPr>
              <w:t>8</w:t>
            </w:r>
          </w:p>
        </w:tc>
        <w:tc>
          <w:tcPr>
            <w:tcW w:w="992" w:type="dxa"/>
            <w:tcBorders>
              <w:top w:val="nil"/>
              <w:left w:val="nil"/>
              <w:bottom w:val="nil"/>
              <w:right w:val="nil"/>
            </w:tcBorders>
            <w:shd w:val="clear" w:color="000000" w:fill="FFFFFF"/>
            <w:noWrap/>
            <w:vAlign w:val="center"/>
            <w:hideMark/>
          </w:tcPr>
          <w:p w14:paraId="30241198" w14:textId="11C688DB" w:rsidR="006F7896" w:rsidRPr="006F7896" w:rsidRDefault="006F7896" w:rsidP="006F7896">
            <w:pPr>
              <w:spacing w:after="0"/>
              <w:jc w:val="right"/>
              <w:rPr>
                <w:rFonts w:eastAsia="Times New Roman" w:cs="Times New Roman"/>
                <w:color w:val="000000"/>
                <w:sz w:val="20"/>
                <w:lang w:eastAsia="sk-SK"/>
              </w:rPr>
            </w:pPr>
            <w:r w:rsidRPr="006F7896">
              <w:rPr>
                <w:color w:val="000000"/>
                <w:sz w:val="20"/>
              </w:rPr>
              <w:t>7</w:t>
            </w:r>
          </w:p>
        </w:tc>
        <w:tc>
          <w:tcPr>
            <w:tcW w:w="1134" w:type="dxa"/>
            <w:tcBorders>
              <w:top w:val="nil"/>
              <w:left w:val="nil"/>
              <w:bottom w:val="nil"/>
              <w:right w:val="nil"/>
            </w:tcBorders>
            <w:shd w:val="clear" w:color="000000" w:fill="FFFFFF"/>
            <w:noWrap/>
            <w:vAlign w:val="center"/>
            <w:hideMark/>
          </w:tcPr>
          <w:p w14:paraId="72C3D0AD" w14:textId="3E9521CD" w:rsidR="006F7896" w:rsidRPr="006F7896" w:rsidRDefault="006F7896" w:rsidP="006F7896">
            <w:pPr>
              <w:spacing w:after="0"/>
              <w:jc w:val="right"/>
              <w:rPr>
                <w:rFonts w:eastAsia="Times New Roman" w:cs="Times New Roman"/>
                <w:color w:val="000000"/>
                <w:sz w:val="20"/>
                <w:lang w:eastAsia="sk-SK"/>
              </w:rPr>
            </w:pPr>
            <w:r w:rsidRPr="006F7896">
              <w:rPr>
                <w:color w:val="000000"/>
                <w:sz w:val="20"/>
              </w:rPr>
              <w:t>8</w:t>
            </w:r>
          </w:p>
        </w:tc>
        <w:tc>
          <w:tcPr>
            <w:tcW w:w="851" w:type="dxa"/>
            <w:tcBorders>
              <w:top w:val="nil"/>
              <w:left w:val="nil"/>
              <w:bottom w:val="nil"/>
              <w:right w:val="nil"/>
            </w:tcBorders>
            <w:shd w:val="clear" w:color="000000" w:fill="FFFFFF"/>
            <w:vAlign w:val="center"/>
          </w:tcPr>
          <w:p w14:paraId="5D298298" w14:textId="77777777" w:rsidR="006F7896" w:rsidRPr="00D41517" w:rsidRDefault="006F7896" w:rsidP="006F7896">
            <w:pPr>
              <w:spacing w:after="0"/>
              <w:jc w:val="right"/>
              <w:rPr>
                <w:rFonts w:eastAsia="Times New Roman" w:cs="Times New Roman"/>
                <w:color w:val="000000"/>
                <w:sz w:val="20"/>
                <w:lang w:eastAsia="sk-SK"/>
              </w:rPr>
            </w:pPr>
          </w:p>
        </w:tc>
        <w:tc>
          <w:tcPr>
            <w:tcW w:w="992" w:type="dxa"/>
            <w:tcBorders>
              <w:top w:val="nil"/>
              <w:left w:val="nil"/>
              <w:bottom w:val="nil"/>
              <w:right w:val="nil"/>
            </w:tcBorders>
            <w:shd w:val="clear" w:color="000000" w:fill="FFFFFF"/>
            <w:vAlign w:val="center"/>
          </w:tcPr>
          <w:p w14:paraId="1C83E3E7" w14:textId="77777777" w:rsidR="006F7896" w:rsidRPr="00D41517" w:rsidRDefault="006F7896" w:rsidP="006F7896">
            <w:pPr>
              <w:spacing w:after="0"/>
              <w:jc w:val="right"/>
              <w:rPr>
                <w:rFonts w:eastAsia="Times New Roman" w:cs="Times New Roman"/>
                <w:color w:val="000000"/>
                <w:sz w:val="20"/>
                <w:lang w:eastAsia="sk-SK"/>
              </w:rPr>
            </w:pPr>
          </w:p>
        </w:tc>
        <w:tc>
          <w:tcPr>
            <w:tcW w:w="992" w:type="dxa"/>
            <w:tcBorders>
              <w:top w:val="nil"/>
              <w:left w:val="nil"/>
              <w:bottom w:val="nil"/>
              <w:right w:val="nil"/>
            </w:tcBorders>
            <w:shd w:val="clear" w:color="000000" w:fill="FFFFFF"/>
            <w:noWrap/>
            <w:vAlign w:val="center"/>
            <w:hideMark/>
          </w:tcPr>
          <w:p w14:paraId="0ACAD0DD" w14:textId="420377DA" w:rsidR="006F7896" w:rsidRPr="00D41517" w:rsidRDefault="006F7896" w:rsidP="006F7896">
            <w:pPr>
              <w:spacing w:after="0"/>
              <w:jc w:val="right"/>
              <w:rPr>
                <w:rFonts w:eastAsia="Times New Roman" w:cs="Times New Roman"/>
                <w:color w:val="000000"/>
                <w:sz w:val="20"/>
                <w:lang w:eastAsia="sk-SK"/>
              </w:rPr>
            </w:pPr>
            <w:r w:rsidRPr="00D41517">
              <w:rPr>
                <w:rFonts w:eastAsia="Times New Roman" w:cs="Times New Roman"/>
                <w:color w:val="000000"/>
                <w:sz w:val="20"/>
                <w:lang w:eastAsia="sk-SK"/>
              </w:rPr>
              <w:t> </w:t>
            </w:r>
          </w:p>
        </w:tc>
        <w:tc>
          <w:tcPr>
            <w:tcW w:w="992" w:type="dxa"/>
            <w:tcBorders>
              <w:top w:val="nil"/>
              <w:left w:val="nil"/>
              <w:bottom w:val="nil"/>
              <w:right w:val="nil"/>
            </w:tcBorders>
            <w:shd w:val="clear" w:color="000000" w:fill="FFFFFF"/>
            <w:noWrap/>
            <w:vAlign w:val="center"/>
            <w:hideMark/>
          </w:tcPr>
          <w:p w14:paraId="21BB6DC0" w14:textId="1A19AC2E" w:rsidR="006F7896" w:rsidRPr="00D41517" w:rsidRDefault="006F7896" w:rsidP="006F7896">
            <w:pPr>
              <w:spacing w:after="0"/>
              <w:jc w:val="right"/>
              <w:rPr>
                <w:rFonts w:eastAsia="Times New Roman" w:cs="Times New Roman"/>
                <w:color w:val="000000"/>
                <w:sz w:val="20"/>
                <w:lang w:eastAsia="sk-SK"/>
              </w:rPr>
            </w:pPr>
            <w:r w:rsidRPr="00D41517">
              <w:rPr>
                <w:rFonts w:eastAsia="Times New Roman" w:cs="Times New Roman"/>
                <w:color w:val="000000"/>
                <w:sz w:val="20"/>
                <w:lang w:eastAsia="sk-SK"/>
              </w:rPr>
              <w:t>22</w:t>
            </w:r>
          </w:p>
        </w:tc>
      </w:tr>
      <w:tr w:rsidR="006F7896" w:rsidRPr="006F7896" w14:paraId="012CFDAD" w14:textId="77777777" w:rsidTr="003C7E46">
        <w:trPr>
          <w:trHeight w:val="330"/>
        </w:trPr>
        <w:tc>
          <w:tcPr>
            <w:tcW w:w="2268" w:type="dxa"/>
            <w:tcBorders>
              <w:top w:val="nil"/>
              <w:left w:val="nil"/>
              <w:bottom w:val="single" w:sz="4" w:space="0" w:color="auto"/>
              <w:right w:val="nil"/>
            </w:tcBorders>
            <w:shd w:val="clear" w:color="000000" w:fill="FFFFFF"/>
            <w:noWrap/>
            <w:vAlign w:val="bottom"/>
            <w:hideMark/>
          </w:tcPr>
          <w:p w14:paraId="54A0747C" w14:textId="77777777" w:rsidR="006F7896" w:rsidRPr="006F7896" w:rsidRDefault="006F7896" w:rsidP="006F7896">
            <w:pPr>
              <w:spacing w:after="0"/>
              <w:jc w:val="left"/>
              <w:rPr>
                <w:rFonts w:eastAsia="Times New Roman" w:cs="Times New Roman"/>
                <w:b/>
                <w:bCs/>
                <w:color w:val="000000"/>
                <w:sz w:val="20"/>
                <w:lang w:eastAsia="sk-SK"/>
              </w:rPr>
            </w:pPr>
            <w:r w:rsidRPr="006F7896">
              <w:rPr>
                <w:rFonts w:eastAsia="Times New Roman" w:cs="Times New Roman"/>
                <w:b/>
                <w:bCs/>
                <w:color w:val="000000"/>
                <w:sz w:val="20"/>
                <w:lang w:eastAsia="sk-SK"/>
              </w:rPr>
              <w:t>Nízkoprahová sociálna služba pre deti a rodinu</w:t>
            </w:r>
          </w:p>
        </w:tc>
        <w:tc>
          <w:tcPr>
            <w:tcW w:w="851" w:type="dxa"/>
            <w:tcBorders>
              <w:top w:val="nil"/>
              <w:left w:val="nil"/>
              <w:bottom w:val="single" w:sz="4" w:space="0" w:color="auto"/>
              <w:right w:val="nil"/>
            </w:tcBorders>
            <w:shd w:val="clear" w:color="000000" w:fill="FFFFFF"/>
            <w:noWrap/>
            <w:vAlign w:val="center"/>
            <w:hideMark/>
          </w:tcPr>
          <w:p w14:paraId="2AA19CDA" w14:textId="4AEA9A4E" w:rsidR="006F7896" w:rsidRPr="006F7896" w:rsidRDefault="006F7896" w:rsidP="006F7896">
            <w:pPr>
              <w:spacing w:after="0"/>
              <w:jc w:val="right"/>
              <w:rPr>
                <w:rFonts w:eastAsia="Times New Roman" w:cs="Times New Roman"/>
                <w:color w:val="000000"/>
                <w:sz w:val="20"/>
                <w:lang w:eastAsia="sk-SK"/>
              </w:rPr>
            </w:pPr>
            <w:r w:rsidRPr="006F7896">
              <w:rPr>
                <w:color w:val="000000"/>
                <w:sz w:val="20"/>
              </w:rPr>
              <w:t>7</w:t>
            </w:r>
          </w:p>
        </w:tc>
        <w:tc>
          <w:tcPr>
            <w:tcW w:w="992" w:type="dxa"/>
            <w:tcBorders>
              <w:top w:val="nil"/>
              <w:left w:val="nil"/>
              <w:bottom w:val="single" w:sz="4" w:space="0" w:color="auto"/>
              <w:right w:val="nil"/>
            </w:tcBorders>
            <w:shd w:val="clear" w:color="000000" w:fill="FFFFFF"/>
            <w:noWrap/>
            <w:vAlign w:val="center"/>
            <w:hideMark/>
          </w:tcPr>
          <w:p w14:paraId="150B2EF0" w14:textId="05A901A4" w:rsidR="006F7896" w:rsidRPr="006F7896" w:rsidRDefault="006F7896" w:rsidP="006F7896">
            <w:pPr>
              <w:spacing w:after="0"/>
              <w:jc w:val="right"/>
              <w:rPr>
                <w:rFonts w:eastAsia="Times New Roman" w:cs="Times New Roman"/>
                <w:color w:val="000000"/>
                <w:sz w:val="20"/>
                <w:lang w:eastAsia="sk-SK"/>
              </w:rPr>
            </w:pPr>
            <w:r w:rsidRPr="006F7896">
              <w:rPr>
                <w:color w:val="000000"/>
                <w:sz w:val="20"/>
              </w:rPr>
              <w:t>5</w:t>
            </w:r>
          </w:p>
        </w:tc>
        <w:tc>
          <w:tcPr>
            <w:tcW w:w="1134" w:type="dxa"/>
            <w:tcBorders>
              <w:top w:val="nil"/>
              <w:left w:val="nil"/>
              <w:bottom w:val="single" w:sz="4" w:space="0" w:color="auto"/>
              <w:right w:val="nil"/>
            </w:tcBorders>
            <w:shd w:val="clear" w:color="000000" w:fill="FFFFFF"/>
            <w:noWrap/>
            <w:vAlign w:val="center"/>
            <w:hideMark/>
          </w:tcPr>
          <w:p w14:paraId="69147B8F" w14:textId="76FFB9D7" w:rsidR="006F7896" w:rsidRPr="006F7896" w:rsidRDefault="006F7896" w:rsidP="006F7896">
            <w:pPr>
              <w:spacing w:after="0"/>
              <w:jc w:val="right"/>
              <w:rPr>
                <w:rFonts w:eastAsia="Times New Roman" w:cs="Times New Roman"/>
                <w:color w:val="000000"/>
                <w:sz w:val="20"/>
                <w:lang w:eastAsia="sk-SK"/>
              </w:rPr>
            </w:pPr>
            <w:r w:rsidRPr="006F7896">
              <w:rPr>
                <w:color w:val="000000"/>
                <w:sz w:val="20"/>
              </w:rPr>
              <w:t>8</w:t>
            </w:r>
          </w:p>
        </w:tc>
        <w:tc>
          <w:tcPr>
            <w:tcW w:w="851" w:type="dxa"/>
            <w:tcBorders>
              <w:top w:val="nil"/>
              <w:left w:val="nil"/>
              <w:bottom w:val="single" w:sz="4" w:space="0" w:color="auto"/>
              <w:right w:val="nil"/>
            </w:tcBorders>
            <w:shd w:val="clear" w:color="000000" w:fill="FFFFFF"/>
            <w:vAlign w:val="center"/>
          </w:tcPr>
          <w:p w14:paraId="51D51D00" w14:textId="77777777" w:rsidR="006F7896" w:rsidRPr="00D41517" w:rsidRDefault="006F7896" w:rsidP="006F7896">
            <w:pPr>
              <w:spacing w:after="0"/>
              <w:jc w:val="right"/>
              <w:rPr>
                <w:rFonts w:eastAsia="Times New Roman" w:cs="Times New Roman"/>
                <w:color w:val="000000"/>
                <w:sz w:val="20"/>
                <w:lang w:eastAsia="sk-SK"/>
              </w:rPr>
            </w:pPr>
          </w:p>
        </w:tc>
        <w:tc>
          <w:tcPr>
            <w:tcW w:w="992" w:type="dxa"/>
            <w:tcBorders>
              <w:top w:val="nil"/>
              <w:left w:val="nil"/>
              <w:bottom w:val="single" w:sz="4" w:space="0" w:color="auto"/>
              <w:right w:val="nil"/>
            </w:tcBorders>
            <w:shd w:val="clear" w:color="000000" w:fill="FFFFFF"/>
            <w:vAlign w:val="center"/>
          </w:tcPr>
          <w:p w14:paraId="77C67318" w14:textId="77777777" w:rsidR="006F7896" w:rsidRPr="00D41517" w:rsidRDefault="006F7896" w:rsidP="006F7896">
            <w:pPr>
              <w:spacing w:after="0"/>
              <w:jc w:val="right"/>
              <w:rPr>
                <w:rFonts w:eastAsia="Times New Roman" w:cs="Times New Roman"/>
                <w:color w:val="000000"/>
                <w:sz w:val="20"/>
                <w:lang w:eastAsia="sk-SK"/>
              </w:rPr>
            </w:pPr>
          </w:p>
        </w:tc>
        <w:tc>
          <w:tcPr>
            <w:tcW w:w="992" w:type="dxa"/>
            <w:tcBorders>
              <w:top w:val="nil"/>
              <w:left w:val="nil"/>
              <w:bottom w:val="single" w:sz="4" w:space="0" w:color="auto"/>
              <w:right w:val="nil"/>
            </w:tcBorders>
            <w:shd w:val="clear" w:color="000000" w:fill="FFFFFF"/>
            <w:noWrap/>
            <w:vAlign w:val="center"/>
            <w:hideMark/>
          </w:tcPr>
          <w:p w14:paraId="133A67B7" w14:textId="65EF2D36" w:rsidR="006F7896" w:rsidRPr="00D41517" w:rsidRDefault="006F7896" w:rsidP="006F7896">
            <w:pPr>
              <w:spacing w:after="0"/>
              <w:jc w:val="right"/>
              <w:rPr>
                <w:rFonts w:eastAsia="Times New Roman" w:cs="Times New Roman"/>
                <w:color w:val="000000"/>
                <w:sz w:val="20"/>
                <w:lang w:eastAsia="sk-SK"/>
              </w:rPr>
            </w:pPr>
            <w:r w:rsidRPr="00D41517">
              <w:rPr>
                <w:rFonts w:eastAsia="Times New Roman" w:cs="Times New Roman"/>
                <w:color w:val="000000"/>
                <w:sz w:val="20"/>
                <w:lang w:eastAsia="sk-SK"/>
              </w:rPr>
              <w:t> </w:t>
            </w:r>
          </w:p>
        </w:tc>
        <w:tc>
          <w:tcPr>
            <w:tcW w:w="992" w:type="dxa"/>
            <w:tcBorders>
              <w:top w:val="nil"/>
              <w:left w:val="nil"/>
              <w:bottom w:val="single" w:sz="4" w:space="0" w:color="auto"/>
              <w:right w:val="nil"/>
            </w:tcBorders>
            <w:shd w:val="clear" w:color="000000" w:fill="FFFFFF"/>
            <w:noWrap/>
            <w:vAlign w:val="center"/>
            <w:hideMark/>
          </w:tcPr>
          <w:p w14:paraId="42A9A508" w14:textId="23A65BEB" w:rsidR="006F7896" w:rsidRPr="006F7896" w:rsidRDefault="006F7896" w:rsidP="006F7896">
            <w:pPr>
              <w:spacing w:after="0"/>
              <w:jc w:val="right"/>
              <w:rPr>
                <w:rFonts w:eastAsia="Times New Roman" w:cs="Times New Roman"/>
                <w:color w:val="000000"/>
                <w:sz w:val="20"/>
                <w:lang w:eastAsia="sk-SK"/>
              </w:rPr>
            </w:pPr>
            <w:r w:rsidRPr="00D41517">
              <w:rPr>
                <w:rFonts w:eastAsia="Times New Roman" w:cs="Times New Roman"/>
                <w:color w:val="000000"/>
                <w:sz w:val="20"/>
                <w:lang w:eastAsia="sk-SK"/>
              </w:rPr>
              <w:t>21</w:t>
            </w:r>
          </w:p>
        </w:tc>
      </w:tr>
      <w:tr w:rsidR="003C7E46" w:rsidRPr="006F7896" w14:paraId="17B860F4" w14:textId="77777777" w:rsidTr="003C7E46">
        <w:trPr>
          <w:trHeight w:val="82"/>
        </w:trPr>
        <w:tc>
          <w:tcPr>
            <w:tcW w:w="9072" w:type="dxa"/>
            <w:gridSpan w:val="8"/>
            <w:tcBorders>
              <w:top w:val="nil"/>
              <w:left w:val="nil"/>
              <w:bottom w:val="nil"/>
              <w:right w:val="nil"/>
            </w:tcBorders>
            <w:shd w:val="clear" w:color="000000" w:fill="FFFFFF"/>
          </w:tcPr>
          <w:p w14:paraId="360C7A30" w14:textId="77777777" w:rsidR="003C7E46" w:rsidRPr="006F7896" w:rsidRDefault="003C7E46" w:rsidP="003C7E46">
            <w:pPr>
              <w:spacing w:after="0"/>
              <w:jc w:val="right"/>
              <w:rPr>
                <w:rFonts w:eastAsia="Times New Roman" w:cs="Arial"/>
                <w:i/>
                <w:iCs/>
                <w:color w:val="000000"/>
                <w:sz w:val="18"/>
                <w:szCs w:val="18"/>
                <w:lang w:eastAsia="sk-SK"/>
              </w:rPr>
            </w:pPr>
            <w:r w:rsidRPr="006F7896">
              <w:rPr>
                <w:rFonts w:eastAsia="Times New Roman" w:cs="Arial"/>
                <w:i/>
                <w:iCs/>
                <w:color w:val="000000"/>
                <w:sz w:val="18"/>
                <w:szCs w:val="18"/>
                <w:lang w:eastAsia="sk-SK"/>
              </w:rPr>
              <w:t>Zdroj: ÚHP na základe údajov MPSVR a ÚSVRK</w:t>
            </w:r>
          </w:p>
        </w:tc>
      </w:tr>
    </w:tbl>
    <w:p w14:paraId="176C2398" w14:textId="79D96FA1" w:rsidR="003C7E46" w:rsidRDefault="003C7E46" w:rsidP="003C7E46">
      <w:pPr>
        <w:spacing w:before="160"/>
      </w:pPr>
      <w:r w:rsidRPr="006F7896">
        <w:rPr>
          <w:b/>
        </w:rPr>
        <w:t xml:space="preserve">Národný projekt </w:t>
      </w:r>
      <w:r w:rsidRPr="006F7896">
        <w:rPr>
          <w:rFonts w:cstheme="majorHAnsi"/>
          <w:b/>
        </w:rPr>
        <w:t>Podpora vybraných sociálnych služieb krízovej intervencie na komunitnej úrovni výrazne</w:t>
      </w:r>
      <w:r w:rsidRPr="00DD2599">
        <w:rPr>
          <w:rFonts w:cstheme="majorHAnsi"/>
          <w:b/>
        </w:rPr>
        <w:t xml:space="preserve"> zvýšil dostupnosť SSKI a prispel k profesionalizácii výkonu poskytovateľov</w:t>
      </w:r>
      <w:r w:rsidRPr="00DD2599">
        <w:rPr>
          <w:b/>
        </w:rPr>
        <w:t>. Projekt však zároveň nedokázal realizovať ambíciu systematického vzdelávania zamestnancov a zamestnankýň s cieľom zvyšovať kvalitu poskytovaných služieb.</w:t>
      </w:r>
      <w:r>
        <w:t xml:space="preserve"> </w:t>
      </w:r>
      <w:r w:rsidR="00B24660">
        <w:t>Vyplýva</w:t>
      </w:r>
      <w:r>
        <w:t xml:space="preserve"> to z vplyvovej evaluácie národného </w:t>
      </w:r>
      <w:r w:rsidRPr="00EB0736">
        <w:t>projektu</w:t>
      </w:r>
      <w:r w:rsidR="00EC44CC">
        <w:rPr>
          <w:rFonts w:cstheme="majorHAnsi"/>
        </w:rPr>
        <w:t>, ktorý bol </w:t>
      </w:r>
      <w:r>
        <w:rPr>
          <w:rFonts w:cstheme="majorHAnsi"/>
        </w:rPr>
        <w:t>uskutočnený v roku 2018 použitím kvantitatívnych a kvalitatívnych dotazníkov a štruktúrovaných rozhovorov medzi klientmi, pracovníkmi SSKI</w:t>
      </w:r>
      <w:r w:rsidR="009217CC">
        <w:rPr>
          <w:rFonts w:cstheme="majorHAnsi"/>
        </w:rPr>
        <w:t>,</w:t>
      </w:r>
      <w:r>
        <w:rPr>
          <w:rFonts w:cstheme="majorHAnsi"/>
        </w:rPr>
        <w:t xml:space="preserve"> ako aj predstaviteľmi miest a </w:t>
      </w:r>
      <w:r w:rsidRPr="004A3A67">
        <w:rPr>
          <w:rFonts w:cstheme="majorHAnsi"/>
        </w:rPr>
        <w:t>obcí (</w:t>
      </w:r>
      <w:r w:rsidRPr="00D3189B">
        <w:rPr>
          <w:rFonts w:cstheme="majorHAnsi"/>
        </w:rPr>
        <w:t>Repková a spol., 2019</w:t>
      </w:r>
      <w:r w:rsidRPr="004A3A67">
        <w:rPr>
          <w:rFonts w:cstheme="majorHAnsi"/>
        </w:rPr>
        <w:t>).</w:t>
      </w:r>
      <w:r w:rsidRPr="004A3A67">
        <w:t xml:space="preserve"> Samotní klienti vyjadrili v dotazníku vysokú mieru (80 % až 90 %) spokojnosti s poskytovanými službami v oblasti zamestnanosti</w:t>
      </w:r>
      <w:r>
        <w:t>, riešenia finančnej situácie a bývania. Zástupcovia samosprávy zas v rozhovoroch vyjadrili spravidla integrujúci pozitívny účinok poskytovaných služieb na celkovú sociálnu politiku mesta/obce vrátane zníženia prejavov sociálnej patológie a búrania predsudkov širšej verejnosti ku klientele krízovej intervencie.</w:t>
      </w:r>
    </w:p>
    <w:p w14:paraId="2A9E457A" w14:textId="77777777" w:rsidR="003C7E46" w:rsidRDefault="003C7E46" w:rsidP="003C7E46">
      <w:pPr>
        <w:pStyle w:val="Nadpis2"/>
        <w:spacing w:before="160"/>
        <w:ind w:left="426" w:hanging="432"/>
      </w:pPr>
      <w:bookmarkStart w:id="1865" w:name="_Toc34657749"/>
      <w:r>
        <w:t>Riadenie podporných programov a problém udržateľnosti</w:t>
      </w:r>
      <w:bookmarkEnd w:id="1865"/>
    </w:p>
    <w:p w14:paraId="14DC2932" w14:textId="205370F0" w:rsidR="003C7E46" w:rsidRDefault="003C7E46" w:rsidP="003C7E46">
      <w:r>
        <w:rPr>
          <w:b/>
        </w:rPr>
        <w:t xml:space="preserve">Neefektívnosť v riadení niektorých podporných programov </w:t>
      </w:r>
      <w:r w:rsidR="00604573">
        <w:rPr>
          <w:b/>
        </w:rPr>
        <w:t xml:space="preserve">je spôsobená </w:t>
      </w:r>
      <w:r>
        <w:rPr>
          <w:b/>
        </w:rPr>
        <w:t>ich rozdelen</w:t>
      </w:r>
      <w:r w:rsidR="00604573">
        <w:rPr>
          <w:b/>
        </w:rPr>
        <w:t>ím</w:t>
      </w:r>
      <w:r>
        <w:rPr>
          <w:b/>
        </w:rPr>
        <w:t xml:space="preserve"> do dvoch národných projektov. </w:t>
      </w:r>
      <w:r w:rsidRPr="003B6519">
        <w:t xml:space="preserve">Týka sa to terénnej sociálnej práce a podpory vybraných sociálnych služieb </w:t>
      </w:r>
      <w:r>
        <w:t xml:space="preserve">krízovej intervencie, ktorých realizácia je rozdelená medzi Ministerstvo vnútra (Úrad splnomocnenca vlády pre rómske komunity) a Ministerstvo práce, sociálnych vecí a rodiny (Implementačná agentúra MPSVR). Hoci projekty sú geograficky rozdelené tak, aby v teréne </w:t>
      </w:r>
      <w:r w:rsidRPr="001D1F41">
        <w:t>nedochádzalo k duplicite činností, neefektívnosť spočíva v dvojitej administratíve, obmedzených úspor</w:t>
      </w:r>
      <w:r w:rsidR="00F50DD4">
        <w:t>ách</w:t>
      </w:r>
      <w:r w:rsidRPr="001D1F41">
        <w:t xml:space="preserve"> z rozsahu, obmedzeného zdieľania informácií a skúseností medzi projektami, a duplicitnými aktivitami na regionálnej úrovni (</w:t>
      </w:r>
      <w:r w:rsidRPr="00D3189B">
        <w:t>Škobla a spol., 2019</w:t>
      </w:r>
      <w:r w:rsidRPr="001D1F41">
        <w:t>). Aj keď vyčlenenie najmenej rozvinutých obcí pod osobitný program s cieľom zjednodušiť prístup k podporným programom</w:t>
      </w:r>
      <w:r>
        <w:t xml:space="preserve"> mal svoje opodstatnenie, do budúcnosti by bolo vhodné odstrániť toto rozdvojenie a integrovať tieto činnosti pod jeden zodpovedný orgán.</w:t>
      </w:r>
    </w:p>
    <w:p w14:paraId="5D252EC4" w14:textId="74424069" w:rsidR="003C7E46" w:rsidRDefault="005F2329" w:rsidP="003C7E46">
      <w:pPr>
        <w:spacing w:before="160"/>
      </w:pPr>
      <w:r>
        <w:rPr>
          <w:b/>
        </w:rPr>
        <w:t>Pracovnoprávny vzťah zamestnancov programu TSP so samosprávou</w:t>
      </w:r>
      <w:r w:rsidRPr="00223A4D" w:rsidDel="005F2329">
        <w:rPr>
          <w:b/>
        </w:rPr>
        <w:t xml:space="preserve"> </w:t>
      </w:r>
      <w:r w:rsidR="003C7E46" w:rsidRPr="00223A4D">
        <w:rPr>
          <w:b/>
        </w:rPr>
        <w:t xml:space="preserve">často vedie k snahe samospráv zadávať pracovníkom TSP pracovné úlohy, ktoré sú nad rámec a niekedy v protiklade k ich náplni práce. </w:t>
      </w:r>
      <w:r w:rsidR="003C7E46" w:rsidRPr="00223A4D">
        <w:t xml:space="preserve">Terénni </w:t>
      </w:r>
      <w:r w:rsidR="003C7E46">
        <w:t xml:space="preserve">sociálni </w:t>
      </w:r>
      <w:r w:rsidR="003C7E46" w:rsidRPr="00223A4D">
        <w:t xml:space="preserve">pracovníci </w:t>
      </w:r>
      <w:r w:rsidR="003C7E46">
        <w:t xml:space="preserve">a terénni pracovníci sú zamestnancami obce, zatiaľ čo financovanie, koordináciu, školenia a metodické usmernenie zabezpečujú prijímatelia nenávratnej finančnej pomoci (ÚSVRK a IA MPSVR). Vedenie samosprávy a zamestnanci mestských či obecných úradov pritom často nerozumejú špecifickému postaveniu TSP a jej prínos vnímajú predovšetkým ako odľahčenie pri plnení obecnej agendy vo vzťahu k MRK. </w:t>
      </w:r>
      <w:r w:rsidR="003C7E46" w:rsidRPr="00AE251D">
        <w:rPr>
          <w:rFonts w:eastAsia="MinionPro-Regular" w:cs="MinionPro-Regular"/>
          <w:szCs w:val="22"/>
        </w:rPr>
        <w:t>Ak musia TSP/TP</w:t>
      </w:r>
      <w:r w:rsidR="003C7E46">
        <w:t xml:space="preserve"> </w:t>
      </w:r>
      <w:r w:rsidR="003C7E46">
        <w:rPr>
          <w:rFonts w:eastAsia="MinionPro-Regular" w:cs="MinionPro-Regular"/>
          <w:szCs w:val="22"/>
        </w:rPr>
        <w:t>vykoná</w:t>
      </w:r>
      <w:r w:rsidR="003C7E46" w:rsidRPr="00AE251D">
        <w:rPr>
          <w:rFonts w:eastAsia="MinionPro-Regular" w:cs="MinionPro-Regular"/>
          <w:szCs w:val="22"/>
        </w:rPr>
        <w:t>vať</w:t>
      </w:r>
      <w:r w:rsidR="003C7E46">
        <w:rPr>
          <w:rFonts w:eastAsia="MinionPro-Regular" w:cs="MinionPro-Regular"/>
          <w:szCs w:val="22"/>
        </w:rPr>
        <w:t xml:space="preserve"> inú agendu, ktorá je v rozpore s obsahovými a etický</w:t>
      </w:r>
      <w:r w:rsidR="003C7E46" w:rsidRPr="00AE251D">
        <w:rPr>
          <w:rFonts w:eastAsia="MinionPro-Regular" w:cs="MinionPro-Regular"/>
          <w:szCs w:val="22"/>
        </w:rPr>
        <w:t>mi š</w:t>
      </w:r>
      <w:r w:rsidR="003C7E46">
        <w:rPr>
          <w:rFonts w:eastAsia="MinionPro-Regular" w:cs="MinionPro-Regular"/>
          <w:szCs w:val="22"/>
        </w:rPr>
        <w:t>tandardmi teré</w:t>
      </w:r>
      <w:r w:rsidR="003C7E46" w:rsidRPr="00AE251D">
        <w:rPr>
          <w:rFonts w:eastAsia="MinionPro-Regular" w:cs="MinionPro-Regular"/>
          <w:szCs w:val="22"/>
        </w:rPr>
        <w:t>nnej</w:t>
      </w:r>
      <w:r w:rsidR="003C7E46">
        <w:t xml:space="preserve"> </w:t>
      </w:r>
      <w:r w:rsidR="003C7E46">
        <w:rPr>
          <w:rFonts w:eastAsia="MinionPro-Regular" w:cs="MinionPro-Regular"/>
          <w:szCs w:val="22"/>
        </w:rPr>
        <w:t>sociálnej práce, má</w:t>
      </w:r>
      <w:r w:rsidR="003C7E46" w:rsidRPr="00AE251D">
        <w:rPr>
          <w:rFonts w:eastAsia="MinionPro-Regular" w:cs="MinionPro-Regular"/>
          <w:szCs w:val="22"/>
        </w:rPr>
        <w:t xml:space="preserve"> to</w:t>
      </w:r>
      <w:r w:rsidR="003C7E46">
        <w:rPr>
          <w:rFonts w:eastAsia="MinionPro-Regular" w:cs="MinionPro-Regular"/>
          <w:szCs w:val="22"/>
        </w:rPr>
        <w:t xml:space="preserve"> priamy dopad na kvalitu ich práce. V ohrození</w:t>
      </w:r>
      <w:r w:rsidR="003C7E46" w:rsidRPr="00AE251D">
        <w:rPr>
          <w:rFonts w:eastAsia="MinionPro-Regular" w:cs="MinionPro-Regular"/>
          <w:szCs w:val="22"/>
        </w:rPr>
        <w:t xml:space="preserve"> je tak vzťah</w:t>
      </w:r>
      <w:r w:rsidR="003C7E46">
        <w:t xml:space="preserve"> </w:t>
      </w:r>
      <w:r w:rsidR="003C7E46">
        <w:rPr>
          <w:rFonts w:eastAsia="MinionPro-Regular" w:cs="MinionPro-Regular"/>
          <w:szCs w:val="22"/>
        </w:rPr>
        <w:t>dô</w:t>
      </w:r>
      <w:r w:rsidR="003C7E46" w:rsidRPr="00AE251D">
        <w:rPr>
          <w:rFonts w:eastAsia="MinionPro-Regular" w:cs="MinionPro-Regular"/>
          <w:szCs w:val="22"/>
        </w:rPr>
        <w:t xml:space="preserve">very medzi </w:t>
      </w:r>
      <w:r w:rsidR="00F54F88">
        <w:rPr>
          <w:rFonts w:eastAsia="MinionPro-Regular" w:cs="MinionPro-Regular"/>
          <w:szCs w:val="22"/>
        </w:rPr>
        <w:t>TSP/TP a klientom a v </w:t>
      </w:r>
      <w:r w:rsidR="003C7E46" w:rsidRPr="00AE251D">
        <w:rPr>
          <w:rFonts w:eastAsia="MinionPro-Regular" w:cs="MinionPro-Regular"/>
          <w:szCs w:val="22"/>
        </w:rPr>
        <w:t>koneč</w:t>
      </w:r>
      <w:r w:rsidR="003C7E46">
        <w:rPr>
          <w:rFonts w:eastAsia="MinionPro-Regular" w:cs="MinionPro-Regular"/>
          <w:szCs w:val="22"/>
        </w:rPr>
        <w:t>nom dô</w:t>
      </w:r>
      <w:r w:rsidR="003C7E46" w:rsidRPr="00AE251D">
        <w:rPr>
          <w:rFonts w:eastAsia="MinionPro-Regular" w:cs="MinionPro-Regular"/>
          <w:szCs w:val="22"/>
        </w:rPr>
        <w:t>sledk</w:t>
      </w:r>
      <w:r w:rsidR="003C7E46">
        <w:rPr>
          <w:rFonts w:eastAsia="MinionPro-Regular" w:cs="MinionPro-Regular"/>
          <w:szCs w:val="22"/>
        </w:rPr>
        <w:t>u aj kvalita a efekt poskytovaný</w:t>
      </w:r>
      <w:r w:rsidR="003C7E46" w:rsidRPr="00AE251D">
        <w:rPr>
          <w:rFonts w:eastAsia="MinionPro-Regular" w:cs="MinionPro-Regular"/>
          <w:szCs w:val="22"/>
        </w:rPr>
        <w:t>ch</w:t>
      </w:r>
      <w:r w:rsidR="003C7E46">
        <w:t xml:space="preserve"> </w:t>
      </w:r>
      <w:r w:rsidR="003C7E46">
        <w:rPr>
          <w:rFonts w:eastAsia="MinionPro-Regular" w:cs="MinionPro-Regular"/>
          <w:szCs w:val="22"/>
        </w:rPr>
        <w:t>intervencií</w:t>
      </w:r>
      <w:r w:rsidR="003C7E46">
        <w:t xml:space="preserve"> (Škobla a spol., 2019).</w:t>
      </w:r>
    </w:p>
    <w:p w14:paraId="767FF99B" w14:textId="707B9D82" w:rsidR="003C7E46" w:rsidRDefault="003C7E46" w:rsidP="003C7E46">
      <w:pPr>
        <w:spacing w:before="160"/>
      </w:pPr>
      <w:r w:rsidRPr="00307333">
        <w:rPr>
          <w:b/>
        </w:rPr>
        <w:t xml:space="preserve">Alternatívu voči modelu zdieľanej zodpovednosti predstavuje centralizovaný model </w:t>
      </w:r>
      <w:r w:rsidR="005067CC">
        <w:rPr>
          <w:b/>
        </w:rPr>
        <w:t xml:space="preserve">výkonu a </w:t>
      </w:r>
      <w:r w:rsidRPr="00307333">
        <w:rPr>
          <w:b/>
        </w:rPr>
        <w:t xml:space="preserve">riadenia, ktorý je uplatňovaný v prípade Zdravých regiónov. </w:t>
      </w:r>
      <w:r w:rsidRPr="009518AC">
        <w:t xml:space="preserve">Asistenti osvety zdravia sú </w:t>
      </w:r>
      <w:r>
        <w:t>zamestnancami príspevkovej organizácie Zdravé regióny a teda nie sú v žiadnom pracovnoprávnom vzťahu so samosprávami, kde pôsobia. Týmto spôsobom sú chránení od tlaku samospráv na náplň ich práce.</w:t>
      </w:r>
    </w:p>
    <w:p w14:paraId="2697986F" w14:textId="2AD906F2" w:rsidR="003C7E46" w:rsidRDefault="003C7E46" w:rsidP="003C7E46">
      <w:pPr>
        <w:spacing w:before="160"/>
      </w:pPr>
      <w:r w:rsidRPr="008F23E9">
        <w:rPr>
          <w:b/>
        </w:rPr>
        <w:t>Významným nedostatkom v riadení podporný</w:t>
      </w:r>
      <w:r>
        <w:rPr>
          <w:b/>
        </w:rPr>
        <w:t>ch</w:t>
      </w:r>
      <w:r w:rsidRPr="008F23E9">
        <w:rPr>
          <w:b/>
        </w:rPr>
        <w:t xml:space="preserve"> programov je ich chýbajúca </w:t>
      </w:r>
      <w:r w:rsidR="00E7284E">
        <w:rPr>
          <w:b/>
        </w:rPr>
        <w:t xml:space="preserve">vzájomná </w:t>
      </w:r>
      <w:r w:rsidRPr="008F23E9">
        <w:rPr>
          <w:b/>
        </w:rPr>
        <w:t>koordinácia</w:t>
      </w:r>
      <w:r>
        <w:rPr>
          <w:b/>
        </w:rPr>
        <w:t xml:space="preserve">. Potenciál pozitívnych synergií tak nie je realizovaný. </w:t>
      </w:r>
      <w:r w:rsidRPr="008F23E9">
        <w:t xml:space="preserve">Interakcie medzi </w:t>
      </w:r>
      <w:r>
        <w:t xml:space="preserve">pracovníkmi jednotlivých programov a ich kvalita závisia na osobných vzťahoch a nie sú systematizované. To vytvára priestor pre zmätok ak napríklad existujú nejasnosti ohľadom nastavenia práce a klienti alebo </w:t>
      </w:r>
      <w:r w:rsidR="00F50DD4">
        <w:t xml:space="preserve">iní </w:t>
      </w:r>
      <w:r>
        <w:t>zainteresovaní (napr. policajní špecialisti) nemajú jasno v tom, ktorú službu osloviť pri riešení problému. Napríklad komunitné centrá a terénna sociálna práca majú obsahové zameranie svojho výkonu nastavené veľmi podobne, čo prispi</w:t>
      </w:r>
      <w:r w:rsidR="00F54F88">
        <w:t>eva k viacerým nedorozumeniam a </w:t>
      </w:r>
      <w:r>
        <w:t xml:space="preserve">chybám na lokálnej úrovni. </w:t>
      </w:r>
    </w:p>
    <w:p w14:paraId="20BFAE2C" w14:textId="3CE2C492" w:rsidR="003C7E46" w:rsidRDefault="003C7E46" w:rsidP="003C7E46">
      <w:pPr>
        <w:spacing w:before="160"/>
      </w:pPr>
      <w:r>
        <w:t>V prípade regionálnych koordinátorov projektu TSP a projektu Zdravé komunity boli zdokumentované pomerne nepresné a stereotypné predstavy a predsudky o opačnom projekte a minimálna spolupráca napriek podobnej úlohe. Dokonca aj medzi dvoma národnými projektami TSP sú formálnejšie kontakty a vzájomná oboznámenosť o jednotlivých činnostiach a aktivitách pomerne zriedkavé. Príklady pozitívnej spolupráce medzi podpornými programami a intervenciami ukázali, že koordinácia aktivít, vzájomná diskusia o intervenciách, výmena informácií a nastavenie spoločného postupu v prípade zložitejších intervencií výrazne vedie k adresnejšej a efektívnejšej pomoci klientom</w:t>
      </w:r>
      <w:r w:rsidR="0070047D">
        <w:t xml:space="preserve"> </w:t>
      </w:r>
      <w:r>
        <w:t>(Škobla a spol., 2019).</w:t>
      </w:r>
    </w:p>
    <w:p w14:paraId="74898B46" w14:textId="19D56ABB" w:rsidR="003C7E46" w:rsidRDefault="003C7E46" w:rsidP="003C7E46">
      <w:pPr>
        <w:spacing w:before="160"/>
      </w:pPr>
      <w:r>
        <w:rPr>
          <w:b/>
        </w:rPr>
        <w:t>Podporné programy sú v súčasnosti závislé od</w:t>
      </w:r>
      <w:r w:rsidRPr="00CA2564">
        <w:rPr>
          <w:b/>
        </w:rPr>
        <w:t xml:space="preserve"> financovania z eurofondov. </w:t>
      </w:r>
      <w:r w:rsidRPr="00CD49CA">
        <w:t xml:space="preserve">Za sociálne služby sú podľa zákona zodpovedné samosprávy </w:t>
      </w:r>
      <w:r w:rsidRPr="00CA2564">
        <w:t>v zmysle originálnych kompetencií</w:t>
      </w:r>
      <w:r>
        <w:t>. Mestá a obce</w:t>
      </w:r>
      <w:r w:rsidRPr="00CA2564">
        <w:t xml:space="preserve"> </w:t>
      </w:r>
      <w:r>
        <w:t xml:space="preserve">sú </w:t>
      </w:r>
      <w:r w:rsidRPr="00CA2564">
        <w:t xml:space="preserve">však vo väčšine prípadov schopné realizovať </w:t>
      </w:r>
      <w:r>
        <w:t>tieto programy iba v obdobiach ich</w:t>
      </w:r>
      <w:r w:rsidRPr="00CA2564">
        <w:t xml:space="preserve"> externého projektového financovania. </w:t>
      </w:r>
      <w:r w:rsidR="00344AEA">
        <w:t>Napríklad náklady na </w:t>
      </w:r>
      <w:r>
        <w:t xml:space="preserve">TSP presahujú 5 % z príjmov </w:t>
      </w:r>
      <w:r w:rsidRPr="00CA2564">
        <w:t>bežného rozpočtu samosprávy</w:t>
      </w:r>
      <w:r>
        <w:t xml:space="preserve"> v troch štvrtinách obcí, v ktorých je táto služba nutná</w:t>
      </w:r>
      <w:r w:rsidR="0070047D">
        <w:t xml:space="preserve"> </w:t>
      </w:r>
      <w:r>
        <w:t xml:space="preserve">a 73 % obcí, kde je TSP vhodná </w:t>
      </w:r>
      <w:r w:rsidR="00B4786D">
        <w:t>(Filčák a spol., 2019</w:t>
      </w:r>
      <w:r w:rsidRPr="00CA2564">
        <w:t xml:space="preserve">). </w:t>
      </w:r>
      <w:r>
        <w:t>A</w:t>
      </w:r>
      <w:r w:rsidRPr="00CA2564">
        <w:t>j 5 % navýšenie rozpočtu alokovaného na potreby sociálnych služieb a následne pokrytie ná</w:t>
      </w:r>
      <w:r>
        <w:t xml:space="preserve">kladov spojených s výkonom TSP pritom </w:t>
      </w:r>
      <w:r w:rsidRPr="00CA2564">
        <w:t>možno považovať za hranicu, ktorá je v realite ťažko realizovateľná. Pritom skoro v polovici obcí v oboch kateg</w:t>
      </w:r>
      <w:r w:rsidR="00344AEA">
        <w:t>óriách predstavujú náklady na </w:t>
      </w:r>
      <w:r w:rsidRPr="00CA2564">
        <w:t>TSP viac ako 10 % príjmov bežného rozpočtu.</w:t>
      </w:r>
    </w:p>
    <w:p w14:paraId="5BB0EC99" w14:textId="74692335" w:rsidR="003C7E46" w:rsidRDefault="003C7E46" w:rsidP="003C7E46">
      <w:pPr>
        <w:spacing w:before="160"/>
      </w:pPr>
      <w:r>
        <w:rPr>
          <w:b/>
        </w:rPr>
        <w:t xml:space="preserve">Táto závislosť od eurofondov predstavuje veľké riziko pre dlhodobú udržateľnosť podporných programov v súčasnom rozsahu a kvalite. </w:t>
      </w:r>
      <w:r w:rsidR="00850E5C">
        <w:rPr>
          <w:bCs/>
        </w:rPr>
        <w:t xml:space="preserve">Projektové financovanie podporných programov je nesystémovým riešením, ktoré je závislé na alokáciách v každom novom programovom období, projektovom cykle a na negociáciách s Európskou komisiou. </w:t>
      </w:r>
      <w:r>
        <w:t xml:space="preserve">Skúsenosti z minulého </w:t>
      </w:r>
      <w:r w:rsidR="00AC25AE">
        <w:t xml:space="preserve">aj súčasného </w:t>
      </w:r>
      <w:r>
        <w:t>programového obdobia zvýrazňujú potrebu financovania podporných programov zo štátneho rozpočtu minimálne v období medzi skončením jedného programového obdobia a zazmluvnen</w:t>
      </w:r>
      <w:r w:rsidR="007E2F6E">
        <w:t>ím</w:t>
      </w:r>
      <w:r>
        <w:t xml:space="preserve"> nových zdrojov v novom programovom období. Výpadok zdrojov a následný odchod časti pracovníkov na iné pozície totiž môže mať devastačné dopady na tieto aktivity, keďže ich</w:t>
      </w:r>
      <w:r w:rsidR="00344AEA">
        <w:t> </w:t>
      </w:r>
      <w:r>
        <w:t>kvalita často závisí od pevnosti vzťahov a dôvery vybudovaných počas dlhodobej práce s konkrétnymi jednotlivcami a rodinami z vylúčenej komunity.</w:t>
      </w:r>
    </w:p>
    <w:p w14:paraId="2D718047" w14:textId="2E4574E0" w:rsidR="003C7E46" w:rsidRDefault="003C7E46" w:rsidP="003C7E46">
      <w:pPr>
        <w:spacing w:before="160"/>
      </w:pPr>
      <w:r>
        <w:rPr>
          <w:b/>
        </w:rPr>
        <w:t xml:space="preserve">Jeden úspešný </w:t>
      </w:r>
      <w:r w:rsidRPr="00C14E99">
        <w:rPr>
          <w:b/>
        </w:rPr>
        <w:t>model pre udržateľnosť aktivít predstavuje na Slovensku organizácia Zdravé regióny.</w:t>
      </w:r>
      <w:r w:rsidR="00344AEA">
        <w:t xml:space="preserve"> Ako </w:t>
      </w:r>
      <w:r>
        <w:t xml:space="preserve">štátna príspevková organizácia má od jej zriaďovateľa (Ministerstvo zdravotníctva SR) zabezpečené financovanie aj v prechodnom období. Napríklad v roku 2017 poskytlo Ministerstvo zdravotníctva Zdravým regiónom dočasne finančné prostriedky na zabezpečenie predmetu základnej činnosti do zazmluvnenia Národného projektu Zdravé komunity 2A z Operačného programu Ľudské zdroje. </w:t>
      </w:r>
    </w:p>
    <w:p w14:paraId="7652DD56" w14:textId="671FBF10" w:rsidR="003C7E46" w:rsidRDefault="003C7E46" w:rsidP="003C7E46">
      <w:pPr>
        <w:spacing w:before="160"/>
      </w:pPr>
      <w:r w:rsidRPr="004B7DEE">
        <w:rPr>
          <w:b/>
        </w:rPr>
        <w:t xml:space="preserve">Princíp adicionality ako aj dlhodobá udržateľnosť a rozvoj podporných programov hovoria v prospech </w:t>
      </w:r>
      <w:r>
        <w:rPr>
          <w:b/>
        </w:rPr>
        <w:t>financovania</w:t>
      </w:r>
      <w:r w:rsidRPr="004B7DEE">
        <w:rPr>
          <w:b/>
        </w:rPr>
        <w:t xml:space="preserve"> etablovaných programov </w:t>
      </w:r>
      <w:r>
        <w:rPr>
          <w:b/>
        </w:rPr>
        <w:t>zo štátneho rozpočtu</w:t>
      </w:r>
      <w:r w:rsidRPr="004B7DEE">
        <w:rPr>
          <w:b/>
        </w:rPr>
        <w:t xml:space="preserve">. </w:t>
      </w:r>
      <w:r w:rsidRPr="00F05686">
        <w:t>Princíp</w:t>
      </w:r>
      <w:r>
        <w:t xml:space="preserve"> a</w:t>
      </w:r>
      <w:r w:rsidR="00720C8C">
        <w:t>dicionality vychádza z toho, že </w:t>
      </w:r>
      <w:r>
        <w:t>prostriedky vynakladané zo spoločného rozpočtu EÚ majú iba dopĺňať</w:t>
      </w:r>
      <w:r w:rsidR="00720C8C">
        <w:t xml:space="preserve"> verejné výdavky vynakladané na </w:t>
      </w:r>
      <w:r>
        <w:t>národnej úrovni, nie ich nahrádzať. V praxi to znamená, že projekty, ktoré boli testované pomocou financovania z eurofondov a osvedčili sa</w:t>
      </w:r>
      <w:r w:rsidR="00FE447B">
        <w:t>,</w:t>
      </w:r>
      <w:r>
        <w:t xml:space="preserve"> by mali byť zahrnuté pod štátny rozpočet.</w:t>
      </w:r>
    </w:p>
    <w:p w14:paraId="64021943" w14:textId="64DE18F5" w:rsidR="003C7E46" w:rsidRPr="00521AC3" w:rsidRDefault="003C7E46" w:rsidP="003C7E46">
      <w:pPr>
        <w:spacing w:before="160"/>
      </w:pPr>
      <w:r>
        <w:t xml:space="preserve">Financovanie zo štátneho rozpočtu je tiež spôsobom ako zabezpečiť kontinuitu programov v obciach, ktoré z rôznych </w:t>
      </w:r>
      <w:r w:rsidR="00FE447B">
        <w:t xml:space="preserve">dôvodov </w:t>
      </w:r>
      <w:r>
        <w:t>nespĺňajú striktné kritériá nárokovateľnosti v rámci financovania z eurofondov. Ak sa napríklad obec dostane do nútenej správy, stráca nárok na účasť na dopytovo orientovaných výzvach aj v</w:t>
      </w:r>
      <w:r w:rsidR="00FE447B">
        <w:t> </w:t>
      </w:r>
      <w:r>
        <w:t>prípade</w:t>
      </w:r>
      <w:r w:rsidR="00FE447B">
        <w:t>,</w:t>
      </w:r>
      <w:r>
        <w:t xml:space="preserve"> ak nejaký program (napr. MOPS) úspešne realizuje už niekoľko rokov. Financovanie zo štátneho rozpočtu tiež umožňuje </w:t>
      </w:r>
      <w:r w:rsidRPr="00521AC3">
        <w:t xml:space="preserve">dlhodobejšie plánovanie, zamestnávanie pracovníkov na trvalý pracovný pomer a zabezpečenie ich kontinuálneho vzdelávania a kariérneho rastu. </w:t>
      </w:r>
    </w:p>
    <w:p w14:paraId="491BF7DD" w14:textId="18C685F2" w:rsidR="00272B9A" w:rsidRPr="00521AC3" w:rsidRDefault="003C7E46" w:rsidP="003C7E46">
      <w:pPr>
        <w:spacing w:before="160"/>
      </w:pPr>
      <w:bookmarkStart w:id="1866" w:name="_Hlk21850983"/>
      <w:r w:rsidRPr="00521AC3">
        <w:rPr>
          <w:b/>
        </w:rPr>
        <w:t>Revízia navrhuje rozšíriť centrálny model riadenia, ktorý je aplikovaný na Zdravé regióny, na ostatné podporné programy, ktoré sa v predošlých a v aktuálnom programovom období ukázali ako úspešné.</w:t>
      </w:r>
      <w:r w:rsidRPr="00521AC3">
        <w:rPr>
          <w:rStyle w:val="Odkaznapoznmkupodiarou"/>
        </w:rPr>
        <w:footnoteReference w:id="501"/>
      </w:r>
      <w:r w:rsidRPr="00521AC3">
        <w:t xml:space="preserve"> </w:t>
      </w:r>
      <w:r w:rsidR="00272B9A" w:rsidRPr="00521AC3">
        <w:t xml:space="preserve">Úlohou riadenia každého podporného programu by mala byť poverená jedna organizácia spadajúca pod príslušný rezort. </w:t>
      </w:r>
      <w:r w:rsidRPr="00521AC3">
        <w:t xml:space="preserve">Terénna sociálna práca ako aj realizácia sociálnych služieb krízovej intervencie by mali prejsť pod rezort práce a sociálnych vecí a miestne občianske poriadkové služby pod rezort vnútra. </w:t>
      </w:r>
      <w:r w:rsidR="00272B9A" w:rsidRPr="00521AC3">
        <w:t xml:space="preserve">Riadiace organizácie by okrem administratívneho a účtovného vedenia programov poskytovali aj metodickú podporu, </w:t>
      </w:r>
      <w:r w:rsidR="005332AA" w:rsidRPr="00521AC3">
        <w:t xml:space="preserve">dohľad </w:t>
      </w:r>
      <w:r w:rsidR="00272B9A" w:rsidRPr="00521AC3">
        <w:t>a monitorovanie. Pracovníci v rámci programov by sa stali zamestnancami týchto organizácií, nie obcí, č</w:t>
      </w:r>
      <w:r w:rsidR="00810210" w:rsidRPr="00521AC3">
        <w:t>o</w:t>
      </w:r>
      <w:r w:rsidR="00272B9A" w:rsidRPr="00521AC3">
        <w:t xml:space="preserve"> by posilnil</w:t>
      </w:r>
      <w:r w:rsidR="00810210" w:rsidRPr="00521AC3">
        <w:t>o</w:t>
      </w:r>
      <w:r w:rsidR="00272B9A" w:rsidRPr="00521AC3">
        <w:t xml:space="preserve"> ich nezávislosť od miestnej politiky a</w:t>
      </w:r>
      <w:r w:rsidR="00810210" w:rsidRPr="00521AC3">
        <w:t xml:space="preserve"> zameranie na potreby klientov. </w:t>
      </w:r>
    </w:p>
    <w:p w14:paraId="3F900445" w14:textId="5947FC88" w:rsidR="003C7E46" w:rsidRPr="00521AC3" w:rsidRDefault="003C7E46" w:rsidP="003C7E46">
      <w:pPr>
        <w:spacing w:before="160"/>
      </w:pPr>
      <w:r w:rsidRPr="00521AC3">
        <w:rPr>
          <w:b/>
          <w:bCs/>
        </w:rPr>
        <w:t>Revízia tiež navrhuje</w:t>
      </w:r>
      <w:r w:rsidR="00810210" w:rsidRPr="00521AC3">
        <w:rPr>
          <w:b/>
          <w:bCs/>
        </w:rPr>
        <w:t xml:space="preserve"> postupný</w:t>
      </w:r>
      <w:r w:rsidRPr="00521AC3">
        <w:rPr>
          <w:b/>
          <w:bCs/>
        </w:rPr>
        <w:t xml:space="preserve"> presun financovania </w:t>
      </w:r>
      <w:r w:rsidR="00810210" w:rsidRPr="00521AC3">
        <w:rPr>
          <w:b/>
          <w:bCs/>
        </w:rPr>
        <w:t>uvedených podporných programov</w:t>
      </w:r>
      <w:r w:rsidRPr="00521AC3">
        <w:rPr>
          <w:b/>
          <w:bCs/>
        </w:rPr>
        <w:t xml:space="preserve"> pod štátny rozpočet</w:t>
      </w:r>
      <w:r w:rsidR="00810210" w:rsidRPr="00521AC3">
        <w:rPr>
          <w:b/>
          <w:bCs/>
        </w:rPr>
        <w:t>.</w:t>
      </w:r>
      <w:r w:rsidR="00810210" w:rsidRPr="00521AC3">
        <w:t xml:space="preserve"> </w:t>
      </w:r>
      <w:r w:rsidR="00557D1D" w:rsidRPr="00521AC3">
        <w:t>Projektové financovanie podporných programov z </w:t>
      </w:r>
      <w:r w:rsidR="00663578" w:rsidRPr="00521AC3">
        <w:t>eurofondov</w:t>
      </w:r>
      <w:r w:rsidR="00557D1D" w:rsidRPr="00521AC3">
        <w:t xml:space="preserve"> je zabezpečené do roku 2020 </w:t>
      </w:r>
      <w:r w:rsidR="005332AA" w:rsidRPr="00521AC3">
        <w:t>s </w:t>
      </w:r>
      <w:r w:rsidR="00557D1D" w:rsidRPr="00521AC3">
        <w:t>výhľadom možného začlenenia do nasledujúceho programového obdobia (2021-2027). V takom prípade je v </w:t>
      </w:r>
      <w:r w:rsidR="00AC25AE">
        <w:t>krátkodobom</w:t>
      </w:r>
      <w:r w:rsidR="00AC25AE" w:rsidRPr="00521AC3">
        <w:t xml:space="preserve"> </w:t>
      </w:r>
      <w:r w:rsidR="00557D1D" w:rsidRPr="00521AC3">
        <w:t>horizonte potrebné zabezpečiť hlavne preklenujúce financovanie zo štátneho rozpočtu v medziprojektovom období tak, aby programy pokračovali bez prerušenia. V závislosti od objemu alokáci</w:t>
      </w:r>
      <w:r w:rsidR="00027F8E">
        <w:t>í na nové programové obdobie je </w:t>
      </w:r>
      <w:r w:rsidR="00557D1D" w:rsidRPr="00521AC3">
        <w:t>možné uvažovať o prechodnej kombinácii zdrojov EŠIF a štátneho rozpočtu tak, aby rozsah podporných programov zostal minimálne na dnešnej úrovni.</w:t>
      </w:r>
      <w:r w:rsidR="00E33D33" w:rsidRPr="00521AC3">
        <w:t xml:space="preserve"> Po roku 2027 by podporné programy mali byť financované v plnej miere zo štátneho rozpočtu, prípade v kombinácii so spolufinancovaním zo zdrojov samospráv.</w:t>
      </w:r>
    </w:p>
    <w:bookmarkEnd w:id="1866"/>
    <w:p w14:paraId="171FB736" w14:textId="276D2E35" w:rsidR="00E416B2" w:rsidRPr="00D3189B" w:rsidRDefault="003C7E46" w:rsidP="00D3189B">
      <w:pPr>
        <w:spacing w:before="160"/>
      </w:pPr>
      <w:r w:rsidRPr="00521AC3">
        <w:rPr>
          <w:b/>
        </w:rPr>
        <w:t>Lepšiu koordináciu podporných programov navrhuje revízia zabezpeči</w:t>
      </w:r>
      <w:r w:rsidR="00027F8E">
        <w:rPr>
          <w:b/>
        </w:rPr>
        <w:t>ť zriadením pracovných tímov na </w:t>
      </w:r>
      <w:r w:rsidRPr="00521AC3">
        <w:rPr>
          <w:b/>
        </w:rPr>
        <w:t>regionálnej úrovni.</w:t>
      </w:r>
      <w:r w:rsidRPr="00521AC3">
        <w:t xml:space="preserve"> Tie by okrem predstaviteľov jednotlivých programov mohli zahŕňať aj predstaviteľov iných zainteresovaných inštitúcií</w:t>
      </w:r>
      <w:r w:rsidR="005332AA" w:rsidRPr="00521AC3">
        <w:t>,</w:t>
      </w:r>
      <w:r w:rsidRPr="00521AC3">
        <w:t xml:space="preserve"> ako sú napríklad policajní špecialisti pre prácu s rómskymi komunitami, asistenti učiteľa, pracovníci úradov práce, samosprávy, či mimovládnych organizácií pôsobiacich v regióne. Pravidelne organizované stretnutia by mohli pomôcť transformovať prevažne osobné väzby medzi aktérmi na profesijné väzby, vytvoriť presnejšie vymedzenie hraníc, kompetencií a zodpovednosti medzi programami a zlepšiť pozíciu rómskych pracovníkov programov v interakciách s prevažne nerómskymi pracovníkmi štátnych inštitúcií.</w:t>
      </w:r>
    </w:p>
    <w:p w14:paraId="4002D8F8" w14:textId="41F14CA0" w:rsidR="007C0188" w:rsidRDefault="007C0188" w:rsidP="007C0188">
      <w:pPr>
        <w:pStyle w:val="Nadpis1"/>
      </w:pPr>
      <w:bookmarkStart w:id="1867" w:name="_Toc34657750"/>
      <w:r w:rsidRPr="00CA2564">
        <w:t>Použitá literatúra</w:t>
      </w:r>
      <w:bookmarkEnd w:id="1867"/>
    </w:p>
    <w:p w14:paraId="2256A72E" w14:textId="77777777" w:rsidR="00913A5B" w:rsidRPr="00F5028F" w:rsidRDefault="00913A5B" w:rsidP="00913A5B">
      <w:pPr>
        <w:spacing w:before="160" w:after="160"/>
        <w:jc w:val="left"/>
        <w:rPr>
          <w:szCs w:val="22"/>
        </w:rPr>
      </w:pPr>
      <w:r w:rsidRPr="00F5028F">
        <w:rPr>
          <w:szCs w:val="22"/>
        </w:rPr>
        <w:t xml:space="preserve">Abbott, L. a kol. (2011). Key players in inclusion: are we meeting the professional needs of learning support assistants for pupils with complex needs?, </w:t>
      </w:r>
      <w:r w:rsidRPr="00F5028F">
        <w:rPr>
          <w:rFonts w:cs="TimesNewRomanPS-Italic"/>
          <w:i/>
          <w:iCs/>
          <w:color w:val="292526"/>
          <w:szCs w:val="22"/>
        </w:rPr>
        <w:t xml:space="preserve">European Journal of Special Needs Education, </w:t>
      </w:r>
      <w:r w:rsidRPr="00F5028F">
        <w:rPr>
          <w:rFonts w:cs="TimesNewRomanPS-Italic"/>
          <w:iCs/>
          <w:color w:val="292526"/>
          <w:szCs w:val="22"/>
        </w:rPr>
        <w:t>26 (2), 215-231</w:t>
      </w:r>
    </w:p>
    <w:p w14:paraId="71584D99" w14:textId="77777777" w:rsidR="00913A5B" w:rsidRPr="00F5028F" w:rsidRDefault="00913A5B" w:rsidP="00913A5B">
      <w:pPr>
        <w:spacing w:before="160" w:after="160"/>
        <w:jc w:val="left"/>
        <w:rPr>
          <w:rStyle w:val="Hypertextovprepojenie"/>
          <w:szCs w:val="22"/>
        </w:rPr>
      </w:pPr>
      <w:r w:rsidRPr="00F5028F">
        <w:rPr>
          <w:szCs w:val="22"/>
        </w:rPr>
        <w:t xml:space="preserve">Adams, C. (2019) Vienna ranked best city in the world to live in for 10th year running, The Independent. </w:t>
      </w:r>
      <w:hyperlink r:id="rId110" w:history="1">
        <w:r w:rsidRPr="00F5028F">
          <w:rPr>
            <w:rStyle w:val="Hypertextovprepojenie"/>
            <w:szCs w:val="22"/>
          </w:rPr>
          <w:t>https://www.independent.co.uk/travel/news-and-advice/vienna-best-city-live-quality-life-ranking-mercer-australia-europe-a8820396.html</w:t>
        </w:r>
      </w:hyperlink>
    </w:p>
    <w:p w14:paraId="63A5E822" w14:textId="77777777" w:rsidR="00913A5B" w:rsidRPr="00F5028F" w:rsidRDefault="00913A5B" w:rsidP="00913A5B">
      <w:pPr>
        <w:spacing w:before="160" w:after="160"/>
        <w:jc w:val="left"/>
        <w:rPr>
          <w:rStyle w:val="Hypertextovprepojenie"/>
          <w:szCs w:val="22"/>
        </w:rPr>
      </w:pPr>
      <w:r w:rsidRPr="00F5028F">
        <w:rPr>
          <w:rStyle w:val="Hypertextovprepojenie"/>
          <w:szCs w:val="22"/>
        </w:rPr>
        <w:t xml:space="preserve">American Academy of Pediatrics (2008). </w:t>
      </w:r>
      <w:r w:rsidRPr="00F5028F">
        <w:rPr>
          <w:szCs w:val="22"/>
        </w:rPr>
        <w:t xml:space="preserve">Role of the School Nurse in Providing School Health Services. </w:t>
      </w:r>
      <w:r w:rsidRPr="00F5028F">
        <w:rPr>
          <w:i/>
          <w:iCs/>
          <w:szCs w:val="22"/>
        </w:rPr>
        <w:t>PEDIATRICS</w:t>
      </w:r>
      <w:r w:rsidRPr="00F5028F">
        <w:rPr>
          <w:szCs w:val="22"/>
        </w:rPr>
        <w:t xml:space="preserve"> (ISSN Numbers: Print, 0031-4005; Online, 1098-4275). </w:t>
      </w:r>
      <w:hyperlink r:id="rId111" w:history="1">
        <w:r w:rsidRPr="00F5028F">
          <w:rPr>
            <w:rStyle w:val="Hypertextovprepojenie"/>
            <w:szCs w:val="22"/>
          </w:rPr>
          <w:t>https://pediatrics.aappublications.org/content/pediatrics/121/5/1052.full.pdf</w:t>
        </w:r>
      </w:hyperlink>
    </w:p>
    <w:p w14:paraId="6EC73C70" w14:textId="77777777" w:rsidR="00913A5B" w:rsidRPr="00F5028F" w:rsidRDefault="00913A5B" w:rsidP="00913A5B">
      <w:pPr>
        <w:pStyle w:val="Bezriadkovania"/>
        <w:rPr>
          <w:rStyle w:val="Hypertextovprepojenie"/>
          <w:rFonts w:ascii="Arial Narrow" w:hAnsi="Arial Narrow"/>
          <w:color w:val="auto"/>
        </w:rPr>
      </w:pPr>
      <w:r w:rsidRPr="00F5028F">
        <w:rPr>
          <w:rStyle w:val="Hypertextovprepojenie"/>
          <w:rFonts w:ascii="Arial Narrow" w:hAnsi="Arial Narrow"/>
          <w:color w:val="auto"/>
          <w:u w:val="none"/>
        </w:rPr>
        <w:t xml:space="preserve">Asociácia poskytovateľov a podporovateľov včasnej intervencia (2019). </w:t>
      </w:r>
      <w:r w:rsidRPr="00F5028F">
        <w:rPr>
          <w:rStyle w:val="Hypertextovprepojenie"/>
          <w:rFonts w:ascii="Arial Narrow" w:hAnsi="Arial Narrow"/>
          <w:i/>
          <w:color w:val="auto"/>
          <w:u w:val="none"/>
        </w:rPr>
        <w:t xml:space="preserve">Obsah a kvalita služby včasnej intervencie podľa súčasných trendov. </w:t>
      </w:r>
      <w:hyperlink r:id="rId112" w:history="1">
        <w:r w:rsidRPr="00F5028F">
          <w:rPr>
            <w:rStyle w:val="Hypertextovprepojenie"/>
            <w:rFonts w:ascii="Arial Narrow" w:hAnsi="Arial Narrow"/>
          </w:rPr>
          <w:t>https://asociaciavi.sk/obsah-a-kvalita-sluzby-vcasnej-intervencie-podla-aktualnych-trendov/</w:t>
        </w:r>
      </w:hyperlink>
      <w:r w:rsidRPr="00F5028F">
        <w:rPr>
          <w:rStyle w:val="Hypertextovprepojenie"/>
          <w:rFonts w:ascii="Arial Narrow" w:hAnsi="Arial Narrow"/>
          <w:color w:val="auto"/>
        </w:rPr>
        <w:t xml:space="preserve"> </w:t>
      </w:r>
    </w:p>
    <w:p w14:paraId="6C667797" w14:textId="77777777" w:rsidR="00913A5B" w:rsidRPr="00F5028F" w:rsidRDefault="00913A5B" w:rsidP="00913A5B">
      <w:pPr>
        <w:spacing w:before="160" w:after="160"/>
        <w:jc w:val="left"/>
        <w:rPr>
          <w:szCs w:val="22"/>
        </w:rPr>
      </w:pPr>
      <w:r w:rsidRPr="00F5028F">
        <w:rPr>
          <w:szCs w:val="22"/>
        </w:rPr>
        <w:t xml:space="preserve">Australian National Audit Office (2017), Jobactive: design and monitoring, </w:t>
      </w:r>
      <w:hyperlink r:id="rId113" w:history="1">
        <w:r w:rsidRPr="00F5028F">
          <w:rPr>
            <w:rStyle w:val="Hypertextovprepojenie"/>
            <w:szCs w:val="22"/>
          </w:rPr>
          <w:t>https://www.anao.gov.au/sites/default/files/ANAO_Report_2017-18_04.pdf</w:t>
        </w:r>
      </w:hyperlink>
      <w:r w:rsidRPr="00F5028F">
        <w:rPr>
          <w:szCs w:val="22"/>
        </w:rPr>
        <w:t xml:space="preserve"> </w:t>
      </w:r>
    </w:p>
    <w:p w14:paraId="3206D311" w14:textId="4D2E6BD6" w:rsidR="00913A5B" w:rsidRPr="00F5028F" w:rsidRDefault="00913A5B" w:rsidP="00913A5B">
      <w:pPr>
        <w:spacing w:before="160" w:after="160"/>
        <w:jc w:val="left"/>
        <w:rPr>
          <w:szCs w:val="22"/>
        </w:rPr>
      </w:pPr>
      <w:r w:rsidRPr="00F5028F">
        <w:rPr>
          <w:szCs w:val="22"/>
        </w:rPr>
        <w:t xml:space="preserve">Bahna, M. (2018), Ľudí trpiacich dlhotrvajúcim zdravotným problémom je u nás menej, ako tvrdia štatistiky, </w:t>
      </w:r>
      <w:r w:rsidRPr="00F5028F">
        <w:rPr>
          <w:i/>
          <w:szCs w:val="22"/>
        </w:rPr>
        <w:t>Denník N</w:t>
      </w:r>
      <w:r w:rsidRPr="00F5028F">
        <w:rPr>
          <w:szCs w:val="22"/>
        </w:rPr>
        <w:t xml:space="preserve"> </w:t>
      </w:r>
      <w:hyperlink r:id="rId114" w:history="1">
        <w:r w:rsidRPr="00F5028F">
          <w:rPr>
            <w:rStyle w:val="Hypertextovprepojenie"/>
            <w:szCs w:val="22"/>
          </w:rPr>
          <w:t>https://dennikn.sk/1145558/ludi-trpiacich-dlhotrvajucim-zdravotnym-problemom-je-u-nas-menej-nez-tvrdia-statistiky/</w:t>
        </w:r>
      </w:hyperlink>
    </w:p>
    <w:p w14:paraId="4ADC0CB7" w14:textId="77777777" w:rsidR="00913A5B" w:rsidRPr="00F5028F" w:rsidRDefault="00913A5B" w:rsidP="00913A5B">
      <w:pPr>
        <w:spacing w:before="160"/>
        <w:rPr>
          <w:szCs w:val="22"/>
        </w:rPr>
      </w:pPr>
      <w:r w:rsidRPr="00F5028F">
        <w:rPr>
          <w:szCs w:val="22"/>
        </w:rPr>
        <w:t xml:space="preserve">Bainbridge J., M. K. Meyers a J. Waldfogel (2003), Child care policy reform and the employment of single mothers, </w:t>
      </w:r>
      <w:r w:rsidRPr="00F5028F">
        <w:rPr>
          <w:i/>
          <w:szCs w:val="22"/>
        </w:rPr>
        <w:t>Sociel Science Quarterly</w:t>
      </w:r>
      <w:r w:rsidRPr="00F5028F">
        <w:rPr>
          <w:szCs w:val="22"/>
        </w:rPr>
        <w:t>, 84(4), 771-791</w:t>
      </w:r>
    </w:p>
    <w:p w14:paraId="76E0A4A4" w14:textId="77777777" w:rsidR="00913A5B" w:rsidRPr="00F5028F" w:rsidRDefault="00913A5B" w:rsidP="00913A5B">
      <w:pPr>
        <w:rPr>
          <w:szCs w:val="22"/>
        </w:rPr>
      </w:pPr>
      <w:r w:rsidRPr="00F5028F">
        <w:rPr>
          <w:szCs w:val="22"/>
        </w:rPr>
        <w:t xml:space="preserve">Ball, J. (2011), </w:t>
      </w:r>
      <w:r w:rsidRPr="00F5028F">
        <w:rPr>
          <w:i/>
          <w:szCs w:val="22"/>
        </w:rPr>
        <w:t>Mother Tongue-Based Bilingual or Multilingual Education in the Early Years</w:t>
      </w:r>
      <w:r w:rsidRPr="00F5028F">
        <w:rPr>
          <w:szCs w:val="22"/>
        </w:rPr>
        <w:t xml:space="preserve">. Paris: UNESCO. </w:t>
      </w:r>
      <w:hyperlink r:id="rId115" w:history="1">
        <w:r w:rsidRPr="00F5028F">
          <w:rPr>
            <w:rStyle w:val="Hypertextovprepojenie"/>
            <w:szCs w:val="22"/>
          </w:rPr>
          <w:t>https://unesdoc.unesco.org/ark:/48223/pf0000212270</w:t>
        </w:r>
      </w:hyperlink>
    </w:p>
    <w:p w14:paraId="23191174" w14:textId="77777777" w:rsidR="00913A5B" w:rsidRPr="00F5028F" w:rsidRDefault="00913A5B" w:rsidP="00913A5B">
      <w:pPr>
        <w:spacing w:before="160"/>
        <w:rPr>
          <w:szCs w:val="22"/>
        </w:rPr>
      </w:pPr>
      <w:r w:rsidRPr="00F5028F">
        <w:rPr>
          <w:szCs w:val="22"/>
        </w:rPr>
        <w:t xml:space="preserve">Bauernschuster S. a M. Schlotter (2015), Public child care and mothers’ labor supply: evidence from two quasi-experiments, </w:t>
      </w:r>
      <w:r w:rsidRPr="00F5028F">
        <w:rPr>
          <w:i/>
          <w:szCs w:val="22"/>
        </w:rPr>
        <w:t>Journal of Public Economics</w:t>
      </w:r>
      <w:r w:rsidRPr="00F5028F">
        <w:rPr>
          <w:szCs w:val="22"/>
        </w:rPr>
        <w:t>, 123(C), 1-16</w:t>
      </w:r>
    </w:p>
    <w:p w14:paraId="13BF5BF2" w14:textId="3FF6F255" w:rsidR="00913A5B" w:rsidRPr="00F5028F" w:rsidRDefault="00913A5B" w:rsidP="00913A5B">
      <w:pPr>
        <w:spacing w:before="160"/>
        <w:rPr>
          <w:szCs w:val="22"/>
        </w:rPr>
      </w:pPr>
      <w:r w:rsidRPr="00F5028F">
        <w:rPr>
          <w:szCs w:val="22"/>
        </w:rPr>
        <w:t>Bednárik, M., Krok, M., Salom</w:t>
      </w:r>
      <w:r w:rsidR="005E4146">
        <w:rPr>
          <w:szCs w:val="22"/>
        </w:rPr>
        <w:t>o</w:t>
      </w:r>
      <w:r w:rsidRPr="00F5028F">
        <w:rPr>
          <w:szCs w:val="22"/>
        </w:rPr>
        <w:t xml:space="preserve">nsová L., a Slobodníková, S. (2018). </w:t>
      </w:r>
      <w:r w:rsidRPr="00F5028F">
        <w:rPr>
          <w:i/>
          <w:szCs w:val="22"/>
        </w:rPr>
        <w:t xml:space="preserve">Počúvajme potreby včasnej intervencie. Analýza nákladov a prínosov terénnej včasnej intervencie pre deti so sluchovým postihnutím. </w:t>
      </w:r>
      <w:r w:rsidRPr="00F5028F">
        <w:rPr>
          <w:szCs w:val="22"/>
        </w:rPr>
        <w:t xml:space="preserve">Bratislava: IJ, ISP, IVP a UHP. </w:t>
      </w:r>
      <w:hyperlink r:id="rId116" w:history="1">
        <w:r w:rsidR="0000122A" w:rsidRPr="00F5028F">
          <w:rPr>
            <w:rStyle w:val="Hypertextovprepojenie"/>
            <w:szCs w:val="22"/>
          </w:rPr>
          <w:t>https://www.nadacnyfondtelekom.sk/wp-content/uploads/2018/10/Analyza_nakladov_a_prinosov_terennej_vcasnej_intervencie.pdf</w:t>
        </w:r>
      </w:hyperlink>
      <w:r w:rsidR="0000122A" w:rsidRPr="00F5028F">
        <w:rPr>
          <w:szCs w:val="22"/>
        </w:rPr>
        <w:t xml:space="preserve"> </w:t>
      </w:r>
    </w:p>
    <w:p w14:paraId="2F370D5C" w14:textId="77777777" w:rsidR="00913A5B" w:rsidRPr="00F5028F" w:rsidRDefault="00913A5B" w:rsidP="00913A5B">
      <w:pPr>
        <w:spacing w:before="160" w:after="160"/>
        <w:jc w:val="left"/>
        <w:rPr>
          <w:rFonts w:cs="JansonTextLTStd-Roman"/>
          <w:szCs w:val="22"/>
        </w:rPr>
      </w:pPr>
      <w:r w:rsidRPr="00F5028F">
        <w:rPr>
          <w:rFonts w:cs="JansonText-Roman"/>
          <w:szCs w:val="22"/>
        </w:rPr>
        <w:t xml:space="preserve">Bennett T., K. Holloway, a D. P. Farrington (2006). Does Neighborhood Watch Reduce Crime? A Systematic Review and Meta-Analysis, </w:t>
      </w:r>
      <w:r w:rsidRPr="00F5028F">
        <w:rPr>
          <w:rFonts w:cs="JansonText-Italic"/>
          <w:i/>
          <w:iCs/>
          <w:szCs w:val="22"/>
        </w:rPr>
        <w:t xml:space="preserve">Journal of Experimental Criminology </w:t>
      </w:r>
      <w:r w:rsidRPr="00F5028F">
        <w:rPr>
          <w:rFonts w:cs="JansonText-Italic"/>
          <w:iCs/>
          <w:szCs w:val="22"/>
        </w:rPr>
        <w:t>(</w:t>
      </w:r>
      <w:r w:rsidRPr="00F5028F">
        <w:rPr>
          <w:rFonts w:cs="JansonText-Roman"/>
          <w:szCs w:val="22"/>
        </w:rPr>
        <w:t>2), 437–58</w:t>
      </w:r>
    </w:p>
    <w:p w14:paraId="6E084FF8" w14:textId="77777777" w:rsidR="00913A5B" w:rsidRPr="00F5028F" w:rsidRDefault="00913A5B" w:rsidP="00913A5B">
      <w:pPr>
        <w:rPr>
          <w:szCs w:val="22"/>
        </w:rPr>
      </w:pPr>
      <w:r w:rsidRPr="00F5028F">
        <w:rPr>
          <w:szCs w:val="22"/>
        </w:rPr>
        <w:t>Berglund, J. (2017).</w:t>
      </w:r>
      <w:r w:rsidRPr="00F5028F" w:rsidDel="001F39A6">
        <w:rPr>
          <w:szCs w:val="22"/>
        </w:rPr>
        <w:t>,</w:t>
      </w:r>
      <w:r w:rsidRPr="00F5028F">
        <w:rPr>
          <w:szCs w:val="22"/>
        </w:rPr>
        <w:t xml:space="preserve"> </w:t>
      </w:r>
      <w:r w:rsidRPr="00F5028F">
        <w:rPr>
          <w:i/>
          <w:szCs w:val="22"/>
        </w:rPr>
        <w:t>Education Policy – A Swedish Success Story? Integration of Newly Arrived Students Into the Swedish School System</w:t>
      </w:r>
      <w:r w:rsidRPr="00F5028F">
        <w:rPr>
          <w:szCs w:val="22"/>
        </w:rPr>
        <w:t xml:space="preserve">. Berlin: Friedrich Ebert Stiftung. </w:t>
      </w:r>
      <w:hyperlink r:id="rId117" w:history="1">
        <w:r w:rsidRPr="00F5028F">
          <w:rPr>
            <w:rStyle w:val="Hypertextovprepojenie"/>
            <w:szCs w:val="22"/>
          </w:rPr>
          <w:t>http://library.fes.de/pdf-files/id/ipa/13259.pdf</w:t>
        </w:r>
      </w:hyperlink>
    </w:p>
    <w:p w14:paraId="4FF0DD38" w14:textId="77777777" w:rsidR="00913A5B" w:rsidRPr="00F5028F" w:rsidRDefault="00913A5B" w:rsidP="00913A5B">
      <w:pPr>
        <w:spacing w:before="160" w:after="0"/>
        <w:rPr>
          <w:szCs w:val="22"/>
        </w:rPr>
      </w:pPr>
      <w:r w:rsidRPr="00F5028F">
        <w:rPr>
          <w:szCs w:val="22"/>
        </w:rPr>
        <w:t xml:space="preserve">Bernhard S. a Wolff J., (2008), Contracting out placement services in Germany. Is assignment to private providers effective for needy job-seekers?, IAB Discussion Paper, 5/2008. </w:t>
      </w:r>
      <w:hyperlink r:id="rId118" w:history="1">
        <w:r w:rsidRPr="00F5028F">
          <w:rPr>
            <w:rStyle w:val="Hypertextovprepojenie"/>
            <w:szCs w:val="22"/>
          </w:rPr>
          <w:t>http://doku.iab.de/discussionpapers-/2008/dp0508.pdf</w:t>
        </w:r>
      </w:hyperlink>
      <w:r w:rsidRPr="00F5028F">
        <w:rPr>
          <w:szCs w:val="22"/>
        </w:rPr>
        <w:t xml:space="preserve">  </w:t>
      </w:r>
    </w:p>
    <w:p w14:paraId="66639E8F" w14:textId="3BE375A7" w:rsidR="00913A5B" w:rsidRPr="00F5028F" w:rsidRDefault="00913A5B" w:rsidP="00913A5B">
      <w:pPr>
        <w:spacing w:before="160"/>
        <w:rPr>
          <w:szCs w:val="22"/>
        </w:rPr>
      </w:pPr>
      <w:r w:rsidRPr="00F5028F">
        <w:rPr>
          <w:szCs w:val="22"/>
        </w:rPr>
        <w:t xml:space="preserve">Blatchford, P., Basset P., Brown P., Martin C., Russell, A. amd Webster R. (2009). </w:t>
      </w:r>
      <w:r w:rsidRPr="00F5028F">
        <w:rPr>
          <w:i/>
          <w:szCs w:val="22"/>
        </w:rPr>
        <w:t>Deployment and Impact of Support Staff in Schools.</w:t>
      </w:r>
      <w:r w:rsidRPr="00F5028F">
        <w:rPr>
          <w:szCs w:val="22"/>
        </w:rPr>
        <w:t xml:space="preserve"> London: University of London. </w:t>
      </w:r>
      <w:hyperlink r:id="rId119" w:history="1">
        <w:r w:rsidR="0000122A" w:rsidRPr="00F5028F">
          <w:rPr>
            <w:rStyle w:val="Hypertextovprepojenie"/>
            <w:szCs w:val="22"/>
          </w:rPr>
          <w:t>http://maximisingtas.co.uk/assets/content/disss1w123r.pdf</w:t>
        </w:r>
      </w:hyperlink>
      <w:r w:rsidR="0000122A" w:rsidRPr="00F5028F">
        <w:rPr>
          <w:szCs w:val="22"/>
        </w:rPr>
        <w:t xml:space="preserve"> </w:t>
      </w:r>
    </w:p>
    <w:p w14:paraId="16C6BF66" w14:textId="77777777" w:rsidR="00913A5B" w:rsidRPr="00F5028F" w:rsidRDefault="00913A5B" w:rsidP="00913A5B">
      <w:pPr>
        <w:spacing w:before="160"/>
        <w:rPr>
          <w:szCs w:val="22"/>
        </w:rPr>
      </w:pPr>
      <w:r w:rsidRPr="00F5028F">
        <w:rPr>
          <w:szCs w:val="22"/>
        </w:rPr>
        <w:t xml:space="preserve">Bordone V., B. Arpino a A. Aassve (2017), Patterns of grandparental child care across Europe: the role of the policy context and working mothers’ need, </w:t>
      </w:r>
      <w:r w:rsidRPr="00F5028F">
        <w:rPr>
          <w:i/>
          <w:szCs w:val="22"/>
        </w:rPr>
        <w:t>Ageing and Society</w:t>
      </w:r>
      <w:r w:rsidRPr="00F5028F">
        <w:rPr>
          <w:szCs w:val="22"/>
        </w:rPr>
        <w:t>, 37(4), 845-873</w:t>
      </w:r>
    </w:p>
    <w:p w14:paraId="61A971A9" w14:textId="77777777" w:rsidR="00913A5B" w:rsidRPr="00F5028F" w:rsidRDefault="00913A5B" w:rsidP="00913A5B">
      <w:pPr>
        <w:rPr>
          <w:szCs w:val="22"/>
        </w:rPr>
      </w:pPr>
      <w:r w:rsidRPr="00F5028F">
        <w:rPr>
          <w:szCs w:val="22"/>
        </w:rPr>
        <w:t xml:space="preserve">Brňak, M. (2017) Sociálne bývanie na Slovensku, </w:t>
      </w:r>
      <w:r w:rsidRPr="00F5028F">
        <w:rPr>
          <w:i/>
          <w:szCs w:val="22"/>
        </w:rPr>
        <w:t>Prohuman</w:t>
      </w:r>
      <w:r w:rsidRPr="00F5028F">
        <w:rPr>
          <w:szCs w:val="22"/>
        </w:rPr>
        <w:t xml:space="preserve">, 1-20. </w:t>
      </w:r>
      <w:hyperlink r:id="rId120" w:history="1">
        <w:r w:rsidRPr="00F5028F">
          <w:rPr>
            <w:rStyle w:val="Hypertextovprepojenie"/>
            <w:szCs w:val="22"/>
          </w:rPr>
          <w:t>https://prohuman.sk/socialna-praca/socialne-byvanie-na-slovensku</w:t>
        </w:r>
      </w:hyperlink>
    </w:p>
    <w:p w14:paraId="3C7A56C8" w14:textId="77777777" w:rsidR="00913A5B" w:rsidRPr="00F5028F" w:rsidRDefault="00913A5B" w:rsidP="00913A5B">
      <w:pPr>
        <w:spacing w:before="160" w:after="160"/>
        <w:jc w:val="left"/>
        <w:rPr>
          <w:rFonts w:cs="JansonTextLTStd-Roman"/>
          <w:szCs w:val="22"/>
        </w:rPr>
      </w:pPr>
      <w:r w:rsidRPr="00F5028F">
        <w:rPr>
          <w:rFonts w:cs="JansonTextLTStd-Roman"/>
          <w:szCs w:val="22"/>
        </w:rPr>
        <w:t xml:space="preserve">Burniaux J. M., T. T. Dang, D. Fore, M. F. Forster, M. Mira d’Ercole a H. Oxley (1998), Income distribution and poverty in selected OECD countries, </w:t>
      </w:r>
      <w:r w:rsidRPr="00F5028F">
        <w:rPr>
          <w:rFonts w:cs="JansonTextLTStd-Roman"/>
          <w:i/>
          <w:szCs w:val="22"/>
        </w:rPr>
        <w:t xml:space="preserve">OECD Economics Department Workin Paper, </w:t>
      </w:r>
      <w:r w:rsidRPr="00F5028F">
        <w:rPr>
          <w:rFonts w:cs="JansonTextLTStd-Roman"/>
          <w:szCs w:val="22"/>
        </w:rPr>
        <w:t xml:space="preserve">No. 189: </w:t>
      </w:r>
      <w:hyperlink r:id="rId121" w:history="1">
        <w:r w:rsidRPr="00F5028F">
          <w:rPr>
            <w:rStyle w:val="Hypertextovprepojenie"/>
            <w:rFonts w:cs="JansonTextLTStd-Roman"/>
            <w:szCs w:val="22"/>
          </w:rPr>
          <w:t>https://www.oecd-ilibrary.org/economics/income-distribution-and-poverty-in-selected-oecd-countries_730801800603</w:t>
        </w:r>
      </w:hyperlink>
      <w:r w:rsidRPr="00F5028F">
        <w:rPr>
          <w:rFonts w:cs="JansonTextLTStd-Roman"/>
          <w:szCs w:val="22"/>
        </w:rPr>
        <w:t xml:space="preserve"> </w:t>
      </w:r>
    </w:p>
    <w:p w14:paraId="3C601032" w14:textId="77777777" w:rsidR="00913A5B" w:rsidRPr="00F5028F" w:rsidRDefault="00913A5B" w:rsidP="00913A5B">
      <w:pPr>
        <w:spacing w:before="160" w:after="160"/>
        <w:jc w:val="left"/>
        <w:rPr>
          <w:rFonts w:cs="JansonTextLTStd-Roman"/>
          <w:szCs w:val="22"/>
        </w:rPr>
      </w:pPr>
      <w:r w:rsidRPr="00F5028F">
        <w:rPr>
          <w:rFonts w:cs="JansonTextLTStd-Roman"/>
          <w:szCs w:val="22"/>
        </w:rPr>
        <w:t xml:space="preserve">Cangár, M., Krupa S., Matej V., Tichá E. a Záhorcová, V. (2016). </w:t>
      </w:r>
      <w:r w:rsidRPr="00F5028F">
        <w:rPr>
          <w:rFonts w:cs="JansonTextLTStd-Roman"/>
          <w:i/>
          <w:szCs w:val="22"/>
        </w:rPr>
        <w:t>Včasná intervencia a diagnostika pre osoby so zdravotným postihnutím v Slovenskej republike.</w:t>
      </w:r>
      <w:r w:rsidRPr="00F5028F">
        <w:rPr>
          <w:rFonts w:cs="JansonTextLTStd-Roman"/>
          <w:szCs w:val="22"/>
        </w:rPr>
        <w:t xml:space="preserve"> Bratislava: Rada pre poradenstvo v sociálnej práci. </w:t>
      </w:r>
      <w:hyperlink r:id="rId122" w:history="1">
        <w:r w:rsidRPr="00F5028F">
          <w:rPr>
            <w:rStyle w:val="Hypertextovprepojenie"/>
            <w:rFonts w:cs="JansonTextLTStd-Roman"/>
            <w:szCs w:val="22"/>
          </w:rPr>
          <w:t>http://www.rpsp.sk/joomla/images/publikacie/vcasna_intervencia.pdf</w:t>
        </w:r>
      </w:hyperlink>
      <w:r w:rsidRPr="00F5028F">
        <w:rPr>
          <w:rFonts w:cs="JansonTextLTStd-Roman"/>
          <w:szCs w:val="22"/>
        </w:rPr>
        <w:t xml:space="preserve"> </w:t>
      </w:r>
    </w:p>
    <w:p w14:paraId="4C5A2A53" w14:textId="77777777" w:rsidR="00913A5B" w:rsidRPr="00F5028F" w:rsidRDefault="00913A5B" w:rsidP="00913A5B">
      <w:pPr>
        <w:spacing w:before="160" w:after="160"/>
        <w:jc w:val="left"/>
        <w:rPr>
          <w:szCs w:val="22"/>
        </w:rPr>
      </w:pPr>
      <w:r w:rsidRPr="00F5028F">
        <w:rPr>
          <w:noProof/>
          <w:szCs w:val="22"/>
        </w:rPr>
        <w:t xml:space="preserve">Card, D., Kluve, J. &amp; Weber, A. (2015). What Works? A Meta Analysis of Recent Active Labor Market Program Evaluations. </w:t>
      </w:r>
      <w:r w:rsidRPr="00F5028F">
        <w:rPr>
          <w:i/>
          <w:noProof/>
          <w:szCs w:val="22"/>
        </w:rPr>
        <w:t>NBER Working Papers</w:t>
      </w:r>
      <w:r w:rsidRPr="00F5028F">
        <w:rPr>
          <w:noProof/>
          <w:szCs w:val="22"/>
        </w:rPr>
        <w:t xml:space="preserve"> 21431, National Bureau of Economic Research. </w:t>
      </w:r>
      <w:hyperlink r:id="rId123" w:history="1">
        <w:r w:rsidRPr="00F5028F">
          <w:rPr>
            <w:rStyle w:val="Hypertextovprepojenie"/>
            <w:noProof/>
            <w:szCs w:val="22"/>
          </w:rPr>
          <w:t>https://www.nber.org/papers/w21431</w:t>
        </w:r>
      </w:hyperlink>
      <w:r w:rsidRPr="00F5028F">
        <w:rPr>
          <w:noProof/>
          <w:szCs w:val="22"/>
        </w:rPr>
        <w:t xml:space="preserve"> </w:t>
      </w:r>
    </w:p>
    <w:p w14:paraId="3A169C07" w14:textId="77777777" w:rsidR="00913A5B" w:rsidRPr="00F5028F" w:rsidRDefault="00913A5B" w:rsidP="00913A5B">
      <w:pPr>
        <w:spacing w:before="160"/>
        <w:rPr>
          <w:szCs w:val="22"/>
        </w:rPr>
      </w:pPr>
      <w:r w:rsidRPr="00F5028F">
        <w:rPr>
          <w:szCs w:val="22"/>
        </w:rPr>
        <w:t xml:space="preserve">Cascio E. U. (2009), Maternal labor supply and the introduction of kinderkartens into American public schools, </w:t>
      </w:r>
      <w:r w:rsidRPr="00F5028F">
        <w:rPr>
          <w:i/>
          <w:szCs w:val="22"/>
        </w:rPr>
        <w:t>Journal of Human Resources</w:t>
      </w:r>
      <w:r w:rsidRPr="00F5028F">
        <w:rPr>
          <w:szCs w:val="22"/>
        </w:rPr>
        <w:t>, 44(1), 140-170</w:t>
      </w:r>
    </w:p>
    <w:p w14:paraId="106C8546" w14:textId="77777777" w:rsidR="00913A5B" w:rsidRPr="00F5028F" w:rsidRDefault="00913A5B" w:rsidP="00913A5B">
      <w:pPr>
        <w:pStyle w:val="Bezriadkovania"/>
        <w:rPr>
          <w:rFonts w:ascii="Arial Narrow" w:hAnsi="Arial Narrow"/>
        </w:rPr>
      </w:pPr>
      <w:r w:rsidRPr="00F5028F">
        <w:rPr>
          <w:rFonts w:ascii="Arial Narrow" w:hAnsi="Arial Narrow"/>
        </w:rPr>
        <w:t xml:space="preserve">Cederberg, M., Hartsmar, N. and Lingarde, S. (2009). </w:t>
      </w:r>
      <w:r w:rsidRPr="00F5028F">
        <w:rPr>
          <w:rFonts w:ascii="Arial Narrow" w:hAnsi="Arial Narrow"/>
          <w:i/>
          <w:iCs/>
        </w:rPr>
        <w:t>Thematic report: Socioeconomic Disadvantage</w:t>
      </w:r>
      <w:r w:rsidRPr="00F5028F">
        <w:rPr>
          <w:rFonts w:ascii="Arial Narrow" w:hAnsi="Arial Narrow"/>
        </w:rPr>
        <w:t xml:space="preserve">. Malmo University. </w:t>
      </w:r>
      <w:hyperlink r:id="rId124" w:history="1">
        <w:r w:rsidRPr="00F5028F">
          <w:rPr>
            <w:rStyle w:val="Hypertextovprepojenie"/>
            <w:rFonts w:ascii="Arial Narrow" w:hAnsi="Arial Narrow"/>
          </w:rPr>
          <w:t>http://muep.mau.se/bitstream/handle/2043/7982/ThematicSOCfinal.pdf?sequence=1</w:t>
        </w:r>
      </w:hyperlink>
      <w:r w:rsidRPr="00F5028F">
        <w:rPr>
          <w:rFonts w:ascii="Arial Narrow" w:hAnsi="Arial Narrow"/>
        </w:rPr>
        <w:t xml:space="preserve"> </w:t>
      </w:r>
    </w:p>
    <w:p w14:paraId="2E4181E8" w14:textId="77777777" w:rsidR="00913A5B" w:rsidRPr="00F5028F" w:rsidRDefault="00913A5B" w:rsidP="00913A5B">
      <w:pPr>
        <w:spacing w:before="160"/>
        <w:rPr>
          <w:szCs w:val="22"/>
        </w:rPr>
      </w:pPr>
      <w:r w:rsidRPr="00F5028F">
        <w:rPr>
          <w:szCs w:val="22"/>
        </w:rPr>
        <w:t xml:space="preserve">Cimera, R. (2011). Supported versus sheltered employment: Cumulative costs, hours worked, and wages earned. </w:t>
      </w:r>
      <w:r w:rsidRPr="00F5028F">
        <w:rPr>
          <w:i/>
          <w:szCs w:val="22"/>
        </w:rPr>
        <w:t>Journal of Vocational Rehabilitation</w:t>
      </w:r>
      <w:r w:rsidRPr="00F5028F">
        <w:rPr>
          <w:szCs w:val="22"/>
        </w:rPr>
        <w:t xml:space="preserve">. 35. 85-92. 10.3233/JVR-2011-0556. </w:t>
      </w:r>
      <w:hyperlink r:id="rId125" w:history="1">
        <w:r w:rsidRPr="00F5028F">
          <w:rPr>
            <w:rStyle w:val="Hypertextovprepojenie"/>
            <w:szCs w:val="22"/>
          </w:rPr>
          <w:t>https://www.researchgate.net/profile/Robert_Cimera/publication/260782022_Supported_versus_sheltered_employment_Cumulative_costs_hours_worked_and_wages_earned/links/00b4953231da881061000000/Supported-versus-sheltered-employment-Cumulative-costs-hours-worked-and-wages-earned.pdf</w:t>
        </w:r>
      </w:hyperlink>
    </w:p>
    <w:p w14:paraId="222172F5" w14:textId="77777777" w:rsidR="00913A5B" w:rsidRPr="00F5028F" w:rsidRDefault="00913A5B" w:rsidP="00913A5B">
      <w:pPr>
        <w:spacing w:before="160" w:after="160"/>
        <w:jc w:val="left"/>
        <w:rPr>
          <w:szCs w:val="22"/>
        </w:rPr>
      </w:pPr>
      <w:r w:rsidRPr="00F5028F">
        <w:rPr>
          <w:szCs w:val="22"/>
        </w:rPr>
        <w:t xml:space="preserve">Cohen, P. N. (2016), Maternal Age and Infant Mortality for White, Black, and Mexican Mothers in the United States, </w:t>
      </w:r>
      <w:r w:rsidRPr="00F5028F">
        <w:rPr>
          <w:i/>
          <w:szCs w:val="22"/>
        </w:rPr>
        <w:t xml:space="preserve">Sociological Science, </w:t>
      </w:r>
      <w:r w:rsidRPr="00F5028F">
        <w:rPr>
          <w:szCs w:val="22"/>
        </w:rPr>
        <w:t>3, 32-38</w:t>
      </w:r>
    </w:p>
    <w:p w14:paraId="7843D407" w14:textId="77777777" w:rsidR="00913A5B" w:rsidRPr="00F5028F" w:rsidRDefault="00913A5B" w:rsidP="00913A5B">
      <w:pPr>
        <w:rPr>
          <w:noProof/>
          <w:szCs w:val="22"/>
        </w:rPr>
      </w:pPr>
      <w:r w:rsidRPr="00F5028F">
        <w:rPr>
          <w:noProof/>
          <w:szCs w:val="22"/>
        </w:rPr>
        <w:t>Coley, R. L., Leventhal, T., Lynch, A. D., &amp; Kull, M. (2013). Poor quality housing is tied to children’s emotional and behavioral problems. Policy Research Brief, MacArthur foundation Sept.</w:t>
      </w:r>
    </w:p>
    <w:p w14:paraId="5D2A0521" w14:textId="77777777" w:rsidR="00913A5B" w:rsidRPr="00F5028F" w:rsidRDefault="00913A5B" w:rsidP="00913A5B">
      <w:pPr>
        <w:spacing w:before="160" w:after="160"/>
        <w:jc w:val="left"/>
        <w:rPr>
          <w:noProof/>
          <w:szCs w:val="22"/>
        </w:rPr>
      </w:pPr>
      <w:r w:rsidRPr="00F5028F">
        <w:rPr>
          <w:noProof/>
          <w:szCs w:val="22"/>
        </w:rPr>
        <w:t>Conger, R. D., &amp; Conger, K. J. (2002). Resilience in Midwestern families: Selected findings from the first decade of a prospective, longitudinal study. Journal of marriage and family, 64(2), 361-373</w:t>
      </w:r>
    </w:p>
    <w:p w14:paraId="3013B51B" w14:textId="77777777" w:rsidR="00913A5B" w:rsidRPr="00F5028F" w:rsidRDefault="00913A5B" w:rsidP="00913A5B">
      <w:pPr>
        <w:spacing w:before="160" w:after="160"/>
        <w:jc w:val="left"/>
        <w:rPr>
          <w:noProof/>
          <w:szCs w:val="22"/>
        </w:rPr>
      </w:pPr>
      <w:r w:rsidRPr="00F5028F">
        <w:rPr>
          <w:noProof/>
          <w:szCs w:val="22"/>
        </w:rPr>
        <w:t>Conger, R. D., Conger, K. J., &amp; Martin, M. J. (2010). Socioeconomic status, family processes, and individual development. Journal of Marriage and Family, 72(3), 685-704</w:t>
      </w:r>
    </w:p>
    <w:p w14:paraId="7F1798C8" w14:textId="77777777" w:rsidR="00913A5B" w:rsidRPr="00F5028F" w:rsidRDefault="00913A5B" w:rsidP="00913A5B">
      <w:pPr>
        <w:rPr>
          <w:szCs w:val="22"/>
        </w:rPr>
      </w:pPr>
      <w:r w:rsidRPr="00F5028F">
        <w:rPr>
          <w:szCs w:val="22"/>
        </w:rPr>
        <w:t xml:space="preserve">Cook, V. (2008), </w:t>
      </w:r>
      <w:r w:rsidRPr="00F5028F">
        <w:rPr>
          <w:i/>
          <w:szCs w:val="22"/>
        </w:rPr>
        <w:t>Second Language Learning and Language Teaching</w:t>
      </w:r>
      <w:r w:rsidRPr="00F5028F">
        <w:rPr>
          <w:szCs w:val="22"/>
        </w:rPr>
        <w:t>. London: Hodder Education.</w:t>
      </w:r>
    </w:p>
    <w:p w14:paraId="474D37E7" w14:textId="77777777" w:rsidR="00913A5B" w:rsidRPr="00F5028F" w:rsidRDefault="00913A5B" w:rsidP="00913A5B">
      <w:pPr>
        <w:rPr>
          <w:szCs w:val="22"/>
        </w:rPr>
      </w:pPr>
      <w:r w:rsidRPr="00F5028F">
        <w:rPr>
          <w:szCs w:val="22"/>
        </w:rPr>
        <w:t xml:space="preserve">Courtade G. and Browder M. D. (2016). </w:t>
      </w:r>
      <w:r w:rsidRPr="00F5028F">
        <w:rPr>
          <w:i/>
          <w:iCs/>
          <w:szCs w:val="22"/>
        </w:rPr>
        <w:t>Aligning IEPs to State Standards For Students with Moderate-to-Severe Disabilities.</w:t>
      </w:r>
      <w:r w:rsidRPr="00F5028F">
        <w:rPr>
          <w:szCs w:val="22"/>
        </w:rPr>
        <w:t xml:space="preserve"> Wisconsin: Attainment Company. </w:t>
      </w:r>
      <w:hyperlink r:id="rId126" w:history="1">
        <w:r w:rsidRPr="00F5028F">
          <w:rPr>
            <w:rStyle w:val="Hypertextovprepojenie"/>
            <w:szCs w:val="22"/>
          </w:rPr>
          <w:t>https://www.attainmentcompany.com/dcat/samples/AIlign-IEPs-Sample.pdf</w:t>
        </w:r>
      </w:hyperlink>
    </w:p>
    <w:p w14:paraId="78666D82" w14:textId="055E4F23" w:rsidR="00913A5B" w:rsidRPr="00F5028F" w:rsidRDefault="00913A5B" w:rsidP="00913A5B">
      <w:pPr>
        <w:spacing w:before="160" w:after="160"/>
        <w:jc w:val="left"/>
        <w:rPr>
          <w:szCs w:val="22"/>
        </w:rPr>
      </w:pPr>
      <w:r w:rsidRPr="00F5028F">
        <w:rPr>
          <w:rStyle w:val="Hypertextovprepojenie"/>
          <w:color w:val="auto"/>
          <w:szCs w:val="22"/>
          <w:u w:val="none"/>
        </w:rPr>
        <w:t xml:space="preserve">CVEK (2018), </w:t>
      </w:r>
      <w:r w:rsidRPr="00F5028F">
        <w:rPr>
          <w:rStyle w:val="Hypertextovprepojenie"/>
          <w:i/>
          <w:color w:val="auto"/>
          <w:szCs w:val="22"/>
          <w:u w:val="none"/>
        </w:rPr>
        <w:t>Monitorovacia správa občianskej spoločnosti o implementácii národnej stratégie integrácie Rómov na Slovensku</w:t>
      </w:r>
      <w:r w:rsidR="0000122A" w:rsidRPr="00F5028F">
        <w:rPr>
          <w:rStyle w:val="Hypertextovprepojenie"/>
          <w:i/>
          <w:color w:val="auto"/>
          <w:szCs w:val="22"/>
          <w:u w:val="none"/>
        </w:rPr>
        <w:t xml:space="preserve">, </w:t>
      </w:r>
      <w:hyperlink r:id="rId127" w:history="1">
        <w:r w:rsidR="0000122A" w:rsidRPr="00F5028F">
          <w:rPr>
            <w:rStyle w:val="Hypertextovprepojenie"/>
            <w:szCs w:val="22"/>
          </w:rPr>
          <w:t>http://cvek.sk/monitorovacia-sprava-obcianskej-spolocnosti-o-implementacii-narodnej-strategie-integracie-romov-na-slovensku/</w:t>
        </w:r>
      </w:hyperlink>
      <w:r w:rsidRPr="00F5028F">
        <w:rPr>
          <w:rStyle w:val="Hypertextovprepojenie"/>
          <w:color w:val="auto"/>
          <w:szCs w:val="22"/>
          <w:u w:val="none"/>
        </w:rPr>
        <w:t xml:space="preserve"> </w:t>
      </w:r>
    </w:p>
    <w:p w14:paraId="0C841734" w14:textId="77777777" w:rsidR="00913A5B" w:rsidRPr="00F5028F" w:rsidRDefault="00913A5B" w:rsidP="00913A5B">
      <w:pPr>
        <w:spacing w:before="160"/>
        <w:rPr>
          <w:szCs w:val="22"/>
        </w:rPr>
      </w:pPr>
      <w:r w:rsidRPr="00F5028F">
        <w:rPr>
          <w:szCs w:val="22"/>
        </w:rPr>
        <w:t xml:space="preserve">Del Boca D., S. Pasqua a C. Pronzato (2008), Market work and motherhood decisions in contexts, </w:t>
      </w:r>
      <w:r w:rsidRPr="00F5028F">
        <w:rPr>
          <w:i/>
          <w:szCs w:val="22"/>
        </w:rPr>
        <w:t>IZA Disucssion Paper Series</w:t>
      </w:r>
      <w:r w:rsidRPr="00F5028F">
        <w:rPr>
          <w:szCs w:val="22"/>
        </w:rPr>
        <w:t xml:space="preserve">, No. 3303: </w:t>
      </w:r>
      <w:hyperlink r:id="rId128" w:history="1">
        <w:r w:rsidRPr="00F5028F">
          <w:rPr>
            <w:rStyle w:val="Hypertextovprepojenie"/>
            <w:szCs w:val="22"/>
          </w:rPr>
          <w:t>https://www.econstor.eu/bitstream/10419/35007/1/559459408.pdf</w:t>
        </w:r>
      </w:hyperlink>
      <w:r w:rsidRPr="00F5028F">
        <w:rPr>
          <w:szCs w:val="22"/>
        </w:rPr>
        <w:t xml:space="preserve"> </w:t>
      </w:r>
    </w:p>
    <w:p w14:paraId="427AECD9" w14:textId="77777777" w:rsidR="00913A5B" w:rsidRPr="00F5028F" w:rsidRDefault="00913A5B" w:rsidP="00913A5B">
      <w:pPr>
        <w:spacing w:before="160"/>
        <w:rPr>
          <w:szCs w:val="22"/>
        </w:rPr>
      </w:pPr>
      <w:r w:rsidRPr="00F5028F">
        <w:rPr>
          <w:szCs w:val="22"/>
        </w:rPr>
        <w:t xml:space="preserve">Dessemontet, R. S., &amp; Bless, G. (2013). The impact of including children with intellectual disability in general education classrooms on the academic achievement of their low-, average-, and highachieving peers. </w:t>
      </w:r>
      <w:r w:rsidRPr="00F5028F">
        <w:rPr>
          <w:i/>
          <w:iCs/>
          <w:szCs w:val="22"/>
        </w:rPr>
        <w:t>Journal of Intellectual and Developmental Disability</w:t>
      </w:r>
      <w:r w:rsidRPr="00F5028F">
        <w:rPr>
          <w:szCs w:val="22"/>
        </w:rPr>
        <w:t xml:space="preserve">, 38(1), 23–30 </w:t>
      </w:r>
    </w:p>
    <w:p w14:paraId="00DD1B33" w14:textId="58A5095A" w:rsidR="00913A5B" w:rsidRPr="00F5028F" w:rsidRDefault="00913A5B" w:rsidP="00913A5B">
      <w:pPr>
        <w:spacing w:before="160" w:after="160"/>
        <w:jc w:val="left"/>
        <w:rPr>
          <w:szCs w:val="22"/>
        </w:rPr>
      </w:pPr>
      <w:r w:rsidRPr="00F5028F">
        <w:rPr>
          <w:szCs w:val="22"/>
        </w:rPr>
        <w:t xml:space="preserve">Dobrova-Krol, a kol. (2019). </w:t>
      </w:r>
      <w:r w:rsidRPr="00F5028F">
        <w:rPr>
          <w:i/>
          <w:szCs w:val="22"/>
        </w:rPr>
        <w:t>Early Childhood Intervention in Bulgaria, Hungary, Poland, Ro</w:t>
      </w:r>
      <w:r w:rsidR="00A03E59">
        <w:rPr>
          <w:i/>
          <w:szCs w:val="22"/>
        </w:rPr>
        <w:t>mania and Slovakia: A situation</w:t>
      </w:r>
      <w:r w:rsidRPr="00F5028F">
        <w:rPr>
          <w:i/>
          <w:szCs w:val="22"/>
        </w:rPr>
        <w:t xml:space="preserve"> analysis based on the Developmental Systems Model.</w:t>
      </w:r>
      <w:r w:rsidRPr="00F5028F">
        <w:rPr>
          <w:szCs w:val="22"/>
        </w:rPr>
        <w:t xml:space="preserve"> Luxembourg: Eurlyaid. </w:t>
      </w:r>
      <w:hyperlink r:id="rId129" w:history="1">
        <w:r w:rsidR="0000122A" w:rsidRPr="00F5028F">
          <w:rPr>
            <w:rStyle w:val="Hypertextovprepojenie"/>
            <w:szCs w:val="22"/>
          </w:rPr>
          <w:t>https://www.eurlyaid.eu/wp-content/uploads/2019/12/2019-12-Agora-project-summary-report-A4-version.pdf</w:t>
        </w:r>
      </w:hyperlink>
      <w:r w:rsidR="0000122A" w:rsidRPr="00F5028F">
        <w:rPr>
          <w:szCs w:val="22"/>
        </w:rPr>
        <w:t xml:space="preserve"> </w:t>
      </w:r>
    </w:p>
    <w:p w14:paraId="3D692940" w14:textId="77777777" w:rsidR="00913A5B" w:rsidRPr="00F5028F" w:rsidRDefault="00913A5B" w:rsidP="00913A5B">
      <w:pPr>
        <w:spacing w:before="160" w:after="160"/>
        <w:jc w:val="left"/>
        <w:rPr>
          <w:szCs w:val="22"/>
        </w:rPr>
      </w:pPr>
      <w:r w:rsidRPr="00F5028F">
        <w:rPr>
          <w:szCs w:val="22"/>
        </w:rPr>
        <w:t xml:space="preserve">Downes, P., E. Nairs-Wirth, V. Rusinaite (2017), </w:t>
      </w:r>
      <w:r w:rsidRPr="00F5028F">
        <w:rPr>
          <w:i/>
          <w:szCs w:val="22"/>
        </w:rPr>
        <w:t>Structural indicators for inclusive systems in and around schools</w:t>
      </w:r>
      <w:r w:rsidRPr="00F5028F">
        <w:rPr>
          <w:szCs w:val="22"/>
        </w:rPr>
        <w:t xml:space="preserve">, NESET II report, Publications office of the European Union, Luxembourg </w:t>
      </w:r>
      <w:hyperlink r:id="rId130" w:history="1">
        <w:r w:rsidRPr="00F5028F">
          <w:rPr>
            <w:rStyle w:val="Hypertextovprepojenie"/>
            <w:szCs w:val="22"/>
          </w:rPr>
          <w:t>http://nesetweb.eu/NESETII_Structural_Indicators.pdf</w:t>
        </w:r>
      </w:hyperlink>
    </w:p>
    <w:p w14:paraId="06605F29" w14:textId="6B69B035" w:rsidR="00913A5B" w:rsidRPr="00F5028F" w:rsidRDefault="00913A5B" w:rsidP="00913A5B">
      <w:pPr>
        <w:spacing w:before="160" w:after="160"/>
        <w:jc w:val="left"/>
        <w:rPr>
          <w:szCs w:val="22"/>
        </w:rPr>
      </w:pPr>
      <w:r w:rsidRPr="00F5028F">
        <w:rPr>
          <w:szCs w:val="22"/>
        </w:rPr>
        <w:t>Dráb J., J. Mikudová, V. Antalová a M. Bendíková (2019</w:t>
      </w:r>
      <w:r w:rsidRPr="00F5028F">
        <w:rPr>
          <w:i/>
          <w:szCs w:val="22"/>
        </w:rPr>
        <w:t>), Práca s ľuďmi bez domova prináša ovocie celej spoločnosti</w:t>
      </w:r>
      <w:r w:rsidRPr="00F5028F">
        <w:rPr>
          <w:szCs w:val="22"/>
        </w:rPr>
        <w:t>, Inštitút environmentálnej politiky</w:t>
      </w:r>
      <w:r w:rsidR="0000122A" w:rsidRPr="00F5028F">
        <w:rPr>
          <w:szCs w:val="22"/>
        </w:rPr>
        <w:t xml:space="preserve">, </w:t>
      </w:r>
      <w:hyperlink r:id="rId131" w:history="1">
        <w:r w:rsidR="0000122A" w:rsidRPr="00F5028F">
          <w:rPr>
            <w:rStyle w:val="Hypertextovprepojenie"/>
            <w:szCs w:val="22"/>
          </w:rPr>
          <w:t>https://www.minzp.sk/iep/publikacie/ekonomicke-analyzy/praca-ludmi-bez-domova-prinasa-ovocie-celej-spolocnosti.html</w:t>
        </w:r>
      </w:hyperlink>
    </w:p>
    <w:p w14:paraId="3A2F5DD8" w14:textId="77777777" w:rsidR="00913A5B" w:rsidRPr="00F5028F" w:rsidRDefault="00913A5B" w:rsidP="00913A5B">
      <w:pPr>
        <w:spacing w:before="160" w:after="160"/>
        <w:jc w:val="left"/>
        <w:rPr>
          <w:szCs w:val="22"/>
        </w:rPr>
      </w:pPr>
      <w:r w:rsidRPr="00F5028F">
        <w:rPr>
          <w:szCs w:val="22"/>
        </w:rPr>
        <w:t xml:space="preserve">Duncan, I.D. and B. Duncan (1975), Residential Distribution and Occupational Stratification, in C. Peach et al. (eds.), </w:t>
      </w:r>
      <w:r w:rsidRPr="00F5028F">
        <w:rPr>
          <w:i/>
          <w:szCs w:val="22"/>
        </w:rPr>
        <w:t>Urban Racial Segregation</w:t>
      </w:r>
      <w:r w:rsidRPr="00F5028F">
        <w:rPr>
          <w:szCs w:val="22"/>
        </w:rPr>
        <w:t>, Longman, London.</w:t>
      </w:r>
    </w:p>
    <w:p w14:paraId="462FF8EA" w14:textId="77777777" w:rsidR="00913A5B" w:rsidRPr="00F5028F" w:rsidRDefault="00913A5B" w:rsidP="00913A5B">
      <w:pPr>
        <w:spacing w:before="160" w:after="160"/>
        <w:jc w:val="left"/>
        <w:rPr>
          <w:i/>
          <w:szCs w:val="22"/>
        </w:rPr>
      </w:pPr>
      <w:r w:rsidRPr="00F5028F">
        <w:rPr>
          <w:rStyle w:val="CitciaHTML"/>
          <w:szCs w:val="22"/>
        </w:rPr>
        <w:t xml:space="preserve">Durlak, J.A.; Weissberg, R.P.; Pachan, M. (2010). </w:t>
      </w:r>
      <w:r w:rsidRPr="00F5028F">
        <w:rPr>
          <w:rStyle w:val="CitciaHTML"/>
          <w:i w:val="0"/>
          <w:szCs w:val="22"/>
        </w:rPr>
        <w:t>A meta-analysis of after-school programs that seek to promote personal and social skills in children and adolescents.</w:t>
      </w:r>
      <w:r w:rsidRPr="00F5028F">
        <w:rPr>
          <w:rStyle w:val="CitciaHTML"/>
          <w:szCs w:val="22"/>
        </w:rPr>
        <w:t xml:space="preserve"> American Journal of Community Psychology. </w:t>
      </w:r>
      <w:r w:rsidRPr="00F5028F">
        <w:rPr>
          <w:rStyle w:val="CitciaHTML"/>
          <w:bCs/>
          <w:i w:val="0"/>
          <w:szCs w:val="22"/>
        </w:rPr>
        <w:t>45</w:t>
      </w:r>
      <w:r w:rsidRPr="00F5028F">
        <w:rPr>
          <w:rStyle w:val="CitciaHTML"/>
          <w:i w:val="0"/>
          <w:szCs w:val="22"/>
        </w:rPr>
        <w:t xml:space="preserve"> (3–4)</w:t>
      </w:r>
    </w:p>
    <w:p w14:paraId="396D13DB" w14:textId="77777777" w:rsidR="00913A5B" w:rsidRPr="00F5028F" w:rsidRDefault="00913A5B" w:rsidP="00913A5B">
      <w:pPr>
        <w:spacing w:before="160" w:after="160"/>
        <w:jc w:val="left"/>
        <w:rPr>
          <w:noProof/>
          <w:szCs w:val="22"/>
        </w:rPr>
      </w:pPr>
      <w:r w:rsidRPr="00F5028F">
        <w:rPr>
          <w:noProof/>
          <w:szCs w:val="22"/>
        </w:rPr>
        <w:t>Duval, E. R., Garfinkel, S. N., Swain, J. E., Evans, G. W., Blackburn, E. K., Angstadt, M., Sripada, S. Ch. a Liberzon, I. (2017). Childhood poverty is associated with altered hippocampal function and visuospatial memory in adulthood. Developmental cognitive neuroscience, 23, 39-44</w:t>
      </w:r>
    </w:p>
    <w:p w14:paraId="289F9326" w14:textId="77777777" w:rsidR="00913A5B" w:rsidRPr="00F5028F" w:rsidRDefault="00913A5B" w:rsidP="00913A5B">
      <w:pPr>
        <w:spacing w:before="160" w:after="160"/>
        <w:jc w:val="left"/>
        <w:rPr>
          <w:szCs w:val="22"/>
        </w:rPr>
      </w:pPr>
      <w:r w:rsidRPr="00F5028F">
        <w:rPr>
          <w:szCs w:val="22"/>
        </w:rPr>
        <w:t xml:space="preserve">Eardley, T. (2003). </w:t>
      </w:r>
      <w:r w:rsidRPr="00F5028F">
        <w:rPr>
          <w:i/>
          <w:szCs w:val="22"/>
        </w:rPr>
        <w:t>Outsourcing Employment Services: What Have We Learned From The Job Network</w:t>
      </w:r>
      <w:r w:rsidRPr="00F5028F">
        <w:rPr>
          <w:szCs w:val="22"/>
        </w:rPr>
        <w:t xml:space="preserve">. </w:t>
      </w:r>
      <w:hyperlink r:id="rId132" w:history="1">
        <w:r w:rsidRPr="00F5028F">
          <w:rPr>
            <w:rStyle w:val="Hypertextovprepojenie"/>
            <w:szCs w:val="22"/>
          </w:rPr>
          <w:t>https://www.researchgate.net/publication/228928956_Outsourcing_Employment_Services_What_Have_We_Learned_From_The_Job_Network</w:t>
        </w:r>
      </w:hyperlink>
    </w:p>
    <w:p w14:paraId="0CDCE370" w14:textId="77777777" w:rsidR="00913A5B" w:rsidRPr="00F5028F" w:rsidRDefault="00913A5B" w:rsidP="00913A5B">
      <w:pPr>
        <w:spacing w:before="160" w:after="160"/>
        <w:jc w:val="left"/>
        <w:rPr>
          <w:szCs w:val="22"/>
        </w:rPr>
      </w:pPr>
      <w:r w:rsidRPr="00F5028F">
        <w:rPr>
          <w:szCs w:val="22"/>
        </w:rPr>
        <w:t xml:space="preserve">Edgar. B., M. Harrison, P. Watson a V. Busch-Geertsema (2007), Measurement of Homelessness at european Union Level: </w:t>
      </w:r>
      <w:hyperlink r:id="rId133" w:history="1">
        <w:r w:rsidRPr="00F5028F">
          <w:rPr>
            <w:rStyle w:val="Hypertextovprepojenie"/>
            <w:szCs w:val="22"/>
          </w:rPr>
          <w:t>https://ec.europa.eu/employment_social/social_inclusion/docs/2007/study_homelessness_en.pdf</w:t>
        </w:r>
      </w:hyperlink>
      <w:r w:rsidRPr="00F5028F">
        <w:rPr>
          <w:szCs w:val="22"/>
        </w:rPr>
        <w:t xml:space="preserve"> </w:t>
      </w:r>
    </w:p>
    <w:p w14:paraId="110DEFDF" w14:textId="77777777" w:rsidR="00913A5B" w:rsidRPr="00F5028F" w:rsidRDefault="00913A5B" w:rsidP="00913A5B">
      <w:pPr>
        <w:spacing w:before="160" w:after="160"/>
        <w:jc w:val="left"/>
        <w:rPr>
          <w:szCs w:val="22"/>
        </w:rPr>
      </w:pPr>
      <w:r w:rsidRPr="00F5028F">
        <w:rPr>
          <w:szCs w:val="22"/>
        </w:rPr>
        <w:t xml:space="preserve">Emanuelsson, I. (2001) Reactive versus proactive support coordinator roles: an international comparison, </w:t>
      </w:r>
      <w:r w:rsidRPr="00F5028F">
        <w:rPr>
          <w:i/>
          <w:szCs w:val="22"/>
        </w:rPr>
        <w:t>European Journal of Special Needs Education</w:t>
      </w:r>
      <w:r w:rsidRPr="00F5028F">
        <w:rPr>
          <w:szCs w:val="22"/>
        </w:rPr>
        <w:t>, 16 (2), 133-142</w:t>
      </w:r>
    </w:p>
    <w:p w14:paraId="5EB7E99E" w14:textId="77777777" w:rsidR="00913A5B" w:rsidRPr="00F5028F" w:rsidRDefault="00913A5B" w:rsidP="00913A5B">
      <w:pPr>
        <w:spacing w:before="160" w:after="160"/>
        <w:jc w:val="left"/>
        <w:rPr>
          <w:rStyle w:val="Hypertextovprepojenie"/>
          <w:szCs w:val="22"/>
        </w:rPr>
      </w:pPr>
      <w:r w:rsidRPr="00F5028F">
        <w:rPr>
          <w:szCs w:val="22"/>
        </w:rPr>
        <w:t xml:space="preserve">European Commission/EACEA/Eurydice/Eurostat, 2014. </w:t>
      </w:r>
      <w:r w:rsidRPr="00F5028F">
        <w:rPr>
          <w:i/>
          <w:iCs/>
          <w:szCs w:val="22"/>
        </w:rPr>
        <w:t>Key Data on Early Childhood Education and Care in Europe. 2014 Edition</w:t>
      </w:r>
      <w:r w:rsidRPr="00F5028F">
        <w:rPr>
          <w:szCs w:val="22"/>
        </w:rPr>
        <w:t xml:space="preserve">. Eurydice and Eurostat Report. Luxembourg: Publications Office of the European Union. </w:t>
      </w:r>
      <w:hyperlink r:id="rId134" w:history="1">
        <w:r w:rsidRPr="00F5028F">
          <w:rPr>
            <w:rStyle w:val="Hypertextovprepojenie"/>
            <w:szCs w:val="22"/>
          </w:rPr>
          <w:t>file:///C:/Users/micha/Downloads/gp_daily_WEB_EC0114484ENC_002.pdf.en.pdf</w:t>
        </w:r>
      </w:hyperlink>
    </w:p>
    <w:p w14:paraId="508A47A9" w14:textId="7B8FAB8C" w:rsidR="00913A5B" w:rsidRPr="00F5028F" w:rsidRDefault="00913A5B" w:rsidP="00913A5B">
      <w:pPr>
        <w:pStyle w:val="Bezriadkovania"/>
        <w:spacing w:before="160" w:after="160"/>
        <w:rPr>
          <w:rFonts w:ascii="Arial Narrow" w:hAnsi="Arial Narrow"/>
        </w:rPr>
      </w:pPr>
      <w:r w:rsidRPr="00F5028F">
        <w:rPr>
          <w:rFonts w:ascii="Arial Narrow" w:hAnsi="Arial Narrow"/>
        </w:rPr>
        <w:t xml:space="preserve">Európska agentúra </w:t>
      </w:r>
      <w:r w:rsidR="00A03E59">
        <w:rPr>
          <w:rFonts w:ascii="Arial Narrow" w:hAnsi="Arial Narrow"/>
        </w:rPr>
        <w:t xml:space="preserve">pre rozvoj vzdelávania osôb so </w:t>
      </w:r>
      <w:r w:rsidRPr="00F5028F">
        <w:rPr>
          <w:rFonts w:ascii="Arial Narrow" w:hAnsi="Arial Narrow"/>
        </w:rPr>
        <w:t xml:space="preserve">špeciálnymi </w:t>
      </w:r>
      <w:r w:rsidR="00A03E59">
        <w:rPr>
          <w:rFonts w:ascii="Arial Narrow" w:hAnsi="Arial Narrow"/>
        </w:rPr>
        <w:t xml:space="preserve">vzdelávacími potrebami (2013). </w:t>
      </w:r>
      <w:r w:rsidRPr="00F5028F">
        <w:rPr>
          <w:rFonts w:ascii="Arial Narrow" w:hAnsi="Arial Narrow"/>
          <w:i/>
        </w:rPr>
        <w:t>Európske modely úspešnej</w:t>
      </w:r>
      <w:r w:rsidR="00A03E59">
        <w:rPr>
          <w:rFonts w:ascii="Arial Narrow" w:hAnsi="Arial Narrow"/>
          <w:i/>
        </w:rPr>
        <w:t xml:space="preserve"> praxe v odbornom vzdelávaní a </w:t>
      </w:r>
      <w:r w:rsidRPr="00F5028F">
        <w:rPr>
          <w:rFonts w:ascii="Arial Narrow" w:hAnsi="Arial Narrow"/>
          <w:i/>
        </w:rPr>
        <w:t>príprave – Účasť žiakov so špeciálnymi vzdelávacími potrebami/zdravotným postihnutím na odbornom vzdelávaní a príprave.</w:t>
      </w:r>
      <w:r w:rsidRPr="00F5028F">
        <w:rPr>
          <w:rFonts w:ascii="Arial Narrow" w:hAnsi="Arial Narrow"/>
        </w:rPr>
        <w:t xml:space="preserve"> Odense, Dánsko: EASNIE. </w:t>
      </w:r>
      <w:hyperlink r:id="rId135" w:history="1">
        <w:r w:rsidRPr="00F5028F">
          <w:rPr>
            <w:rStyle w:val="Hypertextovprepojenie"/>
            <w:rFonts w:ascii="Arial Narrow" w:hAnsi="Arial Narrow"/>
          </w:rPr>
          <w:t>https://www.european-agency.org/sites/default/files/european-patterns-of-successful-practice-in-vet_VET-Report_SK.pdf</w:t>
        </w:r>
      </w:hyperlink>
      <w:r w:rsidRPr="00F5028F">
        <w:rPr>
          <w:rFonts w:ascii="Arial Narrow" w:hAnsi="Arial Narrow"/>
        </w:rPr>
        <w:t xml:space="preserve"> </w:t>
      </w:r>
    </w:p>
    <w:p w14:paraId="63EC027F" w14:textId="2C6221CD" w:rsidR="00913A5B" w:rsidRPr="00F5028F" w:rsidRDefault="00913A5B" w:rsidP="00913A5B">
      <w:pPr>
        <w:pStyle w:val="Bezriadkovania"/>
        <w:spacing w:before="160" w:after="160"/>
        <w:rPr>
          <w:rFonts w:ascii="Arial Narrow" w:hAnsi="Arial Narrow"/>
        </w:rPr>
      </w:pPr>
      <w:r w:rsidRPr="00F5028F">
        <w:rPr>
          <w:rFonts w:ascii="Arial Narrow" w:hAnsi="Arial Narrow"/>
        </w:rPr>
        <w:t xml:space="preserve">Európska agentúra </w:t>
      </w:r>
      <w:r w:rsidR="00A03E59">
        <w:rPr>
          <w:rFonts w:ascii="Arial Narrow" w:hAnsi="Arial Narrow"/>
        </w:rPr>
        <w:t xml:space="preserve">pre rozvoj vzdelávania osôb so </w:t>
      </w:r>
      <w:r w:rsidRPr="00F5028F">
        <w:rPr>
          <w:rFonts w:ascii="Arial Narrow" w:hAnsi="Arial Narrow"/>
        </w:rPr>
        <w:t xml:space="preserve">špeciálnymi vzdelávacími potrebami (2014). </w:t>
      </w:r>
      <w:r w:rsidRPr="00F5028F">
        <w:rPr>
          <w:rFonts w:ascii="Arial Narrow" w:hAnsi="Arial Narrow"/>
          <w:i/>
        </w:rPr>
        <w:t xml:space="preserve">Vocational Education and Training – Summary of Country Information. </w:t>
      </w:r>
      <w:r w:rsidRPr="00F5028F">
        <w:rPr>
          <w:rFonts w:ascii="Arial Narrow" w:hAnsi="Arial Narrow"/>
        </w:rPr>
        <w:t xml:space="preserve">Odense, Denmark: EASNIE. </w:t>
      </w:r>
      <w:hyperlink r:id="rId136" w:history="1">
        <w:r w:rsidRPr="00F5028F">
          <w:rPr>
            <w:rStyle w:val="Hypertextovprepojenie"/>
            <w:rFonts w:ascii="Arial Narrow" w:hAnsi="Arial Narrow"/>
          </w:rPr>
          <w:t>https://www.european</w:t>
        </w:r>
      </w:hyperlink>
      <w:r w:rsidRPr="00F5028F">
        <w:rPr>
          <w:rFonts w:ascii="Arial Narrow" w:hAnsi="Arial Narrow"/>
        </w:rPr>
        <w:t xml:space="preserve"> agency.org/sites/default/files/VET%20Summary%20of%20Country%20information%202014.pdf</w:t>
      </w:r>
    </w:p>
    <w:p w14:paraId="7028B5C0" w14:textId="77777777" w:rsidR="00913A5B" w:rsidRPr="00F5028F" w:rsidRDefault="00913A5B" w:rsidP="00913A5B">
      <w:pPr>
        <w:pStyle w:val="Bezriadkovania"/>
        <w:spacing w:before="160" w:after="160"/>
        <w:rPr>
          <w:rStyle w:val="Hypertextovprepojenie"/>
          <w:rFonts w:ascii="Arial Narrow" w:hAnsi="Arial Narrow"/>
        </w:rPr>
      </w:pPr>
      <w:r w:rsidRPr="00F5028F">
        <w:rPr>
          <w:rFonts w:ascii="Arial Narrow" w:hAnsi="Arial Narrow"/>
        </w:rPr>
        <w:t xml:space="preserve">Európska agentúra pre špeciálne potreby a inkluzívne vzdelávanie (2003). </w:t>
      </w:r>
      <w:r w:rsidRPr="00F5028F">
        <w:rPr>
          <w:rFonts w:ascii="Arial Narrow" w:hAnsi="Arial Narrow"/>
          <w:i/>
          <w:iCs/>
        </w:rPr>
        <w:t>Special Needs Education in Europe.</w:t>
      </w:r>
      <w:r w:rsidRPr="00F5028F">
        <w:rPr>
          <w:rFonts w:ascii="Arial Narrow" w:hAnsi="Arial Narrow"/>
        </w:rPr>
        <w:t xml:space="preserve"> Odense, Denmark: EASNIE. </w:t>
      </w:r>
      <w:hyperlink r:id="rId137" w:history="1">
        <w:r w:rsidRPr="00F5028F">
          <w:rPr>
            <w:rStyle w:val="Hypertextovprepojenie"/>
            <w:rFonts w:ascii="Arial Narrow" w:hAnsi="Arial Narrow"/>
          </w:rPr>
          <w:t>https://www.european-agency.org/sites/default/files/special-needs-education-in-europe_sne_europe_en.pdf</w:t>
        </w:r>
      </w:hyperlink>
    </w:p>
    <w:p w14:paraId="64D16B01" w14:textId="77777777" w:rsidR="00913A5B" w:rsidRPr="00F5028F" w:rsidRDefault="00913A5B" w:rsidP="00913A5B">
      <w:pPr>
        <w:pStyle w:val="Bezriadkovania"/>
        <w:spacing w:before="160" w:after="160"/>
        <w:rPr>
          <w:rFonts w:ascii="Arial Narrow" w:hAnsi="Arial Narrow"/>
        </w:rPr>
      </w:pPr>
      <w:r w:rsidRPr="00F5028F">
        <w:rPr>
          <w:rFonts w:ascii="Arial Narrow" w:hAnsi="Arial Narrow"/>
        </w:rPr>
        <w:t xml:space="preserve">Európska agentúra pre špeciálne potreby a inkluzívne vzdelávanie (2011) </w:t>
      </w:r>
      <w:r w:rsidRPr="00F5028F">
        <w:rPr>
          <w:rFonts w:ascii="Arial Narrow" w:hAnsi="Arial Narrow"/>
          <w:i/>
        </w:rPr>
        <w:t>Mapping the Implementation of Policy for Inclusive Education: An exploration of challenges and opportunities for developing indicators.</w:t>
      </w:r>
      <w:r w:rsidRPr="00F5028F">
        <w:rPr>
          <w:rFonts w:ascii="Arial Narrow" w:hAnsi="Arial Narrow"/>
        </w:rPr>
        <w:t xml:space="preserve"> Odense, Denmark: EASNIE. </w:t>
      </w:r>
      <w:hyperlink r:id="rId138" w:history="1">
        <w:r w:rsidRPr="00F5028F">
          <w:rPr>
            <w:rStyle w:val="Hypertextovprepojenie"/>
            <w:rFonts w:ascii="Arial Narrow" w:hAnsi="Arial Narrow"/>
          </w:rPr>
          <w:t>https://www.european-agency.org/sites/default/files/mipie-report_0.pdf</w:t>
        </w:r>
      </w:hyperlink>
    </w:p>
    <w:p w14:paraId="5102E0B3" w14:textId="77777777" w:rsidR="00913A5B" w:rsidRPr="00F5028F" w:rsidRDefault="00913A5B" w:rsidP="00913A5B">
      <w:pPr>
        <w:pStyle w:val="Bezriadkovania"/>
        <w:spacing w:before="160" w:after="160"/>
        <w:rPr>
          <w:rFonts w:ascii="Arial Narrow" w:hAnsi="Arial Narrow"/>
        </w:rPr>
      </w:pPr>
      <w:r w:rsidRPr="00F5028F">
        <w:rPr>
          <w:rFonts w:ascii="Arial Narrow" w:hAnsi="Arial Narrow"/>
        </w:rPr>
        <w:t xml:space="preserve">Európska agentúra pre špeciálne potreby a inkluzívne vzdelávanie (2011) </w:t>
      </w:r>
      <w:r w:rsidRPr="00F5028F">
        <w:rPr>
          <w:rFonts w:ascii="Arial Narrow" w:hAnsi="Arial Narrow"/>
          <w:i/>
        </w:rPr>
        <w:t>Participation in Inclusive Education – A Framework for Developing Indicators</w:t>
      </w:r>
      <w:r w:rsidRPr="00F5028F">
        <w:rPr>
          <w:rFonts w:ascii="Arial Narrow" w:hAnsi="Arial Narrow"/>
        </w:rPr>
        <w:t xml:space="preserve">, Odense, Denmark: EASNIE. </w:t>
      </w:r>
      <w:hyperlink r:id="rId139" w:history="1">
        <w:r w:rsidRPr="00F5028F">
          <w:rPr>
            <w:rStyle w:val="Hypertextovprepojenie"/>
            <w:rFonts w:ascii="Arial Narrow" w:hAnsi="Arial Narrow"/>
          </w:rPr>
          <w:t>https://www.european-agency.org/sites/default/files/participation-in-inclusive-education-a-framework-for-developing-indicators_Participation-in-Inclusive-Education.pdf</w:t>
        </w:r>
      </w:hyperlink>
    </w:p>
    <w:p w14:paraId="76731CF9" w14:textId="77777777" w:rsidR="00913A5B" w:rsidRPr="00F5028F" w:rsidRDefault="00913A5B" w:rsidP="00913A5B">
      <w:pPr>
        <w:pStyle w:val="Bezriadkovania"/>
        <w:spacing w:before="160" w:after="160"/>
        <w:rPr>
          <w:rFonts w:ascii="Arial Narrow" w:hAnsi="Arial Narrow"/>
        </w:rPr>
      </w:pPr>
      <w:r w:rsidRPr="00F5028F">
        <w:rPr>
          <w:rFonts w:ascii="Arial Narrow" w:hAnsi="Arial Narrow"/>
        </w:rPr>
        <w:t xml:space="preserve">Európska agentúra pre špeciálne potreby a inkluzívne vzdelávanie (2016). </w:t>
      </w:r>
      <w:r w:rsidRPr="00F5028F">
        <w:rPr>
          <w:rFonts w:ascii="Arial Narrow" w:hAnsi="Arial Narrow"/>
          <w:i/>
          <w:iCs/>
        </w:rPr>
        <w:t>Financing of Inclusive Education: Mapping Country Systems for Inclusive Education. (S. Ebersold, ed.).</w:t>
      </w:r>
      <w:r w:rsidRPr="00F5028F">
        <w:rPr>
          <w:rFonts w:ascii="Arial Narrow" w:hAnsi="Arial Narrow"/>
        </w:rPr>
        <w:t xml:space="preserve"> Odense, Denmark </w:t>
      </w:r>
    </w:p>
    <w:p w14:paraId="392B7684" w14:textId="77777777" w:rsidR="00913A5B" w:rsidRPr="00F5028F" w:rsidRDefault="00913A5B" w:rsidP="00913A5B">
      <w:pPr>
        <w:spacing w:before="160" w:after="160"/>
        <w:jc w:val="left"/>
        <w:rPr>
          <w:szCs w:val="22"/>
        </w:rPr>
      </w:pPr>
      <w:r w:rsidRPr="00F5028F">
        <w:rPr>
          <w:szCs w:val="22"/>
        </w:rPr>
        <w:t xml:space="preserve">Európska agentúra pre špeciálne potreby a inkluzívne vzdelávanie (2017). </w:t>
      </w:r>
      <w:r w:rsidRPr="00F5028F">
        <w:rPr>
          <w:i/>
          <w:iCs/>
          <w:szCs w:val="22"/>
        </w:rPr>
        <w:t>Inclusive Early Childhood Education: New Insights and Tools – Final Summary Report.</w:t>
      </w:r>
      <w:r w:rsidRPr="00F5028F">
        <w:rPr>
          <w:szCs w:val="22"/>
        </w:rPr>
        <w:t xml:space="preserve"> (M. Kyriazopoulou, P. Bartolo, E. Björck-Åkesson, C. Giné and F. Bellour, eds.). Odense, Denmark</w:t>
      </w:r>
    </w:p>
    <w:p w14:paraId="536E7BBF" w14:textId="77777777" w:rsidR="00913A5B" w:rsidRPr="00F5028F" w:rsidRDefault="00913A5B" w:rsidP="00913A5B">
      <w:pPr>
        <w:spacing w:before="160" w:after="160"/>
        <w:jc w:val="left"/>
        <w:rPr>
          <w:szCs w:val="22"/>
        </w:rPr>
      </w:pPr>
      <w:r w:rsidRPr="00F5028F">
        <w:rPr>
          <w:szCs w:val="22"/>
        </w:rPr>
        <w:t xml:space="preserve">Európska agentúra pre špeciálne potreby a inkluzívne vzdelávanie (2018). </w:t>
      </w:r>
      <w:r w:rsidRPr="00F5028F">
        <w:rPr>
          <w:i/>
          <w:iCs/>
          <w:szCs w:val="22"/>
        </w:rPr>
        <w:t>Evidence of the Link Between Inclusive Education and Social Inclusion: A Review of the Literature. (S. Symeonidou, ed.).</w:t>
      </w:r>
      <w:r w:rsidRPr="00F5028F">
        <w:rPr>
          <w:szCs w:val="22"/>
        </w:rPr>
        <w:t xml:space="preserve"> Odense, Denmark. </w:t>
      </w:r>
      <w:hyperlink r:id="rId140" w:history="1">
        <w:r w:rsidRPr="00F5028F">
          <w:rPr>
            <w:rStyle w:val="Hypertextovprepojenie"/>
            <w:szCs w:val="22"/>
          </w:rPr>
          <w:t>https://www.european-agency.org/sites/default/files/Evidence%20%E2%80%93%20A%20Review%20of%20the%20Literature_0.pdf</w:t>
        </w:r>
      </w:hyperlink>
    </w:p>
    <w:p w14:paraId="508E2767" w14:textId="77777777" w:rsidR="00913A5B" w:rsidRPr="00F5028F" w:rsidRDefault="00913A5B" w:rsidP="00913A5B">
      <w:pPr>
        <w:spacing w:before="160" w:after="160"/>
        <w:jc w:val="left"/>
        <w:rPr>
          <w:szCs w:val="22"/>
        </w:rPr>
      </w:pPr>
      <w:r w:rsidRPr="00F5028F">
        <w:rPr>
          <w:szCs w:val="22"/>
        </w:rPr>
        <w:t>Európska agentúra pre špeciálne potreby a inkluzívne vzdelávanie (2018a)</w:t>
      </w:r>
      <w:r w:rsidRPr="00F5028F">
        <w:rPr>
          <w:i/>
          <w:szCs w:val="22"/>
        </w:rPr>
        <w:t>. European Agency Statistics on Inclusive Education: 2016 Dataset Cross-Country Report</w:t>
      </w:r>
      <w:r w:rsidRPr="00F5028F">
        <w:rPr>
          <w:szCs w:val="22"/>
        </w:rPr>
        <w:t xml:space="preserve">. (J. Ramberg, A. Lénárt, and A. Watkins, eds.). Odense, Denmark. Dostupné na: </w:t>
      </w:r>
      <w:hyperlink r:id="rId141" w:history="1">
        <w:r w:rsidRPr="00F5028F">
          <w:rPr>
            <w:rStyle w:val="Hypertextovprepojenie"/>
            <w:szCs w:val="22"/>
          </w:rPr>
          <w:t>https://www.european-agency.org/data/cross-country-reports</w:t>
        </w:r>
      </w:hyperlink>
    </w:p>
    <w:p w14:paraId="788A6C29" w14:textId="77777777" w:rsidR="00913A5B" w:rsidRPr="00F5028F" w:rsidRDefault="00913A5B" w:rsidP="00913A5B">
      <w:pPr>
        <w:spacing w:before="160" w:after="160"/>
        <w:jc w:val="left"/>
        <w:rPr>
          <w:szCs w:val="22"/>
        </w:rPr>
      </w:pPr>
      <w:r w:rsidRPr="00F5028F">
        <w:rPr>
          <w:szCs w:val="22"/>
        </w:rPr>
        <w:t>Európska agentúra pre špeciálne potreby a inkluzívne vzdelávanie (2019)</w:t>
      </w:r>
      <w:r w:rsidRPr="00F5028F">
        <w:rPr>
          <w:i/>
          <w:iCs/>
          <w:szCs w:val="22"/>
        </w:rPr>
        <w:t>. Changing Role of Specialist Provision in Supporting Inclusive Education: Mapping Specialist Provision Approaches in European Countries</w:t>
      </w:r>
      <w:r w:rsidRPr="00F5028F">
        <w:rPr>
          <w:szCs w:val="22"/>
        </w:rPr>
        <w:t>. (S. Ebersold, M. Kyriazopoulou, A. Kefallinou and E. Rebollo Píriz, eds.). Odense, Denmark</w:t>
      </w:r>
    </w:p>
    <w:p w14:paraId="7164679D" w14:textId="77777777" w:rsidR="00913A5B" w:rsidRPr="00F5028F" w:rsidRDefault="00913A5B" w:rsidP="00913A5B">
      <w:pPr>
        <w:spacing w:before="160" w:after="160"/>
        <w:jc w:val="left"/>
        <w:rPr>
          <w:szCs w:val="22"/>
        </w:rPr>
      </w:pPr>
      <w:r w:rsidRPr="00F5028F">
        <w:rPr>
          <w:szCs w:val="22"/>
        </w:rPr>
        <w:t xml:space="preserve">Európska agentúra pre špeciálne potreby a inkluzívne vzdelávanie (1999). </w:t>
      </w:r>
      <w:r w:rsidRPr="00F5028F">
        <w:rPr>
          <w:i/>
          <w:iCs/>
          <w:szCs w:val="22"/>
        </w:rPr>
        <w:t xml:space="preserve">Financing of Special Needs Education. </w:t>
      </w:r>
      <w:r w:rsidRPr="00F5028F">
        <w:rPr>
          <w:szCs w:val="22"/>
        </w:rPr>
        <w:t>Odense, Denmark: EASNIE. https://www.european-agency.org/sites/default/files/financing-of-special-needs-education_Financing-EN.pdf</w:t>
      </w:r>
    </w:p>
    <w:p w14:paraId="33E7E2A7" w14:textId="77777777" w:rsidR="00913A5B" w:rsidRPr="00F5028F" w:rsidRDefault="00913A5B" w:rsidP="00913A5B">
      <w:pPr>
        <w:spacing w:before="160" w:after="160"/>
        <w:jc w:val="left"/>
        <w:rPr>
          <w:szCs w:val="22"/>
        </w:rPr>
      </w:pPr>
      <w:r w:rsidRPr="00F5028F">
        <w:rPr>
          <w:szCs w:val="22"/>
        </w:rPr>
        <w:t xml:space="preserve">Európska agentúra pre špeciálne potreby a inkluzívne vzdelávanie. </w:t>
      </w:r>
      <w:r w:rsidRPr="00F5028F">
        <w:rPr>
          <w:i/>
          <w:iCs/>
          <w:szCs w:val="22"/>
        </w:rPr>
        <w:t>Základné informácie.</w:t>
      </w:r>
      <w:r w:rsidRPr="00F5028F">
        <w:rPr>
          <w:szCs w:val="22"/>
        </w:rPr>
        <w:t xml:space="preserve"> </w:t>
      </w:r>
      <w:hyperlink r:id="rId142" w:history="1">
        <w:r w:rsidRPr="00F5028F">
          <w:rPr>
            <w:rStyle w:val="Hypertextovprepojenie"/>
            <w:szCs w:val="22"/>
          </w:rPr>
          <w:t>https://www.european-agency.org/sites/default/files/AgencyFlyer2017-SK_A4_electronic.pdf</w:t>
        </w:r>
      </w:hyperlink>
    </w:p>
    <w:p w14:paraId="61EEFACE" w14:textId="77777777" w:rsidR="00913A5B" w:rsidRPr="00F5028F" w:rsidRDefault="00913A5B" w:rsidP="00913A5B">
      <w:pPr>
        <w:spacing w:before="160" w:after="160"/>
        <w:jc w:val="left"/>
        <w:rPr>
          <w:szCs w:val="22"/>
        </w:rPr>
      </w:pPr>
      <w:r w:rsidRPr="00F5028F">
        <w:rPr>
          <w:szCs w:val="22"/>
        </w:rPr>
        <w:t>Európska komisia (2013). “</w:t>
      </w:r>
      <w:r w:rsidRPr="00F5028F">
        <w:rPr>
          <w:i/>
          <w:szCs w:val="22"/>
        </w:rPr>
        <w:t>PES Approaches for Sustainable Activation of People with Disabilities.”</w:t>
      </w:r>
      <w:r w:rsidRPr="00F5028F">
        <w:rPr>
          <w:szCs w:val="22"/>
        </w:rPr>
        <w:t xml:space="preserve"> PES to PES  Dialogue. The European Commission Mutual Learning Programme for Public Employment Services. </w:t>
      </w:r>
      <w:hyperlink r:id="rId143" w:history="1">
        <w:r w:rsidRPr="00F5028F">
          <w:rPr>
            <w:rStyle w:val="Hypertextovprepojenie"/>
            <w:szCs w:val="22"/>
          </w:rPr>
          <w:t>http://ec.europa.eu/social/BlobServlet?docId=10932&amp;langId=en</w:t>
        </w:r>
      </w:hyperlink>
    </w:p>
    <w:p w14:paraId="28189E62" w14:textId="77777777" w:rsidR="00913A5B" w:rsidRPr="00F5028F" w:rsidRDefault="00913A5B" w:rsidP="00913A5B">
      <w:pPr>
        <w:spacing w:before="160" w:after="160"/>
        <w:jc w:val="left"/>
        <w:rPr>
          <w:noProof/>
          <w:szCs w:val="22"/>
        </w:rPr>
      </w:pPr>
      <w:r w:rsidRPr="00F5028F">
        <w:rPr>
          <w:noProof/>
          <w:szCs w:val="22"/>
        </w:rPr>
        <w:t xml:space="preserve">Európska komisia (2014), </w:t>
      </w:r>
      <w:r w:rsidRPr="00F5028F">
        <w:rPr>
          <w:i/>
          <w:iCs/>
          <w:noProof/>
          <w:szCs w:val="22"/>
        </w:rPr>
        <w:t>Roma Health Report.</w:t>
      </w:r>
      <w:r w:rsidRPr="00F5028F">
        <w:rPr>
          <w:noProof/>
          <w:szCs w:val="22"/>
        </w:rPr>
        <w:t xml:space="preserve"> Brusel: Európska komisia. </w:t>
      </w:r>
      <w:hyperlink r:id="rId144" w:history="1">
        <w:r w:rsidRPr="00F5028F">
          <w:rPr>
            <w:rStyle w:val="Hypertextovprepojenie"/>
            <w:noProof/>
            <w:szCs w:val="22"/>
          </w:rPr>
          <w:t>https://eige.europa.eu/resources/2014_roma_health_report_en.pdf</w:t>
        </w:r>
      </w:hyperlink>
      <w:r w:rsidRPr="00F5028F">
        <w:rPr>
          <w:noProof/>
          <w:szCs w:val="22"/>
        </w:rPr>
        <w:t xml:space="preserve"> </w:t>
      </w:r>
    </w:p>
    <w:p w14:paraId="5380DE82" w14:textId="77777777" w:rsidR="00913A5B" w:rsidRPr="00F5028F" w:rsidRDefault="00913A5B" w:rsidP="00913A5B">
      <w:pPr>
        <w:spacing w:before="160" w:after="160"/>
        <w:jc w:val="left"/>
        <w:rPr>
          <w:szCs w:val="22"/>
        </w:rPr>
      </w:pPr>
      <w:r w:rsidRPr="00F5028F">
        <w:rPr>
          <w:szCs w:val="22"/>
        </w:rPr>
        <w:t xml:space="preserve">Európska komisia (2016). </w:t>
      </w:r>
      <w:r w:rsidRPr="00F5028F">
        <w:rPr>
          <w:i/>
          <w:iCs/>
          <w:szCs w:val="22"/>
        </w:rPr>
        <w:t>Study on the Diversity within the Teaching Profession with Particular Focus on Migrant and/or Minority Background.</w:t>
      </w:r>
      <w:r w:rsidRPr="00F5028F">
        <w:rPr>
          <w:szCs w:val="22"/>
        </w:rPr>
        <w:t xml:space="preserve"> European Commission, Directorate-General for Education, Youth, Sport and Culture Education and Training, Brussels, </w:t>
      </w:r>
      <w:hyperlink r:id="rId145" w:history="1">
        <w:r w:rsidRPr="00F5028F">
          <w:rPr>
            <w:rStyle w:val="Hypertextovprepojenie"/>
            <w:szCs w:val="22"/>
          </w:rPr>
          <w:t>http://ec.europa.eu/dgs/education_culture/repository/education/library/study/2016/teacher-diversity_en.pdf</w:t>
        </w:r>
      </w:hyperlink>
    </w:p>
    <w:p w14:paraId="11E4F0F4" w14:textId="77777777" w:rsidR="00913A5B" w:rsidRPr="00F5028F" w:rsidRDefault="00913A5B" w:rsidP="00913A5B">
      <w:pPr>
        <w:spacing w:before="160" w:after="160"/>
        <w:jc w:val="left"/>
        <w:rPr>
          <w:noProof/>
          <w:szCs w:val="22"/>
        </w:rPr>
      </w:pPr>
      <w:r w:rsidRPr="00F5028F">
        <w:rPr>
          <w:noProof/>
          <w:szCs w:val="22"/>
        </w:rPr>
        <w:t xml:space="preserve">Európska komisia </w:t>
      </w:r>
      <w:r w:rsidRPr="00F5028F">
        <w:rPr>
          <w:szCs w:val="22"/>
        </w:rPr>
        <w:t xml:space="preserve">(2016): Disability and Labour Marekt Integration. Analytical Paper. </w:t>
      </w:r>
      <w:hyperlink r:id="rId146" w:history="1">
        <w:r w:rsidRPr="00F5028F">
          <w:rPr>
            <w:rStyle w:val="Hypertextovprepojenie"/>
            <w:szCs w:val="22"/>
          </w:rPr>
          <w:t>https://ec.europa.eu/social/BlobServlet?docId=16601&amp;langId=en</w:t>
        </w:r>
      </w:hyperlink>
      <w:r w:rsidRPr="00F5028F">
        <w:rPr>
          <w:szCs w:val="22"/>
        </w:rPr>
        <w:t xml:space="preserve"> </w:t>
      </w:r>
    </w:p>
    <w:p w14:paraId="16FC7E4F" w14:textId="77777777" w:rsidR="00913A5B" w:rsidRPr="00F5028F" w:rsidRDefault="00913A5B" w:rsidP="00913A5B">
      <w:pPr>
        <w:spacing w:before="160" w:after="160"/>
        <w:jc w:val="left"/>
        <w:rPr>
          <w:szCs w:val="22"/>
        </w:rPr>
      </w:pPr>
      <w:r w:rsidRPr="00F5028F">
        <w:rPr>
          <w:noProof/>
          <w:szCs w:val="22"/>
        </w:rPr>
        <w:t>Európska komisia</w:t>
      </w:r>
      <w:r w:rsidRPr="00F5028F">
        <w:rPr>
          <w:szCs w:val="22"/>
        </w:rPr>
        <w:t xml:space="preserve"> /EACEA/Eurydice, (2018b). </w:t>
      </w:r>
      <w:r w:rsidRPr="00F5028F">
        <w:rPr>
          <w:i/>
          <w:szCs w:val="22"/>
        </w:rPr>
        <w:t>Compulsory Education in Europe – 2018/19</w:t>
      </w:r>
      <w:r w:rsidRPr="00F5028F">
        <w:rPr>
          <w:szCs w:val="22"/>
        </w:rPr>
        <w:t xml:space="preserve">. Eurydice Facts and Figures. </w:t>
      </w:r>
      <w:r w:rsidRPr="00F5028F">
        <w:rPr>
          <w:noProof/>
          <w:szCs w:val="22"/>
        </w:rPr>
        <w:t>Publications office of the European Union, Luxembourg</w:t>
      </w:r>
      <w:r w:rsidRPr="00F5028F">
        <w:rPr>
          <w:szCs w:val="22"/>
        </w:rPr>
        <w:t xml:space="preserve">. </w:t>
      </w:r>
      <w:hyperlink r:id="rId147" w:history="1">
        <w:r w:rsidRPr="00F5028F">
          <w:rPr>
            <w:rStyle w:val="Hypertextovprepojenie"/>
            <w:szCs w:val="22"/>
          </w:rPr>
          <w:t>https://eacea.ec.europa.eu/national-policies/eurydice/sites/eurydice/files/compulsory_education_2018_19.pdf</w:t>
        </w:r>
      </w:hyperlink>
    </w:p>
    <w:p w14:paraId="6F8662FB" w14:textId="77777777" w:rsidR="00913A5B" w:rsidRPr="00F5028F" w:rsidRDefault="00913A5B" w:rsidP="00913A5B">
      <w:pPr>
        <w:spacing w:before="160" w:after="160"/>
        <w:jc w:val="left"/>
        <w:rPr>
          <w:szCs w:val="22"/>
        </w:rPr>
      </w:pPr>
      <w:r w:rsidRPr="00F5028F">
        <w:rPr>
          <w:szCs w:val="22"/>
        </w:rPr>
        <w:t xml:space="preserve">Európska komisia, (2019), Country report, Non-Discrimination, Slovakia 2018, </w:t>
      </w:r>
      <w:hyperlink r:id="rId148" w:history="1">
        <w:r w:rsidRPr="00F5028F">
          <w:rPr>
            <w:rStyle w:val="Hypertextovprepojenie"/>
            <w:szCs w:val="22"/>
          </w:rPr>
          <w:t>https://www.poradna-prava.sk/sk/dokumenty/sprava-o-uplatnovani-antidiskriminacnej-legislativy-na-slovensku/</w:t>
        </w:r>
      </w:hyperlink>
      <w:r w:rsidRPr="00F5028F">
        <w:rPr>
          <w:szCs w:val="22"/>
        </w:rPr>
        <w:t xml:space="preserve"> </w:t>
      </w:r>
    </w:p>
    <w:p w14:paraId="11901F90" w14:textId="77777777" w:rsidR="00913A5B" w:rsidRPr="00F5028F" w:rsidRDefault="00913A5B" w:rsidP="00913A5B">
      <w:pPr>
        <w:spacing w:before="160" w:after="160"/>
        <w:jc w:val="left"/>
        <w:rPr>
          <w:rStyle w:val="Hypertextovprepojenie"/>
          <w:szCs w:val="22"/>
        </w:rPr>
      </w:pPr>
      <w:r w:rsidRPr="00F5028F">
        <w:rPr>
          <w:noProof/>
          <w:szCs w:val="22"/>
        </w:rPr>
        <w:t xml:space="preserve">Európska komisia/EACEA/Eurydice (2017), </w:t>
      </w:r>
      <w:r w:rsidRPr="00F5028F">
        <w:rPr>
          <w:i/>
          <w:noProof/>
          <w:szCs w:val="22"/>
        </w:rPr>
        <w:t>Compulsory education in Europe – 2017/18,</w:t>
      </w:r>
      <w:r w:rsidRPr="00F5028F">
        <w:rPr>
          <w:noProof/>
          <w:szCs w:val="22"/>
        </w:rPr>
        <w:t xml:space="preserve"> Eurydice facts and figures, Publications office of the European Union, Luxembourg </w:t>
      </w:r>
      <w:hyperlink r:id="rId149" w:history="1">
        <w:r w:rsidRPr="00F5028F">
          <w:rPr>
            <w:rStyle w:val="Hypertextovprepojenie"/>
            <w:szCs w:val="22"/>
          </w:rPr>
          <w:t>http://eurydice.indire.it/wp-content/uploads/2017/02/Early_Childhood_Education_and_Care_.pdf</w:t>
        </w:r>
      </w:hyperlink>
    </w:p>
    <w:p w14:paraId="61178BD6" w14:textId="77777777" w:rsidR="00913A5B" w:rsidRPr="00F5028F" w:rsidRDefault="00913A5B" w:rsidP="00913A5B">
      <w:pPr>
        <w:spacing w:before="160" w:after="160"/>
        <w:jc w:val="left"/>
        <w:rPr>
          <w:rStyle w:val="Hypertextovprepojenie"/>
          <w:szCs w:val="22"/>
        </w:rPr>
      </w:pPr>
      <w:r w:rsidRPr="00F5028F">
        <w:rPr>
          <w:noProof/>
          <w:szCs w:val="22"/>
        </w:rPr>
        <w:t xml:space="preserve">Európska komisia/EUR/Eurydice (2016), </w:t>
      </w:r>
      <w:r w:rsidRPr="00F5028F">
        <w:rPr>
          <w:rFonts w:cs="Arial,Italic"/>
          <w:i/>
          <w:iCs/>
          <w:szCs w:val="22"/>
        </w:rPr>
        <w:t>Structural Indicators on Early Childhood Education</w:t>
      </w:r>
      <w:r w:rsidRPr="00F5028F">
        <w:rPr>
          <w:noProof/>
          <w:szCs w:val="22"/>
        </w:rPr>
        <w:t xml:space="preserve"> </w:t>
      </w:r>
      <w:r w:rsidRPr="00F5028F">
        <w:rPr>
          <w:rFonts w:cs="Arial,Italic"/>
          <w:i/>
          <w:iCs/>
          <w:szCs w:val="22"/>
        </w:rPr>
        <w:t xml:space="preserve">and Care in Europe – 2016. </w:t>
      </w:r>
      <w:r w:rsidRPr="00F5028F">
        <w:rPr>
          <w:rFonts w:cs="Arial"/>
          <w:szCs w:val="22"/>
        </w:rPr>
        <w:t>Eurydice Report. Luxembourg: Publications Office of the European Union.</w:t>
      </w:r>
      <w:r w:rsidRPr="00F5028F">
        <w:rPr>
          <w:noProof/>
          <w:szCs w:val="22"/>
        </w:rPr>
        <w:t xml:space="preserve"> </w:t>
      </w:r>
      <w:hyperlink r:id="rId150" w:history="1">
        <w:r w:rsidRPr="00F5028F">
          <w:rPr>
            <w:rStyle w:val="Hypertextovprepojenie"/>
            <w:szCs w:val="22"/>
          </w:rPr>
          <w:t>https://publications.europa.eu/en/publication-detail/-/publication/f0dc0d44-d581-11e7-a5b9-01aa75ed71a1/language-en/format-PDF</w:t>
        </w:r>
      </w:hyperlink>
    </w:p>
    <w:p w14:paraId="5F5C773E" w14:textId="77777777" w:rsidR="00913A5B" w:rsidRPr="00F5028F" w:rsidRDefault="00913A5B" w:rsidP="00913A5B">
      <w:pPr>
        <w:autoSpaceDE w:val="0"/>
        <w:autoSpaceDN w:val="0"/>
        <w:adjustRightInd w:val="0"/>
        <w:spacing w:before="160" w:after="160" w:line="240" w:lineRule="auto"/>
        <w:jc w:val="left"/>
        <w:rPr>
          <w:rStyle w:val="Hypertextovprepojenie"/>
          <w:rFonts w:cs="Arial-ItalicMT"/>
          <w:i/>
          <w:iCs/>
          <w:szCs w:val="22"/>
        </w:rPr>
      </w:pPr>
      <w:r w:rsidRPr="00F5028F">
        <w:rPr>
          <w:noProof/>
          <w:szCs w:val="22"/>
        </w:rPr>
        <w:t xml:space="preserve">Európska komisia/EUR/Eurydice (2018a), </w:t>
      </w:r>
      <w:r w:rsidRPr="00F5028F">
        <w:rPr>
          <w:rFonts w:cs="Arial-ItalicMT"/>
          <w:i/>
          <w:iCs/>
          <w:szCs w:val="22"/>
        </w:rPr>
        <w:t>Structural Indicators for Monitoring Education and Training Systems in Europe – 2018</w:t>
      </w:r>
      <w:r w:rsidRPr="00F5028F">
        <w:rPr>
          <w:rFonts w:cs="Arial,Italic"/>
          <w:i/>
          <w:iCs/>
          <w:szCs w:val="22"/>
        </w:rPr>
        <w:t xml:space="preserve">. </w:t>
      </w:r>
      <w:r w:rsidRPr="00F5028F">
        <w:rPr>
          <w:rFonts w:cs="Arial"/>
          <w:szCs w:val="22"/>
        </w:rPr>
        <w:t>Eurydice Report. Luxembourg: Publications Office of the European Union.</w:t>
      </w:r>
      <w:r w:rsidRPr="00F5028F">
        <w:rPr>
          <w:noProof/>
          <w:szCs w:val="22"/>
        </w:rPr>
        <w:t xml:space="preserve"> </w:t>
      </w:r>
      <w:hyperlink r:id="rId151" w:history="1">
        <w:r w:rsidRPr="00F5028F">
          <w:rPr>
            <w:rStyle w:val="Hypertextovprepojenie"/>
            <w:noProof/>
            <w:szCs w:val="22"/>
          </w:rPr>
          <w:t>https://eacea.ec.europa.eu/national-policies/eurydice/sites/eurydice/files/structural_indicators_2018.pdf</w:t>
        </w:r>
      </w:hyperlink>
      <w:r w:rsidRPr="00F5028F">
        <w:rPr>
          <w:noProof/>
          <w:szCs w:val="22"/>
        </w:rPr>
        <w:t xml:space="preserve"> </w:t>
      </w:r>
    </w:p>
    <w:p w14:paraId="795771F1" w14:textId="77777777" w:rsidR="00913A5B" w:rsidRPr="00F5028F" w:rsidRDefault="00913A5B" w:rsidP="00913A5B">
      <w:pPr>
        <w:spacing w:before="160" w:after="160"/>
        <w:jc w:val="left"/>
        <w:rPr>
          <w:szCs w:val="22"/>
        </w:rPr>
      </w:pPr>
      <w:r w:rsidRPr="00F5028F">
        <w:rPr>
          <w:szCs w:val="22"/>
        </w:rPr>
        <w:t xml:space="preserve">Evans, D. K., B. Holtemeyer a K. Kosec (2016), Cash Transfers and Health, </w:t>
      </w:r>
      <w:r w:rsidRPr="00F5028F">
        <w:rPr>
          <w:i/>
          <w:szCs w:val="22"/>
        </w:rPr>
        <w:t>Policy Research Working Paper 7882</w:t>
      </w:r>
      <w:r w:rsidRPr="00F5028F">
        <w:rPr>
          <w:szCs w:val="22"/>
        </w:rPr>
        <w:t xml:space="preserve">, Svetová banka, Washington DC. </w:t>
      </w:r>
      <w:hyperlink r:id="rId152" w:history="1">
        <w:r w:rsidRPr="00F5028F">
          <w:rPr>
            <w:rStyle w:val="Hypertextovprepojenie"/>
            <w:szCs w:val="22"/>
          </w:rPr>
          <w:t>http://documents.worldbank.org/curated/en/535371478531675550/Cash-transfers-and-health-evidence-from-Tanzania</w:t>
        </w:r>
      </w:hyperlink>
      <w:r w:rsidRPr="00F5028F">
        <w:rPr>
          <w:szCs w:val="22"/>
        </w:rPr>
        <w:t xml:space="preserve"> </w:t>
      </w:r>
    </w:p>
    <w:p w14:paraId="2ABB2463" w14:textId="4DBB3E7F" w:rsidR="00913A5B" w:rsidRPr="00F5028F" w:rsidRDefault="00913A5B" w:rsidP="00913A5B">
      <w:pPr>
        <w:spacing w:before="160" w:after="160"/>
        <w:jc w:val="left"/>
        <w:rPr>
          <w:szCs w:val="22"/>
        </w:rPr>
      </w:pPr>
      <w:r w:rsidRPr="00F5028F">
        <w:rPr>
          <w:szCs w:val="22"/>
        </w:rPr>
        <w:t>Fico, M. D. Ondrušová a D. Škobla (2019), Prieskum nájomného bývania a mestských ubytovní v okresných mestách SR, Bratislava: Inštitút pre výskum práce a</w:t>
      </w:r>
      <w:r w:rsidR="001C4A08" w:rsidRPr="00F5028F">
        <w:rPr>
          <w:szCs w:val="22"/>
        </w:rPr>
        <w:t> </w:t>
      </w:r>
      <w:r w:rsidRPr="00F5028F">
        <w:rPr>
          <w:szCs w:val="22"/>
        </w:rPr>
        <w:t>rodiny</w:t>
      </w:r>
      <w:r w:rsidR="001C4A08" w:rsidRPr="00F5028F">
        <w:rPr>
          <w:szCs w:val="22"/>
        </w:rPr>
        <w:t xml:space="preserve">, </w:t>
      </w:r>
      <w:hyperlink r:id="rId153" w:history="1">
        <w:r w:rsidR="001C4A08" w:rsidRPr="00F5028F">
          <w:rPr>
            <w:rStyle w:val="Hypertextovprepojenie"/>
            <w:szCs w:val="22"/>
          </w:rPr>
          <w:t>https://www.ceit.sk/IVPR/images/IVPR/vyskum/2019/Fico/prieskum_najomneho_byvania_fico_ondrusova_skobla_2019.pdf</w:t>
        </w:r>
      </w:hyperlink>
    </w:p>
    <w:p w14:paraId="686FAAED" w14:textId="77777777" w:rsidR="00913A5B" w:rsidRPr="00F5028F" w:rsidRDefault="00913A5B" w:rsidP="00913A5B">
      <w:pPr>
        <w:jc w:val="left"/>
        <w:rPr>
          <w:szCs w:val="22"/>
        </w:rPr>
      </w:pPr>
      <w:r w:rsidRPr="00F5028F">
        <w:rPr>
          <w:szCs w:val="22"/>
        </w:rPr>
        <w:t xml:space="preserve">Filadelfiová, J. (2012), Obraz rómskej ženy, OZ Quo Vadis, </w:t>
      </w:r>
      <w:hyperlink r:id="rId154" w:history="1">
        <w:r w:rsidRPr="00F5028F">
          <w:rPr>
            <w:rStyle w:val="Hypertextovprepojenie"/>
            <w:szCs w:val="22"/>
          </w:rPr>
          <w:t>https://docs.wixstatic.com/ugd/5f2ca1_99da834d21f14edb8a96a4df37e3f7c5.pdf</w:t>
        </w:r>
      </w:hyperlink>
    </w:p>
    <w:p w14:paraId="1EFD3272" w14:textId="77777777" w:rsidR="00913A5B" w:rsidRPr="00F5028F" w:rsidRDefault="00913A5B" w:rsidP="00913A5B">
      <w:pPr>
        <w:spacing w:before="160" w:after="160"/>
        <w:jc w:val="left"/>
        <w:rPr>
          <w:szCs w:val="22"/>
        </w:rPr>
      </w:pPr>
      <w:r w:rsidRPr="00F5028F">
        <w:rPr>
          <w:szCs w:val="22"/>
        </w:rPr>
        <w:t xml:space="preserve">Filčák, R., Z. Polačková a D. Dokupilová (2019), </w:t>
      </w:r>
      <w:r w:rsidRPr="00F5028F">
        <w:rPr>
          <w:i/>
          <w:szCs w:val="22"/>
        </w:rPr>
        <w:t>Kontextová evaluácia terénnej sociálnej práce</w:t>
      </w:r>
      <w:r w:rsidRPr="00F5028F">
        <w:rPr>
          <w:szCs w:val="22"/>
        </w:rPr>
        <w:t xml:space="preserve">, Implementačná agentúra Ministerstva práce sociálnych vecí a rodiny SR, Bratislava: </w:t>
      </w:r>
      <w:hyperlink r:id="rId155" w:history="1">
        <w:r w:rsidRPr="00F5028F">
          <w:rPr>
            <w:rStyle w:val="Hypertextovprepojenie"/>
            <w:szCs w:val="22"/>
          </w:rPr>
          <w:t>https://www.tsp.gov.sk/wp-content/uploads/2019/08/KONTEXTOVÁ-EVALUÁCIA-TERÉNNEJ-SOCIÁLNEJ-PRÁCE-Zhrnutie-záverečnej-správy.pdf</w:t>
        </w:r>
      </w:hyperlink>
      <w:r w:rsidRPr="00F5028F">
        <w:rPr>
          <w:szCs w:val="22"/>
        </w:rPr>
        <w:t xml:space="preserve"> </w:t>
      </w:r>
    </w:p>
    <w:p w14:paraId="72850BEA" w14:textId="77777777" w:rsidR="00913A5B" w:rsidRPr="00F5028F" w:rsidRDefault="00913A5B" w:rsidP="00913A5B">
      <w:pPr>
        <w:spacing w:before="160" w:after="160"/>
        <w:jc w:val="left"/>
        <w:rPr>
          <w:szCs w:val="22"/>
        </w:rPr>
      </w:pPr>
      <w:r w:rsidRPr="00F5028F">
        <w:rPr>
          <w:szCs w:val="22"/>
        </w:rPr>
        <w:t xml:space="preserve">Finn, D., (2011), Subcontracting in public employment services: review of research findings and literature on recent trends and business models, Brussels, European Commission, </w:t>
      </w:r>
      <w:hyperlink r:id="rId156" w:history="1">
        <w:r w:rsidRPr="00F5028F">
          <w:rPr>
            <w:rStyle w:val="Hypertextovprepojenie"/>
            <w:szCs w:val="22"/>
          </w:rPr>
          <w:t>https://ec.europa.eu/social/BlobServlet-?docId=6964&amp;langId=en</w:t>
        </w:r>
      </w:hyperlink>
      <w:r w:rsidRPr="00F5028F">
        <w:rPr>
          <w:szCs w:val="22"/>
        </w:rPr>
        <w:t xml:space="preserve">  </w:t>
      </w:r>
    </w:p>
    <w:p w14:paraId="7526FB4D" w14:textId="77777777" w:rsidR="00913A5B" w:rsidRPr="00F5028F" w:rsidRDefault="00913A5B" w:rsidP="00913A5B">
      <w:pPr>
        <w:spacing w:before="160" w:after="160"/>
        <w:jc w:val="left"/>
        <w:rPr>
          <w:szCs w:val="22"/>
        </w:rPr>
      </w:pPr>
      <w:r w:rsidRPr="00F5028F">
        <w:rPr>
          <w:szCs w:val="22"/>
        </w:rPr>
        <w:t xml:space="preserve">Focus (2015), Percepcia korupcie na Slovensku, </w:t>
      </w:r>
      <w:hyperlink r:id="rId157" w:history="1">
        <w:r w:rsidRPr="00F5028F">
          <w:rPr>
            <w:rStyle w:val="Hypertextovprepojenie"/>
            <w:szCs w:val="22"/>
          </w:rPr>
          <w:t>http://www.transparency.sk/wp-content/uploads/2015/05/FOCUS-Percepcia-korupcie-na-Slovensku-feb.2015.pdf</w:t>
        </w:r>
      </w:hyperlink>
      <w:r w:rsidRPr="00F5028F">
        <w:rPr>
          <w:szCs w:val="22"/>
        </w:rPr>
        <w:t xml:space="preserve"> </w:t>
      </w:r>
    </w:p>
    <w:p w14:paraId="7383BD5E" w14:textId="77777777" w:rsidR="00913A5B" w:rsidRPr="00F5028F" w:rsidRDefault="00913A5B" w:rsidP="00913A5B">
      <w:pPr>
        <w:spacing w:before="160" w:after="160"/>
        <w:jc w:val="left"/>
        <w:rPr>
          <w:rStyle w:val="Hypertextovprepojenie"/>
          <w:szCs w:val="22"/>
        </w:rPr>
      </w:pPr>
      <w:r w:rsidRPr="00F5028F">
        <w:rPr>
          <w:szCs w:val="22"/>
        </w:rPr>
        <w:t xml:space="preserve">FRA (2016), </w:t>
      </w:r>
      <w:r w:rsidRPr="00F5028F">
        <w:rPr>
          <w:i/>
          <w:szCs w:val="22"/>
        </w:rPr>
        <w:t>Druhý prieskum Európskej Únie týkajúci sa menšín a diskriminácie, Rómovia – vybraté výsledky</w:t>
      </w:r>
      <w:r w:rsidRPr="00F5028F">
        <w:rPr>
          <w:szCs w:val="22"/>
        </w:rPr>
        <w:t xml:space="preserve">, </w:t>
      </w:r>
      <w:hyperlink r:id="rId158" w:history="1">
        <w:r w:rsidRPr="00F5028F">
          <w:rPr>
            <w:rStyle w:val="Hypertextovprepojenie"/>
            <w:szCs w:val="22"/>
          </w:rPr>
          <w:t>http://fra.europa.eu/sites/default/files/fra_uploads/fra-2016-eu-minorities-survey-roma-selected-findings_sk.pdf</w:t>
        </w:r>
      </w:hyperlink>
    </w:p>
    <w:p w14:paraId="2004BDDB" w14:textId="77777777" w:rsidR="00913A5B" w:rsidRPr="00F5028F" w:rsidRDefault="00913A5B" w:rsidP="00913A5B">
      <w:pPr>
        <w:spacing w:before="160" w:after="160"/>
        <w:jc w:val="left"/>
        <w:rPr>
          <w:szCs w:val="22"/>
        </w:rPr>
      </w:pPr>
      <w:r w:rsidRPr="00F5028F">
        <w:rPr>
          <w:szCs w:val="22"/>
        </w:rPr>
        <w:t xml:space="preserve">FRA (2018), </w:t>
      </w:r>
      <w:r w:rsidRPr="00F5028F">
        <w:rPr>
          <w:i/>
          <w:szCs w:val="22"/>
        </w:rPr>
        <w:t>A persistent concern: anti-Gypsyism as a barrier to Roma inclusion</w:t>
      </w:r>
      <w:r w:rsidRPr="00F5028F">
        <w:rPr>
          <w:szCs w:val="22"/>
        </w:rPr>
        <w:t xml:space="preserve">, </w:t>
      </w:r>
      <w:hyperlink r:id="rId159" w:history="1">
        <w:r w:rsidRPr="00F5028F">
          <w:rPr>
            <w:rStyle w:val="Hypertextovprepojenie"/>
            <w:szCs w:val="22"/>
          </w:rPr>
          <w:t>https://fra.europa.eu/en/publication/2018/roma-inclusion</w:t>
        </w:r>
      </w:hyperlink>
    </w:p>
    <w:p w14:paraId="70F43407" w14:textId="77777777" w:rsidR="00913A5B" w:rsidRPr="00F5028F" w:rsidRDefault="00913A5B" w:rsidP="00913A5B">
      <w:pPr>
        <w:spacing w:before="160" w:after="160"/>
        <w:jc w:val="left"/>
        <w:rPr>
          <w:szCs w:val="22"/>
        </w:rPr>
      </w:pPr>
      <w:r w:rsidRPr="00F5028F">
        <w:rPr>
          <w:szCs w:val="22"/>
        </w:rPr>
        <w:t xml:space="preserve">Freeman, S. F. N., &amp; Alkin, M. C. (2000). Academic and Social Attainments of Children with Mental Retardation in General Education and Special Education Settings. </w:t>
      </w:r>
      <w:r w:rsidRPr="00F5028F">
        <w:rPr>
          <w:i/>
          <w:szCs w:val="22"/>
        </w:rPr>
        <w:t>Remedial and Special Education</w:t>
      </w:r>
      <w:r w:rsidRPr="00F5028F">
        <w:rPr>
          <w:szCs w:val="22"/>
        </w:rPr>
        <w:t xml:space="preserve">, 21(1), 3–26 </w:t>
      </w:r>
    </w:p>
    <w:p w14:paraId="637CD698" w14:textId="6978E7B5" w:rsidR="00913A5B" w:rsidRPr="00F5028F" w:rsidRDefault="00913A5B" w:rsidP="00913A5B">
      <w:pPr>
        <w:jc w:val="left"/>
        <w:rPr>
          <w:szCs w:val="22"/>
        </w:rPr>
      </w:pPr>
      <w:r w:rsidRPr="00F5028F">
        <w:rPr>
          <w:szCs w:val="22"/>
        </w:rPr>
        <w:t xml:space="preserve">Fričová, M., Matej, V. a Tichá E. (2018). </w:t>
      </w:r>
      <w:r w:rsidRPr="00F5028F">
        <w:rPr>
          <w:i/>
          <w:szCs w:val="22"/>
        </w:rPr>
        <w:t xml:space="preserve">Správa o stave včasnej intervencie na Slovensku. </w:t>
      </w:r>
      <w:r w:rsidRPr="00F5028F">
        <w:rPr>
          <w:szCs w:val="22"/>
        </w:rPr>
        <w:t xml:space="preserve">Bratislava: APPVI. </w:t>
      </w:r>
      <w:hyperlink r:id="rId160" w:history="1">
        <w:r w:rsidR="00153584" w:rsidRPr="00F5028F">
          <w:rPr>
            <w:rStyle w:val="Hypertextovprepojenie"/>
            <w:szCs w:val="22"/>
          </w:rPr>
          <w:t>https://asociaciavi.sk/wp-content/uploads/2019/02/Spr%C3%A1va_o_stave_v%C4%8Dasnej_intervencie_na_Slovensku_2018.pdf</w:t>
        </w:r>
      </w:hyperlink>
      <w:r w:rsidR="00153584" w:rsidRPr="00F5028F">
        <w:rPr>
          <w:szCs w:val="22"/>
        </w:rPr>
        <w:t xml:space="preserve"> </w:t>
      </w:r>
    </w:p>
    <w:p w14:paraId="47416E58" w14:textId="77777777" w:rsidR="00913A5B" w:rsidRPr="00F5028F" w:rsidRDefault="00913A5B" w:rsidP="00913A5B">
      <w:pPr>
        <w:spacing w:before="160" w:after="160"/>
        <w:jc w:val="left"/>
        <w:rPr>
          <w:szCs w:val="22"/>
        </w:rPr>
      </w:pPr>
      <w:r w:rsidRPr="00F5028F">
        <w:rPr>
          <w:szCs w:val="22"/>
        </w:rPr>
        <w:t xml:space="preserve">Gatti , R., S. Karacsony, I. Sandor, K. Anan, C. Ferré and C. de Paz Nieves (2016), </w:t>
      </w:r>
      <w:r w:rsidRPr="00F5028F">
        <w:rPr>
          <w:i/>
          <w:szCs w:val="22"/>
        </w:rPr>
        <w:t>Being Fair, Faring Better, Promoting Equality of Opportunity for Marginalized Roma</w:t>
      </w:r>
      <w:r w:rsidRPr="00F5028F">
        <w:rPr>
          <w:szCs w:val="22"/>
        </w:rPr>
        <w:t xml:space="preserve">, Svetová banka, Washington, DC </w:t>
      </w:r>
      <w:hyperlink r:id="rId161" w:history="1">
        <w:r w:rsidRPr="00F5028F">
          <w:rPr>
            <w:rStyle w:val="Hypertextovprepojenie"/>
            <w:szCs w:val="22"/>
          </w:rPr>
          <w:t>http://documents.worldbank.org/curated/en/292771468196732276/Being-fair-faring-better-promoting-equality-of-opportunity-for-marginalized-Roma</w:t>
        </w:r>
      </w:hyperlink>
      <w:r w:rsidRPr="00F5028F">
        <w:rPr>
          <w:szCs w:val="22"/>
        </w:rPr>
        <w:t xml:space="preserve"> </w:t>
      </w:r>
    </w:p>
    <w:p w14:paraId="3432F9BD" w14:textId="77777777" w:rsidR="00913A5B" w:rsidRPr="00F5028F" w:rsidRDefault="00913A5B" w:rsidP="00913A5B">
      <w:pPr>
        <w:spacing w:before="160" w:after="160"/>
        <w:jc w:val="left"/>
        <w:rPr>
          <w:szCs w:val="22"/>
        </w:rPr>
      </w:pPr>
      <w:r w:rsidRPr="00F5028F">
        <w:rPr>
          <w:noProof/>
          <w:szCs w:val="22"/>
        </w:rPr>
        <w:t xml:space="preserve">Gavurová, B. &amp; Šoltés, V. (2013), </w:t>
      </w:r>
      <w:r w:rsidRPr="00F5028F">
        <w:rPr>
          <w:i/>
          <w:iCs/>
          <w:noProof/>
          <w:szCs w:val="22"/>
        </w:rPr>
        <w:t xml:space="preserve">Efektívnosť slovenského zdravotníctva - analýza komparačných aspektov a identifikácia rozvojvých možností, </w:t>
      </w:r>
      <w:r w:rsidRPr="00F5028F">
        <w:rPr>
          <w:noProof/>
          <w:szCs w:val="22"/>
        </w:rPr>
        <w:t>Košice: TU Košice.</w:t>
      </w:r>
    </w:p>
    <w:p w14:paraId="22A3A459" w14:textId="77777777" w:rsidR="00913A5B" w:rsidRPr="00F5028F" w:rsidRDefault="00913A5B" w:rsidP="00913A5B">
      <w:pPr>
        <w:spacing w:before="160" w:after="160"/>
        <w:jc w:val="left"/>
        <w:rPr>
          <w:noProof/>
          <w:szCs w:val="22"/>
        </w:rPr>
      </w:pPr>
      <w:r w:rsidRPr="00F5028F">
        <w:rPr>
          <w:noProof/>
          <w:szCs w:val="22"/>
        </w:rPr>
        <w:t xml:space="preserve">Gavurová, B., Šoltés, V., &amp; Šoltés, M. (2014), Meranie zdravia a zdravotných rizík vo vybraných rómskych osadách na Slovensku - fakty a reflexie. </w:t>
      </w:r>
      <w:r w:rsidRPr="00F5028F">
        <w:rPr>
          <w:i/>
          <w:iCs/>
          <w:noProof/>
          <w:szCs w:val="22"/>
        </w:rPr>
        <w:t>Nerovnosť a chudoba v Európskej Únii a na Slovensku II.</w:t>
      </w:r>
      <w:r w:rsidRPr="00F5028F">
        <w:rPr>
          <w:noProof/>
          <w:szCs w:val="22"/>
        </w:rPr>
        <w:t>, s. 188 - 201.</w:t>
      </w:r>
    </w:p>
    <w:p w14:paraId="7AE4B841" w14:textId="77777777" w:rsidR="00913A5B" w:rsidRPr="00F5028F" w:rsidRDefault="00913A5B" w:rsidP="00913A5B">
      <w:pPr>
        <w:rPr>
          <w:szCs w:val="22"/>
        </w:rPr>
      </w:pPr>
      <w:r w:rsidRPr="00F5028F">
        <w:rPr>
          <w:szCs w:val="22"/>
        </w:rPr>
        <w:t xml:space="preserve">Gažovičová, T. (2012), The Romani Language in the Slovak Educational System. </w:t>
      </w:r>
      <w:r w:rsidRPr="00F5028F">
        <w:rPr>
          <w:i/>
          <w:szCs w:val="22"/>
        </w:rPr>
        <w:t>Human Affairs</w:t>
      </w:r>
      <w:r w:rsidRPr="00F5028F">
        <w:rPr>
          <w:szCs w:val="22"/>
        </w:rPr>
        <w:t xml:space="preserve"> 22(4), 510-23</w:t>
      </w:r>
    </w:p>
    <w:p w14:paraId="337D9238" w14:textId="77777777" w:rsidR="00913A5B" w:rsidRPr="00F5028F" w:rsidRDefault="00913A5B" w:rsidP="00913A5B">
      <w:pPr>
        <w:rPr>
          <w:noProof/>
          <w:szCs w:val="22"/>
        </w:rPr>
      </w:pPr>
      <w:r w:rsidRPr="00F5028F">
        <w:rPr>
          <w:noProof/>
          <w:szCs w:val="22"/>
        </w:rPr>
        <w:t>Gehrt, D., Hafner, M., Hocking, L., Gkousis, E., Smith, P., &amp; Pollard, J. (2019). Poor indoor climate, its impact on child health, and the wider societal costs</w:t>
      </w:r>
    </w:p>
    <w:p w14:paraId="735F4AE1" w14:textId="77777777" w:rsidR="00913A5B" w:rsidRPr="00F5028F" w:rsidRDefault="00913A5B" w:rsidP="00913A5B">
      <w:pPr>
        <w:spacing w:before="160"/>
        <w:rPr>
          <w:szCs w:val="22"/>
        </w:rPr>
      </w:pPr>
      <w:r w:rsidRPr="00F5028F">
        <w:rPr>
          <w:szCs w:val="22"/>
        </w:rPr>
        <w:t xml:space="preserve">Gelbach J. (2002), Public schooling for young children and maternal labor supply, </w:t>
      </w:r>
      <w:r w:rsidRPr="00F5028F">
        <w:rPr>
          <w:i/>
          <w:szCs w:val="22"/>
        </w:rPr>
        <w:t>American Economic Review</w:t>
      </w:r>
      <w:r w:rsidRPr="00F5028F">
        <w:rPr>
          <w:szCs w:val="22"/>
        </w:rPr>
        <w:t>, 92(1), 307-322</w:t>
      </w:r>
    </w:p>
    <w:p w14:paraId="29C88018" w14:textId="77777777" w:rsidR="00913A5B" w:rsidRPr="00F5028F" w:rsidRDefault="00913A5B" w:rsidP="00913A5B">
      <w:pPr>
        <w:spacing w:before="160" w:after="160"/>
        <w:jc w:val="left"/>
        <w:rPr>
          <w:szCs w:val="22"/>
        </w:rPr>
      </w:pPr>
      <w:r w:rsidRPr="00F5028F">
        <w:rPr>
          <w:szCs w:val="22"/>
        </w:rPr>
        <w:t xml:space="preserve">Gerbery, D. a R. Džambazovič (2011), </w:t>
      </w:r>
      <w:r w:rsidRPr="00F5028F">
        <w:rPr>
          <w:i/>
          <w:szCs w:val="22"/>
        </w:rPr>
        <w:t>Inovatívne orientácie v sociálnej politike: Perspektíva sociálnej inklúzie</w:t>
      </w:r>
      <w:r w:rsidRPr="00F5028F">
        <w:rPr>
          <w:szCs w:val="22"/>
        </w:rPr>
        <w:t>, Univerzita Komenského, Bratislava</w:t>
      </w:r>
    </w:p>
    <w:p w14:paraId="0BE6D0FE" w14:textId="77777777" w:rsidR="00913A5B" w:rsidRPr="00F5028F" w:rsidRDefault="00913A5B" w:rsidP="00913A5B">
      <w:pPr>
        <w:spacing w:before="160" w:after="160"/>
        <w:jc w:val="left"/>
        <w:rPr>
          <w:i/>
          <w:szCs w:val="22"/>
        </w:rPr>
      </w:pPr>
      <w:r w:rsidRPr="00F5028F">
        <w:rPr>
          <w:szCs w:val="22"/>
        </w:rPr>
        <w:t xml:space="preserve">Geronimus A., T. M. Hicken, D. Keene, a J. Bound (2006), “Weathering“ and Age Patterns of Allostatic Load Scores among Blacks and Whites in the United States“, </w:t>
      </w:r>
      <w:r w:rsidRPr="00F5028F">
        <w:rPr>
          <w:i/>
          <w:szCs w:val="22"/>
        </w:rPr>
        <w:t>American Journal of Public Health, 96 (5), 826-833</w:t>
      </w:r>
    </w:p>
    <w:p w14:paraId="30EC638F" w14:textId="77777777" w:rsidR="00913A5B" w:rsidRPr="00F5028F" w:rsidRDefault="00913A5B" w:rsidP="00913A5B">
      <w:pPr>
        <w:spacing w:before="160" w:after="160"/>
        <w:jc w:val="left"/>
        <w:rPr>
          <w:szCs w:val="22"/>
        </w:rPr>
      </w:pPr>
      <w:r w:rsidRPr="00F5028F">
        <w:rPr>
          <w:szCs w:val="22"/>
        </w:rPr>
        <w:t xml:space="preserve">Geva, A., S. Hidas and G. Machlica (2018), </w:t>
      </w:r>
      <w:r w:rsidRPr="00F5028F">
        <w:rPr>
          <w:i/>
          <w:szCs w:val="22"/>
        </w:rPr>
        <w:t>The benefits of social inclusion of Roma in the Slovak Republic</w:t>
      </w:r>
      <w:r w:rsidRPr="00F5028F">
        <w:rPr>
          <w:szCs w:val="22"/>
        </w:rPr>
        <w:t>, Technical background paper, forthcoming.</w:t>
      </w:r>
    </w:p>
    <w:p w14:paraId="77B44322" w14:textId="77777777" w:rsidR="00913A5B" w:rsidRPr="00F5028F" w:rsidRDefault="00913A5B" w:rsidP="00913A5B">
      <w:pPr>
        <w:spacing w:before="160" w:after="160"/>
        <w:jc w:val="left"/>
        <w:rPr>
          <w:szCs w:val="22"/>
        </w:rPr>
      </w:pPr>
      <w:r w:rsidRPr="00F5028F">
        <w:rPr>
          <w:szCs w:val="22"/>
        </w:rPr>
        <w:t xml:space="preserve">Gibb, K. a kol. (2007). Pathways to Inclusion: Moving from special school to mainstream, </w:t>
      </w:r>
      <w:r w:rsidRPr="00F5028F">
        <w:rPr>
          <w:i/>
          <w:iCs/>
          <w:szCs w:val="22"/>
        </w:rPr>
        <w:t>Educational Psychology in Practice,</w:t>
      </w:r>
      <w:r w:rsidRPr="00F5028F">
        <w:rPr>
          <w:szCs w:val="22"/>
        </w:rPr>
        <w:t xml:space="preserve"> 23(2):109-127 </w:t>
      </w:r>
    </w:p>
    <w:p w14:paraId="5980558D" w14:textId="77777777" w:rsidR="00913A5B" w:rsidRPr="00F5028F" w:rsidRDefault="00913A5B" w:rsidP="00913A5B">
      <w:pPr>
        <w:spacing w:before="160" w:after="160"/>
        <w:jc w:val="left"/>
        <w:rPr>
          <w:szCs w:val="22"/>
        </w:rPr>
      </w:pPr>
      <w:r w:rsidRPr="00F5028F">
        <w:rPr>
          <w:szCs w:val="22"/>
        </w:rPr>
        <w:t xml:space="preserve">Godvinová, D. Vedúce v kuchyniach sa idú zblázniť. Obedy v školách nie sú zadarmo, rodičia nerozumejú poplatkom. Denník N. </w:t>
      </w:r>
    </w:p>
    <w:p w14:paraId="2B5EF923" w14:textId="77777777" w:rsidR="00913A5B" w:rsidRPr="00F5028F" w:rsidRDefault="00913A5B" w:rsidP="00913A5B">
      <w:pPr>
        <w:rPr>
          <w:noProof/>
          <w:szCs w:val="22"/>
        </w:rPr>
      </w:pPr>
      <w:r w:rsidRPr="00F5028F">
        <w:rPr>
          <w:noProof/>
          <w:szCs w:val="22"/>
        </w:rPr>
        <w:t>Goux, D., &amp; Maurin, E. (2005). The effect of overcrowded housing on children's performance at school. Journal of Public economics, 89(5-6), 797-819</w:t>
      </w:r>
    </w:p>
    <w:p w14:paraId="2D2779BD" w14:textId="7838A593" w:rsidR="00E940F9" w:rsidRDefault="00E940F9" w:rsidP="00913A5B">
      <w:pPr>
        <w:spacing w:before="160"/>
        <w:rPr>
          <w:noProof/>
          <w:szCs w:val="22"/>
        </w:rPr>
      </w:pPr>
      <w:r>
        <w:rPr>
          <w:noProof/>
          <w:szCs w:val="22"/>
        </w:rPr>
        <w:t xml:space="preserve">Hagara, E., Š. Kišš a Ľ. Ódor (2019), Rozpočet 2.0: Ako posunúť Slovensko do prvej ligy vo verejných financiách, </w:t>
      </w:r>
      <w:hyperlink r:id="rId162" w:history="1">
        <w:r>
          <w:rPr>
            <w:rStyle w:val="Hypertextovprepojenie"/>
          </w:rPr>
          <w:t>http://www.nbs.sk/_img/Documents/_Publikacie/rozpocet20/Rozpocet_20_Seminar_FV.pdf?fbclid=IwAR3dcYuHHnAgDE6E76wajPEM7XM2PN-ZTks7r7jhX2yc-SDo_V4aJ2SDzdQ</w:t>
        </w:r>
      </w:hyperlink>
    </w:p>
    <w:p w14:paraId="7588714E" w14:textId="77777777" w:rsidR="00913A5B" w:rsidRPr="00F5028F" w:rsidRDefault="00913A5B" w:rsidP="00913A5B">
      <w:pPr>
        <w:spacing w:before="160"/>
        <w:rPr>
          <w:noProof/>
          <w:szCs w:val="22"/>
        </w:rPr>
      </w:pPr>
      <w:r w:rsidRPr="00F5028F">
        <w:rPr>
          <w:noProof/>
          <w:szCs w:val="22"/>
        </w:rPr>
        <w:t>Hanson, J. L., Chandra, A., Wolfe, B. L., a Pollak, S. D. (2011). Association between income and the hippocampus. PloS one, 6(5), e18712</w:t>
      </w:r>
    </w:p>
    <w:p w14:paraId="0E6FA304" w14:textId="77777777" w:rsidR="00913A5B" w:rsidRPr="00F5028F" w:rsidRDefault="00913A5B" w:rsidP="00913A5B">
      <w:pPr>
        <w:pStyle w:val="Bezriadkovania"/>
        <w:rPr>
          <w:rFonts w:ascii="Arial Narrow" w:hAnsi="Arial Narrow"/>
        </w:rPr>
      </w:pPr>
      <w:r w:rsidRPr="00F5028F">
        <w:rPr>
          <w:rFonts w:ascii="Arial Narrow" w:hAnsi="Arial Narrow"/>
        </w:rPr>
        <w:t xml:space="preserve">Hapalová, M. (2019). </w:t>
      </w:r>
      <w:r w:rsidRPr="00F5028F">
        <w:rPr>
          <w:rFonts w:ascii="Arial Narrow" w:hAnsi="Arial Narrow"/>
          <w:i/>
          <w:iCs/>
        </w:rPr>
        <w:t>Vylúčenie časti detí so zdravotným znevýhodnením zo vzdelávania</w:t>
      </w:r>
      <w:r w:rsidRPr="00F5028F">
        <w:rPr>
          <w:rFonts w:ascii="Arial Narrow" w:hAnsi="Arial Narrow"/>
        </w:rPr>
        <w:t>. Bratislava: To dá rozum.</w:t>
      </w:r>
    </w:p>
    <w:p w14:paraId="6BCD96A9" w14:textId="77777777" w:rsidR="00913A5B" w:rsidRPr="00F5028F" w:rsidRDefault="00913A5B" w:rsidP="00913A5B">
      <w:pPr>
        <w:spacing w:before="160"/>
        <w:rPr>
          <w:szCs w:val="22"/>
        </w:rPr>
      </w:pPr>
      <w:r w:rsidRPr="00F5028F">
        <w:rPr>
          <w:szCs w:val="22"/>
        </w:rPr>
        <w:t xml:space="preserve">Hasluck C., Elias P. a Green A. (2003), The Wider Labour Market Impact of Employment Zones, Institute for Employment Research, University of Warwick, </w:t>
      </w:r>
      <w:hyperlink r:id="rId163" w:history="1">
        <w:r w:rsidRPr="00F5028F">
          <w:rPr>
            <w:rStyle w:val="Hypertextovprepojenie"/>
            <w:szCs w:val="22"/>
          </w:rPr>
          <w:t>https://www.researchgate.net/publication/265143256_The_-Wider_Labour_Market_Impact_of_Employment_Zones</w:t>
        </w:r>
      </w:hyperlink>
      <w:r w:rsidRPr="00F5028F">
        <w:rPr>
          <w:szCs w:val="22"/>
        </w:rPr>
        <w:t xml:space="preserve"> </w:t>
      </w:r>
    </w:p>
    <w:p w14:paraId="4919B2CD" w14:textId="77777777" w:rsidR="00913A5B" w:rsidRPr="00F5028F" w:rsidRDefault="00913A5B" w:rsidP="00913A5B">
      <w:pPr>
        <w:spacing w:before="160"/>
        <w:rPr>
          <w:szCs w:val="22"/>
        </w:rPr>
      </w:pPr>
      <w:r w:rsidRPr="00F5028F">
        <w:rPr>
          <w:rFonts w:eastAsia="Arial Narrow" w:cs="Arial Narrow"/>
          <w:szCs w:val="22"/>
        </w:rPr>
        <w:t xml:space="preserve">Heckl, E. a I. Pecher (2008), </w:t>
      </w:r>
      <w:r w:rsidRPr="00F5028F">
        <w:rPr>
          <w:szCs w:val="22"/>
        </w:rPr>
        <w:t xml:space="preserve">Practices of providing reasonable accommodation for persons with disabilities in the workplace, Austrian Institute for SME Research: </w:t>
      </w:r>
      <w:hyperlink r:id="rId164" w:history="1">
        <w:r w:rsidRPr="00F5028F">
          <w:rPr>
            <w:rStyle w:val="Hypertextovprepojenie"/>
            <w:szCs w:val="22"/>
          </w:rPr>
          <w:t>file:///C:/Users/thellebrandt/Downloads/material%20for%20publication_accessible.pdf</w:t>
        </w:r>
      </w:hyperlink>
    </w:p>
    <w:p w14:paraId="79ED4167" w14:textId="77777777" w:rsidR="00913A5B" w:rsidRPr="00F5028F" w:rsidRDefault="00913A5B" w:rsidP="00913A5B">
      <w:pPr>
        <w:spacing w:before="160"/>
        <w:rPr>
          <w:szCs w:val="22"/>
        </w:rPr>
      </w:pPr>
      <w:r w:rsidRPr="00F5028F">
        <w:rPr>
          <w:szCs w:val="22"/>
        </w:rPr>
        <w:t xml:space="preserve">Hidas S. a V. Horváthová (2018), Women still can’t have it all, Ekonomická analýza, Inštitút finančnej politiky: </w:t>
      </w:r>
      <w:hyperlink r:id="rId165" w:history="1">
        <w:r w:rsidRPr="00F5028F">
          <w:rPr>
            <w:rStyle w:val="Hypertextovprepojenie"/>
            <w:szCs w:val="22"/>
          </w:rPr>
          <w:t>https://www.finance.gov.sk/files/archiv/priloha-stranky/19961/63/Women_employment_20180511_final.pdf</w:t>
        </w:r>
      </w:hyperlink>
      <w:r w:rsidRPr="00F5028F">
        <w:rPr>
          <w:szCs w:val="22"/>
        </w:rPr>
        <w:t xml:space="preserve"> </w:t>
      </w:r>
    </w:p>
    <w:p w14:paraId="1DF311F1" w14:textId="77777777" w:rsidR="00913A5B" w:rsidRPr="00F5028F" w:rsidRDefault="00913A5B" w:rsidP="00913A5B">
      <w:pPr>
        <w:spacing w:before="160" w:after="160"/>
        <w:jc w:val="left"/>
        <w:rPr>
          <w:noProof/>
          <w:szCs w:val="22"/>
        </w:rPr>
      </w:pPr>
      <w:r w:rsidRPr="00F5028F">
        <w:rPr>
          <w:noProof/>
          <w:szCs w:val="22"/>
        </w:rPr>
        <w:t xml:space="preserve">Hidas S., Z. Lafférsová a G. Machlica (2018), Inklúzia Rómov je celospoločenskou výzvou, Komentár Inštitútu finančnej politiky: </w:t>
      </w:r>
      <w:hyperlink r:id="rId166" w:history="1">
        <w:r w:rsidRPr="00F5028F">
          <w:rPr>
            <w:rStyle w:val="Hypertextovprepojenie"/>
            <w:noProof/>
            <w:szCs w:val="22"/>
          </w:rPr>
          <w:t>https://www.finance.gov.sk/files/archiv/priloha-stranky/17297/35/2018_18_Inkluzia_final.pdf</w:t>
        </w:r>
      </w:hyperlink>
      <w:r w:rsidRPr="00F5028F">
        <w:rPr>
          <w:noProof/>
          <w:szCs w:val="22"/>
        </w:rPr>
        <w:t xml:space="preserve"> </w:t>
      </w:r>
    </w:p>
    <w:p w14:paraId="11041868" w14:textId="77777777" w:rsidR="00913A5B" w:rsidRPr="00F5028F" w:rsidRDefault="00913A5B" w:rsidP="00913A5B">
      <w:pPr>
        <w:spacing w:before="160" w:after="160"/>
        <w:jc w:val="left"/>
        <w:rPr>
          <w:noProof/>
          <w:szCs w:val="22"/>
        </w:rPr>
      </w:pPr>
      <w:r w:rsidRPr="00F5028F">
        <w:rPr>
          <w:noProof/>
          <w:szCs w:val="22"/>
        </w:rPr>
        <w:t xml:space="preserve">Hidas, S., Val’ková, K. &amp; Harvan, P. (2016). Vel’a práce na úradoch práce: Efektivita a účinnost’ služieb zamestnanosti, </w:t>
      </w:r>
      <w:r w:rsidRPr="00F5028F">
        <w:rPr>
          <w:i/>
          <w:noProof/>
          <w:szCs w:val="22"/>
        </w:rPr>
        <w:t>Ekonomická analýza</w:t>
      </w:r>
      <w:r w:rsidRPr="00F5028F">
        <w:rPr>
          <w:noProof/>
          <w:szCs w:val="22"/>
        </w:rPr>
        <w:t xml:space="preserve"> 40, Inštitút finančnej politiky. </w:t>
      </w:r>
      <w:hyperlink r:id="rId167" w:history="1">
        <w:r w:rsidRPr="00F5028F">
          <w:rPr>
            <w:rStyle w:val="Hypertextovprepojenie"/>
            <w:noProof/>
            <w:szCs w:val="22"/>
          </w:rPr>
          <w:t>http://www.finance.gov.sk/Default.aspx?CatID=11228</w:t>
        </w:r>
      </w:hyperlink>
      <w:r w:rsidRPr="00F5028F">
        <w:rPr>
          <w:noProof/>
          <w:szCs w:val="22"/>
        </w:rPr>
        <w:t xml:space="preserve"> </w:t>
      </w:r>
    </w:p>
    <w:p w14:paraId="6528F6B1" w14:textId="77777777" w:rsidR="00913A5B" w:rsidRPr="00F5028F" w:rsidRDefault="00913A5B" w:rsidP="00913A5B">
      <w:pPr>
        <w:spacing w:before="160" w:after="160"/>
        <w:jc w:val="left"/>
        <w:rPr>
          <w:noProof/>
          <w:szCs w:val="22"/>
        </w:rPr>
      </w:pPr>
      <w:r w:rsidRPr="00F5028F">
        <w:rPr>
          <w:noProof/>
          <w:szCs w:val="22"/>
        </w:rPr>
        <w:t xml:space="preserve">Hijová, E. &amp; Madarasová-Gecková, A., (2012). Stravovacie zvyklosti a výživa Rómov. </w:t>
      </w:r>
      <w:r w:rsidRPr="00F5028F">
        <w:rPr>
          <w:i/>
          <w:iCs/>
          <w:noProof/>
          <w:szCs w:val="22"/>
        </w:rPr>
        <w:t xml:space="preserve">Lekársky Obzor, </w:t>
      </w:r>
      <w:r w:rsidRPr="00F5028F">
        <w:rPr>
          <w:noProof/>
          <w:szCs w:val="22"/>
        </w:rPr>
        <w:t>Issue 61, pp. 358-362.</w:t>
      </w:r>
    </w:p>
    <w:p w14:paraId="6F8CC4E1" w14:textId="77777777" w:rsidR="00913A5B" w:rsidRPr="00F5028F" w:rsidRDefault="00913A5B" w:rsidP="00913A5B">
      <w:pPr>
        <w:spacing w:before="160" w:after="160"/>
        <w:jc w:val="left"/>
        <w:rPr>
          <w:szCs w:val="22"/>
        </w:rPr>
      </w:pPr>
      <w:r w:rsidRPr="00F5028F">
        <w:rPr>
          <w:noProof/>
          <w:szCs w:val="22"/>
        </w:rPr>
        <w:t xml:space="preserve">Holenová, R. (2015). </w:t>
      </w:r>
      <w:r w:rsidRPr="00F5028F">
        <w:rPr>
          <w:i/>
          <w:iCs/>
          <w:szCs w:val="22"/>
        </w:rPr>
        <w:t>Architektonické bariéry vo vysokoškolskom prostredí a opatrenia na predchádzanie ich vzniku.</w:t>
      </w:r>
      <w:r w:rsidRPr="00F5028F">
        <w:rPr>
          <w:szCs w:val="22"/>
        </w:rPr>
        <w:t xml:space="preserve"> Bratislava: UK. </w:t>
      </w:r>
      <w:hyperlink r:id="rId168" w:history="1">
        <w:r w:rsidRPr="00F5028F">
          <w:rPr>
            <w:rStyle w:val="Hypertextovprepojenie"/>
            <w:szCs w:val="22"/>
          </w:rPr>
          <w:t>https://uniba.sk/fileadmin/ruk/cezap/Architektonicke_bariery_voVSprostredi.pdf</w:t>
        </w:r>
      </w:hyperlink>
    </w:p>
    <w:p w14:paraId="0669F11D" w14:textId="77777777" w:rsidR="00913A5B" w:rsidRPr="00F5028F" w:rsidRDefault="00913A5B" w:rsidP="00913A5B">
      <w:pPr>
        <w:pStyle w:val="Bezriadkovania"/>
        <w:spacing w:before="160" w:after="160"/>
        <w:rPr>
          <w:rFonts w:ascii="Arial Narrow" w:hAnsi="Arial Narrow"/>
          <w:noProof/>
        </w:rPr>
      </w:pPr>
      <w:r w:rsidRPr="00F5028F">
        <w:rPr>
          <w:rFonts w:ascii="Arial Narrow" w:hAnsi="Arial Narrow"/>
          <w:noProof/>
        </w:rPr>
        <w:t>Hurrass, J., Heinzow, B., Aurbach, U., Bergmann, K. C., Bufe, A., Buzina, W., ... &amp; Heinz, W. (2017). Medical diagnostics for indoor mold exposure. International journal of hygiene and environmental health, 220(2), 305-328</w:t>
      </w:r>
    </w:p>
    <w:p w14:paraId="2953A54D" w14:textId="77777777" w:rsidR="00913A5B" w:rsidRPr="00F5028F" w:rsidRDefault="00913A5B" w:rsidP="00913A5B">
      <w:pPr>
        <w:spacing w:before="160" w:after="160"/>
        <w:jc w:val="left"/>
        <w:rPr>
          <w:szCs w:val="22"/>
        </w:rPr>
      </w:pPr>
      <w:r w:rsidRPr="00F5028F">
        <w:rPr>
          <w:szCs w:val="22"/>
        </w:rPr>
        <w:t xml:space="preserve">IFP (2014a) Odvodová úľava zlepšila vyhliadky dlhodobo nezamestnaným, </w:t>
      </w:r>
      <w:r w:rsidRPr="00F5028F">
        <w:rPr>
          <w:i/>
          <w:szCs w:val="22"/>
        </w:rPr>
        <w:t>Komentár</w:t>
      </w:r>
      <w:r w:rsidRPr="00F5028F">
        <w:rPr>
          <w:szCs w:val="22"/>
        </w:rPr>
        <w:t xml:space="preserve">, Inštitút finančnej politiky, Bratislava: </w:t>
      </w:r>
      <w:hyperlink r:id="rId169" w:history="1">
        <w:r w:rsidRPr="00F5028F">
          <w:rPr>
            <w:rStyle w:val="Hypertextovprepojenie"/>
            <w:szCs w:val="22"/>
          </w:rPr>
          <w:t>https://www.mfsr.sk/sk/financie/verejne-financie/regulacny-komplex-pravnych-noriem-metodickych-postupov-z-oblasti-rozpoctoveho-procesu/rozpoctova-klasifikacia/uplne-znenie-metodickeho-usmernenia-ministerstva-financii-slovenskej-republiky-k-c-mf/010175/2004-42-zo-dna-3.html</w:t>
        </w:r>
      </w:hyperlink>
      <w:r w:rsidRPr="00F5028F">
        <w:rPr>
          <w:szCs w:val="22"/>
        </w:rPr>
        <w:t xml:space="preserve"> </w:t>
      </w:r>
    </w:p>
    <w:p w14:paraId="08F9448E" w14:textId="77777777" w:rsidR="00913A5B" w:rsidRPr="00F5028F" w:rsidRDefault="00913A5B" w:rsidP="00913A5B">
      <w:pPr>
        <w:spacing w:before="160" w:after="160"/>
        <w:jc w:val="left"/>
        <w:rPr>
          <w:szCs w:val="22"/>
        </w:rPr>
      </w:pPr>
      <w:r w:rsidRPr="00F5028F">
        <w:rPr>
          <w:szCs w:val="22"/>
        </w:rPr>
        <w:t xml:space="preserve">IFP (2014b), Bez práce nie sú koláče, </w:t>
      </w:r>
      <w:r w:rsidRPr="00F5028F">
        <w:rPr>
          <w:i/>
          <w:szCs w:val="22"/>
        </w:rPr>
        <w:t>Komentár</w:t>
      </w:r>
      <w:r w:rsidRPr="00F5028F">
        <w:rPr>
          <w:szCs w:val="22"/>
        </w:rPr>
        <w:t xml:space="preserve">, Inštitút finančnej politiky, Bratislava </w:t>
      </w:r>
      <w:hyperlink r:id="rId170" w:history="1">
        <w:r w:rsidRPr="00F5028F">
          <w:rPr>
            <w:rStyle w:val="Hypertextovprepojenie"/>
            <w:szCs w:val="22"/>
          </w:rPr>
          <w:t>http://www.finance.gov.sk/Default.aspx?CatID=9887</w:t>
        </w:r>
      </w:hyperlink>
      <w:r w:rsidRPr="00F5028F">
        <w:rPr>
          <w:szCs w:val="22"/>
        </w:rPr>
        <w:t xml:space="preserve"> </w:t>
      </w:r>
    </w:p>
    <w:p w14:paraId="5DC7BD4C" w14:textId="77777777" w:rsidR="00913A5B" w:rsidRPr="00F5028F" w:rsidRDefault="00913A5B" w:rsidP="00913A5B">
      <w:pPr>
        <w:jc w:val="left"/>
        <w:rPr>
          <w:szCs w:val="22"/>
        </w:rPr>
      </w:pPr>
      <w:r w:rsidRPr="00F5028F">
        <w:rPr>
          <w:szCs w:val="22"/>
        </w:rPr>
        <w:t xml:space="preserve">IMF (2018), Pursuing Women's Economic Empowerment, Washington, D.C., </w:t>
      </w:r>
      <w:hyperlink r:id="rId171" w:history="1">
        <w:r w:rsidRPr="00F5028F">
          <w:rPr>
            <w:rStyle w:val="Hypertextovprepojenie"/>
            <w:szCs w:val="22"/>
          </w:rPr>
          <w:t>https://www.imf.org/en/Publications/Policy-Papers/Issues/2018/05/31/pp053118pursuing-womens-economic-empowerment</w:t>
        </w:r>
      </w:hyperlink>
      <w:r w:rsidRPr="00F5028F">
        <w:rPr>
          <w:szCs w:val="22"/>
        </w:rPr>
        <w:t xml:space="preserve"> </w:t>
      </w:r>
    </w:p>
    <w:p w14:paraId="52B5F1E9" w14:textId="77777777" w:rsidR="00913A5B" w:rsidRPr="00F5028F" w:rsidRDefault="00913A5B" w:rsidP="00913A5B">
      <w:pPr>
        <w:spacing w:before="160" w:after="160"/>
        <w:jc w:val="left"/>
        <w:rPr>
          <w:szCs w:val="22"/>
        </w:rPr>
      </w:pPr>
      <w:r w:rsidRPr="00F5028F">
        <w:rPr>
          <w:szCs w:val="22"/>
        </w:rPr>
        <w:t xml:space="preserve">IVP (2017), PISA 2015: Povornanie vybraných charakteristík vzdelávacích systémov, </w:t>
      </w:r>
      <w:r w:rsidRPr="00F5028F">
        <w:rPr>
          <w:i/>
          <w:szCs w:val="22"/>
        </w:rPr>
        <w:t>Komentár</w:t>
      </w:r>
      <w:r w:rsidRPr="00F5028F">
        <w:rPr>
          <w:szCs w:val="22"/>
        </w:rPr>
        <w:t xml:space="preserve"> 02/2017, Inštitút vzdelávacej politiky </w:t>
      </w:r>
      <w:hyperlink r:id="rId172" w:history="1">
        <w:r w:rsidRPr="00F5028F">
          <w:rPr>
            <w:rStyle w:val="Hypertextovprepojenie"/>
            <w:szCs w:val="22"/>
          </w:rPr>
          <w:t>https://www.minedu.sk/data/att/11679.pdf</w:t>
        </w:r>
      </w:hyperlink>
      <w:r w:rsidRPr="00F5028F">
        <w:rPr>
          <w:szCs w:val="22"/>
        </w:rPr>
        <w:t xml:space="preserve"> </w:t>
      </w:r>
    </w:p>
    <w:p w14:paraId="290E67AA" w14:textId="77777777" w:rsidR="00913A5B" w:rsidRPr="00F5028F" w:rsidRDefault="00913A5B" w:rsidP="00913A5B">
      <w:pPr>
        <w:jc w:val="left"/>
        <w:rPr>
          <w:szCs w:val="22"/>
        </w:rPr>
      </w:pPr>
      <w:r w:rsidRPr="00F5028F">
        <w:rPr>
          <w:szCs w:val="22"/>
        </w:rPr>
        <w:t xml:space="preserve">Jesenská, V., Liptáková, L., Feješ Dananaiová, B. (2018) Zásady a odporúčania sociálneho bývania s prvkami prestupného bývania, Ministerstvo Vnútra SR 3-14. </w:t>
      </w:r>
      <w:hyperlink r:id="rId173" w:history="1">
        <w:r w:rsidRPr="00F5028F">
          <w:rPr>
            <w:rStyle w:val="Hypertextovprepojenie"/>
            <w:szCs w:val="22"/>
          </w:rPr>
          <w:t>https://www.minv.sk/swift_data/source/mvsr_a_eu/oplz/vyzvy/vyzva_byvanie_2018/Priloha%20c.%2011%20-%20Zasady%20a%20odporucania.pdf</w:t>
        </w:r>
      </w:hyperlink>
      <w:r w:rsidRPr="00F5028F">
        <w:rPr>
          <w:szCs w:val="22"/>
        </w:rPr>
        <w:t xml:space="preserve"> </w:t>
      </w:r>
    </w:p>
    <w:p w14:paraId="28ABAD71" w14:textId="77777777" w:rsidR="00913A5B" w:rsidRPr="00F5028F" w:rsidRDefault="00913A5B" w:rsidP="00913A5B">
      <w:pPr>
        <w:spacing w:before="160" w:after="160"/>
        <w:jc w:val="left"/>
        <w:rPr>
          <w:noProof/>
          <w:szCs w:val="22"/>
        </w:rPr>
      </w:pPr>
      <w:r w:rsidRPr="00F5028F">
        <w:rPr>
          <w:noProof/>
          <w:szCs w:val="22"/>
        </w:rPr>
        <w:t>Johnson, S. B., Riis, J. L., a Noble, K. G. (2016). State of the art review: poverty and the developing brain. Pediatrics, 137(4), e20153075</w:t>
      </w:r>
    </w:p>
    <w:p w14:paraId="5D2982DE" w14:textId="77777777" w:rsidR="00913A5B" w:rsidRPr="00F5028F" w:rsidRDefault="00913A5B" w:rsidP="00913A5B">
      <w:pPr>
        <w:spacing w:before="160" w:after="160"/>
        <w:jc w:val="left"/>
        <w:rPr>
          <w:szCs w:val="22"/>
        </w:rPr>
      </w:pPr>
      <w:r w:rsidRPr="00F5028F">
        <w:rPr>
          <w:szCs w:val="22"/>
        </w:rPr>
        <w:t xml:space="preserve">Jurová, A. (2002), Historický vývoj rómskych osád na Slovensku a problematika vlastníckych vzťahov k pôde („nelegálne osady“), </w:t>
      </w:r>
      <w:r w:rsidRPr="00F5028F">
        <w:rPr>
          <w:i/>
          <w:iCs/>
          <w:szCs w:val="22"/>
        </w:rPr>
        <w:t>Človek a spoločnosť</w:t>
      </w:r>
      <w:r w:rsidRPr="00F5028F">
        <w:rPr>
          <w:szCs w:val="22"/>
        </w:rPr>
        <w:t xml:space="preserve">: </w:t>
      </w:r>
      <w:hyperlink r:id="rId174" w:history="1">
        <w:r w:rsidRPr="00F5028F">
          <w:rPr>
            <w:rStyle w:val="Hypertextovprepojenie"/>
            <w:szCs w:val="22"/>
          </w:rPr>
          <w:t>http://www.clovekaspolocnost.sk/jquery/pdf.php?gui=4C1CAWW8VEC76AVNLGD191A7C</w:t>
        </w:r>
      </w:hyperlink>
      <w:r w:rsidRPr="00F5028F">
        <w:rPr>
          <w:szCs w:val="22"/>
        </w:rPr>
        <w:t xml:space="preserve"> </w:t>
      </w:r>
    </w:p>
    <w:p w14:paraId="1C8E6F0B" w14:textId="77777777" w:rsidR="00913A5B" w:rsidRPr="00F5028F" w:rsidRDefault="00913A5B" w:rsidP="00913A5B">
      <w:pPr>
        <w:rPr>
          <w:szCs w:val="22"/>
        </w:rPr>
      </w:pPr>
      <w:r w:rsidRPr="00F5028F">
        <w:rPr>
          <w:szCs w:val="22"/>
        </w:rPr>
        <w:t xml:space="preserve">Kamenárová, R., E. Španová, H. Ľos Ivoríková, M. Mošaťová (2018), </w:t>
      </w:r>
      <w:r w:rsidRPr="00F5028F">
        <w:rPr>
          <w:i/>
          <w:szCs w:val="22"/>
        </w:rPr>
        <w:t>Krížom krážom: Metodická príručka – slovenčina A1</w:t>
      </w:r>
      <w:r w:rsidRPr="00F5028F">
        <w:rPr>
          <w:szCs w:val="22"/>
        </w:rPr>
        <w:t>. Bratislava: Univerzita Komenského v Bratislave.</w:t>
      </w:r>
    </w:p>
    <w:p w14:paraId="1F46BE28" w14:textId="77777777" w:rsidR="00913A5B" w:rsidRPr="00F5028F" w:rsidRDefault="00913A5B" w:rsidP="00913A5B">
      <w:pPr>
        <w:rPr>
          <w:noProof/>
          <w:szCs w:val="22"/>
        </w:rPr>
      </w:pPr>
      <w:r w:rsidRPr="00F5028F">
        <w:rPr>
          <w:noProof/>
          <w:szCs w:val="22"/>
        </w:rPr>
        <w:t>Karvonen, A. M., Hyvärinen, A., Korppi, M., Haverinen-Shaughnessy, U., Renz, H., Pfefferle, P. I., ... &amp; Pekkanen, J. (2015). Moisture damage and asthma: a birth cohort study. Pediatrics, 135(3), e598-e606.</w:t>
      </w:r>
    </w:p>
    <w:p w14:paraId="77F9D11B" w14:textId="77777777" w:rsidR="00913A5B" w:rsidRPr="00F5028F" w:rsidRDefault="00913A5B" w:rsidP="00913A5B">
      <w:pPr>
        <w:spacing w:before="160" w:after="160"/>
        <w:jc w:val="left"/>
        <w:rPr>
          <w:noProof/>
          <w:szCs w:val="22"/>
        </w:rPr>
      </w:pPr>
      <w:r w:rsidRPr="00F5028F">
        <w:rPr>
          <w:szCs w:val="22"/>
        </w:rPr>
        <w:t xml:space="preserve">Kešelová a spol. (2018): Kvalita služieb zamestnanosti: Individualizované služby zamestnanosti a vybrané skupiny uchádzačov o zamestnanie. </w:t>
      </w:r>
      <w:hyperlink r:id="rId175" w:history="1">
        <w:r w:rsidRPr="00F5028F">
          <w:rPr>
            <w:rStyle w:val="Hypertextovprepojenie"/>
            <w:szCs w:val="22"/>
          </w:rPr>
          <w:t>https://www.ceit.sk/IVPR/images/IVPR/vyskum/2018/Keselova/kvalita_sluzieb_zamestnanosti_keselova_2018.pdf</w:t>
        </w:r>
      </w:hyperlink>
      <w:r w:rsidRPr="00F5028F">
        <w:rPr>
          <w:szCs w:val="22"/>
        </w:rPr>
        <w:t xml:space="preserve"> </w:t>
      </w:r>
    </w:p>
    <w:p w14:paraId="45D7EB13" w14:textId="77777777" w:rsidR="00913A5B" w:rsidRPr="00F5028F" w:rsidRDefault="00913A5B" w:rsidP="00913A5B">
      <w:pPr>
        <w:spacing w:before="160" w:after="160"/>
        <w:jc w:val="left"/>
        <w:rPr>
          <w:szCs w:val="22"/>
        </w:rPr>
      </w:pPr>
      <w:r w:rsidRPr="00F5028F">
        <w:rPr>
          <w:szCs w:val="22"/>
        </w:rPr>
        <w:t xml:space="preserve">Kešelová, D. et al. (2017). </w:t>
      </w:r>
      <w:r w:rsidRPr="00F5028F">
        <w:rPr>
          <w:i/>
          <w:iCs/>
          <w:szCs w:val="22"/>
        </w:rPr>
        <w:t>Správa z prieskumu – Podmienky štúdia a prístupnosť akademického prostredia pre študentov so špecifickými potrebami.</w:t>
      </w:r>
      <w:r w:rsidRPr="00F5028F">
        <w:rPr>
          <w:szCs w:val="22"/>
        </w:rPr>
        <w:t xml:space="preserve"> Bratislava: UK.</w:t>
      </w:r>
    </w:p>
    <w:p w14:paraId="076211E5" w14:textId="77777777" w:rsidR="00913A5B" w:rsidRPr="00F5028F" w:rsidRDefault="00913A5B" w:rsidP="00913A5B">
      <w:pPr>
        <w:spacing w:before="160" w:after="160"/>
        <w:jc w:val="left"/>
        <w:rPr>
          <w:noProof/>
          <w:szCs w:val="22"/>
        </w:rPr>
      </w:pPr>
      <w:r w:rsidRPr="00F5028F">
        <w:rPr>
          <w:noProof/>
          <w:szCs w:val="22"/>
        </w:rPr>
        <w:t>Kim, P., Evans, G. W., Angstadt, M., Ho, S. S., Sripada, C. S., Swain, J. E., Liberzon, I. a Phan, K. L. (2013). Effects of childhood poverty and chronic stress on emotion regulatory brain function in adulthood. Proceedings of the National Academy of Sciences, 110(46), 18442-18447</w:t>
      </w:r>
    </w:p>
    <w:p w14:paraId="5855376F" w14:textId="77777777" w:rsidR="00913A5B" w:rsidRPr="00F5028F" w:rsidRDefault="00913A5B" w:rsidP="00913A5B">
      <w:pPr>
        <w:spacing w:before="160" w:after="160"/>
        <w:jc w:val="left"/>
        <w:rPr>
          <w:szCs w:val="22"/>
        </w:rPr>
      </w:pPr>
      <w:r w:rsidRPr="00F5028F">
        <w:rPr>
          <w:szCs w:val="22"/>
        </w:rPr>
        <w:t xml:space="preserve">Kiššová, K. (2017) Slovenčinu chcú učiť ako cudzí jazyk, nová mapa ukazuje, kde sa mieša s rómčinou, </w:t>
      </w:r>
      <w:r w:rsidRPr="00F5028F">
        <w:rPr>
          <w:i/>
          <w:szCs w:val="22"/>
        </w:rPr>
        <w:t>Denník N</w:t>
      </w:r>
      <w:r w:rsidRPr="00F5028F">
        <w:rPr>
          <w:szCs w:val="22"/>
        </w:rPr>
        <w:t xml:space="preserve"> </w:t>
      </w:r>
      <w:hyperlink r:id="rId176" w:history="1">
        <w:r w:rsidRPr="00F5028F">
          <w:rPr>
            <w:rStyle w:val="Hypertextovprepojenie"/>
            <w:szCs w:val="22"/>
          </w:rPr>
          <w:t>https://dennikn.sk/898985/slovencinu-mozu-ucit-ako-cudzi-jazyk-nova-mapa-ukazuje-kde-sa-miesa-s-romcinou/</w:t>
        </w:r>
      </w:hyperlink>
      <w:r w:rsidRPr="00F5028F">
        <w:rPr>
          <w:szCs w:val="22"/>
        </w:rPr>
        <w:t xml:space="preserve"> </w:t>
      </w:r>
    </w:p>
    <w:p w14:paraId="583C94D5" w14:textId="46351DF1" w:rsidR="00913A5B" w:rsidRPr="00F5028F" w:rsidRDefault="00913A5B" w:rsidP="00913A5B">
      <w:pPr>
        <w:spacing w:before="160" w:after="160"/>
        <w:jc w:val="left"/>
        <w:rPr>
          <w:szCs w:val="22"/>
        </w:rPr>
      </w:pPr>
      <w:r w:rsidRPr="00F5028F">
        <w:rPr>
          <w:szCs w:val="22"/>
        </w:rPr>
        <w:t xml:space="preserve">Kregel, J. Ed. D. a Dean, D.H. (2002) </w:t>
      </w:r>
      <w:r w:rsidR="003D1392">
        <w:rPr>
          <w:i/>
          <w:szCs w:val="22"/>
        </w:rPr>
        <w:t>Sheltered vs</w:t>
      </w:r>
      <w:r w:rsidRPr="00F5028F">
        <w:rPr>
          <w:i/>
          <w:szCs w:val="22"/>
        </w:rPr>
        <w:t>. Supported Employment : A Direct Comparison of Long-Term Earnings Outcomes for Individuals with Cognitive Disabilities</w:t>
      </w:r>
      <w:r w:rsidRPr="00F5028F">
        <w:rPr>
          <w:szCs w:val="22"/>
        </w:rPr>
        <w:t xml:space="preserve">. </w:t>
      </w:r>
      <w:hyperlink r:id="rId177" w:history="1">
        <w:r w:rsidRPr="00F5028F">
          <w:rPr>
            <w:rStyle w:val="Hypertextovprepojenie"/>
            <w:szCs w:val="22"/>
          </w:rPr>
          <w:t>https://pdfs.semanticscholar.org/aba8/400531ca8e78475bdff4db97a54d6cf76015.pdf?_ga=2.170159968.1940455536.1562077099-978996208.1562077099</w:t>
        </w:r>
      </w:hyperlink>
    </w:p>
    <w:p w14:paraId="2726A4B8" w14:textId="76E1532D" w:rsidR="00913A5B" w:rsidRPr="00F5028F" w:rsidRDefault="00913A5B" w:rsidP="00913A5B">
      <w:pPr>
        <w:jc w:val="left"/>
        <w:rPr>
          <w:szCs w:val="22"/>
        </w:rPr>
      </w:pPr>
      <w:r w:rsidRPr="00F5028F">
        <w:rPr>
          <w:szCs w:val="22"/>
        </w:rPr>
        <w:t>Kubala, J., Peciar, V. (2019) V nájme ďalej zájdeš: Podpora bývania na Slovensku, Inštitút finančnej politiky</w:t>
      </w:r>
      <w:r w:rsidR="00153584" w:rsidRPr="00F5028F">
        <w:rPr>
          <w:szCs w:val="22"/>
        </w:rPr>
        <w:t xml:space="preserve">, </w:t>
      </w:r>
      <w:hyperlink r:id="rId178" w:history="1">
        <w:r w:rsidR="00153584" w:rsidRPr="00F5028F">
          <w:rPr>
            <w:rStyle w:val="Hypertextovprepojenie"/>
            <w:szCs w:val="22"/>
          </w:rPr>
          <w:t>https://www.mfsr.sk/sk/financie/institut-financnej-politiky/publikacie-ifp/ekonomicke-analyzy/53-najme-dalej-zajdes-podpora-byvania-slovensku.html</w:t>
        </w:r>
      </w:hyperlink>
    </w:p>
    <w:p w14:paraId="1089EB8E" w14:textId="77777777" w:rsidR="00913A5B" w:rsidRPr="00F5028F" w:rsidRDefault="00913A5B" w:rsidP="00913A5B">
      <w:pPr>
        <w:jc w:val="left"/>
        <w:rPr>
          <w:szCs w:val="22"/>
        </w:rPr>
      </w:pPr>
      <w:r w:rsidRPr="00F5028F">
        <w:rPr>
          <w:szCs w:val="22"/>
        </w:rPr>
        <w:t xml:space="preserve">Kubala, J., Peciar, V. (2019) V nájme ďalej zájdeš: Podpora bývania na Slovensku, Inštitút finančnej politiky: </w:t>
      </w:r>
      <w:hyperlink r:id="rId179" w:history="1">
        <w:r w:rsidRPr="00F5028F">
          <w:rPr>
            <w:rStyle w:val="Hypertextovprepojenie"/>
            <w:szCs w:val="22"/>
          </w:rPr>
          <w:t>https://www.mfsr.sk/sk/financie/institut-financnej-politiky/publikacie-ifp/ekonomicke-analyzy/53-najme-dalej-zajdes-podpora-byvania-slovensku.html</w:t>
        </w:r>
      </w:hyperlink>
    </w:p>
    <w:p w14:paraId="161E6FB8" w14:textId="77777777" w:rsidR="00913A5B" w:rsidRPr="00F5028F" w:rsidRDefault="00913A5B" w:rsidP="00913A5B">
      <w:pPr>
        <w:spacing w:before="160" w:after="160"/>
        <w:jc w:val="left"/>
        <w:rPr>
          <w:szCs w:val="22"/>
        </w:rPr>
      </w:pPr>
      <w:r w:rsidRPr="00F5028F">
        <w:rPr>
          <w:szCs w:val="22"/>
        </w:rPr>
        <w:t xml:space="preserve">Kureková, L. M. (2014), Review of porfiling systems, categorization of jobseekers and calculation of unti costs in employment services – implications and applications for Slovakia, CELSI Research Report No. 8: </w:t>
      </w:r>
      <w:hyperlink r:id="rId180" w:history="1">
        <w:r w:rsidRPr="00F5028F">
          <w:rPr>
            <w:rStyle w:val="Hypertextovprepojenie"/>
            <w:szCs w:val="22"/>
          </w:rPr>
          <w:t>https://celsi.sk/media/research_reports/celsi_rr_8_final.pdf</w:t>
        </w:r>
      </w:hyperlink>
      <w:r w:rsidRPr="00F5028F">
        <w:rPr>
          <w:szCs w:val="22"/>
        </w:rPr>
        <w:t xml:space="preserve"> </w:t>
      </w:r>
    </w:p>
    <w:p w14:paraId="28B0A41C" w14:textId="77777777" w:rsidR="00913A5B" w:rsidRPr="00F5028F" w:rsidRDefault="00913A5B" w:rsidP="00913A5B">
      <w:pPr>
        <w:spacing w:before="160" w:after="160"/>
        <w:jc w:val="left"/>
        <w:rPr>
          <w:szCs w:val="22"/>
        </w:rPr>
      </w:pPr>
      <w:r w:rsidRPr="00F5028F">
        <w:rPr>
          <w:szCs w:val="22"/>
        </w:rPr>
        <w:t xml:space="preserve">Kureková, L. M., A. Salner, M. Farenzenová (2013), </w:t>
      </w:r>
      <w:r w:rsidRPr="00F5028F">
        <w:rPr>
          <w:i/>
          <w:szCs w:val="22"/>
        </w:rPr>
        <w:t>Implementácia aktivačných prác na Slovensku hodnotenie a odporúčania pre verejnú politiku</w:t>
      </w:r>
      <w:r w:rsidRPr="00F5028F">
        <w:rPr>
          <w:szCs w:val="22"/>
        </w:rPr>
        <w:t xml:space="preserve">, Slovak governance inistitute, Bratislava </w:t>
      </w:r>
      <w:hyperlink r:id="rId181" w:history="1">
        <w:r w:rsidRPr="00F5028F">
          <w:rPr>
            <w:rStyle w:val="Hypertextovprepojenie"/>
            <w:szCs w:val="22"/>
          </w:rPr>
          <w:t>http://stary-web.governance.sk/assets/files/publikacie/AKTIVACNE_PRACE_SGI_SK_ZHRNUTIE.pdf</w:t>
        </w:r>
      </w:hyperlink>
      <w:r w:rsidRPr="00F5028F">
        <w:rPr>
          <w:szCs w:val="22"/>
        </w:rPr>
        <w:t xml:space="preserve"> </w:t>
      </w:r>
    </w:p>
    <w:p w14:paraId="1B949DD7" w14:textId="77777777" w:rsidR="00913A5B" w:rsidRPr="00F5028F" w:rsidRDefault="00913A5B" w:rsidP="00913A5B">
      <w:pPr>
        <w:spacing w:before="160" w:after="160"/>
        <w:jc w:val="left"/>
        <w:rPr>
          <w:szCs w:val="22"/>
        </w:rPr>
      </w:pPr>
      <w:r w:rsidRPr="00F5028F">
        <w:rPr>
          <w:szCs w:val="22"/>
        </w:rPr>
        <w:t xml:space="preserve">Kusá, Z. (2013), </w:t>
      </w:r>
      <w:r w:rsidRPr="00F5028F">
        <w:rPr>
          <w:i/>
          <w:szCs w:val="22"/>
        </w:rPr>
        <w:t>Tieňová správa o chudobe a sociálnom vylúčení,</w:t>
      </w:r>
      <w:r w:rsidRPr="00F5028F">
        <w:rPr>
          <w:szCs w:val="22"/>
        </w:rPr>
        <w:t xml:space="preserve"> Slovenská sieť proti chudobe: </w:t>
      </w:r>
      <w:hyperlink r:id="rId182" w:history="1">
        <w:r w:rsidRPr="00F5028F">
          <w:rPr>
            <w:rStyle w:val="Hypertextovprepojenie"/>
            <w:szCs w:val="22"/>
          </w:rPr>
          <w:t>http://www.sociologia.sav.sk/cms/uploaded/1858_attach_tienova_sprava_2013_full.pdf</w:t>
        </w:r>
      </w:hyperlink>
      <w:r w:rsidRPr="00F5028F">
        <w:rPr>
          <w:szCs w:val="22"/>
        </w:rPr>
        <w:t xml:space="preserve"> </w:t>
      </w:r>
    </w:p>
    <w:p w14:paraId="2F780883" w14:textId="77777777" w:rsidR="00913A5B" w:rsidRPr="00F5028F" w:rsidRDefault="00913A5B" w:rsidP="00913A5B">
      <w:pPr>
        <w:rPr>
          <w:color w:val="000000" w:themeColor="text1"/>
          <w:szCs w:val="22"/>
        </w:rPr>
      </w:pPr>
      <w:r w:rsidRPr="00F5028F">
        <w:rPr>
          <w:color w:val="000000" w:themeColor="text1"/>
          <w:szCs w:val="22"/>
        </w:rPr>
        <w:t xml:space="preserve">Kuvíková, H., Gondášová, L., Svidroňová, M. (2015) Poskytovanie služieb bývania mimovládnym neziskovým sektorom, Banská Bystrica: Ekonomická fakulta Univerzity Mateja Bela, 1-12. </w:t>
      </w:r>
      <w:hyperlink r:id="rId183" w:history="1">
        <w:r w:rsidRPr="00F5028F">
          <w:rPr>
            <w:rStyle w:val="Hypertextovprepojenie"/>
            <w:szCs w:val="22"/>
          </w:rPr>
          <w:t>https://www.academia.edu/25636031/Poskytovanie_slu%C5%BEieb_b%C3%BDvania_mimovl%C3%A1dnym_neziskov%C3%BDm_sektorom_Providing_Housing_Services_through_Non-governmental_Non-profit_Sector</w:t>
        </w:r>
      </w:hyperlink>
    </w:p>
    <w:p w14:paraId="2AEB6767" w14:textId="77777777" w:rsidR="00913A5B" w:rsidRPr="00F5028F" w:rsidRDefault="00913A5B" w:rsidP="00913A5B">
      <w:pPr>
        <w:spacing w:before="160" w:after="160"/>
        <w:jc w:val="left"/>
        <w:rPr>
          <w:szCs w:val="22"/>
        </w:rPr>
      </w:pPr>
      <w:r w:rsidRPr="00F5028F">
        <w:rPr>
          <w:szCs w:val="22"/>
        </w:rPr>
        <w:t xml:space="preserve">Lajčáková, J., E. Gallová-Kriglerová, J. Kadlečíková, Z. Balážová a A. Chudžíková (2017), </w:t>
      </w:r>
      <w:r w:rsidRPr="00F5028F">
        <w:rPr>
          <w:i/>
          <w:szCs w:val="22"/>
        </w:rPr>
        <w:t>Riešenie nezamestnanosti Rómov</w:t>
      </w:r>
      <w:r w:rsidRPr="00F5028F">
        <w:rPr>
          <w:szCs w:val="22"/>
        </w:rPr>
        <w:t xml:space="preserve">, Centrum pre výskum etnicity a kultúry </w:t>
      </w:r>
      <w:hyperlink r:id="rId184" w:history="1">
        <w:r w:rsidRPr="00F5028F">
          <w:rPr>
            <w:rStyle w:val="Hypertextovprepojenie"/>
            <w:szCs w:val="22"/>
          </w:rPr>
          <w:t>http://cvek.sk/riesenie-nezamestnanosti-romov-od-mytu-k-praxi-a-spat/</w:t>
        </w:r>
      </w:hyperlink>
      <w:r w:rsidRPr="00F5028F">
        <w:rPr>
          <w:szCs w:val="22"/>
        </w:rPr>
        <w:t xml:space="preserve"> </w:t>
      </w:r>
    </w:p>
    <w:p w14:paraId="23EA9DC8" w14:textId="77777777" w:rsidR="00913A5B" w:rsidRPr="00F5028F" w:rsidRDefault="00913A5B" w:rsidP="00913A5B">
      <w:pPr>
        <w:spacing w:before="160" w:after="160"/>
        <w:jc w:val="left"/>
        <w:rPr>
          <w:noProof/>
          <w:szCs w:val="22"/>
        </w:rPr>
      </w:pPr>
      <w:r w:rsidRPr="00F5028F">
        <w:rPr>
          <w:noProof/>
          <w:szCs w:val="22"/>
        </w:rPr>
        <w:t>Luby, J., Belden, A., Botteron, K., Marrus, N., Harms, M. P., Babb, C., Nishino, T. a Barch, D. (2013). The effects of poverty on childhood brain development: the mediating effect of caregiving and stressful life events. JAMA pediatrics, 167(12), 1135-1142</w:t>
      </w:r>
    </w:p>
    <w:p w14:paraId="7AB3C071" w14:textId="7D215B06" w:rsidR="00913A5B" w:rsidRPr="00F5028F" w:rsidRDefault="00913A5B" w:rsidP="00913A5B">
      <w:pPr>
        <w:spacing w:before="160" w:after="160"/>
        <w:jc w:val="left"/>
        <w:rPr>
          <w:szCs w:val="22"/>
        </w:rPr>
      </w:pPr>
      <w:r w:rsidRPr="00F5028F">
        <w:rPr>
          <w:szCs w:val="22"/>
        </w:rPr>
        <w:t xml:space="preserve">Lynn A. Karolly et. All (2005). </w:t>
      </w:r>
      <w:r w:rsidRPr="00F5028F">
        <w:rPr>
          <w:i/>
          <w:szCs w:val="22"/>
        </w:rPr>
        <w:t>Early Childhood Interventions: Proven Results, Future Promise.</w:t>
      </w:r>
      <w:r w:rsidRPr="00F5028F">
        <w:rPr>
          <w:szCs w:val="22"/>
        </w:rPr>
        <w:t xml:space="preserve"> RAND Corporation. </w:t>
      </w:r>
      <w:hyperlink r:id="rId185" w:history="1">
        <w:r w:rsidR="00153584" w:rsidRPr="00F5028F">
          <w:rPr>
            <w:rStyle w:val="Hypertextovprepojenie"/>
            <w:szCs w:val="22"/>
          </w:rPr>
          <w:t>https://www.rand.org/content/dam/rand/pubs/monographs/2005/RAND_MG341.pdf</w:t>
        </w:r>
      </w:hyperlink>
      <w:r w:rsidR="00153584" w:rsidRPr="00F5028F">
        <w:rPr>
          <w:szCs w:val="22"/>
        </w:rPr>
        <w:t xml:space="preserve"> </w:t>
      </w:r>
    </w:p>
    <w:p w14:paraId="5CEAB77E" w14:textId="77777777" w:rsidR="00913A5B" w:rsidRPr="00F5028F" w:rsidRDefault="00913A5B" w:rsidP="00913A5B">
      <w:pPr>
        <w:spacing w:before="160" w:after="160"/>
        <w:jc w:val="left"/>
        <w:rPr>
          <w:szCs w:val="22"/>
        </w:rPr>
      </w:pPr>
      <w:r w:rsidRPr="00F5028F">
        <w:rPr>
          <w:rStyle w:val="Hypertextovprepojenie"/>
          <w:szCs w:val="22"/>
        </w:rPr>
        <w:t xml:space="preserve">Maughan, E. (2003). </w:t>
      </w:r>
      <w:r w:rsidRPr="00F5028F">
        <w:rPr>
          <w:szCs w:val="22"/>
        </w:rPr>
        <w:t xml:space="preserve">The Impact of School Nursing on School Performance: A Research Synthesis. </w:t>
      </w:r>
      <w:r w:rsidRPr="00F5028F">
        <w:rPr>
          <w:rFonts w:cs="Arial"/>
          <w:i/>
          <w:iCs/>
          <w:color w:val="2E414F"/>
          <w:szCs w:val="22"/>
          <w:shd w:val="clear" w:color="auto" w:fill="FFFFFF"/>
        </w:rPr>
        <w:t xml:space="preserve">The Journal of school nursing, </w:t>
      </w:r>
      <w:r w:rsidRPr="00F5028F">
        <w:rPr>
          <w:szCs w:val="22"/>
        </w:rPr>
        <w:t>Vol 19, Issue 3</w:t>
      </w:r>
    </w:p>
    <w:p w14:paraId="338E5423" w14:textId="77777777" w:rsidR="00913A5B" w:rsidRPr="00F5028F" w:rsidRDefault="00913A5B" w:rsidP="00913A5B">
      <w:pPr>
        <w:spacing w:before="160" w:after="160"/>
        <w:jc w:val="left"/>
        <w:rPr>
          <w:rFonts w:cs="ArialMT"/>
          <w:szCs w:val="22"/>
        </w:rPr>
      </w:pPr>
      <w:r w:rsidRPr="00F5028F">
        <w:rPr>
          <w:rFonts w:cs="ArialMT"/>
          <w:szCs w:val="22"/>
        </w:rPr>
        <w:t xml:space="preserve">Messing, V. (2014), Methodological puzzles of surveying Roma/Gypsy populations, </w:t>
      </w:r>
      <w:r w:rsidRPr="00F5028F">
        <w:rPr>
          <w:rFonts w:cs="ArialMT"/>
          <w:i/>
          <w:szCs w:val="22"/>
        </w:rPr>
        <w:t>Ethnicities</w:t>
      </w:r>
      <w:r w:rsidRPr="00F5028F">
        <w:rPr>
          <w:rFonts w:cs="ArialMT"/>
          <w:szCs w:val="22"/>
        </w:rPr>
        <w:t>, 14(6), 811-829</w:t>
      </w:r>
    </w:p>
    <w:p w14:paraId="763E83C0" w14:textId="77777777" w:rsidR="00913A5B" w:rsidRPr="00F5028F" w:rsidRDefault="00913A5B" w:rsidP="00913A5B">
      <w:pPr>
        <w:spacing w:before="160"/>
        <w:rPr>
          <w:szCs w:val="22"/>
        </w:rPr>
      </w:pPr>
      <w:r w:rsidRPr="00F5028F">
        <w:rPr>
          <w:szCs w:val="22"/>
        </w:rPr>
        <w:t xml:space="preserve">Misra J., S. Moller a M. J. Budig (2007), Work-family policies and poverty for partnered and single women in Europe and America, </w:t>
      </w:r>
      <w:r w:rsidRPr="00F5028F">
        <w:rPr>
          <w:i/>
          <w:szCs w:val="22"/>
        </w:rPr>
        <w:t>Gender and Society</w:t>
      </w:r>
      <w:r w:rsidRPr="00F5028F">
        <w:rPr>
          <w:szCs w:val="22"/>
        </w:rPr>
        <w:t>, 21(6), 804-827</w:t>
      </w:r>
    </w:p>
    <w:p w14:paraId="57515010" w14:textId="77777777" w:rsidR="00913A5B" w:rsidRPr="00F5028F" w:rsidRDefault="00913A5B" w:rsidP="00913A5B">
      <w:pPr>
        <w:rPr>
          <w:szCs w:val="22"/>
        </w:rPr>
      </w:pPr>
      <w:r w:rsidRPr="00F5028F">
        <w:rPr>
          <w:szCs w:val="22"/>
        </w:rPr>
        <w:t xml:space="preserve">Mizza, D. (2014), The First Language (L1) or Mother Tongue Model Vs. The Second Language (L2) Model of Literacy Instruction. </w:t>
      </w:r>
      <w:r w:rsidRPr="00F5028F">
        <w:rPr>
          <w:i/>
          <w:szCs w:val="22"/>
        </w:rPr>
        <w:t xml:space="preserve">Journal of Education and Human Development </w:t>
      </w:r>
      <w:r w:rsidRPr="00F5028F">
        <w:rPr>
          <w:szCs w:val="22"/>
        </w:rPr>
        <w:t>3(3), 101-9</w:t>
      </w:r>
    </w:p>
    <w:p w14:paraId="657964A1" w14:textId="77777777" w:rsidR="00913A5B" w:rsidRPr="00F5028F" w:rsidRDefault="00913A5B" w:rsidP="00913A5B">
      <w:pPr>
        <w:rPr>
          <w:szCs w:val="22"/>
        </w:rPr>
      </w:pPr>
      <w:r w:rsidRPr="00F5028F">
        <w:rPr>
          <w:szCs w:val="22"/>
        </w:rPr>
        <w:t xml:space="preserve">MPSVR (2019) Súhrnná správa o stave rodovej rovnosti na Slovensku za rok 2018 – Rodová rovnosť na trhu práce, </w:t>
      </w:r>
      <w:hyperlink r:id="rId186" w:history="1">
        <w:r w:rsidRPr="00F5028F">
          <w:rPr>
            <w:rStyle w:val="Hypertextovprepojenie"/>
            <w:szCs w:val="22"/>
          </w:rPr>
          <w:t>https://www.gender.gov.sk/wp-content/uploads/2019/06/SSRR_2018-final.pdf</w:t>
        </w:r>
      </w:hyperlink>
      <w:r w:rsidRPr="00F5028F">
        <w:rPr>
          <w:szCs w:val="22"/>
        </w:rPr>
        <w:t xml:space="preserve"> </w:t>
      </w:r>
    </w:p>
    <w:p w14:paraId="7D166720" w14:textId="77777777" w:rsidR="00913A5B" w:rsidRPr="00F5028F" w:rsidRDefault="00913A5B" w:rsidP="00913A5B">
      <w:pPr>
        <w:pStyle w:val="Bezriadkovania"/>
        <w:spacing w:before="160" w:after="160"/>
        <w:rPr>
          <w:rFonts w:ascii="Arial Narrow" w:hAnsi="Arial Narrow"/>
          <w:noProof/>
        </w:rPr>
      </w:pPr>
      <w:r w:rsidRPr="00F5028F">
        <w:rPr>
          <w:rFonts w:ascii="Arial Narrow" w:hAnsi="Arial Narrow"/>
          <w:noProof/>
        </w:rPr>
        <w:t xml:space="preserve">MŠVVŠ SR (2016, 2017, 2018). </w:t>
      </w:r>
      <w:r w:rsidRPr="00F5028F">
        <w:rPr>
          <w:rFonts w:ascii="Arial Narrow" w:hAnsi="Arial Narrow"/>
          <w:i/>
          <w:iCs/>
          <w:noProof/>
        </w:rPr>
        <w:t>Správa o hospodárení.</w:t>
      </w:r>
      <w:r w:rsidRPr="00F5028F">
        <w:rPr>
          <w:rFonts w:ascii="Arial Narrow" w:hAnsi="Arial Narrow"/>
          <w:noProof/>
        </w:rPr>
        <w:t xml:space="preserve"> </w:t>
      </w:r>
      <w:hyperlink r:id="rId187" w:history="1">
        <w:r w:rsidRPr="00F5028F">
          <w:rPr>
            <w:rStyle w:val="Hypertextovprepojenie"/>
            <w:rFonts w:ascii="Arial Narrow" w:hAnsi="Arial Narrow"/>
            <w:noProof/>
          </w:rPr>
          <w:t>https://www.minedu.sk/sprava-o-hospodareni/</w:t>
        </w:r>
      </w:hyperlink>
      <w:r w:rsidRPr="00F5028F">
        <w:rPr>
          <w:rFonts w:ascii="Arial Narrow" w:hAnsi="Arial Narrow"/>
          <w:noProof/>
        </w:rPr>
        <w:t xml:space="preserve"> </w:t>
      </w:r>
    </w:p>
    <w:p w14:paraId="5F7F3361" w14:textId="77777777" w:rsidR="00913A5B" w:rsidRPr="00F5028F" w:rsidRDefault="00913A5B" w:rsidP="00913A5B">
      <w:pPr>
        <w:spacing w:before="160" w:after="160"/>
        <w:jc w:val="left"/>
        <w:rPr>
          <w:rStyle w:val="Hypertextovprepojenie"/>
          <w:szCs w:val="22"/>
        </w:rPr>
      </w:pPr>
      <w:r w:rsidRPr="00F5028F">
        <w:rPr>
          <w:szCs w:val="22"/>
        </w:rPr>
        <w:t xml:space="preserve">MŠVVŠ SR (2017), </w:t>
      </w:r>
      <w:r w:rsidRPr="00F5028F">
        <w:rPr>
          <w:i/>
          <w:szCs w:val="22"/>
        </w:rPr>
        <w:t>Analýza zaškolenosti detí v materských školách – rok 2017</w:t>
      </w:r>
      <w:r w:rsidRPr="00F5028F">
        <w:rPr>
          <w:szCs w:val="22"/>
        </w:rPr>
        <w:t xml:space="preserve">, Ministerstvo školstva, vedy, výskumu a športu SR, Bratislava </w:t>
      </w:r>
      <w:hyperlink r:id="rId188" w:history="1">
        <w:r w:rsidRPr="00F5028F">
          <w:rPr>
            <w:rStyle w:val="Hypertextovprepojenie"/>
            <w:szCs w:val="22"/>
          </w:rPr>
          <w:t>https://www.minedu.sk/analyza-zaskolenosti-deti-v-materskych-skolach/</w:t>
        </w:r>
      </w:hyperlink>
    </w:p>
    <w:p w14:paraId="2DE2FAB6" w14:textId="77777777" w:rsidR="00913A5B" w:rsidRPr="00F5028F" w:rsidRDefault="00913A5B" w:rsidP="00913A5B">
      <w:pPr>
        <w:pStyle w:val="Bezriadkovania"/>
        <w:spacing w:before="160" w:after="160"/>
        <w:rPr>
          <w:rFonts w:ascii="Arial Narrow" w:hAnsi="Arial Narrow"/>
        </w:rPr>
      </w:pPr>
      <w:r w:rsidRPr="00F5028F">
        <w:rPr>
          <w:rFonts w:ascii="Arial Narrow" w:hAnsi="Arial Narrow"/>
        </w:rPr>
        <w:t xml:space="preserve">Musset, P. and L. Mytna Kurekova (2018). </w:t>
      </w:r>
      <w:r w:rsidRPr="00F5028F">
        <w:rPr>
          <w:rFonts w:ascii="Arial Narrow" w:hAnsi="Arial Narrow"/>
          <w:i/>
          <w:iCs/>
        </w:rPr>
        <w:t>Working it out: Career Guidance and Employer Engagement</w:t>
      </w:r>
      <w:r w:rsidRPr="00F5028F">
        <w:rPr>
          <w:rFonts w:ascii="Arial Narrow" w:hAnsi="Arial Narrow"/>
        </w:rPr>
        <w:t>. OECD Education Working Papers, No. 175, OECD Publishing, Paris</w:t>
      </w:r>
    </w:p>
    <w:p w14:paraId="77B8F639" w14:textId="30291135" w:rsidR="00913A5B" w:rsidRPr="00F5028F" w:rsidRDefault="00913A5B" w:rsidP="00913A5B">
      <w:pPr>
        <w:pStyle w:val="Bezriadkovania"/>
        <w:spacing w:before="160" w:after="160"/>
        <w:rPr>
          <w:rFonts w:ascii="Arial Narrow" w:hAnsi="Arial Narrow"/>
        </w:rPr>
      </w:pPr>
      <w:r w:rsidRPr="00F5028F">
        <w:rPr>
          <w:rFonts w:ascii="Arial Narrow" w:hAnsi="Arial Narrow"/>
        </w:rPr>
        <w:t xml:space="preserve">Národná asociácia včasnej intervencie (2016). </w:t>
      </w:r>
      <w:r w:rsidRPr="00F5028F">
        <w:rPr>
          <w:rFonts w:ascii="Arial Narrow" w:hAnsi="Arial Narrow"/>
          <w:i/>
        </w:rPr>
        <w:t>Odporúčania v oblasti včasnej intervencie: Sprievodca pre odborníkov.</w:t>
      </w:r>
      <w:r w:rsidRPr="00F5028F">
        <w:rPr>
          <w:rFonts w:ascii="Arial Narrow" w:hAnsi="Arial Narrow"/>
        </w:rPr>
        <w:t xml:space="preserve"> Portugalsko: Coimbra. </w:t>
      </w:r>
      <w:hyperlink r:id="rId189" w:history="1">
        <w:r w:rsidR="00153584" w:rsidRPr="00F5028F">
          <w:rPr>
            <w:rStyle w:val="Hypertextovprepojenie"/>
            <w:rFonts w:ascii="Arial Narrow" w:hAnsi="Arial Narrow"/>
          </w:rPr>
          <w:t>https://indd.adobe.com/view/ce456704-8e75-46a4-a7e6-700b024ed409</w:t>
        </w:r>
      </w:hyperlink>
      <w:r w:rsidR="00153584" w:rsidRPr="00F5028F">
        <w:rPr>
          <w:rFonts w:ascii="Arial Narrow" w:hAnsi="Arial Narrow"/>
        </w:rPr>
        <w:t xml:space="preserve"> </w:t>
      </w:r>
    </w:p>
    <w:p w14:paraId="0DCAEE4F" w14:textId="77777777" w:rsidR="00913A5B" w:rsidRPr="00F5028F" w:rsidRDefault="00913A5B" w:rsidP="00913A5B">
      <w:pPr>
        <w:spacing w:before="160" w:after="160"/>
        <w:jc w:val="left"/>
        <w:rPr>
          <w:szCs w:val="22"/>
        </w:rPr>
      </w:pPr>
      <w:r w:rsidRPr="00F5028F">
        <w:rPr>
          <w:szCs w:val="22"/>
        </w:rPr>
        <w:t xml:space="preserve">Národná banka Slovenska (2015), Vybrané aspekty bývania v európskych krajinách, </w:t>
      </w:r>
      <w:r w:rsidRPr="00F5028F">
        <w:rPr>
          <w:i/>
          <w:szCs w:val="22"/>
        </w:rPr>
        <w:t>Makroeokonomické otázky</w:t>
      </w:r>
      <w:r w:rsidRPr="00F5028F">
        <w:rPr>
          <w:szCs w:val="22"/>
        </w:rPr>
        <w:t xml:space="preserve">, </w:t>
      </w:r>
      <w:hyperlink r:id="rId190" w:history="1">
        <w:r w:rsidRPr="00F5028F">
          <w:rPr>
            <w:rStyle w:val="Hypertextovprepojenie"/>
            <w:szCs w:val="22"/>
          </w:rPr>
          <w:t>https://www.nbs.sk/_img/Documents/_PUBLIK_NBS_FSR/Biatec/Rok2015/09-2015/biatec_09_2015_03Car.pdf</w:t>
        </w:r>
      </w:hyperlink>
      <w:r w:rsidRPr="00F5028F">
        <w:rPr>
          <w:szCs w:val="22"/>
        </w:rPr>
        <w:t xml:space="preserve"> </w:t>
      </w:r>
    </w:p>
    <w:p w14:paraId="3D24FB15" w14:textId="77777777" w:rsidR="00913A5B" w:rsidRPr="00F5028F" w:rsidRDefault="00913A5B" w:rsidP="00913A5B">
      <w:pPr>
        <w:rPr>
          <w:szCs w:val="22"/>
        </w:rPr>
      </w:pPr>
      <w:r w:rsidRPr="00F5028F">
        <w:rPr>
          <w:rStyle w:val="Hypertextovprepojenie"/>
          <w:szCs w:val="22"/>
        </w:rPr>
        <w:t xml:space="preserve">NCSE (2012). </w:t>
      </w:r>
      <w:r w:rsidRPr="00F5028F">
        <w:rPr>
          <w:i/>
          <w:iCs/>
          <w:szCs w:val="22"/>
        </w:rPr>
        <w:t>Curriculum and curriculum access issues for students with special educational needs in post-primary settings: An international review.</w:t>
      </w:r>
      <w:r w:rsidRPr="00F5028F">
        <w:rPr>
          <w:szCs w:val="22"/>
        </w:rPr>
        <w:t xml:space="preserve"> </w:t>
      </w:r>
      <w:hyperlink r:id="rId191" w:history="1">
        <w:r w:rsidRPr="00F5028F">
          <w:rPr>
            <w:rStyle w:val="Hypertextovprepojenie"/>
            <w:szCs w:val="22"/>
          </w:rPr>
          <w:t>https://ncse.ie/wp-content/uploads/2014/10/Access_to_the_Curriculum_19_10_12-2.pdf</w:t>
        </w:r>
      </w:hyperlink>
    </w:p>
    <w:p w14:paraId="4EC118D0" w14:textId="593AD93C" w:rsidR="00913A5B" w:rsidRPr="00F5028F" w:rsidRDefault="00913A5B" w:rsidP="00913A5B">
      <w:pPr>
        <w:spacing w:before="160" w:after="160"/>
        <w:jc w:val="left"/>
        <w:rPr>
          <w:rFonts w:cs="ArialMT"/>
          <w:szCs w:val="22"/>
        </w:rPr>
      </w:pPr>
      <w:r w:rsidRPr="00F5028F">
        <w:rPr>
          <w:rFonts w:cs="ArialMT"/>
          <w:szCs w:val="22"/>
        </w:rPr>
        <w:t xml:space="preserve">NCSE (2013). </w:t>
      </w:r>
      <w:r w:rsidRPr="00F5028F">
        <w:rPr>
          <w:rFonts w:cs="ArialMT"/>
          <w:i/>
          <w:szCs w:val="22"/>
        </w:rPr>
        <w:t>Continuum of Education Provision for Children with Special Educational Needs.</w:t>
      </w:r>
      <w:r w:rsidRPr="00F5028F">
        <w:rPr>
          <w:rFonts w:cs="ArialMT"/>
          <w:szCs w:val="22"/>
        </w:rPr>
        <w:t xml:space="preserve"> </w:t>
      </w:r>
      <w:hyperlink r:id="rId192" w:history="1">
        <w:r w:rsidR="00153584" w:rsidRPr="00F5028F">
          <w:rPr>
            <w:rStyle w:val="Hypertextovprepojenie"/>
            <w:rFonts w:cs="ArialMT"/>
            <w:szCs w:val="22"/>
          </w:rPr>
          <w:t>https://ncse.ie/wp-content/uploads/2014/10/Report_13_Continuum_07_08_13.pdf</w:t>
        </w:r>
      </w:hyperlink>
      <w:r w:rsidR="00153584" w:rsidRPr="00F5028F">
        <w:rPr>
          <w:rFonts w:cs="ArialMT"/>
          <w:szCs w:val="22"/>
        </w:rPr>
        <w:t xml:space="preserve"> </w:t>
      </w:r>
    </w:p>
    <w:p w14:paraId="60E1C8A4" w14:textId="005C4D53" w:rsidR="00913A5B" w:rsidRPr="00F5028F" w:rsidRDefault="00913A5B" w:rsidP="00913A5B">
      <w:pPr>
        <w:spacing w:before="160" w:after="160"/>
        <w:jc w:val="left"/>
        <w:rPr>
          <w:rFonts w:cs="ArialMT"/>
          <w:szCs w:val="22"/>
        </w:rPr>
      </w:pPr>
      <w:r w:rsidRPr="00F5028F">
        <w:rPr>
          <w:rFonts w:cs="ArialMT"/>
          <w:szCs w:val="22"/>
        </w:rPr>
        <w:t xml:space="preserve">NCSE (2014). </w:t>
      </w:r>
      <w:r w:rsidRPr="00F5028F">
        <w:rPr>
          <w:rFonts w:cs="ArialMT"/>
          <w:i/>
          <w:szCs w:val="22"/>
        </w:rPr>
        <w:t>Special Needs Assistants Scheme.</w:t>
      </w:r>
      <w:r w:rsidRPr="00F5028F">
        <w:rPr>
          <w:rFonts w:cs="ArialMT"/>
          <w:szCs w:val="22"/>
        </w:rPr>
        <w:t xml:space="preserve"> </w:t>
      </w:r>
      <w:hyperlink r:id="rId193" w:history="1">
        <w:r w:rsidR="00153584" w:rsidRPr="00F5028F">
          <w:rPr>
            <w:rStyle w:val="Hypertextovprepojenie"/>
            <w:rFonts w:cs="ArialMT"/>
            <w:szCs w:val="22"/>
          </w:rPr>
          <w:t>https://ncse.ie/wp-content/uploads/2015/01/NCSE-SNA-Scheme-Information-Pamphlet.FINALwebaccessibleversion.16.01.151.pdf</w:t>
        </w:r>
      </w:hyperlink>
      <w:r w:rsidR="00153584" w:rsidRPr="00F5028F">
        <w:rPr>
          <w:rFonts w:cs="ArialMT"/>
          <w:szCs w:val="22"/>
        </w:rPr>
        <w:t xml:space="preserve"> </w:t>
      </w:r>
    </w:p>
    <w:p w14:paraId="50DB16B1" w14:textId="77777777" w:rsidR="00913A5B" w:rsidRPr="00F5028F" w:rsidRDefault="00913A5B" w:rsidP="00913A5B">
      <w:pPr>
        <w:spacing w:before="160" w:after="160"/>
        <w:jc w:val="left"/>
        <w:rPr>
          <w:szCs w:val="22"/>
        </w:rPr>
      </w:pPr>
      <w:r w:rsidRPr="00F5028F">
        <w:rPr>
          <w:rFonts w:cs="ArialMT"/>
          <w:szCs w:val="22"/>
        </w:rPr>
        <w:t xml:space="preserve">NCSE (2016). </w:t>
      </w:r>
      <w:r w:rsidRPr="00F5028F">
        <w:rPr>
          <w:i/>
          <w:iCs/>
          <w:szCs w:val="22"/>
        </w:rPr>
        <w:t>CHANGING SCHOOLS Moving Between Special and Mainstream Settings.</w:t>
      </w:r>
      <w:r w:rsidRPr="00F5028F">
        <w:rPr>
          <w:szCs w:val="22"/>
        </w:rPr>
        <w:t xml:space="preserve"> </w:t>
      </w:r>
      <w:hyperlink r:id="rId194" w:history="1">
        <w:r w:rsidRPr="00F5028F">
          <w:rPr>
            <w:rStyle w:val="Hypertextovprepojenie"/>
            <w:szCs w:val="22"/>
          </w:rPr>
          <w:t>https://ncse.ie/wp-content/uploads/2016/01/2-NCSE-2016-Changing-Schools-2-final-web-27.01.16.pdf</w:t>
        </w:r>
      </w:hyperlink>
    </w:p>
    <w:p w14:paraId="00025959" w14:textId="77777777" w:rsidR="00913A5B" w:rsidRPr="00F5028F" w:rsidRDefault="00913A5B" w:rsidP="00913A5B">
      <w:pPr>
        <w:spacing w:before="160"/>
        <w:rPr>
          <w:noProof/>
          <w:szCs w:val="22"/>
        </w:rPr>
      </w:pPr>
      <w:r w:rsidRPr="00F5028F">
        <w:rPr>
          <w:noProof/>
          <w:szCs w:val="22"/>
        </w:rPr>
        <w:t>Nisbett, R. E., Aronson, J., Blair, C., Dickens, W., Flynn, J., Halpern, D. F., a Turkheimer, E. (2012). Intelligence: new findings and theoretical developments. American psychologist, 67(2), 130</w:t>
      </w:r>
    </w:p>
    <w:p w14:paraId="752A6506" w14:textId="77777777" w:rsidR="00913A5B" w:rsidRPr="00F5028F" w:rsidRDefault="00913A5B" w:rsidP="00913A5B">
      <w:pPr>
        <w:spacing w:before="160"/>
        <w:rPr>
          <w:noProof/>
          <w:szCs w:val="22"/>
        </w:rPr>
      </w:pPr>
      <w:r w:rsidRPr="00F5028F">
        <w:rPr>
          <w:noProof/>
          <w:szCs w:val="22"/>
        </w:rPr>
        <w:t>Noble, K. G., Houston, S. M., Brito, N. H., Bartsch, H., Kan, E., Kuperman, J. M., ... a Schork, N. J. (2015). Family income, parental education and brain structure in children and adolescents. Nature neuroscience, 18(5), 773.</w:t>
      </w:r>
    </w:p>
    <w:p w14:paraId="76729223" w14:textId="77777777" w:rsidR="00913A5B" w:rsidRPr="00F5028F" w:rsidRDefault="00913A5B" w:rsidP="00913A5B">
      <w:pPr>
        <w:spacing w:before="160"/>
        <w:rPr>
          <w:szCs w:val="22"/>
        </w:rPr>
      </w:pPr>
      <w:r w:rsidRPr="00F5028F">
        <w:rPr>
          <w:szCs w:val="22"/>
        </w:rPr>
        <w:t xml:space="preserve">NUCEM (2018). </w:t>
      </w:r>
      <w:r w:rsidRPr="00F5028F">
        <w:rPr>
          <w:i/>
          <w:iCs/>
          <w:szCs w:val="22"/>
        </w:rPr>
        <w:t>Pokyny pre školských koordinátorov k papierovej forme testovania žiakov 9. ročníka ZŠ.</w:t>
      </w:r>
      <w:r w:rsidRPr="00F5028F">
        <w:rPr>
          <w:szCs w:val="22"/>
        </w:rPr>
        <w:t xml:space="preserve"> </w:t>
      </w:r>
      <w:hyperlink r:id="rId195" w:history="1">
        <w:r w:rsidRPr="00F5028F">
          <w:rPr>
            <w:rStyle w:val="Hypertextovprepojenie"/>
            <w:szCs w:val="22"/>
          </w:rPr>
          <w:t>https://www.nucem.sk/dl/818/Pokyny_pre_koordinatorov_T9_2018_final.pdf</w:t>
        </w:r>
      </w:hyperlink>
    </w:p>
    <w:p w14:paraId="245D3331" w14:textId="77777777" w:rsidR="00913A5B" w:rsidRPr="00F5028F" w:rsidRDefault="00913A5B" w:rsidP="00913A5B">
      <w:pPr>
        <w:spacing w:before="160" w:after="160"/>
        <w:jc w:val="left"/>
        <w:rPr>
          <w:noProof/>
          <w:szCs w:val="22"/>
        </w:rPr>
      </w:pPr>
      <w:r w:rsidRPr="00F5028F">
        <w:rPr>
          <w:noProof/>
          <w:szCs w:val="22"/>
        </w:rPr>
        <w:t>Nusslock, R., &amp; Miller, G. E. (2016). Early-life adversity and physical and emotional health across the lifespan: a neuroimmune network hypothesis. Biological psychiatry, 80(1), 23-32</w:t>
      </w:r>
    </w:p>
    <w:p w14:paraId="268196A0" w14:textId="77777777" w:rsidR="00913A5B" w:rsidRPr="00F5028F" w:rsidRDefault="00913A5B" w:rsidP="00913A5B">
      <w:pPr>
        <w:rPr>
          <w:rStyle w:val="Hypertextovprepojenie"/>
          <w:szCs w:val="22"/>
        </w:rPr>
      </w:pPr>
      <w:r w:rsidRPr="00F5028F">
        <w:rPr>
          <w:szCs w:val="22"/>
        </w:rPr>
        <w:t xml:space="preserve">Ó Duibhir, P., N. Ní Chuai, L. Ní Thuairisg, C. Ó Brolcháin (2015), </w:t>
      </w:r>
      <w:r w:rsidRPr="00F5028F">
        <w:rPr>
          <w:i/>
          <w:szCs w:val="22"/>
        </w:rPr>
        <w:t>Education Provision through Minority Languages: Review of International Research</w:t>
      </w:r>
      <w:r w:rsidRPr="00F5028F">
        <w:rPr>
          <w:szCs w:val="22"/>
        </w:rPr>
        <w:t xml:space="preserve">. Dublin: Department of Education and Skills. </w:t>
      </w:r>
      <w:hyperlink r:id="rId196" w:history="1">
        <w:r w:rsidRPr="00F5028F">
          <w:rPr>
            <w:rStyle w:val="Hypertextovprepojenie"/>
            <w:szCs w:val="22"/>
          </w:rPr>
          <w:t>https://www.education.ie/en/Press-Events/Events/Gaeltacht-Education-Policy-Proposals/Education-Provision-through-Minority-Languages_Review-of-International-Research_May-2015.pdf</w:t>
        </w:r>
      </w:hyperlink>
    </w:p>
    <w:p w14:paraId="547C37F7" w14:textId="77777777" w:rsidR="00913A5B" w:rsidRPr="00F5028F" w:rsidRDefault="00913A5B" w:rsidP="00913A5B">
      <w:pPr>
        <w:spacing w:before="160" w:after="160"/>
        <w:jc w:val="left"/>
        <w:rPr>
          <w:szCs w:val="22"/>
        </w:rPr>
      </w:pPr>
      <w:r w:rsidRPr="00F5028F">
        <w:rPr>
          <w:szCs w:val="22"/>
        </w:rPr>
        <w:t xml:space="preserve">OECD (2007), No More Failures – Ten Steps to Equity in Education, OECD, Paris </w:t>
      </w:r>
      <w:hyperlink r:id="rId197" w:history="1">
        <w:r w:rsidRPr="00F5028F">
          <w:rPr>
            <w:rStyle w:val="Hypertextovprepojenie"/>
            <w:szCs w:val="22"/>
          </w:rPr>
          <w:t>https://www.oecd.org/education/school/45179151.pdf</w:t>
        </w:r>
      </w:hyperlink>
      <w:r w:rsidRPr="00F5028F">
        <w:rPr>
          <w:szCs w:val="22"/>
        </w:rPr>
        <w:t xml:space="preserve"> </w:t>
      </w:r>
    </w:p>
    <w:p w14:paraId="3C7BCF47" w14:textId="77777777" w:rsidR="00913A5B" w:rsidRPr="00F5028F" w:rsidRDefault="00913A5B" w:rsidP="00913A5B">
      <w:pPr>
        <w:spacing w:before="160" w:after="160"/>
        <w:jc w:val="left"/>
        <w:rPr>
          <w:szCs w:val="22"/>
        </w:rPr>
      </w:pPr>
      <w:r w:rsidRPr="00F5028F">
        <w:rPr>
          <w:szCs w:val="22"/>
        </w:rPr>
        <w:t xml:space="preserve">OECD (2010) Equal opportunities? The labour market intergration of the children of immigrants, OECD, Paris </w:t>
      </w:r>
      <w:hyperlink r:id="rId198" w:history="1">
        <w:r w:rsidRPr="00F5028F">
          <w:rPr>
            <w:rStyle w:val="Hypertextovprepojenie"/>
            <w:szCs w:val="22"/>
          </w:rPr>
          <w:t>https://www.oecd-ilibrary.org/social-issues-migration-health/equal-opportunities_9789264086395-en</w:t>
        </w:r>
      </w:hyperlink>
      <w:r w:rsidRPr="00F5028F">
        <w:rPr>
          <w:szCs w:val="22"/>
        </w:rPr>
        <w:t xml:space="preserve"> </w:t>
      </w:r>
    </w:p>
    <w:p w14:paraId="74CBBABF" w14:textId="77777777" w:rsidR="00913A5B" w:rsidRPr="00F5028F" w:rsidRDefault="00913A5B" w:rsidP="00913A5B">
      <w:pPr>
        <w:spacing w:before="160" w:after="160"/>
        <w:jc w:val="left"/>
        <w:rPr>
          <w:szCs w:val="22"/>
        </w:rPr>
      </w:pPr>
      <w:r w:rsidRPr="00F5028F">
        <w:rPr>
          <w:szCs w:val="22"/>
        </w:rPr>
        <w:t xml:space="preserve">OECD (2015). </w:t>
      </w:r>
      <w:r w:rsidRPr="00F5028F">
        <w:rPr>
          <w:i/>
          <w:szCs w:val="22"/>
        </w:rPr>
        <w:t xml:space="preserve">LEARNING SUPPORT STAFF: A LITERATURE REVIEW. </w:t>
      </w:r>
      <w:r w:rsidRPr="00F5028F">
        <w:rPr>
          <w:szCs w:val="22"/>
        </w:rPr>
        <w:t>OECD Education Working Paper no.125. OECD Publishing, Paris. https://dx.doi.org/10.1787/5jrnzm39w45l-en</w:t>
      </w:r>
    </w:p>
    <w:p w14:paraId="46C81710" w14:textId="77777777" w:rsidR="00913A5B" w:rsidRPr="00F5028F" w:rsidRDefault="00913A5B" w:rsidP="00913A5B">
      <w:pPr>
        <w:spacing w:before="160" w:after="160"/>
        <w:jc w:val="left"/>
        <w:rPr>
          <w:szCs w:val="22"/>
        </w:rPr>
      </w:pPr>
      <w:r w:rsidRPr="00F5028F">
        <w:rPr>
          <w:szCs w:val="22"/>
        </w:rPr>
        <w:t xml:space="preserve">OECD (2015): </w:t>
      </w:r>
      <w:r w:rsidRPr="00F5028F">
        <w:rPr>
          <w:i/>
          <w:szCs w:val="22"/>
        </w:rPr>
        <w:t>OECD Employment Outlook 2015</w:t>
      </w:r>
      <w:r w:rsidRPr="00F5028F">
        <w:rPr>
          <w:szCs w:val="22"/>
        </w:rPr>
        <w:t xml:space="preserve">. OECD Publishing, Paris </w:t>
      </w:r>
      <w:hyperlink r:id="rId199" w:history="1">
        <w:r w:rsidRPr="00F5028F">
          <w:rPr>
            <w:rStyle w:val="Hypertextovprepojenie"/>
            <w:szCs w:val="22"/>
          </w:rPr>
          <w:t>http://ifuturo.org/documentacion/Employment%20outlook%202015.pdf</w:t>
        </w:r>
      </w:hyperlink>
    </w:p>
    <w:p w14:paraId="0529AD63" w14:textId="77777777" w:rsidR="00913A5B" w:rsidRPr="00F5028F" w:rsidRDefault="00913A5B" w:rsidP="00913A5B">
      <w:pPr>
        <w:spacing w:before="160" w:after="160"/>
        <w:jc w:val="left"/>
        <w:rPr>
          <w:szCs w:val="22"/>
        </w:rPr>
      </w:pPr>
      <w:r w:rsidRPr="00F5028F">
        <w:rPr>
          <w:szCs w:val="22"/>
        </w:rPr>
        <w:t xml:space="preserve">OECD (2015a), </w:t>
      </w:r>
      <w:r w:rsidRPr="00F5028F">
        <w:rPr>
          <w:i/>
          <w:iCs/>
          <w:szCs w:val="22"/>
        </w:rPr>
        <w:t xml:space="preserve">Integrating Social Services for Vulnerable Groups: Bridging Sectors for Better Service Delivery, </w:t>
      </w:r>
      <w:r w:rsidRPr="00F5028F">
        <w:rPr>
          <w:szCs w:val="22"/>
        </w:rPr>
        <w:t xml:space="preserve">OECD Publishing, Paris </w:t>
      </w:r>
      <w:hyperlink r:id="rId200" w:anchor="page1" w:history="1">
        <w:r w:rsidRPr="00F5028F">
          <w:rPr>
            <w:rStyle w:val="Hypertextovprepojenie"/>
            <w:szCs w:val="22"/>
          </w:rPr>
          <w:t>https://read.oecd-ilibrary.org/social-issues-migration-health/integrating-the-delivery-of-social-services-for-vulnerable-groups_9789264233775-en#page1</w:t>
        </w:r>
      </w:hyperlink>
    </w:p>
    <w:p w14:paraId="2AED6A03" w14:textId="77777777" w:rsidR="00913A5B" w:rsidRPr="00F5028F" w:rsidRDefault="00913A5B" w:rsidP="00913A5B">
      <w:pPr>
        <w:spacing w:before="160" w:after="160"/>
        <w:jc w:val="left"/>
        <w:rPr>
          <w:szCs w:val="22"/>
        </w:rPr>
      </w:pPr>
      <w:r w:rsidRPr="00F5028F">
        <w:rPr>
          <w:szCs w:val="22"/>
        </w:rPr>
        <w:t xml:space="preserve">OECD (2016), </w:t>
      </w:r>
      <w:r w:rsidRPr="00F5028F">
        <w:rPr>
          <w:i/>
          <w:szCs w:val="22"/>
        </w:rPr>
        <w:t>Low performing students: why they fall behind and how to help them succeed</w:t>
      </w:r>
      <w:r w:rsidRPr="00F5028F">
        <w:rPr>
          <w:szCs w:val="22"/>
        </w:rPr>
        <w:t xml:space="preserve">, OECD Publishing, Paris. </w:t>
      </w:r>
      <w:hyperlink r:id="rId201" w:history="1">
        <w:r w:rsidRPr="00F5028F">
          <w:rPr>
            <w:rStyle w:val="Hypertextovprepojenie"/>
            <w:szCs w:val="22"/>
          </w:rPr>
          <w:t>https://www.oecd-ilibrary.org/education/low-performing-students_9789264250246-en</w:t>
        </w:r>
      </w:hyperlink>
      <w:r w:rsidRPr="00F5028F">
        <w:rPr>
          <w:szCs w:val="22"/>
        </w:rPr>
        <w:t xml:space="preserve"> </w:t>
      </w:r>
    </w:p>
    <w:p w14:paraId="7108ADA8" w14:textId="77777777" w:rsidR="00913A5B" w:rsidRPr="00F5028F" w:rsidRDefault="00913A5B" w:rsidP="00913A5B">
      <w:pPr>
        <w:pStyle w:val="Bezriadkovania"/>
        <w:rPr>
          <w:rFonts w:ascii="Arial Narrow" w:hAnsi="Arial Narrow"/>
        </w:rPr>
      </w:pPr>
      <w:r w:rsidRPr="00F5028F">
        <w:rPr>
          <w:rFonts w:ascii="Arial Narrow" w:hAnsi="Arial Narrow"/>
        </w:rPr>
        <w:t xml:space="preserve">OECD (2016). </w:t>
      </w:r>
      <w:r w:rsidRPr="00F5028F">
        <w:rPr>
          <w:rFonts w:ascii="Arial Narrow" w:hAnsi="Arial Narrow"/>
          <w:i/>
          <w:iCs/>
        </w:rPr>
        <w:t>PISA 2015 Results (Volume 1)</w:t>
      </w:r>
      <w:r w:rsidRPr="00F5028F">
        <w:rPr>
          <w:rFonts w:ascii="Arial Narrow" w:hAnsi="Arial Narrow"/>
        </w:rPr>
        <w:t xml:space="preserve">. Table B1.6 - Results (tables): Socio-economic status, student performance and students' attitudes towards science. </w:t>
      </w:r>
    </w:p>
    <w:p w14:paraId="74FB0B8D" w14:textId="77777777" w:rsidR="00913A5B" w:rsidRPr="00F5028F" w:rsidRDefault="00913A5B" w:rsidP="00913A5B">
      <w:pPr>
        <w:spacing w:before="160" w:after="160"/>
        <w:jc w:val="left"/>
        <w:rPr>
          <w:rStyle w:val="Hypertextovprepojenie"/>
          <w:szCs w:val="22"/>
        </w:rPr>
      </w:pPr>
      <w:r w:rsidRPr="00F5028F">
        <w:rPr>
          <w:szCs w:val="22"/>
        </w:rPr>
        <w:t xml:space="preserve">OECD (2017), </w:t>
      </w:r>
      <w:r w:rsidRPr="00F5028F">
        <w:rPr>
          <w:i/>
          <w:szCs w:val="22"/>
        </w:rPr>
        <w:t>Educational Opportunity for All: Overcoming Inequality throughout the Life Course</w:t>
      </w:r>
      <w:r w:rsidRPr="00F5028F">
        <w:rPr>
          <w:szCs w:val="22"/>
        </w:rPr>
        <w:t xml:space="preserve">, OECD Publishing, Paris. </w:t>
      </w:r>
      <w:hyperlink r:id="rId202" w:history="1">
        <w:r w:rsidRPr="00F5028F">
          <w:rPr>
            <w:rStyle w:val="Hypertextovprepojenie"/>
            <w:szCs w:val="22"/>
          </w:rPr>
          <w:t>http://dx.doi.org/10.1787/9789264287457-en</w:t>
        </w:r>
      </w:hyperlink>
    </w:p>
    <w:p w14:paraId="5DF7146F" w14:textId="77777777" w:rsidR="00913A5B" w:rsidRPr="00F5028F" w:rsidRDefault="00913A5B" w:rsidP="00913A5B">
      <w:pPr>
        <w:spacing w:before="160" w:after="160"/>
        <w:jc w:val="left"/>
        <w:rPr>
          <w:rStyle w:val="Hypertextovprepojenie"/>
          <w:szCs w:val="22"/>
        </w:rPr>
      </w:pPr>
      <w:r w:rsidRPr="00F5028F">
        <w:rPr>
          <w:szCs w:val="22"/>
        </w:rPr>
        <w:t xml:space="preserve">OECD (2018a), Engaging Young Children: Lessons from Research about Quality in Early Childhood Education and Care, </w:t>
      </w:r>
      <w:r w:rsidRPr="00F5028F">
        <w:rPr>
          <w:i/>
          <w:szCs w:val="22"/>
        </w:rPr>
        <w:t>Starting Strong</w:t>
      </w:r>
      <w:r w:rsidRPr="00F5028F">
        <w:rPr>
          <w:szCs w:val="22"/>
        </w:rPr>
        <w:t xml:space="preserve">, OECD Publishing, Paris. </w:t>
      </w:r>
      <w:hyperlink r:id="rId203" w:history="1">
        <w:r w:rsidRPr="00F5028F">
          <w:rPr>
            <w:rStyle w:val="Hypertextovprepojenie"/>
            <w:szCs w:val="22"/>
          </w:rPr>
          <w:t>http://dx.doi.org/10.1787/9789264085145-en</w:t>
        </w:r>
      </w:hyperlink>
    </w:p>
    <w:p w14:paraId="6AD7DC09" w14:textId="77777777" w:rsidR="00913A5B" w:rsidRPr="00F5028F" w:rsidRDefault="00913A5B" w:rsidP="00913A5B">
      <w:pPr>
        <w:spacing w:before="160" w:after="160"/>
        <w:jc w:val="left"/>
        <w:rPr>
          <w:szCs w:val="22"/>
        </w:rPr>
      </w:pPr>
      <w:r w:rsidRPr="00F5028F">
        <w:rPr>
          <w:rStyle w:val="Hypertextovprepojenie"/>
          <w:szCs w:val="22"/>
        </w:rPr>
        <w:t xml:space="preserve">OECD (2018b), </w:t>
      </w:r>
      <w:r w:rsidRPr="00F5028F">
        <w:rPr>
          <w:rStyle w:val="Hypertextovprepojenie"/>
          <w:i/>
          <w:szCs w:val="22"/>
        </w:rPr>
        <w:t>PISA 2015 Results in Focus</w:t>
      </w:r>
      <w:r w:rsidRPr="00F5028F">
        <w:rPr>
          <w:rStyle w:val="Hypertextovprepojenie"/>
          <w:szCs w:val="22"/>
        </w:rPr>
        <w:t xml:space="preserve">, OECD, Paris </w:t>
      </w:r>
      <w:hyperlink r:id="rId204" w:history="1">
        <w:r w:rsidRPr="00F5028F">
          <w:rPr>
            <w:rStyle w:val="Hypertextovprepojenie"/>
            <w:szCs w:val="22"/>
          </w:rPr>
          <w:t>https://www.oecd.org/pisa/pisa-2015-results-in-focus.pdf</w:t>
        </w:r>
      </w:hyperlink>
      <w:r w:rsidRPr="00F5028F">
        <w:rPr>
          <w:rStyle w:val="Hypertextovprepojenie"/>
          <w:szCs w:val="22"/>
        </w:rPr>
        <w:t xml:space="preserve"> </w:t>
      </w:r>
    </w:p>
    <w:p w14:paraId="76212CD1" w14:textId="77777777" w:rsidR="00913A5B" w:rsidRPr="00F5028F" w:rsidRDefault="00913A5B" w:rsidP="00913A5B">
      <w:pPr>
        <w:spacing w:before="160" w:after="160"/>
        <w:jc w:val="left"/>
        <w:rPr>
          <w:szCs w:val="22"/>
        </w:rPr>
      </w:pPr>
      <w:r w:rsidRPr="00F5028F">
        <w:rPr>
          <w:noProof/>
          <w:szCs w:val="22"/>
        </w:rPr>
        <w:t xml:space="preserve">OECD (2019), </w:t>
      </w:r>
      <w:r w:rsidRPr="00F5028F">
        <w:rPr>
          <w:i/>
          <w:noProof/>
          <w:szCs w:val="22"/>
        </w:rPr>
        <w:t>Health at a Glance 2019</w:t>
      </w:r>
      <w:r w:rsidRPr="00F5028F">
        <w:rPr>
          <w:noProof/>
          <w:szCs w:val="22"/>
        </w:rPr>
        <w:t xml:space="preserve">. Paríž: OECD. </w:t>
      </w:r>
      <w:hyperlink r:id="rId205" w:history="1">
        <w:r w:rsidRPr="00F5028F">
          <w:rPr>
            <w:rStyle w:val="Hypertextovprepojenie"/>
            <w:noProof/>
            <w:szCs w:val="22"/>
          </w:rPr>
          <w:t>https://www.oecd-ilibrary.org/social-issues-migration-health/health-at-a-glance-2019_4dd50c09-en</w:t>
        </w:r>
      </w:hyperlink>
      <w:r w:rsidRPr="00F5028F">
        <w:rPr>
          <w:noProof/>
          <w:szCs w:val="22"/>
        </w:rPr>
        <w:t xml:space="preserve"> </w:t>
      </w:r>
    </w:p>
    <w:p w14:paraId="71C14F53" w14:textId="77777777" w:rsidR="00913A5B" w:rsidRPr="00F5028F" w:rsidRDefault="00913A5B" w:rsidP="00913A5B">
      <w:pPr>
        <w:spacing w:before="160"/>
        <w:rPr>
          <w:szCs w:val="22"/>
        </w:rPr>
      </w:pPr>
      <w:r w:rsidRPr="00F5028F">
        <w:rPr>
          <w:szCs w:val="22"/>
        </w:rPr>
        <w:t xml:space="preserve">Olivetti C., a B. Petrongolo (2017), The economic consequences of family policies: lessons from a century of legislation in high-income countries, </w:t>
      </w:r>
      <w:r w:rsidRPr="00F5028F">
        <w:rPr>
          <w:i/>
          <w:szCs w:val="22"/>
        </w:rPr>
        <w:t>NBER Working Paper Series</w:t>
      </w:r>
      <w:r w:rsidRPr="00F5028F">
        <w:rPr>
          <w:szCs w:val="22"/>
        </w:rPr>
        <w:t xml:space="preserve">, No. 23051: </w:t>
      </w:r>
      <w:hyperlink r:id="rId206" w:history="1">
        <w:r w:rsidRPr="00F5028F">
          <w:rPr>
            <w:rStyle w:val="Hypertextovprepojenie"/>
            <w:rFonts w:cs="Times New Roman"/>
            <w:szCs w:val="22"/>
          </w:rPr>
          <w:t>http://www.nber.org/papers/w23051</w:t>
        </w:r>
      </w:hyperlink>
      <w:r w:rsidRPr="00F5028F">
        <w:rPr>
          <w:rFonts w:cs="Times New Roman"/>
          <w:szCs w:val="22"/>
        </w:rPr>
        <w:t xml:space="preserve"> </w:t>
      </w:r>
    </w:p>
    <w:p w14:paraId="200D17AB" w14:textId="77777777" w:rsidR="00913A5B" w:rsidRPr="00F5028F" w:rsidRDefault="00913A5B" w:rsidP="00913A5B">
      <w:pPr>
        <w:rPr>
          <w:szCs w:val="22"/>
        </w:rPr>
      </w:pPr>
      <w:r w:rsidRPr="00F5028F">
        <w:rPr>
          <w:szCs w:val="22"/>
        </w:rPr>
        <w:t xml:space="preserve">Ondrušová a spol. (2018) Rozvoj spolupráce agentúr podporovaného zamestnávania so zamestnávateľmi a úradmi práce, sociálnych vecí a rodiny pri poskytovaní služieb podporovaného zamestnávania: </w:t>
      </w:r>
      <w:hyperlink r:id="rId207" w:history="1">
        <w:r w:rsidRPr="00F5028F">
          <w:rPr>
            <w:rStyle w:val="Hypertextovprepojenie"/>
            <w:szCs w:val="22"/>
          </w:rPr>
          <w:t>https://www.ceit.sk/IVPR/images/IVPR/vyskum/2018/Ondrusova/rozvoj_spoluprace_agentur_2018.pdf</w:t>
        </w:r>
      </w:hyperlink>
      <w:r w:rsidRPr="00F5028F">
        <w:rPr>
          <w:szCs w:val="22"/>
        </w:rPr>
        <w:t xml:space="preserve"> </w:t>
      </w:r>
    </w:p>
    <w:p w14:paraId="3151BFFB" w14:textId="77777777" w:rsidR="00913A5B" w:rsidRPr="00F5028F" w:rsidRDefault="00913A5B" w:rsidP="00913A5B">
      <w:pPr>
        <w:spacing w:before="160" w:after="160"/>
        <w:jc w:val="left"/>
        <w:rPr>
          <w:szCs w:val="22"/>
        </w:rPr>
      </w:pPr>
      <w:r w:rsidRPr="00F5028F">
        <w:rPr>
          <w:szCs w:val="22"/>
        </w:rPr>
        <w:t xml:space="preserve">Ondrušová D., D. Gerbery, M. Fico, J. Filadelfiová a G. Csomor (2016), </w:t>
      </w:r>
      <w:r w:rsidRPr="00F5028F">
        <w:rPr>
          <w:i/>
          <w:szCs w:val="22"/>
        </w:rPr>
        <w:t>Záverečná správa z výskumu a sčítania ľudí bez domova na území mesta Bratislavy v roku 2016</w:t>
      </w:r>
      <w:r w:rsidRPr="00F5028F">
        <w:rPr>
          <w:szCs w:val="22"/>
        </w:rPr>
        <w:t xml:space="preserve">, Bratislava: Inštitút pre výskum práce a rodiny: </w:t>
      </w:r>
      <w:hyperlink r:id="rId208" w:history="1">
        <w:r w:rsidRPr="00F5028F">
          <w:rPr>
            <w:rStyle w:val="Hypertextovprepojenie"/>
            <w:szCs w:val="22"/>
          </w:rPr>
          <w:t>https://www.ceit.sk/IVPR/images/IVPR/vyskum/2016/Ondrusova/zaverecna_sprava_scitanie_ondrusova_2016.pdf</w:t>
        </w:r>
      </w:hyperlink>
      <w:r w:rsidRPr="00F5028F">
        <w:rPr>
          <w:szCs w:val="22"/>
        </w:rPr>
        <w:t xml:space="preserve"> </w:t>
      </w:r>
    </w:p>
    <w:p w14:paraId="283ED741" w14:textId="77777777" w:rsidR="00913A5B" w:rsidRPr="00F5028F" w:rsidRDefault="00913A5B" w:rsidP="00913A5B">
      <w:pPr>
        <w:jc w:val="left"/>
        <w:rPr>
          <w:szCs w:val="22"/>
        </w:rPr>
      </w:pPr>
      <w:r w:rsidRPr="00F5028F">
        <w:rPr>
          <w:szCs w:val="22"/>
        </w:rPr>
        <w:t xml:space="preserve">Ondrušová, D., Fico, M. (2018) Podkladový materiál koncepcie prevencie a riešenia bezdomovectva na národnej úrovni, Bratislava: Inštitút pre výskum práce a rodiny, 68-93. </w:t>
      </w:r>
      <w:hyperlink r:id="rId209" w:history="1">
        <w:r w:rsidRPr="00F5028F">
          <w:rPr>
            <w:rStyle w:val="Hypertextovprepojenie"/>
            <w:szCs w:val="22"/>
          </w:rPr>
          <w:t>https://www.ceit.sk/IVPR/images/IVPR/vyskum/2018/Ondrusova/podkladovy_material_koncepcie_ondrusova_2018.pdf</w:t>
        </w:r>
      </w:hyperlink>
    </w:p>
    <w:p w14:paraId="0DD48EA4" w14:textId="77777777" w:rsidR="00913A5B" w:rsidRPr="00F5028F" w:rsidRDefault="00913A5B" w:rsidP="00913A5B">
      <w:pPr>
        <w:rPr>
          <w:szCs w:val="22"/>
        </w:rPr>
      </w:pPr>
      <w:r w:rsidRPr="00F5028F">
        <w:rPr>
          <w:szCs w:val="22"/>
        </w:rPr>
        <w:t xml:space="preserve">OSN (2018) Facts and Figures: Economic Empowerment, UN Women, </w:t>
      </w:r>
      <w:hyperlink r:id="rId210" w:anchor="notes" w:history="1">
        <w:r w:rsidRPr="00F5028F">
          <w:rPr>
            <w:rStyle w:val="Hypertextovprepojenie"/>
            <w:szCs w:val="22"/>
          </w:rPr>
          <w:t>https://www.unwomen.org/en/what-we-do/economic-empowerment/facts-and-figures#notes</w:t>
        </w:r>
      </w:hyperlink>
      <w:r w:rsidRPr="00F5028F">
        <w:rPr>
          <w:szCs w:val="22"/>
        </w:rPr>
        <w:t xml:space="preserve"> </w:t>
      </w:r>
    </w:p>
    <w:p w14:paraId="2E70DBA2" w14:textId="77777777" w:rsidR="00913A5B" w:rsidRPr="00F5028F" w:rsidRDefault="00913A5B" w:rsidP="00913A5B">
      <w:pPr>
        <w:spacing w:before="160" w:after="160"/>
        <w:jc w:val="left"/>
        <w:rPr>
          <w:szCs w:val="22"/>
        </w:rPr>
      </w:pPr>
      <w:r w:rsidRPr="00F5028F">
        <w:rPr>
          <w:szCs w:val="22"/>
        </w:rPr>
        <w:t>Páleník, M. (2018), Legislatívne zmeny v zdaňovaní príjmu z práce a ich vplyvy na nízkopríjmové skupiny, Medzinárodná vedecká konferencia Horizonty podnikateľského prostredia IV.</w:t>
      </w:r>
    </w:p>
    <w:p w14:paraId="3AA69637" w14:textId="77777777" w:rsidR="00913A5B" w:rsidRPr="00F5028F" w:rsidRDefault="00913A5B" w:rsidP="00913A5B">
      <w:pPr>
        <w:spacing w:before="160" w:after="160"/>
        <w:jc w:val="left"/>
        <w:rPr>
          <w:szCs w:val="22"/>
        </w:rPr>
      </w:pPr>
      <w:r w:rsidRPr="00F5028F">
        <w:rPr>
          <w:noProof/>
          <w:szCs w:val="22"/>
        </w:rPr>
        <w:t xml:space="preserve">Paris, V. (2016), Health care coverage in OECD countries in 2012. </w:t>
      </w:r>
      <w:r w:rsidRPr="00F5028F">
        <w:rPr>
          <w:i/>
          <w:iCs/>
          <w:noProof/>
          <w:szCs w:val="22"/>
        </w:rPr>
        <w:t>OECD Health Working Papers, No. 88. Paríž: OECD</w:t>
      </w:r>
      <w:r w:rsidRPr="00F5028F">
        <w:rPr>
          <w:noProof/>
          <w:szCs w:val="22"/>
        </w:rPr>
        <w:t xml:space="preserve">. </w:t>
      </w:r>
      <w:hyperlink r:id="rId211" w:history="1">
        <w:r w:rsidRPr="00F5028F">
          <w:rPr>
            <w:rStyle w:val="Hypertextovprepojenie"/>
            <w:noProof/>
            <w:szCs w:val="22"/>
          </w:rPr>
          <w:t>https://www.oecd-ilibrary.org/social-issues-migration-health/health-care-coverage-in-oecd-countries-in-2012_5jlz3kbf7pzv-en</w:t>
        </w:r>
      </w:hyperlink>
      <w:r w:rsidRPr="00F5028F">
        <w:rPr>
          <w:noProof/>
          <w:szCs w:val="22"/>
        </w:rPr>
        <w:t xml:space="preserve"> </w:t>
      </w:r>
    </w:p>
    <w:p w14:paraId="23DD96F2" w14:textId="77777777" w:rsidR="00913A5B" w:rsidRPr="00F5028F" w:rsidRDefault="00913A5B" w:rsidP="00913A5B">
      <w:pPr>
        <w:spacing w:before="160" w:after="160"/>
        <w:jc w:val="left"/>
        <w:rPr>
          <w:szCs w:val="22"/>
        </w:rPr>
      </w:pPr>
      <w:r w:rsidRPr="00F5028F">
        <w:rPr>
          <w:szCs w:val="22"/>
        </w:rPr>
        <w:t xml:space="preserve">Peetsma, T. a kol. (2001). Inclusion in Education: Comparing pupils’ development in special and regular education. </w:t>
      </w:r>
      <w:r w:rsidRPr="00F5028F">
        <w:rPr>
          <w:i/>
          <w:iCs/>
          <w:szCs w:val="22"/>
        </w:rPr>
        <w:t>Educational Review</w:t>
      </w:r>
      <w:r w:rsidRPr="00F5028F">
        <w:rPr>
          <w:szCs w:val="22"/>
        </w:rPr>
        <w:t>, 53(2), 125–135</w:t>
      </w:r>
    </w:p>
    <w:p w14:paraId="06F48906" w14:textId="77777777" w:rsidR="00913A5B" w:rsidRPr="00F5028F" w:rsidRDefault="00913A5B" w:rsidP="00913A5B">
      <w:pPr>
        <w:spacing w:before="160" w:after="160"/>
        <w:jc w:val="left"/>
        <w:rPr>
          <w:szCs w:val="22"/>
        </w:rPr>
      </w:pPr>
      <w:r w:rsidRPr="00F5028F">
        <w:rPr>
          <w:rFonts w:eastAsia="MyriadPro-Regular" w:cs="MyriadPro-Regular"/>
          <w:szCs w:val="22"/>
        </w:rPr>
        <w:t>Perić</w:t>
      </w:r>
      <w:r w:rsidRPr="00F5028F">
        <w:rPr>
          <w:szCs w:val="22"/>
        </w:rPr>
        <w:t xml:space="preserve">, T. (2012), The housing situation of Roma communities: Regional Roma survey 2011, </w:t>
      </w:r>
      <w:r w:rsidRPr="00F5028F">
        <w:rPr>
          <w:i/>
          <w:iCs/>
          <w:szCs w:val="22"/>
        </w:rPr>
        <w:t>Roma Inclusion Working Papers,</w:t>
      </w:r>
      <w:r w:rsidRPr="00F5028F">
        <w:rPr>
          <w:szCs w:val="22"/>
        </w:rPr>
        <w:t xml:space="preserve">, Bratislava: United Nations Development Programme: </w:t>
      </w:r>
      <w:hyperlink r:id="rId212" w:history="1">
        <w:r w:rsidRPr="00F5028F">
          <w:rPr>
            <w:rStyle w:val="Hypertextovprepojenie"/>
            <w:szCs w:val="22"/>
          </w:rPr>
          <w:t>https://www.eurasia.undp.org/content/rbec/en/home/library/roma/the-housing-situation-of-roma-communities.html</w:t>
        </w:r>
      </w:hyperlink>
    </w:p>
    <w:p w14:paraId="6E396D1D" w14:textId="77777777" w:rsidR="00913A5B" w:rsidRPr="00F5028F" w:rsidRDefault="00913A5B" w:rsidP="00913A5B">
      <w:pPr>
        <w:spacing w:before="160" w:after="160"/>
        <w:jc w:val="left"/>
        <w:rPr>
          <w:szCs w:val="22"/>
        </w:rPr>
      </w:pPr>
      <w:r w:rsidRPr="00F5028F">
        <w:rPr>
          <w:szCs w:val="22"/>
        </w:rPr>
        <w:t xml:space="preserve">Petránsky, Ľ (2015) Ako vyzerá sociálne bývanie vo ViednI, ASB. </w:t>
      </w:r>
      <w:hyperlink r:id="rId213" w:history="1">
        <w:r w:rsidRPr="00F5028F">
          <w:rPr>
            <w:rStyle w:val="Hypertextovprepojenie"/>
            <w:szCs w:val="22"/>
          </w:rPr>
          <w:t>https://www.asb.sk/architektura/bytove-domy/ako-vyzera-socialne-byvanie-vo-viedni</w:t>
        </w:r>
      </w:hyperlink>
    </w:p>
    <w:p w14:paraId="462FBBC1" w14:textId="22DD893E" w:rsidR="00913A5B" w:rsidRPr="00F5028F" w:rsidRDefault="00283F1C" w:rsidP="00913A5B">
      <w:pPr>
        <w:spacing w:before="160" w:after="160"/>
        <w:jc w:val="left"/>
        <w:rPr>
          <w:szCs w:val="22"/>
        </w:rPr>
      </w:pPr>
      <w:r>
        <w:rPr>
          <w:szCs w:val="22"/>
        </w:rPr>
        <w:t>Petráš, J. (2018</w:t>
      </w:r>
      <w:r w:rsidR="00913A5B" w:rsidRPr="00F5028F">
        <w:rPr>
          <w:szCs w:val="22"/>
        </w:rPr>
        <w:t xml:space="preserve">), Kto che žať, musí siať: Analýza čistých efektov opatrenia REPAS, Inštitút sociálnej politiky, Ministerstvo práce, sociálnych vecí a rodiny: </w:t>
      </w:r>
      <w:hyperlink r:id="rId214" w:history="1">
        <w:r w:rsidR="00913A5B" w:rsidRPr="00F5028F">
          <w:rPr>
            <w:rStyle w:val="Hypertextovprepojenie"/>
            <w:szCs w:val="22"/>
          </w:rPr>
          <w:t>https://www.employment.gov.sk/files/slovensky/ministerstvo/analyticke-centrum/analyticke-komentare/kto_chce_zat_musi_siat.pdf</w:t>
        </w:r>
      </w:hyperlink>
    </w:p>
    <w:p w14:paraId="3042ABE3" w14:textId="77777777" w:rsidR="00913A5B" w:rsidRPr="00F5028F" w:rsidRDefault="00913A5B" w:rsidP="00913A5B">
      <w:pPr>
        <w:spacing w:before="160" w:after="160"/>
        <w:jc w:val="left"/>
        <w:rPr>
          <w:szCs w:val="22"/>
        </w:rPr>
      </w:pPr>
      <w:r w:rsidRPr="00F5028F">
        <w:rPr>
          <w:szCs w:val="22"/>
        </w:rPr>
        <w:t xml:space="preserve">Petráš, J. (2019), Dočasná práca ako šanca pre znevýhodnených: Analýza čistej účinnosti opatrenia 50j, Inštitút sociálnej politiky, Ministerstvo práce, sociálnych vecí a rodiny. </w:t>
      </w:r>
      <w:hyperlink r:id="rId215" w:history="1">
        <w:r w:rsidRPr="00F5028F">
          <w:rPr>
            <w:rStyle w:val="Hypertextovprepojenie"/>
            <w:szCs w:val="22"/>
          </w:rPr>
          <w:t>https://www.employment.gov.sk/sk/ministerstvo/vyskum-oblasti-prace-socialnych-veci-institut-socialnej-politiky/analyticke-komentare/docasna-praca-ako-sanca-znevyhodnenych.html</w:t>
        </w:r>
      </w:hyperlink>
      <w:r w:rsidRPr="00F5028F">
        <w:rPr>
          <w:szCs w:val="22"/>
        </w:rPr>
        <w:t xml:space="preserve"> </w:t>
      </w:r>
    </w:p>
    <w:p w14:paraId="08C8F5F7" w14:textId="77777777" w:rsidR="00913A5B" w:rsidRPr="00F5028F" w:rsidRDefault="00913A5B" w:rsidP="00913A5B">
      <w:pPr>
        <w:spacing w:before="160" w:after="160"/>
        <w:jc w:val="left"/>
        <w:rPr>
          <w:szCs w:val="22"/>
        </w:rPr>
      </w:pPr>
      <w:r w:rsidRPr="00F5028F">
        <w:rPr>
          <w:szCs w:val="22"/>
        </w:rPr>
        <w:t xml:space="preserve">Pinto, A. I. a kol. (2012). Early childhood intervention in Portugal: an overview based on the developmental systems model. </w:t>
      </w:r>
      <w:r w:rsidRPr="00F5028F">
        <w:rPr>
          <w:i/>
          <w:szCs w:val="22"/>
        </w:rPr>
        <w:t>Infants and Young Children</w:t>
      </w:r>
      <w:r w:rsidRPr="00F5028F">
        <w:rPr>
          <w:szCs w:val="22"/>
        </w:rPr>
        <w:t>. 25 (4), 310-322</w:t>
      </w:r>
    </w:p>
    <w:p w14:paraId="2090B7AF" w14:textId="77777777" w:rsidR="00913A5B" w:rsidRPr="00F5028F" w:rsidRDefault="00913A5B" w:rsidP="00913A5B">
      <w:pPr>
        <w:spacing w:before="160"/>
        <w:rPr>
          <w:szCs w:val="22"/>
        </w:rPr>
      </w:pPr>
      <w:r w:rsidRPr="00F5028F">
        <w:rPr>
          <w:szCs w:val="22"/>
        </w:rPr>
        <w:t xml:space="preserve">Pleace, N. (2013), Consumer choice in housing-first, </w:t>
      </w:r>
      <w:r w:rsidRPr="00F5028F">
        <w:rPr>
          <w:i/>
          <w:iCs/>
          <w:szCs w:val="22"/>
        </w:rPr>
        <w:t xml:space="preserve">European Journal of Homelessness, </w:t>
      </w:r>
      <w:r w:rsidRPr="00F5028F">
        <w:rPr>
          <w:szCs w:val="22"/>
        </w:rPr>
        <w:t xml:space="preserve">7(2): </w:t>
      </w:r>
      <w:hyperlink r:id="rId216" w:history="1">
        <w:r w:rsidRPr="00F5028F">
          <w:rPr>
            <w:rStyle w:val="Hypertextovprepojenie"/>
            <w:szCs w:val="22"/>
          </w:rPr>
          <w:t>https://www.feantsa.org/download/np_response6502075727440568644.pdf</w:t>
        </w:r>
      </w:hyperlink>
    </w:p>
    <w:p w14:paraId="6AE37BD4" w14:textId="77777777" w:rsidR="00913A5B" w:rsidRPr="00F5028F" w:rsidRDefault="00913A5B" w:rsidP="00913A5B">
      <w:pPr>
        <w:spacing w:before="160"/>
        <w:rPr>
          <w:szCs w:val="22"/>
        </w:rPr>
      </w:pPr>
      <w:r w:rsidRPr="00F5028F">
        <w:rPr>
          <w:szCs w:val="22"/>
        </w:rPr>
        <w:t xml:space="preserve">Podmanická Z., a spol. (2015), Rodinné správanie populácie Slovenska, </w:t>
      </w:r>
      <w:r w:rsidRPr="00F5028F">
        <w:rPr>
          <w:i/>
          <w:szCs w:val="22"/>
        </w:rPr>
        <w:t>Demografia a sociálna štatistika</w:t>
      </w:r>
      <w:r w:rsidRPr="00F5028F">
        <w:rPr>
          <w:szCs w:val="22"/>
        </w:rPr>
        <w:t xml:space="preserve">: </w:t>
      </w:r>
      <w:hyperlink r:id="rId217" w:history="1">
        <w:r w:rsidRPr="00F5028F">
          <w:rPr>
            <w:rStyle w:val="Hypertextovprepojenie"/>
            <w:szCs w:val="22"/>
          </w:rPr>
          <w:t>ftp://193.87.31.84/0212900/Statistika_v_suvislostiach-Rodinne_spravanie_populacie_Slovenska.pdf</w:t>
        </w:r>
      </w:hyperlink>
    </w:p>
    <w:p w14:paraId="34126A41" w14:textId="77777777" w:rsidR="00913A5B" w:rsidRPr="00F5028F" w:rsidRDefault="00913A5B" w:rsidP="00913A5B">
      <w:pPr>
        <w:spacing w:before="160" w:after="160"/>
        <w:jc w:val="left"/>
        <w:rPr>
          <w:noProof/>
          <w:szCs w:val="22"/>
        </w:rPr>
      </w:pPr>
      <w:r w:rsidRPr="00F5028F">
        <w:rPr>
          <w:noProof/>
          <w:szCs w:val="22"/>
        </w:rPr>
        <w:t xml:space="preserve">Popper, M., P. Szeghy, a Š. Šarkozy, (2009), </w:t>
      </w:r>
      <w:r w:rsidRPr="00F5028F">
        <w:rPr>
          <w:i/>
          <w:iCs/>
          <w:noProof/>
          <w:szCs w:val="22"/>
        </w:rPr>
        <w:t xml:space="preserve">Rómska populácia a zdravie: Analýza situácie na Slovensku, </w:t>
      </w:r>
      <w:r w:rsidRPr="00F5028F">
        <w:rPr>
          <w:noProof/>
          <w:szCs w:val="22"/>
        </w:rPr>
        <w:t xml:space="preserve">Bratislava: Partners for Democratic Change Slovakia. </w:t>
      </w:r>
      <w:hyperlink r:id="rId218" w:history="1">
        <w:r w:rsidRPr="00F5028F">
          <w:rPr>
            <w:rStyle w:val="Hypertextovprepojenie"/>
            <w:noProof/>
            <w:szCs w:val="22"/>
          </w:rPr>
          <w:t>http://www.gitanos.org/upload/13/60/Eslovaquia-corrected.pdf</w:t>
        </w:r>
      </w:hyperlink>
      <w:r w:rsidRPr="00F5028F">
        <w:rPr>
          <w:noProof/>
          <w:szCs w:val="22"/>
        </w:rPr>
        <w:t xml:space="preserve"> </w:t>
      </w:r>
    </w:p>
    <w:p w14:paraId="41830B5E" w14:textId="77777777" w:rsidR="00913A5B" w:rsidRPr="00F5028F" w:rsidRDefault="00913A5B" w:rsidP="00913A5B">
      <w:pPr>
        <w:spacing w:before="160" w:after="160"/>
        <w:jc w:val="left"/>
        <w:rPr>
          <w:szCs w:val="22"/>
        </w:rPr>
      </w:pPr>
      <w:r w:rsidRPr="00F5028F">
        <w:rPr>
          <w:rStyle w:val="CitciaHTML"/>
          <w:szCs w:val="22"/>
        </w:rPr>
        <w:t xml:space="preserve">Posner, J.K.; Vandell, D.L. (1994). </w:t>
      </w:r>
      <w:r w:rsidRPr="00F5028F">
        <w:rPr>
          <w:rStyle w:val="CitciaHTML"/>
          <w:i w:val="0"/>
          <w:szCs w:val="22"/>
        </w:rPr>
        <w:t>Low-Income Children's After-School Care: Are there Beneficial Effects of After-School Programs?</w:t>
      </w:r>
      <w:r w:rsidRPr="00F5028F">
        <w:rPr>
          <w:rStyle w:val="CitciaHTML"/>
          <w:szCs w:val="22"/>
        </w:rPr>
        <w:t xml:space="preserve">, Child Development. </w:t>
      </w:r>
      <w:r w:rsidRPr="00F5028F">
        <w:rPr>
          <w:rStyle w:val="CitciaHTML"/>
          <w:bCs/>
          <w:i w:val="0"/>
          <w:szCs w:val="22"/>
        </w:rPr>
        <w:t>65</w:t>
      </w:r>
      <w:r w:rsidRPr="00F5028F">
        <w:rPr>
          <w:rStyle w:val="CitciaHTML"/>
          <w:i w:val="0"/>
          <w:szCs w:val="22"/>
        </w:rPr>
        <w:t xml:space="preserve"> (2): 440–456</w:t>
      </w:r>
    </w:p>
    <w:p w14:paraId="5B57E120" w14:textId="77777777" w:rsidR="00913A5B" w:rsidRPr="00F5028F" w:rsidRDefault="00913A5B" w:rsidP="00913A5B">
      <w:pPr>
        <w:spacing w:before="160" w:after="160"/>
        <w:jc w:val="left"/>
        <w:rPr>
          <w:szCs w:val="22"/>
        </w:rPr>
      </w:pPr>
      <w:r w:rsidRPr="00F5028F">
        <w:rPr>
          <w:szCs w:val="22"/>
        </w:rPr>
        <w:t xml:space="preserve">Rawlings, L. B. a G. M. Rubio (2005), Evaluating the Impact of Conditional Cash Transfer Programs, </w:t>
      </w:r>
      <w:r w:rsidRPr="00F5028F">
        <w:rPr>
          <w:i/>
          <w:szCs w:val="22"/>
        </w:rPr>
        <w:t>The World Bank Research Observer,</w:t>
      </w:r>
      <w:r w:rsidRPr="00F5028F">
        <w:rPr>
          <w:szCs w:val="22"/>
        </w:rPr>
        <w:t xml:space="preserve"> 20:1, str. 29 až 56. </w:t>
      </w:r>
      <w:hyperlink r:id="rId219" w:history="1">
        <w:r w:rsidRPr="00F5028F">
          <w:rPr>
            <w:rStyle w:val="Hypertextovprepojenie"/>
            <w:szCs w:val="22"/>
          </w:rPr>
          <w:t>https://openknowledge.worldbank.org/handle/10986/18119</w:t>
        </w:r>
      </w:hyperlink>
      <w:r w:rsidRPr="00F5028F">
        <w:rPr>
          <w:szCs w:val="22"/>
        </w:rPr>
        <w:t xml:space="preserve"> </w:t>
      </w:r>
    </w:p>
    <w:p w14:paraId="55646982" w14:textId="77777777" w:rsidR="00913A5B" w:rsidRPr="00F5028F" w:rsidRDefault="00913A5B" w:rsidP="00913A5B">
      <w:pPr>
        <w:spacing w:before="160" w:after="160"/>
        <w:jc w:val="left"/>
        <w:rPr>
          <w:rStyle w:val="Hypertextovprepojenie"/>
          <w:szCs w:val="22"/>
        </w:rPr>
      </w:pPr>
      <w:r w:rsidRPr="00F5028F">
        <w:rPr>
          <w:szCs w:val="22"/>
        </w:rPr>
        <w:t xml:space="preserve">RECI (2017), </w:t>
      </w:r>
      <w:r w:rsidRPr="00F5028F">
        <w:rPr>
          <w:i/>
          <w:szCs w:val="22"/>
        </w:rPr>
        <w:t>Special Report on Roma Inclusion in Early Childhood Education and Care</w:t>
      </w:r>
      <w:r w:rsidRPr="00F5028F">
        <w:rPr>
          <w:szCs w:val="22"/>
        </w:rPr>
        <w:t xml:space="preserve">, </w:t>
      </w:r>
      <w:hyperlink r:id="rId220" w:history="1">
        <w:r w:rsidRPr="00F5028F">
          <w:rPr>
            <w:rStyle w:val="Hypertextovprepojenie"/>
            <w:szCs w:val="22"/>
          </w:rPr>
          <w:t>http://osf.sk/wp-content/uploads/2017/07/RECI_Slovak-Republic-report_ENG-06-18-2017.pdf</w:t>
        </w:r>
      </w:hyperlink>
    </w:p>
    <w:p w14:paraId="083074C0" w14:textId="77777777" w:rsidR="00913A5B" w:rsidRPr="00F5028F" w:rsidRDefault="00913A5B" w:rsidP="00913A5B">
      <w:pPr>
        <w:spacing w:before="160" w:after="160"/>
        <w:jc w:val="left"/>
        <w:rPr>
          <w:rStyle w:val="Hypertextovprepojenie"/>
          <w:szCs w:val="22"/>
        </w:rPr>
      </w:pPr>
      <w:r w:rsidRPr="00F5028F">
        <w:rPr>
          <w:szCs w:val="22"/>
        </w:rPr>
        <w:t xml:space="preserve">Repková K., M. Bobáková a M. Čierna (2019), </w:t>
      </w:r>
      <w:r w:rsidRPr="00F5028F">
        <w:rPr>
          <w:i/>
          <w:szCs w:val="22"/>
        </w:rPr>
        <w:t xml:space="preserve">Správa z vplyvovej evaluácie národného projektu Podpora vybraných sociálnych služieb krízovej intervencie na komunitnej úrovni, </w:t>
      </w:r>
      <w:r w:rsidRPr="00F5028F">
        <w:rPr>
          <w:szCs w:val="22"/>
        </w:rPr>
        <w:t xml:space="preserve">Implementačná agentúra MPSVR SR: </w:t>
      </w:r>
      <w:hyperlink r:id="rId221" w:history="1">
        <w:r w:rsidRPr="00F5028F">
          <w:rPr>
            <w:rStyle w:val="Hypertextovprepojenie"/>
            <w:szCs w:val="22"/>
          </w:rPr>
          <w:t>https://www.ia.gov.sk/npkiku/wp-content/uploads/2019/06/IA_Dopadová-zpráva-z-evaluace_17.pdf</w:t>
        </w:r>
      </w:hyperlink>
      <w:r w:rsidRPr="00F5028F">
        <w:rPr>
          <w:rStyle w:val="Hypertextovprepojenie"/>
          <w:szCs w:val="22"/>
        </w:rPr>
        <w:t xml:space="preserve"> </w:t>
      </w:r>
    </w:p>
    <w:p w14:paraId="45FB9908" w14:textId="1272D93F" w:rsidR="00913A5B" w:rsidRPr="00F5028F" w:rsidRDefault="00913A5B" w:rsidP="00913A5B">
      <w:pPr>
        <w:spacing w:before="160" w:after="160"/>
        <w:jc w:val="left"/>
        <w:rPr>
          <w:szCs w:val="22"/>
        </w:rPr>
      </w:pPr>
      <w:r w:rsidRPr="00F5028F">
        <w:rPr>
          <w:szCs w:val="22"/>
        </w:rPr>
        <w:t xml:space="preserve">Rieser, R. (2008). </w:t>
      </w:r>
      <w:r w:rsidRPr="00F5028F">
        <w:rPr>
          <w:i/>
          <w:iCs/>
          <w:szCs w:val="22"/>
        </w:rPr>
        <w:t>Implementing Inclusive Education. UK: Commonwealth Secretariat.</w:t>
      </w:r>
      <w:r w:rsidRPr="00F5028F">
        <w:rPr>
          <w:szCs w:val="22"/>
        </w:rPr>
        <w:t xml:space="preserve"> </w:t>
      </w:r>
      <w:hyperlink r:id="rId222" w:history="1">
        <w:r w:rsidR="00153584" w:rsidRPr="00F5028F">
          <w:rPr>
            <w:rStyle w:val="Hypertextovprepojenie"/>
            <w:szCs w:val="22"/>
          </w:rPr>
          <w:t>www.worldofinclusion.com/res/internat/Commonwealth_Guide.doc</w:t>
        </w:r>
      </w:hyperlink>
      <w:r w:rsidR="00153584" w:rsidRPr="00F5028F">
        <w:rPr>
          <w:szCs w:val="22"/>
        </w:rPr>
        <w:t xml:space="preserve"> </w:t>
      </w:r>
    </w:p>
    <w:p w14:paraId="602A92FC" w14:textId="77777777" w:rsidR="00913A5B" w:rsidRPr="00F5028F" w:rsidRDefault="00913A5B" w:rsidP="00913A5B">
      <w:pPr>
        <w:rPr>
          <w:szCs w:val="22"/>
        </w:rPr>
      </w:pPr>
      <w:r w:rsidRPr="00F5028F">
        <w:rPr>
          <w:szCs w:val="22"/>
        </w:rPr>
        <w:t xml:space="preserve">Ripka, Š., Černá, E., Kubala, P. (2018) Závěrečná evaluační zpráva / Analýza cílového stavu. Dopady zabydlení po 12 měsících od nastěhování „Pilotní testování rychlého zabydlení rodin s dětmi (Rapid Re-Housing), Ostrava: Operační program Zaměstnanost, 8-76. </w:t>
      </w:r>
      <w:hyperlink r:id="rId223" w:history="1">
        <w:r w:rsidRPr="00F5028F">
          <w:rPr>
            <w:rStyle w:val="Hypertextovprepojenie"/>
            <w:szCs w:val="22"/>
          </w:rPr>
          <w:t>https://socialnibydleni.org/wp-content/uploads/2018/12/RRH_Zaverecna-evaluacni-zprava_web.pdf</w:t>
        </w:r>
      </w:hyperlink>
    </w:p>
    <w:p w14:paraId="5C55A789" w14:textId="77777777" w:rsidR="00913A5B" w:rsidRPr="00F5028F" w:rsidRDefault="00913A5B" w:rsidP="00913A5B">
      <w:pPr>
        <w:spacing w:before="160" w:after="160"/>
        <w:jc w:val="left"/>
        <w:rPr>
          <w:szCs w:val="22"/>
        </w:rPr>
      </w:pPr>
      <w:r w:rsidRPr="00F5028F">
        <w:rPr>
          <w:szCs w:val="22"/>
        </w:rPr>
        <w:t xml:space="preserve">ROCEPO (2015), Prieskum o postavení žiaka zo SZP v ZŠ. </w:t>
      </w:r>
      <w:hyperlink r:id="rId224" w:history="1">
        <w:r w:rsidRPr="00F5028F">
          <w:rPr>
            <w:rStyle w:val="Hypertextovprepojenie"/>
            <w:szCs w:val="22"/>
          </w:rPr>
          <w:t>https://mpc-edu.sk/sites/default/files/rocepo-dokumenty/na-pomoc-pedagogom/mpc_2012_rc2.pdf</w:t>
        </w:r>
      </w:hyperlink>
      <w:r w:rsidRPr="00F5028F">
        <w:rPr>
          <w:szCs w:val="22"/>
        </w:rPr>
        <w:t xml:space="preserve"> </w:t>
      </w:r>
    </w:p>
    <w:p w14:paraId="5D091260" w14:textId="77777777" w:rsidR="00913A5B" w:rsidRPr="00F5028F" w:rsidRDefault="00913A5B" w:rsidP="00913A5B">
      <w:pPr>
        <w:rPr>
          <w:noProof/>
          <w:szCs w:val="22"/>
        </w:rPr>
      </w:pPr>
      <w:r w:rsidRPr="00F5028F">
        <w:rPr>
          <w:noProof/>
          <w:szCs w:val="22"/>
        </w:rPr>
        <w:t>Rollings, K. A., Wells, N. M., Evans, G. W., Bednarz, A., &amp; Yang, Y. (2017). Housing and neighborhood physical quality: Children's mental health and motivation. Journal of Environmental Psychology, 50, 17-23</w:t>
      </w:r>
    </w:p>
    <w:p w14:paraId="4012E463" w14:textId="77777777" w:rsidR="00913A5B" w:rsidRPr="00F5028F" w:rsidRDefault="00913A5B" w:rsidP="00913A5B">
      <w:pPr>
        <w:rPr>
          <w:szCs w:val="22"/>
        </w:rPr>
      </w:pPr>
      <w:r w:rsidRPr="00F5028F">
        <w:rPr>
          <w:szCs w:val="22"/>
        </w:rPr>
        <w:t xml:space="preserve">Saville-Troike, M. (2012), </w:t>
      </w:r>
      <w:r w:rsidRPr="00F5028F">
        <w:rPr>
          <w:i/>
          <w:szCs w:val="22"/>
        </w:rPr>
        <w:t xml:space="preserve">Introducing Second Language Acquisition. </w:t>
      </w:r>
      <w:r w:rsidRPr="00F5028F">
        <w:rPr>
          <w:szCs w:val="22"/>
        </w:rPr>
        <w:t>New York: Cambridge University Press.</w:t>
      </w:r>
    </w:p>
    <w:p w14:paraId="2FD078F1" w14:textId="77777777" w:rsidR="00913A5B" w:rsidRPr="00F5028F" w:rsidRDefault="00913A5B" w:rsidP="00913A5B">
      <w:pPr>
        <w:spacing w:before="160" w:after="160"/>
        <w:jc w:val="left"/>
        <w:rPr>
          <w:rFonts w:cs="JansonText-Roman"/>
          <w:szCs w:val="22"/>
        </w:rPr>
      </w:pPr>
      <w:r w:rsidRPr="00F5028F">
        <w:rPr>
          <w:rFonts w:cs="JansonText-Roman"/>
          <w:szCs w:val="22"/>
        </w:rPr>
        <w:t xml:space="preserve">Scholl, L. a kol. (2004). Youth with Disabilities in Work-based Learning Programs: Factors that Influence Success, </w:t>
      </w:r>
      <w:r w:rsidRPr="00F5028F">
        <w:rPr>
          <w:i/>
          <w:szCs w:val="22"/>
        </w:rPr>
        <w:t>The Journal for Vocational Special Needs Education</w:t>
      </w:r>
      <w:r w:rsidRPr="00F5028F">
        <w:rPr>
          <w:szCs w:val="22"/>
        </w:rPr>
        <w:t>, 26 (2), 4-16.</w:t>
      </w:r>
    </w:p>
    <w:p w14:paraId="6BBC7A42" w14:textId="77777777" w:rsidR="00913A5B" w:rsidRPr="00F5028F" w:rsidRDefault="00913A5B" w:rsidP="00913A5B">
      <w:pPr>
        <w:rPr>
          <w:noProof/>
          <w:szCs w:val="22"/>
        </w:rPr>
      </w:pPr>
      <w:r w:rsidRPr="00F5028F">
        <w:rPr>
          <w:noProof/>
          <w:szCs w:val="22"/>
        </w:rPr>
        <w:t>Solari, C. D., &amp; Mare, R. D. (2012). Housing crowding effects on children’s wellbeing. Social science research, 41(2), 464-476</w:t>
      </w:r>
    </w:p>
    <w:p w14:paraId="38AB2578" w14:textId="77777777" w:rsidR="00913A5B" w:rsidRPr="00F5028F" w:rsidRDefault="00913A5B" w:rsidP="00913A5B">
      <w:pPr>
        <w:spacing w:before="160" w:after="160"/>
        <w:jc w:val="left"/>
        <w:rPr>
          <w:noProof/>
          <w:szCs w:val="22"/>
        </w:rPr>
      </w:pPr>
      <w:r w:rsidRPr="00F5028F">
        <w:rPr>
          <w:noProof/>
          <w:szCs w:val="22"/>
        </w:rPr>
        <w:t xml:space="preserve">Solovič, I., P. Juriš, P. Lauková, G. Petrová, A. Kováč a J. Švecová (2011), </w:t>
      </w:r>
      <w:r w:rsidRPr="00F5028F">
        <w:rPr>
          <w:i/>
          <w:iCs/>
          <w:noProof/>
          <w:szCs w:val="22"/>
        </w:rPr>
        <w:t xml:space="preserve">Tuberkulóza a parazitózy u marginalizovanej populácie na Slovensku, </w:t>
      </w:r>
      <w:r w:rsidRPr="00F5028F">
        <w:rPr>
          <w:noProof/>
          <w:szCs w:val="22"/>
        </w:rPr>
        <w:t>s.l.: Verejné zdravotníctvo.</w:t>
      </w:r>
    </w:p>
    <w:p w14:paraId="18C9513A" w14:textId="77777777" w:rsidR="00913A5B" w:rsidRPr="00F5028F" w:rsidRDefault="00913A5B" w:rsidP="00913A5B">
      <w:pPr>
        <w:rPr>
          <w:szCs w:val="22"/>
        </w:rPr>
      </w:pPr>
      <w:r w:rsidRPr="00F5028F">
        <w:rPr>
          <w:szCs w:val="22"/>
        </w:rPr>
        <w:t xml:space="preserve">Stafford B. with others (2007), New Deal for Disabled People: Third synthesis report – key findings from the evaluation, Research Report No. 430, Department for Work and Pensions, London, </w:t>
      </w:r>
      <w:hyperlink r:id="rId225" w:history="1">
        <w:r w:rsidRPr="00F5028F">
          <w:rPr>
            <w:rStyle w:val="Hypertextovprepojenie"/>
            <w:szCs w:val="22"/>
          </w:rPr>
          <w:t>https://www.researchgate.net/publication/303548553_New_Deal_for_Disabled_People_Third_synthesis_report_-_key_findings_from_the_evaluation</w:t>
        </w:r>
      </w:hyperlink>
      <w:r w:rsidRPr="00F5028F">
        <w:rPr>
          <w:szCs w:val="22"/>
        </w:rPr>
        <w:t xml:space="preserve"> </w:t>
      </w:r>
    </w:p>
    <w:p w14:paraId="7E3DCF5F" w14:textId="77777777" w:rsidR="00913A5B" w:rsidRPr="00F5028F" w:rsidRDefault="00913A5B" w:rsidP="00913A5B">
      <w:pPr>
        <w:jc w:val="left"/>
        <w:rPr>
          <w:szCs w:val="22"/>
        </w:rPr>
      </w:pPr>
      <w:r w:rsidRPr="00F5028F">
        <w:rPr>
          <w:szCs w:val="22"/>
        </w:rPr>
        <w:t xml:space="preserve">Svidroňová M., M. (2016) Neziskový sektor a sociálne bývanie, Banská Bystrica: Univerzita Mateja Bela v Banskej Bystrici, Habilitačná práca, 56-145. </w:t>
      </w:r>
      <w:hyperlink r:id="rId226" w:history="1">
        <w:r w:rsidRPr="00F5028F">
          <w:rPr>
            <w:rStyle w:val="Hypertextovprepojenie"/>
            <w:szCs w:val="22"/>
          </w:rPr>
          <w:t>https://opac.crzp.sk/?fn=detailBiblioForm&amp;sid=67B569DE93B0833F174A60AEA79E&amp;seo=CRZP-detail-kniha</w:t>
        </w:r>
      </w:hyperlink>
    </w:p>
    <w:p w14:paraId="24495D49" w14:textId="77777777" w:rsidR="00913A5B" w:rsidRPr="00F5028F" w:rsidRDefault="00913A5B" w:rsidP="00913A5B">
      <w:pPr>
        <w:jc w:val="left"/>
        <w:rPr>
          <w:szCs w:val="22"/>
        </w:rPr>
      </w:pPr>
      <w:r w:rsidRPr="00F5028F">
        <w:rPr>
          <w:szCs w:val="22"/>
        </w:rPr>
        <w:t xml:space="preserve">Szolgayová, E. a kol. (2019) Podpora nájomného bývania, </w:t>
      </w:r>
      <w:hyperlink r:id="rId227" w:history="1">
        <w:r w:rsidRPr="00F5028F">
          <w:rPr>
            <w:rStyle w:val="Hypertextovprepojenie"/>
            <w:szCs w:val="22"/>
          </w:rPr>
          <w:t>https://www.zmos.sk/download_file_f.php?id=1254271</w:t>
        </w:r>
      </w:hyperlink>
      <w:r w:rsidRPr="00F5028F">
        <w:rPr>
          <w:szCs w:val="22"/>
        </w:rPr>
        <w:t xml:space="preserve"> </w:t>
      </w:r>
    </w:p>
    <w:p w14:paraId="2D8C710B" w14:textId="77E8A585" w:rsidR="00913A5B" w:rsidRPr="00F5028F" w:rsidRDefault="00913A5B" w:rsidP="00913A5B">
      <w:pPr>
        <w:spacing w:before="160"/>
        <w:rPr>
          <w:szCs w:val="22"/>
        </w:rPr>
      </w:pPr>
      <w:r w:rsidRPr="00F5028F">
        <w:rPr>
          <w:szCs w:val="22"/>
        </w:rPr>
        <w:t xml:space="preserve">Šedovič M. a M. Plavčan (2019), Flexibilné hodiny pre prácu aj rodiny, Inštitút sociálnej politiky </w:t>
      </w:r>
    </w:p>
    <w:p w14:paraId="7FD97D52" w14:textId="77777777" w:rsidR="00913A5B" w:rsidRPr="00F5028F" w:rsidRDefault="00913A5B" w:rsidP="00913A5B">
      <w:pPr>
        <w:spacing w:before="160" w:after="160"/>
        <w:jc w:val="left"/>
        <w:rPr>
          <w:noProof/>
          <w:szCs w:val="22"/>
        </w:rPr>
      </w:pPr>
      <w:r w:rsidRPr="00F5028F">
        <w:rPr>
          <w:noProof/>
          <w:szCs w:val="22"/>
        </w:rPr>
        <w:t xml:space="preserve">Škobla D., T. Hrustič a O. Poduška (2019), </w:t>
      </w:r>
      <w:r w:rsidRPr="00F5028F">
        <w:rPr>
          <w:i/>
          <w:noProof/>
          <w:szCs w:val="22"/>
        </w:rPr>
        <w:t>Evaluácia dopadu terénnej sociálnej práce 2018</w:t>
      </w:r>
      <w:r w:rsidRPr="00F5028F">
        <w:rPr>
          <w:noProof/>
          <w:szCs w:val="22"/>
        </w:rPr>
        <w:t xml:space="preserve">, Implementačná agentúra MPSVR SR: </w:t>
      </w:r>
      <w:hyperlink r:id="rId228" w:history="1">
        <w:r w:rsidRPr="00F5028F">
          <w:rPr>
            <w:rStyle w:val="Hypertextovprepojenie"/>
            <w:noProof/>
            <w:szCs w:val="22"/>
          </w:rPr>
          <w:t>https://www.tsp.gov.sk/wp-content/uploads/2016/02/Evaluacia-dopadu-terennej-socialnej-prace-2018.pdf</w:t>
        </w:r>
      </w:hyperlink>
      <w:r w:rsidRPr="00F5028F">
        <w:rPr>
          <w:noProof/>
          <w:szCs w:val="22"/>
        </w:rPr>
        <w:t xml:space="preserve"> </w:t>
      </w:r>
    </w:p>
    <w:p w14:paraId="55A9BA2F" w14:textId="77777777" w:rsidR="00913A5B" w:rsidRPr="00F5028F" w:rsidRDefault="00913A5B" w:rsidP="00913A5B">
      <w:pPr>
        <w:rPr>
          <w:szCs w:val="22"/>
        </w:rPr>
      </w:pPr>
      <w:r w:rsidRPr="00F5028F">
        <w:rPr>
          <w:szCs w:val="22"/>
        </w:rPr>
        <w:t xml:space="preserve">Škobla, D. (2018) Systém podpory bývania a príspevok na bývanie. Identifikácia optimálneho modelu na základe skúseností best practice v medzinárodnej perspektíve, Bratislava: Inštitút pre výskum práce a rodiny, 13-25. </w:t>
      </w:r>
      <w:hyperlink r:id="rId229" w:history="1">
        <w:r w:rsidRPr="00F5028F">
          <w:rPr>
            <w:rStyle w:val="Hypertextovprepojenie"/>
            <w:szCs w:val="22"/>
          </w:rPr>
          <w:t>https://www.ceit.sk/IVPR/images/IVPR/vyskum/2018/Skobla/system_podpory_byvania_maj.pdf</w:t>
        </w:r>
      </w:hyperlink>
    </w:p>
    <w:p w14:paraId="6B587F9A" w14:textId="77777777" w:rsidR="00913A5B" w:rsidRPr="00F5028F" w:rsidRDefault="00913A5B" w:rsidP="00913A5B">
      <w:pPr>
        <w:rPr>
          <w:szCs w:val="22"/>
        </w:rPr>
      </w:pPr>
      <w:r w:rsidRPr="00F5028F">
        <w:rPr>
          <w:szCs w:val="22"/>
        </w:rPr>
        <w:t xml:space="preserve">Škobla, D., Csomor, G., Filadelfiová, J. (2016a) Zmeny v systéme pmoci v hmotnej núdzi a prieskum dopadov zmien v poskytovaní príspevku na bývanie v rámci pomoci v hmotnej núdzi, Bratislava: Inštitút pre výskum práce a rodiny. </w:t>
      </w:r>
    </w:p>
    <w:p w14:paraId="3D2431AE" w14:textId="77777777" w:rsidR="00913A5B" w:rsidRPr="00F5028F" w:rsidRDefault="00913A5B" w:rsidP="00913A5B">
      <w:pPr>
        <w:rPr>
          <w:szCs w:val="22"/>
        </w:rPr>
      </w:pPr>
      <w:r w:rsidRPr="00F5028F">
        <w:rPr>
          <w:szCs w:val="22"/>
        </w:rPr>
        <w:t xml:space="preserve">Škobla, D., Csomor, G., Ondrušová, D. (2016b) Uplatniteľnosť systému prestupného bývania a „housing-first“ v podmienkach SR, Bratislava: Inštitút pre výskum práce a rodiny. </w:t>
      </w:r>
      <w:hyperlink r:id="rId230" w:history="1">
        <w:r w:rsidRPr="00F5028F">
          <w:rPr>
            <w:rStyle w:val="Hypertextovprepojenie"/>
            <w:szCs w:val="22"/>
          </w:rPr>
          <w:t>https://www.minv.sk/swift_data/source/romovia/publikacie/kniznica/FINALuplatnitelnost_systemu_prestupneho_byvania_housing_first_VU_20161%20(1).pdf</w:t>
        </w:r>
      </w:hyperlink>
    </w:p>
    <w:p w14:paraId="3092A812" w14:textId="77777777" w:rsidR="00913A5B" w:rsidRPr="00F5028F" w:rsidRDefault="00913A5B" w:rsidP="00913A5B">
      <w:pPr>
        <w:spacing w:before="160" w:after="160"/>
        <w:jc w:val="left"/>
        <w:rPr>
          <w:noProof/>
          <w:szCs w:val="22"/>
        </w:rPr>
      </w:pPr>
      <w:r w:rsidRPr="00F5028F">
        <w:rPr>
          <w:noProof/>
          <w:szCs w:val="22"/>
        </w:rPr>
        <w:t xml:space="preserve">Šoltés, V., Šoltés, M., &amp; Gavurová, B. (2014), Vývoj mortality v regiónoch s vysokou koncentráciou rómskeho obyvateľstva. </w:t>
      </w:r>
      <w:r w:rsidRPr="00F5028F">
        <w:rPr>
          <w:i/>
          <w:iCs/>
          <w:noProof/>
          <w:szCs w:val="22"/>
        </w:rPr>
        <w:t>Nerovnosť a chudoba v Európskej Únii a na Slovensku</w:t>
      </w:r>
      <w:r w:rsidRPr="00F5028F">
        <w:rPr>
          <w:noProof/>
          <w:szCs w:val="22"/>
        </w:rPr>
        <w:t>, s. 202-214.</w:t>
      </w:r>
    </w:p>
    <w:p w14:paraId="05467570" w14:textId="77777777" w:rsidR="00913A5B" w:rsidRPr="00F5028F" w:rsidRDefault="00913A5B" w:rsidP="00913A5B">
      <w:pPr>
        <w:spacing w:before="160"/>
        <w:rPr>
          <w:szCs w:val="22"/>
        </w:rPr>
      </w:pPr>
      <w:r w:rsidRPr="00F5028F">
        <w:rPr>
          <w:szCs w:val="22"/>
        </w:rPr>
        <w:t xml:space="preserve">Šprocha B., B. Vaňo a B. Bleha (2014), Prognóza vývoja rodín a domácností do roku 2030: </w:t>
      </w:r>
      <w:hyperlink r:id="rId231" w:history="1">
        <w:r w:rsidRPr="00F5028F">
          <w:rPr>
            <w:rStyle w:val="Hypertextovprepojenie"/>
            <w:szCs w:val="22"/>
          </w:rPr>
          <w:t>http://www.infostat.sk/vdc/pdf/Prognoza_rodin.pdf</w:t>
        </w:r>
      </w:hyperlink>
    </w:p>
    <w:p w14:paraId="7B13F452" w14:textId="77777777" w:rsidR="00913A5B" w:rsidRPr="00F5028F" w:rsidRDefault="00913A5B" w:rsidP="00913A5B">
      <w:pPr>
        <w:spacing w:before="160" w:after="160"/>
        <w:jc w:val="left"/>
        <w:rPr>
          <w:szCs w:val="22"/>
        </w:rPr>
      </w:pPr>
      <w:r w:rsidRPr="00F5028F">
        <w:rPr>
          <w:noProof/>
          <w:szCs w:val="22"/>
        </w:rPr>
        <w:t xml:space="preserve">Šprocha, B. (2014), </w:t>
      </w:r>
      <w:r w:rsidRPr="00F5028F">
        <w:rPr>
          <w:i/>
          <w:iCs/>
          <w:noProof/>
          <w:szCs w:val="22"/>
        </w:rPr>
        <w:t xml:space="preserve">Reprodukcia rómskeho obyvateľstva na Slovensku a prognóza jeho populačného vývoja, </w:t>
      </w:r>
      <w:r w:rsidRPr="00F5028F">
        <w:rPr>
          <w:noProof/>
          <w:szCs w:val="22"/>
        </w:rPr>
        <w:t xml:space="preserve">Bratislava: Výskumné demografické centrum, Infostat. </w:t>
      </w:r>
      <w:hyperlink r:id="rId232" w:history="1">
        <w:r w:rsidRPr="00F5028F">
          <w:rPr>
            <w:rStyle w:val="Hypertextovprepojenie"/>
            <w:noProof/>
            <w:szCs w:val="22"/>
          </w:rPr>
          <w:t>http://www.infostat.sk/vdc/pdf/Romovia.pdf</w:t>
        </w:r>
      </w:hyperlink>
      <w:r w:rsidRPr="00F5028F">
        <w:rPr>
          <w:noProof/>
          <w:szCs w:val="22"/>
        </w:rPr>
        <w:t xml:space="preserve"> </w:t>
      </w:r>
    </w:p>
    <w:p w14:paraId="4790D531" w14:textId="1B663524" w:rsidR="00913A5B" w:rsidRPr="00F5028F" w:rsidRDefault="00913A5B" w:rsidP="00913A5B">
      <w:pPr>
        <w:spacing w:before="160" w:after="160"/>
        <w:jc w:val="left"/>
        <w:rPr>
          <w:noProof/>
          <w:szCs w:val="22"/>
        </w:rPr>
      </w:pPr>
      <w:r w:rsidRPr="00F5028F">
        <w:rPr>
          <w:noProof/>
          <w:szCs w:val="22"/>
        </w:rPr>
        <w:t xml:space="preserve">ŠPU (2019). Štátne vzdelávacie programy pre žiakov so zdravotným znevýhodnením a intelektovým nadaním. </w:t>
      </w:r>
      <w:hyperlink r:id="rId233" w:history="1">
        <w:r w:rsidRPr="00F5028F">
          <w:rPr>
            <w:rStyle w:val="Hypertextovprepojenie"/>
            <w:noProof/>
            <w:szCs w:val="22"/>
          </w:rPr>
          <w:t>http://www.statpedu.sk/sk/deti-ziaci-so-svvp/deti-ziaci-so-zdravotnym-znevyhodnenim-vseobecnym-intelektovym-nadanim/vzdelavacie-programy/vzdelavacie-programy-ziakov-so-zdravotnym-znevyhodnenim-vseobecnym-intelektovym-nadanim/zakladne-vzdelavanie-primarne-vzdelavanie-nizsie-s/</w:t>
        </w:r>
      </w:hyperlink>
      <w:r w:rsidRPr="00F5028F">
        <w:rPr>
          <w:noProof/>
          <w:szCs w:val="22"/>
        </w:rPr>
        <w:t xml:space="preserve"> </w:t>
      </w:r>
    </w:p>
    <w:p w14:paraId="1A4F85C1" w14:textId="77777777" w:rsidR="00913A5B" w:rsidRPr="00F5028F" w:rsidRDefault="00913A5B" w:rsidP="00913A5B">
      <w:pPr>
        <w:pStyle w:val="Bezriadkovania"/>
        <w:spacing w:before="160" w:after="160"/>
        <w:rPr>
          <w:rFonts w:ascii="Arial Narrow" w:hAnsi="Arial Narrow"/>
        </w:rPr>
      </w:pPr>
      <w:r w:rsidRPr="00F5028F">
        <w:rPr>
          <w:rFonts w:ascii="Arial Narrow" w:hAnsi="Arial Narrow"/>
        </w:rPr>
        <w:t xml:space="preserve">ŠPU (2020). </w:t>
      </w:r>
      <w:r w:rsidRPr="00F5028F">
        <w:rPr>
          <w:rFonts w:ascii="Arial Narrow" w:hAnsi="Arial Narrow"/>
          <w:i/>
          <w:iCs/>
        </w:rPr>
        <w:t>Žiak zo sociálne znevýhodneného prostredia.</w:t>
      </w:r>
    </w:p>
    <w:p w14:paraId="77CB057E" w14:textId="77777777" w:rsidR="00913A5B" w:rsidRPr="00F5028F" w:rsidRDefault="00913A5B" w:rsidP="00913A5B">
      <w:pPr>
        <w:pStyle w:val="Bezriadkovania"/>
        <w:spacing w:before="160" w:after="160"/>
        <w:rPr>
          <w:rFonts w:ascii="Arial Narrow" w:hAnsi="Arial Narrow"/>
          <w:iCs/>
        </w:rPr>
      </w:pPr>
      <w:r w:rsidRPr="00F5028F">
        <w:rPr>
          <w:rFonts w:ascii="Arial Narrow" w:hAnsi="Arial Narrow"/>
        </w:rPr>
        <w:t xml:space="preserve">Štátna školská inšpekcia (2016). </w:t>
      </w:r>
      <w:r w:rsidRPr="00F5028F">
        <w:rPr>
          <w:rFonts w:ascii="Arial Narrow" w:hAnsi="Arial Narrow"/>
          <w:i/>
          <w:iCs/>
        </w:rPr>
        <w:t xml:space="preserve">Správa o stave vytvárania predpokladov na zabezpečenie inkluzívneho vzdelávania pre žiakov zo sociálne znevýhodneného prostredia v základných školách v školskom roku 2016/17. </w:t>
      </w:r>
      <w:hyperlink r:id="rId234" w:history="1">
        <w:r w:rsidRPr="00F5028F">
          <w:rPr>
            <w:rStyle w:val="Hypertextovprepojenie"/>
            <w:rFonts w:ascii="Arial Narrow" w:hAnsi="Arial Narrow"/>
            <w:iCs/>
          </w:rPr>
          <w:t>https://www.ssiba.sk/admin/fckeditor/editor/userfiles/file/Dokumenty/SPRAVY/2017/UZP_Inkluzia_ZS_2016_2017.pdf</w:t>
        </w:r>
      </w:hyperlink>
      <w:r w:rsidRPr="00F5028F">
        <w:rPr>
          <w:rFonts w:ascii="Arial Narrow" w:hAnsi="Arial Narrow"/>
          <w:i/>
          <w:iCs/>
        </w:rPr>
        <w:t xml:space="preserve"> </w:t>
      </w:r>
    </w:p>
    <w:p w14:paraId="429E9E72" w14:textId="77777777" w:rsidR="00913A5B" w:rsidRPr="00F5028F" w:rsidRDefault="00913A5B" w:rsidP="00913A5B">
      <w:pPr>
        <w:pStyle w:val="Bezriadkovania"/>
        <w:spacing w:before="160" w:after="160"/>
        <w:rPr>
          <w:rFonts w:ascii="Arial Narrow" w:hAnsi="Arial Narrow"/>
        </w:rPr>
      </w:pPr>
      <w:r w:rsidRPr="00F5028F">
        <w:rPr>
          <w:rFonts w:ascii="Arial Narrow" w:hAnsi="Arial Narrow"/>
        </w:rPr>
        <w:t xml:space="preserve">Štátna školská inšpekcia (2016a). </w:t>
      </w:r>
      <w:r w:rsidRPr="00F5028F">
        <w:rPr>
          <w:rFonts w:ascii="Arial Narrow" w:hAnsi="Arial Narrow"/>
          <w:i/>
          <w:iCs/>
        </w:rPr>
        <w:t>Správa o stave poskytovania odbornej činnosti v školských zariadeniach výchovného poradenstva a prevencie v školskom roku 2016/2017 v Slovenskej republike.</w:t>
      </w:r>
      <w:r w:rsidRPr="00F5028F">
        <w:rPr>
          <w:rFonts w:ascii="Arial Narrow" w:hAnsi="Arial Narrow"/>
        </w:rPr>
        <w:t xml:space="preserve"> </w:t>
      </w:r>
      <w:hyperlink r:id="rId235" w:history="1">
        <w:r w:rsidRPr="00F5028F">
          <w:rPr>
            <w:rStyle w:val="Hypertextovprepojenie"/>
            <w:rFonts w:ascii="Arial Narrow" w:hAnsi="Arial Narrow"/>
          </w:rPr>
          <w:t>https://www.ssiba.sk/admin/fckeditor/editor/userfiles/file/Dokumenty/SPRAVY/2017/152_TI_CSPP_CPPP_2016_17_SR_2.pdf</w:t>
        </w:r>
      </w:hyperlink>
    </w:p>
    <w:p w14:paraId="5A315600" w14:textId="77777777" w:rsidR="00913A5B" w:rsidRPr="00F5028F" w:rsidRDefault="00913A5B" w:rsidP="00913A5B">
      <w:pPr>
        <w:pStyle w:val="Bezriadkovania"/>
        <w:spacing w:before="160" w:after="160"/>
        <w:rPr>
          <w:rFonts w:ascii="Arial Narrow" w:hAnsi="Arial Narrow"/>
        </w:rPr>
      </w:pPr>
      <w:r w:rsidRPr="00F5028F">
        <w:rPr>
          <w:rFonts w:ascii="Arial Narrow" w:hAnsi="Arial Narrow"/>
        </w:rPr>
        <w:t xml:space="preserve">Štátna školská inšpekcia (2016b). </w:t>
      </w:r>
      <w:r w:rsidRPr="00F5028F">
        <w:rPr>
          <w:rFonts w:ascii="Arial Narrow" w:hAnsi="Arial Narrow"/>
          <w:i/>
          <w:iCs/>
        </w:rPr>
        <w:t xml:space="preserve">Správa o stave a úrovni uplatňovania princípu rovného prístupu k vzdelávaniu pri prijímaní žiakov do špeciálnej základnej školy v školskom roku 2016/2017 v Slovenskej republike. </w:t>
      </w:r>
      <w:hyperlink r:id="rId236" w:history="1">
        <w:r w:rsidRPr="00F5028F">
          <w:rPr>
            <w:rStyle w:val="Hypertextovprepojenie"/>
            <w:rFonts w:ascii="Arial Narrow" w:hAnsi="Arial Narrow"/>
          </w:rPr>
          <w:t>https://www.ssiba.sk/admin/fckeditor/editor/userfiles/file/Dokumenty/SPRAVY/2017/151_TI_SZS_2016_17_SR_1.pdf</w:t>
        </w:r>
      </w:hyperlink>
    </w:p>
    <w:p w14:paraId="31BD2EFE" w14:textId="77777777" w:rsidR="00913A5B" w:rsidRPr="00F5028F" w:rsidDel="00C80C5C" w:rsidRDefault="00913A5B" w:rsidP="00913A5B">
      <w:pPr>
        <w:spacing w:before="160" w:after="160"/>
        <w:jc w:val="left"/>
        <w:rPr>
          <w:szCs w:val="22"/>
        </w:rPr>
      </w:pPr>
      <w:r w:rsidRPr="00F5028F" w:rsidDel="00C80C5C">
        <w:rPr>
          <w:szCs w:val="22"/>
        </w:rPr>
        <w:t>Štátna školská inšpekcia (2017</w:t>
      </w:r>
      <w:r w:rsidRPr="00F5028F">
        <w:rPr>
          <w:szCs w:val="22"/>
        </w:rPr>
        <w:t>a</w:t>
      </w:r>
      <w:r w:rsidRPr="00F5028F" w:rsidDel="00C80C5C">
        <w:rPr>
          <w:szCs w:val="22"/>
        </w:rPr>
        <w:t xml:space="preserve">), </w:t>
      </w:r>
      <w:r w:rsidRPr="00F5028F" w:rsidDel="00C80C5C">
        <w:rPr>
          <w:i/>
          <w:szCs w:val="22"/>
        </w:rPr>
        <w:t>Správa o výsledku spätnej väzby od riaditeľov škôl, v ktorých sa v školskom roku 2016/17 realizoval výchovno-vzdelávací proces v nultom ročníku</w:t>
      </w:r>
      <w:r w:rsidRPr="00F5028F" w:rsidDel="00C80C5C">
        <w:rPr>
          <w:szCs w:val="22"/>
        </w:rPr>
        <w:t xml:space="preserve"> </w:t>
      </w:r>
      <w:hyperlink r:id="rId237" w:history="1">
        <w:r w:rsidRPr="00F5028F" w:rsidDel="00C80C5C">
          <w:rPr>
            <w:rStyle w:val="Hypertextovprepojenie"/>
            <w:szCs w:val="22"/>
          </w:rPr>
          <w:t>https://www.ssiba.sk/admin/fckeditor/editor/userfiles/file/Dokumenty/Vyhodnotenie_0_rocnik_2017_final%281%29.pdf</w:t>
        </w:r>
      </w:hyperlink>
    </w:p>
    <w:p w14:paraId="41C09CD1" w14:textId="77777777" w:rsidR="00913A5B" w:rsidRPr="00F5028F" w:rsidRDefault="00913A5B" w:rsidP="00913A5B">
      <w:pPr>
        <w:pStyle w:val="Bezriadkovania"/>
        <w:spacing w:before="160" w:after="160"/>
        <w:rPr>
          <w:rFonts w:ascii="Arial Narrow" w:hAnsi="Arial Narrow"/>
          <w:i/>
          <w:iCs/>
        </w:rPr>
      </w:pPr>
      <w:r w:rsidRPr="00F5028F">
        <w:rPr>
          <w:rFonts w:ascii="Arial Narrow" w:hAnsi="Arial Narrow"/>
        </w:rPr>
        <w:t xml:space="preserve">Štátna školská inšpekcia (2017b). </w:t>
      </w:r>
      <w:r w:rsidRPr="00F5028F">
        <w:rPr>
          <w:rFonts w:ascii="Arial Narrow" w:hAnsi="Arial Narrow"/>
          <w:i/>
          <w:iCs/>
        </w:rPr>
        <w:t xml:space="preserve">Správa o stave poskytovania odbornej činnosti v školských zariadeniach výchovného poradenstva a prevencie v školskom roku 2017/2018 v Slovenskej republike. </w:t>
      </w:r>
      <w:hyperlink r:id="rId238" w:history="1">
        <w:r w:rsidRPr="00F5028F">
          <w:rPr>
            <w:rStyle w:val="Hypertextovprepojenie"/>
            <w:rFonts w:ascii="Arial Narrow" w:hAnsi="Arial Narrow"/>
          </w:rPr>
          <w:t>https://www.ssiba.sk/admin/fckeditor/editor/userfiles/file/Dokumenty/SVVP_ZVPaP_152_153.pdf</w:t>
        </w:r>
      </w:hyperlink>
    </w:p>
    <w:p w14:paraId="154CCFE6" w14:textId="77777777" w:rsidR="00913A5B" w:rsidRPr="00F5028F" w:rsidRDefault="00913A5B" w:rsidP="00913A5B">
      <w:pPr>
        <w:pStyle w:val="Bezriadkovania"/>
        <w:spacing w:before="160" w:after="160"/>
        <w:rPr>
          <w:rFonts w:ascii="Arial Narrow" w:hAnsi="Arial Narrow"/>
        </w:rPr>
      </w:pPr>
      <w:r w:rsidRPr="00F5028F">
        <w:rPr>
          <w:rFonts w:ascii="Arial Narrow" w:hAnsi="Arial Narrow"/>
        </w:rPr>
        <w:t xml:space="preserve">Štátna školská inšpekcia (2018a). </w:t>
      </w:r>
      <w:r w:rsidRPr="00F5028F">
        <w:rPr>
          <w:rFonts w:ascii="Arial Narrow" w:hAnsi="Arial Narrow"/>
          <w:i/>
          <w:iCs/>
        </w:rPr>
        <w:t>Výchova a vzdelávanie detí so špeciálnymi výchovno-vzdelávacími potrebami v materských školách v školskom roku 2018/2019 v SR.</w:t>
      </w:r>
      <w:r w:rsidRPr="00F5028F">
        <w:rPr>
          <w:rFonts w:ascii="Arial Narrow" w:hAnsi="Arial Narrow"/>
        </w:rPr>
        <w:t xml:space="preserve"> </w:t>
      </w:r>
      <w:hyperlink r:id="rId239" w:history="1">
        <w:r w:rsidRPr="00F5028F">
          <w:rPr>
            <w:rStyle w:val="Hypertextovprepojenie"/>
            <w:rFonts w:ascii="Arial Narrow" w:hAnsi="Arial Narrow"/>
          </w:rPr>
          <w:t>https://www.ssiba.sk/admin/fckeditor/editor/userfiles/file/Dokumenty/SPRAVY/2019/UZP_SVVP_MS_18_19.pdf</w:t>
        </w:r>
      </w:hyperlink>
      <w:r w:rsidRPr="00F5028F">
        <w:rPr>
          <w:rFonts w:ascii="Arial Narrow" w:hAnsi="Arial Narrow"/>
        </w:rPr>
        <w:t xml:space="preserve"> </w:t>
      </w:r>
    </w:p>
    <w:p w14:paraId="3ED07974" w14:textId="77777777" w:rsidR="00913A5B" w:rsidRPr="00F5028F" w:rsidRDefault="00913A5B" w:rsidP="00913A5B">
      <w:pPr>
        <w:pStyle w:val="Bezriadkovania"/>
        <w:spacing w:before="160" w:after="160"/>
        <w:rPr>
          <w:rFonts w:ascii="Arial Narrow" w:hAnsi="Arial Narrow"/>
          <w:i/>
          <w:iCs/>
        </w:rPr>
      </w:pPr>
      <w:r w:rsidRPr="00F5028F">
        <w:rPr>
          <w:rFonts w:ascii="Arial Narrow" w:hAnsi="Arial Narrow"/>
        </w:rPr>
        <w:t xml:space="preserve">Štátna školská inšpekcia (2018b). </w:t>
      </w:r>
      <w:r w:rsidRPr="00F5028F">
        <w:rPr>
          <w:rFonts w:ascii="Arial Narrow" w:hAnsi="Arial Narrow"/>
          <w:i/>
          <w:iCs/>
        </w:rPr>
        <w:t xml:space="preserve">Správa o stave a úrovni procesu a podmienok organizovania vzdelávania na získanie nižšieho stredného vzdelania. </w:t>
      </w:r>
      <w:hyperlink r:id="rId240" w:history="1">
        <w:r w:rsidRPr="00F5028F">
          <w:rPr>
            <w:rStyle w:val="Hypertextovprepojenie"/>
            <w:rFonts w:ascii="Arial Narrow" w:hAnsi="Arial Narrow"/>
            <w:iCs/>
          </w:rPr>
          <w:t>https://www.ssiba.sk/admin/fckeditor/editor/userfiles/file/Dokumenty/UZP_KURZ_ZS_SOS.pdf</w:t>
        </w:r>
      </w:hyperlink>
      <w:r w:rsidRPr="00F5028F">
        <w:rPr>
          <w:rFonts w:ascii="Arial Narrow" w:hAnsi="Arial Narrow"/>
          <w:iCs/>
        </w:rPr>
        <w:t xml:space="preserve"> </w:t>
      </w:r>
    </w:p>
    <w:p w14:paraId="5ED03B3E" w14:textId="77777777" w:rsidR="00913A5B" w:rsidRPr="00F5028F" w:rsidRDefault="00913A5B" w:rsidP="00913A5B">
      <w:pPr>
        <w:spacing w:before="160" w:after="160"/>
        <w:jc w:val="left"/>
        <w:rPr>
          <w:szCs w:val="22"/>
        </w:rPr>
      </w:pPr>
      <w:r w:rsidRPr="00F5028F">
        <w:rPr>
          <w:noProof/>
          <w:szCs w:val="22"/>
        </w:rPr>
        <w:t xml:space="preserve">Šupinová, M., Hegyi, L. &amp; Klement, C. (2015), Zdravotný stav Rómov na Slovensku. </w:t>
      </w:r>
      <w:r w:rsidRPr="00F5028F">
        <w:rPr>
          <w:i/>
          <w:iCs/>
          <w:noProof/>
          <w:szCs w:val="22"/>
        </w:rPr>
        <w:t>Hygiena</w:t>
      </w:r>
      <w:r w:rsidRPr="00F5028F">
        <w:rPr>
          <w:noProof/>
          <w:szCs w:val="22"/>
        </w:rPr>
        <w:t>, pp. 116-119.</w:t>
      </w:r>
    </w:p>
    <w:p w14:paraId="757DAD23" w14:textId="77777777" w:rsidR="00913A5B" w:rsidRPr="00F5028F" w:rsidRDefault="00913A5B" w:rsidP="00913A5B">
      <w:pPr>
        <w:spacing w:before="160" w:after="160"/>
        <w:jc w:val="left"/>
        <w:rPr>
          <w:rFonts w:cs="ArialMT"/>
          <w:szCs w:val="22"/>
        </w:rPr>
      </w:pPr>
      <w:r w:rsidRPr="00F5028F">
        <w:rPr>
          <w:rFonts w:cs="JansonText-Roman"/>
          <w:szCs w:val="22"/>
        </w:rPr>
        <w:t xml:space="preserve">Taylor, S. (2017). </w:t>
      </w:r>
      <w:r w:rsidRPr="00F5028F">
        <w:rPr>
          <w:szCs w:val="22"/>
        </w:rPr>
        <w:t xml:space="preserve">Contested Knowledge: A Critical Review of the Concept of Differentiation in Teaching and Learning, </w:t>
      </w:r>
      <w:r w:rsidRPr="00F5028F">
        <w:rPr>
          <w:rFonts w:cs="JansonText-Roman"/>
          <w:i/>
          <w:iCs/>
          <w:szCs w:val="22"/>
        </w:rPr>
        <w:t>Warwick Journal of Education - Transforming Teaching</w:t>
      </w:r>
      <w:r w:rsidRPr="00F5028F">
        <w:rPr>
          <w:rFonts w:cs="JansonText-Roman"/>
          <w:szCs w:val="22"/>
        </w:rPr>
        <w:t>, Vol 1, 55 – 68</w:t>
      </w:r>
    </w:p>
    <w:p w14:paraId="7167FBF7" w14:textId="5A6C73F8" w:rsidR="00913A5B" w:rsidRPr="00F5028F" w:rsidRDefault="00A03E59" w:rsidP="00913A5B">
      <w:pPr>
        <w:spacing w:before="160" w:after="160"/>
        <w:jc w:val="left"/>
        <w:rPr>
          <w:szCs w:val="22"/>
        </w:rPr>
      </w:pPr>
      <w:r>
        <w:rPr>
          <w:szCs w:val="22"/>
        </w:rPr>
        <w:t xml:space="preserve">Telljohann S. K. </w:t>
      </w:r>
      <w:r w:rsidR="00913A5B" w:rsidRPr="00F5028F">
        <w:rPr>
          <w:szCs w:val="22"/>
        </w:rPr>
        <w:t xml:space="preserve">a kol. (2004). Effect of Full-Time versus Part-Time School Nurses on Attendance of Elementary Students with Asthma. </w:t>
      </w:r>
      <w:r w:rsidR="00913A5B" w:rsidRPr="00F5028F">
        <w:rPr>
          <w:rFonts w:cs="Arial"/>
          <w:i/>
          <w:iCs/>
          <w:szCs w:val="22"/>
          <w:shd w:val="clear" w:color="auto" w:fill="FFFFFF"/>
        </w:rPr>
        <w:t xml:space="preserve">The Journal of school nursing, </w:t>
      </w:r>
      <w:r w:rsidR="00913A5B" w:rsidRPr="00F5028F">
        <w:rPr>
          <w:rFonts w:cs="Arial"/>
          <w:iCs/>
          <w:szCs w:val="22"/>
          <w:shd w:val="clear" w:color="auto" w:fill="FFFFFF"/>
        </w:rPr>
        <w:t>20 (6), 331-4</w:t>
      </w:r>
    </w:p>
    <w:p w14:paraId="3D3A346F" w14:textId="77777777" w:rsidR="00913A5B" w:rsidRPr="00F5028F" w:rsidRDefault="00913A5B" w:rsidP="00913A5B">
      <w:pPr>
        <w:spacing w:before="160" w:after="160"/>
        <w:rPr>
          <w:noProof/>
          <w:szCs w:val="22"/>
        </w:rPr>
      </w:pPr>
      <w:r w:rsidRPr="00F5028F">
        <w:rPr>
          <w:noProof/>
          <w:szCs w:val="22"/>
        </w:rPr>
        <w:t>Thomson, H., Thomas, S., Sellström, E., &amp; Petticrew, M. (2013). Housing Improvements for Health and Associated Socio</w:t>
      </w:r>
      <w:r w:rsidRPr="00F5028F">
        <w:rPr>
          <w:rFonts w:ascii="Cambria Math" w:hAnsi="Cambria Math" w:cs="Cambria Math"/>
          <w:noProof/>
          <w:szCs w:val="22"/>
        </w:rPr>
        <w:t>‐</w:t>
      </w:r>
      <w:r w:rsidRPr="00F5028F">
        <w:rPr>
          <w:noProof/>
          <w:szCs w:val="22"/>
        </w:rPr>
        <w:t>Economic Outcomes: A Systematic Review. Campbell Systematic Reviews, 9(1), 1-348</w:t>
      </w:r>
    </w:p>
    <w:p w14:paraId="7CFA49FB" w14:textId="77777777" w:rsidR="00913A5B" w:rsidRPr="00F5028F" w:rsidRDefault="00913A5B" w:rsidP="00913A5B">
      <w:pPr>
        <w:pStyle w:val="Bezriadkovania"/>
        <w:spacing w:before="160" w:after="160"/>
        <w:rPr>
          <w:rFonts w:ascii="Arial Narrow" w:hAnsi="Arial Narrow"/>
          <w:color w:val="0563C1" w:themeColor="hyperlink"/>
          <w:u w:val="single"/>
        </w:rPr>
      </w:pPr>
      <w:r w:rsidRPr="00F5028F">
        <w:rPr>
          <w:rFonts w:ascii="Arial Narrow" w:hAnsi="Arial Narrow"/>
        </w:rPr>
        <w:t xml:space="preserve">To dá rozum (2019). </w:t>
      </w:r>
      <w:r w:rsidRPr="00F5028F">
        <w:rPr>
          <w:rFonts w:ascii="Arial Narrow" w:hAnsi="Arial Narrow"/>
          <w:i/>
        </w:rPr>
        <w:t>Dáta. Vysoké školstvo.</w:t>
      </w:r>
      <w:r w:rsidRPr="00F5028F">
        <w:rPr>
          <w:rFonts w:ascii="Arial Narrow" w:hAnsi="Arial Narrow"/>
        </w:rPr>
        <w:t xml:space="preserve"> </w:t>
      </w:r>
      <w:hyperlink r:id="rId241" w:history="1">
        <w:r w:rsidRPr="00F5028F">
          <w:rPr>
            <w:rStyle w:val="Hypertextovprepojenie"/>
            <w:rFonts w:ascii="Arial Narrow" w:hAnsi="Arial Narrow"/>
          </w:rPr>
          <w:t>https://analyza.todarozum.sk/data/19081607260001hyi1/</w:t>
        </w:r>
      </w:hyperlink>
    </w:p>
    <w:p w14:paraId="28F52336" w14:textId="77777777" w:rsidR="00913A5B" w:rsidRPr="00F5028F" w:rsidRDefault="00913A5B" w:rsidP="00913A5B">
      <w:pPr>
        <w:spacing w:before="160" w:after="160"/>
        <w:jc w:val="left"/>
        <w:rPr>
          <w:szCs w:val="22"/>
        </w:rPr>
      </w:pPr>
      <w:r w:rsidRPr="00F5028F">
        <w:rPr>
          <w:szCs w:val="22"/>
        </w:rPr>
        <w:t>Tsemberis, S. (2010), Housing first: ending homelessness, promoting recovery and reducing costs, In: Gould Ellen, I. and O’Flaherty, B. (Eds.) How to House the Homeless, pp.37-56. (New York: Russell Sage Foundation)</w:t>
      </w:r>
    </w:p>
    <w:p w14:paraId="5F54A05D" w14:textId="7272FE84" w:rsidR="00913A5B" w:rsidRPr="00F5028F" w:rsidRDefault="00913A5B" w:rsidP="00913A5B">
      <w:pPr>
        <w:spacing w:before="160" w:after="160"/>
        <w:jc w:val="left"/>
        <w:rPr>
          <w:szCs w:val="22"/>
        </w:rPr>
      </w:pPr>
      <w:r w:rsidRPr="00F5028F">
        <w:rPr>
          <w:szCs w:val="22"/>
        </w:rPr>
        <w:t xml:space="preserve">ÚHP (2017), </w:t>
      </w:r>
      <w:r w:rsidRPr="00F5028F">
        <w:rPr>
          <w:i/>
          <w:szCs w:val="22"/>
        </w:rPr>
        <w:t>Revízia výdavkov na politiky trhu práce a sociálne politiky: záverečná správa</w:t>
      </w:r>
      <w:r w:rsidRPr="00F5028F">
        <w:rPr>
          <w:szCs w:val="22"/>
        </w:rPr>
        <w:t xml:space="preserve"> </w:t>
      </w:r>
      <w:hyperlink r:id="rId242" w:history="1">
        <w:r w:rsidRPr="00F5028F">
          <w:rPr>
            <w:rStyle w:val="Hypertextovprepojenie"/>
            <w:szCs w:val="22"/>
          </w:rPr>
          <w:t>http://www.finance.gov.sk/Default.aspx?CatID=11158</w:t>
        </w:r>
      </w:hyperlink>
    </w:p>
    <w:p w14:paraId="4C98F024" w14:textId="77777777" w:rsidR="00913A5B" w:rsidRPr="00F5028F" w:rsidRDefault="00913A5B" w:rsidP="00913A5B">
      <w:pPr>
        <w:spacing w:before="160" w:after="160"/>
        <w:jc w:val="left"/>
        <w:rPr>
          <w:szCs w:val="22"/>
        </w:rPr>
      </w:pPr>
      <w:r w:rsidRPr="00F5028F">
        <w:rPr>
          <w:szCs w:val="22"/>
        </w:rPr>
        <w:t xml:space="preserve">ÚHP a IVP (2017), </w:t>
      </w:r>
      <w:r w:rsidRPr="00F5028F">
        <w:rPr>
          <w:i/>
          <w:szCs w:val="22"/>
        </w:rPr>
        <w:t>Revízia výdavkov na vzdelávanie: záverečná správa</w:t>
      </w:r>
      <w:r w:rsidRPr="00F5028F">
        <w:rPr>
          <w:szCs w:val="22"/>
        </w:rPr>
        <w:t xml:space="preserve"> </w:t>
      </w:r>
      <w:hyperlink r:id="rId243" w:history="1">
        <w:r w:rsidRPr="00F5028F">
          <w:rPr>
            <w:rStyle w:val="Hypertextovprepojenie"/>
            <w:szCs w:val="22"/>
          </w:rPr>
          <w:t>http://www.finance.gov.sk/Default.aspx?CatID=11158</w:t>
        </w:r>
      </w:hyperlink>
    </w:p>
    <w:p w14:paraId="2241858C" w14:textId="77777777" w:rsidR="00913A5B" w:rsidRPr="00F5028F" w:rsidRDefault="00913A5B" w:rsidP="00913A5B">
      <w:pPr>
        <w:spacing w:before="160" w:after="160"/>
        <w:jc w:val="left"/>
        <w:rPr>
          <w:rStyle w:val="Hypertextovprepojenie"/>
          <w:szCs w:val="22"/>
        </w:rPr>
      </w:pPr>
      <w:r w:rsidRPr="00F5028F">
        <w:rPr>
          <w:szCs w:val="22"/>
        </w:rPr>
        <w:t xml:space="preserve">UNDP (2012), </w:t>
      </w:r>
      <w:r w:rsidRPr="00F5028F">
        <w:rPr>
          <w:i/>
          <w:szCs w:val="22"/>
        </w:rPr>
        <w:t>Správa o životných podmienkach rómskych domácností na Slovensku 2010</w:t>
      </w:r>
      <w:r w:rsidRPr="00F5028F">
        <w:rPr>
          <w:szCs w:val="22"/>
        </w:rPr>
        <w:t xml:space="preserve">, </w:t>
      </w:r>
      <w:hyperlink r:id="rId244" w:history="1">
        <w:r w:rsidRPr="00F5028F">
          <w:rPr>
            <w:rStyle w:val="Hypertextovprepojenie"/>
            <w:szCs w:val="22"/>
          </w:rPr>
          <w:t>https://www.employment.gov.sk/files/undp-sprava-2010_na-web.pdf</w:t>
        </w:r>
      </w:hyperlink>
    </w:p>
    <w:p w14:paraId="46AD17FD" w14:textId="77777777" w:rsidR="00913A5B" w:rsidRPr="00F5028F" w:rsidRDefault="00913A5B" w:rsidP="00913A5B">
      <w:pPr>
        <w:spacing w:before="160" w:after="160"/>
        <w:rPr>
          <w:noProof/>
          <w:szCs w:val="22"/>
        </w:rPr>
      </w:pPr>
      <w:r w:rsidRPr="00F5028F">
        <w:rPr>
          <w:noProof/>
          <w:szCs w:val="22"/>
        </w:rPr>
        <w:t>Unger, A. (2013). Children's health in slum settings. Archives of disease in childhood, 98(10), 799-805</w:t>
      </w:r>
    </w:p>
    <w:p w14:paraId="797E0D5D" w14:textId="77777777" w:rsidR="00913A5B" w:rsidRPr="00F5028F" w:rsidRDefault="00913A5B" w:rsidP="00913A5B">
      <w:pPr>
        <w:spacing w:before="160" w:after="160"/>
        <w:rPr>
          <w:rStyle w:val="Hypertextovprepojenie"/>
          <w:szCs w:val="22"/>
        </w:rPr>
      </w:pPr>
      <w:r w:rsidRPr="00F5028F">
        <w:rPr>
          <w:szCs w:val="22"/>
        </w:rPr>
        <w:t xml:space="preserve">UNICEF (2008), The child care transition, </w:t>
      </w:r>
      <w:hyperlink r:id="rId245" w:history="1">
        <w:r w:rsidRPr="00F5028F">
          <w:rPr>
            <w:rStyle w:val="Hypertextovprepojenie"/>
            <w:szCs w:val="22"/>
          </w:rPr>
          <w:t>https://www.unicef-irc.org/publications/pdf/rc8_eng.pdf</w:t>
        </w:r>
      </w:hyperlink>
    </w:p>
    <w:p w14:paraId="73D39B6C" w14:textId="77777777" w:rsidR="00913A5B" w:rsidRPr="00F5028F" w:rsidRDefault="00913A5B" w:rsidP="00913A5B">
      <w:pPr>
        <w:pStyle w:val="Bezriadkovania"/>
        <w:spacing w:before="160" w:after="160"/>
        <w:rPr>
          <w:rFonts w:ascii="Arial Narrow" w:hAnsi="Arial Narrow"/>
          <w:i/>
          <w:iCs/>
        </w:rPr>
      </w:pPr>
      <w:r w:rsidRPr="00F5028F">
        <w:rPr>
          <w:rFonts w:ascii="Arial Narrow" w:hAnsi="Arial Narrow"/>
        </w:rPr>
        <w:t xml:space="preserve">UPSVAR (2018). </w:t>
      </w:r>
      <w:r w:rsidRPr="00F5028F">
        <w:rPr>
          <w:rFonts w:ascii="Arial Narrow" w:hAnsi="Arial Narrow"/>
          <w:i/>
          <w:iCs/>
        </w:rPr>
        <w:t xml:space="preserve">Ročné výkazy V05 MPSVR SR o poskytovaní starostlivosti a výchovy deťom v detskom domove a v detskom domove pre maloletých bez sprievodu </w:t>
      </w:r>
    </w:p>
    <w:p w14:paraId="17FE7B25" w14:textId="77777777" w:rsidR="00913A5B" w:rsidRPr="00F5028F" w:rsidRDefault="00913A5B" w:rsidP="00913A5B">
      <w:pPr>
        <w:spacing w:before="160" w:after="160"/>
        <w:jc w:val="left"/>
        <w:rPr>
          <w:rStyle w:val="Hypertextovprepojenie"/>
          <w:szCs w:val="22"/>
        </w:rPr>
      </w:pPr>
      <w:r w:rsidRPr="00F5028F">
        <w:rPr>
          <w:szCs w:val="22"/>
        </w:rPr>
        <w:t xml:space="preserve">ÚSVPRK (2018), </w:t>
      </w:r>
      <w:r w:rsidRPr="00F5028F">
        <w:rPr>
          <w:i/>
          <w:szCs w:val="22"/>
        </w:rPr>
        <w:t>Metodický výklad k používaniu etnických kategórií pri nastavení štátnych integračných politík</w:t>
      </w:r>
      <w:r w:rsidRPr="00F5028F">
        <w:rPr>
          <w:szCs w:val="22"/>
        </w:rPr>
        <w:t xml:space="preserve">, Úrad splnomocnenca vlády SR pre rómske komunity, Bratislava </w:t>
      </w:r>
      <w:hyperlink r:id="rId246" w:history="1">
        <w:r w:rsidRPr="00F5028F">
          <w:rPr>
            <w:rStyle w:val="Hypertextovprepojenie"/>
            <w:szCs w:val="22"/>
          </w:rPr>
          <w:t>http://www.minv.sk/swift_data/source/romovia/publikacie/Metodicky%20vyklad%20k%20pouzivaniu%20etnickych%20kategorii%20pri%20nastavovani%20statnych%20integracnych%20politik.pdf</w:t>
        </w:r>
      </w:hyperlink>
    </w:p>
    <w:p w14:paraId="18C6E621" w14:textId="77777777" w:rsidR="00913A5B" w:rsidRPr="00F5028F" w:rsidRDefault="00913A5B" w:rsidP="00913A5B">
      <w:pPr>
        <w:pStyle w:val="Bezriadkovania"/>
        <w:spacing w:before="160" w:after="160"/>
        <w:rPr>
          <w:rStyle w:val="Hypertextovprepojenie"/>
          <w:rFonts w:ascii="Arial Narrow" w:hAnsi="Arial Narrow"/>
          <w:color w:val="auto"/>
          <w:u w:val="none"/>
        </w:rPr>
      </w:pPr>
      <w:r w:rsidRPr="00F5028F">
        <w:rPr>
          <w:rStyle w:val="Hypertextovprepojenie"/>
          <w:rFonts w:ascii="Arial Narrow" w:hAnsi="Arial Narrow"/>
          <w:color w:val="auto"/>
          <w:u w:val="none"/>
        </w:rPr>
        <w:t xml:space="preserve">ÚSVPRK (2019). </w:t>
      </w:r>
      <w:r w:rsidRPr="00F5028F">
        <w:rPr>
          <w:rStyle w:val="Hypertextovprepojenie"/>
          <w:rFonts w:ascii="Arial Narrow" w:hAnsi="Arial Narrow"/>
          <w:i/>
          <w:iCs/>
          <w:color w:val="auto"/>
          <w:u w:val="none"/>
        </w:rPr>
        <w:t>Atlas rómskych komunít.</w:t>
      </w:r>
      <w:r w:rsidRPr="00F5028F">
        <w:rPr>
          <w:rStyle w:val="Hypertextovprepojenie"/>
          <w:rFonts w:ascii="Arial Narrow" w:hAnsi="Arial Narrow"/>
          <w:color w:val="auto"/>
          <w:u w:val="none"/>
        </w:rPr>
        <w:t xml:space="preserve"> </w:t>
      </w:r>
      <w:hyperlink r:id="rId247" w:history="1">
        <w:r w:rsidRPr="00F5028F">
          <w:rPr>
            <w:rStyle w:val="Hypertextovprepojenie"/>
            <w:rFonts w:ascii="Arial Narrow" w:hAnsi="Arial Narrow"/>
          </w:rPr>
          <w:t>https://www.minv.sk/?atlas-romskych-komunit-2019</w:t>
        </w:r>
      </w:hyperlink>
      <w:r w:rsidRPr="00F5028F">
        <w:rPr>
          <w:rStyle w:val="Hypertextovprepojenie"/>
          <w:rFonts w:ascii="Arial Narrow" w:hAnsi="Arial Narrow"/>
          <w:color w:val="auto"/>
          <w:u w:val="none"/>
        </w:rPr>
        <w:t xml:space="preserve"> </w:t>
      </w:r>
    </w:p>
    <w:p w14:paraId="21772F7F" w14:textId="77777777" w:rsidR="00913A5B" w:rsidRPr="00F5028F" w:rsidRDefault="00913A5B" w:rsidP="00913A5B">
      <w:pPr>
        <w:spacing w:before="160" w:after="160"/>
        <w:jc w:val="left"/>
        <w:rPr>
          <w:szCs w:val="22"/>
        </w:rPr>
      </w:pPr>
      <w:r w:rsidRPr="00F5028F">
        <w:rPr>
          <w:szCs w:val="22"/>
        </w:rPr>
        <w:t xml:space="preserve">ÚSVPRK (2020). </w:t>
      </w:r>
      <w:r w:rsidRPr="00F5028F">
        <w:rPr>
          <w:i/>
          <w:iCs/>
          <w:szCs w:val="22"/>
        </w:rPr>
        <w:t>Národný projekt inklúzie v materských školách.</w:t>
      </w:r>
      <w:r w:rsidRPr="00F5028F">
        <w:rPr>
          <w:szCs w:val="22"/>
        </w:rPr>
        <w:t xml:space="preserve"> https://www.minv.sk/?pre-materske-skoly</w:t>
      </w:r>
    </w:p>
    <w:p w14:paraId="7465D4C1" w14:textId="77777777" w:rsidR="00913A5B" w:rsidRPr="00F5028F" w:rsidRDefault="00913A5B" w:rsidP="00913A5B">
      <w:pPr>
        <w:spacing w:before="160" w:after="160"/>
        <w:jc w:val="left"/>
        <w:rPr>
          <w:szCs w:val="22"/>
        </w:rPr>
      </w:pPr>
      <w:r w:rsidRPr="00F5028F">
        <w:rPr>
          <w:szCs w:val="22"/>
        </w:rPr>
        <w:t xml:space="preserve">Van Huisen, T. a J. Plantenga (2018) Do Children Benefit from Universal Early Childhood Education and Care? Meta-Analysis of Evidence from Natural Experiments, </w:t>
      </w:r>
      <w:r w:rsidRPr="00F5028F">
        <w:rPr>
          <w:i/>
          <w:szCs w:val="22"/>
        </w:rPr>
        <w:t>Economics of Education Review</w:t>
      </w:r>
      <w:r w:rsidRPr="00F5028F">
        <w:rPr>
          <w:szCs w:val="22"/>
        </w:rPr>
        <w:t>, vol. 66, 206-222</w:t>
      </w:r>
    </w:p>
    <w:p w14:paraId="019FE41B" w14:textId="77777777" w:rsidR="00913A5B" w:rsidRPr="00F5028F" w:rsidRDefault="00913A5B" w:rsidP="00913A5B">
      <w:pPr>
        <w:spacing w:before="160" w:after="160"/>
        <w:jc w:val="left"/>
        <w:rPr>
          <w:szCs w:val="22"/>
        </w:rPr>
      </w:pPr>
      <w:r w:rsidRPr="00F5028F">
        <w:rPr>
          <w:szCs w:val="22"/>
        </w:rPr>
        <w:t xml:space="preserve">Varsik, S. (2019), Držím ti miesto: Analýza kapacít materských škôl pre 5-ročné deti, Inštitút vzdelávacej politiky: </w:t>
      </w:r>
      <w:hyperlink r:id="rId248" w:history="1">
        <w:r w:rsidRPr="00F5028F">
          <w:rPr>
            <w:rStyle w:val="Hypertextovprepojenie"/>
            <w:szCs w:val="22"/>
          </w:rPr>
          <w:t>https://www.minedu.sk/data/att/15248.pdf</w:t>
        </w:r>
      </w:hyperlink>
    </w:p>
    <w:p w14:paraId="6DFE9A2D" w14:textId="77777777" w:rsidR="00913A5B" w:rsidRPr="00F5028F" w:rsidRDefault="00913A5B" w:rsidP="00913A5B">
      <w:pPr>
        <w:spacing w:before="160" w:after="160"/>
        <w:jc w:val="left"/>
        <w:rPr>
          <w:szCs w:val="22"/>
        </w:rPr>
      </w:pPr>
      <w:r w:rsidRPr="00F5028F">
        <w:rPr>
          <w:szCs w:val="22"/>
        </w:rPr>
        <w:t xml:space="preserve">Verejný ochranca práv (2016). </w:t>
      </w:r>
      <w:r w:rsidRPr="00F5028F">
        <w:rPr>
          <w:i/>
          <w:iCs/>
          <w:szCs w:val="22"/>
        </w:rPr>
        <w:t>Správa o výsledkoch prieskumu bezbariérového prístupu do budov škôl a bezbariérovosti v nich.</w:t>
      </w:r>
      <w:r w:rsidRPr="00F5028F">
        <w:rPr>
          <w:szCs w:val="22"/>
        </w:rPr>
        <w:t xml:space="preserve"> </w:t>
      </w:r>
      <w:hyperlink r:id="rId249" w:history="1">
        <w:r w:rsidRPr="00F5028F">
          <w:rPr>
            <w:rStyle w:val="Hypertextovprepojenie"/>
            <w:szCs w:val="22"/>
          </w:rPr>
          <w:t>https://www.vop.gov.sk/files/Sprava%20bezbarierovost%20skoly.pdf</w:t>
        </w:r>
      </w:hyperlink>
    </w:p>
    <w:p w14:paraId="5B6D9D4B" w14:textId="77777777" w:rsidR="00913A5B" w:rsidRPr="00F5028F" w:rsidRDefault="00913A5B" w:rsidP="00913A5B">
      <w:pPr>
        <w:spacing w:before="160" w:after="160"/>
        <w:jc w:val="left"/>
        <w:rPr>
          <w:szCs w:val="22"/>
        </w:rPr>
      </w:pPr>
      <w:r w:rsidRPr="00F5028F">
        <w:rPr>
          <w:szCs w:val="22"/>
        </w:rPr>
        <w:t xml:space="preserve">Webster, R. (2010). </w:t>
      </w:r>
      <w:r w:rsidRPr="00F5028F">
        <w:rPr>
          <w:i/>
          <w:szCs w:val="22"/>
        </w:rPr>
        <w:t>Double standards and first principles: framing teaching assistant support for pupils with special educational needs</w:t>
      </w:r>
      <w:r w:rsidRPr="00F5028F">
        <w:rPr>
          <w:szCs w:val="22"/>
        </w:rPr>
        <w:t>, European Journal of Special Needs Education, 25 (4), 319-336</w:t>
      </w:r>
    </w:p>
    <w:p w14:paraId="17382FAC" w14:textId="77777777" w:rsidR="00913A5B" w:rsidRPr="00F5028F" w:rsidRDefault="00913A5B" w:rsidP="00913A5B">
      <w:pPr>
        <w:spacing w:before="160" w:after="160"/>
        <w:rPr>
          <w:noProof/>
          <w:szCs w:val="22"/>
        </w:rPr>
      </w:pPr>
      <w:r w:rsidRPr="00F5028F">
        <w:rPr>
          <w:noProof/>
          <w:szCs w:val="22"/>
        </w:rPr>
        <w:t>Wells, N. M., Evans, G. W., &amp; Cheek, K. A. (2016). Environmental psychology. Environmental health: From global to local, 203.</w:t>
      </w:r>
    </w:p>
    <w:p w14:paraId="6189A2C3" w14:textId="77777777" w:rsidR="00913A5B" w:rsidRPr="00F5028F" w:rsidRDefault="00913A5B" w:rsidP="00913A5B">
      <w:pPr>
        <w:spacing w:before="160" w:after="160"/>
        <w:rPr>
          <w:noProof/>
          <w:szCs w:val="22"/>
        </w:rPr>
      </w:pPr>
      <w:r w:rsidRPr="00F5028F">
        <w:rPr>
          <w:noProof/>
          <w:szCs w:val="22"/>
        </w:rPr>
        <w:t>Wise, P. H. (2016). Child poverty and the promise of human capacity: childhood as a foundation for healthy aging. Academic pediatrics, 16(3), S37-S45</w:t>
      </w:r>
    </w:p>
    <w:p w14:paraId="78360567" w14:textId="77777777" w:rsidR="00913A5B" w:rsidRPr="00F5028F" w:rsidRDefault="00913A5B" w:rsidP="00913A5B">
      <w:pPr>
        <w:spacing w:before="160" w:after="160"/>
        <w:jc w:val="left"/>
        <w:rPr>
          <w:rStyle w:val="A10"/>
          <w:rFonts w:cstheme="minorBidi"/>
          <w:color w:val="0563C1" w:themeColor="hyperlink"/>
          <w:sz w:val="22"/>
          <w:szCs w:val="22"/>
          <w:u w:val="none"/>
        </w:rPr>
      </w:pPr>
      <w:r w:rsidRPr="00F5028F">
        <w:rPr>
          <w:rStyle w:val="A10"/>
          <w:sz w:val="22"/>
          <w:szCs w:val="22"/>
          <w:u w:val="none"/>
        </w:rPr>
        <w:t xml:space="preserve">Wolfe, I. and McKee, M. (2013). </w:t>
      </w:r>
      <w:r w:rsidRPr="00F5028F">
        <w:rPr>
          <w:rStyle w:val="A10"/>
          <w:i/>
          <w:iCs/>
          <w:sz w:val="22"/>
          <w:szCs w:val="22"/>
          <w:u w:val="none"/>
        </w:rPr>
        <w:t xml:space="preserve">European child health services and systems. Lessons without borders. </w:t>
      </w:r>
      <w:r w:rsidRPr="00F5028F">
        <w:rPr>
          <w:rStyle w:val="A10"/>
          <w:sz w:val="22"/>
          <w:szCs w:val="22"/>
          <w:u w:val="none"/>
        </w:rPr>
        <w:t xml:space="preserve">UK: Open University Press. </w:t>
      </w:r>
      <w:hyperlink r:id="rId250" w:history="1">
        <w:r w:rsidRPr="00F5028F">
          <w:rPr>
            <w:rStyle w:val="Hypertextovprepojenie"/>
            <w:szCs w:val="22"/>
          </w:rPr>
          <w:t>http://www.euro.who.int/en/publications/abstracts/european-child-health-services-and-systems.-lessons-without-borders-2013</w:t>
        </w:r>
      </w:hyperlink>
    </w:p>
    <w:p w14:paraId="4B7A3634" w14:textId="77777777" w:rsidR="00913A5B" w:rsidRPr="00F5028F" w:rsidRDefault="00913A5B" w:rsidP="00913A5B">
      <w:pPr>
        <w:spacing w:before="160" w:after="160"/>
        <w:rPr>
          <w:szCs w:val="22"/>
        </w:rPr>
      </w:pPr>
      <w:r w:rsidRPr="00F5028F">
        <w:rPr>
          <w:szCs w:val="22"/>
        </w:rPr>
        <w:t xml:space="preserve">Y-Foundation (2017), A Home of Your Own: Housing First and ending homelessness in Finland: </w:t>
      </w:r>
      <w:hyperlink r:id="rId251" w:history="1">
        <w:r w:rsidRPr="00F5028F">
          <w:rPr>
            <w:rStyle w:val="Hypertextovprepojenie"/>
            <w:szCs w:val="22"/>
          </w:rPr>
          <w:t>https://ysaatio.fi/assets/files/2018/01/A_Home_of_Your_Own_lowres_spreads.pdf</w:t>
        </w:r>
      </w:hyperlink>
    </w:p>
    <w:p w14:paraId="2A7E5769" w14:textId="77777777" w:rsidR="00913A5B" w:rsidRPr="00F5028F" w:rsidRDefault="00913A5B" w:rsidP="00913A5B">
      <w:pPr>
        <w:spacing w:before="160" w:after="160"/>
        <w:rPr>
          <w:szCs w:val="22"/>
        </w:rPr>
      </w:pPr>
      <w:r w:rsidRPr="00F5028F">
        <w:rPr>
          <w:szCs w:val="22"/>
        </w:rPr>
        <w:t xml:space="preserve">Zúbková, M. , Brazdovičova, S. (2008) Chápanie sociálneho bývania a jeho praktické uplatnenie vo vybranej krajine EÚ, Bratislava: STU BA, Nehnuteľnosti a bývanie 2008/2, 1-10. </w:t>
      </w:r>
      <w:hyperlink r:id="rId252" w:history="1">
        <w:r w:rsidRPr="00F5028F">
          <w:rPr>
            <w:rStyle w:val="Hypertextovprepojenie"/>
            <w:szCs w:val="22"/>
          </w:rPr>
          <w:t>https://www.stuba.sk/buxus/docs/stu/ustavy/ustav_manazmentu/NAB2008_2/clanok1.pdf</w:t>
        </w:r>
      </w:hyperlink>
    </w:p>
    <w:p w14:paraId="2897B06F" w14:textId="6FC42DCB" w:rsidR="007C0188" w:rsidRPr="00CA2564" w:rsidRDefault="007C0188" w:rsidP="007C0188">
      <w:pPr>
        <w:pStyle w:val="Nadpis1"/>
        <w:rPr>
          <w:noProof/>
        </w:rPr>
      </w:pPr>
      <w:bookmarkStart w:id="1868" w:name="_Toc34657751"/>
      <w:r w:rsidRPr="00CA2564">
        <w:t>Prílohy</w:t>
      </w:r>
      <w:bookmarkEnd w:id="1868"/>
    </w:p>
    <w:p w14:paraId="469416C0" w14:textId="41B23553" w:rsidR="00D00621" w:rsidRDefault="00AD2F2A" w:rsidP="00D00621">
      <w:pPr>
        <w:pStyle w:val="Popis"/>
        <w:rPr>
          <w:b/>
          <w:i w:val="0"/>
          <w:color w:val="2E74B5" w:themeColor="accent1" w:themeShade="BF"/>
          <w:sz w:val="22"/>
        </w:rPr>
      </w:pPr>
      <w:r w:rsidRPr="00AD2F2A">
        <w:rPr>
          <w:b/>
          <w:i w:val="0"/>
          <w:color w:val="2E74B5" w:themeColor="accent1" w:themeShade="BF"/>
          <w:sz w:val="22"/>
        </w:rPr>
        <w:t xml:space="preserve">Príloha </w:t>
      </w:r>
      <w:r w:rsidRPr="00AD2F2A">
        <w:rPr>
          <w:b/>
          <w:i w:val="0"/>
          <w:color w:val="2E74B5" w:themeColor="accent1" w:themeShade="BF"/>
          <w:sz w:val="22"/>
        </w:rPr>
        <w:fldChar w:fldCharType="begin"/>
      </w:r>
      <w:r w:rsidRPr="00AD2F2A">
        <w:rPr>
          <w:b/>
          <w:i w:val="0"/>
          <w:color w:val="2E74B5" w:themeColor="accent1" w:themeShade="BF"/>
          <w:sz w:val="22"/>
        </w:rPr>
        <w:instrText xml:space="preserve"> SEQ Príloha \* ARABIC </w:instrText>
      </w:r>
      <w:r w:rsidRPr="00AD2F2A">
        <w:rPr>
          <w:b/>
          <w:i w:val="0"/>
          <w:color w:val="2E74B5" w:themeColor="accent1" w:themeShade="BF"/>
          <w:sz w:val="22"/>
        </w:rPr>
        <w:fldChar w:fldCharType="separate"/>
      </w:r>
      <w:r w:rsidR="00FA29AF">
        <w:rPr>
          <w:b/>
          <w:i w:val="0"/>
          <w:noProof/>
          <w:color w:val="2E74B5" w:themeColor="accent1" w:themeShade="BF"/>
          <w:sz w:val="22"/>
        </w:rPr>
        <w:t>1</w:t>
      </w:r>
      <w:r w:rsidRPr="00AD2F2A">
        <w:rPr>
          <w:b/>
          <w:i w:val="0"/>
          <w:color w:val="2E74B5" w:themeColor="accent1" w:themeShade="BF"/>
          <w:sz w:val="22"/>
        </w:rPr>
        <w:fldChar w:fldCharType="end"/>
      </w:r>
      <w:r w:rsidRPr="00AD2F2A">
        <w:rPr>
          <w:b/>
          <w:i w:val="0"/>
          <w:color w:val="2E74B5" w:themeColor="accent1" w:themeShade="BF"/>
          <w:sz w:val="22"/>
        </w:rPr>
        <w:t>: Zoznam skratiek</w:t>
      </w:r>
    </w:p>
    <w:tbl>
      <w:tblPr>
        <w:tblStyle w:val="Obyajntabuka3"/>
        <w:tblW w:w="5000" w:type="pct"/>
        <w:tblLayout w:type="fixed"/>
        <w:tblLook w:val="04A0" w:firstRow="1" w:lastRow="0" w:firstColumn="1" w:lastColumn="0" w:noHBand="0" w:noVBand="1"/>
      </w:tblPr>
      <w:tblGrid>
        <w:gridCol w:w="986"/>
        <w:gridCol w:w="3518"/>
        <w:gridCol w:w="1126"/>
        <w:gridCol w:w="3396"/>
      </w:tblGrid>
      <w:tr w:rsidR="00EE7779" w:rsidRPr="00EE7779" w14:paraId="4E501931" w14:textId="77777777" w:rsidTr="00AD40C0">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546" w:type="pct"/>
            <w:noWrap/>
            <w:vAlign w:val="center"/>
            <w:hideMark/>
          </w:tcPr>
          <w:p w14:paraId="6566CA14" w14:textId="77777777" w:rsidR="00EE7779" w:rsidRPr="00EE7779" w:rsidRDefault="00EE7779" w:rsidP="00EE7779">
            <w:pPr>
              <w:spacing w:after="0"/>
              <w:jc w:val="left"/>
              <w:rPr>
                <w:rFonts w:eastAsia="Times New Roman" w:cs="Times New Roman"/>
                <w:color w:val="000000"/>
                <w:sz w:val="20"/>
                <w:lang w:eastAsia="sk-SK"/>
              </w:rPr>
            </w:pPr>
            <w:r w:rsidRPr="00EE7779">
              <w:rPr>
                <w:rFonts w:eastAsia="Times New Roman" w:cs="Times New Roman"/>
                <w:color w:val="000000"/>
                <w:sz w:val="20"/>
                <w:lang w:eastAsia="sk-SK"/>
              </w:rPr>
              <w:t>3D</w:t>
            </w:r>
          </w:p>
        </w:tc>
        <w:tc>
          <w:tcPr>
            <w:tcW w:w="1949" w:type="pct"/>
            <w:noWrap/>
            <w:vAlign w:val="center"/>
            <w:hideMark/>
          </w:tcPr>
          <w:p w14:paraId="336357F4" w14:textId="77777777" w:rsidR="00EE7779" w:rsidRPr="00EE7779" w:rsidRDefault="00EE7779" w:rsidP="00EE7779">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caps w:val="0"/>
                <w:color w:val="000000"/>
                <w:sz w:val="20"/>
                <w:lang w:eastAsia="sk-SK"/>
              </w:rPr>
            </w:pPr>
            <w:r w:rsidRPr="00EE7779">
              <w:rPr>
                <w:rFonts w:eastAsia="Times New Roman" w:cs="Times New Roman"/>
                <w:color w:val="000000"/>
                <w:sz w:val="20"/>
                <w:lang w:eastAsia="sk-SK"/>
              </w:rPr>
              <w:t>Desegregácia, destigmatizácia, degetoizácia</w:t>
            </w:r>
          </w:p>
        </w:tc>
        <w:tc>
          <w:tcPr>
            <w:tcW w:w="624" w:type="pct"/>
            <w:noWrap/>
            <w:vAlign w:val="center"/>
            <w:hideMark/>
          </w:tcPr>
          <w:p w14:paraId="0531FAB2" w14:textId="77777777" w:rsidR="00EE7779" w:rsidRPr="00EE7779" w:rsidRDefault="00EE7779" w:rsidP="00EE7779">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OP ĽZ</w:t>
            </w:r>
          </w:p>
        </w:tc>
        <w:tc>
          <w:tcPr>
            <w:tcW w:w="1881" w:type="pct"/>
            <w:noWrap/>
            <w:vAlign w:val="center"/>
            <w:hideMark/>
          </w:tcPr>
          <w:p w14:paraId="696B23FA" w14:textId="77777777" w:rsidR="00EE7779" w:rsidRPr="00EE7779" w:rsidRDefault="00EE7779" w:rsidP="00EE7779">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caps w:val="0"/>
                <w:color w:val="000000"/>
                <w:sz w:val="20"/>
                <w:lang w:eastAsia="sk-SK"/>
              </w:rPr>
            </w:pPr>
            <w:r w:rsidRPr="00EE7779">
              <w:rPr>
                <w:rFonts w:eastAsia="Times New Roman" w:cs="Times New Roman"/>
                <w:color w:val="000000"/>
                <w:sz w:val="20"/>
                <w:lang w:eastAsia="sk-SK"/>
              </w:rPr>
              <w:t>Operačný program ľudské zdroje</w:t>
            </w:r>
          </w:p>
        </w:tc>
      </w:tr>
      <w:tr w:rsidR="00EE7779" w:rsidRPr="00EE7779" w14:paraId="5CB0BA75" w14:textId="77777777" w:rsidTr="00AD40C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46" w:type="pct"/>
            <w:noWrap/>
            <w:vAlign w:val="center"/>
            <w:hideMark/>
          </w:tcPr>
          <w:p w14:paraId="71E351CD" w14:textId="77777777" w:rsidR="00EE7779" w:rsidRPr="00EE7779" w:rsidRDefault="00EE7779" w:rsidP="00EE7779">
            <w:pPr>
              <w:spacing w:after="0"/>
              <w:jc w:val="left"/>
              <w:rPr>
                <w:rFonts w:eastAsia="Times New Roman" w:cs="Times New Roman"/>
                <w:color w:val="000000"/>
                <w:sz w:val="20"/>
                <w:lang w:eastAsia="sk-SK"/>
              </w:rPr>
            </w:pPr>
            <w:r w:rsidRPr="00EE7779">
              <w:rPr>
                <w:rFonts w:eastAsia="Times New Roman" w:cs="Times New Roman"/>
                <w:color w:val="000000"/>
                <w:sz w:val="20"/>
                <w:lang w:eastAsia="sk-SK"/>
              </w:rPr>
              <w:t>AOTP</w:t>
            </w:r>
          </w:p>
        </w:tc>
        <w:tc>
          <w:tcPr>
            <w:tcW w:w="1949" w:type="pct"/>
            <w:noWrap/>
            <w:vAlign w:val="center"/>
            <w:hideMark/>
          </w:tcPr>
          <w:p w14:paraId="38C61FFB" w14:textId="77777777" w:rsidR="00EE7779" w:rsidRPr="00EE7779" w:rsidRDefault="00EE7779"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Aktívne opatrenia trhu práce</w:t>
            </w:r>
          </w:p>
        </w:tc>
        <w:tc>
          <w:tcPr>
            <w:tcW w:w="624" w:type="pct"/>
            <w:noWrap/>
            <w:vAlign w:val="center"/>
            <w:hideMark/>
          </w:tcPr>
          <w:p w14:paraId="23C5B96D" w14:textId="77777777" w:rsidR="00EE7779" w:rsidRPr="00EE7779" w:rsidRDefault="00EE7779"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sk-SK"/>
              </w:rPr>
            </w:pPr>
            <w:r w:rsidRPr="00EE7779">
              <w:rPr>
                <w:rFonts w:eastAsia="Times New Roman" w:cs="Times New Roman"/>
                <w:b/>
                <w:bCs/>
                <w:color w:val="000000"/>
                <w:sz w:val="20"/>
                <w:lang w:eastAsia="sk-SK"/>
              </w:rPr>
              <w:t>OS</w:t>
            </w:r>
          </w:p>
        </w:tc>
        <w:tc>
          <w:tcPr>
            <w:tcW w:w="1881" w:type="pct"/>
            <w:noWrap/>
            <w:vAlign w:val="center"/>
            <w:hideMark/>
          </w:tcPr>
          <w:p w14:paraId="73674AE2" w14:textId="77777777" w:rsidR="00EE7779" w:rsidRPr="00EE7779" w:rsidRDefault="00EE7779"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Očakávaná skutočnosť (v rámci výdavkov rozpočtu)</w:t>
            </w:r>
          </w:p>
        </w:tc>
      </w:tr>
      <w:tr w:rsidR="00EE7779" w:rsidRPr="00EE7779" w14:paraId="7825F8B5" w14:textId="77777777" w:rsidTr="00AD40C0">
        <w:trPr>
          <w:trHeight w:val="255"/>
        </w:trPr>
        <w:tc>
          <w:tcPr>
            <w:cnfStyle w:val="001000000000" w:firstRow="0" w:lastRow="0" w:firstColumn="1" w:lastColumn="0" w:oddVBand="0" w:evenVBand="0" w:oddHBand="0" w:evenHBand="0" w:firstRowFirstColumn="0" w:firstRowLastColumn="0" w:lastRowFirstColumn="0" w:lastRowLastColumn="0"/>
            <w:tcW w:w="546" w:type="pct"/>
            <w:noWrap/>
            <w:vAlign w:val="center"/>
            <w:hideMark/>
          </w:tcPr>
          <w:p w14:paraId="02EE0C2D" w14:textId="77777777" w:rsidR="00EE7779" w:rsidRPr="00EE7779" w:rsidRDefault="00EE7779" w:rsidP="00EE7779">
            <w:pPr>
              <w:spacing w:after="0"/>
              <w:jc w:val="left"/>
              <w:rPr>
                <w:rFonts w:eastAsia="Times New Roman" w:cs="Times New Roman"/>
                <w:color w:val="000000"/>
                <w:sz w:val="20"/>
                <w:lang w:eastAsia="sk-SK"/>
              </w:rPr>
            </w:pPr>
            <w:r w:rsidRPr="00EE7779">
              <w:rPr>
                <w:rFonts w:eastAsia="Times New Roman" w:cs="Times New Roman"/>
                <w:color w:val="000000"/>
                <w:sz w:val="20"/>
                <w:lang w:eastAsia="sk-SK"/>
              </w:rPr>
              <w:t>APPVI</w:t>
            </w:r>
          </w:p>
        </w:tc>
        <w:tc>
          <w:tcPr>
            <w:tcW w:w="1949" w:type="pct"/>
            <w:noWrap/>
            <w:vAlign w:val="center"/>
            <w:hideMark/>
          </w:tcPr>
          <w:p w14:paraId="0155BC85" w14:textId="77777777" w:rsidR="00EE7779" w:rsidRPr="00EE7779" w:rsidRDefault="00EE7779"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Asociácia poskytovateľov a podporovateľov včasnej intervencie</w:t>
            </w:r>
          </w:p>
        </w:tc>
        <w:tc>
          <w:tcPr>
            <w:tcW w:w="624" w:type="pct"/>
            <w:noWrap/>
            <w:vAlign w:val="center"/>
            <w:hideMark/>
          </w:tcPr>
          <w:p w14:paraId="512DE733" w14:textId="77777777" w:rsidR="00EE7779" w:rsidRPr="00EE7779" w:rsidRDefault="00EE7779"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lang w:eastAsia="sk-SK"/>
              </w:rPr>
            </w:pPr>
            <w:r w:rsidRPr="00EE7779">
              <w:rPr>
                <w:rFonts w:eastAsia="Times New Roman" w:cs="Times New Roman"/>
                <w:b/>
                <w:bCs/>
                <w:color w:val="000000"/>
                <w:sz w:val="20"/>
                <w:lang w:eastAsia="sk-SK"/>
              </w:rPr>
              <w:t>OSN</w:t>
            </w:r>
          </w:p>
        </w:tc>
        <w:tc>
          <w:tcPr>
            <w:tcW w:w="1881" w:type="pct"/>
            <w:noWrap/>
            <w:vAlign w:val="center"/>
            <w:hideMark/>
          </w:tcPr>
          <w:p w14:paraId="690B78CB" w14:textId="77777777" w:rsidR="00EE7779" w:rsidRPr="00EE7779" w:rsidRDefault="00EE7779"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Organizácia spojených národov</w:t>
            </w:r>
          </w:p>
        </w:tc>
      </w:tr>
      <w:tr w:rsidR="00EE7779" w:rsidRPr="00EE7779" w14:paraId="79B2DD00" w14:textId="77777777" w:rsidTr="00AD40C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46" w:type="pct"/>
            <w:noWrap/>
            <w:vAlign w:val="center"/>
            <w:hideMark/>
          </w:tcPr>
          <w:p w14:paraId="63C32659" w14:textId="77777777" w:rsidR="00EE7779" w:rsidRPr="00EE7779" w:rsidRDefault="00EE7779" w:rsidP="00EE7779">
            <w:pPr>
              <w:spacing w:after="0"/>
              <w:jc w:val="left"/>
              <w:rPr>
                <w:rFonts w:eastAsia="Times New Roman" w:cs="Times New Roman"/>
                <w:color w:val="000000"/>
                <w:sz w:val="20"/>
                <w:lang w:eastAsia="sk-SK"/>
              </w:rPr>
            </w:pPr>
            <w:r w:rsidRPr="00EE7779">
              <w:rPr>
                <w:rFonts w:eastAsia="Times New Roman" w:cs="Times New Roman"/>
                <w:color w:val="000000"/>
                <w:sz w:val="20"/>
                <w:lang w:eastAsia="sk-SK"/>
              </w:rPr>
              <w:t>APTP</w:t>
            </w:r>
          </w:p>
        </w:tc>
        <w:tc>
          <w:tcPr>
            <w:tcW w:w="1949" w:type="pct"/>
            <w:noWrap/>
            <w:vAlign w:val="center"/>
            <w:hideMark/>
          </w:tcPr>
          <w:p w14:paraId="50A30211" w14:textId="77777777" w:rsidR="00EE7779" w:rsidRPr="00EE7779" w:rsidRDefault="00EE7779"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Aktívne politiky trhu práce</w:t>
            </w:r>
          </w:p>
        </w:tc>
        <w:tc>
          <w:tcPr>
            <w:tcW w:w="624" w:type="pct"/>
            <w:noWrap/>
            <w:vAlign w:val="center"/>
            <w:hideMark/>
          </w:tcPr>
          <w:p w14:paraId="189328EF" w14:textId="77777777" w:rsidR="00EE7779" w:rsidRPr="00EE7779" w:rsidRDefault="00EE7779"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sk-SK"/>
              </w:rPr>
            </w:pPr>
            <w:r w:rsidRPr="00EE7779">
              <w:rPr>
                <w:rFonts w:eastAsia="Times New Roman" w:cs="Times New Roman"/>
                <w:b/>
                <w:bCs/>
                <w:color w:val="000000"/>
                <w:sz w:val="20"/>
                <w:lang w:eastAsia="sk-SK"/>
              </w:rPr>
              <w:t>OZP</w:t>
            </w:r>
          </w:p>
        </w:tc>
        <w:tc>
          <w:tcPr>
            <w:tcW w:w="1881" w:type="pct"/>
            <w:noWrap/>
            <w:vAlign w:val="center"/>
            <w:hideMark/>
          </w:tcPr>
          <w:p w14:paraId="60961BBC" w14:textId="77777777" w:rsidR="00EE7779" w:rsidRPr="00EE7779" w:rsidRDefault="00EE7779"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Osoby so zdravotným postihnutím</w:t>
            </w:r>
          </w:p>
        </w:tc>
      </w:tr>
      <w:tr w:rsidR="00EE7779" w:rsidRPr="00EE7779" w14:paraId="5278BBC9" w14:textId="77777777" w:rsidTr="00AD40C0">
        <w:trPr>
          <w:trHeight w:val="255"/>
        </w:trPr>
        <w:tc>
          <w:tcPr>
            <w:cnfStyle w:val="001000000000" w:firstRow="0" w:lastRow="0" w:firstColumn="1" w:lastColumn="0" w:oddVBand="0" w:evenVBand="0" w:oddHBand="0" w:evenHBand="0" w:firstRowFirstColumn="0" w:firstRowLastColumn="0" w:lastRowFirstColumn="0" w:lastRowLastColumn="0"/>
            <w:tcW w:w="546" w:type="pct"/>
            <w:noWrap/>
            <w:vAlign w:val="center"/>
            <w:hideMark/>
          </w:tcPr>
          <w:p w14:paraId="5DD543CE" w14:textId="77777777" w:rsidR="00EE7779" w:rsidRPr="00EE7779" w:rsidRDefault="00EE7779" w:rsidP="00EE7779">
            <w:pPr>
              <w:spacing w:after="0"/>
              <w:jc w:val="left"/>
              <w:rPr>
                <w:rFonts w:eastAsia="Times New Roman" w:cs="Times New Roman"/>
                <w:color w:val="000000"/>
                <w:sz w:val="20"/>
                <w:lang w:eastAsia="sk-SK"/>
              </w:rPr>
            </w:pPr>
            <w:r w:rsidRPr="00EE7779">
              <w:rPr>
                <w:rFonts w:eastAsia="Times New Roman" w:cs="Times New Roman"/>
                <w:color w:val="000000"/>
                <w:sz w:val="20"/>
                <w:lang w:eastAsia="sk-SK"/>
              </w:rPr>
              <w:t>APZ</w:t>
            </w:r>
          </w:p>
        </w:tc>
        <w:tc>
          <w:tcPr>
            <w:tcW w:w="1949" w:type="pct"/>
            <w:noWrap/>
            <w:vAlign w:val="center"/>
            <w:hideMark/>
          </w:tcPr>
          <w:p w14:paraId="59972AF3" w14:textId="77777777" w:rsidR="00EE7779" w:rsidRPr="00EE7779" w:rsidRDefault="00EE7779"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Agentúra podporného zamestnávania</w:t>
            </w:r>
          </w:p>
        </w:tc>
        <w:tc>
          <w:tcPr>
            <w:tcW w:w="624" w:type="pct"/>
            <w:noWrap/>
            <w:vAlign w:val="center"/>
            <w:hideMark/>
          </w:tcPr>
          <w:p w14:paraId="17578273" w14:textId="77777777" w:rsidR="00EE7779" w:rsidRPr="00EE7779" w:rsidRDefault="00EE7779"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lang w:eastAsia="sk-SK"/>
              </w:rPr>
            </w:pPr>
            <w:r w:rsidRPr="00EE7779">
              <w:rPr>
                <w:rFonts w:eastAsia="Times New Roman" w:cs="Times New Roman"/>
                <w:b/>
                <w:bCs/>
                <w:color w:val="000000"/>
                <w:sz w:val="20"/>
                <w:lang w:eastAsia="sk-SK"/>
              </w:rPr>
              <w:t>PA</w:t>
            </w:r>
          </w:p>
        </w:tc>
        <w:tc>
          <w:tcPr>
            <w:tcW w:w="1881" w:type="pct"/>
            <w:noWrap/>
            <w:vAlign w:val="center"/>
            <w:hideMark/>
          </w:tcPr>
          <w:p w14:paraId="133424E9" w14:textId="77777777" w:rsidR="00EE7779" w:rsidRPr="00EE7779" w:rsidRDefault="00EE7779"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Pedagogický asistent</w:t>
            </w:r>
          </w:p>
        </w:tc>
      </w:tr>
      <w:tr w:rsidR="00EE7779" w:rsidRPr="00EE7779" w14:paraId="220E2A6B" w14:textId="77777777" w:rsidTr="00AD40C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46" w:type="pct"/>
            <w:noWrap/>
            <w:vAlign w:val="center"/>
            <w:hideMark/>
          </w:tcPr>
          <w:p w14:paraId="7CC8F03F" w14:textId="77777777" w:rsidR="00EE7779" w:rsidRPr="00EE7779" w:rsidRDefault="00EE7779" w:rsidP="00EE7779">
            <w:pPr>
              <w:spacing w:after="0"/>
              <w:jc w:val="left"/>
              <w:rPr>
                <w:rFonts w:eastAsia="Times New Roman" w:cs="Times New Roman"/>
                <w:color w:val="000000"/>
                <w:sz w:val="20"/>
                <w:lang w:eastAsia="sk-SK"/>
              </w:rPr>
            </w:pPr>
            <w:r w:rsidRPr="00EE7779">
              <w:rPr>
                <w:rFonts w:eastAsia="Times New Roman" w:cs="Times New Roman"/>
                <w:color w:val="000000"/>
                <w:sz w:val="20"/>
                <w:lang w:eastAsia="sk-SK"/>
              </w:rPr>
              <w:t>ARK</w:t>
            </w:r>
          </w:p>
        </w:tc>
        <w:tc>
          <w:tcPr>
            <w:tcW w:w="1949" w:type="pct"/>
            <w:noWrap/>
            <w:vAlign w:val="center"/>
            <w:hideMark/>
          </w:tcPr>
          <w:p w14:paraId="43B5A61C" w14:textId="77777777" w:rsidR="00EE7779" w:rsidRPr="00EE7779" w:rsidRDefault="00EE7779"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Atlas rómskych komunít</w:t>
            </w:r>
          </w:p>
        </w:tc>
        <w:tc>
          <w:tcPr>
            <w:tcW w:w="624" w:type="pct"/>
            <w:noWrap/>
            <w:vAlign w:val="center"/>
            <w:hideMark/>
          </w:tcPr>
          <w:p w14:paraId="2AB25884" w14:textId="77777777" w:rsidR="00EE7779" w:rsidRPr="00EE7779" w:rsidRDefault="00EE7779"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sk-SK"/>
              </w:rPr>
            </w:pPr>
            <w:r w:rsidRPr="00EE7779">
              <w:rPr>
                <w:rFonts w:eastAsia="Times New Roman" w:cs="Times New Roman"/>
                <w:b/>
                <w:bCs/>
                <w:color w:val="000000"/>
                <w:sz w:val="20"/>
                <w:lang w:eastAsia="sk-SK"/>
              </w:rPr>
              <w:t>PAP</w:t>
            </w:r>
          </w:p>
        </w:tc>
        <w:tc>
          <w:tcPr>
            <w:tcW w:w="1881" w:type="pct"/>
            <w:noWrap/>
            <w:vAlign w:val="center"/>
            <w:hideMark/>
          </w:tcPr>
          <w:p w14:paraId="16FA795A" w14:textId="77777777" w:rsidR="00EE7779" w:rsidRPr="00EE7779" w:rsidRDefault="00EE7779"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Poruchy aktivity a pozornosti</w:t>
            </w:r>
          </w:p>
        </w:tc>
      </w:tr>
      <w:tr w:rsidR="00EE7779" w:rsidRPr="00EE7779" w14:paraId="039EFA32" w14:textId="77777777" w:rsidTr="00AD40C0">
        <w:trPr>
          <w:trHeight w:val="255"/>
        </w:trPr>
        <w:tc>
          <w:tcPr>
            <w:cnfStyle w:val="001000000000" w:firstRow="0" w:lastRow="0" w:firstColumn="1" w:lastColumn="0" w:oddVBand="0" w:evenVBand="0" w:oddHBand="0" w:evenHBand="0" w:firstRowFirstColumn="0" w:firstRowLastColumn="0" w:lastRowFirstColumn="0" w:lastRowLastColumn="0"/>
            <w:tcW w:w="546" w:type="pct"/>
            <w:noWrap/>
            <w:vAlign w:val="center"/>
            <w:hideMark/>
          </w:tcPr>
          <w:p w14:paraId="147E119B" w14:textId="77777777" w:rsidR="00EE7779" w:rsidRPr="00EE7779" w:rsidRDefault="00EE7779" w:rsidP="00EE7779">
            <w:pPr>
              <w:spacing w:after="0"/>
              <w:jc w:val="left"/>
              <w:rPr>
                <w:rFonts w:eastAsia="Times New Roman" w:cs="Times New Roman"/>
                <w:color w:val="000000"/>
                <w:sz w:val="20"/>
                <w:lang w:eastAsia="sk-SK"/>
              </w:rPr>
            </w:pPr>
            <w:r w:rsidRPr="00EE7779">
              <w:rPr>
                <w:rFonts w:eastAsia="Times New Roman" w:cs="Times New Roman"/>
                <w:color w:val="000000"/>
                <w:sz w:val="20"/>
                <w:lang w:eastAsia="sk-SK"/>
              </w:rPr>
              <w:t>AUT</w:t>
            </w:r>
          </w:p>
        </w:tc>
        <w:tc>
          <w:tcPr>
            <w:tcW w:w="1949" w:type="pct"/>
            <w:noWrap/>
            <w:vAlign w:val="center"/>
            <w:hideMark/>
          </w:tcPr>
          <w:p w14:paraId="43762CC4" w14:textId="77777777" w:rsidR="00EE7779" w:rsidRPr="00EE7779" w:rsidRDefault="00EE7779"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Autizmus</w:t>
            </w:r>
          </w:p>
        </w:tc>
        <w:tc>
          <w:tcPr>
            <w:tcW w:w="624" w:type="pct"/>
            <w:noWrap/>
            <w:vAlign w:val="center"/>
            <w:hideMark/>
          </w:tcPr>
          <w:p w14:paraId="27A043A8" w14:textId="77777777" w:rsidR="00EE7779" w:rsidRPr="00EE7779" w:rsidRDefault="00EE7779"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lang w:eastAsia="sk-SK"/>
              </w:rPr>
            </w:pPr>
            <w:r w:rsidRPr="00EE7779">
              <w:rPr>
                <w:rFonts w:eastAsia="Times New Roman" w:cs="Times New Roman"/>
                <w:b/>
                <w:bCs/>
                <w:color w:val="000000"/>
                <w:sz w:val="20"/>
                <w:lang w:eastAsia="sk-SK"/>
              </w:rPr>
              <w:t>PAS</w:t>
            </w:r>
          </w:p>
        </w:tc>
        <w:tc>
          <w:tcPr>
            <w:tcW w:w="1881" w:type="pct"/>
            <w:noWrap/>
            <w:vAlign w:val="center"/>
            <w:hideMark/>
          </w:tcPr>
          <w:p w14:paraId="4A503F73" w14:textId="77777777" w:rsidR="00EE7779" w:rsidRPr="00EE7779" w:rsidRDefault="00EE7779"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Poruchy autistického spektra</w:t>
            </w:r>
          </w:p>
        </w:tc>
      </w:tr>
      <w:tr w:rsidR="00EE7779" w:rsidRPr="00EE7779" w14:paraId="7FE3A44F" w14:textId="77777777" w:rsidTr="00AD40C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46" w:type="pct"/>
            <w:noWrap/>
            <w:vAlign w:val="center"/>
            <w:hideMark/>
          </w:tcPr>
          <w:p w14:paraId="04F0F45C" w14:textId="77777777" w:rsidR="00EE7779" w:rsidRPr="00EE7779" w:rsidRDefault="00EE7779" w:rsidP="00EE7779">
            <w:pPr>
              <w:spacing w:after="0"/>
              <w:jc w:val="left"/>
              <w:rPr>
                <w:rFonts w:eastAsia="Times New Roman" w:cs="Times New Roman"/>
                <w:color w:val="000000"/>
                <w:sz w:val="20"/>
                <w:lang w:eastAsia="sk-SK"/>
              </w:rPr>
            </w:pPr>
            <w:r w:rsidRPr="00EE7779">
              <w:rPr>
                <w:rFonts w:eastAsia="Times New Roman" w:cs="Times New Roman"/>
                <w:color w:val="000000"/>
                <w:sz w:val="20"/>
                <w:lang w:eastAsia="sk-SK"/>
              </w:rPr>
              <w:t>CPPPAP</w:t>
            </w:r>
          </w:p>
        </w:tc>
        <w:tc>
          <w:tcPr>
            <w:tcW w:w="1949" w:type="pct"/>
            <w:noWrap/>
            <w:vAlign w:val="center"/>
            <w:hideMark/>
          </w:tcPr>
          <w:p w14:paraId="2ADB16A2" w14:textId="77777777" w:rsidR="00EE7779" w:rsidRPr="00EE7779" w:rsidRDefault="00EE7779"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Centrá pedagogicko-psychologického poradenstva a prevencie</w:t>
            </w:r>
          </w:p>
        </w:tc>
        <w:tc>
          <w:tcPr>
            <w:tcW w:w="624" w:type="pct"/>
            <w:noWrap/>
            <w:vAlign w:val="center"/>
            <w:hideMark/>
          </w:tcPr>
          <w:p w14:paraId="32001AF2" w14:textId="77777777" w:rsidR="00EE7779" w:rsidRPr="00EE7779" w:rsidRDefault="00EE7779"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sk-SK"/>
              </w:rPr>
            </w:pPr>
            <w:r w:rsidRPr="00EE7779">
              <w:rPr>
                <w:rFonts w:eastAsia="Times New Roman" w:cs="Times New Roman"/>
                <w:b/>
                <w:bCs/>
                <w:color w:val="000000"/>
                <w:sz w:val="20"/>
                <w:lang w:eastAsia="sk-SK"/>
              </w:rPr>
              <w:t>PHN</w:t>
            </w:r>
          </w:p>
        </w:tc>
        <w:tc>
          <w:tcPr>
            <w:tcW w:w="1881" w:type="pct"/>
            <w:noWrap/>
            <w:vAlign w:val="center"/>
            <w:hideMark/>
          </w:tcPr>
          <w:p w14:paraId="49168470" w14:textId="77777777" w:rsidR="00EE7779" w:rsidRPr="00EE7779" w:rsidRDefault="00EE7779"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Pomoc v hmotnej núdzi</w:t>
            </w:r>
          </w:p>
        </w:tc>
      </w:tr>
      <w:tr w:rsidR="00EE7779" w:rsidRPr="00EE7779" w14:paraId="0C79EAEC" w14:textId="77777777" w:rsidTr="00AD40C0">
        <w:trPr>
          <w:trHeight w:val="255"/>
        </w:trPr>
        <w:tc>
          <w:tcPr>
            <w:cnfStyle w:val="001000000000" w:firstRow="0" w:lastRow="0" w:firstColumn="1" w:lastColumn="0" w:oddVBand="0" w:evenVBand="0" w:oddHBand="0" w:evenHBand="0" w:firstRowFirstColumn="0" w:firstRowLastColumn="0" w:lastRowFirstColumn="0" w:lastRowLastColumn="0"/>
            <w:tcW w:w="546" w:type="pct"/>
            <w:noWrap/>
            <w:vAlign w:val="center"/>
            <w:hideMark/>
          </w:tcPr>
          <w:p w14:paraId="5B2372EB" w14:textId="77777777" w:rsidR="00EE7779" w:rsidRPr="00EE7779" w:rsidRDefault="00EE7779" w:rsidP="00EE7779">
            <w:pPr>
              <w:spacing w:after="0"/>
              <w:jc w:val="left"/>
              <w:rPr>
                <w:rFonts w:eastAsia="Times New Roman" w:cs="Times New Roman"/>
                <w:color w:val="000000"/>
                <w:sz w:val="20"/>
                <w:lang w:eastAsia="sk-SK"/>
              </w:rPr>
            </w:pPr>
            <w:r w:rsidRPr="00EE7779">
              <w:rPr>
                <w:rFonts w:eastAsia="Times New Roman" w:cs="Times New Roman"/>
                <w:color w:val="000000"/>
                <w:sz w:val="20"/>
                <w:lang w:eastAsia="sk-SK"/>
              </w:rPr>
              <w:t>CSPR</w:t>
            </w:r>
          </w:p>
        </w:tc>
        <w:tc>
          <w:tcPr>
            <w:tcW w:w="1949" w:type="pct"/>
            <w:noWrap/>
            <w:vAlign w:val="center"/>
            <w:hideMark/>
          </w:tcPr>
          <w:p w14:paraId="79FC83E6" w14:textId="77777777" w:rsidR="00EE7779" w:rsidRPr="00EE7779" w:rsidRDefault="00EE7779"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Centrum sociálnej a právnej rehabilitácie</w:t>
            </w:r>
          </w:p>
        </w:tc>
        <w:tc>
          <w:tcPr>
            <w:tcW w:w="624" w:type="pct"/>
            <w:noWrap/>
            <w:vAlign w:val="center"/>
            <w:hideMark/>
          </w:tcPr>
          <w:p w14:paraId="675D0949" w14:textId="77777777" w:rsidR="00EE7779" w:rsidRPr="00EE7779" w:rsidRDefault="00EE7779"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lang w:eastAsia="sk-SK"/>
              </w:rPr>
            </w:pPr>
            <w:r w:rsidRPr="00EE7779">
              <w:rPr>
                <w:rFonts w:eastAsia="Times New Roman" w:cs="Times New Roman"/>
                <w:b/>
                <w:bCs/>
                <w:color w:val="000000"/>
                <w:sz w:val="20"/>
                <w:lang w:eastAsia="sk-SK"/>
              </w:rPr>
              <w:t>PIC</w:t>
            </w:r>
          </w:p>
        </w:tc>
        <w:tc>
          <w:tcPr>
            <w:tcW w:w="1881" w:type="pct"/>
            <w:noWrap/>
            <w:vAlign w:val="center"/>
            <w:hideMark/>
          </w:tcPr>
          <w:p w14:paraId="773A23BC" w14:textId="77777777" w:rsidR="00EE7779" w:rsidRPr="00EE7779" w:rsidRDefault="00EE7779"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Poradensko-informačné centrum</w:t>
            </w:r>
          </w:p>
        </w:tc>
      </w:tr>
      <w:tr w:rsidR="00EE7779" w:rsidRPr="00EE7779" w14:paraId="1B132F5E" w14:textId="77777777" w:rsidTr="00AD40C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46" w:type="pct"/>
            <w:noWrap/>
            <w:vAlign w:val="center"/>
            <w:hideMark/>
          </w:tcPr>
          <w:p w14:paraId="3C360A85" w14:textId="77777777" w:rsidR="00EE7779" w:rsidRPr="00EE7779" w:rsidRDefault="00EE7779" w:rsidP="00EE7779">
            <w:pPr>
              <w:spacing w:after="0"/>
              <w:jc w:val="left"/>
              <w:rPr>
                <w:rFonts w:eastAsia="Times New Roman" w:cs="Times New Roman"/>
                <w:color w:val="000000"/>
                <w:sz w:val="20"/>
                <w:lang w:eastAsia="sk-SK"/>
              </w:rPr>
            </w:pPr>
            <w:r w:rsidRPr="00EE7779">
              <w:rPr>
                <w:rFonts w:eastAsia="Times New Roman" w:cs="Times New Roman"/>
                <w:color w:val="000000"/>
                <w:sz w:val="20"/>
                <w:lang w:eastAsia="sk-SK"/>
              </w:rPr>
              <w:t>CŠPP</w:t>
            </w:r>
          </w:p>
        </w:tc>
        <w:tc>
          <w:tcPr>
            <w:tcW w:w="1949" w:type="pct"/>
            <w:noWrap/>
            <w:vAlign w:val="center"/>
            <w:hideMark/>
          </w:tcPr>
          <w:p w14:paraId="003E5F4C" w14:textId="77777777" w:rsidR="00EE7779" w:rsidRPr="00EE7779" w:rsidRDefault="00EE7779"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Centrum špeciálno-pedagogického poradenstva</w:t>
            </w:r>
          </w:p>
        </w:tc>
        <w:tc>
          <w:tcPr>
            <w:tcW w:w="624" w:type="pct"/>
            <w:noWrap/>
            <w:vAlign w:val="center"/>
            <w:hideMark/>
          </w:tcPr>
          <w:p w14:paraId="73DA84F4" w14:textId="77777777" w:rsidR="00EE7779" w:rsidRPr="00EE7779" w:rsidRDefault="00EE7779"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sk-SK"/>
              </w:rPr>
            </w:pPr>
            <w:r w:rsidRPr="00EE7779">
              <w:rPr>
                <w:rFonts w:eastAsia="Times New Roman" w:cs="Times New Roman"/>
                <w:b/>
                <w:bCs/>
                <w:color w:val="000000"/>
                <w:sz w:val="20"/>
                <w:lang w:eastAsia="sk-SK"/>
              </w:rPr>
              <w:t>PO</w:t>
            </w:r>
          </w:p>
        </w:tc>
        <w:tc>
          <w:tcPr>
            <w:tcW w:w="1881" w:type="pct"/>
            <w:noWrap/>
            <w:vAlign w:val="center"/>
            <w:hideMark/>
          </w:tcPr>
          <w:p w14:paraId="212B7423" w14:textId="77777777" w:rsidR="00EE7779" w:rsidRPr="00EE7779" w:rsidRDefault="00EE7779"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Prioritná os (v rámci OP ĽZ)</w:t>
            </w:r>
          </w:p>
        </w:tc>
      </w:tr>
      <w:tr w:rsidR="00EE7779" w:rsidRPr="00EE7779" w14:paraId="7ED94CEE" w14:textId="77777777" w:rsidTr="00AD40C0">
        <w:trPr>
          <w:trHeight w:val="255"/>
        </w:trPr>
        <w:tc>
          <w:tcPr>
            <w:cnfStyle w:val="001000000000" w:firstRow="0" w:lastRow="0" w:firstColumn="1" w:lastColumn="0" w:oddVBand="0" w:evenVBand="0" w:oddHBand="0" w:evenHBand="0" w:firstRowFirstColumn="0" w:firstRowLastColumn="0" w:lastRowFirstColumn="0" w:lastRowLastColumn="0"/>
            <w:tcW w:w="546" w:type="pct"/>
            <w:noWrap/>
            <w:vAlign w:val="center"/>
            <w:hideMark/>
          </w:tcPr>
          <w:p w14:paraId="4A0CFC05" w14:textId="77777777" w:rsidR="00EE7779" w:rsidRPr="00EE7779" w:rsidRDefault="00EE7779" w:rsidP="00EE7779">
            <w:pPr>
              <w:spacing w:after="0"/>
              <w:jc w:val="left"/>
              <w:rPr>
                <w:rFonts w:eastAsia="Times New Roman" w:cs="Times New Roman"/>
                <w:color w:val="000000"/>
                <w:sz w:val="20"/>
                <w:lang w:eastAsia="sk-SK"/>
              </w:rPr>
            </w:pPr>
            <w:r w:rsidRPr="00EE7779">
              <w:rPr>
                <w:rFonts w:eastAsia="Times New Roman" w:cs="Times New Roman"/>
                <w:color w:val="000000"/>
                <w:sz w:val="20"/>
                <w:lang w:eastAsia="sk-SK"/>
              </w:rPr>
              <w:t>CVEK</w:t>
            </w:r>
          </w:p>
        </w:tc>
        <w:tc>
          <w:tcPr>
            <w:tcW w:w="1949" w:type="pct"/>
            <w:noWrap/>
            <w:vAlign w:val="center"/>
            <w:hideMark/>
          </w:tcPr>
          <w:p w14:paraId="6F2D219B" w14:textId="77777777" w:rsidR="00EE7779" w:rsidRPr="00EE7779" w:rsidRDefault="00EE7779"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Centrum pre výskum etnicity a kultúry</w:t>
            </w:r>
          </w:p>
        </w:tc>
        <w:tc>
          <w:tcPr>
            <w:tcW w:w="624" w:type="pct"/>
            <w:noWrap/>
            <w:vAlign w:val="center"/>
            <w:hideMark/>
          </w:tcPr>
          <w:p w14:paraId="316F36B0" w14:textId="77777777" w:rsidR="00EE7779" w:rsidRPr="00EE7779" w:rsidRDefault="00EE7779"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lang w:eastAsia="sk-SK"/>
              </w:rPr>
            </w:pPr>
            <w:r w:rsidRPr="00EE7779">
              <w:rPr>
                <w:rFonts w:eastAsia="Times New Roman" w:cs="Times New Roman"/>
                <w:b/>
                <w:bCs/>
                <w:color w:val="000000"/>
                <w:sz w:val="20"/>
                <w:lang w:eastAsia="sk-SK"/>
              </w:rPr>
              <w:t>PSVI</w:t>
            </w:r>
          </w:p>
        </w:tc>
        <w:tc>
          <w:tcPr>
            <w:tcW w:w="1881" w:type="pct"/>
            <w:noWrap/>
            <w:vAlign w:val="center"/>
            <w:hideMark/>
          </w:tcPr>
          <w:p w14:paraId="1291CFB0" w14:textId="77777777" w:rsidR="00EE7779" w:rsidRPr="00EE7779" w:rsidRDefault="00EE7779"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Poskytovatelia služieb včasnej intervencie</w:t>
            </w:r>
          </w:p>
        </w:tc>
      </w:tr>
      <w:tr w:rsidR="00EE7779" w:rsidRPr="00EE7779" w14:paraId="2E9A53F7" w14:textId="77777777" w:rsidTr="00AD40C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46" w:type="pct"/>
            <w:noWrap/>
            <w:vAlign w:val="center"/>
            <w:hideMark/>
          </w:tcPr>
          <w:p w14:paraId="716936ED" w14:textId="77777777" w:rsidR="00EE7779" w:rsidRPr="00EE7779" w:rsidRDefault="00EE7779" w:rsidP="00EE7779">
            <w:pPr>
              <w:spacing w:after="0"/>
              <w:jc w:val="left"/>
              <w:rPr>
                <w:rFonts w:eastAsia="Times New Roman" w:cs="Times New Roman"/>
                <w:color w:val="000000"/>
                <w:sz w:val="20"/>
                <w:lang w:eastAsia="sk-SK"/>
              </w:rPr>
            </w:pPr>
            <w:r w:rsidRPr="00EE7779">
              <w:rPr>
                <w:rFonts w:eastAsia="Times New Roman" w:cs="Times New Roman"/>
                <w:color w:val="000000"/>
                <w:sz w:val="20"/>
                <w:lang w:eastAsia="sk-SK"/>
              </w:rPr>
              <w:t>CVTI</w:t>
            </w:r>
          </w:p>
        </w:tc>
        <w:tc>
          <w:tcPr>
            <w:tcW w:w="1949" w:type="pct"/>
            <w:noWrap/>
            <w:vAlign w:val="center"/>
            <w:hideMark/>
          </w:tcPr>
          <w:p w14:paraId="6C6D14A9" w14:textId="77777777" w:rsidR="00EE7779" w:rsidRPr="00EE7779" w:rsidRDefault="00EE7779"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Centrum vedecko-technických informácií</w:t>
            </w:r>
          </w:p>
        </w:tc>
        <w:tc>
          <w:tcPr>
            <w:tcW w:w="624" w:type="pct"/>
            <w:noWrap/>
            <w:vAlign w:val="center"/>
            <w:hideMark/>
          </w:tcPr>
          <w:p w14:paraId="2FBE8D42" w14:textId="77777777" w:rsidR="00EE7779" w:rsidRPr="00EE7779" w:rsidRDefault="00EE7779"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sk-SK"/>
              </w:rPr>
            </w:pPr>
            <w:r w:rsidRPr="00EE7779">
              <w:rPr>
                <w:rFonts w:eastAsia="Times New Roman" w:cs="Times New Roman"/>
                <w:b/>
                <w:bCs/>
                <w:color w:val="000000"/>
                <w:sz w:val="20"/>
                <w:lang w:eastAsia="sk-SK"/>
              </w:rPr>
              <w:t>PSVZČ</w:t>
            </w:r>
          </w:p>
        </w:tc>
        <w:tc>
          <w:tcPr>
            <w:tcW w:w="1881" w:type="pct"/>
            <w:noWrap/>
            <w:vAlign w:val="center"/>
            <w:hideMark/>
          </w:tcPr>
          <w:p w14:paraId="3C3DEC2D" w14:textId="77777777" w:rsidR="00EE7779" w:rsidRPr="00EE7779" w:rsidRDefault="00EE7779"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Pokles schopnosti vykonávať zárobkovú činnosť</w:t>
            </w:r>
          </w:p>
        </w:tc>
      </w:tr>
      <w:tr w:rsidR="00AD40C0" w:rsidRPr="00EE7779" w14:paraId="44093081" w14:textId="77777777" w:rsidTr="00AD40C0">
        <w:trPr>
          <w:trHeight w:val="255"/>
        </w:trPr>
        <w:tc>
          <w:tcPr>
            <w:cnfStyle w:val="001000000000" w:firstRow="0" w:lastRow="0" w:firstColumn="1" w:lastColumn="0" w:oddVBand="0" w:evenVBand="0" w:oddHBand="0" w:evenHBand="0" w:firstRowFirstColumn="0" w:firstRowLastColumn="0" w:lastRowFirstColumn="0" w:lastRowLastColumn="0"/>
            <w:tcW w:w="546" w:type="pct"/>
            <w:noWrap/>
            <w:vAlign w:val="center"/>
            <w:hideMark/>
          </w:tcPr>
          <w:p w14:paraId="7193E77F" w14:textId="30CDDD5C" w:rsidR="00AD40C0" w:rsidRPr="00EE7779" w:rsidRDefault="00AD40C0" w:rsidP="00EE7779">
            <w:pPr>
              <w:spacing w:after="0"/>
              <w:jc w:val="left"/>
              <w:rPr>
                <w:rFonts w:eastAsia="Times New Roman" w:cs="Times New Roman"/>
                <w:color w:val="000000"/>
                <w:sz w:val="20"/>
                <w:lang w:eastAsia="sk-SK"/>
              </w:rPr>
            </w:pPr>
            <w:r w:rsidRPr="00EE7779">
              <w:rPr>
                <w:rFonts w:eastAsia="Times New Roman" w:cs="Times New Roman"/>
                <w:color w:val="000000"/>
                <w:sz w:val="20"/>
                <w:lang w:eastAsia="sk-SK"/>
              </w:rPr>
              <w:t>EASNIE</w:t>
            </w:r>
          </w:p>
        </w:tc>
        <w:tc>
          <w:tcPr>
            <w:tcW w:w="1949" w:type="pct"/>
            <w:noWrap/>
            <w:vAlign w:val="center"/>
            <w:hideMark/>
          </w:tcPr>
          <w:p w14:paraId="5224D8E3" w14:textId="14DF04C3"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European Agency for Special Needs and Inclusive Education</w:t>
            </w:r>
          </w:p>
        </w:tc>
        <w:tc>
          <w:tcPr>
            <w:tcW w:w="624" w:type="pct"/>
            <w:noWrap/>
            <w:vAlign w:val="center"/>
            <w:hideMark/>
          </w:tcPr>
          <w:p w14:paraId="6AA17014" w14:textId="77777777"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lang w:eastAsia="sk-SK"/>
              </w:rPr>
            </w:pPr>
            <w:r w:rsidRPr="00EE7779">
              <w:rPr>
                <w:rFonts w:eastAsia="Times New Roman" w:cs="Times New Roman"/>
                <w:b/>
                <w:bCs/>
                <w:color w:val="000000"/>
                <w:sz w:val="20"/>
                <w:lang w:eastAsia="sk-SK"/>
              </w:rPr>
              <w:t>PŠD</w:t>
            </w:r>
          </w:p>
        </w:tc>
        <w:tc>
          <w:tcPr>
            <w:tcW w:w="1881" w:type="pct"/>
            <w:noWrap/>
            <w:vAlign w:val="center"/>
            <w:hideMark/>
          </w:tcPr>
          <w:p w14:paraId="4E559385" w14:textId="77777777"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Povinná školská dochádzka</w:t>
            </w:r>
          </w:p>
        </w:tc>
      </w:tr>
      <w:tr w:rsidR="00AD40C0" w:rsidRPr="00EE7779" w14:paraId="64DEB15A" w14:textId="77777777" w:rsidTr="00AD40C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46" w:type="pct"/>
            <w:noWrap/>
            <w:vAlign w:val="center"/>
            <w:hideMark/>
          </w:tcPr>
          <w:p w14:paraId="2F96A0E0" w14:textId="384FCAC1" w:rsidR="00AD40C0" w:rsidRPr="00EE7779" w:rsidRDefault="00AD40C0" w:rsidP="00EE7779">
            <w:pPr>
              <w:spacing w:after="0"/>
              <w:jc w:val="left"/>
              <w:rPr>
                <w:rFonts w:eastAsia="Times New Roman" w:cs="Times New Roman"/>
                <w:color w:val="000000"/>
                <w:sz w:val="20"/>
                <w:lang w:eastAsia="sk-SK"/>
              </w:rPr>
            </w:pPr>
            <w:r w:rsidRPr="00EE7779">
              <w:rPr>
                <w:rFonts w:eastAsia="Times New Roman" w:cs="Times New Roman"/>
                <w:color w:val="000000"/>
                <w:sz w:val="20"/>
                <w:lang w:eastAsia="sk-SK"/>
              </w:rPr>
              <w:t>EP</w:t>
            </w:r>
          </w:p>
        </w:tc>
        <w:tc>
          <w:tcPr>
            <w:tcW w:w="1949" w:type="pct"/>
            <w:noWrap/>
            <w:vAlign w:val="center"/>
            <w:hideMark/>
          </w:tcPr>
          <w:p w14:paraId="40A68D50" w14:textId="7DE87566"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Elokované pracovisko</w:t>
            </w:r>
          </w:p>
        </w:tc>
        <w:tc>
          <w:tcPr>
            <w:tcW w:w="624" w:type="pct"/>
            <w:noWrap/>
            <w:vAlign w:val="center"/>
            <w:hideMark/>
          </w:tcPr>
          <w:p w14:paraId="50880B08" w14:textId="77777777"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sk-SK"/>
              </w:rPr>
            </w:pPr>
            <w:r w:rsidRPr="00EE7779">
              <w:rPr>
                <w:rFonts w:eastAsia="Times New Roman" w:cs="Times New Roman"/>
                <w:b/>
                <w:bCs/>
                <w:color w:val="000000"/>
                <w:sz w:val="20"/>
                <w:lang w:eastAsia="sk-SK"/>
              </w:rPr>
              <w:t>PU</w:t>
            </w:r>
          </w:p>
        </w:tc>
        <w:tc>
          <w:tcPr>
            <w:tcW w:w="1881" w:type="pct"/>
            <w:noWrap/>
            <w:vAlign w:val="center"/>
            <w:hideMark/>
          </w:tcPr>
          <w:p w14:paraId="0E1C0B00" w14:textId="77777777"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Poruchy učenia</w:t>
            </w:r>
          </w:p>
        </w:tc>
      </w:tr>
      <w:tr w:rsidR="00AD40C0" w:rsidRPr="00EE7779" w14:paraId="5586DC5A" w14:textId="77777777" w:rsidTr="00AD40C0">
        <w:trPr>
          <w:trHeight w:val="255"/>
        </w:trPr>
        <w:tc>
          <w:tcPr>
            <w:cnfStyle w:val="001000000000" w:firstRow="0" w:lastRow="0" w:firstColumn="1" w:lastColumn="0" w:oddVBand="0" w:evenVBand="0" w:oddHBand="0" w:evenHBand="0" w:firstRowFirstColumn="0" w:firstRowLastColumn="0" w:lastRowFirstColumn="0" w:lastRowLastColumn="0"/>
            <w:tcW w:w="546" w:type="pct"/>
            <w:noWrap/>
            <w:vAlign w:val="center"/>
            <w:hideMark/>
          </w:tcPr>
          <w:p w14:paraId="4E46A5EE" w14:textId="6DC18495" w:rsidR="00AD40C0" w:rsidRPr="00EE7779" w:rsidRDefault="00AD40C0" w:rsidP="00EE7779">
            <w:pPr>
              <w:spacing w:after="0"/>
              <w:jc w:val="left"/>
              <w:rPr>
                <w:rFonts w:eastAsia="Times New Roman" w:cs="Times New Roman"/>
                <w:color w:val="000000"/>
                <w:sz w:val="20"/>
                <w:lang w:eastAsia="sk-SK"/>
              </w:rPr>
            </w:pPr>
            <w:r w:rsidRPr="00EE7779">
              <w:rPr>
                <w:rFonts w:eastAsia="Times New Roman" w:cs="Times New Roman"/>
                <w:color w:val="000000"/>
                <w:sz w:val="20"/>
                <w:lang w:eastAsia="sk-SK"/>
              </w:rPr>
              <w:t>ESF</w:t>
            </w:r>
          </w:p>
        </w:tc>
        <w:tc>
          <w:tcPr>
            <w:tcW w:w="1949" w:type="pct"/>
            <w:noWrap/>
            <w:vAlign w:val="center"/>
            <w:hideMark/>
          </w:tcPr>
          <w:p w14:paraId="07588C4F" w14:textId="389B86F1"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Európsky sociálny fond</w:t>
            </w:r>
          </w:p>
        </w:tc>
        <w:tc>
          <w:tcPr>
            <w:tcW w:w="624" w:type="pct"/>
            <w:noWrap/>
            <w:vAlign w:val="center"/>
            <w:hideMark/>
          </w:tcPr>
          <w:p w14:paraId="6B0B54F0" w14:textId="77777777"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lang w:eastAsia="sk-SK"/>
              </w:rPr>
            </w:pPr>
            <w:r w:rsidRPr="00EE7779">
              <w:rPr>
                <w:rFonts w:eastAsia="Times New Roman" w:cs="Times New Roman"/>
                <w:b/>
                <w:bCs/>
                <w:color w:val="000000"/>
                <w:sz w:val="20"/>
                <w:lang w:eastAsia="sk-SK"/>
              </w:rPr>
              <w:t>PUŠD</w:t>
            </w:r>
          </w:p>
        </w:tc>
        <w:tc>
          <w:tcPr>
            <w:tcW w:w="1881" w:type="pct"/>
            <w:noWrap/>
            <w:vAlign w:val="center"/>
            <w:hideMark/>
          </w:tcPr>
          <w:p w14:paraId="2CC67BC4" w14:textId="77777777"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Predčasne ukončená školská dochádzka</w:t>
            </w:r>
          </w:p>
        </w:tc>
      </w:tr>
      <w:tr w:rsidR="00AD40C0" w:rsidRPr="00EE7779" w14:paraId="01D215CA" w14:textId="77777777" w:rsidTr="00AD40C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46" w:type="pct"/>
            <w:noWrap/>
            <w:vAlign w:val="center"/>
            <w:hideMark/>
          </w:tcPr>
          <w:p w14:paraId="31C053D8" w14:textId="7B440568" w:rsidR="00AD40C0" w:rsidRPr="00EE7779" w:rsidRDefault="00AD40C0" w:rsidP="00EE7779">
            <w:pPr>
              <w:spacing w:after="0"/>
              <w:jc w:val="left"/>
              <w:rPr>
                <w:rFonts w:eastAsia="Times New Roman" w:cs="Times New Roman"/>
                <w:color w:val="000000"/>
                <w:sz w:val="20"/>
                <w:lang w:eastAsia="sk-SK"/>
              </w:rPr>
            </w:pPr>
            <w:r w:rsidRPr="00EE7779">
              <w:rPr>
                <w:rFonts w:eastAsia="Times New Roman" w:cs="Times New Roman"/>
                <w:color w:val="000000"/>
                <w:sz w:val="20"/>
                <w:lang w:eastAsia="sk-SK"/>
              </w:rPr>
              <w:t>ESKO</w:t>
            </w:r>
          </w:p>
        </w:tc>
        <w:tc>
          <w:tcPr>
            <w:tcW w:w="1949" w:type="pct"/>
            <w:noWrap/>
            <w:vAlign w:val="center"/>
            <w:hideMark/>
          </w:tcPr>
          <w:p w14:paraId="3A5D5591" w14:textId="6D2D8A54"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Efektívnymi službami k občanovi</w:t>
            </w:r>
          </w:p>
        </w:tc>
        <w:tc>
          <w:tcPr>
            <w:tcW w:w="624" w:type="pct"/>
            <w:noWrap/>
            <w:vAlign w:val="center"/>
            <w:hideMark/>
          </w:tcPr>
          <w:p w14:paraId="29A87C2F" w14:textId="77777777"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sk-SK"/>
              </w:rPr>
            </w:pPr>
            <w:r w:rsidRPr="00EE7779">
              <w:rPr>
                <w:rFonts w:eastAsia="Times New Roman" w:cs="Times New Roman"/>
                <w:b/>
                <w:bCs/>
                <w:color w:val="000000"/>
                <w:sz w:val="20"/>
                <w:lang w:eastAsia="sk-SK"/>
              </w:rPr>
              <w:t>RFO</w:t>
            </w:r>
          </w:p>
        </w:tc>
        <w:tc>
          <w:tcPr>
            <w:tcW w:w="1881" w:type="pct"/>
            <w:noWrap/>
            <w:vAlign w:val="center"/>
            <w:hideMark/>
          </w:tcPr>
          <w:p w14:paraId="3FB0EF1E" w14:textId="77777777"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Register fyzických osôb</w:t>
            </w:r>
          </w:p>
        </w:tc>
      </w:tr>
      <w:tr w:rsidR="00AD40C0" w:rsidRPr="00EE7779" w14:paraId="6C3011B6" w14:textId="77777777" w:rsidTr="00AD40C0">
        <w:trPr>
          <w:trHeight w:val="255"/>
        </w:trPr>
        <w:tc>
          <w:tcPr>
            <w:cnfStyle w:val="001000000000" w:firstRow="0" w:lastRow="0" w:firstColumn="1" w:lastColumn="0" w:oddVBand="0" w:evenVBand="0" w:oddHBand="0" w:evenHBand="0" w:firstRowFirstColumn="0" w:firstRowLastColumn="0" w:lastRowFirstColumn="0" w:lastRowLastColumn="0"/>
            <w:tcW w:w="546" w:type="pct"/>
            <w:noWrap/>
            <w:vAlign w:val="center"/>
            <w:hideMark/>
          </w:tcPr>
          <w:p w14:paraId="739A8939" w14:textId="0CC5C352" w:rsidR="00AD40C0" w:rsidRPr="00EE7779" w:rsidRDefault="00AD40C0" w:rsidP="00EE7779">
            <w:pPr>
              <w:spacing w:after="0"/>
              <w:jc w:val="left"/>
              <w:rPr>
                <w:rFonts w:eastAsia="Times New Roman" w:cs="Times New Roman"/>
                <w:color w:val="000000"/>
                <w:sz w:val="20"/>
                <w:lang w:eastAsia="sk-SK"/>
              </w:rPr>
            </w:pPr>
            <w:r w:rsidRPr="00EE7779">
              <w:rPr>
                <w:rFonts w:eastAsia="Times New Roman" w:cs="Times New Roman"/>
                <w:color w:val="000000"/>
                <w:sz w:val="20"/>
                <w:lang w:eastAsia="sk-SK"/>
              </w:rPr>
              <w:t>EŠIF</w:t>
            </w:r>
          </w:p>
        </w:tc>
        <w:tc>
          <w:tcPr>
            <w:tcW w:w="1949" w:type="pct"/>
            <w:noWrap/>
            <w:vAlign w:val="center"/>
            <w:hideMark/>
          </w:tcPr>
          <w:p w14:paraId="0A8F3B4F" w14:textId="2C8EB68B"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Európske štrukturálne a investičné fondy</w:t>
            </w:r>
          </w:p>
        </w:tc>
        <w:tc>
          <w:tcPr>
            <w:tcW w:w="624" w:type="pct"/>
            <w:noWrap/>
            <w:vAlign w:val="center"/>
            <w:hideMark/>
          </w:tcPr>
          <w:p w14:paraId="33E309F6" w14:textId="77777777"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lang w:eastAsia="sk-SK"/>
              </w:rPr>
            </w:pPr>
            <w:r w:rsidRPr="00EE7779">
              <w:rPr>
                <w:rFonts w:eastAsia="Times New Roman" w:cs="Times New Roman"/>
                <w:b/>
                <w:bCs/>
                <w:color w:val="000000"/>
                <w:sz w:val="20"/>
                <w:lang w:eastAsia="sk-SK"/>
              </w:rPr>
              <w:t>RIS</w:t>
            </w:r>
          </w:p>
        </w:tc>
        <w:tc>
          <w:tcPr>
            <w:tcW w:w="1881" w:type="pct"/>
            <w:noWrap/>
            <w:vAlign w:val="center"/>
            <w:hideMark/>
          </w:tcPr>
          <w:p w14:paraId="2801E80D" w14:textId="77777777"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Rezortný informačný systém</w:t>
            </w:r>
          </w:p>
        </w:tc>
      </w:tr>
      <w:tr w:rsidR="00AD40C0" w:rsidRPr="00EE7779" w14:paraId="1FAACFE0" w14:textId="77777777" w:rsidTr="00AD40C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46" w:type="pct"/>
            <w:noWrap/>
            <w:vAlign w:val="center"/>
            <w:hideMark/>
          </w:tcPr>
          <w:p w14:paraId="0B246EE7" w14:textId="15395796" w:rsidR="00AD40C0" w:rsidRPr="00EE7779" w:rsidRDefault="00AD40C0" w:rsidP="00EE7779">
            <w:pPr>
              <w:spacing w:after="0"/>
              <w:jc w:val="left"/>
              <w:rPr>
                <w:rFonts w:eastAsia="Times New Roman" w:cs="Times New Roman"/>
                <w:color w:val="000000"/>
                <w:sz w:val="20"/>
                <w:lang w:eastAsia="sk-SK"/>
              </w:rPr>
            </w:pPr>
            <w:r w:rsidRPr="00EE7779">
              <w:rPr>
                <w:rFonts w:eastAsia="Times New Roman" w:cs="Times New Roman"/>
                <w:color w:val="000000"/>
                <w:sz w:val="20"/>
                <w:lang w:eastAsia="sk-SK"/>
              </w:rPr>
              <w:t>FRA</w:t>
            </w:r>
          </w:p>
        </w:tc>
        <w:tc>
          <w:tcPr>
            <w:tcW w:w="1949" w:type="pct"/>
            <w:noWrap/>
            <w:vAlign w:val="center"/>
            <w:hideMark/>
          </w:tcPr>
          <w:p w14:paraId="0FBF4A18" w14:textId="18889C87"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Fundamental rights agency (Agentúra pre základné práva)</w:t>
            </w:r>
          </w:p>
        </w:tc>
        <w:tc>
          <w:tcPr>
            <w:tcW w:w="624" w:type="pct"/>
            <w:noWrap/>
            <w:vAlign w:val="center"/>
            <w:hideMark/>
          </w:tcPr>
          <w:p w14:paraId="388A3AB5" w14:textId="77777777"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sk-SK"/>
              </w:rPr>
            </w:pPr>
            <w:r w:rsidRPr="00EE7779">
              <w:rPr>
                <w:rFonts w:eastAsia="Times New Roman" w:cs="Times New Roman"/>
                <w:b/>
                <w:bCs/>
                <w:color w:val="000000"/>
                <w:sz w:val="20"/>
                <w:lang w:eastAsia="sk-SK"/>
              </w:rPr>
              <w:t>RSZP</w:t>
            </w:r>
          </w:p>
        </w:tc>
        <w:tc>
          <w:tcPr>
            <w:tcW w:w="1881" w:type="pct"/>
            <w:noWrap/>
            <w:vAlign w:val="center"/>
            <w:hideMark/>
          </w:tcPr>
          <w:p w14:paraId="29FB103D" w14:textId="77777777"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Rehabilitačné stredisko pre zrakovo postihnutých (v Levoči)</w:t>
            </w:r>
          </w:p>
        </w:tc>
      </w:tr>
      <w:tr w:rsidR="00AD40C0" w:rsidRPr="00EE7779" w14:paraId="104E0774" w14:textId="77777777" w:rsidTr="00AD40C0">
        <w:trPr>
          <w:trHeight w:val="255"/>
        </w:trPr>
        <w:tc>
          <w:tcPr>
            <w:cnfStyle w:val="001000000000" w:firstRow="0" w:lastRow="0" w:firstColumn="1" w:lastColumn="0" w:oddVBand="0" w:evenVBand="0" w:oddHBand="0" w:evenHBand="0" w:firstRowFirstColumn="0" w:firstRowLastColumn="0" w:lastRowFirstColumn="0" w:lastRowLastColumn="0"/>
            <w:tcW w:w="546" w:type="pct"/>
            <w:noWrap/>
            <w:vAlign w:val="center"/>
            <w:hideMark/>
          </w:tcPr>
          <w:p w14:paraId="76F58470" w14:textId="5BB173CC" w:rsidR="00AD40C0" w:rsidRPr="00EE7779" w:rsidRDefault="00AD40C0" w:rsidP="00EE7779">
            <w:pPr>
              <w:spacing w:after="0"/>
              <w:jc w:val="left"/>
              <w:rPr>
                <w:rFonts w:eastAsia="Times New Roman" w:cs="Times New Roman"/>
                <w:color w:val="000000"/>
                <w:sz w:val="20"/>
                <w:lang w:eastAsia="sk-SK"/>
              </w:rPr>
            </w:pPr>
            <w:r w:rsidRPr="00EE7779">
              <w:rPr>
                <w:rFonts w:eastAsia="Times New Roman" w:cs="Times New Roman"/>
                <w:color w:val="000000"/>
                <w:sz w:val="20"/>
                <w:lang w:eastAsia="sk-SK"/>
              </w:rPr>
              <w:t>GPO</w:t>
            </w:r>
          </w:p>
        </w:tc>
        <w:tc>
          <w:tcPr>
            <w:tcW w:w="1949" w:type="pct"/>
            <w:noWrap/>
            <w:vAlign w:val="center"/>
            <w:hideMark/>
          </w:tcPr>
          <w:p w14:paraId="43E6A224" w14:textId="3BE7C55C"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Gynekologicko-pôrodnícke oddelenia</w:t>
            </w:r>
          </w:p>
        </w:tc>
        <w:tc>
          <w:tcPr>
            <w:tcW w:w="624" w:type="pct"/>
            <w:noWrap/>
            <w:vAlign w:val="center"/>
            <w:hideMark/>
          </w:tcPr>
          <w:p w14:paraId="01E716D3" w14:textId="77777777"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lang w:eastAsia="sk-SK"/>
              </w:rPr>
            </w:pPr>
            <w:r w:rsidRPr="00EE7779">
              <w:rPr>
                <w:rFonts w:eastAsia="Times New Roman" w:cs="Times New Roman"/>
                <w:b/>
                <w:bCs/>
                <w:color w:val="000000"/>
                <w:sz w:val="20"/>
                <w:lang w:eastAsia="sk-SK"/>
              </w:rPr>
              <w:t>S</w:t>
            </w:r>
          </w:p>
        </w:tc>
        <w:tc>
          <w:tcPr>
            <w:tcW w:w="1881" w:type="pct"/>
            <w:noWrap/>
            <w:vAlign w:val="center"/>
            <w:hideMark/>
          </w:tcPr>
          <w:p w14:paraId="196344AB" w14:textId="77777777"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Skutočnosť (v rámci výdavkov rozpočtu)</w:t>
            </w:r>
          </w:p>
        </w:tc>
      </w:tr>
      <w:tr w:rsidR="00AD40C0" w:rsidRPr="00EE7779" w14:paraId="28411A1F" w14:textId="77777777" w:rsidTr="00AD40C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46" w:type="pct"/>
            <w:noWrap/>
            <w:vAlign w:val="center"/>
            <w:hideMark/>
          </w:tcPr>
          <w:p w14:paraId="1C80A185" w14:textId="07E80572" w:rsidR="00AD40C0" w:rsidRPr="00EE7779" w:rsidRDefault="00AD40C0" w:rsidP="00EE7779">
            <w:pPr>
              <w:spacing w:after="0"/>
              <w:jc w:val="left"/>
              <w:rPr>
                <w:rFonts w:eastAsia="Times New Roman" w:cs="Times New Roman"/>
                <w:color w:val="000000"/>
                <w:sz w:val="20"/>
                <w:lang w:eastAsia="sk-SK"/>
              </w:rPr>
            </w:pPr>
            <w:r w:rsidRPr="00EE7779">
              <w:rPr>
                <w:rFonts w:eastAsia="Times New Roman" w:cs="Times New Roman"/>
                <w:color w:val="000000"/>
                <w:sz w:val="20"/>
                <w:lang w:eastAsia="sk-SK"/>
              </w:rPr>
              <w:t>HN</w:t>
            </w:r>
          </w:p>
        </w:tc>
        <w:tc>
          <w:tcPr>
            <w:tcW w:w="1949" w:type="pct"/>
            <w:noWrap/>
            <w:vAlign w:val="center"/>
            <w:hideMark/>
          </w:tcPr>
          <w:p w14:paraId="0DC11D86" w14:textId="1F6D7065"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Hmotná núdza</w:t>
            </w:r>
          </w:p>
        </w:tc>
        <w:tc>
          <w:tcPr>
            <w:tcW w:w="624" w:type="pct"/>
            <w:noWrap/>
            <w:vAlign w:val="center"/>
            <w:hideMark/>
          </w:tcPr>
          <w:p w14:paraId="4496459E" w14:textId="77777777"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sk-SK"/>
              </w:rPr>
            </w:pPr>
            <w:r w:rsidRPr="00EE7779">
              <w:rPr>
                <w:rFonts w:eastAsia="Times New Roman" w:cs="Times New Roman"/>
                <w:b/>
                <w:bCs/>
                <w:color w:val="000000"/>
                <w:sz w:val="20"/>
                <w:lang w:eastAsia="sk-SK"/>
              </w:rPr>
              <w:t>SILC</w:t>
            </w:r>
          </w:p>
        </w:tc>
        <w:tc>
          <w:tcPr>
            <w:tcW w:w="1881" w:type="pct"/>
            <w:noWrap/>
            <w:vAlign w:val="center"/>
            <w:hideMark/>
          </w:tcPr>
          <w:p w14:paraId="53F9911E" w14:textId="77777777"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Survey of income and living conditions (štatistické zisťovanie o príjmoch a životných podmienkach)</w:t>
            </w:r>
          </w:p>
        </w:tc>
      </w:tr>
      <w:tr w:rsidR="00AD40C0" w:rsidRPr="00EE7779" w14:paraId="31E22788" w14:textId="77777777" w:rsidTr="00AD40C0">
        <w:trPr>
          <w:trHeight w:val="255"/>
        </w:trPr>
        <w:tc>
          <w:tcPr>
            <w:cnfStyle w:val="001000000000" w:firstRow="0" w:lastRow="0" w:firstColumn="1" w:lastColumn="0" w:oddVBand="0" w:evenVBand="0" w:oddHBand="0" w:evenHBand="0" w:firstRowFirstColumn="0" w:firstRowLastColumn="0" w:lastRowFirstColumn="0" w:lastRowLastColumn="0"/>
            <w:tcW w:w="546" w:type="pct"/>
            <w:noWrap/>
            <w:vAlign w:val="center"/>
            <w:hideMark/>
          </w:tcPr>
          <w:p w14:paraId="6493D227" w14:textId="216550B4" w:rsidR="00AD40C0" w:rsidRPr="00EE7779" w:rsidRDefault="00AD40C0" w:rsidP="00EE7779">
            <w:pPr>
              <w:spacing w:after="0"/>
              <w:jc w:val="left"/>
              <w:rPr>
                <w:rFonts w:eastAsia="Times New Roman" w:cs="Times New Roman"/>
                <w:color w:val="000000"/>
                <w:sz w:val="20"/>
                <w:lang w:eastAsia="sk-SK"/>
              </w:rPr>
            </w:pPr>
            <w:r w:rsidRPr="00EE7779">
              <w:rPr>
                <w:rFonts w:eastAsia="Times New Roman" w:cs="Times New Roman"/>
                <w:color w:val="000000"/>
                <w:sz w:val="20"/>
                <w:lang w:eastAsia="sk-SK"/>
              </w:rPr>
              <w:t>IA MPSVR</w:t>
            </w:r>
          </w:p>
        </w:tc>
        <w:tc>
          <w:tcPr>
            <w:tcW w:w="1949" w:type="pct"/>
            <w:noWrap/>
            <w:vAlign w:val="center"/>
            <w:hideMark/>
          </w:tcPr>
          <w:p w14:paraId="15F21988" w14:textId="1602658A"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Implementačná agentúra MPSVR</w:t>
            </w:r>
          </w:p>
        </w:tc>
        <w:tc>
          <w:tcPr>
            <w:tcW w:w="624" w:type="pct"/>
            <w:noWrap/>
            <w:vAlign w:val="center"/>
            <w:hideMark/>
          </w:tcPr>
          <w:p w14:paraId="03CA3773" w14:textId="77777777"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lang w:eastAsia="sk-SK"/>
              </w:rPr>
            </w:pPr>
            <w:r w:rsidRPr="00EE7779">
              <w:rPr>
                <w:rFonts w:eastAsia="Times New Roman" w:cs="Times New Roman"/>
                <w:b/>
                <w:bCs/>
                <w:color w:val="000000"/>
                <w:sz w:val="20"/>
                <w:lang w:eastAsia="sk-SK"/>
              </w:rPr>
              <w:t>SLU</w:t>
            </w:r>
          </w:p>
        </w:tc>
        <w:tc>
          <w:tcPr>
            <w:tcW w:w="1881" w:type="pct"/>
            <w:noWrap/>
            <w:vAlign w:val="center"/>
            <w:hideMark/>
          </w:tcPr>
          <w:p w14:paraId="7FBDDD5D" w14:textId="77777777"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Sluchové postihnutie</w:t>
            </w:r>
          </w:p>
        </w:tc>
      </w:tr>
      <w:tr w:rsidR="00AD40C0" w:rsidRPr="00EE7779" w14:paraId="4EC94CC4" w14:textId="77777777" w:rsidTr="00AD40C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46" w:type="pct"/>
            <w:noWrap/>
            <w:vAlign w:val="center"/>
            <w:hideMark/>
          </w:tcPr>
          <w:p w14:paraId="4C1351DD" w14:textId="54FC9B3C" w:rsidR="00AD40C0" w:rsidRPr="00EE7779" w:rsidRDefault="00AD40C0" w:rsidP="00EE7779">
            <w:pPr>
              <w:spacing w:after="0"/>
              <w:jc w:val="left"/>
              <w:rPr>
                <w:rFonts w:eastAsia="Times New Roman" w:cs="Times New Roman"/>
                <w:color w:val="000000"/>
                <w:sz w:val="20"/>
                <w:lang w:eastAsia="sk-SK"/>
              </w:rPr>
            </w:pPr>
            <w:r w:rsidRPr="00EE7779">
              <w:rPr>
                <w:rFonts w:eastAsia="Times New Roman" w:cs="Times New Roman"/>
                <w:color w:val="000000"/>
                <w:sz w:val="20"/>
                <w:lang w:eastAsia="sk-SK"/>
              </w:rPr>
              <w:t>ID</w:t>
            </w:r>
          </w:p>
        </w:tc>
        <w:tc>
          <w:tcPr>
            <w:tcW w:w="1949" w:type="pct"/>
            <w:noWrap/>
            <w:vAlign w:val="center"/>
            <w:hideMark/>
          </w:tcPr>
          <w:p w14:paraId="1C3873BD" w14:textId="10976C4D"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Invalidný dôchodok</w:t>
            </w:r>
          </w:p>
        </w:tc>
        <w:tc>
          <w:tcPr>
            <w:tcW w:w="624" w:type="pct"/>
            <w:noWrap/>
            <w:vAlign w:val="center"/>
            <w:hideMark/>
          </w:tcPr>
          <w:p w14:paraId="3CBCD514" w14:textId="77777777"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sk-SK"/>
              </w:rPr>
            </w:pPr>
            <w:r w:rsidRPr="00EE7779">
              <w:rPr>
                <w:rFonts w:eastAsia="Times New Roman" w:cs="Times New Roman"/>
                <w:b/>
                <w:bCs/>
                <w:color w:val="000000"/>
                <w:sz w:val="20"/>
                <w:lang w:eastAsia="sk-SK"/>
              </w:rPr>
              <w:t>SOŠ</w:t>
            </w:r>
          </w:p>
        </w:tc>
        <w:tc>
          <w:tcPr>
            <w:tcW w:w="1881" w:type="pct"/>
            <w:noWrap/>
            <w:vAlign w:val="center"/>
            <w:hideMark/>
          </w:tcPr>
          <w:p w14:paraId="33473BAE" w14:textId="77777777"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Stredná odborná škola</w:t>
            </w:r>
          </w:p>
        </w:tc>
      </w:tr>
      <w:tr w:rsidR="00AD40C0" w:rsidRPr="00EE7779" w14:paraId="59B86820" w14:textId="77777777" w:rsidTr="00AD40C0">
        <w:trPr>
          <w:trHeight w:val="255"/>
        </w:trPr>
        <w:tc>
          <w:tcPr>
            <w:cnfStyle w:val="001000000000" w:firstRow="0" w:lastRow="0" w:firstColumn="1" w:lastColumn="0" w:oddVBand="0" w:evenVBand="0" w:oddHBand="0" w:evenHBand="0" w:firstRowFirstColumn="0" w:firstRowLastColumn="0" w:lastRowFirstColumn="0" w:lastRowLastColumn="0"/>
            <w:tcW w:w="546" w:type="pct"/>
            <w:noWrap/>
            <w:vAlign w:val="center"/>
            <w:hideMark/>
          </w:tcPr>
          <w:p w14:paraId="1B92CAC8" w14:textId="7127079F" w:rsidR="00AD40C0" w:rsidRPr="00EE7779" w:rsidRDefault="00AD40C0" w:rsidP="00EE7779">
            <w:pPr>
              <w:spacing w:after="0"/>
              <w:jc w:val="left"/>
              <w:rPr>
                <w:rFonts w:eastAsia="Times New Roman" w:cs="Times New Roman"/>
                <w:color w:val="000000"/>
                <w:sz w:val="20"/>
                <w:lang w:eastAsia="sk-SK"/>
              </w:rPr>
            </w:pPr>
            <w:r w:rsidRPr="00EE7779">
              <w:rPr>
                <w:rFonts w:eastAsia="Times New Roman" w:cs="Times New Roman"/>
                <w:color w:val="000000"/>
                <w:sz w:val="20"/>
                <w:lang w:eastAsia="sk-SK"/>
              </w:rPr>
              <w:t>IPR</w:t>
            </w:r>
          </w:p>
        </w:tc>
        <w:tc>
          <w:tcPr>
            <w:tcW w:w="1949" w:type="pct"/>
            <w:noWrap/>
            <w:vAlign w:val="center"/>
            <w:hideMark/>
          </w:tcPr>
          <w:p w14:paraId="697A0A62" w14:textId="4B97EACF"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Inštitút pre pracovnú rehabilitáciu</w:t>
            </w:r>
          </w:p>
        </w:tc>
        <w:tc>
          <w:tcPr>
            <w:tcW w:w="624" w:type="pct"/>
            <w:noWrap/>
            <w:vAlign w:val="center"/>
            <w:hideMark/>
          </w:tcPr>
          <w:p w14:paraId="09ED467E" w14:textId="77777777"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lang w:eastAsia="sk-SK"/>
              </w:rPr>
            </w:pPr>
            <w:r w:rsidRPr="00EE7779">
              <w:rPr>
                <w:rFonts w:eastAsia="Times New Roman" w:cs="Times New Roman"/>
                <w:b/>
                <w:bCs/>
                <w:color w:val="000000"/>
                <w:sz w:val="20"/>
                <w:lang w:eastAsia="sk-SK"/>
              </w:rPr>
              <w:t>SSKI</w:t>
            </w:r>
          </w:p>
        </w:tc>
        <w:tc>
          <w:tcPr>
            <w:tcW w:w="1881" w:type="pct"/>
            <w:noWrap/>
            <w:vAlign w:val="center"/>
            <w:hideMark/>
          </w:tcPr>
          <w:p w14:paraId="6EB61109" w14:textId="77777777"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Sociálne služby krízovej intervencie</w:t>
            </w:r>
          </w:p>
        </w:tc>
      </w:tr>
      <w:tr w:rsidR="00AD40C0" w:rsidRPr="00EE7779" w14:paraId="12A924A8" w14:textId="77777777" w:rsidTr="00AD40C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46" w:type="pct"/>
            <w:noWrap/>
            <w:vAlign w:val="center"/>
            <w:hideMark/>
          </w:tcPr>
          <w:p w14:paraId="127F7629" w14:textId="17ECD992" w:rsidR="00AD40C0" w:rsidRPr="00EE7779" w:rsidRDefault="00AD40C0" w:rsidP="00EE7779">
            <w:pPr>
              <w:spacing w:after="0"/>
              <w:jc w:val="left"/>
              <w:rPr>
                <w:rFonts w:eastAsia="Times New Roman" w:cs="Times New Roman"/>
                <w:color w:val="000000"/>
                <w:sz w:val="20"/>
                <w:lang w:eastAsia="sk-SK"/>
              </w:rPr>
            </w:pPr>
            <w:r w:rsidRPr="00EE7779">
              <w:rPr>
                <w:rFonts w:eastAsia="Times New Roman" w:cs="Times New Roman"/>
                <w:color w:val="000000"/>
                <w:sz w:val="20"/>
                <w:lang w:eastAsia="sk-SK"/>
              </w:rPr>
              <w:t>IROP</w:t>
            </w:r>
          </w:p>
        </w:tc>
        <w:tc>
          <w:tcPr>
            <w:tcW w:w="1949" w:type="pct"/>
            <w:noWrap/>
            <w:vAlign w:val="center"/>
            <w:hideMark/>
          </w:tcPr>
          <w:p w14:paraId="3EE4B0E7" w14:textId="2501BC8F"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Integrovaný regionálny operačný program</w:t>
            </w:r>
          </w:p>
        </w:tc>
        <w:tc>
          <w:tcPr>
            <w:tcW w:w="624" w:type="pct"/>
            <w:noWrap/>
            <w:vAlign w:val="center"/>
            <w:hideMark/>
          </w:tcPr>
          <w:p w14:paraId="6663559F" w14:textId="77777777"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sk-SK"/>
              </w:rPr>
            </w:pPr>
            <w:r w:rsidRPr="00EE7779">
              <w:rPr>
                <w:rFonts w:eastAsia="Times New Roman" w:cs="Times New Roman"/>
                <w:b/>
                <w:bCs/>
                <w:color w:val="000000"/>
                <w:sz w:val="20"/>
                <w:lang w:eastAsia="sk-SK"/>
              </w:rPr>
              <w:t>SZP</w:t>
            </w:r>
          </w:p>
        </w:tc>
        <w:tc>
          <w:tcPr>
            <w:tcW w:w="1881" w:type="pct"/>
            <w:noWrap/>
            <w:vAlign w:val="center"/>
            <w:hideMark/>
          </w:tcPr>
          <w:p w14:paraId="0BD8AE73" w14:textId="77777777"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Sociálne znevýhodnené prostredie</w:t>
            </w:r>
          </w:p>
        </w:tc>
      </w:tr>
      <w:tr w:rsidR="00AD40C0" w:rsidRPr="00EE7779" w14:paraId="599460C4" w14:textId="77777777" w:rsidTr="00AD40C0">
        <w:trPr>
          <w:trHeight w:val="255"/>
        </w:trPr>
        <w:tc>
          <w:tcPr>
            <w:cnfStyle w:val="001000000000" w:firstRow="0" w:lastRow="0" w:firstColumn="1" w:lastColumn="0" w:oddVBand="0" w:evenVBand="0" w:oddHBand="0" w:evenHBand="0" w:firstRowFirstColumn="0" w:firstRowLastColumn="0" w:lastRowFirstColumn="0" w:lastRowLastColumn="0"/>
            <w:tcW w:w="546" w:type="pct"/>
            <w:noWrap/>
            <w:vAlign w:val="center"/>
            <w:hideMark/>
          </w:tcPr>
          <w:p w14:paraId="7DF00151" w14:textId="23242E2A" w:rsidR="00AD40C0" w:rsidRPr="00EE7779" w:rsidRDefault="00AD40C0" w:rsidP="00EE7779">
            <w:pPr>
              <w:spacing w:after="0"/>
              <w:jc w:val="left"/>
              <w:rPr>
                <w:rFonts w:eastAsia="Times New Roman" w:cs="Times New Roman"/>
                <w:color w:val="000000"/>
                <w:sz w:val="20"/>
                <w:lang w:eastAsia="sk-SK"/>
              </w:rPr>
            </w:pPr>
            <w:r w:rsidRPr="00EE7779">
              <w:rPr>
                <w:rFonts w:eastAsia="Times New Roman" w:cs="Times New Roman"/>
                <w:color w:val="000000"/>
                <w:sz w:val="20"/>
                <w:lang w:eastAsia="sk-SK"/>
              </w:rPr>
              <w:t>ISCED</w:t>
            </w:r>
          </w:p>
        </w:tc>
        <w:tc>
          <w:tcPr>
            <w:tcW w:w="1949" w:type="pct"/>
            <w:noWrap/>
            <w:vAlign w:val="center"/>
            <w:hideMark/>
          </w:tcPr>
          <w:p w14:paraId="7B6F7AC8" w14:textId="6796631D"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International standard classification of education (Medzinárodná štandardná klasifikácia vzdelania)</w:t>
            </w:r>
          </w:p>
        </w:tc>
        <w:tc>
          <w:tcPr>
            <w:tcW w:w="624" w:type="pct"/>
            <w:noWrap/>
            <w:vAlign w:val="center"/>
            <w:hideMark/>
          </w:tcPr>
          <w:p w14:paraId="7EC63C52" w14:textId="77777777"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lang w:eastAsia="sk-SK"/>
              </w:rPr>
            </w:pPr>
            <w:r w:rsidRPr="00EE7779">
              <w:rPr>
                <w:rFonts w:eastAsia="Times New Roman" w:cs="Times New Roman"/>
                <w:b/>
                <w:bCs/>
                <w:color w:val="000000"/>
                <w:sz w:val="20"/>
                <w:lang w:eastAsia="sk-SK"/>
              </w:rPr>
              <w:t>ŠKD</w:t>
            </w:r>
          </w:p>
        </w:tc>
        <w:tc>
          <w:tcPr>
            <w:tcW w:w="1881" w:type="pct"/>
            <w:noWrap/>
            <w:vAlign w:val="center"/>
            <w:hideMark/>
          </w:tcPr>
          <w:p w14:paraId="160504C3" w14:textId="77777777"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Školský klub detí</w:t>
            </w:r>
          </w:p>
        </w:tc>
      </w:tr>
      <w:tr w:rsidR="00AD40C0" w:rsidRPr="00EE7779" w14:paraId="7CE82D6E" w14:textId="77777777" w:rsidTr="00AD40C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46" w:type="pct"/>
            <w:noWrap/>
            <w:vAlign w:val="center"/>
            <w:hideMark/>
          </w:tcPr>
          <w:p w14:paraId="2C511453" w14:textId="3B6EE5D1" w:rsidR="00AD40C0" w:rsidRPr="00EE7779" w:rsidRDefault="00AD40C0" w:rsidP="00EE7779">
            <w:pPr>
              <w:spacing w:after="0"/>
              <w:jc w:val="left"/>
              <w:rPr>
                <w:rFonts w:eastAsia="Times New Roman" w:cs="Times New Roman"/>
                <w:color w:val="000000"/>
                <w:sz w:val="20"/>
                <w:lang w:eastAsia="sk-SK"/>
              </w:rPr>
            </w:pPr>
            <w:r w:rsidRPr="00EE7779">
              <w:rPr>
                <w:rFonts w:eastAsia="Times New Roman" w:cs="Times New Roman"/>
                <w:color w:val="000000"/>
                <w:sz w:val="20"/>
                <w:lang w:eastAsia="sk-SK"/>
              </w:rPr>
              <w:t>ISP</w:t>
            </w:r>
          </w:p>
        </w:tc>
        <w:tc>
          <w:tcPr>
            <w:tcW w:w="1949" w:type="pct"/>
            <w:noWrap/>
            <w:vAlign w:val="center"/>
            <w:hideMark/>
          </w:tcPr>
          <w:p w14:paraId="3D8574D1" w14:textId="6CD75B94"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Inštitút sociálnej politiky</w:t>
            </w:r>
          </w:p>
        </w:tc>
        <w:tc>
          <w:tcPr>
            <w:tcW w:w="624" w:type="pct"/>
            <w:noWrap/>
            <w:vAlign w:val="center"/>
            <w:hideMark/>
          </w:tcPr>
          <w:p w14:paraId="43DF4666" w14:textId="77777777"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sk-SK"/>
              </w:rPr>
            </w:pPr>
            <w:r w:rsidRPr="00EE7779">
              <w:rPr>
                <w:rFonts w:eastAsia="Times New Roman" w:cs="Times New Roman"/>
                <w:b/>
                <w:bCs/>
                <w:color w:val="000000"/>
                <w:sz w:val="20"/>
                <w:lang w:eastAsia="sk-SK"/>
              </w:rPr>
              <w:t>ŠMŠ</w:t>
            </w:r>
          </w:p>
        </w:tc>
        <w:tc>
          <w:tcPr>
            <w:tcW w:w="1881" w:type="pct"/>
            <w:noWrap/>
            <w:vAlign w:val="center"/>
            <w:hideMark/>
          </w:tcPr>
          <w:p w14:paraId="679C940A" w14:textId="77777777"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Špeciálna materská škola</w:t>
            </w:r>
          </w:p>
        </w:tc>
      </w:tr>
      <w:tr w:rsidR="00AD40C0" w:rsidRPr="00EE7779" w14:paraId="65CA7F30" w14:textId="77777777" w:rsidTr="00AD40C0">
        <w:trPr>
          <w:trHeight w:val="255"/>
        </w:trPr>
        <w:tc>
          <w:tcPr>
            <w:cnfStyle w:val="001000000000" w:firstRow="0" w:lastRow="0" w:firstColumn="1" w:lastColumn="0" w:oddVBand="0" w:evenVBand="0" w:oddHBand="0" w:evenHBand="0" w:firstRowFirstColumn="0" w:firstRowLastColumn="0" w:lastRowFirstColumn="0" w:lastRowLastColumn="0"/>
            <w:tcW w:w="546" w:type="pct"/>
            <w:noWrap/>
            <w:vAlign w:val="center"/>
            <w:hideMark/>
          </w:tcPr>
          <w:p w14:paraId="7223C114" w14:textId="076E4D89" w:rsidR="00AD40C0" w:rsidRPr="00EE7779" w:rsidRDefault="00AD40C0" w:rsidP="00EE7779">
            <w:pPr>
              <w:spacing w:after="0"/>
              <w:jc w:val="left"/>
              <w:rPr>
                <w:rFonts w:eastAsia="Times New Roman" w:cs="Times New Roman"/>
                <w:color w:val="000000"/>
                <w:sz w:val="20"/>
                <w:lang w:eastAsia="sk-SK"/>
              </w:rPr>
            </w:pPr>
            <w:r w:rsidRPr="00EE7779">
              <w:rPr>
                <w:rFonts w:eastAsia="Times New Roman" w:cs="Times New Roman"/>
                <w:color w:val="000000"/>
                <w:sz w:val="20"/>
                <w:lang w:eastAsia="sk-SK"/>
              </w:rPr>
              <w:t>IVP</w:t>
            </w:r>
          </w:p>
        </w:tc>
        <w:tc>
          <w:tcPr>
            <w:tcW w:w="1949" w:type="pct"/>
            <w:noWrap/>
            <w:vAlign w:val="center"/>
            <w:hideMark/>
          </w:tcPr>
          <w:p w14:paraId="60B320AA" w14:textId="1BC5CD6A"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Inštitút vzdelávacej politiky</w:t>
            </w:r>
          </w:p>
        </w:tc>
        <w:tc>
          <w:tcPr>
            <w:tcW w:w="624" w:type="pct"/>
            <w:noWrap/>
            <w:vAlign w:val="center"/>
            <w:hideMark/>
          </w:tcPr>
          <w:p w14:paraId="52F8F219" w14:textId="77777777"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lang w:eastAsia="sk-SK"/>
              </w:rPr>
            </w:pPr>
            <w:r w:rsidRPr="00EE7779">
              <w:rPr>
                <w:rFonts w:eastAsia="Times New Roman" w:cs="Times New Roman"/>
                <w:b/>
                <w:bCs/>
                <w:color w:val="000000"/>
                <w:sz w:val="20"/>
                <w:lang w:eastAsia="sk-SK"/>
              </w:rPr>
              <w:t>ŠPU</w:t>
            </w:r>
          </w:p>
        </w:tc>
        <w:tc>
          <w:tcPr>
            <w:tcW w:w="1881" w:type="pct"/>
            <w:noWrap/>
            <w:vAlign w:val="center"/>
            <w:hideMark/>
          </w:tcPr>
          <w:p w14:paraId="336C88D7" w14:textId="560027E6" w:rsidR="00AD40C0" w:rsidRPr="00EE7779" w:rsidRDefault="00B4644B"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sk-SK"/>
              </w:rPr>
            </w:pPr>
            <w:r>
              <w:rPr>
                <w:rFonts w:eastAsia="Times New Roman" w:cs="Times New Roman"/>
                <w:color w:val="000000"/>
                <w:sz w:val="20"/>
                <w:lang w:eastAsia="sk-SK"/>
              </w:rPr>
              <w:t>Štátny pedagogický ústav</w:t>
            </w:r>
          </w:p>
        </w:tc>
      </w:tr>
      <w:tr w:rsidR="00AD40C0" w:rsidRPr="00EE7779" w14:paraId="6BCEDD7E" w14:textId="77777777" w:rsidTr="00AD40C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46" w:type="pct"/>
            <w:noWrap/>
            <w:vAlign w:val="center"/>
            <w:hideMark/>
          </w:tcPr>
          <w:p w14:paraId="247E4189" w14:textId="0044DE17" w:rsidR="00AD40C0" w:rsidRPr="00EE7779" w:rsidRDefault="00AD40C0" w:rsidP="00EE7779">
            <w:pPr>
              <w:spacing w:after="0"/>
              <w:jc w:val="left"/>
              <w:rPr>
                <w:rFonts w:eastAsia="Times New Roman" w:cs="Times New Roman"/>
                <w:color w:val="000000"/>
                <w:sz w:val="20"/>
                <w:lang w:eastAsia="sk-SK"/>
              </w:rPr>
            </w:pPr>
            <w:r w:rsidRPr="00EE7779">
              <w:rPr>
                <w:rFonts w:eastAsia="Times New Roman" w:cs="Times New Roman"/>
                <w:color w:val="000000"/>
                <w:sz w:val="20"/>
                <w:lang w:eastAsia="sk-SK"/>
              </w:rPr>
              <w:t>KC</w:t>
            </w:r>
          </w:p>
        </w:tc>
        <w:tc>
          <w:tcPr>
            <w:tcW w:w="1949" w:type="pct"/>
            <w:noWrap/>
            <w:vAlign w:val="center"/>
            <w:hideMark/>
          </w:tcPr>
          <w:p w14:paraId="1AA4EA3B" w14:textId="029DBD4B"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Komunitné centrum</w:t>
            </w:r>
          </w:p>
        </w:tc>
        <w:tc>
          <w:tcPr>
            <w:tcW w:w="624" w:type="pct"/>
            <w:noWrap/>
            <w:vAlign w:val="center"/>
            <w:hideMark/>
          </w:tcPr>
          <w:p w14:paraId="43BA9B85" w14:textId="77777777"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sk-SK"/>
              </w:rPr>
            </w:pPr>
            <w:r w:rsidRPr="00EE7779">
              <w:rPr>
                <w:rFonts w:eastAsia="Times New Roman" w:cs="Times New Roman"/>
                <w:b/>
                <w:bCs/>
                <w:color w:val="000000"/>
                <w:sz w:val="20"/>
                <w:lang w:eastAsia="sk-SK"/>
              </w:rPr>
              <w:t>ŠŠI</w:t>
            </w:r>
          </w:p>
        </w:tc>
        <w:tc>
          <w:tcPr>
            <w:tcW w:w="1881" w:type="pct"/>
            <w:noWrap/>
            <w:vAlign w:val="center"/>
            <w:hideMark/>
          </w:tcPr>
          <w:p w14:paraId="68ED1F18" w14:textId="77777777"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Štátna školská inšpekcia</w:t>
            </w:r>
          </w:p>
        </w:tc>
      </w:tr>
      <w:tr w:rsidR="00AD40C0" w:rsidRPr="00EE7779" w14:paraId="5DBFF57D" w14:textId="77777777" w:rsidTr="00AD40C0">
        <w:trPr>
          <w:trHeight w:val="255"/>
        </w:trPr>
        <w:tc>
          <w:tcPr>
            <w:cnfStyle w:val="001000000000" w:firstRow="0" w:lastRow="0" w:firstColumn="1" w:lastColumn="0" w:oddVBand="0" w:evenVBand="0" w:oddHBand="0" w:evenHBand="0" w:firstRowFirstColumn="0" w:firstRowLastColumn="0" w:lastRowFirstColumn="0" w:lastRowLastColumn="0"/>
            <w:tcW w:w="546" w:type="pct"/>
            <w:noWrap/>
            <w:vAlign w:val="center"/>
            <w:hideMark/>
          </w:tcPr>
          <w:p w14:paraId="7A141BB0" w14:textId="05B4E1B2" w:rsidR="00AD40C0" w:rsidRPr="00EE7779" w:rsidRDefault="00AD40C0" w:rsidP="00EE7779">
            <w:pPr>
              <w:spacing w:after="0"/>
              <w:jc w:val="left"/>
              <w:rPr>
                <w:rFonts w:eastAsia="Times New Roman" w:cs="Times New Roman"/>
                <w:color w:val="000000"/>
                <w:sz w:val="20"/>
                <w:lang w:eastAsia="sk-SK"/>
              </w:rPr>
            </w:pPr>
            <w:r w:rsidRPr="00EE7779">
              <w:rPr>
                <w:rFonts w:eastAsia="Times New Roman" w:cs="Times New Roman"/>
                <w:color w:val="000000"/>
                <w:sz w:val="20"/>
                <w:lang w:eastAsia="sk-SK"/>
              </w:rPr>
              <w:t>KEGA</w:t>
            </w:r>
          </w:p>
        </w:tc>
        <w:tc>
          <w:tcPr>
            <w:tcW w:w="1949" w:type="pct"/>
            <w:noWrap/>
            <w:vAlign w:val="center"/>
            <w:hideMark/>
          </w:tcPr>
          <w:p w14:paraId="707724F2" w14:textId="354BB98B"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Kultúrna a edukačná grantová agentúra</w:t>
            </w:r>
          </w:p>
        </w:tc>
        <w:tc>
          <w:tcPr>
            <w:tcW w:w="624" w:type="pct"/>
            <w:noWrap/>
            <w:vAlign w:val="center"/>
            <w:hideMark/>
          </w:tcPr>
          <w:p w14:paraId="25D15B6A" w14:textId="77777777"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lang w:eastAsia="sk-SK"/>
              </w:rPr>
            </w:pPr>
            <w:r w:rsidRPr="00EE7779">
              <w:rPr>
                <w:rFonts w:eastAsia="Times New Roman" w:cs="Times New Roman"/>
                <w:b/>
                <w:bCs/>
                <w:color w:val="000000"/>
                <w:sz w:val="20"/>
                <w:lang w:eastAsia="sk-SK"/>
              </w:rPr>
              <w:t>ŠT</w:t>
            </w:r>
          </w:p>
        </w:tc>
        <w:tc>
          <w:tcPr>
            <w:tcW w:w="1881" w:type="pct"/>
            <w:noWrap/>
            <w:vAlign w:val="center"/>
            <w:hideMark/>
          </w:tcPr>
          <w:p w14:paraId="6BACC2F4" w14:textId="3C7B6907" w:rsidR="00AD40C0" w:rsidRPr="00EE7779" w:rsidRDefault="00B4644B"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sk-SK"/>
              </w:rPr>
            </w:pPr>
            <w:r>
              <w:rPr>
                <w:rFonts w:eastAsia="Times New Roman" w:cs="Times New Roman"/>
                <w:color w:val="000000"/>
                <w:sz w:val="20"/>
                <w:lang w:eastAsia="sk-SK"/>
              </w:rPr>
              <w:t xml:space="preserve">Špeciálna trieda </w:t>
            </w:r>
          </w:p>
        </w:tc>
      </w:tr>
      <w:tr w:rsidR="00AD40C0" w:rsidRPr="00EE7779" w14:paraId="5A55D160" w14:textId="77777777" w:rsidTr="00AD40C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46" w:type="pct"/>
            <w:noWrap/>
            <w:vAlign w:val="center"/>
            <w:hideMark/>
          </w:tcPr>
          <w:p w14:paraId="28399726" w14:textId="3C3BF709" w:rsidR="00AD40C0" w:rsidRPr="00EE7779" w:rsidRDefault="00AD40C0" w:rsidP="00EE7779">
            <w:pPr>
              <w:spacing w:after="0"/>
              <w:jc w:val="left"/>
              <w:rPr>
                <w:rFonts w:eastAsia="Times New Roman" w:cs="Times New Roman"/>
                <w:color w:val="000000"/>
                <w:sz w:val="20"/>
                <w:lang w:eastAsia="sk-SK"/>
              </w:rPr>
            </w:pPr>
            <w:r w:rsidRPr="00EE7779">
              <w:rPr>
                <w:rFonts w:eastAsia="Times New Roman" w:cs="Times New Roman"/>
                <w:color w:val="000000"/>
                <w:sz w:val="20"/>
                <w:lang w:eastAsia="sk-SK"/>
              </w:rPr>
              <w:t>LFS</w:t>
            </w:r>
          </w:p>
        </w:tc>
        <w:tc>
          <w:tcPr>
            <w:tcW w:w="1949" w:type="pct"/>
            <w:noWrap/>
            <w:vAlign w:val="center"/>
            <w:hideMark/>
          </w:tcPr>
          <w:p w14:paraId="4468655F" w14:textId="6588EAD7"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Labour Force Survey (Výberové zisťovanie pracovných síl)</w:t>
            </w:r>
          </w:p>
        </w:tc>
        <w:tc>
          <w:tcPr>
            <w:tcW w:w="624" w:type="pct"/>
            <w:noWrap/>
            <w:vAlign w:val="center"/>
            <w:hideMark/>
          </w:tcPr>
          <w:p w14:paraId="7405BBCF" w14:textId="77777777"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sk-SK"/>
              </w:rPr>
            </w:pPr>
            <w:r w:rsidRPr="00EE7779">
              <w:rPr>
                <w:rFonts w:eastAsia="Times New Roman" w:cs="Times New Roman"/>
                <w:b/>
                <w:bCs/>
                <w:color w:val="000000"/>
                <w:sz w:val="20"/>
                <w:lang w:eastAsia="sk-SK"/>
              </w:rPr>
              <w:t>ŠVP</w:t>
            </w:r>
          </w:p>
        </w:tc>
        <w:tc>
          <w:tcPr>
            <w:tcW w:w="1881" w:type="pct"/>
            <w:noWrap/>
            <w:vAlign w:val="center"/>
            <w:hideMark/>
          </w:tcPr>
          <w:p w14:paraId="1B02ED49" w14:textId="70C793FC" w:rsidR="00AD40C0" w:rsidRPr="00EE7779" w:rsidRDefault="00B4644B"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sk-SK"/>
              </w:rPr>
            </w:pPr>
            <w:r>
              <w:rPr>
                <w:rFonts w:eastAsia="Times New Roman" w:cs="Times New Roman"/>
                <w:color w:val="000000"/>
                <w:sz w:val="20"/>
                <w:lang w:eastAsia="sk-SK"/>
              </w:rPr>
              <w:t xml:space="preserve">Štátny vzdelávací program </w:t>
            </w:r>
          </w:p>
        </w:tc>
      </w:tr>
      <w:tr w:rsidR="00AD40C0" w:rsidRPr="00EE7779" w14:paraId="168047A2" w14:textId="77777777" w:rsidTr="00AD40C0">
        <w:trPr>
          <w:trHeight w:val="255"/>
        </w:trPr>
        <w:tc>
          <w:tcPr>
            <w:cnfStyle w:val="001000000000" w:firstRow="0" w:lastRow="0" w:firstColumn="1" w:lastColumn="0" w:oddVBand="0" w:evenVBand="0" w:oddHBand="0" w:evenHBand="0" w:firstRowFirstColumn="0" w:firstRowLastColumn="0" w:lastRowFirstColumn="0" w:lastRowLastColumn="0"/>
            <w:tcW w:w="546" w:type="pct"/>
            <w:noWrap/>
            <w:vAlign w:val="center"/>
            <w:hideMark/>
          </w:tcPr>
          <w:p w14:paraId="294E3122" w14:textId="116019AC" w:rsidR="00AD40C0" w:rsidRPr="00EE7779" w:rsidRDefault="00AD40C0" w:rsidP="00EE7779">
            <w:pPr>
              <w:spacing w:after="0"/>
              <w:jc w:val="left"/>
              <w:rPr>
                <w:rFonts w:eastAsia="Times New Roman" w:cs="Times New Roman"/>
                <w:color w:val="000000"/>
                <w:sz w:val="20"/>
                <w:lang w:eastAsia="sk-SK"/>
              </w:rPr>
            </w:pPr>
            <w:r w:rsidRPr="00EE7779">
              <w:rPr>
                <w:rFonts w:eastAsia="Times New Roman" w:cs="Times New Roman"/>
                <w:color w:val="000000"/>
                <w:sz w:val="20"/>
                <w:lang w:eastAsia="sk-SK"/>
              </w:rPr>
              <w:t>MDaV</w:t>
            </w:r>
          </w:p>
        </w:tc>
        <w:tc>
          <w:tcPr>
            <w:tcW w:w="1949" w:type="pct"/>
            <w:noWrap/>
            <w:vAlign w:val="center"/>
            <w:hideMark/>
          </w:tcPr>
          <w:p w14:paraId="37BFB65A" w14:textId="6BF34612"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Ministerstvo dopravy a výstavby</w:t>
            </w:r>
          </w:p>
        </w:tc>
        <w:tc>
          <w:tcPr>
            <w:tcW w:w="624" w:type="pct"/>
            <w:noWrap/>
            <w:vAlign w:val="center"/>
            <w:hideMark/>
          </w:tcPr>
          <w:p w14:paraId="50C35BBB" w14:textId="77777777"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lang w:eastAsia="sk-SK"/>
              </w:rPr>
            </w:pPr>
            <w:r w:rsidRPr="00EE7779">
              <w:rPr>
                <w:rFonts w:eastAsia="Times New Roman" w:cs="Times New Roman"/>
                <w:b/>
                <w:bCs/>
                <w:color w:val="000000"/>
                <w:sz w:val="20"/>
                <w:lang w:eastAsia="sk-SK"/>
              </w:rPr>
              <w:t>ŠVVP</w:t>
            </w:r>
          </w:p>
        </w:tc>
        <w:tc>
          <w:tcPr>
            <w:tcW w:w="1881" w:type="pct"/>
            <w:noWrap/>
            <w:vAlign w:val="center"/>
            <w:hideMark/>
          </w:tcPr>
          <w:p w14:paraId="71A3083F" w14:textId="77777777"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Špeciálne výchovno-vzdelávacie potreby</w:t>
            </w:r>
          </w:p>
        </w:tc>
      </w:tr>
      <w:tr w:rsidR="00AD40C0" w:rsidRPr="00EE7779" w14:paraId="006C1CD7" w14:textId="77777777" w:rsidTr="00AD40C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46" w:type="pct"/>
            <w:noWrap/>
            <w:vAlign w:val="center"/>
            <w:hideMark/>
          </w:tcPr>
          <w:p w14:paraId="5248D74F" w14:textId="5A18B4DB" w:rsidR="00AD40C0" w:rsidRPr="00EE7779" w:rsidRDefault="00AD40C0" w:rsidP="00EE7779">
            <w:pPr>
              <w:spacing w:after="0"/>
              <w:jc w:val="left"/>
              <w:rPr>
                <w:rFonts w:eastAsia="Times New Roman" w:cs="Times New Roman"/>
                <w:color w:val="000000"/>
                <w:sz w:val="20"/>
                <w:lang w:eastAsia="sk-SK"/>
              </w:rPr>
            </w:pPr>
            <w:r w:rsidRPr="00EE7779">
              <w:rPr>
                <w:rFonts w:eastAsia="Times New Roman" w:cs="Times New Roman"/>
                <w:color w:val="000000"/>
                <w:sz w:val="20"/>
                <w:lang w:eastAsia="sk-SK"/>
              </w:rPr>
              <w:t>MEN</w:t>
            </w:r>
          </w:p>
        </w:tc>
        <w:tc>
          <w:tcPr>
            <w:tcW w:w="1949" w:type="pct"/>
            <w:noWrap/>
            <w:vAlign w:val="center"/>
            <w:hideMark/>
          </w:tcPr>
          <w:p w14:paraId="4F78DA26" w14:textId="0B892943"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Mentálne postihnutie</w:t>
            </w:r>
          </w:p>
        </w:tc>
        <w:tc>
          <w:tcPr>
            <w:tcW w:w="624" w:type="pct"/>
            <w:noWrap/>
            <w:vAlign w:val="center"/>
            <w:hideMark/>
          </w:tcPr>
          <w:p w14:paraId="6A55C595" w14:textId="77777777"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sk-SK"/>
              </w:rPr>
            </w:pPr>
            <w:r w:rsidRPr="00EE7779">
              <w:rPr>
                <w:rFonts w:eastAsia="Times New Roman" w:cs="Times New Roman"/>
                <w:b/>
                <w:bCs/>
                <w:color w:val="000000"/>
                <w:sz w:val="20"/>
                <w:lang w:eastAsia="sk-SK"/>
              </w:rPr>
              <w:t>ŠZŠ</w:t>
            </w:r>
          </w:p>
        </w:tc>
        <w:tc>
          <w:tcPr>
            <w:tcW w:w="1881" w:type="pct"/>
            <w:noWrap/>
            <w:vAlign w:val="center"/>
            <w:hideMark/>
          </w:tcPr>
          <w:p w14:paraId="7789E6E7" w14:textId="77777777"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Špeciálna základná škola</w:t>
            </w:r>
          </w:p>
        </w:tc>
      </w:tr>
      <w:tr w:rsidR="00AD40C0" w:rsidRPr="00EE7779" w14:paraId="4B326181" w14:textId="77777777" w:rsidTr="00AD40C0">
        <w:trPr>
          <w:trHeight w:val="255"/>
        </w:trPr>
        <w:tc>
          <w:tcPr>
            <w:cnfStyle w:val="001000000000" w:firstRow="0" w:lastRow="0" w:firstColumn="1" w:lastColumn="0" w:oddVBand="0" w:evenVBand="0" w:oddHBand="0" w:evenHBand="0" w:firstRowFirstColumn="0" w:firstRowLastColumn="0" w:lastRowFirstColumn="0" w:lastRowLastColumn="0"/>
            <w:tcW w:w="546" w:type="pct"/>
            <w:noWrap/>
            <w:vAlign w:val="center"/>
            <w:hideMark/>
          </w:tcPr>
          <w:p w14:paraId="4E9B0D64" w14:textId="39B29D46" w:rsidR="00AD40C0" w:rsidRPr="00EE7779" w:rsidRDefault="00AD40C0" w:rsidP="00EE7779">
            <w:pPr>
              <w:spacing w:after="0"/>
              <w:jc w:val="left"/>
              <w:rPr>
                <w:rFonts w:eastAsia="Times New Roman" w:cs="Times New Roman"/>
                <w:color w:val="000000"/>
                <w:sz w:val="20"/>
                <w:lang w:eastAsia="sk-SK"/>
              </w:rPr>
            </w:pPr>
            <w:r w:rsidRPr="00EE7779">
              <w:rPr>
                <w:rFonts w:eastAsia="Times New Roman" w:cs="Times New Roman"/>
                <w:color w:val="000000"/>
                <w:sz w:val="20"/>
                <w:lang w:eastAsia="sk-SK"/>
              </w:rPr>
              <w:t>MF SR</w:t>
            </w:r>
          </w:p>
        </w:tc>
        <w:tc>
          <w:tcPr>
            <w:tcW w:w="1949" w:type="pct"/>
            <w:noWrap/>
            <w:vAlign w:val="center"/>
            <w:hideMark/>
          </w:tcPr>
          <w:p w14:paraId="2D5D9264" w14:textId="385E504E"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Ministerstvo financií</w:t>
            </w:r>
          </w:p>
        </w:tc>
        <w:tc>
          <w:tcPr>
            <w:tcW w:w="624" w:type="pct"/>
            <w:noWrap/>
            <w:vAlign w:val="center"/>
            <w:hideMark/>
          </w:tcPr>
          <w:p w14:paraId="79C5DC31" w14:textId="77777777"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lang w:eastAsia="sk-SK"/>
              </w:rPr>
            </w:pPr>
            <w:r w:rsidRPr="00EE7779">
              <w:rPr>
                <w:rFonts w:eastAsia="Times New Roman" w:cs="Times New Roman"/>
                <w:b/>
                <w:bCs/>
                <w:color w:val="000000"/>
                <w:sz w:val="20"/>
                <w:lang w:eastAsia="sk-SK"/>
              </w:rPr>
              <w:t>TEL</w:t>
            </w:r>
          </w:p>
        </w:tc>
        <w:tc>
          <w:tcPr>
            <w:tcW w:w="1881" w:type="pct"/>
            <w:noWrap/>
            <w:vAlign w:val="center"/>
            <w:hideMark/>
          </w:tcPr>
          <w:p w14:paraId="369D4A26" w14:textId="77777777"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Telesné postihnutie</w:t>
            </w:r>
          </w:p>
        </w:tc>
      </w:tr>
      <w:tr w:rsidR="00AD40C0" w:rsidRPr="00EE7779" w14:paraId="1E004BEB" w14:textId="77777777" w:rsidTr="00AD40C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46" w:type="pct"/>
            <w:noWrap/>
            <w:vAlign w:val="center"/>
            <w:hideMark/>
          </w:tcPr>
          <w:p w14:paraId="66D37990" w14:textId="2AD5BF2D" w:rsidR="00AD40C0" w:rsidRPr="00EE7779" w:rsidRDefault="00AD40C0" w:rsidP="00EE7779">
            <w:pPr>
              <w:spacing w:after="0"/>
              <w:jc w:val="left"/>
              <w:rPr>
                <w:rFonts w:eastAsia="Times New Roman" w:cs="Times New Roman"/>
                <w:color w:val="000000"/>
                <w:sz w:val="20"/>
                <w:lang w:eastAsia="sk-SK"/>
              </w:rPr>
            </w:pPr>
            <w:r w:rsidRPr="00EE7779">
              <w:rPr>
                <w:rFonts w:eastAsia="Times New Roman" w:cs="Times New Roman"/>
                <w:color w:val="000000"/>
                <w:sz w:val="20"/>
                <w:lang w:eastAsia="sk-SK"/>
              </w:rPr>
              <w:t>MISSOC</w:t>
            </w:r>
          </w:p>
        </w:tc>
        <w:tc>
          <w:tcPr>
            <w:tcW w:w="1949" w:type="pct"/>
            <w:noWrap/>
            <w:vAlign w:val="center"/>
            <w:hideMark/>
          </w:tcPr>
          <w:p w14:paraId="59EB7223" w14:textId="48704AF1"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Mutual Information System on Social Protection (Vzájomný informačný systém o sociálnej ochrane EÚ)</w:t>
            </w:r>
          </w:p>
        </w:tc>
        <w:tc>
          <w:tcPr>
            <w:tcW w:w="624" w:type="pct"/>
            <w:noWrap/>
            <w:vAlign w:val="center"/>
            <w:hideMark/>
          </w:tcPr>
          <w:p w14:paraId="388686FA" w14:textId="77777777"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sk-SK"/>
              </w:rPr>
            </w:pPr>
            <w:r w:rsidRPr="00EE7779">
              <w:rPr>
                <w:rFonts w:eastAsia="Times New Roman" w:cs="Times New Roman"/>
                <w:b/>
                <w:bCs/>
                <w:color w:val="000000"/>
                <w:sz w:val="20"/>
                <w:lang w:eastAsia="sk-SK"/>
              </w:rPr>
              <w:t>TSP</w:t>
            </w:r>
          </w:p>
        </w:tc>
        <w:tc>
          <w:tcPr>
            <w:tcW w:w="1881" w:type="pct"/>
            <w:noWrap/>
            <w:vAlign w:val="center"/>
            <w:hideMark/>
          </w:tcPr>
          <w:p w14:paraId="1BF4EBA1" w14:textId="77777777"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Terénna sociálna práca / Terénny sociálny pracovník</w:t>
            </w:r>
          </w:p>
        </w:tc>
      </w:tr>
      <w:tr w:rsidR="00AD40C0" w:rsidRPr="00EE7779" w14:paraId="50DF8F84" w14:textId="77777777" w:rsidTr="00AD40C0">
        <w:trPr>
          <w:trHeight w:val="255"/>
        </w:trPr>
        <w:tc>
          <w:tcPr>
            <w:cnfStyle w:val="001000000000" w:firstRow="0" w:lastRow="0" w:firstColumn="1" w:lastColumn="0" w:oddVBand="0" w:evenVBand="0" w:oddHBand="0" w:evenHBand="0" w:firstRowFirstColumn="0" w:firstRowLastColumn="0" w:lastRowFirstColumn="0" w:lastRowLastColumn="0"/>
            <w:tcW w:w="546" w:type="pct"/>
            <w:noWrap/>
            <w:vAlign w:val="center"/>
            <w:hideMark/>
          </w:tcPr>
          <w:p w14:paraId="0C6D3457" w14:textId="3B227C9B" w:rsidR="00AD40C0" w:rsidRPr="00EE7779" w:rsidRDefault="00AD40C0" w:rsidP="00EE7779">
            <w:pPr>
              <w:spacing w:after="0"/>
              <w:jc w:val="left"/>
              <w:rPr>
                <w:rFonts w:eastAsia="Times New Roman" w:cs="Times New Roman"/>
                <w:color w:val="000000"/>
                <w:sz w:val="20"/>
                <w:lang w:eastAsia="sk-SK"/>
              </w:rPr>
            </w:pPr>
            <w:r w:rsidRPr="00EE7779">
              <w:rPr>
                <w:rFonts w:eastAsia="Times New Roman" w:cs="Times New Roman"/>
                <w:color w:val="000000"/>
                <w:sz w:val="20"/>
                <w:lang w:eastAsia="sk-SK"/>
              </w:rPr>
              <w:t>MOPS</w:t>
            </w:r>
          </w:p>
        </w:tc>
        <w:tc>
          <w:tcPr>
            <w:tcW w:w="1949" w:type="pct"/>
            <w:noWrap/>
            <w:vAlign w:val="center"/>
            <w:hideMark/>
          </w:tcPr>
          <w:p w14:paraId="547DA966" w14:textId="3B409268"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Mestská občianska poriadková služba</w:t>
            </w:r>
          </w:p>
        </w:tc>
        <w:tc>
          <w:tcPr>
            <w:tcW w:w="624" w:type="pct"/>
            <w:noWrap/>
            <w:vAlign w:val="center"/>
            <w:hideMark/>
          </w:tcPr>
          <w:p w14:paraId="73D885F1" w14:textId="77777777"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lang w:eastAsia="sk-SK"/>
              </w:rPr>
            </w:pPr>
            <w:r w:rsidRPr="00EE7779">
              <w:rPr>
                <w:rFonts w:eastAsia="Times New Roman" w:cs="Times New Roman"/>
                <w:b/>
                <w:bCs/>
                <w:color w:val="000000"/>
                <w:sz w:val="20"/>
                <w:lang w:eastAsia="sk-SK"/>
              </w:rPr>
              <w:t>ŤZP</w:t>
            </w:r>
          </w:p>
        </w:tc>
        <w:tc>
          <w:tcPr>
            <w:tcW w:w="1881" w:type="pct"/>
            <w:noWrap/>
            <w:vAlign w:val="center"/>
            <w:hideMark/>
          </w:tcPr>
          <w:p w14:paraId="5497713A" w14:textId="77777777"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Ťažké zdravotné postihnutie</w:t>
            </w:r>
          </w:p>
        </w:tc>
      </w:tr>
      <w:tr w:rsidR="00AD40C0" w:rsidRPr="00EE7779" w14:paraId="2C8B6E31" w14:textId="77777777" w:rsidTr="00AD40C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46" w:type="pct"/>
            <w:noWrap/>
            <w:vAlign w:val="center"/>
            <w:hideMark/>
          </w:tcPr>
          <w:p w14:paraId="2B91A5CD" w14:textId="4B55E71B" w:rsidR="00AD40C0" w:rsidRPr="00EE7779" w:rsidRDefault="00AD40C0" w:rsidP="00EE7779">
            <w:pPr>
              <w:spacing w:after="0"/>
              <w:jc w:val="left"/>
              <w:rPr>
                <w:rFonts w:eastAsia="Times New Roman" w:cs="Times New Roman"/>
                <w:color w:val="000000"/>
                <w:sz w:val="20"/>
                <w:lang w:eastAsia="sk-SK"/>
              </w:rPr>
            </w:pPr>
            <w:r w:rsidRPr="00EE7779">
              <w:rPr>
                <w:rFonts w:eastAsia="Times New Roman" w:cs="Times New Roman"/>
                <w:color w:val="000000"/>
                <w:sz w:val="20"/>
                <w:lang w:eastAsia="sk-SK"/>
              </w:rPr>
              <w:t>MP</w:t>
            </w:r>
          </w:p>
        </w:tc>
        <w:tc>
          <w:tcPr>
            <w:tcW w:w="1949" w:type="pct"/>
            <w:noWrap/>
            <w:vAlign w:val="center"/>
            <w:hideMark/>
          </w:tcPr>
          <w:p w14:paraId="0D928410" w14:textId="603B1FD5"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Mentálne postihnutie</w:t>
            </w:r>
          </w:p>
        </w:tc>
        <w:tc>
          <w:tcPr>
            <w:tcW w:w="624" w:type="pct"/>
            <w:noWrap/>
            <w:vAlign w:val="center"/>
            <w:hideMark/>
          </w:tcPr>
          <w:p w14:paraId="48E12471" w14:textId="77777777"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sk-SK"/>
              </w:rPr>
            </w:pPr>
            <w:r w:rsidRPr="00EE7779">
              <w:rPr>
                <w:rFonts w:eastAsia="Times New Roman" w:cs="Times New Roman"/>
                <w:b/>
                <w:bCs/>
                <w:color w:val="000000"/>
                <w:sz w:val="20"/>
                <w:lang w:eastAsia="sk-SK"/>
              </w:rPr>
              <w:t>ÚHP</w:t>
            </w:r>
          </w:p>
        </w:tc>
        <w:tc>
          <w:tcPr>
            <w:tcW w:w="1881" w:type="pct"/>
            <w:noWrap/>
            <w:vAlign w:val="center"/>
            <w:hideMark/>
          </w:tcPr>
          <w:p w14:paraId="003FD999" w14:textId="77777777"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Útvar hodnoty za peniaze</w:t>
            </w:r>
          </w:p>
        </w:tc>
      </w:tr>
      <w:tr w:rsidR="00AD40C0" w:rsidRPr="00EE7779" w14:paraId="59AADA84" w14:textId="77777777" w:rsidTr="00AD40C0">
        <w:trPr>
          <w:trHeight w:val="255"/>
        </w:trPr>
        <w:tc>
          <w:tcPr>
            <w:cnfStyle w:val="001000000000" w:firstRow="0" w:lastRow="0" w:firstColumn="1" w:lastColumn="0" w:oddVBand="0" w:evenVBand="0" w:oddHBand="0" w:evenHBand="0" w:firstRowFirstColumn="0" w:firstRowLastColumn="0" w:lastRowFirstColumn="0" w:lastRowLastColumn="0"/>
            <w:tcW w:w="546" w:type="pct"/>
            <w:noWrap/>
            <w:vAlign w:val="center"/>
            <w:hideMark/>
          </w:tcPr>
          <w:p w14:paraId="7C0F1CB3" w14:textId="7882B45F" w:rsidR="00AD40C0" w:rsidRPr="00EE7779" w:rsidRDefault="00AD40C0" w:rsidP="00EE7779">
            <w:pPr>
              <w:spacing w:after="0"/>
              <w:jc w:val="left"/>
              <w:rPr>
                <w:rFonts w:eastAsia="Times New Roman" w:cs="Times New Roman"/>
                <w:color w:val="000000"/>
                <w:sz w:val="20"/>
                <w:lang w:eastAsia="sk-SK"/>
              </w:rPr>
            </w:pPr>
            <w:r w:rsidRPr="00EE7779">
              <w:rPr>
                <w:rFonts w:eastAsia="Times New Roman" w:cs="Times New Roman"/>
                <w:color w:val="000000"/>
                <w:sz w:val="20"/>
                <w:lang w:eastAsia="sk-SK"/>
              </w:rPr>
              <w:t>MPaRV</w:t>
            </w:r>
          </w:p>
        </w:tc>
        <w:tc>
          <w:tcPr>
            <w:tcW w:w="1949" w:type="pct"/>
            <w:noWrap/>
            <w:vAlign w:val="center"/>
            <w:hideMark/>
          </w:tcPr>
          <w:p w14:paraId="6ACCF184" w14:textId="6503060F"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Ministerstvo pôdohospodárstva a rozvoja vidieka</w:t>
            </w:r>
          </w:p>
        </w:tc>
        <w:tc>
          <w:tcPr>
            <w:tcW w:w="624" w:type="pct"/>
            <w:noWrap/>
            <w:vAlign w:val="center"/>
            <w:hideMark/>
          </w:tcPr>
          <w:p w14:paraId="535A43C5" w14:textId="77777777"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lang w:eastAsia="sk-SK"/>
              </w:rPr>
            </w:pPr>
            <w:r w:rsidRPr="00EE7779">
              <w:rPr>
                <w:rFonts w:eastAsia="Times New Roman" w:cs="Times New Roman"/>
                <w:b/>
                <w:bCs/>
                <w:color w:val="000000"/>
                <w:sz w:val="20"/>
                <w:lang w:eastAsia="sk-SK"/>
              </w:rPr>
              <w:t>ÚKPOSZP</w:t>
            </w:r>
          </w:p>
        </w:tc>
        <w:tc>
          <w:tcPr>
            <w:tcW w:w="1881" w:type="pct"/>
            <w:noWrap/>
            <w:vAlign w:val="center"/>
            <w:hideMark/>
          </w:tcPr>
          <w:p w14:paraId="48E6CF48" w14:textId="77777777"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Úrad Komisára pre osoby so zdravotným postihnutím</w:t>
            </w:r>
          </w:p>
        </w:tc>
      </w:tr>
      <w:tr w:rsidR="00AD40C0" w:rsidRPr="00EE7779" w14:paraId="01836B8E" w14:textId="77777777" w:rsidTr="00AD40C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46" w:type="pct"/>
            <w:noWrap/>
            <w:vAlign w:val="center"/>
            <w:hideMark/>
          </w:tcPr>
          <w:p w14:paraId="0A8DE03C" w14:textId="3390429D" w:rsidR="00AD40C0" w:rsidRPr="00EE7779" w:rsidRDefault="00AD40C0" w:rsidP="00EE7779">
            <w:pPr>
              <w:spacing w:after="0"/>
              <w:jc w:val="left"/>
              <w:rPr>
                <w:rFonts w:eastAsia="Times New Roman" w:cs="Times New Roman"/>
                <w:color w:val="000000"/>
                <w:sz w:val="20"/>
                <w:lang w:eastAsia="sk-SK"/>
              </w:rPr>
            </w:pPr>
            <w:r w:rsidRPr="00EE7779">
              <w:rPr>
                <w:rFonts w:eastAsia="Times New Roman" w:cs="Times New Roman"/>
                <w:color w:val="000000"/>
                <w:sz w:val="20"/>
                <w:lang w:eastAsia="sk-SK"/>
              </w:rPr>
              <w:t>MPSVR</w:t>
            </w:r>
          </w:p>
        </w:tc>
        <w:tc>
          <w:tcPr>
            <w:tcW w:w="1949" w:type="pct"/>
            <w:noWrap/>
            <w:vAlign w:val="center"/>
            <w:hideMark/>
          </w:tcPr>
          <w:p w14:paraId="7FE00EF2" w14:textId="18277A9C"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Ministerstvo práce sociálnych vecí a rodiny</w:t>
            </w:r>
          </w:p>
        </w:tc>
        <w:tc>
          <w:tcPr>
            <w:tcW w:w="624" w:type="pct"/>
            <w:noWrap/>
            <w:vAlign w:val="center"/>
            <w:hideMark/>
          </w:tcPr>
          <w:p w14:paraId="51AA601C" w14:textId="77777777"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sk-SK"/>
              </w:rPr>
            </w:pPr>
            <w:r w:rsidRPr="00EE7779">
              <w:rPr>
                <w:rFonts w:eastAsia="Times New Roman" w:cs="Times New Roman"/>
                <w:b/>
                <w:bCs/>
                <w:color w:val="000000"/>
                <w:sz w:val="20"/>
                <w:lang w:eastAsia="sk-SK"/>
              </w:rPr>
              <w:t>UNDP</w:t>
            </w:r>
          </w:p>
        </w:tc>
        <w:tc>
          <w:tcPr>
            <w:tcW w:w="1881" w:type="pct"/>
            <w:noWrap/>
            <w:vAlign w:val="center"/>
            <w:hideMark/>
          </w:tcPr>
          <w:p w14:paraId="1035F84D" w14:textId="77777777"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United nations development programme (Rozvojový program Spojených národov)</w:t>
            </w:r>
          </w:p>
        </w:tc>
      </w:tr>
      <w:tr w:rsidR="00AD40C0" w:rsidRPr="00EE7779" w14:paraId="0AEC1C17" w14:textId="77777777" w:rsidTr="00AD40C0">
        <w:trPr>
          <w:trHeight w:val="255"/>
        </w:trPr>
        <w:tc>
          <w:tcPr>
            <w:cnfStyle w:val="001000000000" w:firstRow="0" w:lastRow="0" w:firstColumn="1" w:lastColumn="0" w:oddVBand="0" w:evenVBand="0" w:oddHBand="0" w:evenHBand="0" w:firstRowFirstColumn="0" w:firstRowLastColumn="0" w:lastRowFirstColumn="0" w:lastRowLastColumn="0"/>
            <w:tcW w:w="546" w:type="pct"/>
            <w:noWrap/>
            <w:vAlign w:val="center"/>
            <w:hideMark/>
          </w:tcPr>
          <w:p w14:paraId="29C1E84D" w14:textId="77B48941" w:rsidR="00AD40C0" w:rsidRPr="00EE7779" w:rsidRDefault="00AD40C0" w:rsidP="00EE7779">
            <w:pPr>
              <w:spacing w:after="0"/>
              <w:jc w:val="left"/>
              <w:rPr>
                <w:rFonts w:eastAsia="Times New Roman" w:cs="Times New Roman"/>
                <w:color w:val="000000"/>
                <w:sz w:val="20"/>
                <w:lang w:eastAsia="sk-SK"/>
              </w:rPr>
            </w:pPr>
            <w:r w:rsidRPr="00EE7779">
              <w:rPr>
                <w:rFonts w:eastAsia="Times New Roman" w:cs="Times New Roman"/>
                <w:color w:val="000000"/>
                <w:sz w:val="20"/>
                <w:lang w:eastAsia="sk-SK"/>
              </w:rPr>
              <w:t>MRK</w:t>
            </w:r>
          </w:p>
        </w:tc>
        <w:tc>
          <w:tcPr>
            <w:tcW w:w="1949" w:type="pct"/>
            <w:noWrap/>
            <w:vAlign w:val="center"/>
            <w:hideMark/>
          </w:tcPr>
          <w:p w14:paraId="0EF990EB" w14:textId="4CF75967"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Marginalizované rómske komunity</w:t>
            </w:r>
          </w:p>
        </w:tc>
        <w:tc>
          <w:tcPr>
            <w:tcW w:w="624" w:type="pct"/>
            <w:noWrap/>
            <w:vAlign w:val="center"/>
            <w:hideMark/>
          </w:tcPr>
          <w:p w14:paraId="1739362B" w14:textId="77777777"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lang w:eastAsia="sk-SK"/>
              </w:rPr>
            </w:pPr>
            <w:r w:rsidRPr="00EE7779">
              <w:rPr>
                <w:rFonts w:eastAsia="Times New Roman" w:cs="Times New Roman"/>
                <w:b/>
                <w:bCs/>
                <w:color w:val="000000"/>
                <w:sz w:val="20"/>
                <w:lang w:eastAsia="sk-SK"/>
              </w:rPr>
              <w:t>UoZ</w:t>
            </w:r>
          </w:p>
        </w:tc>
        <w:tc>
          <w:tcPr>
            <w:tcW w:w="1881" w:type="pct"/>
            <w:noWrap/>
            <w:vAlign w:val="center"/>
            <w:hideMark/>
          </w:tcPr>
          <w:p w14:paraId="08DFC097" w14:textId="77777777"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Uchádzač o zamestnanie</w:t>
            </w:r>
          </w:p>
        </w:tc>
      </w:tr>
      <w:tr w:rsidR="00AD40C0" w:rsidRPr="00EE7779" w14:paraId="04F7408E" w14:textId="77777777" w:rsidTr="00AD40C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46" w:type="pct"/>
            <w:noWrap/>
            <w:vAlign w:val="center"/>
            <w:hideMark/>
          </w:tcPr>
          <w:p w14:paraId="1EFE552B" w14:textId="1998B617" w:rsidR="00AD40C0" w:rsidRPr="00EE7779" w:rsidRDefault="00AD40C0" w:rsidP="00EE7779">
            <w:pPr>
              <w:spacing w:after="0"/>
              <w:jc w:val="left"/>
              <w:rPr>
                <w:rFonts w:eastAsia="Times New Roman" w:cs="Times New Roman"/>
                <w:color w:val="000000"/>
                <w:sz w:val="20"/>
                <w:lang w:eastAsia="sk-SK"/>
              </w:rPr>
            </w:pPr>
            <w:r w:rsidRPr="00EE7779">
              <w:rPr>
                <w:rFonts w:eastAsia="Times New Roman" w:cs="Times New Roman"/>
                <w:color w:val="000000"/>
                <w:sz w:val="20"/>
                <w:lang w:eastAsia="sk-SK"/>
              </w:rPr>
              <w:t>MS</w:t>
            </w:r>
          </w:p>
        </w:tc>
        <w:tc>
          <w:tcPr>
            <w:tcW w:w="1949" w:type="pct"/>
            <w:noWrap/>
            <w:vAlign w:val="center"/>
            <w:hideMark/>
          </w:tcPr>
          <w:p w14:paraId="1E16144C" w14:textId="78EC5B9B"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Ministerstvo spravodlivosti</w:t>
            </w:r>
          </w:p>
        </w:tc>
        <w:tc>
          <w:tcPr>
            <w:tcW w:w="624" w:type="pct"/>
            <w:noWrap/>
            <w:vAlign w:val="center"/>
            <w:hideMark/>
          </w:tcPr>
          <w:p w14:paraId="5015763F" w14:textId="77777777"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sk-SK"/>
              </w:rPr>
            </w:pPr>
            <w:r w:rsidRPr="00EE7779">
              <w:rPr>
                <w:rFonts w:eastAsia="Times New Roman" w:cs="Times New Roman"/>
                <w:b/>
                <w:bCs/>
                <w:color w:val="000000"/>
                <w:sz w:val="20"/>
                <w:lang w:eastAsia="sk-SK"/>
              </w:rPr>
              <w:t>ÚPSVR</w:t>
            </w:r>
          </w:p>
        </w:tc>
        <w:tc>
          <w:tcPr>
            <w:tcW w:w="1881" w:type="pct"/>
            <w:noWrap/>
            <w:vAlign w:val="center"/>
            <w:hideMark/>
          </w:tcPr>
          <w:p w14:paraId="62662DC8" w14:textId="77777777"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Ústredie práce, sociálnych vecí a rodiny</w:t>
            </w:r>
          </w:p>
        </w:tc>
      </w:tr>
      <w:tr w:rsidR="00AD40C0" w:rsidRPr="00EE7779" w14:paraId="41B1EE4A" w14:textId="77777777" w:rsidTr="00AD40C0">
        <w:trPr>
          <w:trHeight w:val="255"/>
        </w:trPr>
        <w:tc>
          <w:tcPr>
            <w:cnfStyle w:val="001000000000" w:firstRow="0" w:lastRow="0" w:firstColumn="1" w:lastColumn="0" w:oddVBand="0" w:evenVBand="0" w:oddHBand="0" w:evenHBand="0" w:firstRowFirstColumn="0" w:firstRowLastColumn="0" w:lastRowFirstColumn="0" w:lastRowLastColumn="0"/>
            <w:tcW w:w="546" w:type="pct"/>
            <w:noWrap/>
            <w:vAlign w:val="center"/>
            <w:hideMark/>
          </w:tcPr>
          <w:p w14:paraId="1C743478" w14:textId="2BD92D3C" w:rsidR="00AD40C0" w:rsidRPr="00EE7779" w:rsidRDefault="00AD40C0" w:rsidP="00EE7779">
            <w:pPr>
              <w:spacing w:after="0"/>
              <w:jc w:val="left"/>
              <w:rPr>
                <w:rFonts w:eastAsia="Times New Roman" w:cs="Times New Roman"/>
                <w:color w:val="000000"/>
                <w:sz w:val="20"/>
                <w:lang w:eastAsia="sk-SK"/>
              </w:rPr>
            </w:pPr>
            <w:r w:rsidRPr="00EE7779">
              <w:rPr>
                <w:rFonts w:eastAsia="Times New Roman" w:cs="Times New Roman"/>
                <w:color w:val="000000"/>
                <w:sz w:val="20"/>
                <w:lang w:eastAsia="sk-SK"/>
              </w:rPr>
              <w:t>MŠ</w:t>
            </w:r>
          </w:p>
        </w:tc>
        <w:tc>
          <w:tcPr>
            <w:tcW w:w="1949" w:type="pct"/>
            <w:noWrap/>
            <w:vAlign w:val="center"/>
            <w:hideMark/>
          </w:tcPr>
          <w:p w14:paraId="310DB1DE" w14:textId="04B3664C"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Materská škola</w:t>
            </w:r>
          </w:p>
        </w:tc>
        <w:tc>
          <w:tcPr>
            <w:tcW w:w="624" w:type="pct"/>
            <w:noWrap/>
            <w:vAlign w:val="center"/>
            <w:hideMark/>
          </w:tcPr>
          <w:p w14:paraId="756D560E" w14:textId="77777777"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lang w:eastAsia="sk-SK"/>
              </w:rPr>
            </w:pPr>
            <w:r w:rsidRPr="00EE7779">
              <w:rPr>
                <w:rFonts w:eastAsia="Times New Roman" w:cs="Times New Roman"/>
                <w:b/>
                <w:bCs/>
                <w:color w:val="000000"/>
                <w:sz w:val="20"/>
                <w:lang w:eastAsia="sk-SK"/>
              </w:rPr>
              <w:t>ÚSVRK</w:t>
            </w:r>
          </w:p>
        </w:tc>
        <w:tc>
          <w:tcPr>
            <w:tcW w:w="1881" w:type="pct"/>
            <w:noWrap/>
            <w:vAlign w:val="center"/>
            <w:hideMark/>
          </w:tcPr>
          <w:p w14:paraId="7E8B5111" w14:textId="77777777"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Úrad splnomocnenca vlády pre rómske komunity</w:t>
            </w:r>
          </w:p>
        </w:tc>
      </w:tr>
      <w:tr w:rsidR="00AD40C0" w:rsidRPr="00EE7779" w14:paraId="2EB33906" w14:textId="77777777" w:rsidTr="00AD40C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46" w:type="pct"/>
            <w:noWrap/>
            <w:vAlign w:val="center"/>
            <w:hideMark/>
          </w:tcPr>
          <w:p w14:paraId="620F6320" w14:textId="45DED215" w:rsidR="00AD40C0" w:rsidRPr="00EE7779" w:rsidRDefault="00AD40C0" w:rsidP="00EE7779">
            <w:pPr>
              <w:spacing w:after="0"/>
              <w:jc w:val="left"/>
              <w:rPr>
                <w:rFonts w:eastAsia="Times New Roman" w:cs="Times New Roman"/>
                <w:color w:val="000000"/>
                <w:sz w:val="20"/>
                <w:lang w:eastAsia="sk-SK"/>
              </w:rPr>
            </w:pPr>
            <w:r w:rsidRPr="00EE7779">
              <w:rPr>
                <w:rFonts w:eastAsia="Times New Roman" w:cs="Times New Roman"/>
                <w:color w:val="000000"/>
                <w:sz w:val="20"/>
                <w:lang w:eastAsia="sk-SK"/>
              </w:rPr>
              <w:t>MŠVVŠ</w:t>
            </w:r>
          </w:p>
        </w:tc>
        <w:tc>
          <w:tcPr>
            <w:tcW w:w="1949" w:type="pct"/>
            <w:noWrap/>
            <w:vAlign w:val="center"/>
            <w:hideMark/>
          </w:tcPr>
          <w:p w14:paraId="035A9F17" w14:textId="5C3541B6"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Ministerstvo školstva, vedy, výskumu a športu</w:t>
            </w:r>
          </w:p>
        </w:tc>
        <w:tc>
          <w:tcPr>
            <w:tcW w:w="624" w:type="pct"/>
            <w:noWrap/>
            <w:vAlign w:val="center"/>
            <w:hideMark/>
          </w:tcPr>
          <w:p w14:paraId="4695EE60" w14:textId="77777777"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sk-SK"/>
              </w:rPr>
            </w:pPr>
            <w:r w:rsidRPr="00EE7779">
              <w:rPr>
                <w:rFonts w:eastAsia="Times New Roman" w:cs="Times New Roman"/>
                <w:b/>
                <w:bCs/>
                <w:color w:val="000000"/>
                <w:sz w:val="20"/>
                <w:lang w:eastAsia="sk-SK"/>
              </w:rPr>
              <w:t>VEGA</w:t>
            </w:r>
          </w:p>
        </w:tc>
        <w:tc>
          <w:tcPr>
            <w:tcW w:w="1881" w:type="pct"/>
            <w:noWrap/>
            <w:vAlign w:val="center"/>
            <w:hideMark/>
          </w:tcPr>
          <w:p w14:paraId="00E6BB7C" w14:textId="77777777"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Vedecká grantová agentúra</w:t>
            </w:r>
          </w:p>
        </w:tc>
      </w:tr>
      <w:tr w:rsidR="00AD40C0" w:rsidRPr="00EE7779" w14:paraId="5B61853F" w14:textId="77777777" w:rsidTr="00AD40C0">
        <w:trPr>
          <w:trHeight w:val="255"/>
        </w:trPr>
        <w:tc>
          <w:tcPr>
            <w:cnfStyle w:val="001000000000" w:firstRow="0" w:lastRow="0" w:firstColumn="1" w:lastColumn="0" w:oddVBand="0" w:evenVBand="0" w:oddHBand="0" w:evenHBand="0" w:firstRowFirstColumn="0" w:firstRowLastColumn="0" w:lastRowFirstColumn="0" w:lastRowLastColumn="0"/>
            <w:tcW w:w="546" w:type="pct"/>
            <w:noWrap/>
            <w:vAlign w:val="center"/>
            <w:hideMark/>
          </w:tcPr>
          <w:p w14:paraId="2C9F5EC5" w14:textId="248A84E6" w:rsidR="00AD40C0" w:rsidRPr="00EE7779" w:rsidRDefault="00AD40C0" w:rsidP="00EE7779">
            <w:pPr>
              <w:spacing w:after="0"/>
              <w:jc w:val="left"/>
              <w:rPr>
                <w:rFonts w:eastAsia="Times New Roman" w:cs="Times New Roman"/>
                <w:color w:val="000000"/>
                <w:sz w:val="20"/>
                <w:lang w:eastAsia="sk-SK"/>
              </w:rPr>
            </w:pPr>
            <w:r w:rsidRPr="00EE7779">
              <w:rPr>
                <w:rFonts w:eastAsia="Times New Roman" w:cs="Times New Roman"/>
                <w:color w:val="000000"/>
                <w:sz w:val="20"/>
                <w:lang w:eastAsia="sk-SK"/>
              </w:rPr>
              <w:t>MV</w:t>
            </w:r>
          </w:p>
        </w:tc>
        <w:tc>
          <w:tcPr>
            <w:tcW w:w="1949" w:type="pct"/>
            <w:noWrap/>
            <w:vAlign w:val="center"/>
            <w:hideMark/>
          </w:tcPr>
          <w:p w14:paraId="79036465" w14:textId="70DBA420"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Ministerstvo vnútra</w:t>
            </w:r>
          </w:p>
        </w:tc>
        <w:tc>
          <w:tcPr>
            <w:tcW w:w="624" w:type="pct"/>
            <w:noWrap/>
            <w:vAlign w:val="center"/>
            <w:hideMark/>
          </w:tcPr>
          <w:p w14:paraId="122F816D" w14:textId="77777777"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lang w:eastAsia="sk-SK"/>
              </w:rPr>
            </w:pPr>
            <w:r w:rsidRPr="00EE7779">
              <w:rPr>
                <w:rFonts w:eastAsia="Times New Roman" w:cs="Times New Roman"/>
                <w:b/>
                <w:bCs/>
                <w:color w:val="000000"/>
                <w:sz w:val="20"/>
                <w:lang w:eastAsia="sk-SK"/>
              </w:rPr>
              <w:t>VŠ</w:t>
            </w:r>
          </w:p>
        </w:tc>
        <w:tc>
          <w:tcPr>
            <w:tcW w:w="1881" w:type="pct"/>
            <w:noWrap/>
            <w:vAlign w:val="center"/>
            <w:hideMark/>
          </w:tcPr>
          <w:p w14:paraId="4384DEBB" w14:textId="77777777"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Vysoká škola</w:t>
            </w:r>
          </w:p>
        </w:tc>
      </w:tr>
      <w:tr w:rsidR="00AD40C0" w:rsidRPr="00EE7779" w14:paraId="4CAA60F7" w14:textId="77777777" w:rsidTr="00AD40C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46" w:type="pct"/>
            <w:noWrap/>
            <w:vAlign w:val="center"/>
            <w:hideMark/>
          </w:tcPr>
          <w:p w14:paraId="4741AF82" w14:textId="30B28ECA" w:rsidR="00AD40C0" w:rsidRPr="00EE7779" w:rsidRDefault="00AD40C0" w:rsidP="00EE7779">
            <w:pPr>
              <w:spacing w:after="0"/>
              <w:jc w:val="left"/>
              <w:rPr>
                <w:rFonts w:eastAsia="Times New Roman" w:cs="Times New Roman"/>
                <w:color w:val="000000"/>
                <w:sz w:val="20"/>
                <w:lang w:eastAsia="sk-SK"/>
              </w:rPr>
            </w:pPr>
            <w:r w:rsidRPr="00EE7779">
              <w:rPr>
                <w:rFonts w:eastAsia="Times New Roman" w:cs="Times New Roman"/>
                <w:color w:val="000000"/>
                <w:sz w:val="20"/>
                <w:lang w:eastAsia="sk-SK"/>
              </w:rPr>
              <w:t>MZ</w:t>
            </w:r>
          </w:p>
        </w:tc>
        <w:tc>
          <w:tcPr>
            <w:tcW w:w="1949" w:type="pct"/>
            <w:noWrap/>
            <w:vAlign w:val="center"/>
            <w:hideMark/>
          </w:tcPr>
          <w:p w14:paraId="3DF6DE1A" w14:textId="5CDAB17F"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Ministerstvo zdravotníctva</w:t>
            </w:r>
          </w:p>
        </w:tc>
        <w:tc>
          <w:tcPr>
            <w:tcW w:w="624" w:type="pct"/>
            <w:noWrap/>
            <w:vAlign w:val="center"/>
            <w:hideMark/>
          </w:tcPr>
          <w:p w14:paraId="42B3570C" w14:textId="77777777"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sk-SK"/>
              </w:rPr>
            </w:pPr>
            <w:r w:rsidRPr="00EE7779">
              <w:rPr>
                <w:rFonts w:eastAsia="Times New Roman" w:cs="Times New Roman"/>
                <w:b/>
                <w:bCs/>
                <w:color w:val="000000"/>
                <w:sz w:val="20"/>
                <w:lang w:eastAsia="sk-SK"/>
              </w:rPr>
              <w:t>VÚC</w:t>
            </w:r>
          </w:p>
        </w:tc>
        <w:tc>
          <w:tcPr>
            <w:tcW w:w="1881" w:type="pct"/>
            <w:noWrap/>
            <w:vAlign w:val="center"/>
            <w:hideMark/>
          </w:tcPr>
          <w:p w14:paraId="751F4BC3" w14:textId="77777777"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Vyšší územný celok</w:t>
            </w:r>
          </w:p>
        </w:tc>
      </w:tr>
      <w:tr w:rsidR="00AD40C0" w:rsidRPr="00EE7779" w14:paraId="556A6351" w14:textId="77777777" w:rsidTr="00AD40C0">
        <w:trPr>
          <w:trHeight w:val="255"/>
        </w:trPr>
        <w:tc>
          <w:tcPr>
            <w:cnfStyle w:val="001000000000" w:firstRow="0" w:lastRow="0" w:firstColumn="1" w:lastColumn="0" w:oddVBand="0" w:evenVBand="0" w:oddHBand="0" w:evenHBand="0" w:firstRowFirstColumn="0" w:firstRowLastColumn="0" w:lastRowFirstColumn="0" w:lastRowLastColumn="0"/>
            <w:tcW w:w="546" w:type="pct"/>
            <w:noWrap/>
            <w:vAlign w:val="center"/>
            <w:hideMark/>
          </w:tcPr>
          <w:p w14:paraId="3F56B793" w14:textId="1E2A0C00" w:rsidR="00AD40C0" w:rsidRPr="00EE7779" w:rsidRDefault="00AD40C0" w:rsidP="00EE7779">
            <w:pPr>
              <w:spacing w:after="0"/>
              <w:jc w:val="left"/>
              <w:rPr>
                <w:rFonts w:eastAsia="Times New Roman" w:cs="Times New Roman"/>
                <w:color w:val="000000"/>
                <w:sz w:val="20"/>
                <w:lang w:eastAsia="sk-SK"/>
              </w:rPr>
            </w:pPr>
            <w:r w:rsidRPr="00EE7779">
              <w:rPr>
                <w:rFonts w:eastAsia="Times New Roman" w:cs="Times New Roman"/>
                <w:color w:val="000000"/>
                <w:sz w:val="20"/>
                <w:lang w:eastAsia="sk-SK"/>
              </w:rPr>
              <w:t>N</w:t>
            </w:r>
          </w:p>
        </w:tc>
        <w:tc>
          <w:tcPr>
            <w:tcW w:w="1949" w:type="pct"/>
            <w:noWrap/>
            <w:vAlign w:val="center"/>
            <w:hideMark/>
          </w:tcPr>
          <w:p w14:paraId="7CCD660E" w14:textId="02C8437C"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Návrh (v rámci výdavkov rozpočtu)</w:t>
            </w:r>
          </w:p>
        </w:tc>
        <w:tc>
          <w:tcPr>
            <w:tcW w:w="624" w:type="pct"/>
            <w:noWrap/>
            <w:vAlign w:val="center"/>
            <w:hideMark/>
          </w:tcPr>
          <w:p w14:paraId="6ED11740" w14:textId="77777777"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lang w:eastAsia="sk-SK"/>
              </w:rPr>
            </w:pPr>
            <w:r w:rsidRPr="00EE7779">
              <w:rPr>
                <w:rFonts w:eastAsia="Times New Roman" w:cs="Times New Roman"/>
                <w:b/>
                <w:bCs/>
                <w:color w:val="000000"/>
                <w:sz w:val="20"/>
                <w:lang w:eastAsia="sk-SK"/>
              </w:rPr>
              <w:t>VZN</w:t>
            </w:r>
          </w:p>
        </w:tc>
        <w:tc>
          <w:tcPr>
            <w:tcW w:w="1881" w:type="pct"/>
            <w:noWrap/>
            <w:vAlign w:val="center"/>
            <w:hideMark/>
          </w:tcPr>
          <w:p w14:paraId="6675EF4E" w14:textId="77777777"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Všeobecne záväzné nariadenie</w:t>
            </w:r>
          </w:p>
        </w:tc>
      </w:tr>
      <w:tr w:rsidR="00AD40C0" w:rsidRPr="00EE7779" w14:paraId="6DDF1BE2" w14:textId="77777777" w:rsidTr="00AD40C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46" w:type="pct"/>
            <w:noWrap/>
            <w:vAlign w:val="center"/>
            <w:hideMark/>
          </w:tcPr>
          <w:p w14:paraId="6D710E6A" w14:textId="1D0A6A13" w:rsidR="00AD40C0" w:rsidRPr="00EE7779" w:rsidRDefault="00AD40C0" w:rsidP="00EE7779">
            <w:pPr>
              <w:spacing w:after="0"/>
              <w:jc w:val="left"/>
              <w:rPr>
                <w:rFonts w:eastAsia="Times New Roman" w:cs="Times New Roman"/>
                <w:color w:val="000000"/>
                <w:sz w:val="20"/>
                <w:lang w:eastAsia="sk-SK"/>
              </w:rPr>
            </w:pPr>
            <w:r w:rsidRPr="00EE7779">
              <w:rPr>
                <w:rFonts w:eastAsia="Times New Roman" w:cs="Times New Roman"/>
                <w:color w:val="000000"/>
                <w:sz w:val="20"/>
                <w:lang w:eastAsia="sk-SK"/>
              </w:rPr>
              <w:t>NDC</w:t>
            </w:r>
          </w:p>
        </w:tc>
        <w:tc>
          <w:tcPr>
            <w:tcW w:w="1949" w:type="pct"/>
            <w:noWrap/>
            <w:vAlign w:val="center"/>
            <w:hideMark/>
          </w:tcPr>
          <w:p w14:paraId="2542D93E" w14:textId="565F3E37"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Nízkoprahové denné centrum</w:t>
            </w:r>
          </w:p>
        </w:tc>
        <w:tc>
          <w:tcPr>
            <w:tcW w:w="624" w:type="pct"/>
            <w:noWrap/>
            <w:vAlign w:val="center"/>
            <w:hideMark/>
          </w:tcPr>
          <w:p w14:paraId="1094E62F" w14:textId="77777777"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sk-SK"/>
              </w:rPr>
            </w:pPr>
            <w:r w:rsidRPr="00EE7779">
              <w:rPr>
                <w:rFonts w:eastAsia="Times New Roman" w:cs="Times New Roman"/>
                <w:b/>
                <w:bCs/>
                <w:color w:val="000000"/>
                <w:sz w:val="20"/>
                <w:lang w:eastAsia="sk-SK"/>
              </w:rPr>
              <w:t>VZP</w:t>
            </w:r>
          </w:p>
        </w:tc>
        <w:tc>
          <w:tcPr>
            <w:tcW w:w="1881" w:type="pct"/>
            <w:noWrap/>
            <w:vAlign w:val="center"/>
            <w:hideMark/>
          </w:tcPr>
          <w:p w14:paraId="3B4F5791" w14:textId="77777777"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Verejné zdravotné poistenie</w:t>
            </w:r>
          </w:p>
        </w:tc>
      </w:tr>
      <w:tr w:rsidR="00AD40C0" w:rsidRPr="00EE7779" w14:paraId="32EF68B9" w14:textId="77777777" w:rsidTr="00AD40C0">
        <w:trPr>
          <w:trHeight w:val="255"/>
        </w:trPr>
        <w:tc>
          <w:tcPr>
            <w:cnfStyle w:val="001000000000" w:firstRow="0" w:lastRow="0" w:firstColumn="1" w:lastColumn="0" w:oddVBand="0" w:evenVBand="0" w:oddHBand="0" w:evenHBand="0" w:firstRowFirstColumn="0" w:firstRowLastColumn="0" w:lastRowFirstColumn="0" w:lastRowLastColumn="0"/>
            <w:tcW w:w="546" w:type="pct"/>
            <w:noWrap/>
            <w:vAlign w:val="center"/>
            <w:hideMark/>
          </w:tcPr>
          <w:p w14:paraId="233D8E83" w14:textId="761B1AFA" w:rsidR="00AD40C0" w:rsidRPr="00EE7779" w:rsidRDefault="00AD40C0" w:rsidP="00EE7779">
            <w:pPr>
              <w:spacing w:after="0"/>
              <w:jc w:val="left"/>
              <w:rPr>
                <w:rFonts w:eastAsia="Times New Roman" w:cs="Times New Roman"/>
                <w:color w:val="000000"/>
                <w:sz w:val="20"/>
                <w:lang w:eastAsia="sk-SK"/>
              </w:rPr>
            </w:pPr>
            <w:r w:rsidRPr="00EE7779">
              <w:rPr>
                <w:rFonts w:eastAsia="Times New Roman" w:cs="Times New Roman"/>
                <w:color w:val="000000"/>
                <w:sz w:val="20"/>
                <w:lang w:eastAsia="sk-SK"/>
              </w:rPr>
              <w:t>NKS</w:t>
            </w:r>
          </w:p>
        </w:tc>
        <w:tc>
          <w:tcPr>
            <w:tcW w:w="1949" w:type="pct"/>
            <w:noWrap/>
            <w:vAlign w:val="center"/>
            <w:hideMark/>
          </w:tcPr>
          <w:p w14:paraId="0B90F02A" w14:textId="1B80F435"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Narušená komunikačná schopnosť</w:t>
            </w:r>
          </w:p>
        </w:tc>
        <w:tc>
          <w:tcPr>
            <w:tcW w:w="624" w:type="pct"/>
            <w:noWrap/>
            <w:vAlign w:val="center"/>
            <w:hideMark/>
          </w:tcPr>
          <w:p w14:paraId="525A340D" w14:textId="77777777"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lang w:eastAsia="sk-SK"/>
              </w:rPr>
            </w:pPr>
            <w:r w:rsidRPr="00EE7779">
              <w:rPr>
                <w:rFonts w:eastAsia="Times New Roman" w:cs="Times New Roman"/>
                <w:b/>
                <w:bCs/>
                <w:color w:val="000000"/>
                <w:sz w:val="20"/>
                <w:lang w:eastAsia="sk-SK"/>
              </w:rPr>
              <w:t>ZP</w:t>
            </w:r>
          </w:p>
        </w:tc>
        <w:tc>
          <w:tcPr>
            <w:tcW w:w="1881" w:type="pct"/>
            <w:noWrap/>
            <w:vAlign w:val="center"/>
            <w:hideMark/>
          </w:tcPr>
          <w:p w14:paraId="698BCAC9" w14:textId="77777777"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Zdravotné postihnutie</w:t>
            </w:r>
          </w:p>
        </w:tc>
      </w:tr>
      <w:tr w:rsidR="00AD40C0" w:rsidRPr="00EE7779" w14:paraId="3B1AFC5E" w14:textId="77777777" w:rsidTr="00AD40C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46" w:type="pct"/>
            <w:noWrap/>
            <w:vAlign w:val="center"/>
            <w:hideMark/>
          </w:tcPr>
          <w:p w14:paraId="259143AC" w14:textId="5D4C7E1C" w:rsidR="00AD40C0" w:rsidRPr="00EE7779" w:rsidRDefault="00AD40C0" w:rsidP="00EE7779">
            <w:pPr>
              <w:spacing w:after="0"/>
              <w:jc w:val="left"/>
              <w:rPr>
                <w:rFonts w:eastAsia="Times New Roman" w:cs="Times New Roman"/>
                <w:color w:val="000000"/>
                <w:sz w:val="20"/>
                <w:lang w:eastAsia="sk-SK"/>
              </w:rPr>
            </w:pPr>
            <w:r w:rsidRPr="00EE7779">
              <w:rPr>
                <w:rFonts w:eastAsia="Times New Roman" w:cs="Times New Roman"/>
                <w:color w:val="000000"/>
                <w:sz w:val="20"/>
                <w:lang w:eastAsia="sk-SK"/>
              </w:rPr>
              <w:t>NP</w:t>
            </w:r>
          </w:p>
        </w:tc>
        <w:tc>
          <w:tcPr>
            <w:tcW w:w="1949" w:type="pct"/>
            <w:noWrap/>
            <w:vAlign w:val="center"/>
            <w:hideMark/>
          </w:tcPr>
          <w:p w14:paraId="50DDD561" w14:textId="350FE3C5"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Národný projekt</w:t>
            </w:r>
          </w:p>
        </w:tc>
        <w:tc>
          <w:tcPr>
            <w:tcW w:w="624" w:type="pct"/>
            <w:noWrap/>
            <w:vAlign w:val="center"/>
            <w:hideMark/>
          </w:tcPr>
          <w:p w14:paraId="694FD768" w14:textId="77777777"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sk-SK"/>
              </w:rPr>
            </w:pPr>
            <w:r w:rsidRPr="00EE7779">
              <w:rPr>
                <w:rFonts w:eastAsia="Times New Roman" w:cs="Times New Roman"/>
                <w:b/>
                <w:bCs/>
                <w:color w:val="000000"/>
                <w:sz w:val="20"/>
                <w:lang w:eastAsia="sk-SK"/>
              </w:rPr>
              <w:t>ZRA</w:t>
            </w:r>
          </w:p>
        </w:tc>
        <w:tc>
          <w:tcPr>
            <w:tcW w:w="1881" w:type="pct"/>
            <w:noWrap/>
            <w:vAlign w:val="center"/>
            <w:hideMark/>
          </w:tcPr>
          <w:p w14:paraId="3707A392" w14:textId="77777777"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Zrakové postihnutie</w:t>
            </w:r>
          </w:p>
        </w:tc>
      </w:tr>
      <w:tr w:rsidR="00AD40C0" w:rsidRPr="00EE7779" w14:paraId="7EC9B534" w14:textId="77777777" w:rsidTr="00AD40C0">
        <w:trPr>
          <w:trHeight w:val="255"/>
        </w:trPr>
        <w:tc>
          <w:tcPr>
            <w:cnfStyle w:val="001000000000" w:firstRow="0" w:lastRow="0" w:firstColumn="1" w:lastColumn="0" w:oddVBand="0" w:evenVBand="0" w:oddHBand="0" w:evenHBand="0" w:firstRowFirstColumn="0" w:firstRowLastColumn="0" w:lastRowFirstColumn="0" w:lastRowLastColumn="0"/>
            <w:tcW w:w="546" w:type="pct"/>
            <w:noWrap/>
            <w:vAlign w:val="center"/>
            <w:hideMark/>
          </w:tcPr>
          <w:p w14:paraId="1550844F" w14:textId="03D94EE6" w:rsidR="00AD40C0" w:rsidRPr="00EE7779" w:rsidRDefault="00AD40C0" w:rsidP="00EE7779">
            <w:pPr>
              <w:spacing w:after="0"/>
              <w:jc w:val="left"/>
              <w:rPr>
                <w:rFonts w:eastAsia="Times New Roman" w:cs="Times New Roman"/>
                <w:color w:val="000000"/>
                <w:sz w:val="20"/>
                <w:lang w:eastAsia="sk-SK"/>
              </w:rPr>
            </w:pPr>
            <w:r w:rsidRPr="00EE7779">
              <w:rPr>
                <w:rFonts w:eastAsia="Times New Roman" w:cs="Times New Roman"/>
                <w:color w:val="000000"/>
                <w:sz w:val="20"/>
                <w:lang w:eastAsia="sk-SK"/>
              </w:rPr>
              <w:t>NSSDR</w:t>
            </w:r>
          </w:p>
        </w:tc>
        <w:tc>
          <w:tcPr>
            <w:tcW w:w="1949" w:type="pct"/>
            <w:noWrap/>
            <w:vAlign w:val="center"/>
            <w:hideMark/>
          </w:tcPr>
          <w:p w14:paraId="4CF07C3A" w14:textId="20CCCCD5"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Nízkoprahová sociálna služba pre deti a rodinu</w:t>
            </w:r>
          </w:p>
        </w:tc>
        <w:tc>
          <w:tcPr>
            <w:tcW w:w="624" w:type="pct"/>
            <w:noWrap/>
            <w:vAlign w:val="center"/>
            <w:hideMark/>
          </w:tcPr>
          <w:p w14:paraId="40DA9962" w14:textId="77777777"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lang w:eastAsia="sk-SK"/>
              </w:rPr>
            </w:pPr>
            <w:r w:rsidRPr="00EE7779">
              <w:rPr>
                <w:rFonts w:eastAsia="Times New Roman" w:cs="Times New Roman"/>
                <w:b/>
                <w:bCs/>
                <w:color w:val="000000"/>
                <w:sz w:val="20"/>
                <w:lang w:eastAsia="sk-SK"/>
              </w:rPr>
              <w:t>ZŠ</w:t>
            </w:r>
          </w:p>
        </w:tc>
        <w:tc>
          <w:tcPr>
            <w:tcW w:w="1881" w:type="pct"/>
            <w:noWrap/>
            <w:vAlign w:val="center"/>
            <w:hideMark/>
          </w:tcPr>
          <w:p w14:paraId="1D3B160D" w14:textId="77777777" w:rsidR="00AD40C0" w:rsidRPr="00EE7779" w:rsidRDefault="00AD40C0" w:rsidP="00EE777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Základná škola</w:t>
            </w:r>
          </w:p>
        </w:tc>
      </w:tr>
      <w:tr w:rsidR="00AD40C0" w:rsidRPr="00EE7779" w14:paraId="16421043" w14:textId="77777777" w:rsidTr="00AD40C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46" w:type="pct"/>
            <w:noWrap/>
            <w:vAlign w:val="center"/>
            <w:hideMark/>
          </w:tcPr>
          <w:p w14:paraId="1B398CD8" w14:textId="432ABF1E" w:rsidR="00AD40C0" w:rsidRPr="00EE7779" w:rsidRDefault="00AD40C0" w:rsidP="00EE7779">
            <w:pPr>
              <w:spacing w:after="0"/>
              <w:jc w:val="left"/>
              <w:rPr>
                <w:rFonts w:eastAsia="Times New Roman" w:cs="Times New Roman"/>
                <w:color w:val="000000"/>
                <w:sz w:val="20"/>
                <w:lang w:eastAsia="sk-SK"/>
              </w:rPr>
            </w:pPr>
            <w:r w:rsidRPr="00EE7779">
              <w:rPr>
                <w:rFonts w:eastAsia="Times New Roman" w:cs="Times New Roman"/>
                <w:color w:val="000000"/>
                <w:sz w:val="20"/>
                <w:lang w:eastAsia="sk-SK"/>
              </w:rPr>
              <w:t>OP FEAD</w:t>
            </w:r>
          </w:p>
        </w:tc>
        <w:tc>
          <w:tcPr>
            <w:tcW w:w="1949" w:type="pct"/>
            <w:noWrap/>
            <w:vAlign w:val="center"/>
            <w:hideMark/>
          </w:tcPr>
          <w:p w14:paraId="09DD052D" w14:textId="4DEB6C6C"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Operačný program potravinovej a základnej materiálnej pomoci 2014 – 2020</w:t>
            </w:r>
          </w:p>
        </w:tc>
        <w:tc>
          <w:tcPr>
            <w:tcW w:w="624" w:type="pct"/>
            <w:noWrap/>
            <w:vAlign w:val="center"/>
            <w:hideMark/>
          </w:tcPr>
          <w:p w14:paraId="7F1C467E" w14:textId="77777777"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lang w:eastAsia="sk-SK"/>
              </w:rPr>
            </w:pPr>
            <w:r w:rsidRPr="00EE7779">
              <w:rPr>
                <w:rFonts w:eastAsia="Times New Roman" w:cs="Times New Roman"/>
                <w:b/>
                <w:bCs/>
                <w:color w:val="000000"/>
                <w:sz w:val="20"/>
                <w:lang w:eastAsia="sk-SK"/>
              </w:rPr>
              <w:t>ZZ</w:t>
            </w:r>
          </w:p>
        </w:tc>
        <w:tc>
          <w:tcPr>
            <w:tcW w:w="1881" w:type="pct"/>
            <w:noWrap/>
            <w:vAlign w:val="center"/>
            <w:hideMark/>
          </w:tcPr>
          <w:p w14:paraId="7AC943FC" w14:textId="77777777" w:rsidR="00AD40C0" w:rsidRPr="00EE7779" w:rsidRDefault="00AD40C0" w:rsidP="00EE777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sk-SK"/>
              </w:rPr>
            </w:pPr>
            <w:r w:rsidRPr="00EE7779">
              <w:rPr>
                <w:rFonts w:eastAsia="Times New Roman" w:cs="Times New Roman"/>
                <w:color w:val="000000"/>
                <w:sz w:val="20"/>
                <w:lang w:eastAsia="sk-SK"/>
              </w:rPr>
              <w:t>Zdravotne znevýhodnený</w:t>
            </w:r>
          </w:p>
        </w:tc>
      </w:tr>
    </w:tbl>
    <w:p w14:paraId="21CE50E9" w14:textId="77777777" w:rsidR="003E38D9" w:rsidRDefault="003E38D9" w:rsidP="00AD2F2A">
      <w:pPr>
        <w:pStyle w:val="Popis"/>
        <w:rPr>
          <w:b/>
          <w:i w:val="0"/>
          <w:color w:val="2E74B5" w:themeColor="accent1" w:themeShade="BF"/>
          <w:sz w:val="22"/>
        </w:rPr>
      </w:pPr>
      <w:bookmarkStart w:id="1869" w:name="_Ref25324078"/>
      <w:bookmarkStart w:id="1870" w:name="_Hlk24490091"/>
    </w:p>
    <w:p w14:paraId="3E1D14EC" w14:textId="43A186E1" w:rsidR="00B721F5" w:rsidRDefault="002B126D" w:rsidP="002B126D">
      <w:pPr>
        <w:pStyle w:val="Popis"/>
        <w:rPr>
          <w:b/>
          <w:i w:val="0"/>
          <w:color w:val="2E74B5" w:themeColor="accent1" w:themeShade="BF"/>
          <w:sz w:val="22"/>
        </w:rPr>
      </w:pPr>
      <w:bookmarkStart w:id="1871" w:name="_Ref34130111"/>
      <w:bookmarkStart w:id="1872" w:name="_Hlk24490207"/>
      <w:r w:rsidRPr="002B126D">
        <w:rPr>
          <w:b/>
          <w:i w:val="0"/>
          <w:color w:val="2E74B5" w:themeColor="accent1" w:themeShade="BF"/>
          <w:sz w:val="22"/>
        </w:rPr>
        <w:t xml:space="preserve">Príloha </w:t>
      </w:r>
      <w:r w:rsidRPr="002B126D">
        <w:rPr>
          <w:b/>
          <w:i w:val="0"/>
          <w:color w:val="2E74B5" w:themeColor="accent1" w:themeShade="BF"/>
          <w:sz w:val="22"/>
        </w:rPr>
        <w:fldChar w:fldCharType="begin"/>
      </w:r>
      <w:r w:rsidRPr="002B126D">
        <w:rPr>
          <w:b/>
          <w:i w:val="0"/>
          <w:color w:val="2E74B5" w:themeColor="accent1" w:themeShade="BF"/>
          <w:sz w:val="22"/>
        </w:rPr>
        <w:instrText xml:space="preserve"> SEQ Príloha \* ARABIC </w:instrText>
      </w:r>
      <w:r w:rsidRPr="002B126D">
        <w:rPr>
          <w:b/>
          <w:i w:val="0"/>
          <w:color w:val="2E74B5" w:themeColor="accent1" w:themeShade="BF"/>
          <w:sz w:val="22"/>
        </w:rPr>
        <w:fldChar w:fldCharType="separate"/>
      </w:r>
      <w:r w:rsidR="00FA29AF">
        <w:rPr>
          <w:b/>
          <w:i w:val="0"/>
          <w:noProof/>
          <w:color w:val="2E74B5" w:themeColor="accent1" w:themeShade="BF"/>
          <w:sz w:val="22"/>
        </w:rPr>
        <w:t>2</w:t>
      </w:r>
      <w:r w:rsidRPr="002B126D">
        <w:rPr>
          <w:b/>
          <w:i w:val="0"/>
          <w:color w:val="2E74B5" w:themeColor="accent1" w:themeShade="BF"/>
          <w:sz w:val="22"/>
        </w:rPr>
        <w:fldChar w:fldCharType="end"/>
      </w:r>
      <w:bookmarkEnd w:id="1871"/>
      <w:r w:rsidR="00B721F5" w:rsidRPr="00DF3709">
        <w:rPr>
          <w:b/>
          <w:i w:val="0"/>
          <w:color w:val="2E74B5" w:themeColor="accent1" w:themeShade="BF"/>
          <w:sz w:val="22"/>
        </w:rPr>
        <w:t>: Výsledky podľa príslušnosti k MRK a</w:t>
      </w:r>
      <w:r w:rsidR="00B721F5">
        <w:rPr>
          <w:b/>
          <w:i w:val="0"/>
          <w:color w:val="2E74B5" w:themeColor="accent1" w:themeShade="BF"/>
          <w:sz w:val="22"/>
        </w:rPr>
        <w:t> </w:t>
      </w:r>
      <w:r w:rsidR="00B721F5" w:rsidRPr="00DF3709">
        <w:rPr>
          <w:b/>
          <w:i w:val="0"/>
          <w:color w:val="2E74B5" w:themeColor="accent1" w:themeShade="BF"/>
          <w:sz w:val="22"/>
        </w:rPr>
        <w:t>pohlavia</w:t>
      </w:r>
    </w:p>
    <w:p w14:paraId="7CB87EDE" w14:textId="77777777" w:rsidR="00B721F5" w:rsidRPr="002229B2" w:rsidRDefault="00B721F5" w:rsidP="00B721F5">
      <w:pPr>
        <w:spacing w:after="0" w:line="240" w:lineRule="auto"/>
        <w:rPr>
          <w:b/>
          <w:sz w:val="20"/>
        </w:rPr>
      </w:pPr>
      <w:r w:rsidRPr="00F340CB">
        <w:rPr>
          <w:b/>
          <w:sz w:val="20"/>
        </w:rPr>
        <w:t xml:space="preserve">Tabuľka P </w:t>
      </w:r>
      <w:r>
        <w:rPr>
          <w:b/>
          <w:sz w:val="20"/>
        </w:rPr>
        <w:fldChar w:fldCharType="begin"/>
      </w:r>
      <w:r>
        <w:rPr>
          <w:b/>
          <w:sz w:val="20"/>
        </w:rPr>
        <w:instrText xml:space="preserve"> SEQ Tabuľka_P \* ARABIC </w:instrText>
      </w:r>
      <w:r>
        <w:rPr>
          <w:b/>
          <w:sz w:val="20"/>
        </w:rPr>
        <w:fldChar w:fldCharType="separate"/>
      </w:r>
      <w:r w:rsidR="00FA29AF">
        <w:rPr>
          <w:b/>
          <w:noProof/>
          <w:sz w:val="20"/>
        </w:rPr>
        <w:t>1</w:t>
      </w:r>
      <w:r>
        <w:rPr>
          <w:b/>
          <w:sz w:val="20"/>
        </w:rPr>
        <w:fldChar w:fldCharType="end"/>
      </w:r>
      <w:r>
        <w:rPr>
          <w:b/>
          <w:sz w:val="20"/>
        </w:rPr>
        <w:t xml:space="preserve">: Výsledky podľa príslušnosti k MRK a pohlavia </w:t>
      </w:r>
    </w:p>
    <w:tbl>
      <w:tblPr>
        <w:tblW w:w="9112" w:type="dxa"/>
        <w:tblLayout w:type="fixed"/>
        <w:tblCellMar>
          <w:left w:w="0" w:type="dxa"/>
          <w:right w:w="0" w:type="dxa"/>
        </w:tblCellMar>
        <w:tblLook w:val="04A0" w:firstRow="1" w:lastRow="0" w:firstColumn="1" w:lastColumn="0" w:noHBand="0" w:noVBand="1"/>
      </w:tblPr>
      <w:tblGrid>
        <w:gridCol w:w="5670"/>
        <w:gridCol w:w="860"/>
        <w:gridCol w:w="861"/>
        <w:gridCol w:w="860"/>
        <w:gridCol w:w="861"/>
      </w:tblGrid>
      <w:tr w:rsidR="00B721F5" w14:paraId="30BB2EE1" w14:textId="77777777" w:rsidTr="003B7808">
        <w:trPr>
          <w:trHeight w:hRule="exact" w:val="284"/>
        </w:trPr>
        <w:tc>
          <w:tcPr>
            <w:tcW w:w="5670" w:type="dxa"/>
            <w:tcBorders>
              <w:top w:val="single" w:sz="4" w:space="0" w:color="auto"/>
              <w:left w:val="nil"/>
              <w:bottom w:val="nil"/>
              <w:right w:val="nil"/>
            </w:tcBorders>
            <w:shd w:val="clear" w:color="000000" w:fill="FFFFFF"/>
            <w:tcMar>
              <w:top w:w="15" w:type="dxa"/>
              <w:left w:w="15" w:type="dxa"/>
              <w:bottom w:w="0" w:type="dxa"/>
              <w:right w:w="15" w:type="dxa"/>
            </w:tcMar>
            <w:vAlign w:val="bottom"/>
            <w:hideMark/>
          </w:tcPr>
          <w:p w14:paraId="4CE80262" w14:textId="77777777" w:rsidR="00B721F5" w:rsidRDefault="00B721F5" w:rsidP="003B7808">
            <w:pPr>
              <w:spacing w:after="0" w:line="240" w:lineRule="auto"/>
              <w:jc w:val="left"/>
              <w:rPr>
                <w:rFonts w:cs="Calibri"/>
                <w:color w:val="000000"/>
                <w:sz w:val="20"/>
              </w:rPr>
            </w:pPr>
          </w:p>
        </w:tc>
        <w:tc>
          <w:tcPr>
            <w:tcW w:w="1721" w:type="dxa"/>
            <w:gridSpan w:val="2"/>
            <w:tcBorders>
              <w:top w:val="single" w:sz="4" w:space="0" w:color="auto"/>
              <w:left w:val="nil"/>
              <w:bottom w:val="nil"/>
              <w:right w:val="nil"/>
            </w:tcBorders>
            <w:shd w:val="clear" w:color="000000" w:fill="FFFFFF"/>
            <w:noWrap/>
            <w:tcMar>
              <w:top w:w="15" w:type="dxa"/>
              <w:left w:w="15" w:type="dxa"/>
              <w:bottom w:w="0" w:type="dxa"/>
              <w:right w:w="15" w:type="dxa"/>
            </w:tcMar>
            <w:vAlign w:val="bottom"/>
            <w:hideMark/>
          </w:tcPr>
          <w:p w14:paraId="7BB04DA1" w14:textId="77777777" w:rsidR="00B721F5" w:rsidRDefault="00B721F5" w:rsidP="003B7808">
            <w:pPr>
              <w:jc w:val="center"/>
              <w:rPr>
                <w:rFonts w:cs="Calibri"/>
                <w:b/>
                <w:bCs/>
                <w:color w:val="000000"/>
                <w:sz w:val="20"/>
              </w:rPr>
            </w:pPr>
            <w:r>
              <w:rPr>
                <w:rFonts w:cs="Calibri"/>
                <w:b/>
                <w:bCs/>
                <w:color w:val="000000"/>
                <w:sz w:val="20"/>
              </w:rPr>
              <w:t>MRK</w:t>
            </w:r>
          </w:p>
        </w:tc>
        <w:tc>
          <w:tcPr>
            <w:tcW w:w="1721" w:type="dxa"/>
            <w:gridSpan w:val="2"/>
            <w:tcBorders>
              <w:top w:val="single" w:sz="4" w:space="0" w:color="auto"/>
              <w:left w:val="nil"/>
              <w:bottom w:val="nil"/>
              <w:right w:val="nil"/>
            </w:tcBorders>
            <w:shd w:val="clear" w:color="000000" w:fill="FFFFFF"/>
            <w:noWrap/>
            <w:tcMar>
              <w:top w:w="15" w:type="dxa"/>
              <w:left w:w="15" w:type="dxa"/>
              <w:bottom w:w="0" w:type="dxa"/>
              <w:right w:w="15" w:type="dxa"/>
            </w:tcMar>
            <w:vAlign w:val="bottom"/>
            <w:hideMark/>
          </w:tcPr>
          <w:p w14:paraId="359F0623" w14:textId="77777777" w:rsidR="00B721F5" w:rsidRDefault="00B721F5" w:rsidP="003B7808">
            <w:pPr>
              <w:jc w:val="center"/>
              <w:rPr>
                <w:rFonts w:cs="Calibri"/>
                <w:b/>
                <w:bCs/>
                <w:color w:val="000000"/>
                <w:sz w:val="20"/>
              </w:rPr>
            </w:pPr>
            <w:r>
              <w:rPr>
                <w:rFonts w:cs="Calibri"/>
                <w:b/>
                <w:bCs/>
                <w:color w:val="000000"/>
                <w:sz w:val="20"/>
              </w:rPr>
              <w:t>mimo MRK</w:t>
            </w:r>
          </w:p>
        </w:tc>
      </w:tr>
      <w:tr w:rsidR="00B721F5" w14:paraId="79991B73" w14:textId="77777777" w:rsidTr="003B7808">
        <w:trPr>
          <w:trHeight w:hRule="exact" w:val="284"/>
        </w:trPr>
        <w:tc>
          <w:tcPr>
            <w:tcW w:w="5670" w:type="dxa"/>
            <w:tcBorders>
              <w:top w:val="nil"/>
              <w:left w:val="nil"/>
              <w:bottom w:val="single" w:sz="4" w:space="0" w:color="auto"/>
              <w:right w:val="nil"/>
            </w:tcBorders>
            <w:shd w:val="clear" w:color="000000" w:fill="FFFFFF"/>
            <w:tcMar>
              <w:top w:w="15" w:type="dxa"/>
              <w:left w:w="15" w:type="dxa"/>
              <w:bottom w:w="0" w:type="dxa"/>
              <w:right w:w="15" w:type="dxa"/>
            </w:tcMar>
            <w:vAlign w:val="bottom"/>
            <w:hideMark/>
          </w:tcPr>
          <w:p w14:paraId="18023021" w14:textId="77777777" w:rsidR="00B721F5" w:rsidRDefault="00B721F5" w:rsidP="003B7808">
            <w:pPr>
              <w:jc w:val="left"/>
              <w:rPr>
                <w:rFonts w:cs="Calibri"/>
                <w:b/>
                <w:bCs/>
                <w:color w:val="000000"/>
                <w:sz w:val="20"/>
              </w:rPr>
            </w:pPr>
            <w:r>
              <w:rPr>
                <w:rFonts w:cs="Calibri"/>
                <w:b/>
                <w:bCs/>
                <w:color w:val="000000"/>
                <w:sz w:val="20"/>
              </w:rPr>
              <w:t> </w:t>
            </w:r>
          </w:p>
        </w:tc>
        <w:tc>
          <w:tcPr>
            <w:tcW w:w="860" w:type="dxa"/>
            <w:tcBorders>
              <w:top w:val="nil"/>
              <w:left w:val="nil"/>
              <w:bottom w:val="single" w:sz="4" w:space="0" w:color="auto"/>
              <w:right w:val="nil"/>
            </w:tcBorders>
            <w:shd w:val="clear" w:color="000000" w:fill="FFFFFF"/>
            <w:noWrap/>
            <w:tcMar>
              <w:top w:w="15" w:type="dxa"/>
              <w:left w:w="15" w:type="dxa"/>
              <w:bottom w:w="0" w:type="dxa"/>
              <w:right w:w="15" w:type="dxa"/>
            </w:tcMar>
            <w:vAlign w:val="bottom"/>
            <w:hideMark/>
          </w:tcPr>
          <w:p w14:paraId="26FD12EB" w14:textId="77777777" w:rsidR="00B721F5" w:rsidRDefault="00B721F5" w:rsidP="003B7808">
            <w:pPr>
              <w:jc w:val="center"/>
              <w:rPr>
                <w:rFonts w:cs="Calibri"/>
                <w:b/>
                <w:bCs/>
                <w:color w:val="000000"/>
                <w:sz w:val="20"/>
              </w:rPr>
            </w:pPr>
            <w:r>
              <w:rPr>
                <w:rFonts w:cs="Calibri"/>
                <w:b/>
                <w:bCs/>
                <w:color w:val="000000"/>
                <w:sz w:val="20"/>
              </w:rPr>
              <w:t>Ženy</w:t>
            </w:r>
          </w:p>
        </w:tc>
        <w:tc>
          <w:tcPr>
            <w:tcW w:w="861" w:type="dxa"/>
            <w:tcBorders>
              <w:top w:val="nil"/>
              <w:left w:val="nil"/>
              <w:bottom w:val="single" w:sz="4" w:space="0" w:color="auto"/>
              <w:right w:val="nil"/>
            </w:tcBorders>
            <w:shd w:val="clear" w:color="000000" w:fill="FFFFFF"/>
            <w:noWrap/>
            <w:tcMar>
              <w:top w:w="15" w:type="dxa"/>
              <w:left w:w="15" w:type="dxa"/>
              <w:bottom w:w="0" w:type="dxa"/>
              <w:right w:w="15" w:type="dxa"/>
            </w:tcMar>
            <w:vAlign w:val="bottom"/>
            <w:hideMark/>
          </w:tcPr>
          <w:p w14:paraId="55CB8C4C" w14:textId="77777777" w:rsidR="00B721F5" w:rsidRDefault="00B721F5" w:rsidP="003B7808">
            <w:pPr>
              <w:jc w:val="center"/>
              <w:rPr>
                <w:rFonts w:cs="Calibri"/>
                <w:b/>
                <w:bCs/>
                <w:color w:val="000000"/>
                <w:sz w:val="20"/>
              </w:rPr>
            </w:pPr>
            <w:r>
              <w:rPr>
                <w:rFonts w:cs="Calibri"/>
                <w:b/>
                <w:bCs/>
                <w:color w:val="000000"/>
                <w:sz w:val="20"/>
              </w:rPr>
              <w:t>Muži</w:t>
            </w:r>
          </w:p>
        </w:tc>
        <w:tc>
          <w:tcPr>
            <w:tcW w:w="860" w:type="dxa"/>
            <w:tcBorders>
              <w:top w:val="nil"/>
              <w:left w:val="nil"/>
              <w:bottom w:val="single" w:sz="4" w:space="0" w:color="auto"/>
              <w:right w:val="nil"/>
            </w:tcBorders>
            <w:shd w:val="clear" w:color="000000" w:fill="FFFFFF"/>
            <w:noWrap/>
            <w:tcMar>
              <w:top w:w="15" w:type="dxa"/>
              <w:left w:w="15" w:type="dxa"/>
              <w:bottom w:w="0" w:type="dxa"/>
              <w:right w:w="15" w:type="dxa"/>
            </w:tcMar>
            <w:vAlign w:val="bottom"/>
            <w:hideMark/>
          </w:tcPr>
          <w:p w14:paraId="7CD23206" w14:textId="77777777" w:rsidR="00B721F5" w:rsidRDefault="00B721F5" w:rsidP="003B7808">
            <w:pPr>
              <w:jc w:val="center"/>
              <w:rPr>
                <w:rFonts w:cs="Calibri"/>
                <w:b/>
                <w:bCs/>
                <w:color w:val="000000"/>
                <w:sz w:val="20"/>
              </w:rPr>
            </w:pPr>
            <w:r>
              <w:rPr>
                <w:rFonts w:cs="Calibri"/>
                <w:b/>
                <w:bCs/>
                <w:color w:val="000000"/>
                <w:sz w:val="20"/>
              </w:rPr>
              <w:t>Ženy</w:t>
            </w:r>
          </w:p>
        </w:tc>
        <w:tc>
          <w:tcPr>
            <w:tcW w:w="861" w:type="dxa"/>
            <w:tcBorders>
              <w:top w:val="nil"/>
              <w:left w:val="nil"/>
              <w:bottom w:val="single" w:sz="4" w:space="0" w:color="auto"/>
              <w:right w:val="nil"/>
            </w:tcBorders>
            <w:shd w:val="clear" w:color="000000" w:fill="FFFFFF"/>
            <w:noWrap/>
            <w:tcMar>
              <w:top w:w="15" w:type="dxa"/>
              <w:left w:w="15" w:type="dxa"/>
              <w:bottom w:w="0" w:type="dxa"/>
              <w:right w:w="15" w:type="dxa"/>
            </w:tcMar>
            <w:vAlign w:val="bottom"/>
            <w:hideMark/>
          </w:tcPr>
          <w:p w14:paraId="26D5F808" w14:textId="77777777" w:rsidR="00B721F5" w:rsidRDefault="00B721F5" w:rsidP="003B7808">
            <w:pPr>
              <w:jc w:val="center"/>
              <w:rPr>
                <w:rFonts w:cs="Calibri"/>
                <w:b/>
                <w:bCs/>
                <w:color w:val="000000"/>
                <w:sz w:val="20"/>
              </w:rPr>
            </w:pPr>
            <w:r>
              <w:rPr>
                <w:rFonts w:cs="Calibri"/>
                <w:b/>
                <w:bCs/>
                <w:color w:val="000000"/>
                <w:sz w:val="20"/>
              </w:rPr>
              <w:t>Muži</w:t>
            </w:r>
          </w:p>
        </w:tc>
      </w:tr>
      <w:tr w:rsidR="00B721F5" w14:paraId="728366EA" w14:textId="77777777" w:rsidTr="003B7808">
        <w:trPr>
          <w:trHeight w:hRule="exact" w:val="284"/>
        </w:trPr>
        <w:tc>
          <w:tcPr>
            <w:tcW w:w="5670" w:type="dxa"/>
            <w:tcBorders>
              <w:top w:val="single" w:sz="4" w:space="0" w:color="auto"/>
              <w:left w:val="nil"/>
              <w:bottom w:val="single" w:sz="4" w:space="0" w:color="auto"/>
              <w:right w:val="nil"/>
            </w:tcBorders>
            <w:shd w:val="clear" w:color="000000" w:fill="FFFFFF"/>
            <w:tcMar>
              <w:top w:w="15" w:type="dxa"/>
              <w:left w:w="15" w:type="dxa"/>
              <w:bottom w:w="0" w:type="dxa"/>
              <w:right w:w="15" w:type="dxa"/>
            </w:tcMar>
            <w:vAlign w:val="bottom"/>
            <w:hideMark/>
          </w:tcPr>
          <w:p w14:paraId="01BF1519" w14:textId="77777777" w:rsidR="00B721F5" w:rsidRDefault="00B721F5" w:rsidP="003B7808">
            <w:pPr>
              <w:jc w:val="left"/>
              <w:rPr>
                <w:rFonts w:cs="Calibri"/>
                <w:b/>
                <w:bCs/>
                <w:color w:val="000000"/>
                <w:sz w:val="20"/>
              </w:rPr>
            </w:pPr>
            <w:r>
              <w:rPr>
                <w:rFonts w:cs="Calibri"/>
                <w:b/>
                <w:bCs/>
                <w:color w:val="000000"/>
                <w:sz w:val="20"/>
              </w:rPr>
              <w:t>Vzdelávanie</w:t>
            </w:r>
          </w:p>
        </w:tc>
        <w:tc>
          <w:tcPr>
            <w:tcW w:w="860" w:type="dxa"/>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bottom"/>
            <w:hideMark/>
          </w:tcPr>
          <w:p w14:paraId="1A991F8D" w14:textId="77777777" w:rsidR="00B721F5" w:rsidRDefault="00B721F5" w:rsidP="003B7808">
            <w:pPr>
              <w:jc w:val="center"/>
              <w:rPr>
                <w:rFonts w:cs="Calibri"/>
                <w:b/>
                <w:bCs/>
                <w:color w:val="000000"/>
                <w:sz w:val="20"/>
              </w:rPr>
            </w:pPr>
            <w:r>
              <w:rPr>
                <w:rFonts w:cs="Calibri"/>
                <w:b/>
                <w:bCs/>
                <w:color w:val="000000"/>
                <w:sz w:val="20"/>
              </w:rPr>
              <w:t> </w:t>
            </w:r>
          </w:p>
        </w:tc>
        <w:tc>
          <w:tcPr>
            <w:tcW w:w="861" w:type="dxa"/>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bottom"/>
            <w:hideMark/>
          </w:tcPr>
          <w:p w14:paraId="7F5C11ED" w14:textId="77777777" w:rsidR="00B721F5" w:rsidRDefault="00B721F5" w:rsidP="003B7808">
            <w:pPr>
              <w:jc w:val="center"/>
              <w:rPr>
                <w:rFonts w:cs="Calibri"/>
                <w:b/>
                <w:bCs/>
                <w:color w:val="000000"/>
                <w:sz w:val="20"/>
              </w:rPr>
            </w:pPr>
            <w:r>
              <w:rPr>
                <w:rFonts w:cs="Calibri"/>
                <w:b/>
                <w:bCs/>
                <w:color w:val="000000"/>
                <w:sz w:val="20"/>
              </w:rPr>
              <w:t> </w:t>
            </w:r>
          </w:p>
        </w:tc>
        <w:tc>
          <w:tcPr>
            <w:tcW w:w="860" w:type="dxa"/>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bottom"/>
            <w:hideMark/>
          </w:tcPr>
          <w:p w14:paraId="0A28C0AA" w14:textId="77777777" w:rsidR="00B721F5" w:rsidRDefault="00B721F5" w:rsidP="003B7808">
            <w:pPr>
              <w:jc w:val="center"/>
              <w:rPr>
                <w:rFonts w:cs="Calibri"/>
                <w:b/>
                <w:bCs/>
                <w:color w:val="000000"/>
                <w:sz w:val="20"/>
              </w:rPr>
            </w:pPr>
            <w:r>
              <w:rPr>
                <w:rFonts w:cs="Calibri"/>
                <w:b/>
                <w:bCs/>
                <w:color w:val="000000"/>
                <w:sz w:val="20"/>
              </w:rPr>
              <w:t> </w:t>
            </w:r>
          </w:p>
        </w:tc>
        <w:tc>
          <w:tcPr>
            <w:tcW w:w="861" w:type="dxa"/>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bottom"/>
            <w:hideMark/>
          </w:tcPr>
          <w:p w14:paraId="5873EE22" w14:textId="77777777" w:rsidR="00B721F5" w:rsidRDefault="00B721F5" w:rsidP="003B7808">
            <w:pPr>
              <w:jc w:val="center"/>
              <w:rPr>
                <w:rFonts w:cs="Calibri"/>
                <w:b/>
                <w:bCs/>
                <w:color w:val="000000"/>
                <w:sz w:val="20"/>
              </w:rPr>
            </w:pPr>
            <w:r>
              <w:rPr>
                <w:rFonts w:cs="Calibri"/>
                <w:b/>
                <w:bCs/>
                <w:color w:val="000000"/>
                <w:sz w:val="20"/>
              </w:rPr>
              <w:t> </w:t>
            </w:r>
          </w:p>
        </w:tc>
      </w:tr>
      <w:tr w:rsidR="00B721F5" w14:paraId="270519C7" w14:textId="77777777" w:rsidTr="003B7808">
        <w:trPr>
          <w:trHeight w:hRule="exact" w:val="284"/>
        </w:trPr>
        <w:tc>
          <w:tcPr>
            <w:tcW w:w="5670" w:type="dxa"/>
            <w:tcBorders>
              <w:top w:val="single" w:sz="4" w:space="0" w:color="auto"/>
              <w:left w:val="nil"/>
              <w:bottom w:val="nil"/>
              <w:right w:val="nil"/>
            </w:tcBorders>
            <w:shd w:val="clear" w:color="000000" w:fill="FFFFFF"/>
            <w:tcMar>
              <w:top w:w="15" w:type="dxa"/>
              <w:left w:w="15" w:type="dxa"/>
              <w:bottom w:w="0" w:type="dxa"/>
              <w:right w:w="15" w:type="dxa"/>
            </w:tcMar>
            <w:vAlign w:val="bottom"/>
            <w:hideMark/>
          </w:tcPr>
          <w:p w14:paraId="361013AC" w14:textId="77777777" w:rsidR="00B721F5" w:rsidRDefault="00B721F5" w:rsidP="003B7808">
            <w:pPr>
              <w:jc w:val="left"/>
              <w:rPr>
                <w:rFonts w:cs="Calibri"/>
                <w:color w:val="000000"/>
                <w:sz w:val="20"/>
              </w:rPr>
            </w:pPr>
            <w:r>
              <w:rPr>
                <w:rFonts w:cs="Calibri"/>
                <w:color w:val="000000"/>
                <w:sz w:val="20"/>
              </w:rPr>
              <w:t>Miera zaškolenosti detí vo veku 3 až 5 rokov v školskom roku 2018/19 (%)</w:t>
            </w:r>
          </w:p>
        </w:tc>
        <w:tc>
          <w:tcPr>
            <w:tcW w:w="860" w:type="dxa"/>
            <w:tcBorders>
              <w:top w:val="single" w:sz="4" w:space="0" w:color="auto"/>
              <w:left w:val="nil"/>
              <w:bottom w:val="nil"/>
              <w:right w:val="nil"/>
            </w:tcBorders>
            <w:shd w:val="clear" w:color="000000" w:fill="FFFFFF"/>
            <w:noWrap/>
            <w:tcMar>
              <w:top w:w="15" w:type="dxa"/>
              <w:left w:w="15" w:type="dxa"/>
              <w:bottom w:w="0" w:type="dxa"/>
              <w:right w:w="15" w:type="dxa"/>
            </w:tcMar>
            <w:vAlign w:val="bottom"/>
            <w:hideMark/>
          </w:tcPr>
          <w:p w14:paraId="21CF8048" w14:textId="77777777" w:rsidR="00B721F5" w:rsidRDefault="00B721F5" w:rsidP="003B7808">
            <w:pPr>
              <w:jc w:val="right"/>
              <w:rPr>
                <w:rFonts w:cs="Calibri"/>
                <w:color w:val="000000"/>
                <w:sz w:val="20"/>
              </w:rPr>
            </w:pPr>
            <w:r>
              <w:rPr>
                <w:rFonts w:cs="Calibri"/>
                <w:color w:val="000000"/>
                <w:sz w:val="20"/>
              </w:rPr>
              <w:t>32,6 </w:t>
            </w:r>
          </w:p>
        </w:tc>
        <w:tc>
          <w:tcPr>
            <w:tcW w:w="861" w:type="dxa"/>
            <w:tcBorders>
              <w:top w:val="single" w:sz="4" w:space="0" w:color="auto"/>
              <w:left w:val="nil"/>
              <w:bottom w:val="nil"/>
              <w:right w:val="nil"/>
            </w:tcBorders>
            <w:shd w:val="clear" w:color="000000" w:fill="FFFFFF"/>
            <w:noWrap/>
            <w:tcMar>
              <w:top w:w="15" w:type="dxa"/>
              <w:left w:w="15" w:type="dxa"/>
              <w:bottom w:w="0" w:type="dxa"/>
              <w:right w:w="15" w:type="dxa"/>
            </w:tcMar>
            <w:vAlign w:val="bottom"/>
            <w:hideMark/>
          </w:tcPr>
          <w:p w14:paraId="307918FB" w14:textId="77777777" w:rsidR="00B721F5" w:rsidRDefault="00B721F5" w:rsidP="003B7808">
            <w:pPr>
              <w:jc w:val="right"/>
              <w:rPr>
                <w:rFonts w:cs="Calibri"/>
                <w:color w:val="000000"/>
                <w:sz w:val="20"/>
              </w:rPr>
            </w:pPr>
            <w:r>
              <w:rPr>
                <w:rFonts w:cs="Calibri"/>
                <w:color w:val="000000"/>
                <w:sz w:val="20"/>
              </w:rPr>
              <w:t>31,2 </w:t>
            </w:r>
          </w:p>
        </w:tc>
        <w:tc>
          <w:tcPr>
            <w:tcW w:w="860" w:type="dxa"/>
            <w:tcBorders>
              <w:top w:val="single" w:sz="4" w:space="0" w:color="auto"/>
              <w:left w:val="nil"/>
              <w:bottom w:val="nil"/>
              <w:right w:val="nil"/>
            </w:tcBorders>
            <w:shd w:val="clear" w:color="000000" w:fill="FFFFFF"/>
            <w:noWrap/>
            <w:tcMar>
              <w:top w:w="15" w:type="dxa"/>
              <w:left w:w="15" w:type="dxa"/>
              <w:bottom w:w="0" w:type="dxa"/>
              <w:right w:w="15" w:type="dxa"/>
            </w:tcMar>
            <w:vAlign w:val="bottom"/>
            <w:hideMark/>
          </w:tcPr>
          <w:p w14:paraId="30C03252" w14:textId="77777777" w:rsidR="00B721F5" w:rsidRDefault="00B721F5" w:rsidP="003B7808">
            <w:pPr>
              <w:jc w:val="right"/>
              <w:rPr>
                <w:rFonts w:cs="Calibri"/>
                <w:color w:val="000000"/>
                <w:sz w:val="20"/>
              </w:rPr>
            </w:pPr>
            <w:r>
              <w:rPr>
                <w:rFonts w:cs="Calibri"/>
                <w:color w:val="000000"/>
                <w:sz w:val="20"/>
              </w:rPr>
              <w:t>80,4 </w:t>
            </w:r>
          </w:p>
        </w:tc>
        <w:tc>
          <w:tcPr>
            <w:tcW w:w="861" w:type="dxa"/>
            <w:tcBorders>
              <w:top w:val="single" w:sz="4" w:space="0" w:color="auto"/>
              <w:left w:val="nil"/>
              <w:bottom w:val="nil"/>
              <w:right w:val="nil"/>
            </w:tcBorders>
            <w:shd w:val="clear" w:color="000000" w:fill="FFFFFF"/>
            <w:noWrap/>
            <w:tcMar>
              <w:top w:w="15" w:type="dxa"/>
              <w:left w:w="15" w:type="dxa"/>
              <w:bottom w:w="0" w:type="dxa"/>
              <w:right w:w="15" w:type="dxa"/>
            </w:tcMar>
            <w:vAlign w:val="bottom"/>
            <w:hideMark/>
          </w:tcPr>
          <w:p w14:paraId="58574529" w14:textId="77777777" w:rsidR="00B721F5" w:rsidRDefault="00B721F5" w:rsidP="003B7808">
            <w:pPr>
              <w:jc w:val="right"/>
              <w:rPr>
                <w:rFonts w:cs="Calibri"/>
                <w:color w:val="000000"/>
                <w:sz w:val="20"/>
              </w:rPr>
            </w:pPr>
            <w:r>
              <w:rPr>
                <w:rFonts w:cs="Calibri"/>
                <w:color w:val="000000"/>
                <w:sz w:val="20"/>
              </w:rPr>
              <w:t>79,8 </w:t>
            </w:r>
          </w:p>
        </w:tc>
      </w:tr>
      <w:tr w:rsidR="00B721F5" w14:paraId="01A2E64E" w14:textId="77777777" w:rsidTr="003B7808">
        <w:trPr>
          <w:trHeight w:hRule="exact" w:val="284"/>
        </w:trPr>
        <w:tc>
          <w:tcPr>
            <w:tcW w:w="5670" w:type="dxa"/>
            <w:tcBorders>
              <w:top w:val="nil"/>
              <w:left w:val="nil"/>
              <w:bottom w:val="nil"/>
              <w:right w:val="nil"/>
            </w:tcBorders>
            <w:shd w:val="clear" w:color="000000" w:fill="FFFFFF"/>
            <w:tcMar>
              <w:top w:w="15" w:type="dxa"/>
              <w:left w:w="15" w:type="dxa"/>
              <w:bottom w:w="0" w:type="dxa"/>
              <w:right w:w="15" w:type="dxa"/>
            </w:tcMar>
            <w:vAlign w:val="bottom"/>
            <w:hideMark/>
          </w:tcPr>
          <w:p w14:paraId="09BA9FA5" w14:textId="77777777" w:rsidR="00B721F5" w:rsidRDefault="00B721F5" w:rsidP="003B7808">
            <w:pPr>
              <w:rPr>
                <w:rFonts w:cs="Calibri"/>
                <w:color w:val="000000"/>
                <w:sz w:val="20"/>
              </w:rPr>
            </w:pPr>
            <w:r>
              <w:rPr>
                <w:rFonts w:cs="Calibri"/>
                <w:color w:val="000000"/>
                <w:sz w:val="20"/>
              </w:rPr>
              <w:t>Podiel 6-ročných žiakov, ktorí sú v 0. ročníku v š.r. 2018/19 (%)</w:t>
            </w:r>
          </w:p>
        </w:tc>
        <w:tc>
          <w:tcPr>
            <w:tcW w:w="860" w:type="dxa"/>
            <w:tcBorders>
              <w:top w:val="nil"/>
              <w:left w:val="nil"/>
              <w:bottom w:val="nil"/>
              <w:right w:val="nil"/>
            </w:tcBorders>
            <w:shd w:val="clear" w:color="000000" w:fill="FFFFFF"/>
            <w:noWrap/>
            <w:tcMar>
              <w:top w:w="15" w:type="dxa"/>
              <w:left w:w="15" w:type="dxa"/>
              <w:bottom w:w="0" w:type="dxa"/>
              <w:right w:w="15" w:type="dxa"/>
            </w:tcMar>
            <w:vAlign w:val="bottom"/>
            <w:hideMark/>
          </w:tcPr>
          <w:p w14:paraId="578B20D5" w14:textId="77777777" w:rsidR="00B721F5" w:rsidRDefault="00B721F5" w:rsidP="003B7808">
            <w:pPr>
              <w:jc w:val="right"/>
              <w:rPr>
                <w:rFonts w:cs="Calibri"/>
                <w:color w:val="000000"/>
                <w:sz w:val="20"/>
              </w:rPr>
            </w:pPr>
            <w:r>
              <w:rPr>
                <w:rFonts w:cs="Calibri"/>
                <w:color w:val="000000"/>
                <w:sz w:val="20"/>
              </w:rPr>
              <w:t>43,0</w:t>
            </w:r>
          </w:p>
        </w:tc>
        <w:tc>
          <w:tcPr>
            <w:tcW w:w="861" w:type="dxa"/>
            <w:tcBorders>
              <w:top w:val="nil"/>
              <w:left w:val="nil"/>
              <w:bottom w:val="nil"/>
              <w:right w:val="nil"/>
            </w:tcBorders>
            <w:shd w:val="clear" w:color="000000" w:fill="FFFFFF"/>
            <w:noWrap/>
            <w:tcMar>
              <w:top w:w="15" w:type="dxa"/>
              <w:left w:w="15" w:type="dxa"/>
              <w:bottom w:w="0" w:type="dxa"/>
              <w:right w:w="15" w:type="dxa"/>
            </w:tcMar>
            <w:vAlign w:val="bottom"/>
            <w:hideMark/>
          </w:tcPr>
          <w:p w14:paraId="0F776572" w14:textId="77777777" w:rsidR="00B721F5" w:rsidRDefault="00B721F5" w:rsidP="003B7808">
            <w:pPr>
              <w:jc w:val="right"/>
              <w:rPr>
                <w:rFonts w:cs="Calibri"/>
                <w:color w:val="000000"/>
                <w:sz w:val="20"/>
              </w:rPr>
            </w:pPr>
            <w:r>
              <w:rPr>
                <w:rFonts w:cs="Calibri"/>
                <w:color w:val="000000"/>
                <w:sz w:val="20"/>
              </w:rPr>
              <w:t>46,6</w:t>
            </w:r>
          </w:p>
        </w:tc>
        <w:tc>
          <w:tcPr>
            <w:tcW w:w="860" w:type="dxa"/>
            <w:tcBorders>
              <w:top w:val="nil"/>
              <w:left w:val="nil"/>
              <w:bottom w:val="nil"/>
              <w:right w:val="nil"/>
            </w:tcBorders>
            <w:shd w:val="clear" w:color="000000" w:fill="FFFFFF"/>
            <w:noWrap/>
            <w:tcMar>
              <w:top w:w="15" w:type="dxa"/>
              <w:left w:w="15" w:type="dxa"/>
              <w:bottom w:w="0" w:type="dxa"/>
              <w:right w:w="15" w:type="dxa"/>
            </w:tcMar>
            <w:vAlign w:val="bottom"/>
            <w:hideMark/>
          </w:tcPr>
          <w:p w14:paraId="727B86A0" w14:textId="77777777" w:rsidR="00B721F5" w:rsidRDefault="00B721F5" w:rsidP="003B7808">
            <w:pPr>
              <w:jc w:val="right"/>
              <w:rPr>
                <w:rFonts w:cs="Calibri"/>
                <w:color w:val="000000"/>
                <w:sz w:val="20"/>
              </w:rPr>
            </w:pPr>
            <w:r>
              <w:rPr>
                <w:rFonts w:cs="Calibri"/>
                <w:color w:val="000000"/>
                <w:sz w:val="20"/>
              </w:rPr>
              <w:t>1,8</w:t>
            </w:r>
          </w:p>
        </w:tc>
        <w:tc>
          <w:tcPr>
            <w:tcW w:w="861" w:type="dxa"/>
            <w:tcBorders>
              <w:top w:val="nil"/>
              <w:left w:val="nil"/>
              <w:bottom w:val="nil"/>
              <w:right w:val="nil"/>
            </w:tcBorders>
            <w:shd w:val="clear" w:color="000000" w:fill="FFFFFF"/>
            <w:noWrap/>
            <w:tcMar>
              <w:top w:w="15" w:type="dxa"/>
              <w:left w:w="15" w:type="dxa"/>
              <w:bottom w:w="0" w:type="dxa"/>
              <w:right w:w="15" w:type="dxa"/>
            </w:tcMar>
            <w:vAlign w:val="bottom"/>
            <w:hideMark/>
          </w:tcPr>
          <w:p w14:paraId="07E89B85" w14:textId="77777777" w:rsidR="00B721F5" w:rsidRDefault="00B721F5" w:rsidP="003B7808">
            <w:pPr>
              <w:jc w:val="right"/>
              <w:rPr>
                <w:rFonts w:cs="Calibri"/>
                <w:color w:val="000000"/>
                <w:sz w:val="20"/>
              </w:rPr>
            </w:pPr>
            <w:r>
              <w:rPr>
                <w:rFonts w:cs="Calibri"/>
                <w:color w:val="000000"/>
                <w:sz w:val="20"/>
              </w:rPr>
              <w:t>2,0</w:t>
            </w:r>
          </w:p>
        </w:tc>
      </w:tr>
      <w:tr w:rsidR="00B721F5" w14:paraId="3F1B558B" w14:textId="77777777" w:rsidTr="003B7808">
        <w:trPr>
          <w:trHeight w:hRule="exact" w:val="284"/>
        </w:trPr>
        <w:tc>
          <w:tcPr>
            <w:tcW w:w="5670" w:type="dxa"/>
            <w:tcBorders>
              <w:top w:val="nil"/>
              <w:left w:val="nil"/>
              <w:bottom w:val="nil"/>
              <w:right w:val="nil"/>
            </w:tcBorders>
            <w:shd w:val="clear" w:color="000000" w:fill="FFFFFF"/>
            <w:tcMar>
              <w:top w:w="15" w:type="dxa"/>
              <w:left w:w="15" w:type="dxa"/>
              <w:bottom w:w="0" w:type="dxa"/>
              <w:right w:w="15" w:type="dxa"/>
            </w:tcMar>
            <w:vAlign w:val="bottom"/>
            <w:hideMark/>
          </w:tcPr>
          <w:p w14:paraId="6169FF86" w14:textId="77777777" w:rsidR="00B721F5" w:rsidRDefault="00B721F5" w:rsidP="003B7808">
            <w:pPr>
              <w:jc w:val="left"/>
              <w:rPr>
                <w:rFonts w:cs="Calibri"/>
                <w:color w:val="000000"/>
                <w:sz w:val="20"/>
              </w:rPr>
            </w:pPr>
            <w:r>
              <w:rPr>
                <w:rFonts w:cs="Calibri"/>
                <w:color w:val="000000"/>
                <w:sz w:val="20"/>
              </w:rPr>
              <w:t>Podiel žiakov, ktorí opakovali ročník v š. r. 2018/19 (%)</w:t>
            </w:r>
          </w:p>
        </w:tc>
        <w:tc>
          <w:tcPr>
            <w:tcW w:w="860" w:type="dxa"/>
            <w:tcBorders>
              <w:top w:val="nil"/>
              <w:left w:val="nil"/>
              <w:bottom w:val="nil"/>
              <w:right w:val="nil"/>
            </w:tcBorders>
            <w:shd w:val="clear" w:color="000000" w:fill="FFFFFF"/>
            <w:noWrap/>
            <w:tcMar>
              <w:top w:w="15" w:type="dxa"/>
              <w:left w:w="15" w:type="dxa"/>
              <w:bottom w:w="0" w:type="dxa"/>
              <w:right w:w="15" w:type="dxa"/>
            </w:tcMar>
            <w:vAlign w:val="bottom"/>
            <w:hideMark/>
          </w:tcPr>
          <w:p w14:paraId="3A7C9292" w14:textId="77777777" w:rsidR="00B721F5" w:rsidRDefault="00B721F5" w:rsidP="003B7808">
            <w:pPr>
              <w:jc w:val="right"/>
              <w:rPr>
                <w:rFonts w:cs="Calibri"/>
                <w:color w:val="000000"/>
                <w:sz w:val="20"/>
              </w:rPr>
            </w:pPr>
            <w:r>
              <w:rPr>
                <w:rFonts w:cs="Calibri"/>
                <w:color w:val="000000"/>
                <w:sz w:val="20"/>
              </w:rPr>
              <w:t>12,8</w:t>
            </w:r>
          </w:p>
        </w:tc>
        <w:tc>
          <w:tcPr>
            <w:tcW w:w="861" w:type="dxa"/>
            <w:tcBorders>
              <w:top w:val="nil"/>
              <w:left w:val="nil"/>
              <w:bottom w:val="nil"/>
              <w:right w:val="nil"/>
            </w:tcBorders>
            <w:shd w:val="clear" w:color="000000" w:fill="FFFFFF"/>
            <w:noWrap/>
            <w:tcMar>
              <w:top w:w="15" w:type="dxa"/>
              <w:left w:w="15" w:type="dxa"/>
              <w:bottom w:w="0" w:type="dxa"/>
              <w:right w:w="15" w:type="dxa"/>
            </w:tcMar>
            <w:vAlign w:val="bottom"/>
            <w:hideMark/>
          </w:tcPr>
          <w:p w14:paraId="580FB6A4" w14:textId="77777777" w:rsidR="00B721F5" w:rsidRDefault="00B721F5" w:rsidP="003B7808">
            <w:pPr>
              <w:jc w:val="right"/>
              <w:rPr>
                <w:rFonts w:cs="Calibri"/>
                <w:color w:val="000000"/>
                <w:sz w:val="20"/>
              </w:rPr>
            </w:pPr>
            <w:r>
              <w:rPr>
                <w:rFonts w:cs="Calibri"/>
                <w:color w:val="000000"/>
                <w:sz w:val="20"/>
              </w:rPr>
              <w:t>14,0</w:t>
            </w:r>
          </w:p>
        </w:tc>
        <w:tc>
          <w:tcPr>
            <w:tcW w:w="860" w:type="dxa"/>
            <w:tcBorders>
              <w:top w:val="nil"/>
              <w:left w:val="nil"/>
              <w:bottom w:val="nil"/>
              <w:right w:val="nil"/>
            </w:tcBorders>
            <w:shd w:val="clear" w:color="000000" w:fill="FFFFFF"/>
            <w:noWrap/>
            <w:tcMar>
              <w:top w:w="15" w:type="dxa"/>
              <w:left w:w="15" w:type="dxa"/>
              <w:bottom w:w="0" w:type="dxa"/>
              <w:right w:w="15" w:type="dxa"/>
            </w:tcMar>
            <w:vAlign w:val="bottom"/>
            <w:hideMark/>
          </w:tcPr>
          <w:p w14:paraId="6DDE95FB" w14:textId="77777777" w:rsidR="00B721F5" w:rsidRDefault="00B721F5" w:rsidP="003B7808">
            <w:pPr>
              <w:jc w:val="right"/>
              <w:rPr>
                <w:rFonts w:cs="Calibri"/>
                <w:color w:val="000000"/>
                <w:sz w:val="20"/>
              </w:rPr>
            </w:pPr>
            <w:r>
              <w:rPr>
                <w:rFonts w:cs="Calibri"/>
                <w:color w:val="000000"/>
                <w:sz w:val="20"/>
              </w:rPr>
              <w:t>1,5</w:t>
            </w:r>
          </w:p>
        </w:tc>
        <w:tc>
          <w:tcPr>
            <w:tcW w:w="861" w:type="dxa"/>
            <w:tcBorders>
              <w:top w:val="nil"/>
              <w:left w:val="nil"/>
              <w:bottom w:val="nil"/>
              <w:right w:val="nil"/>
            </w:tcBorders>
            <w:shd w:val="clear" w:color="000000" w:fill="FFFFFF"/>
            <w:noWrap/>
            <w:tcMar>
              <w:top w:w="15" w:type="dxa"/>
              <w:left w:w="15" w:type="dxa"/>
              <w:bottom w:w="0" w:type="dxa"/>
              <w:right w:w="15" w:type="dxa"/>
            </w:tcMar>
            <w:vAlign w:val="bottom"/>
            <w:hideMark/>
          </w:tcPr>
          <w:p w14:paraId="0F2CA750" w14:textId="77777777" w:rsidR="00B721F5" w:rsidRDefault="00B721F5" w:rsidP="003B7808">
            <w:pPr>
              <w:jc w:val="right"/>
              <w:rPr>
                <w:rFonts w:cs="Calibri"/>
                <w:color w:val="000000"/>
                <w:sz w:val="20"/>
              </w:rPr>
            </w:pPr>
            <w:r>
              <w:rPr>
                <w:rFonts w:cs="Calibri"/>
                <w:color w:val="000000"/>
                <w:sz w:val="20"/>
              </w:rPr>
              <w:t>1,8</w:t>
            </w:r>
          </w:p>
        </w:tc>
      </w:tr>
      <w:tr w:rsidR="00B721F5" w14:paraId="20150C5E" w14:textId="77777777" w:rsidTr="003B7808">
        <w:trPr>
          <w:trHeight w:hRule="exact" w:val="284"/>
        </w:trPr>
        <w:tc>
          <w:tcPr>
            <w:tcW w:w="5670" w:type="dxa"/>
            <w:tcBorders>
              <w:top w:val="nil"/>
              <w:left w:val="nil"/>
              <w:bottom w:val="nil"/>
              <w:right w:val="nil"/>
            </w:tcBorders>
            <w:shd w:val="clear" w:color="000000" w:fill="FFFFFF"/>
            <w:tcMar>
              <w:top w:w="15" w:type="dxa"/>
              <w:left w:w="15" w:type="dxa"/>
              <w:bottom w:w="0" w:type="dxa"/>
              <w:right w:w="15" w:type="dxa"/>
            </w:tcMar>
            <w:vAlign w:val="bottom"/>
          </w:tcPr>
          <w:p w14:paraId="16AD9927" w14:textId="77777777" w:rsidR="00B721F5" w:rsidRDefault="00B721F5" w:rsidP="003B7808">
            <w:pPr>
              <w:jc w:val="left"/>
              <w:rPr>
                <w:rFonts w:cs="Calibri"/>
                <w:color w:val="000000"/>
                <w:sz w:val="20"/>
              </w:rPr>
            </w:pPr>
            <w:r>
              <w:rPr>
                <w:rFonts w:cs="Calibri"/>
                <w:color w:val="000000"/>
                <w:sz w:val="20"/>
              </w:rPr>
              <w:t>Podiel žiakov, ktorí sú v špeciálnom školstve v š. r. 2018/19 (%)</w:t>
            </w:r>
          </w:p>
        </w:tc>
        <w:tc>
          <w:tcPr>
            <w:tcW w:w="860" w:type="dxa"/>
            <w:tcBorders>
              <w:top w:val="nil"/>
              <w:left w:val="nil"/>
              <w:bottom w:val="nil"/>
              <w:right w:val="nil"/>
            </w:tcBorders>
            <w:shd w:val="clear" w:color="000000" w:fill="FFFFFF"/>
            <w:noWrap/>
            <w:tcMar>
              <w:top w:w="15" w:type="dxa"/>
              <w:left w:w="15" w:type="dxa"/>
              <w:bottom w:w="0" w:type="dxa"/>
              <w:right w:w="15" w:type="dxa"/>
            </w:tcMar>
            <w:vAlign w:val="bottom"/>
          </w:tcPr>
          <w:p w14:paraId="1CD936FA" w14:textId="77777777" w:rsidR="00B721F5" w:rsidRDefault="00B721F5" w:rsidP="003B7808">
            <w:pPr>
              <w:jc w:val="right"/>
              <w:rPr>
                <w:rFonts w:cs="Calibri"/>
                <w:color w:val="000000"/>
                <w:sz w:val="20"/>
              </w:rPr>
            </w:pPr>
            <w:r>
              <w:rPr>
                <w:rFonts w:cs="Calibri"/>
                <w:color w:val="000000"/>
                <w:sz w:val="20"/>
              </w:rPr>
              <w:t>18,2</w:t>
            </w:r>
          </w:p>
        </w:tc>
        <w:tc>
          <w:tcPr>
            <w:tcW w:w="861" w:type="dxa"/>
            <w:tcBorders>
              <w:top w:val="nil"/>
              <w:left w:val="nil"/>
              <w:bottom w:val="nil"/>
              <w:right w:val="nil"/>
            </w:tcBorders>
            <w:shd w:val="clear" w:color="000000" w:fill="FFFFFF"/>
            <w:noWrap/>
            <w:tcMar>
              <w:top w:w="15" w:type="dxa"/>
              <w:left w:w="15" w:type="dxa"/>
              <w:bottom w:w="0" w:type="dxa"/>
              <w:right w:w="15" w:type="dxa"/>
            </w:tcMar>
            <w:vAlign w:val="bottom"/>
          </w:tcPr>
          <w:p w14:paraId="541EC513" w14:textId="77777777" w:rsidR="00B721F5" w:rsidRDefault="00B721F5" w:rsidP="003B7808">
            <w:pPr>
              <w:jc w:val="right"/>
              <w:rPr>
                <w:rFonts w:cs="Calibri"/>
                <w:color w:val="000000"/>
                <w:sz w:val="20"/>
              </w:rPr>
            </w:pPr>
            <w:r>
              <w:rPr>
                <w:rFonts w:cs="Calibri"/>
                <w:color w:val="000000"/>
                <w:sz w:val="20"/>
              </w:rPr>
              <w:t>20,2</w:t>
            </w:r>
          </w:p>
        </w:tc>
        <w:tc>
          <w:tcPr>
            <w:tcW w:w="860" w:type="dxa"/>
            <w:tcBorders>
              <w:top w:val="nil"/>
              <w:left w:val="nil"/>
              <w:bottom w:val="nil"/>
              <w:right w:val="nil"/>
            </w:tcBorders>
            <w:shd w:val="clear" w:color="000000" w:fill="FFFFFF"/>
            <w:noWrap/>
            <w:tcMar>
              <w:top w:w="15" w:type="dxa"/>
              <w:left w:w="15" w:type="dxa"/>
              <w:bottom w:w="0" w:type="dxa"/>
              <w:right w:w="15" w:type="dxa"/>
            </w:tcMar>
            <w:vAlign w:val="bottom"/>
          </w:tcPr>
          <w:p w14:paraId="3B7B42D8" w14:textId="77777777" w:rsidR="00B721F5" w:rsidRDefault="00B721F5" w:rsidP="003B7808">
            <w:pPr>
              <w:jc w:val="right"/>
              <w:rPr>
                <w:rFonts w:cs="Calibri"/>
                <w:color w:val="000000"/>
                <w:sz w:val="20"/>
              </w:rPr>
            </w:pPr>
            <w:r>
              <w:rPr>
                <w:rFonts w:cs="Calibri"/>
                <w:color w:val="000000"/>
                <w:sz w:val="20"/>
              </w:rPr>
              <w:t>3,0</w:t>
            </w:r>
          </w:p>
        </w:tc>
        <w:tc>
          <w:tcPr>
            <w:tcW w:w="861" w:type="dxa"/>
            <w:tcBorders>
              <w:top w:val="nil"/>
              <w:left w:val="nil"/>
              <w:bottom w:val="nil"/>
              <w:right w:val="nil"/>
            </w:tcBorders>
            <w:shd w:val="clear" w:color="000000" w:fill="FFFFFF"/>
            <w:noWrap/>
            <w:tcMar>
              <w:top w:w="15" w:type="dxa"/>
              <w:left w:w="15" w:type="dxa"/>
              <w:bottom w:w="0" w:type="dxa"/>
              <w:right w:w="15" w:type="dxa"/>
            </w:tcMar>
            <w:vAlign w:val="bottom"/>
          </w:tcPr>
          <w:p w14:paraId="02C02340" w14:textId="77777777" w:rsidR="00B721F5" w:rsidRDefault="00B721F5" w:rsidP="003B7808">
            <w:pPr>
              <w:jc w:val="right"/>
              <w:rPr>
                <w:rFonts w:cs="Calibri"/>
                <w:color w:val="000000"/>
                <w:sz w:val="20"/>
              </w:rPr>
            </w:pPr>
            <w:r>
              <w:rPr>
                <w:rFonts w:cs="Calibri"/>
                <w:color w:val="000000"/>
                <w:sz w:val="20"/>
              </w:rPr>
              <w:t>4,5</w:t>
            </w:r>
          </w:p>
        </w:tc>
      </w:tr>
      <w:tr w:rsidR="00B721F5" w14:paraId="354E2FA0" w14:textId="77777777" w:rsidTr="003B7808">
        <w:trPr>
          <w:trHeight w:hRule="exact" w:val="567"/>
        </w:trPr>
        <w:tc>
          <w:tcPr>
            <w:tcW w:w="5670" w:type="dxa"/>
            <w:tcBorders>
              <w:top w:val="nil"/>
              <w:left w:val="nil"/>
              <w:bottom w:val="nil"/>
              <w:right w:val="nil"/>
            </w:tcBorders>
            <w:shd w:val="clear" w:color="000000" w:fill="FFFFFF"/>
            <w:tcMar>
              <w:top w:w="15" w:type="dxa"/>
              <w:left w:w="15" w:type="dxa"/>
              <w:bottom w:w="0" w:type="dxa"/>
              <w:right w:w="15" w:type="dxa"/>
            </w:tcMar>
            <w:vAlign w:val="bottom"/>
            <w:hideMark/>
          </w:tcPr>
          <w:p w14:paraId="62883BE1" w14:textId="77777777" w:rsidR="00B721F5" w:rsidRPr="002B2859" w:rsidRDefault="00B721F5" w:rsidP="003B7808">
            <w:pPr>
              <w:jc w:val="left"/>
              <w:rPr>
                <w:rFonts w:cs="Calibri"/>
                <w:color w:val="000000"/>
                <w:sz w:val="20"/>
              </w:rPr>
            </w:pPr>
            <w:r w:rsidRPr="002B2859">
              <w:rPr>
                <w:sz w:val="20"/>
              </w:rPr>
              <w:t>Podiel žiakov s ukončenou PŠD v š. r. 2017/18 nepokračujúcich vo vzdelávaní (%)</w:t>
            </w:r>
          </w:p>
        </w:tc>
        <w:tc>
          <w:tcPr>
            <w:tcW w:w="860" w:type="dxa"/>
            <w:tcBorders>
              <w:top w:val="nil"/>
              <w:left w:val="nil"/>
              <w:bottom w:val="nil"/>
              <w:right w:val="nil"/>
            </w:tcBorders>
            <w:shd w:val="clear" w:color="000000" w:fill="FFFFFF"/>
            <w:noWrap/>
            <w:tcMar>
              <w:top w:w="15" w:type="dxa"/>
              <w:left w:w="15" w:type="dxa"/>
              <w:bottom w:w="0" w:type="dxa"/>
              <w:right w:w="15" w:type="dxa"/>
            </w:tcMar>
            <w:vAlign w:val="bottom"/>
            <w:hideMark/>
          </w:tcPr>
          <w:p w14:paraId="1F6E0D64" w14:textId="77777777" w:rsidR="00B721F5" w:rsidRDefault="00B721F5" w:rsidP="003B7808">
            <w:pPr>
              <w:jc w:val="right"/>
              <w:rPr>
                <w:rFonts w:cs="Calibri"/>
                <w:color w:val="000000"/>
                <w:sz w:val="20"/>
              </w:rPr>
            </w:pPr>
            <w:r>
              <w:rPr>
                <w:rFonts w:cs="Calibri"/>
                <w:color w:val="000000"/>
                <w:sz w:val="20"/>
              </w:rPr>
              <w:t>13,0</w:t>
            </w:r>
          </w:p>
        </w:tc>
        <w:tc>
          <w:tcPr>
            <w:tcW w:w="861" w:type="dxa"/>
            <w:tcBorders>
              <w:top w:val="nil"/>
              <w:left w:val="nil"/>
              <w:bottom w:val="nil"/>
              <w:right w:val="nil"/>
            </w:tcBorders>
            <w:shd w:val="clear" w:color="000000" w:fill="FFFFFF"/>
            <w:noWrap/>
            <w:tcMar>
              <w:top w:w="15" w:type="dxa"/>
              <w:left w:w="15" w:type="dxa"/>
              <w:bottom w:w="0" w:type="dxa"/>
              <w:right w:w="15" w:type="dxa"/>
            </w:tcMar>
            <w:vAlign w:val="bottom"/>
            <w:hideMark/>
          </w:tcPr>
          <w:p w14:paraId="5C048952" w14:textId="77777777" w:rsidR="00B721F5" w:rsidRDefault="00B721F5" w:rsidP="003B7808">
            <w:pPr>
              <w:jc w:val="right"/>
              <w:rPr>
                <w:rFonts w:cs="Calibri"/>
                <w:color w:val="000000"/>
                <w:sz w:val="20"/>
              </w:rPr>
            </w:pPr>
            <w:r>
              <w:rPr>
                <w:rFonts w:cs="Calibri"/>
                <w:color w:val="000000"/>
                <w:sz w:val="20"/>
              </w:rPr>
              <w:t>13,8</w:t>
            </w:r>
          </w:p>
        </w:tc>
        <w:tc>
          <w:tcPr>
            <w:tcW w:w="860" w:type="dxa"/>
            <w:tcBorders>
              <w:top w:val="nil"/>
              <w:left w:val="nil"/>
              <w:bottom w:val="nil"/>
              <w:right w:val="nil"/>
            </w:tcBorders>
            <w:shd w:val="clear" w:color="000000" w:fill="FFFFFF"/>
            <w:noWrap/>
            <w:tcMar>
              <w:top w:w="15" w:type="dxa"/>
              <w:left w:w="15" w:type="dxa"/>
              <w:bottom w:w="0" w:type="dxa"/>
              <w:right w:w="15" w:type="dxa"/>
            </w:tcMar>
            <w:vAlign w:val="bottom"/>
            <w:hideMark/>
          </w:tcPr>
          <w:p w14:paraId="35150062" w14:textId="77777777" w:rsidR="00B721F5" w:rsidRDefault="00B721F5" w:rsidP="003B7808">
            <w:pPr>
              <w:jc w:val="right"/>
              <w:rPr>
                <w:rFonts w:cs="Calibri"/>
                <w:color w:val="000000"/>
                <w:sz w:val="20"/>
              </w:rPr>
            </w:pPr>
            <w:r>
              <w:rPr>
                <w:rFonts w:cs="Calibri"/>
                <w:color w:val="000000"/>
                <w:sz w:val="20"/>
              </w:rPr>
              <w:t>6,1</w:t>
            </w:r>
          </w:p>
        </w:tc>
        <w:tc>
          <w:tcPr>
            <w:tcW w:w="861" w:type="dxa"/>
            <w:tcBorders>
              <w:top w:val="nil"/>
              <w:left w:val="nil"/>
              <w:bottom w:val="nil"/>
              <w:right w:val="nil"/>
            </w:tcBorders>
            <w:shd w:val="clear" w:color="000000" w:fill="FFFFFF"/>
            <w:noWrap/>
            <w:tcMar>
              <w:top w:w="15" w:type="dxa"/>
              <w:left w:w="15" w:type="dxa"/>
              <w:bottom w:w="0" w:type="dxa"/>
              <w:right w:w="15" w:type="dxa"/>
            </w:tcMar>
            <w:vAlign w:val="bottom"/>
            <w:hideMark/>
          </w:tcPr>
          <w:p w14:paraId="01BC712B" w14:textId="77777777" w:rsidR="00B721F5" w:rsidRDefault="00B721F5" w:rsidP="003B7808">
            <w:pPr>
              <w:jc w:val="right"/>
              <w:rPr>
                <w:rFonts w:cs="Calibri"/>
                <w:color w:val="000000"/>
                <w:sz w:val="20"/>
              </w:rPr>
            </w:pPr>
            <w:r>
              <w:rPr>
                <w:rFonts w:cs="Calibri"/>
                <w:color w:val="000000"/>
                <w:sz w:val="20"/>
              </w:rPr>
              <w:t>4,9</w:t>
            </w:r>
          </w:p>
        </w:tc>
      </w:tr>
      <w:tr w:rsidR="00B721F5" w14:paraId="715CBDDE" w14:textId="77777777" w:rsidTr="003B7808">
        <w:trPr>
          <w:trHeight w:hRule="exact" w:val="284"/>
        </w:trPr>
        <w:tc>
          <w:tcPr>
            <w:tcW w:w="5670" w:type="dxa"/>
            <w:tcBorders>
              <w:top w:val="nil"/>
              <w:left w:val="nil"/>
              <w:bottom w:val="nil"/>
              <w:right w:val="nil"/>
            </w:tcBorders>
            <w:shd w:val="clear" w:color="000000" w:fill="FFFFFF"/>
            <w:tcMar>
              <w:top w:w="15" w:type="dxa"/>
              <w:left w:w="15" w:type="dxa"/>
              <w:bottom w:w="0" w:type="dxa"/>
              <w:right w:w="15" w:type="dxa"/>
            </w:tcMar>
            <w:vAlign w:val="bottom"/>
            <w:hideMark/>
          </w:tcPr>
          <w:p w14:paraId="1385DF07" w14:textId="77777777" w:rsidR="00B721F5" w:rsidRDefault="00B721F5" w:rsidP="003B7808">
            <w:pPr>
              <w:jc w:val="left"/>
              <w:rPr>
                <w:rFonts w:cs="Calibri"/>
                <w:color w:val="000000"/>
                <w:sz w:val="20"/>
              </w:rPr>
            </w:pPr>
            <w:r>
              <w:rPr>
                <w:rFonts w:cs="Calibri"/>
                <w:color w:val="000000"/>
                <w:sz w:val="20"/>
              </w:rPr>
              <w:t>Podiel 16-ročných detí vo vzdelávacom systéme v š. r. 2018/19 (%)</w:t>
            </w:r>
          </w:p>
        </w:tc>
        <w:tc>
          <w:tcPr>
            <w:tcW w:w="860" w:type="dxa"/>
            <w:tcBorders>
              <w:top w:val="nil"/>
              <w:left w:val="nil"/>
              <w:bottom w:val="nil"/>
              <w:right w:val="nil"/>
            </w:tcBorders>
            <w:shd w:val="clear" w:color="000000" w:fill="FFFFFF"/>
            <w:noWrap/>
            <w:tcMar>
              <w:top w:w="15" w:type="dxa"/>
              <w:left w:w="15" w:type="dxa"/>
              <w:bottom w:w="0" w:type="dxa"/>
              <w:right w:w="15" w:type="dxa"/>
            </w:tcMar>
            <w:vAlign w:val="bottom"/>
            <w:hideMark/>
          </w:tcPr>
          <w:p w14:paraId="11C9C81E" w14:textId="77777777" w:rsidR="00B721F5" w:rsidRDefault="00B721F5" w:rsidP="003B7808">
            <w:pPr>
              <w:jc w:val="right"/>
              <w:rPr>
                <w:rFonts w:cs="Calibri"/>
                <w:color w:val="000000"/>
                <w:sz w:val="20"/>
              </w:rPr>
            </w:pPr>
            <w:r>
              <w:rPr>
                <w:rFonts w:cs="Calibri"/>
                <w:color w:val="000000"/>
                <w:sz w:val="20"/>
              </w:rPr>
              <w:t>52,1</w:t>
            </w:r>
          </w:p>
        </w:tc>
        <w:tc>
          <w:tcPr>
            <w:tcW w:w="861" w:type="dxa"/>
            <w:tcBorders>
              <w:top w:val="nil"/>
              <w:left w:val="nil"/>
              <w:bottom w:val="nil"/>
              <w:right w:val="nil"/>
            </w:tcBorders>
            <w:shd w:val="clear" w:color="000000" w:fill="FFFFFF"/>
            <w:noWrap/>
            <w:tcMar>
              <w:top w:w="15" w:type="dxa"/>
              <w:left w:w="15" w:type="dxa"/>
              <w:bottom w:w="0" w:type="dxa"/>
              <w:right w:w="15" w:type="dxa"/>
            </w:tcMar>
            <w:vAlign w:val="bottom"/>
            <w:hideMark/>
          </w:tcPr>
          <w:p w14:paraId="050EDFB3" w14:textId="77777777" w:rsidR="00B721F5" w:rsidRDefault="00B721F5" w:rsidP="003B7808">
            <w:pPr>
              <w:jc w:val="right"/>
              <w:rPr>
                <w:rFonts w:cs="Calibri"/>
                <w:color w:val="000000"/>
                <w:sz w:val="20"/>
              </w:rPr>
            </w:pPr>
            <w:r>
              <w:rPr>
                <w:rFonts w:cs="Calibri"/>
                <w:color w:val="000000"/>
                <w:sz w:val="20"/>
              </w:rPr>
              <w:t>50,4</w:t>
            </w:r>
          </w:p>
        </w:tc>
        <w:tc>
          <w:tcPr>
            <w:tcW w:w="860" w:type="dxa"/>
            <w:tcBorders>
              <w:top w:val="nil"/>
              <w:left w:val="nil"/>
              <w:bottom w:val="nil"/>
              <w:right w:val="nil"/>
            </w:tcBorders>
            <w:shd w:val="clear" w:color="000000" w:fill="FFFFFF"/>
            <w:noWrap/>
            <w:tcMar>
              <w:top w:w="15" w:type="dxa"/>
              <w:left w:w="15" w:type="dxa"/>
              <w:bottom w:w="0" w:type="dxa"/>
              <w:right w:w="15" w:type="dxa"/>
            </w:tcMar>
            <w:vAlign w:val="bottom"/>
            <w:hideMark/>
          </w:tcPr>
          <w:p w14:paraId="26A87D5E" w14:textId="77777777" w:rsidR="00B721F5" w:rsidRDefault="00B721F5" w:rsidP="003B7808">
            <w:pPr>
              <w:jc w:val="right"/>
              <w:rPr>
                <w:rFonts w:cs="Calibri"/>
                <w:color w:val="000000"/>
                <w:sz w:val="20"/>
              </w:rPr>
            </w:pPr>
            <w:r>
              <w:rPr>
                <w:rFonts w:cs="Calibri"/>
                <w:color w:val="000000"/>
                <w:sz w:val="20"/>
              </w:rPr>
              <w:t>77,7</w:t>
            </w:r>
          </w:p>
        </w:tc>
        <w:tc>
          <w:tcPr>
            <w:tcW w:w="861" w:type="dxa"/>
            <w:tcBorders>
              <w:top w:val="nil"/>
              <w:left w:val="nil"/>
              <w:bottom w:val="nil"/>
              <w:right w:val="nil"/>
            </w:tcBorders>
            <w:shd w:val="clear" w:color="000000" w:fill="FFFFFF"/>
            <w:noWrap/>
            <w:tcMar>
              <w:top w:w="15" w:type="dxa"/>
              <w:left w:w="15" w:type="dxa"/>
              <w:bottom w:w="0" w:type="dxa"/>
              <w:right w:w="15" w:type="dxa"/>
            </w:tcMar>
            <w:vAlign w:val="bottom"/>
            <w:hideMark/>
          </w:tcPr>
          <w:p w14:paraId="28DE407D" w14:textId="77777777" w:rsidR="00B721F5" w:rsidRDefault="00B721F5" w:rsidP="003B7808">
            <w:pPr>
              <w:jc w:val="right"/>
              <w:rPr>
                <w:rFonts w:cs="Calibri"/>
                <w:color w:val="000000"/>
                <w:sz w:val="20"/>
              </w:rPr>
            </w:pPr>
            <w:r>
              <w:rPr>
                <w:rFonts w:cs="Calibri"/>
                <w:color w:val="000000"/>
                <w:sz w:val="20"/>
              </w:rPr>
              <w:t>79,1</w:t>
            </w:r>
          </w:p>
        </w:tc>
      </w:tr>
      <w:tr w:rsidR="00B721F5" w14:paraId="015F5A0C" w14:textId="77777777" w:rsidTr="003B7808">
        <w:trPr>
          <w:trHeight w:hRule="exact" w:val="567"/>
        </w:trPr>
        <w:tc>
          <w:tcPr>
            <w:tcW w:w="5670" w:type="dxa"/>
            <w:tcBorders>
              <w:top w:val="nil"/>
              <w:left w:val="nil"/>
              <w:bottom w:val="single" w:sz="4" w:space="0" w:color="auto"/>
              <w:right w:val="nil"/>
            </w:tcBorders>
            <w:shd w:val="clear" w:color="000000" w:fill="FFFFFF"/>
            <w:tcMar>
              <w:top w:w="15" w:type="dxa"/>
              <w:left w:w="15" w:type="dxa"/>
              <w:bottom w:w="0" w:type="dxa"/>
              <w:right w:w="15" w:type="dxa"/>
            </w:tcMar>
            <w:vAlign w:val="bottom"/>
            <w:hideMark/>
          </w:tcPr>
          <w:p w14:paraId="0DECF246" w14:textId="77777777" w:rsidR="00B721F5" w:rsidRDefault="00B721F5" w:rsidP="003B7808">
            <w:pPr>
              <w:jc w:val="left"/>
              <w:rPr>
                <w:rFonts w:cs="Calibri"/>
                <w:color w:val="000000"/>
                <w:sz w:val="20"/>
              </w:rPr>
            </w:pPr>
            <w:r>
              <w:rPr>
                <w:rFonts w:cs="Calibri"/>
                <w:color w:val="000000"/>
                <w:sz w:val="20"/>
              </w:rPr>
              <w:t>Podiel 19 až 23-ročných ľudí, ktorí sú alebo v minulosti boli zapísaní na VŠ v SR (%)</w:t>
            </w:r>
          </w:p>
        </w:tc>
        <w:tc>
          <w:tcPr>
            <w:tcW w:w="860" w:type="dxa"/>
            <w:tcBorders>
              <w:top w:val="nil"/>
              <w:left w:val="nil"/>
              <w:bottom w:val="single" w:sz="4" w:space="0" w:color="auto"/>
              <w:right w:val="nil"/>
            </w:tcBorders>
            <w:shd w:val="clear" w:color="000000" w:fill="FFFFFF"/>
            <w:noWrap/>
            <w:tcMar>
              <w:top w:w="15" w:type="dxa"/>
              <w:left w:w="15" w:type="dxa"/>
              <w:bottom w:w="0" w:type="dxa"/>
              <w:right w:w="15" w:type="dxa"/>
            </w:tcMar>
            <w:vAlign w:val="bottom"/>
            <w:hideMark/>
          </w:tcPr>
          <w:p w14:paraId="56172E63" w14:textId="77777777" w:rsidR="00B721F5" w:rsidRDefault="00B721F5" w:rsidP="003B7808">
            <w:pPr>
              <w:jc w:val="right"/>
              <w:rPr>
                <w:rFonts w:cs="Calibri"/>
                <w:color w:val="000000"/>
                <w:sz w:val="20"/>
              </w:rPr>
            </w:pPr>
            <w:r>
              <w:rPr>
                <w:rFonts w:cs="Calibri"/>
                <w:color w:val="000000"/>
                <w:sz w:val="20"/>
              </w:rPr>
              <w:t>8,5</w:t>
            </w:r>
          </w:p>
        </w:tc>
        <w:tc>
          <w:tcPr>
            <w:tcW w:w="861" w:type="dxa"/>
            <w:tcBorders>
              <w:top w:val="nil"/>
              <w:left w:val="nil"/>
              <w:bottom w:val="single" w:sz="4" w:space="0" w:color="auto"/>
              <w:right w:val="nil"/>
            </w:tcBorders>
            <w:shd w:val="clear" w:color="000000" w:fill="FFFFFF"/>
            <w:noWrap/>
            <w:tcMar>
              <w:top w:w="15" w:type="dxa"/>
              <w:left w:w="15" w:type="dxa"/>
              <w:bottom w:w="0" w:type="dxa"/>
              <w:right w:w="15" w:type="dxa"/>
            </w:tcMar>
            <w:vAlign w:val="bottom"/>
            <w:hideMark/>
          </w:tcPr>
          <w:p w14:paraId="525B6654" w14:textId="77777777" w:rsidR="00B721F5" w:rsidRDefault="00B721F5" w:rsidP="003B7808">
            <w:pPr>
              <w:jc w:val="right"/>
              <w:rPr>
                <w:rFonts w:cs="Calibri"/>
                <w:color w:val="000000"/>
                <w:sz w:val="20"/>
              </w:rPr>
            </w:pPr>
            <w:r>
              <w:rPr>
                <w:rFonts w:cs="Calibri"/>
                <w:color w:val="000000"/>
                <w:sz w:val="20"/>
              </w:rPr>
              <w:t>4,9</w:t>
            </w:r>
          </w:p>
        </w:tc>
        <w:tc>
          <w:tcPr>
            <w:tcW w:w="860" w:type="dxa"/>
            <w:tcBorders>
              <w:top w:val="nil"/>
              <w:left w:val="nil"/>
              <w:bottom w:val="single" w:sz="4" w:space="0" w:color="auto"/>
              <w:right w:val="nil"/>
            </w:tcBorders>
            <w:shd w:val="clear" w:color="000000" w:fill="FFFFFF"/>
            <w:noWrap/>
            <w:tcMar>
              <w:top w:w="15" w:type="dxa"/>
              <w:left w:w="15" w:type="dxa"/>
              <w:bottom w:w="0" w:type="dxa"/>
              <w:right w:w="15" w:type="dxa"/>
            </w:tcMar>
            <w:vAlign w:val="bottom"/>
            <w:hideMark/>
          </w:tcPr>
          <w:p w14:paraId="1771809B" w14:textId="77777777" w:rsidR="00B721F5" w:rsidRDefault="00B721F5" w:rsidP="003B7808">
            <w:pPr>
              <w:jc w:val="right"/>
              <w:rPr>
                <w:rFonts w:cs="Calibri"/>
                <w:color w:val="000000"/>
                <w:sz w:val="20"/>
              </w:rPr>
            </w:pPr>
            <w:r>
              <w:rPr>
                <w:rFonts w:cs="Calibri"/>
                <w:color w:val="000000"/>
                <w:sz w:val="20"/>
              </w:rPr>
              <w:t>56,4</w:t>
            </w:r>
          </w:p>
        </w:tc>
        <w:tc>
          <w:tcPr>
            <w:tcW w:w="861" w:type="dxa"/>
            <w:tcBorders>
              <w:top w:val="nil"/>
              <w:left w:val="nil"/>
              <w:bottom w:val="single" w:sz="4" w:space="0" w:color="auto"/>
              <w:right w:val="nil"/>
            </w:tcBorders>
            <w:shd w:val="clear" w:color="000000" w:fill="FFFFFF"/>
            <w:noWrap/>
            <w:tcMar>
              <w:top w:w="15" w:type="dxa"/>
              <w:left w:w="15" w:type="dxa"/>
              <w:bottom w:w="0" w:type="dxa"/>
              <w:right w:w="15" w:type="dxa"/>
            </w:tcMar>
            <w:vAlign w:val="bottom"/>
            <w:hideMark/>
          </w:tcPr>
          <w:p w14:paraId="785F76D9" w14:textId="77777777" w:rsidR="00B721F5" w:rsidRDefault="00B721F5" w:rsidP="003B7808">
            <w:pPr>
              <w:jc w:val="right"/>
              <w:rPr>
                <w:rFonts w:cs="Calibri"/>
                <w:color w:val="000000"/>
                <w:sz w:val="20"/>
              </w:rPr>
            </w:pPr>
            <w:r>
              <w:rPr>
                <w:rFonts w:cs="Calibri"/>
                <w:color w:val="000000"/>
                <w:sz w:val="20"/>
              </w:rPr>
              <w:t>40,0</w:t>
            </w:r>
          </w:p>
        </w:tc>
      </w:tr>
      <w:tr w:rsidR="00B721F5" w14:paraId="7D902384" w14:textId="77777777" w:rsidTr="003B7808">
        <w:trPr>
          <w:trHeight w:hRule="exact" w:val="284"/>
        </w:trPr>
        <w:tc>
          <w:tcPr>
            <w:tcW w:w="5670" w:type="dxa"/>
            <w:tcBorders>
              <w:top w:val="single" w:sz="4" w:space="0" w:color="auto"/>
              <w:left w:val="nil"/>
              <w:bottom w:val="single" w:sz="4" w:space="0" w:color="auto"/>
              <w:right w:val="nil"/>
            </w:tcBorders>
            <w:shd w:val="clear" w:color="000000" w:fill="FFFFFF"/>
            <w:tcMar>
              <w:top w:w="15" w:type="dxa"/>
              <w:left w:w="15" w:type="dxa"/>
              <w:bottom w:w="0" w:type="dxa"/>
              <w:right w:w="15" w:type="dxa"/>
            </w:tcMar>
            <w:vAlign w:val="bottom"/>
            <w:hideMark/>
          </w:tcPr>
          <w:p w14:paraId="420E3189" w14:textId="77777777" w:rsidR="00B721F5" w:rsidRDefault="00B721F5" w:rsidP="003B7808">
            <w:pPr>
              <w:jc w:val="left"/>
              <w:rPr>
                <w:rFonts w:cs="Calibri"/>
                <w:b/>
                <w:bCs/>
                <w:color w:val="000000"/>
                <w:sz w:val="20"/>
              </w:rPr>
            </w:pPr>
            <w:r>
              <w:rPr>
                <w:rFonts w:cs="Calibri"/>
                <w:b/>
                <w:bCs/>
                <w:color w:val="000000"/>
                <w:sz w:val="20"/>
              </w:rPr>
              <w:t>Trh práce</w:t>
            </w:r>
          </w:p>
        </w:tc>
        <w:tc>
          <w:tcPr>
            <w:tcW w:w="860" w:type="dxa"/>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bottom"/>
            <w:hideMark/>
          </w:tcPr>
          <w:p w14:paraId="358F30EF" w14:textId="77777777" w:rsidR="00B721F5" w:rsidRDefault="00B721F5" w:rsidP="003B7808">
            <w:pPr>
              <w:rPr>
                <w:rFonts w:cs="Calibri"/>
                <w:b/>
                <w:bCs/>
                <w:color w:val="000000"/>
                <w:sz w:val="20"/>
              </w:rPr>
            </w:pPr>
            <w:r>
              <w:rPr>
                <w:rFonts w:cs="Calibri"/>
                <w:b/>
                <w:bCs/>
                <w:color w:val="000000"/>
                <w:sz w:val="20"/>
              </w:rPr>
              <w:t> </w:t>
            </w:r>
          </w:p>
        </w:tc>
        <w:tc>
          <w:tcPr>
            <w:tcW w:w="861" w:type="dxa"/>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bottom"/>
            <w:hideMark/>
          </w:tcPr>
          <w:p w14:paraId="51550FCC" w14:textId="77777777" w:rsidR="00B721F5" w:rsidRDefault="00B721F5" w:rsidP="003B7808">
            <w:pPr>
              <w:rPr>
                <w:rFonts w:cs="Calibri"/>
                <w:b/>
                <w:bCs/>
                <w:color w:val="000000"/>
                <w:sz w:val="20"/>
              </w:rPr>
            </w:pPr>
            <w:r>
              <w:rPr>
                <w:rFonts w:cs="Calibri"/>
                <w:b/>
                <w:bCs/>
                <w:color w:val="000000"/>
                <w:sz w:val="20"/>
              </w:rPr>
              <w:t> </w:t>
            </w:r>
          </w:p>
        </w:tc>
        <w:tc>
          <w:tcPr>
            <w:tcW w:w="860" w:type="dxa"/>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bottom"/>
            <w:hideMark/>
          </w:tcPr>
          <w:p w14:paraId="474BF02F" w14:textId="77777777" w:rsidR="00B721F5" w:rsidRDefault="00B721F5" w:rsidP="003B7808">
            <w:pPr>
              <w:rPr>
                <w:rFonts w:cs="Calibri"/>
                <w:b/>
                <w:bCs/>
                <w:color w:val="000000"/>
                <w:sz w:val="20"/>
              </w:rPr>
            </w:pPr>
            <w:r>
              <w:rPr>
                <w:rFonts w:cs="Calibri"/>
                <w:b/>
                <w:bCs/>
                <w:color w:val="000000"/>
                <w:sz w:val="20"/>
              </w:rPr>
              <w:t> </w:t>
            </w:r>
          </w:p>
        </w:tc>
        <w:tc>
          <w:tcPr>
            <w:tcW w:w="861" w:type="dxa"/>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bottom"/>
            <w:hideMark/>
          </w:tcPr>
          <w:p w14:paraId="474A0434" w14:textId="77777777" w:rsidR="00B721F5" w:rsidRDefault="00B721F5" w:rsidP="003B7808">
            <w:pPr>
              <w:rPr>
                <w:rFonts w:cs="Calibri"/>
                <w:b/>
                <w:bCs/>
                <w:color w:val="000000"/>
                <w:sz w:val="20"/>
              </w:rPr>
            </w:pPr>
            <w:r>
              <w:rPr>
                <w:rFonts w:cs="Calibri"/>
                <w:b/>
                <w:bCs/>
                <w:color w:val="000000"/>
                <w:sz w:val="20"/>
              </w:rPr>
              <w:t> </w:t>
            </w:r>
          </w:p>
        </w:tc>
      </w:tr>
      <w:tr w:rsidR="00B721F5" w14:paraId="059EFB46" w14:textId="77777777" w:rsidTr="003B7808">
        <w:trPr>
          <w:trHeight w:hRule="exact" w:val="567"/>
        </w:trPr>
        <w:tc>
          <w:tcPr>
            <w:tcW w:w="5670" w:type="dxa"/>
            <w:tcBorders>
              <w:top w:val="single" w:sz="4" w:space="0" w:color="auto"/>
              <w:left w:val="nil"/>
              <w:bottom w:val="single" w:sz="4" w:space="0" w:color="auto"/>
              <w:right w:val="nil"/>
            </w:tcBorders>
            <w:shd w:val="clear" w:color="000000" w:fill="FFFFFF"/>
            <w:tcMar>
              <w:top w:w="15" w:type="dxa"/>
              <w:left w:w="15" w:type="dxa"/>
              <w:bottom w:w="0" w:type="dxa"/>
              <w:right w:w="15" w:type="dxa"/>
            </w:tcMar>
            <w:vAlign w:val="bottom"/>
            <w:hideMark/>
          </w:tcPr>
          <w:p w14:paraId="1DAF7CFC" w14:textId="77777777" w:rsidR="00B721F5" w:rsidRDefault="00B721F5" w:rsidP="003B7808">
            <w:pPr>
              <w:rPr>
                <w:rFonts w:cs="Calibri"/>
                <w:color w:val="000000"/>
                <w:sz w:val="20"/>
              </w:rPr>
            </w:pPr>
            <w:r>
              <w:rPr>
                <w:rFonts w:cs="Calibri"/>
                <w:color w:val="000000"/>
                <w:sz w:val="20"/>
              </w:rPr>
              <w:t>Účasť UoZ na vybratých nástrojoch AOTP okrem aktivačných prác v roku 2017 (%)</w:t>
            </w:r>
          </w:p>
        </w:tc>
        <w:tc>
          <w:tcPr>
            <w:tcW w:w="860" w:type="dxa"/>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bottom"/>
            <w:hideMark/>
          </w:tcPr>
          <w:p w14:paraId="705A971A" w14:textId="77777777" w:rsidR="00B721F5" w:rsidRDefault="00B721F5" w:rsidP="003B7808">
            <w:pPr>
              <w:jc w:val="right"/>
              <w:rPr>
                <w:rFonts w:cs="Calibri"/>
                <w:color w:val="000000"/>
                <w:sz w:val="20"/>
              </w:rPr>
            </w:pPr>
            <w:r>
              <w:rPr>
                <w:rFonts w:cs="Calibri"/>
                <w:color w:val="000000"/>
                <w:sz w:val="20"/>
              </w:rPr>
              <w:t>9,2</w:t>
            </w:r>
          </w:p>
        </w:tc>
        <w:tc>
          <w:tcPr>
            <w:tcW w:w="861" w:type="dxa"/>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bottom"/>
            <w:hideMark/>
          </w:tcPr>
          <w:p w14:paraId="5E63AC31" w14:textId="77777777" w:rsidR="00B721F5" w:rsidRDefault="00B721F5" w:rsidP="003B7808">
            <w:pPr>
              <w:jc w:val="right"/>
              <w:rPr>
                <w:rFonts w:cs="Calibri"/>
                <w:color w:val="000000"/>
                <w:sz w:val="20"/>
              </w:rPr>
            </w:pPr>
            <w:r>
              <w:rPr>
                <w:rFonts w:cs="Calibri"/>
                <w:color w:val="000000"/>
                <w:sz w:val="20"/>
              </w:rPr>
              <w:t>13,0</w:t>
            </w:r>
          </w:p>
        </w:tc>
        <w:tc>
          <w:tcPr>
            <w:tcW w:w="860" w:type="dxa"/>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bottom"/>
            <w:hideMark/>
          </w:tcPr>
          <w:p w14:paraId="30D1B56F" w14:textId="77777777" w:rsidR="00B721F5" w:rsidRDefault="00B721F5" w:rsidP="003B7808">
            <w:pPr>
              <w:jc w:val="right"/>
              <w:rPr>
                <w:rFonts w:cs="Calibri"/>
                <w:color w:val="000000"/>
                <w:sz w:val="20"/>
              </w:rPr>
            </w:pPr>
            <w:r>
              <w:rPr>
                <w:rFonts w:cs="Calibri"/>
                <w:color w:val="000000"/>
                <w:sz w:val="20"/>
              </w:rPr>
              <w:t>23,6</w:t>
            </w:r>
          </w:p>
        </w:tc>
        <w:tc>
          <w:tcPr>
            <w:tcW w:w="861" w:type="dxa"/>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bottom"/>
            <w:hideMark/>
          </w:tcPr>
          <w:p w14:paraId="782A30CC" w14:textId="77777777" w:rsidR="00B721F5" w:rsidRDefault="00B721F5" w:rsidP="003B7808">
            <w:pPr>
              <w:jc w:val="right"/>
              <w:rPr>
                <w:rFonts w:cs="Calibri"/>
                <w:color w:val="000000"/>
                <w:sz w:val="20"/>
              </w:rPr>
            </w:pPr>
            <w:r>
              <w:rPr>
                <w:rFonts w:cs="Calibri"/>
                <w:color w:val="000000"/>
                <w:sz w:val="20"/>
              </w:rPr>
              <w:t>21,1</w:t>
            </w:r>
          </w:p>
        </w:tc>
      </w:tr>
      <w:tr w:rsidR="00B721F5" w14:paraId="62D96056" w14:textId="77777777" w:rsidTr="003B7808">
        <w:trPr>
          <w:trHeight w:hRule="exact" w:val="284"/>
        </w:trPr>
        <w:tc>
          <w:tcPr>
            <w:tcW w:w="5670" w:type="dxa"/>
            <w:tcBorders>
              <w:top w:val="single" w:sz="4" w:space="0" w:color="auto"/>
              <w:left w:val="nil"/>
              <w:bottom w:val="single" w:sz="4" w:space="0" w:color="auto"/>
              <w:right w:val="nil"/>
            </w:tcBorders>
            <w:shd w:val="clear" w:color="000000" w:fill="FFFFFF"/>
            <w:tcMar>
              <w:top w:w="15" w:type="dxa"/>
              <w:left w:w="15" w:type="dxa"/>
              <w:bottom w:w="0" w:type="dxa"/>
              <w:right w:w="15" w:type="dxa"/>
            </w:tcMar>
            <w:vAlign w:val="bottom"/>
            <w:hideMark/>
          </w:tcPr>
          <w:p w14:paraId="3F1A54F7" w14:textId="77777777" w:rsidR="00B721F5" w:rsidRDefault="00B721F5" w:rsidP="003B7808">
            <w:pPr>
              <w:jc w:val="left"/>
              <w:rPr>
                <w:rFonts w:cs="Calibri"/>
                <w:b/>
                <w:bCs/>
                <w:color w:val="000000"/>
                <w:sz w:val="20"/>
              </w:rPr>
            </w:pPr>
            <w:r>
              <w:rPr>
                <w:rFonts w:cs="Calibri"/>
                <w:b/>
                <w:bCs/>
                <w:color w:val="000000"/>
                <w:sz w:val="20"/>
              </w:rPr>
              <w:t>Zdravie</w:t>
            </w:r>
          </w:p>
        </w:tc>
        <w:tc>
          <w:tcPr>
            <w:tcW w:w="860" w:type="dxa"/>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bottom"/>
            <w:hideMark/>
          </w:tcPr>
          <w:p w14:paraId="703A6BD5" w14:textId="77777777" w:rsidR="00B721F5" w:rsidRDefault="00B721F5" w:rsidP="003B7808">
            <w:pPr>
              <w:rPr>
                <w:rFonts w:cs="Calibri"/>
                <w:b/>
                <w:bCs/>
                <w:color w:val="000000"/>
                <w:sz w:val="20"/>
              </w:rPr>
            </w:pPr>
            <w:r>
              <w:rPr>
                <w:rFonts w:cs="Calibri"/>
                <w:b/>
                <w:bCs/>
                <w:color w:val="000000"/>
                <w:sz w:val="20"/>
              </w:rPr>
              <w:t> </w:t>
            </w:r>
          </w:p>
        </w:tc>
        <w:tc>
          <w:tcPr>
            <w:tcW w:w="861" w:type="dxa"/>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bottom"/>
            <w:hideMark/>
          </w:tcPr>
          <w:p w14:paraId="0C47BDFF" w14:textId="77777777" w:rsidR="00B721F5" w:rsidRDefault="00B721F5" w:rsidP="003B7808">
            <w:pPr>
              <w:rPr>
                <w:rFonts w:cs="Calibri"/>
                <w:b/>
                <w:bCs/>
                <w:color w:val="000000"/>
                <w:sz w:val="20"/>
              </w:rPr>
            </w:pPr>
            <w:r>
              <w:rPr>
                <w:rFonts w:cs="Calibri"/>
                <w:b/>
                <w:bCs/>
                <w:color w:val="000000"/>
                <w:sz w:val="20"/>
              </w:rPr>
              <w:t> </w:t>
            </w:r>
          </w:p>
        </w:tc>
        <w:tc>
          <w:tcPr>
            <w:tcW w:w="860" w:type="dxa"/>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bottom"/>
            <w:hideMark/>
          </w:tcPr>
          <w:p w14:paraId="37509D9A" w14:textId="77777777" w:rsidR="00B721F5" w:rsidRDefault="00B721F5" w:rsidP="003B7808">
            <w:pPr>
              <w:rPr>
                <w:rFonts w:cs="Calibri"/>
                <w:b/>
                <w:bCs/>
                <w:color w:val="000000"/>
                <w:sz w:val="20"/>
              </w:rPr>
            </w:pPr>
            <w:r>
              <w:rPr>
                <w:rFonts w:cs="Calibri"/>
                <w:b/>
                <w:bCs/>
                <w:color w:val="000000"/>
                <w:sz w:val="20"/>
              </w:rPr>
              <w:t> </w:t>
            </w:r>
          </w:p>
        </w:tc>
        <w:tc>
          <w:tcPr>
            <w:tcW w:w="861" w:type="dxa"/>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bottom"/>
            <w:hideMark/>
          </w:tcPr>
          <w:p w14:paraId="2ABAFF1A" w14:textId="77777777" w:rsidR="00B721F5" w:rsidRDefault="00B721F5" w:rsidP="003B7808">
            <w:pPr>
              <w:rPr>
                <w:rFonts w:cs="Calibri"/>
                <w:b/>
                <w:bCs/>
                <w:color w:val="000000"/>
                <w:sz w:val="20"/>
              </w:rPr>
            </w:pPr>
            <w:r>
              <w:rPr>
                <w:rFonts w:cs="Calibri"/>
                <w:b/>
                <w:bCs/>
                <w:color w:val="000000"/>
                <w:sz w:val="20"/>
              </w:rPr>
              <w:t> </w:t>
            </w:r>
          </w:p>
        </w:tc>
      </w:tr>
      <w:tr w:rsidR="00B721F5" w14:paraId="631898B1" w14:textId="77777777" w:rsidTr="003B7808">
        <w:trPr>
          <w:trHeight w:hRule="exact" w:val="567"/>
        </w:trPr>
        <w:tc>
          <w:tcPr>
            <w:tcW w:w="5670" w:type="dxa"/>
            <w:tcBorders>
              <w:top w:val="nil"/>
              <w:left w:val="nil"/>
              <w:bottom w:val="single" w:sz="4" w:space="0" w:color="auto"/>
              <w:right w:val="nil"/>
            </w:tcBorders>
            <w:shd w:val="clear" w:color="000000" w:fill="FFFFFF"/>
            <w:tcMar>
              <w:top w:w="15" w:type="dxa"/>
              <w:left w:w="15" w:type="dxa"/>
              <w:bottom w:w="0" w:type="dxa"/>
              <w:right w:w="15" w:type="dxa"/>
            </w:tcMar>
            <w:vAlign w:val="bottom"/>
            <w:hideMark/>
          </w:tcPr>
          <w:p w14:paraId="479AD4CD" w14:textId="77777777" w:rsidR="00B721F5" w:rsidRDefault="00B721F5" w:rsidP="003B7808">
            <w:pPr>
              <w:rPr>
                <w:rFonts w:cs="Calibri"/>
                <w:color w:val="000000"/>
                <w:sz w:val="20"/>
              </w:rPr>
            </w:pPr>
            <w:r>
              <w:rPr>
                <w:rFonts w:cs="Calibri"/>
                <w:color w:val="000000"/>
                <w:sz w:val="20"/>
              </w:rPr>
              <w:t>Priemerný vek, v ktorom ľudia s ŤZP začali poberať kompenzáciu sociálnych dôsledkov ŤZP</w:t>
            </w:r>
          </w:p>
        </w:tc>
        <w:tc>
          <w:tcPr>
            <w:tcW w:w="860" w:type="dxa"/>
            <w:tcBorders>
              <w:top w:val="nil"/>
              <w:left w:val="nil"/>
              <w:bottom w:val="single" w:sz="4" w:space="0" w:color="auto"/>
              <w:right w:val="nil"/>
            </w:tcBorders>
            <w:shd w:val="clear" w:color="000000" w:fill="FFFFFF"/>
            <w:noWrap/>
            <w:tcMar>
              <w:top w:w="15" w:type="dxa"/>
              <w:left w:w="15" w:type="dxa"/>
              <w:bottom w:w="0" w:type="dxa"/>
              <w:right w:w="15" w:type="dxa"/>
            </w:tcMar>
            <w:vAlign w:val="bottom"/>
            <w:hideMark/>
          </w:tcPr>
          <w:p w14:paraId="19E28FD5" w14:textId="77777777" w:rsidR="00B721F5" w:rsidRDefault="00B721F5" w:rsidP="003B7808">
            <w:pPr>
              <w:jc w:val="right"/>
              <w:rPr>
                <w:rFonts w:cs="Calibri"/>
                <w:color w:val="000000"/>
                <w:sz w:val="20"/>
              </w:rPr>
            </w:pPr>
            <w:r>
              <w:rPr>
                <w:rFonts w:cs="Calibri"/>
                <w:color w:val="000000"/>
                <w:sz w:val="20"/>
              </w:rPr>
              <w:t>45,2</w:t>
            </w:r>
          </w:p>
        </w:tc>
        <w:tc>
          <w:tcPr>
            <w:tcW w:w="861" w:type="dxa"/>
            <w:tcBorders>
              <w:top w:val="nil"/>
              <w:left w:val="nil"/>
              <w:bottom w:val="single" w:sz="4" w:space="0" w:color="auto"/>
              <w:right w:val="nil"/>
            </w:tcBorders>
            <w:shd w:val="clear" w:color="000000" w:fill="FFFFFF"/>
            <w:noWrap/>
            <w:tcMar>
              <w:top w:w="15" w:type="dxa"/>
              <w:left w:w="15" w:type="dxa"/>
              <w:bottom w:w="0" w:type="dxa"/>
              <w:right w:w="15" w:type="dxa"/>
            </w:tcMar>
            <w:vAlign w:val="bottom"/>
            <w:hideMark/>
          </w:tcPr>
          <w:p w14:paraId="23B4A7F6" w14:textId="77777777" w:rsidR="00B721F5" w:rsidRDefault="00B721F5" w:rsidP="003B7808">
            <w:pPr>
              <w:jc w:val="right"/>
              <w:rPr>
                <w:rFonts w:cs="Calibri"/>
                <w:color w:val="000000"/>
                <w:sz w:val="20"/>
              </w:rPr>
            </w:pPr>
            <w:r>
              <w:rPr>
                <w:rFonts w:cs="Calibri"/>
                <w:color w:val="000000"/>
                <w:sz w:val="20"/>
              </w:rPr>
              <w:t>39,6</w:t>
            </w:r>
          </w:p>
        </w:tc>
        <w:tc>
          <w:tcPr>
            <w:tcW w:w="860" w:type="dxa"/>
            <w:tcBorders>
              <w:top w:val="nil"/>
              <w:left w:val="nil"/>
              <w:bottom w:val="single" w:sz="4" w:space="0" w:color="auto"/>
              <w:right w:val="nil"/>
            </w:tcBorders>
            <w:shd w:val="clear" w:color="000000" w:fill="FFFFFF"/>
            <w:noWrap/>
            <w:tcMar>
              <w:top w:w="15" w:type="dxa"/>
              <w:left w:w="15" w:type="dxa"/>
              <w:bottom w:w="0" w:type="dxa"/>
              <w:right w:w="15" w:type="dxa"/>
            </w:tcMar>
            <w:vAlign w:val="bottom"/>
            <w:hideMark/>
          </w:tcPr>
          <w:p w14:paraId="649C4A14" w14:textId="77777777" w:rsidR="00B721F5" w:rsidRDefault="00B721F5" w:rsidP="003B7808">
            <w:pPr>
              <w:jc w:val="right"/>
              <w:rPr>
                <w:rFonts w:cs="Calibri"/>
                <w:color w:val="000000"/>
                <w:sz w:val="20"/>
              </w:rPr>
            </w:pPr>
            <w:r>
              <w:rPr>
                <w:rFonts w:cs="Calibri"/>
                <w:color w:val="000000"/>
                <w:sz w:val="20"/>
              </w:rPr>
              <w:t>58,1</w:t>
            </w:r>
          </w:p>
        </w:tc>
        <w:tc>
          <w:tcPr>
            <w:tcW w:w="861" w:type="dxa"/>
            <w:tcBorders>
              <w:top w:val="nil"/>
              <w:left w:val="nil"/>
              <w:bottom w:val="single" w:sz="4" w:space="0" w:color="auto"/>
              <w:right w:val="nil"/>
            </w:tcBorders>
            <w:shd w:val="clear" w:color="000000" w:fill="FFFFFF"/>
            <w:noWrap/>
            <w:tcMar>
              <w:top w:w="15" w:type="dxa"/>
              <w:left w:w="15" w:type="dxa"/>
              <w:bottom w:w="0" w:type="dxa"/>
              <w:right w:w="15" w:type="dxa"/>
            </w:tcMar>
            <w:vAlign w:val="bottom"/>
            <w:hideMark/>
          </w:tcPr>
          <w:p w14:paraId="5AD2C691" w14:textId="77777777" w:rsidR="00B721F5" w:rsidRDefault="00B721F5" w:rsidP="003B7808">
            <w:pPr>
              <w:jc w:val="right"/>
              <w:rPr>
                <w:rFonts w:cs="Calibri"/>
                <w:color w:val="000000"/>
                <w:sz w:val="20"/>
              </w:rPr>
            </w:pPr>
            <w:r>
              <w:rPr>
                <w:rFonts w:cs="Calibri"/>
                <w:color w:val="000000"/>
                <w:sz w:val="20"/>
              </w:rPr>
              <w:t>52,6</w:t>
            </w:r>
          </w:p>
        </w:tc>
      </w:tr>
    </w:tbl>
    <w:p w14:paraId="41A6AD58" w14:textId="77777777" w:rsidR="00B721F5" w:rsidRPr="009F087F" w:rsidRDefault="00B721F5" w:rsidP="00B721F5">
      <w:pPr>
        <w:spacing w:after="160"/>
        <w:jc w:val="left"/>
        <w:rPr>
          <w:rFonts w:eastAsiaTheme="majorEastAsia" w:cstheme="majorBidi"/>
          <w:sz w:val="32"/>
          <w:szCs w:val="32"/>
        </w:rPr>
        <w:sectPr w:rsidR="00B721F5" w:rsidRPr="009F087F" w:rsidSect="00B721F5">
          <w:footerReference w:type="default" r:id="rId253"/>
          <w:pgSz w:w="11906" w:h="16838"/>
          <w:pgMar w:top="1440" w:right="1440" w:bottom="1440" w:left="1440" w:header="720" w:footer="646" w:gutter="0"/>
          <w:cols w:space="708"/>
          <w:docGrid w:linePitch="360"/>
        </w:sectPr>
      </w:pPr>
      <w:r w:rsidRPr="00CA2564">
        <w:t xml:space="preserve"> </w:t>
      </w:r>
      <w:r w:rsidRPr="00CA2564">
        <w:br w:type="page"/>
      </w:r>
    </w:p>
    <w:p w14:paraId="1C7D7860" w14:textId="758310F5" w:rsidR="008E46D8" w:rsidRPr="000C6214" w:rsidRDefault="002B126D" w:rsidP="002B126D">
      <w:pPr>
        <w:pStyle w:val="Popis"/>
        <w:keepNext/>
        <w:rPr>
          <w:b/>
          <w:i w:val="0"/>
          <w:color w:val="2E74B5" w:themeColor="accent1" w:themeShade="BF"/>
          <w:sz w:val="22"/>
        </w:rPr>
      </w:pPr>
      <w:bookmarkStart w:id="1873" w:name="_Ref34130322"/>
      <w:bookmarkEnd w:id="1872"/>
      <w:r w:rsidRPr="002B126D">
        <w:rPr>
          <w:b/>
          <w:i w:val="0"/>
          <w:color w:val="2E74B5" w:themeColor="accent1" w:themeShade="BF"/>
          <w:sz w:val="22"/>
        </w:rPr>
        <w:t xml:space="preserve">Príloha </w:t>
      </w:r>
      <w:r w:rsidRPr="002B126D">
        <w:rPr>
          <w:b/>
          <w:i w:val="0"/>
          <w:color w:val="2E74B5" w:themeColor="accent1" w:themeShade="BF"/>
          <w:sz w:val="22"/>
        </w:rPr>
        <w:fldChar w:fldCharType="begin"/>
      </w:r>
      <w:r w:rsidRPr="002B126D">
        <w:rPr>
          <w:b/>
          <w:i w:val="0"/>
          <w:color w:val="2E74B5" w:themeColor="accent1" w:themeShade="BF"/>
          <w:sz w:val="22"/>
        </w:rPr>
        <w:instrText xml:space="preserve"> SEQ Príloha \* ARABIC </w:instrText>
      </w:r>
      <w:r w:rsidRPr="002B126D">
        <w:rPr>
          <w:b/>
          <w:i w:val="0"/>
          <w:color w:val="2E74B5" w:themeColor="accent1" w:themeShade="BF"/>
          <w:sz w:val="22"/>
        </w:rPr>
        <w:fldChar w:fldCharType="separate"/>
      </w:r>
      <w:r w:rsidR="00FA29AF">
        <w:rPr>
          <w:b/>
          <w:i w:val="0"/>
          <w:noProof/>
          <w:color w:val="2E74B5" w:themeColor="accent1" w:themeShade="BF"/>
          <w:sz w:val="22"/>
        </w:rPr>
        <w:t>3</w:t>
      </w:r>
      <w:r w:rsidRPr="002B126D">
        <w:rPr>
          <w:b/>
          <w:i w:val="0"/>
          <w:color w:val="2E74B5" w:themeColor="accent1" w:themeShade="BF"/>
          <w:sz w:val="22"/>
        </w:rPr>
        <w:fldChar w:fldCharType="end"/>
      </w:r>
      <w:bookmarkEnd w:id="1873"/>
      <w:r>
        <w:rPr>
          <w:b/>
          <w:i w:val="0"/>
          <w:color w:val="2E74B5" w:themeColor="accent1" w:themeShade="BF"/>
          <w:sz w:val="22"/>
        </w:rPr>
        <w:t xml:space="preserve">: </w:t>
      </w:r>
      <w:r w:rsidR="008E46D8" w:rsidRPr="000C6214">
        <w:rPr>
          <w:b/>
          <w:i w:val="0"/>
          <w:color w:val="2E74B5" w:themeColor="accent1" w:themeShade="BF"/>
          <w:sz w:val="22"/>
        </w:rPr>
        <w:t>Investovať sa oplatí:</w:t>
      </w:r>
      <w:r w:rsidR="008E46D8">
        <w:rPr>
          <w:b/>
          <w:i w:val="0"/>
          <w:color w:val="2E74B5" w:themeColor="accent1" w:themeShade="BF"/>
          <w:sz w:val="22"/>
        </w:rPr>
        <w:t xml:space="preserve"> a</w:t>
      </w:r>
      <w:r w:rsidR="008E46D8" w:rsidRPr="000C6214">
        <w:rPr>
          <w:b/>
          <w:i w:val="0"/>
          <w:color w:val="2E74B5" w:themeColor="accent1" w:themeShade="BF"/>
          <w:sz w:val="22"/>
        </w:rPr>
        <w:t>nalýza nákladov a prínosov včasnej intervencie pre deti s poruchami autistického spektra</w:t>
      </w:r>
    </w:p>
    <w:p w14:paraId="147FBA31" w14:textId="45356603" w:rsidR="008E46D8" w:rsidRPr="008E46D8" w:rsidRDefault="008E46D8" w:rsidP="008E46D8">
      <w:r w:rsidRPr="00A14236">
        <w:rPr>
          <w:b/>
        </w:rPr>
        <w:t>Analýza</w:t>
      </w:r>
      <w:r w:rsidRPr="00A14236">
        <w:rPr>
          <w:rStyle w:val="Odkaznapoznmkupodiarou"/>
          <w:b/>
        </w:rPr>
        <w:footnoteReference w:id="502"/>
      </w:r>
      <w:r w:rsidRPr="00A14236">
        <w:rPr>
          <w:b/>
        </w:rPr>
        <w:t xml:space="preserve"> Inštitútu sociálnej politiky (ISP) ukázala, že v prípade detí s poruchami autistického spektra (PAS) prínosy</w:t>
      </w:r>
      <w:r w:rsidR="0070047D">
        <w:rPr>
          <w:b/>
        </w:rPr>
        <w:t xml:space="preserve"> </w:t>
      </w:r>
      <w:r w:rsidRPr="00A14236">
        <w:rPr>
          <w:b/>
        </w:rPr>
        <w:t>včasnej intervencie prevyšujú náklady na jej poskytnutie.</w:t>
      </w:r>
      <w:r w:rsidRPr="000C6214">
        <w:t xml:space="preserve"> Prínosy kvalitných a intenzívnych programov včasnej intervencie pre tieto deti sa prejavia nielen vo zvýšenej kvalite ich života, ale aj v úspore verejných zdrojov v oblasti vzdelávania a sociálnych služieb a v lepšom uplatnení na trhu práce. Náklady na terapie v potrebnej forme a intenzite na Slovensku nie sú hradené v rámci </w:t>
      </w:r>
      <w:r w:rsidRPr="008E46D8">
        <w:t>systému sociálnych služieb ani prostredníctvom zdravotného poistenia. V prepočte na jedno dieťa predstavujú tieto náklady približne 50 tis. eur. Analýza potvrdzuje, že napriek pomerne vysokým počiatočným nákladom je možné očakávať vnútor</w:t>
      </w:r>
      <w:r w:rsidR="00B4644B">
        <w:t>nú mieru výnosnosti (IRR) až vo </w:t>
      </w:r>
      <w:r w:rsidRPr="008E46D8">
        <w:t>výške</w:t>
      </w:r>
      <w:r w:rsidR="0070047D">
        <w:t xml:space="preserve"> </w:t>
      </w:r>
      <w:r w:rsidRPr="008E46D8">
        <w:t>7,4 až 14,2 %. Medzinárodné organizácie odporúčajú realizovať verejné investície s návratnosťou vyššou ako 3,5 – 5 %. Návratnosť podpory včasnej intenzívnej intervencie odhaduje ISP v horizonte 11 až 25 rokov v závislosti od cieľovej skupiny a intenzity terapie. Okrem detí s PAS dokáže včasná intervencia pomôcť deťom s iným zdravotným znevýhodnením ale aj tým, ktoré pochádzajú z málo podnetné</w:t>
      </w:r>
      <w:r w:rsidR="00B4644B">
        <w:t>ho prostredia. Intenzívnejšia a </w:t>
      </w:r>
      <w:r w:rsidRPr="008E46D8">
        <w:t xml:space="preserve">kvalitnejšia terapia vo všeobecnosti vedie k skoršej návratnosti investovaných prostriedkov. </w:t>
      </w:r>
    </w:p>
    <w:p w14:paraId="43B91C15" w14:textId="2F7718BD" w:rsidR="00827B00" w:rsidRPr="00827B00" w:rsidRDefault="008E46D8" w:rsidP="008E46D8">
      <w:pPr>
        <w:pBdr>
          <w:top w:val="nil"/>
          <w:left w:val="nil"/>
          <w:bottom w:val="nil"/>
          <w:right w:val="nil"/>
          <w:between w:val="nil"/>
        </w:pBdr>
        <w:rPr>
          <w:rFonts w:eastAsia="Arial Narrow" w:cs="Arial Narrow"/>
          <w:color w:val="000000"/>
        </w:rPr>
      </w:pPr>
      <w:r w:rsidRPr="008E46D8">
        <w:rPr>
          <w:rFonts w:eastAsia="Arial Narrow" w:cs="Arial Narrow"/>
          <w:b/>
          <w:color w:val="000000"/>
        </w:rPr>
        <w:t xml:space="preserve">Súčasný systém financovania služby včasnej intervencie neumožňuje poskytovať služby včasnej intervencie v potrebnej forme a intenzite. </w:t>
      </w:r>
      <w:r w:rsidRPr="008E46D8">
        <w:rPr>
          <w:rFonts w:eastAsia="Arial Narrow" w:cs="Arial Narrow"/>
          <w:color w:val="000000"/>
        </w:rPr>
        <w:t>Financovanie nie je postačujúce na poskytovanie intenzívnejších služieb a terapií, ktoré podľa skúseností zo zahraničia prinášajú najlepšie výsledky. Napríklad, predpokladané ročné náklady na intenzívnu včasnú intervenciu (min. 25 hodín týždenne) formou aplikovanej behaviorálnej analýzy pre deti s poruchami autistického spektra (</w:t>
      </w:r>
      <w:sdt>
        <w:sdtPr>
          <w:tag w:val="goog_rdk_17"/>
          <w:id w:val="-1501342391"/>
        </w:sdtPr>
        <w:sdtEndPr/>
        <w:sdtContent/>
      </w:sdt>
      <w:r w:rsidRPr="008E46D8">
        <w:rPr>
          <w:rFonts w:eastAsia="Arial Narrow" w:cs="Arial Narrow"/>
          <w:color w:val="000000"/>
        </w:rPr>
        <w:t>PAS) predstavujú približne 22 200 eur. Pri súčasných</w:t>
      </w:r>
      <w:r>
        <w:rPr>
          <w:rFonts w:eastAsia="Arial Narrow" w:cs="Arial Narrow"/>
          <w:color w:val="000000"/>
        </w:rPr>
        <w:t xml:space="preserve"> výdavkoch by tak bolo možné zabezpečiť terapiu pre maximálne 64 detí, čo predstavuje menej ako 1 % z predpokladanej populácie detí s autismom vo veku 0-7 rokov.</w:t>
      </w:r>
      <w:r>
        <w:rPr>
          <w:rFonts w:eastAsia="Arial Narrow" w:cs="Arial Narrow"/>
          <w:color w:val="000000"/>
          <w:vertAlign w:val="superscript"/>
        </w:rPr>
        <w:footnoteReference w:id="503"/>
      </w:r>
      <w:r>
        <w:rPr>
          <w:rFonts w:eastAsia="Arial Narrow" w:cs="Arial Narrow"/>
          <w:color w:val="000000"/>
        </w:rPr>
        <w:t xml:space="preserve"> Takisto na Slovensku chýbajú odborníci vyškolení v niektorých moderných metódach včasnej intervencie, ktoré sú špecificky zamerané na jednotlivé odchýlky vo vývine</w:t>
      </w:r>
      <w:r>
        <w:rPr>
          <w:rFonts w:eastAsia="Arial Narrow" w:cs="Arial Narrow"/>
          <w:color w:val="000000"/>
          <w:vertAlign w:val="superscript"/>
        </w:rPr>
        <w:footnoteReference w:id="504"/>
      </w:r>
      <w:r>
        <w:rPr>
          <w:rFonts w:eastAsia="Arial Narrow" w:cs="Arial Narrow"/>
          <w:color w:val="000000"/>
        </w:rPr>
        <w:t xml:space="preserve">. </w:t>
      </w:r>
    </w:p>
    <w:p w14:paraId="72297365" w14:textId="3D3E4D8E" w:rsidR="008E46D8" w:rsidRPr="00A14236" w:rsidRDefault="002B126D" w:rsidP="002B126D">
      <w:pPr>
        <w:pStyle w:val="Popis"/>
        <w:keepNext/>
        <w:rPr>
          <w:b/>
          <w:i w:val="0"/>
          <w:color w:val="2E74B5" w:themeColor="accent1" w:themeShade="BF"/>
          <w:sz w:val="22"/>
        </w:rPr>
      </w:pPr>
      <w:bookmarkStart w:id="1874" w:name="_Ref34130345"/>
      <w:r w:rsidRPr="002B126D">
        <w:rPr>
          <w:b/>
          <w:i w:val="0"/>
          <w:color w:val="2E74B5" w:themeColor="accent1" w:themeShade="BF"/>
          <w:sz w:val="22"/>
        </w:rPr>
        <w:t xml:space="preserve">Príloha </w:t>
      </w:r>
      <w:r w:rsidRPr="002B126D">
        <w:rPr>
          <w:b/>
          <w:i w:val="0"/>
          <w:color w:val="2E74B5" w:themeColor="accent1" w:themeShade="BF"/>
          <w:sz w:val="22"/>
        </w:rPr>
        <w:fldChar w:fldCharType="begin"/>
      </w:r>
      <w:r w:rsidRPr="002B126D">
        <w:rPr>
          <w:b/>
          <w:i w:val="0"/>
          <w:color w:val="2E74B5" w:themeColor="accent1" w:themeShade="BF"/>
          <w:sz w:val="22"/>
        </w:rPr>
        <w:instrText xml:space="preserve"> SEQ Príloha \* ARABIC </w:instrText>
      </w:r>
      <w:r w:rsidRPr="002B126D">
        <w:rPr>
          <w:b/>
          <w:i w:val="0"/>
          <w:color w:val="2E74B5" w:themeColor="accent1" w:themeShade="BF"/>
          <w:sz w:val="22"/>
        </w:rPr>
        <w:fldChar w:fldCharType="separate"/>
      </w:r>
      <w:r w:rsidR="00FA29AF">
        <w:rPr>
          <w:b/>
          <w:i w:val="0"/>
          <w:noProof/>
          <w:color w:val="2E74B5" w:themeColor="accent1" w:themeShade="BF"/>
          <w:sz w:val="22"/>
        </w:rPr>
        <w:t>4</w:t>
      </w:r>
      <w:r w:rsidRPr="002B126D">
        <w:rPr>
          <w:b/>
          <w:i w:val="0"/>
          <w:color w:val="2E74B5" w:themeColor="accent1" w:themeShade="BF"/>
          <w:sz w:val="22"/>
        </w:rPr>
        <w:fldChar w:fldCharType="end"/>
      </w:r>
      <w:bookmarkEnd w:id="1874"/>
      <w:r>
        <w:rPr>
          <w:b/>
          <w:i w:val="0"/>
          <w:color w:val="2E74B5" w:themeColor="accent1" w:themeShade="BF"/>
          <w:sz w:val="22"/>
        </w:rPr>
        <w:t>:</w:t>
      </w:r>
      <w:r w:rsidR="008E46D8" w:rsidRPr="000C6214">
        <w:rPr>
          <w:b/>
          <w:i w:val="0"/>
          <w:color w:val="2E74B5" w:themeColor="accent1" w:themeShade="BF"/>
          <w:sz w:val="22"/>
        </w:rPr>
        <w:t xml:space="preserve"> </w:t>
      </w:r>
      <w:r w:rsidR="008E46D8">
        <w:rPr>
          <w:b/>
          <w:i w:val="0"/>
          <w:color w:val="2E74B5" w:themeColor="accent1" w:themeShade="BF"/>
          <w:sz w:val="22"/>
        </w:rPr>
        <w:t>Počet poskytovateľov a prijímateľov služby včasnej intervencie (2015-18)</w:t>
      </w:r>
    </w:p>
    <w:p w14:paraId="65694195" w14:textId="628D9A03" w:rsidR="00506F86" w:rsidRDefault="00506F86" w:rsidP="00FD3839">
      <w:pPr>
        <w:pStyle w:val="Popis"/>
        <w:keepNext/>
        <w:spacing w:after="20"/>
      </w:pPr>
      <w:r w:rsidRPr="00FD3839">
        <w:rPr>
          <w:b/>
          <w:i w:val="0"/>
          <w:color w:val="auto"/>
          <w:sz w:val="20"/>
          <w:szCs w:val="20"/>
        </w:rPr>
        <w:t xml:space="preserve">Tabuľka P </w:t>
      </w:r>
      <w:r w:rsidRPr="00FD3839">
        <w:rPr>
          <w:b/>
          <w:i w:val="0"/>
          <w:color w:val="auto"/>
          <w:sz w:val="20"/>
          <w:szCs w:val="20"/>
        </w:rPr>
        <w:fldChar w:fldCharType="begin"/>
      </w:r>
      <w:r w:rsidRPr="00FD3839">
        <w:rPr>
          <w:b/>
          <w:i w:val="0"/>
          <w:color w:val="auto"/>
          <w:sz w:val="20"/>
          <w:szCs w:val="20"/>
        </w:rPr>
        <w:instrText xml:space="preserve"> SEQ Tabuľka_P \* ARABIC </w:instrText>
      </w:r>
      <w:r w:rsidRPr="00FD3839">
        <w:rPr>
          <w:b/>
          <w:i w:val="0"/>
          <w:color w:val="auto"/>
          <w:sz w:val="20"/>
          <w:szCs w:val="20"/>
        </w:rPr>
        <w:fldChar w:fldCharType="separate"/>
      </w:r>
      <w:r w:rsidR="00FA29AF">
        <w:rPr>
          <w:b/>
          <w:i w:val="0"/>
          <w:noProof/>
          <w:color w:val="auto"/>
          <w:sz w:val="20"/>
          <w:szCs w:val="20"/>
        </w:rPr>
        <w:t>2</w:t>
      </w:r>
      <w:r w:rsidRPr="00FD3839">
        <w:rPr>
          <w:b/>
          <w:i w:val="0"/>
          <w:color w:val="auto"/>
          <w:sz w:val="20"/>
          <w:szCs w:val="20"/>
        </w:rPr>
        <w:fldChar w:fldCharType="end"/>
      </w:r>
      <w:r w:rsidR="00FD3839" w:rsidRPr="00FD3839">
        <w:rPr>
          <w:b/>
          <w:i w:val="0"/>
          <w:color w:val="auto"/>
          <w:sz w:val="20"/>
          <w:szCs w:val="20"/>
        </w:rPr>
        <w:t>:</w:t>
      </w:r>
      <w:r w:rsidR="00FD3839">
        <w:t xml:space="preserve"> </w:t>
      </w:r>
      <w:r w:rsidR="00FD3839" w:rsidRPr="0061787F">
        <w:rPr>
          <w:b/>
          <w:i w:val="0"/>
          <w:color w:val="auto"/>
          <w:sz w:val="20"/>
          <w:szCs w:val="20"/>
        </w:rPr>
        <w:t>P</w:t>
      </w:r>
      <w:r w:rsidR="00FD3839" w:rsidRPr="00FD3839">
        <w:rPr>
          <w:b/>
          <w:i w:val="0"/>
          <w:color w:val="auto"/>
          <w:sz w:val="20"/>
          <w:szCs w:val="20"/>
        </w:rPr>
        <w:t>očet poskytovateľov a prijímateľov služby včasnej intervencie (2015-18)</w:t>
      </w:r>
    </w:p>
    <w:tbl>
      <w:tblPr>
        <w:tblW w:w="9700" w:type="dxa"/>
        <w:tblCellMar>
          <w:left w:w="70" w:type="dxa"/>
          <w:right w:w="70" w:type="dxa"/>
        </w:tblCellMar>
        <w:tblLook w:val="04A0" w:firstRow="1" w:lastRow="0" w:firstColumn="1" w:lastColumn="0" w:noHBand="0" w:noVBand="1"/>
      </w:tblPr>
      <w:tblGrid>
        <w:gridCol w:w="960"/>
        <w:gridCol w:w="1480"/>
        <w:gridCol w:w="1480"/>
        <w:gridCol w:w="1400"/>
        <w:gridCol w:w="1480"/>
        <w:gridCol w:w="1500"/>
        <w:gridCol w:w="1400"/>
      </w:tblGrid>
      <w:tr w:rsidR="008E46D8" w:rsidRPr="00A14236" w14:paraId="4E6828E3" w14:textId="77777777" w:rsidTr="00506F86">
        <w:trPr>
          <w:trHeight w:val="227"/>
        </w:trPr>
        <w:tc>
          <w:tcPr>
            <w:tcW w:w="960" w:type="dxa"/>
            <w:tcBorders>
              <w:top w:val="single" w:sz="4" w:space="0" w:color="auto"/>
              <w:bottom w:val="single" w:sz="4" w:space="0" w:color="auto"/>
            </w:tcBorders>
            <w:shd w:val="clear" w:color="auto" w:fill="auto"/>
            <w:noWrap/>
            <w:vAlign w:val="bottom"/>
            <w:hideMark/>
          </w:tcPr>
          <w:p w14:paraId="3B3CDF7B" w14:textId="77777777" w:rsidR="008E46D8" w:rsidRPr="00A14236" w:rsidRDefault="008E46D8" w:rsidP="00B22EF6">
            <w:pPr>
              <w:spacing w:after="0" w:line="240" w:lineRule="auto"/>
              <w:jc w:val="left"/>
              <w:rPr>
                <w:rFonts w:eastAsia="Times New Roman" w:cs="Times New Roman"/>
                <w:color w:val="000000"/>
                <w:sz w:val="20"/>
                <w:lang w:eastAsia="sk-SK"/>
              </w:rPr>
            </w:pPr>
            <w:r w:rsidRPr="00A14236">
              <w:rPr>
                <w:rFonts w:eastAsia="Times New Roman" w:cs="Times New Roman"/>
                <w:color w:val="000000"/>
                <w:sz w:val="20"/>
                <w:lang w:eastAsia="sk-SK"/>
              </w:rPr>
              <w:t> </w:t>
            </w:r>
          </w:p>
        </w:tc>
        <w:tc>
          <w:tcPr>
            <w:tcW w:w="4360" w:type="dxa"/>
            <w:gridSpan w:val="3"/>
            <w:tcBorders>
              <w:top w:val="single" w:sz="4" w:space="0" w:color="auto"/>
              <w:bottom w:val="single" w:sz="4" w:space="0" w:color="auto"/>
            </w:tcBorders>
            <w:shd w:val="clear" w:color="auto" w:fill="auto"/>
            <w:noWrap/>
            <w:vAlign w:val="bottom"/>
            <w:hideMark/>
          </w:tcPr>
          <w:p w14:paraId="295639D7" w14:textId="77777777" w:rsidR="008E46D8" w:rsidRPr="00A14236" w:rsidRDefault="008E46D8" w:rsidP="00B22EF6">
            <w:pPr>
              <w:spacing w:after="0" w:line="240" w:lineRule="auto"/>
              <w:jc w:val="center"/>
              <w:rPr>
                <w:rFonts w:eastAsia="Times New Roman" w:cs="Times New Roman"/>
                <w:b/>
                <w:bCs/>
                <w:color w:val="000000"/>
                <w:sz w:val="20"/>
                <w:lang w:eastAsia="sk-SK"/>
              </w:rPr>
            </w:pPr>
            <w:r w:rsidRPr="00A14236">
              <w:rPr>
                <w:rFonts w:eastAsia="Times New Roman" w:cs="Times New Roman"/>
                <w:b/>
                <w:bCs/>
                <w:color w:val="000000"/>
                <w:sz w:val="20"/>
                <w:lang w:eastAsia="sk-SK"/>
              </w:rPr>
              <w:t>Počet služieb (k 31.12.)</w:t>
            </w:r>
          </w:p>
        </w:tc>
        <w:tc>
          <w:tcPr>
            <w:tcW w:w="4380" w:type="dxa"/>
            <w:gridSpan w:val="3"/>
            <w:tcBorders>
              <w:top w:val="single" w:sz="4" w:space="0" w:color="auto"/>
              <w:bottom w:val="single" w:sz="4" w:space="0" w:color="auto"/>
            </w:tcBorders>
            <w:shd w:val="clear" w:color="auto" w:fill="auto"/>
            <w:noWrap/>
            <w:vAlign w:val="bottom"/>
            <w:hideMark/>
          </w:tcPr>
          <w:p w14:paraId="6BF5C3DF" w14:textId="77777777" w:rsidR="008E46D8" w:rsidRPr="00A14236" w:rsidRDefault="008E46D8" w:rsidP="00B22EF6">
            <w:pPr>
              <w:spacing w:after="0" w:line="240" w:lineRule="auto"/>
              <w:jc w:val="center"/>
              <w:rPr>
                <w:rFonts w:eastAsia="Times New Roman" w:cs="Times New Roman"/>
                <w:b/>
                <w:bCs/>
                <w:color w:val="000000"/>
                <w:sz w:val="20"/>
                <w:lang w:eastAsia="sk-SK"/>
              </w:rPr>
            </w:pPr>
            <w:r w:rsidRPr="00A14236">
              <w:rPr>
                <w:rFonts w:eastAsia="Times New Roman" w:cs="Times New Roman"/>
                <w:b/>
                <w:bCs/>
                <w:color w:val="000000"/>
                <w:sz w:val="20"/>
                <w:lang w:eastAsia="sk-SK"/>
              </w:rPr>
              <w:t>Počet prijímateľov (k 31.12.)</w:t>
            </w:r>
          </w:p>
        </w:tc>
      </w:tr>
      <w:tr w:rsidR="008E46D8" w:rsidRPr="00A14236" w14:paraId="04021646" w14:textId="77777777" w:rsidTr="00506F86">
        <w:trPr>
          <w:trHeight w:val="660"/>
        </w:trPr>
        <w:tc>
          <w:tcPr>
            <w:tcW w:w="960" w:type="dxa"/>
            <w:tcBorders>
              <w:top w:val="single" w:sz="4" w:space="0" w:color="auto"/>
              <w:bottom w:val="single" w:sz="4" w:space="0" w:color="auto"/>
            </w:tcBorders>
            <w:shd w:val="clear" w:color="auto" w:fill="auto"/>
            <w:noWrap/>
            <w:vAlign w:val="bottom"/>
            <w:hideMark/>
          </w:tcPr>
          <w:p w14:paraId="0CF57571" w14:textId="77777777" w:rsidR="008E46D8" w:rsidRPr="00A14236" w:rsidRDefault="008E46D8" w:rsidP="00B22EF6">
            <w:pPr>
              <w:spacing w:after="0" w:line="240" w:lineRule="auto"/>
              <w:jc w:val="left"/>
              <w:rPr>
                <w:rFonts w:eastAsia="Times New Roman" w:cs="Times New Roman"/>
                <w:b/>
                <w:bCs/>
                <w:color w:val="000000"/>
                <w:sz w:val="20"/>
                <w:lang w:eastAsia="sk-SK"/>
              </w:rPr>
            </w:pPr>
            <w:r w:rsidRPr="00A14236">
              <w:rPr>
                <w:rFonts w:eastAsia="Times New Roman" w:cs="Times New Roman"/>
                <w:b/>
                <w:bCs/>
                <w:color w:val="000000"/>
                <w:sz w:val="20"/>
                <w:lang w:eastAsia="sk-SK"/>
              </w:rPr>
              <w:t> </w:t>
            </w:r>
          </w:p>
        </w:tc>
        <w:tc>
          <w:tcPr>
            <w:tcW w:w="1480" w:type="dxa"/>
            <w:tcBorders>
              <w:top w:val="single" w:sz="4" w:space="0" w:color="auto"/>
              <w:bottom w:val="single" w:sz="4" w:space="0" w:color="auto"/>
            </w:tcBorders>
            <w:shd w:val="clear" w:color="auto" w:fill="auto"/>
            <w:vAlign w:val="bottom"/>
            <w:hideMark/>
          </w:tcPr>
          <w:p w14:paraId="3FA735E2" w14:textId="77777777" w:rsidR="008E46D8" w:rsidRPr="00A14236" w:rsidRDefault="008E46D8" w:rsidP="00B22EF6">
            <w:pPr>
              <w:spacing w:after="0" w:line="240" w:lineRule="auto"/>
              <w:jc w:val="center"/>
              <w:rPr>
                <w:rFonts w:eastAsia="Times New Roman" w:cs="Times New Roman"/>
                <w:b/>
                <w:bCs/>
                <w:color w:val="000000"/>
                <w:sz w:val="20"/>
                <w:lang w:eastAsia="sk-SK"/>
              </w:rPr>
            </w:pPr>
            <w:r w:rsidRPr="00A14236">
              <w:rPr>
                <w:rFonts w:eastAsia="Times New Roman" w:cs="Times New Roman"/>
                <w:b/>
                <w:bCs/>
                <w:color w:val="000000"/>
                <w:sz w:val="20"/>
                <w:lang w:eastAsia="sk-SK"/>
              </w:rPr>
              <w:t>Verejní poskytovatelia</w:t>
            </w:r>
          </w:p>
        </w:tc>
        <w:tc>
          <w:tcPr>
            <w:tcW w:w="1480" w:type="dxa"/>
            <w:tcBorders>
              <w:top w:val="single" w:sz="4" w:space="0" w:color="auto"/>
              <w:bottom w:val="single" w:sz="4" w:space="0" w:color="auto"/>
            </w:tcBorders>
            <w:shd w:val="clear" w:color="auto" w:fill="auto"/>
            <w:vAlign w:val="bottom"/>
            <w:hideMark/>
          </w:tcPr>
          <w:p w14:paraId="0CCB0409" w14:textId="77777777" w:rsidR="008E46D8" w:rsidRPr="00A14236" w:rsidRDefault="008E46D8" w:rsidP="00B22EF6">
            <w:pPr>
              <w:spacing w:after="0" w:line="240" w:lineRule="auto"/>
              <w:jc w:val="center"/>
              <w:rPr>
                <w:rFonts w:eastAsia="Times New Roman" w:cs="Times New Roman"/>
                <w:b/>
                <w:bCs/>
                <w:color w:val="000000"/>
                <w:sz w:val="20"/>
                <w:lang w:eastAsia="sk-SK"/>
              </w:rPr>
            </w:pPr>
            <w:r w:rsidRPr="00A14236">
              <w:rPr>
                <w:rFonts w:eastAsia="Times New Roman" w:cs="Times New Roman"/>
                <w:b/>
                <w:bCs/>
                <w:color w:val="000000"/>
                <w:sz w:val="20"/>
                <w:lang w:eastAsia="sk-SK"/>
              </w:rPr>
              <w:t>Neverejní poskytovatelia</w:t>
            </w:r>
          </w:p>
        </w:tc>
        <w:tc>
          <w:tcPr>
            <w:tcW w:w="1400" w:type="dxa"/>
            <w:tcBorders>
              <w:top w:val="single" w:sz="4" w:space="0" w:color="auto"/>
              <w:bottom w:val="single" w:sz="4" w:space="0" w:color="auto"/>
            </w:tcBorders>
            <w:shd w:val="clear" w:color="auto" w:fill="auto"/>
            <w:vAlign w:val="bottom"/>
            <w:hideMark/>
          </w:tcPr>
          <w:p w14:paraId="63667415" w14:textId="77777777" w:rsidR="008E46D8" w:rsidRPr="00A14236" w:rsidRDefault="008E46D8" w:rsidP="00B22EF6">
            <w:pPr>
              <w:spacing w:after="0" w:line="240" w:lineRule="auto"/>
              <w:jc w:val="center"/>
              <w:rPr>
                <w:rFonts w:eastAsia="Times New Roman" w:cs="Times New Roman"/>
                <w:b/>
                <w:bCs/>
                <w:color w:val="000000"/>
                <w:sz w:val="20"/>
                <w:lang w:eastAsia="sk-SK"/>
              </w:rPr>
            </w:pPr>
            <w:r w:rsidRPr="00A14236">
              <w:rPr>
                <w:rFonts w:eastAsia="Times New Roman" w:cs="Times New Roman"/>
                <w:b/>
                <w:bCs/>
                <w:color w:val="000000"/>
                <w:sz w:val="20"/>
                <w:lang w:eastAsia="sk-SK"/>
              </w:rPr>
              <w:t>Spolu</w:t>
            </w:r>
          </w:p>
        </w:tc>
        <w:tc>
          <w:tcPr>
            <w:tcW w:w="1480" w:type="dxa"/>
            <w:tcBorders>
              <w:top w:val="single" w:sz="4" w:space="0" w:color="auto"/>
              <w:bottom w:val="single" w:sz="4" w:space="0" w:color="auto"/>
            </w:tcBorders>
            <w:shd w:val="clear" w:color="auto" w:fill="auto"/>
            <w:vAlign w:val="bottom"/>
            <w:hideMark/>
          </w:tcPr>
          <w:p w14:paraId="6C8026EA" w14:textId="77777777" w:rsidR="008E46D8" w:rsidRPr="00A14236" w:rsidRDefault="008E46D8" w:rsidP="00B22EF6">
            <w:pPr>
              <w:spacing w:after="0" w:line="240" w:lineRule="auto"/>
              <w:jc w:val="center"/>
              <w:rPr>
                <w:rFonts w:eastAsia="Times New Roman" w:cs="Times New Roman"/>
                <w:b/>
                <w:bCs/>
                <w:color w:val="000000"/>
                <w:sz w:val="20"/>
                <w:lang w:eastAsia="sk-SK"/>
              </w:rPr>
            </w:pPr>
            <w:r w:rsidRPr="00A14236">
              <w:rPr>
                <w:rFonts w:eastAsia="Times New Roman" w:cs="Times New Roman"/>
                <w:b/>
                <w:bCs/>
                <w:color w:val="000000"/>
                <w:sz w:val="20"/>
                <w:lang w:eastAsia="sk-SK"/>
              </w:rPr>
              <w:t>Verejní poskytovatelia</w:t>
            </w:r>
          </w:p>
        </w:tc>
        <w:tc>
          <w:tcPr>
            <w:tcW w:w="1500" w:type="dxa"/>
            <w:tcBorders>
              <w:top w:val="single" w:sz="4" w:space="0" w:color="auto"/>
              <w:bottom w:val="single" w:sz="4" w:space="0" w:color="auto"/>
            </w:tcBorders>
            <w:shd w:val="clear" w:color="auto" w:fill="auto"/>
            <w:vAlign w:val="bottom"/>
            <w:hideMark/>
          </w:tcPr>
          <w:p w14:paraId="0B61BE52" w14:textId="77777777" w:rsidR="008E46D8" w:rsidRPr="00A14236" w:rsidRDefault="008E46D8" w:rsidP="00B22EF6">
            <w:pPr>
              <w:spacing w:after="0" w:line="240" w:lineRule="auto"/>
              <w:jc w:val="center"/>
              <w:rPr>
                <w:rFonts w:eastAsia="Times New Roman" w:cs="Times New Roman"/>
                <w:b/>
                <w:bCs/>
                <w:color w:val="000000"/>
                <w:sz w:val="20"/>
                <w:lang w:eastAsia="sk-SK"/>
              </w:rPr>
            </w:pPr>
            <w:r w:rsidRPr="00A14236">
              <w:rPr>
                <w:rFonts w:eastAsia="Times New Roman" w:cs="Times New Roman"/>
                <w:b/>
                <w:bCs/>
                <w:color w:val="000000"/>
                <w:sz w:val="20"/>
                <w:lang w:eastAsia="sk-SK"/>
              </w:rPr>
              <w:t>Neverejní poskytovatelia</w:t>
            </w:r>
          </w:p>
        </w:tc>
        <w:tc>
          <w:tcPr>
            <w:tcW w:w="1400" w:type="dxa"/>
            <w:tcBorders>
              <w:top w:val="single" w:sz="4" w:space="0" w:color="auto"/>
              <w:bottom w:val="single" w:sz="4" w:space="0" w:color="auto"/>
            </w:tcBorders>
            <w:shd w:val="clear" w:color="auto" w:fill="auto"/>
            <w:vAlign w:val="bottom"/>
            <w:hideMark/>
          </w:tcPr>
          <w:p w14:paraId="3FCF0510" w14:textId="77777777" w:rsidR="008E46D8" w:rsidRPr="00A14236" w:rsidRDefault="008E46D8" w:rsidP="00B22EF6">
            <w:pPr>
              <w:spacing w:after="0" w:line="240" w:lineRule="auto"/>
              <w:jc w:val="center"/>
              <w:rPr>
                <w:rFonts w:eastAsia="Times New Roman" w:cs="Times New Roman"/>
                <w:b/>
                <w:bCs/>
                <w:color w:val="000000"/>
                <w:sz w:val="20"/>
                <w:lang w:eastAsia="sk-SK"/>
              </w:rPr>
            </w:pPr>
            <w:r w:rsidRPr="00A14236">
              <w:rPr>
                <w:rFonts w:eastAsia="Times New Roman" w:cs="Times New Roman"/>
                <w:b/>
                <w:bCs/>
                <w:color w:val="000000"/>
                <w:sz w:val="20"/>
                <w:lang w:eastAsia="sk-SK"/>
              </w:rPr>
              <w:t>Spolu</w:t>
            </w:r>
          </w:p>
        </w:tc>
      </w:tr>
      <w:tr w:rsidR="008E46D8" w:rsidRPr="00A14236" w14:paraId="5E4B4FA8" w14:textId="77777777" w:rsidTr="00506F86">
        <w:trPr>
          <w:trHeight w:val="330"/>
        </w:trPr>
        <w:tc>
          <w:tcPr>
            <w:tcW w:w="960" w:type="dxa"/>
            <w:tcBorders>
              <w:top w:val="single" w:sz="4" w:space="0" w:color="auto"/>
            </w:tcBorders>
            <w:shd w:val="clear" w:color="auto" w:fill="auto"/>
            <w:noWrap/>
            <w:vAlign w:val="bottom"/>
            <w:hideMark/>
          </w:tcPr>
          <w:p w14:paraId="5F1D3EA4" w14:textId="77777777" w:rsidR="008E46D8" w:rsidRPr="00A14236" w:rsidRDefault="008E46D8" w:rsidP="00B22EF6">
            <w:pPr>
              <w:spacing w:after="0" w:line="240" w:lineRule="auto"/>
              <w:jc w:val="left"/>
              <w:rPr>
                <w:rFonts w:eastAsia="Times New Roman" w:cs="Times New Roman"/>
                <w:b/>
                <w:bCs/>
                <w:color w:val="000000"/>
                <w:sz w:val="20"/>
                <w:lang w:eastAsia="sk-SK"/>
              </w:rPr>
            </w:pPr>
            <w:r w:rsidRPr="00A14236">
              <w:rPr>
                <w:rFonts w:eastAsia="Times New Roman" w:cs="Times New Roman"/>
                <w:b/>
                <w:bCs/>
                <w:color w:val="000000"/>
                <w:sz w:val="20"/>
                <w:lang w:eastAsia="sk-SK"/>
              </w:rPr>
              <w:t>2015</w:t>
            </w:r>
          </w:p>
        </w:tc>
        <w:tc>
          <w:tcPr>
            <w:tcW w:w="1480" w:type="dxa"/>
            <w:tcBorders>
              <w:top w:val="single" w:sz="4" w:space="0" w:color="auto"/>
            </w:tcBorders>
            <w:shd w:val="clear" w:color="auto" w:fill="auto"/>
            <w:noWrap/>
            <w:vAlign w:val="bottom"/>
            <w:hideMark/>
          </w:tcPr>
          <w:p w14:paraId="7FF8F0CB" w14:textId="77777777" w:rsidR="008E46D8" w:rsidRPr="00A14236" w:rsidRDefault="008E46D8" w:rsidP="00B22EF6">
            <w:pPr>
              <w:spacing w:after="0" w:line="240" w:lineRule="auto"/>
              <w:jc w:val="right"/>
              <w:rPr>
                <w:rFonts w:eastAsia="Times New Roman" w:cs="Times New Roman"/>
                <w:color w:val="000000"/>
                <w:sz w:val="20"/>
                <w:lang w:eastAsia="sk-SK"/>
              </w:rPr>
            </w:pPr>
            <w:r w:rsidRPr="00A14236">
              <w:rPr>
                <w:rFonts w:eastAsia="Times New Roman" w:cs="Times New Roman"/>
                <w:color w:val="000000"/>
                <w:sz w:val="20"/>
                <w:lang w:eastAsia="sk-SK"/>
              </w:rPr>
              <w:t>1</w:t>
            </w:r>
          </w:p>
        </w:tc>
        <w:tc>
          <w:tcPr>
            <w:tcW w:w="1480" w:type="dxa"/>
            <w:tcBorders>
              <w:top w:val="single" w:sz="4" w:space="0" w:color="auto"/>
            </w:tcBorders>
            <w:shd w:val="clear" w:color="auto" w:fill="auto"/>
            <w:noWrap/>
            <w:vAlign w:val="bottom"/>
            <w:hideMark/>
          </w:tcPr>
          <w:p w14:paraId="0C3A8613" w14:textId="77777777" w:rsidR="008E46D8" w:rsidRPr="00A14236" w:rsidRDefault="008E46D8" w:rsidP="00B22EF6">
            <w:pPr>
              <w:spacing w:after="0" w:line="240" w:lineRule="auto"/>
              <w:jc w:val="right"/>
              <w:rPr>
                <w:rFonts w:eastAsia="Times New Roman" w:cs="Times New Roman"/>
                <w:color w:val="000000"/>
                <w:sz w:val="20"/>
                <w:lang w:eastAsia="sk-SK"/>
              </w:rPr>
            </w:pPr>
            <w:r w:rsidRPr="00A14236">
              <w:rPr>
                <w:rFonts w:eastAsia="Times New Roman" w:cs="Times New Roman"/>
                <w:color w:val="000000"/>
                <w:sz w:val="20"/>
                <w:lang w:eastAsia="sk-SK"/>
              </w:rPr>
              <w:t>5</w:t>
            </w:r>
          </w:p>
        </w:tc>
        <w:tc>
          <w:tcPr>
            <w:tcW w:w="1400" w:type="dxa"/>
            <w:tcBorders>
              <w:top w:val="single" w:sz="4" w:space="0" w:color="auto"/>
            </w:tcBorders>
            <w:shd w:val="clear" w:color="auto" w:fill="auto"/>
            <w:noWrap/>
            <w:vAlign w:val="bottom"/>
            <w:hideMark/>
          </w:tcPr>
          <w:p w14:paraId="3C3630CA" w14:textId="77777777" w:rsidR="008E46D8" w:rsidRPr="00A14236" w:rsidRDefault="008E46D8" w:rsidP="00B22EF6">
            <w:pPr>
              <w:spacing w:after="0" w:line="240" w:lineRule="auto"/>
              <w:jc w:val="right"/>
              <w:rPr>
                <w:rFonts w:eastAsia="Times New Roman" w:cs="Times New Roman"/>
                <w:b/>
                <w:bCs/>
                <w:color w:val="000000"/>
                <w:sz w:val="20"/>
                <w:lang w:eastAsia="sk-SK"/>
              </w:rPr>
            </w:pPr>
            <w:r w:rsidRPr="00A14236">
              <w:rPr>
                <w:rFonts w:eastAsia="Times New Roman" w:cs="Times New Roman"/>
                <w:b/>
                <w:bCs/>
                <w:color w:val="000000"/>
                <w:sz w:val="20"/>
                <w:lang w:eastAsia="sk-SK"/>
              </w:rPr>
              <w:t>6</w:t>
            </w:r>
          </w:p>
        </w:tc>
        <w:tc>
          <w:tcPr>
            <w:tcW w:w="1480" w:type="dxa"/>
            <w:tcBorders>
              <w:top w:val="single" w:sz="4" w:space="0" w:color="auto"/>
            </w:tcBorders>
            <w:shd w:val="clear" w:color="auto" w:fill="auto"/>
            <w:noWrap/>
            <w:vAlign w:val="bottom"/>
            <w:hideMark/>
          </w:tcPr>
          <w:p w14:paraId="05FA7D78" w14:textId="77777777" w:rsidR="008E46D8" w:rsidRPr="00A14236" w:rsidRDefault="008E46D8" w:rsidP="00B22EF6">
            <w:pPr>
              <w:spacing w:after="0" w:line="240" w:lineRule="auto"/>
              <w:jc w:val="right"/>
              <w:rPr>
                <w:rFonts w:eastAsia="Times New Roman" w:cs="Times New Roman"/>
                <w:color w:val="000000"/>
                <w:sz w:val="20"/>
                <w:lang w:eastAsia="sk-SK"/>
              </w:rPr>
            </w:pPr>
            <w:r w:rsidRPr="00A14236">
              <w:rPr>
                <w:rFonts w:eastAsia="Times New Roman" w:cs="Times New Roman"/>
                <w:color w:val="000000"/>
                <w:sz w:val="20"/>
                <w:lang w:eastAsia="sk-SK"/>
              </w:rPr>
              <w:t>2</w:t>
            </w:r>
          </w:p>
        </w:tc>
        <w:tc>
          <w:tcPr>
            <w:tcW w:w="1500" w:type="dxa"/>
            <w:tcBorders>
              <w:top w:val="single" w:sz="4" w:space="0" w:color="auto"/>
            </w:tcBorders>
            <w:shd w:val="clear" w:color="auto" w:fill="auto"/>
            <w:noWrap/>
            <w:vAlign w:val="bottom"/>
            <w:hideMark/>
          </w:tcPr>
          <w:p w14:paraId="75AC0E07" w14:textId="77777777" w:rsidR="008E46D8" w:rsidRPr="00A14236" w:rsidRDefault="008E46D8" w:rsidP="00B22EF6">
            <w:pPr>
              <w:spacing w:after="0" w:line="240" w:lineRule="auto"/>
              <w:jc w:val="right"/>
              <w:rPr>
                <w:rFonts w:eastAsia="Times New Roman" w:cs="Times New Roman"/>
                <w:color w:val="000000"/>
                <w:sz w:val="20"/>
                <w:lang w:eastAsia="sk-SK"/>
              </w:rPr>
            </w:pPr>
            <w:r w:rsidRPr="00A14236">
              <w:rPr>
                <w:rFonts w:eastAsia="Times New Roman" w:cs="Times New Roman"/>
                <w:color w:val="000000"/>
                <w:sz w:val="20"/>
                <w:lang w:eastAsia="sk-SK"/>
              </w:rPr>
              <w:t>173</w:t>
            </w:r>
          </w:p>
        </w:tc>
        <w:tc>
          <w:tcPr>
            <w:tcW w:w="1400" w:type="dxa"/>
            <w:tcBorders>
              <w:top w:val="single" w:sz="4" w:space="0" w:color="auto"/>
            </w:tcBorders>
            <w:shd w:val="clear" w:color="auto" w:fill="auto"/>
            <w:noWrap/>
            <w:vAlign w:val="bottom"/>
            <w:hideMark/>
          </w:tcPr>
          <w:p w14:paraId="64A30D8A" w14:textId="77777777" w:rsidR="008E46D8" w:rsidRPr="00A14236" w:rsidRDefault="008E46D8" w:rsidP="00B22EF6">
            <w:pPr>
              <w:spacing w:after="0" w:line="240" w:lineRule="auto"/>
              <w:jc w:val="right"/>
              <w:rPr>
                <w:rFonts w:eastAsia="Times New Roman" w:cs="Times New Roman"/>
                <w:b/>
                <w:bCs/>
                <w:color w:val="000000"/>
                <w:sz w:val="20"/>
                <w:lang w:eastAsia="sk-SK"/>
              </w:rPr>
            </w:pPr>
            <w:r w:rsidRPr="00A14236">
              <w:rPr>
                <w:rFonts w:eastAsia="Times New Roman" w:cs="Times New Roman"/>
                <w:b/>
                <w:bCs/>
                <w:color w:val="000000"/>
                <w:sz w:val="20"/>
                <w:lang w:eastAsia="sk-SK"/>
              </w:rPr>
              <w:t>175</w:t>
            </w:r>
          </w:p>
        </w:tc>
      </w:tr>
      <w:tr w:rsidR="008E46D8" w:rsidRPr="00A14236" w14:paraId="1EE1A966" w14:textId="77777777" w:rsidTr="00506F86">
        <w:trPr>
          <w:trHeight w:val="330"/>
        </w:trPr>
        <w:tc>
          <w:tcPr>
            <w:tcW w:w="960" w:type="dxa"/>
            <w:shd w:val="clear" w:color="auto" w:fill="auto"/>
            <w:noWrap/>
            <w:vAlign w:val="bottom"/>
            <w:hideMark/>
          </w:tcPr>
          <w:p w14:paraId="0A3BC8C9" w14:textId="77777777" w:rsidR="008E46D8" w:rsidRPr="00A14236" w:rsidRDefault="008E46D8" w:rsidP="00B22EF6">
            <w:pPr>
              <w:spacing w:after="0" w:line="240" w:lineRule="auto"/>
              <w:jc w:val="left"/>
              <w:rPr>
                <w:rFonts w:eastAsia="Times New Roman" w:cs="Times New Roman"/>
                <w:b/>
                <w:bCs/>
                <w:color w:val="000000"/>
                <w:sz w:val="20"/>
                <w:lang w:eastAsia="sk-SK"/>
              </w:rPr>
            </w:pPr>
            <w:r w:rsidRPr="00A14236">
              <w:rPr>
                <w:rFonts w:eastAsia="Times New Roman" w:cs="Times New Roman"/>
                <w:b/>
                <w:bCs/>
                <w:color w:val="000000"/>
                <w:sz w:val="20"/>
                <w:lang w:eastAsia="sk-SK"/>
              </w:rPr>
              <w:t>2016</w:t>
            </w:r>
          </w:p>
        </w:tc>
        <w:tc>
          <w:tcPr>
            <w:tcW w:w="1480" w:type="dxa"/>
            <w:shd w:val="clear" w:color="auto" w:fill="auto"/>
            <w:noWrap/>
            <w:vAlign w:val="bottom"/>
            <w:hideMark/>
          </w:tcPr>
          <w:p w14:paraId="329277F3" w14:textId="77777777" w:rsidR="008E46D8" w:rsidRPr="00A14236" w:rsidRDefault="008E46D8" w:rsidP="00B22EF6">
            <w:pPr>
              <w:spacing w:after="0" w:line="240" w:lineRule="auto"/>
              <w:jc w:val="right"/>
              <w:rPr>
                <w:rFonts w:eastAsia="Times New Roman" w:cs="Times New Roman"/>
                <w:color w:val="000000"/>
                <w:sz w:val="20"/>
                <w:lang w:eastAsia="sk-SK"/>
              </w:rPr>
            </w:pPr>
            <w:r w:rsidRPr="00A14236">
              <w:rPr>
                <w:rFonts w:eastAsia="Times New Roman" w:cs="Times New Roman"/>
                <w:color w:val="000000"/>
                <w:sz w:val="20"/>
                <w:lang w:eastAsia="sk-SK"/>
              </w:rPr>
              <w:t>6</w:t>
            </w:r>
          </w:p>
        </w:tc>
        <w:tc>
          <w:tcPr>
            <w:tcW w:w="1480" w:type="dxa"/>
            <w:shd w:val="clear" w:color="auto" w:fill="auto"/>
            <w:noWrap/>
            <w:vAlign w:val="bottom"/>
            <w:hideMark/>
          </w:tcPr>
          <w:p w14:paraId="38107035" w14:textId="77777777" w:rsidR="008E46D8" w:rsidRPr="00A14236" w:rsidRDefault="008E46D8" w:rsidP="00B22EF6">
            <w:pPr>
              <w:spacing w:after="0" w:line="240" w:lineRule="auto"/>
              <w:jc w:val="right"/>
              <w:rPr>
                <w:rFonts w:eastAsia="Times New Roman" w:cs="Times New Roman"/>
                <w:color w:val="000000"/>
                <w:sz w:val="20"/>
                <w:lang w:eastAsia="sk-SK"/>
              </w:rPr>
            </w:pPr>
            <w:r w:rsidRPr="00A14236">
              <w:rPr>
                <w:rFonts w:eastAsia="Times New Roman" w:cs="Times New Roman"/>
                <w:color w:val="000000"/>
                <w:sz w:val="20"/>
                <w:lang w:eastAsia="sk-SK"/>
              </w:rPr>
              <w:t>10</w:t>
            </w:r>
          </w:p>
        </w:tc>
        <w:tc>
          <w:tcPr>
            <w:tcW w:w="1400" w:type="dxa"/>
            <w:shd w:val="clear" w:color="auto" w:fill="auto"/>
            <w:noWrap/>
            <w:vAlign w:val="bottom"/>
            <w:hideMark/>
          </w:tcPr>
          <w:p w14:paraId="69AD6D4E" w14:textId="77777777" w:rsidR="008E46D8" w:rsidRPr="00A14236" w:rsidRDefault="008E46D8" w:rsidP="00B22EF6">
            <w:pPr>
              <w:spacing w:after="0" w:line="240" w:lineRule="auto"/>
              <w:jc w:val="right"/>
              <w:rPr>
                <w:rFonts w:eastAsia="Times New Roman" w:cs="Times New Roman"/>
                <w:b/>
                <w:bCs/>
                <w:color w:val="000000"/>
                <w:sz w:val="20"/>
                <w:lang w:eastAsia="sk-SK"/>
              </w:rPr>
            </w:pPr>
            <w:r w:rsidRPr="00A14236">
              <w:rPr>
                <w:rFonts w:eastAsia="Times New Roman" w:cs="Times New Roman"/>
                <w:b/>
                <w:bCs/>
                <w:color w:val="000000"/>
                <w:sz w:val="20"/>
                <w:lang w:eastAsia="sk-SK"/>
              </w:rPr>
              <w:t>16</w:t>
            </w:r>
          </w:p>
        </w:tc>
        <w:tc>
          <w:tcPr>
            <w:tcW w:w="1480" w:type="dxa"/>
            <w:shd w:val="clear" w:color="auto" w:fill="auto"/>
            <w:noWrap/>
            <w:vAlign w:val="bottom"/>
            <w:hideMark/>
          </w:tcPr>
          <w:p w14:paraId="3D473130" w14:textId="77777777" w:rsidR="008E46D8" w:rsidRPr="00A14236" w:rsidRDefault="008E46D8" w:rsidP="00B22EF6">
            <w:pPr>
              <w:spacing w:after="0" w:line="240" w:lineRule="auto"/>
              <w:jc w:val="right"/>
              <w:rPr>
                <w:rFonts w:eastAsia="Times New Roman" w:cs="Times New Roman"/>
                <w:color w:val="000000"/>
                <w:sz w:val="20"/>
                <w:lang w:eastAsia="sk-SK"/>
              </w:rPr>
            </w:pPr>
            <w:r w:rsidRPr="00A14236">
              <w:rPr>
                <w:rFonts w:eastAsia="Times New Roman" w:cs="Times New Roman"/>
                <w:color w:val="000000"/>
                <w:sz w:val="20"/>
                <w:lang w:eastAsia="sk-SK"/>
              </w:rPr>
              <w:t>29</w:t>
            </w:r>
          </w:p>
        </w:tc>
        <w:tc>
          <w:tcPr>
            <w:tcW w:w="1500" w:type="dxa"/>
            <w:shd w:val="clear" w:color="auto" w:fill="auto"/>
            <w:noWrap/>
            <w:vAlign w:val="bottom"/>
            <w:hideMark/>
          </w:tcPr>
          <w:p w14:paraId="6F36CED5" w14:textId="77777777" w:rsidR="008E46D8" w:rsidRPr="00A14236" w:rsidRDefault="008E46D8" w:rsidP="00B22EF6">
            <w:pPr>
              <w:spacing w:after="0" w:line="240" w:lineRule="auto"/>
              <w:jc w:val="right"/>
              <w:rPr>
                <w:rFonts w:eastAsia="Times New Roman" w:cs="Times New Roman"/>
                <w:color w:val="000000"/>
                <w:sz w:val="20"/>
                <w:lang w:eastAsia="sk-SK"/>
              </w:rPr>
            </w:pPr>
            <w:r w:rsidRPr="00A14236">
              <w:rPr>
                <w:rFonts w:eastAsia="Times New Roman" w:cs="Times New Roman"/>
                <w:color w:val="000000"/>
                <w:sz w:val="20"/>
                <w:lang w:eastAsia="sk-SK"/>
              </w:rPr>
              <w:t>391</w:t>
            </w:r>
          </w:p>
        </w:tc>
        <w:tc>
          <w:tcPr>
            <w:tcW w:w="1400" w:type="dxa"/>
            <w:shd w:val="clear" w:color="auto" w:fill="auto"/>
            <w:noWrap/>
            <w:vAlign w:val="bottom"/>
            <w:hideMark/>
          </w:tcPr>
          <w:p w14:paraId="24A9BDC3" w14:textId="77777777" w:rsidR="008E46D8" w:rsidRPr="00A14236" w:rsidRDefault="008E46D8" w:rsidP="00B22EF6">
            <w:pPr>
              <w:spacing w:after="0" w:line="240" w:lineRule="auto"/>
              <w:jc w:val="right"/>
              <w:rPr>
                <w:rFonts w:eastAsia="Times New Roman" w:cs="Times New Roman"/>
                <w:b/>
                <w:bCs/>
                <w:color w:val="000000"/>
                <w:sz w:val="20"/>
                <w:lang w:eastAsia="sk-SK"/>
              </w:rPr>
            </w:pPr>
            <w:r w:rsidRPr="00A14236">
              <w:rPr>
                <w:rFonts w:eastAsia="Times New Roman" w:cs="Times New Roman"/>
                <w:b/>
                <w:bCs/>
                <w:color w:val="000000"/>
                <w:sz w:val="20"/>
                <w:lang w:eastAsia="sk-SK"/>
              </w:rPr>
              <w:t>420</w:t>
            </w:r>
          </w:p>
        </w:tc>
      </w:tr>
      <w:tr w:rsidR="008E46D8" w:rsidRPr="00A14236" w14:paraId="5AE53039" w14:textId="77777777" w:rsidTr="00506F86">
        <w:trPr>
          <w:trHeight w:val="330"/>
        </w:trPr>
        <w:tc>
          <w:tcPr>
            <w:tcW w:w="960" w:type="dxa"/>
            <w:shd w:val="clear" w:color="auto" w:fill="auto"/>
            <w:noWrap/>
            <w:vAlign w:val="bottom"/>
            <w:hideMark/>
          </w:tcPr>
          <w:p w14:paraId="522C7370" w14:textId="77777777" w:rsidR="008E46D8" w:rsidRPr="00A14236" w:rsidRDefault="008E46D8" w:rsidP="00B22EF6">
            <w:pPr>
              <w:spacing w:after="0" w:line="240" w:lineRule="auto"/>
              <w:jc w:val="left"/>
              <w:rPr>
                <w:rFonts w:eastAsia="Times New Roman" w:cs="Times New Roman"/>
                <w:b/>
                <w:bCs/>
                <w:color w:val="000000"/>
                <w:sz w:val="20"/>
                <w:lang w:eastAsia="sk-SK"/>
              </w:rPr>
            </w:pPr>
            <w:r w:rsidRPr="00A14236">
              <w:rPr>
                <w:rFonts w:eastAsia="Times New Roman" w:cs="Times New Roman"/>
                <w:b/>
                <w:bCs/>
                <w:color w:val="000000"/>
                <w:sz w:val="20"/>
                <w:lang w:eastAsia="sk-SK"/>
              </w:rPr>
              <w:t>2017</w:t>
            </w:r>
          </w:p>
        </w:tc>
        <w:tc>
          <w:tcPr>
            <w:tcW w:w="1480" w:type="dxa"/>
            <w:shd w:val="clear" w:color="auto" w:fill="auto"/>
            <w:noWrap/>
            <w:vAlign w:val="bottom"/>
            <w:hideMark/>
          </w:tcPr>
          <w:p w14:paraId="0E55712C" w14:textId="77777777" w:rsidR="008E46D8" w:rsidRPr="00A14236" w:rsidRDefault="008E46D8" w:rsidP="00B22EF6">
            <w:pPr>
              <w:spacing w:after="0" w:line="240" w:lineRule="auto"/>
              <w:jc w:val="right"/>
              <w:rPr>
                <w:rFonts w:eastAsia="Times New Roman" w:cs="Times New Roman"/>
                <w:color w:val="000000"/>
                <w:sz w:val="20"/>
                <w:lang w:eastAsia="sk-SK"/>
              </w:rPr>
            </w:pPr>
            <w:r w:rsidRPr="00A14236">
              <w:rPr>
                <w:rFonts w:eastAsia="Times New Roman" w:cs="Times New Roman"/>
                <w:color w:val="000000"/>
                <w:sz w:val="20"/>
                <w:lang w:eastAsia="sk-SK"/>
              </w:rPr>
              <w:t>9</w:t>
            </w:r>
          </w:p>
        </w:tc>
        <w:tc>
          <w:tcPr>
            <w:tcW w:w="1480" w:type="dxa"/>
            <w:shd w:val="clear" w:color="auto" w:fill="auto"/>
            <w:noWrap/>
            <w:vAlign w:val="bottom"/>
            <w:hideMark/>
          </w:tcPr>
          <w:p w14:paraId="7EE36485" w14:textId="77777777" w:rsidR="008E46D8" w:rsidRPr="00A14236" w:rsidRDefault="008E46D8" w:rsidP="00B22EF6">
            <w:pPr>
              <w:spacing w:after="0" w:line="240" w:lineRule="auto"/>
              <w:jc w:val="right"/>
              <w:rPr>
                <w:rFonts w:eastAsia="Times New Roman" w:cs="Times New Roman"/>
                <w:color w:val="000000"/>
                <w:sz w:val="20"/>
                <w:lang w:eastAsia="sk-SK"/>
              </w:rPr>
            </w:pPr>
            <w:r w:rsidRPr="00A14236">
              <w:rPr>
                <w:rFonts w:eastAsia="Times New Roman" w:cs="Times New Roman"/>
                <w:color w:val="000000"/>
                <w:sz w:val="20"/>
                <w:lang w:eastAsia="sk-SK"/>
              </w:rPr>
              <w:t>12</w:t>
            </w:r>
          </w:p>
        </w:tc>
        <w:tc>
          <w:tcPr>
            <w:tcW w:w="1400" w:type="dxa"/>
            <w:shd w:val="clear" w:color="auto" w:fill="auto"/>
            <w:noWrap/>
            <w:vAlign w:val="bottom"/>
            <w:hideMark/>
          </w:tcPr>
          <w:p w14:paraId="749443B7" w14:textId="77777777" w:rsidR="008E46D8" w:rsidRPr="00A14236" w:rsidRDefault="008E46D8" w:rsidP="00B22EF6">
            <w:pPr>
              <w:spacing w:after="0" w:line="240" w:lineRule="auto"/>
              <w:jc w:val="right"/>
              <w:rPr>
                <w:rFonts w:eastAsia="Times New Roman" w:cs="Times New Roman"/>
                <w:b/>
                <w:bCs/>
                <w:color w:val="000000"/>
                <w:sz w:val="20"/>
                <w:lang w:eastAsia="sk-SK"/>
              </w:rPr>
            </w:pPr>
            <w:r w:rsidRPr="00A14236">
              <w:rPr>
                <w:rFonts w:eastAsia="Times New Roman" w:cs="Times New Roman"/>
                <w:b/>
                <w:bCs/>
                <w:color w:val="000000"/>
                <w:sz w:val="20"/>
                <w:lang w:eastAsia="sk-SK"/>
              </w:rPr>
              <w:t>21</w:t>
            </w:r>
          </w:p>
        </w:tc>
        <w:tc>
          <w:tcPr>
            <w:tcW w:w="1480" w:type="dxa"/>
            <w:shd w:val="clear" w:color="auto" w:fill="auto"/>
            <w:noWrap/>
            <w:vAlign w:val="bottom"/>
            <w:hideMark/>
          </w:tcPr>
          <w:p w14:paraId="76F6B7FE" w14:textId="77777777" w:rsidR="008E46D8" w:rsidRPr="00A14236" w:rsidRDefault="008E46D8" w:rsidP="00B22EF6">
            <w:pPr>
              <w:spacing w:after="0" w:line="240" w:lineRule="auto"/>
              <w:jc w:val="right"/>
              <w:rPr>
                <w:rFonts w:eastAsia="Times New Roman" w:cs="Times New Roman"/>
                <w:color w:val="000000"/>
                <w:sz w:val="20"/>
                <w:lang w:eastAsia="sk-SK"/>
              </w:rPr>
            </w:pPr>
            <w:r w:rsidRPr="00A14236">
              <w:rPr>
                <w:rFonts w:eastAsia="Times New Roman" w:cs="Times New Roman"/>
                <w:color w:val="000000"/>
                <w:sz w:val="20"/>
                <w:lang w:eastAsia="sk-SK"/>
              </w:rPr>
              <w:t>129</w:t>
            </w:r>
          </w:p>
        </w:tc>
        <w:tc>
          <w:tcPr>
            <w:tcW w:w="1500" w:type="dxa"/>
            <w:shd w:val="clear" w:color="auto" w:fill="auto"/>
            <w:noWrap/>
            <w:vAlign w:val="bottom"/>
            <w:hideMark/>
          </w:tcPr>
          <w:p w14:paraId="71FD767E" w14:textId="77777777" w:rsidR="008E46D8" w:rsidRPr="00A14236" w:rsidRDefault="008E46D8" w:rsidP="00B22EF6">
            <w:pPr>
              <w:spacing w:after="0" w:line="240" w:lineRule="auto"/>
              <w:jc w:val="right"/>
              <w:rPr>
                <w:rFonts w:eastAsia="Times New Roman" w:cs="Times New Roman"/>
                <w:color w:val="000000"/>
                <w:sz w:val="20"/>
                <w:lang w:eastAsia="sk-SK"/>
              </w:rPr>
            </w:pPr>
            <w:r w:rsidRPr="00A14236">
              <w:rPr>
                <w:rFonts w:eastAsia="Times New Roman" w:cs="Times New Roman"/>
                <w:color w:val="000000"/>
                <w:sz w:val="20"/>
                <w:lang w:eastAsia="sk-SK"/>
              </w:rPr>
              <w:t>568</w:t>
            </w:r>
          </w:p>
        </w:tc>
        <w:tc>
          <w:tcPr>
            <w:tcW w:w="1400" w:type="dxa"/>
            <w:shd w:val="clear" w:color="auto" w:fill="auto"/>
            <w:noWrap/>
            <w:vAlign w:val="bottom"/>
            <w:hideMark/>
          </w:tcPr>
          <w:p w14:paraId="23B7BD48" w14:textId="77777777" w:rsidR="008E46D8" w:rsidRPr="00A14236" w:rsidRDefault="008E46D8" w:rsidP="00B22EF6">
            <w:pPr>
              <w:spacing w:after="0" w:line="240" w:lineRule="auto"/>
              <w:jc w:val="right"/>
              <w:rPr>
                <w:rFonts w:eastAsia="Times New Roman" w:cs="Times New Roman"/>
                <w:b/>
                <w:bCs/>
                <w:color w:val="000000"/>
                <w:sz w:val="20"/>
                <w:lang w:eastAsia="sk-SK"/>
              </w:rPr>
            </w:pPr>
            <w:r w:rsidRPr="00A14236">
              <w:rPr>
                <w:rFonts w:eastAsia="Times New Roman" w:cs="Times New Roman"/>
                <w:b/>
                <w:bCs/>
                <w:color w:val="000000"/>
                <w:sz w:val="20"/>
                <w:lang w:eastAsia="sk-SK"/>
              </w:rPr>
              <w:t>697</w:t>
            </w:r>
          </w:p>
        </w:tc>
      </w:tr>
      <w:tr w:rsidR="008E46D8" w:rsidRPr="00A14236" w14:paraId="24219588" w14:textId="77777777" w:rsidTr="00506F86">
        <w:trPr>
          <w:trHeight w:val="330"/>
        </w:trPr>
        <w:tc>
          <w:tcPr>
            <w:tcW w:w="960" w:type="dxa"/>
            <w:shd w:val="clear" w:color="auto" w:fill="auto"/>
            <w:noWrap/>
            <w:vAlign w:val="bottom"/>
            <w:hideMark/>
          </w:tcPr>
          <w:p w14:paraId="2577D5F9" w14:textId="77777777" w:rsidR="008E46D8" w:rsidRPr="00A14236" w:rsidRDefault="008E46D8" w:rsidP="00B22EF6">
            <w:pPr>
              <w:spacing w:after="0" w:line="240" w:lineRule="auto"/>
              <w:jc w:val="left"/>
              <w:rPr>
                <w:rFonts w:eastAsia="Times New Roman" w:cs="Times New Roman"/>
                <w:b/>
                <w:bCs/>
                <w:color w:val="000000"/>
                <w:sz w:val="20"/>
                <w:lang w:eastAsia="sk-SK"/>
              </w:rPr>
            </w:pPr>
            <w:r w:rsidRPr="00A14236">
              <w:rPr>
                <w:rFonts w:eastAsia="Times New Roman" w:cs="Times New Roman"/>
                <w:b/>
                <w:bCs/>
                <w:color w:val="000000"/>
                <w:sz w:val="20"/>
                <w:lang w:eastAsia="sk-SK"/>
              </w:rPr>
              <w:t>2018</w:t>
            </w:r>
          </w:p>
        </w:tc>
        <w:tc>
          <w:tcPr>
            <w:tcW w:w="1480" w:type="dxa"/>
            <w:shd w:val="clear" w:color="auto" w:fill="auto"/>
            <w:noWrap/>
            <w:vAlign w:val="bottom"/>
            <w:hideMark/>
          </w:tcPr>
          <w:p w14:paraId="01586E14" w14:textId="77777777" w:rsidR="008E46D8" w:rsidRPr="00A14236" w:rsidRDefault="008E46D8" w:rsidP="00B22EF6">
            <w:pPr>
              <w:spacing w:after="0" w:line="240" w:lineRule="auto"/>
              <w:jc w:val="right"/>
              <w:rPr>
                <w:rFonts w:eastAsia="Times New Roman" w:cs="Times New Roman"/>
                <w:color w:val="000000"/>
                <w:sz w:val="20"/>
                <w:lang w:eastAsia="sk-SK"/>
              </w:rPr>
            </w:pPr>
            <w:r w:rsidRPr="00A14236">
              <w:rPr>
                <w:rFonts w:eastAsia="Times New Roman" w:cs="Times New Roman"/>
                <w:color w:val="000000"/>
                <w:sz w:val="20"/>
                <w:lang w:eastAsia="sk-SK"/>
              </w:rPr>
              <w:t>13</w:t>
            </w:r>
          </w:p>
        </w:tc>
        <w:tc>
          <w:tcPr>
            <w:tcW w:w="1480" w:type="dxa"/>
            <w:shd w:val="clear" w:color="auto" w:fill="auto"/>
            <w:noWrap/>
            <w:vAlign w:val="bottom"/>
            <w:hideMark/>
          </w:tcPr>
          <w:p w14:paraId="3883A6B8" w14:textId="77777777" w:rsidR="008E46D8" w:rsidRPr="00A14236" w:rsidRDefault="008E46D8" w:rsidP="00B22EF6">
            <w:pPr>
              <w:spacing w:after="0" w:line="240" w:lineRule="auto"/>
              <w:jc w:val="right"/>
              <w:rPr>
                <w:rFonts w:eastAsia="Times New Roman" w:cs="Times New Roman"/>
                <w:color w:val="000000"/>
                <w:sz w:val="20"/>
                <w:lang w:eastAsia="sk-SK"/>
              </w:rPr>
            </w:pPr>
            <w:r w:rsidRPr="00A14236">
              <w:rPr>
                <w:rFonts w:eastAsia="Times New Roman" w:cs="Times New Roman"/>
                <w:color w:val="000000"/>
                <w:sz w:val="20"/>
                <w:lang w:eastAsia="sk-SK"/>
              </w:rPr>
              <w:t>17</w:t>
            </w:r>
          </w:p>
        </w:tc>
        <w:tc>
          <w:tcPr>
            <w:tcW w:w="1400" w:type="dxa"/>
            <w:shd w:val="clear" w:color="auto" w:fill="auto"/>
            <w:noWrap/>
            <w:vAlign w:val="bottom"/>
            <w:hideMark/>
          </w:tcPr>
          <w:p w14:paraId="2D9FB631" w14:textId="77777777" w:rsidR="008E46D8" w:rsidRPr="00A14236" w:rsidRDefault="008E46D8" w:rsidP="00B22EF6">
            <w:pPr>
              <w:spacing w:after="0" w:line="240" w:lineRule="auto"/>
              <w:jc w:val="right"/>
              <w:rPr>
                <w:rFonts w:eastAsia="Times New Roman" w:cs="Times New Roman"/>
                <w:b/>
                <w:bCs/>
                <w:color w:val="000000"/>
                <w:sz w:val="20"/>
                <w:lang w:eastAsia="sk-SK"/>
              </w:rPr>
            </w:pPr>
            <w:r w:rsidRPr="00A14236">
              <w:rPr>
                <w:rFonts w:eastAsia="Times New Roman" w:cs="Times New Roman"/>
                <w:b/>
                <w:bCs/>
                <w:color w:val="000000"/>
                <w:sz w:val="20"/>
                <w:lang w:eastAsia="sk-SK"/>
              </w:rPr>
              <w:t>30</w:t>
            </w:r>
          </w:p>
        </w:tc>
        <w:tc>
          <w:tcPr>
            <w:tcW w:w="1480" w:type="dxa"/>
            <w:shd w:val="clear" w:color="auto" w:fill="auto"/>
            <w:noWrap/>
            <w:vAlign w:val="bottom"/>
            <w:hideMark/>
          </w:tcPr>
          <w:p w14:paraId="631D3078" w14:textId="77777777" w:rsidR="008E46D8" w:rsidRPr="00A14236" w:rsidRDefault="008E46D8" w:rsidP="00B22EF6">
            <w:pPr>
              <w:spacing w:after="0" w:line="240" w:lineRule="auto"/>
              <w:jc w:val="right"/>
              <w:rPr>
                <w:rFonts w:eastAsia="Times New Roman" w:cs="Times New Roman"/>
                <w:color w:val="000000"/>
                <w:sz w:val="20"/>
                <w:lang w:eastAsia="sk-SK"/>
              </w:rPr>
            </w:pPr>
            <w:r w:rsidRPr="00A14236">
              <w:rPr>
                <w:rFonts w:eastAsia="Times New Roman" w:cs="Times New Roman"/>
                <w:color w:val="000000"/>
                <w:sz w:val="20"/>
                <w:lang w:eastAsia="sk-SK"/>
              </w:rPr>
              <w:t>230</w:t>
            </w:r>
          </w:p>
        </w:tc>
        <w:tc>
          <w:tcPr>
            <w:tcW w:w="1500" w:type="dxa"/>
            <w:shd w:val="clear" w:color="auto" w:fill="auto"/>
            <w:noWrap/>
            <w:vAlign w:val="bottom"/>
            <w:hideMark/>
          </w:tcPr>
          <w:p w14:paraId="71D94E0C" w14:textId="77777777" w:rsidR="008E46D8" w:rsidRPr="00A14236" w:rsidRDefault="008E46D8" w:rsidP="00B22EF6">
            <w:pPr>
              <w:spacing w:after="0" w:line="240" w:lineRule="auto"/>
              <w:jc w:val="right"/>
              <w:rPr>
                <w:rFonts w:eastAsia="Times New Roman" w:cs="Times New Roman"/>
                <w:color w:val="000000"/>
                <w:sz w:val="20"/>
                <w:lang w:eastAsia="sk-SK"/>
              </w:rPr>
            </w:pPr>
            <w:r w:rsidRPr="00A14236">
              <w:rPr>
                <w:rFonts w:eastAsia="Times New Roman" w:cs="Times New Roman"/>
                <w:color w:val="000000"/>
                <w:sz w:val="20"/>
                <w:lang w:eastAsia="sk-SK"/>
              </w:rPr>
              <w:t>989</w:t>
            </w:r>
          </w:p>
        </w:tc>
        <w:tc>
          <w:tcPr>
            <w:tcW w:w="1400" w:type="dxa"/>
            <w:shd w:val="clear" w:color="auto" w:fill="auto"/>
            <w:noWrap/>
            <w:vAlign w:val="bottom"/>
            <w:hideMark/>
          </w:tcPr>
          <w:p w14:paraId="38941620" w14:textId="77777777" w:rsidR="008E46D8" w:rsidRPr="00A14236" w:rsidRDefault="008E46D8" w:rsidP="00B22EF6">
            <w:pPr>
              <w:spacing w:after="0" w:line="240" w:lineRule="auto"/>
              <w:jc w:val="right"/>
              <w:rPr>
                <w:rFonts w:eastAsia="Times New Roman" w:cs="Times New Roman"/>
                <w:b/>
                <w:bCs/>
                <w:color w:val="000000"/>
                <w:sz w:val="20"/>
                <w:lang w:eastAsia="sk-SK"/>
              </w:rPr>
            </w:pPr>
            <w:r w:rsidRPr="00A14236">
              <w:rPr>
                <w:rFonts w:eastAsia="Times New Roman" w:cs="Times New Roman"/>
                <w:b/>
                <w:bCs/>
                <w:color w:val="000000"/>
                <w:sz w:val="20"/>
                <w:lang w:eastAsia="sk-SK"/>
              </w:rPr>
              <w:t>1219</w:t>
            </w:r>
          </w:p>
        </w:tc>
      </w:tr>
      <w:tr w:rsidR="00FD3839" w:rsidRPr="00A14236" w14:paraId="7216F9CF" w14:textId="77777777" w:rsidTr="00134838">
        <w:trPr>
          <w:trHeight w:val="300"/>
        </w:trPr>
        <w:tc>
          <w:tcPr>
            <w:tcW w:w="9700" w:type="dxa"/>
            <w:gridSpan w:val="7"/>
            <w:tcBorders>
              <w:top w:val="single" w:sz="4" w:space="0" w:color="auto"/>
            </w:tcBorders>
            <w:shd w:val="clear" w:color="auto" w:fill="auto"/>
            <w:noWrap/>
            <w:vAlign w:val="bottom"/>
            <w:hideMark/>
          </w:tcPr>
          <w:p w14:paraId="4A4271DD" w14:textId="35BB5BDB" w:rsidR="00FD3839" w:rsidRPr="00A14236" w:rsidRDefault="00FD3839" w:rsidP="00FD3839">
            <w:pPr>
              <w:spacing w:after="0" w:line="240" w:lineRule="auto"/>
              <w:jc w:val="right"/>
              <w:rPr>
                <w:rFonts w:eastAsia="Times New Roman" w:cs="Times New Roman"/>
                <w:sz w:val="20"/>
                <w:lang w:eastAsia="sk-SK"/>
              </w:rPr>
            </w:pPr>
            <w:r w:rsidRPr="00A14236">
              <w:rPr>
                <w:rFonts w:eastAsia="Times New Roman" w:cs="Times New Roman"/>
                <w:i/>
                <w:color w:val="000000"/>
                <w:sz w:val="18"/>
                <w:szCs w:val="18"/>
                <w:lang w:eastAsia="sk-SK"/>
              </w:rPr>
              <w:t>Zdroj: V(MPSVR SR) 10-01 a V(MPSVR SR) 07-01</w:t>
            </w:r>
          </w:p>
        </w:tc>
      </w:tr>
    </w:tbl>
    <w:p w14:paraId="767A61D2" w14:textId="77777777" w:rsidR="008E46D8" w:rsidRPr="00A14236" w:rsidRDefault="008E46D8" w:rsidP="008E46D8"/>
    <w:p w14:paraId="2B41DD6E" w14:textId="77777777" w:rsidR="00827B00" w:rsidRDefault="00827B00">
      <w:pPr>
        <w:spacing w:after="160"/>
        <w:jc w:val="left"/>
        <w:rPr>
          <w:b/>
          <w:iCs/>
          <w:color w:val="2E74B5" w:themeColor="accent1" w:themeShade="BF"/>
          <w:szCs w:val="18"/>
        </w:rPr>
      </w:pPr>
      <w:r>
        <w:rPr>
          <w:b/>
          <w:i/>
          <w:color w:val="2E74B5" w:themeColor="accent1" w:themeShade="BF"/>
        </w:rPr>
        <w:br w:type="page"/>
      </w:r>
    </w:p>
    <w:p w14:paraId="5007BD95" w14:textId="07FECC99" w:rsidR="008E46D8" w:rsidRPr="00A14236" w:rsidRDefault="002B126D" w:rsidP="002B126D">
      <w:pPr>
        <w:pStyle w:val="Popis"/>
        <w:keepNext/>
        <w:rPr>
          <w:b/>
          <w:i w:val="0"/>
          <w:color w:val="2E74B5" w:themeColor="accent1" w:themeShade="BF"/>
          <w:sz w:val="22"/>
        </w:rPr>
      </w:pPr>
      <w:bookmarkStart w:id="1875" w:name="_Ref34130360"/>
      <w:r w:rsidRPr="002B126D">
        <w:rPr>
          <w:b/>
          <w:i w:val="0"/>
          <w:color w:val="2E74B5" w:themeColor="accent1" w:themeShade="BF"/>
          <w:sz w:val="22"/>
        </w:rPr>
        <w:t xml:space="preserve">Príloha </w:t>
      </w:r>
      <w:r w:rsidRPr="002B126D">
        <w:rPr>
          <w:b/>
          <w:i w:val="0"/>
          <w:color w:val="2E74B5" w:themeColor="accent1" w:themeShade="BF"/>
          <w:sz w:val="22"/>
        </w:rPr>
        <w:fldChar w:fldCharType="begin"/>
      </w:r>
      <w:r w:rsidRPr="002B126D">
        <w:rPr>
          <w:b/>
          <w:i w:val="0"/>
          <w:color w:val="2E74B5" w:themeColor="accent1" w:themeShade="BF"/>
          <w:sz w:val="22"/>
        </w:rPr>
        <w:instrText xml:space="preserve"> SEQ Príloha \* ARABIC </w:instrText>
      </w:r>
      <w:r w:rsidRPr="002B126D">
        <w:rPr>
          <w:b/>
          <w:i w:val="0"/>
          <w:color w:val="2E74B5" w:themeColor="accent1" w:themeShade="BF"/>
          <w:sz w:val="22"/>
        </w:rPr>
        <w:fldChar w:fldCharType="separate"/>
      </w:r>
      <w:r w:rsidR="00FA29AF">
        <w:rPr>
          <w:b/>
          <w:i w:val="0"/>
          <w:noProof/>
          <w:color w:val="2E74B5" w:themeColor="accent1" w:themeShade="BF"/>
          <w:sz w:val="22"/>
        </w:rPr>
        <w:t>5</w:t>
      </w:r>
      <w:r w:rsidRPr="002B126D">
        <w:rPr>
          <w:b/>
          <w:i w:val="0"/>
          <w:color w:val="2E74B5" w:themeColor="accent1" w:themeShade="BF"/>
          <w:sz w:val="22"/>
        </w:rPr>
        <w:fldChar w:fldCharType="end"/>
      </w:r>
      <w:bookmarkEnd w:id="1875"/>
      <w:r>
        <w:rPr>
          <w:b/>
          <w:i w:val="0"/>
          <w:color w:val="2E74B5" w:themeColor="accent1" w:themeShade="BF"/>
          <w:sz w:val="22"/>
        </w:rPr>
        <w:t>:</w:t>
      </w:r>
      <w:r w:rsidR="008E46D8" w:rsidRPr="000C6214">
        <w:rPr>
          <w:b/>
          <w:i w:val="0"/>
          <w:color w:val="2E74B5" w:themeColor="accent1" w:themeShade="BF"/>
          <w:sz w:val="22"/>
        </w:rPr>
        <w:t xml:space="preserve"> </w:t>
      </w:r>
      <w:r w:rsidR="008E46D8">
        <w:rPr>
          <w:b/>
          <w:i w:val="0"/>
          <w:color w:val="2E74B5" w:themeColor="accent1" w:themeShade="BF"/>
          <w:sz w:val="22"/>
        </w:rPr>
        <w:t>Príjmy poskytovateľov služieb včasnej intervencie</w:t>
      </w:r>
    </w:p>
    <w:p w14:paraId="41369D5D" w14:textId="69C91A0C" w:rsidR="00506F86" w:rsidRPr="00506F86" w:rsidRDefault="00506F86" w:rsidP="00506F86">
      <w:pPr>
        <w:pStyle w:val="Popis"/>
        <w:keepNext/>
        <w:spacing w:after="0"/>
        <w:rPr>
          <w:b/>
          <w:i w:val="0"/>
          <w:color w:val="auto"/>
          <w:sz w:val="20"/>
          <w:szCs w:val="20"/>
        </w:rPr>
      </w:pPr>
      <w:r w:rsidRPr="00506F86">
        <w:rPr>
          <w:b/>
          <w:i w:val="0"/>
          <w:color w:val="auto"/>
          <w:sz w:val="20"/>
          <w:szCs w:val="20"/>
        </w:rPr>
        <w:t xml:space="preserve">Tabuľka P </w:t>
      </w:r>
      <w:r w:rsidRPr="00506F86">
        <w:rPr>
          <w:b/>
          <w:i w:val="0"/>
          <w:color w:val="auto"/>
          <w:sz w:val="20"/>
          <w:szCs w:val="20"/>
        </w:rPr>
        <w:fldChar w:fldCharType="begin"/>
      </w:r>
      <w:r w:rsidRPr="00506F86">
        <w:rPr>
          <w:b/>
          <w:i w:val="0"/>
          <w:color w:val="auto"/>
          <w:sz w:val="20"/>
          <w:szCs w:val="20"/>
        </w:rPr>
        <w:instrText xml:space="preserve"> SEQ Tabuľka_P \* ARABIC </w:instrText>
      </w:r>
      <w:r w:rsidRPr="00506F86">
        <w:rPr>
          <w:b/>
          <w:i w:val="0"/>
          <w:color w:val="auto"/>
          <w:sz w:val="20"/>
          <w:szCs w:val="20"/>
        </w:rPr>
        <w:fldChar w:fldCharType="separate"/>
      </w:r>
      <w:r w:rsidR="00FA29AF">
        <w:rPr>
          <w:b/>
          <w:i w:val="0"/>
          <w:noProof/>
          <w:color w:val="auto"/>
          <w:sz w:val="20"/>
          <w:szCs w:val="20"/>
        </w:rPr>
        <w:t>3</w:t>
      </w:r>
      <w:r w:rsidRPr="00506F86">
        <w:rPr>
          <w:b/>
          <w:i w:val="0"/>
          <w:color w:val="auto"/>
          <w:sz w:val="20"/>
          <w:szCs w:val="20"/>
        </w:rPr>
        <w:fldChar w:fldCharType="end"/>
      </w:r>
      <w:r w:rsidRPr="00506F86">
        <w:rPr>
          <w:b/>
          <w:i w:val="0"/>
          <w:color w:val="auto"/>
          <w:sz w:val="20"/>
          <w:szCs w:val="20"/>
        </w:rPr>
        <w:t>: Príjmy poskytovateľov služby včasnej intervencie, 2018</w:t>
      </w:r>
    </w:p>
    <w:tbl>
      <w:tblPr>
        <w:tblW w:w="9075" w:type="dxa"/>
        <w:tblInd w:w="-3" w:type="dxa"/>
        <w:tblLayout w:type="fixed"/>
        <w:tblLook w:val="0400" w:firstRow="0" w:lastRow="0" w:firstColumn="0" w:lastColumn="0" w:noHBand="0" w:noVBand="1"/>
      </w:tblPr>
      <w:tblGrid>
        <w:gridCol w:w="978"/>
        <w:gridCol w:w="1156"/>
        <w:gridCol w:w="1156"/>
        <w:gridCol w:w="1157"/>
        <w:gridCol w:w="1157"/>
        <w:gridCol w:w="1157"/>
        <w:gridCol w:w="1157"/>
        <w:gridCol w:w="1157"/>
      </w:tblGrid>
      <w:tr w:rsidR="008E46D8" w:rsidRPr="00A05470" w14:paraId="27A77524" w14:textId="77777777" w:rsidTr="00B22EF6">
        <w:trPr>
          <w:trHeight w:val="284"/>
        </w:trPr>
        <w:tc>
          <w:tcPr>
            <w:tcW w:w="978" w:type="dxa"/>
            <w:tcBorders>
              <w:top w:val="single" w:sz="4" w:space="0" w:color="auto"/>
              <w:left w:val="nil"/>
            </w:tcBorders>
            <w:shd w:val="clear" w:color="auto" w:fill="auto"/>
            <w:vAlign w:val="bottom"/>
          </w:tcPr>
          <w:p w14:paraId="41999EDE" w14:textId="77777777" w:rsidR="008E46D8" w:rsidRPr="00A05470" w:rsidRDefault="008E46D8" w:rsidP="00B22EF6">
            <w:pPr>
              <w:spacing w:after="0" w:line="240" w:lineRule="auto"/>
              <w:rPr>
                <w:rFonts w:eastAsia="Arial Narrow" w:cs="Arial Narrow"/>
                <w:sz w:val="20"/>
              </w:rPr>
            </w:pPr>
          </w:p>
        </w:tc>
        <w:tc>
          <w:tcPr>
            <w:tcW w:w="1156" w:type="dxa"/>
            <w:vMerge w:val="restart"/>
            <w:tcBorders>
              <w:top w:val="single" w:sz="4" w:space="0" w:color="auto"/>
              <w:bottom w:val="single" w:sz="4" w:space="0" w:color="auto"/>
            </w:tcBorders>
            <w:shd w:val="clear" w:color="auto" w:fill="auto"/>
            <w:vAlign w:val="center"/>
          </w:tcPr>
          <w:p w14:paraId="3D7076DA" w14:textId="77777777" w:rsidR="008E46D8" w:rsidRDefault="008E46D8" w:rsidP="00B22EF6">
            <w:pPr>
              <w:spacing w:after="0" w:line="240" w:lineRule="auto"/>
              <w:jc w:val="center"/>
              <w:rPr>
                <w:rFonts w:eastAsia="Arial Narrow" w:cs="Arial Narrow"/>
                <w:b/>
                <w:color w:val="000000"/>
                <w:sz w:val="20"/>
              </w:rPr>
            </w:pPr>
            <w:r w:rsidRPr="00A05470">
              <w:rPr>
                <w:rFonts w:eastAsia="Arial Narrow" w:cs="Arial Narrow"/>
                <w:b/>
                <w:color w:val="000000"/>
                <w:sz w:val="20"/>
              </w:rPr>
              <w:t>Celkom k 31. 12. 2018</w:t>
            </w:r>
          </w:p>
          <w:p w14:paraId="1E8C589F" w14:textId="77777777" w:rsidR="008E46D8" w:rsidRPr="00A05470" w:rsidRDefault="008E46D8" w:rsidP="00B22EF6">
            <w:pPr>
              <w:spacing w:after="0" w:line="240" w:lineRule="auto"/>
              <w:jc w:val="center"/>
              <w:rPr>
                <w:rFonts w:eastAsia="Arial Narrow" w:cs="Arial Narrow"/>
                <w:b/>
                <w:color w:val="000000"/>
                <w:sz w:val="20"/>
              </w:rPr>
            </w:pPr>
            <w:r>
              <w:rPr>
                <w:rFonts w:eastAsia="Arial Narrow" w:cs="Arial Narrow"/>
                <w:b/>
                <w:color w:val="000000"/>
                <w:sz w:val="20"/>
              </w:rPr>
              <w:t>(mil. eur)</w:t>
            </w:r>
          </w:p>
        </w:tc>
        <w:tc>
          <w:tcPr>
            <w:tcW w:w="6941" w:type="dxa"/>
            <w:gridSpan w:val="6"/>
            <w:tcBorders>
              <w:top w:val="single" w:sz="4" w:space="0" w:color="auto"/>
            </w:tcBorders>
            <w:shd w:val="clear" w:color="auto" w:fill="auto"/>
            <w:vAlign w:val="center"/>
          </w:tcPr>
          <w:p w14:paraId="093093EC" w14:textId="77777777" w:rsidR="008E46D8" w:rsidRPr="001E201F" w:rsidRDefault="008E46D8" w:rsidP="00B22EF6">
            <w:pPr>
              <w:spacing w:after="0" w:line="240" w:lineRule="auto"/>
              <w:jc w:val="center"/>
              <w:rPr>
                <w:rFonts w:eastAsia="Arial Narrow" w:cs="Arial Narrow"/>
                <w:b/>
                <w:color w:val="000000"/>
                <w:sz w:val="20"/>
              </w:rPr>
            </w:pPr>
            <w:r w:rsidRPr="001E201F">
              <w:rPr>
                <w:rFonts w:eastAsia="Arial Narrow" w:cs="Arial Narrow"/>
                <w:b/>
                <w:color w:val="000000"/>
                <w:sz w:val="20"/>
              </w:rPr>
              <w:t>z toho</w:t>
            </w:r>
          </w:p>
        </w:tc>
      </w:tr>
      <w:tr w:rsidR="008E46D8" w:rsidRPr="00A05470" w14:paraId="14E2578E" w14:textId="77777777" w:rsidTr="00B22EF6">
        <w:trPr>
          <w:trHeight w:val="284"/>
        </w:trPr>
        <w:tc>
          <w:tcPr>
            <w:tcW w:w="978" w:type="dxa"/>
            <w:tcBorders>
              <w:left w:val="nil"/>
              <w:bottom w:val="single" w:sz="4" w:space="0" w:color="auto"/>
            </w:tcBorders>
            <w:shd w:val="clear" w:color="auto" w:fill="auto"/>
            <w:vAlign w:val="bottom"/>
          </w:tcPr>
          <w:p w14:paraId="5E45A697" w14:textId="77777777" w:rsidR="008E46D8" w:rsidRPr="00A05470" w:rsidRDefault="008E46D8" w:rsidP="00B22EF6">
            <w:pPr>
              <w:spacing w:after="0" w:line="240" w:lineRule="auto"/>
              <w:jc w:val="center"/>
              <w:rPr>
                <w:rFonts w:eastAsia="Arial Narrow" w:cs="Arial Narrow"/>
                <w:b/>
                <w:color w:val="000000"/>
                <w:sz w:val="20"/>
              </w:rPr>
            </w:pPr>
          </w:p>
        </w:tc>
        <w:tc>
          <w:tcPr>
            <w:tcW w:w="1156" w:type="dxa"/>
            <w:vMerge/>
            <w:tcBorders>
              <w:bottom w:val="single" w:sz="4" w:space="0" w:color="auto"/>
            </w:tcBorders>
            <w:shd w:val="clear" w:color="auto" w:fill="auto"/>
            <w:vAlign w:val="center"/>
          </w:tcPr>
          <w:p w14:paraId="3114D7C2" w14:textId="77777777" w:rsidR="008E46D8" w:rsidRPr="00A05470" w:rsidRDefault="008E46D8" w:rsidP="00B22EF6">
            <w:pPr>
              <w:widowControl w:val="0"/>
              <w:pBdr>
                <w:top w:val="nil"/>
                <w:left w:val="nil"/>
                <w:bottom w:val="nil"/>
                <w:right w:val="nil"/>
                <w:between w:val="nil"/>
              </w:pBdr>
              <w:spacing w:after="0"/>
              <w:jc w:val="center"/>
              <w:rPr>
                <w:rFonts w:eastAsia="Arial Narrow" w:cs="Arial Narrow"/>
                <w:b/>
                <w:color w:val="000000"/>
                <w:sz w:val="20"/>
              </w:rPr>
            </w:pPr>
          </w:p>
        </w:tc>
        <w:tc>
          <w:tcPr>
            <w:tcW w:w="1156" w:type="dxa"/>
            <w:tcBorders>
              <w:bottom w:val="single" w:sz="4" w:space="0" w:color="auto"/>
            </w:tcBorders>
            <w:shd w:val="clear" w:color="auto" w:fill="auto"/>
            <w:vAlign w:val="center"/>
          </w:tcPr>
          <w:p w14:paraId="07A5EC58" w14:textId="77777777" w:rsidR="008E46D8" w:rsidRPr="00A05470" w:rsidRDefault="008E46D8" w:rsidP="00B22EF6">
            <w:pPr>
              <w:spacing w:after="0" w:line="240" w:lineRule="auto"/>
              <w:jc w:val="center"/>
              <w:rPr>
                <w:rFonts w:eastAsia="Arial Narrow" w:cs="Arial Narrow"/>
                <w:b/>
                <w:color w:val="000000"/>
                <w:sz w:val="20"/>
              </w:rPr>
            </w:pPr>
            <w:r w:rsidRPr="00A05470">
              <w:rPr>
                <w:rFonts w:eastAsia="Arial Narrow" w:cs="Arial Narrow"/>
                <w:b/>
                <w:color w:val="000000"/>
                <w:sz w:val="20"/>
              </w:rPr>
              <w:t>bežné transfery zo štátneho rozpočtu</w:t>
            </w:r>
          </w:p>
        </w:tc>
        <w:tc>
          <w:tcPr>
            <w:tcW w:w="1157" w:type="dxa"/>
            <w:tcBorders>
              <w:bottom w:val="single" w:sz="4" w:space="0" w:color="auto"/>
            </w:tcBorders>
            <w:shd w:val="clear" w:color="auto" w:fill="auto"/>
            <w:vAlign w:val="center"/>
          </w:tcPr>
          <w:p w14:paraId="0368AEA9" w14:textId="77777777" w:rsidR="008E46D8" w:rsidRPr="00A05470" w:rsidRDefault="008E46D8" w:rsidP="00B22EF6">
            <w:pPr>
              <w:spacing w:after="0" w:line="240" w:lineRule="auto"/>
              <w:jc w:val="center"/>
              <w:rPr>
                <w:rFonts w:eastAsia="Arial Narrow" w:cs="Arial Narrow"/>
                <w:b/>
                <w:color w:val="000000"/>
                <w:sz w:val="20"/>
              </w:rPr>
            </w:pPr>
            <w:r w:rsidRPr="00A05470">
              <w:rPr>
                <w:rFonts w:eastAsia="Arial Narrow" w:cs="Arial Narrow"/>
                <w:b/>
                <w:color w:val="000000"/>
                <w:sz w:val="20"/>
              </w:rPr>
              <w:t>kapitálové transfery zo štátneho rozpočtu</w:t>
            </w:r>
          </w:p>
        </w:tc>
        <w:tc>
          <w:tcPr>
            <w:tcW w:w="1157" w:type="dxa"/>
            <w:tcBorders>
              <w:bottom w:val="single" w:sz="4" w:space="0" w:color="auto"/>
            </w:tcBorders>
            <w:shd w:val="clear" w:color="auto" w:fill="auto"/>
            <w:vAlign w:val="center"/>
          </w:tcPr>
          <w:p w14:paraId="62012FD5" w14:textId="77777777" w:rsidR="008E46D8" w:rsidRPr="00A05470" w:rsidRDefault="008E46D8" w:rsidP="00B22EF6">
            <w:pPr>
              <w:spacing w:after="0" w:line="240" w:lineRule="auto"/>
              <w:jc w:val="center"/>
              <w:rPr>
                <w:rFonts w:eastAsia="Arial Narrow" w:cs="Arial Narrow"/>
                <w:b/>
                <w:color w:val="000000"/>
                <w:sz w:val="20"/>
              </w:rPr>
            </w:pPr>
            <w:r w:rsidRPr="00A05470">
              <w:rPr>
                <w:rFonts w:eastAsia="Arial Narrow" w:cs="Arial Narrow"/>
                <w:b/>
                <w:color w:val="000000"/>
                <w:sz w:val="20"/>
              </w:rPr>
              <w:t>z rozpočtu obcí</w:t>
            </w:r>
          </w:p>
        </w:tc>
        <w:tc>
          <w:tcPr>
            <w:tcW w:w="1157" w:type="dxa"/>
            <w:tcBorders>
              <w:bottom w:val="single" w:sz="4" w:space="0" w:color="auto"/>
            </w:tcBorders>
            <w:shd w:val="clear" w:color="auto" w:fill="auto"/>
            <w:vAlign w:val="center"/>
          </w:tcPr>
          <w:p w14:paraId="6294DF2F" w14:textId="77777777" w:rsidR="008E46D8" w:rsidRPr="00A05470" w:rsidRDefault="008E46D8" w:rsidP="00B22EF6">
            <w:pPr>
              <w:spacing w:after="0" w:line="240" w:lineRule="auto"/>
              <w:jc w:val="center"/>
              <w:rPr>
                <w:rFonts w:eastAsia="Arial Narrow" w:cs="Arial Narrow"/>
                <w:b/>
                <w:color w:val="000000"/>
                <w:sz w:val="20"/>
              </w:rPr>
            </w:pPr>
            <w:r w:rsidRPr="00A05470">
              <w:rPr>
                <w:rFonts w:eastAsia="Arial Narrow" w:cs="Arial Narrow"/>
                <w:b/>
                <w:color w:val="000000"/>
                <w:sz w:val="20"/>
              </w:rPr>
              <w:t>z rozpočtu VÚC</w:t>
            </w:r>
          </w:p>
        </w:tc>
        <w:tc>
          <w:tcPr>
            <w:tcW w:w="1157" w:type="dxa"/>
            <w:tcBorders>
              <w:bottom w:val="single" w:sz="4" w:space="0" w:color="auto"/>
            </w:tcBorders>
            <w:shd w:val="clear" w:color="auto" w:fill="auto"/>
            <w:vAlign w:val="center"/>
          </w:tcPr>
          <w:p w14:paraId="044301FE" w14:textId="77777777" w:rsidR="008E46D8" w:rsidRPr="00A05470" w:rsidRDefault="008E46D8" w:rsidP="00B22EF6">
            <w:pPr>
              <w:spacing w:after="0" w:line="240" w:lineRule="auto"/>
              <w:jc w:val="center"/>
              <w:rPr>
                <w:rFonts w:eastAsia="Arial Narrow" w:cs="Arial Narrow"/>
                <w:b/>
                <w:color w:val="000000"/>
                <w:sz w:val="20"/>
              </w:rPr>
            </w:pPr>
            <w:r w:rsidRPr="00A05470">
              <w:rPr>
                <w:rFonts w:eastAsia="Arial Narrow" w:cs="Arial Narrow"/>
                <w:b/>
                <w:color w:val="000000"/>
                <w:sz w:val="20"/>
              </w:rPr>
              <w:t>zo zaplatenej dohodnutej ceny sociálnej služby</w:t>
            </w:r>
          </w:p>
        </w:tc>
        <w:tc>
          <w:tcPr>
            <w:tcW w:w="1157" w:type="dxa"/>
            <w:tcBorders>
              <w:bottom w:val="single" w:sz="4" w:space="0" w:color="auto"/>
            </w:tcBorders>
            <w:shd w:val="clear" w:color="auto" w:fill="auto"/>
            <w:vAlign w:val="center"/>
          </w:tcPr>
          <w:p w14:paraId="19B020AD" w14:textId="77777777" w:rsidR="008E46D8" w:rsidRPr="00A05470" w:rsidRDefault="008E46D8" w:rsidP="00B22EF6">
            <w:pPr>
              <w:spacing w:after="0" w:line="240" w:lineRule="auto"/>
              <w:jc w:val="center"/>
              <w:rPr>
                <w:rFonts w:eastAsia="Arial Narrow" w:cs="Arial Narrow"/>
                <w:b/>
                <w:color w:val="000000"/>
                <w:sz w:val="20"/>
              </w:rPr>
            </w:pPr>
            <w:r w:rsidRPr="00A05470">
              <w:rPr>
                <w:rFonts w:eastAsia="Arial Narrow" w:cs="Arial Narrow"/>
                <w:b/>
                <w:color w:val="000000"/>
                <w:sz w:val="20"/>
              </w:rPr>
              <w:t>sponzorské dary, verejné zbierky</w:t>
            </w:r>
          </w:p>
        </w:tc>
      </w:tr>
      <w:tr w:rsidR="008E46D8" w:rsidRPr="00A05470" w14:paraId="309031DC" w14:textId="77777777" w:rsidTr="00B22EF6">
        <w:trPr>
          <w:trHeight w:val="284"/>
        </w:trPr>
        <w:tc>
          <w:tcPr>
            <w:tcW w:w="978" w:type="dxa"/>
            <w:tcBorders>
              <w:top w:val="single" w:sz="4" w:space="0" w:color="auto"/>
            </w:tcBorders>
            <w:shd w:val="clear" w:color="auto" w:fill="auto"/>
            <w:vAlign w:val="bottom"/>
          </w:tcPr>
          <w:p w14:paraId="4A4599BC" w14:textId="77777777" w:rsidR="008E46D8" w:rsidRPr="002C68FD" w:rsidRDefault="008E46D8" w:rsidP="00B22EF6">
            <w:pPr>
              <w:spacing w:after="0" w:line="240" w:lineRule="auto"/>
              <w:rPr>
                <w:rFonts w:eastAsia="Arial Narrow" w:cs="Arial Narrow"/>
                <w:color w:val="000000"/>
                <w:sz w:val="20"/>
              </w:rPr>
            </w:pPr>
            <w:r w:rsidRPr="002C68FD">
              <w:rPr>
                <w:rFonts w:eastAsia="Arial Narrow" w:cs="Arial Narrow"/>
                <w:color w:val="000000"/>
                <w:sz w:val="20"/>
              </w:rPr>
              <w:t>Neverejní</w:t>
            </w:r>
          </w:p>
        </w:tc>
        <w:tc>
          <w:tcPr>
            <w:tcW w:w="1156" w:type="dxa"/>
            <w:tcBorders>
              <w:top w:val="single" w:sz="4" w:space="0" w:color="auto"/>
            </w:tcBorders>
            <w:shd w:val="clear" w:color="auto" w:fill="auto"/>
            <w:vAlign w:val="bottom"/>
          </w:tcPr>
          <w:p w14:paraId="6B278F25" w14:textId="77777777" w:rsidR="008E46D8" w:rsidRPr="00A05470" w:rsidRDefault="008E46D8" w:rsidP="00B22EF6">
            <w:pPr>
              <w:spacing w:after="0" w:line="240" w:lineRule="auto"/>
              <w:jc w:val="right"/>
              <w:rPr>
                <w:rFonts w:eastAsia="Arial Narrow" w:cs="Arial Narrow"/>
                <w:color w:val="000000"/>
                <w:sz w:val="20"/>
              </w:rPr>
            </w:pPr>
            <w:r>
              <w:rPr>
                <w:rFonts w:eastAsia="Arial Narrow" w:cs="Arial Narrow"/>
                <w:color w:val="000000"/>
                <w:sz w:val="20"/>
              </w:rPr>
              <w:t>1,0</w:t>
            </w:r>
          </w:p>
        </w:tc>
        <w:tc>
          <w:tcPr>
            <w:tcW w:w="1156" w:type="dxa"/>
            <w:tcBorders>
              <w:top w:val="single" w:sz="4" w:space="0" w:color="auto"/>
            </w:tcBorders>
            <w:shd w:val="clear" w:color="auto" w:fill="auto"/>
            <w:vAlign w:val="bottom"/>
          </w:tcPr>
          <w:p w14:paraId="67AB7414" w14:textId="77777777" w:rsidR="008E46D8" w:rsidRPr="00A05470" w:rsidRDefault="000D2802" w:rsidP="00B22EF6">
            <w:pPr>
              <w:spacing w:after="0" w:line="240" w:lineRule="auto"/>
              <w:jc w:val="right"/>
              <w:rPr>
                <w:rFonts w:eastAsia="Arial Narrow" w:cs="Arial Narrow"/>
                <w:color w:val="000000"/>
                <w:sz w:val="20"/>
              </w:rPr>
            </w:pPr>
            <w:sdt>
              <w:sdtPr>
                <w:rPr>
                  <w:sz w:val="20"/>
                </w:rPr>
                <w:tag w:val="goog_rdk_13"/>
                <w:id w:val="689727442"/>
              </w:sdtPr>
              <w:sdtEndPr/>
              <w:sdtContent/>
            </w:sdt>
            <w:r w:rsidR="008E46D8" w:rsidRPr="00A05470">
              <w:rPr>
                <w:rFonts w:eastAsia="Arial Narrow" w:cs="Arial Narrow"/>
                <w:color w:val="000000"/>
                <w:sz w:val="20"/>
              </w:rPr>
              <w:t>67 185</w:t>
            </w:r>
          </w:p>
        </w:tc>
        <w:tc>
          <w:tcPr>
            <w:tcW w:w="1157" w:type="dxa"/>
            <w:tcBorders>
              <w:top w:val="single" w:sz="4" w:space="0" w:color="auto"/>
            </w:tcBorders>
            <w:shd w:val="clear" w:color="auto" w:fill="auto"/>
            <w:vAlign w:val="bottom"/>
          </w:tcPr>
          <w:p w14:paraId="37910400" w14:textId="77777777" w:rsidR="008E46D8" w:rsidRPr="00A05470" w:rsidRDefault="008E46D8" w:rsidP="00B22EF6">
            <w:pPr>
              <w:spacing w:after="0" w:line="240" w:lineRule="auto"/>
              <w:jc w:val="right"/>
              <w:rPr>
                <w:rFonts w:eastAsia="Arial Narrow" w:cs="Arial Narrow"/>
                <w:color w:val="000000"/>
                <w:sz w:val="20"/>
              </w:rPr>
            </w:pPr>
            <w:r w:rsidRPr="00A05470">
              <w:rPr>
                <w:rFonts w:eastAsia="Arial Narrow" w:cs="Arial Narrow"/>
                <w:color w:val="000000"/>
                <w:sz w:val="20"/>
              </w:rPr>
              <w:t>0</w:t>
            </w:r>
          </w:p>
        </w:tc>
        <w:tc>
          <w:tcPr>
            <w:tcW w:w="1157" w:type="dxa"/>
            <w:tcBorders>
              <w:top w:val="single" w:sz="4" w:space="0" w:color="auto"/>
            </w:tcBorders>
            <w:shd w:val="clear" w:color="auto" w:fill="auto"/>
            <w:vAlign w:val="bottom"/>
          </w:tcPr>
          <w:p w14:paraId="51533A95" w14:textId="77777777" w:rsidR="008E46D8" w:rsidRPr="00A05470" w:rsidRDefault="008E46D8" w:rsidP="00B22EF6">
            <w:pPr>
              <w:spacing w:after="0" w:line="240" w:lineRule="auto"/>
              <w:jc w:val="right"/>
              <w:rPr>
                <w:rFonts w:eastAsia="Arial Narrow" w:cs="Arial Narrow"/>
                <w:color w:val="000000"/>
                <w:sz w:val="20"/>
              </w:rPr>
            </w:pPr>
            <w:r w:rsidRPr="00A05470">
              <w:rPr>
                <w:rFonts w:eastAsia="Arial Narrow" w:cs="Arial Narrow"/>
                <w:color w:val="000000"/>
                <w:sz w:val="20"/>
              </w:rPr>
              <w:t>26 100</w:t>
            </w:r>
          </w:p>
        </w:tc>
        <w:tc>
          <w:tcPr>
            <w:tcW w:w="1157" w:type="dxa"/>
            <w:tcBorders>
              <w:top w:val="single" w:sz="4" w:space="0" w:color="auto"/>
            </w:tcBorders>
            <w:shd w:val="clear" w:color="auto" w:fill="auto"/>
            <w:vAlign w:val="bottom"/>
          </w:tcPr>
          <w:p w14:paraId="00FB4405" w14:textId="77777777" w:rsidR="008E46D8" w:rsidRPr="00A05470" w:rsidRDefault="008E46D8" w:rsidP="00B22EF6">
            <w:pPr>
              <w:spacing w:after="0" w:line="240" w:lineRule="auto"/>
              <w:jc w:val="right"/>
              <w:rPr>
                <w:rFonts w:eastAsia="Arial Narrow" w:cs="Arial Narrow"/>
                <w:color w:val="000000"/>
                <w:sz w:val="20"/>
              </w:rPr>
            </w:pPr>
            <w:r w:rsidRPr="00A05470">
              <w:rPr>
                <w:rFonts w:eastAsia="Arial Narrow" w:cs="Arial Narrow"/>
                <w:color w:val="000000"/>
                <w:sz w:val="20"/>
              </w:rPr>
              <w:t>614 532</w:t>
            </w:r>
          </w:p>
        </w:tc>
        <w:tc>
          <w:tcPr>
            <w:tcW w:w="1157" w:type="dxa"/>
            <w:tcBorders>
              <w:top w:val="single" w:sz="4" w:space="0" w:color="auto"/>
            </w:tcBorders>
            <w:shd w:val="clear" w:color="auto" w:fill="auto"/>
            <w:vAlign w:val="bottom"/>
          </w:tcPr>
          <w:p w14:paraId="426D17C8" w14:textId="77777777" w:rsidR="008E46D8" w:rsidRPr="00A05470" w:rsidRDefault="008E46D8" w:rsidP="00B22EF6">
            <w:pPr>
              <w:spacing w:after="0" w:line="240" w:lineRule="auto"/>
              <w:jc w:val="right"/>
              <w:rPr>
                <w:rFonts w:eastAsia="Arial Narrow" w:cs="Arial Narrow"/>
                <w:color w:val="000000"/>
                <w:sz w:val="20"/>
              </w:rPr>
            </w:pPr>
            <w:r w:rsidRPr="00A05470">
              <w:rPr>
                <w:rFonts w:eastAsia="Arial Narrow" w:cs="Arial Narrow"/>
                <w:color w:val="000000"/>
                <w:sz w:val="20"/>
              </w:rPr>
              <w:t>9 055</w:t>
            </w:r>
          </w:p>
        </w:tc>
        <w:tc>
          <w:tcPr>
            <w:tcW w:w="1157" w:type="dxa"/>
            <w:tcBorders>
              <w:top w:val="single" w:sz="4" w:space="0" w:color="auto"/>
            </w:tcBorders>
            <w:shd w:val="clear" w:color="auto" w:fill="auto"/>
            <w:vAlign w:val="bottom"/>
          </w:tcPr>
          <w:p w14:paraId="6E3634B0" w14:textId="77777777" w:rsidR="008E46D8" w:rsidRPr="00A05470" w:rsidRDefault="008E46D8" w:rsidP="00B22EF6">
            <w:pPr>
              <w:spacing w:after="0" w:line="240" w:lineRule="auto"/>
              <w:jc w:val="right"/>
              <w:rPr>
                <w:rFonts w:eastAsia="Arial Narrow" w:cs="Arial Narrow"/>
                <w:color w:val="000000"/>
                <w:sz w:val="20"/>
              </w:rPr>
            </w:pPr>
            <w:r w:rsidRPr="00A05470">
              <w:rPr>
                <w:rFonts w:eastAsia="Arial Narrow" w:cs="Arial Narrow"/>
                <w:color w:val="000000"/>
                <w:sz w:val="20"/>
              </w:rPr>
              <w:t>279 516</w:t>
            </w:r>
          </w:p>
        </w:tc>
      </w:tr>
      <w:tr w:rsidR="008E46D8" w:rsidRPr="00A05470" w14:paraId="07BB4C42" w14:textId="77777777" w:rsidTr="00506F86">
        <w:trPr>
          <w:trHeight w:val="284"/>
        </w:trPr>
        <w:tc>
          <w:tcPr>
            <w:tcW w:w="978" w:type="dxa"/>
            <w:tcBorders>
              <w:top w:val="nil"/>
            </w:tcBorders>
            <w:shd w:val="clear" w:color="auto" w:fill="auto"/>
            <w:vAlign w:val="bottom"/>
          </w:tcPr>
          <w:p w14:paraId="26D58A62" w14:textId="77777777" w:rsidR="008E46D8" w:rsidRPr="002C68FD" w:rsidRDefault="008E46D8" w:rsidP="00B22EF6">
            <w:pPr>
              <w:spacing w:after="0" w:line="240" w:lineRule="auto"/>
              <w:rPr>
                <w:rFonts w:eastAsia="Arial Narrow" w:cs="Arial Narrow"/>
                <w:color w:val="000000"/>
                <w:sz w:val="20"/>
              </w:rPr>
            </w:pPr>
            <w:r w:rsidRPr="002C68FD">
              <w:rPr>
                <w:rFonts w:eastAsia="Arial Narrow" w:cs="Arial Narrow"/>
                <w:color w:val="000000"/>
                <w:sz w:val="20"/>
              </w:rPr>
              <w:t>Verejní</w:t>
            </w:r>
          </w:p>
        </w:tc>
        <w:tc>
          <w:tcPr>
            <w:tcW w:w="1156" w:type="dxa"/>
            <w:tcBorders>
              <w:top w:val="nil"/>
            </w:tcBorders>
            <w:shd w:val="clear" w:color="auto" w:fill="auto"/>
            <w:vAlign w:val="bottom"/>
          </w:tcPr>
          <w:p w14:paraId="692A93B0" w14:textId="77777777" w:rsidR="008E46D8" w:rsidRPr="00A05470" w:rsidRDefault="008E46D8" w:rsidP="00B22EF6">
            <w:pPr>
              <w:spacing w:after="0" w:line="240" w:lineRule="auto"/>
              <w:jc w:val="right"/>
              <w:rPr>
                <w:rFonts w:eastAsia="Arial Narrow" w:cs="Arial Narrow"/>
                <w:color w:val="000000"/>
                <w:sz w:val="20"/>
              </w:rPr>
            </w:pPr>
            <w:r>
              <w:rPr>
                <w:rFonts w:eastAsia="Arial Narrow" w:cs="Arial Narrow"/>
                <w:color w:val="000000"/>
                <w:sz w:val="20"/>
              </w:rPr>
              <w:t>0,4</w:t>
            </w:r>
          </w:p>
        </w:tc>
        <w:tc>
          <w:tcPr>
            <w:tcW w:w="1156" w:type="dxa"/>
            <w:tcBorders>
              <w:top w:val="nil"/>
            </w:tcBorders>
            <w:shd w:val="clear" w:color="auto" w:fill="auto"/>
            <w:vAlign w:val="bottom"/>
          </w:tcPr>
          <w:p w14:paraId="2170A8B9" w14:textId="77777777" w:rsidR="008E46D8" w:rsidRPr="00A05470" w:rsidRDefault="008E46D8" w:rsidP="00B22EF6">
            <w:pPr>
              <w:spacing w:after="0" w:line="240" w:lineRule="auto"/>
              <w:jc w:val="right"/>
              <w:rPr>
                <w:rFonts w:eastAsia="Arial Narrow" w:cs="Arial Narrow"/>
                <w:color w:val="000000"/>
                <w:sz w:val="20"/>
              </w:rPr>
            </w:pPr>
            <w:r w:rsidRPr="00A05470">
              <w:rPr>
                <w:rFonts w:eastAsia="Arial Narrow" w:cs="Arial Narrow"/>
                <w:color w:val="000000"/>
                <w:sz w:val="20"/>
              </w:rPr>
              <w:t>0</w:t>
            </w:r>
          </w:p>
        </w:tc>
        <w:tc>
          <w:tcPr>
            <w:tcW w:w="1157" w:type="dxa"/>
            <w:tcBorders>
              <w:top w:val="nil"/>
            </w:tcBorders>
            <w:shd w:val="clear" w:color="auto" w:fill="auto"/>
            <w:vAlign w:val="bottom"/>
          </w:tcPr>
          <w:p w14:paraId="7A057641" w14:textId="77777777" w:rsidR="008E46D8" w:rsidRPr="00A05470" w:rsidRDefault="008E46D8" w:rsidP="00B22EF6">
            <w:pPr>
              <w:spacing w:after="0" w:line="240" w:lineRule="auto"/>
              <w:jc w:val="right"/>
              <w:rPr>
                <w:rFonts w:eastAsia="Arial Narrow" w:cs="Arial Narrow"/>
                <w:color w:val="000000"/>
                <w:sz w:val="20"/>
              </w:rPr>
            </w:pPr>
            <w:r w:rsidRPr="00A05470">
              <w:rPr>
                <w:rFonts w:eastAsia="Arial Narrow" w:cs="Arial Narrow"/>
                <w:color w:val="000000"/>
                <w:sz w:val="20"/>
              </w:rPr>
              <w:t>0</w:t>
            </w:r>
          </w:p>
        </w:tc>
        <w:tc>
          <w:tcPr>
            <w:tcW w:w="1157" w:type="dxa"/>
            <w:tcBorders>
              <w:top w:val="nil"/>
            </w:tcBorders>
            <w:shd w:val="clear" w:color="auto" w:fill="auto"/>
            <w:vAlign w:val="bottom"/>
          </w:tcPr>
          <w:p w14:paraId="3E968C88" w14:textId="77777777" w:rsidR="008E46D8" w:rsidRPr="00A05470" w:rsidRDefault="008E46D8" w:rsidP="00B22EF6">
            <w:pPr>
              <w:spacing w:after="0" w:line="240" w:lineRule="auto"/>
              <w:jc w:val="right"/>
              <w:rPr>
                <w:rFonts w:eastAsia="Arial Narrow" w:cs="Arial Narrow"/>
                <w:color w:val="000000"/>
                <w:sz w:val="20"/>
              </w:rPr>
            </w:pPr>
            <w:r w:rsidRPr="00A05470">
              <w:rPr>
                <w:rFonts w:eastAsia="Arial Narrow" w:cs="Arial Narrow"/>
                <w:color w:val="000000"/>
                <w:sz w:val="20"/>
              </w:rPr>
              <w:t>0</w:t>
            </w:r>
          </w:p>
        </w:tc>
        <w:tc>
          <w:tcPr>
            <w:tcW w:w="1157" w:type="dxa"/>
            <w:tcBorders>
              <w:top w:val="nil"/>
            </w:tcBorders>
            <w:shd w:val="clear" w:color="auto" w:fill="auto"/>
            <w:vAlign w:val="bottom"/>
          </w:tcPr>
          <w:p w14:paraId="309A0D0E" w14:textId="77777777" w:rsidR="008E46D8" w:rsidRPr="00A05470" w:rsidRDefault="008E46D8" w:rsidP="00B22EF6">
            <w:pPr>
              <w:spacing w:after="0" w:line="240" w:lineRule="auto"/>
              <w:jc w:val="right"/>
              <w:rPr>
                <w:rFonts w:eastAsia="Arial Narrow" w:cs="Arial Narrow"/>
                <w:color w:val="000000"/>
                <w:sz w:val="20"/>
              </w:rPr>
            </w:pPr>
            <w:r w:rsidRPr="00A05470">
              <w:rPr>
                <w:rFonts w:eastAsia="Arial Narrow" w:cs="Arial Narrow"/>
                <w:color w:val="000000"/>
                <w:sz w:val="20"/>
              </w:rPr>
              <w:t>382 019</w:t>
            </w:r>
          </w:p>
        </w:tc>
        <w:tc>
          <w:tcPr>
            <w:tcW w:w="1157" w:type="dxa"/>
            <w:tcBorders>
              <w:top w:val="nil"/>
            </w:tcBorders>
            <w:shd w:val="clear" w:color="auto" w:fill="auto"/>
            <w:vAlign w:val="bottom"/>
          </w:tcPr>
          <w:p w14:paraId="20F3AF26" w14:textId="77777777" w:rsidR="008E46D8" w:rsidRPr="00A05470" w:rsidRDefault="008E46D8" w:rsidP="00B22EF6">
            <w:pPr>
              <w:spacing w:after="0" w:line="240" w:lineRule="auto"/>
              <w:jc w:val="right"/>
              <w:rPr>
                <w:rFonts w:eastAsia="Arial Narrow" w:cs="Arial Narrow"/>
                <w:color w:val="000000"/>
                <w:sz w:val="20"/>
              </w:rPr>
            </w:pPr>
            <w:r w:rsidRPr="00A05470">
              <w:rPr>
                <w:rFonts w:eastAsia="Arial Narrow" w:cs="Arial Narrow"/>
                <w:color w:val="000000"/>
                <w:sz w:val="20"/>
              </w:rPr>
              <w:t>1 220</w:t>
            </w:r>
          </w:p>
        </w:tc>
        <w:tc>
          <w:tcPr>
            <w:tcW w:w="1157" w:type="dxa"/>
            <w:tcBorders>
              <w:top w:val="nil"/>
            </w:tcBorders>
            <w:shd w:val="clear" w:color="auto" w:fill="auto"/>
            <w:vAlign w:val="bottom"/>
          </w:tcPr>
          <w:p w14:paraId="3F930F35" w14:textId="77777777" w:rsidR="008E46D8" w:rsidRPr="00A05470" w:rsidRDefault="008E46D8" w:rsidP="00B22EF6">
            <w:pPr>
              <w:spacing w:after="0" w:line="240" w:lineRule="auto"/>
              <w:jc w:val="right"/>
              <w:rPr>
                <w:rFonts w:eastAsia="Arial Narrow" w:cs="Arial Narrow"/>
                <w:color w:val="000000"/>
                <w:sz w:val="20"/>
              </w:rPr>
            </w:pPr>
            <w:r w:rsidRPr="00A05470">
              <w:rPr>
                <w:rFonts w:eastAsia="Arial Narrow" w:cs="Arial Narrow"/>
                <w:color w:val="000000"/>
                <w:sz w:val="20"/>
              </w:rPr>
              <w:t>3 100</w:t>
            </w:r>
          </w:p>
        </w:tc>
      </w:tr>
      <w:tr w:rsidR="008E46D8" w:rsidRPr="00A05470" w14:paraId="243C0A80" w14:textId="77777777" w:rsidTr="00506F86">
        <w:trPr>
          <w:trHeight w:val="284"/>
        </w:trPr>
        <w:tc>
          <w:tcPr>
            <w:tcW w:w="978" w:type="dxa"/>
            <w:tcBorders>
              <w:top w:val="nil"/>
              <w:bottom w:val="single" w:sz="4" w:space="0" w:color="auto"/>
            </w:tcBorders>
            <w:shd w:val="clear" w:color="auto" w:fill="auto"/>
            <w:vAlign w:val="bottom"/>
          </w:tcPr>
          <w:p w14:paraId="376937F3" w14:textId="77777777" w:rsidR="008E46D8" w:rsidRPr="002C68FD" w:rsidRDefault="008E46D8" w:rsidP="00B22EF6">
            <w:pPr>
              <w:spacing w:after="0" w:line="240" w:lineRule="auto"/>
              <w:rPr>
                <w:rFonts w:eastAsia="Arial Narrow" w:cs="Arial Narrow"/>
                <w:color w:val="000000"/>
                <w:sz w:val="20"/>
              </w:rPr>
            </w:pPr>
            <w:r w:rsidRPr="002C68FD">
              <w:rPr>
                <w:rFonts w:eastAsia="Arial Narrow" w:cs="Arial Narrow"/>
                <w:color w:val="000000"/>
                <w:sz w:val="20"/>
              </w:rPr>
              <w:t>Spolu</w:t>
            </w:r>
          </w:p>
        </w:tc>
        <w:tc>
          <w:tcPr>
            <w:tcW w:w="1156" w:type="dxa"/>
            <w:tcBorders>
              <w:top w:val="nil"/>
              <w:bottom w:val="single" w:sz="4" w:space="0" w:color="auto"/>
            </w:tcBorders>
            <w:shd w:val="clear" w:color="auto" w:fill="auto"/>
            <w:vAlign w:val="bottom"/>
          </w:tcPr>
          <w:p w14:paraId="5A94330D" w14:textId="77777777" w:rsidR="008E46D8" w:rsidRPr="00A05470" w:rsidRDefault="008E46D8" w:rsidP="00B22EF6">
            <w:pPr>
              <w:spacing w:after="0" w:line="240" w:lineRule="auto"/>
              <w:jc w:val="right"/>
              <w:rPr>
                <w:rFonts w:eastAsia="Arial Narrow" w:cs="Arial Narrow"/>
                <w:color w:val="000000"/>
                <w:sz w:val="20"/>
              </w:rPr>
            </w:pPr>
            <w:r>
              <w:rPr>
                <w:rFonts w:eastAsia="Arial Narrow" w:cs="Arial Narrow"/>
                <w:color w:val="000000"/>
                <w:sz w:val="20"/>
              </w:rPr>
              <w:t>1,4</w:t>
            </w:r>
          </w:p>
        </w:tc>
        <w:tc>
          <w:tcPr>
            <w:tcW w:w="1156" w:type="dxa"/>
            <w:tcBorders>
              <w:top w:val="nil"/>
              <w:bottom w:val="single" w:sz="4" w:space="0" w:color="auto"/>
            </w:tcBorders>
            <w:shd w:val="clear" w:color="auto" w:fill="auto"/>
            <w:vAlign w:val="bottom"/>
          </w:tcPr>
          <w:p w14:paraId="02776865" w14:textId="77777777" w:rsidR="008E46D8" w:rsidRPr="00A05470" w:rsidRDefault="008E46D8" w:rsidP="00B22EF6">
            <w:pPr>
              <w:spacing w:after="0" w:line="240" w:lineRule="auto"/>
              <w:jc w:val="right"/>
              <w:rPr>
                <w:rFonts w:eastAsia="Arial Narrow" w:cs="Arial Narrow"/>
                <w:color w:val="000000"/>
                <w:sz w:val="20"/>
              </w:rPr>
            </w:pPr>
            <w:r w:rsidRPr="00A05470">
              <w:rPr>
                <w:rFonts w:eastAsia="Arial Narrow" w:cs="Arial Narrow"/>
                <w:color w:val="000000"/>
                <w:sz w:val="20"/>
              </w:rPr>
              <w:t>67 185</w:t>
            </w:r>
          </w:p>
        </w:tc>
        <w:tc>
          <w:tcPr>
            <w:tcW w:w="1157" w:type="dxa"/>
            <w:tcBorders>
              <w:top w:val="nil"/>
              <w:bottom w:val="single" w:sz="4" w:space="0" w:color="auto"/>
            </w:tcBorders>
            <w:shd w:val="clear" w:color="auto" w:fill="auto"/>
            <w:vAlign w:val="bottom"/>
          </w:tcPr>
          <w:p w14:paraId="39ECA908" w14:textId="77777777" w:rsidR="008E46D8" w:rsidRPr="00A05470" w:rsidRDefault="008E46D8" w:rsidP="00B22EF6">
            <w:pPr>
              <w:spacing w:after="0" w:line="240" w:lineRule="auto"/>
              <w:jc w:val="right"/>
              <w:rPr>
                <w:rFonts w:eastAsia="Arial Narrow" w:cs="Arial Narrow"/>
                <w:color w:val="000000"/>
                <w:sz w:val="20"/>
              </w:rPr>
            </w:pPr>
            <w:r w:rsidRPr="00A05470">
              <w:rPr>
                <w:rFonts w:eastAsia="Arial Narrow" w:cs="Arial Narrow"/>
                <w:color w:val="000000"/>
                <w:sz w:val="20"/>
              </w:rPr>
              <w:t>0</w:t>
            </w:r>
          </w:p>
        </w:tc>
        <w:tc>
          <w:tcPr>
            <w:tcW w:w="1157" w:type="dxa"/>
            <w:tcBorders>
              <w:top w:val="nil"/>
              <w:bottom w:val="single" w:sz="4" w:space="0" w:color="auto"/>
            </w:tcBorders>
            <w:shd w:val="clear" w:color="auto" w:fill="auto"/>
            <w:vAlign w:val="bottom"/>
          </w:tcPr>
          <w:p w14:paraId="471D768B" w14:textId="77777777" w:rsidR="008E46D8" w:rsidRPr="00A05470" w:rsidRDefault="008E46D8" w:rsidP="00B22EF6">
            <w:pPr>
              <w:spacing w:after="0" w:line="240" w:lineRule="auto"/>
              <w:jc w:val="right"/>
              <w:rPr>
                <w:rFonts w:eastAsia="Arial Narrow" w:cs="Arial Narrow"/>
                <w:color w:val="000000"/>
                <w:sz w:val="20"/>
              </w:rPr>
            </w:pPr>
            <w:r w:rsidRPr="00A05470">
              <w:rPr>
                <w:rFonts w:eastAsia="Arial Narrow" w:cs="Arial Narrow"/>
                <w:color w:val="000000"/>
                <w:sz w:val="20"/>
              </w:rPr>
              <w:t>26 100</w:t>
            </w:r>
          </w:p>
        </w:tc>
        <w:tc>
          <w:tcPr>
            <w:tcW w:w="1157" w:type="dxa"/>
            <w:tcBorders>
              <w:top w:val="nil"/>
              <w:bottom w:val="single" w:sz="4" w:space="0" w:color="auto"/>
            </w:tcBorders>
            <w:shd w:val="clear" w:color="auto" w:fill="auto"/>
            <w:vAlign w:val="bottom"/>
          </w:tcPr>
          <w:p w14:paraId="50598CC9" w14:textId="77777777" w:rsidR="008E46D8" w:rsidRPr="00A05470" w:rsidRDefault="008E46D8" w:rsidP="00B22EF6">
            <w:pPr>
              <w:spacing w:after="0" w:line="240" w:lineRule="auto"/>
              <w:jc w:val="right"/>
              <w:rPr>
                <w:rFonts w:eastAsia="Arial Narrow" w:cs="Arial Narrow"/>
                <w:color w:val="000000"/>
                <w:sz w:val="20"/>
              </w:rPr>
            </w:pPr>
            <w:r w:rsidRPr="00A05470">
              <w:rPr>
                <w:rFonts w:eastAsia="Arial Narrow" w:cs="Arial Narrow"/>
                <w:color w:val="000000"/>
                <w:sz w:val="20"/>
              </w:rPr>
              <w:t>996 551</w:t>
            </w:r>
          </w:p>
        </w:tc>
        <w:tc>
          <w:tcPr>
            <w:tcW w:w="1157" w:type="dxa"/>
            <w:tcBorders>
              <w:top w:val="nil"/>
              <w:bottom w:val="single" w:sz="4" w:space="0" w:color="auto"/>
            </w:tcBorders>
            <w:shd w:val="clear" w:color="auto" w:fill="auto"/>
            <w:vAlign w:val="bottom"/>
          </w:tcPr>
          <w:p w14:paraId="167AD024" w14:textId="77777777" w:rsidR="008E46D8" w:rsidRPr="00A05470" w:rsidRDefault="008E46D8" w:rsidP="00B22EF6">
            <w:pPr>
              <w:spacing w:after="0" w:line="240" w:lineRule="auto"/>
              <w:jc w:val="right"/>
              <w:rPr>
                <w:rFonts w:eastAsia="Arial Narrow" w:cs="Arial Narrow"/>
                <w:color w:val="000000"/>
                <w:sz w:val="20"/>
              </w:rPr>
            </w:pPr>
            <w:r w:rsidRPr="00A05470">
              <w:rPr>
                <w:rFonts w:eastAsia="Arial Narrow" w:cs="Arial Narrow"/>
                <w:color w:val="000000"/>
                <w:sz w:val="20"/>
              </w:rPr>
              <w:t>10 275</w:t>
            </w:r>
          </w:p>
        </w:tc>
        <w:tc>
          <w:tcPr>
            <w:tcW w:w="1157" w:type="dxa"/>
            <w:tcBorders>
              <w:top w:val="nil"/>
              <w:bottom w:val="single" w:sz="4" w:space="0" w:color="auto"/>
            </w:tcBorders>
            <w:shd w:val="clear" w:color="auto" w:fill="auto"/>
            <w:vAlign w:val="bottom"/>
          </w:tcPr>
          <w:p w14:paraId="008FB5BF" w14:textId="77777777" w:rsidR="008E46D8" w:rsidRPr="00A05470" w:rsidRDefault="008E46D8" w:rsidP="00B22EF6">
            <w:pPr>
              <w:spacing w:after="0" w:line="240" w:lineRule="auto"/>
              <w:jc w:val="right"/>
              <w:rPr>
                <w:rFonts w:eastAsia="Arial Narrow" w:cs="Arial Narrow"/>
                <w:color w:val="000000"/>
                <w:sz w:val="20"/>
              </w:rPr>
            </w:pPr>
            <w:r w:rsidRPr="00A05470">
              <w:rPr>
                <w:rFonts w:eastAsia="Arial Narrow" w:cs="Arial Narrow"/>
                <w:color w:val="000000"/>
                <w:sz w:val="20"/>
              </w:rPr>
              <w:t>282 616</w:t>
            </w:r>
          </w:p>
        </w:tc>
      </w:tr>
      <w:tr w:rsidR="00506F86" w:rsidRPr="00A05470" w14:paraId="769A1A29" w14:textId="77777777" w:rsidTr="00134838">
        <w:trPr>
          <w:trHeight w:val="284"/>
        </w:trPr>
        <w:tc>
          <w:tcPr>
            <w:tcW w:w="978" w:type="dxa"/>
            <w:tcBorders>
              <w:top w:val="single" w:sz="4" w:space="0" w:color="auto"/>
            </w:tcBorders>
            <w:shd w:val="clear" w:color="auto" w:fill="auto"/>
            <w:vAlign w:val="bottom"/>
          </w:tcPr>
          <w:p w14:paraId="3892B7EB" w14:textId="77777777" w:rsidR="00506F86" w:rsidRPr="002C68FD" w:rsidRDefault="00506F86" w:rsidP="00B22EF6">
            <w:pPr>
              <w:spacing w:after="0" w:line="240" w:lineRule="auto"/>
              <w:rPr>
                <w:rFonts w:eastAsia="Arial Narrow" w:cs="Arial Narrow"/>
                <w:color w:val="000000"/>
                <w:sz w:val="20"/>
              </w:rPr>
            </w:pPr>
          </w:p>
        </w:tc>
        <w:tc>
          <w:tcPr>
            <w:tcW w:w="1156" w:type="dxa"/>
            <w:tcBorders>
              <w:top w:val="single" w:sz="4" w:space="0" w:color="auto"/>
            </w:tcBorders>
            <w:shd w:val="clear" w:color="auto" w:fill="auto"/>
            <w:vAlign w:val="bottom"/>
          </w:tcPr>
          <w:p w14:paraId="6FA67641" w14:textId="77777777" w:rsidR="00506F86" w:rsidRDefault="00506F86" w:rsidP="00B22EF6">
            <w:pPr>
              <w:spacing w:after="0" w:line="240" w:lineRule="auto"/>
              <w:jc w:val="right"/>
              <w:rPr>
                <w:rFonts w:eastAsia="Arial Narrow" w:cs="Arial Narrow"/>
                <w:color w:val="000000"/>
                <w:sz w:val="20"/>
              </w:rPr>
            </w:pPr>
          </w:p>
        </w:tc>
        <w:tc>
          <w:tcPr>
            <w:tcW w:w="1156" w:type="dxa"/>
            <w:tcBorders>
              <w:top w:val="single" w:sz="4" w:space="0" w:color="auto"/>
            </w:tcBorders>
            <w:shd w:val="clear" w:color="auto" w:fill="auto"/>
            <w:vAlign w:val="bottom"/>
          </w:tcPr>
          <w:p w14:paraId="60138B2E" w14:textId="77777777" w:rsidR="00506F86" w:rsidRPr="00A05470" w:rsidRDefault="00506F86" w:rsidP="00B22EF6">
            <w:pPr>
              <w:spacing w:after="0" w:line="240" w:lineRule="auto"/>
              <w:jc w:val="right"/>
              <w:rPr>
                <w:rFonts w:eastAsia="Arial Narrow" w:cs="Arial Narrow"/>
                <w:color w:val="000000"/>
                <w:sz w:val="20"/>
              </w:rPr>
            </w:pPr>
          </w:p>
        </w:tc>
        <w:tc>
          <w:tcPr>
            <w:tcW w:w="5785" w:type="dxa"/>
            <w:gridSpan w:val="5"/>
            <w:tcBorders>
              <w:top w:val="single" w:sz="4" w:space="0" w:color="auto"/>
            </w:tcBorders>
            <w:shd w:val="clear" w:color="auto" w:fill="auto"/>
            <w:vAlign w:val="bottom"/>
          </w:tcPr>
          <w:p w14:paraId="2F43B0FF" w14:textId="77777777" w:rsidR="00506F86" w:rsidRPr="00AA0B2F" w:rsidRDefault="00506F86" w:rsidP="00506F86">
            <w:pPr>
              <w:spacing w:line="240" w:lineRule="auto"/>
              <w:contextualSpacing/>
              <w:jc w:val="right"/>
              <w:rPr>
                <w:rFonts w:eastAsia="Arial Narrow" w:cs="Arial Narrow"/>
                <w:i/>
                <w:color w:val="000000"/>
                <w:sz w:val="18"/>
                <w:szCs w:val="18"/>
              </w:rPr>
            </w:pPr>
            <w:r w:rsidRPr="00AA0B2F">
              <w:rPr>
                <w:rFonts w:eastAsia="Arial Narrow" w:cs="Arial Narrow"/>
                <w:i/>
                <w:color w:val="000000"/>
                <w:sz w:val="18"/>
                <w:szCs w:val="18"/>
              </w:rPr>
              <w:t xml:space="preserve">Zdroj: Výkazy </w:t>
            </w:r>
            <w:r w:rsidRPr="00AA0B2F">
              <w:rPr>
                <w:rFonts w:eastAsia="Arial Narrow" w:cs="Arial Narrow"/>
                <w:i/>
                <w:color w:val="000000"/>
                <w:sz w:val="18"/>
                <w:szCs w:val="18"/>
                <w:highlight w:val="white"/>
              </w:rPr>
              <w:t>V(</w:t>
            </w:r>
            <w:r w:rsidRPr="004416AA">
              <w:rPr>
                <w:bCs/>
                <w:i/>
                <w:noProof/>
                <w:sz w:val="18"/>
                <w:szCs w:val="16"/>
                <w:lang w:eastAsia="sk-SK"/>
              </w:rPr>
              <w:t>MPSVR</w:t>
            </w:r>
            <w:r w:rsidRPr="00AA0B2F">
              <w:rPr>
                <w:rFonts w:eastAsia="Arial Narrow" w:cs="Arial Narrow"/>
                <w:i/>
                <w:color w:val="000000"/>
                <w:sz w:val="18"/>
                <w:szCs w:val="18"/>
                <w:highlight w:val="white"/>
              </w:rPr>
              <w:t xml:space="preserve"> SR) </w:t>
            </w:r>
            <w:r w:rsidRPr="00AA0B2F">
              <w:rPr>
                <w:rFonts w:eastAsia="Arial Narrow" w:cs="Arial Narrow"/>
                <w:color w:val="000000"/>
                <w:sz w:val="18"/>
                <w:szCs w:val="18"/>
                <w:highlight w:val="white"/>
              </w:rPr>
              <w:t xml:space="preserve">7-01 a </w:t>
            </w:r>
            <w:r w:rsidRPr="00AA0B2F">
              <w:rPr>
                <w:rFonts w:eastAsia="Arial Narrow" w:cs="Arial Narrow"/>
                <w:i/>
                <w:color w:val="000000"/>
                <w:sz w:val="18"/>
                <w:szCs w:val="18"/>
                <w:highlight w:val="white"/>
              </w:rPr>
              <w:t>V(MPSVR SR) </w:t>
            </w:r>
            <w:r w:rsidRPr="00AA0B2F">
              <w:rPr>
                <w:rFonts w:eastAsia="Arial Narrow" w:cs="Arial Narrow"/>
                <w:color w:val="000000"/>
                <w:sz w:val="18"/>
                <w:szCs w:val="18"/>
                <w:highlight w:val="white"/>
              </w:rPr>
              <w:t>10-01</w:t>
            </w:r>
          </w:p>
          <w:p w14:paraId="6CF46380" w14:textId="77777777" w:rsidR="00506F86" w:rsidRPr="00A05470" w:rsidRDefault="00506F86" w:rsidP="00B22EF6">
            <w:pPr>
              <w:spacing w:after="0" w:line="240" w:lineRule="auto"/>
              <w:jc w:val="right"/>
              <w:rPr>
                <w:rFonts w:eastAsia="Arial Narrow" w:cs="Arial Narrow"/>
                <w:color w:val="000000"/>
                <w:sz w:val="20"/>
              </w:rPr>
            </w:pPr>
          </w:p>
        </w:tc>
      </w:tr>
    </w:tbl>
    <w:p w14:paraId="366F990D" w14:textId="671412ED" w:rsidR="007C0188" w:rsidRPr="00AD2F2A" w:rsidRDefault="00AD2F2A" w:rsidP="000B11B5">
      <w:pPr>
        <w:pStyle w:val="Popis"/>
        <w:spacing w:before="200"/>
        <w:rPr>
          <w:b/>
          <w:i w:val="0"/>
          <w:color w:val="2E74B5" w:themeColor="accent1" w:themeShade="BF"/>
          <w:sz w:val="22"/>
        </w:rPr>
      </w:pPr>
      <w:bookmarkStart w:id="1876" w:name="_Ref34130446"/>
      <w:r w:rsidRPr="00AD2F2A">
        <w:rPr>
          <w:b/>
          <w:i w:val="0"/>
          <w:color w:val="2E74B5" w:themeColor="accent1" w:themeShade="BF"/>
          <w:sz w:val="22"/>
        </w:rPr>
        <w:t xml:space="preserve">Príloha </w:t>
      </w:r>
      <w:r w:rsidRPr="00AD2F2A">
        <w:rPr>
          <w:b/>
          <w:i w:val="0"/>
          <w:color w:val="2E74B5" w:themeColor="accent1" w:themeShade="BF"/>
          <w:sz w:val="22"/>
        </w:rPr>
        <w:fldChar w:fldCharType="begin"/>
      </w:r>
      <w:r w:rsidRPr="00AD2F2A">
        <w:rPr>
          <w:b/>
          <w:i w:val="0"/>
          <w:color w:val="2E74B5" w:themeColor="accent1" w:themeShade="BF"/>
          <w:sz w:val="22"/>
        </w:rPr>
        <w:instrText xml:space="preserve"> SEQ Príloha \* ARABIC </w:instrText>
      </w:r>
      <w:r w:rsidRPr="00AD2F2A">
        <w:rPr>
          <w:b/>
          <w:i w:val="0"/>
          <w:color w:val="2E74B5" w:themeColor="accent1" w:themeShade="BF"/>
          <w:sz w:val="22"/>
        </w:rPr>
        <w:fldChar w:fldCharType="separate"/>
      </w:r>
      <w:r w:rsidR="00FA29AF">
        <w:rPr>
          <w:b/>
          <w:i w:val="0"/>
          <w:noProof/>
          <w:color w:val="2E74B5" w:themeColor="accent1" w:themeShade="BF"/>
          <w:sz w:val="22"/>
        </w:rPr>
        <w:t>6</w:t>
      </w:r>
      <w:r w:rsidRPr="00AD2F2A">
        <w:rPr>
          <w:b/>
          <w:i w:val="0"/>
          <w:color w:val="2E74B5" w:themeColor="accent1" w:themeShade="BF"/>
          <w:sz w:val="22"/>
        </w:rPr>
        <w:fldChar w:fldCharType="end"/>
      </w:r>
      <w:bookmarkEnd w:id="1869"/>
      <w:bookmarkEnd w:id="1876"/>
      <w:r w:rsidRPr="00AD2F2A">
        <w:rPr>
          <w:b/>
          <w:i w:val="0"/>
          <w:color w:val="2E74B5" w:themeColor="accent1" w:themeShade="BF"/>
          <w:sz w:val="22"/>
        </w:rPr>
        <w:t xml:space="preserve">: </w:t>
      </w:r>
      <w:r w:rsidR="007C0188" w:rsidRPr="00AD2F2A">
        <w:rPr>
          <w:b/>
          <w:i w:val="0"/>
          <w:color w:val="2E74B5" w:themeColor="accent1" w:themeShade="BF"/>
          <w:sz w:val="22"/>
        </w:rPr>
        <w:t>Vplyv dotácií na zaškolenosti 5 ročných detí v prostredí MRK</w:t>
      </w:r>
    </w:p>
    <w:bookmarkEnd w:id="1870"/>
    <w:p w14:paraId="724F4BAE" w14:textId="2E86418C" w:rsidR="007C0188" w:rsidRPr="00CA2564" w:rsidRDefault="007C0188" w:rsidP="007C0188">
      <w:r w:rsidRPr="00CA2564">
        <w:t>V prostredí MRK je zaujímavé pozorovať, že zaškolenosť predškolákov (5 ročných detí) je vyššia medzi deťmi, ktoré sú v systéme PHN ako detí, ktoré sú mimo (</w:t>
      </w:r>
      <w:r w:rsidR="00041889" w:rsidRPr="00041889">
        <w:rPr>
          <w:highlight w:val="yellow"/>
        </w:rPr>
        <w:fldChar w:fldCharType="begin"/>
      </w:r>
      <w:r w:rsidR="00041889" w:rsidRPr="00041889">
        <w:instrText xml:space="preserve"> REF _Ref25228011 \h </w:instrText>
      </w:r>
      <w:r w:rsidR="00041889">
        <w:rPr>
          <w:highlight w:val="yellow"/>
        </w:rPr>
        <w:instrText xml:space="preserve"> \* MERGEFORMAT </w:instrText>
      </w:r>
      <w:r w:rsidR="00041889" w:rsidRPr="00041889">
        <w:rPr>
          <w:highlight w:val="yellow"/>
        </w:rPr>
      </w:r>
      <w:r w:rsidR="00041889" w:rsidRPr="00041889">
        <w:rPr>
          <w:highlight w:val="yellow"/>
        </w:rPr>
        <w:fldChar w:fldCharType="separate"/>
      </w:r>
      <w:r w:rsidR="00FA29AF" w:rsidRPr="00FA29AF">
        <w:t>Graf 10</w:t>
      </w:r>
      <w:r w:rsidR="00041889" w:rsidRPr="00041889">
        <w:rPr>
          <w:highlight w:val="yellow"/>
        </w:rPr>
        <w:fldChar w:fldCharType="end"/>
      </w:r>
      <w:r w:rsidR="00041889">
        <w:t xml:space="preserve"> </w:t>
      </w:r>
      <w:r w:rsidRPr="00CA2564">
        <w:t>v hlavnom texte).</w:t>
      </w:r>
      <w:r w:rsidR="006223C6">
        <w:t xml:space="preserve"> Toto je prekvapivé vzhľadom na </w:t>
      </w:r>
      <w:r w:rsidRPr="00CA2564">
        <w:t>predpoklad, že s hĺbkou chudoby rastú aj prekážky v dostupnosti predprimárne</w:t>
      </w:r>
      <w:r w:rsidR="006223C6">
        <w:t>ho vzdelania, čo potvrdzuje tak </w:t>
      </w:r>
      <w:r w:rsidRPr="00CA2564">
        <w:t xml:space="preserve">porovnanie detí v systéme PHN a mimo PHN v majoritnej populácií ako aj porovnanie majority a MRK. Najjednoduchším vysvetlením tohto javu je, že negatívny vplyv podmienok chudoby na zaškolenosť prevažuje pozitívna motivácia, ktorú poskytujú dotované obedy pre deti v materských školách, ktoré sú v systéme PHN. </w:t>
      </w:r>
    </w:p>
    <w:p w14:paraId="671748BF" w14:textId="36626D11" w:rsidR="007C0188" w:rsidRPr="00CA2564" w:rsidRDefault="007C0188" w:rsidP="007C0188">
      <w:r w:rsidRPr="00CA2564">
        <w:t>Dopad viacerých vplyvov na dichotomickú závislú premennú (napríklad, či 5 ročné dieťa chodí</w:t>
      </w:r>
      <w:r w:rsidR="006223C6">
        <w:t>,</w:t>
      </w:r>
      <w:r w:rsidR="00495D62">
        <w:t xml:space="preserve"> alebo nechodí do </w:t>
      </w:r>
      <w:r w:rsidRPr="00CA2564">
        <w:t>materskej školy) je možné analyzovať pomocou probit regresného modelu.</w:t>
      </w:r>
      <w:r w:rsidR="006223C6">
        <w:t xml:space="preserve"> Predpovedanú hodnotu, ktorá sa </w:t>
      </w:r>
      <w:r w:rsidRPr="00CA2564">
        <w:t>nachádza v rozmedzí 0 až 1, je možné interpretovať ako pravdepodobnosť, že dieťa navštevuje materskú školu. Priemerná predpovedaná hodnota naprieč celou populáciou je totožná s mierou zaškolenosti (podielom populácie, ktorá navštevuje materskú školu). Model umožňuje simulovať zaškolenosť detí v</w:t>
      </w:r>
      <w:r w:rsidR="00495D62">
        <w:t> prostredí MRK v prípade, že </w:t>
      </w:r>
      <w:r w:rsidR="006223C6">
        <w:t>by </w:t>
      </w:r>
      <w:r w:rsidR="00495D62">
        <w:t>sa </w:t>
      </w:r>
      <w:r w:rsidRPr="00CA2564">
        <w:t>podarilo zmeniť niektoré faktory, ktoré na ňu vplývajú, ako napríklad zavedenie plošných dotácií na stravu pre všetky deti.</w:t>
      </w:r>
    </w:p>
    <w:p w14:paraId="034EAF04" w14:textId="68145EEF" w:rsidR="007C0188" w:rsidRPr="00CA2564" w:rsidRDefault="007C0188" w:rsidP="007C0188">
      <w:r w:rsidRPr="00CA2564">
        <w:t>Probit model bol použitý na populácii 6 629 detí z MRK vo veku 5 rokov,</w:t>
      </w:r>
      <w:r w:rsidRPr="00CA2564">
        <w:rPr>
          <w:rStyle w:val="Odkaznapoznmkupodiarou"/>
        </w:rPr>
        <w:footnoteReference w:id="505"/>
      </w:r>
      <w:r w:rsidRPr="00CA2564">
        <w:t xml:space="preserve"> ktorú je možné identifikovať v </w:t>
      </w:r>
      <w:r w:rsidR="00724874">
        <w:t>administratívnych údajoch (</w:t>
      </w:r>
      <w:r w:rsidR="00724874" w:rsidRPr="00724874">
        <w:fldChar w:fldCharType="begin"/>
      </w:r>
      <w:r w:rsidR="00724874" w:rsidRPr="00724874">
        <w:instrText xml:space="preserve"> REF _Ref25326766 \h </w:instrText>
      </w:r>
      <w:r w:rsidR="00724874">
        <w:instrText xml:space="preserve"> \* MERGEFORMAT </w:instrText>
      </w:r>
      <w:r w:rsidR="00724874" w:rsidRPr="00724874">
        <w:fldChar w:fldCharType="separate"/>
      </w:r>
      <w:r w:rsidR="00FA29AF" w:rsidRPr="00FA29AF">
        <w:t>Tabuľka P 4</w:t>
      </w:r>
      <w:r w:rsidR="00724874" w:rsidRPr="00724874">
        <w:fldChar w:fldCharType="end"/>
      </w:r>
      <w:r w:rsidRPr="00AC3E65">
        <w:t>). Model 1 má iba jednu vysvetľujúcu premennú, konkrétne údaj, či dieťa je alebo nie je v systéme pomoci v hmotnej núdzi.</w:t>
      </w:r>
      <w:r w:rsidRPr="00AC3E65">
        <w:rPr>
          <w:rStyle w:val="Odkaznapoznmkupodiarou"/>
        </w:rPr>
        <w:footnoteReference w:id="506"/>
      </w:r>
      <w:r w:rsidRPr="00AC3E65">
        <w:t xml:space="preserve"> Táto premenná je dobrá</w:t>
      </w:r>
      <w:r w:rsidRPr="00CA2564">
        <w:t xml:space="preserve"> proxy pre to, či dieťa dostáva v MŠ dotované obedy.</w:t>
      </w:r>
      <w:r w:rsidRPr="00CA2564">
        <w:rPr>
          <w:rStyle w:val="Odkaznapoznmkupodiarou"/>
        </w:rPr>
        <w:footnoteReference w:id="507"/>
      </w:r>
      <w:r w:rsidRPr="00CA2564">
        <w:t xml:space="preserve"> Pozitívny koeficient na tejto premennej potvrdzuj</w:t>
      </w:r>
      <w:r w:rsidR="00495D62">
        <w:t>e, že PHN má pozitívny vplyv na </w:t>
      </w:r>
      <w:r w:rsidRPr="00CA2564">
        <w:t>pravdepodobnosť, že dieťa navštevuje MŠ.</w:t>
      </w:r>
    </w:p>
    <w:p w14:paraId="7C9CE7F1" w14:textId="3984C19D" w:rsidR="007C0188" w:rsidRPr="00CA2564" w:rsidRDefault="007C0188" w:rsidP="007C0188">
      <w:pPr>
        <w:spacing w:before="160"/>
      </w:pPr>
      <w:r w:rsidRPr="00CA2564">
        <w:t>Model 2 zahŕňa ďalšie faktory, ktoré vplývajú na zaškolenosť. Podľa očakávaní, pravdepodobnosť že dieťa z MRK navštevuje MŠ klesá v obciach, ktoré nemajú MŠ, ako aj v obciach, ktoré majú nízke kapacity (merané podielom nevybavených žiadostí na celkovom počte detí v MŠ v obci). Naopak, zamestnanosť matky a otca</w:t>
      </w:r>
      <w:r w:rsidRPr="00CA2564">
        <w:rPr>
          <w:rStyle w:val="Odkaznapoznmkupodiarou"/>
        </w:rPr>
        <w:footnoteReference w:id="508"/>
      </w:r>
      <w:r w:rsidR="00495D62">
        <w:t xml:space="preserve"> ako aj ich </w:t>
      </w:r>
      <w:r w:rsidRPr="00CA2564">
        <w:t>príjem z práce má pozitívny vplyv na pravdepodobnosť, že dieťa navštevuje</w:t>
      </w:r>
      <w:r w:rsidR="00495D62">
        <w:t xml:space="preserve"> MŠ (s tým, že matkin status na </w:t>
      </w:r>
      <w:r w:rsidRPr="00CA2564">
        <w:t xml:space="preserve">pracovnom trhu má podstatne a štatisticky významne vyšší vplyv ako status otca). Prítomnosť súrodenca mladšieho ako 5 rokov má negatívny vplyv na zaškolenosť. </w:t>
      </w:r>
    </w:p>
    <w:p w14:paraId="2A7B114D" w14:textId="06302524" w:rsidR="007C0188" w:rsidRDefault="007C0188" w:rsidP="007C0188">
      <w:pPr>
        <w:spacing w:before="160"/>
      </w:pPr>
      <w:r w:rsidRPr="00CA2564">
        <w:t>Model 2 tiež ukazuje silnú závislosť medzi pozorovaniami – po zoh</w:t>
      </w:r>
      <w:r w:rsidR="00495D62">
        <w:t>ľadnení ostatných premenných je </w:t>
      </w:r>
      <w:r w:rsidR="00511C45" w:rsidRPr="00CA2564">
        <w:t>pravdepodobnosť</w:t>
      </w:r>
      <w:r w:rsidRPr="00CA2564">
        <w:t xml:space="preserve">, že predškolák navštevuje základnú školu vyššia v obciach s vyššou zaškolenosťou ostatných 5 ročných detí v MRK. Tento efekt môže odrážať prítomnosť spoločenských noriem, ktoré sa naprieč obcami/komunitami môžu líšiť, ako aj vplyv faktorov vplývajúcich na zaškolenosť na úrovni obce, ktoré model explicitne nezahŕňa. </w:t>
      </w:r>
    </w:p>
    <w:p w14:paraId="691874E2" w14:textId="6A54DDCC" w:rsidR="00AD46EB" w:rsidRPr="00CA2564" w:rsidRDefault="00AD46EB" w:rsidP="00AD46EB">
      <w:pPr>
        <w:spacing w:before="160"/>
      </w:pPr>
      <w:r w:rsidRPr="00CA2564">
        <w:t>Model 3 zahŕňa aj dve premenné, ktoré sú interakciou PHN a zamestnanosti rodičov. Tento model ukazuje, že silný pozitívny vplyv PHN na zaškolenosť existuje iba v prípade tých detí, ktorých rodičia sú obaja bez práce (hodnota interakčných termínov je v tomto prípade 0). Deti, ktorých matka a/alebo otec má zamestnanie zaznamenávajú podstatne nižší vplyv PHN na zaškolenosť (v ich prípade je vplyv daný súčtom</w:t>
      </w:r>
      <w:r w:rsidR="00495D62">
        <w:t xml:space="preserve"> koeficientov na PHN dummy a na </w:t>
      </w:r>
      <w:r w:rsidRPr="00CA2564">
        <w:t>interakčné termíny</w:t>
      </w:r>
      <w:r w:rsidRPr="00CA2564">
        <w:rPr>
          <w:rStyle w:val="Odkaznapoznmkupodiarou"/>
        </w:rPr>
        <w:footnoteReference w:id="509"/>
      </w:r>
      <w:r w:rsidRPr="00CA2564">
        <w:t>). Tieto deti však tvoria menej ako štvrtinu (23 %) 5 ročných detí v systéme PHN.</w:t>
      </w:r>
    </w:p>
    <w:p w14:paraId="07C69A41" w14:textId="2165E9A4" w:rsidR="00AD46EB" w:rsidRPr="00CA2564" w:rsidRDefault="00AD46EB" w:rsidP="00AD46EB">
      <w:r w:rsidRPr="00CA2564">
        <w:t>Koeficient na PHN je v modeli 2 viac ako dvojnásobne a v modeli 3 skoro trojná</w:t>
      </w:r>
      <w:r w:rsidR="00495D62">
        <w:t>sobne vyšší oproti modelu 1, čo </w:t>
      </w:r>
      <w:r w:rsidRPr="00CA2564">
        <w:t>naznačuje, že prístup k dotovanej strave má podstatne vyšší vplyv na zaškolenosť ako by sa zdalo na základe jednoduchého porovnania zaškolenosti predškolákov v systéme PHN a ostatných predškolákov (model 3 ukazuje, že toto platí hlavne pre deti v systéme PHN, ktorých rodičia sú bez práce). Toto je konzistentné s uvedenou hypotézou, že negatívny vplyv podmienok chudoby na zaškolenosť</w:t>
      </w:r>
      <w:r w:rsidRPr="00CA2564">
        <w:rPr>
          <w:rStyle w:val="Odkaznapoznmkupodiarou"/>
        </w:rPr>
        <w:footnoteReference w:id="510"/>
      </w:r>
      <w:r w:rsidRPr="00CA2564">
        <w:t xml:space="preserve"> prevažuje pozitívna motivácia, ktorú poskytujú dotované obedy pre deti v materských školách, ktoré sú v systéme PHN</w:t>
      </w:r>
      <w:r>
        <w:t>.</w:t>
      </w:r>
    </w:p>
    <w:p w14:paraId="5017F60D" w14:textId="00D1A7D4" w:rsidR="007A78A5" w:rsidRPr="009B0BF7" w:rsidRDefault="007A78A5" w:rsidP="009B0BF7">
      <w:pPr>
        <w:spacing w:after="0" w:line="240" w:lineRule="auto"/>
        <w:rPr>
          <w:b/>
          <w:sz w:val="20"/>
        </w:rPr>
      </w:pPr>
      <w:bookmarkStart w:id="1877" w:name="_Ref25326766"/>
      <w:r w:rsidRPr="009B0BF7">
        <w:rPr>
          <w:b/>
          <w:sz w:val="20"/>
        </w:rPr>
        <w:t xml:space="preserve">Tabuľka P </w:t>
      </w:r>
      <w:r w:rsidR="00943975">
        <w:rPr>
          <w:b/>
          <w:sz w:val="20"/>
        </w:rPr>
        <w:fldChar w:fldCharType="begin"/>
      </w:r>
      <w:r w:rsidR="00943975">
        <w:rPr>
          <w:b/>
          <w:sz w:val="20"/>
        </w:rPr>
        <w:instrText xml:space="preserve"> SEQ Tabuľka_P \* ARABIC </w:instrText>
      </w:r>
      <w:r w:rsidR="00943975">
        <w:rPr>
          <w:b/>
          <w:sz w:val="20"/>
        </w:rPr>
        <w:fldChar w:fldCharType="separate"/>
      </w:r>
      <w:r w:rsidR="00FA29AF">
        <w:rPr>
          <w:b/>
          <w:noProof/>
          <w:sz w:val="20"/>
        </w:rPr>
        <w:t>4</w:t>
      </w:r>
      <w:r w:rsidR="00943975">
        <w:rPr>
          <w:b/>
          <w:sz w:val="20"/>
        </w:rPr>
        <w:fldChar w:fldCharType="end"/>
      </w:r>
      <w:bookmarkEnd w:id="1877"/>
      <w:r w:rsidRPr="009B0BF7">
        <w:rPr>
          <w:b/>
          <w:sz w:val="20"/>
        </w:rPr>
        <w:t>: Probit model pravdepodobnosti navštevovania MŠ 5 ročnými deťmi v prostredí MRK</w:t>
      </w:r>
    </w:p>
    <w:tbl>
      <w:tblPr>
        <w:tblW w:w="9072" w:type="dxa"/>
        <w:tblLayout w:type="fixed"/>
        <w:tblCellMar>
          <w:left w:w="70" w:type="dxa"/>
          <w:right w:w="70" w:type="dxa"/>
        </w:tblCellMar>
        <w:tblLook w:val="04A0" w:firstRow="1" w:lastRow="0" w:firstColumn="1" w:lastColumn="0" w:noHBand="0" w:noVBand="1"/>
      </w:tblPr>
      <w:tblGrid>
        <w:gridCol w:w="3300"/>
        <w:gridCol w:w="962"/>
        <w:gridCol w:w="962"/>
        <w:gridCol w:w="962"/>
        <w:gridCol w:w="962"/>
        <w:gridCol w:w="962"/>
        <w:gridCol w:w="962"/>
      </w:tblGrid>
      <w:tr w:rsidR="007C0188" w:rsidRPr="00CA2564" w14:paraId="315EEADF" w14:textId="77777777" w:rsidTr="00B12E9B">
        <w:trPr>
          <w:trHeight w:val="283"/>
        </w:trPr>
        <w:tc>
          <w:tcPr>
            <w:tcW w:w="3300" w:type="dxa"/>
            <w:tcBorders>
              <w:top w:val="single" w:sz="4" w:space="0" w:color="auto"/>
              <w:left w:val="nil"/>
              <w:bottom w:val="nil"/>
              <w:right w:val="nil"/>
            </w:tcBorders>
            <w:shd w:val="clear" w:color="000000" w:fill="FFFFFF"/>
            <w:noWrap/>
            <w:vAlign w:val="bottom"/>
            <w:hideMark/>
          </w:tcPr>
          <w:p w14:paraId="71B1893D" w14:textId="77777777" w:rsidR="007C0188" w:rsidRPr="00CA2564" w:rsidRDefault="007C0188" w:rsidP="00B12E9B">
            <w:pPr>
              <w:spacing w:after="0" w:line="240" w:lineRule="auto"/>
              <w:rPr>
                <w:rFonts w:eastAsia="Times New Roman" w:cs="Times New Roman"/>
                <w:b/>
                <w:bCs/>
                <w:color w:val="000000"/>
                <w:sz w:val="20"/>
                <w:lang w:eastAsia="sk-SK"/>
              </w:rPr>
            </w:pPr>
            <w:r w:rsidRPr="00CA2564">
              <w:rPr>
                <w:rFonts w:eastAsia="Times New Roman" w:cs="Times New Roman"/>
                <w:b/>
                <w:bCs/>
                <w:color w:val="000000"/>
                <w:sz w:val="20"/>
                <w:lang w:eastAsia="sk-SK"/>
              </w:rPr>
              <w:t> </w:t>
            </w:r>
          </w:p>
        </w:tc>
        <w:tc>
          <w:tcPr>
            <w:tcW w:w="1924" w:type="dxa"/>
            <w:gridSpan w:val="2"/>
            <w:tcBorders>
              <w:top w:val="single" w:sz="4" w:space="0" w:color="auto"/>
              <w:left w:val="nil"/>
              <w:bottom w:val="nil"/>
              <w:right w:val="nil"/>
            </w:tcBorders>
            <w:shd w:val="clear" w:color="000000" w:fill="FFFFFF"/>
            <w:noWrap/>
            <w:vAlign w:val="bottom"/>
            <w:hideMark/>
          </w:tcPr>
          <w:p w14:paraId="42EAE2EB" w14:textId="77777777" w:rsidR="007C0188" w:rsidRPr="00CA2564" w:rsidRDefault="007C0188" w:rsidP="00B12E9B">
            <w:pPr>
              <w:spacing w:after="0" w:line="240" w:lineRule="auto"/>
              <w:jc w:val="center"/>
              <w:rPr>
                <w:rFonts w:eastAsia="Times New Roman" w:cs="Times New Roman"/>
                <w:b/>
                <w:bCs/>
                <w:color w:val="000000"/>
                <w:sz w:val="20"/>
                <w:lang w:eastAsia="sk-SK"/>
              </w:rPr>
            </w:pPr>
            <w:r w:rsidRPr="00CA2564">
              <w:rPr>
                <w:rFonts w:eastAsia="Times New Roman" w:cs="Times New Roman"/>
                <w:b/>
                <w:bCs/>
                <w:color w:val="000000"/>
                <w:sz w:val="20"/>
                <w:lang w:eastAsia="sk-SK"/>
              </w:rPr>
              <w:t>Model 1</w:t>
            </w:r>
          </w:p>
        </w:tc>
        <w:tc>
          <w:tcPr>
            <w:tcW w:w="1924" w:type="dxa"/>
            <w:gridSpan w:val="2"/>
            <w:tcBorders>
              <w:top w:val="single" w:sz="4" w:space="0" w:color="auto"/>
              <w:left w:val="nil"/>
              <w:bottom w:val="nil"/>
              <w:right w:val="nil"/>
            </w:tcBorders>
            <w:shd w:val="clear" w:color="000000" w:fill="FFFFFF"/>
            <w:noWrap/>
            <w:vAlign w:val="bottom"/>
            <w:hideMark/>
          </w:tcPr>
          <w:p w14:paraId="481031A7" w14:textId="77777777" w:rsidR="007C0188" w:rsidRPr="00CA2564" w:rsidRDefault="007C0188" w:rsidP="00B12E9B">
            <w:pPr>
              <w:spacing w:after="0" w:line="240" w:lineRule="auto"/>
              <w:jc w:val="center"/>
              <w:rPr>
                <w:rFonts w:eastAsia="Times New Roman" w:cs="Times New Roman"/>
                <w:b/>
                <w:bCs/>
                <w:color w:val="000000"/>
                <w:sz w:val="20"/>
                <w:lang w:eastAsia="sk-SK"/>
              </w:rPr>
            </w:pPr>
            <w:r w:rsidRPr="00CA2564">
              <w:rPr>
                <w:rFonts w:eastAsia="Times New Roman" w:cs="Times New Roman"/>
                <w:b/>
                <w:bCs/>
                <w:color w:val="000000"/>
                <w:sz w:val="20"/>
                <w:lang w:eastAsia="sk-SK"/>
              </w:rPr>
              <w:t>Model 2</w:t>
            </w:r>
          </w:p>
        </w:tc>
        <w:tc>
          <w:tcPr>
            <w:tcW w:w="1924" w:type="dxa"/>
            <w:gridSpan w:val="2"/>
            <w:tcBorders>
              <w:top w:val="single" w:sz="4" w:space="0" w:color="auto"/>
              <w:left w:val="nil"/>
              <w:bottom w:val="nil"/>
              <w:right w:val="nil"/>
            </w:tcBorders>
            <w:shd w:val="clear" w:color="000000" w:fill="FFFFFF"/>
            <w:noWrap/>
            <w:vAlign w:val="bottom"/>
            <w:hideMark/>
          </w:tcPr>
          <w:p w14:paraId="304DBD2B" w14:textId="77777777" w:rsidR="007C0188" w:rsidRPr="00CA2564" w:rsidRDefault="007C0188" w:rsidP="00B12E9B">
            <w:pPr>
              <w:spacing w:after="0" w:line="240" w:lineRule="auto"/>
              <w:jc w:val="center"/>
              <w:rPr>
                <w:rFonts w:eastAsia="Times New Roman" w:cs="Times New Roman"/>
                <w:b/>
                <w:bCs/>
                <w:color w:val="000000"/>
                <w:sz w:val="20"/>
                <w:lang w:eastAsia="sk-SK"/>
              </w:rPr>
            </w:pPr>
            <w:r w:rsidRPr="00CA2564">
              <w:rPr>
                <w:rFonts w:eastAsia="Times New Roman" w:cs="Times New Roman"/>
                <w:b/>
                <w:bCs/>
                <w:color w:val="000000"/>
                <w:sz w:val="20"/>
                <w:lang w:eastAsia="sk-SK"/>
              </w:rPr>
              <w:t>Model 3</w:t>
            </w:r>
          </w:p>
        </w:tc>
      </w:tr>
      <w:tr w:rsidR="007C0188" w:rsidRPr="00CA2564" w14:paraId="31992C84" w14:textId="77777777" w:rsidTr="007C4E85">
        <w:trPr>
          <w:trHeight w:val="330"/>
        </w:trPr>
        <w:tc>
          <w:tcPr>
            <w:tcW w:w="3300" w:type="dxa"/>
            <w:tcBorders>
              <w:top w:val="nil"/>
              <w:left w:val="nil"/>
              <w:bottom w:val="single" w:sz="4" w:space="0" w:color="auto"/>
              <w:right w:val="nil"/>
            </w:tcBorders>
            <w:shd w:val="clear" w:color="000000" w:fill="FFFFFF"/>
            <w:noWrap/>
            <w:vAlign w:val="bottom"/>
            <w:hideMark/>
          </w:tcPr>
          <w:p w14:paraId="21653518" w14:textId="77777777" w:rsidR="007C0188" w:rsidRPr="00CA2564" w:rsidRDefault="007C0188" w:rsidP="007C4E85">
            <w:pPr>
              <w:spacing w:after="0" w:line="240" w:lineRule="auto"/>
              <w:rPr>
                <w:rFonts w:eastAsia="Times New Roman" w:cs="Times New Roman"/>
                <w:b/>
                <w:bCs/>
                <w:color w:val="000000"/>
                <w:sz w:val="20"/>
                <w:lang w:eastAsia="sk-SK"/>
              </w:rPr>
            </w:pPr>
            <w:r w:rsidRPr="00CA2564">
              <w:rPr>
                <w:rFonts w:eastAsia="Times New Roman" w:cs="Times New Roman"/>
                <w:b/>
                <w:bCs/>
                <w:color w:val="000000"/>
                <w:sz w:val="20"/>
                <w:lang w:eastAsia="sk-SK"/>
              </w:rPr>
              <w:t>Premenná</w:t>
            </w:r>
          </w:p>
        </w:tc>
        <w:tc>
          <w:tcPr>
            <w:tcW w:w="962" w:type="dxa"/>
            <w:tcBorders>
              <w:top w:val="nil"/>
              <w:left w:val="nil"/>
              <w:bottom w:val="single" w:sz="4" w:space="0" w:color="auto"/>
              <w:right w:val="nil"/>
            </w:tcBorders>
            <w:shd w:val="clear" w:color="000000" w:fill="FFFFFF"/>
            <w:noWrap/>
            <w:vAlign w:val="bottom"/>
            <w:hideMark/>
          </w:tcPr>
          <w:p w14:paraId="42B2A984" w14:textId="77777777" w:rsidR="007C0188" w:rsidRPr="00CA2564" w:rsidRDefault="007C0188" w:rsidP="007C4E85">
            <w:pPr>
              <w:spacing w:after="0" w:line="240" w:lineRule="auto"/>
              <w:rPr>
                <w:rFonts w:eastAsia="Times New Roman" w:cs="Times New Roman"/>
                <w:b/>
                <w:bCs/>
                <w:color w:val="000000"/>
                <w:sz w:val="20"/>
                <w:lang w:eastAsia="sk-SK"/>
              </w:rPr>
            </w:pPr>
            <w:r w:rsidRPr="00CA2564">
              <w:rPr>
                <w:rFonts w:eastAsia="Times New Roman" w:cs="Times New Roman"/>
                <w:b/>
                <w:bCs/>
                <w:color w:val="000000"/>
                <w:sz w:val="20"/>
                <w:lang w:eastAsia="sk-SK"/>
              </w:rPr>
              <w:t>Koeficient</w:t>
            </w:r>
          </w:p>
        </w:tc>
        <w:tc>
          <w:tcPr>
            <w:tcW w:w="962" w:type="dxa"/>
            <w:tcBorders>
              <w:top w:val="nil"/>
              <w:left w:val="nil"/>
              <w:bottom w:val="single" w:sz="4" w:space="0" w:color="auto"/>
              <w:right w:val="nil"/>
            </w:tcBorders>
            <w:shd w:val="clear" w:color="000000" w:fill="FFFFFF"/>
            <w:noWrap/>
            <w:vAlign w:val="bottom"/>
            <w:hideMark/>
          </w:tcPr>
          <w:p w14:paraId="5B1E17F3" w14:textId="77777777" w:rsidR="007C0188" w:rsidRPr="00CA2564" w:rsidRDefault="007C0188" w:rsidP="007C4E85">
            <w:pPr>
              <w:spacing w:after="0" w:line="240" w:lineRule="auto"/>
              <w:rPr>
                <w:rFonts w:eastAsia="Times New Roman" w:cs="Times New Roman"/>
                <w:b/>
                <w:bCs/>
                <w:color w:val="000000"/>
                <w:sz w:val="20"/>
                <w:lang w:eastAsia="sk-SK"/>
              </w:rPr>
            </w:pPr>
            <w:r w:rsidRPr="00CA2564">
              <w:rPr>
                <w:rFonts w:eastAsia="Times New Roman" w:cs="Times New Roman"/>
                <w:b/>
                <w:bCs/>
                <w:color w:val="000000"/>
                <w:sz w:val="20"/>
                <w:lang w:eastAsia="sk-SK"/>
              </w:rPr>
              <w:t>Št. chyba</w:t>
            </w:r>
          </w:p>
        </w:tc>
        <w:tc>
          <w:tcPr>
            <w:tcW w:w="962" w:type="dxa"/>
            <w:tcBorders>
              <w:top w:val="nil"/>
              <w:left w:val="nil"/>
              <w:bottom w:val="single" w:sz="4" w:space="0" w:color="auto"/>
              <w:right w:val="nil"/>
            </w:tcBorders>
            <w:shd w:val="clear" w:color="000000" w:fill="FFFFFF"/>
            <w:noWrap/>
            <w:vAlign w:val="bottom"/>
            <w:hideMark/>
          </w:tcPr>
          <w:p w14:paraId="2C89ADCE" w14:textId="77777777" w:rsidR="007C0188" w:rsidRPr="00CA2564" w:rsidRDefault="007C0188" w:rsidP="007C4E85">
            <w:pPr>
              <w:spacing w:after="0" w:line="240" w:lineRule="auto"/>
              <w:rPr>
                <w:rFonts w:eastAsia="Times New Roman" w:cs="Times New Roman"/>
                <w:b/>
                <w:bCs/>
                <w:color w:val="000000"/>
                <w:sz w:val="20"/>
                <w:lang w:eastAsia="sk-SK"/>
              </w:rPr>
            </w:pPr>
            <w:r w:rsidRPr="00CA2564">
              <w:rPr>
                <w:rFonts w:eastAsia="Times New Roman" w:cs="Times New Roman"/>
                <w:b/>
                <w:bCs/>
                <w:color w:val="000000"/>
                <w:sz w:val="20"/>
                <w:lang w:eastAsia="sk-SK"/>
              </w:rPr>
              <w:t>Koeficient</w:t>
            </w:r>
          </w:p>
        </w:tc>
        <w:tc>
          <w:tcPr>
            <w:tcW w:w="962" w:type="dxa"/>
            <w:tcBorders>
              <w:top w:val="nil"/>
              <w:left w:val="nil"/>
              <w:bottom w:val="single" w:sz="4" w:space="0" w:color="auto"/>
              <w:right w:val="nil"/>
            </w:tcBorders>
            <w:shd w:val="clear" w:color="000000" w:fill="FFFFFF"/>
            <w:noWrap/>
            <w:vAlign w:val="bottom"/>
            <w:hideMark/>
          </w:tcPr>
          <w:p w14:paraId="38DD7A39" w14:textId="77777777" w:rsidR="007C0188" w:rsidRPr="00CA2564" w:rsidRDefault="007C0188" w:rsidP="007C4E85">
            <w:pPr>
              <w:spacing w:after="0" w:line="240" w:lineRule="auto"/>
              <w:rPr>
                <w:rFonts w:eastAsia="Times New Roman" w:cs="Times New Roman"/>
                <w:b/>
                <w:bCs/>
                <w:color w:val="000000"/>
                <w:sz w:val="20"/>
                <w:lang w:eastAsia="sk-SK"/>
              </w:rPr>
            </w:pPr>
            <w:r w:rsidRPr="00CA2564">
              <w:rPr>
                <w:rFonts w:eastAsia="Times New Roman" w:cs="Times New Roman"/>
                <w:b/>
                <w:bCs/>
                <w:color w:val="000000"/>
                <w:sz w:val="20"/>
                <w:lang w:eastAsia="sk-SK"/>
              </w:rPr>
              <w:t>Št. chyba</w:t>
            </w:r>
          </w:p>
        </w:tc>
        <w:tc>
          <w:tcPr>
            <w:tcW w:w="962" w:type="dxa"/>
            <w:tcBorders>
              <w:top w:val="nil"/>
              <w:left w:val="nil"/>
              <w:bottom w:val="single" w:sz="4" w:space="0" w:color="auto"/>
              <w:right w:val="nil"/>
            </w:tcBorders>
            <w:shd w:val="clear" w:color="000000" w:fill="FFFFFF"/>
            <w:noWrap/>
            <w:vAlign w:val="bottom"/>
            <w:hideMark/>
          </w:tcPr>
          <w:p w14:paraId="23A6B400" w14:textId="77777777" w:rsidR="007C0188" w:rsidRPr="00CA2564" w:rsidRDefault="007C0188" w:rsidP="007C4E85">
            <w:pPr>
              <w:spacing w:after="0" w:line="240" w:lineRule="auto"/>
              <w:rPr>
                <w:rFonts w:eastAsia="Times New Roman" w:cs="Times New Roman"/>
                <w:b/>
                <w:bCs/>
                <w:color w:val="000000"/>
                <w:sz w:val="20"/>
                <w:lang w:eastAsia="sk-SK"/>
              </w:rPr>
            </w:pPr>
            <w:r w:rsidRPr="00CA2564">
              <w:rPr>
                <w:rFonts w:eastAsia="Times New Roman" w:cs="Times New Roman"/>
                <w:b/>
                <w:bCs/>
                <w:color w:val="000000"/>
                <w:sz w:val="20"/>
                <w:lang w:eastAsia="sk-SK"/>
              </w:rPr>
              <w:t>Koeficient</w:t>
            </w:r>
          </w:p>
        </w:tc>
        <w:tc>
          <w:tcPr>
            <w:tcW w:w="962" w:type="dxa"/>
            <w:tcBorders>
              <w:top w:val="nil"/>
              <w:left w:val="nil"/>
              <w:bottom w:val="single" w:sz="4" w:space="0" w:color="auto"/>
              <w:right w:val="nil"/>
            </w:tcBorders>
            <w:shd w:val="clear" w:color="000000" w:fill="FFFFFF"/>
            <w:noWrap/>
            <w:vAlign w:val="bottom"/>
            <w:hideMark/>
          </w:tcPr>
          <w:p w14:paraId="4D542EEE" w14:textId="77777777" w:rsidR="007C0188" w:rsidRPr="00CA2564" w:rsidRDefault="007C0188" w:rsidP="007C4E85">
            <w:pPr>
              <w:spacing w:after="0" w:line="240" w:lineRule="auto"/>
              <w:rPr>
                <w:rFonts w:eastAsia="Times New Roman" w:cs="Times New Roman"/>
                <w:b/>
                <w:bCs/>
                <w:color w:val="000000"/>
                <w:sz w:val="20"/>
                <w:lang w:eastAsia="sk-SK"/>
              </w:rPr>
            </w:pPr>
            <w:r w:rsidRPr="00CA2564">
              <w:rPr>
                <w:rFonts w:eastAsia="Times New Roman" w:cs="Times New Roman"/>
                <w:b/>
                <w:bCs/>
                <w:color w:val="000000"/>
                <w:sz w:val="20"/>
                <w:lang w:eastAsia="sk-SK"/>
              </w:rPr>
              <w:t>Št. chyba</w:t>
            </w:r>
          </w:p>
        </w:tc>
      </w:tr>
      <w:tr w:rsidR="007C0188" w:rsidRPr="00CA2564" w14:paraId="7D9C1BEB" w14:textId="77777777" w:rsidTr="00B12E9B">
        <w:trPr>
          <w:trHeight w:val="283"/>
        </w:trPr>
        <w:tc>
          <w:tcPr>
            <w:tcW w:w="3300" w:type="dxa"/>
            <w:tcBorders>
              <w:top w:val="nil"/>
              <w:left w:val="nil"/>
              <w:bottom w:val="nil"/>
              <w:right w:val="nil"/>
            </w:tcBorders>
            <w:shd w:val="clear" w:color="000000" w:fill="FFFFFF"/>
            <w:noWrap/>
            <w:vAlign w:val="bottom"/>
            <w:hideMark/>
          </w:tcPr>
          <w:p w14:paraId="5C4D8570" w14:textId="77777777" w:rsidR="007C0188" w:rsidRPr="00CA2564" w:rsidRDefault="007C0188" w:rsidP="007C4E85">
            <w:pPr>
              <w:spacing w:after="0" w:line="240" w:lineRule="auto"/>
              <w:rPr>
                <w:rFonts w:eastAsia="Times New Roman" w:cs="Times New Roman"/>
                <w:color w:val="000000"/>
                <w:sz w:val="20"/>
                <w:lang w:eastAsia="sk-SK"/>
              </w:rPr>
            </w:pPr>
            <w:r w:rsidRPr="00CA2564">
              <w:rPr>
                <w:rFonts w:eastAsia="Times New Roman" w:cs="Times New Roman"/>
                <w:color w:val="000000"/>
                <w:sz w:val="20"/>
                <w:lang w:eastAsia="sk-SK"/>
              </w:rPr>
              <w:t>V systéme PHN (dummy)</w:t>
            </w:r>
          </w:p>
        </w:tc>
        <w:tc>
          <w:tcPr>
            <w:tcW w:w="962" w:type="dxa"/>
            <w:tcBorders>
              <w:top w:val="nil"/>
              <w:left w:val="nil"/>
              <w:bottom w:val="nil"/>
              <w:right w:val="nil"/>
            </w:tcBorders>
            <w:shd w:val="clear" w:color="000000" w:fill="FFFFFF"/>
            <w:noWrap/>
            <w:vAlign w:val="bottom"/>
            <w:hideMark/>
          </w:tcPr>
          <w:p w14:paraId="25051073" w14:textId="77777777" w:rsidR="007C0188" w:rsidRPr="00CA2564" w:rsidRDefault="007C0188" w:rsidP="007C4E85">
            <w:pPr>
              <w:spacing w:after="0" w:line="240" w:lineRule="auto"/>
              <w:jc w:val="center"/>
              <w:rPr>
                <w:color w:val="000000"/>
                <w:sz w:val="20"/>
              </w:rPr>
            </w:pPr>
            <w:r w:rsidRPr="00CA2564">
              <w:rPr>
                <w:color w:val="000000"/>
                <w:sz w:val="20"/>
              </w:rPr>
              <w:t>0,16***</w:t>
            </w:r>
          </w:p>
        </w:tc>
        <w:tc>
          <w:tcPr>
            <w:tcW w:w="962" w:type="dxa"/>
            <w:tcBorders>
              <w:top w:val="nil"/>
              <w:left w:val="nil"/>
              <w:bottom w:val="nil"/>
              <w:right w:val="nil"/>
            </w:tcBorders>
            <w:shd w:val="clear" w:color="000000" w:fill="FFFFFF"/>
            <w:noWrap/>
            <w:vAlign w:val="bottom"/>
            <w:hideMark/>
          </w:tcPr>
          <w:p w14:paraId="4E54E1CB" w14:textId="77777777" w:rsidR="007C0188" w:rsidRPr="00CA2564" w:rsidRDefault="007C0188" w:rsidP="007C4E85">
            <w:pPr>
              <w:spacing w:after="0" w:line="240" w:lineRule="auto"/>
              <w:jc w:val="center"/>
              <w:rPr>
                <w:color w:val="000000"/>
                <w:sz w:val="20"/>
              </w:rPr>
            </w:pPr>
            <w:r w:rsidRPr="00CA2564">
              <w:rPr>
                <w:color w:val="000000"/>
                <w:sz w:val="20"/>
              </w:rPr>
              <w:t>0,03</w:t>
            </w:r>
          </w:p>
        </w:tc>
        <w:tc>
          <w:tcPr>
            <w:tcW w:w="962" w:type="dxa"/>
            <w:tcBorders>
              <w:top w:val="nil"/>
              <w:left w:val="nil"/>
              <w:bottom w:val="nil"/>
              <w:right w:val="nil"/>
            </w:tcBorders>
            <w:shd w:val="clear" w:color="000000" w:fill="FFFFFF"/>
            <w:noWrap/>
            <w:vAlign w:val="bottom"/>
            <w:hideMark/>
          </w:tcPr>
          <w:p w14:paraId="296716AB" w14:textId="77777777" w:rsidR="007C0188" w:rsidRPr="00CA2564" w:rsidRDefault="007C0188" w:rsidP="007C4E85">
            <w:pPr>
              <w:spacing w:after="0" w:line="240" w:lineRule="auto"/>
              <w:jc w:val="center"/>
              <w:rPr>
                <w:color w:val="000000"/>
                <w:sz w:val="20"/>
              </w:rPr>
            </w:pPr>
            <w:r w:rsidRPr="00CA2564">
              <w:rPr>
                <w:color w:val="000000"/>
                <w:sz w:val="20"/>
              </w:rPr>
              <w:t>0,36***</w:t>
            </w:r>
          </w:p>
        </w:tc>
        <w:tc>
          <w:tcPr>
            <w:tcW w:w="962" w:type="dxa"/>
            <w:tcBorders>
              <w:top w:val="nil"/>
              <w:left w:val="nil"/>
              <w:bottom w:val="nil"/>
              <w:right w:val="nil"/>
            </w:tcBorders>
            <w:shd w:val="clear" w:color="000000" w:fill="FFFFFF"/>
            <w:noWrap/>
            <w:vAlign w:val="bottom"/>
            <w:hideMark/>
          </w:tcPr>
          <w:p w14:paraId="72DD6380" w14:textId="77777777" w:rsidR="007C0188" w:rsidRPr="00CA2564" w:rsidRDefault="007C0188" w:rsidP="007C4E85">
            <w:pPr>
              <w:spacing w:after="0" w:line="240" w:lineRule="auto"/>
              <w:jc w:val="center"/>
              <w:rPr>
                <w:color w:val="000000"/>
                <w:sz w:val="20"/>
              </w:rPr>
            </w:pPr>
            <w:r w:rsidRPr="00CA2564">
              <w:rPr>
                <w:color w:val="000000"/>
                <w:sz w:val="20"/>
              </w:rPr>
              <w:t>0,04</w:t>
            </w:r>
          </w:p>
        </w:tc>
        <w:tc>
          <w:tcPr>
            <w:tcW w:w="962" w:type="dxa"/>
            <w:tcBorders>
              <w:top w:val="nil"/>
              <w:left w:val="nil"/>
              <w:bottom w:val="nil"/>
              <w:right w:val="nil"/>
            </w:tcBorders>
            <w:shd w:val="clear" w:color="000000" w:fill="FFFFFF"/>
            <w:noWrap/>
            <w:vAlign w:val="bottom"/>
            <w:hideMark/>
          </w:tcPr>
          <w:p w14:paraId="323F2D59" w14:textId="77777777" w:rsidR="007C0188" w:rsidRPr="00CA2564" w:rsidRDefault="007C0188" w:rsidP="007C4E85">
            <w:pPr>
              <w:spacing w:after="0" w:line="240" w:lineRule="auto"/>
              <w:jc w:val="center"/>
              <w:rPr>
                <w:color w:val="000000"/>
                <w:sz w:val="20"/>
              </w:rPr>
            </w:pPr>
            <w:r w:rsidRPr="00CA2564">
              <w:rPr>
                <w:color w:val="000000"/>
                <w:sz w:val="20"/>
              </w:rPr>
              <w:t>0,45***</w:t>
            </w:r>
          </w:p>
        </w:tc>
        <w:tc>
          <w:tcPr>
            <w:tcW w:w="962" w:type="dxa"/>
            <w:tcBorders>
              <w:top w:val="nil"/>
              <w:left w:val="nil"/>
              <w:bottom w:val="nil"/>
              <w:right w:val="nil"/>
            </w:tcBorders>
            <w:shd w:val="clear" w:color="000000" w:fill="FFFFFF"/>
            <w:noWrap/>
            <w:vAlign w:val="bottom"/>
            <w:hideMark/>
          </w:tcPr>
          <w:p w14:paraId="3CBB6EF2" w14:textId="77777777" w:rsidR="007C0188" w:rsidRPr="00CA2564" w:rsidRDefault="007C0188" w:rsidP="007C4E85">
            <w:pPr>
              <w:spacing w:after="0" w:line="240" w:lineRule="auto"/>
              <w:jc w:val="center"/>
              <w:rPr>
                <w:color w:val="000000"/>
                <w:sz w:val="20"/>
              </w:rPr>
            </w:pPr>
            <w:r w:rsidRPr="00CA2564">
              <w:rPr>
                <w:color w:val="000000"/>
                <w:sz w:val="20"/>
              </w:rPr>
              <w:t>0,04</w:t>
            </w:r>
          </w:p>
        </w:tc>
      </w:tr>
      <w:tr w:rsidR="007C0188" w:rsidRPr="00CA2564" w14:paraId="38E5F120" w14:textId="77777777" w:rsidTr="00B12E9B">
        <w:trPr>
          <w:trHeight w:val="283"/>
        </w:trPr>
        <w:tc>
          <w:tcPr>
            <w:tcW w:w="3300" w:type="dxa"/>
            <w:tcBorders>
              <w:top w:val="nil"/>
              <w:left w:val="nil"/>
              <w:bottom w:val="nil"/>
              <w:right w:val="nil"/>
            </w:tcBorders>
            <w:shd w:val="clear" w:color="000000" w:fill="FFFFFF"/>
            <w:noWrap/>
            <w:vAlign w:val="bottom"/>
            <w:hideMark/>
          </w:tcPr>
          <w:p w14:paraId="68E7F6B0" w14:textId="77777777" w:rsidR="007C0188" w:rsidRPr="00CA2564" w:rsidRDefault="007C0188" w:rsidP="007C4E85">
            <w:pPr>
              <w:spacing w:after="0" w:line="240" w:lineRule="auto"/>
              <w:rPr>
                <w:rFonts w:eastAsia="Times New Roman" w:cs="Times New Roman"/>
                <w:color w:val="000000"/>
                <w:sz w:val="20"/>
                <w:lang w:eastAsia="sk-SK"/>
              </w:rPr>
            </w:pPr>
            <w:r w:rsidRPr="00CA2564">
              <w:rPr>
                <w:rFonts w:eastAsia="Times New Roman" w:cs="Times New Roman"/>
                <w:color w:val="000000"/>
                <w:sz w:val="20"/>
                <w:lang w:eastAsia="sk-SK"/>
              </w:rPr>
              <w:t>Obec bez MŠ (dummy)</w:t>
            </w:r>
          </w:p>
        </w:tc>
        <w:tc>
          <w:tcPr>
            <w:tcW w:w="962" w:type="dxa"/>
            <w:tcBorders>
              <w:top w:val="nil"/>
              <w:left w:val="nil"/>
              <w:bottom w:val="nil"/>
              <w:right w:val="nil"/>
            </w:tcBorders>
            <w:shd w:val="clear" w:color="000000" w:fill="FFFFFF"/>
            <w:noWrap/>
            <w:vAlign w:val="bottom"/>
            <w:hideMark/>
          </w:tcPr>
          <w:p w14:paraId="25EFA291" w14:textId="77777777" w:rsidR="007C0188" w:rsidRPr="00CA2564" w:rsidRDefault="007C0188" w:rsidP="007C4E85">
            <w:pPr>
              <w:spacing w:after="0" w:line="240" w:lineRule="auto"/>
              <w:jc w:val="center"/>
              <w:rPr>
                <w:color w:val="000000"/>
                <w:sz w:val="20"/>
              </w:rPr>
            </w:pPr>
          </w:p>
        </w:tc>
        <w:tc>
          <w:tcPr>
            <w:tcW w:w="962" w:type="dxa"/>
            <w:tcBorders>
              <w:top w:val="nil"/>
              <w:left w:val="nil"/>
              <w:bottom w:val="nil"/>
              <w:right w:val="nil"/>
            </w:tcBorders>
            <w:shd w:val="clear" w:color="000000" w:fill="FFFFFF"/>
            <w:noWrap/>
            <w:vAlign w:val="bottom"/>
            <w:hideMark/>
          </w:tcPr>
          <w:p w14:paraId="753C6C57" w14:textId="77777777" w:rsidR="007C0188" w:rsidRPr="00CA2564" w:rsidRDefault="007C0188" w:rsidP="007C4E85">
            <w:pPr>
              <w:spacing w:after="0" w:line="240" w:lineRule="auto"/>
              <w:jc w:val="center"/>
              <w:rPr>
                <w:color w:val="000000"/>
                <w:sz w:val="20"/>
              </w:rPr>
            </w:pPr>
          </w:p>
        </w:tc>
        <w:tc>
          <w:tcPr>
            <w:tcW w:w="962" w:type="dxa"/>
            <w:tcBorders>
              <w:top w:val="nil"/>
              <w:left w:val="nil"/>
              <w:bottom w:val="nil"/>
              <w:right w:val="nil"/>
            </w:tcBorders>
            <w:shd w:val="clear" w:color="000000" w:fill="FFFFFF"/>
            <w:noWrap/>
            <w:vAlign w:val="bottom"/>
            <w:hideMark/>
          </w:tcPr>
          <w:p w14:paraId="2A153361" w14:textId="77777777" w:rsidR="007C0188" w:rsidRPr="00CA2564" w:rsidRDefault="007C0188" w:rsidP="007C4E85">
            <w:pPr>
              <w:spacing w:after="0" w:line="240" w:lineRule="auto"/>
              <w:jc w:val="center"/>
              <w:rPr>
                <w:color w:val="000000"/>
                <w:sz w:val="20"/>
              </w:rPr>
            </w:pPr>
            <w:r w:rsidRPr="00CA2564">
              <w:rPr>
                <w:color w:val="000000"/>
                <w:sz w:val="20"/>
              </w:rPr>
              <w:t>-0,47***</w:t>
            </w:r>
          </w:p>
        </w:tc>
        <w:tc>
          <w:tcPr>
            <w:tcW w:w="962" w:type="dxa"/>
            <w:tcBorders>
              <w:top w:val="nil"/>
              <w:left w:val="nil"/>
              <w:bottom w:val="nil"/>
              <w:right w:val="nil"/>
            </w:tcBorders>
            <w:shd w:val="clear" w:color="000000" w:fill="FFFFFF"/>
            <w:noWrap/>
            <w:vAlign w:val="bottom"/>
            <w:hideMark/>
          </w:tcPr>
          <w:p w14:paraId="0A60C7C4" w14:textId="77777777" w:rsidR="007C0188" w:rsidRPr="00CA2564" w:rsidRDefault="007C0188" w:rsidP="007C4E85">
            <w:pPr>
              <w:spacing w:after="0" w:line="240" w:lineRule="auto"/>
              <w:jc w:val="center"/>
              <w:rPr>
                <w:color w:val="000000"/>
                <w:sz w:val="20"/>
              </w:rPr>
            </w:pPr>
            <w:r w:rsidRPr="00CA2564">
              <w:rPr>
                <w:color w:val="000000"/>
                <w:sz w:val="20"/>
              </w:rPr>
              <w:t>0,10</w:t>
            </w:r>
          </w:p>
        </w:tc>
        <w:tc>
          <w:tcPr>
            <w:tcW w:w="962" w:type="dxa"/>
            <w:tcBorders>
              <w:top w:val="nil"/>
              <w:left w:val="nil"/>
              <w:bottom w:val="nil"/>
              <w:right w:val="nil"/>
            </w:tcBorders>
            <w:shd w:val="clear" w:color="000000" w:fill="FFFFFF"/>
            <w:noWrap/>
            <w:vAlign w:val="bottom"/>
            <w:hideMark/>
          </w:tcPr>
          <w:p w14:paraId="3DDC4E2B" w14:textId="77777777" w:rsidR="007C0188" w:rsidRPr="00CA2564" w:rsidRDefault="007C0188" w:rsidP="007C4E85">
            <w:pPr>
              <w:spacing w:after="0" w:line="240" w:lineRule="auto"/>
              <w:jc w:val="center"/>
              <w:rPr>
                <w:color w:val="000000"/>
                <w:sz w:val="20"/>
              </w:rPr>
            </w:pPr>
            <w:r w:rsidRPr="00CA2564">
              <w:rPr>
                <w:color w:val="000000"/>
                <w:sz w:val="20"/>
              </w:rPr>
              <w:t>-0,46***</w:t>
            </w:r>
          </w:p>
        </w:tc>
        <w:tc>
          <w:tcPr>
            <w:tcW w:w="962" w:type="dxa"/>
            <w:tcBorders>
              <w:top w:val="nil"/>
              <w:left w:val="nil"/>
              <w:bottom w:val="nil"/>
              <w:right w:val="nil"/>
            </w:tcBorders>
            <w:shd w:val="clear" w:color="000000" w:fill="FFFFFF"/>
            <w:noWrap/>
            <w:vAlign w:val="bottom"/>
            <w:hideMark/>
          </w:tcPr>
          <w:p w14:paraId="47AFA8A7" w14:textId="77777777" w:rsidR="007C0188" w:rsidRPr="00CA2564" w:rsidRDefault="007C0188" w:rsidP="007C4E85">
            <w:pPr>
              <w:spacing w:after="0" w:line="240" w:lineRule="auto"/>
              <w:jc w:val="center"/>
              <w:rPr>
                <w:color w:val="000000"/>
                <w:sz w:val="20"/>
              </w:rPr>
            </w:pPr>
            <w:r w:rsidRPr="00CA2564">
              <w:rPr>
                <w:color w:val="000000"/>
                <w:sz w:val="20"/>
              </w:rPr>
              <w:t>0,10</w:t>
            </w:r>
          </w:p>
        </w:tc>
      </w:tr>
      <w:tr w:rsidR="007C0188" w:rsidRPr="00CA2564" w14:paraId="37BCE8EF" w14:textId="77777777" w:rsidTr="00B12E9B">
        <w:trPr>
          <w:trHeight w:val="283"/>
        </w:trPr>
        <w:tc>
          <w:tcPr>
            <w:tcW w:w="3300" w:type="dxa"/>
            <w:tcBorders>
              <w:top w:val="nil"/>
              <w:left w:val="nil"/>
              <w:bottom w:val="nil"/>
              <w:right w:val="nil"/>
            </w:tcBorders>
            <w:shd w:val="clear" w:color="000000" w:fill="FFFFFF"/>
            <w:noWrap/>
            <w:vAlign w:val="bottom"/>
            <w:hideMark/>
          </w:tcPr>
          <w:p w14:paraId="68602606" w14:textId="77777777" w:rsidR="007C0188" w:rsidRPr="00CA2564" w:rsidRDefault="007C0188" w:rsidP="007C4E85">
            <w:pPr>
              <w:spacing w:after="0" w:line="240" w:lineRule="auto"/>
              <w:rPr>
                <w:rFonts w:eastAsia="Times New Roman" w:cs="Times New Roman"/>
                <w:color w:val="000000"/>
                <w:sz w:val="20"/>
                <w:lang w:eastAsia="sk-SK"/>
              </w:rPr>
            </w:pPr>
            <w:r w:rsidRPr="00CA2564">
              <w:rPr>
                <w:rFonts w:eastAsia="Times New Roman" w:cs="Times New Roman"/>
                <w:color w:val="000000"/>
                <w:sz w:val="20"/>
                <w:lang w:eastAsia="sk-SK"/>
              </w:rPr>
              <w:t>Nevybavené žiadosti ako % detí v MŠ</w:t>
            </w:r>
          </w:p>
        </w:tc>
        <w:tc>
          <w:tcPr>
            <w:tcW w:w="962" w:type="dxa"/>
            <w:tcBorders>
              <w:top w:val="nil"/>
              <w:left w:val="nil"/>
              <w:bottom w:val="nil"/>
              <w:right w:val="nil"/>
            </w:tcBorders>
            <w:shd w:val="clear" w:color="000000" w:fill="FFFFFF"/>
            <w:noWrap/>
            <w:vAlign w:val="bottom"/>
            <w:hideMark/>
          </w:tcPr>
          <w:p w14:paraId="4B9FA65F" w14:textId="77777777" w:rsidR="007C0188" w:rsidRPr="00CA2564" w:rsidRDefault="007C0188" w:rsidP="007C4E85">
            <w:pPr>
              <w:spacing w:after="0" w:line="240" w:lineRule="auto"/>
              <w:jc w:val="center"/>
              <w:rPr>
                <w:color w:val="000000"/>
                <w:sz w:val="20"/>
              </w:rPr>
            </w:pPr>
          </w:p>
        </w:tc>
        <w:tc>
          <w:tcPr>
            <w:tcW w:w="962" w:type="dxa"/>
            <w:tcBorders>
              <w:top w:val="nil"/>
              <w:left w:val="nil"/>
              <w:bottom w:val="nil"/>
              <w:right w:val="nil"/>
            </w:tcBorders>
            <w:shd w:val="clear" w:color="000000" w:fill="FFFFFF"/>
            <w:noWrap/>
            <w:vAlign w:val="bottom"/>
            <w:hideMark/>
          </w:tcPr>
          <w:p w14:paraId="46BE5D75" w14:textId="77777777" w:rsidR="007C0188" w:rsidRPr="00CA2564" w:rsidRDefault="007C0188" w:rsidP="007C4E85">
            <w:pPr>
              <w:spacing w:after="0" w:line="240" w:lineRule="auto"/>
              <w:jc w:val="center"/>
              <w:rPr>
                <w:color w:val="000000"/>
                <w:sz w:val="20"/>
              </w:rPr>
            </w:pPr>
          </w:p>
        </w:tc>
        <w:tc>
          <w:tcPr>
            <w:tcW w:w="962" w:type="dxa"/>
            <w:tcBorders>
              <w:top w:val="nil"/>
              <w:left w:val="nil"/>
              <w:bottom w:val="nil"/>
              <w:right w:val="nil"/>
            </w:tcBorders>
            <w:shd w:val="clear" w:color="000000" w:fill="FFFFFF"/>
            <w:noWrap/>
            <w:vAlign w:val="bottom"/>
            <w:hideMark/>
          </w:tcPr>
          <w:p w14:paraId="10142E45" w14:textId="77777777" w:rsidR="007C0188" w:rsidRPr="00CA2564" w:rsidRDefault="007C0188" w:rsidP="007C4E85">
            <w:pPr>
              <w:spacing w:after="0" w:line="240" w:lineRule="auto"/>
              <w:jc w:val="center"/>
              <w:rPr>
                <w:color w:val="000000"/>
                <w:sz w:val="20"/>
              </w:rPr>
            </w:pPr>
            <w:r w:rsidRPr="00CA2564">
              <w:rPr>
                <w:color w:val="000000"/>
                <w:sz w:val="20"/>
              </w:rPr>
              <w:t>-0,15**</w:t>
            </w:r>
          </w:p>
        </w:tc>
        <w:tc>
          <w:tcPr>
            <w:tcW w:w="962" w:type="dxa"/>
            <w:tcBorders>
              <w:top w:val="nil"/>
              <w:left w:val="nil"/>
              <w:bottom w:val="nil"/>
              <w:right w:val="nil"/>
            </w:tcBorders>
            <w:shd w:val="clear" w:color="000000" w:fill="FFFFFF"/>
            <w:noWrap/>
            <w:vAlign w:val="bottom"/>
            <w:hideMark/>
          </w:tcPr>
          <w:p w14:paraId="713FBB98" w14:textId="77777777" w:rsidR="007C0188" w:rsidRPr="00CA2564" w:rsidRDefault="007C0188" w:rsidP="007C4E85">
            <w:pPr>
              <w:spacing w:after="0" w:line="240" w:lineRule="auto"/>
              <w:jc w:val="center"/>
              <w:rPr>
                <w:color w:val="000000"/>
                <w:sz w:val="20"/>
              </w:rPr>
            </w:pPr>
            <w:r w:rsidRPr="00CA2564">
              <w:rPr>
                <w:color w:val="000000"/>
                <w:sz w:val="20"/>
              </w:rPr>
              <w:t>0,07</w:t>
            </w:r>
          </w:p>
        </w:tc>
        <w:tc>
          <w:tcPr>
            <w:tcW w:w="962" w:type="dxa"/>
            <w:tcBorders>
              <w:top w:val="nil"/>
              <w:left w:val="nil"/>
              <w:bottom w:val="nil"/>
              <w:right w:val="nil"/>
            </w:tcBorders>
            <w:shd w:val="clear" w:color="000000" w:fill="FFFFFF"/>
            <w:noWrap/>
            <w:vAlign w:val="bottom"/>
            <w:hideMark/>
          </w:tcPr>
          <w:p w14:paraId="350CAEB4" w14:textId="77777777" w:rsidR="007C0188" w:rsidRPr="00CA2564" w:rsidRDefault="007C0188" w:rsidP="007C4E85">
            <w:pPr>
              <w:spacing w:after="0" w:line="240" w:lineRule="auto"/>
              <w:jc w:val="center"/>
              <w:rPr>
                <w:color w:val="000000"/>
                <w:sz w:val="20"/>
              </w:rPr>
            </w:pPr>
            <w:r w:rsidRPr="00CA2564">
              <w:rPr>
                <w:color w:val="000000"/>
                <w:sz w:val="20"/>
              </w:rPr>
              <w:t>-0,15**</w:t>
            </w:r>
          </w:p>
        </w:tc>
        <w:tc>
          <w:tcPr>
            <w:tcW w:w="962" w:type="dxa"/>
            <w:tcBorders>
              <w:top w:val="nil"/>
              <w:left w:val="nil"/>
              <w:bottom w:val="nil"/>
              <w:right w:val="nil"/>
            </w:tcBorders>
            <w:shd w:val="clear" w:color="000000" w:fill="FFFFFF"/>
            <w:noWrap/>
            <w:vAlign w:val="bottom"/>
            <w:hideMark/>
          </w:tcPr>
          <w:p w14:paraId="42970C3A" w14:textId="77777777" w:rsidR="007C0188" w:rsidRPr="00CA2564" w:rsidRDefault="007C0188" w:rsidP="007C4E85">
            <w:pPr>
              <w:spacing w:after="0" w:line="240" w:lineRule="auto"/>
              <w:jc w:val="center"/>
              <w:rPr>
                <w:color w:val="000000"/>
                <w:sz w:val="20"/>
              </w:rPr>
            </w:pPr>
            <w:r w:rsidRPr="00CA2564">
              <w:rPr>
                <w:color w:val="000000"/>
                <w:sz w:val="20"/>
              </w:rPr>
              <w:t>0,07</w:t>
            </w:r>
          </w:p>
        </w:tc>
      </w:tr>
      <w:tr w:rsidR="007C0188" w:rsidRPr="00CA2564" w14:paraId="5CC31B43" w14:textId="77777777" w:rsidTr="00B12E9B">
        <w:trPr>
          <w:trHeight w:val="283"/>
        </w:trPr>
        <w:tc>
          <w:tcPr>
            <w:tcW w:w="3300" w:type="dxa"/>
            <w:tcBorders>
              <w:top w:val="nil"/>
              <w:left w:val="nil"/>
              <w:bottom w:val="nil"/>
              <w:right w:val="nil"/>
            </w:tcBorders>
            <w:shd w:val="clear" w:color="000000" w:fill="FFFFFF"/>
            <w:noWrap/>
            <w:vAlign w:val="bottom"/>
            <w:hideMark/>
          </w:tcPr>
          <w:p w14:paraId="6540E6D3" w14:textId="77777777" w:rsidR="007C0188" w:rsidRPr="00CA2564" w:rsidRDefault="007C0188" w:rsidP="007C4E85">
            <w:pPr>
              <w:spacing w:after="0" w:line="240" w:lineRule="auto"/>
              <w:rPr>
                <w:rFonts w:eastAsia="Times New Roman" w:cs="Times New Roman"/>
                <w:color w:val="000000"/>
                <w:sz w:val="20"/>
                <w:lang w:eastAsia="sk-SK"/>
              </w:rPr>
            </w:pPr>
            <w:r w:rsidRPr="00CA2564">
              <w:rPr>
                <w:rFonts w:eastAsia="Times New Roman" w:cs="Times New Roman"/>
                <w:color w:val="000000"/>
                <w:sz w:val="20"/>
                <w:lang w:eastAsia="sk-SK"/>
              </w:rPr>
              <w:t>Matka zamestnaná (dummy)</w:t>
            </w:r>
          </w:p>
        </w:tc>
        <w:tc>
          <w:tcPr>
            <w:tcW w:w="962" w:type="dxa"/>
            <w:tcBorders>
              <w:top w:val="nil"/>
              <w:left w:val="nil"/>
              <w:bottom w:val="nil"/>
              <w:right w:val="nil"/>
            </w:tcBorders>
            <w:shd w:val="clear" w:color="000000" w:fill="FFFFFF"/>
            <w:noWrap/>
            <w:vAlign w:val="bottom"/>
            <w:hideMark/>
          </w:tcPr>
          <w:p w14:paraId="05E409DE" w14:textId="77777777" w:rsidR="007C0188" w:rsidRPr="00CA2564" w:rsidRDefault="007C0188" w:rsidP="007C4E85">
            <w:pPr>
              <w:spacing w:after="0" w:line="240" w:lineRule="auto"/>
              <w:jc w:val="center"/>
              <w:rPr>
                <w:color w:val="000000"/>
                <w:sz w:val="20"/>
              </w:rPr>
            </w:pPr>
          </w:p>
        </w:tc>
        <w:tc>
          <w:tcPr>
            <w:tcW w:w="962" w:type="dxa"/>
            <w:tcBorders>
              <w:top w:val="nil"/>
              <w:left w:val="nil"/>
              <w:bottom w:val="nil"/>
              <w:right w:val="nil"/>
            </w:tcBorders>
            <w:shd w:val="clear" w:color="000000" w:fill="FFFFFF"/>
            <w:noWrap/>
            <w:vAlign w:val="bottom"/>
            <w:hideMark/>
          </w:tcPr>
          <w:p w14:paraId="185B3BA1" w14:textId="77777777" w:rsidR="007C0188" w:rsidRPr="00CA2564" w:rsidRDefault="007C0188" w:rsidP="007C4E85">
            <w:pPr>
              <w:spacing w:after="0" w:line="240" w:lineRule="auto"/>
              <w:jc w:val="center"/>
              <w:rPr>
                <w:color w:val="000000"/>
                <w:sz w:val="20"/>
              </w:rPr>
            </w:pPr>
          </w:p>
        </w:tc>
        <w:tc>
          <w:tcPr>
            <w:tcW w:w="962" w:type="dxa"/>
            <w:tcBorders>
              <w:top w:val="nil"/>
              <w:left w:val="nil"/>
              <w:bottom w:val="nil"/>
              <w:right w:val="nil"/>
            </w:tcBorders>
            <w:shd w:val="clear" w:color="000000" w:fill="FFFFFF"/>
            <w:noWrap/>
            <w:vAlign w:val="bottom"/>
            <w:hideMark/>
          </w:tcPr>
          <w:p w14:paraId="7F0B48E1" w14:textId="77777777" w:rsidR="007C0188" w:rsidRPr="00CA2564" w:rsidRDefault="007C0188" w:rsidP="007C4E85">
            <w:pPr>
              <w:spacing w:after="0" w:line="240" w:lineRule="auto"/>
              <w:jc w:val="center"/>
              <w:rPr>
                <w:color w:val="000000"/>
                <w:sz w:val="20"/>
              </w:rPr>
            </w:pPr>
            <w:r w:rsidRPr="00CA2564">
              <w:rPr>
                <w:color w:val="000000"/>
                <w:sz w:val="20"/>
              </w:rPr>
              <w:t>0,57***</w:t>
            </w:r>
          </w:p>
        </w:tc>
        <w:tc>
          <w:tcPr>
            <w:tcW w:w="962" w:type="dxa"/>
            <w:tcBorders>
              <w:top w:val="nil"/>
              <w:left w:val="nil"/>
              <w:bottom w:val="nil"/>
              <w:right w:val="nil"/>
            </w:tcBorders>
            <w:shd w:val="clear" w:color="000000" w:fill="FFFFFF"/>
            <w:noWrap/>
            <w:vAlign w:val="bottom"/>
            <w:hideMark/>
          </w:tcPr>
          <w:p w14:paraId="6EF7E52F" w14:textId="77777777" w:rsidR="007C0188" w:rsidRPr="00CA2564" w:rsidRDefault="007C0188" w:rsidP="007C4E85">
            <w:pPr>
              <w:spacing w:after="0" w:line="240" w:lineRule="auto"/>
              <w:jc w:val="center"/>
              <w:rPr>
                <w:color w:val="000000"/>
                <w:sz w:val="20"/>
              </w:rPr>
            </w:pPr>
            <w:r w:rsidRPr="00CA2564">
              <w:rPr>
                <w:color w:val="000000"/>
                <w:sz w:val="20"/>
              </w:rPr>
              <w:t>0,10</w:t>
            </w:r>
          </w:p>
        </w:tc>
        <w:tc>
          <w:tcPr>
            <w:tcW w:w="962" w:type="dxa"/>
            <w:tcBorders>
              <w:top w:val="nil"/>
              <w:left w:val="nil"/>
              <w:bottom w:val="nil"/>
              <w:right w:val="nil"/>
            </w:tcBorders>
            <w:shd w:val="clear" w:color="000000" w:fill="FFFFFF"/>
            <w:noWrap/>
            <w:vAlign w:val="bottom"/>
            <w:hideMark/>
          </w:tcPr>
          <w:p w14:paraId="3720293F" w14:textId="77777777" w:rsidR="007C0188" w:rsidRPr="00CA2564" w:rsidRDefault="007C0188" w:rsidP="007C4E85">
            <w:pPr>
              <w:spacing w:after="0" w:line="240" w:lineRule="auto"/>
              <w:jc w:val="center"/>
              <w:rPr>
                <w:color w:val="000000"/>
                <w:sz w:val="20"/>
              </w:rPr>
            </w:pPr>
            <w:r w:rsidRPr="00CA2564">
              <w:rPr>
                <w:color w:val="000000"/>
                <w:sz w:val="20"/>
              </w:rPr>
              <w:t>0,72***</w:t>
            </w:r>
          </w:p>
        </w:tc>
        <w:tc>
          <w:tcPr>
            <w:tcW w:w="962" w:type="dxa"/>
            <w:tcBorders>
              <w:top w:val="nil"/>
              <w:left w:val="nil"/>
              <w:bottom w:val="nil"/>
              <w:right w:val="nil"/>
            </w:tcBorders>
            <w:shd w:val="clear" w:color="000000" w:fill="FFFFFF"/>
            <w:noWrap/>
            <w:vAlign w:val="bottom"/>
            <w:hideMark/>
          </w:tcPr>
          <w:p w14:paraId="67DB2263" w14:textId="77777777" w:rsidR="007C0188" w:rsidRPr="00CA2564" w:rsidRDefault="007C0188" w:rsidP="007C4E85">
            <w:pPr>
              <w:spacing w:after="0" w:line="240" w:lineRule="auto"/>
              <w:jc w:val="center"/>
              <w:rPr>
                <w:color w:val="000000"/>
                <w:sz w:val="20"/>
              </w:rPr>
            </w:pPr>
            <w:r w:rsidRPr="00CA2564">
              <w:rPr>
                <w:color w:val="000000"/>
                <w:sz w:val="20"/>
              </w:rPr>
              <w:t>0,12</w:t>
            </w:r>
          </w:p>
        </w:tc>
      </w:tr>
      <w:tr w:rsidR="007C0188" w:rsidRPr="00CA2564" w14:paraId="5C24E5F2" w14:textId="77777777" w:rsidTr="00B12E9B">
        <w:trPr>
          <w:trHeight w:val="283"/>
        </w:trPr>
        <w:tc>
          <w:tcPr>
            <w:tcW w:w="3300" w:type="dxa"/>
            <w:tcBorders>
              <w:top w:val="nil"/>
              <w:left w:val="nil"/>
              <w:bottom w:val="nil"/>
              <w:right w:val="nil"/>
            </w:tcBorders>
            <w:shd w:val="clear" w:color="000000" w:fill="FFFFFF"/>
            <w:noWrap/>
            <w:vAlign w:val="bottom"/>
            <w:hideMark/>
          </w:tcPr>
          <w:p w14:paraId="43F9B760" w14:textId="77777777" w:rsidR="007C0188" w:rsidRPr="00CA2564" w:rsidRDefault="007C0188" w:rsidP="007C4E85">
            <w:pPr>
              <w:spacing w:after="0" w:line="240" w:lineRule="auto"/>
              <w:rPr>
                <w:rFonts w:eastAsia="Times New Roman" w:cs="Times New Roman"/>
                <w:color w:val="000000"/>
                <w:sz w:val="20"/>
                <w:lang w:eastAsia="sk-SK"/>
              </w:rPr>
            </w:pPr>
            <w:r w:rsidRPr="00CA2564">
              <w:rPr>
                <w:rFonts w:eastAsia="Times New Roman" w:cs="Times New Roman"/>
                <w:color w:val="000000"/>
                <w:sz w:val="20"/>
                <w:lang w:eastAsia="sk-SK"/>
              </w:rPr>
              <w:t>Otec zamestnaný (dummy)</w:t>
            </w:r>
          </w:p>
        </w:tc>
        <w:tc>
          <w:tcPr>
            <w:tcW w:w="962" w:type="dxa"/>
            <w:tcBorders>
              <w:top w:val="nil"/>
              <w:left w:val="nil"/>
              <w:bottom w:val="nil"/>
              <w:right w:val="nil"/>
            </w:tcBorders>
            <w:shd w:val="clear" w:color="000000" w:fill="FFFFFF"/>
            <w:noWrap/>
            <w:vAlign w:val="bottom"/>
            <w:hideMark/>
          </w:tcPr>
          <w:p w14:paraId="5DFCB624" w14:textId="77777777" w:rsidR="007C0188" w:rsidRPr="00CA2564" w:rsidRDefault="007C0188" w:rsidP="007C4E85">
            <w:pPr>
              <w:spacing w:after="0" w:line="240" w:lineRule="auto"/>
              <w:jc w:val="center"/>
              <w:rPr>
                <w:color w:val="000000"/>
                <w:sz w:val="20"/>
              </w:rPr>
            </w:pPr>
          </w:p>
        </w:tc>
        <w:tc>
          <w:tcPr>
            <w:tcW w:w="962" w:type="dxa"/>
            <w:tcBorders>
              <w:top w:val="nil"/>
              <w:left w:val="nil"/>
              <w:bottom w:val="nil"/>
              <w:right w:val="nil"/>
            </w:tcBorders>
            <w:shd w:val="clear" w:color="000000" w:fill="FFFFFF"/>
            <w:noWrap/>
            <w:vAlign w:val="bottom"/>
            <w:hideMark/>
          </w:tcPr>
          <w:p w14:paraId="42E45BDE" w14:textId="77777777" w:rsidR="007C0188" w:rsidRPr="00CA2564" w:rsidRDefault="007C0188" w:rsidP="007C4E85">
            <w:pPr>
              <w:spacing w:after="0" w:line="240" w:lineRule="auto"/>
              <w:jc w:val="center"/>
              <w:rPr>
                <w:color w:val="000000"/>
                <w:sz w:val="20"/>
              </w:rPr>
            </w:pPr>
          </w:p>
        </w:tc>
        <w:tc>
          <w:tcPr>
            <w:tcW w:w="962" w:type="dxa"/>
            <w:tcBorders>
              <w:top w:val="nil"/>
              <w:left w:val="nil"/>
              <w:bottom w:val="nil"/>
              <w:right w:val="nil"/>
            </w:tcBorders>
            <w:shd w:val="clear" w:color="000000" w:fill="FFFFFF"/>
            <w:noWrap/>
            <w:vAlign w:val="bottom"/>
            <w:hideMark/>
          </w:tcPr>
          <w:p w14:paraId="4DA536DA" w14:textId="77777777" w:rsidR="007C0188" w:rsidRPr="00CA2564" w:rsidRDefault="007C0188" w:rsidP="007C4E85">
            <w:pPr>
              <w:spacing w:after="0" w:line="240" w:lineRule="auto"/>
              <w:jc w:val="center"/>
              <w:rPr>
                <w:color w:val="000000"/>
                <w:sz w:val="20"/>
              </w:rPr>
            </w:pPr>
            <w:r w:rsidRPr="00CA2564">
              <w:rPr>
                <w:color w:val="000000"/>
                <w:sz w:val="20"/>
              </w:rPr>
              <w:t>0,22***</w:t>
            </w:r>
          </w:p>
        </w:tc>
        <w:tc>
          <w:tcPr>
            <w:tcW w:w="962" w:type="dxa"/>
            <w:tcBorders>
              <w:top w:val="nil"/>
              <w:left w:val="nil"/>
              <w:bottom w:val="nil"/>
              <w:right w:val="nil"/>
            </w:tcBorders>
            <w:shd w:val="clear" w:color="000000" w:fill="FFFFFF"/>
            <w:noWrap/>
            <w:vAlign w:val="bottom"/>
            <w:hideMark/>
          </w:tcPr>
          <w:p w14:paraId="563635EA" w14:textId="77777777" w:rsidR="007C0188" w:rsidRPr="00CA2564" w:rsidRDefault="007C0188" w:rsidP="007C4E85">
            <w:pPr>
              <w:spacing w:after="0" w:line="240" w:lineRule="auto"/>
              <w:jc w:val="center"/>
              <w:rPr>
                <w:color w:val="000000"/>
                <w:sz w:val="20"/>
              </w:rPr>
            </w:pPr>
            <w:r w:rsidRPr="00CA2564">
              <w:rPr>
                <w:color w:val="000000"/>
                <w:sz w:val="20"/>
              </w:rPr>
              <w:t>0,05</w:t>
            </w:r>
          </w:p>
        </w:tc>
        <w:tc>
          <w:tcPr>
            <w:tcW w:w="962" w:type="dxa"/>
            <w:tcBorders>
              <w:top w:val="nil"/>
              <w:left w:val="nil"/>
              <w:bottom w:val="nil"/>
              <w:right w:val="nil"/>
            </w:tcBorders>
            <w:shd w:val="clear" w:color="000000" w:fill="FFFFFF"/>
            <w:noWrap/>
            <w:vAlign w:val="bottom"/>
            <w:hideMark/>
          </w:tcPr>
          <w:p w14:paraId="78BF4159" w14:textId="77777777" w:rsidR="007C0188" w:rsidRPr="00CA2564" w:rsidRDefault="007C0188" w:rsidP="007C4E85">
            <w:pPr>
              <w:spacing w:after="0" w:line="240" w:lineRule="auto"/>
              <w:jc w:val="center"/>
              <w:rPr>
                <w:color w:val="000000"/>
                <w:sz w:val="20"/>
              </w:rPr>
            </w:pPr>
            <w:r w:rsidRPr="00CA2564">
              <w:rPr>
                <w:color w:val="000000"/>
                <w:sz w:val="20"/>
              </w:rPr>
              <w:t>0,40***</w:t>
            </w:r>
          </w:p>
        </w:tc>
        <w:tc>
          <w:tcPr>
            <w:tcW w:w="962" w:type="dxa"/>
            <w:tcBorders>
              <w:top w:val="nil"/>
              <w:left w:val="nil"/>
              <w:bottom w:val="nil"/>
              <w:right w:val="nil"/>
            </w:tcBorders>
            <w:shd w:val="clear" w:color="000000" w:fill="FFFFFF"/>
            <w:noWrap/>
            <w:vAlign w:val="bottom"/>
            <w:hideMark/>
          </w:tcPr>
          <w:p w14:paraId="5C3AF063" w14:textId="77777777" w:rsidR="007C0188" w:rsidRPr="00CA2564" w:rsidRDefault="007C0188" w:rsidP="007C4E85">
            <w:pPr>
              <w:spacing w:after="0" w:line="240" w:lineRule="auto"/>
              <w:jc w:val="center"/>
              <w:rPr>
                <w:color w:val="000000"/>
                <w:sz w:val="20"/>
              </w:rPr>
            </w:pPr>
            <w:r w:rsidRPr="00CA2564">
              <w:rPr>
                <w:color w:val="000000"/>
                <w:sz w:val="20"/>
              </w:rPr>
              <w:t>0,07</w:t>
            </w:r>
          </w:p>
        </w:tc>
      </w:tr>
      <w:tr w:rsidR="007C0188" w:rsidRPr="00CA2564" w14:paraId="0E28BCB1" w14:textId="77777777" w:rsidTr="00B12E9B">
        <w:trPr>
          <w:trHeight w:val="283"/>
        </w:trPr>
        <w:tc>
          <w:tcPr>
            <w:tcW w:w="3300" w:type="dxa"/>
            <w:tcBorders>
              <w:top w:val="nil"/>
              <w:left w:val="nil"/>
              <w:bottom w:val="nil"/>
              <w:right w:val="nil"/>
            </w:tcBorders>
            <w:shd w:val="clear" w:color="000000" w:fill="FFFFFF"/>
            <w:noWrap/>
            <w:vAlign w:val="bottom"/>
            <w:hideMark/>
          </w:tcPr>
          <w:p w14:paraId="0E9668E8" w14:textId="77777777" w:rsidR="007C0188" w:rsidRPr="00CA2564" w:rsidRDefault="007C0188" w:rsidP="007C4E85">
            <w:pPr>
              <w:spacing w:after="0" w:line="240" w:lineRule="auto"/>
              <w:rPr>
                <w:rFonts w:eastAsia="Times New Roman" w:cs="Times New Roman"/>
                <w:color w:val="000000"/>
                <w:sz w:val="20"/>
                <w:lang w:eastAsia="sk-SK"/>
              </w:rPr>
            </w:pPr>
            <w:r w:rsidRPr="00CA2564">
              <w:rPr>
                <w:rFonts w:eastAsia="Times New Roman" w:cs="Times New Roman"/>
                <w:color w:val="000000"/>
                <w:sz w:val="20"/>
                <w:lang w:eastAsia="sk-SK"/>
              </w:rPr>
              <w:t>Matka príjem</w:t>
            </w:r>
          </w:p>
        </w:tc>
        <w:tc>
          <w:tcPr>
            <w:tcW w:w="962" w:type="dxa"/>
            <w:tcBorders>
              <w:top w:val="nil"/>
              <w:left w:val="nil"/>
              <w:bottom w:val="nil"/>
              <w:right w:val="nil"/>
            </w:tcBorders>
            <w:shd w:val="clear" w:color="000000" w:fill="FFFFFF"/>
            <w:noWrap/>
            <w:vAlign w:val="bottom"/>
            <w:hideMark/>
          </w:tcPr>
          <w:p w14:paraId="3B4346A7" w14:textId="77777777" w:rsidR="007C0188" w:rsidRPr="00CA2564" w:rsidRDefault="007C0188" w:rsidP="007C4E85">
            <w:pPr>
              <w:spacing w:after="0" w:line="240" w:lineRule="auto"/>
              <w:jc w:val="center"/>
              <w:rPr>
                <w:color w:val="000000"/>
                <w:sz w:val="20"/>
              </w:rPr>
            </w:pPr>
          </w:p>
        </w:tc>
        <w:tc>
          <w:tcPr>
            <w:tcW w:w="962" w:type="dxa"/>
            <w:tcBorders>
              <w:top w:val="nil"/>
              <w:left w:val="nil"/>
              <w:bottom w:val="nil"/>
              <w:right w:val="nil"/>
            </w:tcBorders>
            <w:shd w:val="clear" w:color="000000" w:fill="FFFFFF"/>
            <w:noWrap/>
            <w:vAlign w:val="bottom"/>
            <w:hideMark/>
          </w:tcPr>
          <w:p w14:paraId="1EFA3B41" w14:textId="77777777" w:rsidR="007C0188" w:rsidRPr="00CA2564" w:rsidRDefault="007C0188" w:rsidP="007C4E85">
            <w:pPr>
              <w:spacing w:after="0" w:line="240" w:lineRule="auto"/>
              <w:jc w:val="center"/>
              <w:rPr>
                <w:color w:val="000000"/>
                <w:sz w:val="20"/>
              </w:rPr>
            </w:pPr>
          </w:p>
        </w:tc>
        <w:tc>
          <w:tcPr>
            <w:tcW w:w="962" w:type="dxa"/>
            <w:tcBorders>
              <w:top w:val="nil"/>
              <w:left w:val="nil"/>
              <w:bottom w:val="nil"/>
              <w:right w:val="nil"/>
            </w:tcBorders>
            <w:shd w:val="clear" w:color="000000" w:fill="FFFFFF"/>
            <w:noWrap/>
            <w:vAlign w:val="bottom"/>
            <w:hideMark/>
          </w:tcPr>
          <w:p w14:paraId="00BFE424" w14:textId="77777777" w:rsidR="007C0188" w:rsidRPr="00CA2564" w:rsidRDefault="007C0188" w:rsidP="007C4E85">
            <w:pPr>
              <w:spacing w:after="0" w:line="240" w:lineRule="auto"/>
              <w:jc w:val="center"/>
              <w:rPr>
                <w:color w:val="000000"/>
                <w:sz w:val="20"/>
              </w:rPr>
            </w:pPr>
            <w:r w:rsidRPr="00CA2564">
              <w:rPr>
                <w:color w:val="000000"/>
                <w:sz w:val="20"/>
              </w:rPr>
              <w:t>0,09***</w:t>
            </w:r>
          </w:p>
        </w:tc>
        <w:tc>
          <w:tcPr>
            <w:tcW w:w="962" w:type="dxa"/>
            <w:tcBorders>
              <w:top w:val="nil"/>
              <w:left w:val="nil"/>
              <w:bottom w:val="nil"/>
              <w:right w:val="nil"/>
            </w:tcBorders>
            <w:shd w:val="clear" w:color="000000" w:fill="FFFFFF"/>
            <w:noWrap/>
            <w:vAlign w:val="bottom"/>
            <w:hideMark/>
          </w:tcPr>
          <w:p w14:paraId="5C9FDD0B" w14:textId="77777777" w:rsidR="007C0188" w:rsidRPr="00CA2564" w:rsidRDefault="007C0188" w:rsidP="007C4E85">
            <w:pPr>
              <w:spacing w:after="0" w:line="240" w:lineRule="auto"/>
              <w:jc w:val="center"/>
              <w:rPr>
                <w:color w:val="000000"/>
                <w:sz w:val="20"/>
              </w:rPr>
            </w:pPr>
            <w:r w:rsidRPr="00CA2564">
              <w:rPr>
                <w:color w:val="000000"/>
                <w:sz w:val="20"/>
              </w:rPr>
              <w:t>0,02</w:t>
            </w:r>
          </w:p>
        </w:tc>
        <w:tc>
          <w:tcPr>
            <w:tcW w:w="962" w:type="dxa"/>
            <w:tcBorders>
              <w:top w:val="nil"/>
              <w:left w:val="nil"/>
              <w:bottom w:val="nil"/>
              <w:right w:val="nil"/>
            </w:tcBorders>
            <w:shd w:val="clear" w:color="000000" w:fill="FFFFFF"/>
            <w:noWrap/>
            <w:vAlign w:val="bottom"/>
            <w:hideMark/>
          </w:tcPr>
          <w:p w14:paraId="7BEFD007" w14:textId="77777777" w:rsidR="007C0188" w:rsidRPr="00CA2564" w:rsidRDefault="007C0188" w:rsidP="007C4E85">
            <w:pPr>
              <w:spacing w:after="0" w:line="240" w:lineRule="auto"/>
              <w:jc w:val="center"/>
              <w:rPr>
                <w:color w:val="000000"/>
                <w:sz w:val="20"/>
              </w:rPr>
            </w:pPr>
            <w:r w:rsidRPr="00CA2564">
              <w:rPr>
                <w:color w:val="000000"/>
                <w:sz w:val="20"/>
              </w:rPr>
              <w:t>0,08***</w:t>
            </w:r>
          </w:p>
        </w:tc>
        <w:tc>
          <w:tcPr>
            <w:tcW w:w="962" w:type="dxa"/>
            <w:tcBorders>
              <w:top w:val="nil"/>
              <w:left w:val="nil"/>
              <w:bottom w:val="nil"/>
              <w:right w:val="nil"/>
            </w:tcBorders>
            <w:shd w:val="clear" w:color="000000" w:fill="FFFFFF"/>
            <w:noWrap/>
            <w:vAlign w:val="bottom"/>
            <w:hideMark/>
          </w:tcPr>
          <w:p w14:paraId="3A0C8A77" w14:textId="77777777" w:rsidR="007C0188" w:rsidRPr="00CA2564" w:rsidRDefault="007C0188" w:rsidP="007C4E85">
            <w:pPr>
              <w:spacing w:after="0" w:line="240" w:lineRule="auto"/>
              <w:jc w:val="center"/>
              <w:rPr>
                <w:color w:val="000000"/>
                <w:sz w:val="20"/>
              </w:rPr>
            </w:pPr>
            <w:r w:rsidRPr="00CA2564">
              <w:rPr>
                <w:color w:val="000000"/>
                <w:sz w:val="20"/>
              </w:rPr>
              <w:t>0,02</w:t>
            </w:r>
          </w:p>
        </w:tc>
      </w:tr>
      <w:tr w:rsidR="007C0188" w:rsidRPr="00CA2564" w14:paraId="1D381B85" w14:textId="77777777" w:rsidTr="00B12E9B">
        <w:trPr>
          <w:trHeight w:val="283"/>
        </w:trPr>
        <w:tc>
          <w:tcPr>
            <w:tcW w:w="3300" w:type="dxa"/>
            <w:tcBorders>
              <w:top w:val="nil"/>
              <w:left w:val="nil"/>
              <w:bottom w:val="nil"/>
              <w:right w:val="nil"/>
            </w:tcBorders>
            <w:shd w:val="clear" w:color="000000" w:fill="FFFFFF"/>
            <w:noWrap/>
            <w:vAlign w:val="bottom"/>
            <w:hideMark/>
          </w:tcPr>
          <w:p w14:paraId="4BDB9463" w14:textId="77777777" w:rsidR="007C0188" w:rsidRPr="00CA2564" w:rsidRDefault="007C0188" w:rsidP="007C4E85">
            <w:pPr>
              <w:spacing w:after="0" w:line="240" w:lineRule="auto"/>
              <w:rPr>
                <w:rFonts w:eastAsia="Times New Roman" w:cs="Times New Roman"/>
                <w:color w:val="000000"/>
                <w:sz w:val="20"/>
                <w:lang w:eastAsia="sk-SK"/>
              </w:rPr>
            </w:pPr>
            <w:r w:rsidRPr="00CA2564">
              <w:rPr>
                <w:rFonts w:eastAsia="Times New Roman" w:cs="Times New Roman"/>
                <w:color w:val="000000"/>
                <w:sz w:val="20"/>
                <w:lang w:eastAsia="sk-SK"/>
              </w:rPr>
              <w:t>Otec príjem</w:t>
            </w:r>
          </w:p>
        </w:tc>
        <w:tc>
          <w:tcPr>
            <w:tcW w:w="962" w:type="dxa"/>
            <w:tcBorders>
              <w:top w:val="nil"/>
              <w:left w:val="nil"/>
              <w:bottom w:val="nil"/>
              <w:right w:val="nil"/>
            </w:tcBorders>
            <w:shd w:val="clear" w:color="000000" w:fill="FFFFFF"/>
            <w:noWrap/>
            <w:vAlign w:val="bottom"/>
            <w:hideMark/>
          </w:tcPr>
          <w:p w14:paraId="41D87BBF" w14:textId="77777777" w:rsidR="007C0188" w:rsidRPr="00CA2564" w:rsidRDefault="007C0188" w:rsidP="007C4E85">
            <w:pPr>
              <w:spacing w:after="0" w:line="240" w:lineRule="auto"/>
              <w:jc w:val="center"/>
              <w:rPr>
                <w:color w:val="000000"/>
                <w:sz w:val="20"/>
              </w:rPr>
            </w:pPr>
          </w:p>
        </w:tc>
        <w:tc>
          <w:tcPr>
            <w:tcW w:w="962" w:type="dxa"/>
            <w:tcBorders>
              <w:top w:val="nil"/>
              <w:left w:val="nil"/>
              <w:bottom w:val="nil"/>
              <w:right w:val="nil"/>
            </w:tcBorders>
            <w:shd w:val="clear" w:color="000000" w:fill="FFFFFF"/>
            <w:noWrap/>
            <w:vAlign w:val="bottom"/>
            <w:hideMark/>
          </w:tcPr>
          <w:p w14:paraId="291029CD" w14:textId="77777777" w:rsidR="007C0188" w:rsidRPr="00CA2564" w:rsidRDefault="007C0188" w:rsidP="007C4E85">
            <w:pPr>
              <w:spacing w:after="0" w:line="240" w:lineRule="auto"/>
              <w:jc w:val="center"/>
              <w:rPr>
                <w:color w:val="000000"/>
                <w:sz w:val="20"/>
              </w:rPr>
            </w:pPr>
          </w:p>
        </w:tc>
        <w:tc>
          <w:tcPr>
            <w:tcW w:w="962" w:type="dxa"/>
            <w:tcBorders>
              <w:top w:val="nil"/>
              <w:left w:val="nil"/>
              <w:bottom w:val="nil"/>
              <w:right w:val="nil"/>
            </w:tcBorders>
            <w:shd w:val="clear" w:color="000000" w:fill="FFFFFF"/>
            <w:noWrap/>
            <w:vAlign w:val="bottom"/>
            <w:hideMark/>
          </w:tcPr>
          <w:p w14:paraId="6C206806" w14:textId="77777777" w:rsidR="007C0188" w:rsidRPr="00CA2564" w:rsidRDefault="007C0188" w:rsidP="007C4E85">
            <w:pPr>
              <w:spacing w:after="0" w:line="240" w:lineRule="auto"/>
              <w:jc w:val="center"/>
              <w:rPr>
                <w:color w:val="000000"/>
                <w:sz w:val="20"/>
              </w:rPr>
            </w:pPr>
            <w:r w:rsidRPr="00CA2564">
              <w:rPr>
                <w:color w:val="000000"/>
                <w:sz w:val="20"/>
              </w:rPr>
              <w:t>0,07***</w:t>
            </w:r>
          </w:p>
        </w:tc>
        <w:tc>
          <w:tcPr>
            <w:tcW w:w="962" w:type="dxa"/>
            <w:tcBorders>
              <w:top w:val="nil"/>
              <w:left w:val="nil"/>
              <w:bottom w:val="nil"/>
              <w:right w:val="nil"/>
            </w:tcBorders>
            <w:shd w:val="clear" w:color="000000" w:fill="FFFFFF"/>
            <w:noWrap/>
            <w:vAlign w:val="bottom"/>
            <w:hideMark/>
          </w:tcPr>
          <w:p w14:paraId="3243A41E" w14:textId="77777777" w:rsidR="007C0188" w:rsidRPr="00CA2564" w:rsidRDefault="007C0188" w:rsidP="007C4E85">
            <w:pPr>
              <w:spacing w:after="0" w:line="240" w:lineRule="auto"/>
              <w:jc w:val="center"/>
              <w:rPr>
                <w:color w:val="000000"/>
                <w:sz w:val="20"/>
              </w:rPr>
            </w:pPr>
            <w:r w:rsidRPr="00CA2564">
              <w:rPr>
                <w:color w:val="000000"/>
                <w:sz w:val="20"/>
              </w:rPr>
              <w:t>0,01</w:t>
            </w:r>
          </w:p>
        </w:tc>
        <w:tc>
          <w:tcPr>
            <w:tcW w:w="962" w:type="dxa"/>
            <w:tcBorders>
              <w:top w:val="nil"/>
              <w:left w:val="nil"/>
              <w:bottom w:val="nil"/>
              <w:right w:val="nil"/>
            </w:tcBorders>
            <w:shd w:val="clear" w:color="000000" w:fill="FFFFFF"/>
            <w:noWrap/>
            <w:vAlign w:val="bottom"/>
            <w:hideMark/>
          </w:tcPr>
          <w:p w14:paraId="67FBE924" w14:textId="77777777" w:rsidR="007C0188" w:rsidRPr="00CA2564" w:rsidRDefault="007C0188" w:rsidP="007C4E85">
            <w:pPr>
              <w:spacing w:after="0" w:line="240" w:lineRule="auto"/>
              <w:jc w:val="center"/>
              <w:rPr>
                <w:color w:val="000000"/>
                <w:sz w:val="20"/>
              </w:rPr>
            </w:pPr>
            <w:r w:rsidRPr="00CA2564">
              <w:rPr>
                <w:color w:val="000000"/>
                <w:sz w:val="20"/>
              </w:rPr>
              <w:t>0,05***</w:t>
            </w:r>
          </w:p>
        </w:tc>
        <w:tc>
          <w:tcPr>
            <w:tcW w:w="962" w:type="dxa"/>
            <w:tcBorders>
              <w:top w:val="nil"/>
              <w:left w:val="nil"/>
              <w:bottom w:val="nil"/>
              <w:right w:val="nil"/>
            </w:tcBorders>
            <w:shd w:val="clear" w:color="000000" w:fill="FFFFFF"/>
            <w:noWrap/>
            <w:vAlign w:val="bottom"/>
            <w:hideMark/>
          </w:tcPr>
          <w:p w14:paraId="462BE68A" w14:textId="77777777" w:rsidR="007C0188" w:rsidRPr="00CA2564" w:rsidRDefault="007C0188" w:rsidP="007C4E85">
            <w:pPr>
              <w:spacing w:after="0" w:line="240" w:lineRule="auto"/>
              <w:jc w:val="center"/>
              <w:rPr>
                <w:color w:val="000000"/>
                <w:sz w:val="20"/>
              </w:rPr>
            </w:pPr>
            <w:r w:rsidRPr="00CA2564">
              <w:rPr>
                <w:color w:val="000000"/>
                <w:sz w:val="20"/>
              </w:rPr>
              <w:t>0,01</w:t>
            </w:r>
          </w:p>
        </w:tc>
      </w:tr>
      <w:tr w:rsidR="007C0188" w:rsidRPr="00CA2564" w14:paraId="79926B43" w14:textId="77777777" w:rsidTr="00B12E9B">
        <w:trPr>
          <w:trHeight w:val="283"/>
        </w:trPr>
        <w:tc>
          <w:tcPr>
            <w:tcW w:w="3300" w:type="dxa"/>
            <w:tcBorders>
              <w:top w:val="nil"/>
              <w:left w:val="nil"/>
              <w:bottom w:val="nil"/>
              <w:right w:val="nil"/>
            </w:tcBorders>
            <w:shd w:val="clear" w:color="000000" w:fill="FFFFFF"/>
            <w:noWrap/>
            <w:vAlign w:val="bottom"/>
            <w:hideMark/>
          </w:tcPr>
          <w:p w14:paraId="0C847990" w14:textId="77777777" w:rsidR="007C0188" w:rsidRPr="00CA2564" w:rsidRDefault="007C0188" w:rsidP="007C4E85">
            <w:pPr>
              <w:spacing w:after="0" w:line="240" w:lineRule="auto"/>
              <w:rPr>
                <w:rFonts w:eastAsia="Times New Roman" w:cs="Times New Roman"/>
                <w:color w:val="000000"/>
                <w:sz w:val="20"/>
                <w:lang w:eastAsia="sk-SK"/>
              </w:rPr>
            </w:pPr>
            <w:r w:rsidRPr="00CA2564">
              <w:rPr>
                <w:rFonts w:eastAsia="Times New Roman" w:cs="Times New Roman"/>
                <w:color w:val="000000"/>
                <w:sz w:val="20"/>
                <w:lang w:eastAsia="sk-SK"/>
              </w:rPr>
              <w:t>Súrodenec mladší ako 5 rokov</w:t>
            </w:r>
          </w:p>
        </w:tc>
        <w:tc>
          <w:tcPr>
            <w:tcW w:w="962" w:type="dxa"/>
            <w:tcBorders>
              <w:top w:val="nil"/>
              <w:left w:val="nil"/>
              <w:bottom w:val="nil"/>
              <w:right w:val="nil"/>
            </w:tcBorders>
            <w:shd w:val="clear" w:color="000000" w:fill="FFFFFF"/>
            <w:noWrap/>
            <w:vAlign w:val="bottom"/>
            <w:hideMark/>
          </w:tcPr>
          <w:p w14:paraId="51383E49" w14:textId="77777777" w:rsidR="007C0188" w:rsidRPr="00CA2564" w:rsidRDefault="007C0188" w:rsidP="007C4E85">
            <w:pPr>
              <w:spacing w:after="0" w:line="240" w:lineRule="auto"/>
              <w:jc w:val="center"/>
              <w:rPr>
                <w:color w:val="000000"/>
                <w:sz w:val="20"/>
              </w:rPr>
            </w:pPr>
          </w:p>
        </w:tc>
        <w:tc>
          <w:tcPr>
            <w:tcW w:w="962" w:type="dxa"/>
            <w:tcBorders>
              <w:top w:val="nil"/>
              <w:left w:val="nil"/>
              <w:bottom w:val="nil"/>
              <w:right w:val="nil"/>
            </w:tcBorders>
            <w:shd w:val="clear" w:color="000000" w:fill="FFFFFF"/>
            <w:noWrap/>
            <w:vAlign w:val="bottom"/>
            <w:hideMark/>
          </w:tcPr>
          <w:p w14:paraId="75BA6077" w14:textId="77777777" w:rsidR="007C0188" w:rsidRPr="00CA2564" w:rsidRDefault="007C0188" w:rsidP="007C4E85">
            <w:pPr>
              <w:spacing w:after="0" w:line="240" w:lineRule="auto"/>
              <w:jc w:val="center"/>
              <w:rPr>
                <w:color w:val="000000"/>
                <w:sz w:val="20"/>
              </w:rPr>
            </w:pPr>
          </w:p>
        </w:tc>
        <w:tc>
          <w:tcPr>
            <w:tcW w:w="962" w:type="dxa"/>
            <w:tcBorders>
              <w:top w:val="nil"/>
              <w:left w:val="nil"/>
              <w:bottom w:val="nil"/>
              <w:right w:val="nil"/>
            </w:tcBorders>
            <w:shd w:val="clear" w:color="000000" w:fill="FFFFFF"/>
            <w:noWrap/>
            <w:vAlign w:val="bottom"/>
            <w:hideMark/>
          </w:tcPr>
          <w:p w14:paraId="0A13AF4B" w14:textId="77777777" w:rsidR="007C0188" w:rsidRPr="00CA2564" w:rsidRDefault="007C0188" w:rsidP="007C4E85">
            <w:pPr>
              <w:spacing w:after="0" w:line="240" w:lineRule="auto"/>
              <w:jc w:val="center"/>
              <w:rPr>
                <w:color w:val="000000"/>
                <w:sz w:val="20"/>
              </w:rPr>
            </w:pPr>
            <w:r w:rsidRPr="00CA2564">
              <w:rPr>
                <w:color w:val="000000"/>
                <w:sz w:val="20"/>
              </w:rPr>
              <w:t>-0,07*</w:t>
            </w:r>
          </w:p>
        </w:tc>
        <w:tc>
          <w:tcPr>
            <w:tcW w:w="962" w:type="dxa"/>
            <w:tcBorders>
              <w:top w:val="nil"/>
              <w:left w:val="nil"/>
              <w:bottom w:val="nil"/>
              <w:right w:val="nil"/>
            </w:tcBorders>
            <w:shd w:val="clear" w:color="000000" w:fill="FFFFFF"/>
            <w:noWrap/>
            <w:vAlign w:val="bottom"/>
            <w:hideMark/>
          </w:tcPr>
          <w:p w14:paraId="30387FAD" w14:textId="77777777" w:rsidR="007C0188" w:rsidRPr="00CA2564" w:rsidRDefault="007C0188" w:rsidP="007C4E85">
            <w:pPr>
              <w:spacing w:after="0" w:line="240" w:lineRule="auto"/>
              <w:jc w:val="center"/>
              <w:rPr>
                <w:color w:val="000000"/>
                <w:sz w:val="20"/>
              </w:rPr>
            </w:pPr>
            <w:r w:rsidRPr="00CA2564">
              <w:rPr>
                <w:color w:val="000000"/>
                <w:sz w:val="20"/>
              </w:rPr>
              <w:t>0,04</w:t>
            </w:r>
          </w:p>
        </w:tc>
        <w:tc>
          <w:tcPr>
            <w:tcW w:w="962" w:type="dxa"/>
            <w:tcBorders>
              <w:top w:val="nil"/>
              <w:left w:val="nil"/>
              <w:bottom w:val="nil"/>
              <w:right w:val="nil"/>
            </w:tcBorders>
            <w:shd w:val="clear" w:color="000000" w:fill="FFFFFF"/>
            <w:noWrap/>
            <w:vAlign w:val="bottom"/>
            <w:hideMark/>
          </w:tcPr>
          <w:p w14:paraId="0286E8DE" w14:textId="77777777" w:rsidR="007C0188" w:rsidRPr="00CA2564" w:rsidRDefault="007C0188" w:rsidP="007C4E85">
            <w:pPr>
              <w:spacing w:after="0" w:line="240" w:lineRule="auto"/>
              <w:jc w:val="center"/>
              <w:rPr>
                <w:color w:val="000000"/>
                <w:sz w:val="20"/>
              </w:rPr>
            </w:pPr>
            <w:r w:rsidRPr="00CA2564">
              <w:rPr>
                <w:color w:val="000000"/>
                <w:sz w:val="20"/>
              </w:rPr>
              <w:t>-0,08**</w:t>
            </w:r>
          </w:p>
        </w:tc>
        <w:tc>
          <w:tcPr>
            <w:tcW w:w="962" w:type="dxa"/>
            <w:tcBorders>
              <w:top w:val="nil"/>
              <w:left w:val="nil"/>
              <w:bottom w:val="nil"/>
              <w:right w:val="nil"/>
            </w:tcBorders>
            <w:shd w:val="clear" w:color="000000" w:fill="FFFFFF"/>
            <w:noWrap/>
            <w:vAlign w:val="bottom"/>
            <w:hideMark/>
          </w:tcPr>
          <w:p w14:paraId="0CA03809" w14:textId="77777777" w:rsidR="007C0188" w:rsidRPr="00CA2564" w:rsidRDefault="007C0188" w:rsidP="007C4E85">
            <w:pPr>
              <w:spacing w:after="0" w:line="240" w:lineRule="auto"/>
              <w:jc w:val="center"/>
              <w:rPr>
                <w:color w:val="000000"/>
                <w:sz w:val="20"/>
              </w:rPr>
            </w:pPr>
            <w:r w:rsidRPr="00CA2564">
              <w:rPr>
                <w:color w:val="000000"/>
                <w:sz w:val="20"/>
              </w:rPr>
              <w:t>0,04</w:t>
            </w:r>
          </w:p>
        </w:tc>
      </w:tr>
      <w:tr w:rsidR="007C0188" w:rsidRPr="00CA2564" w14:paraId="5FA33A71" w14:textId="77777777" w:rsidTr="00B12E9B">
        <w:trPr>
          <w:trHeight w:val="283"/>
        </w:trPr>
        <w:tc>
          <w:tcPr>
            <w:tcW w:w="3300" w:type="dxa"/>
            <w:tcBorders>
              <w:top w:val="nil"/>
              <w:left w:val="nil"/>
              <w:bottom w:val="nil"/>
              <w:right w:val="nil"/>
            </w:tcBorders>
            <w:shd w:val="clear" w:color="000000" w:fill="FFFFFF"/>
            <w:noWrap/>
            <w:vAlign w:val="bottom"/>
            <w:hideMark/>
          </w:tcPr>
          <w:p w14:paraId="0129F0CE" w14:textId="77777777" w:rsidR="007C0188" w:rsidRPr="00CA2564" w:rsidRDefault="007C0188" w:rsidP="007C4E85">
            <w:pPr>
              <w:spacing w:after="0" w:line="240" w:lineRule="auto"/>
              <w:rPr>
                <w:rFonts w:eastAsia="Times New Roman" w:cs="Times New Roman"/>
                <w:color w:val="000000"/>
                <w:sz w:val="20"/>
                <w:lang w:eastAsia="sk-SK"/>
              </w:rPr>
            </w:pPr>
            <w:r w:rsidRPr="00CA2564">
              <w:rPr>
                <w:rFonts w:eastAsia="Times New Roman" w:cs="Times New Roman"/>
                <w:color w:val="000000"/>
                <w:sz w:val="20"/>
                <w:lang w:eastAsia="sk-SK"/>
              </w:rPr>
              <w:t>Zaškolenosť ostatných v obci</w:t>
            </w:r>
          </w:p>
        </w:tc>
        <w:tc>
          <w:tcPr>
            <w:tcW w:w="962" w:type="dxa"/>
            <w:tcBorders>
              <w:top w:val="nil"/>
              <w:left w:val="nil"/>
              <w:bottom w:val="nil"/>
              <w:right w:val="nil"/>
            </w:tcBorders>
            <w:shd w:val="clear" w:color="000000" w:fill="FFFFFF"/>
            <w:noWrap/>
            <w:vAlign w:val="bottom"/>
            <w:hideMark/>
          </w:tcPr>
          <w:p w14:paraId="4107C2C3" w14:textId="77777777" w:rsidR="007C0188" w:rsidRPr="00CA2564" w:rsidRDefault="007C0188" w:rsidP="007C4E85">
            <w:pPr>
              <w:spacing w:after="0" w:line="240" w:lineRule="auto"/>
              <w:jc w:val="center"/>
              <w:rPr>
                <w:color w:val="000000"/>
                <w:sz w:val="20"/>
              </w:rPr>
            </w:pPr>
          </w:p>
        </w:tc>
        <w:tc>
          <w:tcPr>
            <w:tcW w:w="962" w:type="dxa"/>
            <w:tcBorders>
              <w:top w:val="nil"/>
              <w:left w:val="nil"/>
              <w:bottom w:val="nil"/>
              <w:right w:val="nil"/>
            </w:tcBorders>
            <w:shd w:val="clear" w:color="000000" w:fill="FFFFFF"/>
            <w:noWrap/>
            <w:vAlign w:val="bottom"/>
            <w:hideMark/>
          </w:tcPr>
          <w:p w14:paraId="61C787F5" w14:textId="77777777" w:rsidR="007C0188" w:rsidRPr="00CA2564" w:rsidRDefault="007C0188" w:rsidP="007C4E85">
            <w:pPr>
              <w:spacing w:after="0" w:line="240" w:lineRule="auto"/>
              <w:jc w:val="center"/>
              <w:rPr>
                <w:color w:val="000000"/>
                <w:sz w:val="20"/>
              </w:rPr>
            </w:pPr>
          </w:p>
        </w:tc>
        <w:tc>
          <w:tcPr>
            <w:tcW w:w="962" w:type="dxa"/>
            <w:tcBorders>
              <w:top w:val="nil"/>
              <w:left w:val="nil"/>
              <w:bottom w:val="nil"/>
              <w:right w:val="nil"/>
            </w:tcBorders>
            <w:shd w:val="clear" w:color="000000" w:fill="FFFFFF"/>
            <w:noWrap/>
            <w:vAlign w:val="bottom"/>
            <w:hideMark/>
          </w:tcPr>
          <w:p w14:paraId="3EB7B47F" w14:textId="77777777" w:rsidR="007C0188" w:rsidRPr="00CA2564" w:rsidRDefault="007C0188" w:rsidP="007C4E85">
            <w:pPr>
              <w:spacing w:after="0" w:line="240" w:lineRule="auto"/>
              <w:jc w:val="center"/>
              <w:rPr>
                <w:color w:val="000000"/>
                <w:sz w:val="20"/>
              </w:rPr>
            </w:pPr>
            <w:r w:rsidRPr="00CA2564">
              <w:rPr>
                <w:color w:val="000000"/>
                <w:sz w:val="20"/>
              </w:rPr>
              <w:t>2,05***</w:t>
            </w:r>
          </w:p>
        </w:tc>
        <w:tc>
          <w:tcPr>
            <w:tcW w:w="962" w:type="dxa"/>
            <w:tcBorders>
              <w:top w:val="nil"/>
              <w:left w:val="nil"/>
              <w:bottom w:val="nil"/>
              <w:right w:val="nil"/>
            </w:tcBorders>
            <w:shd w:val="clear" w:color="000000" w:fill="FFFFFF"/>
            <w:noWrap/>
            <w:vAlign w:val="bottom"/>
            <w:hideMark/>
          </w:tcPr>
          <w:p w14:paraId="28943498" w14:textId="77777777" w:rsidR="007C0188" w:rsidRPr="00CA2564" w:rsidRDefault="007C0188" w:rsidP="007C4E85">
            <w:pPr>
              <w:spacing w:after="0" w:line="240" w:lineRule="auto"/>
              <w:jc w:val="center"/>
              <w:rPr>
                <w:color w:val="000000"/>
                <w:sz w:val="20"/>
              </w:rPr>
            </w:pPr>
            <w:r w:rsidRPr="00CA2564">
              <w:rPr>
                <w:color w:val="000000"/>
                <w:sz w:val="20"/>
              </w:rPr>
              <w:t>0,07</w:t>
            </w:r>
          </w:p>
        </w:tc>
        <w:tc>
          <w:tcPr>
            <w:tcW w:w="962" w:type="dxa"/>
            <w:tcBorders>
              <w:top w:val="nil"/>
              <w:left w:val="nil"/>
              <w:bottom w:val="nil"/>
              <w:right w:val="nil"/>
            </w:tcBorders>
            <w:shd w:val="clear" w:color="000000" w:fill="FFFFFF"/>
            <w:noWrap/>
            <w:vAlign w:val="bottom"/>
            <w:hideMark/>
          </w:tcPr>
          <w:p w14:paraId="58B2777F" w14:textId="77777777" w:rsidR="007C0188" w:rsidRPr="00CA2564" w:rsidRDefault="007C0188" w:rsidP="007C4E85">
            <w:pPr>
              <w:spacing w:after="0" w:line="240" w:lineRule="auto"/>
              <w:jc w:val="center"/>
              <w:rPr>
                <w:color w:val="000000"/>
                <w:sz w:val="20"/>
              </w:rPr>
            </w:pPr>
            <w:r w:rsidRPr="00CA2564">
              <w:rPr>
                <w:color w:val="000000"/>
                <w:sz w:val="20"/>
              </w:rPr>
              <w:t>2,05***</w:t>
            </w:r>
          </w:p>
        </w:tc>
        <w:tc>
          <w:tcPr>
            <w:tcW w:w="962" w:type="dxa"/>
            <w:tcBorders>
              <w:top w:val="nil"/>
              <w:left w:val="nil"/>
              <w:bottom w:val="nil"/>
              <w:right w:val="nil"/>
            </w:tcBorders>
            <w:shd w:val="clear" w:color="000000" w:fill="FFFFFF"/>
            <w:noWrap/>
            <w:vAlign w:val="bottom"/>
            <w:hideMark/>
          </w:tcPr>
          <w:p w14:paraId="519F1987" w14:textId="77777777" w:rsidR="007C0188" w:rsidRPr="00CA2564" w:rsidRDefault="007C0188" w:rsidP="007C4E85">
            <w:pPr>
              <w:spacing w:after="0" w:line="240" w:lineRule="auto"/>
              <w:jc w:val="center"/>
              <w:rPr>
                <w:color w:val="000000"/>
                <w:sz w:val="20"/>
              </w:rPr>
            </w:pPr>
            <w:r w:rsidRPr="00CA2564">
              <w:rPr>
                <w:color w:val="000000"/>
                <w:sz w:val="20"/>
              </w:rPr>
              <w:t>0,07</w:t>
            </w:r>
          </w:p>
        </w:tc>
      </w:tr>
      <w:tr w:rsidR="007C0188" w:rsidRPr="00CA2564" w14:paraId="230996C5" w14:textId="77777777" w:rsidTr="00B12E9B">
        <w:trPr>
          <w:trHeight w:val="283"/>
        </w:trPr>
        <w:tc>
          <w:tcPr>
            <w:tcW w:w="3300" w:type="dxa"/>
            <w:tcBorders>
              <w:top w:val="nil"/>
              <w:left w:val="nil"/>
              <w:bottom w:val="nil"/>
              <w:right w:val="nil"/>
            </w:tcBorders>
            <w:shd w:val="clear" w:color="000000" w:fill="FFFFFF"/>
            <w:noWrap/>
            <w:vAlign w:val="bottom"/>
            <w:hideMark/>
          </w:tcPr>
          <w:p w14:paraId="1405D832" w14:textId="77777777" w:rsidR="007C0188" w:rsidRPr="00CA2564" w:rsidRDefault="007C0188" w:rsidP="007C4E85">
            <w:pPr>
              <w:spacing w:after="0" w:line="240" w:lineRule="auto"/>
              <w:rPr>
                <w:rFonts w:eastAsia="Times New Roman" w:cs="Times New Roman"/>
                <w:color w:val="000000"/>
                <w:sz w:val="20"/>
                <w:lang w:eastAsia="sk-SK"/>
              </w:rPr>
            </w:pPr>
            <w:r w:rsidRPr="00CA2564">
              <w:rPr>
                <w:rFonts w:eastAsia="Times New Roman" w:cs="Times New Roman"/>
                <w:color w:val="000000"/>
                <w:sz w:val="20"/>
                <w:lang w:eastAsia="sk-SK"/>
              </w:rPr>
              <w:t>PHN*matka zam. (interakcia)</w:t>
            </w:r>
          </w:p>
        </w:tc>
        <w:tc>
          <w:tcPr>
            <w:tcW w:w="962" w:type="dxa"/>
            <w:tcBorders>
              <w:top w:val="nil"/>
              <w:left w:val="nil"/>
              <w:bottom w:val="nil"/>
              <w:right w:val="nil"/>
            </w:tcBorders>
            <w:shd w:val="clear" w:color="000000" w:fill="FFFFFF"/>
            <w:noWrap/>
            <w:vAlign w:val="bottom"/>
            <w:hideMark/>
          </w:tcPr>
          <w:p w14:paraId="3F43B328" w14:textId="77777777" w:rsidR="007C0188" w:rsidRPr="00CA2564" w:rsidRDefault="007C0188" w:rsidP="007C4E85">
            <w:pPr>
              <w:spacing w:after="0" w:line="240" w:lineRule="auto"/>
              <w:jc w:val="center"/>
              <w:rPr>
                <w:color w:val="000000"/>
                <w:sz w:val="20"/>
              </w:rPr>
            </w:pPr>
          </w:p>
        </w:tc>
        <w:tc>
          <w:tcPr>
            <w:tcW w:w="962" w:type="dxa"/>
            <w:tcBorders>
              <w:top w:val="nil"/>
              <w:left w:val="nil"/>
              <w:bottom w:val="nil"/>
              <w:right w:val="nil"/>
            </w:tcBorders>
            <w:shd w:val="clear" w:color="000000" w:fill="FFFFFF"/>
            <w:noWrap/>
            <w:vAlign w:val="bottom"/>
            <w:hideMark/>
          </w:tcPr>
          <w:p w14:paraId="233CD9D4" w14:textId="77777777" w:rsidR="007C0188" w:rsidRPr="00CA2564" w:rsidRDefault="007C0188" w:rsidP="007C4E85">
            <w:pPr>
              <w:spacing w:after="0" w:line="240" w:lineRule="auto"/>
              <w:jc w:val="center"/>
              <w:rPr>
                <w:color w:val="000000"/>
                <w:sz w:val="20"/>
              </w:rPr>
            </w:pPr>
          </w:p>
        </w:tc>
        <w:tc>
          <w:tcPr>
            <w:tcW w:w="962" w:type="dxa"/>
            <w:tcBorders>
              <w:top w:val="nil"/>
              <w:left w:val="nil"/>
              <w:bottom w:val="nil"/>
              <w:right w:val="nil"/>
            </w:tcBorders>
            <w:shd w:val="clear" w:color="000000" w:fill="FFFFFF"/>
            <w:noWrap/>
            <w:vAlign w:val="bottom"/>
            <w:hideMark/>
          </w:tcPr>
          <w:p w14:paraId="707D5AC0" w14:textId="77777777" w:rsidR="007C0188" w:rsidRPr="00CA2564" w:rsidRDefault="007C0188" w:rsidP="007C4E85">
            <w:pPr>
              <w:spacing w:after="0" w:line="240" w:lineRule="auto"/>
              <w:jc w:val="center"/>
              <w:rPr>
                <w:color w:val="000000"/>
                <w:sz w:val="20"/>
              </w:rPr>
            </w:pPr>
          </w:p>
        </w:tc>
        <w:tc>
          <w:tcPr>
            <w:tcW w:w="962" w:type="dxa"/>
            <w:tcBorders>
              <w:top w:val="nil"/>
              <w:left w:val="nil"/>
              <w:bottom w:val="nil"/>
              <w:right w:val="nil"/>
            </w:tcBorders>
            <w:shd w:val="clear" w:color="000000" w:fill="FFFFFF"/>
            <w:noWrap/>
            <w:vAlign w:val="bottom"/>
            <w:hideMark/>
          </w:tcPr>
          <w:p w14:paraId="140F758F" w14:textId="77777777" w:rsidR="007C0188" w:rsidRPr="00CA2564" w:rsidRDefault="007C0188" w:rsidP="007C4E85">
            <w:pPr>
              <w:spacing w:after="0" w:line="240" w:lineRule="auto"/>
              <w:jc w:val="center"/>
              <w:rPr>
                <w:color w:val="000000"/>
                <w:sz w:val="20"/>
              </w:rPr>
            </w:pPr>
          </w:p>
        </w:tc>
        <w:tc>
          <w:tcPr>
            <w:tcW w:w="962" w:type="dxa"/>
            <w:tcBorders>
              <w:top w:val="nil"/>
              <w:left w:val="nil"/>
              <w:bottom w:val="nil"/>
              <w:right w:val="nil"/>
            </w:tcBorders>
            <w:shd w:val="clear" w:color="000000" w:fill="FFFFFF"/>
            <w:noWrap/>
            <w:vAlign w:val="bottom"/>
            <w:hideMark/>
          </w:tcPr>
          <w:p w14:paraId="301DA187" w14:textId="77777777" w:rsidR="007C0188" w:rsidRPr="00CA2564" w:rsidRDefault="007C0188" w:rsidP="007C4E85">
            <w:pPr>
              <w:spacing w:after="0" w:line="240" w:lineRule="auto"/>
              <w:jc w:val="center"/>
              <w:rPr>
                <w:color w:val="000000"/>
                <w:sz w:val="20"/>
              </w:rPr>
            </w:pPr>
            <w:r w:rsidRPr="00CA2564">
              <w:rPr>
                <w:color w:val="000000"/>
                <w:sz w:val="20"/>
              </w:rPr>
              <w:t>-0,43***</w:t>
            </w:r>
          </w:p>
        </w:tc>
        <w:tc>
          <w:tcPr>
            <w:tcW w:w="962" w:type="dxa"/>
            <w:tcBorders>
              <w:top w:val="nil"/>
              <w:left w:val="nil"/>
              <w:bottom w:val="nil"/>
              <w:right w:val="nil"/>
            </w:tcBorders>
            <w:shd w:val="clear" w:color="000000" w:fill="FFFFFF"/>
            <w:noWrap/>
            <w:vAlign w:val="bottom"/>
            <w:hideMark/>
          </w:tcPr>
          <w:p w14:paraId="7BCA82D1" w14:textId="77777777" w:rsidR="007C0188" w:rsidRPr="00CA2564" w:rsidRDefault="007C0188" w:rsidP="007C4E85">
            <w:pPr>
              <w:spacing w:after="0" w:line="240" w:lineRule="auto"/>
              <w:jc w:val="center"/>
              <w:rPr>
                <w:color w:val="000000"/>
                <w:sz w:val="20"/>
              </w:rPr>
            </w:pPr>
            <w:r w:rsidRPr="00CA2564">
              <w:rPr>
                <w:color w:val="000000"/>
                <w:sz w:val="20"/>
              </w:rPr>
              <w:t>0,17</w:t>
            </w:r>
          </w:p>
        </w:tc>
      </w:tr>
      <w:tr w:rsidR="007C0188" w:rsidRPr="00CA2564" w14:paraId="789E4B48" w14:textId="77777777" w:rsidTr="00B12E9B">
        <w:trPr>
          <w:trHeight w:val="283"/>
        </w:trPr>
        <w:tc>
          <w:tcPr>
            <w:tcW w:w="3300" w:type="dxa"/>
            <w:tcBorders>
              <w:top w:val="nil"/>
              <w:left w:val="nil"/>
              <w:bottom w:val="nil"/>
              <w:right w:val="nil"/>
            </w:tcBorders>
            <w:shd w:val="clear" w:color="000000" w:fill="FFFFFF"/>
            <w:noWrap/>
            <w:vAlign w:val="bottom"/>
            <w:hideMark/>
          </w:tcPr>
          <w:p w14:paraId="41E9CD5F" w14:textId="77777777" w:rsidR="007C0188" w:rsidRPr="00CA2564" w:rsidRDefault="007C0188" w:rsidP="007C4E85">
            <w:pPr>
              <w:spacing w:after="0" w:line="240" w:lineRule="auto"/>
              <w:rPr>
                <w:rFonts w:eastAsia="Times New Roman" w:cs="Times New Roman"/>
                <w:color w:val="000000"/>
                <w:sz w:val="20"/>
                <w:lang w:eastAsia="sk-SK"/>
              </w:rPr>
            </w:pPr>
            <w:r w:rsidRPr="00CA2564">
              <w:rPr>
                <w:rFonts w:eastAsia="Times New Roman" w:cs="Times New Roman"/>
                <w:color w:val="000000"/>
                <w:sz w:val="20"/>
                <w:lang w:eastAsia="sk-SK"/>
              </w:rPr>
              <w:t>PHN*otec zam. (interakcia)</w:t>
            </w:r>
          </w:p>
        </w:tc>
        <w:tc>
          <w:tcPr>
            <w:tcW w:w="962" w:type="dxa"/>
            <w:tcBorders>
              <w:top w:val="nil"/>
              <w:left w:val="nil"/>
              <w:bottom w:val="nil"/>
              <w:right w:val="nil"/>
            </w:tcBorders>
            <w:shd w:val="clear" w:color="000000" w:fill="FFFFFF"/>
            <w:noWrap/>
            <w:vAlign w:val="bottom"/>
            <w:hideMark/>
          </w:tcPr>
          <w:p w14:paraId="41788C21" w14:textId="77777777" w:rsidR="007C0188" w:rsidRPr="00CA2564" w:rsidRDefault="007C0188" w:rsidP="007C4E85">
            <w:pPr>
              <w:spacing w:after="0" w:line="240" w:lineRule="auto"/>
              <w:jc w:val="center"/>
              <w:rPr>
                <w:color w:val="000000"/>
                <w:sz w:val="20"/>
              </w:rPr>
            </w:pPr>
          </w:p>
        </w:tc>
        <w:tc>
          <w:tcPr>
            <w:tcW w:w="962" w:type="dxa"/>
            <w:tcBorders>
              <w:top w:val="nil"/>
              <w:left w:val="nil"/>
              <w:bottom w:val="nil"/>
              <w:right w:val="nil"/>
            </w:tcBorders>
            <w:shd w:val="clear" w:color="000000" w:fill="FFFFFF"/>
            <w:noWrap/>
            <w:vAlign w:val="bottom"/>
            <w:hideMark/>
          </w:tcPr>
          <w:p w14:paraId="48A4A6EE" w14:textId="77777777" w:rsidR="007C0188" w:rsidRPr="00CA2564" w:rsidRDefault="007C0188" w:rsidP="007C4E85">
            <w:pPr>
              <w:spacing w:after="0" w:line="240" w:lineRule="auto"/>
              <w:jc w:val="center"/>
              <w:rPr>
                <w:color w:val="000000"/>
                <w:sz w:val="20"/>
              </w:rPr>
            </w:pPr>
          </w:p>
        </w:tc>
        <w:tc>
          <w:tcPr>
            <w:tcW w:w="962" w:type="dxa"/>
            <w:tcBorders>
              <w:top w:val="nil"/>
              <w:left w:val="nil"/>
              <w:bottom w:val="nil"/>
              <w:right w:val="nil"/>
            </w:tcBorders>
            <w:shd w:val="clear" w:color="000000" w:fill="FFFFFF"/>
            <w:noWrap/>
            <w:vAlign w:val="bottom"/>
            <w:hideMark/>
          </w:tcPr>
          <w:p w14:paraId="6FA4C33D" w14:textId="77777777" w:rsidR="007C0188" w:rsidRPr="00CA2564" w:rsidRDefault="007C0188" w:rsidP="007C4E85">
            <w:pPr>
              <w:spacing w:after="0" w:line="240" w:lineRule="auto"/>
              <w:jc w:val="center"/>
              <w:rPr>
                <w:color w:val="000000"/>
                <w:sz w:val="20"/>
              </w:rPr>
            </w:pPr>
          </w:p>
        </w:tc>
        <w:tc>
          <w:tcPr>
            <w:tcW w:w="962" w:type="dxa"/>
            <w:tcBorders>
              <w:top w:val="nil"/>
              <w:left w:val="nil"/>
              <w:bottom w:val="nil"/>
              <w:right w:val="nil"/>
            </w:tcBorders>
            <w:shd w:val="clear" w:color="000000" w:fill="FFFFFF"/>
            <w:noWrap/>
            <w:vAlign w:val="bottom"/>
            <w:hideMark/>
          </w:tcPr>
          <w:p w14:paraId="1EE2DFA4" w14:textId="77777777" w:rsidR="007C0188" w:rsidRPr="00CA2564" w:rsidRDefault="007C0188" w:rsidP="007C4E85">
            <w:pPr>
              <w:spacing w:after="0" w:line="240" w:lineRule="auto"/>
              <w:jc w:val="center"/>
              <w:rPr>
                <w:color w:val="000000"/>
                <w:sz w:val="20"/>
              </w:rPr>
            </w:pPr>
          </w:p>
        </w:tc>
        <w:tc>
          <w:tcPr>
            <w:tcW w:w="962" w:type="dxa"/>
            <w:tcBorders>
              <w:top w:val="nil"/>
              <w:left w:val="nil"/>
              <w:bottom w:val="nil"/>
              <w:right w:val="nil"/>
            </w:tcBorders>
            <w:shd w:val="clear" w:color="000000" w:fill="FFFFFF"/>
            <w:noWrap/>
            <w:vAlign w:val="bottom"/>
            <w:hideMark/>
          </w:tcPr>
          <w:p w14:paraId="00AA6063" w14:textId="77777777" w:rsidR="007C0188" w:rsidRPr="00CA2564" w:rsidRDefault="007C0188" w:rsidP="007C4E85">
            <w:pPr>
              <w:spacing w:after="0" w:line="240" w:lineRule="auto"/>
              <w:jc w:val="center"/>
              <w:rPr>
                <w:color w:val="000000"/>
                <w:sz w:val="20"/>
              </w:rPr>
            </w:pPr>
            <w:r w:rsidRPr="00CA2564">
              <w:rPr>
                <w:color w:val="000000"/>
                <w:sz w:val="20"/>
              </w:rPr>
              <w:t>-0,34***</w:t>
            </w:r>
          </w:p>
        </w:tc>
        <w:tc>
          <w:tcPr>
            <w:tcW w:w="962" w:type="dxa"/>
            <w:tcBorders>
              <w:top w:val="nil"/>
              <w:left w:val="nil"/>
              <w:bottom w:val="nil"/>
              <w:right w:val="nil"/>
            </w:tcBorders>
            <w:shd w:val="clear" w:color="000000" w:fill="FFFFFF"/>
            <w:noWrap/>
            <w:vAlign w:val="bottom"/>
            <w:hideMark/>
          </w:tcPr>
          <w:p w14:paraId="23406639" w14:textId="77777777" w:rsidR="007C0188" w:rsidRPr="00CA2564" w:rsidRDefault="007C0188" w:rsidP="007C4E85">
            <w:pPr>
              <w:spacing w:after="0" w:line="240" w:lineRule="auto"/>
              <w:jc w:val="center"/>
              <w:rPr>
                <w:color w:val="000000"/>
                <w:sz w:val="20"/>
              </w:rPr>
            </w:pPr>
            <w:r w:rsidRPr="00CA2564">
              <w:rPr>
                <w:color w:val="000000"/>
                <w:sz w:val="20"/>
              </w:rPr>
              <w:t>0,09</w:t>
            </w:r>
          </w:p>
        </w:tc>
      </w:tr>
      <w:tr w:rsidR="007C0188" w:rsidRPr="00CA2564" w14:paraId="234F521D" w14:textId="77777777" w:rsidTr="00B12E9B">
        <w:trPr>
          <w:trHeight w:val="283"/>
        </w:trPr>
        <w:tc>
          <w:tcPr>
            <w:tcW w:w="3300" w:type="dxa"/>
            <w:tcBorders>
              <w:top w:val="nil"/>
              <w:left w:val="nil"/>
              <w:bottom w:val="nil"/>
              <w:right w:val="nil"/>
            </w:tcBorders>
            <w:shd w:val="clear" w:color="000000" w:fill="FFFFFF"/>
            <w:noWrap/>
            <w:vAlign w:val="bottom"/>
            <w:hideMark/>
          </w:tcPr>
          <w:p w14:paraId="6BBB05CC" w14:textId="77777777" w:rsidR="007C0188" w:rsidRPr="00CA2564" w:rsidRDefault="007C0188" w:rsidP="007C4E85">
            <w:pPr>
              <w:spacing w:after="0" w:line="240" w:lineRule="auto"/>
              <w:rPr>
                <w:rFonts w:eastAsia="Times New Roman" w:cs="Times New Roman"/>
                <w:color w:val="000000"/>
                <w:sz w:val="20"/>
                <w:lang w:eastAsia="sk-SK"/>
              </w:rPr>
            </w:pPr>
            <w:r w:rsidRPr="00CA2564">
              <w:rPr>
                <w:rFonts w:eastAsia="Times New Roman" w:cs="Times New Roman"/>
                <w:color w:val="000000"/>
                <w:sz w:val="20"/>
                <w:lang w:eastAsia="sk-SK"/>
              </w:rPr>
              <w:t>Konštanta</w:t>
            </w:r>
          </w:p>
        </w:tc>
        <w:tc>
          <w:tcPr>
            <w:tcW w:w="962" w:type="dxa"/>
            <w:tcBorders>
              <w:top w:val="nil"/>
              <w:left w:val="nil"/>
              <w:bottom w:val="nil"/>
              <w:right w:val="nil"/>
            </w:tcBorders>
            <w:shd w:val="clear" w:color="000000" w:fill="FFFFFF"/>
            <w:noWrap/>
            <w:vAlign w:val="bottom"/>
            <w:hideMark/>
          </w:tcPr>
          <w:p w14:paraId="00DA5647" w14:textId="77777777" w:rsidR="007C0188" w:rsidRPr="00CA2564" w:rsidRDefault="007C0188" w:rsidP="007C4E85">
            <w:pPr>
              <w:spacing w:after="0" w:line="240" w:lineRule="auto"/>
              <w:jc w:val="center"/>
              <w:rPr>
                <w:color w:val="000000"/>
                <w:sz w:val="20"/>
              </w:rPr>
            </w:pPr>
            <w:r w:rsidRPr="00CA2564">
              <w:rPr>
                <w:color w:val="000000"/>
                <w:sz w:val="20"/>
              </w:rPr>
              <w:t>-0,18***</w:t>
            </w:r>
          </w:p>
        </w:tc>
        <w:tc>
          <w:tcPr>
            <w:tcW w:w="962" w:type="dxa"/>
            <w:tcBorders>
              <w:top w:val="nil"/>
              <w:left w:val="nil"/>
              <w:bottom w:val="nil"/>
              <w:right w:val="nil"/>
            </w:tcBorders>
            <w:shd w:val="clear" w:color="000000" w:fill="FFFFFF"/>
            <w:noWrap/>
            <w:vAlign w:val="bottom"/>
            <w:hideMark/>
          </w:tcPr>
          <w:p w14:paraId="532C9C50" w14:textId="77777777" w:rsidR="007C0188" w:rsidRPr="00CA2564" w:rsidRDefault="007C0188" w:rsidP="007C4E85">
            <w:pPr>
              <w:spacing w:after="0" w:line="240" w:lineRule="auto"/>
              <w:jc w:val="center"/>
              <w:rPr>
                <w:color w:val="000000"/>
                <w:sz w:val="20"/>
              </w:rPr>
            </w:pPr>
            <w:r w:rsidRPr="00CA2564">
              <w:rPr>
                <w:color w:val="000000"/>
                <w:sz w:val="20"/>
              </w:rPr>
              <w:t>0,02</w:t>
            </w:r>
          </w:p>
        </w:tc>
        <w:tc>
          <w:tcPr>
            <w:tcW w:w="962" w:type="dxa"/>
            <w:tcBorders>
              <w:top w:val="nil"/>
              <w:left w:val="nil"/>
              <w:bottom w:val="nil"/>
              <w:right w:val="nil"/>
            </w:tcBorders>
            <w:shd w:val="clear" w:color="000000" w:fill="FFFFFF"/>
            <w:noWrap/>
            <w:vAlign w:val="bottom"/>
            <w:hideMark/>
          </w:tcPr>
          <w:p w14:paraId="71757D95" w14:textId="77777777" w:rsidR="007C0188" w:rsidRPr="00CA2564" w:rsidRDefault="007C0188" w:rsidP="007C4E85">
            <w:pPr>
              <w:spacing w:after="0" w:line="240" w:lineRule="auto"/>
              <w:jc w:val="center"/>
              <w:rPr>
                <w:color w:val="000000"/>
                <w:sz w:val="20"/>
              </w:rPr>
            </w:pPr>
            <w:r w:rsidRPr="00CA2564">
              <w:rPr>
                <w:color w:val="000000"/>
                <w:sz w:val="20"/>
              </w:rPr>
              <w:t>-1,32***</w:t>
            </w:r>
          </w:p>
        </w:tc>
        <w:tc>
          <w:tcPr>
            <w:tcW w:w="962" w:type="dxa"/>
            <w:tcBorders>
              <w:top w:val="nil"/>
              <w:left w:val="nil"/>
              <w:bottom w:val="nil"/>
              <w:right w:val="nil"/>
            </w:tcBorders>
            <w:shd w:val="clear" w:color="000000" w:fill="FFFFFF"/>
            <w:noWrap/>
            <w:vAlign w:val="bottom"/>
            <w:hideMark/>
          </w:tcPr>
          <w:p w14:paraId="435F9E3C" w14:textId="77777777" w:rsidR="007C0188" w:rsidRPr="00CA2564" w:rsidRDefault="007C0188" w:rsidP="007C4E85">
            <w:pPr>
              <w:spacing w:after="0" w:line="240" w:lineRule="auto"/>
              <w:jc w:val="center"/>
              <w:rPr>
                <w:color w:val="000000"/>
                <w:sz w:val="20"/>
              </w:rPr>
            </w:pPr>
            <w:r w:rsidRPr="00CA2564">
              <w:rPr>
                <w:color w:val="000000"/>
                <w:sz w:val="20"/>
              </w:rPr>
              <w:t>0,05</w:t>
            </w:r>
          </w:p>
        </w:tc>
        <w:tc>
          <w:tcPr>
            <w:tcW w:w="962" w:type="dxa"/>
            <w:tcBorders>
              <w:top w:val="nil"/>
              <w:left w:val="nil"/>
              <w:bottom w:val="nil"/>
              <w:right w:val="nil"/>
            </w:tcBorders>
            <w:shd w:val="clear" w:color="000000" w:fill="FFFFFF"/>
            <w:noWrap/>
            <w:vAlign w:val="bottom"/>
            <w:hideMark/>
          </w:tcPr>
          <w:p w14:paraId="46464D39" w14:textId="77777777" w:rsidR="007C0188" w:rsidRPr="00CA2564" w:rsidRDefault="007C0188" w:rsidP="007C4E85">
            <w:pPr>
              <w:spacing w:after="0" w:line="240" w:lineRule="auto"/>
              <w:jc w:val="center"/>
              <w:rPr>
                <w:color w:val="000000"/>
                <w:sz w:val="20"/>
              </w:rPr>
            </w:pPr>
            <w:r w:rsidRPr="00CA2564">
              <w:rPr>
                <w:color w:val="000000"/>
                <w:sz w:val="20"/>
              </w:rPr>
              <w:t>-1,36***</w:t>
            </w:r>
          </w:p>
        </w:tc>
        <w:tc>
          <w:tcPr>
            <w:tcW w:w="962" w:type="dxa"/>
            <w:tcBorders>
              <w:top w:val="nil"/>
              <w:left w:val="nil"/>
              <w:bottom w:val="nil"/>
              <w:right w:val="nil"/>
            </w:tcBorders>
            <w:shd w:val="clear" w:color="000000" w:fill="FFFFFF"/>
            <w:noWrap/>
            <w:vAlign w:val="bottom"/>
            <w:hideMark/>
          </w:tcPr>
          <w:p w14:paraId="120D4CFD" w14:textId="77777777" w:rsidR="007C0188" w:rsidRPr="00CA2564" w:rsidRDefault="007C0188" w:rsidP="007C4E85">
            <w:pPr>
              <w:spacing w:after="0" w:line="240" w:lineRule="auto"/>
              <w:jc w:val="center"/>
              <w:rPr>
                <w:color w:val="000000"/>
                <w:sz w:val="20"/>
              </w:rPr>
            </w:pPr>
            <w:r w:rsidRPr="00CA2564">
              <w:rPr>
                <w:color w:val="000000"/>
                <w:sz w:val="20"/>
              </w:rPr>
              <w:t>0,05</w:t>
            </w:r>
          </w:p>
        </w:tc>
      </w:tr>
      <w:tr w:rsidR="007C0188" w:rsidRPr="00CA2564" w14:paraId="33FAC886" w14:textId="77777777" w:rsidTr="00B12E9B">
        <w:trPr>
          <w:trHeight w:val="283"/>
        </w:trPr>
        <w:tc>
          <w:tcPr>
            <w:tcW w:w="3300" w:type="dxa"/>
            <w:tcBorders>
              <w:top w:val="single" w:sz="4" w:space="0" w:color="auto"/>
              <w:left w:val="nil"/>
              <w:bottom w:val="nil"/>
              <w:right w:val="nil"/>
            </w:tcBorders>
            <w:shd w:val="clear" w:color="000000" w:fill="FFFFFF"/>
            <w:noWrap/>
            <w:vAlign w:val="bottom"/>
            <w:hideMark/>
          </w:tcPr>
          <w:p w14:paraId="350DF1F6" w14:textId="77777777" w:rsidR="007C0188" w:rsidRPr="00CA2564" w:rsidRDefault="007C0188" w:rsidP="007C4E85">
            <w:pPr>
              <w:spacing w:after="0" w:line="240" w:lineRule="auto"/>
              <w:rPr>
                <w:rFonts w:eastAsia="Times New Roman" w:cs="Times New Roman"/>
                <w:color w:val="000000"/>
                <w:sz w:val="20"/>
                <w:lang w:eastAsia="sk-SK"/>
              </w:rPr>
            </w:pPr>
            <w:r w:rsidRPr="00CA2564">
              <w:rPr>
                <w:rFonts w:eastAsia="Times New Roman" w:cs="Times New Roman"/>
                <w:color w:val="000000"/>
                <w:sz w:val="20"/>
                <w:lang w:eastAsia="sk-SK"/>
              </w:rPr>
              <w:t>Počet pozorovaní</w:t>
            </w:r>
          </w:p>
        </w:tc>
        <w:tc>
          <w:tcPr>
            <w:tcW w:w="1924" w:type="dxa"/>
            <w:gridSpan w:val="2"/>
            <w:tcBorders>
              <w:top w:val="single" w:sz="4" w:space="0" w:color="auto"/>
              <w:left w:val="nil"/>
              <w:bottom w:val="nil"/>
              <w:right w:val="nil"/>
            </w:tcBorders>
            <w:shd w:val="clear" w:color="000000" w:fill="FFFFFF"/>
            <w:noWrap/>
            <w:vAlign w:val="bottom"/>
            <w:hideMark/>
          </w:tcPr>
          <w:p w14:paraId="73083285"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6 629</w:t>
            </w:r>
          </w:p>
        </w:tc>
        <w:tc>
          <w:tcPr>
            <w:tcW w:w="1924" w:type="dxa"/>
            <w:gridSpan w:val="2"/>
            <w:tcBorders>
              <w:top w:val="single" w:sz="4" w:space="0" w:color="auto"/>
              <w:left w:val="nil"/>
              <w:bottom w:val="nil"/>
              <w:right w:val="nil"/>
            </w:tcBorders>
            <w:shd w:val="clear" w:color="000000" w:fill="FFFFFF"/>
            <w:noWrap/>
            <w:vAlign w:val="bottom"/>
            <w:hideMark/>
          </w:tcPr>
          <w:p w14:paraId="1C871573"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6 629</w:t>
            </w:r>
          </w:p>
        </w:tc>
        <w:tc>
          <w:tcPr>
            <w:tcW w:w="1924" w:type="dxa"/>
            <w:gridSpan w:val="2"/>
            <w:tcBorders>
              <w:top w:val="single" w:sz="4" w:space="0" w:color="auto"/>
              <w:left w:val="nil"/>
              <w:bottom w:val="nil"/>
              <w:right w:val="nil"/>
            </w:tcBorders>
            <w:shd w:val="clear" w:color="000000" w:fill="FFFFFF"/>
            <w:noWrap/>
            <w:vAlign w:val="bottom"/>
            <w:hideMark/>
          </w:tcPr>
          <w:p w14:paraId="054E9D72"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6 629</w:t>
            </w:r>
          </w:p>
        </w:tc>
      </w:tr>
      <w:tr w:rsidR="007C0188" w:rsidRPr="00CA2564" w14:paraId="61BD09C7" w14:textId="77777777" w:rsidTr="00B12E9B">
        <w:trPr>
          <w:trHeight w:val="283"/>
        </w:trPr>
        <w:tc>
          <w:tcPr>
            <w:tcW w:w="3300" w:type="dxa"/>
            <w:tcBorders>
              <w:top w:val="nil"/>
              <w:left w:val="nil"/>
              <w:bottom w:val="single" w:sz="4" w:space="0" w:color="auto"/>
              <w:right w:val="nil"/>
            </w:tcBorders>
            <w:shd w:val="clear" w:color="000000" w:fill="FFFFFF"/>
            <w:noWrap/>
            <w:vAlign w:val="bottom"/>
            <w:hideMark/>
          </w:tcPr>
          <w:p w14:paraId="36EB99AB" w14:textId="77777777" w:rsidR="007C0188" w:rsidRPr="00CA2564" w:rsidRDefault="007C0188" w:rsidP="007C4E85">
            <w:pPr>
              <w:spacing w:after="0" w:line="240" w:lineRule="auto"/>
              <w:rPr>
                <w:rFonts w:eastAsia="Times New Roman" w:cs="Times New Roman"/>
                <w:color w:val="000000"/>
                <w:sz w:val="20"/>
                <w:lang w:eastAsia="sk-SK"/>
              </w:rPr>
            </w:pPr>
            <w:r w:rsidRPr="00CA2564">
              <w:rPr>
                <w:rFonts w:eastAsia="Times New Roman" w:cs="Times New Roman"/>
                <w:color w:val="000000"/>
                <w:sz w:val="20"/>
                <w:lang w:eastAsia="sk-SK"/>
              </w:rPr>
              <w:t>Pseudo R</w:t>
            </w:r>
            <w:r w:rsidRPr="00CA2564">
              <w:rPr>
                <w:rFonts w:eastAsia="Times New Roman" w:cs="Times New Roman"/>
                <w:color w:val="000000"/>
                <w:sz w:val="20"/>
                <w:vertAlign w:val="superscript"/>
                <w:lang w:eastAsia="sk-SK"/>
              </w:rPr>
              <w:t>2</w:t>
            </w:r>
          </w:p>
        </w:tc>
        <w:tc>
          <w:tcPr>
            <w:tcW w:w="1924" w:type="dxa"/>
            <w:gridSpan w:val="2"/>
            <w:tcBorders>
              <w:top w:val="nil"/>
              <w:left w:val="nil"/>
              <w:bottom w:val="single" w:sz="4" w:space="0" w:color="auto"/>
              <w:right w:val="nil"/>
            </w:tcBorders>
            <w:shd w:val="clear" w:color="000000" w:fill="FFFFFF"/>
            <w:noWrap/>
            <w:vAlign w:val="bottom"/>
            <w:hideMark/>
          </w:tcPr>
          <w:p w14:paraId="0772F88F"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0,003</w:t>
            </w:r>
          </w:p>
        </w:tc>
        <w:tc>
          <w:tcPr>
            <w:tcW w:w="1924" w:type="dxa"/>
            <w:gridSpan w:val="2"/>
            <w:tcBorders>
              <w:top w:val="nil"/>
              <w:left w:val="nil"/>
              <w:bottom w:val="single" w:sz="4" w:space="0" w:color="auto"/>
              <w:right w:val="nil"/>
            </w:tcBorders>
            <w:shd w:val="clear" w:color="000000" w:fill="FFFFFF"/>
            <w:noWrap/>
            <w:vAlign w:val="bottom"/>
            <w:hideMark/>
          </w:tcPr>
          <w:p w14:paraId="60B64BB5"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0,218</w:t>
            </w:r>
          </w:p>
        </w:tc>
        <w:tc>
          <w:tcPr>
            <w:tcW w:w="1924" w:type="dxa"/>
            <w:gridSpan w:val="2"/>
            <w:tcBorders>
              <w:top w:val="nil"/>
              <w:left w:val="nil"/>
              <w:bottom w:val="single" w:sz="4" w:space="0" w:color="auto"/>
              <w:right w:val="nil"/>
            </w:tcBorders>
            <w:shd w:val="clear" w:color="000000" w:fill="FFFFFF"/>
            <w:noWrap/>
            <w:vAlign w:val="bottom"/>
            <w:hideMark/>
          </w:tcPr>
          <w:p w14:paraId="4C833CB7"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0,221</w:t>
            </w:r>
          </w:p>
        </w:tc>
      </w:tr>
      <w:tr w:rsidR="007C0188" w:rsidRPr="00CA2564" w14:paraId="6EC8F015" w14:textId="77777777" w:rsidTr="007C4E85">
        <w:trPr>
          <w:trHeight w:val="164"/>
        </w:trPr>
        <w:tc>
          <w:tcPr>
            <w:tcW w:w="9072" w:type="dxa"/>
            <w:gridSpan w:val="7"/>
            <w:tcBorders>
              <w:top w:val="single" w:sz="4" w:space="0" w:color="auto"/>
              <w:left w:val="nil"/>
              <w:right w:val="nil"/>
            </w:tcBorders>
            <w:shd w:val="clear" w:color="000000" w:fill="FFFFFF"/>
            <w:noWrap/>
            <w:vAlign w:val="bottom"/>
          </w:tcPr>
          <w:p w14:paraId="2C2CF435" w14:textId="77777777" w:rsidR="007C0188" w:rsidRPr="00FD3839" w:rsidRDefault="007C0188" w:rsidP="007C4E85">
            <w:pPr>
              <w:spacing w:after="0" w:line="240" w:lineRule="auto"/>
              <w:jc w:val="right"/>
              <w:rPr>
                <w:i/>
                <w:iCs/>
                <w:sz w:val="18"/>
                <w:szCs w:val="18"/>
              </w:rPr>
            </w:pPr>
            <w:r w:rsidRPr="00FD3839">
              <w:rPr>
                <w:rFonts w:eastAsia="Times New Roman" w:cs="Times New Roman"/>
                <w:i/>
                <w:color w:val="000000"/>
                <w:sz w:val="18"/>
                <w:szCs w:val="18"/>
                <w:lang w:eastAsia="sk-SK"/>
              </w:rPr>
              <w:t xml:space="preserve">Zdroj: ÚHP na základe údajov </w:t>
            </w:r>
            <w:r w:rsidRPr="00FD3839">
              <w:rPr>
                <w:i/>
                <w:iCs/>
                <w:sz w:val="18"/>
                <w:szCs w:val="18"/>
              </w:rPr>
              <w:t>RIS MŠVVŠ, ÚPSVR, MV, ARK a Sociálnej poisťovne</w:t>
            </w:r>
          </w:p>
          <w:p w14:paraId="53A151B8" w14:textId="77777777" w:rsidR="007C0188" w:rsidRPr="00CA2564" w:rsidRDefault="007C0188" w:rsidP="007C4E85">
            <w:pPr>
              <w:spacing w:after="0" w:line="240" w:lineRule="auto"/>
              <w:jc w:val="left"/>
              <w:rPr>
                <w:iCs/>
                <w:sz w:val="18"/>
                <w:szCs w:val="18"/>
              </w:rPr>
            </w:pPr>
            <w:r w:rsidRPr="00FD3839">
              <w:rPr>
                <w:i/>
                <w:iCs/>
                <w:sz w:val="18"/>
                <w:szCs w:val="18"/>
              </w:rPr>
              <w:t>Poznámka: *** označuje štatistickú signifikantnosť na úrovni 1 %, ** na úrovni 5 % a * na úrovni 10 %.</w:t>
            </w:r>
          </w:p>
        </w:tc>
      </w:tr>
    </w:tbl>
    <w:p w14:paraId="638BC084" w14:textId="1948B0DB" w:rsidR="007C0188" w:rsidRPr="00CA2564" w:rsidRDefault="007C0188" w:rsidP="00AD46EB">
      <w:pPr>
        <w:spacing w:before="240"/>
      </w:pPr>
      <w:r w:rsidRPr="00CA2564">
        <w:t xml:space="preserve">Model umožňuje simulovať vplyv plošného dotovania obedov predškolákov na </w:t>
      </w:r>
      <w:r w:rsidR="00411740">
        <w:t>zaškolenosť. Za predpokladu, že </w:t>
      </w:r>
      <w:r w:rsidRPr="00CA2564">
        <w:t>koeficient na PHN dummy zachytáva motivačný efekt dotácií, a že iné neuvedené faktory neskresľujú porovnanie možno predpokladať, že plošné zavedenie dotácií</w:t>
      </w:r>
      <w:r w:rsidRPr="00CA2564">
        <w:rPr>
          <w:rStyle w:val="Odkaznapoznmkupodiarou"/>
        </w:rPr>
        <w:footnoteReference w:id="511"/>
      </w:r>
      <w:r w:rsidRPr="00CA2564">
        <w:t xml:space="preserve"> by mohlo zvýšiť zaškolenosť 5 ročných detí v MRK z dnešných 48 % na 55 % podľa modelu 2 a 57 % podľa modelu 3.</w:t>
      </w:r>
    </w:p>
    <w:p w14:paraId="036564CB" w14:textId="10ED2538" w:rsidR="007C0188" w:rsidRPr="00CA2564" w:rsidRDefault="007C0188" w:rsidP="007C0188">
      <w:r w:rsidRPr="00CA2564">
        <w:t>Skutočný efekt môže byť ešte väčší, keďže z dôvodu nedostupnosti dát nebolo možné do modelu zahrnúť vzdialenosť obydlia od materskej školy. Dá sa predpokladať, že deti z MRK žijúce v segregovaných osadách mimo</w:t>
      </w:r>
      <w:r w:rsidR="00411740">
        <w:t> </w:t>
      </w:r>
      <w:r w:rsidRPr="00CA2564">
        <w:t>obce s obmedzenou alebo neexistujúcou verejnou dopravou sú vo väčšej miere zastúpené medzi deťmi v systéme PHN ako medzi deťmi mimo PHN.</w:t>
      </w:r>
    </w:p>
    <w:p w14:paraId="63D8753E" w14:textId="67B269FE" w:rsidR="007C0188" w:rsidRPr="00CA2564" w:rsidRDefault="007C0188" w:rsidP="007C0188">
      <w:r w:rsidRPr="00CA2564">
        <w:t>Skutočný efekt tiež závisí od vývoja na ponukovej strane predprimárneho vzdelávania. Ak uvedené premenné v modeli (prítomnosť MŠ v obci a nevybavené žiadosti ako % detí v MŠ) nedokonale zohľadňujú reálne kapacitné obmedzenia</w:t>
      </w:r>
      <w:r w:rsidR="007D49F0">
        <w:t>,</w:t>
      </w:r>
      <w:r w:rsidRPr="00CA2564">
        <w:t xml:space="preserve"> v niektorých obciach vplyv dotácií pri nezmenených kapacitách by mohol byť nižší</w:t>
      </w:r>
      <w:r w:rsidR="007D49F0">
        <w:t>,</w:t>
      </w:r>
      <w:r w:rsidRPr="00CA2564">
        <w:t xml:space="preserve"> ako naznačuje simulácia. Ak sa však podarí pomocou prostriedkov z eurofondov výrazne navýšiť </w:t>
      </w:r>
      <w:r w:rsidR="00803AB5">
        <w:t>počet kapacít v MŠ (podkapitola </w:t>
      </w:r>
      <w:r w:rsidR="00596CBC">
        <w:fldChar w:fldCharType="begin"/>
      </w:r>
      <w:r w:rsidR="00596CBC">
        <w:instrText xml:space="preserve"> REF _Ref25315904 \r \h </w:instrText>
      </w:r>
      <w:r w:rsidR="00596CBC">
        <w:fldChar w:fldCharType="separate"/>
      </w:r>
      <w:r w:rsidR="00FA29AF">
        <w:t>5.1</w:t>
      </w:r>
      <w:r w:rsidR="00596CBC">
        <w:fldChar w:fldCharType="end"/>
      </w:r>
      <w:r w:rsidRPr="00CA2564">
        <w:t>)</w:t>
      </w:r>
      <w:r w:rsidR="007D49F0">
        <w:t>,</w:t>
      </w:r>
      <w:r w:rsidRPr="00CA2564">
        <w:t xml:space="preserve"> skreslenie výsledkov simulácie by nemuselo byť výrazné. </w:t>
      </w:r>
    </w:p>
    <w:p w14:paraId="0216BFE4" w14:textId="77777777" w:rsidR="007C0188" w:rsidRDefault="007C0188" w:rsidP="007C0188">
      <w:r w:rsidRPr="00CA2564">
        <w:t>Dlhodobý efekt plošných dotácii zohľadňuje aj to, že silnejšia individuálna motivácia navštevovať MŠ by časom mohla zmeniť spoločenské normy týkajúce sa navštevovania MŠ v prostredí MRK. Za predpokladu, že tento efekt je vyjadrený v pozitívnom koeficiente na „zaškolenosť ostatných detí“ by plošné zavedenie dotácii mohlo z dlhodobého hľadiska zvýšiť zaškolenosť 5 ročných detí v MRK až na 72 % (podľa modelu 3).</w:t>
      </w:r>
      <w:r w:rsidRPr="00CA2564">
        <w:rPr>
          <w:rStyle w:val="Odkaznapoznmkupodiarou"/>
        </w:rPr>
        <w:footnoteReference w:id="512"/>
      </w:r>
    </w:p>
    <w:p w14:paraId="6D3AE418" w14:textId="77777777" w:rsidR="00827B00" w:rsidRDefault="00827B00">
      <w:pPr>
        <w:spacing w:after="160"/>
        <w:jc w:val="left"/>
        <w:rPr>
          <w:b/>
          <w:iCs/>
          <w:color w:val="2E74B5" w:themeColor="accent1" w:themeShade="BF"/>
          <w:szCs w:val="18"/>
        </w:rPr>
      </w:pPr>
      <w:bookmarkStart w:id="1878" w:name="_Ref25324100"/>
      <w:bookmarkStart w:id="1879" w:name="_Hlk24490215"/>
      <w:r>
        <w:rPr>
          <w:b/>
          <w:i/>
          <w:color w:val="2E74B5" w:themeColor="accent1" w:themeShade="BF"/>
        </w:rPr>
        <w:br w:type="page"/>
      </w:r>
    </w:p>
    <w:p w14:paraId="1096BD4D" w14:textId="77777777" w:rsidR="00827B00" w:rsidRDefault="00827B00" w:rsidP="00827B00">
      <w:pPr>
        <w:pStyle w:val="Popis"/>
        <w:rPr>
          <w:b/>
          <w:i w:val="0"/>
          <w:color w:val="2E74B5" w:themeColor="accent1" w:themeShade="BF"/>
          <w:sz w:val="22"/>
        </w:rPr>
        <w:sectPr w:rsidR="00827B00" w:rsidSect="0043362A">
          <w:pgSz w:w="11906" w:h="16838" w:code="9"/>
          <w:pgMar w:top="1440" w:right="1376" w:bottom="1440" w:left="1440" w:header="720" w:footer="645" w:gutter="0"/>
          <w:cols w:space="720"/>
          <w:docGrid w:linePitch="360"/>
        </w:sectPr>
      </w:pPr>
    </w:p>
    <w:p w14:paraId="72CC6940" w14:textId="3FF762D1" w:rsidR="00827B00" w:rsidRPr="00D41517" w:rsidRDefault="00827B00" w:rsidP="00827B00">
      <w:pPr>
        <w:pStyle w:val="Popis"/>
        <w:rPr>
          <w:b/>
          <w:color w:val="2E74B5" w:themeColor="accent1" w:themeShade="BF"/>
          <w:sz w:val="22"/>
        </w:rPr>
      </w:pPr>
      <w:bookmarkStart w:id="1880" w:name="_Ref34130495"/>
      <w:r w:rsidRPr="00DF3709">
        <w:rPr>
          <w:b/>
          <w:i w:val="0"/>
          <w:color w:val="2E74B5" w:themeColor="accent1" w:themeShade="BF"/>
          <w:sz w:val="22"/>
        </w:rPr>
        <w:t xml:space="preserve">Príloha </w:t>
      </w:r>
      <w:r w:rsidRPr="00DF3709">
        <w:rPr>
          <w:b/>
          <w:i w:val="0"/>
          <w:color w:val="2E74B5" w:themeColor="accent1" w:themeShade="BF"/>
          <w:sz w:val="22"/>
        </w:rPr>
        <w:fldChar w:fldCharType="begin"/>
      </w:r>
      <w:r w:rsidRPr="00DF3709">
        <w:rPr>
          <w:b/>
          <w:i w:val="0"/>
          <w:color w:val="2E74B5" w:themeColor="accent1" w:themeShade="BF"/>
          <w:sz w:val="22"/>
        </w:rPr>
        <w:instrText xml:space="preserve"> SEQ Príloha \* ARABIC </w:instrText>
      </w:r>
      <w:r w:rsidRPr="00DF3709">
        <w:rPr>
          <w:b/>
          <w:i w:val="0"/>
          <w:color w:val="2E74B5" w:themeColor="accent1" w:themeShade="BF"/>
          <w:sz w:val="22"/>
        </w:rPr>
        <w:fldChar w:fldCharType="separate"/>
      </w:r>
      <w:r w:rsidR="00FA29AF">
        <w:rPr>
          <w:b/>
          <w:i w:val="0"/>
          <w:noProof/>
          <w:color w:val="2E74B5" w:themeColor="accent1" w:themeShade="BF"/>
          <w:sz w:val="22"/>
        </w:rPr>
        <w:t>7</w:t>
      </w:r>
      <w:r w:rsidRPr="00DF3709">
        <w:rPr>
          <w:b/>
          <w:i w:val="0"/>
          <w:color w:val="2E74B5" w:themeColor="accent1" w:themeShade="BF"/>
          <w:sz w:val="22"/>
        </w:rPr>
        <w:fldChar w:fldCharType="end"/>
      </w:r>
      <w:bookmarkEnd w:id="1880"/>
      <w:r w:rsidRPr="00DF3709">
        <w:rPr>
          <w:b/>
          <w:i w:val="0"/>
          <w:color w:val="2E74B5" w:themeColor="accent1" w:themeShade="BF"/>
          <w:sz w:val="22"/>
        </w:rPr>
        <w:t xml:space="preserve">: </w:t>
      </w:r>
      <w:r>
        <w:rPr>
          <w:b/>
          <w:i w:val="0"/>
          <w:color w:val="2E74B5" w:themeColor="accent1" w:themeShade="BF"/>
          <w:sz w:val="22"/>
        </w:rPr>
        <w:t>Ponuka a</w:t>
      </w:r>
      <w:r w:rsidRPr="00DF3709">
        <w:rPr>
          <w:b/>
          <w:i w:val="0"/>
          <w:color w:val="2E74B5" w:themeColor="accent1" w:themeShade="BF"/>
          <w:sz w:val="22"/>
        </w:rPr>
        <w:t>kreditovan</w:t>
      </w:r>
      <w:r>
        <w:rPr>
          <w:b/>
          <w:i w:val="0"/>
          <w:color w:val="2E74B5" w:themeColor="accent1" w:themeShade="BF"/>
          <w:sz w:val="22"/>
        </w:rPr>
        <w:t>ých</w:t>
      </w:r>
      <w:r w:rsidRPr="00DF3709">
        <w:rPr>
          <w:b/>
          <w:i w:val="0"/>
          <w:color w:val="2E74B5" w:themeColor="accent1" w:themeShade="BF"/>
          <w:sz w:val="22"/>
        </w:rPr>
        <w:t xml:space="preserve"> program</w:t>
      </w:r>
      <w:r>
        <w:rPr>
          <w:b/>
          <w:i w:val="0"/>
          <w:color w:val="2E74B5" w:themeColor="accent1" w:themeShade="BF"/>
          <w:sz w:val="22"/>
        </w:rPr>
        <w:t>ov</w:t>
      </w:r>
      <w:r w:rsidRPr="00DF3709">
        <w:rPr>
          <w:b/>
          <w:i w:val="0"/>
          <w:color w:val="2E74B5" w:themeColor="accent1" w:themeShade="BF"/>
          <w:sz w:val="22"/>
        </w:rPr>
        <w:t xml:space="preserve"> kontinuálneho vzdelávania pre učiteľov MŠ a ZŠ zameran</w:t>
      </w:r>
      <w:r>
        <w:rPr>
          <w:b/>
          <w:i w:val="0"/>
          <w:color w:val="2E74B5" w:themeColor="accent1" w:themeShade="BF"/>
          <w:sz w:val="22"/>
        </w:rPr>
        <w:t>á</w:t>
      </w:r>
      <w:r w:rsidRPr="00DF3709">
        <w:rPr>
          <w:b/>
          <w:i w:val="0"/>
          <w:color w:val="2E74B5" w:themeColor="accent1" w:themeShade="BF"/>
          <w:sz w:val="22"/>
        </w:rPr>
        <w:t xml:space="preserve"> na vzdelávanie detí so ZZ alebo zo SZP v roku 2018</w:t>
      </w:r>
    </w:p>
    <w:tbl>
      <w:tblPr>
        <w:tblW w:w="13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7371"/>
        <w:gridCol w:w="2410"/>
        <w:gridCol w:w="1559"/>
        <w:gridCol w:w="1239"/>
      </w:tblGrid>
      <w:tr w:rsidR="00827B00" w:rsidRPr="0020638D" w14:paraId="7A97A2CE" w14:textId="77777777" w:rsidTr="003B7808">
        <w:trPr>
          <w:trHeight w:val="227"/>
        </w:trPr>
        <w:tc>
          <w:tcPr>
            <w:tcW w:w="1413" w:type="dxa"/>
            <w:shd w:val="clear" w:color="auto" w:fill="auto"/>
            <w:vAlign w:val="center"/>
            <w:hideMark/>
          </w:tcPr>
          <w:p w14:paraId="26EEAD65" w14:textId="77777777" w:rsidR="00827B00" w:rsidRPr="009E77EC" w:rsidRDefault="00827B00" w:rsidP="003B7808">
            <w:pPr>
              <w:spacing w:after="0" w:line="240" w:lineRule="auto"/>
              <w:jc w:val="center"/>
              <w:rPr>
                <w:rFonts w:eastAsia="Times New Roman" w:cs="Calibri"/>
                <w:b/>
                <w:bCs/>
                <w:color w:val="000000"/>
                <w:sz w:val="20"/>
                <w:lang w:eastAsia="sk-SK"/>
              </w:rPr>
            </w:pPr>
            <w:r w:rsidRPr="009E77EC">
              <w:rPr>
                <w:rFonts w:eastAsia="Times New Roman" w:cs="Calibri"/>
                <w:b/>
                <w:bCs/>
                <w:color w:val="000000"/>
                <w:sz w:val="20"/>
                <w:lang w:eastAsia="sk-SK"/>
              </w:rPr>
              <w:t>Zameranie programu</w:t>
            </w:r>
          </w:p>
        </w:tc>
        <w:tc>
          <w:tcPr>
            <w:tcW w:w="7371" w:type="dxa"/>
            <w:shd w:val="clear" w:color="auto" w:fill="auto"/>
            <w:vAlign w:val="center"/>
            <w:hideMark/>
          </w:tcPr>
          <w:p w14:paraId="2D7EB9F5" w14:textId="77777777" w:rsidR="00827B00" w:rsidRPr="009E77EC" w:rsidRDefault="00827B00" w:rsidP="003B7808">
            <w:pPr>
              <w:spacing w:after="0" w:line="240" w:lineRule="auto"/>
              <w:rPr>
                <w:rFonts w:eastAsia="Times New Roman" w:cs="Calibri"/>
                <w:b/>
                <w:bCs/>
                <w:color w:val="000000"/>
                <w:sz w:val="20"/>
                <w:lang w:eastAsia="sk-SK"/>
              </w:rPr>
            </w:pPr>
            <w:r w:rsidRPr="009E77EC">
              <w:rPr>
                <w:rFonts w:eastAsia="Times New Roman" w:cs="Calibri"/>
                <w:b/>
                <w:bCs/>
                <w:color w:val="000000"/>
                <w:sz w:val="20"/>
                <w:lang w:eastAsia="sk-SK"/>
              </w:rPr>
              <w:t>Názov programu</w:t>
            </w:r>
          </w:p>
        </w:tc>
        <w:tc>
          <w:tcPr>
            <w:tcW w:w="2410" w:type="dxa"/>
            <w:shd w:val="clear" w:color="auto" w:fill="auto"/>
            <w:vAlign w:val="center"/>
            <w:hideMark/>
          </w:tcPr>
          <w:p w14:paraId="71B0C3AB" w14:textId="77777777" w:rsidR="00827B00" w:rsidRPr="009E77EC" w:rsidRDefault="00827B00" w:rsidP="003B7808">
            <w:pPr>
              <w:spacing w:after="0" w:line="240" w:lineRule="auto"/>
              <w:rPr>
                <w:rFonts w:eastAsia="Times New Roman" w:cs="Calibri"/>
                <w:b/>
                <w:bCs/>
                <w:color w:val="000000"/>
                <w:sz w:val="20"/>
                <w:lang w:eastAsia="sk-SK"/>
              </w:rPr>
            </w:pPr>
            <w:r w:rsidRPr="009E77EC">
              <w:rPr>
                <w:rFonts w:eastAsia="Times New Roman" w:cs="Calibri"/>
                <w:b/>
                <w:bCs/>
                <w:color w:val="000000"/>
                <w:sz w:val="20"/>
                <w:lang w:eastAsia="sk-SK"/>
              </w:rPr>
              <w:t>Cieľové skupiny</w:t>
            </w:r>
          </w:p>
        </w:tc>
        <w:tc>
          <w:tcPr>
            <w:tcW w:w="1559" w:type="dxa"/>
            <w:vAlign w:val="center"/>
          </w:tcPr>
          <w:p w14:paraId="254F64E5" w14:textId="77777777" w:rsidR="00827B00" w:rsidRPr="009E77EC" w:rsidRDefault="00827B00" w:rsidP="003B7808">
            <w:pPr>
              <w:spacing w:after="0" w:line="240" w:lineRule="auto"/>
              <w:jc w:val="center"/>
              <w:rPr>
                <w:rFonts w:eastAsia="Times New Roman" w:cs="Calibri"/>
                <w:b/>
                <w:bCs/>
                <w:color w:val="000000"/>
                <w:sz w:val="20"/>
                <w:lang w:eastAsia="sk-SK"/>
              </w:rPr>
            </w:pPr>
            <w:r w:rsidRPr="009E77EC">
              <w:rPr>
                <w:rFonts w:eastAsia="Times New Roman" w:cs="Calibri"/>
                <w:b/>
                <w:bCs/>
                <w:color w:val="000000"/>
                <w:sz w:val="20"/>
                <w:lang w:eastAsia="sk-SK"/>
              </w:rPr>
              <w:t>Počet účastníkov v roku 2018</w:t>
            </w:r>
          </w:p>
        </w:tc>
        <w:tc>
          <w:tcPr>
            <w:tcW w:w="1239" w:type="dxa"/>
            <w:vAlign w:val="center"/>
          </w:tcPr>
          <w:p w14:paraId="71DE5CB6" w14:textId="77777777" w:rsidR="00827B00" w:rsidRPr="009E77EC" w:rsidRDefault="00827B00" w:rsidP="003B7808">
            <w:pPr>
              <w:spacing w:after="0" w:line="240" w:lineRule="auto"/>
              <w:jc w:val="center"/>
              <w:rPr>
                <w:rFonts w:eastAsia="Times New Roman" w:cs="Calibri"/>
                <w:b/>
                <w:bCs/>
                <w:color w:val="000000"/>
                <w:sz w:val="20"/>
                <w:lang w:eastAsia="sk-SK"/>
              </w:rPr>
            </w:pPr>
            <w:r w:rsidRPr="009E77EC">
              <w:rPr>
                <w:rFonts w:eastAsia="Times New Roman" w:cs="Calibri"/>
                <w:b/>
                <w:bCs/>
                <w:color w:val="000000"/>
                <w:sz w:val="20"/>
                <w:lang w:eastAsia="sk-SK"/>
              </w:rPr>
              <w:t>Z toho učitelia MŠ</w:t>
            </w:r>
          </w:p>
        </w:tc>
      </w:tr>
      <w:tr w:rsidR="00827B00" w:rsidRPr="0020638D" w14:paraId="62F989A6" w14:textId="77777777" w:rsidTr="003B7808">
        <w:trPr>
          <w:trHeight w:val="227"/>
        </w:trPr>
        <w:tc>
          <w:tcPr>
            <w:tcW w:w="1413" w:type="dxa"/>
            <w:vMerge w:val="restart"/>
            <w:shd w:val="clear" w:color="auto" w:fill="auto"/>
            <w:vAlign w:val="center"/>
            <w:hideMark/>
          </w:tcPr>
          <w:p w14:paraId="264DC03C" w14:textId="77777777" w:rsidR="00827B00" w:rsidRPr="009E77EC" w:rsidRDefault="00827B00" w:rsidP="003B7808">
            <w:pPr>
              <w:spacing w:after="0" w:line="240" w:lineRule="auto"/>
              <w:jc w:val="center"/>
              <w:rPr>
                <w:rFonts w:eastAsia="Times New Roman" w:cs="Calibri"/>
                <w:b/>
                <w:bCs/>
                <w:color w:val="000000"/>
                <w:sz w:val="20"/>
                <w:lang w:eastAsia="sk-SK"/>
              </w:rPr>
            </w:pPr>
            <w:r w:rsidRPr="009E77EC">
              <w:rPr>
                <w:rFonts w:eastAsia="Times New Roman" w:cs="Calibri"/>
                <w:b/>
                <w:bCs/>
                <w:color w:val="000000"/>
                <w:sz w:val="20"/>
                <w:lang w:eastAsia="sk-SK"/>
              </w:rPr>
              <w:t>Zdravotné znevýhodnenie</w:t>
            </w:r>
          </w:p>
        </w:tc>
        <w:tc>
          <w:tcPr>
            <w:tcW w:w="7371" w:type="dxa"/>
            <w:shd w:val="clear" w:color="auto" w:fill="auto"/>
            <w:vAlign w:val="center"/>
            <w:hideMark/>
          </w:tcPr>
          <w:p w14:paraId="0FD479F8" w14:textId="77777777" w:rsidR="00827B00" w:rsidRPr="009E77EC" w:rsidRDefault="00827B00" w:rsidP="003B7808">
            <w:pPr>
              <w:spacing w:after="0" w:line="240" w:lineRule="auto"/>
              <w:rPr>
                <w:rFonts w:eastAsia="Times New Roman" w:cs="Calibri"/>
                <w:bCs/>
                <w:color w:val="000000"/>
                <w:sz w:val="20"/>
                <w:lang w:eastAsia="sk-SK"/>
              </w:rPr>
            </w:pPr>
            <w:r w:rsidRPr="009E77EC">
              <w:rPr>
                <w:rFonts w:eastAsia="Symbol" w:cs="Calibri"/>
                <w:bCs/>
                <w:color w:val="000000"/>
                <w:sz w:val="20"/>
                <w:lang w:eastAsia="sk-SK"/>
              </w:rPr>
              <w:t>Ako pracovať s deťmi s poruchami reči predškolského veku v materských školách</w:t>
            </w:r>
          </w:p>
        </w:tc>
        <w:tc>
          <w:tcPr>
            <w:tcW w:w="2410" w:type="dxa"/>
            <w:shd w:val="clear" w:color="auto" w:fill="auto"/>
            <w:vAlign w:val="center"/>
            <w:hideMark/>
          </w:tcPr>
          <w:p w14:paraId="6557CD19" w14:textId="77777777" w:rsidR="00827B00" w:rsidRPr="009E77EC" w:rsidRDefault="00827B00" w:rsidP="003B7808">
            <w:pPr>
              <w:spacing w:after="0" w:line="240" w:lineRule="auto"/>
              <w:rPr>
                <w:rFonts w:eastAsia="Times New Roman" w:cs="Calibri"/>
                <w:bCs/>
                <w:color w:val="000000"/>
                <w:sz w:val="20"/>
                <w:lang w:eastAsia="sk-SK"/>
              </w:rPr>
            </w:pPr>
            <w:r w:rsidRPr="009E77EC">
              <w:rPr>
                <w:rFonts w:eastAsia="Times New Roman" w:cs="Calibri"/>
                <w:bCs/>
                <w:color w:val="000000"/>
                <w:sz w:val="20"/>
                <w:lang w:eastAsia="sk-SK"/>
              </w:rPr>
              <w:t>MŠ</w:t>
            </w:r>
          </w:p>
        </w:tc>
        <w:tc>
          <w:tcPr>
            <w:tcW w:w="1559" w:type="dxa"/>
            <w:shd w:val="clear" w:color="auto" w:fill="auto"/>
            <w:vAlign w:val="center"/>
          </w:tcPr>
          <w:p w14:paraId="74642626" w14:textId="77777777" w:rsidR="00827B00" w:rsidRPr="009E77EC" w:rsidRDefault="00827B00" w:rsidP="003B7808">
            <w:pPr>
              <w:spacing w:after="0" w:line="240" w:lineRule="auto"/>
              <w:jc w:val="center"/>
              <w:rPr>
                <w:rFonts w:eastAsia="Times New Roman" w:cs="Calibri"/>
                <w:bCs/>
                <w:color w:val="000000"/>
                <w:sz w:val="20"/>
                <w:lang w:eastAsia="sk-SK"/>
              </w:rPr>
            </w:pPr>
            <w:r w:rsidRPr="009E77EC">
              <w:rPr>
                <w:rFonts w:eastAsia="Times New Roman" w:cs="Calibri"/>
                <w:bCs/>
                <w:color w:val="000000"/>
                <w:sz w:val="20"/>
                <w:lang w:eastAsia="sk-SK"/>
              </w:rPr>
              <w:t>30</w:t>
            </w:r>
          </w:p>
        </w:tc>
        <w:tc>
          <w:tcPr>
            <w:tcW w:w="1239" w:type="dxa"/>
            <w:shd w:val="clear" w:color="auto" w:fill="auto"/>
            <w:vAlign w:val="center"/>
          </w:tcPr>
          <w:p w14:paraId="4118797D" w14:textId="77777777" w:rsidR="00827B00" w:rsidRPr="009E77EC" w:rsidRDefault="00827B00" w:rsidP="003B7808">
            <w:pPr>
              <w:spacing w:after="0" w:line="240" w:lineRule="auto"/>
              <w:jc w:val="center"/>
              <w:rPr>
                <w:rFonts w:eastAsia="Times New Roman" w:cs="Calibri"/>
                <w:bCs/>
                <w:color w:val="000000"/>
                <w:sz w:val="20"/>
                <w:lang w:eastAsia="sk-SK"/>
              </w:rPr>
            </w:pPr>
            <w:r w:rsidRPr="009E77EC">
              <w:rPr>
                <w:rFonts w:eastAsia="Times New Roman" w:cs="Calibri"/>
                <w:bCs/>
                <w:color w:val="000000"/>
                <w:sz w:val="20"/>
                <w:lang w:eastAsia="sk-SK"/>
              </w:rPr>
              <w:t>30</w:t>
            </w:r>
          </w:p>
        </w:tc>
      </w:tr>
      <w:tr w:rsidR="00827B00" w:rsidRPr="0020638D" w14:paraId="111F8743" w14:textId="77777777" w:rsidTr="003B7808">
        <w:trPr>
          <w:trHeight w:val="227"/>
        </w:trPr>
        <w:tc>
          <w:tcPr>
            <w:tcW w:w="1413" w:type="dxa"/>
            <w:vMerge/>
            <w:shd w:val="clear" w:color="auto" w:fill="auto"/>
            <w:vAlign w:val="center"/>
          </w:tcPr>
          <w:p w14:paraId="1A228BF6" w14:textId="77777777" w:rsidR="00827B00" w:rsidRPr="009E77EC" w:rsidRDefault="00827B00" w:rsidP="003B7808">
            <w:pPr>
              <w:spacing w:after="0" w:line="240" w:lineRule="auto"/>
              <w:jc w:val="center"/>
              <w:rPr>
                <w:rFonts w:eastAsia="Times New Roman" w:cs="Calibri"/>
                <w:b/>
                <w:bCs/>
                <w:color w:val="000000"/>
                <w:sz w:val="20"/>
                <w:lang w:eastAsia="sk-SK"/>
              </w:rPr>
            </w:pPr>
          </w:p>
        </w:tc>
        <w:tc>
          <w:tcPr>
            <w:tcW w:w="7371" w:type="dxa"/>
            <w:shd w:val="clear" w:color="auto" w:fill="auto"/>
            <w:vAlign w:val="center"/>
            <w:hideMark/>
          </w:tcPr>
          <w:p w14:paraId="3A600A00" w14:textId="77777777" w:rsidR="00827B00" w:rsidRPr="009E77EC" w:rsidRDefault="00827B00" w:rsidP="003B7808">
            <w:pPr>
              <w:spacing w:after="0" w:line="240" w:lineRule="auto"/>
              <w:rPr>
                <w:rFonts w:eastAsia="Times New Roman" w:cs="Calibri"/>
                <w:bCs/>
                <w:color w:val="000000"/>
                <w:sz w:val="20"/>
                <w:lang w:eastAsia="sk-SK"/>
              </w:rPr>
            </w:pPr>
            <w:r w:rsidRPr="009E77EC">
              <w:rPr>
                <w:rFonts w:eastAsia="Symbol" w:cs="Calibri"/>
                <w:bCs/>
                <w:color w:val="000000"/>
                <w:sz w:val="20"/>
                <w:lang w:eastAsia="sk-SK"/>
              </w:rPr>
              <w:t>Multisenzorické prostredie (Snoezelen) v praxi pedagogického a odborného zamestnanca</w:t>
            </w:r>
          </w:p>
        </w:tc>
        <w:tc>
          <w:tcPr>
            <w:tcW w:w="2410" w:type="dxa"/>
            <w:shd w:val="clear" w:color="auto" w:fill="auto"/>
            <w:vAlign w:val="center"/>
            <w:hideMark/>
          </w:tcPr>
          <w:p w14:paraId="116C6D3B" w14:textId="77777777" w:rsidR="00827B00" w:rsidRPr="009E77EC" w:rsidRDefault="00827B00" w:rsidP="003B7808">
            <w:pPr>
              <w:spacing w:after="0" w:line="240" w:lineRule="auto"/>
              <w:rPr>
                <w:rFonts w:eastAsia="Times New Roman" w:cs="Calibri"/>
                <w:bCs/>
                <w:color w:val="000000"/>
                <w:sz w:val="20"/>
                <w:lang w:eastAsia="sk-SK"/>
              </w:rPr>
            </w:pPr>
            <w:r w:rsidRPr="009E77EC">
              <w:rPr>
                <w:rFonts w:eastAsia="Times New Roman" w:cs="Calibri"/>
                <w:bCs/>
                <w:color w:val="000000"/>
                <w:sz w:val="20"/>
                <w:lang w:eastAsia="sk-SK"/>
              </w:rPr>
              <w:t>MŠ, 1. stupeň ZŠ</w:t>
            </w:r>
          </w:p>
        </w:tc>
        <w:tc>
          <w:tcPr>
            <w:tcW w:w="1559" w:type="dxa"/>
            <w:shd w:val="clear" w:color="auto" w:fill="auto"/>
            <w:vAlign w:val="center"/>
          </w:tcPr>
          <w:p w14:paraId="07A73200" w14:textId="77777777" w:rsidR="00827B00" w:rsidRPr="009E77EC" w:rsidRDefault="00827B00" w:rsidP="003B7808">
            <w:pPr>
              <w:spacing w:after="0" w:line="240" w:lineRule="auto"/>
              <w:jc w:val="center"/>
              <w:rPr>
                <w:rFonts w:eastAsia="Times New Roman" w:cs="Calibri"/>
                <w:bCs/>
                <w:color w:val="000000"/>
                <w:sz w:val="20"/>
                <w:lang w:eastAsia="sk-SK"/>
              </w:rPr>
            </w:pPr>
            <w:r>
              <w:rPr>
                <w:rFonts w:eastAsia="Times New Roman" w:cs="Calibri"/>
                <w:bCs/>
                <w:color w:val="000000"/>
                <w:sz w:val="20"/>
                <w:lang w:eastAsia="sk-SK"/>
              </w:rPr>
              <w:t>0</w:t>
            </w:r>
          </w:p>
        </w:tc>
        <w:tc>
          <w:tcPr>
            <w:tcW w:w="1239" w:type="dxa"/>
            <w:shd w:val="clear" w:color="auto" w:fill="auto"/>
            <w:vAlign w:val="center"/>
          </w:tcPr>
          <w:p w14:paraId="3435DB01" w14:textId="77777777" w:rsidR="00827B00" w:rsidRPr="009E77EC" w:rsidRDefault="00827B00" w:rsidP="003B7808">
            <w:pPr>
              <w:spacing w:after="0" w:line="240" w:lineRule="auto"/>
              <w:jc w:val="center"/>
              <w:rPr>
                <w:rFonts w:eastAsia="Times New Roman" w:cs="Calibri"/>
                <w:bCs/>
                <w:color w:val="000000"/>
                <w:sz w:val="20"/>
                <w:lang w:eastAsia="sk-SK"/>
              </w:rPr>
            </w:pPr>
          </w:p>
        </w:tc>
      </w:tr>
      <w:tr w:rsidR="00827B00" w:rsidRPr="0020638D" w14:paraId="43C9BD0A" w14:textId="77777777" w:rsidTr="003B7808">
        <w:trPr>
          <w:trHeight w:val="227"/>
        </w:trPr>
        <w:tc>
          <w:tcPr>
            <w:tcW w:w="1413" w:type="dxa"/>
            <w:vMerge/>
            <w:shd w:val="clear" w:color="auto" w:fill="auto"/>
            <w:vAlign w:val="center"/>
          </w:tcPr>
          <w:p w14:paraId="0194DD46" w14:textId="77777777" w:rsidR="00827B00" w:rsidRPr="009E77EC" w:rsidRDefault="00827B00" w:rsidP="003B7808">
            <w:pPr>
              <w:spacing w:after="0" w:line="240" w:lineRule="auto"/>
              <w:jc w:val="center"/>
              <w:rPr>
                <w:rFonts w:eastAsia="Times New Roman" w:cs="Calibri"/>
                <w:b/>
                <w:bCs/>
                <w:color w:val="000000"/>
                <w:sz w:val="20"/>
                <w:lang w:eastAsia="sk-SK"/>
              </w:rPr>
            </w:pPr>
          </w:p>
        </w:tc>
        <w:tc>
          <w:tcPr>
            <w:tcW w:w="7371" w:type="dxa"/>
            <w:shd w:val="clear" w:color="auto" w:fill="auto"/>
            <w:vAlign w:val="center"/>
            <w:hideMark/>
          </w:tcPr>
          <w:p w14:paraId="46F9884B" w14:textId="77777777" w:rsidR="00827B00" w:rsidRPr="009E77EC" w:rsidRDefault="00827B00" w:rsidP="003B7808">
            <w:pPr>
              <w:spacing w:after="0" w:line="240" w:lineRule="auto"/>
              <w:rPr>
                <w:rFonts w:eastAsia="Times New Roman" w:cs="Calibri"/>
                <w:bCs/>
                <w:color w:val="000000"/>
                <w:sz w:val="20"/>
                <w:lang w:eastAsia="sk-SK"/>
              </w:rPr>
            </w:pPr>
            <w:r w:rsidRPr="009E77EC">
              <w:rPr>
                <w:rFonts w:eastAsia="Symbol" w:cs="Calibri"/>
                <w:bCs/>
                <w:color w:val="000000"/>
                <w:sz w:val="20"/>
                <w:lang w:eastAsia="sk-SK"/>
              </w:rPr>
              <w:t>Rozvoj spôsobilosti konverzovať s deťmi a žiakmi s poruchami sluchu</w:t>
            </w:r>
          </w:p>
        </w:tc>
        <w:tc>
          <w:tcPr>
            <w:tcW w:w="2410" w:type="dxa"/>
            <w:shd w:val="clear" w:color="auto" w:fill="auto"/>
            <w:vAlign w:val="center"/>
            <w:hideMark/>
          </w:tcPr>
          <w:p w14:paraId="6DEE721F" w14:textId="77777777" w:rsidR="00827B00" w:rsidRPr="009E77EC" w:rsidRDefault="00827B00" w:rsidP="003B7808">
            <w:pPr>
              <w:spacing w:after="0" w:line="240" w:lineRule="auto"/>
              <w:rPr>
                <w:rFonts w:eastAsia="Times New Roman" w:cs="Calibri"/>
                <w:bCs/>
                <w:color w:val="000000"/>
                <w:sz w:val="20"/>
                <w:lang w:eastAsia="sk-SK"/>
              </w:rPr>
            </w:pPr>
            <w:r w:rsidRPr="009E77EC">
              <w:rPr>
                <w:rFonts w:eastAsia="Times New Roman" w:cs="Calibri"/>
                <w:bCs/>
                <w:color w:val="000000"/>
                <w:sz w:val="20"/>
                <w:lang w:eastAsia="sk-SK"/>
              </w:rPr>
              <w:t>MŠ, 1. stupeň ZŠ, 2. stupeň ZŠ</w:t>
            </w:r>
          </w:p>
        </w:tc>
        <w:tc>
          <w:tcPr>
            <w:tcW w:w="1559" w:type="dxa"/>
            <w:shd w:val="clear" w:color="auto" w:fill="auto"/>
            <w:vAlign w:val="center"/>
          </w:tcPr>
          <w:p w14:paraId="6F9D0280" w14:textId="77777777" w:rsidR="00827B00" w:rsidRPr="009E77EC" w:rsidRDefault="00827B00" w:rsidP="003B7808">
            <w:pPr>
              <w:spacing w:after="0" w:line="240" w:lineRule="auto"/>
              <w:jc w:val="center"/>
              <w:rPr>
                <w:rFonts w:eastAsia="Times New Roman" w:cs="Calibri"/>
                <w:bCs/>
                <w:color w:val="000000"/>
                <w:sz w:val="20"/>
                <w:lang w:eastAsia="sk-SK"/>
              </w:rPr>
            </w:pPr>
            <w:r w:rsidRPr="009E77EC">
              <w:rPr>
                <w:rFonts w:eastAsia="Times New Roman" w:cs="Calibri"/>
                <w:bCs/>
                <w:color w:val="000000"/>
                <w:sz w:val="20"/>
                <w:lang w:eastAsia="sk-SK"/>
              </w:rPr>
              <w:t>0</w:t>
            </w:r>
          </w:p>
        </w:tc>
        <w:tc>
          <w:tcPr>
            <w:tcW w:w="1239" w:type="dxa"/>
            <w:shd w:val="clear" w:color="auto" w:fill="auto"/>
            <w:vAlign w:val="center"/>
          </w:tcPr>
          <w:p w14:paraId="7575D06C" w14:textId="77777777" w:rsidR="00827B00" w:rsidRPr="009E77EC" w:rsidRDefault="00827B00" w:rsidP="003B7808">
            <w:pPr>
              <w:spacing w:after="0" w:line="240" w:lineRule="auto"/>
              <w:jc w:val="center"/>
              <w:rPr>
                <w:rFonts w:eastAsia="Times New Roman" w:cs="Calibri"/>
                <w:bCs/>
                <w:color w:val="000000"/>
                <w:sz w:val="20"/>
                <w:lang w:eastAsia="sk-SK"/>
              </w:rPr>
            </w:pPr>
          </w:p>
        </w:tc>
      </w:tr>
      <w:tr w:rsidR="00827B00" w:rsidRPr="0020638D" w14:paraId="510FF839" w14:textId="77777777" w:rsidTr="003B7808">
        <w:trPr>
          <w:trHeight w:val="227"/>
        </w:trPr>
        <w:tc>
          <w:tcPr>
            <w:tcW w:w="1413" w:type="dxa"/>
            <w:vMerge/>
            <w:shd w:val="clear" w:color="auto" w:fill="auto"/>
            <w:vAlign w:val="center"/>
          </w:tcPr>
          <w:p w14:paraId="2D660193" w14:textId="77777777" w:rsidR="00827B00" w:rsidRPr="009E77EC" w:rsidRDefault="00827B00" w:rsidP="003B7808">
            <w:pPr>
              <w:spacing w:after="0" w:line="240" w:lineRule="auto"/>
              <w:jc w:val="center"/>
              <w:rPr>
                <w:rFonts w:eastAsia="Times New Roman" w:cs="Calibri"/>
                <w:b/>
                <w:bCs/>
                <w:color w:val="000000"/>
                <w:sz w:val="20"/>
                <w:lang w:eastAsia="sk-SK"/>
              </w:rPr>
            </w:pPr>
          </w:p>
        </w:tc>
        <w:tc>
          <w:tcPr>
            <w:tcW w:w="7371" w:type="dxa"/>
            <w:shd w:val="clear" w:color="auto" w:fill="auto"/>
            <w:vAlign w:val="center"/>
            <w:hideMark/>
          </w:tcPr>
          <w:p w14:paraId="3D572F2E" w14:textId="77777777" w:rsidR="00827B00" w:rsidRPr="009E77EC" w:rsidRDefault="00827B00" w:rsidP="003B7808">
            <w:pPr>
              <w:spacing w:after="0" w:line="240" w:lineRule="auto"/>
              <w:rPr>
                <w:rFonts w:eastAsia="Times New Roman" w:cs="Calibri"/>
                <w:bCs/>
                <w:color w:val="000000"/>
                <w:sz w:val="20"/>
                <w:lang w:eastAsia="sk-SK"/>
              </w:rPr>
            </w:pPr>
            <w:r w:rsidRPr="009E77EC">
              <w:rPr>
                <w:rFonts w:eastAsia="Symbol" w:cs="Calibri"/>
                <w:bCs/>
                <w:color w:val="000000"/>
                <w:sz w:val="20"/>
                <w:lang w:eastAsia="sk-SK"/>
              </w:rPr>
              <w:t>Špecifiká edukácie žiakov s poruchou autistického spektra v základnej a strednej škole</w:t>
            </w:r>
          </w:p>
        </w:tc>
        <w:tc>
          <w:tcPr>
            <w:tcW w:w="2410" w:type="dxa"/>
            <w:shd w:val="clear" w:color="auto" w:fill="auto"/>
            <w:vAlign w:val="center"/>
            <w:hideMark/>
          </w:tcPr>
          <w:p w14:paraId="54B9DC30" w14:textId="77777777" w:rsidR="00827B00" w:rsidRPr="009E77EC" w:rsidRDefault="00827B00" w:rsidP="003B7808">
            <w:pPr>
              <w:spacing w:after="0" w:line="240" w:lineRule="auto"/>
              <w:rPr>
                <w:rFonts w:eastAsia="Times New Roman" w:cs="Calibri"/>
                <w:bCs/>
                <w:color w:val="000000"/>
                <w:sz w:val="20"/>
                <w:lang w:eastAsia="sk-SK"/>
              </w:rPr>
            </w:pPr>
            <w:r w:rsidRPr="009E77EC">
              <w:rPr>
                <w:rFonts w:eastAsia="Times New Roman" w:cs="Calibri"/>
                <w:bCs/>
                <w:color w:val="000000"/>
                <w:sz w:val="20"/>
                <w:lang w:eastAsia="sk-SK"/>
              </w:rPr>
              <w:t>1. stupeň ZŠ, 2. stupeň ZŠ</w:t>
            </w:r>
          </w:p>
        </w:tc>
        <w:tc>
          <w:tcPr>
            <w:tcW w:w="1559" w:type="dxa"/>
            <w:shd w:val="clear" w:color="auto" w:fill="auto"/>
            <w:vAlign w:val="center"/>
          </w:tcPr>
          <w:p w14:paraId="79410D87" w14:textId="77777777" w:rsidR="00827B00" w:rsidRPr="009E77EC" w:rsidRDefault="00827B00" w:rsidP="003B7808">
            <w:pPr>
              <w:spacing w:after="0" w:line="240" w:lineRule="auto"/>
              <w:jc w:val="center"/>
              <w:rPr>
                <w:rFonts w:eastAsia="Times New Roman" w:cs="Calibri"/>
                <w:bCs/>
                <w:color w:val="000000"/>
                <w:sz w:val="20"/>
                <w:lang w:eastAsia="sk-SK"/>
              </w:rPr>
            </w:pPr>
            <w:r>
              <w:rPr>
                <w:rFonts w:eastAsia="Times New Roman" w:cs="Calibri"/>
                <w:bCs/>
                <w:color w:val="000000"/>
                <w:sz w:val="20"/>
                <w:lang w:eastAsia="sk-SK"/>
              </w:rPr>
              <w:t>0</w:t>
            </w:r>
          </w:p>
        </w:tc>
        <w:tc>
          <w:tcPr>
            <w:tcW w:w="1239" w:type="dxa"/>
            <w:shd w:val="clear" w:color="auto" w:fill="auto"/>
            <w:vAlign w:val="center"/>
          </w:tcPr>
          <w:p w14:paraId="4FB0EA0E" w14:textId="77777777" w:rsidR="00827B00" w:rsidRPr="009E77EC" w:rsidRDefault="00827B00" w:rsidP="003B7808">
            <w:pPr>
              <w:spacing w:after="0" w:line="240" w:lineRule="auto"/>
              <w:jc w:val="center"/>
              <w:rPr>
                <w:rFonts w:eastAsia="Times New Roman" w:cs="Calibri"/>
                <w:bCs/>
                <w:color w:val="000000"/>
                <w:sz w:val="20"/>
                <w:lang w:eastAsia="sk-SK"/>
              </w:rPr>
            </w:pPr>
          </w:p>
        </w:tc>
      </w:tr>
      <w:tr w:rsidR="00827B00" w:rsidRPr="0020638D" w14:paraId="5360DA63" w14:textId="77777777" w:rsidTr="003B7808">
        <w:trPr>
          <w:trHeight w:val="227"/>
        </w:trPr>
        <w:tc>
          <w:tcPr>
            <w:tcW w:w="1413" w:type="dxa"/>
            <w:vMerge/>
            <w:shd w:val="clear" w:color="auto" w:fill="auto"/>
            <w:vAlign w:val="center"/>
          </w:tcPr>
          <w:p w14:paraId="6CB27414" w14:textId="77777777" w:rsidR="00827B00" w:rsidRPr="009E77EC" w:rsidRDefault="00827B00" w:rsidP="003B7808">
            <w:pPr>
              <w:spacing w:after="0" w:line="240" w:lineRule="auto"/>
              <w:jc w:val="center"/>
              <w:rPr>
                <w:rFonts w:eastAsia="Times New Roman" w:cs="Calibri"/>
                <w:b/>
                <w:bCs/>
                <w:color w:val="000000"/>
                <w:sz w:val="20"/>
                <w:lang w:eastAsia="sk-SK"/>
              </w:rPr>
            </w:pPr>
          </w:p>
        </w:tc>
        <w:tc>
          <w:tcPr>
            <w:tcW w:w="7371" w:type="dxa"/>
            <w:shd w:val="clear" w:color="auto" w:fill="auto"/>
            <w:vAlign w:val="center"/>
            <w:hideMark/>
          </w:tcPr>
          <w:p w14:paraId="151C0726" w14:textId="77777777" w:rsidR="00827B00" w:rsidRPr="009E77EC" w:rsidRDefault="00827B00" w:rsidP="003B7808">
            <w:pPr>
              <w:spacing w:after="0" w:line="240" w:lineRule="auto"/>
              <w:rPr>
                <w:rFonts w:eastAsia="Times New Roman" w:cs="Calibri"/>
                <w:bCs/>
                <w:color w:val="000000"/>
                <w:sz w:val="20"/>
                <w:lang w:eastAsia="sk-SK"/>
              </w:rPr>
            </w:pPr>
            <w:r w:rsidRPr="009E77EC">
              <w:rPr>
                <w:rFonts w:eastAsia="Symbol" w:cs="Calibri"/>
                <w:bCs/>
                <w:color w:val="000000"/>
                <w:sz w:val="20"/>
                <w:lang w:eastAsia="sk-SK"/>
              </w:rPr>
              <w:t>Špecifiká edukácie žiakov so stredným stupňom mentálneho postihnutia</w:t>
            </w:r>
          </w:p>
        </w:tc>
        <w:tc>
          <w:tcPr>
            <w:tcW w:w="2410" w:type="dxa"/>
            <w:shd w:val="clear" w:color="auto" w:fill="auto"/>
            <w:vAlign w:val="center"/>
            <w:hideMark/>
          </w:tcPr>
          <w:p w14:paraId="6F4AF539" w14:textId="77777777" w:rsidR="00827B00" w:rsidRPr="009E77EC" w:rsidRDefault="00827B00" w:rsidP="003B7808">
            <w:pPr>
              <w:spacing w:after="0" w:line="240" w:lineRule="auto"/>
              <w:rPr>
                <w:rFonts w:eastAsia="Times New Roman" w:cs="Calibri"/>
                <w:bCs/>
                <w:color w:val="000000"/>
                <w:sz w:val="20"/>
                <w:lang w:eastAsia="sk-SK"/>
              </w:rPr>
            </w:pPr>
            <w:r w:rsidRPr="009E77EC">
              <w:rPr>
                <w:rFonts w:eastAsia="Times New Roman" w:cs="Calibri"/>
                <w:bCs/>
                <w:color w:val="000000"/>
                <w:sz w:val="20"/>
                <w:lang w:eastAsia="sk-SK"/>
              </w:rPr>
              <w:t>1. stupeň ZŠ</w:t>
            </w:r>
          </w:p>
        </w:tc>
        <w:tc>
          <w:tcPr>
            <w:tcW w:w="1559" w:type="dxa"/>
            <w:shd w:val="clear" w:color="auto" w:fill="auto"/>
            <w:vAlign w:val="center"/>
          </w:tcPr>
          <w:p w14:paraId="29AE834B" w14:textId="77777777" w:rsidR="00827B00" w:rsidRPr="009E77EC" w:rsidRDefault="00827B00" w:rsidP="003B7808">
            <w:pPr>
              <w:spacing w:after="0" w:line="240" w:lineRule="auto"/>
              <w:jc w:val="center"/>
              <w:rPr>
                <w:rFonts w:eastAsia="Times New Roman" w:cs="Calibri"/>
                <w:bCs/>
                <w:color w:val="000000"/>
                <w:sz w:val="20"/>
                <w:lang w:eastAsia="sk-SK"/>
              </w:rPr>
            </w:pPr>
            <w:r>
              <w:rPr>
                <w:rFonts w:eastAsia="Times New Roman" w:cs="Calibri"/>
                <w:bCs/>
                <w:color w:val="000000"/>
                <w:sz w:val="20"/>
                <w:lang w:eastAsia="sk-SK"/>
              </w:rPr>
              <w:t>0</w:t>
            </w:r>
          </w:p>
        </w:tc>
        <w:tc>
          <w:tcPr>
            <w:tcW w:w="1239" w:type="dxa"/>
            <w:shd w:val="clear" w:color="auto" w:fill="auto"/>
            <w:vAlign w:val="center"/>
          </w:tcPr>
          <w:p w14:paraId="26EFAA31" w14:textId="77777777" w:rsidR="00827B00" w:rsidRPr="009E77EC" w:rsidRDefault="00827B00" w:rsidP="003B7808">
            <w:pPr>
              <w:spacing w:after="0" w:line="240" w:lineRule="auto"/>
              <w:jc w:val="center"/>
              <w:rPr>
                <w:rFonts w:eastAsia="Times New Roman" w:cs="Calibri"/>
                <w:bCs/>
                <w:color w:val="000000"/>
                <w:sz w:val="20"/>
                <w:lang w:eastAsia="sk-SK"/>
              </w:rPr>
            </w:pPr>
          </w:p>
        </w:tc>
      </w:tr>
      <w:tr w:rsidR="00827B00" w:rsidRPr="0020638D" w14:paraId="54231F35" w14:textId="77777777" w:rsidTr="003B7808">
        <w:trPr>
          <w:trHeight w:val="227"/>
        </w:trPr>
        <w:tc>
          <w:tcPr>
            <w:tcW w:w="1413" w:type="dxa"/>
            <w:vMerge/>
            <w:shd w:val="clear" w:color="auto" w:fill="auto"/>
            <w:vAlign w:val="center"/>
          </w:tcPr>
          <w:p w14:paraId="45A6F7D5" w14:textId="77777777" w:rsidR="00827B00" w:rsidRPr="009E77EC" w:rsidRDefault="00827B00" w:rsidP="003B7808">
            <w:pPr>
              <w:spacing w:after="0" w:line="240" w:lineRule="auto"/>
              <w:jc w:val="center"/>
              <w:rPr>
                <w:rFonts w:eastAsia="Times New Roman" w:cs="Calibri"/>
                <w:b/>
                <w:bCs/>
                <w:color w:val="000000"/>
                <w:sz w:val="20"/>
                <w:lang w:eastAsia="sk-SK"/>
              </w:rPr>
            </w:pPr>
          </w:p>
        </w:tc>
        <w:tc>
          <w:tcPr>
            <w:tcW w:w="7371" w:type="dxa"/>
            <w:shd w:val="clear" w:color="auto" w:fill="auto"/>
            <w:vAlign w:val="center"/>
            <w:hideMark/>
          </w:tcPr>
          <w:p w14:paraId="317E877D" w14:textId="77777777" w:rsidR="00827B00" w:rsidRPr="009E77EC" w:rsidRDefault="00827B00" w:rsidP="003B7808">
            <w:pPr>
              <w:spacing w:after="0" w:line="240" w:lineRule="auto"/>
              <w:rPr>
                <w:rFonts w:eastAsia="Times New Roman" w:cs="Calibri"/>
                <w:bCs/>
                <w:color w:val="000000"/>
                <w:sz w:val="20"/>
                <w:lang w:eastAsia="sk-SK"/>
              </w:rPr>
            </w:pPr>
            <w:r w:rsidRPr="009E77EC">
              <w:rPr>
                <w:rFonts w:eastAsia="Symbol" w:cs="Times New Roman"/>
                <w:bCs/>
                <w:color w:val="000000"/>
                <w:sz w:val="20"/>
                <w:lang w:eastAsia="sk-SK"/>
              </w:rPr>
              <w:t xml:space="preserve"> </w:t>
            </w:r>
            <w:r w:rsidRPr="009E77EC">
              <w:rPr>
                <w:rFonts w:eastAsia="Symbol" w:cs="Calibri"/>
                <w:bCs/>
                <w:color w:val="000000"/>
                <w:sz w:val="20"/>
                <w:lang w:eastAsia="sk-SK"/>
              </w:rPr>
              <w:t>Základy komunikácie s deťmi a žiakmi s poruchami sluchu</w:t>
            </w:r>
          </w:p>
        </w:tc>
        <w:tc>
          <w:tcPr>
            <w:tcW w:w="2410" w:type="dxa"/>
            <w:shd w:val="clear" w:color="auto" w:fill="auto"/>
            <w:vAlign w:val="center"/>
            <w:hideMark/>
          </w:tcPr>
          <w:p w14:paraId="5E208978" w14:textId="77777777" w:rsidR="00827B00" w:rsidRPr="009E77EC" w:rsidRDefault="00827B00" w:rsidP="003B7808">
            <w:pPr>
              <w:spacing w:after="0" w:line="240" w:lineRule="auto"/>
              <w:rPr>
                <w:rFonts w:eastAsia="Times New Roman" w:cs="Calibri"/>
                <w:bCs/>
                <w:color w:val="000000"/>
                <w:sz w:val="20"/>
                <w:lang w:eastAsia="sk-SK"/>
              </w:rPr>
            </w:pPr>
            <w:r w:rsidRPr="009E77EC">
              <w:rPr>
                <w:rFonts w:eastAsia="Times New Roman" w:cs="Calibri"/>
                <w:bCs/>
                <w:color w:val="000000"/>
                <w:sz w:val="20"/>
                <w:lang w:eastAsia="sk-SK"/>
              </w:rPr>
              <w:t>MŠ, 1. stupeň ZŠ, 2. stupeň ZŠ</w:t>
            </w:r>
          </w:p>
        </w:tc>
        <w:tc>
          <w:tcPr>
            <w:tcW w:w="1559" w:type="dxa"/>
            <w:shd w:val="clear" w:color="auto" w:fill="auto"/>
            <w:vAlign w:val="center"/>
          </w:tcPr>
          <w:p w14:paraId="2146B03D" w14:textId="77777777" w:rsidR="00827B00" w:rsidRPr="009E77EC" w:rsidRDefault="00827B00" w:rsidP="003B7808">
            <w:pPr>
              <w:spacing w:after="0" w:line="240" w:lineRule="auto"/>
              <w:jc w:val="center"/>
              <w:rPr>
                <w:rFonts w:eastAsia="Times New Roman" w:cs="Calibri"/>
                <w:bCs/>
                <w:color w:val="000000"/>
                <w:sz w:val="20"/>
                <w:lang w:eastAsia="sk-SK"/>
              </w:rPr>
            </w:pPr>
            <w:r w:rsidRPr="009E77EC">
              <w:rPr>
                <w:rFonts w:eastAsia="Times New Roman" w:cs="Calibri"/>
                <w:bCs/>
                <w:color w:val="000000"/>
                <w:sz w:val="20"/>
                <w:lang w:eastAsia="sk-SK"/>
              </w:rPr>
              <w:t>0</w:t>
            </w:r>
          </w:p>
        </w:tc>
        <w:tc>
          <w:tcPr>
            <w:tcW w:w="1239" w:type="dxa"/>
            <w:shd w:val="clear" w:color="auto" w:fill="auto"/>
            <w:vAlign w:val="center"/>
          </w:tcPr>
          <w:p w14:paraId="2FE3E05D" w14:textId="77777777" w:rsidR="00827B00" w:rsidRPr="009E77EC" w:rsidRDefault="00827B00" w:rsidP="003B7808">
            <w:pPr>
              <w:spacing w:after="0" w:line="240" w:lineRule="auto"/>
              <w:jc w:val="center"/>
              <w:rPr>
                <w:rFonts w:eastAsia="Times New Roman" w:cs="Calibri"/>
                <w:bCs/>
                <w:color w:val="000000"/>
                <w:sz w:val="20"/>
                <w:lang w:eastAsia="sk-SK"/>
              </w:rPr>
            </w:pPr>
          </w:p>
        </w:tc>
      </w:tr>
      <w:tr w:rsidR="00827B00" w:rsidRPr="0020638D" w14:paraId="40EFC367" w14:textId="77777777" w:rsidTr="003B7808">
        <w:trPr>
          <w:trHeight w:val="227"/>
        </w:trPr>
        <w:tc>
          <w:tcPr>
            <w:tcW w:w="1413" w:type="dxa"/>
            <w:vMerge/>
            <w:shd w:val="clear" w:color="auto" w:fill="auto"/>
            <w:vAlign w:val="center"/>
          </w:tcPr>
          <w:p w14:paraId="627122C5" w14:textId="77777777" w:rsidR="00827B00" w:rsidRPr="009E77EC" w:rsidRDefault="00827B00" w:rsidP="003B7808">
            <w:pPr>
              <w:spacing w:after="0" w:line="240" w:lineRule="auto"/>
              <w:jc w:val="center"/>
              <w:rPr>
                <w:rFonts w:eastAsia="Times New Roman" w:cs="Calibri"/>
                <w:b/>
                <w:bCs/>
                <w:color w:val="000000"/>
                <w:sz w:val="20"/>
                <w:lang w:eastAsia="sk-SK"/>
              </w:rPr>
            </w:pPr>
          </w:p>
        </w:tc>
        <w:tc>
          <w:tcPr>
            <w:tcW w:w="7371" w:type="dxa"/>
            <w:shd w:val="clear" w:color="auto" w:fill="auto"/>
            <w:vAlign w:val="center"/>
          </w:tcPr>
          <w:p w14:paraId="294FDCB3" w14:textId="77777777" w:rsidR="00827B00" w:rsidRPr="009E77EC" w:rsidRDefault="00827B00" w:rsidP="003B7808">
            <w:pPr>
              <w:spacing w:after="0" w:line="240" w:lineRule="auto"/>
              <w:rPr>
                <w:rFonts w:eastAsia="Symbol" w:cs="Calibri"/>
                <w:bCs/>
                <w:color w:val="000000"/>
                <w:sz w:val="20"/>
                <w:lang w:eastAsia="sk-SK"/>
              </w:rPr>
            </w:pPr>
            <w:r w:rsidRPr="009E77EC">
              <w:rPr>
                <w:rFonts w:eastAsia="Symbol" w:cs="Calibri"/>
                <w:bCs/>
                <w:color w:val="000000"/>
                <w:sz w:val="20"/>
                <w:lang w:eastAsia="sk-SK"/>
              </w:rPr>
              <w:t>Poruchy emocionality, správania a učenia u žiakov</w:t>
            </w:r>
          </w:p>
        </w:tc>
        <w:tc>
          <w:tcPr>
            <w:tcW w:w="2410" w:type="dxa"/>
            <w:shd w:val="clear" w:color="auto" w:fill="auto"/>
            <w:vAlign w:val="center"/>
          </w:tcPr>
          <w:p w14:paraId="77D27F8A" w14:textId="77777777" w:rsidR="00827B00" w:rsidRPr="009E77EC" w:rsidRDefault="00827B00" w:rsidP="003B7808">
            <w:pPr>
              <w:spacing w:after="0" w:line="240" w:lineRule="auto"/>
              <w:rPr>
                <w:rFonts w:eastAsia="Times New Roman" w:cs="Calibri"/>
                <w:bCs/>
                <w:color w:val="000000"/>
                <w:sz w:val="20"/>
                <w:lang w:eastAsia="sk-SK"/>
              </w:rPr>
            </w:pPr>
            <w:r w:rsidRPr="009E77EC">
              <w:rPr>
                <w:rFonts w:eastAsia="Times New Roman" w:cs="Calibri"/>
                <w:bCs/>
                <w:color w:val="000000"/>
                <w:sz w:val="20"/>
                <w:lang w:eastAsia="sk-SK"/>
              </w:rPr>
              <w:t>1. stupeň ZŠ, 2. stupeň ZŠ</w:t>
            </w:r>
          </w:p>
        </w:tc>
        <w:tc>
          <w:tcPr>
            <w:tcW w:w="1559" w:type="dxa"/>
            <w:shd w:val="clear" w:color="auto" w:fill="auto"/>
            <w:vAlign w:val="center"/>
          </w:tcPr>
          <w:p w14:paraId="6173BA08" w14:textId="77777777" w:rsidR="00827B00" w:rsidRPr="009E77EC" w:rsidRDefault="00827B00" w:rsidP="003B7808">
            <w:pPr>
              <w:spacing w:after="0" w:line="240" w:lineRule="auto"/>
              <w:jc w:val="center"/>
              <w:rPr>
                <w:rFonts w:eastAsia="Times New Roman" w:cs="Calibri"/>
                <w:bCs/>
                <w:color w:val="000000"/>
                <w:sz w:val="20"/>
                <w:lang w:eastAsia="sk-SK"/>
              </w:rPr>
            </w:pPr>
            <w:r>
              <w:rPr>
                <w:rFonts w:eastAsia="Times New Roman" w:cs="Calibri"/>
                <w:bCs/>
                <w:color w:val="000000"/>
                <w:sz w:val="20"/>
                <w:lang w:eastAsia="sk-SK"/>
              </w:rPr>
              <w:t>0</w:t>
            </w:r>
          </w:p>
        </w:tc>
        <w:tc>
          <w:tcPr>
            <w:tcW w:w="1239" w:type="dxa"/>
            <w:shd w:val="clear" w:color="auto" w:fill="auto"/>
            <w:vAlign w:val="center"/>
          </w:tcPr>
          <w:p w14:paraId="2FB4AA23" w14:textId="77777777" w:rsidR="00827B00" w:rsidRPr="009E77EC" w:rsidRDefault="00827B00" w:rsidP="003B7808">
            <w:pPr>
              <w:spacing w:after="0" w:line="240" w:lineRule="auto"/>
              <w:jc w:val="center"/>
              <w:rPr>
                <w:rFonts w:eastAsia="Times New Roman" w:cs="Calibri"/>
                <w:bCs/>
                <w:color w:val="000000"/>
                <w:sz w:val="20"/>
                <w:lang w:eastAsia="sk-SK"/>
              </w:rPr>
            </w:pPr>
          </w:p>
        </w:tc>
      </w:tr>
      <w:tr w:rsidR="00827B00" w:rsidRPr="0020638D" w14:paraId="088CD064" w14:textId="77777777" w:rsidTr="003B7808">
        <w:trPr>
          <w:trHeight w:val="227"/>
        </w:trPr>
        <w:tc>
          <w:tcPr>
            <w:tcW w:w="1413" w:type="dxa"/>
            <w:vMerge w:val="restart"/>
            <w:shd w:val="clear" w:color="auto" w:fill="auto"/>
            <w:vAlign w:val="center"/>
            <w:hideMark/>
          </w:tcPr>
          <w:p w14:paraId="49281338" w14:textId="77777777" w:rsidR="00827B00" w:rsidRPr="009E77EC" w:rsidRDefault="00827B00" w:rsidP="003B7808">
            <w:pPr>
              <w:spacing w:after="0" w:line="240" w:lineRule="auto"/>
              <w:jc w:val="center"/>
              <w:rPr>
                <w:rFonts w:eastAsia="Times New Roman" w:cs="Calibri"/>
                <w:b/>
                <w:bCs/>
                <w:color w:val="000000"/>
                <w:sz w:val="20"/>
                <w:lang w:eastAsia="sk-SK"/>
              </w:rPr>
            </w:pPr>
            <w:r w:rsidRPr="009E77EC">
              <w:rPr>
                <w:rFonts w:eastAsia="Times New Roman" w:cs="Calibri"/>
                <w:b/>
                <w:bCs/>
                <w:color w:val="000000"/>
                <w:sz w:val="20"/>
                <w:lang w:eastAsia="sk-SK"/>
              </w:rPr>
              <w:t>Sociálne znevýhodnené prostredie</w:t>
            </w:r>
          </w:p>
        </w:tc>
        <w:tc>
          <w:tcPr>
            <w:tcW w:w="7371" w:type="dxa"/>
            <w:shd w:val="clear" w:color="auto" w:fill="auto"/>
            <w:vAlign w:val="center"/>
            <w:hideMark/>
          </w:tcPr>
          <w:p w14:paraId="21762C27" w14:textId="77777777" w:rsidR="00827B00" w:rsidRPr="009E77EC" w:rsidRDefault="00827B00" w:rsidP="003B7808">
            <w:pPr>
              <w:spacing w:after="0" w:line="240" w:lineRule="auto"/>
              <w:rPr>
                <w:rFonts w:eastAsia="Times New Roman" w:cs="Calibri"/>
                <w:bCs/>
                <w:color w:val="000000"/>
                <w:sz w:val="20"/>
                <w:lang w:eastAsia="sk-SK"/>
              </w:rPr>
            </w:pPr>
            <w:r w:rsidRPr="009E77EC">
              <w:rPr>
                <w:rFonts w:eastAsia="Symbol" w:cs="Calibri"/>
                <w:bCs/>
                <w:color w:val="000000"/>
                <w:sz w:val="20"/>
                <w:lang w:eastAsia="sk-SK"/>
              </w:rPr>
              <w:t>Aplikácia metód aktívneho učenia sa detí a žiakov zo sociálne znevýhodneného prostredia s dôrazom na rozvíjanie psychomotorických schopností a zručností</w:t>
            </w:r>
          </w:p>
        </w:tc>
        <w:tc>
          <w:tcPr>
            <w:tcW w:w="2410" w:type="dxa"/>
            <w:shd w:val="clear" w:color="auto" w:fill="auto"/>
            <w:vAlign w:val="center"/>
            <w:hideMark/>
          </w:tcPr>
          <w:p w14:paraId="4D88A1B8" w14:textId="77777777" w:rsidR="00827B00" w:rsidRPr="009E77EC" w:rsidRDefault="00827B00" w:rsidP="003B7808">
            <w:pPr>
              <w:spacing w:after="0" w:line="240" w:lineRule="auto"/>
              <w:rPr>
                <w:rFonts w:eastAsia="Times New Roman" w:cs="Calibri"/>
                <w:bCs/>
                <w:color w:val="000000"/>
                <w:sz w:val="20"/>
                <w:lang w:eastAsia="sk-SK"/>
              </w:rPr>
            </w:pPr>
            <w:r w:rsidRPr="009E77EC">
              <w:rPr>
                <w:rFonts w:eastAsia="Times New Roman" w:cs="Calibri"/>
                <w:bCs/>
                <w:color w:val="000000"/>
                <w:sz w:val="20"/>
                <w:lang w:eastAsia="sk-SK"/>
              </w:rPr>
              <w:t>1. stupeň ZŠ, 2. stupeň ZŠ</w:t>
            </w:r>
          </w:p>
        </w:tc>
        <w:tc>
          <w:tcPr>
            <w:tcW w:w="1559" w:type="dxa"/>
            <w:shd w:val="clear" w:color="auto" w:fill="auto"/>
            <w:vAlign w:val="center"/>
          </w:tcPr>
          <w:p w14:paraId="0DB0E99C" w14:textId="77777777" w:rsidR="00827B00" w:rsidRPr="009E77EC" w:rsidRDefault="00827B00" w:rsidP="003B7808">
            <w:pPr>
              <w:spacing w:after="0" w:line="240" w:lineRule="auto"/>
              <w:jc w:val="center"/>
              <w:rPr>
                <w:rFonts w:eastAsia="Times New Roman" w:cs="Calibri"/>
                <w:bCs/>
                <w:color w:val="000000"/>
                <w:sz w:val="20"/>
                <w:lang w:eastAsia="sk-SK"/>
              </w:rPr>
            </w:pPr>
            <w:r w:rsidRPr="009E77EC">
              <w:rPr>
                <w:rFonts w:eastAsia="Times New Roman" w:cs="Calibri"/>
                <w:bCs/>
                <w:color w:val="000000"/>
                <w:sz w:val="20"/>
                <w:lang w:eastAsia="sk-SK"/>
              </w:rPr>
              <w:t>108</w:t>
            </w:r>
          </w:p>
        </w:tc>
        <w:tc>
          <w:tcPr>
            <w:tcW w:w="1239" w:type="dxa"/>
            <w:shd w:val="clear" w:color="auto" w:fill="auto"/>
            <w:vAlign w:val="center"/>
          </w:tcPr>
          <w:p w14:paraId="56FED060" w14:textId="77777777" w:rsidR="00827B00" w:rsidRPr="009E77EC" w:rsidRDefault="00827B00" w:rsidP="003B7808">
            <w:pPr>
              <w:spacing w:after="0" w:line="240" w:lineRule="auto"/>
              <w:jc w:val="center"/>
              <w:rPr>
                <w:rFonts w:eastAsia="Times New Roman" w:cs="Calibri"/>
                <w:bCs/>
                <w:color w:val="000000"/>
                <w:sz w:val="20"/>
                <w:lang w:eastAsia="sk-SK"/>
              </w:rPr>
            </w:pPr>
          </w:p>
        </w:tc>
      </w:tr>
      <w:tr w:rsidR="00827B00" w:rsidRPr="0020638D" w14:paraId="25F37DB0" w14:textId="77777777" w:rsidTr="003B7808">
        <w:trPr>
          <w:trHeight w:val="227"/>
        </w:trPr>
        <w:tc>
          <w:tcPr>
            <w:tcW w:w="1413" w:type="dxa"/>
            <w:vMerge/>
            <w:shd w:val="clear" w:color="auto" w:fill="auto"/>
            <w:vAlign w:val="center"/>
          </w:tcPr>
          <w:p w14:paraId="1D2333D1" w14:textId="77777777" w:rsidR="00827B00" w:rsidRPr="009E77EC" w:rsidRDefault="00827B00" w:rsidP="003B7808">
            <w:pPr>
              <w:spacing w:after="0" w:line="240" w:lineRule="auto"/>
              <w:rPr>
                <w:rFonts w:eastAsia="Times New Roman" w:cs="Calibri"/>
                <w:b/>
                <w:bCs/>
                <w:color w:val="000000"/>
                <w:sz w:val="20"/>
                <w:lang w:eastAsia="sk-SK"/>
              </w:rPr>
            </w:pPr>
          </w:p>
        </w:tc>
        <w:tc>
          <w:tcPr>
            <w:tcW w:w="7371" w:type="dxa"/>
            <w:shd w:val="clear" w:color="auto" w:fill="auto"/>
            <w:vAlign w:val="center"/>
            <w:hideMark/>
          </w:tcPr>
          <w:p w14:paraId="6A87A833" w14:textId="77777777" w:rsidR="00827B00" w:rsidRPr="009E77EC" w:rsidRDefault="00827B00" w:rsidP="003B7808">
            <w:pPr>
              <w:spacing w:after="0" w:line="240" w:lineRule="auto"/>
              <w:rPr>
                <w:rFonts w:eastAsia="Times New Roman" w:cs="Calibri"/>
                <w:bCs/>
                <w:color w:val="000000"/>
                <w:sz w:val="20"/>
                <w:lang w:eastAsia="sk-SK"/>
              </w:rPr>
            </w:pPr>
            <w:r w:rsidRPr="009E77EC">
              <w:rPr>
                <w:rFonts w:eastAsia="Symbol" w:cs="Calibri"/>
                <w:bCs/>
                <w:color w:val="000000"/>
                <w:sz w:val="20"/>
                <w:lang w:eastAsia="sk-SK"/>
              </w:rPr>
              <w:t xml:space="preserve">Inovačné vzdelávanie </w:t>
            </w:r>
            <w:r>
              <w:rPr>
                <w:rFonts w:eastAsia="Symbol" w:cs="Calibri"/>
                <w:bCs/>
                <w:color w:val="000000"/>
                <w:sz w:val="20"/>
                <w:lang w:eastAsia="sk-SK"/>
              </w:rPr>
              <w:t>pedagogických</w:t>
            </w:r>
            <w:r w:rsidRPr="009E77EC">
              <w:rPr>
                <w:rFonts w:eastAsia="Symbol" w:cs="Calibri"/>
                <w:bCs/>
                <w:color w:val="000000"/>
                <w:sz w:val="20"/>
                <w:lang w:eastAsia="sk-SK"/>
              </w:rPr>
              <w:t xml:space="preserve"> zamestnancov škôl v oblasti inkluzívneho vzdelávania detí z</w:t>
            </w:r>
            <w:r>
              <w:rPr>
                <w:rFonts w:eastAsia="Symbol" w:cs="Calibri"/>
                <w:bCs/>
                <w:color w:val="000000"/>
                <w:sz w:val="20"/>
                <w:lang w:eastAsia="sk-SK"/>
              </w:rPr>
              <w:t> marginalizovaných rómskych komunít</w:t>
            </w:r>
          </w:p>
        </w:tc>
        <w:tc>
          <w:tcPr>
            <w:tcW w:w="2410" w:type="dxa"/>
            <w:shd w:val="clear" w:color="auto" w:fill="auto"/>
            <w:vAlign w:val="center"/>
            <w:hideMark/>
          </w:tcPr>
          <w:p w14:paraId="714C8D1B" w14:textId="77777777" w:rsidR="00827B00" w:rsidRPr="009E77EC" w:rsidRDefault="00827B00" w:rsidP="003B7808">
            <w:pPr>
              <w:spacing w:after="0" w:line="240" w:lineRule="auto"/>
              <w:rPr>
                <w:rFonts w:eastAsia="Times New Roman" w:cs="Calibri"/>
                <w:bCs/>
                <w:color w:val="000000"/>
                <w:sz w:val="20"/>
                <w:lang w:eastAsia="sk-SK"/>
              </w:rPr>
            </w:pPr>
            <w:r w:rsidRPr="009E77EC">
              <w:rPr>
                <w:rFonts w:eastAsia="Times New Roman" w:cs="Calibri"/>
                <w:bCs/>
                <w:color w:val="000000"/>
                <w:sz w:val="20"/>
                <w:lang w:eastAsia="sk-SK"/>
              </w:rPr>
              <w:t>MŠ</w:t>
            </w:r>
          </w:p>
        </w:tc>
        <w:tc>
          <w:tcPr>
            <w:tcW w:w="1559" w:type="dxa"/>
            <w:shd w:val="clear" w:color="auto" w:fill="auto"/>
            <w:vAlign w:val="center"/>
          </w:tcPr>
          <w:p w14:paraId="20CE4A2F" w14:textId="77777777" w:rsidR="00827B00" w:rsidRPr="009E77EC" w:rsidRDefault="00827B00" w:rsidP="003B7808">
            <w:pPr>
              <w:spacing w:after="0" w:line="240" w:lineRule="auto"/>
              <w:jc w:val="center"/>
              <w:rPr>
                <w:rFonts w:eastAsia="Times New Roman" w:cs="Calibri"/>
                <w:bCs/>
                <w:color w:val="000000"/>
                <w:sz w:val="20"/>
                <w:lang w:eastAsia="sk-SK"/>
              </w:rPr>
            </w:pPr>
            <w:r>
              <w:rPr>
                <w:rFonts w:eastAsia="Times New Roman" w:cs="Calibri"/>
                <w:bCs/>
                <w:color w:val="000000"/>
                <w:sz w:val="20"/>
                <w:lang w:eastAsia="sk-SK"/>
              </w:rPr>
              <w:t>0</w:t>
            </w:r>
          </w:p>
        </w:tc>
        <w:tc>
          <w:tcPr>
            <w:tcW w:w="1239" w:type="dxa"/>
            <w:shd w:val="clear" w:color="auto" w:fill="auto"/>
            <w:vAlign w:val="center"/>
          </w:tcPr>
          <w:p w14:paraId="2500ACD7" w14:textId="77777777" w:rsidR="00827B00" w:rsidRPr="009E77EC" w:rsidRDefault="00827B00" w:rsidP="003B7808">
            <w:pPr>
              <w:spacing w:after="0" w:line="240" w:lineRule="auto"/>
              <w:jc w:val="center"/>
              <w:rPr>
                <w:rFonts w:eastAsia="Times New Roman" w:cs="Calibri"/>
                <w:bCs/>
                <w:color w:val="000000"/>
                <w:sz w:val="20"/>
                <w:lang w:eastAsia="sk-SK"/>
              </w:rPr>
            </w:pPr>
          </w:p>
        </w:tc>
      </w:tr>
      <w:tr w:rsidR="00827B00" w:rsidRPr="0020638D" w14:paraId="0613A35D" w14:textId="77777777" w:rsidTr="003B7808">
        <w:trPr>
          <w:trHeight w:val="227"/>
        </w:trPr>
        <w:tc>
          <w:tcPr>
            <w:tcW w:w="1413" w:type="dxa"/>
            <w:vMerge/>
            <w:shd w:val="clear" w:color="auto" w:fill="auto"/>
            <w:vAlign w:val="center"/>
          </w:tcPr>
          <w:p w14:paraId="09298AA7" w14:textId="77777777" w:rsidR="00827B00" w:rsidRPr="009E77EC" w:rsidRDefault="00827B00" w:rsidP="003B7808">
            <w:pPr>
              <w:spacing w:after="0" w:line="240" w:lineRule="auto"/>
              <w:rPr>
                <w:rFonts w:eastAsia="Times New Roman" w:cs="Calibri"/>
                <w:b/>
                <w:bCs/>
                <w:color w:val="000000"/>
                <w:sz w:val="20"/>
                <w:lang w:eastAsia="sk-SK"/>
              </w:rPr>
            </w:pPr>
          </w:p>
        </w:tc>
        <w:tc>
          <w:tcPr>
            <w:tcW w:w="7371" w:type="dxa"/>
            <w:shd w:val="clear" w:color="auto" w:fill="auto"/>
            <w:vAlign w:val="center"/>
            <w:hideMark/>
          </w:tcPr>
          <w:p w14:paraId="19B8E79C" w14:textId="77777777" w:rsidR="00827B00" w:rsidRPr="009E77EC" w:rsidRDefault="00827B00" w:rsidP="003B7808">
            <w:pPr>
              <w:spacing w:after="0" w:line="240" w:lineRule="auto"/>
              <w:rPr>
                <w:rFonts w:eastAsia="Times New Roman" w:cs="Calibri"/>
                <w:bCs/>
                <w:color w:val="000000"/>
                <w:sz w:val="20"/>
                <w:lang w:eastAsia="sk-SK"/>
              </w:rPr>
            </w:pPr>
            <w:r w:rsidRPr="009E77EC">
              <w:rPr>
                <w:rFonts w:eastAsia="Symbol" w:cs="Calibri"/>
                <w:bCs/>
                <w:color w:val="000000"/>
                <w:sz w:val="20"/>
                <w:lang w:eastAsia="sk-SK"/>
              </w:rPr>
              <w:t>Interkultúrne vzdelávanie v základnej škole so žiakmi z rómskych komunít</w:t>
            </w:r>
          </w:p>
        </w:tc>
        <w:tc>
          <w:tcPr>
            <w:tcW w:w="2410" w:type="dxa"/>
            <w:shd w:val="clear" w:color="auto" w:fill="auto"/>
            <w:vAlign w:val="center"/>
            <w:hideMark/>
          </w:tcPr>
          <w:p w14:paraId="659A1553" w14:textId="77777777" w:rsidR="00827B00" w:rsidRPr="009E77EC" w:rsidRDefault="00827B00" w:rsidP="003B7808">
            <w:pPr>
              <w:spacing w:after="0" w:line="240" w:lineRule="auto"/>
              <w:rPr>
                <w:rFonts w:eastAsia="Times New Roman" w:cs="Calibri"/>
                <w:bCs/>
                <w:color w:val="000000"/>
                <w:sz w:val="20"/>
                <w:lang w:eastAsia="sk-SK"/>
              </w:rPr>
            </w:pPr>
            <w:r w:rsidRPr="009E77EC">
              <w:rPr>
                <w:rFonts w:eastAsia="Times New Roman" w:cs="Calibri"/>
                <w:bCs/>
                <w:color w:val="000000"/>
                <w:sz w:val="20"/>
                <w:lang w:eastAsia="sk-SK"/>
              </w:rPr>
              <w:t>1. stupeň ZŠ</w:t>
            </w:r>
          </w:p>
        </w:tc>
        <w:tc>
          <w:tcPr>
            <w:tcW w:w="1559" w:type="dxa"/>
            <w:shd w:val="clear" w:color="auto" w:fill="auto"/>
            <w:vAlign w:val="center"/>
          </w:tcPr>
          <w:p w14:paraId="63310032" w14:textId="77777777" w:rsidR="00827B00" w:rsidRPr="009E77EC" w:rsidRDefault="00827B00" w:rsidP="003B7808">
            <w:pPr>
              <w:spacing w:after="0" w:line="240" w:lineRule="auto"/>
              <w:jc w:val="center"/>
              <w:rPr>
                <w:rFonts w:eastAsia="Times New Roman" w:cs="Calibri"/>
                <w:bCs/>
                <w:color w:val="000000"/>
                <w:sz w:val="20"/>
                <w:lang w:eastAsia="sk-SK"/>
              </w:rPr>
            </w:pPr>
            <w:r>
              <w:rPr>
                <w:rFonts w:eastAsia="Times New Roman" w:cs="Calibri"/>
                <w:bCs/>
                <w:color w:val="000000"/>
                <w:sz w:val="20"/>
                <w:lang w:eastAsia="sk-SK"/>
              </w:rPr>
              <w:t>0</w:t>
            </w:r>
          </w:p>
        </w:tc>
        <w:tc>
          <w:tcPr>
            <w:tcW w:w="1239" w:type="dxa"/>
            <w:shd w:val="clear" w:color="auto" w:fill="auto"/>
            <w:vAlign w:val="center"/>
          </w:tcPr>
          <w:p w14:paraId="69E15F58" w14:textId="77777777" w:rsidR="00827B00" w:rsidRPr="009E77EC" w:rsidRDefault="00827B00" w:rsidP="003B7808">
            <w:pPr>
              <w:spacing w:after="0" w:line="240" w:lineRule="auto"/>
              <w:jc w:val="center"/>
              <w:rPr>
                <w:rFonts w:eastAsia="Times New Roman" w:cs="Calibri"/>
                <w:bCs/>
                <w:color w:val="000000"/>
                <w:sz w:val="20"/>
                <w:lang w:eastAsia="sk-SK"/>
              </w:rPr>
            </w:pPr>
          </w:p>
        </w:tc>
      </w:tr>
      <w:tr w:rsidR="00827B00" w:rsidRPr="0020638D" w14:paraId="7914E6F3" w14:textId="77777777" w:rsidTr="003B7808">
        <w:trPr>
          <w:trHeight w:val="227"/>
        </w:trPr>
        <w:tc>
          <w:tcPr>
            <w:tcW w:w="1413" w:type="dxa"/>
            <w:vMerge/>
            <w:shd w:val="clear" w:color="auto" w:fill="auto"/>
            <w:vAlign w:val="center"/>
          </w:tcPr>
          <w:p w14:paraId="3A6EEBF2" w14:textId="77777777" w:rsidR="00827B00" w:rsidRPr="009E77EC" w:rsidRDefault="00827B00" w:rsidP="003B7808">
            <w:pPr>
              <w:spacing w:after="0" w:line="240" w:lineRule="auto"/>
              <w:rPr>
                <w:rFonts w:eastAsia="Times New Roman" w:cs="Calibri"/>
                <w:b/>
                <w:bCs/>
                <w:color w:val="000000"/>
                <w:sz w:val="20"/>
                <w:lang w:eastAsia="sk-SK"/>
              </w:rPr>
            </w:pPr>
          </w:p>
        </w:tc>
        <w:tc>
          <w:tcPr>
            <w:tcW w:w="7371" w:type="dxa"/>
            <w:shd w:val="clear" w:color="auto" w:fill="auto"/>
            <w:vAlign w:val="center"/>
            <w:hideMark/>
          </w:tcPr>
          <w:p w14:paraId="4C5E6F7E" w14:textId="77777777" w:rsidR="00827B00" w:rsidRPr="009E77EC" w:rsidRDefault="00827B00" w:rsidP="003B7808">
            <w:pPr>
              <w:spacing w:after="0" w:line="240" w:lineRule="auto"/>
              <w:rPr>
                <w:rFonts w:eastAsia="Times New Roman" w:cs="Calibri"/>
                <w:bCs/>
                <w:color w:val="000000"/>
                <w:sz w:val="20"/>
                <w:lang w:eastAsia="sk-SK"/>
              </w:rPr>
            </w:pPr>
            <w:r w:rsidRPr="009E77EC">
              <w:rPr>
                <w:rFonts w:eastAsia="Symbol" w:cs="Calibri"/>
                <w:bCs/>
                <w:color w:val="000000"/>
                <w:sz w:val="20"/>
                <w:lang w:eastAsia="sk-SK"/>
              </w:rPr>
              <w:t>Poznávaním žiakov z marginalizovaných komunít k vytváraniu priaznivého edukačného prostredia a odbúravaniu predsudkov</w:t>
            </w:r>
          </w:p>
        </w:tc>
        <w:tc>
          <w:tcPr>
            <w:tcW w:w="2410" w:type="dxa"/>
            <w:shd w:val="clear" w:color="auto" w:fill="auto"/>
            <w:vAlign w:val="center"/>
            <w:hideMark/>
          </w:tcPr>
          <w:p w14:paraId="5DE800AD" w14:textId="77777777" w:rsidR="00827B00" w:rsidRPr="009E77EC" w:rsidRDefault="00827B00" w:rsidP="003B7808">
            <w:pPr>
              <w:spacing w:after="0" w:line="240" w:lineRule="auto"/>
              <w:rPr>
                <w:rFonts w:eastAsia="Times New Roman" w:cs="Calibri"/>
                <w:bCs/>
                <w:color w:val="000000"/>
                <w:sz w:val="20"/>
                <w:lang w:eastAsia="sk-SK"/>
              </w:rPr>
            </w:pPr>
            <w:r w:rsidRPr="009E77EC">
              <w:rPr>
                <w:rFonts w:eastAsia="Times New Roman" w:cs="Calibri"/>
                <w:bCs/>
                <w:color w:val="000000"/>
                <w:sz w:val="20"/>
                <w:lang w:eastAsia="sk-SK"/>
              </w:rPr>
              <w:t>1. stupeň ZŠ, 2. stupeň ZŠ</w:t>
            </w:r>
          </w:p>
        </w:tc>
        <w:tc>
          <w:tcPr>
            <w:tcW w:w="1559" w:type="dxa"/>
            <w:shd w:val="clear" w:color="auto" w:fill="auto"/>
            <w:vAlign w:val="center"/>
          </w:tcPr>
          <w:p w14:paraId="286EC6C3" w14:textId="77777777" w:rsidR="00827B00" w:rsidRPr="009E77EC" w:rsidRDefault="00827B00" w:rsidP="003B7808">
            <w:pPr>
              <w:spacing w:after="0" w:line="240" w:lineRule="auto"/>
              <w:jc w:val="center"/>
              <w:rPr>
                <w:rFonts w:eastAsia="Times New Roman" w:cs="Calibri"/>
                <w:bCs/>
                <w:color w:val="000000"/>
                <w:sz w:val="20"/>
                <w:lang w:eastAsia="sk-SK"/>
              </w:rPr>
            </w:pPr>
            <w:r w:rsidRPr="009E77EC">
              <w:rPr>
                <w:rFonts w:eastAsia="Times New Roman" w:cs="Calibri"/>
                <w:bCs/>
                <w:color w:val="000000"/>
                <w:sz w:val="20"/>
                <w:lang w:eastAsia="sk-SK"/>
              </w:rPr>
              <w:t>24</w:t>
            </w:r>
          </w:p>
        </w:tc>
        <w:tc>
          <w:tcPr>
            <w:tcW w:w="1239" w:type="dxa"/>
            <w:shd w:val="clear" w:color="auto" w:fill="auto"/>
            <w:vAlign w:val="center"/>
          </w:tcPr>
          <w:p w14:paraId="3CCBFF7B" w14:textId="77777777" w:rsidR="00827B00" w:rsidRPr="009E77EC" w:rsidRDefault="00827B00" w:rsidP="003B7808">
            <w:pPr>
              <w:spacing w:after="0" w:line="240" w:lineRule="auto"/>
              <w:jc w:val="center"/>
              <w:rPr>
                <w:rFonts w:eastAsia="Times New Roman" w:cs="Calibri"/>
                <w:bCs/>
                <w:color w:val="000000"/>
                <w:sz w:val="20"/>
                <w:lang w:eastAsia="sk-SK"/>
              </w:rPr>
            </w:pPr>
          </w:p>
        </w:tc>
      </w:tr>
      <w:tr w:rsidR="00827B00" w:rsidRPr="0020638D" w14:paraId="5587F648" w14:textId="77777777" w:rsidTr="003B7808">
        <w:trPr>
          <w:trHeight w:val="217"/>
        </w:trPr>
        <w:tc>
          <w:tcPr>
            <w:tcW w:w="1413" w:type="dxa"/>
            <w:vMerge/>
            <w:shd w:val="clear" w:color="auto" w:fill="auto"/>
            <w:vAlign w:val="center"/>
          </w:tcPr>
          <w:p w14:paraId="31ECED3E" w14:textId="77777777" w:rsidR="00827B00" w:rsidRPr="009E77EC" w:rsidRDefault="00827B00" w:rsidP="003B7808">
            <w:pPr>
              <w:spacing w:after="0" w:line="240" w:lineRule="auto"/>
              <w:rPr>
                <w:rFonts w:eastAsia="Times New Roman" w:cs="Calibri"/>
                <w:b/>
                <w:bCs/>
                <w:color w:val="000000"/>
                <w:sz w:val="20"/>
                <w:lang w:eastAsia="sk-SK"/>
              </w:rPr>
            </w:pPr>
          </w:p>
        </w:tc>
        <w:tc>
          <w:tcPr>
            <w:tcW w:w="7371" w:type="dxa"/>
            <w:shd w:val="clear" w:color="auto" w:fill="auto"/>
            <w:vAlign w:val="center"/>
          </w:tcPr>
          <w:p w14:paraId="69562BD4" w14:textId="77777777" w:rsidR="00827B00" w:rsidRPr="009E77EC" w:rsidRDefault="00827B00" w:rsidP="003B7808">
            <w:pPr>
              <w:spacing w:after="0"/>
              <w:rPr>
                <w:sz w:val="20"/>
              </w:rPr>
            </w:pPr>
            <w:r w:rsidRPr="009E77EC">
              <w:rPr>
                <w:sz w:val="20"/>
              </w:rPr>
              <w:t>Učiteľ - tvorca učebných zdrojov pre žiakov z marginalizovaných rómskych komunít, 1067/2013</w:t>
            </w:r>
          </w:p>
        </w:tc>
        <w:tc>
          <w:tcPr>
            <w:tcW w:w="2410" w:type="dxa"/>
            <w:shd w:val="clear" w:color="auto" w:fill="auto"/>
            <w:vAlign w:val="center"/>
          </w:tcPr>
          <w:p w14:paraId="29DC48B9" w14:textId="77777777" w:rsidR="00827B00" w:rsidRPr="009E77EC" w:rsidRDefault="00827B00" w:rsidP="003B7808">
            <w:pPr>
              <w:spacing w:after="0"/>
              <w:rPr>
                <w:sz w:val="20"/>
              </w:rPr>
            </w:pPr>
            <w:r w:rsidRPr="009E77EC">
              <w:rPr>
                <w:sz w:val="20"/>
              </w:rPr>
              <w:t>1. stupeň ZŠ, 2. stupeň ZŠ</w:t>
            </w:r>
          </w:p>
        </w:tc>
        <w:tc>
          <w:tcPr>
            <w:tcW w:w="1559" w:type="dxa"/>
            <w:shd w:val="clear" w:color="auto" w:fill="auto"/>
            <w:vAlign w:val="center"/>
          </w:tcPr>
          <w:p w14:paraId="02DE997B" w14:textId="77777777" w:rsidR="00827B00" w:rsidRPr="009E77EC" w:rsidRDefault="00827B00" w:rsidP="003B7808">
            <w:pPr>
              <w:spacing w:after="0"/>
              <w:jc w:val="center"/>
              <w:rPr>
                <w:sz w:val="20"/>
              </w:rPr>
            </w:pPr>
            <w:r w:rsidRPr="009E77EC">
              <w:rPr>
                <w:sz w:val="20"/>
              </w:rPr>
              <w:t>15</w:t>
            </w:r>
          </w:p>
        </w:tc>
        <w:tc>
          <w:tcPr>
            <w:tcW w:w="1239" w:type="dxa"/>
            <w:shd w:val="clear" w:color="auto" w:fill="auto"/>
            <w:vAlign w:val="center"/>
          </w:tcPr>
          <w:p w14:paraId="30B2C6F8" w14:textId="77777777" w:rsidR="00827B00" w:rsidRPr="009E77EC" w:rsidRDefault="00827B00" w:rsidP="003B7808">
            <w:pPr>
              <w:spacing w:after="0"/>
              <w:rPr>
                <w:sz w:val="20"/>
              </w:rPr>
            </w:pPr>
          </w:p>
        </w:tc>
      </w:tr>
      <w:tr w:rsidR="00827B00" w:rsidRPr="0020638D" w14:paraId="552C9DD2" w14:textId="77777777" w:rsidTr="003B7808">
        <w:trPr>
          <w:trHeight w:val="227"/>
        </w:trPr>
        <w:tc>
          <w:tcPr>
            <w:tcW w:w="1413" w:type="dxa"/>
            <w:vMerge w:val="restart"/>
            <w:shd w:val="clear" w:color="auto" w:fill="auto"/>
            <w:vAlign w:val="center"/>
            <w:hideMark/>
          </w:tcPr>
          <w:p w14:paraId="5BFFFEFF" w14:textId="77777777" w:rsidR="00827B00" w:rsidRPr="009E77EC" w:rsidRDefault="00827B00" w:rsidP="003B7808">
            <w:pPr>
              <w:spacing w:after="0" w:line="240" w:lineRule="auto"/>
              <w:jc w:val="center"/>
              <w:rPr>
                <w:rFonts w:eastAsia="Times New Roman" w:cs="Calibri"/>
                <w:b/>
                <w:bCs/>
                <w:color w:val="000000"/>
                <w:sz w:val="20"/>
                <w:lang w:eastAsia="sk-SK"/>
              </w:rPr>
            </w:pPr>
            <w:r w:rsidRPr="009E77EC">
              <w:rPr>
                <w:rFonts w:eastAsia="Times New Roman" w:cs="Calibri"/>
                <w:b/>
                <w:bCs/>
                <w:color w:val="000000"/>
                <w:sz w:val="20"/>
                <w:lang w:eastAsia="sk-SK"/>
              </w:rPr>
              <w:t>Inklúzia a vzdelávanie detí so ŠVVP všeobecne</w:t>
            </w:r>
          </w:p>
        </w:tc>
        <w:tc>
          <w:tcPr>
            <w:tcW w:w="7371" w:type="dxa"/>
            <w:shd w:val="clear" w:color="auto" w:fill="auto"/>
            <w:vAlign w:val="center"/>
            <w:hideMark/>
          </w:tcPr>
          <w:p w14:paraId="06E66A7C" w14:textId="77777777" w:rsidR="00827B00" w:rsidRPr="009E77EC" w:rsidRDefault="00827B00" w:rsidP="003B7808">
            <w:pPr>
              <w:spacing w:after="0" w:line="240" w:lineRule="auto"/>
              <w:rPr>
                <w:rFonts w:eastAsia="Times New Roman" w:cs="Calibri"/>
                <w:bCs/>
                <w:color w:val="000000"/>
                <w:sz w:val="20"/>
                <w:lang w:eastAsia="sk-SK"/>
              </w:rPr>
            </w:pPr>
            <w:r w:rsidRPr="009E77EC">
              <w:rPr>
                <w:rFonts w:eastAsia="Symbol" w:cs="Calibri"/>
                <w:bCs/>
                <w:color w:val="000000"/>
                <w:sz w:val="20"/>
                <w:lang w:eastAsia="sk-SK"/>
              </w:rPr>
              <w:t>Ako úspešne vzdelávať žiakov so špeciálnymi výchovno-vzdelávacími potrebami v bežnej triede základnej školy metódou združovania predstáv pre primárne vzdelávanie</w:t>
            </w:r>
          </w:p>
        </w:tc>
        <w:tc>
          <w:tcPr>
            <w:tcW w:w="2410" w:type="dxa"/>
            <w:shd w:val="clear" w:color="auto" w:fill="auto"/>
            <w:vAlign w:val="center"/>
            <w:hideMark/>
          </w:tcPr>
          <w:p w14:paraId="508FD576" w14:textId="77777777" w:rsidR="00827B00" w:rsidRPr="009E77EC" w:rsidRDefault="00827B00" w:rsidP="003B7808">
            <w:pPr>
              <w:spacing w:after="0" w:line="240" w:lineRule="auto"/>
              <w:rPr>
                <w:rFonts w:eastAsia="Times New Roman" w:cs="Calibri"/>
                <w:bCs/>
                <w:color w:val="000000"/>
                <w:sz w:val="20"/>
                <w:lang w:eastAsia="sk-SK"/>
              </w:rPr>
            </w:pPr>
            <w:r w:rsidRPr="009E77EC">
              <w:rPr>
                <w:rFonts w:eastAsia="Times New Roman" w:cs="Calibri"/>
                <w:bCs/>
                <w:color w:val="000000"/>
                <w:sz w:val="20"/>
                <w:lang w:eastAsia="sk-SK"/>
              </w:rPr>
              <w:t>1. stupeň ZŠ</w:t>
            </w:r>
          </w:p>
        </w:tc>
        <w:tc>
          <w:tcPr>
            <w:tcW w:w="1559" w:type="dxa"/>
            <w:shd w:val="clear" w:color="auto" w:fill="auto"/>
            <w:vAlign w:val="center"/>
          </w:tcPr>
          <w:p w14:paraId="38FCF579" w14:textId="77777777" w:rsidR="00827B00" w:rsidRPr="009E77EC" w:rsidRDefault="00827B00" w:rsidP="003B7808">
            <w:pPr>
              <w:spacing w:after="0" w:line="240" w:lineRule="auto"/>
              <w:jc w:val="center"/>
              <w:rPr>
                <w:rFonts w:eastAsia="Times New Roman" w:cs="Calibri"/>
                <w:bCs/>
                <w:color w:val="000000"/>
                <w:sz w:val="20"/>
                <w:lang w:eastAsia="sk-SK"/>
              </w:rPr>
            </w:pPr>
            <w:r>
              <w:rPr>
                <w:rFonts w:eastAsia="Times New Roman" w:cs="Calibri"/>
                <w:bCs/>
                <w:color w:val="000000"/>
                <w:sz w:val="20"/>
                <w:lang w:eastAsia="sk-SK"/>
              </w:rPr>
              <w:t>0</w:t>
            </w:r>
          </w:p>
        </w:tc>
        <w:tc>
          <w:tcPr>
            <w:tcW w:w="1239" w:type="dxa"/>
            <w:shd w:val="clear" w:color="auto" w:fill="auto"/>
            <w:vAlign w:val="center"/>
          </w:tcPr>
          <w:p w14:paraId="5B61E21F" w14:textId="77777777" w:rsidR="00827B00" w:rsidRPr="009E77EC" w:rsidRDefault="00827B00" w:rsidP="003B7808">
            <w:pPr>
              <w:spacing w:after="0" w:line="240" w:lineRule="auto"/>
              <w:jc w:val="center"/>
              <w:rPr>
                <w:rFonts w:eastAsia="Times New Roman" w:cs="Calibri"/>
                <w:bCs/>
                <w:color w:val="000000"/>
                <w:sz w:val="20"/>
                <w:lang w:eastAsia="sk-SK"/>
              </w:rPr>
            </w:pPr>
          </w:p>
        </w:tc>
      </w:tr>
      <w:tr w:rsidR="00827B00" w:rsidRPr="0020638D" w14:paraId="49A2DDD0" w14:textId="77777777" w:rsidTr="003B7808">
        <w:trPr>
          <w:trHeight w:val="227"/>
        </w:trPr>
        <w:tc>
          <w:tcPr>
            <w:tcW w:w="1413" w:type="dxa"/>
            <w:vMerge/>
            <w:shd w:val="clear" w:color="auto" w:fill="auto"/>
            <w:vAlign w:val="center"/>
          </w:tcPr>
          <w:p w14:paraId="2BAF63F9" w14:textId="77777777" w:rsidR="00827B00" w:rsidRPr="009E77EC" w:rsidRDefault="00827B00" w:rsidP="003B7808">
            <w:pPr>
              <w:spacing w:after="0" w:line="240" w:lineRule="auto"/>
              <w:rPr>
                <w:rFonts w:eastAsia="Times New Roman" w:cs="Calibri"/>
                <w:b/>
                <w:bCs/>
                <w:color w:val="000000"/>
                <w:sz w:val="20"/>
                <w:lang w:eastAsia="sk-SK"/>
              </w:rPr>
            </w:pPr>
          </w:p>
        </w:tc>
        <w:tc>
          <w:tcPr>
            <w:tcW w:w="7371" w:type="dxa"/>
            <w:shd w:val="clear" w:color="auto" w:fill="auto"/>
            <w:vAlign w:val="center"/>
            <w:hideMark/>
          </w:tcPr>
          <w:p w14:paraId="029B0367" w14:textId="77777777" w:rsidR="00827B00" w:rsidRPr="009E77EC" w:rsidRDefault="00827B00" w:rsidP="003B7808">
            <w:pPr>
              <w:spacing w:after="0" w:line="240" w:lineRule="auto"/>
              <w:rPr>
                <w:rFonts w:eastAsia="Times New Roman" w:cs="Calibri"/>
                <w:bCs/>
                <w:color w:val="000000"/>
                <w:sz w:val="20"/>
                <w:lang w:eastAsia="sk-SK"/>
              </w:rPr>
            </w:pPr>
            <w:r w:rsidRPr="009E77EC">
              <w:rPr>
                <w:rFonts w:eastAsia="Symbol" w:cs="Calibri"/>
                <w:bCs/>
                <w:color w:val="000000"/>
                <w:sz w:val="20"/>
                <w:lang w:eastAsia="sk-SK"/>
              </w:rPr>
              <w:t>Autokoretívne učebné pomôcky vo výchove a vzdelávaní detí predškolského veku</w:t>
            </w:r>
          </w:p>
        </w:tc>
        <w:tc>
          <w:tcPr>
            <w:tcW w:w="2410" w:type="dxa"/>
            <w:shd w:val="clear" w:color="auto" w:fill="auto"/>
            <w:vAlign w:val="center"/>
            <w:hideMark/>
          </w:tcPr>
          <w:p w14:paraId="0FDE45E3" w14:textId="77777777" w:rsidR="00827B00" w:rsidRPr="009E77EC" w:rsidRDefault="00827B00" w:rsidP="003B7808">
            <w:pPr>
              <w:spacing w:after="0" w:line="240" w:lineRule="auto"/>
              <w:rPr>
                <w:rFonts w:eastAsia="Times New Roman" w:cs="Calibri"/>
                <w:bCs/>
                <w:color w:val="000000"/>
                <w:sz w:val="20"/>
                <w:lang w:eastAsia="sk-SK"/>
              </w:rPr>
            </w:pPr>
            <w:r w:rsidRPr="009E77EC">
              <w:rPr>
                <w:rFonts w:eastAsia="Times New Roman" w:cs="Calibri"/>
                <w:bCs/>
                <w:color w:val="000000"/>
                <w:sz w:val="20"/>
                <w:lang w:eastAsia="sk-SK"/>
              </w:rPr>
              <w:t>MŠ</w:t>
            </w:r>
          </w:p>
        </w:tc>
        <w:tc>
          <w:tcPr>
            <w:tcW w:w="1559" w:type="dxa"/>
            <w:shd w:val="clear" w:color="auto" w:fill="auto"/>
            <w:vAlign w:val="center"/>
          </w:tcPr>
          <w:p w14:paraId="5D2BC32C" w14:textId="77777777" w:rsidR="00827B00" w:rsidRPr="009E77EC" w:rsidRDefault="00827B00" w:rsidP="003B7808">
            <w:pPr>
              <w:spacing w:after="0" w:line="240" w:lineRule="auto"/>
              <w:jc w:val="center"/>
              <w:rPr>
                <w:rFonts w:eastAsia="Times New Roman" w:cs="Calibri"/>
                <w:bCs/>
                <w:color w:val="000000"/>
                <w:sz w:val="20"/>
                <w:lang w:eastAsia="sk-SK"/>
              </w:rPr>
            </w:pPr>
            <w:r>
              <w:rPr>
                <w:rFonts w:eastAsia="Times New Roman" w:cs="Calibri"/>
                <w:bCs/>
                <w:color w:val="000000"/>
                <w:sz w:val="20"/>
                <w:lang w:eastAsia="sk-SK"/>
              </w:rPr>
              <w:t>0</w:t>
            </w:r>
          </w:p>
        </w:tc>
        <w:tc>
          <w:tcPr>
            <w:tcW w:w="1239" w:type="dxa"/>
            <w:shd w:val="clear" w:color="auto" w:fill="auto"/>
            <w:vAlign w:val="center"/>
          </w:tcPr>
          <w:p w14:paraId="72EB582E" w14:textId="77777777" w:rsidR="00827B00" w:rsidRPr="009E77EC" w:rsidRDefault="00827B00" w:rsidP="003B7808">
            <w:pPr>
              <w:spacing w:after="0" w:line="240" w:lineRule="auto"/>
              <w:jc w:val="center"/>
              <w:rPr>
                <w:rFonts w:eastAsia="Times New Roman" w:cs="Calibri"/>
                <w:bCs/>
                <w:color w:val="000000"/>
                <w:sz w:val="20"/>
                <w:lang w:eastAsia="sk-SK"/>
              </w:rPr>
            </w:pPr>
          </w:p>
        </w:tc>
      </w:tr>
      <w:tr w:rsidR="00827B00" w:rsidRPr="0020638D" w14:paraId="697069BF" w14:textId="77777777" w:rsidTr="003B7808">
        <w:trPr>
          <w:trHeight w:val="227"/>
        </w:trPr>
        <w:tc>
          <w:tcPr>
            <w:tcW w:w="1413" w:type="dxa"/>
            <w:vMerge/>
            <w:shd w:val="clear" w:color="auto" w:fill="auto"/>
            <w:vAlign w:val="center"/>
          </w:tcPr>
          <w:p w14:paraId="08244D35" w14:textId="77777777" w:rsidR="00827B00" w:rsidRPr="009E77EC" w:rsidRDefault="00827B00" w:rsidP="003B7808">
            <w:pPr>
              <w:spacing w:after="0" w:line="240" w:lineRule="auto"/>
              <w:rPr>
                <w:rFonts w:eastAsia="Times New Roman" w:cs="Calibri"/>
                <w:b/>
                <w:bCs/>
                <w:color w:val="000000"/>
                <w:sz w:val="20"/>
                <w:lang w:eastAsia="sk-SK"/>
              </w:rPr>
            </w:pPr>
          </w:p>
        </w:tc>
        <w:tc>
          <w:tcPr>
            <w:tcW w:w="7371" w:type="dxa"/>
            <w:shd w:val="clear" w:color="auto" w:fill="auto"/>
            <w:vAlign w:val="center"/>
            <w:hideMark/>
          </w:tcPr>
          <w:p w14:paraId="73B29928" w14:textId="77777777" w:rsidR="00827B00" w:rsidRPr="009E77EC" w:rsidRDefault="00827B00" w:rsidP="003B7808">
            <w:pPr>
              <w:spacing w:after="0" w:line="240" w:lineRule="auto"/>
              <w:rPr>
                <w:rFonts w:eastAsia="Times New Roman" w:cs="Calibri"/>
                <w:bCs/>
                <w:color w:val="000000"/>
                <w:sz w:val="20"/>
                <w:lang w:eastAsia="sk-SK"/>
              </w:rPr>
            </w:pPr>
            <w:r w:rsidRPr="009E77EC">
              <w:rPr>
                <w:rFonts w:eastAsia="Symbol" w:cs="Calibri"/>
                <w:bCs/>
                <w:color w:val="000000"/>
                <w:sz w:val="20"/>
                <w:lang w:eastAsia="sk-SK"/>
              </w:rPr>
              <w:t>Inklúzia - alebo škola pre všetkých (od vízie a filozofie, k transformácii a procesom evalvácie)</w:t>
            </w:r>
          </w:p>
        </w:tc>
        <w:tc>
          <w:tcPr>
            <w:tcW w:w="2410" w:type="dxa"/>
            <w:shd w:val="clear" w:color="auto" w:fill="auto"/>
            <w:vAlign w:val="center"/>
            <w:hideMark/>
          </w:tcPr>
          <w:p w14:paraId="25AA887F" w14:textId="77777777" w:rsidR="00827B00" w:rsidRPr="009E77EC" w:rsidRDefault="00827B00" w:rsidP="003B7808">
            <w:pPr>
              <w:spacing w:after="0" w:line="240" w:lineRule="auto"/>
              <w:rPr>
                <w:rFonts w:eastAsia="Times New Roman" w:cs="Calibri"/>
                <w:bCs/>
                <w:color w:val="000000"/>
                <w:sz w:val="20"/>
                <w:lang w:eastAsia="sk-SK"/>
              </w:rPr>
            </w:pPr>
            <w:r w:rsidRPr="009E77EC">
              <w:rPr>
                <w:rFonts w:eastAsia="Times New Roman" w:cs="Calibri"/>
                <w:bCs/>
                <w:color w:val="000000"/>
                <w:sz w:val="20"/>
                <w:lang w:eastAsia="sk-SK"/>
              </w:rPr>
              <w:t>1. stupeň ZŠ, 2. stupeň ZŠ</w:t>
            </w:r>
          </w:p>
        </w:tc>
        <w:tc>
          <w:tcPr>
            <w:tcW w:w="1559" w:type="dxa"/>
            <w:shd w:val="clear" w:color="auto" w:fill="auto"/>
            <w:vAlign w:val="center"/>
          </w:tcPr>
          <w:p w14:paraId="1A433872" w14:textId="77777777" w:rsidR="00827B00" w:rsidRPr="009E77EC" w:rsidRDefault="00827B00" w:rsidP="003B7808">
            <w:pPr>
              <w:spacing w:after="0" w:line="240" w:lineRule="auto"/>
              <w:jc w:val="center"/>
              <w:rPr>
                <w:rFonts w:eastAsia="Times New Roman" w:cs="Calibri"/>
                <w:bCs/>
                <w:color w:val="000000"/>
                <w:sz w:val="20"/>
                <w:lang w:eastAsia="sk-SK"/>
              </w:rPr>
            </w:pPr>
            <w:r>
              <w:rPr>
                <w:rFonts w:eastAsia="Times New Roman" w:cs="Calibri"/>
                <w:bCs/>
                <w:color w:val="000000"/>
                <w:sz w:val="20"/>
                <w:lang w:eastAsia="sk-SK"/>
              </w:rPr>
              <w:t>0</w:t>
            </w:r>
          </w:p>
        </w:tc>
        <w:tc>
          <w:tcPr>
            <w:tcW w:w="1239" w:type="dxa"/>
            <w:shd w:val="clear" w:color="auto" w:fill="auto"/>
            <w:vAlign w:val="center"/>
          </w:tcPr>
          <w:p w14:paraId="1FD92BC2" w14:textId="77777777" w:rsidR="00827B00" w:rsidRPr="009E77EC" w:rsidRDefault="00827B00" w:rsidP="003B7808">
            <w:pPr>
              <w:spacing w:after="0" w:line="240" w:lineRule="auto"/>
              <w:jc w:val="center"/>
              <w:rPr>
                <w:rFonts w:eastAsia="Times New Roman" w:cs="Calibri"/>
                <w:bCs/>
                <w:color w:val="000000"/>
                <w:sz w:val="20"/>
                <w:lang w:eastAsia="sk-SK"/>
              </w:rPr>
            </w:pPr>
          </w:p>
        </w:tc>
      </w:tr>
      <w:tr w:rsidR="00827B00" w:rsidRPr="0020638D" w14:paraId="71C72DF5" w14:textId="77777777" w:rsidTr="003B7808">
        <w:trPr>
          <w:trHeight w:val="227"/>
        </w:trPr>
        <w:tc>
          <w:tcPr>
            <w:tcW w:w="1413" w:type="dxa"/>
            <w:vMerge/>
            <w:shd w:val="clear" w:color="auto" w:fill="auto"/>
            <w:vAlign w:val="center"/>
          </w:tcPr>
          <w:p w14:paraId="1895AE0A" w14:textId="77777777" w:rsidR="00827B00" w:rsidRPr="0020638D" w:rsidRDefault="00827B00" w:rsidP="003B7808">
            <w:pPr>
              <w:spacing w:after="0" w:line="240" w:lineRule="auto"/>
              <w:rPr>
                <w:rFonts w:eastAsia="Times New Roman" w:cs="Calibri"/>
                <w:b/>
                <w:bCs/>
                <w:color w:val="000000"/>
                <w:lang w:eastAsia="sk-SK"/>
              </w:rPr>
            </w:pPr>
          </w:p>
        </w:tc>
        <w:tc>
          <w:tcPr>
            <w:tcW w:w="7371" w:type="dxa"/>
            <w:shd w:val="clear" w:color="auto" w:fill="auto"/>
            <w:vAlign w:val="center"/>
            <w:hideMark/>
          </w:tcPr>
          <w:p w14:paraId="41426D74" w14:textId="77777777" w:rsidR="00827B00" w:rsidRPr="009E77EC" w:rsidRDefault="00827B00" w:rsidP="003B7808">
            <w:pPr>
              <w:spacing w:after="0" w:line="240" w:lineRule="auto"/>
              <w:rPr>
                <w:rFonts w:eastAsia="Times New Roman" w:cs="Calibri"/>
                <w:bCs/>
                <w:color w:val="000000"/>
                <w:sz w:val="20"/>
                <w:lang w:eastAsia="sk-SK"/>
              </w:rPr>
            </w:pPr>
            <w:r w:rsidRPr="009E77EC">
              <w:rPr>
                <w:rFonts w:eastAsia="Symbol" w:cs="Calibri"/>
                <w:bCs/>
                <w:color w:val="000000"/>
                <w:sz w:val="20"/>
                <w:lang w:eastAsia="sk-SK"/>
              </w:rPr>
              <w:t>Inkluzívna škola v procese tvorby, reflexie a akceptácie</w:t>
            </w:r>
          </w:p>
        </w:tc>
        <w:tc>
          <w:tcPr>
            <w:tcW w:w="2410" w:type="dxa"/>
            <w:shd w:val="clear" w:color="auto" w:fill="auto"/>
            <w:vAlign w:val="center"/>
            <w:hideMark/>
          </w:tcPr>
          <w:p w14:paraId="2C6DE158" w14:textId="77777777" w:rsidR="00827B00" w:rsidRPr="009E77EC" w:rsidRDefault="00827B00" w:rsidP="003B7808">
            <w:pPr>
              <w:spacing w:after="0" w:line="240" w:lineRule="auto"/>
              <w:rPr>
                <w:rFonts w:eastAsia="Times New Roman" w:cs="Calibri"/>
                <w:bCs/>
                <w:color w:val="000000"/>
                <w:sz w:val="20"/>
                <w:lang w:eastAsia="sk-SK"/>
              </w:rPr>
            </w:pPr>
            <w:r w:rsidRPr="009E77EC">
              <w:rPr>
                <w:rFonts w:eastAsia="Times New Roman" w:cs="Calibri"/>
                <w:bCs/>
                <w:color w:val="000000"/>
                <w:sz w:val="20"/>
                <w:lang w:eastAsia="sk-SK"/>
              </w:rPr>
              <w:t>MŠ, 1. stupeň ZŠ, 2. stupeň ZŠ</w:t>
            </w:r>
          </w:p>
        </w:tc>
        <w:tc>
          <w:tcPr>
            <w:tcW w:w="1559" w:type="dxa"/>
            <w:vAlign w:val="center"/>
          </w:tcPr>
          <w:p w14:paraId="0E6ABD85" w14:textId="77777777" w:rsidR="00827B00" w:rsidRPr="009E77EC" w:rsidRDefault="00827B00" w:rsidP="003B7808">
            <w:pPr>
              <w:spacing w:after="0" w:line="240" w:lineRule="auto"/>
              <w:jc w:val="center"/>
              <w:rPr>
                <w:rFonts w:eastAsia="Times New Roman" w:cs="Calibri"/>
                <w:bCs/>
                <w:color w:val="000000"/>
                <w:sz w:val="20"/>
                <w:lang w:eastAsia="sk-SK"/>
              </w:rPr>
            </w:pPr>
            <w:r>
              <w:rPr>
                <w:rFonts w:eastAsia="Times New Roman" w:cs="Calibri"/>
                <w:bCs/>
                <w:color w:val="000000"/>
                <w:sz w:val="20"/>
                <w:lang w:eastAsia="sk-SK"/>
              </w:rPr>
              <w:t>0</w:t>
            </w:r>
          </w:p>
        </w:tc>
        <w:tc>
          <w:tcPr>
            <w:tcW w:w="1239" w:type="dxa"/>
            <w:vAlign w:val="center"/>
          </w:tcPr>
          <w:p w14:paraId="2FF554E9" w14:textId="77777777" w:rsidR="00827B00" w:rsidRPr="009E77EC" w:rsidRDefault="00827B00" w:rsidP="003B7808">
            <w:pPr>
              <w:spacing w:after="0" w:line="240" w:lineRule="auto"/>
              <w:jc w:val="center"/>
              <w:rPr>
                <w:rFonts w:eastAsia="Times New Roman" w:cs="Calibri"/>
                <w:bCs/>
                <w:color w:val="000000"/>
                <w:sz w:val="20"/>
                <w:lang w:eastAsia="sk-SK"/>
              </w:rPr>
            </w:pPr>
          </w:p>
        </w:tc>
      </w:tr>
      <w:tr w:rsidR="00827B00" w:rsidRPr="0020638D" w14:paraId="60FD6F06" w14:textId="77777777" w:rsidTr="003B7808">
        <w:trPr>
          <w:trHeight w:val="227"/>
        </w:trPr>
        <w:tc>
          <w:tcPr>
            <w:tcW w:w="1413" w:type="dxa"/>
            <w:vMerge/>
            <w:shd w:val="clear" w:color="auto" w:fill="auto"/>
            <w:vAlign w:val="center"/>
          </w:tcPr>
          <w:p w14:paraId="013AFC81" w14:textId="77777777" w:rsidR="00827B00" w:rsidRPr="0020638D" w:rsidRDefault="00827B00" w:rsidP="003B7808">
            <w:pPr>
              <w:spacing w:after="0" w:line="240" w:lineRule="auto"/>
              <w:rPr>
                <w:rFonts w:eastAsia="Times New Roman" w:cs="Calibri"/>
                <w:b/>
                <w:bCs/>
                <w:color w:val="000000"/>
                <w:lang w:eastAsia="sk-SK"/>
              </w:rPr>
            </w:pPr>
          </w:p>
        </w:tc>
        <w:tc>
          <w:tcPr>
            <w:tcW w:w="7371" w:type="dxa"/>
            <w:shd w:val="clear" w:color="auto" w:fill="auto"/>
            <w:vAlign w:val="center"/>
            <w:hideMark/>
          </w:tcPr>
          <w:p w14:paraId="4EF594F0" w14:textId="77777777" w:rsidR="00827B00" w:rsidRPr="009E77EC" w:rsidRDefault="00827B00" w:rsidP="003B7808">
            <w:pPr>
              <w:spacing w:after="0" w:line="240" w:lineRule="auto"/>
              <w:rPr>
                <w:rFonts w:eastAsia="Times New Roman" w:cs="Calibri"/>
                <w:bCs/>
                <w:color w:val="000000"/>
                <w:sz w:val="20"/>
                <w:lang w:eastAsia="sk-SK"/>
              </w:rPr>
            </w:pPr>
            <w:r w:rsidRPr="009E77EC">
              <w:rPr>
                <w:rFonts w:eastAsia="Symbol" w:cs="Calibri"/>
                <w:bCs/>
                <w:color w:val="000000"/>
                <w:sz w:val="20"/>
                <w:lang w:eastAsia="sk-SK"/>
              </w:rPr>
              <w:t>Inkluzívna trieda v procese tvorby, reflexie a akceptáci</w:t>
            </w:r>
          </w:p>
        </w:tc>
        <w:tc>
          <w:tcPr>
            <w:tcW w:w="2410" w:type="dxa"/>
            <w:shd w:val="clear" w:color="auto" w:fill="auto"/>
            <w:vAlign w:val="center"/>
            <w:hideMark/>
          </w:tcPr>
          <w:p w14:paraId="3E5F9E3F" w14:textId="77777777" w:rsidR="00827B00" w:rsidRPr="009E77EC" w:rsidRDefault="00827B00" w:rsidP="003B7808">
            <w:pPr>
              <w:spacing w:after="0" w:line="240" w:lineRule="auto"/>
              <w:rPr>
                <w:rFonts w:eastAsia="Times New Roman" w:cs="Calibri"/>
                <w:bCs/>
                <w:color w:val="000000"/>
                <w:sz w:val="20"/>
                <w:lang w:eastAsia="sk-SK"/>
              </w:rPr>
            </w:pPr>
            <w:r w:rsidRPr="009E77EC">
              <w:rPr>
                <w:rFonts w:eastAsia="Times New Roman" w:cs="Calibri"/>
                <w:bCs/>
                <w:color w:val="000000"/>
                <w:sz w:val="20"/>
                <w:lang w:eastAsia="sk-SK"/>
              </w:rPr>
              <w:t>1. stupeň ZŠ, 2. stupeň ZŠ</w:t>
            </w:r>
          </w:p>
        </w:tc>
        <w:tc>
          <w:tcPr>
            <w:tcW w:w="1559" w:type="dxa"/>
            <w:vAlign w:val="center"/>
          </w:tcPr>
          <w:p w14:paraId="75469AC5" w14:textId="77777777" w:rsidR="00827B00" w:rsidRPr="009E77EC" w:rsidRDefault="00827B00" w:rsidP="003B7808">
            <w:pPr>
              <w:spacing w:after="0" w:line="240" w:lineRule="auto"/>
              <w:jc w:val="center"/>
              <w:rPr>
                <w:rFonts w:eastAsia="Times New Roman" w:cs="Calibri"/>
                <w:bCs/>
                <w:color w:val="000000"/>
                <w:sz w:val="20"/>
                <w:lang w:eastAsia="sk-SK"/>
              </w:rPr>
            </w:pPr>
            <w:r>
              <w:rPr>
                <w:rFonts w:eastAsia="Times New Roman" w:cs="Calibri"/>
                <w:bCs/>
                <w:color w:val="000000"/>
                <w:sz w:val="20"/>
                <w:lang w:eastAsia="sk-SK"/>
              </w:rPr>
              <w:t>0</w:t>
            </w:r>
          </w:p>
        </w:tc>
        <w:tc>
          <w:tcPr>
            <w:tcW w:w="1239" w:type="dxa"/>
            <w:vAlign w:val="center"/>
          </w:tcPr>
          <w:p w14:paraId="30AC6723" w14:textId="77777777" w:rsidR="00827B00" w:rsidRPr="009E77EC" w:rsidRDefault="00827B00" w:rsidP="003B7808">
            <w:pPr>
              <w:spacing w:after="0" w:line="240" w:lineRule="auto"/>
              <w:jc w:val="center"/>
              <w:rPr>
                <w:rFonts w:eastAsia="Times New Roman" w:cs="Calibri"/>
                <w:bCs/>
                <w:color w:val="000000"/>
                <w:sz w:val="20"/>
                <w:lang w:eastAsia="sk-SK"/>
              </w:rPr>
            </w:pPr>
          </w:p>
        </w:tc>
      </w:tr>
      <w:tr w:rsidR="00827B00" w:rsidRPr="0020638D" w14:paraId="6754E6FE" w14:textId="77777777" w:rsidTr="003B7808">
        <w:trPr>
          <w:trHeight w:val="227"/>
        </w:trPr>
        <w:tc>
          <w:tcPr>
            <w:tcW w:w="1413" w:type="dxa"/>
            <w:vMerge/>
            <w:shd w:val="clear" w:color="auto" w:fill="auto"/>
            <w:vAlign w:val="center"/>
          </w:tcPr>
          <w:p w14:paraId="759913B1" w14:textId="77777777" w:rsidR="00827B00" w:rsidRPr="0020638D" w:rsidRDefault="00827B00" w:rsidP="003B7808">
            <w:pPr>
              <w:spacing w:after="0" w:line="240" w:lineRule="auto"/>
              <w:rPr>
                <w:rFonts w:eastAsia="Times New Roman" w:cs="Calibri"/>
                <w:b/>
                <w:bCs/>
                <w:color w:val="000000"/>
                <w:lang w:eastAsia="sk-SK"/>
              </w:rPr>
            </w:pPr>
          </w:p>
        </w:tc>
        <w:tc>
          <w:tcPr>
            <w:tcW w:w="7371" w:type="dxa"/>
            <w:shd w:val="clear" w:color="auto" w:fill="auto"/>
            <w:vAlign w:val="center"/>
            <w:hideMark/>
          </w:tcPr>
          <w:p w14:paraId="0C955754" w14:textId="77777777" w:rsidR="00827B00" w:rsidRPr="009E77EC" w:rsidRDefault="00827B00" w:rsidP="003B7808">
            <w:pPr>
              <w:spacing w:after="0" w:line="240" w:lineRule="auto"/>
              <w:rPr>
                <w:rFonts w:eastAsia="Times New Roman" w:cs="Calibri"/>
                <w:bCs/>
                <w:color w:val="000000"/>
                <w:sz w:val="20"/>
                <w:lang w:eastAsia="sk-SK"/>
              </w:rPr>
            </w:pPr>
            <w:r w:rsidRPr="009E77EC">
              <w:rPr>
                <w:rFonts w:eastAsia="Symbol" w:cs="Calibri"/>
                <w:bCs/>
                <w:color w:val="000000"/>
                <w:sz w:val="20"/>
                <w:lang w:eastAsia="sk-SK"/>
              </w:rPr>
              <w:t>Kooperatívne učenie a vyučovanie v kontexte tvorby inkluzívneho prostredia školy</w:t>
            </w:r>
          </w:p>
        </w:tc>
        <w:tc>
          <w:tcPr>
            <w:tcW w:w="2410" w:type="dxa"/>
            <w:shd w:val="clear" w:color="auto" w:fill="auto"/>
            <w:vAlign w:val="center"/>
            <w:hideMark/>
          </w:tcPr>
          <w:p w14:paraId="5843E5E4" w14:textId="77777777" w:rsidR="00827B00" w:rsidRPr="009E77EC" w:rsidRDefault="00827B00" w:rsidP="003B7808">
            <w:pPr>
              <w:spacing w:after="0" w:line="240" w:lineRule="auto"/>
              <w:rPr>
                <w:rFonts w:eastAsia="Times New Roman" w:cs="Calibri"/>
                <w:bCs/>
                <w:color w:val="000000"/>
                <w:sz w:val="20"/>
                <w:lang w:eastAsia="sk-SK"/>
              </w:rPr>
            </w:pPr>
            <w:r w:rsidRPr="009E77EC">
              <w:rPr>
                <w:rFonts w:eastAsia="Times New Roman" w:cs="Calibri"/>
                <w:bCs/>
                <w:color w:val="000000"/>
                <w:sz w:val="20"/>
                <w:lang w:eastAsia="sk-SK"/>
              </w:rPr>
              <w:t>1. stupeň ZŠ, 2. stupeň ZŠ</w:t>
            </w:r>
          </w:p>
        </w:tc>
        <w:tc>
          <w:tcPr>
            <w:tcW w:w="1559" w:type="dxa"/>
            <w:vAlign w:val="center"/>
          </w:tcPr>
          <w:p w14:paraId="3FD73465" w14:textId="77777777" w:rsidR="00827B00" w:rsidRPr="009E77EC" w:rsidRDefault="00827B00" w:rsidP="003B7808">
            <w:pPr>
              <w:spacing w:after="0" w:line="240" w:lineRule="auto"/>
              <w:jc w:val="center"/>
              <w:rPr>
                <w:rFonts w:eastAsia="Times New Roman" w:cs="Calibri"/>
                <w:bCs/>
                <w:color w:val="000000"/>
                <w:sz w:val="20"/>
                <w:lang w:eastAsia="sk-SK"/>
              </w:rPr>
            </w:pPr>
            <w:r w:rsidRPr="009E77EC">
              <w:rPr>
                <w:rFonts w:eastAsia="Times New Roman" w:cs="Calibri"/>
                <w:bCs/>
                <w:color w:val="000000"/>
                <w:sz w:val="20"/>
                <w:lang w:eastAsia="sk-SK"/>
              </w:rPr>
              <w:t>29</w:t>
            </w:r>
          </w:p>
        </w:tc>
        <w:tc>
          <w:tcPr>
            <w:tcW w:w="1239" w:type="dxa"/>
            <w:vAlign w:val="center"/>
          </w:tcPr>
          <w:p w14:paraId="3E01D4FE" w14:textId="77777777" w:rsidR="00827B00" w:rsidRPr="009E77EC" w:rsidRDefault="00827B00" w:rsidP="003B7808">
            <w:pPr>
              <w:spacing w:after="0" w:line="240" w:lineRule="auto"/>
              <w:jc w:val="center"/>
              <w:rPr>
                <w:rFonts w:eastAsia="Times New Roman" w:cs="Calibri"/>
                <w:bCs/>
                <w:color w:val="000000"/>
                <w:sz w:val="20"/>
                <w:lang w:eastAsia="sk-SK"/>
              </w:rPr>
            </w:pPr>
          </w:p>
        </w:tc>
      </w:tr>
      <w:tr w:rsidR="00827B00" w:rsidRPr="0020638D" w14:paraId="5739F44B" w14:textId="77777777" w:rsidTr="003B7808">
        <w:trPr>
          <w:trHeight w:val="227"/>
        </w:trPr>
        <w:tc>
          <w:tcPr>
            <w:tcW w:w="1413" w:type="dxa"/>
            <w:vMerge/>
            <w:shd w:val="clear" w:color="auto" w:fill="auto"/>
            <w:vAlign w:val="center"/>
          </w:tcPr>
          <w:p w14:paraId="3F2E8C7E" w14:textId="77777777" w:rsidR="00827B00" w:rsidRPr="0020638D" w:rsidRDefault="00827B00" w:rsidP="003B7808">
            <w:pPr>
              <w:spacing w:after="0" w:line="240" w:lineRule="auto"/>
              <w:rPr>
                <w:rFonts w:eastAsia="Times New Roman" w:cs="Calibri"/>
                <w:b/>
                <w:bCs/>
                <w:color w:val="000000"/>
                <w:lang w:eastAsia="sk-SK"/>
              </w:rPr>
            </w:pPr>
          </w:p>
        </w:tc>
        <w:tc>
          <w:tcPr>
            <w:tcW w:w="7371" w:type="dxa"/>
            <w:shd w:val="clear" w:color="auto" w:fill="auto"/>
            <w:vAlign w:val="center"/>
            <w:hideMark/>
          </w:tcPr>
          <w:p w14:paraId="77D09F07" w14:textId="77777777" w:rsidR="00827B00" w:rsidRPr="009E77EC" w:rsidRDefault="00827B00" w:rsidP="003B7808">
            <w:pPr>
              <w:spacing w:after="0" w:line="240" w:lineRule="auto"/>
              <w:rPr>
                <w:rFonts w:eastAsia="Times New Roman" w:cs="Calibri"/>
                <w:bCs/>
                <w:color w:val="000000"/>
                <w:sz w:val="20"/>
                <w:lang w:eastAsia="sk-SK"/>
              </w:rPr>
            </w:pPr>
            <w:r w:rsidRPr="009E77EC">
              <w:rPr>
                <w:rFonts w:eastAsia="Symbol" w:cs="Calibri"/>
                <w:bCs/>
                <w:color w:val="000000"/>
                <w:sz w:val="20"/>
                <w:lang w:eastAsia="sk-SK"/>
              </w:rPr>
              <w:t>Možnosti vizualizácie a jej implementácie do procesu učenia žiakov so špeciálnymi výchovno-vzdelávacími potrebami</w:t>
            </w:r>
          </w:p>
        </w:tc>
        <w:tc>
          <w:tcPr>
            <w:tcW w:w="2410" w:type="dxa"/>
            <w:shd w:val="clear" w:color="auto" w:fill="auto"/>
            <w:vAlign w:val="center"/>
            <w:hideMark/>
          </w:tcPr>
          <w:p w14:paraId="1971C6E8" w14:textId="77777777" w:rsidR="00827B00" w:rsidRPr="009E77EC" w:rsidRDefault="00827B00" w:rsidP="003B7808">
            <w:pPr>
              <w:spacing w:after="0" w:line="240" w:lineRule="auto"/>
              <w:rPr>
                <w:rFonts w:eastAsia="Times New Roman" w:cs="Calibri"/>
                <w:bCs/>
                <w:color w:val="000000"/>
                <w:sz w:val="20"/>
                <w:lang w:eastAsia="sk-SK"/>
              </w:rPr>
            </w:pPr>
            <w:r w:rsidRPr="009E77EC">
              <w:rPr>
                <w:rFonts w:eastAsia="Times New Roman" w:cs="Calibri"/>
                <w:bCs/>
                <w:color w:val="000000"/>
                <w:sz w:val="20"/>
                <w:lang w:eastAsia="sk-SK"/>
              </w:rPr>
              <w:t>1. stupeň ZŠ</w:t>
            </w:r>
          </w:p>
        </w:tc>
        <w:tc>
          <w:tcPr>
            <w:tcW w:w="1559" w:type="dxa"/>
            <w:vAlign w:val="center"/>
          </w:tcPr>
          <w:p w14:paraId="3CE87365" w14:textId="77777777" w:rsidR="00827B00" w:rsidRPr="009E77EC" w:rsidRDefault="00827B00" w:rsidP="003B7808">
            <w:pPr>
              <w:spacing w:after="0" w:line="240" w:lineRule="auto"/>
              <w:jc w:val="center"/>
              <w:rPr>
                <w:rFonts w:eastAsia="Times New Roman" w:cs="Calibri"/>
                <w:bCs/>
                <w:color w:val="000000"/>
                <w:sz w:val="20"/>
                <w:lang w:eastAsia="sk-SK"/>
              </w:rPr>
            </w:pPr>
            <w:r>
              <w:rPr>
                <w:rFonts w:eastAsia="Times New Roman" w:cs="Calibri"/>
                <w:bCs/>
                <w:color w:val="000000"/>
                <w:sz w:val="20"/>
                <w:lang w:eastAsia="sk-SK"/>
              </w:rPr>
              <w:t>0</w:t>
            </w:r>
          </w:p>
        </w:tc>
        <w:tc>
          <w:tcPr>
            <w:tcW w:w="1239" w:type="dxa"/>
            <w:vAlign w:val="center"/>
          </w:tcPr>
          <w:p w14:paraId="3C9FBD9D" w14:textId="77777777" w:rsidR="00827B00" w:rsidRPr="009E77EC" w:rsidRDefault="00827B00" w:rsidP="003B7808">
            <w:pPr>
              <w:spacing w:after="0" w:line="240" w:lineRule="auto"/>
              <w:jc w:val="center"/>
              <w:rPr>
                <w:rFonts w:eastAsia="Times New Roman" w:cs="Calibri"/>
                <w:bCs/>
                <w:color w:val="000000"/>
                <w:sz w:val="20"/>
                <w:lang w:eastAsia="sk-SK"/>
              </w:rPr>
            </w:pPr>
          </w:p>
        </w:tc>
      </w:tr>
      <w:tr w:rsidR="00827B00" w:rsidRPr="0020638D" w14:paraId="028BD2A4" w14:textId="77777777" w:rsidTr="003B7808">
        <w:trPr>
          <w:trHeight w:val="227"/>
        </w:trPr>
        <w:tc>
          <w:tcPr>
            <w:tcW w:w="1413" w:type="dxa"/>
            <w:vMerge/>
            <w:shd w:val="clear" w:color="auto" w:fill="auto"/>
            <w:vAlign w:val="center"/>
          </w:tcPr>
          <w:p w14:paraId="655DCD4A" w14:textId="77777777" w:rsidR="00827B00" w:rsidRPr="0020638D" w:rsidRDefault="00827B00" w:rsidP="003B7808">
            <w:pPr>
              <w:spacing w:after="0" w:line="240" w:lineRule="auto"/>
              <w:rPr>
                <w:rFonts w:eastAsia="Times New Roman" w:cs="Calibri"/>
                <w:b/>
                <w:bCs/>
                <w:color w:val="000000"/>
                <w:lang w:eastAsia="sk-SK"/>
              </w:rPr>
            </w:pPr>
          </w:p>
        </w:tc>
        <w:tc>
          <w:tcPr>
            <w:tcW w:w="7371" w:type="dxa"/>
            <w:shd w:val="clear" w:color="auto" w:fill="auto"/>
            <w:vAlign w:val="center"/>
            <w:hideMark/>
          </w:tcPr>
          <w:p w14:paraId="5A998D3D" w14:textId="77777777" w:rsidR="00827B00" w:rsidRPr="009E77EC" w:rsidRDefault="00827B00" w:rsidP="003B7808">
            <w:pPr>
              <w:spacing w:after="0" w:line="240" w:lineRule="auto"/>
              <w:rPr>
                <w:rFonts w:eastAsia="Times New Roman" w:cs="Calibri"/>
                <w:bCs/>
                <w:color w:val="000000"/>
                <w:sz w:val="20"/>
                <w:lang w:eastAsia="sk-SK"/>
              </w:rPr>
            </w:pPr>
            <w:r w:rsidRPr="009E77EC">
              <w:rPr>
                <w:rFonts w:eastAsia="Symbol" w:cs="Calibri"/>
                <w:bCs/>
                <w:color w:val="000000"/>
                <w:sz w:val="20"/>
                <w:lang w:eastAsia="sk-SK"/>
              </w:rPr>
              <w:t>Pedagogická diagnostika v praxi materskej školy</w:t>
            </w:r>
          </w:p>
        </w:tc>
        <w:tc>
          <w:tcPr>
            <w:tcW w:w="2410" w:type="dxa"/>
            <w:shd w:val="clear" w:color="auto" w:fill="auto"/>
            <w:vAlign w:val="center"/>
            <w:hideMark/>
          </w:tcPr>
          <w:p w14:paraId="4FCC3294" w14:textId="77777777" w:rsidR="00827B00" w:rsidRPr="009E77EC" w:rsidRDefault="00827B00" w:rsidP="003B7808">
            <w:pPr>
              <w:spacing w:after="0" w:line="240" w:lineRule="auto"/>
              <w:rPr>
                <w:rFonts w:eastAsia="Times New Roman" w:cs="Calibri"/>
                <w:bCs/>
                <w:color w:val="000000"/>
                <w:sz w:val="20"/>
                <w:lang w:eastAsia="sk-SK"/>
              </w:rPr>
            </w:pPr>
            <w:r w:rsidRPr="009E77EC">
              <w:rPr>
                <w:rFonts w:eastAsia="Times New Roman" w:cs="Calibri"/>
                <w:bCs/>
                <w:color w:val="000000"/>
                <w:sz w:val="20"/>
                <w:lang w:eastAsia="sk-SK"/>
              </w:rPr>
              <w:t>MŠ</w:t>
            </w:r>
          </w:p>
        </w:tc>
        <w:tc>
          <w:tcPr>
            <w:tcW w:w="1559" w:type="dxa"/>
            <w:vAlign w:val="center"/>
          </w:tcPr>
          <w:p w14:paraId="67BD344D" w14:textId="77777777" w:rsidR="00827B00" w:rsidRPr="009E77EC" w:rsidRDefault="00827B00" w:rsidP="003B7808">
            <w:pPr>
              <w:spacing w:after="0" w:line="240" w:lineRule="auto"/>
              <w:jc w:val="center"/>
              <w:rPr>
                <w:rFonts w:eastAsia="Times New Roman" w:cs="Calibri"/>
                <w:bCs/>
                <w:color w:val="000000"/>
                <w:sz w:val="20"/>
                <w:lang w:eastAsia="sk-SK"/>
              </w:rPr>
            </w:pPr>
            <w:r>
              <w:rPr>
                <w:rFonts w:eastAsia="Times New Roman" w:cs="Calibri"/>
                <w:bCs/>
                <w:color w:val="000000"/>
                <w:sz w:val="20"/>
                <w:lang w:eastAsia="sk-SK"/>
              </w:rPr>
              <w:t>0</w:t>
            </w:r>
          </w:p>
        </w:tc>
        <w:tc>
          <w:tcPr>
            <w:tcW w:w="1239" w:type="dxa"/>
            <w:vAlign w:val="center"/>
          </w:tcPr>
          <w:p w14:paraId="608C5453" w14:textId="77777777" w:rsidR="00827B00" w:rsidRPr="009E77EC" w:rsidRDefault="00827B00" w:rsidP="003B7808">
            <w:pPr>
              <w:spacing w:after="0" w:line="240" w:lineRule="auto"/>
              <w:jc w:val="center"/>
              <w:rPr>
                <w:rFonts w:eastAsia="Times New Roman" w:cs="Calibri"/>
                <w:bCs/>
                <w:color w:val="000000"/>
                <w:sz w:val="20"/>
                <w:lang w:eastAsia="sk-SK"/>
              </w:rPr>
            </w:pPr>
          </w:p>
        </w:tc>
      </w:tr>
      <w:tr w:rsidR="00827B00" w:rsidRPr="0020638D" w14:paraId="33593DE1" w14:textId="77777777" w:rsidTr="003B7808">
        <w:trPr>
          <w:trHeight w:val="227"/>
        </w:trPr>
        <w:tc>
          <w:tcPr>
            <w:tcW w:w="1413" w:type="dxa"/>
            <w:vMerge/>
            <w:shd w:val="clear" w:color="auto" w:fill="auto"/>
            <w:vAlign w:val="center"/>
          </w:tcPr>
          <w:p w14:paraId="491C92ED" w14:textId="77777777" w:rsidR="00827B00" w:rsidRPr="0020638D" w:rsidRDefault="00827B00" w:rsidP="003B7808">
            <w:pPr>
              <w:spacing w:after="0" w:line="240" w:lineRule="auto"/>
              <w:rPr>
                <w:rFonts w:eastAsia="Times New Roman" w:cs="Calibri"/>
                <w:b/>
                <w:bCs/>
                <w:color w:val="000000"/>
                <w:lang w:eastAsia="sk-SK"/>
              </w:rPr>
            </w:pPr>
          </w:p>
        </w:tc>
        <w:tc>
          <w:tcPr>
            <w:tcW w:w="7371" w:type="dxa"/>
            <w:shd w:val="clear" w:color="auto" w:fill="auto"/>
            <w:vAlign w:val="center"/>
          </w:tcPr>
          <w:p w14:paraId="683D7486" w14:textId="77777777" w:rsidR="00827B00" w:rsidRPr="009E77EC" w:rsidRDefault="00827B00" w:rsidP="003B7808">
            <w:pPr>
              <w:spacing w:after="0" w:line="240" w:lineRule="auto"/>
              <w:rPr>
                <w:rFonts w:eastAsia="Times New Roman" w:cs="Calibri"/>
                <w:bCs/>
                <w:color w:val="000000"/>
                <w:sz w:val="20"/>
                <w:lang w:eastAsia="sk-SK"/>
              </w:rPr>
            </w:pPr>
            <w:r w:rsidRPr="009E77EC">
              <w:rPr>
                <w:rFonts w:eastAsia="Symbol" w:cs="Calibri"/>
                <w:bCs/>
                <w:color w:val="000000"/>
                <w:sz w:val="20"/>
                <w:lang w:eastAsia="sk-SK"/>
              </w:rPr>
              <w:t>Spolupráca pedagogických zamestnancov a odborných zamestancov v systéme inkluzívnej podpory detí a žiakov</w:t>
            </w:r>
          </w:p>
        </w:tc>
        <w:tc>
          <w:tcPr>
            <w:tcW w:w="2410" w:type="dxa"/>
            <w:shd w:val="clear" w:color="auto" w:fill="auto"/>
            <w:vAlign w:val="center"/>
          </w:tcPr>
          <w:p w14:paraId="18AC3523" w14:textId="77777777" w:rsidR="00827B00" w:rsidRPr="009E77EC" w:rsidRDefault="00827B00" w:rsidP="003B7808">
            <w:pPr>
              <w:spacing w:after="0" w:line="240" w:lineRule="auto"/>
              <w:rPr>
                <w:rFonts w:eastAsia="Times New Roman" w:cs="Calibri"/>
                <w:bCs/>
                <w:color w:val="000000"/>
                <w:sz w:val="20"/>
                <w:lang w:eastAsia="sk-SK"/>
              </w:rPr>
            </w:pPr>
            <w:r w:rsidRPr="009E77EC">
              <w:rPr>
                <w:rFonts w:eastAsia="Times New Roman" w:cs="Calibri"/>
                <w:bCs/>
                <w:color w:val="000000"/>
                <w:sz w:val="20"/>
                <w:lang w:eastAsia="sk-SK"/>
              </w:rPr>
              <w:t>MŠ, 1. stupeň ZŠ, 2. stupeň ZŠ</w:t>
            </w:r>
          </w:p>
        </w:tc>
        <w:tc>
          <w:tcPr>
            <w:tcW w:w="1559" w:type="dxa"/>
            <w:vAlign w:val="center"/>
          </w:tcPr>
          <w:p w14:paraId="217F4E3E" w14:textId="77777777" w:rsidR="00827B00" w:rsidRPr="009E77EC" w:rsidRDefault="00827B00" w:rsidP="003B7808">
            <w:pPr>
              <w:spacing w:after="0" w:line="240" w:lineRule="auto"/>
              <w:jc w:val="center"/>
              <w:rPr>
                <w:rFonts w:eastAsia="Times New Roman" w:cs="Calibri"/>
                <w:bCs/>
                <w:color w:val="000000"/>
                <w:sz w:val="20"/>
                <w:lang w:eastAsia="sk-SK"/>
              </w:rPr>
            </w:pPr>
            <w:r w:rsidRPr="009E77EC">
              <w:rPr>
                <w:rFonts w:eastAsia="Times New Roman" w:cs="Calibri"/>
                <w:bCs/>
                <w:color w:val="000000"/>
                <w:sz w:val="20"/>
                <w:lang w:eastAsia="sk-SK"/>
              </w:rPr>
              <w:t>1199</w:t>
            </w:r>
          </w:p>
        </w:tc>
        <w:tc>
          <w:tcPr>
            <w:tcW w:w="1239" w:type="dxa"/>
            <w:vAlign w:val="center"/>
          </w:tcPr>
          <w:p w14:paraId="2BE961CA" w14:textId="77777777" w:rsidR="00827B00" w:rsidRPr="009E77EC" w:rsidRDefault="00827B00" w:rsidP="003B7808">
            <w:pPr>
              <w:spacing w:after="0" w:line="240" w:lineRule="auto"/>
              <w:jc w:val="center"/>
              <w:rPr>
                <w:rFonts w:eastAsia="Times New Roman" w:cs="Calibri"/>
                <w:bCs/>
                <w:color w:val="000000"/>
                <w:sz w:val="20"/>
                <w:lang w:eastAsia="sk-SK"/>
              </w:rPr>
            </w:pPr>
            <w:r w:rsidRPr="009E77EC">
              <w:rPr>
                <w:rFonts w:eastAsia="Times New Roman" w:cs="Calibri"/>
                <w:bCs/>
                <w:color w:val="000000"/>
                <w:sz w:val="20"/>
                <w:lang w:eastAsia="sk-SK"/>
              </w:rPr>
              <w:t>398</w:t>
            </w:r>
          </w:p>
        </w:tc>
      </w:tr>
      <w:tr w:rsidR="00827B00" w:rsidRPr="0020638D" w14:paraId="077CD997" w14:textId="77777777" w:rsidTr="003B7808">
        <w:trPr>
          <w:trHeight w:val="227"/>
        </w:trPr>
        <w:tc>
          <w:tcPr>
            <w:tcW w:w="1413" w:type="dxa"/>
            <w:vMerge/>
            <w:shd w:val="clear" w:color="auto" w:fill="auto"/>
            <w:vAlign w:val="center"/>
          </w:tcPr>
          <w:p w14:paraId="01A79CC3" w14:textId="77777777" w:rsidR="00827B00" w:rsidRPr="0020638D" w:rsidRDefault="00827B00" w:rsidP="003B7808">
            <w:pPr>
              <w:spacing w:after="0" w:line="240" w:lineRule="auto"/>
              <w:rPr>
                <w:rFonts w:eastAsia="Times New Roman" w:cs="Calibri"/>
                <w:b/>
                <w:bCs/>
                <w:color w:val="000000"/>
                <w:lang w:eastAsia="sk-SK"/>
              </w:rPr>
            </w:pPr>
          </w:p>
        </w:tc>
        <w:tc>
          <w:tcPr>
            <w:tcW w:w="7371" w:type="dxa"/>
            <w:shd w:val="clear" w:color="auto" w:fill="auto"/>
            <w:vAlign w:val="center"/>
            <w:hideMark/>
          </w:tcPr>
          <w:p w14:paraId="163584E9" w14:textId="77777777" w:rsidR="00827B00" w:rsidRPr="009E77EC" w:rsidRDefault="00827B00" w:rsidP="003B7808">
            <w:pPr>
              <w:spacing w:after="0" w:line="240" w:lineRule="auto"/>
              <w:rPr>
                <w:rFonts w:eastAsia="Times New Roman" w:cs="Calibri"/>
                <w:bCs/>
                <w:color w:val="000000"/>
                <w:sz w:val="20"/>
                <w:lang w:eastAsia="sk-SK"/>
              </w:rPr>
            </w:pPr>
            <w:r w:rsidRPr="009E77EC">
              <w:rPr>
                <w:rFonts w:eastAsia="Symbol" w:cs="Calibri"/>
                <w:bCs/>
                <w:color w:val="000000"/>
                <w:sz w:val="20"/>
                <w:lang w:eastAsia="sk-SK"/>
              </w:rPr>
              <w:t>Súčasti systematického plánovania rozvoja školy v kontexte tvorby inkluzívneho prostredia</w:t>
            </w:r>
          </w:p>
        </w:tc>
        <w:tc>
          <w:tcPr>
            <w:tcW w:w="2410" w:type="dxa"/>
            <w:shd w:val="clear" w:color="auto" w:fill="auto"/>
            <w:vAlign w:val="center"/>
            <w:hideMark/>
          </w:tcPr>
          <w:p w14:paraId="1E38AE99" w14:textId="77777777" w:rsidR="00827B00" w:rsidRPr="009E77EC" w:rsidRDefault="00827B00" w:rsidP="003B7808">
            <w:pPr>
              <w:spacing w:after="0" w:line="240" w:lineRule="auto"/>
              <w:rPr>
                <w:rFonts w:eastAsia="Times New Roman" w:cs="Calibri"/>
                <w:bCs/>
                <w:color w:val="000000"/>
                <w:sz w:val="20"/>
                <w:lang w:eastAsia="sk-SK"/>
              </w:rPr>
            </w:pPr>
            <w:r w:rsidRPr="009E77EC">
              <w:rPr>
                <w:rFonts w:eastAsia="Times New Roman" w:cs="Calibri"/>
                <w:bCs/>
                <w:color w:val="000000"/>
                <w:sz w:val="20"/>
                <w:lang w:eastAsia="sk-SK"/>
              </w:rPr>
              <w:t>1. stupeň ZŠ, 2. stupeň ZŠ</w:t>
            </w:r>
          </w:p>
        </w:tc>
        <w:tc>
          <w:tcPr>
            <w:tcW w:w="1559" w:type="dxa"/>
            <w:vAlign w:val="center"/>
          </w:tcPr>
          <w:p w14:paraId="7F8EDB4A" w14:textId="77777777" w:rsidR="00827B00" w:rsidRPr="009E77EC" w:rsidRDefault="00827B00" w:rsidP="003B7808">
            <w:pPr>
              <w:spacing w:after="0" w:line="240" w:lineRule="auto"/>
              <w:jc w:val="center"/>
              <w:rPr>
                <w:rFonts w:eastAsia="Times New Roman" w:cs="Calibri"/>
                <w:bCs/>
                <w:color w:val="000000"/>
                <w:sz w:val="20"/>
                <w:lang w:eastAsia="sk-SK"/>
              </w:rPr>
            </w:pPr>
            <w:r>
              <w:rPr>
                <w:rFonts w:eastAsia="Times New Roman" w:cs="Calibri"/>
                <w:bCs/>
                <w:color w:val="000000"/>
                <w:sz w:val="20"/>
                <w:lang w:eastAsia="sk-SK"/>
              </w:rPr>
              <w:t>0</w:t>
            </w:r>
          </w:p>
        </w:tc>
        <w:tc>
          <w:tcPr>
            <w:tcW w:w="1239" w:type="dxa"/>
            <w:vAlign w:val="center"/>
          </w:tcPr>
          <w:p w14:paraId="267F94D1" w14:textId="77777777" w:rsidR="00827B00" w:rsidRPr="009E77EC" w:rsidRDefault="00827B00" w:rsidP="003B7808">
            <w:pPr>
              <w:spacing w:after="0" w:line="240" w:lineRule="auto"/>
              <w:jc w:val="center"/>
              <w:rPr>
                <w:rFonts w:eastAsia="Times New Roman" w:cs="Calibri"/>
                <w:bCs/>
                <w:color w:val="000000"/>
                <w:sz w:val="20"/>
                <w:lang w:eastAsia="sk-SK"/>
              </w:rPr>
            </w:pPr>
          </w:p>
        </w:tc>
      </w:tr>
      <w:tr w:rsidR="00827B00" w:rsidRPr="0020638D" w14:paraId="5AAB84AA" w14:textId="77777777" w:rsidTr="003B7808">
        <w:trPr>
          <w:trHeight w:val="227"/>
        </w:trPr>
        <w:tc>
          <w:tcPr>
            <w:tcW w:w="1413" w:type="dxa"/>
            <w:vMerge/>
            <w:shd w:val="clear" w:color="auto" w:fill="auto"/>
            <w:vAlign w:val="center"/>
          </w:tcPr>
          <w:p w14:paraId="5BB42A27" w14:textId="77777777" w:rsidR="00827B00" w:rsidRPr="0020638D" w:rsidRDefault="00827B00" w:rsidP="003B7808">
            <w:pPr>
              <w:spacing w:after="0" w:line="240" w:lineRule="auto"/>
              <w:rPr>
                <w:rFonts w:eastAsia="Times New Roman" w:cs="Calibri"/>
                <w:b/>
                <w:bCs/>
                <w:color w:val="000000"/>
                <w:lang w:eastAsia="sk-SK"/>
              </w:rPr>
            </w:pPr>
          </w:p>
        </w:tc>
        <w:tc>
          <w:tcPr>
            <w:tcW w:w="7371" w:type="dxa"/>
            <w:shd w:val="clear" w:color="auto" w:fill="auto"/>
            <w:vAlign w:val="center"/>
            <w:hideMark/>
          </w:tcPr>
          <w:p w14:paraId="29C21221" w14:textId="77777777" w:rsidR="00827B00" w:rsidRPr="009E77EC" w:rsidRDefault="00827B00" w:rsidP="003B7808">
            <w:pPr>
              <w:spacing w:after="0" w:line="240" w:lineRule="auto"/>
              <w:rPr>
                <w:rFonts w:eastAsia="Times New Roman" w:cs="Calibri"/>
                <w:bCs/>
                <w:color w:val="000000"/>
                <w:sz w:val="20"/>
                <w:lang w:eastAsia="sk-SK"/>
              </w:rPr>
            </w:pPr>
            <w:r w:rsidRPr="009E77EC">
              <w:rPr>
                <w:rFonts w:eastAsia="Symbol" w:cs="Calibri"/>
                <w:bCs/>
                <w:color w:val="000000"/>
                <w:sz w:val="20"/>
                <w:lang w:eastAsia="sk-SK"/>
              </w:rPr>
              <w:t>Tvorba individuálnych vzdelávacích programov</w:t>
            </w:r>
          </w:p>
        </w:tc>
        <w:tc>
          <w:tcPr>
            <w:tcW w:w="2410" w:type="dxa"/>
            <w:shd w:val="clear" w:color="auto" w:fill="auto"/>
            <w:vAlign w:val="center"/>
            <w:hideMark/>
          </w:tcPr>
          <w:p w14:paraId="153E4E6A" w14:textId="77777777" w:rsidR="00827B00" w:rsidRPr="009E77EC" w:rsidRDefault="00827B00" w:rsidP="003B7808">
            <w:pPr>
              <w:spacing w:after="0" w:line="240" w:lineRule="auto"/>
              <w:rPr>
                <w:rFonts w:eastAsia="Times New Roman" w:cs="Calibri"/>
                <w:bCs/>
                <w:color w:val="000000"/>
                <w:sz w:val="20"/>
                <w:lang w:eastAsia="sk-SK"/>
              </w:rPr>
            </w:pPr>
            <w:r w:rsidRPr="009E77EC">
              <w:rPr>
                <w:rFonts w:eastAsia="Times New Roman" w:cs="Calibri"/>
                <w:bCs/>
                <w:color w:val="000000"/>
                <w:sz w:val="20"/>
                <w:lang w:eastAsia="sk-SK"/>
              </w:rPr>
              <w:t>1. stupeň ZŠ, 2. stupeň ZŠ</w:t>
            </w:r>
          </w:p>
        </w:tc>
        <w:tc>
          <w:tcPr>
            <w:tcW w:w="1559" w:type="dxa"/>
            <w:vAlign w:val="center"/>
          </w:tcPr>
          <w:p w14:paraId="1252E47E" w14:textId="77777777" w:rsidR="00827B00" w:rsidRPr="009E77EC" w:rsidRDefault="00827B00" w:rsidP="003B7808">
            <w:pPr>
              <w:spacing w:after="0" w:line="240" w:lineRule="auto"/>
              <w:jc w:val="center"/>
              <w:rPr>
                <w:rFonts w:eastAsia="Times New Roman" w:cs="Calibri"/>
                <w:bCs/>
                <w:color w:val="000000"/>
                <w:sz w:val="20"/>
                <w:lang w:eastAsia="sk-SK"/>
              </w:rPr>
            </w:pPr>
            <w:r w:rsidRPr="009E77EC">
              <w:rPr>
                <w:rFonts w:eastAsia="Times New Roman" w:cs="Calibri"/>
                <w:bCs/>
                <w:color w:val="000000"/>
                <w:sz w:val="20"/>
                <w:lang w:eastAsia="sk-SK"/>
              </w:rPr>
              <w:t>116</w:t>
            </w:r>
          </w:p>
        </w:tc>
        <w:tc>
          <w:tcPr>
            <w:tcW w:w="1239" w:type="dxa"/>
            <w:vAlign w:val="center"/>
          </w:tcPr>
          <w:p w14:paraId="11148128" w14:textId="77777777" w:rsidR="00827B00" w:rsidRPr="009E77EC" w:rsidRDefault="00827B00" w:rsidP="003B7808">
            <w:pPr>
              <w:spacing w:after="0" w:line="240" w:lineRule="auto"/>
              <w:jc w:val="center"/>
              <w:rPr>
                <w:rFonts w:eastAsia="Times New Roman" w:cs="Calibri"/>
                <w:bCs/>
                <w:color w:val="000000"/>
                <w:sz w:val="20"/>
                <w:lang w:eastAsia="sk-SK"/>
              </w:rPr>
            </w:pPr>
          </w:p>
        </w:tc>
      </w:tr>
      <w:tr w:rsidR="00827B00" w:rsidRPr="0020638D" w14:paraId="4BFBBD4A" w14:textId="77777777" w:rsidTr="003B7808">
        <w:trPr>
          <w:trHeight w:val="227"/>
        </w:trPr>
        <w:tc>
          <w:tcPr>
            <w:tcW w:w="1413" w:type="dxa"/>
            <w:vMerge/>
            <w:shd w:val="clear" w:color="auto" w:fill="auto"/>
            <w:vAlign w:val="center"/>
          </w:tcPr>
          <w:p w14:paraId="010D6340" w14:textId="77777777" w:rsidR="00827B00" w:rsidRPr="0020638D" w:rsidRDefault="00827B00" w:rsidP="003B7808">
            <w:pPr>
              <w:spacing w:after="0" w:line="240" w:lineRule="auto"/>
              <w:rPr>
                <w:rFonts w:eastAsia="Times New Roman" w:cs="Calibri"/>
                <w:b/>
                <w:bCs/>
                <w:color w:val="000000"/>
                <w:lang w:eastAsia="sk-SK"/>
              </w:rPr>
            </w:pPr>
          </w:p>
        </w:tc>
        <w:tc>
          <w:tcPr>
            <w:tcW w:w="7371" w:type="dxa"/>
            <w:shd w:val="clear" w:color="auto" w:fill="auto"/>
            <w:vAlign w:val="center"/>
            <w:hideMark/>
          </w:tcPr>
          <w:p w14:paraId="79A53A88" w14:textId="77777777" w:rsidR="00827B00" w:rsidRPr="009E77EC" w:rsidRDefault="00827B00" w:rsidP="003B7808">
            <w:pPr>
              <w:spacing w:after="0" w:line="240" w:lineRule="auto"/>
              <w:rPr>
                <w:rFonts w:eastAsia="Times New Roman" w:cs="Calibri"/>
                <w:bCs/>
                <w:color w:val="000000"/>
                <w:sz w:val="20"/>
                <w:lang w:eastAsia="sk-SK"/>
              </w:rPr>
            </w:pPr>
            <w:r w:rsidRPr="009E77EC">
              <w:rPr>
                <w:rFonts w:eastAsia="Symbol" w:cs="Calibri"/>
                <w:bCs/>
                <w:color w:val="000000"/>
                <w:sz w:val="20"/>
                <w:lang w:eastAsia="sk-SK"/>
              </w:rPr>
              <w:t>Východiská k tvorbe individuálnych výchovnovzdelávacích programov pre žiakov so špeciálnymi výchovno-vzdelávacími potrebami</w:t>
            </w:r>
          </w:p>
        </w:tc>
        <w:tc>
          <w:tcPr>
            <w:tcW w:w="2410" w:type="dxa"/>
            <w:shd w:val="clear" w:color="auto" w:fill="auto"/>
            <w:vAlign w:val="center"/>
            <w:hideMark/>
          </w:tcPr>
          <w:p w14:paraId="52C35AA8" w14:textId="77777777" w:rsidR="00827B00" w:rsidRPr="009E77EC" w:rsidRDefault="00827B00" w:rsidP="003B7808">
            <w:pPr>
              <w:spacing w:after="0" w:line="240" w:lineRule="auto"/>
              <w:rPr>
                <w:rFonts w:eastAsia="Times New Roman" w:cs="Calibri"/>
                <w:bCs/>
                <w:color w:val="000000"/>
                <w:sz w:val="20"/>
                <w:lang w:eastAsia="sk-SK"/>
              </w:rPr>
            </w:pPr>
            <w:r w:rsidRPr="009E77EC">
              <w:rPr>
                <w:rFonts w:eastAsia="Times New Roman" w:cs="Calibri"/>
                <w:bCs/>
                <w:color w:val="000000"/>
                <w:sz w:val="20"/>
                <w:lang w:eastAsia="sk-SK"/>
              </w:rPr>
              <w:t>1. stupeň ZŠ, 2. stupeň ZŠ</w:t>
            </w:r>
          </w:p>
        </w:tc>
        <w:tc>
          <w:tcPr>
            <w:tcW w:w="1559" w:type="dxa"/>
            <w:vAlign w:val="center"/>
          </w:tcPr>
          <w:p w14:paraId="2B79CFF3" w14:textId="77777777" w:rsidR="00827B00" w:rsidRPr="009E77EC" w:rsidRDefault="00827B00" w:rsidP="003B7808">
            <w:pPr>
              <w:spacing w:after="0" w:line="240" w:lineRule="auto"/>
              <w:jc w:val="center"/>
              <w:rPr>
                <w:rFonts w:eastAsia="Times New Roman" w:cs="Calibri"/>
                <w:bCs/>
                <w:color w:val="000000"/>
                <w:sz w:val="20"/>
                <w:lang w:eastAsia="sk-SK"/>
              </w:rPr>
            </w:pPr>
            <w:r>
              <w:rPr>
                <w:rFonts w:eastAsia="Times New Roman" w:cs="Calibri"/>
                <w:bCs/>
                <w:color w:val="000000"/>
                <w:sz w:val="20"/>
                <w:lang w:eastAsia="sk-SK"/>
              </w:rPr>
              <w:t>0</w:t>
            </w:r>
          </w:p>
        </w:tc>
        <w:tc>
          <w:tcPr>
            <w:tcW w:w="1239" w:type="dxa"/>
            <w:vAlign w:val="center"/>
          </w:tcPr>
          <w:p w14:paraId="7B2B6CD9" w14:textId="77777777" w:rsidR="00827B00" w:rsidRPr="009E77EC" w:rsidRDefault="00827B00" w:rsidP="003B7808">
            <w:pPr>
              <w:spacing w:after="0" w:line="240" w:lineRule="auto"/>
              <w:jc w:val="center"/>
              <w:rPr>
                <w:rFonts w:eastAsia="Times New Roman" w:cs="Calibri"/>
                <w:bCs/>
                <w:color w:val="000000"/>
                <w:sz w:val="20"/>
                <w:lang w:eastAsia="sk-SK"/>
              </w:rPr>
            </w:pPr>
          </w:p>
        </w:tc>
      </w:tr>
      <w:tr w:rsidR="00827B00" w:rsidRPr="0020638D" w14:paraId="5845ED4F" w14:textId="77777777" w:rsidTr="003B7808">
        <w:trPr>
          <w:trHeight w:val="227"/>
        </w:trPr>
        <w:tc>
          <w:tcPr>
            <w:tcW w:w="1413" w:type="dxa"/>
            <w:vMerge/>
            <w:shd w:val="clear" w:color="auto" w:fill="auto"/>
            <w:vAlign w:val="center"/>
          </w:tcPr>
          <w:p w14:paraId="13998E7C" w14:textId="77777777" w:rsidR="00827B00" w:rsidRPr="0020638D" w:rsidRDefault="00827B00" w:rsidP="003B7808">
            <w:pPr>
              <w:spacing w:after="0" w:line="240" w:lineRule="auto"/>
              <w:rPr>
                <w:rFonts w:eastAsia="Times New Roman" w:cs="Calibri"/>
                <w:b/>
                <w:bCs/>
                <w:color w:val="000000"/>
                <w:lang w:eastAsia="sk-SK"/>
              </w:rPr>
            </w:pPr>
          </w:p>
        </w:tc>
        <w:tc>
          <w:tcPr>
            <w:tcW w:w="7371" w:type="dxa"/>
            <w:shd w:val="clear" w:color="auto" w:fill="auto"/>
            <w:vAlign w:val="center"/>
            <w:hideMark/>
          </w:tcPr>
          <w:p w14:paraId="04FBF348" w14:textId="77777777" w:rsidR="00827B00" w:rsidRPr="009E77EC" w:rsidRDefault="00827B00" w:rsidP="003B7808">
            <w:pPr>
              <w:spacing w:after="0" w:line="240" w:lineRule="auto"/>
              <w:rPr>
                <w:rFonts w:eastAsia="Times New Roman" w:cs="Calibri"/>
                <w:bCs/>
                <w:color w:val="000000"/>
                <w:sz w:val="20"/>
                <w:lang w:eastAsia="sk-SK"/>
              </w:rPr>
            </w:pPr>
            <w:r w:rsidRPr="009E77EC">
              <w:rPr>
                <w:rFonts w:eastAsia="Symbol" w:cs="Calibri"/>
                <w:bCs/>
                <w:color w:val="000000"/>
                <w:sz w:val="20"/>
                <w:lang w:eastAsia="sk-SK"/>
              </w:rPr>
              <w:t>Využitie informačno-komunikačných technológií a interaktívnej tabule pre tvorbe vzdelávacích materiálov pre žiakov so špeciálnymi výchovno-vzdelávacími potrebami</w:t>
            </w:r>
          </w:p>
        </w:tc>
        <w:tc>
          <w:tcPr>
            <w:tcW w:w="2410" w:type="dxa"/>
            <w:shd w:val="clear" w:color="auto" w:fill="auto"/>
            <w:vAlign w:val="center"/>
            <w:hideMark/>
          </w:tcPr>
          <w:p w14:paraId="50B0C887" w14:textId="77777777" w:rsidR="00827B00" w:rsidRPr="009E77EC" w:rsidRDefault="00827B00" w:rsidP="003B7808">
            <w:pPr>
              <w:spacing w:after="0" w:line="240" w:lineRule="auto"/>
              <w:rPr>
                <w:rFonts w:eastAsia="Times New Roman" w:cs="Calibri"/>
                <w:bCs/>
                <w:color w:val="000000"/>
                <w:sz w:val="20"/>
                <w:lang w:eastAsia="sk-SK"/>
              </w:rPr>
            </w:pPr>
            <w:r w:rsidRPr="009E77EC">
              <w:rPr>
                <w:rFonts w:eastAsia="Times New Roman" w:cs="Calibri"/>
                <w:bCs/>
                <w:color w:val="000000"/>
                <w:sz w:val="20"/>
                <w:lang w:eastAsia="sk-SK"/>
              </w:rPr>
              <w:t>1. stupeň ZŠ, 2. stupeň ZŠ</w:t>
            </w:r>
          </w:p>
        </w:tc>
        <w:tc>
          <w:tcPr>
            <w:tcW w:w="1559" w:type="dxa"/>
            <w:vAlign w:val="center"/>
          </w:tcPr>
          <w:p w14:paraId="2909C5CD" w14:textId="77777777" w:rsidR="00827B00" w:rsidRPr="009E77EC" w:rsidRDefault="00827B00" w:rsidP="003B7808">
            <w:pPr>
              <w:spacing w:after="0" w:line="240" w:lineRule="auto"/>
              <w:jc w:val="center"/>
              <w:rPr>
                <w:rFonts w:eastAsia="Times New Roman" w:cs="Calibri"/>
                <w:bCs/>
                <w:color w:val="000000"/>
                <w:sz w:val="20"/>
                <w:lang w:eastAsia="sk-SK"/>
              </w:rPr>
            </w:pPr>
            <w:r>
              <w:rPr>
                <w:rFonts w:eastAsia="Times New Roman" w:cs="Calibri"/>
                <w:bCs/>
                <w:color w:val="000000"/>
                <w:sz w:val="20"/>
                <w:lang w:eastAsia="sk-SK"/>
              </w:rPr>
              <w:t>0</w:t>
            </w:r>
          </w:p>
        </w:tc>
        <w:tc>
          <w:tcPr>
            <w:tcW w:w="1239" w:type="dxa"/>
            <w:vAlign w:val="center"/>
          </w:tcPr>
          <w:p w14:paraId="76F60C61" w14:textId="77777777" w:rsidR="00827B00" w:rsidRPr="009E77EC" w:rsidRDefault="00827B00" w:rsidP="003B7808">
            <w:pPr>
              <w:spacing w:after="0" w:line="240" w:lineRule="auto"/>
              <w:jc w:val="center"/>
              <w:rPr>
                <w:rFonts w:eastAsia="Times New Roman" w:cs="Calibri"/>
                <w:bCs/>
                <w:color w:val="000000"/>
                <w:sz w:val="20"/>
                <w:lang w:eastAsia="sk-SK"/>
              </w:rPr>
            </w:pPr>
          </w:p>
        </w:tc>
      </w:tr>
    </w:tbl>
    <w:p w14:paraId="167AD350" w14:textId="50D0A6D9" w:rsidR="00827B00" w:rsidRPr="00827B00" w:rsidRDefault="00827B00" w:rsidP="00827B00">
      <w:pPr>
        <w:jc w:val="left"/>
        <w:rPr>
          <w:i/>
          <w:sz w:val="16"/>
          <w:szCs w:val="16"/>
        </w:rPr>
      </w:pPr>
      <w:r w:rsidRPr="00252EE0">
        <w:rPr>
          <w:i/>
          <w:sz w:val="16"/>
          <w:szCs w:val="16"/>
        </w:rPr>
        <w:t>Zdroj: Interné údaje Metodicko-pedagogické centrum Bratislava (2019)</w:t>
      </w:r>
      <w:bookmarkEnd w:id="1878"/>
      <w:bookmarkEnd w:id="1879"/>
    </w:p>
    <w:p w14:paraId="6C14943B" w14:textId="77777777" w:rsidR="00827B00" w:rsidRDefault="00827B00" w:rsidP="00AD2F2A">
      <w:pPr>
        <w:pStyle w:val="Popis"/>
        <w:rPr>
          <w:b/>
          <w:i w:val="0"/>
          <w:color w:val="2E74B5" w:themeColor="accent1" w:themeShade="BF"/>
          <w:sz w:val="22"/>
        </w:rPr>
        <w:sectPr w:rsidR="00827B00" w:rsidSect="0043362A">
          <w:pgSz w:w="16838" w:h="11906" w:orient="landscape" w:code="9"/>
          <w:pgMar w:top="1440" w:right="1440" w:bottom="1378" w:left="1440" w:header="720" w:footer="645" w:gutter="0"/>
          <w:cols w:space="720"/>
          <w:docGrid w:linePitch="360"/>
        </w:sectPr>
      </w:pPr>
      <w:bookmarkStart w:id="1881" w:name="_Ref25324128"/>
      <w:bookmarkStart w:id="1882" w:name="_Hlk24490100"/>
    </w:p>
    <w:p w14:paraId="28511E69" w14:textId="702239E9" w:rsidR="00E353C5" w:rsidRPr="00AD2F2A" w:rsidRDefault="00AD2F2A" w:rsidP="00AD2F2A">
      <w:pPr>
        <w:pStyle w:val="Popis"/>
        <w:rPr>
          <w:b/>
          <w:i w:val="0"/>
          <w:color w:val="2E74B5" w:themeColor="accent1" w:themeShade="BF"/>
          <w:sz w:val="22"/>
        </w:rPr>
      </w:pPr>
      <w:bookmarkStart w:id="1883" w:name="_Ref34130589"/>
      <w:r w:rsidRPr="00AD2F2A">
        <w:rPr>
          <w:b/>
          <w:i w:val="0"/>
          <w:color w:val="2E74B5" w:themeColor="accent1" w:themeShade="BF"/>
          <w:sz w:val="22"/>
        </w:rPr>
        <w:t xml:space="preserve">Príloha </w:t>
      </w:r>
      <w:r w:rsidRPr="00AD2F2A">
        <w:rPr>
          <w:b/>
          <w:i w:val="0"/>
          <w:color w:val="2E74B5" w:themeColor="accent1" w:themeShade="BF"/>
          <w:sz w:val="22"/>
        </w:rPr>
        <w:fldChar w:fldCharType="begin"/>
      </w:r>
      <w:r w:rsidRPr="00AD2F2A">
        <w:rPr>
          <w:b/>
          <w:i w:val="0"/>
          <w:color w:val="2E74B5" w:themeColor="accent1" w:themeShade="BF"/>
          <w:sz w:val="22"/>
        </w:rPr>
        <w:instrText xml:space="preserve"> SEQ Príloha \* ARABIC </w:instrText>
      </w:r>
      <w:r w:rsidRPr="00AD2F2A">
        <w:rPr>
          <w:b/>
          <w:i w:val="0"/>
          <w:color w:val="2E74B5" w:themeColor="accent1" w:themeShade="BF"/>
          <w:sz w:val="22"/>
        </w:rPr>
        <w:fldChar w:fldCharType="separate"/>
      </w:r>
      <w:r w:rsidR="00FA29AF">
        <w:rPr>
          <w:b/>
          <w:i w:val="0"/>
          <w:noProof/>
          <w:color w:val="2E74B5" w:themeColor="accent1" w:themeShade="BF"/>
          <w:sz w:val="22"/>
        </w:rPr>
        <w:t>8</w:t>
      </w:r>
      <w:r w:rsidRPr="00AD2F2A">
        <w:rPr>
          <w:b/>
          <w:i w:val="0"/>
          <w:color w:val="2E74B5" w:themeColor="accent1" w:themeShade="BF"/>
          <w:sz w:val="22"/>
        </w:rPr>
        <w:fldChar w:fldCharType="end"/>
      </w:r>
      <w:bookmarkEnd w:id="1881"/>
      <w:bookmarkEnd w:id="1883"/>
      <w:r w:rsidRPr="00AD2F2A">
        <w:rPr>
          <w:b/>
          <w:i w:val="0"/>
          <w:color w:val="2E74B5" w:themeColor="accent1" w:themeShade="BF"/>
          <w:sz w:val="22"/>
        </w:rPr>
        <w:t xml:space="preserve">: </w:t>
      </w:r>
      <w:r w:rsidR="00AC3E65" w:rsidRPr="00AD2F2A">
        <w:rPr>
          <w:b/>
          <w:i w:val="0"/>
          <w:color w:val="2E74B5" w:themeColor="accent1" w:themeShade="BF"/>
          <w:sz w:val="22"/>
        </w:rPr>
        <w:t>Kapacity materských škô</w:t>
      </w:r>
      <w:bookmarkStart w:id="1884" w:name="_Ref535490543"/>
      <w:bookmarkStart w:id="1885" w:name="_Ref524949305"/>
      <w:bookmarkStart w:id="1886" w:name="_Ref524952031"/>
      <w:bookmarkEnd w:id="1882"/>
      <w:r w:rsidR="00E353C5" w:rsidRPr="00AD2F2A">
        <w:rPr>
          <w:b/>
          <w:i w:val="0"/>
          <w:color w:val="2E74B5" w:themeColor="accent1" w:themeShade="BF"/>
          <w:sz w:val="22"/>
        </w:rPr>
        <w:t>l</w:t>
      </w:r>
    </w:p>
    <w:tbl>
      <w:tblPr>
        <w:tblW w:w="0" w:type="auto"/>
        <w:tblLook w:val="04E0" w:firstRow="1" w:lastRow="1" w:firstColumn="1" w:lastColumn="0" w:noHBand="0" w:noVBand="1"/>
      </w:tblPr>
      <w:tblGrid>
        <w:gridCol w:w="9072"/>
      </w:tblGrid>
      <w:tr w:rsidR="00AC3E65" w:rsidRPr="00AC3E65" w14:paraId="4F734A09" w14:textId="77777777" w:rsidTr="00297499">
        <w:tc>
          <w:tcPr>
            <w:tcW w:w="9072" w:type="dxa"/>
            <w:tcBorders>
              <w:bottom w:val="single" w:sz="4" w:space="0" w:color="auto"/>
            </w:tcBorders>
          </w:tcPr>
          <w:p w14:paraId="1EB2E120" w14:textId="51F08446" w:rsidR="00AC3E65" w:rsidRPr="00297499" w:rsidRDefault="00041889" w:rsidP="00297499">
            <w:pPr>
              <w:spacing w:after="0" w:line="240" w:lineRule="auto"/>
              <w:jc w:val="left"/>
              <w:rPr>
                <w:b/>
                <w:sz w:val="20"/>
              </w:rPr>
            </w:pPr>
            <w:bookmarkStart w:id="1887" w:name="_Ref25651243"/>
            <w:bookmarkStart w:id="1888" w:name="_Toc535498734"/>
            <w:r w:rsidRPr="00297499">
              <w:rPr>
                <w:b/>
                <w:sz w:val="20"/>
              </w:rPr>
              <w:t xml:space="preserve">Graf P </w:t>
            </w:r>
            <w:r w:rsidRPr="00297499">
              <w:rPr>
                <w:b/>
                <w:sz w:val="20"/>
              </w:rPr>
              <w:fldChar w:fldCharType="begin"/>
            </w:r>
            <w:r w:rsidRPr="00297499">
              <w:rPr>
                <w:b/>
                <w:sz w:val="20"/>
              </w:rPr>
              <w:instrText xml:space="preserve"> SEQ Graf_P \* ARABIC </w:instrText>
            </w:r>
            <w:r w:rsidRPr="00297499">
              <w:rPr>
                <w:b/>
                <w:sz w:val="20"/>
              </w:rPr>
              <w:fldChar w:fldCharType="separate"/>
            </w:r>
            <w:r w:rsidR="00FA29AF">
              <w:rPr>
                <w:b/>
                <w:noProof/>
                <w:sz w:val="20"/>
              </w:rPr>
              <w:t>1</w:t>
            </w:r>
            <w:r w:rsidRPr="00297499">
              <w:rPr>
                <w:b/>
                <w:sz w:val="20"/>
              </w:rPr>
              <w:fldChar w:fldCharType="end"/>
            </w:r>
            <w:bookmarkEnd w:id="1884"/>
            <w:bookmarkEnd w:id="1887"/>
            <w:r w:rsidR="00AC3E65" w:rsidRPr="00297499">
              <w:rPr>
                <w:b/>
                <w:sz w:val="20"/>
              </w:rPr>
              <w:t>: Voľná kapacita a počet žiadostí o prijatie v jednotlivých materských školách, 2018</w:t>
            </w:r>
            <w:bookmarkEnd w:id="1888"/>
          </w:p>
        </w:tc>
      </w:tr>
      <w:tr w:rsidR="00AC3E65" w:rsidRPr="00E32A3F" w14:paraId="2BB3508F" w14:textId="77777777" w:rsidTr="00297499">
        <w:tblPrEx>
          <w:tblCellMar>
            <w:left w:w="70" w:type="dxa"/>
            <w:right w:w="70" w:type="dxa"/>
          </w:tblCellMar>
        </w:tblPrEx>
        <w:tc>
          <w:tcPr>
            <w:tcW w:w="9072" w:type="dxa"/>
            <w:tcBorders>
              <w:top w:val="single" w:sz="4" w:space="0" w:color="auto"/>
              <w:bottom w:val="single" w:sz="4" w:space="0" w:color="auto"/>
            </w:tcBorders>
          </w:tcPr>
          <w:p w14:paraId="14EC2B11" w14:textId="77777777" w:rsidR="00AC3E65" w:rsidRPr="00F41160" w:rsidRDefault="00AC3E65" w:rsidP="00297499">
            <w:pPr>
              <w:spacing w:after="0" w:line="240" w:lineRule="auto"/>
              <w:jc w:val="center"/>
              <w:rPr>
                <w:noProof/>
                <w:sz w:val="4"/>
                <w:szCs w:val="4"/>
              </w:rPr>
            </w:pPr>
          </w:p>
          <w:p w14:paraId="433CDEF4" w14:textId="77777777" w:rsidR="00AC3E65" w:rsidRDefault="00AC3E65" w:rsidP="00297499">
            <w:pPr>
              <w:spacing w:after="0" w:line="240" w:lineRule="auto"/>
              <w:jc w:val="center"/>
              <w:rPr>
                <w:noProof/>
                <w:sz w:val="4"/>
                <w:szCs w:val="4"/>
              </w:rPr>
            </w:pPr>
            <w:r>
              <w:rPr>
                <w:noProof/>
                <w:lang w:eastAsia="sk-SK"/>
              </w:rPr>
              <w:drawing>
                <wp:inline distT="0" distB="0" distL="0" distR="0" wp14:anchorId="6577DAAB" wp14:editId="420CD22C">
                  <wp:extent cx="5581650" cy="2276475"/>
                  <wp:effectExtent l="0" t="0" r="0" b="0"/>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inline>
              </w:drawing>
            </w:r>
          </w:p>
          <w:p w14:paraId="1141FDD3" w14:textId="77777777" w:rsidR="00AC3E65" w:rsidRPr="00D9468C" w:rsidRDefault="00AC3E65" w:rsidP="00297499">
            <w:pPr>
              <w:spacing w:after="0" w:line="240" w:lineRule="auto"/>
              <w:jc w:val="center"/>
              <w:rPr>
                <w:sz w:val="4"/>
                <w:szCs w:val="4"/>
              </w:rPr>
            </w:pPr>
          </w:p>
        </w:tc>
      </w:tr>
      <w:tr w:rsidR="00AC3E65" w:rsidRPr="00E32A3F" w14:paraId="6D7EA383" w14:textId="77777777" w:rsidTr="00297499">
        <w:tc>
          <w:tcPr>
            <w:tcW w:w="9072" w:type="dxa"/>
            <w:tcBorders>
              <w:top w:val="single" w:sz="4" w:space="0" w:color="auto"/>
            </w:tcBorders>
          </w:tcPr>
          <w:p w14:paraId="19264DAD" w14:textId="77777777" w:rsidR="00AC3E65" w:rsidRPr="00297499" w:rsidRDefault="00AC3E65" w:rsidP="00297499">
            <w:pPr>
              <w:spacing w:after="0" w:line="240" w:lineRule="auto"/>
              <w:jc w:val="right"/>
              <w:rPr>
                <w:i/>
                <w:sz w:val="18"/>
              </w:rPr>
            </w:pPr>
            <w:r w:rsidRPr="00297499">
              <w:rPr>
                <w:i/>
                <w:sz w:val="18"/>
              </w:rPr>
              <w:t xml:space="preserve">Zdroj: </w:t>
            </w:r>
            <w:r w:rsidRPr="00297499">
              <w:rPr>
                <w:i/>
                <w:noProof/>
                <w:sz w:val="18"/>
                <w:szCs w:val="16"/>
              </w:rPr>
              <w:t xml:space="preserve">IVP na základe </w:t>
            </w:r>
            <w:r w:rsidRPr="00297499">
              <w:rPr>
                <w:rFonts w:eastAsia="Times New Roman" w:cs="Times New Roman"/>
                <w:i/>
                <w:iCs/>
                <w:color w:val="000000"/>
                <w:sz w:val="18"/>
                <w:szCs w:val="16"/>
              </w:rPr>
              <w:t xml:space="preserve">údajov </w:t>
            </w:r>
            <w:r w:rsidRPr="00297499">
              <w:rPr>
                <w:i/>
                <w:noProof/>
                <w:sz w:val="18"/>
                <w:szCs w:val="16"/>
              </w:rPr>
              <w:t>CVTI SR</w:t>
            </w:r>
          </w:p>
        </w:tc>
      </w:tr>
    </w:tbl>
    <w:p w14:paraId="29CA8AC9" w14:textId="77777777" w:rsidR="00E353C5" w:rsidRDefault="00E353C5" w:rsidP="00E353C5">
      <w:r w:rsidRPr="00E32A3F">
        <w:rPr>
          <w:b/>
        </w:rPr>
        <w:t xml:space="preserve">Jedným z dôvodov </w:t>
      </w:r>
      <w:r>
        <w:rPr>
          <w:b/>
        </w:rPr>
        <w:t>nízkej</w:t>
      </w:r>
      <w:r w:rsidRPr="00E32A3F">
        <w:rPr>
          <w:b/>
        </w:rPr>
        <w:t xml:space="preserve"> zaškolenosti detí sú aj nedostatočné kapacity materských škôl. </w:t>
      </w:r>
      <w:r>
        <w:rPr>
          <w:b/>
        </w:rPr>
        <w:t>Voľná kapacita v už prevádzkovaných MŠ sa na úrovni Slovenskej republiky pohybuje medzi 7-15 tisíc</w:t>
      </w:r>
      <w:r w:rsidRPr="005426C2">
        <w:rPr>
          <w:b/>
        </w:rPr>
        <w:t xml:space="preserve"> miestami</w:t>
      </w:r>
      <w:r>
        <w:t>. Prepočet vychádza z údajov o celkových priestorových kapacitách MŠ určených na základe rozhodnutí regionálneho zdravotníctva (hygienická kapacita)</w:t>
      </w:r>
      <w:r>
        <w:rPr>
          <w:rStyle w:val="Odkaznapoznmkupodiarou"/>
        </w:rPr>
        <w:footnoteReference w:id="513"/>
      </w:r>
      <w:r>
        <w:t xml:space="preserve"> a zohľadňuje tiež maximálny počet detí na triedu, v závislosti od vekovej štruktúry detí v triede, stanovený v školskom zákone.</w:t>
      </w:r>
      <w:r>
        <w:rPr>
          <w:rStyle w:val="Odkaznapoznmkupodiarou"/>
        </w:rPr>
        <w:footnoteReference w:id="514"/>
      </w:r>
      <w:r>
        <w:t xml:space="preserve"> Horná hranica prepočtu zohľadňuje možnosť navýšiť počet detí v triede o tri z dôvodu záujmu zákonných zástupcov, dolná hranica s touto možnosťou nepočíta.</w:t>
      </w:r>
      <w:r>
        <w:rPr>
          <w:rStyle w:val="Odkaznapoznmkupodiarou"/>
        </w:rPr>
        <w:footnoteReference w:id="515"/>
      </w:r>
      <w:r>
        <w:t xml:space="preserve"> </w:t>
      </w:r>
    </w:p>
    <w:p w14:paraId="44D031C0" w14:textId="7CB81972" w:rsidR="00AC3E65" w:rsidRDefault="00AC3E65" w:rsidP="00AC3E65">
      <w:pPr>
        <w:pStyle w:val="Bezriadkovania"/>
        <w:spacing w:before="160" w:after="240" w:line="259" w:lineRule="auto"/>
        <w:jc w:val="both"/>
        <w:rPr>
          <w:rFonts w:ascii="Arial Narrow" w:hAnsi="Arial Narrow"/>
        </w:rPr>
      </w:pPr>
      <w:r w:rsidRPr="006801F4">
        <w:rPr>
          <w:rFonts w:ascii="Arial Narrow" w:hAnsi="Arial Narrow"/>
          <w:b/>
        </w:rPr>
        <w:t xml:space="preserve">Napriek dostupným </w:t>
      </w:r>
      <w:r w:rsidRPr="00B76ED7">
        <w:rPr>
          <w:rFonts w:ascii="Arial Narrow" w:hAnsi="Arial Narrow"/>
          <w:b/>
        </w:rPr>
        <w:t>kapacitám v školskom roku 2018/</w:t>
      </w:r>
      <w:r>
        <w:rPr>
          <w:rFonts w:ascii="Arial Narrow" w:hAnsi="Arial Narrow"/>
          <w:b/>
        </w:rPr>
        <w:t>20</w:t>
      </w:r>
      <w:r w:rsidRPr="00B76ED7">
        <w:rPr>
          <w:rFonts w:ascii="Arial Narrow" w:hAnsi="Arial Narrow"/>
          <w:b/>
        </w:rPr>
        <w:t>19 evidovali materské</w:t>
      </w:r>
      <w:r w:rsidRPr="006801F4">
        <w:rPr>
          <w:rFonts w:ascii="Arial Narrow" w:hAnsi="Arial Narrow"/>
          <w:b/>
        </w:rPr>
        <w:t xml:space="preserve"> školy 12 502 žiadostí o prijatie dieťaťa, ktorým nebolo možné vyhovieť z</w:t>
      </w:r>
      <w:r w:rsidR="0070047D">
        <w:rPr>
          <w:rFonts w:ascii="Arial Narrow" w:hAnsi="Arial Narrow"/>
          <w:b/>
        </w:rPr>
        <w:t xml:space="preserve"> </w:t>
      </w:r>
      <w:r w:rsidRPr="006801F4">
        <w:rPr>
          <w:rFonts w:ascii="Arial Narrow" w:hAnsi="Arial Narrow"/>
          <w:b/>
        </w:rPr>
        <w:t>kapacitných dôvodov.</w:t>
      </w:r>
      <w:r>
        <w:rPr>
          <w:rFonts w:ascii="Arial Narrow" w:hAnsi="Arial Narrow"/>
          <w:b/>
        </w:rPr>
        <w:t xml:space="preserve"> </w:t>
      </w:r>
      <w:r w:rsidRPr="000D12E8">
        <w:rPr>
          <w:rFonts w:ascii="Arial Narrow" w:hAnsi="Arial Narrow"/>
          <w:b/>
        </w:rPr>
        <w:t>Tento stav je spôsobený</w:t>
      </w:r>
      <w:r>
        <w:rPr>
          <w:rFonts w:ascii="Arial Narrow" w:hAnsi="Arial Narrow"/>
          <w:b/>
        </w:rPr>
        <w:t xml:space="preserve"> </w:t>
      </w:r>
      <w:r w:rsidRPr="000D12E8">
        <w:rPr>
          <w:rFonts w:ascii="Arial Narrow" w:hAnsi="Arial Narrow"/>
          <w:b/>
        </w:rPr>
        <w:t xml:space="preserve">neideálnou distribúciou voľných miest na úrovni obcí. </w:t>
      </w:r>
      <w:r>
        <w:rPr>
          <w:rFonts w:ascii="Arial Narrow" w:hAnsi="Arial Narrow"/>
        </w:rPr>
        <w:t>V</w:t>
      </w:r>
      <w:r w:rsidRPr="00902FE0">
        <w:rPr>
          <w:rFonts w:ascii="Arial Narrow" w:hAnsi="Arial Narrow"/>
        </w:rPr>
        <w:t>äčšina MŠ, ktoré evid</w:t>
      </w:r>
      <w:r>
        <w:rPr>
          <w:rFonts w:ascii="Arial Narrow" w:hAnsi="Arial Narrow"/>
        </w:rPr>
        <w:t>ovali žiadosti o</w:t>
      </w:r>
      <w:r w:rsidR="006D20EF">
        <w:rPr>
          <w:rFonts w:ascii="Arial Narrow" w:hAnsi="Arial Narrow"/>
        </w:rPr>
        <w:t> </w:t>
      </w:r>
      <w:r>
        <w:rPr>
          <w:rFonts w:ascii="Arial Narrow" w:hAnsi="Arial Narrow"/>
        </w:rPr>
        <w:t>prijatie</w:t>
      </w:r>
      <w:r w:rsidR="006D20EF">
        <w:rPr>
          <w:rFonts w:ascii="Arial Narrow" w:hAnsi="Arial Narrow"/>
        </w:rPr>
        <w:t>,</w:t>
      </w:r>
      <w:r>
        <w:rPr>
          <w:rFonts w:ascii="Arial Narrow" w:hAnsi="Arial Narrow"/>
        </w:rPr>
        <w:t xml:space="preserve"> nemala</w:t>
      </w:r>
      <w:r w:rsidRPr="00902FE0">
        <w:rPr>
          <w:rFonts w:ascii="Arial Narrow" w:hAnsi="Arial Narrow"/>
        </w:rPr>
        <w:t xml:space="preserve"> voľnú kap</w:t>
      </w:r>
      <w:r>
        <w:rPr>
          <w:rFonts w:ascii="Arial Narrow" w:hAnsi="Arial Narrow"/>
        </w:rPr>
        <w:t>acitu a naopak väčšina MŠ, ktoré mali</w:t>
      </w:r>
      <w:r w:rsidRPr="00902FE0">
        <w:rPr>
          <w:rFonts w:ascii="Arial Narrow" w:hAnsi="Arial Narrow"/>
        </w:rPr>
        <w:t xml:space="preserve"> voľnú kapacitu</w:t>
      </w:r>
      <w:r w:rsidR="006D20EF">
        <w:rPr>
          <w:rFonts w:ascii="Arial Narrow" w:hAnsi="Arial Narrow"/>
        </w:rPr>
        <w:t>,</w:t>
      </w:r>
      <w:r w:rsidRPr="00902FE0">
        <w:rPr>
          <w:rFonts w:ascii="Arial Narrow" w:hAnsi="Arial Narrow"/>
        </w:rPr>
        <w:t xml:space="preserve"> </w:t>
      </w:r>
      <w:r>
        <w:rPr>
          <w:rFonts w:ascii="Arial Narrow" w:hAnsi="Arial Narrow"/>
        </w:rPr>
        <w:t xml:space="preserve">žiadosti o prijatie </w:t>
      </w:r>
      <w:r w:rsidRPr="00943817">
        <w:rPr>
          <w:rFonts w:ascii="Arial Narrow" w:hAnsi="Arial Narrow"/>
        </w:rPr>
        <w:t>neevidovali (</w:t>
      </w:r>
      <w:r w:rsidR="00041889" w:rsidRPr="00041889">
        <w:rPr>
          <w:rFonts w:ascii="Arial Narrow" w:hAnsi="Arial Narrow"/>
        </w:rPr>
        <w:fldChar w:fldCharType="begin"/>
      </w:r>
      <w:r w:rsidR="00041889" w:rsidRPr="00041889">
        <w:rPr>
          <w:rFonts w:ascii="Arial Narrow" w:hAnsi="Arial Narrow"/>
        </w:rPr>
        <w:instrText xml:space="preserve"> REF _Ref25651243 \h  \* MERGEFORMAT </w:instrText>
      </w:r>
      <w:r w:rsidR="00041889" w:rsidRPr="00041889">
        <w:rPr>
          <w:rFonts w:ascii="Arial Narrow" w:hAnsi="Arial Narrow"/>
        </w:rPr>
      </w:r>
      <w:r w:rsidR="00041889" w:rsidRPr="00041889">
        <w:rPr>
          <w:rFonts w:ascii="Arial Narrow" w:hAnsi="Arial Narrow"/>
        </w:rPr>
        <w:fldChar w:fldCharType="separate"/>
      </w:r>
      <w:r w:rsidR="00FA29AF" w:rsidRPr="00FA29AF">
        <w:rPr>
          <w:rFonts w:ascii="Arial Narrow" w:hAnsi="Arial Narrow"/>
        </w:rPr>
        <w:t>Graf P 1</w:t>
      </w:r>
      <w:r w:rsidR="00041889" w:rsidRPr="00041889">
        <w:rPr>
          <w:rFonts w:ascii="Arial Narrow" w:hAnsi="Arial Narrow"/>
        </w:rPr>
        <w:fldChar w:fldCharType="end"/>
      </w:r>
      <w:r w:rsidRPr="00943817">
        <w:rPr>
          <w:rFonts w:ascii="Arial Narrow" w:hAnsi="Arial Narrow"/>
        </w:rPr>
        <w:t xml:space="preserve">). </w:t>
      </w:r>
      <w:r>
        <w:rPr>
          <w:rFonts w:ascii="Arial Narrow" w:hAnsi="Arial Narrow"/>
        </w:rPr>
        <w:t>E</w:t>
      </w:r>
      <w:r w:rsidR="00EB0705">
        <w:rPr>
          <w:rFonts w:ascii="Arial Narrow" w:hAnsi="Arial Narrow"/>
        </w:rPr>
        <w:t>xistujú aj </w:t>
      </w:r>
      <w:r w:rsidRPr="00943817">
        <w:rPr>
          <w:rFonts w:ascii="Arial Narrow" w:hAnsi="Arial Narrow"/>
        </w:rPr>
        <w:t>MŠ, ktoré majú voľnú kapacitu</w:t>
      </w:r>
      <w:r w:rsidRPr="00943817">
        <w:rPr>
          <w:rStyle w:val="Odkaznapoznmkupodiarou"/>
        </w:rPr>
        <w:footnoteReference w:id="516"/>
      </w:r>
      <w:r w:rsidRPr="00943817">
        <w:rPr>
          <w:rFonts w:ascii="Arial Narrow" w:hAnsi="Arial Narrow"/>
        </w:rPr>
        <w:t xml:space="preserve"> a zároveň evidujú nevybavené žiadosti o prijatie. Táto</w:t>
      </w:r>
      <w:r>
        <w:rPr>
          <w:rFonts w:ascii="Arial Narrow" w:hAnsi="Arial Narrow"/>
        </w:rPr>
        <w:t xml:space="preserve"> nezrovnalosť môže byť spôsobená napríklad chybami, ku ktorým mohlo dôjsť pri zbere údajov o priestorových kapacitách alebo pri zbere údajov o počte nevybavených žiadostí. Môžu </w:t>
      </w:r>
      <w:r w:rsidR="00B24660">
        <w:rPr>
          <w:rFonts w:ascii="Arial Narrow" w:hAnsi="Arial Narrow"/>
        </w:rPr>
        <w:t>vyplýva</w:t>
      </w:r>
      <w:r>
        <w:rPr>
          <w:rFonts w:ascii="Arial Narrow" w:hAnsi="Arial Narrow"/>
        </w:rPr>
        <w:t>ť aj z charakteru priestoru MŠ</w:t>
      </w:r>
      <w:r>
        <w:rPr>
          <w:rStyle w:val="Odkaznapoznmkupodiarou"/>
        </w:rPr>
        <w:footnoteReference w:id="517"/>
      </w:r>
      <w:r>
        <w:rPr>
          <w:rFonts w:ascii="Arial Narrow" w:hAnsi="Arial Narrow"/>
        </w:rPr>
        <w:t xml:space="preserve"> alebo z implementačných problémov týkajúcich sa napr. dostatočného počtu detí pre vytvorenie ďalšej triedy, resp. zamestnania ďalšieho pedagogického zamestnanca a iných. Tieto skutočnosti nebolo možné vo výpočtoch zohľadniť.</w:t>
      </w:r>
      <w:r>
        <w:rPr>
          <w:rStyle w:val="Odkaznapoznmkupodiarou"/>
        </w:rPr>
        <w:footnoteReference w:id="518"/>
      </w:r>
    </w:p>
    <w:p w14:paraId="2E53C53D" w14:textId="1C00E966" w:rsidR="00AC3E65" w:rsidRDefault="00AC3E65" w:rsidP="00AC3E65">
      <w:pPr>
        <w:pStyle w:val="Bezriadkovania"/>
        <w:spacing w:before="160" w:after="240" w:line="259" w:lineRule="auto"/>
        <w:jc w:val="both"/>
        <w:rPr>
          <w:rFonts w:ascii="Arial Narrow" w:hAnsi="Arial Narrow"/>
        </w:rPr>
      </w:pPr>
      <w:r w:rsidRPr="00D2601C">
        <w:rPr>
          <w:rFonts w:ascii="Arial Narrow" w:hAnsi="Arial Narrow"/>
          <w:b/>
        </w:rPr>
        <w:t xml:space="preserve">Zo 130 miliónov eur alokovaných v programovom období 2014-2020 EŠIF na rozširovanie kapacít MŠ bolo </w:t>
      </w:r>
      <w:r w:rsidRPr="003A34DA">
        <w:rPr>
          <w:rFonts w:ascii="Arial Narrow" w:hAnsi="Arial Narrow"/>
          <w:b/>
        </w:rPr>
        <w:t>k decembru 2018</w:t>
      </w:r>
      <w:r w:rsidRPr="00D2601C">
        <w:rPr>
          <w:rFonts w:ascii="Arial Narrow" w:hAnsi="Arial Narrow"/>
          <w:b/>
        </w:rPr>
        <w:t xml:space="preserve"> zazmluvnených 68</w:t>
      </w:r>
      <w:r>
        <w:rPr>
          <w:rFonts w:ascii="Arial Narrow" w:hAnsi="Arial Narrow"/>
          <w:b/>
        </w:rPr>
        <w:t xml:space="preserve"> </w:t>
      </w:r>
      <w:r w:rsidRPr="00D2601C">
        <w:rPr>
          <w:rFonts w:ascii="Arial Narrow" w:hAnsi="Arial Narrow"/>
          <w:b/>
        </w:rPr>
        <w:t>% prostriedkov (približne 89 miliónov), vďaka ktorým bude vybudovaných 11 147 miest</w:t>
      </w:r>
      <w:r>
        <w:rPr>
          <w:rFonts w:ascii="Arial Narrow" w:hAnsi="Arial Narrow"/>
          <w:b/>
        </w:rPr>
        <w:t xml:space="preserve"> </w:t>
      </w:r>
      <w:r w:rsidRPr="00A0472F">
        <w:rPr>
          <w:rFonts w:ascii="Arial Narrow" w:hAnsi="Arial Narrow"/>
          <w:b/>
        </w:rPr>
        <w:t>(</w:t>
      </w:r>
      <w:r w:rsidR="00A0472F" w:rsidRPr="00A0472F">
        <w:rPr>
          <w:rFonts w:ascii="Arial Narrow" w:hAnsi="Arial Narrow"/>
          <w:b/>
        </w:rPr>
        <w:fldChar w:fldCharType="begin"/>
      </w:r>
      <w:r w:rsidR="00A0472F" w:rsidRPr="00A0472F">
        <w:rPr>
          <w:rFonts w:ascii="Arial Narrow" w:hAnsi="Arial Narrow"/>
          <w:b/>
        </w:rPr>
        <w:instrText xml:space="preserve"> REF _Ref25329900 \h </w:instrText>
      </w:r>
      <w:r w:rsidR="00A0472F">
        <w:rPr>
          <w:rFonts w:ascii="Arial Narrow" w:hAnsi="Arial Narrow"/>
          <w:b/>
        </w:rPr>
        <w:instrText xml:space="preserve"> \* MERGEFORMAT </w:instrText>
      </w:r>
      <w:r w:rsidR="00A0472F" w:rsidRPr="00A0472F">
        <w:rPr>
          <w:rFonts w:ascii="Arial Narrow" w:hAnsi="Arial Narrow"/>
          <w:b/>
        </w:rPr>
      </w:r>
      <w:r w:rsidR="00A0472F" w:rsidRPr="00A0472F">
        <w:rPr>
          <w:rFonts w:ascii="Arial Narrow" w:hAnsi="Arial Narrow"/>
          <w:b/>
        </w:rPr>
        <w:fldChar w:fldCharType="separate"/>
      </w:r>
      <w:r w:rsidR="00FA29AF" w:rsidRPr="00FA29AF">
        <w:rPr>
          <w:rFonts w:ascii="Arial Narrow" w:hAnsi="Arial Narrow"/>
          <w:b/>
        </w:rPr>
        <w:t>Tabuľka P 5</w:t>
      </w:r>
      <w:r w:rsidR="00A0472F" w:rsidRPr="00A0472F">
        <w:rPr>
          <w:rFonts w:ascii="Arial Narrow" w:hAnsi="Arial Narrow"/>
          <w:b/>
        </w:rPr>
        <w:fldChar w:fldCharType="end"/>
      </w:r>
      <w:r w:rsidRPr="00A0472F">
        <w:rPr>
          <w:rFonts w:ascii="Arial Narrow" w:hAnsi="Arial Narrow"/>
          <w:b/>
        </w:rPr>
        <w:t>).</w:t>
      </w:r>
      <w:r w:rsidRPr="00600CEF">
        <w:rPr>
          <w:rStyle w:val="Odkaznapoznmkupodiarou"/>
        </w:rPr>
        <w:footnoteReference w:id="519"/>
      </w:r>
      <w:r w:rsidR="006D20EF">
        <w:rPr>
          <w:rFonts w:ascii="Arial Narrow" w:hAnsi="Arial Narrow"/>
        </w:rPr>
        <w:t xml:space="preserve"> V O</w:t>
      </w:r>
      <w:r w:rsidRPr="00600CEF">
        <w:rPr>
          <w:rFonts w:ascii="Arial Narrow" w:hAnsi="Arial Narrow"/>
        </w:rPr>
        <w:t>peračnom</w:t>
      </w:r>
      <w:r w:rsidRPr="00D2601C">
        <w:rPr>
          <w:rFonts w:ascii="Arial Narrow" w:hAnsi="Arial Narrow"/>
        </w:rPr>
        <w:t xml:space="preserve"> programe Ľudsk</w:t>
      </w:r>
      <w:r w:rsidR="006D20EF">
        <w:rPr>
          <w:rFonts w:ascii="Arial Narrow" w:hAnsi="Arial Narrow"/>
        </w:rPr>
        <w:t>é zdroje, kde je vyčlenených 50 </w:t>
      </w:r>
      <w:r w:rsidRPr="00D2601C">
        <w:rPr>
          <w:rFonts w:ascii="Arial Narrow" w:hAnsi="Arial Narrow"/>
        </w:rPr>
        <w:t>miliónov eur, bola zazmluvnená tvorba 4 216 nových miest v MŠ a v Integrovanom regionálnom operačnom programe, kde je vyčlenených takmer 80 miliónov eur, bolo zazmluvnených vytvorenie</w:t>
      </w:r>
      <w:r>
        <w:rPr>
          <w:rFonts w:ascii="Arial Narrow" w:hAnsi="Arial Narrow"/>
        </w:rPr>
        <w:t xml:space="preserve"> 6 931 miest v MŠ. </w:t>
      </w:r>
      <w:r w:rsidRPr="00D2601C">
        <w:rPr>
          <w:rFonts w:ascii="Arial Narrow" w:hAnsi="Arial Narrow"/>
        </w:rPr>
        <w:t>Odhadovaný počet ďalších miest, ktoré by mohli byť potenciálne vytvorené zo zos</w:t>
      </w:r>
      <w:r w:rsidR="006D20EF">
        <w:rPr>
          <w:rFonts w:ascii="Arial Narrow" w:hAnsi="Arial Narrow"/>
        </w:rPr>
        <w:t>távajúcich prostriedkov EŠIF je </w:t>
      </w:r>
      <w:r w:rsidRPr="00D2601C">
        <w:rPr>
          <w:rFonts w:ascii="Arial Narrow" w:hAnsi="Arial Narrow"/>
        </w:rPr>
        <w:t>5</w:t>
      </w:r>
      <w:r>
        <w:rPr>
          <w:rFonts w:ascii="Arial Narrow" w:hAnsi="Arial Narrow"/>
        </w:rPr>
        <w:t> </w:t>
      </w:r>
      <w:r w:rsidRPr="00D2601C">
        <w:rPr>
          <w:rFonts w:ascii="Arial Narrow" w:hAnsi="Arial Narrow"/>
        </w:rPr>
        <w:t>619.</w:t>
      </w:r>
    </w:p>
    <w:p w14:paraId="2D4A375B" w14:textId="1F49A3B9" w:rsidR="00E353C5" w:rsidRDefault="00E353C5" w:rsidP="00AC3E65">
      <w:pPr>
        <w:pStyle w:val="Bezriadkovania"/>
        <w:spacing w:before="160" w:after="240" w:line="259" w:lineRule="auto"/>
        <w:jc w:val="both"/>
        <w:rPr>
          <w:rFonts w:ascii="Arial Narrow" w:hAnsi="Arial Narrow"/>
        </w:rPr>
      </w:pPr>
      <w:r w:rsidRPr="00D2601C">
        <w:rPr>
          <w:rFonts w:ascii="Arial Narrow" w:hAnsi="Arial Narrow"/>
          <w:b/>
        </w:rPr>
        <w:t>Aj po využití</w:t>
      </w:r>
      <w:r>
        <w:rPr>
          <w:rFonts w:ascii="Arial Narrow" w:hAnsi="Arial Narrow"/>
          <w:b/>
        </w:rPr>
        <w:t xml:space="preserve"> </w:t>
      </w:r>
      <w:r w:rsidRPr="00D2601C">
        <w:rPr>
          <w:rFonts w:ascii="Arial Narrow" w:hAnsi="Arial Narrow"/>
          <w:b/>
        </w:rPr>
        <w:t>zostávajúcich prostriedkov EŠIF na rozširovanie kapacít MŠ existuje riziko, že po zavedení povinnej predškolskej výchovy pre deti, ktoré majú rok pred nástupom na povinnú školskú dochádzku, kapacity materských škôl nebudú postačujúce.</w:t>
      </w:r>
      <w:r>
        <w:rPr>
          <w:rStyle w:val="Odkaznapoznmkupodiarou"/>
          <w:b/>
        </w:rPr>
        <w:footnoteReference w:id="520"/>
      </w:r>
      <w:r w:rsidRPr="00D2601C">
        <w:rPr>
          <w:rFonts w:ascii="Arial Narrow" w:hAnsi="Arial Narrow"/>
        </w:rPr>
        <w:t xml:space="preserve"> </w:t>
      </w:r>
      <w:r>
        <w:rPr>
          <w:rFonts w:ascii="Arial Narrow" w:hAnsi="Arial Narrow"/>
        </w:rPr>
        <w:t>Z</w:t>
      </w:r>
      <w:r w:rsidRPr="00D2601C">
        <w:rPr>
          <w:rFonts w:ascii="Arial Narrow" w:hAnsi="Arial Narrow"/>
        </w:rPr>
        <w:t xml:space="preserve">aškolenosť 5-ročných detí v MŠ </w:t>
      </w:r>
      <w:r>
        <w:rPr>
          <w:rFonts w:ascii="Arial Narrow" w:hAnsi="Arial Narrow"/>
        </w:rPr>
        <w:t>je v roku 2018 na úrovni 84 </w:t>
      </w:r>
      <w:r w:rsidRPr="00D2601C">
        <w:rPr>
          <w:rFonts w:ascii="Arial Narrow" w:hAnsi="Arial Narrow"/>
        </w:rPr>
        <w:t xml:space="preserve">%, čo predstavuje 9 </w:t>
      </w:r>
      <w:r>
        <w:rPr>
          <w:rFonts w:ascii="Arial Narrow" w:hAnsi="Arial Narrow"/>
        </w:rPr>
        <w:t>601</w:t>
      </w:r>
      <w:r w:rsidRPr="00D2601C">
        <w:rPr>
          <w:rFonts w:ascii="Arial Narrow" w:hAnsi="Arial Narrow"/>
        </w:rPr>
        <w:t xml:space="preserve"> nezaškolených detí.</w:t>
      </w:r>
      <w:r w:rsidRPr="00D2601C">
        <w:rPr>
          <w:rStyle w:val="Odkaznapoznmkupodiarou"/>
        </w:rPr>
        <w:footnoteReference w:id="521"/>
      </w:r>
      <w:r w:rsidRPr="00D2601C">
        <w:rPr>
          <w:rFonts w:ascii="Arial Narrow" w:hAnsi="Arial Narrow"/>
        </w:rPr>
        <w:t xml:space="preserve"> Prepočty ohľadom doterajši</w:t>
      </w:r>
      <w:r w:rsidR="006D20EF">
        <w:rPr>
          <w:rFonts w:ascii="Arial Narrow" w:hAnsi="Arial Narrow"/>
        </w:rPr>
        <w:t>eho čerpania EŠIF naznačujú, že </w:t>
      </w:r>
      <w:r w:rsidRPr="00D2601C">
        <w:rPr>
          <w:rFonts w:ascii="Arial Narrow" w:hAnsi="Arial Narrow"/>
        </w:rPr>
        <w:t>z</w:t>
      </w:r>
      <w:r>
        <w:rPr>
          <w:rFonts w:ascii="Arial Narrow" w:hAnsi="Arial Narrow"/>
        </w:rPr>
        <w:t>o </w:t>
      </w:r>
      <w:r w:rsidRPr="008B2769">
        <w:rPr>
          <w:rFonts w:ascii="Arial Narrow" w:hAnsi="Arial Narrow"/>
        </w:rPr>
        <w:t xml:space="preserve">zazmluvnených miest by mohla byť práve nezaškolenými 5-ročnými obsadená približne tretina (spolu 3 </w:t>
      </w:r>
      <w:r>
        <w:rPr>
          <w:rFonts w:ascii="Arial Narrow" w:hAnsi="Arial Narrow"/>
        </w:rPr>
        <w:t>314</w:t>
      </w:r>
      <w:r w:rsidRPr="008B2769">
        <w:rPr>
          <w:rFonts w:ascii="Arial Narrow" w:hAnsi="Arial Narrow"/>
        </w:rPr>
        <w:t xml:space="preserve"> miest,</w:t>
      </w:r>
      <w:r w:rsidR="00A0472F" w:rsidRPr="00A0472F">
        <w:rPr>
          <w:rFonts w:ascii="Arial Narrow" w:hAnsi="Arial Narrow"/>
          <w:b/>
        </w:rPr>
        <w:t xml:space="preserve"> </w:t>
      </w:r>
      <w:r w:rsidR="00A0472F" w:rsidRPr="00A0472F">
        <w:rPr>
          <w:rFonts w:ascii="Arial Narrow" w:hAnsi="Arial Narrow"/>
          <w:b/>
        </w:rPr>
        <w:fldChar w:fldCharType="begin"/>
      </w:r>
      <w:r w:rsidR="00A0472F" w:rsidRPr="00A0472F">
        <w:rPr>
          <w:rFonts w:ascii="Arial Narrow" w:hAnsi="Arial Narrow"/>
          <w:b/>
        </w:rPr>
        <w:instrText xml:space="preserve"> REF _Ref25329900 \h </w:instrText>
      </w:r>
      <w:r w:rsidR="00A0472F">
        <w:rPr>
          <w:rFonts w:ascii="Arial Narrow" w:hAnsi="Arial Narrow"/>
          <w:b/>
        </w:rPr>
        <w:instrText xml:space="preserve"> \* MERGEFORMAT </w:instrText>
      </w:r>
      <w:r w:rsidR="00A0472F" w:rsidRPr="00A0472F">
        <w:rPr>
          <w:rFonts w:ascii="Arial Narrow" w:hAnsi="Arial Narrow"/>
          <w:b/>
        </w:rPr>
      </w:r>
      <w:r w:rsidR="00A0472F" w:rsidRPr="00A0472F">
        <w:rPr>
          <w:rFonts w:ascii="Arial Narrow" w:hAnsi="Arial Narrow"/>
          <w:b/>
        </w:rPr>
        <w:fldChar w:fldCharType="separate"/>
      </w:r>
      <w:r w:rsidR="00FA29AF" w:rsidRPr="00FA29AF">
        <w:rPr>
          <w:rFonts w:ascii="Arial Narrow" w:hAnsi="Arial Narrow"/>
        </w:rPr>
        <w:t>Tabuľka P 5</w:t>
      </w:r>
      <w:r w:rsidR="00A0472F" w:rsidRPr="00A0472F">
        <w:rPr>
          <w:rFonts w:ascii="Arial Narrow" w:hAnsi="Arial Narrow"/>
          <w:b/>
        </w:rPr>
        <w:fldChar w:fldCharType="end"/>
      </w:r>
      <w:r w:rsidRPr="008B2769">
        <w:rPr>
          <w:rFonts w:ascii="Arial Narrow" w:hAnsi="Arial Narrow"/>
        </w:rPr>
        <w:t>).</w:t>
      </w:r>
      <w:r w:rsidRPr="008B2769">
        <w:rPr>
          <w:rStyle w:val="Odkaznapoznmkupodiarou"/>
        </w:rPr>
        <w:footnoteReference w:id="522"/>
      </w:r>
      <w:r w:rsidRPr="008B2769">
        <w:rPr>
          <w:rFonts w:ascii="Arial Narrow" w:hAnsi="Arial Narrow"/>
        </w:rPr>
        <w:t xml:space="preserve"> Po vybudovaní všetkých aktuálne zazmluvnených kapacít </w:t>
      </w:r>
      <w:r>
        <w:rPr>
          <w:rFonts w:ascii="Arial Narrow" w:hAnsi="Arial Narrow"/>
        </w:rPr>
        <w:t>a zohľadnení voľných kapacít sa </w:t>
      </w:r>
      <w:r w:rsidRPr="008B2769">
        <w:rPr>
          <w:rFonts w:ascii="Arial Narrow" w:hAnsi="Arial Narrow"/>
        </w:rPr>
        <w:t>najvyšší počet nezaškolených</w:t>
      </w:r>
      <w:r w:rsidRPr="00AC72A8">
        <w:rPr>
          <w:rFonts w:ascii="Arial Narrow" w:hAnsi="Arial Narrow"/>
        </w:rPr>
        <w:t xml:space="preserve"> 5-ročných detí očakáva v Trebišove (16</w:t>
      </w:r>
      <w:r>
        <w:rPr>
          <w:rFonts w:ascii="Arial Narrow" w:hAnsi="Arial Narrow"/>
        </w:rPr>
        <w:t>1</w:t>
      </w:r>
      <w:r w:rsidRPr="00AC72A8">
        <w:rPr>
          <w:rFonts w:ascii="Arial Narrow" w:hAnsi="Arial Narrow"/>
        </w:rPr>
        <w:t xml:space="preserve"> detí), Bratislave-Petržalke (10</w:t>
      </w:r>
      <w:r>
        <w:rPr>
          <w:rFonts w:ascii="Arial Narrow" w:hAnsi="Arial Narrow"/>
        </w:rPr>
        <w:t>7</w:t>
      </w:r>
      <w:r w:rsidRPr="00AC72A8">
        <w:rPr>
          <w:rFonts w:ascii="Arial Narrow" w:hAnsi="Arial Narrow"/>
        </w:rPr>
        <w:t xml:space="preserve"> detí),</w:t>
      </w:r>
      <w:r w:rsidR="0070047D">
        <w:rPr>
          <w:rFonts w:ascii="Arial Narrow" w:hAnsi="Arial Narrow"/>
        </w:rPr>
        <w:t xml:space="preserve"> </w:t>
      </w:r>
      <w:r w:rsidRPr="00AC72A8">
        <w:rPr>
          <w:rFonts w:ascii="Arial Narrow" w:hAnsi="Arial Narrow"/>
        </w:rPr>
        <w:t xml:space="preserve">Richnave (91 detí), </w:t>
      </w:r>
      <w:r>
        <w:rPr>
          <w:rFonts w:ascii="Arial Narrow" w:hAnsi="Arial Narrow"/>
        </w:rPr>
        <w:t>Bratislave-Ružinove (85</w:t>
      </w:r>
      <w:r w:rsidRPr="00AC72A8">
        <w:rPr>
          <w:rFonts w:ascii="Arial Narrow" w:hAnsi="Arial Narrow"/>
        </w:rPr>
        <w:t xml:space="preserve"> detí)</w:t>
      </w:r>
      <w:r>
        <w:rPr>
          <w:rFonts w:ascii="Arial Narrow" w:hAnsi="Arial Narrow"/>
        </w:rPr>
        <w:t xml:space="preserve">, </w:t>
      </w:r>
      <w:r w:rsidRPr="00AC72A8">
        <w:rPr>
          <w:rFonts w:ascii="Arial Narrow" w:hAnsi="Arial Narrow"/>
        </w:rPr>
        <w:t>Michalovciach (8</w:t>
      </w:r>
      <w:r>
        <w:rPr>
          <w:rFonts w:ascii="Arial Narrow" w:hAnsi="Arial Narrow"/>
        </w:rPr>
        <w:t>2</w:t>
      </w:r>
      <w:r w:rsidRPr="00AC72A8">
        <w:rPr>
          <w:rFonts w:ascii="Arial Narrow" w:hAnsi="Arial Narrow"/>
        </w:rPr>
        <w:t xml:space="preserve"> detí) a Podhoranoch (6</w:t>
      </w:r>
      <w:r>
        <w:rPr>
          <w:rFonts w:ascii="Arial Narrow" w:hAnsi="Arial Narrow"/>
        </w:rPr>
        <w:t>7</w:t>
      </w:r>
      <w:r w:rsidRPr="00AC72A8">
        <w:rPr>
          <w:rFonts w:ascii="Arial Narrow" w:hAnsi="Arial Narrow"/>
        </w:rPr>
        <w:t xml:space="preserve"> detí).</w:t>
      </w:r>
      <w:r w:rsidRPr="00AC72A8">
        <w:rPr>
          <w:rStyle w:val="Odkaznapoznmkupodiarou"/>
        </w:rPr>
        <w:footnoteReference w:id="523"/>
      </w:r>
    </w:p>
    <w:p w14:paraId="5EC27752" w14:textId="5DE40656" w:rsidR="00AC3E65" w:rsidRPr="009B0BF7" w:rsidRDefault="00A0472F" w:rsidP="009B0BF7">
      <w:pPr>
        <w:spacing w:after="0" w:line="240" w:lineRule="auto"/>
        <w:rPr>
          <w:b/>
          <w:sz w:val="20"/>
        </w:rPr>
      </w:pPr>
      <w:bookmarkStart w:id="1889" w:name="_Ref25329900"/>
      <w:bookmarkStart w:id="1890" w:name="_Toc535498773"/>
      <w:bookmarkEnd w:id="1885"/>
      <w:bookmarkEnd w:id="1886"/>
      <w:r w:rsidRPr="009B0BF7">
        <w:rPr>
          <w:b/>
          <w:sz w:val="20"/>
        </w:rPr>
        <w:t xml:space="preserve">Tabuľka P </w:t>
      </w:r>
      <w:r w:rsidR="00943975">
        <w:rPr>
          <w:b/>
          <w:sz w:val="20"/>
        </w:rPr>
        <w:fldChar w:fldCharType="begin"/>
      </w:r>
      <w:r w:rsidR="00943975">
        <w:rPr>
          <w:b/>
          <w:sz w:val="20"/>
        </w:rPr>
        <w:instrText xml:space="preserve"> SEQ Tabuľka_P \* ARABIC </w:instrText>
      </w:r>
      <w:r w:rsidR="00943975">
        <w:rPr>
          <w:b/>
          <w:sz w:val="20"/>
        </w:rPr>
        <w:fldChar w:fldCharType="separate"/>
      </w:r>
      <w:r w:rsidR="00FA29AF">
        <w:rPr>
          <w:b/>
          <w:noProof/>
          <w:sz w:val="20"/>
        </w:rPr>
        <w:t>5</w:t>
      </w:r>
      <w:r w:rsidR="00943975">
        <w:rPr>
          <w:b/>
          <w:sz w:val="20"/>
        </w:rPr>
        <w:fldChar w:fldCharType="end"/>
      </w:r>
      <w:bookmarkEnd w:id="1889"/>
      <w:r w:rsidRPr="009B0BF7">
        <w:rPr>
          <w:b/>
          <w:sz w:val="20"/>
        </w:rPr>
        <w:t xml:space="preserve"> </w:t>
      </w:r>
      <w:r w:rsidR="00AC3E65" w:rsidRPr="009B0BF7">
        <w:rPr>
          <w:b/>
          <w:sz w:val="20"/>
        </w:rPr>
        <w:t>: Počet potenciálnych miest v materských školách zo zostávajúcich prostriedkov EŠIF</w:t>
      </w:r>
      <w:bookmarkEnd w:id="1890"/>
    </w:p>
    <w:tbl>
      <w:tblPr>
        <w:tblW w:w="9035" w:type="dxa"/>
        <w:tblCellMar>
          <w:left w:w="70" w:type="dxa"/>
          <w:right w:w="70" w:type="dxa"/>
        </w:tblCellMar>
        <w:tblLook w:val="04A0" w:firstRow="1" w:lastRow="0" w:firstColumn="1" w:lastColumn="0" w:noHBand="0" w:noVBand="1"/>
      </w:tblPr>
      <w:tblGrid>
        <w:gridCol w:w="4395"/>
        <w:gridCol w:w="1559"/>
        <w:gridCol w:w="2126"/>
        <w:gridCol w:w="955"/>
      </w:tblGrid>
      <w:tr w:rsidR="00AC3E65" w:rsidRPr="00E32A3F" w14:paraId="4C43C1A5" w14:textId="77777777" w:rsidTr="00F92AC0">
        <w:trPr>
          <w:trHeight w:val="660"/>
        </w:trPr>
        <w:tc>
          <w:tcPr>
            <w:tcW w:w="4395" w:type="dxa"/>
            <w:tcBorders>
              <w:top w:val="single" w:sz="4" w:space="0" w:color="auto"/>
              <w:left w:val="nil"/>
              <w:bottom w:val="single" w:sz="4" w:space="0" w:color="auto"/>
              <w:right w:val="nil"/>
            </w:tcBorders>
            <w:shd w:val="clear" w:color="000000" w:fill="FFFFFF"/>
            <w:noWrap/>
            <w:vAlign w:val="center"/>
            <w:hideMark/>
          </w:tcPr>
          <w:p w14:paraId="65686D89" w14:textId="77777777" w:rsidR="00AC3E65" w:rsidRPr="00E85970" w:rsidRDefault="00AC3E65" w:rsidP="00F92AC0">
            <w:pPr>
              <w:spacing w:after="0" w:line="240" w:lineRule="auto"/>
              <w:jc w:val="center"/>
              <w:rPr>
                <w:rFonts w:eastAsia="Times New Roman" w:cs="Times New Roman"/>
                <w:color w:val="000000"/>
                <w:sz w:val="20"/>
                <w:lang w:eastAsia="sk-SK"/>
              </w:rPr>
            </w:pPr>
          </w:p>
        </w:tc>
        <w:tc>
          <w:tcPr>
            <w:tcW w:w="1559" w:type="dxa"/>
            <w:tcBorders>
              <w:top w:val="single" w:sz="4" w:space="0" w:color="auto"/>
              <w:left w:val="nil"/>
              <w:bottom w:val="single" w:sz="4" w:space="0" w:color="auto"/>
              <w:right w:val="nil"/>
            </w:tcBorders>
            <w:shd w:val="clear" w:color="000000" w:fill="FFFFFF"/>
            <w:noWrap/>
            <w:vAlign w:val="center"/>
            <w:hideMark/>
          </w:tcPr>
          <w:p w14:paraId="723F1E6C" w14:textId="77777777" w:rsidR="00AC3E65" w:rsidRPr="00E85970" w:rsidRDefault="00AC3E65" w:rsidP="00F92AC0">
            <w:pPr>
              <w:spacing w:after="0" w:line="240" w:lineRule="auto"/>
              <w:jc w:val="center"/>
              <w:rPr>
                <w:rFonts w:eastAsia="Times New Roman" w:cs="Times New Roman"/>
                <w:b/>
                <w:bCs/>
                <w:color w:val="000000"/>
                <w:sz w:val="20"/>
                <w:lang w:eastAsia="sk-SK"/>
              </w:rPr>
            </w:pPr>
            <w:r w:rsidRPr="00E85970">
              <w:rPr>
                <w:rFonts w:eastAsia="Times New Roman" w:cs="Times New Roman"/>
                <w:b/>
                <w:bCs/>
                <w:color w:val="000000"/>
                <w:sz w:val="20"/>
                <w:lang w:eastAsia="sk-SK"/>
              </w:rPr>
              <w:t>OP Ľudské zdroje (MV SR)</w:t>
            </w:r>
          </w:p>
        </w:tc>
        <w:tc>
          <w:tcPr>
            <w:tcW w:w="2126" w:type="dxa"/>
            <w:tcBorders>
              <w:top w:val="single" w:sz="4" w:space="0" w:color="auto"/>
              <w:left w:val="nil"/>
              <w:bottom w:val="single" w:sz="4" w:space="0" w:color="auto"/>
              <w:right w:val="nil"/>
            </w:tcBorders>
            <w:shd w:val="clear" w:color="000000" w:fill="FFFFFF"/>
            <w:vAlign w:val="center"/>
            <w:hideMark/>
          </w:tcPr>
          <w:p w14:paraId="7A7F0686" w14:textId="77777777" w:rsidR="00AC3E65" w:rsidRPr="00E85970" w:rsidRDefault="00AC3E65" w:rsidP="00F92AC0">
            <w:pPr>
              <w:spacing w:after="0" w:line="240" w:lineRule="auto"/>
              <w:jc w:val="center"/>
              <w:rPr>
                <w:rFonts w:eastAsia="Times New Roman" w:cs="Times New Roman"/>
                <w:b/>
                <w:bCs/>
                <w:color w:val="000000"/>
                <w:sz w:val="20"/>
                <w:lang w:eastAsia="sk-SK"/>
              </w:rPr>
            </w:pPr>
            <w:r w:rsidRPr="00E85970">
              <w:rPr>
                <w:rFonts w:eastAsia="Times New Roman" w:cs="Times New Roman"/>
                <w:b/>
                <w:bCs/>
                <w:color w:val="000000"/>
                <w:sz w:val="20"/>
                <w:lang w:eastAsia="sk-SK"/>
              </w:rPr>
              <w:t>Integrovaný regionálny operačný program (MPaRV SR)</w:t>
            </w:r>
          </w:p>
        </w:tc>
        <w:tc>
          <w:tcPr>
            <w:tcW w:w="955" w:type="dxa"/>
            <w:tcBorders>
              <w:top w:val="single" w:sz="4" w:space="0" w:color="auto"/>
              <w:left w:val="nil"/>
              <w:bottom w:val="single" w:sz="4" w:space="0" w:color="auto"/>
              <w:right w:val="nil"/>
            </w:tcBorders>
            <w:shd w:val="clear" w:color="000000" w:fill="FFFFFF"/>
            <w:noWrap/>
            <w:vAlign w:val="center"/>
            <w:hideMark/>
          </w:tcPr>
          <w:p w14:paraId="762A3518" w14:textId="77777777" w:rsidR="00AC3E65" w:rsidRPr="00E85970" w:rsidRDefault="00AC3E65" w:rsidP="00F92AC0">
            <w:pPr>
              <w:spacing w:after="0" w:line="240" w:lineRule="auto"/>
              <w:jc w:val="center"/>
              <w:rPr>
                <w:rFonts w:eastAsia="Times New Roman" w:cs="Times New Roman"/>
                <w:b/>
                <w:bCs/>
                <w:color w:val="000000"/>
                <w:sz w:val="20"/>
                <w:lang w:eastAsia="sk-SK"/>
              </w:rPr>
            </w:pPr>
            <w:r w:rsidRPr="00E85970">
              <w:rPr>
                <w:rFonts w:eastAsia="Times New Roman" w:cs="Times New Roman"/>
                <w:b/>
                <w:bCs/>
                <w:color w:val="000000"/>
                <w:sz w:val="20"/>
                <w:lang w:eastAsia="sk-SK"/>
              </w:rPr>
              <w:t>Spolu</w:t>
            </w:r>
          </w:p>
        </w:tc>
      </w:tr>
      <w:tr w:rsidR="00AC3E65" w:rsidRPr="00E32A3F" w14:paraId="3BD50E0B" w14:textId="77777777" w:rsidTr="00AC5876">
        <w:trPr>
          <w:trHeight w:val="284"/>
        </w:trPr>
        <w:tc>
          <w:tcPr>
            <w:tcW w:w="4395" w:type="dxa"/>
            <w:tcBorders>
              <w:top w:val="nil"/>
              <w:left w:val="nil"/>
              <w:bottom w:val="nil"/>
              <w:right w:val="nil"/>
            </w:tcBorders>
            <w:shd w:val="clear" w:color="000000" w:fill="FFFFFF"/>
            <w:vAlign w:val="center"/>
            <w:hideMark/>
          </w:tcPr>
          <w:p w14:paraId="5E68AE62" w14:textId="77777777" w:rsidR="00AC3E65" w:rsidRPr="00E85970" w:rsidRDefault="00AC3E65" w:rsidP="00F92AC0">
            <w:pPr>
              <w:spacing w:after="0" w:line="240" w:lineRule="auto"/>
              <w:jc w:val="left"/>
              <w:rPr>
                <w:rFonts w:eastAsia="Times New Roman" w:cs="Times New Roman"/>
                <w:b/>
                <w:bCs/>
                <w:color w:val="000000"/>
                <w:sz w:val="20"/>
                <w:lang w:eastAsia="sk-SK"/>
              </w:rPr>
            </w:pPr>
            <w:r w:rsidRPr="00E85970">
              <w:rPr>
                <w:rFonts w:eastAsia="Times New Roman" w:cs="Times New Roman"/>
                <w:b/>
                <w:bCs/>
                <w:color w:val="000000"/>
                <w:sz w:val="20"/>
                <w:lang w:eastAsia="sk-SK"/>
              </w:rPr>
              <w:t>Alokácia (v mil. eur)</w:t>
            </w:r>
          </w:p>
        </w:tc>
        <w:tc>
          <w:tcPr>
            <w:tcW w:w="1559" w:type="dxa"/>
            <w:tcBorders>
              <w:top w:val="nil"/>
              <w:left w:val="nil"/>
              <w:bottom w:val="nil"/>
              <w:right w:val="nil"/>
            </w:tcBorders>
            <w:shd w:val="clear" w:color="000000" w:fill="FFFFFF"/>
            <w:noWrap/>
            <w:vAlign w:val="center"/>
            <w:hideMark/>
          </w:tcPr>
          <w:p w14:paraId="70F6BE77" w14:textId="77777777" w:rsidR="00AC3E65" w:rsidRPr="00E85970" w:rsidRDefault="00AC3E65" w:rsidP="00F92AC0">
            <w:pPr>
              <w:spacing w:after="0" w:line="240" w:lineRule="auto"/>
              <w:jc w:val="right"/>
              <w:rPr>
                <w:rFonts w:eastAsia="Times New Roman" w:cs="Times New Roman"/>
                <w:color w:val="000000"/>
                <w:sz w:val="20"/>
                <w:lang w:eastAsia="sk-SK"/>
              </w:rPr>
            </w:pPr>
            <w:r w:rsidRPr="00E85970">
              <w:rPr>
                <w:rFonts w:eastAsia="Times New Roman" w:cs="Times New Roman"/>
                <w:color w:val="000000"/>
                <w:sz w:val="20"/>
                <w:lang w:eastAsia="sk-SK"/>
              </w:rPr>
              <w:t>50,0</w:t>
            </w:r>
          </w:p>
        </w:tc>
        <w:tc>
          <w:tcPr>
            <w:tcW w:w="2126" w:type="dxa"/>
            <w:tcBorders>
              <w:top w:val="nil"/>
              <w:left w:val="nil"/>
              <w:bottom w:val="nil"/>
              <w:right w:val="nil"/>
            </w:tcBorders>
            <w:shd w:val="clear" w:color="000000" w:fill="FFFFFF"/>
            <w:noWrap/>
            <w:vAlign w:val="center"/>
            <w:hideMark/>
          </w:tcPr>
          <w:p w14:paraId="44F5C567" w14:textId="77777777" w:rsidR="00AC3E65" w:rsidRPr="00E85970" w:rsidRDefault="00AC3E65" w:rsidP="00F92AC0">
            <w:pPr>
              <w:spacing w:after="0" w:line="240" w:lineRule="auto"/>
              <w:jc w:val="right"/>
              <w:rPr>
                <w:rFonts w:eastAsia="Times New Roman" w:cs="Times New Roman"/>
                <w:color w:val="000000"/>
                <w:sz w:val="20"/>
                <w:lang w:eastAsia="sk-SK"/>
              </w:rPr>
            </w:pPr>
            <w:r w:rsidRPr="00E85970">
              <w:rPr>
                <w:rFonts w:eastAsia="Times New Roman" w:cs="Times New Roman"/>
                <w:color w:val="000000"/>
                <w:sz w:val="20"/>
                <w:lang w:eastAsia="sk-SK"/>
              </w:rPr>
              <w:t>79,8</w:t>
            </w:r>
          </w:p>
        </w:tc>
        <w:tc>
          <w:tcPr>
            <w:tcW w:w="955" w:type="dxa"/>
            <w:tcBorders>
              <w:top w:val="nil"/>
              <w:left w:val="nil"/>
              <w:bottom w:val="nil"/>
              <w:right w:val="nil"/>
            </w:tcBorders>
            <w:shd w:val="clear" w:color="000000" w:fill="FFFFFF"/>
            <w:noWrap/>
            <w:vAlign w:val="center"/>
            <w:hideMark/>
          </w:tcPr>
          <w:p w14:paraId="23A2E918" w14:textId="77777777" w:rsidR="00AC3E65" w:rsidRPr="00E85970" w:rsidRDefault="00AC3E65" w:rsidP="00F92AC0">
            <w:pPr>
              <w:spacing w:after="0" w:line="240" w:lineRule="auto"/>
              <w:jc w:val="right"/>
              <w:rPr>
                <w:rFonts w:eastAsia="Times New Roman" w:cs="Times New Roman"/>
                <w:color w:val="000000"/>
                <w:sz w:val="20"/>
                <w:lang w:eastAsia="sk-SK"/>
              </w:rPr>
            </w:pPr>
            <w:r w:rsidRPr="00E85970">
              <w:rPr>
                <w:rFonts w:eastAsia="Times New Roman" w:cs="Times New Roman"/>
                <w:color w:val="000000"/>
                <w:sz w:val="20"/>
                <w:lang w:eastAsia="sk-SK"/>
              </w:rPr>
              <w:t>129,8</w:t>
            </w:r>
          </w:p>
        </w:tc>
      </w:tr>
      <w:tr w:rsidR="00AC3E65" w:rsidRPr="00E32A3F" w14:paraId="02F36B35" w14:textId="77777777" w:rsidTr="00AC5876">
        <w:trPr>
          <w:trHeight w:val="284"/>
        </w:trPr>
        <w:tc>
          <w:tcPr>
            <w:tcW w:w="4395" w:type="dxa"/>
            <w:tcBorders>
              <w:top w:val="nil"/>
              <w:left w:val="nil"/>
              <w:bottom w:val="nil"/>
              <w:right w:val="nil"/>
            </w:tcBorders>
            <w:shd w:val="clear" w:color="000000" w:fill="FFFFFF"/>
            <w:vAlign w:val="center"/>
            <w:hideMark/>
          </w:tcPr>
          <w:p w14:paraId="77888B0B" w14:textId="77777777" w:rsidR="00AC3E65" w:rsidRPr="00E85970" w:rsidRDefault="00AC3E65" w:rsidP="00F92AC0">
            <w:pPr>
              <w:spacing w:after="0" w:line="240" w:lineRule="auto"/>
              <w:jc w:val="left"/>
              <w:rPr>
                <w:rFonts w:eastAsia="Times New Roman" w:cs="Times New Roman"/>
                <w:b/>
                <w:bCs/>
                <w:color w:val="000000"/>
                <w:sz w:val="20"/>
                <w:lang w:eastAsia="sk-SK"/>
              </w:rPr>
            </w:pPr>
            <w:r w:rsidRPr="00E85970">
              <w:rPr>
                <w:rFonts w:eastAsia="Times New Roman" w:cs="Times New Roman"/>
                <w:b/>
                <w:bCs/>
                <w:color w:val="000000"/>
                <w:sz w:val="20"/>
                <w:lang w:eastAsia="sk-SK"/>
              </w:rPr>
              <w:t>Zazmluvnené/schválené prostriedky (v mil. eur)</w:t>
            </w:r>
          </w:p>
        </w:tc>
        <w:tc>
          <w:tcPr>
            <w:tcW w:w="1559" w:type="dxa"/>
            <w:tcBorders>
              <w:top w:val="nil"/>
              <w:left w:val="nil"/>
              <w:bottom w:val="nil"/>
              <w:right w:val="nil"/>
            </w:tcBorders>
            <w:shd w:val="clear" w:color="000000" w:fill="FFFFFF"/>
            <w:noWrap/>
            <w:vAlign w:val="center"/>
            <w:hideMark/>
          </w:tcPr>
          <w:p w14:paraId="4C4B1709" w14:textId="77777777" w:rsidR="00AC3E65" w:rsidRPr="00E85970" w:rsidRDefault="00AC3E65" w:rsidP="00F92AC0">
            <w:pPr>
              <w:spacing w:after="0" w:line="240" w:lineRule="auto"/>
              <w:jc w:val="right"/>
              <w:rPr>
                <w:rFonts w:eastAsia="Times New Roman" w:cs="Times New Roman"/>
                <w:color w:val="000000"/>
                <w:sz w:val="20"/>
                <w:lang w:eastAsia="sk-SK"/>
              </w:rPr>
            </w:pPr>
            <w:r w:rsidRPr="00E85970">
              <w:rPr>
                <w:rFonts w:eastAsia="Times New Roman" w:cs="Times New Roman"/>
                <w:color w:val="000000"/>
                <w:sz w:val="20"/>
                <w:lang w:eastAsia="sk-SK"/>
              </w:rPr>
              <w:t>27,2</w:t>
            </w:r>
          </w:p>
        </w:tc>
        <w:tc>
          <w:tcPr>
            <w:tcW w:w="2126" w:type="dxa"/>
            <w:tcBorders>
              <w:top w:val="nil"/>
              <w:left w:val="nil"/>
              <w:bottom w:val="nil"/>
              <w:right w:val="nil"/>
            </w:tcBorders>
            <w:shd w:val="clear" w:color="000000" w:fill="FFFFFF"/>
            <w:noWrap/>
            <w:vAlign w:val="center"/>
            <w:hideMark/>
          </w:tcPr>
          <w:p w14:paraId="77BF9FCA" w14:textId="77777777" w:rsidR="00AC3E65" w:rsidRPr="00E85970" w:rsidRDefault="00AC3E65" w:rsidP="00F92AC0">
            <w:pPr>
              <w:spacing w:after="0" w:line="240" w:lineRule="auto"/>
              <w:jc w:val="right"/>
              <w:rPr>
                <w:rFonts w:eastAsia="Times New Roman" w:cs="Times New Roman"/>
                <w:color w:val="000000"/>
                <w:sz w:val="20"/>
                <w:lang w:eastAsia="sk-SK"/>
              </w:rPr>
            </w:pPr>
            <w:r w:rsidRPr="00E85970">
              <w:rPr>
                <w:rFonts w:eastAsia="Times New Roman" w:cs="Times New Roman"/>
                <w:color w:val="000000"/>
                <w:sz w:val="20"/>
                <w:lang w:eastAsia="sk-SK"/>
              </w:rPr>
              <w:t>61,4</w:t>
            </w:r>
          </w:p>
        </w:tc>
        <w:tc>
          <w:tcPr>
            <w:tcW w:w="955" w:type="dxa"/>
            <w:tcBorders>
              <w:top w:val="nil"/>
              <w:left w:val="nil"/>
              <w:bottom w:val="nil"/>
              <w:right w:val="nil"/>
            </w:tcBorders>
            <w:shd w:val="clear" w:color="000000" w:fill="FFFFFF"/>
            <w:noWrap/>
            <w:vAlign w:val="center"/>
            <w:hideMark/>
          </w:tcPr>
          <w:p w14:paraId="0D61FB54" w14:textId="77777777" w:rsidR="00AC3E65" w:rsidRPr="00E85970" w:rsidRDefault="00AC3E65" w:rsidP="00F92AC0">
            <w:pPr>
              <w:spacing w:after="0" w:line="240" w:lineRule="auto"/>
              <w:jc w:val="right"/>
              <w:rPr>
                <w:rFonts w:eastAsia="Times New Roman" w:cs="Times New Roman"/>
                <w:color w:val="000000"/>
                <w:sz w:val="20"/>
                <w:lang w:eastAsia="sk-SK"/>
              </w:rPr>
            </w:pPr>
            <w:r w:rsidRPr="00E85970">
              <w:rPr>
                <w:rFonts w:eastAsia="Times New Roman" w:cs="Times New Roman"/>
                <w:color w:val="000000"/>
                <w:sz w:val="20"/>
                <w:lang w:eastAsia="sk-SK"/>
              </w:rPr>
              <w:t>88,6</w:t>
            </w:r>
          </w:p>
        </w:tc>
      </w:tr>
      <w:tr w:rsidR="00AC3E65" w:rsidRPr="00E32A3F" w14:paraId="553265CD" w14:textId="77777777" w:rsidTr="00AC5876">
        <w:trPr>
          <w:trHeight w:val="284"/>
        </w:trPr>
        <w:tc>
          <w:tcPr>
            <w:tcW w:w="4395" w:type="dxa"/>
            <w:tcBorders>
              <w:top w:val="nil"/>
              <w:left w:val="nil"/>
              <w:bottom w:val="nil"/>
              <w:right w:val="nil"/>
            </w:tcBorders>
            <w:shd w:val="clear" w:color="000000" w:fill="FFFFFF"/>
            <w:vAlign w:val="center"/>
          </w:tcPr>
          <w:p w14:paraId="4F6491BE" w14:textId="77777777" w:rsidR="00AC3E65" w:rsidRPr="00E85970" w:rsidRDefault="00AC3E65" w:rsidP="00F92AC0">
            <w:pPr>
              <w:spacing w:after="0" w:line="240" w:lineRule="auto"/>
              <w:jc w:val="left"/>
              <w:rPr>
                <w:rFonts w:eastAsia="Times New Roman" w:cs="Times New Roman"/>
                <w:b/>
                <w:bCs/>
                <w:color w:val="000000"/>
                <w:sz w:val="20"/>
                <w:lang w:eastAsia="sk-SK"/>
              </w:rPr>
            </w:pPr>
            <w:r w:rsidRPr="00E85970">
              <w:rPr>
                <w:rFonts w:eastAsia="Times New Roman" w:cs="Times New Roman"/>
                <w:b/>
                <w:bCs/>
                <w:sz w:val="20"/>
                <w:lang w:eastAsia="sk-SK"/>
              </w:rPr>
              <w:t>Počet plánovaných novovytvorených miest zo zazmluvnených prostriedkov</w:t>
            </w:r>
          </w:p>
        </w:tc>
        <w:tc>
          <w:tcPr>
            <w:tcW w:w="1559" w:type="dxa"/>
            <w:tcBorders>
              <w:top w:val="nil"/>
              <w:left w:val="nil"/>
              <w:bottom w:val="nil"/>
              <w:right w:val="nil"/>
            </w:tcBorders>
            <w:shd w:val="clear" w:color="000000" w:fill="FFFFFF"/>
            <w:noWrap/>
            <w:vAlign w:val="center"/>
          </w:tcPr>
          <w:p w14:paraId="6037F66C" w14:textId="77777777" w:rsidR="00AC3E65" w:rsidRPr="00E85970" w:rsidRDefault="00AC3E65" w:rsidP="00F92AC0">
            <w:pPr>
              <w:spacing w:after="0" w:line="240" w:lineRule="auto"/>
              <w:jc w:val="right"/>
              <w:rPr>
                <w:rFonts w:eastAsia="Times New Roman" w:cs="Times New Roman"/>
                <w:color w:val="000000"/>
                <w:sz w:val="20"/>
                <w:lang w:eastAsia="sk-SK"/>
              </w:rPr>
            </w:pPr>
            <w:r w:rsidRPr="00E85970">
              <w:rPr>
                <w:rFonts w:eastAsia="Times New Roman" w:cs="Times New Roman"/>
                <w:sz w:val="20"/>
                <w:lang w:eastAsia="sk-SK"/>
              </w:rPr>
              <w:t>4 216</w:t>
            </w:r>
          </w:p>
        </w:tc>
        <w:tc>
          <w:tcPr>
            <w:tcW w:w="2126" w:type="dxa"/>
            <w:tcBorders>
              <w:top w:val="nil"/>
              <w:left w:val="nil"/>
              <w:bottom w:val="nil"/>
              <w:right w:val="nil"/>
            </w:tcBorders>
            <w:shd w:val="clear" w:color="000000" w:fill="FFFFFF"/>
            <w:noWrap/>
            <w:vAlign w:val="center"/>
          </w:tcPr>
          <w:p w14:paraId="5DF57A41" w14:textId="77777777" w:rsidR="00AC3E65" w:rsidRPr="00E85970" w:rsidRDefault="00AC3E65" w:rsidP="00F92AC0">
            <w:pPr>
              <w:spacing w:after="0" w:line="240" w:lineRule="auto"/>
              <w:jc w:val="right"/>
              <w:rPr>
                <w:rFonts w:eastAsia="Times New Roman" w:cs="Times New Roman"/>
                <w:color w:val="000000"/>
                <w:sz w:val="20"/>
                <w:lang w:eastAsia="sk-SK"/>
              </w:rPr>
            </w:pPr>
            <w:r w:rsidRPr="00E85970">
              <w:rPr>
                <w:rFonts w:eastAsia="Times New Roman" w:cs="Times New Roman"/>
                <w:sz w:val="20"/>
                <w:lang w:eastAsia="sk-SK"/>
              </w:rPr>
              <w:t>6 931</w:t>
            </w:r>
          </w:p>
        </w:tc>
        <w:tc>
          <w:tcPr>
            <w:tcW w:w="955" w:type="dxa"/>
            <w:tcBorders>
              <w:top w:val="nil"/>
              <w:left w:val="nil"/>
              <w:bottom w:val="nil"/>
              <w:right w:val="nil"/>
            </w:tcBorders>
            <w:shd w:val="clear" w:color="000000" w:fill="FFFFFF"/>
            <w:noWrap/>
            <w:vAlign w:val="center"/>
          </w:tcPr>
          <w:p w14:paraId="2D5FF478" w14:textId="77777777" w:rsidR="00AC3E65" w:rsidRPr="00E85970" w:rsidRDefault="00AC3E65" w:rsidP="00F92AC0">
            <w:pPr>
              <w:spacing w:after="0" w:line="240" w:lineRule="auto"/>
              <w:jc w:val="right"/>
              <w:rPr>
                <w:rFonts w:eastAsia="Times New Roman" w:cs="Times New Roman"/>
                <w:color w:val="000000"/>
                <w:sz w:val="20"/>
                <w:lang w:eastAsia="sk-SK"/>
              </w:rPr>
            </w:pPr>
            <w:r w:rsidRPr="00E85970">
              <w:rPr>
                <w:rFonts w:eastAsia="Times New Roman" w:cs="Times New Roman"/>
                <w:bCs/>
                <w:sz w:val="20"/>
                <w:lang w:eastAsia="sk-SK"/>
              </w:rPr>
              <w:t>11 147</w:t>
            </w:r>
          </w:p>
        </w:tc>
      </w:tr>
      <w:tr w:rsidR="00AC3E65" w:rsidRPr="002A01DA" w14:paraId="6E0D6B47" w14:textId="77777777" w:rsidTr="00AC5876">
        <w:trPr>
          <w:trHeight w:val="284"/>
        </w:trPr>
        <w:tc>
          <w:tcPr>
            <w:tcW w:w="4395" w:type="dxa"/>
            <w:tcBorders>
              <w:top w:val="nil"/>
              <w:left w:val="nil"/>
              <w:bottom w:val="nil"/>
              <w:right w:val="nil"/>
            </w:tcBorders>
            <w:shd w:val="clear" w:color="000000" w:fill="FFFFFF"/>
            <w:vAlign w:val="center"/>
          </w:tcPr>
          <w:p w14:paraId="09784AE2" w14:textId="77777777" w:rsidR="00AC3E65" w:rsidRPr="00041889" w:rsidRDefault="00AC3E65" w:rsidP="00F92AC0">
            <w:pPr>
              <w:spacing w:after="0" w:line="240" w:lineRule="auto"/>
              <w:ind w:left="214"/>
              <w:jc w:val="left"/>
              <w:rPr>
                <w:rFonts w:eastAsia="Times New Roman" w:cs="Times New Roman"/>
                <w:bCs/>
                <w:color w:val="000000"/>
                <w:sz w:val="20"/>
                <w:lang w:eastAsia="sk-SK"/>
              </w:rPr>
            </w:pPr>
            <w:r w:rsidRPr="00041889">
              <w:rPr>
                <w:rFonts w:eastAsia="Times New Roman" w:cs="Times New Roman"/>
                <w:bCs/>
                <w:sz w:val="20"/>
                <w:lang w:eastAsia="sk-SK"/>
              </w:rPr>
              <w:t>z toho počet miest, ktoré budú môcť byť obsadené práve 5-ročnými</w:t>
            </w:r>
          </w:p>
        </w:tc>
        <w:tc>
          <w:tcPr>
            <w:tcW w:w="1559" w:type="dxa"/>
            <w:tcBorders>
              <w:top w:val="nil"/>
              <w:left w:val="nil"/>
              <w:bottom w:val="nil"/>
              <w:right w:val="nil"/>
            </w:tcBorders>
            <w:shd w:val="clear" w:color="000000" w:fill="FFFFFF"/>
            <w:noWrap/>
            <w:vAlign w:val="center"/>
          </w:tcPr>
          <w:p w14:paraId="66DD78AC" w14:textId="77777777" w:rsidR="00AC3E65" w:rsidRPr="00E85970" w:rsidRDefault="00AC3E65" w:rsidP="00F92AC0">
            <w:pPr>
              <w:spacing w:after="0" w:line="240" w:lineRule="auto"/>
              <w:jc w:val="right"/>
              <w:rPr>
                <w:rFonts w:eastAsia="Times New Roman" w:cs="Times New Roman"/>
                <w:color w:val="000000"/>
                <w:sz w:val="20"/>
                <w:lang w:eastAsia="sk-SK"/>
              </w:rPr>
            </w:pPr>
            <w:r w:rsidRPr="00E85970">
              <w:rPr>
                <w:rFonts w:eastAsia="Times New Roman" w:cs="Times New Roman"/>
                <w:sz w:val="20"/>
                <w:lang w:eastAsia="sk-SK"/>
              </w:rPr>
              <w:t>1 139</w:t>
            </w:r>
          </w:p>
        </w:tc>
        <w:tc>
          <w:tcPr>
            <w:tcW w:w="2126" w:type="dxa"/>
            <w:tcBorders>
              <w:top w:val="nil"/>
              <w:left w:val="nil"/>
              <w:bottom w:val="nil"/>
              <w:right w:val="nil"/>
            </w:tcBorders>
            <w:shd w:val="clear" w:color="000000" w:fill="FFFFFF"/>
            <w:noWrap/>
            <w:vAlign w:val="center"/>
          </w:tcPr>
          <w:p w14:paraId="596B3DA4" w14:textId="77777777" w:rsidR="00AC3E65" w:rsidRPr="00E85970" w:rsidRDefault="00AC3E65" w:rsidP="00F92AC0">
            <w:pPr>
              <w:spacing w:after="0" w:line="240" w:lineRule="auto"/>
              <w:jc w:val="right"/>
              <w:rPr>
                <w:rFonts w:eastAsia="Times New Roman" w:cs="Times New Roman"/>
                <w:color w:val="000000"/>
                <w:sz w:val="20"/>
                <w:lang w:eastAsia="sk-SK"/>
              </w:rPr>
            </w:pPr>
            <w:r w:rsidRPr="00E85970">
              <w:rPr>
                <w:rFonts w:eastAsia="Times New Roman" w:cs="Times New Roman"/>
                <w:sz w:val="20"/>
                <w:lang w:eastAsia="sk-SK"/>
              </w:rPr>
              <w:t>2 253</w:t>
            </w:r>
          </w:p>
        </w:tc>
        <w:tc>
          <w:tcPr>
            <w:tcW w:w="955" w:type="dxa"/>
            <w:tcBorders>
              <w:top w:val="nil"/>
              <w:left w:val="nil"/>
              <w:bottom w:val="nil"/>
              <w:right w:val="nil"/>
            </w:tcBorders>
            <w:shd w:val="clear" w:color="000000" w:fill="FFFFFF"/>
            <w:noWrap/>
            <w:vAlign w:val="center"/>
          </w:tcPr>
          <w:p w14:paraId="0228B0A5" w14:textId="77777777" w:rsidR="00AC3E65" w:rsidRPr="00E85970" w:rsidRDefault="00AC3E65" w:rsidP="00F92AC0">
            <w:pPr>
              <w:spacing w:after="0" w:line="240" w:lineRule="auto"/>
              <w:jc w:val="right"/>
              <w:rPr>
                <w:rFonts w:eastAsia="Times New Roman" w:cs="Times New Roman"/>
                <w:color w:val="000000"/>
                <w:sz w:val="20"/>
                <w:lang w:eastAsia="sk-SK"/>
              </w:rPr>
            </w:pPr>
            <w:r w:rsidRPr="00E85970">
              <w:rPr>
                <w:rFonts w:eastAsia="Times New Roman" w:cs="Times New Roman"/>
                <w:bCs/>
                <w:sz w:val="20"/>
                <w:lang w:eastAsia="sk-SK"/>
              </w:rPr>
              <w:t>3 314</w:t>
            </w:r>
            <w:r w:rsidRPr="00E85970">
              <w:rPr>
                <w:rStyle w:val="Odkaznapoznmkupodiarou"/>
                <w:rFonts w:eastAsia="Times New Roman" w:cs="Times New Roman"/>
                <w:bCs/>
                <w:sz w:val="20"/>
                <w:lang w:eastAsia="sk-SK"/>
              </w:rPr>
              <w:footnoteReference w:id="524"/>
            </w:r>
          </w:p>
        </w:tc>
      </w:tr>
      <w:tr w:rsidR="00AC3E65" w:rsidRPr="00E32A3F" w14:paraId="007A8D02" w14:textId="77777777" w:rsidTr="00AC5876">
        <w:trPr>
          <w:trHeight w:val="284"/>
        </w:trPr>
        <w:tc>
          <w:tcPr>
            <w:tcW w:w="4395" w:type="dxa"/>
            <w:tcBorders>
              <w:top w:val="nil"/>
              <w:left w:val="nil"/>
              <w:bottom w:val="nil"/>
              <w:right w:val="nil"/>
            </w:tcBorders>
            <w:shd w:val="clear" w:color="000000" w:fill="FFFFFF"/>
            <w:vAlign w:val="center"/>
          </w:tcPr>
          <w:p w14:paraId="13D96B9F" w14:textId="77777777" w:rsidR="00AC3E65" w:rsidRPr="00E85970" w:rsidRDefault="00AC3E65" w:rsidP="00F92AC0">
            <w:pPr>
              <w:spacing w:after="0" w:line="240" w:lineRule="auto"/>
              <w:jc w:val="left"/>
              <w:rPr>
                <w:rFonts w:eastAsia="Times New Roman" w:cs="Times New Roman"/>
                <w:b/>
                <w:bCs/>
                <w:color w:val="000000"/>
                <w:sz w:val="20"/>
                <w:lang w:eastAsia="sk-SK"/>
              </w:rPr>
            </w:pPr>
            <w:r w:rsidRPr="00E85970">
              <w:rPr>
                <w:rFonts w:eastAsia="Times New Roman" w:cs="Times New Roman"/>
                <w:b/>
                <w:bCs/>
                <w:sz w:val="20"/>
                <w:lang w:eastAsia="sk-SK"/>
              </w:rPr>
              <w:t>Odhadovaný počet ďalších potenciálnych miest</w:t>
            </w:r>
            <w:r w:rsidRPr="00E85970">
              <w:rPr>
                <w:rFonts w:eastAsia="Times New Roman" w:cs="Times New Roman"/>
                <w:b/>
                <w:bCs/>
                <w:color w:val="000000"/>
                <w:sz w:val="20"/>
                <w:lang w:eastAsia="sk-SK"/>
              </w:rPr>
              <w:t xml:space="preserve"> </w:t>
            </w:r>
          </w:p>
        </w:tc>
        <w:tc>
          <w:tcPr>
            <w:tcW w:w="1559" w:type="dxa"/>
            <w:tcBorders>
              <w:top w:val="nil"/>
              <w:left w:val="nil"/>
              <w:bottom w:val="nil"/>
              <w:right w:val="nil"/>
            </w:tcBorders>
            <w:shd w:val="clear" w:color="000000" w:fill="FFFFFF"/>
            <w:noWrap/>
            <w:vAlign w:val="center"/>
          </w:tcPr>
          <w:p w14:paraId="170281AA" w14:textId="77777777" w:rsidR="00AC3E65" w:rsidRPr="00E85970" w:rsidRDefault="00AC3E65" w:rsidP="00F92AC0">
            <w:pPr>
              <w:spacing w:after="0" w:line="240" w:lineRule="auto"/>
              <w:jc w:val="right"/>
              <w:rPr>
                <w:rFonts w:eastAsia="Times New Roman" w:cs="Times New Roman"/>
                <w:color w:val="000000"/>
                <w:sz w:val="20"/>
                <w:lang w:eastAsia="sk-SK"/>
              </w:rPr>
            </w:pPr>
            <w:r w:rsidRPr="00E85970">
              <w:rPr>
                <w:rFonts w:eastAsia="Times New Roman" w:cs="Times New Roman"/>
                <w:sz w:val="20"/>
                <w:lang w:eastAsia="sk-SK"/>
              </w:rPr>
              <w:t>3 539</w:t>
            </w:r>
          </w:p>
        </w:tc>
        <w:tc>
          <w:tcPr>
            <w:tcW w:w="2126" w:type="dxa"/>
            <w:tcBorders>
              <w:top w:val="nil"/>
              <w:left w:val="nil"/>
              <w:bottom w:val="nil"/>
              <w:right w:val="nil"/>
            </w:tcBorders>
            <w:shd w:val="clear" w:color="000000" w:fill="FFFFFF"/>
            <w:noWrap/>
            <w:vAlign w:val="center"/>
          </w:tcPr>
          <w:p w14:paraId="5635147F" w14:textId="77777777" w:rsidR="00AC3E65" w:rsidRPr="00E85970" w:rsidRDefault="00AC3E65" w:rsidP="00F92AC0">
            <w:pPr>
              <w:spacing w:after="0" w:line="240" w:lineRule="auto"/>
              <w:jc w:val="right"/>
              <w:rPr>
                <w:rFonts w:eastAsia="Times New Roman" w:cs="Times New Roman"/>
                <w:color w:val="000000"/>
                <w:sz w:val="20"/>
                <w:lang w:eastAsia="sk-SK"/>
              </w:rPr>
            </w:pPr>
            <w:r w:rsidRPr="00E85970">
              <w:rPr>
                <w:rFonts w:eastAsia="Times New Roman" w:cs="Times New Roman"/>
                <w:sz w:val="20"/>
                <w:lang w:eastAsia="sk-SK"/>
              </w:rPr>
              <w:t>2 080</w:t>
            </w:r>
          </w:p>
        </w:tc>
        <w:tc>
          <w:tcPr>
            <w:tcW w:w="955" w:type="dxa"/>
            <w:tcBorders>
              <w:top w:val="nil"/>
              <w:left w:val="nil"/>
              <w:bottom w:val="nil"/>
              <w:right w:val="nil"/>
            </w:tcBorders>
            <w:shd w:val="clear" w:color="000000" w:fill="FFFFFF"/>
            <w:noWrap/>
            <w:vAlign w:val="center"/>
          </w:tcPr>
          <w:p w14:paraId="4D603FC0" w14:textId="77777777" w:rsidR="00AC3E65" w:rsidRPr="00E85970" w:rsidRDefault="00AC3E65" w:rsidP="00F92AC0">
            <w:pPr>
              <w:spacing w:after="0" w:line="240" w:lineRule="auto"/>
              <w:jc w:val="right"/>
              <w:rPr>
                <w:rFonts w:eastAsia="Times New Roman" w:cs="Times New Roman"/>
                <w:color w:val="000000"/>
                <w:sz w:val="20"/>
                <w:lang w:eastAsia="sk-SK"/>
              </w:rPr>
            </w:pPr>
            <w:r w:rsidRPr="00E85970">
              <w:rPr>
                <w:rFonts w:eastAsia="Times New Roman" w:cs="Times New Roman"/>
                <w:bCs/>
                <w:sz w:val="20"/>
                <w:lang w:eastAsia="sk-SK"/>
              </w:rPr>
              <w:t>5 619</w:t>
            </w:r>
          </w:p>
        </w:tc>
      </w:tr>
      <w:tr w:rsidR="00AC3E65" w:rsidRPr="00E32A3F" w14:paraId="0631C5F5" w14:textId="77777777" w:rsidTr="00AC5876">
        <w:trPr>
          <w:trHeight w:val="284"/>
        </w:trPr>
        <w:tc>
          <w:tcPr>
            <w:tcW w:w="4395" w:type="dxa"/>
            <w:tcBorders>
              <w:top w:val="nil"/>
              <w:left w:val="nil"/>
              <w:bottom w:val="nil"/>
              <w:right w:val="nil"/>
            </w:tcBorders>
            <w:shd w:val="clear" w:color="000000" w:fill="FFFFFF"/>
            <w:vAlign w:val="center"/>
          </w:tcPr>
          <w:p w14:paraId="78803A8C" w14:textId="77777777" w:rsidR="00AC3E65" w:rsidRPr="00041889" w:rsidRDefault="00AC3E65" w:rsidP="00F92AC0">
            <w:pPr>
              <w:spacing w:after="0" w:line="240" w:lineRule="auto"/>
              <w:ind w:left="214"/>
              <w:jc w:val="left"/>
              <w:rPr>
                <w:rFonts w:eastAsia="Times New Roman" w:cs="Times New Roman"/>
                <w:bCs/>
                <w:color w:val="000000"/>
                <w:sz w:val="20"/>
                <w:lang w:eastAsia="sk-SK"/>
              </w:rPr>
            </w:pPr>
            <w:r w:rsidRPr="00041889">
              <w:rPr>
                <w:rFonts w:eastAsia="Times New Roman" w:cs="Times New Roman"/>
                <w:bCs/>
                <w:sz w:val="20"/>
                <w:lang w:eastAsia="sk-SK"/>
              </w:rPr>
              <w:t>z toho počet potenciálnych miest, ktoré budú môcť byť obsadené práve 5-ročnými</w:t>
            </w:r>
            <w:r w:rsidRPr="00041889">
              <w:rPr>
                <w:rFonts w:eastAsia="Times New Roman" w:cs="Times New Roman"/>
                <w:bCs/>
                <w:color w:val="000000"/>
                <w:sz w:val="20"/>
                <w:lang w:eastAsia="sk-SK"/>
              </w:rPr>
              <w:t xml:space="preserve"> </w:t>
            </w:r>
          </w:p>
        </w:tc>
        <w:tc>
          <w:tcPr>
            <w:tcW w:w="1559" w:type="dxa"/>
            <w:tcBorders>
              <w:top w:val="nil"/>
              <w:left w:val="nil"/>
              <w:bottom w:val="nil"/>
              <w:right w:val="nil"/>
            </w:tcBorders>
            <w:shd w:val="clear" w:color="000000" w:fill="FFFFFF"/>
            <w:noWrap/>
            <w:vAlign w:val="center"/>
          </w:tcPr>
          <w:p w14:paraId="6A530F3C" w14:textId="77777777" w:rsidR="00AC3E65" w:rsidRPr="00E85970" w:rsidRDefault="00AC3E65" w:rsidP="00F92AC0">
            <w:pPr>
              <w:spacing w:after="0" w:line="240" w:lineRule="auto"/>
              <w:jc w:val="right"/>
              <w:rPr>
                <w:rFonts w:eastAsia="Times New Roman" w:cs="Times New Roman"/>
                <w:color w:val="000000"/>
                <w:sz w:val="20"/>
                <w:lang w:eastAsia="sk-SK"/>
              </w:rPr>
            </w:pPr>
            <w:r w:rsidRPr="00E85970">
              <w:rPr>
                <w:rFonts w:eastAsia="Times New Roman" w:cs="Times New Roman"/>
                <w:sz w:val="20"/>
                <w:lang w:eastAsia="sk-SK"/>
              </w:rPr>
              <w:t>1 052</w:t>
            </w:r>
          </w:p>
        </w:tc>
        <w:tc>
          <w:tcPr>
            <w:tcW w:w="2126" w:type="dxa"/>
            <w:tcBorders>
              <w:top w:val="nil"/>
              <w:left w:val="nil"/>
              <w:bottom w:val="nil"/>
              <w:right w:val="nil"/>
            </w:tcBorders>
            <w:shd w:val="clear" w:color="000000" w:fill="FFFFFF"/>
            <w:noWrap/>
            <w:vAlign w:val="center"/>
          </w:tcPr>
          <w:p w14:paraId="0F7C5847" w14:textId="77777777" w:rsidR="00AC3E65" w:rsidRPr="00E85970" w:rsidRDefault="00AC3E65" w:rsidP="00F92AC0">
            <w:pPr>
              <w:spacing w:after="0" w:line="240" w:lineRule="auto"/>
              <w:jc w:val="right"/>
              <w:rPr>
                <w:rFonts w:eastAsia="Times New Roman" w:cs="Times New Roman"/>
                <w:color w:val="000000"/>
                <w:sz w:val="20"/>
                <w:lang w:eastAsia="sk-SK"/>
              </w:rPr>
            </w:pPr>
            <w:r w:rsidRPr="00E85970">
              <w:rPr>
                <w:rFonts w:eastAsia="Times New Roman" w:cs="Times New Roman"/>
                <w:sz w:val="20"/>
                <w:lang w:eastAsia="sk-SK"/>
              </w:rPr>
              <w:t>618</w:t>
            </w:r>
          </w:p>
        </w:tc>
        <w:tc>
          <w:tcPr>
            <w:tcW w:w="955" w:type="dxa"/>
            <w:tcBorders>
              <w:top w:val="nil"/>
              <w:left w:val="nil"/>
              <w:bottom w:val="nil"/>
              <w:right w:val="nil"/>
            </w:tcBorders>
            <w:shd w:val="clear" w:color="000000" w:fill="FFFFFF"/>
            <w:noWrap/>
            <w:vAlign w:val="center"/>
          </w:tcPr>
          <w:p w14:paraId="3053495A" w14:textId="77777777" w:rsidR="00AC3E65" w:rsidRPr="00E85970" w:rsidRDefault="00AC3E65" w:rsidP="00F92AC0">
            <w:pPr>
              <w:spacing w:after="0" w:line="240" w:lineRule="auto"/>
              <w:jc w:val="right"/>
              <w:rPr>
                <w:rFonts w:eastAsia="Times New Roman" w:cs="Times New Roman"/>
                <w:color w:val="000000"/>
                <w:sz w:val="20"/>
                <w:lang w:eastAsia="sk-SK"/>
              </w:rPr>
            </w:pPr>
            <w:r w:rsidRPr="00E85970">
              <w:rPr>
                <w:rFonts w:eastAsia="Times New Roman" w:cs="Times New Roman"/>
                <w:bCs/>
                <w:sz w:val="20"/>
                <w:lang w:eastAsia="sk-SK"/>
              </w:rPr>
              <w:t>1 670</w:t>
            </w:r>
          </w:p>
        </w:tc>
      </w:tr>
      <w:tr w:rsidR="00AC3E65" w:rsidRPr="00E32A3F" w14:paraId="10BA52E2" w14:textId="77777777" w:rsidTr="00F92AC0">
        <w:trPr>
          <w:trHeight w:val="300"/>
        </w:trPr>
        <w:tc>
          <w:tcPr>
            <w:tcW w:w="9035" w:type="dxa"/>
            <w:gridSpan w:val="4"/>
            <w:tcBorders>
              <w:top w:val="single" w:sz="4" w:space="0" w:color="auto"/>
              <w:left w:val="nil"/>
              <w:bottom w:val="nil"/>
              <w:right w:val="nil"/>
            </w:tcBorders>
            <w:shd w:val="clear" w:color="auto" w:fill="auto"/>
            <w:noWrap/>
            <w:vAlign w:val="bottom"/>
            <w:hideMark/>
          </w:tcPr>
          <w:p w14:paraId="3E840DB0" w14:textId="3A0F921C" w:rsidR="00AC3E65" w:rsidRPr="002229B2" w:rsidRDefault="00AC3E65" w:rsidP="00F92AC0">
            <w:pPr>
              <w:spacing w:after="0" w:line="240" w:lineRule="auto"/>
              <w:jc w:val="right"/>
              <w:rPr>
                <w:rFonts w:eastAsia="Times New Roman" w:cs="Times New Roman"/>
                <w:i/>
                <w:iCs/>
                <w:color w:val="000000"/>
                <w:sz w:val="18"/>
                <w:szCs w:val="16"/>
                <w:lang w:eastAsia="sk-SK"/>
              </w:rPr>
            </w:pPr>
            <w:r w:rsidRPr="002229B2">
              <w:rPr>
                <w:rFonts w:eastAsia="Times New Roman" w:cs="Times New Roman"/>
                <w:i/>
                <w:iCs/>
                <w:color w:val="000000"/>
                <w:sz w:val="18"/>
                <w:szCs w:val="16"/>
                <w:lang w:eastAsia="sk-SK"/>
              </w:rPr>
              <w:t>Zdroj: IVP na základe údajov MPaRV SR a</w:t>
            </w:r>
            <w:r w:rsidR="0070047D">
              <w:rPr>
                <w:rFonts w:eastAsia="Times New Roman" w:cs="Times New Roman"/>
                <w:i/>
                <w:iCs/>
                <w:color w:val="000000"/>
                <w:sz w:val="18"/>
                <w:szCs w:val="16"/>
                <w:lang w:eastAsia="sk-SK"/>
              </w:rPr>
              <w:t xml:space="preserve"> </w:t>
            </w:r>
            <w:r w:rsidRPr="002229B2">
              <w:rPr>
                <w:rFonts w:eastAsia="Times New Roman" w:cs="Times New Roman"/>
                <w:i/>
                <w:iCs/>
                <w:color w:val="000000"/>
                <w:sz w:val="18"/>
                <w:szCs w:val="16"/>
                <w:lang w:eastAsia="sk-SK"/>
              </w:rPr>
              <w:t>MV SR</w:t>
            </w:r>
          </w:p>
          <w:p w14:paraId="6B0DEFED" w14:textId="77777777" w:rsidR="00AC3E65" w:rsidRPr="00E32A3F" w:rsidRDefault="00AC3E65" w:rsidP="00F92AC0">
            <w:pPr>
              <w:spacing w:after="0" w:line="240" w:lineRule="auto"/>
              <w:jc w:val="left"/>
              <w:rPr>
                <w:rFonts w:eastAsia="Times New Roman" w:cs="Times New Roman"/>
                <w:i/>
                <w:iCs/>
                <w:color w:val="000000"/>
                <w:sz w:val="16"/>
                <w:szCs w:val="16"/>
                <w:lang w:eastAsia="sk-SK"/>
              </w:rPr>
            </w:pPr>
            <w:r w:rsidRPr="002229B2">
              <w:rPr>
                <w:rFonts w:eastAsia="Times New Roman" w:cs="Times New Roman"/>
                <w:i/>
                <w:iCs/>
                <w:color w:val="000000"/>
                <w:sz w:val="18"/>
                <w:szCs w:val="16"/>
                <w:lang w:eastAsia="sk-SK"/>
              </w:rPr>
              <w:t>Poznámka: Zdroje z OP Ľudské zdroje sú určené výlučne obciam s početnou príslušnosťou MRK. Zdroje z Integrovaného regionálneho operačného programu sú dostupné aj pre obce bez MRK.</w:t>
            </w:r>
          </w:p>
        </w:tc>
      </w:tr>
    </w:tbl>
    <w:p w14:paraId="43CF89C8" w14:textId="2E0C7858" w:rsidR="00AC3E65" w:rsidRDefault="00AC3E65" w:rsidP="00AC3E65">
      <w:pPr>
        <w:pStyle w:val="Bezriadkovania"/>
        <w:spacing w:before="160" w:after="240" w:line="259" w:lineRule="auto"/>
        <w:jc w:val="both"/>
        <w:rPr>
          <w:rFonts w:ascii="Arial Narrow" w:hAnsi="Arial Narrow"/>
        </w:rPr>
      </w:pPr>
      <w:r w:rsidRPr="00D2601C">
        <w:rPr>
          <w:rFonts w:ascii="Arial Narrow" w:hAnsi="Arial Narrow"/>
        </w:rPr>
        <w:t>Ak sa zohľadn</w:t>
      </w:r>
      <w:r>
        <w:rPr>
          <w:rFonts w:ascii="Arial Narrow" w:hAnsi="Arial Narrow"/>
        </w:rPr>
        <w:t>ia aj potenciálne miesta z ešte nezazmluvnených prostriedkov EŠIF a</w:t>
      </w:r>
      <w:r w:rsidRPr="00D2601C">
        <w:rPr>
          <w:rFonts w:ascii="Arial Narrow" w:hAnsi="Arial Narrow"/>
        </w:rPr>
        <w:t xml:space="preserve"> dolná hranica voľnej kapacity v MŠ (viď vyššie</w:t>
      </w:r>
      <w:r w:rsidRPr="00DC53FE">
        <w:rPr>
          <w:rFonts w:ascii="Arial Narrow" w:hAnsi="Arial Narrow"/>
        </w:rPr>
        <w:t xml:space="preserve">), tak zostane 3 </w:t>
      </w:r>
      <w:r>
        <w:rPr>
          <w:rFonts w:ascii="Arial Narrow" w:hAnsi="Arial Narrow"/>
        </w:rPr>
        <w:t>172</w:t>
      </w:r>
      <w:r w:rsidRPr="00DC53FE">
        <w:rPr>
          <w:rFonts w:ascii="Arial Narrow" w:hAnsi="Arial Narrow"/>
        </w:rPr>
        <w:t xml:space="preserve"> nezaškolených 5-ročných detí, čo predstavuje zaškolenosť na úrovni 94,</w:t>
      </w:r>
      <w:r>
        <w:rPr>
          <w:rFonts w:ascii="Arial Narrow" w:hAnsi="Arial Narrow"/>
        </w:rPr>
        <w:t>6</w:t>
      </w:r>
      <w:r w:rsidRPr="00DC53FE">
        <w:rPr>
          <w:rFonts w:ascii="Arial Narrow" w:hAnsi="Arial Narrow"/>
        </w:rPr>
        <w:t> % (</w:t>
      </w:r>
      <w:r w:rsidR="00A0472F">
        <w:rPr>
          <w:rFonts w:ascii="Arial Narrow" w:hAnsi="Arial Narrow"/>
        </w:rPr>
        <w:fldChar w:fldCharType="begin"/>
      </w:r>
      <w:r w:rsidR="00A0472F">
        <w:rPr>
          <w:rFonts w:ascii="Arial Narrow" w:hAnsi="Arial Narrow"/>
        </w:rPr>
        <w:instrText xml:space="preserve"> REF _Ref25329971 \h  \* MERGEFORMAT </w:instrText>
      </w:r>
      <w:r w:rsidR="00A0472F">
        <w:rPr>
          <w:rFonts w:ascii="Arial Narrow" w:hAnsi="Arial Narrow"/>
        </w:rPr>
      </w:r>
      <w:r w:rsidR="00A0472F">
        <w:rPr>
          <w:rFonts w:ascii="Arial Narrow" w:hAnsi="Arial Narrow"/>
        </w:rPr>
        <w:fldChar w:fldCharType="separate"/>
      </w:r>
      <w:r w:rsidR="00FA29AF" w:rsidRPr="00FA29AF">
        <w:rPr>
          <w:rFonts w:ascii="Arial Narrow" w:hAnsi="Arial Narrow"/>
        </w:rPr>
        <w:t>Tabuľka P 6</w:t>
      </w:r>
      <w:r w:rsidR="00A0472F">
        <w:rPr>
          <w:rFonts w:ascii="Arial Narrow" w:hAnsi="Arial Narrow"/>
        </w:rPr>
        <w:fldChar w:fldCharType="end"/>
      </w:r>
      <w:r w:rsidRPr="00DC53FE">
        <w:rPr>
          <w:rFonts w:ascii="Arial Narrow" w:hAnsi="Arial Narrow"/>
        </w:rPr>
        <w:t>). V</w:t>
      </w:r>
      <w:r w:rsidRPr="00D2601C">
        <w:rPr>
          <w:rFonts w:ascii="Arial Narrow" w:hAnsi="Arial Narrow"/>
        </w:rPr>
        <w:t xml:space="preserve"> prípade zohľadnenia </w:t>
      </w:r>
      <w:r>
        <w:rPr>
          <w:rFonts w:ascii="Arial Narrow" w:hAnsi="Arial Narrow"/>
        </w:rPr>
        <w:t>potenciálnych miest z ešte nezazmluvnených prostriedkov EŠIF a</w:t>
      </w:r>
      <w:r w:rsidRPr="00D2601C">
        <w:rPr>
          <w:rFonts w:ascii="Arial Narrow" w:hAnsi="Arial Narrow"/>
        </w:rPr>
        <w:t xml:space="preserve"> hornej hranice voľnej kapacity </w:t>
      </w:r>
      <w:r>
        <w:rPr>
          <w:rFonts w:ascii="Arial Narrow" w:hAnsi="Arial Narrow"/>
        </w:rPr>
        <w:t>ide</w:t>
      </w:r>
      <w:r w:rsidRPr="00D2601C">
        <w:rPr>
          <w:rFonts w:ascii="Arial Narrow" w:hAnsi="Arial Narrow"/>
        </w:rPr>
        <w:t xml:space="preserve"> o</w:t>
      </w:r>
      <w:r>
        <w:rPr>
          <w:rFonts w:ascii="Arial Narrow" w:hAnsi="Arial Narrow"/>
        </w:rPr>
        <w:t> 1 828</w:t>
      </w:r>
      <w:r w:rsidRPr="00D2601C">
        <w:rPr>
          <w:rFonts w:ascii="Arial Narrow" w:hAnsi="Arial Narrow"/>
        </w:rPr>
        <w:t xml:space="preserve"> nezaškolených 5-ročných, čo predstavuje m</w:t>
      </w:r>
      <w:r>
        <w:rPr>
          <w:rFonts w:ascii="Arial Narrow" w:hAnsi="Arial Narrow"/>
        </w:rPr>
        <w:t>ieru zaškolenosti na úrovni 96,9 </w:t>
      </w:r>
      <w:r w:rsidRPr="00D2601C">
        <w:rPr>
          <w:rFonts w:ascii="Arial Narrow" w:hAnsi="Arial Narrow"/>
        </w:rPr>
        <w:t>%.</w:t>
      </w:r>
      <w:r w:rsidRPr="00D2601C">
        <w:rPr>
          <w:rStyle w:val="Odkaznapoznmkupodiarou"/>
        </w:rPr>
        <w:footnoteReference w:id="525"/>
      </w:r>
      <w:r w:rsidRPr="00D2601C">
        <w:rPr>
          <w:rFonts w:ascii="Arial Narrow" w:hAnsi="Arial Narrow"/>
        </w:rPr>
        <w:t xml:space="preserve"> </w:t>
      </w:r>
    </w:p>
    <w:p w14:paraId="7F7014F5" w14:textId="77777777" w:rsidR="00E353C5" w:rsidRDefault="00E353C5" w:rsidP="00E353C5">
      <w:pPr>
        <w:pStyle w:val="Bezriadkovania"/>
        <w:spacing w:before="160" w:after="240" w:line="259" w:lineRule="auto"/>
        <w:jc w:val="both"/>
        <w:rPr>
          <w:rFonts w:ascii="Arial Narrow" w:hAnsi="Arial Narrow"/>
        </w:rPr>
      </w:pPr>
      <w:r w:rsidRPr="00810E66">
        <w:rPr>
          <w:rFonts w:ascii="Arial Narrow" w:hAnsi="Arial Narrow"/>
        </w:rPr>
        <w:t xml:space="preserve">Aj po zohľadnení voľných kapacít a zazmluvnených prostriedkov existuje 958 obcí, v ktorých je potrebné dobudovať miesta pre dosiahnutie plnej zaškolenosti 5-ročných bez toho, aby boli „nahradené“ mladšie deti. </w:t>
      </w:r>
      <w:r>
        <w:rPr>
          <w:rFonts w:ascii="Arial Narrow" w:hAnsi="Arial Narrow"/>
        </w:rPr>
        <w:t>Z nich 267 nemá vybudovanú MŠ a zvyšných 691 nemá voľnú kapacitu v MŠ.</w:t>
      </w:r>
    </w:p>
    <w:p w14:paraId="0BE59C25" w14:textId="6FAAC99C" w:rsidR="00AC3E65" w:rsidRPr="009B0BF7" w:rsidRDefault="00A0472F" w:rsidP="009B0BF7">
      <w:pPr>
        <w:spacing w:after="0" w:line="240" w:lineRule="auto"/>
        <w:rPr>
          <w:b/>
          <w:sz w:val="20"/>
        </w:rPr>
      </w:pPr>
      <w:bookmarkStart w:id="1891" w:name="_Ref25329971"/>
      <w:bookmarkStart w:id="1892" w:name="_Toc535498774"/>
      <w:r w:rsidRPr="009B0BF7">
        <w:rPr>
          <w:b/>
          <w:sz w:val="20"/>
        </w:rPr>
        <w:t xml:space="preserve">Tabuľka P </w:t>
      </w:r>
      <w:r w:rsidR="00943975">
        <w:rPr>
          <w:b/>
          <w:sz w:val="20"/>
        </w:rPr>
        <w:fldChar w:fldCharType="begin"/>
      </w:r>
      <w:r w:rsidR="00943975">
        <w:rPr>
          <w:b/>
          <w:sz w:val="20"/>
        </w:rPr>
        <w:instrText xml:space="preserve"> SEQ Tabuľka_P \* ARABIC </w:instrText>
      </w:r>
      <w:r w:rsidR="00943975">
        <w:rPr>
          <w:b/>
          <w:sz w:val="20"/>
        </w:rPr>
        <w:fldChar w:fldCharType="separate"/>
      </w:r>
      <w:r w:rsidR="00FA29AF">
        <w:rPr>
          <w:b/>
          <w:noProof/>
          <w:sz w:val="20"/>
        </w:rPr>
        <w:t>6</w:t>
      </w:r>
      <w:r w:rsidR="00943975">
        <w:rPr>
          <w:b/>
          <w:sz w:val="20"/>
        </w:rPr>
        <w:fldChar w:fldCharType="end"/>
      </w:r>
      <w:bookmarkEnd w:id="1891"/>
      <w:r w:rsidR="00AC3E65" w:rsidRPr="009B0BF7">
        <w:rPr>
          <w:b/>
          <w:sz w:val="20"/>
        </w:rPr>
        <w:t>: Odhad miery zaškolenosti 5-ročných detí po zohľadnení navýšenia kapacít</w:t>
      </w:r>
      <w:bookmarkEnd w:id="1892"/>
      <w:r w:rsidR="00AC3E65" w:rsidRPr="009B0BF7">
        <w:rPr>
          <w:b/>
          <w:sz w:val="20"/>
        </w:rPr>
        <w:t xml:space="preserve"> (interval v závislosti od odhadu voľných kapacít v MŠ)</w:t>
      </w:r>
    </w:p>
    <w:tbl>
      <w:tblPr>
        <w:tblW w:w="9077" w:type="dxa"/>
        <w:tblInd w:w="-10" w:type="dxa"/>
        <w:tblLayout w:type="fixed"/>
        <w:tblCellMar>
          <w:left w:w="70" w:type="dxa"/>
          <w:right w:w="70" w:type="dxa"/>
        </w:tblCellMar>
        <w:tblLook w:val="04A0" w:firstRow="1" w:lastRow="0" w:firstColumn="1" w:lastColumn="0" w:noHBand="0" w:noVBand="1"/>
      </w:tblPr>
      <w:tblGrid>
        <w:gridCol w:w="7164"/>
        <w:gridCol w:w="1913"/>
      </w:tblGrid>
      <w:tr w:rsidR="00AC3E65" w:rsidRPr="00C27724" w14:paraId="690D5643" w14:textId="77777777" w:rsidTr="003137BC">
        <w:trPr>
          <w:trHeight w:val="510"/>
        </w:trPr>
        <w:tc>
          <w:tcPr>
            <w:tcW w:w="7164" w:type="dxa"/>
            <w:tcBorders>
              <w:top w:val="single" w:sz="4" w:space="0" w:color="auto"/>
              <w:bottom w:val="nil"/>
            </w:tcBorders>
            <w:shd w:val="clear" w:color="auto" w:fill="auto"/>
            <w:noWrap/>
            <w:vAlign w:val="center"/>
          </w:tcPr>
          <w:p w14:paraId="65BFE7CF" w14:textId="7D1DBC13" w:rsidR="00AC3E65" w:rsidRPr="00041889" w:rsidRDefault="00AC3E65" w:rsidP="00522BBC">
            <w:pPr>
              <w:spacing w:after="0" w:line="240" w:lineRule="auto"/>
              <w:jc w:val="left"/>
              <w:rPr>
                <w:rFonts w:eastAsia="Times New Roman" w:cs="Segoe UI"/>
                <w:bCs/>
                <w:sz w:val="20"/>
                <w:lang w:eastAsia="sk-SK"/>
              </w:rPr>
            </w:pPr>
            <w:r w:rsidRPr="00041889">
              <w:rPr>
                <w:rFonts w:eastAsia="Times New Roman" w:cs="Segoe UI"/>
                <w:bCs/>
                <w:sz w:val="20"/>
                <w:lang w:eastAsia="sk-SK"/>
              </w:rPr>
              <w:t>Počet chýbajúcich miest pre dosiahnutie plnej zaškolenosti 5-ročnýc</w:t>
            </w:r>
            <w:r w:rsidR="00522BBC" w:rsidRPr="00041889">
              <w:rPr>
                <w:rFonts w:eastAsia="Times New Roman" w:cs="Segoe UI"/>
                <w:bCs/>
                <w:sz w:val="20"/>
                <w:lang w:eastAsia="sk-SK"/>
              </w:rPr>
              <w:t>h po zohľadnení voľných kapacít</w:t>
            </w:r>
          </w:p>
        </w:tc>
        <w:tc>
          <w:tcPr>
            <w:tcW w:w="1913" w:type="dxa"/>
            <w:tcBorders>
              <w:top w:val="single" w:sz="4" w:space="0" w:color="auto"/>
              <w:left w:val="nil"/>
              <w:bottom w:val="nil"/>
            </w:tcBorders>
            <w:shd w:val="clear" w:color="auto" w:fill="auto"/>
            <w:noWrap/>
            <w:vAlign w:val="center"/>
          </w:tcPr>
          <w:p w14:paraId="0E2CD5A8" w14:textId="77777777" w:rsidR="00AC3E65" w:rsidRPr="00E85970" w:rsidRDefault="00AC3E65" w:rsidP="00F92AC0">
            <w:pPr>
              <w:spacing w:after="0" w:line="240" w:lineRule="auto"/>
              <w:jc w:val="center"/>
              <w:rPr>
                <w:rFonts w:eastAsia="Times New Roman" w:cs="Segoe UI"/>
                <w:bCs/>
                <w:sz w:val="20"/>
                <w:lang w:eastAsia="sk-SK"/>
              </w:rPr>
            </w:pPr>
            <w:r w:rsidRPr="00E85970">
              <w:rPr>
                <w:rFonts w:eastAsia="Times New Roman" w:cs="Segoe UI"/>
                <w:bCs/>
                <w:sz w:val="20"/>
                <w:lang w:eastAsia="sk-SK"/>
              </w:rPr>
              <w:t>5 122 - 7 180</w:t>
            </w:r>
          </w:p>
        </w:tc>
      </w:tr>
      <w:tr w:rsidR="00AC3E65" w:rsidRPr="00C27724" w14:paraId="06CB210C" w14:textId="77777777" w:rsidTr="003137BC">
        <w:trPr>
          <w:trHeight w:val="510"/>
        </w:trPr>
        <w:tc>
          <w:tcPr>
            <w:tcW w:w="7164" w:type="dxa"/>
            <w:tcBorders>
              <w:top w:val="nil"/>
              <w:bottom w:val="nil"/>
            </w:tcBorders>
            <w:shd w:val="clear" w:color="auto" w:fill="auto"/>
            <w:noWrap/>
            <w:vAlign w:val="center"/>
            <w:hideMark/>
          </w:tcPr>
          <w:p w14:paraId="56C889A8" w14:textId="1493577E" w:rsidR="00AC3E65" w:rsidRPr="00041889" w:rsidRDefault="00AC3E65" w:rsidP="00522BBC">
            <w:pPr>
              <w:spacing w:after="0" w:line="240" w:lineRule="auto"/>
              <w:jc w:val="left"/>
              <w:rPr>
                <w:rFonts w:eastAsia="Times New Roman" w:cs="Segoe UI"/>
                <w:bCs/>
                <w:sz w:val="20"/>
                <w:lang w:eastAsia="sk-SK"/>
              </w:rPr>
            </w:pPr>
            <w:r w:rsidRPr="00041889">
              <w:rPr>
                <w:rFonts w:eastAsia="Times New Roman" w:cs="Segoe UI"/>
                <w:bCs/>
                <w:sz w:val="20"/>
                <w:lang w:eastAsia="sk-SK"/>
              </w:rPr>
              <w:t>Počet chýbajúcich miest pre dosiahnutie plnej zaškolenosti 5-ročných po vybudovaní všetkých aktuálne zazmluvnených kapacít z európskych fond</w:t>
            </w:r>
            <w:r w:rsidR="00522BBC" w:rsidRPr="00041889">
              <w:rPr>
                <w:rFonts w:eastAsia="Times New Roman" w:cs="Segoe UI"/>
                <w:bCs/>
                <w:sz w:val="20"/>
                <w:lang w:eastAsia="sk-SK"/>
              </w:rPr>
              <w:t>ov a zohľadnení voľných kapacít</w:t>
            </w:r>
          </w:p>
        </w:tc>
        <w:tc>
          <w:tcPr>
            <w:tcW w:w="1913" w:type="dxa"/>
            <w:tcBorders>
              <w:top w:val="nil"/>
              <w:left w:val="nil"/>
              <w:bottom w:val="nil"/>
            </w:tcBorders>
            <w:shd w:val="clear" w:color="auto" w:fill="auto"/>
            <w:noWrap/>
            <w:vAlign w:val="center"/>
            <w:hideMark/>
          </w:tcPr>
          <w:p w14:paraId="6655DB4E" w14:textId="77777777" w:rsidR="00AC3E65" w:rsidRPr="00E85970" w:rsidRDefault="00AC3E65" w:rsidP="00F92AC0">
            <w:pPr>
              <w:spacing w:after="0" w:line="240" w:lineRule="auto"/>
              <w:jc w:val="center"/>
              <w:rPr>
                <w:rFonts w:eastAsia="Times New Roman" w:cs="Segoe UI"/>
                <w:bCs/>
                <w:sz w:val="20"/>
                <w:lang w:eastAsia="sk-SK"/>
              </w:rPr>
            </w:pPr>
            <w:r w:rsidRPr="00E85970">
              <w:rPr>
                <w:rFonts w:eastAsia="Times New Roman" w:cs="Segoe UI"/>
                <w:bCs/>
                <w:sz w:val="20"/>
                <w:lang w:eastAsia="sk-SK"/>
              </w:rPr>
              <w:t>3 499 - 4 843</w:t>
            </w:r>
          </w:p>
        </w:tc>
      </w:tr>
      <w:tr w:rsidR="00AC3E65" w:rsidRPr="00C27724" w14:paraId="0F5D4D2F" w14:textId="77777777" w:rsidTr="003137BC">
        <w:trPr>
          <w:trHeight w:val="510"/>
        </w:trPr>
        <w:tc>
          <w:tcPr>
            <w:tcW w:w="7164" w:type="dxa"/>
            <w:tcBorders>
              <w:top w:val="nil"/>
            </w:tcBorders>
            <w:shd w:val="clear" w:color="auto" w:fill="auto"/>
            <w:noWrap/>
            <w:vAlign w:val="center"/>
            <w:hideMark/>
          </w:tcPr>
          <w:p w14:paraId="0155F8BB" w14:textId="7E724F17" w:rsidR="00AC3E65" w:rsidRPr="00041889" w:rsidRDefault="00AC3E65" w:rsidP="00522BBC">
            <w:pPr>
              <w:spacing w:after="0" w:line="240" w:lineRule="auto"/>
              <w:jc w:val="left"/>
              <w:rPr>
                <w:rFonts w:eastAsia="Times New Roman" w:cs="Segoe UI"/>
                <w:bCs/>
                <w:sz w:val="20"/>
                <w:lang w:eastAsia="sk-SK"/>
              </w:rPr>
            </w:pPr>
            <w:r w:rsidRPr="00041889">
              <w:rPr>
                <w:rFonts w:eastAsia="Times New Roman" w:cs="Segoe UI"/>
                <w:bCs/>
                <w:sz w:val="20"/>
                <w:lang w:eastAsia="sk-SK"/>
              </w:rPr>
              <w:t>Počet chýbajúcich miest pre dosiahnutie plnej zaškolenosti 5-ročných po vybudovaní všetkých aktuálne zazmluvnených kapacít, zohľadnení voľných kapacít a</w:t>
            </w:r>
            <w:r w:rsidR="00522BBC" w:rsidRPr="00041889">
              <w:rPr>
                <w:rFonts w:eastAsia="Times New Roman" w:cs="Segoe UI"/>
                <w:bCs/>
                <w:sz w:val="20"/>
                <w:lang w:eastAsia="sk-SK"/>
              </w:rPr>
              <w:t> zohľadnení potenciálnych miest</w:t>
            </w:r>
          </w:p>
        </w:tc>
        <w:tc>
          <w:tcPr>
            <w:tcW w:w="1913" w:type="dxa"/>
            <w:tcBorders>
              <w:top w:val="nil"/>
              <w:left w:val="nil"/>
            </w:tcBorders>
            <w:shd w:val="clear" w:color="auto" w:fill="auto"/>
            <w:noWrap/>
            <w:vAlign w:val="center"/>
            <w:hideMark/>
          </w:tcPr>
          <w:p w14:paraId="5A33C6C5" w14:textId="77777777" w:rsidR="00AC3E65" w:rsidRPr="00E85970" w:rsidRDefault="00AC3E65" w:rsidP="00F92AC0">
            <w:pPr>
              <w:spacing w:after="0" w:line="240" w:lineRule="auto"/>
              <w:jc w:val="center"/>
              <w:rPr>
                <w:rFonts w:eastAsia="Times New Roman" w:cs="Segoe UI"/>
                <w:bCs/>
                <w:sz w:val="20"/>
                <w:lang w:eastAsia="sk-SK"/>
              </w:rPr>
            </w:pPr>
            <w:r w:rsidRPr="00E85970">
              <w:rPr>
                <w:rFonts w:eastAsia="Times New Roman" w:cs="Segoe UI"/>
                <w:bCs/>
                <w:sz w:val="20"/>
                <w:lang w:eastAsia="sk-SK"/>
              </w:rPr>
              <w:t>1 828 - 3 172</w:t>
            </w:r>
          </w:p>
        </w:tc>
      </w:tr>
      <w:tr w:rsidR="00AC3E65" w:rsidRPr="00C27724" w14:paraId="1261574C" w14:textId="77777777" w:rsidTr="003137BC">
        <w:trPr>
          <w:trHeight w:val="510"/>
        </w:trPr>
        <w:tc>
          <w:tcPr>
            <w:tcW w:w="7164" w:type="dxa"/>
            <w:tcBorders>
              <w:top w:val="nil"/>
              <w:bottom w:val="single" w:sz="4" w:space="0" w:color="auto"/>
            </w:tcBorders>
            <w:shd w:val="clear" w:color="auto" w:fill="auto"/>
            <w:noWrap/>
            <w:vAlign w:val="center"/>
            <w:hideMark/>
          </w:tcPr>
          <w:p w14:paraId="0966CC4F" w14:textId="77777777" w:rsidR="00AC3E65" w:rsidRPr="00E85970" w:rsidRDefault="00AC3E65" w:rsidP="00522BBC">
            <w:pPr>
              <w:spacing w:after="0" w:line="240" w:lineRule="auto"/>
              <w:jc w:val="left"/>
              <w:rPr>
                <w:rFonts w:eastAsia="Times New Roman" w:cs="Segoe UI"/>
                <w:b/>
                <w:bCs/>
                <w:sz w:val="20"/>
                <w:lang w:eastAsia="sk-SK"/>
              </w:rPr>
            </w:pPr>
            <w:r w:rsidRPr="00E85970">
              <w:rPr>
                <w:rFonts w:eastAsia="Times New Roman" w:cs="Segoe UI"/>
                <w:b/>
                <w:bCs/>
                <w:sz w:val="20"/>
                <w:lang w:eastAsia="sk-SK"/>
              </w:rPr>
              <w:t>Podiel 5-ročných detí, ktoré by po vybudovaní všetkých aktuálne zazmluvnených kapacít, zohľadnení voľných kapacít a zohľadnení potenciálnych miest, mali miesto v MŠ (%)</w:t>
            </w:r>
          </w:p>
        </w:tc>
        <w:tc>
          <w:tcPr>
            <w:tcW w:w="1913" w:type="dxa"/>
            <w:tcBorders>
              <w:top w:val="nil"/>
              <w:left w:val="nil"/>
              <w:bottom w:val="single" w:sz="4" w:space="0" w:color="auto"/>
            </w:tcBorders>
            <w:shd w:val="clear" w:color="auto" w:fill="auto"/>
            <w:noWrap/>
            <w:vAlign w:val="center"/>
            <w:hideMark/>
          </w:tcPr>
          <w:p w14:paraId="47B8AA12" w14:textId="77777777" w:rsidR="00AC3E65" w:rsidRPr="00E85970" w:rsidRDefault="00AC3E65" w:rsidP="00F92AC0">
            <w:pPr>
              <w:spacing w:after="0" w:line="240" w:lineRule="auto"/>
              <w:jc w:val="center"/>
              <w:rPr>
                <w:rFonts w:eastAsia="Times New Roman" w:cs="Segoe UI"/>
                <w:b/>
                <w:bCs/>
                <w:sz w:val="20"/>
                <w:lang w:eastAsia="sk-SK"/>
              </w:rPr>
            </w:pPr>
            <w:r w:rsidRPr="00E85970">
              <w:rPr>
                <w:rFonts w:eastAsia="Times New Roman" w:cs="Segoe UI"/>
                <w:b/>
                <w:bCs/>
                <w:sz w:val="20"/>
                <w:lang w:eastAsia="sk-SK"/>
              </w:rPr>
              <w:t>94,61 - 96,89</w:t>
            </w:r>
          </w:p>
        </w:tc>
      </w:tr>
      <w:tr w:rsidR="00AC3E65" w:rsidRPr="00C27724" w14:paraId="3D32ED06" w14:textId="77777777" w:rsidTr="003137BC">
        <w:trPr>
          <w:trHeight w:val="300"/>
        </w:trPr>
        <w:tc>
          <w:tcPr>
            <w:tcW w:w="9077" w:type="dxa"/>
            <w:gridSpan w:val="2"/>
            <w:tcBorders>
              <w:top w:val="single" w:sz="4" w:space="0" w:color="auto"/>
            </w:tcBorders>
            <w:shd w:val="clear" w:color="auto" w:fill="auto"/>
            <w:noWrap/>
            <w:vAlign w:val="center"/>
          </w:tcPr>
          <w:p w14:paraId="3B5EC185" w14:textId="77777777" w:rsidR="00AC3E65" w:rsidRPr="00C27724" w:rsidRDefault="00AC3E65" w:rsidP="002229B2">
            <w:pPr>
              <w:spacing w:after="0" w:line="240" w:lineRule="auto"/>
              <w:jc w:val="right"/>
              <w:rPr>
                <w:rFonts w:eastAsia="Times New Roman" w:cs="Segoe UI"/>
                <w:b/>
                <w:bCs/>
                <w:sz w:val="16"/>
                <w:szCs w:val="16"/>
                <w:lang w:eastAsia="sk-SK"/>
              </w:rPr>
            </w:pPr>
            <w:r w:rsidRPr="002229B2">
              <w:rPr>
                <w:rFonts w:eastAsia="Times New Roman" w:cs="Segoe UI"/>
                <w:bCs/>
                <w:i/>
                <w:sz w:val="18"/>
                <w:szCs w:val="16"/>
                <w:lang w:eastAsia="sk-SK"/>
              </w:rPr>
              <w:t>Zdroj: prepočty IVP na základe údajov CVTI SR (2018), MPRV SR (2018), RIS MŠVVŠ SR (2018) a MV SR (2018)</w:t>
            </w:r>
          </w:p>
        </w:tc>
      </w:tr>
    </w:tbl>
    <w:p w14:paraId="069826BC" w14:textId="77777777" w:rsidR="00827B00" w:rsidRDefault="00827B00" w:rsidP="00494ABB">
      <w:pPr>
        <w:pStyle w:val="Popis"/>
        <w:rPr>
          <w:b/>
          <w:i w:val="0"/>
          <w:color w:val="2E74B5" w:themeColor="accent1" w:themeShade="BF"/>
          <w:sz w:val="22"/>
        </w:rPr>
      </w:pPr>
      <w:bookmarkStart w:id="1893" w:name="_Ref25324197"/>
      <w:bookmarkStart w:id="1894" w:name="_Hlk24490175"/>
    </w:p>
    <w:p w14:paraId="6498E27F" w14:textId="77777777" w:rsidR="00827B00" w:rsidRDefault="00827B00">
      <w:pPr>
        <w:spacing w:after="160"/>
        <w:jc w:val="left"/>
        <w:rPr>
          <w:b/>
          <w:iCs/>
          <w:color w:val="2E74B5" w:themeColor="accent1" w:themeShade="BF"/>
          <w:szCs w:val="18"/>
        </w:rPr>
      </w:pPr>
      <w:r>
        <w:rPr>
          <w:b/>
          <w:i/>
          <w:color w:val="2E74B5" w:themeColor="accent1" w:themeShade="BF"/>
        </w:rPr>
        <w:br w:type="page"/>
      </w:r>
    </w:p>
    <w:p w14:paraId="6FBEDA25" w14:textId="77777777" w:rsidR="00827B00" w:rsidRDefault="00827B00" w:rsidP="00827B00">
      <w:pPr>
        <w:pStyle w:val="Popis"/>
        <w:rPr>
          <w:b/>
          <w:i w:val="0"/>
          <w:color w:val="2E74B5" w:themeColor="accent1" w:themeShade="BF"/>
          <w:sz w:val="22"/>
        </w:rPr>
        <w:sectPr w:rsidR="00827B00" w:rsidSect="00827B00">
          <w:footerReference w:type="default" r:id="rId255"/>
          <w:pgSz w:w="11906" w:h="16838" w:code="9"/>
          <w:pgMar w:top="1440" w:right="1378" w:bottom="1440" w:left="1440" w:header="708" w:footer="928" w:gutter="0"/>
          <w:cols w:space="708"/>
          <w:docGrid w:linePitch="360"/>
        </w:sectPr>
      </w:pPr>
      <w:bookmarkStart w:id="1895" w:name="_Ref25324150"/>
      <w:bookmarkStart w:id="1896" w:name="_Hlk24490221"/>
    </w:p>
    <w:p w14:paraId="73717165" w14:textId="78299ED2" w:rsidR="00827B00" w:rsidRPr="00DF3709" w:rsidRDefault="00827B00" w:rsidP="00827B00">
      <w:pPr>
        <w:pStyle w:val="Popis"/>
        <w:rPr>
          <w:b/>
          <w:i w:val="0"/>
          <w:color w:val="2E74B5" w:themeColor="accent1" w:themeShade="BF"/>
          <w:sz w:val="22"/>
        </w:rPr>
      </w:pPr>
      <w:bookmarkStart w:id="1897" w:name="_Ref34129767"/>
      <w:r w:rsidRPr="00DF3709">
        <w:rPr>
          <w:b/>
          <w:i w:val="0"/>
          <w:color w:val="2E74B5" w:themeColor="accent1" w:themeShade="BF"/>
          <w:sz w:val="22"/>
        </w:rPr>
        <w:t xml:space="preserve">Príloha </w:t>
      </w:r>
      <w:r w:rsidRPr="00DF3709">
        <w:rPr>
          <w:b/>
          <w:i w:val="0"/>
          <w:color w:val="2E74B5" w:themeColor="accent1" w:themeShade="BF"/>
          <w:sz w:val="22"/>
        </w:rPr>
        <w:fldChar w:fldCharType="begin"/>
      </w:r>
      <w:r w:rsidRPr="00DF3709">
        <w:rPr>
          <w:b/>
          <w:i w:val="0"/>
          <w:color w:val="2E74B5" w:themeColor="accent1" w:themeShade="BF"/>
          <w:sz w:val="22"/>
        </w:rPr>
        <w:instrText xml:space="preserve"> SEQ Príloha \* ARABIC </w:instrText>
      </w:r>
      <w:r w:rsidRPr="00DF3709">
        <w:rPr>
          <w:b/>
          <w:i w:val="0"/>
          <w:color w:val="2E74B5" w:themeColor="accent1" w:themeShade="BF"/>
          <w:sz w:val="22"/>
        </w:rPr>
        <w:fldChar w:fldCharType="separate"/>
      </w:r>
      <w:r w:rsidR="00FA29AF">
        <w:rPr>
          <w:b/>
          <w:i w:val="0"/>
          <w:noProof/>
          <w:color w:val="2E74B5" w:themeColor="accent1" w:themeShade="BF"/>
          <w:sz w:val="22"/>
        </w:rPr>
        <w:t>9</w:t>
      </w:r>
      <w:r w:rsidRPr="00DF3709">
        <w:rPr>
          <w:b/>
          <w:i w:val="0"/>
          <w:color w:val="2E74B5" w:themeColor="accent1" w:themeShade="BF"/>
          <w:sz w:val="22"/>
        </w:rPr>
        <w:fldChar w:fldCharType="end"/>
      </w:r>
      <w:bookmarkEnd w:id="1895"/>
      <w:bookmarkEnd w:id="1897"/>
      <w:r w:rsidRPr="00DF3709">
        <w:rPr>
          <w:b/>
          <w:i w:val="0"/>
          <w:color w:val="2E74B5" w:themeColor="accent1" w:themeShade="BF"/>
          <w:sz w:val="22"/>
        </w:rPr>
        <w:t>: Príjmy a výdavky obcí na predprimárne vzdelávanie</w:t>
      </w:r>
    </w:p>
    <w:bookmarkEnd w:id="1896"/>
    <w:p w14:paraId="621831EA" w14:textId="77777777" w:rsidR="00827B00" w:rsidRPr="00943975" w:rsidRDefault="00827B00" w:rsidP="00827B00">
      <w:pPr>
        <w:spacing w:after="0" w:line="240" w:lineRule="auto"/>
        <w:rPr>
          <w:b/>
          <w:sz w:val="20"/>
        </w:rPr>
      </w:pPr>
      <w:r w:rsidRPr="00943975">
        <w:rPr>
          <w:b/>
          <w:sz w:val="20"/>
        </w:rPr>
        <w:t xml:space="preserve">Tabuľka P </w:t>
      </w:r>
      <w:r>
        <w:rPr>
          <w:b/>
          <w:sz w:val="20"/>
        </w:rPr>
        <w:fldChar w:fldCharType="begin"/>
      </w:r>
      <w:r>
        <w:rPr>
          <w:b/>
          <w:sz w:val="20"/>
        </w:rPr>
        <w:instrText xml:space="preserve"> SEQ Tabuľka_P \* ARABIC </w:instrText>
      </w:r>
      <w:r>
        <w:rPr>
          <w:b/>
          <w:sz w:val="20"/>
        </w:rPr>
        <w:fldChar w:fldCharType="separate"/>
      </w:r>
      <w:r w:rsidR="00FA29AF">
        <w:rPr>
          <w:b/>
          <w:noProof/>
          <w:sz w:val="20"/>
        </w:rPr>
        <w:t>7</w:t>
      </w:r>
      <w:r>
        <w:rPr>
          <w:b/>
          <w:sz w:val="20"/>
        </w:rPr>
        <w:fldChar w:fldCharType="end"/>
      </w:r>
      <w:r>
        <w:rPr>
          <w:b/>
          <w:sz w:val="20"/>
        </w:rPr>
        <w:t xml:space="preserve">: </w:t>
      </w:r>
      <w:r w:rsidRPr="00795367">
        <w:rPr>
          <w:b/>
          <w:sz w:val="20"/>
        </w:rPr>
        <w:t>Lineárna regresia výdavkov na predškolské vzdelávanie (štandardizované koeficienty)</w:t>
      </w:r>
    </w:p>
    <w:tbl>
      <w:tblPr>
        <w:tblW w:w="13545" w:type="dxa"/>
        <w:tblCellMar>
          <w:left w:w="70" w:type="dxa"/>
          <w:right w:w="70" w:type="dxa"/>
        </w:tblCellMar>
        <w:tblLook w:val="04A0" w:firstRow="1" w:lastRow="0" w:firstColumn="1" w:lastColumn="0" w:noHBand="0" w:noVBand="1"/>
      </w:tblPr>
      <w:tblGrid>
        <w:gridCol w:w="3964"/>
        <w:gridCol w:w="858"/>
        <w:gridCol w:w="850"/>
        <w:gridCol w:w="819"/>
        <w:gridCol w:w="881"/>
        <w:gridCol w:w="957"/>
        <w:gridCol w:w="886"/>
        <w:gridCol w:w="819"/>
        <w:gridCol w:w="886"/>
        <w:gridCol w:w="982"/>
        <w:gridCol w:w="820"/>
        <w:gridCol w:w="823"/>
      </w:tblGrid>
      <w:tr w:rsidR="00827B00" w:rsidRPr="0020638D" w14:paraId="1D5E0B6C" w14:textId="77777777" w:rsidTr="003B7808">
        <w:trPr>
          <w:trHeight w:val="17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FD285" w14:textId="77777777" w:rsidR="00827B00" w:rsidRPr="00795367" w:rsidRDefault="00827B00" w:rsidP="003B7808">
            <w:pPr>
              <w:spacing w:after="0" w:line="240" w:lineRule="auto"/>
              <w:jc w:val="center"/>
              <w:rPr>
                <w:rFonts w:eastAsia="Times New Roman" w:cs="Calibri"/>
                <w:color w:val="000000"/>
                <w:sz w:val="18"/>
                <w:szCs w:val="18"/>
                <w:lang w:eastAsia="sk-SK"/>
              </w:rPr>
            </w:pPr>
          </w:p>
        </w:tc>
        <w:tc>
          <w:tcPr>
            <w:tcW w:w="858" w:type="dxa"/>
            <w:tcBorders>
              <w:top w:val="single" w:sz="4" w:space="0" w:color="auto"/>
              <w:left w:val="nil"/>
              <w:bottom w:val="single" w:sz="4" w:space="0" w:color="auto"/>
              <w:right w:val="nil"/>
            </w:tcBorders>
            <w:shd w:val="clear" w:color="auto" w:fill="auto"/>
            <w:noWrap/>
            <w:vAlign w:val="bottom"/>
            <w:hideMark/>
          </w:tcPr>
          <w:p w14:paraId="0C7C2378" w14:textId="77777777" w:rsidR="00827B00" w:rsidRPr="00795367" w:rsidRDefault="00827B00" w:rsidP="003B7808">
            <w:pPr>
              <w:spacing w:before="100" w:beforeAutospacing="1" w:after="100" w:afterAutospacing="1" w:line="240" w:lineRule="auto"/>
              <w:jc w:val="center"/>
              <w:rPr>
                <w:rFonts w:eastAsia="Times New Roman" w:cs="Calibri"/>
                <w:b/>
                <w:bCs/>
                <w:color w:val="000000"/>
                <w:sz w:val="18"/>
                <w:szCs w:val="18"/>
                <w:lang w:eastAsia="sk-SK"/>
              </w:rPr>
            </w:pPr>
            <w:r w:rsidRPr="00795367">
              <w:rPr>
                <w:rFonts w:eastAsia="Times New Roman" w:cs="Calibri"/>
                <w:b/>
                <w:bCs/>
                <w:color w:val="000000"/>
                <w:sz w:val="18"/>
                <w:szCs w:val="18"/>
                <w:lang w:eastAsia="sk-SK"/>
              </w:rPr>
              <w:t>1</w:t>
            </w:r>
          </w:p>
        </w:tc>
        <w:tc>
          <w:tcPr>
            <w:tcW w:w="850" w:type="dxa"/>
            <w:tcBorders>
              <w:top w:val="single" w:sz="4" w:space="0" w:color="auto"/>
              <w:left w:val="nil"/>
              <w:bottom w:val="single" w:sz="4" w:space="0" w:color="auto"/>
              <w:right w:val="nil"/>
            </w:tcBorders>
            <w:shd w:val="clear" w:color="auto" w:fill="auto"/>
            <w:noWrap/>
            <w:vAlign w:val="bottom"/>
            <w:hideMark/>
          </w:tcPr>
          <w:p w14:paraId="11695C55" w14:textId="77777777" w:rsidR="00827B00" w:rsidRPr="00795367" w:rsidRDefault="00827B00" w:rsidP="003B7808">
            <w:pPr>
              <w:spacing w:before="100" w:beforeAutospacing="1" w:after="100" w:afterAutospacing="1" w:line="240" w:lineRule="auto"/>
              <w:jc w:val="center"/>
              <w:rPr>
                <w:rFonts w:eastAsia="Times New Roman" w:cs="Calibri"/>
                <w:b/>
                <w:bCs/>
                <w:color w:val="000000"/>
                <w:sz w:val="18"/>
                <w:szCs w:val="18"/>
                <w:lang w:eastAsia="sk-SK"/>
              </w:rPr>
            </w:pPr>
            <w:r w:rsidRPr="00795367">
              <w:rPr>
                <w:rFonts w:eastAsia="Times New Roman" w:cs="Calibri"/>
                <w:b/>
                <w:bCs/>
                <w:color w:val="000000"/>
                <w:sz w:val="18"/>
                <w:szCs w:val="18"/>
                <w:lang w:eastAsia="sk-SK"/>
              </w:rPr>
              <w:t>2</w:t>
            </w:r>
          </w:p>
        </w:tc>
        <w:tc>
          <w:tcPr>
            <w:tcW w:w="819" w:type="dxa"/>
            <w:tcBorders>
              <w:top w:val="single" w:sz="4" w:space="0" w:color="auto"/>
              <w:left w:val="nil"/>
              <w:bottom w:val="single" w:sz="4" w:space="0" w:color="auto"/>
              <w:right w:val="nil"/>
            </w:tcBorders>
            <w:shd w:val="clear" w:color="auto" w:fill="auto"/>
            <w:noWrap/>
            <w:vAlign w:val="bottom"/>
            <w:hideMark/>
          </w:tcPr>
          <w:p w14:paraId="1207E307" w14:textId="77777777" w:rsidR="00827B00" w:rsidRPr="00795367" w:rsidRDefault="00827B00" w:rsidP="003B7808">
            <w:pPr>
              <w:spacing w:before="100" w:beforeAutospacing="1" w:after="100" w:afterAutospacing="1" w:line="240" w:lineRule="auto"/>
              <w:jc w:val="center"/>
              <w:rPr>
                <w:rFonts w:eastAsia="Times New Roman" w:cs="Calibri"/>
                <w:b/>
                <w:bCs/>
                <w:color w:val="000000"/>
                <w:sz w:val="18"/>
                <w:szCs w:val="18"/>
                <w:lang w:eastAsia="sk-SK"/>
              </w:rPr>
            </w:pPr>
            <w:r w:rsidRPr="00795367">
              <w:rPr>
                <w:rFonts w:eastAsia="Times New Roman" w:cs="Calibri"/>
                <w:b/>
                <w:bCs/>
                <w:color w:val="000000"/>
                <w:sz w:val="18"/>
                <w:szCs w:val="18"/>
                <w:lang w:eastAsia="sk-SK"/>
              </w:rPr>
              <w:t>3</w:t>
            </w:r>
          </w:p>
        </w:tc>
        <w:tc>
          <w:tcPr>
            <w:tcW w:w="881" w:type="dxa"/>
            <w:tcBorders>
              <w:top w:val="single" w:sz="4" w:space="0" w:color="auto"/>
              <w:left w:val="nil"/>
              <w:bottom w:val="single" w:sz="4" w:space="0" w:color="auto"/>
              <w:right w:val="nil"/>
            </w:tcBorders>
            <w:shd w:val="clear" w:color="auto" w:fill="auto"/>
            <w:noWrap/>
            <w:vAlign w:val="bottom"/>
            <w:hideMark/>
          </w:tcPr>
          <w:p w14:paraId="539D3538" w14:textId="77777777" w:rsidR="00827B00" w:rsidRPr="00795367" w:rsidRDefault="00827B00" w:rsidP="003B7808">
            <w:pPr>
              <w:spacing w:before="100" w:beforeAutospacing="1" w:after="100" w:afterAutospacing="1" w:line="240" w:lineRule="auto"/>
              <w:jc w:val="center"/>
              <w:rPr>
                <w:rFonts w:eastAsia="Times New Roman" w:cs="Calibri"/>
                <w:b/>
                <w:bCs/>
                <w:color w:val="000000"/>
                <w:sz w:val="18"/>
                <w:szCs w:val="18"/>
                <w:lang w:eastAsia="sk-SK"/>
              </w:rPr>
            </w:pPr>
            <w:r w:rsidRPr="00795367">
              <w:rPr>
                <w:rFonts w:eastAsia="Times New Roman" w:cs="Calibri"/>
                <w:b/>
                <w:bCs/>
                <w:color w:val="000000"/>
                <w:sz w:val="18"/>
                <w:szCs w:val="18"/>
                <w:lang w:eastAsia="sk-SK"/>
              </w:rPr>
              <w:t>4</w:t>
            </w:r>
          </w:p>
        </w:tc>
        <w:tc>
          <w:tcPr>
            <w:tcW w:w="957" w:type="dxa"/>
            <w:tcBorders>
              <w:top w:val="single" w:sz="4" w:space="0" w:color="auto"/>
              <w:left w:val="nil"/>
              <w:bottom w:val="single" w:sz="4" w:space="0" w:color="auto"/>
              <w:right w:val="nil"/>
            </w:tcBorders>
            <w:shd w:val="clear" w:color="auto" w:fill="auto"/>
            <w:noWrap/>
            <w:vAlign w:val="bottom"/>
            <w:hideMark/>
          </w:tcPr>
          <w:p w14:paraId="510F8F97" w14:textId="77777777" w:rsidR="00827B00" w:rsidRPr="00795367" w:rsidRDefault="00827B00" w:rsidP="003B7808">
            <w:pPr>
              <w:spacing w:before="100" w:beforeAutospacing="1" w:after="100" w:afterAutospacing="1" w:line="240" w:lineRule="auto"/>
              <w:jc w:val="center"/>
              <w:rPr>
                <w:rFonts w:eastAsia="Times New Roman" w:cs="Calibri"/>
                <w:b/>
                <w:bCs/>
                <w:color w:val="000000"/>
                <w:sz w:val="18"/>
                <w:szCs w:val="18"/>
                <w:lang w:eastAsia="sk-SK"/>
              </w:rPr>
            </w:pPr>
            <w:r w:rsidRPr="00795367">
              <w:rPr>
                <w:rFonts w:eastAsia="Times New Roman" w:cs="Calibri"/>
                <w:b/>
                <w:bCs/>
                <w:color w:val="000000"/>
                <w:sz w:val="18"/>
                <w:szCs w:val="18"/>
                <w:lang w:eastAsia="sk-SK"/>
              </w:rPr>
              <w:t>5</w:t>
            </w:r>
          </w:p>
        </w:tc>
        <w:tc>
          <w:tcPr>
            <w:tcW w:w="886" w:type="dxa"/>
            <w:tcBorders>
              <w:top w:val="single" w:sz="4" w:space="0" w:color="auto"/>
              <w:left w:val="nil"/>
              <w:bottom w:val="single" w:sz="4" w:space="0" w:color="auto"/>
              <w:right w:val="nil"/>
            </w:tcBorders>
            <w:shd w:val="clear" w:color="auto" w:fill="auto"/>
            <w:noWrap/>
            <w:vAlign w:val="bottom"/>
            <w:hideMark/>
          </w:tcPr>
          <w:p w14:paraId="5D04836C" w14:textId="77777777" w:rsidR="00827B00" w:rsidRPr="00795367" w:rsidRDefault="00827B00" w:rsidP="003B7808">
            <w:pPr>
              <w:spacing w:before="100" w:beforeAutospacing="1" w:after="100" w:afterAutospacing="1" w:line="240" w:lineRule="auto"/>
              <w:jc w:val="center"/>
              <w:rPr>
                <w:rFonts w:eastAsia="Times New Roman" w:cs="Calibri"/>
                <w:b/>
                <w:bCs/>
                <w:color w:val="000000"/>
                <w:sz w:val="18"/>
                <w:szCs w:val="18"/>
                <w:lang w:eastAsia="sk-SK"/>
              </w:rPr>
            </w:pPr>
            <w:r w:rsidRPr="00795367">
              <w:rPr>
                <w:rFonts w:eastAsia="Times New Roman" w:cs="Calibri"/>
                <w:b/>
                <w:bCs/>
                <w:color w:val="000000"/>
                <w:sz w:val="18"/>
                <w:szCs w:val="18"/>
                <w:lang w:eastAsia="sk-SK"/>
              </w:rPr>
              <w:t>6</w:t>
            </w:r>
          </w:p>
        </w:tc>
        <w:tc>
          <w:tcPr>
            <w:tcW w:w="819" w:type="dxa"/>
            <w:tcBorders>
              <w:top w:val="single" w:sz="4" w:space="0" w:color="auto"/>
              <w:left w:val="nil"/>
              <w:bottom w:val="single" w:sz="4" w:space="0" w:color="auto"/>
              <w:right w:val="nil"/>
            </w:tcBorders>
            <w:shd w:val="clear" w:color="auto" w:fill="auto"/>
            <w:noWrap/>
            <w:vAlign w:val="bottom"/>
            <w:hideMark/>
          </w:tcPr>
          <w:p w14:paraId="1132B1D6" w14:textId="77777777" w:rsidR="00827B00" w:rsidRPr="00795367" w:rsidRDefault="00827B00" w:rsidP="003B7808">
            <w:pPr>
              <w:spacing w:before="100" w:beforeAutospacing="1" w:after="100" w:afterAutospacing="1" w:line="240" w:lineRule="auto"/>
              <w:jc w:val="center"/>
              <w:rPr>
                <w:rFonts w:eastAsia="Times New Roman" w:cs="Calibri"/>
                <w:b/>
                <w:bCs/>
                <w:color w:val="000000"/>
                <w:sz w:val="18"/>
                <w:szCs w:val="18"/>
                <w:lang w:eastAsia="sk-SK"/>
              </w:rPr>
            </w:pPr>
            <w:r w:rsidRPr="00795367">
              <w:rPr>
                <w:rFonts w:eastAsia="Times New Roman" w:cs="Calibri"/>
                <w:b/>
                <w:bCs/>
                <w:color w:val="000000"/>
                <w:sz w:val="18"/>
                <w:szCs w:val="18"/>
                <w:lang w:eastAsia="sk-SK"/>
              </w:rPr>
              <w:t>7</w:t>
            </w:r>
          </w:p>
        </w:tc>
        <w:tc>
          <w:tcPr>
            <w:tcW w:w="886" w:type="dxa"/>
            <w:tcBorders>
              <w:top w:val="single" w:sz="4" w:space="0" w:color="auto"/>
              <w:left w:val="nil"/>
              <w:bottom w:val="single" w:sz="4" w:space="0" w:color="auto"/>
              <w:right w:val="nil"/>
            </w:tcBorders>
            <w:shd w:val="clear" w:color="auto" w:fill="auto"/>
            <w:noWrap/>
            <w:vAlign w:val="bottom"/>
            <w:hideMark/>
          </w:tcPr>
          <w:p w14:paraId="60DD0BEC" w14:textId="77777777" w:rsidR="00827B00" w:rsidRPr="00795367" w:rsidRDefault="00827B00" w:rsidP="003B7808">
            <w:pPr>
              <w:spacing w:before="100" w:beforeAutospacing="1" w:after="100" w:afterAutospacing="1" w:line="240" w:lineRule="auto"/>
              <w:jc w:val="center"/>
              <w:rPr>
                <w:rFonts w:eastAsia="Times New Roman" w:cs="Calibri"/>
                <w:b/>
                <w:bCs/>
                <w:color w:val="000000"/>
                <w:sz w:val="18"/>
                <w:szCs w:val="18"/>
                <w:lang w:eastAsia="sk-SK"/>
              </w:rPr>
            </w:pPr>
            <w:r w:rsidRPr="00795367">
              <w:rPr>
                <w:rFonts w:eastAsia="Times New Roman" w:cs="Calibri"/>
                <w:b/>
                <w:bCs/>
                <w:color w:val="000000"/>
                <w:sz w:val="18"/>
                <w:szCs w:val="18"/>
                <w:lang w:eastAsia="sk-SK"/>
              </w:rPr>
              <w:t>8</w:t>
            </w:r>
          </w:p>
        </w:tc>
        <w:tc>
          <w:tcPr>
            <w:tcW w:w="982" w:type="dxa"/>
            <w:tcBorders>
              <w:top w:val="single" w:sz="4" w:space="0" w:color="auto"/>
              <w:left w:val="nil"/>
              <w:bottom w:val="single" w:sz="4" w:space="0" w:color="auto"/>
              <w:right w:val="nil"/>
            </w:tcBorders>
            <w:vAlign w:val="bottom"/>
          </w:tcPr>
          <w:p w14:paraId="1B1F4AE2" w14:textId="77777777" w:rsidR="00827B00" w:rsidRPr="00795367" w:rsidRDefault="00827B00" w:rsidP="003B7808">
            <w:pPr>
              <w:spacing w:before="100" w:beforeAutospacing="1" w:after="100" w:afterAutospacing="1" w:line="240" w:lineRule="auto"/>
              <w:jc w:val="center"/>
              <w:rPr>
                <w:rFonts w:eastAsia="Times New Roman" w:cs="Calibri"/>
                <w:b/>
                <w:bCs/>
                <w:color w:val="000000"/>
                <w:sz w:val="18"/>
                <w:szCs w:val="18"/>
                <w:lang w:eastAsia="sk-SK"/>
              </w:rPr>
            </w:pPr>
            <w:r w:rsidRPr="00795367">
              <w:rPr>
                <w:rFonts w:eastAsia="Times New Roman" w:cs="Calibri"/>
                <w:b/>
                <w:bCs/>
                <w:color w:val="000000"/>
                <w:sz w:val="18"/>
                <w:szCs w:val="18"/>
                <w:lang w:eastAsia="sk-SK"/>
              </w:rPr>
              <w:t>9</w:t>
            </w:r>
          </w:p>
        </w:tc>
        <w:tc>
          <w:tcPr>
            <w:tcW w:w="820" w:type="dxa"/>
            <w:tcBorders>
              <w:top w:val="single" w:sz="4" w:space="0" w:color="auto"/>
              <w:left w:val="nil"/>
              <w:bottom w:val="single" w:sz="4" w:space="0" w:color="auto"/>
              <w:right w:val="nil"/>
            </w:tcBorders>
            <w:shd w:val="clear" w:color="auto" w:fill="auto"/>
            <w:noWrap/>
            <w:vAlign w:val="bottom"/>
            <w:hideMark/>
          </w:tcPr>
          <w:p w14:paraId="1A887408" w14:textId="77777777" w:rsidR="00827B00" w:rsidRPr="00795367" w:rsidRDefault="00827B00" w:rsidP="003B7808">
            <w:pPr>
              <w:spacing w:before="100" w:beforeAutospacing="1" w:after="100" w:afterAutospacing="1" w:line="240" w:lineRule="auto"/>
              <w:jc w:val="center"/>
              <w:rPr>
                <w:rFonts w:eastAsia="Times New Roman" w:cs="Calibri"/>
                <w:b/>
                <w:bCs/>
                <w:color w:val="000000"/>
                <w:sz w:val="18"/>
                <w:szCs w:val="18"/>
                <w:lang w:eastAsia="sk-SK"/>
              </w:rPr>
            </w:pPr>
            <w:r w:rsidRPr="00795367">
              <w:rPr>
                <w:rFonts w:eastAsia="Times New Roman" w:cs="Calibri"/>
                <w:b/>
                <w:bCs/>
                <w:color w:val="000000"/>
                <w:sz w:val="18"/>
                <w:szCs w:val="18"/>
                <w:lang w:eastAsia="sk-SK"/>
              </w:rPr>
              <w:t>10</w:t>
            </w:r>
          </w:p>
        </w:tc>
        <w:tc>
          <w:tcPr>
            <w:tcW w:w="823" w:type="dxa"/>
            <w:tcBorders>
              <w:top w:val="single" w:sz="4" w:space="0" w:color="auto"/>
              <w:left w:val="nil"/>
              <w:bottom w:val="single" w:sz="4" w:space="0" w:color="auto"/>
              <w:right w:val="single" w:sz="4" w:space="0" w:color="auto"/>
            </w:tcBorders>
            <w:shd w:val="clear" w:color="auto" w:fill="auto"/>
            <w:noWrap/>
            <w:vAlign w:val="bottom"/>
            <w:hideMark/>
          </w:tcPr>
          <w:p w14:paraId="7FD805A8" w14:textId="77777777" w:rsidR="00827B00" w:rsidRPr="00795367" w:rsidRDefault="00827B00" w:rsidP="003B7808">
            <w:pPr>
              <w:spacing w:before="100" w:beforeAutospacing="1" w:after="100" w:afterAutospacing="1" w:line="240" w:lineRule="auto"/>
              <w:jc w:val="center"/>
              <w:rPr>
                <w:rFonts w:eastAsia="Times New Roman" w:cs="Calibri"/>
                <w:b/>
                <w:bCs/>
                <w:color w:val="000000"/>
                <w:sz w:val="18"/>
                <w:szCs w:val="18"/>
                <w:lang w:eastAsia="sk-SK"/>
              </w:rPr>
            </w:pPr>
            <w:r w:rsidRPr="00795367">
              <w:rPr>
                <w:rFonts w:eastAsia="Times New Roman" w:cs="Calibri"/>
                <w:b/>
                <w:bCs/>
                <w:color w:val="000000"/>
                <w:sz w:val="18"/>
                <w:szCs w:val="18"/>
                <w:lang w:eastAsia="sk-SK"/>
              </w:rPr>
              <w:t>11</w:t>
            </w:r>
          </w:p>
        </w:tc>
      </w:tr>
      <w:tr w:rsidR="00827B00" w:rsidRPr="0020638D" w14:paraId="3BECC860" w14:textId="77777777" w:rsidTr="003B7808">
        <w:trPr>
          <w:trHeight w:val="283"/>
        </w:trPr>
        <w:tc>
          <w:tcPr>
            <w:tcW w:w="3964" w:type="dxa"/>
            <w:tcBorders>
              <w:top w:val="nil"/>
              <w:left w:val="single" w:sz="4" w:space="0" w:color="auto"/>
              <w:bottom w:val="nil"/>
              <w:right w:val="single" w:sz="4" w:space="0" w:color="auto"/>
            </w:tcBorders>
            <w:shd w:val="clear" w:color="auto" w:fill="auto"/>
            <w:noWrap/>
            <w:vAlign w:val="bottom"/>
            <w:hideMark/>
          </w:tcPr>
          <w:p w14:paraId="3BE8FEC8" w14:textId="77777777" w:rsidR="00827B00" w:rsidRPr="00795367" w:rsidRDefault="00827B00" w:rsidP="003B7808">
            <w:pPr>
              <w:spacing w:after="0" w:line="240" w:lineRule="auto"/>
              <w:rPr>
                <w:rFonts w:eastAsia="Times New Roman" w:cs="Calibri"/>
                <w:b/>
                <w:bCs/>
                <w:color w:val="000000"/>
                <w:sz w:val="18"/>
                <w:szCs w:val="18"/>
                <w:lang w:eastAsia="sk-SK"/>
              </w:rPr>
            </w:pPr>
            <w:r w:rsidRPr="00795367">
              <w:rPr>
                <w:rFonts w:eastAsia="Times New Roman" w:cs="Calibri"/>
                <w:b/>
                <w:bCs/>
                <w:color w:val="000000"/>
                <w:sz w:val="18"/>
                <w:szCs w:val="18"/>
                <w:lang w:eastAsia="sk-SK"/>
              </w:rPr>
              <w:t>Príjem</w:t>
            </w:r>
          </w:p>
        </w:tc>
        <w:tc>
          <w:tcPr>
            <w:tcW w:w="858" w:type="dxa"/>
            <w:tcBorders>
              <w:top w:val="nil"/>
              <w:left w:val="nil"/>
              <w:bottom w:val="nil"/>
              <w:right w:val="nil"/>
            </w:tcBorders>
            <w:shd w:val="clear" w:color="auto" w:fill="auto"/>
            <w:noWrap/>
            <w:vAlign w:val="bottom"/>
            <w:hideMark/>
          </w:tcPr>
          <w:p w14:paraId="7483229C"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0,941***</w:t>
            </w:r>
          </w:p>
        </w:tc>
        <w:tc>
          <w:tcPr>
            <w:tcW w:w="850" w:type="dxa"/>
            <w:tcBorders>
              <w:top w:val="nil"/>
              <w:left w:val="nil"/>
              <w:bottom w:val="nil"/>
              <w:right w:val="nil"/>
            </w:tcBorders>
            <w:shd w:val="clear" w:color="auto" w:fill="auto"/>
            <w:noWrap/>
            <w:vAlign w:val="bottom"/>
            <w:hideMark/>
          </w:tcPr>
          <w:p w14:paraId="65D3A059" w14:textId="77777777" w:rsidR="00827B00" w:rsidRPr="00795367" w:rsidRDefault="00827B00" w:rsidP="003B7808">
            <w:pPr>
              <w:spacing w:after="0" w:line="240" w:lineRule="auto"/>
              <w:rPr>
                <w:rFonts w:cs="Calibri"/>
                <w:color w:val="000000"/>
                <w:sz w:val="18"/>
                <w:szCs w:val="18"/>
              </w:rPr>
            </w:pPr>
          </w:p>
        </w:tc>
        <w:tc>
          <w:tcPr>
            <w:tcW w:w="819" w:type="dxa"/>
            <w:tcBorders>
              <w:top w:val="nil"/>
              <w:left w:val="nil"/>
              <w:bottom w:val="nil"/>
              <w:right w:val="nil"/>
            </w:tcBorders>
            <w:shd w:val="clear" w:color="auto" w:fill="auto"/>
            <w:noWrap/>
            <w:vAlign w:val="bottom"/>
            <w:hideMark/>
          </w:tcPr>
          <w:p w14:paraId="02BB62E8" w14:textId="77777777" w:rsidR="00827B00" w:rsidRPr="00795367" w:rsidRDefault="00827B00" w:rsidP="003B7808">
            <w:pPr>
              <w:spacing w:after="0" w:line="240" w:lineRule="auto"/>
              <w:rPr>
                <w:sz w:val="18"/>
                <w:szCs w:val="18"/>
              </w:rPr>
            </w:pPr>
          </w:p>
        </w:tc>
        <w:tc>
          <w:tcPr>
            <w:tcW w:w="881" w:type="dxa"/>
            <w:tcBorders>
              <w:top w:val="nil"/>
              <w:left w:val="nil"/>
              <w:bottom w:val="nil"/>
              <w:right w:val="nil"/>
            </w:tcBorders>
            <w:shd w:val="clear" w:color="auto" w:fill="auto"/>
            <w:noWrap/>
            <w:vAlign w:val="bottom"/>
            <w:hideMark/>
          </w:tcPr>
          <w:p w14:paraId="69CE1953" w14:textId="77777777" w:rsidR="00827B00" w:rsidRPr="00795367" w:rsidRDefault="00827B00" w:rsidP="003B7808">
            <w:pPr>
              <w:spacing w:after="0" w:line="240" w:lineRule="auto"/>
              <w:rPr>
                <w:sz w:val="18"/>
                <w:szCs w:val="18"/>
              </w:rPr>
            </w:pPr>
          </w:p>
        </w:tc>
        <w:tc>
          <w:tcPr>
            <w:tcW w:w="957" w:type="dxa"/>
            <w:tcBorders>
              <w:top w:val="nil"/>
              <w:left w:val="nil"/>
              <w:bottom w:val="nil"/>
              <w:right w:val="nil"/>
            </w:tcBorders>
            <w:shd w:val="clear" w:color="auto" w:fill="auto"/>
            <w:noWrap/>
            <w:vAlign w:val="bottom"/>
            <w:hideMark/>
          </w:tcPr>
          <w:p w14:paraId="22AE6417" w14:textId="77777777" w:rsidR="00827B00" w:rsidRPr="00795367" w:rsidRDefault="00827B00" w:rsidP="003B7808">
            <w:pPr>
              <w:spacing w:after="0" w:line="240" w:lineRule="auto"/>
              <w:rPr>
                <w:sz w:val="18"/>
                <w:szCs w:val="18"/>
              </w:rPr>
            </w:pPr>
          </w:p>
        </w:tc>
        <w:tc>
          <w:tcPr>
            <w:tcW w:w="886" w:type="dxa"/>
            <w:tcBorders>
              <w:top w:val="nil"/>
              <w:left w:val="nil"/>
              <w:bottom w:val="nil"/>
              <w:right w:val="nil"/>
            </w:tcBorders>
            <w:shd w:val="clear" w:color="auto" w:fill="auto"/>
            <w:noWrap/>
            <w:vAlign w:val="bottom"/>
            <w:hideMark/>
          </w:tcPr>
          <w:p w14:paraId="17429628" w14:textId="77777777" w:rsidR="00827B00" w:rsidRPr="00795367" w:rsidRDefault="00827B00" w:rsidP="003B7808">
            <w:pPr>
              <w:spacing w:after="0" w:line="240" w:lineRule="auto"/>
              <w:rPr>
                <w:sz w:val="18"/>
                <w:szCs w:val="18"/>
              </w:rPr>
            </w:pPr>
          </w:p>
        </w:tc>
        <w:tc>
          <w:tcPr>
            <w:tcW w:w="819" w:type="dxa"/>
            <w:tcBorders>
              <w:top w:val="nil"/>
              <w:left w:val="nil"/>
              <w:bottom w:val="nil"/>
              <w:right w:val="nil"/>
            </w:tcBorders>
            <w:shd w:val="clear" w:color="auto" w:fill="auto"/>
            <w:noWrap/>
            <w:vAlign w:val="bottom"/>
            <w:hideMark/>
          </w:tcPr>
          <w:p w14:paraId="7087412A" w14:textId="77777777" w:rsidR="00827B00" w:rsidRPr="00795367" w:rsidRDefault="00827B00" w:rsidP="003B7808">
            <w:pPr>
              <w:spacing w:after="0" w:line="240" w:lineRule="auto"/>
              <w:rPr>
                <w:sz w:val="18"/>
                <w:szCs w:val="18"/>
              </w:rPr>
            </w:pPr>
            <w:r w:rsidRPr="00795367">
              <w:rPr>
                <w:rFonts w:cs="Calibri"/>
                <w:color w:val="000000"/>
                <w:sz w:val="18"/>
                <w:szCs w:val="18"/>
              </w:rPr>
              <w:t> </w:t>
            </w:r>
          </w:p>
        </w:tc>
        <w:tc>
          <w:tcPr>
            <w:tcW w:w="886" w:type="dxa"/>
            <w:tcBorders>
              <w:top w:val="nil"/>
              <w:left w:val="nil"/>
              <w:bottom w:val="nil"/>
              <w:right w:val="nil"/>
            </w:tcBorders>
            <w:shd w:val="clear" w:color="auto" w:fill="auto"/>
            <w:noWrap/>
            <w:vAlign w:val="bottom"/>
            <w:hideMark/>
          </w:tcPr>
          <w:p w14:paraId="0FDBD0C9" w14:textId="77777777" w:rsidR="00827B00" w:rsidRPr="00795367" w:rsidRDefault="00827B00" w:rsidP="003B7808">
            <w:pPr>
              <w:spacing w:after="0" w:line="240" w:lineRule="auto"/>
              <w:rPr>
                <w:sz w:val="18"/>
                <w:szCs w:val="18"/>
              </w:rPr>
            </w:pPr>
            <w:r w:rsidRPr="00795367">
              <w:rPr>
                <w:rFonts w:cs="Calibri"/>
                <w:color w:val="000000"/>
                <w:sz w:val="18"/>
                <w:szCs w:val="18"/>
              </w:rPr>
              <w:t> </w:t>
            </w:r>
          </w:p>
        </w:tc>
        <w:tc>
          <w:tcPr>
            <w:tcW w:w="982" w:type="dxa"/>
            <w:tcBorders>
              <w:top w:val="nil"/>
              <w:left w:val="nil"/>
              <w:bottom w:val="nil"/>
              <w:right w:val="nil"/>
            </w:tcBorders>
            <w:vAlign w:val="bottom"/>
          </w:tcPr>
          <w:p w14:paraId="7EE5717A" w14:textId="77777777" w:rsidR="00827B00" w:rsidRPr="00795367" w:rsidRDefault="00827B00" w:rsidP="003B7808">
            <w:pPr>
              <w:spacing w:after="0" w:line="240" w:lineRule="auto"/>
              <w:rPr>
                <w:sz w:val="18"/>
                <w:szCs w:val="18"/>
              </w:rPr>
            </w:pPr>
          </w:p>
        </w:tc>
        <w:tc>
          <w:tcPr>
            <w:tcW w:w="820" w:type="dxa"/>
            <w:tcBorders>
              <w:top w:val="nil"/>
              <w:left w:val="nil"/>
              <w:bottom w:val="nil"/>
              <w:right w:val="nil"/>
            </w:tcBorders>
            <w:shd w:val="clear" w:color="auto" w:fill="auto"/>
            <w:noWrap/>
            <w:vAlign w:val="bottom"/>
            <w:hideMark/>
          </w:tcPr>
          <w:p w14:paraId="433F59F2" w14:textId="77777777" w:rsidR="00827B00" w:rsidRPr="00795367" w:rsidRDefault="00827B00" w:rsidP="003B7808">
            <w:pPr>
              <w:spacing w:after="0" w:line="240" w:lineRule="auto"/>
              <w:rPr>
                <w:sz w:val="18"/>
                <w:szCs w:val="18"/>
              </w:rPr>
            </w:pPr>
          </w:p>
        </w:tc>
        <w:tc>
          <w:tcPr>
            <w:tcW w:w="823" w:type="dxa"/>
            <w:tcBorders>
              <w:top w:val="nil"/>
              <w:left w:val="nil"/>
              <w:bottom w:val="nil"/>
              <w:right w:val="single" w:sz="4" w:space="0" w:color="auto"/>
            </w:tcBorders>
            <w:shd w:val="clear" w:color="auto" w:fill="auto"/>
            <w:noWrap/>
            <w:vAlign w:val="bottom"/>
            <w:hideMark/>
          </w:tcPr>
          <w:p w14:paraId="706A5FDE" w14:textId="77777777" w:rsidR="00827B00" w:rsidRPr="00795367" w:rsidRDefault="00827B00" w:rsidP="003B7808">
            <w:pPr>
              <w:spacing w:after="0" w:line="240" w:lineRule="auto"/>
              <w:rPr>
                <w:rFonts w:cs="Calibri"/>
                <w:color w:val="000000"/>
                <w:sz w:val="18"/>
                <w:szCs w:val="18"/>
              </w:rPr>
            </w:pPr>
          </w:p>
        </w:tc>
      </w:tr>
      <w:tr w:rsidR="00827B00" w:rsidRPr="0020638D" w14:paraId="4AFD547F" w14:textId="77777777" w:rsidTr="003B7808">
        <w:trPr>
          <w:trHeight w:val="283"/>
        </w:trPr>
        <w:tc>
          <w:tcPr>
            <w:tcW w:w="3964" w:type="dxa"/>
            <w:tcBorders>
              <w:top w:val="nil"/>
              <w:left w:val="single" w:sz="4" w:space="0" w:color="auto"/>
              <w:bottom w:val="nil"/>
              <w:right w:val="single" w:sz="4" w:space="0" w:color="auto"/>
            </w:tcBorders>
            <w:shd w:val="clear" w:color="auto" w:fill="auto"/>
            <w:noWrap/>
            <w:vAlign w:val="bottom"/>
            <w:hideMark/>
          </w:tcPr>
          <w:p w14:paraId="05CFE71E" w14:textId="77777777" w:rsidR="00827B00" w:rsidRPr="00795367" w:rsidRDefault="00827B00" w:rsidP="003B7808">
            <w:pPr>
              <w:spacing w:after="0" w:line="240" w:lineRule="auto"/>
              <w:rPr>
                <w:rFonts w:eastAsia="Times New Roman" w:cs="Calibri"/>
                <w:b/>
                <w:bCs/>
                <w:color w:val="000000"/>
                <w:sz w:val="18"/>
                <w:szCs w:val="18"/>
                <w:lang w:eastAsia="sk-SK"/>
              </w:rPr>
            </w:pPr>
            <w:r w:rsidRPr="00795367">
              <w:rPr>
                <w:rFonts w:eastAsia="Times New Roman" w:cs="Calibri"/>
                <w:b/>
                <w:bCs/>
                <w:color w:val="000000"/>
                <w:sz w:val="18"/>
                <w:szCs w:val="18"/>
                <w:lang w:eastAsia="sk-SK"/>
              </w:rPr>
              <w:t>Prepočítaný počet detí</w:t>
            </w:r>
          </w:p>
        </w:tc>
        <w:tc>
          <w:tcPr>
            <w:tcW w:w="858" w:type="dxa"/>
            <w:tcBorders>
              <w:top w:val="nil"/>
              <w:left w:val="nil"/>
              <w:bottom w:val="nil"/>
              <w:right w:val="nil"/>
            </w:tcBorders>
            <w:shd w:val="clear" w:color="auto" w:fill="auto"/>
            <w:noWrap/>
            <w:vAlign w:val="bottom"/>
            <w:hideMark/>
          </w:tcPr>
          <w:p w14:paraId="13E20E04" w14:textId="77777777" w:rsidR="00827B00" w:rsidRPr="00795367" w:rsidRDefault="00827B00" w:rsidP="003B7808">
            <w:pPr>
              <w:spacing w:after="0" w:line="240" w:lineRule="auto"/>
              <w:rPr>
                <w:rFonts w:cs="Calibri"/>
                <w:color w:val="000000"/>
                <w:sz w:val="18"/>
                <w:szCs w:val="18"/>
              </w:rPr>
            </w:pPr>
          </w:p>
        </w:tc>
        <w:tc>
          <w:tcPr>
            <w:tcW w:w="850" w:type="dxa"/>
            <w:tcBorders>
              <w:top w:val="nil"/>
              <w:left w:val="nil"/>
              <w:bottom w:val="nil"/>
              <w:right w:val="nil"/>
            </w:tcBorders>
            <w:shd w:val="clear" w:color="auto" w:fill="auto"/>
            <w:noWrap/>
            <w:vAlign w:val="bottom"/>
            <w:hideMark/>
          </w:tcPr>
          <w:p w14:paraId="6240780F"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0,945***</w:t>
            </w:r>
          </w:p>
        </w:tc>
        <w:tc>
          <w:tcPr>
            <w:tcW w:w="819" w:type="dxa"/>
            <w:tcBorders>
              <w:top w:val="nil"/>
              <w:left w:val="nil"/>
              <w:bottom w:val="nil"/>
              <w:right w:val="nil"/>
            </w:tcBorders>
            <w:shd w:val="clear" w:color="auto" w:fill="auto"/>
            <w:noWrap/>
            <w:vAlign w:val="bottom"/>
            <w:hideMark/>
          </w:tcPr>
          <w:p w14:paraId="5E4AB1A9"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0,942***</w:t>
            </w:r>
          </w:p>
        </w:tc>
        <w:tc>
          <w:tcPr>
            <w:tcW w:w="881" w:type="dxa"/>
            <w:tcBorders>
              <w:top w:val="nil"/>
              <w:left w:val="nil"/>
              <w:bottom w:val="nil"/>
              <w:right w:val="nil"/>
            </w:tcBorders>
            <w:shd w:val="clear" w:color="auto" w:fill="auto"/>
            <w:noWrap/>
            <w:vAlign w:val="bottom"/>
            <w:hideMark/>
          </w:tcPr>
          <w:p w14:paraId="728E94E8"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0,577***</w:t>
            </w:r>
          </w:p>
        </w:tc>
        <w:tc>
          <w:tcPr>
            <w:tcW w:w="957" w:type="dxa"/>
            <w:tcBorders>
              <w:top w:val="nil"/>
              <w:left w:val="nil"/>
              <w:bottom w:val="nil"/>
              <w:right w:val="nil"/>
            </w:tcBorders>
            <w:shd w:val="clear" w:color="auto" w:fill="auto"/>
            <w:noWrap/>
            <w:vAlign w:val="bottom"/>
            <w:hideMark/>
          </w:tcPr>
          <w:p w14:paraId="62F3736D"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0,588***</w:t>
            </w:r>
          </w:p>
        </w:tc>
        <w:tc>
          <w:tcPr>
            <w:tcW w:w="886" w:type="dxa"/>
            <w:tcBorders>
              <w:top w:val="nil"/>
              <w:left w:val="nil"/>
              <w:bottom w:val="nil"/>
              <w:right w:val="nil"/>
            </w:tcBorders>
            <w:shd w:val="clear" w:color="auto" w:fill="auto"/>
            <w:noWrap/>
            <w:vAlign w:val="bottom"/>
            <w:hideMark/>
          </w:tcPr>
          <w:p w14:paraId="30A01336"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0,401***</w:t>
            </w:r>
          </w:p>
        </w:tc>
        <w:tc>
          <w:tcPr>
            <w:tcW w:w="819" w:type="dxa"/>
            <w:tcBorders>
              <w:top w:val="nil"/>
              <w:left w:val="nil"/>
              <w:bottom w:val="nil"/>
              <w:right w:val="nil"/>
            </w:tcBorders>
            <w:shd w:val="clear" w:color="auto" w:fill="auto"/>
            <w:noWrap/>
            <w:vAlign w:val="bottom"/>
            <w:hideMark/>
          </w:tcPr>
          <w:p w14:paraId="080DC6B4"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0,406***</w:t>
            </w:r>
          </w:p>
        </w:tc>
        <w:tc>
          <w:tcPr>
            <w:tcW w:w="886" w:type="dxa"/>
            <w:tcBorders>
              <w:top w:val="nil"/>
              <w:left w:val="nil"/>
              <w:bottom w:val="nil"/>
              <w:right w:val="nil"/>
            </w:tcBorders>
            <w:shd w:val="clear" w:color="auto" w:fill="auto"/>
            <w:noWrap/>
            <w:vAlign w:val="bottom"/>
            <w:hideMark/>
          </w:tcPr>
          <w:p w14:paraId="138C90D4"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0,412***</w:t>
            </w:r>
          </w:p>
        </w:tc>
        <w:tc>
          <w:tcPr>
            <w:tcW w:w="982" w:type="dxa"/>
            <w:tcBorders>
              <w:top w:val="nil"/>
              <w:left w:val="nil"/>
              <w:bottom w:val="nil"/>
              <w:right w:val="nil"/>
            </w:tcBorders>
            <w:vAlign w:val="bottom"/>
          </w:tcPr>
          <w:p w14:paraId="129CD9A7"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0,574***</w:t>
            </w:r>
          </w:p>
        </w:tc>
        <w:tc>
          <w:tcPr>
            <w:tcW w:w="820" w:type="dxa"/>
            <w:tcBorders>
              <w:top w:val="nil"/>
              <w:left w:val="nil"/>
              <w:bottom w:val="nil"/>
              <w:right w:val="nil"/>
            </w:tcBorders>
            <w:shd w:val="clear" w:color="auto" w:fill="auto"/>
            <w:noWrap/>
            <w:vAlign w:val="bottom"/>
            <w:hideMark/>
          </w:tcPr>
          <w:p w14:paraId="26569DD5"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0,568***</w:t>
            </w:r>
          </w:p>
        </w:tc>
        <w:tc>
          <w:tcPr>
            <w:tcW w:w="823" w:type="dxa"/>
            <w:tcBorders>
              <w:top w:val="nil"/>
              <w:left w:val="nil"/>
              <w:bottom w:val="nil"/>
              <w:right w:val="single" w:sz="4" w:space="0" w:color="auto"/>
            </w:tcBorders>
            <w:shd w:val="clear" w:color="auto" w:fill="auto"/>
            <w:noWrap/>
            <w:vAlign w:val="bottom"/>
            <w:hideMark/>
          </w:tcPr>
          <w:p w14:paraId="63F1B6C3"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0,574***</w:t>
            </w:r>
          </w:p>
        </w:tc>
      </w:tr>
      <w:tr w:rsidR="00827B00" w:rsidRPr="0020638D" w14:paraId="4103CEF2" w14:textId="77777777" w:rsidTr="003B7808">
        <w:trPr>
          <w:trHeight w:val="283"/>
        </w:trPr>
        <w:tc>
          <w:tcPr>
            <w:tcW w:w="3964" w:type="dxa"/>
            <w:tcBorders>
              <w:top w:val="nil"/>
              <w:left w:val="single" w:sz="4" w:space="0" w:color="auto"/>
              <w:bottom w:val="nil"/>
              <w:right w:val="single" w:sz="4" w:space="0" w:color="auto"/>
            </w:tcBorders>
            <w:shd w:val="clear" w:color="auto" w:fill="auto"/>
            <w:noWrap/>
            <w:vAlign w:val="bottom"/>
          </w:tcPr>
          <w:p w14:paraId="739F5710" w14:textId="77777777" w:rsidR="00827B00" w:rsidRPr="00795367" w:rsidRDefault="00827B00" w:rsidP="003B7808">
            <w:pPr>
              <w:spacing w:after="0" w:line="240" w:lineRule="auto"/>
              <w:rPr>
                <w:rFonts w:eastAsia="Times New Roman" w:cs="Calibri"/>
                <w:b/>
                <w:bCs/>
                <w:color w:val="000000"/>
                <w:sz w:val="18"/>
                <w:szCs w:val="18"/>
                <w:lang w:eastAsia="sk-SK"/>
              </w:rPr>
            </w:pPr>
            <w:r w:rsidRPr="00795367">
              <w:rPr>
                <w:rFonts w:eastAsia="Times New Roman" w:cs="Calibri"/>
                <w:b/>
                <w:bCs/>
                <w:color w:val="000000"/>
                <w:sz w:val="18"/>
                <w:szCs w:val="18"/>
                <w:lang w:eastAsia="sk-SK"/>
              </w:rPr>
              <w:t>Prepoč. počet tried v celoden. forme vých. a vzdel.</w:t>
            </w:r>
          </w:p>
        </w:tc>
        <w:tc>
          <w:tcPr>
            <w:tcW w:w="858" w:type="dxa"/>
            <w:tcBorders>
              <w:top w:val="nil"/>
              <w:left w:val="nil"/>
              <w:bottom w:val="nil"/>
              <w:right w:val="nil"/>
            </w:tcBorders>
            <w:shd w:val="clear" w:color="auto" w:fill="auto"/>
            <w:noWrap/>
            <w:vAlign w:val="bottom"/>
          </w:tcPr>
          <w:p w14:paraId="42DBF33A" w14:textId="77777777" w:rsidR="00827B00" w:rsidRPr="00795367" w:rsidRDefault="00827B00" w:rsidP="003B7808">
            <w:pPr>
              <w:spacing w:after="0" w:line="240" w:lineRule="auto"/>
              <w:rPr>
                <w:rFonts w:cs="Calibri"/>
                <w:color w:val="000000"/>
                <w:sz w:val="18"/>
                <w:szCs w:val="18"/>
              </w:rPr>
            </w:pPr>
          </w:p>
        </w:tc>
        <w:tc>
          <w:tcPr>
            <w:tcW w:w="850" w:type="dxa"/>
            <w:tcBorders>
              <w:top w:val="nil"/>
              <w:left w:val="nil"/>
              <w:bottom w:val="nil"/>
              <w:right w:val="nil"/>
            </w:tcBorders>
            <w:shd w:val="clear" w:color="auto" w:fill="auto"/>
            <w:noWrap/>
            <w:vAlign w:val="bottom"/>
          </w:tcPr>
          <w:p w14:paraId="0B0EE000" w14:textId="77777777" w:rsidR="00827B00" w:rsidRPr="00795367" w:rsidRDefault="00827B00" w:rsidP="003B7808">
            <w:pPr>
              <w:spacing w:after="0" w:line="240" w:lineRule="auto"/>
              <w:rPr>
                <w:rFonts w:cs="Calibri"/>
                <w:color w:val="000000"/>
                <w:sz w:val="18"/>
                <w:szCs w:val="18"/>
              </w:rPr>
            </w:pPr>
          </w:p>
        </w:tc>
        <w:tc>
          <w:tcPr>
            <w:tcW w:w="819" w:type="dxa"/>
            <w:tcBorders>
              <w:top w:val="nil"/>
              <w:left w:val="nil"/>
              <w:bottom w:val="nil"/>
              <w:right w:val="nil"/>
            </w:tcBorders>
            <w:shd w:val="clear" w:color="auto" w:fill="auto"/>
            <w:noWrap/>
            <w:vAlign w:val="bottom"/>
          </w:tcPr>
          <w:p w14:paraId="54B41101" w14:textId="77777777" w:rsidR="00827B00" w:rsidRPr="00795367" w:rsidRDefault="00827B00" w:rsidP="003B7808">
            <w:pPr>
              <w:spacing w:after="0" w:line="240" w:lineRule="auto"/>
              <w:rPr>
                <w:rFonts w:cs="Calibri"/>
                <w:color w:val="000000"/>
                <w:sz w:val="18"/>
                <w:szCs w:val="18"/>
              </w:rPr>
            </w:pPr>
          </w:p>
        </w:tc>
        <w:tc>
          <w:tcPr>
            <w:tcW w:w="881" w:type="dxa"/>
            <w:tcBorders>
              <w:top w:val="nil"/>
              <w:left w:val="nil"/>
              <w:bottom w:val="nil"/>
              <w:right w:val="nil"/>
            </w:tcBorders>
            <w:shd w:val="clear" w:color="auto" w:fill="auto"/>
            <w:noWrap/>
            <w:vAlign w:val="bottom"/>
          </w:tcPr>
          <w:p w14:paraId="1AFD2543"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0,379***</w:t>
            </w:r>
          </w:p>
        </w:tc>
        <w:tc>
          <w:tcPr>
            <w:tcW w:w="957" w:type="dxa"/>
            <w:tcBorders>
              <w:top w:val="nil"/>
              <w:left w:val="nil"/>
              <w:bottom w:val="nil"/>
              <w:right w:val="nil"/>
            </w:tcBorders>
            <w:shd w:val="clear" w:color="auto" w:fill="auto"/>
            <w:noWrap/>
            <w:vAlign w:val="bottom"/>
          </w:tcPr>
          <w:p w14:paraId="7C8B4345"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0,365***</w:t>
            </w:r>
          </w:p>
        </w:tc>
        <w:tc>
          <w:tcPr>
            <w:tcW w:w="886" w:type="dxa"/>
            <w:tcBorders>
              <w:top w:val="nil"/>
              <w:left w:val="nil"/>
              <w:bottom w:val="nil"/>
              <w:right w:val="nil"/>
            </w:tcBorders>
            <w:shd w:val="clear" w:color="auto" w:fill="auto"/>
            <w:noWrap/>
            <w:vAlign w:val="bottom"/>
          </w:tcPr>
          <w:p w14:paraId="05A0964C"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0,189***</w:t>
            </w:r>
          </w:p>
        </w:tc>
        <w:tc>
          <w:tcPr>
            <w:tcW w:w="819" w:type="dxa"/>
            <w:tcBorders>
              <w:top w:val="nil"/>
              <w:left w:val="nil"/>
              <w:bottom w:val="nil"/>
              <w:right w:val="nil"/>
            </w:tcBorders>
            <w:shd w:val="clear" w:color="auto" w:fill="auto"/>
            <w:noWrap/>
            <w:vAlign w:val="bottom"/>
          </w:tcPr>
          <w:p w14:paraId="7CB28832"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0,256***</w:t>
            </w:r>
          </w:p>
        </w:tc>
        <w:tc>
          <w:tcPr>
            <w:tcW w:w="886" w:type="dxa"/>
            <w:tcBorders>
              <w:top w:val="nil"/>
              <w:left w:val="nil"/>
              <w:bottom w:val="nil"/>
              <w:right w:val="nil"/>
            </w:tcBorders>
            <w:shd w:val="clear" w:color="auto" w:fill="auto"/>
            <w:noWrap/>
            <w:vAlign w:val="bottom"/>
          </w:tcPr>
          <w:p w14:paraId="681FD4E8"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0,250***</w:t>
            </w:r>
          </w:p>
        </w:tc>
        <w:tc>
          <w:tcPr>
            <w:tcW w:w="982" w:type="dxa"/>
            <w:tcBorders>
              <w:top w:val="nil"/>
              <w:left w:val="nil"/>
              <w:bottom w:val="nil"/>
              <w:right w:val="nil"/>
            </w:tcBorders>
            <w:vAlign w:val="bottom"/>
          </w:tcPr>
          <w:p w14:paraId="2837B41B"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0,361***</w:t>
            </w:r>
          </w:p>
        </w:tc>
        <w:tc>
          <w:tcPr>
            <w:tcW w:w="820" w:type="dxa"/>
            <w:tcBorders>
              <w:top w:val="nil"/>
              <w:left w:val="nil"/>
              <w:bottom w:val="nil"/>
              <w:right w:val="nil"/>
            </w:tcBorders>
            <w:shd w:val="clear" w:color="auto" w:fill="auto"/>
            <w:noWrap/>
            <w:vAlign w:val="bottom"/>
          </w:tcPr>
          <w:p w14:paraId="7C0531E4"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0,331***</w:t>
            </w:r>
          </w:p>
        </w:tc>
        <w:tc>
          <w:tcPr>
            <w:tcW w:w="823" w:type="dxa"/>
            <w:tcBorders>
              <w:top w:val="nil"/>
              <w:left w:val="nil"/>
              <w:bottom w:val="nil"/>
              <w:right w:val="single" w:sz="4" w:space="0" w:color="auto"/>
            </w:tcBorders>
            <w:shd w:val="clear" w:color="auto" w:fill="auto"/>
            <w:noWrap/>
            <w:vAlign w:val="bottom"/>
          </w:tcPr>
          <w:p w14:paraId="6E57FFF8"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0,338***</w:t>
            </w:r>
          </w:p>
        </w:tc>
      </w:tr>
      <w:tr w:rsidR="00827B00" w:rsidRPr="0020638D" w14:paraId="1E9BCD0B" w14:textId="77777777" w:rsidTr="003B7808">
        <w:trPr>
          <w:trHeight w:val="283"/>
        </w:trPr>
        <w:tc>
          <w:tcPr>
            <w:tcW w:w="3964" w:type="dxa"/>
            <w:tcBorders>
              <w:top w:val="nil"/>
              <w:left w:val="single" w:sz="4" w:space="0" w:color="auto"/>
              <w:bottom w:val="nil"/>
              <w:right w:val="single" w:sz="4" w:space="0" w:color="auto"/>
            </w:tcBorders>
            <w:shd w:val="clear" w:color="auto" w:fill="auto"/>
            <w:noWrap/>
            <w:vAlign w:val="bottom"/>
          </w:tcPr>
          <w:p w14:paraId="4A26EB83" w14:textId="77777777" w:rsidR="00827B00" w:rsidRPr="00795367" w:rsidRDefault="00827B00" w:rsidP="003B7808">
            <w:pPr>
              <w:spacing w:after="0" w:line="240" w:lineRule="auto"/>
              <w:rPr>
                <w:rFonts w:eastAsia="Times New Roman" w:cs="Calibri"/>
                <w:b/>
                <w:bCs/>
                <w:color w:val="000000"/>
                <w:sz w:val="18"/>
                <w:szCs w:val="18"/>
                <w:lang w:eastAsia="sk-SK"/>
              </w:rPr>
            </w:pPr>
            <w:r w:rsidRPr="00795367">
              <w:rPr>
                <w:rFonts w:eastAsia="Times New Roman" w:cs="Calibri"/>
                <w:b/>
                <w:bCs/>
                <w:color w:val="000000"/>
                <w:sz w:val="18"/>
                <w:szCs w:val="18"/>
                <w:lang w:eastAsia="sk-SK"/>
              </w:rPr>
              <w:t>Prepoč. počet tried v poldenn. forme vých. a vzdel.</w:t>
            </w:r>
          </w:p>
        </w:tc>
        <w:tc>
          <w:tcPr>
            <w:tcW w:w="858" w:type="dxa"/>
            <w:tcBorders>
              <w:top w:val="nil"/>
              <w:left w:val="nil"/>
              <w:bottom w:val="nil"/>
              <w:right w:val="nil"/>
            </w:tcBorders>
            <w:shd w:val="clear" w:color="auto" w:fill="auto"/>
            <w:noWrap/>
            <w:vAlign w:val="bottom"/>
          </w:tcPr>
          <w:p w14:paraId="5225D303" w14:textId="77777777" w:rsidR="00827B00" w:rsidRPr="00795367" w:rsidRDefault="00827B00" w:rsidP="003B7808">
            <w:pPr>
              <w:spacing w:after="0" w:line="240" w:lineRule="auto"/>
              <w:rPr>
                <w:rFonts w:cs="Calibri"/>
                <w:color w:val="000000"/>
                <w:sz w:val="18"/>
                <w:szCs w:val="18"/>
              </w:rPr>
            </w:pPr>
          </w:p>
        </w:tc>
        <w:tc>
          <w:tcPr>
            <w:tcW w:w="850" w:type="dxa"/>
            <w:tcBorders>
              <w:top w:val="nil"/>
              <w:left w:val="nil"/>
              <w:bottom w:val="nil"/>
              <w:right w:val="nil"/>
            </w:tcBorders>
            <w:shd w:val="clear" w:color="auto" w:fill="auto"/>
            <w:noWrap/>
            <w:vAlign w:val="bottom"/>
          </w:tcPr>
          <w:p w14:paraId="101CEC70" w14:textId="77777777" w:rsidR="00827B00" w:rsidRPr="00795367" w:rsidRDefault="00827B00" w:rsidP="003B7808">
            <w:pPr>
              <w:spacing w:after="0" w:line="240" w:lineRule="auto"/>
              <w:rPr>
                <w:rFonts w:cs="Calibri"/>
                <w:color w:val="000000"/>
                <w:sz w:val="18"/>
                <w:szCs w:val="18"/>
              </w:rPr>
            </w:pPr>
          </w:p>
        </w:tc>
        <w:tc>
          <w:tcPr>
            <w:tcW w:w="819" w:type="dxa"/>
            <w:tcBorders>
              <w:top w:val="nil"/>
              <w:left w:val="nil"/>
              <w:bottom w:val="nil"/>
              <w:right w:val="nil"/>
            </w:tcBorders>
            <w:shd w:val="clear" w:color="auto" w:fill="auto"/>
            <w:noWrap/>
            <w:vAlign w:val="bottom"/>
          </w:tcPr>
          <w:p w14:paraId="40A75011" w14:textId="77777777" w:rsidR="00827B00" w:rsidRPr="00795367" w:rsidRDefault="00827B00" w:rsidP="003B7808">
            <w:pPr>
              <w:spacing w:after="0" w:line="240" w:lineRule="auto"/>
              <w:rPr>
                <w:rFonts w:cs="Calibri"/>
                <w:color w:val="000000"/>
                <w:sz w:val="18"/>
                <w:szCs w:val="18"/>
              </w:rPr>
            </w:pPr>
          </w:p>
        </w:tc>
        <w:tc>
          <w:tcPr>
            <w:tcW w:w="881" w:type="dxa"/>
            <w:tcBorders>
              <w:top w:val="nil"/>
              <w:left w:val="nil"/>
              <w:bottom w:val="nil"/>
              <w:right w:val="nil"/>
            </w:tcBorders>
            <w:shd w:val="clear" w:color="auto" w:fill="auto"/>
            <w:noWrap/>
            <w:vAlign w:val="bottom"/>
          </w:tcPr>
          <w:p w14:paraId="6DB76BAC"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0,044***</w:t>
            </w:r>
          </w:p>
        </w:tc>
        <w:tc>
          <w:tcPr>
            <w:tcW w:w="957" w:type="dxa"/>
            <w:tcBorders>
              <w:top w:val="nil"/>
              <w:left w:val="nil"/>
              <w:bottom w:val="nil"/>
              <w:right w:val="nil"/>
            </w:tcBorders>
            <w:shd w:val="clear" w:color="auto" w:fill="auto"/>
            <w:noWrap/>
            <w:vAlign w:val="bottom"/>
          </w:tcPr>
          <w:p w14:paraId="30AA9AF9"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0,040***</w:t>
            </w:r>
          </w:p>
        </w:tc>
        <w:tc>
          <w:tcPr>
            <w:tcW w:w="886" w:type="dxa"/>
            <w:tcBorders>
              <w:top w:val="nil"/>
              <w:left w:val="nil"/>
              <w:bottom w:val="nil"/>
              <w:right w:val="nil"/>
            </w:tcBorders>
            <w:shd w:val="clear" w:color="auto" w:fill="auto"/>
            <w:noWrap/>
            <w:vAlign w:val="bottom"/>
          </w:tcPr>
          <w:p w14:paraId="1C08151B"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0,020*</w:t>
            </w:r>
          </w:p>
        </w:tc>
        <w:tc>
          <w:tcPr>
            <w:tcW w:w="819" w:type="dxa"/>
            <w:tcBorders>
              <w:top w:val="nil"/>
              <w:left w:val="nil"/>
              <w:bottom w:val="nil"/>
              <w:right w:val="nil"/>
            </w:tcBorders>
            <w:shd w:val="clear" w:color="auto" w:fill="auto"/>
            <w:noWrap/>
            <w:vAlign w:val="bottom"/>
          </w:tcPr>
          <w:p w14:paraId="7D1E6DB1"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0,030**</w:t>
            </w:r>
          </w:p>
        </w:tc>
        <w:tc>
          <w:tcPr>
            <w:tcW w:w="886" w:type="dxa"/>
            <w:tcBorders>
              <w:top w:val="nil"/>
              <w:left w:val="nil"/>
              <w:bottom w:val="nil"/>
              <w:right w:val="nil"/>
            </w:tcBorders>
            <w:shd w:val="clear" w:color="auto" w:fill="auto"/>
            <w:noWrap/>
            <w:vAlign w:val="bottom"/>
          </w:tcPr>
          <w:p w14:paraId="13632B0C"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0,029**</w:t>
            </w:r>
          </w:p>
        </w:tc>
        <w:tc>
          <w:tcPr>
            <w:tcW w:w="982" w:type="dxa"/>
            <w:tcBorders>
              <w:top w:val="nil"/>
              <w:left w:val="nil"/>
              <w:bottom w:val="nil"/>
              <w:right w:val="nil"/>
            </w:tcBorders>
            <w:vAlign w:val="bottom"/>
          </w:tcPr>
          <w:p w14:paraId="5E7715B1"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0,040***</w:t>
            </w:r>
          </w:p>
        </w:tc>
        <w:tc>
          <w:tcPr>
            <w:tcW w:w="820" w:type="dxa"/>
            <w:tcBorders>
              <w:top w:val="nil"/>
              <w:left w:val="nil"/>
              <w:bottom w:val="nil"/>
              <w:right w:val="nil"/>
            </w:tcBorders>
            <w:shd w:val="clear" w:color="auto" w:fill="auto"/>
            <w:noWrap/>
            <w:vAlign w:val="bottom"/>
          </w:tcPr>
          <w:p w14:paraId="19881932"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0,037***</w:t>
            </w:r>
          </w:p>
        </w:tc>
        <w:tc>
          <w:tcPr>
            <w:tcW w:w="823" w:type="dxa"/>
            <w:tcBorders>
              <w:top w:val="nil"/>
              <w:left w:val="nil"/>
              <w:bottom w:val="nil"/>
              <w:right w:val="single" w:sz="4" w:space="0" w:color="auto"/>
            </w:tcBorders>
            <w:shd w:val="clear" w:color="auto" w:fill="auto"/>
            <w:noWrap/>
            <w:vAlign w:val="bottom"/>
          </w:tcPr>
          <w:p w14:paraId="153B4A3D"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0,037***</w:t>
            </w:r>
          </w:p>
        </w:tc>
      </w:tr>
      <w:tr w:rsidR="00827B00" w:rsidRPr="0020638D" w14:paraId="6D9AAABC" w14:textId="77777777" w:rsidTr="003B7808">
        <w:trPr>
          <w:trHeight w:val="283"/>
        </w:trPr>
        <w:tc>
          <w:tcPr>
            <w:tcW w:w="3964" w:type="dxa"/>
            <w:tcBorders>
              <w:top w:val="nil"/>
              <w:left w:val="single" w:sz="4" w:space="0" w:color="auto"/>
              <w:bottom w:val="nil"/>
              <w:right w:val="single" w:sz="4" w:space="0" w:color="auto"/>
            </w:tcBorders>
            <w:shd w:val="clear" w:color="auto" w:fill="auto"/>
            <w:noWrap/>
            <w:vAlign w:val="bottom"/>
            <w:hideMark/>
          </w:tcPr>
          <w:p w14:paraId="5A15F264" w14:textId="77777777" w:rsidR="00827B00" w:rsidRPr="00795367" w:rsidRDefault="00827B00" w:rsidP="003B7808">
            <w:pPr>
              <w:spacing w:after="0" w:line="240" w:lineRule="auto"/>
              <w:rPr>
                <w:rFonts w:eastAsia="Times New Roman" w:cs="Calibri"/>
                <w:b/>
                <w:bCs/>
                <w:color w:val="000000"/>
                <w:sz w:val="18"/>
                <w:szCs w:val="18"/>
                <w:lang w:eastAsia="sk-SK"/>
              </w:rPr>
            </w:pPr>
            <w:r w:rsidRPr="00795367">
              <w:rPr>
                <w:rFonts w:eastAsia="Times New Roman" w:cs="Calibri"/>
                <w:b/>
                <w:bCs/>
                <w:color w:val="000000"/>
                <w:sz w:val="18"/>
                <w:szCs w:val="18"/>
                <w:lang w:eastAsia="sk-SK"/>
              </w:rPr>
              <w:t>Prepoč. počet detí so zdravot. zn. v MŠ</w:t>
            </w:r>
          </w:p>
        </w:tc>
        <w:tc>
          <w:tcPr>
            <w:tcW w:w="858" w:type="dxa"/>
            <w:tcBorders>
              <w:top w:val="nil"/>
              <w:left w:val="nil"/>
              <w:bottom w:val="nil"/>
              <w:right w:val="nil"/>
            </w:tcBorders>
            <w:shd w:val="clear" w:color="auto" w:fill="auto"/>
            <w:noWrap/>
            <w:vAlign w:val="bottom"/>
            <w:hideMark/>
          </w:tcPr>
          <w:p w14:paraId="1700C68A" w14:textId="77777777" w:rsidR="00827B00" w:rsidRPr="00795367" w:rsidRDefault="00827B00" w:rsidP="003B7808">
            <w:pPr>
              <w:spacing w:after="0" w:line="240" w:lineRule="auto"/>
              <w:rPr>
                <w:rFonts w:cs="Calibri"/>
                <w:color w:val="000000"/>
                <w:sz w:val="18"/>
                <w:szCs w:val="18"/>
              </w:rPr>
            </w:pPr>
          </w:p>
        </w:tc>
        <w:tc>
          <w:tcPr>
            <w:tcW w:w="850" w:type="dxa"/>
            <w:tcBorders>
              <w:top w:val="nil"/>
              <w:left w:val="nil"/>
              <w:bottom w:val="nil"/>
              <w:right w:val="nil"/>
            </w:tcBorders>
            <w:shd w:val="clear" w:color="auto" w:fill="auto"/>
            <w:noWrap/>
            <w:vAlign w:val="bottom"/>
            <w:hideMark/>
          </w:tcPr>
          <w:p w14:paraId="13CD584E" w14:textId="77777777" w:rsidR="00827B00" w:rsidRPr="00795367" w:rsidRDefault="00827B00" w:rsidP="003B7808">
            <w:pPr>
              <w:spacing w:after="0" w:line="240" w:lineRule="auto"/>
              <w:rPr>
                <w:sz w:val="18"/>
                <w:szCs w:val="18"/>
              </w:rPr>
            </w:pPr>
          </w:p>
        </w:tc>
        <w:tc>
          <w:tcPr>
            <w:tcW w:w="819" w:type="dxa"/>
            <w:tcBorders>
              <w:top w:val="nil"/>
              <w:left w:val="nil"/>
              <w:bottom w:val="nil"/>
              <w:right w:val="nil"/>
            </w:tcBorders>
            <w:shd w:val="clear" w:color="auto" w:fill="auto"/>
            <w:noWrap/>
            <w:vAlign w:val="bottom"/>
            <w:hideMark/>
          </w:tcPr>
          <w:p w14:paraId="47C15657" w14:textId="77777777" w:rsidR="00827B00" w:rsidRPr="00795367" w:rsidRDefault="00827B00" w:rsidP="003B7808">
            <w:pPr>
              <w:spacing w:after="0" w:line="240" w:lineRule="auto"/>
              <w:rPr>
                <w:sz w:val="18"/>
                <w:szCs w:val="18"/>
              </w:rPr>
            </w:pPr>
          </w:p>
        </w:tc>
        <w:tc>
          <w:tcPr>
            <w:tcW w:w="881" w:type="dxa"/>
            <w:tcBorders>
              <w:top w:val="nil"/>
              <w:left w:val="nil"/>
              <w:bottom w:val="nil"/>
              <w:right w:val="nil"/>
            </w:tcBorders>
            <w:shd w:val="clear" w:color="auto" w:fill="auto"/>
            <w:noWrap/>
            <w:vAlign w:val="bottom"/>
            <w:hideMark/>
          </w:tcPr>
          <w:p w14:paraId="5F1A35AC" w14:textId="77777777" w:rsidR="00827B00" w:rsidRPr="00795367" w:rsidRDefault="00827B00" w:rsidP="003B7808">
            <w:pPr>
              <w:spacing w:after="0" w:line="240" w:lineRule="auto"/>
              <w:rPr>
                <w:sz w:val="18"/>
                <w:szCs w:val="18"/>
              </w:rPr>
            </w:pPr>
          </w:p>
        </w:tc>
        <w:tc>
          <w:tcPr>
            <w:tcW w:w="957" w:type="dxa"/>
            <w:tcBorders>
              <w:top w:val="nil"/>
              <w:left w:val="nil"/>
              <w:bottom w:val="nil"/>
              <w:right w:val="nil"/>
            </w:tcBorders>
            <w:shd w:val="clear" w:color="auto" w:fill="auto"/>
            <w:noWrap/>
            <w:vAlign w:val="bottom"/>
            <w:hideMark/>
          </w:tcPr>
          <w:p w14:paraId="0B8A012C"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0,000</w:t>
            </w:r>
          </w:p>
        </w:tc>
        <w:tc>
          <w:tcPr>
            <w:tcW w:w="886" w:type="dxa"/>
            <w:tcBorders>
              <w:top w:val="nil"/>
              <w:left w:val="nil"/>
              <w:bottom w:val="nil"/>
              <w:right w:val="nil"/>
            </w:tcBorders>
            <w:shd w:val="clear" w:color="auto" w:fill="auto"/>
            <w:noWrap/>
            <w:vAlign w:val="bottom"/>
            <w:hideMark/>
          </w:tcPr>
          <w:p w14:paraId="485BA7DC" w14:textId="77777777" w:rsidR="00827B00" w:rsidRPr="00795367" w:rsidRDefault="00827B00" w:rsidP="003B7808">
            <w:pPr>
              <w:spacing w:after="0" w:line="240" w:lineRule="auto"/>
              <w:rPr>
                <w:rFonts w:cs="Calibri"/>
                <w:color w:val="000000"/>
                <w:sz w:val="18"/>
                <w:szCs w:val="18"/>
              </w:rPr>
            </w:pPr>
          </w:p>
        </w:tc>
        <w:tc>
          <w:tcPr>
            <w:tcW w:w="819" w:type="dxa"/>
            <w:tcBorders>
              <w:top w:val="nil"/>
              <w:left w:val="nil"/>
              <w:bottom w:val="nil"/>
              <w:right w:val="nil"/>
            </w:tcBorders>
            <w:shd w:val="clear" w:color="auto" w:fill="auto"/>
            <w:noWrap/>
            <w:vAlign w:val="bottom"/>
            <w:hideMark/>
          </w:tcPr>
          <w:p w14:paraId="7F438992" w14:textId="77777777" w:rsidR="00827B00" w:rsidRPr="00795367" w:rsidRDefault="00827B00" w:rsidP="003B7808">
            <w:pPr>
              <w:spacing w:after="0" w:line="240" w:lineRule="auto"/>
              <w:rPr>
                <w:sz w:val="18"/>
                <w:szCs w:val="18"/>
              </w:rPr>
            </w:pPr>
            <w:r w:rsidRPr="00795367">
              <w:rPr>
                <w:rFonts w:cs="Calibri"/>
                <w:color w:val="000000"/>
                <w:sz w:val="18"/>
                <w:szCs w:val="18"/>
              </w:rPr>
              <w:t> </w:t>
            </w:r>
          </w:p>
        </w:tc>
        <w:tc>
          <w:tcPr>
            <w:tcW w:w="886" w:type="dxa"/>
            <w:tcBorders>
              <w:top w:val="nil"/>
              <w:left w:val="nil"/>
              <w:bottom w:val="nil"/>
              <w:right w:val="nil"/>
            </w:tcBorders>
            <w:shd w:val="clear" w:color="auto" w:fill="auto"/>
            <w:noWrap/>
            <w:vAlign w:val="bottom"/>
            <w:hideMark/>
          </w:tcPr>
          <w:p w14:paraId="5D01A065"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0,005</w:t>
            </w:r>
          </w:p>
        </w:tc>
        <w:tc>
          <w:tcPr>
            <w:tcW w:w="982" w:type="dxa"/>
            <w:tcBorders>
              <w:top w:val="nil"/>
              <w:left w:val="nil"/>
              <w:bottom w:val="nil"/>
              <w:right w:val="nil"/>
            </w:tcBorders>
            <w:vAlign w:val="bottom"/>
          </w:tcPr>
          <w:p w14:paraId="2273345C"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0,002</w:t>
            </w:r>
          </w:p>
        </w:tc>
        <w:tc>
          <w:tcPr>
            <w:tcW w:w="820" w:type="dxa"/>
            <w:tcBorders>
              <w:top w:val="nil"/>
              <w:left w:val="nil"/>
              <w:bottom w:val="nil"/>
              <w:right w:val="nil"/>
            </w:tcBorders>
            <w:shd w:val="clear" w:color="auto" w:fill="auto"/>
            <w:noWrap/>
            <w:vAlign w:val="bottom"/>
            <w:hideMark/>
          </w:tcPr>
          <w:p w14:paraId="38AC75F4"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0,000</w:t>
            </w:r>
          </w:p>
        </w:tc>
        <w:tc>
          <w:tcPr>
            <w:tcW w:w="823" w:type="dxa"/>
            <w:tcBorders>
              <w:top w:val="nil"/>
              <w:left w:val="nil"/>
              <w:bottom w:val="nil"/>
              <w:right w:val="single" w:sz="4" w:space="0" w:color="auto"/>
            </w:tcBorders>
            <w:shd w:val="clear" w:color="auto" w:fill="auto"/>
            <w:noWrap/>
            <w:vAlign w:val="bottom"/>
            <w:hideMark/>
          </w:tcPr>
          <w:p w14:paraId="4B35E4E3"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0,002</w:t>
            </w:r>
          </w:p>
        </w:tc>
      </w:tr>
      <w:tr w:rsidR="00827B00" w:rsidRPr="0020638D" w14:paraId="344720F6" w14:textId="77777777" w:rsidTr="003B7808">
        <w:trPr>
          <w:trHeight w:val="283"/>
        </w:trPr>
        <w:tc>
          <w:tcPr>
            <w:tcW w:w="3964" w:type="dxa"/>
            <w:tcBorders>
              <w:top w:val="nil"/>
              <w:left w:val="single" w:sz="4" w:space="0" w:color="auto"/>
              <w:bottom w:val="nil"/>
              <w:right w:val="single" w:sz="4" w:space="0" w:color="auto"/>
            </w:tcBorders>
            <w:shd w:val="clear" w:color="auto" w:fill="auto"/>
            <w:noWrap/>
            <w:vAlign w:val="bottom"/>
            <w:hideMark/>
          </w:tcPr>
          <w:p w14:paraId="6194D911" w14:textId="77777777" w:rsidR="00827B00" w:rsidRPr="00795367" w:rsidRDefault="00827B00" w:rsidP="003B7808">
            <w:pPr>
              <w:spacing w:after="0" w:line="240" w:lineRule="auto"/>
              <w:rPr>
                <w:rFonts w:eastAsia="Times New Roman" w:cs="Calibri"/>
                <w:b/>
                <w:bCs/>
                <w:color w:val="000000"/>
                <w:sz w:val="18"/>
                <w:szCs w:val="18"/>
                <w:lang w:eastAsia="sk-SK"/>
              </w:rPr>
            </w:pPr>
            <w:r w:rsidRPr="00795367">
              <w:rPr>
                <w:rFonts w:eastAsia="Times New Roman" w:cs="Calibri"/>
                <w:b/>
                <w:bCs/>
                <w:color w:val="000000"/>
                <w:sz w:val="18"/>
                <w:szCs w:val="18"/>
                <w:lang w:eastAsia="sk-SK"/>
              </w:rPr>
              <w:t>Prepoč. počet detí zo SZP v MŠ</w:t>
            </w:r>
          </w:p>
        </w:tc>
        <w:tc>
          <w:tcPr>
            <w:tcW w:w="858" w:type="dxa"/>
            <w:tcBorders>
              <w:top w:val="nil"/>
              <w:left w:val="nil"/>
              <w:bottom w:val="nil"/>
              <w:right w:val="nil"/>
            </w:tcBorders>
            <w:shd w:val="clear" w:color="auto" w:fill="auto"/>
            <w:noWrap/>
            <w:vAlign w:val="bottom"/>
            <w:hideMark/>
          </w:tcPr>
          <w:p w14:paraId="26585B3C" w14:textId="77777777" w:rsidR="00827B00" w:rsidRPr="00795367" w:rsidRDefault="00827B00" w:rsidP="003B7808">
            <w:pPr>
              <w:spacing w:after="0" w:line="240" w:lineRule="auto"/>
              <w:rPr>
                <w:rFonts w:cs="Calibri"/>
                <w:color w:val="000000"/>
                <w:sz w:val="18"/>
                <w:szCs w:val="18"/>
              </w:rPr>
            </w:pPr>
          </w:p>
        </w:tc>
        <w:tc>
          <w:tcPr>
            <w:tcW w:w="850" w:type="dxa"/>
            <w:tcBorders>
              <w:top w:val="nil"/>
              <w:left w:val="nil"/>
              <w:bottom w:val="nil"/>
              <w:right w:val="nil"/>
            </w:tcBorders>
            <w:shd w:val="clear" w:color="auto" w:fill="auto"/>
            <w:noWrap/>
            <w:vAlign w:val="bottom"/>
            <w:hideMark/>
          </w:tcPr>
          <w:p w14:paraId="26B0E284" w14:textId="77777777" w:rsidR="00827B00" w:rsidRPr="00795367" w:rsidRDefault="00827B00" w:rsidP="003B7808">
            <w:pPr>
              <w:spacing w:after="0" w:line="240" w:lineRule="auto"/>
              <w:rPr>
                <w:sz w:val="18"/>
                <w:szCs w:val="18"/>
              </w:rPr>
            </w:pPr>
          </w:p>
        </w:tc>
        <w:tc>
          <w:tcPr>
            <w:tcW w:w="819" w:type="dxa"/>
            <w:tcBorders>
              <w:top w:val="nil"/>
              <w:left w:val="nil"/>
              <w:bottom w:val="nil"/>
              <w:right w:val="nil"/>
            </w:tcBorders>
            <w:shd w:val="clear" w:color="auto" w:fill="auto"/>
            <w:noWrap/>
            <w:vAlign w:val="bottom"/>
            <w:hideMark/>
          </w:tcPr>
          <w:p w14:paraId="6AEEB3FF" w14:textId="77777777" w:rsidR="00827B00" w:rsidRPr="00795367" w:rsidRDefault="00827B00" w:rsidP="003B7808">
            <w:pPr>
              <w:spacing w:after="0" w:line="240" w:lineRule="auto"/>
              <w:rPr>
                <w:sz w:val="18"/>
                <w:szCs w:val="18"/>
              </w:rPr>
            </w:pPr>
          </w:p>
        </w:tc>
        <w:tc>
          <w:tcPr>
            <w:tcW w:w="881" w:type="dxa"/>
            <w:tcBorders>
              <w:top w:val="nil"/>
              <w:left w:val="nil"/>
              <w:bottom w:val="nil"/>
              <w:right w:val="nil"/>
            </w:tcBorders>
            <w:shd w:val="clear" w:color="auto" w:fill="auto"/>
            <w:noWrap/>
            <w:vAlign w:val="bottom"/>
            <w:hideMark/>
          </w:tcPr>
          <w:p w14:paraId="627C39DE" w14:textId="77777777" w:rsidR="00827B00" w:rsidRPr="00795367" w:rsidRDefault="00827B00" w:rsidP="003B7808">
            <w:pPr>
              <w:spacing w:after="0" w:line="240" w:lineRule="auto"/>
              <w:rPr>
                <w:sz w:val="18"/>
                <w:szCs w:val="18"/>
              </w:rPr>
            </w:pPr>
          </w:p>
        </w:tc>
        <w:tc>
          <w:tcPr>
            <w:tcW w:w="957" w:type="dxa"/>
            <w:tcBorders>
              <w:top w:val="nil"/>
              <w:left w:val="nil"/>
              <w:bottom w:val="nil"/>
              <w:right w:val="nil"/>
            </w:tcBorders>
            <w:shd w:val="clear" w:color="auto" w:fill="auto"/>
            <w:noWrap/>
            <w:vAlign w:val="bottom"/>
            <w:hideMark/>
          </w:tcPr>
          <w:p w14:paraId="52C4D9C8"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-0,007</w:t>
            </w:r>
          </w:p>
        </w:tc>
        <w:tc>
          <w:tcPr>
            <w:tcW w:w="886" w:type="dxa"/>
            <w:tcBorders>
              <w:top w:val="nil"/>
              <w:left w:val="nil"/>
              <w:bottom w:val="nil"/>
              <w:right w:val="nil"/>
            </w:tcBorders>
            <w:shd w:val="clear" w:color="auto" w:fill="auto"/>
            <w:noWrap/>
            <w:vAlign w:val="bottom"/>
            <w:hideMark/>
          </w:tcPr>
          <w:p w14:paraId="64E3A937" w14:textId="77777777" w:rsidR="00827B00" w:rsidRPr="00795367" w:rsidRDefault="00827B00" w:rsidP="003B7808">
            <w:pPr>
              <w:spacing w:after="0" w:line="240" w:lineRule="auto"/>
              <w:rPr>
                <w:rFonts w:cs="Calibri"/>
                <w:color w:val="000000"/>
                <w:sz w:val="18"/>
                <w:szCs w:val="18"/>
              </w:rPr>
            </w:pPr>
          </w:p>
        </w:tc>
        <w:tc>
          <w:tcPr>
            <w:tcW w:w="819" w:type="dxa"/>
            <w:tcBorders>
              <w:top w:val="nil"/>
              <w:left w:val="nil"/>
              <w:bottom w:val="nil"/>
              <w:right w:val="nil"/>
            </w:tcBorders>
            <w:shd w:val="clear" w:color="auto" w:fill="auto"/>
            <w:noWrap/>
            <w:vAlign w:val="bottom"/>
            <w:hideMark/>
          </w:tcPr>
          <w:p w14:paraId="0CDFA1D6" w14:textId="77777777" w:rsidR="00827B00" w:rsidRPr="00795367" w:rsidRDefault="00827B00" w:rsidP="003B7808">
            <w:pPr>
              <w:spacing w:after="0" w:line="240" w:lineRule="auto"/>
              <w:rPr>
                <w:sz w:val="18"/>
                <w:szCs w:val="18"/>
              </w:rPr>
            </w:pPr>
            <w:r w:rsidRPr="00795367">
              <w:rPr>
                <w:rFonts w:cs="Calibri"/>
                <w:color w:val="000000"/>
                <w:sz w:val="18"/>
                <w:szCs w:val="18"/>
              </w:rPr>
              <w:t> </w:t>
            </w:r>
          </w:p>
        </w:tc>
        <w:tc>
          <w:tcPr>
            <w:tcW w:w="886" w:type="dxa"/>
            <w:tcBorders>
              <w:top w:val="nil"/>
              <w:left w:val="nil"/>
              <w:bottom w:val="nil"/>
              <w:right w:val="nil"/>
            </w:tcBorders>
            <w:shd w:val="clear" w:color="auto" w:fill="auto"/>
            <w:noWrap/>
            <w:vAlign w:val="bottom"/>
            <w:hideMark/>
          </w:tcPr>
          <w:p w14:paraId="7A505612"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-0,003</w:t>
            </w:r>
          </w:p>
        </w:tc>
        <w:tc>
          <w:tcPr>
            <w:tcW w:w="982" w:type="dxa"/>
            <w:tcBorders>
              <w:top w:val="nil"/>
              <w:left w:val="nil"/>
              <w:bottom w:val="nil"/>
              <w:right w:val="nil"/>
            </w:tcBorders>
            <w:vAlign w:val="bottom"/>
          </w:tcPr>
          <w:p w14:paraId="7702EDBE"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-0,008</w:t>
            </w:r>
          </w:p>
        </w:tc>
        <w:tc>
          <w:tcPr>
            <w:tcW w:w="820" w:type="dxa"/>
            <w:tcBorders>
              <w:top w:val="nil"/>
              <w:left w:val="nil"/>
              <w:bottom w:val="nil"/>
              <w:right w:val="nil"/>
            </w:tcBorders>
            <w:shd w:val="clear" w:color="auto" w:fill="auto"/>
            <w:noWrap/>
            <w:vAlign w:val="bottom"/>
            <w:hideMark/>
          </w:tcPr>
          <w:p w14:paraId="46677FF1"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-0,009</w:t>
            </w:r>
          </w:p>
        </w:tc>
        <w:tc>
          <w:tcPr>
            <w:tcW w:w="823" w:type="dxa"/>
            <w:tcBorders>
              <w:top w:val="nil"/>
              <w:left w:val="nil"/>
              <w:bottom w:val="nil"/>
              <w:right w:val="single" w:sz="4" w:space="0" w:color="auto"/>
            </w:tcBorders>
            <w:shd w:val="clear" w:color="auto" w:fill="auto"/>
            <w:noWrap/>
            <w:vAlign w:val="bottom"/>
            <w:hideMark/>
          </w:tcPr>
          <w:p w14:paraId="0BA42C60"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-0,010</w:t>
            </w:r>
          </w:p>
        </w:tc>
      </w:tr>
      <w:tr w:rsidR="00827B00" w:rsidRPr="0020638D" w14:paraId="0F42CBDD" w14:textId="77777777" w:rsidTr="003B7808">
        <w:trPr>
          <w:trHeight w:val="283"/>
        </w:trPr>
        <w:tc>
          <w:tcPr>
            <w:tcW w:w="3964" w:type="dxa"/>
            <w:tcBorders>
              <w:top w:val="nil"/>
              <w:left w:val="single" w:sz="4" w:space="0" w:color="auto"/>
              <w:bottom w:val="nil"/>
              <w:right w:val="single" w:sz="4" w:space="0" w:color="auto"/>
            </w:tcBorders>
            <w:shd w:val="clear" w:color="auto" w:fill="auto"/>
            <w:noWrap/>
            <w:vAlign w:val="bottom"/>
            <w:hideMark/>
          </w:tcPr>
          <w:p w14:paraId="27C85F27" w14:textId="77777777" w:rsidR="00827B00" w:rsidRPr="00795367" w:rsidRDefault="00827B00" w:rsidP="003B7808">
            <w:pPr>
              <w:spacing w:after="0" w:line="240" w:lineRule="auto"/>
              <w:rPr>
                <w:rFonts w:eastAsia="Times New Roman" w:cs="Calibri"/>
                <w:b/>
                <w:bCs/>
                <w:color w:val="000000"/>
                <w:sz w:val="18"/>
                <w:szCs w:val="18"/>
                <w:lang w:eastAsia="sk-SK"/>
              </w:rPr>
            </w:pPr>
            <w:r w:rsidRPr="00795367">
              <w:rPr>
                <w:rFonts w:eastAsia="Times New Roman" w:cs="Calibri"/>
                <w:b/>
                <w:bCs/>
                <w:color w:val="000000"/>
                <w:sz w:val="18"/>
                <w:szCs w:val="18"/>
                <w:lang w:eastAsia="sk-SK"/>
              </w:rPr>
              <w:t>Počet detí z MRK v MŠ</w:t>
            </w:r>
          </w:p>
        </w:tc>
        <w:tc>
          <w:tcPr>
            <w:tcW w:w="858" w:type="dxa"/>
            <w:tcBorders>
              <w:top w:val="nil"/>
              <w:left w:val="nil"/>
              <w:bottom w:val="nil"/>
              <w:right w:val="nil"/>
            </w:tcBorders>
            <w:shd w:val="clear" w:color="auto" w:fill="auto"/>
            <w:noWrap/>
            <w:vAlign w:val="bottom"/>
            <w:hideMark/>
          </w:tcPr>
          <w:p w14:paraId="4CF71037" w14:textId="77777777" w:rsidR="00827B00" w:rsidRPr="00795367" w:rsidRDefault="00827B00" w:rsidP="003B7808">
            <w:pPr>
              <w:spacing w:after="0" w:line="240" w:lineRule="auto"/>
              <w:rPr>
                <w:rFonts w:cs="Calibri"/>
                <w:color w:val="000000"/>
                <w:sz w:val="18"/>
                <w:szCs w:val="18"/>
              </w:rPr>
            </w:pPr>
          </w:p>
        </w:tc>
        <w:tc>
          <w:tcPr>
            <w:tcW w:w="850" w:type="dxa"/>
            <w:tcBorders>
              <w:top w:val="nil"/>
              <w:left w:val="nil"/>
              <w:bottom w:val="nil"/>
              <w:right w:val="nil"/>
            </w:tcBorders>
            <w:shd w:val="clear" w:color="auto" w:fill="auto"/>
            <w:noWrap/>
            <w:vAlign w:val="bottom"/>
            <w:hideMark/>
          </w:tcPr>
          <w:p w14:paraId="3D35FEE6" w14:textId="77777777" w:rsidR="00827B00" w:rsidRPr="00795367" w:rsidRDefault="00827B00" w:rsidP="003B7808">
            <w:pPr>
              <w:spacing w:after="0" w:line="240" w:lineRule="auto"/>
              <w:rPr>
                <w:sz w:val="18"/>
                <w:szCs w:val="18"/>
              </w:rPr>
            </w:pPr>
          </w:p>
        </w:tc>
        <w:tc>
          <w:tcPr>
            <w:tcW w:w="819" w:type="dxa"/>
            <w:tcBorders>
              <w:top w:val="nil"/>
              <w:left w:val="nil"/>
              <w:bottom w:val="nil"/>
              <w:right w:val="nil"/>
            </w:tcBorders>
            <w:shd w:val="clear" w:color="auto" w:fill="auto"/>
            <w:noWrap/>
            <w:vAlign w:val="bottom"/>
            <w:hideMark/>
          </w:tcPr>
          <w:p w14:paraId="5B808D21" w14:textId="77777777" w:rsidR="00827B00" w:rsidRPr="00795367" w:rsidRDefault="00827B00" w:rsidP="003B7808">
            <w:pPr>
              <w:spacing w:after="0" w:line="240" w:lineRule="auto"/>
              <w:rPr>
                <w:sz w:val="18"/>
                <w:szCs w:val="18"/>
              </w:rPr>
            </w:pPr>
          </w:p>
        </w:tc>
        <w:tc>
          <w:tcPr>
            <w:tcW w:w="881" w:type="dxa"/>
            <w:tcBorders>
              <w:top w:val="nil"/>
              <w:left w:val="nil"/>
              <w:bottom w:val="nil"/>
              <w:right w:val="nil"/>
            </w:tcBorders>
            <w:shd w:val="clear" w:color="auto" w:fill="auto"/>
            <w:noWrap/>
            <w:vAlign w:val="bottom"/>
            <w:hideMark/>
          </w:tcPr>
          <w:p w14:paraId="6DB30114" w14:textId="77777777" w:rsidR="00827B00" w:rsidRPr="00795367" w:rsidRDefault="00827B00" w:rsidP="003B7808">
            <w:pPr>
              <w:spacing w:after="0" w:line="240" w:lineRule="auto"/>
              <w:rPr>
                <w:sz w:val="18"/>
                <w:szCs w:val="18"/>
              </w:rPr>
            </w:pPr>
          </w:p>
        </w:tc>
        <w:tc>
          <w:tcPr>
            <w:tcW w:w="957" w:type="dxa"/>
            <w:tcBorders>
              <w:top w:val="nil"/>
              <w:left w:val="nil"/>
              <w:bottom w:val="nil"/>
              <w:right w:val="nil"/>
            </w:tcBorders>
            <w:shd w:val="clear" w:color="auto" w:fill="auto"/>
            <w:noWrap/>
            <w:vAlign w:val="bottom"/>
            <w:hideMark/>
          </w:tcPr>
          <w:p w14:paraId="073D5128"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-0,010</w:t>
            </w:r>
          </w:p>
        </w:tc>
        <w:tc>
          <w:tcPr>
            <w:tcW w:w="886" w:type="dxa"/>
            <w:tcBorders>
              <w:top w:val="nil"/>
              <w:left w:val="nil"/>
              <w:bottom w:val="nil"/>
              <w:right w:val="nil"/>
            </w:tcBorders>
            <w:shd w:val="clear" w:color="auto" w:fill="auto"/>
            <w:noWrap/>
            <w:vAlign w:val="bottom"/>
            <w:hideMark/>
          </w:tcPr>
          <w:p w14:paraId="565F2CCB" w14:textId="77777777" w:rsidR="00827B00" w:rsidRPr="00795367" w:rsidRDefault="00827B00" w:rsidP="003B7808">
            <w:pPr>
              <w:spacing w:after="0" w:line="240" w:lineRule="auto"/>
              <w:rPr>
                <w:rFonts w:cs="Calibri"/>
                <w:color w:val="000000"/>
                <w:sz w:val="18"/>
                <w:szCs w:val="18"/>
              </w:rPr>
            </w:pPr>
          </w:p>
        </w:tc>
        <w:tc>
          <w:tcPr>
            <w:tcW w:w="819" w:type="dxa"/>
            <w:tcBorders>
              <w:top w:val="nil"/>
              <w:left w:val="nil"/>
              <w:bottom w:val="nil"/>
              <w:right w:val="nil"/>
            </w:tcBorders>
            <w:shd w:val="clear" w:color="auto" w:fill="auto"/>
            <w:noWrap/>
            <w:vAlign w:val="bottom"/>
            <w:hideMark/>
          </w:tcPr>
          <w:p w14:paraId="1C46499B" w14:textId="77777777" w:rsidR="00827B00" w:rsidRPr="00795367" w:rsidRDefault="00827B00" w:rsidP="003B7808">
            <w:pPr>
              <w:spacing w:after="0" w:line="240" w:lineRule="auto"/>
              <w:rPr>
                <w:sz w:val="18"/>
                <w:szCs w:val="18"/>
              </w:rPr>
            </w:pPr>
            <w:r w:rsidRPr="00795367">
              <w:rPr>
                <w:rFonts w:cs="Calibri"/>
                <w:color w:val="000000"/>
                <w:sz w:val="18"/>
                <w:szCs w:val="18"/>
              </w:rPr>
              <w:t> </w:t>
            </w:r>
          </w:p>
        </w:tc>
        <w:tc>
          <w:tcPr>
            <w:tcW w:w="886" w:type="dxa"/>
            <w:tcBorders>
              <w:top w:val="nil"/>
              <w:left w:val="nil"/>
              <w:bottom w:val="nil"/>
              <w:right w:val="nil"/>
            </w:tcBorders>
            <w:shd w:val="clear" w:color="auto" w:fill="auto"/>
            <w:noWrap/>
            <w:vAlign w:val="bottom"/>
            <w:hideMark/>
          </w:tcPr>
          <w:p w14:paraId="4F827B53"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-0,011</w:t>
            </w:r>
          </w:p>
        </w:tc>
        <w:tc>
          <w:tcPr>
            <w:tcW w:w="982" w:type="dxa"/>
            <w:tcBorders>
              <w:top w:val="nil"/>
              <w:left w:val="nil"/>
              <w:bottom w:val="nil"/>
              <w:right w:val="nil"/>
            </w:tcBorders>
            <w:vAlign w:val="bottom"/>
          </w:tcPr>
          <w:p w14:paraId="5BC20BF2"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-0,008</w:t>
            </w:r>
          </w:p>
        </w:tc>
        <w:tc>
          <w:tcPr>
            <w:tcW w:w="820" w:type="dxa"/>
            <w:tcBorders>
              <w:top w:val="nil"/>
              <w:left w:val="nil"/>
              <w:bottom w:val="nil"/>
              <w:right w:val="nil"/>
            </w:tcBorders>
            <w:shd w:val="clear" w:color="auto" w:fill="auto"/>
            <w:noWrap/>
            <w:vAlign w:val="bottom"/>
            <w:hideMark/>
          </w:tcPr>
          <w:p w14:paraId="3E51393A"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-0,008</w:t>
            </w:r>
          </w:p>
        </w:tc>
        <w:tc>
          <w:tcPr>
            <w:tcW w:w="823" w:type="dxa"/>
            <w:tcBorders>
              <w:top w:val="nil"/>
              <w:left w:val="nil"/>
              <w:bottom w:val="nil"/>
              <w:right w:val="single" w:sz="4" w:space="0" w:color="auto"/>
            </w:tcBorders>
            <w:shd w:val="clear" w:color="auto" w:fill="auto"/>
            <w:noWrap/>
            <w:vAlign w:val="bottom"/>
            <w:hideMark/>
          </w:tcPr>
          <w:p w14:paraId="4D0D38A4"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-0,009</w:t>
            </w:r>
          </w:p>
        </w:tc>
      </w:tr>
      <w:tr w:rsidR="00827B00" w:rsidRPr="0020638D" w14:paraId="309F537D" w14:textId="77777777" w:rsidTr="003B7808">
        <w:trPr>
          <w:trHeight w:val="283"/>
        </w:trPr>
        <w:tc>
          <w:tcPr>
            <w:tcW w:w="3964" w:type="dxa"/>
            <w:tcBorders>
              <w:top w:val="nil"/>
              <w:left w:val="single" w:sz="4" w:space="0" w:color="auto"/>
              <w:bottom w:val="nil"/>
              <w:right w:val="single" w:sz="4" w:space="0" w:color="auto"/>
            </w:tcBorders>
            <w:shd w:val="clear" w:color="auto" w:fill="auto"/>
            <w:noWrap/>
            <w:vAlign w:val="bottom"/>
            <w:hideMark/>
          </w:tcPr>
          <w:p w14:paraId="1093A06D" w14:textId="77777777" w:rsidR="00827B00" w:rsidRPr="00795367" w:rsidRDefault="00827B00" w:rsidP="003B7808">
            <w:pPr>
              <w:spacing w:after="0" w:line="240" w:lineRule="auto"/>
              <w:rPr>
                <w:rFonts w:eastAsia="Times New Roman" w:cs="Calibri"/>
                <w:b/>
                <w:bCs/>
                <w:color w:val="000000"/>
                <w:sz w:val="18"/>
                <w:szCs w:val="18"/>
                <w:lang w:eastAsia="sk-SK"/>
              </w:rPr>
            </w:pPr>
            <w:r w:rsidRPr="00795367">
              <w:rPr>
                <w:rFonts w:eastAsia="Times New Roman" w:cs="Calibri"/>
                <w:b/>
                <w:bCs/>
                <w:color w:val="000000"/>
                <w:sz w:val="18"/>
                <w:szCs w:val="18"/>
                <w:lang w:eastAsia="sk-SK"/>
              </w:rPr>
              <w:t>Interakcia MRK-SZP</w:t>
            </w:r>
          </w:p>
        </w:tc>
        <w:tc>
          <w:tcPr>
            <w:tcW w:w="858" w:type="dxa"/>
            <w:tcBorders>
              <w:top w:val="nil"/>
              <w:left w:val="nil"/>
              <w:bottom w:val="nil"/>
              <w:right w:val="nil"/>
            </w:tcBorders>
            <w:shd w:val="clear" w:color="auto" w:fill="auto"/>
            <w:noWrap/>
            <w:vAlign w:val="bottom"/>
            <w:hideMark/>
          </w:tcPr>
          <w:p w14:paraId="0A7E1F7C" w14:textId="77777777" w:rsidR="00827B00" w:rsidRPr="00795367" w:rsidRDefault="00827B00" w:rsidP="003B7808">
            <w:pPr>
              <w:spacing w:after="0" w:line="240" w:lineRule="auto"/>
              <w:rPr>
                <w:rFonts w:cs="Calibri"/>
                <w:color w:val="000000"/>
                <w:sz w:val="18"/>
                <w:szCs w:val="18"/>
              </w:rPr>
            </w:pPr>
          </w:p>
        </w:tc>
        <w:tc>
          <w:tcPr>
            <w:tcW w:w="850" w:type="dxa"/>
            <w:tcBorders>
              <w:top w:val="nil"/>
              <w:left w:val="nil"/>
              <w:bottom w:val="nil"/>
              <w:right w:val="nil"/>
            </w:tcBorders>
            <w:shd w:val="clear" w:color="auto" w:fill="auto"/>
            <w:noWrap/>
            <w:vAlign w:val="bottom"/>
            <w:hideMark/>
          </w:tcPr>
          <w:p w14:paraId="238AA021" w14:textId="77777777" w:rsidR="00827B00" w:rsidRPr="00795367" w:rsidRDefault="00827B00" w:rsidP="003B7808">
            <w:pPr>
              <w:spacing w:after="0" w:line="240" w:lineRule="auto"/>
              <w:rPr>
                <w:sz w:val="18"/>
                <w:szCs w:val="18"/>
              </w:rPr>
            </w:pPr>
          </w:p>
        </w:tc>
        <w:tc>
          <w:tcPr>
            <w:tcW w:w="819" w:type="dxa"/>
            <w:tcBorders>
              <w:top w:val="nil"/>
              <w:left w:val="nil"/>
              <w:bottom w:val="nil"/>
              <w:right w:val="nil"/>
            </w:tcBorders>
            <w:shd w:val="clear" w:color="auto" w:fill="auto"/>
            <w:noWrap/>
            <w:vAlign w:val="bottom"/>
            <w:hideMark/>
          </w:tcPr>
          <w:p w14:paraId="182DE1CA" w14:textId="77777777" w:rsidR="00827B00" w:rsidRPr="00795367" w:rsidRDefault="00827B00" w:rsidP="003B7808">
            <w:pPr>
              <w:spacing w:after="0" w:line="240" w:lineRule="auto"/>
              <w:rPr>
                <w:sz w:val="18"/>
                <w:szCs w:val="18"/>
              </w:rPr>
            </w:pPr>
          </w:p>
        </w:tc>
        <w:tc>
          <w:tcPr>
            <w:tcW w:w="881" w:type="dxa"/>
            <w:tcBorders>
              <w:top w:val="nil"/>
              <w:left w:val="nil"/>
              <w:bottom w:val="nil"/>
              <w:right w:val="nil"/>
            </w:tcBorders>
            <w:shd w:val="clear" w:color="auto" w:fill="auto"/>
            <w:noWrap/>
            <w:vAlign w:val="bottom"/>
            <w:hideMark/>
          </w:tcPr>
          <w:p w14:paraId="333BC705" w14:textId="77777777" w:rsidR="00827B00" w:rsidRPr="00795367" w:rsidRDefault="00827B00" w:rsidP="003B7808">
            <w:pPr>
              <w:spacing w:after="0" w:line="240" w:lineRule="auto"/>
              <w:rPr>
                <w:sz w:val="18"/>
                <w:szCs w:val="18"/>
              </w:rPr>
            </w:pPr>
          </w:p>
        </w:tc>
        <w:tc>
          <w:tcPr>
            <w:tcW w:w="957" w:type="dxa"/>
            <w:tcBorders>
              <w:top w:val="nil"/>
              <w:left w:val="nil"/>
              <w:bottom w:val="nil"/>
              <w:right w:val="nil"/>
            </w:tcBorders>
            <w:shd w:val="clear" w:color="auto" w:fill="auto"/>
            <w:noWrap/>
            <w:vAlign w:val="bottom"/>
            <w:hideMark/>
          </w:tcPr>
          <w:p w14:paraId="174ECCFB"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0,037***</w:t>
            </w:r>
          </w:p>
        </w:tc>
        <w:tc>
          <w:tcPr>
            <w:tcW w:w="886" w:type="dxa"/>
            <w:tcBorders>
              <w:top w:val="nil"/>
              <w:left w:val="nil"/>
              <w:bottom w:val="nil"/>
              <w:right w:val="nil"/>
            </w:tcBorders>
            <w:shd w:val="clear" w:color="auto" w:fill="auto"/>
            <w:noWrap/>
            <w:vAlign w:val="bottom"/>
            <w:hideMark/>
          </w:tcPr>
          <w:p w14:paraId="451A7B92" w14:textId="77777777" w:rsidR="00827B00" w:rsidRPr="00795367" w:rsidRDefault="00827B00" w:rsidP="003B7808">
            <w:pPr>
              <w:spacing w:after="0" w:line="240" w:lineRule="auto"/>
              <w:rPr>
                <w:rFonts w:cs="Calibri"/>
                <w:color w:val="000000"/>
                <w:sz w:val="18"/>
                <w:szCs w:val="18"/>
              </w:rPr>
            </w:pPr>
          </w:p>
        </w:tc>
        <w:tc>
          <w:tcPr>
            <w:tcW w:w="819" w:type="dxa"/>
            <w:tcBorders>
              <w:top w:val="nil"/>
              <w:left w:val="nil"/>
              <w:bottom w:val="nil"/>
              <w:right w:val="nil"/>
            </w:tcBorders>
            <w:shd w:val="clear" w:color="auto" w:fill="auto"/>
            <w:noWrap/>
            <w:vAlign w:val="bottom"/>
            <w:hideMark/>
          </w:tcPr>
          <w:p w14:paraId="24036755" w14:textId="77777777" w:rsidR="00827B00" w:rsidRPr="00795367" w:rsidRDefault="00827B00" w:rsidP="003B7808">
            <w:pPr>
              <w:spacing w:after="0" w:line="240" w:lineRule="auto"/>
              <w:rPr>
                <w:sz w:val="18"/>
                <w:szCs w:val="18"/>
              </w:rPr>
            </w:pPr>
            <w:r w:rsidRPr="00795367">
              <w:rPr>
                <w:rFonts w:cs="Calibri"/>
                <w:color w:val="000000"/>
                <w:sz w:val="18"/>
                <w:szCs w:val="18"/>
              </w:rPr>
              <w:t> </w:t>
            </w:r>
          </w:p>
        </w:tc>
        <w:tc>
          <w:tcPr>
            <w:tcW w:w="886" w:type="dxa"/>
            <w:tcBorders>
              <w:top w:val="nil"/>
              <w:left w:val="nil"/>
              <w:bottom w:val="nil"/>
              <w:right w:val="nil"/>
            </w:tcBorders>
            <w:shd w:val="clear" w:color="auto" w:fill="auto"/>
            <w:noWrap/>
            <w:vAlign w:val="bottom"/>
            <w:hideMark/>
          </w:tcPr>
          <w:p w14:paraId="319FF2CF"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0,020</w:t>
            </w:r>
          </w:p>
        </w:tc>
        <w:tc>
          <w:tcPr>
            <w:tcW w:w="982" w:type="dxa"/>
            <w:tcBorders>
              <w:top w:val="nil"/>
              <w:left w:val="nil"/>
              <w:bottom w:val="nil"/>
              <w:right w:val="nil"/>
            </w:tcBorders>
            <w:vAlign w:val="bottom"/>
          </w:tcPr>
          <w:p w14:paraId="6032BB40"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0,035***</w:t>
            </w:r>
          </w:p>
        </w:tc>
        <w:tc>
          <w:tcPr>
            <w:tcW w:w="820" w:type="dxa"/>
            <w:tcBorders>
              <w:top w:val="nil"/>
              <w:left w:val="nil"/>
              <w:bottom w:val="nil"/>
              <w:right w:val="nil"/>
            </w:tcBorders>
            <w:shd w:val="clear" w:color="auto" w:fill="auto"/>
            <w:noWrap/>
            <w:vAlign w:val="bottom"/>
            <w:hideMark/>
          </w:tcPr>
          <w:p w14:paraId="15466E1B"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0,034***</w:t>
            </w:r>
          </w:p>
        </w:tc>
        <w:tc>
          <w:tcPr>
            <w:tcW w:w="823" w:type="dxa"/>
            <w:tcBorders>
              <w:top w:val="nil"/>
              <w:left w:val="nil"/>
              <w:bottom w:val="nil"/>
              <w:right w:val="single" w:sz="4" w:space="0" w:color="auto"/>
            </w:tcBorders>
            <w:shd w:val="clear" w:color="auto" w:fill="auto"/>
            <w:noWrap/>
            <w:vAlign w:val="bottom"/>
            <w:hideMark/>
          </w:tcPr>
          <w:p w14:paraId="49FAABD8"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0,036***</w:t>
            </w:r>
          </w:p>
        </w:tc>
      </w:tr>
      <w:tr w:rsidR="00827B00" w:rsidRPr="0020638D" w14:paraId="607C854A" w14:textId="77777777" w:rsidTr="003B7808">
        <w:trPr>
          <w:trHeight w:val="283"/>
        </w:trPr>
        <w:tc>
          <w:tcPr>
            <w:tcW w:w="3964" w:type="dxa"/>
            <w:tcBorders>
              <w:top w:val="nil"/>
              <w:left w:val="single" w:sz="4" w:space="0" w:color="auto"/>
              <w:bottom w:val="nil"/>
              <w:right w:val="single" w:sz="4" w:space="0" w:color="auto"/>
            </w:tcBorders>
            <w:shd w:val="clear" w:color="auto" w:fill="auto"/>
            <w:noWrap/>
            <w:vAlign w:val="bottom"/>
            <w:hideMark/>
          </w:tcPr>
          <w:p w14:paraId="6B52A9F7" w14:textId="77777777" w:rsidR="00827B00" w:rsidRPr="00795367" w:rsidRDefault="00827B00" w:rsidP="003B7808">
            <w:pPr>
              <w:spacing w:after="0" w:line="240" w:lineRule="auto"/>
              <w:rPr>
                <w:rFonts w:eastAsia="Times New Roman" w:cs="Calibri"/>
                <w:b/>
                <w:bCs/>
                <w:color w:val="000000"/>
                <w:sz w:val="18"/>
                <w:szCs w:val="18"/>
                <w:lang w:eastAsia="sk-SK"/>
              </w:rPr>
            </w:pPr>
            <w:r w:rsidRPr="00795367">
              <w:rPr>
                <w:rFonts w:eastAsia="Times New Roman" w:cs="Calibri"/>
                <w:b/>
                <w:bCs/>
                <w:color w:val="000000"/>
                <w:sz w:val="18"/>
                <w:szCs w:val="18"/>
                <w:lang w:eastAsia="sk-SK"/>
              </w:rPr>
              <w:t>Prepočítaný počet zamestnancov</w:t>
            </w:r>
          </w:p>
        </w:tc>
        <w:tc>
          <w:tcPr>
            <w:tcW w:w="858" w:type="dxa"/>
            <w:tcBorders>
              <w:top w:val="nil"/>
              <w:left w:val="nil"/>
              <w:bottom w:val="nil"/>
              <w:right w:val="nil"/>
            </w:tcBorders>
            <w:shd w:val="clear" w:color="auto" w:fill="auto"/>
            <w:noWrap/>
            <w:vAlign w:val="bottom"/>
            <w:hideMark/>
          </w:tcPr>
          <w:p w14:paraId="5D4F547A" w14:textId="77777777" w:rsidR="00827B00" w:rsidRPr="00795367" w:rsidRDefault="00827B00" w:rsidP="003B7808">
            <w:pPr>
              <w:spacing w:after="0" w:line="240" w:lineRule="auto"/>
              <w:rPr>
                <w:rFonts w:cs="Calibri"/>
                <w:color w:val="000000"/>
                <w:sz w:val="18"/>
                <w:szCs w:val="18"/>
              </w:rPr>
            </w:pPr>
          </w:p>
        </w:tc>
        <w:tc>
          <w:tcPr>
            <w:tcW w:w="850" w:type="dxa"/>
            <w:tcBorders>
              <w:top w:val="nil"/>
              <w:left w:val="nil"/>
              <w:bottom w:val="nil"/>
              <w:right w:val="nil"/>
            </w:tcBorders>
            <w:shd w:val="clear" w:color="auto" w:fill="auto"/>
            <w:noWrap/>
            <w:vAlign w:val="bottom"/>
            <w:hideMark/>
          </w:tcPr>
          <w:p w14:paraId="4768ADF4" w14:textId="77777777" w:rsidR="00827B00" w:rsidRPr="00795367" w:rsidRDefault="00827B00" w:rsidP="003B7808">
            <w:pPr>
              <w:spacing w:after="0" w:line="240" w:lineRule="auto"/>
              <w:rPr>
                <w:sz w:val="18"/>
                <w:szCs w:val="18"/>
              </w:rPr>
            </w:pPr>
          </w:p>
        </w:tc>
        <w:tc>
          <w:tcPr>
            <w:tcW w:w="819" w:type="dxa"/>
            <w:tcBorders>
              <w:top w:val="nil"/>
              <w:left w:val="nil"/>
              <w:bottom w:val="nil"/>
              <w:right w:val="nil"/>
            </w:tcBorders>
            <w:shd w:val="clear" w:color="auto" w:fill="auto"/>
            <w:noWrap/>
            <w:vAlign w:val="bottom"/>
            <w:hideMark/>
          </w:tcPr>
          <w:p w14:paraId="15E6371F" w14:textId="77777777" w:rsidR="00827B00" w:rsidRPr="00795367" w:rsidRDefault="00827B00" w:rsidP="003B7808">
            <w:pPr>
              <w:spacing w:after="0" w:line="240" w:lineRule="auto"/>
              <w:rPr>
                <w:sz w:val="18"/>
                <w:szCs w:val="18"/>
              </w:rPr>
            </w:pPr>
          </w:p>
        </w:tc>
        <w:tc>
          <w:tcPr>
            <w:tcW w:w="881" w:type="dxa"/>
            <w:tcBorders>
              <w:top w:val="nil"/>
              <w:left w:val="nil"/>
              <w:bottom w:val="nil"/>
              <w:right w:val="nil"/>
            </w:tcBorders>
            <w:shd w:val="clear" w:color="auto" w:fill="auto"/>
            <w:noWrap/>
            <w:vAlign w:val="bottom"/>
            <w:hideMark/>
          </w:tcPr>
          <w:p w14:paraId="3BDD4CB2" w14:textId="77777777" w:rsidR="00827B00" w:rsidRPr="00795367" w:rsidRDefault="00827B00" w:rsidP="003B7808">
            <w:pPr>
              <w:spacing w:after="0" w:line="240" w:lineRule="auto"/>
              <w:rPr>
                <w:sz w:val="18"/>
                <w:szCs w:val="18"/>
              </w:rPr>
            </w:pPr>
          </w:p>
        </w:tc>
        <w:tc>
          <w:tcPr>
            <w:tcW w:w="957" w:type="dxa"/>
            <w:tcBorders>
              <w:top w:val="nil"/>
              <w:left w:val="nil"/>
              <w:bottom w:val="nil"/>
              <w:right w:val="nil"/>
            </w:tcBorders>
            <w:shd w:val="clear" w:color="auto" w:fill="auto"/>
            <w:noWrap/>
            <w:vAlign w:val="bottom"/>
            <w:hideMark/>
          </w:tcPr>
          <w:p w14:paraId="33D4177D" w14:textId="77777777" w:rsidR="00827B00" w:rsidRPr="00795367" w:rsidRDefault="00827B00" w:rsidP="003B7808">
            <w:pPr>
              <w:spacing w:after="0" w:line="240" w:lineRule="auto"/>
              <w:rPr>
                <w:sz w:val="18"/>
                <w:szCs w:val="18"/>
              </w:rPr>
            </w:pPr>
          </w:p>
        </w:tc>
        <w:tc>
          <w:tcPr>
            <w:tcW w:w="886" w:type="dxa"/>
            <w:tcBorders>
              <w:top w:val="nil"/>
              <w:left w:val="nil"/>
              <w:bottom w:val="nil"/>
              <w:right w:val="nil"/>
            </w:tcBorders>
            <w:shd w:val="clear" w:color="auto" w:fill="auto"/>
            <w:noWrap/>
            <w:vAlign w:val="bottom"/>
            <w:hideMark/>
          </w:tcPr>
          <w:p w14:paraId="6A95F38B"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0,379***</w:t>
            </w:r>
          </w:p>
        </w:tc>
        <w:tc>
          <w:tcPr>
            <w:tcW w:w="819" w:type="dxa"/>
            <w:tcBorders>
              <w:top w:val="nil"/>
              <w:left w:val="nil"/>
              <w:bottom w:val="nil"/>
              <w:right w:val="nil"/>
            </w:tcBorders>
            <w:shd w:val="clear" w:color="auto" w:fill="auto"/>
            <w:noWrap/>
            <w:vAlign w:val="bottom"/>
            <w:hideMark/>
          </w:tcPr>
          <w:p w14:paraId="15AD133C"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 </w:t>
            </w:r>
          </w:p>
        </w:tc>
        <w:tc>
          <w:tcPr>
            <w:tcW w:w="886" w:type="dxa"/>
            <w:tcBorders>
              <w:top w:val="nil"/>
              <w:left w:val="nil"/>
              <w:bottom w:val="nil"/>
              <w:right w:val="nil"/>
            </w:tcBorders>
            <w:shd w:val="clear" w:color="auto" w:fill="auto"/>
            <w:noWrap/>
            <w:vAlign w:val="bottom"/>
            <w:hideMark/>
          </w:tcPr>
          <w:p w14:paraId="2BC7A251" w14:textId="77777777" w:rsidR="00827B00" w:rsidRPr="00795367" w:rsidRDefault="00827B00" w:rsidP="003B7808">
            <w:pPr>
              <w:spacing w:after="0" w:line="240" w:lineRule="auto"/>
              <w:rPr>
                <w:sz w:val="18"/>
                <w:szCs w:val="18"/>
              </w:rPr>
            </w:pPr>
            <w:r w:rsidRPr="00795367">
              <w:rPr>
                <w:rFonts w:cs="Calibri"/>
                <w:color w:val="000000"/>
                <w:sz w:val="18"/>
                <w:szCs w:val="18"/>
              </w:rPr>
              <w:t> </w:t>
            </w:r>
          </w:p>
        </w:tc>
        <w:tc>
          <w:tcPr>
            <w:tcW w:w="982" w:type="dxa"/>
            <w:tcBorders>
              <w:top w:val="nil"/>
              <w:left w:val="nil"/>
              <w:bottom w:val="nil"/>
              <w:right w:val="nil"/>
            </w:tcBorders>
            <w:vAlign w:val="bottom"/>
          </w:tcPr>
          <w:p w14:paraId="24AAB5C6" w14:textId="77777777" w:rsidR="00827B00" w:rsidRPr="00795367" w:rsidRDefault="00827B00" w:rsidP="003B7808">
            <w:pPr>
              <w:spacing w:after="0" w:line="240" w:lineRule="auto"/>
              <w:rPr>
                <w:sz w:val="18"/>
                <w:szCs w:val="18"/>
              </w:rPr>
            </w:pPr>
          </w:p>
        </w:tc>
        <w:tc>
          <w:tcPr>
            <w:tcW w:w="820" w:type="dxa"/>
            <w:tcBorders>
              <w:top w:val="nil"/>
              <w:left w:val="nil"/>
              <w:bottom w:val="nil"/>
              <w:right w:val="nil"/>
            </w:tcBorders>
            <w:shd w:val="clear" w:color="auto" w:fill="auto"/>
            <w:noWrap/>
            <w:vAlign w:val="bottom"/>
            <w:hideMark/>
          </w:tcPr>
          <w:p w14:paraId="440C372F" w14:textId="77777777" w:rsidR="00827B00" w:rsidRPr="00795367" w:rsidRDefault="00827B00" w:rsidP="003B7808">
            <w:pPr>
              <w:spacing w:after="0" w:line="240" w:lineRule="auto"/>
              <w:rPr>
                <w:sz w:val="18"/>
                <w:szCs w:val="18"/>
              </w:rPr>
            </w:pPr>
          </w:p>
        </w:tc>
        <w:tc>
          <w:tcPr>
            <w:tcW w:w="823" w:type="dxa"/>
            <w:tcBorders>
              <w:top w:val="nil"/>
              <w:left w:val="nil"/>
              <w:bottom w:val="nil"/>
              <w:right w:val="single" w:sz="4" w:space="0" w:color="auto"/>
            </w:tcBorders>
            <w:shd w:val="clear" w:color="auto" w:fill="auto"/>
            <w:noWrap/>
            <w:vAlign w:val="bottom"/>
            <w:hideMark/>
          </w:tcPr>
          <w:p w14:paraId="23ADE024" w14:textId="77777777" w:rsidR="00827B00" w:rsidRPr="00795367" w:rsidRDefault="00827B00" w:rsidP="003B7808">
            <w:pPr>
              <w:spacing w:after="0" w:line="240" w:lineRule="auto"/>
              <w:rPr>
                <w:rFonts w:cs="Calibri"/>
                <w:color w:val="000000"/>
                <w:sz w:val="18"/>
                <w:szCs w:val="18"/>
              </w:rPr>
            </w:pPr>
          </w:p>
        </w:tc>
      </w:tr>
      <w:tr w:rsidR="00827B00" w:rsidRPr="0020638D" w14:paraId="00AF2B44" w14:textId="77777777" w:rsidTr="003B7808">
        <w:trPr>
          <w:trHeight w:val="283"/>
        </w:trPr>
        <w:tc>
          <w:tcPr>
            <w:tcW w:w="3964" w:type="dxa"/>
            <w:tcBorders>
              <w:top w:val="nil"/>
              <w:left w:val="single" w:sz="4" w:space="0" w:color="auto"/>
              <w:bottom w:val="nil"/>
              <w:right w:val="single" w:sz="4" w:space="0" w:color="auto"/>
            </w:tcBorders>
            <w:shd w:val="clear" w:color="auto" w:fill="auto"/>
            <w:noWrap/>
            <w:vAlign w:val="bottom"/>
            <w:hideMark/>
          </w:tcPr>
          <w:p w14:paraId="24125B46" w14:textId="77777777" w:rsidR="00827B00" w:rsidRPr="00795367" w:rsidRDefault="00827B00" w:rsidP="003B7808">
            <w:pPr>
              <w:spacing w:after="0" w:line="240" w:lineRule="auto"/>
              <w:rPr>
                <w:rFonts w:eastAsia="Times New Roman" w:cs="Calibri"/>
                <w:b/>
                <w:bCs/>
                <w:color w:val="000000"/>
                <w:sz w:val="18"/>
                <w:szCs w:val="18"/>
                <w:lang w:eastAsia="sk-SK"/>
              </w:rPr>
            </w:pPr>
            <w:r w:rsidRPr="00795367">
              <w:rPr>
                <w:rFonts w:eastAsia="Times New Roman" w:cs="Calibri"/>
                <w:b/>
                <w:bCs/>
                <w:color w:val="000000"/>
                <w:sz w:val="18"/>
                <w:szCs w:val="18"/>
                <w:lang w:eastAsia="sk-SK"/>
              </w:rPr>
              <w:t>Prepoč. počet pedagog. zam.</w:t>
            </w:r>
          </w:p>
        </w:tc>
        <w:tc>
          <w:tcPr>
            <w:tcW w:w="858" w:type="dxa"/>
            <w:tcBorders>
              <w:top w:val="nil"/>
              <w:left w:val="nil"/>
              <w:bottom w:val="nil"/>
              <w:right w:val="nil"/>
            </w:tcBorders>
            <w:shd w:val="clear" w:color="auto" w:fill="auto"/>
            <w:noWrap/>
            <w:vAlign w:val="bottom"/>
            <w:hideMark/>
          </w:tcPr>
          <w:p w14:paraId="6F445BC7" w14:textId="77777777" w:rsidR="00827B00" w:rsidRPr="00795367" w:rsidRDefault="00827B00" w:rsidP="003B7808">
            <w:pPr>
              <w:spacing w:after="0" w:line="240" w:lineRule="auto"/>
              <w:rPr>
                <w:rFonts w:cs="Calibri"/>
                <w:color w:val="000000"/>
                <w:sz w:val="18"/>
                <w:szCs w:val="18"/>
              </w:rPr>
            </w:pPr>
          </w:p>
        </w:tc>
        <w:tc>
          <w:tcPr>
            <w:tcW w:w="850" w:type="dxa"/>
            <w:tcBorders>
              <w:top w:val="nil"/>
              <w:left w:val="nil"/>
              <w:bottom w:val="nil"/>
              <w:right w:val="nil"/>
            </w:tcBorders>
            <w:shd w:val="clear" w:color="auto" w:fill="auto"/>
            <w:noWrap/>
            <w:vAlign w:val="bottom"/>
            <w:hideMark/>
          </w:tcPr>
          <w:p w14:paraId="2C81C8D8" w14:textId="77777777" w:rsidR="00827B00" w:rsidRPr="00795367" w:rsidRDefault="00827B00" w:rsidP="003B7808">
            <w:pPr>
              <w:spacing w:after="0" w:line="240" w:lineRule="auto"/>
              <w:rPr>
                <w:sz w:val="18"/>
                <w:szCs w:val="18"/>
              </w:rPr>
            </w:pPr>
          </w:p>
        </w:tc>
        <w:tc>
          <w:tcPr>
            <w:tcW w:w="819" w:type="dxa"/>
            <w:tcBorders>
              <w:top w:val="nil"/>
              <w:left w:val="nil"/>
              <w:bottom w:val="nil"/>
              <w:right w:val="nil"/>
            </w:tcBorders>
            <w:shd w:val="clear" w:color="auto" w:fill="auto"/>
            <w:noWrap/>
            <w:vAlign w:val="bottom"/>
            <w:hideMark/>
          </w:tcPr>
          <w:p w14:paraId="0A02E183" w14:textId="77777777" w:rsidR="00827B00" w:rsidRPr="00795367" w:rsidRDefault="00827B00" w:rsidP="003B7808">
            <w:pPr>
              <w:spacing w:after="0" w:line="240" w:lineRule="auto"/>
              <w:rPr>
                <w:sz w:val="18"/>
                <w:szCs w:val="18"/>
              </w:rPr>
            </w:pPr>
          </w:p>
        </w:tc>
        <w:tc>
          <w:tcPr>
            <w:tcW w:w="881" w:type="dxa"/>
            <w:tcBorders>
              <w:top w:val="nil"/>
              <w:left w:val="nil"/>
              <w:bottom w:val="nil"/>
              <w:right w:val="nil"/>
            </w:tcBorders>
            <w:shd w:val="clear" w:color="auto" w:fill="auto"/>
            <w:noWrap/>
            <w:vAlign w:val="bottom"/>
            <w:hideMark/>
          </w:tcPr>
          <w:p w14:paraId="2B92064E" w14:textId="77777777" w:rsidR="00827B00" w:rsidRPr="00795367" w:rsidRDefault="00827B00" w:rsidP="003B7808">
            <w:pPr>
              <w:spacing w:after="0" w:line="240" w:lineRule="auto"/>
              <w:rPr>
                <w:sz w:val="18"/>
                <w:szCs w:val="18"/>
              </w:rPr>
            </w:pPr>
          </w:p>
        </w:tc>
        <w:tc>
          <w:tcPr>
            <w:tcW w:w="957" w:type="dxa"/>
            <w:tcBorders>
              <w:top w:val="nil"/>
              <w:left w:val="nil"/>
              <w:bottom w:val="nil"/>
              <w:right w:val="nil"/>
            </w:tcBorders>
            <w:shd w:val="clear" w:color="auto" w:fill="auto"/>
            <w:noWrap/>
            <w:vAlign w:val="bottom"/>
            <w:hideMark/>
          </w:tcPr>
          <w:p w14:paraId="1C089C28" w14:textId="77777777" w:rsidR="00827B00" w:rsidRPr="00795367" w:rsidRDefault="00827B00" w:rsidP="003B7808">
            <w:pPr>
              <w:spacing w:after="0" w:line="240" w:lineRule="auto"/>
              <w:rPr>
                <w:sz w:val="18"/>
                <w:szCs w:val="18"/>
              </w:rPr>
            </w:pPr>
          </w:p>
        </w:tc>
        <w:tc>
          <w:tcPr>
            <w:tcW w:w="886" w:type="dxa"/>
            <w:tcBorders>
              <w:top w:val="nil"/>
              <w:left w:val="nil"/>
              <w:bottom w:val="nil"/>
              <w:right w:val="nil"/>
            </w:tcBorders>
            <w:shd w:val="clear" w:color="auto" w:fill="auto"/>
            <w:noWrap/>
            <w:vAlign w:val="bottom"/>
            <w:hideMark/>
          </w:tcPr>
          <w:p w14:paraId="115B5864" w14:textId="77777777" w:rsidR="00827B00" w:rsidRPr="00795367" w:rsidRDefault="00827B00" w:rsidP="003B7808">
            <w:pPr>
              <w:spacing w:after="0" w:line="240" w:lineRule="auto"/>
              <w:rPr>
                <w:sz w:val="18"/>
                <w:szCs w:val="18"/>
              </w:rPr>
            </w:pPr>
          </w:p>
        </w:tc>
        <w:tc>
          <w:tcPr>
            <w:tcW w:w="819" w:type="dxa"/>
            <w:tcBorders>
              <w:top w:val="nil"/>
              <w:left w:val="nil"/>
              <w:bottom w:val="nil"/>
              <w:right w:val="nil"/>
            </w:tcBorders>
            <w:shd w:val="clear" w:color="auto" w:fill="auto"/>
            <w:noWrap/>
            <w:vAlign w:val="bottom"/>
            <w:hideMark/>
          </w:tcPr>
          <w:p w14:paraId="785AAE18"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0,186***</w:t>
            </w:r>
          </w:p>
        </w:tc>
        <w:tc>
          <w:tcPr>
            <w:tcW w:w="886" w:type="dxa"/>
            <w:tcBorders>
              <w:top w:val="nil"/>
              <w:left w:val="nil"/>
              <w:bottom w:val="nil"/>
              <w:right w:val="nil"/>
            </w:tcBorders>
            <w:shd w:val="clear" w:color="auto" w:fill="auto"/>
            <w:noWrap/>
            <w:vAlign w:val="bottom"/>
            <w:hideMark/>
          </w:tcPr>
          <w:p w14:paraId="49D5D0A5"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0,186***</w:t>
            </w:r>
          </w:p>
        </w:tc>
        <w:tc>
          <w:tcPr>
            <w:tcW w:w="982" w:type="dxa"/>
            <w:tcBorders>
              <w:top w:val="nil"/>
              <w:left w:val="nil"/>
              <w:bottom w:val="nil"/>
              <w:right w:val="nil"/>
            </w:tcBorders>
            <w:vAlign w:val="bottom"/>
          </w:tcPr>
          <w:p w14:paraId="2AB22295" w14:textId="77777777" w:rsidR="00827B00" w:rsidRPr="00795367" w:rsidRDefault="00827B00" w:rsidP="003B7808">
            <w:pPr>
              <w:spacing w:after="0" w:line="240" w:lineRule="auto"/>
              <w:rPr>
                <w:rFonts w:cs="Calibri"/>
                <w:color w:val="000000"/>
                <w:sz w:val="18"/>
                <w:szCs w:val="18"/>
              </w:rPr>
            </w:pPr>
          </w:p>
        </w:tc>
        <w:tc>
          <w:tcPr>
            <w:tcW w:w="820" w:type="dxa"/>
            <w:tcBorders>
              <w:top w:val="nil"/>
              <w:left w:val="nil"/>
              <w:bottom w:val="nil"/>
              <w:right w:val="nil"/>
            </w:tcBorders>
            <w:shd w:val="clear" w:color="auto" w:fill="auto"/>
            <w:noWrap/>
            <w:vAlign w:val="bottom"/>
            <w:hideMark/>
          </w:tcPr>
          <w:p w14:paraId="0EE58367" w14:textId="77777777" w:rsidR="00827B00" w:rsidRPr="00795367" w:rsidRDefault="00827B00" w:rsidP="003B7808">
            <w:pPr>
              <w:spacing w:after="0" w:line="240" w:lineRule="auto"/>
              <w:rPr>
                <w:sz w:val="18"/>
                <w:szCs w:val="18"/>
              </w:rPr>
            </w:pPr>
          </w:p>
        </w:tc>
        <w:tc>
          <w:tcPr>
            <w:tcW w:w="823" w:type="dxa"/>
            <w:tcBorders>
              <w:top w:val="nil"/>
              <w:left w:val="nil"/>
              <w:bottom w:val="nil"/>
              <w:right w:val="single" w:sz="4" w:space="0" w:color="auto"/>
            </w:tcBorders>
            <w:shd w:val="clear" w:color="auto" w:fill="auto"/>
            <w:noWrap/>
            <w:vAlign w:val="bottom"/>
            <w:hideMark/>
          </w:tcPr>
          <w:p w14:paraId="15EEAEA8" w14:textId="77777777" w:rsidR="00827B00" w:rsidRPr="00795367" w:rsidRDefault="00827B00" w:rsidP="003B7808">
            <w:pPr>
              <w:spacing w:after="0" w:line="240" w:lineRule="auto"/>
              <w:rPr>
                <w:rFonts w:cs="Calibri"/>
                <w:color w:val="000000"/>
                <w:sz w:val="18"/>
                <w:szCs w:val="18"/>
              </w:rPr>
            </w:pPr>
          </w:p>
        </w:tc>
      </w:tr>
      <w:tr w:rsidR="00827B00" w:rsidRPr="0020638D" w14:paraId="4E03BE52" w14:textId="77777777" w:rsidTr="003B7808">
        <w:trPr>
          <w:trHeight w:val="283"/>
        </w:trPr>
        <w:tc>
          <w:tcPr>
            <w:tcW w:w="3964" w:type="dxa"/>
            <w:tcBorders>
              <w:top w:val="nil"/>
              <w:left w:val="single" w:sz="4" w:space="0" w:color="auto"/>
              <w:bottom w:val="nil"/>
              <w:right w:val="single" w:sz="4" w:space="0" w:color="auto"/>
            </w:tcBorders>
            <w:shd w:val="clear" w:color="auto" w:fill="auto"/>
            <w:noWrap/>
            <w:vAlign w:val="bottom"/>
            <w:hideMark/>
          </w:tcPr>
          <w:p w14:paraId="5B1B8713" w14:textId="77777777" w:rsidR="00827B00" w:rsidRPr="00795367" w:rsidRDefault="00827B00" w:rsidP="003B7808">
            <w:pPr>
              <w:spacing w:after="0" w:line="240" w:lineRule="auto"/>
              <w:rPr>
                <w:rFonts w:eastAsia="Times New Roman" w:cs="Calibri"/>
                <w:b/>
                <w:bCs/>
                <w:color w:val="000000"/>
                <w:sz w:val="18"/>
                <w:szCs w:val="18"/>
                <w:lang w:eastAsia="sk-SK"/>
              </w:rPr>
            </w:pPr>
            <w:r w:rsidRPr="00795367">
              <w:rPr>
                <w:rFonts w:eastAsia="Times New Roman" w:cs="Calibri"/>
                <w:b/>
                <w:bCs/>
                <w:color w:val="000000"/>
                <w:sz w:val="18"/>
                <w:szCs w:val="18"/>
                <w:lang w:eastAsia="sk-SK"/>
              </w:rPr>
              <w:t>Prepoč. počet nepedagog. zam.</w:t>
            </w:r>
          </w:p>
        </w:tc>
        <w:tc>
          <w:tcPr>
            <w:tcW w:w="858" w:type="dxa"/>
            <w:tcBorders>
              <w:top w:val="nil"/>
              <w:left w:val="nil"/>
              <w:bottom w:val="nil"/>
              <w:right w:val="nil"/>
            </w:tcBorders>
            <w:shd w:val="clear" w:color="auto" w:fill="auto"/>
            <w:noWrap/>
            <w:vAlign w:val="bottom"/>
            <w:hideMark/>
          </w:tcPr>
          <w:p w14:paraId="4A19C6A9" w14:textId="77777777" w:rsidR="00827B00" w:rsidRPr="00795367" w:rsidRDefault="00827B00" w:rsidP="003B7808">
            <w:pPr>
              <w:spacing w:after="0" w:line="240" w:lineRule="auto"/>
              <w:rPr>
                <w:rFonts w:cs="Calibri"/>
                <w:color w:val="000000"/>
                <w:sz w:val="18"/>
                <w:szCs w:val="18"/>
              </w:rPr>
            </w:pPr>
          </w:p>
        </w:tc>
        <w:tc>
          <w:tcPr>
            <w:tcW w:w="850" w:type="dxa"/>
            <w:tcBorders>
              <w:top w:val="nil"/>
              <w:left w:val="nil"/>
              <w:bottom w:val="nil"/>
              <w:right w:val="nil"/>
            </w:tcBorders>
            <w:shd w:val="clear" w:color="auto" w:fill="auto"/>
            <w:noWrap/>
            <w:vAlign w:val="bottom"/>
            <w:hideMark/>
          </w:tcPr>
          <w:p w14:paraId="59E70FC5" w14:textId="77777777" w:rsidR="00827B00" w:rsidRPr="00795367" w:rsidRDefault="00827B00" w:rsidP="003B7808">
            <w:pPr>
              <w:spacing w:after="0" w:line="240" w:lineRule="auto"/>
              <w:rPr>
                <w:sz w:val="18"/>
                <w:szCs w:val="18"/>
              </w:rPr>
            </w:pPr>
          </w:p>
        </w:tc>
        <w:tc>
          <w:tcPr>
            <w:tcW w:w="819" w:type="dxa"/>
            <w:tcBorders>
              <w:top w:val="nil"/>
              <w:left w:val="nil"/>
              <w:bottom w:val="nil"/>
              <w:right w:val="nil"/>
            </w:tcBorders>
            <w:shd w:val="clear" w:color="auto" w:fill="auto"/>
            <w:noWrap/>
            <w:vAlign w:val="bottom"/>
            <w:hideMark/>
          </w:tcPr>
          <w:p w14:paraId="1054D242" w14:textId="77777777" w:rsidR="00827B00" w:rsidRPr="00795367" w:rsidRDefault="00827B00" w:rsidP="003B7808">
            <w:pPr>
              <w:spacing w:after="0" w:line="240" w:lineRule="auto"/>
              <w:rPr>
                <w:sz w:val="18"/>
                <w:szCs w:val="18"/>
              </w:rPr>
            </w:pPr>
          </w:p>
        </w:tc>
        <w:tc>
          <w:tcPr>
            <w:tcW w:w="881" w:type="dxa"/>
            <w:tcBorders>
              <w:top w:val="nil"/>
              <w:left w:val="nil"/>
              <w:bottom w:val="nil"/>
              <w:right w:val="nil"/>
            </w:tcBorders>
            <w:shd w:val="clear" w:color="auto" w:fill="auto"/>
            <w:noWrap/>
            <w:vAlign w:val="bottom"/>
            <w:hideMark/>
          </w:tcPr>
          <w:p w14:paraId="2112F1B7" w14:textId="77777777" w:rsidR="00827B00" w:rsidRPr="00795367" w:rsidRDefault="00827B00" w:rsidP="003B7808">
            <w:pPr>
              <w:spacing w:after="0" w:line="240" w:lineRule="auto"/>
              <w:rPr>
                <w:sz w:val="18"/>
                <w:szCs w:val="18"/>
              </w:rPr>
            </w:pPr>
          </w:p>
        </w:tc>
        <w:tc>
          <w:tcPr>
            <w:tcW w:w="957" w:type="dxa"/>
            <w:tcBorders>
              <w:top w:val="nil"/>
              <w:left w:val="nil"/>
              <w:bottom w:val="nil"/>
              <w:right w:val="nil"/>
            </w:tcBorders>
            <w:shd w:val="clear" w:color="auto" w:fill="auto"/>
            <w:noWrap/>
            <w:vAlign w:val="bottom"/>
            <w:hideMark/>
          </w:tcPr>
          <w:p w14:paraId="6ECFB4BF" w14:textId="77777777" w:rsidR="00827B00" w:rsidRPr="00795367" w:rsidRDefault="00827B00" w:rsidP="003B7808">
            <w:pPr>
              <w:spacing w:after="0" w:line="240" w:lineRule="auto"/>
              <w:rPr>
                <w:sz w:val="18"/>
                <w:szCs w:val="18"/>
              </w:rPr>
            </w:pPr>
          </w:p>
        </w:tc>
        <w:tc>
          <w:tcPr>
            <w:tcW w:w="886" w:type="dxa"/>
            <w:tcBorders>
              <w:top w:val="nil"/>
              <w:left w:val="nil"/>
              <w:bottom w:val="nil"/>
              <w:right w:val="nil"/>
            </w:tcBorders>
            <w:shd w:val="clear" w:color="auto" w:fill="auto"/>
            <w:noWrap/>
            <w:vAlign w:val="bottom"/>
            <w:hideMark/>
          </w:tcPr>
          <w:p w14:paraId="3155F73A" w14:textId="77777777" w:rsidR="00827B00" w:rsidRPr="00795367" w:rsidRDefault="00827B00" w:rsidP="003B7808">
            <w:pPr>
              <w:spacing w:after="0" w:line="240" w:lineRule="auto"/>
              <w:rPr>
                <w:sz w:val="18"/>
                <w:szCs w:val="18"/>
              </w:rPr>
            </w:pPr>
          </w:p>
        </w:tc>
        <w:tc>
          <w:tcPr>
            <w:tcW w:w="819" w:type="dxa"/>
            <w:tcBorders>
              <w:top w:val="nil"/>
              <w:left w:val="nil"/>
              <w:bottom w:val="nil"/>
              <w:right w:val="nil"/>
            </w:tcBorders>
            <w:shd w:val="clear" w:color="auto" w:fill="auto"/>
            <w:noWrap/>
            <w:vAlign w:val="bottom"/>
            <w:hideMark/>
          </w:tcPr>
          <w:p w14:paraId="49FA3F04"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0,146***</w:t>
            </w:r>
          </w:p>
        </w:tc>
        <w:tc>
          <w:tcPr>
            <w:tcW w:w="886" w:type="dxa"/>
            <w:tcBorders>
              <w:top w:val="nil"/>
              <w:left w:val="nil"/>
              <w:bottom w:val="nil"/>
              <w:right w:val="nil"/>
            </w:tcBorders>
            <w:shd w:val="clear" w:color="auto" w:fill="auto"/>
            <w:noWrap/>
            <w:vAlign w:val="bottom"/>
            <w:hideMark/>
          </w:tcPr>
          <w:p w14:paraId="20505937"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0,144***</w:t>
            </w:r>
          </w:p>
        </w:tc>
        <w:tc>
          <w:tcPr>
            <w:tcW w:w="982" w:type="dxa"/>
            <w:tcBorders>
              <w:top w:val="nil"/>
              <w:left w:val="nil"/>
              <w:bottom w:val="nil"/>
              <w:right w:val="nil"/>
            </w:tcBorders>
            <w:vAlign w:val="bottom"/>
          </w:tcPr>
          <w:p w14:paraId="457B67E0" w14:textId="77777777" w:rsidR="00827B00" w:rsidRPr="00795367" w:rsidRDefault="00827B00" w:rsidP="003B7808">
            <w:pPr>
              <w:spacing w:after="0" w:line="240" w:lineRule="auto"/>
              <w:rPr>
                <w:rFonts w:cs="Calibri"/>
                <w:color w:val="000000"/>
                <w:sz w:val="18"/>
                <w:szCs w:val="18"/>
              </w:rPr>
            </w:pPr>
          </w:p>
        </w:tc>
        <w:tc>
          <w:tcPr>
            <w:tcW w:w="820" w:type="dxa"/>
            <w:tcBorders>
              <w:top w:val="nil"/>
              <w:left w:val="nil"/>
              <w:bottom w:val="nil"/>
              <w:right w:val="nil"/>
            </w:tcBorders>
            <w:shd w:val="clear" w:color="auto" w:fill="auto"/>
            <w:noWrap/>
            <w:vAlign w:val="bottom"/>
            <w:hideMark/>
          </w:tcPr>
          <w:p w14:paraId="2A4CCE80" w14:textId="77777777" w:rsidR="00827B00" w:rsidRPr="00795367" w:rsidRDefault="00827B00" w:rsidP="003B7808">
            <w:pPr>
              <w:spacing w:after="0" w:line="240" w:lineRule="auto"/>
              <w:rPr>
                <w:sz w:val="18"/>
                <w:szCs w:val="18"/>
              </w:rPr>
            </w:pPr>
          </w:p>
        </w:tc>
        <w:tc>
          <w:tcPr>
            <w:tcW w:w="823" w:type="dxa"/>
            <w:tcBorders>
              <w:top w:val="nil"/>
              <w:left w:val="nil"/>
              <w:bottom w:val="nil"/>
              <w:right w:val="single" w:sz="4" w:space="0" w:color="auto"/>
            </w:tcBorders>
            <w:shd w:val="clear" w:color="auto" w:fill="auto"/>
            <w:noWrap/>
            <w:vAlign w:val="bottom"/>
            <w:hideMark/>
          </w:tcPr>
          <w:p w14:paraId="5F9ABAF9" w14:textId="77777777" w:rsidR="00827B00" w:rsidRPr="00795367" w:rsidRDefault="00827B00" w:rsidP="003B7808">
            <w:pPr>
              <w:spacing w:after="0" w:line="240" w:lineRule="auto"/>
              <w:rPr>
                <w:rFonts w:cs="Calibri"/>
                <w:color w:val="000000"/>
                <w:sz w:val="18"/>
                <w:szCs w:val="18"/>
              </w:rPr>
            </w:pPr>
          </w:p>
        </w:tc>
      </w:tr>
      <w:tr w:rsidR="00827B00" w:rsidRPr="0020638D" w14:paraId="1C89AD5F" w14:textId="77777777" w:rsidTr="003B7808">
        <w:trPr>
          <w:trHeight w:val="283"/>
        </w:trPr>
        <w:tc>
          <w:tcPr>
            <w:tcW w:w="3964" w:type="dxa"/>
            <w:tcBorders>
              <w:top w:val="nil"/>
              <w:left w:val="single" w:sz="4" w:space="0" w:color="auto"/>
              <w:bottom w:val="nil"/>
              <w:right w:val="single" w:sz="4" w:space="0" w:color="auto"/>
            </w:tcBorders>
            <w:shd w:val="clear" w:color="auto" w:fill="auto"/>
            <w:noWrap/>
            <w:vAlign w:val="bottom"/>
          </w:tcPr>
          <w:p w14:paraId="00A91DCB" w14:textId="77777777" w:rsidR="00827B00" w:rsidRPr="00795367" w:rsidRDefault="00827B00" w:rsidP="003B7808">
            <w:pPr>
              <w:spacing w:after="0" w:line="240" w:lineRule="auto"/>
              <w:rPr>
                <w:rFonts w:eastAsia="Times New Roman" w:cs="Calibri"/>
                <w:b/>
                <w:bCs/>
                <w:color w:val="000000"/>
                <w:sz w:val="18"/>
                <w:szCs w:val="18"/>
                <w:lang w:eastAsia="sk-SK"/>
              </w:rPr>
            </w:pPr>
            <w:r w:rsidRPr="00795367">
              <w:rPr>
                <w:rFonts w:eastAsia="Times New Roman" w:cs="Calibri"/>
                <w:b/>
                <w:bCs/>
                <w:color w:val="000000"/>
                <w:sz w:val="18"/>
                <w:szCs w:val="18"/>
                <w:lang w:eastAsia="sk-SK"/>
              </w:rPr>
              <w:t>Prepoč. počet asistentov učiteľa</w:t>
            </w:r>
          </w:p>
        </w:tc>
        <w:tc>
          <w:tcPr>
            <w:tcW w:w="858" w:type="dxa"/>
            <w:tcBorders>
              <w:top w:val="nil"/>
              <w:left w:val="nil"/>
              <w:bottom w:val="nil"/>
              <w:right w:val="nil"/>
            </w:tcBorders>
            <w:shd w:val="clear" w:color="auto" w:fill="auto"/>
            <w:noWrap/>
            <w:vAlign w:val="bottom"/>
          </w:tcPr>
          <w:p w14:paraId="72E8AB97" w14:textId="77777777" w:rsidR="00827B00" w:rsidRPr="00795367" w:rsidRDefault="00827B00" w:rsidP="003B7808">
            <w:pPr>
              <w:spacing w:after="0" w:line="240" w:lineRule="auto"/>
              <w:rPr>
                <w:rFonts w:cs="Calibri"/>
                <w:color w:val="000000"/>
                <w:sz w:val="18"/>
                <w:szCs w:val="18"/>
              </w:rPr>
            </w:pPr>
          </w:p>
        </w:tc>
        <w:tc>
          <w:tcPr>
            <w:tcW w:w="850" w:type="dxa"/>
            <w:tcBorders>
              <w:top w:val="nil"/>
              <w:left w:val="nil"/>
              <w:bottom w:val="nil"/>
              <w:right w:val="nil"/>
            </w:tcBorders>
            <w:shd w:val="clear" w:color="auto" w:fill="auto"/>
            <w:noWrap/>
            <w:vAlign w:val="bottom"/>
          </w:tcPr>
          <w:p w14:paraId="630BBE8F" w14:textId="77777777" w:rsidR="00827B00" w:rsidRPr="00795367" w:rsidRDefault="00827B00" w:rsidP="003B7808">
            <w:pPr>
              <w:spacing w:after="0" w:line="240" w:lineRule="auto"/>
              <w:rPr>
                <w:sz w:val="18"/>
                <w:szCs w:val="18"/>
              </w:rPr>
            </w:pPr>
          </w:p>
        </w:tc>
        <w:tc>
          <w:tcPr>
            <w:tcW w:w="819" w:type="dxa"/>
            <w:tcBorders>
              <w:top w:val="nil"/>
              <w:left w:val="nil"/>
              <w:bottom w:val="nil"/>
              <w:right w:val="nil"/>
            </w:tcBorders>
            <w:shd w:val="clear" w:color="auto" w:fill="auto"/>
            <w:noWrap/>
            <w:vAlign w:val="bottom"/>
          </w:tcPr>
          <w:p w14:paraId="549A5F52" w14:textId="77777777" w:rsidR="00827B00" w:rsidRPr="00795367" w:rsidRDefault="00827B00" w:rsidP="003B7808">
            <w:pPr>
              <w:spacing w:after="0" w:line="240" w:lineRule="auto"/>
              <w:rPr>
                <w:sz w:val="18"/>
                <w:szCs w:val="18"/>
              </w:rPr>
            </w:pPr>
          </w:p>
        </w:tc>
        <w:tc>
          <w:tcPr>
            <w:tcW w:w="881" w:type="dxa"/>
            <w:tcBorders>
              <w:top w:val="nil"/>
              <w:left w:val="nil"/>
              <w:bottom w:val="nil"/>
              <w:right w:val="nil"/>
            </w:tcBorders>
            <w:shd w:val="clear" w:color="auto" w:fill="auto"/>
            <w:noWrap/>
            <w:vAlign w:val="bottom"/>
          </w:tcPr>
          <w:p w14:paraId="4147B1CB" w14:textId="77777777" w:rsidR="00827B00" w:rsidRPr="00795367" w:rsidRDefault="00827B00" w:rsidP="003B7808">
            <w:pPr>
              <w:spacing w:after="0" w:line="240" w:lineRule="auto"/>
              <w:rPr>
                <w:sz w:val="18"/>
                <w:szCs w:val="18"/>
              </w:rPr>
            </w:pPr>
          </w:p>
        </w:tc>
        <w:tc>
          <w:tcPr>
            <w:tcW w:w="957" w:type="dxa"/>
            <w:tcBorders>
              <w:top w:val="nil"/>
              <w:left w:val="nil"/>
              <w:bottom w:val="nil"/>
              <w:right w:val="nil"/>
            </w:tcBorders>
            <w:shd w:val="clear" w:color="auto" w:fill="auto"/>
            <w:noWrap/>
            <w:vAlign w:val="bottom"/>
          </w:tcPr>
          <w:p w14:paraId="767C8CE3" w14:textId="77777777" w:rsidR="00827B00" w:rsidRPr="00795367" w:rsidRDefault="00827B00" w:rsidP="003B7808">
            <w:pPr>
              <w:spacing w:after="0" w:line="240" w:lineRule="auto"/>
              <w:rPr>
                <w:sz w:val="18"/>
                <w:szCs w:val="18"/>
              </w:rPr>
            </w:pPr>
          </w:p>
        </w:tc>
        <w:tc>
          <w:tcPr>
            <w:tcW w:w="886" w:type="dxa"/>
            <w:tcBorders>
              <w:top w:val="nil"/>
              <w:left w:val="nil"/>
              <w:bottom w:val="nil"/>
              <w:right w:val="nil"/>
            </w:tcBorders>
            <w:shd w:val="clear" w:color="auto" w:fill="auto"/>
            <w:noWrap/>
            <w:vAlign w:val="bottom"/>
          </w:tcPr>
          <w:p w14:paraId="2335DFFF" w14:textId="77777777" w:rsidR="00827B00" w:rsidRPr="00795367" w:rsidRDefault="00827B00" w:rsidP="003B7808">
            <w:pPr>
              <w:spacing w:after="0" w:line="240" w:lineRule="auto"/>
              <w:rPr>
                <w:sz w:val="18"/>
                <w:szCs w:val="18"/>
              </w:rPr>
            </w:pPr>
          </w:p>
        </w:tc>
        <w:tc>
          <w:tcPr>
            <w:tcW w:w="819" w:type="dxa"/>
            <w:tcBorders>
              <w:top w:val="nil"/>
              <w:left w:val="nil"/>
              <w:bottom w:val="nil"/>
              <w:right w:val="nil"/>
            </w:tcBorders>
            <w:shd w:val="clear" w:color="auto" w:fill="auto"/>
            <w:noWrap/>
            <w:vAlign w:val="bottom"/>
          </w:tcPr>
          <w:p w14:paraId="64DEF31B"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0,013*</w:t>
            </w:r>
          </w:p>
        </w:tc>
        <w:tc>
          <w:tcPr>
            <w:tcW w:w="886" w:type="dxa"/>
            <w:tcBorders>
              <w:top w:val="nil"/>
              <w:left w:val="nil"/>
              <w:bottom w:val="nil"/>
              <w:right w:val="nil"/>
            </w:tcBorders>
            <w:shd w:val="clear" w:color="auto" w:fill="auto"/>
            <w:noWrap/>
            <w:vAlign w:val="bottom"/>
          </w:tcPr>
          <w:p w14:paraId="582138DC"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0,013</w:t>
            </w:r>
          </w:p>
        </w:tc>
        <w:tc>
          <w:tcPr>
            <w:tcW w:w="982" w:type="dxa"/>
            <w:tcBorders>
              <w:top w:val="nil"/>
              <w:left w:val="nil"/>
              <w:bottom w:val="nil"/>
              <w:right w:val="nil"/>
            </w:tcBorders>
            <w:vAlign w:val="bottom"/>
          </w:tcPr>
          <w:p w14:paraId="0D8F38E6" w14:textId="77777777" w:rsidR="00827B00" w:rsidRPr="00795367" w:rsidRDefault="00827B00" w:rsidP="003B7808">
            <w:pPr>
              <w:spacing w:after="0" w:line="240" w:lineRule="auto"/>
              <w:rPr>
                <w:rFonts w:cs="Calibri"/>
                <w:color w:val="000000"/>
                <w:sz w:val="18"/>
                <w:szCs w:val="18"/>
              </w:rPr>
            </w:pPr>
          </w:p>
        </w:tc>
        <w:tc>
          <w:tcPr>
            <w:tcW w:w="820" w:type="dxa"/>
            <w:tcBorders>
              <w:top w:val="nil"/>
              <w:left w:val="nil"/>
              <w:bottom w:val="nil"/>
              <w:right w:val="nil"/>
            </w:tcBorders>
            <w:shd w:val="clear" w:color="auto" w:fill="auto"/>
            <w:noWrap/>
            <w:vAlign w:val="bottom"/>
          </w:tcPr>
          <w:p w14:paraId="4A869563" w14:textId="77777777" w:rsidR="00827B00" w:rsidRPr="00795367" w:rsidRDefault="00827B00" w:rsidP="003B7808">
            <w:pPr>
              <w:spacing w:after="0" w:line="240" w:lineRule="auto"/>
              <w:rPr>
                <w:sz w:val="18"/>
                <w:szCs w:val="18"/>
              </w:rPr>
            </w:pPr>
          </w:p>
        </w:tc>
        <w:tc>
          <w:tcPr>
            <w:tcW w:w="823" w:type="dxa"/>
            <w:tcBorders>
              <w:top w:val="nil"/>
              <w:left w:val="nil"/>
              <w:bottom w:val="nil"/>
              <w:right w:val="single" w:sz="4" w:space="0" w:color="auto"/>
            </w:tcBorders>
            <w:shd w:val="clear" w:color="auto" w:fill="auto"/>
            <w:noWrap/>
            <w:vAlign w:val="bottom"/>
          </w:tcPr>
          <w:p w14:paraId="281DDBE5" w14:textId="77777777" w:rsidR="00827B00" w:rsidRPr="00795367" w:rsidRDefault="00827B00" w:rsidP="003B7808">
            <w:pPr>
              <w:spacing w:after="0" w:line="240" w:lineRule="auto"/>
              <w:rPr>
                <w:rFonts w:cs="Calibri"/>
                <w:color w:val="000000"/>
                <w:sz w:val="18"/>
                <w:szCs w:val="18"/>
              </w:rPr>
            </w:pPr>
          </w:p>
        </w:tc>
      </w:tr>
      <w:tr w:rsidR="00827B00" w:rsidRPr="0020638D" w14:paraId="14C343E0" w14:textId="77777777" w:rsidTr="003B7808">
        <w:trPr>
          <w:trHeight w:val="283"/>
        </w:trPr>
        <w:tc>
          <w:tcPr>
            <w:tcW w:w="3964" w:type="dxa"/>
            <w:tcBorders>
              <w:top w:val="nil"/>
              <w:left w:val="single" w:sz="4" w:space="0" w:color="auto"/>
              <w:bottom w:val="nil"/>
              <w:right w:val="single" w:sz="4" w:space="0" w:color="auto"/>
            </w:tcBorders>
            <w:shd w:val="clear" w:color="auto" w:fill="auto"/>
            <w:noWrap/>
            <w:vAlign w:val="bottom"/>
            <w:hideMark/>
          </w:tcPr>
          <w:p w14:paraId="68CCCC6F" w14:textId="77777777" w:rsidR="00827B00" w:rsidRPr="00795367" w:rsidRDefault="00827B00" w:rsidP="003B7808">
            <w:pPr>
              <w:spacing w:after="0" w:line="240" w:lineRule="auto"/>
              <w:rPr>
                <w:rFonts w:eastAsia="Times New Roman" w:cs="Calibri"/>
                <w:b/>
                <w:bCs/>
                <w:color w:val="000000"/>
                <w:sz w:val="18"/>
                <w:szCs w:val="18"/>
                <w:lang w:eastAsia="sk-SK"/>
              </w:rPr>
            </w:pPr>
            <w:r w:rsidRPr="00795367">
              <w:rPr>
                <w:rFonts w:eastAsia="Times New Roman" w:cs="Calibri"/>
                <w:b/>
                <w:bCs/>
                <w:color w:val="000000"/>
                <w:sz w:val="18"/>
                <w:szCs w:val="18"/>
                <w:lang w:eastAsia="sk-SK"/>
              </w:rPr>
              <w:t>Prepoč. počet začínajúcich ped. zam.</w:t>
            </w:r>
          </w:p>
        </w:tc>
        <w:tc>
          <w:tcPr>
            <w:tcW w:w="858" w:type="dxa"/>
            <w:tcBorders>
              <w:top w:val="nil"/>
              <w:left w:val="nil"/>
              <w:bottom w:val="nil"/>
              <w:right w:val="nil"/>
            </w:tcBorders>
            <w:shd w:val="clear" w:color="auto" w:fill="auto"/>
            <w:noWrap/>
            <w:vAlign w:val="bottom"/>
            <w:hideMark/>
          </w:tcPr>
          <w:p w14:paraId="13CB9DA3" w14:textId="77777777" w:rsidR="00827B00" w:rsidRPr="00795367" w:rsidRDefault="00827B00" w:rsidP="003B7808">
            <w:pPr>
              <w:spacing w:after="0" w:line="240" w:lineRule="auto"/>
              <w:rPr>
                <w:rFonts w:cs="Calibri"/>
                <w:color w:val="000000"/>
                <w:sz w:val="18"/>
                <w:szCs w:val="18"/>
              </w:rPr>
            </w:pPr>
          </w:p>
        </w:tc>
        <w:tc>
          <w:tcPr>
            <w:tcW w:w="850" w:type="dxa"/>
            <w:tcBorders>
              <w:top w:val="nil"/>
              <w:left w:val="nil"/>
              <w:bottom w:val="nil"/>
              <w:right w:val="nil"/>
            </w:tcBorders>
            <w:shd w:val="clear" w:color="auto" w:fill="auto"/>
            <w:noWrap/>
            <w:vAlign w:val="bottom"/>
            <w:hideMark/>
          </w:tcPr>
          <w:p w14:paraId="056B2B7E" w14:textId="77777777" w:rsidR="00827B00" w:rsidRPr="00795367" w:rsidRDefault="00827B00" w:rsidP="003B7808">
            <w:pPr>
              <w:spacing w:after="0" w:line="240" w:lineRule="auto"/>
              <w:rPr>
                <w:sz w:val="18"/>
                <w:szCs w:val="18"/>
              </w:rPr>
            </w:pPr>
          </w:p>
        </w:tc>
        <w:tc>
          <w:tcPr>
            <w:tcW w:w="819" w:type="dxa"/>
            <w:tcBorders>
              <w:top w:val="nil"/>
              <w:left w:val="nil"/>
              <w:bottom w:val="nil"/>
              <w:right w:val="nil"/>
            </w:tcBorders>
            <w:shd w:val="clear" w:color="auto" w:fill="auto"/>
            <w:noWrap/>
            <w:vAlign w:val="bottom"/>
            <w:hideMark/>
          </w:tcPr>
          <w:p w14:paraId="7B7039DE" w14:textId="77777777" w:rsidR="00827B00" w:rsidRPr="00795367" w:rsidRDefault="00827B00" w:rsidP="003B7808">
            <w:pPr>
              <w:spacing w:after="0" w:line="240" w:lineRule="auto"/>
              <w:rPr>
                <w:sz w:val="18"/>
                <w:szCs w:val="18"/>
              </w:rPr>
            </w:pPr>
          </w:p>
        </w:tc>
        <w:tc>
          <w:tcPr>
            <w:tcW w:w="881" w:type="dxa"/>
            <w:tcBorders>
              <w:top w:val="nil"/>
              <w:left w:val="nil"/>
              <w:bottom w:val="nil"/>
              <w:right w:val="nil"/>
            </w:tcBorders>
            <w:shd w:val="clear" w:color="auto" w:fill="auto"/>
            <w:noWrap/>
            <w:vAlign w:val="bottom"/>
            <w:hideMark/>
          </w:tcPr>
          <w:p w14:paraId="1B68E33A" w14:textId="77777777" w:rsidR="00827B00" w:rsidRPr="00795367" w:rsidRDefault="00827B00" w:rsidP="003B7808">
            <w:pPr>
              <w:spacing w:after="0" w:line="240" w:lineRule="auto"/>
              <w:rPr>
                <w:sz w:val="18"/>
                <w:szCs w:val="18"/>
              </w:rPr>
            </w:pPr>
          </w:p>
        </w:tc>
        <w:tc>
          <w:tcPr>
            <w:tcW w:w="957" w:type="dxa"/>
            <w:tcBorders>
              <w:top w:val="nil"/>
              <w:left w:val="nil"/>
              <w:bottom w:val="nil"/>
              <w:right w:val="nil"/>
            </w:tcBorders>
            <w:shd w:val="clear" w:color="auto" w:fill="auto"/>
            <w:noWrap/>
            <w:vAlign w:val="bottom"/>
            <w:hideMark/>
          </w:tcPr>
          <w:p w14:paraId="21E1D900" w14:textId="77777777" w:rsidR="00827B00" w:rsidRPr="00795367" w:rsidRDefault="00827B00" w:rsidP="003B7808">
            <w:pPr>
              <w:spacing w:after="0" w:line="240" w:lineRule="auto"/>
              <w:rPr>
                <w:sz w:val="18"/>
                <w:szCs w:val="18"/>
              </w:rPr>
            </w:pPr>
          </w:p>
        </w:tc>
        <w:tc>
          <w:tcPr>
            <w:tcW w:w="886" w:type="dxa"/>
            <w:tcBorders>
              <w:top w:val="nil"/>
              <w:left w:val="nil"/>
              <w:bottom w:val="nil"/>
              <w:right w:val="nil"/>
            </w:tcBorders>
            <w:shd w:val="clear" w:color="auto" w:fill="auto"/>
            <w:noWrap/>
            <w:vAlign w:val="bottom"/>
            <w:hideMark/>
          </w:tcPr>
          <w:p w14:paraId="704E9FED" w14:textId="77777777" w:rsidR="00827B00" w:rsidRPr="00795367" w:rsidRDefault="00827B00" w:rsidP="003B7808">
            <w:pPr>
              <w:spacing w:after="0" w:line="240" w:lineRule="auto"/>
              <w:rPr>
                <w:sz w:val="18"/>
                <w:szCs w:val="18"/>
              </w:rPr>
            </w:pPr>
          </w:p>
        </w:tc>
        <w:tc>
          <w:tcPr>
            <w:tcW w:w="819" w:type="dxa"/>
            <w:tcBorders>
              <w:top w:val="nil"/>
              <w:left w:val="nil"/>
              <w:bottom w:val="nil"/>
              <w:right w:val="nil"/>
            </w:tcBorders>
            <w:shd w:val="clear" w:color="auto" w:fill="auto"/>
            <w:noWrap/>
            <w:vAlign w:val="bottom"/>
            <w:hideMark/>
          </w:tcPr>
          <w:p w14:paraId="135A3984" w14:textId="77777777" w:rsidR="00827B00" w:rsidRPr="00795367" w:rsidRDefault="00827B00" w:rsidP="003B7808">
            <w:pPr>
              <w:spacing w:after="0" w:line="240" w:lineRule="auto"/>
              <w:rPr>
                <w:sz w:val="18"/>
                <w:szCs w:val="18"/>
              </w:rPr>
            </w:pPr>
            <w:r w:rsidRPr="00795367">
              <w:rPr>
                <w:rFonts w:cs="Calibri"/>
                <w:color w:val="000000"/>
                <w:sz w:val="18"/>
                <w:szCs w:val="18"/>
              </w:rPr>
              <w:t> </w:t>
            </w:r>
          </w:p>
        </w:tc>
        <w:tc>
          <w:tcPr>
            <w:tcW w:w="886" w:type="dxa"/>
            <w:tcBorders>
              <w:top w:val="nil"/>
              <w:left w:val="nil"/>
              <w:bottom w:val="nil"/>
              <w:right w:val="nil"/>
            </w:tcBorders>
            <w:shd w:val="clear" w:color="auto" w:fill="auto"/>
            <w:noWrap/>
            <w:vAlign w:val="bottom"/>
            <w:hideMark/>
          </w:tcPr>
          <w:p w14:paraId="075D3E85" w14:textId="77777777" w:rsidR="00827B00" w:rsidRPr="00795367" w:rsidRDefault="00827B00" w:rsidP="003B7808">
            <w:pPr>
              <w:spacing w:after="0" w:line="240" w:lineRule="auto"/>
              <w:rPr>
                <w:sz w:val="18"/>
                <w:szCs w:val="18"/>
              </w:rPr>
            </w:pPr>
            <w:r w:rsidRPr="00795367">
              <w:rPr>
                <w:rFonts w:cs="Calibri"/>
                <w:color w:val="000000"/>
                <w:sz w:val="18"/>
                <w:szCs w:val="18"/>
              </w:rPr>
              <w:t> </w:t>
            </w:r>
          </w:p>
        </w:tc>
        <w:tc>
          <w:tcPr>
            <w:tcW w:w="982" w:type="dxa"/>
            <w:tcBorders>
              <w:top w:val="nil"/>
              <w:left w:val="nil"/>
              <w:bottom w:val="nil"/>
              <w:right w:val="nil"/>
            </w:tcBorders>
            <w:vAlign w:val="bottom"/>
          </w:tcPr>
          <w:p w14:paraId="1F342552"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-0,037***</w:t>
            </w:r>
          </w:p>
        </w:tc>
        <w:tc>
          <w:tcPr>
            <w:tcW w:w="820" w:type="dxa"/>
            <w:tcBorders>
              <w:top w:val="nil"/>
              <w:left w:val="nil"/>
              <w:bottom w:val="nil"/>
              <w:right w:val="nil"/>
            </w:tcBorders>
            <w:shd w:val="clear" w:color="auto" w:fill="auto"/>
            <w:noWrap/>
            <w:vAlign w:val="bottom"/>
            <w:hideMark/>
          </w:tcPr>
          <w:p w14:paraId="2E888CB0" w14:textId="77777777" w:rsidR="00827B00" w:rsidRPr="00795367" w:rsidRDefault="00827B00" w:rsidP="003B7808">
            <w:pPr>
              <w:spacing w:after="0" w:line="240" w:lineRule="auto"/>
              <w:rPr>
                <w:rFonts w:cs="Calibri"/>
                <w:color w:val="000000"/>
                <w:sz w:val="18"/>
                <w:szCs w:val="18"/>
              </w:rPr>
            </w:pPr>
          </w:p>
        </w:tc>
        <w:tc>
          <w:tcPr>
            <w:tcW w:w="823" w:type="dxa"/>
            <w:tcBorders>
              <w:top w:val="nil"/>
              <w:left w:val="nil"/>
              <w:bottom w:val="nil"/>
              <w:right w:val="single" w:sz="4" w:space="0" w:color="auto"/>
            </w:tcBorders>
            <w:shd w:val="clear" w:color="auto" w:fill="auto"/>
            <w:noWrap/>
            <w:vAlign w:val="bottom"/>
            <w:hideMark/>
          </w:tcPr>
          <w:p w14:paraId="478A03DE" w14:textId="77777777" w:rsidR="00827B00" w:rsidRPr="00795367" w:rsidRDefault="00827B00" w:rsidP="003B7808">
            <w:pPr>
              <w:spacing w:after="0" w:line="240" w:lineRule="auto"/>
              <w:rPr>
                <w:rFonts w:cs="Calibri"/>
                <w:color w:val="000000"/>
                <w:sz w:val="18"/>
                <w:szCs w:val="18"/>
              </w:rPr>
            </w:pPr>
          </w:p>
        </w:tc>
      </w:tr>
      <w:tr w:rsidR="00827B00" w:rsidRPr="0020638D" w14:paraId="757EEAC2" w14:textId="77777777" w:rsidTr="003B7808">
        <w:trPr>
          <w:trHeight w:val="283"/>
        </w:trPr>
        <w:tc>
          <w:tcPr>
            <w:tcW w:w="3964" w:type="dxa"/>
            <w:tcBorders>
              <w:top w:val="nil"/>
              <w:left w:val="single" w:sz="4" w:space="0" w:color="auto"/>
              <w:bottom w:val="nil"/>
              <w:right w:val="single" w:sz="4" w:space="0" w:color="auto"/>
            </w:tcBorders>
            <w:shd w:val="clear" w:color="auto" w:fill="auto"/>
            <w:noWrap/>
            <w:vAlign w:val="bottom"/>
            <w:hideMark/>
          </w:tcPr>
          <w:p w14:paraId="220FB541" w14:textId="77777777" w:rsidR="00827B00" w:rsidRPr="00795367" w:rsidRDefault="00827B00" w:rsidP="003B7808">
            <w:pPr>
              <w:spacing w:after="0" w:line="240" w:lineRule="auto"/>
              <w:rPr>
                <w:rFonts w:eastAsia="Times New Roman" w:cs="Calibri"/>
                <w:b/>
                <w:bCs/>
                <w:color w:val="000000"/>
                <w:sz w:val="18"/>
                <w:szCs w:val="18"/>
                <w:lang w:eastAsia="sk-SK"/>
              </w:rPr>
            </w:pPr>
            <w:r w:rsidRPr="00795367">
              <w:rPr>
                <w:rFonts w:eastAsia="Times New Roman" w:cs="Calibri"/>
                <w:b/>
                <w:bCs/>
                <w:color w:val="000000"/>
                <w:sz w:val="18"/>
                <w:szCs w:val="18"/>
                <w:lang w:eastAsia="sk-SK"/>
              </w:rPr>
              <w:t>Prepoč. počet samostatných ped. zam.</w:t>
            </w:r>
          </w:p>
        </w:tc>
        <w:tc>
          <w:tcPr>
            <w:tcW w:w="858" w:type="dxa"/>
            <w:tcBorders>
              <w:top w:val="nil"/>
              <w:left w:val="nil"/>
              <w:bottom w:val="nil"/>
              <w:right w:val="nil"/>
            </w:tcBorders>
            <w:shd w:val="clear" w:color="auto" w:fill="auto"/>
            <w:noWrap/>
            <w:vAlign w:val="bottom"/>
            <w:hideMark/>
          </w:tcPr>
          <w:p w14:paraId="4FA94006" w14:textId="77777777" w:rsidR="00827B00" w:rsidRPr="00795367" w:rsidRDefault="00827B00" w:rsidP="003B7808">
            <w:pPr>
              <w:spacing w:after="0" w:line="240" w:lineRule="auto"/>
              <w:rPr>
                <w:rFonts w:cs="Calibri"/>
                <w:color w:val="000000"/>
                <w:sz w:val="18"/>
                <w:szCs w:val="18"/>
              </w:rPr>
            </w:pPr>
          </w:p>
        </w:tc>
        <w:tc>
          <w:tcPr>
            <w:tcW w:w="850" w:type="dxa"/>
            <w:tcBorders>
              <w:top w:val="nil"/>
              <w:left w:val="nil"/>
              <w:bottom w:val="nil"/>
              <w:right w:val="nil"/>
            </w:tcBorders>
            <w:shd w:val="clear" w:color="auto" w:fill="auto"/>
            <w:noWrap/>
            <w:vAlign w:val="bottom"/>
            <w:hideMark/>
          </w:tcPr>
          <w:p w14:paraId="2B0A15F9" w14:textId="77777777" w:rsidR="00827B00" w:rsidRPr="00795367" w:rsidRDefault="00827B00" w:rsidP="003B7808">
            <w:pPr>
              <w:spacing w:after="0" w:line="240" w:lineRule="auto"/>
              <w:rPr>
                <w:sz w:val="18"/>
                <w:szCs w:val="18"/>
              </w:rPr>
            </w:pPr>
          </w:p>
        </w:tc>
        <w:tc>
          <w:tcPr>
            <w:tcW w:w="819" w:type="dxa"/>
            <w:tcBorders>
              <w:top w:val="nil"/>
              <w:left w:val="nil"/>
              <w:bottom w:val="nil"/>
              <w:right w:val="nil"/>
            </w:tcBorders>
            <w:shd w:val="clear" w:color="auto" w:fill="auto"/>
            <w:noWrap/>
            <w:vAlign w:val="bottom"/>
            <w:hideMark/>
          </w:tcPr>
          <w:p w14:paraId="3CF9CB99" w14:textId="77777777" w:rsidR="00827B00" w:rsidRPr="00795367" w:rsidRDefault="00827B00" w:rsidP="003B7808">
            <w:pPr>
              <w:spacing w:after="0" w:line="240" w:lineRule="auto"/>
              <w:rPr>
                <w:sz w:val="18"/>
                <w:szCs w:val="18"/>
              </w:rPr>
            </w:pPr>
          </w:p>
        </w:tc>
        <w:tc>
          <w:tcPr>
            <w:tcW w:w="881" w:type="dxa"/>
            <w:tcBorders>
              <w:top w:val="nil"/>
              <w:left w:val="nil"/>
              <w:bottom w:val="nil"/>
              <w:right w:val="nil"/>
            </w:tcBorders>
            <w:shd w:val="clear" w:color="auto" w:fill="auto"/>
            <w:noWrap/>
            <w:vAlign w:val="bottom"/>
            <w:hideMark/>
          </w:tcPr>
          <w:p w14:paraId="560473C3" w14:textId="77777777" w:rsidR="00827B00" w:rsidRPr="00795367" w:rsidRDefault="00827B00" w:rsidP="003B7808">
            <w:pPr>
              <w:spacing w:after="0" w:line="240" w:lineRule="auto"/>
              <w:rPr>
                <w:sz w:val="18"/>
                <w:szCs w:val="18"/>
              </w:rPr>
            </w:pPr>
          </w:p>
        </w:tc>
        <w:tc>
          <w:tcPr>
            <w:tcW w:w="957" w:type="dxa"/>
            <w:tcBorders>
              <w:top w:val="nil"/>
              <w:left w:val="nil"/>
              <w:bottom w:val="nil"/>
              <w:right w:val="nil"/>
            </w:tcBorders>
            <w:shd w:val="clear" w:color="auto" w:fill="auto"/>
            <w:noWrap/>
            <w:vAlign w:val="bottom"/>
            <w:hideMark/>
          </w:tcPr>
          <w:p w14:paraId="03D9EF1D" w14:textId="77777777" w:rsidR="00827B00" w:rsidRPr="00795367" w:rsidRDefault="00827B00" w:rsidP="003B7808">
            <w:pPr>
              <w:spacing w:after="0" w:line="240" w:lineRule="auto"/>
              <w:rPr>
                <w:sz w:val="18"/>
                <w:szCs w:val="18"/>
              </w:rPr>
            </w:pPr>
          </w:p>
        </w:tc>
        <w:tc>
          <w:tcPr>
            <w:tcW w:w="886" w:type="dxa"/>
            <w:tcBorders>
              <w:top w:val="nil"/>
              <w:left w:val="nil"/>
              <w:bottom w:val="nil"/>
              <w:right w:val="nil"/>
            </w:tcBorders>
            <w:shd w:val="clear" w:color="auto" w:fill="auto"/>
            <w:noWrap/>
            <w:vAlign w:val="bottom"/>
            <w:hideMark/>
          </w:tcPr>
          <w:p w14:paraId="5AB6D4E5" w14:textId="77777777" w:rsidR="00827B00" w:rsidRPr="00795367" w:rsidRDefault="00827B00" w:rsidP="003B7808">
            <w:pPr>
              <w:spacing w:after="0" w:line="240" w:lineRule="auto"/>
              <w:rPr>
                <w:sz w:val="18"/>
                <w:szCs w:val="18"/>
              </w:rPr>
            </w:pPr>
          </w:p>
        </w:tc>
        <w:tc>
          <w:tcPr>
            <w:tcW w:w="819" w:type="dxa"/>
            <w:tcBorders>
              <w:top w:val="nil"/>
              <w:left w:val="nil"/>
              <w:bottom w:val="nil"/>
              <w:right w:val="nil"/>
            </w:tcBorders>
            <w:shd w:val="clear" w:color="auto" w:fill="auto"/>
            <w:noWrap/>
            <w:vAlign w:val="bottom"/>
            <w:hideMark/>
          </w:tcPr>
          <w:p w14:paraId="33123939" w14:textId="77777777" w:rsidR="00827B00" w:rsidRPr="00795367" w:rsidRDefault="00827B00" w:rsidP="003B7808">
            <w:pPr>
              <w:spacing w:after="0" w:line="240" w:lineRule="auto"/>
              <w:rPr>
                <w:sz w:val="18"/>
                <w:szCs w:val="18"/>
              </w:rPr>
            </w:pPr>
            <w:r w:rsidRPr="00795367">
              <w:rPr>
                <w:rFonts w:cs="Calibri"/>
                <w:color w:val="000000"/>
                <w:sz w:val="18"/>
                <w:szCs w:val="18"/>
              </w:rPr>
              <w:t> </w:t>
            </w:r>
          </w:p>
        </w:tc>
        <w:tc>
          <w:tcPr>
            <w:tcW w:w="886" w:type="dxa"/>
            <w:tcBorders>
              <w:top w:val="nil"/>
              <w:left w:val="nil"/>
              <w:bottom w:val="nil"/>
              <w:right w:val="nil"/>
            </w:tcBorders>
            <w:shd w:val="clear" w:color="auto" w:fill="auto"/>
            <w:noWrap/>
            <w:vAlign w:val="bottom"/>
            <w:hideMark/>
          </w:tcPr>
          <w:p w14:paraId="5D2A05FD" w14:textId="77777777" w:rsidR="00827B00" w:rsidRPr="00795367" w:rsidRDefault="00827B00" w:rsidP="003B7808">
            <w:pPr>
              <w:spacing w:after="0" w:line="240" w:lineRule="auto"/>
              <w:rPr>
                <w:sz w:val="18"/>
                <w:szCs w:val="18"/>
              </w:rPr>
            </w:pPr>
            <w:r w:rsidRPr="00795367">
              <w:rPr>
                <w:rFonts w:cs="Calibri"/>
                <w:color w:val="000000"/>
                <w:sz w:val="18"/>
                <w:szCs w:val="18"/>
              </w:rPr>
              <w:t> </w:t>
            </w:r>
          </w:p>
        </w:tc>
        <w:tc>
          <w:tcPr>
            <w:tcW w:w="982" w:type="dxa"/>
            <w:tcBorders>
              <w:top w:val="nil"/>
              <w:left w:val="nil"/>
              <w:bottom w:val="nil"/>
              <w:right w:val="nil"/>
            </w:tcBorders>
            <w:vAlign w:val="bottom"/>
          </w:tcPr>
          <w:p w14:paraId="3034A349"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0,041***</w:t>
            </w:r>
          </w:p>
        </w:tc>
        <w:tc>
          <w:tcPr>
            <w:tcW w:w="820" w:type="dxa"/>
            <w:tcBorders>
              <w:top w:val="nil"/>
              <w:left w:val="nil"/>
              <w:bottom w:val="nil"/>
              <w:right w:val="nil"/>
            </w:tcBorders>
            <w:shd w:val="clear" w:color="auto" w:fill="auto"/>
            <w:noWrap/>
            <w:vAlign w:val="bottom"/>
            <w:hideMark/>
          </w:tcPr>
          <w:p w14:paraId="6E690255" w14:textId="77777777" w:rsidR="00827B00" w:rsidRPr="00795367" w:rsidRDefault="00827B00" w:rsidP="003B7808">
            <w:pPr>
              <w:spacing w:after="0" w:line="240" w:lineRule="auto"/>
              <w:rPr>
                <w:rFonts w:cs="Calibri"/>
                <w:color w:val="000000"/>
                <w:sz w:val="18"/>
                <w:szCs w:val="18"/>
              </w:rPr>
            </w:pPr>
          </w:p>
        </w:tc>
        <w:tc>
          <w:tcPr>
            <w:tcW w:w="823" w:type="dxa"/>
            <w:tcBorders>
              <w:top w:val="nil"/>
              <w:left w:val="nil"/>
              <w:bottom w:val="nil"/>
              <w:right w:val="single" w:sz="4" w:space="0" w:color="auto"/>
            </w:tcBorders>
            <w:shd w:val="clear" w:color="auto" w:fill="auto"/>
            <w:noWrap/>
            <w:vAlign w:val="bottom"/>
            <w:hideMark/>
          </w:tcPr>
          <w:p w14:paraId="4D8B5669" w14:textId="77777777" w:rsidR="00827B00" w:rsidRPr="00795367" w:rsidRDefault="00827B00" w:rsidP="003B7808">
            <w:pPr>
              <w:spacing w:after="0" w:line="240" w:lineRule="auto"/>
              <w:rPr>
                <w:rFonts w:cs="Calibri"/>
                <w:color w:val="000000"/>
                <w:sz w:val="18"/>
                <w:szCs w:val="18"/>
              </w:rPr>
            </w:pPr>
          </w:p>
        </w:tc>
      </w:tr>
      <w:tr w:rsidR="00827B00" w:rsidRPr="0020638D" w14:paraId="59A1DEF5" w14:textId="77777777" w:rsidTr="003B7808">
        <w:trPr>
          <w:trHeight w:val="283"/>
        </w:trPr>
        <w:tc>
          <w:tcPr>
            <w:tcW w:w="3964" w:type="dxa"/>
            <w:tcBorders>
              <w:top w:val="nil"/>
              <w:left w:val="single" w:sz="4" w:space="0" w:color="auto"/>
              <w:bottom w:val="nil"/>
              <w:right w:val="single" w:sz="4" w:space="0" w:color="auto"/>
            </w:tcBorders>
            <w:shd w:val="clear" w:color="auto" w:fill="auto"/>
            <w:noWrap/>
            <w:vAlign w:val="bottom"/>
            <w:hideMark/>
          </w:tcPr>
          <w:p w14:paraId="210114E8" w14:textId="77777777" w:rsidR="00827B00" w:rsidRPr="00795367" w:rsidRDefault="00827B00" w:rsidP="003B7808">
            <w:pPr>
              <w:spacing w:after="0" w:line="240" w:lineRule="auto"/>
              <w:rPr>
                <w:rFonts w:eastAsia="Times New Roman" w:cs="Calibri"/>
                <w:b/>
                <w:bCs/>
                <w:color w:val="000000"/>
                <w:sz w:val="18"/>
                <w:szCs w:val="18"/>
                <w:lang w:eastAsia="sk-SK"/>
              </w:rPr>
            </w:pPr>
            <w:r w:rsidRPr="00795367">
              <w:rPr>
                <w:rFonts w:eastAsia="Times New Roman" w:cs="Calibri"/>
                <w:b/>
                <w:bCs/>
                <w:color w:val="000000"/>
                <w:sz w:val="18"/>
                <w:szCs w:val="18"/>
                <w:lang w:eastAsia="sk-SK"/>
              </w:rPr>
              <w:t>Prepoč. počet ped. zam. s atestáciou</w:t>
            </w:r>
          </w:p>
        </w:tc>
        <w:tc>
          <w:tcPr>
            <w:tcW w:w="858" w:type="dxa"/>
            <w:tcBorders>
              <w:top w:val="nil"/>
              <w:left w:val="nil"/>
              <w:bottom w:val="nil"/>
              <w:right w:val="nil"/>
            </w:tcBorders>
            <w:shd w:val="clear" w:color="auto" w:fill="auto"/>
            <w:noWrap/>
            <w:vAlign w:val="bottom"/>
            <w:hideMark/>
          </w:tcPr>
          <w:p w14:paraId="418BC8A5" w14:textId="77777777" w:rsidR="00827B00" w:rsidRPr="00795367" w:rsidRDefault="00827B00" w:rsidP="003B7808">
            <w:pPr>
              <w:spacing w:after="0" w:line="240" w:lineRule="auto"/>
              <w:rPr>
                <w:rFonts w:cs="Calibri"/>
                <w:color w:val="000000"/>
                <w:sz w:val="18"/>
                <w:szCs w:val="18"/>
              </w:rPr>
            </w:pPr>
          </w:p>
        </w:tc>
        <w:tc>
          <w:tcPr>
            <w:tcW w:w="850" w:type="dxa"/>
            <w:tcBorders>
              <w:top w:val="nil"/>
              <w:left w:val="nil"/>
              <w:bottom w:val="nil"/>
              <w:right w:val="nil"/>
            </w:tcBorders>
            <w:shd w:val="clear" w:color="auto" w:fill="auto"/>
            <w:noWrap/>
            <w:vAlign w:val="bottom"/>
            <w:hideMark/>
          </w:tcPr>
          <w:p w14:paraId="2A9D3CE8" w14:textId="77777777" w:rsidR="00827B00" w:rsidRPr="00795367" w:rsidRDefault="00827B00" w:rsidP="003B7808">
            <w:pPr>
              <w:spacing w:after="0" w:line="240" w:lineRule="auto"/>
              <w:rPr>
                <w:sz w:val="18"/>
                <w:szCs w:val="18"/>
              </w:rPr>
            </w:pPr>
          </w:p>
        </w:tc>
        <w:tc>
          <w:tcPr>
            <w:tcW w:w="819" w:type="dxa"/>
            <w:tcBorders>
              <w:top w:val="nil"/>
              <w:left w:val="nil"/>
              <w:bottom w:val="nil"/>
              <w:right w:val="nil"/>
            </w:tcBorders>
            <w:shd w:val="clear" w:color="auto" w:fill="auto"/>
            <w:noWrap/>
            <w:vAlign w:val="bottom"/>
            <w:hideMark/>
          </w:tcPr>
          <w:p w14:paraId="6D365763" w14:textId="77777777" w:rsidR="00827B00" w:rsidRPr="00795367" w:rsidRDefault="00827B00" w:rsidP="003B7808">
            <w:pPr>
              <w:spacing w:after="0" w:line="240" w:lineRule="auto"/>
              <w:rPr>
                <w:sz w:val="18"/>
                <w:szCs w:val="18"/>
              </w:rPr>
            </w:pPr>
          </w:p>
        </w:tc>
        <w:tc>
          <w:tcPr>
            <w:tcW w:w="881" w:type="dxa"/>
            <w:tcBorders>
              <w:top w:val="nil"/>
              <w:left w:val="nil"/>
              <w:bottom w:val="nil"/>
              <w:right w:val="nil"/>
            </w:tcBorders>
            <w:shd w:val="clear" w:color="auto" w:fill="auto"/>
            <w:noWrap/>
            <w:vAlign w:val="bottom"/>
            <w:hideMark/>
          </w:tcPr>
          <w:p w14:paraId="58C35944" w14:textId="77777777" w:rsidR="00827B00" w:rsidRPr="00795367" w:rsidRDefault="00827B00" w:rsidP="003B7808">
            <w:pPr>
              <w:spacing w:after="0" w:line="240" w:lineRule="auto"/>
              <w:rPr>
                <w:sz w:val="18"/>
                <w:szCs w:val="18"/>
              </w:rPr>
            </w:pPr>
          </w:p>
        </w:tc>
        <w:tc>
          <w:tcPr>
            <w:tcW w:w="957" w:type="dxa"/>
            <w:tcBorders>
              <w:top w:val="nil"/>
              <w:left w:val="nil"/>
              <w:bottom w:val="nil"/>
              <w:right w:val="nil"/>
            </w:tcBorders>
            <w:shd w:val="clear" w:color="auto" w:fill="auto"/>
            <w:noWrap/>
            <w:vAlign w:val="bottom"/>
            <w:hideMark/>
          </w:tcPr>
          <w:p w14:paraId="5944598C" w14:textId="77777777" w:rsidR="00827B00" w:rsidRPr="00795367" w:rsidRDefault="00827B00" w:rsidP="003B7808">
            <w:pPr>
              <w:spacing w:after="0" w:line="240" w:lineRule="auto"/>
              <w:rPr>
                <w:sz w:val="18"/>
                <w:szCs w:val="18"/>
              </w:rPr>
            </w:pPr>
          </w:p>
        </w:tc>
        <w:tc>
          <w:tcPr>
            <w:tcW w:w="886" w:type="dxa"/>
            <w:tcBorders>
              <w:top w:val="nil"/>
              <w:left w:val="nil"/>
              <w:bottom w:val="nil"/>
              <w:right w:val="nil"/>
            </w:tcBorders>
            <w:shd w:val="clear" w:color="auto" w:fill="auto"/>
            <w:noWrap/>
            <w:vAlign w:val="bottom"/>
            <w:hideMark/>
          </w:tcPr>
          <w:p w14:paraId="2E2C3384" w14:textId="77777777" w:rsidR="00827B00" w:rsidRPr="00795367" w:rsidRDefault="00827B00" w:rsidP="003B7808">
            <w:pPr>
              <w:spacing w:after="0" w:line="240" w:lineRule="auto"/>
              <w:rPr>
                <w:sz w:val="18"/>
                <w:szCs w:val="18"/>
              </w:rPr>
            </w:pPr>
          </w:p>
        </w:tc>
        <w:tc>
          <w:tcPr>
            <w:tcW w:w="819" w:type="dxa"/>
            <w:tcBorders>
              <w:top w:val="nil"/>
              <w:left w:val="nil"/>
              <w:bottom w:val="nil"/>
              <w:right w:val="nil"/>
            </w:tcBorders>
            <w:shd w:val="clear" w:color="auto" w:fill="auto"/>
            <w:noWrap/>
            <w:vAlign w:val="bottom"/>
            <w:hideMark/>
          </w:tcPr>
          <w:p w14:paraId="70C118C1" w14:textId="77777777" w:rsidR="00827B00" w:rsidRPr="00795367" w:rsidRDefault="00827B00" w:rsidP="003B7808">
            <w:pPr>
              <w:spacing w:after="0" w:line="240" w:lineRule="auto"/>
              <w:rPr>
                <w:sz w:val="18"/>
                <w:szCs w:val="18"/>
              </w:rPr>
            </w:pPr>
            <w:r w:rsidRPr="00795367">
              <w:rPr>
                <w:rFonts w:cs="Calibri"/>
                <w:color w:val="000000"/>
                <w:sz w:val="18"/>
                <w:szCs w:val="18"/>
              </w:rPr>
              <w:t> </w:t>
            </w:r>
          </w:p>
        </w:tc>
        <w:tc>
          <w:tcPr>
            <w:tcW w:w="886" w:type="dxa"/>
            <w:tcBorders>
              <w:top w:val="nil"/>
              <w:left w:val="nil"/>
              <w:bottom w:val="nil"/>
              <w:right w:val="nil"/>
            </w:tcBorders>
            <w:shd w:val="clear" w:color="auto" w:fill="auto"/>
            <w:noWrap/>
            <w:vAlign w:val="bottom"/>
            <w:hideMark/>
          </w:tcPr>
          <w:p w14:paraId="3ADFA118" w14:textId="77777777" w:rsidR="00827B00" w:rsidRPr="00795367" w:rsidRDefault="00827B00" w:rsidP="003B7808">
            <w:pPr>
              <w:spacing w:after="0" w:line="240" w:lineRule="auto"/>
              <w:rPr>
                <w:sz w:val="18"/>
                <w:szCs w:val="18"/>
              </w:rPr>
            </w:pPr>
            <w:r w:rsidRPr="00795367">
              <w:rPr>
                <w:rFonts w:cs="Calibri"/>
                <w:color w:val="000000"/>
                <w:sz w:val="18"/>
                <w:szCs w:val="18"/>
              </w:rPr>
              <w:t> </w:t>
            </w:r>
          </w:p>
        </w:tc>
        <w:tc>
          <w:tcPr>
            <w:tcW w:w="982" w:type="dxa"/>
            <w:tcBorders>
              <w:top w:val="nil"/>
              <w:left w:val="nil"/>
              <w:bottom w:val="nil"/>
              <w:right w:val="nil"/>
            </w:tcBorders>
            <w:vAlign w:val="bottom"/>
          </w:tcPr>
          <w:p w14:paraId="3033EEA9"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0,013</w:t>
            </w:r>
          </w:p>
        </w:tc>
        <w:tc>
          <w:tcPr>
            <w:tcW w:w="820" w:type="dxa"/>
            <w:tcBorders>
              <w:top w:val="nil"/>
              <w:left w:val="nil"/>
              <w:bottom w:val="nil"/>
              <w:right w:val="nil"/>
            </w:tcBorders>
            <w:shd w:val="clear" w:color="auto" w:fill="auto"/>
            <w:noWrap/>
            <w:vAlign w:val="bottom"/>
            <w:hideMark/>
          </w:tcPr>
          <w:p w14:paraId="5357942C" w14:textId="77777777" w:rsidR="00827B00" w:rsidRPr="00795367" w:rsidRDefault="00827B00" w:rsidP="003B7808">
            <w:pPr>
              <w:spacing w:after="0" w:line="240" w:lineRule="auto"/>
              <w:rPr>
                <w:rFonts w:cs="Calibri"/>
                <w:color w:val="000000"/>
                <w:sz w:val="18"/>
                <w:szCs w:val="18"/>
              </w:rPr>
            </w:pPr>
          </w:p>
        </w:tc>
        <w:tc>
          <w:tcPr>
            <w:tcW w:w="823" w:type="dxa"/>
            <w:tcBorders>
              <w:top w:val="nil"/>
              <w:left w:val="nil"/>
              <w:bottom w:val="nil"/>
              <w:right w:val="single" w:sz="4" w:space="0" w:color="auto"/>
            </w:tcBorders>
            <w:shd w:val="clear" w:color="auto" w:fill="auto"/>
            <w:noWrap/>
            <w:vAlign w:val="bottom"/>
            <w:hideMark/>
          </w:tcPr>
          <w:p w14:paraId="61DC4076" w14:textId="77777777" w:rsidR="00827B00" w:rsidRPr="00795367" w:rsidRDefault="00827B00" w:rsidP="003B7808">
            <w:pPr>
              <w:spacing w:after="0" w:line="240" w:lineRule="auto"/>
              <w:rPr>
                <w:rFonts w:cs="Calibri"/>
                <w:color w:val="000000"/>
                <w:sz w:val="18"/>
                <w:szCs w:val="18"/>
              </w:rPr>
            </w:pPr>
          </w:p>
        </w:tc>
      </w:tr>
      <w:tr w:rsidR="00827B00" w:rsidRPr="0020638D" w14:paraId="0E2116C2" w14:textId="77777777" w:rsidTr="003B7808">
        <w:trPr>
          <w:trHeight w:val="283"/>
        </w:trPr>
        <w:tc>
          <w:tcPr>
            <w:tcW w:w="3964" w:type="dxa"/>
            <w:tcBorders>
              <w:top w:val="nil"/>
              <w:left w:val="single" w:sz="4" w:space="0" w:color="auto"/>
              <w:bottom w:val="nil"/>
              <w:right w:val="single" w:sz="4" w:space="0" w:color="auto"/>
            </w:tcBorders>
            <w:shd w:val="clear" w:color="auto" w:fill="auto"/>
            <w:noWrap/>
            <w:vAlign w:val="bottom"/>
            <w:hideMark/>
          </w:tcPr>
          <w:p w14:paraId="31F35304" w14:textId="77777777" w:rsidR="00827B00" w:rsidRPr="00795367" w:rsidRDefault="00827B00" w:rsidP="003B7808">
            <w:pPr>
              <w:spacing w:after="0" w:line="240" w:lineRule="auto"/>
              <w:rPr>
                <w:rFonts w:eastAsia="Times New Roman" w:cs="Calibri"/>
                <w:b/>
                <w:bCs/>
                <w:color w:val="000000"/>
                <w:sz w:val="18"/>
                <w:szCs w:val="18"/>
                <w:lang w:eastAsia="sk-SK"/>
              </w:rPr>
            </w:pPr>
            <w:r w:rsidRPr="00795367">
              <w:rPr>
                <w:rFonts w:eastAsia="Times New Roman" w:cs="Calibri"/>
                <w:b/>
                <w:bCs/>
                <w:color w:val="000000"/>
                <w:sz w:val="18"/>
                <w:szCs w:val="18"/>
                <w:lang w:eastAsia="sk-SK"/>
              </w:rPr>
              <w:t>Prepoč. počet zam. v 1. až 6. platovej triede</w:t>
            </w:r>
          </w:p>
        </w:tc>
        <w:tc>
          <w:tcPr>
            <w:tcW w:w="858" w:type="dxa"/>
            <w:tcBorders>
              <w:top w:val="nil"/>
              <w:left w:val="nil"/>
              <w:bottom w:val="nil"/>
              <w:right w:val="nil"/>
            </w:tcBorders>
            <w:shd w:val="clear" w:color="auto" w:fill="auto"/>
            <w:noWrap/>
            <w:vAlign w:val="bottom"/>
            <w:hideMark/>
          </w:tcPr>
          <w:p w14:paraId="5EC49D83" w14:textId="77777777" w:rsidR="00827B00" w:rsidRPr="00795367" w:rsidRDefault="00827B00" w:rsidP="003B7808">
            <w:pPr>
              <w:spacing w:after="0" w:line="240" w:lineRule="auto"/>
              <w:rPr>
                <w:rFonts w:cs="Calibri"/>
                <w:color w:val="000000"/>
                <w:sz w:val="18"/>
                <w:szCs w:val="18"/>
              </w:rPr>
            </w:pPr>
          </w:p>
        </w:tc>
        <w:tc>
          <w:tcPr>
            <w:tcW w:w="850" w:type="dxa"/>
            <w:tcBorders>
              <w:top w:val="nil"/>
              <w:left w:val="nil"/>
              <w:bottom w:val="nil"/>
              <w:right w:val="nil"/>
            </w:tcBorders>
            <w:shd w:val="clear" w:color="auto" w:fill="auto"/>
            <w:noWrap/>
            <w:vAlign w:val="bottom"/>
            <w:hideMark/>
          </w:tcPr>
          <w:p w14:paraId="37DB9B5C" w14:textId="77777777" w:rsidR="00827B00" w:rsidRPr="00795367" w:rsidRDefault="00827B00" w:rsidP="003B7808">
            <w:pPr>
              <w:spacing w:after="0" w:line="240" w:lineRule="auto"/>
              <w:rPr>
                <w:sz w:val="18"/>
                <w:szCs w:val="18"/>
              </w:rPr>
            </w:pPr>
          </w:p>
        </w:tc>
        <w:tc>
          <w:tcPr>
            <w:tcW w:w="819" w:type="dxa"/>
            <w:tcBorders>
              <w:top w:val="nil"/>
              <w:left w:val="nil"/>
              <w:bottom w:val="nil"/>
              <w:right w:val="nil"/>
            </w:tcBorders>
            <w:shd w:val="clear" w:color="auto" w:fill="auto"/>
            <w:noWrap/>
            <w:vAlign w:val="bottom"/>
            <w:hideMark/>
          </w:tcPr>
          <w:p w14:paraId="7EE3DA0E" w14:textId="77777777" w:rsidR="00827B00" w:rsidRPr="00795367" w:rsidRDefault="00827B00" w:rsidP="003B7808">
            <w:pPr>
              <w:spacing w:after="0" w:line="240" w:lineRule="auto"/>
              <w:rPr>
                <w:sz w:val="18"/>
                <w:szCs w:val="18"/>
              </w:rPr>
            </w:pPr>
          </w:p>
        </w:tc>
        <w:tc>
          <w:tcPr>
            <w:tcW w:w="881" w:type="dxa"/>
            <w:tcBorders>
              <w:top w:val="nil"/>
              <w:left w:val="nil"/>
              <w:bottom w:val="nil"/>
              <w:right w:val="nil"/>
            </w:tcBorders>
            <w:shd w:val="clear" w:color="auto" w:fill="auto"/>
            <w:noWrap/>
            <w:vAlign w:val="bottom"/>
            <w:hideMark/>
          </w:tcPr>
          <w:p w14:paraId="06314FCA" w14:textId="77777777" w:rsidR="00827B00" w:rsidRPr="00795367" w:rsidRDefault="00827B00" w:rsidP="003B7808">
            <w:pPr>
              <w:spacing w:after="0" w:line="240" w:lineRule="auto"/>
              <w:rPr>
                <w:sz w:val="18"/>
                <w:szCs w:val="18"/>
              </w:rPr>
            </w:pPr>
          </w:p>
        </w:tc>
        <w:tc>
          <w:tcPr>
            <w:tcW w:w="957" w:type="dxa"/>
            <w:tcBorders>
              <w:top w:val="nil"/>
              <w:left w:val="nil"/>
              <w:bottom w:val="nil"/>
              <w:right w:val="nil"/>
            </w:tcBorders>
            <w:shd w:val="clear" w:color="auto" w:fill="auto"/>
            <w:noWrap/>
            <w:vAlign w:val="bottom"/>
            <w:hideMark/>
          </w:tcPr>
          <w:p w14:paraId="2CCE9FDF" w14:textId="77777777" w:rsidR="00827B00" w:rsidRPr="00795367" w:rsidRDefault="00827B00" w:rsidP="003B7808">
            <w:pPr>
              <w:spacing w:after="0" w:line="240" w:lineRule="auto"/>
              <w:rPr>
                <w:sz w:val="18"/>
                <w:szCs w:val="18"/>
              </w:rPr>
            </w:pPr>
          </w:p>
        </w:tc>
        <w:tc>
          <w:tcPr>
            <w:tcW w:w="886" w:type="dxa"/>
            <w:tcBorders>
              <w:top w:val="nil"/>
              <w:left w:val="nil"/>
              <w:bottom w:val="nil"/>
              <w:right w:val="nil"/>
            </w:tcBorders>
            <w:shd w:val="clear" w:color="auto" w:fill="auto"/>
            <w:noWrap/>
            <w:vAlign w:val="bottom"/>
            <w:hideMark/>
          </w:tcPr>
          <w:p w14:paraId="0DD7FD4A" w14:textId="77777777" w:rsidR="00827B00" w:rsidRPr="00795367" w:rsidRDefault="00827B00" w:rsidP="003B7808">
            <w:pPr>
              <w:spacing w:after="0" w:line="240" w:lineRule="auto"/>
              <w:rPr>
                <w:sz w:val="18"/>
                <w:szCs w:val="18"/>
              </w:rPr>
            </w:pPr>
          </w:p>
        </w:tc>
        <w:tc>
          <w:tcPr>
            <w:tcW w:w="819" w:type="dxa"/>
            <w:tcBorders>
              <w:top w:val="nil"/>
              <w:left w:val="nil"/>
              <w:bottom w:val="nil"/>
              <w:right w:val="nil"/>
            </w:tcBorders>
            <w:shd w:val="clear" w:color="auto" w:fill="auto"/>
            <w:noWrap/>
            <w:vAlign w:val="bottom"/>
            <w:hideMark/>
          </w:tcPr>
          <w:p w14:paraId="321CBA1A" w14:textId="77777777" w:rsidR="00827B00" w:rsidRPr="00795367" w:rsidRDefault="00827B00" w:rsidP="003B7808">
            <w:pPr>
              <w:spacing w:after="0" w:line="240" w:lineRule="auto"/>
              <w:rPr>
                <w:sz w:val="18"/>
                <w:szCs w:val="18"/>
              </w:rPr>
            </w:pPr>
            <w:r w:rsidRPr="00795367">
              <w:rPr>
                <w:rFonts w:cs="Calibri"/>
                <w:color w:val="000000"/>
                <w:sz w:val="18"/>
                <w:szCs w:val="18"/>
              </w:rPr>
              <w:t> </w:t>
            </w:r>
          </w:p>
        </w:tc>
        <w:tc>
          <w:tcPr>
            <w:tcW w:w="886" w:type="dxa"/>
            <w:tcBorders>
              <w:top w:val="nil"/>
              <w:left w:val="nil"/>
              <w:bottom w:val="nil"/>
              <w:right w:val="nil"/>
            </w:tcBorders>
            <w:shd w:val="clear" w:color="auto" w:fill="auto"/>
            <w:noWrap/>
            <w:vAlign w:val="bottom"/>
            <w:hideMark/>
          </w:tcPr>
          <w:p w14:paraId="131C5675" w14:textId="77777777" w:rsidR="00827B00" w:rsidRPr="00795367" w:rsidRDefault="00827B00" w:rsidP="003B7808">
            <w:pPr>
              <w:spacing w:after="0" w:line="240" w:lineRule="auto"/>
              <w:rPr>
                <w:sz w:val="18"/>
                <w:szCs w:val="18"/>
              </w:rPr>
            </w:pPr>
            <w:r w:rsidRPr="00795367">
              <w:rPr>
                <w:rFonts w:cs="Calibri"/>
                <w:color w:val="000000"/>
                <w:sz w:val="18"/>
                <w:szCs w:val="18"/>
              </w:rPr>
              <w:t> </w:t>
            </w:r>
          </w:p>
        </w:tc>
        <w:tc>
          <w:tcPr>
            <w:tcW w:w="982" w:type="dxa"/>
            <w:tcBorders>
              <w:top w:val="nil"/>
              <w:left w:val="nil"/>
              <w:bottom w:val="nil"/>
              <w:right w:val="nil"/>
            </w:tcBorders>
            <w:vAlign w:val="bottom"/>
          </w:tcPr>
          <w:p w14:paraId="412D8645" w14:textId="77777777" w:rsidR="00827B00" w:rsidRPr="00795367" w:rsidRDefault="00827B00" w:rsidP="003B7808">
            <w:pPr>
              <w:spacing w:after="0" w:line="240" w:lineRule="auto"/>
              <w:rPr>
                <w:sz w:val="18"/>
                <w:szCs w:val="18"/>
              </w:rPr>
            </w:pPr>
          </w:p>
        </w:tc>
        <w:tc>
          <w:tcPr>
            <w:tcW w:w="820" w:type="dxa"/>
            <w:tcBorders>
              <w:top w:val="nil"/>
              <w:left w:val="nil"/>
              <w:bottom w:val="nil"/>
              <w:right w:val="nil"/>
            </w:tcBorders>
            <w:shd w:val="clear" w:color="auto" w:fill="auto"/>
            <w:noWrap/>
            <w:vAlign w:val="bottom"/>
            <w:hideMark/>
          </w:tcPr>
          <w:p w14:paraId="0A84CEA6"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0,047***</w:t>
            </w:r>
          </w:p>
        </w:tc>
        <w:tc>
          <w:tcPr>
            <w:tcW w:w="823" w:type="dxa"/>
            <w:tcBorders>
              <w:top w:val="nil"/>
              <w:left w:val="nil"/>
              <w:bottom w:val="nil"/>
              <w:right w:val="single" w:sz="4" w:space="0" w:color="auto"/>
            </w:tcBorders>
            <w:shd w:val="clear" w:color="auto" w:fill="auto"/>
            <w:noWrap/>
            <w:vAlign w:val="bottom"/>
            <w:hideMark/>
          </w:tcPr>
          <w:p w14:paraId="23F87805" w14:textId="77777777" w:rsidR="00827B00" w:rsidRPr="00795367" w:rsidRDefault="00827B00" w:rsidP="003B7808">
            <w:pPr>
              <w:spacing w:after="0" w:line="240" w:lineRule="auto"/>
              <w:rPr>
                <w:rFonts w:cs="Calibri"/>
                <w:color w:val="000000"/>
                <w:sz w:val="18"/>
                <w:szCs w:val="18"/>
              </w:rPr>
            </w:pPr>
          </w:p>
        </w:tc>
      </w:tr>
      <w:tr w:rsidR="00827B00" w:rsidRPr="0020638D" w14:paraId="2D511333" w14:textId="77777777" w:rsidTr="003B7808">
        <w:trPr>
          <w:trHeight w:val="283"/>
        </w:trPr>
        <w:tc>
          <w:tcPr>
            <w:tcW w:w="3964" w:type="dxa"/>
            <w:tcBorders>
              <w:top w:val="nil"/>
              <w:left w:val="single" w:sz="4" w:space="0" w:color="auto"/>
              <w:bottom w:val="nil"/>
              <w:right w:val="single" w:sz="4" w:space="0" w:color="auto"/>
            </w:tcBorders>
            <w:shd w:val="clear" w:color="auto" w:fill="auto"/>
            <w:noWrap/>
            <w:vAlign w:val="bottom"/>
            <w:hideMark/>
          </w:tcPr>
          <w:p w14:paraId="2672DA22" w14:textId="77777777" w:rsidR="00827B00" w:rsidRPr="00795367" w:rsidRDefault="00827B00" w:rsidP="003B7808">
            <w:pPr>
              <w:spacing w:after="0" w:line="240" w:lineRule="auto"/>
              <w:rPr>
                <w:rFonts w:eastAsia="Times New Roman" w:cs="Calibri"/>
                <w:b/>
                <w:bCs/>
                <w:color w:val="000000"/>
                <w:sz w:val="18"/>
                <w:szCs w:val="18"/>
                <w:lang w:eastAsia="sk-SK"/>
              </w:rPr>
            </w:pPr>
            <w:r w:rsidRPr="00795367">
              <w:rPr>
                <w:rFonts w:eastAsia="Times New Roman" w:cs="Calibri"/>
                <w:b/>
                <w:bCs/>
                <w:color w:val="000000"/>
                <w:sz w:val="18"/>
                <w:szCs w:val="18"/>
                <w:lang w:eastAsia="sk-SK"/>
              </w:rPr>
              <w:t>Prepoč. počet zam. v 7. až 12. plat. triede</w:t>
            </w:r>
          </w:p>
        </w:tc>
        <w:tc>
          <w:tcPr>
            <w:tcW w:w="858" w:type="dxa"/>
            <w:tcBorders>
              <w:top w:val="nil"/>
              <w:left w:val="nil"/>
              <w:bottom w:val="nil"/>
              <w:right w:val="nil"/>
            </w:tcBorders>
            <w:shd w:val="clear" w:color="auto" w:fill="auto"/>
            <w:noWrap/>
            <w:vAlign w:val="bottom"/>
            <w:hideMark/>
          </w:tcPr>
          <w:p w14:paraId="1F271309" w14:textId="77777777" w:rsidR="00827B00" w:rsidRPr="00795367" w:rsidRDefault="00827B00" w:rsidP="003B7808">
            <w:pPr>
              <w:spacing w:after="0" w:line="240" w:lineRule="auto"/>
              <w:rPr>
                <w:rFonts w:cs="Calibri"/>
                <w:color w:val="000000"/>
                <w:sz w:val="18"/>
                <w:szCs w:val="18"/>
              </w:rPr>
            </w:pPr>
          </w:p>
        </w:tc>
        <w:tc>
          <w:tcPr>
            <w:tcW w:w="850" w:type="dxa"/>
            <w:tcBorders>
              <w:top w:val="nil"/>
              <w:left w:val="nil"/>
              <w:bottom w:val="nil"/>
              <w:right w:val="nil"/>
            </w:tcBorders>
            <w:shd w:val="clear" w:color="auto" w:fill="auto"/>
            <w:noWrap/>
            <w:vAlign w:val="bottom"/>
            <w:hideMark/>
          </w:tcPr>
          <w:p w14:paraId="3911FB17" w14:textId="77777777" w:rsidR="00827B00" w:rsidRPr="00795367" w:rsidRDefault="00827B00" w:rsidP="003B7808">
            <w:pPr>
              <w:spacing w:after="0" w:line="240" w:lineRule="auto"/>
              <w:rPr>
                <w:sz w:val="18"/>
                <w:szCs w:val="18"/>
              </w:rPr>
            </w:pPr>
          </w:p>
        </w:tc>
        <w:tc>
          <w:tcPr>
            <w:tcW w:w="819" w:type="dxa"/>
            <w:tcBorders>
              <w:top w:val="nil"/>
              <w:left w:val="nil"/>
              <w:bottom w:val="nil"/>
              <w:right w:val="nil"/>
            </w:tcBorders>
            <w:shd w:val="clear" w:color="auto" w:fill="auto"/>
            <w:noWrap/>
            <w:vAlign w:val="bottom"/>
            <w:hideMark/>
          </w:tcPr>
          <w:p w14:paraId="01DA6B64" w14:textId="77777777" w:rsidR="00827B00" w:rsidRPr="00795367" w:rsidRDefault="00827B00" w:rsidP="003B7808">
            <w:pPr>
              <w:spacing w:after="0" w:line="240" w:lineRule="auto"/>
              <w:rPr>
                <w:sz w:val="18"/>
                <w:szCs w:val="18"/>
              </w:rPr>
            </w:pPr>
          </w:p>
        </w:tc>
        <w:tc>
          <w:tcPr>
            <w:tcW w:w="881" w:type="dxa"/>
            <w:tcBorders>
              <w:top w:val="nil"/>
              <w:left w:val="nil"/>
              <w:bottom w:val="nil"/>
              <w:right w:val="nil"/>
            </w:tcBorders>
            <w:shd w:val="clear" w:color="auto" w:fill="auto"/>
            <w:noWrap/>
            <w:vAlign w:val="bottom"/>
            <w:hideMark/>
          </w:tcPr>
          <w:p w14:paraId="33567A20" w14:textId="77777777" w:rsidR="00827B00" w:rsidRPr="00795367" w:rsidRDefault="00827B00" w:rsidP="003B7808">
            <w:pPr>
              <w:spacing w:after="0" w:line="240" w:lineRule="auto"/>
              <w:rPr>
                <w:sz w:val="18"/>
                <w:szCs w:val="18"/>
              </w:rPr>
            </w:pPr>
          </w:p>
        </w:tc>
        <w:tc>
          <w:tcPr>
            <w:tcW w:w="957" w:type="dxa"/>
            <w:tcBorders>
              <w:top w:val="nil"/>
              <w:left w:val="nil"/>
              <w:bottom w:val="nil"/>
              <w:right w:val="nil"/>
            </w:tcBorders>
            <w:shd w:val="clear" w:color="auto" w:fill="auto"/>
            <w:noWrap/>
            <w:vAlign w:val="bottom"/>
            <w:hideMark/>
          </w:tcPr>
          <w:p w14:paraId="1797EA35" w14:textId="77777777" w:rsidR="00827B00" w:rsidRPr="00795367" w:rsidRDefault="00827B00" w:rsidP="003B7808">
            <w:pPr>
              <w:spacing w:after="0" w:line="240" w:lineRule="auto"/>
              <w:rPr>
                <w:sz w:val="18"/>
                <w:szCs w:val="18"/>
              </w:rPr>
            </w:pPr>
          </w:p>
        </w:tc>
        <w:tc>
          <w:tcPr>
            <w:tcW w:w="886" w:type="dxa"/>
            <w:tcBorders>
              <w:top w:val="nil"/>
              <w:left w:val="nil"/>
              <w:bottom w:val="nil"/>
              <w:right w:val="nil"/>
            </w:tcBorders>
            <w:shd w:val="clear" w:color="auto" w:fill="auto"/>
            <w:noWrap/>
            <w:vAlign w:val="bottom"/>
            <w:hideMark/>
          </w:tcPr>
          <w:p w14:paraId="3A00AFCC" w14:textId="77777777" w:rsidR="00827B00" w:rsidRPr="00795367" w:rsidRDefault="00827B00" w:rsidP="003B7808">
            <w:pPr>
              <w:spacing w:after="0" w:line="240" w:lineRule="auto"/>
              <w:rPr>
                <w:sz w:val="18"/>
                <w:szCs w:val="18"/>
              </w:rPr>
            </w:pPr>
          </w:p>
        </w:tc>
        <w:tc>
          <w:tcPr>
            <w:tcW w:w="819" w:type="dxa"/>
            <w:tcBorders>
              <w:top w:val="nil"/>
              <w:left w:val="nil"/>
              <w:bottom w:val="nil"/>
              <w:right w:val="nil"/>
            </w:tcBorders>
            <w:shd w:val="clear" w:color="auto" w:fill="auto"/>
            <w:noWrap/>
            <w:vAlign w:val="bottom"/>
            <w:hideMark/>
          </w:tcPr>
          <w:p w14:paraId="4764F5F5" w14:textId="77777777" w:rsidR="00827B00" w:rsidRPr="00795367" w:rsidRDefault="00827B00" w:rsidP="003B7808">
            <w:pPr>
              <w:spacing w:after="0" w:line="240" w:lineRule="auto"/>
              <w:rPr>
                <w:sz w:val="18"/>
                <w:szCs w:val="18"/>
              </w:rPr>
            </w:pPr>
            <w:r w:rsidRPr="00795367">
              <w:rPr>
                <w:rFonts w:cs="Calibri"/>
                <w:color w:val="000000"/>
                <w:sz w:val="18"/>
                <w:szCs w:val="18"/>
              </w:rPr>
              <w:t> </w:t>
            </w:r>
          </w:p>
        </w:tc>
        <w:tc>
          <w:tcPr>
            <w:tcW w:w="886" w:type="dxa"/>
            <w:tcBorders>
              <w:top w:val="nil"/>
              <w:left w:val="nil"/>
              <w:bottom w:val="nil"/>
              <w:right w:val="nil"/>
            </w:tcBorders>
            <w:shd w:val="clear" w:color="auto" w:fill="auto"/>
            <w:noWrap/>
            <w:vAlign w:val="bottom"/>
            <w:hideMark/>
          </w:tcPr>
          <w:p w14:paraId="073C9179" w14:textId="77777777" w:rsidR="00827B00" w:rsidRPr="00795367" w:rsidRDefault="00827B00" w:rsidP="003B7808">
            <w:pPr>
              <w:spacing w:after="0" w:line="240" w:lineRule="auto"/>
              <w:rPr>
                <w:sz w:val="18"/>
                <w:szCs w:val="18"/>
              </w:rPr>
            </w:pPr>
            <w:r w:rsidRPr="00795367">
              <w:rPr>
                <w:rFonts w:cs="Calibri"/>
                <w:color w:val="000000"/>
                <w:sz w:val="18"/>
                <w:szCs w:val="18"/>
              </w:rPr>
              <w:t> </w:t>
            </w:r>
          </w:p>
        </w:tc>
        <w:tc>
          <w:tcPr>
            <w:tcW w:w="982" w:type="dxa"/>
            <w:tcBorders>
              <w:top w:val="nil"/>
              <w:left w:val="nil"/>
              <w:bottom w:val="nil"/>
              <w:right w:val="nil"/>
            </w:tcBorders>
            <w:vAlign w:val="bottom"/>
          </w:tcPr>
          <w:p w14:paraId="39A57DCA" w14:textId="77777777" w:rsidR="00827B00" w:rsidRPr="00795367" w:rsidRDefault="00827B00" w:rsidP="003B7808">
            <w:pPr>
              <w:spacing w:after="0" w:line="240" w:lineRule="auto"/>
              <w:rPr>
                <w:sz w:val="18"/>
                <w:szCs w:val="18"/>
              </w:rPr>
            </w:pPr>
          </w:p>
        </w:tc>
        <w:tc>
          <w:tcPr>
            <w:tcW w:w="820" w:type="dxa"/>
            <w:tcBorders>
              <w:top w:val="nil"/>
              <w:left w:val="nil"/>
              <w:bottom w:val="nil"/>
              <w:right w:val="nil"/>
            </w:tcBorders>
            <w:shd w:val="clear" w:color="auto" w:fill="auto"/>
            <w:noWrap/>
            <w:vAlign w:val="bottom"/>
            <w:hideMark/>
          </w:tcPr>
          <w:p w14:paraId="1CD77604"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0,041***</w:t>
            </w:r>
          </w:p>
        </w:tc>
        <w:tc>
          <w:tcPr>
            <w:tcW w:w="823" w:type="dxa"/>
            <w:tcBorders>
              <w:top w:val="nil"/>
              <w:left w:val="nil"/>
              <w:bottom w:val="nil"/>
              <w:right w:val="single" w:sz="4" w:space="0" w:color="auto"/>
            </w:tcBorders>
            <w:shd w:val="clear" w:color="auto" w:fill="auto"/>
            <w:noWrap/>
            <w:vAlign w:val="bottom"/>
            <w:hideMark/>
          </w:tcPr>
          <w:p w14:paraId="10D743CF" w14:textId="77777777" w:rsidR="00827B00" w:rsidRPr="00795367" w:rsidRDefault="00827B00" w:rsidP="003B7808">
            <w:pPr>
              <w:spacing w:after="0" w:line="240" w:lineRule="auto"/>
              <w:rPr>
                <w:rFonts w:cs="Calibri"/>
                <w:color w:val="000000"/>
                <w:sz w:val="18"/>
                <w:szCs w:val="18"/>
              </w:rPr>
            </w:pPr>
          </w:p>
        </w:tc>
      </w:tr>
      <w:tr w:rsidR="00827B00" w:rsidRPr="0020638D" w14:paraId="007E2149" w14:textId="77777777" w:rsidTr="003B7808">
        <w:trPr>
          <w:trHeight w:val="283"/>
        </w:trPr>
        <w:tc>
          <w:tcPr>
            <w:tcW w:w="3964" w:type="dxa"/>
            <w:tcBorders>
              <w:top w:val="nil"/>
              <w:left w:val="single" w:sz="4" w:space="0" w:color="auto"/>
              <w:bottom w:val="nil"/>
              <w:right w:val="single" w:sz="4" w:space="0" w:color="auto"/>
            </w:tcBorders>
            <w:shd w:val="clear" w:color="auto" w:fill="auto"/>
            <w:noWrap/>
            <w:vAlign w:val="bottom"/>
            <w:hideMark/>
          </w:tcPr>
          <w:p w14:paraId="1A5A4B72" w14:textId="77777777" w:rsidR="00827B00" w:rsidRPr="00795367" w:rsidRDefault="00827B00" w:rsidP="003B7808">
            <w:pPr>
              <w:spacing w:after="0" w:line="240" w:lineRule="auto"/>
              <w:rPr>
                <w:rFonts w:eastAsia="Times New Roman" w:cs="Calibri"/>
                <w:b/>
                <w:bCs/>
                <w:color w:val="000000"/>
                <w:sz w:val="18"/>
                <w:szCs w:val="18"/>
                <w:lang w:eastAsia="sk-SK"/>
              </w:rPr>
            </w:pPr>
            <w:r w:rsidRPr="00795367">
              <w:rPr>
                <w:rFonts w:eastAsia="Times New Roman" w:cs="Calibri"/>
                <w:b/>
                <w:bCs/>
                <w:color w:val="000000"/>
                <w:sz w:val="18"/>
                <w:szCs w:val="18"/>
                <w:lang w:eastAsia="sk-SK"/>
              </w:rPr>
              <w:t>Prepoč. počet zam. s 0-5 rokmi pedag. praxe</w:t>
            </w:r>
          </w:p>
        </w:tc>
        <w:tc>
          <w:tcPr>
            <w:tcW w:w="858" w:type="dxa"/>
            <w:tcBorders>
              <w:top w:val="nil"/>
              <w:left w:val="nil"/>
              <w:bottom w:val="nil"/>
              <w:right w:val="nil"/>
            </w:tcBorders>
            <w:shd w:val="clear" w:color="auto" w:fill="auto"/>
            <w:noWrap/>
            <w:vAlign w:val="bottom"/>
            <w:hideMark/>
          </w:tcPr>
          <w:p w14:paraId="150D0592" w14:textId="77777777" w:rsidR="00827B00" w:rsidRPr="00795367" w:rsidRDefault="00827B00" w:rsidP="003B7808">
            <w:pPr>
              <w:spacing w:after="0" w:line="240" w:lineRule="auto"/>
              <w:rPr>
                <w:rFonts w:cs="Calibri"/>
                <w:color w:val="000000"/>
                <w:sz w:val="18"/>
                <w:szCs w:val="18"/>
              </w:rPr>
            </w:pPr>
          </w:p>
        </w:tc>
        <w:tc>
          <w:tcPr>
            <w:tcW w:w="850" w:type="dxa"/>
            <w:tcBorders>
              <w:top w:val="nil"/>
              <w:left w:val="nil"/>
              <w:bottom w:val="nil"/>
              <w:right w:val="nil"/>
            </w:tcBorders>
            <w:shd w:val="clear" w:color="auto" w:fill="auto"/>
            <w:noWrap/>
            <w:vAlign w:val="bottom"/>
            <w:hideMark/>
          </w:tcPr>
          <w:p w14:paraId="2F9B6B83" w14:textId="77777777" w:rsidR="00827B00" w:rsidRPr="00795367" w:rsidRDefault="00827B00" w:rsidP="003B7808">
            <w:pPr>
              <w:spacing w:after="0" w:line="240" w:lineRule="auto"/>
              <w:rPr>
                <w:sz w:val="18"/>
                <w:szCs w:val="18"/>
              </w:rPr>
            </w:pPr>
          </w:p>
        </w:tc>
        <w:tc>
          <w:tcPr>
            <w:tcW w:w="819" w:type="dxa"/>
            <w:tcBorders>
              <w:top w:val="nil"/>
              <w:left w:val="nil"/>
              <w:bottom w:val="nil"/>
              <w:right w:val="nil"/>
            </w:tcBorders>
            <w:shd w:val="clear" w:color="auto" w:fill="auto"/>
            <w:noWrap/>
            <w:vAlign w:val="bottom"/>
            <w:hideMark/>
          </w:tcPr>
          <w:p w14:paraId="78784047" w14:textId="77777777" w:rsidR="00827B00" w:rsidRPr="00795367" w:rsidRDefault="00827B00" w:rsidP="003B7808">
            <w:pPr>
              <w:spacing w:after="0" w:line="240" w:lineRule="auto"/>
              <w:rPr>
                <w:sz w:val="18"/>
                <w:szCs w:val="18"/>
              </w:rPr>
            </w:pPr>
          </w:p>
        </w:tc>
        <w:tc>
          <w:tcPr>
            <w:tcW w:w="881" w:type="dxa"/>
            <w:tcBorders>
              <w:top w:val="nil"/>
              <w:left w:val="nil"/>
              <w:bottom w:val="nil"/>
              <w:right w:val="nil"/>
            </w:tcBorders>
            <w:shd w:val="clear" w:color="auto" w:fill="auto"/>
            <w:noWrap/>
            <w:vAlign w:val="bottom"/>
            <w:hideMark/>
          </w:tcPr>
          <w:p w14:paraId="3846CCC5" w14:textId="77777777" w:rsidR="00827B00" w:rsidRPr="00795367" w:rsidRDefault="00827B00" w:rsidP="003B7808">
            <w:pPr>
              <w:spacing w:after="0" w:line="240" w:lineRule="auto"/>
              <w:rPr>
                <w:sz w:val="18"/>
                <w:szCs w:val="18"/>
              </w:rPr>
            </w:pPr>
          </w:p>
        </w:tc>
        <w:tc>
          <w:tcPr>
            <w:tcW w:w="957" w:type="dxa"/>
            <w:tcBorders>
              <w:top w:val="nil"/>
              <w:left w:val="nil"/>
              <w:bottom w:val="nil"/>
              <w:right w:val="nil"/>
            </w:tcBorders>
            <w:shd w:val="clear" w:color="auto" w:fill="auto"/>
            <w:noWrap/>
            <w:vAlign w:val="bottom"/>
            <w:hideMark/>
          </w:tcPr>
          <w:p w14:paraId="0F2A677A" w14:textId="77777777" w:rsidR="00827B00" w:rsidRPr="00795367" w:rsidRDefault="00827B00" w:rsidP="003B7808">
            <w:pPr>
              <w:spacing w:after="0" w:line="240" w:lineRule="auto"/>
              <w:rPr>
                <w:sz w:val="18"/>
                <w:szCs w:val="18"/>
              </w:rPr>
            </w:pPr>
          </w:p>
        </w:tc>
        <w:tc>
          <w:tcPr>
            <w:tcW w:w="886" w:type="dxa"/>
            <w:tcBorders>
              <w:top w:val="nil"/>
              <w:left w:val="nil"/>
              <w:bottom w:val="nil"/>
              <w:right w:val="nil"/>
            </w:tcBorders>
            <w:shd w:val="clear" w:color="auto" w:fill="auto"/>
            <w:noWrap/>
            <w:vAlign w:val="bottom"/>
            <w:hideMark/>
          </w:tcPr>
          <w:p w14:paraId="68D078DA" w14:textId="77777777" w:rsidR="00827B00" w:rsidRPr="00795367" w:rsidRDefault="00827B00" w:rsidP="003B7808">
            <w:pPr>
              <w:spacing w:after="0" w:line="240" w:lineRule="auto"/>
              <w:rPr>
                <w:sz w:val="18"/>
                <w:szCs w:val="18"/>
              </w:rPr>
            </w:pPr>
          </w:p>
        </w:tc>
        <w:tc>
          <w:tcPr>
            <w:tcW w:w="819" w:type="dxa"/>
            <w:tcBorders>
              <w:top w:val="nil"/>
              <w:left w:val="nil"/>
              <w:bottom w:val="nil"/>
              <w:right w:val="nil"/>
            </w:tcBorders>
            <w:shd w:val="clear" w:color="auto" w:fill="auto"/>
            <w:noWrap/>
            <w:vAlign w:val="bottom"/>
            <w:hideMark/>
          </w:tcPr>
          <w:p w14:paraId="20B9329E" w14:textId="77777777" w:rsidR="00827B00" w:rsidRPr="00795367" w:rsidRDefault="00827B00" w:rsidP="003B7808">
            <w:pPr>
              <w:spacing w:after="0" w:line="240" w:lineRule="auto"/>
              <w:rPr>
                <w:sz w:val="18"/>
                <w:szCs w:val="18"/>
              </w:rPr>
            </w:pPr>
            <w:r w:rsidRPr="00795367">
              <w:rPr>
                <w:rFonts w:cs="Calibri"/>
                <w:color w:val="000000"/>
                <w:sz w:val="18"/>
                <w:szCs w:val="18"/>
              </w:rPr>
              <w:t> </w:t>
            </w:r>
          </w:p>
        </w:tc>
        <w:tc>
          <w:tcPr>
            <w:tcW w:w="886" w:type="dxa"/>
            <w:tcBorders>
              <w:top w:val="nil"/>
              <w:left w:val="nil"/>
              <w:bottom w:val="nil"/>
              <w:right w:val="nil"/>
            </w:tcBorders>
            <w:shd w:val="clear" w:color="auto" w:fill="auto"/>
            <w:noWrap/>
            <w:vAlign w:val="bottom"/>
            <w:hideMark/>
          </w:tcPr>
          <w:p w14:paraId="7BD78EB1" w14:textId="77777777" w:rsidR="00827B00" w:rsidRPr="00795367" w:rsidRDefault="00827B00" w:rsidP="003B7808">
            <w:pPr>
              <w:spacing w:after="0" w:line="240" w:lineRule="auto"/>
              <w:rPr>
                <w:sz w:val="18"/>
                <w:szCs w:val="18"/>
              </w:rPr>
            </w:pPr>
            <w:r w:rsidRPr="00795367">
              <w:rPr>
                <w:rFonts w:cs="Calibri"/>
                <w:color w:val="000000"/>
                <w:sz w:val="18"/>
                <w:szCs w:val="18"/>
              </w:rPr>
              <w:t> </w:t>
            </w:r>
          </w:p>
        </w:tc>
        <w:tc>
          <w:tcPr>
            <w:tcW w:w="982" w:type="dxa"/>
            <w:tcBorders>
              <w:top w:val="nil"/>
              <w:left w:val="nil"/>
              <w:bottom w:val="nil"/>
              <w:right w:val="nil"/>
            </w:tcBorders>
            <w:vAlign w:val="bottom"/>
          </w:tcPr>
          <w:p w14:paraId="178A1E74" w14:textId="77777777" w:rsidR="00827B00" w:rsidRPr="00795367" w:rsidRDefault="00827B00" w:rsidP="003B7808">
            <w:pPr>
              <w:spacing w:after="0" w:line="240" w:lineRule="auto"/>
              <w:rPr>
                <w:sz w:val="18"/>
                <w:szCs w:val="18"/>
              </w:rPr>
            </w:pPr>
          </w:p>
        </w:tc>
        <w:tc>
          <w:tcPr>
            <w:tcW w:w="820" w:type="dxa"/>
            <w:tcBorders>
              <w:top w:val="nil"/>
              <w:left w:val="nil"/>
              <w:bottom w:val="nil"/>
              <w:right w:val="nil"/>
            </w:tcBorders>
            <w:shd w:val="clear" w:color="auto" w:fill="auto"/>
            <w:noWrap/>
            <w:vAlign w:val="bottom"/>
            <w:hideMark/>
          </w:tcPr>
          <w:p w14:paraId="28BF0F40" w14:textId="77777777" w:rsidR="00827B00" w:rsidRPr="00795367" w:rsidRDefault="00827B00" w:rsidP="003B7808">
            <w:pPr>
              <w:spacing w:after="0" w:line="240" w:lineRule="auto"/>
              <w:rPr>
                <w:sz w:val="18"/>
                <w:szCs w:val="18"/>
              </w:rPr>
            </w:pPr>
          </w:p>
        </w:tc>
        <w:tc>
          <w:tcPr>
            <w:tcW w:w="823" w:type="dxa"/>
            <w:tcBorders>
              <w:top w:val="nil"/>
              <w:left w:val="nil"/>
              <w:bottom w:val="nil"/>
              <w:right w:val="single" w:sz="4" w:space="0" w:color="auto"/>
            </w:tcBorders>
            <w:shd w:val="clear" w:color="auto" w:fill="auto"/>
            <w:noWrap/>
            <w:vAlign w:val="bottom"/>
            <w:hideMark/>
          </w:tcPr>
          <w:p w14:paraId="44B8CC30"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0,003</w:t>
            </w:r>
          </w:p>
        </w:tc>
      </w:tr>
      <w:tr w:rsidR="00827B00" w:rsidRPr="0020638D" w14:paraId="16D78C39" w14:textId="77777777" w:rsidTr="003B7808">
        <w:trPr>
          <w:trHeight w:val="283"/>
        </w:trPr>
        <w:tc>
          <w:tcPr>
            <w:tcW w:w="3964" w:type="dxa"/>
            <w:tcBorders>
              <w:top w:val="nil"/>
              <w:left w:val="single" w:sz="4" w:space="0" w:color="auto"/>
              <w:bottom w:val="nil"/>
              <w:right w:val="single" w:sz="4" w:space="0" w:color="auto"/>
            </w:tcBorders>
            <w:shd w:val="clear" w:color="auto" w:fill="auto"/>
            <w:noWrap/>
            <w:vAlign w:val="bottom"/>
            <w:hideMark/>
          </w:tcPr>
          <w:p w14:paraId="01CFAAD1" w14:textId="77777777" w:rsidR="00827B00" w:rsidRPr="00795367" w:rsidRDefault="00827B00" w:rsidP="003B7808">
            <w:pPr>
              <w:spacing w:after="0" w:line="240" w:lineRule="auto"/>
              <w:rPr>
                <w:rFonts w:eastAsia="Times New Roman" w:cs="Calibri"/>
                <w:b/>
                <w:bCs/>
                <w:color w:val="000000"/>
                <w:sz w:val="18"/>
                <w:szCs w:val="18"/>
                <w:lang w:eastAsia="sk-SK"/>
              </w:rPr>
            </w:pPr>
            <w:r w:rsidRPr="00795367">
              <w:rPr>
                <w:rFonts w:eastAsia="Times New Roman" w:cs="Calibri"/>
                <w:b/>
                <w:bCs/>
                <w:color w:val="000000"/>
                <w:sz w:val="18"/>
                <w:szCs w:val="18"/>
                <w:lang w:eastAsia="sk-SK"/>
              </w:rPr>
              <w:t>Prepoč. počet zam. s 6-10 rokmi pedag. praxe</w:t>
            </w:r>
          </w:p>
        </w:tc>
        <w:tc>
          <w:tcPr>
            <w:tcW w:w="858" w:type="dxa"/>
            <w:tcBorders>
              <w:top w:val="nil"/>
              <w:left w:val="nil"/>
              <w:bottom w:val="nil"/>
              <w:right w:val="nil"/>
            </w:tcBorders>
            <w:shd w:val="clear" w:color="auto" w:fill="auto"/>
            <w:noWrap/>
            <w:vAlign w:val="bottom"/>
            <w:hideMark/>
          </w:tcPr>
          <w:p w14:paraId="16D8B75F" w14:textId="77777777" w:rsidR="00827B00" w:rsidRPr="00795367" w:rsidRDefault="00827B00" w:rsidP="003B7808">
            <w:pPr>
              <w:spacing w:after="0" w:line="240" w:lineRule="auto"/>
              <w:rPr>
                <w:rFonts w:cs="Calibri"/>
                <w:color w:val="000000"/>
                <w:sz w:val="18"/>
                <w:szCs w:val="18"/>
              </w:rPr>
            </w:pPr>
          </w:p>
        </w:tc>
        <w:tc>
          <w:tcPr>
            <w:tcW w:w="850" w:type="dxa"/>
            <w:tcBorders>
              <w:top w:val="nil"/>
              <w:left w:val="nil"/>
              <w:bottom w:val="nil"/>
              <w:right w:val="nil"/>
            </w:tcBorders>
            <w:shd w:val="clear" w:color="auto" w:fill="auto"/>
            <w:noWrap/>
            <w:vAlign w:val="bottom"/>
            <w:hideMark/>
          </w:tcPr>
          <w:p w14:paraId="12FF7345" w14:textId="77777777" w:rsidR="00827B00" w:rsidRPr="00795367" w:rsidRDefault="00827B00" w:rsidP="003B7808">
            <w:pPr>
              <w:spacing w:after="0" w:line="240" w:lineRule="auto"/>
              <w:rPr>
                <w:sz w:val="18"/>
                <w:szCs w:val="18"/>
              </w:rPr>
            </w:pPr>
          </w:p>
        </w:tc>
        <w:tc>
          <w:tcPr>
            <w:tcW w:w="819" w:type="dxa"/>
            <w:tcBorders>
              <w:top w:val="nil"/>
              <w:left w:val="nil"/>
              <w:bottom w:val="nil"/>
              <w:right w:val="nil"/>
            </w:tcBorders>
            <w:shd w:val="clear" w:color="auto" w:fill="auto"/>
            <w:noWrap/>
            <w:vAlign w:val="bottom"/>
            <w:hideMark/>
          </w:tcPr>
          <w:p w14:paraId="6CF5C849" w14:textId="77777777" w:rsidR="00827B00" w:rsidRPr="00795367" w:rsidRDefault="00827B00" w:rsidP="003B7808">
            <w:pPr>
              <w:spacing w:after="0" w:line="240" w:lineRule="auto"/>
              <w:rPr>
                <w:sz w:val="18"/>
                <w:szCs w:val="18"/>
              </w:rPr>
            </w:pPr>
          </w:p>
        </w:tc>
        <w:tc>
          <w:tcPr>
            <w:tcW w:w="881" w:type="dxa"/>
            <w:tcBorders>
              <w:top w:val="nil"/>
              <w:left w:val="nil"/>
              <w:bottom w:val="nil"/>
              <w:right w:val="nil"/>
            </w:tcBorders>
            <w:shd w:val="clear" w:color="auto" w:fill="auto"/>
            <w:noWrap/>
            <w:vAlign w:val="bottom"/>
            <w:hideMark/>
          </w:tcPr>
          <w:p w14:paraId="2C119324" w14:textId="77777777" w:rsidR="00827B00" w:rsidRPr="00795367" w:rsidRDefault="00827B00" w:rsidP="003B7808">
            <w:pPr>
              <w:spacing w:after="0" w:line="240" w:lineRule="auto"/>
              <w:rPr>
                <w:sz w:val="18"/>
                <w:szCs w:val="18"/>
              </w:rPr>
            </w:pPr>
          </w:p>
        </w:tc>
        <w:tc>
          <w:tcPr>
            <w:tcW w:w="957" w:type="dxa"/>
            <w:tcBorders>
              <w:top w:val="nil"/>
              <w:left w:val="nil"/>
              <w:bottom w:val="nil"/>
              <w:right w:val="nil"/>
            </w:tcBorders>
            <w:shd w:val="clear" w:color="auto" w:fill="auto"/>
            <w:noWrap/>
            <w:vAlign w:val="bottom"/>
            <w:hideMark/>
          </w:tcPr>
          <w:p w14:paraId="39469CA0" w14:textId="77777777" w:rsidR="00827B00" w:rsidRPr="00795367" w:rsidRDefault="00827B00" w:rsidP="003B7808">
            <w:pPr>
              <w:spacing w:after="0" w:line="240" w:lineRule="auto"/>
              <w:rPr>
                <w:sz w:val="18"/>
                <w:szCs w:val="18"/>
              </w:rPr>
            </w:pPr>
          </w:p>
        </w:tc>
        <w:tc>
          <w:tcPr>
            <w:tcW w:w="886" w:type="dxa"/>
            <w:tcBorders>
              <w:top w:val="nil"/>
              <w:left w:val="nil"/>
              <w:bottom w:val="nil"/>
              <w:right w:val="nil"/>
            </w:tcBorders>
            <w:shd w:val="clear" w:color="auto" w:fill="auto"/>
            <w:noWrap/>
            <w:vAlign w:val="bottom"/>
            <w:hideMark/>
          </w:tcPr>
          <w:p w14:paraId="64F38A14" w14:textId="77777777" w:rsidR="00827B00" w:rsidRPr="00795367" w:rsidRDefault="00827B00" w:rsidP="003B7808">
            <w:pPr>
              <w:spacing w:after="0" w:line="240" w:lineRule="auto"/>
              <w:rPr>
                <w:sz w:val="18"/>
                <w:szCs w:val="18"/>
              </w:rPr>
            </w:pPr>
          </w:p>
        </w:tc>
        <w:tc>
          <w:tcPr>
            <w:tcW w:w="819" w:type="dxa"/>
            <w:tcBorders>
              <w:top w:val="nil"/>
              <w:left w:val="nil"/>
              <w:bottom w:val="nil"/>
              <w:right w:val="nil"/>
            </w:tcBorders>
            <w:shd w:val="clear" w:color="auto" w:fill="auto"/>
            <w:noWrap/>
            <w:vAlign w:val="bottom"/>
            <w:hideMark/>
          </w:tcPr>
          <w:p w14:paraId="6E0506F1" w14:textId="77777777" w:rsidR="00827B00" w:rsidRPr="00795367" w:rsidRDefault="00827B00" w:rsidP="003B7808">
            <w:pPr>
              <w:spacing w:after="0" w:line="240" w:lineRule="auto"/>
              <w:rPr>
                <w:sz w:val="18"/>
                <w:szCs w:val="18"/>
              </w:rPr>
            </w:pPr>
            <w:r w:rsidRPr="00795367">
              <w:rPr>
                <w:rFonts w:cs="Calibri"/>
                <w:color w:val="000000"/>
                <w:sz w:val="18"/>
                <w:szCs w:val="18"/>
              </w:rPr>
              <w:t> </w:t>
            </w:r>
          </w:p>
        </w:tc>
        <w:tc>
          <w:tcPr>
            <w:tcW w:w="886" w:type="dxa"/>
            <w:tcBorders>
              <w:top w:val="nil"/>
              <w:left w:val="nil"/>
              <w:bottom w:val="nil"/>
              <w:right w:val="nil"/>
            </w:tcBorders>
            <w:shd w:val="clear" w:color="auto" w:fill="auto"/>
            <w:noWrap/>
            <w:vAlign w:val="bottom"/>
            <w:hideMark/>
          </w:tcPr>
          <w:p w14:paraId="51E8380C" w14:textId="77777777" w:rsidR="00827B00" w:rsidRPr="00795367" w:rsidRDefault="00827B00" w:rsidP="003B7808">
            <w:pPr>
              <w:spacing w:after="0" w:line="240" w:lineRule="auto"/>
              <w:rPr>
                <w:sz w:val="18"/>
                <w:szCs w:val="18"/>
              </w:rPr>
            </w:pPr>
            <w:r w:rsidRPr="00795367">
              <w:rPr>
                <w:rFonts w:cs="Calibri"/>
                <w:color w:val="000000"/>
                <w:sz w:val="18"/>
                <w:szCs w:val="18"/>
              </w:rPr>
              <w:t> </w:t>
            </w:r>
          </w:p>
        </w:tc>
        <w:tc>
          <w:tcPr>
            <w:tcW w:w="982" w:type="dxa"/>
            <w:tcBorders>
              <w:top w:val="nil"/>
              <w:left w:val="nil"/>
              <w:bottom w:val="nil"/>
              <w:right w:val="nil"/>
            </w:tcBorders>
            <w:vAlign w:val="bottom"/>
          </w:tcPr>
          <w:p w14:paraId="54BAFECC" w14:textId="77777777" w:rsidR="00827B00" w:rsidRPr="00795367" w:rsidRDefault="00827B00" w:rsidP="003B7808">
            <w:pPr>
              <w:spacing w:after="0" w:line="240" w:lineRule="auto"/>
              <w:rPr>
                <w:sz w:val="18"/>
                <w:szCs w:val="18"/>
              </w:rPr>
            </w:pPr>
          </w:p>
        </w:tc>
        <w:tc>
          <w:tcPr>
            <w:tcW w:w="820" w:type="dxa"/>
            <w:tcBorders>
              <w:top w:val="nil"/>
              <w:left w:val="nil"/>
              <w:bottom w:val="nil"/>
              <w:right w:val="nil"/>
            </w:tcBorders>
            <w:shd w:val="clear" w:color="auto" w:fill="auto"/>
            <w:noWrap/>
            <w:vAlign w:val="bottom"/>
            <w:hideMark/>
          </w:tcPr>
          <w:p w14:paraId="24CDBB2B" w14:textId="77777777" w:rsidR="00827B00" w:rsidRPr="00795367" w:rsidRDefault="00827B00" w:rsidP="003B7808">
            <w:pPr>
              <w:spacing w:after="0" w:line="240" w:lineRule="auto"/>
              <w:rPr>
                <w:sz w:val="18"/>
                <w:szCs w:val="18"/>
              </w:rPr>
            </w:pPr>
          </w:p>
        </w:tc>
        <w:tc>
          <w:tcPr>
            <w:tcW w:w="823" w:type="dxa"/>
            <w:tcBorders>
              <w:top w:val="nil"/>
              <w:left w:val="nil"/>
              <w:bottom w:val="nil"/>
              <w:right w:val="single" w:sz="4" w:space="0" w:color="auto"/>
            </w:tcBorders>
            <w:shd w:val="clear" w:color="auto" w:fill="auto"/>
            <w:noWrap/>
            <w:vAlign w:val="bottom"/>
            <w:hideMark/>
          </w:tcPr>
          <w:p w14:paraId="0392190C"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-0,020**</w:t>
            </w:r>
          </w:p>
        </w:tc>
      </w:tr>
      <w:tr w:rsidR="00827B00" w:rsidRPr="0020638D" w14:paraId="51A9332B" w14:textId="77777777" w:rsidTr="003B7808">
        <w:trPr>
          <w:trHeight w:val="283"/>
        </w:trPr>
        <w:tc>
          <w:tcPr>
            <w:tcW w:w="3964" w:type="dxa"/>
            <w:tcBorders>
              <w:top w:val="nil"/>
              <w:left w:val="single" w:sz="4" w:space="0" w:color="auto"/>
              <w:bottom w:val="nil"/>
              <w:right w:val="single" w:sz="4" w:space="0" w:color="auto"/>
            </w:tcBorders>
            <w:shd w:val="clear" w:color="auto" w:fill="auto"/>
            <w:noWrap/>
            <w:vAlign w:val="bottom"/>
            <w:hideMark/>
          </w:tcPr>
          <w:p w14:paraId="662B1649" w14:textId="77777777" w:rsidR="00827B00" w:rsidRPr="00795367" w:rsidRDefault="00827B00" w:rsidP="003B7808">
            <w:pPr>
              <w:spacing w:after="0" w:line="240" w:lineRule="auto"/>
              <w:rPr>
                <w:rFonts w:eastAsia="Times New Roman" w:cs="Calibri"/>
                <w:b/>
                <w:bCs/>
                <w:color w:val="000000"/>
                <w:sz w:val="18"/>
                <w:szCs w:val="18"/>
                <w:lang w:eastAsia="sk-SK"/>
              </w:rPr>
            </w:pPr>
            <w:r w:rsidRPr="00795367">
              <w:rPr>
                <w:rFonts w:eastAsia="Times New Roman" w:cs="Calibri"/>
                <w:b/>
                <w:bCs/>
                <w:color w:val="000000"/>
                <w:sz w:val="18"/>
                <w:szCs w:val="18"/>
                <w:lang w:eastAsia="sk-SK"/>
              </w:rPr>
              <w:t>Prepoč. počet zam. s 11-20 rokmi pedag. praxe</w:t>
            </w:r>
          </w:p>
        </w:tc>
        <w:tc>
          <w:tcPr>
            <w:tcW w:w="858" w:type="dxa"/>
            <w:tcBorders>
              <w:top w:val="nil"/>
              <w:left w:val="nil"/>
              <w:bottom w:val="nil"/>
              <w:right w:val="nil"/>
            </w:tcBorders>
            <w:shd w:val="clear" w:color="auto" w:fill="auto"/>
            <w:noWrap/>
            <w:vAlign w:val="bottom"/>
            <w:hideMark/>
          </w:tcPr>
          <w:p w14:paraId="1E02D579" w14:textId="77777777" w:rsidR="00827B00" w:rsidRPr="00795367" w:rsidRDefault="00827B00" w:rsidP="003B7808">
            <w:pPr>
              <w:spacing w:after="0" w:line="240" w:lineRule="auto"/>
              <w:rPr>
                <w:rFonts w:cs="Calibri"/>
                <w:color w:val="000000"/>
                <w:sz w:val="18"/>
                <w:szCs w:val="18"/>
              </w:rPr>
            </w:pPr>
          </w:p>
        </w:tc>
        <w:tc>
          <w:tcPr>
            <w:tcW w:w="850" w:type="dxa"/>
            <w:tcBorders>
              <w:top w:val="nil"/>
              <w:left w:val="nil"/>
              <w:bottom w:val="nil"/>
              <w:right w:val="nil"/>
            </w:tcBorders>
            <w:shd w:val="clear" w:color="auto" w:fill="auto"/>
            <w:noWrap/>
            <w:vAlign w:val="bottom"/>
            <w:hideMark/>
          </w:tcPr>
          <w:p w14:paraId="6DC44C76" w14:textId="77777777" w:rsidR="00827B00" w:rsidRPr="00795367" w:rsidRDefault="00827B00" w:rsidP="003B7808">
            <w:pPr>
              <w:spacing w:after="0" w:line="240" w:lineRule="auto"/>
              <w:rPr>
                <w:sz w:val="18"/>
                <w:szCs w:val="18"/>
              </w:rPr>
            </w:pPr>
          </w:p>
        </w:tc>
        <w:tc>
          <w:tcPr>
            <w:tcW w:w="819" w:type="dxa"/>
            <w:tcBorders>
              <w:top w:val="nil"/>
              <w:left w:val="nil"/>
              <w:bottom w:val="nil"/>
              <w:right w:val="nil"/>
            </w:tcBorders>
            <w:shd w:val="clear" w:color="auto" w:fill="auto"/>
            <w:noWrap/>
            <w:vAlign w:val="bottom"/>
            <w:hideMark/>
          </w:tcPr>
          <w:p w14:paraId="1EB62BFA" w14:textId="77777777" w:rsidR="00827B00" w:rsidRPr="00795367" w:rsidRDefault="00827B00" w:rsidP="003B7808">
            <w:pPr>
              <w:spacing w:after="0" w:line="240" w:lineRule="auto"/>
              <w:rPr>
                <w:sz w:val="18"/>
                <w:szCs w:val="18"/>
              </w:rPr>
            </w:pPr>
          </w:p>
        </w:tc>
        <w:tc>
          <w:tcPr>
            <w:tcW w:w="881" w:type="dxa"/>
            <w:tcBorders>
              <w:top w:val="nil"/>
              <w:left w:val="nil"/>
              <w:bottom w:val="nil"/>
              <w:right w:val="nil"/>
            </w:tcBorders>
            <w:shd w:val="clear" w:color="auto" w:fill="auto"/>
            <w:noWrap/>
            <w:vAlign w:val="bottom"/>
            <w:hideMark/>
          </w:tcPr>
          <w:p w14:paraId="4DC1D8E1" w14:textId="77777777" w:rsidR="00827B00" w:rsidRPr="00795367" w:rsidRDefault="00827B00" w:rsidP="003B7808">
            <w:pPr>
              <w:spacing w:after="0" w:line="240" w:lineRule="auto"/>
              <w:rPr>
                <w:sz w:val="18"/>
                <w:szCs w:val="18"/>
              </w:rPr>
            </w:pPr>
          </w:p>
        </w:tc>
        <w:tc>
          <w:tcPr>
            <w:tcW w:w="957" w:type="dxa"/>
            <w:tcBorders>
              <w:top w:val="nil"/>
              <w:left w:val="nil"/>
              <w:bottom w:val="nil"/>
              <w:right w:val="nil"/>
            </w:tcBorders>
            <w:shd w:val="clear" w:color="auto" w:fill="auto"/>
            <w:noWrap/>
            <w:vAlign w:val="bottom"/>
            <w:hideMark/>
          </w:tcPr>
          <w:p w14:paraId="20AA1F62" w14:textId="77777777" w:rsidR="00827B00" w:rsidRPr="00795367" w:rsidRDefault="00827B00" w:rsidP="003B7808">
            <w:pPr>
              <w:spacing w:after="0" w:line="240" w:lineRule="auto"/>
              <w:rPr>
                <w:sz w:val="18"/>
                <w:szCs w:val="18"/>
              </w:rPr>
            </w:pPr>
          </w:p>
        </w:tc>
        <w:tc>
          <w:tcPr>
            <w:tcW w:w="886" w:type="dxa"/>
            <w:tcBorders>
              <w:top w:val="nil"/>
              <w:left w:val="nil"/>
              <w:bottom w:val="nil"/>
              <w:right w:val="nil"/>
            </w:tcBorders>
            <w:shd w:val="clear" w:color="auto" w:fill="auto"/>
            <w:noWrap/>
            <w:vAlign w:val="bottom"/>
            <w:hideMark/>
          </w:tcPr>
          <w:p w14:paraId="3982BECE" w14:textId="77777777" w:rsidR="00827B00" w:rsidRPr="00795367" w:rsidRDefault="00827B00" w:rsidP="003B7808">
            <w:pPr>
              <w:spacing w:after="0" w:line="240" w:lineRule="auto"/>
              <w:rPr>
                <w:sz w:val="18"/>
                <w:szCs w:val="18"/>
              </w:rPr>
            </w:pPr>
          </w:p>
        </w:tc>
        <w:tc>
          <w:tcPr>
            <w:tcW w:w="819" w:type="dxa"/>
            <w:tcBorders>
              <w:top w:val="nil"/>
              <w:left w:val="nil"/>
              <w:bottom w:val="nil"/>
              <w:right w:val="nil"/>
            </w:tcBorders>
            <w:shd w:val="clear" w:color="auto" w:fill="auto"/>
            <w:noWrap/>
            <w:vAlign w:val="bottom"/>
            <w:hideMark/>
          </w:tcPr>
          <w:p w14:paraId="67DEB442" w14:textId="77777777" w:rsidR="00827B00" w:rsidRPr="00795367" w:rsidRDefault="00827B00" w:rsidP="003B7808">
            <w:pPr>
              <w:spacing w:after="0" w:line="240" w:lineRule="auto"/>
              <w:rPr>
                <w:sz w:val="18"/>
                <w:szCs w:val="18"/>
              </w:rPr>
            </w:pPr>
            <w:r w:rsidRPr="00795367">
              <w:rPr>
                <w:rFonts w:cs="Calibri"/>
                <w:color w:val="000000"/>
                <w:sz w:val="18"/>
                <w:szCs w:val="18"/>
              </w:rPr>
              <w:t> </w:t>
            </w:r>
          </w:p>
        </w:tc>
        <w:tc>
          <w:tcPr>
            <w:tcW w:w="886" w:type="dxa"/>
            <w:tcBorders>
              <w:top w:val="nil"/>
              <w:left w:val="nil"/>
              <w:bottom w:val="nil"/>
              <w:right w:val="nil"/>
            </w:tcBorders>
            <w:shd w:val="clear" w:color="auto" w:fill="auto"/>
            <w:noWrap/>
            <w:vAlign w:val="bottom"/>
            <w:hideMark/>
          </w:tcPr>
          <w:p w14:paraId="65B6367E" w14:textId="77777777" w:rsidR="00827B00" w:rsidRPr="00795367" w:rsidRDefault="00827B00" w:rsidP="003B7808">
            <w:pPr>
              <w:spacing w:after="0" w:line="240" w:lineRule="auto"/>
              <w:rPr>
                <w:sz w:val="18"/>
                <w:szCs w:val="18"/>
              </w:rPr>
            </w:pPr>
            <w:r w:rsidRPr="00795367">
              <w:rPr>
                <w:rFonts w:cs="Calibri"/>
                <w:color w:val="000000"/>
                <w:sz w:val="18"/>
                <w:szCs w:val="18"/>
              </w:rPr>
              <w:t> </w:t>
            </w:r>
          </w:p>
        </w:tc>
        <w:tc>
          <w:tcPr>
            <w:tcW w:w="982" w:type="dxa"/>
            <w:tcBorders>
              <w:top w:val="nil"/>
              <w:left w:val="nil"/>
              <w:bottom w:val="nil"/>
              <w:right w:val="nil"/>
            </w:tcBorders>
            <w:vAlign w:val="bottom"/>
          </w:tcPr>
          <w:p w14:paraId="1A557CE8" w14:textId="77777777" w:rsidR="00827B00" w:rsidRPr="00795367" w:rsidRDefault="00827B00" w:rsidP="003B7808">
            <w:pPr>
              <w:spacing w:after="0" w:line="240" w:lineRule="auto"/>
              <w:rPr>
                <w:sz w:val="18"/>
                <w:szCs w:val="18"/>
              </w:rPr>
            </w:pPr>
          </w:p>
        </w:tc>
        <w:tc>
          <w:tcPr>
            <w:tcW w:w="820" w:type="dxa"/>
            <w:tcBorders>
              <w:top w:val="nil"/>
              <w:left w:val="nil"/>
              <w:bottom w:val="nil"/>
              <w:right w:val="nil"/>
            </w:tcBorders>
            <w:shd w:val="clear" w:color="auto" w:fill="auto"/>
            <w:noWrap/>
            <w:vAlign w:val="bottom"/>
            <w:hideMark/>
          </w:tcPr>
          <w:p w14:paraId="5CA590CB" w14:textId="77777777" w:rsidR="00827B00" w:rsidRPr="00795367" w:rsidRDefault="00827B00" w:rsidP="003B7808">
            <w:pPr>
              <w:spacing w:after="0" w:line="240" w:lineRule="auto"/>
              <w:rPr>
                <w:sz w:val="18"/>
                <w:szCs w:val="18"/>
              </w:rPr>
            </w:pPr>
          </w:p>
        </w:tc>
        <w:tc>
          <w:tcPr>
            <w:tcW w:w="823" w:type="dxa"/>
            <w:tcBorders>
              <w:top w:val="nil"/>
              <w:left w:val="nil"/>
              <w:bottom w:val="nil"/>
              <w:right w:val="single" w:sz="4" w:space="0" w:color="auto"/>
            </w:tcBorders>
            <w:shd w:val="clear" w:color="auto" w:fill="auto"/>
            <w:noWrap/>
            <w:vAlign w:val="bottom"/>
            <w:hideMark/>
          </w:tcPr>
          <w:p w14:paraId="56B0A4A5"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0,027***</w:t>
            </w:r>
          </w:p>
        </w:tc>
      </w:tr>
      <w:tr w:rsidR="00827B00" w:rsidRPr="0020638D" w14:paraId="3044444C" w14:textId="77777777" w:rsidTr="003B7808">
        <w:trPr>
          <w:trHeight w:val="283"/>
        </w:trPr>
        <w:tc>
          <w:tcPr>
            <w:tcW w:w="3964" w:type="dxa"/>
            <w:tcBorders>
              <w:top w:val="nil"/>
              <w:left w:val="single" w:sz="4" w:space="0" w:color="auto"/>
              <w:bottom w:val="nil"/>
              <w:right w:val="single" w:sz="4" w:space="0" w:color="auto"/>
            </w:tcBorders>
            <w:shd w:val="clear" w:color="auto" w:fill="auto"/>
            <w:noWrap/>
            <w:vAlign w:val="bottom"/>
            <w:hideMark/>
          </w:tcPr>
          <w:p w14:paraId="631CE1AB" w14:textId="77777777" w:rsidR="00827B00" w:rsidRPr="00795367" w:rsidRDefault="00827B00" w:rsidP="003B7808">
            <w:pPr>
              <w:spacing w:after="0" w:line="240" w:lineRule="auto"/>
              <w:rPr>
                <w:rFonts w:eastAsia="Times New Roman" w:cs="Calibri"/>
                <w:b/>
                <w:bCs/>
                <w:color w:val="000000"/>
                <w:sz w:val="18"/>
                <w:szCs w:val="18"/>
                <w:lang w:eastAsia="sk-SK"/>
              </w:rPr>
            </w:pPr>
            <w:r w:rsidRPr="00795367">
              <w:rPr>
                <w:rFonts w:eastAsia="Times New Roman" w:cs="Calibri"/>
                <w:b/>
                <w:bCs/>
                <w:color w:val="000000"/>
                <w:sz w:val="18"/>
                <w:szCs w:val="18"/>
                <w:lang w:eastAsia="sk-SK"/>
              </w:rPr>
              <w:t>Prepoč. počet zam. s 21-30 rokmi pedag. praxe</w:t>
            </w:r>
          </w:p>
        </w:tc>
        <w:tc>
          <w:tcPr>
            <w:tcW w:w="858" w:type="dxa"/>
            <w:tcBorders>
              <w:top w:val="nil"/>
              <w:left w:val="nil"/>
              <w:bottom w:val="nil"/>
              <w:right w:val="nil"/>
            </w:tcBorders>
            <w:shd w:val="clear" w:color="auto" w:fill="auto"/>
            <w:noWrap/>
            <w:vAlign w:val="bottom"/>
            <w:hideMark/>
          </w:tcPr>
          <w:p w14:paraId="660A5049" w14:textId="77777777" w:rsidR="00827B00" w:rsidRPr="00795367" w:rsidRDefault="00827B00" w:rsidP="003B7808">
            <w:pPr>
              <w:spacing w:after="0" w:line="240" w:lineRule="auto"/>
              <w:rPr>
                <w:rFonts w:cs="Calibri"/>
                <w:color w:val="000000"/>
                <w:sz w:val="18"/>
                <w:szCs w:val="18"/>
              </w:rPr>
            </w:pPr>
          </w:p>
        </w:tc>
        <w:tc>
          <w:tcPr>
            <w:tcW w:w="850" w:type="dxa"/>
            <w:tcBorders>
              <w:top w:val="nil"/>
              <w:left w:val="nil"/>
              <w:bottom w:val="nil"/>
              <w:right w:val="nil"/>
            </w:tcBorders>
            <w:shd w:val="clear" w:color="auto" w:fill="auto"/>
            <w:noWrap/>
            <w:vAlign w:val="bottom"/>
            <w:hideMark/>
          </w:tcPr>
          <w:p w14:paraId="34B6E154" w14:textId="77777777" w:rsidR="00827B00" w:rsidRPr="00795367" w:rsidRDefault="00827B00" w:rsidP="003B7808">
            <w:pPr>
              <w:spacing w:after="0" w:line="240" w:lineRule="auto"/>
              <w:rPr>
                <w:sz w:val="18"/>
                <w:szCs w:val="18"/>
              </w:rPr>
            </w:pPr>
          </w:p>
        </w:tc>
        <w:tc>
          <w:tcPr>
            <w:tcW w:w="819" w:type="dxa"/>
            <w:tcBorders>
              <w:top w:val="nil"/>
              <w:left w:val="nil"/>
              <w:bottom w:val="nil"/>
              <w:right w:val="nil"/>
            </w:tcBorders>
            <w:shd w:val="clear" w:color="auto" w:fill="auto"/>
            <w:noWrap/>
            <w:vAlign w:val="bottom"/>
            <w:hideMark/>
          </w:tcPr>
          <w:p w14:paraId="66EF2110" w14:textId="77777777" w:rsidR="00827B00" w:rsidRPr="00795367" w:rsidRDefault="00827B00" w:rsidP="003B7808">
            <w:pPr>
              <w:spacing w:after="0" w:line="240" w:lineRule="auto"/>
              <w:rPr>
                <w:sz w:val="18"/>
                <w:szCs w:val="18"/>
              </w:rPr>
            </w:pPr>
          </w:p>
        </w:tc>
        <w:tc>
          <w:tcPr>
            <w:tcW w:w="881" w:type="dxa"/>
            <w:tcBorders>
              <w:top w:val="nil"/>
              <w:left w:val="nil"/>
              <w:bottom w:val="nil"/>
              <w:right w:val="nil"/>
            </w:tcBorders>
            <w:shd w:val="clear" w:color="auto" w:fill="auto"/>
            <w:noWrap/>
            <w:vAlign w:val="bottom"/>
            <w:hideMark/>
          </w:tcPr>
          <w:p w14:paraId="7ED462F0" w14:textId="77777777" w:rsidR="00827B00" w:rsidRPr="00795367" w:rsidRDefault="00827B00" w:rsidP="003B7808">
            <w:pPr>
              <w:spacing w:after="0" w:line="240" w:lineRule="auto"/>
              <w:rPr>
                <w:sz w:val="18"/>
                <w:szCs w:val="18"/>
              </w:rPr>
            </w:pPr>
          </w:p>
        </w:tc>
        <w:tc>
          <w:tcPr>
            <w:tcW w:w="957" w:type="dxa"/>
            <w:tcBorders>
              <w:top w:val="nil"/>
              <w:left w:val="nil"/>
              <w:bottom w:val="nil"/>
              <w:right w:val="nil"/>
            </w:tcBorders>
            <w:shd w:val="clear" w:color="auto" w:fill="auto"/>
            <w:noWrap/>
            <w:vAlign w:val="bottom"/>
            <w:hideMark/>
          </w:tcPr>
          <w:p w14:paraId="34E48241" w14:textId="77777777" w:rsidR="00827B00" w:rsidRPr="00795367" w:rsidRDefault="00827B00" w:rsidP="003B7808">
            <w:pPr>
              <w:spacing w:after="0" w:line="240" w:lineRule="auto"/>
              <w:rPr>
                <w:sz w:val="18"/>
                <w:szCs w:val="18"/>
              </w:rPr>
            </w:pPr>
          </w:p>
        </w:tc>
        <w:tc>
          <w:tcPr>
            <w:tcW w:w="886" w:type="dxa"/>
            <w:tcBorders>
              <w:top w:val="nil"/>
              <w:left w:val="nil"/>
              <w:bottom w:val="nil"/>
              <w:right w:val="nil"/>
            </w:tcBorders>
            <w:shd w:val="clear" w:color="auto" w:fill="auto"/>
            <w:noWrap/>
            <w:vAlign w:val="bottom"/>
            <w:hideMark/>
          </w:tcPr>
          <w:p w14:paraId="3D65D533" w14:textId="77777777" w:rsidR="00827B00" w:rsidRPr="00795367" w:rsidRDefault="00827B00" w:rsidP="003B7808">
            <w:pPr>
              <w:spacing w:after="0" w:line="240" w:lineRule="auto"/>
              <w:rPr>
                <w:sz w:val="18"/>
                <w:szCs w:val="18"/>
              </w:rPr>
            </w:pPr>
          </w:p>
        </w:tc>
        <w:tc>
          <w:tcPr>
            <w:tcW w:w="819" w:type="dxa"/>
            <w:tcBorders>
              <w:top w:val="nil"/>
              <w:left w:val="nil"/>
              <w:bottom w:val="nil"/>
              <w:right w:val="nil"/>
            </w:tcBorders>
            <w:shd w:val="clear" w:color="auto" w:fill="auto"/>
            <w:noWrap/>
            <w:vAlign w:val="bottom"/>
            <w:hideMark/>
          </w:tcPr>
          <w:p w14:paraId="06B0DA5A" w14:textId="77777777" w:rsidR="00827B00" w:rsidRPr="00795367" w:rsidRDefault="00827B00" w:rsidP="003B7808">
            <w:pPr>
              <w:spacing w:after="0" w:line="240" w:lineRule="auto"/>
              <w:rPr>
                <w:sz w:val="18"/>
                <w:szCs w:val="18"/>
              </w:rPr>
            </w:pPr>
            <w:r w:rsidRPr="00795367">
              <w:rPr>
                <w:rFonts w:cs="Calibri"/>
                <w:color w:val="000000"/>
                <w:sz w:val="18"/>
                <w:szCs w:val="18"/>
              </w:rPr>
              <w:t> </w:t>
            </w:r>
          </w:p>
        </w:tc>
        <w:tc>
          <w:tcPr>
            <w:tcW w:w="886" w:type="dxa"/>
            <w:tcBorders>
              <w:top w:val="nil"/>
              <w:left w:val="nil"/>
              <w:bottom w:val="nil"/>
              <w:right w:val="nil"/>
            </w:tcBorders>
            <w:shd w:val="clear" w:color="auto" w:fill="auto"/>
            <w:noWrap/>
            <w:vAlign w:val="bottom"/>
            <w:hideMark/>
          </w:tcPr>
          <w:p w14:paraId="49B5537C" w14:textId="77777777" w:rsidR="00827B00" w:rsidRPr="00795367" w:rsidRDefault="00827B00" w:rsidP="003B7808">
            <w:pPr>
              <w:spacing w:after="0" w:line="240" w:lineRule="auto"/>
              <w:rPr>
                <w:sz w:val="18"/>
                <w:szCs w:val="18"/>
              </w:rPr>
            </w:pPr>
            <w:r w:rsidRPr="00795367">
              <w:rPr>
                <w:rFonts w:cs="Calibri"/>
                <w:color w:val="000000"/>
                <w:sz w:val="18"/>
                <w:szCs w:val="18"/>
              </w:rPr>
              <w:t> </w:t>
            </w:r>
          </w:p>
        </w:tc>
        <w:tc>
          <w:tcPr>
            <w:tcW w:w="982" w:type="dxa"/>
            <w:tcBorders>
              <w:top w:val="nil"/>
              <w:left w:val="nil"/>
              <w:bottom w:val="nil"/>
              <w:right w:val="nil"/>
            </w:tcBorders>
            <w:vAlign w:val="bottom"/>
          </w:tcPr>
          <w:p w14:paraId="4C509D01" w14:textId="77777777" w:rsidR="00827B00" w:rsidRPr="00795367" w:rsidRDefault="00827B00" w:rsidP="003B7808">
            <w:pPr>
              <w:spacing w:after="0" w:line="240" w:lineRule="auto"/>
              <w:rPr>
                <w:sz w:val="18"/>
                <w:szCs w:val="18"/>
              </w:rPr>
            </w:pPr>
          </w:p>
        </w:tc>
        <w:tc>
          <w:tcPr>
            <w:tcW w:w="820" w:type="dxa"/>
            <w:tcBorders>
              <w:top w:val="nil"/>
              <w:left w:val="nil"/>
              <w:bottom w:val="nil"/>
              <w:right w:val="nil"/>
            </w:tcBorders>
            <w:shd w:val="clear" w:color="auto" w:fill="auto"/>
            <w:noWrap/>
            <w:vAlign w:val="bottom"/>
            <w:hideMark/>
          </w:tcPr>
          <w:p w14:paraId="4BA40ADA" w14:textId="77777777" w:rsidR="00827B00" w:rsidRPr="00795367" w:rsidRDefault="00827B00" w:rsidP="003B7808">
            <w:pPr>
              <w:spacing w:after="0" w:line="240" w:lineRule="auto"/>
              <w:rPr>
                <w:sz w:val="18"/>
                <w:szCs w:val="18"/>
              </w:rPr>
            </w:pPr>
          </w:p>
        </w:tc>
        <w:tc>
          <w:tcPr>
            <w:tcW w:w="823" w:type="dxa"/>
            <w:tcBorders>
              <w:top w:val="nil"/>
              <w:left w:val="nil"/>
              <w:bottom w:val="nil"/>
              <w:right w:val="single" w:sz="4" w:space="0" w:color="auto"/>
            </w:tcBorders>
            <w:shd w:val="clear" w:color="auto" w:fill="auto"/>
            <w:noWrap/>
            <w:vAlign w:val="bottom"/>
            <w:hideMark/>
          </w:tcPr>
          <w:p w14:paraId="6F411EB7"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0,012</w:t>
            </w:r>
          </w:p>
        </w:tc>
      </w:tr>
      <w:tr w:rsidR="00827B00" w:rsidRPr="0020638D" w14:paraId="2B0BE746" w14:textId="77777777" w:rsidTr="003B7808">
        <w:trPr>
          <w:trHeight w:val="283"/>
        </w:trPr>
        <w:tc>
          <w:tcPr>
            <w:tcW w:w="3964" w:type="dxa"/>
            <w:tcBorders>
              <w:top w:val="nil"/>
              <w:left w:val="single" w:sz="4" w:space="0" w:color="auto"/>
              <w:bottom w:val="nil"/>
              <w:right w:val="single" w:sz="4" w:space="0" w:color="auto"/>
            </w:tcBorders>
            <w:shd w:val="clear" w:color="auto" w:fill="auto"/>
            <w:noWrap/>
            <w:vAlign w:val="bottom"/>
            <w:hideMark/>
          </w:tcPr>
          <w:p w14:paraId="45FCEE27" w14:textId="77777777" w:rsidR="00827B00" w:rsidRPr="00795367" w:rsidRDefault="00827B00" w:rsidP="003B7808">
            <w:pPr>
              <w:spacing w:after="0" w:line="240" w:lineRule="auto"/>
              <w:rPr>
                <w:rFonts w:eastAsia="Times New Roman" w:cs="Calibri"/>
                <w:b/>
                <w:bCs/>
                <w:color w:val="000000"/>
                <w:sz w:val="18"/>
                <w:szCs w:val="18"/>
                <w:lang w:eastAsia="sk-SK"/>
              </w:rPr>
            </w:pPr>
            <w:r w:rsidRPr="00795367">
              <w:rPr>
                <w:rFonts w:eastAsia="Times New Roman" w:cs="Calibri"/>
                <w:b/>
                <w:bCs/>
                <w:color w:val="000000"/>
                <w:sz w:val="18"/>
                <w:szCs w:val="18"/>
                <w:lang w:eastAsia="sk-SK"/>
              </w:rPr>
              <w:t>Prepoč. počet zam. s 31-40 rokmi pedag. praxe</w:t>
            </w:r>
          </w:p>
        </w:tc>
        <w:tc>
          <w:tcPr>
            <w:tcW w:w="858" w:type="dxa"/>
            <w:tcBorders>
              <w:top w:val="nil"/>
              <w:left w:val="nil"/>
              <w:bottom w:val="nil"/>
              <w:right w:val="nil"/>
            </w:tcBorders>
            <w:shd w:val="clear" w:color="auto" w:fill="auto"/>
            <w:noWrap/>
            <w:vAlign w:val="bottom"/>
            <w:hideMark/>
          </w:tcPr>
          <w:p w14:paraId="13492024" w14:textId="77777777" w:rsidR="00827B00" w:rsidRPr="00795367" w:rsidRDefault="00827B00" w:rsidP="003B7808">
            <w:pPr>
              <w:spacing w:after="0" w:line="240" w:lineRule="auto"/>
              <w:rPr>
                <w:rFonts w:cs="Calibri"/>
                <w:color w:val="000000"/>
                <w:sz w:val="18"/>
                <w:szCs w:val="18"/>
              </w:rPr>
            </w:pPr>
          </w:p>
        </w:tc>
        <w:tc>
          <w:tcPr>
            <w:tcW w:w="850" w:type="dxa"/>
            <w:tcBorders>
              <w:top w:val="nil"/>
              <w:left w:val="nil"/>
              <w:bottom w:val="nil"/>
              <w:right w:val="nil"/>
            </w:tcBorders>
            <w:shd w:val="clear" w:color="auto" w:fill="auto"/>
            <w:noWrap/>
            <w:vAlign w:val="bottom"/>
            <w:hideMark/>
          </w:tcPr>
          <w:p w14:paraId="7762D3F9" w14:textId="77777777" w:rsidR="00827B00" w:rsidRPr="00795367" w:rsidRDefault="00827B00" w:rsidP="003B7808">
            <w:pPr>
              <w:spacing w:after="0" w:line="240" w:lineRule="auto"/>
              <w:rPr>
                <w:sz w:val="18"/>
                <w:szCs w:val="18"/>
              </w:rPr>
            </w:pPr>
          </w:p>
        </w:tc>
        <w:tc>
          <w:tcPr>
            <w:tcW w:w="819" w:type="dxa"/>
            <w:tcBorders>
              <w:top w:val="nil"/>
              <w:left w:val="nil"/>
              <w:bottom w:val="nil"/>
              <w:right w:val="nil"/>
            </w:tcBorders>
            <w:shd w:val="clear" w:color="auto" w:fill="auto"/>
            <w:noWrap/>
            <w:vAlign w:val="bottom"/>
            <w:hideMark/>
          </w:tcPr>
          <w:p w14:paraId="256B01ED" w14:textId="77777777" w:rsidR="00827B00" w:rsidRPr="00795367" w:rsidRDefault="00827B00" w:rsidP="003B7808">
            <w:pPr>
              <w:spacing w:after="0" w:line="240" w:lineRule="auto"/>
              <w:rPr>
                <w:sz w:val="18"/>
                <w:szCs w:val="18"/>
              </w:rPr>
            </w:pPr>
          </w:p>
        </w:tc>
        <w:tc>
          <w:tcPr>
            <w:tcW w:w="881" w:type="dxa"/>
            <w:tcBorders>
              <w:top w:val="nil"/>
              <w:left w:val="nil"/>
              <w:bottom w:val="nil"/>
              <w:right w:val="nil"/>
            </w:tcBorders>
            <w:shd w:val="clear" w:color="auto" w:fill="auto"/>
            <w:noWrap/>
            <w:vAlign w:val="bottom"/>
            <w:hideMark/>
          </w:tcPr>
          <w:p w14:paraId="1535AE5A" w14:textId="77777777" w:rsidR="00827B00" w:rsidRPr="00795367" w:rsidRDefault="00827B00" w:rsidP="003B7808">
            <w:pPr>
              <w:spacing w:after="0" w:line="240" w:lineRule="auto"/>
              <w:rPr>
                <w:sz w:val="18"/>
                <w:szCs w:val="18"/>
              </w:rPr>
            </w:pPr>
          </w:p>
        </w:tc>
        <w:tc>
          <w:tcPr>
            <w:tcW w:w="957" w:type="dxa"/>
            <w:tcBorders>
              <w:top w:val="nil"/>
              <w:left w:val="nil"/>
              <w:bottom w:val="nil"/>
              <w:right w:val="nil"/>
            </w:tcBorders>
            <w:shd w:val="clear" w:color="auto" w:fill="auto"/>
            <w:noWrap/>
            <w:vAlign w:val="bottom"/>
            <w:hideMark/>
          </w:tcPr>
          <w:p w14:paraId="476E7096" w14:textId="77777777" w:rsidR="00827B00" w:rsidRPr="00795367" w:rsidRDefault="00827B00" w:rsidP="003B7808">
            <w:pPr>
              <w:spacing w:after="0" w:line="240" w:lineRule="auto"/>
              <w:rPr>
                <w:sz w:val="18"/>
                <w:szCs w:val="18"/>
              </w:rPr>
            </w:pPr>
          </w:p>
        </w:tc>
        <w:tc>
          <w:tcPr>
            <w:tcW w:w="886" w:type="dxa"/>
            <w:tcBorders>
              <w:top w:val="nil"/>
              <w:left w:val="nil"/>
              <w:bottom w:val="nil"/>
              <w:right w:val="nil"/>
            </w:tcBorders>
            <w:shd w:val="clear" w:color="auto" w:fill="auto"/>
            <w:noWrap/>
            <w:vAlign w:val="bottom"/>
            <w:hideMark/>
          </w:tcPr>
          <w:p w14:paraId="72E205AD" w14:textId="77777777" w:rsidR="00827B00" w:rsidRPr="00795367" w:rsidRDefault="00827B00" w:rsidP="003B7808">
            <w:pPr>
              <w:spacing w:after="0" w:line="240" w:lineRule="auto"/>
              <w:rPr>
                <w:sz w:val="18"/>
                <w:szCs w:val="18"/>
              </w:rPr>
            </w:pPr>
          </w:p>
        </w:tc>
        <w:tc>
          <w:tcPr>
            <w:tcW w:w="819" w:type="dxa"/>
            <w:tcBorders>
              <w:top w:val="nil"/>
              <w:left w:val="nil"/>
              <w:bottom w:val="nil"/>
              <w:right w:val="nil"/>
            </w:tcBorders>
            <w:shd w:val="clear" w:color="auto" w:fill="auto"/>
            <w:noWrap/>
            <w:vAlign w:val="bottom"/>
            <w:hideMark/>
          </w:tcPr>
          <w:p w14:paraId="6400C039" w14:textId="77777777" w:rsidR="00827B00" w:rsidRPr="00795367" w:rsidRDefault="00827B00" w:rsidP="003B7808">
            <w:pPr>
              <w:spacing w:after="0" w:line="240" w:lineRule="auto"/>
              <w:rPr>
                <w:sz w:val="18"/>
                <w:szCs w:val="18"/>
              </w:rPr>
            </w:pPr>
            <w:r w:rsidRPr="00795367">
              <w:rPr>
                <w:rFonts w:cs="Calibri"/>
                <w:color w:val="000000"/>
                <w:sz w:val="18"/>
                <w:szCs w:val="18"/>
              </w:rPr>
              <w:t> </w:t>
            </w:r>
          </w:p>
        </w:tc>
        <w:tc>
          <w:tcPr>
            <w:tcW w:w="886" w:type="dxa"/>
            <w:tcBorders>
              <w:top w:val="nil"/>
              <w:left w:val="nil"/>
              <w:bottom w:val="nil"/>
              <w:right w:val="nil"/>
            </w:tcBorders>
            <w:shd w:val="clear" w:color="auto" w:fill="auto"/>
            <w:noWrap/>
            <w:vAlign w:val="bottom"/>
            <w:hideMark/>
          </w:tcPr>
          <w:p w14:paraId="0BDB26A6" w14:textId="77777777" w:rsidR="00827B00" w:rsidRPr="00795367" w:rsidRDefault="00827B00" w:rsidP="003B7808">
            <w:pPr>
              <w:spacing w:after="0" w:line="240" w:lineRule="auto"/>
              <w:rPr>
                <w:sz w:val="18"/>
                <w:szCs w:val="18"/>
              </w:rPr>
            </w:pPr>
            <w:r w:rsidRPr="00795367">
              <w:rPr>
                <w:rFonts w:cs="Calibri"/>
                <w:color w:val="000000"/>
                <w:sz w:val="18"/>
                <w:szCs w:val="18"/>
              </w:rPr>
              <w:t> </w:t>
            </w:r>
          </w:p>
        </w:tc>
        <w:tc>
          <w:tcPr>
            <w:tcW w:w="982" w:type="dxa"/>
            <w:tcBorders>
              <w:top w:val="nil"/>
              <w:left w:val="nil"/>
              <w:bottom w:val="nil"/>
              <w:right w:val="nil"/>
            </w:tcBorders>
            <w:vAlign w:val="bottom"/>
          </w:tcPr>
          <w:p w14:paraId="71665CE8" w14:textId="77777777" w:rsidR="00827B00" w:rsidRPr="00795367" w:rsidRDefault="00827B00" w:rsidP="003B7808">
            <w:pPr>
              <w:spacing w:after="0" w:line="240" w:lineRule="auto"/>
              <w:rPr>
                <w:sz w:val="18"/>
                <w:szCs w:val="18"/>
              </w:rPr>
            </w:pPr>
          </w:p>
        </w:tc>
        <w:tc>
          <w:tcPr>
            <w:tcW w:w="820" w:type="dxa"/>
            <w:tcBorders>
              <w:top w:val="nil"/>
              <w:left w:val="nil"/>
              <w:bottom w:val="nil"/>
              <w:right w:val="nil"/>
            </w:tcBorders>
            <w:shd w:val="clear" w:color="auto" w:fill="auto"/>
            <w:noWrap/>
            <w:vAlign w:val="bottom"/>
            <w:hideMark/>
          </w:tcPr>
          <w:p w14:paraId="7F072FBB" w14:textId="77777777" w:rsidR="00827B00" w:rsidRPr="00795367" w:rsidRDefault="00827B00" w:rsidP="003B7808">
            <w:pPr>
              <w:spacing w:after="0" w:line="240" w:lineRule="auto"/>
              <w:rPr>
                <w:sz w:val="18"/>
                <w:szCs w:val="18"/>
              </w:rPr>
            </w:pPr>
          </w:p>
        </w:tc>
        <w:tc>
          <w:tcPr>
            <w:tcW w:w="823" w:type="dxa"/>
            <w:tcBorders>
              <w:top w:val="nil"/>
              <w:left w:val="nil"/>
              <w:bottom w:val="nil"/>
              <w:right w:val="single" w:sz="4" w:space="0" w:color="auto"/>
            </w:tcBorders>
            <w:shd w:val="clear" w:color="auto" w:fill="auto"/>
            <w:noWrap/>
            <w:vAlign w:val="bottom"/>
            <w:hideMark/>
          </w:tcPr>
          <w:p w14:paraId="51BF1816"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0,054***</w:t>
            </w:r>
          </w:p>
        </w:tc>
      </w:tr>
      <w:tr w:rsidR="00827B00" w:rsidRPr="0020638D" w14:paraId="63E887C5" w14:textId="77777777" w:rsidTr="003B7808">
        <w:trPr>
          <w:trHeight w:val="283"/>
        </w:trPr>
        <w:tc>
          <w:tcPr>
            <w:tcW w:w="3964" w:type="dxa"/>
            <w:tcBorders>
              <w:top w:val="nil"/>
              <w:left w:val="single" w:sz="4" w:space="0" w:color="auto"/>
              <w:bottom w:val="nil"/>
              <w:right w:val="single" w:sz="4" w:space="0" w:color="auto"/>
            </w:tcBorders>
            <w:shd w:val="clear" w:color="auto" w:fill="auto"/>
            <w:noWrap/>
            <w:vAlign w:val="bottom"/>
            <w:hideMark/>
          </w:tcPr>
          <w:p w14:paraId="02B435C2" w14:textId="77777777" w:rsidR="00827B00" w:rsidRPr="00795367" w:rsidRDefault="00827B00" w:rsidP="003B7808">
            <w:pPr>
              <w:spacing w:after="0" w:line="240" w:lineRule="auto"/>
              <w:rPr>
                <w:rFonts w:eastAsia="Times New Roman" w:cs="Calibri"/>
                <w:b/>
                <w:bCs/>
                <w:color w:val="000000"/>
                <w:sz w:val="18"/>
                <w:szCs w:val="18"/>
                <w:lang w:eastAsia="sk-SK"/>
              </w:rPr>
            </w:pPr>
            <w:r w:rsidRPr="00795367">
              <w:rPr>
                <w:rFonts w:eastAsia="Times New Roman" w:cs="Calibri"/>
                <w:b/>
                <w:bCs/>
                <w:color w:val="000000"/>
                <w:sz w:val="18"/>
                <w:szCs w:val="18"/>
                <w:lang w:eastAsia="sk-SK"/>
              </w:rPr>
              <w:t>Prepoč. počet zam. s viac ako 40 rokmi ped. praxe</w:t>
            </w:r>
          </w:p>
        </w:tc>
        <w:tc>
          <w:tcPr>
            <w:tcW w:w="858" w:type="dxa"/>
            <w:tcBorders>
              <w:top w:val="nil"/>
              <w:left w:val="nil"/>
              <w:bottom w:val="nil"/>
              <w:right w:val="nil"/>
            </w:tcBorders>
            <w:shd w:val="clear" w:color="auto" w:fill="auto"/>
            <w:noWrap/>
            <w:vAlign w:val="bottom"/>
            <w:hideMark/>
          </w:tcPr>
          <w:p w14:paraId="567F1856" w14:textId="77777777" w:rsidR="00827B00" w:rsidRPr="00795367" w:rsidRDefault="00827B00" w:rsidP="003B7808">
            <w:pPr>
              <w:spacing w:after="0" w:line="240" w:lineRule="auto"/>
              <w:rPr>
                <w:rFonts w:cs="Calibri"/>
                <w:color w:val="000000"/>
                <w:sz w:val="18"/>
                <w:szCs w:val="18"/>
              </w:rPr>
            </w:pPr>
          </w:p>
        </w:tc>
        <w:tc>
          <w:tcPr>
            <w:tcW w:w="850" w:type="dxa"/>
            <w:tcBorders>
              <w:top w:val="nil"/>
              <w:left w:val="nil"/>
              <w:bottom w:val="nil"/>
              <w:right w:val="nil"/>
            </w:tcBorders>
            <w:shd w:val="clear" w:color="auto" w:fill="auto"/>
            <w:noWrap/>
            <w:vAlign w:val="bottom"/>
            <w:hideMark/>
          </w:tcPr>
          <w:p w14:paraId="64D5724F" w14:textId="77777777" w:rsidR="00827B00" w:rsidRPr="00795367" w:rsidRDefault="00827B00" w:rsidP="003B7808">
            <w:pPr>
              <w:spacing w:after="0" w:line="240" w:lineRule="auto"/>
              <w:rPr>
                <w:sz w:val="18"/>
                <w:szCs w:val="18"/>
              </w:rPr>
            </w:pPr>
          </w:p>
        </w:tc>
        <w:tc>
          <w:tcPr>
            <w:tcW w:w="819" w:type="dxa"/>
            <w:tcBorders>
              <w:top w:val="nil"/>
              <w:left w:val="nil"/>
              <w:bottom w:val="nil"/>
              <w:right w:val="nil"/>
            </w:tcBorders>
            <w:shd w:val="clear" w:color="auto" w:fill="auto"/>
            <w:noWrap/>
            <w:vAlign w:val="bottom"/>
            <w:hideMark/>
          </w:tcPr>
          <w:p w14:paraId="6B8F3416" w14:textId="77777777" w:rsidR="00827B00" w:rsidRPr="00795367" w:rsidRDefault="00827B00" w:rsidP="003B7808">
            <w:pPr>
              <w:spacing w:after="0" w:line="240" w:lineRule="auto"/>
              <w:rPr>
                <w:sz w:val="18"/>
                <w:szCs w:val="18"/>
              </w:rPr>
            </w:pPr>
          </w:p>
        </w:tc>
        <w:tc>
          <w:tcPr>
            <w:tcW w:w="881" w:type="dxa"/>
            <w:tcBorders>
              <w:top w:val="nil"/>
              <w:left w:val="nil"/>
              <w:bottom w:val="nil"/>
              <w:right w:val="nil"/>
            </w:tcBorders>
            <w:shd w:val="clear" w:color="auto" w:fill="auto"/>
            <w:noWrap/>
            <w:vAlign w:val="bottom"/>
            <w:hideMark/>
          </w:tcPr>
          <w:p w14:paraId="6FCE25B4" w14:textId="77777777" w:rsidR="00827B00" w:rsidRPr="00795367" w:rsidRDefault="00827B00" w:rsidP="003B7808">
            <w:pPr>
              <w:spacing w:after="0" w:line="240" w:lineRule="auto"/>
              <w:rPr>
                <w:sz w:val="18"/>
                <w:szCs w:val="18"/>
              </w:rPr>
            </w:pPr>
          </w:p>
        </w:tc>
        <w:tc>
          <w:tcPr>
            <w:tcW w:w="957" w:type="dxa"/>
            <w:tcBorders>
              <w:top w:val="nil"/>
              <w:left w:val="nil"/>
              <w:bottom w:val="nil"/>
              <w:right w:val="nil"/>
            </w:tcBorders>
            <w:shd w:val="clear" w:color="auto" w:fill="auto"/>
            <w:noWrap/>
            <w:vAlign w:val="bottom"/>
            <w:hideMark/>
          </w:tcPr>
          <w:p w14:paraId="52895204" w14:textId="77777777" w:rsidR="00827B00" w:rsidRPr="00795367" w:rsidRDefault="00827B00" w:rsidP="003B7808">
            <w:pPr>
              <w:spacing w:after="0" w:line="240" w:lineRule="auto"/>
              <w:rPr>
                <w:sz w:val="18"/>
                <w:szCs w:val="18"/>
              </w:rPr>
            </w:pPr>
          </w:p>
        </w:tc>
        <w:tc>
          <w:tcPr>
            <w:tcW w:w="886" w:type="dxa"/>
            <w:tcBorders>
              <w:top w:val="nil"/>
              <w:left w:val="nil"/>
              <w:bottom w:val="nil"/>
              <w:right w:val="nil"/>
            </w:tcBorders>
            <w:shd w:val="clear" w:color="auto" w:fill="auto"/>
            <w:noWrap/>
            <w:vAlign w:val="bottom"/>
            <w:hideMark/>
          </w:tcPr>
          <w:p w14:paraId="791C4562" w14:textId="77777777" w:rsidR="00827B00" w:rsidRPr="00795367" w:rsidRDefault="00827B00" w:rsidP="003B7808">
            <w:pPr>
              <w:spacing w:after="0" w:line="240" w:lineRule="auto"/>
              <w:rPr>
                <w:sz w:val="18"/>
                <w:szCs w:val="18"/>
              </w:rPr>
            </w:pPr>
          </w:p>
        </w:tc>
        <w:tc>
          <w:tcPr>
            <w:tcW w:w="819" w:type="dxa"/>
            <w:tcBorders>
              <w:top w:val="nil"/>
              <w:left w:val="nil"/>
              <w:bottom w:val="nil"/>
              <w:right w:val="nil"/>
            </w:tcBorders>
            <w:shd w:val="clear" w:color="auto" w:fill="auto"/>
            <w:noWrap/>
            <w:vAlign w:val="bottom"/>
            <w:hideMark/>
          </w:tcPr>
          <w:p w14:paraId="4C9EA9F3" w14:textId="77777777" w:rsidR="00827B00" w:rsidRPr="00795367" w:rsidRDefault="00827B00" w:rsidP="003B7808">
            <w:pPr>
              <w:spacing w:after="0" w:line="240" w:lineRule="auto"/>
              <w:rPr>
                <w:sz w:val="18"/>
                <w:szCs w:val="18"/>
              </w:rPr>
            </w:pPr>
            <w:r w:rsidRPr="00795367">
              <w:rPr>
                <w:rFonts w:cs="Calibri"/>
                <w:color w:val="000000"/>
                <w:sz w:val="18"/>
                <w:szCs w:val="18"/>
              </w:rPr>
              <w:t> </w:t>
            </w:r>
          </w:p>
        </w:tc>
        <w:tc>
          <w:tcPr>
            <w:tcW w:w="886" w:type="dxa"/>
            <w:tcBorders>
              <w:top w:val="nil"/>
              <w:left w:val="nil"/>
              <w:bottom w:val="nil"/>
              <w:right w:val="nil"/>
            </w:tcBorders>
            <w:shd w:val="clear" w:color="auto" w:fill="auto"/>
            <w:noWrap/>
            <w:vAlign w:val="bottom"/>
            <w:hideMark/>
          </w:tcPr>
          <w:p w14:paraId="7DEAB819" w14:textId="77777777" w:rsidR="00827B00" w:rsidRPr="00795367" w:rsidRDefault="00827B00" w:rsidP="003B7808">
            <w:pPr>
              <w:spacing w:after="0" w:line="240" w:lineRule="auto"/>
              <w:rPr>
                <w:sz w:val="18"/>
                <w:szCs w:val="18"/>
              </w:rPr>
            </w:pPr>
            <w:r w:rsidRPr="00795367">
              <w:rPr>
                <w:rFonts w:cs="Calibri"/>
                <w:color w:val="000000"/>
                <w:sz w:val="18"/>
                <w:szCs w:val="18"/>
              </w:rPr>
              <w:t> </w:t>
            </w:r>
          </w:p>
        </w:tc>
        <w:tc>
          <w:tcPr>
            <w:tcW w:w="982" w:type="dxa"/>
            <w:tcBorders>
              <w:top w:val="nil"/>
              <w:left w:val="nil"/>
              <w:bottom w:val="nil"/>
              <w:right w:val="nil"/>
            </w:tcBorders>
            <w:vAlign w:val="bottom"/>
          </w:tcPr>
          <w:p w14:paraId="30A59BB5" w14:textId="77777777" w:rsidR="00827B00" w:rsidRPr="00795367" w:rsidRDefault="00827B00" w:rsidP="003B7808">
            <w:pPr>
              <w:spacing w:after="0" w:line="240" w:lineRule="auto"/>
              <w:rPr>
                <w:sz w:val="18"/>
                <w:szCs w:val="18"/>
              </w:rPr>
            </w:pPr>
          </w:p>
        </w:tc>
        <w:tc>
          <w:tcPr>
            <w:tcW w:w="820" w:type="dxa"/>
            <w:tcBorders>
              <w:top w:val="nil"/>
              <w:left w:val="nil"/>
              <w:bottom w:val="nil"/>
              <w:right w:val="nil"/>
            </w:tcBorders>
            <w:shd w:val="clear" w:color="auto" w:fill="auto"/>
            <w:noWrap/>
            <w:vAlign w:val="bottom"/>
            <w:hideMark/>
          </w:tcPr>
          <w:p w14:paraId="5C5335B6" w14:textId="77777777" w:rsidR="00827B00" w:rsidRPr="00795367" w:rsidRDefault="00827B00" w:rsidP="003B7808">
            <w:pPr>
              <w:spacing w:after="0" w:line="240" w:lineRule="auto"/>
              <w:rPr>
                <w:sz w:val="18"/>
                <w:szCs w:val="18"/>
              </w:rPr>
            </w:pPr>
          </w:p>
        </w:tc>
        <w:tc>
          <w:tcPr>
            <w:tcW w:w="823" w:type="dxa"/>
            <w:tcBorders>
              <w:top w:val="nil"/>
              <w:left w:val="nil"/>
              <w:bottom w:val="nil"/>
              <w:right w:val="single" w:sz="4" w:space="0" w:color="auto"/>
            </w:tcBorders>
            <w:shd w:val="clear" w:color="auto" w:fill="auto"/>
            <w:noWrap/>
            <w:vAlign w:val="bottom"/>
            <w:hideMark/>
          </w:tcPr>
          <w:p w14:paraId="7F40617A"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0,019**</w:t>
            </w:r>
          </w:p>
        </w:tc>
      </w:tr>
      <w:tr w:rsidR="00827B00" w:rsidRPr="0020638D" w14:paraId="5B4A19CE" w14:textId="77777777" w:rsidTr="003B7808">
        <w:trPr>
          <w:trHeight w:val="283"/>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6AAD738B" w14:textId="77777777" w:rsidR="00827B00" w:rsidRPr="00795367" w:rsidRDefault="00827B00" w:rsidP="003B7808">
            <w:pPr>
              <w:spacing w:after="0" w:line="240" w:lineRule="auto"/>
              <w:rPr>
                <w:rFonts w:eastAsia="Times New Roman" w:cs="Calibri"/>
                <w:b/>
                <w:bCs/>
                <w:color w:val="000000"/>
                <w:sz w:val="18"/>
                <w:szCs w:val="18"/>
                <w:lang w:eastAsia="sk-SK"/>
              </w:rPr>
            </w:pPr>
            <w:r w:rsidRPr="00795367">
              <w:rPr>
                <w:rFonts w:eastAsia="Times New Roman" w:cs="Calibri"/>
                <w:b/>
                <w:bCs/>
                <w:color w:val="000000"/>
                <w:sz w:val="18"/>
                <w:szCs w:val="18"/>
                <w:lang w:eastAsia="sk-SK"/>
              </w:rPr>
              <w:t>Okres</w:t>
            </w:r>
          </w:p>
        </w:tc>
        <w:tc>
          <w:tcPr>
            <w:tcW w:w="858" w:type="dxa"/>
            <w:tcBorders>
              <w:top w:val="nil"/>
              <w:left w:val="nil"/>
              <w:bottom w:val="single" w:sz="4" w:space="0" w:color="auto"/>
              <w:right w:val="nil"/>
            </w:tcBorders>
            <w:shd w:val="clear" w:color="auto" w:fill="auto"/>
            <w:noWrap/>
            <w:vAlign w:val="bottom"/>
            <w:hideMark/>
          </w:tcPr>
          <w:p w14:paraId="1B3699AE" w14:textId="77777777" w:rsidR="00827B00" w:rsidRPr="00795367" w:rsidRDefault="00827B00" w:rsidP="003B7808">
            <w:pPr>
              <w:spacing w:after="0" w:line="240" w:lineRule="auto"/>
              <w:rPr>
                <w:rFonts w:cs="Calibri"/>
                <w:color w:val="000000"/>
                <w:sz w:val="18"/>
                <w:szCs w:val="18"/>
              </w:rPr>
            </w:pPr>
            <w:r w:rsidRPr="00795367">
              <w:rPr>
                <w:rFonts w:cs="Calibri"/>
                <w:color w:val="000000"/>
                <w:sz w:val="18"/>
                <w:szCs w:val="18"/>
              </w:rPr>
              <w:t> </w:t>
            </w:r>
          </w:p>
        </w:tc>
        <w:tc>
          <w:tcPr>
            <w:tcW w:w="850" w:type="dxa"/>
            <w:tcBorders>
              <w:top w:val="nil"/>
              <w:left w:val="nil"/>
              <w:bottom w:val="single" w:sz="4" w:space="0" w:color="auto"/>
              <w:right w:val="nil"/>
            </w:tcBorders>
            <w:shd w:val="clear" w:color="auto" w:fill="auto"/>
            <w:noWrap/>
            <w:vAlign w:val="bottom"/>
            <w:hideMark/>
          </w:tcPr>
          <w:p w14:paraId="18B25732" w14:textId="77777777" w:rsidR="00827B00" w:rsidRPr="00795367" w:rsidRDefault="00827B00" w:rsidP="003B7808">
            <w:pPr>
              <w:spacing w:after="0" w:line="240" w:lineRule="auto"/>
              <w:jc w:val="center"/>
              <w:rPr>
                <w:rFonts w:cs="Calibri"/>
                <w:color w:val="000000"/>
                <w:sz w:val="18"/>
                <w:szCs w:val="18"/>
              </w:rPr>
            </w:pPr>
            <w:r w:rsidRPr="00795367">
              <w:rPr>
                <w:rFonts w:cs="Calibri"/>
                <w:color w:val="000000"/>
                <w:sz w:val="18"/>
                <w:szCs w:val="18"/>
              </w:rPr>
              <w:t> </w:t>
            </w:r>
          </w:p>
        </w:tc>
        <w:tc>
          <w:tcPr>
            <w:tcW w:w="819" w:type="dxa"/>
            <w:tcBorders>
              <w:top w:val="nil"/>
              <w:left w:val="nil"/>
              <w:bottom w:val="single" w:sz="4" w:space="0" w:color="auto"/>
              <w:right w:val="nil"/>
            </w:tcBorders>
            <w:shd w:val="clear" w:color="auto" w:fill="auto"/>
            <w:noWrap/>
            <w:vAlign w:val="bottom"/>
            <w:hideMark/>
          </w:tcPr>
          <w:p w14:paraId="0CC7C85F" w14:textId="77777777" w:rsidR="00827B00" w:rsidRPr="00795367" w:rsidRDefault="00827B00" w:rsidP="003B7808">
            <w:pPr>
              <w:spacing w:after="0" w:line="240" w:lineRule="auto"/>
              <w:jc w:val="center"/>
              <w:rPr>
                <w:rFonts w:cs="Calibri"/>
                <w:color w:val="000000"/>
                <w:sz w:val="18"/>
                <w:szCs w:val="18"/>
              </w:rPr>
            </w:pPr>
            <w:r w:rsidRPr="00795367">
              <w:rPr>
                <w:rFonts w:ascii="Segoe UI Symbol" w:hAnsi="Segoe UI Symbol" w:cs="Segoe UI Symbol"/>
                <w:color w:val="000000"/>
                <w:sz w:val="18"/>
                <w:szCs w:val="18"/>
              </w:rPr>
              <w:t>✔</w:t>
            </w:r>
          </w:p>
        </w:tc>
        <w:tc>
          <w:tcPr>
            <w:tcW w:w="881" w:type="dxa"/>
            <w:tcBorders>
              <w:top w:val="nil"/>
              <w:left w:val="nil"/>
              <w:bottom w:val="single" w:sz="4" w:space="0" w:color="auto"/>
              <w:right w:val="nil"/>
            </w:tcBorders>
            <w:shd w:val="clear" w:color="auto" w:fill="auto"/>
            <w:noWrap/>
            <w:vAlign w:val="bottom"/>
            <w:hideMark/>
          </w:tcPr>
          <w:p w14:paraId="675EA89F" w14:textId="77777777" w:rsidR="00827B00" w:rsidRPr="00795367" w:rsidRDefault="00827B00" w:rsidP="003B7808">
            <w:pPr>
              <w:spacing w:after="0" w:line="240" w:lineRule="auto"/>
              <w:jc w:val="center"/>
              <w:rPr>
                <w:rFonts w:cs="Calibri"/>
                <w:color w:val="000000"/>
                <w:sz w:val="18"/>
                <w:szCs w:val="18"/>
              </w:rPr>
            </w:pPr>
            <w:r w:rsidRPr="00795367">
              <w:rPr>
                <w:rFonts w:ascii="Segoe UI Symbol" w:hAnsi="Segoe UI Symbol" w:cs="Segoe UI Symbol"/>
                <w:color w:val="000000"/>
                <w:sz w:val="18"/>
                <w:szCs w:val="18"/>
              </w:rPr>
              <w:t>✔</w:t>
            </w:r>
          </w:p>
        </w:tc>
        <w:tc>
          <w:tcPr>
            <w:tcW w:w="957" w:type="dxa"/>
            <w:tcBorders>
              <w:top w:val="nil"/>
              <w:left w:val="nil"/>
              <w:bottom w:val="single" w:sz="4" w:space="0" w:color="auto"/>
              <w:right w:val="nil"/>
            </w:tcBorders>
            <w:shd w:val="clear" w:color="auto" w:fill="auto"/>
            <w:noWrap/>
            <w:vAlign w:val="bottom"/>
            <w:hideMark/>
          </w:tcPr>
          <w:p w14:paraId="3577B9DF" w14:textId="77777777" w:rsidR="00827B00" w:rsidRPr="00795367" w:rsidRDefault="00827B00" w:rsidP="003B7808">
            <w:pPr>
              <w:spacing w:after="0" w:line="240" w:lineRule="auto"/>
              <w:jc w:val="center"/>
              <w:rPr>
                <w:rFonts w:cs="Calibri"/>
                <w:color w:val="000000"/>
                <w:sz w:val="18"/>
                <w:szCs w:val="18"/>
              </w:rPr>
            </w:pPr>
            <w:r w:rsidRPr="00795367">
              <w:rPr>
                <w:rFonts w:ascii="Segoe UI Symbol" w:hAnsi="Segoe UI Symbol" w:cs="Segoe UI Symbol"/>
                <w:color w:val="000000"/>
                <w:sz w:val="18"/>
                <w:szCs w:val="18"/>
              </w:rPr>
              <w:t>✔</w:t>
            </w:r>
          </w:p>
        </w:tc>
        <w:tc>
          <w:tcPr>
            <w:tcW w:w="886" w:type="dxa"/>
            <w:tcBorders>
              <w:top w:val="nil"/>
              <w:left w:val="nil"/>
              <w:bottom w:val="single" w:sz="4" w:space="0" w:color="auto"/>
              <w:right w:val="nil"/>
            </w:tcBorders>
            <w:shd w:val="clear" w:color="auto" w:fill="auto"/>
            <w:noWrap/>
            <w:vAlign w:val="bottom"/>
            <w:hideMark/>
          </w:tcPr>
          <w:p w14:paraId="4D227F3F" w14:textId="77777777" w:rsidR="00827B00" w:rsidRPr="00795367" w:rsidRDefault="00827B00" w:rsidP="003B7808">
            <w:pPr>
              <w:spacing w:after="0" w:line="240" w:lineRule="auto"/>
              <w:jc w:val="center"/>
              <w:rPr>
                <w:rFonts w:cs="Calibri"/>
                <w:color w:val="000000"/>
                <w:sz w:val="18"/>
                <w:szCs w:val="18"/>
              </w:rPr>
            </w:pPr>
            <w:r w:rsidRPr="00795367">
              <w:rPr>
                <w:rFonts w:ascii="Segoe UI Symbol" w:hAnsi="Segoe UI Symbol" w:cs="Segoe UI Symbol"/>
                <w:color w:val="000000"/>
                <w:sz w:val="18"/>
                <w:szCs w:val="18"/>
              </w:rPr>
              <w:t>✔</w:t>
            </w:r>
          </w:p>
        </w:tc>
        <w:tc>
          <w:tcPr>
            <w:tcW w:w="819" w:type="dxa"/>
            <w:tcBorders>
              <w:top w:val="nil"/>
              <w:left w:val="nil"/>
              <w:bottom w:val="single" w:sz="4" w:space="0" w:color="auto"/>
              <w:right w:val="nil"/>
            </w:tcBorders>
            <w:shd w:val="clear" w:color="auto" w:fill="auto"/>
            <w:noWrap/>
            <w:vAlign w:val="bottom"/>
            <w:hideMark/>
          </w:tcPr>
          <w:p w14:paraId="3F78688E" w14:textId="77777777" w:rsidR="00827B00" w:rsidRPr="00795367" w:rsidRDefault="00827B00" w:rsidP="003B7808">
            <w:pPr>
              <w:spacing w:after="0" w:line="240" w:lineRule="auto"/>
              <w:jc w:val="center"/>
              <w:rPr>
                <w:rFonts w:cs="Calibri"/>
                <w:color w:val="000000"/>
                <w:sz w:val="18"/>
                <w:szCs w:val="18"/>
              </w:rPr>
            </w:pPr>
            <w:r w:rsidRPr="00795367">
              <w:rPr>
                <w:rFonts w:ascii="Segoe UI Symbol" w:hAnsi="Segoe UI Symbol" w:cs="Segoe UI Symbol"/>
                <w:color w:val="000000"/>
                <w:sz w:val="18"/>
                <w:szCs w:val="18"/>
              </w:rPr>
              <w:t>✔</w:t>
            </w:r>
          </w:p>
        </w:tc>
        <w:tc>
          <w:tcPr>
            <w:tcW w:w="886" w:type="dxa"/>
            <w:tcBorders>
              <w:top w:val="nil"/>
              <w:left w:val="nil"/>
              <w:bottom w:val="single" w:sz="4" w:space="0" w:color="auto"/>
              <w:right w:val="nil"/>
            </w:tcBorders>
            <w:shd w:val="clear" w:color="auto" w:fill="auto"/>
            <w:noWrap/>
            <w:vAlign w:val="bottom"/>
            <w:hideMark/>
          </w:tcPr>
          <w:p w14:paraId="094FF32B" w14:textId="77777777" w:rsidR="00827B00" w:rsidRPr="00795367" w:rsidRDefault="00827B00" w:rsidP="003B7808">
            <w:pPr>
              <w:spacing w:after="0" w:line="240" w:lineRule="auto"/>
              <w:jc w:val="center"/>
              <w:rPr>
                <w:rFonts w:cs="Calibri"/>
                <w:color w:val="000000"/>
                <w:sz w:val="18"/>
                <w:szCs w:val="18"/>
              </w:rPr>
            </w:pPr>
            <w:r w:rsidRPr="00795367">
              <w:rPr>
                <w:rFonts w:ascii="Segoe UI Symbol" w:hAnsi="Segoe UI Symbol" w:cs="Segoe UI Symbol"/>
                <w:color w:val="000000"/>
                <w:sz w:val="18"/>
                <w:szCs w:val="18"/>
              </w:rPr>
              <w:t>✔</w:t>
            </w:r>
          </w:p>
        </w:tc>
        <w:tc>
          <w:tcPr>
            <w:tcW w:w="982" w:type="dxa"/>
            <w:tcBorders>
              <w:top w:val="nil"/>
              <w:left w:val="nil"/>
              <w:bottom w:val="single" w:sz="4" w:space="0" w:color="auto"/>
              <w:right w:val="nil"/>
            </w:tcBorders>
            <w:vAlign w:val="bottom"/>
          </w:tcPr>
          <w:p w14:paraId="5B307B75" w14:textId="77777777" w:rsidR="00827B00" w:rsidRPr="00795367" w:rsidRDefault="00827B00" w:rsidP="003B7808">
            <w:pPr>
              <w:spacing w:after="0" w:line="240" w:lineRule="auto"/>
              <w:jc w:val="center"/>
              <w:rPr>
                <w:rFonts w:cs="Calibri"/>
                <w:color w:val="000000"/>
                <w:sz w:val="18"/>
                <w:szCs w:val="18"/>
              </w:rPr>
            </w:pPr>
            <w:r w:rsidRPr="00795367">
              <w:rPr>
                <w:rFonts w:ascii="Segoe UI Symbol" w:hAnsi="Segoe UI Symbol" w:cs="Segoe UI Symbol"/>
                <w:color w:val="000000"/>
                <w:sz w:val="18"/>
                <w:szCs w:val="18"/>
              </w:rPr>
              <w:t>✔</w:t>
            </w:r>
          </w:p>
        </w:tc>
        <w:tc>
          <w:tcPr>
            <w:tcW w:w="820" w:type="dxa"/>
            <w:tcBorders>
              <w:top w:val="nil"/>
              <w:left w:val="nil"/>
              <w:bottom w:val="single" w:sz="4" w:space="0" w:color="auto"/>
              <w:right w:val="nil"/>
            </w:tcBorders>
            <w:shd w:val="clear" w:color="auto" w:fill="auto"/>
            <w:noWrap/>
            <w:vAlign w:val="bottom"/>
            <w:hideMark/>
          </w:tcPr>
          <w:p w14:paraId="6DFD123D" w14:textId="77777777" w:rsidR="00827B00" w:rsidRPr="00795367" w:rsidRDefault="00827B00" w:rsidP="003B7808">
            <w:pPr>
              <w:spacing w:after="0" w:line="240" w:lineRule="auto"/>
              <w:jc w:val="center"/>
              <w:rPr>
                <w:rFonts w:cs="Calibri"/>
                <w:color w:val="000000"/>
                <w:sz w:val="18"/>
                <w:szCs w:val="18"/>
              </w:rPr>
            </w:pPr>
            <w:r w:rsidRPr="00795367">
              <w:rPr>
                <w:rFonts w:ascii="Segoe UI Symbol" w:hAnsi="Segoe UI Symbol" w:cs="Segoe UI Symbol"/>
                <w:color w:val="000000"/>
                <w:sz w:val="18"/>
                <w:szCs w:val="18"/>
              </w:rPr>
              <w:t>✔</w:t>
            </w:r>
          </w:p>
        </w:tc>
        <w:tc>
          <w:tcPr>
            <w:tcW w:w="823" w:type="dxa"/>
            <w:tcBorders>
              <w:top w:val="nil"/>
              <w:left w:val="nil"/>
              <w:bottom w:val="single" w:sz="4" w:space="0" w:color="auto"/>
              <w:right w:val="single" w:sz="4" w:space="0" w:color="auto"/>
            </w:tcBorders>
            <w:shd w:val="clear" w:color="auto" w:fill="auto"/>
            <w:noWrap/>
            <w:vAlign w:val="bottom"/>
            <w:hideMark/>
          </w:tcPr>
          <w:p w14:paraId="20B1AD17" w14:textId="77777777" w:rsidR="00827B00" w:rsidRPr="00795367" w:rsidRDefault="00827B00" w:rsidP="003B7808">
            <w:pPr>
              <w:spacing w:after="0" w:line="240" w:lineRule="auto"/>
              <w:jc w:val="center"/>
              <w:rPr>
                <w:rFonts w:cs="Calibri"/>
                <w:color w:val="000000"/>
                <w:sz w:val="18"/>
                <w:szCs w:val="18"/>
              </w:rPr>
            </w:pPr>
            <w:r w:rsidRPr="00795367">
              <w:rPr>
                <w:rFonts w:ascii="Segoe UI Symbol" w:hAnsi="Segoe UI Symbol" w:cs="Segoe UI Symbol"/>
                <w:color w:val="000000"/>
                <w:sz w:val="18"/>
                <w:szCs w:val="18"/>
              </w:rPr>
              <w:t>✔</w:t>
            </w:r>
          </w:p>
        </w:tc>
      </w:tr>
      <w:tr w:rsidR="00827B00" w:rsidRPr="0020638D" w14:paraId="3570F1DE" w14:textId="77777777" w:rsidTr="003B7808">
        <w:trPr>
          <w:trHeight w:val="283"/>
        </w:trPr>
        <w:tc>
          <w:tcPr>
            <w:tcW w:w="3964" w:type="dxa"/>
            <w:tcBorders>
              <w:top w:val="nil"/>
              <w:left w:val="single" w:sz="4" w:space="0" w:color="auto"/>
              <w:bottom w:val="nil"/>
              <w:right w:val="single" w:sz="4" w:space="0" w:color="auto"/>
            </w:tcBorders>
            <w:shd w:val="clear" w:color="auto" w:fill="auto"/>
            <w:noWrap/>
            <w:vAlign w:val="bottom"/>
            <w:hideMark/>
          </w:tcPr>
          <w:p w14:paraId="44CCD47E" w14:textId="77777777" w:rsidR="00827B00" w:rsidRPr="00795367" w:rsidRDefault="00827B00" w:rsidP="003B7808">
            <w:pPr>
              <w:spacing w:after="0" w:line="240" w:lineRule="auto"/>
              <w:rPr>
                <w:rFonts w:eastAsia="Times New Roman" w:cs="Calibri"/>
                <w:b/>
                <w:bCs/>
                <w:color w:val="000000"/>
                <w:sz w:val="18"/>
                <w:szCs w:val="18"/>
                <w:lang w:eastAsia="sk-SK"/>
              </w:rPr>
            </w:pPr>
            <w:r w:rsidRPr="00795367">
              <w:rPr>
                <w:rFonts w:eastAsia="Times New Roman" w:cs="Calibri"/>
                <w:b/>
                <w:bCs/>
                <w:color w:val="000000"/>
                <w:sz w:val="18"/>
                <w:szCs w:val="18"/>
                <w:lang w:eastAsia="sk-SK"/>
              </w:rPr>
              <w:t>N</w:t>
            </w:r>
          </w:p>
        </w:tc>
        <w:tc>
          <w:tcPr>
            <w:tcW w:w="858" w:type="dxa"/>
            <w:tcBorders>
              <w:top w:val="nil"/>
              <w:left w:val="nil"/>
              <w:bottom w:val="nil"/>
              <w:right w:val="nil"/>
            </w:tcBorders>
            <w:shd w:val="clear" w:color="auto" w:fill="auto"/>
            <w:noWrap/>
            <w:vAlign w:val="bottom"/>
            <w:hideMark/>
          </w:tcPr>
          <w:p w14:paraId="0100CBC1" w14:textId="77777777" w:rsidR="00827B00" w:rsidRPr="00795367" w:rsidRDefault="00827B00" w:rsidP="003B7808">
            <w:pPr>
              <w:spacing w:after="0" w:line="240" w:lineRule="auto"/>
              <w:jc w:val="right"/>
              <w:rPr>
                <w:rFonts w:cs="Calibri"/>
                <w:color w:val="000000"/>
                <w:sz w:val="18"/>
                <w:szCs w:val="18"/>
              </w:rPr>
            </w:pPr>
            <w:r w:rsidRPr="00795367">
              <w:rPr>
                <w:rFonts w:cs="Calibri"/>
                <w:color w:val="000000"/>
                <w:sz w:val="18"/>
                <w:szCs w:val="18"/>
              </w:rPr>
              <w:t>1 407</w:t>
            </w:r>
          </w:p>
        </w:tc>
        <w:tc>
          <w:tcPr>
            <w:tcW w:w="850" w:type="dxa"/>
            <w:tcBorders>
              <w:top w:val="nil"/>
              <w:left w:val="nil"/>
              <w:bottom w:val="nil"/>
              <w:right w:val="nil"/>
            </w:tcBorders>
            <w:shd w:val="clear" w:color="auto" w:fill="auto"/>
            <w:noWrap/>
            <w:vAlign w:val="bottom"/>
            <w:hideMark/>
          </w:tcPr>
          <w:p w14:paraId="169566C2" w14:textId="77777777" w:rsidR="00827B00" w:rsidRPr="00795367" w:rsidRDefault="00827B00" w:rsidP="003B7808">
            <w:pPr>
              <w:spacing w:after="0" w:line="240" w:lineRule="auto"/>
              <w:jc w:val="right"/>
              <w:rPr>
                <w:rFonts w:cs="Calibri"/>
                <w:color w:val="000000"/>
                <w:sz w:val="18"/>
                <w:szCs w:val="18"/>
              </w:rPr>
            </w:pPr>
            <w:r w:rsidRPr="00795367">
              <w:rPr>
                <w:rFonts w:cs="Calibri"/>
                <w:color w:val="000000"/>
                <w:sz w:val="18"/>
                <w:szCs w:val="18"/>
              </w:rPr>
              <w:t>1 407</w:t>
            </w:r>
          </w:p>
        </w:tc>
        <w:tc>
          <w:tcPr>
            <w:tcW w:w="819" w:type="dxa"/>
            <w:tcBorders>
              <w:top w:val="nil"/>
              <w:left w:val="nil"/>
              <w:bottom w:val="nil"/>
              <w:right w:val="nil"/>
            </w:tcBorders>
            <w:shd w:val="clear" w:color="auto" w:fill="auto"/>
            <w:noWrap/>
            <w:vAlign w:val="bottom"/>
            <w:hideMark/>
          </w:tcPr>
          <w:p w14:paraId="7C93EA6E" w14:textId="77777777" w:rsidR="00827B00" w:rsidRPr="00795367" w:rsidRDefault="00827B00" w:rsidP="003B7808">
            <w:pPr>
              <w:spacing w:after="0" w:line="240" w:lineRule="auto"/>
              <w:jc w:val="right"/>
              <w:rPr>
                <w:rFonts w:cs="Calibri"/>
                <w:color w:val="000000"/>
                <w:sz w:val="18"/>
                <w:szCs w:val="18"/>
              </w:rPr>
            </w:pPr>
            <w:r w:rsidRPr="00795367">
              <w:rPr>
                <w:rFonts w:cs="Calibri"/>
                <w:color w:val="000000"/>
                <w:sz w:val="18"/>
                <w:szCs w:val="18"/>
              </w:rPr>
              <w:t>1 407</w:t>
            </w:r>
          </w:p>
        </w:tc>
        <w:tc>
          <w:tcPr>
            <w:tcW w:w="881" w:type="dxa"/>
            <w:tcBorders>
              <w:top w:val="nil"/>
              <w:left w:val="nil"/>
              <w:bottom w:val="nil"/>
              <w:right w:val="nil"/>
            </w:tcBorders>
            <w:shd w:val="clear" w:color="auto" w:fill="auto"/>
            <w:noWrap/>
            <w:vAlign w:val="bottom"/>
            <w:hideMark/>
          </w:tcPr>
          <w:p w14:paraId="51956E04" w14:textId="77777777" w:rsidR="00827B00" w:rsidRPr="00795367" w:rsidRDefault="00827B00" w:rsidP="003B7808">
            <w:pPr>
              <w:spacing w:after="0" w:line="240" w:lineRule="auto"/>
              <w:jc w:val="right"/>
              <w:rPr>
                <w:rFonts w:cs="Calibri"/>
                <w:color w:val="000000"/>
                <w:sz w:val="18"/>
                <w:szCs w:val="18"/>
              </w:rPr>
            </w:pPr>
            <w:r w:rsidRPr="00795367">
              <w:rPr>
                <w:rFonts w:cs="Calibri"/>
                <w:color w:val="000000"/>
                <w:sz w:val="18"/>
                <w:szCs w:val="18"/>
              </w:rPr>
              <w:t>1 407</w:t>
            </w:r>
          </w:p>
        </w:tc>
        <w:tc>
          <w:tcPr>
            <w:tcW w:w="957" w:type="dxa"/>
            <w:tcBorders>
              <w:top w:val="nil"/>
              <w:left w:val="nil"/>
              <w:bottom w:val="nil"/>
              <w:right w:val="nil"/>
            </w:tcBorders>
            <w:shd w:val="clear" w:color="auto" w:fill="auto"/>
            <w:noWrap/>
            <w:vAlign w:val="bottom"/>
            <w:hideMark/>
          </w:tcPr>
          <w:p w14:paraId="6CAA6ED6" w14:textId="77777777" w:rsidR="00827B00" w:rsidRPr="00795367" w:rsidRDefault="00827B00" w:rsidP="003B7808">
            <w:pPr>
              <w:spacing w:after="0" w:line="240" w:lineRule="auto"/>
              <w:jc w:val="right"/>
              <w:rPr>
                <w:rFonts w:cs="Calibri"/>
                <w:color w:val="000000"/>
                <w:sz w:val="18"/>
                <w:szCs w:val="18"/>
              </w:rPr>
            </w:pPr>
            <w:r w:rsidRPr="00795367">
              <w:rPr>
                <w:rFonts w:cs="Calibri"/>
                <w:color w:val="000000"/>
                <w:sz w:val="18"/>
                <w:szCs w:val="18"/>
              </w:rPr>
              <w:t>1 407</w:t>
            </w:r>
          </w:p>
        </w:tc>
        <w:tc>
          <w:tcPr>
            <w:tcW w:w="886" w:type="dxa"/>
            <w:tcBorders>
              <w:top w:val="nil"/>
              <w:left w:val="nil"/>
              <w:bottom w:val="nil"/>
              <w:right w:val="nil"/>
            </w:tcBorders>
            <w:shd w:val="clear" w:color="auto" w:fill="auto"/>
            <w:noWrap/>
            <w:vAlign w:val="bottom"/>
            <w:hideMark/>
          </w:tcPr>
          <w:p w14:paraId="616AEA59" w14:textId="77777777" w:rsidR="00827B00" w:rsidRPr="00795367" w:rsidRDefault="00827B00" w:rsidP="003B7808">
            <w:pPr>
              <w:spacing w:after="0" w:line="240" w:lineRule="auto"/>
              <w:jc w:val="right"/>
              <w:rPr>
                <w:rFonts w:cs="Calibri"/>
                <w:color w:val="000000"/>
                <w:sz w:val="18"/>
                <w:szCs w:val="18"/>
              </w:rPr>
            </w:pPr>
            <w:r w:rsidRPr="00795367">
              <w:rPr>
                <w:rFonts w:cs="Calibri"/>
                <w:color w:val="000000"/>
                <w:sz w:val="18"/>
                <w:szCs w:val="18"/>
              </w:rPr>
              <w:t>1 407</w:t>
            </w:r>
          </w:p>
        </w:tc>
        <w:tc>
          <w:tcPr>
            <w:tcW w:w="819" w:type="dxa"/>
            <w:tcBorders>
              <w:top w:val="nil"/>
              <w:left w:val="nil"/>
              <w:bottom w:val="nil"/>
              <w:right w:val="nil"/>
            </w:tcBorders>
            <w:shd w:val="clear" w:color="auto" w:fill="auto"/>
            <w:noWrap/>
            <w:vAlign w:val="bottom"/>
            <w:hideMark/>
          </w:tcPr>
          <w:p w14:paraId="5DAD33AB" w14:textId="77777777" w:rsidR="00827B00" w:rsidRPr="00795367" w:rsidRDefault="00827B00" w:rsidP="003B7808">
            <w:pPr>
              <w:spacing w:after="0" w:line="240" w:lineRule="auto"/>
              <w:jc w:val="right"/>
              <w:rPr>
                <w:rFonts w:cs="Calibri"/>
                <w:color w:val="000000"/>
                <w:sz w:val="18"/>
                <w:szCs w:val="18"/>
              </w:rPr>
            </w:pPr>
            <w:r w:rsidRPr="00795367">
              <w:rPr>
                <w:rFonts w:cs="Calibri"/>
                <w:color w:val="000000"/>
                <w:sz w:val="18"/>
                <w:szCs w:val="18"/>
              </w:rPr>
              <w:t>1 406</w:t>
            </w:r>
          </w:p>
        </w:tc>
        <w:tc>
          <w:tcPr>
            <w:tcW w:w="886" w:type="dxa"/>
            <w:tcBorders>
              <w:top w:val="nil"/>
              <w:left w:val="nil"/>
              <w:bottom w:val="nil"/>
              <w:right w:val="nil"/>
            </w:tcBorders>
            <w:shd w:val="clear" w:color="auto" w:fill="auto"/>
            <w:noWrap/>
            <w:vAlign w:val="bottom"/>
            <w:hideMark/>
          </w:tcPr>
          <w:p w14:paraId="58A41112" w14:textId="77777777" w:rsidR="00827B00" w:rsidRPr="00795367" w:rsidRDefault="00827B00" w:rsidP="003B7808">
            <w:pPr>
              <w:spacing w:after="0" w:line="240" w:lineRule="auto"/>
              <w:jc w:val="right"/>
              <w:rPr>
                <w:rFonts w:cs="Calibri"/>
                <w:color w:val="000000"/>
                <w:sz w:val="18"/>
                <w:szCs w:val="18"/>
              </w:rPr>
            </w:pPr>
            <w:r w:rsidRPr="00795367">
              <w:rPr>
                <w:rFonts w:cs="Calibri"/>
                <w:color w:val="000000"/>
                <w:sz w:val="18"/>
                <w:szCs w:val="18"/>
              </w:rPr>
              <w:t>1 406</w:t>
            </w:r>
          </w:p>
        </w:tc>
        <w:tc>
          <w:tcPr>
            <w:tcW w:w="982" w:type="dxa"/>
            <w:tcBorders>
              <w:top w:val="nil"/>
              <w:left w:val="nil"/>
              <w:bottom w:val="nil"/>
              <w:right w:val="nil"/>
            </w:tcBorders>
            <w:vAlign w:val="bottom"/>
          </w:tcPr>
          <w:p w14:paraId="292FB33C" w14:textId="77777777" w:rsidR="00827B00" w:rsidRPr="00795367" w:rsidRDefault="00827B00" w:rsidP="003B7808">
            <w:pPr>
              <w:spacing w:after="0" w:line="240" w:lineRule="auto"/>
              <w:jc w:val="right"/>
              <w:rPr>
                <w:rFonts w:cs="Calibri"/>
                <w:color w:val="000000"/>
                <w:sz w:val="18"/>
                <w:szCs w:val="18"/>
              </w:rPr>
            </w:pPr>
            <w:r w:rsidRPr="00795367">
              <w:rPr>
                <w:rFonts w:cs="Calibri"/>
                <w:color w:val="000000"/>
                <w:sz w:val="18"/>
                <w:szCs w:val="18"/>
              </w:rPr>
              <w:t>1 407</w:t>
            </w:r>
          </w:p>
        </w:tc>
        <w:tc>
          <w:tcPr>
            <w:tcW w:w="820" w:type="dxa"/>
            <w:tcBorders>
              <w:top w:val="nil"/>
              <w:left w:val="nil"/>
              <w:bottom w:val="nil"/>
              <w:right w:val="nil"/>
            </w:tcBorders>
            <w:shd w:val="clear" w:color="auto" w:fill="auto"/>
            <w:noWrap/>
            <w:vAlign w:val="bottom"/>
            <w:hideMark/>
          </w:tcPr>
          <w:p w14:paraId="25FBDA84" w14:textId="77777777" w:rsidR="00827B00" w:rsidRPr="00795367" w:rsidRDefault="00827B00" w:rsidP="003B7808">
            <w:pPr>
              <w:spacing w:after="0" w:line="240" w:lineRule="auto"/>
              <w:jc w:val="right"/>
              <w:rPr>
                <w:rFonts w:cs="Calibri"/>
                <w:color w:val="000000"/>
                <w:sz w:val="18"/>
                <w:szCs w:val="18"/>
              </w:rPr>
            </w:pPr>
            <w:r w:rsidRPr="00795367">
              <w:rPr>
                <w:rFonts w:cs="Calibri"/>
                <w:color w:val="000000"/>
                <w:sz w:val="18"/>
                <w:szCs w:val="18"/>
              </w:rPr>
              <w:t>1 407</w:t>
            </w:r>
          </w:p>
        </w:tc>
        <w:tc>
          <w:tcPr>
            <w:tcW w:w="823" w:type="dxa"/>
            <w:tcBorders>
              <w:top w:val="nil"/>
              <w:left w:val="nil"/>
              <w:bottom w:val="nil"/>
              <w:right w:val="single" w:sz="4" w:space="0" w:color="auto"/>
            </w:tcBorders>
            <w:shd w:val="clear" w:color="auto" w:fill="auto"/>
            <w:noWrap/>
            <w:vAlign w:val="bottom"/>
            <w:hideMark/>
          </w:tcPr>
          <w:p w14:paraId="49FACC00" w14:textId="77777777" w:rsidR="00827B00" w:rsidRPr="00795367" w:rsidRDefault="00827B00" w:rsidP="003B7808">
            <w:pPr>
              <w:spacing w:after="0" w:line="240" w:lineRule="auto"/>
              <w:jc w:val="right"/>
              <w:rPr>
                <w:rFonts w:cs="Calibri"/>
                <w:color w:val="000000"/>
                <w:sz w:val="18"/>
                <w:szCs w:val="18"/>
              </w:rPr>
            </w:pPr>
            <w:r w:rsidRPr="00795367">
              <w:rPr>
                <w:rFonts w:cs="Calibri"/>
                <w:color w:val="000000"/>
                <w:sz w:val="18"/>
                <w:szCs w:val="18"/>
              </w:rPr>
              <w:t>1 407</w:t>
            </w:r>
          </w:p>
        </w:tc>
      </w:tr>
      <w:tr w:rsidR="00827B00" w:rsidRPr="0020638D" w14:paraId="75D19AA0" w14:textId="77777777" w:rsidTr="003B7808">
        <w:trPr>
          <w:trHeight w:val="283"/>
        </w:trPr>
        <w:tc>
          <w:tcPr>
            <w:tcW w:w="3964" w:type="dxa"/>
            <w:tcBorders>
              <w:top w:val="nil"/>
              <w:left w:val="single" w:sz="4" w:space="0" w:color="auto"/>
              <w:bottom w:val="nil"/>
              <w:right w:val="single" w:sz="4" w:space="0" w:color="auto"/>
            </w:tcBorders>
            <w:shd w:val="clear" w:color="auto" w:fill="auto"/>
            <w:noWrap/>
            <w:vAlign w:val="bottom"/>
            <w:hideMark/>
          </w:tcPr>
          <w:p w14:paraId="48FBB1A2" w14:textId="77777777" w:rsidR="00827B00" w:rsidRPr="00795367" w:rsidRDefault="00827B00" w:rsidP="003B7808">
            <w:pPr>
              <w:spacing w:after="0" w:line="240" w:lineRule="auto"/>
              <w:rPr>
                <w:rFonts w:eastAsia="Times New Roman" w:cs="Calibri"/>
                <w:b/>
                <w:bCs/>
                <w:color w:val="000000"/>
                <w:sz w:val="18"/>
                <w:szCs w:val="18"/>
                <w:lang w:eastAsia="sk-SK"/>
              </w:rPr>
            </w:pPr>
            <w:r w:rsidRPr="00795367">
              <w:rPr>
                <w:rFonts w:eastAsia="Times New Roman" w:cs="Calibri"/>
                <w:b/>
                <w:bCs/>
                <w:color w:val="000000"/>
                <w:sz w:val="18"/>
                <w:szCs w:val="18"/>
                <w:lang w:eastAsia="sk-SK"/>
              </w:rPr>
              <w:t>Upravené R</w:t>
            </w:r>
            <w:r w:rsidRPr="00795367">
              <w:rPr>
                <w:rFonts w:eastAsia="Times New Roman" w:cs="Calibri"/>
                <w:b/>
                <w:bCs/>
                <w:color w:val="000000"/>
                <w:sz w:val="18"/>
                <w:szCs w:val="18"/>
                <w:vertAlign w:val="superscript"/>
                <w:lang w:eastAsia="sk-SK"/>
              </w:rPr>
              <w:t>2</w:t>
            </w:r>
          </w:p>
        </w:tc>
        <w:tc>
          <w:tcPr>
            <w:tcW w:w="858" w:type="dxa"/>
            <w:tcBorders>
              <w:top w:val="nil"/>
              <w:left w:val="nil"/>
              <w:bottom w:val="nil"/>
              <w:right w:val="nil"/>
            </w:tcBorders>
            <w:shd w:val="clear" w:color="auto" w:fill="auto"/>
            <w:noWrap/>
            <w:vAlign w:val="bottom"/>
            <w:hideMark/>
          </w:tcPr>
          <w:p w14:paraId="7ADA6179" w14:textId="77777777" w:rsidR="00827B00" w:rsidRPr="00795367" w:rsidRDefault="00827B00" w:rsidP="003B7808">
            <w:pPr>
              <w:spacing w:after="0" w:line="240" w:lineRule="auto"/>
              <w:jc w:val="right"/>
              <w:rPr>
                <w:rFonts w:cs="Calibri"/>
                <w:color w:val="000000"/>
                <w:sz w:val="18"/>
                <w:szCs w:val="18"/>
              </w:rPr>
            </w:pPr>
            <w:r w:rsidRPr="00795367">
              <w:rPr>
                <w:rFonts w:cs="Calibri"/>
                <w:color w:val="000000"/>
                <w:sz w:val="18"/>
                <w:szCs w:val="18"/>
              </w:rPr>
              <w:t>0,886</w:t>
            </w:r>
          </w:p>
        </w:tc>
        <w:tc>
          <w:tcPr>
            <w:tcW w:w="850" w:type="dxa"/>
            <w:tcBorders>
              <w:top w:val="nil"/>
              <w:left w:val="nil"/>
              <w:bottom w:val="nil"/>
              <w:right w:val="nil"/>
            </w:tcBorders>
            <w:shd w:val="clear" w:color="auto" w:fill="auto"/>
            <w:noWrap/>
            <w:vAlign w:val="bottom"/>
            <w:hideMark/>
          </w:tcPr>
          <w:p w14:paraId="26DA660E" w14:textId="77777777" w:rsidR="00827B00" w:rsidRPr="00795367" w:rsidRDefault="00827B00" w:rsidP="003B7808">
            <w:pPr>
              <w:spacing w:after="0" w:line="240" w:lineRule="auto"/>
              <w:jc w:val="right"/>
              <w:rPr>
                <w:rFonts w:cs="Calibri"/>
                <w:color w:val="000000"/>
                <w:sz w:val="18"/>
                <w:szCs w:val="18"/>
              </w:rPr>
            </w:pPr>
            <w:r w:rsidRPr="00795367">
              <w:rPr>
                <w:rFonts w:cs="Calibri"/>
                <w:color w:val="000000"/>
                <w:sz w:val="18"/>
                <w:szCs w:val="18"/>
              </w:rPr>
              <w:t>0,893</w:t>
            </w:r>
          </w:p>
        </w:tc>
        <w:tc>
          <w:tcPr>
            <w:tcW w:w="819" w:type="dxa"/>
            <w:tcBorders>
              <w:top w:val="nil"/>
              <w:left w:val="nil"/>
              <w:bottom w:val="nil"/>
              <w:right w:val="nil"/>
            </w:tcBorders>
            <w:shd w:val="clear" w:color="auto" w:fill="auto"/>
            <w:noWrap/>
            <w:vAlign w:val="bottom"/>
            <w:hideMark/>
          </w:tcPr>
          <w:p w14:paraId="2389EDBF" w14:textId="77777777" w:rsidR="00827B00" w:rsidRPr="00795367" w:rsidRDefault="00827B00" w:rsidP="003B7808">
            <w:pPr>
              <w:spacing w:after="0" w:line="240" w:lineRule="auto"/>
              <w:jc w:val="right"/>
              <w:rPr>
                <w:rFonts w:cs="Calibri"/>
                <w:color w:val="000000"/>
                <w:sz w:val="18"/>
                <w:szCs w:val="18"/>
              </w:rPr>
            </w:pPr>
            <w:r w:rsidRPr="00795367">
              <w:rPr>
                <w:rFonts w:cs="Calibri"/>
                <w:color w:val="000000"/>
                <w:sz w:val="18"/>
                <w:szCs w:val="18"/>
              </w:rPr>
              <w:t>0,899</w:t>
            </w:r>
          </w:p>
        </w:tc>
        <w:tc>
          <w:tcPr>
            <w:tcW w:w="881" w:type="dxa"/>
            <w:tcBorders>
              <w:top w:val="nil"/>
              <w:left w:val="nil"/>
              <w:bottom w:val="nil"/>
              <w:right w:val="nil"/>
            </w:tcBorders>
            <w:shd w:val="clear" w:color="auto" w:fill="auto"/>
            <w:noWrap/>
            <w:vAlign w:val="bottom"/>
            <w:hideMark/>
          </w:tcPr>
          <w:p w14:paraId="7D7276E0" w14:textId="77777777" w:rsidR="00827B00" w:rsidRPr="00795367" w:rsidRDefault="00827B00" w:rsidP="003B7808">
            <w:pPr>
              <w:spacing w:after="0" w:line="240" w:lineRule="auto"/>
              <w:jc w:val="right"/>
              <w:rPr>
                <w:rFonts w:cs="Calibri"/>
                <w:color w:val="000000"/>
                <w:sz w:val="18"/>
                <w:szCs w:val="18"/>
              </w:rPr>
            </w:pPr>
            <w:r w:rsidRPr="00795367">
              <w:rPr>
                <w:rFonts w:cs="Calibri"/>
                <w:color w:val="000000"/>
                <w:sz w:val="18"/>
                <w:szCs w:val="18"/>
              </w:rPr>
              <w:t>0,909</w:t>
            </w:r>
          </w:p>
        </w:tc>
        <w:tc>
          <w:tcPr>
            <w:tcW w:w="957" w:type="dxa"/>
            <w:tcBorders>
              <w:top w:val="nil"/>
              <w:left w:val="nil"/>
              <w:bottom w:val="nil"/>
              <w:right w:val="nil"/>
            </w:tcBorders>
            <w:shd w:val="clear" w:color="auto" w:fill="auto"/>
            <w:noWrap/>
            <w:vAlign w:val="bottom"/>
            <w:hideMark/>
          </w:tcPr>
          <w:p w14:paraId="2B475BF3" w14:textId="77777777" w:rsidR="00827B00" w:rsidRPr="00795367" w:rsidRDefault="00827B00" w:rsidP="003B7808">
            <w:pPr>
              <w:spacing w:after="0" w:line="240" w:lineRule="auto"/>
              <w:jc w:val="right"/>
              <w:rPr>
                <w:rFonts w:cs="Calibri"/>
                <w:color w:val="000000"/>
                <w:sz w:val="18"/>
                <w:szCs w:val="18"/>
              </w:rPr>
            </w:pPr>
            <w:r w:rsidRPr="00795367">
              <w:rPr>
                <w:rFonts w:cs="Calibri"/>
                <w:color w:val="000000"/>
                <w:sz w:val="18"/>
                <w:szCs w:val="18"/>
              </w:rPr>
              <w:t>0,909</w:t>
            </w:r>
          </w:p>
        </w:tc>
        <w:tc>
          <w:tcPr>
            <w:tcW w:w="886" w:type="dxa"/>
            <w:tcBorders>
              <w:top w:val="nil"/>
              <w:left w:val="nil"/>
              <w:bottom w:val="nil"/>
              <w:right w:val="nil"/>
            </w:tcBorders>
            <w:shd w:val="clear" w:color="auto" w:fill="auto"/>
            <w:noWrap/>
            <w:vAlign w:val="bottom"/>
            <w:hideMark/>
          </w:tcPr>
          <w:p w14:paraId="6B9F3465" w14:textId="77777777" w:rsidR="00827B00" w:rsidRPr="00795367" w:rsidRDefault="00827B00" w:rsidP="003B7808">
            <w:pPr>
              <w:spacing w:after="0" w:line="240" w:lineRule="auto"/>
              <w:jc w:val="right"/>
              <w:rPr>
                <w:rFonts w:cs="Calibri"/>
                <w:color w:val="000000"/>
                <w:sz w:val="18"/>
                <w:szCs w:val="18"/>
              </w:rPr>
            </w:pPr>
            <w:r w:rsidRPr="00795367">
              <w:rPr>
                <w:rFonts w:cs="Calibri"/>
                <w:color w:val="000000"/>
                <w:sz w:val="18"/>
                <w:szCs w:val="18"/>
              </w:rPr>
              <w:t>0,920</w:t>
            </w:r>
          </w:p>
        </w:tc>
        <w:tc>
          <w:tcPr>
            <w:tcW w:w="819" w:type="dxa"/>
            <w:tcBorders>
              <w:top w:val="nil"/>
              <w:left w:val="nil"/>
              <w:bottom w:val="nil"/>
              <w:right w:val="nil"/>
            </w:tcBorders>
            <w:shd w:val="clear" w:color="auto" w:fill="auto"/>
            <w:noWrap/>
            <w:vAlign w:val="bottom"/>
            <w:hideMark/>
          </w:tcPr>
          <w:p w14:paraId="55A9EC98" w14:textId="77777777" w:rsidR="00827B00" w:rsidRPr="00795367" w:rsidRDefault="00827B00" w:rsidP="003B7808">
            <w:pPr>
              <w:spacing w:after="0" w:line="240" w:lineRule="auto"/>
              <w:jc w:val="right"/>
              <w:rPr>
                <w:rFonts w:cs="Calibri"/>
                <w:color w:val="000000"/>
                <w:sz w:val="18"/>
                <w:szCs w:val="18"/>
              </w:rPr>
            </w:pPr>
            <w:r w:rsidRPr="00795367">
              <w:rPr>
                <w:rFonts w:cs="Calibri"/>
                <w:color w:val="000000"/>
                <w:sz w:val="18"/>
                <w:szCs w:val="18"/>
              </w:rPr>
              <w:t>0,921</w:t>
            </w:r>
          </w:p>
        </w:tc>
        <w:tc>
          <w:tcPr>
            <w:tcW w:w="886" w:type="dxa"/>
            <w:tcBorders>
              <w:top w:val="nil"/>
              <w:left w:val="nil"/>
              <w:bottom w:val="nil"/>
              <w:right w:val="nil"/>
            </w:tcBorders>
            <w:shd w:val="clear" w:color="auto" w:fill="auto"/>
            <w:noWrap/>
            <w:vAlign w:val="bottom"/>
            <w:hideMark/>
          </w:tcPr>
          <w:p w14:paraId="72E65E41" w14:textId="77777777" w:rsidR="00827B00" w:rsidRPr="00795367" w:rsidRDefault="00827B00" w:rsidP="003B7808">
            <w:pPr>
              <w:spacing w:after="0" w:line="240" w:lineRule="auto"/>
              <w:jc w:val="right"/>
              <w:rPr>
                <w:rFonts w:cs="Calibri"/>
                <w:color w:val="000000"/>
                <w:sz w:val="18"/>
                <w:szCs w:val="18"/>
              </w:rPr>
            </w:pPr>
            <w:r w:rsidRPr="00795367">
              <w:rPr>
                <w:rFonts w:cs="Calibri"/>
                <w:color w:val="000000"/>
                <w:sz w:val="18"/>
                <w:szCs w:val="18"/>
              </w:rPr>
              <w:t>0,921</w:t>
            </w:r>
          </w:p>
        </w:tc>
        <w:tc>
          <w:tcPr>
            <w:tcW w:w="982" w:type="dxa"/>
            <w:tcBorders>
              <w:top w:val="nil"/>
              <w:left w:val="nil"/>
              <w:bottom w:val="nil"/>
              <w:right w:val="nil"/>
            </w:tcBorders>
            <w:vAlign w:val="bottom"/>
          </w:tcPr>
          <w:p w14:paraId="0ABAD80E" w14:textId="77777777" w:rsidR="00827B00" w:rsidRPr="00795367" w:rsidRDefault="00827B00" w:rsidP="003B7808">
            <w:pPr>
              <w:spacing w:after="0" w:line="240" w:lineRule="auto"/>
              <w:jc w:val="right"/>
              <w:rPr>
                <w:rFonts w:cs="Calibri"/>
                <w:color w:val="000000"/>
                <w:sz w:val="18"/>
                <w:szCs w:val="18"/>
              </w:rPr>
            </w:pPr>
            <w:r w:rsidRPr="00795367">
              <w:rPr>
                <w:rFonts w:cs="Calibri"/>
                <w:color w:val="000000"/>
                <w:sz w:val="18"/>
                <w:szCs w:val="18"/>
              </w:rPr>
              <w:t>0,911</w:t>
            </w:r>
          </w:p>
        </w:tc>
        <w:tc>
          <w:tcPr>
            <w:tcW w:w="820" w:type="dxa"/>
            <w:tcBorders>
              <w:top w:val="nil"/>
              <w:left w:val="nil"/>
              <w:bottom w:val="nil"/>
              <w:right w:val="nil"/>
            </w:tcBorders>
            <w:shd w:val="clear" w:color="auto" w:fill="auto"/>
            <w:noWrap/>
            <w:vAlign w:val="bottom"/>
            <w:hideMark/>
          </w:tcPr>
          <w:p w14:paraId="3CFF4F0D" w14:textId="77777777" w:rsidR="00827B00" w:rsidRPr="00795367" w:rsidRDefault="00827B00" w:rsidP="003B7808">
            <w:pPr>
              <w:spacing w:after="0" w:line="240" w:lineRule="auto"/>
              <w:jc w:val="right"/>
              <w:rPr>
                <w:rFonts w:cs="Calibri"/>
                <w:color w:val="000000"/>
                <w:sz w:val="18"/>
                <w:szCs w:val="18"/>
              </w:rPr>
            </w:pPr>
            <w:r w:rsidRPr="00795367">
              <w:rPr>
                <w:rFonts w:cs="Calibri"/>
                <w:color w:val="000000"/>
                <w:sz w:val="18"/>
                <w:szCs w:val="18"/>
              </w:rPr>
              <w:t>0,911</w:t>
            </w:r>
          </w:p>
        </w:tc>
        <w:tc>
          <w:tcPr>
            <w:tcW w:w="823" w:type="dxa"/>
            <w:tcBorders>
              <w:top w:val="nil"/>
              <w:left w:val="nil"/>
              <w:bottom w:val="nil"/>
              <w:right w:val="single" w:sz="4" w:space="0" w:color="auto"/>
            </w:tcBorders>
            <w:shd w:val="clear" w:color="auto" w:fill="auto"/>
            <w:noWrap/>
            <w:vAlign w:val="bottom"/>
            <w:hideMark/>
          </w:tcPr>
          <w:p w14:paraId="298887E1" w14:textId="77777777" w:rsidR="00827B00" w:rsidRPr="00795367" w:rsidRDefault="00827B00" w:rsidP="003B7808">
            <w:pPr>
              <w:spacing w:after="0" w:line="240" w:lineRule="auto"/>
              <w:jc w:val="right"/>
              <w:rPr>
                <w:rFonts w:cs="Calibri"/>
                <w:color w:val="000000"/>
                <w:sz w:val="18"/>
                <w:szCs w:val="18"/>
              </w:rPr>
            </w:pPr>
            <w:r w:rsidRPr="00795367">
              <w:rPr>
                <w:rFonts w:cs="Calibri"/>
                <w:color w:val="000000"/>
                <w:sz w:val="18"/>
                <w:szCs w:val="18"/>
              </w:rPr>
              <w:t>0,912</w:t>
            </w:r>
          </w:p>
        </w:tc>
      </w:tr>
      <w:tr w:rsidR="00827B00" w:rsidRPr="0020638D" w14:paraId="0DD4C539" w14:textId="77777777" w:rsidTr="003B7808">
        <w:trPr>
          <w:trHeight w:val="315"/>
        </w:trPr>
        <w:tc>
          <w:tcPr>
            <w:tcW w:w="13545" w:type="dxa"/>
            <w:gridSpan w:val="12"/>
            <w:tcBorders>
              <w:top w:val="single" w:sz="4" w:space="0" w:color="auto"/>
              <w:left w:val="single" w:sz="4" w:space="0" w:color="auto"/>
              <w:bottom w:val="single" w:sz="4" w:space="0" w:color="auto"/>
              <w:right w:val="single" w:sz="4" w:space="0" w:color="auto"/>
            </w:tcBorders>
          </w:tcPr>
          <w:p w14:paraId="0525EECE" w14:textId="77777777" w:rsidR="00827B00" w:rsidRPr="00EE35BC" w:rsidRDefault="00827B00" w:rsidP="003B7808">
            <w:pPr>
              <w:spacing w:after="0" w:line="240" w:lineRule="auto"/>
              <w:rPr>
                <w:rFonts w:eastAsia="Times New Roman" w:cs="Calibri"/>
                <w:i/>
                <w:color w:val="000000"/>
                <w:sz w:val="18"/>
                <w:szCs w:val="17"/>
                <w:lang w:eastAsia="sk-SK"/>
              </w:rPr>
            </w:pPr>
            <w:r w:rsidRPr="00EE35BC">
              <w:rPr>
                <w:rFonts w:eastAsia="Times New Roman" w:cs="Calibri"/>
                <w:i/>
                <w:color w:val="000000"/>
                <w:sz w:val="18"/>
                <w:szCs w:val="17"/>
                <w:lang w:eastAsia="sk-SK"/>
              </w:rPr>
              <w:t>* p &lt; 0,1, ** p &lt; 0,05, *** p &lt; 0,01</w:t>
            </w:r>
          </w:p>
          <w:p w14:paraId="1B46FFEC" w14:textId="77777777" w:rsidR="00827B00" w:rsidRPr="0020638D" w:rsidRDefault="00827B00" w:rsidP="003B7808">
            <w:pPr>
              <w:spacing w:after="0" w:line="240" w:lineRule="auto"/>
              <w:rPr>
                <w:rFonts w:eastAsia="Times New Roman" w:cs="Calibri"/>
                <w:i/>
                <w:color w:val="000000"/>
                <w:sz w:val="18"/>
                <w:szCs w:val="18"/>
                <w:lang w:eastAsia="sk-SK"/>
              </w:rPr>
            </w:pPr>
            <w:r w:rsidRPr="00EE35BC">
              <w:rPr>
                <w:rFonts w:eastAsia="Times New Roman" w:cs="Calibri"/>
                <w:i/>
                <w:color w:val="000000"/>
                <w:sz w:val="18"/>
                <w:szCs w:val="17"/>
                <w:lang w:eastAsia="sk-SK"/>
              </w:rPr>
              <w:t>Koeficienty sú štandardizované, aby mohli byť medzi sebou porovnávané. Závislá premenná sú výdavky na predprimárne vzdelávanie v roku 2017. Zohľadnené obce, ktoré zriaďujú materské školy a zároveň v nich nie sú materské školy iného zriaďovateľa. Vylúčené obce, pri ktorých boli výdavky na dieťa vyššie ako 5 000 EUR alebo nižšie ako 1 000 EUR.</w:t>
            </w:r>
          </w:p>
        </w:tc>
      </w:tr>
    </w:tbl>
    <w:p w14:paraId="369ECFEF" w14:textId="77777777" w:rsidR="00827B00" w:rsidRDefault="00827B00" w:rsidP="00827B00">
      <w:pPr>
        <w:sectPr w:rsidR="00827B00" w:rsidSect="00827B00">
          <w:pgSz w:w="16838" w:h="11906" w:orient="landscape" w:code="9"/>
          <w:pgMar w:top="1440" w:right="1440" w:bottom="1378" w:left="1440" w:header="708" w:footer="928" w:gutter="0"/>
          <w:cols w:space="708"/>
          <w:docGrid w:linePitch="360"/>
        </w:sectPr>
      </w:pPr>
    </w:p>
    <w:p w14:paraId="059BCE75" w14:textId="77777777" w:rsidR="00827B00" w:rsidRPr="00943975" w:rsidRDefault="00827B00" w:rsidP="00827B00">
      <w:pPr>
        <w:spacing w:after="0" w:line="240" w:lineRule="auto"/>
        <w:rPr>
          <w:b/>
          <w:sz w:val="20"/>
        </w:rPr>
      </w:pPr>
      <w:r w:rsidRPr="00943975">
        <w:rPr>
          <w:b/>
          <w:sz w:val="20"/>
        </w:rPr>
        <w:t xml:space="preserve">Tabuľka P </w:t>
      </w:r>
      <w:r w:rsidRPr="00943975">
        <w:rPr>
          <w:b/>
          <w:sz w:val="20"/>
        </w:rPr>
        <w:fldChar w:fldCharType="begin"/>
      </w:r>
      <w:r w:rsidRPr="00943975">
        <w:rPr>
          <w:b/>
          <w:sz w:val="20"/>
        </w:rPr>
        <w:instrText xml:space="preserve"> SEQ Tabuľka_P \* ARABIC </w:instrText>
      </w:r>
      <w:r w:rsidRPr="00943975">
        <w:rPr>
          <w:b/>
          <w:sz w:val="20"/>
        </w:rPr>
        <w:fldChar w:fldCharType="separate"/>
      </w:r>
      <w:r w:rsidR="00FA29AF">
        <w:rPr>
          <w:b/>
          <w:noProof/>
          <w:sz w:val="20"/>
        </w:rPr>
        <w:t>8</w:t>
      </w:r>
      <w:r w:rsidRPr="00943975">
        <w:rPr>
          <w:b/>
          <w:sz w:val="20"/>
        </w:rPr>
        <w:fldChar w:fldCharType="end"/>
      </w:r>
      <w:r w:rsidRPr="00943975">
        <w:rPr>
          <w:b/>
          <w:sz w:val="20"/>
        </w:rPr>
        <w:t xml:space="preserve"> Príjmy a výdavky na dieťa, 2017</w:t>
      </w:r>
    </w:p>
    <w:tbl>
      <w:tblPr>
        <w:tblW w:w="9212" w:type="dxa"/>
        <w:tblCellMar>
          <w:left w:w="70" w:type="dxa"/>
          <w:right w:w="70" w:type="dxa"/>
        </w:tblCellMar>
        <w:tblLook w:val="04A0" w:firstRow="1" w:lastRow="0" w:firstColumn="1" w:lastColumn="0" w:noHBand="0" w:noVBand="1"/>
      </w:tblPr>
      <w:tblGrid>
        <w:gridCol w:w="966"/>
        <w:gridCol w:w="752"/>
        <w:gridCol w:w="773"/>
        <w:gridCol w:w="827"/>
        <w:gridCol w:w="736"/>
        <w:gridCol w:w="1010"/>
        <w:gridCol w:w="727"/>
        <w:gridCol w:w="1037"/>
        <w:gridCol w:w="1007"/>
        <w:gridCol w:w="1377"/>
      </w:tblGrid>
      <w:tr w:rsidR="00827B00" w:rsidRPr="0020638D" w14:paraId="72B2B31C" w14:textId="77777777" w:rsidTr="003B7808">
        <w:trPr>
          <w:trHeight w:val="300"/>
        </w:trPr>
        <w:tc>
          <w:tcPr>
            <w:tcW w:w="966" w:type="dxa"/>
            <w:vMerge w:val="restart"/>
            <w:tcBorders>
              <w:top w:val="single" w:sz="4" w:space="0" w:color="auto"/>
            </w:tcBorders>
            <w:shd w:val="clear" w:color="auto" w:fill="auto"/>
            <w:vAlign w:val="bottom"/>
            <w:hideMark/>
          </w:tcPr>
          <w:p w14:paraId="454C0EAF" w14:textId="77777777" w:rsidR="00827B00" w:rsidRPr="0020638D" w:rsidRDefault="00827B00" w:rsidP="003B7808">
            <w:pPr>
              <w:pStyle w:val="Bezriadkovania"/>
              <w:jc w:val="center"/>
              <w:rPr>
                <w:rFonts w:ascii="Arial Narrow" w:eastAsia="Times New Roman" w:hAnsi="Arial Narrow" w:cs="Calibri"/>
                <w:b/>
                <w:bCs/>
                <w:color w:val="000000"/>
                <w:sz w:val="18"/>
                <w:lang w:eastAsia="sk-SK"/>
              </w:rPr>
            </w:pPr>
            <w:r w:rsidRPr="0020638D">
              <w:rPr>
                <w:rFonts w:ascii="Arial Narrow" w:eastAsia="Times New Roman" w:hAnsi="Arial Narrow" w:cs="Calibri"/>
                <w:b/>
                <w:bCs/>
                <w:color w:val="000000"/>
                <w:sz w:val="18"/>
                <w:lang w:eastAsia="sk-SK"/>
              </w:rPr>
              <w:t>Počet detí</w:t>
            </w:r>
          </w:p>
        </w:tc>
        <w:tc>
          <w:tcPr>
            <w:tcW w:w="752" w:type="dxa"/>
            <w:vMerge w:val="restart"/>
            <w:tcBorders>
              <w:top w:val="single" w:sz="4" w:space="0" w:color="auto"/>
            </w:tcBorders>
            <w:shd w:val="clear" w:color="auto" w:fill="auto"/>
            <w:vAlign w:val="bottom"/>
            <w:hideMark/>
          </w:tcPr>
          <w:p w14:paraId="11DC218D" w14:textId="77777777" w:rsidR="00827B00" w:rsidRPr="0020638D" w:rsidRDefault="00827B00" w:rsidP="003B7808">
            <w:pPr>
              <w:pStyle w:val="Bezriadkovania"/>
              <w:jc w:val="center"/>
              <w:rPr>
                <w:rFonts w:ascii="Arial Narrow" w:eastAsia="Times New Roman" w:hAnsi="Arial Narrow" w:cs="Calibri"/>
                <w:b/>
                <w:bCs/>
                <w:color w:val="000000"/>
                <w:sz w:val="18"/>
                <w:lang w:eastAsia="sk-SK"/>
              </w:rPr>
            </w:pPr>
            <w:r w:rsidRPr="0020638D">
              <w:rPr>
                <w:rFonts w:ascii="Arial Narrow" w:eastAsia="Times New Roman" w:hAnsi="Arial Narrow" w:cs="Calibri"/>
                <w:b/>
                <w:bCs/>
                <w:color w:val="000000"/>
                <w:sz w:val="18"/>
                <w:lang w:eastAsia="sk-SK"/>
              </w:rPr>
              <w:t>Príjem na dieťa</w:t>
            </w:r>
          </w:p>
        </w:tc>
        <w:tc>
          <w:tcPr>
            <w:tcW w:w="773" w:type="dxa"/>
            <w:vMerge w:val="restart"/>
            <w:tcBorders>
              <w:top w:val="single" w:sz="4" w:space="0" w:color="auto"/>
            </w:tcBorders>
            <w:shd w:val="clear" w:color="auto" w:fill="auto"/>
            <w:vAlign w:val="bottom"/>
            <w:hideMark/>
          </w:tcPr>
          <w:p w14:paraId="44FFC6C2" w14:textId="77777777" w:rsidR="00827B00" w:rsidRPr="0020638D" w:rsidRDefault="00827B00" w:rsidP="003B7808">
            <w:pPr>
              <w:pStyle w:val="Bezriadkovania"/>
              <w:jc w:val="center"/>
              <w:rPr>
                <w:rFonts w:ascii="Arial Narrow" w:eastAsia="Times New Roman" w:hAnsi="Arial Narrow" w:cs="Calibri"/>
                <w:b/>
                <w:bCs/>
                <w:color w:val="000000"/>
                <w:sz w:val="18"/>
                <w:lang w:eastAsia="sk-SK"/>
              </w:rPr>
            </w:pPr>
            <w:r w:rsidRPr="0020638D">
              <w:rPr>
                <w:rFonts w:ascii="Arial Narrow" w:eastAsia="Times New Roman" w:hAnsi="Arial Narrow" w:cs="Calibri"/>
                <w:b/>
                <w:bCs/>
                <w:color w:val="000000"/>
                <w:sz w:val="18"/>
                <w:lang w:eastAsia="sk-SK"/>
              </w:rPr>
              <w:t>Počet obcí/MŠ</w:t>
            </w:r>
          </w:p>
        </w:tc>
        <w:tc>
          <w:tcPr>
            <w:tcW w:w="827" w:type="dxa"/>
            <w:vMerge w:val="restart"/>
            <w:tcBorders>
              <w:top w:val="single" w:sz="4" w:space="0" w:color="auto"/>
            </w:tcBorders>
            <w:shd w:val="clear" w:color="auto" w:fill="auto"/>
            <w:vAlign w:val="bottom"/>
            <w:hideMark/>
          </w:tcPr>
          <w:p w14:paraId="2378E495" w14:textId="77777777" w:rsidR="00827B00" w:rsidRPr="0020638D" w:rsidRDefault="00827B00" w:rsidP="003B7808">
            <w:pPr>
              <w:pStyle w:val="Bezriadkovania"/>
              <w:jc w:val="center"/>
              <w:rPr>
                <w:rFonts w:ascii="Arial Narrow" w:eastAsia="Times New Roman" w:hAnsi="Arial Narrow" w:cs="Calibri"/>
                <w:b/>
                <w:bCs/>
                <w:color w:val="000000"/>
                <w:sz w:val="18"/>
                <w:lang w:eastAsia="sk-SK"/>
              </w:rPr>
            </w:pPr>
            <w:r w:rsidRPr="0020638D">
              <w:rPr>
                <w:rFonts w:ascii="Arial Narrow" w:eastAsia="Times New Roman" w:hAnsi="Arial Narrow" w:cs="Calibri"/>
                <w:b/>
                <w:bCs/>
                <w:color w:val="000000"/>
                <w:sz w:val="18"/>
                <w:lang w:eastAsia="sk-SK"/>
              </w:rPr>
              <w:t>Počet detí v MŠ</w:t>
            </w:r>
          </w:p>
        </w:tc>
        <w:tc>
          <w:tcPr>
            <w:tcW w:w="4517" w:type="dxa"/>
            <w:gridSpan w:val="5"/>
            <w:tcBorders>
              <w:top w:val="single" w:sz="4" w:space="0" w:color="auto"/>
            </w:tcBorders>
            <w:vAlign w:val="center"/>
          </w:tcPr>
          <w:p w14:paraId="6FE5F561" w14:textId="77777777" w:rsidR="00827B00" w:rsidRPr="0020638D" w:rsidRDefault="00827B00" w:rsidP="003B7808">
            <w:pPr>
              <w:pStyle w:val="Bezriadkovania"/>
              <w:jc w:val="center"/>
              <w:rPr>
                <w:rFonts w:ascii="Arial Narrow" w:eastAsia="Times New Roman" w:hAnsi="Arial Narrow" w:cs="Calibri"/>
                <w:b/>
                <w:bCs/>
                <w:color w:val="000000"/>
                <w:sz w:val="18"/>
                <w:lang w:eastAsia="sk-SK"/>
              </w:rPr>
            </w:pPr>
            <w:r w:rsidRPr="0020638D">
              <w:rPr>
                <w:rFonts w:ascii="Arial Narrow" w:eastAsia="Times New Roman" w:hAnsi="Arial Narrow" w:cs="Calibri"/>
                <w:b/>
                <w:bCs/>
                <w:color w:val="000000"/>
                <w:sz w:val="18"/>
                <w:lang w:eastAsia="sk-SK"/>
              </w:rPr>
              <w:t>Výdavky na dieťa</w:t>
            </w:r>
          </w:p>
        </w:tc>
        <w:tc>
          <w:tcPr>
            <w:tcW w:w="1377" w:type="dxa"/>
            <w:vMerge w:val="restart"/>
            <w:tcBorders>
              <w:top w:val="single" w:sz="4" w:space="0" w:color="auto"/>
            </w:tcBorders>
            <w:shd w:val="clear" w:color="auto" w:fill="auto"/>
            <w:vAlign w:val="center"/>
            <w:hideMark/>
          </w:tcPr>
          <w:p w14:paraId="64036E7E" w14:textId="77777777" w:rsidR="00827B00" w:rsidRPr="0020638D" w:rsidRDefault="00827B00" w:rsidP="003B7808">
            <w:pPr>
              <w:pStyle w:val="Bezriadkovania"/>
              <w:jc w:val="center"/>
              <w:rPr>
                <w:rFonts w:ascii="Arial Narrow" w:eastAsia="Times New Roman" w:hAnsi="Arial Narrow" w:cs="Calibri"/>
                <w:b/>
                <w:bCs/>
                <w:color w:val="000000"/>
                <w:sz w:val="18"/>
                <w:lang w:eastAsia="sk-SK"/>
              </w:rPr>
            </w:pPr>
            <w:r w:rsidRPr="0020638D">
              <w:rPr>
                <w:rFonts w:ascii="Arial Narrow" w:eastAsia="Times New Roman" w:hAnsi="Arial Narrow" w:cs="Calibri"/>
                <w:b/>
                <w:bCs/>
                <w:color w:val="000000"/>
                <w:sz w:val="18"/>
                <w:lang w:eastAsia="sk-SK"/>
              </w:rPr>
              <w:t>Podiel obcí/MŠ, kt. majú nižšie výdavky na dieťa ako 90 % príjmov na dieťa</w:t>
            </w:r>
          </w:p>
        </w:tc>
      </w:tr>
      <w:tr w:rsidR="00827B00" w:rsidRPr="0020638D" w14:paraId="4194496A" w14:textId="77777777" w:rsidTr="003B7808">
        <w:trPr>
          <w:trHeight w:val="300"/>
        </w:trPr>
        <w:tc>
          <w:tcPr>
            <w:tcW w:w="966" w:type="dxa"/>
            <w:vMerge/>
            <w:tcBorders>
              <w:top w:val="nil"/>
              <w:bottom w:val="single" w:sz="4" w:space="0" w:color="auto"/>
            </w:tcBorders>
            <w:vAlign w:val="center"/>
            <w:hideMark/>
          </w:tcPr>
          <w:p w14:paraId="4C8E231F"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p>
        </w:tc>
        <w:tc>
          <w:tcPr>
            <w:tcW w:w="752" w:type="dxa"/>
            <w:vMerge/>
            <w:tcBorders>
              <w:top w:val="nil"/>
              <w:bottom w:val="single" w:sz="4" w:space="0" w:color="auto"/>
            </w:tcBorders>
            <w:vAlign w:val="center"/>
            <w:hideMark/>
          </w:tcPr>
          <w:p w14:paraId="03E6301C"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p>
        </w:tc>
        <w:tc>
          <w:tcPr>
            <w:tcW w:w="773" w:type="dxa"/>
            <w:vMerge/>
            <w:tcBorders>
              <w:top w:val="nil"/>
              <w:bottom w:val="single" w:sz="4" w:space="0" w:color="auto"/>
            </w:tcBorders>
            <w:vAlign w:val="center"/>
            <w:hideMark/>
          </w:tcPr>
          <w:p w14:paraId="30D05F77"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p>
        </w:tc>
        <w:tc>
          <w:tcPr>
            <w:tcW w:w="827" w:type="dxa"/>
            <w:vMerge/>
            <w:tcBorders>
              <w:top w:val="nil"/>
              <w:bottom w:val="single" w:sz="4" w:space="0" w:color="auto"/>
            </w:tcBorders>
            <w:vAlign w:val="center"/>
            <w:hideMark/>
          </w:tcPr>
          <w:p w14:paraId="44EB2209"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p>
        </w:tc>
        <w:tc>
          <w:tcPr>
            <w:tcW w:w="736" w:type="dxa"/>
            <w:tcBorders>
              <w:top w:val="nil"/>
              <w:bottom w:val="single" w:sz="4" w:space="0" w:color="auto"/>
            </w:tcBorders>
            <w:shd w:val="clear" w:color="auto" w:fill="auto"/>
            <w:noWrap/>
            <w:vAlign w:val="bottom"/>
            <w:hideMark/>
          </w:tcPr>
          <w:p w14:paraId="0B8589E4" w14:textId="77777777" w:rsidR="00827B00" w:rsidRPr="0020638D" w:rsidRDefault="00827B00" w:rsidP="003B7808">
            <w:pPr>
              <w:pStyle w:val="Bezriadkovania"/>
              <w:jc w:val="center"/>
              <w:rPr>
                <w:rFonts w:ascii="Arial Narrow" w:eastAsia="Times New Roman" w:hAnsi="Arial Narrow" w:cs="Calibri"/>
                <w:b/>
                <w:bCs/>
                <w:color w:val="000000"/>
                <w:sz w:val="18"/>
                <w:lang w:eastAsia="sk-SK"/>
              </w:rPr>
            </w:pPr>
            <w:r w:rsidRPr="0020638D">
              <w:rPr>
                <w:rFonts w:ascii="Arial Narrow" w:eastAsia="Times New Roman" w:hAnsi="Arial Narrow" w:cs="Calibri"/>
                <w:b/>
                <w:bCs/>
                <w:color w:val="000000"/>
                <w:sz w:val="18"/>
                <w:lang w:eastAsia="sk-SK"/>
              </w:rPr>
              <w:t>Priemer</w:t>
            </w:r>
          </w:p>
        </w:tc>
        <w:tc>
          <w:tcPr>
            <w:tcW w:w="1010" w:type="dxa"/>
            <w:tcBorders>
              <w:top w:val="nil"/>
              <w:bottom w:val="single" w:sz="4" w:space="0" w:color="auto"/>
            </w:tcBorders>
            <w:vAlign w:val="bottom"/>
          </w:tcPr>
          <w:p w14:paraId="1D07A268" w14:textId="77777777" w:rsidR="00827B00" w:rsidRPr="0020638D" w:rsidRDefault="00827B00" w:rsidP="003B7808">
            <w:pPr>
              <w:pStyle w:val="Bezriadkovania"/>
              <w:jc w:val="center"/>
              <w:rPr>
                <w:rFonts w:ascii="Arial Narrow" w:eastAsia="Times New Roman" w:hAnsi="Arial Narrow" w:cs="Calibri"/>
                <w:b/>
                <w:bCs/>
                <w:color w:val="000000"/>
                <w:sz w:val="18"/>
                <w:lang w:eastAsia="sk-SK"/>
              </w:rPr>
            </w:pPr>
            <w:r w:rsidRPr="0020638D">
              <w:rPr>
                <w:rFonts w:ascii="Arial Narrow" w:eastAsia="Times New Roman" w:hAnsi="Arial Narrow" w:cs="Calibri"/>
                <w:b/>
                <w:bCs/>
                <w:color w:val="000000"/>
                <w:sz w:val="18"/>
                <w:lang w:eastAsia="sk-SK"/>
              </w:rPr>
              <w:t>Rozdiel v príjmoch a výdavkoch</w:t>
            </w:r>
          </w:p>
        </w:tc>
        <w:tc>
          <w:tcPr>
            <w:tcW w:w="727" w:type="dxa"/>
            <w:tcBorders>
              <w:top w:val="nil"/>
              <w:bottom w:val="single" w:sz="4" w:space="0" w:color="auto"/>
            </w:tcBorders>
            <w:shd w:val="clear" w:color="auto" w:fill="auto"/>
            <w:noWrap/>
            <w:vAlign w:val="bottom"/>
            <w:hideMark/>
          </w:tcPr>
          <w:p w14:paraId="48EE3A8F" w14:textId="77777777" w:rsidR="00827B00" w:rsidRPr="0020638D" w:rsidRDefault="00827B00" w:rsidP="003B7808">
            <w:pPr>
              <w:pStyle w:val="Bezriadkovania"/>
              <w:jc w:val="center"/>
              <w:rPr>
                <w:rFonts w:ascii="Arial Narrow" w:eastAsia="Times New Roman" w:hAnsi="Arial Narrow" w:cs="Calibri"/>
                <w:b/>
                <w:bCs/>
                <w:color w:val="000000"/>
                <w:sz w:val="18"/>
                <w:lang w:eastAsia="sk-SK"/>
              </w:rPr>
            </w:pPr>
            <w:r w:rsidRPr="0020638D">
              <w:rPr>
                <w:rFonts w:ascii="Arial Narrow" w:eastAsia="Times New Roman" w:hAnsi="Arial Narrow" w:cs="Calibri"/>
                <w:b/>
                <w:bCs/>
                <w:color w:val="000000"/>
                <w:sz w:val="18"/>
                <w:lang w:eastAsia="sk-SK"/>
              </w:rPr>
              <w:t>Medián</w:t>
            </w:r>
          </w:p>
        </w:tc>
        <w:tc>
          <w:tcPr>
            <w:tcW w:w="1037" w:type="dxa"/>
            <w:tcBorders>
              <w:top w:val="nil"/>
              <w:bottom w:val="single" w:sz="4" w:space="0" w:color="auto"/>
            </w:tcBorders>
            <w:shd w:val="clear" w:color="auto" w:fill="auto"/>
            <w:noWrap/>
            <w:vAlign w:val="bottom"/>
            <w:hideMark/>
          </w:tcPr>
          <w:p w14:paraId="7649646D" w14:textId="77777777" w:rsidR="00827B00" w:rsidRPr="0020638D" w:rsidRDefault="00827B00" w:rsidP="003B7808">
            <w:pPr>
              <w:pStyle w:val="Bezriadkovania"/>
              <w:jc w:val="center"/>
              <w:rPr>
                <w:rFonts w:ascii="Arial Narrow" w:eastAsia="Times New Roman" w:hAnsi="Arial Narrow" w:cs="Calibri"/>
                <w:b/>
                <w:bCs/>
                <w:color w:val="000000"/>
                <w:sz w:val="18"/>
                <w:lang w:eastAsia="sk-SK"/>
              </w:rPr>
            </w:pPr>
            <w:r w:rsidRPr="0020638D">
              <w:rPr>
                <w:rFonts w:ascii="Arial Narrow" w:eastAsia="Times New Roman" w:hAnsi="Arial Narrow" w:cs="Calibri"/>
                <w:b/>
                <w:bCs/>
                <w:color w:val="000000"/>
                <w:sz w:val="18"/>
                <w:lang w:eastAsia="sk-SK"/>
              </w:rPr>
              <w:t>75. percentil</w:t>
            </w:r>
          </w:p>
        </w:tc>
        <w:tc>
          <w:tcPr>
            <w:tcW w:w="1007" w:type="dxa"/>
            <w:tcBorders>
              <w:top w:val="nil"/>
              <w:bottom w:val="single" w:sz="4" w:space="0" w:color="auto"/>
            </w:tcBorders>
            <w:shd w:val="clear" w:color="auto" w:fill="auto"/>
            <w:noWrap/>
            <w:vAlign w:val="bottom"/>
            <w:hideMark/>
          </w:tcPr>
          <w:p w14:paraId="789E99B0" w14:textId="77777777" w:rsidR="00827B00" w:rsidRPr="0020638D" w:rsidRDefault="00827B00" w:rsidP="003B7808">
            <w:pPr>
              <w:pStyle w:val="Bezriadkovania"/>
              <w:jc w:val="center"/>
              <w:rPr>
                <w:rFonts w:ascii="Arial Narrow" w:eastAsia="Times New Roman" w:hAnsi="Arial Narrow" w:cs="Calibri"/>
                <w:b/>
                <w:bCs/>
                <w:color w:val="000000"/>
                <w:sz w:val="18"/>
                <w:lang w:eastAsia="sk-SK"/>
              </w:rPr>
            </w:pPr>
            <w:r w:rsidRPr="0020638D">
              <w:rPr>
                <w:rFonts w:ascii="Arial Narrow" w:eastAsia="Times New Roman" w:hAnsi="Arial Narrow" w:cs="Calibri"/>
                <w:b/>
                <w:bCs/>
                <w:color w:val="000000"/>
                <w:sz w:val="18"/>
                <w:lang w:eastAsia="sk-SK"/>
              </w:rPr>
              <w:t>90. percentil</w:t>
            </w:r>
          </w:p>
        </w:tc>
        <w:tc>
          <w:tcPr>
            <w:tcW w:w="1377" w:type="dxa"/>
            <w:vMerge/>
            <w:tcBorders>
              <w:top w:val="nil"/>
              <w:bottom w:val="single" w:sz="4" w:space="0" w:color="auto"/>
            </w:tcBorders>
            <w:vAlign w:val="center"/>
            <w:hideMark/>
          </w:tcPr>
          <w:p w14:paraId="777AEAF2"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p>
        </w:tc>
      </w:tr>
      <w:tr w:rsidR="00827B00" w:rsidRPr="0020638D" w14:paraId="39996E40" w14:textId="77777777" w:rsidTr="003B7808">
        <w:trPr>
          <w:trHeight w:val="300"/>
        </w:trPr>
        <w:tc>
          <w:tcPr>
            <w:tcW w:w="966" w:type="dxa"/>
            <w:tcBorders>
              <w:top w:val="single" w:sz="4" w:space="0" w:color="auto"/>
              <w:bottom w:val="nil"/>
            </w:tcBorders>
            <w:shd w:val="clear" w:color="auto" w:fill="auto"/>
            <w:noWrap/>
            <w:vAlign w:val="bottom"/>
            <w:hideMark/>
          </w:tcPr>
          <w:p w14:paraId="70D138F4"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&lt; 10 detí</w:t>
            </w:r>
          </w:p>
        </w:tc>
        <w:tc>
          <w:tcPr>
            <w:tcW w:w="752" w:type="dxa"/>
            <w:tcBorders>
              <w:top w:val="single" w:sz="4" w:space="0" w:color="auto"/>
              <w:bottom w:val="nil"/>
            </w:tcBorders>
            <w:shd w:val="clear" w:color="auto" w:fill="auto"/>
            <w:noWrap/>
            <w:vAlign w:val="bottom"/>
            <w:hideMark/>
          </w:tcPr>
          <w:p w14:paraId="2582D37E"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3 896,3</w:t>
            </w:r>
          </w:p>
        </w:tc>
        <w:tc>
          <w:tcPr>
            <w:tcW w:w="773" w:type="dxa"/>
            <w:tcBorders>
              <w:top w:val="single" w:sz="4" w:space="0" w:color="auto"/>
              <w:bottom w:val="nil"/>
            </w:tcBorders>
            <w:shd w:val="clear" w:color="auto" w:fill="auto"/>
            <w:noWrap/>
            <w:vAlign w:val="bottom"/>
            <w:hideMark/>
          </w:tcPr>
          <w:p w14:paraId="26F83D26"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78</w:t>
            </w:r>
          </w:p>
        </w:tc>
        <w:tc>
          <w:tcPr>
            <w:tcW w:w="827" w:type="dxa"/>
            <w:tcBorders>
              <w:top w:val="single" w:sz="4" w:space="0" w:color="auto"/>
              <w:bottom w:val="nil"/>
            </w:tcBorders>
            <w:shd w:val="clear" w:color="auto" w:fill="auto"/>
            <w:noWrap/>
            <w:vAlign w:val="bottom"/>
            <w:hideMark/>
          </w:tcPr>
          <w:p w14:paraId="1C4EB35F"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670</w:t>
            </w:r>
          </w:p>
        </w:tc>
        <w:tc>
          <w:tcPr>
            <w:tcW w:w="736" w:type="dxa"/>
            <w:tcBorders>
              <w:top w:val="single" w:sz="4" w:space="0" w:color="auto"/>
              <w:bottom w:val="nil"/>
            </w:tcBorders>
            <w:shd w:val="clear" w:color="auto" w:fill="auto"/>
            <w:noWrap/>
            <w:vAlign w:val="bottom"/>
            <w:hideMark/>
          </w:tcPr>
          <w:p w14:paraId="124411D1"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2 896,0</w:t>
            </w:r>
          </w:p>
        </w:tc>
        <w:tc>
          <w:tcPr>
            <w:tcW w:w="1010" w:type="dxa"/>
            <w:tcBorders>
              <w:top w:val="single" w:sz="4" w:space="0" w:color="auto"/>
              <w:bottom w:val="nil"/>
            </w:tcBorders>
            <w:vAlign w:val="bottom"/>
          </w:tcPr>
          <w:p w14:paraId="586C2B48" w14:textId="77777777" w:rsidR="00827B00" w:rsidRPr="0020638D" w:rsidRDefault="00827B00" w:rsidP="003B7808">
            <w:pPr>
              <w:pStyle w:val="Bezriadkovania"/>
              <w:jc w:val="center"/>
              <w:rPr>
                <w:rFonts w:ascii="Arial Narrow" w:eastAsia="Times New Roman" w:hAnsi="Arial Narrow" w:cs="Calibri"/>
                <w:color w:val="000000"/>
                <w:sz w:val="18"/>
                <w:szCs w:val="18"/>
                <w:lang w:eastAsia="sk-SK"/>
              </w:rPr>
            </w:pPr>
            <w:r w:rsidRPr="0020638D">
              <w:rPr>
                <w:rFonts w:ascii="Arial Narrow" w:hAnsi="Arial Narrow"/>
                <w:sz w:val="18"/>
                <w:szCs w:val="18"/>
              </w:rPr>
              <w:t>1 000,30</w:t>
            </w:r>
          </w:p>
        </w:tc>
        <w:tc>
          <w:tcPr>
            <w:tcW w:w="727" w:type="dxa"/>
            <w:tcBorders>
              <w:top w:val="single" w:sz="4" w:space="0" w:color="auto"/>
              <w:bottom w:val="nil"/>
            </w:tcBorders>
            <w:shd w:val="clear" w:color="auto" w:fill="auto"/>
            <w:noWrap/>
            <w:vAlign w:val="bottom"/>
            <w:hideMark/>
          </w:tcPr>
          <w:p w14:paraId="48C55760"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2 937,6</w:t>
            </w:r>
          </w:p>
        </w:tc>
        <w:tc>
          <w:tcPr>
            <w:tcW w:w="1037" w:type="dxa"/>
            <w:tcBorders>
              <w:top w:val="single" w:sz="4" w:space="0" w:color="auto"/>
              <w:bottom w:val="nil"/>
            </w:tcBorders>
            <w:shd w:val="clear" w:color="auto" w:fill="auto"/>
            <w:noWrap/>
            <w:vAlign w:val="bottom"/>
            <w:hideMark/>
          </w:tcPr>
          <w:p w14:paraId="55B5DF22"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3 456,3</w:t>
            </w:r>
          </w:p>
        </w:tc>
        <w:tc>
          <w:tcPr>
            <w:tcW w:w="1007" w:type="dxa"/>
            <w:tcBorders>
              <w:top w:val="single" w:sz="4" w:space="0" w:color="auto"/>
              <w:bottom w:val="nil"/>
            </w:tcBorders>
            <w:shd w:val="clear" w:color="auto" w:fill="auto"/>
            <w:noWrap/>
            <w:vAlign w:val="bottom"/>
            <w:hideMark/>
          </w:tcPr>
          <w:p w14:paraId="3D3DEC59"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4 137,4</w:t>
            </w:r>
          </w:p>
        </w:tc>
        <w:tc>
          <w:tcPr>
            <w:tcW w:w="1377" w:type="dxa"/>
            <w:tcBorders>
              <w:top w:val="single" w:sz="4" w:space="0" w:color="auto"/>
              <w:bottom w:val="nil"/>
            </w:tcBorders>
            <w:shd w:val="clear" w:color="auto" w:fill="auto"/>
            <w:noWrap/>
            <w:vAlign w:val="bottom"/>
            <w:hideMark/>
          </w:tcPr>
          <w:p w14:paraId="0BA0F9BD"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75,6</w:t>
            </w:r>
          </w:p>
        </w:tc>
      </w:tr>
      <w:tr w:rsidR="00827B00" w:rsidRPr="0020638D" w14:paraId="4A9365D7" w14:textId="77777777" w:rsidTr="003B7808">
        <w:trPr>
          <w:trHeight w:val="300"/>
        </w:trPr>
        <w:tc>
          <w:tcPr>
            <w:tcW w:w="966" w:type="dxa"/>
            <w:tcBorders>
              <w:top w:val="nil"/>
              <w:bottom w:val="nil"/>
            </w:tcBorders>
            <w:shd w:val="clear" w:color="auto" w:fill="auto"/>
            <w:noWrap/>
            <w:vAlign w:val="bottom"/>
            <w:hideMark/>
          </w:tcPr>
          <w:p w14:paraId="4E2755A1"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11-15 detí</w:t>
            </w:r>
          </w:p>
        </w:tc>
        <w:tc>
          <w:tcPr>
            <w:tcW w:w="752" w:type="dxa"/>
            <w:tcBorders>
              <w:top w:val="nil"/>
              <w:bottom w:val="nil"/>
            </w:tcBorders>
            <w:shd w:val="clear" w:color="auto" w:fill="auto"/>
            <w:noWrap/>
            <w:vAlign w:val="bottom"/>
            <w:hideMark/>
          </w:tcPr>
          <w:p w14:paraId="560CED29"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3 265,4</w:t>
            </w:r>
          </w:p>
        </w:tc>
        <w:tc>
          <w:tcPr>
            <w:tcW w:w="773" w:type="dxa"/>
            <w:tcBorders>
              <w:top w:val="nil"/>
              <w:bottom w:val="nil"/>
            </w:tcBorders>
            <w:shd w:val="clear" w:color="auto" w:fill="auto"/>
            <w:noWrap/>
            <w:vAlign w:val="bottom"/>
            <w:hideMark/>
          </w:tcPr>
          <w:p w14:paraId="48F31868"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160</w:t>
            </w:r>
          </w:p>
        </w:tc>
        <w:tc>
          <w:tcPr>
            <w:tcW w:w="827" w:type="dxa"/>
            <w:tcBorders>
              <w:top w:val="nil"/>
              <w:bottom w:val="nil"/>
            </w:tcBorders>
            <w:shd w:val="clear" w:color="auto" w:fill="auto"/>
            <w:noWrap/>
            <w:vAlign w:val="bottom"/>
            <w:hideMark/>
          </w:tcPr>
          <w:p w14:paraId="30FC37CE"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2 179</w:t>
            </w:r>
          </w:p>
        </w:tc>
        <w:tc>
          <w:tcPr>
            <w:tcW w:w="736" w:type="dxa"/>
            <w:tcBorders>
              <w:top w:val="nil"/>
              <w:bottom w:val="nil"/>
            </w:tcBorders>
            <w:shd w:val="clear" w:color="auto" w:fill="auto"/>
            <w:noWrap/>
            <w:vAlign w:val="bottom"/>
            <w:hideMark/>
          </w:tcPr>
          <w:p w14:paraId="56F5B480"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2 554,2</w:t>
            </w:r>
          </w:p>
        </w:tc>
        <w:tc>
          <w:tcPr>
            <w:tcW w:w="1010" w:type="dxa"/>
            <w:tcBorders>
              <w:top w:val="nil"/>
              <w:bottom w:val="nil"/>
            </w:tcBorders>
            <w:vAlign w:val="bottom"/>
          </w:tcPr>
          <w:p w14:paraId="2B1A6419" w14:textId="77777777" w:rsidR="00827B00" w:rsidRPr="0020638D" w:rsidRDefault="00827B00" w:rsidP="003B7808">
            <w:pPr>
              <w:pStyle w:val="Bezriadkovania"/>
              <w:jc w:val="center"/>
              <w:rPr>
                <w:rFonts w:ascii="Arial Narrow" w:eastAsia="Times New Roman" w:hAnsi="Arial Narrow" w:cs="Calibri"/>
                <w:color w:val="000000"/>
                <w:sz w:val="18"/>
                <w:szCs w:val="18"/>
                <w:lang w:eastAsia="sk-SK"/>
              </w:rPr>
            </w:pPr>
            <w:r w:rsidRPr="0020638D">
              <w:rPr>
                <w:rFonts w:ascii="Arial Narrow" w:hAnsi="Arial Narrow"/>
                <w:sz w:val="18"/>
                <w:szCs w:val="18"/>
              </w:rPr>
              <w:t>711,20</w:t>
            </w:r>
          </w:p>
        </w:tc>
        <w:tc>
          <w:tcPr>
            <w:tcW w:w="727" w:type="dxa"/>
            <w:tcBorders>
              <w:top w:val="nil"/>
              <w:bottom w:val="nil"/>
            </w:tcBorders>
            <w:shd w:val="clear" w:color="auto" w:fill="auto"/>
            <w:noWrap/>
            <w:vAlign w:val="bottom"/>
            <w:hideMark/>
          </w:tcPr>
          <w:p w14:paraId="2E7EE581"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2 503,4</w:t>
            </w:r>
          </w:p>
        </w:tc>
        <w:tc>
          <w:tcPr>
            <w:tcW w:w="1037" w:type="dxa"/>
            <w:tcBorders>
              <w:top w:val="nil"/>
              <w:bottom w:val="nil"/>
            </w:tcBorders>
            <w:shd w:val="clear" w:color="auto" w:fill="auto"/>
            <w:noWrap/>
            <w:vAlign w:val="bottom"/>
            <w:hideMark/>
          </w:tcPr>
          <w:p w14:paraId="55375835"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3 010,1</w:t>
            </w:r>
          </w:p>
        </w:tc>
        <w:tc>
          <w:tcPr>
            <w:tcW w:w="1007" w:type="dxa"/>
            <w:tcBorders>
              <w:top w:val="nil"/>
              <w:bottom w:val="nil"/>
            </w:tcBorders>
            <w:shd w:val="clear" w:color="auto" w:fill="auto"/>
            <w:noWrap/>
            <w:vAlign w:val="bottom"/>
            <w:hideMark/>
          </w:tcPr>
          <w:p w14:paraId="473FDAFF"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3 341,1</w:t>
            </w:r>
          </w:p>
        </w:tc>
        <w:tc>
          <w:tcPr>
            <w:tcW w:w="1377" w:type="dxa"/>
            <w:tcBorders>
              <w:top w:val="nil"/>
              <w:bottom w:val="nil"/>
            </w:tcBorders>
            <w:shd w:val="clear" w:color="auto" w:fill="auto"/>
            <w:noWrap/>
            <w:vAlign w:val="bottom"/>
            <w:hideMark/>
          </w:tcPr>
          <w:p w14:paraId="77C13822"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70,6</w:t>
            </w:r>
          </w:p>
        </w:tc>
      </w:tr>
      <w:tr w:rsidR="00827B00" w:rsidRPr="0020638D" w14:paraId="78167572" w14:textId="77777777" w:rsidTr="003B7808">
        <w:trPr>
          <w:trHeight w:val="300"/>
        </w:trPr>
        <w:tc>
          <w:tcPr>
            <w:tcW w:w="966" w:type="dxa"/>
            <w:tcBorders>
              <w:top w:val="nil"/>
              <w:bottom w:val="nil"/>
            </w:tcBorders>
            <w:shd w:val="clear" w:color="auto" w:fill="auto"/>
            <w:noWrap/>
            <w:vAlign w:val="bottom"/>
            <w:hideMark/>
          </w:tcPr>
          <w:p w14:paraId="13B6BBC1"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16-20 detí</w:t>
            </w:r>
          </w:p>
        </w:tc>
        <w:tc>
          <w:tcPr>
            <w:tcW w:w="752" w:type="dxa"/>
            <w:tcBorders>
              <w:top w:val="nil"/>
              <w:bottom w:val="nil"/>
            </w:tcBorders>
            <w:shd w:val="clear" w:color="auto" w:fill="auto"/>
            <w:noWrap/>
            <w:vAlign w:val="bottom"/>
            <w:hideMark/>
          </w:tcPr>
          <w:p w14:paraId="644D9C00"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2 784,2</w:t>
            </w:r>
          </w:p>
        </w:tc>
        <w:tc>
          <w:tcPr>
            <w:tcW w:w="773" w:type="dxa"/>
            <w:tcBorders>
              <w:top w:val="nil"/>
              <w:bottom w:val="nil"/>
            </w:tcBorders>
            <w:shd w:val="clear" w:color="auto" w:fill="auto"/>
            <w:noWrap/>
            <w:vAlign w:val="bottom"/>
            <w:hideMark/>
          </w:tcPr>
          <w:p w14:paraId="10669162"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283</w:t>
            </w:r>
          </w:p>
        </w:tc>
        <w:tc>
          <w:tcPr>
            <w:tcW w:w="827" w:type="dxa"/>
            <w:tcBorders>
              <w:top w:val="nil"/>
              <w:bottom w:val="nil"/>
            </w:tcBorders>
            <w:shd w:val="clear" w:color="auto" w:fill="auto"/>
            <w:noWrap/>
            <w:vAlign w:val="bottom"/>
            <w:hideMark/>
          </w:tcPr>
          <w:p w14:paraId="49E406DC"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5 219</w:t>
            </w:r>
          </w:p>
        </w:tc>
        <w:tc>
          <w:tcPr>
            <w:tcW w:w="736" w:type="dxa"/>
            <w:tcBorders>
              <w:top w:val="nil"/>
              <w:bottom w:val="nil"/>
            </w:tcBorders>
            <w:shd w:val="clear" w:color="auto" w:fill="auto"/>
            <w:noWrap/>
            <w:vAlign w:val="bottom"/>
            <w:hideMark/>
          </w:tcPr>
          <w:p w14:paraId="4BE810D8"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2 247,0</w:t>
            </w:r>
          </w:p>
        </w:tc>
        <w:tc>
          <w:tcPr>
            <w:tcW w:w="1010" w:type="dxa"/>
            <w:tcBorders>
              <w:top w:val="nil"/>
              <w:bottom w:val="nil"/>
            </w:tcBorders>
            <w:vAlign w:val="bottom"/>
          </w:tcPr>
          <w:p w14:paraId="20DB1007" w14:textId="77777777" w:rsidR="00827B00" w:rsidRPr="0020638D" w:rsidRDefault="00827B00" w:rsidP="003B7808">
            <w:pPr>
              <w:pStyle w:val="Bezriadkovania"/>
              <w:jc w:val="center"/>
              <w:rPr>
                <w:rFonts w:ascii="Arial Narrow" w:eastAsia="Times New Roman" w:hAnsi="Arial Narrow" w:cs="Calibri"/>
                <w:color w:val="000000"/>
                <w:sz w:val="18"/>
                <w:szCs w:val="18"/>
                <w:lang w:eastAsia="sk-SK"/>
              </w:rPr>
            </w:pPr>
            <w:r w:rsidRPr="0020638D">
              <w:rPr>
                <w:rFonts w:ascii="Arial Narrow" w:hAnsi="Arial Narrow"/>
                <w:sz w:val="18"/>
                <w:szCs w:val="18"/>
              </w:rPr>
              <w:t>537,20</w:t>
            </w:r>
          </w:p>
        </w:tc>
        <w:tc>
          <w:tcPr>
            <w:tcW w:w="727" w:type="dxa"/>
            <w:tcBorders>
              <w:top w:val="nil"/>
              <w:bottom w:val="nil"/>
            </w:tcBorders>
            <w:shd w:val="clear" w:color="auto" w:fill="auto"/>
            <w:noWrap/>
            <w:vAlign w:val="bottom"/>
            <w:hideMark/>
          </w:tcPr>
          <w:p w14:paraId="0F02A30E"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2 203,4</w:t>
            </w:r>
          </w:p>
        </w:tc>
        <w:tc>
          <w:tcPr>
            <w:tcW w:w="1037" w:type="dxa"/>
            <w:tcBorders>
              <w:top w:val="nil"/>
              <w:bottom w:val="nil"/>
            </w:tcBorders>
            <w:shd w:val="clear" w:color="auto" w:fill="auto"/>
            <w:noWrap/>
            <w:vAlign w:val="bottom"/>
            <w:hideMark/>
          </w:tcPr>
          <w:p w14:paraId="733600A3"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2 555,0</w:t>
            </w:r>
          </w:p>
        </w:tc>
        <w:tc>
          <w:tcPr>
            <w:tcW w:w="1007" w:type="dxa"/>
            <w:tcBorders>
              <w:top w:val="nil"/>
              <w:bottom w:val="nil"/>
            </w:tcBorders>
            <w:shd w:val="clear" w:color="auto" w:fill="auto"/>
            <w:noWrap/>
            <w:vAlign w:val="bottom"/>
            <w:hideMark/>
          </w:tcPr>
          <w:p w14:paraId="79C36206"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2 890,4</w:t>
            </w:r>
          </w:p>
        </w:tc>
        <w:tc>
          <w:tcPr>
            <w:tcW w:w="1377" w:type="dxa"/>
            <w:tcBorders>
              <w:top w:val="nil"/>
              <w:bottom w:val="nil"/>
            </w:tcBorders>
            <w:shd w:val="clear" w:color="auto" w:fill="auto"/>
            <w:noWrap/>
            <w:vAlign w:val="bottom"/>
            <w:hideMark/>
          </w:tcPr>
          <w:p w14:paraId="57948746"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71,0</w:t>
            </w:r>
          </w:p>
        </w:tc>
      </w:tr>
      <w:tr w:rsidR="00827B00" w:rsidRPr="0020638D" w14:paraId="03672A64" w14:textId="77777777" w:rsidTr="003B7808">
        <w:trPr>
          <w:trHeight w:val="300"/>
        </w:trPr>
        <w:tc>
          <w:tcPr>
            <w:tcW w:w="966" w:type="dxa"/>
            <w:tcBorders>
              <w:top w:val="nil"/>
              <w:bottom w:val="nil"/>
            </w:tcBorders>
            <w:shd w:val="clear" w:color="auto" w:fill="auto"/>
            <w:noWrap/>
            <w:vAlign w:val="bottom"/>
            <w:hideMark/>
          </w:tcPr>
          <w:p w14:paraId="10A4A1A2"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21-25 detí</w:t>
            </w:r>
          </w:p>
        </w:tc>
        <w:tc>
          <w:tcPr>
            <w:tcW w:w="752" w:type="dxa"/>
            <w:tcBorders>
              <w:top w:val="nil"/>
              <w:bottom w:val="nil"/>
            </w:tcBorders>
            <w:shd w:val="clear" w:color="auto" w:fill="auto"/>
            <w:noWrap/>
            <w:vAlign w:val="bottom"/>
            <w:hideMark/>
          </w:tcPr>
          <w:p w14:paraId="16D98A36"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2 405,6</w:t>
            </w:r>
          </w:p>
        </w:tc>
        <w:tc>
          <w:tcPr>
            <w:tcW w:w="773" w:type="dxa"/>
            <w:tcBorders>
              <w:top w:val="nil"/>
              <w:bottom w:val="nil"/>
            </w:tcBorders>
            <w:shd w:val="clear" w:color="auto" w:fill="auto"/>
            <w:noWrap/>
            <w:vAlign w:val="bottom"/>
            <w:hideMark/>
          </w:tcPr>
          <w:p w14:paraId="32980299"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225</w:t>
            </w:r>
          </w:p>
        </w:tc>
        <w:tc>
          <w:tcPr>
            <w:tcW w:w="827" w:type="dxa"/>
            <w:tcBorders>
              <w:top w:val="nil"/>
              <w:bottom w:val="nil"/>
            </w:tcBorders>
            <w:shd w:val="clear" w:color="auto" w:fill="auto"/>
            <w:noWrap/>
            <w:vAlign w:val="bottom"/>
            <w:hideMark/>
          </w:tcPr>
          <w:p w14:paraId="0CA87E47"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5 014</w:t>
            </w:r>
          </w:p>
        </w:tc>
        <w:tc>
          <w:tcPr>
            <w:tcW w:w="736" w:type="dxa"/>
            <w:tcBorders>
              <w:top w:val="nil"/>
              <w:bottom w:val="nil"/>
            </w:tcBorders>
            <w:shd w:val="clear" w:color="auto" w:fill="auto"/>
            <w:noWrap/>
            <w:vAlign w:val="bottom"/>
            <w:hideMark/>
          </w:tcPr>
          <w:p w14:paraId="37012357"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2 007,3</w:t>
            </w:r>
          </w:p>
        </w:tc>
        <w:tc>
          <w:tcPr>
            <w:tcW w:w="1010" w:type="dxa"/>
            <w:tcBorders>
              <w:top w:val="nil"/>
              <w:bottom w:val="nil"/>
            </w:tcBorders>
            <w:vAlign w:val="bottom"/>
          </w:tcPr>
          <w:p w14:paraId="41B58743" w14:textId="77777777" w:rsidR="00827B00" w:rsidRPr="0020638D" w:rsidRDefault="00827B00" w:rsidP="003B7808">
            <w:pPr>
              <w:pStyle w:val="Bezriadkovania"/>
              <w:jc w:val="center"/>
              <w:rPr>
                <w:rFonts w:ascii="Arial Narrow" w:eastAsia="Times New Roman" w:hAnsi="Arial Narrow" w:cs="Calibri"/>
                <w:color w:val="000000"/>
                <w:sz w:val="18"/>
                <w:szCs w:val="18"/>
                <w:lang w:eastAsia="sk-SK"/>
              </w:rPr>
            </w:pPr>
            <w:r w:rsidRPr="0020638D">
              <w:rPr>
                <w:rFonts w:ascii="Arial Narrow" w:hAnsi="Arial Narrow"/>
                <w:sz w:val="18"/>
                <w:szCs w:val="18"/>
              </w:rPr>
              <w:t>398,30</w:t>
            </w:r>
          </w:p>
        </w:tc>
        <w:tc>
          <w:tcPr>
            <w:tcW w:w="727" w:type="dxa"/>
            <w:tcBorders>
              <w:top w:val="nil"/>
              <w:bottom w:val="nil"/>
            </w:tcBorders>
            <w:shd w:val="clear" w:color="auto" w:fill="auto"/>
            <w:noWrap/>
            <w:vAlign w:val="bottom"/>
            <w:hideMark/>
          </w:tcPr>
          <w:p w14:paraId="6C12FA31"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1 969,3</w:t>
            </w:r>
          </w:p>
        </w:tc>
        <w:tc>
          <w:tcPr>
            <w:tcW w:w="1037" w:type="dxa"/>
            <w:tcBorders>
              <w:top w:val="nil"/>
              <w:bottom w:val="nil"/>
            </w:tcBorders>
            <w:shd w:val="clear" w:color="auto" w:fill="auto"/>
            <w:noWrap/>
            <w:vAlign w:val="bottom"/>
            <w:hideMark/>
          </w:tcPr>
          <w:p w14:paraId="2F151660"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2 278,2</w:t>
            </w:r>
          </w:p>
        </w:tc>
        <w:tc>
          <w:tcPr>
            <w:tcW w:w="1007" w:type="dxa"/>
            <w:tcBorders>
              <w:top w:val="nil"/>
              <w:bottom w:val="nil"/>
            </w:tcBorders>
            <w:shd w:val="clear" w:color="auto" w:fill="auto"/>
            <w:noWrap/>
            <w:vAlign w:val="bottom"/>
            <w:hideMark/>
          </w:tcPr>
          <w:p w14:paraId="57081BFE"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2 551,7</w:t>
            </w:r>
          </w:p>
        </w:tc>
        <w:tc>
          <w:tcPr>
            <w:tcW w:w="1377" w:type="dxa"/>
            <w:tcBorders>
              <w:top w:val="nil"/>
              <w:bottom w:val="nil"/>
            </w:tcBorders>
            <w:shd w:val="clear" w:color="auto" w:fill="auto"/>
            <w:noWrap/>
            <w:vAlign w:val="bottom"/>
            <w:hideMark/>
          </w:tcPr>
          <w:p w14:paraId="6D26C52C"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67,1</w:t>
            </w:r>
          </w:p>
        </w:tc>
      </w:tr>
      <w:tr w:rsidR="00827B00" w:rsidRPr="0020638D" w14:paraId="4E165D83" w14:textId="77777777" w:rsidTr="003B7808">
        <w:trPr>
          <w:trHeight w:val="300"/>
        </w:trPr>
        <w:tc>
          <w:tcPr>
            <w:tcW w:w="966" w:type="dxa"/>
            <w:tcBorders>
              <w:top w:val="nil"/>
              <w:bottom w:val="nil"/>
            </w:tcBorders>
            <w:shd w:val="clear" w:color="auto" w:fill="auto"/>
            <w:noWrap/>
            <w:vAlign w:val="bottom"/>
            <w:hideMark/>
          </w:tcPr>
          <w:p w14:paraId="27D1E61E"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26-31 detí</w:t>
            </w:r>
          </w:p>
        </w:tc>
        <w:tc>
          <w:tcPr>
            <w:tcW w:w="752" w:type="dxa"/>
            <w:tcBorders>
              <w:top w:val="nil"/>
              <w:bottom w:val="nil"/>
            </w:tcBorders>
            <w:shd w:val="clear" w:color="auto" w:fill="auto"/>
            <w:noWrap/>
            <w:vAlign w:val="bottom"/>
            <w:hideMark/>
          </w:tcPr>
          <w:p w14:paraId="3A75D1AF"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2 271,6</w:t>
            </w:r>
          </w:p>
        </w:tc>
        <w:tc>
          <w:tcPr>
            <w:tcW w:w="773" w:type="dxa"/>
            <w:tcBorders>
              <w:top w:val="nil"/>
              <w:bottom w:val="nil"/>
            </w:tcBorders>
            <w:shd w:val="clear" w:color="auto" w:fill="auto"/>
            <w:noWrap/>
            <w:vAlign w:val="bottom"/>
            <w:hideMark/>
          </w:tcPr>
          <w:p w14:paraId="54F9F6AC"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74</w:t>
            </w:r>
          </w:p>
        </w:tc>
        <w:tc>
          <w:tcPr>
            <w:tcW w:w="827" w:type="dxa"/>
            <w:tcBorders>
              <w:top w:val="nil"/>
              <w:bottom w:val="nil"/>
            </w:tcBorders>
            <w:shd w:val="clear" w:color="auto" w:fill="auto"/>
            <w:noWrap/>
            <w:vAlign w:val="bottom"/>
            <w:hideMark/>
          </w:tcPr>
          <w:p w14:paraId="147904FF"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2 153</w:t>
            </w:r>
          </w:p>
        </w:tc>
        <w:tc>
          <w:tcPr>
            <w:tcW w:w="736" w:type="dxa"/>
            <w:tcBorders>
              <w:top w:val="nil"/>
              <w:bottom w:val="nil"/>
            </w:tcBorders>
            <w:shd w:val="clear" w:color="auto" w:fill="auto"/>
            <w:noWrap/>
            <w:vAlign w:val="bottom"/>
            <w:hideMark/>
          </w:tcPr>
          <w:p w14:paraId="01C15C51"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2 124,4</w:t>
            </w:r>
          </w:p>
        </w:tc>
        <w:tc>
          <w:tcPr>
            <w:tcW w:w="1010" w:type="dxa"/>
            <w:tcBorders>
              <w:top w:val="nil"/>
              <w:bottom w:val="nil"/>
            </w:tcBorders>
            <w:vAlign w:val="bottom"/>
          </w:tcPr>
          <w:p w14:paraId="71FF534F" w14:textId="77777777" w:rsidR="00827B00" w:rsidRPr="0020638D" w:rsidRDefault="00827B00" w:rsidP="003B7808">
            <w:pPr>
              <w:pStyle w:val="Bezriadkovania"/>
              <w:jc w:val="center"/>
              <w:rPr>
                <w:rFonts w:ascii="Arial Narrow" w:eastAsia="Times New Roman" w:hAnsi="Arial Narrow" w:cs="Calibri"/>
                <w:color w:val="000000"/>
                <w:sz w:val="18"/>
                <w:szCs w:val="18"/>
                <w:lang w:eastAsia="sk-SK"/>
              </w:rPr>
            </w:pPr>
            <w:r w:rsidRPr="0020638D">
              <w:rPr>
                <w:rFonts w:ascii="Arial Narrow" w:hAnsi="Arial Narrow"/>
                <w:sz w:val="18"/>
                <w:szCs w:val="18"/>
              </w:rPr>
              <w:t>147,20</w:t>
            </w:r>
          </w:p>
        </w:tc>
        <w:tc>
          <w:tcPr>
            <w:tcW w:w="727" w:type="dxa"/>
            <w:tcBorders>
              <w:top w:val="nil"/>
              <w:bottom w:val="nil"/>
            </w:tcBorders>
            <w:shd w:val="clear" w:color="auto" w:fill="auto"/>
            <w:noWrap/>
            <w:vAlign w:val="bottom"/>
            <w:hideMark/>
          </w:tcPr>
          <w:p w14:paraId="6B2BED44"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2 010,2</w:t>
            </w:r>
          </w:p>
        </w:tc>
        <w:tc>
          <w:tcPr>
            <w:tcW w:w="1037" w:type="dxa"/>
            <w:tcBorders>
              <w:top w:val="nil"/>
              <w:bottom w:val="nil"/>
            </w:tcBorders>
            <w:shd w:val="clear" w:color="auto" w:fill="auto"/>
            <w:noWrap/>
            <w:vAlign w:val="bottom"/>
            <w:hideMark/>
          </w:tcPr>
          <w:p w14:paraId="0F3A4C4E"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2 378,4</w:t>
            </w:r>
          </w:p>
        </w:tc>
        <w:tc>
          <w:tcPr>
            <w:tcW w:w="1007" w:type="dxa"/>
            <w:tcBorders>
              <w:top w:val="nil"/>
              <w:bottom w:val="nil"/>
            </w:tcBorders>
            <w:shd w:val="clear" w:color="auto" w:fill="auto"/>
            <w:noWrap/>
            <w:vAlign w:val="bottom"/>
            <w:hideMark/>
          </w:tcPr>
          <w:p w14:paraId="4A8E16E4"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2 742,6</w:t>
            </w:r>
          </w:p>
        </w:tc>
        <w:tc>
          <w:tcPr>
            <w:tcW w:w="1377" w:type="dxa"/>
            <w:tcBorders>
              <w:top w:val="nil"/>
              <w:bottom w:val="nil"/>
            </w:tcBorders>
            <w:shd w:val="clear" w:color="auto" w:fill="auto"/>
            <w:noWrap/>
            <w:vAlign w:val="bottom"/>
            <w:hideMark/>
          </w:tcPr>
          <w:p w14:paraId="4810F867"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51,4</w:t>
            </w:r>
          </w:p>
        </w:tc>
      </w:tr>
      <w:tr w:rsidR="00827B00" w:rsidRPr="0020638D" w14:paraId="68F8B03B" w14:textId="77777777" w:rsidTr="003B7808">
        <w:trPr>
          <w:trHeight w:val="300"/>
        </w:trPr>
        <w:tc>
          <w:tcPr>
            <w:tcW w:w="966" w:type="dxa"/>
            <w:tcBorders>
              <w:top w:val="nil"/>
              <w:bottom w:val="nil"/>
            </w:tcBorders>
            <w:shd w:val="clear" w:color="auto" w:fill="auto"/>
            <w:noWrap/>
            <w:vAlign w:val="bottom"/>
            <w:hideMark/>
          </w:tcPr>
          <w:p w14:paraId="4B0E391D"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32-34 detí</w:t>
            </w:r>
          </w:p>
        </w:tc>
        <w:tc>
          <w:tcPr>
            <w:tcW w:w="752" w:type="dxa"/>
            <w:tcBorders>
              <w:top w:val="nil"/>
              <w:bottom w:val="nil"/>
            </w:tcBorders>
            <w:shd w:val="clear" w:color="auto" w:fill="auto"/>
            <w:noWrap/>
            <w:vAlign w:val="bottom"/>
            <w:hideMark/>
          </w:tcPr>
          <w:p w14:paraId="7BB1F528"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2 271,6</w:t>
            </w:r>
          </w:p>
        </w:tc>
        <w:tc>
          <w:tcPr>
            <w:tcW w:w="773" w:type="dxa"/>
            <w:tcBorders>
              <w:top w:val="nil"/>
              <w:bottom w:val="nil"/>
            </w:tcBorders>
            <w:shd w:val="clear" w:color="auto" w:fill="auto"/>
            <w:noWrap/>
            <w:vAlign w:val="bottom"/>
            <w:hideMark/>
          </w:tcPr>
          <w:p w14:paraId="751707BF"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65</w:t>
            </w:r>
          </w:p>
        </w:tc>
        <w:tc>
          <w:tcPr>
            <w:tcW w:w="827" w:type="dxa"/>
            <w:tcBorders>
              <w:top w:val="nil"/>
              <w:bottom w:val="nil"/>
            </w:tcBorders>
            <w:shd w:val="clear" w:color="auto" w:fill="auto"/>
            <w:noWrap/>
            <w:vAlign w:val="bottom"/>
            <w:hideMark/>
          </w:tcPr>
          <w:p w14:paraId="0F913349"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2 129</w:t>
            </w:r>
          </w:p>
        </w:tc>
        <w:tc>
          <w:tcPr>
            <w:tcW w:w="736" w:type="dxa"/>
            <w:tcBorders>
              <w:top w:val="nil"/>
              <w:bottom w:val="nil"/>
            </w:tcBorders>
            <w:shd w:val="clear" w:color="auto" w:fill="auto"/>
            <w:noWrap/>
            <w:vAlign w:val="bottom"/>
            <w:hideMark/>
          </w:tcPr>
          <w:p w14:paraId="5069259A"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2 137,4</w:t>
            </w:r>
          </w:p>
        </w:tc>
        <w:tc>
          <w:tcPr>
            <w:tcW w:w="1010" w:type="dxa"/>
            <w:tcBorders>
              <w:top w:val="nil"/>
              <w:bottom w:val="nil"/>
            </w:tcBorders>
            <w:vAlign w:val="bottom"/>
          </w:tcPr>
          <w:p w14:paraId="6CD4539E" w14:textId="77777777" w:rsidR="00827B00" w:rsidRPr="0020638D" w:rsidRDefault="00827B00" w:rsidP="003B7808">
            <w:pPr>
              <w:pStyle w:val="Bezriadkovania"/>
              <w:jc w:val="center"/>
              <w:rPr>
                <w:rFonts w:ascii="Arial Narrow" w:eastAsia="Times New Roman" w:hAnsi="Arial Narrow" w:cs="Calibri"/>
                <w:color w:val="000000"/>
                <w:sz w:val="18"/>
                <w:szCs w:val="18"/>
                <w:lang w:eastAsia="sk-SK"/>
              </w:rPr>
            </w:pPr>
            <w:r w:rsidRPr="0020638D">
              <w:rPr>
                <w:rFonts w:ascii="Arial Narrow" w:hAnsi="Arial Narrow"/>
                <w:sz w:val="18"/>
                <w:szCs w:val="18"/>
              </w:rPr>
              <w:t>134,20</w:t>
            </w:r>
          </w:p>
        </w:tc>
        <w:tc>
          <w:tcPr>
            <w:tcW w:w="727" w:type="dxa"/>
            <w:tcBorders>
              <w:top w:val="nil"/>
              <w:bottom w:val="nil"/>
            </w:tcBorders>
            <w:shd w:val="clear" w:color="auto" w:fill="auto"/>
            <w:noWrap/>
            <w:vAlign w:val="bottom"/>
            <w:hideMark/>
          </w:tcPr>
          <w:p w14:paraId="2898C9F6"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2 066,7</w:t>
            </w:r>
          </w:p>
        </w:tc>
        <w:tc>
          <w:tcPr>
            <w:tcW w:w="1037" w:type="dxa"/>
            <w:tcBorders>
              <w:top w:val="nil"/>
              <w:bottom w:val="nil"/>
            </w:tcBorders>
            <w:shd w:val="clear" w:color="auto" w:fill="auto"/>
            <w:noWrap/>
            <w:vAlign w:val="bottom"/>
            <w:hideMark/>
          </w:tcPr>
          <w:p w14:paraId="0888BC0F"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2 330,8</w:t>
            </w:r>
          </w:p>
        </w:tc>
        <w:tc>
          <w:tcPr>
            <w:tcW w:w="1007" w:type="dxa"/>
            <w:tcBorders>
              <w:top w:val="nil"/>
              <w:bottom w:val="nil"/>
            </w:tcBorders>
            <w:shd w:val="clear" w:color="auto" w:fill="auto"/>
            <w:noWrap/>
            <w:vAlign w:val="bottom"/>
            <w:hideMark/>
          </w:tcPr>
          <w:p w14:paraId="00A34F30"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2 606,7</w:t>
            </w:r>
          </w:p>
        </w:tc>
        <w:tc>
          <w:tcPr>
            <w:tcW w:w="1377" w:type="dxa"/>
            <w:tcBorders>
              <w:top w:val="nil"/>
              <w:bottom w:val="nil"/>
            </w:tcBorders>
            <w:shd w:val="clear" w:color="auto" w:fill="auto"/>
            <w:noWrap/>
            <w:vAlign w:val="bottom"/>
            <w:hideMark/>
          </w:tcPr>
          <w:p w14:paraId="14219FB5"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44,6</w:t>
            </w:r>
          </w:p>
        </w:tc>
      </w:tr>
      <w:tr w:rsidR="00827B00" w:rsidRPr="0020638D" w14:paraId="0F4D164F" w14:textId="77777777" w:rsidTr="003B7808">
        <w:trPr>
          <w:trHeight w:val="300"/>
        </w:trPr>
        <w:tc>
          <w:tcPr>
            <w:tcW w:w="966" w:type="dxa"/>
            <w:tcBorders>
              <w:top w:val="nil"/>
              <w:bottom w:val="nil"/>
            </w:tcBorders>
            <w:shd w:val="clear" w:color="auto" w:fill="auto"/>
            <w:noWrap/>
            <w:vAlign w:val="bottom"/>
            <w:hideMark/>
          </w:tcPr>
          <w:p w14:paraId="278DA5BC"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35-37 detí</w:t>
            </w:r>
          </w:p>
        </w:tc>
        <w:tc>
          <w:tcPr>
            <w:tcW w:w="752" w:type="dxa"/>
            <w:tcBorders>
              <w:top w:val="nil"/>
              <w:bottom w:val="nil"/>
            </w:tcBorders>
            <w:shd w:val="clear" w:color="auto" w:fill="auto"/>
            <w:noWrap/>
            <w:vAlign w:val="bottom"/>
            <w:hideMark/>
          </w:tcPr>
          <w:p w14:paraId="001BD473"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2 271,6</w:t>
            </w:r>
          </w:p>
        </w:tc>
        <w:tc>
          <w:tcPr>
            <w:tcW w:w="773" w:type="dxa"/>
            <w:tcBorders>
              <w:top w:val="nil"/>
              <w:bottom w:val="nil"/>
            </w:tcBorders>
            <w:shd w:val="clear" w:color="auto" w:fill="auto"/>
            <w:noWrap/>
            <w:vAlign w:val="bottom"/>
            <w:hideMark/>
          </w:tcPr>
          <w:p w14:paraId="46B1E744"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68</w:t>
            </w:r>
          </w:p>
        </w:tc>
        <w:tc>
          <w:tcPr>
            <w:tcW w:w="827" w:type="dxa"/>
            <w:tcBorders>
              <w:top w:val="nil"/>
              <w:bottom w:val="nil"/>
            </w:tcBorders>
            <w:shd w:val="clear" w:color="auto" w:fill="auto"/>
            <w:noWrap/>
            <w:vAlign w:val="bottom"/>
            <w:hideMark/>
          </w:tcPr>
          <w:p w14:paraId="3201EAFB"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2 466</w:t>
            </w:r>
          </w:p>
        </w:tc>
        <w:tc>
          <w:tcPr>
            <w:tcW w:w="736" w:type="dxa"/>
            <w:tcBorders>
              <w:top w:val="nil"/>
              <w:bottom w:val="nil"/>
            </w:tcBorders>
            <w:shd w:val="clear" w:color="auto" w:fill="auto"/>
            <w:noWrap/>
            <w:vAlign w:val="bottom"/>
            <w:hideMark/>
          </w:tcPr>
          <w:p w14:paraId="0EA067CB"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2 083,7</w:t>
            </w:r>
          </w:p>
        </w:tc>
        <w:tc>
          <w:tcPr>
            <w:tcW w:w="1010" w:type="dxa"/>
            <w:tcBorders>
              <w:top w:val="nil"/>
              <w:bottom w:val="nil"/>
            </w:tcBorders>
            <w:vAlign w:val="bottom"/>
          </w:tcPr>
          <w:p w14:paraId="3ABA8A99" w14:textId="77777777" w:rsidR="00827B00" w:rsidRPr="0020638D" w:rsidRDefault="00827B00" w:rsidP="003B7808">
            <w:pPr>
              <w:pStyle w:val="Bezriadkovania"/>
              <w:jc w:val="center"/>
              <w:rPr>
                <w:rFonts w:ascii="Arial Narrow" w:eastAsia="Times New Roman" w:hAnsi="Arial Narrow" w:cs="Calibri"/>
                <w:color w:val="000000"/>
                <w:sz w:val="18"/>
                <w:szCs w:val="18"/>
                <w:lang w:eastAsia="sk-SK"/>
              </w:rPr>
            </w:pPr>
            <w:r w:rsidRPr="0020638D">
              <w:rPr>
                <w:rFonts w:ascii="Arial Narrow" w:hAnsi="Arial Narrow"/>
                <w:sz w:val="18"/>
                <w:szCs w:val="18"/>
              </w:rPr>
              <w:t>187,90</w:t>
            </w:r>
          </w:p>
        </w:tc>
        <w:tc>
          <w:tcPr>
            <w:tcW w:w="727" w:type="dxa"/>
            <w:tcBorders>
              <w:top w:val="nil"/>
              <w:bottom w:val="nil"/>
            </w:tcBorders>
            <w:shd w:val="clear" w:color="auto" w:fill="auto"/>
            <w:noWrap/>
            <w:vAlign w:val="bottom"/>
            <w:hideMark/>
          </w:tcPr>
          <w:p w14:paraId="2163DDBC"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2 086,4</w:t>
            </w:r>
          </w:p>
        </w:tc>
        <w:tc>
          <w:tcPr>
            <w:tcW w:w="1037" w:type="dxa"/>
            <w:tcBorders>
              <w:top w:val="nil"/>
              <w:bottom w:val="nil"/>
            </w:tcBorders>
            <w:shd w:val="clear" w:color="auto" w:fill="auto"/>
            <w:noWrap/>
            <w:vAlign w:val="bottom"/>
            <w:hideMark/>
          </w:tcPr>
          <w:p w14:paraId="0F3E3A16"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2 309,3</w:t>
            </w:r>
          </w:p>
        </w:tc>
        <w:tc>
          <w:tcPr>
            <w:tcW w:w="1007" w:type="dxa"/>
            <w:tcBorders>
              <w:top w:val="nil"/>
              <w:bottom w:val="nil"/>
            </w:tcBorders>
            <w:shd w:val="clear" w:color="auto" w:fill="auto"/>
            <w:noWrap/>
            <w:vAlign w:val="bottom"/>
            <w:hideMark/>
          </w:tcPr>
          <w:p w14:paraId="614707BA"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2 797,8</w:t>
            </w:r>
          </w:p>
        </w:tc>
        <w:tc>
          <w:tcPr>
            <w:tcW w:w="1377" w:type="dxa"/>
            <w:tcBorders>
              <w:top w:val="nil"/>
              <w:bottom w:val="nil"/>
            </w:tcBorders>
            <w:shd w:val="clear" w:color="auto" w:fill="auto"/>
            <w:noWrap/>
            <w:vAlign w:val="bottom"/>
            <w:hideMark/>
          </w:tcPr>
          <w:p w14:paraId="7D004B13"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48,5</w:t>
            </w:r>
          </w:p>
        </w:tc>
      </w:tr>
      <w:tr w:rsidR="00827B00" w:rsidRPr="0020638D" w14:paraId="5F2B0691" w14:textId="77777777" w:rsidTr="003B7808">
        <w:trPr>
          <w:trHeight w:val="300"/>
        </w:trPr>
        <w:tc>
          <w:tcPr>
            <w:tcW w:w="966" w:type="dxa"/>
            <w:tcBorders>
              <w:top w:val="nil"/>
              <w:bottom w:val="nil"/>
            </w:tcBorders>
            <w:shd w:val="clear" w:color="auto" w:fill="auto"/>
            <w:noWrap/>
            <w:vAlign w:val="bottom"/>
            <w:hideMark/>
          </w:tcPr>
          <w:p w14:paraId="1B5D98A9"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38-41 detí</w:t>
            </w:r>
          </w:p>
        </w:tc>
        <w:tc>
          <w:tcPr>
            <w:tcW w:w="752" w:type="dxa"/>
            <w:tcBorders>
              <w:top w:val="nil"/>
              <w:bottom w:val="nil"/>
            </w:tcBorders>
            <w:shd w:val="clear" w:color="auto" w:fill="auto"/>
            <w:noWrap/>
            <w:vAlign w:val="bottom"/>
            <w:hideMark/>
          </w:tcPr>
          <w:p w14:paraId="70B65B91"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2 271,6</w:t>
            </w:r>
          </w:p>
        </w:tc>
        <w:tc>
          <w:tcPr>
            <w:tcW w:w="773" w:type="dxa"/>
            <w:tcBorders>
              <w:top w:val="nil"/>
              <w:bottom w:val="nil"/>
            </w:tcBorders>
            <w:shd w:val="clear" w:color="auto" w:fill="auto"/>
            <w:noWrap/>
            <w:vAlign w:val="bottom"/>
            <w:hideMark/>
          </w:tcPr>
          <w:p w14:paraId="1EE3B127"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75</w:t>
            </w:r>
          </w:p>
        </w:tc>
        <w:tc>
          <w:tcPr>
            <w:tcW w:w="827" w:type="dxa"/>
            <w:tcBorders>
              <w:top w:val="nil"/>
              <w:bottom w:val="nil"/>
            </w:tcBorders>
            <w:shd w:val="clear" w:color="auto" w:fill="auto"/>
            <w:noWrap/>
            <w:vAlign w:val="bottom"/>
            <w:hideMark/>
          </w:tcPr>
          <w:p w14:paraId="200FF92A"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2 981</w:t>
            </w:r>
          </w:p>
        </w:tc>
        <w:tc>
          <w:tcPr>
            <w:tcW w:w="736" w:type="dxa"/>
            <w:tcBorders>
              <w:top w:val="nil"/>
              <w:bottom w:val="nil"/>
            </w:tcBorders>
            <w:shd w:val="clear" w:color="auto" w:fill="auto"/>
            <w:noWrap/>
            <w:vAlign w:val="bottom"/>
            <w:hideMark/>
          </w:tcPr>
          <w:p w14:paraId="1FD68B7D"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2 042,6</w:t>
            </w:r>
          </w:p>
        </w:tc>
        <w:tc>
          <w:tcPr>
            <w:tcW w:w="1010" w:type="dxa"/>
            <w:tcBorders>
              <w:top w:val="nil"/>
              <w:bottom w:val="nil"/>
            </w:tcBorders>
            <w:vAlign w:val="bottom"/>
          </w:tcPr>
          <w:p w14:paraId="04B1FBFA" w14:textId="77777777" w:rsidR="00827B00" w:rsidRPr="0020638D" w:rsidRDefault="00827B00" w:rsidP="003B7808">
            <w:pPr>
              <w:pStyle w:val="Bezriadkovania"/>
              <w:jc w:val="center"/>
              <w:rPr>
                <w:rFonts w:ascii="Arial Narrow" w:eastAsia="Times New Roman" w:hAnsi="Arial Narrow" w:cs="Calibri"/>
                <w:color w:val="000000"/>
                <w:sz w:val="18"/>
                <w:szCs w:val="18"/>
                <w:lang w:eastAsia="sk-SK"/>
              </w:rPr>
            </w:pPr>
            <w:r w:rsidRPr="0020638D">
              <w:rPr>
                <w:rFonts w:ascii="Arial Narrow" w:hAnsi="Arial Narrow"/>
                <w:sz w:val="18"/>
                <w:szCs w:val="18"/>
              </w:rPr>
              <w:t>229,00</w:t>
            </w:r>
          </w:p>
        </w:tc>
        <w:tc>
          <w:tcPr>
            <w:tcW w:w="727" w:type="dxa"/>
            <w:tcBorders>
              <w:top w:val="nil"/>
              <w:bottom w:val="nil"/>
            </w:tcBorders>
            <w:shd w:val="clear" w:color="auto" w:fill="auto"/>
            <w:noWrap/>
            <w:vAlign w:val="bottom"/>
            <w:hideMark/>
          </w:tcPr>
          <w:p w14:paraId="3B1C56D3"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1 971,6</w:t>
            </w:r>
          </w:p>
        </w:tc>
        <w:tc>
          <w:tcPr>
            <w:tcW w:w="1037" w:type="dxa"/>
            <w:tcBorders>
              <w:top w:val="nil"/>
              <w:bottom w:val="nil"/>
            </w:tcBorders>
            <w:shd w:val="clear" w:color="auto" w:fill="auto"/>
            <w:noWrap/>
            <w:vAlign w:val="bottom"/>
            <w:hideMark/>
          </w:tcPr>
          <w:p w14:paraId="493BAE8C"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2 210,2</w:t>
            </w:r>
          </w:p>
        </w:tc>
        <w:tc>
          <w:tcPr>
            <w:tcW w:w="1007" w:type="dxa"/>
            <w:tcBorders>
              <w:top w:val="nil"/>
              <w:bottom w:val="nil"/>
            </w:tcBorders>
            <w:shd w:val="clear" w:color="auto" w:fill="auto"/>
            <w:noWrap/>
            <w:vAlign w:val="bottom"/>
            <w:hideMark/>
          </w:tcPr>
          <w:p w14:paraId="11A41F28"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2 525,5</w:t>
            </w:r>
          </w:p>
        </w:tc>
        <w:tc>
          <w:tcPr>
            <w:tcW w:w="1377" w:type="dxa"/>
            <w:tcBorders>
              <w:top w:val="nil"/>
              <w:bottom w:val="nil"/>
            </w:tcBorders>
            <w:shd w:val="clear" w:color="auto" w:fill="auto"/>
            <w:noWrap/>
            <w:vAlign w:val="bottom"/>
            <w:hideMark/>
          </w:tcPr>
          <w:p w14:paraId="604C0364"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61,3</w:t>
            </w:r>
          </w:p>
        </w:tc>
      </w:tr>
      <w:tr w:rsidR="00827B00" w:rsidRPr="0020638D" w14:paraId="44C6E9FD" w14:textId="77777777" w:rsidTr="003B7808">
        <w:trPr>
          <w:trHeight w:val="300"/>
        </w:trPr>
        <w:tc>
          <w:tcPr>
            <w:tcW w:w="966" w:type="dxa"/>
            <w:tcBorders>
              <w:top w:val="nil"/>
              <w:bottom w:val="nil"/>
            </w:tcBorders>
            <w:shd w:val="clear" w:color="auto" w:fill="auto"/>
            <w:noWrap/>
            <w:vAlign w:val="bottom"/>
            <w:hideMark/>
          </w:tcPr>
          <w:p w14:paraId="10A7D074"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42-44 detí</w:t>
            </w:r>
          </w:p>
        </w:tc>
        <w:tc>
          <w:tcPr>
            <w:tcW w:w="752" w:type="dxa"/>
            <w:tcBorders>
              <w:top w:val="nil"/>
              <w:bottom w:val="nil"/>
            </w:tcBorders>
            <w:shd w:val="clear" w:color="auto" w:fill="auto"/>
            <w:noWrap/>
            <w:vAlign w:val="bottom"/>
            <w:hideMark/>
          </w:tcPr>
          <w:p w14:paraId="10F4BB93"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2 271,6</w:t>
            </w:r>
          </w:p>
        </w:tc>
        <w:tc>
          <w:tcPr>
            <w:tcW w:w="773" w:type="dxa"/>
            <w:tcBorders>
              <w:top w:val="nil"/>
              <w:bottom w:val="nil"/>
            </w:tcBorders>
            <w:shd w:val="clear" w:color="auto" w:fill="auto"/>
            <w:noWrap/>
            <w:vAlign w:val="bottom"/>
            <w:hideMark/>
          </w:tcPr>
          <w:p w14:paraId="17CCAA2E"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52</w:t>
            </w:r>
          </w:p>
        </w:tc>
        <w:tc>
          <w:tcPr>
            <w:tcW w:w="827" w:type="dxa"/>
            <w:tcBorders>
              <w:top w:val="nil"/>
              <w:bottom w:val="nil"/>
            </w:tcBorders>
            <w:shd w:val="clear" w:color="auto" w:fill="auto"/>
            <w:noWrap/>
            <w:vAlign w:val="bottom"/>
            <w:hideMark/>
          </w:tcPr>
          <w:p w14:paraId="21A96DE5"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2 203</w:t>
            </w:r>
          </w:p>
        </w:tc>
        <w:tc>
          <w:tcPr>
            <w:tcW w:w="736" w:type="dxa"/>
            <w:tcBorders>
              <w:top w:val="nil"/>
              <w:bottom w:val="nil"/>
            </w:tcBorders>
            <w:shd w:val="clear" w:color="auto" w:fill="auto"/>
            <w:noWrap/>
            <w:vAlign w:val="bottom"/>
            <w:hideMark/>
          </w:tcPr>
          <w:p w14:paraId="7BE9B318"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1 903,3</w:t>
            </w:r>
          </w:p>
        </w:tc>
        <w:tc>
          <w:tcPr>
            <w:tcW w:w="1010" w:type="dxa"/>
            <w:tcBorders>
              <w:top w:val="nil"/>
              <w:bottom w:val="nil"/>
            </w:tcBorders>
            <w:vAlign w:val="bottom"/>
          </w:tcPr>
          <w:p w14:paraId="4F8895CE" w14:textId="77777777" w:rsidR="00827B00" w:rsidRPr="0020638D" w:rsidRDefault="00827B00" w:rsidP="003B7808">
            <w:pPr>
              <w:pStyle w:val="Bezriadkovania"/>
              <w:jc w:val="center"/>
              <w:rPr>
                <w:rFonts w:ascii="Arial Narrow" w:eastAsia="Times New Roman" w:hAnsi="Arial Narrow" w:cs="Calibri"/>
                <w:color w:val="000000"/>
                <w:sz w:val="18"/>
                <w:szCs w:val="18"/>
                <w:lang w:eastAsia="sk-SK"/>
              </w:rPr>
            </w:pPr>
            <w:r w:rsidRPr="0020638D">
              <w:rPr>
                <w:rFonts w:ascii="Arial Narrow" w:hAnsi="Arial Narrow"/>
                <w:sz w:val="18"/>
                <w:szCs w:val="18"/>
              </w:rPr>
              <w:t>368,30</w:t>
            </w:r>
          </w:p>
        </w:tc>
        <w:tc>
          <w:tcPr>
            <w:tcW w:w="727" w:type="dxa"/>
            <w:tcBorders>
              <w:top w:val="nil"/>
              <w:bottom w:val="nil"/>
            </w:tcBorders>
            <w:shd w:val="clear" w:color="auto" w:fill="auto"/>
            <w:noWrap/>
            <w:vAlign w:val="bottom"/>
            <w:hideMark/>
          </w:tcPr>
          <w:p w14:paraId="45E7E3DD"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1 923,6</w:t>
            </w:r>
          </w:p>
        </w:tc>
        <w:tc>
          <w:tcPr>
            <w:tcW w:w="1037" w:type="dxa"/>
            <w:tcBorders>
              <w:top w:val="nil"/>
              <w:bottom w:val="nil"/>
            </w:tcBorders>
            <w:shd w:val="clear" w:color="auto" w:fill="auto"/>
            <w:noWrap/>
            <w:vAlign w:val="bottom"/>
            <w:hideMark/>
          </w:tcPr>
          <w:p w14:paraId="6C1D81EE"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2 085,4</w:t>
            </w:r>
          </w:p>
        </w:tc>
        <w:tc>
          <w:tcPr>
            <w:tcW w:w="1007" w:type="dxa"/>
            <w:tcBorders>
              <w:top w:val="nil"/>
              <w:bottom w:val="nil"/>
            </w:tcBorders>
            <w:shd w:val="clear" w:color="auto" w:fill="auto"/>
            <w:noWrap/>
            <w:vAlign w:val="bottom"/>
            <w:hideMark/>
          </w:tcPr>
          <w:p w14:paraId="430E6FD6"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2 343,4</w:t>
            </w:r>
          </w:p>
        </w:tc>
        <w:tc>
          <w:tcPr>
            <w:tcW w:w="1377" w:type="dxa"/>
            <w:tcBorders>
              <w:top w:val="nil"/>
              <w:bottom w:val="nil"/>
            </w:tcBorders>
            <w:shd w:val="clear" w:color="auto" w:fill="auto"/>
            <w:noWrap/>
            <w:vAlign w:val="bottom"/>
            <w:hideMark/>
          </w:tcPr>
          <w:p w14:paraId="1BE53FA2"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73,1</w:t>
            </w:r>
          </w:p>
        </w:tc>
      </w:tr>
      <w:tr w:rsidR="00827B00" w:rsidRPr="0020638D" w14:paraId="6F7DBB1B" w14:textId="77777777" w:rsidTr="003B7808">
        <w:trPr>
          <w:trHeight w:val="300"/>
        </w:trPr>
        <w:tc>
          <w:tcPr>
            <w:tcW w:w="966" w:type="dxa"/>
            <w:tcBorders>
              <w:top w:val="nil"/>
              <w:bottom w:val="nil"/>
            </w:tcBorders>
            <w:shd w:val="clear" w:color="auto" w:fill="auto"/>
            <w:noWrap/>
            <w:vAlign w:val="bottom"/>
            <w:hideMark/>
          </w:tcPr>
          <w:p w14:paraId="1E0B7B55"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45-48 detí</w:t>
            </w:r>
          </w:p>
        </w:tc>
        <w:tc>
          <w:tcPr>
            <w:tcW w:w="752" w:type="dxa"/>
            <w:tcBorders>
              <w:top w:val="nil"/>
              <w:bottom w:val="nil"/>
            </w:tcBorders>
            <w:shd w:val="clear" w:color="auto" w:fill="auto"/>
            <w:noWrap/>
            <w:vAlign w:val="bottom"/>
            <w:hideMark/>
          </w:tcPr>
          <w:p w14:paraId="39873F5A"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2 271,6</w:t>
            </w:r>
          </w:p>
        </w:tc>
        <w:tc>
          <w:tcPr>
            <w:tcW w:w="773" w:type="dxa"/>
            <w:tcBorders>
              <w:top w:val="nil"/>
              <w:bottom w:val="nil"/>
            </w:tcBorders>
            <w:shd w:val="clear" w:color="auto" w:fill="auto"/>
            <w:noWrap/>
            <w:vAlign w:val="bottom"/>
            <w:hideMark/>
          </w:tcPr>
          <w:p w14:paraId="14962083"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69</w:t>
            </w:r>
          </w:p>
        </w:tc>
        <w:tc>
          <w:tcPr>
            <w:tcW w:w="827" w:type="dxa"/>
            <w:tcBorders>
              <w:top w:val="nil"/>
              <w:bottom w:val="nil"/>
            </w:tcBorders>
            <w:shd w:val="clear" w:color="auto" w:fill="auto"/>
            <w:noWrap/>
            <w:vAlign w:val="bottom"/>
            <w:hideMark/>
          </w:tcPr>
          <w:p w14:paraId="5E69F9A2"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3 199</w:t>
            </w:r>
          </w:p>
        </w:tc>
        <w:tc>
          <w:tcPr>
            <w:tcW w:w="736" w:type="dxa"/>
            <w:tcBorders>
              <w:top w:val="nil"/>
              <w:bottom w:val="nil"/>
            </w:tcBorders>
            <w:shd w:val="clear" w:color="auto" w:fill="auto"/>
            <w:noWrap/>
            <w:vAlign w:val="bottom"/>
            <w:hideMark/>
          </w:tcPr>
          <w:p w14:paraId="229AB6F6"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1 906,0</w:t>
            </w:r>
          </w:p>
        </w:tc>
        <w:tc>
          <w:tcPr>
            <w:tcW w:w="1010" w:type="dxa"/>
            <w:tcBorders>
              <w:top w:val="nil"/>
              <w:bottom w:val="nil"/>
            </w:tcBorders>
            <w:vAlign w:val="bottom"/>
          </w:tcPr>
          <w:p w14:paraId="2469BF8E" w14:textId="77777777" w:rsidR="00827B00" w:rsidRPr="0020638D" w:rsidRDefault="00827B00" w:rsidP="003B7808">
            <w:pPr>
              <w:pStyle w:val="Bezriadkovania"/>
              <w:jc w:val="center"/>
              <w:rPr>
                <w:rFonts w:ascii="Arial Narrow" w:eastAsia="Times New Roman" w:hAnsi="Arial Narrow" w:cs="Calibri"/>
                <w:color w:val="000000"/>
                <w:sz w:val="18"/>
                <w:szCs w:val="18"/>
                <w:lang w:eastAsia="sk-SK"/>
              </w:rPr>
            </w:pPr>
            <w:r w:rsidRPr="0020638D">
              <w:rPr>
                <w:rFonts w:ascii="Arial Narrow" w:hAnsi="Arial Narrow"/>
                <w:sz w:val="18"/>
                <w:szCs w:val="18"/>
              </w:rPr>
              <w:t>365,60</w:t>
            </w:r>
          </w:p>
        </w:tc>
        <w:tc>
          <w:tcPr>
            <w:tcW w:w="727" w:type="dxa"/>
            <w:tcBorders>
              <w:top w:val="nil"/>
              <w:bottom w:val="nil"/>
            </w:tcBorders>
            <w:shd w:val="clear" w:color="auto" w:fill="auto"/>
            <w:noWrap/>
            <w:vAlign w:val="bottom"/>
            <w:hideMark/>
          </w:tcPr>
          <w:p w14:paraId="07E6694E"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1 846,5</w:t>
            </w:r>
          </w:p>
        </w:tc>
        <w:tc>
          <w:tcPr>
            <w:tcW w:w="1037" w:type="dxa"/>
            <w:tcBorders>
              <w:top w:val="nil"/>
              <w:bottom w:val="nil"/>
            </w:tcBorders>
            <w:shd w:val="clear" w:color="auto" w:fill="auto"/>
            <w:noWrap/>
            <w:vAlign w:val="bottom"/>
            <w:hideMark/>
          </w:tcPr>
          <w:p w14:paraId="2D628A16"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2 032,8</w:t>
            </w:r>
          </w:p>
        </w:tc>
        <w:tc>
          <w:tcPr>
            <w:tcW w:w="1007" w:type="dxa"/>
            <w:tcBorders>
              <w:top w:val="nil"/>
              <w:bottom w:val="nil"/>
            </w:tcBorders>
            <w:shd w:val="clear" w:color="auto" w:fill="auto"/>
            <w:noWrap/>
            <w:vAlign w:val="bottom"/>
            <w:hideMark/>
          </w:tcPr>
          <w:p w14:paraId="38584309"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2 485,0</w:t>
            </w:r>
          </w:p>
        </w:tc>
        <w:tc>
          <w:tcPr>
            <w:tcW w:w="1377" w:type="dxa"/>
            <w:tcBorders>
              <w:top w:val="nil"/>
              <w:bottom w:val="nil"/>
            </w:tcBorders>
            <w:shd w:val="clear" w:color="auto" w:fill="auto"/>
            <w:noWrap/>
            <w:vAlign w:val="bottom"/>
            <w:hideMark/>
          </w:tcPr>
          <w:p w14:paraId="2D109054"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75,4</w:t>
            </w:r>
          </w:p>
        </w:tc>
      </w:tr>
      <w:tr w:rsidR="00827B00" w:rsidRPr="0020638D" w14:paraId="3939CCAA" w14:textId="77777777" w:rsidTr="003B7808">
        <w:trPr>
          <w:trHeight w:val="300"/>
        </w:trPr>
        <w:tc>
          <w:tcPr>
            <w:tcW w:w="966" w:type="dxa"/>
            <w:tcBorders>
              <w:top w:val="nil"/>
              <w:bottom w:val="nil"/>
            </w:tcBorders>
            <w:shd w:val="clear" w:color="auto" w:fill="auto"/>
            <w:noWrap/>
            <w:vAlign w:val="bottom"/>
            <w:hideMark/>
          </w:tcPr>
          <w:p w14:paraId="457FFDC9"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49-57 detí</w:t>
            </w:r>
          </w:p>
        </w:tc>
        <w:tc>
          <w:tcPr>
            <w:tcW w:w="752" w:type="dxa"/>
            <w:tcBorders>
              <w:top w:val="nil"/>
              <w:bottom w:val="nil"/>
            </w:tcBorders>
            <w:shd w:val="clear" w:color="auto" w:fill="auto"/>
            <w:noWrap/>
            <w:vAlign w:val="bottom"/>
            <w:hideMark/>
          </w:tcPr>
          <w:p w14:paraId="5A37CEFA"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2 271,6</w:t>
            </w:r>
          </w:p>
        </w:tc>
        <w:tc>
          <w:tcPr>
            <w:tcW w:w="773" w:type="dxa"/>
            <w:tcBorders>
              <w:top w:val="nil"/>
              <w:bottom w:val="nil"/>
            </w:tcBorders>
            <w:shd w:val="clear" w:color="auto" w:fill="auto"/>
            <w:noWrap/>
            <w:vAlign w:val="bottom"/>
            <w:hideMark/>
          </w:tcPr>
          <w:p w14:paraId="2A0C272F"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64</w:t>
            </w:r>
          </w:p>
        </w:tc>
        <w:tc>
          <w:tcPr>
            <w:tcW w:w="827" w:type="dxa"/>
            <w:tcBorders>
              <w:top w:val="nil"/>
              <w:bottom w:val="nil"/>
            </w:tcBorders>
            <w:shd w:val="clear" w:color="auto" w:fill="auto"/>
            <w:noWrap/>
            <w:vAlign w:val="bottom"/>
            <w:hideMark/>
          </w:tcPr>
          <w:p w14:paraId="2F48122A"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3 387</w:t>
            </w:r>
          </w:p>
        </w:tc>
        <w:tc>
          <w:tcPr>
            <w:tcW w:w="736" w:type="dxa"/>
            <w:tcBorders>
              <w:top w:val="nil"/>
              <w:bottom w:val="nil"/>
            </w:tcBorders>
            <w:shd w:val="clear" w:color="auto" w:fill="auto"/>
            <w:noWrap/>
            <w:vAlign w:val="bottom"/>
            <w:hideMark/>
          </w:tcPr>
          <w:p w14:paraId="7AED91CC"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2 019,9</w:t>
            </w:r>
          </w:p>
        </w:tc>
        <w:tc>
          <w:tcPr>
            <w:tcW w:w="1010" w:type="dxa"/>
            <w:tcBorders>
              <w:top w:val="nil"/>
              <w:bottom w:val="nil"/>
            </w:tcBorders>
            <w:vAlign w:val="bottom"/>
          </w:tcPr>
          <w:p w14:paraId="06FF3653" w14:textId="77777777" w:rsidR="00827B00" w:rsidRPr="0020638D" w:rsidRDefault="00827B00" w:rsidP="003B7808">
            <w:pPr>
              <w:pStyle w:val="Bezriadkovania"/>
              <w:jc w:val="center"/>
              <w:rPr>
                <w:rFonts w:ascii="Arial Narrow" w:eastAsia="Times New Roman" w:hAnsi="Arial Narrow" w:cs="Calibri"/>
                <w:color w:val="000000"/>
                <w:sz w:val="18"/>
                <w:szCs w:val="18"/>
                <w:lang w:eastAsia="sk-SK"/>
              </w:rPr>
            </w:pPr>
            <w:r w:rsidRPr="0020638D">
              <w:rPr>
                <w:rFonts w:ascii="Arial Narrow" w:hAnsi="Arial Narrow"/>
                <w:sz w:val="18"/>
                <w:szCs w:val="18"/>
              </w:rPr>
              <w:t>251,70</w:t>
            </w:r>
          </w:p>
        </w:tc>
        <w:tc>
          <w:tcPr>
            <w:tcW w:w="727" w:type="dxa"/>
            <w:tcBorders>
              <w:top w:val="nil"/>
              <w:bottom w:val="nil"/>
            </w:tcBorders>
            <w:shd w:val="clear" w:color="auto" w:fill="auto"/>
            <w:noWrap/>
            <w:vAlign w:val="bottom"/>
            <w:hideMark/>
          </w:tcPr>
          <w:p w14:paraId="07D3C155"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1 960,5</w:t>
            </w:r>
          </w:p>
        </w:tc>
        <w:tc>
          <w:tcPr>
            <w:tcW w:w="1037" w:type="dxa"/>
            <w:tcBorders>
              <w:top w:val="nil"/>
              <w:bottom w:val="nil"/>
            </w:tcBorders>
            <w:shd w:val="clear" w:color="auto" w:fill="auto"/>
            <w:noWrap/>
            <w:vAlign w:val="bottom"/>
            <w:hideMark/>
          </w:tcPr>
          <w:p w14:paraId="61AC8FAD"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2 173,9</w:t>
            </w:r>
          </w:p>
        </w:tc>
        <w:tc>
          <w:tcPr>
            <w:tcW w:w="1007" w:type="dxa"/>
            <w:tcBorders>
              <w:top w:val="nil"/>
              <w:bottom w:val="nil"/>
            </w:tcBorders>
            <w:shd w:val="clear" w:color="auto" w:fill="auto"/>
            <w:noWrap/>
            <w:vAlign w:val="bottom"/>
            <w:hideMark/>
          </w:tcPr>
          <w:p w14:paraId="3410C9B9"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2 390,3</w:t>
            </w:r>
          </w:p>
        </w:tc>
        <w:tc>
          <w:tcPr>
            <w:tcW w:w="1377" w:type="dxa"/>
            <w:tcBorders>
              <w:top w:val="nil"/>
              <w:bottom w:val="nil"/>
            </w:tcBorders>
            <w:shd w:val="clear" w:color="auto" w:fill="auto"/>
            <w:noWrap/>
            <w:vAlign w:val="bottom"/>
            <w:hideMark/>
          </w:tcPr>
          <w:p w14:paraId="03178AF0"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59,4</w:t>
            </w:r>
          </w:p>
        </w:tc>
      </w:tr>
      <w:tr w:rsidR="00827B00" w:rsidRPr="0020638D" w14:paraId="481548CC" w14:textId="77777777" w:rsidTr="003B7808">
        <w:trPr>
          <w:trHeight w:val="300"/>
        </w:trPr>
        <w:tc>
          <w:tcPr>
            <w:tcW w:w="966" w:type="dxa"/>
            <w:tcBorders>
              <w:top w:val="nil"/>
              <w:bottom w:val="nil"/>
            </w:tcBorders>
            <w:shd w:val="clear" w:color="auto" w:fill="auto"/>
            <w:noWrap/>
            <w:vAlign w:val="bottom"/>
            <w:hideMark/>
          </w:tcPr>
          <w:p w14:paraId="796D676E"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58-66 detí</w:t>
            </w:r>
          </w:p>
        </w:tc>
        <w:tc>
          <w:tcPr>
            <w:tcW w:w="752" w:type="dxa"/>
            <w:tcBorders>
              <w:top w:val="nil"/>
              <w:bottom w:val="nil"/>
            </w:tcBorders>
            <w:shd w:val="clear" w:color="auto" w:fill="auto"/>
            <w:noWrap/>
            <w:vAlign w:val="bottom"/>
            <w:hideMark/>
          </w:tcPr>
          <w:p w14:paraId="7525D75A"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2 271,6</w:t>
            </w:r>
          </w:p>
        </w:tc>
        <w:tc>
          <w:tcPr>
            <w:tcW w:w="773" w:type="dxa"/>
            <w:tcBorders>
              <w:top w:val="nil"/>
              <w:bottom w:val="nil"/>
            </w:tcBorders>
            <w:shd w:val="clear" w:color="auto" w:fill="auto"/>
            <w:noWrap/>
            <w:vAlign w:val="bottom"/>
            <w:hideMark/>
          </w:tcPr>
          <w:p w14:paraId="47C38338"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65</w:t>
            </w:r>
          </w:p>
        </w:tc>
        <w:tc>
          <w:tcPr>
            <w:tcW w:w="827" w:type="dxa"/>
            <w:tcBorders>
              <w:top w:val="nil"/>
              <w:bottom w:val="nil"/>
            </w:tcBorders>
            <w:shd w:val="clear" w:color="auto" w:fill="auto"/>
            <w:noWrap/>
            <w:vAlign w:val="bottom"/>
            <w:hideMark/>
          </w:tcPr>
          <w:p w14:paraId="328DC7FF"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4 022</w:t>
            </w:r>
          </w:p>
        </w:tc>
        <w:tc>
          <w:tcPr>
            <w:tcW w:w="736" w:type="dxa"/>
            <w:tcBorders>
              <w:top w:val="nil"/>
              <w:bottom w:val="nil"/>
            </w:tcBorders>
            <w:shd w:val="clear" w:color="auto" w:fill="auto"/>
            <w:noWrap/>
            <w:vAlign w:val="bottom"/>
            <w:hideMark/>
          </w:tcPr>
          <w:p w14:paraId="043E5483"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1 925,3</w:t>
            </w:r>
          </w:p>
        </w:tc>
        <w:tc>
          <w:tcPr>
            <w:tcW w:w="1010" w:type="dxa"/>
            <w:tcBorders>
              <w:top w:val="nil"/>
              <w:bottom w:val="nil"/>
            </w:tcBorders>
            <w:vAlign w:val="bottom"/>
          </w:tcPr>
          <w:p w14:paraId="663CD504" w14:textId="77777777" w:rsidR="00827B00" w:rsidRPr="0020638D" w:rsidRDefault="00827B00" w:rsidP="003B7808">
            <w:pPr>
              <w:pStyle w:val="Bezriadkovania"/>
              <w:jc w:val="center"/>
              <w:rPr>
                <w:rFonts w:ascii="Arial Narrow" w:eastAsia="Times New Roman" w:hAnsi="Arial Narrow" w:cs="Calibri"/>
                <w:color w:val="000000"/>
                <w:sz w:val="18"/>
                <w:szCs w:val="18"/>
                <w:lang w:eastAsia="sk-SK"/>
              </w:rPr>
            </w:pPr>
            <w:r w:rsidRPr="0020638D">
              <w:rPr>
                <w:rFonts w:ascii="Arial Narrow" w:hAnsi="Arial Narrow"/>
                <w:sz w:val="18"/>
                <w:szCs w:val="18"/>
              </w:rPr>
              <w:t>346,30</w:t>
            </w:r>
          </w:p>
        </w:tc>
        <w:tc>
          <w:tcPr>
            <w:tcW w:w="727" w:type="dxa"/>
            <w:tcBorders>
              <w:top w:val="nil"/>
              <w:bottom w:val="nil"/>
            </w:tcBorders>
            <w:shd w:val="clear" w:color="auto" w:fill="auto"/>
            <w:noWrap/>
            <w:vAlign w:val="bottom"/>
            <w:hideMark/>
          </w:tcPr>
          <w:p w14:paraId="46C4F9D5"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1 883,2</w:t>
            </w:r>
          </w:p>
        </w:tc>
        <w:tc>
          <w:tcPr>
            <w:tcW w:w="1037" w:type="dxa"/>
            <w:tcBorders>
              <w:top w:val="nil"/>
              <w:bottom w:val="nil"/>
            </w:tcBorders>
            <w:shd w:val="clear" w:color="auto" w:fill="auto"/>
            <w:noWrap/>
            <w:vAlign w:val="bottom"/>
            <w:hideMark/>
          </w:tcPr>
          <w:p w14:paraId="0DB13221"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2 121,3</w:t>
            </w:r>
          </w:p>
        </w:tc>
        <w:tc>
          <w:tcPr>
            <w:tcW w:w="1007" w:type="dxa"/>
            <w:tcBorders>
              <w:top w:val="nil"/>
              <w:bottom w:val="nil"/>
            </w:tcBorders>
            <w:shd w:val="clear" w:color="auto" w:fill="auto"/>
            <w:noWrap/>
            <w:vAlign w:val="bottom"/>
            <w:hideMark/>
          </w:tcPr>
          <w:p w14:paraId="61DCD5FB"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2 261,1</w:t>
            </w:r>
          </w:p>
        </w:tc>
        <w:tc>
          <w:tcPr>
            <w:tcW w:w="1377" w:type="dxa"/>
            <w:tcBorders>
              <w:top w:val="nil"/>
              <w:bottom w:val="nil"/>
            </w:tcBorders>
            <w:shd w:val="clear" w:color="auto" w:fill="auto"/>
            <w:noWrap/>
            <w:vAlign w:val="bottom"/>
            <w:hideMark/>
          </w:tcPr>
          <w:p w14:paraId="7009EEA6"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69,2</w:t>
            </w:r>
          </w:p>
        </w:tc>
      </w:tr>
      <w:tr w:rsidR="00827B00" w:rsidRPr="0020638D" w14:paraId="317331C1" w14:textId="77777777" w:rsidTr="003B7808">
        <w:trPr>
          <w:trHeight w:val="300"/>
        </w:trPr>
        <w:tc>
          <w:tcPr>
            <w:tcW w:w="966" w:type="dxa"/>
            <w:tcBorders>
              <w:top w:val="nil"/>
              <w:bottom w:val="nil"/>
            </w:tcBorders>
            <w:shd w:val="clear" w:color="auto" w:fill="auto"/>
            <w:noWrap/>
            <w:vAlign w:val="bottom"/>
            <w:hideMark/>
          </w:tcPr>
          <w:p w14:paraId="73968290"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67-85 detí</w:t>
            </w:r>
          </w:p>
        </w:tc>
        <w:tc>
          <w:tcPr>
            <w:tcW w:w="752" w:type="dxa"/>
            <w:tcBorders>
              <w:top w:val="nil"/>
              <w:bottom w:val="nil"/>
            </w:tcBorders>
            <w:shd w:val="clear" w:color="auto" w:fill="auto"/>
            <w:noWrap/>
            <w:vAlign w:val="bottom"/>
            <w:hideMark/>
          </w:tcPr>
          <w:p w14:paraId="701BC0F3"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2 271,6</w:t>
            </w:r>
          </w:p>
        </w:tc>
        <w:tc>
          <w:tcPr>
            <w:tcW w:w="773" w:type="dxa"/>
            <w:tcBorders>
              <w:top w:val="nil"/>
              <w:bottom w:val="nil"/>
            </w:tcBorders>
            <w:shd w:val="clear" w:color="auto" w:fill="auto"/>
            <w:noWrap/>
            <w:vAlign w:val="bottom"/>
            <w:hideMark/>
          </w:tcPr>
          <w:p w14:paraId="73C6272E"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63</w:t>
            </w:r>
          </w:p>
        </w:tc>
        <w:tc>
          <w:tcPr>
            <w:tcW w:w="827" w:type="dxa"/>
            <w:tcBorders>
              <w:top w:val="nil"/>
              <w:bottom w:val="nil"/>
            </w:tcBorders>
            <w:shd w:val="clear" w:color="auto" w:fill="auto"/>
            <w:noWrap/>
            <w:vAlign w:val="bottom"/>
            <w:hideMark/>
          </w:tcPr>
          <w:p w14:paraId="13DA0820"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4 719</w:t>
            </w:r>
          </w:p>
        </w:tc>
        <w:tc>
          <w:tcPr>
            <w:tcW w:w="736" w:type="dxa"/>
            <w:tcBorders>
              <w:top w:val="nil"/>
              <w:bottom w:val="nil"/>
            </w:tcBorders>
            <w:shd w:val="clear" w:color="auto" w:fill="auto"/>
            <w:noWrap/>
            <w:vAlign w:val="bottom"/>
            <w:hideMark/>
          </w:tcPr>
          <w:p w14:paraId="2E766335"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1 916,2</w:t>
            </w:r>
          </w:p>
        </w:tc>
        <w:tc>
          <w:tcPr>
            <w:tcW w:w="1010" w:type="dxa"/>
            <w:tcBorders>
              <w:top w:val="nil"/>
              <w:bottom w:val="nil"/>
            </w:tcBorders>
            <w:vAlign w:val="bottom"/>
          </w:tcPr>
          <w:p w14:paraId="0EC8A8D8" w14:textId="77777777" w:rsidR="00827B00" w:rsidRPr="0020638D" w:rsidRDefault="00827B00" w:rsidP="003B7808">
            <w:pPr>
              <w:pStyle w:val="Bezriadkovania"/>
              <w:jc w:val="center"/>
              <w:rPr>
                <w:rFonts w:ascii="Arial Narrow" w:eastAsia="Times New Roman" w:hAnsi="Arial Narrow" w:cs="Calibri"/>
                <w:color w:val="000000"/>
                <w:sz w:val="18"/>
                <w:szCs w:val="18"/>
                <w:lang w:eastAsia="sk-SK"/>
              </w:rPr>
            </w:pPr>
            <w:r w:rsidRPr="0020638D">
              <w:rPr>
                <w:rFonts w:ascii="Arial Narrow" w:hAnsi="Arial Narrow"/>
                <w:sz w:val="18"/>
                <w:szCs w:val="18"/>
              </w:rPr>
              <w:t>355,40</w:t>
            </w:r>
          </w:p>
        </w:tc>
        <w:tc>
          <w:tcPr>
            <w:tcW w:w="727" w:type="dxa"/>
            <w:tcBorders>
              <w:top w:val="nil"/>
              <w:bottom w:val="nil"/>
            </w:tcBorders>
            <w:shd w:val="clear" w:color="auto" w:fill="auto"/>
            <w:noWrap/>
            <w:vAlign w:val="bottom"/>
            <w:hideMark/>
          </w:tcPr>
          <w:p w14:paraId="43022FF9"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1 886,9</w:t>
            </w:r>
          </w:p>
        </w:tc>
        <w:tc>
          <w:tcPr>
            <w:tcW w:w="1037" w:type="dxa"/>
            <w:tcBorders>
              <w:top w:val="nil"/>
              <w:bottom w:val="nil"/>
            </w:tcBorders>
            <w:shd w:val="clear" w:color="auto" w:fill="auto"/>
            <w:noWrap/>
            <w:vAlign w:val="bottom"/>
            <w:hideMark/>
          </w:tcPr>
          <w:p w14:paraId="45F74490"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2 080,8</w:t>
            </w:r>
          </w:p>
        </w:tc>
        <w:tc>
          <w:tcPr>
            <w:tcW w:w="1007" w:type="dxa"/>
            <w:tcBorders>
              <w:top w:val="nil"/>
              <w:bottom w:val="nil"/>
            </w:tcBorders>
            <w:shd w:val="clear" w:color="auto" w:fill="auto"/>
            <w:noWrap/>
            <w:vAlign w:val="bottom"/>
            <w:hideMark/>
          </w:tcPr>
          <w:p w14:paraId="3A0E31BD"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2 358,0</w:t>
            </w:r>
          </w:p>
        </w:tc>
        <w:tc>
          <w:tcPr>
            <w:tcW w:w="1377" w:type="dxa"/>
            <w:tcBorders>
              <w:top w:val="nil"/>
              <w:bottom w:val="nil"/>
            </w:tcBorders>
            <w:shd w:val="clear" w:color="auto" w:fill="auto"/>
            <w:noWrap/>
            <w:vAlign w:val="bottom"/>
            <w:hideMark/>
          </w:tcPr>
          <w:p w14:paraId="4D96E8F1"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66,7</w:t>
            </w:r>
          </w:p>
        </w:tc>
      </w:tr>
      <w:tr w:rsidR="00827B00" w:rsidRPr="0020638D" w14:paraId="5FF89937" w14:textId="77777777" w:rsidTr="003B7808">
        <w:trPr>
          <w:trHeight w:val="300"/>
        </w:trPr>
        <w:tc>
          <w:tcPr>
            <w:tcW w:w="966" w:type="dxa"/>
            <w:tcBorders>
              <w:top w:val="nil"/>
            </w:tcBorders>
            <w:shd w:val="clear" w:color="auto" w:fill="auto"/>
            <w:noWrap/>
            <w:vAlign w:val="bottom"/>
            <w:hideMark/>
          </w:tcPr>
          <w:p w14:paraId="2B48888A"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&gt; 85 detí</w:t>
            </w:r>
          </w:p>
        </w:tc>
        <w:tc>
          <w:tcPr>
            <w:tcW w:w="752" w:type="dxa"/>
            <w:tcBorders>
              <w:top w:val="nil"/>
            </w:tcBorders>
            <w:shd w:val="clear" w:color="auto" w:fill="auto"/>
            <w:noWrap/>
            <w:vAlign w:val="bottom"/>
            <w:hideMark/>
          </w:tcPr>
          <w:p w14:paraId="18AADE4B"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2 271,6</w:t>
            </w:r>
          </w:p>
        </w:tc>
        <w:tc>
          <w:tcPr>
            <w:tcW w:w="773" w:type="dxa"/>
            <w:tcBorders>
              <w:top w:val="nil"/>
            </w:tcBorders>
            <w:shd w:val="clear" w:color="auto" w:fill="auto"/>
            <w:noWrap/>
            <w:vAlign w:val="bottom"/>
            <w:hideMark/>
          </w:tcPr>
          <w:p w14:paraId="6E1E93A6"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66</w:t>
            </w:r>
          </w:p>
        </w:tc>
        <w:tc>
          <w:tcPr>
            <w:tcW w:w="827" w:type="dxa"/>
            <w:tcBorders>
              <w:top w:val="nil"/>
            </w:tcBorders>
            <w:shd w:val="clear" w:color="auto" w:fill="auto"/>
            <w:noWrap/>
            <w:vAlign w:val="bottom"/>
            <w:hideMark/>
          </w:tcPr>
          <w:p w14:paraId="26132E2F"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7 236</w:t>
            </w:r>
          </w:p>
        </w:tc>
        <w:tc>
          <w:tcPr>
            <w:tcW w:w="736" w:type="dxa"/>
            <w:tcBorders>
              <w:top w:val="nil"/>
            </w:tcBorders>
            <w:shd w:val="clear" w:color="auto" w:fill="auto"/>
            <w:noWrap/>
            <w:vAlign w:val="bottom"/>
            <w:hideMark/>
          </w:tcPr>
          <w:p w14:paraId="48DF83AF"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1 926,4</w:t>
            </w:r>
          </w:p>
        </w:tc>
        <w:tc>
          <w:tcPr>
            <w:tcW w:w="1010" w:type="dxa"/>
            <w:tcBorders>
              <w:top w:val="nil"/>
            </w:tcBorders>
            <w:vAlign w:val="bottom"/>
          </w:tcPr>
          <w:p w14:paraId="41CBBCC5" w14:textId="77777777" w:rsidR="00827B00" w:rsidRPr="0020638D" w:rsidRDefault="00827B00" w:rsidP="003B7808">
            <w:pPr>
              <w:pStyle w:val="Bezriadkovania"/>
              <w:jc w:val="center"/>
              <w:rPr>
                <w:rFonts w:ascii="Arial Narrow" w:eastAsia="Times New Roman" w:hAnsi="Arial Narrow" w:cs="Calibri"/>
                <w:color w:val="000000"/>
                <w:sz w:val="18"/>
                <w:szCs w:val="18"/>
                <w:lang w:eastAsia="sk-SK"/>
              </w:rPr>
            </w:pPr>
            <w:r w:rsidRPr="0020638D">
              <w:rPr>
                <w:rFonts w:ascii="Arial Narrow" w:hAnsi="Arial Narrow"/>
                <w:sz w:val="18"/>
                <w:szCs w:val="18"/>
              </w:rPr>
              <w:t>345,20</w:t>
            </w:r>
          </w:p>
        </w:tc>
        <w:tc>
          <w:tcPr>
            <w:tcW w:w="727" w:type="dxa"/>
            <w:tcBorders>
              <w:top w:val="nil"/>
            </w:tcBorders>
            <w:shd w:val="clear" w:color="auto" w:fill="auto"/>
            <w:noWrap/>
            <w:vAlign w:val="bottom"/>
            <w:hideMark/>
          </w:tcPr>
          <w:p w14:paraId="4015B67F"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1 857,5</w:t>
            </w:r>
          </w:p>
        </w:tc>
        <w:tc>
          <w:tcPr>
            <w:tcW w:w="1037" w:type="dxa"/>
            <w:tcBorders>
              <w:top w:val="nil"/>
            </w:tcBorders>
            <w:shd w:val="clear" w:color="auto" w:fill="auto"/>
            <w:noWrap/>
            <w:vAlign w:val="bottom"/>
            <w:hideMark/>
          </w:tcPr>
          <w:p w14:paraId="1C06F351"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2 110,1</w:t>
            </w:r>
          </w:p>
        </w:tc>
        <w:tc>
          <w:tcPr>
            <w:tcW w:w="1007" w:type="dxa"/>
            <w:tcBorders>
              <w:top w:val="nil"/>
            </w:tcBorders>
            <w:shd w:val="clear" w:color="auto" w:fill="auto"/>
            <w:noWrap/>
            <w:vAlign w:val="bottom"/>
            <w:hideMark/>
          </w:tcPr>
          <w:p w14:paraId="51B12159"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2 335,1</w:t>
            </w:r>
          </w:p>
        </w:tc>
        <w:tc>
          <w:tcPr>
            <w:tcW w:w="1377" w:type="dxa"/>
            <w:tcBorders>
              <w:top w:val="nil"/>
            </w:tcBorders>
            <w:shd w:val="clear" w:color="auto" w:fill="auto"/>
            <w:noWrap/>
            <w:vAlign w:val="bottom"/>
            <w:hideMark/>
          </w:tcPr>
          <w:p w14:paraId="135932A5" w14:textId="77777777" w:rsidR="00827B00" w:rsidRPr="0020638D" w:rsidRDefault="00827B00" w:rsidP="003B7808">
            <w:pPr>
              <w:pStyle w:val="Bezriadkovania"/>
              <w:jc w:val="center"/>
              <w:rPr>
                <w:rFonts w:ascii="Arial Narrow" w:eastAsia="Times New Roman" w:hAnsi="Arial Narrow" w:cs="Calibri"/>
                <w:color w:val="000000"/>
                <w:sz w:val="18"/>
                <w:lang w:eastAsia="sk-SK"/>
              </w:rPr>
            </w:pPr>
            <w:r w:rsidRPr="0020638D">
              <w:rPr>
                <w:rFonts w:ascii="Arial Narrow" w:eastAsia="Times New Roman" w:hAnsi="Arial Narrow" w:cs="Calibri"/>
                <w:color w:val="000000"/>
                <w:sz w:val="18"/>
                <w:lang w:eastAsia="sk-SK"/>
              </w:rPr>
              <w:t>72,7</w:t>
            </w:r>
          </w:p>
        </w:tc>
      </w:tr>
      <w:tr w:rsidR="00827B00" w:rsidRPr="0020638D" w14:paraId="6760562B" w14:textId="77777777" w:rsidTr="003B7808">
        <w:trPr>
          <w:trHeight w:val="315"/>
        </w:trPr>
        <w:tc>
          <w:tcPr>
            <w:tcW w:w="966" w:type="dxa"/>
            <w:tcBorders>
              <w:bottom w:val="single" w:sz="4" w:space="0" w:color="auto"/>
            </w:tcBorders>
            <w:shd w:val="clear" w:color="auto" w:fill="auto"/>
            <w:noWrap/>
            <w:vAlign w:val="bottom"/>
            <w:hideMark/>
          </w:tcPr>
          <w:p w14:paraId="5F1AB270" w14:textId="77777777" w:rsidR="00827B00" w:rsidRPr="0020638D" w:rsidRDefault="00827B00" w:rsidP="003B7808">
            <w:pPr>
              <w:pStyle w:val="Bezriadkovania"/>
              <w:jc w:val="center"/>
              <w:rPr>
                <w:rFonts w:ascii="Arial Narrow" w:eastAsia="Times New Roman" w:hAnsi="Arial Narrow" w:cs="Calibri"/>
                <w:b/>
                <w:color w:val="000000"/>
                <w:sz w:val="18"/>
                <w:lang w:eastAsia="sk-SK"/>
              </w:rPr>
            </w:pPr>
            <w:r w:rsidRPr="0020638D">
              <w:rPr>
                <w:rFonts w:ascii="Arial Narrow" w:eastAsia="Times New Roman" w:hAnsi="Arial Narrow" w:cs="Calibri"/>
                <w:b/>
                <w:color w:val="000000"/>
                <w:sz w:val="18"/>
                <w:lang w:eastAsia="sk-SK"/>
              </w:rPr>
              <w:t>Spolu</w:t>
            </w:r>
          </w:p>
        </w:tc>
        <w:tc>
          <w:tcPr>
            <w:tcW w:w="752" w:type="dxa"/>
            <w:tcBorders>
              <w:bottom w:val="single" w:sz="4" w:space="0" w:color="auto"/>
            </w:tcBorders>
            <w:shd w:val="clear" w:color="auto" w:fill="auto"/>
            <w:noWrap/>
            <w:vAlign w:val="bottom"/>
            <w:hideMark/>
          </w:tcPr>
          <w:p w14:paraId="1E3C5C44" w14:textId="77777777" w:rsidR="00827B00" w:rsidRPr="0020638D" w:rsidRDefault="00827B00" w:rsidP="003B7808">
            <w:pPr>
              <w:pStyle w:val="Bezriadkovania"/>
              <w:jc w:val="center"/>
              <w:rPr>
                <w:rFonts w:ascii="Arial Narrow" w:eastAsia="Times New Roman" w:hAnsi="Arial Narrow" w:cs="Calibri"/>
                <w:b/>
                <w:color w:val="000000"/>
                <w:sz w:val="18"/>
                <w:lang w:eastAsia="sk-SK"/>
              </w:rPr>
            </w:pPr>
            <w:r w:rsidRPr="0020638D">
              <w:rPr>
                <w:rFonts w:ascii="Arial Narrow" w:eastAsia="Times New Roman" w:hAnsi="Arial Narrow" w:cs="Calibri"/>
                <w:b/>
                <w:color w:val="000000"/>
                <w:sz w:val="18"/>
                <w:lang w:eastAsia="sk-SK"/>
              </w:rPr>
              <w:t>2 599,2</w:t>
            </w:r>
          </w:p>
        </w:tc>
        <w:tc>
          <w:tcPr>
            <w:tcW w:w="773" w:type="dxa"/>
            <w:tcBorders>
              <w:bottom w:val="single" w:sz="4" w:space="0" w:color="auto"/>
            </w:tcBorders>
            <w:shd w:val="clear" w:color="auto" w:fill="auto"/>
            <w:noWrap/>
            <w:vAlign w:val="bottom"/>
            <w:hideMark/>
          </w:tcPr>
          <w:p w14:paraId="0CAC4D8F" w14:textId="77777777" w:rsidR="00827B00" w:rsidRPr="0020638D" w:rsidRDefault="00827B00" w:rsidP="003B7808">
            <w:pPr>
              <w:pStyle w:val="Bezriadkovania"/>
              <w:jc w:val="center"/>
              <w:rPr>
                <w:rFonts w:ascii="Arial Narrow" w:eastAsia="Times New Roman" w:hAnsi="Arial Narrow" w:cs="Calibri"/>
                <w:b/>
                <w:color w:val="000000"/>
                <w:sz w:val="18"/>
                <w:lang w:eastAsia="sk-SK"/>
              </w:rPr>
            </w:pPr>
            <w:r w:rsidRPr="0020638D">
              <w:rPr>
                <w:rFonts w:ascii="Arial Narrow" w:eastAsia="Times New Roman" w:hAnsi="Arial Narrow" w:cs="Calibri"/>
                <w:b/>
                <w:color w:val="000000"/>
                <w:sz w:val="18"/>
                <w:lang w:eastAsia="sk-SK"/>
              </w:rPr>
              <w:t>1 407</w:t>
            </w:r>
          </w:p>
        </w:tc>
        <w:tc>
          <w:tcPr>
            <w:tcW w:w="827" w:type="dxa"/>
            <w:tcBorders>
              <w:bottom w:val="single" w:sz="4" w:space="0" w:color="auto"/>
            </w:tcBorders>
            <w:shd w:val="clear" w:color="auto" w:fill="auto"/>
            <w:noWrap/>
            <w:vAlign w:val="bottom"/>
            <w:hideMark/>
          </w:tcPr>
          <w:p w14:paraId="49282AE9" w14:textId="77777777" w:rsidR="00827B00" w:rsidRPr="0020638D" w:rsidRDefault="00827B00" w:rsidP="003B7808">
            <w:pPr>
              <w:pStyle w:val="Bezriadkovania"/>
              <w:jc w:val="center"/>
              <w:rPr>
                <w:rFonts w:ascii="Arial Narrow" w:eastAsia="Times New Roman" w:hAnsi="Arial Narrow" w:cs="Calibri"/>
                <w:b/>
                <w:color w:val="000000"/>
                <w:sz w:val="18"/>
                <w:lang w:eastAsia="sk-SK"/>
              </w:rPr>
            </w:pPr>
            <w:r w:rsidRPr="0020638D">
              <w:rPr>
                <w:rFonts w:ascii="Arial Narrow" w:eastAsia="Times New Roman" w:hAnsi="Arial Narrow" w:cs="Calibri"/>
                <w:b/>
                <w:color w:val="000000"/>
                <w:sz w:val="18"/>
                <w:lang w:eastAsia="sk-SK"/>
              </w:rPr>
              <w:t>47 577</w:t>
            </w:r>
          </w:p>
        </w:tc>
        <w:tc>
          <w:tcPr>
            <w:tcW w:w="736" w:type="dxa"/>
            <w:tcBorders>
              <w:bottom w:val="single" w:sz="4" w:space="0" w:color="auto"/>
            </w:tcBorders>
            <w:shd w:val="clear" w:color="auto" w:fill="auto"/>
            <w:noWrap/>
            <w:vAlign w:val="bottom"/>
            <w:hideMark/>
          </w:tcPr>
          <w:p w14:paraId="2502FCD2" w14:textId="77777777" w:rsidR="00827B00" w:rsidRPr="0020638D" w:rsidRDefault="00827B00" w:rsidP="003B7808">
            <w:pPr>
              <w:pStyle w:val="Bezriadkovania"/>
              <w:jc w:val="center"/>
              <w:rPr>
                <w:rFonts w:ascii="Arial Narrow" w:eastAsia="Times New Roman" w:hAnsi="Arial Narrow" w:cs="Calibri"/>
                <w:b/>
                <w:color w:val="000000"/>
                <w:sz w:val="18"/>
                <w:lang w:eastAsia="sk-SK"/>
              </w:rPr>
            </w:pPr>
            <w:r w:rsidRPr="0020638D">
              <w:rPr>
                <w:rFonts w:ascii="Arial Narrow" w:eastAsia="Times New Roman" w:hAnsi="Arial Narrow" w:cs="Calibri"/>
                <w:b/>
                <w:color w:val="000000"/>
                <w:sz w:val="18"/>
                <w:lang w:eastAsia="sk-SK"/>
              </w:rPr>
              <w:t>2 164,8</w:t>
            </w:r>
          </w:p>
        </w:tc>
        <w:tc>
          <w:tcPr>
            <w:tcW w:w="1010" w:type="dxa"/>
            <w:tcBorders>
              <w:bottom w:val="single" w:sz="4" w:space="0" w:color="auto"/>
            </w:tcBorders>
            <w:vAlign w:val="bottom"/>
          </w:tcPr>
          <w:p w14:paraId="7EA9C566" w14:textId="77777777" w:rsidR="00827B00" w:rsidRPr="0020638D" w:rsidRDefault="00827B00" w:rsidP="003B7808">
            <w:pPr>
              <w:pStyle w:val="Bezriadkovania"/>
              <w:jc w:val="center"/>
              <w:rPr>
                <w:rFonts w:ascii="Arial Narrow" w:eastAsia="Times New Roman" w:hAnsi="Arial Narrow" w:cs="Calibri"/>
                <w:b/>
                <w:color w:val="000000"/>
                <w:sz w:val="18"/>
                <w:lang w:eastAsia="sk-SK"/>
              </w:rPr>
            </w:pPr>
            <w:r w:rsidRPr="0020638D">
              <w:rPr>
                <w:rFonts w:ascii="Arial Narrow" w:eastAsia="Times New Roman" w:hAnsi="Arial Narrow" w:cs="Calibri"/>
                <w:b/>
                <w:color w:val="000000"/>
                <w:sz w:val="18"/>
                <w:lang w:eastAsia="sk-SK"/>
              </w:rPr>
              <w:t>434,4</w:t>
            </w:r>
          </w:p>
        </w:tc>
        <w:tc>
          <w:tcPr>
            <w:tcW w:w="727" w:type="dxa"/>
            <w:tcBorders>
              <w:bottom w:val="single" w:sz="4" w:space="0" w:color="auto"/>
            </w:tcBorders>
            <w:shd w:val="clear" w:color="auto" w:fill="auto"/>
            <w:noWrap/>
            <w:vAlign w:val="bottom"/>
            <w:hideMark/>
          </w:tcPr>
          <w:p w14:paraId="5206D456" w14:textId="77777777" w:rsidR="00827B00" w:rsidRPr="0020638D" w:rsidRDefault="00827B00" w:rsidP="003B7808">
            <w:pPr>
              <w:pStyle w:val="Bezriadkovania"/>
              <w:jc w:val="center"/>
              <w:rPr>
                <w:rFonts w:ascii="Arial Narrow" w:eastAsia="Times New Roman" w:hAnsi="Arial Narrow" w:cs="Calibri"/>
                <w:b/>
                <w:color w:val="000000"/>
                <w:sz w:val="18"/>
                <w:lang w:eastAsia="sk-SK"/>
              </w:rPr>
            </w:pPr>
            <w:r w:rsidRPr="0020638D">
              <w:rPr>
                <w:rFonts w:ascii="Arial Narrow" w:eastAsia="Times New Roman" w:hAnsi="Arial Narrow" w:cs="Calibri"/>
                <w:b/>
                <w:color w:val="000000"/>
                <w:sz w:val="18"/>
                <w:lang w:eastAsia="sk-SK"/>
              </w:rPr>
              <w:t>2 045,8</w:t>
            </w:r>
          </w:p>
        </w:tc>
        <w:tc>
          <w:tcPr>
            <w:tcW w:w="1037" w:type="dxa"/>
            <w:tcBorders>
              <w:bottom w:val="single" w:sz="4" w:space="0" w:color="auto"/>
            </w:tcBorders>
            <w:shd w:val="clear" w:color="auto" w:fill="auto"/>
            <w:noWrap/>
            <w:vAlign w:val="bottom"/>
            <w:hideMark/>
          </w:tcPr>
          <w:p w14:paraId="6B0CD1DD" w14:textId="77777777" w:rsidR="00827B00" w:rsidRPr="0020638D" w:rsidRDefault="00827B00" w:rsidP="003B7808">
            <w:pPr>
              <w:pStyle w:val="Bezriadkovania"/>
              <w:jc w:val="center"/>
              <w:rPr>
                <w:rFonts w:ascii="Arial Narrow" w:eastAsia="Times New Roman" w:hAnsi="Arial Narrow" w:cs="Calibri"/>
                <w:b/>
                <w:color w:val="000000"/>
                <w:sz w:val="18"/>
                <w:lang w:eastAsia="sk-SK"/>
              </w:rPr>
            </w:pPr>
            <w:r w:rsidRPr="0020638D">
              <w:rPr>
                <w:rFonts w:ascii="Arial Narrow" w:eastAsia="Times New Roman" w:hAnsi="Arial Narrow" w:cs="Calibri"/>
                <w:b/>
                <w:color w:val="000000"/>
                <w:sz w:val="18"/>
                <w:lang w:eastAsia="sk-SK"/>
              </w:rPr>
              <w:t>2 421,1</w:t>
            </w:r>
          </w:p>
        </w:tc>
        <w:tc>
          <w:tcPr>
            <w:tcW w:w="1007" w:type="dxa"/>
            <w:tcBorders>
              <w:bottom w:val="single" w:sz="4" w:space="0" w:color="auto"/>
            </w:tcBorders>
            <w:shd w:val="clear" w:color="auto" w:fill="auto"/>
            <w:noWrap/>
            <w:vAlign w:val="bottom"/>
            <w:hideMark/>
          </w:tcPr>
          <w:p w14:paraId="65DBF754" w14:textId="77777777" w:rsidR="00827B00" w:rsidRPr="0020638D" w:rsidRDefault="00827B00" w:rsidP="003B7808">
            <w:pPr>
              <w:pStyle w:val="Bezriadkovania"/>
              <w:jc w:val="center"/>
              <w:rPr>
                <w:rFonts w:ascii="Arial Narrow" w:eastAsia="Times New Roman" w:hAnsi="Arial Narrow" w:cs="Calibri"/>
                <w:b/>
                <w:color w:val="000000"/>
                <w:sz w:val="18"/>
                <w:lang w:eastAsia="sk-SK"/>
              </w:rPr>
            </w:pPr>
            <w:r w:rsidRPr="0020638D">
              <w:rPr>
                <w:rFonts w:ascii="Arial Narrow" w:eastAsia="Times New Roman" w:hAnsi="Arial Narrow" w:cs="Calibri"/>
                <w:b/>
                <w:color w:val="000000"/>
                <w:sz w:val="18"/>
                <w:lang w:eastAsia="sk-SK"/>
              </w:rPr>
              <w:t>2 920,0</w:t>
            </w:r>
          </w:p>
        </w:tc>
        <w:tc>
          <w:tcPr>
            <w:tcW w:w="1377" w:type="dxa"/>
            <w:tcBorders>
              <w:bottom w:val="single" w:sz="4" w:space="0" w:color="auto"/>
            </w:tcBorders>
            <w:shd w:val="clear" w:color="auto" w:fill="auto"/>
            <w:noWrap/>
            <w:vAlign w:val="bottom"/>
            <w:hideMark/>
          </w:tcPr>
          <w:p w14:paraId="42AC4F05" w14:textId="77777777" w:rsidR="00827B00" w:rsidRPr="0020638D" w:rsidRDefault="00827B00" w:rsidP="003B7808">
            <w:pPr>
              <w:pStyle w:val="Bezriadkovania"/>
              <w:jc w:val="center"/>
              <w:rPr>
                <w:rFonts w:ascii="Arial Narrow" w:eastAsia="Times New Roman" w:hAnsi="Arial Narrow" w:cs="Calibri"/>
                <w:b/>
                <w:color w:val="000000"/>
                <w:sz w:val="18"/>
                <w:lang w:eastAsia="sk-SK"/>
              </w:rPr>
            </w:pPr>
            <w:r w:rsidRPr="0020638D">
              <w:rPr>
                <w:rFonts w:ascii="Arial Narrow" w:eastAsia="Times New Roman" w:hAnsi="Arial Narrow" w:cs="Calibri"/>
                <w:b/>
                <w:color w:val="000000"/>
                <w:sz w:val="18"/>
                <w:lang w:eastAsia="sk-SK"/>
              </w:rPr>
              <w:t>66,3</w:t>
            </w:r>
          </w:p>
        </w:tc>
      </w:tr>
      <w:tr w:rsidR="00827B00" w:rsidRPr="0020638D" w14:paraId="379553B8" w14:textId="77777777" w:rsidTr="003B7808">
        <w:trPr>
          <w:trHeight w:val="315"/>
        </w:trPr>
        <w:tc>
          <w:tcPr>
            <w:tcW w:w="966" w:type="dxa"/>
            <w:tcBorders>
              <w:top w:val="single" w:sz="4" w:space="0" w:color="auto"/>
            </w:tcBorders>
          </w:tcPr>
          <w:p w14:paraId="75D6AA47" w14:textId="77777777" w:rsidR="00827B00" w:rsidRPr="0020638D" w:rsidRDefault="00827B00" w:rsidP="003B7808">
            <w:pPr>
              <w:pStyle w:val="Bezriadkovania"/>
              <w:rPr>
                <w:rFonts w:ascii="Arial Narrow" w:eastAsia="Times New Roman" w:hAnsi="Arial Narrow" w:cs="Calibri"/>
                <w:i/>
                <w:color w:val="000000"/>
                <w:sz w:val="16"/>
                <w:lang w:eastAsia="sk-SK"/>
              </w:rPr>
            </w:pPr>
          </w:p>
        </w:tc>
        <w:tc>
          <w:tcPr>
            <w:tcW w:w="8246" w:type="dxa"/>
            <w:gridSpan w:val="9"/>
            <w:tcBorders>
              <w:top w:val="single" w:sz="4" w:space="0" w:color="auto"/>
            </w:tcBorders>
            <w:shd w:val="clear" w:color="auto" w:fill="auto"/>
            <w:noWrap/>
            <w:vAlign w:val="bottom"/>
          </w:tcPr>
          <w:p w14:paraId="474F4CE5" w14:textId="77777777" w:rsidR="00827B00" w:rsidRPr="0020638D" w:rsidRDefault="00827B00" w:rsidP="003B7808">
            <w:pPr>
              <w:pStyle w:val="Bezriadkovania"/>
              <w:rPr>
                <w:rFonts w:ascii="Arial Narrow" w:eastAsia="Times New Roman" w:hAnsi="Arial Narrow" w:cs="Calibri"/>
                <w:i/>
                <w:iCs/>
                <w:color w:val="000000"/>
                <w:sz w:val="16"/>
                <w:szCs w:val="16"/>
                <w:lang w:eastAsia="sk-SK"/>
              </w:rPr>
            </w:pPr>
            <w:r w:rsidRPr="0020638D">
              <w:rPr>
                <w:rFonts w:ascii="Arial Narrow" w:eastAsia="Times New Roman" w:hAnsi="Arial Narrow" w:cs="Calibri"/>
                <w:i/>
                <w:color w:val="000000"/>
                <w:sz w:val="16"/>
                <w:lang w:eastAsia="sk-SK"/>
              </w:rPr>
              <w:t xml:space="preserve">Zdroj: prepočty IVP </w:t>
            </w:r>
            <w:r w:rsidRPr="0020638D">
              <w:rPr>
                <w:rFonts w:ascii="Arial Narrow" w:eastAsia="Times New Roman" w:hAnsi="Arial Narrow" w:cs="Calibri"/>
                <w:i/>
                <w:iCs/>
                <w:color w:val="000000"/>
                <w:sz w:val="16"/>
                <w:szCs w:val="16"/>
                <w:lang w:eastAsia="sk-SK"/>
              </w:rPr>
              <w:t>na základe údajov CVTI SR (2016, 2017), MF SR (2017) a RIS MŠVVŠ SR (2016, 2017)</w:t>
            </w:r>
            <w:r w:rsidRPr="0020638D">
              <w:rPr>
                <w:rFonts w:ascii="Arial Narrow" w:eastAsia="Times New Roman" w:hAnsi="Arial Narrow" w:cs="Calibri"/>
                <w:i/>
                <w:iCs/>
                <w:color w:val="000000"/>
                <w:sz w:val="16"/>
                <w:szCs w:val="16"/>
                <w:lang w:eastAsia="sk-SK"/>
              </w:rPr>
              <w:br/>
              <w:t>Zahŕňa iba obce, ktoré zriaďujú MŠ a zároveň v nich nie sú MŠ iného zriaďovateľa. Príjmy na dieťa vypočítané na základe počtu detí, z ktorého sa počítal príjem. Výdavky na dieťa sú vypočítané na základe reálneho prepočítaného počtu detí v MŠ. Vylúčené obce, pri ktorých sú výdavky na dieťa vyššie ako 5 000 EUR alebo nižšie ako 1 000 EUR.</w:t>
            </w:r>
          </w:p>
          <w:p w14:paraId="4845C4A2" w14:textId="77777777" w:rsidR="00827B00" w:rsidRPr="0020638D" w:rsidRDefault="00827B00" w:rsidP="003B7808">
            <w:pPr>
              <w:pStyle w:val="Bezriadkovania"/>
              <w:rPr>
                <w:rFonts w:ascii="Arial Narrow" w:hAnsi="Arial Narrow"/>
              </w:rPr>
            </w:pPr>
            <w:r w:rsidRPr="0020638D">
              <w:rPr>
                <w:rFonts w:ascii="Arial Narrow" w:eastAsia="Times New Roman" w:hAnsi="Arial Narrow" w:cs="Calibri"/>
                <w:i/>
                <w:iCs/>
                <w:color w:val="000000"/>
                <w:sz w:val="16"/>
                <w:szCs w:val="16"/>
                <w:lang w:eastAsia="sk-SK"/>
              </w:rPr>
              <w:t>Medián je hodnota, pod ktorou sa nachádza 50 % pozorovaní. 75. percentil je hodnota, pod ktorou sa nachádza 75 % pozorovaní. 90. percentil je hodnota, pod ktorou sa nachádza 90 % pozorovaní.</w:t>
            </w:r>
          </w:p>
        </w:tc>
      </w:tr>
    </w:tbl>
    <w:p w14:paraId="76B97DA7" w14:textId="77777777" w:rsidR="00827B00" w:rsidRPr="00A66CF4" w:rsidRDefault="00827B00" w:rsidP="00827B00">
      <w:pPr>
        <w:spacing w:after="0" w:line="240" w:lineRule="auto"/>
        <w:rPr>
          <w:b/>
          <w:sz w:val="20"/>
        </w:rPr>
      </w:pPr>
    </w:p>
    <w:p w14:paraId="45165845" w14:textId="77777777" w:rsidR="00827B00" w:rsidRPr="00A66CF4" w:rsidRDefault="00827B00" w:rsidP="00827B00">
      <w:pPr>
        <w:spacing w:after="0" w:line="240" w:lineRule="auto"/>
        <w:rPr>
          <w:b/>
          <w:sz w:val="20"/>
        </w:rPr>
      </w:pPr>
      <w:r w:rsidRPr="00A66CF4">
        <w:rPr>
          <w:b/>
          <w:sz w:val="20"/>
        </w:rPr>
        <w:t xml:space="preserve">Tabuľka P </w:t>
      </w:r>
      <w:r w:rsidRPr="00A66CF4">
        <w:rPr>
          <w:b/>
          <w:sz w:val="20"/>
        </w:rPr>
        <w:fldChar w:fldCharType="begin"/>
      </w:r>
      <w:r w:rsidRPr="00A66CF4">
        <w:rPr>
          <w:b/>
          <w:sz w:val="20"/>
        </w:rPr>
        <w:instrText xml:space="preserve"> SEQ Tabuľka_P \* ARABIC </w:instrText>
      </w:r>
      <w:r w:rsidRPr="00A66CF4">
        <w:rPr>
          <w:b/>
          <w:sz w:val="20"/>
        </w:rPr>
        <w:fldChar w:fldCharType="separate"/>
      </w:r>
      <w:r w:rsidR="00FA29AF">
        <w:rPr>
          <w:b/>
          <w:noProof/>
          <w:sz w:val="20"/>
        </w:rPr>
        <w:t>9</w:t>
      </w:r>
      <w:r w:rsidRPr="00A66CF4">
        <w:rPr>
          <w:b/>
          <w:sz w:val="20"/>
        </w:rPr>
        <w:fldChar w:fldCharType="end"/>
      </w:r>
      <w:r w:rsidRPr="00A66CF4">
        <w:rPr>
          <w:b/>
          <w:sz w:val="20"/>
        </w:rPr>
        <w:t xml:space="preserve"> : Štruktúra rozdielov medzi príjmami a výdavkami na deti v MŠ</w:t>
      </w:r>
    </w:p>
    <w:tbl>
      <w:tblPr>
        <w:tblpPr w:leftFromText="141" w:rightFromText="141" w:vertAnchor="text" w:horzAnchor="margin" w:tblpY="33"/>
        <w:tblW w:w="8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34"/>
        <w:gridCol w:w="1060"/>
        <w:gridCol w:w="980"/>
        <w:gridCol w:w="1040"/>
        <w:gridCol w:w="2323"/>
      </w:tblGrid>
      <w:tr w:rsidR="00827B00" w:rsidRPr="0020638D" w14:paraId="063BB45F" w14:textId="77777777" w:rsidTr="003B7808">
        <w:trPr>
          <w:trHeight w:val="300"/>
        </w:trPr>
        <w:tc>
          <w:tcPr>
            <w:tcW w:w="3534" w:type="dxa"/>
            <w:tcBorders>
              <w:top w:val="single" w:sz="4" w:space="0" w:color="auto"/>
              <w:left w:val="nil"/>
              <w:bottom w:val="nil"/>
              <w:right w:val="nil"/>
            </w:tcBorders>
            <w:shd w:val="clear" w:color="auto" w:fill="auto"/>
            <w:noWrap/>
            <w:vAlign w:val="bottom"/>
            <w:hideMark/>
          </w:tcPr>
          <w:p w14:paraId="0545186D" w14:textId="77777777" w:rsidR="00827B00" w:rsidRPr="00637A95" w:rsidRDefault="00827B00" w:rsidP="003B7808">
            <w:pPr>
              <w:pStyle w:val="Bezriadkovania"/>
              <w:rPr>
                <w:rFonts w:ascii="Arial Narrow" w:eastAsia="Times New Roman" w:hAnsi="Arial Narrow" w:cs="Calibri"/>
                <w:b/>
                <w:bCs/>
                <w:color w:val="000000"/>
                <w:sz w:val="20"/>
                <w:szCs w:val="20"/>
                <w:lang w:eastAsia="sk-SK"/>
              </w:rPr>
            </w:pPr>
            <w:r w:rsidRPr="00637A95">
              <w:rPr>
                <w:rFonts w:ascii="Arial Narrow" w:eastAsia="Times New Roman" w:hAnsi="Arial Narrow" w:cs="Calibri"/>
                <w:b/>
                <w:bCs/>
                <w:color w:val="000000"/>
                <w:sz w:val="20"/>
                <w:szCs w:val="20"/>
                <w:lang w:eastAsia="sk-SK"/>
              </w:rPr>
              <w:t>Príjmy na dieťa sú oproti výdavkom na dieťa:</w:t>
            </w:r>
          </w:p>
        </w:tc>
        <w:tc>
          <w:tcPr>
            <w:tcW w:w="1060" w:type="dxa"/>
            <w:vMerge w:val="restart"/>
            <w:tcBorders>
              <w:top w:val="single" w:sz="4" w:space="0" w:color="auto"/>
              <w:left w:val="nil"/>
              <w:bottom w:val="single" w:sz="4" w:space="0" w:color="auto"/>
              <w:right w:val="nil"/>
            </w:tcBorders>
            <w:shd w:val="clear" w:color="auto" w:fill="auto"/>
            <w:vAlign w:val="bottom"/>
            <w:hideMark/>
          </w:tcPr>
          <w:p w14:paraId="46C6BA68" w14:textId="77777777" w:rsidR="00827B00" w:rsidRPr="00637A95" w:rsidRDefault="00827B00" w:rsidP="003B7808">
            <w:pPr>
              <w:pStyle w:val="Bezriadkovania"/>
              <w:jc w:val="center"/>
              <w:rPr>
                <w:rFonts w:ascii="Arial Narrow" w:eastAsia="Times New Roman" w:hAnsi="Arial Narrow" w:cs="Calibri"/>
                <w:b/>
                <w:bCs/>
                <w:color w:val="000000"/>
                <w:sz w:val="20"/>
                <w:szCs w:val="20"/>
                <w:lang w:eastAsia="sk-SK"/>
              </w:rPr>
            </w:pPr>
            <w:r w:rsidRPr="00637A95">
              <w:rPr>
                <w:rFonts w:ascii="Arial Narrow" w:eastAsia="Times New Roman" w:hAnsi="Arial Narrow" w:cs="Calibri"/>
                <w:b/>
                <w:bCs/>
                <w:color w:val="000000"/>
                <w:sz w:val="20"/>
                <w:szCs w:val="20"/>
                <w:lang w:eastAsia="sk-SK"/>
              </w:rPr>
              <w:t>Počet obcí</w:t>
            </w:r>
          </w:p>
        </w:tc>
        <w:tc>
          <w:tcPr>
            <w:tcW w:w="980" w:type="dxa"/>
            <w:vMerge w:val="restart"/>
            <w:tcBorders>
              <w:top w:val="single" w:sz="4" w:space="0" w:color="auto"/>
              <w:left w:val="nil"/>
              <w:bottom w:val="single" w:sz="4" w:space="0" w:color="auto"/>
              <w:right w:val="nil"/>
            </w:tcBorders>
            <w:shd w:val="clear" w:color="auto" w:fill="auto"/>
            <w:noWrap/>
            <w:vAlign w:val="bottom"/>
            <w:hideMark/>
          </w:tcPr>
          <w:p w14:paraId="50E9F315" w14:textId="77777777" w:rsidR="00827B00" w:rsidRPr="00637A95" w:rsidRDefault="00827B00" w:rsidP="003B7808">
            <w:pPr>
              <w:pStyle w:val="Bezriadkovania"/>
              <w:jc w:val="center"/>
              <w:rPr>
                <w:rFonts w:ascii="Arial Narrow" w:eastAsia="Times New Roman" w:hAnsi="Arial Narrow" w:cs="Calibri"/>
                <w:b/>
                <w:bCs/>
                <w:color w:val="000000"/>
                <w:sz w:val="20"/>
                <w:szCs w:val="20"/>
                <w:lang w:eastAsia="sk-SK"/>
              </w:rPr>
            </w:pPr>
            <w:r w:rsidRPr="00637A95">
              <w:rPr>
                <w:rFonts w:ascii="Arial Narrow" w:eastAsia="Times New Roman" w:hAnsi="Arial Narrow" w:cs="Calibri"/>
                <w:b/>
                <w:bCs/>
                <w:color w:val="000000"/>
                <w:sz w:val="20"/>
                <w:szCs w:val="20"/>
                <w:lang w:eastAsia="sk-SK"/>
              </w:rPr>
              <w:t>Počet MŠ</w:t>
            </w:r>
          </w:p>
        </w:tc>
        <w:tc>
          <w:tcPr>
            <w:tcW w:w="1040" w:type="dxa"/>
            <w:vMerge w:val="restart"/>
            <w:tcBorders>
              <w:top w:val="single" w:sz="4" w:space="0" w:color="auto"/>
              <w:left w:val="nil"/>
              <w:bottom w:val="single" w:sz="4" w:space="0" w:color="auto"/>
              <w:right w:val="nil"/>
            </w:tcBorders>
            <w:shd w:val="clear" w:color="auto" w:fill="auto"/>
            <w:vAlign w:val="bottom"/>
            <w:hideMark/>
          </w:tcPr>
          <w:p w14:paraId="3A1F5B86" w14:textId="77777777" w:rsidR="00827B00" w:rsidRPr="00637A95" w:rsidRDefault="00827B00" w:rsidP="003B7808">
            <w:pPr>
              <w:pStyle w:val="Bezriadkovania"/>
              <w:jc w:val="center"/>
              <w:rPr>
                <w:rFonts w:ascii="Arial Narrow" w:eastAsia="Times New Roman" w:hAnsi="Arial Narrow" w:cs="Calibri"/>
                <w:b/>
                <w:bCs/>
                <w:color w:val="000000"/>
                <w:sz w:val="20"/>
                <w:szCs w:val="20"/>
                <w:lang w:eastAsia="sk-SK"/>
              </w:rPr>
            </w:pPr>
            <w:r w:rsidRPr="00637A95">
              <w:rPr>
                <w:rFonts w:ascii="Arial Narrow" w:eastAsia="Times New Roman" w:hAnsi="Arial Narrow" w:cs="Calibri"/>
                <w:b/>
                <w:bCs/>
                <w:color w:val="000000"/>
                <w:sz w:val="20"/>
                <w:szCs w:val="20"/>
                <w:lang w:eastAsia="sk-SK"/>
              </w:rPr>
              <w:t>Počet detí v MŠ</w:t>
            </w:r>
          </w:p>
        </w:tc>
        <w:tc>
          <w:tcPr>
            <w:tcW w:w="2323" w:type="dxa"/>
            <w:vMerge w:val="restart"/>
            <w:tcBorders>
              <w:top w:val="single" w:sz="4" w:space="0" w:color="auto"/>
              <w:left w:val="nil"/>
              <w:bottom w:val="single" w:sz="4" w:space="0" w:color="auto"/>
              <w:right w:val="nil"/>
            </w:tcBorders>
            <w:shd w:val="clear" w:color="auto" w:fill="auto"/>
            <w:vAlign w:val="bottom"/>
            <w:hideMark/>
          </w:tcPr>
          <w:p w14:paraId="6006F6EC" w14:textId="77777777" w:rsidR="00827B00" w:rsidRPr="00637A95" w:rsidRDefault="00827B00" w:rsidP="003B7808">
            <w:pPr>
              <w:pStyle w:val="Bezriadkovania"/>
              <w:jc w:val="center"/>
              <w:rPr>
                <w:rFonts w:ascii="Arial Narrow" w:eastAsia="Times New Roman" w:hAnsi="Arial Narrow" w:cs="Calibri"/>
                <w:b/>
                <w:bCs/>
                <w:color w:val="000000"/>
                <w:sz w:val="20"/>
                <w:szCs w:val="20"/>
                <w:lang w:eastAsia="sk-SK"/>
              </w:rPr>
            </w:pPr>
            <w:r w:rsidRPr="00637A95">
              <w:rPr>
                <w:rFonts w:ascii="Arial Narrow" w:eastAsia="Times New Roman" w:hAnsi="Arial Narrow" w:cs="Calibri"/>
                <w:b/>
                <w:bCs/>
                <w:color w:val="000000"/>
                <w:sz w:val="20"/>
                <w:szCs w:val="20"/>
                <w:lang w:eastAsia="sk-SK"/>
              </w:rPr>
              <w:t>Rozdiel medzi príjmami a výdavkami (EUR)</w:t>
            </w:r>
          </w:p>
        </w:tc>
      </w:tr>
      <w:tr w:rsidR="00827B00" w:rsidRPr="0020638D" w14:paraId="24E152D4" w14:textId="77777777" w:rsidTr="003B7808">
        <w:trPr>
          <w:trHeight w:val="300"/>
        </w:trPr>
        <w:tc>
          <w:tcPr>
            <w:tcW w:w="3534" w:type="dxa"/>
            <w:tcBorders>
              <w:top w:val="nil"/>
              <w:left w:val="nil"/>
              <w:bottom w:val="single" w:sz="4" w:space="0" w:color="auto"/>
              <w:right w:val="nil"/>
            </w:tcBorders>
            <w:shd w:val="clear" w:color="auto" w:fill="auto"/>
            <w:noWrap/>
            <w:vAlign w:val="bottom"/>
            <w:hideMark/>
          </w:tcPr>
          <w:p w14:paraId="3B8364EC" w14:textId="77777777" w:rsidR="00827B00" w:rsidRPr="00637A95" w:rsidRDefault="00827B00" w:rsidP="003B7808">
            <w:pPr>
              <w:pStyle w:val="Bezriadkovania"/>
              <w:rPr>
                <w:rFonts w:ascii="Arial Narrow" w:eastAsia="Times New Roman" w:hAnsi="Arial Narrow" w:cs="Calibri"/>
                <w:color w:val="000000"/>
                <w:sz w:val="20"/>
                <w:szCs w:val="20"/>
                <w:lang w:eastAsia="sk-SK"/>
              </w:rPr>
            </w:pPr>
            <w:r w:rsidRPr="00637A95">
              <w:rPr>
                <w:rFonts w:ascii="Arial Narrow" w:eastAsia="Times New Roman" w:hAnsi="Arial Narrow" w:cs="Calibri"/>
                <w:color w:val="000000"/>
                <w:sz w:val="20"/>
                <w:szCs w:val="20"/>
                <w:lang w:eastAsia="sk-SK"/>
              </w:rPr>
              <w:t xml:space="preserve">Vyššie o </w:t>
            </w:r>
          </w:p>
        </w:tc>
        <w:tc>
          <w:tcPr>
            <w:tcW w:w="1060" w:type="dxa"/>
            <w:vMerge/>
            <w:tcBorders>
              <w:top w:val="nil"/>
              <w:left w:val="nil"/>
              <w:bottom w:val="single" w:sz="4" w:space="0" w:color="auto"/>
              <w:right w:val="nil"/>
            </w:tcBorders>
            <w:vAlign w:val="center"/>
            <w:hideMark/>
          </w:tcPr>
          <w:p w14:paraId="3AC3855B" w14:textId="77777777" w:rsidR="00827B00" w:rsidRPr="00637A95" w:rsidRDefault="00827B00" w:rsidP="003B7808">
            <w:pPr>
              <w:pStyle w:val="Bezriadkovania"/>
              <w:rPr>
                <w:rFonts w:ascii="Arial Narrow" w:eastAsia="Times New Roman" w:hAnsi="Arial Narrow" w:cs="Calibri"/>
                <w:color w:val="000000"/>
                <w:sz w:val="20"/>
                <w:szCs w:val="20"/>
                <w:lang w:eastAsia="sk-SK"/>
              </w:rPr>
            </w:pPr>
          </w:p>
        </w:tc>
        <w:tc>
          <w:tcPr>
            <w:tcW w:w="980" w:type="dxa"/>
            <w:vMerge/>
            <w:tcBorders>
              <w:top w:val="nil"/>
              <w:left w:val="nil"/>
              <w:bottom w:val="single" w:sz="4" w:space="0" w:color="auto"/>
              <w:right w:val="nil"/>
            </w:tcBorders>
            <w:vAlign w:val="center"/>
            <w:hideMark/>
          </w:tcPr>
          <w:p w14:paraId="79DFC2CE" w14:textId="77777777" w:rsidR="00827B00" w:rsidRPr="00637A95" w:rsidRDefault="00827B00" w:rsidP="003B7808">
            <w:pPr>
              <w:pStyle w:val="Bezriadkovania"/>
              <w:rPr>
                <w:rFonts w:ascii="Arial Narrow" w:eastAsia="Times New Roman" w:hAnsi="Arial Narrow" w:cs="Calibri"/>
                <w:color w:val="000000"/>
                <w:sz w:val="20"/>
                <w:szCs w:val="20"/>
                <w:lang w:eastAsia="sk-SK"/>
              </w:rPr>
            </w:pPr>
          </w:p>
        </w:tc>
        <w:tc>
          <w:tcPr>
            <w:tcW w:w="1040" w:type="dxa"/>
            <w:vMerge/>
            <w:tcBorders>
              <w:top w:val="nil"/>
              <w:left w:val="nil"/>
              <w:bottom w:val="single" w:sz="4" w:space="0" w:color="auto"/>
              <w:right w:val="nil"/>
            </w:tcBorders>
            <w:vAlign w:val="center"/>
            <w:hideMark/>
          </w:tcPr>
          <w:p w14:paraId="1841555F" w14:textId="77777777" w:rsidR="00827B00" w:rsidRPr="00637A95" w:rsidRDefault="00827B00" w:rsidP="003B7808">
            <w:pPr>
              <w:pStyle w:val="Bezriadkovania"/>
              <w:rPr>
                <w:rFonts w:ascii="Arial Narrow" w:eastAsia="Times New Roman" w:hAnsi="Arial Narrow" w:cs="Calibri"/>
                <w:color w:val="000000"/>
                <w:sz w:val="20"/>
                <w:szCs w:val="20"/>
                <w:lang w:eastAsia="sk-SK"/>
              </w:rPr>
            </w:pPr>
          </w:p>
        </w:tc>
        <w:tc>
          <w:tcPr>
            <w:tcW w:w="2323" w:type="dxa"/>
            <w:vMerge/>
            <w:tcBorders>
              <w:top w:val="nil"/>
              <w:left w:val="nil"/>
              <w:bottom w:val="single" w:sz="4" w:space="0" w:color="auto"/>
              <w:right w:val="nil"/>
            </w:tcBorders>
            <w:vAlign w:val="center"/>
            <w:hideMark/>
          </w:tcPr>
          <w:p w14:paraId="1D74CCCB" w14:textId="77777777" w:rsidR="00827B00" w:rsidRPr="00637A95" w:rsidRDefault="00827B00" w:rsidP="003B7808">
            <w:pPr>
              <w:pStyle w:val="Bezriadkovania"/>
              <w:rPr>
                <w:rFonts w:ascii="Arial Narrow" w:eastAsia="Times New Roman" w:hAnsi="Arial Narrow" w:cs="Calibri"/>
                <w:color w:val="000000"/>
                <w:sz w:val="20"/>
                <w:szCs w:val="20"/>
                <w:lang w:eastAsia="sk-SK"/>
              </w:rPr>
            </w:pPr>
          </w:p>
        </w:tc>
      </w:tr>
      <w:tr w:rsidR="00827B00" w:rsidRPr="0020638D" w14:paraId="69159177" w14:textId="77777777" w:rsidTr="003B7808">
        <w:trPr>
          <w:trHeight w:val="300"/>
        </w:trPr>
        <w:tc>
          <w:tcPr>
            <w:tcW w:w="3534" w:type="dxa"/>
            <w:tcBorders>
              <w:top w:val="single" w:sz="4" w:space="0" w:color="auto"/>
              <w:left w:val="nil"/>
              <w:bottom w:val="nil"/>
              <w:right w:val="nil"/>
            </w:tcBorders>
            <w:shd w:val="clear" w:color="auto" w:fill="auto"/>
            <w:noWrap/>
            <w:vAlign w:val="bottom"/>
            <w:hideMark/>
          </w:tcPr>
          <w:p w14:paraId="733342A3" w14:textId="77777777" w:rsidR="00827B00" w:rsidRPr="00637A95" w:rsidRDefault="00827B00" w:rsidP="003B7808">
            <w:pPr>
              <w:pStyle w:val="Bezriadkovania"/>
              <w:rPr>
                <w:rFonts w:ascii="Arial Narrow" w:eastAsia="Times New Roman" w:hAnsi="Arial Narrow" w:cs="Calibri"/>
                <w:color w:val="000000"/>
                <w:sz w:val="20"/>
                <w:szCs w:val="20"/>
                <w:lang w:eastAsia="sk-SK"/>
              </w:rPr>
            </w:pPr>
            <w:r w:rsidRPr="00637A95">
              <w:rPr>
                <w:rFonts w:ascii="Arial Narrow" w:eastAsia="Times New Roman" w:hAnsi="Arial Narrow" w:cs="Calibri"/>
                <w:color w:val="000000"/>
                <w:sz w:val="20"/>
                <w:szCs w:val="20"/>
                <w:lang w:eastAsia="sk-SK"/>
              </w:rPr>
              <w:t>50 a viac percent</w:t>
            </w:r>
          </w:p>
        </w:tc>
        <w:tc>
          <w:tcPr>
            <w:tcW w:w="1060" w:type="dxa"/>
            <w:tcBorders>
              <w:top w:val="single" w:sz="4" w:space="0" w:color="auto"/>
              <w:left w:val="nil"/>
              <w:bottom w:val="nil"/>
              <w:right w:val="nil"/>
            </w:tcBorders>
            <w:shd w:val="clear" w:color="auto" w:fill="auto"/>
            <w:noWrap/>
            <w:vAlign w:val="bottom"/>
            <w:hideMark/>
          </w:tcPr>
          <w:p w14:paraId="10906D31" w14:textId="77777777" w:rsidR="00827B00" w:rsidRPr="00637A95" w:rsidRDefault="00827B00" w:rsidP="003B7808">
            <w:pPr>
              <w:pStyle w:val="Bezriadkovania"/>
              <w:jc w:val="center"/>
              <w:rPr>
                <w:rFonts w:ascii="Arial Narrow" w:eastAsia="Times New Roman" w:hAnsi="Arial Narrow" w:cs="Calibri"/>
                <w:color w:val="000000"/>
                <w:sz w:val="20"/>
                <w:szCs w:val="20"/>
                <w:lang w:eastAsia="sk-SK"/>
              </w:rPr>
            </w:pPr>
            <w:r w:rsidRPr="00637A95">
              <w:rPr>
                <w:rFonts w:ascii="Arial Narrow" w:hAnsi="Arial Narrow" w:cs="Calibri"/>
                <w:color w:val="000000"/>
                <w:sz w:val="20"/>
                <w:szCs w:val="20"/>
              </w:rPr>
              <w:t>259</w:t>
            </w:r>
          </w:p>
        </w:tc>
        <w:tc>
          <w:tcPr>
            <w:tcW w:w="980" w:type="dxa"/>
            <w:tcBorders>
              <w:top w:val="single" w:sz="4" w:space="0" w:color="auto"/>
              <w:left w:val="nil"/>
              <w:bottom w:val="nil"/>
              <w:right w:val="nil"/>
            </w:tcBorders>
            <w:shd w:val="clear" w:color="auto" w:fill="auto"/>
            <w:noWrap/>
            <w:vAlign w:val="bottom"/>
            <w:hideMark/>
          </w:tcPr>
          <w:p w14:paraId="0FB99B97" w14:textId="77777777" w:rsidR="00827B00" w:rsidRPr="00637A95" w:rsidRDefault="00827B00" w:rsidP="003B7808">
            <w:pPr>
              <w:pStyle w:val="Bezriadkovania"/>
              <w:jc w:val="center"/>
              <w:rPr>
                <w:rFonts w:ascii="Arial Narrow" w:eastAsia="Times New Roman" w:hAnsi="Arial Narrow" w:cs="Calibri"/>
                <w:color w:val="000000"/>
                <w:sz w:val="20"/>
                <w:szCs w:val="20"/>
                <w:lang w:eastAsia="sk-SK"/>
              </w:rPr>
            </w:pPr>
            <w:r w:rsidRPr="00637A95">
              <w:rPr>
                <w:rFonts w:ascii="Arial Narrow" w:hAnsi="Arial Narrow" w:cs="Calibri"/>
                <w:color w:val="000000"/>
                <w:sz w:val="20"/>
                <w:szCs w:val="20"/>
              </w:rPr>
              <w:t>341</w:t>
            </w:r>
          </w:p>
        </w:tc>
        <w:tc>
          <w:tcPr>
            <w:tcW w:w="1040" w:type="dxa"/>
            <w:tcBorders>
              <w:top w:val="single" w:sz="4" w:space="0" w:color="auto"/>
              <w:left w:val="nil"/>
              <w:bottom w:val="nil"/>
              <w:right w:val="nil"/>
            </w:tcBorders>
            <w:shd w:val="clear" w:color="auto" w:fill="auto"/>
            <w:noWrap/>
            <w:vAlign w:val="bottom"/>
            <w:hideMark/>
          </w:tcPr>
          <w:p w14:paraId="5E929877" w14:textId="77777777" w:rsidR="00827B00" w:rsidRPr="00637A95" w:rsidRDefault="00827B00" w:rsidP="003B7808">
            <w:pPr>
              <w:pStyle w:val="Bezriadkovania"/>
              <w:jc w:val="center"/>
              <w:rPr>
                <w:rFonts w:ascii="Arial Narrow" w:eastAsia="Times New Roman" w:hAnsi="Arial Narrow" w:cs="Calibri"/>
                <w:color w:val="000000"/>
                <w:sz w:val="20"/>
                <w:szCs w:val="20"/>
                <w:lang w:eastAsia="sk-SK"/>
              </w:rPr>
            </w:pPr>
            <w:r w:rsidRPr="00637A95">
              <w:rPr>
                <w:rFonts w:ascii="Arial Narrow" w:hAnsi="Arial Narrow" w:cs="Calibri"/>
                <w:color w:val="000000"/>
                <w:sz w:val="20"/>
                <w:szCs w:val="20"/>
              </w:rPr>
              <w:t>13 941</w:t>
            </w:r>
          </w:p>
        </w:tc>
        <w:tc>
          <w:tcPr>
            <w:tcW w:w="2323" w:type="dxa"/>
            <w:tcBorders>
              <w:top w:val="single" w:sz="4" w:space="0" w:color="auto"/>
              <w:left w:val="nil"/>
              <w:bottom w:val="nil"/>
              <w:right w:val="nil"/>
            </w:tcBorders>
            <w:shd w:val="clear" w:color="auto" w:fill="auto"/>
            <w:noWrap/>
            <w:vAlign w:val="bottom"/>
            <w:hideMark/>
          </w:tcPr>
          <w:p w14:paraId="38EFF84E" w14:textId="77777777" w:rsidR="00827B00" w:rsidRPr="00637A95" w:rsidRDefault="00827B00" w:rsidP="003B7808">
            <w:pPr>
              <w:pStyle w:val="Bezriadkovania"/>
              <w:jc w:val="center"/>
              <w:rPr>
                <w:rFonts w:ascii="Arial Narrow" w:eastAsia="Times New Roman" w:hAnsi="Arial Narrow" w:cs="Calibri"/>
                <w:color w:val="000000"/>
                <w:sz w:val="20"/>
                <w:szCs w:val="20"/>
                <w:lang w:eastAsia="sk-SK"/>
              </w:rPr>
            </w:pPr>
            <w:r w:rsidRPr="00637A95">
              <w:rPr>
                <w:rFonts w:ascii="Arial Narrow" w:hAnsi="Arial Narrow" w:cs="Calibri"/>
                <w:color w:val="000000"/>
                <w:sz w:val="20"/>
                <w:szCs w:val="20"/>
              </w:rPr>
              <w:t>13 005 262,05</w:t>
            </w:r>
          </w:p>
        </w:tc>
      </w:tr>
      <w:tr w:rsidR="00827B00" w:rsidRPr="0020638D" w14:paraId="6F9AACAD" w14:textId="77777777" w:rsidTr="003B7808">
        <w:trPr>
          <w:trHeight w:val="300"/>
        </w:trPr>
        <w:tc>
          <w:tcPr>
            <w:tcW w:w="3534" w:type="dxa"/>
            <w:tcBorders>
              <w:top w:val="nil"/>
              <w:left w:val="nil"/>
              <w:bottom w:val="nil"/>
              <w:right w:val="nil"/>
            </w:tcBorders>
            <w:shd w:val="clear" w:color="auto" w:fill="auto"/>
            <w:noWrap/>
            <w:vAlign w:val="bottom"/>
            <w:hideMark/>
          </w:tcPr>
          <w:p w14:paraId="7B7A66DB" w14:textId="77777777" w:rsidR="00827B00" w:rsidRPr="00637A95" w:rsidRDefault="00827B00" w:rsidP="003B7808">
            <w:pPr>
              <w:pStyle w:val="Bezriadkovania"/>
              <w:rPr>
                <w:rFonts w:ascii="Arial Narrow" w:eastAsia="Times New Roman" w:hAnsi="Arial Narrow" w:cs="Calibri"/>
                <w:color w:val="000000"/>
                <w:sz w:val="20"/>
                <w:szCs w:val="20"/>
                <w:lang w:eastAsia="sk-SK"/>
              </w:rPr>
            </w:pPr>
            <w:r w:rsidRPr="00637A95">
              <w:rPr>
                <w:rFonts w:ascii="Arial Narrow" w:eastAsia="Times New Roman" w:hAnsi="Arial Narrow" w:cs="Calibri"/>
                <w:color w:val="000000"/>
                <w:sz w:val="20"/>
                <w:szCs w:val="20"/>
                <w:lang w:eastAsia="sk-SK"/>
              </w:rPr>
              <w:t>50 až 40 percent</w:t>
            </w:r>
          </w:p>
        </w:tc>
        <w:tc>
          <w:tcPr>
            <w:tcW w:w="1060" w:type="dxa"/>
            <w:tcBorders>
              <w:top w:val="nil"/>
              <w:left w:val="nil"/>
              <w:bottom w:val="nil"/>
              <w:right w:val="nil"/>
            </w:tcBorders>
            <w:shd w:val="clear" w:color="auto" w:fill="auto"/>
            <w:noWrap/>
            <w:vAlign w:val="bottom"/>
            <w:hideMark/>
          </w:tcPr>
          <w:p w14:paraId="21C8DD97" w14:textId="77777777" w:rsidR="00827B00" w:rsidRPr="00637A95" w:rsidRDefault="00827B00" w:rsidP="003B7808">
            <w:pPr>
              <w:pStyle w:val="Bezriadkovania"/>
              <w:jc w:val="center"/>
              <w:rPr>
                <w:rFonts w:ascii="Arial Narrow" w:eastAsia="Times New Roman" w:hAnsi="Arial Narrow" w:cs="Calibri"/>
                <w:color w:val="000000"/>
                <w:sz w:val="20"/>
                <w:szCs w:val="20"/>
                <w:lang w:eastAsia="sk-SK"/>
              </w:rPr>
            </w:pPr>
            <w:r w:rsidRPr="00637A95">
              <w:rPr>
                <w:rFonts w:ascii="Arial Narrow" w:hAnsi="Arial Narrow" w:cs="Calibri"/>
                <w:color w:val="000000"/>
                <w:sz w:val="20"/>
                <w:szCs w:val="20"/>
              </w:rPr>
              <w:t>134</w:t>
            </w:r>
          </w:p>
        </w:tc>
        <w:tc>
          <w:tcPr>
            <w:tcW w:w="980" w:type="dxa"/>
            <w:tcBorders>
              <w:top w:val="nil"/>
              <w:left w:val="nil"/>
              <w:bottom w:val="nil"/>
              <w:right w:val="nil"/>
            </w:tcBorders>
            <w:shd w:val="clear" w:color="auto" w:fill="auto"/>
            <w:noWrap/>
            <w:vAlign w:val="bottom"/>
            <w:hideMark/>
          </w:tcPr>
          <w:p w14:paraId="31E9B16A" w14:textId="77777777" w:rsidR="00827B00" w:rsidRPr="00637A95" w:rsidRDefault="00827B00" w:rsidP="003B7808">
            <w:pPr>
              <w:pStyle w:val="Bezriadkovania"/>
              <w:jc w:val="center"/>
              <w:rPr>
                <w:rFonts w:ascii="Arial Narrow" w:eastAsia="Times New Roman" w:hAnsi="Arial Narrow" w:cs="Calibri"/>
                <w:color w:val="000000"/>
                <w:sz w:val="20"/>
                <w:szCs w:val="20"/>
                <w:lang w:eastAsia="sk-SK"/>
              </w:rPr>
            </w:pPr>
            <w:r w:rsidRPr="00637A95">
              <w:rPr>
                <w:rFonts w:ascii="Arial Narrow" w:hAnsi="Arial Narrow" w:cs="Calibri"/>
                <w:color w:val="000000"/>
                <w:sz w:val="20"/>
                <w:szCs w:val="20"/>
              </w:rPr>
              <w:t>148</w:t>
            </w:r>
          </w:p>
        </w:tc>
        <w:tc>
          <w:tcPr>
            <w:tcW w:w="1040" w:type="dxa"/>
            <w:tcBorders>
              <w:top w:val="nil"/>
              <w:left w:val="nil"/>
              <w:bottom w:val="nil"/>
              <w:right w:val="nil"/>
            </w:tcBorders>
            <w:shd w:val="clear" w:color="auto" w:fill="auto"/>
            <w:noWrap/>
            <w:vAlign w:val="bottom"/>
            <w:hideMark/>
          </w:tcPr>
          <w:p w14:paraId="6D47F4E4" w14:textId="77777777" w:rsidR="00827B00" w:rsidRPr="00637A95" w:rsidRDefault="00827B00" w:rsidP="003B7808">
            <w:pPr>
              <w:pStyle w:val="Bezriadkovania"/>
              <w:jc w:val="center"/>
              <w:rPr>
                <w:rFonts w:ascii="Arial Narrow" w:eastAsia="Times New Roman" w:hAnsi="Arial Narrow" w:cs="Calibri"/>
                <w:color w:val="000000"/>
                <w:sz w:val="20"/>
                <w:szCs w:val="20"/>
                <w:lang w:eastAsia="sk-SK"/>
              </w:rPr>
            </w:pPr>
            <w:r w:rsidRPr="00637A95">
              <w:rPr>
                <w:rFonts w:ascii="Arial Narrow" w:hAnsi="Arial Narrow" w:cs="Calibri"/>
                <w:color w:val="000000"/>
                <w:sz w:val="20"/>
                <w:szCs w:val="20"/>
              </w:rPr>
              <w:t>6 190</w:t>
            </w:r>
          </w:p>
        </w:tc>
        <w:tc>
          <w:tcPr>
            <w:tcW w:w="2323" w:type="dxa"/>
            <w:tcBorders>
              <w:top w:val="nil"/>
              <w:left w:val="nil"/>
              <w:bottom w:val="nil"/>
              <w:right w:val="nil"/>
            </w:tcBorders>
            <w:shd w:val="clear" w:color="auto" w:fill="auto"/>
            <w:noWrap/>
            <w:vAlign w:val="bottom"/>
            <w:hideMark/>
          </w:tcPr>
          <w:p w14:paraId="7C8AB04E" w14:textId="77777777" w:rsidR="00827B00" w:rsidRPr="00637A95" w:rsidRDefault="00827B00" w:rsidP="003B7808">
            <w:pPr>
              <w:pStyle w:val="Bezriadkovania"/>
              <w:jc w:val="center"/>
              <w:rPr>
                <w:rFonts w:ascii="Arial Narrow" w:eastAsia="Times New Roman" w:hAnsi="Arial Narrow" w:cs="Calibri"/>
                <w:color w:val="000000"/>
                <w:sz w:val="20"/>
                <w:szCs w:val="20"/>
                <w:lang w:eastAsia="sk-SK"/>
              </w:rPr>
            </w:pPr>
            <w:r w:rsidRPr="00637A95">
              <w:rPr>
                <w:rFonts w:ascii="Arial Narrow" w:hAnsi="Arial Narrow" w:cs="Calibri"/>
                <w:color w:val="000000"/>
                <w:sz w:val="20"/>
                <w:szCs w:val="20"/>
              </w:rPr>
              <w:t>4 603 961,01</w:t>
            </w:r>
          </w:p>
        </w:tc>
      </w:tr>
      <w:tr w:rsidR="00827B00" w:rsidRPr="0020638D" w14:paraId="46378905" w14:textId="77777777" w:rsidTr="003B7808">
        <w:trPr>
          <w:trHeight w:val="300"/>
        </w:trPr>
        <w:tc>
          <w:tcPr>
            <w:tcW w:w="3534" w:type="dxa"/>
            <w:tcBorders>
              <w:top w:val="nil"/>
              <w:left w:val="nil"/>
              <w:bottom w:val="nil"/>
              <w:right w:val="nil"/>
            </w:tcBorders>
            <w:shd w:val="clear" w:color="auto" w:fill="auto"/>
            <w:noWrap/>
            <w:vAlign w:val="bottom"/>
            <w:hideMark/>
          </w:tcPr>
          <w:p w14:paraId="1BDF4AEE" w14:textId="77777777" w:rsidR="00827B00" w:rsidRPr="00637A95" w:rsidRDefault="00827B00" w:rsidP="003B7808">
            <w:pPr>
              <w:pStyle w:val="Bezriadkovania"/>
              <w:rPr>
                <w:rFonts w:ascii="Arial Narrow" w:eastAsia="Times New Roman" w:hAnsi="Arial Narrow" w:cs="Calibri"/>
                <w:color w:val="000000"/>
                <w:sz w:val="20"/>
                <w:szCs w:val="20"/>
                <w:lang w:eastAsia="sk-SK"/>
              </w:rPr>
            </w:pPr>
            <w:r w:rsidRPr="00637A95">
              <w:rPr>
                <w:rFonts w:ascii="Arial Narrow" w:eastAsia="Times New Roman" w:hAnsi="Arial Narrow" w:cs="Calibri"/>
                <w:color w:val="000000"/>
                <w:sz w:val="20"/>
                <w:szCs w:val="20"/>
                <w:lang w:eastAsia="sk-SK"/>
              </w:rPr>
              <w:t>40 až 30 percent</w:t>
            </w:r>
          </w:p>
        </w:tc>
        <w:tc>
          <w:tcPr>
            <w:tcW w:w="1060" w:type="dxa"/>
            <w:tcBorders>
              <w:top w:val="nil"/>
              <w:left w:val="nil"/>
              <w:bottom w:val="nil"/>
              <w:right w:val="nil"/>
            </w:tcBorders>
            <w:shd w:val="clear" w:color="auto" w:fill="auto"/>
            <w:noWrap/>
            <w:vAlign w:val="bottom"/>
            <w:hideMark/>
          </w:tcPr>
          <w:p w14:paraId="604A5D75" w14:textId="77777777" w:rsidR="00827B00" w:rsidRPr="00637A95" w:rsidRDefault="00827B00" w:rsidP="003B7808">
            <w:pPr>
              <w:pStyle w:val="Bezriadkovania"/>
              <w:jc w:val="center"/>
              <w:rPr>
                <w:rFonts w:ascii="Arial Narrow" w:eastAsia="Times New Roman" w:hAnsi="Arial Narrow" w:cs="Calibri"/>
                <w:color w:val="000000"/>
                <w:sz w:val="20"/>
                <w:szCs w:val="20"/>
                <w:lang w:eastAsia="sk-SK"/>
              </w:rPr>
            </w:pPr>
            <w:r w:rsidRPr="00637A95">
              <w:rPr>
                <w:rFonts w:ascii="Arial Narrow" w:hAnsi="Arial Narrow" w:cs="Calibri"/>
                <w:color w:val="000000"/>
                <w:sz w:val="20"/>
                <w:szCs w:val="20"/>
              </w:rPr>
              <w:t>206</w:t>
            </w:r>
          </w:p>
        </w:tc>
        <w:tc>
          <w:tcPr>
            <w:tcW w:w="980" w:type="dxa"/>
            <w:tcBorders>
              <w:top w:val="nil"/>
              <w:left w:val="nil"/>
              <w:bottom w:val="nil"/>
              <w:right w:val="nil"/>
            </w:tcBorders>
            <w:shd w:val="clear" w:color="auto" w:fill="auto"/>
            <w:noWrap/>
            <w:vAlign w:val="bottom"/>
            <w:hideMark/>
          </w:tcPr>
          <w:p w14:paraId="1FF038E8" w14:textId="77777777" w:rsidR="00827B00" w:rsidRPr="00637A95" w:rsidRDefault="00827B00" w:rsidP="003B7808">
            <w:pPr>
              <w:pStyle w:val="Bezriadkovania"/>
              <w:jc w:val="center"/>
              <w:rPr>
                <w:rFonts w:ascii="Arial Narrow" w:eastAsia="Times New Roman" w:hAnsi="Arial Narrow" w:cs="Calibri"/>
                <w:color w:val="000000"/>
                <w:sz w:val="20"/>
                <w:szCs w:val="20"/>
                <w:lang w:eastAsia="sk-SK"/>
              </w:rPr>
            </w:pPr>
            <w:r w:rsidRPr="00637A95">
              <w:rPr>
                <w:rFonts w:ascii="Arial Narrow" w:hAnsi="Arial Narrow" w:cs="Calibri"/>
                <w:color w:val="000000"/>
                <w:sz w:val="20"/>
                <w:szCs w:val="20"/>
              </w:rPr>
              <w:t>217</w:t>
            </w:r>
          </w:p>
        </w:tc>
        <w:tc>
          <w:tcPr>
            <w:tcW w:w="1040" w:type="dxa"/>
            <w:tcBorders>
              <w:top w:val="nil"/>
              <w:left w:val="nil"/>
              <w:bottom w:val="nil"/>
              <w:right w:val="nil"/>
            </w:tcBorders>
            <w:shd w:val="clear" w:color="auto" w:fill="auto"/>
            <w:noWrap/>
            <w:vAlign w:val="bottom"/>
            <w:hideMark/>
          </w:tcPr>
          <w:p w14:paraId="5DC3E93B" w14:textId="77777777" w:rsidR="00827B00" w:rsidRPr="00637A95" w:rsidRDefault="00827B00" w:rsidP="003B7808">
            <w:pPr>
              <w:pStyle w:val="Bezriadkovania"/>
              <w:jc w:val="center"/>
              <w:rPr>
                <w:rFonts w:ascii="Arial Narrow" w:eastAsia="Times New Roman" w:hAnsi="Arial Narrow" w:cs="Calibri"/>
                <w:color w:val="000000"/>
                <w:sz w:val="20"/>
                <w:szCs w:val="20"/>
                <w:lang w:eastAsia="sk-SK"/>
              </w:rPr>
            </w:pPr>
            <w:r w:rsidRPr="00637A95">
              <w:rPr>
                <w:rFonts w:ascii="Arial Narrow" w:hAnsi="Arial Narrow" w:cs="Calibri"/>
                <w:color w:val="000000"/>
                <w:sz w:val="20"/>
                <w:szCs w:val="20"/>
              </w:rPr>
              <w:t>9 974</w:t>
            </w:r>
          </w:p>
        </w:tc>
        <w:tc>
          <w:tcPr>
            <w:tcW w:w="2323" w:type="dxa"/>
            <w:tcBorders>
              <w:top w:val="nil"/>
              <w:left w:val="nil"/>
              <w:bottom w:val="nil"/>
              <w:right w:val="nil"/>
            </w:tcBorders>
            <w:shd w:val="clear" w:color="auto" w:fill="auto"/>
            <w:noWrap/>
            <w:vAlign w:val="bottom"/>
            <w:hideMark/>
          </w:tcPr>
          <w:p w14:paraId="3FD76B2E" w14:textId="77777777" w:rsidR="00827B00" w:rsidRPr="00637A95" w:rsidRDefault="00827B00" w:rsidP="003B7808">
            <w:pPr>
              <w:pStyle w:val="Bezriadkovania"/>
              <w:jc w:val="center"/>
              <w:rPr>
                <w:rFonts w:ascii="Arial Narrow" w:eastAsia="Times New Roman" w:hAnsi="Arial Narrow" w:cs="Calibri"/>
                <w:color w:val="000000"/>
                <w:sz w:val="20"/>
                <w:szCs w:val="20"/>
                <w:lang w:eastAsia="sk-SK"/>
              </w:rPr>
            </w:pPr>
            <w:r w:rsidRPr="00637A95">
              <w:rPr>
                <w:rFonts w:ascii="Arial Narrow" w:hAnsi="Arial Narrow" w:cs="Calibri"/>
                <w:color w:val="000000"/>
                <w:sz w:val="20"/>
                <w:szCs w:val="20"/>
              </w:rPr>
              <w:t>6 020 432,75</w:t>
            </w:r>
          </w:p>
        </w:tc>
      </w:tr>
      <w:tr w:rsidR="00827B00" w:rsidRPr="0020638D" w14:paraId="314F50B2" w14:textId="77777777" w:rsidTr="003B7808">
        <w:trPr>
          <w:trHeight w:val="300"/>
        </w:trPr>
        <w:tc>
          <w:tcPr>
            <w:tcW w:w="3534" w:type="dxa"/>
            <w:tcBorders>
              <w:top w:val="nil"/>
              <w:left w:val="nil"/>
              <w:bottom w:val="nil"/>
              <w:right w:val="nil"/>
            </w:tcBorders>
            <w:shd w:val="clear" w:color="auto" w:fill="auto"/>
            <w:noWrap/>
            <w:vAlign w:val="bottom"/>
            <w:hideMark/>
          </w:tcPr>
          <w:p w14:paraId="5B905F54" w14:textId="77777777" w:rsidR="00827B00" w:rsidRPr="00637A95" w:rsidRDefault="00827B00" w:rsidP="003B7808">
            <w:pPr>
              <w:pStyle w:val="Bezriadkovania"/>
              <w:rPr>
                <w:rFonts w:ascii="Arial Narrow" w:eastAsia="Times New Roman" w:hAnsi="Arial Narrow" w:cs="Calibri"/>
                <w:color w:val="000000"/>
                <w:sz w:val="20"/>
                <w:szCs w:val="20"/>
                <w:lang w:eastAsia="sk-SK"/>
              </w:rPr>
            </w:pPr>
            <w:r w:rsidRPr="00637A95">
              <w:rPr>
                <w:rFonts w:ascii="Arial Narrow" w:eastAsia="Times New Roman" w:hAnsi="Arial Narrow" w:cs="Calibri"/>
                <w:color w:val="000000"/>
                <w:sz w:val="20"/>
                <w:szCs w:val="20"/>
                <w:lang w:eastAsia="sk-SK"/>
              </w:rPr>
              <w:t>30 až 20 percent</w:t>
            </w:r>
          </w:p>
        </w:tc>
        <w:tc>
          <w:tcPr>
            <w:tcW w:w="1060" w:type="dxa"/>
            <w:tcBorders>
              <w:top w:val="nil"/>
              <w:left w:val="nil"/>
              <w:bottom w:val="nil"/>
              <w:right w:val="nil"/>
            </w:tcBorders>
            <w:shd w:val="clear" w:color="auto" w:fill="auto"/>
            <w:noWrap/>
            <w:vAlign w:val="bottom"/>
            <w:hideMark/>
          </w:tcPr>
          <w:p w14:paraId="4CA6038A" w14:textId="77777777" w:rsidR="00827B00" w:rsidRPr="00637A95" w:rsidRDefault="00827B00" w:rsidP="003B7808">
            <w:pPr>
              <w:pStyle w:val="Bezriadkovania"/>
              <w:jc w:val="center"/>
              <w:rPr>
                <w:rFonts w:ascii="Arial Narrow" w:eastAsia="Times New Roman" w:hAnsi="Arial Narrow" w:cs="Calibri"/>
                <w:color w:val="000000"/>
                <w:sz w:val="20"/>
                <w:szCs w:val="20"/>
                <w:lang w:eastAsia="sk-SK"/>
              </w:rPr>
            </w:pPr>
            <w:r w:rsidRPr="00637A95">
              <w:rPr>
                <w:rFonts w:ascii="Arial Narrow" w:hAnsi="Arial Narrow" w:cs="Calibri"/>
                <w:color w:val="000000"/>
                <w:sz w:val="20"/>
                <w:szCs w:val="20"/>
              </w:rPr>
              <w:t>287</w:t>
            </w:r>
          </w:p>
        </w:tc>
        <w:tc>
          <w:tcPr>
            <w:tcW w:w="980" w:type="dxa"/>
            <w:tcBorders>
              <w:top w:val="nil"/>
              <w:left w:val="nil"/>
              <w:bottom w:val="nil"/>
              <w:right w:val="nil"/>
            </w:tcBorders>
            <w:shd w:val="clear" w:color="auto" w:fill="auto"/>
            <w:noWrap/>
            <w:vAlign w:val="bottom"/>
            <w:hideMark/>
          </w:tcPr>
          <w:p w14:paraId="17E29FCC" w14:textId="77777777" w:rsidR="00827B00" w:rsidRPr="00637A95" w:rsidRDefault="00827B00" w:rsidP="003B7808">
            <w:pPr>
              <w:pStyle w:val="Bezriadkovania"/>
              <w:jc w:val="center"/>
              <w:rPr>
                <w:rFonts w:ascii="Arial Narrow" w:eastAsia="Times New Roman" w:hAnsi="Arial Narrow" w:cs="Calibri"/>
                <w:color w:val="000000"/>
                <w:sz w:val="20"/>
                <w:szCs w:val="20"/>
                <w:lang w:eastAsia="sk-SK"/>
              </w:rPr>
            </w:pPr>
            <w:r w:rsidRPr="00637A95">
              <w:rPr>
                <w:rFonts w:ascii="Arial Narrow" w:hAnsi="Arial Narrow" w:cs="Calibri"/>
                <w:color w:val="000000"/>
                <w:sz w:val="20"/>
                <w:szCs w:val="20"/>
              </w:rPr>
              <w:t>463</w:t>
            </w:r>
          </w:p>
        </w:tc>
        <w:tc>
          <w:tcPr>
            <w:tcW w:w="1040" w:type="dxa"/>
            <w:tcBorders>
              <w:top w:val="nil"/>
              <w:left w:val="nil"/>
              <w:bottom w:val="nil"/>
              <w:right w:val="nil"/>
            </w:tcBorders>
            <w:shd w:val="clear" w:color="auto" w:fill="auto"/>
            <w:noWrap/>
            <w:vAlign w:val="bottom"/>
            <w:hideMark/>
          </w:tcPr>
          <w:p w14:paraId="6C1926B4" w14:textId="77777777" w:rsidR="00827B00" w:rsidRPr="00637A95" w:rsidRDefault="00827B00" w:rsidP="003B7808">
            <w:pPr>
              <w:pStyle w:val="Bezriadkovania"/>
              <w:jc w:val="center"/>
              <w:rPr>
                <w:rFonts w:ascii="Arial Narrow" w:eastAsia="Times New Roman" w:hAnsi="Arial Narrow" w:cs="Calibri"/>
                <w:color w:val="000000"/>
                <w:sz w:val="20"/>
                <w:szCs w:val="20"/>
                <w:lang w:eastAsia="sk-SK"/>
              </w:rPr>
            </w:pPr>
            <w:r w:rsidRPr="00637A95">
              <w:rPr>
                <w:rFonts w:ascii="Arial Narrow" w:hAnsi="Arial Narrow" w:cs="Calibri"/>
                <w:color w:val="000000"/>
                <w:sz w:val="20"/>
                <w:szCs w:val="20"/>
              </w:rPr>
              <w:t>29 164</w:t>
            </w:r>
          </w:p>
        </w:tc>
        <w:tc>
          <w:tcPr>
            <w:tcW w:w="2323" w:type="dxa"/>
            <w:tcBorders>
              <w:top w:val="nil"/>
              <w:left w:val="nil"/>
              <w:bottom w:val="nil"/>
              <w:right w:val="nil"/>
            </w:tcBorders>
            <w:shd w:val="clear" w:color="auto" w:fill="auto"/>
            <w:noWrap/>
            <w:vAlign w:val="bottom"/>
            <w:hideMark/>
          </w:tcPr>
          <w:p w14:paraId="1BEEC02D" w14:textId="77777777" w:rsidR="00827B00" w:rsidRPr="00637A95" w:rsidRDefault="00827B00" w:rsidP="003B7808">
            <w:pPr>
              <w:pStyle w:val="Bezriadkovania"/>
              <w:jc w:val="center"/>
              <w:rPr>
                <w:rFonts w:ascii="Arial Narrow" w:eastAsia="Times New Roman" w:hAnsi="Arial Narrow" w:cs="Calibri"/>
                <w:color w:val="000000"/>
                <w:sz w:val="20"/>
                <w:szCs w:val="20"/>
                <w:lang w:eastAsia="sk-SK"/>
              </w:rPr>
            </w:pPr>
            <w:r w:rsidRPr="00637A95">
              <w:rPr>
                <w:rFonts w:ascii="Arial Narrow" w:hAnsi="Arial Narrow" w:cs="Calibri"/>
                <w:color w:val="000000"/>
                <w:sz w:val="20"/>
                <w:szCs w:val="20"/>
              </w:rPr>
              <w:t>13 095 735,67</w:t>
            </w:r>
          </w:p>
        </w:tc>
      </w:tr>
      <w:tr w:rsidR="00827B00" w:rsidRPr="0020638D" w14:paraId="7111755B" w14:textId="77777777" w:rsidTr="003B7808">
        <w:trPr>
          <w:trHeight w:val="300"/>
        </w:trPr>
        <w:tc>
          <w:tcPr>
            <w:tcW w:w="3534" w:type="dxa"/>
            <w:tcBorders>
              <w:top w:val="nil"/>
              <w:left w:val="nil"/>
              <w:bottom w:val="nil"/>
              <w:right w:val="nil"/>
            </w:tcBorders>
            <w:shd w:val="clear" w:color="auto" w:fill="auto"/>
            <w:noWrap/>
            <w:vAlign w:val="bottom"/>
            <w:hideMark/>
          </w:tcPr>
          <w:p w14:paraId="4AD7880B" w14:textId="77777777" w:rsidR="00827B00" w:rsidRPr="00637A95" w:rsidRDefault="00827B00" w:rsidP="003B7808">
            <w:pPr>
              <w:pStyle w:val="Bezriadkovania"/>
              <w:rPr>
                <w:rFonts w:ascii="Arial Narrow" w:eastAsia="Times New Roman" w:hAnsi="Arial Narrow" w:cs="Calibri"/>
                <w:color w:val="000000"/>
                <w:sz w:val="20"/>
                <w:szCs w:val="20"/>
                <w:lang w:eastAsia="sk-SK"/>
              </w:rPr>
            </w:pPr>
            <w:r w:rsidRPr="00637A95">
              <w:rPr>
                <w:rFonts w:ascii="Arial Narrow" w:eastAsia="Times New Roman" w:hAnsi="Arial Narrow" w:cs="Calibri"/>
                <w:color w:val="000000"/>
                <w:sz w:val="20"/>
                <w:szCs w:val="20"/>
                <w:lang w:eastAsia="sk-SK"/>
              </w:rPr>
              <w:t>20 až 10 percent</w:t>
            </w:r>
          </w:p>
        </w:tc>
        <w:tc>
          <w:tcPr>
            <w:tcW w:w="1060" w:type="dxa"/>
            <w:tcBorders>
              <w:top w:val="nil"/>
              <w:left w:val="nil"/>
              <w:bottom w:val="nil"/>
              <w:right w:val="nil"/>
            </w:tcBorders>
            <w:shd w:val="clear" w:color="auto" w:fill="auto"/>
            <w:noWrap/>
            <w:vAlign w:val="bottom"/>
            <w:hideMark/>
          </w:tcPr>
          <w:p w14:paraId="498ADD7F" w14:textId="77777777" w:rsidR="00827B00" w:rsidRPr="00637A95" w:rsidRDefault="00827B00" w:rsidP="003B7808">
            <w:pPr>
              <w:pStyle w:val="Bezriadkovania"/>
              <w:jc w:val="center"/>
              <w:rPr>
                <w:rFonts w:ascii="Arial Narrow" w:eastAsia="Times New Roman" w:hAnsi="Arial Narrow" w:cs="Calibri"/>
                <w:color w:val="000000"/>
                <w:sz w:val="20"/>
                <w:szCs w:val="20"/>
                <w:lang w:eastAsia="sk-SK"/>
              </w:rPr>
            </w:pPr>
            <w:r w:rsidRPr="00637A95">
              <w:rPr>
                <w:rFonts w:ascii="Arial Narrow" w:hAnsi="Arial Narrow" w:cs="Calibri"/>
                <w:color w:val="000000"/>
                <w:sz w:val="20"/>
                <w:szCs w:val="20"/>
              </w:rPr>
              <w:t>280</w:t>
            </w:r>
          </w:p>
        </w:tc>
        <w:tc>
          <w:tcPr>
            <w:tcW w:w="980" w:type="dxa"/>
            <w:tcBorders>
              <w:top w:val="nil"/>
              <w:left w:val="nil"/>
              <w:bottom w:val="nil"/>
              <w:right w:val="nil"/>
            </w:tcBorders>
            <w:shd w:val="clear" w:color="auto" w:fill="auto"/>
            <w:noWrap/>
            <w:vAlign w:val="bottom"/>
            <w:hideMark/>
          </w:tcPr>
          <w:p w14:paraId="6F602042" w14:textId="77777777" w:rsidR="00827B00" w:rsidRPr="00637A95" w:rsidRDefault="00827B00" w:rsidP="003B7808">
            <w:pPr>
              <w:pStyle w:val="Bezriadkovania"/>
              <w:jc w:val="center"/>
              <w:rPr>
                <w:rFonts w:ascii="Arial Narrow" w:eastAsia="Times New Roman" w:hAnsi="Arial Narrow" w:cs="Calibri"/>
                <w:color w:val="000000"/>
                <w:sz w:val="20"/>
                <w:szCs w:val="20"/>
                <w:lang w:eastAsia="sk-SK"/>
              </w:rPr>
            </w:pPr>
            <w:r w:rsidRPr="00637A95">
              <w:rPr>
                <w:rFonts w:ascii="Arial Narrow" w:hAnsi="Arial Narrow" w:cs="Calibri"/>
                <w:color w:val="000000"/>
                <w:sz w:val="20"/>
                <w:szCs w:val="20"/>
              </w:rPr>
              <w:t>440</w:t>
            </w:r>
          </w:p>
        </w:tc>
        <w:tc>
          <w:tcPr>
            <w:tcW w:w="1040" w:type="dxa"/>
            <w:tcBorders>
              <w:top w:val="nil"/>
              <w:left w:val="nil"/>
              <w:bottom w:val="nil"/>
              <w:right w:val="nil"/>
            </w:tcBorders>
            <w:shd w:val="clear" w:color="auto" w:fill="auto"/>
            <w:noWrap/>
            <w:vAlign w:val="bottom"/>
            <w:hideMark/>
          </w:tcPr>
          <w:p w14:paraId="55C27CFC" w14:textId="77777777" w:rsidR="00827B00" w:rsidRPr="00637A95" w:rsidRDefault="00827B00" w:rsidP="003B7808">
            <w:pPr>
              <w:pStyle w:val="Bezriadkovania"/>
              <w:jc w:val="center"/>
              <w:rPr>
                <w:rFonts w:ascii="Arial Narrow" w:eastAsia="Times New Roman" w:hAnsi="Arial Narrow" w:cs="Calibri"/>
                <w:color w:val="000000"/>
                <w:sz w:val="20"/>
                <w:szCs w:val="20"/>
                <w:lang w:eastAsia="sk-SK"/>
              </w:rPr>
            </w:pPr>
            <w:r w:rsidRPr="00637A95">
              <w:rPr>
                <w:rFonts w:ascii="Arial Narrow" w:hAnsi="Arial Narrow" w:cs="Calibri"/>
                <w:color w:val="000000"/>
                <w:sz w:val="20"/>
                <w:szCs w:val="20"/>
              </w:rPr>
              <w:t>26 644</w:t>
            </w:r>
          </w:p>
        </w:tc>
        <w:tc>
          <w:tcPr>
            <w:tcW w:w="2323" w:type="dxa"/>
            <w:tcBorders>
              <w:top w:val="nil"/>
              <w:left w:val="nil"/>
              <w:bottom w:val="nil"/>
              <w:right w:val="nil"/>
            </w:tcBorders>
            <w:shd w:val="clear" w:color="auto" w:fill="auto"/>
            <w:noWrap/>
            <w:vAlign w:val="bottom"/>
            <w:hideMark/>
          </w:tcPr>
          <w:p w14:paraId="2141B6E0" w14:textId="77777777" w:rsidR="00827B00" w:rsidRPr="00637A95" w:rsidRDefault="00827B00" w:rsidP="003B7808">
            <w:pPr>
              <w:pStyle w:val="Bezriadkovania"/>
              <w:jc w:val="center"/>
              <w:rPr>
                <w:rFonts w:ascii="Arial Narrow" w:eastAsia="Times New Roman" w:hAnsi="Arial Narrow" w:cs="Calibri"/>
                <w:color w:val="000000"/>
                <w:sz w:val="20"/>
                <w:szCs w:val="20"/>
                <w:lang w:eastAsia="sk-SK"/>
              </w:rPr>
            </w:pPr>
            <w:r w:rsidRPr="00637A95">
              <w:rPr>
                <w:rFonts w:ascii="Arial Narrow" w:hAnsi="Arial Narrow" w:cs="Calibri"/>
                <w:color w:val="000000"/>
                <w:sz w:val="20"/>
                <w:szCs w:val="20"/>
              </w:rPr>
              <w:t>7 597 258,54</w:t>
            </w:r>
          </w:p>
        </w:tc>
      </w:tr>
      <w:tr w:rsidR="00827B00" w:rsidRPr="0020638D" w14:paraId="31BF1898" w14:textId="77777777" w:rsidTr="003B7808">
        <w:trPr>
          <w:trHeight w:val="300"/>
        </w:trPr>
        <w:tc>
          <w:tcPr>
            <w:tcW w:w="3534" w:type="dxa"/>
            <w:tcBorders>
              <w:top w:val="nil"/>
              <w:left w:val="nil"/>
              <w:bottom w:val="nil"/>
              <w:right w:val="nil"/>
            </w:tcBorders>
            <w:shd w:val="clear" w:color="auto" w:fill="auto"/>
            <w:noWrap/>
            <w:vAlign w:val="bottom"/>
            <w:hideMark/>
          </w:tcPr>
          <w:p w14:paraId="45D016EC" w14:textId="77777777" w:rsidR="00827B00" w:rsidRPr="00637A95" w:rsidRDefault="00827B00" w:rsidP="003B7808">
            <w:pPr>
              <w:pStyle w:val="Bezriadkovania"/>
              <w:rPr>
                <w:rFonts w:ascii="Arial Narrow" w:eastAsia="Times New Roman" w:hAnsi="Arial Narrow" w:cs="Calibri"/>
                <w:color w:val="000000"/>
                <w:sz w:val="20"/>
                <w:szCs w:val="20"/>
                <w:lang w:eastAsia="sk-SK"/>
              </w:rPr>
            </w:pPr>
            <w:r w:rsidRPr="00637A95">
              <w:rPr>
                <w:rFonts w:ascii="Arial Narrow" w:eastAsia="Times New Roman" w:hAnsi="Arial Narrow" w:cs="Calibri"/>
                <w:color w:val="000000"/>
                <w:sz w:val="20"/>
                <w:szCs w:val="20"/>
                <w:lang w:eastAsia="sk-SK"/>
              </w:rPr>
              <w:t>10 až 0 percent</w:t>
            </w:r>
          </w:p>
        </w:tc>
        <w:tc>
          <w:tcPr>
            <w:tcW w:w="1060" w:type="dxa"/>
            <w:tcBorders>
              <w:top w:val="nil"/>
              <w:left w:val="nil"/>
              <w:bottom w:val="nil"/>
              <w:right w:val="nil"/>
            </w:tcBorders>
            <w:shd w:val="clear" w:color="auto" w:fill="auto"/>
            <w:noWrap/>
            <w:vAlign w:val="bottom"/>
            <w:hideMark/>
          </w:tcPr>
          <w:p w14:paraId="5B0C471B" w14:textId="77777777" w:rsidR="00827B00" w:rsidRPr="00637A95" w:rsidRDefault="00827B00" w:rsidP="003B7808">
            <w:pPr>
              <w:pStyle w:val="Bezriadkovania"/>
              <w:jc w:val="center"/>
              <w:rPr>
                <w:rFonts w:ascii="Arial Narrow" w:eastAsia="Times New Roman" w:hAnsi="Arial Narrow" w:cs="Calibri"/>
                <w:color w:val="000000"/>
                <w:sz w:val="20"/>
                <w:szCs w:val="20"/>
                <w:lang w:eastAsia="sk-SK"/>
              </w:rPr>
            </w:pPr>
            <w:r w:rsidRPr="00637A95">
              <w:rPr>
                <w:rFonts w:ascii="Arial Narrow" w:hAnsi="Arial Narrow" w:cs="Calibri"/>
                <w:color w:val="000000"/>
                <w:sz w:val="20"/>
                <w:szCs w:val="20"/>
              </w:rPr>
              <w:t>270</w:t>
            </w:r>
          </w:p>
        </w:tc>
        <w:tc>
          <w:tcPr>
            <w:tcW w:w="980" w:type="dxa"/>
            <w:tcBorders>
              <w:top w:val="nil"/>
              <w:left w:val="nil"/>
              <w:bottom w:val="nil"/>
              <w:right w:val="nil"/>
            </w:tcBorders>
            <w:shd w:val="clear" w:color="auto" w:fill="auto"/>
            <w:noWrap/>
            <w:vAlign w:val="bottom"/>
            <w:hideMark/>
          </w:tcPr>
          <w:p w14:paraId="0110BBD1" w14:textId="77777777" w:rsidR="00827B00" w:rsidRPr="00637A95" w:rsidRDefault="00827B00" w:rsidP="003B7808">
            <w:pPr>
              <w:pStyle w:val="Bezriadkovania"/>
              <w:jc w:val="center"/>
              <w:rPr>
                <w:rFonts w:ascii="Arial Narrow" w:eastAsia="Times New Roman" w:hAnsi="Arial Narrow" w:cs="Calibri"/>
                <w:color w:val="000000"/>
                <w:sz w:val="20"/>
                <w:szCs w:val="20"/>
                <w:lang w:eastAsia="sk-SK"/>
              </w:rPr>
            </w:pPr>
            <w:r w:rsidRPr="00637A95">
              <w:rPr>
                <w:rFonts w:ascii="Arial Narrow" w:hAnsi="Arial Narrow" w:cs="Calibri"/>
                <w:color w:val="000000"/>
                <w:sz w:val="20"/>
                <w:szCs w:val="20"/>
              </w:rPr>
              <w:t>466</w:t>
            </w:r>
          </w:p>
        </w:tc>
        <w:tc>
          <w:tcPr>
            <w:tcW w:w="1040" w:type="dxa"/>
            <w:tcBorders>
              <w:top w:val="nil"/>
              <w:left w:val="nil"/>
              <w:bottom w:val="nil"/>
              <w:right w:val="nil"/>
            </w:tcBorders>
            <w:shd w:val="clear" w:color="auto" w:fill="auto"/>
            <w:noWrap/>
            <w:vAlign w:val="bottom"/>
            <w:hideMark/>
          </w:tcPr>
          <w:p w14:paraId="7A01EEB4" w14:textId="77777777" w:rsidR="00827B00" w:rsidRPr="00637A95" w:rsidRDefault="00827B00" w:rsidP="003B7808">
            <w:pPr>
              <w:pStyle w:val="Bezriadkovania"/>
              <w:jc w:val="center"/>
              <w:rPr>
                <w:rFonts w:ascii="Arial Narrow" w:eastAsia="Times New Roman" w:hAnsi="Arial Narrow" w:cs="Calibri"/>
                <w:color w:val="000000"/>
                <w:sz w:val="20"/>
                <w:szCs w:val="20"/>
                <w:lang w:eastAsia="sk-SK"/>
              </w:rPr>
            </w:pPr>
            <w:r w:rsidRPr="00637A95">
              <w:rPr>
                <w:rFonts w:ascii="Arial Narrow" w:hAnsi="Arial Narrow" w:cs="Calibri"/>
                <w:color w:val="000000"/>
                <w:sz w:val="20"/>
                <w:szCs w:val="20"/>
              </w:rPr>
              <w:t>25 810</w:t>
            </w:r>
          </w:p>
        </w:tc>
        <w:tc>
          <w:tcPr>
            <w:tcW w:w="2323" w:type="dxa"/>
            <w:tcBorders>
              <w:top w:val="nil"/>
              <w:left w:val="nil"/>
              <w:bottom w:val="nil"/>
              <w:right w:val="nil"/>
            </w:tcBorders>
            <w:shd w:val="clear" w:color="auto" w:fill="auto"/>
            <w:noWrap/>
            <w:vAlign w:val="bottom"/>
            <w:hideMark/>
          </w:tcPr>
          <w:p w14:paraId="372F6EEC" w14:textId="77777777" w:rsidR="00827B00" w:rsidRPr="00637A95" w:rsidRDefault="00827B00" w:rsidP="003B7808">
            <w:pPr>
              <w:pStyle w:val="Bezriadkovania"/>
              <w:jc w:val="center"/>
              <w:rPr>
                <w:rFonts w:ascii="Arial Narrow" w:eastAsia="Times New Roman" w:hAnsi="Arial Narrow" w:cs="Calibri"/>
                <w:color w:val="000000"/>
                <w:sz w:val="20"/>
                <w:szCs w:val="20"/>
                <w:lang w:eastAsia="sk-SK"/>
              </w:rPr>
            </w:pPr>
            <w:r w:rsidRPr="00637A95">
              <w:rPr>
                <w:rFonts w:ascii="Arial Narrow" w:hAnsi="Arial Narrow" w:cs="Calibri"/>
                <w:color w:val="000000"/>
                <w:sz w:val="20"/>
                <w:szCs w:val="20"/>
              </w:rPr>
              <w:t>2 844 231,14</w:t>
            </w:r>
          </w:p>
        </w:tc>
      </w:tr>
      <w:tr w:rsidR="00827B00" w:rsidRPr="0020638D" w14:paraId="0F32D75C" w14:textId="77777777" w:rsidTr="003B7808">
        <w:trPr>
          <w:trHeight w:val="300"/>
        </w:trPr>
        <w:tc>
          <w:tcPr>
            <w:tcW w:w="3534" w:type="dxa"/>
            <w:tcBorders>
              <w:top w:val="nil"/>
              <w:left w:val="nil"/>
              <w:bottom w:val="nil"/>
              <w:right w:val="nil"/>
            </w:tcBorders>
            <w:shd w:val="clear" w:color="auto" w:fill="auto"/>
            <w:noWrap/>
            <w:vAlign w:val="bottom"/>
          </w:tcPr>
          <w:p w14:paraId="0B1F564A" w14:textId="77777777" w:rsidR="00827B00" w:rsidRPr="00637A95" w:rsidRDefault="00827B00" w:rsidP="003B7808">
            <w:pPr>
              <w:pStyle w:val="Bezriadkovania"/>
              <w:rPr>
                <w:rFonts w:ascii="Arial Narrow" w:eastAsia="Times New Roman" w:hAnsi="Arial Narrow" w:cs="Calibri"/>
                <w:b/>
                <w:color w:val="000000"/>
                <w:sz w:val="20"/>
                <w:szCs w:val="20"/>
                <w:lang w:eastAsia="sk-SK"/>
              </w:rPr>
            </w:pPr>
            <w:r w:rsidRPr="00637A95">
              <w:rPr>
                <w:rFonts w:ascii="Arial Narrow" w:eastAsia="Times New Roman" w:hAnsi="Arial Narrow" w:cs="Calibri"/>
                <w:b/>
                <w:color w:val="000000"/>
                <w:sz w:val="20"/>
                <w:szCs w:val="20"/>
                <w:lang w:eastAsia="sk-SK"/>
              </w:rPr>
              <w:t>Spolu</w:t>
            </w:r>
          </w:p>
        </w:tc>
        <w:tc>
          <w:tcPr>
            <w:tcW w:w="1060" w:type="dxa"/>
            <w:tcBorders>
              <w:top w:val="nil"/>
              <w:left w:val="nil"/>
              <w:bottom w:val="nil"/>
              <w:right w:val="nil"/>
            </w:tcBorders>
            <w:shd w:val="clear" w:color="auto" w:fill="auto"/>
            <w:noWrap/>
            <w:vAlign w:val="bottom"/>
          </w:tcPr>
          <w:p w14:paraId="4C3E0AE8" w14:textId="77777777" w:rsidR="00827B00" w:rsidRPr="00637A95" w:rsidRDefault="00827B00" w:rsidP="003B7808">
            <w:pPr>
              <w:pStyle w:val="Bezriadkovania"/>
              <w:jc w:val="center"/>
              <w:rPr>
                <w:rFonts w:ascii="Arial Narrow" w:eastAsia="Times New Roman" w:hAnsi="Arial Narrow" w:cstheme="minorHAnsi"/>
                <w:b/>
                <w:color w:val="000000"/>
                <w:sz w:val="20"/>
                <w:szCs w:val="20"/>
                <w:lang w:eastAsia="sk-SK"/>
              </w:rPr>
            </w:pPr>
            <w:r w:rsidRPr="00637A95">
              <w:rPr>
                <w:rFonts w:ascii="Arial Narrow" w:eastAsia="Times New Roman" w:hAnsi="Arial Narrow" w:cstheme="minorHAnsi"/>
                <w:b/>
                <w:color w:val="000000"/>
                <w:sz w:val="20"/>
                <w:szCs w:val="20"/>
                <w:lang w:eastAsia="sk-SK"/>
              </w:rPr>
              <w:t>1 436</w:t>
            </w:r>
          </w:p>
        </w:tc>
        <w:tc>
          <w:tcPr>
            <w:tcW w:w="980" w:type="dxa"/>
            <w:tcBorders>
              <w:top w:val="nil"/>
              <w:left w:val="nil"/>
              <w:bottom w:val="nil"/>
              <w:right w:val="nil"/>
            </w:tcBorders>
            <w:shd w:val="clear" w:color="auto" w:fill="auto"/>
            <w:noWrap/>
            <w:vAlign w:val="bottom"/>
          </w:tcPr>
          <w:p w14:paraId="03353EB3" w14:textId="77777777" w:rsidR="00827B00" w:rsidRPr="00637A95" w:rsidRDefault="00827B00" w:rsidP="003B7808">
            <w:pPr>
              <w:pStyle w:val="Bezriadkovania"/>
              <w:jc w:val="center"/>
              <w:rPr>
                <w:rFonts w:ascii="Arial Narrow" w:eastAsia="Times New Roman" w:hAnsi="Arial Narrow" w:cstheme="minorHAnsi"/>
                <w:b/>
                <w:sz w:val="20"/>
                <w:szCs w:val="20"/>
                <w:lang w:eastAsia="sk-SK"/>
              </w:rPr>
            </w:pPr>
            <w:r w:rsidRPr="00637A95">
              <w:rPr>
                <w:rFonts w:ascii="Arial Narrow" w:eastAsia="Times New Roman" w:hAnsi="Arial Narrow" w:cstheme="minorHAnsi"/>
                <w:b/>
                <w:color w:val="000000"/>
                <w:sz w:val="20"/>
                <w:szCs w:val="20"/>
                <w:lang w:eastAsia="sk-SK"/>
              </w:rPr>
              <w:t>2 075</w:t>
            </w:r>
          </w:p>
        </w:tc>
        <w:tc>
          <w:tcPr>
            <w:tcW w:w="1040" w:type="dxa"/>
            <w:tcBorders>
              <w:top w:val="nil"/>
              <w:left w:val="nil"/>
              <w:bottom w:val="nil"/>
              <w:right w:val="nil"/>
            </w:tcBorders>
            <w:shd w:val="clear" w:color="auto" w:fill="auto"/>
            <w:noWrap/>
            <w:vAlign w:val="bottom"/>
          </w:tcPr>
          <w:p w14:paraId="2CB31964" w14:textId="77777777" w:rsidR="00827B00" w:rsidRPr="00637A95" w:rsidRDefault="00827B00" w:rsidP="003B7808">
            <w:pPr>
              <w:pStyle w:val="Bezriadkovania"/>
              <w:jc w:val="center"/>
              <w:rPr>
                <w:rFonts w:ascii="Arial Narrow" w:eastAsia="Times New Roman" w:hAnsi="Arial Narrow" w:cstheme="minorHAnsi"/>
                <w:b/>
                <w:sz w:val="20"/>
                <w:szCs w:val="20"/>
                <w:lang w:eastAsia="sk-SK"/>
              </w:rPr>
            </w:pPr>
            <w:r w:rsidRPr="00637A95">
              <w:rPr>
                <w:rFonts w:ascii="Arial Narrow" w:eastAsia="Times New Roman" w:hAnsi="Arial Narrow" w:cstheme="minorHAnsi"/>
                <w:b/>
                <w:sz w:val="20"/>
                <w:szCs w:val="20"/>
                <w:lang w:eastAsia="sk-SK"/>
              </w:rPr>
              <w:t>111 723</w:t>
            </w:r>
          </w:p>
        </w:tc>
        <w:tc>
          <w:tcPr>
            <w:tcW w:w="2323" w:type="dxa"/>
            <w:tcBorders>
              <w:top w:val="nil"/>
              <w:left w:val="nil"/>
              <w:bottom w:val="nil"/>
              <w:right w:val="nil"/>
            </w:tcBorders>
            <w:shd w:val="clear" w:color="auto" w:fill="auto"/>
            <w:noWrap/>
            <w:vAlign w:val="bottom"/>
          </w:tcPr>
          <w:p w14:paraId="6DE1EC4A" w14:textId="77777777" w:rsidR="00827B00" w:rsidRPr="00637A95" w:rsidRDefault="00827B00" w:rsidP="003B7808">
            <w:pPr>
              <w:pStyle w:val="Bezriadkovania"/>
              <w:jc w:val="center"/>
              <w:rPr>
                <w:rFonts w:ascii="Arial Narrow" w:hAnsi="Arial Narrow" w:cstheme="minorHAnsi"/>
                <w:b/>
                <w:color w:val="000000"/>
                <w:sz w:val="20"/>
                <w:szCs w:val="20"/>
              </w:rPr>
            </w:pPr>
            <w:r w:rsidRPr="00637A95">
              <w:rPr>
                <w:rFonts w:ascii="Arial Narrow" w:hAnsi="Arial Narrow" w:cstheme="minorHAnsi"/>
                <w:b/>
                <w:color w:val="000000"/>
                <w:sz w:val="20"/>
                <w:szCs w:val="20"/>
              </w:rPr>
              <w:t>47 166 881</w:t>
            </w:r>
          </w:p>
        </w:tc>
      </w:tr>
      <w:tr w:rsidR="00827B00" w:rsidRPr="0020638D" w14:paraId="0D584E47" w14:textId="77777777" w:rsidTr="003B7808">
        <w:trPr>
          <w:trHeight w:val="300"/>
        </w:trPr>
        <w:tc>
          <w:tcPr>
            <w:tcW w:w="3534" w:type="dxa"/>
            <w:tcBorders>
              <w:top w:val="nil"/>
              <w:left w:val="nil"/>
              <w:bottom w:val="nil"/>
              <w:right w:val="nil"/>
            </w:tcBorders>
            <w:shd w:val="clear" w:color="auto" w:fill="auto"/>
            <w:noWrap/>
            <w:vAlign w:val="bottom"/>
            <w:hideMark/>
          </w:tcPr>
          <w:p w14:paraId="2C7C9D4B" w14:textId="77777777" w:rsidR="00827B00" w:rsidRPr="00637A95" w:rsidRDefault="00827B00" w:rsidP="003B7808">
            <w:pPr>
              <w:pStyle w:val="Bezriadkovania"/>
              <w:rPr>
                <w:rFonts w:ascii="Arial Narrow" w:eastAsia="Times New Roman" w:hAnsi="Arial Narrow" w:cs="Calibri"/>
                <w:color w:val="000000"/>
                <w:sz w:val="20"/>
                <w:szCs w:val="20"/>
                <w:lang w:eastAsia="sk-SK"/>
              </w:rPr>
            </w:pPr>
            <w:r w:rsidRPr="00637A95">
              <w:rPr>
                <w:rFonts w:ascii="Arial Narrow" w:eastAsia="Times New Roman" w:hAnsi="Arial Narrow" w:cs="Calibri"/>
                <w:color w:val="000000"/>
                <w:sz w:val="20"/>
                <w:szCs w:val="20"/>
                <w:lang w:eastAsia="sk-SK"/>
              </w:rPr>
              <w:t xml:space="preserve">Nižšie o </w:t>
            </w:r>
          </w:p>
        </w:tc>
        <w:tc>
          <w:tcPr>
            <w:tcW w:w="1060" w:type="dxa"/>
            <w:tcBorders>
              <w:top w:val="nil"/>
              <w:left w:val="nil"/>
              <w:bottom w:val="nil"/>
              <w:right w:val="nil"/>
            </w:tcBorders>
            <w:shd w:val="clear" w:color="auto" w:fill="auto"/>
            <w:noWrap/>
            <w:vAlign w:val="bottom"/>
            <w:hideMark/>
          </w:tcPr>
          <w:p w14:paraId="43AB1AEA" w14:textId="77777777" w:rsidR="00827B00" w:rsidRPr="00637A95" w:rsidRDefault="00827B00" w:rsidP="003B7808">
            <w:pPr>
              <w:pStyle w:val="Bezriadkovania"/>
              <w:jc w:val="center"/>
              <w:rPr>
                <w:rFonts w:ascii="Arial Narrow" w:eastAsia="Times New Roman" w:hAnsi="Arial Narrow" w:cs="Calibri"/>
                <w:color w:val="000000"/>
                <w:sz w:val="20"/>
                <w:szCs w:val="20"/>
                <w:lang w:eastAsia="sk-SK"/>
              </w:rPr>
            </w:pPr>
          </w:p>
        </w:tc>
        <w:tc>
          <w:tcPr>
            <w:tcW w:w="980" w:type="dxa"/>
            <w:tcBorders>
              <w:top w:val="nil"/>
              <w:left w:val="nil"/>
              <w:bottom w:val="nil"/>
              <w:right w:val="nil"/>
            </w:tcBorders>
            <w:shd w:val="clear" w:color="auto" w:fill="auto"/>
            <w:noWrap/>
            <w:vAlign w:val="bottom"/>
            <w:hideMark/>
          </w:tcPr>
          <w:p w14:paraId="16346697" w14:textId="77777777" w:rsidR="00827B00" w:rsidRPr="00637A95" w:rsidRDefault="00827B00" w:rsidP="003B7808">
            <w:pPr>
              <w:pStyle w:val="Bezriadkovania"/>
              <w:jc w:val="center"/>
              <w:rPr>
                <w:rFonts w:ascii="Arial Narrow" w:eastAsia="Times New Roman" w:hAnsi="Arial Narrow" w:cs="Times New Roman"/>
                <w:sz w:val="20"/>
                <w:szCs w:val="20"/>
                <w:lang w:eastAsia="sk-SK"/>
              </w:rPr>
            </w:pPr>
          </w:p>
        </w:tc>
        <w:tc>
          <w:tcPr>
            <w:tcW w:w="1040" w:type="dxa"/>
            <w:tcBorders>
              <w:top w:val="nil"/>
              <w:left w:val="nil"/>
              <w:bottom w:val="nil"/>
              <w:right w:val="nil"/>
            </w:tcBorders>
            <w:shd w:val="clear" w:color="auto" w:fill="auto"/>
            <w:noWrap/>
            <w:vAlign w:val="bottom"/>
            <w:hideMark/>
          </w:tcPr>
          <w:p w14:paraId="735071B0" w14:textId="77777777" w:rsidR="00827B00" w:rsidRPr="00637A95" w:rsidRDefault="00827B00" w:rsidP="003B7808">
            <w:pPr>
              <w:pStyle w:val="Bezriadkovania"/>
              <w:jc w:val="center"/>
              <w:rPr>
                <w:rFonts w:ascii="Arial Narrow" w:eastAsia="Times New Roman" w:hAnsi="Arial Narrow" w:cs="Times New Roman"/>
                <w:sz w:val="20"/>
                <w:szCs w:val="20"/>
                <w:lang w:eastAsia="sk-SK"/>
              </w:rPr>
            </w:pPr>
          </w:p>
        </w:tc>
        <w:tc>
          <w:tcPr>
            <w:tcW w:w="2323" w:type="dxa"/>
            <w:tcBorders>
              <w:top w:val="nil"/>
              <w:left w:val="nil"/>
              <w:bottom w:val="nil"/>
              <w:right w:val="nil"/>
            </w:tcBorders>
            <w:shd w:val="clear" w:color="auto" w:fill="auto"/>
            <w:noWrap/>
            <w:vAlign w:val="bottom"/>
            <w:hideMark/>
          </w:tcPr>
          <w:p w14:paraId="70266E09" w14:textId="77777777" w:rsidR="00827B00" w:rsidRPr="00637A95" w:rsidRDefault="00827B00" w:rsidP="003B7808">
            <w:pPr>
              <w:pStyle w:val="Bezriadkovania"/>
              <w:jc w:val="center"/>
              <w:rPr>
                <w:rFonts w:ascii="Arial Narrow" w:eastAsia="Times New Roman" w:hAnsi="Arial Narrow" w:cs="Calibri"/>
                <w:color w:val="000000"/>
                <w:sz w:val="20"/>
                <w:szCs w:val="20"/>
                <w:lang w:eastAsia="sk-SK"/>
              </w:rPr>
            </w:pPr>
          </w:p>
        </w:tc>
      </w:tr>
      <w:tr w:rsidR="00827B00" w:rsidRPr="0020638D" w14:paraId="06FC5B80" w14:textId="77777777" w:rsidTr="003B7808">
        <w:trPr>
          <w:trHeight w:val="300"/>
        </w:trPr>
        <w:tc>
          <w:tcPr>
            <w:tcW w:w="3534" w:type="dxa"/>
            <w:tcBorders>
              <w:top w:val="nil"/>
              <w:left w:val="nil"/>
              <w:bottom w:val="nil"/>
              <w:right w:val="nil"/>
            </w:tcBorders>
            <w:shd w:val="clear" w:color="auto" w:fill="auto"/>
            <w:noWrap/>
            <w:vAlign w:val="bottom"/>
            <w:hideMark/>
          </w:tcPr>
          <w:p w14:paraId="0FBFA8C7" w14:textId="77777777" w:rsidR="00827B00" w:rsidRPr="00637A95" w:rsidRDefault="00827B00" w:rsidP="003B7808">
            <w:pPr>
              <w:pStyle w:val="Bezriadkovania"/>
              <w:rPr>
                <w:rFonts w:ascii="Arial Narrow" w:eastAsia="Times New Roman" w:hAnsi="Arial Narrow" w:cs="Calibri"/>
                <w:color w:val="000000"/>
                <w:sz w:val="20"/>
                <w:szCs w:val="20"/>
                <w:lang w:eastAsia="sk-SK"/>
              </w:rPr>
            </w:pPr>
            <w:r w:rsidRPr="00637A95">
              <w:rPr>
                <w:rFonts w:ascii="Arial Narrow" w:eastAsia="Times New Roman" w:hAnsi="Arial Narrow" w:cs="Calibri"/>
                <w:color w:val="000000"/>
                <w:sz w:val="20"/>
                <w:szCs w:val="20"/>
                <w:lang w:eastAsia="sk-SK"/>
              </w:rPr>
              <w:t>0 až 10 percent</w:t>
            </w:r>
          </w:p>
        </w:tc>
        <w:tc>
          <w:tcPr>
            <w:tcW w:w="1060" w:type="dxa"/>
            <w:tcBorders>
              <w:top w:val="nil"/>
              <w:left w:val="nil"/>
              <w:bottom w:val="nil"/>
              <w:right w:val="nil"/>
            </w:tcBorders>
            <w:shd w:val="clear" w:color="auto" w:fill="auto"/>
            <w:noWrap/>
            <w:vAlign w:val="bottom"/>
            <w:hideMark/>
          </w:tcPr>
          <w:p w14:paraId="46BA897F" w14:textId="77777777" w:rsidR="00827B00" w:rsidRPr="00637A95" w:rsidRDefault="00827B00" w:rsidP="003B7808">
            <w:pPr>
              <w:pStyle w:val="Bezriadkovania"/>
              <w:jc w:val="center"/>
              <w:rPr>
                <w:rFonts w:ascii="Arial Narrow" w:eastAsia="Times New Roman" w:hAnsi="Arial Narrow" w:cs="Calibri"/>
                <w:color w:val="000000"/>
                <w:sz w:val="20"/>
                <w:szCs w:val="20"/>
                <w:lang w:eastAsia="sk-SK"/>
              </w:rPr>
            </w:pPr>
            <w:r w:rsidRPr="00637A95">
              <w:rPr>
                <w:rFonts w:ascii="Arial Narrow" w:hAnsi="Arial Narrow" w:cs="Calibri"/>
                <w:color w:val="000000"/>
                <w:sz w:val="20"/>
                <w:szCs w:val="20"/>
              </w:rPr>
              <w:t>203</w:t>
            </w:r>
          </w:p>
        </w:tc>
        <w:tc>
          <w:tcPr>
            <w:tcW w:w="980" w:type="dxa"/>
            <w:tcBorders>
              <w:top w:val="nil"/>
              <w:left w:val="nil"/>
              <w:bottom w:val="nil"/>
              <w:right w:val="nil"/>
            </w:tcBorders>
            <w:shd w:val="clear" w:color="auto" w:fill="auto"/>
            <w:noWrap/>
            <w:vAlign w:val="bottom"/>
            <w:hideMark/>
          </w:tcPr>
          <w:p w14:paraId="7D39B79B" w14:textId="77777777" w:rsidR="00827B00" w:rsidRPr="00637A95" w:rsidRDefault="00827B00" w:rsidP="003B7808">
            <w:pPr>
              <w:pStyle w:val="Bezriadkovania"/>
              <w:jc w:val="center"/>
              <w:rPr>
                <w:rFonts w:ascii="Arial Narrow" w:eastAsia="Times New Roman" w:hAnsi="Arial Narrow" w:cs="Calibri"/>
                <w:color w:val="000000"/>
                <w:sz w:val="20"/>
                <w:szCs w:val="20"/>
                <w:lang w:eastAsia="sk-SK"/>
              </w:rPr>
            </w:pPr>
            <w:r w:rsidRPr="00637A95">
              <w:rPr>
                <w:rFonts w:ascii="Arial Narrow" w:hAnsi="Arial Narrow" w:cs="Calibri"/>
                <w:color w:val="000000"/>
                <w:sz w:val="20"/>
                <w:szCs w:val="20"/>
              </w:rPr>
              <w:t>467</w:t>
            </w:r>
          </w:p>
        </w:tc>
        <w:tc>
          <w:tcPr>
            <w:tcW w:w="1040" w:type="dxa"/>
            <w:tcBorders>
              <w:top w:val="nil"/>
              <w:left w:val="nil"/>
              <w:bottom w:val="nil"/>
              <w:right w:val="nil"/>
            </w:tcBorders>
            <w:shd w:val="clear" w:color="auto" w:fill="auto"/>
            <w:noWrap/>
            <w:vAlign w:val="bottom"/>
            <w:hideMark/>
          </w:tcPr>
          <w:p w14:paraId="2A45B9C9" w14:textId="77777777" w:rsidR="00827B00" w:rsidRPr="00637A95" w:rsidRDefault="00827B00" w:rsidP="003B7808">
            <w:pPr>
              <w:pStyle w:val="Bezriadkovania"/>
              <w:jc w:val="center"/>
              <w:rPr>
                <w:rFonts w:ascii="Arial Narrow" w:eastAsia="Times New Roman" w:hAnsi="Arial Narrow" w:cs="Calibri"/>
                <w:color w:val="000000"/>
                <w:sz w:val="20"/>
                <w:szCs w:val="20"/>
                <w:lang w:eastAsia="sk-SK"/>
              </w:rPr>
            </w:pPr>
            <w:r w:rsidRPr="00637A95">
              <w:rPr>
                <w:rFonts w:ascii="Arial Narrow" w:hAnsi="Arial Narrow" w:cs="Calibri"/>
                <w:color w:val="000000"/>
                <w:sz w:val="20"/>
                <w:szCs w:val="20"/>
              </w:rPr>
              <w:t>28 102</w:t>
            </w:r>
          </w:p>
        </w:tc>
        <w:tc>
          <w:tcPr>
            <w:tcW w:w="2323" w:type="dxa"/>
            <w:tcBorders>
              <w:top w:val="nil"/>
              <w:left w:val="nil"/>
              <w:bottom w:val="nil"/>
              <w:right w:val="nil"/>
            </w:tcBorders>
            <w:shd w:val="clear" w:color="auto" w:fill="auto"/>
            <w:noWrap/>
            <w:vAlign w:val="bottom"/>
            <w:hideMark/>
          </w:tcPr>
          <w:p w14:paraId="4FF50CE4" w14:textId="77777777" w:rsidR="00827B00" w:rsidRPr="00637A95" w:rsidRDefault="00827B00" w:rsidP="003B7808">
            <w:pPr>
              <w:pStyle w:val="Bezriadkovania"/>
              <w:jc w:val="center"/>
              <w:rPr>
                <w:rFonts w:ascii="Arial Narrow" w:eastAsia="Times New Roman" w:hAnsi="Arial Narrow" w:cs="Calibri"/>
                <w:color w:val="000000"/>
                <w:sz w:val="20"/>
                <w:szCs w:val="20"/>
                <w:lang w:eastAsia="sk-SK"/>
              </w:rPr>
            </w:pPr>
            <w:r w:rsidRPr="00637A95">
              <w:rPr>
                <w:rFonts w:ascii="Arial Narrow" w:hAnsi="Arial Narrow" w:cs="Calibri"/>
                <w:color w:val="000000"/>
                <w:sz w:val="20"/>
                <w:szCs w:val="20"/>
              </w:rPr>
              <w:t>-2 757 746.58</w:t>
            </w:r>
          </w:p>
        </w:tc>
      </w:tr>
      <w:tr w:rsidR="00827B00" w:rsidRPr="0020638D" w14:paraId="39485E08" w14:textId="77777777" w:rsidTr="003B7808">
        <w:trPr>
          <w:trHeight w:val="300"/>
        </w:trPr>
        <w:tc>
          <w:tcPr>
            <w:tcW w:w="3534" w:type="dxa"/>
            <w:tcBorders>
              <w:top w:val="nil"/>
              <w:left w:val="nil"/>
              <w:bottom w:val="nil"/>
              <w:right w:val="nil"/>
            </w:tcBorders>
            <w:shd w:val="clear" w:color="auto" w:fill="auto"/>
            <w:noWrap/>
            <w:vAlign w:val="bottom"/>
            <w:hideMark/>
          </w:tcPr>
          <w:p w14:paraId="1A4EFAB8" w14:textId="77777777" w:rsidR="00827B00" w:rsidRPr="00637A95" w:rsidRDefault="00827B00" w:rsidP="003B7808">
            <w:pPr>
              <w:pStyle w:val="Bezriadkovania"/>
              <w:rPr>
                <w:rFonts w:ascii="Arial Narrow" w:eastAsia="Times New Roman" w:hAnsi="Arial Narrow" w:cs="Calibri"/>
                <w:color w:val="000000"/>
                <w:sz w:val="20"/>
                <w:szCs w:val="20"/>
                <w:lang w:eastAsia="sk-SK"/>
              </w:rPr>
            </w:pPr>
            <w:r w:rsidRPr="00637A95">
              <w:rPr>
                <w:rFonts w:ascii="Arial Narrow" w:eastAsia="Times New Roman" w:hAnsi="Arial Narrow" w:cs="Calibri"/>
                <w:color w:val="000000"/>
                <w:sz w:val="20"/>
                <w:szCs w:val="20"/>
                <w:lang w:eastAsia="sk-SK"/>
              </w:rPr>
              <w:t>10 až 20 percent</w:t>
            </w:r>
          </w:p>
        </w:tc>
        <w:tc>
          <w:tcPr>
            <w:tcW w:w="1060" w:type="dxa"/>
            <w:tcBorders>
              <w:top w:val="nil"/>
              <w:left w:val="nil"/>
              <w:bottom w:val="nil"/>
              <w:right w:val="nil"/>
            </w:tcBorders>
            <w:shd w:val="clear" w:color="auto" w:fill="auto"/>
            <w:noWrap/>
            <w:vAlign w:val="bottom"/>
            <w:hideMark/>
          </w:tcPr>
          <w:p w14:paraId="62F527AE" w14:textId="77777777" w:rsidR="00827B00" w:rsidRPr="00637A95" w:rsidRDefault="00827B00" w:rsidP="003B7808">
            <w:pPr>
              <w:pStyle w:val="Bezriadkovania"/>
              <w:jc w:val="center"/>
              <w:rPr>
                <w:rFonts w:ascii="Arial Narrow" w:eastAsia="Times New Roman" w:hAnsi="Arial Narrow" w:cs="Calibri"/>
                <w:color w:val="000000"/>
                <w:sz w:val="20"/>
                <w:szCs w:val="20"/>
                <w:lang w:eastAsia="sk-SK"/>
              </w:rPr>
            </w:pPr>
            <w:r w:rsidRPr="00637A95">
              <w:rPr>
                <w:rFonts w:ascii="Arial Narrow" w:hAnsi="Arial Narrow" w:cs="Calibri"/>
                <w:color w:val="000000"/>
                <w:sz w:val="20"/>
                <w:szCs w:val="20"/>
              </w:rPr>
              <w:t>69</w:t>
            </w:r>
          </w:p>
        </w:tc>
        <w:tc>
          <w:tcPr>
            <w:tcW w:w="980" w:type="dxa"/>
            <w:tcBorders>
              <w:top w:val="nil"/>
              <w:left w:val="nil"/>
              <w:bottom w:val="nil"/>
              <w:right w:val="nil"/>
            </w:tcBorders>
            <w:shd w:val="clear" w:color="auto" w:fill="auto"/>
            <w:noWrap/>
            <w:vAlign w:val="bottom"/>
            <w:hideMark/>
          </w:tcPr>
          <w:p w14:paraId="720018F2" w14:textId="77777777" w:rsidR="00827B00" w:rsidRPr="00637A95" w:rsidRDefault="00827B00" w:rsidP="003B7808">
            <w:pPr>
              <w:pStyle w:val="Bezriadkovania"/>
              <w:jc w:val="center"/>
              <w:rPr>
                <w:rFonts w:ascii="Arial Narrow" w:eastAsia="Times New Roman" w:hAnsi="Arial Narrow" w:cs="Calibri"/>
                <w:color w:val="000000"/>
                <w:sz w:val="20"/>
                <w:szCs w:val="20"/>
                <w:lang w:eastAsia="sk-SK"/>
              </w:rPr>
            </w:pPr>
            <w:r w:rsidRPr="00637A95">
              <w:rPr>
                <w:rFonts w:ascii="Arial Narrow" w:hAnsi="Arial Narrow" w:cs="Calibri"/>
                <w:color w:val="000000"/>
                <w:sz w:val="20"/>
                <w:szCs w:val="20"/>
              </w:rPr>
              <w:t>72</w:t>
            </w:r>
          </w:p>
        </w:tc>
        <w:tc>
          <w:tcPr>
            <w:tcW w:w="1040" w:type="dxa"/>
            <w:tcBorders>
              <w:top w:val="nil"/>
              <w:left w:val="nil"/>
              <w:bottom w:val="nil"/>
              <w:right w:val="nil"/>
            </w:tcBorders>
            <w:shd w:val="clear" w:color="auto" w:fill="auto"/>
            <w:noWrap/>
            <w:vAlign w:val="bottom"/>
            <w:hideMark/>
          </w:tcPr>
          <w:p w14:paraId="08C9FAD9" w14:textId="77777777" w:rsidR="00827B00" w:rsidRPr="00637A95" w:rsidRDefault="00827B00" w:rsidP="003B7808">
            <w:pPr>
              <w:pStyle w:val="Bezriadkovania"/>
              <w:jc w:val="center"/>
              <w:rPr>
                <w:rFonts w:ascii="Arial Narrow" w:eastAsia="Times New Roman" w:hAnsi="Arial Narrow" w:cs="Calibri"/>
                <w:color w:val="000000"/>
                <w:sz w:val="20"/>
                <w:szCs w:val="20"/>
                <w:lang w:eastAsia="sk-SK"/>
              </w:rPr>
            </w:pPr>
            <w:r w:rsidRPr="00637A95">
              <w:rPr>
                <w:rFonts w:ascii="Arial Narrow" w:hAnsi="Arial Narrow" w:cs="Calibri"/>
                <w:color w:val="000000"/>
                <w:sz w:val="20"/>
                <w:szCs w:val="20"/>
              </w:rPr>
              <w:t>2 618</w:t>
            </w:r>
          </w:p>
        </w:tc>
        <w:tc>
          <w:tcPr>
            <w:tcW w:w="2323" w:type="dxa"/>
            <w:tcBorders>
              <w:top w:val="nil"/>
              <w:left w:val="nil"/>
              <w:bottom w:val="nil"/>
              <w:right w:val="nil"/>
            </w:tcBorders>
            <w:shd w:val="clear" w:color="auto" w:fill="auto"/>
            <w:noWrap/>
            <w:vAlign w:val="bottom"/>
            <w:hideMark/>
          </w:tcPr>
          <w:p w14:paraId="47A8FEEB" w14:textId="77777777" w:rsidR="00827B00" w:rsidRPr="00637A95" w:rsidRDefault="00827B00" w:rsidP="003B7808">
            <w:pPr>
              <w:pStyle w:val="Bezriadkovania"/>
              <w:jc w:val="center"/>
              <w:rPr>
                <w:rFonts w:ascii="Arial Narrow" w:eastAsia="Times New Roman" w:hAnsi="Arial Narrow" w:cs="Calibri"/>
                <w:color w:val="000000"/>
                <w:sz w:val="20"/>
                <w:szCs w:val="20"/>
                <w:lang w:eastAsia="sk-SK"/>
              </w:rPr>
            </w:pPr>
            <w:r w:rsidRPr="00637A95">
              <w:rPr>
                <w:rFonts w:ascii="Arial Narrow" w:hAnsi="Arial Narrow" w:cs="Calibri"/>
                <w:color w:val="000000"/>
                <w:sz w:val="20"/>
                <w:szCs w:val="20"/>
              </w:rPr>
              <w:t>-1 048 222.64</w:t>
            </w:r>
          </w:p>
        </w:tc>
      </w:tr>
      <w:tr w:rsidR="00827B00" w:rsidRPr="0020638D" w14:paraId="222DBAA7" w14:textId="77777777" w:rsidTr="003B7808">
        <w:trPr>
          <w:trHeight w:val="300"/>
        </w:trPr>
        <w:tc>
          <w:tcPr>
            <w:tcW w:w="3534" w:type="dxa"/>
            <w:tcBorders>
              <w:top w:val="nil"/>
              <w:left w:val="nil"/>
              <w:bottom w:val="nil"/>
              <w:right w:val="nil"/>
            </w:tcBorders>
            <w:shd w:val="clear" w:color="auto" w:fill="auto"/>
            <w:noWrap/>
            <w:vAlign w:val="bottom"/>
            <w:hideMark/>
          </w:tcPr>
          <w:p w14:paraId="284C1886" w14:textId="77777777" w:rsidR="00827B00" w:rsidRPr="00637A95" w:rsidRDefault="00827B00" w:rsidP="003B7808">
            <w:pPr>
              <w:pStyle w:val="Bezriadkovania"/>
              <w:rPr>
                <w:rFonts w:ascii="Arial Narrow" w:eastAsia="Times New Roman" w:hAnsi="Arial Narrow" w:cs="Calibri"/>
                <w:color w:val="000000"/>
                <w:sz w:val="20"/>
                <w:szCs w:val="20"/>
                <w:lang w:eastAsia="sk-SK"/>
              </w:rPr>
            </w:pPr>
            <w:r w:rsidRPr="00637A95">
              <w:rPr>
                <w:rFonts w:ascii="Arial Narrow" w:eastAsia="Times New Roman" w:hAnsi="Arial Narrow" w:cs="Calibri"/>
                <w:color w:val="000000"/>
                <w:sz w:val="20"/>
                <w:szCs w:val="20"/>
                <w:lang w:eastAsia="sk-SK"/>
              </w:rPr>
              <w:t>20 až 30 percent</w:t>
            </w:r>
          </w:p>
        </w:tc>
        <w:tc>
          <w:tcPr>
            <w:tcW w:w="1060" w:type="dxa"/>
            <w:tcBorders>
              <w:top w:val="nil"/>
              <w:left w:val="nil"/>
              <w:bottom w:val="nil"/>
              <w:right w:val="nil"/>
            </w:tcBorders>
            <w:shd w:val="clear" w:color="auto" w:fill="auto"/>
            <w:noWrap/>
            <w:vAlign w:val="bottom"/>
            <w:hideMark/>
          </w:tcPr>
          <w:p w14:paraId="0A558854" w14:textId="77777777" w:rsidR="00827B00" w:rsidRPr="00637A95" w:rsidRDefault="00827B00" w:rsidP="003B7808">
            <w:pPr>
              <w:pStyle w:val="Bezriadkovania"/>
              <w:jc w:val="center"/>
              <w:rPr>
                <w:rFonts w:ascii="Arial Narrow" w:eastAsia="Times New Roman" w:hAnsi="Arial Narrow" w:cs="Calibri"/>
                <w:color w:val="000000"/>
                <w:sz w:val="20"/>
                <w:szCs w:val="20"/>
                <w:lang w:eastAsia="sk-SK"/>
              </w:rPr>
            </w:pPr>
            <w:r w:rsidRPr="00637A95">
              <w:rPr>
                <w:rFonts w:ascii="Arial Narrow" w:hAnsi="Arial Narrow" w:cs="Calibri"/>
                <w:color w:val="000000"/>
                <w:sz w:val="20"/>
                <w:szCs w:val="20"/>
              </w:rPr>
              <w:t>37</w:t>
            </w:r>
          </w:p>
        </w:tc>
        <w:tc>
          <w:tcPr>
            <w:tcW w:w="980" w:type="dxa"/>
            <w:tcBorders>
              <w:top w:val="nil"/>
              <w:left w:val="nil"/>
              <w:bottom w:val="nil"/>
              <w:right w:val="nil"/>
            </w:tcBorders>
            <w:shd w:val="clear" w:color="auto" w:fill="auto"/>
            <w:noWrap/>
            <w:vAlign w:val="bottom"/>
            <w:hideMark/>
          </w:tcPr>
          <w:p w14:paraId="0E5BA21C" w14:textId="77777777" w:rsidR="00827B00" w:rsidRPr="00637A95" w:rsidRDefault="00827B00" w:rsidP="003B7808">
            <w:pPr>
              <w:pStyle w:val="Bezriadkovania"/>
              <w:jc w:val="center"/>
              <w:rPr>
                <w:rFonts w:ascii="Arial Narrow" w:eastAsia="Times New Roman" w:hAnsi="Arial Narrow" w:cs="Calibri"/>
                <w:color w:val="000000"/>
                <w:sz w:val="20"/>
                <w:szCs w:val="20"/>
                <w:lang w:eastAsia="sk-SK"/>
              </w:rPr>
            </w:pPr>
            <w:r w:rsidRPr="00637A95">
              <w:rPr>
                <w:rFonts w:ascii="Arial Narrow" w:hAnsi="Arial Narrow" w:cs="Calibri"/>
                <w:color w:val="000000"/>
                <w:sz w:val="20"/>
                <w:szCs w:val="20"/>
              </w:rPr>
              <w:t>38</w:t>
            </w:r>
          </w:p>
        </w:tc>
        <w:tc>
          <w:tcPr>
            <w:tcW w:w="1040" w:type="dxa"/>
            <w:tcBorders>
              <w:top w:val="nil"/>
              <w:left w:val="nil"/>
              <w:bottom w:val="nil"/>
              <w:right w:val="nil"/>
            </w:tcBorders>
            <w:shd w:val="clear" w:color="auto" w:fill="auto"/>
            <w:noWrap/>
            <w:vAlign w:val="bottom"/>
            <w:hideMark/>
          </w:tcPr>
          <w:p w14:paraId="6C66CA5C" w14:textId="77777777" w:rsidR="00827B00" w:rsidRPr="00637A95" w:rsidRDefault="00827B00" w:rsidP="003B7808">
            <w:pPr>
              <w:pStyle w:val="Bezriadkovania"/>
              <w:jc w:val="center"/>
              <w:rPr>
                <w:rFonts w:ascii="Arial Narrow" w:eastAsia="Times New Roman" w:hAnsi="Arial Narrow" w:cs="Calibri"/>
                <w:color w:val="000000"/>
                <w:sz w:val="20"/>
                <w:szCs w:val="20"/>
                <w:lang w:eastAsia="sk-SK"/>
              </w:rPr>
            </w:pPr>
            <w:r w:rsidRPr="00637A95">
              <w:rPr>
                <w:rFonts w:ascii="Arial Narrow" w:hAnsi="Arial Narrow" w:cs="Calibri"/>
                <w:color w:val="000000"/>
                <w:sz w:val="20"/>
                <w:szCs w:val="20"/>
              </w:rPr>
              <w:t>1 349</w:t>
            </w:r>
          </w:p>
        </w:tc>
        <w:tc>
          <w:tcPr>
            <w:tcW w:w="2323" w:type="dxa"/>
            <w:tcBorders>
              <w:top w:val="nil"/>
              <w:left w:val="nil"/>
              <w:bottom w:val="nil"/>
              <w:right w:val="nil"/>
            </w:tcBorders>
            <w:shd w:val="clear" w:color="auto" w:fill="auto"/>
            <w:noWrap/>
            <w:vAlign w:val="bottom"/>
            <w:hideMark/>
          </w:tcPr>
          <w:p w14:paraId="3E6E227C" w14:textId="77777777" w:rsidR="00827B00" w:rsidRPr="00637A95" w:rsidRDefault="00827B00" w:rsidP="003B7808">
            <w:pPr>
              <w:pStyle w:val="Bezriadkovania"/>
              <w:jc w:val="center"/>
              <w:rPr>
                <w:rFonts w:ascii="Arial Narrow" w:eastAsia="Times New Roman" w:hAnsi="Arial Narrow" w:cs="Calibri"/>
                <w:color w:val="000000"/>
                <w:sz w:val="20"/>
                <w:szCs w:val="20"/>
                <w:lang w:eastAsia="sk-SK"/>
              </w:rPr>
            </w:pPr>
            <w:r w:rsidRPr="00637A95">
              <w:rPr>
                <w:rFonts w:ascii="Arial Narrow" w:hAnsi="Arial Narrow" w:cs="Calibri"/>
                <w:color w:val="000000"/>
                <w:sz w:val="20"/>
                <w:szCs w:val="20"/>
              </w:rPr>
              <w:t>-1 037 191.88</w:t>
            </w:r>
          </w:p>
        </w:tc>
      </w:tr>
      <w:tr w:rsidR="00827B00" w:rsidRPr="0020638D" w14:paraId="7A994CD8" w14:textId="77777777" w:rsidTr="003B7808">
        <w:trPr>
          <w:trHeight w:val="300"/>
        </w:trPr>
        <w:tc>
          <w:tcPr>
            <w:tcW w:w="3534" w:type="dxa"/>
            <w:tcBorders>
              <w:top w:val="nil"/>
              <w:left w:val="nil"/>
              <w:bottom w:val="nil"/>
              <w:right w:val="nil"/>
            </w:tcBorders>
            <w:shd w:val="clear" w:color="auto" w:fill="auto"/>
            <w:noWrap/>
            <w:vAlign w:val="bottom"/>
            <w:hideMark/>
          </w:tcPr>
          <w:p w14:paraId="4F5E56B5" w14:textId="77777777" w:rsidR="00827B00" w:rsidRPr="00637A95" w:rsidRDefault="00827B00" w:rsidP="003B7808">
            <w:pPr>
              <w:pStyle w:val="Bezriadkovania"/>
              <w:rPr>
                <w:rFonts w:ascii="Arial Narrow" w:eastAsia="Times New Roman" w:hAnsi="Arial Narrow" w:cs="Calibri"/>
                <w:color w:val="000000"/>
                <w:sz w:val="20"/>
                <w:szCs w:val="20"/>
                <w:lang w:eastAsia="sk-SK"/>
              </w:rPr>
            </w:pPr>
            <w:r w:rsidRPr="00637A95">
              <w:rPr>
                <w:rFonts w:ascii="Arial Narrow" w:eastAsia="Times New Roman" w:hAnsi="Arial Narrow" w:cs="Calibri"/>
                <w:color w:val="000000"/>
                <w:sz w:val="20"/>
                <w:szCs w:val="20"/>
                <w:lang w:eastAsia="sk-SK"/>
              </w:rPr>
              <w:t>30 a viac percent</w:t>
            </w:r>
          </w:p>
        </w:tc>
        <w:tc>
          <w:tcPr>
            <w:tcW w:w="1060" w:type="dxa"/>
            <w:tcBorders>
              <w:top w:val="nil"/>
              <w:left w:val="nil"/>
              <w:bottom w:val="nil"/>
              <w:right w:val="nil"/>
            </w:tcBorders>
            <w:shd w:val="clear" w:color="auto" w:fill="auto"/>
            <w:noWrap/>
            <w:vAlign w:val="bottom"/>
            <w:hideMark/>
          </w:tcPr>
          <w:p w14:paraId="713146E0" w14:textId="77777777" w:rsidR="00827B00" w:rsidRPr="00637A95" w:rsidRDefault="00827B00" w:rsidP="003B7808">
            <w:pPr>
              <w:pStyle w:val="Bezriadkovania"/>
              <w:jc w:val="center"/>
              <w:rPr>
                <w:rFonts w:ascii="Arial Narrow" w:eastAsia="Times New Roman" w:hAnsi="Arial Narrow" w:cs="Calibri"/>
                <w:color w:val="000000"/>
                <w:sz w:val="20"/>
                <w:szCs w:val="20"/>
                <w:lang w:eastAsia="sk-SK"/>
              </w:rPr>
            </w:pPr>
            <w:r w:rsidRPr="00637A95">
              <w:rPr>
                <w:rFonts w:ascii="Arial Narrow" w:hAnsi="Arial Narrow" w:cs="Calibri"/>
                <w:color w:val="000000"/>
                <w:sz w:val="20"/>
                <w:szCs w:val="20"/>
              </w:rPr>
              <w:t>13</w:t>
            </w:r>
          </w:p>
        </w:tc>
        <w:tc>
          <w:tcPr>
            <w:tcW w:w="980" w:type="dxa"/>
            <w:tcBorders>
              <w:top w:val="nil"/>
              <w:left w:val="nil"/>
              <w:bottom w:val="nil"/>
              <w:right w:val="nil"/>
            </w:tcBorders>
            <w:shd w:val="clear" w:color="auto" w:fill="auto"/>
            <w:noWrap/>
            <w:vAlign w:val="bottom"/>
            <w:hideMark/>
          </w:tcPr>
          <w:p w14:paraId="0A78F983" w14:textId="77777777" w:rsidR="00827B00" w:rsidRPr="00637A95" w:rsidRDefault="00827B00" w:rsidP="003B7808">
            <w:pPr>
              <w:pStyle w:val="Bezriadkovania"/>
              <w:jc w:val="center"/>
              <w:rPr>
                <w:rFonts w:ascii="Arial Narrow" w:eastAsia="Times New Roman" w:hAnsi="Arial Narrow" w:cs="Calibri"/>
                <w:color w:val="000000"/>
                <w:sz w:val="20"/>
                <w:szCs w:val="20"/>
                <w:lang w:eastAsia="sk-SK"/>
              </w:rPr>
            </w:pPr>
            <w:r w:rsidRPr="00637A95">
              <w:rPr>
                <w:rFonts w:ascii="Arial Narrow" w:hAnsi="Arial Narrow" w:cs="Calibri"/>
                <w:color w:val="000000"/>
                <w:sz w:val="20"/>
                <w:szCs w:val="20"/>
              </w:rPr>
              <w:t>14</w:t>
            </w:r>
          </w:p>
        </w:tc>
        <w:tc>
          <w:tcPr>
            <w:tcW w:w="1040" w:type="dxa"/>
            <w:tcBorders>
              <w:top w:val="nil"/>
              <w:left w:val="nil"/>
              <w:bottom w:val="nil"/>
              <w:right w:val="nil"/>
            </w:tcBorders>
            <w:shd w:val="clear" w:color="auto" w:fill="auto"/>
            <w:noWrap/>
            <w:vAlign w:val="bottom"/>
            <w:hideMark/>
          </w:tcPr>
          <w:p w14:paraId="5E08CD10" w14:textId="77777777" w:rsidR="00827B00" w:rsidRPr="00637A95" w:rsidRDefault="00827B00" w:rsidP="003B7808">
            <w:pPr>
              <w:pStyle w:val="Bezriadkovania"/>
              <w:jc w:val="center"/>
              <w:rPr>
                <w:rFonts w:ascii="Arial Narrow" w:eastAsia="Times New Roman" w:hAnsi="Arial Narrow" w:cs="Calibri"/>
                <w:color w:val="000000"/>
                <w:sz w:val="20"/>
                <w:szCs w:val="20"/>
                <w:lang w:eastAsia="sk-SK"/>
              </w:rPr>
            </w:pPr>
            <w:r w:rsidRPr="00637A95">
              <w:rPr>
                <w:rFonts w:ascii="Arial Narrow" w:hAnsi="Arial Narrow" w:cs="Calibri"/>
                <w:color w:val="000000"/>
                <w:sz w:val="20"/>
                <w:szCs w:val="20"/>
              </w:rPr>
              <w:t>544</w:t>
            </w:r>
          </w:p>
        </w:tc>
        <w:tc>
          <w:tcPr>
            <w:tcW w:w="2323" w:type="dxa"/>
            <w:tcBorders>
              <w:top w:val="nil"/>
              <w:left w:val="nil"/>
              <w:bottom w:val="nil"/>
              <w:right w:val="nil"/>
            </w:tcBorders>
            <w:shd w:val="clear" w:color="auto" w:fill="auto"/>
            <w:noWrap/>
            <w:vAlign w:val="bottom"/>
            <w:hideMark/>
          </w:tcPr>
          <w:p w14:paraId="12AFBAAD" w14:textId="77777777" w:rsidR="00827B00" w:rsidRPr="00637A95" w:rsidRDefault="00827B00" w:rsidP="003B7808">
            <w:pPr>
              <w:pStyle w:val="Bezriadkovania"/>
              <w:jc w:val="center"/>
              <w:rPr>
                <w:rFonts w:ascii="Arial Narrow" w:eastAsia="Times New Roman" w:hAnsi="Arial Narrow" w:cs="Calibri"/>
                <w:color w:val="000000"/>
                <w:sz w:val="20"/>
                <w:szCs w:val="20"/>
                <w:lang w:eastAsia="sk-SK"/>
              </w:rPr>
            </w:pPr>
            <w:r w:rsidRPr="00637A95">
              <w:rPr>
                <w:rFonts w:ascii="Arial Narrow" w:hAnsi="Arial Narrow" w:cs="Calibri"/>
                <w:color w:val="000000"/>
                <w:sz w:val="20"/>
                <w:szCs w:val="20"/>
              </w:rPr>
              <w:t>-759 854.21</w:t>
            </w:r>
          </w:p>
        </w:tc>
      </w:tr>
      <w:tr w:rsidR="00827B00" w:rsidRPr="0020638D" w14:paraId="197D1908" w14:textId="77777777" w:rsidTr="003B7808">
        <w:trPr>
          <w:trHeight w:val="300"/>
        </w:trPr>
        <w:tc>
          <w:tcPr>
            <w:tcW w:w="3534" w:type="dxa"/>
            <w:tcBorders>
              <w:top w:val="nil"/>
              <w:left w:val="nil"/>
              <w:bottom w:val="nil"/>
              <w:right w:val="nil"/>
            </w:tcBorders>
            <w:shd w:val="clear" w:color="auto" w:fill="auto"/>
            <w:noWrap/>
            <w:vAlign w:val="bottom"/>
          </w:tcPr>
          <w:p w14:paraId="6625FE0A" w14:textId="77777777" w:rsidR="00827B00" w:rsidRPr="00637A95" w:rsidRDefault="00827B00" w:rsidP="003B7808">
            <w:pPr>
              <w:pStyle w:val="Bezriadkovania"/>
              <w:rPr>
                <w:rFonts w:ascii="Arial Narrow" w:eastAsia="Times New Roman" w:hAnsi="Arial Narrow" w:cs="Calibri"/>
                <w:b/>
                <w:color w:val="000000"/>
                <w:sz w:val="20"/>
                <w:szCs w:val="20"/>
                <w:lang w:eastAsia="sk-SK"/>
              </w:rPr>
            </w:pPr>
            <w:r w:rsidRPr="00637A95">
              <w:rPr>
                <w:rFonts w:ascii="Arial Narrow" w:eastAsia="Times New Roman" w:hAnsi="Arial Narrow" w:cs="Calibri"/>
                <w:b/>
                <w:color w:val="000000"/>
                <w:sz w:val="20"/>
                <w:szCs w:val="20"/>
                <w:lang w:eastAsia="sk-SK"/>
              </w:rPr>
              <w:t>Spolu</w:t>
            </w:r>
          </w:p>
        </w:tc>
        <w:tc>
          <w:tcPr>
            <w:tcW w:w="1060" w:type="dxa"/>
            <w:tcBorders>
              <w:top w:val="nil"/>
              <w:left w:val="nil"/>
              <w:bottom w:val="nil"/>
              <w:right w:val="nil"/>
            </w:tcBorders>
            <w:shd w:val="clear" w:color="auto" w:fill="auto"/>
            <w:noWrap/>
            <w:vAlign w:val="bottom"/>
          </w:tcPr>
          <w:p w14:paraId="5A8FC456" w14:textId="77777777" w:rsidR="00827B00" w:rsidRPr="00637A95" w:rsidRDefault="00827B00" w:rsidP="003B7808">
            <w:pPr>
              <w:pStyle w:val="Bezriadkovania"/>
              <w:jc w:val="center"/>
              <w:rPr>
                <w:rFonts w:ascii="Arial Narrow" w:hAnsi="Arial Narrow" w:cs="Calibri"/>
                <w:b/>
                <w:color w:val="000000"/>
                <w:sz w:val="20"/>
                <w:szCs w:val="20"/>
              </w:rPr>
            </w:pPr>
            <w:r w:rsidRPr="00637A95">
              <w:rPr>
                <w:rFonts w:ascii="Arial Narrow" w:hAnsi="Arial Narrow" w:cs="Calibri"/>
                <w:b/>
                <w:color w:val="000000"/>
                <w:sz w:val="20"/>
                <w:szCs w:val="20"/>
              </w:rPr>
              <w:t>322</w:t>
            </w:r>
          </w:p>
        </w:tc>
        <w:tc>
          <w:tcPr>
            <w:tcW w:w="980" w:type="dxa"/>
            <w:tcBorders>
              <w:top w:val="nil"/>
              <w:left w:val="nil"/>
              <w:bottom w:val="nil"/>
              <w:right w:val="nil"/>
            </w:tcBorders>
            <w:shd w:val="clear" w:color="auto" w:fill="auto"/>
            <w:noWrap/>
            <w:vAlign w:val="bottom"/>
          </w:tcPr>
          <w:p w14:paraId="586BF700" w14:textId="77777777" w:rsidR="00827B00" w:rsidRPr="00637A95" w:rsidRDefault="00827B00" w:rsidP="003B7808">
            <w:pPr>
              <w:pStyle w:val="Bezriadkovania"/>
              <w:jc w:val="center"/>
              <w:rPr>
                <w:rFonts w:ascii="Arial Narrow" w:hAnsi="Arial Narrow" w:cs="Calibri"/>
                <w:b/>
                <w:color w:val="000000"/>
                <w:sz w:val="20"/>
                <w:szCs w:val="20"/>
              </w:rPr>
            </w:pPr>
            <w:r w:rsidRPr="00637A95">
              <w:rPr>
                <w:rFonts w:ascii="Arial Narrow" w:hAnsi="Arial Narrow" w:cs="Calibri"/>
                <w:b/>
                <w:color w:val="000000"/>
                <w:sz w:val="20"/>
                <w:szCs w:val="20"/>
              </w:rPr>
              <w:t>591</w:t>
            </w:r>
          </w:p>
        </w:tc>
        <w:tc>
          <w:tcPr>
            <w:tcW w:w="1040" w:type="dxa"/>
            <w:tcBorders>
              <w:top w:val="nil"/>
              <w:left w:val="nil"/>
              <w:bottom w:val="nil"/>
              <w:right w:val="nil"/>
            </w:tcBorders>
            <w:shd w:val="clear" w:color="auto" w:fill="auto"/>
            <w:noWrap/>
            <w:vAlign w:val="bottom"/>
          </w:tcPr>
          <w:p w14:paraId="40EF9A16" w14:textId="77777777" w:rsidR="00827B00" w:rsidRPr="00637A95" w:rsidRDefault="00827B00" w:rsidP="003B7808">
            <w:pPr>
              <w:pStyle w:val="Bezriadkovania"/>
              <w:jc w:val="center"/>
              <w:rPr>
                <w:rFonts w:ascii="Arial Narrow" w:hAnsi="Arial Narrow" w:cs="Calibri"/>
                <w:b/>
                <w:color w:val="000000"/>
                <w:sz w:val="20"/>
                <w:szCs w:val="20"/>
              </w:rPr>
            </w:pPr>
            <w:r w:rsidRPr="00637A95">
              <w:rPr>
                <w:rFonts w:ascii="Arial Narrow" w:hAnsi="Arial Narrow" w:cs="Calibri"/>
                <w:b/>
                <w:color w:val="000000"/>
                <w:sz w:val="20"/>
                <w:szCs w:val="20"/>
              </w:rPr>
              <w:t>32 613</w:t>
            </w:r>
          </w:p>
        </w:tc>
        <w:tc>
          <w:tcPr>
            <w:tcW w:w="2323" w:type="dxa"/>
            <w:tcBorders>
              <w:top w:val="nil"/>
              <w:left w:val="nil"/>
              <w:bottom w:val="nil"/>
              <w:right w:val="nil"/>
            </w:tcBorders>
            <w:shd w:val="clear" w:color="auto" w:fill="auto"/>
            <w:noWrap/>
            <w:vAlign w:val="bottom"/>
          </w:tcPr>
          <w:p w14:paraId="42F704BA" w14:textId="77777777" w:rsidR="00827B00" w:rsidRPr="00637A95" w:rsidRDefault="00827B00" w:rsidP="003B7808">
            <w:pPr>
              <w:pStyle w:val="Bezriadkovania"/>
              <w:jc w:val="center"/>
              <w:rPr>
                <w:rFonts w:ascii="Arial Narrow" w:hAnsi="Arial Narrow" w:cs="Calibri"/>
                <w:b/>
                <w:color w:val="000000"/>
                <w:sz w:val="20"/>
                <w:szCs w:val="20"/>
              </w:rPr>
            </w:pPr>
            <w:r w:rsidRPr="00637A95">
              <w:rPr>
                <w:rFonts w:ascii="Arial Narrow" w:hAnsi="Arial Narrow" w:cs="Calibri"/>
                <w:b/>
                <w:color w:val="000000"/>
                <w:sz w:val="20"/>
                <w:szCs w:val="20"/>
              </w:rPr>
              <w:t>-5 603 315.31</w:t>
            </w:r>
          </w:p>
        </w:tc>
      </w:tr>
      <w:tr w:rsidR="00827B00" w:rsidRPr="0020638D" w14:paraId="5EBEEDC3" w14:textId="77777777" w:rsidTr="003B7808">
        <w:trPr>
          <w:trHeight w:val="315"/>
        </w:trPr>
        <w:tc>
          <w:tcPr>
            <w:tcW w:w="3534" w:type="dxa"/>
            <w:tcBorders>
              <w:top w:val="nil"/>
              <w:left w:val="nil"/>
              <w:bottom w:val="single" w:sz="4" w:space="0" w:color="auto"/>
              <w:right w:val="nil"/>
            </w:tcBorders>
            <w:shd w:val="clear" w:color="auto" w:fill="auto"/>
            <w:noWrap/>
            <w:vAlign w:val="bottom"/>
            <w:hideMark/>
          </w:tcPr>
          <w:p w14:paraId="6F3609FE" w14:textId="77777777" w:rsidR="00827B00" w:rsidRPr="00637A95" w:rsidRDefault="00827B00" w:rsidP="003B7808">
            <w:pPr>
              <w:pStyle w:val="Bezriadkovania"/>
              <w:rPr>
                <w:rFonts w:ascii="Arial Narrow" w:eastAsia="Times New Roman" w:hAnsi="Arial Narrow" w:cs="Calibri"/>
                <w:b/>
                <w:bCs/>
                <w:color w:val="000000"/>
                <w:sz w:val="20"/>
                <w:szCs w:val="20"/>
                <w:lang w:eastAsia="sk-SK"/>
              </w:rPr>
            </w:pPr>
            <w:r w:rsidRPr="00637A95">
              <w:rPr>
                <w:rFonts w:ascii="Arial Narrow" w:eastAsia="Times New Roman" w:hAnsi="Arial Narrow" w:cs="Calibri"/>
                <w:b/>
                <w:bCs/>
                <w:color w:val="000000"/>
                <w:sz w:val="20"/>
                <w:szCs w:val="20"/>
                <w:lang w:eastAsia="sk-SK"/>
              </w:rPr>
              <w:t>SPOLU</w:t>
            </w:r>
          </w:p>
        </w:tc>
        <w:tc>
          <w:tcPr>
            <w:tcW w:w="1060" w:type="dxa"/>
            <w:tcBorders>
              <w:top w:val="nil"/>
              <w:left w:val="nil"/>
              <w:bottom w:val="single" w:sz="4" w:space="0" w:color="auto"/>
              <w:right w:val="nil"/>
            </w:tcBorders>
            <w:shd w:val="clear" w:color="auto" w:fill="auto"/>
            <w:noWrap/>
            <w:vAlign w:val="bottom"/>
            <w:hideMark/>
          </w:tcPr>
          <w:p w14:paraId="072A370F" w14:textId="77777777" w:rsidR="00827B00" w:rsidRPr="00637A95" w:rsidRDefault="00827B00" w:rsidP="003B7808">
            <w:pPr>
              <w:pStyle w:val="Bezriadkovania"/>
              <w:jc w:val="center"/>
              <w:rPr>
                <w:rFonts w:ascii="Arial Narrow" w:eastAsia="Times New Roman" w:hAnsi="Arial Narrow" w:cs="Calibri"/>
                <w:b/>
                <w:bCs/>
                <w:color w:val="000000"/>
                <w:sz w:val="20"/>
                <w:szCs w:val="20"/>
                <w:lang w:eastAsia="sk-SK"/>
              </w:rPr>
            </w:pPr>
            <w:r w:rsidRPr="00637A95">
              <w:rPr>
                <w:rFonts w:ascii="Arial Narrow" w:hAnsi="Arial Narrow" w:cs="Calibri"/>
                <w:b/>
                <w:bCs/>
                <w:color w:val="000000"/>
                <w:sz w:val="20"/>
                <w:szCs w:val="20"/>
              </w:rPr>
              <w:t>1 758</w:t>
            </w:r>
          </w:p>
        </w:tc>
        <w:tc>
          <w:tcPr>
            <w:tcW w:w="980" w:type="dxa"/>
            <w:tcBorders>
              <w:top w:val="nil"/>
              <w:left w:val="nil"/>
              <w:bottom w:val="single" w:sz="4" w:space="0" w:color="auto"/>
              <w:right w:val="nil"/>
            </w:tcBorders>
            <w:shd w:val="clear" w:color="auto" w:fill="auto"/>
            <w:noWrap/>
            <w:vAlign w:val="bottom"/>
            <w:hideMark/>
          </w:tcPr>
          <w:p w14:paraId="798EEF92" w14:textId="77777777" w:rsidR="00827B00" w:rsidRPr="00637A95" w:rsidRDefault="00827B00" w:rsidP="003B7808">
            <w:pPr>
              <w:pStyle w:val="Bezriadkovania"/>
              <w:jc w:val="center"/>
              <w:rPr>
                <w:rFonts w:ascii="Arial Narrow" w:eastAsia="Times New Roman" w:hAnsi="Arial Narrow" w:cs="Calibri"/>
                <w:b/>
                <w:bCs/>
                <w:color w:val="000000"/>
                <w:sz w:val="20"/>
                <w:szCs w:val="20"/>
                <w:lang w:eastAsia="sk-SK"/>
              </w:rPr>
            </w:pPr>
            <w:r w:rsidRPr="00637A95">
              <w:rPr>
                <w:rFonts w:ascii="Arial Narrow" w:hAnsi="Arial Narrow" w:cs="Calibri"/>
                <w:b/>
                <w:bCs/>
                <w:color w:val="000000"/>
                <w:sz w:val="20"/>
                <w:szCs w:val="20"/>
              </w:rPr>
              <w:t>2 668</w:t>
            </w:r>
          </w:p>
        </w:tc>
        <w:tc>
          <w:tcPr>
            <w:tcW w:w="1040" w:type="dxa"/>
            <w:tcBorders>
              <w:top w:val="nil"/>
              <w:left w:val="nil"/>
              <w:bottom w:val="single" w:sz="4" w:space="0" w:color="auto"/>
              <w:right w:val="nil"/>
            </w:tcBorders>
            <w:shd w:val="clear" w:color="auto" w:fill="auto"/>
            <w:noWrap/>
            <w:vAlign w:val="bottom"/>
            <w:hideMark/>
          </w:tcPr>
          <w:p w14:paraId="7B89ABEC" w14:textId="77777777" w:rsidR="00827B00" w:rsidRPr="00637A95" w:rsidRDefault="00827B00" w:rsidP="003B7808">
            <w:pPr>
              <w:pStyle w:val="Bezriadkovania"/>
              <w:jc w:val="center"/>
              <w:rPr>
                <w:rFonts w:ascii="Arial Narrow" w:eastAsia="Times New Roman" w:hAnsi="Arial Narrow" w:cs="Calibri"/>
                <w:b/>
                <w:bCs/>
                <w:color w:val="000000"/>
                <w:sz w:val="20"/>
                <w:szCs w:val="20"/>
                <w:lang w:eastAsia="sk-SK"/>
              </w:rPr>
            </w:pPr>
            <w:r w:rsidRPr="00637A95">
              <w:rPr>
                <w:rFonts w:ascii="Arial Narrow" w:hAnsi="Arial Narrow" w:cs="Calibri"/>
                <w:b/>
                <w:bCs/>
                <w:color w:val="000000"/>
                <w:sz w:val="20"/>
                <w:szCs w:val="20"/>
              </w:rPr>
              <w:t>144 337</w:t>
            </w:r>
          </w:p>
        </w:tc>
        <w:tc>
          <w:tcPr>
            <w:tcW w:w="2323" w:type="dxa"/>
            <w:tcBorders>
              <w:top w:val="nil"/>
              <w:left w:val="nil"/>
              <w:bottom w:val="single" w:sz="4" w:space="0" w:color="auto"/>
              <w:right w:val="nil"/>
            </w:tcBorders>
            <w:shd w:val="clear" w:color="auto" w:fill="auto"/>
            <w:noWrap/>
            <w:vAlign w:val="bottom"/>
            <w:hideMark/>
          </w:tcPr>
          <w:p w14:paraId="6B956E8C" w14:textId="77777777" w:rsidR="00827B00" w:rsidRPr="00637A95" w:rsidRDefault="00827B00" w:rsidP="003B7808">
            <w:pPr>
              <w:pStyle w:val="Bezriadkovania"/>
              <w:jc w:val="center"/>
              <w:rPr>
                <w:rFonts w:ascii="Arial Narrow" w:eastAsia="Times New Roman" w:hAnsi="Arial Narrow" w:cs="Calibri"/>
                <w:b/>
                <w:bCs/>
                <w:color w:val="000000"/>
                <w:sz w:val="20"/>
                <w:szCs w:val="20"/>
                <w:lang w:eastAsia="sk-SK"/>
              </w:rPr>
            </w:pPr>
            <w:r w:rsidRPr="00637A95">
              <w:rPr>
                <w:rFonts w:ascii="Arial Narrow" w:hAnsi="Arial Narrow" w:cs="Calibri"/>
                <w:b/>
                <w:bCs/>
                <w:color w:val="000000"/>
                <w:sz w:val="20"/>
                <w:szCs w:val="20"/>
              </w:rPr>
              <w:t>41 563 865.85</w:t>
            </w:r>
          </w:p>
        </w:tc>
      </w:tr>
      <w:tr w:rsidR="00827B00" w:rsidRPr="0020638D" w14:paraId="68914F1E" w14:textId="77777777" w:rsidTr="003B7808">
        <w:trPr>
          <w:trHeight w:val="720"/>
        </w:trPr>
        <w:tc>
          <w:tcPr>
            <w:tcW w:w="8937" w:type="dxa"/>
            <w:gridSpan w:val="5"/>
            <w:tcBorders>
              <w:top w:val="single" w:sz="4" w:space="0" w:color="auto"/>
              <w:left w:val="nil"/>
              <w:bottom w:val="nil"/>
              <w:right w:val="nil"/>
            </w:tcBorders>
            <w:shd w:val="clear" w:color="auto" w:fill="auto"/>
            <w:hideMark/>
          </w:tcPr>
          <w:p w14:paraId="5DB44A40" w14:textId="77777777" w:rsidR="00827B00" w:rsidRPr="0020638D" w:rsidRDefault="00827B00" w:rsidP="003B7808">
            <w:pPr>
              <w:pStyle w:val="Bezriadkovania"/>
              <w:rPr>
                <w:rFonts w:ascii="Arial Narrow" w:eastAsia="Times New Roman" w:hAnsi="Arial Narrow" w:cs="Calibri"/>
                <w:i/>
                <w:iCs/>
                <w:color w:val="000000"/>
                <w:sz w:val="18"/>
                <w:szCs w:val="16"/>
                <w:lang w:eastAsia="sk-SK"/>
              </w:rPr>
            </w:pPr>
            <w:r w:rsidRPr="0020638D">
              <w:rPr>
                <w:rFonts w:ascii="Arial Narrow" w:eastAsia="Times New Roman" w:hAnsi="Arial Narrow" w:cs="Calibri"/>
                <w:i/>
                <w:iCs/>
                <w:color w:val="000000"/>
                <w:sz w:val="16"/>
                <w:szCs w:val="16"/>
                <w:lang w:eastAsia="sk-SK"/>
              </w:rPr>
              <w:t>Zdroj: prepočty IVP na základe údajov CVTI SR (2016, 2017), MF SR (2017) a RIS MŠVVŠ SR (2016, 2017)</w:t>
            </w:r>
            <w:r w:rsidRPr="0020638D">
              <w:rPr>
                <w:rFonts w:ascii="Arial Narrow" w:eastAsia="Times New Roman" w:hAnsi="Arial Narrow" w:cs="Calibri"/>
                <w:i/>
                <w:iCs/>
                <w:color w:val="000000"/>
                <w:sz w:val="16"/>
                <w:szCs w:val="16"/>
                <w:lang w:eastAsia="sk-SK"/>
              </w:rPr>
              <w:br/>
              <w:t>Počet detí a MŠ je prepočítaný počet na kalendárny rok 2017. Vylúčené obce, pri ktorých sú výdavky na dieťa vyššie ako 5 000 EUR alebo nižšie ako 1 000 EUR.</w:t>
            </w:r>
          </w:p>
        </w:tc>
      </w:tr>
    </w:tbl>
    <w:p w14:paraId="2F127DD0" w14:textId="77777777" w:rsidR="00827B00" w:rsidRDefault="00827B00">
      <w:pPr>
        <w:spacing w:after="160"/>
        <w:jc w:val="left"/>
        <w:rPr>
          <w:b/>
          <w:iCs/>
          <w:color w:val="2E74B5" w:themeColor="accent1" w:themeShade="BF"/>
          <w:szCs w:val="18"/>
        </w:rPr>
      </w:pPr>
      <w:r>
        <w:rPr>
          <w:b/>
          <w:i/>
          <w:color w:val="2E74B5" w:themeColor="accent1" w:themeShade="BF"/>
        </w:rPr>
        <w:br w:type="page"/>
      </w:r>
    </w:p>
    <w:p w14:paraId="20586ACB" w14:textId="77777777" w:rsidR="00D5224B" w:rsidRPr="00DF3709" w:rsidRDefault="00D5224B" w:rsidP="00D5224B">
      <w:pPr>
        <w:pStyle w:val="Popis"/>
        <w:rPr>
          <w:b/>
          <w:i w:val="0"/>
          <w:color w:val="2E74B5" w:themeColor="accent1" w:themeShade="BF"/>
          <w:sz w:val="22"/>
        </w:rPr>
      </w:pPr>
      <w:bookmarkStart w:id="1898" w:name="_Ref25324181"/>
      <w:bookmarkStart w:id="1899" w:name="_Hlk24490189"/>
      <w:r w:rsidRPr="00DF3709">
        <w:rPr>
          <w:b/>
          <w:i w:val="0"/>
          <w:color w:val="2E74B5" w:themeColor="accent1" w:themeShade="BF"/>
          <w:sz w:val="22"/>
        </w:rPr>
        <w:t xml:space="preserve">Príloha </w:t>
      </w:r>
      <w:r w:rsidRPr="00DF3709">
        <w:rPr>
          <w:b/>
          <w:i w:val="0"/>
          <w:color w:val="2E74B5" w:themeColor="accent1" w:themeShade="BF"/>
          <w:sz w:val="22"/>
        </w:rPr>
        <w:fldChar w:fldCharType="begin"/>
      </w:r>
      <w:r w:rsidRPr="00DF3709">
        <w:rPr>
          <w:b/>
          <w:i w:val="0"/>
          <w:color w:val="2E74B5" w:themeColor="accent1" w:themeShade="BF"/>
          <w:sz w:val="22"/>
        </w:rPr>
        <w:instrText xml:space="preserve"> SEQ Príloha \* ARABIC </w:instrText>
      </w:r>
      <w:r w:rsidRPr="00DF3709">
        <w:rPr>
          <w:b/>
          <w:i w:val="0"/>
          <w:color w:val="2E74B5" w:themeColor="accent1" w:themeShade="BF"/>
          <w:sz w:val="22"/>
        </w:rPr>
        <w:fldChar w:fldCharType="separate"/>
      </w:r>
      <w:r w:rsidR="00FA29AF">
        <w:rPr>
          <w:b/>
          <w:i w:val="0"/>
          <w:noProof/>
          <w:color w:val="2E74B5" w:themeColor="accent1" w:themeShade="BF"/>
          <w:sz w:val="22"/>
        </w:rPr>
        <w:t>10</w:t>
      </w:r>
      <w:r w:rsidRPr="00DF3709">
        <w:rPr>
          <w:b/>
          <w:i w:val="0"/>
          <w:color w:val="2E74B5" w:themeColor="accent1" w:themeShade="BF"/>
          <w:sz w:val="22"/>
        </w:rPr>
        <w:fldChar w:fldCharType="end"/>
      </w:r>
      <w:bookmarkEnd w:id="1898"/>
      <w:r w:rsidRPr="00DF3709">
        <w:rPr>
          <w:b/>
          <w:i w:val="0"/>
          <w:color w:val="2E74B5" w:themeColor="accent1" w:themeShade="BF"/>
          <w:sz w:val="22"/>
        </w:rPr>
        <w:t>: Národné projekty zamerané na inklúziu vo vzdelávaní</w:t>
      </w:r>
    </w:p>
    <w:bookmarkEnd w:id="1899"/>
    <w:p w14:paraId="7B05C436" w14:textId="1459242A" w:rsidR="00D5224B" w:rsidRPr="00931D71" w:rsidRDefault="00D5224B" w:rsidP="00D5224B">
      <w:pPr>
        <w:rPr>
          <w:b/>
        </w:rPr>
      </w:pPr>
      <w:r w:rsidRPr="00931D71">
        <w:rPr>
          <w:b/>
        </w:rPr>
        <w:t>Metodicko-pedagogické centrum ako priamo riadená organizácia MŠ</w:t>
      </w:r>
      <w:r w:rsidR="00BB5F81">
        <w:rPr>
          <w:b/>
        </w:rPr>
        <w:t>VVŠ a Úrad splnomocnenca SR pre </w:t>
      </w:r>
      <w:r w:rsidRPr="00931D71">
        <w:rPr>
          <w:b/>
        </w:rPr>
        <w:t xml:space="preserve">rómske komunity v rámci rezortu MV SR v súčasnosti realizujú </w:t>
      </w:r>
      <w:r>
        <w:rPr>
          <w:b/>
        </w:rPr>
        <w:t>národné projekty zamerané</w:t>
      </w:r>
      <w:r w:rsidR="00BB5F81">
        <w:rPr>
          <w:b/>
        </w:rPr>
        <w:t xml:space="preserve"> na </w:t>
      </w:r>
      <w:r w:rsidRPr="00931D71">
        <w:rPr>
          <w:b/>
        </w:rPr>
        <w:t xml:space="preserve">zvyšovanie inkluzívnosti vzdelávania spolu v hodnote </w:t>
      </w:r>
      <w:r w:rsidR="001A43B9">
        <w:rPr>
          <w:b/>
          <w:bCs/>
          <w:color w:val="212121"/>
        </w:rPr>
        <w:t>vyše 109 miliónov</w:t>
      </w:r>
      <w:r w:rsidRPr="00931D71">
        <w:rPr>
          <w:b/>
        </w:rPr>
        <w:t xml:space="preserve"> eur. Aktivity projektov primárne sústredia na personálu podporu škôl – zamestnávanie </w:t>
      </w:r>
      <w:r w:rsidR="00BB5F81">
        <w:rPr>
          <w:b/>
        </w:rPr>
        <w:t>pedagogických asistentov (PA) a </w:t>
      </w:r>
      <w:r w:rsidRPr="00931D71">
        <w:rPr>
          <w:b/>
        </w:rPr>
        <w:t>vytváranie inkluzívnych tímov odborných zamestnancov (OZ) v zložení</w:t>
      </w:r>
      <w:r w:rsidR="00BB5F81">
        <w:rPr>
          <w:b/>
        </w:rPr>
        <w:t xml:space="preserve"> špeciálny a sociálny pedagóg a </w:t>
      </w:r>
      <w:r w:rsidRPr="00931D71">
        <w:rPr>
          <w:b/>
        </w:rPr>
        <w:t>školský psychológ, ako aj na obsahovú, metodickú a vzdelávaciu podporu škôl – tvorba metodík, systémov včasnej diagnostiky (depistáž a screening) a stimulačných programov v MŠ, tvorba vzdelávacích plánov, celodenných výchovno-vzdelávacích programov a programov neformálneho vzdelávania, podpora spolupráce s rodičmi či vzdelávanie učiteľov.</w:t>
      </w:r>
      <w:r>
        <w:rPr>
          <w:b/>
        </w:rPr>
        <w:t xml:space="preserve"> </w:t>
      </w:r>
      <w:r w:rsidRPr="00931D71">
        <w:t>Ide o projekty Zavádzanie inkluzívnych prístupov edukácie (ZIPE) a Pomáhajúce profesie v edukácii (jún 2019 až december 2022), do ktorých s</w:t>
      </w:r>
      <w:r w:rsidR="008D6E3E">
        <w:t>a môže zapojiť spolu 610 MŠ, ZŠ </w:t>
      </w:r>
      <w:r w:rsidRPr="00931D71">
        <w:t>a SŠ. Celková alokácia je viac ako 96 miliónov eur</w:t>
      </w:r>
      <w:r w:rsidRPr="00931D71">
        <w:rPr>
          <w:rStyle w:val="Odkaznapoznmkupodiarou"/>
        </w:rPr>
        <w:footnoteReference w:id="526"/>
      </w:r>
      <w:r w:rsidRPr="00931D71">
        <w:t>. Úrad splnomocnenca SR pre rómske komunity v rámci rezortu MV SR realizuje Projekt inklúzie v materských školách (PRIM), špecificky určený 150 obciam identifikovaným na základe odsúhlasenej metodológie zjednodušeného</w:t>
      </w:r>
      <w:r w:rsidR="008D6E3E">
        <w:t xml:space="preserve"> indexu pásma segregácie, resp. </w:t>
      </w:r>
      <w:r w:rsidRPr="00931D71">
        <w:t xml:space="preserve">podrozvinutosti (najmä obce s vysokým zastúpením MRK). Celková </w:t>
      </w:r>
      <w:r w:rsidRPr="001A43B9">
        <w:t xml:space="preserve">alokácia je </w:t>
      </w:r>
      <w:r w:rsidR="001A43B9" w:rsidRPr="001A43B9">
        <w:t>viac ako 13 miliónov</w:t>
      </w:r>
      <w:r w:rsidRPr="001A43B9">
        <w:t xml:space="preserve"> eur</w:t>
      </w:r>
      <w:r w:rsidRPr="001A43B9">
        <w:rPr>
          <w:rStyle w:val="Odkaznapoznmkupodiarou"/>
        </w:rPr>
        <w:footnoteReference w:id="527"/>
      </w:r>
      <w:r w:rsidR="008D6E3E">
        <w:t>. V </w:t>
      </w:r>
      <w:r>
        <w:t>rokoch 2011-2019 realizoval Metodicko-pedagogické centrum ďalšie štyri</w:t>
      </w:r>
      <w:r w:rsidR="008D6E3E">
        <w:t xml:space="preserve"> projekty (MRK, MRK 2, PRINED a </w:t>
      </w:r>
      <w:r>
        <w:t>ŠOV) spolu za 62,2 milióna eur. Zapojených bolo 310 materských škôl a 430 základných škôl.</w:t>
      </w:r>
      <w:r>
        <w:rPr>
          <w:b/>
        </w:rPr>
        <w:t xml:space="preserve"> </w:t>
      </w:r>
    </w:p>
    <w:p w14:paraId="27453CFC" w14:textId="77777777" w:rsidR="00D5224B" w:rsidRDefault="00D5224B" w:rsidP="00D5224B">
      <w:r>
        <w:rPr>
          <w:b/>
        </w:rPr>
        <w:t xml:space="preserve">Financovanie kľúčových opatrení na zvýšenie inklúzie prostredníctvom národných projektov môže predstavovať pre celoplošné zvyšovanie podpory detí a žiakov zo SZP a so ZZ vo výchovno-vzdelávacom procese významné riziká. </w:t>
      </w:r>
      <w:r w:rsidRPr="000E16E9">
        <w:t>NP sú nevyhnutne obmedzené z hľadiska času, ako aj počtu zasiahnutých subjektov.</w:t>
      </w:r>
      <w:r>
        <w:t xml:space="preserve"> Napríklad v rámci projektu PRINED sa napríklad mohlo o podporu uchádzať 50 MŠ a 100 ZŠ vo všetkých krajoch okrem Bratislavského. V týchto krajoch tak bolo v daných školských rokoch zasiahnutých menej ako 5,5 % štátnych ZŠ a menej ako 2 % štátnych MŠ.</w:t>
      </w:r>
      <w:r>
        <w:rPr>
          <w:rStyle w:val="Odkaznapoznmkupodiarou"/>
        </w:rPr>
        <w:footnoteReference w:id="528"/>
      </w:r>
      <w:r>
        <w:t xml:space="preserve"> Napriek navyšovaniu počtu zasiahnutých škôl v nadväzujúcich projektoch závisí podpora žiakov zo SZP a so ZZ aj od možností a ochoty riaditeľov škôl zapojiť sa do projektov, pričom projekty predstavujú zvýšenú administratívnu zaťaž. </w:t>
      </w:r>
    </w:p>
    <w:p w14:paraId="264162A5" w14:textId="77777777" w:rsidR="00D5224B" w:rsidRDefault="00D5224B" w:rsidP="00D5224B">
      <w:r>
        <w:rPr>
          <w:b/>
        </w:rPr>
        <w:t>Hoci realizované opatrenia nasledujú princípy inkluzívneho vzdelávania a medzinárodnú dobrú prax, p</w:t>
      </w:r>
      <w:r w:rsidRPr="004D3A40">
        <w:rPr>
          <w:b/>
        </w:rPr>
        <w:t xml:space="preserve">rostredníctvom NP nie je </w:t>
      </w:r>
      <w:r>
        <w:rPr>
          <w:b/>
        </w:rPr>
        <w:t xml:space="preserve">aktuálne </w:t>
      </w:r>
      <w:r w:rsidRPr="004D3A40">
        <w:rPr>
          <w:b/>
        </w:rPr>
        <w:t>možné poskytnúť nárokovateľnú a stabilnú podporu pre všetkých žiakov, ktorí ju potrebujú.</w:t>
      </w:r>
      <w:r>
        <w:rPr>
          <w:b/>
        </w:rPr>
        <w:t xml:space="preserve"> </w:t>
      </w:r>
      <w:r w:rsidRPr="00FA04C2">
        <w:t>Rovnako je potrebné zlepšiť procesy evalvácie NP</w:t>
      </w:r>
      <w:r>
        <w:t>. Aktuálne evalvačné správy síce naznačujú zlepšenia v sledovaných indikátoroch, metodológia viacerých z analýz však neumožňuje výsledky realizovaných aktivít dostatočne vyhodnotiť.</w:t>
      </w:r>
    </w:p>
    <w:p w14:paraId="7278FF23" w14:textId="58361D65" w:rsidR="008226ED" w:rsidRPr="00DF3709" w:rsidRDefault="00494ABB" w:rsidP="00494ABB">
      <w:pPr>
        <w:pStyle w:val="Popis"/>
        <w:rPr>
          <w:b/>
          <w:i w:val="0"/>
          <w:color w:val="2E74B5" w:themeColor="accent1" w:themeShade="BF"/>
          <w:sz w:val="22"/>
        </w:rPr>
      </w:pPr>
      <w:bookmarkStart w:id="1900" w:name="_Ref34129691"/>
      <w:r w:rsidRPr="00DF3709">
        <w:rPr>
          <w:b/>
          <w:i w:val="0"/>
          <w:color w:val="2E74B5" w:themeColor="accent1" w:themeShade="BF"/>
          <w:sz w:val="22"/>
        </w:rPr>
        <w:t xml:space="preserve">Príloha </w:t>
      </w:r>
      <w:r w:rsidRPr="00DF3709">
        <w:rPr>
          <w:b/>
          <w:i w:val="0"/>
          <w:color w:val="2E74B5" w:themeColor="accent1" w:themeShade="BF"/>
          <w:sz w:val="22"/>
        </w:rPr>
        <w:fldChar w:fldCharType="begin"/>
      </w:r>
      <w:r w:rsidRPr="00DF3709">
        <w:rPr>
          <w:b/>
          <w:i w:val="0"/>
          <w:color w:val="2E74B5" w:themeColor="accent1" w:themeShade="BF"/>
          <w:sz w:val="22"/>
        </w:rPr>
        <w:instrText xml:space="preserve"> SEQ Príloha \* ARABIC </w:instrText>
      </w:r>
      <w:r w:rsidRPr="00DF3709">
        <w:rPr>
          <w:b/>
          <w:i w:val="0"/>
          <w:color w:val="2E74B5" w:themeColor="accent1" w:themeShade="BF"/>
          <w:sz w:val="22"/>
        </w:rPr>
        <w:fldChar w:fldCharType="separate"/>
      </w:r>
      <w:r w:rsidR="00FA29AF">
        <w:rPr>
          <w:b/>
          <w:i w:val="0"/>
          <w:noProof/>
          <w:color w:val="2E74B5" w:themeColor="accent1" w:themeShade="BF"/>
          <w:sz w:val="22"/>
        </w:rPr>
        <w:t>11</w:t>
      </w:r>
      <w:r w:rsidRPr="00DF3709">
        <w:rPr>
          <w:b/>
          <w:i w:val="0"/>
          <w:color w:val="2E74B5" w:themeColor="accent1" w:themeShade="BF"/>
          <w:sz w:val="22"/>
        </w:rPr>
        <w:fldChar w:fldCharType="end"/>
      </w:r>
      <w:bookmarkEnd w:id="1893"/>
      <w:bookmarkEnd w:id="1900"/>
      <w:r w:rsidR="00DF3709" w:rsidRPr="00DF3709">
        <w:rPr>
          <w:b/>
          <w:i w:val="0"/>
          <w:color w:val="2E74B5" w:themeColor="accent1" w:themeShade="BF"/>
          <w:sz w:val="22"/>
        </w:rPr>
        <w:t>:</w:t>
      </w:r>
      <w:r w:rsidR="008226ED" w:rsidRPr="00DF3709">
        <w:rPr>
          <w:b/>
          <w:i w:val="0"/>
          <w:color w:val="2E74B5" w:themeColor="accent1" w:themeShade="BF"/>
          <w:sz w:val="22"/>
        </w:rPr>
        <w:t xml:space="preserve"> Index odlišnosti a segregácia vo vzdelávaní</w:t>
      </w:r>
    </w:p>
    <w:bookmarkEnd w:id="1894"/>
    <w:p w14:paraId="26E0E285" w14:textId="1B08C6AE" w:rsidR="008226ED" w:rsidRPr="00E32A3F" w:rsidRDefault="008226ED" w:rsidP="008226ED">
      <w:pPr>
        <w:pStyle w:val="Bezriadkovania"/>
        <w:spacing w:after="240" w:line="259" w:lineRule="auto"/>
        <w:jc w:val="both"/>
        <w:rPr>
          <w:rFonts w:ascii="Arial Narrow" w:hAnsi="Arial Narrow"/>
        </w:rPr>
      </w:pPr>
      <w:r w:rsidRPr="00E32A3F">
        <w:rPr>
          <w:rFonts w:ascii="Arial Narrow" w:hAnsi="Arial Narrow"/>
        </w:rPr>
        <w:t>Index odlišnosti (dissimilarity index) (Duncan a Duncan, 1975) meria vyváženosť s akou sú dve skupiny rozdelené medzi jednotky (napr. triedy), ktoré tvoria súčasť väčšieho celku (napr. ročníka školy). Index odlišnosti má rozsah od 0 v prípade, že podiely skupín sú rovnaké naprieč jednotkami (žiadne vyčleňovanie), až po 1 v prípade, že dve skupiny sú úplne oddelené do odlišných jednotiek v rámci celku (úplné vyčleňovanie). Hodnotu indexu odlišnosti možno voľne chápať ako podiel populácie jednej zo skupín, ktorý by musel pr</w:t>
      </w:r>
      <w:r w:rsidR="004B4000">
        <w:rPr>
          <w:rFonts w:ascii="Arial Narrow" w:hAnsi="Arial Narrow"/>
        </w:rPr>
        <w:t>estúpiť do inej jednotky aby sa </w:t>
      </w:r>
      <w:r w:rsidRPr="00E32A3F">
        <w:rPr>
          <w:rFonts w:ascii="Arial Narrow" w:hAnsi="Arial Narrow"/>
        </w:rPr>
        <w:t>dosiahlo rovnomerné rozdelenie skupín naprieč jednotkami.</w:t>
      </w:r>
    </w:p>
    <w:p w14:paraId="1C5EC516" w14:textId="62B83EC0" w:rsidR="008226ED" w:rsidRPr="00E32A3F" w:rsidRDefault="008226ED" w:rsidP="008226ED">
      <w:pPr>
        <w:pStyle w:val="Normlnywebov"/>
        <w:spacing w:before="0" w:beforeAutospacing="0" w:after="0" w:afterAutospacing="0" w:line="259" w:lineRule="auto"/>
        <w:jc w:val="both"/>
        <w:rPr>
          <w:rFonts w:ascii="Arial Narrow" w:hAnsi="Arial Narrow"/>
          <w:sz w:val="22"/>
          <w:szCs w:val="22"/>
          <w:lang w:val="sk-SK"/>
        </w:rPr>
      </w:pPr>
      <w:r w:rsidRPr="00E32A3F">
        <w:rPr>
          <w:rFonts w:ascii="Arial Narrow" w:hAnsi="Arial Narrow"/>
          <w:sz w:val="22"/>
          <w:szCs w:val="22"/>
          <w:lang w:val="sk-SK"/>
        </w:rPr>
        <w:t>Index odlišnosti je určený nasledovným vzorcom:</w:t>
      </w:r>
    </w:p>
    <w:p w14:paraId="7ABB9C61" w14:textId="77777777" w:rsidR="008226ED" w:rsidRPr="00E32A3F" w:rsidRDefault="008226ED" w:rsidP="008226ED">
      <w:pPr>
        <w:pStyle w:val="Normlnywebov"/>
        <w:spacing w:before="0" w:beforeAutospacing="0" w:after="0" w:afterAutospacing="0" w:line="259" w:lineRule="auto"/>
        <w:jc w:val="both"/>
        <w:rPr>
          <w:rFonts w:ascii="Arial Narrow" w:hAnsi="Arial Narrow"/>
          <w:sz w:val="22"/>
          <w:szCs w:val="22"/>
          <w:lang w:val="sk-SK"/>
        </w:rPr>
      </w:pPr>
    </w:p>
    <w:p w14:paraId="0A6B28B5" w14:textId="77777777" w:rsidR="008226ED" w:rsidRPr="00E32A3F" w:rsidRDefault="000D2802" w:rsidP="008226ED">
      <w:pPr>
        <w:pStyle w:val="Normlnywebov"/>
        <w:spacing w:before="0" w:beforeAutospacing="0" w:after="0" w:afterAutospacing="0" w:line="259" w:lineRule="auto"/>
        <w:jc w:val="both"/>
        <w:rPr>
          <w:rFonts w:ascii="Arial Narrow" w:hAnsi="Arial Narrow"/>
          <w:sz w:val="22"/>
          <w:szCs w:val="22"/>
          <w:lang w:val="sk-SK"/>
        </w:rPr>
      </w:pPr>
      <m:oMath>
        <m:f>
          <m:fPr>
            <m:ctrlPr>
              <w:rPr>
                <w:rFonts w:ascii="Cambria Math" w:hAnsi="Cambria Math"/>
                <w:i/>
                <w:sz w:val="22"/>
                <w:szCs w:val="22"/>
                <w:lang w:val="sk-SK"/>
              </w:rPr>
            </m:ctrlPr>
          </m:fPr>
          <m:num>
            <m:r>
              <w:rPr>
                <w:rFonts w:ascii="Cambria Math" w:hAnsi="Cambria Math"/>
                <w:sz w:val="22"/>
                <w:szCs w:val="22"/>
                <w:lang w:val="sk-SK"/>
              </w:rPr>
              <m:t>1</m:t>
            </m:r>
          </m:num>
          <m:den>
            <m:r>
              <w:rPr>
                <w:rFonts w:ascii="Cambria Math" w:hAnsi="Cambria Math"/>
                <w:sz w:val="22"/>
                <w:szCs w:val="22"/>
                <w:lang w:val="sk-SK"/>
              </w:rPr>
              <m:t>2</m:t>
            </m:r>
          </m:den>
        </m:f>
        <m:nary>
          <m:naryPr>
            <m:chr m:val="∑"/>
            <m:limLoc m:val="undOvr"/>
            <m:ctrlPr>
              <w:rPr>
                <w:rFonts w:ascii="Cambria Math" w:hAnsi="Cambria Math"/>
                <w:i/>
                <w:sz w:val="22"/>
                <w:szCs w:val="22"/>
                <w:lang w:val="sk-SK"/>
              </w:rPr>
            </m:ctrlPr>
          </m:naryPr>
          <m:sub>
            <m:r>
              <w:rPr>
                <w:rFonts w:ascii="Cambria Math" w:hAnsi="Cambria Math"/>
                <w:sz w:val="22"/>
                <w:szCs w:val="22"/>
                <w:lang w:val="sk-SK"/>
              </w:rPr>
              <m:t>i=1</m:t>
            </m:r>
          </m:sub>
          <m:sup>
            <m:r>
              <w:rPr>
                <w:rFonts w:ascii="Cambria Math" w:hAnsi="Cambria Math"/>
                <w:sz w:val="22"/>
                <w:szCs w:val="22"/>
                <w:lang w:val="sk-SK"/>
              </w:rPr>
              <m:t>N</m:t>
            </m:r>
          </m:sup>
          <m:e>
            <m:d>
              <m:dPr>
                <m:begChr m:val="|"/>
                <m:endChr m:val="|"/>
                <m:ctrlPr>
                  <w:rPr>
                    <w:rFonts w:ascii="Cambria Math" w:hAnsi="Cambria Math"/>
                    <w:i/>
                    <w:sz w:val="22"/>
                    <w:szCs w:val="22"/>
                    <w:lang w:val="sk-SK"/>
                  </w:rPr>
                </m:ctrlPr>
              </m:dPr>
              <m:e>
                <m:f>
                  <m:fPr>
                    <m:ctrlPr>
                      <w:rPr>
                        <w:rFonts w:ascii="Cambria Math" w:hAnsi="Cambria Math"/>
                        <w:i/>
                        <w:sz w:val="22"/>
                        <w:szCs w:val="22"/>
                        <w:lang w:val="sk-SK"/>
                      </w:rPr>
                    </m:ctrlPr>
                  </m:fPr>
                  <m:num>
                    <m:sSub>
                      <m:sSubPr>
                        <m:ctrlPr>
                          <w:rPr>
                            <w:rFonts w:ascii="Cambria Math" w:hAnsi="Cambria Math"/>
                            <w:i/>
                            <w:sz w:val="22"/>
                            <w:szCs w:val="22"/>
                            <w:lang w:val="sk-SK"/>
                          </w:rPr>
                        </m:ctrlPr>
                      </m:sSubPr>
                      <m:e>
                        <m:r>
                          <w:rPr>
                            <w:rFonts w:ascii="Cambria Math" w:hAnsi="Cambria Math"/>
                            <w:sz w:val="22"/>
                            <w:szCs w:val="22"/>
                            <w:lang w:val="sk-SK"/>
                          </w:rPr>
                          <m:t>a</m:t>
                        </m:r>
                      </m:e>
                      <m:sub>
                        <m:r>
                          <w:rPr>
                            <w:rFonts w:ascii="Cambria Math" w:hAnsi="Cambria Math"/>
                            <w:sz w:val="22"/>
                            <w:szCs w:val="22"/>
                            <w:lang w:val="sk-SK"/>
                          </w:rPr>
                          <m:t>i</m:t>
                        </m:r>
                      </m:sub>
                    </m:sSub>
                  </m:num>
                  <m:den>
                    <m:r>
                      <w:rPr>
                        <w:rFonts w:ascii="Cambria Math" w:hAnsi="Cambria Math"/>
                        <w:sz w:val="22"/>
                        <w:szCs w:val="22"/>
                        <w:lang w:val="sk-SK"/>
                      </w:rPr>
                      <m:t>A</m:t>
                    </m:r>
                  </m:den>
                </m:f>
                <m:r>
                  <w:rPr>
                    <w:rFonts w:ascii="Cambria Math" w:hAnsi="Cambria Math"/>
                    <w:sz w:val="22"/>
                    <w:szCs w:val="22"/>
                    <w:lang w:val="sk-SK"/>
                  </w:rPr>
                  <m:t>-</m:t>
                </m:r>
                <m:f>
                  <m:fPr>
                    <m:ctrlPr>
                      <w:rPr>
                        <w:rFonts w:ascii="Cambria Math" w:hAnsi="Cambria Math"/>
                        <w:i/>
                        <w:sz w:val="22"/>
                        <w:szCs w:val="22"/>
                        <w:lang w:val="sk-SK"/>
                      </w:rPr>
                    </m:ctrlPr>
                  </m:fPr>
                  <m:num>
                    <m:sSub>
                      <m:sSubPr>
                        <m:ctrlPr>
                          <w:rPr>
                            <w:rFonts w:ascii="Cambria Math" w:hAnsi="Cambria Math"/>
                            <w:i/>
                            <w:sz w:val="22"/>
                            <w:szCs w:val="22"/>
                            <w:lang w:val="sk-SK"/>
                          </w:rPr>
                        </m:ctrlPr>
                      </m:sSubPr>
                      <m:e>
                        <m:r>
                          <w:rPr>
                            <w:rFonts w:ascii="Cambria Math" w:hAnsi="Cambria Math"/>
                            <w:sz w:val="22"/>
                            <w:szCs w:val="22"/>
                            <w:lang w:val="sk-SK"/>
                          </w:rPr>
                          <m:t>b</m:t>
                        </m:r>
                      </m:e>
                      <m:sub>
                        <m:r>
                          <w:rPr>
                            <w:rFonts w:ascii="Cambria Math" w:hAnsi="Cambria Math"/>
                            <w:sz w:val="22"/>
                            <w:szCs w:val="22"/>
                            <w:lang w:val="sk-SK"/>
                          </w:rPr>
                          <m:t>i</m:t>
                        </m:r>
                      </m:sub>
                    </m:sSub>
                  </m:num>
                  <m:den>
                    <m:r>
                      <w:rPr>
                        <w:rFonts w:ascii="Cambria Math" w:hAnsi="Cambria Math"/>
                        <w:sz w:val="22"/>
                        <w:szCs w:val="22"/>
                        <w:lang w:val="sk-SK"/>
                      </w:rPr>
                      <m:t>B</m:t>
                    </m:r>
                  </m:den>
                </m:f>
              </m:e>
            </m:d>
          </m:e>
        </m:nary>
        <m:r>
          <w:rPr>
            <w:rFonts w:ascii="Cambria Math" w:hAnsi="Cambria Math"/>
            <w:vanish/>
            <w:sz w:val="22"/>
            <w:szCs w:val="22"/>
            <w:lang w:val="sk-SK"/>
          </w:rPr>
          <m:t>1-2</m:t>
        </m:r>
      </m:oMath>
      <w:r w:rsidR="008226ED" w:rsidRPr="00E32A3F">
        <w:rPr>
          <w:rFonts w:ascii="Arial Narrow" w:hAnsi="Arial Narrow"/>
          <w:vanish/>
          <w:sz w:val="22"/>
          <w:szCs w:val="22"/>
          <w:lang w:val="sk-SK"/>
        </w:rPr>
        <w:t xml:space="preserve">1 2 ∑ i = 1 N | a i A − b i B | {\displaystyle {\frac {1}{2}}\sum _{i=1}^{N}\left|{\frac {a_{i}}{A}}-{\frac {b_{i}}{B}}\right|} </w:t>
      </w:r>
    </w:p>
    <w:p w14:paraId="4C0557C8" w14:textId="77777777" w:rsidR="008226ED" w:rsidRPr="00E32A3F" w:rsidRDefault="008226ED" w:rsidP="008226ED">
      <w:pPr>
        <w:spacing w:after="0"/>
        <w:rPr>
          <w:rFonts w:eastAsia="Times New Roman" w:cs="Times New Roman"/>
        </w:rPr>
      </w:pPr>
    </w:p>
    <w:p w14:paraId="04057E0F" w14:textId="77777777" w:rsidR="008226ED" w:rsidRPr="00E32A3F" w:rsidRDefault="008226ED" w:rsidP="008226ED">
      <w:pPr>
        <w:spacing w:after="0"/>
        <w:rPr>
          <w:rFonts w:eastAsia="Times New Roman" w:cs="Times New Roman"/>
        </w:rPr>
      </w:pPr>
      <w:r w:rsidRPr="00E32A3F">
        <w:rPr>
          <w:rFonts w:eastAsia="Times New Roman" w:cs="Times New Roman"/>
        </w:rPr>
        <w:t>Kde (porovnávajúc napríklad rómsku a nerómsku populáciu):</w:t>
      </w:r>
    </w:p>
    <w:p w14:paraId="61C1B63A" w14:textId="77777777" w:rsidR="008226ED" w:rsidRPr="00E32A3F" w:rsidRDefault="008226ED" w:rsidP="008226ED">
      <w:pPr>
        <w:spacing w:after="0"/>
        <w:rPr>
          <w:rFonts w:eastAsia="Times New Roman" w:cs="Times New Roman"/>
        </w:rPr>
      </w:pPr>
      <w:r w:rsidRPr="00E32A3F">
        <w:rPr>
          <w:rFonts w:eastAsia="Times New Roman" w:cs="Times New Roman"/>
          <w:i/>
          <w:iCs/>
        </w:rPr>
        <w:t>a</w:t>
      </w:r>
      <w:r w:rsidRPr="00E32A3F">
        <w:rPr>
          <w:rFonts w:eastAsia="Times New Roman" w:cs="Times New Roman"/>
          <w:i/>
          <w:iCs/>
          <w:vertAlign w:val="subscript"/>
        </w:rPr>
        <w:t>i</w:t>
      </w:r>
      <w:r w:rsidRPr="00E32A3F">
        <w:rPr>
          <w:rFonts w:eastAsia="Times New Roman" w:cs="Times New Roman"/>
        </w:rPr>
        <w:t xml:space="preserve"> = populácia skupiny A v jednotke </w:t>
      </w:r>
      <w:r w:rsidRPr="00E32A3F">
        <w:rPr>
          <w:rFonts w:eastAsia="Times New Roman" w:cs="Times New Roman"/>
          <w:i/>
        </w:rPr>
        <w:t>i</w:t>
      </w:r>
      <w:r w:rsidRPr="00E32A3F">
        <w:rPr>
          <w:rFonts w:eastAsia="Times New Roman" w:cs="Times New Roman"/>
        </w:rPr>
        <w:t>, napr. v triede.</w:t>
      </w:r>
    </w:p>
    <w:p w14:paraId="5F78B26C" w14:textId="77777777" w:rsidR="008226ED" w:rsidRPr="00E32A3F" w:rsidRDefault="008226ED" w:rsidP="008226ED">
      <w:pPr>
        <w:spacing w:after="0"/>
        <w:rPr>
          <w:rFonts w:eastAsia="Times New Roman" w:cs="Times New Roman"/>
        </w:rPr>
      </w:pPr>
      <w:r w:rsidRPr="00E32A3F">
        <w:rPr>
          <w:rFonts w:eastAsia="Times New Roman" w:cs="Times New Roman"/>
          <w:i/>
          <w:iCs/>
        </w:rPr>
        <w:t>A</w:t>
      </w:r>
      <w:r w:rsidRPr="00E32A3F">
        <w:rPr>
          <w:rFonts w:eastAsia="Times New Roman" w:cs="Times New Roman"/>
        </w:rPr>
        <w:t xml:space="preserve"> = populácia skupiny A v celku, za ktorý počítame index odlišnosti, napr. ročník školy.</w:t>
      </w:r>
    </w:p>
    <w:p w14:paraId="3461D3E5" w14:textId="77777777" w:rsidR="008226ED" w:rsidRPr="00E32A3F" w:rsidRDefault="008226ED" w:rsidP="008226ED">
      <w:pPr>
        <w:spacing w:after="0"/>
        <w:rPr>
          <w:rFonts w:eastAsia="Times New Roman" w:cs="Times New Roman"/>
        </w:rPr>
      </w:pPr>
      <w:r w:rsidRPr="00E32A3F">
        <w:rPr>
          <w:rFonts w:eastAsia="Times New Roman" w:cs="Times New Roman"/>
          <w:i/>
          <w:iCs/>
        </w:rPr>
        <w:t>b</w:t>
      </w:r>
      <w:r w:rsidRPr="00E32A3F">
        <w:rPr>
          <w:rFonts w:eastAsia="Times New Roman" w:cs="Times New Roman"/>
          <w:i/>
          <w:iCs/>
          <w:vertAlign w:val="subscript"/>
        </w:rPr>
        <w:t>i</w:t>
      </w:r>
      <w:r w:rsidRPr="00E32A3F">
        <w:rPr>
          <w:rFonts w:eastAsia="Times New Roman" w:cs="Times New Roman"/>
        </w:rPr>
        <w:t xml:space="preserve"> = populácia skupiny B v jednotke </w:t>
      </w:r>
      <w:r w:rsidRPr="00E32A3F">
        <w:rPr>
          <w:rFonts w:eastAsia="Times New Roman" w:cs="Times New Roman"/>
          <w:i/>
        </w:rPr>
        <w:t>i</w:t>
      </w:r>
      <w:r w:rsidRPr="00E32A3F">
        <w:rPr>
          <w:rFonts w:eastAsia="Times New Roman" w:cs="Times New Roman"/>
        </w:rPr>
        <w:t>.</w:t>
      </w:r>
    </w:p>
    <w:p w14:paraId="280AB8EE" w14:textId="77777777" w:rsidR="008226ED" w:rsidRPr="00E32A3F" w:rsidRDefault="008226ED" w:rsidP="008226ED">
      <w:pPr>
        <w:pStyle w:val="Bezriadkovania"/>
        <w:spacing w:after="240" w:line="259" w:lineRule="auto"/>
        <w:jc w:val="both"/>
        <w:rPr>
          <w:rFonts w:ascii="Arial Narrow" w:eastAsia="Times New Roman" w:hAnsi="Arial Narrow" w:cs="Times New Roman"/>
        </w:rPr>
      </w:pPr>
      <w:r w:rsidRPr="00E32A3F">
        <w:rPr>
          <w:rFonts w:ascii="Arial Narrow" w:eastAsia="Times New Roman" w:hAnsi="Arial Narrow" w:cs="Times New Roman"/>
          <w:i/>
          <w:iCs/>
        </w:rPr>
        <w:t>B</w:t>
      </w:r>
      <w:r w:rsidRPr="00E32A3F">
        <w:rPr>
          <w:rFonts w:ascii="Arial Narrow" w:eastAsia="Times New Roman" w:hAnsi="Arial Narrow" w:cs="Times New Roman"/>
        </w:rPr>
        <w:t xml:space="preserve"> = populácia skupiny B v celku, za ktorý počítame index odlišnosti.</w:t>
      </w:r>
    </w:p>
    <w:p w14:paraId="3E6559E7" w14:textId="27A4F096" w:rsidR="008226ED" w:rsidRPr="00E32A3F" w:rsidRDefault="008226ED" w:rsidP="008226ED">
      <w:pPr>
        <w:pStyle w:val="Textpoznmkypodiarou"/>
        <w:spacing w:before="160" w:after="240" w:line="259" w:lineRule="auto"/>
        <w:rPr>
          <w:sz w:val="22"/>
          <w:szCs w:val="22"/>
        </w:rPr>
      </w:pPr>
      <w:r w:rsidRPr="00E32A3F">
        <w:rPr>
          <w:sz w:val="22"/>
          <w:szCs w:val="22"/>
        </w:rPr>
        <w:t>Priestorové vyčleňovanie v základnom školstve je merané najprv vnútri bežných škôl, kde jednotkou je trieda a celkom je ročník</w:t>
      </w:r>
      <w:r w:rsidR="00041889">
        <w:rPr>
          <w:sz w:val="22"/>
          <w:szCs w:val="22"/>
        </w:rPr>
        <w:t>, a</w:t>
      </w:r>
      <w:r w:rsidRPr="00E32A3F">
        <w:rPr>
          <w:sz w:val="22"/>
          <w:szCs w:val="22"/>
        </w:rPr>
        <w:t> index odlišnosti vyjadruje</w:t>
      </w:r>
      <w:r w:rsidR="00041889">
        <w:rPr>
          <w:sz w:val="22"/>
          <w:szCs w:val="22"/>
        </w:rPr>
        <w:t>,</w:t>
      </w:r>
      <w:r w:rsidRPr="00E32A3F">
        <w:rPr>
          <w:sz w:val="22"/>
          <w:szCs w:val="22"/>
        </w:rPr>
        <w:t xml:space="preserve"> ako sú žiaci z MRK a žiaci z prostredia mimo MRK rozdelení naprieč triedami v rámci konkrétneho ročníka v konkrétnej škole. Za týmto účelom je vzorka obmedzená na školy, ktoré mali v školskom roku 2017/18 aspoň dve bežné triedy v danom ročníku (aby vy</w:t>
      </w:r>
      <w:r w:rsidR="00041889">
        <w:rPr>
          <w:sz w:val="22"/>
          <w:szCs w:val="22"/>
        </w:rPr>
        <w:t>čleňovanie bolo teoreticky možné</w:t>
      </w:r>
      <w:r w:rsidRPr="00E32A3F">
        <w:rPr>
          <w:sz w:val="22"/>
          <w:szCs w:val="22"/>
        </w:rPr>
        <w:t>), ďalej školy</w:t>
      </w:r>
      <w:r w:rsidR="00041889">
        <w:rPr>
          <w:sz w:val="22"/>
          <w:szCs w:val="22"/>
        </w:rPr>
        <w:t>,</w:t>
      </w:r>
      <w:r w:rsidRPr="00E32A3F">
        <w:rPr>
          <w:sz w:val="22"/>
          <w:szCs w:val="22"/>
        </w:rPr>
        <w:t xml:space="preserve"> ktoré navštevovali žiaci z prostredia MRK aj z prostredia mimo MRK tak, aby každá skupina predstavovala najmenej 10 % a najviac 90 % zo žiakov v danom ročníku, a ktoré mali aspoň 5 žiakov z prostredia MRK v danom ročníku.</w:t>
      </w:r>
      <w:r w:rsidRPr="00E32A3F">
        <w:rPr>
          <w:rStyle w:val="Odkaznapoznmkupodiarou"/>
          <w:sz w:val="22"/>
          <w:szCs w:val="22"/>
        </w:rPr>
        <w:t xml:space="preserve"> </w:t>
      </w:r>
      <w:r w:rsidRPr="00E32A3F">
        <w:rPr>
          <w:rStyle w:val="Odkaznapoznmkupodiarou"/>
          <w:sz w:val="22"/>
          <w:szCs w:val="22"/>
        </w:rPr>
        <w:footnoteReference w:id="529"/>
      </w:r>
    </w:p>
    <w:p w14:paraId="5136CBC8" w14:textId="29D2B12B" w:rsidR="008226ED" w:rsidRPr="004239DF" w:rsidRDefault="008226ED" w:rsidP="008226ED">
      <w:pPr>
        <w:pStyle w:val="Textpoznmkypodiarou"/>
        <w:spacing w:before="160" w:after="240" w:line="259" w:lineRule="auto"/>
        <w:rPr>
          <w:sz w:val="22"/>
          <w:szCs w:val="22"/>
        </w:rPr>
      </w:pPr>
      <w:r w:rsidRPr="00E32A3F">
        <w:rPr>
          <w:sz w:val="22"/>
          <w:szCs w:val="22"/>
        </w:rPr>
        <w:t xml:space="preserve">Neskôr je priestorové vyčleňovanie </w:t>
      </w:r>
      <w:r w:rsidRPr="004239DF">
        <w:rPr>
          <w:sz w:val="22"/>
          <w:szCs w:val="22"/>
        </w:rPr>
        <w:t>merané tiež na úrovni obce, kde jednotkou je škola a celkom je obec, a index odlišnosti vyjadruje ako sú uvedené dve skupiny žiakov rozdelené naprieč školami v rámci jednej obce. Keďže záujem je o meranie vyčleňovania v rámci bežného prúdu, žiaci navštevujúci špeciálne triedy bežných základných škôl sú vyraden</w:t>
      </w:r>
      <w:r w:rsidR="00041889">
        <w:rPr>
          <w:sz w:val="22"/>
          <w:szCs w:val="22"/>
        </w:rPr>
        <w:t>í</w:t>
      </w:r>
      <w:r w:rsidRPr="004239DF">
        <w:rPr>
          <w:sz w:val="22"/>
          <w:szCs w:val="22"/>
        </w:rPr>
        <w:t xml:space="preserve"> a porovnávaný je len bežný vzdelávací prúd. Vzorka je obmedzená na obce, kde pôsobia aspoň dve bežné základné školy a kde je populácia žiakov v bežnom prúde zmiešaná – najmenej 10 % a najviac 90 % žiakov v obci z každej skupiny. Elokované pracoviská základných škôl sú analyzované ako samostatné jednotky, keďže často sú priestorovo oddelené a môžu teda v princípe prispievať k priestorovému vyčleňovaniu detí z MRK v základnom školstve.</w:t>
      </w:r>
    </w:p>
    <w:p w14:paraId="3E34A1D4" w14:textId="785581ED" w:rsidR="008226ED" w:rsidRPr="004239DF" w:rsidRDefault="008226ED" w:rsidP="008226ED">
      <w:pPr>
        <w:pStyle w:val="Textpoznmkypodiarou"/>
        <w:spacing w:before="160" w:after="240" w:line="259" w:lineRule="auto"/>
        <w:rPr>
          <w:sz w:val="22"/>
          <w:szCs w:val="22"/>
        </w:rPr>
      </w:pPr>
      <w:r w:rsidRPr="004239DF">
        <w:rPr>
          <w:sz w:val="22"/>
          <w:szCs w:val="22"/>
        </w:rPr>
        <w:t>V </w:t>
      </w:r>
      <w:r w:rsidRPr="002B01DB">
        <w:rPr>
          <w:sz w:val="22"/>
          <w:szCs w:val="22"/>
        </w:rPr>
        <w:t>oboch prípadoch sa populácia žiakov delí na žiakov z MRK a žiakov z prostredia mimo MRK (podľa definície v</w:t>
      </w:r>
      <w:r w:rsidR="002B01DB" w:rsidRPr="002B01DB">
        <w:rPr>
          <w:sz w:val="22"/>
          <w:szCs w:val="22"/>
        </w:rPr>
        <w:t xml:space="preserve"> </w:t>
      </w:r>
      <w:r w:rsidR="002B01DB" w:rsidRPr="002B01DB">
        <w:rPr>
          <w:sz w:val="22"/>
          <w:szCs w:val="22"/>
        </w:rPr>
        <w:fldChar w:fldCharType="begin"/>
      </w:r>
      <w:r w:rsidR="002B01DB" w:rsidRPr="002B01DB">
        <w:rPr>
          <w:sz w:val="22"/>
          <w:szCs w:val="22"/>
        </w:rPr>
        <w:instrText xml:space="preserve"> REF _Ref33439692 \h  \* MERGEFORMAT </w:instrText>
      </w:r>
      <w:r w:rsidR="002B01DB" w:rsidRPr="002B01DB">
        <w:rPr>
          <w:sz w:val="22"/>
          <w:szCs w:val="22"/>
        </w:rPr>
      </w:r>
      <w:r w:rsidR="002B01DB" w:rsidRPr="002B01DB">
        <w:rPr>
          <w:sz w:val="22"/>
          <w:szCs w:val="22"/>
        </w:rPr>
        <w:fldChar w:fldCharType="separate"/>
      </w:r>
      <w:r w:rsidR="00FA29AF" w:rsidRPr="00FA29AF">
        <w:rPr>
          <w:sz w:val="22"/>
          <w:szCs w:val="22"/>
        </w:rPr>
        <w:t xml:space="preserve">Box </w:t>
      </w:r>
      <w:r w:rsidR="00FA29AF" w:rsidRPr="00FA29AF">
        <w:rPr>
          <w:noProof/>
          <w:sz w:val="22"/>
          <w:szCs w:val="22"/>
        </w:rPr>
        <w:t>3</w:t>
      </w:r>
      <w:r w:rsidR="002B01DB" w:rsidRPr="002B01DB">
        <w:rPr>
          <w:sz w:val="22"/>
          <w:szCs w:val="22"/>
        </w:rPr>
        <w:fldChar w:fldCharType="end"/>
      </w:r>
      <w:r w:rsidRPr="002B01DB">
        <w:rPr>
          <w:sz w:val="22"/>
          <w:szCs w:val="22"/>
        </w:rPr>
        <w:t>). Rómski žiaci žijúci v rozptyle medzi majoritou, ktorých sa nepodarilo identifikovať v administratívnych dátach</w:t>
      </w:r>
      <w:r w:rsidR="0070047D">
        <w:rPr>
          <w:sz w:val="22"/>
          <w:szCs w:val="22"/>
        </w:rPr>
        <w:t xml:space="preserve"> </w:t>
      </w:r>
      <w:r w:rsidRPr="002B01DB">
        <w:rPr>
          <w:sz w:val="22"/>
          <w:szCs w:val="22"/>
        </w:rPr>
        <w:t>sú zaradení</w:t>
      </w:r>
      <w:r w:rsidRPr="004239DF">
        <w:rPr>
          <w:sz w:val="22"/>
          <w:szCs w:val="22"/>
        </w:rPr>
        <w:t xml:space="preserve"> do skupiny „mimo MRK“, čo znamená, že index odlišnosti nemožno chápať jednoducho ako index vyčleňovania na etnickom princípe. Deliaca čiara prechádza naprieč rómskou menšinou a delí Rómov z obcí s koncentrovanými osídleniami rómskej populácie od všetkých ostatných obyvateľov bez ohľadu na ich etnicitu. </w:t>
      </w:r>
    </w:p>
    <w:p w14:paraId="04312A9F" w14:textId="77777777" w:rsidR="008226ED" w:rsidRPr="004239DF" w:rsidRDefault="008226ED" w:rsidP="008226ED">
      <w:pPr>
        <w:pStyle w:val="Bezriadkovania"/>
        <w:spacing w:before="160" w:after="240" w:line="259" w:lineRule="auto"/>
        <w:jc w:val="both"/>
        <w:rPr>
          <w:rFonts w:ascii="Arial Narrow" w:hAnsi="Arial Narrow"/>
        </w:rPr>
      </w:pPr>
      <w:r w:rsidRPr="004239DF">
        <w:rPr>
          <w:rFonts w:ascii="Arial Narrow" w:hAnsi="Arial Narrow"/>
        </w:rPr>
        <w:t>To tiež znamená, že triedy alebo školy, ktoré sa javia ako zmiešané na základe tohto delenia môžu byť v skutočnosti čisto rómske. Ak rómski žiaci žijúci v rozptyle vo väčšej miere navštevujú školy, kde je veľa žiakov z prostredia MRK, uvedené hodnoty indexu odlišnosti budú podhodnocovať mieru etnického vyčleňovania.</w:t>
      </w:r>
    </w:p>
    <w:p w14:paraId="6D3CB8C0" w14:textId="05B5D1B7" w:rsidR="008226ED" w:rsidRPr="004239DF" w:rsidRDefault="008226ED" w:rsidP="008226ED">
      <w:pPr>
        <w:pStyle w:val="Bezriadkovania"/>
        <w:spacing w:before="160" w:after="240" w:line="259" w:lineRule="auto"/>
        <w:jc w:val="both"/>
        <w:rPr>
          <w:rFonts w:ascii="Arial Narrow" w:hAnsi="Arial Narrow"/>
        </w:rPr>
      </w:pPr>
      <w:r w:rsidRPr="004239DF">
        <w:rPr>
          <w:rFonts w:ascii="Arial Narrow" w:hAnsi="Arial Narrow"/>
          <w:b/>
        </w:rPr>
        <w:t>V rámci bežného prúdu bola priemerná hodnota indexu odlišnosti v prvom ročníku zmiešaných základných škôl 0,35.</w:t>
      </w:r>
      <w:r w:rsidRPr="004239DF">
        <w:rPr>
          <w:rFonts w:ascii="Arial Narrow" w:hAnsi="Arial Narrow"/>
        </w:rPr>
        <w:t xml:space="preserve"> Zmiešaných škôl bolo v školskom roku 2017/18 191 a navštevovalo ich 16 % prvákov. Spomedzi prvákov z prostredia MRK zaradených do bežného prúdu to bola približne polovica žiakov. Hodn</w:t>
      </w:r>
      <w:r w:rsidR="004B4000">
        <w:rPr>
          <w:rFonts w:ascii="Arial Narrow" w:hAnsi="Arial Narrow"/>
        </w:rPr>
        <w:t>ota indexu znamená, že pre </w:t>
      </w:r>
      <w:r w:rsidRPr="004239DF">
        <w:rPr>
          <w:rFonts w:ascii="Arial Narrow" w:hAnsi="Arial Narrow"/>
        </w:rPr>
        <w:t>dosiahnutie rovnovážneho rozdelenia prvákov vnútri takýchto zmiešaných základných škôl, viac ako tretina prvákov z MRK by (v priemere) musela zmeniť triedu.</w:t>
      </w:r>
    </w:p>
    <w:p w14:paraId="4D889748" w14:textId="2D247B52" w:rsidR="008226ED" w:rsidRPr="004239DF" w:rsidRDefault="008226ED" w:rsidP="008226ED">
      <w:pPr>
        <w:spacing w:before="160"/>
      </w:pPr>
      <w:r w:rsidRPr="004239DF">
        <w:rPr>
          <w:b/>
        </w:rPr>
        <w:t>Zhruba 30 % prvákov z MRK zaradených do bežného prúdu navštevuje školu, ktorá má hodnotu indexu odlišnosti nižšiu ako 0,2 a pätina navštevuje školu s hodnotou vyššou ako 0,6</w:t>
      </w:r>
      <w:r w:rsidRPr="004239DF">
        <w:t xml:space="preserve"> (</w:t>
      </w:r>
      <w:r w:rsidR="006F2D32" w:rsidRPr="006F2D32">
        <w:fldChar w:fldCharType="begin"/>
      </w:r>
      <w:r w:rsidR="006F2D32" w:rsidRPr="006F2D32">
        <w:instrText xml:space="preserve"> REF _Ref25652521 \h </w:instrText>
      </w:r>
      <w:r w:rsidR="006F2D32">
        <w:instrText xml:space="preserve"> \* MERGEFORMAT </w:instrText>
      </w:r>
      <w:r w:rsidR="006F2D32" w:rsidRPr="006F2D32">
        <w:fldChar w:fldCharType="separate"/>
      </w:r>
      <w:r w:rsidR="00FA29AF" w:rsidRPr="00FA29AF">
        <w:t>Graf P 2</w:t>
      </w:r>
      <w:r w:rsidR="006F2D32" w:rsidRPr="006F2D32">
        <w:fldChar w:fldCharType="end"/>
      </w:r>
      <w:r w:rsidRPr="004239DF">
        <w:t>). Spomedzi okresov pozitívne vyčnievajú Košice IV, Medzilaborce, Nové Mesto nad Váhom, Malacky, Levoča, Liptovský Mikuláš a Zvolen ako tie s relatívne vyváženým rozdelením žiakov z MRK a ostatných v rámci prvého ročníka miestnych škôl (priemerná hodnota indexu pod 0,1). Naopak zastúpenie prvákov v okresoch Stará Ľubovňa, Trnava, Prešov a Sabinov je relatívne vysoko nevyvážené vnútri škôl na základe príslušnosti k MRK (priemerná hodnota indexu nad 0,5).</w:t>
      </w:r>
    </w:p>
    <w:p w14:paraId="3D439604" w14:textId="0FD04D81" w:rsidR="006F2D32" w:rsidRDefault="008226ED" w:rsidP="006F2D32">
      <w:pPr>
        <w:spacing w:before="160"/>
      </w:pPr>
      <w:r w:rsidRPr="004239DF">
        <w:rPr>
          <w:b/>
        </w:rPr>
        <w:t>Index odlišnosti rastie medzi prvým a druhým stupňom základných škôl.</w:t>
      </w:r>
      <w:r w:rsidRPr="004239DF">
        <w:t xml:space="preserve"> Kým v prvom ročníku je priemerná hodnota indexu odlišnosti na úrovni 0,35, v šiestom je to už 0,39 (</w:t>
      </w:r>
      <w:r w:rsidR="006F2D32" w:rsidRPr="006F2D32">
        <w:fldChar w:fldCharType="begin"/>
      </w:r>
      <w:r w:rsidR="006F2D32" w:rsidRPr="006F2D32">
        <w:instrText xml:space="preserve"> REF _Ref25652529 \h </w:instrText>
      </w:r>
      <w:r w:rsidR="006F2D32">
        <w:instrText xml:space="preserve"> \* MERGEFORMAT </w:instrText>
      </w:r>
      <w:r w:rsidR="006F2D32" w:rsidRPr="006F2D32">
        <w:fldChar w:fldCharType="separate"/>
      </w:r>
      <w:r w:rsidR="00FA29AF" w:rsidRPr="00FA29AF">
        <w:t>Graf P 3</w:t>
      </w:r>
      <w:r w:rsidR="006F2D32" w:rsidRPr="006F2D32">
        <w:fldChar w:fldCharType="end"/>
      </w:r>
      <w:r w:rsidRPr="004239DF">
        <w:t>). Najvyšší nárast je možné pozorovať medzi štvrtým a šiestym ročníkom. Medzi šiestym a ôsmym</w:t>
      </w:r>
      <w:r w:rsidRPr="00E32A3F">
        <w:t xml:space="preserve"> ročníkom hodnota indexu klesá, čo môže byť spôsobené tým, že najslabší žiaci z prostredia MRK sa z dôvodu viacnásobného opakovania ročníka do ôsmeho ročníka nedostanú (</w:t>
      </w:r>
      <w:r w:rsidRPr="006F2D32">
        <w:t xml:space="preserve">podkapitola </w:t>
      </w:r>
      <w:r w:rsidR="006F2D32" w:rsidRPr="006F2D32">
        <w:fldChar w:fldCharType="begin"/>
      </w:r>
      <w:r w:rsidR="006F2D32" w:rsidRPr="006F2D32">
        <w:instrText xml:space="preserve"> REF _Ref25652405 \r \h </w:instrText>
      </w:r>
      <w:r w:rsidR="006F2D32">
        <w:instrText xml:space="preserve"> \* MERGEFORMAT </w:instrText>
      </w:r>
      <w:r w:rsidR="006F2D32" w:rsidRPr="006F2D32">
        <w:fldChar w:fldCharType="separate"/>
      </w:r>
      <w:r w:rsidR="00FA29AF">
        <w:t>5.2</w:t>
      </w:r>
      <w:r w:rsidR="006F2D32" w:rsidRPr="006F2D32">
        <w:fldChar w:fldCharType="end"/>
      </w:r>
      <w:r w:rsidRPr="00E32A3F">
        <w:t>). Podiel žiakov v šiestom ročníku v rámci bežného prúdu, ktorí sú z prostredia MRK bol v školskom roku 2017/18 na úrovni 10,1 % ale v ôsmom ročníku to bolo už iba 7,6 % (</w:t>
      </w:r>
      <w:r w:rsidR="006F2D32" w:rsidRPr="006F2D32">
        <w:fldChar w:fldCharType="begin"/>
      </w:r>
      <w:r w:rsidR="006F2D32" w:rsidRPr="006F2D32">
        <w:instrText xml:space="preserve"> REF _Ref25652529 \h </w:instrText>
      </w:r>
      <w:r w:rsidR="006F2D32">
        <w:instrText xml:space="preserve"> \* MERGEFORMAT </w:instrText>
      </w:r>
      <w:r w:rsidR="006F2D32" w:rsidRPr="006F2D32">
        <w:fldChar w:fldCharType="separate"/>
      </w:r>
      <w:r w:rsidR="00FA29AF" w:rsidRPr="00FA29AF">
        <w:t>Graf P 3</w:t>
      </w:r>
      <w:r w:rsidR="006F2D32" w:rsidRPr="006F2D32">
        <w:fldChar w:fldCharType="end"/>
      </w:r>
      <w:r w:rsidR="006F2D32">
        <w:t>).</w:t>
      </w:r>
    </w:p>
    <w:tbl>
      <w:tblPr>
        <w:tblW w:w="0" w:type="auto"/>
        <w:tblLook w:val="04E0" w:firstRow="1" w:lastRow="1" w:firstColumn="1" w:lastColumn="0" w:noHBand="0" w:noVBand="1"/>
      </w:tblPr>
      <w:tblGrid>
        <w:gridCol w:w="4361"/>
        <w:gridCol w:w="222"/>
        <w:gridCol w:w="4505"/>
      </w:tblGrid>
      <w:tr w:rsidR="008226ED" w:rsidRPr="00C219E9" w14:paraId="2A61CBF6" w14:textId="77777777" w:rsidTr="00A82A82">
        <w:tc>
          <w:tcPr>
            <w:tcW w:w="4362" w:type="dxa"/>
            <w:tcBorders>
              <w:bottom w:val="single" w:sz="4" w:space="0" w:color="auto"/>
            </w:tcBorders>
          </w:tcPr>
          <w:p w14:paraId="594CA4EC" w14:textId="1A591DCF" w:rsidR="008226ED" w:rsidRPr="00A82A82" w:rsidRDefault="006F2D32" w:rsidP="00A82A82">
            <w:pPr>
              <w:spacing w:after="0" w:line="240" w:lineRule="auto"/>
              <w:rPr>
                <w:b/>
              </w:rPr>
            </w:pPr>
            <w:bookmarkStart w:id="1901" w:name="_Ref25652521"/>
            <w:r w:rsidRPr="00A82A82">
              <w:rPr>
                <w:b/>
                <w:sz w:val="20"/>
              </w:rPr>
              <w:t xml:space="preserve">Graf P </w:t>
            </w:r>
            <w:r w:rsidRPr="00A82A82">
              <w:rPr>
                <w:b/>
                <w:sz w:val="20"/>
              </w:rPr>
              <w:fldChar w:fldCharType="begin"/>
            </w:r>
            <w:r w:rsidRPr="00A82A82">
              <w:rPr>
                <w:b/>
                <w:sz w:val="20"/>
              </w:rPr>
              <w:instrText xml:space="preserve"> SEQ Graf_P \* ARABIC </w:instrText>
            </w:r>
            <w:r w:rsidRPr="00A82A82">
              <w:rPr>
                <w:b/>
                <w:sz w:val="20"/>
              </w:rPr>
              <w:fldChar w:fldCharType="separate"/>
            </w:r>
            <w:r w:rsidR="00FA29AF">
              <w:rPr>
                <w:b/>
                <w:noProof/>
                <w:sz w:val="20"/>
              </w:rPr>
              <w:t>2</w:t>
            </w:r>
            <w:r w:rsidRPr="00A82A82">
              <w:rPr>
                <w:b/>
                <w:sz w:val="20"/>
              </w:rPr>
              <w:fldChar w:fldCharType="end"/>
            </w:r>
            <w:bookmarkEnd w:id="1901"/>
            <w:r w:rsidR="008226ED" w:rsidRPr="00A82A82">
              <w:rPr>
                <w:b/>
                <w:sz w:val="20"/>
              </w:rPr>
              <w:t>: Percento prvákov z MRK v zmiešaných školách podľa indexu odlišnosti v š.r. 2017/18</w:t>
            </w:r>
          </w:p>
        </w:tc>
        <w:tc>
          <w:tcPr>
            <w:tcW w:w="222" w:type="dxa"/>
            <w:tcBorders>
              <w:bottom w:val="nil"/>
            </w:tcBorders>
          </w:tcPr>
          <w:p w14:paraId="6C5FE319" w14:textId="77777777" w:rsidR="008226ED" w:rsidRPr="00A82A82" w:rsidRDefault="008226ED" w:rsidP="00A82A82">
            <w:pPr>
              <w:spacing w:after="0" w:line="240" w:lineRule="auto"/>
              <w:rPr>
                <w:b/>
                <w:sz w:val="20"/>
              </w:rPr>
            </w:pPr>
          </w:p>
        </w:tc>
        <w:tc>
          <w:tcPr>
            <w:tcW w:w="4506" w:type="dxa"/>
            <w:tcBorders>
              <w:bottom w:val="single" w:sz="4" w:space="0" w:color="auto"/>
            </w:tcBorders>
          </w:tcPr>
          <w:p w14:paraId="35982F78" w14:textId="42E778D3" w:rsidR="008226ED" w:rsidRPr="00A82A82" w:rsidRDefault="006F2D32" w:rsidP="00A82A82">
            <w:pPr>
              <w:pStyle w:val="Popis"/>
              <w:keepNext/>
              <w:spacing w:after="0"/>
              <w:rPr>
                <w:b/>
                <w:i w:val="0"/>
                <w:color w:val="auto"/>
                <w:sz w:val="20"/>
                <w:szCs w:val="20"/>
              </w:rPr>
            </w:pPr>
            <w:bookmarkStart w:id="1902" w:name="_Ref25652529"/>
            <w:r w:rsidRPr="00A82A82">
              <w:rPr>
                <w:b/>
                <w:i w:val="0"/>
                <w:color w:val="auto"/>
                <w:sz w:val="20"/>
                <w:szCs w:val="20"/>
              </w:rPr>
              <w:t xml:space="preserve">Graf P </w:t>
            </w:r>
            <w:r w:rsidRPr="00A82A82">
              <w:rPr>
                <w:b/>
                <w:i w:val="0"/>
                <w:color w:val="auto"/>
                <w:sz w:val="20"/>
                <w:szCs w:val="20"/>
              </w:rPr>
              <w:fldChar w:fldCharType="begin"/>
            </w:r>
            <w:r w:rsidRPr="00A82A82">
              <w:rPr>
                <w:b/>
                <w:i w:val="0"/>
                <w:color w:val="auto"/>
                <w:sz w:val="20"/>
                <w:szCs w:val="20"/>
              </w:rPr>
              <w:instrText xml:space="preserve"> SEQ Graf_P \* ARABIC </w:instrText>
            </w:r>
            <w:r w:rsidRPr="00A82A82">
              <w:rPr>
                <w:b/>
                <w:i w:val="0"/>
                <w:color w:val="auto"/>
                <w:sz w:val="20"/>
                <w:szCs w:val="20"/>
              </w:rPr>
              <w:fldChar w:fldCharType="separate"/>
            </w:r>
            <w:r w:rsidR="00FA29AF">
              <w:rPr>
                <w:b/>
                <w:i w:val="0"/>
                <w:noProof/>
                <w:color w:val="auto"/>
                <w:sz w:val="20"/>
                <w:szCs w:val="20"/>
              </w:rPr>
              <w:t>3</w:t>
            </w:r>
            <w:r w:rsidRPr="00A82A82">
              <w:rPr>
                <w:b/>
                <w:i w:val="0"/>
                <w:color w:val="auto"/>
                <w:sz w:val="20"/>
                <w:szCs w:val="20"/>
              </w:rPr>
              <w:fldChar w:fldCharType="end"/>
            </w:r>
            <w:bookmarkEnd w:id="1902"/>
            <w:r w:rsidR="008226ED" w:rsidRPr="00A82A82">
              <w:rPr>
                <w:b/>
                <w:i w:val="0"/>
                <w:color w:val="auto"/>
                <w:sz w:val="20"/>
                <w:szCs w:val="20"/>
              </w:rPr>
              <w:t>: Priemerná hodnota indexu odlišnosti podľa ročníka základnej školy v š.r. 2017/18</w:t>
            </w:r>
          </w:p>
        </w:tc>
      </w:tr>
      <w:tr w:rsidR="008226ED" w:rsidRPr="00E32A3F" w14:paraId="33585752" w14:textId="77777777" w:rsidTr="00A82A82">
        <w:tblPrEx>
          <w:tblCellMar>
            <w:left w:w="70" w:type="dxa"/>
            <w:right w:w="70" w:type="dxa"/>
          </w:tblCellMar>
        </w:tblPrEx>
        <w:tc>
          <w:tcPr>
            <w:tcW w:w="4362" w:type="dxa"/>
            <w:tcBorders>
              <w:top w:val="single" w:sz="4" w:space="0" w:color="auto"/>
              <w:bottom w:val="single" w:sz="4" w:space="0" w:color="auto"/>
            </w:tcBorders>
          </w:tcPr>
          <w:p w14:paraId="04DA6D25" w14:textId="77777777" w:rsidR="008226ED" w:rsidRPr="00E32A3F" w:rsidRDefault="008226ED" w:rsidP="00A82A82">
            <w:pPr>
              <w:spacing w:after="0" w:line="240" w:lineRule="auto"/>
              <w:rPr>
                <w:noProof/>
                <w:sz w:val="4"/>
                <w:szCs w:val="4"/>
              </w:rPr>
            </w:pPr>
            <w:r w:rsidRPr="00E32A3F">
              <w:rPr>
                <w:noProof/>
                <w:lang w:eastAsia="sk-SK"/>
              </w:rPr>
              <w:drawing>
                <wp:inline distT="0" distB="0" distL="0" distR="0" wp14:anchorId="2F74BDB0" wp14:editId="2C9DD7EA">
                  <wp:extent cx="2790825" cy="2252345"/>
                  <wp:effectExtent l="0" t="0" r="0" b="0"/>
                  <wp:docPr id="302" name="Graf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6"/>
                    </a:graphicData>
                  </a:graphic>
                </wp:inline>
              </w:drawing>
            </w:r>
          </w:p>
          <w:p w14:paraId="4A99D093" w14:textId="77777777" w:rsidR="008226ED" w:rsidRPr="00E32A3F" w:rsidRDefault="008226ED" w:rsidP="00A82A82">
            <w:pPr>
              <w:spacing w:after="0" w:line="240" w:lineRule="auto"/>
              <w:rPr>
                <w:sz w:val="4"/>
                <w:szCs w:val="4"/>
              </w:rPr>
            </w:pPr>
          </w:p>
        </w:tc>
        <w:tc>
          <w:tcPr>
            <w:tcW w:w="222" w:type="dxa"/>
            <w:tcBorders>
              <w:top w:val="nil"/>
              <w:bottom w:val="nil"/>
            </w:tcBorders>
          </w:tcPr>
          <w:p w14:paraId="09E370B8" w14:textId="77777777" w:rsidR="008226ED" w:rsidRPr="00E32A3F" w:rsidRDefault="008226ED" w:rsidP="00A82A82">
            <w:pPr>
              <w:spacing w:after="0" w:line="240" w:lineRule="auto"/>
              <w:rPr>
                <w:noProof/>
              </w:rPr>
            </w:pPr>
          </w:p>
        </w:tc>
        <w:tc>
          <w:tcPr>
            <w:tcW w:w="4506" w:type="dxa"/>
            <w:tcBorders>
              <w:top w:val="single" w:sz="4" w:space="0" w:color="auto"/>
              <w:bottom w:val="single" w:sz="4" w:space="0" w:color="auto"/>
            </w:tcBorders>
          </w:tcPr>
          <w:p w14:paraId="75680A19" w14:textId="77777777" w:rsidR="008226ED" w:rsidRPr="00E32A3F" w:rsidRDefault="008226ED" w:rsidP="00A82A82">
            <w:pPr>
              <w:spacing w:after="0" w:line="240" w:lineRule="auto"/>
            </w:pPr>
            <w:r w:rsidRPr="00E32A3F">
              <w:rPr>
                <w:noProof/>
                <w:lang w:eastAsia="sk-SK"/>
              </w:rPr>
              <w:drawing>
                <wp:inline distT="0" distB="0" distL="0" distR="0" wp14:anchorId="3E70F0B8" wp14:editId="0DCF8BFA">
                  <wp:extent cx="2886075" cy="2171700"/>
                  <wp:effectExtent l="0" t="0" r="0" b="0"/>
                  <wp:docPr id="306" name="Graf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0000000-0008-0000-07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7"/>
                    </a:graphicData>
                  </a:graphic>
                </wp:inline>
              </w:drawing>
            </w:r>
          </w:p>
        </w:tc>
      </w:tr>
      <w:tr w:rsidR="008226ED" w:rsidRPr="00C219E9" w14:paraId="665E8DC4" w14:textId="77777777" w:rsidTr="00A82A82">
        <w:tc>
          <w:tcPr>
            <w:tcW w:w="4362" w:type="dxa"/>
            <w:tcBorders>
              <w:top w:val="single" w:sz="4" w:space="0" w:color="auto"/>
            </w:tcBorders>
          </w:tcPr>
          <w:p w14:paraId="5F1AB08A" w14:textId="77777777" w:rsidR="008226ED" w:rsidRPr="00A82A82" w:rsidRDefault="008226ED" w:rsidP="00A82A82">
            <w:pPr>
              <w:spacing w:after="0" w:line="240" w:lineRule="auto"/>
              <w:jc w:val="right"/>
              <w:rPr>
                <w:i/>
                <w:noProof/>
                <w:sz w:val="18"/>
                <w:szCs w:val="18"/>
              </w:rPr>
            </w:pPr>
            <w:r w:rsidRPr="00A82A82">
              <w:rPr>
                <w:i/>
                <w:noProof/>
                <w:sz w:val="18"/>
                <w:szCs w:val="18"/>
              </w:rPr>
              <w:t xml:space="preserve">Zdroj: ÚHP na základe </w:t>
            </w:r>
            <w:r w:rsidRPr="00A82A82">
              <w:rPr>
                <w:rFonts w:eastAsia="Times New Roman" w:cs="Times New Roman"/>
                <w:i/>
                <w:iCs/>
                <w:color w:val="000000"/>
                <w:sz w:val="18"/>
                <w:szCs w:val="18"/>
              </w:rPr>
              <w:t xml:space="preserve">údajov </w:t>
            </w:r>
            <w:r w:rsidRPr="00A82A82">
              <w:rPr>
                <w:i/>
                <w:noProof/>
                <w:sz w:val="18"/>
                <w:szCs w:val="18"/>
              </w:rPr>
              <w:t>RIS MŠVVŠ, ÚPSVR, ARK</w:t>
            </w:r>
          </w:p>
        </w:tc>
        <w:tc>
          <w:tcPr>
            <w:tcW w:w="222" w:type="dxa"/>
            <w:tcBorders>
              <w:top w:val="nil"/>
            </w:tcBorders>
          </w:tcPr>
          <w:p w14:paraId="1DF3907A" w14:textId="77777777" w:rsidR="008226ED" w:rsidRPr="00A82A82" w:rsidRDefault="008226ED" w:rsidP="00A82A82">
            <w:pPr>
              <w:spacing w:after="0" w:line="240" w:lineRule="auto"/>
              <w:jc w:val="right"/>
              <w:rPr>
                <w:i/>
                <w:noProof/>
                <w:sz w:val="18"/>
                <w:szCs w:val="18"/>
              </w:rPr>
            </w:pPr>
          </w:p>
        </w:tc>
        <w:tc>
          <w:tcPr>
            <w:tcW w:w="4506" w:type="dxa"/>
            <w:tcBorders>
              <w:top w:val="single" w:sz="4" w:space="0" w:color="auto"/>
            </w:tcBorders>
          </w:tcPr>
          <w:p w14:paraId="23FA52D7" w14:textId="77777777" w:rsidR="008226ED" w:rsidRPr="00A82A82" w:rsidRDefault="008226ED" w:rsidP="00A82A82">
            <w:pPr>
              <w:spacing w:after="0" w:line="240" w:lineRule="auto"/>
              <w:jc w:val="right"/>
              <w:rPr>
                <w:i/>
                <w:noProof/>
                <w:sz w:val="18"/>
                <w:szCs w:val="18"/>
              </w:rPr>
            </w:pPr>
            <w:r w:rsidRPr="00A82A82">
              <w:rPr>
                <w:i/>
                <w:noProof/>
                <w:sz w:val="18"/>
                <w:szCs w:val="18"/>
              </w:rPr>
              <w:t xml:space="preserve">Zdroj: ÚHP na základe </w:t>
            </w:r>
            <w:r w:rsidRPr="00A82A82">
              <w:rPr>
                <w:rFonts w:eastAsia="Times New Roman" w:cs="Times New Roman"/>
                <w:i/>
                <w:iCs/>
                <w:color w:val="000000"/>
                <w:sz w:val="18"/>
                <w:szCs w:val="18"/>
              </w:rPr>
              <w:t xml:space="preserve">údajov </w:t>
            </w:r>
            <w:r w:rsidRPr="00A82A82">
              <w:rPr>
                <w:i/>
                <w:noProof/>
                <w:sz w:val="18"/>
                <w:szCs w:val="18"/>
              </w:rPr>
              <w:t>RIS MŠVVŠ, ÚPSVR, ARK</w:t>
            </w:r>
          </w:p>
          <w:p w14:paraId="5548D6A0" w14:textId="77777777" w:rsidR="008226ED" w:rsidRPr="00A82A82" w:rsidRDefault="008226ED" w:rsidP="00A82A82">
            <w:pPr>
              <w:spacing w:after="0" w:line="240" w:lineRule="auto"/>
              <w:jc w:val="left"/>
              <w:rPr>
                <w:i/>
                <w:noProof/>
                <w:sz w:val="18"/>
                <w:szCs w:val="18"/>
              </w:rPr>
            </w:pPr>
            <w:r w:rsidRPr="00A82A82">
              <w:rPr>
                <w:i/>
                <w:sz w:val="18"/>
                <w:szCs w:val="18"/>
              </w:rPr>
              <w:t>Poznámka: 9. ročník bol vynechaný z porovnania lebo počet škôl, ktoré spĺňajú kritéria výberu do vzorky v 9. ročníku je malý.</w:t>
            </w:r>
            <w:r w:rsidRPr="00A82A82">
              <w:rPr>
                <w:i/>
                <w:noProof/>
                <w:sz w:val="18"/>
                <w:szCs w:val="18"/>
              </w:rPr>
              <w:t xml:space="preserve"> </w:t>
            </w:r>
          </w:p>
        </w:tc>
      </w:tr>
    </w:tbl>
    <w:p w14:paraId="547189A5" w14:textId="16D474AD" w:rsidR="008226ED" w:rsidRPr="00E32A3F" w:rsidRDefault="008226ED" w:rsidP="008226ED">
      <w:pPr>
        <w:spacing w:before="160"/>
      </w:pPr>
      <w:r w:rsidRPr="00E32A3F">
        <w:rPr>
          <w:b/>
        </w:rPr>
        <w:t xml:space="preserve">Vzdelávanie žiakov z MRK v špeciálnych triedach zvyšuje meranú mieru vyčleňovania, hlavne vo vyšších ročníkoch. </w:t>
      </w:r>
      <w:r w:rsidRPr="00E32A3F">
        <w:t>V prvom ročníku je hodnota indexu v rámci všetkých tried vrátane špeciálnych veľmi podobn</w:t>
      </w:r>
      <w:r w:rsidR="000A4FCC">
        <w:t>á tej </w:t>
      </w:r>
      <w:r w:rsidRPr="00E32A3F">
        <w:t>v rámci bežného prúdu, keďže špeciálne triedy v prvom ročníku nie sú veľmi početné. Ich dopad na vyčleňovanie narastá na druhom stupni, čo možno sledovať v roztvárajúcej sa medzere medzi modrou a prerušovanou šedou čiarou (</w:t>
      </w:r>
      <w:r w:rsidR="00BF1EAE" w:rsidRPr="00BF1EAE">
        <w:fldChar w:fldCharType="begin"/>
      </w:r>
      <w:r w:rsidR="00BF1EAE" w:rsidRPr="00BF1EAE">
        <w:instrText xml:space="preserve"> REF _Ref25652529 \h </w:instrText>
      </w:r>
      <w:r w:rsidR="00BF1EAE">
        <w:instrText xml:space="preserve"> \* MERGEFORMAT </w:instrText>
      </w:r>
      <w:r w:rsidR="00BF1EAE" w:rsidRPr="00BF1EAE">
        <w:fldChar w:fldCharType="separate"/>
      </w:r>
      <w:r w:rsidR="00FA29AF" w:rsidRPr="00FA29AF">
        <w:t>Graf P 3</w:t>
      </w:r>
      <w:r w:rsidR="00BF1EAE" w:rsidRPr="00BF1EAE">
        <w:fldChar w:fldCharType="end"/>
      </w:r>
      <w:r w:rsidRPr="00E32A3F">
        <w:t>).</w:t>
      </w:r>
    </w:p>
    <w:p w14:paraId="22BA58EF" w14:textId="77777777" w:rsidR="008226ED" w:rsidRPr="00E32A3F" w:rsidRDefault="008226ED" w:rsidP="008226ED">
      <w:pPr>
        <w:spacing w:before="160"/>
      </w:pPr>
      <w:r w:rsidRPr="00E32A3F">
        <w:rPr>
          <w:b/>
        </w:rPr>
        <w:t>Prvý ročník základných škôl, ktoré majú nultý ročník, má v priemere vyššiu mieru vyčleňovania ako prvý ročník v školách, ktoré nultý ročník nemajú.</w:t>
      </w:r>
      <w:r w:rsidRPr="00E32A3F">
        <w:t xml:space="preserve"> V rámci bežného prúdu zmiešaných základných škôl je priemerný index odlišnosti v prvom ročníku v školskom roku 2017/18 v prípade škôl, ktoré nemali v predošlom školskom roku nultý ročník, na úrovni 0,23. Školy s nultým ročníkom mali priemernú hodnotu indexu v prvom ročníku na úrovni 0,39.</w:t>
      </w:r>
    </w:p>
    <w:p w14:paraId="588B48E9" w14:textId="5B2E333F" w:rsidR="008226ED" w:rsidRDefault="008226ED" w:rsidP="008226ED">
      <w:pPr>
        <w:spacing w:before="160"/>
      </w:pPr>
      <w:r w:rsidRPr="00E32A3F">
        <w:rPr>
          <w:b/>
        </w:rPr>
        <w:t xml:space="preserve">Miera vyčleňovania medzi bežnými školami na úrovni obce je v priemere vyššia ako miera vyčleňovania vnútri škôl. </w:t>
      </w:r>
      <w:r w:rsidRPr="00E32A3F">
        <w:t>V 66 obciach na Slovensku, ktoré spĺňajú podmienky zaradenia do vzorky je priemerná hodnota indexu na úrovni 0,44. Zo všetkých žiakov bežného prúdu v školskom roku 2017/18 bolo v týchto obciac</w:t>
      </w:r>
      <w:r w:rsidR="000A4FCC">
        <w:t>h vyučovaných 13 </w:t>
      </w:r>
      <w:r w:rsidRPr="00E32A3F">
        <w:t>%.</w:t>
      </w:r>
      <w:r w:rsidRPr="00E32A3F">
        <w:rPr>
          <w:rStyle w:val="Odkaznapoznmkupodiarou"/>
        </w:rPr>
        <w:footnoteReference w:id="530"/>
      </w:r>
      <w:r w:rsidRPr="00E32A3F">
        <w:t xml:space="preserve"> Spomedzi žiakov bežného prúdu z prostredia MRK to bolo približne 2</w:t>
      </w:r>
      <w:r w:rsidR="000A4FCC">
        <w:t>9 %. Hodnota indexu znamená, že </w:t>
      </w:r>
      <w:r w:rsidRPr="00E32A3F">
        <w:t>ak by sme chceli dosiahnuť rovnovážne rozdelenie žiakov medzi bežné základné školy v rámci týchto obcí, skoro polovica žiakov z MRK by (v priemere) muse</w:t>
      </w:r>
      <w:r>
        <w:t>la byť preradená do inej školy.</w:t>
      </w:r>
    </w:p>
    <w:p w14:paraId="48FC1917" w14:textId="77777777" w:rsidR="003B7808" w:rsidRDefault="003B7808">
      <w:pPr>
        <w:spacing w:after="160"/>
        <w:jc w:val="left"/>
        <w:rPr>
          <w:b/>
          <w:iCs/>
          <w:color w:val="2E74B5" w:themeColor="accent1" w:themeShade="BF"/>
          <w:szCs w:val="18"/>
        </w:rPr>
      </w:pPr>
      <w:bookmarkStart w:id="1903" w:name="_Ref25324216"/>
      <w:bookmarkStart w:id="1904" w:name="_Hlk24490183"/>
      <w:r>
        <w:rPr>
          <w:b/>
          <w:i/>
          <w:color w:val="2E74B5" w:themeColor="accent1" w:themeShade="BF"/>
        </w:rPr>
        <w:br w:type="page"/>
      </w:r>
    </w:p>
    <w:p w14:paraId="3DCC44AD" w14:textId="2547A7C6" w:rsidR="007C0188" w:rsidRPr="00DF3709" w:rsidRDefault="00494ABB" w:rsidP="00494ABB">
      <w:pPr>
        <w:pStyle w:val="Popis"/>
        <w:rPr>
          <w:b/>
          <w:i w:val="0"/>
        </w:rPr>
      </w:pPr>
      <w:bookmarkStart w:id="1905" w:name="_Ref34130692"/>
      <w:r w:rsidRPr="00DF3709">
        <w:rPr>
          <w:b/>
          <w:i w:val="0"/>
          <w:color w:val="2E74B5" w:themeColor="accent1" w:themeShade="BF"/>
          <w:sz w:val="22"/>
        </w:rPr>
        <w:t xml:space="preserve">Príloha </w:t>
      </w:r>
      <w:r w:rsidRPr="00DF3709">
        <w:rPr>
          <w:b/>
          <w:i w:val="0"/>
          <w:color w:val="2E74B5" w:themeColor="accent1" w:themeShade="BF"/>
          <w:sz w:val="22"/>
        </w:rPr>
        <w:fldChar w:fldCharType="begin"/>
      </w:r>
      <w:r w:rsidRPr="00DF3709">
        <w:rPr>
          <w:b/>
          <w:i w:val="0"/>
          <w:color w:val="2E74B5" w:themeColor="accent1" w:themeShade="BF"/>
          <w:sz w:val="22"/>
        </w:rPr>
        <w:instrText xml:space="preserve"> SEQ Príloha \* ARABIC </w:instrText>
      </w:r>
      <w:r w:rsidRPr="00DF3709">
        <w:rPr>
          <w:b/>
          <w:i w:val="0"/>
          <w:color w:val="2E74B5" w:themeColor="accent1" w:themeShade="BF"/>
          <w:sz w:val="22"/>
        </w:rPr>
        <w:fldChar w:fldCharType="separate"/>
      </w:r>
      <w:r w:rsidR="00FA29AF">
        <w:rPr>
          <w:b/>
          <w:i w:val="0"/>
          <w:noProof/>
          <w:color w:val="2E74B5" w:themeColor="accent1" w:themeShade="BF"/>
          <w:sz w:val="22"/>
        </w:rPr>
        <w:t>12</w:t>
      </w:r>
      <w:r w:rsidRPr="00DF3709">
        <w:rPr>
          <w:b/>
          <w:i w:val="0"/>
          <w:color w:val="2E74B5" w:themeColor="accent1" w:themeShade="BF"/>
          <w:sz w:val="22"/>
        </w:rPr>
        <w:fldChar w:fldCharType="end"/>
      </w:r>
      <w:bookmarkEnd w:id="1903"/>
      <w:bookmarkEnd w:id="1905"/>
      <w:r w:rsidR="007C0188" w:rsidRPr="00DF3709">
        <w:rPr>
          <w:b/>
          <w:i w:val="0"/>
          <w:color w:val="2E74B5" w:themeColor="accent1" w:themeShade="BF"/>
          <w:sz w:val="22"/>
        </w:rPr>
        <w:t>: Vplyv dotácií na školskú dochádzku v základných školách</w:t>
      </w:r>
    </w:p>
    <w:bookmarkEnd w:id="1904"/>
    <w:p w14:paraId="60737930" w14:textId="3F4F47A3" w:rsidR="007C0188" w:rsidRPr="00CA2564" w:rsidRDefault="007C0188" w:rsidP="007C0188">
      <w:r w:rsidRPr="00CA2564">
        <w:t>Keďže prístup k dotovaným obedom je podmienený fyzickou prítomnosťou žiaka</w:t>
      </w:r>
      <w:r w:rsidR="000A4FCC">
        <w:t xml:space="preserve"> v škole dá sa predpokladať, že </w:t>
      </w:r>
      <w:r w:rsidRPr="00CA2564">
        <w:t xml:space="preserve">nárok na dotované obedy môže mať pozitívny dopad na školskú dochádzku. </w:t>
      </w:r>
      <w:r w:rsidR="000A4FCC">
        <w:t>Údaje o vymeškaných hodinách sú </w:t>
      </w:r>
      <w:r w:rsidRPr="00CA2564">
        <w:t>dostupné iba na úrovni školy. Pre účely tejto analýzy je preto porovnávaný počet vymeškaných hodín na žiaka v školách s plošnou dotáciou a školách bez plošnej dotácie.</w:t>
      </w:r>
    </w:p>
    <w:p w14:paraId="48FD1D33" w14:textId="32F075BD" w:rsidR="007C0188" w:rsidRPr="00CA2564" w:rsidRDefault="007C0188" w:rsidP="007C0188">
      <w:r w:rsidRPr="00CA2564">
        <w:t>Za školy s plošnou dotáciou boli označené tie, ktoré dostávali plošnú dotác</w:t>
      </w:r>
      <w:r w:rsidR="000A4FCC">
        <w:t>iu každý zo štyroch mesiacov od </w:t>
      </w:r>
      <w:r w:rsidRPr="00CA2564">
        <w:t>septembra 2017 do decembra 2017.</w:t>
      </w:r>
      <w:r w:rsidRPr="00CA2564">
        <w:rPr>
          <w:rStyle w:val="Odkaznapoznmkupodiarou"/>
        </w:rPr>
        <w:footnoteReference w:id="531"/>
      </w:r>
      <w:r w:rsidRPr="00CA2564">
        <w:t xml:space="preserve"> Za školy bez plošnej dotácie boli označené tie, ktoré nedostávali plošnú dotáciu ani jeden mesiac v uvedenom období.</w:t>
      </w:r>
    </w:p>
    <w:p w14:paraId="3156038C" w14:textId="77777777" w:rsidR="007C0188" w:rsidRPr="00C219E9" w:rsidRDefault="007C0188" w:rsidP="007C0188">
      <w:r w:rsidRPr="00CA2564">
        <w:t>Jednoduché porovnanie dochádzky ukazuje, že priemerný počet</w:t>
      </w:r>
      <w:r w:rsidRPr="00CA2564">
        <w:rPr>
          <w:rStyle w:val="Odkaznapoznmkupodiarou"/>
        </w:rPr>
        <w:footnoteReference w:id="532"/>
      </w:r>
      <w:r w:rsidRPr="00CA2564">
        <w:t xml:space="preserve"> vymeškaných hodín na žiaka je podstatne vyšší v školách s plošnou dotáciou (174 hodín za rok) ako v školách bez plošnej dotácie (96 hodín za rok). Takéto porovnanie však skresľuje fakt, že školy s plošnou dotáciou vo väčšej miere navštevujú deti zo sociálnym a zdravotným znevýhodnením, ktoré môžu mať nižšiu dochádzku z dôvodov, ktoré nemajú nič spoločné s dotáciami (napríklad nedostatku ošatenia, nižšej </w:t>
      </w:r>
      <w:r w:rsidRPr="00C219E9">
        <w:t>angažovanosti rodičov alebo vyššej chorobnosti).</w:t>
      </w:r>
    </w:p>
    <w:p w14:paraId="4BD2D96A" w14:textId="2A8C3D0F" w:rsidR="007C0188" w:rsidRPr="00CA2564" w:rsidRDefault="007C0188" w:rsidP="007C0188">
      <w:r w:rsidRPr="00C219E9">
        <w:t>Jednoduchá OLS regresná analýza potvrdzuje, že po zohľadnení rozdielov v zložení školy, majú školy s plošnou dotáciou významne lepšiu dochádzku ako školy bez plošnej dotácie (</w:t>
      </w:r>
      <w:r w:rsidR="00A0472F">
        <w:fldChar w:fldCharType="begin"/>
      </w:r>
      <w:r w:rsidR="00A0472F">
        <w:instrText xml:space="preserve"> REF _Ref25330009 \h  \* MERGEFORMAT </w:instrText>
      </w:r>
      <w:r w:rsidR="00A0472F">
        <w:fldChar w:fldCharType="separate"/>
      </w:r>
      <w:r w:rsidR="00FA29AF" w:rsidRPr="00FA29AF">
        <w:t>Tabuľka P 10</w:t>
      </w:r>
      <w:r w:rsidR="00A0472F">
        <w:fldChar w:fldCharType="end"/>
      </w:r>
      <w:r w:rsidRPr="00C219E9">
        <w:t>). Model 1 predstavuje jednoduché porovnanie. Pozitívny koeficient na dummy premennej označujúcej školy s plošnou dotáciou ukazuje, že tieto školy majú v priemere o 78 vymeškaných hodín na žiaka viac ako školy bez plošných dotácií</w:t>
      </w:r>
      <w:r w:rsidRPr="00CA2564">
        <w:t>. Model 2 zahŕňa podiel žiakov v škole, ktorí sú v systéme pomoci v hmotnej núdzi, z prostredia MRK, a vzdelávan</w:t>
      </w:r>
      <w:r w:rsidR="00785F58">
        <w:t>í</w:t>
      </w:r>
      <w:r w:rsidRPr="00CA2564">
        <w:t xml:space="preserve"> v špeciálnom školstve (špeciálna trieda alebo škola). Tieto tri premenné majú silný pozitívny vplyv na počet vymeškaných hodín na žiaka. Po zohľadnení týchto faktorov sa koeficient na dummy premennú označujúcu školy s plošnou dotáciou mení na významne negatívny. Škola s plošnou dotáciou má v priemere o 31 vymeškaných hodín na žiaka menej ako škola s podobným zložením bez plošnej dotácie.</w:t>
      </w:r>
    </w:p>
    <w:p w14:paraId="72EBA340" w14:textId="77777777" w:rsidR="007C0188" w:rsidRPr="00CA2564" w:rsidRDefault="007C0188" w:rsidP="007C0188">
      <w:r w:rsidRPr="00CA2564">
        <w:t>Simulácia modelu 2 naznačuje, že pri rozšírení plošných dotácií na všetky školy by priemerný počet vymeškaných hodín na žiaka klesol z dnešných 98 hodín za rok na 74 hodín za rok.</w:t>
      </w:r>
    </w:p>
    <w:p w14:paraId="1D3C3CB3" w14:textId="1CE94A52" w:rsidR="007C0188" w:rsidRPr="009B0BF7" w:rsidRDefault="00A0472F" w:rsidP="009B0BF7">
      <w:pPr>
        <w:spacing w:after="0"/>
        <w:rPr>
          <w:b/>
          <w:sz w:val="20"/>
        </w:rPr>
      </w:pPr>
      <w:bookmarkStart w:id="1906" w:name="_Ref25330009"/>
      <w:r w:rsidRPr="009B0BF7">
        <w:rPr>
          <w:b/>
          <w:sz w:val="20"/>
        </w:rPr>
        <w:t xml:space="preserve">Tabuľka P </w:t>
      </w:r>
      <w:r w:rsidR="00943975">
        <w:rPr>
          <w:b/>
          <w:sz w:val="20"/>
        </w:rPr>
        <w:fldChar w:fldCharType="begin"/>
      </w:r>
      <w:r w:rsidR="00943975">
        <w:rPr>
          <w:b/>
          <w:sz w:val="20"/>
        </w:rPr>
        <w:instrText xml:space="preserve"> SEQ Tabuľka_P \* ARABIC </w:instrText>
      </w:r>
      <w:r w:rsidR="00943975">
        <w:rPr>
          <w:b/>
          <w:sz w:val="20"/>
        </w:rPr>
        <w:fldChar w:fldCharType="separate"/>
      </w:r>
      <w:r w:rsidR="00FA29AF">
        <w:rPr>
          <w:b/>
          <w:noProof/>
          <w:sz w:val="20"/>
        </w:rPr>
        <w:t>10</w:t>
      </w:r>
      <w:r w:rsidR="00943975">
        <w:rPr>
          <w:b/>
          <w:sz w:val="20"/>
        </w:rPr>
        <w:fldChar w:fldCharType="end"/>
      </w:r>
      <w:bookmarkEnd w:id="1906"/>
      <w:r w:rsidR="007C0188" w:rsidRPr="009B0BF7">
        <w:rPr>
          <w:b/>
          <w:sz w:val="20"/>
        </w:rPr>
        <w:t>: OLS model vymeškaných hodín na žiaka v ZŠ</w:t>
      </w:r>
    </w:p>
    <w:tbl>
      <w:tblPr>
        <w:tblW w:w="9072" w:type="dxa"/>
        <w:tblLayout w:type="fixed"/>
        <w:tblCellMar>
          <w:left w:w="70" w:type="dxa"/>
          <w:right w:w="70" w:type="dxa"/>
        </w:tblCellMar>
        <w:tblLook w:val="04A0" w:firstRow="1" w:lastRow="0" w:firstColumn="1" w:lastColumn="0" w:noHBand="0" w:noVBand="1"/>
      </w:tblPr>
      <w:tblGrid>
        <w:gridCol w:w="3300"/>
        <w:gridCol w:w="1443"/>
        <w:gridCol w:w="1443"/>
        <w:gridCol w:w="1443"/>
        <w:gridCol w:w="1443"/>
      </w:tblGrid>
      <w:tr w:rsidR="007C0188" w:rsidRPr="00CA2564" w14:paraId="2929C639" w14:textId="77777777" w:rsidTr="00A22437">
        <w:trPr>
          <w:trHeight w:val="283"/>
        </w:trPr>
        <w:tc>
          <w:tcPr>
            <w:tcW w:w="3300" w:type="dxa"/>
            <w:tcBorders>
              <w:top w:val="single" w:sz="4" w:space="0" w:color="auto"/>
              <w:left w:val="nil"/>
              <w:bottom w:val="nil"/>
              <w:right w:val="nil"/>
            </w:tcBorders>
            <w:shd w:val="clear" w:color="000000" w:fill="FFFFFF"/>
            <w:noWrap/>
            <w:vAlign w:val="bottom"/>
            <w:hideMark/>
          </w:tcPr>
          <w:p w14:paraId="2AF15AAC" w14:textId="77777777" w:rsidR="007C0188" w:rsidRPr="00CA2564" w:rsidRDefault="007C0188" w:rsidP="007C4E85">
            <w:pPr>
              <w:spacing w:after="0" w:line="240" w:lineRule="auto"/>
              <w:rPr>
                <w:rFonts w:eastAsia="Times New Roman" w:cs="Times New Roman"/>
                <w:b/>
                <w:bCs/>
                <w:color w:val="000000"/>
                <w:sz w:val="20"/>
                <w:lang w:eastAsia="sk-SK"/>
              </w:rPr>
            </w:pPr>
            <w:r w:rsidRPr="00CA2564">
              <w:rPr>
                <w:rFonts w:eastAsia="Times New Roman" w:cs="Times New Roman"/>
                <w:b/>
                <w:bCs/>
                <w:color w:val="000000"/>
                <w:sz w:val="20"/>
                <w:lang w:eastAsia="sk-SK"/>
              </w:rPr>
              <w:t> </w:t>
            </w:r>
          </w:p>
        </w:tc>
        <w:tc>
          <w:tcPr>
            <w:tcW w:w="2886" w:type="dxa"/>
            <w:gridSpan w:val="2"/>
            <w:tcBorders>
              <w:top w:val="single" w:sz="4" w:space="0" w:color="auto"/>
              <w:left w:val="nil"/>
              <w:bottom w:val="nil"/>
              <w:right w:val="nil"/>
            </w:tcBorders>
            <w:shd w:val="clear" w:color="000000" w:fill="FFFFFF"/>
            <w:noWrap/>
            <w:vAlign w:val="bottom"/>
            <w:hideMark/>
          </w:tcPr>
          <w:p w14:paraId="08304271" w14:textId="77777777" w:rsidR="007C0188" w:rsidRPr="00CA2564" w:rsidRDefault="007C0188" w:rsidP="007C4E85">
            <w:pPr>
              <w:spacing w:after="0" w:line="240" w:lineRule="auto"/>
              <w:jc w:val="center"/>
              <w:rPr>
                <w:rFonts w:eastAsia="Times New Roman" w:cs="Times New Roman"/>
                <w:b/>
                <w:bCs/>
                <w:color w:val="000000"/>
                <w:sz w:val="20"/>
                <w:lang w:eastAsia="sk-SK"/>
              </w:rPr>
            </w:pPr>
            <w:r w:rsidRPr="00CA2564">
              <w:rPr>
                <w:rFonts w:eastAsia="Times New Roman" w:cs="Times New Roman"/>
                <w:b/>
                <w:bCs/>
                <w:color w:val="000000"/>
                <w:sz w:val="20"/>
                <w:lang w:eastAsia="sk-SK"/>
              </w:rPr>
              <w:t>Model 1</w:t>
            </w:r>
          </w:p>
        </w:tc>
        <w:tc>
          <w:tcPr>
            <w:tcW w:w="2886" w:type="dxa"/>
            <w:gridSpan w:val="2"/>
            <w:tcBorders>
              <w:top w:val="single" w:sz="4" w:space="0" w:color="auto"/>
              <w:left w:val="nil"/>
              <w:bottom w:val="nil"/>
              <w:right w:val="nil"/>
            </w:tcBorders>
            <w:shd w:val="clear" w:color="000000" w:fill="FFFFFF"/>
            <w:noWrap/>
            <w:vAlign w:val="bottom"/>
            <w:hideMark/>
          </w:tcPr>
          <w:p w14:paraId="3E71A73E" w14:textId="77777777" w:rsidR="007C0188" w:rsidRPr="00CA2564" w:rsidRDefault="007C0188" w:rsidP="007C4E85">
            <w:pPr>
              <w:spacing w:after="0" w:line="240" w:lineRule="auto"/>
              <w:jc w:val="center"/>
              <w:rPr>
                <w:rFonts w:eastAsia="Times New Roman" w:cs="Times New Roman"/>
                <w:b/>
                <w:bCs/>
                <w:color w:val="000000"/>
                <w:sz w:val="20"/>
                <w:lang w:eastAsia="sk-SK"/>
              </w:rPr>
            </w:pPr>
            <w:r w:rsidRPr="00CA2564">
              <w:rPr>
                <w:rFonts w:eastAsia="Times New Roman" w:cs="Times New Roman"/>
                <w:b/>
                <w:bCs/>
                <w:color w:val="000000"/>
                <w:sz w:val="20"/>
                <w:lang w:eastAsia="sk-SK"/>
              </w:rPr>
              <w:t>Model 2</w:t>
            </w:r>
          </w:p>
        </w:tc>
      </w:tr>
      <w:tr w:rsidR="007C0188" w:rsidRPr="00CA2564" w14:paraId="355E24BB" w14:textId="77777777" w:rsidTr="007C4E85">
        <w:trPr>
          <w:trHeight w:val="330"/>
        </w:trPr>
        <w:tc>
          <w:tcPr>
            <w:tcW w:w="3300" w:type="dxa"/>
            <w:tcBorders>
              <w:top w:val="nil"/>
              <w:left w:val="nil"/>
              <w:bottom w:val="single" w:sz="4" w:space="0" w:color="auto"/>
              <w:right w:val="nil"/>
            </w:tcBorders>
            <w:shd w:val="clear" w:color="000000" w:fill="FFFFFF"/>
            <w:noWrap/>
            <w:vAlign w:val="bottom"/>
            <w:hideMark/>
          </w:tcPr>
          <w:p w14:paraId="42A6443C" w14:textId="77777777" w:rsidR="007C0188" w:rsidRPr="00CA2564" w:rsidRDefault="007C0188" w:rsidP="007C4E85">
            <w:pPr>
              <w:spacing w:after="0" w:line="240" w:lineRule="auto"/>
              <w:rPr>
                <w:rFonts w:eastAsia="Times New Roman" w:cs="Times New Roman"/>
                <w:b/>
                <w:bCs/>
                <w:color w:val="000000"/>
                <w:sz w:val="20"/>
                <w:lang w:eastAsia="sk-SK"/>
              </w:rPr>
            </w:pPr>
            <w:r w:rsidRPr="00CA2564">
              <w:rPr>
                <w:rFonts w:eastAsia="Times New Roman" w:cs="Times New Roman"/>
                <w:b/>
                <w:bCs/>
                <w:color w:val="000000"/>
                <w:sz w:val="20"/>
                <w:lang w:eastAsia="sk-SK"/>
              </w:rPr>
              <w:t>Premenná</w:t>
            </w:r>
          </w:p>
        </w:tc>
        <w:tc>
          <w:tcPr>
            <w:tcW w:w="1443" w:type="dxa"/>
            <w:tcBorders>
              <w:top w:val="nil"/>
              <w:left w:val="nil"/>
              <w:bottom w:val="single" w:sz="4" w:space="0" w:color="auto"/>
              <w:right w:val="nil"/>
            </w:tcBorders>
            <w:shd w:val="clear" w:color="000000" w:fill="FFFFFF"/>
            <w:noWrap/>
            <w:vAlign w:val="bottom"/>
            <w:hideMark/>
          </w:tcPr>
          <w:p w14:paraId="7F948F3B" w14:textId="77777777" w:rsidR="007C0188" w:rsidRPr="00CA2564" w:rsidRDefault="007C0188" w:rsidP="0057032F">
            <w:pPr>
              <w:spacing w:after="0" w:line="240" w:lineRule="auto"/>
              <w:jc w:val="right"/>
              <w:rPr>
                <w:rFonts w:eastAsia="Times New Roman" w:cs="Times New Roman"/>
                <w:b/>
                <w:bCs/>
                <w:color w:val="000000"/>
                <w:sz w:val="20"/>
                <w:lang w:eastAsia="sk-SK"/>
              </w:rPr>
            </w:pPr>
            <w:r w:rsidRPr="00CA2564">
              <w:rPr>
                <w:rFonts w:eastAsia="Times New Roman" w:cs="Times New Roman"/>
                <w:b/>
                <w:bCs/>
                <w:color w:val="000000"/>
                <w:sz w:val="20"/>
                <w:lang w:eastAsia="sk-SK"/>
              </w:rPr>
              <w:t>Koeficient</w:t>
            </w:r>
          </w:p>
        </w:tc>
        <w:tc>
          <w:tcPr>
            <w:tcW w:w="1443" w:type="dxa"/>
            <w:tcBorders>
              <w:top w:val="nil"/>
              <w:left w:val="nil"/>
              <w:bottom w:val="single" w:sz="4" w:space="0" w:color="auto"/>
              <w:right w:val="nil"/>
            </w:tcBorders>
            <w:shd w:val="clear" w:color="000000" w:fill="FFFFFF"/>
            <w:noWrap/>
            <w:vAlign w:val="bottom"/>
            <w:hideMark/>
          </w:tcPr>
          <w:p w14:paraId="0147B7AF" w14:textId="77777777" w:rsidR="007C0188" w:rsidRPr="00CA2564" w:rsidRDefault="007C0188" w:rsidP="0057032F">
            <w:pPr>
              <w:spacing w:after="0" w:line="240" w:lineRule="auto"/>
              <w:jc w:val="right"/>
              <w:rPr>
                <w:rFonts w:eastAsia="Times New Roman" w:cs="Times New Roman"/>
                <w:b/>
                <w:bCs/>
                <w:color w:val="000000"/>
                <w:sz w:val="20"/>
                <w:lang w:eastAsia="sk-SK"/>
              </w:rPr>
            </w:pPr>
            <w:r w:rsidRPr="00CA2564">
              <w:rPr>
                <w:rFonts w:eastAsia="Times New Roman" w:cs="Times New Roman"/>
                <w:b/>
                <w:bCs/>
                <w:color w:val="000000"/>
                <w:sz w:val="20"/>
                <w:lang w:eastAsia="sk-SK"/>
              </w:rPr>
              <w:t>Štand. chyba</w:t>
            </w:r>
          </w:p>
        </w:tc>
        <w:tc>
          <w:tcPr>
            <w:tcW w:w="1443" w:type="dxa"/>
            <w:tcBorders>
              <w:top w:val="nil"/>
              <w:left w:val="nil"/>
              <w:bottom w:val="single" w:sz="4" w:space="0" w:color="auto"/>
              <w:right w:val="nil"/>
            </w:tcBorders>
            <w:shd w:val="clear" w:color="000000" w:fill="FFFFFF"/>
            <w:noWrap/>
            <w:vAlign w:val="bottom"/>
            <w:hideMark/>
          </w:tcPr>
          <w:p w14:paraId="375E61C2" w14:textId="77777777" w:rsidR="007C0188" w:rsidRPr="00CA2564" w:rsidRDefault="007C0188" w:rsidP="0057032F">
            <w:pPr>
              <w:spacing w:after="0" w:line="240" w:lineRule="auto"/>
              <w:jc w:val="right"/>
              <w:rPr>
                <w:rFonts w:eastAsia="Times New Roman" w:cs="Times New Roman"/>
                <w:b/>
                <w:bCs/>
                <w:color w:val="000000"/>
                <w:sz w:val="20"/>
                <w:lang w:eastAsia="sk-SK"/>
              </w:rPr>
            </w:pPr>
            <w:r w:rsidRPr="00CA2564">
              <w:rPr>
                <w:rFonts w:eastAsia="Times New Roman" w:cs="Times New Roman"/>
                <w:b/>
                <w:bCs/>
                <w:color w:val="000000"/>
                <w:sz w:val="20"/>
                <w:lang w:eastAsia="sk-SK"/>
              </w:rPr>
              <w:t>Koeficient</w:t>
            </w:r>
          </w:p>
        </w:tc>
        <w:tc>
          <w:tcPr>
            <w:tcW w:w="1443" w:type="dxa"/>
            <w:tcBorders>
              <w:top w:val="nil"/>
              <w:left w:val="nil"/>
              <w:bottom w:val="single" w:sz="4" w:space="0" w:color="auto"/>
              <w:right w:val="nil"/>
            </w:tcBorders>
            <w:shd w:val="clear" w:color="000000" w:fill="FFFFFF"/>
            <w:noWrap/>
            <w:vAlign w:val="bottom"/>
            <w:hideMark/>
          </w:tcPr>
          <w:p w14:paraId="3AD91742" w14:textId="77777777" w:rsidR="007C0188" w:rsidRPr="00CA2564" w:rsidRDefault="007C0188" w:rsidP="0057032F">
            <w:pPr>
              <w:spacing w:after="0" w:line="240" w:lineRule="auto"/>
              <w:jc w:val="right"/>
              <w:rPr>
                <w:rFonts w:eastAsia="Times New Roman" w:cs="Times New Roman"/>
                <w:b/>
                <w:bCs/>
                <w:color w:val="000000"/>
                <w:sz w:val="20"/>
                <w:lang w:eastAsia="sk-SK"/>
              </w:rPr>
            </w:pPr>
            <w:r w:rsidRPr="00CA2564">
              <w:rPr>
                <w:rFonts w:eastAsia="Times New Roman" w:cs="Times New Roman"/>
                <w:b/>
                <w:bCs/>
                <w:color w:val="000000"/>
                <w:sz w:val="20"/>
                <w:lang w:eastAsia="sk-SK"/>
              </w:rPr>
              <w:t>Štand. chyba</w:t>
            </w:r>
          </w:p>
        </w:tc>
      </w:tr>
      <w:tr w:rsidR="007C0188" w:rsidRPr="00CA2564" w14:paraId="38A59D37" w14:textId="77777777" w:rsidTr="00A22437">
        <w:trPr>
          <w:trHeight w:val="283"/>
        </w:trPr>
        <w:tc>
          <w:tcPr>
            <w:tcW w:w="3300" w:type="dxa"/>
            <w:tcBorders>
              <w:top w:val="nil"/>
              <w:left w:val="nil"/>
              <w:bottom w:val="nil"/>
              <w:right w:val="nil"/>
            </w:tcBorders>
            <w:shd w:val="clear" w:color="000000" w:fill="FFFFFF"/>
            <w:noWrap/>
            <w:vAlign w:val="bottom"/>
            <w:hideMark/>
          </w:tcPr>
          <w:p w14:paraId="77B3E708" w14:textId="77777777" w:rsidR="007C0188" w:rsidRPr="00CA2564" w:rsidRDefault="007C0188" w:rsidP="007C4E85">
            <w:pPr>
              <w:spacing w:after="0" w:line="240" w:lineRule="auto"/>
              <w:rPr>
                <w:rFonts w:eastAsia="Times New Roman" w:cs="Times New Roman"/>
                <w:color w:val="000000"/>
                <w:sz w:val="20"/>
                <w:lang w:eastAsia="sk-SK"/>
              </w:rPr>
            </w:pPr>
            <w:r w:rsidRPr="00CA2564">
              <w:rPr>
                <w:rFonts w:eastAsia="Times New Roman" w:cs="Times New Roman"/>
                <w:color w:val="000000"/>
                <w:sz w:val="20"/>
                <w:lang w:eastAsia="sk-SK"/>
              </w:rPr>
              <w:t>Plošná dotácia (dummy)</w:t>
            </w:r>
          </w:p>
        </w:tc>
        <w:tc>
          <w:tcPr>
            <w:tcW w:w="1443" w:type="dxa"/>
            <w:tcBorders>
              <w:top w:val="nil"/>
              <w:left w:val="nil"/>
              <w:bottom w:val="nil"/>
              <w:right w:val="nil"/>
            </w:tcBorders>
            <w:shd w:val="clear" w:color="000000" w:fill="FFFFFF"/>
            <w:noWrap/>
            <w:vAlign w:val="bottom"/>
            <w:hideMark/>
          </w:tcPr>
          <w:p w14:paraId="4BB31A96" w14:textId="77777777" w:rsidR="007C0188" w:rsidRPr="00CA2564" w:rsidRDefault="007C0188" w:rsidP="007C4E85">
            <w:pPr>
              <w:spacing w:after="0" w:line="240" w:lineRule="auto"/>
              <w:jc w:val="right"/>
              <w:rPr>
                <w:rFonts w:eastAsia="Times New Roman" w:cs="Times New Roman"/>
                <w:color w:val="000000"/>
                <w:sz w:val="20"/>
                <w:lang w:eastAsia="sk-SK"/>
              </w:rPr>
            </w:pPr>
            <w:r w:rsidRPr="00CA2564">
              <w:rPr>
                <w:color w:val="000000"/>
                <w:sz w:val="20"/>
              </w:rPr>
              <w:t>77,92***</w:t>
            </w:r>
          </w:p>
        </w:tc>
        <w:tc>
          <w:tcPr>
            <w:tcW w:w="1443" w:type="dxa"/>
            <w:tcBorders>
              <w:top w:val="nil"/>
              <w:left w:val="nil"/>
              <w:bottom w:val="nil"/>
              <w:right w:val="nil"/>
            </w:tcBorders>
            <w:shd w:val="clear" w:color="000000" w:fill="FFFFFF"/>
            <w:noWrap/>
            <w:vAlign w:val="bottom"/>
            <w:hideMark/>
          </w:tcPr>
          <w:p w14:paraId="310FCFEC" w14:textId="77777777" w:rsidR="007C0188" w:rsidRPr="00CA2564" w:rsidRDefault="007C0188" w:rsidP="007C4E85">
            <w:pPr>
              <w:spacing w:after="0" w:line="240" w:lineRule="auto"/>
              <w:jc w:val="right"/>
              <w:rPr>
                <w:rFonts w:eastAsia="Times New Roman" w:cs="Times New Roman"/>
                <w:color w:val="000000"/>
                <w:sz w:val="20"/>
                <w:lang w:eastAsia="sk-SK"/>
              </w:rPr>
            </w:pPr>
            <w:r w:rsidRPr="00CA2564">
              <w:rPr>
                <w:color w:val="000000"/>
                <w:sz w:val="20"/>
              </w:rPr>
              <w:t>5,40</w:t>
            </w:r>
          </w:p>
        </w:tc>
        <w:tc>
          <w:tcPr>
            <w:tcW w:w="1443" w:type="dxa"/>
            <w:tcBorders>
              <w:top w:val="nil"/>
              <w:left w:val="nil"/>
              <w:bottom w:val="nil"/>
              <w:right w:val="nil"/>
            </w:tcBorders>
            <w:shd w:val="clear" w:color="000000" w:fill="FFFFFF"/>
            <w:noWrap/>
            <w:vAlign w:val="bottom"/>
            <w:hideMark/>
          </w:tcPr>
          <w:p w14:paraId="46A86BFF" w14:textId="77777777" w:rsidR="007C0188" w:rsidRPr="00CA2564" w:rsidRDefault="007C0188" w:rsidP="007C4E85">
            <w:pPr>
              <w:spacing w:after="0" w:line="240" w:lineRule="auto"/>
              <w:jc w:val="right"/>
              <w:rPr>
                <w:rFonts w:eastAsia="Times New Roman" w:cs="Times New Roman"/>
                <w:color w:val="000000"/>
                <w:sz w:val="20"/>
                <w:lang w:eastAsia="sk-SK"/>
              </w:rPr>
            </w:pPr>
            <w:r w:rsidRPr="00CA2564">
              <w:rPr>
                <w:color w:val="000000"/>
                <w:sz w:val="20"/>
              </w:rPr>
              <w:t>-31,16***</w:t>
            </w:r>
          </w:p>
        </w:tc>
        <w:tc>
          <w:tcPr>
            <w:tcW w:w="1443" w:type="dxa"/>
            <w:tcBorders>
              <w:top w:val="nil"/>
              <w:left w:val="nil"/>
              <w:bottom w:val="nil"/>
              <w:right w:val="nil"/>
            </w:tcBorders>
            <w:shd w:val="clear" w:color="000000" w:fill="FFFFFF"/>
            <w:noWrap/>
            <w:vAlign w:val="bottom"/>
            <w:hideMark/>
          </w:tcPr>
          <w:p w14:paraId="4643F89E" w14:textId="77777777" w:rsidR="007C0188" w:rsidRPr="00CA2564" w:rsidRDefault="007C0188" w:rsidP="007C4E85">
            <w:pPr>
              <w:spacing w:after="0" w:line="240" w:lineRule="auto"/>
              <w:jc w:val="right"/>
              <w:rPr>
                <w:rFonts w:eastAsia="Times New Roman" w:cs="Times New Roman"/>
                <w:color w:val="000000"/>
                <w:sz w:val="20"/>
                <w:lang w:eastAsia="sk-SK"/>
              </w:rPr>
            </w:pPr>
            <w:r w:rsidRPr="00CA2564">
              <w:rPr>
                <w:color w:val="000000"/>
                <w:sz w:val="20"/>
              </w:rPr>
              <w:t>5,36</w:t>
            </w:r>
          </w:p>
        </w:tc>
      </w:tr>
      <w:tr w:rsidR="007C0188" w:rsidRPr="00CA2564" w14:paraId="0F284AED" w14:textId="77777777" w:rsidTr="00A22437">
        <w:trPr>
          <w:trHeight w:val="283"/>
        </w:trPr>
        <w:tc>
          <w:tcPr>
            <w:tcW w:w="3300" w:type="dxa"/>
            <w:tcBorders>
              <w:top w:val="nil"/>
              <w:left w:val="nil"/>
              <w:bottom w:val="nil"/>
              <w:right w:val="nil"/>
            </w:tcBorders>
            <w:shd w:val="clear" w:color="000000" w:fill="FFFFFF"/>
            <w:noWrap/>
            <w:vAlign w:val="bottom"/>
            <w:hideMark/>
          </w:tcPr>
          <w:p w14:paraId="448D1C53" w14:textId="77777777" w:rsidR="007C0188" w:rsidRPr="00CA2564" w:rsidRDefault="007C0188" w:rsidP="007C4E85">
            <w:pPr>
              <w:spacing w:after="0" w:line="240" w:lineRule="auto"/>
              <w:rPr>
                <w:rFonts w:eastAsia="Times New Roman" w:cs="Times New Roman"/>
                <w:color w:val="000000"/>
                <w:sz w:val="20"/>
                <w:lang w:eastAsia="sk-SK"/>
              </w:rPr>
            </w:pPr>
            <w:r w:rsidRPr="00CA2564">
              <w:rPr>
                <w:rFonts w:eastAsia="Times New Roman" w:cs="Times New Roman"/>
                <w:color w:val="000000"/>
                <w:sz w:val="20"/>
                <w:lang w:eastAsia="sk-SK"/>
              </w:rPr>
              <w:t>Podiel žiakov v systéme PHN</w:t>
            </w:r>
          </w:p>
        </w:tc>
        <w:tc>
          <w:tcPr>
            <w:tcW w:w="1443" w:type="dxa"/>
            <w:tcBorders>
              <w:top w:val="nil"/>
              <w:left w:val="nil"/>
              <w:bottom w:val="nil"/>
              <w:right w:val="nil"/>
            </w:tcBorders>
            <w:shd w:val="clear" w:color="000000" w:fill="FFFFFF"/>
            <w:noWrap/>
            <w:vAlign w:val="bottom"/>
            <w:hideMark/>
          </w:tcPr>
          <w:p w14:paraId="748471B8" w14:textId="77777777" w:rsidR="007C0188" w:rsidRPr="00CA2564" w:rsidRDefault="007C0188" w:rsidP="007C4E85">
            <w:pPr>
              <w:spacing w:after="0" w:line="240" w:lineRule="auto"/>
              <w:jc w:val="right"/>
              <w:rPr>
                <w:rFonts w:eastAsia="Times New Roman" w:cs="Times New Roman"/>
                <w:color w:val="000000"/>
                <w:sz w:val="20"/>
                <w:lang w:eastAsia="sk-SK"/>
              </w:rPr>
            </w:pPr>
            <w:r w:rsidRPr="00CA2564">
              <w:rPr>
                <w:color w:val="000000"/>
                <w:sz w:val="20"/>
              </w:rPr>
              <w:t> </w:t>
            </w:r>
          </w:p>
        </w:tc>
        <w:tc>
          <w:tcPr>
            <w:tcW w:w="1443" w:type="dxa"/>
            <w:tcBorders>
              <w:top w:val="nil"/>
              <w:left w:val="nil"/>
              <w:bottom w:val="nil"/>
              <w:right w:val="nil"/>
            </w:tcBorders>
            <w:shd w:val="clear" w:color="000000" w:fill="FFFFFF"/>
            <w:noWrap/>
            <w:vAlign w:val="bottom"/>
            <w:hideMark/>
          </w:tcPr>
          <w:p w14:paraId="180B8A52" w14:textId="77777777" w:rsidR="007C0188" w:rsidRPr="00CA2564" w:rsidRDefault="007C0188" w:rsidP="007C4E85">
            <w:pPr>
              <w:spacing w:after="0" w:line="240" w:lineRule="auto"/>
              <w:jc w:val="right"/>
              <w:rPr>
                <w:rFonts w:eastAsia="Times New Roman" w:cs="Times New Roman"/>
                <w:color w:val="000000"/>
                <w:sz w:val="20"/>
                <w:lang w:eastAsia="sk-SK"/>
              </w:rPr>
            </w:pPr>
            <w:r w:rsidRPr="00CA2564">
              <w:rPr>
                <w:color w:val="000000"/>
                <w:sz w:val="20"/>
              </w:rPr>
              <w:t> </w:t>
            </w:r>
          </w:p>
        </w:tc>
        <w:tc>
          <w:tcPr>
            <w:tcW w:w="1443" w:type="dxa"/>
            <w:tcBorders>
              <w:top w:val="nil"/>
              <w:left w:val="nil"/>
              <w:bottom w:val="nil"/>
              <w:right w:val="nil"/>
            </w:tcBorders>
            <w:shd w:val="clear" w:color="000000" w:fill="FFFFFF"/>
            <w:noWrap/>
            <w:vAlign w:val="bottom"/>
            <w:hideMark/>
          </w:tcPr>
          <w:p w14:paraId="0DC6239D" w14:textId="77777777" w:rsidR="007C0188" w:rsidRPr="00CA2564" w:rsidRDefault="007C0188" w:rsidP="007C4E85">
            <w:pPr>
              <w:spacing w:after="0" w:line="240" w:lineRule="auto"/>
              <w:jc w:val="right"/>
              <w:rPr>
                <w:rFonts w:eastAsia="Times New Roman" w:cs="Times New Roman"/>
                <w:color w:val="000000"/>
                <w:sz w:val="20"/>
                <w:lang w:eastAsia="sk-SK"/>
              </w:rPr>
            </w:pPr>
            <w:r w:rsidRPr="00CA2564">
              <w:rPr>
                <w:color w:val="000000"/>
                <w:sz w:val="20"/>
              </w:rPr>
              <w:t>145,26***</w:t>
            </w:r>
          </w:p>
        </w:tc>
        <w:tc>
          <w:tcPr>
            <w:tcW w:w="1443" w:type="dxa"/>
            <w:tcBorders>
              <w:top w:val="nil"/>
              <w:left w:val="nil"/>
              <w:bottom w:val="nil"/>
              <w:right w:val="nil"/>
            </w:tcBorders>
            <w:shd w:val="clear" w:color="000000" w:fill="FFFFFF"/>
            <w:noWrap/>
            <w:vAlign w:val="bottom"/>
            <w:hideMark/>
          </w:tcPr>
          <w:p w14:paraId="0550FDE1" w14:textId="77777777" w:rsidR="007C0188" w:rsidRPr="00CA2564" w:rsidRDefault="007C0188" w:rsidP="007C4E85">
            <w:pPr>
              <w:spacing w:after="0" w:line="240" w:lineRule="auto"/>
              <w:jc w:val="right"/>
              <w:rPr>
                <w:rFonts w:eastAsia="Times New Roman" w:cs="Times New Roman"/>
                <w:color w:val="000000"/>
                <w:sz w:val="20"/>
                <w:lang w:eastAsia="sk-SK"/>
              </w:rPr>
            </w:pPr>
            <w:r w:rsidRPr="00CA2564">
              <w:rPr>
                <w:color w:val="000000"/>
                <w:sz w:val="20"/>
              </w:rPr>
              <w:t>7,87</w:t>
            </w:r>
          </w:p>
        </w:tc>
      </w:tr>
      <w:tr w:rsidR="007C0188" w:rsidRPr="00CA2564" w14:paraId="636F1A93" w14:textId="77777777" w:rsidTr="00A22437">
        <w:trPr>
          <w:trHeight w:val="283"/>
        </w:trPr>
        <w:tc>
          <w:tcPr>
            <w:tcW w:w="3300" w:type="dxa"/>
            <w:tcBorders>
              <w:top w:val="nil"/>
              <w:left w:val="nil"/>
              <w:bottom w:val="nil"/>
              <w:right w:val="nil"/>
            </w:tcBorders>
            <w:shd w:val="clear" w:color="000000" w:fill="FFFFFF"/>
            <w:noWrap/>
            <w:vAlign w:val="bottom"/>
            <w:hideMark/>
          </w:tcPr>
          <w:p w14:paraId="17CF23B1" w14:textId="77777777" w:rsidR="007C0188" w:rsidRPr="00CA2564" w:rsidRDefault="007C0188" w:rsidP="007C4E85">
            <w:pPr>
              <w:spacing w:after="0" w:line="240" w:lineRule="auto"/>
              <w:rPr>
                <w:rFonts w:eastAsia="Times New Roman" w:cs="Times New Roman"/>
                <w:color w:val="000000"/>
                <w:sz w:val="20"/>
                <w:lang w:eastAsia="sk-SK"/>
              </w:rPr>
            </w:pPr>
            <w:r w:rsidRPr="00CA2564">
              <w:rPr>
                <w:rFonts w:eastAsia="Times New Roman" w:cs="Times New Roman"/>
                <w:color w:val="000000"/>
                <w:sz w:val="20"/>
                <w:lang w:eastAsia="sk-SK"/>
              </w:rPr>
              <w:t>Podiel žiakov z MRK</w:t>
            </w:r>
          </w:p>
        </w:tc>
        <w:tc>
          <w:tcPr>
            <w:tcW w:w="1443" w:type="dxa"/>
            <w:tcBorders>
              <w:top w:val="nil"/>
              <w:left w:val="nil"/>
              <w:bottom w:val="nil"/>
              <w:right w:val="nil"/>
            </w:tcBorders>
            <w:shd w:val="clear" w:color="000000" w:fill="FFFFFF"/>
            <w:noWrap/>
            <w:vAlign w:val="bottom"/>
            <w:hideMark/>
          </w:tcPr>
          <w:p w14:paraId="0098FC9F" w14:textId="77777777" w:rsidR="007C0188" w:rsidRPr="00CA2564" w:rsidRDefault="007C0188" w:rsidP="007C4E85">
            <w:pPr>
              <w:spacing w:after="0" w:line="240" w:lineRule="auto"/>
              <w:jc w:val="right"/>
              <w:rPr>
                <w:rFonts w:eastAsia="Times New Roman" w:cs="Times New Roman"/>
                <w:color w:val="000000"/>
                <w:sz w:val="20"/>
                <w:lang w:eastAsia="sk-SK"/>
              </w:rPr>
            </w:pPr>
            <w:r w:rsidRPr="00CA2564">
              <w:rPr>
                <w:color w:val="000000"/>
                <w:sz w:val="20"/>
              </w:rPr>
              <w:t> </w:t>
            </w:r>
          </w:p>
        </w:tc>
        <w:tc>
          <w:tcPr>
            <w:tcW w:w="1443" w:type="dxa"/>
            <w:tcBorders>
              <w:top w:val="nil"/>
              <w:left w:val="nil"/>
              <w:bottom w:val="nil"/>
              <w:right w:val="nil"/>
            </w:tcBorders>
            <w:shd w:val="clear" w:color="000000" w:fill="FFFFFF"/>
            <w:noWrap/>
            <w:vAlign w:val="bottom"/>
            <w:hideMark/>
          </w:tcPr>
          <w:p w14:paraId="081FFF89" w14:textId="77777777" w:rsidR="007C0188" w:rsidRPr="00CA2564" w:rsidRDefault="007C0188" w:rsidP="007C4E85">
            <w:pPr>
              <w:spacing w:after="0" w:line="240" w:lineRule="auto"/>
              <w:jc w:val="right"/>
              <w:rPr>
                <w:rFonts w:eastAsia="Times New Roman" w:cs="Times New Roman"/>
                <w:color w:val="000000"/>
                <w:sz w:val="20"/>
                <w:lang w:eastAsia="sk-SK"/>
              </w:rPr>
            </w:pPr>
            <w:r w:rsidRPr="00CA2564">
              <w:rPr>
                <w:color w:val="000000"/>
                <w:sz w:val="20"/>
              </w:rPr>
              <w:t> </w:t>
            </w:r>
          </w:p>
        </w:tc>
        <w:tc>
          <w:tcPr>
            <w:tcW w:w="1443" w:type="dxa"/>
            <w:tcBorders>
              <w:top w:val="nil"/>
              <w:left w:val="nil"/>
              <w:bottom w:val="nil"/>
              <w:right w:val="nil"/>
            </w:tcBorders>
            <w:shd w:val="clear" w:color="000000" w:fill="FFFFFF"/>
            <w:noWrap/>
            <w:vAlign w:val="bottom"/>
            <w:hideMark/>
          </w:tcPr>
          <w:p w14:paraId="4E9ADED8" w14:textId="77777777" w:rsidR="007C0188" w:rsidRPr="00CA2564" w:rsidRDefault="007C0188" w:rsidP="007C4E85">
            <w:pPr>
              <w:spacing w:after="0" w:line="240" w:lineRule="auto"/>
              <w:jc w:val="right"/>
              <w:rPr>
                <w:rFonts w:eastAsia="Times New Roman" w:cs="Times New Roman"/>
                <w:color w:val="000000"/>
                <w:sz w:val="20"/>
                <w:lang w:eastAsia="sk-SK"/>
              </w:rPr>
            </w:pPr>
            <w:r w:rsidRPr="00CA2564">
              <w:rPr>
                <w:color w:val="000000"/>
                <w:sz w:val="20"/>
              </w:rPr>
              <w:t>23,19***</w:t>
            </w:r>
          </w:p>
        </w:tc>
        <w:tc>
          <w:tcPr>
            <w:tcW w:w="1443" w:type="dxa"/>
            <w:tcBorders>
              <w:top w:val="nil"/>
              <w:left w:val="nil"/>
              <w:bottom w:val="nil"/>
              <w:right w:val="nil"/>
            </w:tcBorders>
            <w:shd w:val="clear" w:color="000000" w:fill="FFFFFF"/>
            <w:noWrap/>
            <w:vAlign w:val="bottom"/>
            <w:hideMark/>
          </w:tcPr>
          <w:p w14:paraId="2663F307" w14:textId="77777777" w:rsidR="007C0188" w:rsidRPr="00CA2564" w:rsidRDefault="007C0188" w:rsidP="007C4E85">
            <w:pPr>
              <w:spacing w:after="0" w:line="240" w:lineRule="auto"/>
              <w:jc w:val="right"/>
              <w:rPr>
                <w:rFonts w:eastAsia="Times New Roman" w:cs="Times New Roman"/>
                <w:color w:val="000000"/>
                <w:sz w:val="20"/>
                <w:lang w:eastAsia="sk-SK"/>
              </w:rPr>
            </w:pPr>
            <w:r w:rsidRPr="00CA2564">
              <w:rPr>
                <w:color w:val="000000"/>
                <w:sz w:val="20"/>
              </w:rPr>
              <w:t>5,77</w:t>
            </w:r>
          </w:p>
        </w:tc>
      </w:tr>
      <w:tr w:rsidR="007C0188" w:rsidRPr="00CA2564" w14:paraId="351FB00C" w14:textId="77777777" w:rsidTr="00A22437">
        <w:trPr>
          <w:trHeight w:val="283"/>
        </w:trPr>
        <w:tc>
          <w:tcPr>
            <w:tcW w:w="3300" w:type="dxa"/>
            <w:tcBorders>
              <w:top w:val="nil"/>
              <w:left w:val="nil"/>
              <w:bottom w:val="nil"/>
              <w:right w:val="nil"/>
            </w:tcBorders>
            <w:shd w:val="clear" w:color="000000" w:fill="FFFFFF"/>
            <w:noWrap/>
            <w:vAlign w:val="bottom"/>
            <w:hideMark/>
          </w:tcPr>
          <w:p w14:paraId="385B5ABC" w14:textId="77777777" w:rsidR="007C0188" w:rsidRPr="00CA2564" w:rsidRDefault="007C0188" w:rsidP="007C4E85">
            <w:pPr>
              <w:spacing w:after="0" w:line="240" w:lineRule="auto"/>
              <w:rPr>
                <w:rFonts w:eastAsia="Times New Roman" w:cs="Times New Roman"/>
                <w:color w:val="000000"/>
                <w:sz w:val="20"/>
                <w:lang w:eastAsia="sk-SK"/>
              </w:rPr>
            </w:pPr>
            <w:r w:rsidRPr="00CA2564">
              <w:rPr>
                <w:rFonts w:eastAsia="Times New Roman" w:cs="Times New Roman"/>
                <w:color w:val="000000"/>
                <w:sz w:val="20"/>
                <w:lang w:eastAsia="sk-SK"/>
              </w:rPr>
              <w:t>Podiel žiakov v špeciálnom školstve</w:t>
            </w:r>
          </w:p>
        </w:tc>
        <w:tc>
          <w:tcPr>
            <w:tcW w:w="1443" w:type="dxa"/>
            <w:tcBorders>
              <w:top w:val="nil"/>
              <w:left w:val="nil"/>
              <w:bottom w:val="nil"/>
              <w:right w:val="nil"/>
            </w:tcBorders>
            <w:shd w:val="clear" w:color="000000" w:fill="FFFFFF"/>
            <w:noWrap/>
            <w:vAlign w:val="bottom"/>
            <w:hideMark/>
          </w:tcPr>
          <w:p w14:paraId="23B4B644" w14:textId="77777777" w:rsidR="007C0188" w:rsidRPr="00CA2564" w:rsidRDefault="007C0188" w:rsidP="007C4E85">
            <w:pPr>
              <w:spacing w:after="0" w:line="240" w:lineRule="auto"/>
              <w:jc w:val="right"/>
              <w:rPr>
                <w:rFonts w:eastAsia="Times New Roman" w:cs="Times New Roman"/>
                <w:color w:val="000000"/>
                <w:sz w:val="20"/>
                <w:lang w:eastAsia="sk-SK"/>
              </w:rPr>
            </w:pPr>
            <w:r w:rsidRPr="00CA2564">
              <w:rPr>
                <w:color w:val="000000"/>
                <w:sz w:val="20"/>
              </w:rPr>
              <w:t> </w:t>
            </w:r>
          </w:p>
        </w:tc>
        <w:tc>
          <w:tcPr>
            <w:tcW w:w="1443" w:type="dxa"/>
            <w:tcBorders>
              <w:top w:val="nil"/>
              <w:left w:val="nil"/>
              <w:bottom w:val="nil"/>
              <w:right w:val="nil"/>
            </w:tcBorders>
            <w:shd w:val="clear" w:color="000000" w:fill="FFFFFF"/>
            <w:noWrap/>
            <w:vAlign w:val="bottom"/>
            <w:hideMark/>
          </w:tcPr>
          <w:p w14:paraId="66C10B9E" w14:textId="77777777" w:rsidR="007C0188" w:rsidRPr="00CA2564" w:rsidRDefault="007C0188" w:rsidP="007C4E85">
            <w:pPr>
              <w:spacing w:after="0" w:line="240" w:lineRule="auto"/>
              <w:jc w:val="right"/>
              <w:rPr>
                <w:rFonts w:eastAsia="Times New Roman" w:cs="Times New Roman"/>
                <w:color w:val="000000"/>
                <w:sz w:val="20"/>
                <w:lang w:eastAsia="sk-SK"/>
              </w:rPr>
            </w:pPr>
            <w:r w:rsidRPr="00CA2564">
              <w:rPr>
                <w:color w:val="000000"/>
                <w:sz w:val="20"/>
              </w:rPr>
              <w:t> </w:t>
            </w:r>
          </w:p>
        </w:tc>
        <w:tc>
          <w:tcPr>
            <w:tcW w:w="1443" w:type="dxa"/>
            <w:tcBorders>
              <w:top w:val="nil"/>
              <w:left w:val="nil"/>
              <w:bottom w:val="nil"/>
              <w:right w:val="nil"/>
            </w:tcBorders>
            <w:shd w:val="clear" w:color="000000" w:fill="FFFFFF"/>
            <w:noWrap/>
            <w:vAlign w:val="bottom"/>
            <w:hideMark/>
          </w:tcPr>
          <w:p w14:paraId="16E7A017" w14:textId="77777777" w:rsidR="007C0188" w:rsidRPr="00CA2564" w:rsidRDefault="007C0188" w:rsidP="007C4E85">
            <w:pPr>
              <w:spacing w:after="0" w:line="240" w:lineRule="auto"/>
              <w:jc w:val="right"/>
              <w:rPr>
                <w:rFonts w:eastAsia="Times New Roman" w:cs="Times New Roman"/>
                <w:color w:val="000000"/>
                <w:sz w:val="20"/>
                <w:lang w:eastAsia="sk-SK"/>
              </w:rPr>
            </w:pPr>
            <w:r w:rsidRPr="00CA2564">
              <w:rPr>
                <w:color w:val="000000"/>
                <w:sz w:val="20"/>
              </w:rPr>
              <w:t>20,45***</w:t>
            </w:r>
          </w:p>
        </w:tc>
        <w:tc>
          <w:tcPr>
            <w:tcW w:w="1443" w:type="dxa"/>
            <w:tcBorders>
              <w:top w:val="nil"/>
              <w:left w:val="nil"/>
              <w:bottom w:val="nil"/>
              <w:right w:val="nil"/>
            </w:tcBorders>
            <w:shd w:val="clear" w:color="000000" w:fill="FFFFFF"/>
            <w:noWrap/>
            <w:vAlign w:val="bottom"/>
            <w:hideMark/>
          </w:tcPr>
          <w:p w14:paraId="4EF55737" w14:textId="77777777" w:rsidR="007C0188" w:rsidRPr="00CA2564" w:rsidRDefault="007C0188" w:rsidP="007C4E85">
            <w:pPr>
              <w:spacing w:after="0" w:line="240" w:lineRule="auto"/>
              <w:jc w:val="right"/>
              <w:rPr>
                <w:rFonts w:eastAsia="Times New Roman" w:cs="Times New Roman"/>
                <w:color w:val="000000"/>
                <w:sz w:val="20"/>
                <w:lang w:eastAsia="sk-SK"/>
              </w:rPr>
            </w:pPr>
            <w:r w:rsidRPr="00CA2564">
              <w:rPr>
                <w:color w:val="000000"/>
                <w:sz w:val="20"/>
              </w:rPr>
              <w:t>5,73</w:t>
            </w:r>
          </w:p>
        </w:tc>
      </w:tr>
      <w:tr w:rsidR="007C0188" w:rsidRPr="00CA2564" w14:paraId="1250590B" w14:textId="77777777" w:rsidTr="00A22437">
        <w:trPr>
          <w:trHeight w:val="283"/>
        </w:trPr>
        <w:tc>
          <w:tcPr>
            <w:tcW w:w="3300" w:type="dxa"/>
            <w:tcBorders>
              <w:top w:val="nil"/>
              <w:left w:val="nil"/>
              <w:bottom w:val="nil"/>
              <w:right w:val="nil"/>
            </w:tcBorders>
            <w:shd w:val="clear" w:color="000000" w:fill="FFFFFF"/>
            <w:noWrap/>
            <w:vAlign w:val="bottom"/>
            <w:hideMark/>
          </w:tcPr>
          <w:p w14:paraId="1BB198C0" w14:textId="77777777" w:rsidR="007C0188" w:rsidRPr="00CA2564" w:rsidRDefault="007C0188" w:rsidP="007C4E85">
            <w:pPr>
              <w:spacing w:after="0" w:line="240" w:lineRule="auto"/>
              <w:rPr>
                <w:rFonts w:eastAsia="Times New Roman" w:cs="Times New Roman"/>
                <w:color w:val="000000"/>
                <w:sz w:val="20"/>
                <w:lang w:eastAsia="sk-SK"/>
              </w:rPr>
            </w:pPr>
            <w:r w:rsidRPr="00CA2564">
              <w:rPr>
                <w:rFonts w:eastAsia="Times New Roman" w:cs="Times New Roman"/>
                <w:color w:val="000000"/>
                <w:sz w:val="20"/>
                <w:lang w:eastAsia="sk-SK"/>
              </w:rPr>
              <w:t>Konštanta</w:t>
            </w:r>
          </w:p>
        </w:tc>
        <w:tc>
          <w:tcPr>
            <w:tcW w:w="1443" w:type="dxa"/>
            <w:tcBorders>
              <w:top w:val="nil"/>
              <w:left w:val="nil"/>
              <w:bottom w:val="nil"/>
              <w:right w:val="nil"/>
            </w:tcBorders>
            <w:shd w:val="clear" w:color="000000" w:fill="FFFFFF"/>
            <w:noWrap/>
            <w:vAlign w:val="bottom"/>
            <w:hideMark/>
          </w:tcPr>
          <w:p w14:paraId="073DAFCE" w14:textId="77777777" w:rsidR="007C0188" w:rsidRPr="00CA2564" w:rsidRDefault="007C0188" w:rsidP="007C4E85">
            <w:pPr>
              <w:spacing w:after="0" w:line="240" w:lineRule="auto"/>
              <w:jc w:val="right"/>
              <w:rPr>
                <w:rFonts w:eastAsia="Times New Roman" w:cs="Times New Roman"/>
                <w:color w:val="000000"/>
                <w:sz w:val="20"/>
                <w:lang w:eastAsia="sk-SK"/>
              </w:rPr>
            </w:pPr>
            <w:r w:rsidRPr="00CA2564">
              <w:rPr>
                <w:color w:val="000000"/>
                <w:sz w:val="20"/>
              </w:rPr>
              <w:t>95,61***</w:t>
            </w:r>
          </w:p>
        </w:tc>
        <w:tc>
          <w:tcPr>
            <w:tcW w:w="1443" w:type="dxa"/>
            <w:tcBorders>
              <w:top w:val="nil"/>
              <w:left w:val="nil"/>
              <w:bottom w:val="nil"/>
              <w:right w:val="nil"/>
            </w:tcBorders>
            <w:shd w:val="clear" w:color="000000" w:fill="FFFFFF"/>
            <w:noWrap/>
            <w:vAlign w:val="bottom"/>
            <w:hideMark/>
          </w:tcPr>
          <w:p w14:paraId="648E3233" w14:textId="77777777" w:rsidR="007C0188" w:rsidRPr="00CA2564" w:rsidRDefault="007C0188" w:rsidP="007C4E85">
            <w:pPr>
              <w:spacing w:after="0" w:line="240" w:lineRule="auto"/>
              <w:jc w:val="right"/>
              <w:rPr>
                <w:rFonts w:eastAsia="Times New Roman" w:cs="Times New Roman"/>
                <w:color w:val="000000"/>
                <w:sz w:val="20"/>
                <w:lang w:eastAsia="sk-SK"/>
              </w:rPr>
            </w:pPr>
            <w:r w:rsidRPr="00CA2564">
              <w:rPr>
                <w:color w:val="000000"/>
                <w:sz w:val="20"/>
              </w:rPr>
              <w:t>0,87</w:t>
            </w:r>
          </w:p>
        </w:tc>
        <w:tc>
          <w:tcPr>
            <w:tcW w:w="1443" w:type="dxa"/>
            <w:tcBorders>
              <w:top w:val="nil"/>
              <w:left w:val="nil"/>
              <w:bottom w:val="nil"/>
              <w:right w:val="nil"/>
            </w:tcBorders>
            <w:shd w:val="clear" w:color="000000" w:fill="FFFFFF"/>
            <w:noWrap/>
            <w:vAlign w:val="bottom"/>
            <w:hideMark/>
          </w:tcPr>
          <w:p w14:paraId="3E28A97E" w14:textId="77777777" w:rsidR="007C0188" w:rsidRPr="00CA2564" w:rsidRDefault="007C0188" w:rsidP="007C4E85">
            <w:pPr>
              <w:spacing w:after="0" w:line="240" w:lineRule="auto"/>
              <w:jc w:val="right"/>
              <w:rPr>
                <w:rFonts w:eastAsia="Times New Roman" w:cs="Times New Roman"/>
                <w:color w:val="000000"/>
                <w:sz w:val="20"/>
                <w:lang w:eastAsia="sk-SK"/>
              </w:rPr>
            </w:pPr>
            <w:r w:rsidRPr="00CA2564">
              <w:rPr>
                <w:color w:val="000000"/>
                <w:sz w:val="20"/>
              </w:rPr>
              <w:t>80,48***</w:t>
            </w:r>
          </w:p>
        </w:tc>
        <w:tc>
          <w:tcPr>
            <w:tcW w:w="1443" w:type="dxa"/>
            <w:tcBorders>
              <w:top w:val="nil"/>
              <w:left w:val="nil"/>
              <w:bottom w:val="nil"/>
              <w:right w:val="nil"/>
            </w:tcBorders>
            <w:shd w:val="clear" w:color="000000" w:fill="FFFFFF"/>
            <w:noWrap/>
            <w:vAlign w:val="bottom"/>
            <w:hideMark/>
          </w:tcPr>
          <w:p w14:paraId="38FB0DE2" w14:textId="77777777" w:rsidR="007C0188" w:rsidRPr="00CA2564" w:rsidRDefault="007C0188" w:rsidP="007C4E85">
            <w:pPr>
              <w:spacing w:after="0" w:line="240" w:lineRule="auto"/>
              <w:jc w:val="right"/>
              <w:rPr>
                <w:rFonts w:eastAsia="Times New Roman" w:cs="Times New Roman"/>
                <w:color w:val="000000"/>
                <w:sz w:val="20"/>
                <w:lang w:eastAsia="sk-SK"/>
              </w:rPr>
            </w:pPr>
            <w:r w:rsidRPr="00CA2564">
              <w:rPr>
                <w:color w:val="000000"/>
                <w:sz w:val="20"/>
              </w:rPr>
              <w:t>0,82</w:t>
            </w:r>
          </w:p>
        </w:tc>
      </w:tr>
      <w:tr w:rsidR="007C0188" w:rsidRPr="00CA2564" w14:paraId="5DA51BBE" w14:textId="77777777" w:rsidTr="00A22437">
        <w:trPr>
          <w:trHeight w:val="283"/>
        </w:trPr>
        <w:tc>
          <w:tcPr>
            <w:tcW w:w="3300" w:type="dxa"/>
            <w:tcBorders>
              <w:top w:val="single" w:sz="4" w:space="0" w:color="auto"/>
              <w:left w:val="nil"/>
              <w:bottom w:val="nil"/>
              <w:right w:val="nil"/>
            </w:tcBorders>
            <w:shd w:val="clear" w:color="000000" w:fill="FFFFFF"/>
            <w:noWrap/>
            <w:vAlign w:val="bottom"/>
            <w:hideMark/>
          </w:tcPr>
          <w:p w14:paraId="2F74A87B" w14:textId="77777777" w:rsidR="007C0188" w:rsidRPr="00CA2564" w:rsidRDefault="007C0188" w:rsidP="007C4E85">
            <w:pPr>
              <w:spacing w:after="0" w:line="240" w:lineRule="auto"/>
              <w:rPr>
                <w:rFonts w:eastAsia="Times New Roman" w:cs="Times New Roman"/>
                <w:color w:val="000000"/>
                <w:sz w:val="20"/>
                <w:lang w:eastAsia="sk-SK"/>
              </w:rPr>
            </w:pPr>
            <w:r w:rsidRPr="00CA2564">
              <w:rPr>
                <w:rFonts w:eastAsia="Times New Roman" w:cs="Times New Roman"/>
                <w:color w:val="000000"/>
                <w:sz w:val="20"/>
                <w:lang w:eastAsia="sk-SK"/>
              </w:rPr>
              <w:t>Počet pozorovaní</w:t>
            </w:r>
          </w:p>
        </w:tc>
        <w:tc>
          <w:tcPr>
            <w:tcW w:w="2886" w:type="dxa"/>
            <w:gridSpan w:val="2"/>
            <w:tcBorders>
              <w:top w:val="single" w:sz="4" w:space="0" w:color="auto"/>
              <w:left w:val="nil"/>
              <w:bottom w:val="nil"/>
              <w:right w:val="nil"/>
            </w:tcBorders>
            <w:shd w:val="clear" w:color="000000" w:fill="FFFFFF"/>
            <w:noWrap/>
            <w:vAlign w:val="bottom"/>
            <w:hideMark/>
          </w:tcPr>
          <w:p w14:paraId="297033FA"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2 009</w:t>
            </w:r>
          </w:p>
        </w:tc>
        <w:tc>
          <w:tcPr>
            <w:tcW w:w="2886" w:type="dxa"/>
            <w:gridSpan w:val="2"/>
            <w:tcBorders>
              <w:top w:val="single" w:sz="4" w:space="0" w:color="auto"/>
              <w:left w:val="nil"/>
              <w:bottom w:val="nil"/>
              <w:right w:val="nil"/>
            </w:tcBorders>
            <w:shd w:val="clear" w:color="000000" w:fill="FFFFFF"/>
            <w:noWrap/>
            <w:vAlign w:val="bottom"/>
            <w:hideMark/>
          </w:tcPr>
          <w:p w14:paraId="5086C7A0"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2 009</w:t>
            </w:r>
          </w:p>
        </w:tc>
      </w:tr>
      <w:tr w:rsidR="007C0188" w:rsidRPr="00CA2564" w14:paraId="68F3CA7B" w14:textId="77777777" w:rsidTr="00A22437">
        <w:trPr>
          <w:trHeight w:val="283"/>
        </w:trPr>
        <w:tc>
          <w:tcPr>
            <w:tcW w:w="3300" w:type="dxa"/>
            <w:tcBorders>
              <w:top w:val="nil"/>
              <w:left w:val="nil"/>
              <w:bottom w:val="single" w:sz="4" w:space="0" w:color="auto"/>
              <w:right w:val="nil"/>
            </w:tcBorders>
            <w:shd w:val="clear" w:color="000000" w:fill="FFFFFF"/>
            <w:noWrap/>
            <w:vAlign w:val="bottom"/>
            <w:hideMark/>
          </w:tcPr>
          <w:p w14:paraId="222620F7" w14:textId="77777777" w:rsidR="007C0188" w:rsidRPr="00CA2564" w:rsidRDefault="007C0188" w:rsidP="007C4E85">
            <w:pPr>
              <w:spacing w:after="0" w:line="240" w:lineRule="auto"/>
              <w:rPr>
                <w:rFonts w:eastAsia="Times New Roman" w:cs="Times New Roman"/>
                <w:color w:val="000000"/>
                <w:sz w:val="20"/>
                <w:lang w:eastAsia="sk-SK"/>
              </w:rPr>
            </w:pPr>
            <w:r w:rsidRPr="00CA2564">
              <w:rPr>
                <w:rFonts w:eastAsia="Times New Roman" w:cs="Times New Roman"/>
                <w:color w:val="000000"/>
                <w:sz w:val="20"/>
                <w:lang w:eastAsia="sk-SK"/>
              </w:rPr>
              <w:t>R</w:t>
            </w:r>
            <w:r w:rsidRPr="00CA2564">
              <w:rPr>
                <w:rFonts w:eastAsia="Times New Roman" w:cs="Times New Roman"/>
                <w:color w:val="000000"/>
                <w:sz w:val="20"/>
                <w:vertAlign w:val="superscript"/>
                <w:lang w:eastAsia="sk-SK"/>
              </w:rPr>
              <w:t>2</w:t>
            </w:r>
          </w:p>
        </w:tc>
        <w:tc>
          <w:tcPr>
            <w:tcW w:w="2886" w:type="dxa"/>
            <w:gridSpan w:val="2"/>
            <w:tcBorders>
              <w:top w:val="nil"/>
              <w:left w:val="nil"/>
              <w:bottom w:val="single" w:sz="4" w:space="0" w:color="auto"/>
              <w:right w:val="nil"/>
            </w:tcBorders>
            <w:shd w:val="clear" w:color="000000" w:fill="FFFFFF"/>
            <w:noWrap/>
            <w:vAlign w:val="bottom"/>
            <w:hideMark/>
          </w:tcPr>
          <w:p w14:paraId="2BCB6E83"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color w:val="000000"/>
                <w:sz w:val="20"/>
              </w:rPr>
              <w:t>0,094</w:t>
            </w:r>
          </w:p>
        </w:tc>
        <w:tc>
          <w:tcPr>
            <w:tcW w:w="2886" w:type="dxa"/>
            <w:gridSpan w:val="2"/>
            <w:tcBorders>
              <w:top w:val="nil"/>
              <w:left w:val="nil"/>
              <w:bottom w:val="single" w:sz="4" w:space="0" w:color="auto"/>
              <w:right w:val="nil"/>
            </w:tcBorders>
            <w:shd w:val="clear" w:color="000000" w:fill="FFFFFF"/>
            <w:noWrap/>
            <w:vAlign w:val="bottom"/>
            <w:hideMark/>
          </w:tcPr>
          <w:p w14:paraId="365B55B5"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color w:val="000000"/>
                <w:sz w:val="20"/>
              </w:rPr>
              <w:t>0,435</w:t>
            </w:r>
          </w:p>
        </w:tc>
      </w:tr>
      <w:tr w:rsidR="007C0188" w:rsidRPr="00CA2564" w14:paraId="6BE7E51F" w14:textId="77777777" w:rsidTr="007C4E85">
        <w:trPr>
          <w:trHeight w:val="246"/>
        </w:trPr>
        <w:tc>
          <w:tcPr>
            <w:tcW w:w="9072" w:type="dxa"/>
            <w:gridSpan w:val="5"/>
            <w:tcBorders>
              <w:top w:val="single" w:sz="4" w:space="0" w:color="auto"/>
              <w:left w:val="nil"/>
              <w:right w:val="nil"/>
            </w:tcBorders>
            <w:shd w:val="clear" w:color="000000" w:fill="FFFFFF"/>
            <w:noWrap/>
            <w:vAlign w:val="bottom"/>
          </w:tcPr>
          <w:p w14:paraId="6BABC6B1" w14:textId="77777777" w:rsidR="007C0188" w:rsidRPr="00CA2564" w:rsidRDefault="007C0188" w:rsidP="007C4E85">
            <w:pPr>
              <w:spacing w:after="0" w:line="240" w:lineRule="auto"/>
              <w:jc w:val="right"/>
              <w:rPr>
                <w:i/>
                <w:iCs/>
                <w:sz w:val="18"/>
                <w:szCs w:val="18"/>
              </w:rPr>
            </w:pPr>
            <w:r w:rsidRPr="00CA2564">
              <w:rPr>
                <w:rFonts w:eastAsia="Times New Roman" w:cs="Times New Roman"/>
                <w:i/>
                <w:color w:val="000000"/>
                <w:sz w:val="18"/>
                <w:szCs w:val="18"/>
                <w:lang w:eastAsia="sk-SK"/>
              </w:rPr>
              <w:t xml:space="preserve">Zdroj: ÚHP na základe údajov </w:t>
            </w:r>
            <w:r w:rsidRPr="00CA2564">
              <w:rPr>
                <w:i/>
                <w:iCs/>
                <w:sz w:val="18"/>
                <w:szCs w:val="18"/>
              </w:rPr>
              <w:t>RIS MŠVVŠ, CVTI SR, MV a ARK</w:t>
            </w:r>
          </w:p>
          <w:p w14:paraId="37F277BA" w14:textId="597F4B24" w:rsidR="007C0188" w:rsidRPr="00CA2564" w:rsidRDefault="007C0188" w:rsidP="007C4E85">
            <w:pPr>
              <w:spacing w:after="0" w:line="240" w:lineRule="auto"/>
              <w:jc w:val="left"/>
              <w:rPr>
                <w:rFonts w:eastAsia="Times New Roman" w:cs="Times New Roman"/>
                <w:color w:val="000000"/>
                <w:sz w:val="18"/>
                <w:szCs w:val="18"/>
                <w:lang w:eastAsia="sk-SK"/>
              </w:rPr>
            </w:pPr>
            <w:r w:rsidRPr="00CA2564">
              <w:rPr>
                <w:i/>
                <w:iCs/>
                <w:sz w:val="18"/>
                <w:szCs w:val="18"/>
              </w:rPr>
              <w:t>Poznámka: Pozorovania v </w:t>
            </w:r>
            <w:r w:rsidR="00511C45" w:rsidRPr="00CA2564">
              <w:rPr>
                <w:i/>
                <w:iCs/>
                <w:sz w:val="18"/>
                <w:szCs w:val="18"/>
              </w:rPr>
              <w:t>regresii</w:t>
            </w:r>
            <w:r w:rsidRPr="00CA2564">
              <w:rPr>
                <w:i/>
                <w:iCs/>
                <w:sz w:val="18"/>
                <w:szCs w:val="18"/>
              </w:rPr>
              <w:t xml:space="preserve"> boli vážené počtom žiakov v škole. *** označuje štatistickú signifikantnosť na úrovni 1 %, ** na úrovni 5 % a * na úrovni 10 %.</w:t>
            </w:r>
          </w:p>
        </w:tc>
      </w:tr>
    </w:tbl>
    <w:p w14:paraId="454887A5" w14:textId="77777777" w:rsidR="00C219E9" w:rsidRDefault="00C219E9" w:rsidP="00C219E9">
      <w:pPr>
        <w:jc w:val="left"/>
        <w:rPr>
          <w:b/>
          <w:color w:val="0070C0"/>
        </w:rPr>
      </w:pPr>
    </w:p>
    <w:p w14:paraId="70E89319" w14:textId="77777777" w:rsidR="003B7808" w:rsidRDefault="003B7808">
      <w:pPr>
        <w:spacing w:after="160"/>
        <w:jc w:val="left"/>
        <w:rPr>
          <w:b/>
          <w:iCs/>
          <w:color w:val="2E74B5" w:themeColor="accent1" w:themeShade="BF"/>
          <w:szCs w:val="18"/>
        </w:rPr>
      </w:pPr>
      <w:bookmarkStart w:id="1907" w:name="_Ref25324248"/>
      <w:bookmarkStart w:id="1908" w:name="_Hlk24490194"/>
      <w:r>
        <w:rPr>
          <w:b/>
          <w:i/>
          <w:color w:val="2E74B5" w:themeColor="accent1" w:themeShade="BF"/>
        </w:rPr>
        <w:br w:type="page"/>
      </w:r>
    </w:p>
    <w:p w14:paraId="178265DA" w14:textId="0A5B701C" w:rsidR="00C219E9" w:rsidRPr="00DF3709" w:rsidRDefault="00494ABB" w:rsidP="00494ABB">
      <w:pPr>
        <w:pStyle w:val="Popis"/>
        <w:rPr>
          <w:b/>
          <w:i w:val="0"/>
          <w:color w:val="2E74B5" w:themeColor="accent1" w:themeShade="BF"/>
          <w:sz w:val="22"/>
        </w:rPr>
      </w:pPr>
      <w:bookmarkStart w:id="1909" w:name="_Ref34129746"/>
      <w:r w:rsidRPr="00DF3709">
        <w:rPr>
          <w:b/>
          <w:i w:val="0"/>
          <w:color w:val="2E74B5" w:themeColor="accent1" w:themeShade="BF"/>
          <w:sz w:val="22"/>
        </w:rPr>
        <w:t xml:space="preserve">Príloha </w:t>
      </w:r>
      <w:r w:rsidRPr="00DF3709">
        <w:rPr>
          <w:b/>
          <w:i w:val="0"/>
          <w:color w:val="2E74B5" w:themeColor="accent1" w:themeShade="BF"/>
          <w:sz w:val="22"/>
        </w:rPr>
        <w:fldChar w:fldCharType="begin"/>
      </w:r>
      <w:r w:rsidRPr="00DF3709">
        <w:rPr>
          <w:b/>
          <w:i w:val="0"/>
          <w:color w:val="2E74B5" w:themeColor="accent1" w:themeShade="BF"/>
          <w:sz w:val="22"/>
        </w:rPr>
        <w:instrText xml:space="preserve"> SEQ Príloha \* ARABIC </w:instrText>
      </w:r>
      <w:r w:rsidRPr="00DF3709">
        <w:rPr>
          <w:b/>
          <w:i w:val="0"/>
          <w:color w:val="2E74B5" w:themeColor="accent1" w:themeShade="BF"/>
          <w:sz w:val="22"/>
        </w:rPr>
        <w:fldChar w:fldCharType="separate"/>
      </w:r>
      <w:r w:rsidR="00FA29AF">
        <w:rPr>
          <w:b/>
          <w:i w:val="0"/>
          <w:noProof/>
          <w:color w:val="2E74B5" w:themeColor="accent1" w:themeShade="BF"/>
          <w:sz w:val="22"/>
        </w:rPr>
        <w:t>13</w:t>
      </w:r>
      <w:r w:rsidRPr="00DF3709">
        <w:rPr>
          <w:b/>
          <w:i w:val="0"/>
          <w:color w:val="2E74B5" w:themeColor="accent1" w:themeShade="BF"/>
          <w:sz w:val="22"/>
        </w:rPr>
        <w:fldChar w:fldCharType="end"/>
      </w:r>
      <w:bookmarkEnd w:id="1907"/>
      <w:bookmarkEnd w:id="1909"/>
      <w:r w:rsidR="00DF3709" w:rsidRPr="00DF3709">
        <w:rPr>
          <w:b/>
          <w:i w:val="0"/>
          <w:color w:val="2E74B5" w:themeColor="accent1" w:themeShade="BF"/>
          <w:sz w:val="22"/>
        </w:rPr>
        <w:t>:</w:t>
      </w:r>
      <w:r w:rsidR="00C219E9" w:rsidRPr="00DF3709">
        <w:rPr>
          <w:b/>
          <w:i w:val="0"/>
          <w:color w:val="2E74B5" w:themeColor="accent1" w:themeShade="BF"/>
          <w:sz w:val="22"/>
        </w:rPr>
        <w:t xml:space="preserve"> Zamestnanosť absolventov podľa výšky dosiahnutého vzdelania</w:t>
      </w:r>
    </w:p>
    <w:bookmarkEnd w:id="1908"/>
    <w:p w14:paraId="4C47B094" w14:textId="78A42F9A" w:rsidR="00DF3709" w:rsidRPr="00627746" w:rsidRDefault="00C219E9" w:rsidP="0001275D">
      <w:r w:rsidRPr="00627746">
        <w:t>Absolventi z prostredia MRK vstupujúci na trh práce majú horšie šance nájsť si zamestnanie ako absolventi z prostredia mimo MRK s rovnakým dosiahnutým vzdelaním. Kým napríklad v školskom roku 2017/18 okolo 60 % absolventov</w:t>
      </w:r>
      <w:r w:rsidRPr="00627746">
        <w:rPr>
          <w:rStyle w:val="Odkaznapoznmkupodiarou"/>
        </w:rPr>
        <w:footnoteReference w:id="533"/>
      </w:r>
      <w:r w:rsidRPr="00627746">
        <w:t xml:space="preserve"> H odborov</w:t>
      </w:r>
      <w:r w:rsidRPr="00627746">
        <w:rPr>
          <w:rStyle w:val="Odkaznapoznmkupodiarou"/>
        </w:rPr>
        <w:footnoteReference w:id="534"/>
      </w:r>
      <w:r w:rsidRPr="00627746">
        <w:t xml:space="preserve"> stredných odborných škôl z prostredia mimo MRK si od ukončenia štúdia do konca roka 2018 našlo zamestnanie</w:t>
      </w:r>
      <w:r w:rsidRPr="00627746">
        <w:rPr>
          <w:rStyle w:val="Odkaznapoznmkupodiarou"/>
        </w:rPr>
        <w:footnoteReference w:id="535"/>
      </w:r>
      <w:r w:rsidRPr="00627746">
        <w:t>, medzi absolventmi z MRK to bolo iba 40 % (</w:t>
      </w:r>
      <w:r w:rsidR="00EE35BC" w:rsidRPr="00EE35BC">
        <w:fldChar w:fldCharType="begin"/>
      </w:r>
      <w:r w:rsidR="00EE35BC" w:rsidRPr="00EE35BC">
        <w:instrText xml:space="preserve"> REF _Ref25652984 \h  \* MERGEFORMAT </w:instrText>
      </w:r>
      <w:r w:rsidR="00EE35BC" w:rsidRPr="00EE35BC">
        <w:fldChar w:fldCharType="separate"/>
      </w:r>
      <w:r w:rsidR="00FA29AF" w:rsidRPr="00FA29AF">
        <w:t>Graf P 4</w:t>
      </w:r>
      <w:r w:rsidR="00EE35BC" w:rsidRPr="00EE35BC">
        <w:fldChar w:fldCharType="end"/>
      </w:r>
      <w:r w:rsidRPr="00EE35BC">
        <w:t>)</w:t>
      </w:r>
      <w:r>
        <w:t xml:space="preserve">. </w:t>
      </w:r>
      <w:r w:rsidRPr="00627746">
        <w:t>Dá sa predpokladať, že slabé vyhliadky na trhu práce znižujú motiváciu pokračovať vo vzdelávaní po ukončení povinnej školskej dochádzky.</w:t>
      </w:r>
    </w:p>
    <w:tbl>
      <w:tblPr>
        <w:tblW w:w="0" w:type="auto"/>
        <w:tblLook w:val="04E0" w:firstRow="1" w:lastRow="1" w:firstColumn="1" w:lastColumn="0" w:noHBand="0" w:noVBand="1"/>
      </w:tblPr>
      <w:tblGrid>
        <w:gridCol w:w="9072"/>
      </w:tblGrid>
      <w:tr w:rsidR="00C219E9" w:rsidRPr="00C219E9" w14:paraId="79CA0C65" w14:textId="77777777" w:rsidTr="004D5DC8">
        <w:tc>
          <w:tcPr>
            <w:tcW w:w="9072" w:type="dxa"/>
            <w:tcBorders>
              <w:bottom w:val="single" w:sz="4" w:space="0" w:color="auto"/>
            </w:tcBorders>
          </w:tcPr>
          <w:p w14:paraId="4DD83084" w14:textId="11C35C34" w:rsidR="00C219E9" w:rsidRPr="004D5DC8" w:rsidRDefault="00FA7180" w:rsidP="004D5DC8">
            <w:pPr>
              <w:pStyle w:val="Popis"/>
              <w:keepNext/>
              <w:spacing w:after="0"/>
              <w:jc w:val="left"/>
              <w:rPr>
                <w:b/>
                <w:i w:val="0"/>
                <w:sz w:val="20"/>
                <w:szCs w:val="20"/>
              </w:rPr>
            </w:pPr>
            <w:bookmarkStart w:id="1910" w:name="_Ref25652984"/>
            <w:bookmarkStart w:id="1911" w:name="_Ref8572691"/>
            <w:bookmarkStart w:id="1912" w:name="_Toc17469388"/>
            <w:r w:rsidRPr="004D5DC8">
              <w:rPr>
                <w:b/>
                <w:i w:val="0"/>
                <w:color w:val="auto"/>
                <w:sz w:val="20"/>
                <w:szCs w:val="20"/>
              </w:rPr>
              <w:t xml:space="preserve">Graf P </w:t>
            </w:r>
            <w:r w:rsidRPr="004D5DC8">
              <w:rPr>
                <w:b/>
                <w:i w:val="0"/>
                <w:color w:val="auto"/>
                <w:sz w:val="20"/>
                <w:szCs w:val="20"/>
              </w:rPr>
              <w:fldChar w:fldCharType="begin"/>
            </w:r>
            <w:r w:rsidRPr="004D5DC8">
              <w:rPr>
                <w:b/>
                <w:i w:val="0"/>
                <w:color w:val="auto"/>
                <w:sz w:val="20"/>
                <w:szCs w:val="20"/>
              </w:rPr>
              <w:instrText xml:space="preserve"> SEQ Graf_P \* ARABIC </w:instrText>
            </w:r>
            <w:r w:rsidRPr="004D5DC8">
              <w:rPr>
                <w:b/>
                <w:i w:val="0"/>
                <w:color w:val="auto"/>
                <w:sz w:val="20"/>
                <w:szCs w:val="20"/>
              </w:rPr>
              <w:fldChar w:fldCharType="separate"/>
            </w:r>
            <w:r w:rsidR="00FA29AF">
              <w:rPr>
                <w:b/>
                <w:i w:val="0"/>
                <w:noProof/>
                <w:color w:val="auto"/>
                <w:sz w:val="20"/>
                <w:szCs w:val="20"/>
              </w:rPr>
              <w:t>4</w:t>
            </w:r>
            <w:r w:rsidRPr="004D5DC8">
              <w:rPr>
                <w:b/>
                <w:i w:val="0"/>
                <w:color w:val="auto"/>
                <w:sz w:val="20"/>
                <w:szCs w:val="20"/>
              </w:rPr>
              <w:fldChar w:fldCharType="end"/>
            </w:r>
            <w:bookmarkEnd w:id="1910"/>
            <w:r w:rsidRPr="004D5DC8">
              <w:rPr>
                <w:b/>
                <w:i w:val="0"/>
                <w:color w:val="auto"/>
                <w:sz w:val="20"/>
                <w:szCs w:val="20"/>
              </w:rPr>
              <w:t xml:space="preserve">: </w:t>
            </w:r>
            <w:bookmarkEnd w:id="1911"/>
            <w:r w:rsidR="00C219E9" w:rsidRPr="004D5DC8">
              <w:rPr>
                <w:b/>
                <w:i w:val="0"/>
                <w:color w:val="auto"/>
                <w:sz w:val="20"/>
                <w:szCs w:val="20"/>
              </w:rPr>
              <w:t>Podiel absolventov v š.r. 2017/18, ktorí vstúpili do zamestnania do konca roka 2018 (%)</w:t>
            </w:r>
            <w:bookmarkEnd w:id="1912"/>
          </w:p>
        </w:tc>
      </w:tr>
      <w:tr w:rsidR="00C219E9" w:rsidRPr="00627746" w14:paraId="0BFB48C7" w14:textId="77777777" w:rsidTr="004D5DC8">
        <w:tblPrEx>
          <w:tblCellMar>
            <w:left w:w="70" w:type="dxa"/>
            <w:right w:w="70" w:type="dxa"/>
          </w:tblCellMar>
        </w:tblPrEx>
        <w:tc>
          <w:tcPr>
            <w:tcW w:w="9072" w:type="dxa"/>
            <w:tcBorders>
              <w:top w:val="single" w:sz="4" w:space="0" w:color="auto"/>
              <w:bottom w:val="single" w:sz="4" w:space="0" w:color="auto"/>
            </w:tcBorders>
          </w:tcPr>
          <w:p w14:paraId="574A7F31" w14:textId="77777777" w:rsidR="00C219E9" w:rsidRPr="00F41160" w:rsidRDefault="00C219E9" w:rsidP="004D5DC8">
            <w:pPr>
              <w:spacing w:after="0" w:line="240" w:lineRule="auto"/>
              <w:jc w:val="center"/>
              <w:rPr>
                <w:noProof/>
                <w:sz w:val="4"/>
                <w:szCs w:val="4"/>
              </w:rPr>
            </w:pPr>
          </w:p>
          <w:p w14:paraId="5FFE686B" w14:textId="77777777" w:rsidR="00C219E9" w:rsidRPr="00627746" w:rsidRDefault="00C219E9" w:rsidP="004D5DC8">
            <w:pPr>
              <w:spacing w:after="0" w:line="240" w:lineRule="auto"/>
              <w:jc w:val="center"/>
              <w:rPr>
                <w:noProof/>
                <w:sz w:val="4"/>
                <w:szCs w:val="4"/>
              </w:rPr>
            </w:pPr>
            <w:r w:rsidRPr="00627746">
              <w:rPr>
                <w:noProof/>
                <w:lang w:eastAsia="sk-SK"/>
              </w:rPr>
              <w:drawing>
                <wp:inline distT="0" distB="0" distL="0" distR="0" wp14:anchorId="0E252449" wp14:editId="41EDC854">
                  <wp:extent cx="5619750" cy="2486025"/>
                  <wp:effectExtent l="0" t="0" r="0" b="9525"/>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8"/>
                    </a:graphicData>
                  </a:graphic>
                </wp:inline>
              </w:drawing>
            </w:r>
          </w:p>
          <w:p w14:paraId="3DF8C71C" w14:textId="77777777" w:rsidR="00C219E9" w:rsidRPr="00627746" w:rsidRDefault="00C219E9" w:rsidP="004D5DC8">
            <w:pPr>
              <w:spacing w:after="0" w:line="240" w:lineRule="auto"/>
              <w:jc w:val="center"/>
              <w:rPr>
                <w:sz w:val="4"/>
                <w:szCs w:val="4"/>
              </w:rPr>
            </w:pPr>
          </w:p>
        </w:tc>
      </w:tr>
      <w:tr w:rsidR="00C219E9" w:rsidRPr="00C219E9" w14:paraId="56E5C022" w14:textId="77777777" w:rsidTr="004D5DC8">
        <w:tc>
          <w:tcPr>
            <w:tcW w:w="9072" w:type="dxa"/>
            <w:tcBorders>
              <w:top w:val="single" w:sz="4" w:space="0" w:color="auto"/>
            </w:tcBorders>
          </w:tcPr>
          <w:p w14:paraId="4223B855" w14:textId="77777777" w:rsidR="00C219E9" w:rsidRPr="004D5DC8" w:rsidRDefault="00C219E9" w:rsidP="004D5DC8">
            <w:pPr>
              <w:spacing w:after="0" w:line="240" w:lineRule="auto"/>
              <w:jc w:val="right"/>
              <w:rPr>
                <w:bCs/>
                <w:i/>
                <w:sz w:val="18"/>
                <w:szCs w:val="18"/>
              </w:rPr>
            </w:pPr>
            <w:r w:rsidRPr="004D5DC8">
              <w:rPr>
                <w:i/>
                <w:sz w:val="18"/>
                <w:szCs w:val="18"/>
              </w:rPr>
              <w:t xml:space="preserve">Zdroj: </w:t>
            </w:r>
            <w:r w:rsidRPr="004D5DC8">
              <w:rPr>
                <w:rFonts w:eastAsia="Times New Roman" w:cs="Times New Roman"/>
                <w:i/>
                <w:iCs/>
                <w:sz w:val="18"/>
                <w:szCs w:val="18"/>
              </w:rPr>
              <w:t xml:space="preserve">ÚHP na základe údajov Sociálnej poisťovne, </w:t>
            </w:r>
            <w:r w:rsidRPr="004D5DC8">
              <w:rPr>
                <w:i/>
                <w:noProof/>
                <w:sz w:val="18"/>
                <w:szCs w:val="18"/>
              </w:rPr>
              <w:t>RIS MŠVVŠ, ÚPSVR, MV, ARK</w:t>
            </w:r>
            <w:r w:rsidRPr="004D5DC8">
              <w:rPr>
                <w:i/>
                <w:sz w:val="18"/>
                <w:szCs w:val="18"/>
              </w:rPr>
              <w:t xml:space="preserve"> </w:t>
            </w:r>
          </w:p>
          <w:p w14:paraId="6F637E00" w14:textId="77777777" w:rsidR="00C219E9" w:rsidRPr="00F41160" w:rsidRDefault="00C219E9" w:rsidP="004D5DC8">
            <w:pPr>
              <w:spacing w:after="0" w:line="240" w:lineRule="auto"/>
              <w:jc w:val="left"/>
              <w:rPr>
                <w:b/>
                <w:bCs/>
                <w:sz w:val="18"/>
                <w:szCs w:val="18"/>
              </w:rPr>
            </w:pPr>
            <w:r w:rsidRPr="004D5DC8">
              <w:rPr>
                <w:i/>
                <w:sz w:val="18"/>
                <w:szCs w:val="18"/>
              </w:rPr>
              <w:t xml:space="preserve">Poznámka: ŠZŠ označuje absolventov špeciálnych škôl aj špeciálnych tried. Viac informácií o národnej klasifikácii vzdelania na </w:t>
            </w:r>
            <w:hyperlink r:id="rId259" w:history="1">
              <w:r w:rsidRPr="004D5DC8">
                <w:rPr>
                  <w:rStyle w:val="Hypertextovprepojenie"/>
                  <w:i/>
                  <w:sz w:val="18"/>
                  <w:szCs w:val="18"/>
                </w:rPr>
                <w:t>http://www.minedu.sk/data/files/3772.pdf</w:t>
              </w:r>
            </w:hyperlink>
            <w:r w:rsidRPr="004D5DC8">
              <w:rPr>
                <w:i/>
                <w:sz w:val="18"/>
                <w:szCs w:val="18"/>
              </w:rPr>
              <w:t>.</w:t>
            </w:r>
            <w:r w:rsidRPr="00784BCA">
              <w:rPr>
                <w:sz w:val="18"/>
                <w:szCs w:val="18"/>
              </w:rPr>
              <w:t xml:space="preserve"> </w:t>
            </w:r>
          </w:p>
        </w:tc>
      </w:tr>
    </w:tbl>
    <w:p w14:paraId="4708B530" w14:textId="4EF75C2F" w:rsidR="00C219E9" w:rsidRPr="00CA2564" w:rsidRDefault="00C219E9" w:rsidP="00C219E9">
      <w:pPr>
        <w:spacing w:before="240"/>
      </w:pPr>
      <w:r w:rsidRPr="00CA2564">
        <w:t xml:space="preserve">Vplyv viacerých faktorov na pravdepodobnosť, že absolvent si po ukončení štúdia v školskom roku 2017/18 našiel prácu do konca roka 2018 je </w:t>
      </w:r>
      <w:r>
        <w:t>možné odhadnúť</w:t>
      </w:r>
      <w:r w:rsidRPr="00CA2564">
        <w:t xml:space="preserve"> pomocou probit regresného modelu, podobne ako pri analýze zašk</w:t>
      </w:r>
      <w:r>
        <w:t>olenosti predškolákov (</w:t>
      </w:r>
      <w:r w:rsidR="00E7619A">
        <w:fldChar w:fldCharType="begin"/>
      </w:r>
      <w:r w:rsidR="00E7619A">
        <w:instrText xml:space="preserve"> REF _Ref34130446 \h  \* MERGEFORMAT </w:instrText>
      </w:r>
      <w:r w:rsidR="00E7619A">
        <w:fldChar w:fldCharType="separate"/>
      </w:r>
      <w:r w:rsidR="00FA29AF" w:rsidRPr="00FA29AF">
        <w:t>Príloha 6</w:t>
      </w:r>
      <w:r w:rsidR="00E7619A">
        <w:fldChar w:fldCharType="end"/>
      </w:r>
      <w:r w:rsidRPr="00CA2564">
        <w:t>). Popri dosiahnutému vzdelaniu vstupuje do modelu ako vysvetľujúca premenná príslušnosť k MRK, príslušnosť k rodine, ktorá poberá pomoc v hmotnej núdzi (PHN), dummy premenná pre pohlavie (žena), dummy premenná identifikujúca absolventov, ktorí sú rodičmi (rodič), dummy premenné označujúce či matka a otec absolventa majú prácu, a mesačná mzda matky a otca (</w:t>
      </w:r>
      <w:r w:rsidR="00EF6717">
        <w:fldChar w:fldCharType="begin"/>
      </w:r>
      <w:r w:rsidR="00EF6717">
        <w:instrText xml:space="preserve"> REF _Ref25330077 \h  \* MERGEFORMAT </w:instrText>
      </w:r>
      <w:r w:rsidR="00EF6717">
        <w:fldChar w:fldCharType="separate"/>
      </w:r>
      <w:r w:rsidR="00FA29AF" w:rsidRPr="00FA29AF">
        <w:t>Tabuľka P 11</w:t>
      </w:r>
      <w:r w:rsidR="00EF6717">
        <w:fldChar w:fldCharType="end"/>
      </w:r>
      <w:r w:rsidRPr="00CA2564">
        <w:t>).</w:t>
      </w:r>
    </w:p>
    <w:p w14:paraId="341BCE4D" w14:textId="68058050" w:rsidR="00C219E9" w:rsidRPr="00CA2564" w:rsidRDefault="00C219E9" w:rsidP="00C219E9">
      <w:r w:rsidRPr="00CA2564">
        <w:t>Model 1 skúma vplyv dosiahnutého vzdelania absolventov bežného vzdelávacieho prúdu. Výška dosiahnutého vzdelania do modelu vstupuje ako polychotomická vysvetľujúca premenná s úrovňou vzdelania „bez ukončenej základnej školy“ ako základ, oproti ktorému sú porovnávané ostatné úrovne dosiahnutého vzdelania. Výsledky ukazujú, že aj po zohľadnení ostatných vysvetľujúcich premenných pravdepodobnosť nájdenia zamestnania rastie s úrovňou dosiahnutého vzdelania. Koeficienty na všetkých úrovniach sú štatisticky významne pozitívne. Wald test ukazuje, že rozdiely medzi týmito koeficie</w:t>
      </w:r>
      <w:r>
        <w:t>ntmi sú tiež štatisticky význam</w:t>
      </w:r>
      <w:r w:rsidRPr="00CA2564">
        <w:t>né, čo znamená, že napríklad absolventi s ukončeným vzdelaním v F odboroch majú štatisticky významne vyššiu pra</w:t>
      </w:r>
      <w:r w:rsidR="009338B3">
        <w:t>vdepodobnosť nájdenia práce ako </w:t>
      </w:r>
      <w:r w:rsidRPr="00CA2564">
        <w:t>absolventi s ukončenou základnou školou.</w:t>
      </w:r>
    </w:p>
    <w:p w14:paraId="29C62DFA" w14:textId="77777777" w:rsidR="00C219E9" w:rsidRDefault="00C219E9" w:rsidP="00C219E9">
      <w:r w:rsidRPr="00CA2564">
        <w:t>Model 2 porovnáva pravdepodobnosť nájdenia zamestnania medzi absolventmi jednotlivých F odborov a absolventmi s ukončenou základnou školou. Základom v polychotomickej závislej premennej je úroveň vzdelania „ukončená základná škola“ a koeficienty na jednotlivých F odboroch ukazujú, či absolventi daného odboru majú vyššiu alebo nižšiu šancu na uplatnenie oproti základu. Výsledky ukazujú, že po zohľadnení vplyvu ostatných vysvetľujúcich premenných, koeficienty na odboroch strojárska výroba, praktická žena, potravinárska výroba a lesná výroba nie sú štatisticky odlišné od nuly, čo znamená, že absolventi týchto odborov nemajú vyššiu šancu na uplatnenie oproti absolventom s ukončenou základnou školou.</w:t>
      </w:r>
    </w:p>
    <w:p w14:paraId="32DE86AB" w14:textId="6425CFE6" w:rsidR="00C219E9" w:rsidRPr="00CA2564" w:rsidRDefault="00C219E9" w:rsidP="00C219E9">
      <w:r>
        <w:t>Koeficient na MRK je významne negatívny v oboch modeloch, čo naznačuje, že aj po zohľadnení ostatných premenných, vrátane dosiahnutého vzdelania, má príslušnosť k MRK ne</w:t>
      </w:r>
      <w:r w:rsidR="009338B3">
        <w:t>gatívny dopad na šance nájsť si </w:t>
      </w:r>
      <w:r>
        <w:t>zamestnanie po ukončení vzdelávania.</w:t>
      </w:r>
    </w:p>
    <w:p w14:paraId="1DE12677" w14:textId="5D4D0B48" w:rsidR="00C219E9" w:rsidRPr="009B0BF7" w:rsidRDefault="00EF6717" w:rsidP="009B0BF7">
      <w:pPr>
        <w:spacing w:after="0"/>
        <w:rPr>
          <w:b/>
          <w:sz w:val="20"/>
        </w:rPr>
      </w:pPr>
      <w:bookmarkStart w:id="1913" w:name="_Ref25330077"/>
      <w:r w:rsidRPr="009B0BF7">
        <w:rPr>
          <w:b/>
          <w:sz w:val="20"/>
        </w:rPr>
        <w:t xml:space="preserve">Tabuľka P </w:t>
      </w:r>
      <w:r w:rsidR="00943975">
        <w:rPr>
          <w:b/>
          <w:sz w:val="20"/>
        </w:rPr>
        <w:fldChar w:fldCharType="begin"/>
      </w:r>
      <w:r w:rsidR="00943975">
        <w:rPr>
          <w:b/>
          <w:sz w:val="20"/>
        </w:rPr>
        <w:instrText xml:space="preserve"> SEQ Tabuľka_P \* ARABIC </w:instrText>
      </w:r>
      <w:r w:rsidR="00943975">
        <w:rPr>
          <w:b/>
          <w:sz w:val="20"/>
        </w:rPr>
        <w:fldChar w:fldCharType="separate"/>
      </w:r>
      <w:r w:rsidR="00FA29AF">
        <w:rPr>
          <w:b/>
          <w:noProof/>
          <w:sz w:val="20"/>
        </w:rPr>
        <w:t>11</w:t>
      </w:r>
      <w:r w:rsidR="00943975">
        <w:rPr>
          <w:b/>
          <w:sz w:val="20"/>
        </w:rPr>
        <w:fldChar w:fldCharType="end"/>
      </w:r>
      <w:bookmarkEnd w:id="1913"/>
      <w:r w:rsidR="00C219E9" w:rsidRPr="009B0BF7">
        <w:rPr>
          <w:b/>
          <w:sz w:val="20"/>
        </w:rPr>
        <w:t>: Probit model pravdepodobnosti nájdenia zamestnania</w:t>
      </w:r>
    </w:p>
    <w:tbl>
      <w:tblPr>
        <w:tblW w:w="9072" w:type="dxa"/>
        <w:tblLayout w:type="fixed"/>
        <w:tblCellMar>
          <w:left w:w="70" w:type="dxa"/>
          <w:right w:w="70" w:type="dxa"/>
        </w:tblCellMar>
        <w:tblLook w:val="04A0" w:firstRow="1" w:lastRow="0" w:firstColumn="1" w:lastColumn="0" w:noHBand="0" w:noVBand="1"/>
      </w:tblPr>
      <w:tblGrid>
        <w:gridCol w:w="4110"/>
        <w:gridCol w:w="1135"/>
        <w:gridCol w:w="1346"/>
        <w:gridCol w:w="1206"/>
        <w:gridCol w:w="1275"/>
      </w:tblGrid>
      <w:tr w:rsidR="00C219E9" w:rsidRPr="00CA2564" w14:paraId="21691528" w14:textId="77777777" w:rsidTr="00EE35BC">
        <w:trPr>
          <w:trHeight w:val="283"/>
        </w:trPr>
        <w:tc>
          <w:tcPr>
            <w:tcW w:w="4110" w:type="dxa"/>
            <w:tcBorders>
              <w:top w:val="single" w:sz="4" w:space="0" w:color="auto"/>
              <w:left w:val="nil"/>
              <w:bottom w:val="nil"/>
              <w:right w:val="nil"/>
            </w:tcBorders>
            <w:shd w:val="clear" w:color="000000" w:fill="FFFFFF"/>
            <w:noWrap/>
            <w:vAlign w:val="bottom"/>
            <w:hideMark/>
          </w:tcPr>
          <w:p w14:paraId="618D5CA0" w14:textId="77777777" w:rsidR="00C219E9" w:rsidRPr="00CA2564" w:rsidRDefault="00C219E9" w:rsidP="00E353C5">
            <w:pPr>
              <w:spacing w:after="0" w:line="240" w:lineRule="auto"/>
              <w:jc w:val="left"/>
              <w:rPr>
                <w:rFonts w:eastAsia="Times New Roman" w:cs="Times New Roman"/>
                <w:b/>
                <w:bCs/>
                <w:color w:val="000000"/>
                <w:sz w:val="20"/>
                <w:lang w:eastAsia="sk-SK"/>
              </w:rPr>
            </w:pPr>
            <w:r w:rsidRPr="00CA2564">
              <w:rPr>
                <w:rFonts w:eastAsia="Times New Roman" w:cs="Times New Roman"/>
                <w:b/>
                <w:bCs/>
                <w:color w:val="000000"/>
                <w:sz w:val="20"/>
                <w:lang w:eastAsia="sk-SK"/>
              </w:rPr>
              <w:t> </w:t>
            </w:r>
          </w:p>
        </w:tc>
        <w:tc>
          <w:tcPr>
            <w:tcW w:w="2481" w:type="dxa"/>
            <w:gridSpan w:val="2"/>
            <w:tcBorders>
              <w:top w:val="single" w:sz="4" w:space="0" w:color="auto"/>
              <w:left w:val="nil"/>
              <w:bottom w:val="nil"/>
              <w:right w:val="nil"/>
            </w:tcBorders>
            <w:shd w:val="clear" w:color="000000" w:fill="FFFFFF"/>
            <w:vAlign w:val="bottom"/>
            <w:hideMark/>
          </w:tcPr>
          <w:p w14:paraId="07274536" w14:textId="77777777" w:rsidR="00C219E9" w:rsidRPr="00CA2564" w:rsidRDefault="00C219E9" w:rsidP="00E353C5">
            <w:pPr>
              <w:spacing w:after="0" w:line="240" w:lineRule="auto"/>
              <w:jc w:val="center"/>
              <w:rPr>
                <w:rFonts w:eastAsia="Times New Roman" w:cs="Times New Roman"/>
                <w:b/>
                <w:bCs/>
                <w:color w:val="000000"/>
                <w:sz w:val="20"/>
                <w:lang w:eastAsia="sk-SK"/>
              </w:rPr>
            </w:pPr>
            <w:r w:rsidRPr="00CA2564">
              <w:rPr>
                <w:rFonts w:eastAsia="Times New Roman" w:cs="Times New Roman"/>
                <w:b/>
                <w:bCs/>
                <w:color w:val="000000"/>
                <w:sz w:val="20"/>
                <w:lang w:eastAsia="sk-SK"/>
              </w:rPr>
              <w:t>Model 1</w:t>
            </w:r>
          </w:p>
        </w:tc>
        <w:tc>
          <w:tcPr>
            <w:tcW w:w="2481" w:type="dxa"/>
            <w:gridSpan w:val="2"/>
            <w:tcBorders>
              <w:top w:val="single" w:sz="4" w:space="0" w:color="auto"/>
              <w:left w:val="nil"/>
              <w:bottom w:val="nil"/>
              <w:right w:val="nil"/>
            </w:tcBorders>
            <w:shd w:val="clear" w:color="000000" w:fill="FFFFFF"/>
            <w:vAlign w:val="bottom"/>
            <w:hideMark/>
          </w:tcPr>
          <w:p w14:paraId="0896EF5A" w14:textId="77777777" w:rsidR="00C219E9" w:rsidRPr="00CA2564" w:rsidRDefault="00C219E9" w:rsidP="00E353C5">
            <w:pPr>
              <w:spacing w:after="0" w:line="240" w:lineRule="auto"/>
              <w:jc w:val="center"/>
              <w:rPr>
                <w:rFonts w:eastAsia="Times New Roman" w:cs="Times New Roman"/>
                <w:b/>
                <w:bCs/>
                <w:color w:val="000000"/>
                <w:sz w:val="20"/>
                <w:lang w:eastAsia="sk-SK"/>
              </w:rPr>
            </w:pPr>
            <w:r w:rsidRPr="00CA2564">
              <w:rPr>
                <w:rFonts w:eastAsia="Times New Roman" w:cs="Times New Roman"/>
                <w:b/>
                <w:bCs/>
                <w:color w:val="000000"/>
                <w:sz w:val="20"/>
                <w:lang w:eastAsia="sk-SK"/>
              </w:rPr>
              <w:t>Model 2</w:t>
            </w:r>
          </w:p>
        </w:tc>
      </w:tr>
      <w:tr w:rsidR="00C219E9" w:rsidRPr="00CA2564" w14:paraId="5AF83CC3" w14:textId="77777777" w:rsidTr="00AA40A7">
        <w:trPr>
          <w:trHeight w:val="284"/>
        </w:trPr>
        <w:tc>
          <w:tcPr>
            <w:tcW w:w="4110" w:type="dxa"/>
            <w:tcBorders>
              <w:top w:val="nil"/>
              <w:left w:val="nil"/>
              <w:bottom w:val="single" w:sz="4" w:space="0" w:color="auto"/>
              <w:right w:val="nil"/>
            </w:tcBorders>
            <w:shd w:val="clear" w:color="000000" w:fill="FFFFFF"/>
            <w:noWrap/>
            <w:vAlign w:val="bottom"/>
            <w:hideMark/>
          </w:tcPr>
          <w:p w14:paraId="575D619E" w14:textId="77777777" w:rsidR="00C219E9" w:rsidRPr="00CA2564" w:rsidRDefault="00C219E9" w:rsidP="00E353C5">
            <w:pPr>
              <w:spacing w:after="0" w:line="240" w:lineRule="auto"/>
              <w:jc w:val="left"/>
              <w:rPr>
                <w:rFonts w:eastAsia="Times New Roman" w:cs="Times New Roman"/>
                <w:b/>
                <w:bCs/>
                <w:color w:val="000000"/>
                <w:sz w:val="20"/>
                <w:lang w:eastAsia="sk-SK"/>
              </w:rPr>
            </w:pPr>
            <w:r w:rsidRPr="00CA2564">
              <w:rPr>
                <w:rFonts w:eastAsia="Times New Roman" w:cs="Times New Roman"/>
                <w:b/>
                <w:bCs/>
                <w:color w:val="000000"/>
                <w:sz w:val="20"/>
                <w:lang w:eastAsia="sk-SK"/>
              </w:rPr>
              <w:t>Premenná</w:t>
            </w:r>
          </w:p>
        </w:tc>
        <w:tc>
          <w:tcPr>
            <w:tcW w:w="1135" w:type="dxa"/>
            <w:tcBorders>
              <w:top w:val="nil"/>
              <w:left w:val="nil"/>
              <w:bottom w:val="single" w:sz="4" w:space="0" w:color="auto"/>
              <w:right w:val="nil"/>
            </w:tcBorders>
            <w:shd w:val="clear" w:color="000000" w:fill="FFFFFF"/>
            <w:noWrap/>
            <w:vAlign w:val="center"/>
            <w:hideMark/>
          </w:tcPr>
          <w:p w14:paraId="3476CC2E" w14:textId="77777777" w:rsidR="00C219E9" w:rsidRPr="00CA2564" w:rsidRDefault="00C219E9" w:rsidP="00E353C5">
            <w:pPr>
              <w:spacing w:after="0" w:line="240" w:lineRule="auto"/>
              <w:rPr>
                <w:rFonts w:eastAsia="Times New Roman" w:cs="Times New Roman"/>
                <w:b/>
                <w:bCs/>
                <w:color w:val="000000"/>
                <w:sz w:val="20"/>
                <w:lang w:eastAsia="sk-SK"/>
              </w:rPr>
            </w:pPr>
            <w:r w:rsidRPr="00CA2564">
              <w:rPr>
                <w:rFonts w:eastAsia="Times New Roman" w:cs="Times New Roman"/>
                <w:b/>
                <w:bCs/>
                <w:color w:val="000000"/>
                <w:sz w:val="20"/>
                <w:lang w:eastAsia="sk-SK"/>
              </w:rPr>
              <w:t>Koeficient</w:t>
            </w:r>
          </w:p>
        </w:tc>
        <w:tc>
          <w:tcPr>
            <w:tcW w:w="1346" w:type="dxa"/>
            <w:tcBorders>
              <w:top w:val="nil"/>
              <w:left w:val="nil"/>
              <w:bottom w:val="single" w:sz="4" w:space="0" w:color="auto"/>
              <w:right w:val="nil"/>
            </w:tcBorders>
            <w:shd w:val="clear" w:color="000000" w:fill="FFFFFF"/>
            <w:noWrap/>
            <w:vAlign w:val="center"/>
            <w:hideMark/>
          </w:tcPr>
          <w:p w14:paraId="4C83DC1F" w14:textId="77777777" w:rsidR="00C219E9" w:rsidRPr="00CA2564" w:rsidRDefault="00C219E9" w:rsidP="00E353C5">
            <w:pPr>
              <w:spacing w:after="0" w:line="240" w:lineRule="auto"/>
              <w:rPr>
                <w:rFonts w:eastAsia="Times New Roman" w:cs="Times New Roman"/>
                <w:b/>
                <w:bCs/>
                <w:color w:val="000000"/>
                <w:sz w:val="20"/>
                <w:lang w:eastAsia="sk-SK"/>
              </w:rPr>
            </w:pPr>
            <w:r w:rsidRPr="00CA2564">
              <w:rPr>
                <w:rFonts w:eastAsia="Times New Roman" w:cs="Times New Roman"/>
                <w:b/>
                <w:bCs/>
                <w:color w:val="000000"/>
                <w:sz w:val="20"/>
                <w:lang w:eastAsia="sk-SK"/>
              </w:rPr>
              <w:t>Štand. chyba</w:t>
            </w:r>
          </w:p>
        </w:tc>
        <w:tc>
          <w:tcPr>
            <w:tcW w:w="1206" w:type="dxa"/>
            <w:tcBorders>
              <w:top w:val="nil"/>
              <w:left w:val="nil"/>
              <w:bottom w:val="single" w:sz="4" w:space="0" w:color="auto"/>
              <w:right w:val="nil"/>
            </w:tcBorders>
            <w:shd w:val="clear" w:color="000000" w:fill="FFFFFF"/>
            <w:noWrap/>
            <w:vAlign w:val="center"/>
            <w:hideMark/>
          </w:tcPr>
          <w:p w14:paraId="79A0822D" w14:textId="77777777" w:rsidR="00C219E9" w:rsidRPr="00CA2564" w:rsidRDefault="00C219E9" w:rsidP="00E353C5">
            <w:pPr>
              <w:spacing w:after="0" w:line="240" w:lineRule="auto"/>
              <w:rPr>
                <w:rFonts w:eastAsia="Times New Roman" w:cs="Times New Roman"/>
                <w:b/>
                <w:bCs/>
                <w:color w:val="000000"/>
                <w:sz w:val="20"/>
                <w:lang w:eastAsia="sk-SK"/>
              </w:rPr>
            </w:pPr>
            <w:r w:rsidRPr="00CA2564">
              <w:rPr>
                <w:rFonts w:eastAsia="Times New Roman" w:cs="Times New Roman"/>
                <w:b/>
                <w:bCs/>
                <w:color w:val="000000"/>
                <w:sz w:val="20"/>
                <w:lang w:eastAsia="sk-SK"/>
              </w:rPr>
              <w:t>Koeficient</w:t>
            </w:r>
          </w:p>
        </w:tc>
        <w:tc>
          <w:tcPr>
            <w:tcW w:w="1275" w:type="dxa"/>
            <w:tcBorders>
              <w:top w:val="nil"/>
              <w:left w:val="nil"/>
              <w:bottom w:val="single" w:sz="4" w:space="0" w:color="auto"/>
              <w:right w:val="nil"/>
            </w:tcBorders>
            <w:shd w:val="clear" w:color="000000" w:fill="FFFFFF"/>
            <w:noWrap/>
            <w:vAlign w:val="center"/>
            <w:hideMark/>
          </w:tcPr>
          <w:p w14:paraId="1DAEEE4A" w14:textId="77777777" w:rsidR="00C219E9" w:rsidRPr="00CA2564" w:rsidRDefault="00C219E9" w:rsidP="00E353C5">
            <w:pPr>
              <w:spacing w:after="0" w:line="240" w:lineRule="auto"/>
              <w:rPr>
                <w:rFonts w:eastAsia="Times New Roman" w:cs="Times New Roman"/>
                <w:b/>
                <w:bCs/>
                <w:color w:val="000000"/>
                <w:sz w:val="20"/>
                <w:lang w:eastAsia="sk-SK"/>
              </w:rPr>
            </w:pPr>
            <w:r w:rsidRPr="00CA2564">
              <w:rPr>
                <w:rFonts w:eastAsia="Times New Roman" w:cs="Times New Roman"/>
                <w:b/>
                <w:bCs/>
                <w:color w:val="000000"/>
                <w:sz w:val="20"/>
                <w:lang w:eastAsia="sk-SK"/>
              </w:rPr>
              <w:t>Štand. chyba</w:t>
            </w:r>
          </w:p>
        </w:tc>
      </w:tr>
      <w:tr w:rsidR="00C219E9" w:rsidRPr="00CA2564" w14:paraId="2DB3265C" w14:textId="77777777" w:rsidTr="00AA40A7">
        <w:trPr>
          <w:trHeight w:val="284"/>
        </w:trPr>
        <w:tc>
          <w:tcPr>
            <w:tcW w:w="9072" w:type="dxa"/>
            <w:gridSpan w:val="5"/>
            <w:tcBorders>
              <w:top w:val="nil"/>
              <w:left w:val="nil"/>
              <w:bottom w:val="nil"/>
              <w:right w:val="nil"/>
            </w:tcBorders>
            <w:shd w:val="clear" w:color="000000" w:fill="FFFFFF"/>
            <w:vAlign w:val="bottom"/>
            <w:hideMark/>
          </w:tcPr>
          <w:p w14:paraId="003FE14E" w14:textId="77777777" w:rsidR="00C219E9" w:rsidRPr="00CA2564" w:rsidRDefault="00C219E9" w:rsidP="00E353C5">
            <w:pPr>
              <w:spacing w:after="0" w:line="240" w:lineRule="auto"/>
              <w:jc w:val="left"/>
              <w:rPr>
                <w:rFonts w:eastAsia="Times New Roman" w:cs="Times New Roman"/>
                <w:b/>
                <w:bCs/>
                <w:color w:val="000000"/>
                <w:sz w:val="20"/>
                <w:lang w:eastAsia="sk-SK"/>
              </w:rPr>
            </w:pPr>
            <w:r w:rsidRPr="00CA2564">
              <w:rPr>
                <w:rFonts w:eastAsia="Times New Roman" w:cs="Times New Roman"/>
                <w:b/>
                <w:bCs/>
                <w:color w:val="000000"/>
                <w:sz w:val="20"/>
                <w:lang w:eastAsia="sk-SK"/>
              </w:rPr>
              <w:t>Dosiahnuté vzdel. (základ: bez ukončenej ZŠ):</w:t>
            </w:r>
          </w:p>
        </w:tc>
      </w:tr>
      <w:tr w:rsidR="00C219E9" w:rsidRPr="00CA2564" w14:paraId="05AE2EB6" w14:textId="77777777" w:rsidTr="00AA40A7">
        <w:trPr>
          <w:trHeight w:val="284"/>
        </w:trPr>
        <w:tc>
          <w:tcPr>
            <w:tcW w:w="4110" w:type="dxa"/>
            <w:tcBorders>
              <w:top w:val="nil"/>
              <w:left w:val="nil"/>
              <w:bottom w:val="nil"/>
              <w:right w:val="nil"/>
            </w:tcBorders>
            <w:shd w:val="clear" w:color="000000" w:fill="FFFFFF"/>
            <w:noWrap/>
            <w:vAlign w:val="bottom"/>
            <w:hideMark/>
          </w:tcPr>
          <w:p w14:paraId="4CD353AA" w14:textId="77777777" w:rsidR="00C219E9" w:rsidRPr="00CA2564" w:rsidRDefault="00C219E9" w:rsidP="00E353C5">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Ukončená ZŠ</w:t>
            </w:r>
          </w:p>
        </w:tc>
        <w:tc>
          <w:tcPr>
            <w:tcW w:w="1135" w:type="dxa"/>
            <w:tcBorders>
              <w:top w:val="nil"/>
              <w:left w:val="nil"/>
              <w:bottom w:val="nil"/>
              <w:right w:val="nil"/>
            </w:tcBorders>
            <w:shd w:val="clear" w:color="000000" w:fill="FFFFFF"/>
            <w:noWrap/>
            <w:vAlign w:val="bottom"/>
            <w:hideMark/>
          </w:tcPr>
          <w:p w14:paraId="623D8A7B"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0,529***</w:t>
            </w:r>
          </w:p>
        </w:tc>
        <w:tc>
          <w:tcPr>
            <w:tcW w:w="1346" w:type="dxa"/>
            <w:tcBorders>
              <w:top w:val="nil"/>
              <w:left w:val="nil"/>
              <w:bottom w:val="nil"/>
              <w:right w:val="nil"/>
            </w:tcBorders>
            <w:shd w:val="clear" w:color="000000" w:fill="FFFFFF"/>
            <w:noWrap/>
            <w:vAlign w:val="bottom"/>
            <w:hideMark/>
          </w:tcPr>
          <w:p w14:paraId="6DF675D6"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0,068</w:t>
            </w:r>
          </w:p>
        </w:tc>
        <w:tc>
          <w:tcPr>
            <w:tcW w:w="1206" w:type="dxa"/>
            <w:tcBorders>
              <w:top w:val="nil"/>
              <w:left w:val="nil"/>
              <w:bottom w:val="nil"/>
              <w:right w:val="nil"/>
            </w:tcBorders>
            <w:shd w:val="clear" w:color="000000" w:fill="FFFFFF"/>
            <w:noWrap/>
            <w:vAlign w:val="bottom"/>
            <w:hideMark/>
          </w:tcPr>
          <w:p w14:paraId="231374D3" w14:textId="77777777" w:rsidR="00C219E9" w:rsidRPr="0040350A" w:rsidRDefault="00C219E9" w:rsidP="00E353C5">
            <w:pPr>
              <w:spacing w:after="0" w:line="240" w:lineRule="auto"/>
              <w:jc w:val="left"/>
              <w:rPr>
                <w:rFonts w:eastAsia="Times New Roman" w:cs="Times New Roman"/>
                <w:color w:val="000000"/>
                <w:sz w:val="20"/>
                <w:lang w:eastAsia="sk-SK"/>
              </w:rPr>
            </w:pPr>
            <w:r w:rsidRPr="0040350A">
              <w:rPr>
                <w:rFonts w:eastAsia="Times New Roman" w:cs="Times New Roman"/>
                <w:color w:val="000000"/>
                <w:sz w:val="20"/>
                <w:lang w:eastAsia="sk-SK"/>
              </w:rPr>
              <w:t> </w:t>
            </w:r>
          </w:p>
        </w:tc>
        <w:tc>
          <w:tcPr>
            <w:tcW w:w="1275" w:type="dxa"/>
            <w:tcBorders>
              <w:top w:val="nil"/>
              <w:left w:val="nil"/>
              <w:bottom w:val="nil"/>
              <w:right w:val="nil"/>
            </w:tcBorders>
            <w:shd w:val="clear" w:color="000000" w:fill="FFFFFF"/>
            <w:noWrap/>
            <w:vAlign w:val="bottom"/>
            <w:hideMark/>
          </w:tcPr>
          <w:p w14:paraId="3C7593A6" w14:textId="77777777" w:rsidR="00C219E9" w:rsidRPr="0040350A" w:rsidRDefault="00C219E9" w:rsidP="00E353C5">
            <w:pPr>
              <w:spacing w:after="0" w:line="240" w:lineRule="auto"/>
              <w:jc w:val="left"/>
              <w:rPr>
                <w:rFonts w:eastAsia="Times New Roman" w:cs="Times New Roman"/>
                <w:color w:val="000000"/>
                <w:sz w:val="20"/>
                <w:lang w:eastAsia="sk-SK"/>
              </w:rPr>
            </w:pPr>
            <w:r w:rsidRPr="0040350A">
              <w:rPr>
                <w:rFonts w:eastAsia="Times New Roman" w:cs="Times New Roman"/>
                <w:color w:val="000000"/>
                <w:sz w:val="20"/>
                <w:lang w:eastAsia="sk-SK"/>
              </w:rPr>
              <w:t> </w:t>
            </w:r>
          </w:p>
        </w:tc>
      </w:tr>
      <w:tr w:rsidR="00C219E9" w:rsidRPr="00CA2564" w14:paraId="6EA730D0" w14:textId="77777777" w:rsidTr="00AA40A7">
        <w:trPr>
          <w:trHeight w:val="284"/>
        </w:trPr>
        <w:tc>
          <w:tcPr>
            <w:tcW w:w="4110" w:type="dxa"/>
            <w:tcBorders>
              <w:top w:val="nil"/>
              <w:left w:val="nil"/>
              <w:bottom w:val="nil"/>
              <w:right w:val="nil"/>
            </w:tcBorders>
            <w:shd w:val="clear" w:color="000000" w:fill="FFFFFF"/>
            <w:noWrap/>
            <w:vAlign w:val="bottom"/>
            <w:hideMark/>
          </w:tcPr>
          <w:p w14:paraId="0642A2B6" w14:textId="77777777" w:rsidR="00C219E9" w:rsidRPr="00CA2564" w:rsidRDefault="00C219E9" w:rsidP="00E353C5">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F odbor</w:t>
            </w:r>
          </w:p>
        </w:tc>
        <w:tc>
          <w:tcPr>
            <w:tcW w:w="1135" w:type="dxa"/>
            <w:tcBorders>
              <w:top w:val="nil"/>
              <w:left w:val="nil"/>
              <w:bottom w:val="nil"/>
              <w:right w:val="nil"/>
            </w:tcBorders>
            <w:shd w:val="clear" w:color="000000" w:fill="FFFFFF"/>
            <w:noWrap/>
            <w:vAlign w:val="bottom"/>
            <w:hideMark/>
          </w:tcPr>
          <w:p w14:paraId="4568C222"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0,993***</w:t>
            </w:r>
          </w:p>
        </w:tc>
        <w:tc>
          <w:tcPr>
            <w:tcW w:w="1346" w:type="dxa"/>
            <w:tcBorders>
              <w:top w:val="nil"/>
              <w:left w:val="nil"/>
              <w:bottom w:val="nil"/>
              <w:right w:val="nil"/>
            </w:tcBorders>
            <w:shd w:val="clear" w:color="000000" w:fill="FFFFFF"/>
            <w:noWrap/>
            <w:vAlign w:val="bottom"/>
            <w:hideMark/>
          </w:tcPr>
          <w:p w14:paraId="5EEC7E06"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0,076</w:t>
            </w:r>
          </w:p>
        </w:tc>
        <w:tc>
          <w:tcPr>
            <w:tcW w:w="1206" w:type="dxa"/>
            <w:tcBorders>
              <w:top w:val="nil"/>
              <w:left w:val="nil"/>
              <w:bottom w:val="nil"/>
              <w:right w:val="nil"/>
            </w:tcBorders>
            <w:shd w:val="clear" w:color="000000" w:fill="FFFFFF"/>
            <w:noWrap/>
            <w:vAlign w:val="bottom"/>
            <w:hideMark/>
          </w:tcPr>
          <w:p w14:paraId="31AB86B2" w14:textId="77777777" w:rsidR="00C219E9" w:rsidRPr="0040350A" w:rsidRDefault="00C219E9" w:rsidP="00E353C5">
            <w:pPr>
              <w:spacing w:after="0" w:line="240" w:lineRule="auto"/>
              <w:jc w:val="left"/>
              <w:rPr>
                <w:rFonts w:eastAsia="Times New Roman" w:cs="Times New Roman"/>
                <w:color w:val="000000"/>
                <w:sz w:val="20"/>
                <w:lang w:eastAsia="sk-SK"/>
              </w:rPr>
            </w:pPr>
            <w:r w:rsidRPr="0040350A">
              <w:rPr>
                <w:rFonts w:eastAsia="Times New Roman" w:cs="Times New Roman"/>
                <w:color w:val="000000"/>
                <w:sz w:val="20"/>
                <w:lang w:eastAsia="sk-SK"/>
              </w:rPr>
              <w:t> </w:t>
            </w:r>
          </w:p>
        </w:tc>
        <w:tc>
          <w:tcPr>
            <w:tcW w:w="1275" w:type="dxa"/>
            <w:tcBorders>
              <w:top w:val="nil"/>
              <w:left w:val="nil"/>
              <w:bottom w:val="nil"/>
              <w:right w:val="nil"/>
            </w:tcBorders>
            <w:shd w:val="clear" w:color="000000" w:fill="FFFFFF"/>
            <w:noWrap/>
            <w:vAlign w:val="bottom"/>
            <w:hideMark/>
          </w:tcPr>
          <w:p w14:paraId="1C5B1E54" w14:textId="77777777" w:rsidR="00C219E9" w:rsidRPr="0040350A" w:rsidRDefault="00C219E9" w:rsidP="00E353C5">
            <w:pPr>
              <w:spacing w:after="0" w:line="240" w:lineRule="auto"/>
              <w:jc w:val="left"/>
              <w:rPr>
                <w:rFonts w:eastAsia="Times New Roman" w:cs="Times New Roman"/>
                <w:color w:val="000000"/>
                <w:sz w:val="20"/>
                <w:lang w:eastAsia="sk-SK"/>
              </w:rPr>
            </w:pPr>
            <w:r w:rsidRPr="0040350A">
              <w:rPr>
                <w:rFonts w:eastAsia="Times New Roman" w:cs="Times New Roman"/>
                <w:color w:val="000000"/>
                <w:sz w:val="20"/>
                <w:lang w:eastAsia="sk-SK"/>
              </w:rPr>
              <w:t> </w:t>
            </w:r>
          </w:p>
        </w:tc>
      </w:tr>
      <w:tr w:rsidR="00C219E9" w:rsidRPr="00CA2564" w14:paraId="78A0311D" w14:textId="77777777" w:rsidTr="00AA40A7">
        <w:trPr>
          <w:trHeight w:val="284"/>
        </w:trPr>
        <w:tc>
          <w:tcPr>
            <w:tcW w:w="4110" w:type="dxa"/>
            <w:tcBorders>
              <w:top w:val="nil"/>
              <w:left w:val="nil"/>
              <w:bottom w:val="nil"/>
              <w:right w:val="nil"/>
            </w:tcBorders>
            <w:shd w:val="clear" w:color="000000" w:fill="FFFFFF"/>
            <w:noWrap/>
            <w:vAlign w:val="bottom"/>
            <w:hideMark/>
          </w:tcPr>
          <w:p w14:paraId="1F089386" w14:textId="77777777" w:rsidR="00C219E9" w:rsidRPr="00CA2564" w:rsidRDefault="00C219E9" w:rsidP="00E353C5">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H odbor</w:t>
            </w:r>
          </w:p>
        </w:tc>
        <w:tc>
          <w:tcPr>
            <w:tcW w:w="1135" w:type="dxa"/>
            <w:tcBorders>
              <w:top w:val="nil"/>
              <w:left w:val="nil"/>
              <w:bottom w:val="nil"/>
              <w:right w:val="nil"/>
            </w:tcBorders>
            <w:shd w:val="clear" w:color="000000" w:fill="FFFFFF"/>
            <w:noWrap/>
            <w:vAlign w:val="bottom"/>
            <w:hideMark/>
          </w:tcPr>
          <w:p w14:paraId="27104E2D"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1,580***</w:t>
            </w:r>
          </w:p>
        </w:tc>
        <w:tc>
          <w:tcPr>
            <w:tcW w:w="1346" w:type="dxa"/>
            <w:tcBorders>
              <w:top w:val="nil"/>
              <w:left w:val="nil"/>
              <w:bottom w:val="nil"/>
              <w:right w:val="nil"/>
            </w:tcBorders>
            <w:shd w:val="clear" w:color="000000" w:fill="FFFFFF"/>
            <w:noWrap/>
            <w:vAlign w:val="bottom"/>
            <w:hideMark/>
          </w:tcPr>
          <w:p w14:paraId="3793EDAA"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0,067</w:t>
            </w:r>
          </w:p>
        </w:tc>
        <w:tc>
          <w:tcPr>
            <w:tcW w:w="1206" w:type="dxa"/>
            <w:tcBorders>
              <w:top w:val="nil"/>
              <w:left w:val="nil"/>
              <w:bottom w:val="nil"/>
              <w:right w:val="nil"/>
            </w:tcBorders>
            <w:shd w:val="clear" w:color="000000" w:fill="FFFFFF"/>
            <w:noWrap/>
            <w:vAlign w:val="bottom"/>
            <w:hideMark/>
          </w:tcPr>
          <w:p w14:paraId="41115A04" w14:textId="77777777" w:rsidR="00C219E9" w:rsidRPr="0040350A" w:rsidRDefault="00C219E9" w:rsidP="00E353C5">
            <w:pPr>
              <w:spacing w:after="0" w:line="240" w:lineRule="auto"/>
              <w:jc w:val="left"/>
              <w:rPr>
                <w:rFonts w:eastAsia="Times New Roman" w:cs="Times New Roman"/>
                <w:color w:val="000000"/>
                <w:sz w:val="20"/>
                <w:lang w:eastAsia="sk-SK"/>
              </w:rPr>
            </w:pPr>
            <w:r w:rsidRPr="0040350A">
              <w:rPr>
                <w:rFonts w:eastAsia="Times New Roman" w:cs="Times New Roman"/>
                <w:color w:val="000000"/>
                <w:sz w:val="20"/>
                <w:lang w:eastAsia="sk-SK"/>
              </w:rPr>
              <w:t> </w:t>
            </w:r>
          </w:p>
        </w:tc>
        <w:tc>
          <w:tcPr>
            <w:tcW w:w="1275" w:type="dxa"/>
            <w:tcBorders>
              <w:top w:val="nil"/>
              <w:left w:val="nil"/>
              <w:bottom w:val="nil"/>
              <w:right w:val="nil"/>
            </w:tcBorders>
            <w:shd w:val="clear" w:color="000000" w:fill="FFFFFF"/>
            <w:noWrap/>
            <w:vAlign w:val="bottom"/>
            <w:hideMark/>
          </w:tcPr>
          <w:p w14:paraId="51B71B53" w14:textId="77777777" w:rsidR="00C219E9" w:rsidRPr="0040350A" w:rsidRDefault="00C219E9" w:rsidP="00E353C5">
            <w:pPr>
              <w:spacing w:after="0" w:line="240" w:lineRule="auto"/>
              <w:jc w:val="left"/>
              <w:rPr>
                <w:rFonts w:eastAsia="Times New Roman" w:cs="Times New Roman"/>
                <w:color w:val="000000"/>
                <w:sz w:val="20"/>
                <w:lang w:eastAsia="sk-SK"/>
              </w:rPr>
            </w:pPr>
            <w:r w:rsidRPr="0040350A">
              <w:rPr>
                <w:rFonts w:eastAsia="Times New Roman" w:cs="Times New Roman"/>
                <w:color w:val="000000"/>
                <w:sz w:val="20"/>
                <w:lang w:eastAsia="sk-SK"/>
              </w:rPr>
              <w:t> </w:t>
            </w:r>
          </w:p>
        </w:tc>
      </w:tr>
      <w:tr w:rsidR="00C219E9" w:rsidRPr="00CA2564" w14:paraId="0E0EE31A" w14:textId="77777777" w:rsidTr="00AA40A7">
        <w:trPr>
          <w:trHeight w:val="284"/>
        </w:trPr>
        <w:tc>
          <w:tcPr>
            <w:tcW w:w="9072" w:type="dxa"/>
            <w:gridSpan w:val="5"/>
            <w:tcBorders>
              <w:top w:val="nil"/>
              <w:left w:val="nil"/>
              <w:bottom w:val="nil"/>
              <w:right w:val="nil"/>
            </w:tcBorders>
            <w:shd w:val="clear" w:color="000000" w:fill="FFFFFF"/>
            <w:vAlign w:val="bottom"/>
            <w:hideMark/>
          </w:tcPr>
          <w:p w14:paraId="3489304E" w14:textId="77777777" w:rsidR="00C219E9" w:rsidRPr="0040350A" w:rsidRDefault="00C219E9" w:rsidP="00E353C5">
            <w:pPr>
              <w:spacing w:after="0" w:line="240" w:lineRule="auto"/>
              <w:jc w:val="left"/>
              <w:rPr>
                <w:rFonts w:eastAsia="Times New Roman" w:cs="Times New Roman"/>
                <w:b/>
                <w:bCs/>
                <w:color w:val="000000"/>
                <w:sz w:val="20"/>
                <w:lang w:eastAsia="sk-SK"/>
              </w:rPr>
            </w:pPr>
            <w:r w:rsidRPr="0040350A">
              <w:rPr>
                <w:rFonts w:eastAsia="Times New Roman" w:cs="Times New Roman"/>
                <w:b/>
                <w:bCs/>
                <w:color w:val="000000"/>
                <w:sz w:val="20"/>
                <w:lang w:eastAsia="sk-SK"/>
              </w:rPr>
              <w:t>F odbor (základ: ukončená ZŠ):</w:t>
            </w:r>
          </w:p>
        </w:tc>
      </w:tr>
      <w:tr w:rsidR="00C219E9" w:rsidRPr="00CA2564" w14:paraId="7A442744" w14:textId="77777777" w:rsidTr="00AA40A7">
        <w:trPr>
          <w:trHeight w:val="284"/>
        </w:trPr>
        <w:tc>
          <w:tcPr>
            <w:tcW w:w="4110" w:type="dxa"/>
            <w:tcBorders>
              <w:top w:val="nil"/>
              <w:left w:val="nil"/>
              <w:bottom w:val="nil"/>
              <w:right w:val="nil"/>
            </w:tcBorders>
            <w:shd w:val="clear" w:color="000000" w:fill="FFFFFF"/>
            <w:noWrap/>
            <w:vAlign w:val="center"/>
            <w:hideMark/>
          </w:tcPr>
          <w:p w14:paraId="6C2B09D9" w14:textId="77777777" w:rsidR="00C219E9" w:rsidRPr="00CA2564" w:rsidRDefault="00C219E9" w:rsidP="00E353C5">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spracúvanie dreva</w:t>
            </w:r>
          </w:p>
        </w:tc>
        <w:tc>
          <w:tcPr>
            <w:tcW w:w="1135" w:type="dxa"/>
            <w:tcBorders>
              <w:top w:val="nil"/>
              <w:left w:val="nil"/>
              <w:bottom w:val="nil"/>
              <w:right w:val="nil"/>
            </w:tcBorders>
            <w:shd w:val="clear" w:color="000000" w:fill="FFFFFF"/>
            <w:noWrap/>
            <w:vAlign w:val="bottom"/>
            <w:hideMark/>
          </w:tcPr>
          <w:p w14:paraId="4A25CCE2"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 </w:t>
            </w:r>
          </w:p>
        </w:tc>
        <w:tc>
          <w:tcPr>
            <w:tcW w:w="1346" w:type="dxa"/>
            <w:tcBorders>
              <w:top w:val="nil"/>
              <w:left w:val="nil"/>
              <w:bottom w:val="nil"/>
              <w:right w:val="nil"/>
            </w:tcBorders>
            <w:shd w:val="clear" w:color="000000" w:fill="FFFFFF"/>
            <w:noWrap/>
            <w:vAlign w:val="bottom"/>
            <w:hideMark/>
          </w:tcPr>
          <w:p w14:paraId="2731C81B" w14:textId="77777777" w:rsidR="00C219E9" w:rsidRPr="0040350A" w:rsidRDefault="00C219E9" w:rsidP="00E353C5">
            <w:pPr>
              <w:spacing w:after="0" w:line="240" w:lineRule="auto"/>
              <w:jc w:val="left"/>
              <w:rPr>
                <w:rFonts w:eastAsia="Times New Roman" w:cs="Times New Roman"/>
                <w:color w:val="000000"/>
                <w:sz w:val="20"/>
                <w:lang w:eastAsia="sk-SK"/>
              </w:rPr>
            </w:pPr>
            <w:r w:rsidRPr="0040350A">
              <w:rPr>
                <w:rFonts w:eastAsia="Times New Roman" w:cs="Times New Roman"/>
                <w:color w:val="000000"/>
                <w:sz w:val="20"/>
                <w:lang w:eastAsia="sk-SK"/>
              </w:rPr>
              <w:t> </w:t>
            </w:r>
          </w:p>
        </w:tc>
        <w:tc>
          <w:tcPr>
            <w:tcW w:w="1206" w:type="dxa"/>
            <w:tcBorders>
              <w:top w:val="nil"/>
              <w:left w:val="nil"/>
              <w:bottom w:val="nil"/>
              <w:right w:val="nil"/>
            </w:tcBorders>
            <w:shd w:val="clear" w:color="000000" w:fill="FFFFFF"/>
            <w:noWrap/>
            <w:vAlign w:val="bottom"/>
            <w:hideMark/>
          </w:tcPr>
          <w:p w14:paraId="3BD66AA8"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0,728***</w:t>
            </w:r>
          </w:p>
        </w:tc>
        <w:tc>
          <w:tcPr>
            <w:tcW w:w="1275" w:type="dxa"/>
            <w:tcBorders>
              <w:top w:val="nil"/>
              <w:left w:val="nil"/>
              <w:bottom w:val="nil"/>
              <w:right w:val="nil"/>
            </w:tcBorders>
            <w:shd w:val="clear" w:color="000000" w:fill="FFFFFF"/>
            <w:noWrap/>
            <w:vAlign w:val="bottom"/>
            <w:hideMark/>
          </w:tcPr>
          <w:p w14:paraId="2BC68760"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0,180</w:t>
            </w:r>
          </w:p>
        </w:tc>
      </w:tr>
      <w:tr w:rsidR="00C219E9" w:rsidRPr="00CA2564" w14:paraId="055D8D9C" w14:textId="77777777" w:rsidTr="00AA40A7">
        <w:trPr>
          <w:trHeight w:val="284"/>
        </w:trPr>
        <w:tc>
          <w:tcPr>
            <w:tcW w:w="4110" w:type="dxa"/>
            <w:tcBorders>
              <w:top w:val="nil"/>
              <w:left w:val="nil"/>
              <w:bottom w:val="nil"/>
              <w:right w:val="nil"/>
            </w:tcBorders>
            <w:shd w:val="clear" w:color="000000" w:fill="FFFFFF"/>
            <w:noWrap/>
            <w:vAlign w:val="center"/>
            <w:hideMark/>
          </w:tcPr>
          <w:p w14:paraId="23A36127" w14:textId="77777777" w:rsidR="00C219E9" w:rsidRPr="00CA2564" w:rsidRDefault="00C219E9" w:rsidP="00E353C5">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poľnohospodárska výroba</w:t>
            </w:r>
          </w:p>
        </w:tc>
        <w:tc>
          <w:tcPr>
            <w:tcW w:w="1135" w:type="dxa"/>
            <w:tcBorders>
              <w:top w:val="nil"/>
              <w:left w:val="nil"/>
              <w:bottom w:val="nil"/>
              <w:right w:val="nil"/>
            </w:tcBorders>
            <w:shd w:val="clear" w:color="000000" w:fill="FFFFFF"/>
            <w:noWrap/>
            <w:vAlign w:val="bottom"/>
            <w:hideMark/>
          </w:tcPr>
          <w:p w14:paraId="4DD2DBFA"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 </w:t>
            </w:r>
          </w:p>
        </w:tc>
        <w:tc>
          <w:tcPr>
            <w:tcW w:w="1346" w:type="dxa"/>
            <w:tcBorders>
              <w:top w:val="nil"/>
              <w:left w:val="nil"/>
              <w:bottom w:val="nil"/>
              <w:right w:val="nil"/>
            </w:tcBorders>
            <w:shd w:val="clear" w:color="000000" w:fill="FFFFFF"/>
            <w:noWrap/>
            <w:vAlign w:val="bottom"/>
            <w:hideMark/>
          </w:tcPr>
          <w:p w14:paraId="2D4DD240" w14:textId="77777777" w:rsidR="00C219E9" w:rsidRPr="0040350A" w:rsidRDefault="00C219E9" w:rsidP="00E353C5">
            <w:pPr>
              <w:spacing w:after="0" w:line="240" w:lineRule="auto"/>
              <w:jc w:val="left"/>
              <w:rPr>
                <w:rFonts w:eastAsia="Times New Roman" w:cs="Times New Roman"/>
                <w:color w:val="000000"/>
                <w:sz w:val="20"/>
                <w:lang w:eastAsia="sk-SK"/>
              </w:rPr>
            </w:pPr>
            <w:r w:rsidRPr="0040350A">
              <w:rPr>
                <w:rFonts w:eastAsia="Times New Roman" w:cs="Times New Roman"/>
                <w:color w:val="000000"/>
                <w:sz w:val="20"/>
                <w:lang w:eastAsia="sk-SK"/>
              </w:rPr>
              <w:t> </w:t>
            </w:r>
          </w:p>
        </w:tc>
        <w:tc>
          <w:tcPr>
            <w:tcW w:w="1206" w:type="dxa"/>
            <w:tcBorders>
              <w:top w:val="nil"/>
              <w:left w:val="nil"/>
              <w:bottom w:val="nil"/>
              <w:right w:val="nil"/>
            </w:tcBorders>
            <w:shd w:val="clear" w:color="000000" w:fill="FFFFFF"/>
            <w:noWrap/>
            <w:vAlign w:val="bottom"/>
            <w:hideMark/>
          </w:tcPr>
          <w:p w14:paraId="1D879F38"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0,496***</w:t>
            </w:r>
          </w:p>
        </w:tc>
        <w:tc>
          <w:tcPr>
            <w:tcW w:w="1275" w:type="dxa"/>
            <w:tcBorders>
              <w:top w:val="nil"/>
              <w:left w:val="nil"/>
              <w:bottom w:val="nil"/>
              <w:right w:val="nil"/>
            </w:tcBorders>
            <w:shd w:val="clear" w:color="000000" w:fill="FFFFFF"/>
            <w:noWrap/>
            <w:vAlign w:val="bottom"/>
            <w:hideMark/>
          </w:tcPr>
          <w:p w14:paraId="76F3E322"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0,155</w:t>
            </w:r>
          </w:p>
        </w:tc>
      </w:tr>
      <w:tr w:rsidR="00C219E9" w:rsidRPr="00CA2564" w14:paraId="3BAA2C01" w14:textId="77777777" w:rsidTr="00AA40A7">
        <w:trPr>
          <w:trHeight w:val="284"/>
        </w:trPr>
        <w:tc>
          <w:tcPr>
            <w:tcW w:w="4110" w:type="dxa"/>
            <w:tcBorders>
              <w:top w:val="nil"/>
              <w:left w:val="nil"/>
              <w:bottom w:val="nil"/>
              <w:right w:val="nil"/>
            </w:tcBorders>
            <w:shd w:val="clear" w:color="000000" w:fill="FFFFFF"/>
            <w:noWrap/>
            <w:vAlign w:val="center"/>
            <w:hideMark/>
          </w:tcPr>
          <w:p w14:paraId="710E4FB1" w14:textId="77777777" w:rsidR="00C219E9" w:rsidRPr="00CA2564" w:rsidRDefault="00C219E9" w:rsidP="00E353C5">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technické služby v autoservise</w:t>
            </w:r>
          </w:p>
        </w:tc>
        <w:tc>
          <w:tcPr>
            <w:tcW w:w="1135" w:type="dxa"/>
            <w:tcBorders>
              <w:top w:val="nil"/>
              <w:left w:val="nil"/>
              <w:bottom w:val="nil"/>
              <w:right w:val="nil"/>
            </w:tcBorders>
            <w:shd w:val="clear" w:color="000000" w:fill="FFFFFF"/>
            <w:noWrap/>
            <w:vAlign w:val="bottom"/>
            <w:hideMark/>
          </w:tcPr>
          <w:p w14:paraId="4D143814"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 </w:t>
            </w:r>
          </w:p>
        </w:tc>
        <w:tc>
          <w:tcPr>
            <w:tcW w:w="1346" w:type="dxa"/>
            <w:tcBorders>
              <w:top w:val="nil"/>
              <w:left w:val="nil"/>
              <w:bottom w:val="nil"/>
              <w:right w:val="nil"/>
            </w:tcBorders>
            <w:shd w:val="clear" w:color="000000" w:fill="FFFFFF"/>
            <w:noWrap/>
            <w:vAlign w:val="bottom"/>
            <w:hideMark/>
          </w:tcPr>
          <w:p w14:paraId="1BB83DFF" w14:textId="77777777" w:rsidR="00C219E9" w:rsidRPr="0040350A" w:rsidRDefault="00C219E9" w:rsidP="00E353C5">
            <w:pPr>
              <w:spacing w:after="0" w:line="240" w:lineRule="auto"/>
              <w:jc w:val="left"/>
              <w:rPr>
                <w:rFonts w:eastAsia="Times New Roman" w:cs="Times New Roman"/>
                <w:color w:val="000000"/>
                <w:sz w:val="20"/>
                <w:lang w:eastAsia="sk-SK"/>
              </w:rPr>
            </w:pPr>
            <w:r w:rsidRPr="0040350A">
              <w:rPr>
                <w:rFonts w:eastAsia="Times New Roman" w:cs="Times New Roman"/>
                <w:color w:val="000000"/>
                <w:sz w:val="20"/>
                <w:lang w:eastAsia="sk-SK"/>
              </w:rPr>
              <w:t> </w:t>
            </w:r>
          </w:p>
        </w:tc>
        <w:tc>
          <w:tcPr>
            <w:tcW w:w="1206" w:type="dxa"/>
            <w:tcBorders>
              <w:top w:val="nil"/>
              <w:left w:val="nil"/>
              <w:bottom w:val="nil"/>
              <w:right w:val="nil"/>
            </w:tcBorders>
            <w:shd w:val="clear" w:color="000000" w:fill="FFFFFF"/>
            <w:noWrap/>
            <w:vAlign w:val="bottom"/>
            <w:hideMark/>
          </w:tcPr>
          <w:p w14:paraId="062F143E"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0,441**</w:t>
            </w:r>
          </w:p>
        </w:tc>
        <w:tc>
          <w:tcPr>
            <w:tcW w:w="1275" w:type="dxa"/>
            <w:tcBorders>
              <w:top w:val="nil"/>
              <w:left w:val="nil"/>
              <w:bottom w:val="nil"/>
              <w:right w:val="nil"/>
            </w:tcBorders>
            <w:shd w:val="clear" w:color="000000" w:fill="FFFFFF"/>
            <w:noWrap/>
            <w:vAlign w:val="bottom"/>
            <w:hideMark/>
          </w:tcPr>
          <w:p w14:paraId="57282F44"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0,181</w:t>
            </w:r>
          </w:p>
        </w:tc>
      </w:tr>
      <w:tr w:rsidR="00C219E9" w:rsidRPr="00CA2564" w14:paraId="1F4CB8A2" w14:textId="77777777" w:rsidTr="00AA40A7">
        <w:trPr>
          <w:trHeight w:val="284"/>
        </w:trPr>
        <w:tc>
          <w:tcPr>
            <w:tcW w:w="4110" w:type="dxa"/>
            <w:tcBorders>
              <w:top w:val="nil"/>
              <w:left w:val="nil"/>
              <w:bottom w:val="nil"/>
              <w:right w:val="nil"/>
            </w:tcBorders>
            <w:shd w:val="clear" w:color="000000" w:fill="FFFFFF"/>
            <w:noWrap/>
            <w:vAlign w:val="center"/>
            <w:hideMark/>
          </w:tcPr>
          <w:p w14:paraId="0A66F636" w14:textId="77777777" w:rsidR="00C219E9" w:rsidRPr="00CA2564" w:rsidRDefault="00C219E9" w:rsidP="00E353C5">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stavebná výroba</w:t>
            </w:r>
          </w:p>
        </w:tc>
        <w:tc>
          <w:tcPr>
            <w:tcW w:w="1135" w:type="dxa"/>
            <w:tcBorders>
              <w:top w:val="nil"/>
              <w:left w:val="nil"/>
              <w:bottom w:val="nil"/>
              <w:right w:val="nil"/>
            </w:tcBorders>
            <w:shd w:val="clear" w:color="000000" w:fill="FFFFFF"/>
            <w:noWrap/>
            <w:vAlign w:val="bottom"/>
            <w:hideMark/>
          </w:tcPr>
          <w:p w14:paraId="2B0032E9"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 </w:t>
            </w:r>
          </w:p>
        </w:tc>
        <w:tc>
          <w:tcPr>
            <w:tcW w:w="1346" w:type="dxa"/>
            <w:tcBorders>
              <w:top w:val="nil"/>
              <w:left w:val="nil"/>
              <w:bottom w:val="nil"/>
              <w:right w:val="nil"/>
            </w:tcBorders>
            <w:shd w:val="clear" w:color="000000" w:fill="FFFFFF"/>
            <w:noWrap/>
            <w:vAlign w:val="bottom"/>
            <w:hideMark/>
          </w:tcPr>
          <w:p w14:paraId="41ADDE73" w14:textId="77777777" w:rsidR="00C219E9" w:rsidRPr="0040350A" w:rsidRDefault="00C219E9" w:rsidP="00E353C5">
            <w:pPr>
              <w:spacing w:after="0" w:line="240" w:lineRule="auto"/>
              <w:jc w:val="left"/>
              <w:rPr>
                <w:rFonts w:eastAsia="Times New Roman" w:cs="Times New Roman"/>
                <w:color w:val="000000"/>
                <w:sz w:val="20"/>
                <w:lang w:eastAsia="sk-SK"/>
              </w:rPr>
            </w:pPr>
            <w:r w:rsidRPr="0040350A">
              <w:rPr>
                <w:rFonts w:eastAsia="Times New Roman" w:cs="Times New Roman"/>
                <w:color w:val="000000"/>
                <w:sz w:val="20"/>
                <w:lang w:eastAsia="sk-SK"/>
              </w:rPr>
              <w:t> </w:t>
            </w:r>
          </w:p>
        </w:tc>
        <w:tc>
          <w:tcPr>
            <w:tcW w:w="1206" w:type="dxa"/>
            <w:tcBorders>
              <w:top w:val="nil"/>
              <w:left w:val="nil"/>
              <w:bottom w:val="nil"/>
              <w:right w:val="nil"/>
            </w:tcBorders>
            <w:shd w:val="clear" w:color="000000" w:fill="FFFFFF"/>
            <w:noWrap/>
            <w:vAlign w:val="bottom"/>
            <w:hideMark/>
          </w:tcPr>
          <w:p w14:paraId="463BB865"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0,353***</w:t>
            </w:r>
          </w:p>
        </w:tc>
        <w:tc>
          <w:tcPr>
            <w:tcW w:w="1275" w:type="dxa"/>
            <w:tcBorders>
              <w:top w:val="nil"/>
              <w:left w:val="nil"/>
              <w:bottom w:val="nil"/>
              <w:right w:val="nil"/>
            </w:tcBorders>
            <w:shd w:val="clear" w:color="000000" w:fill="FFFFFF"/>
            <w:noWrap/>
            <w:vAlign w:val="bottom"/>
            <w:hideMark/>
          </w:tcPr>
          <w:p w14:paraId="7C1DD3A1"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0,088</w:t>
            </w:r>
          </w:p>
        </w:tc>
      </w:tr>
      <w:tr w:rsidR="00C219E9" w:rsidRPr="00CA2564" w14:paraId="434F6930" w14:textId="77777777" w:rsidTr="00AA40A7">
        <w:trPr>
          <w:trHeight w:val="284"/>
        </w:trPr>
        <w:tc>
          <w:tcPr>
            <w:tcW w:w="4110" w:type="dxa"/>
            <w:tcBorders>
              <w:top w:val="nil"/>
              <w:left w:val="nil"/>
              <w:bottom w:val="nil"/>
              <w:right w:val="nil"/>
            </w:tcBorders>
            <w:shd w:val="clear" w:color="000000" w:fill="FFFFFF"/>
            <w:noWrap/>
            <w:vAlign w:val="center"/>
            <w:hideMark/>
          </w:tcPr>
          <w:p w14:paraId="5D53DD1E" w14:textId="77777777" w:rsidR="00C219E9" w:rsidRPr="00CA2564" w:rsidRDefault="00C219E9" w:rsidP="00E353C5">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výroba konfekcie</w:t>
            </w:r>
          </w:p>
        </w:tc>
        <w:tc>
          <w:tcPr>
            <w:tcW w:w="1135" w:type="dxa"/>
            <w:tcBorders>
              <w:top w:val="nil"/>
              <w:left w:val="nil"/>
              <w:bottom w:val="nil"/>
              <w:right w:val="nil"/>
            </w:tcBorders>
            <w:shd w:val="clear" w:color="000000" w:fill="FFFFFF"/>
            <w:noWrap/>
            <w:vAlign w:val="bottom"/>
            <w:hideMark/>
          </w:tcPr>
          <w:p w14:paraId="75569F90"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 </w:t>
            </w:r>
          </w:p>
        </w:tc>
        <w:tc>
          <w:tcPr>
            <w:tcW w:w="1346" w:type="dxa"/>
            <w:tcBorders>
              <w:top w:val="nil"/>
              <w:left w:val="nil"/>
              <w:bottom w:val="nil"/>
              <w:right w:val="nil"/>
            </w:tcBorders>
            <w:shd w:val="clear" w:color="000000" w:fill="FFFFFF"/>
            <w:noWrap/>
            <w:vAlign w:val="bottom"/>
            <w:hideMark/>
          </w:tcPr>
          <w:p w14:paraId="17344516" w14:textId="77777777" w:rsidR="00C219E9" w:rsidRPr="0040350A" w:rsidRDefault="00C219E9" w:rsidP="00E353C5">
            <w:pPr>
              <w:spacing w:after="0" w:line="240" w:lineRule="auto"/>
              <w:jc w:val="left"/>
              <w:rPr>
                <w:rFonts w:eastAsia="Times New Roman" w:cs="Times New Roman"/>
                <w:color w:val="000000"/>
                <w:sz w:val="20"/>
                <w:lang w:eastAsia="sk-SK"/>
              </w:rPr>
            </w:pPr>
            <w:r w:rsidRPr="0040350A">
              <w:rPr>
                <w:rFonts w:eastAsia="Times New Roman" w:cs="Times New Roman"/>
                <w:color w:val="000000"/>
                <w:sz w:val="20"/>
                <w:lang w:eastAsia="sk-SK"/>
              </w:rPr>
              <w:t> </w:t>
            </w:r>
          </w:p>
        </w:tc>
        <w:tc>
          <w:tcPr>
            <w:tcW w:w="1206" w:type="dxa"/>
            <w:tcBorders>
              <w:top w:val="nil"/>
              <w:left w:val="nil"/>
              <w:bottom w:val="nil"/>
              <w:right w:val="nil"/>
            </w:tcBorders>
            <w:shd w:val="clear" w:color="000000" w:fill="FFFFFF"/>
            <w:noWrap/>
            <w:vAlign w:val="bottom"/>
            <w:hideMark/>
          </w:tcPr>
          <w:p w14:paraId="4B4B1484"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0,339***</w:t>
            </w:r>
          </w:p>
        </w:tc>
        <w:tc>
          <w:tcPr>
            <w:tcW w:w="1275" w:type="dxa"/>
            <w:tcBorders>
              <w:top w:val="nil"/>
              <w:left w:val="nil"/>
              <w:bottom w:val="nil"/>
              <w:right w:val="nil"/>
            </w:tcBorders>
            <w:shd w:val="clear" w:color="000000" w:fill="FFFFFF"/>
            <w:noWrap/>
            <w:vAlign w:val="bottom"/>
            <w:hideMark/>
          </w:tcPr>
          <w:p w14:paraId="1A5ED649"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0,111</w:t>
            </w:r>
          </w:p>
        </w:tc>
      </w:tr>
      <w:tr w:rsidR="00C219E9" w:rsidRPr="00CA2564" w14:paraId="0375D8FB" w14:textId="77777777" w:rsidTr="00AA40A7">
        <w:trPr>
          <w:trHeight w:val="284"/>
        </w:trPr>
        <w:tc>
          <w:tcPr>
            <w:tcW w:w="4110" w:type="dxa"/>
            <w:tcBorders>
              <w:top w:val="nil"/>
              <w:left w:val="nil"/>
              <w:bottom w:val="nil"/>
              <w:right w:val="nil"/>
            </w:tcBorders>
            <w:shd w:val="clear" w:color="000000" w:fill="FFFFFF"/>
            <w:noWrap/>
            <w:vAlign w:val="center"/>
            <w:hideMark/>
          </w:tcPr>
          <w:p w14:paraId="588338E4" w14:textId="77777777" w:rsidR="00C219E9" w:rsidRPr="00CA2564" w:rsidRDefault="00C219E9" w:rsidP="00E353C5">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strojárska výroba</w:t>
            </w:r>
          </w:p>
        </w:tc>
        <w:tc>
          <w:tcPr>
            <w:tcW w:w="1135" w:type="dxa"/>
            <w:tcBorders>
              <w:top w:val="nil"/>
              <w:left w:val="nil"/>
              <w:bottom w:val="nil"/>
              <w:right w:val="nil"/>
            </w:tcBorders>
            <w:shd w:val="clear" w:color="000000" w:fill="FFFFFF"/>
            <w:noWrap/>
            <w:vAlign w:val="bottom"/>
            <w:hideMark/>
          </w:tcPr>
          <w:p w14:paraId="3D2A7698"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 </w:t>
            </w:r>
          </w:p>
        </w:tc>
        <w:tc>
          <w:tcPr>
            <w:tcW w:w="1346" w:type="dxa"/>
            <w:tcBorders>
              <w:top w:val="nil"/>
              <w:left w:val="nil"/>
              <w:bottom w:val="nil"/>
              <w:right w:val="nil"/>
            </w:tcBorders>
            <w:shd w:val="clear" w:color="000000" w:fill="FFFFFF"/>
            <w:noWrap/>
            <w:vAlign w:val="bottom"/>
            <w:hideMark/>
          </w:tcPr>
          <w:p w14:paraId="2114710C" w14:textId="77777777" w:rsidR="00C219E9" w:rsidRPr="0040350A" w:rsidRDefault="00C219E9" w:rsidP="00E353C5">
            <w:pPr>
              <w:spacing w:after="0" w:line="240" w:lineRule="auto"/>
              <w:jc w:val="left"/>
              <w:rPr>
                <w:rFonts w:eastAsia="Times New Roman" w:cs="Times New Roman"/>
                <w:color w:val="000000"/>
                <w:sz w:val="20"/>
                <w:lang w:eastAsia="sk-SK"/>
              </w:rPr>
            </w:pPr>
            <w:r w:rsidRPr="0040350A">
              <w:rPr>
                <w:rFonts w:eastAsia="Times New Roman" w:cs="Times New Roman"/>
                <w:color w:val="000000"/>
                <w:sz w:val="20"/>
                <w:lang w:eastAsia="sk-SK"/>
              </w:rPr>
              <w:t> </w:t>
            </w:r>
          </w:p>
        </w:tc>
        <w:tc>
          <w:tcPr>
            <w:tcW w:w="1206" w:type="dxa"/>
            <w:tcBorders>
              <w:top w:val="nil"/>
              <w:left w:val="nil"/>
              <w:bottom w:val="nil"/>
              <w:right w:val="nil"/>
            </w:tcBorders>
            <w:shd w:val="clear" w:color="000000" w:fill="FFFFFF"/>
            <w:noWrap/>
            <w:vAlign w:val="bottom"/>
            <w:hideMark/>
          </w:tcPr>
          <w:p w14:paraId="2841AC4F"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0,059</w:t>
            </w:r>
          </w:p>
        </w:tc>
        <w:tc>
          <w:tcPr>
            <w:tcW w:w="1275" w:type="dxa"/>
            <w:tcBorders>
              <w:top w:val="nil"/>
              <w:left w:val="nil"/>
              <w:bottom w:val="nil"/>
              <w:right w:val="nil"/>
            </w:tcBorders>
            <w:shd w:val="clear" w:color="000000" w:fill="FFFFFF"/>
            <w:noWrap/>
            <w:vAlign w:val="bottom"/>
            <w:hideMark/>
          </w:tcPr>
          <w:p w14:paraId="7A7C0918"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0,137</w:t>
            </w:r>
          </w:p>
        </w:tc>
      </w:tr>
      <w:tr w:rsidR="00C219E9" w:rsidRPr="00CA2564" w14:paraId="2F4E2D02" w14:textId="77777777" w:rsidTr="00AA40A7">
        <w:trPr>
          <w:trHeight w:val="284"/>
        </w:trPr>
        <w:tc>
          <w:tcPr>
            <w:tcW w:w="4110" w:type="dxa"/>
            <w:tcBorders>
              <w:top w:val="nil"/>
              <w:left w:val="nil"/>
              <w:bottom w:val="nil"/>
              <w:right w:val="nil"/>
            </w:tcBorders>
            <w:shd w:val="clear" w:color="000000" w:fill="FFFFFF"/>
            <w:noWrap/>
            <w:vAlign w:val="center"/>
            <w:hideMark/>
          </w:tcPr>
          <w:p w14:paraId="5B11C104" w14:textId="77777777" w:rsidR="00C219E9" w:rsidRPr="00CA2564" w:rsidRDefault="00C219E9" w:rsidP="00E353C5">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praktická žena</w:t>
            </w:r>
          </w:p>
        </w:tc>
        <w:tc>
          <w:tcPr>
            <w:tcW w:w="1135" w:type="dxa"/>
            <w:tcBorders>
              <w:top w:val="nil"/>
              <w:left w:val="nil"/>
              <w:bottom w:val="nil"/>
              <w:right w:val="nil"/>
            </w:tcBorders>
            <w:shd w:val="clear" w:color="000000" w:fill="FFFFFF"/>
            <w:noWrap/>
            <w:vAlign w:val="bottom"/>
            <w:hideMark/>
          </w:tcPr>
          <w:p w14:paraId="53269A42"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 </w:t>
            </w:r>
          </w:p>
        </w:tc>
        <w:tc>
          <w:tcPr>
            <w:tcW w:w="1346" w:type="dxa"/>
            <w:tcBorders>
              <w:top w:val="nil"/>
              <w:left w:val="nil"/>
              <w:bottom w:val="nil"/>
              <w:right w:val="nil"/>
            </w:tcBorders>
            <w:shd w:val="clear" w:color="000000" w:fill="FFFFFF"/>
            <w:noWrap/>
            <w:vAlign w:val="bottom"/>
            <w:hideMark/>
          </w:tcPr>
          <w:p w14:paraId="0AF8ADB9" w14:textId="77777777" w:rsidR="00C219E9" w:rsidRPr="0040350A" w:rsidRDefault="00C219E9" w:rsidP="00E353C5">
            <w:pPr>
              <w:spacing w:after="0" w:line="240" w:lineRule="auto"/>
              <w:jc w:val="left"/>
              <w:rPr>
                <w:rFonts w:eastAsia="Times New Roman" w:cs="Times New Roman"/>
                <w:color w:val="000000"/>
                <w:sz w:val="20"/>
                <w:lang w:eastAsia="sk-SK"/>
              </w:rPr>
            </w:pPr>
            <w:r w:rsidRPr="0040350A">
              <w:rPr>
                <w:rFonts w:eastAsia="Times New Roman" w:cs="Times New Roman"/>
                <w:color w:val="000000"/>
                <w:sz w:val="20"/>
                <w:lang w:eastAsia="sk-SK"/>
              </w:rPr>
              <w:t> </w:t>
            </w:r>
          </w:p>
        </w:tc>
        <w:tc>
          <w:tcPr>
            <w:tcW w:w="1206" w:type="dxa"/>
            <w:tcBorders>
              <w:top w:val="nil"/>
              <w:left w:val="nil"/>
              <w:bottom w:val="nil"/>
              <w:right w:val="nil"/>
            </w:tcBorders>
            <w:shd w:val="clear" w:color="000000" w:fill="FFFFFF"/>
            <w:noWrap/>
            <w:vAlign w:val="bottom"/>
            <w:hideMark/>
          </w:tcPr>
          <w:p w14:paraId="012D3A39"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0,027</w:t>
            </w:r>
          </w:p>
        </w:tc>
        <w:tc>
          <w:tcPr>
            <w:tcW w:w="1275" w:type="dxa"/>
            <w:tcBorders>
              <w:top w:val="nil"/>
              <w:left w:val="nil"/>
              <w:bottom w:val="nil"/>
              <w:right w:val="nil"/>
            </w:tcBorders>
            <w:shd w:val="clear" w:color="000000" w:fill="FFFFFF"/>
            <w:noWrap/>
            <w:vAlign w:val="bottom"/>
            <w:hideMark/>
          </w:tcPr>
          <w:p w14:paraId="3F1F5009"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0,165</w:t>
            </w:r>
          </w:p>
        </w:tc>
      </w:tr>
      <w:tr w:rsidR="00C219E9" w:rsidRPr="00CA2564" w14:paraId="7EBEE519" w14:textId="77777777" w:rsidTr="00AA40A7">
        <w:trPr>
          <w:trHeight w:val="284"/>
        </w:trPr>
        <w:tc>
          <w:tcPr>
            <w:tcW w:w="4110" w:type="dxa"/>
            <w:tcBorders>
              <w:top w:val="nil"/>
              <w:left w:val="nil"/>
              <w:bottom w:val="nil"/>
              <w:right w:val="nil"/>
            </w:tcBorders>
            <w:shd w:val="clear" w:color="000000" w:fill="FFFFFF"/>
            <w:noWrap/>
            <w:vAlign w:val="center"/>
            <w:hideMark/>
          </w:tcPr>
          <w:p w14:paraId="65216C75" w14:textId="77777777" w:rsidR="00C219E9" w:rsidRPr="00CA2564" w:rsidRDefault="00C219E9" w:rsidP="00E353C5">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potravinárska výroba</w:t>
            </w:r>
          </w:p>
        </w:tc>
        <w:tc>
          <w:tcPr>
            <w:tcW w:w="1135" w:type="dxa"/>
            <w:tcBorders>
              <w:top w:val="nil"/>
              <w:left w:val="nil"/>
              <w:bottom w:val="nil"/>
              <w:right w:val="nil"/>
            </w:tcBorders>
            <w:shd w:val="clear" w:color="000000" w:fill="FFFFFF"/>
            <w:noWrap/>
            <w:vAlign w:val="bottom"/>
            <w:hideMark/>
          </w:tcPr>
          <w:p w14:paraId="4E4AB053"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 </w:t>
            </w:r>
          </w:p>
        </w:tc>
        <w:tc>
          <w:tcPr>
            <w:tcW w:w="1346" w:type="dxa"/>
            <w:tcBorders>
              <w:top w:val="nil"/>
              <w:left w:val="nil"/>
              <w:bottom w:val="nil"/>
              <w:right w:val="nil"/>
            </w:tcBorders>
            <w:shd w:val="clear" w:color="000000" w:fill="FFFFFF"/>
            <w:noWrap/>
            <w:vAlign w:val="bottom"/>
            <w:hideMark/>
          </w:tcPr>
          <w:p w14:paraId="225B489B" w14:textId="77777777" w:rsidR="00C219E9" w:rsidRPr="0040350A" w:rsidRDefault="00C219E9" w:rsidP="00E353C5">
            <w:pPr>
              <w:spacing w:after="0" w:line="240" w:lineRule="auto"/>
              <w:jc w:val="left"/>
              <w:rPr>
                <w:rFonts w:eastAsia="Times New Roman" w:cs="Times New Roman"/>
                <w:color w:val="000000"/>
                <w:sz w:val="20"/>
                <w:lang w:eastAsia="sk-SK"/>
              </w:rPr>
            </w:pPr>
            <w:r w:rsidRPr="0040350A">
              <w:rPr>
                <w:rFonts w:eastAsia="Times New Roman" w:cs="Times New Roman"/>
                <w:color w:val="000000"/>
                <w:sz w:val="20"/>
                <w:lang w:eastAsia="sk-SK"/>
              </w:rPr>
              <w:t> </w:t>
            </w:r>
          </w:p>
        </w:tc>
        <w:tc>
          <w:tcPr>
            <w:tcW w:w="1206" w:type="dxa"/>
            <w:tcBorders>
              <w:top w:val="nil"/>
              <w:left w:val="nil"/>
              <w:bottom w:val="nil"/>
              <w:right w:val="nil"/>
            </w:tcBorders>
            <w:shd w:val="clear" w:color="000000" w:fill="FFFFFF"/>
            <w:noWrap/>
            <w:vAlign w:val="bottom"/>
            <w:hideMark/>
          </w:tcPr>
          <w:p w14:paraId="22FD1DBB"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-0,234</w:t>
            </w:r>
          </w:p>
        </w:tc>
        <w:tc>
          <w:tcPr>
            <w:tcW w:w="1275" w:type="dxa"/>
            <w:tcBorders>
              <w:top w:val="nil"/>
              <w:left w:val="nil"/>
              <w:bottom w:val="nil"/>
              <w:right w:val="nil"/>
            </w:tcBorders>
            <w:shd w:val="clear" w:color="000000" w:fill="FFFFFF"/>
            <w:noWrap/>
            <w:vAlign w:val="bottom"/>
            <w:hideMark/>
          </w:tcPr>
          <w:p w14:paraId="636A43FB"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0,231</w:t>
            </w:r>
          </w:p>
        </w:tc>
      </w:tr>
      <w:tr w:rsidR="00C219E9" w:rsidRPr="00CA2564" w14:paraId="0A82F517" w14:textId="77777777" w:rsidTr="00AA40A7">
        <w:trPr>
          <w:trHeight w:val="284"/>
        </w:trPr>
        <w:tc>
          <w:tcPr>
            <w:tcW w:w="4110" w:type="dxa"/>
            <w:tcBorders>
              <w:top w:val="nil"/>
              <w:left w:val="nil"/>
              <w:bottom w:val="nil"/>
              <w:right w:val="nil"/>
            </w:tcBorders>
            <w:shd w:val="clear" w:color="000000" w:fill="FFFFFF"/>
            <w:noWrap/>
            <w:vAlign w:val="center"/>
            <w:hideMark/>
          </w:tcPr>
          <w:p w14:paraId="7C67E604" w14:textId="77777777" w:rsidR="00C219E9" w:rsidRPr="00CA2564" w:rsidRDefault="00C219E9" w:rsidP="00E353C5">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lesná výroba</w:t>
            </w:r>
          </w:p>
        </w:tc>
        <w:tc>
          <w:tcPr>
            <w:tcW w:w="1135" w:type="dxa"/>
            <w:tcBorders>
              <w:top w:val="nil"/>
              <w:left w:val="nil"/>
              <w:bottom w:val="nil"/>
              <w:right w:val="nil"/>
            </w:tcBorders>
            <w:shd w:val="clear" w:color="000000" w:fill="FFFFFF"/>
            <w:noWrap/>
            <w:vAlign w:val="bottom"/>
            <w:hideMark/>
          </w:tcPr>
          <w:p w14:paraId="38F0240F"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 </w:t>
            </w:r>
          </w:p>
        </w:tc>
        <w:tc>
          <w:tcPr>
            <w:tcW w:w="1346" w:type="dxa"/>
            <w:tcBorders>
              <w:top w:val="nil"/>
              <w:left w:val="nil"/>
              <w:bottom w:val="nil"/>
              <w:right w:val="nil"/>
            </w:tcBorders>
            <w:shd w:val="clear" w:color="000000" w:fill="FFFFFF"/>
            <w:noWrap/>
            <w:vAlign w:val="bottom"/>
            <w:hideMark/>
          </w:tcPr>
          <w:p w14:paraId="6FA42FFC" w14:textId="77777777" w:rsidR="00C219E9" w:rsidRPr="0040350A" w:rsidRDefault="00C219E9" w:rsidP="00E353C5">
            <w:pPr>
              <w:spacing w:after="0" w:line="240" w:lineRule="auto"/>
              <w:jc w:val="left"/>
              <w:rPr>
                <w:rFonts w:eastAsia="Times New Roman" w:cs="Times New Roman"/>
                <w:color w:val="000000"/>
                <w:sz w:val="20"/>
                <w:lang w:eastAsia="sk-SK"/>
              </w:rPr>
            </w:pPr>
            <w:r w:rsidRPr="0040350A">
              <w:rPr>
                <w:rFonts w:eastAsia="Times New Roman" w:cs="Times New Roman"/>
                <w:color w:val="000000"/>
                <w:sz w:val="20"/>
                <w:lang w:eastAsia="sk-SK"/>
              </w:rPr>
              <w:t> </w:t>
            </w:r>
          </w:p>
        </w:tc>
        <w:tc>
          <w:tcPr>
            <w:tcW w:w="1206" w:type="dxa"/>
            <w:tcBorders>
              <w:top w:val="nil"/>
              <w:left w:val="nil"/>
              <w:bottom w:val="nil"/>
              <w:right w:val="nil"/>
            </w:tcBorders>
            <w:shd w:val="clear" w:color="000000" w:fill="FFFFFF"/>
            <w:noWrap/>
            <w:vAlign w:val="bottom"/>
            <w:hideMark/>
          </w:tcPr>
          <w:p w14:paraId="08D1BCE7"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-0,265</w:t>
            </w:r>
          </w:p>
        </w:tc>
        <w:tc>
          <w:tcPr>
            <w:tcW w:w="1275" w:type="dxa"/>
            <w:tcBorders>
              <w:top w:val="nil"/>
              <w:left w:val="nil"/>
              <w:bottom w:val="nil"/>
              <w:right w:val="nil"/>
            </w:tcBorders>
            <w:shd w:val="clear" w:color="000000" w:fill="FFFFFF"/>
            <w:noWrap/>
            <w:vAlign w:val="bottom"/>
            <w:hideMark/>
          </w:tcPr>
          <w:p w14:paraId="7148A230"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0,248</w:t>
            </w:r>
          </w:p>
        </w:tc>
      </w:tr>
      <w:tr w:rsidR="00C219E9" w:rsidRPr="00CA2564" w14:paraId="10E8034B" w14:textId="77777777" w:rsidTr="00AA40A7">
        <w:trPr>
          <w:trHeight w:val="284"/>
        </w:trPr>
        <w:tc>
          <w:tcPr>
            <w:tcW w:w="9072" w:type="dxa"/>
            <w:gridSpan w:val="5"/>
            <w:tcBorders>
              <w:top w:val="nil"/>
              <w:left w:val="nil"/>
              <w:bottom w:val="nil"/>
              <w:right w:val="nil"/>
            </w:tcBorders>
            <w:shd w:val="clear" w:color="000000" w:fill="FFFFFF"/>
            <w:noWrap/>
            <w:vAlign w:val="bottom"/>
            <w:hideMark/>
          </w:tcPr>
          <w:p w14:paraId="5D012B53" w14:textId="77777777" w:rsidR="00C219E9" w:rsidRPr="0040350A" w:rsidRDefault="00C219E9" w:rsidP="00E353C5">
            <w:pPr>
              <w:spacing w:after="0" w:line="240" w:lineRule="auto"/>
              <w:jc w:val="left"/>
              <w:rPr>
                <w:rFonts w:eastAsia="Times New Roman" w:cs="Times New Roman"/>
                <w:b/>
                <w:bCs/>
                <w:color w:val="000000"/>
                <w:sz w:val="20"/>
                <w:lang w:eastAsia="sk-SK"/>
              </w:rPr>
            </w:pPr>
            <w:r w:rsidRPr="0040350A">
              <w:rPr>
                <w:rFonts w:eastAsia="Times New Roman" w:cs="Times New Roman"/>
                <w:b/>
                <w:bCs/>
                <w:color w:val="000000"/>
                <w:sz w:val="20"/>
                <w:lang w:eastAsia="sk-SK"/>
              </w:rPr>
              <w:t>Ostatné vysvetľujúce premenné:</w:t>
            </w:r>
            <w:r w:rsidRPr="0040350A">
              <w:rPr>
                <w:rFonts w:eastAsia="Times New Roman" w:cs="Times New Roman"/>
                <w:color w:val="000000"/>
                <w:sz w:val="20"/>
                <w:lang w:eastAsia="sk-SK"/>
              </w:rPr>
              <w:t> </w:t>
            </w:r>
          </w:p>
        </w:tc>
      </w:tr>
      <w:tr w:rsidR="00C219E9" w:rsidRPr="00CA2564" w14:paraId="75309F43" w14:textId="77777777" w:rsidTr="00AA40A7">
        <w:trPr>
          <w:trHeight w:val="284"/>
        </w:trPr>
        <w:tc>
          <w:tcPr>
            <w:tcW w:w="4110" w:type="dxa"/>
            <w:tcBorders>
              <w:top w:val="nil"/>
              <w:left w:val="nil"/>
              <w:bottom w:val="nil"/>
              <w:right w:val="nil"/>
            </w:tcBorders>
            <w:shd w:val="clear" w:color="000000" w:fill="FFFFFF"/>
            <w:noWrap/>
            <w:vAlign w:val="bottom"/>
            <w:hideMark/>
          </w:tcPr>
          <w:p w14:paraId="2FD31C8E" w14:textId="77777777" w:rsidR="00C219E9" w:rsidRPr="00CA2564" w:rsidRDefault="00C219E9" w:rsidP="00E353C5">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MRK</w:t>
            </w:r>
          </w:p>
        </w:tc>
        <w:tc>
          <w:tcPr>
            <w:tcW w:w="1135" w:type="dxa"/>
            <w:tcBorders>
              <w:top w:val="nil"/>
              <w:left w:val="nil"/>
              <w:bottom w:val="nil"/>
              <w:right w:val="nil"/>
            </w:tcBorders>
            <w:shd w:val="clear" w:color="000000" w:fill="FFFFFF"/>
            <w:noWrap/>
            <w:vAlign w:val="bottom"/>
            <w:hideMark/>
          </w:tcPr>
          <w:p w14:paraId="50FB31ED"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-0,279***</w:t>
            </w:r>
          </w:p>
        </w:tc>
        <w:tc>
          <w:tcPr>
            <w:tcW w:w="1346" w:type="dxa"/>
            <w:tcBorders>
              <w:top w:val="nil"/>
              <w:left w:val="nil"/>
              <w:bottom w:val="nil"/>
              <w:right w:val="nil"/>
            </w:tcBorders>
            <w:shd w:val="clear" w:color="000000" w:fill="FFFFFF"/>
            <w:noWrap/>
            <w:vAlign w:val="bottom"/>
            <w:hideMark/>
          </w:tcPr>
          <w:p w14:paraId="4FB72FBB"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0,049</w:t>
            </w:r>
          </w:p>
        </w:tc>
        <w:tc>
          <w:tcPr>
            <w:tcW w:w="1206" w:type="dxa"/>
            <w:tcBorders>
              <w:top w:val="nil"/>
              <w:left w:val="nil"/>
              <w:bottom w:val="nil"/>
              <w:right w:val="nil"/>
            </w:tcBorders>
            <w:shd w:val="clear" w:color="000000" w:fill="FFFFFF"/>
            <w:noWrap/>
            <w:vAlign w:val="bottom"/>
            <w:hideMark/>
          </w:tcPr>
          <w:p w14:paraId="41AF0295"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-0,262***</w:t>
            </w:r>
          </w:p>
        </w:tc>
        <w:tc>
          <w:tcPr>
            <w:tcW w:w="1275" w:type="dxa"/>
            <w:tcBorders>
              <w:top w:val="nil"/>
              <w:left w:val="nil"/>
              <w:bottom w:val="nil"/>
              <w:right w:val="nil"/>
            </w:tcBorders>
            <w:shd w:val="clear" w:color="000000" w:fill="FFFFFF"/>
            <w:noWrap/>
            <w:vAlign w:val="bottom"/>
            <w:hideMark/>
          </w:tcPr>
          <w:p w14:paraId="7202EC50"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0,063</w:t>
            </w:r>
          </w:p>
        </w:tc>
      </w:tr>
      <w:tr w:rsidR="00C219E9" w:rsidRPr="00CA2564" w14:paraId="55F0C1A8" w14:textId="77777777" w:rsidTr="00AA40A7">
        <w:trPr>
          <w:trHeight w:val="284"/>
        </w:trPr>
        <w:tc>
          <w:tcPr>
            <w:tcW w:w="4110" w:type="dxa"/>
            <w:tcBorders>
              <w:top w:val="nil"/>
              <w:left w:val="nil"/>
              <w:bottom w:val="nil"/>
              <w:right w:val="nil"/>
            </w:tcBorders>
            <w:shd w:val="clear" w:color="000000" w:fill="FFFFFF"/>
            <w:noWrap/>
            <w:vAlign w:val="bottom"/>
            <w:hideMark/>
          </w:tcPr>
          <w:p w14:paraId="655AC440" w14:textId="77777777" w:rsidR="00C219E9" w:rsidRPr="00CA2564" w:rsidRDefault="00C219E9" w:rsidP="00E353C5">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PHN</w:t>
            </w:r>
          </w:p>
        </w:tc>
        <w:tc>
          <w:tcPr>
            <w:tcW w:w="1135" w:type="dxa"/>
            <w:tcBorders>
              <w:top w:val="nil"/>
              <w:left w:val="nil"/>
              <w:bottom w:val="nil"/>
              <w:right w:val="nil"/>
            </w:tcBorders>
            <w:shd w:val="clear" w:color="000000" w:fill="FFFFFF"/>
            <w:noWrap/>
            <w:vAlign w:val="bottom"/>
            <w:hideMark/>
          </w:tcPr>
          <w:p w14:paraId="6627AF47"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-0,166***</w:t>
            </w:r>
          </w:p>
        </w:tc>
        <w:tc>
          <w:tcPr>
            <w:tcW w:w="1346" w:type="dxa"/>
            <w:tcBorders>
              <w:top w:val="nil"/>
              <w:left w:val="nil"/>
              <w:bottom w:val="nil"/>
              <w:right w:val="nil"/>
            </w:tcBorders>
            <w:shd w:val="clear" w:color="000000" w:fill="FFFFFF"/>
            <w:noWrap/>
            <w:vAlign w:val="bottom"/>
            <w:hideMark/>
          </w:tcPr>
          <w:p w14:paraId="1B7C2371"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0,049</w:t>
            </w:r>
          </w:p>
        </w:tc>
        <w:tc>
          <w:tcPr>
            <w:tcW w:w="1206" w:type="dxa"/>
            <w:tcBorders>
              <w:top w:val="nil"/>
              <w:left w:val="nil"/>
              <w:bottom w:val="nil"/>
              <w:right w:val="nil"/>
            </w:tcBorders>
            <w:shd w:val="clear" w:color="000000" w:fill="FFFFFF"/>
            <w:noWrap/>
            <w:vAlign w:val="bottom"/>
            <w:hideMark/>
          </w:tcPr>
          <w:p w14:paraId="04686811"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-0,116*</w:t>
            </w:r>
          </w:p>
        </w:tc>
        <w:tc>
          <w:tcPr>
            <w:tcW w:w="1275" w:type="dxa"/>
            <w:tcBorders>
              <w:top w:val="nil"/>
              <w:left w:val="nil"/>
              <w:bottom w:val="nil"/>
              <w:right w:val="nil"/>
            </w:tcBorders>
            <w:shd w:val="clear" w:color="000000" w:fill="FFFFFF"/>
            <w:noWrap/>
            <w:vAlign w:val="bottom"/>
            <w:hideMark/>
          </w:tcPr>
          <w:p w14:paraId="346D08A0"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0,063</w:t>
            </w:r>
          </w:p>
        </w:tc>
      </w:tr>
      <w:tr w:rsidR="00C219E9" w:rsidRPr="00CA2564" w14:paraId="2E8A1F1B" w14:textId="77777777" w:rsidTr="00AA40A7">
        <w:trPr>
          <w:trHeight w:val="284"/>
        </w:trPr>
        <w:tc>
          <w:tcPr>
            <w:tcW w:w="4110" w:type="dxa"/>
            <w:tcBorders>
              <w:top w:val="nil"/>
              <w:left w:val="nil"/>
              <w:bottom w:val="nil"/>
              <w:right w:val="nil"/>
            </w:tcBorders>
            <w:shd w:val="clear" w:color="000000" w:fill="FFFFFF"/>
            <w:noWrap/>
            <w:vAlign w:val="bottom"/>
            <w:hideMark/>
          </w:tcPr>
          <w:p w14:paraId="10423A94" w14:textId="77777777" w:rsidR="00C219E9" w:rsidRPr="00CA2564" w:rsidRDefault="00C219E9" w:rsidP="00E353C5">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žena</w:t>
            </w:r>
          </w:p>
        </w:tc>
        <w:tc>
          <w:tcPr>
            <w:tcW w:w="1135" w:type="dxa"/>
            <w:tcBorders>
              <w:top w:val="nil"/>
              <w:left w:val="nil"/>
              <w:bottom w:val="nil"/>
              <w:right w:val="nil"/>
            </w:tcBorders>
            <w:shd w:val="clear" w:color="000000" w:fill="FFFFFF"/>
            <w:noWrap/>
            <w:vAlign w:val="bottom"/>
            <w:hideMark/>
          </w:tcPr>
          <w:p w14:paraId="57CDEC7F"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-0,124***</w:t>
            </w:r>
          </w:p>
        </w:tc>
        <w:tc>
          <w:tcPr>
            <w:tcW w:w="1346" w:type="dxa"/>
            <w:tcBorders>
              <w:top w:val="nil"/>
              <w:left w:val="nil"/>
              <w:bottom w:val="nil"/>
              <w:right w:val="nil"/>
            </w:tcBorders>
            <w:shd w:val="clear" w:color="000000" w:fill="FFFFFF"/>
            <w:noWrap/>
            <w:vAlign w:val="bottom"/>
            <w:hideMark/>
          </w:tcPr>
          <w:p w14:paraId="11F6AED6"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0,042</w:t>
            </w:r>
          </w:p>
        </w:tc>
        <w:tc>
          <w:tcPr>
            <w:tcW w:w="1206" w:type="dxa"/>
            <w:tcBorders>
              <w:top w:val="nil"/>
              <w:left w:val="nil"/>
              <w:bottom w:val="nil"/>
              <w:right w:val="nil"/>
            </w:tcBorders>
            <w:shd w:val="clear" w:color="000000" w:fill="FFFFFF"/>
            <w:noWrap/>
            <w:vAlign w:val="bottom"/>
            <w:hideMark/>
          </w:tcPr>
          <w:p w14:paraId="3F9E1465"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-0,077</w:t>
            </w:r>
          </w:p>
        </w:tc>
        <w:tc>
          <w:tcPr>
            <w:tcW w:w="1275" w:type="dxa"/>
            <w:tcBorders>
              <w:top w:val="nil"/>
              <w:left w:val="nil"/>
              <w:bottom w:val="nil"/>
              <w:right w:val="nil"/>
            </w:tcBorders>
            <w:shd w:val="clear" w:color="000000" w:fill="FFFFFF"/>
            <w:noWrap/>
            <w:vAlign w:val="bottom"/>
            <w:hideMark/>
          </w:tcPr>
          <w:p w14:paraId="2E813990"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0,066</w:t>
            </w:r>
          </w:p>
        </w:tc>
      </w:tr>
      <w:tr w:rsidR="00C219E9" w:rsidRPr="00CA2564" w14:paraId="54C29EB6" w14:textId="77777777" w:rsidTr="00AA40A7">
        <w:trPr>
          <w:trHeight w:val="284"/>
        </w:trPr>
        <w:tc>
          <w:tcPr>
            <w:tcW w:w="4110" w:type="dxa"/>
            <w:tcBorders>
              <w:top w:val="nil"/>
              <w:left w:val="nil"/>
              <w:bottom w:val="nil"/>
              <w:right w:val="nil"/>
            </w:tcBorders>
            <w:shd w:val="clear" w:color="000000" w:fill="FFFFFF"/>
            <w:noWrap/>
            <w:vAlign w:val="bottom"/>
            <w:hideMark/>
          </w:tcPr>
          <w:p w14:paraId="03D827D4" w14:textId="77777777" w:rsidR="00C219E9" w:rsidRPr="00CA2564" w:rsidRDefault="00C219E9" w:rsidP="00E353C5">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rodič</w:t>
            </w:r>
          </w:p>
        </w:tc>
        <w:tc>
          <w:tcPr>
            <w:tcW w:w="1135" w:type="dxa"/>
            <w:tcBorders>
              <w:top w:val="nil"/>
              <w:left w:val="nil"/>
              <w:bottom w:val="nil"/>
              <w:right w:val="nil"/>
            </w:tcBorders>
            <w:shd w:val="clear" w:color="000000" w:fill="FFFFFF"/>
            <w:noWrap/>
            <w:vAlign w:val="bottom"/>
            <w:hideMark/>
          </w:tcPr>
          <w:p w14:paraId="167C9B67"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-0,306**</w:t>
            </w:r>
          </w:p>
        </w:tc>
        <w:tc>
          <w:tcPr>
            <w:tcW w:w="1346" w:type="dxa"/>
            <w:tcBorders>
              <w:top w:val="nil"/>
              <w:left w:val="nil"/>
              <w:bottom w:val="nil"/>
              <w:right w:val="nil"/>
            </w:tcBorders>
            <w:shd w:val="clear" w:color="000000" w:fill="FFFFFF"/>
            <w:noWrap/>
            <w:vAlign w:val="bottom"/>
            <w:hideMark/>
          </w:tcPr>
          <w:p w14:paraId="4562786A"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0,135</w:t>
            </w:r>
          </w:p>
        </w:tc>
        <w:tc>
          <w:tcPr>
            <w:tcW w:w="1206" w:type="dxa"/>
            <w:tcBorders>
              <w:top w:val="nil"/>
              <w:left w:val="nil"/>
              <w:bottom w:val="nil"/>
              <w:right w:val="nil"/>
            </w:tcBorders>
            <w:shd w:val="clear" w:color="000000" w:fill="FFFFFF"/>
            <w:noWrap/>
            <w:vAlign w:val="bottom"/>
            <w:hideMark/>
          </w:tcPr>
          <w:p w14:paraId="6DB2449C"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-0,176</w:t>
            </w:r>
          </w:p>
        </w:tc>
        <w:tc>
          <w:tcPr>
            <w:tcW w:w="1275" w:type="dxa"/>
            <w:tcBorders>
              <w:top w:val="nil"/>
              <w:left w:val="nil"/>
              <w:bottom w:val="nil"/>
              <w:right w:val="nil"/>
            </w:tcBorders>
            <w:shd w:val="clear" w:color="000000" w:fill="FFFFFF"/>
            <w:noWrap/>
            <w:vAlign w:val="bottom"/>
            <w:hideMark/>
          </w:tcPr>
          <w:p w14:paraId="6AFF0729"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0,160</w:t>
            </w:r>
          </w:p>
        </w:tc>
      </w:tr>
      <w:tr w:rsidR="00C219E9" w:rsidRPr="00CA2564" w14:paraId="487FA9C2" w14:textId="77777777" w:rsidTr="00AA40A7">
        <w:trPr>
          <w:trHeight w:val="284"/>
        </w:trPr>
        <w:tc>
          <w:tcPr>
            <w:tcW w:w="4110" w:type="dxa"/>
            <w:tcBorders>
              <w:top w:val="nil"/>
              <w:left w:val="nil"/>
              <w:bottom w:val="nil"/>
              <w:right w:val="nil"/>
            </w:tcBorders>
            <w:shd w:val="clear" w:color="000000" w:fill="FFFFFF"/>
            <w:noWrap/>
            <w:vAlign w:val="bottom"/>
            <w:hideMark/>
          </w:tcPr>
          <w:p w14:paraId="494F9ED5" w14:textId="77777777" w:rsidR="00C219E9" w:rsidRPr="00CA2564" w:rsidRDefault="00C219E9" w:rsidP="00E353C5">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matka zamestnaná</w:t>
            </w:r>
          </w:p>
        </w:tc>
        <w:tc>
          <w:tcPr>
            <w:tcW w:w="1135" w:type="dxa"/>
            <w:tcBorders>
              <w:top w:val="nil"/>
              <w:left w:val="nil"/>
              <w:bottom w:val="nil"/>
              <w:right w:val="nil"/>
            </w:tcBorders>
            <w:shd w:val="clear" w:color="000000" w:fill="FFFFFF"/>
            <w:noWrap/>
            <w:vAlign w:val="bottom"/>
            <w:hideMark/>
          </w:tcPr>
          <w:p w14:paraId="0E8D2EBE"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0,335***</w:t>
            </w:r>
          </w:p>
        </w:tc>
        <w:tc>
          <w:tcPr>
            <w:tcW w:w="1346" w:type="dxa"/>
            <w:tcBorders>
              <w:top w:val="nil"/>
              <w:left w:val="nil"/>
              <w:bottom w:val="nil"/>
              <w:right w:val="nil"/>
            </w:tcBorders>
            <w:shd w:val="clear" w:color="000000" w:fill="FFFFFF"/>
            <w:noWrap/>
            <w:vAlign w:val="bottom"/>
            <w:hideMark/>
          </w:tcPr>
          <w:p w14:paraId="5946EEF0"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0,058</w:t>
            </w:r>
          </w:p>
        </w:tc>
        <w:tc>
          <w:tcPr>
            <w:tcW w:w="1206" w:type="dxa"/>
            <w:tcBorders>
              <w:top w:val="nil"/>
              <w:left w:val="nil"/>
              <w:bottom w:val="nil"/>
              <w:right w:val="nil"/>
            </w:tcBorders>
            <w:shd w:val="clear" w:color="000000" w:fill="FFFFFF"/>
            <w:noWrap/>
            <w:vAlign w:val="bottom"/>
            <w:hideMark/>
          </w:tcPr>
          <w:p w14:paraId="114944B5"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0,398***</w:t>
            </w:r>
          </w:p>
        </w:tc>
        <w:tc>
          <w:tcPr>
            <w:tcW w:w="1275" w:type="dxa"/>
            <w:tcBorders>
              <w:top w:val="nil"/>
              <w:left w:val="nil"/>
              <w:bottom w:val="nil"/>
              <w:right w:val="nil"/>
            </w:tcBorders>
            <w:shd w:val="clear" w:color="000000" w:fill="FFFFFF"/>
            <w:noWrap/>
            <w:vAlign w:val="bottom"/>
            <w:hideMark/>
          </w:tcPr>
          <w:p w14:paraId="42DD8D39"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0,081</w:t>
            </w:r>
          </w:p>
        </w:tc>
      </w:tr>
      <w:tr w:rsidR="00C219E9" w:rsidRPr="00CA2564" w14:paraId="2686CDEF" w14:textId="77777777" w:rsidTr="00AA40A7">
        <w:trPr>
          <w:trHeight w:val="284"/>
        </w:trPr>
        <w:tc>
          <w:tcPr>
            <w:tcW w:w="4110" w:type="dxa"/>
            <w:tcBorders>
              <w:top w:val="nil"/>
              <w:left w:val="nil"/>
              <w:bottom w:val="nil"/>
              <w:right w:val="nil"/>
            </w:tcBorders>
            <w:shd w:val="clear" w:color="000000" w:fill="FFFFFF"/>
            <w:noWrap/>
            <w:vAlign w:val="bottom"/>
            <w:hideMark/>
          </w:tcPr>
          <w:p w14:paraId="64A06073" w14:textId="77777777" w:rsidR="00C219E9" w:rsidRPr="00CA2564" w:rsidRDefault="00C219E9" w:rsidP="00E353C5">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otec zamestnaný</w:t>
            </w:r>
          </w:p>
        </w:tc>
        <w:tc>
          <w:tcPr>
            <w:tcW w:w="1135" w:type="dxa"/>
            <w:tcBorders>
              <w:top w:val="nil"/>
              <w:left w:val="nil"/>
              <w:bottom w:val="nil"/>
              <w:right w:val="nil"/>
            </w:tcBorders>
            <w:shd w:val="clear" w:color="000000" w:fill="FFFFFF"/>
            <w:noWrap/>
            <w:vAlign w:val="bottom"/>
            <w:hideMark/>
          </w:tcPr>
          <w:p w14:paraId="77A107F9"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0,274***</w:t>
            </w:r>
          </w:p>
        </w:tc>
        <w:tc>
          <w:tcPr>
            <w:tcW w:w="1346" w:type="dxa"/>
            <w:tcBorders>
              <w:top w:val="nil"/>
              <w:left w:val="nil"/>
              <w:bottom w:val="nil"/>
              <w:right w:val="nil"/>
            </w:tcBorders>
            <w:shd w:val="clear" w:color="000000" w:fill="FFFFFF"/>
            <w:noWrap/>
            <w:vAlign w:val="bottom"/>
            <w:hideMark/>
          </w:tcPr>
          <w:p w14:paraId="77BBC062"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0,049</w:t>
            </w:r>
          </w:p>
        </w:tc>
        <w:tc>
          <w:tcPr>
            <w:tcW w:w="1206" w:type="dxa"/>
            <w:tcBorders>
              <w:top w:val="nil"/>
              <w:left w:val="nil"/>
              <w:bottom w:val="nil"/>
              <w:right w:val="nil"/>
            </w:tcBorders>
            <w:shd w:val="clear" w:color="000000" w:fill="FFFFFF"/>
            <w:noWrap/>
            <w:vAlign w:val="bottom"/>
            <w:hideMark/>
          </w:tcPr>
          <w:p w14:paraId="78D06336"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0,336***</w:t>
            </w:r>
          </w:p>
        </w:tc>
        <w:tc>
          <w:tcPr>
            <w:tcW w:w="1275" w:type="dxa"/>
            <w:tcBorders>
              <w:top w:val="nil"/>
              <w:left w:val="nil"/>
              <w:bottom w:val="nil"/>
              <w:right w:val="nil"/>
            </w:tcBorders>
            <w:shd w:val="clear" w:color="000000" w:fill="FFFFFF"/>
            <w:noWrap/>
            <w:vAlign w:val="bottom"/>
            <w:hideMark/>
          </w:tcPr>
          <w:p w14:paraId="6D7B194F"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0,067</w:t>
            </w:r>
          </w:p>
        </w:tc>
      </w:tr>
      <w:tr w:rsidR="00C219E9" w:rsidRPr="00CA2564" w14:paraId="29A8C6EE" w14:textId="77777777" w:rsidTr="00AA40A7">
        <w:trPr>
          <w:trHeight w:val="284"/>
        </w:trPr>
        <w:tc>
          <w:tcPr>
            <w:tcW w:w="4110" w:type="dxa"/>
            <w:tcBorders>
              <w:top w:val="nil"/>
              <w:left w:val="nil"/>
              <w:bottom w:val="nil"/>
              <w:right w:val="nil"/>
            </w:tcBorders>
            <w:shd w:val="clear" w:color="000000" w:fill="FFFFFF"/>
            <w:noWrap/>
            <w:vAlign w:val="bottom"/>
            <w:hideMark/>
          </w:tcPr>
          <w:p w14:paraId="1C970266" w14:textId="77777777" w:rsidR="00C219E9" w:rsidRPr="00CA2564" w:rsidRDefault="00C219E9" w:rsidP="00E353C5">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matka mzda</w:t>
            </w:r>
          </w:p>
        </w:tc>
        <w:tc>
          <w:tcPr>
            <w:tcW w:w="1135" w:type="dxa"/>
            <w:tcBorders>
              <w:top w:val="nil"/>
              <w:left w:val="nil"/>
              <w:bottom w:val="nil"/>
              <w:right w:val="nil"/>
            </w:tcBorders>
            <w:shd w:val="clear" w:color="000000" w:fill="FFFFFF"/>
            <w:noWrap/>
            <w:vAlign w:val="bottom"/>
            <w:hideMark/>
          </w:tcPr>
          <w:p w14:paraId="6843BBD9"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0,021***</w:t>
            </w:r>
          </w:p>
        </w:tc>
        <w:tc>
          <w:tcPr>
            <w:tcW w:w="1346" w:type="dxa"/>
            <w:tcBorders>
              <w:top w:val="nil"/>
              <w:left w:val="nil"/>
              <w:bottom w:val="nil"/>
              <w:right w:val="nil"/>
            </w:tcBorders>
            <w:shd w:val="clear" w:color="000000" w:fill="FFFFFF"/>
            <w:noWrap/>
            <w:vAlign w:val="bottom"/>
            <w:hideMark/>
          </w:tcPr>
          <w:p w14:paraId="098A67E6"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0,007</w:t>
            </w:r>
          </w:p>
        </w:tc>
        <w:tc>
          <w:tcPr>
            <w:tcW w:w="1206" w:type="dxa"/>
            <w:tcBorders>
              <w:top w:val="nil"/>
              <w:left w:val="nil"/>
              <w:bottom w:val="nil"/>
              <w:right w:val="nil"/>
            </w:tcBorders>
            <w:shd w:val="clear" w:color="000000" w:fill="FFFFFF"/>
            <w:noWrap/>
            <w:vAlign w:val="bottom"/>
            <w:hideMark/>
          </w:tcPr>
          <w:p w14:paraId="1DC0A3E5"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0,018*</w:t>
            </w:r>
          </w:p>
        </w:tc>
        <w:tc>
          <w:tcPr>
            <w:tcW w:w="1275" w:type="dxa"/>
            <w:tcBorders>
              <w:top w:val="nil"/>
              <w:left w:val="nil"/>
              <w:bottom w:val="nil"/>
              <w:right w:val="nil"/>
            </w:tcBorders>
            <w:shd w:val="clear" w:color="000000" w:fill="FFFFFF"/>
            <w:noWrap/>
            <w:vAlign w:val="bottom"/>
            <w:hideMark/>
          </w:tcPr>
          <w:p w14:paraId="025C4AA8"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0,011</w:t>
            </w:r>
          </w:p>
        </w:tc>
      </w:tr>
      <w:tr w:rsidR="00C219E9" w:rsidRPr="00CA2564" w14:paraId="518C3656" w14:textId="77777777" w:rsidTr="00AA40A7">
        <w:trPr>
          <w:trHeight w:val="284"/>
        </w:trPr>
        <w:tc>
          <w:tcPr>
            <w:tcW w:w="4110" w:type="dxa"/>
            <w:tcBorders>
              <w:top w:val="nil"/>
              <w:left w:val="nil"/>
              <w:bottom w:val="nil"/>
              <w:right w:val="nil"/>
            </w:tcBorders>
            <w:shd w:val="clear" w:color="000000" w:fill="FFFFFF"/>
            <w:noWrap/>
            <w:vAlign w:val="bottom"/>
            <w:hideMark/>
          </w:tcPr>
          <w:p w14:paraId="4AE45F45" w14:textId="77777777" w:rsidR="00C219E9" w:rsidRPr="00CA2564" w:rsidRDefault="00C219E9" w:rsidP="00E353C5">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otec mzda</w:t>
            </w:r>
          </w:p>
        </w:tc>
        <w:tc>
          <w:tcPr>
            <w:tcW w:w="1135" w:type="dxa"/>
            <w:tcBorders>
              <w:top w:val="nil"/>
              <w:left w:val="nil"/>
              <w:bottom w:val="nil"/>
              <w:right w:val="nil"/>
            </w:tcBorders>
            <w:shd w:val="clear" w:color="000000" w:fill="FFFFFF"/>
            <w:noWrap/>
            <w:vAlign w:val="bottom"/>
            <w:hideMark/>
          </w:tcPr>
          <w:p w14:paraId="3627BD7F"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-0,003</w:t>
            </w:r>
          </w:p>
        </w:tc>
        <w:tc>
          <w:tcPr>
            <w:tcW w:w="1346" w:type="dxa"/>
            <w:tcBorders>
              <w:top w:val="nil"/>
              <w:left w:val="nil"/>
              <w:bottom w:val="nil"/>
              <w:right w:val="nil"/>
            </w:tcBorders>
            <w:shd w:val="clear" w:color="000000" w:fill="FFFFFF"/>
            <w:noWrap/>
            <w:vAlign w:val="bottom"/>
            <w:hideMark/>
          </w:tcPr>
          <w:p w14:paraId="2D9D8C67"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0,005</w:t>
            </w:r>
          </w:p>
        </w:tc>
        <w:tc>
          <w:tcPr>
            <w:tcW w:w="1206" w:type="dxa"/>
            <w:tcBorders>
              <w:top w:val="nil"/>
              <w:left w:val="nil"/>
              <w:bottom w:val="nil"/>
              <w:right w:val="nil"/>
            </w:tcBorders>
            <w:shd w:val="clear" w:color="000000" w:fill="FFFFFF"/>
            <w:noWrap/>
            <w:vAlign w:val="bottom"/>
            <w:hideMark/>
          </w:tcPr>
          <w:p w14:paraId="1020080A"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-0,007</w:t>
            </w:r>
          </w:p>
        </w:tc>
        <w:tc>
          <w:tcPr>
            <w:tcW w:w="1275" w:type="dxa"/>
            <w:tcBorders>
              <w:top w:val="nil"/>
              <w:left w:val="nil"/>
              <w:bottom w:val="nil"/>
              <w:right w:val="nil"/>
            </w:tcBorders>
            <w:shd w:val="clear" w:color="000000" w:fill="FFFFFF"/>
            <w:noWrap/>
            <w:vAlign w:val="bottom"/>
            <w:hideMark/>
          </w:tcPr>
          <w:p w14:paraId="37E11916" w14:textId="77777777" w:rsidR="00C219E9" w:rsidRPr="0040350A" w:rsidRDefault="00C219E9" w:rsidP="00E353C5">
            <w:pPr>
              <w:spacing w:after="0" w:line="240" w:lineRule="auto"/>
              <w:jc w:val="right"/>
              <w:rPr>
                <w:rFonts w:eastAsia="Times New Roman" w:cs="Times New Roman"/>
                <w:color w:val="000000"/>
                <w:sz w:val="20"/>
                <w:lang w:eastAsia="sk-SK"/>
              </w:rPr>
            </w:pPr>
            <w:r w:rsidRPr="0040350A">
              <w:rPr>
                <w:rFonts w:eastAsia="Times New Roman" w:cs="Times New Roman"/>
                <w:color w:val="000000"/>
                <w:sz w:val="20"/>
                <w:lang w:eastAsia="sk-SK"/>
              </w:rPr>
              <w:t>0,007</w:t>
            </w:r>
          </w:p>
        </w:tc>
      </w:tr>
      <w:tr w:rsidR="00C219E9" w:rsidRPr="00CA2564" w14:paraId="4EE98F74" w14:textId="77777777" w:rsidTr="00AA40A7">
        <w:trPr>
          <w:trHeight w:val="284"/>
        </w:trPr>
        <w:tc>
          <w:tcPr>
            <w:tcW w:w="4110" w:type="dxa"/>
            <w:tcBorders>
              <w:top w:val="single" w:sz="4" w:space="0" w:color="auto"/>
              <w:left w:val="nil"/>
              <w:bottom w:val="nil"/>
              <w:right w:val="nil"/>
            </w:tcBorders>
            <w:shd w:val="clear" w:color="000000" w:fill="FFFFFF"/>
            <w:noWrap/>
            <w:vAlign w:val="bottom"/>
            <w:hideMark/>
          </w:tcPr>
          <w:p w14:paraId="0B0D56D0" w14:textId="77777777" w:rsidR="00C219E9" w:rsidRPr="00CA2564" w:rsidRDefault="00C219E9" w:rsidP="00E353C5">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Počet pozorovaní</w:t>
            </w:r>
          </w:p>
        </w:tc>
        <w:tc>
          <w:tcPr>
            <w:tcW w:w="2481" w:type="dxa"/>
            <w:gridSpan w:val="2"/>
            <w:tcBorders>
              <w:top w:val="single" w:sz="4" w:space="0" w:color="auto"/>
              <w:left w:val="nil"/>
              <w:bottom w:val="nil"/>
              <w:right w:val="nil"/>
            </w:tcBorders>
            <w:shd w:val="clear" w:color="000000" w:fill="FFFFFF"/>
            <w:noWrap/>
            <w:vAlign w:val="bottom"/>
            <w:hideMark/>
          </w:tcPr>
          <w:p w14:paraId="19C82DAD" w14:textId="77777777" w:rsidR="00C219E9" w:rsidRPr="0040350A" w:rsidRDefault="00C219E9" w:rsidP="00E353C5">
            <w:pPr>
              <w:spacing w:after="0" w:line="240" w:lineRule="auto"/>
              <w:jc w:val="center"/>
              <w:rPr>
                <w:rFonts w:eastAsia="Times New Roman" w:cs="Times New Roman"/>
                <w:color w:val="000000"/>
                <w:sz w:val="20"/>
                <w:lang w:eastAsia="sk-SK"/>
              </w:rPr>
            </w:pPr>
            <w:r w:rsidRPr="0040350A">
              <w:rPr>
                <w:rFonts w:eastAsia="Times New Roman" w:cs="Times New Roman"/>
                <w:color w:val="000000"/>
                <w:sz w:val="20"/>
                <w:lang w:eastAsia="sk-SK"/>
              </w:rPr>
              <w:t>6 663</w:t>
            </w:r>
          </w:p>
        </w:tc>
        <w:tc>
          <w:tcPr>
            <w:tcW w:w="2481" w:type="dxa"/>
            <w:gridSpan w:val="2"/>
            <w:tcBorders>
              <w:top w:val="single" w:sz="4" w:space="0" w:color="auto"/>
              <w:left w:val="nil"/>
              <w:bottom w:val="nil"/>
              <w:right w:val="nil"/>
            </w:tcBorders>
            <w:shd w:val="clear" w:color="000000" w:fill="FFFFFF"/>
            <w:noWrap/>
            <w:vAlign w:val="bottom"/>
            <w:hideMark/>
          </w:tcPr>
          <w:p w14:paraId="2F8CFD98" w14:textId="77777777" w:rsidR="00C219E9" w:rsidRPr="0040350A" w:rsidRDefault="00C219E9" w:rsidP="00E353C5">
            <w:pPr>
              <w:spacing w:after="0" w:line="240" w:lineRule="auto"/>
              <w:jc w:val="center"/>
              <w:rPr>
                <w:rFonts w:eastAsia="Times New Roman" w:cs="Times New Roman"/>
                <w:color w:val="000000"/>
                <w:sz w:val="20"/>
                <w:lang w:eastAsia="sk-SK"/>
              </w:rPr>
            </w:pPr>
            <w:r w:rsidRPr="0040350A">
              <w:rPr>
                <w:rFonts w:eastAsia="Times New Roman" w:cs="Times New Roman"/>
                <w:color w:val="000000"/>
                <w:sz w:val="20"/>
                <w:lang w:eastAsia="sk-SK"/>
              </w:rPr>
              <w:t>3 432</w:t>
            </w:r>
          </w:p>
        </w:tc>
      </w:tr>
      <w:tr w:rsidR="00C219E9" w:rsidRPr="00CA2564" w14:paraId="12298063" w14:textId="77777777" w:rsidTr="00AA40A7">
        <w:trPr>
          <w:trHeight w:val="284"/>
        </w:trPr>
        <w:tc>
          <w:tcPr>
            <w:tcW w:w="4110" w:type="dxa"/>
            <w:tcBorders>
              <w:top w:val="nil"/>
              <w:left w:val="nil"/>
              <w:bottom w:val="single" w:sz="4" w:space="0" w:color="auto"/>
              <w:right w:val="nil"/>
            </w:tcBorders>
            <w:shd w:val="clear" w:color="000000" w:fill="FFFFFF"/>
            <w:noWrap/>
            <w:vAlign w:val="bottom"/>
            <w:hideMark/>
          </w:tcPr>
          <w:p w14:paraId="713129CF" w14:textId="77777777" w:rsidR="00C219E9" w:rsidRPr="00CA2564" w:rsidRDefault="00C219E9" w:rsidP="00E353C5">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Pseudo-R</w:t>
            </w:r>
            <w:r w:rsidRPr="00CA2564">
              <w:rPr>
                <w:rFonts w:eastAsia="Times New Roman" w:cs="Times New Roman"/>
                <w:color w:val="000000"/>
                <w:sz w:val="20"/>
                <w:vertAlign w:val="superscript"/>
                <w:lang w:eastAsia="sk-SK"/>
              </w:rPr>
              <w:t>2</w:t>
            </w:r>
          </w:p>
        </w:tc>
        <w:tc>
          <w:tcPr>
            <w:tcW w:w="2481" w:type="dxa"/>
            <w:gridSpan w:val="2"/>
            <w:tcBorders>
              <w:top w:val="nil"/>
              <w:left w:val="nil"/>
              <w:bottom w:val="single" w:sz="4" w:space="0" w:color="auto"/>
              <w:right w:val="nil"/>
            </w:tcBorders>
            <w:shd w:val="clear" w:color="000000" w:fill="FFFFFF"/>
            <w:noWrap/>
            <w:vAlign w:val="bottom"/>
            <w:hideMark/>
          </w:tcPr>
          <w:p w14:paraId="061DCDC8" w14:textId="77777777" w:rsidR="00C219E9" w:rsidRPr="0040350A" w:rsidRDefault="00C219E9" w:rsidP="00E353C5">
            <w:pPr>
              <w:spacing w:after="0" w:line="240" w:lineRule="auto"/>
              <w:jc w:val="center"/>
              <w:rPr>
                <w:rFonts w:eastAsia="Times New Roman" w:cs="Times New Roman"/>
                <w:color w:val="000000"/>
                <w:sz w:val="20"/>
                <w:lang w:eastAsia="sk-SK"/>
              </w:rPr>
            </w:pPr>
            <w:r w:rsidRPr="0040350A">
              <w:rPr>
                <w:rFonts w:eastAsia="Times New Roman" w:cs="Times New Roman"/>
                <w:color w:val="000000"/>
                <w:sz w:val="20"/>
                <w:lang w:eastAsia="sk-SK"/>
              </w:rPr>
              <w:t>0,273</w:t>
            </w:r>
          </w:p>
        </w:tc>
        <w:tc>
          <w:tcPr>
            <w:tcW w:w="2481" w:type="dxa"/>
            <w:gridSpan w:val="2"/>
            <w:tcBorders>
              <w:top w:val="nil"/>
              <w:left w:val="nil"/>
              <w:bottom w:val="single" w:sz="4" w:space="0" w:color="auto"/>
              <w:right w:val="nil"/>
            </w:tcBorders>
            <w:shd w:val="clear" w:color="000000" w:fill="FFFFFF"/>
            <w:noWrap/>
            <w:vAlign w:val="bottom"/>
            <w:hideMark/>
          </w:tcPr>
          <w:p w14:paraId="406C3491" w14:textId="77777777" w:rsidR="00C219E9" w:rsidRPr="0040350A" w:rsidRDefault="00C219E9" w:rsidP="00E353C5">
            <w:pPr>
              <w:spacing w:after="0" w:line="240" w:lineRule="auto"/>
              <w:jc w:val="center"/>
              <w:rPr>
                <w:rFonts w:eastAsia="Times New Roman" w:cs="Times New Roman"/>
                <w:color w:val="000000"/>
                <w:sz w:val="20"/>
                <w:lang w:eastAsia="sk-SK"/>
              </w:rPr>
            </w:pPr>
            <w:r w:rsidRPr="0040350A">
              <w:rPr>
                <w:rFonts w:eastAsia="Times New Roman" w:cs="Times New Roman"/>
                <w:color w:val="000000"/>
                <w:sz w:val="20"/>
                <w:lang w:eastAsia="sk-SK"/>
              </w:rPr>
              <w:t>0,078</w:t>
            </w:r>
          </w:p>
        </w:tc>
      </w:tr>
      <w:tr w:rsidR="00C219E9" w:rsidRPr="00CA2564" w14:paraId="763C9B77" w14:textId="77777777" w:rsidTr="00E353C5">
        <w:trPr>
          <w:trHeight w:val="300"/>
        </w:trPr>
        <w:tc>
          <w:tcPr>
            <w:tcW w:w="9072" w:type="dxa"/>
            <w:gridSpan w:val="5"/>
            <w:tcBorders>
              <w:top w:val="nil"/>
              <w:left w:val="nil"/>
              <w:bottom w:val="nil"/>
              <w:right w:val="nil"/>
            </w:tcBorders>
            <w:shd w:val="clear" w:color="000000" w:fill="FFFFFF"/>
            <w:noWrap/>
            <w:vAlign w:val="bottom"/>
            <w:hideMark/>
          </w:tcPr>
          <w:p w14:paraId="5D2F040B" w14:textId="77777777" w:rsidR="00C219E9" w:rsidRPr="00CA2564" w:rsidRDefault="00C219E9" w:rsidP="00E353C5">
            <w:pPr>
              <w:spacing w:after="0" w:line="240" w:lineRule="auto"/>
              <w:jc w:val="right"/>
              <w:rPr>
                <w:i/>
                <w:iCs/>
                <w:sz w:val="18"/>
                <w:szCs w:val="18"/>
              </w:rPr>
            </w:pPr>
            <w:r w:rsidRPr="00CA2564">
              <w:rPr>
                <w:rFonts w:ascii="Calibri" w:eastAsia="Times New Roman" w:hAnsi="Calibri" w:cs="Times New Roman"/>
                <w:color w:val="000000"/>
                <w:sz w:val="18"/>
                <w:szCs w:val="18"/>
                <w:lang w:eastAsia="sk-SK"/>
              </w:rPr>
              <w:t> </w:t>
            </w:r>
            <w:r w:rsidRPr="00CA2564">
              <w:rPr>
                <w:rFonts w:eastAsia="Times New Roman" w:cs="Times New Roman"/>
                <w:i/>
                <w:color w:val="000000"/>
                <w:sz w:val="18"/>
                <w:szCs w:val="18"/>
                <w:lang w:eastAsia="sk-SK"/>
              </w:rPr>
              <w:t xml:space="preserve">Zdroj: ÚHP na základe údajov Sociálnej poisťovne, </w:t>
            </w:r>
            <w:r w:rsidRPr="00CA2564">
              <w:rPr>
                <w:i/>
                <w:iCs/>
                <w:sz w:val="18"/>
                <w:szCs w:val="18"/>
              </w:rPr>
              <w:t>RIS MŠVVŠ, CVTI SR, MV a ARK</w:t>
            </w:r>
          </w:p>
          <w:p w14:paraId="6FBB0F08" w14:textId="77777777" w:rsidR="00C219E9" w:rsidRPr="00CA2564" w:rsidRDefault="00C219E9" w:rsidP="00E353C5">
            <w:pPr>
              <w:spacing w:after="0" w:line="240" w:lineRule="auto"/>
              <w:jc w:val="left"/>
              <w:rPr>
                <w:rFonts w:ascii="Calibri" w:eastAsia="Times New Roman" w:hAnsi="Calibri" w:cs="Times New Roman"/>
                <w:color w:val="000000"/>
                <w:sz w:val="18"/>
                <w:szCs w:val="18"/>
                <w:lang w:eastAsia="sk-SK"/>
              </w:rPr>
            </w:pPr>
            <w:r w:rsidRPr="00CA2564">
              <w:rPr>
                <w:i/>
                <w:iCs/>
                <w:sz w:val="18"/>
                <w:szCs w:val="18"/>
              </w:rPr>
              <w:t>Poznámka: *** označuje štatistickú signifikantnosť na úrovni 1 %, ** na úrovni 5 % a * na úrovni 10 %.</w:t>
            </w:r>
          </w:p>
        </w:tc>
      </w:tr>
    </w:tbl>
    <w:p w14:paraId="0CFC553C" w14:textId="1FB777A0" w:rsidR="00C219E9" w:rsidRPr="00DF3709" w:rsidRDefault="00C219E9" w:rsidP="00C219E9">
      <w:pPr>
        <w:pStyle w:val="Bezriadkovania"/>
        <w:spacing w:line="259" w:lineRule="auto"/>
        <w:jc w:val="both"/>
        <w:rPr>
          <w:rFonts w:ascii="Arial Narrow" w:hAnsi="Arial Narrow"/>
          <w:b/>
          <w:color w:val="2E74B5" w:themeColor="accent1" w:themeShade="BF"/>
          <w:sz w:val="28"/>
        </w:rPr>
        <w:sectPr w:rsidR="00C219E9" w:rsidRPr="00DF3709" w:rsidSect="0043362A">
          <w:pgSz w:w="11906" w:h="16838" w:code="9"/>
          <w:pgMar w:top="1440" w:right="1378" w:bottom="1440" w:left="1440" w:header="720" w:footer="645" w:gutter="0"/>
          <w:cols w:space="720"/>
          <w:docGrid w:linePitch="360"/>
        </w:sectPr>
      </w:pPr>
    </w:p>
    <w:p w14:paraId="1B5D5CD3" w14:textId="20747D05" w:rsidR="001B34C7" w:rsidRDefault="001B34C7">
      <w:pPr>
        <w:spacing w:after="160"/>
        <w:jc w:val="left"/>
      </w:pPr>
    </w:p>
    <w:p w14:paraId="726D89ED" w14:textId="77777777" w:rsidR="003B7808" w:rsidRDefault="003B7808">
      <w:pPr>
        <w:spacing w:after="160"/>
        <w:jc w:val="left"/>
        <w:rPr>
          <w:b/>
          <w:iCs/>
          <w:color w:val="2E74B5" w:themeColor="accent1" w:themeShade="BF"/>
          <w:szCs w:val="18"/>
        </w:rPr>
      </w:pPr>
      <w:bookmarkStart w:id="1914" w:name="_Ref25837856"/>
      <w:r>
        <w:rPr>
          <w:b/>
          <w:i/>
          <w:color w:val="2E74B5" w:themeColor="accent1" w:themeShade="BF"/>
        </w:rPr>
        <w:br w:type="page"/>
      </w:r>
    </w:p>
    <w:p w14:paraId="4D2E8152" w14:textId="25601760" w:rsidR="001B34C7" w:rsidRDefault="001B34C7" w:rsidP="001B34C7">
      <w:pPr>
        <w:pStyle w:val="Popis"/>
        <w:rPr>
          <w:b/>
          <w:i w:val="0"/>
          <w:color w:val="2E74B5" w:themeColor="accent1" w:themeShade="BF"/>
          <w:sz w:val="22"/>
        </w:rPr>
      </w:pPr>
      <w:bookmarkStart w:id="1915" w:name="_Ref34130799"/>
      <w:r w:rsidRPr="000C6214">
        <w:rPr>
          <w:b/>
          <w:i w:val="0"/>
          <w:color w:val="2E74B5" w:themeColor="accent1" w:themeShade="BF"/>
          <w:sz w:val="22"/>
        </w:rPr>
        <w:t xml:space="preserve">Príloha </w:t>
      </w:r>
      <w:r w:rsidRPr="00AD2F2A">
        <w:rPr>
          <w:b/>
          <w:i w:val="0"/>
          <w:color w:val="2E74B5" w:themeColor="accent1" w:themeShade="BF"/>
          <w:sz w:val="22"/>
        </w:rPr>
        <w:fldChar w:fldCharType="begin"/>
      </w:r>
      <w:r w:rsidRPr="00AD2F2A">
        <w:rPr>
          <w:b/>
          <w:i w:val="0"/>
          <w:color w:val="2E74B5" w:themeColor="accent1" w:themeShade="BF"/>
          <w:sz w:val="22"/>
        </w:rPr>
        <w:instrText xml:space="preserve"> SEQ Príloha \* ARABIC </w:instrText>
      </w:r>
      <w:r w:rsidRPr="00AD2F2A">
        <w:rPr>
          <w:b/>
          <w:i w:val="0"/>
          <w:color w:val="2E74B5" w:themeColor="accent1" w:themeShade="BF"/>
          <w:sz w:val="22"/>
        </w:rPr>
        <w:fldChar w:fldCharType="separate"/>
      </w:r>
      <w:r w:rsidR="00FA29AF">
        <w:rPr>
          <w:b/>
          <w:i w:val="0"/>
          <w:noProof/>
          <w:color w:val="2E74B5" w:themeColor="accent1" w:themeShade="BF"/>
          <w:sz w:val="22"/>
        </w:rPr>
        <w:t>14</w:t>
      </w:r>
      <w:r w:rsidRPr="00AD2F2A">
        <w:rPr>
          <w:b/>
          <w:i w:val="0"/>
          <w:color w:val="2E74B5" w:themeColor="accent1" w:themeShade="BF"/>
          <w:sz w:val="22"/>
        </w:rPr>
        <w:fldChar w:fldCharType="end"/>
      </w:r>
      <w:bookmarkEnd w:id="1914"/>
      <w:bookmarkEnd w:id="1915"/>
      <w:r w:rsidRPr="000C6214">
        <w:rPr>
          <w:b/>
          <w:i w:val="0"/>
          <w:color w:val="2E74B5" w:themeColor="accent1" w:themeShade="BF"/>
          <w:sz w:val="22"/>
        </w:rPr>
        <w:t xml:space="preserve">: </w:t>
      </w:r>
      <w:r>
        <w:rPr>
          <w:b/>
          <w:i w:val="0"/>
          <w:color w:val="2E74B5" w:themeColor="accent1" w:themeShade="BF"/>
          <w:sz w:val="22"/>
        </w:rPr>
        <w:t>Deti so zdravotným znevýhodnením v materských školách v bežnom a špeciálnom prúde</w:t>
      </w:r>
    </w:p>
    <w:p w14:paraId="0C240DE5" w14:textId="77777777" w:rsidR="001B34C7" w:rsidRPr="009C3526" w:rsidRDefault="001B34C7" w:rsidP="001B34C7">
      <w:pPr>
        <w:spacing w:before="160" w:line="240" w:lineRule="auto"/>
        <w:contextualSpacing/>
      </w:pPr>
      <w:r w:rsidRPr="00AF6AB3">
        <w:rPr>
          <w:b/>
          <w:sz w:val="20"/>
        </w:rPr>
        <w:t xml:space="preserve">Tabuľka P </w:t>
      </w:r>
      <w:r w:rsidRPr="00AF6AB3">
        <w:rPr>
          <w:b/>
          <w:sz w:val="20"/>
        </w:rPr>
        <w:fldChar w:fldCharType="begin"/>
      </w:r>
      <w:r w:rsidRPr="00AF6AB3">
        <w:rPr>
          <w:b/>
          <w:sz w:val="20"/>
        </w:rPr>
        <w:instrText xml:space="preserve"> SEQ Tabuľka_P \* ARABIC </w:instrText>
      </w:r>
      <w:r w:rsidRPr="00AF6AB3">
        <w:rPr>
          <w:b/>
          <w:sz w:val="20"/>
        </w:rPr>
        <w:fldChar w:fldCharType="separate"/>
      </w:r>
      <w:r w:rsidR="00FA29AF">
        <w:rPr>
          <w:b/>
          <w:noProof/>
          <w:sz w:val="20"/>
        </w:rPr>
        <w:t>12</w:t>
      </w:r>
      <w:r w:rsidRPr="00AF6AB3">
        <w:rPr>
          <w:b/>
          <w:sz w:val="20"/>
        </w:rPr>
        <w:fldChar w:fldCharType="end"/>
      </w:r>
      <w:r w:rsidRPr="00AF6AB3">
        <w:rPr>
          <w:b/>
          <w:sz w:val="20"/>
        </w:rPr>
        <w:t>:</w:t>
      </w:r>
      <w:r w:rsidRPr="009C3526">
        <w:t xml:space="preserve"> </w:t>
      </w:r>
      <w:r w:rsidRPr="009C3526">
        <w:rPr>
          <w:b/>
          <w:sz w:val="20"/>
        </w:rPr>
        <w:t xml:space="preserve">Počet detí s jednotlivými </w:t>
      </w:r>
      <w:r w:rsidRPr="001B7289">
        <w:rPr>
          <w:b/>
          <w:iCs/>
          <w:sz w:val="20"/>
          <w:lang w:eastAsia="sk-SK"/>
        </w:rPr>
        <w:t>druhmi</w:t>
      </w:r>
      <w:r w:rsidRPr="009C3526">
        <w:rPr>
          <w:b/>
          <w:sz w:val="20"/>
        </w:rPr>
        <w:t xml:space="preserve"> ZZ v predškolskom veku v bežnom a špeciálnom prúde</w:t>
      </w:r>
    </w:p>
    <w:tbl>
      <w:tblPr>
        <w:tblW w:w="9072" w:type="dxa"/>
        <w:tblCellMar>
          <w:left w:w="70" w:type="dxa"/>
          <w:right w:w="70" w:type="dxa"/>
        </w:tblCellMar>
        <w:tblLook w:val="04A0" w:firstRow="1" w:lastRow="0" w:firstColumn="1" w:lastColumn="0" w:noHBand="0" w:noVBand="1"/>
      </w:tblPr>
      <w:tblGrid>
        <w:gridCol w:w="3980"/>
        <w:gridCol w:w="1273"/>
        <w:gridCol w:w="1273"/>
        <w:gridCol w:w="1273"/>
        <w:gridCol w:w="1273"/>
      </w:tblGrid>
      <w:tr w:rsidR="001B34C7" w:rsidRPr="009973EE" w14:paraId="54D7C34E" w14:textId="77777777" w:rsidTr="002E33D9">
        <w:trPr>
          <w:trHeight w:val="272"/>
        </w:trPr>
        <w:tc>
          <w:tcPr>
            <w:tcW w:w="3980" w:type="dxa"/>
            <w:tcBorders>
              <w:top w:val="single" w:sz="4" w:space="0" w:color="auto"/>
              <w:left w:val="nil"/>
              <w:bottom w:val="single" w:sz="4" w:space="0" w:color="auto"/>
            </w:tcBorders>
            <w:shd w:val="clear" w:color="auto" w:fill="auto"/>
            <w:noWrap/>
            <w:vAlign w:val="bottom"/>
            <w:hideMark/>
          </w:tcPr>
          <w:p w14:paraId="5E35BB45" w14:textId="77777777" w:rsidR="001B34C7" w:rsidRPr="009973EE" w:rsidRDefault="001B34C7" w:rsidP="002E33D9">
            <w:pPr>
              <w:spacing w:after="0" w:line="240" w:lineRule="auto"/>
              <w:rPr>
                <w:rFonts w:eastAsia="Times New Roman" w:cs="Times New Roman"/>
                <w:b/>
                <w:bCs/>
                <w:color w:val="000000"/>
                <w:sz w:val="20"/>
                <w:lang w:eastAsia="sk-SK"/>
              </w:rPr>
            </w:pPr>
            <w:r w:rsidRPr="009973EE">
              <w:rPr>
                <w:rFonts w:eastAsia="Times New Roman" w:cs="Times New Roman"/>
                <w:b/>
                <w:bCs/>
                <w:color w:val="000000"/>
                <w:sz w:val="20"/>
                <w:lang w:eastAsia="sk-SK"/>
              </w:rPr>
              <w:t> </w:t>
            </w:r>
          </w:p>
        </w:tc>
        <w:tc>
          <w:tcPr>
            <w:tcW w:w="1273" w:type="dxa"/>
            <w:tcBorders>
              <w:top w:val="single" w:sz="4" w:space="0" w:color="auto"/>
              <w:bottom w:val="single" w:sz="4" w:space="0" w:color="auto"/>
              <w:right w:val="nil"/>
            </w:tcBorders>
            <w:shd w:val="clear" w:color="auto" w:fill="auto"/>
            <w:vAlign w:val="bottom"/>
            <w:hideMark/>
          </w:tcPr>
          <w:p w14:paraId="4E5E1EEE" w14:textId="77777777" w:rsidR="001B34C7" w:rsidRPr="009973EE" w:rsidRDefault="001B34C7" w:rsidP="002E33D9">
            <w:pPr>
              <w:spacing w:after="0" w:line="240" w:lineRule="auto"/>
              <w:jc w:val="right"/>
              <w:rPr>
                <w:rFonts w:eastAsia="Times New Roman" w:cs="Times New Roman"/>
                <w:b/>
                <w:bCs/>
                <w:color w:val="000000"/>
                <w:sz w:val="20"/>
                <w:lang w:eastAsia="sk-SK"/>
              </w:rPr>
            </w:pPr>
            <w:r w:rsidRPr="009973EE">
              <w:rPr>
                <w:rFonts w:eastAsia="Times New Roman" w:cs="Times New Roman"/>
                <w:b/>
                <w:bCs/>
                <w:color w:val="000000"/>
                <w:sz w:val="20"/>
                <w:lang w:eastAsia="sk-SK"/>
              </w:rPr>
              <w:t>Bežné materské školy</w:t>
            </w:r>
          </w:p>
        </w:tc>
        <w:tc>
          <w:tcPr>
            <w:tcW w:w="1273" w:type="dxa"/>
            <w:tcBorders>
              <w:top w:val="single" w:sz="4" w:space="0" w:color="auto"/>
              <w:left w:val="nil"/>
              <w:bottom w:val="single" w:sz="4" w:space="0" w:color="auto"/>
              <w:right w:val="nil"/>
            </w:tcBorders>
            <w:shd w:val="clear" w:color="auto" w:fill="auto"/>
            <w:vAlign w:val="bottom"/>
            <w:hideMark/>
          </w:tcPr>
          <w:p w14:paraId="0BD57AA3" w14:textId="77777777" w:rsidR="001B34C7" w:rsidRPr="009973EE" w:rsidRDefault="001B34C7" w:rsidP="002E33D9">
            <w:pPr>
              <w:spacing w:after="0" w:line="240" w:lineRule="auto"/>
              <w:jc w:val="right"/>
              <w:rPr>
                <w:rFonts w:eastAsia="Times New Roman" w:cs="Times New Roman"/>
                <w:b/>
                <w:bCs/>
                <w:color w:val="000000"/>
                <w:sz w:val="20"/>
                <w:lang w:eastAsia="sk-SK"/>
              </w:rPr>
            </w:pPr>
            <w:r w:rsidRPr="009973EE">
              <w:rPr>
                <w:rFonts w:eastAsia="Times New Roman" w:cs="Times New Roman"/>
                <w:b/>
                <w:bCs/>
                <w:color w:val="000000"/>
                <w:sz w:val="20"/>
                <w:lang w:eastAsia="sk-SK"/>
              </w:rPr>
              <w:t>Špeciálne materské školy</w:t>
            </w:r>
          </w:p>
        </w:tc>
        <w:tc>
          <w:tcPr>
            <w:tcW w:w="1273" w:type="dxa"/>
            <w:tcBorders>
              <w:top w:val="single" w:sz="4" w:space="0" w:color="auto"/>
              <w:left w:val="nil"/>
              <w:bottom w:val="single" w:sz="4" w:space="0" w:color="auto"/>
              <w:right w:val="nil"/>
            </w:tcBorders>
            <w:shd w:val="clear" w:color="auto" w:fill="auto"/>
            <w:vAlign w:val="bottom"/>
            <w:hideMark/>
          </w:tcPr>
          <w:p w14:paraId="17CE8174" w14:textId="77777777" w:rsidR="001B34C7" w:rsidRPr="009973EE" w:rsidRDefault="001B34C7" w:rsidP="002E33D9">
            <w:pPr>
              <w:spacing w:after="0" w:line="240" w:lineRule="auto"/>
              <w:jc w:val="right"/>
              <w:rPr>
                <w:rFonts w:eastAsia="Times New Roman" w:cs="Times New Roman"/>
                <w:b/>
                <w:bCs/>
                <w:color w:val="000000"/>
                <w:sz w:val="20"/>
                <w:lang w:eastAsia="sk-SK"/>
              </w:rPr>
            </w:pPr>
            <w:r w:rsidRPr="009973EE">
              <w:rPr>
                <w:rFonts w:eastAsia="Times New Roman" w:cs="Times New Roman"/>
                <w:b/>
                <w:bCs/>
                <w:color w:val="000000"/>
                <w:sz w:val="20"/>
                <w:lang w:eastAsia="sk-SK"/>
              </w:rPr>
              <w:t>SPOLU</w:t>
            </w:r>
          </w:p>
        </w:tc>
        <w:tc>
          <w:tcPr>
            <w:tcW w:w="1273" w:type="dxa"/>
            <w:tcBorders>
              <w:top w:val="single" w:sz="4" w:space="0" w:color="auto"/>
              <w:left w:val="nil"/>
              <w:bottom w:val="single" w:sz="4" w:space="0" w:color="auto"/>
              <w:right w:val="nil"/>
            </w:tcBorders>
            <w:shd w:val="clear" w:color="auto" w:fill="auto"/>
            <w:noWrap/>
            <w:vAlign w:val="bottom"/>
            <w:hideMark/>
          </w:tcPr>
          <w:p w14:paraId="6849087E" w14:textId="77777777" w:rsidR="001B34C7" w:rsidRPr="009973EE" w:rsidRDefault="001B34C7" w:rsidP="002E33D9">
            <w:pPr>
              <w:spacing w:after="0" w:line="240" w:lineRule="auto"/>
              <w:jc w:val="right"/>
              <w:rPr>
                <w:rFonts w:eastAsia="Times New Roman" w:cs="Times New Roman"/>
                <w:b/>
                <w:bCs/>
                <w:color w:val="000000"/>
                <w:sz w:val="20"/>
                <w:lang w:eastAsia="sk-SK"/>
              </w:rPr>
            </w:pPr>
            <w:r w:rsidRPr="009973EE">
              <w:rPr>
                <w:rFonts w:eastAsia="Times New Roman" w:cs="Times New Roman"/>
                <w:b/>
                <w:bCs/>
                <w:color w:val="000000"/>
                <w:sz w:val="20"/>
                <w:lang w:eastAsia="sk-SK"/>
              </w:rPr>
              <w:t>Podiel</w:t>
            </w:r>
            <w:r>
              <w:rPr>
                <w:rFonts w:eastAsia="Times New Roman" w:cs="Times New Roman"/>
                <w:b/>
                <w:bCs/>
                <w:color w:val="000000"/>
                <w:sz w:val="20"/>
                <w:lang w:eastAsia="sk-SK"/>
              </w:rPr>
              <w:t xml:space="preserve"> (%)</w:t>
            </w:r>
          </w:p>
        </w:tc>
      </w:tr>
      <w:tr w:rsidR="001B34C7" w:rsidRPr="009973EE" w14:paraId="27655010" w14:textId="77777777" w:rsidTr="002E33D9">
        <w:trPr>
          <w:trHeight w:val="272"/>
        </w:trPr>
        <w:tc>
          <w:tcPr>
            <w:tcW w:w="3980" w:type="dxa"/>
            <w:tcBorders>
              <w:top w:val="nil"/>
              <w:left w:val="nil"/>
              <w:bottom w:val="nil"/>
            </w:tcBorders>
            <w:shd w:val="clear" w:color="auto" w:fill="auto"/>
            <w:vAlign w:val="bottom"/>
            <w:hideMark/>
          </w:tcPr>
          <w:p w14:paraId="746C7900" w14:textId="77777777" w:rsidR="001B34C7" w:rsidRPr="002C68FD" w:rsidRDefault="001B34C7" w:rsidP="002E33D9">
            <w:pPr>
              <w:spacing w:after="0" w:line="240" w:lineRule="auto"/>
              <w:rPr>
                <w:rFonts w:eastAsia="Times New Roman" w:cs="Times New Roman"/>
                <w:bCs/>
                <w:color w:val="000000"/>
                <w:sz w:val="20"/>
                <w:lang w:eastAsia="sk-SK"/>
              </w:rPr>
            </w:pPr>
            <w:r w:rsidRPr="002C68FD">
              <w:rPr>
                <w:rFonts w:eastAsia="Times New Roman" w:cs="Times New Roman"/>
                <w:bCs/>
                <w:color w:val="000000"/>
                <w:sz w:val="20"/>
                <w:lang w:eastAsia="sk-SK"/>
              </w:rPr>
              <w:t>Syndróm autizmu (AUT)</w:t>
            </w:r>
          </w:p>
        </w:tc>
        <w:tc>
          <w:tcPr>
            <w:tcW w:w="1273" w:type="dxa"/>
            <w:tcBorders>
              <w:top w:val="single" w:sz="4" w:space="0" w:color="auto"/>
              <w:bottom w:val="nil"/>
              <w:right w:val="nil"/>
            </w:tcBorders>
            <w:shd w:val="clear" w:color="auto" w:fill="auto"/>
            <w:vAlign w:val="bottom"/>
            <w:hideMark/>
          </w:tcPr>
          <w:p w14:paraId="006AE3E6"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44</w:t>
            </w:r>
          </w:p>
        </w:tc>
        <w:tc>
          <w:tcPr>
            <w:tcW w:w="1273" w:type="dxa"/>
            <w:tcBorders>
              <w:top w:val="nil"/>
              <w:left w:val="nil"/>
              <w:bottom w:val="nil"/>
              <w:right w:val="nil"/>
            </w:tcBorders>
            <w:shd w:val="clear" w:color="auto" w:fill="auto"/>
            <w:vAlign w:val="bottom"/>
            <w:hideMark/>
          </w:tcPr>
          <w:p w14:paraId="1FB59B70"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9</w:t>
            </w:r>
          </w:p>
        </w:tc>
        <w:tc>
          <w:tcPr>
            <w:tcW w:w="1273" w:type="dxa"/>
            <w:tcBorders>
              <w:top w:val="nil"/>
              <w:left w:val="nil"/>
              <w:bottom w:val="nil"/>
              <w:right w:val="nil"/>
            </w:tcBorders>
            <w:shd w:val="clear" w:color="auto" w:fill="auto"/>
            <w:noWrap/>
            <w:vAlign w:val="bottom"/>
            <w:hideMark/>
          </w:tcPr>
          <w:p w14:paraId="1518E9F6"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53</w:t>
            </w:r>
          </w:p>
        </w:tc>
        <w:tc>
          <w:tcPr>
            <w:tcW w:w="1273" w:type="dxa"/>
            <w:tcBorders>
              <w:top w:val="nil"/>
              <w:left w:val="nil"/>
              <w:bottom w:val="nil"/>
              <w:right w:val="nil"/>
            </w:tcBorders>
            <w:shd w:val="clear" w:color="auto" w:fill="auto"/>
            <w:noWrap/>
            <w:vAlign w:val="bottom"/>
            <w:hideMark/>
          </w:tcPr>
          <w:p w14:paraId="77D45246"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4</w:t>
            </w:r>
          </w:p>
        </w:tc>
      </w:tr>
      <w:tr w:rsidR="001B34C7" w:rsidRPr="009973EE" w14:paraId="58E639E5" w14:textId="77777777" w:rsidTr="002E33D9">
        <w:trPr>
          <w:trHeight w:val="272"/>
        </w:trPr>
        <w:tc>
          <w:tcPr>
            <w:tcW w:w="3980" w:type="dxa"/>
            <w:tcBorders>
              <w:top w:val="nil"/>
              <w:left w:val="nil"/>
              <w:bottom w:val="nil"/>
            </w:tcBorders>
            <w:shd w:val="clear" w:color="auto" w:fill="auto"/>
            <w:vAlign w:val="bottom"/>
            <w:hideMark/>
          </w:tcPr>
          <w:p w14:paraId="74BD4502" w14:textId="77777777" w:rsidR="001B34C7" w:rsidRPr="002C68FD" w:rsidRDefault="001B34C7" w:rsidP="002E33D9">
            <w:pPr>
              <w:spacing w:after="0" w:line="240" w:lineRule="auto"/>
              <w:rPr>
                <w:rFonts w:eastAsia="Times New Roman" w:cs="Times New Roman"/>
                <w:bCs/>
                <w:color w:val="000000"/>
                <w:sz w:val="20"/>
                <w:lang w:eastAsia="sk-SK"/>
              </w:rPr>
            </w:pPr>
            <w:r w:rsidRPr="002C68FD">
              <w:rPr>
                <w:rFonts w:eastAsia="Times New Roman" w:cs="Times New Roman"/>
                <w:bCs/>
                <w:color w:val="000000"/>
                <w:sz w:val="20"/>
                <w:lang w:eastAsia="sk-SK"/>
              </w:rPr>
              <w:t>Mentálne (MEN)</w:t>
            </w:r>
          </w:p>
        </w:tc>
        <w:tc>
          <w:tcPr>
            <w:tcW w:w="1273" w:type="dxa"/>
            <w:tcBorders>
              <w:top w:val="nil"/>
              <w:right w:val="nil"/>
            </w:tcBorders>
            <w:shd w:val="clear" w:color="auto" w:fill="auto"/>
            <w:vAlign w:val="bottom"/>
            <w:hideMark/>
          </w:tcPr>
          <w:p w14:paraId="1C0D5DB5"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284</w:t>
            </w:r>
          </w:p>
        </w:tc>
        <w:tc>
          <w:tcPr>
            <w:tcW w:w="1273" w:type="dxa"/>
            <w:tcBorders>
              <w:top w:val="nil"/>
              <w:left w:val="nil"/>
              <w:bottom w:val="nil"/>
              <w:right w:val="nil"/>
            </w:tcBorders>
            <w:shd w:val="clear" w:color="auto" w:fill="auto"/>
            <w:vAlign w:val="bottom"/>
            <w:hideMark/>
          </w:tcPr>
          <w:p w14:paraId="47D0A585"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262</w:t>
            </w:r>
          </w:p>
        </w:tc>
        <w:tc>
          <w:tcPr>
            <w:tcW w:w="1273" w:type="dxa"/>
            <w:tcBorders>
              <w:top w:val="nil"/>
              <w:left w:val="nil"/>
              <w:bottom w:val="nil"/>
              <w:right w:val="nil"/>
            </w:tcBorders>
            <w:shd w:val="clear" w:color="auto" w:fill="auto"/>
            <w:noWrap/>
            <w:vAlign w:val="bottom"/>
            <w:hideMark/>
          </w:tcPr>
          <w:p w14:paraId="2A6AC512"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546</w:t>
            </w:r>
          </w:p>
        </w:tc>
        <w:tc>
          <w:tcPr>
            <w:tcW w:w="1273" w:type="dxa"/>
            <w:tcBorders>
              <w:top w:val="nil"/>
              <w:left w:val="nil"/>
              <w:bottom w:val="nil"/>
              <w:right w:val="nil"/>
            </w:tcBorders>
            <w:shd w:val="clear" w:color="auto" w:fill="auto"/>
            <w:noWrap/>
            <w:vAlign w:val="bottom"/>
            <w:hideMark/>
          </w:tcPr>
          <w:p w14:paraId="5D1710A4"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42</w:t>
            </w:r>
          </w:p>
        </w:tc>
      </w:tr>
      <w:tr w:rsidR="001B34C7" w:rsidRPr="009973EE" w14:paraId="7FFDB06F" w14:textId="77777777" w:rsidTr="002E33D9">
        <w:trPr>
          <w:trHeight w:val="272"/>
        </w:trPr>
        <w:tc>
          <w:tcPr>
            <w:tcW w:w="3980" w:type="dxa"/>
            <w:tcBorders>
              <w:top w:val="nil"/>
              <w:left w:val="nil"/>
              <w:bottom w:val="nil"/>
            </w:tcBorders>
            <w:shd w:val="clear" w:color="auto" w:fill="auto"/>
            <w:vAlign w:val="bottom"/>
            <w:hideMark/>
          </w:tcPr>
          <w:p w14:paraId="1347E9A0" w14:textId="77777777" w:rsidR="001B34C7" w:rsidRPr="002C68FD" w:rsidRDefault="001B34C7" w:rsidP="002E33D9">
            <w:pPr>
              <w:spacing w:after="0" w:line="240" w:lineRule="auto"/>
              <w:rPr>
                <w:rFonts w:eastAsia="Times New Roman" w:cs="Times New Roman"/>
                <w:bCs/>
                <w:color w:val="000000"/>
                <w:sz w:val="20"/>
                <w:lang w:eastAsia="sk-SK"/>
              </w:rPr>
            </w:pPr>
            <w:r w:rsidRPr="002C68FD">
              <w:rPr>
                <w:rFonts w:eastAsia="Times New Roman" w:cs="Times New Roman"/>
                <w:bCs/>
                <w:color w:val="000000"/>
                <w:sz w:val="20"/>
                <w:lang w:eastAsia="sk-SK"/>
              </w:rPr>
              <w:t>Sluchové (SLU)</w:t>
            </w:r>
          </w:p>
        </w:tc>
        <w:tc>
          <w:tcPr>
            <w:tcW w:w="1273" w:type="dxa"/>
            <w:tcBorders>
              <w:top w:val="nil"/>
              <w:bottom w:val="nil"/>
              <w:right w:val="nil"/>
            </w:tcBorders>
            <w:shd w:val="clear" w:color="auto" w:fill="auto"/>
            <w:vAlign w:val="bottom"/>
            <w:hideMark/>
          </w:tcPr>
          <w:p w14:paraId="48DA5406"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20</w:t>
            </w:r>
          </w:p>
        </w:tc>
        <w:tc>
          <w:tcPr>
            <w:tcW w:w="1273" w:type="dxa"/>
            <w:tcBorders>
              <w:top w:val="nil"/>
              <w:left w:val="nil"/>
              <w:bottom w:val="nil"/>
              <w:right w:val="nil"/>
            </w:tcBorders>
            <w:shd w:val="clear" w:color="auto" w:fill="auto"/>
            <w:vAlign w:val="bottom"/>
            <w:hideMark/>
          </w:tcPr>
          <w:p w14:paraId="7AD64D28"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19</w:t>
            </w:r>
          </w:p>
        </w:tc>
        <w:tc>
          <w:tcPr>
            <w:tcW w:w="1273" w:type="dxa"/>
            <w:tcBorders>
              <w:top w:val="nil"/>
              <w:left w:val="nil"/>
              <w:bottom w:val="nil"/>
              <w:right w:val="nil"/>
            </w:tcBorders>
            <w:shd w:val="clear" w:color="auto" w:fill="auto"/>
            <w:noWrap/>
            <w:vAlign w:val="bottom"/>
            <w:hideMark/>
          </w:tcPr>
          <w:p w14:paraId="0A5AF5B7"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39</w:t>
            </w:r>
          </w:p>
        </w:tc>
        <w:tc>
          <w:tcPr>
            <w:tcW w:w="1273" w:type="dxa"/>
            <w:tcBorders>
              <w:top w:val="nil"/>
              <w:left w:val="nil"/>
              <w:bottom w:val="nil"/>
              <w:right w:val="nil"/>
            </w:tcBorders>
            <w:shd w:val="clear" w:color="auto" w:fill="auto"/>
            <w:noWrap/>
            <w:vAlign w:val="bottom"/>
            <w:hideMark/>
          </w:tcPr>
          <w:p w14:paraId="5E911C75"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3</w:t>
            </w:r>
          </w:p>
        </w:tc>
      </w:tr>
      <w:tr w:rsidR="001B34C7" w:rsidRPr="009973EE" w14:paraId="0B77CC7D" w14:textId="77777777" w:rsidTr="002E33D9">
        <w:trPr>
          <w:trHeight w:val="272"/>
        </w:trPr>
        <w:tc>
          <w:tcPr>
            <w:tcW w:w="3980" w:type="dxa"/>
            <w:tcBorders>
              <w:top w:val="nil"/>
              <w:left w:val="nil"/>
              <w:bottom w:val="nil"/>
            </w:tcBorders>
            <w:shd w:val="clear" w:color="auto" w:fill="auto"/>
            <w:vAlign w:val="bottom"/>
            <w:hideMark/>
          </w:tcPr>
          <w:p w14:paraId="42667CCC" w14:textId="77777777" w:rsidR="001B34C7" w:rsidRPr="002C68FD" w:rsidRDefault="001B34C7" w:rsidP="002E33D9">
            <w:pPr>
              <w:spacing w:after="0" w:line="240" w:lineRule="auto"/>
              <w:rPr>
                <w:rFonts w:eastAsia="Times New Roman" w:cs="Times New Roman"/>
                <w:bCs/>
                <w:color w:val="000000"/>
                <w:sz w:val="20"/>
                <w:lang w:eastAsia="sk-SK"/>
              </w:rPr>
            </w:pPr>
            <w:r w:rsidRPr="002C68FD">
              <w:rPr>
                <w:rFonts w:eastAsia="Times New Roman" w:cs="Times New Roman"/>
                <w:bCs/>
                <w:color w:val="000000"/>
                <w:sz w:val="20"/>
                <w:lang w:eastAsia="sk-SK"/>
              </w:rPr>
              <w:t>Zrakové (ZRA)</w:t>
            </w:r>
          </w:p>
        </w:tc>
        <w:tc>
          <w:tcPr>
            <w:tcW w:w="1273" w:type="dxa"/>
            <w:tcBorders>
              <w:top w:val="nil"/>
              <w:bottom w:val="nil"/>
              <w:right w:val="nil"/>
            </w:tcBorders>
            <w:shd w:val="clear" w:color="auto" w:fill="auto"/>
            <w:vAlign w:val="bottom"/>
            <w:hideMark/>
          </w:tcPr>
          <w:p w14:paraId="70CE7C4B"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12</w:t>
            </w:r>
          </w:p>
        </w:tc>
        <w:tc>
          <w:tcPr>
            <w:tcW w:w="1273" w:type="dxa"/>
            <w:tcBorders>
              <w:top w:val="nil"/>
              <w:left w:val="nil"/>
              <w:bottom w:val="nil"/>
              <w:right w:val="nil"/>
            </w:tcBorders>
            <w:shd w:val="clear" w:color="auto" w:fill="auto"/>
            <w:vAlign w:val="bottom"/>
            <w:hideMark/>
          </w:tcPr>
          <w:p w14:paraId="3C832F73"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w:t>
            </w:r>
          </w:p>
        </w:tc>
        <w:tc>
          <w:tcPr>
            <w:tcW w:w="1273" w:type="dxa"/>
            <w:tcBorders>
              <w:top w:val="nil"/>
              <w:left w:val="nil"/>
              <w:bottom w:val="nil"/>
              <w:right w:val="nil"/>
            </w:tcBorders>
            <w:shd w:val="clear" w:color="auto" w:fill="auto"/>
            <w:noWrap/>
            <w:vAlign w:val="bottom"/>
            <w:hideMark/>
          </w:tcPr>
          <w:p w14:paraId="0FC01F54"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13</w:t>
            </w:r>
          </w:p>
        </w:tc>
        <w:tc>
          <w:tcPr>
            <w:tcW w:w="1273" w:type="dxa"/>
            <w:tcBorders>
              <w:top w:val="nil"/>
              <w:left w:val="nil"/>
              <w:bottom w:val="nil"/>
              <w:right w:val="nil"/>
            </w:tcBorders>
            <w:shd w:val="clear" w:color="auto" w:fill="auto"/>
            <w:noWrap/>
            <w:vAlign w:val="bottom"/>
            <w:hideMark/>
          </w:tcPr>
          <w:p w14:paraId="587E971B"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w:t>
            </w:r>
          </w:p>
        </w:tc>
      </w:tr>
      <w:tr w:rsidR="001B34C7" w:rsidRPr="009973EE" w14:paraId="6C1850DC" w14:textId="77777777" w:rsidTr="002E33D9">
        <w:trPr>
          <w:trHeight w:val="272"/>
        </w:trPr>
        <w:tc>
          <w:tcPr>
            <w:tcW w:w="3980" w:type="dxa"/>
            <w:tcBorders>
              <w:top w:val="nil"/>
              <w:left w:val="nil"/>
              <w:bottom w:val="nil"/>
            </w:tcBorders>
            <w:shd w:val="clear" w:color="auto" w:fill="auto"/>
            <w:vAlign w:val="bottom"/>
            <w:hideMark/>
          </w:tcPr>
          <w:p w14:paraId="0DEC9D8C" w14:textId="77777777" w:rsidR="001B34C7" w:rsidRPr="002C68FD" w:rsidRDefault="001B34C7" w:rsidP="002E33D9">
            <w:pPr>
              <w:spacing w:after="0" w:line="240" w:lineRule="auto"/>
              <w:rPr>
                <w:rFonts w:eastAsia="Times New Roman" w:cs="Times New Roman"/>
                <w:bCs/>
                <w:color w:val="000000"/>
                <w:sz w:val="20"/>
                <w:lang w:eastAsia="sk-SK"/>
              </w:rPr>
            </w:pPr>
            <w:r w:rsidRPr="002C68FD">
              <w:rPr>
                <w:rFonts w:eastAsia="Times New Roman" w:cs="Times New Roman"/>
                <w:bCs/>
                <w:color w:val="000000"/>
                <w:sz w:val="20"/>
                <w:lang w:eastAsia="sk-SK"/>
              </w:rPr>
              <w:t>Narušená komunikačná schopnosť (NKS)</w:t>
            </w:r>
          </w:p>
        </w:tc>
        <w:tc>
          <w:tcPr>
            <w:tcW w:w="1273" w:type="dxa"/>
            <w:tcBorders>
              <w:top w:val="nil"/>
              <w:bottom w:val="nil"/>
              <w:right w:val="nil"/>
            </w:tcBorders>
            <w:shd w:val="clear" w:color="auto" w:fill="auto"/>
            <w:vAlign w:val="bottom"/>
            <w:hideMark/>
          </w:tcPr>
          <w:p w14:paraId="4964B7EF"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422</w:t>
            </w:r>
          </w:p>
        </w:tc>
        <w:tc>
          <w:tcPr>
            <w:tcW w:w="1273" w:type="dxa"/>
            <w:tcBorders>
              <w:top w:val="nil"/>
              <w:left w:val="nil"/>
              <w:bottom w:val="nil"/>
              <w:right w:val="nil"/>
            </w:tcBorders>
            <w:shd w:val="clear" w:color="auto" w:fill="auto"/>
            <w:vAlign w:val="bottom"/>
            <w:hideMark/>
          </w:tcPr>
          <w:p w14:paraId="37F12EE1"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69</w:t>
            </w:r>
          </w:p>
        </w:tc>
        <w:tc>
          <w:tcPr>
            <w:tcW w:w="1273" w:type="dxa"/>
            <w:tcBorders>
              <w:top w:val="nil"/>
              <w:left w:val="nil"/>
              <w:bottom w:val="nil"/>
              <w:right w:val="nil"/>
            </w:tcBorders>
            <w:shd w:val="clear" w:color="auto" w:fill="auto"/>
            <w:noWrap/>
            <w:vAlign w:val="bottom"/>
            <w:hideMark/>
          </w:tcPr>
          <w:p w14:paraId="3AA04C86"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491</w:t>
            </w:r>
          </w:p>
        </w:tc>
        <w:tc>
          <w:tcPr>
            <w:tcW w:w="1273" w:type="dxa"/>
            <w:tcBorders>
              <w:top w:val="nil"/>
              <w:left w:val="nil"/>
              <w:bottom w:val="nil"/>
              <w:right w:val="nil"/>
            </w:tcBorders>
            <w:shd w:val="clear" w:color="auto" w:fill="auto"/>
            <w:noWrap/>
            <w:vAlign w:val="bottom"/>
            <w:hideMark/>
          </w:tcPr>
          <w:p w14:paraId="32A481E7"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37</w:t>
            </w:r>
          </w:p>
        </w:tc>
      </w:tr>
      <w:tr w:rsidR="001B34C7" w:rsidRPr="009973EE" w14:paraId="3031E61A" w14:textId="77777777" w:rsidTr="002E33D9">
        <w:trPr>
          <w:trHeight w:val="272"/>
        </w:trPr>
        <w:tc>
          <w:tcPr>
            <w:tcW w:w="3980" w:type="dxa"/>
            <w:tcBorders>
              <w:top w:val="nil"/>
              <w:left w:val="nil"/>
              <w:bottom w:val="nil"/>
            </w:tcBorders>
            <w:shd w:val="clear" w:color="auto" w:fill="auto"/>
            <w:vAlign w:val="bottom"/>
            <w:hideMark/>
          </w:tcPr>
          <w:p w14:paraId="7BE2EEDF" w14:textId="77777777" w:rsidR="001B34C7" w:rsidRPr="002C68FD" w:rsidRDefault="001B34C7" w:rsidP="002E33D9">
            <w:pPr>
              <w:spacing w:after="0" w:line="240" w:lineRule="auto"/>
              <w:rPr>
                <w:rFonts w:eastAsia="Times New Roman" w:cs="Times New Roman"/>
                <w:bCs/>
                <w:color w:val="000000"/>
                <w:sz w:val="20"/>
                <w:lang w:eastAsia="sk-SK"/>
              </w:rPr>
            </w:pPr>
            <w:r w:rsidRPr="002C68FD">
              <w:rPr>
                <w:rFonts w:eastAsia="Times New Roman" w:cs="Times New Roman"/>
                <w:bCs/>
                <w:color w:val="000000"/>
                <w:sz w:val="20"/>
                <w:lang w:eastAsia="sk-SK"/>
              </w:rPr>
              <w:t>Telesné (TEL)</w:t>
            </w:r>
          </w:p>
        </w:tc>
        <w:tc>
          <w:tcPr>
            <w:tcW w:w="1273" w:type="dxa"/>
            <w:tcBorders>
              <w:top w:val="nil"/>
              <w:bottom w:val="nil"/>
              <w:right w:val="nil"/>
            </w:tcBorders>
            <w:shd w:val="clear" w:color="auto" w:fill="auto"/>
            <w:vAlign w:val="bottom"/>
            <w:hideMark/>
          </w:tcPr>
          <w:p w14:paraId="4BF2D107"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30</w:t>
            </w:r>
          </w:p>
        </w:tc>
        <w:tc>
          <w:tcPr>
            <w:tcW w:w="1273" w:type="dxa"/>
            <w:tcBorders>
              <w:top w:val="nil"/>
              <w:left w:val="nil"/>
              <w:bottom w:val="nil"/>
              <w:right w:val="nil"/>
            </w:tcBorders>
            <w:shd w:val="clear" w:color="auto" w:fill="auto"/>
            <w:vAlign w:val="bottom"/>
            <w:hideMark/>
          </w:tcPr>
          <w:p w14:paraId="3D49E8AA"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9</w:t>
            </w:r>
          </w:p>
        </w:tc>
        <w:tc>
          <w:tcPr>
            <w:tcW w:w="1273" w:type="dxa"/>
            <w:tcBorders>
              <w:top w:val="nil"/>
              <w:left w:val="nil"/>
              <w:bottom w:val="nil"/>
              <w:right w:val="nil"/>
            </w:tcBorders>
            <w:shd w:val="clear" w:color="auto" w:fill="auto"/>
            <w:noWrap/>
            <w:vAlign w:val="bottom"/>
            <w:hideMark/>
          </w:tcPr>
          <w:p w14:paraId="576F838B"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39</w:t>
            </w:r>
          </w:p>
        </w:tc>
        <w:tc>
          <w:tcPr>
            <w:tcW w:w="1273" w:type="dxa"/>
            <w:tcBorders>
              <w:top w:val="nil"/>
              <w:left w:val="nil"/>
              <w:bottom w:val="nil"/>
              <w:right w:val="nil"/>
            </w:tcBorders>
            <w:shd w:val="clear" w:color="auto" w:fill="auto"/>
            <w:noWrap/>
            <w:vAlign w:val="bottom"/>
            <w:hideMark/>
          </w:tcPr>
          <w:p w14:paraId="6C1657C4"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3</w:t>
            </w:r>
          </w:p>
        </w:tc>
      </w:tr>
      <w:tr w:rsidR="001B34C7" w:rsidRPr="009973EE" w14:paraId="2939928C" w14:textId="77777777" w:rsidTr="002E33D9">
        <w:trPr>
          <w:trHeight w:val="272"/>
        </w:trPr>
        <w:tc>
          <w:tcPr>
            <w:tcW w:w="3980" w:type="dxa"/>
            <w:tcBorders>
              <w:top w:val="nil"/>
              <w:left w:val="nil"/>
              <w:bottom w:val="nil"/>
            </w:tcBorders>
            <w:shd w:val="clear" w:color="auto" w:fill="auto"/>
            <w:vAlign w:val="bottom"/>
            <w:hideMark/>
          </w:tcPr>
          <w:p w14:paraId="05553C81" w14:textId="77777777" w:rsidR="001B34C7" w:rsidRPr="002C68FD" w:rsidRDefault="001B34C7" w:rsidP="002E33D9">
            <w:pPr>
              <w:spacing w:after="0" w:line="240" w:lineRule="auto"/>
              <w:rPr>
                <w:rFonts w:eastAsia="Times New Roman" w:cs="Times New Roman"/>
                <w:bCs/>
                <w:color w:val="000000"/>
                <w:sz w:val="20"/>
                <w:lang w:eastAsia="sk-SK"/>
              </w:rPr>
            </w:pPr>
            <w:r w:rsidRPr="002C68FD">
              <w:rPr>
                <w:rFonts w:eastAsia="Times New Roman" w:cs="Times New Roman"/>
                <w:bCs/>
                <w:color w:val="000000"/>
                <w:sz w:val="20"/>
                <w:lang w:eastAsia="sk-SK"/>
              </w:rPr>
              <w:t>Chorí a zdravotne oslabení (CH)</w:t>
            </w:r>
          </w:p>
        </w:tc>
        <w:tc>
          <w:tcPr>
            <w:tcW w:w="1273" w:type="dxa"/>
            <w:tcBorders>
              <w:top w:val="nil"/>
              <w:bottom w:val="nil"/>
              <w:right w:val="nil"/>
            </w:tcBorders>
            <w:shd w:val="clear" w:color="auto" w:fill="auto"/>
            <w:vAlign w:val="bottom"/>
            <w:hideMark/>
          </w:tcPr>
          <w:p w14:paraId="31FED829"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17</w:t>
            </w:r>
          </w:p>
        </w:tc>
        <w:tc>
          <w:tcPr>
            <w:tcW w:w="1273" w:type="dxa"/>
            <w:tcBorders>
              <w:top w:val="nil"/>
              <w:left w:val="nil"/>
              <w:bottom w:val="nil"/>
              <w:right w:val="nil"/>
            </w:tcBorders>
            <w:shd w:val="clear" w:color="auto" w:fill="auto"/>
            <w:vAlign w:val="bottom"/>
            <w:hideMark/>
          </w:tcPr>
          <w:p w14:paraId="18B778AF"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0</w:t>
            </w:r>
          </w:p>
        </w:tc>
        <w:tc>
          <w:tcPr>
            <w:tcW w:w="1273" w:type="dxa"/>
            <w:tcBorders>
              <w:top w:val="nil"/>
              <w:left w:val="nil"/>
              <w:bottom w:val="nil"/>
              <w:right w:val="nil"/>
            </w:tcBorders>
            <w:shd w:val="clear" w:color="auto" w:fill="auto"/>
            <w:noWrap/>
            <w:vAlign w:val="bottom"/>
            <w:hideMark/>
          </w:tcPr>
          <w:p w14:paraId="519D989B"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17</w:t>
            </w:r>
          </w:p>
        </w:tc>
        <w:tc>
          <w:tcPr>
            <w:tcW w:w="1273" w:type="dxa"/>
            <w:tcBorders>
              <w:top w:val="nil"/>
              <w:left w:val="nil"/>
              <w:bottom w:val="nil"/>
              <w:right w:val="nil"/>
            </w:tcBorders>
            <w:shd w:val="clear" w:color="auto" w:fill="auto"/>
            <w:noWrap/>
            <w:vAlign w:val="bottom"/>
            <w:hideMark/>
          </w:tcPr>
          <w:p w14:paraId="25F453A4"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w:t>
            </w:r>
          </w:p>
        </w:tc>
      </w:tr>
      <w:tr w:rsidR="001B34C7" w:rsidRPr="009973EE" w14:paraId="5599B2D5" w14:textId="77777777" w:rsidTr="002E33D9">
        <w:trPr>
          <w:trHeight w:val="272"/>
        </w:trPr>
        <w:tc>
          <w:tcPr>
            <w:tcW w:w="3980" w:type="dxa"/>
            <w:tcBorders>
              <w:top w:val="nil"/>
              <w:left w:val="nil"/>
              <w:bottom w:val="nil"/>
            </w:tcBorders>
            <w:shd w:val="clear" w:color="auto" w:fill="auto"/>
            <w:vAlign w:val="bottom"/>
            <w:hideMark/>
          </w:tcPr>
          <w:p w14:paraId="20B7C1C7" w14:textId="77777777" w:rsidR="001B34C7" w:rsidRPr="002C68FD" w:rsidRDefault="001B34C7" w:rsidP="002E33D9">
            <w:pPr>
              <w:spacing w:after="0" w:line="240" w:lineRule="auto"/>
              <w:rPr>
                <w:rFonts w:eastAsia="Times New Roman" w:cs="Times New Roman"/>
                <w:bCs/>
                <w:color w:val="000000"/>
                <w:sz w:val="20"/>
                <w:lang w:eastAsia="sk-SK"/>
              </w:rPr>
            </w:pPr>
            <w:r w:rsidRPr="002C68FD">
              <w:rPr>
                <w:rFonts w:eastAsia="Times New Roman" w:cs="Times New Roman"/>
                <w:bCs/>
                <w:color w:val="000000"/>
                <w:sz w:val="20"/>
                <w:lang w:eastAsia="sk-SK"/>
              </w:rPr>
              <w:t>Poruchy správania (PS)</w:t>
            </w:r>
          </w:p>
        </w:tc>
        <w:tc>
          <w:tcPr>
            <w:tcW w:w="1273" w:type="dxa"/>
            <w:tcBorders>
              <w:top w:val="nil"/>
              <w:bottom w:val="nil"/>
              <w:right w:val="nil"/>
            </w:tcBorders>
            <w:shd w:val="clear" w:color="auto" w:fill="auto"/>
            <w:vAlign w:val="bottom"/>
            <w:hideMark/>
          </w:tcPr>
          <w:p w14:paraId="4491BC9E"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5</w:t>
            </w:r>
          </w:p>
        </w:tc>
        <w:tc>
          <w:tcPr>
            <w:tcW w:w="1273" w:type="dxa"/>
            <w:tcBorders>
              <w:top w:val="nil"/>
              <w:left w:val="nil"/>
              <w:bottom w:val="nil"/>
              <w:right w:val="nil"/>
            </w:tcBorders>
            <w:shd w:val="clear" w:color="auto" w:fill="auto"/>
            <w:vAlign w:val="bottom"/>
            <w:hideMark/>
          </w:tcPr>
          <w:p w14:paraId="25FDE49F"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0</w:t>
            </w:r>
          </w:p>
        </w:tc>
        <w:tc>
          <w:tcPr>
            <w:tcW w:w="1273" w:type="dxa"/>
            <w:tcBorders>
              <w:top w:val="nil"/>
              <w:left w:val="nil"/>
              <w:bottom w:val="nil"/>
              <w:right w:val="nil"/>
            </w:tcBorders>
            <w:shd w:val="clear" w:color="auto" w:fill="auto"/>
            <w:noWrap/>
            <w:vAlign w:val="bottom"/>
            <w:hideMark/>
          </w:tcPr>
          <w:p w14:paraId="18387ED5"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5</w:t>
            </w:r>
          </w:p>
        </w:tc>
        <w:tc>
          <w:tcPr>
            <w:tcW w:w="1273" w:type="dxa"/>
            <w:tcBorders>
              <w:top w:val="nil"/>
              <w:left w:val="nil"/>
              <w:bottom w:val="nil"/>
              <w:right w:val="nil"/>
            </w:tcBorders>
            <w:shd w:val="clear" w:color="auto" w:fill="auto"/>
            <w:noWrap/>
            <w:vAlign w:val="bottom"/>
            <w:hideMark/>
          </w:tcPr>
          <w:p w14:paraId="4A666767"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0</w:t>
            </w:r>
          </w:p>
        </w:tc>
      </w:tr>
      <w:tr w:rsidR="001B34C7" w:rsidRPr="009973EE" w14:paraId="060B16C3" w14:textId="77777777" w:rsidTr="002E33D9">
        <w:trPr>
          <w:trHeight w:val="272"/>
        </w:trPr>
        <w:tc>
          <w:tcPr>
            <w:tcW w:w="3980" w:type="dxa"/>
            <w:tcBorders>
              <w:top w:val="nil"/>
              <w:left w:val="nil"/>
              <w:bottom w:val="nil"/>
            </w:tcBorders>
            <w:shd w:val="clear" w:color="auto" w:fill="auto"/>
            <w:vAlign w:val="bottom"/>
            <w:hideMark/>
          </w:tcPr>
          <w:p w14:paraId="046E7C1C" w14:textId="77777777" w:rsidR="001B34C7" w:rsidRPr="002C68FD" w:rsidRDefault="001B34C7" w:rsidP="002E33D9">
            <w:pPr>
              <w:spacing w:after="0" w:line="240" w:lineRule="auto"/>
              <w:rPr>
                <w:rFonts w:eastAsia="Times New Roman" w:cs="Times New Roman"/>
                <w:bCs/>
                <w:color w:val="000000"/>
                <w:sz w:val="20"/>
                <w:lang w:eastAsia="sk-SK"/>
              </w:rPr>
            </w:pPr>
            <w:r w:rsidRPr="002C68FD">
              <w:rPr>
                <w:rFonts w:eastAsia="Times New Roman" w:cs="Times New Roman"/>
                <w:bCs/>
                <w:color w:val="000000"/>
                <w:sz w:val="20"/>
                <w:lang w:eastAsia="sk-SK"/>
              </w:rPr>
              <w:t>Poruchy aktivity a pozornosti (PAP)</w:t>
            </w:r>
          </w:p>
        </w:tc>
        <w:tc>
          <w:tcPr>
            <w:tcW w:w="1273" w:type="dxa"/>
            <w:tcBorders>
              <w:top w:val="nil"/>
              <w:bottom w:val="nil"/>
              <w:right w:val="nil"/>
            </w:tcBorders>
            <w:shd w:val="clear" w:color="auto" w:fill="auto"/>
            <w:vAlign w:val="bottom"/>
            <w:hideMark/>
          </w:tcPr>
          <w:p w14:paraId="1D9BF2C6"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58</w:t>
            </w:r>
          </w:p>
        </w:tc>
        <w:tc>
          <w:tcPr>
            <w:tcW w:w="1273" w:type="dxa"/>
            <w:tcBorders>
              <w:top w:val="nil"/>
              <w:left w:val="nil"/>
              <w:bottom w:val="nil"/>
              <w:right w:val="nil"/>
            </w:tcBorders>
            <w:shd w:val="clear" w:color="auto" w:fill="auto"/>
            <w:vAlign w:val="bottom"/>
            <w:hideMark/>
          </w:tcPr>
          <w:p w14:paraId="02BD5D0A"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4</w:t>
            </w:r>
          </w:p>
        </w:tc>
        <w:tc>
          <w:tcPr>
            <w:tcW w:w="1273" w:type="dxa"/>
            <w:tcBorders>
              <w:top w:val="nil"/>
              <w:left w:val="nil"/>
              <w:bottom w:val="nil"/>
              <w:right w:val="nil"/>
            </w:tcBorders>
            <w:shd w:val="clear" w:color="auto" w:fill="auto"/>
            <w:noWrap/>
            <w:vAlign w:val="bottom"/>
            <w:hideMark/>
          </w:tcPr>
          <w:p w14:paraId="35A70A92"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62</w:t>
            </w:r>
          </w:p>
        </w:tc>
        <w:tc>
          <w:tcPr>
            <w:tcW w:w="1273" w:type="dxa"/>
            <w:tcBorders>
              <w:top w:val="nil"/>
              <w:left w:val="nil"/>
              <w:bottom w:val="nil"/>
              <w:right w:val="nil"/>
            </w:tcBorders>
            <w:shd w:val="clear" w:color="auto" w:fill="auto"/>
            <w:noWrap/>
            <w:vAlign w:val="bottom"/>
            <w:hideMark/>
          </w:tcPr>
          <w:p w14:paraId="644D56E2"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5</w:t>
            </w:r>
          </w:p>
        </w:tc>
      </w:tr>
      <w:tr w:rsidR="001B34C7" w:rsidRPr="009973EE" w14:paraId="15BAF0A3" w14:textId="77777777" w:rsidTr="002E33D9">
        <w:trPr>
          <w:trHeight w:val="272"/>
        </w:trPr>
        <w:tc>
          <w:tcPr>
            <w:tcW w:w="3980" w:type="dxa"/>
            <w:tcBorders>
              <w:top w:val="nil"/>
              <w:left w:val="nil"/>
              <w:bottom w:val="nil"/>
            </w:tcBorders>
            <w:shd w:val="clear" w:color="auto" w:fill="auto"/>
            <w:vAlign w:val="bottom"/>
            <w:hideMark/>
          </w:tcPr>
          <w:p w14:paraId="7274F793" w14:textId="77777777" w:rsidR="001B34C7" w:rsidRPr="002C68FD" w:rsidRDefault="001B34C7" w:rsidP="002E33D9">
            <w:pPr>
              <w:spacing w:after="0" w:line="240" w:lineRule="auto"/>
              <w:rPr>
                <w:rFonts w:eastAsia="Times New Roman" w:cs="Times New Roman"/>
                <w:bCs/>
                <w:color w:val="000000"/>
                <w:sz w:val="20"/>
                <w:lang w:eastAsia="sk-SK"/>
              </w:rPr>
            </w:pPr>
            <w:r w:rsidRPr="002C68FD">
              <w:rPr>
                <w:rFonts w:eastAsia="Times New Roman" w:cs="Times New Roman"/>
                <w:bCs/>
                <w:color w:val="000000"/>
                <w:sz w:val="20"/>
                <w:lang w:eastAsia="sk-SK"/>
              </w:rPr>
              <w:t>Poruchy učenia (PU)</w:t>
            </w:r>
          </w:p>
        </w:tc>
        <w:tc>
          <w:tcPr>
            <w:tcW w:w="1273" w:type="dxa"/>
            <w:tcBorders>
              <w:top w:val="nil"/>
              <w:bottom w:val="nil"/>
              <w:right w:val="nil"/>
            </w:tcBorders>
            <w:shd w:val="clear" w:color="auto" w:fill="auto"/>
            <w:vAlign w:val="bottom"/>
            <w:hideMark/>
          </w:tcPr>
          <w:p w14:paraId="0C4AC036"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26</w:t>
            </w:r>
          </w:p>
        </w:tc>
        <w:tc>
          <w:tcPr>
            <w:tcW w:w="1273" w:type="dxa"/>
            <w:tcBorders>
              <w:top w:val="nil"/>
              <w:left w:val="nil"/>
              <w:bottom w:val="nil"/>
              <w:right w:val="nil"/>
            </w:tcBorders>
            <w:shd w:val="clear" w:color="auto" w:fill="auto"/>
            <w:vAlign w:val="bottom"/>
            <w:hideMark/>
          </w:tcPr>
          <w:p w14:paraId="2ABC8A32"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0</w:t>
            </w:r>
          </w:p>
        </w:tc>
        <w:tc>
          <w:tcPr>
            <w:tcW w:w="1273" w:type="dxa"/>
            <w:tcBorders>
              <w:top w:val="nil"/>
              <w:left w:val="nil"/>
              <w:bottom w:val="nil"/>
              <w:right w:val="nil"/>
            </w:tcBorders>
            <w:shd w:val="clear" w:color="auto" w:fill="auto"/>
            <w:noWrap/>
            <w:vAlign w:val="bottom"/>
            <w:hideMark/>
          </w:tcPr>
          <w:p w14:paraId="1E0E6AF2"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26</w:t>
            </w:r>
          </w:p>
        </w:tc>
        <w:tc>
          <w:tcPr>
            <w:tcW w:w="1273" w:type="dxa"/>
            <w:tcBorders>
              <w:top w:val="nil"/>
              <w:left w:val="nil"/>
              <w:bottom w:val="nil"/>
              <w:right w:val="nil"/>
            </w:tcBorders>
            <w:shd w:val="clear" w:color="auto" w:fill="auto"/>
            <w:noWrap/>
            <w:vAlign w:val="bottom"/>
            <w:hideMark/>
          </w:tcPr>
          <w:p w14:paraId="2A298408"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2</w:t>
            </w:r>
          </w:p>
        </w:tc>
      </w:tr>
      <w:tr w:rsidR="001B34C7" w:rsidRPr="009973EE" w14:paraId="747EE9B0" w14:textId="77777777" w:rsidTr="002E33D9">
        <w:trPr>
          <w:trHeight w:val="272"/>
        </w:trPr>
        <w:tc>
          <w:tcPr>
            <w:tcW w:w="3980" w:type="dxa"/>
            <w:tcBorders>
              <w:top w:val="nil"/>
              <w:left w:val="nil"/>
              <w:bottom w:val="nil"/>
            </w:tcBorders>
            <w:shd w:val="clear" w:color="auto" w:fill="auto"/>
            <w:vAlign w:val="bottom"/>
            <w:hideMark/>
          </w:tcPr>
          <w:p w14:paraId="3FAE6CDD" w14:textId="77777777" w:rsidR="001B34C7" w:rsidRPr="002C68FD" w:rsidRDefault="001B34C7" w:rsidP="002E33D9">
            <w:pPr>
              <w:spacing w:after="0" w:line="240" w:lineRule="auto"/>
              <w:rPr>
                <w:rFonts w:eastAsia="Times New Roman" w:cs="Times New Roman"/>
                <w:bCs/>
                <w:color w:val="000000"/>
                <w:sz w:val="20"/>
                <w:lang w:eastAsia="sk-SK"/>
              </w:rPr>
            </w:pPr>
            <w:r w:rsidRPr="002C68FD">
              <w:rPr>
                <w:rFonts w:eastAsia="Times New Roman" w:cs="Times New Roman"/>
                <w:bCs/>
                <w:color w:val="000000"/>
                <w:sz w:val="20"/>
                <w:lang w:eastAsia="sk-SK"/>
              </w:rPr>
              <w:t>Viacnásobné postihnutie (VP)</w:t>
            </w:r>
          </w:p>
        </w:tc>
        <w:tc>
          <w:tcPr>
            <w:tcW w:w="1273" w:type="dxa"/>
            <w:tcBorders>
              <w:top w:val="nil"/>
              <w:bottom w:val="single" w:sz="4" w:space="0" w:color="auto"/>
              <w:right w:val="nil"/>
            </w:tcBorders>
            <w:shd w:val="clear" w:color="auto" w:fill="auto"/>
            <w:vAlign w:val="bottom"/>
            <w:hideMark/>
          </w:tcPr>
          <w:p w14:paraId="21933759"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14</w:t>
            </w:r>
          </w:p>
        </w:tc>
        <w:tc>
          <w:tcPr>
            <w:tcW w:w="1273" w:type="dxa"/>
            <w:tcBorders>
              <w:top w:val="nil"/>
              <w:left w:val="nil"/>
              <w:bottom w:val="nil"/>
              <w:right w:val="nil"/>
            </w:tcBorders>
            <w:shd w:val="clear" w:color="auto" w:fill="auto"/>
            <w:vAlign w:val="bottom"/>
            <w:hideMark/>
          </w:tcPr>
          <w:p w14:paraId="27BF1BBD"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5</w:t>
            </w:r>
          </w:p>
        </w:tc>
        <w:tc>
          <w:tcPr>
            <w:tcW w:w="1273" w:type="dxa"/>
            <w:tcBorders>
              <w:top w:val="nil"/>
              <w:left w:val="nil"/>
              <w:bottom w:val="nil"/>
              <w:right w:val="nil"/>
            </w:tcBorders>
            <w:shd w:val="clear" w:color="auto" w:fill="auto"/>
            <w:noWrap/>
            <w:vAlign w:val="bottom"/>
            <w:hideMark/>
          </w:tcPr>
          <w:p w14:paraId="6997E34C"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19</w:t>
            </w:r>
          </w:p>
        </w:tc>
        <w:tc>
          <w:tcPr>
            <w:tcW w:w="1273" w:type="dxa"/>
            <w:tcBorders>
              <w:top w:val="nil"/>
              <w:left w:val="nil"/>
              <w:bottom w:val="nil"/>
              <w:right w:val="nil"/>
            </w:tcBorders>
            <w:shd w:val="clear" w:color="auto" w:fill="auto"/>
            <w:noWrap/>
            <w:vAlign w:val="bottom"/>
            <w:hideMark/>
          </w:tcPr>
          <w:p w14:paraId="02F7B8F3"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w:t>
            </w:r>
          </w:p>
        </w:tc>
      </w:tr>
      <w:tr w:rsidR="001B34C7" w:rsidRPr="009973EE" w14:paraId="38004582" w14:textId="77777777" w:rsidTr="002E33D9">
        <w:trPr>
          <w:trHeight w:val="272"/>
        </w:trPr>
        <w:tc>
          <w:tcPr>
            <w:tcW w:w="3980" w:type="dxa"/>
            <w:tcBorders>
              <w:top w:val="single" w:sz="4" w:space="0" w:color="auto"/>
              <w:left w:val="nil"/>
            </w:tcBorders>
            <w:shd w:val="clear" w:color="auto" w:fill="auto"/>
            <w:vAlign w:val="bottom"/>
            <w:hideMark/>
          </w:tcPr>
          <w:p w14:paraId="43D7F39C" w14:textId="77777777" w:rsidR="001B34C7" w:rsidRPr="009973EE" w:rsidRDefault="001B34C7" w:rsidP="002E33D9">
            <w:pPr>
              <w:spacing w:after="0" w:line="240" w:lineRule="auto"/>
              <w:rPr>
                <w:rFonts w:eastAsia="Times New Roman" w:cs="Times New Roman"/>
                <w:b/>
                <w:bCs/>
                <w:color w:val="000000"/>
                <w:sz w:val="20"/>
                <w:lang w:eastAsia="sk-SK"/>
              </w:rPr>
            </w:pPr>
            <w:r w:rsidRPr="009973EE">
              <w:rPr>
                <w:rFonts w:eastAsia="Times New Roman" w:cs="Times New Roman"/>
                <w:b/>
                <w:bCs/>
                <w:color w:val="000000"/>
                <w:sz w:val="20"/>
                <w:lang w:eastAsia="sk-SK"/>
              </w:rPr>
              <w:t>SPOLU</w:t>
            </w:r>
          </w:p>
        </w:tc>
        <w:tc>
          <w:tcPr>
            <w:tcW w:w="1273" w:type="dxa"/>
            <w:tcBorders>
              <w:top w:val="single" w:sz="4" w:space="0" w:color="auto"/>
              <w:right w:val="nil"/>
            </w:tcBorders>
            <w:shd w:val="clear" w:color="auto" w:fill="auto"/>
            <w:vAlign w:val="bottom"/>
            <w:hideMark/>
          </w:tcPr>
          <w:p w14:paraId="4EA97D04" w14:textId="77777777" w:rsidR="001B34C7" w:rsidRPr="009973EE" w:rsidRDefault="001B34C7" w:rsidP="002E33D9">
            <w:pPr>
              <w:spacing w:after="0" w:line="240" w:lineRule="auto"/>
              <w:jc w:val="right"/>
              <w:rPr>
                <w:rFonts w:eastAsia="Times New Roman" w:cs="Times New Roman"/>
                <w:b/>
                <w:bCs/>
                <w:color w:val="000000"/>
                <w:sz w:val="20"/>
                <w:lang w:eastAsia="sk-SK"/>
              </w:rPr>
            </w:pPr>
            <w:r w:rsidRPr="009973EE">
              <w:rPr>
                <w:rFonts w:eastAsia="Times New Roman" w:cs="Times New Roman"/>
                <w:b/>
                <w:bCs/>
                <w:color w:val="000000"/>
                <w:sz w:val="20"/>
                <w:lang w:eastAsia="sk-SK"/>
              </w:rPr>
              <w:t>932</w:t>
            </w:r>
          </w:p>
        </w:tc>
        <w:tc>
          <w:tcPr>
            <w:tcW w:w="1273" w:type="dxa"/>
            <w:tcBorders>
              <w:top w:val="single" w:sz="4" w:space="0" w:color="auto"/>
              <w:left w:val="nil"/>
              <w:right w:val="nil"/>
            </w:tcBorders>
            <w:shd w:val="clear" w:color="auto" w:fill="auto"/>
            <w:vAlign w:val="bottom"/>
            <w:hideMark/>
          </w:tcPr>
          <w:p w14:paraId="572DD805" w14:textId="77777777" w:rsidR="001B34C7" w:rsidRPr="009973EE" w:rsidRDefault="001B34C7" w:rsidP="002E33D9">
            <w:pPr>
              <w:spacing w:after="0" w:line="240" w:lineRule="auto"/>
              <w:jc w:val="right"/>
              <w:rPr>
                <w:rFonts w:eastAsia="Times New Roman" w:cs="Times New Roman"/>
                <w:b/>
                <w:bCs/>
                <w:color w:val="000000"/>
                <w:sz w:val="20"/>
                <w:lang w:eastAsia="sk-SK"/>
              </w:rPr>
            </w:pPr>
            <w:r w:rsidRPr="009973EE">
              <w:rPr>
                <w:rFonts w:eastAsia="Times New Roman" w:cs="Times New Roman"/>
                <w:b/>
                <w:bCs/>
                <w:color w:val="000000"/>
                <w:sz w:val="20"/>
                <w:lang w:eastAsia="sk-SK"/>
              </w:rPr>
              <w:t>378</w:t>
            </w:r>
          </w:p>
        </w:tc>
        <w:tc>
          <w:tcPr>
            <w:tcW w:w="1273" w:type="dxa"/>
            <w:tcBorders>
              <w:top w:val="single" w:sz="4" w:space="0" w:color="auto"/>
              <w:left w:val="nil"/>
              <w:right w:val="nil"/>
            </w:tcBorders>
            <w:shd w:val="clear" w:color="auto" w:fill="auto"/>
            <w:noWrap/>
            <w:vAlign w:val="bottom"/>
            <w:hideMark/>
          </w:tcPr>
          <w:p w14:paraId="14C5224B" w14:textId="77777777" w:rsidR="001B34C7" w:rsidRPr="009973EE" w:rsidRDefault="001B34C7" w:rsidP="002E33D9">
            <w:pPr>
              <w:spacing w:after="0" w:line="240" w:lineRule="auto"/>
              <w:jc w:val="right"/>
              <w:rPr>
                <w:rFonts w:eastAsia="Times New Roman" w:cs="Times New Roman"/>
                <w:b/>
                <w:bCs/>
                <w:color w:val="000000"/>
                <w:sz w:val="20"/>
                <w:lang w:eastAsia="sk-SK"/>
              </w:rPr>
            </w:pPr>
            <w:r w:rsidRPr="009973EE">
              <w:rPr>
                <w:rFonts w:eastAsia="Times New Roman" w:cs="Times New Roman"/>
                <w:b/>
                <w:bCs/>
                <w:color w:val="000000"/>
                <w:sz w:val="20"/>
                <w:lang w:eastAsia="sk-SK"/>
              </w:rPr>
              <w:t>1310</w:t>
            </w:r>
          </w:p>
        </w:tc>
        <w:tc>
          <w:tcPr>
            <w:tcW w:w="1273" w:type="dxa"/>
            <w:tcBorders>
              <w:top w:val="single" w:sz="4" w:space="0" w:color="auto"/>
              <w:left w:val="nil"/>
              <w:right w:val="nil"/>
            </w:tcBorders>
            <w:shd w:val="clear" w:color="auto" w:fill="auto"/>
            <w:noWrap/>
            <w:vAlign w:val="bottom"/>
            <w:hideMark/>
          </w:tcPr>
          <w:p w14:paraId="69C14EFE" w14:textId="77777777" w:rsidR="001B34C7" w:rsidRPr="009973EE" w:rsidRDefault="001B34C7" w:rsidP="002E33D9">
            <w:pPr>
              <w:spacing w:after="0" w:line="240" w:lineRule="auto"/>
              <w:jc w:val="right"/>
              <w:rPr>
                <w:rFonts w:eastAsia="Times New Roman" w:cs="Times New Roman"/>
                <w:b/>
                <w:bCs/>
                <w:color w:val="000000"/>
                <w:sz w:val="20"/>
                <w:lang w:eastAsia="sk-SK"/>
              </w:rPr>
            </w:pPr>
            <w:r w:rsidRPr="009973EE">
              <w:rPr>
                <w:rFonts w:eastAsia="Times New Roman" w:cs="Times New Roman"/>
                <w:b/>
                <w:bCs/>
                <w:color w:val="000000"/>
                <w:sz w:val="20"/>
                <w:lang w:eastAsia="sk-SK"/>
              </w:rPr>
              <w:t>100</w:t>
            </w:r>
          </w:p>
        </w:tc>
      </w:tr>
      <w:tr w:rsidR="001B34C7" w:rsidRPr="009973EE" w14:paraId="64243666" w14:textId="77777777" w:rsidTr="002E33D9">
        <w:trPr>
          <w:trHeight w:val="272"/>
        </w:trPr>
        <w:tc>
          <w:tcPr>
            <w:tcW w:w="3980" w:type="dxa"/>
            <w:tcBorders>
              <w:left w:val="nil"/>
              <w:bottom w:val="single" w:sz="4" w:space="0" w:color="auto"/>
            </w:tcBorders>
            <w:shd w:val="clear" w:color="auto" w:fill="auto"/>
            <w:vAlign w:val="bottom"/>
            <w:hideMark/>
          </w:tcPr>
          <w:p w14:paraId="7D7760E4" w14:textId="77777777" w:rsidR="001B34C7" w:rsidRPr="009973EE" w:rsidRDefault="001B34C7" w:rsidP="002E33D9">
            <w:pPr>
              <w:spacing w:after="0" w:line="240" w:lineRule="auto"/>
              <w:rPr>
                <w:rFonts w:eastAsia="Times New Roman" w:cs="Times New Roman"/>
                <w:b/>
                <w:bCs/>
                <w:color w:val="000000"/>
                <w:sz w:val="20"/>
                <w:lang w:eastAsia="sk-SK"/>
              </w:rPr>
            </w:pPr>
            <w:r w:rsidRPr="009973EE">
              <w:rPr>
                <w:rFonts w:eastAsia="Times New Roman" w:cs="Times New Roman"/>
                <w:b/>
                <w:bCs/>
                <w:color w:val="000000"/>
                <w:sz w:val="20"/>
                <w:lang w:eastAsia="sk-SK"/>
              </w:rPr>
              <w:t>Podiel</w:t>
            </w:r>
            <w:r>
              <w:rPr>
                <w:rFonts w:eastAsia="Times New Roman" w:cs="Times New Roman"/>
                <w:b/>
                <w:bCs/>
                <w:color w:val="000000"/>
                <w:sz w:val="20"/>
                <w:lang w:eastAsia="sk-SK"/>
              </w:rPr>
              <w:t xml:space="preserve"> (%)</w:t>
            </w:r>
          </w:p>
        </w:tc>
        <w:tc>
          <w:tcPr>
            <w:tcW w:w="1273" w:type="dxa"/>
            <w:tcBorders>
              <w:bottom w:val="single" w:sz="4" w:space="0" w:color="auto"/>
              <w:right w:val="nil"/>
            </w:tcBorders>
            <w:shd w:val="clear" w:color="auto" w:fill="auto"/>
            <w:noWrap/>
            <w:vAlign w:val="bottom"/>
            <w:hideMark/>
          </w:tcPr>
          <w:p w14:paraId="67CD14C5" w14:textId="77777777" w:rsidR="001B34C7" w:rsidRPr="009973EE" w:rsidRDefault="001B34C7" w:rsidP="002E33D9">
            <w:pPr>
              <w:spacing w:after="0" w:line="240" w:lineRule="auto"/>
              <w:jc w:val="right"/>
              <w:rPr>
                <w:rFonts w:eastAsia="Times New Roman" w:cs="Times New Roman"/>
                <w:b/>
                <w:bCs/>
                <w:color w:val="000000"/>
                <w:sz w:val="20"/>
                <w:lang w:eastAsia="sk-SK"/>
              </w:rPr>
            </w:pPr>
            <w:r w:rsidRPr="009973EE">
              <w:rPr>
                <w:rFonts w:eastAsia="Times New Roman" w:cs="Times New Roman"/>
                <w:b/>
                <w:bCs/>
                <w:color w:val="000000"/>
                <w:sz w:val="20"/>
                <w:lang w:eastAsia="sk-SK"/>
              </w:rPr>
              <w:t>71</w:t>
            </w:r>
          </w:p>
        </w:tc>
        <w:tc>
          <w:tcPr>
            <w:tcW w:w="1273" w:type="dxa"/>
            <w:tcBorders>
              <w:left w:val="nil"/>
              <w:bottom w:val="single" w:sz="4" w:space="0" w:color="auto"/>
              <w:right w:val="nil"/>
            </w:tcBorders>
            <w:shd w:val="clear" w:color="auto" w:fill="auto"/>
            <w:noWrap/>
            <w:vAlign w:val="bottom"/>
            <w:hideMark/>
          </w:tcPr>
          <w:p w14:paraId="41A2B2D7" w14:textId="77777777" w:rsidR="001B34C7" w:rsidRPr="009973EE" w:rsidRDefault="001B34C7" w:rsidP="002E33D9">
            <w:pPr>
              <w:spacing w:after="0" w:line="240" w:lineRule="auto"/>
              <w:jc w:val="right"/>
              <w:rPr>
                <w:rFonts w:eastAsia="Times New Roman" w:cs="Times New Roman"/>
                <w:b/>
                <w:bCs/>
                <w:color w:val="000000"/>
                <w:sz w:val="20"/>
                <w:lang w:eastAsia="sk-SK"/>
              </w:rPr>
            </w:pPr>
            <w:r w:rsidRPr="009973EE">
              <w:rPr>
                <w:rFonts w:eastAsia="Times New Roman" w:cs="Times New Roman"/>
                <w:b/>
                <w:bCs/>
                <w:color w:val="000000"/>
                <w:sz w:val="20"/>
                <w:lang w:eastAsia="sk-SK"/>
              </w:rPr>
              <w:t>29</w:t>
            </w:r>
          </w:p>
        </w:tc>
        <w:tc>
          <w:tcPr>
            <w:tcW w:w="1273" w:type="dxa"/>
            <w:tcBorders>
              <w:left w:val="nil"/>
              <w:bottom w:val="single" w:sz="4" w:space="0" w:color="auto"/>
              <w:right w:val="nil"/>
            </w:tcBorders>
            <w:shd w:val="clear" w:color="auto" w:fill="auto"/>
            <w:noWrap/>
            <w:vAlign w:val="bottom"/>
            <w:hideMark/>
          </w:tcPr>
          <w:p w14:paraId="19B3C3D1" w14:textId="77777777" w:rsidR="001B34C7" w:rsidRPr="009973EE" w:rsidRDefault="001B34C7" w:rsidP="002E33D9">
            <w:pPr>
              <w:spacing w:after="0" w:line="240" w:lineRule="auto"/>
              <w:jc w:val="right"/>
              <w:rPr>
                <w:rFonts w:eastAsia="Times New Roman" w:cs="Times New Roman"/>
                <w:b/>
                <w:bCs/>
                <w:color w:val="000000"/>
                <w:sz w:val="20"/>
                <w:lang w:eastAsia="sk-SK"/>
              </w:rPr>
            </w:pPr>
            <w:r w:rsidRPr="009973EE">
              <w:rPr>
                <w:rFonts w:eastAsia="Times New Roman" w:cs="Times New Roman"/>
                <w:b/>
                <w:bCs/>
                <w:color w:val="000000"/>
                <w:sz w:val="20"/>
                <w:lang w:eastAsia="sk-SK"/>
              </w:rPr>
              <w:t>100</w:t>
            </w:r>
          </w:p>
        </w:tc>
        <w:tc>
          <w:tcPr>
            <w:tcW w:w="1273" w:type="dxa"/>
            <w:tcBorders>
              <w:left w:val="nil"/>
              <w:bottom w:val="single" w:sz="4" w:space="0" w:color="auto"/>
              <w:right w:val="nil"/>
            </w:tcBorders>
            <w:shd w:val="clear" w:color="auto" w:fill="auto"/>
            <w:noWrap/>
            <w:vAlign w:val="bottom"/>
            <w:hideMark/>
          </w:tcPr>
          <w:p w14:paraId="206BD702" w14:textId="77777777" w:rsidR="001B34C7" w:rsidRPr="009973EE" w:rsidRDefault="001B34C7" w:rsidP="002E33D9">
            <w:pPr>
              <w:spacing w:after="0" w:line="240" w:lineRule="auto"/>
              <w:jc w:val="right"/>
              <w:rPr>
                <w:rFonts w:eastAsia="Times New Roman" w:cs="Times New Roman"/>
                <w:b/>
                <w:bCs/>
                <w:color w:val="000000"/>
                <w:sz w:val="20"/>
                <w:lang w:eastAsia="sk-SK"/>
              </w:rPr>
            </w:pPr>
          </w:p>
        </w:tc>
      </w:tr>
    </w:tbl>
    <w:p w14:paraId="7084E0DE" w14:textId="77777777" w:rsidR="00D75D13" w:rsidRDefault="001B34C7" w:rsidP="00D75D13">
      <w:pPr>
        <w:spacing w:after="0"/>
        <w:jc w:val="right"/>
        <w:rPr>
          <w:rFonts w:eastAsia="Times New Roman" w:cs="Times New Roman"/>
          <w:i/>
          <w:iCs/>
          <w:color w:val="000000"/>
          <w:sz w:val="18"/>
          <w:szCs w:val="18"/>
        </w:rPr>
      </w:pPr>
      <w:r w:rsidRPr="009973EE">
        <w:rPr>
          <w:rFonts w:eastAsia="Times New Roman" w:cs="Times New Roman"/>
          <w:i/>
          <w:iCs/>
          <w:color w:val="000000"/>
          <w:sz w:val="18"/>
          <w:szCs w:val="18"/>
        </w:rPr>
        <w:t xml:space="preserve">Zdroj: Vlastné prepočty IVP na základe dát RIS MŠVVŠ SR (2017, 2018). </w:t>
      </w:r>
    </w:p>
    <w:p w14:paraId="5C47DC9E" w14:textId="34B3956B" w:rsidR="001B34C7" w:rsidRPr="00AA0B2F" w:rsidRDefault="001B34C7" w:rsidP="00D75D13">
      <w:pPr>
        <w:rPr>
          <w:b/>
          <w:sz w:val="20"/>
        </w:rPr>
      </w:pPr>
      <w:r w:rsidRPr="009973EE">
        <w:rPr>
          <w:i/>
          <w:sz w:val="18"/>
          <w:szCs w:val="18"/>
        </w:rPr>
        <w:t>V populácii detí s mentálnym postihnutím sú započítané deti s mentálnym postihnutím vrátane mentálneho postihnutia v kombinácii s iným zdravotnými znevýhodneniami. V populácii detí s autizmom sú započítané iba deti s autizmom bez mentálneho postihnutia.</w:t>
      </w:r>
    </w:p>
    <w:p w14:paraId="6F5130F2" w14:textId="77777777" w:rsidR="003B7808" w:rsidRDefault="003B7808" w:rsidP="001B34C7">
      <w:pPr>
        <w:pStyle w:val="Popis"/>
        <w:rPr>
          <w:b/>
          <w:i w:val="0"/>
          <w:color w:val="2E74B5" w:themeColor="accent1" w:themeShade="BF"/>
          <w:sz w:val="22"/>
        </w:rPr>
      </w:pPr>
      <w:bookmarkStart w:id="1916" w:name="_Ref25838252"/>
    </w:p>
    <w:p w14:paraId="4BE77303" w14:textId="77777777" w:rsidR="001B34C7" w:rsidRDefault="001B34C7" w:rsidP="001B34C7">
      <w:pPr>
        <w:pStyle w:val="Popis"/>
        <w:rPr>
          <w:b/>
          <w:i w:val="0"/>
          <w:color w:val="2E74B5" w:themeColor="accent1" w:themeShade="BF"/>
          <w:sz w:val="22"/>
        </w:rPr>
      </w:pPr>
      <w:bookmarkStart w:id="1917" w:name="_Ref34130895"/>
      <w:r w:rsidRPr="000C6214">
        <w:rPr>
          <w:b/>
          <w:i w:val="0"/>
          <w:color w:val="2E74B5" w:themeColor="accent1" w:themeShade="BF"/>
          <w:sz w:val="22"/>
        </w:rPr>
        <w:t xml:space="preserve">Príloha </w:t>
      </w:r>
      <w:r w:rsidRPr="00AD2F2A">
        <w:rPr>
          <w:b/>
          <w:i w:val="0"/>
          <w:color w:val="2E74B5" w:themeColor="accent1" w:themeShade="BF"/>
          <w:sz w:val="22"/>
        </w:rPr>
        <w:fldChar w:fldCharType="begin"/>
      </w:r>
      <w:r w:rsidRPr="00AD2F2A">
        <w:rPr>
          <w:b/>
          <w:i w:val="0"/>
          <w:color w:val="2E74B5" w:themeColor="accent1" w:themeShade="BF"/>
          <w:sz w:val="22"/>
        </w:rPr>
        <w:instrText xml:space="preserve"> SEQ Príloha \* ARABIC </w:instrText>
      </w:r>
      <w:r w:rsidRPr="00AD2F2A">
        <w:rPr>
          <w:b/>
          <w:i w:val="0"/>
          <w:color w:val="2E74B5" w:themeColor="accent1" w:themeShade="BF"/>
          <w:sz w:val="22"/>
        </w:rPr>
        <w:fldChar w:fldCharType="separate"/>
      </w:r>
      <w:r w:rsidR="00FA29AF">
        <w:rPr>
          <w:b/>
          <w:i w:val="0"/>
          <w:noProof/>
          <w:color w:val="2E74B5" w:themeColor="accent1" w:themeShade="BF"/>
          <w:sz w:val="22"/>
        </w:rPr>
        <w:t>15</w:t>
      </w:r>
      <w:r w:rsidRPr="00AD2F2A">
        <w:rPr>
          <w:b/>
          <w:i w:val="0"/>
          <w:color w:val="2E74B5" w:themeColor="accent1" w:themeShade="BF"/>
          <w:sz w:val="22"/>
        </w:rPr>
        <w:fldChar w:fldCharType="end"/>
      </w:r>
      <w:bookmarkEnd w:id="1916"/>
      <w:bookmarkEnd w:id="1917"/>
      <w:r w:rsidRPr="000C6214">
        <w:rPr>
          <w:b/>
          <w:i w:val="0"/>
          <w:color w:val="2E74B5" w:themeColor="accent1" w:themeShade="BF"/>
          <w:sz w:val="22"/>
        </w:rPr>
        <w:t xml:space="preserve">: </w:t>
      </w:r>
      <w:r>
        <w:rPr>
          <w:b/>
          <w:i w:val="0"/>
          <w:color w:val="2E74B5" w:themeColor="accent1" w:themeShade="BF"/>
          <w:sz w:val="22"/>
        </w:rPr>
        <w:t>Vývoj p</w:t>
      </w:r>
      <w:r w:rsidRPr="000C6214">
        <w:rPr>
          <w:b/>
          <w:i w:val="0"/>
          <w:color w:val="2E74B5" w:themeColor="accent1" w:themeShade="BF"/>
          <w:sz w:val="22"/>
        </w:rPr>
        <w:t>odiel</w:t>
      </w:r>
      <w:r>
        <w:rPr>
          <w:b/>
          <w:i w:val="0"/>
          <w:color w:val="2E74B5" w:themeColor="accent1" w:themeShade="BF"/>
          <w:sz w:val="22"/>
        </w:rPr>
        <w:t>u</w:t>
      </w:r>
      <w:r w:rsidRPr="000C6214">
        <w:rPr>
          <w:b/>
          <w:i w:val="0"/>
          <w:color w:val="2E74B5" w:themeColor="accent1" w:themeShade="BF"/>
          <w:sz w:val="22"/>
        </w:rPr>
        <w:t xml:space="preserve"> žiakov so zdravotným znevýhodnením v základných školách</w:t>
      </w:r>
      <w:r>
        <w:rPr>
          <w:b/>
          <w:i w:val="0"/>
          <w:color w:val="2E74B5" w:themeColor="accent1" w:themeShade="BF"/>
          <w:sz w:val="22"/>
        </w:rPr>
        <w:t xml:space="preserve"> </w:t>
      </w:r>
    </w:p>
    <w:tbl>
      <w:tblPr>
        <w:tblW w:w="9072" w:type="dxa"/>
        <w:tblLook w:val="04E0" w:firstRow="1" w:lastRow="1" w:firstColumn="1" w:lastColumn="0" w:noHBand="0" w:noVBand="1"/>
      </w:tblPr>
      <w:tblGrid>
        <w:gridCol w:w="5529"/>
        <w:gridCol w:w="3543"/>
      </w:tblGrid>
      <w:tr w:rsidR="001B34C7" w:rsidRPr="00CA2564" w14:paraId="2F51D319" w14:textId="77777777" w:rsidTr="002E33D9">
        <w:tc>
          <w:tcPr>
            <w:tcW w:w="9072" w:type="dxa"/>
            <w:gridSpan w:val="2"/>
          </w:tcPr>
          <w:p w14:paraId="09341D39" w14:textId="1D9B605E" w:rsidR="001B34C7" w:rsidRPr="009C4F06" w:rsidRDefault="001B34C7" w:rsidP="009C4F06">
            <w:pPr>
              <w:spacing w:after="0"/>
              <w:rPr>
                <w:b/>
              </w:rPr>
            </w:pPr>
            <w:r w:rsidRPr="009C4F06">
              <w:rPr>
                <w:b/>
                <w:sz w:val="20"/>
              </w:rPr>
              <w:t xml:space="preserve">Graf P </w:t>
            </w:r>
            <w:r w:rsidRPr="009C4F06">
              <w:rPr>
                <w:b/>
                <w:sz w:val="20"/>
              </w:rPr>
              <w:fldChar w:fldCharType="begin"/>
            </w:r>
            <w:r w:rsidRPr="009C4F06">
              <w:rPr>
                <w:b/>
                <w:sz w:val="20"/>
              </w:rPr>
              <w:instrText xml:space="preserve"> SEQ Graf_P \* ARABIC </w:instrText>
            </w:r>
            <w:r w:rsidRPr="009C4F06">
              <w:rPr>
                <w:b/>
                <w:sz w:val="20"/>
              </w:rPr>
              <w:fldChar w:fldCharType="separate"/>
            </w:r>
            <w:r w:rsidR="00FA29AF">
              <w:rPr>
                <w:b/>
                <w:noProof/>
                <w:sz w:val="20"/>
              </w:rPr>
              <w:t>5</w:t>
            </w:r>
            <w:r w:rsidRPr="009C4F06">
              <w:rPr>
                <w:b/>
                <w:sz w:val="20"/>
              </w:rPr>
              <w:fldChar w:fldCharType="end"/>
            </w:r>
            <w:r w:rsidRPr="009C4F06">
              <w:rPr>
                <w:b/>
                <w:sz w:val="20"/>
              </w:rPr>
              <w:t>: Vývoj</w:t>
            </w:r>
            <w:r w:rsidR="0070047D" w:rsidRPr="009C4F06">
              <w:rPr>
                <w:b/>
                <w:sz w:val="20"/>
              </w:rPr>
              <w:t xml:space="preserve"> </w:t>
            </w:r>
            <w:r w:rsidRPr="009C4F06">
              <w:rPr>
                <w:b/>
                <w:sz w:val="20"/>
              </w:rPr>
              <w:t>podielu žiakov so ZZ v základných školách, 2008-2018</w:t>
            </w:r>
          </w:p>
        </w:tc>
      </w:tr>
      <w:tr w:rsidR="001B34C7" w:rsidRPr="00CA2564" w14:paraId="61E46864" w14:textId="77777777" w:rsidTr="002E33D9">
        <w:tblPrEx>
          <w:tblCellMar>
            <w:left w:w="70" w:type="dxa"/>
            <w:right w:w="70" w:type="dxa"/>
          </w:tblCellMar>
        </w:tblPrEx>
        <w:tc>
          <w:tcPr>
            <w:tcW w:w="9072" w:type="dxa"/>
            <w:gridSpan w:val="2"/>
            <w:tcBorders>
              <w:top w:val="single" w:sz="4" w:space="0" w:color="auto"/>
              <w:bottom w:val="single" w:sz="4" w:space="0" w:color="auto"/>
            </w:tcBorders>
          </w:tcPr>
          <w:p w14:paraId="711C332E" w14:textId="77777777" w:rsidR="001B34C7" w:rsidRPr="00CA2564" w:rsidRDefault="001B34C7" w:rsidP="009C4F06">
            <w:pPr>
              <w:spacing w:after="0"/>
              <w:rPr>
                <w:sz w:val="4"/>
                <w:szCs w:val="4"/>
              </w:rPr>
            </w:pPr>
            <w:r>
              <w:rPr>
                <w:noProof/>
                <w:lang w:eastAsia="sk-SK"/>
              </w:rPr>
              <w:drawing>
                <wp:inline distT="0" distB="0" distL="0" distR="0" wp14:anchorId="0E1C5782" wp14:editId="7055BEE9">
                  <wp:extent cx="5581650" cy="2419350"/>
                  <wp:effectExtent l="0" t="0" r="0" b="0"/>
                  <wp:docPr id="36" name="Graf 3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0"/>
                    </a:graphicData>
                  </a:graphic>
                </wp:inline>
              </w:drawing>
            </w:r>
          </w:p>
        </w:tc>
      </w:tr>
      <w:tr w:rsidR="001B34C7" w:rsidRPr="00CA2564" w14:paraId="02CD6DA5" w14:textId="77777777" w:rsidTr="002E33D9">
        <w:tc>
          <w:tcPr>
            <w:tcW w:w="5529" w:type="dxa"/>
          </w:tcPr>
          <w:p w14:paraId="1285A7C3" w14:textId="77777777" w:rsidR="001B34C7" w:rsidRPr="002B126D" w:rsidRDefault="001B34C7" w:rsidP="009C4F06">
            <w:pPr>
              <w:spacing w:after="0"/>
              <w:rPr>
                <w:bCs/>
                <w:i/>
                <w:sz w:val="18"/>
                <w:szCs w:val="18"/>
              </w:rPr>
            </w:pPr>
            <w:r w:rsidRPr="002B126D">
              <w:rPr>
                <w:bCs/>
                <w:i/>
                <w:sz w:val="18"/>
                <w:szCs w:val="18"/>
              </w:rPr>
              <w:t>Kategória základné vzdelávanie zahŕňa žiakov so ZZ v bežných a špeciálnych ZŠ.</w:t>
            </w:r>
          </w:p>
        </w:tc>
        <w:tc>
          <w:tcPr>
            <w:tcW w:w="3543" w:type="dxa"/>
          </w:tcPr>
          <w:p w14:paraId="2C8198BE" w14:textId="77777777" w:rsidR="001B34C7" w:rsidRPr="00DE6185" w:rsidRDefault="001B34C7" w:rsidP="009C4F06">
            <w:pPr>
              <w:spacing w:after="0"/>
              <w:rPr>
                <w:b/>
                <w:bCs/>
                <w:sz w:val="18"/>
                <w:szCs w:val="18"/>
              </w:rPr>
            </w:pPr>
            <w:r w:rsidRPr="00DE6185">
              <w:rPr>
                <w:sz w:val="18"/>
                <w:szCs w:val="18"/>
              </w:rPr>
              <w:t xml:space="preserve">Zdroj: Vlastné prepočty IVP na základe dát CVTI. </w:t>
            </w:r>
          </w:p>
        </w:tc>
      </w:tr>
    </w:tbl>
    <w:p w14:paraId="1DF40466" w14:textId="77777777" w:rsidR="001B34C7" w:rsidRDefault="001B34C7" w:rsidP="001B34C7">
      <w:pPr>
        <w:pStyle w:val="Popis"/>
        <w:rPr>
          <w:b/>
          <w:i w:val="0"/>
          <w:color w:val="2E74B5" w:themeColor="accent1" w:themeShade="BF"/>
          <w:sz w:val="22"/>
        </w:rPr>
      </w:pPr>
    </w:p>
    <w:p w14:paraId="372CB3DC" w14:textId="77777777" w:rsidR="003B7808" w:rsidRDefault="003B7808">
      <w:pPr>
        <w:spacing w:after="160"/>
        <w:jc w:val="left"/>
        <w:rPr>
          <w:b/>
          <w:iCs/>
          <w:color w:val="2E74B5" w:themeColor="accent1" w:themeShade="BF"/>
          <w:szCs w:val="18"/>
        </w:rPr>
      </w:pPr>
      <w:bookmarkStart w:id="1918" w:name="_Ref25838271"/>
      <w:r>
        <w:rPr>
          <w:b/>
          <w:i/>
          <w:color w:val="2E74B5" w:themeColor="accent1" w:themeShade="BF"/>
        </w:rPr>
        <w:br w:type="page"/>
      </w:r>
    </w:p>
    <w:p w14:paraId="35596C0A" w14:textId="71D944AE" w:rsidR="001B34C7" w:rsidRDefault="001B34C7" w:rsidP="001B34C7">
      <w:pPr>
        <w:pStyle w:val="Popis"/>
        <w:rPr>
          <w:b/>
          <w:i w:val="0"/>
          <w:color w:val="2E74B5" w:themeColor="accent1" w:themeShade="BF"/>
          <w:sz w:val="22"/>
        </w:rPr>
      </w:pPr>
      <w:bookmarkStart w:id="1919" w:name="_Ref34130923"/>
      <w:r w:rsidRPr="000C6214">
        <w:rPr>
          <w:b/>
          <w:i w:val="0"/>
          <w:color w:val="2E74B5" w:themeColor="accent1" w:themeShade="BF"/>
          <w:sz w:val="22"/>
        </w:rPr>
        <w:t xml:space="preserve">Príloha </w:t>
      </w:r>
      <w:r w:rsidRPr="00AD2F2A">
        <w:rPr>
          <w:b/>
          <w:i w:val="0"/>
          <w:color w:val="2E74B5" w:themeColor="accent1" w:themeShade="BF"/>
          <w:sz w:val="22"/>
        </w:rPr>
        <w:fldChar w:fldCharType="begin"/>
      </w:r>
      <w:r w:rsidRPr="00AD2F2A">
        <w:rPr>
          <w:b/>
          <w:i w:val="0"/>
          <w:color w:val="2E74B5" w:themeColor="accent1" w:themeShade="BF"/>
          <w:sz w:val="22"/>
        </w:rPr>
        <w:instrText xml:space="preserve"> SEQ Príloha \* ARABIC </w:instrText>
      </w:r>
      <w:r w:rsidRPr="00AD2F2A">
        <w:rPr>
          <w:b/>
          <w:i w:val="0"/>
          <w:color w:val="2E74B5" w:themeColor="accent1" w:themeShade="BF"/>
          <w:sz w:val="22"/>
        </w:rPr>
        <w:fldChar w:fldCharType="separate"/>
      </w:r>
      <w:r w:rsidR="00FA29AF">
        <w:rPr>
          <w:b/>
          <w:i w:val="0"/>
          <w:noProof/>
          <w:color w:val="2E74B5" w:themeColor="accent1" w:themeShade="BF"/>
          <w:sz w:val="22"/>
        </w:rPr>
        <w:t>16</w:t>
      </w:r>
      <w:r w:rsidRPr="00AD2F2A">
        <w:rPr>
          <w:b/>
          <w:i w:val="0"/>
          <w:color w:val="2E74B5" w:themeColor="accent1" w:themeShade="BF"/>
          <w:sz w:val="22"/>
        </w:rPr>
        <w:fldChar w:fldCharType="end"/>
      </w:r>
      <w:bookmarkEnd w:id="1918"/>
      <w:bookmarkEnd w:id="1919"/>
      <w:r w:rsidRPr="000C6214">
        <w:rPr>
          <w:b/>
          <w:i w:val="0"/>
          <w:color w:val="2E74B5" w:themeColor="accent1" w:themeShade="BF"/>
          <w:sz w:val="22"/>
        </w:rPr>
        <w:t>: Vývoj počtu žiakov s jednotlivými druhmi zdravotného znevýhodnenia</w:t>
      </w:r>
    </w:p>
    <w:p w14:paraId="429281D7" w14:textId="04A23922" w:rsidR="001B34C7" w:rsidRPr="004E1B47" w:rsidRDefault="001B34C7" w:rsidP="001B34C7">
      <w:pPr>
        <w:spacing w:before="160" w:line="240" w:lineRule="auto"/>
        <w:contextualSpacing/>
        <w:rPr>
          <w:b/>
          <w:sz w:val="20"/>
        </w:rPr>
      </w:pPr>
      <w:r w:rsidRPr="00AF6AB3">
        <w:rPr>
          <w:b/>
          <w:sz w:val="20"/>
        </w:rPr>
        <w:t xml:space="preserve">Tabuľka P </w:t>
      </w:r>
      <w:r w:rsidRPr="00AF6AB3">
        <w:rPr>
          <w:b/>
          <w:sz w:val="20"/>
        </w:rPr>
        <w:fldChar w:fldCharType="begin"/>
      </w:r>
      <w:r w:rsidRPr="00AF6AB3">
        <w:rPr>
          <w:b/>
          <w:sz w:val="20"/>
        </w:rPr>
        <w:instrText xml:space="preserve"> SEQ Tabuľka_P \* ARABIC </w:instrText>
      </w:r>
      <w:r w:rsidRPr="00AF6AB3">
        <w:rPr>
          <w:b/>
          <w:sz w:val="20"/>
        </w:rPr>
        <w:fldChar w:fldCharType="separate"/>
      </w:r>
      <w:r w:rsidR="00FA29AF">
        <w:rPr>
          <w:b/>
          <w:noProof/>
          <w:sz w:val="20"/>
        </w:rPr>
        <w:t>13</w:t>
      </w:r>
      <w:r w:rsidRPr="00AF6AB3">
        <w:rPr>
          <w:b/>
          <w:sz w:val="20"/>
        </w:rPr>
        <w:fldChar w:fldCharType="end"/>
      </w:r>
      <w:r w:rsidRPr="00AF6AB3">
        <w:rPr>
          <w:b/>
          <w:sz w:val="20"/>
        </w:rPr>
        <w:t>:</w:t>
      </w:r>
      <w:r w:rsidR="0070047D">
        <w:rPr>
          <w:b/>
          <w:sz w:val="20"/>
        </w:rPr>
        <w:t xml:space="preserve"> </w:t>
      </w:r>
      <w:r w:rsidRPr="001B7289">
        <w:rPr>
          <w:b/>
          <w:iCs/>
          <w:sz w:val="20"/>
          <w:lang w:eastAsia="sk-SK"/>
        </w:rPr>
        <w:t>Vývoj</w:t>
      </w:r>
      <w:r w:rsidRPr="004E1B47">
        <w:rPr>
          <w:b/>
          <w:sz w:val="20"/>
        </w:rPr>
        <w:t xml:space="preserve"> počtu žiakov s jednotlivými druhmi </w:t>
      </w:r>
      <w:r>
        <w:rPr>
          <w:b/>
          <w:sz w:val="20"/>
        </w:rPr>
        <w:t>ZZ</w:t>
      </w:r>
      <w:r w:rsidRPr="004E1B47">
        <w:rPr>
          <w:b/>
          <w:sz w:val="20"/>
        </w:rPr>
        <w:t>, 2012-2018</w:t>
      </w:r>
    </w:p>
    <w:tbl>
      <w:tblPr>
        <w:tblW w:w="9072" w:type="dxa"/>
        <w:tblLayout w:type="fixed"/>
        <w:tblCellMar>
          <w:left w:w="70" w:type="dxa"/>
          <w:right w:w="70" w:type="dxa"/>
        </w:tblCellMar>
        <w:tblLook w:val="04A0" w:firstRow="1" w:lastRow="0" w:firstColumn="1" w:lastColumn="0" w:noHBand="0" w:noVBand="1"/>
      </w:tblPr>
      <w:tblGrid>
        <w:gridCol w:w="4580"/>
        <w:gridCol w:w="1123"/>
        <w:gridCol w:w="1123"/>
        <w:gridCol w:w="1123"/>
        <w:gridCol w:w="1123"/>
      </w:tblGrid>
      <w:tr w:rsidR="001B34C7" w:rsidRPr="009973EE" w14:paraId="62364898" w14:textId="77777777" w:rsidTr="002E33D9">
        <w:trPr>
          <w:trHeight w:val="300"/>
        </w:trPr>
        <w:tc>
          <w:tcPr>
            <w:tcW w:w="4395" w:type="dxa"/>
            <w:tcBorders>
              <w:top w:val="single" w:sz="4" w:space="0" w:color="auto"/>
              <w:bottom w:val="single" w:sz="4" w:space="0" w:color="auto"/>
            </w:tcBorders>
            <w:shd w:val="clear" w:color="auto" w:fill="auto"/>
            <w:noWrap/>
            <w:vAlign w:val="bottom"/>
            <w:hideMark/>
          </w:tcPr>
          <w:p w14:paraId="098BF684" w14:textId="77777777" w:rsidR="001B34C7" w:rsidRPr="009973EE" w:rsidRDefault="001B34C7" w:rsidP="002E33D9">
            <w:pPr>
              <w:spacing w:after="0" w:line="240" w:lineRule="auto"/>
              <w:rPr>
                <w:rFonts w:eastAsia="Times New Roman" w:cs="Times New Roman"/>
                <w:sz w:val="20"/>
                <w:lang w:eastAsia="sk-SK"/>
              </w:rPr>
            </w:pPr>
          </w:p>
        </w:tc>
        <w:tc>
          <w:tcPr>
            <w:tcW w:w="1077" w:type="dxa"/>
            <w:tcBorders>
              <w:top w:val="single" w:sz="4" w:space="0" w:color="auto"/>
              <w:bottom w:val="single" w:sz="4" w:space="0" w:color="auto"/>
            </w:tcBorders>
            <w:shd w:val="clear" w:color="auto" w:fill="auto"/>
            <w:noWrap/>
            <w:vAlign w:val="bottom"/>
            <w:hideMark/>
          </w:tcPr>
          <w:p w14:paraId="597CDE86" w14:textId="77777777" w:rsidR="001B34C7" w:rsidRPr="009973EE" w:rsidRDefault="001B34C7" w:rsidP="002E33D9">
            <w:pPr>
              <w:spacing w:after="0" w:line="240" w:lineRule="auto"/>
              <w:jc w:val="right"/>
              <w:rPr>
                <w:rFonts w:eastAsia="Times New Roman" w:cs="Times New Roman"/>
                <w:b/>
                <w:color w:val="000000"/>
                <w:sz w:val="20"/>
                <w:lang w:eastAsia="sk-SK"/>
              </w:rPr>
            </w:pPr>
            <w:r w:rsidRPr="009973EE">
              <w:rPr>
                <w:rFonts w:eastAsia="Times New Roman" w:cs="Times New Roman"/>
                <w:b/>
                <w:color w:val="000000"/>
                <w:sz w:val="20"/>
                <w:lang w:eastAsia="sk-SK"/>
              </w:rPr>
              <w:t>2012</w:t>
            </w:r>
          </w:p>
        </w:tc>
        <w:tc>
          <w:tcPr>
            <w:tcW w:w="1077" w:type="dxa"/>
            <w:tcBorders>
              <w:top w:val="single" w:sz="4" w:space="0" w:color="auto"/>
              <w:bottom w:val="single" w:sz="4" w:space="0" w:color="auto"/>
            </w:tcBorders>
            <w:shd w:val="clear" w:color="auto" w:fill="auto"/>
            <w:noWrap/>
            <w:vAlign w:val="bottom"/>
            <w:hideMark/>
          </w:tcPr>
          <w:p w14:paraId="267199D7" w14:textId="77777777" w:rsidR="001B34C7" w:rsidRPr="009973EE" w:rsidRDefault="001B34C7" w:rsidP="002E33D9">
            <w:pPr>
              <w:spacing w:after="0" w:line="240" w:lineRule="auto"/>
              <w:jc w:val="right"/>
              <w:rPr>
                <w:rFonts w:eastAsia="Times New Roman" w:cs="Times New Roman"/>
                <w:b/>
                <w:color w:val="000000"/>
                <w:sz w:val="20"/>
                <w:lang w:eastAsia="sk-SK"/>
              </w:rPr>
            </w:pPr>
            <w:r w:rsidRPr="009973EE">
              <w:rPr>
                <w:rFonts w:eastAsia="Times New Roman" w:cs="Times New Roman"/>
                <w:b/>
                <w:color w:val="000000"/>
                <w:sz w:val="20"/>
                <w:lang w:eastAsia="sk-SK"/>
              </w:rPr>
              <w:t>2018</w:t>
            </w:r>
          </w:p>
        </w:tc>
        <w:tc>
          <w:tcPr>
            <w:tcW w:w="1077" w:type="dxa"/>
            <w:tcBorders>
              <w:top w:val="single" w:sz="4" w:space="0" w:color="auto"/>
              <w:bottom w:val="single" w:sz="4" w:space="0" w:color="auto"/>
            </w:tcBorders>
            <w:shd w:val="clear" w:color="auto" w:fill="auto"/>
            <w:noWrap/>
            <w:vAlign w:val="bottom"/>
            <w:hideMark/>
          </w:tcPr>
          <w:p w14:paraId="6F279ACE" w14:textId="77777777" w:rsidR="001B34C7" w:rsidRPr="009973EE" w:rsidRDefault="001B34C7" w:rsidP="002E33D9">
            <w:pPr>
              <w:spacing w:after="0" w:line="240" w:lineRule="auto"/>
              <w:jc w:val="right"/>
              <w:rPr>
                <w:rFonts w:eastAsia="Times New Roman" w:cs="Times New Roman"/>
                <w:b/>
                <w:color w:val="000000"/>
                <w:sz w:val="20"/>
                <w:lang w:eastAsia="sk-SK"/>
              </w:rPr>
            </w:pPr>
            <w:r w:rsidRPr="009973EE">
              <w:rPr>
                <w:rFonts w:eastAsia="Times New Roman" w:cs="Times New Roman"/>
                <w:b/>
                <w:color w:val="000000"/>
                <w:sz w:val="20"/>
                <w:lang w:eastAsia="sk-SK"/>
              </w:rPr>
              <w:t>Spolu</w:t>
            </w:r>
          </w:p>
        </w:tc>
        <w:tc>
          <w:tcPr>
            <w:tcW w:w="1077" w:type="dxa"/>
            <w:tcBorders>
              <w:top w:val="single" w:sz="4" w:space="0" w:color="auto"/>
              <w:bottom w:val="single" w:sz="4" w:space="0" w:color="auto"/>
            </w:tcBorders>
            <w:shd w:val="clear" w:color="auto" w:fill="auto"/>
            <w:noWrap/>
            <w:vAlign w:val="bottom"/>
            <w:hideMark/>
          </w:tcPr>
          <w:p w14:paraId="5D6AB889" w14:textId="77777777" w:rsidR="001B34C7" w:rsidRPr="009973EE" w:rsidRDefault="001B34C7" w:rsidP="002E33D9">
            <w:pPr>
              <w:spacing w:after="0" w:line="240" w:lineRule="auto"/>
              <w:jc w:val="right"/>
              <w:rPr>
                <w:rFonts w:eastAsia="Times New Roman" w:cs="Times New Roman"/>
                <w:b/>
                <w:color w:val="000000"/>
                <w:sz w:val="20"/>
                <w:lang w:eastAsia="sk-SK"/>
              </w:rPr>
            </w:pPr>
            <w:r w:rsidRPr="009973EE">
              <w:rPr>
                <w:rFonts w:eastAsia="Times New Roman" w:cs="Times New Roman"/>
                <w:b/>
                <w:color w:val="000000"/>
                <w:sz w:val="20"/>
                <w:lang w:eastAsia="sk-SK"/>
              </w:rPr>
              <w:t>%</w:t>
            </w:r>
          </w:p>
        </w:tc>
      </w:tr>
      <w:tr w:rsidR="001B34C7" w:rsidRPr="009973EE" w14:paraId="38326751" w14:textId="77777777" w:rsidTr="002E33D9">
        <w:trPr>
          <w:trHeight w:val="300"/>
        </w:trPr>
        <w:tc>
          <w:tcPr>
            <w:tcW w:w="4395" w:type="dxa"/>
            <w:tcBorders>
              <w:top w:val="single" w:sz="4" w:space="0" w:color="auto"/>
            </w:tcBorders>
            <w:shd w:val="clear" w:color="auto" w:fill="auto"/>
            <w:noWrap/>
            <w:vAlign w:val="bottom"/>
            <w:hideMark/>
          </w:tcPr>
          <w:p w14:paraId="578BCD7A" w14:textId="77777777" w:rsidR="001B34C7" w:rsidRPr="002C68FD" w:rsidRDefault="001B34C7" w:rsidP="002E33D9">
            <w:pPr>
              <w:spacing w:after="0" w:line="240" w:lineRule="auto"/>
              <w:rPr>
                <w:rFonts w:eastAsia="Times New Roman" w:cs="Times New Roman"/>
                <w:color w:val="000000"/>
                <w:sz w:val="20"/>
                <w:lang w:eastAsia="sk-SK"/>
              </w:rPr>
            </w:pPr>
            <w:r w:rsidRPr="002C68FD">
              <w:rPr>
                <w:rFonts w:eastAsia="Times New Roman" w:cs="Times New Roman"/>
                <w:color w:val="000000"/>
                <w:sz w:val="20"/>
                <w:lang w:eastAsia="sk-SK"/>
              </w:rPr>
              <w:t>Vývinové poruchy aktivity a pozornosti</w:t>
            </w:r>
          </w:p>
        </w:tc>
        <w:tc>
          <w:tcPr>
            <w:tcW w:w="1077" w:type="dxa"/>
            <w:tcBorders>
              <w:top w:val="single" w:sz="4" w:space="0" w:color="auto"/>
            </w:tcBorders>
            <w:shd w:val="clear" w:color="auto" w:fill="auto"/>
            <w:noWrap/>
            <w:vAlign w:val="bottom"/>
            <w:hideMark/>
          </w:tcPr>
          <w:p w14:paraId="2956AE7E"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636</w:t>
            </w:r>
          </w:p>
        </w:tc>
        <w:tc>
          <w:tcPr>
            <w:tcW w:w="1077" w:type="dxa"/>
            <w:tcBorders>
              <w:top w:val="single" w:sz="4" w:space="0" w:color="auto"/>
            </w:tcBorders>
            <w:shd w:val="clear" w:color="auto" w:fill="auto"/>
            <w:noWrap/>
            <w:vAlign w:val="bottom"/>
            <w:hideMark/>
          </w:tcPr>
          <w:p w14:paraId="7D70E432"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4539</w:t>
            </w:r>
          </w:p>
        </w:tc>
        <w:tc>
          <w:tcPr>
            <w:tcW w:w="1077" w:type="dxa"/>
            <w:tcBorders>
              <w:top w:val="single" w:sz="4" w:space="0" w:color="auto"/>
            </w:tcBorders>
            <w:shd w:val="clear" w:color="auto" w:fill="auto"/>
            <w:noWrap/>
            <w:vAlign w:val="bottom"/>
            <w:hideMark/>
          </w:tcPr>
          <w:p w14:paraId="6EEF5CDB"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3903</w:t>
            </w:r>
          </w:p>
        </w:tc>
        <w:tc>
          <w:tcPr>
            <w:tcW w:w="1077" w:type="dxa"/>
            <w:tcBorders>
              <w:top w:val="single" w:sz="4" w:space="0" w:color="auto"/>
            </w:tcBorders>
            <w:shd w:val="clear" w:color="auto" w:fill="auto"/>
            <w:noWrap/>
            <w:vAlign w:val="bottom"/>
            <w:hideMark/>
          </w:tcPr>
          <w:p w14:paraId="6FCA1FC9"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614</w:t>
            </w:r>
          </w:p>
        </w:tc>
      </w:tr>
      <w:tr w:rsidR="001B34C7" w:rsidRPr="009973EE" w14:paraId="6E28867E" w14:textId="77777777" w:rsidTr="002E33D9">
        <w:trPr>
          <w:trHeight w:val="300"/>
        </w:trPr>
        <w:tc>
          <w:tcPr>
            <w:tcW w:w="4395" w:type="dxa"/>
            <w:shd w:val="clear" w:color="auto" w:fill="auto"/>
            <w:noWrap/>
            <w:vAlign w:val="bottom"/>
            <w:hideMark/>
          </w:tcPr>
          <w:p w14:paraId="00B26DAA" w14:textId="77777777" w:rsidR="001B34C7" w:rsidRPr="002C68FD" w:rsidRDefault="001B34C7" w:rsidP="002E33D9">
            <w:pPr>
              <w:spacing w:after="0" w:line="240" w:lineRule="auto"/>
              <w:rPr>
                <w:rFonts w:eastAsia="Times New Roman" w:cs="Times New Roman"/>
                <w:color w:val="000000"/>
                <w:sz w:val="20"/>
                <w:lang w:eastAsia="sk-SK"/>
              </w:rPr>
            </w:pPr>
            <w:r w:rsidRPr="002C68FD">
              <w:rPr>
                <w:rFonts w:eastAsia="Times New Roman" w:cs="Times New Roman"/>
                <w:color w:val="000000"/>
                <w:sz w:val="20"/>
                <w:lang w:eastAsia="sk-SK"/>
              </w:rPr>
              <w:t>Vývinové poruchy učenia</w:t>
            </w:r>
          </w:p>
        </w:tc>
        <w:tc>
          <w:tcPr>
            <w:tcW w:w="1077" w:type="dxa"/>
            <w:shd w:val="clear" w:color="auto" w:fill="auto"/>
            <w:noWrap/>
            <w:vAlign w:val="bottom"/>
            <w:hideMark/>
          </w:tcPr>
          <w:p w14:paraId="5825C110"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12811</w:t>
            </w:r>
          </w:p>
        </w:tc>
        <w:tc>
          <w:tcPr>
            <w:tcW w:w="1077" w:type="dxa"/>
            <w:shd w:val="clear" w:color="auto" w:fill="auto"/>
            <w:noWrap/>
            <w:vAlign w:val="bottom"/>
            <w:hideMark/>
          </w:tcPr>
          <w:p w14:paraId="3B6C6665"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15014</w:t>
            </w:r>
          </w:p>
        </w:tc>
        <w:tc>
          <w:tcPr>
            <w:tcW w:w="1077" w:type="dxa"/>
            <w:shd w:val="clear" w:color="auto" w:fill="auto"/>
            <w:noWrap/>
            <w:vAlign w:val="bottom"/>
            <w:hideMark/>
          </w:tcPr>
          <w:p w14:paraId="48A0FEFE"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2203</w:t>
            </w:r>
          </w:p>
        </w:tc>
        <w:tc>
          <w:tcPr>
            <w:tcW w:w="1077" w:type="dxa"/>
            <w:shd w:val="clear" w:color="auto" w:fill="auto"/>
            <w:noWrap/>
            <w:vAlign w:val="bottom"/>
            <w:hideMark/>
          </w:tcPr>
          <w:p w14:paraId="636328FE"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17</w:t>
            </w:r>
          </w:p>
        </w:tc>
      </w:tr>
      <w:tr w:rsidR="001B34C7" w:rsidRPr="009973EE" w14:paraId="02DCA14C" w14:textId="77777777" w:rsidTr="002E33D9">
        <w:trPr>
          <w:trHeight w:val="300"/>
        </w:trPr>
        <w:tc>
          <w:tcPr>
            <w:tcW w:w="4395" w:type="dxa"/>
            <w:shd w:val="clear" w:color="auto" w:fill="auto"/>
            <w:noWrap/>
            <w:vAlign w:val="bottom"/>
            <w:hideMark/>
          </w:tcPr>
          <w:p w14:paraId="23BC7108" w14:textId="77777777" w:rsidR="001B34C7" w:rsidRPr="002C68FD" w:rsidRDefault="001B34C7" w:rsidP="002E33D9">
            <w:pPr>
              <w:spacing w:after="0" w:line="240" w:lineRule="auto"/>
              <w:rPr>
                <w:rFonts w:eastAsia="Times New Roman" w:cs="Times New Roman"/>
                <w:color w:val="000000"/>
                <w:sz w:val="20"/>
                <w:lang w:eastAsia="sk-SK"/>
              </w:rPr>
            </w:pPr>
            <w:r w:rsidRPr="002C68FD">
              <w:rPr>
                <w:rFonts w:eastAsia="Times New Roman" w:cs="Times New Roman"/>
                <w:color w:val="000000"/>
                <w:sz w:val="20"/>
                <w:lang w:eastAsia="sk-SK"/>
              </w:rPr>
              <w:t>Narušená komunikačná schopnosť</w:t>
            </w:r>
          </w:p>
        </w:tc>
        <w:tc>
          <w:tcPr>
            <w:tcW w:w="1077" w:type="dxa"/>
            <w:shd w:val="clear" w:color="auto" w:fill="auto"/>
            <w:noWrap/>
            <w:vAlign w:val="bottom"/>
            <w:hideMark/>
          </w:tcPr>
          <w:p w14:paraId="0F49110F"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1895</w:t>
            </w:r>
          </w:p>
        </w:tc>
        <w:tc>
          <w:tcPr>
            <w:tcW w:w="1077" w:type="dxa"/>
            <w:shd w:val="clear" w:color="auto" w:fill="auto"/>
            <w:noWrap/>
            <w:vAlign w:val="bottom"/>
            <w:hideMark/>
          </w:tcPr>
          <w:p w14:paraId="01201511"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3649</w:t>
            </w:r>
          </w:p>
        </w:tc>
        <w:tc>
          <w:tcPr>
            <w:tcW w:w="1077" w:type="dxa"/>
            <w:shd w:val="clear" w:color="auto" w:fill="auto"/>
            <w:noWrap/>
            <w:vAlign w:val="bottom"/>
            <w:hideMark/>
          </w:tcPr>
          <w:p w14:paraId="46D4CB86"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1754</w:t>
            </w:r>
          </w:p>
        </w:tc>
        <w:tc>
          <w:tcPr>
            <w:tcW w:w="1077" w:type="dxa"/>
            <w:shd w:val="clear" w:color="auto" w:fill="auto"/>
            <w:noWrap/>
            <w:vAlign w:val="bottom"/>
            <w:hideMark/>
          </w:tcPr>
          <w:p w14:paraId="6C909CCF"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93</w:t>
            </w:r>
          </w:p>
        </w:tc>
      </w:tr>
      <w:tr w:rsidR="001B34C7" w:rsidRPr="009973EE" w14:paraId="181DD859" w14:textId="77777777" w:rsidTr="002E33D9">
        <w:trPr>
          <w:trHeight w:val="300"/>
        </w:trPr>
        <w:tc>
          <w:tcPr>
            <w:tcW w:w="4395" w:type="dxa"/>
            <w:shd w:val="clear" w:color="auto" w:fill="auto"/>
            <w:noWrap/>
            <w:vAlign w:val="bottom"/>
            <w:hideMark/>
          </w:tcPr>
          <w:p w14:paraId="652489E5" w14:textId="77777777" w:rsidR="001B34C7" w:rsidRPr="002C68FD" w:rsidRDefault="001B34C7" w:rsidP="002E33D9">
            <w:pPr>
              <w:spacing w:after="0" w:line="240" w:lineRule="auto"/>
              <w:rPr>
                <w:rFonts w:eastAsia="Times New Roman" w:cs="Times New Roman"/>
                <w:color w:val="000000"/>
                <w:sz w:val="20"/>
                <w:lang w:eastAsia="sk-SK"/>
              </w:rPr>
            </w:pPr>
            <w:r w:rsidRPr="002C68FD">
              <w:rPr>
                <w:rFonts w:eastAsia="Times New Roman" w:cs="Times New Roman"/>
                <w:color w:val="000000"/>
                <w:sz w:val="20"/>
                <w:lang w:eastAsia="sk-SK"/>
              </w:rPr>
              <w:t>S autizmom</w:t>
            </w:r>
          </w:p>
        </w:tc>
        <w:tc>
          <w:tcPr>
            <w:tcW w:w="1077" w:type="dxa"/>
            <w:shd w:val="clear" w:color="auto" w:fill="auto"/>
            <w:noWrap/>
            <w:vAlign w:val="bottom"/>
            <w:hideMark/>
          </w:tcPr>
          <w:p w14:paraId="45CAF341"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204</w:t>
            </w:r>
          </w:p>
        </w:tc>
        <w:tc>
          <w:tcPr>
            <w:tcW w:w="1077" w:type="dxa"/>
            <w:shd w:val="clear" w:color="auto" w:fill="auto"/>
            <w:noWrap/>
            <w:vAlign w:val="bottom"/>
            <w:hideMark/>
          </w:tcPr>
          <w:p w14:paraId="15E2E606"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743</w:t>
            </w:r>
          </w:p>
        </w:tc>
        <w:tc>
          <w:tcPr>
            <w:tcW w:w="1077" w:type="dxa"/>
            <w:shd w:val="clear" w:color="auto" w:fill="auto"/>
            <w:noWrap/>
            <w:vAlign w:val="bottom"/>
            <w:hideMark/>
          </w:tcPr>
          <w:p w14:paraId="3C9F2CC0"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539</w:t>
            </w:r>
          </w:p>
        </w:tc>
        <w:tc>
          <w:tcPr>
            <w:tcW w:w="1077" w:type="dxa"/>
            <w:shd w:val="clear" w:color="auto" w:fill="auto"/>
            <w:noWrap/>
            <w:vAlign w:val="bottom"/>
            <w:hideMark/>
          </w:tcPr>
          <w:p w14:paraId="4184A0E9"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265</w:t>
            </w:r>
          </w:p>
        </w:tc>
      </w:tr>
      <w:tr w:rsidR="001B34C7" w:rsidRPr="009973EE" w14:paraId="4E3A531D" w14:textId="77777777" w:rsidTr="002E33D9">
        <w:trPr>
          <w:trHeight w:val="300"/>
        </w:trPr>
        <w:tc>
          <w:tcPr>
            <w:tcW w:w="4395" w:type="dxa"/>
            <w:shd w:val="clear" w:color="auto" w:fill="auto"/>
            <w:noWrap/>
            <w:vAlign w:val="bottom"/>
            <w:hideMark/>
          </w:tcPr>
          <w:p w14:paraId="4C018FAB" w14:textId="77777777" w:rsidR="001B34C7" w:rsidRPr="002C68FD" w:rsidRDefault="001B34C7" w:rsidP="002E33D9">
            <w:pPr>
              <w:spacing w:after="0" w:line="240" w:lineRule="auto"/>
              <w:rPr>
                <w:rFonts w:eastAsia="Times New Roman" w:cs="Times New Roman"/>
                <w:color w:val="000000"/>
                <w:sz w:val="20"/>
                <w:lang w:eastAsia="sk-SK"/>
              </w:rPr>
            </w:pPr>
            <w:r w:rsidRPr="002C68FD">
              <w:rPr>
                <w:rFonts w:eastAsia="Times New Roman" w:cs="Times New Roman"/>
                <w:color w:val="000000"/>
                <w:sz w:val="20"/>
                <w:lang w:eastAsia="sk-SK"/>
              </w:rPr>
              <w:t>Viacnásobne postihnutí</w:t>
            </w:r>
          </w:p>
        </w:tc>
        <w:tc>
          <w:tcPr>
            <w:tcW w:w="1077" w:type="dxa"/>
            <w:shd w:val="clear" w:color="auto" w:fill="auto"/>
            <w:noWrap/>
            <w:vAlign w:val="bottom"/>
            <w:hideMark/>
          </w:tcPr>
          <w:p w14:paraId="72F17BF1"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106</w:t>
            </w:r>
          </w:p>
        </w:tc>
        <w:tc>
          <w:tcPr>
            <w:tcW w:w="1077" w:type="dxa"/>
            <w:shd w:val="clear" w:color="auto" w:fill="auto"/>
            <w:noWrap/>
            <w:vAlign w:val="bottom"/>
            <w:hideMark/>
          </w:tcPr>
          <w:p w14:paraId="352CD12D"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450</w:t>
            </w:r>
          </w:p>
        </w:tc>
        <w:tc>
          <w:tcPr>
            <w:tcW w:w="1077" w:type="dxa"/>
            <w:shd w:val="clear" w:color="auto" w:fill="auto"/>
            <w:noWrap/>
            <w:vAlign w:val="bottom"/>
            <w:hideMark/>
          </w:tcPr>
          <w:p w14:paraId="1361724F"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345</w:t>
            </w:r>
          </w:p>
        </w:tc>
        <w:tc>
          <w:tcPr>
            <w:tcW w:w="1077" w:type="dxa"/>
            <w:shd w:val="clear" w:color="auto" w:fill="auto"/>
            <w:noWrap/>
            <w:vAlign w:val="bottom"/>
            <w:hideMark/>
          </w:tcPr>
          <w:p w14:paraId="1C6AF4B4"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326</w:t>
            </w:r>
          </w:p>
        </w:tc>
      </w:tr>
      <w:tr w:rsidR="001B34C7" w:rsidRPr="009973EE" w14:paraId="08FDD290" w14:textId="77777777" w:rsidTr="002E33D9">
        <w:trPr>
          <w:trHeight w:val="300"/>
        </w:trPr>
        <w:tc>
          <w:tcPr>
            <w:tcW w:w="4395" w:type="dxa"/>
            <w:shd w:val="clear" w:color="auto" w:fill="auto"/>
            <w:noWrap/>
            <w:vAlign w:val="bottom"/>
            <w:hideMark/>
          </w:tcPr>
          <w:p w14:paraId="2E936271" w14:textId="77777777" w:rsidR="001B34C7" w:rsidRPr="002C68FD" w:rsidRDefault="001B34C7" w:rsidP="002E33D9">
            <w:pPr>
              <w:spacing w:after="0" w:line="240" w:lineRule="auto"/>
              <w:rPr>
                <w:rFonts w:eastAsia="Times New Roman" w:cs="Times New Roman"/>
                <w:color w:val="000000"/>
                <w:sz w:val="20"/>
                <w:lang w:eastAsia="sk-SK"/>
              </w:rPr>
            </w:pPr>
            <w:r w:rsidRPr="002C68FD">
              <w:rPr>
                <w:rFonts w:eastAsia="Times New Roman" w:cs="Times New Roman"/>
                <w:color w:val="000000"/>
                <w:sz w:val="20"/>
                <w:lang w:eastAsia="sk-SK"/>
              </w:rPr>
              <w:t>Mentálne postihnutí variant B v kombinácii s iným ZZ</w:t>
            </w:r>
          </w:p>
        </w:tc>
        <w:tc>
          <w:tcPr>
            <w:tcW w:w="1077" w:type="dxa"/>
            <w:shd w:val="clear" w:color="auto" w:fill="auto"/>
            <w:noWrap/>
            <w:vAlign w:val="bottom"/>
            <w:hideMark/>
          </w:tcPr>
          <w:p w14:paraId="673459E5"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211</w:t>
            </w:r>
          </w:p>
        </w:tc>
        <w:tc>
          <w:tcPr>
            <w:tcW w:w="1077" w:type="dxa"/>
            <w:shd w:val="clear" w:color="auto" w:fill="auto"/>
            <w:noWrap/>
            <w:vAlign w:val="bottom"/>
            <w:hideMark/>
          </w:tcPr>
          <w:p w14:paraId="5E69A604"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526</w:t>
            </w:r>
          </w:p>
        </w:tc>
        <w:tc>
          <w:tcPr>
            <w:tcW w:w="1077" w:type="dxa"/>
            <w:shd w:val="clear" w:color="auto" w:fill="auto"/>
            <w:noWrap/>
            <w:vAlign w:val="bottom"/>
            <w:hideMark/>
          </w:tcPr>
          <w:p w14:paraId="1612E303"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315</w:t>
            </w:r>
          </w:p>
        </w:tc>
        <w:tc>
          <w:tcPr>
            <w:tcW w:w="1077" w:type="dxa"/>
            <w:shd w:val="clear" w:color="auto" w:fill="auto"/>
            <w:noWrap/>
            <w:vAlign w:val="bottom"/>
            <w:hideMark/>
          </w:tcPr>
          <w:p w14:paraId="6D9BB1B8"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149</w:t>
            </w:r>
          </w:p>
        </w:tc>
      </w:tr>
      <w:tr w:rsidR="001B34C7" w:rsidRPr="009973EE" w14:paraId="06B2D087" w14:textId="77777777" w:rsidTr="002E33D9">
        <w:trPr>
          <w:trHeight w:val="300"/>
        </w:trPr>
        <w:tc>
          <w:tcPr>
            <w:tcW w:w="4395" w:type="dxa"/>
            <w:shd w:val="clear" w:color="auto" w:fill="auto"/>
            <w:noWrap/>
            <w:vAlign w:val="bottom"/>
            <w:hideMark/>
          </w:tcPr>
          <w:p w14:paraId="0C839563" w14:textId="77777777" w:rsidR="001B34C7" w:rsidRPr="002C68FD" w:rsidRDefault="001B34C7" w:rsidP="002E33D9">
            <w:pPr>
              <w:spacing w:after="0" w:line="240" w:lineRule="auto"/>
              <w:rPr>
                <w:rFonts w:eastAsia="Times New Roman" w:cs="Times New Roman"/>
                <w:color w:val="000000"/>
                <w:sz w:val="20"/>
                <w:lang w:eastAsia="sk-SK"/>
              </w:rPr>
            </w:pPr>
            <w:r w:rsidRPr="002C68FD">
              <w:rPr>
                <w:rFonts w:eastAsia="Times New Roman" w:cs="Times New Roman"/>
                <w:color w:val="000000"/>
                <w:sz w:val="20"/>
                <w:lang w:eastAsia="sk-SK"/>
              </w:rPr>
              <w:t>Mentálne postihnutí variant B</w:t>
            </w:r>
          </w:p>
        </w:tc>
        <w:tc>
          <w:tcPr>
            <w:tcW w:w="1077" w:type="dxa"/>
            <w:shd w:val="clear" w:color="auto" w:fill="auto"/>
            <w:noWrap/>
            <w:vAlign w:val="bottom"/>
            <w:hideMark/>
          </w:tcPr>
          <w:p w14:paraId="2F06BDD9"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2488</w:t>
            </w:r>
          </w:p>
        </w:tc>
        <w:tc>
          <w:tcPr>
            <w:tcW w:w="1077" w:type="dxa"/>
            <w:shd w:val="clear" w:color="auto" w:fill="auto"/>
            <w:noWrap/>
            <w:vAlign w:val="bottom"/>
            <w:hideMark/>
          </w:tcPr>
          <w:p w14:paraId="30AE013A"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2777</w:t>
            </w:r>
          </w:p>
        </w:tc>
        <w:tc>
          <w:tcPr>
            <w:tcW w:w="1077" w:type="dxa"/>
            <w:shd w:val="clear" w:color="auto" w:fill="auto"/>
            <w:noWrap/>
            <w:vAlign w:val="bottom"/>
            <w:hideMark/>
          </w:tcPr>
          <w:p w14:paraId="1E71EE48"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289</w:t>
            </w:r>
          </w:p>
        </w:tc>
        <w:tc>
          <w:tcPr>
            <w:tcW w:w="1077" w:type="dxa"/>
            <w:shd w:val="clear" w:color="auto" w:fill="auto"/>
            <w:noWrap/>
            <w:vAlign w:val="bottom"/>
            <w:hideMark/>
          </w:tcPr>
          <w:p w14:paraId="13CEFC54"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12</w:t>
            </w:r>
          </w:p>
        </w:tc>
      </w:tr>
      <w:tr w:rsidR="001B34C7" w:rsidRPr="009973EE" w14:paraId="1D3382C7" w14:textId="77777777" w:rsidTr="002E33D9">
        <w:trPr>
          <w:trHeight w:val="300"/>
        </w:trPr>
        <w:tc>
          <w:tcPr>
            <w:tcW w:w="4395" w:type="dxa"/>
            <w:shd w:val="clear" w:color="auto" w:fill="auto"/>
            <w:noWrap/>
            <w:vAlign w:val="bottom"/>
            <w:hideMark/>
          </w:tcPr>
          <w:p w14:paraId="14F66C64" w14:textId="77777777" w:rsidR="001B34C7" w:rsidRPr="002C68FD" w:rsidRDefault="001B34C7" w:rsidP="002E33D9">
            <w:pPr>
              <w:spacing w:after="0" w:line="240" w:lineRule="auto"/>
              <w:rPr>
                <w:rFonts w:eastAsia="Times New Roman" w:cs="Times New Roman"/>
                <w:color w:val="000000"/>
                <w:sz w:val="20"/>
                <w:lang w:eastAsia="sk-SK"/>
              </w:rPr>
            </w:pPr>
            <w:r w:rsidRPr="002C68FD">
              <w:rPr>
                <w:rFonts w:eastAsia="Times New Roman" w:cs="Times New Roman"/>
                <w:color w:val="000000"/>
                <w:sz w:val="20"/>
                <w:lang w:eastAsia="sk-SK"/>
              </w:rPr>
              <w:t>Chorí a zdravotne oslabení</w:t>
            </w:r>
          </w:p>
        </w:tc>
        <w:tc>
          <w:tcPr>
            <w:tcW w:w="1077" w:type="dxa"/>
            <w:shd w:val="clear" w:color="auto" w:fill="auto"/>
            <w:noWrap/>
            <w:vAlign w:val="bottom"/>
            <w:hideMark/>
          </w:tcPr>
          <w:p w14:paraId="4CA8E549"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84</w:t>
            </w:r>
          </w:p>
        </w:tc>
        <w:tc>
          <w:tcPr>
            <w:tcW w:w="1077" w:type="dxa"/>
            <w:shd w:val="clear" w:color="auto" w:fill="auto"/>
            <w:noWrap/>
            <w:vAlign w:val="bottom"/>
            <w:hideMark/>
          </w:tcPr>
          <w:p w14:paraId="0670FAC3"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361</w:t>
            </w:r>
          </w:p>
        </w:tc>
        <w:tc>
          <w:tcPr>
            <w:tcW w:w="1077" w:type="dxa"/>
            <w:shd w:val="clear" w:color="auto" w:fill="auto"/>
            <w:noWrap/>
            <w:vAlign w:val="bottom"/>
            <w:hideMark/>
          </w:tcPr>
          <w:p w14:paraId="3750CB21"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276</w:t>
            </w:r>
          </w:p>
        </w:tc>
        <w:tc>
          <w:tcPr>
            <w:tcW w:w="1077" w:type="dxa"/>
            <w:shd w:val="clear" w:color="auto" w:fill="auto"/>
            <w:noWrap/>
            <w:vAlign w:val="bottom"/>
            <w:hideMark/>
          </w:tcPr>
          <w:p w14:paraId="318D84FC"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328</w:t>
            </w:r>
          </w:p>
        </w:tc>
      </w:tr>
      <w:tr w:rsidR="001B34C7" w:rsidRPr="009973EE" w14:paraId="179D4CCC" w14:textId="77777777" w:rsidTr="002E33D9">
        <w:trPr>
          <w:trHeight w:val="300"/>
        </w:trPr>
        <w:tc>
          <w:tcPr>
            <w:tcW w:w="4395" w:type="dxa"/>
            <w:shd w:val="clear" w:color="auto" w:fill="auto"/>
            <w:noWrap/>
            <w:vAlign w:val="bottom"/>
            <w:hideMark/>
          </w:tcPr>
          <w:p w14:paraId="5C2CCDDB" w14:textId="77777777" w:rsidR="001B34C7" w:rsidRPr="002C68FD" w:rsidRDefault="001B34C7" w:rsidP="002E33D9">
            <w:pPr>
              <w:spacing w:after="0" w:line="240" w:lineRule="auto"/>
              <w:rPr>
                <w:rFonts w:eastAsia="Times New Roman" w:cs="Times New Roman"/>
                <w:color w:val="000000"/>
                <w:sz w:val="20"/>
                <w:lang w:eastAsia="sk-SK"/>
              </w:rPr>
            </w:pPr>
            <w:r w:rsidRPr="002C68FD">
              <w:rPr>
                <w:rFonts w:eastAsia="Times New Roman" w:cs="Times New Roman"/>
                <w:color w:val="000000"/>
                <w:sz w:val="20"/>
                <w:lang w:eastAsia="sk-SK"/>
              </w:rPr>
              <w:t>Mentálne postihnutí variant A v kombinácii s iným ZZ</w:t>
            </w:r>
          </w:p>
        </w:tc>
        <w:tc>
          <w:tcPr>
            <w:tcW w:w="1077" w:type="dxa"/>
            <w:shd w:val="clear" w:color="auto" w:fill="auto"/>
            <w:noWrap/>
            <w:vAlign w:val="bottom"/>
            <w:hideMark/>
          </w:tcPr>
          <w:p w14:paraId="3DE221ED"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749</w:t>
            </w:r>
          </w:p>
        </w:tc>
        <w:tc>
          <w:tcPr>
            <w:tcW w:w="1077" w:type="dxa"/>
            <w:shd w:val="clear" w:color="auto" w:fill="auto"/>
            <w:noWrap/>
            <w:vAlign w:val="bottom"/>
            <w:hideMark/>
          </w:tcPr>
          <w:p w14:paraId="273C52FF"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1006</w:t>
            </w:r>
          </w:p>
        </w:tc>
        <w:tc>
          <w:tcPr>
            <w:tcW w:w="1077" w:type="dxa"/>
            <w:shd w:val="clear" w:color="auto" w:fill="auto"/>
            <w:noWrap/>
            <w:vAlign w:val="bottom"/>
            <w:hideMark/>
          </w:tcPr>
          <w:p w14:paraId="5048C891"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256</w:t>
            </w:r>
          </w:p>
        </w:tc>
        <w:tc>
          <w:tcPr>
            <w:tcW w:w="1077" w:type="dxa"/>
            <w:shd w:val="clear" w:color="auto" w:fill="auto"/>
            <w:noWrap/>
            <w:vAlign w:val="bottom"/>
            <w:hideMark/>
          </w:tcPr>
          <w:p w14:paraId="13434AE7"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34</w:t>
            </w:r>
          </w:p>
        </w:tc>
      </w:tr>
      <w:tr w:rsidR="001B34C7" w:rsidRPr="009973EE" w14:paraId="5FE29178" w14:textId="77777777" w:rsidTr="002E33D9">
        <w:trPr>
          <w:trHeight w:val="300"/>
        </w:trPr>
        <w:tc>
          <w:tcPr>
            <w:tcW w:w="4395" w:type="dxa"/>
            <w:shd w:val="clear" w:color="auto" w:fill="auto"/>
            <w:noWrap/>
            <w:vAlign w:val="bottom"/>
            <w:hideMark/>
          </w:tcPr>
          <w:p w14:paraId="0897EF87" w14:textId="77777777" w:rsidR="001B34C7" w:rsidRPr="002C68FD" w:rsidRDefault="001B34C7" w:rsidP="002E33D9">
            <w:pPr>
              <w:spacing w:after="0" w:line="240" w:lineRule="auto"/>
              <w:rPr>
                <w:rFonts w:eastAsia="Times New Roman" w:cs="Times New Roman"/>
                <w:color w:val="000000"/>
                <w:sz w:val="20"/>
                <w:lang w:eastAsia="sk-SK"/>
              </w:rPr>
            </w:pPr>
            <w:r w:rsidRPr="002C68FD">
              <w:rPr>
                <w:rFonts w:eastAsia="Times New Roman" w:cs="Times New Roman"/>
                <w:color w:val="000000"/>
                <w:sz w:val="20"/>
                <w:lang w:eastAsia="sk-SK"/>
              </w:rPr>
              <w:t>Sluchovo postihnutí</w:t>
            </w:r>
          </w:p>
        </w:tc>
        <w:tc>
          <w:tcPr>
            <w:tcW w:w="1077" w:type="dxa"/>
            <w:shd w:val="clear" w:color="auto" w:fill="auto"/>
            <w:noWrap/>
            <w:vAlign w:val="bottom"/>
            <w:hideMark/>
          </w:tcPr>
          <w:p w14:paraId="47CCB11C"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571</w:t>
            </w:r>
          </w:p>
        </w:tc>
        <w:tc>
          <w:tcPr>
            <w:tcW w:w="1077" w:type="dxa"/>
            <w:shd w:val="clear" w:color="auto" w:fill="auto"/>
            <w:noWrap/>
            <w:vAlign w:val="bottom"/>
            <w:hideMark/>
          </w:tcPr>
          <w:p w14:paraId="12B35950"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673</w:t>
            </w:r>
          </w:p>
        </w:tc>
        <w:tc>
          <w:tcPr>
            <w:tcW w:w="1077" w:type="dxa"/>
            <w:shd w:val="clear" w:color="auto" w:fill="auto"/>
            <w:noWrap/>
            <w:vAlign w:val="bottom"/>
            <w:hideMark/>
          </w:tcPr>
          <w:p w14:paraId="05761940"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102</w:t>
            </w:r>
          </w:p>
        </w:tc>
        <w:tc>
          <w:tcPr>
            <w:tcW w:w="1077" w:type="dxa"/>
            <w:shd w:val="clear" w:color="auto" w:fill="auto"/>
            <w:noWrap/>
            <w:vAlign w:val="bottom"/>
            <w:hideMark/>
          </w:tcPr>
          <w:p w14:paraId="1EB34ECB"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18</w:t>
            </w:r>
          </w:p>
        </w:tc>
      </w:tr>
      <w:tr w:rsidR="001B34C7" w:rsidRPr="009973EE" w14:paraId="1C5AC50B" w14:textId="77777777" w:rsidTr="002E33D9">
        <w:trPr>
          <w:trHeight w:val="300"/>
        </w:trPr>
        <w:tc>
          <w:tcPr>
            <w:tcW w:w="4395" w:type="dxa"/>
            <w:shd w:val="clear" w:color="auto" w:fill="auto"/>
            <w:noWrap/>
            <w:vAlign w:val="bottom"/>
            <w:hideMark/>
          </w:tcPr>
          <w:p w14:paraId="11F38CA0" w14:textId="77777777" w:rsidR="001B34C7" w:rsidRPr="002C68FD" w:rsidRDefault="001B34C7" w:rsidP="002E33D9">
            <w:pPr>
              <w:spacing w:after="0" w:line="240" w:lineRule="auto"/>
              <w:rPr>
                <w:rFonts w:eastAsia="Times New Roman" w:cs="Times New Roman"/>
                <w:color w:val="000000"/>
                <w:sz w:val="20"/>
                <w:lang w:eastAsia="sk-SK"/>
              </w:rPr>
            </w:pPr>
            <w:r w:rsidRPr="002C68FD">
              <w:rPr>
                <w:rFonts w:eastAsia="Times New Roman" w:cs="Times New Roman"/>
                <w:color w:val="000000"/>
                <w:sz w:val="20"/>
                <w:lang w:eastAsia="sk-SK"/>
              </w:rPr>
              <w:t>Zrakovo postihnutí</w:t>
            </w:r>
          </w:p>
        </w:tc>
        <w:tc>
          <w:tcPr>
            <w:tcW w:w="1077" w:type="dxa"/>
            <w:shd w:val="clear" w:color="auto" w:fill="auto"/>
            <w:noWrap/>
            <w:vAlign w:val="bottom"/>
            <w:hideMark/>
          </w:tcPr>
          <w:p w14:paraId="47669C68"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375</w:t>
            </w:r>
          </w:p>
        </w:tc>
        <w:tc>
          <w:tcPr>
            <w:tcW w:w="1077" w:type="dxa"/>
            <w:shd w:val="clear" w:color="auto" w:fill="auto"/>
            <w:noWrap/>
            <w:vAlign w:val="bottom"/>
            <w:hideMark/>
          </w:tcPr>
          <w:p w14:paraId="468B2A28"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394</w:t>
            </w:r>
          </w:p>
        </w:tc>
        <w:tc>
          <w:tcPr>
            <w:tcW w:w="1077" w:type="dxa"/>
            <w:shd w:val="clear" w:color="auto" w:fill="auto"/>
            <w:noWrap/>
            <w:vAlign w:val="bottom"/>
            <w:hideMark/>
          </w:tcPr>
          <w:p w14:paraId="63DD1B58"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19</w:t>
            </w:r>
          </w:p>
        </w:tc>
        <w:tc>
          <w:tcPr>
            <w:tcW w:w="1077" w:type="dxa"/>
            <w:shd w:val="clear" w:color="auto" w:fill="auto"/>
            <w:noWrap/>
            <w:vAlign w:val="bottom"/>
            <w:hideMark/>
          </w:tcPr>
          <w:p w14:paraId="346EDE81"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5</w:t>
            </w:r>
          </w:p>
        </w:tc>
      </w:tr>
      <w:tr w:rsidR="001B34C7" w:rsidRPr="009973EE" w14:paraId="33172D8B" w14:textId="77777777" w:rsidTr="002E33D9">
        <w:trPr>
          <w:trHeight w:val="300"/>
        </w:trPr>
        <w:tc>
          <w:tcPr>
            <w:tcW w:w="4395" w:type="dxa"/>
            <w:shd w:val="clear" w:color="auto" w:fill="auto"/>
            <w:noWrap/>
            <w:vAlign w:val="bottom"/>
            <w:hideMark/>
          </w:tcPr>
          <w:p w14:paraId="61460A17" w14:textId="77777777" w:rsidR="001B34C7" w:rsidRPr="002C68FD" w:rsidRDefault="001B34C7" w:rsidP="002E33D9">
            <w:pPr>
              <w:spacing w:after="0" w:line="240" w:lineRule="auto"/>
              <w:rPr>
                <w:rFonts w:eastAsia="Times New Roman" w:cs="Times New Roman"/>
                <w:color w:val="000000"/>
                <w:sz w:val="20"/>
                <w:lang w:eastAsia="sk-SK"/>
              </w:rPr>
            </w:pPr>
            <w:r w:rsidRPr="002C68FD">
              <w:rPr>
                <w:rFonts w:eastAsia="Times New Roman" w:cs="Times New Roman"/>
                <w:color w:val="000000"/>
                <w:sz w:val="20"/>
                <w:lang w:eastAsia="sk-SK"/>
              </w:rPr>
              <w:t>Mentálne postihnutí variant C</w:t>
            </w:r>
          </w:p>
        </w:tc>
        <w:tc>
          <w:tcPr>
            <w:tcW w:w="1077" w:type="dxa"/>
            <w:shd w:val="clear" w:color="auto" w:fill="auto"/>
            <w:noWrap/>
            <w:vAlign w:val="bottom"/>
            <w:hideMark/>
          </w:tcPr>
          <w:p w14:paraId="56FDFF0D"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1596</w:t>
            </w:r>
          </w:p>
        </w:tc>
        <w:tc>
          <w:tcPr>
            <w:tcW w:w="1077" w:type="dxa"/>
            <w:shd w:val="clear" w:color="auto" w:fill="auto"/>
            <w:noWrap/>
            <w:vAlign w:val="bottom"/>
            <w:hideMark/>
          </w:tcPr>
          <w:p w14:paraId="692E88BC"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1479</w:t>
            </w:r>
          </w:p>
        </w:tc>
        <w:tc>
          <w:tcPr>
            <w:tcW w:w="1077" w:type="dxa"/>
            <w:shd w:val="clear" w:color="auto" w:fill="auto"/>
            <w:noWrap/>
            <w:vAlign w:val="bottom"/>
            <w:hideMark/>
          </w:tcPr>
          <w:p w14:paraId="39408D88"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-117</w:t>
            </w:r>
          </w:p>
        </w:tc>
        <w:tc>
          <w:tcPr>
            <w:tcW w:w="1077" w:type="dxa"/>
            <w:shd w:val="clear" w:color="auto" w:fill="auto"/>
            <w:noWrap/>
            <w:vAlign w:val="bottom"/>
            <w:hideMark/>
          </w:tcPr>
          <w:p w14:paraId="7C827032"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-7</w:t>
            </w:r>
          </w:p>
        </w:tc>
      </w:tr>
      <w:tr w:rsidR="001B34C7" w:rsidRPr="009973EE" w14:paraId="33B4ADBA" w14:textId="77777777" w:rsidTr="002E33D9">
        <w:trPr>
          <w:trHeight w:val="300"/>
        </w:trPr>
        <w:tc>
          <w:tcPr>
            <w:tcW w:w="4395" w:type="dxa"/>
            <w:shd w:val="clear" w:color="auto" w:fill="auto"/>
            <w:noWrap/>
            <w:vAlign w:val="bottom"/>
            <w:hideMark/>
          </w:tcPr>
          <w:p w14:paraId="1B3AFF3F" w14:textId="77777777" w:rsidR="001B34C7" w:rsidRPr="002C68FD" w:rsidRDefault="001B34C7" w:rsidP="002E33D9">
            <w:pPr>
              <w:spacing w:after="0" w:line="240" w:lineRule="auto"/>
              <w:rPr>
                <w:rFonts w:eastAsia="Times New Roman" w:cs="Times New Roman"/>
                <w:color w:val="000000"/>
                <w:sz w:val="20"/>
                <w:lang w:eastAsia="sk-SK"/>
              </w:rPr>
            </w:pPr>
            <w:r w:rsidRPr="002C68FD">
              <w:rPr>
                <w:rFonts w:eastAsia="Times New Roman" w:cs="Times New Roman"/>
                <w:color w:val="000000"/>
                <w:sz w:val="20"/>
                <w:lang w:eastAsia="sk-SK"/>
              </w:rPr>
              <w:t>Mentálne postihnutí variant C v kombinácii s iným ZZ</w:t>
            </w:r>
          </w:p>
        </w:tc>
        <w:tc>
          <w:tcPr>
            <w:tcW w:w="1077" w:type="dxa"/>
            <w:shd w:val="clear" w:color="auto" w:fill="auto"/>
            <w:noWrap/>
            <w:vAlign w:val="bottom"/>
            <w:hideMark/>
          </w:tcPr>
          <w:p w14:paraId="415ECDE2"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584</w:t>
            </w:r>
          </w:p>
        </w:tc>
        <w:tc>
          <w:tcPr>
            <w:tcW w:w="1077" w:type="dxa"/>
            <w:shd w:val="clear" w:color="auto" w:fill="auto"/>
            <w:noWrap/>
            <w:vAlign w:val="bottom"/>
            <w:hideMark/>
          </w:tcPr>
          <w:p w14:paraId="6D0D2134"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389</w:t>
            </w:r>
          </w:p>
        </w:tc>
        <w:tc>
          <w:tcPr>
            <w:tcW w:w="1077" w:type="dxa"/>
            <w:shd w:val="clear" w:color="auto" w:fill="auto"/>
            <w:noWrap/>
            <w:vAlign w:val="bottom"/>
            <w:hideMark/>
          </w:tcPr>
          <w:p w14:paraId="2BBFBA62"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-195</w:t>
            </w:r>
          </w:p>
        </w:tc>
        <w:tc>
          <w:tcPr>
            <w:tcW w:w="1077" w:type="dxa"/>
            <w:shd w:val="clear" w:color="auto" w:fill="auto"/>
            <w:noWrap/>
            <w:vAlign w:val="bottom"/>
            <w:hideMark/>
          </w:tcPr>
          <w:p w14:paraId="755E0A0E"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-33</w:t>
            </w:r>
          </w:p>
        </w:tc>
      </w:tr>
      <w:tr w:rsidR="001B34C7" w:rsidRPr="009973EE" w14:paraId="61381C54" w14:textId="77777777" w:rsidTr="002E33D9">
        <w:trPr>
          <w:trHeight w:val="300"/>
        </w:trPr>
        <w:tc>
          <w:tcPr>
            <w:tcW w:w="4395" w:type="dxa"/>
            <w:shd w:val="clear" w:color="auto" w:fill="auto"/>
            <w:noWrap/>
            <w:vAlign w:val="bottom"/>
            <w:hideMark/>
          </w:tcPr>
          <w:p w14:paraId="35798F1D" w14:textId="77777777" w:rsidR="001B34C7" w:rsidRPr="002C68FD" w:rsidRDefault="001B34C7" w:rsidP="002E33D9">
            <w:pPr>
              <w:spacing w:after="0" w:line="240" w:lineRule="auto"/>
              <w:rPr>
                <w:rFonts w:eastAsia="Times New Roman" w:cs="Times New Roman"/>
                <w:color w:val="000000"/>
                <w:sz w:val="20"/>
                <w:lang w:eastAsia="sk-SK"/>
              </w:rPr>
            </w:pPr>
            <w:r w:rsidRPr="002C68FD">
              <w:rPr>
                <w:rFonts w:eastAsia="Times New Roman" w:cs="Times New Roman"/>
                <w:color w:val="000000"/>
                <w:sz w:val="20"/>
                <w:lang w:eastAsia="sk-SK"/>
              </w:rPr>
              <w:t>Telesne postihnutí</w:t>
            </w:r>
          </w:p>
        </w:tc>
        <w:tc>
          <w:tcPr>
            <w:tcW w:w="1077" w:type="dxa"/>
            <w:shd w:val="clear" w:color="auto" w:fill="auto"/>
            <w:noWrap/>
            <w:vAlign w:val="bottom"/>
            <w:hideMark/>
          </w:tcPr>
          <w:p w14:paraId="13741D82"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1100</w:t>
            </w:r>
          </w:p>
        </w:tc>
        <w:tc>
          <w:tcPr>
            <w:tcW w:w="1077" w:type="dxa"/>
            <w:shd w:val="clear" w:color="auto" w:fill="auto"/>
            <w:noWrap/>
            <w:vAlign w:val="bottom"/>
            <w:hideMark/>
          </w:tcPr>
          <w:p w14:paraId="689CD320"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714</w:t>
            </w:r>
          </w:p>
        </w:tc>
        <w:tc>
          <w:tcPr>
            <w:tcW w:w="1077" w:type="dxa"/>
            <w:shd w:val="clear" w:color="auto" w:fill="auto"/>
            <w:noWrap/>
            <w:vAlign w:val="bottom"/>
            <w:hideMark/>
          </w:tcPr>
          <w:p w14:paraId="635C56BA"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-386</w:t>
            </w:r>
          </w:p>
        </w:tc>
        <w:tc>
          <w:tcPr>
            <w:tcW w:w="1077" w:type="dxa"/>
            <w:shd w:val="clear" w:color="auto" w:fill="auto"/>
            <w:noWrap/>
            <w:vAlign w:val="bottom"/>
            <w:hideMark/>
          </w:tcPr>
          <w:p w14:paraId="6878112F"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-35</w:t>
            </w:r>
          </w:p>
        </w:tc>
      </w:tr>
      <w:tr w:rsidR="001B34C7" w:rsidRPr="009973EE" w14:paraId="53B13D91" w14:textId="77777777" w:rsidTr="002E33D9">
        <w:trPr>
          <w:trHeight w:val="300"/>
        </w:trPr>
        <w:tc>
          <w:tcPr>
            <w:tcW w:w="4395" w:type="dxa"/>
            <w:shd w:val="clear" w:color="auto" w:fill="auto"/>
            <w:noWrap/>
            <w:vAlign w:val="bottom"/>
            <w:hideMark/>
          </w:tcPr>
          <w:p w14:paraId="40A39DB4" w14:textId="77777777" w:rsidR="001B34C7" w:rsidRPr="002C68FD" w:rsidRDefault="001B34C7" w:rsidP="002E33D9">
            <w:pPr>
              <w:spacing w:after="0" w:line="240" w:lineRule="auto"/>
              <w:rPr>
                <w:rFonts w:eastAsia="Times New Roman" w:cs="Times New Roman"/>
                <w:color w:val="000000"/>
                <w:sz w:val="20"/>
                <w:lang w:eastAsia="sk-SK"/>
              </w:rPr>
            </w:pPr>
            <w:r w:rsidRPr="002C68FD">
              <w:rPr>
                <w:rFonts w:eastAsia="Times New Roman" w:cs="Times New Roman"/>
                <w:color w:val="000000"/>
                <w:sz w:val="20"/>
                <w:lang w:eastAsia="sk-SK"/>
              </w:rPr>
              <w:t>Poruchy správania</w:t>
            </w:r>
          </w:p>
        </w:tc>
        <w:tc>
          <w:tcPr>
            <w:tcW w:w="1077" w:type="dxa"/>
            <w:shd w:val="clear" w:color="auto" w:fill="auto"/>
            <w:noWrap/>
            <w:vAlign w:val="bottom"/>
            <w:hideMark/>
          </w:tcPr>
          <w:p w14:paraId="5FE5DE67"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1748</w:t>
            </w:r>
          </w:p>
        </w:tc>
        <w:tc>
          <w:tcPr>
            <w:tcW w:w="1077" w:type="dxa"/>
            <w:shd w:val="clear" w:color="auto" w:fill="auto"/>
            <w:noWrap/>
            <w:vAlign w:val="bottom"/>
            <w:hideMark/>
          </w:tcPr>
          <w:p w14:paraId="1091F15C"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930</w:t>
            </w:r>
          </w:p>
        </w:tc>
        <w:tc>
          <w:tcPr>
            <w:tcW w:w="1077" w:type="dxa"/>
            <w:shd w:val="clear" w:color="auto" w:fill="auto"/>
            <w:noWrap/>
            <w:vAlign w:val="bottom"/>
            <w:hideMark/>
          </w:tcPr>
          <w:p w14:paraId="49E50507"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-819</w:t>
            </w:r>
          </w:p>
        </w:tc>
        <w:tc>
          <w:tcPr>
            <w:tcW w:w="1077" w:type="dxa"/>
            <w:shd w:val="clear" w:color="auto" w:fill="auto"/>
            <w:noWrap/>
            <w:vAlign w:val="bottom"/>
            <w:hideMark/>
          </w:tcPr>
          <w:p w14:paraId="71FEB6A1"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-47</w:t>
            </w:r>
          </w:p>
        </w:tc>
      </w:tr>
      <w:tr w:rsidR="001B34C7" w:rsidRPr="009973EE" w14:paraId="42CFB537" w14:textId="77777777" w:rsidTr="002E33D9">
        <w:trPr>
          <w:trHeight w:val="300"/>
        </w:trPr>
        <w:tc>
          <w:tcPr>
            <w:tcW w:w="4395" w:type="dxa"/>
            <w:tcBorders>
              <w:bottom w:val="single" w:sz="4" w:space="0" w:color="auto"/>
            </w:tcBorders>
            <w:shd w:val="clear" w:color="auto" w:fill="auto"/>
            <w:noWrap/>
            <w:vAlign w:val="bottom"/>
            <w:hideMark/>
          </w:tcPr>
          <w:p w14:paraId="5193BFE9" w14:textId="77777777" w:rsidR="001B34C7" w:rsidRPr="002C68FD" w:rsidRDefault="001B34C7" w:rsidP="002E33D9">
            <w:pPr>
              <w:spacing w:after="0" w:line="240" w:lineRule="auto"/>
              <w:rPr>
                <w:rFonts w:eastAsia="Times New Roman" w:cs="Times New Roman"/>
                <w:color w:val="000000"/>
                <w:sz w:val="20"/>
                <w:lang w:eastAsia="sk-SK"/>
              </w:rPr>
            </w:pPr>
            <w:r w:rsidRPr="002C68FD">
              <w:rPr>
                <w:rFonts w:eastAsia="Times New Roman" w:cs="Times New Roman"/>
                <w:color w:val="000000"/>
                <w:sz w:val="20"/>
                <w:lang w:eastAsia="sk-SK"/>
              </w:rPr>
              <w:t>Mentálne postihnutí variant A</w:t>
            </w:r>
          </w:p>
        </w:tc>
        <w:tc>
          <w:tcPr>
            <w:tcW w:w="1077" w:type="dxa"/>
            <w:tcBorders>
              <w:bottom w:val="single" w:sz="4" w:space="0" w:color="auto"/>
            </w:tcBorders>
            <w:shd w:val="clear" w:color="auto" w:fill="auto"/>
            <w:noWrap/>
            <w:vAlign w:val="bottom"/>
            <w:hideMark/>
          </w:tcPr>
          <w:p w14:paraId="2C363E7D"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20674</w:t>
            </w:r>
          </w:p>
        </w:tc>
        <w:tc>
          <w:tcPr>
            <w:tcW w:w="1077" w:type="dxa"/>
            <w:tcBorders>
              <w:bottom w:val="single" w:sz="4" w:space="0" w:color="auto"/>
            </w:tcBorders>
            <w:shd w:val="clear" w:color="auto" w:fill="auto"/>
            <w:noWrap/>
            <w:vAlign w:val="bottom"/>
            <w:hideMark/>
          </w:tcPr>
          <w:p w14:paraId="38080A04"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18226</w:t>
            </w:r>
          </w:p>
        </w:tc>
        <w:tc>
          <w:tcPr>
            <w:tcW w:w="1077" w:type="dxa"/>
            <w:tcBorders>
              <w:bottom w:val="single" w:sz="4" w:space="0" w:color="auto"/>
            </w:tcBorders>
            <w:shd w:val="clear" w:color="auto" w:fill="auto"/>
            <w:noWrap/>
            <w:vAlign w:val="bottom"/>
            <w:hideMark/>
          </w:tcPr>
          <w:p w14:paraId="277515AB"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-2448</w:t>
            </w:r>
          </w:p>
        </w:tc>
        <w:tc>
          <w:tcPr>
            <w:tcW w:w="1077" w:type="dxa"/>
            <w:tcBorders>
              <w:bottom w:val="single" w:sz="4" w:space="0" w:color="auto"/>
            </w:tcBorders>
            <w:shd w:val="clear" w:color="auto" w:fill="auto"/>
            <w:noWrap/>
            <w:vAlign w:val="bottom"/>
            <w:hideMark/>
          </w:tcPr>
          <w:p w14:paraId="51CD0F45"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-12</w:t>
            </w:r>
          </w:p>
        </w:tc>
      </w:tr>
      <w:tr w:rsidR="001B34C7" w:rsidRPr="009973EE" w14:paraId="7E87ED94" w14:textId="77777777" w:rsidTr="002E33D9">
        <w:trPr>
          <w:trHeight w:val="300"/>
        </w:trPr>
        <w:tc>
          <w:tcPr>
            <w:tcW w:w="4395" w:type="dxa"/>
            <w:tcBorders>
              <w:top w:val="single" w:sz="4" w:space="0" w:color="auto"/>
              <w:bottom w:val="single" w:sz="4" w:space="0" w:color="auto"/>
            </w:tcBorders>
            <w:shd w:val="clear" w:color="auto" w:fill="auto"/>
            <w:noWrap/>
            <w:vAlign w:val="bottom"/>
            <w:hideMark/>
          </w:tcPr>
          <w:p w14:paraId="3567CF14" w14:textId="77777777" w:rsidR="001B34C7" w:rsidRPr="009973EE" w:rsidRDefault="001B34C7" w:rsidP="002E33D9">
            <w:pPr>
              <w:spacing w:after="0" w:line="240" w:lineRule="auto"/>
              <w:rPr>
                <w:rFonts w:eastAsia="Times New Roman" w:cs="Times New Roman"/>
                <w:b/>
                <w:color w:val="000000"/>
                <w:sz w:val="20"/>
                <w:lang w:eastAsia="sk-SK"/>
              </w:rPr>
            </w:pPr>
            <w:r w:rsidRPr="009973EE">
              <w:rPr>
                <w:rFonts w:eastAsia="Times New Roman" w:cs="Times New Roman"/>
                <w:b/>
                <w:color w:val="000000"/>
                <w:sz w:val="20"/>
                <w:lang w:eastAsia="sk-SK"/>
              </w:rPr>
              <w:t>SPOLU</w:t>
            </w:r>
          </w:p>
        </w:tc>
        <w:tc>
          <w:tcPr>
            <w:tcW w:w="1077" w:type="dxa"/>
            <w:tcBorders>
              <w:top w:val="single" w:sz="4" w:space="0" w:color="auto"/>
              <w:bottom w:val="single" w:sz="4" w:space="0" w:color="auto"/>
            </w:tcBorders>
            <w:shd w:val="clear" w:color="auto" w:fill="auto"/>
            <w:noWrap/>
            <w:vAlign w:val="bottom"/>
            <w:hideMark/>
          </w:tcPr>
          <w:p w14:paraId="6A8012C5" w14:textId="77777777" w:rsidR="001B34C7" w:rsidRPr="009973EE" w:rsidRDefault="001B34C7" w:rsidP="002E33D9">
            <w:pPr>
              <w:spacing w:after="0" w:line="240" w:lineRule="auto"/>
              <w:jc w:val="right"/>
              <w:rPr>
                <w:rFonts w:eastAsia="Times New Roman" w:cs="Times New Roman"/>
                <w:b/>
                <w:color w:val="000000"/>
                <w:sz w:val="20"/>
                <w:lang w:eastAsia="sk-SK"/>
              </w:rPr>
            </w:pPr>
            <w:r w:rsidRPr="009973EE">
              <w:rPr>
                <w:rFonts w:eastAsia="Times New Roman" w:cs="Times New Roman"/>
                <w:b/>
                <w:color w:val="000000"/>
                <w:sz w:val="20"/>
                <w:lang w:eastAsia="sk-SK"/>
              </w:rPr>
              <w:t>45834</w:t>
            </w:r>
          </w:p>
        </w:tc>
        <w:tc>
          <w:tcPr>
            <w:tcW w:w="1077" w:type="dxa"/>
            <w:tcBorders>
              <w:top w:val="single" w:sz="4" w:space="0" w:color="auto"/>
              <w:bottom w:val="single" w:sz="4" w:space="0" w:color="auto"/>
            </w:tcBorders>
            <w:shd w:val="clear" w:color="auto" w:fill="auto"/>
            <w:noWrap/>
            <w:vAlign w:val="bottom"/>
            <w:hideMark/>
          </w:tcPr>
          <w:p w14:paraId="4E5D0DF8" w14:textId="77777777" w:rsidR="001B34C7" w:rsidRPr="009973EE" w:rsidRDefault="001B34C7" w:rsidP="002E33D9">
            <w:pPr>
              <w:spacing w:after="0" w:line="240" w:lineRule="auto"/>
              <w:jc w:val="right"/>
              <w:rPr>
                <w:rFonts w:eastAsia="Times New Roman" w:cs="Times New Roman"/>
                <w:b/>
                <w:color w:val="000000"/>
                <w:sz w:val="20"/>
                <w:lang w:eastAsia="sk-SK"/>
              </w:rPr>
            </w:pPr>
            <w:r w:rsidRPr="009973EE">
              <w:rPr>
                <w:rFonts w:eastAsia="Times New Roman" w:cs="Times New Roman"/>
                <w:b/>
                <w:color w:val="000000"/>
                <w:sz w:val="20"/>
                <w:lang w:eastAsia="sk-SK"/>
              </w:rPr>
              <w:t>51869</w:t>
            </w:r>
          </w:p>
        </w:tc>
        <w:tc>
          <w:tcPr>
            <w:tcW w:w="1077" w:type="dxa"/>
            <w:tcBorders>
              <w:top w:val="single" w:sz="4" w:space="0" w:color="auto"/>
              <w:bottom w:val="single" w:sz="4" w:space="0" w:color="auto"/>
            </w:tcBorders>
            <w:shd w:val="clear" w:color="auto" w:fill="auto"/>
            <w:noWrap/>
            <w:vAlign w:val="bottom"/>
            <w:hideMark/>
          </w:tcPr>
          <w:p w14:paraId="62EDCD57" w14:textId="77777777" w:rsidR="001B34C7" w:rsidRPr="009973EE" w:rsidRDefault="001B34C7" w:rsidP="002E33D9">
            <w:pPr>
              <w:spacing w:after="0" w:line="240" w:lineRule="auto"/>
              <w:jc w:val="right"/>
              <w:rPr>
                <w:rFonts w:eastAsia="Times New Roman" w:cs="Times New Roman"/>
                <w:b/>
                <w:color w:val="000000"/>
                <w:sz w:val="20"/>
                <w:lang w:eastAsia="sk-SK"/>
              </w:rPr>
            </w:pPr>
            <w:r w:rsidRPr="009973EE">
              <w:rPr>
                <w:rFonts w:eastAsia="Times New Roman" w:cs="Times New Roman"/>
                <w:b/>
                <w:color w:val="000000"/>
                <w:sz w:val="20"/>
                <w:lang w:eastAsia="sk-SK"/>
              </w:rPr>
              <w:t>6035</w:t>
            </w:r>
          </w:p>
        </w:tc>
        <w:tc>
          <w:tcPr>
            <w:tcW w:w="1077" w:type="dxa"/>
            <w:tcBorders>
              <w:top w:val="single" w:sz="4" w:space="0" w:color="auto"/>
              <w:bottom w:val="single" w:sz="4" w:space="0" w:color="auto"/>
            </w:tcBorders>
            <w:shd w:val="clear" w:color="auto" w:fill="auto"/>
            <w:noWrap/>
            <w:vAlign w:val="bottom"/>
            <w:hideMark/>
          </w:tcPr>
          <w:p w14:paraId="57EB722C" w14:textId="77777777" w:rsidR="001B34C7" w:rsidRPr="009973EE" w:rsidRDefault="001B34C7" w:rsidP="002E33D9">
            <w:pPr>
              <w:spacing w:after="0" w:line="240" w:lineRule="auto"/>
              <w:jc w:val="right"/>
              <w:rPr>
                <w:rFonts w:eastAsia="Times New Roman" w:cs="Times New Roman"/>
                <w:b/>
                <w:color w:val="000000"/>
                <w:sz w:val="20"/>
                <w:lang w:eastAsia="sk-SK"/>
              </w:rPr>
            </w:pPr>
            <w:r w:rsidRPr="009973EE">
              <w:rPr>
                <w:rFonts w:eastAsia="Times New Roman" w:cs="Times New Roman"/>
                <w:b/>
                <w:color w:val="000000"/>
                <w:sz w:val="20"/>
                <w:lang w:eastAsia="sk-SK"/>
              </w:rPr>
              <w:t>13</w:t>
            </w:r>
          </w:p>
        </w:tc>
      </w:tr>
    </w:tbl>
    <w:p w14:paraId="3FB240AD" w14:textId="77777777" w:rsidR="001B34C7" w:rsidRPr="009973EE" w:rsidRDefault="001B34C7" w:rsidP="001B34C7">
      <w:pPr>
        <w:jc w:val="right"/>
        <w:rPr>
          <w:bCs/>
          <w:i/>
          <w:sz w:val="18"/>
          <w:szCs w:val="18"/>
        </w:rPr>
      </w:pPr>
      <w:r w:rsidRPr="009973EE">
        <w:rPr>
          <w:bCs/>
          <w:i/>
          <w:sz w:val="18"/>
          <w:szCs w:val="18"/>
        </w:rPr>
        <w:t>Zdroj: Vlastné prepočty IVP podľa dát CVTI (2011,2012 a 2017, 2018). Do roku 2012 sa nezbierali údaje o žiakoch s vývinovými poruchami aktivity a pozornosti, o žiakoch chorých a zdravotne oslabených a o žiakoch s viacnásobným postihnutím.</w:t>
      </w:r>
    </w:p>
    <w:p w14:paraId="3467F4B4" w14:textId="48FCC115" w:rsidR="001B34C7" w:rsidRDefault="001B34C7" w:rsidP="001B34C7">
      <w:pPr>
        <w:rPr>
          <w:b/>
          <w:color w:val="0070C0"/>
          <w:sz w:val="20"/>
        </w:rPr>
      </w:pPr>
    </w:p>
    <w:p w14:paraId="13237EA7" w14:textId="77777777" w:rsidR="001B34C7" w:rsidRDefault="001B34C7" w:rsidP="001B34C7">
      <w:pPr>
        <w:pStyle w:val="Popis"/>
        <w:rPr>
          <w:b/>
          <w:i w:val="0"/>
          <w:color w:val="2E74B5" w:themeColor="accent1" w:themeShade="BF"/>
          <w:sz w:val="22"/>
        </w:rPr>
      </w:pPr>
      <w:bookmarkStart w:id="1920" w:name="_Ref25838324"/>
      <w:r w:rsidRPr="000C6214">
        <w:rPr>
          <w:b/>
          <w:i w:val="0"/>
          <w:color w:val="2E74B5" w:themeColor="accent1" w:themeShade="BF"/>
          <w:sz w:val="22"/>
        </w:rPr>
        <w:t xml:space="preserve">Príloha </w:t>
      </w:r>
      <w:r w:rsidRPr="00AD2F2A">
        <w:rPr>
          <w:b/>
          <w:i w:val="0"/>
          <w:color w:val="2E74B5" w:themeColor="accent1" w:themeShade="BF"/>
          <w:sz w:val="22"/>
        </w:rPr>
        <w:fldChar w:fldCharType="begin"/>
      </w:r>
      <w:r w:rsidRPr="00AD2F2A">
        <w:rPr>
          <w:b/>
          <w:i w:val="0"/>
          <w:color w:val="2E74B5" w:themeColor="accent1" w:themeShade="BF"/>
          <w:sz w:val="22"/>
        </w:rPr>
        <w:instrText xml:space="preserve"> SEQ Príloha \* ARABIC </w:instrText>
      </w:r>
      <w:r w:rsidRPr="00AD2F2A">
        <w:rPr>
          <w:b/>
          <w:i w:val="0"/>
          <w:color w:val="2E74B5" w:themeColor="accent1" w:themeShade="BF"/>
          <w:sz w:val="22"/>
        </w:rPr>
        <w:fldChar w:fldCharType="separate"/>
      </w:r>
      <w:r w:rsidR="00FA29AF">
        <w:rPr>
          <w:b/>
          <w:i w:val="0"/>
          <w:noProof/>
          <w:color w:val="2E74B5" w:themeColor="accent1" w:themeShade="BF"/>
          <w:sz w:val="22"/>
        </w:rPr>
        <w:t>17</w:t>
      </w:r>
      <w:r w:rsidRPr="00AD2F2A">
        <w:rPr>
          <w:b/>
          <w:i w:val="0"/>
          <w:color w:val="2E74B5" w:themeColor="accent1" w:themeShade="BF"/>
          <w:sz w:val="22"/>
        </w:rPr>
        <w:fldChar w:fldCharType="end"/>
      </w:r>
      <w:bookmarkEnd w:id="1920"/>
      <w:r w:rsidRPr="000C6214">
        <w:rPr>
          <w:b/>
          <w:i w:val="0"/>
          <w:color w:val="2E74B5" w:themeColor="accent1" w:themeShade="BF"/>
          <w:sz w:val="22"/>
        </w:rPr>
        <w:t xml:space="preserve">: </w:t>
      </w:r>
      <w:r>
        <w:rPr>
          <w:b/>
          <w:i w:val="0"/>
          <w:color w:val="2E74B5" w:themeColor="accent1" w:themeShade="BF"/>
          <w:sz w:val="22"/>
        </w:rPr>
        <w:t>Žiaci</w:t>
      </w:r>
      <w:r w:rsidRPr="000C6214">
        <w:rPr>
          <w:b/>
          <w:i w:val="0"/>
          <w:color w:val="2E74B5" w:themeColor="accent1" w:themeShade="BF"/>
          <w:sz w:val="22"/>
        </w:rPr>
        <w:t xml:space="preserve"> so zdravot</w:t>
      </w:r>
      <w:r>
        <w:rPr>
          <w:b/>
          <w:i w:val="0"/>
          <w:color w:val="2E74B5" w:themeColor="accent1" w:themeShade="BF"/>
          <w:sz w:val="22"/>
        </w:rPr>
        <w:t>ným znevýhodnením prestupujúci</w:t>
      </w:r>
      <w:r w:rsidRPr="000C6214">
        <w:rPr>
          <w:b/>
          <w:i w:val="0"/>
          <w:color w:val="2E74B5" w:themeColor="accent1" w:themeShade="BF"/>
          <w:sz w:val="22"/>
        </w:rPr>
        <w:t xml:space="preserve"> z bežných do špeciálnych škôl</w:t>
      </w:r>
    </w:p>
    <w:p w14:paraId="53BE774D" w14:textId="0521C0B5" w:rsidR="001B34C7" w:rsidRPr="00EB055A" w:rsidRDefault="001B34C7" w:rsidP="001B34C7">
      <w:pPr>
        <w:spacing w:before="160" w:line="240" w:lineRule="auto"/>
        <w:contextualSpacing/>
      </w:pPr>
      <w:r w:rsidRPr="00AF6AB3">
        <w:rPr>
          <w:b/>
          <w:sz w:val="20"/>
        </w:rPr>
        <w:t xml:space="preserve">Tabuľka P </w:t>
      </w:r>
      <w:r w:rsidRPr="00AF6AB3">
        <w:rPr>
          <w:b/>
          <w:sz w:val="20"/>
        </w:rPr>
        <w:fldChar w:fldCharType="begin"/>
      </w:r>
      <w:r w:rsidRPr="00AF6AB3">
        <w:rPr>
          <w:b/>
          <w:sz w:val="20"/>
        </w:rPr>
        <w:instrText xml:space="preserve"> SEQ Tabuľka_P \* ARABIC </w:instrText>
      </w:r>
      <w:r w:rsidRPr="00AF6AB3">
        <w:rPr>
          <w:b/>
          <w:sz w:val="20"/>
        </w:rPr>
        <w:fldChar w:fldCharType="separate"/>
      </w:r>
      <w:r w:rsidR="00FA29AF">
        <w:rPr>
          <w:b/>
          <w:noProof/>
          <w:sz w:val="20"/>
        </w:rPr>
        <w:t>14</w:t>
      </w:r>
      <w:r w:rsidRPr="00AF6AB3">
        <w:rPr>
          <w:b/>
          <w:sz w:val="20"/>
        </w:rPr>
        <w:fldChar w:fldCharType="end"/>
      </w:r>
      <w:r w:rsidRPr="00AF6AB3">
        <w:rPr>
          <w:b/>
          <w:sz w:val="20"/>
        </w:rPr>
        <w:t>:</w:t>
      </w:r>
      <w:r w:rsidR="0070047D">
        <w:rPr>
          <w:b/>
          <w:sz w:val="20"/>
        </w:rPr>
        <w:t xml:space="preserve"> </w:t>
      </w:r>
      <w:r w:rsidRPr="00EB055A">
        <w:rPr>
          <w:b/>
          <w:sz w:val="20"/>
        </w:rPr>
        <w:t xml:space="preserve">Počet </w:t>
      </w:r>
      <w:r w:rsidRPr="001B7289">
        <w:rPr>
          <w:b/>
          <w:iCs/>
          <w:sz w:val="20"/>
          <w:lang w:eastAsia="sk-SK"/>
        </w:rPr>
        <w:t>žiakov</w:t>
      </w:r>
      <w:r w:rsidRPr="00EB055A">
        <w:rPr>
          <w:b/>
          <w:sz w:val="20"/>
        </w:rPr>
        <w:t xml:space="preserve"> so </w:t>
      </w:r>
      <w:r>
        <w:rPr>
          <w:b/>
          <w:sz w:val="20"/>
        </w:rPr>
        <w:t>ZZ</w:t>
      </w:r>
      <w:r w:rsidRPr="00EB055A">
        <w:rPr>
          <w:b/>
          <w:sz w:val="20"/>
        </w:rPr>
        <w:t xml:space="preserve"> prestupujúcich z bežných do špeciálnych škôl, 2008=2018</w:t>
      </w:r>
    </w:p>
    <w:tbl>
      <w:tblPr>
        <w:tblW w:w="5000" w:type="pct"/>
        <w:jc w:val="center"/>
        <w:tblLayout w:type="fixed"/>
        <w:tblCellMar>
          <w:left w:w="70" w:type="dxa"/>
          <w:right w:w="70" w:type="dxa"/>
        </w:tblCellMar>
        <w:tblLook w:val="04A0" w:firstRow="1" w:lastRow="0" w:firstColumn="1" w:lastColumn="0" w:noHBand="0" w:noVBand="1"/>
      </w:tblPr>
      <w:tblGrid>
        <w:gridCol w:w="1208"/>
        <w:gridCol w:w="1570"/>
        <w:gridCol w:w="1570"/>
        <w:gridCol w:w="1570"/>
        <w:gridCol w:w="3170"/>
      </w:tblGrid>
      <w:tr w:rsidR="001B34C7" w:rsidRPr="009973EE" w14:paraId="753409A1" w14:textId="77777777" w:rsidTr="002E33D9">
        <w:trPr>
          <w:trHeight w:val="284"/>
          <w:jc w:val="center"/>
        </w:trPr>
        <w:tc>
          <w:tcPr>
            <w:tcW w:w="1134" w:type="dxa"/>
            <w:tcBorders>
              <w:top w:val="single" w:sz="4" w:space="0" w:color="auto"/>
              <w:left w:val="nil"/>
              <w:bottom w:val="single" w:sz="4" w:space="0" w:color="auto"/>
            </w:tcBorders>
            <w:shd w:val="clear" w:color="auto" w:fill="auto"/>
            <w:noWrap/>
            <w:vAlign w:val="bottom"/>
            <w:hideMark/>
          </w:tcPr>
          <w:p w14:paraId="4CF3AC60" w14:textId="77777777" w:rsidR="001B34C7" w:rsidRPr="009973EE" w:rsidRDefault="001B34C7" w:rsidP="002E33D9">
            <w:pPr>
              <w:spacing w:after="0" w:line="240" w:lineRule="auto"/>
              <w:rPr>
                <w:rFonts w:eastAsia="Times New Roman" w:cs="Times New Roman"/>
                <w:sz w:val="20"/>
                <w:lang w:eastAsia="sk-SK"/>
              </w:rPr>
            </w:pPr>
          </w:p>
        </w:tc>
        <w:tc>
          <w:tcPr>
            <w:tcW w:w="1474" w:type="dxa"/>
            <w:tcBorders>
              <w:top w:val="single" w:sz="4" w:space="0" w:color="auto"/>
              <w:left w:val="nil"/>
              <w:bottom w:val="single" w:sz="4" w:space="0" w:color="auto"/>
              <w:right w:val="nil"/>
            </w:tcBorders>
            <w:shd w:val="clear" w:color="auto" w:fill="auto"/>
            <w:noWrap/>
            <w:vAlign w:val="center"/>
            <w:hideMark/>
          </w:tcPr>
          <w:p w14:paraId="3B28ABD4" w14:textId="77777777" w:rsidR="001B34C7" w:rsidRPr="009973EE" w:rsidRDefault="001B34C7" w:rsidP="002E33D9">
            <w:pPr>
              <w:spacing w:after="0" w:line="240" w:lineRule="auto"/>
              <w:jc w:val="right"/>
              <w:rPr>
                <w:rFonts w:eastAsia="Times New Roman" w:cs="Times New Roman"/>
                <w:b/>
                <w:bCs/>
                <w:color w:val="000000"/>
                <w:sz w:val="20"/>
                <w:lang w:eastAsia="sk-SK"/>
              </w:rPr>
            </w:pPr>
            <w:r w:rsidRPr="009973EE">
              <w:rPr>
                <w:rFonts w:eastAsia="Times New Roman" w:cs="Times New Roman"/>
                <w:b/>
                <w:bCs/>
                <w:color w:val="000000"/>
                <w:sz w:val="20"/>
                <w:lang w:eastAsia="sk-SK"/>
              </w:rPr>
              <w:t>Spolu</w:t>
            </w:r>
          </w:p>
        </w:tc>
        <w:tc>
          <w:tcPr>
            <w:tcW w:w="1474" w:type="dxa"/>
            <w:tcBorders>
              <w:top w:val="single" w:sz="4" w:space="0" w:color="auto"/>
              <w:left w:val="nil"/>
              <w:bottom w:val="single" w:sz="4" w:space="0" w:color="auto"/>
              <w:right w:val="nil"/>
            </w:tcBorders>
            <w:shd w:val="clear" w:color="auto" w:fill="auto"/>
            <w:noWrap/>
            <w:vAlign w:val="center"/>
            <w:hideMark/>
          </w:tcPr>
          <w:p w14:paraId="2254AC66" w14:textId="77777777" w:rsidR="001B34C7" w:rsidRPr="009973EE" w:rsidRDefault="001B34C7" w:rsidP="002E33D9">
            <w:pPr>
              <w:spacing w:after="0" w:line="240" w:lineRule="auto"/>
              <w:jc w:val="right"/>
              <w:rPr>
                <w:rFonts w:eastAsia="Times New Roman" w:cs="Times New Roman"/>
                <w:b/>
                <w:bCs/>
                <w:color w:val="000000"/>
                <w:sz w:val="20"/>
                <w:lang w:eastAsia="sk-SK"/>
              </w:rPr>
            </w:pPr>
            <w:r w:rsidRPr="009973EE">
              <w:rPr>
                <w:rFonts w:eastAsia="Times New Roman" w:cs="Times New Roman"/>
                <w:b/>
                <w:bCs/>
                <w:color w:val="000000"/>
                <w:sz w:val="20"/>
                <w:lang w:eastAsia="sk-SK"/>
              </w:rPr>
              <w:t>1. stupeň</w:t>
            </w:r>
          </w:p>
        </w:tc>
        <w:tc>
          <w:tcPr>
            <w:tcW w:w="1474" w:type="dxa"/>
            <w:tcBorders>
              <w:top w:val="single" w:sz="4" w:space="0" w:color="auto"/>
              <w:left w:val="nil"/>
              <w:bottom w:val="single" w:sz="4" w:space="0" w:color="auto"/>
              <w:right w:val="nil"/>
            </w:tcBorders>
            <w:shd w:val="clear" w:color="auto" w:fill="auto"/>
            <w:noWrap/>
            <w:vAlign w:val="center"/>
            <w:hideMark/>
          </w:tcPr>
          <w:p w14:paraId="25668A5E" w14:textId="77777777" w:rsidR="001B34C7" w:rsidRPr="009973EE" w:rsidRDefault="001B34C7" w:rsidP="002E33D9">
            <w:pPr>
              <w:spacing w:after="0" w:line="240" w:lineRule="auto"/>
              <w:jc w:val="right"/>
              <w:rPr>
                <w:rFonts w:eastAsia="Times New Roman" w:cs="Times New Roman"/>
                <w:b/>
                <w:bCs/>
                <w:color w:val="000000"/>
                <w:sz w:val="20"/>
                <w:lang w:eastAsia="sk-SK"/>
              </w:rPr>
            </w:pPr>
            <w:r w:rsidRPr="009973EE">
              <w:rPr>
                <w:rFonts w:eastAsia="Times New Roman" w:cs="Times New Roman"/>
                <w:b/>
                <w:bCs/>
                <w:color w:val="000000"/>
                <w:sz w:val="20"/>
                <w:lang w:eastAsia="sk-SK"/>
              </w:rPr>
              <w:t>2. stupeň</w:t>
            </w:r>
          </w:p>
        </w:tc>
        <w:tc>
          <w:tcPr>
            <w:tcW w:w="2976" w:type="dxa"/>
            <w:tcBorders>
              <w:top w:val="single" w:sz="4" w:space="0" w:color="auto"/>
              <w:left w:val="nil"/>
              <w:bottom w:val="single" w:sz="4" w:space="0" w:color="auto"/>
              <w:right w:val="nil"/>
            </w:tcBorders>
            <w:shd w:val="clear" w:color="auto" w:fill="auto"/>
            <w:vAlign w:val="center"/>
            <w:hideMark/>
          </w:tcPr>
          <w:p w14:paraId="69D6EC4C" w14:textId="77777777" w:rsidR="001B34C7" w:rsidRPr="009973EE" w:rsidRDefault="001B34C7" w:rsidP="002E33D9">
            <w:pPr>
              <w:spacing w:after="0" w:line="240" w:lineRule="auto"/>
              <w:jc w:val="right"/>
              <w:rPr>
                <w:rFonts w:eastAsia="Times New Roman" w:cs="Times New Roman"/>
                <w:b/>
                <w:bCs/>
                <w:color w:val="000000"/>
                <w:sz w:val="20"/>
                <w:lang w:eastAsia="sk-SK"/>
              </w:rPr>
            </w:pPr>
            <w:r w:rsidRPr="009973EE">
              <w:rPr>
                <w:rFonts w:eastAsia="Times New Roman" w:cs="Times New Roman"/>
                <w:b/>
                <w:bCs/>
                <w:color w:val="000000"/>
                <w:sz w:val="20"/>
                <w:lang w:eastAsia="sk-SK"/>
              </w:rPr>
              <w:t>Podiel na populácii žiakov ZŠ</w:t>
            </w:r>
            <w:r>
              <w:rPr>
                <w:rFonts w:eastAsia="Times New Roman" w:cs="Times New Roman"/>
                <w:b/>
                <w:bCs/>
                <w:color w:val="000000"/>
                <w:sz w:val="20"/>
                <w:lang w:eastAsia="sk-SK"/>
              </w:rPr>
              <w:t xml:space="preserve"> (%)</w:t>
            </w:r>
          </w:p>
        </w:tc>
      </w:tr>
      <w:tr w:rsidR="001B34C7" w:rsidRPr="009973EE" w14:paraId="7C16B00A" w14:textId="77777777" w:rsidTr="002E33D9">
        <w:trPr>
          <w:trHeight w:val="284"/>
          <w:jc w:val="center"/>
        </w:trPr>
        <w:tc>
          <w:tcPr>
            <w:tcW w:w="1134" w:type="dxa"/>
            <w:tcBorders>
              <w:top w:val="single" w:sz="4" w:space="0" w:color="auto"/>
              <w:left w:val="nil"/>
              <w:bottom w:val="nil"/>
            </w:tcBorders>
            <w:shd w:val="clear" w:color="auto" w:fill="auto"/>
            <w:noWrap/>
            <w:vAlign w:val="bottom"/>
            <w:hideMark/>
          </w:tcPr>
          <w:p w14:paraId="68626683" w14:textId="77777777" w:rsidR="001B34C7" w:rsidRPr="00BF59E4" w:rsidRDefault="001B34C7" w:rsidP="002E33D9">
            <w:pPr>
              <w:spacing w:after="0" w:line="240" w:lineRule="auto"/>
              <w:jc w:val="center"/>
              <w:rPr>
                <w:rFonts w:eastAsia="Times New Roman" w:cs="Times New Roman"/>
                <w:bCs/>
                <w:color w:val="000000"/>
                <w:sz w:val="20"/>
                <w:lang w:eastAsia="sk-SK"/>
              </w:rPr>
            </w:pPr>
            <w:r w:rsidRPr="00BF59E4">
              <w:rPr>
                <w:rFonts w:eastAsia="Times New Roman" w:cs="Times New Roman"/>
                <w:bCs/>
                <w:color w:val="000000"/>
                <w:sz w:val="20"/>
                <w:lang w:eastAsia="sk-SK"/>
              </w:rPr>
              <w:t>2008</w:t>
            </w:r>
          </w:p>
        </w:tc>
        <w:tc>
          <w:tcPr>
            <w:tcW w:w="1474" w:type="dxa"/>
            <w:tcBorders>
              <w:top w:val="single" w:sz="4" w:space="0" w:color="auto"/>
              <w:left w:val="nil"/>
              <w:bottom w:val="nil"/>
              <w:right w:val="nil"/>
            </w:tcBorders>
            <w:shd w:val="clear" w:color="auto" w:fill="auto"/>
            <w:noWrap/>
            <w:vAlign w:val="bottom"/>
            <w:hideMark/>
          </w:tcPr>
          <w:p w14:paraId="2203A7B4"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1348</w:t>
            </w:r>
          </w:p>
        </w:tc>
        <w:tc>
          <w:tcPr>
            <w:tcW w:w="1474" w:type="dxa"/>
            <w:tcBorders>
              <w:top w:val="single" w:sz="4" w:space="0" w:color="auto"/>
              <w:left w:val="nil"/>
              <w:bottom w:val="nil"/>
              <w:right w:val="nil"/>
            </w:tcBorders>
            <w:shd w:val="clear" w:color="auto" w:fill="auto"/>
            <w:noWrap/>
            <w:vAlign w:val="bottom"/>
            <w:hideMark/>
          </w:tcPr>
          <w:p w14:paraId="01455E64"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974</w:t>
            </w:r>
          </w:p>
        </w:tc>
        <w:tc>
          <w:tcPr>
            <w:tcW w:w="1474" w:type="dxa"/>
            <w:tcBorders>
              <w:top w:val="single" w:sz="4" w:space="0" w:color="auto"/>
              <w:left w:val="nil"/>
              <w:bottom w:val="nil"/>
              <w:right w:val="nil"/>
            </w:tcBorders>
            <w:shd w:val="clear" w:color="auto" w:fill="auto"/>
            <w:noWrap/>
            <w:vAlign w:val="bottom"/>
            <w:hideMark/>
          </w:tcPr>
          <w:p w14:paraId="5D42C611"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374</w:t>
            </w:r>
          </w:p>
        </w:tc>
        <w:tc>
          <w:tcPr>
            <w:tcW w:w="2976" w:type="dxa"/>
            <w:tcBorders>
              <w:top w:val="single" w:sz="4" w:space="0" w:color="auto"/>
              <w:left w:val="nil"/>
              <w:bottom w:val="nil"/>
              <w:right w:val="nil"/>
            </w:tcBorders>
            <w:shd w:val="clear" w:color="auto" w:fill="auto"/>
            <w:noWrap/>
            <w:vAlign w:val="bottom"/>
            <w:hideMark/>
          </w:tcPr>
          <w:p w14:paraId="65B56CAA"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28</w:t>
            </w:r>
          </w:p>
        </w:tc>
      </w:tr>
      <w:tr w:rsidR="001B34C7" w:rsidRPr="009973EE" w14:paraId="59ED184E" w14:textId="77777777" w:rsidTr="002E33D9">
        <w:trPr>
          <w:trHeight w:val="284"/>
          <w:jc w:val="center"/>
        </w:trPr>
        <w:tc>
          <w:tcPr>
            <w:tcW w:w="1134" w:type="dxa"/>
            <w:tcBorders>
              <w:top w:val="nil"/>
              <w:left w:val="nil"/>
              <w:bottom w:val="nil"/>
            </w:tcBorders>
            <w:shd w:val="clear" w:color="auto" w:fill="auto"/>
            <w:noWrap/>
            <w:vAlign w:val="bottom"/>
            <w:hideMark/>
          </w:tcPr>
          <w:p w14:paraId="0D6C5A42" w14:textId="77777777" w:rsidR="001B34C7" w:rsidRPr="00BF59E4" w:rsidRDefault="001B34C7" w:rsidP="002E33D9">
            <w:pPr>
              <w:spacing w:after="0" w:line="240" w:lineRule="auto"/>
              <w:jc w:val="center"/>
              <w:rPr>
                <w:rFonts w:eastAsia="Times New Roman" w:cs="Times New Roman"/>
                <w:bCs/>
                <w:color w:val="000000"/>
                <w:sz w:val="20"/>
                <w:lang w:eastAsia="sk-SK"/>
              </w:rPr>
            </w:pPr>
            <w:r w:rsidRPr="00BF59E4">
              <w:rPr>
                <w:rFonts w:eastAsia="Times New Roman" w:cs="Times New Roman"/>
                <w:bCs/>
                <w:color w:val="000000"/>
                <w:sz w:val="20"/>
                <w:lang w:eastAsia="sk-SK"/>
              </w:rPr>
              <w:t>2009</w:t>
            </w:r>
          </w:p>
        </w:tc>
        <w:tc>
          <w:tcPr>
            <w:tcW w:w="1474" w:type="dxa"/>
            <w:tcBorders>
              <w:top w:val="nil"/>
              <w:left w:val="nil"/>
              <w:bottom w:val="nil"/>
              <w:right w:val="nil"/>
            </w:tcBorders>
            <w:shd w:val="clear" w:color="auto" w:fill="auto"/>
            <w:noWrap/>
            <w:vAlign w:val="bottom"/>
            <w:hideMark/>
          </w:tcPr>
          <w:p w14:paraId="10CF5BBD"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1106</w:t>
            </w:r>
          </w:p>
        </w:tc>
        <w:tc>
          <w:tcPr>
            <w:tcW w:w="1474" w:type="dxa"/>
            <w:tcBorders>
              <w:top w:val="nil"/>
              <w:left w:val="nil"/>
              <w:bottom w:val="nil"/>
              <w:right w:val="nil"/>
            </w:tcBorders>
            <w:shd w:val="clear" w:color="auto" w:fill="auto"/>
            <w:noWrap/>
            <w:vAlign w:val="bottom"/>
            <w:hideMark/>
          </w:tcPr>
          <w:p w14:paraId="7DFF1941"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840</w:t>
            </w:r>
          </w:p>
        </w:tc>
        <w:tc>
          <w:tcPr>
            <w:tcW w:w="1474" w:type="dxa"/>
            <w:tcBorders>
              <w:top w:val="nil"/>
              <w:left w:val="nil"/>
              <w:bottom w:val="nil"/>
              <w:right w:val="nil"/>
            </w:tcBorders>
            <w:shd w:val="clear" w:color="auto" w:fill="auto"/>
            <w:noWrap/>
            <w:vAlign w:val="bottom"/>
            <w:hideMark/>
          </w:tcPr>
          <w:p w14:paraId="3E78CA46"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266</w:t>
            </w:r>
          </w:p>
        </w:tc>
        <w:tc>
          <w:tcPr>
            <w:tcW w:w="2976" w:type="dxa"/>
            <w:tcBorders>
              <w:top w:val="nil"/>
              <w:left w:val="nil"/>
              <w:bottom w:val="nil"/>
              <w:right w:val="nil"/>
            </w:tcBorders>
            <w:shd w:val="clear" w:color="auto" w:fill="auto"/>
            <w:noWrap/>
            <w:vAlign w:val="bottom"/>
            <w:hideMark/>
          </w:tcPr>
          <w:p w14:paraId="3AF4BC6B"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23</w:t>
            </w:r>
          </w:p>
        </w:tc>
      </w:tr>
      <w:tr w:rsidR="001B34C7" w:rsidRPr="009973EE" w14:paraId="3BDAAA51" w14:textId="77777777" w:rsidTr="002E33D9">
        <w:trPr>
          <w:trHeight w:val="284"/>
          <w:jc w:val="center"/>
        </w:trPr>
        <w:tc>
          <w:tcPr>
            <w:tcW w:w="1134" w:type="dxa"/>
            <w:tcBorders>
              <w:top w:val="nil"/>
              <w:left w:val="nil"/>
              <w:bottom w:val="nil"/>
            </w:tcBorders>
            <w:shd w:val="clear" w:color="auto" w:fill="auto"/>
            <w:noWrap/>
            <w:vAlign w:val="bottom"/>
            <w:hideMark/>
          </w:tcPr>
          <w:p w14:paraId="77CA5474" w14:textId="77777777" w:rsidR="001B34C7" w:rsidRPr="00BF59E4" w:rsidRDefault="001B34C7" w:rsidP="002E33D9">
            <w:pPr>
              <w:spacing w:after="0" w:line="240" w:lineRule="auto"/>
              <w:jc w:val="center"/>
              <w:rPr>
                <w:rFonts w:eastAsia="Times New Roman" w:cs="Times New Roman"/>
                <w:bCs/>
                <w:color w:val="000000"/>
                <w:sz w:val="20"/>
                <w:lang w:eastAsia="sk-SK"/>
              </w:rPr>
            </w:pPr>
            <w:r w:rsidRPr="00BF59E4">
              <w:rPr>
                <w:rFonts w:eastAsia="Times New Roman" w:cs="Times New Roman"/>
                <w:bCs/>
                <w:color w:val="000000"/>
                <w:sz w:val="20"/>
                <w:lang w:eastAsia="sk-SK"/>
              </w:rPr>
              <w:t>2010</w:t>
            </w:r>
          </w:p>
        </w:tc>
        <w:tc>
          <w:tcPr>
            <w:tcW w:w="1474" w:type="dxa"/>
            <w:tcBorders>
              <w:top w:val="nil"/>
              <w:left w:val="nil"/>
              <w:bottom w:val="nil"/>
              <w:right w:val="nil"/>
            </w:tcBorders>
            <w:shd w:val="clear" w:color="auto" w:fill="auto"/>
            <w:noWrap/>
            <w:vAlign w:val="bottom"/>
            <w:hideMark/>
          </w:tcPr>
          <w:p w14:paraId="2816EA77"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1294</w:t>
            </w:r>
          </w:p>
        </w:tc>
        <w:tc>
          <w:tcPr>
            <w:tcW w:w="1474" w:type="dxa"/>
            <w:tcBorders>
              <w:top w:val="nil"/>
              <w:left w:val="nil"/>
              <w:bottom w:val="nil"/>
              <w:right w:val="nil"/>
            </w:tcBorders>
            <w:shd w:val="clear" w:color="auto" w:fill="auto"/>
            <w:noWrap/>
            <w:vAlign w:val="bottom"/>
            <w:hideMark/>
          </w:tcPr>
          <w:p w14:paraId="122DA8AE"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928</w:t>
            </w:r>
          </w:p>
        </w:tc>
        <w:tc>
          <w:tcPr>
            <w:tcW w:w="1474" w:type="dxa"/>
            <w:tcBorders>
              <w:top w:val="nil"/>
              <w:left w:val="nil"/>
              <w:bottom w:val="nil"/>
              <w:right w:val="nil"/>
            </w:tcBorders>
            <w:shd w:val="clear" w:color="auto" w:fill="auto"/>
            <w:noWrap/>
            <w:vAlign w:val="bottom"/>
            <w:hideMark/>
          </w:tcPr>
          <w:p w14:paraId="7CACDFB1"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366</w:t>
            </w:r>
          </w:p>
        </w:tc>
        <w:tc>
          <w:tcPr>
            <w:tcW w:w="2976" w:type="dxa"/>
            <w:tcBorders>
              <w:top w:val="nil"/>
              <w:left w:val="nil"/>
              <w:bottom w:val="nil"/>
              <w:right w:val="nil"/>
            </w:tcBorders>
            <w:shd w:val="clear" w:color="auto" w:fill="auto"/>
            <w:noWrap/>
            <w:vAlign w:val="bottom"/>
            <w:hideMark/>
          </w:tcPr>
          <w:p w14:paraId="0F0E8A41"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28</w:t>
            </w:r>
          </w:p>
        </w:tc>
      </w:tr>
      <w:tr w:rsidR="001B34C7" w:rsidRPr="009973EE" w14:paraId="424E9928" w14:textId="77777777" w:rsidTr="002E33D9">
        <w:trPr>
          <w:trHeight w:val="284"/>
          <w:jc w:val="center"/>
        </w:trPr>
        <w:tc>
          <w:tcPr>
            <w:tcW w:w="1134" w:type="dxa"/>
            <w:tcBorders>
              <w:top w:val="nil"/>
              <w:left w:val="nil"/>
              <w:bottom w:val="nil"/>
            </w:tcBorders>
            <w:shd w:val="clear" w:color="auto" w:fill="auto"/>
            <w:noWrap/>
            <w:vAlign w:val="bottom"/>
            <w:hideMark/>
          </w:tcPr>
          <w:p w14:paraId="4EC4C2F0" w14:textId="77777777" w:rsidR="001B34C7" w:rsidRPr="00BF59E4" w:rsidRDefault="001B34C7" w:rsidP="002E33D9">
            <w:pPr>
              <w:spacing w:after="0" w:line="240" w:lineRule="auto"/>
              <w:jc w:val="center"/>
              <w:rPr>
                <w:rFonts w:eastAsia="Times New Roman" w:cs="Times New Roman"/>
                <w:bCs/>
                <w:color w:val="000000"/>
                <w:sz w:val="20"/>
                <w:lang w:eastAsia="sk-SK"/>
              </w:rPr>
            </w:pPr>
            <w:r w:rsidRPr="00BF59E4">
              <w:rPr>
                <w:rFonts w:eastAsia="Times New Roman" w:cs="Times New Roman"/>
                <w:bCs/>
                <w:color w:val="000000"/>
                <w:sz w:val="20"/>
                <w:lang w:eastAsia="sk-SK"/>
              </w:rPr>
              <w:t>2011</w:t>
            </w:r>
          </w:p>
        </w:tc>
        <w:tc>
          <w:tcPr>
            <w:tcW w:w="1474" w:type="dxa"/>
            <w:tcBorders>
              <w:top w:val="nil"/>
              <w:left w:val="nil"/>
              <w:bottom w:val="nil"/>
              <w:right w:val="nil"/>
            </w:tcBorders>
            <w:shd w:val="clear" w:color="auto" w:fill="auto"/>
            <w:noWrap/>
            <w:vAlign w:val="bottom"/>
            <w:hideMark/>
          </w:tcPr>
          <w:p w14:paraId="6D773F09"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1237</w:t>
            </w:r>
          </w:p>
        </w:tc>
        <w:tc>
          <w:tcPr>
            <w:tcW w:w="1474" w:type="dxa"/>
            <w:tcBorders>
              <w:top w:val="nil"/>
              <w:left w:val="nil"/>
              <w:bottom w:val="nil"/>
              <w:right w:val="nil"/>
            </w:tcBorders>
            <w:shd w:val="clear" w:color="auto" w:fill="auto"/>
            <w:noWrap/>
            <w:vAlign w:val="bottom"/>
            <w:hideMark/>
          </w:tcPr>
          <w:p w14:paraId="12BA31E9"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928</w:t>
            </w:r>
          </w:p>
        </w:tc>
        <w:tc>
          <w:tcPr>
            <w:tcW w:w="1474" w:type="dxa"/>
            <w:tcBorders>
              <w:top w:val="nil"/>
              <w:left w:val="nil"/>
              <w:bottom w:val="nil"/>
              <w:right w:val="nil"/>
            </w:tcBorders>
            <w:shd w:val="clear" w:color="auto" w:fill="auto"/>
            <w:noWrap/>
            <w:vAlign w:val="bottom"/>
            <w:hideMark/>
          </w:tcPr>
          <w:p w14:paraId="0C197204"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309</w:t>
            </w:r>
          </w:p>
        </w:tc>
        <w:tc>
          <w:tcPr>
            <w:tcW w:w="2976" w:type="dxa"/>
            <w:tcBorders>
              <w:top w:val="nil"/>
              <w:left w:val="nil"/>
              <w:bottom w:val="nil"/>
              <w:right w:val="nil"/>
            </w:tcBorders>
            <w:shd w:val="clear" w:color="auto" w:fill="auto"/>
            <w:noWrap/>
            <w:vAlign w:val="bottom"/>
            <w:hideMark/>
          </w:tcPr>
          <w:p w14:paraId="4737CA09"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27</w:t>
            </w:r>
          </w:p>
        </w:tc>
      </w:tr>
      <w:tr w:rsidR="001B34C7" w:rsidRPr="009973EE" w14:paraId="192293FA" w14:textId="77777777" w:rsidTr="002E33D9">
        <w:trPr>
          <w:trHeight w:val="284"/>
          <w:jc w:val="center"/>
        </w:trPr>
        <w:tc>
          <w:tcPr>
            <w:tcW w:w="1134" w:type="dxa"/>
            <w:tcBorders>
              <w:top w:val="nil"/>
              <w:left w:val="nil"/>
              <w:bottom w:val="nil"/>
            </w:tcBorders>
            <w:shd w:val="clear" w:color="auto" w:fill="auto"/>
            <w:noWrap/>
            <w:vAlign w:val="bottom"/>
            <w:hideMark/>
          </w:tcPr>
          <w:p w14:paraId="5C565DDC" w14:textId="77777777" w:rsidR="001B34C7" w:rsidRPr="00BF59E4" w:rsidRDefault="001B34C7" w:rsidP="002E33D9">
            <w:pPr>
              <w:spacing w:after="0" w:line="240" w:lineRule="auto"/>
              <w:jc w:val="center"/>
              <w:rPr>
                <w:rFonts w:eastAsia="Times New Roman" w:cs="Times New Roman"/>
                <w:bCs/>
                <w:color w:val="000000"/>
                <w:sz w:val="20"/>
                <w:lang w:eastAsia="sk-SK"/>
              </w:rPr>
            </w:pPr>
            <w:r w:rsidRPr="00BF59E4">
              <w:rPr>
                <w:rFonts w:eastAsia="Times New Roman" w:cs="Times New Roman"/>
                <w:bCs/>
                <w:color w:val="000000"/>
                <w:sz w:val="20"/>
                <w:lang w:eastAsia="sk-SK"/>
              </w:rPr>
              <w:t>2012</w:t>
            </w:r>
          </w:p>
        </w:tc>
        <w:tc>
          <w:tcPr>
            <w:tcW w:w="1474" w:type="dxa"/>
            <w:tcBorders>
              <w:top w:val="nil"/>
              <w:left w:val="nil"/>
              <w:bottom w:val="nil"/>
              <w:right w:val="nil"/>
            </w:tcBorders>
            <w:shd w:val="clear" w:color="auto" w:fill="auto"/>
            <w:noWrap/>
            <w:vAlign w:val="bottom"/>
            <w:hideMark/>
          </w:tcPr>
          <w:p w14:paraId="785BA1F3"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1078</w:t>
            </w:r>
          </w:p>
        </w:tc>
        <w:tc>
          <w:tcPr>
            <w:tcW w:w="1474" w:type="dxa"/>
            <w:tcBorders>
              <w:top w:val="nil"/>
              <w:left w:val="nil"/>
              <w:bottom w:val="nil"/>
              <w:right w:val="nil"/>
            </w:tcBorders>
            <w:shd w:val="clear" w:color="auto" w:fill="auto"/>
            <w:noWrap/>
            <w:vAlign w:val="bottom"/>
            <w:hideMark/>
          </w:tcPr>
          <w:p w14:paraId="6E60F018"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802</w:t>
            </w:r>
          </w:p>
        </w:tc>
        <w:tc>
          <w:tcPr>
            <w:tcW w:w="1474" w:type="dxa"/>
            <w:tcBorders>
              <w:top w:val="nil"/>
              <w:left w:val="nil"/>
              <w:bottom w:val="nil"/>
              <w:right w:val="nil"/>
            </w:tcBorders>
            <w:shd w:val="clear" w:color="auto" w:fill="auto"/>
            <w:noWrap/>
            <w:vAlign w:val="bottom"/>
            <w:hideMark/>
          </w:tcPr>
          <w:p w14:paraId="17E7BCA3"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276</w:t>
            </w:r>
          </w:p>
        </w:tc>
        <w:tc>
          <w:tcPr>
            <w:tcW w:w="2976" w:type="dxa"/>
            <w:tcBorders>
              <w:top w:val="nil"/>
              <w:left w:val="nil"/>
              <w:bottom w:val="nil"/>
              <w:right w:val="nil"/>
            </w:tcBorders>
            <w:shd w:val="clear" w:color="auto" w:fill="auto"/>
            <w:noWrap/>
            <w:vAlign w:val="bottom"/>
            <w:hideMark/>
          </w:tcPr>
          <w:p w14:paraId="303C6CB1"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23</w:t>
            </w:r>
          </w:p>
        </w:tc>
      </w:tr>
      <w:tr w:rsidR="001B34C7" w:rsidRPr="009973EE" w14:paraId="25EFB6ED" w14:textId="77777777" w:rsidTr="002E33D9">
        <w:trPr>
          <w:trHeight w:val="284"/>
          <w:jc w:val="center"/>
        </w:trPr>
        <w:tc>
          <w:tcPr>
            <w:tcW w:w="1134" w:type="dxa"/>
            <w:tcBorders>
              <w:top w:val="nil"/>
              <w:left w:val="nil"/>
              <w:bottom w:val="nil"/>
            </w:tcBorders>
            <w:shd w:val="clear" w:color="auto" w:fill="auto"/>
            <w:noWrap/>
            <w:vAlign w:val="bottom"/>
            <w:hideMark/>
          </w:tcPr>
          <w:p w14:paraId="5E9390D8" w14:textId="77777777" w:rsidR="001B34C7" w:rsidRPr="00BF59E4" w:rsidRDefault="001B34C7" w:rsidP="002E33D9">
            <w:pPr>
              <w:spacing w:after="0" w:line="240" w:lineRule="auto"/>
              <w:jc w:val="center"/>
              <w:rPr>
                <w:rFonts w:eastAsia="Times New Roman" w:cs="Times New Roman"/>
                <w:bCs/>
                <w:color w:val="000000"/>
                <w:sz w:val="20"/>
                <w:lang w:eastAsia="sk-SK"/>
              </w:rPr>
            </w:pPr>
            <w:r w:rsidRPr="00BF59E4">
              <w:rPr>
                <w:rFonts w:eastAsia="Times New Roman" w:cs="Times New Roman"/>
                <w:bCs/>
                <w:color w:val="000000"/>
                <w:sz w:val="20"/>
                <w:lang w:eastAsia="sk-SK"/>
              </w:rPr>
              <w:t>2013</w:t>
            </w:r>
          </w:p>
        </w:tc>
        <w:tc>
          <w:tcPr>
            <w:tcW w:w="1474" w:type="dxa"/>
            <w:tcBorders>
              <w:top w:val="nil"/>
              <w:left w:val="nil"/>
              <w:bottom w:val="nil"/>
              <w:right w:val="nil"/>
            </w:tcBorders>
            <w:shd w:val="clear" w:color="auto" w:fill="auto"/>
            <w:noWrap/>
            <w:vAlign w:val="bottom"/>
            <w:hideMark/>
          </w:tcPr>
          <w:p w14:paraId="5E28A30E"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1141</w:t>
            </w:r>
          </w:p>
        </w:tc>
        <w:tc>
          <w:tcPr>
            <w:tcW w:w="1474" w:type="dxa"/>
            <w:tcBorders>
              <w:top w:val="nil"/>
              <w:left w:val="nil"/>
              <w:bottom w:val="nil"/>
              <w:right w:val="nil"/>
            </w:tcBorders>
            <w:shd w:val="clear" w:color="auto" w:fill="auto"/>
            <w:noWrap/>
            <w:vAlign w:val="bottom"/>
            <w:hideMark/>
          </w:tcPr>
          <w:p w14:paraId="58044233"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878</w:t>
            </w:r>
          </w:p>
        </w:tc>
        <w:tc>
          <w:tcPr>
            <w:tcW w:w="1474" w:type="dxa"/>
            <w:tcBorders>
              <w:top w:val="nil"/>
              <w:left w:val="nil"/>
              <w:bottom w:val="nil"/>
              <w:right w:val="nil"/>
            </w:tcBorders>
            <w:shd w:val="clear" w:color="auto" w:fill="auto"/>
            <w:noWrap/>
            <w:vAlign w:val="bottom"/>
            <w:hideMark/>
          </w:tcPr>
          <w:p w14:paraId="366C90DE"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263</w:t>
            </w:r>
          </w:p>
        </w:tc>
        <w:tc>
          <w:tcPr>
            <w:tcW w:w="2976" w:type="dxa"/>
            <w:tcBorders>
              <w:top w:val="nil"/>
              <w:left w:val="nil"/>
              <w:bottom w:val="nil"/>
              <w:right w:val="nil"/>
            </w:tcBorders>
            <w:shd w:val="clear" w:color="auto" w:fill="auto"/>
            <w:noWrap/>
            <w:vAlign w:val="bottom"/>
            <w:hideMark/>
          </w:tcPr>
          <w:p w14:paraId="7DFE7587" w14:textId="77777777" w:rsidR="001B34C7" w:rsidRPr="009973EE" w:rsidRDefault="001B34C7" w:rsidP="002E33D9">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25</w:t>
            </w:r>
          </w:p>
        </w:tc>
      </w:tr>
      <w:tr w:rsidR="001B34C7" w:rsidRPr="009973EE" w14:paraId="0DC1EFD7" w14:textId="77777777" w:rsidTr="002E33D9">
        <w:trPr>
          <w:trHeight w:val="284"/>
          <w:jc w:val="center"/>
        </w:trPr>
        <w:tc>
          <w:tcPr>
            <w:tcW w:w="1134" w:type="dxa"/>
            <w:tcBorders>
              <w:top w:val="nil"/>
              <w:left w:val="nil"/>
              <w:bottom w:val="nil"/>
            </w:tcBorders>
            <w:shd w:val="clear" w:color="auto" w:fill="auto"/>
            <w:noWrap/>
            <w:vAlign w:val="bottom"/>
            <w:hideMark/>
          </w:tcPr>
          <w:p w14:paraId="784977BD" w14:textId="77777777" w:rsidR="001B34C7" w:rsidRPr="00BF59E4" w:rsidRDefault="001B34C7" w:rsidP="002E33D9">
            <w:pPr>
              <w:spacing w:after="0" w:line="240" w:lineRule="auto"/>
              <w:jc w:val="center"/>
              <w:rPr>
                <w:rFonts w:eastAsia="Times New Roman" w:cs="Times New Roman"/>
                <w:bCs/>
                <w:color w:val="000000"/>
                <w:sz w:val="20"/>
                <w:lang w:eastAsia="sk-SK"/>
              </w:rPr>
            </w:pPr>
            <w:r w:rsidRPr="00BF59E4">
              <w:rPr>
                <w:rFonts w:eastAsia="Times New Roman" w:cs="Times New Roman"/>
                <w:bCs/>
                <w:color w:val="000000"/>
                <w:sz w:val="20"/>
                <w:lang w:eastAsia="sk-SK"/>
              </w:rPr>
              <w:t>2014</w:t>
            </w:r>
          </w:p>
        </w:tc>
        <w:tc>
          <w:tcPr>
            <w:tcW w:w="1474" w:type="dxa"/>
            <w:tcBorders>
              <w:top w:val="nil"/>
              <w:left w:val="nil"/>
              <w:bottom w:val="nil"/>
              <w:right w:val="nil"/>
            </w:tcBorders>
            <w:shd w:val="clear" w:color="auto" w:fill="auto"/>
            <w:noWrap/>
            <w:vAlign w:val="bottom"/>
            <w:hideMark/>
          </w:tcPr>
          <w:p w14:paraId="35837F1A"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1004</w:t>
            </w:r>
          </w:p>
        </w:tc>
        <w:tc>
          <w:tcPr>
            <w:tcW w:w="1474" w:type="dxa"/>
            <w:tcBorders>
              <w:top w:val="nil"/>
              <w:left w:val="nil"/>
              <w:bottom w:val="nil"/>
              <w:right w:val="nil"/>
            </w:tcBorders>
            <w:shd w:val="clear" w:color="auto" w:fill="auto"/>
            <w:noWrap/>
            <w:vAlign w:val="bottom"/>
            <w:hideMark/>
          </w:tcPr>
          <w:p w14:paraId="10AFE296"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787</w:t>
            </w:r>
          </w:p>
        </w:tc>
        <w:tc>
          <w:tcPr>
            <w:tcW w:w="1474" w:type="dxa"/>
            <w:tcBorders>
              <w:top w:val="nil"/>
              <w:left w:val="nil"/>
              <w:bottom w:val="nil"/>
              <w:right w:val="nil"/>
            </w:tcBorders>
            <w:shd w:val="clear" w:color="auto" w:fill="auto"/>
            <w:noWrap/>
            <w:vAlign w:val="bottom"/>
            <w:hideMark/>
          </w:tcPr>
          <w:p w14:paraId="46945BAD"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217</w:t>
            </w:r>
          </w:p>
        </w:tc>
        <w:tc>
          <w:tcPr>
            <w:tcW w:w="2976" w:type="dxa"/>
            <w:tcBorders>
              <w:top w:val="nil"/>
              <w:left w:val="nil"/>
              <w:bottom w:val="nil"/>
              <w:right w:val="nil"/>
            </w:tcBorders>
            <w:shd w:val="clear" w:color="auto" w:fill="auto"/>
            <w:noWrap/>
            <w:vAlign w:val="bottom"/>
            <w:hideMark/>
          </w:tcPr>
          <w:p w14:paraId="448DC4C1" w14:textId="77777777" w:rsidR="001B34C7" w:rsidRPr="009973EE" w:rsidRDefault="001B34C7" w:rsidP="002E33D9">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22</w:t>
            </w:r>
          </w:p>
        </w:tc>
      </w:tr>
      <w:tr w:rsidR="001B34C7" w:rsidRPr="009973EE" w14:paraId="70F3C61C" w14:textId="77777777" w:rsidTr="002E33D9">
        <w:trPr>
          <w:trHeight w:val="284"/>
          <w:jc w:val="center"/>
        </w:trPr>
        <w:tc>
          <w:tcPr>
            <w:tcW w:w="1134" w:type="dxa"/>
            <w:tcBorders>
              <w:top w:val="nil"/>
              <w:left w:val="nil"/>
              <w:bottom w:val="nil"/>
            </w:tcBorders>
            <w:shd w:val="clear" w:color="auto" w:fill="auto"/>
            <w:noWrap/>
            <w:vAlign w:val="bottom"/>
            <w:hideMark/>
          </w:tcPr>
          <w:p w14:paraId="641AC8C5" w14:textId="77777777" w:rsidR="001B34C7" w:rsidRPr="00BF59E4" w:rsidRDefault="001B34C7" w:rsidP="002E33D9">
            <w:pPr>
              <w:spacing w:after="0" w:line="240" w:lineRule="auto"/>
              <w:jc w:val="center"/>
              <w:rPr>
                <w:rFonts w:eastAsia="Times New Roman" w:cs="Times New Roman"/>
                <w:bCs/>
                <w:color w:val="000000"/>
                <w:sz w:val="20"/>
                <w:lang w:eastAsia="sk-SK"/>
              </w:rPr>
            </w:pPr>
            <w:r w:rsidRPr="00BF59E4">
              <w:rPr>
                <w:rFonts w:eastAsia="Times New Roman" w:cs="Times New Roman"/>
                <w:bCs/>
                <w:color w:val="000000"/>
                <w:sz w:val="20"/>
                <w:lang w:eastAsia="sk-SK"/>
              </w:rPr>
              <w:t>2015</w:t>
            </w:r>
          </w:p>
        </w:tc>
        <w:tc>
          <w:tcPr>
            <w:tcW w:w="1474" w:type="dxa"/>
            <w:tcBorders>
              <w:top w:val="nil"/>
              <w:left w:val="nil"/>
              <w:bottom w:val="nil"/>
              <w:right w:val="nil"/>
            </w:tcBorders>
            <w:shd w:val="clear" w:color="auto" w:fill="auto"/>
            <w:noWrap/>
            <w:vAlign w:val="bottom"/>
            <w:hideMark/>
          </w:tcPr>
          <w:p w14:paraId="72951A36"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1047</w:t>
            </w:r>
          </w:p>
        </w:tc>
        <w:tc>
          <w:tcPr>
            <w:tcW w:w="1474" w:type="dxa"/>
            <w:tcBorders>
              <w:top w:val="nil"/>
              <w:left w:val="nil"/>
              <w:bottom w:val="nil"/>
              <w:right w:val="nil"/>
            </w:tcBorders>
            <w:shd w:val="clear" w:color="auto" w:fill="auto"/>
            <w:noWrap/>
            <w:vAlign w:val="bottom"/>
            <w:hideMark/>
          </w:tcPr>
          <w:p w14:paraId="5D1B71FE"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805</w:t>
            </w:r>
          </w:p>
        </w:tc>
        <w:tc>
          <w:tcPr>
            <w:tcW w:w="1474" w:type="dxa"/>
            <w:tcBorders>
              <w:top w:val="nil"/>
              <w:left w:val="nil"/>
              <w:bottom w:val="nil"/>
              <w:right w:val="nil"/>
            </w:tcBorders>
            <w:shd w:val="clear" w:color="auto" w:fill="auto"/>
            <w:noWrap/>
            <w:vAlign w:val="bottom"/>
            <w:hideMark/>
          </w:tcPr>
          <w:p w14:paraId="00F0F82A"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242</w:t>
            </w:r>
          </w:p>
        </w:tc>
        <w:tc>
          <w:tcPr>
            <w:tcW w:w="2976" w:type="dxa"/>
            <w:tcBorders>
              <w:top w:val="nil"/>
              <w:left w:val="nil"/>
              <w:bottom w:val="nil"/>
              <w:right w:val="nil"/>
            </w:tcBorders>
            <w:shd w:val="clear" w:color="auto" w:fill="auto"/>
            <w:noWrap/>
            <w:vAlign w:val="bottom"/>
            <w:hideMark/>
          </w:tcPr>
          <w:p w14:paraId="376D2366" w14:textId="77777777" w:rsidR="001B34C7" w:rsidRPr="009973EE" w:rsidRDefault="001B34C7" w:rsidP="002E33D9">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23</w:t>
            </w:r>
          </w:p>
        </w:tc>
      </w:tr>
      <w:tr w:rsidR="001B34C7" w:rsidRPr="009973EE" w14:paraId="62FF0AE3" w14:textId="77777777" w:rsidTr="002E33D9">
        <w:trPr>
          <w:trHeight w:val="284"/>
          <w:jc w:val="center"/>
        </w:trPr>
        <w:tc>
          <w:tcPr>
            <w:tcW w:w="1134" w:type="dxa"/>
            <w:tcBorders>
              <w:top w:val="nil"/>
              <w:left w:val="nil"/>
              <w:bottom w:val="nil"/>
            </w:tcBorders>
            <w:shd w:val="clear" w:color="auto" w:fill="auto"/>
            <w:noWrap/>
            <w:vAlign w:val="bottom"/>
            <w:hideMark/>
          </w:tcPr>
          <w:p w14:paraId="53042578" w14:textId="77777777" w:rsidR="001B34C7" w:rsidRPr="00BF59E4" w:rsidRDefault="001B34C7" w:rsidP="002E33D9">
            <w:pPr>
              <w:spacing w:after="0" w:line="240" w:lineRule="auto"/>
              <w:jc w:val="center"/>
              <w:rPr>
                <w:rFonts w:eastAsia="Times New Roman" w:cs="Times New Roman"/>
                <w:bCs/>
                <w:color w:val="000000"/>
                <w:sz w:val="20"/>
                <w:lang w:eastAsia="sk-SK"/>
              </w:rPr>
            </w:pPr>
            <w:r w:rsidRPr="00BF59E4">
              <w:rPr>
                <w:rFonts w:eastAsia="Times New Roman" w:cs="Times New Roman"/>
                <w:bCs/>
                <w:color w:val="000000"/>
                <w:sz w:val="20"/>
                <w:lang w:eastAsia="sk-SK"/>
              </w:rPr>
              <w:t>2016</w:t>
            </w:r>
          </w:p>
        </w:tc>
        <w:tc>
          <w:tcPr>
            <w:tcW w:w="1474" w:type="dxa"/>
            <w:tcBorders>
              <w:top w:val="nil"/>
              <w:left w:val="nil"/>
              <w:bottom w:val="nil"/>
              <w:right w:val="nil"/>
            </w:tcBorders>
            <w:shd w:val="clear" w:color="auto" w:fill="auto"/>
            <w:noWrap/>
            <w:vAlign w:val="bottom"/>
            <w:hideMark/>
          </w:tcPr>
          <w:p w14:paraId="611E4BD3"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866</w:t>
            </w:r>
          </w:p>
        </w:tc>
        <w:tc>
          <w:tcPr>
            <w:tcW w:w="1474" w:type="dxa"/>
            <w:tcBorders>
              <w:top w:val="nil"/>
              <w:left w:val="nil"/>
              <w:bottom w:val="nil"/>
              <w:right w:val="nil"/>
            </w:tcBorders>
            <w:shd w:val="clear" w:color="auto" w:fill="auto"/>
            <w:noWrap/>
            <w:vAlign w:val="bottom"/>
            <w:hideMark/>
          </w:tcPr>
          <w:p w14:paraId="624FD8AF"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674</w:t>
            </w:r>
          </w:p>
        </w:tc>
        <w:tc>
          <w:tcPr>
            <w:tcW w:w="1474" w:type="dxa"/>
            <w:tcBorders>
              <w:top w:val="nil"/>
              <w:left w:val="nil"/>
              <w:bottom w:val="nil"/>
              <w:right w:val="nil"/>
            </w:tcBorders>
            <w:shd w:val="clear" w:color="auto" w:fill="auto"/>
            <w:noWrap/>
            <w:vAlign w:val="bottom"/>
            <w:hideMark/>
          </w:tcPr>
          <w:p w14:paraId="2C389528"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192</w:t>
            </w:r>
          </w:p>
        </w:tc>
        <w:tc>
          <w:tcPr>
            <w:tcW w:w="2976" w:type="dxa"/>
            <w:tcBorders>
              <w:top w:val="nil"/>
              <w:left w:val="nil"/>
              <w:bottom w:val="nil"/>
              <w:right w:val="nil"/>
            </w:tcBorders>
            <w:shd w:val="clear" w:color="auto" w:fill="auto"/>
            <w:noWrap/>
            <w:vAlign w:val="bottom"/>
            <w:hideMark/>
          </w:tcPr>
          <w:p w14:paraId="11BEE25F" w14:textId="77777777" w:rsidR="001B34C7" w:rsidRPr="009973EE" w:rsidRDefault="001B34C7" w:rsidP="002E33D9">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19</w:t>
            </w:r>
          </w:p>
        </w:tc>
      </w:tr>
      <w:tr w:rsidR="001B34C7" w:rsidRPr="009973EE" w14:paraId="238EE403" w14:textId="77777777" w:rsidTr="002E33D9">
        <w:trPr>
          <w:trHeight w:val="284"/>
          <w:jc w:val="center"/>
        </w:trPr>
        <w:tc>
          <w:tcPr>
            <w:tcW w:w="1134" w:type="dxa"/>
            <w:tcBorders>
              <w:top w:val="nil"/>
              <w:left w:val="nil"/>
            </w:tcBorders>
            <w:shd w:val="clear" w:color="auto" w:fill="auto"/>
            <w:noWrap/>
            <w:vAlign w:val="bottom"/>
            <w:hideMark/>
          </w:tcPr>
          <w:p w14:paraId="6D517F07" w14:textId="77777777" w:rsidR="001B34C7" w:rsidRPr="00BF59E4" w:rsidRDefault="001B34C7" w:rsidP="002E33D9">
            <w:pPr>
              <w:spacing w:after="0" w:line="240" w:lineRule="auto"/>
              <w:jc w:val="center"/>
              <w:rPr>
                <w:rFonts w:eastAsia="Times New Roman" w:cs="Times New Roman"/>
                <w:bCs/>
                <w:color w:val="000000"/>
                <w:sz w:val="20"/>
                <w:lang w:eastAsia="sk-SK"/>
              </w:rPr>
            </w:pPr>
            <w:r w:rsidRPr="00BF59E4">
              <w:rPr>
                <w:rFonts w:eastAsia="Times New Roman" w:cs="Times New Roman"/>
                <w:bCs/>
                <w:color w:val="000000"/>
                <w:sz w:val="20"/>
                <w:lang w:eastAsia="sk-SK"/>
              </w:rPr>
              <w:t>2017</w:t>
            </w:r>
          </w:p>
        </w:tc>
        <w:tc>
          <w:tcPr>
            <w:tcW w:w="1474" w:type="dxa"/>
            <w:tcBorders>
              <w:top w:val="nil"/>
              <w:left w:val="nil"/>
              <w:right w:val="nil"/>
            </w:tcBorders>
            <w:shd w:val="clear" w:color="auto" w:fill="auto"/>
            <w:noWrap/>
            <w:vAlign w:val="bottom"/>
            <w:hideMark/>
          </w:tcPr>
          <w:p w14:paraId="6A832434"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968</w:t>
            </w:r>
          </w:p>
        </w:tc>
        <w:tc>
          <w:tcPr>
            <w:tcW w:w="1474" w:type="dxa"/>
            <w:tcBorders>
              <w:top w:val="nil"/>
              <w:left w:val="nil"/>
              <w:right w:val="nil"/>
            </w:tcBorders>
            <w:shd w:val="clear" w:color="auto" w:fill="auto"/>
            <w:noWrap/>
            <w:vAlign w:val="bottom"/>
            <w:hideMark/>
          </w:tcPr>
          <w:p w14:paraId="4410D80D"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760</w:t>
            </w:r>
          </w:p>
        </w:tc>
        <w:tc>
          <w:tcPr>
            <w:tcW w:w="1474" w:type="dxa"/>
            <w:tcBorders>
              <w:top w:val="nil"/>
              <w:left w:val="nil"/>
              <w:right w:val="nil"/>
            </w:tcBorders>
            <w:shd w:val="clear" w:color="auto" w:fill="auto"/>
            <w:noWrap/>
            <w:vAlign w:val="bottom"/>
            <w:hideMark/>
          </w:tcPr>
          <w:p w14:paraId="553D398C"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208</w:t>
            </w:r>
          </w:p>
        </w:tc>
        <w:tc>
          <w:tcPr>
            <w:tcW w:w="2976" w:type="dxa"/>
            <w:tcBorders>
              <w:top w:val="nil"/>
              <w:left w:val="nil"/>
              <w:right w:val="nil"/>
            </w:tcBorders>
            <w:shd w:val="clear" w:color="auto" w:fill="auto"/>
            <w:noWrap/>
            <w:vAlign w:val="bottom"/>
            <w:hideMark/>
          </w:tcPr>
          <w:p w14:paraId="28D58CFF" w14:textId="77777777" w:rsidR="001B34C7" w:rsidRPr="009973EE" w:rsidRDefault="001B34C7" w:rsidP="002E33D9">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21</w:t>
            </w:r>
          </w:p>
        </w:tc>
      </w:tr>
      <w:tr w:rsidR="001B34C7" w:rsidRPr="009973EE" w14:paraId="04246EC9" w14:textId="77777777" w:rsidTr="002E33D9">
        <w:trPr>
          <w:trHeight w:val="284"/>
          <w:jc w:val="center"/>
        </w:trPr>
        <w:tc>
          <w:tcPr>
            <w:tcW w:w="1134" w:type="dxa"/>
            <w:tcBorders>
              <w:top w:val="nil"/>
              <w:left w:val="nil"/>
              <w:bottom w:val="single" w:sz="4" w:space="0" w:color="auto"/>
            </w:tcBorders>
            <w:shd w:val="clear" w:color="auto" w:fill="auto"/>
            <w:noWrap/>
            <w:vAlign w:val="bottom"/>
            <w:hideMark/>
          </w:tcPr>
          <w:p w14:paraId="3BCE049B" w14:textId="77777777" w:rsidR="001B34C7" w:rsidRPr="00BF59E4" w:rsidRDefault="001B34C7" w:rsidP="002E33D9">
            <w:pPr>
              <w:spacing w:after="0" w:line="240" w:lineRule="auto"/>
              <w:jc w:val="center"/>
              <w:rPr>
                <w:rFonts w:eastAsia="Times New Roman" w:cs="Times New Roman"/>
                <w:bCs/>
                <w:color w:val="000000"/>
                <w:sz w:val="20"/>
                <w:lang w:eastAsia="sk-SK"/>
              </w:rPr>
            </w:pPr>
            <w:r w:rsidRPr="00BF59E4">
              <w:rPr>
                <w:rFonts w:eastAsia="Times New Roman" w:cs="Times New Roman"/>
                <w:bCs/>
                <w:color w:val="000000"/>
                <w:sz w:val="20"/>
                <w:lang w:eastAsia="sk-SK"/>
              </w:rPr>
              <w:t>2018</w:t>
            </w:r>
          </w:p>
        </w:tc>
        <w:tc>
          <w:tcPr>
            <w:tcW w:w="1474" w:type="dxa"/>
            <w:tcBorders>
              <w:top w:val="nil"/>
              <w:left w:val="nil"/>
              <w:bottom w:val="single" w:sz="4" w:space="0" w:color="auto"/>
              <w:right w:val="nil"/>
            </w:tcBorders>
            <w:shd w:val="clear" w:color="auto" w:fill="auto"/>
            <w:noWrap/>
            <w:vAlign w:val="bottom"/>
            <w:hideMark/>
          </w:tcPr>
          <w:p w14:paraId="69938D04"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853</w:t>
            </w:r>
          </w:p>
        </w:tc>
        <w:tc>
          <w:tcPr>
            <w:tcW w:w="1474" w:type="dxa"/>
            <w:tcBorders>
              <w:top w:val="nil"/>
              <w:left w:val="nil"/>
              <w:bottom w:val="single" w:sz="4" w:space="0" w:color="auto"/>
              <w:right w:val="nil"/>
            </w:tcBorders>
            <w:shd w:val="clear" w:color="auto" w:fill="auto"/>
            <w:noWrap/>
            <w:vAlign w:val="bottom"/>
            <w:hideMark/>
          </w:tcPr>
          <w:p w14:paraId="5C95C312"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688</w:t>
            </w:r>
          </w:p>
        </w:tc>
        <w:tc>
          <w:tcPr>
            <w:tcW w:w="1474" w:type="dxa"/>
            <w:tcBorders>
              <w:top w:val="nil"/>
              <w:left w:val="nil"/>
              <w:bottom w:val="single" w:sz="4" w:space="0" w:color="auto"/>
              <w:right w:val="nil"/>
            </w:tcBorders>
            <w:shd w:val="clear" w:color="auto" w:fill="auto"/>
            <w:noWrap/>
            <w:vAlign w:val="bottom"/>
            <w:hideMark/>
          </w:tcPr>
          <w:p w14:paraId="7869639A"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165</w:t>
            </w:r>
          </w:p>
        </w:tc>
        <w:tc>
          <w:tcPr>
            <w:tcW w:w="2976" w:type="dxa"/>
            <w:tcBorders>
              <w:top w:val="nil"/>
              <w:left w:val="nil"/>
              <w:bottom w:val="single" w:sz="4" w:space="0" w:color="auto"/>
              <w:right w:val="nil"/>
            </w:tcBorders>
            <w:shd w:val="clear" w:color="auto" w:fill="auto"/>
            <w:noWrap/>
            <w:vAlign w:val="bottom"/>
            <w:hideMark/>
          </w:tcPr>
          <w:p w14:paraId="7E1EF185" w14:textId="77777777" w:rsidR="001B34C7" w:rsidRPr="009973EE" w:rsidRDefault="001B34C7" w:rsidP="002E33D9">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18</w:t>
            </w:r>
          </w:p>
        </w:tc>
      </w:tr>
    </w:tbl>
    <w:p w14:paraId="04BAC50D" w14:textId="77777777" w:rsidR="001B34C7" w:rsidRPr="005E51F5" w:rsidRDefault="001B34C7" w:rsidP="001B34C7">
      <w:pPr>
        <w:jc w:val="right"/>
        <w:rPr>
          <w:bCs/>
          <w:i/>
          <w:sz w:val="18"/>
          <w:szCs w:val="18"/>
        </w:rPr>
      </w:pPr>
      <w:r w:rsidRPr="009973EE">
        <w:rPr>
          <w:bCs/>
          <w:i/>
          <w:sz w:val="18"/>
          <w:szCs w:val="18"/>
        </w:rPr>
        <w:t>Zdroj: Vlastné prepočty na základe dát CVTI (2008-2018)</w:t>
      </w:r>
    </w:p>
    <w:p w14:paraId="39F4FF88" w14:textId="77777777" w:rsidR="003B7808" w:rsidRDefault="003B7808">
      <w:pPr>
        <w:spacing w:after="160"/>
        <w:jc w:val="left"/>
        <w:rPr>
          <w:b/>
          <w:iCs/>
          <w:color w:val="2E74B5" w:themeColor="accent1" w:themeShade="BF"/>
          <w:szCs w:val="18"/>
        </w:rPr>
      </w:pPr>
      <w:bookmarkStart w:id="1921" w:name="_Ref25838364"/>
      <w:r>
        <w:rPr>
          <w:b/>
          <w:i/>
          <w:color w:val="2E74B5" w:themeColor="accent1" w:themeShade="BF"/>
        </w:rPr>
        <w:br w:type="page"/>
      </w:r>
    </w:p>
    <w:p w14:paraId="0C2647C3" w14:textId="23882B61" w:rsidR="001B34C7" w:rsidRPr="000C6214" w:rsidRDefault="001B34C7" w:rsidP="001B34C7">
      <w:pPr>
        <w:pStyle w:val="Popis"/>
        <w:rPr>
          <w:b/>
          <w:i w:val="0"/>
          <w:color w:val="2E74B5" w:themeColor="accent1" w:themeShade="BF"/>
          <w:sz w:val="22"/>
        </w:rPr>
      </w:pPr>
      <w:bookmarkStart w:id="1922" w:name="_Ref34130980"/>
      <w:r w:rsidRPr="000C6214">
        <w:rPr>
          <w:b/>
          <w:i w:val="0"/>
          <w:color w:val="2E74B5" w:themeColor="accent1" w:themeShade="BF"/>
          <w:sz w:val="22"/>
        </w:rPr>
        <w:t xml:space="preserve">Príloha </w:t>
      </w:r>
      <w:r w:rsidRPr="00AD2F2A">
        <w:rPr>
          <w:b/>
          <w:i w:val="0"/>
          <w:color w:val="2E74B5" w:themeColor="accent1" w:themeShade="BF"/>
          <w:sz w:val="22"/>
        </w:rPr>
        <w:fldChar w:fldCharType="begin"/>
      </w:r>
      <w:r w:rsidRPr="00AD2F2A">
        <w:rPr>
          <w:b/>
          <w:i w:val="0"/>
          <w:color w:val="2E74B5" w:themeColor="accent1" w:themeShade="BF"/>
          <w:sz w:val="22"/>
        </w:rPr>
        <w:instrText xml:space="preserve"> SEQ Príloha \* ARABIC </w:instrText>
      </w:r>
      <w:r w:rsidRPr="00AD2F2A">
        <w:rPr>
          <w:b/>
          <w:i w:val="0"/>
          <w:color w:val="2E74B5" w:themeColor="accent1" w:themeShade="BF"/>
          <w:sz w:val="22"/>
        </w:rPr>
        <w:fldChar w:fldCharType="separate"/>
      </w:r>
      <w:r w:rsidR="00FA29AF">
        <w:rPr>
          <w:b/>
          <w:i w:val="0"/>
          <w:noProof/>
          <w:color w:val="2E74B5" w:themeColor="accent1" w:themeShade="BF"/>
          <w:sz w:val="22"/>
        </w:rPr>
        <w:t>18</w:t>
      </w:r>
      <w:r w:rsidRPr="00AD2F2A">
        <w:rPr>
          <w:b/>
          <w:i w:val="0"/>
          <w:color w:val="2E74B5" w:themeColor="accent1" w:themeShade="BF"/>
          <w:sz w:val="22"/>
        </w:rPr>
        <w:fldChar w:fldCharType="end"/>
      </w:r>
      <w:bookmarkEnd w:id="1921"/>
      <w:bookmarkEnd w:id="1922"/>
      <w:r w:rsidRPr="000C6214">
        <w:rPr>
          <w:b/>
          <w:i w:val="0"/>
          <w:color w:val="2E74B5" w:themeColor="accent1" w:themeShade="BF"/>
          <w:sz w:val="22"/>
        </w:rPr>
        <w:t>: Index odlišnosti</w:t>
      </w:r>
      <w:r w:rsidRPr="0069553C">
        <w:rPr>
          <w:i w:val="0"/>
          <w:color w:val="2E74B5" w:themeColor="accent1" w:themeShade="BF"/>
          <w:sz w:val="22"/>
          <w:vertAlign w:val="superscript"/>
        </w:rPr>
        <w:footnoteReference w:id="536"/>
      </w:r>
      <w:r w:rsidRPr="000C6214">
        <w:rPr>
          <w:b/>
          <w:i w:val="0"/>
          <w:color w:val="2E74B5" w:themeColor="accent1" w:themeShade="BF"/>
          <w:sz w:val="22"/>
        </w:rPr>
        <w:t xml:space="preserve"> vo vzťahu k žiakom so ZZ</w:t>
      </w:r>
    </w:p>
    <w:p w14:paraId="339BB49F" w14:textId="554EEE65" w:rsidR="001B34C7" w:rsidRPr="002D02DA" w:rsidRDefault="001B34C7" w:rsidP="001B34C7">
      <w:r w:rsidRPr="002D02DA">
        <w:rPr>
          <w:b/>
        </w:rPr>
        <w:t>Pre dosiahnutie rovnovážneho rozdelenia žiakov so ZZ v rámci piateho ročníka základných škôl by bolo potrebné</w:t>
      </w:r>
      <w:r w:rsidR="0070047D">
        <w:rPr>
          <w:b/>
        </w:rPr>
        <w:t xml:space="preserve"> </w:t>
      </w:r>
      <w:r w:rsidRPr="002D02DA">
        <w:rPr>
          <w:b/>
        </w:rPr>
        <w:t>26 % z nich preradiť do inej triedy v ročníku.</w:t>
      </w:r>
      <w:r w:rsidRPr="002D02DA">
        <w:t xml:space="preserve"> Viac ako 40 % žiakov so ZZ sa vzdeláva v školách, v ktorých hodnota indexu nepresiahne 0,20. 17 % žiakov so ZZ sa vzdeláva v škol</w:t>
      </w:r>
      <w:r w:rsidR="00DE654D">
        <w:t>ách v ktorých hodnota indexu je </w:t>
      </w:r>
      <w:r w:rsidRPr="002D02DA">
        <w:t xml:space="preserve">vyššia ako 0,60. Školy, ktoré </w:t>
      </w:r>
      <w:r w:rsidRPr="00BF59E4">
        <w:t>majú</w:t>
      </w:r>
      <w:r w:rsidRPr="002D02DA">
        <w:t xml:space="preserve"> žiakov v špeciálnych triedach v 5. ročníku majú v priemere mierne vyššiu hodnotu indexu (0,31 oproti 0,25). Hodnota </w:t>
      </w:r>
      <w:r w:rsidRPr="00BF59E4">
        <w:t>indexu</w:t>
      </w:r>
      <w:r w:rsidRPr="002D02DA">
        <w:t xml:space="preserve"> zároveň klesá s vyššími ročníkmi. </w:t>
      </w:r>
      <w:r w:rsidRPr="00BF59E4">
        <w:t>Najvyššia</w:t>
      </w:r>
      <w:r w:rsidRPr="002D02DA">
        <w:t xml:space="preserve"> priemerná hodnota indexu je v Košickom kraji (0,28) a najnižšia v Žilinskom kraji (0,21).</w:t>
      </w:r>
      <w:r w:rsidRPr="002D02DA">
        <w:rPr>
          <w:rStyle w:val="Odkaznapoznmkupodiarou"/>
        </w:rPr>
        <w:footnoteReference w:id="537"/>
      </w:r>
    </w:p>
    <w:p w14:paraId="776CF4C0" w14:textId="432CD70F" w:rsidR="001B34C7" w:rsidRPr="00922C7B" w:rsidRDefault="001B34C7" w:rsidP="001B34C7">
      <w:r w:rsidRPr="002D02DA">
        <w:rPr>
          <w:b/>
        </w:rPr>
        <w:t>Pre dosiahnutie rovnovážneho rozdelenia žiakov so zdravotným znevýhodnením medzi bežnými základnými školami v rámci obcí</w:t>
      </w:r>
      <w:r w:rsidRPr="002D02DA">
        <w:rPr>
          <w:rStyle w:val="Odkaznapoznmkupodiarou"/>
          <w:b/>
        </w:rPr>
        <w:footnoteReference w:id="538"/>
      </w:r>
      <w:r w:rsidRPr="002D02DA">
        <w:rPr>
          <w:b/>
        </w:rPr>
        <w:t xml:space="preserve"> by sme museli v priemere preradiť 16 % žiakov so ZZ.</w:t>
      </w:r>
      <w:r w:rsidR="00DE654D">
        <w:t xml:space="preserve"> Medzi obcami sú </w:t>
      </w:r>
      <w:r w:rsidRPr="002D02DA">
        <w:t>však pomerne veľké rozdiely, hodnota indexu sa totiž pohybuje medzi 0,01 a 0,</w:t>
      </w:r>
      <w:r w:rsidR="00DE654D">
        <w:t>43. V niektorých obciach by pre </w:t>
      </w:r>
      <w:r w:rsidRPr="002D02DA">
        <w:t>rovnovážne rozdelenie bolo potrebné preradiť skoro polovicu žiakov. Najvyš</w:t>
      </w:r>
      <w:r w:rsidR="00DE654D">
        <w:t>šia priemerná hodnota indexu je </w:t>
      </w:r>
      <w:r w:rsidRPr="002D02DA">
        <w:t>v Bratislavskom kraji (0,22) a najnižšia v Žilinskom kraji (0,13). Z analýzy ne</w:t>
      </w:r>
      <w:r w:rsidR="00B24660">
        <w:t>vyplýva</w:t>
      </w:r>
      <w:r w:rsidRPr="002D02DA">
        <w:t>, že by sa index výrazne líšil medzi mestami a obcami.</w:t>
      </w:r>
    </w:p>
    <w:p w14:paraId="29F66469" w14:textId="77777777" w:rsidR="001B34C7" w:rsidRPr="005E51F5" w:rsidRDefault="001B34C7" w:rsidP="001B34C7">
      <w:pPr>
        <w:tabs>
          <w:tab w:val="left" w:pos="1335"/>
        </w:tabs>
        <w:rPr>
          <w:sz w:val="20"/>
        </w:rPr>
        <w:sectPr w:rsidR="001B34C7" w:rsidRPr="005E51F5" w:rsidSect="00827B00">
          <w:footerReference w:type="default" r:id="rId261"/>
          <w:type w:val="continuous"/>
          <w:pgSz w:w="11906" w:h="16838" w:code="9"/>
          <w:pgMar w:top="1440" w:right="1378" w:bottom="1440" w:left="1440" w:header="0" w:footer="900" w:gutter="0"/>
          <w:cols w:space="708"/>
          <w:docGrid w:linePitch="360"/>
        </w:sectPr>
      </w:pPr>
    </w:p>
    <w:p w14:paraId="6C76D0F5" w14:textId="77777777" w:rsidR="001B34C7" w:rsidRPr="000C6214" w:rsidRDefault="001B34C7" w:rsidP="001B34C7">
      <w:pPr>
        <w:pStyle w:val="Popis"/>
        <w:rPr>
          <w:b/>
          <w:i w:val="0"/>
          <w:color w:val="2E74B5" w:themeColor="accent1" w:themeShade="BF"/>
          <w:sz w:val="22"/>
        </w:rPr>
      </w:pPr>
      <w:bookmarkStart w:id="1923" w:name="_Ref25838414"/>
      <w:r w:rsidRPr="000C6214">
        <w:rPr>
          <w:b/>
          <w:i w:val="0"/>
          <w:color w:val="2E74B5" w:themeColor="accent1" w:themeShade="BF"/>
          <w:sz w:val="22"/>
        </w:rPr>
        <w:t xml:space="preserve">Príloha </w:t>
      </w:r>
      <w:r w:rsidRPr="00AD2F2A">
        <w:rPr>
          <w:b/>
          <w:i w:val="0"/>
          <w:color w:val="2E74B5" w:themeColor="accent1" w:themeShade="BF"/>
          <w:sz w:val="22"/>
        </w:rPr>
        <w:fldChar w:fldCharType="begin"/>
      </w:r>
      <w:r w:rsidRPr="00AD2F2A">
        <w:rPr>
          <w:b/>
          <w:i w:val="0"/>
          <w:color w:val="2E74B5" w:themeColor="accent1" w:themeShade="BF"/>
          <w:sz w:val="22"/>
        </w:rPr>
        <w:instrText xml:space="preserve"> SEQ Príloha \* ARABIC </w:instrText>
      </w:r>
      <w:r w:rsidRPr="00AD2F2A">
        <w:rPr>
          <w:b/>
          <w:i w:val="0"/>
          <w:color w:val="2E74B5" w:themeColor="accent1" w:themeShade="BF"/>
          <w:sz w:val="22"/>
        </w:rPr>
        <w:fldChar w:fldCharType="separate"/>
      </w:r>
      <w:r w:rsidR="00FA29AF">
        <w:rPr>
          <w:b/>
          <w:i w:val="0"/>
          <w:noProof/>
          <w:color w:val="2E74B5" w:themeColor="accent1" w:themeShade="BF"/>
          <w:sz w:val="22"/>
        </w:rPr>
        <w:t>19</w:t>
      </w:r>
      <w:r w:rsidRPr="00AD2F2A">
        <w:rPr>
          <w:b/>
          <w:i w:val="0"/>
          <w:color w:val="2E74B5" w:themeColor="accent1" w:themeShade="BF"/>
          <w:sz w:val="22"/>
        </w:rPr>
        <w:fldChar w:fldCharType="end"/>
      </w:r>
      <w:bookmarkEnd w:id="1923"/>
      <w:r w:rsidRPr="000C6214">
        <w:rPr>
          <w:b/>
          <w:i w:val="0"/>
          <w:color w:val="2E74B5" w:themeColor="accent1" w:themeShade="BF"/>
          <w:sz w:val="22"/>
        </w:rPr>
        <w:t>: Dodatočné náklady na vzdelávanie žiakov so zdravotným znevýhodnením podľa vzdelávacieho prúdu a druhu zdravotného znevýhodnenia</w:t>
      </w:r>
    </w:p>
    <w:tbl>
      <w:tblPr>
        <w:tblpPr w:leftFromText="141" w:rightFromText="141" w:vertAnchor="page" w:horzAnchor="margin" w:tblpY="2131"/>
        <w:tblW w:w="13985" w:type="dxa"/>
        <w:tblCellMar>
          <w:left w:w="70" w:type="dxa"/>
          <w:right w:w="70" w:type="dxa"/>
        </w:tblCellMar>
        <w:tblLook w:val="04A0" w:firstRow="1" w:lastRow="0" w:firstColumn="1" w:lastColumn="0" w:noHBand="0" w:noVBand="1"/>
      </w:tblPr>
      <w:tblGrid>
        <w:gridCol w:w="1016"/>
        <w:gridCol w:w="1016"/>
        <w:gridCol w:w="1181"/>
        <w:gridCol w:w="1391"/>
        <w:gridCol w:w="1017"/>
        <w:gridCol w:w="1181"/>
        <w:gridCol w:w="1391"/>
        <w:gridCol w:w="1017"/>
        <w:gridCol w:w="1181"/>
        <w:gridCol w:w="1391"/>
        <w:gridCol w:w="1017"/>
        <w:gridCol w:w="1186"/>
      </w:tblGrid>
      <w:tr w:rsidR="001B34C7" w:rsidRPr="009973EE" w14:paraId="2C65EE45" w14:textId="77777777" w:rsidTr="002E33D9">
        <w:trPr>
          <w:trHeight w:val="284"/>
        </w:trPr>
        <w:tc>
          <w:tcPr>
            <w:tcW w:w="1016" w:type="dxa"/>
            <w:tcBorders>
              <w:top w:val="single" w:sz="4" w:space="0" w:color="auto"/>
            </w:tcBorders>
            <w:shd w:val="clear" w:color="auto" w:fill="auto"/>
            <w:noWrap/>
            <w:vAlign w:val="center"/>
            <w:hideMark/>
          </w:tcPr>
          <w:p w14:paraId="253B256A" w14:textId="77777777" w:rsidR="001B34C7" w:rsidRPr="009973EE" w:rsidRDefault="001B34C7" w:rsidP="002E33D9">
            <w:pPr>
              <w:spacing w:after="0" w:line="240" w:lineRule="auto"/>
              <w:rPr>
                <w:rFonts w:eastAsia="Times New Roman" w:cs="Times New Roman"/>
                <w:sz w:val="20"/>
                <w:lang w:eastAsia="sk-SK"/>
              </w:rPr>
            </w:pPr>
          </w:p>
        </w:tc>
        <w:tc>
          <w:tcPr>
            <w:tcW w:w="3588" w:type="dxa"/>
            <w:gridSpan w:val="3"/>
            <w:tcBorders>
              <w:top w:val="single" w:sz="4" w:space="0" w:color="auto"/>
            </w:tcBorders>
            <w:shd w:val="clear" w:color="auto" w:fill="auto"/>
            <w:noWrap/>
            <w:vAlign w:val="center"/>
            <w:hideMark/>
          </w:tcPr>
          <w:p w14:paraId="69172840" w14:textId="77777777" w:rsidR="001B34C7" w:rsidRPr="009973EE" w:rsidRDefault="001B34C7" w:rsidP="002E33D9">
            <w:pPr>
              <w:spacing w:after="0" w:line="240" w:lineRule="auto"/>
              <w:jc w:val="center"/>
              <w:rPr>
                <w:rFonts w:eastAsia="Times New Roman" w:cs="Times New Roman"/>
                <w:b/>
                <w:bCs/>
                <w:color w:val="000000"/>
                <w:sz w:val="20"/>
                <w:lang w:eastAsia="sk-SK"/>
              </w:rPr>
            </w:pPr>
            <w:r w:rsidRPr="009973EE">
              <w:rPr>
                <w:rFonts w:eastAsia="Times New Roman" w:cs="Times New Roman"/>
                <w:b/>
                <w:bCs/>
                <w:color w:val="000000"/>
                <w:sz w:val="20"/>
                <w:lang w:eastAsia="sk-SK"/>
              </w:rPr>
              <w:t>Integrácia</w:t>
            </w:r>
          </w:p>
        </w:tc>
        <w:tc>
          <w:tcPr>
            <w:tcW w:w="3589" w:type="dxa"/>
            <w:gridSpan w:val="3"/>
            <w:tcBorders>
              <w:top w:val="single" w:sz="4" w:space="0" w:color="auto"/>
            </w:tcBorders>
            <w:shd w:val="clear" w:color="auto" w:fill="auto"/>
            <w:noWrap/>
            <w:vAlign w:val="center"/>
            <w:hideMark/>
          </w:tcPr>
          <w:p w14:paraId="387009CC" w14:textId="77777777" w:rsidR="001B34C7" w:rsidRPr="009973EE" w:rsidRDefault="001B34C7" w:rsidP="002E33D9">
            <w:pPr>
              <w:spacing w:after="0" w:line="240" w:lineRule="auto"/>
              <w:jc w:val="center"/>
              <w:rPr>
                <w:rFonts w:eastAsia="Times New Roman" w:cs="Times New Roman"/>
                <w:b/>
                <w:bCs/>
                <w:color w:val="000000"/>
                <w:sz w:val="20"/>
                <w:lang w:eastAsia="sk-SK"/>
              </w:rPr>
            </w:pPr>
            <w:r w:rsidRPr="009973EE">
              <w:rPr>
                <w:rFonts w:eastAsia="Times New Roman" w:cs="Times New Roman"/>
                <w:b/>
                <w:bCs/>
                <w:color w:val="000000"/>
                <w:sz w:val="20"/>
                <w:lang w:eastAsia="sk-SK"/>
              </w:rPr>
              <w:t>Špeciálne triedy</w:t>
            </w:r>
          </w:p>
        </w:tc>
        <w:tc>
          <w:tcPr>
            <w:tcW w:w="3589" w:type="dxa"/>
            <w:gridSpan w:val="3"/>
            <w:tcBorders>
              <w:top w:val="single" w:sz="4" w:space="0" w:color="auto"/>
            </w:tcBorders>
            <w:shd w:val="clear" w:color="auto" w:fill="auto"/>
            <w:noWrap/>
            <w:vAlign w:val="center"/>
            <w:hideMark/>
          </w:tcPr>
          <w:p w14:paraId="3D34BC30" w14:textId="77777777" w:rsidR="001B34C7" w:rsidRPr="009973EE" w:rsidRDefault="001B34C7" w:rsidP="002E33D9">
            <w:pPr>
              <w:spacing w:after="0" w:line="240" w:lineRule="auto"/>
              <w:jc w:val="center"/>
              <w:rPr>
                <w:rFonts w:eastAsia="Times New Roman" w:cs="Times New Roman"/>
                <w:b/>
                <w:bCs/>
                <w:color w:val="000000"/>
                <w:sz w:val="20"/>
                <w:lang w:eastAsia="sk-SK"/>
              </w:rPr>
            </w:pPr>
            <w:r w:rsidRPr="009973EE">
              <w:rPr>
                <w:rFonts w:eastAsia="Times New Roman" w:cs="Times New Roman"/>
                <w:b/>
                <w:bCs/>
                <w:color w:val="000000"/>
                <w:sz w:val="20"/>
                <w:lang w:eastAsia="sk-SK"/>
              </w:rPr>
              <w:t>Špeciálne školy</w:t>
            </w:r>
          </w:p>
        </w:tc>
        <w:tc>
          <w:tcPr>
            <w:tcW w:w="2203" w:type="dxa"/>
            <w:gridSpan w:val="2"/>
            <w:tcBorders>
              <w:top w:val="single" w:sz="4" w:space="0" w:color="auto"/>
            </w:tcBorders>
            <w:shd w:val="clear" w:color="auto" w:fill="auto"/>
            <w:noWrap/>
            <w:vAlign w:val="center"/>
            <w:hideMark/>
          </w:tcPr>
          <w:p w14:paraId="2B24588D" w14:textId="77777777" w:rsidR="001B34C7" w:rsidRPr="009973EE" w:rsidRDefault="001B34C7" w:rsidP="002E33D9">
            <w:pPr>
              <w:spacing w:after="0" w:line="240" w:lineRule="auto"/>
              <w:jc w:val="center"/>
              <w:rPr>
                <w:rFonts w:eastAsia="Times New Roman" w:cs="Times New Roman"/>
                <w:b/>
                <w:bCs/>
                <w:color w:val="000000"/>
                <w:sz w:val="20"/>
                <w:lang w:eastAsia="sk-SK"/>
              </w:rPr>
            </w:pPr>
            <w:r w:rsidRPr="009973EE">
              <w:rPr>
                <w:rFonts w:eastAsia="Times New Roman" w:cs="Times New Roman"/>
                <w:b/>
                <w:bCs/>
                <w:color w:val="000000"/>
                <w:sz w:val="20"/>
                <w:lang w:eastAsia="sk-SK"/>
              </w:rPr>
              <w:t>SPOLU</w:t>
            </w:r>
          </w:p>
        </w:tc>
      </w:tr>
      <w:tr w:rsidR="001B34C7" w:rsidRPr="009973EE" w14:paraId="4828841D" w14:textId="77777777" w:rsidTr="002E33D9">
        <w:trPr>
          <w:trHeight w:val="284"/>
        </w:trPr>
        <w:tc>
          <w:tcPr>
            <w:tcW w:w="1016" w:type="dxa"/>
            <w:tcBorders>
              <w:bottom w:val="single" w:sz="4" w:space="0" w:color="auto"/>
            </w:tcBorders>
            <w:shd w:val="clear" w:color="auto" w:fill="auto"/>
            <w:noWrap/>
            <w:vAlign w:val="center"/>
            <w:hideMark/>
          </w:tcPr>
          <w:p w14:paraId="5D7286C2" w14:textId="77777777" w:rsidR="001B34C7" w:rsidRPr="009973EE" w:rsidRDefault="001B34C7" w:rsidP="002E33D9">
            <w:pPr>
              <w:spacing w:after="0" w:line="240" w:lineRule="auto"/>
              <w:rPr>
                <w:rFonts w:eastAsia="Times New Roman" w:cs="Times New Roman"/>
                <w:b/>
                <w:bCs/>
                <w:color w:val="000000"/>
                <w:sz w:val="20"/>
                <w:lang w:eastAsia="sk-SK"/>
              </w:rPr>
            </w:pPr>
          </w:p>
        </w:tc>
        <w:tc>
          <w:tcPr>
            <w:tcW w:w="1016" w:type="dxa"/>
            <w:tcBorders>
              <w:bottom w:val="single" w:sz="4" w:space="0" w:color="auto"/>
            </w:tcBorders>
            <w:shd w:val="clear" w:color="auto" w:fill="auto"/>
            <w:vAlign w:val="center"/>
            <w:hideMark/>
          </w:tcPr>
          <w:p w14:paraId="0DA8BB70" w14:textId="77777777" w:rsidR="001B34C7" w:rsidRPr="009973EE" w:rsidRDefault="001B34C7" w:rsidP="002E33D9">
            <w:pPr>
              <w:spacing w:after="0" w:line="240" w:lineRule="auto"/>
              <w:jc w:val="right"/>
              <w:rPr>
                <w:rFonts w:eastAsia="Times New Roman" w:cs="Times New Roman"/>
                <w:b/>
                <w:bCs/>
                <w:color w:val="000000"/>
                <w:sz w:val="20"/>
                <w:lang w:eastAsia="sk-SK"/>
              </w:rPr>
            </w:pPr>
            <w:r w:rsidRPr="009973EE">
              <w:rPr>
                <w:rFonts w:eastAsia="Times New Roman" w:cs="Times New Roman"/>
                <w:b/>
                <w:bCs/>
                <w:color w:val="000000"/>
                <w:sz w:val="20"/>
                <w:lang w:eastAsia="sk-SK"/>
              </w:rPr>
              <w:t>Počet žiakov</w:t>
            </w:r>
          </w:p>
        </w:tc>
        <w:tc>
          <w:tcPr>
            <w:tcW w:w="1181" w:type="dxa"/>
            <w:tcBorders>
              <w:bottom w:val="single" w:sz="4" w:space="0" w:color="auto"/>
            </w:tcBorders>
            <w:shd w:val="clear" w:color="auto" w:fill="auto"/>
            <w:vAlign w:val="center"/>
            <w:hideMark/>
          </w:tcPr>
          <w:p w14:paraId="1D2B6DF0" w14:textId="77777777" w:rsidR="001B34C7" w:rsidRPr="009973EE" w:rsidRDefault="001B34C7" w:rsidP="002E33D9">
            <w:pPr>
              <w:spacing w:after="0" w:line="240" w:lineRule="auto"/>
              <w:jc w:val="right"/>
              <w:rPr>
                <w:rFonts w:eastAsia="Times New Roman" w:cs="Times New Roman"/>
                <w:b/>
                <w:bCs/>
                <w:color w:val="000000"/>
                <w:sz w:val="20"/>
                <w:lang w:eastAsia="sk-SK"/>
              </w:rPr>
            </w:pPr>
            <w:r w:rsidRPr="009973EE">
              <w:rPr>
                <w:rFonts w:eastAsia="Times New Roman" w:cs="Times New Roman"/>
                <w:b/>
                <w:bCs/>
                <w:color w:val="000000"/>
                <w:sz w:val="20"/>
                <w:lang w:eastAsia="sk-SK"/>
              </w:rPr>
              <w:t>Dodatočné náklady</w:t>
            </w:r>
          </w:p>
        </w:tc>
        <w:tc>
          <w:tcPr>
            <w:tcW w:w="1391" w:type="dxa"/>
            <w:tcBorders>
              <w:bottom w:val="single" w:sz="4" w:space="0" w:color="auto"/>
            </w:tcBorders>
            <w:shd w:val="clear" w:color="auto" w:fill="auto"/>
            <w:vAlign w:val="center"/>
            <w:hideMark/>
          </w:tcPr>
          <w:p w14:paraId="26255726" w14:textId="77777777" w:rsidR="001B34C7" w:rsidRPr="009973EE" w:rsidRDefault="001B34C7" w:rsidP="002E33D9">
            <w:pPr>
              <w:spacing w:after="0" w:line="240" w:lineRule="auto"/>
              <w:jc w:val="right"/>
              <w:rPr>
                <w:rFonts w:eastAsia="Times New Roman" w:cs="Times New Roman"/>
                <w:b/>
                <w:bCs/>
                <w:color w:val="000000"/>
                <w:sz w:val="20"/>
                <w:lang w:eastAsia="sk-SK"/>
              </w:rPr>
            </w:pPr>
            <w:r w:rsidRPr="009973EE">
              <w:rPr>
                <w:rFonts w:eastAsia="Times New Roman" w:cs="Times New Roman"/>
                <w:b/>
                <w:bCs/>
                <w:color w:val="000000"/>
                <w:sz w:val="20"/>
                <w:lang w:eastAsia="sk-SK"/>
              </w:rPr>
              <w:t>Podiel dodatočných nákladov v rámci kategórie</w:t>
            </w:r>
          </w:p>
        </w:tc>
        <w:tc>
          <w:tcPr>
            <w:tcW w:w="1017" w:type="dxa"/>
            <w:tcBorders>
              <w:bottom w:val="single" w:sz="4" w:space="0" w:color="auto"/>
            </w:tcBorders>
            <w:shd w:val="clear" w:color="auto" w:fill="auto"/>
            <w:vAlign w:val="center"/>
            <w:hideMark/>
          </w:tcPr>
          <w:p w14:paraId="018D00CF" w14:textId="77777777" w:rsidR="001B34C7" w:rsidRPr="009973EE" w:rsidRDefault="001B34C7" w:rsidP="002E33D9">
            <w:pPr>
              <w:spacing w:after="0" w:line="240" w:lineRule="auto"/>
              <w:jc w:val="right"/>
              <w:rPr>
                <w:rFonts w:eastAsia="Times New Roman" w:cs="Times New Roman"/>
                <w:b/>
                <w:bCs/>
                <w:color w:val="000000"/>
                <w:sz w:val="20"/>
                <w:lang w:eastAsia="sk-SK"/>
              </w:rPr>
            </w:pPr>
            <w:r w:rsidRPr="009973EE">
              <w:rPr>
                <w:rFonts w:eastAsia="Times New Roman" w:cs="Times New Roman"/>
                <w:b/>
                <w:bCs/>
                <w:color w:val="000000"/>
                <w:sz w:val="20"/>
                <w:lang w:eastAsia="sk-SK"/>
              </w:rPr>
              <w:t>Počet žiakov</w:t>
            </w:r>
          </w:p>
        </w:tc>
        <w:tc>
          <w:tcPr>
            <w:tcW w:w="1181" w:type="dxa"/>
            <w:tcBorders>
              <w:bottom w:val="single" w:sz="4" w:space="0" w:color="auto"/>
            </w:tcBorders>
            <w:shd w:val="clear" w:color="auto" w:fill="auto"/>
            <w:vAlign w:val="center"/>
            <w:hideMark/>
          </w:tcPr>
          <w:p w14:paraId="1964BAED" w14:textId="77777777" w:rsidR="001B34C7" w:rsidRPr="009973EE" w:rsidRDefault="001B34C7" w:rsidP="002E33D9">
            <w:pPr>
              <w:spacing w:after="0" w:line="240" w:lineRule="auto"/>
              <w:jc w:val="right"/>
              <w:rPr>
                <w:rFonts w:eastAsia="Times New Roman" w:cs="Times New Roman"/>
                <w:b/>
                <w:bCs/>
                <w:color w:val="000000"/>
                <w:sz w:val="20"/>
                <w:lang w:eastAsia="sk-SK"/>
              </w:rPr>
            </w:pPr>
            <w:r w:rsidRPr="009973EE">
              <w:rPr>
                <w:rFonts w:eastAsia="Times New Roman" w:cs="Times New Roman"/>
                <w:b/>
                <w:bCs/>
                <w:color w:val="000000"/>
                <w:sz w:val="20"/>
                <w:lang w:eastAsia="sk-SK"/>
              </w:rPr>
              <w:t>Dodatočné náklady</w:t>
            </w:r>
          </w:p>
        </w:tc>
        <w:tc>
          <w:tcPr>
            <w:tcW w:w="1391" w:type="dxa"/>
            <w:tcBorders>
              <w:bottom w:val="single" w:sz="4" w:space="0" w:color="auto"/>
            </w:tcBorders>
            <w:shd w:val="clear" w:color="auto" w:fill="auto"/>
            <w:vAlign w:val="center"/>
            <w:hideMark/>
          </w:tcPr>
          <w:p w14:paraId="4863D2A4" w14:textId="77777777" w:rsidR="001B34C7" w:rsidRPr="009973EE" w:rsidRDefault="001B34C7" w:rsidP="002E33D9">
            <w:pPr>
              <w:spacing w:after="0" w:line="240" w:lineRule="auto"/>
              <w:jc w:val="right"/>
              <w:rPr>
                <w:rFonts w:eastAsia="Times New Roman" w:cs="Times New Roman"/>
                <w:b/>
                <w:bCs/>
                <w:color w:val="000000"/>
                <w:sz w:val="20"/>
                <w:lang w:eastAsia="sk-SK"/>
              </w:rPr>
            </w:pPr>
            <w:r w:rsidRPr="009973EE">
              <w:rPr>
                <w:rFonts w:eastAsia="Times New Roman" w:cs="Times New Roman"/>
                <w:b/>
                <w:bCs/>
                <w:color w:val="000000"/>
                <w:sz w:val="20"/>
                <w:lang w:eastAsia="sk-SK"/>
              </w:rPr>
              <w:t>Podiel dodatočných nákladov v rámci kategórie</w:t>
            </w:r>
          </w:p>
        </w:tc>
        <w:tc>
          <w:tcPr>
            <w:tcW w:w="1017" w:type="dxa"/>
            <w:tcBorders>
              <w:bottom w:val="single" w:sz="4" w:space="0" w:color="auto"/>
            </w:tcBorders>
            <w:shd w:val="clear" w:color="auto" w:fill="auto"/>
            <w:vAlign w:val="center"/>
            <w:hideMark/>
          </w:tcPr>
          <w:p w14:paraId="3894B9EE" w14:textId="77777777" w:rsidR="001B34C7" w:rsidRPr="009973EE" w:rsidRDefault="001B34C7" w:rsidP="002E33D9">
            <w:pPr>
              <w:spacing w:after="0" w:line="240" w:lineRule="auto"/>
              <w:jc w:val="right"/>
              <w:rPr>
                <w:rFonts w:eastAsia="Times New Roman" w:cs="Times New Roman"/>
                <w:b/>
                <w:bCs/>
                <w:color w:val="000000"/>
                <w:sz w:val="20"/>
                <w:lang w:eastAsia="sk-SK"/>
              </w:rPr>
            </w:pPr>
            <w:r w:rsidRPr="009973EE">
              <w:rPr>
                <w:rFonts w:eastAsia="Times New Roman" w:cs="Times New Roman"/>
                <w:b/>
                <w:bCs/>
                <w:color w:val="000000"/>
                <w:sz w:val="20"/>
                <w:lang w:eastAsia="sk-SK"/>
              </w:rPr>
              <w:t>Počet žiakov</w:t>
            </w:r>
          </w:p>
        </w:tc>
        <w:tc>
          <w:tcPr>
            <w:tcW w:w="1181" w:type="dxa"/>
            <w:tcBorders>
              <w:bottom w:val="single" w:sz="4" w:space="0" w:color="auto"/>
            </w:tcBorders>
            <w:shd w:val="clear" w:color="auto" w:fill="auto"/>
            <w:vAlign w:val="center"/>
            <w:hideMark/>
          </w:tcPr>
          <w:p w14:paraId="3CADA140" w14:textId="77777777" w:rsidR="001B34C7" w:rsidRPr="009973EE" w:rsidRDefault="001B34C7" w:rsidP="002E33D9">
            <w:pPr>
              <w:spacing w:after="0" w:line="240" w:lineRule="auto"/>
              <w:jc w:val="right"/>
              <w:rPr>
                <w:rFonts w:eastAsia="Times New Roman" w:cs="Times New Roman"/>
                <w:b/>
                <w:bCs/>
                <w:color w:val="000000"/>
                <w:sz w:val="20"/>
                <w:lang w:eastAsia="sk-SK"/>
              </w:rPr>
            </w:pPr>
            <w:r w:rsidRPr="009973EE">
              <w:rPr>
                <w:rFonts w:eastAsia="Times New Roman" w:cs="Times New Roman"/>
                <w:b/>
                <w:bCs/>
                <w:color w:val="000000"/>
                <w:sz w:val="20"/>
                <w:lang w:eastAsia="sk-SK"/>
              </w:rPr>
              <w:t>Dodatočné náklady</w:t>
            </w:r>
          </w:p>
        </w:tc>
        <w:tc>
          <w:tcPr>
            <w:tcW w:w="1391" w:type="dxa"/>
            <w:tcBorders>
              <w:bottom w:val="single" w:sz="4" w:space="0" w:color="auto"/>
            </w:tcBorders>
            <w:shd w:val="clear" w:color="auto" w:fill="auto"/>
            <w:vAlign w:val="center"/>
            <w:hideMark/>
          </w:tcPr>
          <w:p w14:paraId="6C0FDA28" w14:textId="77777777" w:rsidR="001B34C7" w:rsidRPr="009973EE" w:rsidRDefault="001B34C7" w:rsidP="002E33D9">
            <w:pPr>
              <w:spacing w:after="0" w:line="240" w:lineRule="auto"/>
              <w:jc w:val="right"/>
              <w:rPr>
                <w:rFonts w:eastAsia="Times New Roman" w:cs="Times New Roman"/>
                <w:b/>
                <w:bCs/>
                <w:color w:val="000000"/>
                <w:sz w:val="20"/>
                <w:lang w:eastAsia="sk-SK"/>
              </w:rPr>
            </w:pPr>
            <w:r w:rsidRPr="009973EE">
              <w:rPr>
                <w:rFonts w:eastAsia="Times New Roman" w:cs="Times New Roman"/>
                <w:b/>
                <w:bCs/>
                <w:color w:val="000000"/>
                <w:sz w:val="20"/>
                <w:lang w:eastAsia="sk-SK"/>
              </w:rPr>
              <w:t>Podiel dodatočných nákladov v rámci kategórie</w:t>
            </w:r>
          </w:p>
        </w:tc>
        <w:tc>
          <w:tcPr>
            <w:tcW w:w="1017" w:type="dxa"/>
            <w:tcBorders>
              <w:bottom w:val="single" w:sz="4" w:space="0" w:color="auto"/>
            </w:tcBorders>
            <w:shd w:val="clear" w:color="auto" w:fill="auto"/>
            <w:vAlign w:val="center"/>
            <w:hideMark/>
          </w:tcPr>
          <w:p w14:paraId="37311C6E" w14:textId="77777777" w:rsidR="001B34C7" w:rsidRPr="009973EE" w:rsidRDefault="001B34C7" w:rsidP="002E33D9">
            <w:pPr>
              <w:spacing w:after="0" w:line="240" w:lineRule="auto"/>
              <w:jc w:val="right"/>
              <w:rPr>
                <w:rFonts w:eastAsia="Times New Roman" w:cs="Times New Roman"/>
                <w:b/>
                <w:bCs/>
                <w:color w:val="000000"/>
                <w:sz w:val="20"/>
                <w:lang w:eastAsia="sk-SK"/>
              </w:rPr>
            </w:pPr>
            <w:r w:rsidRPr="009973EE">
              <w:rPr>
                <w:rFonts w:eastAsia="Times New Roman" w:cs="Times New Roman"/>
                <w:b/>
                <w:bCs/>
                <w:color w:val="000000"/>
                <w:sz w:val="20"/>
                <w:lang w:eastAsia="sk-SK"/>
              </w:rPr>
              <w:t>Počet žiakov</w:t>
            </w:r>
          </w:p>
        </w:tc>
        <w:tc>
          <w:tcPr>
            <w:tcW w:w="1186" w:type="dxa"/>
            <w:tcBorders>
              <w:bottom w:val="single" w:sz="4" w:space="0" w:color="auto"/>
            </w:tcBorders>
            <w:shd w:val="clear" w:color="auto" w:fill="auto"/>
            <w:vAlign w:val="center"/>
            <w:hideMark/>
          </w:tcPr>
          <w:p w14:paraId="721C7103" w14:textId="77777777" w:rsidR="001B34C7" w:rsidRPr="009973EE" w:rsidRDefault="001B34C7" w:rsidP="002E33D9">
            <w:pPr>
              <w:spacing w:after="0" w:line="240" w:lineRule="auto"/>
              <w:jc w:val="right"/>
              <w:rPr>
                <w:rFonts w:eastAsia="Times New Roman" w:cs="Times New Roman"/>
                <w:b/>
                <w:bCs/>
                <w:color w:val="000000"/>
                <w:sz w:val="20"/>
                <w:lang w:eastAsia="sk-SK"/>
              </w:rPr>
            </w:pPr>
            <w:r w:rsidRPr="009973EE">
              <w:rPr>
                <w:rFonts w:eastAsia="Times New Roman" w:cs="Times New Roman"/>
                <w:b/>
                <w:bCs/>
                <w:color w:val="000000"/>
                <w:sz w:val="20"/>
                <w:lang w:eastAsia="sk-SK"/>
              </w:rPr>
              <w:t>Dodatočné náklady</w:t>
            </w:r>
          </w:p>
        </w:tc>
      </w:tr>
      <w:tr w:rsidR="001B34C7" w:rsidRPr="009973EE" w14:paraId="0AB15E37" w14:textId="77777777" w:rsidTr="002E33D9">
        <w:trPr>
          <w:trHeight w:val="284"/>
        </w:trPr>
        <w:tc>
          <w:tcPr>
            <w:tcW w:w="1016" w:type="dxa"/>
            <w:tcBorders>
              <w:top w:val="single" w:sz="4" w:space="0" w:color="auto"/>
            </w:tcBorders>
            <w:shd w:val="clear" w:color="auto" w:fill="auto"/>
            <w:noWrap/>
            <w:vAlign w:val="center"/>
            <w:hideMark/>
          </w:tcPr>
          <w:p w14:paraId="55612879" w14:textId="77777777" w:rsidR="001B34C7" w:rsidRPr="00EB055A" w:rsidRDefault="001B34C7" w:rsidP="002E33D9">
            <w:pPr>
              <w:spacing w:after="0" w:line="240" w:lineRule="auto"/>
              <w:rPr>
                <w:rFonts w:eastAsia="Times New Roman" w:cs="Times New Roman"/>
                <w:bCs/>
                <w:color w:val="000000"/>
                <w:sz w:val="20"/>
                <w:lang w:eastAsia="sk-SK"/>
              </w:rPr>
            </w:pPr>
            <w:r w:rsidRPr="00EB055A">
              <w:rPr>
                <w:rFonts w:eastAsia="Times New Roman" w:cs="Times New Roman"/>
                <w:bCs/>
                <w:color w:val="000000"/>
                <w:sz w:val="20"/>
                <w:lang w:eastAsia="sk-SK"/>
              </w:rPr>
              <w:t>Kategória 2</w:t>
            </w:r>
          </w:p>
        </w:tc>
        <w:tc>
          <w:tcPr>
            <w:tcW w:w="1016" w:type="dxa"/>
            <w:tcBorders>
              <w:top w:val="single" w:sz="4" w:space="0" w:color="auto"/>
            </w:tcBorders>
            <w:shd w:val="clear" w:color="auto" w:fill="auto"/>
            <w:noWrap/>
            <w:vAlign w:val="center"/>
            <w:hideMark/>
          </w:tcPr>
          <w:p w14:paraId="0B5A7EEE"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22 844</w:t>
            </w:r>
          </w:p>
        </w:tc>
        <w:tc>
          <w:tcPr>
            <w:tcW w:w="1181" w:type="dxa"/>
            <w:tcBorders>
              <w:top w:val="single" w:sz="4" w:space="0" w:color="auto"/>
            </w:tcBorders>
            <w:shd w:val="clear" w:color="auto" w:fill="auto"/>
            <w:noWrap/>
            <w:vAlign w:val="center"/>
            <w:hideMark/>
          </w:tcPr>
          <w:p w14:paraId="29C42330"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35 031 636</w:t>
            </w:r>
          </w:p>
        </w:tc>
        <w:tc>
          <w:tcPr>
            <w:tcW w:w="1391" w:type="dxa"/>
            <w:tcBorders>
              <w:top w:val="single" w:sz="4" w:space="0" w:color="auto"/>
            </w:tcBorders>
            <w:shd w:val="clear" w:color="auto" w:fill="auto"/>
            <w:noWrap/>
            <w:vAlign w:val="center"/>
            <w:hideMark/>
          </w:tcPr>
          <w:p w14:paraId="6486C127"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70%</w:t>
            </w:r>
          </w:p>
        </w:tc>
        <w:tc>
          <w:tcPr>
            <w:tcW w:w="1017" w:type="dxa"/>
            <w:tcBorders>
              <w:top w:val="single" w:sz="4" w:space="0" w:color="auto"/>
            </w:tcBorders>
            <w:shd w:val="clear" w:color="auto" w:fill="auto"/>
            <w:noWrap/>
            <w:vAlign w:val="center"/>
            <w:hideMark/>
          </w:tcPr>
          <w:p w14:paraId="20ACD168"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5 512</w:t>
            </w:r>
          </w:p>
        </w:tc>
        <w:tc>
          <w:tcPr>
            <w:tcW w:w="1181" w:type="dxa"/>
            <w:tcBorders>
              <w:top w:val="single" w:sz="4" w:space="0" w:color="auto"/>
            </w:tcBorders>
            <w:shd w:val="clear" w:color="auto" w:fill="auto"/>
            <w:noWrap/>
            <w:vAlign w:val="center"/>
            <w:hideMark/>
          </w:tcPr>
          <w:p w14:paraId="20EA4D43"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8 453 250</w:t>
            </w:r>
          </w:p>
        </w:tc>
        <w:tc>
          <w:tcPr>
            <w:tcW w:w="1391" w:type="dxa"/>
            <w:tcBorders>
              <w:top w:val="single" w:sz="4" w:space="0" w:color="auto"/>
            </w:tcBorders>
            <w:shd w:val="clear" w:color="auto" w:fill="auto"/>
            <w:noWrap/>
            <w:vAlign w:val="center"/>
            <w:hideMark/>
          </w:tcPr>
          <w:p w14:paraId="57A2CBF2"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17%</w:t>
            </w:r>
          </w:p>
        </w:tc>
        <w:tc>
          <w:tcPr>
            <w:tcW w:w="1017" w:type="dxa"/>
            <w:tcBorders>
              <w:top w:val="single" w:sz="4" w:space="0" w:color="auto"/>
            </w:tcBorders>
            <w:shd w:val="clear" w:color="auto" w:fill="auto"/>
            <w:noWrap/>
            <w:vAlign w:val="center"/>
            <w:hideMark/>
          </w:tcPr>
          <w:p w14:paraId="1B76DD21"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8 688</w:t>
            </w:r>
          </w:p>
        </w:tc>
        <w:tc>
          <w:tcPr>
            <w:tcW w:w="1181" w:type="dxa"/>
            <w:tcBorders>
              <w:top w:val="single" w:sz="4" w:space="0" w:color="auto"/>
            </w:tcBorders>
            <w:shd w:val="clear" w:color="auto" w:fill="auto"/>
            <w:noWrap/>
            <w:vAlign w:val="center"/>
            <w:hideMark/>
          </w:tcPr>
          <w:p w14:paraId="3A0E0924"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6 543 071</w:t>
            </w:r>
          </w:p>
        </w:tc>
        <w:tc>
          <w:tcPr>
            <w:tcW w:w="1391" w:type="dxa"/>
            <w:tcBorders>
              <w:top w:val="single" w:sz="4" w:space="0" w:color="auto"/>
            </w:tcBorders>
            <w:shd w:val="clear" w:color="auto" w:fill="auto"/>
            <w:noWrap/>
            <w:vAlign w:val="center"/>
            <w:hideMark/>
          </w:tcPr>
          <w:p w14:paraId="47816EDD"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13%</w:t>
            </w:r>
          </w:p>
        </w:tc>
        <w:tc>
          <w:tcPr>
            <w:tcW w:w="1017" w:type="dxa"/>
            <w:tcBorders>
              <w:top w:val="single" w:sz="4" w:space="0" w:color="auto"/>
            </w:tcBorders>
            <w:shd w:val="clear" w:color="auto" w:fill="auto"/>
            <w:noWrap/>
            <w:vAlign w:val="center"/>
            <w:hideMark/>
          </w:tcPr>
          <w:p w14:paraId="4B86E462"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37 044</w:t>
            </w:r>
          </w:p>
        </w:tc>
        <w:tc>
          <w:tcPr>
            <w:tcW w:w="1186" w:type="dxa"/>
            <w:tcBorders>
              <w:top w:val="single" w:sz="4" w:space="0" w:color="auto"/>
            </w:tcBorders>
            <w:shd w:val="clear" w:color="auto" w:fill="auto"/>
            <w:noWrap/>
            <w:vAlign w:val="center"/>
            <w:hideMark/>
          </w:tcPr>
          <w:p w14:paraId="10F4641D"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50 027 957</w:t>
            </w:r>
          </w:p>
        </w:tc>
      </w:tr>
      <w:tr w:rsidR="001B34C7" w:rsidRPr="009973EE" w14:paraId="1CFDE4FC" w14:textId="77777777" w:rsidTr="002E33D9">
        <w:trPr>
          <w:trHeight w:val="284"/>
        </w:trPr>
        <w:tc>
          <w:tcPr>
            <w:tcW w:w="1016" w:type="dxa"/>
            <w:shd w:val="clear" w:color="auto" w:fill="auto"/>
            <w:noWrap/>
            <w:vAlign w:val="center"/>
            <w:hideMark/>
          </w:tcPr>
          <w:p w14:paraId="517827DD" w14:textId="77777777" w:rsidR="001B34C7" w:rsidRPr="00EB055A" w:rsidRDefault="001B34C7" w:rsidP="002E33D9">
            <w:pPr>
              <w:spacing w:after="0" w:line="240" w:lineRule="auto"/>
              <w:rPr>
                <w:rFonts w:eastAsia="Times New Roman" w:cs="Times New Roman"/>
                <w:bCs/>
                <w:color w:val="000000"/>
                <w:sz w:val="20"/>
                <w:lang w:eastAsia="sk-SK"/>
              </w:rPr>
            </w:pPr>
            <w:r w:rsidRPr="00EB055A">
              <w:rPr>
                <w:rFonts w:eastAsia="Times New Roman" w:cs="Times New Roman"/>
                <w:bCs/>
                <w:color w:val="000000"/>
                <w:sz w:val="20"/>
                <w:lang w:eastAsia="sk-SK"/>
              </w:rPr>
              <w:t>Kategória 3</w:t>
            </w:r>
          </w:p>
        </w:tc>
        <w:tc>
          <w:tcPr>
            <w:tcW w:w="1016" w:type="dxa"/>
            <w:shd w:val="clear" w:color="auto" w:fill="auto"/>
            <w:noWrap/>
            <w:vAlign w:val="center"/>
            <w:hideMark/>
          </w:tcPr>
          <w:p w14:paraId="099E38DB"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3 500</w:t>
            </w:r>
          </w:p>
        </w:tc>
        <w:tc>
          <w:tcPr>
            <w:tcW w:w="1181" w:type="dxa"/>
            <w:shd w:val="clear" w:color="auto" w:fill="auto"/>
            <w:noWrap/>
            <w:vAlign w:val="center"/>
            <w:hideMark/>
          </w:tcPr>
          <w:p w14:paraId="15F7EECC"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7 259 483</w:t>
            </w:r>
          </w:p>
        </w:tc>
        <w:tc>
          <w:tcPr>
            <w:tcW w:w="1391" w:type="dxa"/>
            <w:shd w:val="clear" w:color="auto" w:fill="auto"/>
            <w:noWrap/>
            <w:vAlign w:val="center"/>
            <w:hideMark/>
          </w:tcPr>
          <w:p w14:paraId="6390B54A"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56%</w:t>
            </w:r>
          </w:p>
        </w:tc>
        <w:tc>
          <w:tcPr>
            <w:tcW w:w="1017" w:type="dxa"/>
            <w:shd w:val="clear" w:color="auto" w:fill="auto"/>
            <w:noWrap/>
            <w:vAlign w:val="center"/>
            <w:hideMark/>
          </w:tcPr>
          <w:p w14:paraId="4187C607"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930</w:t>
            </w:r>
          </w:p>
        </w:tc>
        <w:tc>
          <w:tcPr>
            <w:tcW w:w="1181" w:type="dxa"/>
            <w:shd w:val="clear" w:color="auto" w:fill="auto"/>
            <w:noWrap/>
            <w:vAlign w:val="center"/>
            <w:hideMark/>
          </w:tcPr>
          <w:p w14:paraId="10C4D4D6"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1 928 257</w:t>
            </w:r>
          </w:p>
        </w:tc>
        <w:tc>
          <w:tcPr>
            <w:tcW w:w="1391" w:type="dxa"/>
            <w:shd w:val="clear" w:color="auto" w:fill="auto"/>
            <w:noWrap/>
            <w:vAlign w:val="center"/>
            <w:hideMark/>
          </w:tcPr>
          <w:p w14:paraId="6A25C47F"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15%</w:t>
            </w:r>
          </w:p>
        </w:tc>
        <w:tc>
          <w:tcPr>
            <w:tcW w:w="1017" w:type="dxa"/>
            <w:shd w:val="clear" w:color="auto" w:fill="auto"/>
            <w:noWrap/>
            <w:vAlign w:val="center"/>
            <w:hideMark/>
          </w:tcPr>
          <w:p w14:paraId="45F0232A"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2 817</w:t>
            </w:r>
          </w:p>
        </w:tc>
        <w:tc>
          <w:tcPr>
            <w:tcW w:w="1181" w:type="dxa"/>
            <w:shd w:val="clear" w:color="auto" w:fill="auto"/>
            <w:noWrap/>
            <w:vAlign w:val="center"/>
            <w:hideMark/>
          </w:tcPr>
          <w:p w14:paraId="2881D2BC"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3 681 139</w:t>
            </w:r>
          </w:p>
        </w:tc>
        <w:tc>
          <w:tcPr>
            <w:tcW w:w="1391" w:type="dxa"/>
            <w:shd w:val="clear" w:color="auto" w:fill="auto"/>
            <w:noWrap/>
            <w:vAlign w:val="center"/>
            <w:hideMark/>
          </w:tcPr>
          <w:p w14:paraId="177E2CEC"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29%</w:t>
            </w:r>
          </w:p>
        </w:tc>
        <w:tc>
          <w:tcPr>
            <w:tcW w:w="1017" w:type="dxa"/>
            <w:shd w:val="clear" w:color="auto" w:fill="auto"/>
            <w:noWrap/>
            <w:vAlign w:val="center"/>
            <w:hideMark/>
          </w:tcPr>
          <w:p w14:paraId="5E8E1D2B"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7 247</w:t>
            </w:r>
          </w:p>
        </w:tc>
        <w:tc>
          <w:tcPr>
            <w:tcW w:w="1186" w:type="dxa"/>
            <w:shd w:val="clear" w:color="auto" w:fill="auto"/>
            <w:noWrap/>
            <w:vAlign w:val="center"/>
            <w:hideMark/>
          </w:tcPr>
          <w:p w14:paraId="0D01E6BF"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12 868 879</w:t>
            </w:r>
          </w:p>
        </w:tc>
      </w:tr>
      <w:tr w:rsidR="001B34C7" w:rsidRPr="009973EE" w14:paraId="14FB11C8" w14:textId="77777777" w:rsidTr="002E33D9">
        <w:trPr>
          <w:trHeight w:val="284"/>
        </w:trPr>
        <w:tc>
          <w:tcPr>
            <w:tcW w:w="1016" w:type="dxa"/>
            <w:shd w:val="clear" w:color="auto" w:fill="auto"/>
            <w:noWrap/>
            <w:vAlign w:val="center"/>
            <w:hideMark/>
          </w:tcPr>
          <w:p w14:paraId="534668D8" w14:textId="77777777" w:rsidR="001B34C7" w:rsidRPr="00EB055A" w:rsidRDefault="001B34C7" w:rsidP="002E33D9">
            <w:pPr>
              <w:spacing w:after="0" w:line="240" w:lineRule="auto"/>
              <w:rPr>
                <w:rFonts w:eastAsia="Times New Roman" w:cs="Times New Roman"/>
                <w:bCs/>
                <w:color w:val="000000"/>
                <w:sz w:val="20"/>
                <w:lang w:eastAsia="sk-SK"/>
              </w:rPr>
            </w:pPr>
            <w:r w:rsidRPr="00EB055A">
              <w:rPr>
                <w:rFonts w:eastAsia="Times New Roman" w:cs="Times New Roman"/>
                <w:bCs/>
                <w:color w:val="000000"/>
                <w:sz w:val="20"/>
                <w:lang w:eastAsia="sk-SK"/>
              </w:rPr>
              <w:t>Kategória 4</w:t>
            </w:r>
          </w:p>
        </w:tc>
        <w:tc>
          <w:tcPr>
            <w:tcW w:w="1016" w:type="dxa"/>
            <w:shd w:val="clear" w:color="auto" w:fill="auto"/>
            <w:noWrap/>
            <w:vAlign w:val="center"/>
            <w:hideMark/>
          </w:tcPr>
          <w:p w14:paraId="4F310361"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183</w:t>
            </w:r>
          </w:p>
        </w:tc>
        <w:tc>
          <w:tcPr>
            <w:tcW w:w="1181" w:type="dxa"/>
            <w:shd w:val="clear" w:color="auto" w:fill="auto"/>
            <w:noWrap/>
            <w:vAlign w:val="center"/>
            <w:hideMark/>
          </w:tcPr>
          <w:p w14:paraId="265B8312"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513 450</w:t>
            </w:r>
          </w:p>
        </w:tc>
        <w:tc>
          <w:tcPr>
            <w:tcW w:w="1391" w:type="dxa"/>
            <w:shd w:val="clear" w:color="auto" w:fill="auto"/>
            <w:noWrap/>
            <w:vAlign w:val="center"/>
            <w:hideMark/>
          </w:tcPr>
          <w:p w14:paraId="1FC0136C"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53%</w:t>
            </w:r>
          </w:p>
        </w:tc>
        <w:tc>
          <w:tcPr>
            <w:tcW w:w="1017" w:type="dxa"/>
            <w:shd w:val="clear" w:color="auto" w:fill="auto"/>
            <w:noWrap/>
            <w:vAlign w:val="center"/>
            <w:hideMark/>
          </w:tcPr>
          <w:p w14:paraId="26B5CD75"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18</w:t>
            </w:r>
          </w:p>
        </w:tc>
        <w:tc>
          <w:tcPr>
            <w:tcW w:w="1181" w:type="dxa"/>
            <w:shd w:val="clear" w:color="auto" w:fill="auto"/>
            <w:noWrap/>
            <w:vAlign w:val="center"/>
            <w:hideMark/>
          </w:tcPr>
          <w:p w14:paraId="2797D653"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50 503</w:t>
            </w:r>
          </w:p>
        </w:tc>
        <w:tc>
          <w:tcPr>
            <w:tcW w:w="1391" w:type="dxa"/>
            <w:shd w:val="clear" w:color="auto" w:fill="auto"/>
            <w:noWrap/>
            <w:vAlign w:val="center"/>
            <w:hideMark/>
          </w:tcPr>
          <w:p w14:paraId="0705F94F"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5%</w:t>
            </w:r>
          </w:p>
        </w:tc>
        <w:tc>
          <w:tcPr>
            <w:tcW w:w="1017" w:type="dxa"/>
            <w:shd w:val="clear" w:color="auto" w:fill="auto"/>
            <w:noWrap/>
            <w:vAlign w:val="center"/>
            <w:hideMark/>
          </w:tcPr>
          <w:p w14:paraId="0B3A064C"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195</w:t>
            </w:r>
          </w:p>
        </w:tc>
        <w:tc>
          <w:tcPr>
            <w:tcW w:w="1181" w:type="dxa"/>
            <w:shd w:val="clear" w:color="auto" w:fill="auto"/>
            <w:noWrap/>
            <w:vAlign w:val="center"/>
            <w:hideMark/>
          </w:tcPr>
          <w:p w14:paraId="4C1046BC"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410 450</w:t>
            </w:r>
          </w:p>
        </w:tc>
        <w:tc>
          <w:tcPr>
            <w:tcW w:w="1391" w:type="dxa"/>
            <w:shd w:val="clear" w:color="auto" w:fill="auto"/>
            <w:noWrap/>
            <w:vAlign w:val="center"/>
            <w:hideMark/>
          </w:tcPr>
          <w:p w14:paraId="27766BD2"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42%</w:t>
            </w:r>
          </w:p>
        </w:tc>
        <w:tc>
          <w:tcPr>
            <w:tcW w:w="1017" w:type="dxa"/>
            <w:shd w:val="clear" w:color="auto" w:fill="auto"/>
            <w:noWrap/>
            <w:vAlign w:val="center"/>
            <w:hideMark/>
          </w:tcPr>
          <w:p w14:paraId="051322BF"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396</w:t>
            </w:r>
          </w:p>
        </w:tc>
        <w:tc>
          <w:tcPr>
            <w:tcW w:w="1186" w:type="dxa"/>
            <w:shd w:val="clear" w:color="auto" w:fill="auto"/>
            <w:noWrap/>
            <w:vAlign w:val="center"/>
            <w:hideMark/>
          </w:tcPr>
          <w:p w14:paraId="4A28A97E"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974 403</w:t>
            </w:r>
          </w:p>
        </w:tc>
      </w:tr>
      <w:tr w:rsidR="001B34C7" w:rsidRPr="009973EE" w14:paraId="183E3F5D" w14:textId="77777777" w:rsidTr="002E33D9">
        <w:trPr>
          <w:trHeight w:val="284"/>
        </w:trPr>
        <w:tc>
          <w:tcPr>
            <w:tcW w:w="1016" w:type="dxa"/>
            <w:shd w:val="clear" w:color="auto" w:fill="auto"/>
            <w:noWrap/>
            <w:vAlign w:val="center"/>
            <w:hideMark/>
          </w:tcPr>
          <w:p w14:paraId="7EE5D24F" w14:textId="77777777" w:rsidR="001B34C7" w:rsidRPr="00EB055A" w:rsidRDefault="001B34C7" w:rsidP="002E33D9">
            <w:pPr>
              <w:spacing w:after="0" w:line="240" w:lineRule="auto"/>
              <w:rPr>
                <w:rFonts w:eastAsia="Times New Roman" w:cs="Times New Roman"/>
                <w:bCs/>
                <w:color w:val="000000"/>
                <w:sz w:val="20"/>
                <w:lang w:eastAsia="sk-SK"/>
              </w:rPr>
            </w:pPr>
            <w:r w:rsidRPr="00EB055A">
              <w:rPr>
                <w:rFonts w:eastAsia="Times New Roman" w:cs="Times New Roman"/>
                <w:bCs/>
                <w:color w:val="000000"/>
                <w:sz w:val="20"/>
                <w:lang w:eastAsia="sk-SK"/>
              </w:rPr>
              <w:t>Kategória 5</w:t>
            </w:r>
          </w:p>
        </w:tc>
        <w:tc>
          <w:tcPr>
            <w:tcW w:w="1016" w:type="dxa"/>
            <w:shd w:val="clear" w:color="auto" w:fill="auto"/>
            <w:noWrap/>
            <w:vAlign w:val="center"/>
            <w:hideMark/>
          </w:tcPr>
          <w:p w14:paraId="51C22ACB"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952</w:t>
            </w:r>
          </w:p>
        </w:tc>
        <w:tc>
          <w:tcPr>
            <w:tcW w:w="1181" w:type="dxa"/>
            <w:shd w:val="clear" w:color="auto" w:fill="auto"/>
            <w:noWrap/>
            <w:vAlign w:val="center"/>
            <w:hideMark/>
          </w:tcPr>
          <w:p w14:paraId="20F07E99"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3 694 309</w:t>
            </w:r>
          </w:p>
        </w:tc>
        <w:tc>
          <w:tcPr>
            <w:tcW w:w="1391" w:type="dxa"/>
            <w:shd w:val="clear" w:color="auto" w:fill="auto"/>
            <w:noWrap/>
            <w:vAlign w:val="center"/>
            <w:hideMark/>
          </w:tcPr>
          <w:p w14:paraId="453566AF"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39%</w:t>
            </w:r>
          </w:p>
        </w:tc>
        <w:tc>
          <w:tcPr>
            <w:tcW w:w="1017" w:type="dxa"/>
            <w:shd w:val="clear" w:color="auto" w:fill="auto"/>
            <w:noWrap/>
            <w:vAlign w:val="center"/>
            <w:hideMark/>
          </w:tcPr>
          <w:p w14:paraId="2CB11CC5"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140</w:t>
            </w:r>
          </w:p>
        </w:tc>
        <w:tc>
          <w:tcPr>
            <w:tcW w:w="1181" w:type="dxa"/>
            <w:shd w:val="clear" w:color="auto" w:fill="auto"/>
            <w:noWrap/>
            <w:vAlign w:val="center"/>
            <w:hideMark/>
          </w:tcPr>
          <w:p w14:paraId="21A97933"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541 987</w:t>
            </w:r>
          </w:p>
        </w:tc>
        <w:tc>
          <w:tcPr>
            <w:tcW w:w="1391" w:type="dxa"/>
            <w:shd w:val="clear" w:color="auto" w:fill="auto"/>
            <w:noWrap/>
            <w:vAlign w:val="center"/>
            <w:hideMark/>
          </w:tcPr>
          <w:p w14:paraId="7D9B65E0"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6%</w:t>
            </w:r>
          </w:p>
        </w:tc>
        <w:tc>
          <w:tcPr>
            <w:tcW w:w="1017" w:type="dxa"/>
            <w:shd w:val="clear" w:color="auto" w:fill="auto"/>
            <w:noWrap/>
            <w:vAlign w:val="center"/>
            <w:hideMark/>
          </w:tcPr>
          <w:p w14:paraId="4DA04619"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1 578</w:t>
            </w:r>
          </w:p>
        </w:tc>
        <w:tc>
          <w:tcPr>
            <w:tcW w:w="1181" w:type="dxa"/>
            <w:shd w:val="clear" w:color="auto" w:fill="auto"/>
            <w:noWrap/>
            <w:vAlign w:val="center"/>
            <w:hideMark/>
          </w:tcPr>
          <w:p w14:paraId="18AE1383"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5 144 110</w:t>
            </w:r>
          </w:p>
        </w:tc>
        <w:tc>
          <w:tcPr>
            <w:tcW w:w="1391" w:type="dxa"/>
            <w:shd w:val="clear" w:color="auto" w:fill="auto"/>
            <w:noWrap/>
            <w:vAlign w:val="center"/>
            <w:hideMark/>
          </w:tcPr>
          <w:p w14:paraId="692F47AD"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55%</w:t>
            </w:r>
          </w:p>
        </w:tc>
        <w:tc>
          <w:tcPr>
            <w:tcW w:w="1017" w:type="dxa"/>
            <w:shd w:val="clear" w:color="auto" w:fill="auto"/>
            <w:noWrap/>
            <w:vAlign w:val="center"/>
            <w:hideMark/>
          </w:tcPr>
          <w:p w14:paraId="55DDB5CD"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2 670</w:t>
            </w:r>
          </w:p>
        </w:tc>
        <w:tc>
          <w:tcPr>
            <w:tcW w:w="1186" w:type="dxa"/>
            <w:shd w:val="clear" w:color="auto" w:fill="auto"/>
            <w:noWrap/>
            <w:vAlign w:val="center"/>
            <w:hideMark/>
          </w:tcPr>
          <w:p w14:paraId="35946046"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9 380 406</w:t>
            </w:r>
          </w:p>
        </w:tc>
      </w:tr>
      <w:tr w:rsidR="001B34C7" w:rsidRPr="009973EE" w14:paraId="2E73FF34" w14:textId="77777777" w:rsidTr="002E33D9">
        <w:trPr>
          <w:trHeight w:val="284"/>
        </w:trPr>
        <w:tc>
          <w:tcPr>
            <w:tcW w:w="1016" w:type="dxa"/>
            <w:tcBorders>
              <w:bottom w:val="single" w:sz="4" w:space="0" w:color="auto"/>
            </w:tcBorders>
            <w:shd w:val="clear" w:color="auto" w:fill="auto"/>
            <w:noWrap/>
            <w:vAlign w:val="center"/>
            <w:hideMark/>
          </w:tcPr>
          <w:p w14:paraId="271195C6" w14:textId="77777777" w:rsidR="001B34C7" w:rsidRPr="00EB055A" w:rsidRDefault="001B34C7" w:rsidP="002E33D9">
            <w:pPr>
              <w:spacing w:after="0" w:line="240" w:lineRule="auto"/>
              <w:rPr>
                <w:rFonts w:eastAsia="Times New Roman" w:cs="Times New Roman"/>
                <w:bCs/>
                <w:color w:val="000000"/>
                <w:sz w:val="20"/>
                <w:lang w:eastAsia="sk-SK"/>
              </w:rPr>
            </w:pPr>
            <w:r w:rsidRPr="00EB055A">
              <w:rPr>
                <w:rFonts w:eastAsia="Times New Roman" w:cs="Times New Roman"/>
                <w:bCs/>
                <w:color w:val="000000"/>
                <w:sz w:val="20"/>
                <w:lang w:eastAsia="sk-SK"/>
              </w:rPr>
              <w:t>Kategória 6</w:t>
            </w:r>
          </w:p>
        </w:tc>
        <w:tc>
          <w:tcPr>
            <w:tcW w:w="1016" w:type="dxa"/>
            <w:tcBorders>
              <w:bottom w:val="single" w:sz="4" w:space="0" w:color="auto"/>
            </w:tcBorders>
            <w:shd w:val="clear" w:color="auto" w:fill="auto"/>
            <w:noWrap/>
            <w:vAlign w:val="center"/>
            <w:hideMark/>
          </w:tcPr>
          <w:p w14:paraId="68AB8F3D"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152</w:t>
            </w:r>
          </w:p>
        </w:tc>
        <w:tc>
          <w:tcPr>
            <w:tcW w:w="1181" w:type="dxa"/>
            <w:tcBorders>
              <w:bottom w:val="single" w:sz="4" w:space="0" w:color="auto"/>
            </w:tcBorders>
            <w:shd w:val="clear" w:color="auto" w:fill="auto"/>
            <w:noWrap/>
            <w:vAlign w:val="center"/>
            <w:hideMark/>
          </w:tcPr>
          <w:p w14:paraId="18A30DD9"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1 277 750</w:t>
            </w:r>
          </w:p>
        </w:tc>
        <w:tc>
          <w:tcPr>
            <w:tcW w:w="1391" w:type="dxa"/>
            <w:tcBorders>
              <w:bottom w:val="single" w:sz="4" w:space="0" w:color="auto"/>
            </w:tcBorders>
            <w:shd w:val="clear" w:color="auto" w:fill="auto"/>
            <w:noWrap/>
            <w:vAlign w:val="center"/>
            <w:hideMark/>
          </w:tcPr>
          <w:p w14:paraId="42570CE2"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4%</w:t>
            </w:r>
          </w:p>
        </w:tc>
        <w:tc>
          <w:tcPr>
            <w:tcW w:w="1017" w:type="dxa"/>
            <w:tcBorders>
              <w:bottom w:val="single" w:sz="4" w:space="0" w:color="auto"/>
            </w:tcBorders>
            <w:shd w:val="clear" w:color="auto" w:fill="auto"/>
            <w:noWrap/>
            <w:vAlign w:val="center"/>
            <w:hideMark/>
          </w:tcPr>
          <w:p w14:paraId="209605C8"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98</w:t>
            </w:r>
          </w:p>
        </w:tc>
        <w:tc>
          <w:tcPr>
            <w:tcW w:w="1181" w:type="dxa"/>
            <w:tcBorders>
              <w:bottom w:val="single" w:sz="4" w:space="0" w:color="auto"/>
            </w:tcBorders>
            <w:shd w:val="clear" w:color="auto" w:fill="auto"/>
            <w:noWrap/>
            <w:vAlign w:val="center"/>
            <w:hideMark/>
          </w:tcPr>
          <w:p w14:paraId="36688EAB"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825 623</w:t>
            </w:r>
          </w:p>
        </w:tc>
        <w:tc>
          <w:tcPr>
            <w:tcW w:w="1391" w:type="dxa"/>
            <w:tcBorders>
              <w:bottom w:val="single" w:sz="4" w:space="0" w:color="auto"/>
            </w:tcBorders>
            <w:shd w:val="clear" w:color="auto" w:fill="auto"/>
            <w:noWrap/>
            <w:vAlign w:val="center"/>
            <w:hideMark/>
          </w:tcPr>
          <w:p w14:paraId="6435F4C2"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3%</w:t>
            </w:r>
          </w:p>
        </w:tc>
        <w:tc>
          <w:tcPr>
            <w:tcW w:w="1017" w:type="dxa"/>
            <w:tcBorders>
              <w:bottom w:val="single" w:sz="4" w:space="0" w:color="auto"/>
            </w:tcBorders>
            <w:shd w:val="clear" w:color="auto" w:fill="auto"/>
            <w:noWrap/>
            <w:vAlign w:val="center"/>
            <w:hideMark/>
          </w:tcPr>
          <w:p w14:paraId="04FBB0FD"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2 883</w:t>
            </w:r>
          </w:p>
        </w:tc>
        <w:tc>
          <w:tcPr>
            <w:tcW w:w="1181" w:type="dxa"/>
            <w:tcBorders>
              <w:bottom w:val="single" w:sz="4" w:space="0" w:color="auto"/>
            </w:tcBorders>
            <w:shd w:val="clear" w:color="auto" w:fill="auto"/>
            <w:noWrap/>
            <w:vAlign w:val="center"/>
            <w:hideMark/>
          </w:tcPr>
          <w:p w14:paraId="46C18CB6"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26 483 084</w:t>
            </w:r>
          </w:p>
        </w:tc>
        <w:tc>
          <w:tcPr>
            <w:tcW w:w="1391" w:type="dxa"/>
            <w:tcBorders>
              <w:bottom w:val="single" w:sz="4" w:space="0" w:color="auto"/>
            </w:tcBorders>
            <w:shd w:val="clear" w:color="auto" w:fill="auto"/>
            <w:noWrap/>
            <w:vAlign w:val="center"/>
            <w:hideMark/>
          </w:tcPr>
          <w:p w14:paraId="0A4001CE"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93%</w:t>
            </w:r>
          </w:p>
        </w:tc>
        <w:tc>
          <w:tcPr>
            <w:tcW w:w="1017" w:type="dxa"/>
            <w:tcBorders>
              <w:bottom w:val="single" w:sz="4" w:space="0" w:color="auto"/>
            </w:tcBorders>
            <w:shd w:val="clear" w:color="auto" w:fill="auto"/>
            <w:noWrap/>
            <w:vAlign w:val="center"/>
            <w:hideMark/>
          </w:tcPr>
          <w:p w14:paraId="5491ED96"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3 133</w:t>
            </w:r>
          </w:p>
        </w:tc>
        <w:tc>
          <w:tcPr>
            <w:tcW w:w="1186" w:type="dxa"/>
            <w:tcBorders>
              <w:bottom w:val="single" w:sz="4" w:space="0" w:color="auto"/>
            </w:tcBorders>
            <w:shd w:val="clear" w:color="auto" w:fill="auto"/>
            <w:noWrap/>
            <w:vAlign w:val="center"/>
            <w:hideMark/>
          </w:tcPr>
          <w:p w14:paraId="7D5484B5"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28 586 457</w:t>
            </w:r>
          </w:p>
        </w:tc>
      </w:tr>
      <w:tr w:rsidR="001B34C7" w:rsidRPr="009973EE" w14:paraId="4B45E2AB" w14:textId="77777777" w:rsidTr="002E33D9">
        <w:trPr>
          <w:trHeight w:val="284"/>
        </w:trPr>
        <w:tc>
          <w:tcPr>
            <w:tcW w:w="1016" w:type="dxa"/>
            <w:tcBorders>
              <w:top w:val="single" w:sz="4" w:space="0" w:color="auto"/>
              <w:bottom w:val="single" w:sz="4" w:space="0" w:color="auto"/>
            </w:tcBorders>
            <w:shd w:val="clear" w:color="auto" w:fill="auto"/>
            <w:noWrap/>
            <w:vAlign w:val="center"/>
            <w:hideMark/>
          </w:tcPr>
          <w:p w14:paraId="331233A6" w14:textId="77777777" w:rsidR="001B34C7" w:rsidRPr="009973EE" w:rsidRDefault="001B34C7" w:rsidP="002E33D9">
            <w:pPr>
              <w:spacing w:after="0" w:line="240" w:lineRule="auto"/>
              <w:rPr>
                <w:rFonts w:eastAsia="Times New Roman" w:cs="Times New Roman"/>
                <w:b/>
                <w:bCs/>
                <w:color w:val="000000"/>
                <w:sz w:val="20"/>
                <w:lang w:eastAsia="sk-SK"/>
              </w:rPr>
            </w:pPr>
            <w:r w:rsidRPr="009973EE">
              <w:rPr>
                <w:rFonts w:eastAsia="Times New Roman" w:cs="Times New Roman"/>
                <w:b/>
                <w:bCs/>
                <w:color w:val="000000"/>
                <w:sz w:val="20"/>
                <w:lang w:eastAsia="sk-SK"/>
              </w:rPr>
              <w:t>SPOLU</w:t>
            </w:r>
          </w:p>
        </w:tc>
        <w:tc>
          <w:tcPr>
            <w:tcW w:w="1016" w:type="dxa"/>
            <w:tcBorders>
              <w:top w:val="single" w:sz="4" w:space="0" w:color="auto"/>
              <w:bottom w:val="single" w:sz="4" w:space="0" w:color="auto"/>
            </w:tcBorders>
            <w:shd w:val="clear" w:color="auto" w:fill="auto"/>
            <w:noWrap/>
            <w:vAlign w:val="center"/>
            <w:hideMark/>
          </w:tcPr>
          <w:p w14:paraId="5C544543" w14:textId="77777777" w:rsidR="001B34C7" w:rsidRPr="009973EE" w:rsidRDefault="001B34C7" w:rsidP="002E33D9">
            <w:pPr>
              <w:spacing w:after="0" w:line="240" w:lineRule="auto"/>
              <w:jc w:val="right"/>
              <w:rPr>
                <w:rFonts w:eastAsia="Times New Roman" w:cs="Times New Roman"/>
                <w:b/>
                <w:bCs/>
                <w:color w:val="000000"/>
                <w:sz w:val="20"/>
                <w:lang w:eastAsia="sk-SK"/>
              </w:rPr>
            </w:pPr>
            <w:r w:rsidRPr="009973EE">
              <w:rPr>
                <w:rFonts w:eastAsia="Times New Roman" w:cs="Times New Roman"/>
                <w:b/>
                <w:bCs/>
                <w:color w:val="000000"/>
                <w:sz w:val="20"/>
                <w:lang w:eastAsia="sk-SK"/>
              </w:rPr>
              <w:t>27 631</w:t>
            </w:r>
          </w:p>
        </w:tc>
        <w:tc>
          <w:tcPr>
            <w:tcW w:w="1181" w:type="dxa"/>
            <w:tcBorders>
              <w:top w:val="single" w:sz="4" w:space="0" w:color="auto"/>
              <w:bottom w:val="single" w:sz="4" w:space="0" w:color="auto"/>
            </w:tcBorders>
            <w:shd w:val="clear" w:color="auto" w:fill="auto"/>
            <w:noWrap/>
            <w:vAlign w:val="center"/>
            <w:hideMark/>
          </w:tcPr>
          <w:p w14:paraId="27F21301" w14:textId="77777777" w:rsidR="001B34C7" w:rsidRPr="009973EE" w:rsidRDefault="001B34C7" w:rsidP="002E33D9">
            <w:pPr>
              <w:spacing w:after="0" w:line="240" w:lineRule="auto"/>
              <w:jc w:val="right"/>
              <w:rPr>
                <w:rFonts w:eastAsia="Times New Roman" w:cs="Times New Roman"/>
                <w:b/>
                <w:bCs/>
                <w:color w:val="000000"/>
                <w:sz w:val="20"/>
                <w:lang w:eastAsia="sk-SK"/>
              </w:rPr>
            </w:pPr>
            <w:r w:rsidRPr="009973EE">
              <w:rPr>
                <w:rFonts w:eastAsia="Times New Roman" w:cs="Times New Roman"/>
                <w:b/>
                <w:bCs/>
                <w:color w:val="000000"/>
                <w:sz w:val="20"/>
                <w:lang w:eastAsia="sk-SK"/>
              </w:rPr>
              <w:t>47 776 627</w:t>
            </w:r>
          </w:p>
        </w:tc>
        <w:tc>
          <w:tcPr>
            <w:tcW w:w="1391" w:type="dxa"/>
            <w:tcBorders>
              <w:top w:val="single" w:sz="4" w:space="0" w:color="auto"/>
              <w:bottom w:val="single" w:sz="4" w:space="0" w:color="auto"/>
            </w:tcBorders>
            <w:shd w:val="clear" w:color="auto" w:fill="auto"/>
            <w:noWrap/>
            <w:vAlign w:val="center"/>
            <w:hideMark/>
          </w:tcPr>
          <w:p w14:paraId="0CCFC3EA" w14:textId="77777777" w:rsidR="001B34C7" w:rsidRPr="009973EE" w:rsidRDefault="001B34C7" w:rsidP="002E33D9">
            <w:pPr>
              <w:spacing w:after="0" w:line="240" w:lineRule="auto"/>
              <w:jc w:val="right"/>
              <w:rPr>
                <w:rFonts w:eastAsia="Times New Roman" w:cs="Times New Roman"/>
                <w:b/>
                <w:bCs/>
                <w:color w:val="000000"/>
                <w:sz w:val="20"/>
                <w:lang w:eastAsia="sk-SK"/>
              </w:rPr>
            </w:pPr>
            <w:r w:rsidRPr="009973EE">
              <w:rPr>
                <w:rFonts w:eastAsia="Times New Roman" w:cs="Times New Roman"/>
                <w:b/>
                <w:bCs/>
                <w:color w:val="000000"/>
                <w:sz w:val="20"/>
                <w:lang w:eastAsia="sk-SK"/>
              </w:rPr>
              <w:t>47%</w:t>
            </w:r>
          </w:p>
        </w:tc>
        <w:tc>
          <w:tcPr>
            <w:tcW w:w="1017" w:type="dxa"/>
            <w:tcBorders>
              <w:top w:val="single" w:sz="4" w:space="0" w:color="auto"/>
              <w:bottom w:val="single" w:sz="4" w:space="0" w:color="auto"/>
            </w:tcBorders>
            <w:shd w:val="clear" w:color="auto" w:fill="auto"/>
            <w:noWrap/>
            <w:vAlign w:val="center"/>
            <w:hideMark/>
          </w:tcPr>
          <w:p w14:paraId="199BA47A" w14:textId="77777777" w:rsidR="001B34C7" w:rsidRPr="009973EE" w:rsidRDefault="001B34C7" w:rsidP="002E33D9">
            <w:pPr>
              <w:spacing w:after="0" w:line="240" w:lineRule="auto"/>
              <w:jc w:val="right"/>
              <w:rPr>
                <w:rFonts w:eastAsia="Times New Roman" w:cs="Times New Roman"/>
                <w:b/>
                <w:bCs/>
                <w:color w:val="000000"/>
                <w:sz w:val="20"/>
                <w:lang w:eastAsia="sk-SK"/>
              </w:rPr>
            </w:pPr>
            <w:r w:rsidRPr="009973EE">
              <w:rPr>
                <w:rFonts w:eastAsia="Times New Roman" w:cs="Times New Roman"/>
                <w:b/>
                <w:bCs/>
                <w:color w:val="000000"/>
                <w:sz w:val="20"/>
                <w:lang w:eastAsia="sk-SK"/>
              </w:rPr>
              <w:t>6 698</w:t>
            </w:r>
          </w:p>
        </w:tc>
        <w:tc>
          <w:tcPr>
            <w:tcW w:w="1181" w:type="dxa"/>
            <w:tcBorders>
              <w:top w:val="single" w:sz="4" w:space="0" w:color="auto"/>
              <w:bottom w:val="single" w:sz="4" w:space="0" w:color="auto"/>
            </w:tcBorders>
            <w:shd w:val="clear" w:color="auto" w:fill="auto"/>
            <w:noWrap/>
            <w:vAlign w:val="center"/>
            <w:hideMark/>
          </w:tcPr>
          <w:p w14:paraId="0301A634" w14:textId="77777777" w:rsidR="001B34C7" w:rsidRPr="009973EE" w:rsidRDefault="001B34C7" w:rsidP="002E33D9">
            <w:pPr>
              <w:spacing w:after="0" w:line="240" w:lineRule="auto"/>
              <w:jc w:val="right"/>
              <w:rPr>
                <w:rFonts w:eastAsia="Times New Roman" w:cs="Times New Roman"/>
                <w:b/>
                <w:bCs/>
                <w:color w:val="000000"/>
                <w:sz w:val="20"/>
                <w:lang w:eastAsia="sk-SK"/>
              </w:rPr>
            </w:pPr>
            <w:r w:rsidRPr="009973EE">
              <w:rPr>
                <w:rFonts w:eastAsia="Times New Roman" w:cs="Times New Roman"/>
                <w:b/>
                <w:bCs/>
                <w:color w:val="000000"/>
                <w:sz w:val="20"/>
                <w:lang w:eastAsia="sk-SK"/>
              </w:rPr>
              <w:t>11 799 621</w:t>
            </w:r>
          </w:p>
        </w:tc>
        <w:tc>
          <w:tcPr>
            <w:tcW w:w="1391" w:type="dxa"/>
            <w:tcBorders>
              <w:top w:val="single" w:sz="4" w:space="0" w:color="auto"/>
              <w:bottom w:val="single" w:sz="4" w:space="0" w:color="auto"/>
            </w:tcBorders>
            <w:shd w:val="clear" w:color="auto" w:fill="auto"/>
            <w:noWrap/>
            <w:vAlign w:val="center"/>
            <w:hideMark/>
          </w:tcPr>
          <w:p w14:paraId="7151D01C" w14:textId="77777777" w:rsidR="001B34C7" w:rsidRPr="009973EE" w:rsidRDefault="001B34C7" w:rsidP="002E33D9">
            <w:pPr>
              <w:spacing w:after="0" w:line="240" w:lineRule="auto"/>
              <w:jc w:val="right"/>
              <w:rPr>
                <w:rFonts w:eastAsia="Times New Roman" w:cs="Times New Roman"/>
                <w:b/>
                <w:bCs/>
                <w:color w:val="000000"/>
                <w:sz w:val="20"/>
                <w:lang w:eastAsia="sk-SK"/>
              </w:rPr>
            </w:pPr>
            <w:r w:rsidRPr="009973EE">
              <w:rPr>
                <w:rFonts w:eastAsia="Times New Roman" w:cs="Times New Roman"/>
                <w:b/>
                <w:bCs/>
                <w:color w:val="000000"/>
                <w:sz w:val="20"/>
                <w:lang w:eastAsia="sk-SK"/>
              </w:rPr>
              <w:t>12%</w:t>
            </w:r>
          </w:p>
        </w:tc>
        <w:tc>
          <w:tcPr>
            <w:tcW w:w="1017" w:type="dxa"/>
            <w:tcBorders>
              <w:top w:val="single" w:sz="4" w:space="0" w:color="auto"/>
              <w:bottom w:val="single" w:sz="4" w:space="0" w:color="auto"/>
            </w:tcBorders>
            <w:shd w:val="clear" w:color="auto" w:fill="auto"/>
            <w:noWrap/>
            <w:vAlign w:val="center"/>
            <w:hideMark/>
          </w:tcPr>
          <w:p w14:paraId="6AA9BD5B" w14:textId="77777777" w:rsidR="001B34C7" w:rsidRPr="009973EE" w:rsidRDefault="001B34C7" w:rsidP="002E33D9">
            <w:pPr>
              <w:spacing w:after="0" w:line="240" w:lineRule="auto"/>
              <w:jc w:val="right"/>
              <w:rPr>
                <w:rFonts w:eastAsia="Times New Roman" w:cs="Times New Roman"/>
                <w:b/>
                <w:bCs/>
                <w:color w:val="000000"/>
                <w:sz w:val="20"/>
                <w:lang w:eastAsia="sk-SK"/>
              </w:rPr>
            </w:pPr>
            <w:r w:rsidRPr="009973EE">
              <w:rPr>
                <w:rFonts w:eastAsia="Times New Roman" w:cs="Times New Roman"/>
                <w:b/>
                <w:bCs/>
                <w:color w:val="000000"/>
                <w:sz w:val="20"/>
                <w:lang w:eastAsia="sk-SK"/>
              </w:rPr>
              <w:t>16 161</w:t>
            </w:r>
          </w:p>
        </w:tc>
        <w:tc>
          <w:tcPr>
            <w:tcW w:w="1181" w:type="dxa"/>
            <w:tcBorders>
              <w:top w:val="single" w:sz="4" w:space="0" w:color="auto"/>
              <w:bottom w:val="single" w:sz="4" w:space="0" w:color="auto"/>
            </w:tcBorders>
            <w:shd w:val="clear" w:color="auto" w:fill="auto"/>
            <w:noWrap/>
            <w:vAlign w:val="center"/>
            <w:hideMark/>
          </w:tcPr>
          <w:p w14:paraId="0CD22E4B" w14:textId="77777777" w:rsidR="001B34C7" w:rsidRPr="009973EE" w:rsidRDefault="001B34C7" w:rsidP="002E33D9">
            <w:pPr>
              <w:spacing w:after="0" w:line="240" w:lineRule="auto"/>
              <w:jc w:val="right"/>
              <w:rPr>
                <w:rFonts w:eastAsia="Times New Roman" w:cs="Times New Roman"/>
                <w:b/>
                <w:bCs/>
                <w:color w:val="000000"/>
                <w:sz w:val="20"/>
                <w:lang w:eastAsia="sk-SK"/>
              </w:rPr>
            </w:pPr>
            <w:r w:rsidRPr="009973EE">
              <w:rPr>
                <w:rFonts w:eastAsia="Times New Roman" w:cs="Times New Roman"/>
                <w:b/>
                <w:bCs/>
                <w:color w:val="000000"/>
                <w:sz w:val="20"/>
                <w:lang w:eastAsia="sk-SK"/>
              </w:rPr>
              <w:t>42 261 854</w:t>
            </w:r>
          </w:p>
        </w:tc>
        <w:tc>
          <w:tcPr>
            <w:tcW w:w="1391" w:type="dxa"/>
            <w:tcBorders>
              <w:top w:val="single" w:sz="4" w:space="0" w:color="auto"/>
              <w:bottom w:val="single" w:sz="4" w:space="0" w:color="auto"/>
            </w:tcBorders>
            <w:shd w:val="clear" w:color="auto" w:fill="auto"/>
            <w:noWrap/>
            <w:vAlign w:val="center"/>
            <w:hideMark/>
          </w:tcPr>
          <w:p w14:paraId="7646ABBD" w14:textId="77777777" w:rsidR="001B34C7" w:rsidRPr="009973EE" w:rsidRDefault="001B34C7" w:rsidP="002E33D9">
            <w:pPr>
              <w:spacing w:after="0" w:line="240" w:lineRule="auto"/>
              <w:jc w:val="right"/>
              <w:rPr>
                <w:rFonts w:eastAsia="Times New Roman" w:cs="Times New Roman"/>
                <w:b/>
                <w:bCs/>
                <w:color w:val="000000"/>
                <w:sz w:val="20"/>
                <w:lang w:eastAsia="sk-SK"/>
              </w:rPr>
            </w:pPr>
            <w:r w:rsidRPr="009973EE">
              <w:rPr>
                <w:rFonts w:eastAsia="Times New Roman" w:cs="Times New Roman"/>
                <w:b/>
                <w:bCs/>
                <w:color w:val="000000"/>
                <w:sz w:val="20"/>
                <w:lang w:eastAsia="sk-SK"/>
              </w:rPr>
              <w:t>41%</w:t>
            </w:r>
          </w:p>
        </w:tc>
        <w:tc>
          <w:tcPr>
            <w:tcW w:w="1017" w:type="dxa"/>
            <w:tcBorders>
              <w:top w:val="single" w:sz="4" w:space="0" w:color="auto"/>
              <w:bottom w:val="single" w:sz="4" w:space="0" w:color="auto"/>
            </w:tcBorders>
            <w:shd w:val="clear" w:color="auto" w:fill="auto"/>
            <w:noWrap/>
            <w:vAlign w:val="center"/>
            <w:hideMark/>
          </w:tcPr>
          <w:p w14:paraId="10377038" w14:textId="77777777" w:rsidR="001B34C7" w:rsidRPr="009973EE" w:rsidRDefault="001B34C7" w:rsidP="002E33D9">
            <w:pPr>
              <w:spacing w:after="0" w:line="240" w:lineRule="auto"/>
              <w:jc w:val="right"/>
              <w:rPr>
                <w:rFonts w:eastAsia="Times New Roman" w:cs="Times New Roman"/>
                <w:b/>
                <w:bCs/>
                <w:color w:val="000000"/>
                <w:sz w:val="20"/>
                <w:lang w:eastAsia="sk-SK"/>
              </w:rPr>
            </w:pPr>
            <w:r w:rsidRPr="009973EE">
              <w:rPr>
                <w:rFonts w:eastAsia="Times New Roman" w:cs="Times New Roman"/>
                <w:b/>
                <w:bCs/>
                <w:color w:val="000000"/>
                <w:sz w:val="20"/>
                <w:lang w:eastAsia="sk-SK"/>
              </w:rPr>
              <w:t>50 490</w:t>
            </w:r>
          </w:p>
        </w:tc>
        <w:tc>
          <w:tcPr>
            <w:tcW w:w="1186" w:type="dxa"/>
            <w:tcBorders>
              <w:top w:val="single" w:sz="4" w:space="0" w:color="auto"/>
              <w:bottom w:val="single" w:sz="4" w:space="0" w:color="auto"/>
            </w:tcBorders>
            <w:shd w:val="clear" w:color="auto" w:fill="auto"/>
            <w:noWrap/>
            <w:vAlign w:val="center"/>
            <w:hideMark/>
          </w:tcPr>
          <w:p w14:paraId="39D8BFE1" w14:textId="77777777" w:rsidR="001B34C7" w:rsidRPr="009973EE" w:rsidRDefault="001B34C7" w:rsidP="002E33D9">
            <w:pPr>
              <w:spacing w:after="0" w:line="240" w:lineRule="auto"/>
              <w:jc w:val="right"/>
              <w:rPr>
                <w:rFonts w:eastAsia="Times New Roman" w:cs="Times New Roman"/>
                <w:b/>
                <w:bCs/>
                <w:color w:val="000000"/>
                <w:sz w:val="20"/>
                <w:lang w:eastAsia="sk-SK"/>
              </w:rPr>
            </w:pPr>
            <w:r w:rsidRPr="009973EE">
              <w:rPr>
                <w:rFonts w:eastAsia="Times New Roman" w:cs="Times New Roman"/>
                <w:b/>
                <w:bCs/>
                <w:color w:val="000000"/>
                <w:sz w:val="20"/>
                <w:lang w:eastAsia="sk-SK"/>
              </w:rPr>
              <w:t>101 838 102</w:t>
            </w:r>
          </w:p>
        </w:tc>
      </w:tr>
      <w:tr w:rsidR="001B34C7" w:rsidRPr="009973EE" w14:paraId="0001FD36" w14:textId="77777777" w:rsidTr="002E33D9">
        <w:trPr>
          <w:trHeight w:val="169"/>
        </w:trPr>
        <w:tc>
          <w:tcPr>
            <w:tcW w:w="13985" w:type="dxa"/>
            <w:gridSpan w:val="12"/>
            <w:tcBorders>
              <w:top w:val="single" w:sz="4" w:space="0" w:color="auto"/>
            </w:tcBorders>
            <w:shd w:val="clear" w:color="auto" w:fill="auto"/>
            <w:noWrap/>
            <w:vAlign w:val="center"/>
          </w:tcPr>
          <w:p w14:paraId="5315A258" w14:textId="77777777" w:rsidR="001B34C7" w:rsidRPr="001B4874" w:rsidRDefault="001B34C7" w:rsidP="002E33D9">
            <w:pPr>
              <w:spacing w:after="0"/>
              <w:jc w:val="right"/>
              <w:rPr>
                <w:i/>
                <w:sz w:val="18"/>
                <w:szCs w:val="18"/>
              </w:rPr>
            </w:pPr>
            <w:r w:rsidRPr="009973EE">
              <w:rPr>
                <w:i/>
                <w:sz w:val="18"/>
                <w:szCs w:val="18"/>
              </w:rPr>
              <w:t>Zdroj: Vlastné prepočty IVP na základe dát Eduzberu (2017, 2018)</w:t>
            </w:r>
          </w:p>
        </w:tc>
      </w:tr>
    </w:tbl>
    <w:p w14:paraId="675BC207" w14:textId="4FB3171B" w:rsidR="001B34C7" w:rsidRPr="009973EE" w:rsidRDefault="001B34C7" w:rsidP="001B34C7">
      <w:pPr>
        <w:spacing w:after="0"/>
        <w:rPr>
          <w:b/>
          <w:sz w:val="20"/>
        </w:rPr>
      </w:pPr>
      <w:r w:rsidRPr="00AF6AB3">
        <w:rPr>
          <w:b/>
          <w:sz w:val="20"/>
        </w:rPr>
        <w:t xml:space="preserve">Tabuľka P </w:t>
      </w:r>
      <w:r w:rsidRPr="00AF6AB3">
        <w:rPr>
          <w:b/>
          <w:sz w:val="20"/>
        </w:rPr>
        <w:fldChar w:fldCharType="begin"/>
      </w:r>
      <w:r w:rsidRPr="00AF6AB3">
        <w:rPr>
          <w:b/>
          <w:sz w:val="20"/>
        </w:rPr>
        <w:instrText xml:space="preserve"> SEQ Tabuľka_P \* ARABIC </w:instrText>
      </w:r>
      <w:r w:rsidRPr="00AF6AB3">
        <w:rPr>
          <w:b/>
          <w:sz w:val="20"/>
        </w:rPr>
        <w:fldChar w:fldCharType="separate"/>
      </w:r>
      <w:r w:rsidR="00FA29AF">
        <w:rPr>
          <w:b/>
          <w:noProof/>
          <w:sz w:val="20"/>
        </w:rPr>
        <w:t>15</w:t>
      </w:r>
      <w:r w:rsidRPr="00AF6AB3">
        <w:rPr>
          <w:b/>
          <w:sz w:val="20"/>
        </w:rPr>
        <w:fldChar w:fldCharType="end"/>
      </w:r>
      <w:r w:rsidRPr="00AF6AB3">
        <w:rPr>
          <w:b/>
          <w:sz w:val="20"/>
        </w:rPr>
        <w:t>:</w:t>
      </w:r>
      <w:r w:rsidR="0070047D">
        <w:rPr>
          <w:b/>
          <w:sz w:val="20"/>
        </w:rPr>
        <w:t xml:space="preserve"> </w:t>
      </w:r>
      <w:r w:rsidRPr="009973EE">
        <w:rPr>
          <w:b/>
          <w:sz w:val="20"/>
        </w:rPr>
        <w:t xml:space="preserve">Dodatočné náklady na vzdelávanie žiakov so </w:t>
      </w:r>
      <w:r>
        <w:rPr>
          <w:b/>
          <w:sz w:val="20"/>
        </w:rPr>
        <w:t xml:space="preserve">ZZ </w:t>
      </w:r>
      <w:r w:rsidRPr="009973EE">
        <w:rPr>
          <w:b/>
          <w:sz w:val="20"/>
        </w:rPr>
        <w:t>podľa vzdelávacieho prúdu a druhu zdravotného znevýhodnenia, 2018</w:t>
      </w:r>
    </w:p>
    <w:p w14:paraId="462F7656" w14:textId="77777777" w:rsidR="001B34C7" w:rsidRDefault="001B34C7" w:rsidP="001B34C7">
      <w:pPr>
        <w:pStyle w:val="Popis"/>
        <w:rPr>
          <w:b/>
          <w:i w:val="0"/>
          <w:color w:val="2E74B5" w:themeColor="accent1" w:themeShade="BF"/>
          <w:sz w:val="22"/>
        </w:rPr>
      </w:pPr>
    </w:p>
    <w:p w14:paraId="4AF80961" w14:textId="3D4C95C6" w:rsidR="006932E7" w:rsidRDefault="006932E7" w:rsidP="001B34C7">
      <w:pPr>
        <w:pStyle w:val="Popis"/>
        <w:rPr>
          <w:b/>
          <w:i w:val="0"/>
          <w:color w:val="2E74B5" w:themeColor="accent1" w:themeShade="BF"/>
          <w:sz w:val="22"/>
        </w:rPr>
      </w:pPr>
      <w:bookmarkStart w:id="1924" w:name="_Ref25838442"/>
    </w:p>
    <w:p w14:paraId="25DBA93F" w14:textId="771064CD" w:rsidR="001B34C7" w:rsidRPr="000C6214" w:rsidRDefault="001B34C7" w:rsidP="001B34C7">
      <w:pPr>
        <w:pStyle w:val="Popis"/>
        <w:rPr>
          <w:b/>
          <w:i w:val="0"/>
          <w:color w:val="2E74B5" w:themeColor="accent1" w:themeShade="BF"/>
          <w:sz w:val="22"/>
        </w:rPr>
      </w:pPr>
      <w:bookmarkStart w:id="1925" w:name="_Ref34131052"/>
      <w:r w:rsidRPr="000C6214">
        <w:rPr>
          <w:b/>
          <w:i w:val="0"/>
          <w:color w:val="2E74B5" w:themeColor="accent1" w:themeShade="BF"/>
          <w:sz w:val="22"/>
        </w:rPr>
        <w:t xml:space="preserve">Príloha </w:t>
      </w:r>
      <w:r w:rsidRPr="00AD2F2A">
        <w:rPr>
          <w:b/>
          <w:i w:val="0"/>
          <w:color w:val="2E74B5" w:themeColor="accent1" w:themeShade="BF"/>
          <w:sz w:val="22"/>
        </w:rPr>
        <w:fldChar w:fldCharType="begin"/>
      </w:r>
      <w:r w:rsidRPr="00AD2F2A">
        <w:rPr>
          <w:b/>
          <w:i w:val="0"/>
          <w:color w:val="2E74B5" w:themeColor="accent1" w:themeShade="BF"/>
          <w:sz w:val="22"/>
        </w:rPr>
        <w:instrText xml:space="preserve"> SEQ Príloha \* ARABIC </w:instrText>
      </w:r>
      <w:r w:rsidRPr="00AD2F2A">
        <w:rPr>
          <w:b/>
          <w:i w:val="0"/>
          <w:color w:val="2E74B5" w:themeColor="accent1" w:themeShade="BF"/>
          <w:sz w:val="22"/>
        </w:rPr>
        <w:fldChar w:fldCharType="separate"/>
      </w:r>
      <w:r w:rsidR="00FA29AF">
        <w:rPr>
          <w:b/>
          <w:i w:val="0"/>
          <w:noProof/>
          <w:color w:val="2E74B5" w:themeColor="accent1" w:themeShade="BF"/>
          <w:sz w:val="22"/>
        </w:rPr>
        <w:t>20</w:t>
      </w:r>
      <w:r w:rsidRPr="00AD2F2A">
        <w:rPr>
          <w:b/>
          <w:i w:val="0"/>
          <w:color w:val="2E74B5" w:themeColor="accent1" w:themeShade="BF"/>
          <w:sz w:val="22"/>
        </w:rPr>
        <w:fldChar w:fldCharType="end"/>
      </w:r>
      <w:bookmarkEnd w:id="1924"/>
      <w:bookmarkEnd w:id="1925"/>
      <w:r w:rsidRPr="000C6214">
        <w:rPr>
          <w:b/>
          <w:i w:val="0"/>
          <w:color w:val="2E74B5" w:themeColor="accent1" w:themeShade="BF"/>
          <w:sz w:val="22"/>
        </w:rPr>
        <w:t>: Priemerné dodatočné náklady na vzdelávanie žiakov so zdravotným znevýhodnením v bežných a špeciálnych základných školách</w:t>
      </w:r>
    </w:p>
    <w:p w14:paraId="76F88DDB" w14:textId="77777777" w:rsidR="001B34C7" w:rsidRPr="009973EE" w:rsidRDefault="001B34C7" w:rsidP="001B34C7">
      <w:pPr>
        <w:spacing w:before="160" w:line="240" w:lineRule="auto"/>
        <w:contextualSpacing/>
        <w:rPr>
          <w:b/>
          <w:sz w:val="20"/>
        </w:rPr>
      </w:pPr>
      <w:r w:rsidRPr="00AF6AB3">
        <w:rPr>
          <w:b/>
          <w:sz w:val="20"/>
        </w:rPr>
        <w:t xml:space="preserve">Tabuľka P </w:t>
      </w:r>
      <w:r w:rsidRPr="00AF6AB3">
        <w:rPr>
          <w:b/>
          <w:sz w:val="20"/>
        </w:rPr>
        <w:fldChar w:fldCharType="begin"/>
      </w:r>
      <w:r w:rsidRPr="00AF6AB3">
        <w:rPr>
          <w:b/>
          <w:sz w:val="20"/>
        </w:rPr>
        <w:instrText xml:space="preserve"> SEQ Tabuľka_P \* ARABIC </w:instrText>
      </w:r>
      <w:r w:rsidRPr="00AF6AB3">
        <w:rPr>
          <w:b/>
          <w:sz w:val="20"/>
        </w:rPr>
        <w:fldChar w:fldCharType="separate"/>
      </w:r>
      <w:r w:rsidR="00FA29AF">
        <w:rPr>
          <w:b/>
          <w:noProof/>
          <w:sz w:val="20"/>
        </w:rPr>
        <w:t>16</w:t>
      </w:r>
      <w:r w:rsidRPr="00AF6AB3">
        <w:rPr>
          <w:b/>
          <w:sz w:val="20"/>
        </w:rPr>
        <w:fldChar w:fldCharType="end"/>
      </w:r>
      <w:r w:rsidRPr="00AF6AB3">
        <w:rPr>
          <w:b/>
          <w:sz w:val="20"/>
        </w:rPr>
        <w:t xml:space="preserve">: </w:t>
      </w:r>
      <w:r w:rsidRPr="009973EE">
        <w:rPr>
          <w:b/>
          <w:sz w:val="20"/>
        </w:rPr>
        <w:t xml:space="preserve">Priemerné dodatočné náklady na vzdelávanie </w:t>
      </w:r>
      <w:r w:rsidRPr="00E37DA3">
        <w:rPr>
          <w:b/>
          <w:iCs/>
          <w:sz w:val="20"/>
          <w:lang w:eastAsia="sk-SK"/>
        </w:rPr>
        <w:t>žiakov</w:t>
      </w:r>
      <w:r w:rsidRPr="009973EE">
        <w:rPr>
          <w:b/>
          <w:sz w:val="20"/>
        </w:rPr>
        <w:t xml:space="preserve"> so </w:t>
      </w:r>
      <w:r>
        <w:rPr>
          <w:b/>
          <w:sz w:val="20"/>
        </w:rPr>
        <w:t xml:space="preserve">ZZ </w:t>
      </w:r>
      <w:r w:rsidRPr="009973EE">
        <w:rPr>
          <w:b/>
          <w:sz w:val="20"/>
        </w:rPr>
        <w:t>v bežných a špeciálnych základných školách, 2018</w:t>
      </w:r>
    </w:p>
    <w:tbl>
      <w:tblPr>
        <w:tblW w:w="5000" w:type="pct"/>
        <w:tblCellMar>
          <w:left w:w="70" w:type="dxa"/>
          <w:right w:w="70" w:type="dxa"/>
        </w:tblCellMar>
        <w:tblLook w:val="04A0" w:firstRow="1" w:lastRow="0" w:firstColumn="1" w:lastColumn="0" w:noHBand="0" w:noVBand="1"/>
      </w:tblPr>
      <w:tblGrid>
        <w:gridCol w:w="1550"/>
        <w:gridCol w:w="2068"/>
        <w:gridCol w:w="2068"/>
        <w:gridCol w:w="2068"/>
        <w:gridCol w:w="2068"/>
        <w:gridCol w:w="2068"/>
        <w:gridCol w:w="2068"/>
      </w:tblGrid>
      <w:tr w:rsidR="001B34C7" w:rsidRPr="009973EE" w14:paraId="3CE02C8C" w14:textId="77777777" w:rsidTr="002E33D9">
        <w:trPr>
          <w:trHeight w:val="284"/>
        </w:trPr>
        <w:tc>
          <w:tcPr>
            <w:tcW w:w="1512" w:type="dxa"/>
            <w:tcBorders>
              <w:top w:val="single" w:sz="4" w:space="0" w:color="auto"/>
            </w:tcBorders>
            <w:shd w:val="clear" w:color="auto" w:fill="auto"/>
            <w:noWrap/>
            <w:vAlign w:val="bottom"/>
            <w:hideMark/>
          </w:tcPr>
          <w:p w14:paraId="3866FEB3" w14:textId="77777777" w:rsidR="001B34C7" w:rsidRPr="009973EE" w:rsidRDefault="001B34C7" w:rsidP="002E33D9">
            <w:pPr>
              <w:spacing w:after="0" w:line="240" w:lineRule="auto"/>
              <w:rPr>
                <w:rFonts w:eastAsia="Times New Roman" w:cs="Times New Roman"/>
                <w:sz w:val="20"/>
                <w:lang w:eastAsia="sk-SK"/>
              </w:rPr>
            </w:pPr>
          </w:p>
        </w:tc>
        <w:tc>
          <w:tcPr>
            <w:tcW w:w="6046" w:type="dxa"/>
            <w:gridSpan w:val="3"/>
            <w:tcBorders>
              <w:top w:val="single" w:sz="4" w:space="0" w:color="auto"/>
            </w:tcBorders>
            <w:shd w:val="clear" w:color="auto" w:fill="auto"/>
            <w:noWrap/>
            <w:vAlign w:val="bottom"/>
            <w:hideMark/>
          </w:tcPr>
          <w:p w14:paraId="6245E17B" w14:textId="77777777" w:rsidR="001B34C7" w:rsidRPr="009973EE" w:rsidRDefault="001B34C7" w:rsidP="002E33D9">
            <w:pPr>
              <w:spacing w:after="0" w:line="240" w:lineRule="auto"/>
              <w:jc w:val="center"/>
              <w:rPr>
                <w:rFonts w:eastAsia="Times New Roman" w:cs="Times New Roman"/>
                <w:b/>
                <w:bCs/>
                <w:color w:val="000000"/>
                <w:sz w:val="20"/>
                <w:lang w:eastAsia="sk-SK"/>
              </w:rPr>
            </w:pPr>
            <w:r w:rsidRPr="009973EE">
              <w:rPr>
                <w:rFonts w:eastAsia="Times New Roman" w:cs="Times New Roman"/>
                <w:b/>
                <w:bCs/>
                <w:color w:val="000000"/>
                <w:sz w:val="20"/>
                <w:lang w:eastAsia="sk-SK"/>
              </w:rPr>
              <w:t>Bežná ZŠ</w:t>
            </w:r>
          </w:p>
        </w:tc>
        <w:tc>
          <w:tcPr>
            <w:tcW w:w="6045" w:type="dxa"/>
            <w:gridSpan w:val="3"/>
            <w:tcBorders>
              <w:top w:val="single" w:sz="4" w:space="0" w:color="auto"/>
            </w:tcBorders>
            <w:shd w:val="clear" w:color="auto" w:fill="auto"/>
            <w:noWrap/>
            <w:vAlign w:val="bottom"/>
            <w:hideMark/>
          </w:tcPr>
          <w:p w14:paraId="2DE81E53" w14:textId="77777777" w:rsidR="001B34C7" w:rsidRPr="009973EE" w:rsidRDefault="001B34C7" w:rsidP="002E33D9">
            <w:pPr>
              <w:spacing w:after="0" w:line="240" w:lineRule="auto"/>
              <w:jc w:val="center"/>
              <w:rPr>
                <w:rFonts w:eastAsia="Times New Roman" w:cs="Times New Roman"/>
                <w:b/>
                <w:bCs/>
                <w:color w:val="000000"/>
                <w:sz w:val="20"/>
                <w:lang w:eastAsia="sk-SK"/>
              </w:rPr>
            </w:pPr>
            <w:r w:rsidRPr="009973EE">
              <w:rPr>
                <w:rFonts w:eastAsia="Times New Roman" w:cs="Times New Roman"/>
                <w:b/>
                <w:bCs/>
                <w:color w:val="000000"/>
                <w:sz w:val="20"/>
                <w:lang w:eastAsia="sk-SK"/>
              </w:rPr>
              <w:t>Špeciálna ZŠ</w:t>
            </w:r>
          </w:p>
        </w:tc>
      </w:tr>
      <w:tr w:rsidR="001B34C7" w:rsidRPr="009973EE" w14:paraId="388A3B60" w14:textId="77777777" w:rsidTr="002E33D9">
        <w:trPr>
          <w:trHeight w:val="284"/>
        </w:trPr>
        <w:tc>
          <w:tcPr>
            <w:tcW w:w="1512" w:type="dxa"/>
            <w:tcBorders>
              <w:bottom w:val="single" w:sz="4" w:space="0" w:color="auto"/>
            </w:tcBorders>
            <w:shd w:val="clear" w:color="auto" w:fill="auto"/>
            <w:noWrap/>
            <w:vAlign w:val="bottom"/>
            <w:hideMark/>
          </w:tcPr>
          <w:p w14:paraId="7F19BAE4" w14:textId="77777777" w:rsidR="001B34C7" w:rsidRPr="009973EE" w:rsidRDefault="001B34C7" w:rsidP="002E33D9">
            <w:pPr>
              <w:spacing w:after="0" w:line="240" w:lineRule="auto"/>
              <w:rPr>
                <w:rFonts w:eastAsia="Times New Roman" w:cs="Times New Roman"/>
                <w:b/>
                <w:bCs/>
                <w:color w:val="000000"/>
                <w:sz w:val="20"/>
                <w:lang w:eastAsia="sk-SK"/>
              </w:rPr>
            </w:pPr>
          </w:p>
        </w:tc>
        <w:tc>
          <w:tcPr>
            <w:tcW w:w="2016" w:type="dxa"/>
            <w:tcBorders>
              <w:bottom w:val="single" w:sz="4" w:space="0" w:color="auto"/>
            </w:tcBorders>
            <w:shd w:val="clear" w:color="auto" w:fill="auto"/>
            <w:vAlign w:val="center"/>
            <w:hideMark/>
          </w:tcPr>
          <w:p w14:paraId="1923BA56" w14:textId="77777777" w:rsidR="001B34C7" w:rsidRPr="00C604D3" w:rsidRDefault="001B34C7" w:rsidP="002E33D9">
            <w:pPr>
              <w:spacing w:after="0" w:line="240" w:lineRule="auto"/>
              <w:jc w:val="right"/>
              <w:rPr>
                <w:rFonts w:eastAsia="Times New Roman" w:cs="Times New Roman"/>
                <w:b/>
                <w:bCs/>
                <w:color w:val="000000"/>
                <w:sz w:val="20"/>
                <w:lang w:eastAsia="sk-SK"/>
              </w:rPr>
            </w:pPr>
            <w:r w:rsidRPr="00C604D3">
              <w:rPr>
                <w:rFonts w:eastAsia="Times New Roman" w:cs="Times New Roman"/>
                <w:b/>
                <w:bCs/>
                <w:color w:val="000000"/>
                <w:sz w:val="20"/>
                <w:lang w:eastAsia="sk-SK"/>
              </w:rPr>
              <w:t>Počet žiakov</w:t>
            </w:r>
          </w:p>
        </w:tc>
        <w:tc>
          <w:tcPr>
            <w:tcW w:w="2015" w:type="dxa"/>
            <w:tcBorders>
              <w:bottom w:val="single" w:sz="4" w:space="0" w:color="auto"/>
            </w:tcBorders>
            <w:shd w:val="clear" w:color="auto" w:fill="auto"/>
            <w:vAlign w:val="center"/>
            <w:hideMark/>
          </w:tcPr>
          <w:p w14:paraId="0AB03250" w14:textId="77777777" w:rsidR="001B34C7" w:rsidRPr="00C604D3" w:rsidRDefault="001B34C7" w:rsidP="002E33D9">
            <w:pPr>
              <w:spacing w:after="0" w:line="240" w:lineRule="auto"/>
              <w:jc w:val="right"/>
              <w:rPr>
                <w:rFonts w:eastAsia="Times New Roman" w:cs="Times New Roman"/>
                <w:b/>
                <w:bCs/>
                <w:color w:val="000000"/>
                <w:sz w:val="20"/>
                <w:lang w:eastAsia="sk-SK"/>
              </w:rPr>
            </w:pPr>
            <w:r w:rsidRPr="00C604D3">
              <w:rPr>
                <w:rFonts w:eastAsia="Times New Roman" w:cs="Times New Roman"/>
                <w:b/>
                <w:bCs/>
                <w:color w:val="000000"/>
                <w:sz w:val="20"/>
                <w:lang w:eastAsia="sk-SK"/>
              </w:rPr>
              <w:t>Dodatočné náklady</w:t>
            </w:r>
          </w:p>
        </w:tc>
        <w:tc>
          <w:tcPr>
            <w:tcW w:w="2015" w:type="dxa"/>
            <w:tcBorders>
              <w:bottom w:val="single" w:sz="4" w:space="0" w:color="auto"/>
            </w:tcBorders>
            <w:vAlign w:val="center"/>
          </w:tcPr>
          <w:p w14:paraId="2486DBF7" w14:textId="77777777" w:rsidR="001B34C7" w:rsidRPr="00C604D3" w:rsidRDefault="001B34C7" w:rsidP="002E33D9">
            <w:pPr>
              <w:spacing w:after="0" w:line="240" w:lineRule="auto"/>
              <w:jc w:val="right"/>
              <w:rPr>
                <w:rFonts w:eastAsia="Times New Roman" w:cs="Times New Roman"/>
                <w:b/>
                <w:bCs/>
                <w:color w:val="000000"/>
                <w:sz w:val="20"/>
                <w:lang w:eastAsia="sk-SK"/>
              </w:rPr>
            </w:pPr>
            <w:r w:rsidRPr="00C604D3">
              <w:rPr>
                <w:rFonts w:eastAsia="Times New Roman" w:cs="Times New Roman"/>
                <w:b/>
                <w:bCs/>
                <w:color w:val="000000"/>
                <w:sz w:val="20"/>
                <w:lang w:eastAsia="sk-SK"/>
              </w:rPr>
              <w:t>Priemer na žiaka</w:t>
            </w:r>
          </w:p>
        </w:tc>
        <w:tc>
          <w:tcPr>
            <w:tcW w:w="2015" w:type="dxa"/>
            <w:tcBorders>
              <w:bottom w:val="single" w:sz="4" w:space="0" w:color="auto"/>
            </w:tcBorders>
            <w:shd w:val="clear" w:color="auto" w:fill="auto"/>
            <w:vAlign w:val="center"/>
            <w:hideMark/>
          </w:tcPr>
          <w:p w14:paraId="64B14F58" w14:textId="77777777" w:rsidR="001B34C7" w:rsidRPr="00C604D3" w:rsidRDefault="001B34C7" w:rsidP="002E33D9">
            <w:pPr>
              <w:spacing w:after="0" w:line="240" w:lineRule="auto"/>
              <w:jc w:val="right"/>
              <w:rPr>
                <w:rFonts w:eastAsia="Times New Roman" w:cs="Times New Roman"/>
                <w:b/>
                <w:bCs/>
                <w:color w:val="000000"/>
                <w:sz w:val="20"/>
                <w:lang w:eastAsia="sk-SK"/>
              </w:rPr>
            </w:pPr>
            <w:r w:rsidRPr="00C604D3">
              <w:rPr>
                <w:rFonts w:eastAsia="Times New Roman" w:cs="Times New Roman"/>
                <w:b/>
                <w:bCs/>
                <w:color w:val="000000"/>
                <w:sz w:val="20"/>
                <w:lang w:eastAsia="sk-SK"/>
              </w:rPr>
              <w:t>Počet žiakov</w:t>
            </w:r>
          </w:p>
        </w:tc>
        <w:tc>
          <w:tcPr>
            <w:tcW w:w="2015" w:type="dxa"/>
            <w:tcBorders>
              <w:bottom w:val="single" w:sz="4" w:space="0" w:color="auto"/>
            </w:tcBorders>
            <w:shd w:val="clear" w:color="auto" w:fill="auto"/>
            <w:vAlign w:val="center"/>
            <w:hideMark/>
          </w:tcPr>
          <w:p w14:paraId="013DE127" w14:textId="77777777" w:rsidR="001B34C7" w:rsidRPr="00C604D3" w:rsidRDefault="001B34C7" w:rsidP="002E33D9">
            <w:pPr>
              <w:spacing w:after="0" w:line="240" w:lineRule="auto"/>
              <w:jc w:val="right"/>
              <w:rPr>
                <w:rFonts w:eastAsia="Times New Roman" w:cs="Times New Roman"/>
                <w:b/>
                <w:bCs/>
                <w:color w:val="000000"/>
                <w:sz w:val="20"/>
                <w:lang w:eastAsia="sk-SK"/>
              </w:rPr>
            </w:pPr>
            <w:r w:rsidRPr="00C604D3">
              <w:rPr>
                <w:rFonts w:eastAsia="Times New Roman" w:cs="Times New Roman"/>
                <w:b/>
                <w:bCs/>
                <w:color w:val="000000"/>
                <w:sz w:val="20"/>
                <w:lang w:eastAsia="sk-SK"/>
              </w:rPr>
              <w:t>Dodatočné náklady</w:t>
            </w:r>
          </w:p>
        </w:tc>
        <w:tc>
          <w:tcPr>
            <w:tcW w:w="2015" w:type="dxa"/>
            <w:tcBorders>
              <w:bottom w:val="single" w:sz="4" w:space="0" w:color="auto"/>
            </w:tcBorders>
            <w:vAlign w:val="center"/>
          </w:tcPr>
          <w:p w14:paraId="3DF34426" w14:textId="77777777" w:rsidR="001B34C7" w:rsidRPr="00C604D3" w:rsidRDefault="001B34C7" w:rsidP="002E33D9">
            <w:pPr>
              <w:spacing w:after="0" w:line="240" w:lineRule="auto"/>
              <w:jc w:val="right"/>
              <w:rPr>
                <w:rFonts w:eastAsia="Times New Roman" w:cs="Times New Roman"/>
                <w:b/>
                <w:bCs/>
                <w:color w:val="000000"/>
                <w:sz w:val="20"/>
                <w:lang w:eastAsia="sk-SK"/>
              </w:rPr>
            </w:pPr>
            <w:r w:rsidRPr="00C604D3">
              <w:rPr>
                <w:rFonts w:eastAsia="Times New Roman" w:cs="Times New Roman"/>
                <w:b/>
                <w:bCs/>
                <w:color w:val="000000"/>
                <w:sz w:val="20"/>
                <w:lang w:eastAsia="sk-SK"/>
              </w:rPr>
              <w:t>Priemer na žiaka</w:t>
            </w:r>
          </w:p>
        </w:tc>
      </w:tr>
      <w:tr w:rsidR="001B34C7" w:rsidRPr="009973EE" w14:paraId="2DBC31F4" w14:textId="77777777" w:rsidTr="002E33D9">
        <w:trPr>
          <w:trHeight w:val="284"/>
        </w:trPr>
        <w:tc>
          <w:tcPr>
            <w:tcW w:w="1512" w:type="dxa"/>
            <w:tcBorders>
              <w:top w:val="single" w:sz="4" w:space="0" w:color="auto"/>
            </w:tcBorders>
            <w:shd w:val="clear" w:color="auto" w:fill="auto"/>
            <w:noWrap/>
            <w:vAlign w:val="bottom"/>
            <w:hideMark/>
          </w:tcPr>
          <w:p w14:paraId="2A14A173" w14:textId="77777777" w:rsidR="001B34C7" w:rsidRPr="00D35765" w:rsidRDefault="001B34C7" w:rsidP="002E33D9">
            <w:pPr>
              <w:spacing w:after="0" w:line="240" w:lineRule="auto"/>
              <w:rPr>
                <w:rFonts w:eastAsia="Times New Roman" w:cs="Times New Roman"/>
                <w:bCs/>
                <w:color w:val="000000"/>
                <w:sz w:val="20"/>
                <w:lang w:eastAsia="sk-SK"/>
              </w:rPr>
            </w:pPr>
            <w:r w:rsidRPr="00D35765">
              <w:rPr>
                <w:rFonts w:eastAsia="Times New Roman" w:cs="Times New Roman"/>
                <w:bCs/>
                <w:color w:val="000000"/>
                <w:sz w:val="20"/>
                <w:lang w:eastAsia="sk-SK"/>
              </w:rPr>
              <w:t>Kategória 2</w:t>
            </w:r>
          </w:p>
        </w:tc>
        <w:tc>
          <w:tcPr>
            <w:tcW w:w="2016" w:type="dxa"/>
            <w:tcBorders>
              <w:top w:val="single" w:sz="4" w:space="0" w:color="auto"/>
            </w:tcBorders>
            <w:shd w:val="clear" w:color="auto" w:fill="auto"/>
            <w:noWrap/>
            <w:vAlign w:val="center"/>
            <w:hideMark/>
          </w:tcPr>
          <w:p w14:paraId="74828EDE"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28 356</w:t>
            </w:r>
          </w:p>
        </w:tc>
        <w:tc>
          <w:tcPr>
            <w:tcW w:w="2015" w:type="dxa"/>
            <w:tcBorders>
              <w:top w:val="single" w:sz="4" w:space="0" w:color="auto"/>
            </w:tcBorders>
            <w:shd w:val="clear" w:color="auto" w:fill="auto"/>
            <w:noWrap/>
            <w:vAlign w:val="center"/>
            <w:hideMark/>
          </w:tcPr>
          <w:p w14:paraId="4FAFCF89"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43 484 886</w:t>
            </w:r>
          </w:p>
        </w:tc>
        <w:tc>
          <w:tcPr>
            <w:tcW w:w="2015" w:type="dxa"/>
            <w:tcBorders>
              <w:top w:val="single" w:sz="4" w:space="0" w:color="auto"/>
            </w:tcBorders>
            <w:shd w:val="clear" w:color="auto" w:fill="auto"/>
            <w:vAlign w:val="center"/>
          </w:tcPr>
          <w:p w14:paraId="26B9A266"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cs="Calibri"/>
                <w:color w:val="000000"/>
                <w:sz w:val="20"/>
              </w:rPr>
              <w:t>1 534</w:t>
            </w:r>
          </w:p>
        </w:tc>
        <w:tc>
          <w:tcPr>
            <w:tcW w:w="2015" w:type="dxa"/>
            <w:tcBorders>
              <w:top w:val="single" w:sz="4" w:space="0" w:color="auto"/>
            </w:tcBorders>
            <w:shd w:val="clear" w:color="auto" w:fill="auto"/>
            <w:noWrap/>
            <w:vAlign w:val="center"/>
            <w:hideMark/>
          </w:tcPr>
          <w:p w14:paraId="3A97DE8C"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8 688</w:t>
            </w:r>
          </w:p>
        </w:tc>
        <w:tc>
          <w:tcPr>
            <w:tcW w:w="2015" w:type="dxa"/>
            <w:tcBorders>
              <w:top w:val="single" w:sz="4" w:space="0" w:color="auto"/>
            </w:tcBorders>
            <w:shd w:val="clear" w:color="auto" w:fill="auto"/>
            <w:noWrap/>
            <w:vAlign w:val="center"/>
            <w:hideMark/>
          </w:tcPr>
          <w:p w14:paraId="6F41833D"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14 032 476</w:t>
            </w:r>
          </w:p>
        </w:tc>
        <w:tc>
          <w:tcPr>
            <w:tcW w:w="2015" w:type="dxa"/>
            <w:tcBorders>
              <w:top w:val="single" w:sz="4" w:space="0" w:color="auto"/>
            </w:tcBorders>
            <w:shd w:val="clear" w:color="auto" w:fill="auto"/>
            <w:vAlign w:val="center"/>
          </w:tcPr>
          <w:p w14:paraId="3F54A7F5"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cs="Calibri"/>
                <w:color w:val="000000"/>
                <w:sz w:val="20"/>
              </w:rPr>
              <w:t>1 615</w:t>
            </w:r>
          </w:p>
        </w:tc>
      </w:tr>
      <w:tr w:rsidR="001B34C7" w:rsidRPr="009973EE" w14:paraId="46A8FDBC" w14:textId="77777777" w:rsidTr="002E33D9">
        <w:trPr>
          <w:trHeight w:val="284"/>
        </w:trPr>
        <w:tc>
          <w:tcPr>
            <w:tcW w:w="1512" w:type="dxa"/>
            <w:shd w:val="clear" w:color="auto" w:fill="auto"/>
            <w:noWrap/>
            <w:vAlign w:val="bottom"/>
            <w:hideMark/>
          </w:tcPr>
          <w:p w14:paraId="27D53037" w14:textId="77777777" w:rsidR="001B34C7" w:rsidRPr="00D35765" w:rsidRDefault="001B34C7" w:rsidP="002E33D9">
            <w:pPr>
              <w:spacing w:after="0" w:line="240" w:lineRule="auto"/>
              <w:rPr>
                <w:rFonts w:eastAsia="Times New Roman" w:cs="Times New Roman"/>
                <w:bCs/>
                <w:color w:val="000000"/>
                <w:sz w:val="20"/>
                <w:lang w:eastAsia="sk-SK"/>
              </w:rPr>
            </w:pPr>
            <w:r w:rsidRPr="00D35765">
              <w:rPr>
                <w:rFonts w:eastAsia="Times New Roman" w:cs="Times New Roman"/>
                <w:bCs/>
                <w:color w:val="000000"/>
                <w:sz w:val="20"/>
                <w:lang w:eastAsia="sk-SK"/>
              </w:rPr>
              <w:t>Kategória 3</w:t>
            </w:r>
          </w:p>
        </w:tc>
        <w:tc>
          <w:tcPr>
            <w:tcW w:w="2016" w:type="dxa"/>
            <w:shd w:val="clear" w:color="auto" w:fill="auto"/>
            <w:noWrap/>
            <w:vAlign w:val="center"/>
            <w:hideMark/>
          </w:tcPr>
          <w:p w14:paraId="38A767E7"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4 430</w:t>
            </w:r>
          </w:p>
        </w:tc>
        <w:tc>
          <w:tcPr>
            <w:tcW w:w="2015" w:type="dxa"/>
            <w:shd w:val="clear" w:color="auto" w:fill="auto"/>
            <w:noWrap/>
            <w:vAlign w:val="center"/>
            <w:hideMark/>
          </w:tcPr>
          <w:p w14:paraId="0949CC0F"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9 187 740</w:t>
            </w:r>
          </w:p>
        </w:tc>
        <w:tc>
          <w:tcPr>
            <w:tcW w:w="2015" w:type="dxa"/>
            <w:shd w:val="clear" w:color="auto" w:fill="auto"/>
            <w:vAlign w:val="center"/>
          </w:tcPr>
          <w:p w14:paraId="6F260555"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cs="Calibri"/>
                <w:color w:val="000000"/>
                <w:sz w:val="20"/>
              </w:rPr>
              <w:t>2 074</w:t>
            </w:r>
          </w:p>
        </w:tc>
        <w:tc>
          <w:tcPr>
            <w:tcW w:w="2015" w:type="dxa"/>
            <w:shd w:val="clear" w:color="auto" w:fill="auto"/>
            <w:noWrap/>
            <w:vAlign w:val="center"/>
            <w:hideMark/>
          </w:tcPr>
          <w:p w14:paraId="20A77C53"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2 817</w:t>
            </w:r>
          </w:p>
        </w:tc>
        <w:tc>
          <w:tcPr>
            <w:tcW w:w="2015" w:type="dxa"/>
            <w:shd w:val="clear" w:color="auto" w:fill="auto"/>
            <w:noWrap/>
            <w:vAlign w:val="center"/>
            <w:hideMark/>
          </w:tcPr>
          <w:p w14:paraId="54594C1A"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6 109 793</w:t>
            </w:r>
          </w:p>
        </w:tc>
        <w:tc>
          <w:tcPr>
            <w:tcW w:w="2015" w:type="dxa"/>
            <w:shd w:val="clear" w:color="auto" w:fill="auto"/>
            <w:vAlign w:val="center"/>
          </w:tcPr>
          <w:p w14:paraId="00C95405"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cs="Calibri"/>
                <w:color w:val="000000"/>
                <w:sz w:val="20"/>
              </w:rPr>
              <w:t>2 169</w:t>
            </w:r>
          </w:p>
        </w:tc>
      </w:tr>
      <w:tr w:rsidR="001B34C7" w:rsidRPr="009973EE" w14:paraId="3BA49CD7" w14:textId="77777777" w:rsidTr="002E33D9">
        <w:trPr>
          <w:trHeight w:val="284"/>
        </w:trPr>
        <w:tc>
          <w:tcPr>
            <w:tcW w:w="1512" w:type="dxa"/>
            <w:shd w:val="clear" w:color="auto" w:fill="auto"/>
            <w:noWrap/>
            <w:vAlign w:val="bottom"/>
            <w:hideMark/>
          </w:tcPr>
          <w:p w14:paraId="5C1AFECC" w14:textId="77777777" w:rsidR="001B34C7" w:rsidRPr="00D35765" w:rsidRDefault="001B34C7" w:rsidP="002E33D9">
            <w:pPr>
              <w:spacing w:after="0" w:line="240" w:lineRule="auto"/>
              <w:rPr>
                <w:rFonts w:eastAsia="Times New Roman" w:cs="Times New Roman"/>
                <w:bCs/>
                <w:color w:val="000000"/>
                <w:sz w:val="20"/>
                <w:lang w:eastAsia="sk-SK"/>
              </w:rPr>
            </w:pPr>
            <w:r w:rsidRPr="00D35765">
              <w:rPr>
                <w:rFonts w:eastAsia="Times New Roman" w:cs="Times New Roman"/>
                <w:bCs/>
                <w:color w:val="000000"/>
                <w:sz w:val="20"/>
                <w:lang w:eastAsia="sk-SK"/>
              </w:rPr>
              <w:t>Kategória 4</w:t>
            </w:r>
          </w:p>
        </w:tc>
        <w:tc>
          <w:tcPr>
            <w:tcW w:w="2016" w:type="dxa"/>
            <w:shd w:val="clear" w:color="auto" w:fill="auto"/>
            <w:noWrap/>
            <w:vAlign w:val="center"/>
            <w:hideMark/>
          </w:tcPr>
          <w:p w14:paraId="12ADB3D3"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201</w:t>
            </w:r>
          </w:p>
        </w:tc>
        <w:tc>
          <w:tcPr>
            <w:tcW w:w="2015" w:type="dxa"/>
            <w:shd w:val="clear" w:color="auto" w:fill="auto"/>
            <w:noWrap/>
            <w:vAlign w:val="center"/>
            <w:hideMark/>
          </w:tcPr>
          <w:p w14:paraId="2CD865B8"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563 953</w:t>
            </w:r>
          </w:p>
        </w:tc>
        <w:tc>
          <w:tcPr>
            <w:tcW w:w="2015" w:type="dxa"/>
            <w:shd w:val="clear" w:color="auto" w:fill="auto"/>
            <w:vAlign w:val="center"/>
          </w:tcPr>
          <w:p w14:paraId="04C302F0"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cs="Calibri"/>
                <w:color w:val="000000"/>
                <w:sz w:val="20"/>
              </w:rPr>
              <w:t>2 806</w:t>
            </w:r>
          </w:p>
        </w:tc>
        <w:tc>
          <w:tcPr>
            <w:tcW w:w="2015" w:type="dxa"/>
            <w:shd w:val="clear" w:color="auto" w:fill="auto"/>
            <w:noWrap/>
            <w:vAlign w:val="center"/>
            <w:hideMark/>
          </w:tcPr>
          <w:p w14:paraId="4854626A"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195</w:t>
            </w:r>
          </w:p>
        </w:tc>
        <w:tc>
          <w:tcPr>
            <w:tcW w:w="2015" w:type="dxa"/>
            <w:shd w:val="clear" w:color="auto" w:fill="auto"/>
            <w:noWrap/>
            <w:vAlign w:val="center"/>
            <w:hideMark/>
          </w:tcPr>
          <w:p w14:paraId="6850634F"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578 260</w:t>
            </w:r>
          </w:p>
        </w:tc>
        <w:tc>
          <w:tcPr>
            <w:tcW w:w="2015" w:type="dxa"/>
            <w:shd w:val="clear" w:color="auto" w:fill="auto"/>
            <w:vAlign w:val="center"/>
          </w:tcPr>
          <w:p w14:paraId="6EFEAFA1"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cs="Calibri"/>
                <w:color w:val="000000"/>
                <w:sz w:val="20"/>
              </w:rPr>
              <w:t>2 965</w:t>
            </w:r>
          </w:p>
        </w:tc>
      </w:tr>
      <w:tr w:rsidR="001B34C7" w:rsidRPr="009973EE" w14:paraId="1DA8ACAF" w14:textId="77777777" w:rsidTr="002E33D9">
        <w:trPr>
          <w:trHeight w:val="284"/>
        </w:trPr>
        <w:tc>
          <w:tcPr>
            <w:tcW w:w="1512" w:type="dxa"/>
            <w:shd w:val="clear" w:color="auto" w:fill="auto"/>
            <w:noWrap/>
            <w:vAlign w:val="bottom"/>
            <w:hideMark/>
          </w:tcPr>
          <w:p w14:paraId="3521A691" w14:textId="77777777" w:rsidR="001B34C7" w:rsidRPr="00D35765" w:rsidRDefault="001B34C7" w:rsidP="002E33D9">
            <w:pPr>
              <w:spacing w:after="0" w:line="240" w:lineRule="auto"/>
              <w:rPr>
                <w:rFonts w:eastAsia="Times New Roman" w:cs="Times New Roman"/>
                <w:bCs/>
                <w:color w:val="000000"/>
                <w:sz w:val="20"/>
                <w:lang w:eastAsia="sk-SK"/>
              </w:rPr>
            </w:pPr>
            <w:r w:rsidRPr="00D35765">
              <w:rPr>
                <w:rFonts w:eastAsia="Times New Roman" w:cs="Times New Roman"/>
                <w:bCs/>
                <w:color w:val="000000"/>
                <w:sz w:val="20"/>
                <w:lang w:eastAsia="sk-SK"/>
              </w:rPr>
              <w:t>Kategória 5</w:t>
            </w:r>
          </w:p>
        </w:tc>
        <w:tc>
          <w:tcPr>
            <w:tcW w:w="2016" w:type="dxa"/>
            <w:shd w:val="clear" w:color="auto" w:fill="auto"/>
            <w:noWrap/>
            <w:vAlign w:val="center"/>
            <w:hideMark/>
          </w:tcPr>
          <w:p w14:paraId="66FFE6EF"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1 092</w:t>
            </w:r>
          </w:p>
        </w:tc>
        <w:tc>
          <w:tcPr>
            <w:tcW w:w="2015" w:type="dxa"/>
            <w:shd w:val="clear" w:color="auto" w:fill="auto"/>
            <w:noWrap/>
            <w:vAlign w:val="center"/>
            <w:hideMark/>
          </w:tcPr>
          <w:p w14:paraId="024B4C00"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4 236 296</w:t>
            </w:r>
          </w:p>
        </w:tc>
        <w:tc>
          <w:tcPr>
            <w:tcW w:w="2015" w:type="dxa"/>
            <w:shd w:val="clear" w:color="auto" w:fill="auto"/>
            <w:vAlign w:val="center"/>
          </w:tcPr>
          <w:p w14:paraId="1DAF4211"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cs="Calibri"/>
                <w:color w:val="000000"/>
                <w:sz w:val="20"/>
              </w:rPr>
              <w:t>3 879</w:t>
            </w:r>
          </w:p>
        </w:tc>
        <w:tc>
          <w:tcPr>
            <w:tcW w:w="2015" w:type="dxa"/>
            <w:shd w:val="clear" w:color="auto" w:fill="auto"/>
            <w:noWrap/>
            <w:vAlign w:val="center"/>
            <w:hideMark/>
          </w:tcPr>
          <w:p w14:paraId="67864424"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1 578</w:t>
            </w:r>
          </w:p>
        </w:tc>
        <w:tc>
          <w:tcPr>
            <w:tcW w:w="2015" w:type="dxa"/>
            <w:shd w:val="clear" w:color="auto" w:fill="auto"/>
            <w:noWrap/>
            <w:vAlign w:val="center"/>
            <w:hideMark/>
          </w:tcPr>
          <w:p w14:paraId="24F1123D"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6 504 697</w:t>
            </w:r>
          </w:p>
        </w:tc>
        <w:tc>
          <w:tcPr>
            <w:tcW w:w="2015" w:type="dxa"/>
            <w:shd w:val="clear" w:color="auto" w:fill="auto"/>
            <w:vAlign w:val="center"/>
          </w:tcPr>
          <w:p w14:paraId="4F557CFC"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cs="Calibri"/>
                <w:color w:val="000000"/>
                <w:sz w:val="20"/>
              </w:rPr>
              <w:t>4 122</w:t>
            </w:r>
          </w:p>
        </w:tc>
      </w:tr>
      <w:tr w:rsidR="001B34C7" w:rsidRPr="009973EE" w14:paraId="0173B2C1" w14:textId="77777777" w:rsidTr="002E33D9">
        <w:trPr>
          <w:trHeight w:val="284"/>
        </w:trPr>
        <w:tc>
          <w:tcPr>
            <w:tcW w:w="1512" w:type="dxa"/>
            <w:tcBorders>
              <w:bottom w:val="single" w:sz="4" w:space="0" w:color="auto"/>
            </w:tcBorders>
            <w:shd w:val="clear" w:color="auto" w:fill="auto"/>
            <w:noWrap/>
            <w:vAlign w:val="bottom"/>
            <w:hideMark/>
          </w:tcPr>
          <w:p w14:paraId="6AF586F2" w14:textId="77777777" w:rsidR="001B34C7" w:rsidRPr="00D35765" w:rsidRDefault="001B34C7" w:rsidP="002E33D9">
            <w:pPr>
              <w:spacing w:after="0" w:line="240" w:lineRule="auto"/>
              <w:rPr>
                <w:rFonts w:eastAsia="Times New Roman" w:cs="Times New Roman"/>
                <w:bCs/>
                <w:color w:val="000000"/>
                <w:sz w:val="20"/>
                <w:lang w:eastAsia="sk-SK"/>
              </w:rPr>
            </w:pPr>
            <w:r w:rsidRPr="00D35765">
              <w:rPr>
                <w:rFonts w:eastAsia="Times New Roman" w:cs="Times New Roman"/>
                <w:bCs/>
                <w:color w:val="000000"/>
                <w:sz w:val="20"/>
                <w:lang w:eastAsia="sk-SK"/>
              </w:rPr>
              <w:t>Kategória 6</w:t>
            </w:r>
          </w:p>
        </w:tc>
        <w:tc>
          <w:tcPr>
            <w:tcW w:w="2016" w:type="dxa"/>
            <w:tcBorders>
              <w:bottom w:val="single" w:sz="4" w:space="0" w:color="auto"/>
            </w:tcBorders>
            <w:shd w:val="clear" w:color="auto" w:fill="auto"/>
            <w:noWrap/>
            <w:vAlign w:val="center"/>
            <w:hideMark/>
          </w:tcPr>
          <w:p w14:paraId="6846D5CB"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250</w:t>
            </w:r>
          </w:p>
        </w:tc>
        <w:tc>
          <w:tcPr>
            <w:tcW w:w="2015" w:type="dxa"/>
            <w:tcBorders>
              <w:bottom w:val="single" w:sz="4" w:space="0" w:color="auto"/>
            </w:tcBorders>
            <w:shd w:val="clear" w:color="auto" w:fill="auto"/>
            <w:noWrap/>
            <w:vAlign w:val="center"/>
            <w:hideMark/>
          </w:tcPr>
          <w:p w14:paraId="0084AB89"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2 103 373</w:t>
            </w:r>
          </w:p>
        </w:tc>
        <w:tc>
          <w:tcPr>
            <w:tcW w:w="2015" w:type="dxa"/>
            <w:tcBorders>
              <w:bottom w:val="single" w:sz="4" w:space="0" w:color="auto"/>
            </w:tcBorders>
            <w:shd w:val="clear" w:color="auto" w:fill="auto"/>
            <w:vAlign w:val="center"/>
          </w:tcPr>
          <w:p w14:paraId="7CB551A0"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cs="Calibri"/>
                <w:color w:val="000000"/>
                <w:sz w:val="20"/>
              </w:rPr>
              <w:t>8 413</w:t>
            </w:r>
          </w:p>
        </w:tc>
        <w:tc>
          <w:tcPr>
            <w:tcW w:w="2015" w:type="dxa"/>
            <w:tcBorders>
              <w:bottom w:val="single" w:sz="4" w:space="0" w:color="auto"/>
            </w:tcBorders>
            <w:shd w:val="clear" w:color="auto" w:fill="auto"/>
            <w:noWrap/>
            <w:vAlign w:val="center"/>
            <w:hideMark/>
          </w:tcPr>
          <w:p w14:paraId="5309636E"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2 883</w:t>
            </w:r>
          </w:p>
        </w:tc>
        <w:tc>
          <w:tcPr>
            <w:tcW w:w="2015" w:type="dxa"/>
            <w:tcBorders>
              <w:bottom w:val="single" w:sz="4" w:space="0" w:color="auto"/>
            </w:tcBorders>
            <w:shd w:val="clear" w:color="auto" w:fill="auto"/>
            <w:noWrap/>
            <w:vAlign w:val="center"/>
            <w:hideMark/>
          </w:tcPr>
          <w:p w14:paraId="2A386587"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28 968 346</w:t>
            </w:r>
          </w:p>
        </w:tc>
        <w:tc>
          <w:tcPr>
            <w:tcW w:w="2015" w:type="dxa"/>
            <w:tcBorders>
              <w:bottom w:val="single" w:sz="4" w:space="0" w:color="auto"/>
            </w:tcBorders>
            <w:shd w:val="clear" w:color="auto" w:fill="auto"/>
            <w:vAlign w:val="center"/>
          </w:tcPr>
          <w:p w14:paraId="509BBB77"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cs="Calibri"/>
                <w:color w:val="000000"/>
                <w:sz w:val="20"/>
              </w:rPr>
              <w:t>10 048</w:t>
            </w:r>
          </w:p>
        </w:tc>
      </w:tr>
      <w:tr w:rsidR="001B34C7" w:rsidRPr="009973EE" w14:paraId="61B91CA9" w14:textId="77777777" w:rsidTr="002E33D9">
        <w:trPr>
          <w:trHeight w:val="284"/>
        </w:trPr>
        <w:tc>
          <w:tcPr>
            <w:tcW w:w="1512" w:type="dxa"/>
            <w:tcBorders>
              <w:top w:val="single" w:sz="4" w:space="0" w:color="auto"/>
              <w:bottom w:val="single" w:sz="4" w:space="0" w:color="auto"/>
            </w:tcBorders>
            <w:shd w:val="clear" w:color="auto" w:fill="auto"/>
            <w:noWrap/>
            <w:vAlign w:val="bottom"/>
            <w:hideMark/>
          </w:tcPr>
          <w:p w14:paraId="4E9D4684" w14:textId="77777777" w:rsidR="001B34C7" w:rsidRPr="009973EE" w:rsidRDefault="001B34C7" w:rsidP="002E33D9">
            <w:pPr>
              <w:spacing w:after="0" w:line="240" w:lineRule="auto"/>
              <w:rPr>
                <w:rFonts w:eastAsia="Times New Roman" w:cs="Times New Roman"/>
                <w:b/>
                <w:bCs/>
                <w:color w:val="000000"/>
                <w:sz w:val="20"/>
                <w:lang w:eastAsia="sk-SK"/>
              </w:rPr>
            </w:pPr>
            <w:r w:rsidRPr="009973EE">
              <w:rPr>
                <w:rFonts w:eastAsia="Times New Roman" w:cs="Times New Roman"/>
                <w:b/>
                <w:bCs/>
                <w:color w:val="000000"/>
                <w:sz w:val="20"/>
                <w:lang w:eastAsia="sk-SK"/>
              </w:rPr>
              <w:t>SPOLU</w:t>
            </w:r>
          </w:p>
        </w:tc>
        <w:tc>
          <w:tcPr>
            <w:tcW w:w="2016" w:type="dxa"/>
            <w:tcBorders>
              <w:top w:val="single" w:sz="4" w:space="0" w:color="auto"/>
              <w:bottom w:val="single" w:sz="4" w:space="0" w:color="auto"/>
            </w:tcBorders>
            <w:shd w:val="clear" w:color="auto" w:fill="auto"/>
            <w:noWrap/>
            <w:vAlign w:val="center"/>
            <w:hideMark/>
          </w:tcPr>
          <w:p w14:paraId="02A71CD6" w14:textId="77777777" w:rsidR="001B34C7" w:rsidRPr="009973EE" w:rsidRDefault="001B34C7" w:rsidP="002E33D9">
            <w:pPr>
              <w:spacing w:after="0" w:line="240" w:lineRule="auto"/>
              <w:jc w:val="right"/>
              <w:rPr>
                <w:rFonts w:eastAsia="Times New Roman" w:cs="Times New Roman"/>
                <w:b/>
                <w:bCs/>
                <w:color w:val="000000"/>
                <w:sz w:val="20"/>
                <w:lang w:eastAsia="sk-SK"/>
              </w:rPr>
            </w:pPr>
            <w:r w:rsidRPr="009973EE">
              <w:rPr>
                <w:rFonts w:eastAsia="Times New Roman" w:cs="Times New Roman"/>
                <w:b/>
                <w:bCs/>
                <w:color w:val="000000"/>
                <w:sz w:val="20"/>
                <w:lang w:eastAsia="sk-SK"/>
              </w:rPr>
              <w:t>34 328</w:t>
            </w:r>
          </w:p>
        </w:tc>
        <w:tc>
          <w:tcPr>
            <w:tcW w:w="2015" w:type="dxa"/>
            <w:tcBorders>
              <w:top w:val="single" w:sz="4" w:space="0" w:color="auto"/>
              <w:bottom w:val="single" w:sz="4" w:space="0" w:color="auto"/>
            </w:tcBorders>
            <w:shd w:val="clear" w:color="auto" w:fill="auto"/>
            <w:noWrap/>
            <w:vAlign w:val="center"/>
            <w:hideMark/>
          </w:tcPr>
          <w:p w14:paraId="6009E561" w14:textId="77777777" w:rsidR="001B34C7" w:rsidRPr="009973EE" w:rsidRDefault="001B34C7" w:rsidP="002E33D9">
            <w:pPr>
              <w:spacing w:after="0" w:line="240" w:lineRule="auto"/>
              <w:jc w:val="right"/>
              <w:rPr>
                <w:rFonts w:eastAsia="Times New Roman" w:cs="Times New Roman"/>
                <w:b/>
                <w:bCs/>
                <w:color w:val="000000"/>
                <w:sz w:val="20"/>
                <w:lang w:eastAsia="sk-SK"/>
              </w:rPr>
            </w:pPr>
            <w:r w:rsidRPr="009973EE">
              <w:rPr>
                <w:rFonts w:eastAsia="Times New Roman" w:cs="Times New Roman"/>
                <w:b/>
                <w:bCs/>
                <w:color w:val="000000"/>
                <w:sz w:val="20"/>
                <w:lang w:eastAsia="sk-SK"/>
              </w:rPr>
              <w:t>59 576 248</w:t>
            </w:r>
          </w:p>
        </w:tc>
        <w:tc>
          <w:tcPr>
            <w:tcW w:w="2015" w:type="dxa"/>
            <w:tcBorders>
              <w:top w:val="single" w:sz="4" w:space="0" w:color="auto"/>
              <w:bottom w:val="single" w:sz="4" w:space="0" w:color="auto"/>
            </w:tcBorders>
            <w:shd w:val="clear" w:color="auto" w:fill="auto"/>
            <w:vAlign w:val="center"/>
          </w:tcPr>
          <w:p w14:paraId="76B19773" w14:textId="77777777" w:rsidR="001B34C7" w:rsidRPr="009973EE" w:rsidRDefault="001B34C7" w:rsidP="002E33D9">
            <w:pPr>
              <w:spacing w:after="0" w:line="240" w:lineRule="auto"/>
              <w:jc w:val="right"/>
              <w:rPr>
                <w:rFonts w:eastAsia="Times New Roman" w:cs="Times New Roman"/>
                <w:b/>
                <w:bCs/>
                <w:color w:val="000000"/>
                <w:sz w:val="20"/>
                <w:lang w:eastAsia="sk-SK"/>
              </w:rPr>
            </w:pPr>
            <w:r w:rsidRPr="009973EE">
              <w:rPr>
                <w:rFonts w:cs="Calibri"/>
                <w:b/>
                <w:bCs/>
                <w:color w:val="000000"/>
                <w:sz w:val="20"/>
              </w:rPr>
              <w:t>1 736</w:t>
            </w:r>
          </w:p>
        </w:tc>
        <w:tc>
          <w:tcPr>
            <w:tcW w:w="2015" w:type="dxa"/>
            <w:tcBorders>
              <w:top w:val="single" w:sz="4" w:space="0" w:color="auto"/>
              <w:bottom w:val="single" w:sz="4" w:space="0" w:color="auto"/>
            </w:tcBorders>
            <w:shd w:val="clear" w:color="auto" w:fill="auto"/>
            <w:noWrap/>
            <w:vAlign w:val="center"/>
            <w:hideMark/>
          </w:tcPr>
          <w:p w14:paraId="160C0620" w14:textId="77777777" w:rsidR="001B34C7" w:rsidRPr="009973EE" w:rsidRDefault="001B34C7" w:rsidP="002E33D9">
            <w:pPr>
              <w:spacing w:after="0" w:line="240" w:lineRule="auto"/>
              <w:jc w:val="right"/>
              <w:rPr>
                <w:rFonts w:eastAsia="Times New Roman" w:cs="Times New Roman"/>
                <w:b/>
                <w:bCs/>
                <w:color w:val="000000"/>
                <w:sz w:val="20"/>
                <w:lang w:eastAsia="sk-SK"/>
              </w:rPr>
            </w:pPr>
            <w:r w:rsidRPr="009973EE">
              <w:rPr>
                <w:rFonts w:eastAsia="Times New Roman" w:cs="Times New Roman"/>
                <w:b/>
                <w:bCs/>
                <w:color w:val="000000"/>
                <w:sz w:val="20"/>
                <w:lang w:eastAsia="sk-SK"/>
              </w:rPr>
              <w:t>16 161</w:t>
            </w:r>
          </w:p>
        </w:tc>
        <w:tc>
          <w:tcPr>
            <w:tcW w:w="2015" w:type="dxa"/>
            <w:tcBorders>
              <w:top w:val="single" w:sz="4" w:space="0" w:color="auto"/>
              <w:bottom w:val="single" w:sz="4" w:space="0" w:color="auto"/>
            </w:tcBorders>
            <w:shd w:val="clear" w:color="auto" w:fill="auto"/>
            <w:noWrap/>
            <w:vAlign w:val="center"/>
            <w:hideMark/>
          </w:tcPr>
          <w:p w14:paraId="6653AA1A" w14:textId="77777777" w:rsidR="001B34C7" w:rsidRPr="009973EE" w:rsidRDefault="001B34C7" w:rsidP="002E33D9">
            <w:pPr>
              <w:spacing w:after="0" w:line="240" w:lineRule="auto"/>
              <w:jc w:val="right"/>
              <w:rPr>
                <w:rFonts w:eastAsia="Times New Roman" w:cs="Times New Roman"/>
                <w:b/>
                <w:bCs/>
                <w:color w:val="000000"/>
                <w:sz w:val="20"/>
                <w:lang w:eastAsia="sk-SK"/>
              </w:rPr>
            </w:pPr>
            <w:r w:rsidRPr="009973EE">
              <w:rPr>
                <w:rFonts w:eastAsia="Times New Roman" w:cs="Times New Roman"/>
                <w:b/>
                <w:bCs/>
                <w:color w:val="000000"/>
                <w:sz w:val="20"/>
                <w:lang w:eastAsia="sk-SK"/>
              </w:rPr>
              <w:t>56 193 572</w:t>
            </w:r>
          </w:p>
        </w:tc>
        <w:tc>
          <w:tcPr>
            <w:tcW w:w="2015" w:type="dxa"/>
            <w:tcBorders>
              <w:top w:val="single" w:sz="4" w:space="0" w:color="auto"/>
              <w:bottom w:val="single" w:sz="4" w:space="0" w:color="auto"/>
            </w:tcBorders>
            <w:shd w:val="clear" w:color="auto" w:fill="auto"/>
            <w:vAlign w:val="center"/>
          </w:tcPr>
          <w:p w14:paraId="32B1954B" w14:textId="77777777" w:rsidR="001B34C7" w:rsidRPr="009973EE" w:rsidRDefault="001B34C7" w:rsidP="002E33D9">
            <w:pPr>
              <w:spacing w:after="0" w:line="240" w:lineRule="auto"/>
              <w:jc w:val="right"/>
              <w:rPr>
                <w:rFonts w:eastAsia="Times New Roman" w:cs="Times New Roman"/>
                <w:b/>
                <w:bCs/>
                <w:color w:val="000000"/>
                <w:sz w:val="20"/>
                <w:lang w:eastAsia="sk-SK"/>
              </w:rPr>
            </w:pPr>
            <w:r w:rsidRPr="009973EE">
              <w:rPr>
                <w:rFonts w:cs="Calibri"/>
                <w:b/>
                <w:bCs/>
                <w:color w:val="000000"/>
                <w:sz w:val="20"/>
              </w:rPr>
              <w:t>3 477</w:t>
            </w:r>
          </w:p>
        </w:tc>
      </w:tr>
      <w:tr w:rsidR="001B34C7" w:rsidRPr="009973EE" w14:paraId="6C68702A" w14:textId="77777777" w:rsidTr="002E33D9">
        <w:trPr>
          <w:trHeight w:val="284"/>
        </w:trPr>
        <w:tc>
          <w:tcPr>
            <w:tcW w:w="13603" w:type="dxa"/>
            <w:gridSpan w:val="7"/>
            <w:tcBorders>
              <w:top w:val="single" w:sz="4" w:space="0" w:color="auto"/>
            </w:tcBorders>
            <w:shd w:val="clear" w:color="auto" w:fill="auto"/>
            <w:noWrap/>
            <w:vAlign w:val="bottom"/>
          </w:tcPr>
          <w:p w14:paraId="158D6500" w14:textId="77777777" w:rsidR="001B34C7" w:rsidRPr="009973EE" w:rsidRDefault="001B34C7" w:rsidP="002E33D9">
            <w:pPr>
              <w:spacing w:after="0"/>
              <w:jc w:val="right"/>
              <w:rPr>
                <w:rFonts w:cs="Calibri"/>
                <w:b/>
                <w:bCs/>
                <w:color w:val="000000"/>
                <w:sz w:val="20"/>
              </w:rPr>
            </w:pPr>
            <w:r w:rsidRPr="009973EE">
              <w:rPr>
                <w:i/>
                <w:sz w:val="18"/>
                <w:szCs w:val="18"/>
              </w:rPr>
              <w:t xml:space="preserve">Zdroj: Vlastné </w:t>
            </w:r>
            <w:r w:rsidRPr="00EC0974">
              <w:rPr>
                <w:bCs/>
                <w:i/>
                <w:sz w:val="18"/>
                <w:szCs w:val="18"/>
              </w:rPr>
              <w:t>prepočty</w:t>
            </w:r>
            <w:r w:rsidRPr="009973EE">
              <w:rPr>
                <w:i/>
                <w:sz w:val="18"/>
                <w:szCs w:val="18"/>
              </w:rPr>
              <w:t xml:space="preserve"> IVP na základe dát Eduzberu (2017, 2018</w:t>
            </w:r>
            <w:r>
              <w:rPr>
                <w:i/>
                <w:sz w:val="18"/>
                <w:szCs w:val="18"/>
              </w:rPr>
              <w:t>)</w:t>
            </w:r>
          </w:p>
        </w:tc>
      </w:tr>
    </w:tbl>
    <w:p w14:paraId="7DA3D9D0" w14:textId="77777777" w:rsidR="001B34C7" w:rsidRPr="001B4874" w:rsidRDefault="001B34C7" w:rsidP="001B34C7">
      <w:pPr>
        <w:rPr>
          <w:sz w:val="18"/>
          <w:szCs w:val="18"/>
        </w:rPr>
        <w:sectPr w:rsidR="001B34C7" w:rsidRPr="001B4874" w:rsidSect="006932E7">
          <w:footerReference w:type="default" r:id="rId262"/>
          <w:pgSz w:w="16838" w:h="11906" w:orient="landscape" w:code="9"/>
          <w:pgMar w:top="1440" w:right="1440" w:bottom="1378" w:left="1440" w:header="709" w:footer="709" w:gutter="0"/>
          <w:cols w:space="708"/>
          <w:docGrid w:linePitch="360"/>
        </w:sectPr>
      </w:pPr>
    </w:p>
    <w:p w14:paraId="11E809C2" w14:textId="77777777" w:rsidR="001B34C7" w:rsidRDefault="001B34C7" w:rsidP="001B34C7">
      <w:pPr>
        <w:pStyle w:val="Popis"/>
        <w:rPr>
          <w:b/>
          <w:i w:val="0"/>
          <w:color w:val="2E74B5" w:themeColor="accent1" w:themeShade="BF"/>
          <w:sz w:val="22"/>
        </w:rPr>
      </w:pPr>
      <w:bookmarkStart w:id="1926" w:name="_Ref25838458"/>
      <w:r w:rsidRPr="000C6214">
        <w:rPr>
          <w:b/>
          <w:i w:val="0"/>
          <w:color w:val="2E74B5" w:themeColor="accent1" w:themeShade="BF"/>
          <w:sz w:val="22"/>
        </w:rPr>
        <w:t xml:space="preserve">Príloha </w:t>
      </w:r>
      <w:r w:rsidRPr="00AD2F2A">
        <w:rPr>
          <w:b/>
          <w:i w:val="0"/>
          <w:color w:val="2E74B5" w:themeColor="accent1" w:themeShade="BF"/>
          <w:sz w:val="22"/>
        </w:rPr>
        <w:fldChar w:fldCharType="begin"/>
      </w:r>
      <w:r w:rsidRPr="00AD2F2A">
        <w:rPr>
          <w:b/>
          <w:i w:val="0"/>
          <w:color w:val="2E74B5" w:themeColor="accent1" w:themeShade="BF"/>
          <w:sz w:val="22"/>
        </w:rPr>
        <w:instrText xml:space="preserve"> SEQ Príloha \* ARABIC </w:instrText>
      </w:r>
      <w:r w:rsidRPr="00AD2F2A">
        <w:rPr>
          <w:b/>
          <w:i w:val="0"/>
          <w:color w:val="2E74B5" w:themeColor="accent1" w:themeShade="BF"/>
          <w:sz w:val="22"/>
        </w:rPr>
        <w:fldChar w:fldCharType="separate"/>
      </w:r>
      <w:r w:rsidR="00FA29AF">
        <w:rPr>
          <w:b/>
          <w:i w:val="0"/>
          <w:noProof/>
          <w:color w:val="2E74B5" w:themeColor="accent1" w:themeShade="BF"/>
          <w:sz w:val="22"/>
        </w:rPr>
        <w:t>21</w:t>
      </w:r>
      <w:r w:rsidRPr="00AD2F2A">
        <w:rPr>
          <w:b/>
          <w:i w:val="0"/>
          <w:color w:val="2E74B5" w:themeColor="accent1" w:themeShade="BF"/>
          <w:sz w:val="22"/>
        </w:rPr>
        <w:fldChar w:fldCharType="end"/>
      </w:r>
      <w:bookmarkEnd w:id="1926"/>
      <w:r w:rsidRPr="000C6214">
        <w:rPr>
          <w:b/>
          <w:i w:val="0"/>
          <w:color w:val="2E74B5" w:themeColor="accent1" w:themeShade="BF"/>
          <w:sz w:val="22"/>
        </w:rPr>
        <w:t xml:space="preserve">: </w:t>
      </w:r>
      <w:r>
        <w:rPr>
          <w:b/>
          <w:i w:val="0"/>
          <w:color w:val="2E74B5" w:themeColor="accent1" w:themeShade="BF"/>
          <w:sz w:val="22"/>
        </w:rPr>
        <w:t>Navýšené normatívy</w:t>
      </w:r>
      <w:r w:rsidRPr="000C6214">
        <w:rPr>
          <w:b/>
          <w:i w:val="0"/>
          <w:color w:val="2E74B5" w:themeColor="accent1" w:themeShade="BF"/>
          <w:sz w:val="22"/>
        </w:rPr>
        <w:t xml:space="preserve"> na žiaka so zdravotným znevýhodnením v základnej a špeciálnej základnej škole</w:t>
      </w:r>
    </w:p>
    <w:p w14:paraId="0DCB216F" w14:textId="77777777" w:rsidR="001B34C7" w:rsidRPr="00E37DA3" w:rsidRDefault="001B34C7" w:rsidP="001B34C7">
      <w:pPr>
        <w:spacing w:after="0"/>
        <w:rPr>
          <w:b/>
          <w:sz w:val="20"/>
        </w:rPr>
      </w:pPr>
      <w:r w:rsidRPr="00AF6AB3">
        <w:rPr>
          <w:b/>
          <w:sz w:val="20"/>
        </w:rPr>
        <w:t xml:space="preserve">Tabuľka P </w:t>
      </w:r>
      <w:r w:rsidRPr="00AF6AB3">
        <w:rPr>
          <w:b/>
          <w:sz w:val="20"/>
        </w:rPr>
        <w:fldChar w:fldCharType="begin"/>
      </w:r>
      <w:r w:rsidRPr="00AF6AB3">
        <w:rPr>
          <w:b/>
          <w:sz w:val="20"/>
        </w:rPr>
        <w:instrText xml:space="preserve"> SEQ Tabuľka_P \* ARABIC </w:instrText>
      </w:r>
      <w:r w:rsidRPr="00AF6AB3">
        <w:rPr>
          <w:b/>
          <w:sz w:val="20"/>
        </w:rPr>
        <w:fldChar w:fldCharType="separate"/>
      </w:r>
      <w:r w:rsidR="00FA29AF">
        <w:rPr>
          <w:b/>
          <w:noProof/>
          <w:sz w:val="20"/>
        </w:rPr>
        <w:t>17</w:t>
      </w:r>
      <w:r w:rsidRPr="00AF6AB3">
        <w:rPr>
          <w:b/>
          <w:sz w:val="20"/>
        </w:rPr>
        <w:fldChar w:fldCharType="end"/>
      </w:r>
      <w:r w:rsidRPr="00AF6AB3">
        <w:rPr>
          <w:b/>
          <w:sz w:val="20"/>
        </w:rPr>
        <w:t>:</w:t>
      </w:r>
      <w:r w:rsidRPr="00E37DA3">
        <w:rPr>
          <w:b/>
          <w:sz w:val="20"/>
        </w:rPr>
        <w:t xml:space="preserve"> Priemerné dodatočné zdroje z navýšených normatívov na žiaka so </w:t>
      </w:r>
      <w:r>
        <w:rPr>
          <w:b/>
          <w:sz w:val="20"/>
        </w:rPr>
        <w:t xml:space="preserve">ZZ </w:t>
      </w:r>
      <w:r w:rsidRPr="00E37DA3">
        <w:rPr>
          <w:b/>
          <w:sz w:val="20"/>
        </w:rPr>
        <w:t>v základnej a špeciálnej základnej škole, 2018</w:t>
      </w:r>
    </w:p>
    <w:tbl>
      <w:tblPr>
        <w:tblW w:w="9072" w:type="dxa"/>
        <w:tblLook w:val="04A0" w:firstRow="1" w:lastRow="0" w:firstColumn="1" w:lastColumn="0" w:noHBand="0" w:noVBand="1"/>
      </w:tblPr>
      <w:tblGrid>
        <w:gridCol w:w="1134"/>
        <w:gridCol w:w="728"/>
        <w:gridCol w:w="1064"/>
        <w:gridCol w:w="1051"/>
        <w:gridCol w:w="870"/>
        <w:gridCol w:w="1064"/>
        <w:gridCol w:w="1177"/>
        <w:gridCol w:w="1984"/>
      </w:tblGrid>
      <w:tr w:rsidR="001B34C7" w:rsidRPr="0083412A" w14:paraId="7C0EB0D3" w14:textId="77777777" w:rsidTr="002E33D9">
        <w:trPr>
          <w:trHeight w:val="284"/>
        </w:trPr>
        <w:tc>
          <w:tcPr>
            <w:tcW w:w="1134" w:type="dxa"/>
            <w:vMerge w:val="restart"/>
            <w:tcBorders>
              <w:top w:val="single" w:sz="4" w:space="0" w:color="auto"/>
              <w:bottom w:val="single" w:sz="4" w:space="0" w:color="auto"/>
            </w:tcBorders>
            <w:noWrap/>
            <w:vAlign w:val="center"/>
            <w:hideMark/>
          </w:tcPr>
          <w:p w14:paraId="44CE5D84" w14:textId="77777777" w:rsidR="001B34C7" w:rsidRPr="0083412A" w:rsidRDefault="001B34C7" w:rsidP="002E33D9">
            <w:pPr>
              <w:pStyle w:val="Bezriadkovania"/>
              <w:spacing w:after="240" w:line="259" w:lineRule="auto"/>
              <w:rPr>
                <w:rFonts w:ascii="Arial Narrow" w:hAnsi="Arial Narrow"/>
                <w:b/>
                <w:bCs/>
                <w:sz w:val="20"/>
                <w:szCs w:val="20"/>
              </w:rPr>
            </w:pPr>
          </w:p>
        </w:tc>
        <w:tc>
          <w:tcPr>
            <w:tcW w:w="2843" w:type="dxa"/>
            <w:gridSpan w:val="3"/>
            <w:tcBorders>
              <w:top w:val="single" w:sz="4" w:space="0" w:color="auto"/>
            </w:tcBorders>
            <w:noWrap/>
            <w:vAlign w:val="center"/>
            <w:hideMark/>
          </w:tcPr>
          <w:p w14:paraId="3BE661A7" w14:textId="77777777" w:rsidR="001B34C7" w:rsidRPr="0083412A" w:rsidRDefault="001B34C7" w:rsidP="002E33D9">
            <w:pPr>
              <w:pStyle w:val="Bezriadkovania"/>
              <w:spacing w:line="259" w:lineRule="auto"/>
              <w:jc w:val="center"/>
              <w:rPr>
                <w:rFonts w:ascii="Arial Narrow" w:hAnsi="Arial Narrow"/>
                <w:b/>
                <w:bCs/>
                <w:sz w:val="20"/>
                <w:szCs w:val="20"/>
              </w:rPr>
            </w:pPr>
            <w:r w:rsidRPr="0083412A">
              <w:rPr>
                <w:rFonts w:ascii="Arial Narrow" w:hAnsi="Arial Narrow"/>
                <w:b/>
                <w:bCs/>
                <w:sz w:val="20"/>
                <w:szCs w:val="20"/>
              </w:rPr>
              <w:t>Základné školy - integrácia a špeciálne triedy</w:t>
            </w:r>
          </w:p>
        </w:tc>
        <w:tc>
          <w:tcPr>
            <w:tcW w:w="3111" w:type="dxa"/>
            <w:gridSpan w:val="3"/>
            <w:tcBorders>
              <w:top w:val="single" w:sz="4" w:space="0" w:color="auto"/>
            </w:tcBorders>
            <w:noWrap/>
            <w:vAlign w:val="center"/>
            <w:hideMark/>
          </w:tcPr>
          <w:p w14:paraId="103D0F33" w14:textId="77777777" w:rsidR="001B34C7" w:rsidRPr="0083412A" w:rsidRDefault="001B34C7" w:rsidP="002E33D9">
            <w:pPr>
              <w:pStyle w:val="Bezriadkovania"/>
              <w:spacing w:line="259" w:lineRule="auto"/>
              <w:jc w:val="center"/>
              <w:rPr>
                <w:rFonts w:ascii="Arial Narrow" w:hAnsi="Arial Narrow"/>
                <w:b/>
                <w:bCs/>
                <w:sz w:val="20"/>
                <w:szCs w:val="20"/>
              </w:rPr>
            </w:pPr>
            <w:r w:rsidRPr="0083412A">
              <w:rPr>
                <w:rFonts w:ascii="Arial Narrow" w:hAnsi="Arial Narrow"/>
                <w:b/>
                <w:bCs/>
                <w:sz w:val="20"/>
                <w:szCs w:val="20"/>
              </w:rPr>
              <w:t>Špeciálne základné školy</w:t>
            </w:r>
          </w:p>
        </w:tc>
        <w:tc>
          <w:tcPr>
            <w:tcW w:w="1984" w:type="dxa"/>
            <w:vMerge w:val="restart"/>
            <w:tcBorders>
              <w:top w:val="single" w:sz="4" w:space="0" w:color="auto"/>
            </w:tcBorders>
            <w:noWrap/>
            <w:vAlign w:val="center"/>
            <w:hideMark/>
          </w:tcPr>
          <w:p w14:paraId="117CCE9A" w14:textId="77777777" w:rsidR="001B34C7" w:rsidRPr="0083412A" w:rsidRDefault="001B34C7" w:rsidP="002E33D9">
            <w:pPr>
              <w:pStyle w:val="Bezriadkovania"/>
              <w:spacing w:line="259" w:lineRule="auto"/>
              <w:jc w:val="center"/>
              <w:rPr>
                <w:rFonts w:ascii="Arial Narrow" w:hAnsi="Arial Narrow"/>
                <w:b/>
                <w:bCs/>
                <w:sz w:val="20"/>
                <w:szCs w:val="20"/>
              </w:rPr>
            </w:pPr>
            <w:r w:rsidRPr="0083412A">
              <w:rPr>
                <w:rFonts w:ascii="Arial Narrow" w:hAnsi="Arial Narrow"/>
                <w:b/>
                <w:bCs/>
                <w:sz w:val="20"/>
                <w:szCs w:val="20"/>
              </w:rPr>
              <w:t>Rozdiel medzi dodatočnými zdrojmi ŠZŠ a ZŠ na žiaka</w:t>
            </w:r>
          </w:p>
        </w:tc>
      </w:tr>
      <w:tr w:rsidR="001B34C7" w:rsidRPr="0083412A" w14:paraId="68657EDE" w14:textId="77777777" w:rsidTr="002E33D9">
        <w:trPr>
          <w:trHeight w:val="284"/>
        </w:trPr>
        <w:tc>
          <w:tcPr>
            <w:tcW w:w="1134" w:type="dxa"/>
            <w:vMerge/>
            <w:tcBorders>
              <w:bottom w:val="single" w:sz="4" w:space="0" w:color="auto"/>
            </w:tcBorders>
            <w:noWrap/>
            <w:vAlign w:val="center"/>
            <w:hideMark/>
          </w:tcPr>
          <w:p w14:paraId="5AA28869" w14:textId="77777777" w:rsidR="001B34C7" w:rsidRPr="0083412A" w:rsidRDefault="001B34C7" w:rsidP="002E33D9">
            <w:pPr>
              <w:pStyle w:val="Bezriadkovania"/>
              <w:spacing w:line="259" w:lineRule="auto"/>
              <w:rPr>
                <w:rFonts w:ascii="Arial Narrow" w:hAnsi="Arial Narrow"/>
                <w:b/>
                <w:bCs/>
                <w:sz w:val="20"/>
                <w:szCs w:val="20"/>
              </w:rPr>
            </w:pPr>
          </w:p>
        </w:tc>
        <w:tc>
          <w:tcPr>
            <w:tcW w:w="728" w:type="dxa"/>
            <w:tcBorders>
              <w:bottom w:val="single" w:sz="4" w:space="0" w:color="auto"/>
            </w:tcBorders>
            <w:vAlign w:val="center"/>
            <w:hideMark/>
          </w:tcPr>
          <w:p w14:paraId="2858046E" w14:textId="77777777" w:rsidR="001B34C7" w:rsidRPr="0083412A" w:rsidRDefault="001B34C7" w:rsidP="002E33D9">
            <w:pPr>
              <w:pStyle w:val="Bezriadkovania"/>
              <w:spacing w:line="259" w:lineRule="auto"/>
              <w:jc w:val="center"/>
              <w:rPr>
                <w:rFonts w:ascii="Arial Narrow" w:hAnsi="Arial Narrow"/>
                <w:b/>
                <w:bCs/>
                <w:sz w:val="20"/>
                <w:szCs w:val="20"/>
              </w:rPr>
            </w:pPr>
            <w:r w:rsidRPr="0083412A">
              <w:rPr>
                <w:rFonts w:ascii="Arial Narrow" w:hAnsi="Arial Narrow"/>
                <w:b/>
                <w:bCs/>
                <w:sz w:val="20"/>
                <w:szCs w:val="20"/>
              </w:rPr>
              <w:t>Počet žiakov</w:t>
            </w:r>
          </w:p>
        </w:tc>
        <w:tc>
          <w:tcPr>
            <w:tcW w:w="1064" w:type="dxa"/>
            <w:tcBorders>
              <w:bottom w:val="single" w:sz="4" w:space="0" w:color="auto"/>
            </w:tcBorders>
            <w:vAlign w:val="center"/>
            <w:hideMark/>
          </w:tcPr>
          <w:p w14:paraId="53AEB319" w14:textId="77777777" w:rsidR="001B34C7" w:rsidRPr="0083412A" w:rsidRDefault="001B34C7" w:rsidP="002E33D9">
            <w:pPr>
              <w:pStyle w:val="Bezriadkovania"/>
              <w:spacing w:line="259" w:lineRule="auto"/>
              <w:jc w:val="center"/>
              <w:rPr>
                <w:rFonts w:ascii="Arial Narrow" w:hAnsi="Arial Narrow"/>
                <w:b/>
                <w:bCs/>
                <w:sz w:val="20"/>
                <w:szCs w:val="20"/>
              </w:rPr>
            </w:pPr>
            <w:r w:rsidRPr="0083412A">
              <w:rPr>
                <w:rFonts w:ascii="Arial Narrow" w:hAnsi="Arial Narrow"/>
                <w:b/>
                <w:bCs/>
                <w:sz w:val="20"/>
                <w:szCs w:val="20"/>
              </w:rPr>
              <w:t>Dodatočné zdroje na žiaka*</w:t>
            </w:r>
          </w:p>
        </w:tc>
        <w:tc>
          <w:tcPr>
            <w:tcW w:w="1051" w:type="dxa"/>
            <w:tcBorders>
              <w:bottom w:val="single" w:sz="4" w:space="0" w:color="auto"/>
            </w:tcBorders>
            <w:vAlign w:val="center"/>
            <w:hideMark/>
          </w:tcPr>
          <w:p w14:paraId="70199654" w14:textId="77777777" w:rsidR="001B34C7" w:rsidRPr="0083412A" w:rsidRDefault="001B34C7" w:rsidP="002E33D9">
            <w:pPr>
              <w:pStyle w:val="Bezriadkovania"/>
              <w:spacing w:line="259" w:lineRule="auto"/>
              <w:jc w:val="center"/>
              <w:rPr>
                <w:rFonts w:ascii="Arial Narrow" w:hAnsi="Arial Narrow"/>
                <w:b/>
                <w:bCs/>
                <w:sz w:val="20"/>
                <w:szCs w:val="20"/>
              </w:rPr>
            </w:pPr>
            <w:r w:rsidRPr="0083412A">
              <w:rPr>
                <w:rFonts w:ascii="Arial Narrow" w:hAnsi="Arial Narrow"/>
                <w:b/>
                <w:bCs/>
                <w:sz w:val="20"/>
                <w:szCs w:val="20"/>
              </w:rPr>
              <w:t>Celkové dodatočné zdroje</w:t>
            </w:r>
          </w:p>
        </w:tc>
        <w:tc>
          <w:tcPr>
            <w:tcW w:w="870" w:type="dxa"/>
            <w:tcBorders>
              <w:bottom w:val="single" w:sz="4" w:space="0" w:color="auto"/>
            </w:tcBorders>
            <w:vAlign w:val="center"/>
            <w:hideMark/>
          </w:tcPr>
          <w:p w14:paraId="20A902F6" w14:textId="77777777" w:rsidR="001B34C7" w:rsidRPr="0083412A" w:rsidRDefault="001B34C7" w:rsidP="002E33D9">
            <w:pPr>
              <w:pStyle w:val="Bezriadkovania"/>
              <w:spacing w:line="259" w:lineRule="auto"/>
              <w:jc w:val="center"/>
              <w:rPr>
                <w:rFonts w:ascii="Arial Narrow" w:hAnsi="Arial Narrow"/>
                <w:b/>
                <w:bCs/>
                <w:sz w:val="20"/>
                <w:szCs w:val="20"/>
              </w:rPr>
            </w:pPr>
            <w:r w:rsidRPr="0083412A">
              <w:rPr>
                <w:rFonts w:ascii="Arial Narrow" w:hAnsi="Arial Narrow"/>
                <w:b/>
                <w:bCs/>
                <w:sz w:val="20"/>
                <w:szCs w:val="20"/>
              </w:rPr>
              <w:t>Počet žiakov</w:t>
            </w:r>
          </w:p>
        </w:tc>
        <w:tc>
          <w:tcPr>
            <w:tcW w:w="1064" w:type="dxa"/>
            <w:tcBorders>
              <w:bottom w:val="single" w:sz="4" w:space="0" w:color="auto"/>
            </w:tcBorders>
            <w:vAlign w:val="center"/>
            <w:hideMark/>
          </w:tcPr>
          <w:p w14:paraId="0EE36752" w14:textId="77777777" w:rsidR="001B34C7" w:rsidRPr="0083412A" w:rsidRDefault="001B34C7" w:rsidP="002E33D9">
            <w:pPr>
              <w:pStyle w:val="Bezriadkovania"/>
              <w:spacing w:line="259" w:lineRule="auto"/>
              <w:jc w:val="center"/>
              <w:rPr>
                <w:rFonts w:ascii="Arial Narrow" w:hAnsi="Arial Narrow"/>
                <w:b/>
                <w:bCs/>
                <w:sz w:val="20"/>
                <w:szCs w:val="20"/>
              </w:rPr>
            </w:pPr>
            <w:r w:rsidRPr="0083412A">
              <w:rPr>
                <w:rFonts w:ascii="Arial Narrow" w:hAnsi="Arial Narrow"/>
                <w:b/>
                <w:bCs/>
                <w:sz w:val="20"/>
                <w:szCs w:val="20"/>
              </w:rPr>
              <w:t>Dodatočné zdroje na žiaka</w:t>
            </w:r>
          </w:p>
        </w:tc>
        <w:tc>
          <w:tcPr>
            <w:tcW w:w="1177" w:type="dxa"/>
            <w:tcBorders>
              <w:bottom w:val="single" w:sz="4" w:space="0" w:color="auto"/>
            </w:tcBorders>
            <w:vAlign w:val="center"/>
            <w:hideMark/>
          </w:tcPr>
          <w:p w14:paraId="44FF60FF" w14:textId="77777777" w:rsidR="001B34C7" w:rsidRPr="0083412A" w:rsidRDefault="001B34C7" w:rsidP="002E33D9">
            <w:pPr>
              <w:pStyle w:val="Bezriadkovania"/>
              <w:spacing w:line="259" w:lineRule="auto"/>
              <w:jc w:val="center"/>
              <w:rPr>
                <w:rFonts w:ascii="Arial Narrow" w:hAnsi="Arial Narrow"/>
                <w:b/>
                <w:bCs/>
                <w:sz w:val="20"/>
                <w:szCs w:val="20"/>
              </w:rPr>
            </w:pPr>
            <w:r w:rsidRPr="0083412A">
              <w:rPr>
                <w:rFonts w:ascii="Arial Narrow" w:hAnsi="Arial Narrow"/>
                <w:b/>
                <w:bCs/>
                <w:sz w:val="20"/>
                <w:szCs w:val="20"/>
              </w:rPr>
              <w:t>Celkové dodatočné zdroje</w:t>
            </w:r>
          </w:p>
        </w:tc>
        <w:tc>
          <w:tcPr>
            <w:tcW w:w="1984" w:type="dxa"/>
            <w:vMerge/>
            <w:tcBorders>
              <w:bottom w:val="single" w:sz="4" w:space="0" w:color="auto"/>
            </w:tcBorders>
            <w:vAlign w:val="center"/>
            <w:hideMark/>
          </w:tcPr>
          <w:p w14:paraId="1438F6EC" w14:textId="77777777" w:rsidR="001B34C7" w:rsidRPr="0083412A" w:rsidRDefault="001B34C7" w:rsidP="002E33D9">
            <w:pPr>
              <w:pStyle w:val="Bezriadkovania"/>
              <w:spacing w:line="259" w:lineRule="auto"/>
              <w:jc w:val="center"/>
              <w:rPr>
                <w:rFonts w:ascii="Arial Narrow" w:hAnsi="Arial Narrow"/>
                <w:b/>
                <w:bCs/>
                <w:sz w:val="20"/>
                <w:szCs w:val="20"/>
              </w:rPr>
            </w:pPr>
          </w:p>
        </w:tc>
      </w:tr>
      <w:tr w:rsidR="001B34C7" w:rsidRPr="0083412A" w14:paraId="5275CFA7" w14:textId="77777777" w:rsidTr="002E33D9">
        <w:trPr>
          <w:trHeight w:val="284"/>
        </w:trPr>
        <w:tc>
          <w:tcPr>
            <w:tcW w:w="1134" w:type="dxa"/>
            <w:tcBorders>
              <w:top w:val="single" w:sz="4" w:space="0" w:color="auto"/>
            </w:tcBorders>
            <w:noWrap/>
            <w:vAlign w:val="center"/>
            <w:hideMark/>
          </w:tcPr>
          <w:p w14:paraId="18C10143" w14:textId="77777777" w:rsidR="001B34C7" w:rsidRPr="0083412A" w:rsidRDefault="001B34C7" w:rsidP="002E33D9">
            <w:pPr>
              <w:rPr>
                <w:rFonts w:eastAsia="Times New Roman" w:cs="Times New Roman"/>
                <w:bCs/>
                <w:color w:val="000000"/>
                <w:sz w:val="20"/>
                <w:lang w:eastAsia="sk-SK"/>
              </w:rPr>
            </w:pPr>
            <w:r w:rsidRPr="0083412A">
              <w:rPr>
                <w:rFonts w:eastAsia="Times New Roman" w:cs="Times New Roman"/>
                <w:bCs/>
                <w:color w:val="000000"/>
                <w:sz w:val="20"/>
                <w:lang w:eastAsia="sk-SK"/>
              </w:rPr>
              <w:t>Kategória 2</w:t>
            </w:r>
          </w:p>
        </w:tc>
        <w:tc>
          <w:tcPr>
            <w:tcW w:w="728" w:type="dxa"/>
            <w:tcBorders>
              <w:top w:val="single" w:sz="4" w:space="0" w:color="auto"/>
            </w:tcBorders>
            <w:noWrap/>
            <w:vAlign w:val="center"/>
            <w:hideMark/>
          </w:tcPr>
          <w:p w14:paraId="3F5A2F6C" w14:textId="77777777" w:rsidR="001B34C7" w:rsidRPr="0083412A" w:rsidRDefault="001B34C7" w:rsidP="002E33D9">
            <w:pPr>
              <w:pStyle w:val="Bezriadkovania"/>
              <w:spacing w:line="259" w:lineRule="auto"/>
              <w:jc w:val="right"/>
              <w:rPr>
                <w:rFonts w:ascii="Arial Narrow" w:hAnsi="Arial Narrow"/>
                <w:bCs/>
                <w:sz w:val="20"/>
                <w:szCs w:val="20"/>
              </w:rPr>
            </w:pPr>
            <w:r w:rsidRPr="0083412A">
              <w:rPr>
                <w:rFonts w:ascii="Arial Narrow" w:hAnsi="Arial Narrow"/>
                <w:bCs/>
                <w:sz w:val="20"/>
                <w:szCs w:val="20"/>
              </w:rPr>
              <w:t>28 356</w:t>
            </w:r>
          </w:p>
        </w:tc>
        <w:tc>
          <w:tcPr>
            <w:tcW w:w="1064" w:type="dxa"/>
            <w:tcBorders>
              <w:top w:val="single" w:sz="4" w:space="0" w:color="auto"/>
            </w:tcBorders>
            <w:noWrap/>
            <w:vAlign w:val="center"/>
            <w:hideMark/>
          </w:tcPr>
          <w:p w14:paraId="01DA120A" w14:textId="77777777" w:rsidR="001B34C7" w:rsidRPr="0083412A" w:rsidRDefault="001B34C7" w:rsidP="002E33D9">
            <w:pPr>
              <w:pStyle w:val="Bezriadkovania"/>
              <w:spacing w:line="259" w:lineRule="auto"/>
              <w:jc w:val="right"/>
              <w:rPr>
                <w:rFonts w:ascii="Arial Narrow" w:hAnsi="Arial Narrow"/>
                <w:bCs/>
                <w:sz w:val="20"/>
                <w:szCs w:val="20"/>
              </w:rPr>
            </w:pPr>
            <w:r w:rsidRPr="0083412A">
              <w:rPr>
                <w:rFonts w:ascii="Arial Narrow" w:hAnsi="Arial Narrow"/>
                <w:bCs/>
                <w:sz w:val="20"/>
                <w:szCs w:val="20"/>
              </w:rPr>
              <w:t>1 534</w:t>
            </w:r>
          </w:p>
        </w:tc>
        <w:tc>
          <w:tcPr>
            <w:tcW w:w="1051" w:type="dxa"/>
            <w:tcBorders>
              <w:top w:val="single" w:sz="4" w:space="0" w:color="auto"/>
            </w:tcBorders>
            <w:noWrap/>
            <w:vAlign w:val="center"/>
            <w:hideMark/>
          </w:tcPr>
          <w:p w14:paraId="25F2A7E8" w14:textId="77777777" w:rsidR="001B34C7" w:rsidRPr="0083412A" w:rsidRDefault="001B34C7" w:rsidP="002E33D9">
            <w:pPr>
              <w:pStyle w:val="Bezriadkovania"/>
              <w:spacing w:line="259" w:lineRule="auto"/>
              <w:jc w:val="right"/>
              <w:rPr>
                <w:rFonts w:ascii="Arial Narrow" w:hAnsi="Arial Narrow"/>
                <w:bCs/>
                <w:sz w:val="20"/>
                <w:szCs w:val="20"/>
              </w:rPr>
            </w:pPr>
            <w:r w:rsidRPr="0083412A">
              <w:rPr>
                <w:rFonts w:ascii="Arial Narrow" w:hAnsi="Arial Narrow"/>
                <w:bCs/>
                <w:sz w:val="20"/>
                <w:szCs w:val="20"/>
              </w:rPr>
              <w:t>43 484 886</w:t>
            </w:r>
          </w:p>
        </w:tc>
        <w:tc>
          <w:tcPr>
            <w:tcW w:w="870" w:type="dxa"/>
            <w:tcBorders>
              <w:top w:val="single" w:sz="4" w:space="0" w:color="auto"/>
            </w:tcBorders>
            <w:noWrap/>
            <w:vAlign w:val="center"/>
            <w:hideMark/>
          </w:tcPr>
          <w:p w14:paraId="69203171" w14:textId="77777777" w:rsidR="001B34C7" w:rsidRPr="0083412A" w:rsidRDefault="001B34C7" w:rsidP="002E33D9">
            <w:pPr>
              <w:pStyle w:val="Bezriadkovania"/>
              <w:spacing w:line="259" w:lineRule="auto"/>
              <w:jc w:val="right"/>
              <w:rPr>
                <w:rFonts w:ascii="Arial Narrow" w:hAnsi="Arial Narrow"/>
                <w:bCs/>
                <w:sz w:val="20"/>
                <w:szCs w:val="20"/>
              </w:rPr>
            </w:pPr>
            <w:r w:rsidRPr="0083412A">
              <w:rPr>
                <w:rFonts w:ascii="Arial Narrow" w:hAnsi="Arial Narrow"/>
                <w:bCs/>
                <w:sz w:val="20"/>
                <w:szCs w:val="20"/>
              </w:rPr>
              <w:t>8 688</w:t>
            </w:r>
          </w:p>
        </w:tc>
        <w:tc>
          <w:tcPr>
            <w:tcW w:w="1064" w:type="dxa"/>
            <w:tcBorders>
              <w:top w:val="single" w:sz="4" w:space="0" w:color="auto"/>
            </w:tcBorders>
            <w:noWrap/>
            <w:vAlign w:val="center"/>
            <w:hideMark/>
          </w:tcPr>
          <w:p w14:paraId="1315BBCE" w14:textId="77777777" w:rsidR="001B34C7" w:rsidRPr="0083412A" w:rsidRDefault="001B34C7" w:rsidP="002E33D9">
            <w:pPr>
              <w:pStyle w:val="Bezriadkovania"/>
              <w:spacing w:line="259" w:lineRule="auto"/>
              <w:jc w:val="right"/>
              <w:rPr>
                <w:rFonts w:ascii="Arial Narrow" w:hAnsi="Arial Narrow"/>
                <w:bCs/>
                <w:sz w:val="20"/>
                <w:szCs w:val="20"/>
              </w:rPr>
            </w:pPr>
            <w:r w:rsidRPr="0083412A">
              <w:rPr>
                <w:rFonts w:ascii="Arial Narrow" w:hAnsi="Arial Narrow"/>
                <w:sz w:val="20"/>
                <w:szCs w:val="20"/>
              </w:rPr>
              <w:t>1615</w:t>
            </w:r>
          </w:p>
        </w:tc>
        <w:tc>
          <w:tcPr>
            <w:tcW w:w="1177" w:type="dxa"/>
            <w:tcBorders>
              <w:top w:val="single" w:sz="4" w:space="0" w:color="auto"/>
            </w:tcBorders>
            <w:noWrap/>
            <w:vAlign w:val="center"/>
            <w:hideMark/>
          </w:tcPr>
          <w:p w14:paraId="43D29C10" w14:textId="77777777" w:rsidR="001B34C7" w:rsidRPr="0083412A" w:rsidRDefault="001B34C7" w:rsidP="002E33D9">
            <w:pPr>
              <w:pStyle w:val="Bezriadkovania"/>
              <w:spacing w:line="259" w:lineRule="auto"/>
              <w:jc w:val="right"/>
              <w:rPr>
                <w:rFonts w:ascii="Arial Narrow" w:hAnsi="Arial Narrow"/>
                <w:bCs/>
                <w:sz w:val="20"/>
                <w:szCs w:val="20"/>
              </w:rPr>
            </w:pPr>
            <w:r w:rsidRPr="0083412A">
              <w:rPr>
                <w:rFonts w:ascii="Arial Narrow" w:hAnsi="Arial Narrow"/>
                <w:bCs/>
                <w:sz w:val="20"/>
                <w:szCs w:val="20"/>
              </w:rPr>
              <w:t>6 543 071</w:t>
            </w:r>
          </w:p>
        </w:tc>
        <w:tc>
          <w:tcPr>
            <w:tcW w:w="1984" w:type="dxa"/>
            <w:tcBorders>
              <w:top w:val="single" w:sz="4" w:space="0" w:color="auto"/>
            </w:tcBorders>
            <w:noWrap/>
            <w:vAlign w:val="center"/>
            <w:hideMark/>
          </w:tcPr>
          <w:p w14:paraId="01B9DD92" w14:textId="77777777" w:rsidR="001B34C7" w:rsidRPr="0083412A" w:rsidRDefault="001B34C7" w:rsidP="002E33D9">
            <w:pPr>
              <w:pStyle w:val="Bezriadkovania"/>
              <w:spacing w:line="259" w:lineRule="auto"/>
              <w:jc w:val="right"/>
              <w:rPr>
                <w:rFonts w:ascii="Arial Narrow" w:hAnsi="Arial Narrow"/>
                <w:bCs/>
                <w:sz w:val="20"/>
                <w:szCs w:val="20"/>
              </w:rPr>
            </w:pPr>
            <w:r w:rsidRPr="0083412A">
              <w:rPr>
                <w:rFonts w:ascii="Arial Narrow" w:hAnsi="Arial Narrow"/>
                <w:sz w:val="20"/>
                <w:szCs w:val="20"/>
              </w:rPr>
              <w:t>81</w:t>
            </w:r>
          </w:p>
        </w:tc>
      </w:tr>
      <w:tr w:rsidR="001B34C7" w:rsidRPr="0083412A" w14:paraId="197450F1" w14:textId="77777777" w:rsidTr="002E33D9">
        <w:trPr>
          <w:trHeight w:val="284"/>
        </w:trPr>
        <w:tc>
          <w:tcPr>
            <w:tcW w:w="1134" w:type="dxa"/>
            <w:noWrap/>
            <w:vAlign w:val="center"/>
            <w:hideMark/>
          </w:tcPr>
          <w:p w14:paraId="0CAC1A8E" w14:textId="77777777" w:rsidR="001B34C7" w:rsidRPr="0083412A" w:rsidRDefault="001B34C7" w:rsidP="002E33D9">
            <w:pPr>
              <w:rPr>
                <w:rFonts w:eastAsia="Times New Roman" w:cs="Times New Roman"/>
                <w:bCs/>
                <w:color w:val="000000"/>
                <w:sz w:val="20"/>
                <w:lang w:eastAsia="sk-SK"/>
              </w:rPr>
            </w:pPr>
            <w:r w:rsidRPr="0083412A">
              <w:rPr>
                <w:rFonts w:eastAsia="Times New Roman" w:cs="Times New Roman"/>
                <w:bCs/>
                <w:color w:val="000000"/>
                <w:sz w:val="20"/>
                <w:lang w:eastAsia="sk-SK"/>
              </w:rPr>
              <w:t>Kategória 3</w:t>
            </w:r>
          </w:p>
        </w:tc>
        <w:tc>
          <w:tcPr>
            <w:tcW w:w="728" w:type="dxa"/>
            <w:noWrap/>
            <w:vAlign w:val="center"/>
            <w:hideMark/>
          </w:tcPr>
          <w:p w14:paraId="41837EBF" w14:textId="77777777" w:rsidR="001B34C7" w:rsidRPr="0083412A" w:rsidRDefault="001B34C7" w:rsidP="002E33D9">
            <w:pPr>
              <w:pStyle w:val="Bezriadkovania"/>
              <w:spacing w:line="259" w:lineRule="auto"/>
              <w:jc w:val="right"/>
              <w:rPr>
                <w:rFonts w:ascii="Arial Narrow" w:hAnsi="Arial Narrow"/>
                <w:bCs/>
                <w:sz w:val="20"/>
                <w:szCs w:val="20"/>
              </w:rPr>
            </w:pPr>
            <w:r w:rsidRPr="0083412A">
              <w:rPr>
                <w:rFonts w:ascii="Arial Narrow" w:hAnsi="Arial Narrow"/>
                <w:bCs/>
                <w:sz w:val="20"/>
                <w:szCs w:val="20"/>
              </w:rPr>
              <w:t>4 430</w:t>
            </w:r>
          </w:p>
        </w:tc>
        <w:tc>
          <w:tcPr>
            <w:tcW w:w="1064" w:type="dxa"/>
            <w:noWrap/>
            <w:vAlign w:val="center"/>
            <w:hideMark/>
          </w:tcPr>
          <w:p w14:paraId="6CA231F6" w14:textId="77777777" w:rsidR="001B34C7" w:rsidRPr="0083412A" w:rsidRDefault="001B34C7" w:rsidP="002E33D9">
            <w:pPr>
              <w:pStyle w:val="Bezriadkovania"/>
              <w:spacing w:line="259" w:lineRule="auto"/>
              <w:jc w:val="right"/>
              <w:rPr>
                <w:rFonts w:ascii="Arial Narrow" w:hAnsi="Arial Narrow"/>
                <w:bCs/>
                <w:sz w:val="20"/>
                <w:szCs w:val="20"/>
              </w:rPr>
            </w:pPr>
            <w:r w:rsidRPr="0083412A">
              <w:rPr>
                <w:rFonts w:ascii="Arial Narrow" w:hAnsi="Arial Narrow"/>
                <w:bCs/>
                <w:sz w:val="20"/>
                <w:szCs w:val="20"/>
              </w:rPr>
              <w:t>2 074</w:t>
            </w:r>
          </w:p>
        </w:tc>
        <w:tc>
          <w:tcPr>
            <w:tcW w:w="1051" w:type="dxa"/>
            <w:noWrap/>
            <w:vAlign w:val="center"/>
            <w:hideMark/>
          </w:tcPr>
          <w:p w14:paraId="25639CA3" w14:textId="77777777" w:rsidR="001B34C7" w:rsidRPr="0083412A" w:rsidRDefault="001B34C7" w:rsidP="002E33D9">
            <w:pPr>
              <w:pStyle w:val="Bezriadkovania"/>
              <w:spacing w:line="259" w:lineRule="auto"/>
              <w:jc w:val="right"/>
              <w:rPr>
                <w:rFonts w:ascii="Arial Narrow" w:hAnsi="Arial Narrow"/>
                <w:bCs/>
                <w:sz w:val="20"/>
                <w:szCs w:val="20"/>
              </w:rPr>
            </w:pPr>
            <w:r w:rsidRPr="0083412A">
              <w:rPr>
                <w:rFonts w:ascii="Arial Narrow" w:hAnsi="Arial Narrow"/>
                <w:bCs/>
                <w:sz w:val="20"/>
                <w:szCs w:val="20"/>
              </w:rPr>
              <w:t>9 187 740</w:t>
            </w:r>
          </w:p>
        </w:tc>
        <w:tc>
          <w:tcPr>
            <w:tcW w:w="870" w:type="dxa"/>
            <w:noWrap/>
            <w:vAlign w:val="center"/>
            <w:hideMark/>
          </w:tcPr>
          <w:p w14:paraId="797CCCD6" w14:textId="77777777" w:rsidR="001B34C7" w:rsidRPr="0083412A" w:rsidRDefault="001B34C7" w:rsidP="002E33D9">
            <w:pPr>
              <w:pStyle w:val="Bezriadkovania"/>
              <w:spacing w:line="259" w:lineRule="auto"/>
              <w:jc w:val="right"/>
              <w:rPr>
                <w:rFonts w:ascii="Arial Narrow" w:hAnsi="Arial Narrow"/>
                <w:bCs/>
                <w:sz w:val="20"/>
                <w:szCs w:val="20"/>
              </w:rPr>
            </w:pPr>
            <w:r w:rsidRPr="0083412A">
              <w:rPr>
                <w:rFonts w:ascii="Arial Narrow" w:hAnsi="Arial Narrow"/>
                <w:bCs/>
                <w:sz w:val="20"/>
                <w:szCs w:val="20"/>
              </w:rPr>
              <w:t>2 817</w:t>
            </w:r>
          </w:p>
        </w:tc>
        <w:tc>
          <w:tcPr>
            <w:tcW w:w="1064" w:type="dxa"/>
            <w:noWrap/>
            <w:vAlign w:val="center"/>
            <w:hideMark/>
          </w:tcPr>
          <w:p w14:paraId="43CB33B7" w14:textId="77777777" w:rsidR="001B34C7" w:rsidRPr="0083412A" w:rsidRDefault="001B34C7" w:rsidP="002E33D9">
            <w:pPr>
              <w:pStyle w:val="Bezriadkovania"/>
              <w:spacing w:line="259" w:lineRule="auto"/>
              <w:jc w:val="right"/>
              <w:rPr>
                <w:rFonts w:ascii="Arial Narrow" w:hAnsi="Arial Narrow"/>
                <w:bCs/>
                <w:sz w:val="20"/>
                <w:szCs w:val="20"/>
              </w:rPr>
            </w:pPr>
            <w:r w:rsidRPr="0083412A">
              <w:rPr>
                <w:rFonts w:ascii="Arial Narrow" w:hAnsi="Arial Narrow"/>
                <w:sz w:val="20"/>
                <w:szCs w:val="20"/>
              </w:rPr>
              <w:t>2168</w:t>
            </w:r>
          </w:p>
        </w:tc>
        <w:tc>
          <w:tcPr>
            <w:tcW w:w="1177" w:type="dxa"/>
            <w:noWrap/>
            <w:vAlign w:val="center"/>
            <w:hideMark/>
          </w:tcPr>
          <w:p w14:paraId="658BC4A0" w14:textId="77777777" w:rsidR="001B34C7" w:rsidRPr="0083412A" w:rsidRDefault="001B34C7" w:rsidP="002E33D9">
            <w:pPr>
              <w:pStyle w:val="Bezriadkovania"/>
              <w:spacing w:line="259" w:lineRule="auto"/>
              <w:jc w:val="right"/>
              <w:rPr>
                <w:rFonts w:ascii="Arial Narrow" w:hAnsi="Arial Narrow"/>
                <w:bCs/>
                <w:sz w:val="20"/>
                <w:szCs w:val="20"/>
              </w:rPr>
            </w:pPr>
            <w:r w:rsidRPr="0083412A">
              <w:rPr>
                <w:rFonts w:ascii="Arial Narrow" w:hAnsi="Arial Narrow"/>
                <w:bCs/>
                <w:sz w:val="20"/>
                <w:szCs w:val="20"/>
              </w:rPr>
              <w:t>3 681 139</w:t>
            </w:r>
          </w:p>
        </w:tc>
        <w:tc>
          <w:tcPr>
            <w:tcW w:w="1984" w:type="dxa"/>
            <w:noWrap/>
            <w:vAlign w:val="center"/>
            <w:hideMark/>
          </w:tcPr>
          <w:p w14:paraId="3E032377" w14:textId="77777777" w:rsidR="001B34C7" w:rsidRPr="0083412A" w:rsidRDefault="001B34C7" w:rsidP="002E33D9">
            <w:pPr>
              <w:pStyle w:val="Bezriadkovania"/>
              <w:spacing w:line="259" w:lineRule="auto"/>
              <w:jc w:val="right"/>
              <w:rPr>
                <w:rFonts w:ascii="Arial Narrow" w:hAnsi="Arial Narrow"/>
                <w:bCs/>
                <w:sz w:val="20"/>
                <w:szCs w:val="20"/>
              </w:rPr>
            </w:pPr>
            <w:r w:rsidRPr="0083412A">
              <w:rPr>
                <w:rFonts w:ascii="Arial Narrow" w:hAnsi="Arial Narrow"/>
                <w:sz w:val="20"/>
                <w:szCs w:val="20"/>
              </w:rPr>
              <w:t>94</w:t>
            </w:r>
          </w:p>
        </w:tc>
      </w:tr>
      <w:tr w:rsidR="001B34C7" w:rsidRPr="0083412A" w14:paraId="2AB59D67" w14:textId="77777777" w:rsidTr="002E33D9">
        <w:trPr>
          <w:trHeight w:val="284"/>
        </w:trPr>
        <w:tc>
          <w:tcPr>
            <w:tcW w:w="1134" w:type="dxa"/>
            <w:noWrap/>
            <w:vAlign w:val="center"/>
            <w:hideMark/>
          </w:tcPr>
          <w:p w14:paraId="1E51F6AF" w14:textId="77777777" w:rsidR="001B34C7" w:rsidRPr="0083412A" w:rsidRDefault="001B34C7" w:rsidP="002E33D9">
            <w:pPr>
              <w:rPr>
                <w:rFonts w:eastAsia="Times New Roman" w:cs="Times New Roman"/>
                <w:bCs/>
                <w:color w:val="000000"/>
                <w:sz w:val="20"/>
                <w:lang w:eastAsia="sk-SK"/>
              </w:rPr>
            </w:pPr>
            <w:r w:rsidRPr="0083412A">
              <w:rPr>
                <w:rFonts w:eastAsia="Times New Roman" w:cs="Times New Roman"/>
                <w:bCs/>
                <w:color w:val="000000"/>
                <w:sz w:val="20"/>
                <w:lang w:eastAsia="sk-SK"/>
              </w:rPr>
              <w:t>Kategória 4</w:t>
            </w:r>
          </w:p>
        </w:tc>
        <w:tc>
          <w:tcPr>
            <w:tcW w:w="728" w:type="dxa"/>
            <w:noWrap/>
            <w:vAlign w:val="center"/>
            <w:hideMark/>
          </w:tcPr>
          <w:p w14:paraId="497155D7" w14:textId="77777777" w:rsidR="001B34C7" w:rsidRPr="0083412A" w:rsidRDefault="001B34C7" w:rsidP="002E33D9">
            <w:pPr>
              <w:pStyle w:val="Bezriadkovania"/>
              <w:spacing w:line="259" w:lineRule="auto"/>
              <w:jc w:val="right"/>
              <w:rPr>
                <w:rFonts w:ascii="Arial Narrow" w:hAnsi="Arial Narrow"/>
                <w:bCs/>
                <w:sz w:val="20"/>
                <w:szCs w:val="20"/>
              </w:rPr>
            </w:pPr>
            <w:r w:rsidRPr="0083412A">
              <w:rPr>
                <w:rFonts w:ascii="Arial Narrow" w:hAnsi="Arial Narrow"/>
                <w:bCs/>
                <w:sz w:val="20"/>
                <w:szCs w:val="20"/>
              </w:rPr>
              <w:t>201</w:t>
            </w:r>
          </w:p>
        </w:tc>
        <w:tc>
          <w:tcPr>
            <w:tcW w:w="1064" w:type="dxa"/>
            <w:noWrap/>
            <w:vAlign w:val="center"/>
            <w:hideMark/>
          </w:tcPr>
          <w:p w14:paraId="1BF6F0C6" w14:textId="77777777" w:rsidR="001B34C7" w:rsidRPr="0083412A" w:rsidRDefault="001B34C7" w:rsidP="002E33D9">
            <w:pPr>
              <w:pStyle w:val="Bezriadkovania"/>
              <w:spacing w:line="259" w:lineRule="auto"/>
              <w:jc w:val="right"/>
              <w:rPr>
                <w:rFonts w:ascii="Arial Narrow" w:hAnsi="Arial Narrow"/>
                <w:bCs/>
                <w:sz w:val="20"/>
                <w:szCs w:val="20"/>
              </w:rPr>
            </w:pPr>
            <w:r w:rsidRPr="0083412A">
              <w:rPr>
                <w:rFonts w:ascii="Arial Narrow" w:hAnsi="Arial Narrow"/>
                <w:bCs/>
                <w:sz w:val="20"/>
                <w:szCs w:val="20"/>
              </w:rPr>
              <w:t>2 806</w:t>
            </w:r>
          </w:p>
        </w:tc>
        <w:tc>
          <w:tcPr>
            <w:tcW w:w="1051" w:type="dxa"/>
            <w:noWrap/>
            <w:vAlign w:val="center"/>
            <w:hideMark/>
          </w:tcPr>
          <w:p w14:paraId="6B7FA356" w14:textId="77777777" w:rsidR="001B34C7" w:rsidRPr="0083412A" w:rsidRDefault="001B34C7" w:rsidP="002E33D9">
            <w:pPr>
              <w:pStyle w:val="Bezriadkovania"/>
              <w:spacing w:line="259" w:lineRule="auto"/>
              <w:jc w:val="right"/>
              <w:rPr>
                <w:rFonts w:ascii="Arial Narrow" w:hAnsi="Arial Narrow"/>
                <w:bCs/>
                <w:sz w:val="20"/>
                <w:szCs w:val="20"/>
              </w:rPr>
            </w:pPr>
            <w:r w:rsidRPr="0083412A">
              <w:rPr>
                <w:rFonts w:ascii="Arial Narrow" w:hAnsi="Arial Narrow"/>
                <w:bCs/>
                <w:sz w:val="20"/>
                <w:szCs w:val="20"/>
              </w:rPr>
              <w:t>563 953</w:t>
            </w:r>
          </w:p>
        </w:tc>
        <w:tc>
          <w:tcPr>
            <w:tcW w:w="870" w:type="dxa"/>
            <w:noWrap/>
            <w:vAlign w:val="center"/>
            <w:hideMark/>
          </w:tcPr>
          <w:p w14:paraId="1AA9F80E" w14:textId="77777777" w:rsidR="001B34C7" w:rsidRPr="0083412A" w:rsidRDefault="001B34C7" w:rsidP="002E33D9">
            <w:pPr>
              <w:pStyle w:val="Bezriadkovania"/>
              <w:spacing w:line="259" w:lineRule="auto"/>
              <w:jc w:val="right"/>
              <w:rPr>
                <w:rFonts w:ascii="Arial Narrow" w:hAnsi="Arial Narrow"/>
                <w:bCs/>
                <w:sz w:val="20"/>
                <w:szCs w:val="20"/>
              </w:rPr>
            </w:pPr>
            <w:r w:rsidRPr="0083412A">
              <w:rPr>
                <w:rFonts w:ascii="Arial Narrow" w:hAnsi="Arial Narrow"/>
                <w:bCs/>
                <w:sz w:val="20"/>
                <w:szCs w:val="20"/>
              </w:rPr>
              <w:t>195</w:t>
            </w:r>
          </w:p>
        </w:tc>
        <w:tc>
          <w:tcPr>
            <w:tcW w:w="1064" w:type="dxa"/>
            <w:noWrap/>
            <w:vAlign w:val="center"/>
            <w:hideMark/>
          </w:tcPr>
          <w:p w14:paraId="059DF473" w14:textId="77777777" w:rsidR="001B34C7" w:rsidRPr="0083412A" w:rsidRDefault="001B34C7" w:rsidP="002E33D9">
            <w:pPr>
              <w:pStyle w:val="Bezriadkovania"/>
              <w:spacing w:line="259" w:lineRule="auto"/>
              <w:jc w:val="right"/>
              <w:rPr>
                <w:rFonts w:ascii="Arial Narrow" w:hAnsi="Arial Narrow"/>
                <w:bCs/>
                <w:sz w:val="20"/>
                <w:szCs w:val="20"/>
              </w:rPr>
            </w:pPr>
            <w:r w:rsidRPr="0083412A">
              <w:rPr>
                <w:rFonts w:ascii="Arial Narrow" w:hAnsi="Arial Narrow"/>
                <w:sz w:val="20"/>
                <w:szCs w:val="20"/>
              </w:rPr>
              <w:t>2970</w:t>
            </w:r>
          </w:p>
        </w:tc>
        <w:tc>
          <w:tcPr>
            <w:tcW w:w="1177" w:type="dxa"/>
            <w:noWrap/>
            <w:vAlign w:val="center"/>
            <w:hideMark/>
          </w:tcPr>
          <w:p w14:paraId="17B79E92" w14:textId="77777777" w:rsidR="001B34C7" w:rsidRPr="0083412A" w:rsidRDefault="001B34C7" w:rsidP="002E33D9">
            <w:pPr>
              <w:pStyle w:val="Bezriadkovania"/>
              <w:spacing w:line="259" w:lineRule="auto"/>
              <w:jc w:val="right"/>
              <w:rPr>
                <w:rFonts w:ascii="Arial Narrow" w:hAnsi="Arial Narrow"/>
                <w:bCs/>
                <w:sz w:val="20"/>
                <w:szCs w:val="20"/>
              </w:rPr>
            </w:pPr>
            <w:r w:rsidRPr="0083412A">
              <w:rPr>
                <w:rFonts w:ascii="Arial Narrow" w:hAnsi="Arial Narrow"/>
                <w:bCs/>
                <w:sz w:val="20"/>
                <w:szCs w:val="20"/>
              </w:rPr>
              <w:t>410 450</w:t>
            </w:r>
          </w:p>
        </w:tc>
        <w:tc>
          <w:tcPr>
            <w:tcW w:w="1984" w:type="dxa"/>
            <w:noWrap/>
            <w:vAlign w:val="center"/>
            <w:hideMark/>
          </w:tcPr>
          <w:p w14:paraId="7A4B02C1" w14:textId="77777777" w:rsidR="001B34C7" w:rsidRPr="0083412A" w:rsidRDefault="001B34C7" w:rsidP="002E33D9">
            <w:pPr>
              <w:pStyle w:val="Bezriadkovania"/>
              <w:spacing w:line="259" w:lineRule="auto"/>
              <w:jc w:val="right"/>
              <w:rPr>
                <w:rFonts w:ascii="Arial Narrow" w:hAnsi="Arial Narrow"/>
                <w:bCs/>
                <w:sz w:val="20"/>
                <w:szCs w:val="20"/>
              </w:rPr>
            </w:pPr>
            <w:r w:rsidRPr="0083412A">
              <w:rPr>
                <w:rFonts w:ascii="Arial Narrow" w:hAnsi="Arial Narrow"/>
                <w:sz w:val="20"/>
                <w:szCs w:val="20"/>
              </w:rPr>
              <w:t>165</w:t>
            </w:r>
          </w:p>
        </w:tc>
      </w:tr>
      <w:tr w:rsidR="001B34C7" w:rsidRPr="0083412A" w14:paraId="239F95A8" w14:textId="77777777" w:rsidTr="002E33D9">
        <w:trPr>
          <w:trHeight w:val="284"/>
        </w:trPr>
        <w:tc>
          <w:tcPr>
            <w:tcW w:w="1134" w:type="dxa"/>
            <w:noWrap/>
            <w:vAlign w:val="center"/>
            <w:hideMark/>
          </w:tcPr>
          <w:p w14:paraId="1464327E" w14:textId="77777777" w:rsidR="001B34C7" w:rsidRPr="0083412A" w:rsidRDefault="001B34C7" w:rsidP="002E33D9">
            <w:pPr>
              <w:rPr>
                <w:rFonts w:eastAsia="Times New Roman" w:cs="Times New Roman"/>
                <w:bCs/>
                <w:color w:val="000000"/>
                <w:sz w:val="20"/>
                <w:lang w:eastAsia="sk-SK"/>
              </w:rPr>
            </w:pPr>
            <w:r w:rsidRPr="0083412A">
              <w:rPr>
                <w:rFonts w:eastAsia="Times New Roman" w:cs="Times New Roman"/>
                <w:bCs/>
                <w:color w:val="000000"/>
                <w:sz w:val="20"/>
                <w:lang w:eastAsia="sk-SK"/>
              </w:rPr>
              <w:t>Kategória 5</w:t>
            </w:r>
          </w:p>
        </w:tc>
        <w:tc>
          <w:tcPr>
            <w:tcW w:w="728" w:type="dxa"/>
            <w:noWrap/>
            <w:vAlign w:val="center"/>
            <w:hideMark/>
          </w:tcPr>
          <w:p w14:paraId="62F1B67B" w14:textId="77777777" w:rsidR="001B34C7" w:rsidRPr="0083412A" w:rsidRDefault="001B34C7" w:rsidP="002E33D9">
            <w:pPr>
              <w:pStyle w:val="Bezriadkovania"/>
              <w:spacing w:line="259" w:lineRule="auto"/>
              <w:jc w:val="right"/>
              <w:rPr>
                <w:rFonts w:ascii="Arial Narrow" w:hAnsi="Arial Narrow"/>
                <w:bCs/>
                <w:sz w:val="20"/>
                <w:szCs w:val="20"/>
              </w:rPr>
            </w:pPr>
            <w:r w:rsidRPr="0083412A">
              <w:rPr>
                <w:rFonts w:ascii="Arial Narrow" w:hAnsi="Arial Narrow"/>
                <w:bCs/>
                <w:sz w:val="20"/>
                <w:szCs w:val="20"/>
              </w:rPr>
              <w:t>1 092</w:t>
            </w:r>
          </w:p>
        </w:tc>
        <w:tc>
          <w:tcPr>
            <w:tcW w:w="1064" w:type="dxa"/>
            <w:noWrap/>
            <w:vAlign w:val="center"/>
            <w:hideMark/>
          </w:tcPr>
          <w:p w14:paraId="6DF27B0D" w14:textId="77777777" w:rsidR="001B34C7" w:rsidRPr="0083412A" w:rsidRDefault="001B34C7" w:rsidP="002E33D9">
            <w:pPr>
              <w:pStyle w:val="Bezriadkovania"/>
              <w:spacing w:line="259" w:lineRule="auto"/>
              <w:jc w:val="right"/>
              <w:rPr>
                <w:rFonts w:ascii="Arial Narrow" w:hAnsi="Arial Narrow"/>
                <w:bCs/>
                <w:sz w:val="20"/>
                <w:szCs w:val="20"/>
              </w:rPr>
            </w:pPr>
            <w:r w:rsidRPr="0083412A">
              <w:rPr>
                <w:rFonts w:ascii="Arial Narrow" w:hAnsi="Arial Narrow"/>
                <w:bCs/>
                <w:sz w:val="20"/>
                <w:szCs w:val="20"/>
              </w:rPr>
              <w:t>3 881</w:t>
            </w:r>
          </w:p>
        </w:tc>
        <w:tc>
          <w:tcPr>
            <w:tcW w:w="1051" w:type="dxa"/>
            <w:noWrap/>
            <w:vAlign w:val="center"/>
            <w:hideMark/>
          </w:tcPr>
          <w:p w14:paraId="0A6790EB" w14:textId="77777777" w:rsidR="001B34C7" w:rsidRPr="0083412A" w:rsidRDefault="001B34C7" w:rsidP="002E33D9">
            <w:pPr>
              <w:pStyle w:val="Bezriadkovania"/>
              <w:spacing w:line="259" w:lineRule="auto"/>
              <w:jc w:val="right"/>
              <w:rPr>
                <w:rFonts w:ascii="Arial Narrow" w:hAnsi="Arial Narrow"/>
                <w:bCs/>
                <w:sz w:val="20"/>
                <w:szCs w:val="20"/>
              </w:rPr>
            </w:pPr>
            <w:r w:rsidRPr="0083412A">
              <w:rPr>
                <w:rFonts w:ascii="Arial Narrow" w:hAnsi="Arial Narrow"/>
                <w:bCs/>
                <w:sz w:val="20"/>
                <w:szCs w:val="20"/>
              </w:rPr>
              <w:t>4 236 296</w:t>
            </w:r>
          </w:p>
        </w:tc>
        <w:tc>
          <w:tcPr>
            <w:tcW w:w="870" w:type="dxa"/>
            <w:noWrap/>
            <w:vAlign w:val="center"/>
            <w:hideMark/>
          </w:tcPr>
          <w:p w14:paraId="422F5020" w14:textId="77777777" w:rsidR="001B34C7" w:rsidRPr="0083412A" w:rsidRDefault="001B34C7" w:rsidP="002E33D9">
            <w:pPr>
              <w:pStyle w:val="Bezriadkovania"/>
              <w:spacing w:line="259" w:lineRule="auto"/>
              <w:jc w:val="right"/>
              <w:rPr>
                <w:rFonts w:ascii="Arial Narrow" w:hAnsi="Arial Narrow"/>
                <w:bCs/>
                <w:sz w:val="20"/>
                <w:szCs w:val="20"/>
              </w:rPr>
            </w:pPr>
            <w:r w:rsidRPr="0083412A">
              <w:rPr>
                <w:rFonts w:ascii="Arial Narrow" w:hAnsi="Arial Narrow"/>
                <w:bCs/>
                <w:sz w:val="20"/>
                <w:szCs w:val="20"/>
              </w:rPr>
              <w:t>1 578</w:t>
            </w:r>
          </w:p>
        </w:tc>
        <w:tc>
          <w:tcPr>
            <w:tcW w:w="1064" w:type="dxa"/>
            <w:noWrap/>
            <w:vAlign w:val="center"/>
            <w:hideMark/>
          </w:tcPr>
          <w:p w14:paraId="2C21C3C7" w14:textId="77777777" w:rsidR="001B34C7" w:rsidRPr="0083412A" w:rsidRDefault="001B34C7" w:rsidP="002E33D9">
            <w:pPr>
              <w:pStyle w:val="Bezriadkovania"/>
              <w:spacing w:line="259" w:lineRule="auto"/>
              <w:jc w:val="right"/>
              <w:rPr>
                <w:rFonts w:ascii="Arial Narrow" w:hAnsi="Arial Narrow"/>
                <w:bCs/>
                <w:sz w:val="20"/>
                <w:szCs w:val="20"/>
              </w:rPr>
            </w:pPr>
            <w:r w:rsidRPr="0083412A">
              <w:rPr>
                <w:rFonts w:ascii="Arial Narrow" w:hAnsi="Arial Narrow"/>
                <w:sz w:val="20"/>
                <w:szCs w:val="20"/>
              </w:rPr>
              <w:t>4121</w:t>
            </w:r>
          </w:p>
        </w:tc>
        <w:tc>
          <w:tcPr>
            <w:tcW w:w="1177" w:type="dxa"/>
            <w:noWrap/>
            <w:vAlign w:val="center"/>
            <w:hideMark/>
          </w:tcPr>
          <w:p w14:paraId="26606F34" w14:textId="77777777" w:rsidR="001B34C7" w:rsidRPr="0083412A" w:rsidRDefault="001B34C7" w:rsidP="002E33D9">
            <w:pPr>
              <w:pStyle w:val="Bezriadkovania"/>
              <w:spacing w:line="259" w:lineRule="auto"/>
              <w:jc w:val="right"/>
              <w:rPr>
                <w:rFonts w:ascii="Arial Narrow" w:hAnsi="Arial Narrow"/>
                <w:bCs/>
                <w:sz w:val="20"/>
                <w:szCs w:val="20"/>
              </w:rPr>
            </w:pPr>
            <w:r w:rsidRPr="0083412A">
              <w:rPr>
                <w:rFonts w:ascii="Arial Narrow" w:hAnsi="Arial Narrow"/>
                <w:bCs/>
                <w:sz w:val="20"/>
                <w:szCs w:val="20"/>
              </w:rPr>
              <w:t>5 144 110</w:t>
            </w:r>
          </w:p>
        </w:tc>
        <w:tc>
          <w:tcPr>
            <w:tcW w:w="1984" w:type="dxa"/>
            <w:noWrap/>
            <w:vAlign w:val="center"/>
            <w:hideMark/>
          </w:tcPr>
          <w:p w14:paraId="5C96E36C" w14:textId="77777777" w:rsidR="001B34C7" w:rsidRPr="0083412A" w:rsidRDefault="001B34C7" w:rsidP="002E33D9">
            <w:pPr>
              <w:pStyle w:val="Bezriadkovania"/>
              <w:spacing w:line="259" w:lineRule="auto"/>
              <w:jc w:val="right"/>
              <w:rPr>
                <w:rFonts w:ascii="Arial Narrow" w:hAnsi="Arial Narrow"/>
                <w:bCs/>
                <w:sz w:val="20"/>
                <w:szCs w:val="20"/>
              </w:rPr>
            </w:pPr>
            <w:r w:rsidRPr="0083412A">
              <w:rPr>
                <w:rFonts w:ascii="Arial Narrow" w:hAnsi="Arial Narrow"/>
                <w:sz w:val="20"/>
                <w:szCs w:val="20"/>
              </w:rPr>
              <w:t>240</w:t>
            </w:r>
          </w:p>
        </w:tc>
      </w:tr>
      <w:tr w:rsidR="001B34C7" w:rsidRPr="0083412A" w14:paraId="68622EDF" w14:textId="77777777" w:rsidTr="002E33D9">
        <w:trPr>
          <w:trHeight w:val="284"/>
        </w:trPr>
        <w:tc>
          <w:tcPr>
            <w:tcW w:w="1134" w:type="dxa"/>
            <w:tcBorders>
              <w:bottom w:val="single" w:sz="4" w:space="0" w:color="auto"/>
            </w:tcBorders>
            <w:noWrap/>
            <w:vAlign w:val="center"/>
            <w:hideMark/>
          </w:tcPr>
          <w:p w14:paraId="3C3D0554" w14:textId="77777777" w:rsidR="001B34C7" w:rsidRPr="0083412A" w:rsidRDefault="001B34C7" w:rsidP="002E33D9">
            <w:pPr>
              <w:rPr>
                <w:rFonts w:eastAsia="Times New Roman" w:cs="Times New Roman"/>
                <w:bCs/>
                <w:color w:val="000000"/>
                <w:sz w:val="20"/>
                <w:lang w:eastAsia="sk-SK"/>
              </w:rPr>
            </w:pPr>
            <w:r w:rsidRPr="0083412A">
              <w:rPr>
                <w:rFonts w:eastAsia="Times New Roman" w:cs="Times New Roman"/>
                <w:bCs/>
                <w:color w:val="000000"/>
                <w:sz w:val="20"/>
                <w:lang w:eastAsia="sk-SK"/>
              </w:rPr>
              <w:t>Kategória 6</w:t>
            </w:r>
          </w:p>
        </w:tc>
        <w:tc>
          <w:tcPr>
            <w:tcW w:w="728" w:type="dxa"/>
            <w:tcBorders>
              <w:bottom w:val="single" w:sz="4" w:space="0" w:color="auto"/>
            </w:tcBorders>
            <w:noWrap/>
            <w:vAlign w:val="center"/>
            <w:hideMark/>
          </w:tcPr>
          <w:p w14:paraId="0C02434E" w14:textId="77777777" w:rsidR="001B34C7" w:rsidRPr="0083412A" w:rsidRDefault="001B34C7" w:rsidP="002E33D9">
            <w:pPr>
              <w:pStyle w:val="Bezriadkovania"/>
              <w:spacing w:line="259" w:lineRule="auto"/>
              <w:jc w:val="right"/>
              <w:rPr>
                <w:rFonts w:ascii="Arial Narrow" w:hAnsi="Arial Narrow"/>
                <w:bCs/>
                <w:sz w:val="20"/>
                <w:szCs w:val="20"/>
              </w:rPr>
            </w:pPr>
            <w:r w:rsidRPr="0083412A">
              <w:rPr>
                <w:rFonts w:ascii="Arial Narrow" w:hAnsi="Arial Narrow"/>
                <w:bCs/>
                <w:sz w:val="20"/>
                <w:szCs w:val="20"/>
              </w:rPr>
              <w:t>250</w:t>
            </w:r>
          </w:p>
        </w:tc>
        <w:tc>
          <w:tcPr>
            <w:tcW w:w="1064" w:type="dxa"/>
            <w:tcBorders>
              <w:bottom w:val="single" w:sz="4" w:space="0" w:color="auto"/>
            </w:tcBorders>
            <w:noWrap/>
            <w:vAlign w:val="center"/>
            <w:hideMark/>
          </w:tcPr>
          <w:p w14:paraId="4DDCCE5E" w14:textId="77777777" w:rsidR="001B34C7" w:rsidRPr="0083412A" w:rsidRDefault="001B34C7" w:rsidP="002E33D9">
            <w:pPr>
              <w:pStyle w:val="Bezriadkovania"/>
              <w:spacing w:line="259" w:lineRule="auto"/>
              <w:jc w:val="right"/>
              <w:rPr>
                <w:rFonts w:ascii="Arial Narrow" w:hAnsi="Arial Narrow"/>
                <w:bCs/>
                <w:sz w:val="20"/>
                <w:szCs w:val="20"/>
              </w:rPr>
            </w:pPr>
            <w:r w:rsidRPr="0083412A">
              <w:rPr>
                <w:rFonts w:ascii="Arial Narrow" w:hAnsi="Arial Narrow"/>
                <w:bCs/>
                <w:sz w:val="20"/>
                <w:szCs w:val="20"/>
              </w:rPr>
              <w:t>8 425</w:t>
            </w:r>
          </w:p>
        </w:tc>
        <w:tc>
          <w:tcPr>
            <w:tcW w:w="1051" w:type="dxa"/>
            <w:tcBorders>
              <w:bottom w:val="single" w:sz="4" w:space="0" w:color="auto"/>
            </w:tcBorders>
            <w:noWrap/>
            <w:vAlign w:val="center"/>
            <w:hideMark/>
          </w:tcPr>
          <w:p w14:paraId="2AE5CD7B" w14:textId="77777777" w:rsidR="001B34C7" w:rsidRPr="0083412A" w:rsidRDefault="001B34C7" w:rsidP="002E33D9">
            <w:pPr>
              <w:pStyle w:val="Bezriadkovania"/>
              <w:spacing w:line="259" w:lineRule="auto"/>
              <w:jc w:val="right"/>
              <w:rPr>
                <w:rFonts w:ascii="Arial Narrow" w:hAnsi="Arial Narrow"/>
                <w:bCs/>
                <w:sz w:val="20"/>
                <w:szCs w:val="20"/>
              </w:rPr>
            </w:pPr>
            <w:r w:rsidRPr="0083412A">
              <w:rPr>
                <w:rFonts w:ascii="Arial Narrow" w:hAnsi="Arial Narrow"/>
                <w:bCs/>
                <w:sz w:val="20"/>
                <w:szCs w:val="20"/>
              </w:rPr>
              <w:t>2 103 373</w:t>
            </w:r>
          </w:p>
        </w:tc>
        <w:tc>
          <w:tcPr>
            <w:tcW w:w="870" w:type="dxa"/>
            <w:tcBorders>
              <w:bottom w:val="single" w:sz="4" w:space="0" w:color="auto"/>
            </w:tcBorders>
            <w:noWrap/>
            <w:vAlign w:val="center"/>
            <w:hideMark/>
          </w:tcPr>
          <w:p w14:paraId="4D08BFA6" w14:textId="77777777" w:rsidR="001B34C7" w:rsidRPr="0083412A" w:rsidRDefault="001B34C7" w:rsidP="002E33D9">
            <w:pPr>
              <w:pStyle w:val="Bezriadkovania"/>
              <w:spacing w:line="259" w:lineRule="auto"/>
              <w:jc w:val="right"/>
              <w:rPr>
                <w:rFonts w:ascii="Arial Narrow" w:hAnsi="Arial Narrow"/>
                <w:bCs/>
                <w:sz w:val="20"/>
                <w:szCs w:val="20"/>
              </w:rPr>
            </w:pPr>
            <w:r w:rsidRPr="0083412A">
              <w:rPr>
                <w:rFonts w:ascii="Arial Narrow" w:hAnsi="Arial Narrow"/>
                <w:bCs/>
                <w:sz w:val="20"/>
                <w:szCs w:val="20"/>
              </w:rPr>
              <w:t>2 883</w:t>
            </w:r>
          </w:p>
        </w:tc>
        <w:tc>
          <w:tcPr>
            <w:tcW w:w="1064" w:type="dxa"/>
            <w:tcBorders>
              <w:bottom w:val="single" w:sz="4" w:space="0" w:color="auto"/>
            </w:tcBorders>
            <w:noWrap/>
            <w:vAlign w:val="center"/>
            <w:hideMark/>
          </w:tcPr>
          <w:p w14:paraId="63AD2695" w14:textId="77777777" w:rsidR="001B34C7" w:rsidRPr="0083412A" w:rsidRDefault="001B34C7" w:rsidP="002E33D9">
            <w:pPr>
              <w:pStyle w:val="Bezriadkovania"/>
              <w:spacing w:line="259" w:lineRule="auto"/>
              <w:jc w:val="right"/>
              <w:rPr>
                <w:rFonts w:ascii="Arial Narrow" w:hAnsi="Arial Narrow"/>
                <w:bCs/>
                <w:sz w:val="20"/>
                <w:szCs w:val="20"/>
              </w:rPr>
            </w:pPr>
            <w:r w:rsidRPr="0083412A">
              <w:rPr>
                <w:rFonts w:ascii="Arial Narrow" w:hAnsi="Arial Narrow"/>
                <w:sz w:val="20"/>
                <w:szCs w:val="20"/>
              </w:rPr>
              <w:t>10048</w:t>
            </w:r>
          </w:p>
        </w:tc>
        <w:tc>
          <w:tcPr>
            <w:tcW w:w="1177" w:type="dxa"/>
            <w:tcBorders>
              <w:bottom w:val="single" w:sz="4" w:space="0" w:color="auto"/>
            </w:tcBorders>
            <w:noWrap/>
            <w:vAlign w:val="center"/>
            <w:hideMark/>
          </w:tcPr>
          <w:p w14:paraId="04AE15D2" w14:textId="77777777" w:rsidR="001B34C7" w:rsidRPr="0083412A" w:rsidRDefault="001B34C7" w:rsidP="002E33D9">
            <w:pPr>
              <w:pStyle w:val="Bezriadkovania"/>
              <w:spacing w:line="259" w:lineRule="auto"/>
              <w:jc w:val="right"/>
              <w:rPr>
                <w:rFonts w:ascii="Arial Narrow" w:hAnsi="Arial Narrow"/>
                <w:bCs/>
                <w:sz w:val="20"/>
                <w:szCs w:val="20"/>
              </w:rPr>
            </w:pPr>
            <w:r w:rsidRPr="0083412A">
              <w:rPr>
                <w:rFonts w:ascii="Arial Narrow" w:hAnsi="Arial Narrow"/>
                <w:bCs/>
                <w:sz w:val="20"/>
                <w:szCs w:val="20"/>
              </w:rPr>
              <w:t>26 483 084</w:t>
            </w:r>
          </w:p>
        </w:tc>
        <w:tc>
          <w:tcPr>
            <w:tcW w:w="1984" w:type="dxa"/>
            <w:tcBorders>
              <w:bottom w:val="single" w:sz="4" w:space="0" w:color="auto"/>
            </w:tcBorders>
            <w:noWrap/>
            <w:vAlign w:val="center"/>
            <w:hideMark/>
          </w:tcPr>
          <w:p w14:paraId="2587DE26" w14:textId="77777777" w:rsidR="001B34C7" w:rsidRPr="0083412A" w:rsidRDefault="001B34C7" w:rsidP="002E33D9">
            <w:pPr>
              <w:pStyle w:val="Bezriadkovania"/>
              <w:spacing w:line="259" w:lineRule="auto"/>
              <w:jc w:val="right"/>
              <w:rPr>
                <w:rFonts w:ascii="Arial Narrow" w:hAnsi="Arial Narrow"/>
                <w:bCs/>
                <w:sz w:val="20"/>
                <w:szCs w:val="20"/>
              </w:rPr>
            </w:pPr>
            <w:r w:rsidRPr="0083412A">
              <w:rPr>
                <w:rFonts w:ascii="Arial Narrow" w:hAnsi="Arial Narrow"/>
                <w:sz w:val="20"/>
                <w:szCs w:val="20"/>
              </w:rPr>
              <w:t>1623</w:t>
            </w:r>
          </w:p>
        </w:tc>
      </w:tr>
      <w:tr w:rsidR="001B34C7" w:rsidRPr="0083412A" w14:paraId="5F9CFCA7" w14:textId="77777777" w:rsidTr="002E33D9">
        <w:trPr>
          <w:trHeight w:val="284"/>
        </w:trPr>
        <w:tc>
          <w:tcPr>
            <w:tcW w:w="1134" w:type="dxa"/>
            <w:tcBorders>
              <w:top w:val="single" w:sz="4" w:space="0" w:color="auto"/>
              <w:bottom w:val="single" w:sz="4" w:space="0" w:color="auto"/>
            </w:tcBorders>
            <w:noWrap/>
            <w:vAlign w:val="center"/>
            <w:hideMark/>
          </w:tcPr>
          <w:p w14:paraId="19ACFD67" w14:textId="77777777" w:rsidR="001B34C7" w:rsidRPr="0083412A" w:rsidRDefault="001B34C7" w:rsidP="002E33D9">
            <w:pPr>
              <w:pStyle w:val="Bezriadkovania"/>
              <w:spacing w:line="259" w:lineRule="auto"/>
              <w:rPr>
                <w:rFonts w:ascii="Arial Narrow" w:hAnsi="Arial Narrow"/>
                <w:b/>
                <w:bCs/>
                <w:sz w:val="20"/>
                <w:szCs w:val="20"/>
              </w:rPr>
            </w:pPr>
            <w:r w:rsidRPr="0083412A">
              <w:rPr>
                <w:rFonts w:ascii="Arial Narrow" w:hAnsi="Arial Narrow"/>
                <w:b/>
                <w:bCs/>
                <w:sz w:val="20"/>
                <w:szCs w:val="20"/>
              </w:rPr>
              <w:t>SPOLU</w:t>
            </w:r>
          </w:p>
        </w:tc>
        <w:tc>
          <w:tcPr>
            <w:tcW w:w="728" w:type="dxa"/>
            <w:tcBorders>
              <w:top w:val="single" w:sz="4" w:space="0" w:color="auto"/>
              <w:bottom w:val="single" w:sz="4" w:space="0" w:color="auto"/>
            </w:tcBorders>
            <w:noWrap/>
            <w:vAlign w:val="center"/>
            <w:hideMark/>
          </w:tcPr>
          <w:p w14:paraId="1C820A79" w14:textId="77777777" w:rsidR="001B34C7" w:rsidRPr="0083412A" w:rsidRDefault="001B34C7" w:rsidP="002E33D9">
            <w:pPr>
              <w:pStyle w:val="Bezriadkovania"/>
              <w:spacing w:line="259" w:lineRule="auto"/>
              <w:jc w:val="right"/>
              <w:rPr>
                <w:rFonts w:ascii="Arial Narrow" w:hAnsi="Arial Narrow"/>
                <w:b/>
                <w:bCs/>
                <w:sz w:val="20"/>
                <w:szCs w:val="20"/>
              </w:rPr>
            </w:pPr>
            <w:r w:rsidRPr="0083412A">
              <w:rPr>
                <w:rFonts w:ascii="Arial Narrow" w:hAnsi="Arial Narrow"/>
                <w:b/>
                <w:bCs/>
                <w:sz w:val="20"/>
                <w:szCs w:val="20"/>
              </w:rPr>
              <w:t>34 328</w:t>
            </w:r>
          </w:p>
        </w:tc>
        <w:tc>
          <w:tcPr>
            <w:tcW w:w="1064" w:type="dxa"/>
            <w:tcBorders>
              <w:top w:val="single" w:sz="4" w:space="0" w:color="auto"/>
              <w:bottom w:val="single" w:sz="4" w:space="0" w:color="auto"/>
            </w:tcBorders>
            <w:noWrap/>
            <w:vAlign w:val="center"/>
            <w:hideMark/>
          </w:tcPr>
          <w:p w14:paraId="43D88452" w14:textId="77777777" w:rsidR="001B34C7" w:rsidRPr="0083412A" w:rsidRDefault="001B34C7" w:rsidP="002E33D9">
            <w:pPr>
              <w:pStyle w:val="Bezriadkovania"/>
              <w:spacing w:line="259" w:lineRule="auto"/>
              <w:jc w:val="right"/>
              <w:rPr>
                <w:rFonts w:ascii="Arial Narrow" w:hAnsi="Arial Narrow"/>
                <w:b/>
                <w:bCs/>
                <w:sz w:val="20"/>
                <w:szCs w:val="20"/>
              </w:rPr>
            </w:pPr>
            <w:r w:rsidRPr="0083412A">
              <w:rPr>
                <w:rFonts w:ascii="Arial Narrow" w:hAnsi="Arial Narrow"/>
                <w:b/>
                <w:bCs/>
                <w:sz w:val="20"/>
                <w:szCs w:val="20"/>
              </w:rPr>
              <w:t>1 735</w:t>
            </w:r>
          </w:p>
        </w:tc>
        <w:tc>
          <w:tcPr>
            <w:tcW w:w="1051" w:type="dxa"/>
            <w:tcBorders>
              <w:top w:val="single" w:sz="4" w:space="0" w:color="auto"/>
              <w:bottom w:val="single" w:sz="4" w:space="0" w:color="auto"/>
            </w:tcBorders>
            <w:noWrap/>
            <w:vAlign w:val="center"/>
            <w:hideMark/>
          </w:tcPr>
          <w:p w14:paraId="645918C0" w14:textId="77777777" w:rsidR="001B34C7" w:rsidRPr="0083412A" w:rsidRDefault="001B34C7" w:rsidP="002E33D9">
            <w:pPr>
              <w:pStyle w:val="Bezriadkovania"/>
              <w:spacing w:line="259" w:lineRule="auto"/>
              <w:jc w:val="right"/>
              <w:rPr>
                <w:rFonts w:ascii="Arial Narrow" w:hAnsi="Arial Narrow"/>
                <w:b/>
                <w:bCs/>
                <w:sz w:val="20"/>
                <w:szCs w:val="20"/>
              </w:rPr>
            </w:pPr>
            <w:r w:rsidRPr="0083412A">
              <w:rPr>
                <w:rFonts w:ascii="Arial Narrow" w:hAnsi="Arial Narrow"/>
                <w:b/>
                <w:bCs/>
                <w:sz w:val="20"/>
                <w:szCs w:val="20"/>
              </w:rPr>
              <w:t>59 576 248</w:t>
            </w:r>
          </w:p>
        </w:tc>
        <w:tc>
          <w:tcPr>
            <w:tcW w:w="870" w:type="dxa"/>
            <w:tcBorders>
              <w:top w:val="single" w:sz="4" w:space="0" w:color="auto"/>
              <w:bottom w:val="single" w:sz="4" w:space="0" w:color="auto"/>
            </w:tcBorders>
            <w:noWrap/>
            <w:vAlign w:val="center"/>
            <w:hideMark/>
          </w:tcPr>
          <w:p w14:paraId="49176B38" w14:textId="77777777" w:rsidR="001B34C7" w:rsidRPr="0083412A" w:rsidRDefault="001B34C7" w:rsidP="002E33D9">
            <w:pPr>
              <w:pStyle w:val="Bezriadkovania"/>
              <w:spacing w:line="259" w:lineRule="auto"/>
              <w:jc w:val="right"/>
              <w:rPr>
                <w:rFonts w:ascii="Arial Narrow" w:hAnsi="Arial Narrow"/>
                <w:b/>
                <w:bCs/>
                <w:sz w:val="20"/>
                <w:szCs w:val="20"/>
              </w:rPr>
            </w:pPr>
            <w:r w:rsidRPr="0083412A">
              <w:rPr>
                <w:rFonts w:ascii="Arial Narrow" w:hAnsi="Arial Narrow"/>
                <w:b/>
                <w:bCs/>
                <w:sz w:val="20"/>
                <w:szCs w:val="20"/>
              </w:rPr>
              <w:t>16 161</w:t>
            </w:r>
          </w:p>
        </w:tc>
        <w:tc>
          <w:tcPr>
            <w:tcW w:w="1064" w:type="dxa"/>
            <w:tcBorders>
              <w:top w:val="single" w:sz="4" w:space="0" w:color="auto"/>
              <w:bottom w:val="single" w:sz="4" w:space="0" w:color="auto"/>
            </w:tcBorders>
            <w:noWrap/>
            <w:vAlign w:val="center"/>
            <w:hideMark/>
          </w:tcPr>
          <w:p w14:paraId="22792BA5" w14:textId="77777777" w:rsidR="001B34C7" w:rsidRPr="0083412A" w:rsidRDefault="001B34C7" w:rsidP="002E33D9">
            <w:pPr>
              <w:pStyle w:val="Bezriadkovania"/>
              <w:spacing w:line="259" w:lineRule="auto"/>
              <w:jc w:val="right"/>
              <w:rPr>
                <w:rFonts w:ascii="Arial Narrow" w:hAnsi="Arial Narrow"/>
                <w:b/>
                <w:bCs/>
                <w:sz w:val="20"/>
                <w:szCs w:val="20"/>
              </w:rPr>
            </w:pPr>
            <w:r w:rsidRPr="0083412A">
              <w:rPr>
                <w:rFonts w:ascii="Arial Narrow" w:hAnsi="Arial Narrow"/>
                <w:b/>
                <w:bCs/>
                <w:sz w:val="20"/>
                <w:szCs w:val="20"/>
              </w:rPr>
              <w:t>2 615</w:t>
            </w:r>
          </w:p>
        </w:tc>
        <w:tc>
          <w:tcPr>
            <w:tcW w:w="1177" w:type="dxa"/>
            <w:tcBorders>
              <w:top w:val="single" w:sz="4" w:space="0" w:color="auto"/>
              <w:bottom w:val="single" w:sz="4" w:space="0" w:color="auto"/>
            </w:tcBorders>
            <w:noWrap/>
            <w:vAlign w:val="center"/>
            <w:hideMark/>
          </w:tcPr>
          <w:p w14:paraId="1D8C2CCA" w14:textId="77777777" w:rsidR="001B34C7" w:rsidRPr="0083412A" w:rsidRDefault="001B34C7" w:rsidP="002E33D9">
            <w:pPr>
              <w:pStyle w:val="Bezriadkovania"/>
              <w:spacing w:line="259" w:lineRule="auto"/>
              <w:jc w:val="right"/>
              <w:rPr>
                <w:rFonts w:ascii="Arial Narrow" w:hAnsi="Arial Narrow"/>
                <w:b/>
                <w:bCs/>
                <w:sz w:val="20"/>
                <w:szCs w:val="20"/>
              </w:rPr>
            </w:pPr>
            <w:r w:rsidRPr="0083412A">
              <w:rPr>
                <w:rFonts w:ascii="Arial Narrow" w:hAnsi="Arial Narrow"/>
                <w:b/>
                <w:bCs/>
                <w:sz w:val="20"/>
                <w:szCs w:val="20"/>
              </w:rPr>
              <w:t>42 261 854</w:t>
            </w:r>
          </w:p>
        </w:tc>
        <w:tc>
          <w:tcPr>
            <w:tcW w:w="1984" w:type="dxa"/>
            <w:tcBorders>
              <w:top w:val="single" w:sz="4" w:space="0" w:color="auto"/>
              <w:bottom w:val="single" w:sz="4" w:space="0" w:color="auto"/>
            </w:tcBorders>
            <w:noWrap/>
            <w:vAlign w:val="center"/>
            <w:hideMark/>
          </w:tcPr>
          <w:p w14:paraId="259EFEAD" w14:textId="77777777" w:rsidR="001B34C7" w:rsidRPr="0083412A" w:rsidRDefault="001B34C7" w:rsidP="002E33D9">
            <w:pPr>
              <w:pStyle w:val="Bezriadkovania"/>
              <w:spacing w:line="259" w:lineRule="auto"/>
              <w:jc w:val="right"/>
              <w:rPr>
                <w:rFonts w:ascii="Arial Narrow" w:hAnsi="Arial Narrow"/>
                <w:b/>
                <w:bCs/>
                <w:sz w:val="20"/>
                <w:szCs w:val="20"/>
              </w:rPr>
            </w:pPr>
            <w:r w:rsidRPr="0083412A">
              <w:rPr>
                <w:rFonts w:ascii="Arial Narrow" w:hAnsi="Arial Narrow"/>
                <w:b/>
                <w:bCs/>
                <w:sz w:val="20"/>
                <w:szCs w:val="20"/>
              </w:rPr>
              <w:t>880</w:t>
            </w:r>
          </w:p>
        </w:tc>
      </w:tr>
    </w:tbl>
    <w:p w14:paraId="24956949" w14:textId="77777777" w:rsidR="001B34C7" w:rsidRPr="009973EE" w:rsidRDefault="001B34C7" w:rsidP="001B34C7">
      <w:pPr>
        <w:pStyle w:val="Bezriadkovania"/>
        <w:jc w:val="right"/>
        <w:rPr>
          <w:rFonts w:ascii="Arial Narrow" w:hAnsi="Arial Narrow"/>
          <w:i/>
          <w:sz w:val="18"/>
          <w:szCs w:val="18"/>
        </w:rPr>
      </w:pPr>
      <w:r w:rsidRPr="009973EE">
        <w:rPr>
          <w:rFonts w:ascii="Arial Narrow" w:hAnsi="Arial Narrow"/>
          <w:i/>
          <w:sz w:val="18"/>
          <w:szCs w:val="18"/>
        </w:rPr>
        <w:t>Zdroj: Vlastné prepočty IVP na základe dát Eduzber (2017, 2018)</w:t>
      </w:r>
    </w:p>
    <w:p w14:paraId="12F4EE76" w14:textId="77777777" w:rsidR="001B34C7" w:rsidRDefault="001B34C7" w:rsidP="001B34C7">
      <w:pPr>
        <w:pStyle w:val="Bezriadkovania"/>
        <w:spacing w:after="240" w:line="259" w:lineRule="auto"/>
        <w:rPr>
          <w:rFonts w:ascii="Arial Narrow" w:hAnsi="Arial Narrow"/>
          <w:b/>
          <w:bCs/>
          <w:sz w:val="20"/>
          <w:szCs w:val="20"/>
          <w:highlight w:val="yellow"/>
          <w:u w:val="single"/>
        </w:rPr>
      </w:pPr>
    </w:p>
    <w:p w14:paraId="108FA462" w14:textId="77777777" w:rsidR="001B34C7" w:rsidRDefault="001B34C7" w:rsidP="001B34C7">
      <w:pPr>
        <w:pStyle w:val="Popis"/>
        <w:rPr>
          <w:b/>
          <w:i w:val="0"/>
          <w:color w:val="2E74B5" w:themeColor="accent1" w:themeShade="BF"/>
          <w:sz w:val="22"/>
        </w:rPr>
      </w:pPr>
      <w:bookmarkStart w:id="1927" w:name="_Ref25844553"/>
      <w:r w:rsidRPr="000C6214">
        <w:rPr>
          <w:b/>
          <w:i w:val="0"/>
          <w:color w:val="2E74B5" w:themeColor="accent1" w:themeShade="BF"/>
          <w:sz w:val="22"/>
        </w:rPr>
        <w:t xml:space="preserve">Príloha </w:t>
      </w:r>
      <w:r w:rsidRPr="00AD2F2A">
        <w:rPr>
          <w:b/>
          <w:i w:val="0"/>
          <w:color w:val="2E74B5" w:themeColor="accent1" w:themeShade="BF"/>
          <w:sz w:val="22"/>
        </w:rPr>
        <w:fldChar w:fldCharType="begin"/>
      </w:r>
      <w:r w:rsidRPr="00AD2F2A">
        <w:rPr>
          <w:b/>
          <w:i w:val="0"/>
          <w:color w:val="2E74B5" w:themeColor="accent1" w:themeShade="BF"/>
          <w:sz w:val="22"/>
        </w:rPr>
        <w:instrText xml:space="preserve"> SEQ Príloha \* ARABIC </w:instrText>
      </w:r>
      <w:r w:rsidRPr="00AD2F2A">
        <w:rPr>
          <w:b/>
          <w:i w:val="0"/>
          <w:color w:val="2E74B5" w:themeColor="accent1" w:themeShade="BF"/>
          <w:sz w:val="22"/>
        </w:rPr>
        <w:fldChar w:fldCharType="separate"/>
      </w:r>
      <w:r w:rsidR="00FA29AF">
        <w:rPr>
          <w:b/>
          <w:i w:val="0"/>
          <w:noProof/>
          <w:color w:val="2E74B5" w:themeColor="accent1" w:themeShade="BF"/>
          <w:sz w:val="22"/>
        </w:rPr>
        <w:t>22</w:t>
      </w:r>
      <w:r w:rsidRPr="00AD2F2A">
        <w:rPr>
          <w:b/>
          <w:i w:val="0"/>
          <w:color w:val="2E74B5" w:themeColor="accent1" w:themeShade="BF"/>
          <w:sz w:val="22"/>
        </w:rPr>
        <w:fldChar w:fldCharType="end"/>
      </w:r>
      <w:bookmarkEnd w:id="1927"/>
      <w:r w:rsidRPr="000C6214">
        <w:rPr>
          <w:b/>
          <w:i w:val="0"/>
          <w:color w:val="2E74B5" w:themeColor="accent1" w:themeShade="BF"/>
          <w:sz w:val="22"/>
        </w:rPr>
        <w:t>: Odborní zamestnanci na základných školách s</w:t>
      </w:r>
      <w:r>
        <w:rPr>
          <w:b/>
          <w:i w:val="0"/>
          <w:color w:val="2E74B5" w:themeColor="accent1" w:themeShade="BF"/>
          <w:sz w:val="22"/>
        </w:rPr>
        <w:t>o</w:t>
      </w:r>
      <w:r w:rsidRPr="000C6214">
        <w:rPr>
          <w:b/>
          <w:i w:val="0"/>
          <w:color w:val="2E74B5" w:themeColor="accent1" w:themeShade="BF"/>
          <w:sz w:val="22"/>
        </w:rPr>
        <w:t xml:space="preserve"> žiakmi so zdravotným znevýhodnením</w:t>
      </w:r>
    </w:p>
    <w:p w14:paraId="71A1FA4C" w14:textId="77777777" w:rsidR="001B34C7" w:rsidRPr="00DF66FF" w:rsidRDefault="001B34C7" w:rsidP="001B34C7">
      <w:pPr>
        <w:spacing w:after="0"/>
      </w:pPr>
      <w:r w:rsidRPr="00AF6AB3">
        <w:rPr>
          <w:b/>
          <w:sz w:val="20"/>
        </w:rPr>
        <w:t xml:space="preserve">Tabuľka P </w:t>
      </w:r>
      <w:r w:rsidRPr="00AF6AB3">
        <w:rPr>
          <w:b/>
          <w:sz w:val="20"/>
        </w:rPr>
        <w:fldChar w:fldCharType="begin"/>
      </w:r>
      <w:r w:rsidRPr="00AF6AB3">
        <w:rPr>
          <w:b/>
          <w:sz w:val="20"/>
        </w:rPr>
        <w:instrText xml:space="preserve"> SEQ Tabuľka_P \* ARABIC </w:instrText>
      </w:r>
      <w:r w:rsidRPr="00AF6AB3">
        <w:rPr>
          <w:b/>
          <w:sz w:val="20"/>
        </w:rPr>
        <w:fldChar w:fldCharType="separate"/>
      </w:r>
      <w:r w:rsidR="00FA29AF">
        <w:rPr>
          <w:b/>
          <w:noProof/>
          <w:sz w:val="20"/>
        </w:rPr>
        <w:t>18</w:t>
      </w:r>
      <w:r w:rsidRPr="00AF6AB3">
        <w:rPr>
          <w:b/>
          <w:sz w:val="20"/>
        </w:rPr>
        <w:fldChar w:fldCharType="end"/>
      </w:r>
      <w:r w:rsidRPr="00AF6AB3">
        <w:rPr>
          <w:b/>
          <w:sz w:val="20"/>
        </w:rPr>
        <w:t>:</w:t>
      </w:r>
      <w:r>
        <w:rPr>
          <w:b/>
          <w:sz w:val="20"/>
        </w:rPr>
        <w:t xml:space="preserve"> </w:t>
      </w:r>
      <w:r w:rsidRPr="00DF66FF">
        <w:rPr>
          <w:b/>
          <w:sz w:val="20"/>
        </w:rPr>
        <w:t>Odborní zamestnanci na bežných základných školách s viac ako 20 integrovanými žiakmi so</w:t>
      </w:r>
      <w:r>
        <w:rPr>
          <w:b/>
          <w:sz w:val="20"/>
        </w:rPr>
        <w:t xml:space="preserve"> ZZ</w:t>
      </w:r>
      <w:r w:rsidRPr="00DF66FF">
        <w:rPr>
          <w:b/>
          <w:sz w:val="20"/>
        </w:rPr>
        <w:t>, 2018</w:t>
      </w:r>
      <w:r>
        <w:rPr>
          <w:b/>
          <w:sz w:val="20"/>
        </w:rPr>
        <w:t xml:space="preserve"> (%)</w:t>
      </w:r>
    </w:p>
    <w:tbl>
      <w:tblPr>
        <w:tblW w:w="5000" w:type="pct"/>
        <w:tblCellMar>
          <w:left w:w="70" w:type="dxa"/>
          <w:right w:w="70" w:type="dxa"/>
        </w:tblCellMar>
        <w:tblLook w:val="04A0" w:firstRow="1" w:lastRow="0" w:firstColumn="1" w:lastColumn="0" w:noHBand="0" w:noVBand="1"/>
      </w:tblPr>
      <w:tblGrid>
        <w:gridCol w:w="2236"/>
        <w:gridCol w:w="2104"/>
        <w:gridCol w:w="2268"/>
        <w:gridCol w:w="2480"/>
      </w:tblGrid>
      <w:tr w:rsidR="001B34C7" w:rsidRPr="00C550BC" w14:paraId="5B2FA4D5" w14:textId="77777777" w:rsidTr="002E33D9">
        <w:trPr>
          <w:trHeight w:val="284"/>
        </w:trPr>
        <w:tc>
          <w:tcPr>
            <w:tcW w:w="1360" w:type="dxa"/>
            <w:tcBorders>
              <w:top w:val="single" w:sz="4" w:space="0" w:color="auto"/>
              <w:bottom w:val="single" w:sz="4" w:space="0" w:color="auto"/>
            </w:tcBorders>
            <w:shd w:val="clear" w:color="auto" w:fill="auto"/>
            <w:vAlign w:val="center"/>
            <w:hideMark/>
          </w:tcPr>
          <w:p w14:paraId="6E0C31E0" w14:textId="77777777" w:rsidR="001B34C7" w:rsidRPr="00C635C4" w:rsidRDefault="001B34C7" w:rsidP="002E33D9">
            <w:pPr>
              <w:spacing w:after="0" w:line="240" w:lineRule="auto"/>
              <w:rPr>
                <w:rFonts w:eastAsia="Times New Roman" w:cs="Times New Roman"/>
                <w:b/>
                <w:bCs/>
                <w:color w:val="000000"/>
                <w:sz w:val="20"/>
                <w:lang w:eastAsia="sk-SK"/>
              </w:rPr>
            </w:pPr>
            <w:r w:rsidRPr="00C635C4">
              <w:rPr>
                <w:rFonts w:eastAsia="Times New Roman" w:cs="Times New Roman"/>
                <w:b/>
                <w:bCs/>
                <w:color w:val="000000"/>
                <w:sz w:val="20"/>
                <w:lang w:eastAsia="sk-SK"/>
              </w:rPr>
              <w:t>Počet žiakov školy</w:t>
            </w:r>
          </w:p>
        </w:tc>
        <w:tc>
          <w:tcPr>
            <w:tcW w:w="1280" w:type="dxa"/>
            <w:tcBorders>
              <w:top w:val="single" w:sz="4" w:space="0" w:color="auto"/>
              <w:bottom w:val="single" w:sz="4" w:space="0" w:color="auto"/>
            </w:tcBorders>
            <w:shd w:val="clear" w:color="auto" w:fill="auto"/>
            <w:vAlign w:val="center"/>
            <w:hideMark/>
          </w:tcPr>
          <w:p w14:paraId="64E25522" w14:textId="77777777" w:rsidR="001B34C7" w:rsidRPr="00C550BC" w:rsidRDefault="001B34C7" w:rsidP="002E33D9">
            <w:pPr>
              <w:spacing w:after="0" w:line="240" w:lineRule="auto"/>
              <w:jc w:val="right"/>
              <w:rPr>
                <w:rFonts w:eastAsia="Times New Roman" w:cs="Times New Roman"/>
                <w:b/>
                <w:bCs/>
                <w:color w:val="000000"/>
                <w:sz w:val="20"/>
                <w:lang w:eastAsia="sk-SK"/>
              </w:rPr>
            </w:pPr>
            <w:r w:rsidRPr="00C550BC">
              <w:rPr>
                <w:rFonts w:eastAsia="Times New Roman" w:cs="Times New Roman"/>
                <w:b/>
                <w:bCs/>
                <w:color w:val="000000"/>
                <w:sz w:val="20"/>
                <w:lang w:eastAsia="sk-SK"/>
              </w:rPr>
              <w:t>Podiel škôl s viac ako 20 integrovanými žiakmi</w:t>
            </w:r>
            <w:r>
              <w:rPr>
                <w:rFonts w:eastAsia="Times New Roman" w:cs="Times New Roman"/>
                <w:b/>
                <w:bCs/>
                <w:color w:val="000000"/>
                <w:sz w:val="20"/>
                <w:lang w:eastAsia="sk-SK"/>
              </w:rPr>
              <w:t xml:space="preserve"> </w:t>
            </w:r>
          </w:p>
        </w:tc>
        <w:tc>
          <w:tcPr>
            <w:tcW w:w="1380" w:type="dxa"/>
            <w:tcBorders>
              <w:top w:val="single" w:sz="4" w:space="0" w:color="auto"/>
              <w:bottom w:val="single" w:sz="4" w:space="0" w:color="auto"/>
            </w:tcBorders>
            <w:shd w:val="clear" w:color="auto" w:fill="auto"/>
            <w:vAlign w:val="center"/>
            <w:hideMark/>
          </w:tcPr>
          <w:p w14:paraId="59E8F5CE" w14:textId="77777777" w:rsidR="001B34C7" w:rsidRPr="00C550BC" w:rsidRDefault="001B34C7" w:rsidP="002E33D9">
            <w:pPr>
              <w:spacing w:after="0" w:line="240" w:lineRule="auto"/>
              <w:jc w:val="right"/>
              <w:rPr>
                <w:rFonts w:eastAsia="Times New Roman" w:cs="Times New Roman"/>
                <w:b/>
                <w:bCs/>
                <w:color w:val="000000"/>
                <w:sz w:val="20"/>
                <w:lang w:eastAsia="sk-SK"/>
              </w:rPr>
            </w:pPr>
            <w:r w:rsidRPr="00C550BC">
              <w:rPr>
                <w:rFonts w:eastAsia="Times New Roman" w:cs="Times New Roman"/>
                <w:b/>
                <w:bCs/>
                <w:color w:val="000000"/>
                <w:sz w:val="20"/>
                <w:lang w:eastAsia="sk-SK"/>
              </w:rPr>
              <w:t>Podiel škôl spĺňajúcich podmienku prítomnosti OZ</w:t>
            </w:r>
          </w:p>
        </w:tc>
        <w:tc>
          <w:tcPr>
            <w:tcW w:w="1509" w:type="dxa"/>
            <w:tcBorders>
              <w:top w:val="single" w:sz="4" w:space="0" w:color="auto"/>
              <w:bottom w:val="single" w:sz="4" w:space="0" w:color="auto"/>
            </w:tcBorders>
            <w:shd w:val="clear" w:color="auto" w:fill="auto"/>
            <w:vAlign w:val="center"/>
            <w:hideMark/>
          </w:tcPr>
          <w:p w14:paraId="592AD4B9" w14:textId="77777777" w:rsidR="001B34C7" w:rsidRPr="00C550BC" w:rsidRDefault="001B34C7" w:rsidP="002E33D9">
            <w:pPr>
              <w:spacing w:after="0" w:line="240" w:lineRule="auto"/>
              <w:jc w:val="right"/>
              <w:rPr>
                <w:rFonts w:eastAsia="Times New Roman" w:cs="Times New Roman"/>
                <w:b/>
                <w:bCs/>
                <w:color w:val="000000"/>
                <w:sz w:val="20"/>
                <w:lang w:eastAsia="sk-SK"/>
              </w:rPr>
            </w:pPr>
            <w:r w:rsidRPr="00C550BC">
              <w:rPr>
                <w:rFonts w:eastAsia="Times New Roman" w:cs="Times New Roman"/>
                <w:b/>
                <w:bCs/>
                <w:color w:val="000000"/>
                <w:sz w:val="20"/>
                <w:lang w:eastAsia="sk-SK"/>
              </w:rPr>
              <w:t>Veľkosť úväzku OZ</w:t>
            </w:r>
          </w:p>
        </w:tc>
      </w:tr>
      <w:tr w:rsidR="001B34C7" w:rsidRPr="00C550BC" w14:paraId="7AFFB1E5" w14:textId="77777777" w:rsidTr="002E33D9">
        <w:trPr>
          <w:trHeight w:val="284"/>
        </w:trPr>
        <w:tc>
          <w:tcPr>
            <w:tcW w:w="1360" w:type="dxa"/>
            <w:tcBorders>
              <w:top w:val="single" w:sz="4" w:space="0" w:color="auto"/>
            </w:tcBorders>
            <w:shd w:val="clear" w:color="auto" w:fill="auto"/>
            <w:noWrap/>
            <w:vAlign w:val="bottom"/>
            <w:hideMark/>
          </w:tcPr>
          <w:p w14:paraId="4DD3613C" w14:textId="77777777" w:rsidR="001B34C7" w:rsidRPr="00C635C4" w:rsidRDefault="001B34C7" w:rsidP="002E33D9">
            <w:pPr>
              <w:spacing w:after="0" w:line="240" w:lineRule="auto"/>
              <w:rPr>
                <w:rFonts w:eastAsia="Times New Roman" w:cs="Times New Roman"/>
                <w:bCs/>
                <w:color w:val="000000"/>
                <w:sz w:val="20"/>
                <w:lang w:eastAsia="sk-SK"/>
              </w:rPr>
            </w:pPr>
            <w:r w:rsidRPr="00C635C4">
              <w:rPr>
                <w:rFonts w:eastAsia="Times New Roman" w:cs="Times New Roman"/>
                <w:bCs/>
                <w:color w:val="000000"/>
                <w:sz w:val="20"/>
                <w:lang w:eastAsia="sk-SK"/>
              </w:rPr>
              <w:t>do 50 žiakov</w:t>
            </w:r>
          </w:p>
        </w:tc>
        <w:tc>
          <w:tcPr>
            <w:tcW w:w="1280" w:type="dxa"/>
            <w:tcBorders>
              <w:top w:val="single" w:sz="4" w:space="0" w:color="auto"/>
            </w:tcBorders>
            <w:shd w:val="clear" w:color="auto" w:fill="auto"/>
            <w:noWrap/>
            <w:vAlign w:val="bottom"/>
            <w:hideMark/>
          </w:tcPr>
          <w:p w14:paraId="41461D2E" w14:textId="77777777" w:rsidR="001B34C7" w:rsidRPr="00C550BC" w:rsidRDefault="001B34C7" w:rsidP="002E33D9">
            <w:pPr>
              <w:spacing w:after="0" w:line="240" w:lineRule="auto"/>
              <w:jc w:val="right"/>
              <w:rPr>
                <w:rFonts w:eastAsia="Times New Roman" w:cs="Times New Roman"/>
                <w:color w:val="000000"/>
                <w:sz w:val="20"/>
                <w:lang w:eastAsia="sk-SK"/>
              </w:rPr>
            </w:pPr>
            <w:r w:rsidRPr="00C550BC">
              <w:rPr>
                <w:rFonts w:eastAsia="Times New Roman" w:cs="Times New Roman"/>
                <w:color w:val="000000"/>
                <w:sz w:val="20"/>
                <w:lang w:eastAsia="sk-SK"/>
              </w:rPr>
              <w:t>0</w:t>
            </w:r>
          </w:p>
        </w:tc>
        <w:tc>
          <w:tcPr>
            <w:tcW w:w="1380" w:type="dxa"/>
            <w:tcBorders>
              <w:top w:val="single" w:sz="4" w:space="0" w:color="auto"/>
            </w:tcBorders>
            <w:shd w:val="clear" w:color="auto" w:fill="auto"/>
            <w:noWrap/>
            <w:vAlign w:val="bottom"/>
            <w:hideMark/>
          </w:tcPr>
          <w:p w14:paraId="39DA3425" w14:textId="77777777" w:rsidR="001B34C7" w:rsidRPr="00C550BC" w:rsidRDefault="001B34C7" w:rsidP="002E33D9">
            <w:pPr>
              <w:spacing w:after="0" w:line="240" w:lineRule="auto"/>
              <w:jc w:val="right"/>
              <w:rPr>
                <w:rFonts w:eastAsia="Times New Roman" w:cs="Times New Roman"/>
                <w:color w:val="000000"/>
                <w:sz w:val="20"/>
                <w:lang w:eastAsia="sk-SK"/>
              </w:rPr>
            </w:pPr>
            <w:r w:rsidRPr="00C550BC">
              <w:rPr>
                <w:rFonts w:eastAsia="Times New Roman" w:cs="Times New Roman"/>
                <w:color w:val="000000"/>
                <w:sz w:val="20"/>
                <w:lang w:eastAsia="sk-SK"/>
              </w:rPr>
              <w:t>0</w:t>
            </w:r>
          </w:p>
        </w:tc>
        <w:tc>
          <w:tcPr>
            <w:tcW w:w="1509" w:type="dxa"/>
            <w:tcBorders>
              <w:top w:val="single" w:sz="4" w:space="0" w:color="auto"/>
            </w:tcBorders>
            <w:shd w:val="clear" w:color="auto" w:fill="auto"/>
            <w:noWrap/>
            <w:vAlign w:val="bottom"/>
            <w:hideMark/>
          </w:tcPr>
          <w:p w14:paraId="030F3F65" w14:textId="77777777" w:rsidR="001B34C7" w:rsidRPr="00C550BC" w:rsidRDefault="001B34C7" w:rsidP="002E33D9">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0</w:t>
            </w:r>
          </w:p>
        </w:tc>
      </w:tr>
      <w:tr w:rsidR="001B34C7" w:rsidRPr="00C550BC" w14:paraId="5414CA36" w14:textId="77777777" w:rsidTr="002E33D9">
        <w:trPr>
          <w:trHeight w:val="284"/>
        </w:trPr>
        <w:tc>
          <w:tcPr>
            <w:tcW w:w="1360" w:type="dxa"/>
            <w:shd w:val="clear" w:color="auto" w:fill="auto"/>
            <w:noWrap/>
            <w:vAlign w:val="bottom"/>
            <w:hideMark/>
          </w:tcPr>
          <w:p w14:paraId="3E58A4D7" w14:textId="77777777" w:rsidR="001B34C7" w:rsidRPr="00C635C4" w:rsidRDefault="001B34C7" w:rsidP="002E33D9">
            <w:pPr>
              <w:spacing w:after="0" w:line="240" w:lineRule="auto"/>
              <w:rPr>
                <w:rFonts w:eastAsia="Times New Roman" w:cs="Times New Roman"/>
                <w:bCs/>
                <w:color w:val="000000"/>
                <w:sz w:val="20"/>
                <w:lang w:eastAsia="sk-SK"/>
              </w:rPr>
            </w:pPr>
            <w:r w:rsidRPr="00C635C4">
              <w:rPr>
                <w:rFonts w:eastAsia="Times New Roman" w:cs="Times New Roman"/>
                <w:bCs/>
                <w:color w:val="000000"/>
                <w:sz w:val="20"/>
                <w:lang w:eastAsia="sk-SK"/>
              </w:rPr>
              <w:t xml:space="preserve">51 -150 </w:t>
            </w:r>
          </w:p>
        </w:tc>
        <w:tc>
          <w:tcPr>
            <w:tcW w:w="1280" w:type="dxa"/>
            <w:shd w:val="clear" w:color="auto" w:fill="auto"/>
            <w:noWrap/>
            <w:vAlign w:val="bottom"/>
            <w:hideMark/>
          </w:tcPr>
          <w:p w14:paraId="69B8A63E" w14:textId="77777777" w:rsidR="001B34C7" w:rsidRPr="00C550BC" w:rsidRDefault="001B34C7" w:rsidP="002E33D9">
            <w:pPr>
              <w:spacing w:after="0" w:line="240" w:lineRule="auto"/>
              <w:jc w:val="right"/>
              <w:rPr>
                <w:rFonts w:eastAsia="Times New Roman" w:cs="Times New Roman"/>
                <w:color w:val="000000"/>
                <w:sz w:val="20"/>
                <w:lang w:eastAsia="sk-SK"/>
              </w:rPr>
            </w:pPr>
            <w:r w:rsidRPr="00C550BC">
              <w:rPr>
                <w:rFonts w:eastAsia="Times New Roman" w:cs="Times New Roman"/>
                <w:color w:val="000000"/>
                <w:sz w:val="20"/>
                <w:lang w:eastAsia="sk-SK"/>
              </w:rPr>
              <w:t>5</w:t>
            </w:r>
          </w:p>
        </w:tc>
        <w:tc>
          <w:tcPr>
            <w:tcW w:w="1380" w:type="dxa"/>
            <w:shd w:val="clear" w:color="auto" w:fill="auto"/>
            <w:noWrap/>
            <w:vAlign w:val="bottom"/>
            <w:hideMark/>
          </w:tcPr>
          <w:p w14:paraId="6BCE8611" w14:textId="77777777" w:rsidR="001B34C7" w:rsidRPr="00C550BC" w:rsidRDefault="001B34C7" w:rsidP="002E33D9">
            <w:pPr>
              <w:spacing w:after="0" w:line="240" w:lineRule="auto"/>
              <w:jc w:val="right"/>
              <w:rPr>
                <w:rFonts w:eastAsia="Times New Roman" w:cs="Times New Roman"/>
                <w:color w:val="000000"/>
                <w:sz w:val="20"/>
                <w:lang w:eastAsia="sk-SK"/>
              </w:rPr>
            </w:pPr>
            <w:r w:rsidRPr="00C550BC">
              <w:rPr>
                <w:rFonts w:eastAsia="Times New Roman" w:cs="Times New Roman"/>
                <w:color w:val="000000"/>
                <w:sz w:val="20"/>
                <w:lang w:eastAsia="sk-SK"/>
              </w:rPr>
              <w:t>50</w:t>
            </w:r>
          </w:p>
        </w:tc>
        <w:tc>
          <w:tcPr>
            <w:tcW w:w="1509" w:type="dxa"/>
            <w:shd w:val="clear" w:color="auto" w:fill="auto"/>
            <w:noWrap/>
            <w:vAlign w:val="bottom"/>
            <w:hideMark/>
          </w:tcPr>
          <w:p w14:paraId="6CFA2971" w14:textId="77777777" w:rsidR="001B34C7" w:rsidRPr="00C550BC" w:rsidRDefault="001B34C7" w:rsidP="002E33D9">
            <w:pPr>
              <w:spacing w:after="0" w:line="240" w:lineRule="auto"/>
              <w:jc w:val="right"/>
              <w:rPr>
                <w:rFonts w:eastAsia="Times New Roman" w:cs="Times New Roman"/>
                <w:color w:val="000000"/>
                <w:sz w:val="20"/>
                <w:lang w:eastAsia="sk-SK"/>
              </w:rPr>
            </w:pPr>
            <w:r w:rsidRPr="00C550BC">
              <w:rPr>
                <w:rFonts w:eastAsia="Times New Roman" w:cs="Times New Roman"/>
                <w:color w:val="000000"/>
                <w:sz w:val="20"/>
                <w:lang w:eastAsia="sk-SK"/>
              </w:rPr>
              <w:t>31</w:t>
            </w:r>
          </w:p>
        </w:tc>
      </w:tr>
      <w:tr w:rsidR="001B34C7" w:rsidRPr="00C550BC" w14:paraId="66CC033C" w14:textId="77777777" w:rsidTr="002E33D9">
        <w:trPr>
          <w:trHeight w:val="284"/>
        </w:trPr>
        <w:tc>
          <w:tcPr>
            <w:tcW w:w="1360" w:type="dxa"/>
            <w:shd w:val="clear" w:color="auto" w:fill="auto"/>
            <w:noWrap/>
            <w:vAlign w:val="bottom"/>
            <w:hideMark/>
          </w:tcPr>
          <w:p w14:paraId="3C9E64B1" w14:textId="77777777" w:rsidR="001B34C7" w:rsidRPr="00C635C4" w:rsidRDefault="001B34C7" w:rsidP="002E33D9">
            <w:pPr>
              <w:spacing w:after="0" w:line="240" w:lineRule="auto"/>
              <w:rPr>
                <w:rFonts w:eastAsia="Times New Roman" w:cs="Times New Roman"/>
                <w:bCs/>
                <w:color w:val="000000"/>
                <w:sz w:val="20"/>
                <w:lang w:eastAsia="sk-SK"/>
              </w:rPr>
            </w:pPr>
            <w:r w:rsidRPr="00C635C4">
              <w:rPr>
                <w:rFonts w:eastAsia="Times New Roman" w:cs="Times New Roman"/>
                <w:bCs/>
                <w:color w:val="000000"/>
                <w:sz w:val="20"/>
                <w:lang w:eastAsia="sk-SK"/>
              </w:rPr>
              <w:t>151 - 250</w:t>
            </w:r>
          </w:p>
        </w:tc>
        <w:tc>
          <w:tcPr>
            <w:tcW w:w="1280" w:type="dxa"/>
            <w:shd w:val="clear" w:color="auto" w:fill="auto"/>
            <w:noWrap/>
            <w:vAlign w:val="bottom"/>
            <w:hideMark/>
          </w:tcPr>
          <w:p w14:paraId="2389A36F" w14:textId="77777777" w:rsidR="001B34C7" w:rsidRPr="00C550BC" w:rsidRDefault="001B34C7" w:rsidP="002E33D9">
            <w:pPr>
              <w:spacing w:after="0" w:line="240" w:lineRule="auto"/>
              <w:jc w:val="right"/>
              <w:rPr>
                <w:rFonts w:eastAsia="Times New Roman" w:cs="Times New Roman"/>
                <w:color w:val="000000"/>
                <w:sz w:val="20"/>
                <w:lang w:eastAsia="sk-SK"/>
              </w:rPr>
            </w:pPr>
            <w:r w:rsidRPr="00C550BC">
              <w:rPr>
                <w:rFonts w:eastAsia="Times New Roman" w:cs="Times New Roman"/>
                <w:color w:val="000000"/>
                <w:sz w:val="20"/>
                <w:lang w:eastAsia="sk-SK"/>
              </w:rPr>
              <w:t>15</w:t>
            </w:r>
          </w:p>
        </w:tc>
        <w:tc>
          <w:tcPr>
            <w:tcW w:w="1380" w:type="dxa"/>
            <w:shd w:val="clear" w:color="auto" w:fill="auto"/>
            <w:noWrap/>
            <w:vAlign w:val="bottom"/>
            <w:hideMark/>
          </w:tcPr>
          <w:p w14:paraId="724F9796" w14:textId="77777777" w:rsidR="001B34C7" w:rsidRPr="00C550BC" w:rsidRDefault="001B34C7" w:rsidP="002E33D9">
            <w:pPr>
              <w:spacing w:after="0" w:line="240" w:lineRule="auto"/>
              <w:jc w:val="right"/>
              <w:rPr>
                <w:rFonts w:eastAsia="Times New Roman" w:cs="Times New Roman"/>
                <w:color w:val="000000"/>
                <w:sz w:val="20"/>
                <w:lang w:eastAsia="sk-SK"/>
              </w:rPr>
            </w:pPr>
            <w:r w:rsidRPr="00C550BC">
              <w:rPr>
                <w:rFonts w:eastAsia="Times New Roman" w:cs="Times New Roman"/>
                <w:color w:val="000000"/>
                <w:sz w:val="20"/>
                <w:lang w:eastAsia="sk-SK"/>
              </w:rPr>
              <w:t>83</w:t>
            </w:r>
          </w:p>
        </w:tc>
        <w:tc>
          <w:tcPr>
            <w:tcW w:w="1509" w:type="dxa"/>
            <w:shd w:val="clear" w:color="auto" w:fill="auto"/>
            <w:noWrap/>
            <w:vAlign w:val="bottom"/>
            <w:hideMark/>
          </w:tcPr>
          <w:p w14:paraId="72775385" w14:textId="77777777" w:rsidR="001B34C7" w:rsidRPr="00C550BC" w:rsidRDefault="001B34C7" w:rsidP="002E33D9">
            <w:pPr>
              <w:spacing w:after="0" w:line="240" w:lineRule="auto"/>
              <w:jc w:val="right"/>
              <w:rPr>
                <w:rFonts w:eastAsia="Times New Roman" w:cs="Times New Roman"/>
                <w:color w:val="000000"/>
                <w:sz w:val="20"/>
                <w:lang w:eastAsia="sk-SK"/>
              </w:rPr>
            </w:pPr>
            <w:r w:rsidRPr="00C550BC">
              <w:rPr>
                <w:rFonts w:eastAsia="Times New Roman" w:cs="Times New Roman"/>
                <w:color w:val="000000"/>
                <w:sz w:val="20"/>
                <w:lang w:eastAsia="sk-SK"/>
              </w:rPr>
              <w:t>48</w:t>
            </w:r>
          </w:p>
        </w:tc>
      </w:tr>
      <w:tr w:rsidR="001B34C7" w:rsidRPr="00C550BC" w14:paraId="52A89F55" w14:textId="77777777" w:rsidTr="002E33D9">
        <w:trPr>
          <w:trHeight w:val="284"/>
        </w:trPr>
        <w:tc>
          <w:tcPr>
            <w:tcW w:w="1360" w:type="dxa"/>
            <w:shd w:val="clear" w:color="auto" w:fill="auto"/>
            <w:noWrap/>
            <w:vAlign w:val="bottom"/>
            <w:hideMark/>
          </w:tcPr>
          <w:p w14:paraId="3BA5009F" w14:textId="77777777" w:rsidR="001B34C7" w:rsidRPr="00C635C4" w:rsidRDefault="001B34C7" w:rsidP="002E33D9">
            <w:pPr>
              <w:spacing w:after="0" w:line="240" w:lineRule="auto"/>
              <w:rPr>
                <w:rFonts w:eastAsia="Times New Roman" w:cs="Times New Roman"/>
                <w:bCs/>
                <w:color w:val="000000"/>
                <w:sz w:val="20"/>
                <w:lang w:eastAsia="sk-SK"/>
              </w:rPr>
            </w:pPr>
            <w:r w:rsidRPr="00C635C4">
              <w:rPr>
                <w:rFonts w:eastAsia="Times New Roman" w:cs="Times New Roman"/>
                <w:bCs/>
                <w:color w:val="000000"/>
                <w:sz w:val="20"/>
                <w:lang w:eastAsia="sk-SK"/>
              </w:rPr>
              <w:t>251 - 350</w:t>
            </w:r>
          </w:p>
        </w:tc>
        <w:tc>
          <w:tcPr>
            <w:tcW w:w="1280" w:type="dxa"/>
            <w:shd w:val="clear" w:color="auto" w:fill="auto"/>
            <w:noWrap/>
            <w:vAlign w:val="bottom"/>
            <w:hideMark/>
          </w:tcPr>
          <w:p w14:paraId="441595D9" w14:textId="77777777" w:rsidR="001B34C7" w:rsidRPr="00C550BC" w:rsidRDefault="001B34C7" w:rsidP="002E33D9">
            <w:pPr>
              <w:spacing w:after="0" w:line="240" w:lineRule="auto"/>
              <w:jc w:val="right"/>
              <w:rPr>
                <w:rFonts w:eastAsia="Times New Roman" w:cs="Times New Roman"/>
                <w:color w:val="000000"/>
                <w:sz w:val="20"/>
                <w:lang w:eastAsia="sk-SK"/>
              </w:rPr>
            </w:pPr>
            <w:r w:rsidRPr="00C550BC">
              <w:rPr>
                <w:rFonts w:eastAsia="Times New Roman" w:cs="Times New Roman"/>
                <w:color w:val="000000"/>
                <w:sz w:val="20"/>
                <w:lang w:eastAsia="sk-SK"/>
              </w:rPr>
              <w:t>21</w:t>
            </w:r>
          </w:p>
        </w:tc>
        <w:tc>
          <w:tcPr>
            <w:tcW w:w="1380" w:type="dxa"/>
            <w:shd w:val="clear" w:color="auto" w:fill="auto"/>
            <w:noWrap/>
            <w:vAlign w:val="bottom"/>
            <w:hideMark/>
          </w:tcPr>
          <w:p w14:paraId="0B22879E" w14:textId="77777777" w:rsidR="001B34C7" w:rsidRPr="00C550BC" w:rsidRDefault="001B34C7" w:rsidP="002E33D9">
            <w:pPr>
              <w:spacing w:after="0" w:line="240" w:lineRule="auto"/>
              <w:jc w:val="right"/>
              <w:rPr>
                <w:rFonts w:eastAsia="Times New Roman" w:cs="Times New Roman"/>
                <w:color w:val="000000"/>
                <w:sz w:val="20"/>
                <w:lang w:eastAsia="sk-SK"/>
              </w:rPr>
            </w:pPr>
            <w:r w:rsidRPr="00C550BC">
              <w:rPr>
                <w:rFonts w:eastAsia="Times New Roman" w:cs="Times New Roman"/>
                <w:color w:val="000000"/>
                <w:sz w:val="20"/>
                <w:lang w:eastAsia="sk-SK"/>
              </w:rPr>
              <w:t>83</w:t>
            </w:r>
          </w:p>
        </w:tc>
        <w:tc>
          <w:tcPr>
            <w:tcW w:w="1509" w:type="dxa"/>
            <w:shd w:val="clear" w:color="auto" w:fill="auto"/>
            <w:noWrap/>
            <w:vAlign w:val="bottom"/>
            <w:hideMark/>
          </w:tcPr>
          <w:p w14:paraId="46B96D73" w14:textId="77777777" w:rsidR="001B34C7" w:rsidRPr="00C550BC" w:rsidRDefault="001B34C7" w:rsidP="002E33D9">
            <w:pPr>
              <w:spacing w:after="0" w:line="240" w:lineRule="auto"/>
              <w:jc w:val="right"/>
              <w:rPr>
                <w:rFonts w:eastAsia="Times New Roman" w:cs="Times New Roman"/>
                <w:color w:val="000000"/>
                <w:sz w:val="20"/>
                <w:lang w:eastAsia="sk-SK"/>
              </w:rPr>
            </w:pPr>
            <w:r w:rsidRPr="00C550BC">
              <w:rPr>
                <w:rFonts w:eastAsia="Times New Roman" w:cs="Times New Roman"/>
                <w:color w:val="000000"/>
                <w:sz w:val="20"/>
                <w:lang w:eastAsia="sk-SK"/>
              </w:rPr>
              <w:t>41</w:t>
            </w:r>
          </w:p>
        </w:tc>
      </w:tr>
      <w:tr w:rsidR="001B34C7" w:rsidRPr="00C550BC" w14:paraId="5FA85470" w14:textId="77777777" w:rsidTr="002E33D9">
        <w:trPr>
          <w:trHeight w:val="284"/>
        </w:trPr>
        <w:tc>
          <w:tcPr>
            <w:tcW w:w="1360" w:type="dxa"/>
            <w:shd w:val="clear" w:color="auto" w:fill="auto"/>
            <w:noWrap/>
            <w:vAlign w:val="bottom"/>
            <w:hideMark/>
          </w:tcPr>
          <w:p w14:paraId="29F54F74" w14:textId="77777777" w:rsidR="001B34C7" w:rsidRPr="00C635C4" w:rsidRDefault="001B34C7" w:rsidP="002E33D9">
            <w:pPr>
              <w:spacing w:after="0" w:line="240" w:lineRule="auto"/>
              <w:rPr>
                <w:rFonts w:eastAsia="Times New Roman" w:cs="Times New Roman"/>
                <w:bCs/>
                <w:color w:val="000000"/>
                <w:sz w:val="20"/>
                <w:lang w:eastAsia="sk-SK"/>
              </w:rPr>
            </w:pPr>
            <w:r w:rsidRPr="00C635C4">
              <w:rPr>
                <w:rFonts w:eastAsia="Times New Roman" w:cs="Times New Roman"/>
                <w:bCs/>
                <w:color w:val="000000"/>
                <w:sz w:val="20"/>
                <w:lang w:eastAsia="sk-SK"/>
              </w:rPr>
              <w:t>351 - 450</w:t>
            </w:r>
          </w:p>
        </w:tc>
        <w:tc>
          <w:tcPr>
            <w:tcW w:w="1280" w:type="dxa"/>
            <w:shd w:val="clear" w:color="auto" w:fill="auto"/>
            <w:noWrap/>
            <w:vAlign w:val="bottom"/>
            <w:hideMark/>
          </w:tcPr>
          <w:p w14:paraId="42F5EB3C" w14:textId="77777777" w:rsidR="001B34C7" w:rsidRPr="00C550BC" w:rsidRDefault="001B34C7" w:rsidP="002E33D9">
            <w:pPr>
              <w:spacing w:after="0" w:line="240" w:lineRule="auto"/>
              <w:jc w:val="right"/>
              <w:rPr>
                <w:rFonts w:eastAsia="Times New Roman" w:cs="Times New Roman"/>
                <w:color w:val="000000"/>
                <w:sz w:val="20"/>
                <w:lang w:eastAsia="sk-SK"/>
              </w:rPr>
            </w:pPr>
            <w:r w:rsidRPr="00C550BC">
              <w:rPr>
                <w:rFonts w:eastAsia="Times New Roman" w:cs="Times New Roman"/>
                <w:color w:val="000000"/>
                <w:sz w:val="20"/>
                <w:lang w:eastAsia="sk-SK"/>
              </w:rPr>
              <w:t>21</w:t>
            </w:r>
          </w:p>
        </w:tc>
        <w:tc>
          <w:tcPr>
            <w:tcW w:w="1380" w:type="dxa"/>
            <w:shd w:val="clear" w:color="auto" w:fill="auto"/>
            <w:noWrap/>
            <w:vAlign w:val="bottom"/>
            <w:hideMark/>
          </w:tcPr>
          <w:p w14:paraId="6F4E2B52" w14:textId="77777777" w:rsidR="001B34C7" w:rsidRPr="00C550BC" w:rsidRDefault="001B34C7" w:rsidP="002E33D9">
            <w:pPr>
              <w:spacing w:after="0" w:line="240" w:lineRule="auto"/>
              <w:jc w:val="right"/>
              <w:rPr>
                <w:rFonts w:eastAsia="Times New Roman" w:cs="Times New Roman"/>
                <w:color w:val="000000"/>
                <w:sz w:val="20"/>
                <w:lang w:eastAsia="sk-SK"/>
              </w:rPr>
            </w:pPr>
            <w:r w:rsidRPr="00C550BC">
              <w:rPr>
                <w:rFonts w:eastAsia="Times New Roman" w:cs="Times New Roman"/>
                <w:color w:val="000000"/>
                <w:sz w:val="20"/>
                <w:lang w:eastAsia="sk-SK"/>
              </w:rPr>
              <w:t>83</w:t>
            </w:r>
          </w:p>
        </w:tc>
        <w:tc>
          <w:tcPr>
            <w:tcW w:w="1509" w:type="dxa"/>
            <w:shd w:val="clear" w:color="auto" w:fill="auto"/>
            <w:noWrap/>
            <w:vAlign w:val="bottom"/>
            <w:hideMark/>
          </w:tcPr>
          <w:p w14:paraId="24E0D06B" w14:textId="77777777" w:rsidR="001B34C7" w:rsidRPr="00C550BC" w:rsidRDefault="001B34C7" w:rsidP="002E33D9">
            <w:pPr>
              <w:spacing w:after="0" w:line="240" w:lineRule="auto"/>
              <w:jc w:val="right"/>
              <w:rPr>
                <w:rFonts w:eastAsia="Times New Roman" w:cs="Times New Roman"/>
                <w:color w:val="000000"/>
                <w:sz w:val="20"/>
                <w:lang w:eastAsia="sk-SK"/>
              </w:rPr>
            </w:pPr>
            <w:r w:rsidRPr="00C550BC">
              <w:rPr>
                <w:rFonts w:eastAsia="Times New Roman" w:cs="Times New Roman"/>
                <w:color w:val="000000"/>
                <w:sz w:val="20"/>
                <w:lang w:eastAsia="sk-SK"/>
              </w:rPr>
              <w:t>52</w:t>
            </w:r>
          </w:p>
        </w:tc>
      </w:tr>
      <w:tr w:rsidR="001B34C7" w:rsidRPr="00C550BC" w14:paraId="0CDE394C" w14:textId="77777777" w:rsidTr="002E33D9">
        <w:trPr>
          <w:trHeight w:val="284"/>
        </w:trPr>
        <w:tc>
          <w:tcPr>
            <w:tcW w:w="1360" w:type="dxa"/>
            <w:shd w:val="clear" w:color="auto" w:fill="auto"/>
            <w:noWrap/>
            <w:vAlign w:val="bottom"/>
            <w:hideMark/>
          </w:tcPr>
          <w:p w14:paraId="57BC3609" w14:textId="77777777" w:rsidR="001B34C7" w:rsidRPr="00C635C4" w:rsidRDefault="001B34C7" w:rsidP="002E33D9">
            <w:pPr>
              <w:spacing w:after="0" w:line="240" w:lineRule="auto"/>
              <w:rPr>
                <w:rFonts w:eastAsia="Times New Roman" w:cs="Times New Roman"/>
                <w:bCs/>
                <w:color w:val="000000"/>
                <w:sz w:val="20"/>
                <w:lang w:eastAsia="sk-SK"/>
              </w:rPr>
            </w:pPr>
            <w:r w:rsidRPr="00C635C4">
              <w:rPr>
                <w:rFonts w:eastAsia="Times New Roman" w:cs="Times New Roman"/>
                <w:bCs/>
                <w:color w:val="000000"/>
                <w:sz w:val="20"/>
                <w:lang w:eastAsia="sk-SK"/>
              </w:rPr>
              <w:t>451 - 550</w:t>
            </w:r>
          </w:p>
        </w:tc>
        <w:tc>
          <w:tcPr>
            <w:tcW w:w="1280" w:type="dxa"/>
            <w:shd w:val="clear" w:color="auto" w:fill="auto"/>
            <w:noWrap/>
            <w:vAlign w:val="bottom"/>
            <w:hideMark/>
          </w:tcPr>
          <w:p w14:paraId="6A71DFF1" w14:textId="77777777" w:rsidR="001B34C7" w:rsidRPr="00C550BC" w:rsidRDefault="001B34C7" w:rsidP="002E33D9">
            <w:pPr>
              <w:spacing w:after="0" w:line="240" w:lineRule="auto"/>
              <w:jc w:val="right"/>
              <w:rPr>
                <w:rFonts w:eastAsia="Times New Roman" w:cs="Times New Roman"/>
                <w:color w:val="000000"/>
                <w:sz w:val="20"/>
                <w:lang w:eastAsia="sk-SK"/>
              </w:rPr>
            </w:pPr>
            <w:r w:rsidRPr="00C550BC">
              <w:rPr>
                <w:rFonts w:eastAsia="Times New Roman" w:cs="Times New Roman"/>
                <w:color w:val="000000"/>
                <w:sz w:val="20"/>
                <w:lang w:eastAsia="sk-SK"/>
              </w:rPr>
              <w:t>15</w:t>
            </w:r>
          </w:p>
        </w:tc>
        <w:tc>
          <w:tcPr>
            <w:tcW w:w="1380" w:type="dxa"/>
            <w:shd w:val="clear" w:color="auto" w:fill="auto"/>
            <w:noWrap/>
            <w:vAlign w:val="bottom"/>
            <w:hideMark/>
          </w:tcPr>
          <w:p w14:paraId="2DA9173D" w14:textId="77777777" w:rsidR="001B34C7" w:rsidRPr="00C550BC" w:rsidRDefault="001B34C7" w:rsidP="002E33D9">
            <w:pPr>
              <w:spacing w:after="0" w:line="240" w:lineRule="auto"/>
              <w:jc w:val="right"/>
              <w:rPr>
                <w:rFonts w:eastAsia="Times New Roman" w:cs="Times New Roman"/>
                <w:color w:val="000000"/>
                <w:sz w:val="20"/>
                <w:lang w:eastAsia="sk-SK"/>
              </w:rPr>
            </w:pPr>
            <w:r w:rsidRPr="00C550BC">
              <w:rPr>
                <w:rFonts w:eastAsia="Times New Roman" w:cs="Times New Roman"/>
                <w:color w:val="000000"/>
                <w:sz w:val="20"/>
                <w:lang w:eastAsia="sk-SK"/>
              </w:rPr>
              <w:t>89</w:t>
            </w:r>
          </w:p>
        </w:tc>
        <w:tc>
          <w:tcPr>
            <w:tcW w:w="1509" w:type="dxa"/>
            <w:shd w:val="clear" w:color="auto" w:fill="auto"/>
            <w:noWrap/>
            <w:vAlign w:val="bottom"/>
            <w:hideMark/>
          </w:tcPr>
          <w:p w14:paraId="4AED4E36" w14:textId="77777777" w:rsidR="001B34C7" w:rsidRPr="00C550BC" w:rsidRDefault="001B34C7" w:rsidP="002E33D9">
            <w:pPr>
              <w:spacing w:after="0" w:line="240" w:lineRule="auto"/>
              <w:jc w:val="right"/>
              <w:rPr>
                <w:rFonts w:eastAsia="Times New Roman" w:cs="Times New Roman"/>
                <w:color w:val="000000"/>
                <w:sz w:val="20"/>
                <w:lang w:eastAsia="sk-SK"/>
              </w:rPr>
            </w:pPr>
            <w:r w:rsidRPr="00C550BC">
              <w:rPr>
                <w:rFonts w:eastAsia="Times New Roman" w:cs="Times New Roman"/>
                <w:color w:val="000000"/>
                <w:sz w:val="20"/>
                <w:lang w:eastAsia="sk-SK"/>
              </w:rPr>
              <w:t>85</w:t>
            </w:r>
          </w:p>
        </w:tc>
      </w:tr>
      <w:tr w:rsidR="001B34C7" w:rsidRPr="00C550BC" w14:paraId="56A4A301" w14:textId="77777777" w:rsidTr="002E33D9">
        <w:trPr>
          <w:trHeight w:val="284"/>
        </w:trPr>
        <w:tc>
          <w:tcPr>
            <w:tcW w:w="1360" w:type="dxa"/>
            <w:tcBorders>
              <w:bottom w:val="single" w:sz="4" w:space="0" w:color="auto"/>
            </w:tcBorders>
            <w:shd w:val="clear" w:color="auto" w:fill="auto"/>
            <w:noWrap/>
            <w:vAlign w:val="bottom"/>
            <w:hideMark/>
          </w:tcPr>
          <w:p w14:paraId="4448DD9E" w14:textId="77777777" w:rsidR="001B34C7" w:rsidRPr="00C635C4" w:rsidRDefault="001B34C7" w:rsidP="002E33D9">
            <w:pPr>
              <w:spacing w:after="0" w:line="240" w:lineRule="auto"/>
              <w:rPr>
                <w:rFonts w:eastAsia="Times New Roman" w:cs="Times New Roman"/>
                <w:bCs/>
                <w:color w:val="000000"/>
                <w:sz w:val="20"/>
                <w:lang w:eastAsia="sk-SK"/>
              </w:rPr>
            </w:pPr>
            <w:r w:rsidRPr="00C635C4">
              <w:rPr>
                <w:rFonts w:eastAsia="Times New Roman" w:cs="Times New Roman"/>
                <w:bCs/>
                <w:color w:val="000000"/>
                <w:sz w:val="20"/>
                <w:lang w:eastAsia="sk-SK"/>
              </w:rPr>
              <w:t>551 a viac</w:t>
            </w:r>
          </w:p>
        </w:tc>
        <w:tc>
          <w:tcPr>
            <w:tcW w:w="1280" w:type="dxa"/>
            <w:tcBorders>
              <w:bottom w:val="single" w:sz="4" w:space="0" w:color="auto"/>
            </w:tcBorders>
            <w:shd w:val="clear" w:color="auto" w:fill="auto"/>
            <w:noWrap/>
            <w:vAlign w:val="bottom"/>
            <w:hideMark/>
          </w:tcPr>
          <w:p w14:paraId="3A6ADB67" w14:textId="77777777" w:rsidR="001B34C7" w:rsidRPr="00C550BC" w:rsidRDefault="001B34C7" w:rsidP="002E33D9">
            <w:pPr>
              <w:spacing w:after="0" w:line="240" w:lineRule="auto"/>
              <w:jc w:val="right"/>
              <w:rPr>
                <w:rFonts w:eastAsia="Times New Roman" w:cs="Times New Roman"/>
                <w:color w:val="000000"/>
                <w:sz w:val="20"/>
                <w:lang w:eastAsia="sk-SK"/>
              </w:rPr>
            </w:pPr>
            <w:r w:rsidRPr="00C550BC">
              <w:rPr>
                <w:rFonts w:eastAsia="Times New Roman" w:cs="Times New Roman"/>
                <w:color w:val="000000"/>
                <w:sz w:val="20"/>
                <w:lang w:eastAsia="sk-SK"/>
              </w:rPr>
              <w:t>23</w:t>
            </w:r>
          </w:p>
        </w:tc>
        <w:tc>
          <w:tcPr>
            <w:tcW w:w="1380" w:type="dxa"/>
            <w:tcBorders>
              <w:bottom w:val="single" w:sz="4" w:space="0" w:color="auto"/>
            </w:tcBorders>
            <w:shd w:val="clear" w:color="auto" w:fill="auto"/>
            <w:noWrap/>
            <w:vAlign w:val="bottom"/>
            <w:hideMark/>
          </w:tcPr>
          <w:p w14:paraId="306FD290" w14:textId="77777777" w:rsidR="001B34C7" w:rsidRPr="00C550BC" w:rsidRDefault="001B34C7" w:rsidP="002E33D9">
            <w:pPr>
              <w:spacing w:after="0" w:line="240" w:lineRule="auto"/>
              <w:jc w:val="right"/>
              <w:rPr>
                <w:rFonts w:eastAsia="Times New Roman" w:cs="Times New Roman"/>
                <w:color w:val="000000"/>
                <w:sz w:val="20"/>
                <w:lang w:eastAsia="sk-SK"/>
              </w:rPr>
            </w:pPr>
            <w:r w:rsidRPr="00C550BC">
              <w:rPr>
                <w:rFonts w:eastAsia="Times New Roman" w:cs="Times New Roman"/>
                <w:color w:val="000000"/>
                <w:sz w:val="20"/>
                <w:lang w:eastAsia="sk-SK"/>
              </w:rPr>
              <w:t>89</w:t>
            </w:r>
          </w:p>
        </w:tc>
        <w:tc>
          <w:tcPr>
            <w:tcW w:w="1509" w:type="dxa"/>
            <w:tcBorders>
              <w:bottom w:val="single" w:sz="4" w:space="0" w:color="auto"/>
            </w:tcBorders>
            <w:shd w:val="clear" w:color="auto" w:fill="auto"/>
            <w:noWrap/>
            <w:vAlign w:val="bottom"/>
            <w:hideMark/>
          </w:tcPr>
          <w:p w14:paraId="4CEDB77A" w14:textId="77777777" w:rsidR="001B34C7" w:rsidRPr="00C550BC" w:rsidRDefault="001B34C7" w:rsidP="002E33D9">
            <w:pPr>
              <w:spacing w:after="0" w:line="240" w:lineRule="auto"/>
              <w:jc w:val="right"/>
              <w:rPr>
                <w:rFonts w:eastAsia="Times New Roman" w:cs="Times New Roman"/>
                <w:color w:val="000000"/>
                <w:sz w:val="20"/>
                <w:lang w:eastAsia="sk-SK"/>
              </w:rPr>
            </w:pPr>
            <w:r w:rsidRPr="00C550BC">
              <w:rPr>
                <w:rFonts w:eastAsia="Times New Roman" w:cs="Times New Roman"/>
                <w:color w:val="000000"/>
                <w:sz w:val="20"/>
                <w:lang w:eastAsia="sk-SK"/>
              </w:rPr>
              <w:t>95</w:t>
            </w:r>
          </w:p>
        </w:tc>
      </w:tr>
      <w:tr w:rsidR="001B34C7" w:rsidRPr="00C550BC" w14:paraId="4131F2AA" w14:textId="77777777" w:rsidTr="002E33D9">
        <w:trPr>
          <w:trHeight w:val="284"/>
        </w:trPr>
        <w:tc>
          <w:tcPr>
            <w:tcW w:w="1360" w:type="dxa"/>
            <w:tcBorders>
              <w:top w:val="single" w:sz="4" w:space="0" w:color="auto"/>
              <w:bottom w:val="single" w:sz="4" w:space="0" w:color="auto"/>
            </w:tcBorders>
            <w:shd w:val="clear" w:color="auto" w:fill="auto"/>
            <w:noWrap/>
            <w:vAlign w:val="bottom"/>
            <w:hideMark/>
          </w:tcPr>
          <w:p w14:paraId="050E357C" w14:textId="77777777" w:rsidR="001B34C7" w:rsidRPr="00C550BC" w:rsidRDefault="001B34C7" w:rsidP="002E33D9">
            <w:pPr>
              <w:spacing w:after="0" w:line="240" w:lineRule="auto"/>
              <w:rPr>
                <w:rFonts w:eastAsia="Times New Roman" w:cs="Times New Roman"/>
                <w:b/>
                <w:bCs/>
                <w:color w:val="000000"/>
                <w:sz w:val="20"/>
                <w:lang w:eastAsia="sk-SK"/>
              </w:rPr>
            </w:pPr>
            <w:r w:rsidRPr="00C550BC">
              <w:rPr>
                <w:rFonts w:eastAsia="Times New Roman" w:cs="Times New Roman"/>
                <w:b/>
                <w:bCs/>
                <w:color w:val="000000"/>
                <w:sz w:val="20"/>
                <w:lang w:eastAsia="sk-SK"/>
              </w:rPr>
              <w:t>SPOLU</w:t>
            </w:r>
          </w:p>
        </w:tc>
        <w:tc>
          <w:tcPr>
            <w:tcW w:w="1280" w:type="dxa"/>
            <w:tcBorders>
              <w:top w:val="single" w:sz="4" w:space="0" w:color="auto"/>
              <w:bottom w:val="single" w:sz="4" w:space="0" w:color="auto"/>
            </w:tcBorders>
            <w:shd w:val="clear" w:color="auto" w:fill="auto"/>
            <w:noWrap/>
            <w:vAlign w:val="bottom"/>
            <w:hideMark/>
          </w:tcPr>
          <w:p w14:paraId="0D267A8A" w14:textId="77777777" w:rsidR="001B34C7" w:rsidRPr="00C550BC" w:rsidRDefault="001B34C7" w:rsidP="002E33D9">
            <w:pPr>
              <w:spacing w:after="0" w:line="240" w:lineRule="auto"/>
              <w:jc w:val="right"/>
              <w:rPr>
                <w:rFonts w:eastAsia="Times New Roman" w:cs="Times New Roman"/>
                <w:b/>
                <w:bCs/>
                <w:color w:val="000000"/>
                <w:sz w:val="20"/>
                <w:lang w:eastAsia="sk-SK"/>
              </w:rPr>
            </w:pPr>
            <w:r w:rsidRPr="00C550BC">
              <w:rPr>
                <w:rFonts w:eastAsia="Times New Roman" w:cs="Times New Roman"/>
                <w:b/>
                <w:bCs/>
                <w:color w:val="000000"/>
                <w:sz w:val="20"/>
                <w:lang w:eastAsia="sk-SK"/>
              </w:rPr>
              <w:t>31</w:t>
            </w:r>
          </w:p>
        </w:tc>
        <w:tc>
          <w:tcPr>
            <w:tcW w:w="1380" w:type="dxa"/>
            <w:tcBorders>
              <w:top w:val="single" w:sz="4" w:space="0" w:color="auto"/>
              <w:bottom w:val="single" w:sz="4" w:space="0" w:color="auto"/>
            </w:tcBorders>
            <w:shd w:val="clear" w:color="auto" w:fill="auto"/>
            <w:noWrap/>
            <w:vAlign w:val="bottom"/>
            <w:hideMark/>
          </w:tcPr>
          <w:p w14:paraId="1837C538" w14:textId="77777777" w:rsidR="001B34C7" w:rsidRPr="00C550BC" w:rsidRDefault="001B34C7" w:rsidP="002E33D9">
            <w:pPr>
              <w:spacing w:after="0" w:line="240" w:lineRule="auto"/>
              <w:jc w:val="right"/>
              <w:rPr>
                <w:rFonts w:eastAsia="Times New Roman" w:cs="Times New Roman"/>
                <w:b/>
                <w:bCs/>
                <w:color w:val="000000"/>
                <w:sz w:val="20"/>
                <w:lang w:eastAsia="sk-SK"/>
              </w:rPr>
            </w:pPr>
            <w:r w:rsidRPr="00C550BC">
              <w:rPr>
                <w:rFonts w:eastAsia="Times New Roman" w:cs="Times New Roman"/>
                <w:b/>
                <w:bCs/>
                <w:color w:val="000000"/>
                <w:sz w:val="20"/>
                <w:lang w:eastAsia="sk-SK"/>
              </w:rPr>
              <w:t>84</w:t>
            </w:r>
          </w:p>
        </w:tc>
        <w:tc>
          <w:tcPr>
            <w:tcW w:w="1509" w:type="dxa"/>
            <w:tcBorders>
              <w:top w:val="single" w:sz="4" w:space="0" w:color="auto"/>
              <w:bottom w:val="single" w:sz="4" w:space="0" w:color="auto"/>
            </w:tcBorders>
            <w:shd w:val="clear" w:color="auto" w:fill="auto"/>
            <w:noWrap/>
            <w:vAlign w:val="bottom"/>
            <w:hideMark/>
          </w:tcPr>
          <w:p w14:paraId="2E95BAF4" w14:textId="77777777" w:rsidR="001B34C7" w:rsidRPr="00C550BC" w:rsidRDefault="001B34C7" w:rsidP="002E33D9">
            <w:pPr>
              <w:spacing w:after="0" w:line="240" w:lineRule="auto"/>
              <w:jc w:val="right"/>
              <w:rPr>
                <w:rFonts w:eastAsia="Times New Roman" w:cs="Times New Roman"/>
                <w:b/>
                <w:bCs/>
                <w:color w:val="000000"/>
                <w:sz w:val="20"/>
                <w:lang w:eastAsia="sk-SK"/>
              </w:rPr>
            </w:pPr>
            <w:r w:rsidRPr="00C550BC">
              <w:rPr>
                <w:rFonts w:eastAsia="Times New Roman" w:cs="Times New Roman"/>
                <w:b/>
                <w:bCs/>
                <w:color w:val="000000"/>
                <w:sz w:val="20"/>
                <w:lang w:eastAsia="sk-SK"/>
              </w:rPr>
              <w:t>63</w:t>
            </w:r>
          </w:p>
        </w:tc>
      </w:tr>
    </w:tbl>
    <w:p w14:paraId="34373D4C" w14:textId="77777777" w:rsidR="001B34C7" w:rsidRDefault="001B34C7" w:rsidP="001B34C7">
      <w:pPr>
        <w:pStyle w:val="Bezriadkovania"/>
        <w:jc w:val="right"/>
        <w:rPr>
          <w:rFonts w:ascii="Arial Narrow" w:hAnsi="Arial Narrow"/>
          <w:i/>
          <w:sz w:val="18"/>
          <w:szCs w:val="18"/>
        </w:rPr>
      </w:pPr>
      <w:r w:rsidRPr="009973EE">
        <w:rPr>
          <w:rFonts w:ascii="Arial Narrow" w:hAnsi="Arial Narrow"/>
          <w:sz w:val="20"/>
          <w:szCs w:val="20"/>
        </w:rPr>
        <w:t xml:space="preserve"> </w:t>
      </w:r>
      <w:r w:rsidRPr="009973EE">
        <w:rPr>
          <w:rFonts w:ascii="Arial Narrow" w:hAnsi="Arial Narrow"/>
          <w:i/>
          <w:sz w:val="18"/>
          <w:szCs w:val="18"/>
        </w:rPr>
        <w:t>Zdroj: Vlastné prepočty IVP na základe dát Eduzber (2018), CVTI (2018) a Štvrťročný výkaz o práci v</w:t>
      </w:r>
      <w:r>
        <w:rPr>
          <w:rFonts w:ascii="Arial Narrow" w:hAnsi="Arial Narrow"/>
          <w:i/>
          <w:sz w:val="18"/>
          <w:szCs w:val="18"/>
        </w:rPr>
        <w:t> </w:t>
      </w:r>
      <w:r w:rsidRPr="009973EE">
        <w:rPr>
          <w:rFonts w:ascii="Arial Narrow" w:hAnsi="Arial Narrow"/>
          <w:i/>
          <w:sz w:val="18"/>
          <w:szCs w:val="18"/>
        </w:rPr>
        <w:t>školstve</w:t>
      </w:r>
      <w:r>
        <w:rPr>
          <w:rFonts w:ascii="Arial Narrow" w:hAnsi="Arial Narrow"/>
          <w:i/>
          <w:sz w:val="18"/>
          <w:szCs w:val="18"/>
        </w:rPr>
        <w:t xml:space="preserve"> (2018)</w:t>
      </w:r>
      <w:r w:rsidRPr="009973EE">
        <w:rPr>
          <w:rFonts w:ascii="Arial Narrow" w:hAnsi="Arial Narrow"/>
          <w:i/>
          <w:sz w:val="18"/>
          <w:szCs w:val="18"/>
        </w:rPr>
        <w:t>.</w:t>
      </w:r>
    </w:p>
    <w:p w14:paraId="463768C5" w14:textId="77777777" w:rsidR="001B34C7" w:rsidRPr="00AA0B2F" w:rsidRDefault="001B34C7" w:rsidP="001B34C7">
      <w:pPr>
        <w:pStyle w:val="Bezriadkovania"/>
        <w:rPr>
          <w:rFonts w:ascii="Arial Narrow" w:hAnsi="Arial Narrow"/>
          <w:i/>
          <w:sz w:val="18"/>
          <w:szCs w:val="18"/>
        </w:rPr>
      </w:pPr>
    </w:p>
    <w:p w14:paraId="56BB3770" w14:textId="77777777" w:rsidR="001B34C7" w:rsidRDefault="001B34C7" w:rsidP="001B34C7">
      <w:pPr>
        <w:rPr>
          <w:b/>
          <w:color w:val="0070C0"/>
          <w:sz w:val="20"/>
        </w:rPr>
      </w:pPr>
      <w:r>
        <w:rPr>
          <w:b/>
          <w:color w:val="0070C0"/>
          <w:sz w:val="20"/>
        </w:rPr>
        <w:br w:type="page"/>
      </w:r>
    </w:p>
    <w:p w14:paraId="674AB6C6" w14:textId="77777777" w:rsidR="001B34C7" w:rsidRDefault="001B34C7" w:rsidP="001B34C7">
      <w:pPr>
        <w:pStyle w:val="Popis"/>
        <w:rPr>
          <w:b/>
          <w:i w:val="0"/>
          <w:color w:val="2E74B5" w:themeColor="accent1" w:themeShade="BF"/>
          <w:sz w:val="22"/>
        </w:rPr>
      </w:pPr>
      <w:bookmarkStart w:id="1928" w:name="_Ref25844574"/>
      <w:r w:rsidRPr="000C6214">
        <w:rPr>
          <w:b/>
          <w:i w:val="0"/>
          <w:color w:val="2E74B5" w:themeColor="accent1" w:themeShade="BF"/>
          <w:sz w:val="22"/>
        </w:rPr>
        <w:t xml:space="preserve">Príloha </w:t>
      </w:r>
      <w:r w:rsidRPr="00AD2F2A">
        <w:rPr>
          <w:b/>
          <w:i w:val="0"/>
          <w:color w:val="2E74B5" w:themeColor="accent1" w:themeShade="BF"/>
          <w:sz w:val="22"/>
        </w:rPr>
        <w:fldChar w:fldCharType="begin"/>
      </w:r>
      <w:r w:rsidRPr="00AD2F2A">
        <w:rPr>
          <w:b/>
          <w:i w:val="0"/>
          <w:color w:val="2E74B5" w:themeColor="accent1" w:themeShade="BF"/>
          <w:sz w:val="22"/>
        </w:rPr>
        <w:instrText xml:space="preserve"> SEQ Príloha \* ARABIC </w:instrText>
      </w:r>
      <w:r w:rsidRPr="00AD2F2A">
        <w:rPr>
          <w:b/>
          <w:i w:val="0"/>
          <w:color w:val="2E74B5" w:themeColor="accent1" w:themeShade="BF"/>
          <w:sz w:val="22"/>
        </w:rPr>
        <w:fldChar w:fldCharType="separate"/>
      </w:r>
      <w:r w:rsidR="00FA29AF">
        <w:rPr>
          <w:b/>
          <w:i w:val="0"/>
          <w:noProof/>
          <w:color w:val="2E74B5" w:themeColor="accent1" w:themeShade="BF"/>
          <w:sz w:val="22"/>
        </w:rPr>
        <w:t>23</w:t>
      </w:r>
      <w:r w:rsidRPr="00AD2F2A">
        <w:rPr>
          <w:b/>
          <w:i w:val="0"/>
          <w:color w:val="2E74B5" w:themeColor="accent1" w:themeShade="BF"/>
          <w:sz w:val="22"/>
        </w:rPr>
        <w:fldChar w:fldCharType="end"/>
      </w:r>
      <w:bookmarkEnd w:id="1928"/>
      <w:r w:rsidRPr="000C6214">
        <w:rPr>
          <w:b/>
          <w:i w:val="0"/>
          <w:color w:val="2E74B5" w:themeColor="accent1" w:themeShade="BF"/>
          <w:sz w:val="22"/>
        </w:rPr>
        <w:t>: Žiadané a pridelené úväzky na pedagogických asistentov podľa druhu školy, 2018</w:t>
      </w:r>
    </w:p>
    <w:p w14:paraId="3852CA22" w14:textId="77777777" w:rsidR="001B34C7" w:rsidRPr="000337F8" w:rsidRDefault="001B34C7" w:rsidP="001B34C7">
      <w:pPr>
        <w:spacing w:after="0"/>
      </w:pPr>
      <w:r w:rsidRPr="00AF6AB3">
        <w:rPr>
          <w:b/>
          <w:sz w:val="20"/>
        </w:rPr>
        <w:t xml:space="preserve">Tabuľka P </w:t>
      </w:r>
      <w:r w:rsidRPr="00AF6AB3">
        <w:rPr>
          <w:b/>
          <w:sz w:val="20"/>
        </w:rPr>
        <w:fldChar w:fldCharType="begin"/>
      </w:r>
      <w:r w:rsidRPr="00AF6AB3">
        <w:rPr>
          <w:b/>
          <w:sz w:val="20"/>
        </w:rPr>
        <w:instrText xml:space="preserve"> SEQ Tabuľka_P \* ARABIC </w:instrText>
      </w:r>
      <w:r w:rsidRPr="00AF6AB3">
        <w:rPr>
          <w:b/>
          <w:sz w:val="20"/>
        </w:rPr>
        <w:fldChar w:fldCharType="separate"/>
      </w:r>
      <w:r w:rsidR="00FA29AF">
        <w:rPr>
          <w:b/>
          <w:noProof/>
          <w:sz w:val="20"/>
        </w:rPr>
        <w:t>19</w:t>
      </w:r>
      <w:r w:rsidRPr="00AF6AB3">
        <w:rPr>
          <w:b/>
          <w:sz w:val="20"/>
        </w:rPr>
        <w:fldChar w:fldCharType="end"/>
      </w:r>
      <w:r w:rsidRPr="00AF6AB3">
        <w:rPr>
          <w:b/>
          <w:sz w:val="20"/>
        </w:rPr>
        <w:t>:</w:t>
      </w:r>
      <w:r>
        <w:rPr>
          <w:b/>
          <w:sz w:val="20"/>
        </w:rPr>
        <w:t xml:space="preserve"> </w:t>
      </w:r>
      <w:r w:rsidRPr="000337F8">
        <w:rPr>
          <w:b/>
          <w:sz w:val="20"/>
        </w:rPr>
        <w:t>Žiadané a pridelené úväzky na pedagogických asistentov podľa druhu školy, 2018</w:t>
      </w:r>
      <w:r>
        <w:rPr>
          <w:b/>
          <w:sz w:val="20"/>
        </w:rPr>
        <w:t xml:space="preserve"> (%)</w:t>
      </w:r>
    </w:p>
    <w:tbl>
      <w:tblPr>
        <w:tblW w:w="5000" w:type="pct"/>
        <w:tblBorders>
          <w:bottom w:val="single" w:sz="4" w:space="0" w:color="auto"/>
        </w:tblBorders>
        <w:tblLayout w:type="fixed"/>
        <w:tblCellMar>
          <w:left w:w="70" w:type="dxa"/>
          <w:right w:w="70" w:type="dxa"/>
        </w:tblCellMar>
        <w:tblLook w:val="04A0" w:firstRow="1" w:lastRow="0" w:firstColumn="1" w:lastColumn="0" w:noHBand="0" w:noVBand="1"/>
      </w:tblPr>
      <w:tblGrid>
        <w:gridCol w:w="1284"/>
        <w:gridCol w:w="1287"/>
        <w:gridCol w:w="1287"/>
        <w:gridCol w:w="1287"/>
        <w:gridCol w:w="1369"/>
        <w:gridCol w:w="1204"/>
        <w:gridCol w:w="1370"/>
      </w:tblGrid>
      <w:tr w:rsidR="001B34C7" w:rsidRPr="001F7B00" w14:paraId="75076796" w14:textId="77777777" w:rsidTr="002E33D9">
        <w:trPr>
          <w:trHeight w:val="955"/>
        </w:trPr>
        <w:tc>
          <w:tcPr>
            <w:tcW w:w="1203" w:type="dxa"/>
            <w:tcBorders>
              <w:top w:val="single" w:sz="4" w:space="0" w:color="auto"/>
              <w:bottom w:val="single" w:sz="4" w:space="0" w:color="auto"/>
            </w:tcBorders>
            <w:shd w:val="clear" w:color="auto" w:fill="auto"/>
            <w:noWrap/>
            <w:vAlign w:val="bottom"/>
            <w:hideMark/>
          </w:tcPr>
          <w:p w14:paraId="5B214C06" w14:textId="77777777" w:rsidR="001B34C7" w:rsidRPr="001F7B00" w:rsidRDefault="001B34C7" w:rsidP="002E33D9">
            <w:pPr>
              <w:spacing w:after="0" w:line="240" w:lineRule="auto"/>
              <w:rPr>
                <w:rFonts w:eastAsia="Times New Roman" w:cs="Times New Roman"/>
                <w:sz w:val="20"/>
                <w:lang w:eastAsia="sk-SK"/>
              </w:rPr>
            </w:pPr>
          </w:p>
        </w:tc>
        <w:tc>
          <w:tcPr>
            <w:tcW w:w="1204" w:type="dxa"/>
            <w:tcBorders>
              <w:top w:val="single" w:sz="4" w:space="0" w:color="auto"/>
              <w:bottom w:val="single" w:sz="4" w:space="0" w:color="auto"/>
            </w:tcBorders>
            <w:shd w:val="clear" w:color="auto" w:fill="auto"/>
            <w:vAlign w:val="center"/>
            <w:hideMark/>
          </w:tcPr>
          <w:p w14:paraId="276E5B92" w14:textId="77777777" w:rsidR="001B34C7" w:rsidRPr="001F7B00" w:rsidRDefault="001B34C7" w:rsidP="002E33D9">
            <w:pPr>
              <w:spacing w:after="0" w:line="240" w:lineRule="auto"/>
              <w:jc w:val="right"/>
              <w:rPr>
                <w:rFonts w:eastAsia="Times New Roman" w:cs="Times New Roman"/>
                <w:b/>
                <w:bCs/>
                <w:color w:val="000000"/>
                <w:sz w:val="20"/>
                <w:lang w:eastAsia="sk-SK"/>
              </w:rPr>
            </w:pPr>
            <w:r w:rsidRPr="001F7B00">
              <w:rPr>
                <w:rFonts w:eastAsia="Times New Roman" w:cs="Times New Roman"/>
                <w:b/>
                <w:bCs/>
                <w:color w:val="000000"/>
                <w:sz w:val="20"/>
                <w:lang w:eastAsia="sk-SK"/>
              </w:rPr>
              <w:t>Podiel žiadajúcich škôl</w:t>
            </w:r>
          </w:p>
        </w:tc>
        <w:tc>
          <w:tcPr>
            <w:tcW w:w="1204" w:type="dxa"/>
            <w:tcBorders>
              <w:top w:val="single" w:sz="4" w:space="0" w:color="auto"/>
              <w:bottom w:val="single" w:sz="4" w:space="0" w:color="auto"/>
            </w:tcBorders>
            <w:shd w:val="clear" w:color="auto" w:fill="auto"/>
            <w:vAlign w:val="center"/>
            <w:hideMark/>
          </w:tcPr>
          <w:p w14:paraId="4FBBBE43" w14:textId="77777777" w:rsidR="001B34C7" w:rsidRPr="001F7B00" w:rsidRDefault="001B34C7" w:rsidP="002E33D9">
            <w:pPr>
              <w:spacing w:after="0" w:line="240" w:lineRule="auto"/>
              <w:jc w:val="right"/>
              <w:rPr>
                <w:rFonts w:eastAsia="Times New Roman" w:cs="Times New Roman"/>
                <w:b/>
                <w:bCs/>
                <w:color w:val="000000"/>
                <w:sz w:val="20"/>
                <w:lang w:eastAsia="sk-SK"/>
              </w:rPr>
            </w:pPr>
            <w:r w:rsidRPr="001F7B00">
              <w:rPr>
                <w:rFonts w:eastAsia="Times New Roman" w:cs="Times New Roman"/>
                <w:b/>
                <w:bCs/>
                <w:color w:val="000000"/>
                <w:sz w:val="20"/>
                <w:lang w:eastAsia="sk-SK"/>
              </w:rPr>
              <w:t>Podiel zo všetkých žiadaných úväzkov</w:t>
            </w:r>
          </w:p>
        </w:tc>
        <w:tc>
          <w:tcPr>
            <w:tcW w:w="1204" w:type="dxa"/>
            <w:tcBorders>
              <w:top w:val="single" w:sz="4" w:space="0" w:color="auto"/>
              <w:bottom w:val="single" w:sz="4" w:space="0" w:color="auto"/>
            </w:tcBorders>
            <w:shd w:val="clear" w:color="auto" w:fill="auto"/>
            <w:vAlign w:val="center"/>
            <w:hideMark/>
          </w:tcPr>
          <w:p w14:paraId="707F0274" w14:textId="77777777" w:rsidR="001B34C7" w:rsidRPr="001F7B00" w:rsidRDefault="001B34C7" w:rsidP="002E33D9">
            <w:pPr>
              <w:spacing w:after="0" w:line="240" w:lineRule="auto"/>
              <w:jc w:val="right"/>
              <w:rPr>
                <w:rFonts w:eastAsia="Times New Roman" w:cs="Times New Roman"/>
                <w:b/>
                <w:bCs/>
                <w:color w:val="000000"/>
                <w:sz w:val="20"/>
                <w:lang w:eastAsia="sk-SK"/>
              </w:rPr>
            </w:pPr>
            <w:r w:rsidRPr="001F7B00">
              <w:rPr>
                <w:rFonts w:eastAsia="Times New Roman" w:cs="Times New Roman"/>
                <w:b/>
                <w:bCs/>
                <w:color w:val="000000"/>
                <w:sz w:val="20"/>
                <w:lang w:eastAsia="sk-SK"/>
              </w:rPr>
              <w:t xml:space="preserve">Podiel z pridelených </w:t>
            </w:r>
            <w:r w:rsidRPr="009973EE">
              <w:rPr>
                <w:rFonts w:eastAsia="Times New Roman" w:cs="Times New Roman"/>
                <w:b/>
                <w:bCs/>
                <w:color w:val="000000"/>
                <w:sz w:val="20"/>
                <w:lang w:eastAsia="sk-SK"/>
              </w:rPr>
              <w:t>úväzkov</w:t>
            </w:r>
          </w:p>
        </w:tc>
        <w:tc>
          <w:tcPr>
            <w:tcW w:w="1281" w:type="dxa"/>
            <w:tcBorders>
              <w:top w:val="single" w:sz="4" w:space="0" w:color="auto"/>
              <w:bottom w:val="single" w:sz="4" w:space="0" w:color="auto"/>
            </w:tcBorders>
            <w:shd w:val="clear" w:color="auto" w:fill="auto"/>
            <w:vAlign w:val="center"/>
            <w:hideMark/>
          </w:tcPr>
          <w:p w14:paraId="538E0E7B" w14:textId="77777777" w:rsidR="001B34C7" w:rsidRPr="001F7B00" w:rsidRDefault="001B34C7" w:rsidP="002E33D9">
            <w:pPr>
              <w:spacing w:after="0" w:line="240" w:lineRule="auto"/>
              <w:jc w:val="right"/>
              <w:rPr>
                <w:rFonts w:eastAsia="Times New Roman" w:cs="Times New Roman"/>
                <w:b/>
                <w:bCs/>
                <w:color w:val="000000"/>
                <w:sz w:val="20"/>
                <w:lang w:eastAsia="sk-SK"/>
              </w:rPr>
            </w:pPr>
            <w:r w:rsidRPr="001F7B00">
              <w:rPr>
                <w:rFonts w:eastAsia="Times New Roman" w:cs="Times New Roman"/>
                <w:b/>
                <w:bCs/>
                <w:color w:val="000000"/>
                <w:sz w:val="20"/>
                <w:lang w:eastAsia="sk-SK"/>
              </w:rPr>
              <w:t>Podiel aspoň čiastočne uspokojených žiadostí</w:t>
            </w:r>
          </w:p>
        </w:tc>
        <w:tc>
          <w:tcPr>
            <w:tcW w:w="1127" w:type="dxa"/>
            <w:tcBorders>
              <w:top w:val="single" w:sz="4" w:space="0" w:color="auto"/>
              <w:bottom w:val="single" w:sz="4" w:space="0" w:color="auto"/>
            </w:tcBorders>
            <w:shd w:val="clear" w:color="auto" w:fill="auto"/>
            <w:vAlign w:val="center"/>
            <w:hideMark/>
          </w:tcPr>
          <w:p w14:paraId="0BCE65B8" w14:textId="686BA021" w:rsidR="001B34C7" w:rsidRPr="001F7B00" w:rsidRDefault="001B34C7" w:rsidP="002E33D9">
            <w:pPr>
              <w:spacing w:after="0" w:line="240" w:lineRule="auto"/>
              <w:jc w:val="right"/>
              <w:rPr>
                <w:rFonts w:eastAsia="Times New Roman" w:cs="Times New Roman"/>
                <w:b/>
                <w:bCs/>
                <w:color w:val="000000"/>
                <w:sz w:val="20"/>
                <w:lang w:eastAsia="sk-SK"/>
              </w:rPr>
            </w:pPr>
            <w:r w:rsidRPr="001F7B00">
              <w:rPr>
                <w:rFonts w:eastAsia="Times New Roman" w:cs="Times New Roman"/>
                <w:b/>
                <w:bCs/>
                <w:color w:val="000000"/>
                <w:sz w:val="20"/>
                <w:lang w:eastAsia="sk-SK"/>
              </w:rPr>
              <w:t>Podiel</w:t>
            </w:r>
            <w:r w:rsidR="0070047D">
              <w:rPr>
                <w:rFonts w:eastAsia="Times New Roman" w:cs="Times New Roman"/>
                <w:b/>
                <w:bCs/>
                <w:color w:val="000000"/>
                <w:sz w:val="20"/>
                <w:lang w:eastAsia="sk-SK"/>
              </w:rPr>
              <w:t xml:space="preserve"> </w:t>
            </w:r>
            <w:r w:rsidRPr="001F7B00">
              <w:rPr>
                <w:rFonts w:eastAsia="Times New Roman" w:cs="Times New Roman"/>
                <w:b/>
                <w:bCs/>
                <w:color w:val="000000"/>
                <w:sz w:val="20"/>
                <w:lang w:eastAsia="sk-SK"/>
              </w:rPr>
              <w:t>pridelených</w:t>
            </w:r>
            <w:r w:rsidRPr="009973EE">
              <w:rPr>
                <w:rFonts w:eastAsia="Times New Roman" w:cs="Times New Roman"/>
                <w:b/>
                <w:bCs/>
                <w:color w:val="000000"/>
                <w:sz w:val="20"/>
                <w:lang w:eastAsia="sk-SK"/>
              </w:rPr>
              <w:t xml:space="preserve"> úväzkov</w:t>
            </w:r>
            <w:r w:rsidRPr="001F7B00">
              <w:rPr>
                <w:rFonts w:eastAsia="Times New Roman" w:cs="Times New Roman"/>
                <w:b/>
                <w:bCs/>
                <w:color w:val="000000"/>
                <w:sz w:val="20"/>
                <w:lang w:eastAsia="sk-SK"/>
              </w:rPr>
              <w:t xml:space="preserve"> zo žiadaných </w:t>
            </w:r>
            <w:r w:rsidRPr="009973EE">
              <w:rPr>
                <w:rFonts w:eastAsia="Times New Roman" w:cs="Times New Roman"/>
                <w:b/>
                <w:bCs/>
                <w:color w:val="000000"/>
                <w:sz w:val="20"/>
                <w:lang w:eastAsia="sk-SK"/>
              </w:rPr>
              <w:t>úväzkov</w:t>
            </w:r>
          </w:p>
        </w:tc>
        <w:tc>
          <w:tcPr>
            <w:tcW w:w="1282" w:type="dxa"/>
            <w:tcBorders>
              <w:top w:val="single" w:sz="4" w:space="0" w:color="auto"/>
              <w:bottom w:val="single" w:sz="4" w:space="0" w:color="auto"/>
            </w:tcBorders>
            <w:shd w:val="clear" w:color="auto" w:fill="auto"/>
            <w:vAlign w:val="center"/>
            <w:hideMark/>
          </w:tcPr>
          <w:p w14:paraId="0820FFF1" w14:textId="77777777" w:rsidR="001B34C7" w:rsidRPr="001F7B00" w:rsidRDefault="001B34C7" w:rsidP="002E33D9">
            <w:pPr>
              <w:spacing w:after="0" w:line="240" w:lineRule="auto"/>
              <w:jc w:val="right"/>
              <w:rPr>
                <w:rFonts w:eastAsia="Times New Roman" w:cs="Times New Roman"/>
                <w:b/>
                <w:bCs/>
                <w:color w:val="000000"/>
                <w:sz w:val="20"/>
                <w:lang w:eastAsia="sk-SK"/>
              </w:rPr>
            </w:pPr>
            <w:r w:rsidRPr="001F7B00">
              <w:rPr>
                <w:rFonts w:eastAsia="Times New Roman" w:cs="Times New Roman"/>
                <w:b/>
                <w:bCs/>
                <w:color w:val="000000"/>
                <w:sz w:val="20"/>
                <w:lang w:eastAsia="sk-SK"/>
              </w:rPr>
              <w:t>Podiel 100% uspokojených žiadostí</w:t>
            </w:r>
          </w:p>
        </w:tc>
      </w:tr>
      <w:tr w:rsidR="001B34C7" w:rsidRPr="001F7B00" w14:paraId="42145120" w14:textId="77777777" w:rsidTr="002E33D9">
        <w:trPr>
          <w:trHeight w:val="300"/>
        </w:trPr>
        <w:tc>
          <w:tcPr>
            <w:tcW w:w="1203" w:type="dxa"/>
            <w:tcBorders>
              <w:top w:val="single" w:sz="4" w:space="0" w:color="auto"/>
            </w:tcBorders>
            <w:shd w:val="clear" w:color="auto" w:fill="auto"/>
            <w:noWrap/>
            <w:vAlign w:val="bottom"/>
            <w:hideMark/>
          </w:tcPr>
          <w:p w14:paraId="381DD7AF" w14:textId="77777777" w:rsidR="001B34C7" w:rsidRPr="00E57627" w:rsidRDefault="001B34C7" w:rsidP="002E33D9">
            <w:pPr>
              <w:spacing w:after="0" w:line="240" w:lineRule="auto"/>
              <w:rPr>
                <w:rFonts w:eastAsia="Times New Roman" w:cs="Times New Roman"/>
                <w:bCs/>
                <w:color w:val="000000"/>
                <w:sz w:val="20"/>
                <w:lang w:eastAsia="sk-SK"/>
              </w:rPr>
            </w:pPr>
            <w:r w:rsidRPr="00E57627">
              <w:rPr>
                <w:rFonts w:eastAsia="Times New Roman" w:cs="Times New Roman"/>
                <w:bCs/>
                <w:color w:val="000000"/>
                <w:sz w:val="20"/>
                <w:lang w:eastAsia="sk-SK"/>
              </w:rPr>
              <w:t>Bežné ZŠ</w:t>
            </w:r>
          </w:p>
        </w:tc>
        <w:tc>
          <w:tcPr>
            <w:tcW w:w="1204" w:type="dxa"/>
            <w:tcBorders>
              <w:top w:val="single" w:sz="4" w:space="0" w:color="auto"/>
            </w:tcBorders>
            <w:shd w:val="clear" w:color="auto" w:fill="auto"/>
            <w:vAlign w:val="bottom"/>
            <w:hideMark/>
          </w:tcPr>
          <w:p w14:paraId="6BE82784" w14:textId="77777777" w:rsidR="001B34C7" w:rsidRPr="001F7B00" w:rsidRDefault="001B34C7" w:rsidP="002E33D9">
            <w:pPr>
              <w:spacing w:after="0" w:line="240" w:lineRule="auto"/>
              <w:jc w:val="right"/>
              <w:rPr>
                <w:rFonts w:eastAsia="Times New Roman" w:cs="Times New Roman"/>
                <w:color w:val="000000"/>
                <w:sz w:val="20"/>
                <w:lang w:eastAsia="sk-SK"/>
              </w:rPr>
            </w:pPr>
            <w:r w:rsidRPr="001F7B00">
              <w:rPr>
                <w:rFonts w:eastAsia="Times New Roman" w:cs="Times New Roman"/>
                <w:color w:val="000000"/>
                <w:sz w:val="20"/>
                <w:lang w:eastAsia="sk-SK"/>
              </w:rPr>
              <w:t>58</w:t>
            </w:r>
          </w:p>
        </w:tc>
        <w:tc>
          <w:tcPr>
            <w:tcW w:w="1204" w:type="dxa"/>
            <w:tcBorders>
              <w:top w:val="single" w:sz="4" w:space="0" w:color="auto"/>
            </w:tcBorders>
            <w:shd w:val="clear" w:color="auto" w:fill="auto"/>
            <w:vAlign w:val="bottom"/>
            <w:hideMark/>
          </w:tcPr>
          <w:p w14:paraId="4440F614" w14:textId="77777777" w:rsidR="001B34C7" w:rsidRPr="001F7B00" w:rsidRDefault="001B34C7" w:rsidP="002E33D9">
            <w:pPr>
              <w:spacing w:after="0" w:line="240" w:lineRule="auto"/>
              <w:jc w:val="right"/>
              <w:rPr>
                <w:rFonts w:eastAsia="Times New Roman" w:cs="Times New Roman"/>
                <w:color w:val="000000"/>
                <w:sz w:val="20"/>
                <w:lang w:eastAsia="sk-SK"/>
              </w:rPr>
            </w:pPr>
            <w:r w:rsidRPr="001F7B00">
              <w:rPr>
                <w:rFonts w:eastAsia="Times New Roman" w:cs="Times New Roman"/>
                <w:color w:val="000000"/>
                <w:sz w:val="20"/>
                <w:lang w:eastAsia="sk-SK"/>
              </w:rPr>
              <w:t>85</w:t>
            </w:r>
          </w:p>
        </w:tc>
        <w:tc>
          <w:tcPr>
            <w:tcW w:w="1204" w:type="dxa"/>
            <w:tcBorders>
              <w:top w:val="single" w:sz="4" w:space="0" w:color="auto"/>
            </w:tcBorders>
            <w:shd w:val="clear" w:color="auto" w:fill="auto"/>
            <w:vAlign w:val="bottom"/>
            <w:hideMark/>
          </w:tcPr>
          <w:p w14:paraId="0B2D3250" w14:textId="77777777" w:rsidR="001B34C7" w:rsidRPr="001F7B00" w:rsidRDefault="001B34C7" w:rsidP="002E33D9">
            <w:pPr>
              <w:spacing w:after="0" w:line="240" w:lineRule="auto"/>
              <w:jc w:val="right"/>
              <w:rPr>
                <w:rFonts w:eastAsia="Times New Roman" w:cs="Times New Roman"/>
                <w:color w:val="000000"/>
                <w:sz w:val="20"/>
                <w:lang w:eastAsia="sk-SK"/>
              </w:rPr>
            </w:pPr>
            <w:r w:rsidRPr="001F7B00">
              <w:rPr>
                <w:rFonts w:eastAsia="Times New Roman" w:cs="Times New Roman"/>
                <w:color w:val="000000"/>
                <w:sz w:val="20"/>
                <w:lang w:eastAsia="sk-SK"/>
              </w:rPr>
              <w:t>74</w:t>
            </w:r>
          </w:p>
        </w:tc>
        <w:tc>
          <w:tcPr>
            <w:tcW w:w="1281" w:type="dxa"/>
            <w:tcBorders>
              <w:top w:val="single" w:sz="4" w:space="0" w:color="auto"/>
            </w:tcBorders>
            <w:shd w:val="clear" w:color="auto" w:fill="auto"/>
            <w:vAlign w:val="bottom"/>
            <w:hideMark/>
          </w:tcPr>
          <w:p w14:paraId="5FEFE0C1" w14:textId="77777777" w:rsidR="001B34C7" w:rsidRPr="001F7B00" w:rsidRDefault="001B34C7" w:rsidP="002E33D9">
            <w:pPr>
              <w:spacing w:after="0" w:line="240" w:lineRule="auto"/>
              <w:jc w:val="right"/>
              <w:rPr>
                <w:rFonts w:eastAsia="Times New Roman" w:cs="Times New Roman"/>
                <w:color w:val="000000"/>
                <w:sz w:val="20"/>
                <w:lang w:eastAsia="sk-SK"/>
              </w:rPr>
            </w:pPr>
            <w:r w:rsidRPr="001F7B00">
              <w:rPr>
                <w:rFonts w:eastAsia="Times New Roman" w:cs="Times New Roman"/>
                <w:color w:val="000000"/>
                <w:sz w:val="20"/>
                <w:lang w:eastAsia="sk-SK"/>
              </w:rPr>
              <w:t>84</w:t>
            </w:r>
          </w:p>
        </w:tc>
        <w:tc>
          <w:tcPr>
            <w:tcW w:w="1127" w:type="dxa"/>
            <w:tcBorders>
              <w:top w:val="single" w:sz="4" w:space="0" w:color="auto"/>
            </w:tcBorders>
            <w:shd w:val="clear" w:color="auto" w:fill="auto"/>
            <w:vAlign w:val="bottom"/>
            <w:hideMark/>
          </w:tcPr>
          <w:p w14:paraId="108E4713" w14:textId="77777777" w:rsidR="001B34C7" w:rsidRPr="001F7B00" w:rsidRDefault="001B34C7" w:rsidP="002E33D9">
            <w:pPr>
              <w:spacing w:after="0" w:line="240" w:lineRule="auto"/>
              <w:jc w:val="right"/>
              <w:rPr>
                <w:rFonts w:eastAsia="Times New Roman" w:cs="Times New Roman"/>
                <w:color w:val="000000"/>
                <w:sz w:val="20"/>
                <w:lang w:eastAsia="sk-SK"/>
              </w:rPr>
            </w:pPr>
            <w:r w:rsidRPr="001F7B00">
              <w:rPr>
                <w:rFonts w:eastAsia="Times New Roman" w:cs="Times New Roman"/>
                <w:color w:val="000000"/>
                <w:sz w:val="20"/>
                <w:lang w:eastAsia="sk-SK"/>
              </w:rPr>
              <w:t>34</w:t>
            </w:r>
          </w:p>
        </w:tc>
        <w:tc>
          <w:tcPr>
            <w:tcW w:w="1282" w:type="dxa"/>
            <w:tcBorders>
              <w:top w:val="single" w:sz="4" w:space="0" w:color="auto"/>
            </w:tcBorders>
            <w:shd w:val="clear" w:color="auto" w:fill="auto"/>
            <w:vAlign w:val="bottom"/>
            <w:hideMark/>
          </w:tcPr>
          <w:p w14:paraId="3D495A27" w14:textId="77777777" w:rsidR="001B34C7" w:rsidRPr="001F7B00" w:rsidRDefault="001B34C7" w:rsidP="002E33D9">
            <w:pPr>
              <w:spacing w:after="0" w:line="240" w:lineRule="auto"/>
              <w:jc w:val="right"/>
              <w:rPr>
                <w:rFonts w:eastAsia="Times New Roman" w:cs="Times New Roman"/>
                <w:color w:val="000000"/>
                <w:sz w:val="20"/>
                <w:lang w:eastAsia="sk-SK"/>
              </w:rPr>
            </w:pPr>
            <w:r w:rsidRPr="001F7B00">
              <w:rPr>
                <w:rFonts w:eastAsia="Times New Roman" w:cs="Times New Roman"/>
                <w:color w:val="000000"/>
                <w:sz w:val="20"/>
                <w:lang w:eastAsia="sk-SK"/>
              </w:rPr>
              <w:t>24</w:t>
            </w:r>
          </w:p>
        </w:tc>
      </w:tr>
      <w:tr w:rsidR="001B34C7" w:rsidRPr="001F7B00" w14:paraId="150BF86A" w14:textId="77777777" w:rsidTr="002E33D9">
        <w:trPr>
          <w:trHeight w:val="300"/>
        </w:trPr>
        <w:tc>
          <w:tcPr>
            <w:tcW w:w="1203" w:type="dxa"/>
            <w:shd w:val="clear" w:color="auto" w:fill="auto"/>
            <w:noWrap/>
            <w:vAlign w:val="bottom"/>
            <w:hideMark/>
          </w:tcPr>
          <w:p w14:paraId="207912FE" w14:textId="77777777" w:rsidR="001B34C7" w:rsidRPr="00E57627" w:rsidRDefault="001B34C7" w:rsidP="002E33D9">
            <w:pPr>
              <w:spacing w:after="0" w:line="240" w:lineRule="auto"/>
              <w:rPr>
                <w:rFonts w:eastAsia="Times New Roman" w:cs="Times New Roman"/>
                <w:bCs/>
                <w:color w:val="000000"/>
                <w:sz w:val="20"/>
                <w:lang w:eastAsia="sk-SK"/>
              </w:rPr>
            </w:pPr>
            <w:r w:rsidRPr="00E57627">
              <w:rPr>
                <w:rFonts w:eastAsia="Times New Roman" w:cs="Times New Roman"/>
                <w:bCs/>
                <w:color w:val="000000"/>
                <w:sz w:val="20"/>
                <w:lang w:eastAsia="sk-SK"/>
              </w:rPr>
              <w:t>Špeciálne ZŠ</w:t>
            </w:r>
          </w:p>
        </w:tc>
        <w:tc>
          <w:tcPr>
            <w:tcW w:w="1204" w:type="dxa"/>
            <w:shd w:val="clear" w:color="auto" w:fill="auto"/>
            <w:vAlign w:val="bottom"/>
            <w:hideMark/>
          </w:tcPr>
          <w:p w14:paraId="5FDA4FFF" w14:textId="77777777" w:rsidR="001B34C7" w:rsidRPr="001F7B00" w:rsidRDefault="001B34C7" w:rsidP="002E33D9">
            <w:pPr>
              <w:spacing w:after="0" w:line="240" w:lineRule="auto"/>
              <w:jc w:val="right"/>
              <w:rPr>
                <w:rFonts w:eastAsia="Times New Roman" w:cs="Times New Roman"/>
                <w:color w:val="000000"/>
                <w:sz w:val="20"/>
                <w:lang w:eastAsia="sk-SK"/>
              </w:rPr>
            </w:pPr>
            <w:r w:rsidRPr="001F7B00">
              <w:rPr>
                <w:rFonts w:eastAsia="Times New Roman" w:cs="Times New Roman"/>
                <w:color w:val="000000"/>
                <w:sz w:val="20"/>
                <w:lang w:eastAsia="sk-SK"/>
              </w:rPr>
              <w:t>82</w:t>
            </w:r>
          </w:p>
        </w:tc>
        <w:tc>
          <w:tcPr>
            <w:tcW w:w="1204" w:type="dxa"/>
            <w:shd w:val="clear" w:color="auto" w:fill="auto"/>
            <w:vAlign w:val="bottom"/>
            <w:hideMark/>
          </w:tcPr>
          <w:p w14:paraId="553BCC8B" w14:textId="77777777" w:rsidR="001B34C7" w:rsidRPr="001F7B00" w:rsidRDefault="001B34C7" w:rsidP="002E33D9">
            <w:pPr>
              <w:spacing w:after="0" w:line="240" w:lineRule="auto"/>
              <w:jc w:val="right"/>
              <w:rPr>
                <w:rFonts w:eastAsia="Times New Roman" w:cs="Times New Roman"/>
                <w:color w:val="000000"/>
                <w:sz w:val="20"/>
                <w:lang w:eastAsia="sk-SK"/>
              </w:rPr>
            </w:pPr>
            <w:r w:rsidRPr="001F7B00">
              <w:rPr>
                <w:rFonts w:eastAsia="Times New Roman" w:cs="Times New Roman"/>
                <w:color w:val="000000"/>
                <w:sz w:val="20"/>
                <w:lang w:eastAsia="sk-SK"/>
              </w:rPr>
              <w:t>15</w:t>
            </w:r>
          </w:p>
        </w:tc>
        <w:tc>
          <w:tcPr>
            <w:tcW w:w="1204" w:type="dxa"/>
            <w:shd w:val="clear" w:color="auto" w:fill="auto"/>
            <w:vAlign w:val="bottom"/>
            <w:hideMark/>
          </w:tcPr>
          <w:p w14:paraId="7222C157" w14:textId="77777777" w:rsidR="001B34C7" w:rsidRPr="001F7B00" w:rsidRDefault="001B34C7" w:rsidP="002E33D9">
            <w:pPr>
              <w:spacing w:after="0" w:line="240" w:lineRule="auto"/>
              <w:jc w:val="right"/>
              <w:rPr>
                <w:rFonts w:eastAsia="Times New Roman" w:cs="Times New Roman"/>
                <w:color w:val="000000"/>
                <w:sz w:val="20"/>
                <w:lang w:eastAsia="sk-SK"/>
              </w:rPr>
            </w:pPr>
            <w:r w:rsidRPr="001F7B00">
              <w:rPr>
                <w:rFonts w:eastAsia="Times New Roman" w:cs="Times New Roman"/>
                <w:color w:val="000000"/>
                <w:sz w:val="20"/>
                <w:lang w:eastAsia="sk-SK"/>
              </w:rPr>
              <w:t>26</w:t>
            </w:r>
          </w:p>
        </w:tc>
        <w:tc>
          <w:tcPr>
            <w:tcW w:w="1281" w:type="dxa"/>
            <w:shd w:val="clear" w:color="auto" w:fill="auto"/>
            <w:vAlign w:val="bottom"/>
            <w:hideMark/>
          </w:tcPr>
          <w:p w14:paraId="3A60266F" w14:textId="77777777" w:rsidR="001B34C7" w:rsidRPr="001F7B00" w:rsidRDefault="001B34C7" w:rsidP="002E33D9">
            <w:pPr>
              <w:spacing w:after="0" w:line="240" w:lineRule="auto"/>
              <w:jc w:val="right"/>
              <w:rPr>
                <w:rFonts w:eastAsia="Times New Roman" w:cs="Times New Roman"/>
                <w:color w:val="000000"/>
                <w:sz w:val="20"/>
                <w:lang w:eastAsia="sk-SK"/>
              </w:rPr>
            </w:pPr>
            <w:r w:rsidRPr="001F7B00">
              <w:rPr>
                <w:rFonts w:eastAsia="Times New Roman" w:cs="Times New Roman"/>
                <w:color w:val="000000"/>
                <w:sz w:val="20"/>
                <w:lang w:eastAsia="sk-SK"/>
              </w:rPr>
              <w:t>98</w:t>
            </w:r>
          </w:p>
        </w:tc>
        <w:tc>
          <w:tcPr>
            <w:tcW w:w="1127" w:type="dxa"/>
            <w:shd w:val="clear" w:color="auto" w:fill="auto"/>
            <w:vAlign w:val="bottom"/>
            <w:hideMark/>
          </w:tcPr>
          <w:p w14:paraId="15AF45AC" w14:textId="77777777" w:rsidR="001B34C7" w:rsidRPr="001F7B00" w:rsidRDefault="001B34C7" w:rsidP="002E33D9">
            <w:pPr>
              <w:spacing w:after="0" w:line="240" w:lineRule="auto"/>
              <w:jc w:val="right"/>
              <w:rPr>
                <w:rFonts w:eastAsia="Times New Roman" w:cs="Times New Roman"/>
                <w:color w:val="000000"/>
                <w:sz w:val="20"/>
                <w:lang w:eastAsia="sk-SK"/>
              </w:rPr>
            </w:pPr>
            <w:r w:rsidRPr="001F7B00">
              <w:rPr>
                <w:rFonts w:eastAsia="Times New Roman" w:cs="Times New Roman"/>
                <w:color w:val="000000"/>
                <w:sz w:val="20"/>
                <w:lang w:eastAsia="sk-SK"/>
              </w:rPr>
              <w:t>67</w:t>
            </w:r>
          </w:p>
        </w:tc>
        <w:tc>
          <w:tcPr>
            <w:tcW w:w="1282" w:type="dxa"/>
            <w:shd w:val="clear" w:color="auto" w:fill="auto"/>
            <w:vAlign w:val="bottom"/>
            <w:hideMark/>
          </w:tcPr>
          <w:p w14:paraId="001086B2" w14:textId="77777777" w:rsidR="001B34C7" w:rsidRPr="001F7B00" w:rsidRDefault="001B34C7" w:rsidP="002E33D9">
            <w:pPr>
              <w:spacing w:after="0" w:line="240" w:lineRule="auto"/>
              <w:jc w:val="right"/>
              <w:rPr>
                <w:rFonts w:eastAsia="Times New Roman" w:cs="Times New Roman"/>
                <w:color w:val="000000"/>
                <w:sz w:val="20"/>
                <w:lang w:eastAsia="sk-SK"/>
              </w:rPr>
            </w:pPr>
            <w:r w:rsidRPr="001F7B00">
              <w:rPr>
                <w:rFonts w:eastAsia="Times New Roman" w:cs="Times New Roman"/>
                <w:color w:val="000000"/>
                <w:sz w:val="20"/>
                <w:lang w:eastAsia="sk-SK"/>
              </w:rPr>
              <w:t>31</w:t>
            </w:r>
          </w:p>
        </w:tc>
      </w:tr>
    </w:tbl>
    <w:p w14:paraId="0745B242" w14:textId="77777777" w:rsidR="001B34C7" w:rsidRPr="009973EE" w:rsidRDefault="001B34C7" w:rsidP="001B34C7">
      <w:pPr>
        <w:pStyle w:val="Bezriadkovania"/>
        <w:jc w:val="right"/>
        <w:rPr>
          <w:rFonts w:ascii="Arial Narrow" w:hAnsi="Arial Narrow"/>
          <w:i/>
          <w:sz w:val="18"/>
          <w:szCs w:val="18"/>
        </w:rPr>
      </w:pPr>
      <w:r w:rsidRPr="009973EE">
        <w:rPr>
          <w:rFonts w:ascii="Arial Narrow" w:hAnsi="Arial Narrow"/>
          <w:i/>
          <w:sz w:val="18"/>
          <w:szCs w:val="18"/>
        </w:rPr>
        <w:t>Zdroj: Vlastné prepočty IVP na základe dát Eduzber (2018), aplikácie ASIST MŠVVŠ SR (máj 2018) a pridelených úväzkov na PA MŠVVS SR (2018).</w:t>
      </w:r>
    </w:p>
    <w:p w14:paraId="17D45481" w14:textId="77777777" w:rsidR="001B34C7" w:rsidRPr="009973EE" w:rsidRDefault="001B34C7" w:rsidP="001B34C7">
      <w:pPr>
        <w:rPr>
          <w:i/>
          <w:sz w:val="18"/>
          <w:szCs w:val="18"/>
        </w:rPr>
      </w:pPr>
    </w:p>
    <w:p w14:paraId="47BAA7EE" w14:textId="77777777" w:rsidR="001B34C7" w:rsidRDefault="001B34C7" w:rsidP="001B34C7">
      <w:pPr>
        <w:pStyle w:val="Popis"/>
        <w:rPr>
          <w:b/>
          <w:i w:val="0"/>
          <w:color w:val="2E74B5" w:themeColor="accent1" w:themeShade="BF"/>
          <w:sz w:val="22"/>
        </w:rPr>
      </w:pPr>
      <w:bookmarkStart w:id="1929" w:name="_Ref25844598"/>
      <w:bookmarkStart w:id="1930" w:name="_Hlk21883054"/>
      <w:r w:rsidRPr="000C6214">
        <w:rPr>
          <w:b/>
          <w:i w:val="0"/>
          <w:color w:val="2E74B5" w:themeColor="accent1" w:themeShade="BF"/>
          <w:sz w:val="22"/>
        </w:rPr>
        <w:t xml:space="preserve">Príloha </w:t>
      </w:r>
      <w:r w:rsidRPr="00AD2F2A">
        <w:rPr>
          <w:b/>
          <w:i w:val="0"/>
          <w:color w:val="2E74B5" w:themeColor="accent1" w:themeShade="BF"/>
          <w:sz w:val="22"/>
        </w:rPr>
        <w:fldChar w:fldCharType="begin"/>
      </w:r>
      <w:r w:rsidRPr="00AD2F2A">
        <w:rPr>
          <w:b/>
          <w:i w:val="0"/>
          <w:color w:val="2E74B5" w:themeColor="accent1" w:themeShade="BF"/>
          <w:sz w:val="22"/>
        </w:rPr>
        <w:instrText xml:space="preserve"> SEQ Príloha \* ARABIC </w:instrText>
      </w:r>
      <w:r w:rsidRPr="00AD2F2A">
        <w:rPr>
          <w:b/>
          <w:i w:val="0"/>
          <w:color w:val="2E74B5" w:themeColor="accent1" w:themeShade="BF"/>
          <w:sz w:val="22"/>
        </w:rPr>
        <w:fldChar w:fldCharType="separate"/>
      </w:r>
      <w:r w:rsidR="00FA29AF">
        <w:rPr>
          <w:b/>
          <w:i w:val="0"/>
          <w:noProof/>
          <w:color w:val="2E74B5" w:themeColor="accent1" w:themeShade="BF"/>
          <w:sz w:val="22"/>
        </w:rPr>
        <w:t>24</w:t>
      </w:r>
      <w:r w:rsidRPr="00AD2F2A">
        <w:rPr>
          <w:b/>
          <w:i w:val="0"/>
          <w:color w:val="2E74B5" w:themeColor="accent1" w:themeShade="BF"/>
          <w:sz w:val="22"/>
        </w:rPr>
        <w:fldChar w:fldCharType="end"/>
      </w:r>
      <w:bookmarkEnd w:id="1929"/>
      <w:r w:rsidRPr="000C6214">
        <w:rPr>
          <w:b/>
          <w:i w:val="0"/>
          <w:color w:val="2E74B5" w:themeColor="accent1" w:themeShade="BF"/>
          <w:sz w:val="22"/>
        </w:rPr>
        <w:t>: Požiadavky na pedagogických asistentov podľa druhu zdravotného znevýhodnenia, 2018</w:t>
      </w:r>
    </w:p>
    <w:p w14:paraId="5EC93FA7" w14:textId="77777777" w:rsidR="001B34C7" w:rsidRPr="00BD15F7" w:rsidRDefault="001B34C7" w:rsidP="001B34C7">
      <w:pPr>
        <w:spacing w:after="0"/>
      </w:pPr>
      <w:r w:rsidRPr="00AF6AB3">
        <w:rPr>
          <w:b/>
          <w:sz w:val="20"/>
        </w:rPr>
        <w:t xml:space="preserve">Tabuľka P </w:t>
      </w:r>
      <w:r w:rsidRPr="00AF6AB3">
        <w:rPr>
          <w:b/>
          <w:sz w:val="20"/>
        </w:rPr>
        <w:fldChar w:fldCharType="begin"/>
      </w:r>
      <w:r w:rsidRPr="00AF6AB3">
        <w:rPr>
          <w:b/>
          <w:sz w:val="20"/>
        </w:rPr>
        <w:instrText xml:space="preserve"> SEQ Tabuľka_P \* ARABIC </w:instrText>
      </w:r>
      <w:r w:rsidRPr="00AF6AB3">
        <w:rPr>
          <w:b/>
          <w:sz w:val="20"/>
        </w:rPr>
        <w:fldChar w:fldCharType="separate"/>
      </w:r>
      <w:r w:rsidR="00FA29AF">
        <w:rPr>
          <w:b/>
          <w:noProof/>
          <w:sz w:val="20"/>
        </w:rPr>
        <w:t>20</w:t>
      </w:r>
      <w:r w:rsidRPr="00AF6AB3">
        <w:rPr>
          <w:b/>
          <w:sz w:val="20"/>
        </w:rPr>
        <w:fldChar w:fldCharType="end"/>
      </w:r>
      <w:r w:rsidRPr="00AF6AB3">
        <w:rPr>
          <w:b/>
          <w:sz w:val="20"/>
        </w:rPr>
        <w:t>:</w:t>
      </w:r>
      <w:r>
        <w:rPr>
          <w:b/>
          <w:sz w:val="20"/>
        </w:rPr>
        <w:t xml:space="preserve"> </w:t>
      </w:r>
      <w:r w:rsidRPr="00BD15F7">
        <w:rPr>
          <w:b/>
          <w:sz w:val="20"/>
        </w:rPr>
        <w:t>Požiadavky na pedagogických asistentov podľa druhu</w:t>
      </w:r>
      <w:r>
        <w:rPr>
          <w:b/>
          <w:sz w:val="20"/>
        </w:rPr>
        <w:t xml:space="preserve"> ZZ</w:t>
      </w:r>
      <w:r w:rsidRPr="00BD15F7">
        <w:rPr>
          <w:b/>
          <w:sz w:val="20"/>
        </w:rPr>
        <w:t>, 2018</w:t>
      </w:r>
    </w:p>
    <w:tbl>
      <w:tblPr>
        <w:tblW w:w="5000" w:type="pct"/>
        <w:jc w:val="center"/>
        <w:tblLayout w:type="fixed"/>
        <w:tblCellMar>
          <w:left w:w="70" w:type="dxa"/>
          <w:right w:w="70" w:type="dxa"/>
        </w:tblCellMar>
        <w:tblLook w:val="04A0" w:firstRow="1" w:lastRow="0" w:firstColumn="1" w:lastColumn="0" w:noHBand="0" w:noVBand="1"/>
      </w:tblPr>
      <w:tblGrid>
        <w:gridCol w:w="715"/>
        <w:gridCol w:w="2687"/>
        <w:gridCol w:w="2687"/>
        <w:gridCol w:w="2999"/>
      </w:tblGrid>
      <w:tr w:rsidR="001B34C7" w:rsidRPr="009973EE" w14:paraId="47359FC7" w14:textId="77777777" w:rsidTr="002E33D9">
        <w:trPr>
          <w:trHeight w:val="284"/>
          <w:jc w:val="center"/>
        </w:trPr>
        <w:tc>
          <w:tcPr>
            <w:tcW w:w="709" w:type="dxa"/>
            <w:tcBorders>
              <w:top w:val="single" w:sz="4" w:space="0" w:color="auto"/>
              <w:bottom w:val="single" w:sz="4" w:space="0" w:color="auto"/>
            </w:tcBorders>
            <w:shd w:val="clear" w:color="auto" w:fill="auto"/>
            <w:noWrap/>
            <w:vAlign w:val="bottom"/>
            <w:hideMark/>
          </w:tcPr>
          <w:p w14:paraId="699BCA66" w14:textId="77777777" w:rsidR="001B34C7" w:rsidRPr="009973EE" w:rsidRDefault="001B34C7" w:rsidP="002E33D9">
            <w:pPr>
              <w:spacing w:after="0" w:line="240" w:lineRule="auto"/>
              <w:rPr>
                <w:rFonts w:eastAsia="Times New Roman" w:cs="Calibri"/>
                <w:color w:val="000000"/>
                <w:sz w:val="20"/>
                <w:lang w:eastAsia="sk-SK"/>
              </w:rPr>
            </w:pPr>
            <w:r w:rsidRPr="009973EE">
              <w:rPr>
                <w:rFonts w:eastAsia="Times New Roman" w:cs="Calibri"/>
                <w:color w:val="000000"/>
                <w:sz w:val="20"/>
                <w:lang w:eastAsia="sk-SK"/>
              </w:rPr>
              <w:t> </w:t>
            </w:r>
          </w:p>
        </w:tc>
        <w:tc>
          <w:tcPr>
            <w:tcW w:w="2665" w:type="dxa"/>
            <w:tcBorders>
              <w:top w:val="single" w:sz="4" w:space="0" w:color="auto"/>
              <w:bottom w:val="single" w:sz="4" w:space="0" w:color="auto"/>
            </w:tcBorders>
            <w:shd w:val="clear" w:color="auto" w:fill="auto"/>
            <w:vAlign w:val="bottom"/>
            <w:hideMark/>
          </w:tcPr>
          <w:p w14:paraId="18B09801" w14:textId="77777777" w:rsidR="001B34C7" w:rsidRPr="009973EE" w:rsidRDefault="001B34C7" w:rsidP="002E33D9">
            <w:pPr>
              <w:spacing w:after="0" w:line="240" w:lineRule="auto"/>
              <w:jc w:val="center"/>
              <w:rPr>
                <w:rFonts w:eastAsia="Times New Roman" w:cs="Calibri"/>
                <w:b/>
                <w:bCs/>
                <w:color w:val="000000"/>
                <w:sz w:val="20"/>
                <w:lang w:eastAsia="sk-SK"/>
              </w:rPr>
            </w:pPr>
            <w:r w:rsidRPr="009973EE">
              <w:rPr>
                <w:rFonts w:eastAsia="Times New Roman" w:cs="Calibri"/>
                <w:b/>
                <w:bCs/>
                <w:color w:val="000000"/>
                <w:sz w:val="20"/>
                <w:lang w:eastAsia="sk-SK"/>
              </w:rPr>
              <w:t>Počet žiakov, na ktorých sa požadoval PA</w:t>
            </w:r>
          </w:p>
        </w:tc>
        <w:tc>
          <w:tcPr>
            <w:tcW w:w="2665" w:type="dxa"/>
            <w:tcBorders>
              <w:top w:val="single" w:sz="4" w:space="0" w:color="auto"/>
              <w:bottom w:val="single" w:sz="4" w:space="0" w:color="auto"/>
            </w:tcBorders>
            <w:shd w:val="clear" w:color="auto" w:fill="auto"/>
            <w:vAlign w:val="bottom"/>
            <w:hideMark/>
          </w:tcPr>
          <w:p w14:paraId="49C415E3" w14:textId="77777777" w:rsidR="001B34C7" w:rsidRPr="009973EE" w:rsidRDefault="001B34C7" w:rsidP="002E33D9">
            <w:pPr>
              <w:spacing w:after="0" w:line="240" w:lineRule="auto"/>
              <w:jc w:val="center"/>
              <w:rPr>
                <w:rFonts w:eastAsia="Times New Roman" w:cs="Calibri"/>
                <w:b/>
                <w:bCs/>
                <w:color w:val="000000"/>
                <w:sz w:val="20"/>
                <w:lang w:eastAsia="sk-SK"/>
              </w:rPr>
            </w:pPr>
            <w:r w:rsidRPr="009973EE">
              <w:rPr>
                <w:rFonts w:eastAsia="Times New Roman" w:cs="Calibri"/>
                <w:b/>
                <w:bCs/>
                <w:color w:val="000000"/>
                <w:sz w:val="20"/>
                <w:lang w:eastAsia="sk-SK"/>
              </w:rPr>
              <w:t>Podiel zo všetkých požiadaviek v rámci daného druhu ZZ</w:t>
            </w:r>
          </w:p>
        </w:tc>
        <w:tc>
          <w:tcPr>
            <w:tcW w:w="2974" w:type="dxa"/>
            <w:tcBorders>
              <w:top w:val="single" w:sz="4" w:space="0" w:color="auto"/>
              <w:bottom w:val="single" w:sz="4" w:space="0" w:color="auto"/>
            </w:tcBorders>
            <w:shd w:val="clear" w:color="auto" w:fill="auto"/>
            <w:vAlign w:val="bottom"/>
            <w:hideMark/>
          </w:tcPr>
          <w:p w14:paraId="02886FCC" w14:textId="77777777" w:rsidR="001B34C7" w:rsidRPr="009973EE" w:rsidRDefault="001B34C7" w:rsidP="002E33D9">
            <w:pPr>
              <w:spacing w:after="0" w:line="240" w:lineRule="auto"/>
              <w:jc w:val="center"/>
              <w:rPr>
                <w:rFonts w:eastAsia="Times New Roman" w:cs="Calibri"/>
                <w:b/>
                <w:bCs/>
                <w:color w:val="000000"/>
                <w:sz w:val="20"/>
                <w:lang w:eastAsia="sk-SK"/>
              </w:rPr>
            </w:pPr>
            <w:r w:rsidRPr="009973EE">
              <w:rPr>
                <w:rFonts w:eastAsia="Times New Roman" w:cs="Calibri"/>
                <w:b/>
                <w:bCs/>
                <w:color w:val="000000"/>
                <w:sz w:val="20"/>
                <w:lang w:eastAsia="sk-SK"/>
              </w:rPr>
              <w:t>Podiel zo všetkých žiakov s daným ZZ, na ktorých sa požadoval PA</w:t>
            </w:r>
            <w:r>
              <w:rPr>
                <w:rFonts w:eastAsia="Times New Roman" w:cs="Calibri"/>
                <w:b/>
                <w:bCs/>
                <w:color w:val="000000"/>
                <w:sz w:val="20"/>
                <w:lang w:eastAsia="sk-SK"/>
              </w:rPr>
              <w:t xml:space="preserve"> (%)</w:t>
            </w:r>
          </w:p>
        </w:tc>
      </w:tr>
      <w:tr w:rsidR="001B34C7" w:rsidRPr="000337F8" w14:paraId="0CDC8503" w14:textId="77777777" w:rsidTr="002E33D9">
        <w:trPr>
          <w:trHeight w:val="284"/>
          <w:jc w:val="center"/>
        </w:trPr>
        <w:tc>
          <w:tcPr>
            <w:tcW w:w="709" w:type="dxa"/>
            <w:tcBorders>
              <w:top w:val="single" w:sz="4" w:space="0" w:color="auto"/>
            </w:tcBorders>
            <w:shd w:val="clear" w:color="auto" w:fill="auto"/>
            <w:noWrap/>
            <w:vAlign w:val="bottom"/>
            <w:hideMark/>
          </w:tcPr>
          <w:p w14:paraId="6F3F77C0" w14:textId="77777777" w:rsidR="001B34C7" w:rsidRPr="000337F8" w:rsidRDefault="001B34C7" w:rsidP="002E33D9">
            <w:pPr>
              <w:spacing w:after="0" w:line="240" w:lineRule="auto"/>
              <w:rPr>
                <w:rFonts w:eastAsia="Times New Roman" w:cs="Calibri"/>
                <w:bCs/>
                <w:color w:val="000000"/>
                <w:sz w:val="20"/>
                <w:lang w:eastAsia="sk-SK"/>
              </w:rPr>
            </w:pPr>
            <w:r w:rsidRPr="000337F8">
              <w:rPr>
                <w:rFonts w:eastAsia="Times New Roman" w:cs="Calibri"/>
                <w:bCs/>
                <w:color w:val="000000"/>
                <w:sz w:val="20"/>
                <w:lang w:eastAsia="sk-SK"/>
              </w:rPr>
              <w:t>MEN</w:t>
            </w:r>
          </w:p>
        </w:tc>
        <w:tc>
          <w:tcPr>
            <w:tcW w:w="2665" w:type="dxa"/>
            <w:tcBorders>
              <w:top w:val="single" w:sz="4" w:space="0" w:color="auto"/>
            </w:tcBorders>
            <w:shd w:val="clear" w:color="auto" w:fill="auto"/>
            <w:noWrap/>
            <w:vAlign w:val="bottom"/>
            <w:hideMark/>
          </w:tcPr>
          <w:p w14:paraId="70E1E527" w14:textId="77777777" w:rsidR="001B34C7" w:rsidRPr="000337F8" w:rsidRDefault="001B34C7" w:rsidP="002E33D9">
            <w:pPr>
              <w:spacing w:after="0" w:line="240" w:lineRule="auto"/>
              <w:jc w:val="right"/>
              <w:rPr>
                <w:rFonts w:eastAsia="Times New Roman" w:cs="Calibri"/>
                <w:color w:val="000000"/>
                <w:sz w:val="20"/>
                <w:lang w:eastAsia="sk-SK"/>
              </w:rPr>
            </w:pPr>
            <w:r w:rsidRPr="000337F8">
              <w:rPr>
                <w:rFonts w:eastAsia="Times New Roman" w:cs="Calibri"/>
                <w:color w:val="000000"/>
                <w:sz w:val="20"/>
                <w:lang w:eastAsia="sk-SK"/>
              </w:rPr>
              <w:t>6817</w:t>
            </w:r>
          </w:p>
        </w:tc>
        <w:tc>
          <w:tcPr>
            <w:tcW w:w="2665" w:type="dxa"/>
            <w:tcBorders>
              <w:top w:val="single" w:sz="4" w:space="0" w:color="auto"/>
            </w:tcBorders>
            <w:shd w:val="clear" w:color="auto" w:fill="auto"/>
            <w:noWrap/>
            <w:vAlign w:val="bottom"/>
            <w:hideMark/>
          </w:tcPr>
          <w:p w14:paraId="2520F24B" w14:textId="77777777" w:rsidR="001B34C7" w:rsidRPr="000337F8" w:rsidRDefault="001B34C7" w:rsidP="002E33D9">
            <w:pPr>
              <w:spacing w:after="0" w:line="240" w:lineRule="auto"/>
              <w:jc w:val="right"/>
              <w:rPr>
                <w:rFonts w:eastAsia="Times New Roman" w:cs="Calibri"/>
                <w:color w:val="000000"/>
                <w:sz w:val="20"/>
                <w:lang w:eastAsia="sk-SK"/>
              </w:rPr>
            </w:pPr>
            <w:r w:rsidRPr="000337F8">
              <w:rPr>
                <w:rFonts w:eastAsia="Times New Roman" w:cs="Calibri"/>
                <w:color w:val="000000"/>
                <w:sz w:val="20"/>
                <w:lang w:eastAsia="sk-SK"/>
              </w:rPr>
              <w:t>41</w:t>
            </w:r>
          </w:p>
        </w:tc>
        <w:tc>
          <w:tcPr>
            <w:tcW w:w="2974" w:type="dxa"/>
            <w:tcBorders>
              <w:top w:val="single" w:sz="4" w:space="0" w:color="auto"/>
            </w:tcBorders>
            <w:shd w:val="clear" w:color="auto" w:fill="auto"/>
            <w:noWrap/>
            <w:vAlign w:val="bottom"/>
            <w:hideMark/>
          </w:tcPr>
          <w:p w14:paraId="7BFBFB16" w14:textId="77777777" w:rsidR="001B34C7" w:rsidRPr="000337F8" w:rsidRDefault="001B34C7" w:rsidP="002E33D9">
            <w:pPr>
              <w:spacing w:after="0" w:line="240" w:lineRule="auto"/>
              <w:jc w:val="right"/>
              <w:rPr>
                <w:rFonts w:eastAsia="Times New Roman" w:cs="Calibri"/>
                <w:color w:val="000000"/>
                <w:sz w:val="20"/>
                <w:lang w:eastAsia="sk-SK"/>
              </w:rPr>
            </w:pPr>
            <w:r w:rsidRPr="000337F8">
              <w:rPr>
                <w:rFonts w:eastAsia="Times New Roman" w:cs="Calibri"/>
                <w:color w:val="000000"/>
                <w:sz w:val="20"/>
                <w:lang w:eastAsia="sk-SK"/>
              </w:rPr>
              <w:t>28</w:t>
            </w:r>
          </w:p>
        </w:tc>
      </w:tr>
      <w:tr w:rsidR="001B34C7" w:rsidRPr="000337F8" w14:paraId="3AF6C210" w14:textId="77777777" w:rsidTr="002E33D9">
        <w:trPr>
          <w:trHeight w:val="284"/>
          <w:jc w:val="center"/>
        </w:trPr>
        <w:tc>
          <w:tcPr>
            <w:tcW w:w="709" w:type="dxa"/>
            <w:shd w:val="clear" w:color="auto" w:fill="auto"/>
            <w:noWrap/>
            <w:vAlign w:val="bottom"/>
            <w:hideMark/>
          </w:tcPr>
          <w:p w14:paraId="02E78E0C" w14:textId="77777777" w:rsidR="001B34C7" w:rsidRPr="000337F8" w:rsidRDefault="001B34C7" w:rsidP="002E33D9">
            <w:pPr>
              <w:spacing w:after="0" w:line="240" w:lineRule="auto"/>
              <w:rPr>
                <w:rFonts w:eastAsia="Times New Roman" w:cs="Calibri"/>
                <w:bCs/>
                <w:color w:val="000000"/>
                <w:sz w:val="20"/>
                <w:lang w:eastAsia="sk-SK"/>
              </w:rPr>
            </w:pPr>
            <w:r w:rsidRPr="000337F8">
              <w:rPr>
                <w:rFonts w:eastAsia="Times New Roman" w:cs="Calibri"/>
                <w:bCs/>
                <w:color w:val="000000"/>
                <w:sz w:val="20"/>
                <w:lang w:eastAsia="sk-SK"/>
              </w:rPr>
              <w:t>PU</w:t>
            </w:r>
          </w:p>
        </w:tc>
        <w:tc>
          <w:tcPr>
            <w:tcW w:w="2665" w:type="dxa"/>
            <w:shd w:val="clear" w:color="auto" w:fill="auto"/>
            <w:noWrap/>
            <w:vAlign w:val="bottom"/>
            <w:hideMark/>
          </w:tcPr>
          <w:p w14:paraId="0841208E" w14:textId="77777777" w:rsidR="001B34C7" w:rsidRPr="000337F8" w:rsidRDefault="001B34C7" w:rsidP="002E33D9">
            <w:pPr>
              <w:spacing w:after="0" w:line="240" w:lineRule="auto"/>
              <w:jc w:val="right"/>
              <w:rPr>
                <w:rFonts w:eastAsia="Times New Roman" w:cs="Calibri"/>
                <w:color w:val="000000"/>
                <w:sz w:val="20"/>
                <w:lang w:eastAsia="sk-SK"/>
              </w:rPr>
            </w:pPr>
            <w:r w:rsidRPr="000337F8">
              <w:rPr>
                <w:rFonts w:eastAsia="Times New Roman" w:cs="Calibri"/>
                <w:color w:val="000000"/>
                <w:sz w:val="20"/>
                <w:lang w:eastAsia="sk-SK"/>
              </w:rPr>
              <w:t>3340</w:t>
            </w:r>
          </w:p>
        </w:tc>
        <w:tc>
          <w:tcPr>
            <w:tcW w:w="2665" w:type="dxa"/>
            <w:shd w:val="clear" w:color="auto" w:fill="auto"/>
            <w:noWrap/>
            <w:vAlign w:val="bottom"/>
            <w:hideMark/>
          </w:tcPr>
          <w:p w14:paraId="458A91EC" w14:textId="77777777" w:rsidR="001B34C7" w:rsidRPr="000337F8" w:rsidRDefault="001B34C7" w:rsidP="002E33D9">
            <w:pPr>
              <w:spacing w:after="0" w:line="240" w:lineRule="auto"/>
              <w:jc w:val="right"/>
              <w:rPr>
                <w:rFonts w:eastAsia="Times New Roman" w:cs="Calibri"/>
                <w:color w:val="000000"/>
                <w:sz w:val="20"/>
                <w:lang w:eastAsia="sk-SK"/>
              </w:rPr>
            </w:pPr>
            <w:r w:rsidRPr="000337F8">
              <w:rPr>
                <w:rFonts w:eastAsia="Times New Roman" w:cs="Calibri"/>
                <w:color w:val="000000"/>
                <w:sz w:val="20"/>
                <w:lang w:eastAsia="sk-SK"/>
              </w:rPr>
              <w:t>20</w:t>
            </w:r>
          </w:p>
        </w:tc>
        <w:tc>
          <w:tcPr>
            <w:tcW w:w="2974" w:type="dxa"/>
            <w:shd w:val="clear" w:color="auto" w:fill="auto"/>
            <w:noWrap/>
            <w:vAlign w:val="bottom"/>
            <w:hideMark/>
          </w:tcPr>
          <w:p w14:paraId="700CED41" w14:textId="77777777" w:rsidR="001B34C7" w:rsidRPr="000337F8" w:rsidRDefault="001B34C7" w:rsidP="002E33D9">
            <w:pPr>
              <w:spacing w:after="0" w:line="240" w:lineRule="auto"/>
              <w:jc w:val="right"/>
              <w:rPr>
                <w:rFonts w:eastAsia="Times New Roman" w:cs="Calibri"/>
                <w:color w:val="000000"/>
                <w:sz w:val="20"/>
                <w:lang w:eastAsia="sk-SK"/>
              </w:rPr>
            </w:pPr>
            <w:r w:rsidRPr="000337F8">
              <w:rPr>
                <w:rFonts w:eastAsia="Times New Roman" w:cs="Calibri"/>
                <w:color w:val="000000"/>
                <w:sz w:val="20"/>
                <w:lang w:eastAsia="sk-SK"/>
              </w:rPr>
              <w:t>23</w:t>
            </w:r>
          </w:p>
        </w:tc>
      </w:tr>
      <w:tr w:rsidR="001B34C7" w:rsidRPr="000337F8" w14:paraId="034B9A27" w14:textId="77777777" w:rsidTr="002E33D9">
        <w:trPr>
          <w:trHeight w:val="284"/>
          <w:jc w:val="center"/>
        </w:trPr>
        <w:tc>
          <w:tcPr>
            <w:tcW w:w="709" w:type="dxa"/>
            <w:shd w:val="clear" w:color="auto" w:fill="auto"/>
            <w:noWrap/>
            <w:vAlign w:val="bottom"/>
            <w:hideMark/>
          </w:tcPr>
          <w:p w14:paraId="277FA593" w14:textId="77777777" w:rsidR="001B34C7" w:rsidRPr="000337F8" w:rsidRDefault="001B34C7" w:rsidP="002E33D9">
            <w:pPr>
              <w:spacing w:after="0" w:line="240" w:lineRule="auto"/>
              <w:rPr>
                <w:rFonts w:eastAsia="Times New Roman" w:cs="Calibri"/>
                <w:bCs/>
                <w:color w:val="000000"/>
                <w:sz w:val="20"/>
                <w:lang w:eastAsia="sk-SK"/>
              </w:rPr>
            </w:pPr>
            <w:r w:rsidRPr="000337F8">
              <w:rPr>
                <w:rFonts w:eastAsia="Times New Roman" w:cs="Calibri"/>
                <w:bCs/>
                <w:color w:val="000000"/>
                <w:sz w:val="20"/>
                <w:lang w:eastAsia="sk-SK"/>
              </w:rPr>
              <w:t>PAP</w:t>
            </w:r>
          </w:p>
        </w:tc>
        <w:tc>
          <w:tcPr>
            <w:tcW w:w="2665" w:type="dxa"/>
            <w:shd w:val="clear" w:color="auto" w:fill="auto"/>
            <w:noWrap/>
            <w:vAlign w:val="bottom"/>
            <w:hideMark/>
          </w:tcPr>
          <w:p w14:paraId="66FFAFFF" w14:textId="77777777" w:rsidR="001B34C7" w:rsidRPr="000337F8" w:rsidRDefault="001B34C7" w:rsidP="002E33D9">
            <w:pPr>
              <w:spacing w:after="0" w:line="240" w:lineRule="auto"/>
              <w:jc w:val="right"/>
              <w:rPr>
                <w:rFonts w:eastAsia="Times New Roman" w:cs="Calibri"/>
                <w:color w:val="000000"/>
                <w:sz w:val="20"/>
                <w:lang w:eastAsia="sk-SK"/>
              </w:rPr>
            </w:pPr>
            <w:r w:rsidRPr="000337F8">
              <w:rPr>
                <w:rFonts w:eastAsia="Times New Roman" w:cs="Calibri"/>
                <w:color w:val="000000"/>
                <w:sz w:val="20"/>
                <w:lang w:eastAsia="sk-SK"/>
              </w:rPr>
              <w:t>2391</w:t>
            </w:r>
          </w:p>
        </w:tc>
        <w:tc>
          <w:tcPr>
            <w:tcW w:w="2665" w:type="dxa"/>
            <w:shd w:val="clear" w:color="auto" w:fill="auto"/>
            <w:noWrap/>
            <w:vAlign w:val="bottom"/>
            <w:hideMark/>
          </w:tcPr>
          <w:p w14:paraId="7A0FC14B" w14:textId="77777777" w:rsidR="001B34C7" w:rsidRPr="000337F8" w:rsidRDefault="001B34C7" w:rsidP="002E33D9">
            <w:pPr>
              <w:spacing w:after="0" w:line="240" w:lineRule="auto"/>
              <w:jc w:val="right"/>
              <w:rPr>
                <w:rFonts w:eastAsia="Times New Roman" w:cs="Calibri"/>
                <w:color w:val="000000"/>
                <w:sz w:val="20"/>
                <w:lang w:eastAsia="sk-SK"/>
              </w:rPr>
            </w:pPr>
            <w:r w:rsidRPr="000337F8">
              <w:rPr>
                <w:rFonts w:eastAsia="Times New Roman" w:cs="Calibri"/>
                <w:color w:val="000000"/>
                <w:sz w:val="20"/>
                <w:lang w:eastAsia="sk-SK"/>
              </w:rPr>
              <w:t>14</w:t>
            </w:r>
          </w:p>
        </w:tc>
        <w:tc>
          <w:tcPr>
            <w:tcW w:w="2974" w:type="dxa"/>
            <w:shd w:val="clear" w:color="auto" w:fill="auto"/>
            <w:noWrap/>
            <w:vAlign w:val="bottom"/>
            <w:hideMark/>
          </w:tcPr>
          <w:p w14:paraId="49775D85" w14:textId="77777777" w:rsidR="001B34C7" w:rsidRPr="000337F8" w:rsidRDefault="001B34C7" w:rsidP="002E33D9">
            <w:pPr>
              <w:spacing w:after="0" w:line="240" w:lineRule="auto"/>
              <w:jc w:val="right"/>
              <w:rPr>
                <w:rFonts w:eastAsia="Times New Roman" w:cs="Calibri"/>
                <w:color w:val="000000"/>
                <w:sz w:val="20"/>
                <w:lang w:eastAsia="sk-SK"/>
              </w:rPr>
            </w:pPr>
            <w:r w:rsidRPr="000337F8">
              <w:rPr>
                <w:rFonts w:eastAsia="Times New Roman" w:cs="Calibri"/>
                <w:color w:val="000000"/>
                <w:sz w:val="20"/>
                <w:lang w:eastAsia="sk-SK"/>
              </w:rPr>
              <w:t>52</w:t>
            </w:r>
          </w:p>
        </w:tc>
      </w:tr>
      <w:tr w:rsidR="001B34C7" w:rsidRPr="000337F8" w14:paraId="5AB40F00" w14:textId="77777777" w:rsidTr="002E33D9">
        <w:trPr>
          <w:trHeight w:val="284"/>
          <w:jc w:val="center"/>
        </w:trPr>
        <w:tc>
          <w:tcPr>
            <w:tcW w:w="709" w:type="dxa"/>
            <w:shd w:val="clear" w:color="auto" w:fill="auto"/>
            <w:noWrap/>
            <w:vAlign w:val="bottom"/>
            <w:hideMark/>
          </w:tcPr>
          <w:p w14:paraId="06656DB0" w14:textId="77777777" w:rsidR="001B34C7" w:rsidRPr="000337F8" w:rsidRDefault="001B34C7" w:rsidP="002E33D9">
            <w:pPr>
              <w:spacing w:after="0" w:line="240" w:lineRule="auto"/>
              <w:rPr>
                <w:rFonts w:eastAsia="Times New Roman" w:cs="Calibri"/>
                <w:bCs/>
                <w:color w:val="000000"/>
                <w:sz w:val="20"/>
                <w:lang w:eastAsia="sk-SK"/>
              </w:rPr>
            </w:pPr>
            <w:r w:rsidRPr="000337F8">
              <w:rPr>
                <w:rFonts w:eastAsia="Times New Roman" w:cs="Calibri"/>
                <w:bCs/>
                <w:color w:val="000000"/>
                <w:sz w:val="20"/>
                <w:lang w:eastAsia="sk-SK"/>
              </w:rPr>
              <w:t>AUT</w:t>
            </w:r>
          </w:p>
        </w:tc>
        <w:tc>
          <w:tcPr>
            <w:tcW w:w="2665" w:type="dxa"/>
            <w:shd w:val="clear" w:color="auto" w:fill="auto"/>
            <w:noWrap/>
            <w:vAlign w:val="bottom"/>
            <w:hideMark/>
          </w:tcPr>
          <w:p w14:paraId="7C2DB029" w14:textId="77777777" w:rsidR="001B34C7" w:rsidRPr="000337F8" w:rsidRDefault="001B34C7" w:rsidP="002E33D9">
            <w:pPr>
              <w:spacing w:after="0" w:line="240" w:lineRule="auto"/>
              <w:jc w:val="right"/>
              <w:rPr>
                <w:rFonts w:eastAsia="Times New Roman" w:cs="Calibri"/>
                <w:color w:val="000000"/>
                <w:sz w:val="20"/>
                <w:lang w:eastAsia="sk-SK"/>
              </w:rPr>
            </w:pPr>
            <w:r w:rsidRPr="000337F8">
              <w:rPr>
                <w:rFonts w:eastAsia="Times New Roman" w:cs="Calibri"/>
                <w:color w:val="000000"/>
                <w:sz w:val="20"/>
                <w:lang w:eastAsia="sk-SK"/>
              </w:rPr>
              <w:t>1708</w:t>
            </w:r>
          </w:p>
        </w:tc>
        <w:tc>
          <w:tcPr>
            <w:tcW w:w="2665" w:type="dxa"/>
            <w:shd w:val="clear" w:color="auto" w:fill="auto"/>
            <w:noWrap/>
            <w:vAlign w:val="bottom"/>
            <w:hideMark/>
          </w:tcPr>
          <w:p w14:paraId="7FCC00B4" w14:textId="77777777" w:rsidR="001B34C7" w:rsidRPr="000337F8" w:rsidRDefault="001B34C7" w:rsidP="002E33D9">
            <w:pPr>
              <w:spacing w:after="0" w:line="240" w:lineRule="auto"/>
              <w:jc w:val="right"/>
              <w:rPr>
                <w:rFonts w:eastAsia="Times New Roman" w:cs="Calibri"/>
                <w:color w:val="000000"/>
                <w:sz w:val="20"/>
                <w:lang w:eastAsia="sk-SK"/>
              </w:rPr>
            </w:pPr>
            <w:r w:rsidRPr="000337F8">
              <w:rPr>
                <w:rFonts w:eastAsia="Times New Roman" w:cs="Calibri"/>
                <w:color w:val="000000"/>
                <w:sz w:val="20"/>
                <w:lang w:eastAsia="sk-SK"/>
              </w:rPr>
              <w:t>10</w:t>
            </w:r>
          </w:p>
        </w:tc>
        <w:tc>
          <w:tcPr>
            <w:tcW w:w="2974" w:type="dxa"/>
            <w:shd w:val="clear" w:color="auto" w:fill="auto"/>
            <w:noWrap/>
            <w:vAlign w:val="bottom"/>
            <w:hideMark/>
          </w:tcPr>
          <w:p w14:paraId="5043F8FE" w14:textId="77777777" w:rsidR="001B34C7" w:rsidRPr="000337F8" w:rsidRDefault="001B34C7" w:rsidP="002E33D9">
            <w:pPr>
              <w:spacing w:after="0" w:line="240" w:lineRule="auto"/>
              <w:jc w:val="right"/>
              <w:rPr>
                <w:rFonts w:eastAsia="Times New Roman" w:cs="Calibri"/>
                <w:color w:val="000000"/>
                <w:sz w:val="20"/>
                <w:lang w:eastAsia="sk-SK"/>
              </w:rPr>
            </w:pPr>
            <w:r w:rsidRPr="000337F8">
              <w:rPr>
                <w:rFonts w:eastAsia="Times New Roman" w:cs="Calibri"/>
                <w:color w:val="000000"/>
                <w:sz w:val="20"/>
                <w:lang w:eastAsia="sk-SK"/>
              </w:rPr>
              <w:t>100</w:t>
            </w:r>
          </w:p>
        </w:tc>
      </w:tr>
      <w:tr w:rsidR="001B34C7" w:rsidRPr="000337F8" w14:paraId="78FA29C2" w14:textId="77777777" w:rsidTr="002E33D9">
        <w:trPr>
          <w:trHeight w:val="284"/>
          <w:jc w:val="center"/>
        </w:trPr>
        <w:tc>
          <w:tcPr>
            <w:tcW w:w="709" w:type="dxa"/>
            <w:shd w:val="clear" w:color="auto" w:fill="auto"/>
            <w:noWrap/>
            <w:vAlign w:val="bottom"/>
            <w:hideMark/>
          </w:tcPr>
          <w:p w14:paraId="48B04DF6" w14:textId="77777777" w:rsidR="001B34C7" w:rsidRPr="000337F8" w:rsidRDefault="001B34C7" w:rsidP="002E33D9">
            <w:pPr>
              <w:spacing w:after="0" w:line="240" w:lineRule="auto"/>
              <w:rPr>
                <w:rFonts w:eastAsia="Times New Roman" w:cs="Calibri"/>
                <w:bCs/>
                <w:color w:val="000000"/>
                <w:sz w:val="20"/>
                <w:lang w:eastAsia="sk-SK"/>
              </w:rPr>
            </w:pPr>
            <w:r w:rsidRPr="000337F8">
              <w:rPr>
                <w:rFonts w:eastAsia="Times New Roman" w:cs="Calibri"/>
                <w:bCs/>
                <w:color w:val="000000"/>
                <w:sz w:val="20"/>
                <w:lang w:eastAsia="sk-SK"/>
              </w:rPr>
              <w:t>NKS</w:t>
            </w:r>
          </w:p>
        </w:tc>
        <w:tc>
          <w:tcPr>
            <w:tcW w:w="2665" w:type="dxa"/>
            <w:shd w:val="clear" w:color="auto" w:fill="auto"/>
            <w:noWrap/>
            <w:vAlign w:val="bottom"/>
            <w:hideMark/>
          </w:tcPr>
          <w:p w14:paraId="2EABC3D7" w14:textId="77777777" w:rsidR="001B34C7" w:rsidRPr="000337F8" w:rsidRDefault="001B34C7" w:rsidP="002E33D9">
            <w:pPr>
              <w:spacing w:after="0" w:line="240" w:lineRule="auto"/>
              <w:jc w:val="right"/>
              <w:rPr>
                <w:rFonts w:eastAsia="Times New Roman" w:cs="Calibri"/>
                <w:color w:val="000000"/>
                <w:sz w:val="20"/>
                <w:lang w:eastAsia="sk-SK"/>
              </w:rPr>
            </w:pPr>
            <w:r w:rsidRPr="000337F8">
              <w:rPr>
                <w:rFonts w:eastAsia="Times New Roman" w:cs="Calibri"/>
                <w:color w:val="000000"/>
                <w:sz w:val="20"/>
                <w:lang w:eastAsia="sk-SK"/>
              </w:rPr>
              <w:t>1130</w:t>
            </w:r>
          </w:p>
        </w:tc>
        <w:tc>
          <w:tcPr>
            <w:tcW w:w="2665" w:type="dxa"/>
            <w:shd w:val="clear" w:color="auto" w:fill="auto"/>
            <w:noWrap/>
            <w:vAlign w:val="bottom"/>
            <w:hideMark/>
          </w:tcPr>
          <w:p w14:paraId="0E84D10C" w14:textId="77777777" w:rsidR="001B34C7" w:rsidRPr="000337F8" w:rsidRDefault="001B34C7" w:rsidP="002E33D9">
            <w:pPr>
              <w:spacing w:after="0" w:line="240" w:lineRule="auto"/>
              <w:jc w:val="right"/>
              <w:rPr>
                <w:rFonts w:eastAsia="Times New Roman" w:cs="Calibri"/>
                <w:color w:val="000000"/>
                <w:sz w:val="20"/>
                <w:lang w:eastAsia="sk-SK"/>
              </w:rPr>
            </w:pPr>
            <w:r w:rsidRPr="000337F8">
              <w:rPr>
                <w:rFonts w:eastAsia="Times New Roman" w:cs="Calibri"/>
                <w:color w:val="000000"/>
                <w:sz w:val="20"/>
                <w:lang w:eastAsia="sk-SK"/>
              </w:rPr>
              <w:t>7</w:t>
            </w:r>
          </w:p>
        </w:tc>
        <w:tc>
          <w:tcPr>
            <w:tcW w:w="2974" w:type="dxa"/>
            <w:shd w:val="clear" w:color="auto" w:fill="auto"/>
            <w:noWrap/>
            <w:vAlign w:val="bottom"/>
            <w:hideMark/>
          </w:tcPr>
          <w:p w14:paraId="185466D8" w14:textId="77777777" w:rsidR="001B34C7" w:rsidRPr="000337F8" w:rsidRDefault="001B34C7" w:rsidP="002E33D9">
            <w:pPr>
              <w:spacing w:after="0" w:line="240" w:lineRule="auto"/>
              <w:jc w:val="right"/>
              <w:rPr>
                <w:rFonts w:eastAsia="Times New Roman" w:cs="Calibri"/>
                <w:color w:val="000000"/>
                <w:sz w:val="20"/>
                <w:lang w:eastAsia="sk-SK"/>
              </w:rPr>
            </w:pPr>
            <w:r w:rsidRPr="000337F8">
              <w:rPr>
                <w:rFonts w:eastAsia="Times New Roman" w:cs="Calibri"/>
                <w:color w:val="000000"/>
                <w:sz w:val="20"/>
                <w:lang w:eastAsia="sk-SK"/>
              </w:rPr>
              <w:t>32</w:t>
            </w:r>
          </w:p>
        </w:tc>
      </w:tr>
      <w:tr w:rsidR="001B34C7" w:rsidRPr="000337F8" w14:paraId="447DCD11" w14:textId="77777777" w:rsidTr="002E33D9">
        <w:trPr>
          <w:trHeight w:val="284"/>
          <w:jc w:val="center"/>
        </w:trPr>
        <w:tc>
          <w:tcPr>
            <w:tcW w:w="709" w:type="dxa"/>
            <w:shd w:val="clear" w:color="auto" w:fill="auto"/>
            <w:noWrap/>
            <w:vAlign w:val="bottom"/>
            <w:hideMark/>
          </w:tcPr>
          <w:p w14:paraId="3020E7A5" w14:textId="77777777" w:rsidR="001B34C7" w:rsidRPr="000337F8" w:rsidRDefault="001B34C7" w:rsidP="002E33D9">
            <w:pPr>
              <w:spacing w:after="0" w:line="240" w:lineRule="auto"/>
              <w:rPr>
                <w:rFonts w:eastAsia="Times New Roman" w:cs="Calibri"/>
                <w:bCs/>
                <w:color w:val="000000"/>
                <w:sz w:val="20"/>
                <w:lang w:eastAsia="sk-SK"/>
              </w:rPr>
            </w:pPr>
            <w:r w:rsidRPr="000337F8">
              <w:rPr>
                <w:rFonts w:eastAsia="Times New Roman" w:cs="Calibri"/>
                <w:bCs/>
                <w:color w:val="000000"/>
                <w:sz w:val="20"/>
                <w:lang w:eastAsia="sk-SK"/>
              </w:rPr>
              <w:t>TEL</w:t>
            </w:r>
          </w:p>
        </w:tc>
        <w:tc>
          <w:tcPr>
            <w:tcW w:w="2665" w:type="dxa"/>
            <w:shd w:val="clear" w:color="auto" w:fill="auto"/>
            <w:noWrap/>
            <w:vAlign w:val="bottom"/>
            <w:hideMark/>
          </w:tcPr>
          <w:p w14:paraId="79637BA1" w14:textId="77777777" w:rsidR="001B34C7" w:rsidRPr="000337F8" w:rsidRDefault="001B34C7" w:rsidP="002E33D9">
            <w:pPr>
              <w:spacing w:after="0" w:line="240" w:lineRule="auto"/>
              <w:jc w:val="right"/>
              <w:rPr>
                <w:rFonts w:eastAsia="Times New Roman" w:cs="Calibri"/>
                <w:color w:val="000000"/>
                <w:sz w:val="20"/>
                <w:lang w:eastAsia="sk-SK"/>
              </w:rPr>
            </w:pPr>
            <w:r w:rsidRPr="000337F8">
              <w:rPr>
                <w:rFonts w:eastAsia="Times New Roman" w:cs="Calibri"/>
                <w:color w:val="000000"/>
                <w:sz w:val="20"/>
                <w:lang w:eastAsia="sk-SK"/>
              </w:rPr>
              <w:t>481</w:t>
            </w:r>
          </w:p>
        </w:tc>
        <w:tc>
          <w:tcPr>
            <w:tcW w:w="2665" w:type="dxa"/>
            <w:shd w:val="clear" w:color="auto" w:fill="auto"/>
            <w:noWrap/>
            <w:vAlign w:val="bottom"/>
            <w:hideMark/>
          </w:tcPr>
          <w:p w14:paraId="788AD5C2" w14:textId="77777777" w:rsidR="001B34C7" w:rsidRPr="000337F8" w:rsidRDefault="001B34C7" w:rsidP="002E33D9">
            <w:pPr>
              <w:spacing w:after="0" w:line="240" w:lineRule="auto"/>
              <w:jc w:val="right"/>
              <w:rPr>
                <w:rFonts w:eastAsia="Times New Roman" w:cs="Calibri"/>
                <w:color w:val="000000"/>
                <w:sz w:val="20"/>
                <w:lang w:eastAsia="sk-SK"/>
              </w:rPr>
            </w:pPr>
            <w:r w:rsidRPr="000337F8">
              <w:rPr>
                <w:rFonts w:eastAsia="Times New Roman" w:cs="Calibri"/>
                <w:color w:val="000000"/>
                <w:sz w:val="20"/>
                <w:lang w:eastAsia="sk-SK"/>
              </w:rPr>
              <w:t>3</w:t>
            </w:r>
          </w:p>
        </w:tc>
        <w:tc>
          <w:tcPr>
            <w:tcW w:w="2974" w:type="dxa"/>
            <w:shd w:val="clear" w:color="auto" w:fill="auto"/>
            <w:noWrap/>
            <w:vAlign w:val="bottom"/>
            <w:hideMark/>
          </w:tcPr>
          <w:p w14:paraId="01376080" w14:textId="77777777" w:rsidR="001B34C7" w:rsidRPr="000337F8" w:rsidRDefault="001B34C7" w:rsidP="002E33D9">
            <w:pPr>
              <w:spacing w:after="0" w:line="240" w:lineRule="auto"/>
              <w:jc w:val="right"/>
              <w:rPr>
                <w:rFonts w:eastAsia="Times New Roman" w:cs="Calibri"/>
                <w:color w:val="000000"/>
                <w:sz w:val="20"/>
                <w:lang w:eastAsia="sk-SK"/>
              </w:rPr>
            </w:pPr>
            <w:r w:rsidRPr="000337F8">
              <w:rPr>
                <w:rFonts w:eastAsia="Times New Roman" w:cs="Calibri"/>
                <w:color w:val="000000"/>
                <w:sz w:val="20"/>
                <w:lang w:eastAsia="sk-SK"/>
              </w:rPr>
              <w:t>67</w:t>
            </w:r>
          </w:p>
        </w:tc>
      </w:tr>
      <w:tr w:rsidR="001B34C7" w:rsidRPr="000337F8" w14:paraId="45E2BEA0" w14:textId="77777777" w:rsidTr="002E33D9">
        <w:trPr>
          <w:trHeight w:val="284"/>
          <w:jc w:val="center"/>
        </w:trPr>
        <w:tc>
          <w:tcPr>
            <w:tcW w:w="709" w:type="dxa"/>
            <w:shd w:val="clear" w:color="auto" w:fill="auto"/>
            <w:noWrap/>
            <w:vAlign w:val="bottom"/>
            <w:hideMark/>
          </w:tcPr>
          <w:p w14:paraId="2930D25B" w14:textId="77777777" w:rsidR="001B34C7" w:rsidRPr="000337F8" w:rsidRDefault="001B34C7" w:rsidP="002E33D9">
            <w:pPr>
              <w:spacing w:after="0" w:line="240" w:lineRule="auto"/>
              <w:rPr>
                <w:rFonts w:eastAsia="Times New Roman" w:cs="Calibri"/>
                <w:bCs/>
                <w:color w:val="000000"/>
                <w:sz w:val="20"/>
                <w:lang w:eastAsia="sk-SK"/>
              </w:rPr>
            </w:pPr>
            <w:r w:rsidRPr="000337F8">
              <w:rPr>
                <w:rFonts w:eastAsia="Times New Roman" w:cs="Calibri"/>
                <w:bCs/>
                <w:color w:val="000000"/>
                <w:sz w:val="20"/>
                <w:lang w:eastAsia="sk-SK"/>
              </w:rPr>
              <w:t>SLU</w:t>
            </w:r>
          </w:p>
        </w:tc>
        <w:tc>
          <w:tcPr>
            <w:tcW w:w="2665" w:type="dxa"/>
            <w:shd w:val="clear" w:color="auto" w:fill="auto"/>
            <w:noWrap/>
            <w:vAlign w:val="bottom"/>
            <w:hideMark/>
          </w:tcPr>
          <w:p w14:paraId="5102AF72" w14:textId="77777777" w:rsidR="001B34C7" w:rsidRPr="000337F8" w:rsidRDefault="001B34C7" w:rsidP="002E33D9">
            <w:pPr>
              <w:spacing w:after="0" w:line="240" w:lineRule="auto"/>
              <w:jc w:val="right"/>
              <w:rPr>
                <w:rFonts w:eastAsia="Times New Roman" w:cs="Calibri"/>
                <w:color w:val="000000"/>
                <w:sz w:val="20"/>
                <w:lang w:eastAsia="sk-SK"/>
              </w:rPr>
            </w:pPr>
            <w:r w:rsidRPr="000337F8">
              <w:rPr>
                <w:rFonts w:eastAsia="Times New Roman" w:cs="Calibri"/>
                <w:color w:val="000000"/>
                <w:sz w:val="20"/>
                <w:lang w:eastAsia="sk-SK"/>
              </w:rPr>
              <w:t>293</w:t>
            </w:r>
          </w:p>
        </w:tc>
        <w:tc>
          <w:tcPr>
            <w:tcW w:w="2665" w:type="dxa"/>
            <w:shd w:val="clear" w:color="auto" w:fill="auto"/>
            <w:noWrap/>
            <w:vAlign w:val="bottom"/>
            <w:hideMark/>
          </w:tcPr>
          <w:p w14:paraId="6F117FB4" w14:textId="77777777" w:rsidR="001B34C7" w:rsidRPr="000337F8" w:rsidRDefault="001B34C7" w:rsidP="002E33D9">
            <w:pPr>
              <w:spacing w:after="0" w:line="240" w:lineRule="auto"/>
              <w:jc w:val="right"/>
              <w:rPr>
                <w:rFonts w:eastAsia="Times New Roman" w:cs="Calibri"/>
                <w:color w:val="000000"/>
                <w:sz w:val="20"/>
                <w:lang w:eastAsia="sk-SK"/>
              </w:rPr>
            </w:pPr>
            <w:r w:rsidRPr="000337F8">
              <w:rPr>
                <w:rFonts w:eastAsia="Times New Roman" w:cs="Calibri"/>
                <w:color w:val="000000"/>
                <w:sz w:val="20"/>
                <w:lang w:eastAsia="sk-SK"/>
              </w:rPr>
              <w:t>2</w:t>
            </w:r>
          </w:p>
        </w:tc>
        <w:tc>
          <w:tcPr>
            <w:tcW w:w="2974" w:type="dxa"/>
            <w:shd w:val="clear" w:color="auto" w:fill="auto"/>
            <w:noWrap/>
            <w:vAlign w:val="bottom"/>
            <w:hideMark/>
          </w:tcPr>
          <w:p w14:paraId="0D5D0DB0" w14:textId="77777777" w:rsidR="001B34C7" w:rsidRPr="000337F8" w:rsidRDefault="001B34C7" w:rsidP="002E33D9">
            <w:pPr>
              <w:spacing w:after="0" w:line="240" w:lineRule="auto"/>
              <w:jc w:val="right"/>
              <w:rPr>
                <w:rFonts w:eastAsia="Times New Roman" w:cs="Calibri"/>
                <w:color w:val="000000"/>
                <w:sz w:val="20"/>
                <w:lang w:eastAsia="sk-SK"/>
              </w:rPr>
            </w:pPr>
            <w:r w:rsidRPr="000337F8">
              <w:rPr>
                <w:rFonts w:eastAsia="Times New Roman" w:cs="Calibri"/>
                <w:color w:val="000000"/>
                <w:sz w:val="20"/>
                <w:lang w:eastAsia="sk-SK"/>
              </w:rPr>
              <w:t>44</w:t>
            </w:r>
          </w:p>
        </w:tc>
      </w:tr>
      <w:tr w:rsidR="001B34C7" w:rsidRPr="000337F8" w14:paraId="6EFCF46D" w14:textId="77777777" w:rsidTr="002E33D9">
        <w:trPr>
          <w:trHeight w:val="284"/>
          <w:jc w:val="center"/>
        </w:trPr>
        <w:tc>
          <w:tcPr>
            <w:tcW w:w="709" w:type="dxa"/>
            <w:shd w:val="clear" w:color="auto" w:fill="auto"/>
            <w:noWrap/>
            <w:vAlign w:val="bottom"/>
            <w:hideMark/>
          </w:tcPr>
          <w:p w14:paraId="26B7E7FA" w14:textId="77777777" w:rsidR="001B34C7" w:rsidRPr="000337F8" w:rsidRDefault="001B34C7" w:rsidP="002E33D9">
            <w:pPr>
              <w:spacing w:after="0" w:line="240" w:lineRule="auto"/>
              <w:rPr>
                <w:rFonts w:eastAsia="Times New Roman" w:cs="Calibri"/>
                <w:bCs/>
                <w:color w:val="000000"/>
                <w:sz w:val="20"/>
                <w:lang w:eastAsia="sk-SK"/>
              </w:rPr>
            </w:pPr>
            <w:r w:rsidRPr="000337F8">
              <w:rPr>
                <w:rFonts w:eastAsia="Times New Roman" w:cs="Calibri"/>
                <w:bCs/>
                <w:color w:val="000000"/>
                <w:sz w:val="20"/>
                <w:lang w:eastAsia="sk-SK"/>
              </w:rPr>
              <w:t>CHaZO</w:t>
            </w:r>
          </w:p>
        </w:tc>
        <w:tc>
          <w:tcPr>
            <w:tcW w:w="2665" w:type="dxa"/>
            <w:shd w:val="clear" w:color="auto" w:fill="auto"/>
            <w:noWrap/>
            <w:vAlign w:val="bottom"/>
            <w:hideMark/>
          </w:tcPr>
          <w:p w14:paraId="784B3237" w14:textId="77777777" w:rsidR="001B34C7" w:rsidRPr="000337F8" w:rsidRDefault="001B34C7" w:rsidP="002E33D9">
            <w:pPr>
              <w:spacing w:after="0" w:line="240" w:lineRule="auto"/>
              <w:jc w:val="right"/>
              <w:rPr>
                <w:rFonts w:eastAsia="Times New Roman" w:cs="Calibri"/>
                <w:color w:val="000000"/>
                <w:sz w:val="20"/>
                <w:lang w:eastAsia="sk-SK"/>
              </w:rPr>
            </w:pPr>
            <w:r w:rsidRPr="000337F8">
              <w:rPr>
                <w:rFonts w:eastAsia="Times New Roman" w:cs="Calibri"/>
                <w:color w:val="000000"/>
                <w:sz w:val="20"/>
                <w:lang w:eastAsia="sk-SK"/>
              </w:rPr>
              <w:t>248</w:t>
            </w:r>
          </w:p>
        </w:tc>
        <w:tc>
          <w:tcPr>
            <w:tcW w:w="2665" w:type="dxa"/>
            <w:shd w:val="clear" w:color="auto" w:fill="auto"/>
            <w:noWrap/>
            <w:vAlign w:val="bottom"/>
            <w:hideMark/>
          </w:tcPr>
          <w:p w14:paraId="77D2645C" w14:textId="77777777" w:rsidR="001B34C7" w:rsidRPr="000337F8" w:rsidRDefault="001B34C7" w:rsidP="002E33D9">
            <w:pPr>
              <w:spacing w:after="0" w:line="240" w:lineRule="auto"/>
              <w:jc w:val="right"/>
              <w:rPr>
                <w:rFonts w:eastAsia="Times New Roman" w:cs="Calibri"/>
                <w:color w:val="000000"/>
                <w:sz w:val="20"/>
                <w:lang w:eastAsia="sk-SK"/>
              </w:rPr>
            </w:pPr>
            <w:r w:rsidRPr="000337F8">
              <w:rPr>
                <w:rFonts w:eastAsia="Times New Roman" w:cs="Calibri"/>
                <w:color w:val="000000"/>
                <w:sz w:val="20"/>
                <w:lang w:eastAsia="sk-SK"/>
              </w:rPr>
              <w:t>1</w:t>
            </w:r>
          </w:p>
        </w:tc>
        <w:tc>
          <w:tcPr>
            <w:tcW w:w="2974" w:type="dxa"/>
            <w:shd w:val="clear" w:color="auto" w:fill="auto"/>
            <w:noWrap/>
            <w:vAlign w:val="bottom"/>
            <w:hideMark/>
          </w:tcPr>
          <w:p w14:paraId="5D610B57" w14:textId="77777777" w:rsidR="001B34C7" w:rsidRPr="000337F8" w:rsidRDefault="001B34C7" w:rsidP="002E33D9">
            <w:pPr>
              <w:spacing w:after="0" w:line="240" w:lineRule="auto"/>
              <w:jc w:val="right"/>
              <w:rPr>
                <w:rFonts w:eastAsia="Times New Roman" w:cs="Calibri"/>
                <w:color w:val="000000"/>
                <w:sz w:val="20"/>
                <w:lang w:eastAsia="sk-SK"/>
              </w:rPr>
            </w:pPr>
            <w:r w:rsidRPr="000337F8">
              <w:rPr>
                <w:rFonts w:eastAsia="Times New Roman" w:cs="Calibri"/>
                <w:color w:val="000000"/>
                <w:sz w:val="20"/>
                <w:lang w:eastAsia="sk-SK"/>
              </w:rPr>
              <w:t>66</w:t>
            </w:r>
          </w:p>
        </w:tc>
      </w:tr>
      <w:tr w:rsidR="001B34C7" w:rsidRPr="000337F8" w14:paraId="03FF1464" w14:textId="77777777" w:rsidTr="002E33D9">
        <w:trPr>
          <w:trHeight w:val="284"/>
          <w:jc w:val="center"/>
        </w:trPr>
        <w:tc>
          <w:tcPr>
            <w:tcW w:w="709" w:type="dxa"/>
            <w:tcBorders>
              <w:bottom w:val="single" w:sz="4" w:space="0" w:color="auto"/>
            </w:tcBorders>
            <w:shd w:val="clear" w:color="auto" w:fill="auto"/>
            <w:noWrap/>
            <w:vAlign w:val="bottom"/>
            <w:hideMark/>
          </w:tcPr>
          <w:p w14:paraId="7939E20B" w14:textId="77777777" w:rsidR="001B34C7" w:rsidRPr="000337F8" w:rsidRDefault="001B34C7" w:rsidP="002E33D9">
            <w:pPr>
              <w:spacing w:after="0" w:line="240" w:lineRule="auto"/>
              <w:rPr>
                <w:rFonts w:eastAsia="Times New Roman" w:cs="Calibri"/>
                <w:bCs/>
                <w:color w:val="000000"/>
                <w:sz w:val="20"/>
                <w:lang w:eastAsia="sk-SK"/>
              </w:rPr>
            </w:pPr>
            <w:r w:rsidRPr="000337F8">
              <w:rPr>
                <w:rFonts w:eastAsia="Times New Roman" w:cs="Calibri"/>
                <w:bCs/>
                <w:color w:val="000000"/>
                <w:sz w:val="20"/>
                <w:lang w:eastAsia="sk-SK"/>
              </w:rPr>
              <w:t>ZRA</w:t>
            </w:r>
          </w:p>
        </w:tc>
        <w:tc>
          <w:tcPr>
            <w:tcW w:w="2665" w:type="dxa"/>
            <w:tcBorders>
              <w:bottom w:val="single" w:sz="4" w:space="0" w:color="auto"/>
            </w:tcBorders>
            <w:shd w:val="clear" w:color="auto" w:fill="auto"/>
            <w:noWrap/>
            <w:vAlign w:val="bottom"/>
            <w:hideMark/>
          </w:tcPr>
          <w:p w14:paraId="3CA1C84B" w14:textId="77777777" w:rsidR="001B34C7" w:rsidRPr="000337F8" w:rsidRDefault="001B34C7" w:rsidP="002E33D9">
            <w:pPr>
              <w:spacing w:after="0" w:line="240" w:lineRule="auto"/>
              <w:jc w:val="right"/>
              <w:rPr>
                <w:rFonts w:eastAsia="Times New Roman" w:cs="Calibri"/>
                <w:color w:val="000000"/>
                <w:sz w:val="20"/>
                <w:lang w:eastAsia="sk-SK"/>
              </w:rPr>
            </w:pPr>
            <w:r w:rsidRPr="000337F8">
              <w:rPr>
                <w:rFonts w:eastAsia="Times New Roman" w:cs="Calibri"/>
                <w:color w:val="000000"/>
                <w:sz w:val="20"/>
                <w:lang w:eastAsia="sk-SK"/>
              </w:rPr>
              <w:t>152</w:t>
            </w:r>
          </w:p>
        </w:tc>
        <w:tc>
          <w:tcPr>
            <w:tcW w:w="2665" w:type="dxa"/>
            <w:tcBorders>
              <w:bottom w:val="single" w:sz="4" w:space="0" w:color="auto"/>
            </w:tcBorders>
            <w:shd w:val="clear" w:color="auto" w:fill="auto"/>
            <w:noWrap/>
            <w:vAlign w:val="bottom"/>
            <w:hideMark/>
          </w:tcPr>
          <w:p w14:paraId="258DA84F" w14:textId="77777777" w:rsidR="001B34C7" w:rsidRPr="000337F8" w:rsidRDefault="001B34C7" w:rsidP="002E33D9">
            <w:pPr>
              <w:spacing w:after="0" w:line="240" w:lineRule="auto"/>
              <w:jc w:val="right"/>
              <w:rPr>
                <w:rFonts w:eastAsia="Times New Roman" w:cs="Calibri"/>
                <w:color w:val="000000"/>
                <w:sz w:val="20"/>
                <w:lang w:eastAsia="sk-SK"/>
              </w:rPr>
            </w:pPr>
            <w:r w:rsidRPr="000337F8">
              <w:rPr>
                <w:rFonts w:eastAsia="Times New Roman" w:cs="Calibri"/>
                <w:color w:val="000000"/>
                <w:sz w:val="20"/>
                <w:lang w:eastAsia="sk-SK"/>
              </w:rPr>
              <w:t>1</w:t>
            </w:r>
          </w:p>
        </w:tc>
        <w:tc>
          <w:tcPr>
            <w:tcW w:w="2974" w:type="dxa"/>
            <w:tcBorders>
              <w:bottom w:val="single" w:sz="4" w:space="0" w:color="auto"/>
            </w:tcBorders>
            <w:shd w:val="clear" w:color="auto" w:fill="auto"/>
            <w:noWrap/>
            <w:vAlign w:val="bottom"/>
            <w:hideMark/>
          </w:tcPr>
          <w:p w14:paraId="467EA7FB" w14:textId="77777777" w:rsidR="001B34C7" w:rsidRPr="000337F8" w:rsidRDefault="001B34C7" w:rsidP="002E33D9">
            <w:pPr>
              <w:spacing w:after="0" w:line="240" w:lineRule="auto"/>
              <w:jc w:val="right"/>
              <w:rPr>
                <w:rFonts w:eastAsia="Times New Roman" w:cs="Calibri"/>
                <w:color w:val="000000"/>
                <w:sz w:val="20"/>
                <w:lang w:eastAsia="sk-SK"/>
              </w:rPr>
            </w:pPr>
            <w:r w:rsidRPr="000337F8">
              <w:rPr>
                <w:rFonts w:eastAsia="Times New Roman" w:cs="Calibri"/>
                <w:color w:val="000000"/>
                <w:sz w:val="20"/>
                <w:lang w:eastAsia="sk-SK"/>
              </w:rPr>
              <w:t>39</w:t>
            </w:r>
          </w:p>
        </w:tc>
      </w:tr>
      <w:tr w:rsidR="001B34C7" w:rsidRPr="000337F8" w14:paraId="0934955A" w14:textId="77777777" w:rsidTr="002E33D9">
        <w:trPr>
          <w:trHeight w:val="284"/>
          <w:jc w:val="center"/>
        </w:trPr>
        <w:tc>
          <w:tcPr>
            <w:tcW w:w="709" w:type="dxa"/>
            <w:tcBorders>
              <w:top w:val="single" w:sz="4" w:space="0" w:color="auto"/>
              <w:bottom w:val="single" w:sz="4" w:space="0" w:color="auto"/>
            </w:tcBorders>
            <w:shd w:val="clear" w:color="auto" w:fill="auto"/>
            <w:noWrap/>
            <w:vAlign w:val="bottom"/>
            <w:hideMark/>
          </w:tcPr>
          <w:p w14:paraId="6BBDE963" w14:textId="77777777" w:rsidR="001B34C7" w:rsidRPr="000337F8" w:rsidRDefault="001B34C7" w:rsidP="002E33D9">
            <w:pPr>
              <w:spacing w:after="0" w:line="240" w:lineRule="auto"/>
              <w:rPr>
                <w:rFonts w:eastAsia="Times New Roman" w:cs="Calibri"/>
                <w:b/>
                <w:bCs/>
                <w:color w:val="000000"/>
                <w:sz w:val="20"/>
                <w:lang w:eastAsia="sk-SK"/>
              </w:rPr>
            </w:pPr>
            <w:r w:rsidRPr="000337F8">
              <w:rPr>
                <w:rFonts w:eastAsia="Times New Roman" w:cs="Calibri"/>
                <w:b/>
                <w:bCs/>
                <w:color w:val="000000"/>
                <w:sz w:val="20"/>
                <w:lang w:eastAsia="sk-SK"/>
              </w:rPr>
              <w:t>SPOLU</w:t>
            </w:r>
          </w:p>
        </w:tc>
        <w:tc>
          <w:tcPr>
            <w:tcW w:w="2665" w:type="dxa"/>
            <w:tcBorders>
              <w:top w:val="single" w:sz="4" w:space="0" w:color="auto"/>
              <w:bottom w:val="single" w:sz="4" w:space="0" w:color="auto"/>
            </w:tcBorders>
            <w:shd w:val="clear" w:color="auto" w:fill="auto"/>
            <w:noWrap/>
            <w:vAlign w:val="bottom"/>
            <w:hideMark/>
          </w:tcPr>
          <w:p w14:paraId="6FAF697B" w14:textId="77777777" w:rsidR="001B34C7" w:rsidRPr="000337F8" w:rsidRDefault="001B34C7" w:rsidP="002E33D9">
            <w:pPr>
              <w:spacing w:after="0" w:line="240" w:lineRule="auto"/>
              <w:jc w:val="right"/>
              <w:rPr>
                <w:rFonts w:eastAsia="Times New Roman" w:cs="Calibri"/>
                <w:b/>
                <w:bCs/>
                <w:color w:val="000000"/>
                <w:sz w:val="20"/>
                <w:lang w:eastAsia="sk-SK"/>
              </w:rPr>
            </w:pPr>
            <w:r w:rsidRPr="000337F8">
              <w:rPr>
                <w:rFonts w:eastAsia="Times New Roman" w:cs="Calibri"/>
                <w:b/>
                <w:bCs/>
                <w:color w:val="000000"/>
                <w:sz w:val="20"/>
                <w:lang w:eastAsia="sk-SK"/>
              </w:rPr>
              <w:t>16 560</w:t>
            </w:r>
          </w:p>
        </w:tc>
        <w:tc>
          <w:tcPr>
            <w:tcW w:w="2665" w:type="dxa"/>
            <w:tcBorders>
              <w:top w:val="single" w:sz="4" w:space="0" w:color="auto"/>
              <w:bottom w:val="single" w:sz="4" w:space="0" w:color="auto"/>
            </w:tcBorders>
            <w:shd w:val="clear" w:color="auto" w:fill="auto"/>
            <w:noWrap/>
            <w:vAlign w:val="bottom"/>
            <w:hideMark/>
          </w:tcPr>
          <w:p w14:paraId="376E90E4" w14:textId="77777777" w:rsidR="001B34C7" w:rsidRPr="000337F8" w:rsidRDefault="001B34C7" w:rsidP="002E33D9">
            <w:pPr>
              <w:spacing w:after="0" w:line="240" w:lineRule="auto"/>
              <w:jc w:val="right"/>
              <w:rPr>
                <w:rFonts w:eastAsia="Times New Roman" w:cs="Calibri"/>
                <w:b/>
                <w:bCs/>
                <w:color w:val="000000"/>
                <w:sz w:val="20"/>
                <w:lang w:eastAsia="sk-SK"/>
              </w:rPr>
            </w:pPr>
            <w:r w:rsidRPr="000337F8">
              <w:rPr>
                <w:rFonts w:eastAsia="Times New Roman" w:cs="Calibri"/>
                <w:b/>
                <w:bCs/>
                <w:color w:val="000000"/>
                <w:sz w:val="20"/>
                <w:lang w:eastAsia="sk-SK"/>
              </w:rPr>
              <w:t>100</w:t>
            </w:r>
          </w:p>
        </w:tc>
        <w:tc>
          <w:tcPr>
            <w:tcW w:w="2974" w:type="dxa"/>
            <w:tcBorders>
              <w:top w:val="single" w:sz="4" w:space="0" w:color="auto"/>
              <w:bottom w:val="single" w:sz="4" w:space="0" w:color="auto"/>
            </w:tcBorders>
            <w:shd w:val="clear" w:color="auto" w:fill="auto"/>
            <w:noWrap/>
            <w:vAlign w:val="bottom"/>
            <w:hideMark/>
          </w:tcPr>
          <w:p w14:paraId="27B94263" w14:textId="77777777" w:rsidR="001B34C7" w:rsidRPr="000337F8" w:rsidRDefault="001B34C7" w:rsidP="002E33D9">
            <w:pPr>
              <w:spacing w:after="0" w:line="240" w:lineRule="auto"/>
              <w:jc w:val="right"/>
              <w:rPr>
                <w:rFonts w:eastAsia="Times New Roman" w:cs="Calibri"/>
                <w:b/>
                <w:bCs/>
                <w:color w:val="000000"/>
                <w:sz w:val="20"/>
                <w:lang w:eastAsia="sk-SK"/>
              </w:rPr>
            </w:pPr>
            <w:r w:rsidRPr="000337F8">
              <w:rPr>
                <w:rFonts w:eastAsia="Times New Roman" w:cs="Calibri"/>
                <w:b/>
                <w:bCs/>
                <w:color w:val="000000"/>
                <w:sz w:val="20"/>
                <w:lang w:eastAsia="sk-SK"/>
              </w:rPr>
              <w:t>32</w:t>
            </w:r>
          </w:p>
        </w:tc>
      </w:tr>
    </w:tbl>
    <w:p w14:paraId="415258D0" w14:textId="77777777" w:rsidR="001B34C7" w:rsidRPr="009973EE" w:rsidRDefault="001B34C7" w:rsidP="001B34C7">
      <w:pPr>
        <w:pStyle w:val="Bezriadkovania"/>
        <w:jc w:val="right"/>
        <w:rPr>
          <w:rFonts w:ascii="Arial Narrow" w:hAnsi="Arial Narrow"/>
          <w:i/>
          <w:iCs/>
          <w:sz w:val="18"/>
          <w:szCs w:val="18"/>
        </w:rPr>
      </w:pPr>
      <w:r w:rsidRPr="009973EE">
        <w:rPr>
          <w:rFonts w:ascii="Arial Narrow" w:hAnsi="Arial Narrow"/>
          <w:i/>
          <w:iCs/>
          <w:sz w:val="18"/>
          <w:szCs w:val="18"/>
        </w:rPr>
        <w:t>Zdroj: Vlastné prepočty IVP podľa dát z aplikácie ASIST (máj 2018) a podľa dát CVTI (september 2018). Medzi mentálne postihnutými žiakmi sú zahrnutí žiaci s ľahkým, stredným a ťažkým mentálnym postihnutím, vrátane kombinovaných postihnutí. Na žiakov s poruchami správania sa pedagogickí asistenti nežiadajú.</w:t>
      </w:r>
    </w:p>
    <w:p w14:paraId="0F260978" w14:textId="77777777" w:rsidR="001B34C7" w:rsidRDefault="001B34C7" w:rsidP="001B34C7">
      <w:pPr>
        <w:pStyle w:val="Bezriadkovania"/>
        <w:rPr>
          <w:rFonts w:ascii="Arial Narrow" w:hAnsi="Arial Narrow"/>
          <w:i/>
          <w:iCs/>
          <w:sz w:val="20"/>
          <w:szCs w:val="20"/>
        </w:rPr>
      </w:pPr>
    </w:p>
    <w:p w14:paraId="4145F545" w14:textId="77777777" w:rsidR="001B34C7" w:rsidRDefault="001B34C7" w:rsidP="001B34C7">
      <w:pPr>
        <w:pStyle w:val="Popis"/>
        <w:rPr>
          <w:b/>
          <w:i w:val="0"/>
          <w:color w:val="2E74B5" w:themeColor="accent1" w:themeShade="BF"/>
          <w:sz w:val="22"/>
        </w:rPr>
      </w:pPr>
      <w:bookmarkStart w:id="1931" w:name="_Ref25844613"/>
      <w:r w:rsidRPr="000C6214">
        <w:rPr>
          <w:b/>
          <w:i w:val="0"/>
          <w:color w:val="2E74B5" w:themeColor="accent1" w:themeShade="BF"/>
          <w:sz w:val="22"/>
        </w:rPr>
        <w:t xml:space="preserve">Príloha </w:t>
      </w:r>
      <w:r w:rsidRPr="00AD2F2A">
        <w:rPr>
          <w:b/>
          <w:i w:val="0"/>
          <w:color w:val="2E74B5" w:themeColor="accent1" w:themeShade="BF"/>
          <w:sz w:val="22"/>
        </w:rPr>
        <w:fldChar w:fldCharType="begin"/>
      </w:r>
      <w:r w:rsidRPr="00AD2F2A">
        <w:rPr>
          <w:b/>
          <w:i w:val="0"/>
          <w:color w:val="2E74B5" w:themeColor="accent1" w:themeShade="BF"/>
          <w:sz w:val="22"/>
        </w:rPr>
        <w:instrText xml:space="preserve"> SEQ Príloha \* ARABIC </w:instrText>
      </w:r>
      <w:r w:rsidRPr="00AD2F2A">
        <w:rPr>
          <w:b/>
          <w:i w:val="0"/>
          <w:color w:val="2E74B5" w:themeColor="accent1" w:themeShade="BF"/>
          <w:sz w:val="22"/>
        </w:rPr>
        <w:fldChar w:fldCharType="separate"/>
      </w:r>
      <w:r w:rsidR="00FA29AF">
        <w:rPr>
          <w:b/>
          <w:i w:val="0"/>
          <w:noProof/>
          <w:color w:val="2E74B5" w:themeColor="accent1" w:themeShade="BF"/>
          <w:sz w:val="22"/>
        </w:rPr>
        <w:t>25</w:t>
      </w:r>
      <w:r w:rsidRPr="00AD2F2A">
        <w:rPr>
          <w:b/>
          <w:i w:val="0"/>
          <w:color w:val="2E74B5" w:themeColor="accent1" w:themeShade="BF"/>
          <w:sz w:val="22"/>
        </w:rPr>
        <w:fldChar w:fldCharType="end"/>
      </w:r>
      <w:bookmarkEnd w:id="1931"/>
      <w:r w:rsidRPr="000C6214">
        <w:rPr>
          <w:b/>
          <w:i w:val="0"/>
          <w:color w:val="2E74B5" w:themeColor="accent1" w:themeShade="BF"/>
          <w:sz w:val="22"/>
        </w:rPr>
        <w:t>: Vývoj počtu žiakov so zdravotným znevýhodnením a požiadaviek na pedagogických asistentov</w:t>
      </w:r>
    </w:p>
    <w:p w14:paraId="33DF2625" w14:textId="77777777" w:rsidR="001B34C7" w:rsidRPr="00C64E4D" w:rsidRDefault="001B34C7" w:rsidP="001B34C7">
      <w:pPr>
        <w:spacing w:after="0"/>
      </w:pPr>
      <w:r w:rsidRPr="00AF6AB3">
        <w:rPr>
          <w:b/>
          <w:sz w:val="20"/>
        </w:rPr>
        <w:t xml:space="preserve">Tabuľka P </w:t>
      </w:r>
      <w:r w:rsidRPr="00AF6AB3">
        <w:rPr>
          <w:b/>
          <w:sz w:val="20"/>
        </w:rPr>
        <w:fldChar w:fldCharType="begin"/>
      </w:r>
      <w:r w:rsidRPr="00AF6AB3">
        <w:rPr>
          <w:b/>
          <w:sz w:val="20"/>
        </w:rPr>
        <w:instrText xml:space="preserve"> SEQ Tabuľka_P \* ARABIC </w:instrText>
      </w:r>
      <w:r w:rsidRPr="00AF6AB3">
        <w:rPr>
          <w:b/>
          <w:sz w:val="20"/>
        </w:rPr>
        <w:fldChar w:fldCharType="separate"/>
      </w:r>
      <w:r w:rsidR="00FA29AF">
        <w:rPr>
          <w:b/>
          <w:noProof/>
          <w:sz w:val="20"/>
        </w:rPr>
        <w:t>21</w:t>
      </w:r>
      <w:r w:rsidRPr="00AF6AB3">
        <w:rPr>
          <w:b/>
          <w:sz w:val="20"/>
        </w:rPr>
        <w:fldChar w:fldCharType="end"/>
      </w:r>
      <w:r w:rsidRPr="00AF6AB3">
        <w:rPr>
          <w:b/>
          <w:sz w:val="20"/>
        </w:rPr>
        <w:t>:</w:t>
      </w:r>
      <w:r>
        <w:rPr>
          <w:b/>
          <w:sz w:val="20"/>
        </w:rPr>
        <w:t xml:space="preserve"> </w:t>
      </w:r>
      <w:r w:rsidRPr="00C64E4D">
        <w:rPr>
          <w:b/>
          <w:sz w:val="20"/>
        </w:rPr>
        <w:t xml:space="preserve">Vývoj počtu žiakov so </w:t>
      </w:r>
      <w:r>
        <w:rPr>
          <w:b/>
          <w:sz w:val="20"/>
        </w:rPr>
        <w:t xml:space="preserve">ZZ </w:t>
      </w:r>
      <w:r w:rsidRPr="00C64E4D">
        <w:rPr>
          <w:b/>
          <w:sz w:val="20"/>
        </w:rPr>
        <w:t>a požiadaviek na pedagogických asistentov, 2012-2019</w:t>
      </w:r>
    </w:p>
    <w:tbl>
      <w:tblPr>
        <w:tblW w:w="5000" w:type="pct"/>
        <w:tblCellMar>
          <w:left w:w="70" w:type="dxa"/>
          <w:right w:w="70" w:type="dxa"/>
        </w:tblCellMar>
        <w:tblLook w:val="04A0" w:firstRow="1" w:lastRow="0" w:firstColumn="1" w:lastColumn="0" w:noHBand="0" w:noVBand="1"/>
      </w:tblPr>
      <w:tblGrid>
        <w:gridCol w:w="4305"/>
        <w:gridCol w:w="1926"/>
        <w:gridCol w:w="1395"/>
        <w:gridCol w:w="1462"/>
      </w:tblGrid>
      <w:tr w:rsidR="001B34C7" w:rsidRPr="00A42596" w14:paraId="389F6059" w14:textId="77777777" w:rsidTr="002E33D9">
        <w:trPr>
          <w:trHeight w:val="300"/>
        </w:trPr>
        <w:tc>
          <w:tcPr>
            <w:tcW w:w="3828" w:type="dxa"/>
            <w:tcBorders>
              <w:top w:val="single" w:sz="4" w:space="0" w:color="auto"/>
              <w:bottom w:val="single" w:sz="4" w:space="0" w:color="auto"/>
            </w:tcBorders>
            <w:shd w:val="clear" w:color="auto" w:fill="auto"/>
            <w:noWrap/>
            <w:vAlign w:val="bottom"/>
            <w:hideMark/>
          </w:tcPr>
          <w:p w14:paraId="12C71743" w14:textId="77777777" w:rsidR="001B34C7" w:rsidRPr="00A42596" w:rsidRDefault="001B34C7" w:rsidP="002E33D9">
            <w:pPr>
              <w:spacing w:after="0" w:line="240" w:lineRule="auto"/>
              <w:rPr>
                <w:rFonts w:eastAsia="Times New Roman" w:cs="Times New Roman"/>
                <w:sz w:val="20"/>
                <w:lang w:eastAsia="sk-SK"/>
              </w:rPr>
            </w:pPr>
          </w:p>
        </w:tc>
        <w:tc>
          <w:tcPr>
            <w:tcW w:w="1712" w:type="dxa"/>
            <w:tcBorders>
              <w:top w:val="single" w:sz="4" w:space="0" w:color="auto"/>
              <w:bottom w:val="single" w:sz="4" w:space="0" w:color="auto"/>
            </w:tcBorders>
            <w:shd w:val="clear" w:color="auto" w:fill="auto"/>
            <w:noWrap/>
            <w:vAlign w:val="bottom"/>
            <w:hideMark/>
          </w:tcPr>
          <w:p w14:paraId="7AD41331" w14:textId="77777777" w:rsidR="001B34C7" w:rsidRPr="00A42596" w:rsidRDefault="001B34C7" w:rsidP="002E33D9">
            <w:pPr>
              <w:spacing w:after="0" w:line="240" w:lineRule="auto"/>
              <w:jc w:val="right"/>
              <w:rPr>
                <w:rFonts w:eastAsia="Times New Roman" w:cs="Times New Roman"/>
                <w:b/>
                <w:bCs/>
                <w:color w:val="000000"/>
                <w:sz w:val="20"/>
                <w:lang w:eastAsia="sk-SK"/>
              </w:rPr>
            </w:pPr>
            <w:r w:rsidRPr="00A42596">
              <w:rPr>
                <w:rFonts w:eastAsia="Times New Roman" w:cs="Times New Roman"/>
                <w:b/>
                <w:bCs/>
                <w:color w:val="000000"/>
                <w:sz w:val="20"/>
                <w:lang w:eastAsia="sk-SK"/>
              </w:rPr>
              <w:t>2012</w:t>
            </w:r>
          </w:p>
        </w:tc>
        <w:tc>
          <w:tcPr>
            <w:tcW w:w="1240" w:type="dxa"/>
            <w:tcBorders>
              <w:top w:val="single" w:sz="4" w:space="0" w:color="auto"/>
              <w:bottom w:val="single" w:sz="4" w:space="0" w:color="auto"/>
            </w:tcBorders>
            <w:shd w:val="clear" w:color="auto" w:fill="auto"/>
            <w:noWrap/>
            <w:vAlign w:val="bottom"/>
            <w:hideMark/>
          </w:tcPr>
          <w:p w14:paraId="34F1454C" w14:textId="77777777" w:rsidR="001B34C7" w:rsidRPr="00A42596" w:rsidRDefault="001B34C7" w:rsidP="002E33D9">
            <w:pPr>
              <w:spacing w:after="0" w:line="240" w:lineRule="auto"/>
              <w:jc w:val="right"/>
              <w:rPr>
                <w:rFonts w:eastAsia="Times New Roman" w:cs="Times New Roman"/>
                <w:b/>
                <w:bCs/>
                <w:color w:val="000000"/>
                <w:sz w:val="20"/>
                <w:lang w:eastAsia="sk-SK"/>
              </w:rPr>
            </w:pPr>
            <w:r w:rsidRPr="00A42596">
              <w:rPr>
                <w:rFonts w:eastAsia="Times New Roman" w:cs="Times New Roman"/>
                <w:b/>
                <w:bCs/>
                <w:color w:val="000000"/>
                <w:sz w:val="20"/>
                <w:lang w:eastAsia="sk-SK"/>
              </w:rPr>
              <w:t>2019</w:t>
            </w:r>
          </w:p>
        </w:tc>
        <w:tc>
          <w:tcPr>
            <w:tcW w:w="1300" w:type="dxa"/>
            <w:tcBorders>
              <w:top w:val="single" w:sz="4" w:space="0" w:color="auto"/>
              <w:bottom w:val="single" w:sz="4" w:space="0" w:color="auto"/>
            </w:tcBorders>
            <w:shd w:val="clear" w:color="auto" w:fill="auto"/>
            <w:noWrap/>
            <w:vAlign w:val="bottom"/>
            <w:hideMark/>
          </w:tcPr>
          <w:p w14:paraId="26FC5040" w14:textId="77777777" w:rsidR="001B34C7" w:rsidRPr="00A42596" w:rsidRDefault="001B34C7" w:rsidP="002E33D9">
            <w:pPr>
              <w:spacing w:after="0" w:line="240" w:lineRule="auto"/>
              <w:jc w:val="right"/>
              <w:rPr>
                <w:rFonts w:eastAsia="Times New Roman" w:cs="Times New Roman"/>
                <w:b/>
                <w:bCs/>
                <w:color w:val="000000"/>
                <w:sz w:val="20"/>
                <w:lang w:eastAsia="sk-SK"/>
              </w:rPr>
            </w:pPr>
            <w:r w:rsidRPr="00A42596">
              <w:rPr>
                <w:rFonts w:eastAsia="Times New Roman" w:cs="Times New Roman"/>
                <w:b/>
                <w:bCs/>
                <w:color w:val="000000"/>
                <w:sz w:val="20"/>
                <w:lang w:eastAsia="sk-SK"/>
              </w:rPr>
              <w:t>Nárast v %</w:t>
            </w:r>
          </w:p>
        </w:tc>
      </w:tr>
      <w:tr w:rsidR="001B34C7" w:rsidRPr="00A42596" w14:paraId="69E5252E" w14:textId="77777777" w:rsidTr="002E33D9">
        <w:trPr>
          <w:trHeight w:val="300"/>
        </w:trPr>
        <w:tc>
          <w:tcPr>
            <w:tcW w:w="3828" w:type="dxa"/>
            <w:tcBorders>
              <w:top w:val="single" w:sz="4" w:space="0" w:color="auto"/>
            </w:tcBorders>
            <w:shd w:val="clear" w:color="auto" w:fill="auto"/>
            <w:noWrap/>
            <w:vAlign w:val="bottom"/>
            <w:hideMark/>
          </w:tcPr>
          <w:p w14:paraId="553FF98B" w14:textId="77777777" w:rsidR="001B34C7" w:rsidRPr="00C64E4D" w:rsidRDefault="001B34C7" w:rsidP="002E33D9">
            <w:pPr>
              <w:spacing w:after="0" w:line="240" w:lineRule="auto"/>
              <w:rPr>
                <w:rFonts w:eastAsia="Times New Roman" w:cs="Times New Roman"/>
                <w:bCs/>
                <w:color w:val="000000"/>
                <w:sz w:val="20"/>
                <w:lang w:eastAsia="sk-SK"/>
              </w:rPr>
            </w:pPr>
            <w:r w:rsidRPr="00C64E4D">
              <w:rPr>
                <w:rFonts w:eastAsia="Times New Roman" w:cs="Times New Roman"/>
                <w:bCs/>
                <w:color w:val="000000"/>
                <w:sz w:val="20"/>
                <w:lang w:eastAsia="sk-SK"/>
              </w:rPr>
              <w:t>Celkový počet ZZ</w:t>
            </w:r>
          </w:p>
        </w:tc>
        <w:tc>
          <w:tcPr>
            <w:tcW w:w="1712" w:type="dxa"/>
            <w:tcBorders>
              <w:top w:val="single" w:sz="4" w:space="0" w:color="auto"/>
            </w:tcBorders>
            <w:shd w:val="clear" w:color="auto" w:fill="auto"/>
            <w:noWrap/>
            <w:vAlign w:val="bottom"/>
            <w:hideMark/>
          </w:tcPr>
          <w:p w14:paraId="125520B7" w14:textId="77777777" w:rsidR="001B34C7" w:rsidRPr="00A42596" w:rsidRDefault="001B34C7" w:rsidP="002E33D9">
            <w:pPr>
              <w:spacing w:after="0" w:line="240" w:lineRule="auto"/>
              <w:jc w:val="right"/>
              <w:rPr>
                <w:rFonts w:eastAsia="Times New Roman" w:cs="Times New Roman"/>
                <w:color w:val="000000"/>
                <w:sz w:val="20"/>
                <w:lang w:eastAsia="sk-SK"/>
              </w:rPr>
            </w:pPr>
            <w:r w:rsidRPr="00A42596">
              <w:rPr>
                <w:rFonts w:eastAsia="Times New Roman" w:cs="Times New Roman"/>
                <w:color w:val="000000"/>
                <w:sz w:val="20"/>
                <w:lang w:eastAsia="sk-SK"/>
              </w:rPr>
              <w:t>44 395</w:t>
            </w:r>
          </w:p>
        </w:tc>
        <w:tc>
          <w:tcPr>
            <w:tcW w:w="1240" w:type="dxa"/>
            <w:tcBorders>
              <w:top w:val="single" w:sz="4" w:space="0" w:color="auto"/>
            </w:tcBorders>
            <w:shd w:val="clear" w:color="auto" w:fill="auto"/>
            <w:noWrap/>
            <w:vAlign w:val="bottom"/>
            <w:hideMark/>
          </w:tcPr>
          <w:p w14:paraId="66D4D070" w14:textId="77777777" w:rsidR="001B34C7" w:rsidRPr="00A42596" w:rsidRDefault="001B34C7" w:rsidP="002E33D9">
            <w:pPr>
              <w:spacing w:after="0" w:line="240" w:lineRule="auto"/>
              <w:jc w:val="right"/>
              <w:rPr>
                <w:rFonts w:eastAsia="Times New Roman" w:cs="Times New Roman"/>
                <w:color w:val="000000"/>
                <w:sz w:val="20"/>
                <w:lang w:eastAsia="sk-SK"/>
              </w:rPr>
            </w:pPr>
            <w:r w:rsidRPr="00A42596">
              <w:rPr>
                <w:rFonts w:eastAsia="Times New Roman" w:cs="Times New Roman"/>
                <w:color w:val="000000"/>
                <w:sz w:val="20"/>
                <w:lang w:eastAsia="sk-SK"/>
              </w:rPr>
              <w:t>51 869</w:t>
            </w:r>
          </w:p>
        </w:tc>
        <w:tc>
          <w:tcPr>
            <w:tcW w:w="1300" w:type="dxa"/>
            <w:tcBorders>
              <w:top w:val="single" w:sz="4" w:space="0" w:color="auto"/>
            </w:tcBorders>
            <w:shd w:val="clear" w:color="auto" w:fill="auto"/>
            <w:noWrap/>
            <w:vAlign w:val="bottom"/>
            <w:hideMark/>
          </w:tcPr>
          <w:p w14:paraId="0D4D4F3A" w14:textId="77777777" w:rsidR="001B34C7" w:rsidRPr="00A42596" w:rsidRDefault="001B34C7" w:rsidP="002E33D9">
            <w:pPr>
              <w:spacing w:after="0" w:line="240" w:lineRule="auto"/>
              <w:jc w:val="right"/>
              <w:rPr>
                <w:rFonts w:eastAsia="Times New Roman" w:cs="Times New Roman"/>
                <w:color w:val="000000"/>
                <w:sz w:val="20"/>
                <w:lang w:eastAsia="sk-SK"/>
              </w:rPr>
            </w:pPr>
            <w:r w:rsidRPr="00A42596">
              <w:rPr>
                <w:rFonts w:eastAsia="Times New Roman" w:cs="Times New Roman"/>
                <w:color w:val="000000"/>
                <w:sz w:val="20"/>
                <w:lang w:eastAsia="sk-SK"/>
              </w:rPr>
              <w:t>17</w:t>
            </w:r>
          </w:p>
        </w:tc>
      </w:tr>
      <w:tr w:rsidR="001B34C7" w:rsidRPr="00A42596" w14:paraId="29992297" w14:textId="77777777" w:rsidTr="002E33D9">
        <w:trPr>
          <w:trHeight w:val="300"/>
        </w:trPr>
        <w:tc>
          <w:tcPr>
            <w:tcW w:w="3828" w:type="dxa"/>
            <w:shd w:val="clear" w:color="auto" w:fill="auto"/>
            <w:noWrap/>
            <w:vAlign w:val="bottom"/>
            <w:hideMark/>
          </w:tcPr>
          <w:p w14:paraId="16D04FFF" w14:textId="77777777" w:rsidR="001B34C7" w:rsidRPr="00C64E4D" w:rsidRDefault="001B34C7" w:rsidP="002E33D9">
            <w:pPr>
              <w:spacing w:after="0" w:line="240" w:lineRule="auto"/>
              <w:rPr>
                <w:rFonts w:eastAsia="Times New Roman" w:cs="Times New Roman"/>
                <w:bCs/>
                <w:color w:val="000000"/>
                <w:sz w:val="20"/>
                <w:lang w:eastAsia="sk-SK"/>
              </w:rPr>
            </w:pPr>
            <w:r w:rsidRPr="00C64E4D">
              <w:rPr>
                <w:rFonts w:eastAsia="Times New Roman" w:cs="Times New Roman"/>
                <w:bCs/>
                <w:color w:val="000000"/>
                <w:sz w:val="20"/>
                <w:lang w:eastAsia="sk-SK"/>
              </w:rPr>
              <w:t>Počet žiakov so ZZ, na ktorých sa žiada AU</w:t>
            </w:r>
          </w:p>
        </w:tc>
        <w:tc>
          <w:tcPr>
            <w:tcW w:w="1712" w:type="dxa"/>
            <w:shd w:val="clear" w:color="auto" w:fill="auto"/>
            <w:noWrap/>
            <w:vAlign w:val="bottom"/>
            <w:hideMark/>
          </w:tcPr>
          <w:p w14:paraId="5099ADE5" w14:textId="77777777" w:rsidR="001B34C7" w:rsidRPr="00A42596" w:rsidRDefault="001B34C7" w:rsidP="002E33D9">
            <w:pPr>
              <w:spacing w:after="0" w:line="240" w:lineRule="auto"/>
              <w:jc w:val="right"/>
              <w:rPr>
                <w:rFonts w:eastAsia="Times New Roman" w:cs="Times New Roman"/>
                <w:color w:val="000000"/>
                <w:sz w:val="20"/>
                <w:lang w:eastAsia="sk-SK"/>
              </w:rPr>
            </w:pPr>
            <w:r w:rsidRPr="00A42596">
              <w:rPr>
                <w:rFonts w:eastAsia="Times New Roman" w:cs="Times New Roman"/>
                <w:color w:val="000000"/>
                <w:sz w:val="20"/>
                <w:lang w:eastAsia="sk-SK"/>
              </w:rPr>
              <w:t>7 410</w:t>
            </w:r>
          </w:p>
        </w:tc>
        <w:tc>
          <w:tcPr>
            <w:tcW w:w="1240" w:type="dxa"/>
            <w:shd w:val="clear" w:color="auto" w:fill="auto"/>
            <w:noWrap/>
            <w:vAlign w:val="bottom"/>
            <w:hideMark/>
          </w:tcPr>
          <w:p w14:paraId="32B1163D" w14:textId="77777777" w:rsidR="001B34C7" w:rsidRPr="00A42596" w:rsidRDefault="001B34C7" w:rsidP="002E33D9">
            <w:pPr>
              <w:spacing w:after="0" w:line="240" w:lineRule="auto"/>
              <w:jc w:val="right"/>
              <w:rPr>
                <w:rFonts w:eastAsia="Times New Roman" w:cs="Times New Roman"/>
                <w:color w:val="000000"/>
                <w:sz w:val="20"/>
                <w:lang w:eastAsia="sk-SK"/>
              </w:rPr>
            </w:pPr>
            <w:r w:rsidRPr="00A42596">
              <w:rPr>
                <w:rFonts w:eastAsia="Times New Roman" w:cs="Times New Roman"/>
                <w:color w:val="000000"/>
                <w:sz w:val="20"/>
                <w:lang w:eastAsia="sk-SK"/>
              </w:rPr>
              <w:t>16 583</w:t>
            </w:r>
          </w:p>
        </w:tc>
        <w:tc>
          <w:tcPr>
            <w:tcW w:w="1300" w:type="dxa"/>
            <w:shd w:val="clear" w:color="auto" w:fill="auto"/>
            <w:noWrap/>
            <w:vAlign w:val="bottom"/>
            <w:hideMark/>
          </w:tcPr>
          <w:p w14:paraId="4EAEF927" w14:textId="77777777" w:rsidR="001B34C7" w:rsidRPr="00A42596" w:rsidRDefault="001B34C7" w:rsidP="002E33D9">
            <w:pPr>
              <w:spacing w:after="0" w:line="240" w:lineRule="auto"/>
              <w:jc w:val="right"/>
              <w:rPr>
                <w:rFonts w:eastAsia="Times New Roman" w:cs="Times New Roman"/>
                <w:color w:val="000000"/>
                <w:sz w:val="20"/>
                <w:lang w:eastAsia="sk-SK"/>
              </w:rPr>
            </w:pPr>
            <w:r w:rsidRPr="00A42596">
              <w:rPr>
                <w:rFonts w:eastAsia="Times New Roman" w:cs="Times New Roman"/>
                <w:color w:val="000000"/>
                <w:sz w:val="20"/>
                <w:lang w:eastAsia="sk-SK"/>
              </w:rPr>
              <w:t>124</w:t>
            </w:r>
          </w:p>
        </w:tc>
      </w:tr>
      <w:tr w:rsidR="001B34C7" w:rsidRPr="00A42596" w14:paraId="0B21F229" w14:textId="77777777" w:rsidTr="002E33D9">
        <w:trPr>
          <w:trHeight w:val="300"/>
        </w:trPr>
        <w:tc>
          <w:tcPr>
            <w:tcW w:w="3828" w:type="dxa"/>
            <w:shd w:val="clear" w:color="auto" w:fill="auto"/>
            <w:noWrap/>
            <w:vAlign w:val="bottom"/>
            <w:hideMark/>
          </w:tcPr>
          <w:p w14:paraId="72D0B107" w14:textId="77777777" w:rsidR="001B34C7" w:rsidRPr="00C64E4D" w:rsidRDefault="001B34C7" w:rsidP="002E33D9">
            <w:pPr>
              <w:spacing w:after="0" w:line="240" w:lineRule="auto"/>
              <w:rPr>
                <w:rFonts w:eastAsia="Times New Roman" w:cs="Times New Roman"/>
                <w:bCs/>
                <w:color w:val="000000"/>
                <w:sz w:val="20"/>
                <w:lang w:eastAsia="sk-SK"/>
              </w:rPr>
            </w:pPr>
            <w:r w:rsidRPr="00C64E4D">
              <w:rPr>
                <w:rFonts w:eastAsia="Times New Roman" w:cs="Times New Roman"/>
                <w:bCs/>
                <w:color w:val="000000"/>
                <w:sz w:val="20"/>
                <w:lang w:eastAsia="sk-SK"/>
              </w:rPr>
              <w:t>Počet žiadaných AU</w:t>
            </w:r>
          </w:p>
        </w:tc>
        <w:tc>
          <w:tcPr>
            <w:tcW w:w="1712" w:type="dxa"/>
            <w:shd w:val="clear" w:color="auto" w:fill="auto"/>
            <w:noWrap/>
            <w:vAlign w:val="bottom"/>
            <w:hideMark/>
          </w:tcPr>
          <w:p w14:paraId="4B243FE5" w14:textId="77777777" w:rsidR="001B34C7" w:rsidRPr="00A42596" w:rsidRDefault="001B34C7" w:rsidP="002E33D9">
            <w:pPr>
              <w:spacing w:after="0" w:line="240" w:lineRule="auto"/>
              <w:jc w:val="right"/>
              <w:rPr>
                <w:rFonts w:eastAsia="Times New Roman" w:cs="Times New Roman"/>
                <w:color w:val="000000"/>
                <w:sz w:val="20"/>
                <w:lang w:eastAsia="sk-SK"/>
              </w:rPr>
            </w:pPr>
            <w:r w:rsidRPr="00A42596">
              <w:rPr>
                <w:rFonts w:eastAsia="Times New Roman" w:cs="Times New Roman"/>
                <w:color w:val="000000"/>
                <w:sz w:val="20"/>
                <w:lang w:eastAsia="sk-SK"/>
              </w:rPr>
              <w:t>1 338</w:t>
            </w:r>
          </w:p>
        </w:tc>
        <w:tc>
          <w:tcPr>
            <w:tcW w:w="1240" w:type="dxa"/>
            <w:shd w:val="clear" w:color="auto" w:fill="auto"/>
            <w:noWrap/>
            <w:vAlign w:val="bottom"/>
            <w:hideMark/>
          </w:tcPr>
          <w:p w14:paraId="48B412D3" w14:textId="77777777" w:rsidR="001B34C7" w:rsidRPr="00A42596" w:rsidRDefault="001B34C7" w:rsidP="002E33D9">
            <w:pPr>
              <w:spacing w:after="0" w:line="240" w:lineRule="auto"/>
              <w:jc w:val="right"/>
              <w:rPr>
                <w:rFonts w:eastAsia="Times New Roman" w:cs="Times New Roman"/>
                <w:color w:val="000000"/>
                <w:sz w:val="20"/>
                <w:lang w:eastAsia="sk-SK"/>
              </w:rPr>
            </w:pPr>
            <w:r w:rsidRPr="00A42596">
              <w:rPr>
                <w:rFonts w:eastAsia="Times New Roman" w:cs="Times New Roman"/>
                <w:color w:val="000000"/>
                <w:sz w:val="20"/>
                <w:lang w:eastAsia="sk-SK"/>
              </w:rPr>
              <w:t>5 845</w:t>
            </w:r>
          </w:p>
        </w:tc>
        <w:tc>
          <w:tcPr>
            <w:tcW w:w="1300" w:type="dxa"/>
            <w:shd w:val="clear" w:color="auto" w:fill="auto"/>
            <w:noWrap/>
            <w:vAlign w:val="bottom"/>
            <w:hideMark/>
          </w:tcPr>
          <w:p w14:paraId="3F43124D" w14:textId="77777777" w:rsidR="001B34C7" w:rsidRPr="00A42596" w:rsidRDefault="001B34C7" w:rsidP="002E33D9">
            <w:pPr>
              <w:spacing w:after="0" w:line="240" w:lineRule="auto"/>
              <w:jc w:val="right"/>
              <w:rPr>
                <w:rFonts w:eastAsia="Times New Roman" w:cs="Times New Roman"/>
                <w:color w:val="000000"/>
                <w:sz w:val="20"/>
                <w:lang w:eastAsia="sk-SK"/>
              </w:rPr>
            </w:pPr>
            <w:r w:rsidRPr="00A42596">
              <w:rPr>
                <w:rFonts w:eastAsia="Times New Roman" w:cs="Times New Roman"/>
                <w:color w:val="000000"/>
                <w:sz w:val="20"/>
                <w:lang w:eastAsia="sk-SK"/>
              </w:rPr>
              <w:t>337</w:t>
            </w:r>
          </w:p>
        </w:tc>
      </w:tr>
      <w:tr w:rsidR="001B34C7" w:rsidRPr="00A42596" w14:paraId="70F50723" w14:textId="77777777" w:rsidTr="002E33D9">
        <w:trPr>
          <w:trHeight w:val="300"/>
        </w:trPr>
        <w:tc>
          <w:tcPr>
            <w:tcW w:w="3828" w:type="dxa"/>
            <w:shd w:val="clear" w:color="auto" w:fill="auto"/>
            <w:noWrap/>
            <w:vAlign w:val="bottom"/>
            <w:hideMark/>
          </w:tcPr>
          <w:p w14:paraId="3053CEBC" w14:textId="77777777" w:rsidR="001B34C7" w:rsidRPr="00C64E4D" w:rsidRDefault="001B34C7" w:rsidP="002E33D9">
            <w:pPr>
              <w:spacing w:after="0" w:line="240" w:lineRule="auto"/>
              <w:rPr>
                <w:rFonts w:eastAsia="Times New Roman" w:cs="Times New Roman"/>
                <w:bCs/>
                <w:color w:val="000000"/>
                <w:sz w:val="20"/>
                <w:lang w:eastAsia="sk-SK"/>
              </w:rPr>
            </w:pPr>
            <w:r w:rsidRPr="00C64E4D">
              <w:rPr>
                <w:rFonts w:eastAsia="Times New Roman" w:cs="Times New Roman"/>
                <w:bCs/>
                <w:color w:val="000000"/>
                <w:sz w:val="20"/>
                <w:lang w:eastAsia="sk-SK"/>
              </w:rPr>
              <w:t>Počet pridelených AU</w:t>
            </w:r>
          </w:p>
        </w:tc>
        <w:tc>
          <w:tcPr>
            <w:tcW w:w="1712" w:type="dxa"/>
            <w:shd w:val="clear" w:color="auto" w:fill="auto"/>
            <w:noWrap/>
            <w:vAlign w:val="bottom"/>
            <w:hideMark/>
          </w:tcPr>
          <w:p w14:paraId="1A2ED2D9" w14:textId="77777777" w:rsidR="001B34C7" w:rsidRPr="00A42596" w:rsidRDefault="001B34C7" w:rsidP="002E33D9">
            <w:pPr>
              <w:spacing w:after="0" w:line="240" w:lineRule="auto"/>
              <w:jc w:val="right"/>
              <w:rPr>
                <w:rFonts w:eastAsia="Times New Roman" w:cs="Times New Roman"/>
                <w:color w:val="000000"/>
                <w:sz w:val="20"/>
                <w:lang w:eastAsia="sk-SK"/>
              </w:rPr>
            </w:pPr>
            <w:r w:rsidRPr="00A42596">
              <w:rPr>
                <w:rFonts w:eastAsia="Times New Roman" w:cs="Times New Roman"/>
                <w:color w:val="000000"/>
                <w:sz w:val="20"/>
                <w:lang w:eastAsia="sk-SK"/>
              </w:rPr>
              <w:t>622</w:t>
            </w:r>
          </w:p>
        </w:tc>
        <w:tc>
          <w:tcPr>
            <w:tcW w:w="1240" w:type="dxa"/>
            <w:shd w:val="clear" w:color="auto" w:fill="auto"/>
            <w:noWrap/>
            <w:vAlign w:val="bottom"/>
            <w:hideMark/>
          </w:tcPr>
          <w:p w14:paraId="115B8C6D" w14:textId="77777777" w:rsidR="001B34C7" w:rsidRPr="00A42596" w:rsidRDefault="001B34C7" w:rsidP="002E33D9">
            <w:pPr>
              <w:spacing w:after="0" w:line="240" w:lineRule="auto"/>
              <w:jc w:val="right"/>
              <w:rPr>
                <w:rFonts w:eastAsia="Times New Roman" w:cs="Times New Roman"/>
                <w:color w:val="000000"/>
                <w:sz w:val="20"/>
                <w:lang w:eastAsia="sk-SK"/>
              </w:rPr>
            </w:pPr>
            <w:r w:rsidRPr="00A42596">
              <w:rPr>
                <w:rFonts w:eastAsia="Times New Roman" w:cs="Times New Roman"/>
                <w:color w:val="000000"/>
                <w:sz w:val="20"/>
                <w:lang w:eastAsia="sk-SK"/>
              </w:rPr>
              <w:t>2 621</w:t>
            </w:r>
          </w:p>
        </w:tc>
        <w:tc>
          <w:tcPr>
            <w:tcW w:w="1300" w:type="dxa"/>
            <w:shd w:val="clear" w:color="auto" w:fill="auto"/>
            <w:noWrap/>
            <w:vAlign w:val="bottom"/>
            <w:hideMark/>
          </w:tcPr>
          <w:p w14:paraId="0026F0EB" w14:textId="77777777" w:rsidR="001B34C7" w:rsidRPr="00A42596" w:rsidRDefault="001B34C7" w:rsidP="002E33D9">
            <w:pPr>
              <w:spacing w:after="0" w:line="240" w:lineRule="auto"/>
              <w:jc w:val="right"/>
              <w:rPr>
                <w:rFonts w:eastAsia="Times New Roman" w:cs="Times New Roman"/>
                <w:color w:val="000000"/>
                <w:sz w:val="20"/>
                <w:lang w:eastAsia="sk-SK"/>
              </w:rPr>
            </w:pPr>
            <w:r w:rsidRPr="00A42596">
              <w:rPr>
                <w:rFonts w:eastAsia="Times New Roman" w:cs="Times New Roman"/>
                <w:color w:val="000000"/>
                <w:sz w:val="20"/>
                <w:lang w:eastAsia="sk-SK"/>
              </w:rPr>
              <w:t>321</w:t>
            </w:r>
          </w:p>
        </w:tc>
      </w:tr>
      <w:tr w:rsidR="001B34C7" w:rsidRPr="00A42596" w14:paraId="676A3EE1" w14:textId="77777777" w:rsidTr="002E33D9">
        <w:trPr>
          <w:trHeight w:val="300"/>
        </w:trPr>
        <w:tc>
          <w:tcPr>
            <w:tcW w:w="3828" w:type="dxa"/>
            <w:tcBorders>
              <w:bottom w:val="single" w:sz="4" w:space="0" w:color="auto"/>
            </w:tcBorders>
            <w:shd w:val="clear" w:color="auto" w:fill="auto"/>
            <w:noWrap/>
            <w:vAlign w:val="bottom"/>
            <w:hideMark/>
          </w:tcPr>
          <w:p w14:paraId="031FCA86" w14:textId="77777777" w:rsidR="001B34C7" w:rsidRPr="00C64E4D" w:rsidRDefault="001B34C7" w:rsidP="002E33D9">
            <w:pPr>
              <w:spacing w:after="0" w:line="240" w:lineRule="auto"/>
              <w:rPr>
                <w:rFonts w:eastAsia="Times New Roman" w:cs="Times New Roman"/>
                <w:bCs/>
                <w:color w:val="000000"/>
                <w:sz w:val="20"/>
                <w:lang w:eastAsia="sk-SK"/>
              </w:rPr>
            </w:pPr>
            <w:r w:rsidRPr="00C64E4D">
              <w:rPr>
                <w:rFonts w:eastAsia="Times New Roman" w:cs="Times New Roman"/>
                <w:bCs/>
                <w:color w:val="000000"/>
                <w:sz w:val="20"/>
                <w:lang w:eastAsia="sk-SK"/>
              </w:rPr>
              <w:t>Objem pridelených finančných zdrojov</w:t>
            </w:r>
          </w:p>
        </w:tc>
        <w:tc>
          <w:tcPr>
            <w:tcW w:w="1712" w:type="dxa"/>
            <w:tcBorders>
              <w:bottom w:val="single" w:sz="4" w:space="0" w:color="auto"/>
            </w:tcBorders>
            <w:shd w:val="clear" w:color="auto" w:fill="auto"/>
            <w:noWrap/>
            <w:vAlign w:val="bottom"/>
            <w:hideMark/>
          </w:tcPr>
          <w:p w14:paraId="75A91B77" w14:textId="77777777" w:rsidR="001B34C7" w:rsidRPr="00A42596" w:rsidRDefault="001B34C7" w:rsidP="002E33D9">
            <w:pPr>
              <w:spacing w:after="0" w:line="240" w:lineRule="auto"/>
              <w:jc w:val="right"/>
              <w:rPr>
                <w:rFonts w:eastAsia="Times New Roman" w:cs="Times New Roman"/>
                <w:color w:val="000000"/>
                <w:sz w:val="20"/>
                <w:lang w:eastAsia="sk-SK"/>
              </w:rPr>
            </w:pPr>
            <w:r w:rsidRPr="00A42596">
              <w:rPr>
                <w:rFonts w:eastAsia="Times New Roman" w:cs="Times New Roman"/>
                <w:color w:val="000000"/>
                <w:sz w:val="20"/>
                <w:lang w:eastAsia="sk-SK"/>
              </w:rPr>
              <w:t>4 475 969</w:t>
            </w:r>
          </w:p>
        </w:tc>
        <w:tc>
          <w:tcPr>
            <w:tcW w:w="1240" w:type="dxa"/>
            <w:tcBorders>
              <w:bottom w:val="single" w:sz="4" w:space="0" w:color="auto"/>
            </w:tcBorders>
            <w:shd w:val="clear" w:color="auto" w:fill="auto"/>
            <w:noWrap/>
            <w:vAlign w:val="bottom"/>
            <w:hideMark/>
          </w:tcPr>
          <w:p w14:paraId="738FAB8D" w14:textId="77777777" w:rsidR="001B34C7" w:rsidRPr="00A42596" w:rsidRDefault="001B34C7" w:rsidP="002E33D9">
            <w:pPr>
              <w:spacing w:after="0" w:line="240" w:lineRule="auto"/>
              <w:jc w:val="right"/>
              <w:rPr>
                <w:rFonts w:eastAsia="Times New Roman" w:cs="Times New Roman"/>
                <w:color w:val="000000"/>
                <w:sz w:val="20"/>
                <w:lang w:eastAsia="sk-SK"/>
              </w:rPr>
            </w:pPr>
            <w:r w:rsidRPr="00A42596">
              <w:rPr>
                <w:rFonts w:eastAsia="Times New Roman" w:cs="Times New Roman"/>
                <w:color w:val="000000"/>
                <w:sz w:val="20"/>
                <w:lang w:eastAsia="sk-SK"/>
              </w:rPr>
              <w:t>29 061 020</w:t>
            </w:r>
          </w:p>
        </w:tc>
        <w:tc>
          <w:tcPr>
            <w:tcW w:w="1300" w:type="dxa"/>
            <w:tcBorders>
              <w:bottom w:val="single" w:sz="4" w:space="0" w:color="auto"/>
            </w:tcBorders>
            <w:shd w:val="clear" w:color="auto" w:fill="auto"/>
            <w:noWrap/>
            <w:vAlign w:val="bottom"/>
            <w:hideMark/>
          </w:tcPr>
          <w:p w14:paraId="69B532C9" w14:textId="77777777" w:rsidR="001B34C7" w:rsidRPr="00A42596" w:rsidRDefault="001B34C7" w:rsidP="002E33D9">
            <w:pPr>
              <w:spacing w:after="0" w:line="240" w:lineRule="auto"/>
              <w:jc w:val="right"/>
              <w:rPr>
                <w:rFonts w:eastAsia="Times New Roman" w:cs="Times New Roman"/>
                <w:color w:val="000000"/>
                <w:sz w:val="20"/>
                <w:lang w:eastAsia="sk-SK"/>
              </w:rPr>
            </w:pPr>
            <w:r w:rsidRPr="00A42596">
              <w:rPr>
                <w:rFonts w:eastAsia="Times New Roman" w:cs="Times New Roman"/>
                <w:color w:val="000000"/>
                <w:sz w:val="20"/>
                <w:lang w:eastAsia="sk-SK"/>
              </w:rPr>
              <w:t>549</w:t>
            </w:r>
          </w:p>
        </w:tc>
      </w:tr>
    </w:tbl>
    <w:p w14:paraId="71FB3339" w14:textId="77777777" w:rsidR="001B34C7" w:rsidRPr="009973EE" w:rsidRDefault="001B34C7" w:rsidP="001B34C7">
      <w:pPr>
        <w:pStyle w:val="Bezriadkovania"/>
        <w:jc w:val="right"/>
        <w:rPr>
          <w:rFonts w:ascii="Arial Narrow" w:hAnsi="Arial Narrow"/>
          <w:i/>
          <w:iCs/>
          <w:sz w:val="18"/>
          <w:szCs w:val="18"/>
        </w:rPr>
      </w:pPr>
      <w:r w:rsidRPr="009973EE">
        <w:rPr>
          <w:rFonts w:ascii="Arial Narrow" w:hAnsi="Arial Narrow"/>
          <w:i/>
          <w:iCs/>
          <w:sz w:val="18"/>
          <w:szCs w:val="18"/>
        </w:rPr>
        <w:t>Zdroj: Vlastné prepočty IVP na základe údajov MŠVVŠ SR</w:t>
      </w:r>
    </w:p>
    <w:p w14:paraId="4CE90AB7" w14:textId="77777777" w:rsidR="001B34C7" w:rsidRDefault="001B34C7" w:rsidP="001B34C7">
      <w:pPr>
        <w:pStyle w:val="Bezriadkovania"/>
        <w:rPr>
          <w:rFonts w:ascii="Arial Narrow" w:hAnsi="Arial Narrow"/>
          <w:i/>
          <w:iCs/>
          <w:sz w:val="20"/>
          <w:szCs w:val="20"/>
        </w:rPr>
      </w:pPr>
    </w:p>
    <w:p w14:paraId="234CF5CF" w14:textId="77777777" w:rsidR="001B34C7" w:rsidRPr="009973EE" w:rsidRDefault="001B34C7" w:rsidP="001B34C7">
      <w:pPr>
        <w:pStyle w:val="Bezriadkovania"/>
        <w:rPr>
          <w:rFonts w:ascii="Arial Narrow" w:hAnsi="Arial Narrow"/>
          <w:i/>
          <w:iCs/>
          <w:sz w:val="20"/>
          <w:szCs w:val="20"/>
        </w:rPr>
      </w:pPr>
    </w:p>
    <w:p w14:paraId="5A7ECC2E" w14:textId="77777777" w:rsidR="001B34C7" w:rsidRDefault="001B34C7" w:rsidP="001B34C7">
      <w:pPr>
        <w:rPr>
          <w:b/>
          <w:color w:val="0070C0"/>
          <w:sz w:val="20"/>
        </w:rPr>
      </w:pPr>
      <w:r>
        <w:rPr>
          <w:b/>
          <w:color w:val="0070C0"/>
          <w:sz w:val="20"/>
        </w:rPr>
        <w:br w:type="page"/>
      </w:r>
    </w:p>
    <w:p w14:paraId="4D6BF393" w14:textId="77777777" w:rsidR="001B34C7" w:rsidRDefault="001B34C7" w:rsidP="001B34C7">
      <w:pPr>
        <w:pStyle w:val="Popis"/>
        <w:rPr>
          <w:b/>
          <w:i w:val="0"/>
          <w:color w:val="2E74B5" w:themeColor="accent1" w:themeShade="BF"/>
          <w:sz w:val="22"/>
        </w:rPr>
      </w:pPr>
      <w:bookmarkStart w:id="1932" w:name="_Ref25844649"/>
      <w:r w:rsidRPr="000C6214">
        <w:rPr>
          <w:b/>
          <w:i w:val="0"/>
          <w:color w:val="2E74B5" w:themeColor="accent1" w:themeShade="BF"/>
          <w:sz w:val="22"/>
        </w:rPr>
        <w:t xml:space="preserve">Príloha </w:t>
      </w:r>
      <w:r w:rsidRPr="00AD2F2A">
        <w:rPr>
          <w:b/>
          <w:i w:val="0"/>
          <w:color w:val="2E74B5" w:themeColor="accent1" w:themeShade="BF"/>
          <w:sz w:val="22"/>
        </w:rPr>
        <w:fldChar w:fldCharType="begin"/>
      </w:r>
      <w:r w:rsidRPr="00AD2F2A">
        <w:rPr>
          <w:b/>
          <w:i w:val="0"/>
          <w:color w:val="2E74B5" w:themeColor="accent1" w:themeShade="BF"/>
          <w:sz w:val="22"/>
        </w:rPr>
        <w:instrText xml:space="preserve"> SEQ Príloha \* ARABIC </w:instrText>
      </w:r>
      <w:r w:rsidRPr="00AD2F2A">
        <w:rPr>
          <w:b/>
          <w:i w:val="0"/>
          <w:color w:val="2E74B5" w:themeColor="accent1" w:themeShade="BF"/>
          <w:sz w:val="22"/>
        </w:rPr>
        <w:fldChar w:fldCharType="separate"/>
      </w:r>
      <w:r w:rsidR="00FA29AF">
        <w:rPr>
          <w:b/>
          <w:i w:val="0"/>
          <w:noProof/>
          <w:color w:val="2E74B5" w:themeColor="accent1" w:themeShade="BF"/>
          <w:sz w:val="22"/>
        </w:rPr>
        <w:t>26</w:t>
      </w:r>
      <w:r w:rsidRPr="00AD2F2A">
        <w:rPr>
          <w:b/>
          <w:i w:val="0"/>
          <w:color w:val="2E74B5" w:themeColor="accent1" w:themeShade="BF"/>
          <w:sz w:val="22"/>
        </w:rPr>
        <w:fldChar w:fldCharType="end"/>
      </w:r>
      <w:bookmarkEnd w:id="1932"/>
      <w:r w:rsidRPr="000C6214">
        <w:rPr>
          <w:b/>
          <w:i w:val="0"/>
          <w:color w:val="2E74B5" w:themeColor="accent1" w:themeShade="BF"/>
          <w:sz w:val="22"/>
        </w:rPr>
        <w:t>: Vyhodnotenie žiadostí o</w:t>
      </w:r>
      <w:r>
        <w:rPr>
          <w:b/>
          <w:i w:val="0"/>
          <w:color w:val="2E74B5" w:themeColor="accent1" w:themeShade="BF"/>
          <w:sz w:val="22"/>
        </w:rPr>
        <w:t> pedagogických asistentov</w:t>
      </w:r>
      <w:r w:rsidRPr="000C6214">
        <w:rPr>
          <w:b/>
          <w:i w:val="0"/>
          <w:color w:val="2E74B5" w:themeColor="accent1" w:themeShade="BF"/>
          <w:sz w:val="22"/>
        </w:rPr>
        <w:t xml:space="preserve"> na školách</w:t>
      </w:r>
    </w:p>
    <w:p w14:paraId="416C39B3" w14:textId="77777777" w:rsidR="001B34C7" w:rsidRPr="005F7254" w:rsidRDefault="001B34C7" w:rsidP="001B34C7">
      <w:pPr>
        <w:spacing w:after="0"/>
        <w:rPr>
          <w:b/>
          <w:sz w:val="20"/>
        </w:rPr>
      </w:pPr>
      <w:r w:rsidRPr="00AF6AB3">
        <w:rPr>
          <w:b/>
          <w:sz w:val="20"/>
        </w:rPr>
        <w:t xml:space="preserve">Tabuľka P </w:t>
      </w:r>
      <w:r w:rsidRPr="00AF6AB3">
        <w:rPr>
          <w:b/>
          <w:sz w:val="20"/>
        </w:rPr>
        <w:fldChar w:fldCharType="begin"/>
      </w:r>
      <w:r w:rsidRPr="00AF6AB3">
        <w:rPr>
          <w:b/>
          <w:sz w:val="20"/>
        </w:rPr>
        <w:instrText xml:space="preserve"> SEQ Tabuľka_P \* ARABIC </w:instrText>
      </w:r>
      <w:r w:rsidRPr="00AF6AB3">
        <w:rPr>
          <w:b/>
          <w:sz w:val="20"/>
        </w:rPr>
        <w:fldChar w:fldCharType="separate"/>
      </w:r>
      <w:r w:rsidR="00FA29AF">
        <w:rPr>
          <w:b/>
          <w:noProof/>
          <w:sz w:val="20"/>
        </w:rPr>
        <w:t>22</w:t>
      </w:r>
      <w:r w:rsidRPr="00AF6AB3">
        <w:rPr>
          <w:b/>
          <w:sz w:val="20"/>
        </w:rPr>
        <w:fldChar w:fldCharType="end"/>
      </w:r>
      <w:r w:rsidRPr="00AF6AB3">
        <w:rPr>
          <w:b/>
          <w:sz w:val="20"/>
        </w:rPr>
        <w:t>:</w:t>
      </w:r>
      <w:r>
        <w:rPr>
          <w:b/>
          <w:sz w:val="20"/>
        </w:rPr>
        <w:t xml:space="preserve"> </w:t>
      </w:r>
      <w:r w:rsidRPr="00257DAF">
        <w:rPr>
          <w:b/>
          <w:sz w:val="20"/>
        </w:rPr>
        <w:t>Vyhodnotenie žiadostí o PA na školách, ktoré žiadali o PA iba pre žiakov s jedným druhom ZZ, 2018</w:t>
      </w:r>
    </w:p>
    <w:tbl>
      <w:tblPr>
        <w:tblW w:w="5000" w:type="pct"/>
        <w:tblCellMar>
          <w:left w:w="70" w:type="dxa"/>
          <w:right w:w="70" w:type="dxa"/>
        </w:tblCellMar>
        <w:tblLook w:val="04A0" w:firstRow="1" w:lastRow="0" w:firstColumn="1" w:lastColumn="0" w:noHBand="0" w:noVBand="1"/>
      </w:tblPr>
      <w:tblGrid>
        <w:gridCol w:w="1641"/>
        <w:gridCol w:w="658"/>
        <w:gridCol w:w="601"/>
        <w:gridCol w:w="601"/>
        <w:gridCol w:w="601"/>
        <w:gridCol w:w="833"/>
        <w:gridCol w:w="1045"/>
        <w:gridCol w:w="721"/>
        <w:gridCol w:w="1076"/>
        <w:gridCol w:w="1311"/>
      </w:tblGrid>
      <w:tr w:rsidR="001B34C7" w:rsidRPr="009973EE" w14:paraId="11EC1020" w14:textId="77777777" w:rsidTr="002E33D9">
        <w:trPr>
          <w:trHeight w:val="284"/>
        </w:trPr>
        <w:tc>
          <w:tcPr>
            <w:tcW w:w="1638" w:type="dxa"/>
            <w:tcBorders>
              <w:top w:val="single" w:sz="4" w:space="0" w:color="auto"/>
            </w:tcBorders>
            <w:shd w:val="clear" w:color="auto" w:fill="auto"/>
            <w:noWrap/>
            <w:vAlign w:val="bottom"/>
            <w:hideMark/>
          </w:tcPr>
          <w:p w14:paraId="6FEE660F" w14:textId="77777777" w:rsidR="001B34C7" w:rsidRPr="009973EE" w:rsidRDefault="001B34C7" w:rsidP="002E33D9">
            <w:pPr>
              <w:spacing w:after="0" w:line="240" w:lineRule="auto"/>
              <w:rPr>
                <w:rFonts w:eastAsia="Times New Roman" w:cs="Calibri"/>
                <w:b/>
                <w:bCs/>
                <w:color w:val="000000"/>
                <w:sz w:val="20"/>
                <w:lang w:eastAsia="sk-SK"/>
              </w:rPr>
            </w:pPr>
            <w:r w:rsidRPr="009973EE">
              <w:rPr>
                <w:rFonts w:eastAsia="Times New Roman" w:cs="Calibri"/>
                <w:b/>
                <w:bCs/>
                <w:color w:val="000000"/>
                <w:sz w:val="20"/>
                <w:lang w:eastAsia="sk-SK"/>
              </w:rPr>
              <w:t> </w:t>
            </w:r>
          </w:p>
        </w:tc>
        <w:tc>
          <w:tcPr>
            <w:tcW w:w="657" w:type="dxa"/>
            <w:tcBorders>
              <w:top w:val="single" w:sz="4" w:space="0" w:color="auto"/>
            </w:tcBorders>
            <w:shd w:val="clear" w:color="auto" w:fill="auto"/>
            <w:vAlign w:val="bottom"/>
            <w:hideMark/>
          </w:tcPr>
          <w:p w14:paraId="27CE4C14" w14:textId="77777777" w:rsidR="001B34C7" w:rsidRPr="009973EE" w:rsidRDefault="001B34C7" w:rsidP="002E33D9">
            <w:pPr>
              <w:spacing w:after="0" w:line="240" w:lineRule="auto"/>
              <w:jc w:val="center"/>
              <w:rPr>
                <w:rFonts w:eastAsia="Times New Roman" w:cs="Calibri"/>
                <w:b/>
                <w:bCs/>
                <w:color w:val="000000"/>
                <w:sz w:val="20"/>
                <w:lang w:eastAsia="sk-SK"/>
              </w:rPr>
            </w:pPr>
          </w:p>
        </w:tc>
        <w:tc>
          <w:tcPr>
            <w:tcW w:w="1200" w:type="dxa"/>
            <w:gridSpan w:val="2"/>
            <w:tcBorders>
              <w:top w:val="single" w:sz="4" w:space="0" w:color="auto"/>
            </w:tcBorders>
            <w:shd w:val="clear" w:color="auto" w:fill="auto"/>
            <w:noWrap/>
            <w:vAlign w:val="bottom"/>
            <w:hideMark/>
          </w:tcPr>
          <w:p w14:paraId="30497435" w14:textId="77777777" w:rsidR="001B34C7" w:rsidRPr="009973EE" w:rsidRDefault="001B34C7" w:rsidP="002E33D9">
            <w:pPr>
              <w:spacing w:after="0" w:line="240" w:lineRule="auto"/>
              <w:jc w:val="center"/>
              <w:rPr>
                <w:rFonts w:eastAsia="Times New Roman" w:cs="Calibri"/>
                <w:b/>
                <w:bCs/>
                <w:color w:val="000000"/>
                <w:sz w:val="20"/>
                <w:lang w:eastAsia="sk-SK"/>
              </w:rPr>
            </w:pPr>
            <w:r w:rsidRPr="009973EE">
              <w:rPr>
                <w:rFonts w:eastAsia="Times New Roman" w:cs="Calibri"/>
                <w:b/>
                <w:bCs/>
                <w:color w:val="000000"/>
                <w:sz w:val="20"/>
                <w:lang w:eastAsia="sk-SK"/>
              </w:rPr>
              <w:t>Žiadaní PA</w:t>
            </w:r>
          </w:p>
        </w:tc>
        <w:tc>
          <w:tcPr>
            <w:tcW w:w="1432" w:type="dxa"/>
            <w:gridSpan w:val="2"/>
            <w:tcBorders>
              <w:top w:val="single" w:sz="4" w:space="0" w:color="auto"/>
            </w:tcBorders>
            <w:shd w:val="clear" w:color="auto" w:fill="auto"/>
            <w:noWrap/>
            <w:vAlign w:val="bottom"/>
            <w:hideMark/>
          </w:tcPr>
          <w:p w14:paraId="0CFBE009" w14:textId="77777777" w:rsidR="001B34C7" w:rsidRPr="009973EE" w:rsidRDefault="001B34C7" w:rsidP="002E33D9">
            <w:pPr>
              <w:spacing w:after="0" w:line="240" w:lineRule="auto"/>
              <w:jc w:val="center"/>
              <w:rPr>
                <w:rFonts w:eastAsia="Times New Roman" w:cs="Calibri"/>
                <w:b/>
                <w:bCs/>
                <w:color w:val="000000"/>
                <w:sz w:val="20"/>
                <w:lang w:eastAsia="sk-SK"/>
              </w:rPr>
            </w:pPr>
            <w:r w:rsidRPr="009973EE">
              <w:rPr>
                <w:rFonts w:eastAsia="Times New Roman" w:cs="Calibri"/>
                <w:b/>
                <w:bCs/>
                <w:color w:val="000000"/>
                <w:sz w:val="20"/>
                <w:lang w:eastAsia="sk-SK"/>
              </w:rPr>
              <w:t>Pridelení PA</w:t>
            </w:r>
          </w:p>
        </w:tc>
        <w:tc>
          <w:tcPr>
            <w:tcW w:w="1763" w:type="dxa"/>
            <w:gridSpan w:val="2"/>
            <w:tcBorders>
              <w:top w:val="single" w:sz="4" w:space="0" w:color="auto"/>
            </w:tcBorders>
            <w:shd w:val="clear" w:color="auto" w:fill="auto"/>
            <w:noWrap/>
            <w:vAlign w:val="bottom"/>
            <w:hideMark/>
          </w:tcPr>
          <w:p w14:paraId="35CE7763" w14:textId="77777777" w:rsidR="001B34C7" w:rsidRPr="009973EE" w:rsidRDefault="001B34C7" w:rsidP="002E33D9">
            <w:pPr>
              <w:spacing w:after="0" w:line="240" w:lineRule="auto"/>
              <w:jc w:val="center"/>
              <w:rPr>
                <w:rFonts w:eastAsia="Times New Roman" w:cs="Calibri"/>
                <w:b/>
                <w:bCs/>
                <w:color w:val="000000"/>
                <w:sz w:val="20"/>
                <w:lang w:eastAsia="sk-SK"/>
              </w:rPr>
            </w:pPr>
            <w:r w:rsidRPr="009973EE">
              <w:rPr>
                <w:rFonts w:eastAsia="Times New Roman" w:cs="Calibri"/>
                <w:b/>
                <w:bCs/>
                <w:color w:val="000000"/>
                <w:sz w:val="20"/>
                <w:lang w:eastAsia="sk-SK"/>
              </w:rPr>
              <w:t>Podiel pridelených</w:t>
            </w:r>
          </w:p>
        </w:tc>
        <w:tc>
          <w:tcPr>
            <w:tcW w:w="1074" w:type="dxa"/>
            <w:tcBorders>
              <w:top w:val="single" w:sz="4" w:space="0" w:color="auto"/>
            </w:tcBorders>
            <w:shd w:val="clear" w:color="auto" w:fill="auto"/>
            <w:noWrap/>
            <w:vAlign w:val="bottom"/>
            <w:hideMark/>
          </w:tcPr>
          <w:p w14:paraId="4CC6DAB2" w14:textId="77777777" w:rsidR="001B34C7" w:rsidRPr="009973EE" w:rsidRDefault="001B34C7" w:rsidP="002E33D9">
            <w:pPr>
              <w:spacing w:after="0" w:line="240" w:lineRule="auto"/>
              <w:jc w:val="center"/>
              <w:rPr>
                <w:rFonts w:eastAsia="Times New Roman" w:cs="Calibri"/>
                <w:b/>
                <w:bCs/>
                <w:color w:val="000000"/>
                <w:sz w:val="20"/>
                <w:lang w:eastAsia="sk-SK"/>
              </w:rPr>
            </w:pPr>
          </w:p>
        </w:tc>
        <w:tc>
          <w:tcPr>
            <w:tcW w:w="1309" w:type="dxa"/>
            <w:tcBorders>
              <w:top w:val="single" w:sz="4" w:space="0" w:color="auto"/>
            </w:tcBorders>
            <w:shd w:val="clear" w:color="auto" w:fill="auto"/>
            <w:noWrap/>
            <w:vAlign w:val="bottom"/>
            <w:hideMark/>
          </w:tcPr>
          <w:p w14:paraId="03C0AE51" w14:textId="77777777" w:rsidR="001B34C7" w:rsidRPr="009973EE" w:rsidRDefault="001B34C7" w:rsidP="002E33D9">
            <w:pPr>
              <w:spacing w:after="0" w:line="240" w:lineRule="auto"/>
              <w:jc w:val="center"/>
              <w:rPr>
                <w:rFonts w:eastAsia="Times New Roman" w:cs="Calibri"/>
                <w:b/>
                <w:bCs/>
                <w:color w:val="000000"/>
                <w:sz w:val="20"/>
                <w:lang w:eastAsia="sk-SK"/>
              </w:rPr>
            </w:pPr>
          </w:p>
        </w:tc>
      </w:tr>
      <w:tr w:rsidR="001B34C7" w:rsidRPr="009973EE" w14:paraId="7697AE3F" w14:textId="77777777" w:rsidTr="002E33D9">
        <w:trPr>
          <w:trHeight w:val="704"/>
        </w:trPr>
        <w:tc>
          <w:tcPr>
            <w:tcW w:w="1638" w:type="dxa"/>
            <w:tcBorders>
              <w:bottom w:val="single" w:sz="4" w:space="0" w:color="auto"/>
            </w:tcBorders>
            <w:shd w:val="clear" w:color="auto" w:fill="auto"/>
            <w:noWrap/>
            <w:vAlign w:val="bottom"/>
            <w:hideMark/>
          </w:tcPr>
          <w:p w14:paraId="28336608" w14:textId="77777777" w:rsidR="001B34C7" w:rsidRPr="009973EE" w:rsidRDefault="001B34C7" w:rsidP="002E33D9">
            <w:pPr>
              <w:spacing w:after="0" w:line="240" w:lineRule="auto"/>
              <w:rPr>
                <w:rFonts w:eastAsia="Times New Roman" w:cs="Calibri"/>
                <w:b/>
                <w:bCs/>
                <w:color w:val="000000"/>
                <w:sz w:val="20"/>
                <w:lang w:eastAsia="sk-SK"/>
              </w:rPr>
            </w:pPr>
            <w:r w:rsidRPr="009973EE">
              <w:rPr>
                <w:rFonts w:eastAsia="Times New Roman" w:cs="Calibri"/>
                <w:b/>
                <w:bCs/>
                <w:color w:val="000000"/>
                <w:sz w:val="20"/>
                <w:lang w:eastAsia="sk-SK"/>
              </w:rPr>
              <w:t> </w:t>
            </w:r>
          </w:p>
        </w:tc>
        <w:tc>
          <w:tcPr>
            <w:tcW w:w="657" w:type="dxa"/>
            <w:tcBorders>
              <w:bottom w:val="single" w:sz="4" w:space="0" w:color="auto"/>
            </w:tcBorders>
            <w:shd w:val="clear" w:color="auto" w:fill="auto"/>
            <w:vAlign w:val="bottom"/>
            <w:hideMark/>
          </w:tcPr>
          <w:p w14:paraId="56DE028B" w14:textId="77777777" w:rsidR="001B34C7" w:rsidRPr="009973EE" w:rsidRDefault="001B34C7" w:rsidP="002E33D9">
            <w:pPr>
              <w:spacing w:after="0" w:line="240" w:lineRule="auto"/>
              <w:jc w:val="right"/>
              <w:rPr>
                <w:rFonts w:eastAsia="Times New Roman" w:cs="Calibri"/>
                <w:b/>
                <w:bCs/>
                <w:color w:val="000000"/>
                <w:sz w:val="20"/>
                <w:lang w:eastAsia="sk-SK"/>
              </w:rPr>
            </w:pPr>
            <w:r w:rsidRPr="009973EE">
              <w:rPr>
                <w:rFonts w:eastAsia="Times New Roman" w:cs="Calibri"/>
                <w:b/>
                <w:bCs/>
                <w:color w:val="000000"/>
                <w:sz w:val="20"/>
                <w:lang w:eastAsia="sk-SK"/>
              </w:rPr>
              <w:t>Počet žiakov</w:t>
            </w:r>
          </w:p>
        </w:tc>
        <w:tc>
          <w:tcPr>
            <w:tcW w:w="600" w:type="dxa"/>
            <w:tcBorders>
              <w:bottom w:val="single" w:sz="4" w:space="0" w:color="auto"/>
            </w:tcBorders>
            <w:shd w:val="clear" w:color="auto" w:fill="auto"/>
            <w:vAlign w:val="bottom"/>
            <w:hideMark/>
          </w:tcPr>
          <w:p w14:paraId="1E146CD5" w14:textId="77777777" w:rsidR="001B34C7" w:rsidRPr="009973EE" w:rsidRDefault="001B34C7" w:rsidP="002E33D9">
            <w:pPr>
              <w:spacing w:after="0" w:line="240" w:lineRule="auto"/>
              <w:jc w:val="right"/>
              <w:rPr>
                <w:rFonts w:eastAsia="Times New Roman" w:cs="Calibri"/>
                <w:b/>
                <w:bCs/>
                <w:color w:val="000000"/>
                <w:sz w:val="20"/>
                <w:lang w:eastAsia="sk-SK"/>
              </w:rPr>
            </w:pPr>
            <w:r w:rsidRPr="009973EE">
              <w:rPr>
                <w:rFonts w:eastAsia="Times New Roman" w:cs="Calibri"/>
                <w:b/>
                <w:bCs/>
                <w:color w:val="000000"/>
                <w:sz w:val="20"/>
                <w:lang w:eastAsia="sk-SK"/>
              </w:rPr>
              <w:t>Počet škôl</w:t>
            </w:r>
          </w:p>
        </w:tc>
        <w:tc>
          <w:tcPr>
            <w:tcW w:w="600" w:type="dxa"/>
            <w:tcBorders>
              <w:bottom w:val="single" w:sz="4" w:space="0" w:color="auto"/>
            </w:tcBorders>
            <w:shd w:val="clear" w:color="auto" w:fill="auto"/>
            <w:vAlign w:val="bottom"/>
            <w:hideMark/>
          </w:tcPr>
          <w:p w14:paraId="109FF528" w14:textId="77777777" w:rsidR="001B34C7" w:rsidRPr="009973EE" w:rsidRDefault="001B34C7" w:rsidP="002E33D9">
            <w:pPr>
              <w:spacing w:after="0" w:line="240" w:lineRule="auto"/>
              <w:jc w:val="right"/>
              <w:rPr>
                <w:rFonts w:eastAsia="Times New Roman" w:cs="Calibri"/>
                <w:b/>
                <w:bCs/>
                <w:color w:val="000000"/>
                <w:sz w:val="20"/>
                <w:lang w:eastAsia="sk-SK"/>
              </w:rPr>
            </w:pPr>
            <w:r w:rsidRPr="009973EE">
              <w:rPr>
                <w:rFonts w:eastAsia="Times New Roman" w:cs="Calibri"/>
                <w:b/>
                <w:bCs/>
                <w:color w:val="000000"/>
                <w:sz w:val="20"/>
                <w:lang w:eastAsia="sk-SK"/>
              </w:rPr>
              <w:t>Počet PA</w:t>
            </w:r>
          </w:p>
        </w:tc>
        <w:tc>
          <w:tcPr>
            <w:tcW w:w="600" w:type="dxa"/>
            <w:tcBorders>
              <w:bottom w:val="single" w:sz="4" w:space="0" w:color="auto"/>
            </w:tcBorders>
            <w:shd w:val="clear" w:color="auto" w:fill="auto"/>
            <w:vAlign w:val="bottom"/>
            <w:hideMark/>
          </w:tcPr>
          <w:p w14:paraId="638CC7D6" w14:textId="77777777" w:rsidR="001B34C7" w:rsidRPr="009973EE" w:rsidRDefault="001B34C7" w:rsidP="002E33D9">
            <w:pPr>
              <w:spacing w:after="0" w:line="240" w:lineRule="auto"/>
              <w:jc w:val="right"/>
              <w:rPr>
                <w:rFonts w:eastAsia="Times New Roman" w:cs="Calibri"/>
                <w:b/>
                <w:bCs/>
                <w:color w:val="000000"/>
                <w:sz w:val="20"/>
                <w:lang w:eastAsia="sk-SK"/>
              </w:rPr>
            </w:pPr>
            <w:r w:rsidRPr="009973EE">
              <w:rPr>
                <w:rFonts w:eastAsia="Times New Roman" w:cs="Calibri"/>
                <w:b/>
                <w:bCs/>
                <w:color w:val="000000"/>
                <w:sz w:val="20"/>
                <w:lang w:eastAsia="sk-SK"/>
              </w:rPr>
              <w:t>Počet škôl</w:t>
            </w:r>
          </w:p>
        </w:tc>
        <w:tc>
          <w:tcPr>
            <w:tcW w:w="832" w:type="dxa"/>
            <w:tcBorders>
              <w:bottom w:val="single" w:sz="4" w:space="0" w:color="auto"/>
            </w:tcBorders>
            <w:shd w:val="clear" w:color="auto" w:fill="auto"/>
            <w:vAlign w:val="bottom"/>
            <w:hideMark/>
          </w:tcPr>
          <w:p w14:paraId="2ADB4173" w14:textId="77777777" w:rsidR="001B34C7" w:rsidRPr="009973EE" w:rsidRDefault="001B34C7" w:rsidP="002E33D9">
            <w:pPr>
              <w:spacing w:after="0" w:line="240" w:lineRule="auto"/>
              <w:jc w:val="right"/>
              <w:rPr>
                <w:rFonts w:eastAsia="Times New Roman" w:cs="Calibri"/>
                <w:b/>
                <w:bCs/>
                <w:color w:val="000000"/>
                <w:sz w:val="20"/>
                <w:lang w:eastAsia="sk-SK"/>
              </w:rPr>
            </w:pPr>
            <w:r w:rsidRPr="009973EE">
              <w:rPr>
                <w:rFonts w:eastAsia="Times New Roman" w:cs="Calibri"/>
                <w:b/>
                <w:bCs/>
                <w:color w:val="000000"/>
                <w:sz w:val="20"/>
                <w:lang w:eastAsia="sk-SK"/>
              </w:rPr>
              <w:t>Počet PA</w:t>
            </w:r>
          </w:p>
        </w:tc>
        <w:tc>
          <w:tcPr>
            <w:tcW w:w="1043" w:type="dxa"/>
            <w:tcBorders>
              <w:bottom w:val="single" w:sz="4" w:space="0" w:color="auto"/>
            </w:tcBorders>
            <w:shd w:val="clear" w:color="auto" w:fill="auto"/>
            <w:vAlign w:val="bottom"/>
            <w:hideMark/>
          </w:tcPr>
          <w:p w14:paraId="386A910D" w14:textId="77777777" w:rsidR="001B34C7" w:rsidRPr="009973EE" w:rsidRDefault="001B34C7" w:rsidP="002E33D9">
            <w:pPr>
              <w:spacing w:after="0" w:line="240" w:lineRule="auto"/>
              <w:jc w:val="right"/>
              <w:rPr>
                <w:rFonts w:eastAsia="Times New Roman" w:cs="Calibri"/>
                <w:b/>
                <w:bCs/>
                <w:color w:val="000000"/>
                <w:sz w:val="20"/>
                <w:lang w:eastAsia="sk-SK"/>
              </w:rPr>
            </w:pPr>
            <w:r w:rsidRPr="009973EE">
              <w:rPr>
                <w:rFonts w:eastAsia="Times New Roman" w:cs="Calibri"/>
                <w:b/>
                <w:bCs/>
                <w:color w:val="000000"/>
                <w:sz w:val="20"/>
                <w:lang w:eastAsia="sk-SK"/>
              </w:rPr>
              <w:t>Školy</w:t>
            </w:r>
            <w:r>
              <w:rPr>
                <w:rFonts w:eastAsia="Times New Roman" w:cs="Calibri"/>
                <w:b/>
                <w:bCs/>
                <w:color w:val="000000"/>
                <w:sz w:val="20"/>
                <w:lang w:eastAsia="sk-SK"/>
              </w:rPr>
              <w:t xml:space="preserve"> (%)</w:t>
            </w:r>
          </w:p>
        </w:tc>
        <w:tc>
          <w:tcPr>
            <w:tcW w:w="720" w:type="dxa"/>
            <w:tcBorders>
              <w:bottom w:val="single" w:sz="4" w:space="0" w:color="auto"/>
            </w:tcBorders>
            <w:shd w:val="clear" w:color="auto" w:fill="auto"/>
            <w:vAlign w:val="bottom"/>
            <w:hideMark/>
          </w:tcPr>
          <w:p w14:paraId="6B4B6302" w14:textId="77777777" w:rsidR="001B34C7" w:rsidRPr="009973EE" w:rsidRDefault="001B34C7" w:rsidP="002E33D9">
            <w:pPr>
              <w:spacing w:after="0" w:line="240" w:lineRule="auto"/>
              <w:jc w:val="right"/>
              <w:rPr>
                <w:rFonts w:eastAsia="Times New Roman" w:cs="Calibri"/>
                <w:b/>
                <w:bCs/>
                <w:color w:val="000000"/>
                <w:sz w:val="20"/>
                <w:lang w:eastAsia="sk-SK"/>
              </w:rPr>
            </w:pPr>
            <w:r w:rsidRPr="009973EE">
              <w:rPr>
                <w:rFonts w:eastAsia="Times New Roman" w:cs="Calibri"/>
                <w:b/>
                <w:bCs/>
                <w:color w:val="000000"/>
                <w:sz w:val="20"/>
                <w:lang w:eastAsia="sk-SK"/>
              </w:rPr>
              <w:t>PA</w:t>
            </w:r>
            <w:r>
              <w:rPr>
                <w:rFonts w:eastAsia="Times New Roman" w:cs="Calibri"/>
                <w:b/>
                <w:bCs/>
                <w:color w:val="000000"/>
                <w:sz w:val="20"/>
                <w:lang w:eastAsia="sk-SK"/>
              </w:rPr>
              <w:t xml:space="preserve"> (%)</w:t>
            </w:r>
          </w:p>
        </w:tc>
        <w:tc>
          <w:tcPr>
            <w:tcW w:w="1074" w:type="dxa"/>
            <w:tcBorders>
              <w:bottom w:val="single" w:sz="4" w:space="0" w:color="auto"/>
            </w:tcBorders>
            <w:shd w:val="clear" w:color="auto" w:fill="auto"/>
            <w:vAlign w:val="bottom"/>
            <w:hideMark/>
          </w:tcPr>
          <w:p w14:paraId="462221E9" w14:textId="77777777" w:rsidR="001B34C7" w:rsidRPr="009973EE" w:rsidRDefault="001B34C7" w:rsidP="002E33D9">
            <w:pPr>
              <w:spacing w:after="0" w:line="240" w:lineRule="auto"/>
              <w:jc w:val="right"/>
              <w:rPr>
                <w:rFonts w:eastAsia="Times New Roman" w:cs="Calibri"/>
                <w:b/>
                <w:bCs/>
                <w:color w:val="000000"/>
                <w:sz w:val="20"/>
                <w:lang w:eastAsia="sk-SK"/>
              </w:rPr>
            </w:pPr>
            <w:r w:rsidRPr="009973EE">
              <w:rPr>
                <w:rFonts w:eastAsia="Times New Roman" w:cs="Calibri"/>
                <w:b/>
                <w:bCs/>
                <w:color w:val="000000"/>
                <w:sz w:val="20"/>
                <w:lang w:eastAsia="sk-SK"/>
              </w:rPr>
              <w:t>Počet žiadaných PA na žiaka</w:t>
            </w:r>
          </w:p>
        </w:tc>
        <w:tc>
          <w:tcPr>
            <w:tcW w:w="1309" w:type="dxa"/>
            <w:tcBorders>
              <w:bottom w:val="single" w:sz="4" w:space="0" w:color="auto"/>
            </w:tcBorders>
            <w:shd w:val="clear" w:color="auto" w:fill="auto"/>
            <w:vAlign w:val="bottom"/>
            <w:hideMark/>
          </w:tcPr>
          <w:p w14:paraId="267BCDEC" w14:textId="77777777" w:rsidR="001B34C7" w:rsidRPr="009973EE" w:rsidRDefault="001B34C7" w:rsidP="002E33D9">
            <w:pPr>
              <w:spacing w:after="0" w:line="240" w:lineRule="auto"/>
              <w:jc w:val="right"/>
              <w:rPr>
                <w:rFonts w:eastAsia="Times New Roman" w:cs="Calibri"/>
                <w:b/>
                <w:bCs/>
                <w:color w:val="000000"/>
                <w:sz w:val="20"/>
                <w:lang w:eastAsia="sk-SK"/>
              </w:rPr>
            </w:pPr>
            <w:r w:rsidRPr="009973EE">
              <w:rPr>
                <w:rFonts w:eastAsia="Times New Roman" w:cs="Calibri"/>
                <w:b/>
                <w:bCs/>
                <w:color w:val="000000"/>
                <w:sz w:val="20"/>
                <w:lang w:eastAsia="sk-SK"/>
              </w:rPr>
              <w:t>Počet škôl bez pridelených prostriedkov na PA</w:t>
            </w:r>
          </w:p>
        </w:tc>
      </w:tr>
      <w:tr w:rsidR="001B34C7" w:rsidRPr="009973EE" w14:paraId="2E4EE5A5" w14:textId="77777777" w:rsidTr="002E33D9">
        <w:trPr>
          <w:trHeight w:val="284"/>
        </w:trPr>
        <w:tc>
          <w:tcPr>
            <w:tcW w:w="1638" w:type="dxa"/>
            <w:tcBorders>
              <w:top w:val="single" w:sz="4" w:space="0" w:color="auto"/>
            </w:tcBorders>
            <w:shd w:val="clear" w:color="auto" w:fill="auto"/>
            <w:noWrap/>
            <w:vAlign w:val="bottom"/>
            <w:hideMark/>
          </w:tcPr>
          <w:p w14:paraId="3404AD16" w14:textId="77777777" w:rsidR="001B34C7" w:rsidRPr="00257DAF" w:rsidRDefault="001B34C7" w:rsidP="002E33D9">
            <w:pPr>
              <w:spacing w:after="0" w:line="240" w:lineRule="auto"/>
              <w:rPr>
                <w:rFonts w:eastAsia="Times New Roman" w:cs="Calibri"/>
                <w:bCs/>
                <w:color w:val="000000"/>
                <w:sz w:val="20"/>
                <w:lang w:eastAsia="sk-SK"/>
              </w:rPr>
            </w:pPr>
            <w:r w:rsidRPr="00257DAF">
              <w:rPr>
                <w:rFonts w:eastAsia="Times New Roman" w:cs="Calibri"/>
                <w:bCs/>
                <w:color w:val="000000"/>
                <w:sz w:val="20"/>
                <w:lang w:eastAsia="sk-SK"/>
              </w:rPr>
              <w:t>VPU</w:t>
            </w:r>
          </w:p>
        </w:tc>
        <w:tc>
          <w:tcPr>
            <w:tcW w:w="657" w:type="dxa"/>
            <w:tcBorders>
              <w:top w:val="single" w:sz="4" w:space="0" w:color="auto"/>
            </w:tcBorders>
            <w:shd w:val="clear" w:color="auto" w:fill="auto"/>
            <w:noWrap/>
            <w:vAlign w:val="bottom"/>
            <w:hideMark/>
          </w:tcPr>
          <w:p w14:paraId="3270E4C2"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103</w:t>
            </w:r>
          </w:p>
        </w:tc>
        <w:tc>
          <w:tcPr>
            <w:tcW w:w="600" w:type="dxa"/>
            <w:tcBorders>
              <w:top w:val="single" w:sz="4" w:space="0" w:color="auto"/>
            </w:tcBorders>
            <w:shd w:val="clear" w:color="auto" w:fill="auto"/>
            <w:noWrap/>
            <w:vAlign w:val="bottom"/>
            <w:hideMark/>
          </w:tcPr>
          <w:p w14:paraId="3004B00F"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34</w:t>
            </w:r>
          </w:p>
        </w:tc>
        <w:tc>
          <w:tcPr>
            <w:tcW w:w="600" w:type="dxa"/>
            <w:tcBorders>
              <w:top w:val="single" w:sz="4" w:space="0" w:color="auto"/>
            </w:tcBorders>
            <w:shd w:val="clear" w:color="auto" w:fill="auto"/>
            <w:noWrap/>
            <w:vAlign w:val="bottom"/>
            <w:hideMark/>
          </w:tcPr>
          <w:p w14:paraId="3EE2F129" w14:textId="77777777" w:rsidR="001B34C7" w:rsidRPr="00D41517" w:rsidRDefault="001B34C7" w:rsidP="002E33D9">
            <w:pPr>
              <w:spacing w:after="0" w:line="240" w:lineRule="auto"/>
              <w:jc w:val="right"/>
              <w:rPr>
                <w:rFonts w:eastAsia="Times New Roman" w:cs="Calibri"/>
                <w:sz w:val="20"/>
                <w:lang w:eastAsia="sk-SK"/>
              </w:rPr>
            </w:pPr>
            <w:r w:rsidRPr="00D41517">
              <w:rPr>
                <w:rFonts w:eastAsia="Times New Roman" w:cs="Calibri"/>
                <w:sz w:val="20"/>
                <w:lang w:eastAsia="sk-SK"/>
              </w:rPr>
              <w:t>56,7</w:t>
            </w:r>
          </w:p>
        </w:tc>
        <w:tc>
          <w:tcPr>
            <w:tcW w:w="600" w:type="dxa"/>
            <w:tcBorders>
              <w:top w:val="single" w:sz="4" w:space="0" w:color="auto"/>
            </w:tcBorders>
            <w:shd w:val="clear" w:color="auto" w:fill="auto"/>
            <w:noWrap/>
            <w:vAlign w:val="bottom"/>
            <w:hideMark/>
          </w:tcPr>
          <w:p w14:paraId="234A9733" w14:textId="77777777" w:rsidR="001B34C7" w:rsidRPr="00D41517" w:rsidRDefault="001B34C7" w:rsidP="002E33D9">
            <w:pPr>
              <w:spacing w:after="0" w:line="240" w:lineRule="auto"/>
              <w:jc w:val="right"/>
              <w:rPr>
                <w:rFonts w:eastAsia="Times New Roman" w:cs="Calibri"/>
                <w:sz w:val="20"/>
                <w:lang w:eastAsia="sk-SK"/>
              </w:rPr>
            </w:pPr>
            <w:r w:rsidRPr="00D41517">
              <w:rPr>
                <w:rFonts w:eastAsia="Times New Roman" w:cs="Calibri"/>
                <w:sz w:val="20"/>
                <w:lang w:eastAsia="sk-SK"/>
              </w:rPr>
              <w:t>17</w:t>
            </w:r>
          </w:p>
        </w:tc>
        <w:tc>
          <w:tcPr>
            <w:tcW w:w="832" w:type="dxa"/>
            <w:tcBorders>
              <w:top w:val="single" w:sz="4" w:space="0" w:color="auto"/>
            </w:tcBorders>
            <w:shd w:val="clear" w:color="auto" w:fill="auto"/>
            <w:noWrap/>
            <w:vAlign w:val="bottom"/>
            <w:hideMark/>
          </w:tcPr>
          <w:p w14:paraId="7F97492E" w14:textId="77777777" w:rsidR="001B34C7" w:rsidRPr="00D41517" w:rsidRDefault="001B34C7" w:rsidP="002E33D9">
            <w:pPr>
              <w:spacing w:after="0" w:line="240" w:lineRule="auto"/>
              <w:jc w:val="right"/>
              <w:rPr>
                <w:rFonts w:eastAsia="Times New Roman" w:cs="Calibri"/>
                <w:sz w:val="20"/>
                <w:lang w:eastAsia="sk-SK"/>
              </w:rPr>
            </w:pPr>
            <w:r w:rsidRPr="00D41517">
              <w:rPr>
                <w:rFonts w:eastAsia="Times New Roman" w:cs="Calibri"/>
                <w:sz w:val="20"/>
                <w:lang w:eastAsia="sk-SK"/>
              </w:rPr>
              <w:t>14,8</w:t>
            </w:r>
          </w:p>
        </w:tc>
        <w:tc>
          <w:tcPr>
            <w:tcW w:w="1043" w:type="dxa"/>
            <w:tcBorders>
              <w:top w:val="single" w:sz="4" w:space="0" w:color="auto"/>
            </w:tcBorders>
            <w:shd w:val="clear" w:color="auto" w:fill="auto"/>
            <w:noWrap/>
            <w:vAlign w:val="bottom"/>
            <w:hideMark/>
          </w:tcPr>
          <w:p w14:paraId="69DF58C1" w14:textId="77777777" w:rsidR="001B34C7" w:rsidRPr="009973EE" w:rsidRDefault="001B34C7" w:rsidP="002E33D9">
            <w:pPr>
              <w:spacing w:after="0" w:line="240" w:lineRule="auto"/>
              <w:jc w:val="right"/>
              <w:rPr>
                <w:rFonts w:eastAsia="Times New Roman" w:cs="Calibri"/>
                <w:color w:val="000000"/>
                <w:sz w:val="20"/>
                <w:lang w:eastAsia="sk-SK"/>
              </w:rPr>
            </w:pPr>
            <w:r>
              <w:rPr>
                <w:rFonts w:eastAsia="Times New Roman" w:cs="Calibri"/>
                <w:color w:val="000000"/>
                <w:sz w:val="20"/>
                <w:lang w:eastAsia="sk-SK"/>
              </w:rPr>
              <w:t>50</w:t>
            </w:r>
          </w:p>
        </w:tc>
        <w:tc>
          <w:tcPr>
            <w:tcW w:w="720" w:type="dxa"/>
            <w:tcBorders>
              <w:top w:val="single" w:sz="4" w:space="0" w:color="auto"/>
            </w:tcBorders>
            <w:shd w:val="clear" w:color="auto" w:fill="auto"/>
            <w:noWrap/>
            <w:vAlign w:val="bottom"/>
            <w:hideMark/>
          </w:tcPr>
          <w:p w14:paraId="385CC572"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26</w:t>
            </w:r>
          </w:p>
        </w:tc>
        <w:tc>
          <w:tcPr>
            <w:tcW w:w="1074" w:type="dxa"/>
            <w:tcBorders>
              <w:top w:val="single" w:sz="4" w:space="0" w:color="auto"/>
            </w:tcBorders>
            <w:shd w:val="clear" w:color="auto" w:fill="auto"/>
            <w:noWrap/>
            <w:vAlign w:val="bottom"/>
            <w:hideMark/>
          </w:tcPr>
          <w:p w14:paraId="5A0F7E61"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0,6</w:t>
            </w:r>
          </w:p>
        </w:tc>
        <w:tc>
          <w:tcPr>
            <w:tcW w:w="1309" w:type="dxa"/>
            <w:tcBorders>
              <w:top w:val="single" w:sz="4" w:space="0" w:color="auto"/>
            </w:tcBorders>
            <w:shd w:val="clear" w:color="auto" w:fill="auto"/>
            <w:noWrap/>
            <w:vAlign w:val="bottom"/>
            <w:hideMark/>
          </w:tcPr>
          <w:p w14:paraId="1F703285"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17</w:t>
            </w:r>
          </w:p>
        </w:tc>
      </w:tr>
      <w:tr w:rsidR="001B34C7" w:rsidRPr="009973EE" w14:paraId="24102C26" w14:textId="77777777" w:rsidTr="002E33D9">
        <w:trPr>
          <w:trHeight w:val="284"/>
        </w:trPr>
        <w:tc>
          <w:tcPr>
            <w:tcW w:w="1638" w:type="dxa"/>
            <w:shd w:val="clear" w:color="auto" w:fill="auto"/>
            <w:noWrap/>
            <w:vAlign w:val="bottom"/>
            <w:hideMark/>
          </w:tcPr>
          <w:p w14:paraId="23CCAFCD" w14:textId="77777777" w:rsidR="001B34C7" w:rsidRPr="00257DAF" w:rsidRDefault="001B34C7" w:rsidP="002E33D9">
            <w:pPr>
              <w:spacing w:after="0" w:line="240" w:lineRule="auto"/>
              <w:rPr>
                <w:rFonts w:eastAsia="Times New Roman" w:cs="Calibri"/>
                <w:bCs/>
                <w:color w:val="000000"/>
                <w:sz w:val="20"/>
                <w:lang w:eastAsia="sk-SK"/>
              </w:rPr>
            </w:pPr>
            <w:r w:rsidRPr="00257DAF">
              <w:rPr>
                <w:rFonts w:eastAsia="Times New Roman" w:cs="Calibri"/>
                <w:bCs/>
                <w:color w:val="000000"/>
                <w:sz w:val="20"/>
                <w:lang w:eastAsia="sk-SK"/>
              </w:rPr>
              <w:t>PAP</w:t>
            </w:r>
          </w:p>
        </w:tc>
        <w:tc>
          <w:tcPr>
            <w:tcW w:w="657" w:type="dxa"/>
            <w:shd w:val="clear" w:color="auto" w:fill="auto"/>
            <w:noWrap/>
            <w:vAlign w:val="bottom"/>
            <w:hideMark/>
          </w:tcPr>
          <w:p w14:paraId="7E812289"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98</w:t>
            </w:r>
          </w:p>
        </w:tc>
        <w:tc>
          <w:tcPr>
            <w:tcW w:w="600" w:type="dxa"/>
            <w:shd w:val="clear" w:color="auto" w:fill="auto"/>
            <w:noWrap/>
            <w:vAlign w:val="bottom"/>
            <w:hideMark/>
          </w:tcPr>
          <w:p w14:paraId="3B16E485"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64</w:t>
            </w:r>
          </w:p>
        </w:tc>
        <w:tc>
          <w:tcPr>
            <w:tcW w:w="600" w:type="dxa"/>
            <w:shd w:val="clear" w:color="auto" w:fill="auto"/>
            <w:noWrap/>
            <w:vAlign w:val="bottom"/>
            <w:hideMark/>
          </w:tcPr>
          <w:p w14:paraId="78499ACE"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77,64</w:t>
            </w:r>
          </w:p>
        </w:tc>
        <w:tc>
          <w:tcPr>
            <w:tcW w:w="600" w:type="dxa"/>
            <w:shd w:val="clear" w:color="auto" w:fill="auto"/>
            <w:noWrap/>
            <w:vAlign w:val="bottom"/>
            <w:hideMark/>
          </w:tcPr>
          <w:p w14:paraId="3AC4BE88"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32</w:t>
            </w:r>
          </w:p>
        </w:tc>
        <w:tc>
          <w:tcPr>
            <w:tcW w:w="832" w:type="dxa"/>
            <w:shd w:val="clear" w:color="auto" w:fill="auto"/>
            <w:noWrap/>
            <w:vAlign w:val="bottom"/>
            <w:hideMark/>
          </w:tcPr>
          <w:p w14:paraId="28CE3E40"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24,6</w:t>
            </w:r>
          </w:p>
        </w:tc>
        <w:tc>
          <w:tcPr>
            <w:tcW w:w="1043" w:type="dxa"/>
            <w:shd w:val="clear" w:color="auto" w:fill="auto"/>
            <w:noWrap/>
            <w:vAlign w:val="bottom"/>
            <w:hideMark/>
          </w:tcPr>
          <w:p w14:paraId="0B36E4BC"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50</w:t>
            </w:r>
          </w:p>
        </w:tc>
        <w:tc>
          <w:tcPr>
            <w:tcW w:w="720" w:type="dxa"/>
            <w:shd w:val="clear" w:color="auto" w:fill="auto"/>
            <w:noWrap/>
            <w:vAlign w:val="bottom"/>
            <w:hideMark/>
          </w:tcPr>
          <w:p w14:paraId="53F1BEB6"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32</w:t>
            </w:r>
          </w:p>
        </w:tc>
        <w:tc>
          <w:tcPr>
            <w:tcW w:w="1074" w:type="dxa"/>
            <w:shd w:val="clear" w:color="auto" w:fill="auto"/>
            <w:noWrap/>
            <w:vAlign w:val="bottom"/>
            <w:hideMark/>
          </w:tcPr>
          <w:p w14:paraId="7C2E31B7"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0,8</w:t>
            </w:r>
          </w:p>
        </w:tc>
        <w:tc>
          <w:tcPr>
            <w:tcW w:w="1309" w:type="dxa"/>
            <w:shd w:val="clear" w:color="auto" w:fill="auto"/>
            <w:noWrap/>
            <w:vAlign w:val="bottom"/>
            <w:hideMark/>
          </w:tcPr>
          <w:p w14:paraId="13364560"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32</w:t>
            </w:r>
          </w:p>
        </w:tc>
      </w:tr>
      <w:tr w:rsidR="001B34C7" w:rsidRPr="009973EE" w14:paraId="563EE5AA" w14:textId="77777777" w:rsidTr="002E33D9">
        <w:trPr>
          <w:trHeight w:val="284"/>
        </w:trPr>
        <w:tc>
          <w:tcPr>
            <w:tcW w:w="1638" w:type="dxa"/>
            <w:shd w:val="clear" w:color="auto" w:fill="auto"/>
            <w:noWrap/>
            <w:vAlign w:val="bottom"/>
            <w:hideMark/>
          </w:tcPr>
          <w:p w14:paraId="1B7A7118" w14:textId="77777777" w:rsidR="001B34C7" w:rsidRPr="00257DAF" w:rsidRDefault="001B34C7" w:rsidP="002E33D9">
            <w:pPr>
              <w:spacing w:after="0" w:line="240" w:lineRule="auto"/>
              <w:rPr>
                <w:rFonts w:eastAsia="Times New Roman" w:cs="Calibri"/>
                <w:bCs/>
                <w:color w:val="000000"/>
                <w:sz w:val="20"/>
                <w:lang w:eastAsia="sk-SK"/>
              </w:rPr>
            </w:pPr>
            <w:r w:rsidRPr="00257DAF">
              <w:rPr>
                <w:rFonts w:eastAsia="Times New Roman" w:cs="Calibri"/>
                <w:bCs/>
                <w:color w:val="000000"/>
                <w:sz w:val="20"/>
                <w:lang w:eastAsia="sk-SK"/>
              </w:rPr>
              <w:t>MEN variant A</w:t>
            </w:r>
          </w:p>
        </w:tc>
        <w:tc>
          <w:tcPr>
            <w:tcW w:w="657" w:type="dxa"/>
            <w:shd w:val="clear" w:color="auto" w:fill="auto"/>
            <w:noWrap/>
            <w:vAlign w:val="bottom"/>
            <w:hideMark/>
          </w:tcPr>
          <w:p w14:paraId="43515D8A"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71</w:t>
            </w:r>
          </w:p>
        </w:tc>
        <w:tc>
          <w:tcPr>
            <w:tcW w:w="600" w:type="dxa"/>
            <w:shd w:val="clear" w:color="auto" w:fill="auto"/>
            <w:noWrap/>
            <w:vAlign w:val="bottom"/>
            <w:hideMark/>
          </w:tcPr>
          <w:p w14:paraId="237E5D56"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29</w:t>
            </w:r>
          </w:p>
        </w:tc>
        <w:tc>
          <w:tcPr>
            <w:tcW w:w="600" w:type="dxa"/>
            <w:shd w:val="clear" w:color="auto" w:fill="auto"/>
            <w:noWrap/>
            <w:vAlign w:val="bottom"/>
            <w:hideMark/>
          </w:tcPr>
          <w:p w14:paraId="41CF7CCA"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32,5</w:t>
            </w:r>
          </w:p>
        </w:tc>
        <w:tc>
          <w:tcPr>
            <w:tcW w:w="600" w:type="dxa"/>
            <w:shd w:val="clear" w:color="auto" w:fill="auto"/>
            <w:noWrap/>
            <w:vAlign w:val="bottom"/>
            <w:hideMark/>
          </w:tcPr>
          <w:p w14:paraId="4FF33556"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20</w:t>
            </w:r>
          </w:p>
        </w:tc>
        <w:tc>
          <w:tcPr>
            <w:tcW w:w="832" w:type="dxa"/>
            <w:shd w:val="clear" w:color="auto" w:fill="auto"/>
            <w:noWrap/>
            <w:vAlign w:val="bottom"/>
            <w:hideMark/>
          </w:tcPr>
          <w:p w14:paraId="405209EC"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17,4</w:t>
            </w:r>
          </w:p>
        </w:tc>
        <w:tc>
          <w:tcPr>
            <w:tcW w:w="1043" w:type="dxa"/>
            <w:shd w:val="clear" w:color="auto" w:fill="auto"/>
            <w:noWrap/>
            <w:vAlign w:val="bottom"/>
            <w:hideMark/>
          </w:tcPr>
          <w:p w14:paraId="265368DF"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69</w:t>
            </w:r>
          </w:p>
        </w:tc>
        <w:tc>
          <w:tcPr>
            <w:tcW w:w="720" w:type="dxa"/>
            <w:shd w:val="clear" w:color="auto" w:fill="auto"/>
            <w:noWrap/>
            <w:vAlign w:val="bottom"/>
            <w:hideMark/>
          </w:tcPr>
          <w:p w14:paraId="68EAE716"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53</w:t>
            </w:r>
          </w:p>
        </w:tc>
        <w:tc>
          <w:tcPr>
            <w:tcW w:w="1074" w:type="dxa"/>
            <w:shd w:val="clear" w:color="auto" w:fill="auto"/>
            <w:noWrap/>
            <w:vAlign w:val="bottom"/>
            <w:hideMark/>
          </w:tcPr>
          <w:p w14:paraId="16B01A0D"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0,5</w:t>
            </w:r>
          </w:p>
        </w:tc>
        <w:tc>
          <w:tcPr>
            <w:tcW w:w="1309" w:type="dxa"/>
            <w:shd w:val="clear" w:color="auto" w:fill="auto"/>
            <w:noWrap/>
            <w:vAlign w:val="bottom"/>
            <w:hideMark/>
          </w:tcPr>
          <w:p w14:paraId="7CE41D24"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9</w:t>
            </w:r>
          </w:p>
        </w:tc>
      </w:tr>
      <w:tr w:rsidR="001B34C7" w:rsidRPr="009973EE" w14:paraId="59E5D445" w14:textId="77777777" w:rsidTr="002E33D9">
        <w:trPr>
          <w:trHeight w:val="284"/>
        </w:trPr>
        <w:tc>
          <w:tcPr>
            <w:tcW w:w="1638" w:type="dxa"/>
            <w:shd w:val="clear" w:color="auto" w:fill="auto"/>
            <w:noWrap/>
            <w:vAlign w:val="bottom"/>
            <w:hideMark/>
          </w:tcPr>
          <w:p w14:paraId="45FD80B3" w14:textId="77777777" w:rsidR="001B34C7" w:rsidRPr="00257DAF" w:rsidRDefault="001B34C7" w:rsidP="002E33D9">
            <w:pPr>
              <w:spacing w:after="0" w:line="240" w:lineRule="auto"/>
              <w:rPr>
                <w:rFonts w:eastAsia="Times New Roman" w:cs="Calibri"/>
                <w:bCs/>
                <w:color w:val="000000"/>
                <w:sz w:val="20"/>
                <w:lang w:eastAsia="sk-SK"/>
              </w:rPr>
            </w:pPr>
            <w:r w:rsidRPr="00257DAF">
              <w:rPr>
                <w:rFonts w:eastAsia="Times New Roman" w:cs="Calibri"/>
                <w:bCs/>
                <w:color w:val="000000"/>
                <w:sz w:val="20"/>
                <w:lang w:eastAsia="sk-SK"/>
              </w:rPr>
              <w:t>MEN B</w:t>
            </w:r>
          </w:p>
        </w:tc>
        <w:tc>
          <w:tcPr>
            <w:tcW w:w="657" w:type="dxa"/>
            <w:shd w:val="clear" w:color="auto" w:fill="auto"/>
            <w:noWrap/>
            <w:vAlign w:val="bottom"/>
            <w:hideMark/>
          </w:tcPr>
          <w:p w14:paraId="293F39FB"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8</w:t>
            </w:r>
          </w:p>
        </w:tc>
        <w:tc>
          <w:tcPr>
            <w:tcW w:w="600" w:type="dxa"/>
            <w:shd w:val="clear" w:color="auto" w:fill="auto"/>
            <w:noWrap/>
            <w:vAlign w:val="bottom"/>
            <w:hideMark/>
          </w:tcPr>
          <w:p w14:paraId="79A01BAF"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2</w:t>
            </w:r>
          </w:p>
        </w:tc>
        <w:tc>
          <w:tcPr>
            <w:tcW w:w="600" w:type="dxa"/>
            <w:shd w:val="clear" w:color="auto" w:fill="auto"/>
            <w:noWrap/>
            <w:vAlign w:val="bottom"/>
            <w:hideMark/>
          </w:tcPr>
          <w:p w14:paraId="0E53100C"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3</w:t>
            </w:r>
          </w:p>
        </w:tc>
        <w:tc>
          <w:tcPr>
            <w:tcW w:w="600" w:type="dxa"/>
            <w:shd w:val="clear" w:color="auto" w:fill="auto"/>
            <w:noWrap/>
            <w:vAlign w:val="bottom"/>
            <w:hideMark/>
          </w:tcPr>
          <w:p w14:paraId="239B5F6C"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2</w:t>
            </w:r>
          </w:p>
        </w:tc>
        <w:tc>
          <w:tcPr>
            <w:tcW w:w="832" w:type="dxa"/>
            <w:shd w:val="clear" w:color="auto" w:fill="auto"/>
            <w:noWrap/>
            <w:vAlign w:val="bottom"/>
            <w:hideMark/>
          </w:tcPr>
          <w:p w14:paraId="1AA87B84"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2,0</w:t>
            </w:r>
          </w:p>
        </w:tc>
        <w:tc>
          <w:tcPr>
            <w:tcW w:w="1043" w:type="dxa"/>
            <w:shd w:val="clear" w:color="auto" w:fill="auto"/>
            <w:noWrap/>
            <w:vAlign w:val="bottom"/>
            <w:hideMark/>
          </w:tcPr>
          <w:p w14:paraId="4C974328"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100</w:t>
            </w:r>
          </w:p>
        </w:tc>
        <w:tc>
          <w:tcPr>
            <w:tcW w:w="720" w:type="dxa"/>
            <w:shd w:val="clear" w:color="auto" w:fill="auto"/>
            <w:noWrap/>
            <w:vAlign w:val="bottom"/>
            <w:hideMark/>
          </w:tcPr>
          <w:p w14:paraId="61F824F4"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67</w:t>
            </w:r>
          </w:p>
        </w:tc>
        <w:tc>
          <w:tcPr>
            <w:tcW w:w="1074" w:type="dxa"/>
            <w:shd w:val="clear" w:color="auto" w:fill="auto"/>
            <w:noWrap/>
            <w:vAlign w:val="bottom"/>
            <w:hideMark/>
          </w:tcPr>
          <w:p w14:paraId="07AE932A"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0,4</w:t>
            </w:r>
          </w:p>
        </w:tc>
        <w:tc>
          <w:tcPr>
            <w:tcW w:w="1309" w:type="dxa"/>
            <w:shd w:val="clear" w:color="auto" w:fill="auto"/>
            <w:noWrap/>
            <w:vAlign w:val="bottom"/>
            <w:hideMark/>
          </w:tcPr>
          <w:p w14:paraId="4F5062A9"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0</w:t>
            </w:r>
          </w:p>
        </w:tc>
      </w:tr>
      <w:tr w:rsidR="001B34C7" w:rsidRPr="009973EE" w14:paraId="3D57183A" w14:textId="77777777" w:rsidTr="002E33D9">
        <w:trPr>
          <w:trHeight w:val="284"/>
        </w:trPr>
        <w:tc>
          <w:tcPr>
            <w:tcW w:w="1638" w:type="dxa"/>
            <w:shd w:val="clear" w:color="auto" w:fill="auto"/>
            <w:noWrap/>
            <w:vAlign w:val="bottom"/>
            <w:hideMark/>
          </w:tcPr>
          <w:p w14:paraId="610D43F7" w14:textId="77777777" w:rsidR="001B34C7" w:rsidRPr="00257DAF" w:rsidRDefault="001B34C7" w:rsidP="002E33D9">
            <w:pPr>
              <w:spacing w:after="0" w:line="240" w:lineRule="auto"/>
              <w:rPr>
                <w:rFonts w:eastAsia="Times New Roman" w:cs="Calibri"/>
                <w:bCs/>
                <w:color w:val="000000"/>
                <w:sz w:val="20"/>
                <w:lang w:eastAsia="sk-SK"/>
              </w:rPr>
            </w:pPr>
            <w:r w:rsidRPr="00257DAF">
              <w:rPr>
                <w:rFonts w:eastAsia="Times New Roman" w:cs="Calibri"/>
                <w:bCs/>
                <w:color w:val="000000"/>
                <w:sz w:val="20"/>
                <w:lang w:eastAsia="sk-SK"/>
              </w:rPr>
              <w:t>NKS</w:t>
            </w:r>
          </w:p>
        </w:tc>
        <w:tc>
          <w:tcPr>
            <w:tcW w:w="657" w:type="dxa"/>
            <w:shd w:val="clear" w:color="auto" w:fill="auto"/>
            <w:noWrap/>
            <w:vAlign w:val="bottom"/>
            <w:hideMark/>
          </w:tcPr>
          <w:p w14:paraId="54F53FF5"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72</w:t>
            </w:r>
          </w:p>
        </w:tc>
        <w:tc>
          <w:tcPr>
            <w:tcW w:w="600" w:type="dxa"/>
            <w:shd w:val="clear" w:color="auto" w:fill="auto"/>
            <w:noWrap/>
            <w:vAlign w:val="bottom"/>
            <w:hideMark/>
          </w:tcPr>
          <w:p w14:paraId="5FA3830D"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37</w:t>
            </w:r>
          </w:p>
        </w:tc>
        <w:tc>
          <w:tcPr>
            <w:tcW w:w="600" w:type="dxa"/>
            <w:shd w:val="clear" w:color="auto" w:fill="auto"/>
            <w:noWrap/>
            <w:vAlign w:val="bottom"/>
            <w:hideMark/>
          </w:tcPr>
          <w:p w14:paraId="1EE77CE4"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40,2</w:t>
            </w:r>
          </w:p>
        </w:tc>
        <w:tc>
          <w:tcPr>
            <w:tcW w:w="600" w:type="dxa"/>
            <w:shd w:val="clear" w:color="auto" w:fill="auto"/>
            <w:noWrap/>
            <w:vAlign w:val="bottom"/>
            <w:hideMark/>
          </w:tcPr>
          <w:p w14:paraId="31AEF146"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14</w:t>
            </w:r>
          </w:p>
        </w:tc>
        <w:tc>
          <w:tcPr>
            <w:tcW w:w="832" w:type="dxa"/>
            <w:shd w:val="clear" w:color="auto" w:fill="auto"/>
            <w:noWrap/>
            <w:vAlign w:val="bottom"/>
            <w:hideMark/>
          </w:tcPr>
          <w:p w14:paraId="1F6AD7FC"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14,0</w:t>
            </w:r>
          </w:p>
        </w:tc>
        <w:tc>
          <w:tcPr>
            <w:tcW w:w="1043" w:type="dxa"/>
            <w:shd w:val="clear" w:color="auto" w:fill="auto"/>
            <w:noWrap/>
            <w:vAlign w:val="bottom"/>
            <w:hideMark/>
          </w:tcPr>
          <w:p w14:paraId="60EC91F2"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38</w:t>
            </w:r>
          </w:p>
        </w:tc>
        <w:tc>
          <w:tcPr>
            <w:tcW w:w="720" w:type="dxa"/>
            <w:shd w:val="clear" w:color="auto" w:fill="auto"/>
            <w:noWrap/>
            <w:vAlign w:val="bottom"/>
            <w:hideMark/>
          </w:tcPr>
          <w:p w14:paraId="6EA7E1FA"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35</w:t>
            </w:r>
          </w:p>
        </w:tc>
        <w:tc>
          <w:tcPr>
            <w:tcW w:w="1074" w:type="dxa"/>
            <w:shd w:val="clear" w:color="auto" w:fill="auto"/>
            <w:noWrap/>
            <w:vAlign w:val="bottom"/>
            <w:hideMark/>
          </w:tcPr>
          <w:p w14:paraId="399537B2"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0,6</w:t>
            </w:r>
          </w:p>
        </w:tc>
        <w:tc>
          <w:tcPr>
            <w:tcW w:w="1309" w:type="dxa"/>
            <w:shd w:val="clear" w:color="auto" w:fill="auto"/>
            <w:noWrap/>
            <w:vAlign w:val="bottom"/>
            <w:hideMark/>
          </w:tcPr>
          <w:p w14:paraId="2C867584"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23</w:t>
            </w:r>
          </w:p>
        </w:tc>
      </w:tr>
      <w:tr w:rsidR="001B34C7" w:rsidRPr="009973EE" w14:paraId="11745D70" w14:textId="77777777" w:rsidTr="002E33D9">
        <w:trPr>
          <w:trHeight w:val="284"/>
        </w:trPr>
        <w:tc>
          <w:tcPr>
            <w:tcW w:w="1638" w:type="dxa"/>
            <w:shd w:val="clear" w:color="auto" w:fill="auto"/>
            <w:noWrap/>
            <w:vAlign w:val="bottom"/>
            <w:hideMark/>
          </w:tcPr>
          <w:p w14:paraId="514949A7" w14:textId="77777777" w:rsidR="001B34C7" w:rsidRPr="00257DAF" w:rsidRDefault="001B34C7" w:rsidP="002E33D9">
            <w:pPr>
              <w:spacing w:after="0" w:line="240" w:lineRule="auto"/>
              <w:rPr>
                <w:rFonts w:eastAsia="Times New Roman" w:cs="Calibri"/>
                <w:bCs/>
                <w:color w:val="000000"/>
                <w:sz w:val="20"/>
                <w:lang w:eastAsia="sk-SK"/>
              </w:rPr>
            </w:pPr>
            <w:r w:rsidRPr="00257DAF">
              <w:rPr>
                <w:rFonts w:eastAsia="Times New Roman" w:cs="Calibri"/>
                <w:bCs/>
                <w:color w:val="000000"/>
                <w:sz w:val="20"/>
                <w:lang w:eastAsia="sk-SK"/>
              </w:rPr>
              <w:t>Slabozrakí</w:t>
            </w:r>
          </w:p>
        </w:tc>
        <w:tc>
          <w:tcPr>
            <w:tcW w:w="657" w:type="dxa"/>
            <w:shd w:val="clear" w:color="auto" w:fill="auto"/>
            <w:noWrap/>
            <w:vAlign w:val="bottom"/>
            <w:hideMark/>
          </w:tcPr>
          <w:p w14:paraId="039B6AAE"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11</w:t>
            </w:r>
          </w:p>
        </w:tc>
        <w:tc>
          <w:tcPr>
            <w:tcW w:w="600" w:type="dxa"/>
            <w:shd w:val="clear" w:color="auto" w:fill="auto"/>
            <w:noWrap/>
            <w:vAlign w:val="bottom"/>
            <w:hideMark/>
          </w:tcPr>
          <w:p w14:paraId="7C5854F9"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10</w:t>
            </w:r>
          </w:p>
        </w:tc>
        <w:tc>
          <w:tcPr>
            <w:tcW w:w="600" w:type="dxa"/>
            <w:shd w:val="clear" w:color="auto" w:fill="auto"/>
            <w:noWrap/>
            <w:vAlign w:val="bottom"/>
            <w:hideMark/>
          </w:tcPr>
          <w:p w14:paraId="63C0C466"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9,28</w:t>
            </w:r>
          </w:p>
        </w:tc>
        <w:tc>
          <w:tcPr>
            <w:tcW w:w="600" w:type="dxa"/>
            <w:shd w:val="clear" w:color="auto" w:fill="auto"/>
            <w:noWrap/>
            <w:vAlign w:val="bottom"/>
            <w:hideMark/>
          </w:tcPr>
          <w:p w14:paraId="753B6547"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9</w:t>
            </w:r>
          </w:p>
        </w:tc>
        <w:tc>
          <w:tcPr>
            <w:tcW w:w="832" w:type="dxa"/>
            <w:shd w:val="clear" w:color="auto" w:fill="auto"/>
            <w:noWrap/>
            <w:vAlign w:val="bottom"/>
            <w:hideMark/>
          </w:tcPr>
          <w:p w14:paraId="02A94809"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8,0</w:t>
            </w:r>
          </w:p>
        </w:tc>
        <w:tc>
          <w:tcPr>
            <w:tcW w:w="1043" w:type="dxa"/>
            <w:shd w:val="clear" w:color="auto" w:fill="auto"/>
            <w:noWrap/>
            <w:vAlign w:val="bottom"/>
            <w:hideMark/>
          </w:tcPr>
          <w:p w14:paraId="333D42D5"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90</w:t>
            </w:r>
          </w:p>
        </w:tc>
        <w:tc>
          <w:tcPr>
            <w:tcW w:w="720" w:type="dxa"/>
            <w:shd w:val="clear" w:color="auto" w:fill="auto"/>
            <w:noWrap/>
            <w:vAlign w:val="bottom"/>
            <w:hideMark/>
          </w:tcPr>
          <w:p w14:paraId="5039BCBF"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86</w:t>
            </w:r>
          </w:p>
        </w:tc>
        <w:tc>
          <w:tcPr>
            <w:tcW w:w="1074" w:type="dxa"/>
            <w:shd w:val="clear" w:color="auto" w:fill="auto"/>
            <w:noWrap/>
            <w:vAlign w:val="bottom"/>
            <w:hideMark/>
          </w:tcPr>
          <w:p w14:paraId="520AD449"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0,8</w:t>
            </w:r>
          </w:p>
        </w:tc>
        <w:tc>
          <w:tcPr>
            <w:tcW w:w="1309" w:type="dxa"/>
            <w:shd w:val="clear" w:color="auto" w:fill="auto"/>
            <w:noWrap/>
            <w:vAlign w:val="bottom"/>
            <w:hideMark/>
          </w:tcPr>
          <w:p w14:paraId="047ED9C0"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1</w:t>
            </w:r>
          </w:p>
        </w:tc>
      </w:tr>
      <w:tr w:rsidR="001B34C7" w:rsidRPr="009973EE" w14:paraId="063B0B25" w14:textId="77777777" w:rsidTr="002E33D9">
        <w:trPr>
          <w:trHeight w:val="284"/>
        </w:trPr>
        <w:tc>
          <w:tcPr>
            <w:tcW w:w="1638" w:type="dxa"/>
            <w:shd w:val="clear" w:color="auto" w:fill="auto"/>
            <w:noWrap/>
            <w:vAlign w:val="bottom"/>
            <w:hideMark/>
          </w:tcPr>
          <w:p w14:paraId="38315E7D" w14:textId="77777777" w:rsidR="001B34C7" w:rsidRPr="00257DAF" w:rsidRDefault="001B34C7" w:rsidP="002E33D9">
            <w:pPr>
              <w:spacing w:after="0" w:line="240" w:lineRule="auto"/>
              <w:rPr>
                <w:rFonts w:eastAsia="Times New Roman" w:cs="Calibri"/>
                <w:bCs/>
                <w:color w:val="000000"/>
                <w:sz w:val="20"/>
                <w:lang w:eastAsia="sk-SK"/>
              </w:rPr>
            </w:pPr>
            <w:r w:rsidRPr="00257DAF">
              <w:rPr>
                <w:rFonts w:eastAsia="Times New Roman" w:cs="Calibri"/>
                <w:bCs/>
                <w:color w:val="000000"/>
                <w:sz w:val="20"/>
                <w:lang w:eastAsia="sk-SK"/>
              </w:rPr>
              <w:t>Nedoslýchaví</w:t>
            </w:r>
          </w:p>
        </w:tc>
        <w:tc>
          <w:tcPr>
            <w:tcW w:w="657" w:type="dxa"/>
            <w:shd w:val="clear" w:color="auto" w:fill="auto"/>
            <w:noWrap/>
            <w:vAlign w:val="bottom"/>
            <w:hideMark/>
          </w:tcPr>
          <w:p w14:paraId="5902C237"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11</w:t>
            </w:r>
          </w:p>
        </w:tc>
        <w:tc>
          <w:tcPr>
            <w:tcW w:w="600" w:type="dxa"/>
            <w:shd w:val="clear" w:color="auto" w:fill="auto"/>
            <w:noWrap/>
            <w:vAlign w:val="bottom"/>
            <w:hideMark/>
          </w:tcPr>
          <w:p w14:paraId="59E1ABE5"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10</w:t>
            </w:r>
          </w:p>
        </w:tc>
        <w:tc>
          <w:tcPr>
            <w:tcW w:w="600" w:type="dxa"/>
            <w:shd w:val="clear" w:color="auto" w:fill="auto"/>
            <w:noWrap/>
            <w:vAlign w:val="bottom"/>
            <w:hideMark/>
          </w:tcPr>
          <w:p w14:paraId="418C49F5"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10,2</w:t>
            </w:r>
          </w:p>
        </w:tc>
        <w:tc>
          <w:tcPr>
            <w:tcW w:w="600" w:type="dxa"/>
            <w:shd w:val="clear" w:color="auto" w:fill="auto"/>
            <w:noWrap/>
            <w:vAlign w:val="bottom"/>
            <w:hideMark/>
          </w:tcPr>
          <w:p w14:paraId="3DFE06B5"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5</w:t>
            </w:r>
          </w:p>
        </w:tc>
        <w:tc>
          <w:tcPr>
            <w:tcW w:w="832" w:type="dxa"/>
            <w:shd w:val="clear" w:color="auto" w:fill="auto"/>
            <w:noWrap/>
            <w:vAlign w:val="bottom"/>
            <w:hideMark/>
          </w:tcPr>
          <w:p w14:paraId="55542B43"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5,2</w:t>
            </w:r>
          </w:p>
        </w:tc>
        <w:tc>
          <w:tcPr>
            <w:tcW w:w="1043" w:type="dxa"/>
            <w:shd w:val="clear" w:color="auto" w:fill="auto"/>
            <w:noWrap/>
            <w:vAlign w:val="bottom"/>
            <w:hideMark/>
          </w:tcPr>
          <w:p w14:paraId="190C9D8E"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50</w:t>
            </w:r>
          </w:p>
        </w:tc>
        <w:tc>
          <w:tcPr>
            <w:tcW w:w="720" w:type="dxa"/>
            <w:shd w:val="clear" w:color="auto" w:fill="auto"/>
            <w:noWrap/>
            <w:vAlign w:val="bottom"/>
            <w:hideMark/>
          </w:tcPr>
          <w:p w14:paraId="14051FDD"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51</w:t>
            </w:r>
          </w:p>
        </w:tc>
        <w:tc>
          <w:tcPr>
            <w:tcW w:w="1074" w:type="dxa"/>
            <w:shd w:val="clear" w:color="auto" w:fill="auto"/>
            <w:noWrap/>
            <w:vAlign w:val="bottom"/>
            <w:hideMark/>
          </w:tcPr>
          <w:p w14:paraId="23A41B82"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0,9</w:t>
            </w:r>
          </w:p>
        </w:tc>
        <w:tc>
          <w:tcPr>
            <w:tcW w:w="1309" w:type="dxa"/>
            <w:shd w:val="clear" w:color="auto" w:fill="auto"/>
            <w:noWrap/>
            <w:vAlign w:val="bottom"/>
            <w:hideMark/>
          </w:tcPr>
          <w:p w14:paraId="69C002DF"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5</w:t>
            </w:r>
          </w:p>
        </w:tc>
      </w:tr>
      <w:tr w:rsidR="001B34C7" w:rsidRPr="009973EE" w14:paraId="1F980F0C" w14:textId="77777777" w:rsidTr="002E33D9">
        <w:trPr>
          <w:trHeight w:val="284"/>
        </w:trPr>
        <w:tc>
          <w:tcPr>
            <w:tcW w:w="1638" w:type="dxa"/>
            <w:shd w:val="clear" w:color="auto" w:fill="auto"/>
            <w:noWrap/>
            <w:vAlign w:val="bottom"/>
            <w:hideMark/>
          </w:tcPr>
          <w:p w14:paraId="22272DA9" w14:textId="77777777" w:rsidR="001B34C7" w:rsidRPr="00257DAF" w:rsidRDefault="001B34C7" w:rsidP="002E33D9">
            <w:pPr>
              <w:spacing w:after="0" w:line="240" w:lineRule="auto"/>
              <w:rPr>
                <w:rFonts w:eastAsia="Times New Roman" w:cs="Calibri"/>
                <w:bCs/>
                <w:color w:val="000000"/>
                <w:sz w:val="20"/>
                <w:lang w:eastAsia="sk-SK"/>
              </w:rPr>
            </w:pPr>
            <w:r w:rsidRPr="00257DAF">
              <w:rPr>
                <w:rFonts w:eastAsia="Times New Roman" w:cs="Calibri"/>
                <w:bCs/>
                <w:color w:val="000000"/>
                <w:sz w:val="20"/>
                <w:lang w:eastAsia="sk-SK"/>
              </w:rPr>
              <w:t>TP chodiaci</w:t>
            </w:r>
          </w:p>
        </w:tc>
        <w:tc>
          <w:tcPr>
            <w:tcW w:w="657" w:type="dxa"/>
            <w:shd w:val="clear" w:color="auto" w:fill="auto"/>
            <w:noWrap/>
            <w:vAlign w:val="bottom"/>
            <w:hideMark/>
          </w:tcPr>
          <w:p w14:paraId="540F6E1B"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12</w:t>
            </w:r>
          </w:p>
        </w:tc>
        <w:tc>
          <w:tcPr>
            <w:tcW w:w="600" w:type="dxa"/>
            <w:shd w:val="clear" w:color="auto" w:fill="auto"/>
            <w:noWrap/>
            <w:vAlign w:val="bottom"/>
            <w:hideMark/>
          </w:tcPr>
          <w:p w14:paraId="6EFFE71C"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11</w:t>
            </w:r>
          </w:p>
        </w:tc>
        <w:tc>
          <w:tcPr>
            <w:tcW w:w="600" w:type="dxa"/>
            <w:shd w:val="clear" w:color="auto" w:fill="auto"/>
            <w:noWrap/>
            <w:vAlign w:val="bottom"/>
            <w:hideMark/>
          </w:tcPr>
          <w:p w14:paraId="6A520D30"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10,65</w:t>
            </w:r>
          </w:p>
        </w:tc>
        <w:tc>
          <w:tcPr>
            <w:tcW w:w="600" w:type="dxa"/>
            <w:shd w:val="clear" w:color="auto" w:fill="auto"/>
            <w:noWrap/>
            <w:vAlign w:val="bottom"/>
            <w:hideMark/>
          </w:tcPr>
          <w:p w14:paraId="68D0D98E"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9</w:t>
            </w:r>
          </w:p>
        </w:tc>
        <w:tc>
          <w:tcPr>
            <w:tcW w:w="832" w:type="dxa"/>
            <w:shd w:val="clear" w:color="auto" w:fill="auto"/>
            <w:noWrap/>
            <w:vAlign w:val="bottom"/>
            <w:hideMark/>
          </w:tcPr>
          <w:p w14:paraId="2F3704BD"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7,6</w:t>
            </w:r>
          </w:p>
        </w:tc>
        <w:tc>
          <w:tcPr>
            <w:tcW w:w="1043" w:type="dxa"/>
            <w:shd w:val="clear" w:color="auto" w:fill="auto"/>
            <w:noWrap/>
            <w:vAlign w:val="bottom"/>
            <w:hideMark/>
          </w:tcPr>
          <w:p w14:paraId="6CBD8C91"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82</w:t>
            </w:r>
          </w:p>
        </w:tc>
        <w:tc>
          <w:tcPr>
            <w:tcW w:w="720" w:type="dxa"/>
            <w:shd w:val="clear" w:color="auto" w:fill="auto"/>
            <w:noWrap/>
            <w:vAlign w:val="bottom"/>
            <w:hideMark/>
          </w:tcPr>
          <w:p w14:paraId="3EC68293"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71</w:t>
            </w:r>
          </w:p>
        </w:tc>
        <w:tc>
          <w:tcPr>
            <w:tcW w:w="1074" w:type="dxa"/>
            <w:shd w:val="clear" w:color="auto" w:fill="auto"/>
            <w:noWrap/>
            <w:vAlign w:val="bottom"/>
            <w:hideMark/>
          </w:tcPr>
          <w:p w14:paraId="608C0A75"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0,9</w:t>
            </w:r>
          </w:p>
        </w:tc>
        <w:tc>
          <w:tcPr>
            <w:tcW w:w="1309" w:type="dxa"/>
            <w:shd w:val="clear" w:color="auto" w:fill="auto"/>
            <w:noWrap/>
            <w:vAlign w:val="bottom"/>
            <w:hideMark/>
          </w:tcPr>
          <w:p w14:paraId="777A0829"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2</w:t>
            </w:r>
          </w:p>
        </w:tc>
      </w:tr>
      <w:tr w:rsidR="001B34C7" w:rsidRPr="009973EE" w14:paraId="75DE7E65" w14:textId="77777777" w:rsidTr="002E33D9">
        <w:trPr>
          <w:trHeight w:val="284"/>
        </w:trPr>
        <w:tc>
          <w:tcPr>
            <w:tcW w:w="1638" w:type="dxa"/>
            <w:shd w:val="clear" w:color="auto" w:fill="auto"/>
            <w:noWrap/>
            <w:vAlign w:val="bottom"/>
            <w:hideMark/>
          </w:tcPr>
          <w:p w14:paraId="27860678" w14:textId="77777777" w:rsidR="001B34C7" w:rsidRPr="00257DAF" w:rsidRDefault="001B34C7" w:rsidP="002E33D9">
            <w:pPr>
              <w:spacing w:after="0" w:line="240" w:lineRule="auto"/>
              <w:rPr>
                <w:rFonts w:eastAsia="Times New Roman" w:cs="Calibri"/>
                <w:bCs/>
                <w:color w:val="000000"/>
                <w:sz w:val="20"/>
                <w:lang w:eastAsia="sk-SK"/>
              </w:rPr>
            </w:pPr>
            <w:r w:rsidRPr="00257DAF">
              <w:rPr>
                <w:rFonts w:eastAsia="Times New Roman" w:cs="Calibri"/>
                <w:bCs/>
                <w:color w:val="000000"/>
                <w:sz w:val="20"/>
                <w:lang w:eastAsia="sk-SK"/>
              </w:rPr>
              <w:t>Nevidiaci</w:t>
            </w:r>
          </w:p>
        </w:tc>
        <w:tc>
          <w:tcPr>
            <w:tcW w:w="657" w:type="dxa"/>
            <w:shd w:val="clear" w:color="auto" w:fill="auto"/>
            <w:noWrap/>
            <w:vAlign w:val="bottom"/>
            <w:hideMark/>
          </w:tcPr>
          <w:p w14:paraId="5BB2EB87"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4</w:t>
            </w:r>
          </w:p>
        </w:tc>
        <w:tc>
          <w:tcPr>
            <w:tcW w:w="600" w:type="dxa"/>
            <w:shd w:val="clear" w:color="auto" w:fill="auto"/>
            <w:noWrap/>
            <w:vAlign w:val="bottom"/>
            <w:hideMark/>
          </w:tcPr>
          <w:p w14:paraId="7A02943F"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4</w:t>
            </w:r>
          </w:p>
        </w:tc>
        <w:tc>
          <w:tcPr>
            <w:tcW w:w="600" w:type="dxa"/>
            <w:shd w:val="clear" w:color="auto" w:fill="auto"/>
            <w:noWrap/>
            <w:vAlign w:val="bottom"/>
            <w:hideMark/>
          </w:tcPr>
          <w:p w14:paraId="4FFE3EE7"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4</w:t>
            </w:r>
          </w:p>
        </w:tc>
        <w:tc>
          <w:tcPr>
            <w:tcW w:w="600" w:type="dxa"/>
            <w:shd w:val="clear" w:color="auto" w:fill="auto"/>
            <w:noWrap/>
            <w:vAlign w:val="bottom"/>
            <w:hideMark/>
          </w:tcPr>
          <w:p w14:paraId="67C0143C"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4</w:t>
            </w:r>
          </w:p>
        </w:tc>
        <w:tc>
          <w:tcPr>
            <w:tcW w:w="832" w:type="dxa"/>
            <w:shd w:val="clear" w:color="auto" w:fill="auto"/>
            <w:noWrap/>
            <w:vAlign w:val="bottom"/>
            <w:hideMark/>
          </w:tcPr>
          <w:p w14:paraId="4ED5265A"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3,4</w:t>
            </w:r>
          </w:p>
        </w:tc>
        <w:tc>
          <w:tcPr>
            <w:tcW w:w="1043" w:type="dxa"/>
            <w:shd w:val="clear" w:color="auto" w:fill="auto"/>
            <w:noWrap/>
            <w:vAlign w:val="bottom"/>
            <w:hideMark/>
          </w:tcPr>
          <w:p w14:paraId="622D1B64"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100</w:t>
            </w:r>
          </w:p>
        </w:tc>
        <w:tc>
          <w:tcPr>
            <w:tcW w:w="720" w:type="dxa"/>
            <w:shd w:val="clear" w:color="auto" w:fill="auto"/>
            <w:noWrap/>
            <w:vAlign w:val="bottom"/>
            <w:hideMark/>
          </w:tcPr>
          <w:p w14:paraId="7780BD37"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84</w:t>
            </w:r>
          </w:p>
        </w:tc>
        <w:tc>
          <w:tcPr>
            <w:tcW w:w="1074" w:type="dxa"/>
            <w:shd w:val="clear" w:color="auto" w:fill="auto"/>
            <w:noWrap/>
            <w:vAlign w:val="bottom"/>
            <w:hideMark/>
          </w:tcPr>
          <w:p w14:paraId="20E7EAC8"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1,0</w:t>
            </w:r>
          </w:p>
        </w:tc>
        <w:tc>
          <w:tcPr>
            <w:tcW w:w="1309" w:type="dxa"/>
            <w:shd w:val="clear" w:color="auto" w:fill="auto"/>
            <w:noWrap/>
            <w:vAlign w:val="bottom"/>
            <w:hideMark/>
          </w:tcPr>
          <w:p w14:paraId="7C26C19C"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0</w:t>
            </w:r>
          </w:p>
        </w:tc>
      </w:tr>
      <w:tr w:rsidR="001B34C7" w:rsidRPr="009973EE" w14:paraId="499AAF28" w14:textId="77777777" w:rsidTr="002E33D9">
        <w:trPr>
          <w:trHeight w:val="284"/>
        </w:trPr>
        <w:tc>
          <w:tcPr>
            <w:tcW w:w="1638" w:type="dxa"/>
            <w:shd w:val="clear" w:color="auto" w:fill="auto"/>
            <w:noWrap/>
            <w:vAlign w:val="bottom"/>
            <w:hideMark/>
          </w:tcPr>
          <w:p w14:paraId="73A3EB4A" w14:textId="77777777" w:rsidR="001B34C7" w:rsidRPr="00257DAF" w:rsidRDefault="001B34C7" w:rsidP="002E33D9">
            <w:pPr>
              <w:spacing w:after="0" w:line="240" w:lineRule="auto"/>
              <w:rPr>
                <w:rFonts w:eastAsia="Times New Roman" w:cs="Calibri"/>
                <w:bCs/>
                <w:color w:val="000000"/>
                <w:sz w:val="20"/>
                <w:lang w:eastAsia="sk-SK"/>
              </w:rPr>
            </w:pPr>
            <w:r w:rsidRPr="00257DAF">
              <w:rPr>
                <w:rFonts w:eastAsia="Times New Roman" w:cs="Calibri"/>
                <w:bCs/>
                <w:color w:val="000000"/>
                <w:sz w:val="20"/>
                <w:lang w:eastAsia="sk-SK"/>
              </w:rPr>
              <w:t>TP nechodiaci</w:t>
            </w:r>
          </w:p>
        </w:tc>
        <w:tc>
          <w:tcPr>
            <w:tcW w:w="657" w:type="dxa"/>
            <w:shd w:val="clear" w:color="auto" w:fill="auto"/>
            <w:noWrap/>
            <w:vAlign w:val="bottom"/>
            <w:hideMark/>
          </w:tcPr>
          <w:p w14:paraId="728666CC"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15</w:t>
            </w:r>
          </w:p>
        </w:tc>
        <w:tc>
          <w:tcPr>
            <w:tcW w:w="600" w:type="dxa"/>
            <w:shd w:val="clear" w:color="auto" w:fill="auto"/>
            <w:noWrap/>
            <w:vAlign w:val="bottom"/>
            <w:hideMark/>
          </w:tcPr>
          <w:p w14:paraId="29229620"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14</w:t>
            </w:r>
          </w:p>
        </w:tc>
        <w:tc>
          <w:tcPr>
            <w:tcW w:w="600" w:type="dxa"/>
            <w:shd w:val="clear" w:color="auto" w:fill="auto"/>
            <w:noWrap/>
            <w:vAlign w:val="bottom"/>
            <w:hideMark/>
          </w:tcPr>
          <w:p w14:paraId="2EE60066"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14,2</w:t>
            </w:r>
          </w:p>
        </w:tc>
        <w:tc>
          <w:tcPr>
            <w:tcW w:w="600" w:type="dxa"/>
            <w:shd w:val="clear" w:color="auto" w:fill="auto"/>
            <w:noWrap/>
            <w:vAlign w:val="bottom"/>
            <w:hideMark/>
          </w:tcPr>
          <w:p w14:paraId="48AA1A6D"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11</w:t>
            </w:r>
          </w:p>
        </w:tc>
        <w:tc>
          <w:tcPr>
            <w:tcW w:w="832" w:type="dxa"/>
            <w:shd w:val="clear" w:color="auto" w:fill="auto"/>
            <w:noWrap/>
            <w:vAlign w:val="bottom"/>
            <w:hideMark/>
          </w:tcPr>
          <w:p w14:paraId="40C4AB7A"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10,2</w:t>
            </w:r>
          </w:p>
        </w:tc>
        <w:tc>
          <w:tcPr>
            <w:tcW w:w="1043" w:type="dxa"/>
            <w:shd w:val="clear" w:color="auto" w:fill="auto"/>
            <w:noWrap/>
            <w:vAlign w:val="bottom"/>
            <w:hideMark/>
          </w:tcPr>
          <w:p w14:paraId="53F34607"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79</w:t>
            </w:r>
          </w:p>
        </w:tc>
        <w:tc>
          <w:tcPr>
            <w:tcW w:w="720" w:type="dxa"/>
            <w:shd w:val="clear" w:color="auto" w:fill="auto"/>
            <w:noWrap/>
            <w:vAlign w:val="bottom"/>
            <w:hideMark/>
          </w:tcPr>
          <w:p w14:paraId="36D26B29"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72</w:t>
            </w:r>
          </w:p>
        </w:tc>
        <w:tc>
          <w:tcPr>
            <w:tcW w:w="1074" w:type="dxa"/>
            <w:shd w:val="clear" w:color="auto" w:fill="auto"/>
            <w:noWrap/>
            <w:vAlign w:val="bottom"/>
            <w:hideMark/>
          </w:tcPr>
          <w:p w14:paraId="4165DDF5"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0,9</w:t>
            </w:r>
          </w:p>
        </w:tc>
        <w:tc>
          <w:tcPr>
            <w:tcW w:w="1309" w:type="dxa"/>
            <w:shd w:val="clear" w:color="auto" w:fill="auto"/>
            <w:noWrap/>
            <w:vAlign w:val="bottom"/>
            <w:hideMark/>
          </w:tcPr>
          <w:p w14:paraId="7C00E694"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3</w:t>
            </w:r>
          </w:p>
        </w:tc>
      </w:tr>
      <w:tr w:rsidR="001B34C7" w:rsidRPr="009973EE" w14:paraId="34A23F78" w14:textId="77777777" w:rsidTr="002E33D9">
        <w:trPr>
          <w:trHeight w:val="284"/>
        </w:trPr>
        <w:tc>
          <w:tcPr>
            <w:tcW w:w="1638" w:type="dxa"/>
            <w:shd w:val="clear" w:color="auto" w:fill="auto"/>
            <w:noWrap/>
            <w:vAlign w:val="bottom"/>
            <w:hideMark/>
          </w:tcPr>
          <w:p w14:paraId="4E3E60E1" w14:textId="77777777" w:rsidR="001B34C7" w:rsidRPr="00257DAF" w:rsidRDefault="001B34C7" w:rsidP="002E33D9">
            <w:pPr>
              <w:spacing w:after="0" w:line="240" w:lineRule="auto"/>
              <w:rPr>
                <w:rFonts w:eastAsia="Times New Roman" w:cs="Calibri"/>
                <w:bCs/>
                <w:color w:val="000000"/>
                <w:sz w:val="20"/>
                <w:lang w:eastAsia="sk-SK"/>
              </w:rPr>
            </w:pPr>
            <w:r w:rsidRPr="00257DAF">
              <w:rPr>
                <w:rFonts w:eastAsia="Times New Roman" w:cs="Calibri"/>
                <w:bCs/>
                <w:color w:val="000000"/>
                <w:sz w:val="20"/>
                <w:lang w:eastAsia="sk-SK"/>
              </w:rPr>
              <w:t>MEN variant C</w:t>
            </w:r>
          </w:p>
        </w:tc>
        <w:tc>
          <w:tcPr>
            <w:tcW w:w="657" w:type="dxa"/>
            <w:shd w:val="clear" w:color="auto" w:fill="auto"/>
            <w:noWrap/>
            <w:vAlign w:val="bottom"/>
            <w:hideMark/>
          </w:tcPr>
          <w:p w14:paraId="4A177F4A"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3</w:t>
            </w:r>
          </w:p>
        </w:tc>
        <w:tc>
          <w:tcPr>
            <w:tcW w:w="600" w:type="dxa"/>
            <w:shd w:val="clear" w:color="auto" w:fill="auto"/>
            <w:noWrap/>
            <w:vAlign w:val="bottom"/>
            <w:hideMark/>
          </w:tcPr>
          <w:p w14:paraId="027B14C6"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2</w:t>
            </w:r>
          </w:p>
        </w:tc>
        <w:tc>
          <w:tcPr>
            <w:tcW w:w="600" w:type="dxa"/>
            <w:shd w:val="clear" w:color="auto" w:fill="auto"/>
            <w:noWrap/>
            <w:vAlign w:val="bottom"/>
            <w:hideMark/>
          </w:tcPr>
          <w:p w14:paraId="46D8B011"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2</w:t>
            </w:r>
          </w:p>
        </w:tc>
        <w:tc>
          <w:tcPr>
            <w:tcW w:w="600" w:type="dxa"/>
            <w:shd w:val="clear" w:color="auto" w:fill="auto"/>
            <w:noWrap/>
            <w:vAlign w:val="bottom"/>
            <w:hideMark/>
          </w:tcPr>
          <w:p w14:paraId="01E7689A"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2</w:t>
            </w:r>
          </w:p>
        </w:tc>
        <w:tc>
          <w:tcPr>
            <w:tcW w:w="832" w:type="dxa"/>
            <w:shd w:val="clear" w:color="auto" w:fill="auto"/>
            <w:noWrap/>
            <w:vAlign w:val="bottom"/>
            <w:hideMark/>
          </w:tcPr>
          <w:p w14:paraId="25A4A00F"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2,0</w:t>
            </w:r>
          </w:p>
        </w:tc>
        <w:tc>
          <w:tcPr>
            <w:tcW w:w="1043" w:type="dxa"/>
            <w:shd w:val="clear" w:color="auto" w:fill="auto"/>
            <w:noWrap/>
            <w:vAlign w:val="bottom"/>
            <w:hideMark/>
          </w:tcPr>
          <w:p w14:paraId="379D1733"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100</w:t>
            </w:r>
          </w:p>
        </w:tc>
        <w:tc>
          <w:tcPr>
            <w:tcW w:w="720" w:type="dxa"/>
            <w:shd w:val="clear" w:color="auto" w:fill="auto"/>
            <w:noWrap/>
            <w:vAlign w:val="bottom"/>
            <w:hideMark/>
          </w:tcPr>
          <w:p w14:paraId="208FCF67"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100</w:t>
            </w:r>
          </w:p>
        </w:tc>
        <w:tc>
          <w:tcPr>
            <w:tcW w:w="1074" w:type="dxa"/>
            <w:shd w:val="clear" w:color="auto" w:fill="auto"/>
            <w:noWrap/>
            <w:vAlign w:val="bottom"/>
            <w:hideMark/>
          </w:tcPr>
          <w:p w14:paraId="48146E05"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0,7</w:t>
            </w:r>
          </w:p>
        </w:tc>
        <w:tc>
          <w:tcPr>
            <w:tcW w:w="1309" w:type="dxa"/>
            <w:shd w:val="clear" w:color="auto" w:fill="auto"/>
            <w:noWrap/>
            <w:vAlign w:val="bottom"/>
            <w:hideMark/>
          </w:tcPr>
          <w:p w14:paraId="52CD9A38"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0</w:t>
            </w:r>
          </w:p>
        </w:tc>
      </w:tr>
      <w:tr w:rsidR="001B34C7" w:rsidRPr="009973EE" w14:paraId="3CBA23F1" w14:textId="77777777" w:rsidTr="002E33D9">
        <w:trPr>
          <w:trHeight w:val="284"/>
        </w:trPr>
        <w:tc>
          <w:tcPr>
            <w:tcW w:w="1638" w:type="dxa"/>
            <w:shd w:val="clear" w:color="auto" w:fill="auto"/>
            <w:noWrap/>
            <w:vAlign w:val="bottom"/>
            <w:hideMark/>
          </w:tcPr>
          <w:p w14:paraId="4F69B25D" w14:textId="77777777" w:rsidR="001B34C7" w:rsidRPr="00257DAF" w:rsidRDefault="001B34C7" w:rsidP="002E33D9">
            <w:pPr>
              <w:spacing w:after="0" w:line="240" w:lineRule="auto"/>
              <w:rPr>
                <w:rFonts w:eastAsia="Times New Roman" w:cs="Calibri"/>
                <w:bCs/>
                <w:color w:val="000000"/>
                <w:sz w:val="20"/>
                <w:lang w:eastAsia="sk-SK"/>
              </w:rPr>
            </w:pPr>
            <w:r w:rsidRPr="00257DAF">
              <w:rPr>
                <w:rFonts w:eastAsia="Times New Roman" w:cs="Calibri"/>
                <w:bCs/>
                <w:color w:val="000000"/>
                <w:sz w:val="20"/>
                <w:lang w:eastAsia="sk-SK"/>
              </w:rPr>
              <w:t>VP variant A</w:t>
            </w:r>
          </w:p>
        </w:tc>
        <w:tc>
          <w:tcPr>
            <w:tcW w:w="657" w:type="dxa"/>
            <w:shd w:val="clear" w:color="auto" w:fill="auto"/>
            <w:noWrap/>
            <w:vAlign w:val="bottom"/>
            <w:hideMark/>
          </w:tcPr>
          <w:p w14:paraId="24EC7679"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15</w:t>
            </w:r>
          </w:p>
        </w:tc>
        <w:tc>
          <w:tcPr>
            <w:tcW w:w="600" w:type="dxa"/>
            <w:shd w:val="clear" w:color="auto" w:fill="auto"/>
            <w:noWrap/>
            <w:vAlign w:val="bottom"/>
            <w:hideMark/>
          </w:tcPr>
          <w:p w14:paraId="1E89CDE3"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13</w:t>
            </w:r>
          </w:p>
        </w:tc>
        <w:tc>
          <w:tcPr>
            <w:tcW w:w="600" w:type="dxa"/>
            <w:shd w:val="clear" w:color="auto" w:fill="auto"/>
            <w:noWrap/>
            <w:vAlign w:val="bottom"/>
            <w:hideMark/>
          </w:tcPr>
          <w:p w14:paraId="27AC2D59"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14,28</w:t>
            </w:r>
          </w:p>
        </w:tc>
        <w:tc>
          <w:tcPr>
            <w:tcW w:w="600" w:type="dxa"/>
            <w:shd w:val="clear" w:color="auto" w:fill="auto"/>
            <w:noWrap/>
            <w:vAlign w:val="bottom"/>
            <w:hideMark/>
          </w:tcPr>
          <w:p w14:paraId="1354656F"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11</w:t>
            </w:r>
          </w:p>
        </w:tc>
        <w:tc>
          <w:tcPr>
            <w:tcW w:w="832" w:type="dxa"/>
            <w:shd w:val="clear" w:color="auto" w:fill="auto"/>
            <w:noWrap/>
            <w:vAlign w:val="bottom"/>
            <w:hideMark/>
          </w:tcPr>
          <w:p w14:paraId="27C40C59"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9,8</w:t>
            </w:r>
          </w:p>
        </w:tc>
        <w:tc>
          <w:tcPr>
            <w:tcW w:w="1043" w:type="dxa"/>
            <w:shd w:val="clear" w:color="auto" w:fill="auto"/>
            <w:noWrap/>
            <w:vAlign w:val="bottom"/>
            <w:hideMark/>
          </w:tcPr>
          <w:p w14:paraId="271A6E94"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85</w:t>
            </w:r>
          </w:p>
        </w:tc>
        <w:tc>
          <w:tcPr>
            <w:tcW w:w="720" w:type="dxa"/>
            <w:shd w:val="clear" w:color="auto" w:fill="auto"/>
            <w:noWrap/>
            <w:vAlign w:val="bottom"/>
            <w:hideMark/>
          </w:tcPr>
          <w:p w14:paraId="3C10D8BE"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68</w:t>
            </w:r>
          </w:p>
        </w:tc>
        <w:tc>
          <w:tcPr>
            <w:tcW w:w="1074" w:type="dxa"/>
            <w:shd w:val="clear" w:color="auto" w:fill="auto"/>
            <w:noWrap/>
            <w:vAlign w:val="bottom"/>
            <w:hideMark/>
          </w:tcPr>
          <w:p w14:paraId="6D57B49B"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1,0</w:t>
            </w:r>
          </w:p>
        </w:tc>
        <w:tc>
          <w:tcPr>
            <w:tcW w:w="1309" w:type="dxa"/>
            <w:shd w:val="clear" w:color="auto" w:fill="auto"/>
            <w:noWrap/>
            <w:vAlign w:val="bottom"/>
            <w:hideMark/>
          </w:tcPr>
          <w:p w14:paraId="58B8985E"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2</w:t>
            </w:r>
          </w:p>
        </w:tc>
      </w:tr>
      <w:tr w:rsidR="001B34C7" w:rsidRPr="009973EE" w14:paraId="16C81C01" w14:textId="77777777" w:rsidTr="002E33D9">
        <w:trPr>
          <w:trHeight w:val="284"/>
        </w:trPr>
        <w:tc>
          <w:tcPr>
            <w:tcW w:w="1638" w:type="dxa"/>
            <w:shd w:val="clear" w:color="auto" w:fill="auto"/>
            <w:noWrap/>
            <w:vAlign w:val="bottom"/>
            <w:hideMark/>
          </w:tcPr>
          <w:p w14:paraId="4C01AD91" w14:textId="77777777" w:rsidR="001B34C7" w:rsidRPr="00257DAF" w:rsidRDefault="001B34C7" w:rsidP="002E33D9">
            <w:pPr>
              <w:spacing w:after="0" w:line="240" w:lineRule="auto"/>
              <w:rPr>
                <w:rFonts w:eastAsia="Times New Roman" w:cs="Calibri"/>
                <w:bCs/>
                <w:color w:val="000000"/>
                <w:sz w:val="20"/>
                <w:lang w:eastAsia="sk-SK"/>
              </w:rPr>
            </w:pPr>
            <w:r w:rsidRPr="00257DAF">
              <w:rPr>
                <w:rFonts w:eastAsia="Times New Roman" w:cs="Calibri"/>
                <w:bCs/>
                <w:color w:val="000000"/>
                <w:sz w:val="20"/>
                <w:lang w:eastAsia="sk-SK"/>
              </w:rPr>
              <w:t>AUT bez MP</w:t>
            </w:r>
          </w:p>
        </w:tc>
        <w:tc>
          <w:tcPr>
            <w:tcW w:w="657" w:type="dxa"/>
            <w:shd w:val="clear" w:color="auto" w:fill="auto"/>
            <w:noWrap/>
            <w:vAlign w:val="bottom"/>
            <w:hideMark/>
          </w:tcPr>
          <w:p w14:paraId="776C656B"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60</w:t>
            </w:r>
          </w:p>
        </w:tc>
        <w:tc>
          <w:tcPr>
            <w:tcW w:w="600" w:type="dxa"/>
            <w:shd w:val="clear" w:color="auto" w:fill="auto"/>
            <w:noWrap/>
            <w:vAlign w:val="bottom"/>
            <w:hideMark/>
          </w:tcPr>
          <w:p w14:paraId="147BC098"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48</w:t>
            </w:r>
          </w:p>
        </w:tc>
        <w:tc>
          <w:tcPr>
            <w:tcW w:w="600" w:type="dxa"/>
            <w:shd w:val="clear" w:color="auto" w:fill="auto"/>
            <w:noWrap/>
            <w:vAlign w:val="bottom"/>
            <w:hideMark/>
          </w:tcPr>
          <w:p w14:paraId="6A985178"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56,6</w:t>
            </w:r>
          </w:p>
        </w:tc>
        <w:tc>
          <w:tcPr>
            <w:tcW w:w="600" w:type="dxa"/>
            <w:shd w:val="clear" w:color="auto" w:fill="auto"/>
            <w:noWrap/>
            <w:vAlign w:val="bottom"/>
            <w:hideMark/>
          </w:tcPr>
          <w:p w14:paraId="707A6905"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24</w:t>
            </w:r>
          </w:p>
        </w:tc>
        <w:tc>
          <w:tcPr>
            <w:tcW w:w="832" w:type="dxa"/>
            <w:shd w:val="clear" w:color="auto" w:fill="auto"/>
            <w:noWrap/>
            <w:vAlign w:val="bottom"/>
            <w:hideMark/>
          </w:tcPr>
          <w:p w14:paraId="231BCB65"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21,2</w:t>
            </w:r>
          </w:p>
        </w:tc>
        <w:tc>
          <w:tcPr>
            <w:tcW w:w="1043" w:type="dxa"/>
            <w:shd w:val="clear" w:color="auto" w:fill="auto"/>
            <w:noWrap/>
            <w:vAlign w:val="bottom"/>
            <w:hideMark/>
          </w:tcPr>
          <w:p w14:paraId="7C56AECA"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50</w:t>
            </w:r>
          </w:p>
        </w:tc>
        <w:tc>
          <w:tcPr>
            <w:tcW w:w="720" w:type="dxa"/>
            <w:shd w:val="clear" w:color="auto" w:fill="auto"/>
            <w:noWrap/>
            <w:vAlign w:val="bottom"/>
            <w:hideMark/>
          </w:tcPr>
          <w:p w14:paraId="247C7811"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37</w:t>
            </w:r>
          </w:p>
        </w:tc>
        <w:tc>
          <w:tcPr>
            <w:tcW w:w="1074" w:type="dxa"/>
            <w:shd w:val="clear" w:color="auto" w:fill="auto"/>
            <w:noWrap/>
            <w:vAlign w:val="bottom"/>
            <w:hideMark/>
          </w:tcPr>
          <w:p w14:paraId="5616E13E"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0,9</w:t>
            </w:r>
          </w:p>
        </w:tc>
        <w:tc>
          <w:tcPr>
            <w:tcW w:w="1309" w:type="dxa"/>
            <w:shd w:val="clear" w:color="auto" w:fill="auto"/>
            <w:noWrap/>
            <w:vAlign w:val="bottom"/>
            <w:hideMark/>
          </w:tcPr>
          <w:p w14:paraId="46CBE2C9"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24</w:t>
            </w:r>
          </w:p>
        </w:tc>
      </w:tr>
      <w:tr w:rsidR="001B34C7" w:rsidRPr="009973EE" w14:paraId="292D61DB" w14:textId="77777777" w:rsidTr="002E33D9">
        <w:trPr>
          <w:trHeight w:val="284"/>
        </w:trPr>
        <w:tc>
          <w:tcPr>
            <w:tcW w:w="1638" w:type="dxa"/>
            <w:shd w:val="clear" w:color="auto" w:fill="auto"/>
            <w:noWrap/>
            <w:vAlign w:val="bottom"/>
            <w:hideMark/>
          </w:tcPr>
          <w:p w14:paraId="15E703D2" w14:textId="77777777" w:rsidR="001B34C7" w:rsidRPr="00257DAF" w:rsidRDefault="001B34C7" w:rsidP="002E33D9">
            <w:pPr>
              <w:spacing w:after="0" w:line="240" w:lineRule="auto"/>
              <w:rPr>
                <w:rFonts w:eastAsia="Times New Roman" w:cs="Calibri"/>
                <w:bCs/>
                <w:color w:val="000000"/>
                <w:sz w:val="20"/>
                <w:lang w:eastAsia="sk-SK"/>
              </w:rPr>
            </w:pPr>
            <w:r w:rsidRPr="00257DAF">
              <w:rPr>
                <w:rFonts w:eastAsia="Times New Roman" w:cs="Calibri"/>
                <w:bCs/>
                <w:color w:val="000000"/>
                <w:sz w:val="20"/>
                <w:lang w:eastAsia="sk-SK"/>
              </w:rPr>
              <w:t>VP variant C</w:t>
            </w:r>
          </w:p>
        </w:tc>
        <w:tc>
          <w:tcPr>
            <w:tcW w:w="657" w:type="dxa"/>
            <w:shd w:val="clear" w:color="auto" w:fill="auto"/>
            <w:noWrap/>
            <w:vAlign w:val="bottom"/>
            <w:hideMark/>
          </w:tcPr>
          <w:p w14:paraId="5A8A3E45"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42</w:t>
            </w:r>
          </w:p>
        </w:tc>
        <w:tc>
          <w:tcPr>
            <w:tcW w:w="600" w:type="dxa"/>
            <w:shd w:val="clear" w:color="auto" w:fill="auto"/>
            <w:noWrap/>
            <w:vAlign w:val="bottom"/>
            <w:hideMark/>
          </w:tcPr>
          <w:p w14:paraId="0483B2A3"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9</w:t>
            </w:r>
          </w:p>
        </w:tc>
        <w:tc>
          <w:tcPr>
            <w:tcW w:w="600" w:type="dxa"/>
            <w:shd w:val="clear" w:color="auto" w:fill="auto"/>
            <w:noWrap/>
            <w:vAlign w:val="bottom"/>
            <w:hideMark/>
          </w:tcPr>
          <w:p w14:paraId="4B68DB53"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17</w:t>
            </w:r>
          </w:p>
        </w:tc>
        <w:tc>
          <w:tcPr>
            <w:tcW w:w="600" w:type="dxa"/>
            <w:shd w:val="clear" w:color="auto" w:fill="auto"/>
            <w:noWrap/>
            <w:vAlign w:val="bottom"/>
            <w:hideMark/>
          </w:tcPr>
          <w:p w14:paraId="10B2DD44"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8</w:t>
            </w:r>
          </w:p>
        </w:tc>
        <w:tc>
          <w:tcPr>
            <w:tcW w:w="832" w:type="dxa"/>
            <w:shd w:val="clear" w:color="auto" w:fill="auto"/>
            <w:noWrap/>
            <w:vAlign w:val="bottom"/>
            <w:hideMark/>
          </w:tcPr>
          <w:p w14:paraId="38DF3293"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9,0</w:t>
            </w:r>
          </w:p>
        </w:tc>
        <w:tc>
          <w:tcPr>
            <w:tcW w:w="1043" w:type="dxa"/>
            <w:shd w:val="clear" w:color="auto" w:fill="auto"/>
            <w:noWrap/>
            <w:vAlign w:val="bottom"/>
            <w:hideMark/>
          </w:tcPr>
          <w:p w14:paraId="65A40612"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89</w:t>
            </w:r>
          </w:p>
        </w:tc>
        <w:tc>
          <w:tcPr>
            <w:tcW w:w="720" w:type="dxa"/>
            <w:shd w:val="clear" w:color="auto" w:fill="auto"/>
            <w:noWrap/>
            <w:vAlign w:val="bottom"/>
            <w:hideMark/>
          </w:tcPr>
          <w:p w14:paraId="6089C41E"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53</w:t>
            </w:r>
          </w:p>
        </w:tc>
        <w:tc>
          <w:tcPr>
            <w:tcW w:w="1074" w:type="dxa"/>
            <w:shd w:val="clear" w:color="auto" w:fill="auto"/>
            <w:noWrap/>
            <w:vAlign w:val="bottom"/>
            <w:hideMark/>
          </w:tcPr>
          <w:p w14:paraId="20359C1A"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0,4</w:t>
            </w:r>
          </w:p>
        </w:tc>
        <w:tc>
          <w:tcPr>
            <w:tcW w:w="1309" w:type="dxa"/>
            <w:shd w:val="clear" w:color="auto" w:fill="auto"/>
            <w:noWrap/>
            <w:vAlign w:val="bottom"/>
            <w:hideMark/>
          </w:tcPr>
          <w:p w14:paraId="43B245D2"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1</w:t>
            </w:r>
          </w:p>
        </w:tc>
      </w:tr>
      <w:tr w:rsidR="001B34C7" w:rsidRPr="009973EE" w14:paraId="2E845064" w14:textId="77777777" w:rsidTr="002E33D9">
        <w:trPr>
          <w:trHeight w:val="284"/>
        </w:trPr>
        <w:tc>
          <w:tcPr>
            <w:tcW w:w="1638" w:type="dxa"/>
            <w:shd w:val="clear" w:color="auto" w:fill="auto"/>
            <w:noWrap/>
            <w:vAlign w:val="bottom"/>
            <w:hideMark/>
          </w:tcPr>
          <w:p w14:paraId="4D0FDCDC" w14:textId="67576AD2" w:rsidR="001B34C7" w:rsidRPr="00257DAF" w:rsidRDefault="001B34C7" w:rsidP="002E33D9">
            <w:pPr>
              <w:spacing w:after="0" w:line="240" w:lineRule="auto"/>
              <w:rPr>
                <w:rFonts w:eastAsia="Times New Roman" w:cs="Calibri"/>
                <w:bCs/>
                <w:color w:val="000000"/>
                <w:sz w:val="20"/>
                <w:lang w:eastAsia="sk-SK"/>
              </w:rPr>
            </w:pPr>
            <w:r w:rsidRPr="00257DAF">
              <w:rPr>
                <w:rFonts w:eastAsia="Times New Roman" w:cs="Calibri"/>
                <w:bCs/>
                <w:color w:val="000000"/>
                <w:sz w:val="20"/>
                <w:lang w:eastAsia="sk-SK"/>
              </w:rPr>
              <w:t>AUT</w:t>
            </w:r>
            <w:r w:rsidR="0070047D">
              <w:rPr>
                <w:rFonts w:eastAsia="Times New Roman" w:cs="Calibri"/>
                <w:bCs/>
                <w:color w:val="000000"/>
                <w:sz w:val="20"/>
                <w:lang w:eastAsia="sk-SK"/>
              </w:rPr>
              <w:t xml:space="preserve"> </w:t>
            </w:r>
            <w:r w:rsidRPr="00257DAF">
              <w:rPr>
                <w:rFonts w:eastAsia="Times New Roman" w:cs="Calibri"/>
                <w:bCs/>
                <w:color w:val="000000"/>
                <w:sz w:val="20"/>
                <w:lang w:eastAsia="sk-SK"/>
              </w:rPr>
              <w:t>s MP</w:t>
            </w:r>
          </w:p>
        </w:tc>
        <w:tc>
          <w:tcPr>
            <w:tcW w:w="657" w:type="dxa"/>
            <w:shd w:val="clear" w:color="auto" w:fill="auto"/>
            <w:noWrap/>
            <w:vAlign w:val="bottom"/>
            <w:hideMark/>
          </w:tcPr>
          <w:p w14:paraId="7498B6A4"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39</w:t>
            </w:r>
          </w:p>
        </w:tc>
        <w:tc>
          <w:tcPr>
            <w:tcW w:w="600" w:type="dxa"/>
            <w:shd w:val="clear" w:color="auto" w:fill="auto"/>
            <w:noWrap/>
            <w:vAlign w:val="bottom"/>
            <w:hideMark/>
          </w:tcPr>
          <w:p w14:paraId="21A39FCD"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9</w:t>
            </w:r>
          </w:p>
        </w:tc>
        <w:tc>
          <w:tcPr>
            <w:tcW w:w="600" w:type="dxa"/>
            <w:shd w:val="clear" w:color="auto" w:fill="auto"/>
            <w:noWrap/>
            <w:vAlign w:val="bottom"/>
            <w:hideMark/>
          </w:tcPr>
          <w:p w14:paraId="1D363672"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18,2</w:t>
            </w:r>
          </w:p>
        </w:tc>
        <w:tc>
          <w:tcPr>
            <w:tcW w:w="600" w:type="dxa"/>
            <w:shd w:val="clear" w:color="auto" w:fill="auto"/>
            <w:noWrap/>
            <w:vAlign w:val="bottom"/>
            <w:hideMark/>
          </w:tcPr>
          <w:p w14:paraId="43D36504"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7</w:t>
            </w:r>
          </w:p>
        </w:tc>
        <w:tc>
          <w:tcPr>
            <w:tcW w:w="832" w:type="dxa"/>
            <w:shd w:val="clear" w:color="auto" w:fill="auto"/>
            <w:noWrap/>
            <w:vAlign w:val="bottom"/>
            <w:hideMark/>
          </w:tcPr>
          <w:p w14:paraId="1FD72DBC"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9,5</w:t>
            </w:r>
          </w:p>
        </w:tc>
        <w:tc>
          <w:tcPr>
            <w:tcW w:w="1043" w:type="dxa"/>
            <w:shd w:val="clear" w:color="auto" w:fill="auto"/>
            <w:noWrap/>
            <w:vAlign w:val="bottom"/>
            <w:hideMark/>
          </w:tcPr>
          <w:p w14:paraId="1D0252A0"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78</w:t>
            </w:r>
          </w:p>
        </w:tc>
        <w:tc>
          <w:tcPr>
            <w:tcW w:w="720" w:type="dxa"/>
            <w:shd w:val="clear" w:color="auto" w:fill="auto"/>
            <w:noWrap/>
            <w:vAlign w:val="bottom"/>
            <w:hideMark/>
          </w:tcPr>
          <w:p w14:paraId="7D2888FB"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52</w:t>
            </w:r>
          </w:p>
        </w:tc>
        <w:tc>
          <w:tcPr>
            <w:tcW w:w="1074" w:type="dxa"/>
            <w:shd w:val="clear" w:color="auto" w:fill="auto"/>
            <w:noWrap/>
            <w:vAlign w:val="bottom"/>
            <w:hideMark/>
          </w:tcPr>
          <w:p w14:paraId="171C029E"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0,5</w:t>
            </w:r>
          </w:p>
        </w:tc>
        <w:tc>
          <w:tcPr>
            <w:tcW w:w="1309" w:type="dxa"/>
            <w:shd w:val="clear" w:color="auto" w:fill="auto"/>
            <w:noWrap/>
            <w:vAlign w:val="bottom"/>
            <w:hideMark/>
          </w:tcPr>
          <w:p w14:paraId="289D1D93"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2</w:t>
            </w:r>
          </w:p>
        </w:tc>
      </w:tr>
      <w:tr w:rsidR="001B34C7" w:rsidRPr="009973EE" w14:paraId="6BB628AA" w14:textId="77777777" w:rsidTr="002E33D9">
        <w:trPr>
          <w:trHeight w:val="284"/>
        </w:trPr>
        <w:tc>
          <w:tcPr>
            <w:tcW w:w="1638" w:type="dxa"/>
            <w:tcBorders>
              <w:bottom w:val="single" w:sz="4" w:space="0" w:color="auto"/>
            </w:tcBorders>
            <w:shd w:val="clear" w:color="auto" w:fill="auto"/>
            <w:noWrap/>
            <w:vAlign w:val="bottom"/>
            <w:hideMark/>
          </w:tcPr>
          <w:p w14:paraId="250CEAD1" w14:textId="77777777" w:rsidR="001B34C7" w:rsidRPr="00257DAF" w:rsidRDefault="001B34C7" w:rsidP="002E33D9">
            <w:pPr>
              <w:spacing w:after="0" w:line="240" w:lineRule="auto"/>
              <w:rPr>
                <w:rFonts w:eastAsia="Times New Roman" w:cs="Calibri"/>
                <w:bCs/>
                <w:color w:val="000000"/>
                <w:sz w:val="20"/>
                <w:lang w:eastAsia="sk-SK"/>
              </w:rPr>
            </w:pPr>
            <w:r w:rsidRPr="00257DAF">
              <w:rPr>
                <w:rFonts w:eastAsia="Times New Roman" w:cs="Calibri"/>
                <w:bCs/>
                <w:color w:val="000000"/>
                <w:sz w:val="20"/>
                <w:lang w:eastAsia="sk-SK"/>
              </w:rPr>
              <w:t>ChaZO</w:t>
            </w:r>
          </w:p>
        </w:tc>
        <w:tc>
          <w:tcPr>
            <w:tcW w:w="657" w:type="dxa"/>
            <w:tcBorders>
              <w:bottom w:val="single" w:sz="4" w:space="0" w:color="auto"/>
            </w:tcBorders>
            <w:shd w:val="clear" w:color="auto" w:fill="auto"/>
            <w:noWrap/>
            <w:vAlign w:val="bottom"/>
            <w:hideMark/>
          </w:tcPr>
          <w:p w14:paraId="7B990945"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12</w:t>
            </w:r>
          </w:p>
        </w:tc>
        <w:tc>
          <w:tcPr>
            <w:tcW w:w="600" w:type="dxa"/>
            <w:tcBorders>
              <w:bottom w:val="single" w:sz="4" w:space="0" w:color="auto"/>
            </w:tcBorders>
            <w:shd w:val="clear" w:color="auto" w:fill="auto"/>
            <w:noWrap/>
            <w:vAlign w:val="bottom"/>
            <w:hideMark/>
          </w:tcPr>
          <w:p w14:paraId="3905A8DB"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5</w:t>
            </w:r>
          </w:p>
        </w:tc>
        <w:tc>
          <w:tcPr>
            <w:tcW w:w="600" w:type="dxa"/>
            <w:tcBorders>
              <w:bottom w:val="single" w:sz="4" w:space="0" w:color="auto"/>
            </w:tcBorders>
            <w:shd w:val="clear" w:color="auto" w:fill="auto"/>
            <w:noWrap/>
            <w:vAlign w:val="bottom"/>
            <w:hideMark/>
          </w:tcPr>
          <w:p w14:paraId="292BBF17"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6,65</w:t>
            </w:r>
          </w:p>
        </w:tc>
        <w:tc>
          <w:tcPr>
            <w:tcW w:w="600" w:type="dxa"/>
            <w:tcBorders>
              <w:bottom w:val="single" w:sz="4" w:space="0" w:color="auto"/>
            </w:tcBorders>
            <w:shd w:val="clear" w:color="auto" w:fill="auto"/>
            <w:noWrap/>
            <w:vAlign w:val="bottom"/>
            <w:hideMark/>
          </w:tcPr>
          <w:p w14:paraId="0E4E8D8E"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4</w:t>
            </w:r>
          </w:p>
        </w:tc>
        <w:tc>
          <w:tcPr>
            <w:tcW w:w="832" w:type="dxa"/>
            <w:tcBorders>
              <w:bottom w:val="single" w:sz="4" w:space="0" w:color="auto"/>
            </w:tcBorders>
            <w:shd w:val="clear" w:color="auto" w:fill="auto"/>
            <w:noWrap/>
            <w:vAlign w:val="bottom"/>
            <w:hideMark/>
          </w:tcPr>
          <w:p w14:paraId="76993CE6"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3,5</w:t>
            </w:r>
          </w:p>
        </w:tc>
        <w:tc>
          <w:tcPr>
            <w:tcW w:w="1043" w:type="dxa"/>
            <w:tcBorders>
              <w:bottom w:val="single" w:sz="4" w:space="0" w:color="auto"/>
            </w:tcBorders>
            <w:shd w:val="clear" w:color="auto" w:fill="auto"/>
            <w:noWrap/>
            <w:vAlign w:val="bottom"/>
            <w:hideMark/>
          </w:tcPr>
          <w:p w14:paraId="6FC24C39"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80</w:t>
            </w:r>
          </w:p>
        </w:tc>
        <w:tc>
          <w:tcPr>
            <w:tcW w:w="720" w:type="dxa"/>
            <w:tcBorders>
              <w:bottom w:val="single" w:sz="4" w:space="0" w:color="auto"/>
            </w:tcBorders>
            <w:shd w:val="clear" w:color="auto" w:fill="auto"/>
            <w:noWrap/>
            <w:vAlign w:val="bottom"/>
            <w:hideMark/>
          </w:tcPr>
          <w:p w14:paraId="0BF30C8A"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53</w:t>
            </w:r>
          </w:p>
        </w:tc>
        <w:tc>
          <w:tcPr>
            <w:tcW w:w="1074" w:type="dxa"/>
            <w:tcBorders>
              <w:bottom w:val="single" w:sz="4" w:space="0" w:color="auto"/>
            </w:tcBorders>
            <w:shd w:val="clear" w:color="auto" w:fill="auto"/>
            <w:noWrap/>
            <w:vAlign w:val="bottom"/>
            <w:hideMark/>
          </w:tcPr>
          <w:p w14:paraId="0634B7EB"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0,6</w:t>
            </w:r>
          </w:p>
        </w:tc>
        <w:tc>
          <w:tcPr>
            <w:tcW w:w="1309" w:type="dxa"/>
            <w:tcBorders>
              <w:bottom w:val="single" w:sz="4" w:space="0" w:color="auto"/>
            </w:tcBorders>
            <w:shd w:val="clear" w:color="auto" w:fill="auto"/>
            <w:noWrap/>
            <w:vAlign w:val="bottom"/>
            <w:hideMark/>
          </w:tcPr>
          <w:p w14:paraId="2F80652C" w14:textId="77777777" w:rsidR="001B34C7" w:rsidRPr="009973EE" w:rsidRDefault="001B34C7" w:rsidP="002E33D9">
            <w:pPr>
              <w:spacing w:after="0" w:line="240" w:lineRule="auto"/>
              <w:jc w:val="right"/>
              <w:rPr>
                <w:rFonts w:eastAsia="Times New Roman" w:cs="Calibri"/>
                <w:color w:val="000000"/>
                <w:sz w:val="20"/>
                <w:lang w:eastAsia="sk-SK"/>
              </w:rPr>
            </w:pPr>
            <w:r w:rsidRPr="009973EE">
              <w:rPr>
                <w:rFonts w:eastAsia="Times New Roman" w:cs="Calibri"/>
                <w:color w:val="000000"/>
                <w:sz w:val="20"/>
                <w:lang w:eastAsia="sk-SK"/>
              </w:rPr>
              <w:t>1</w:t>
            </w:r>
          </w:p>
        </w:tc>
      </w:tr>
      <w:tr w:rsidR="001B34C7" w:rsidRPr="009973EE" w14:paraId="35B7E56E" w14:textId="77777777" w:rsidTr="002E33D9">
        <w:trPr>
          <w:trHeight w:val="284"/>
        </w:trPr>
        <w:tc>
          <w:tcPr>
            <w:tcW w:w="1638" w:type="dxa"/>
            <w:tcBorders>
              <w:top w:val="single" w:sz="4" w:space="0" w:color="auto"/>
              <w:bottom w:val="single" w:sz="4" w:space="0" w:color="auto"/>
            </w:tcBorders>
            <w:shd w:val="clear" w:color="auto" w:fill="auto"/>
            <w:noWrap/>
            <w:vAlign w:val="bottom"/>
            <w:hideMark/>
          </w:tcPr>
          <w:p w14:paraId="4643003D" w14:textId="77777777" w:rsidR="001B34C7" w:rsidRPr="00257DAF" w:rsidRDefault="001B34C7" w:rsidP="002E33D9">
            <w:pPr>
              <w:spacing w:after="0" w:line="240" w:lineRule="auto"/>
              <w:rPr>
                <w:rFonts w:eastAsia="Times New Roman" w:cs="Calibri"/>
                <w:b/>
                <w:bCs/>
                <w:color w:val="000000"/>
                <w:sz w:val="20"/>
                <w:lang w:eastAsia="sk-SK"/>
              </w:rPr>
            </w:pPr>
            <w:r w:rsidRPr="00257DAF">
              <w:rPr>
                <w:rFonts w:eastAsia="Times New Roman" w:cs="Calibri"/>
                <w:b/>
                <w:bCs/>
                <w:color w:val="000000"/>
                <w:sz w:val="20"/>
                <w:lang w:eastAsia="sk-SK"/>
              </w:rPr>
              <w:t>SPOLU</w:t>
            </w:r>
          </w:p>
        </w:tc>
        <w:tc>
          <w:tcPr>
            <w:tcW w:w="657" w:type="dxa"/>
            <w:tcBorders>
              <w:top w:val="single" w:sz="4" w:space="0" w:color="auto"/>
              <w:bottom w:val="single" w:sz="4" w:space="0" w:color="auto"/>
            </w:tcBorders>
            <w:shd w:val="clear" w:color="auto" w:fill="auto"/>
            <w:noWrap/>
            <w:vAlign w:val="bottom"/>
            <w:hideMark/>
          </w:tcPr>
          <w:p w14:paraId="136CEF04" w14:textId="77777777" w:rsidR="001B34C7" w:rsidRPr="009973EE" w:rsidRDefault="001B34C7" w:rsidP="002E33D9">
            <w:pPr>
              <w:spacing w:after="0" w:line="240" w:lineRule="auto"/>
              <w:jc w:val="right"/>
              <w:rPr>
                <w:rFonts w:eastAsia="Times New Roman" w:cs="Calibri"/>
                <w:b/>
                <w:bCs/>
                <w:color w:val="000000"/>
                <w:sz w:val="20"/>
                <w:lang w:eastAsia="sk-SK"/>
              </w:rPr>
            </w:pPr>
            <w:r w:rsidRPr="009973EE">
              <w:rPr>
                <w:rFonts w:eastAsia="Times New Roman" w:cs="Calibri"/>
                <w:b/>
                <w:bCs/>
                <w:color w:val="000000"/>
                <w:sz w:val="20"/>
                <w:lang w:eastAsia="sk-SK"/>
              </w:rPr>
              <w:t>576</w:t>
            </w:r>
          </w:p>
        </w:tc>
        <w:tc>
          <w:tcPr>
            <w:tcW w:w="600" w:type="dxa"/>
            <w:tcBorders>
              <w:top w:val="single" w:sz="4" w:space="0" w:color="auto"/>
              <w:bottom w:val="single" w:sz="4" w:space="0" w:color="auto"/>
            </w:tcBorders>
            <w:shd w:val="clear" w:color="auto" w:fill="auto"/>
            <w:noWrap/>
            <w:vAlign w:val="bottom"/>
            <w:hideMark/>
          </w:tcPr>
          <w:p w14:paraId="551A3189" w14:textId="77777777" w:rsidR="001B34C7" w:rsidRPr="009973EE" w:rsidRDefault="001B34C7" w:rsidP="002E33D9">
            <w:pPr>
              <w:spacing w:after="0" w:line="240" w:lineRule="auto"/>
              <w:jc w:val="right"/>
              <w:rPr>
                <w:rFonts w:eastAsia="Times New Roman" w:cs="Calibri"/>
                <w:b/>
                <w:bCs/>
                <w:color w:val="000000"/>
                <w:sz w:val="20"/>
                <w:lang w:eastAsia="sk-SK"/>
              </w:rPr>
            </w:pPr>
            <w:r w:rsidRPr="009973EE">
              <w:rPr>
                <w:rFonts w:eastAsia="Times New Roman" w:cs="Calibri"/>
                <w:b/>
                <w:bCs/>
                <w:color w:val="000000"/>
                <w:sz w:val="20"/>
                <w:lang w:eastAsia="sk-SK"/>
              </w:rPr>
              <w:t>301</w:t>
            </w:r>
          </w:p>
        </w:tc>
        <w:tc>
          <w:tcPr>
            <w:tcW w:w="600" w:type="dxa"/>
            <w:tcBorders>
              <w:top w:val="single" w:sz="4" w:space="0" w:color="auto"/>
              <w:bottom w:val="single" w:sz="4" w:space="0" w:color="auto"/>
            </w:tcBorders>
            <w:shd w:val="clear" w:color="auto" w:fill="auto"/>
            <w:noWrap/>
            <w:vAlign w:val="bottom"/>
            <w:hideMark/>
          </w:tcPr>
          <w:p w14:paraId="68EB40BD" w14:textId="77777777" w:rsidR="001B34C7" w:rsidRPr="009973EE" w:rsidRDefault="001B34C7" w:rsidP="002E33D9">
            <w:pPr>
              <w:spacing w:after="0" w:line="240" w:lineRule="auto"/>
              <w:jc w:val="right"/>
              <w:rPr>
                <w:rFonts w:eastAsia="Times New Roman" w:cs="Calibri"/>
                <w:b/>
                <w:bCs/>
                <w:color w:val="000000"/>
                <w:sz w:val="20"/>
                <w:lang w:eastAsia="sk-SK"/>
              </w:rPr>
            </w:pPr>
            <w:r w:rsidRPr="009973EE">
              <w:rPr>
                <w:rFonts w:eastAsia="Times New Roman" w:cs="Calibri"/>
                <w:b/>
                <w:bCs/>
                <w:color w:val="000000"/>
                <w:sz w:val="20"/>
                <w:lang w:eastAsia="sk-SK"/>
              </w:rPr>
              <w:t>373,1</w:t>
            </w:r>
          </w:p>
        </w:tc>
        <w:tc>
          <w:tcPr>
            <w:tcW w:w="600" w:type="dxa"/>
            <w:tcBorders>
              <w:top w:val="single" w:sz="4" w:space="0" w:color="auto"/>
              <w:bottom w:val="single" w:sz="4" w:space="0" w:color="auto"/>
            </w:tcBorders>
            <w:shd w:val="clear" w:color="auto" w:fill="auto"/>
            <w:noWrap/>
            <w:vAlign w:val="bottom"/>
            <w:hideMark/>
          </w:tcPr>
          <w:p w14:paraId="241F890D" w14:textId="77777777" w:rsidR="001B34C7" w:rsidRPr="009973EE" w:rsidRDefault="001B34C7" w:rsidP="002E33D9">
            <w:pPr>
              <w:spacing w:after="0" w:line="240" w:lineRule="auto"/>
              <w:jc w:val="right"/>
              <w:rPr>
                <w:rFonts w:eastAsia="Times New Roman" w:cs="Calibri"/>
                <w:b/>
                <w:bCs/>
                <w:color w:val="000000"/>
                <w:sz w:val="20"/>
                <w:lang w:eastAsia="sk-SK"/>
              </w:rPr>
            </w:pPr>
            <w:r w:rsidRPr="009973EE">
              <w:rPr>
                <w:rFonts w:eastAsia="Times New Roman" w:cs="Calibri"/>
                <w:b/>
                <w:bCs/>
                <w:color w:val="000000"/>
                <w:sz w:val="20"/>
                <w:lang w:eastAsia="sk-SK"/>
              </w:rPr>
              <w:t>179</w:t>
            </w:r>
          </w:p>
        </w:tc>
        <w:tc>
          <w:tcPr>
            <w:tcW w:w="832" w:type="dxa"/>
            <w:tcBorders>
              <w:top w:val="single" w:sz="4" w:space="0" w:color="auto"/>
              <w:bottom w:val="single" w:sz="4" w:space="0" w:color="auto"/>
            </w:tcBorders>
            <w:shd w:val="clear" w:color="auto" w:fill="auto"/>
            <w:noWrap/>
            <w:vAlign w:val="bottom"/>
            <w:hideMark/>
          </w:tcPr>
          <w:p w14:paraId="68D96AE6" w14:textId="77777777" w:rsidR="001B34C7" w:rsidRPr="009973EE" w:rsidRDefault="001B34C7" w:rsidP="002E33D9">
            <w:pPr>
              <w:spacing w:after="0" w:line="240" w:lineRule="auto"/>
              <w:jc w:val="right"/>
              <w:rPr>
                <w:rFonts w:eastAsia="Times New Roman" w:cs="Calibri"/>
                <w:b/>
                <w:bCs/>
                <w:color w:val="000000"/>
                <w:sz w:val="20"/>
                <w:lang w:eastAsia="sk-SK"/>
              </w:rPr>
            </w:pPr>
            <w:r w:rsidRPr="009973EE">
              <w:rPr>
                <w:rFonts w:eastAsia="Times New Roman" w:cs="Calibri"/>
                <w:b/>
                <w:bCs/>
                <w:color w:val="000000"/>
                <w:sz w:val="20"/>
                <w:lang w:eastAsia="sk-SK"/>
              </w:rPr>
              <w:t>162,1</w:t>
            </w:r>
          </w:p>
        </w:tc>
        <w:tc>
          <w:tcPr>
            <w:tcW w:w="1043" w:type="dxa"/>
            <w:tcBorders>
              <w:top w:val="single" w:sz="4" w:space="0" w:color="auto"/>
              <w:bottom w:val="single" w:sz="4" w:space="0" w:color="auto"/>
            </w:tcBorders>
            <w:shd w:val="clear" w:color="auto" w:fill="auto"/>
            <w:noWrap/>
            <w:vAlign w:val="bottom"/>
            <w:hideMark/>
          </w:tcPr>
          <w:p w14:paraId="77E6D5B7" w14:textId="77777777" w:rsidR="001B34C7" w:rsidRPr="009973EE" w:rsidRDefault="001B34C7" w:rsidP="002E33D9">
            <w:pPr>
              <w:spacing w:after="0" w:line="240" w:lineRule="auto"/>
              <w:jc w:val="right"/>
              <w:rPr>
                <w:rFonts w:eastAsia="Times New Roman" w:cs="Calibri"/>
                <w:b/>
                <w:bCs/>
                <w:color w:val="000000"/>
                <w:sz w:val="20"/>
                <w:lang w:eastAsia="sk-SK"/>
              </w:rPr>
            </w:pPr>
            <w:r w:rsidRPr="009973EE">
              <w:rPr>
                <w:rFonts w:eastAsia="Times New Roman" w:cs="Calibri"/>
                <w:b/>
                <w:bCs/>
                <w:color w:val="000000"/>
                <w:sz w:val="20"/>
                <w:lang w:eastAsia="sk-SK"/>
              </w:rPr>
              <w:t>59</w:t>
            </w:r>
          </w:p>
        </w:tc>
        <w:tc>
          <w:tcPr>
            <w:tcW w:w="720" w:type="dxa"/>
            <w:tcBorders>
              <w:top w:val="single" w:sz="4" w:space="0" w:color="auto"/>
              <w:bottom w:val="single" w:sz="4" w:space="0" w:color="auto"/>
            </w:tcBorders>
            <w:shd w:val="clear" w:color="auto" w:fill="auto"/>
            <w:noWrap/>
            <w:vAlign w:val="bottom"/>
            <w:hideMark/>
          </w:tcPr>
          <w:p w14:paraId="6DA1B75A" w14:textId="77777777" w:rsidR="001B34C7" w:rsidRPr="009973EE" w:rsidRDefault="001B34C7" w:rsidP="002E33D9">
            <w:pPr>
              <w:spacing w:after="0" w:line="240" w:lineRule="auto"/>
              <w:jc w:val="right"/>
              <w:rPr>
                <w:rFonts w:eastAsia="Times New Roman" w:cs="Calibri"/>
                <w:b/>
                <w:bCs/>
                <w:color w:val="000000"/>
                <w:sz w:val="20"/>
                <w:lang w:eastAsia="sk-SK"/>
              </w:rPr>
            </w:pPr>
            <w:r w:rsidRPr="009973EE">
              <w:rPr>
                <w:rFonts w:eastAsia="Times New Roman" w:cs="Calibri"/>
                <w:b/>
                <w:bCs/>
                <w:color w:val="000000"/>
                <w:sz w:val="20"/>
                <w:lang w:eastAsia="sk-SK"/>
              </w:rPr>
              <w:t>43</w:t>
            </w:r>
          </w:p>
        </w:tc>
        <w:tc>
          <w:tcPr>
            <w:tcW w:w="1074" w:type="dxa"/>
            <w:tcBorders>
              <w:top w:val="single" w:sz="4" w:space="0" w:color="auto"/>
              <w:bottom w:val="single" w:sz="4" w:space="0" w:color="auto"/>
            </w:tcBorders>
            <w:shd w:val="clear" w:color="auto" w:fill="auto"/>
            <w:noWrap/>
            <w:vAlign w:val="bottom"/>
            <w:hideMark/>
          </w:tcPr>
          <w:p w14:paraId="7003EADC" w14:textId="77777777" w:rsidR="001B34C7" w:rsidRPr="009973EE" w:rsidRDefault="001B34C7" w:rsidP="002E33D9">
            <w:pPr>
              <w:spacing w:after="0" w:line="240" w:lineRule="auto"/>
              <w:jc w:val="right"/>
              <w:rPr>
                <w:rFonts w:eastAsia="Times New Roman" w:cs="Calibri"/>
                <w:b/>
                <w:bCs/>
                <w:color w:val="000000"/>
                <w:sz w:val="20"/>
                <w:lang w:eastAsia="sk-SK"/>
              </w:rPr>
            </w:pPr>
            <w:r w:rsidRPr="009973EE">
              <w:rPr>
                <w:rFonts w:eastAsia="Times New Roman" w:cs="Calibri"/>
                <w:b/>
                <w:bCs/>
                <w:color w:val="000000"/>
                <w:sz w:val="20"/>
                <w:lang w:eastAsia="sk-SK"/>
              </w:rPr>
              <w:t>0,6</w:t>
            </w:r>
          </w:p>
        </w:tc>
        <w:tc>
          <w:tcPr>
            <w:tcW w:w="1309" w:type="dxa"/>
            <w:tcBorders>
              <w:top w:val="single" w:sz="4" w:space="0" w:color="auto"/>
              <w:bottom w:val="single" w:sz="4" w:space="0" w:color="auto"/>
            </w:tcBorders>
            <w:shd w:val="clear" w:color="auto" w:fill="auto"/>
            <w:noWrap/>
            <w:vAlign w:val="bottom"/>
            <w:hideMark/>
          </w:tcPr>
          <w:p w14:paraId="6155DACD" w14:textId="77777777" w:rsidR="001B34C7" w:rsidRPr="009973EE" w:rsidRDefault="001B34C7" w:rsidP="002E33D9">
            <w:pPr>
              <w:spacing w:after="0" w:line="240" w:lineRule="auto"/>
              <w:jc w:val="right"/>
              <w:rPr>
                <w:rFonts w:eastAsia="Times New Roman" w:cs="Calibri"/>
                <w:b/>
                <w:bCs/>
                <w:color w:val="000000"/>
                <w:sz w:val="20"/>
                <w:lang w:eastAsia="sk-SK"/>
              </w:rPr>
            </w:pPr>
            <w:r w:rsidRPr="009973EE">
              <w:rPr>
                <w:rFonts w:eastAsia="Times New Roman" w:cs="Calibri"/>
                <w:b/>
                <w:bCs/>
                <w:color w:val="000000"/>
                <w:sz w:val="20"/>
                <w:lang w:eastAsia="sk-SK"/>
              </w:rPr>
              <w:t>122</w:t>
            </w:r>
          </w:p>
        </w:tc>
      </w:tr>
    </w:tbl>
    <w:p w14:paraId="6AE98992" w14:textId="56C7C7C6" w:rsidR="001B34C7" w:rsidRPr="005E51F5" w:rsidRDefault="001B34C7" w:rsidP="001B34C7">
      <w:pPr>
        <w:pStyle w:val="Bezriadkovania"/>
        <w:jc w:val="right"/>
        <w:rPr>
          <w:rFonts w:ascii="Arial Narrow" w:hAnsi="Arial Narrow"/>
          <w:i/>
          <w:iCs/>
          <w:sz w:val="18"/>
          <w:szCs w:val="18"/>
        </w:rPr>
      </w:pPr>
      <w:r w:rsidRPr="009973EE">
        <w:rPr>
          <w:rFonts w:ascii="Arial Narrow" w:hAnsi="Arial Narrow"/>
          <w:i/>
          <w:iCs/>
          <w:sz w:val="18"/>
          <w:szCs w:val="18"/>
        </w:rPr>
        <w:t>Zdroj: Vlastné prepočty IVP na základe údajov</w:t>
      </w:r>
      <w:r>
        <w:rPr>
          <w:rFonts w:ascii="Arial Narrow" w:hAnsi="Arial Narrow"/>
          <w:i/>
          <w:iCs/>
          <w:sz w:val="18"/>
          <w:szCs w:val="18"/>
        </w:rPr>
        <w:t xml:space="preserve"> aplikácie ASIST (máj</w:t>
      </w:r>
      <w:r w:rsidR="0070047D">
        <w:rPr>
          <w:rFonts w:ascii="Arial Narrow" w:hAnsi="Arial Narrow"/>
          <w:i/>
          <w:iCs/>
          <w:sz w:val="18"/>
          <w:szCs w:val="18"/>
        </w:rPr>
        <w:t xml:space="preserve"> </w:t>
      </w:r>
      <w:r>
        <w:rPr>
          <w:rFonts w:ascii="Arial Narrow" w:hAnsi="Arial Narrow"/>
          <w:i/>
          <w:iCs/>
          <w:sz w:val="18"/>
          <w:szCs w:val="18"/>
        </w:rPr>
        <w:t>2018)</w:t>
      </w:r>
      <w:r w:rsidRPr="009973EE">
        <w:rPr>
          <w:rFonts w:ascii="Arial Narrow" w:hAnsi="Arial Narrow"/>
          <w:i/>
          <w:iCs/>
          <w:sz w:val="18"/>
          <w:szCs w:val="18"/>
        </w:rPr>
        <w:t xml:space="preserve"> </w:t>
      </w:r>
      <w:r>
        <w:rPr>
          <w:rFonts w:ascii="Arial Narrow" w:hAnsi="Arial Narrow"/>
          <w:i/>
          <w:iCs/>
          <w:sz w:val="18"/>
          <w:szCs w:val="18"/>
        </w:rPr>
        <w:t xml:space="preserve">a MŠVVŠ </w:t>
      </w:r>
      <w:r w:rsidRPr="009973EE">
        <w:rPr>
          <w:rFonts w:ascii="Arial Narrow" w:hAnsi="Arial Narrow"/>
          <w:i/>
          <w:iCs/>
          <w:sz w:val="18"/>
          <w:szCs w:val="18"/>
        </w:rPr>
        <w:t>SR</w:t>
      </w:r>
      <w:r>
        <w:rPr>
          <w:rFonts w:ascii="Arial Narrow" w:hAnsi="Arial Narrow"/>
          <w:i/>
          <w:iCs/>
          <w:sz w:val="18"/>
          <w:szCs w:val="18"/>
        </w:rPr>
        <w:t xml:space="preserve"> (2018.</w:t>
      </w:r>
    </w:p>
    <w:p w14:paraId="1C4F935D" w14:textId="77777777" w:rsidR="001B34C7" w:rsidRDefault="001B34C7" w:rsidP="001B34C7">
      <w:pPr>
        <w:pStyle w:val="Popis"/>
        <w:rPr>
          <w:b/>
          <w:i w:val="0"/>
          <w:color w:val="2E74B5" w:themeColor="accent1" w:themeShade="BF"/>
          <w:sz w:val="22"/>
        </w:rPr>
      </w:pPr>
    </w:p>
    <w:p w14:paraId="33D50ADD" w14:textId="77777777" w:rsidR="001B34C7" w:rsidRDefault="001B34C7" w:rsidP="001B34C7">
      <w:pPr>
        <w:pStyle w:val="Popis"/>
        <w:rPr>
          <w:b/>
          <w:i w:val="0"/>
          <w:color w:val="2E74B5" w:themeColor="accent1" w:themeShade="BF"/>
          <w:sz w:val="22"/>
        </w:rPr>
      </w:pPr>
      <w:bookmarkStart w:id="1933" w:name="_Ref25844976"/>
      <w:r w:rsidRPr="000C6214">
        <w:rPr>
          <w:b/>
          <w:i w:val="0"/>
          <w:color w:val="2E74B5" w:themeColor="accent1" w:themeShade="BF"/>
          <w:sz w:val="22"/>
        </w:rPr>
        <w:t xml:space="preserve">Príloha </w:t>
      </w:r>
      <w:r w:rsidRPr="00AD2F2A">
        <w:rPr>
          <w:b/>
          <w:i w:val="0"/>
          <w:color w:val="2E74B5" w:themeColor="accent1" w:themeShade="BF"/>
          <w:sz w:val="22"/>
        </w:rPr>
        <w:fldChar w:fldCharType="begin"/>
      </w:r>
      <w:r w:rsidRPr="00AD2F2A">
        <w:rPr>
          <w:b/>
          <w:i w:val="0"/>
          <w:color w:val="2E74B5" w:themeColor="accent1" w:themeShade="BF"/>
          <w:sz w:val="22"/>
        </w:rPr>
        <w:instrText xml:space="preserve"> SEQ Príloha \* ARABIC </w:instrText>
      </w:r>
      <w:r w:rsidRPr="00AD2F2A">
        <w:rPr>
          <w:b/>
          <w:i w:val="0"/>
          <w:color w:val="2E74B5" w:themeColor="accent1" w:themeShade="BF"/>
          <w:sz w:val="22"/>
        </w:rPr>
        <w:fldChar w:fldCharType="separate"/>
      </w:r>
      <w:r w:rsidR="00FA29AF">
        <w:rPr>
          <w:b/>
          <w:i w:val="0"/>
          <w:noProof/>
          <w:color w:val="2E74B5" w:themeColor="accent1" w:themeShade="BF"/>
          <w:sz w:val="22"/>
        </w:rPr>
        <w:t>27</w:t>
      </w:r>
      <w:r w:rsidRPr="00AD2F2A">
        <w:rPr>
          <w:b/>
          <w:i w:val="0"/>
          <w:color w:val="2E74B5" w:themeColor="accent1" w:themeShade="BF"/>
          <w:sz w:val="22"/>
        </w:rPr>
        <w:fldChar w:fldCharType="end"/>
      </w:r>
      <w:bookmarkEnd w:id="1933"/>
      <w:r w:rsidRPr="000C6214">
        <w:rPr>
          <w:b/>
          <w:i w:val="0"/>
          <w:color w:val="2E74B5" w:themeColor="accent1" w:themeShade="BF"/>
          <w:sz w:val="22"/>
        </w:rPr>
        <w:t>: Zmeny v počtoch žiakov s jednotlivými druhmi ZZ v bežných a špeciálnych školách</w:t>
      </w:r>
    </w:p>
    <w:p w14:paraId="0F0E7CFB" w14:textId="77777777" w:rsidR="001B34C7" w:rsidRPr="00015A3F" w:rsidRDefault="001B34C7" w:rsidP="001B34C7">
      <w:pPr>
        <w:spacing w:after="0"/>
        <w:rPr>
          <w:b/>
          <w:sz w:val="20"/>
        </w:rPr>
      </w:pPr>
      <w:r w:rsidRPr="00AF6AB3">
        <w:rPr>
          <w:b/>
          <w:sz w:val="20"/>
        </w:rPr>
        <w:t xml:space="preserve">Tabuľka P </w:t>
      </w:r>
      <w:r w:rsidRPr="00AF6AB3">
        <w:rPr>
          <w:b/>
          <w:sz w:val="20"/>
        </w:rPr>
        <w:fldChar w:fldCharType="begin"/>
      </w:r>
      <w:r w:rsidRPr="00AF6AB3">
        <w:rPr>
          <w:b/>
          <w:sz w:val="20"/>
        </w:rPr>
        <w:instrText xml:space="preserve"> SEQ Tabuľka_P \* ARABIC </w:instrText>
      </w:r>
      <w:r w:rsidRPr="00AF6AB3">
        <w:rPr>
          <w:b/>
          <w:sz w:val="20"/>
        </w:rPr>
        <w:fldChar w:fldCharType="separate"/>
      </w:r>
      <w:r w:rsidR="00FA29AF">
        <w:rPr>
          <w:b/>
          <w:noProof/>
          <w:sz w:val="20"/>
        </w:rPr>
        <w:t>23</w:t>
      </w:r>
      <w:r w:rsidRPr="00AF6AB3">
        <w:rPr>
          <w:b/>
          <w:sz w:val="20"/>
        </w:rPr>
        <w:fldChar w:fldCharType="end"/>
      </w:r>
      <w:r w:rsidRPr="00AF6AB3">
        <w:rPr>
          <w:b/>
          <w:sz w:val="20"/>
        </w:rPr>
        <w:t>:</w:t>
      </w:r>
      <w:r>
        <w:rPr>
          <w:b/>
          <w:sz w:val="20"/>
        </w:rPr>
        <w:t xml:space="preserve"> </w:t>
      </w:r>
      <w:r w:rsidRPr="00015A3F">
        <w:rPr>
          <w:b/>
          <w:sz w:val="20"/>
        </w:rPr>
        <w:t>Zmeny v počtoch žiakov s jednotlivými druhmi ZZ v bežných a špeciálnych školách, 2012-2018</w:t>
      </w:r>
    </w:p>
    <w:tbl>
      <w:tblPr>
        <w:tblW w:w="5000" w:type="pct"/>
        <w:tblLayout w:type="fixed"/>
        <w:tblCellMar>
          <w:left w:w="70" w:type="dxa"/>
          <w:right w:w="70" w:type="dxa"/>
        </w:tblCellMar>
        <w:tblLook w:val="04A0" w:firstRow="1" w:lastRow="0" w:firstColumn="1" w:lastColumn="0" w:noHBand="0" w:noVBand="1"/>
      </w:tblPr>
      <w:tblGrid>
        <w:gridCol w:w="4658"/>
        <w:gridCol w:w="1476"/>
        <w:gridCol w:w="1477"/>
        <w:gridCol w:w="1477"/>
      </w:tblGrid>
      <w:tr w:rsidR="001B34C7" w:rsidRPr="009973EE" w14:paraId="0F495F5A" w14:textId="77777777" w:rsidTr="002E33D9">
        <w:trPr>
          <w:trHeight w:val="284"/>
        </w:trPr>
        <w:tc>
          <w:tcPr>
            <w:tcW w:w="5103" w:type="dxa"/>
            <w:tcBorders>
              <w:top w:val="single" w:sz="4" w:space="0" w:color="auto"/>
            </w:tcBorders>
            <w:shd w:val="clear" w:color="auto" w:fill="auto"/>
            <w:noWrap/>
            <w:vAlign w:val="bottom"/>
            <w:hideMark/>
          </w:tcPr>
          <w:p w14:paraId="39DD619B" w14:textId="77777777" w:rsidR="001B34C7" w:rsidRPr="009973EE" w:rsidRDefault="001B34C7" w:rsidP="002E33D9">
            <w:pPr>
              <w:spacing w:after="0" w:line="240" w:lineRule="auto"/>
              <w:rPr>
                <w:rFonts w:eastAsia="Times New Roman" w:cs="Times New Roman"/>
                <w:sz w:val="20"/>
                <w:lang w:eastAsia="sk-SK"/>
              </w:rPr>
            </w:pPr>
          </w:p>
        </w:tc>
        <w:tc>
          <w:tcPr>
            <w:tcW w:w="4823" w:type="dxa"/>
            <w:gridSpan w:val="3"/>
            <w:tcBorders>
              <w:top w:val="single" w:sz="4" w:space="0" w:color="auto"/>
            </w:tcBorders>
            <w:shd w:val="clear" w:color="auto" w:fill="auto"/>
            <w:noWrap/>
            <w:vAlign w:val="bottom"/>
            <w:hideMark/>
          </w:tcPr>
          <w:p w14:paraId="7CF64887" w14:textId="77777777" w:rsidR="001B34C7" w:rsidRPr="009973EE" w:rsidRDefault="001B34C7" w:rsidP="002E33D9">
            <w:pPr>
              <w:spacing w:after="0" w:line="240" w:lineRule="auto"/>
              <w:jc w:val="center"/>
              <w:rPr>
                <w:rFonts w:eastAsia="Times New Roman" w:cs="Times New Roman"/>
                <w:b/>
                <w:color w:val="000000"/>
                <w:sz w:val="20"/>
                <w:lang w:eastAsia="sk-SK"/>
              </w:rPr>
            </w:pPr>
            <w:r w:rsidRPr="009973EE">
              <w:rPr>
                <w:rFonts w:eastAsia="Times New Roman" w:cs="Times New Roman"/>
                <w:b/>
                <w:color w:val="000000"/>
                <w:sz w:val="20"/>
                <w:lang w:eastAsia="sk-SK"/>
              </w:rPr>
              <w:t>Rozdiel medzi rokmi 2012 a 2018</w:t>
            </w:r>
          </w:p>
        </w:tc>
      </w:tr>
      <w:tr w:rsidR="001B34C7" w:rsidRPr="009973EE" w14:paraId="2EDC5A90" w14:textId="77777777" w:rsidTr="002E33D9">
        <w:trPr>
          <w:trHeight w:val="284"/>
        </w:trPr>
        <w:tc>
          <w:tcPr>
            <w:tcW w:w="5103" w:type="dxa"/>
            <w:tcBorders>
              <w:bottom w:val="single" w:sz="4" w:space="0" w:color="auto"/>
            </w:tcBorders>
            <w:shd w:val="clear" w:color="auto" w:fill="auto"/>
            <w:noWrap/>
            <w:vAlign w:val="bottom"/>
            <w:hideMark/>
          </w:tcPr>
          <w:p w14:paraId="0CDBC05D" w14:textId="77777777" w:rsidR="001B34C7" w:rsidRPr="009973EE" w:rsidRDefault="001B34C7" w:rsidP="002E33D9">
            <w:pPr>
              <w:spacing w:after="0" w:line="240" w:lineRule="auto"/>
              <w:rPr>
                <w:rFonts w:eastAsia="Times New Roman" w:cs="Times New Roman"/>
                <w:color w:val="000000"/>
                <w:sz w:val="20"/>
                <w:lang w:eastAsia="sk-SK"/>
              </w:rPr>
            </w:pPr>
          </w:p>
        </w:tc>
        <w:tc>
          <w:tcPr>
            <w:tcW w:w="1607" w:type="dxa"/>
            <w:tcBorders>
              <w:bottom w:val="single" w:sz="4" w:space="0" w:color="auto"/>
            </w:tcBorders>
            <w:shd w:val="clear" w:color="auto" w:fill="auto"/>
            <w:noWrap/>
            <w:vAlign w:val="bottom"/>
            <w:hideMark/>
          </w:tcPr>
          <w:p w14:paraId="656F59E5" w14:textId="77777777" w:rsidR="001B34C7" w:rsidRPr="009973EE" w:rsidRDefault="001B34C7" w:rsidP="002E33D9">
            <w:pPr>
              <w:spacing w:after="0" w:line="240" w:lineRule="auto"/>
              <w:jc w:val="right"/>
              <w:rPr>
                <w:rFonts w:eastAsia="Times New Roman" w:cs="Times New Roman"/>
                <w:b/>
                <w:color w:val="000000"/>
                <w:sz w:val="20"/>
                <w:lang w:eastAsia="sk-SK"/>
              </w:rPr>
            </w:pPr>
            <w:r w:rsidRPr="009973EE">
              <w:rPr>
                <w:rFonts w:eastAsia="Times New Roman" w:cs="Times New Roman"/>
                <w:b/>
                <w:color w:val="000000"/>
                <w:sz w:val="20"/>
                <w:lang w:eastAsia="sk-SK"/>
              </w:rPr>
              <w:t>ZŠ</w:t>
            </w:r>
          </w:p>
        </w:tc>
        <w:tc>
          <w:tcPr>
            <w:tcW w:w="1608" w:type="dxa"/>
            <w:tcBorders>
              <w:bottom w:val="single" w:sz="4" w:space="0" w:color="auto"/>
            </w:tcBorders>
            <w:shd w:val="clear" w:color="auto" w:fill="auto"/>
            <w:noWrap/>
            <w:vAlign w:val="bottom"/>
            <w:hideMark/>
          </w:tcPr>
          <w:p w14:paraId="7BD8832D" w14:textId="77777777" w:rsidR="001B34C7" w:rsidRPr="009973EE" w:rsidRDefault="001B34C7" w:rsidP="002E33D9">
            <w:pPr>
              <w:spacing w:after="0" w:line="240" w:lineRule="auto"/>
              <w:jc w:val="right"/>
              <w:rPr>
                <w:rFonts w:eastAsia="Times New Roman" w:cs="Times New Roman"/>
                <w:b/>
                <w:color w:val="000000"/>
                <w:sz w:val="20"/>
                <w:lang w:eastAsia="sk-SK"/>
              </w:rPr>
            </w:pPr>
            <w:r w:rsidRPr="009973EE">
              <w:rPr>
                <w:rFonts w:eastAsia="Times New Roman" w:cs="Times New Roman"/>
                <w:b/>
                <w:color w:val="000000"/>
                <w:sz w:val="20"/>
                <w:lang w:eastAsia="sk-SK"/>
              </w:rPr>
              <w:t>ŠZŠ</w:t>
            </w:r>
          </w:p>
        </w:tc>
        <w:tc>
          <w:tcPr>
            <w:tcW w:w="1608" w:type="dxa"/>
            <w:tcBorders>
              <w:bottom w:val="single" w:sz="4" w:space="0" w:color="auto"/>
            </w:tcBorders>
            <w:shd w:val="clear" w:color="auto" w:fill="auto"/>
            <w:noWrap/>
            <w:vAlign w:val="bottom"/>
            <w:hideMark/>
          </w:tcPr>
          <w:p w14:paraId="3C2D3F26" w14:textId="77777777" w:rsidR="001B34C7" w:rsidRPr="009973EE" w:rsidRDefault="001B34C7" w:rsidP="002E33D9">
            <w:pPr>
              <w:spacing w:after="0" w:line="240" w:lineRule="auto"/>
              <w:jc w:val="right"/>
              <w:rPr>
                <w:rFonts w:eastAsia="Times New Roman" w:cs="Times New Roman"/>
                <w:b/>
                <w:color w:val="000000"/>
                <w:sz w:val="20"/>
                <w:lang w:eastAsia="sk-SK"/>
              </w:rPr>
            </w:pPr>
            <w:r w:rsidRPr="009973EE">
              <w:rPr>
                <w:rFonts w:eastAsia="Times New Roman" w:cs="Times New Roman"/>
                <w:b/>
                <w:color w:val="000000"/>
                <w:sz w:val="20"/>
                <w:lang w:eastAsia="sk-SK"/>
              </w:rPr>
              <w:t>Spolu</w:t>
            </w:r>
          </w:p>
        </w:tc>
      </w:tr>
      <w:tr w:rsidR="001B34C7" w:rsidRPr="009973EE" w14:paraId="6EC784E8" w14:textId="77777777" w:rsidTr="002E33D9">
        <w:trPr>
          <w:trHeight w:val="284"/>
        </w:trPr>
        <w:tc>
          <w:tcPr>
            <w:tcW w:w="5103" w:type="dxa"/>
            <w:tcBorders>
              <w:top w:val="single" w:sz="4" w:space="0" w:color="auto"/>
            </w:tcBorders>
            <w:shd w:val="clear" w:color="auto" w:fill="auto"/>
            <w:noWrap/>
            <w:vAlign w:val="bottom"/>
            <w:hideMark/>
          </w:tcPr>
          <w:p w14:paraId="568B2446" w14:textId="77777777" w:rsidR="001B34C7" w:rsidRPr="005F7254" w:rsidRDefault="001B34C7" w:rsidP="002E33D9">
            <w:pPr>
              <w:spacing w:after="0" w:line="240" w:lineRule="auto"/>
              <w:rPr>
                <w:rFonts w:eastAsia="Times New Roman" w:cs="Times New Roman"/>
                <w:color w:val="000000"/>
                <w:sz w:val="20"/>
                <w:lang w:eastAsia="sk-SK"/>
              </w:rPr>
            </w:pPr>
            <w:r w:rsidRPr="005F7254">
              <w:rPr>
                <w:rFonts w:eastAsia="Times New Roman" w:cs="Times New Roman"/>
                <w:color w:val="000000"/>
                <w:sz w:val="20"/>
                <w:lang w:eastAsia="sk-SK"/>
              </w:rPr>
              <w:t>Vývinové poruchy aktivity a pozornosti</w:t>
            </w:r>
          </w:p>
        </w:tc>
        <w:tc>
          <w:tcPr>
            <w:tcW w:w="1607" w:type="dxa"/>
            <w:tcBorders>
              <w:top w:val="single" w:sz="4" w:space="0" w:color="auto"/>
            </w:tcBorders>
            <w:shd w:val="clear" w:color="auto" w:fill="auto"/>
            <w:noWrap/>
            <w:vAlign w:val="bottom"/>
            <w:hideMark/>
          </w:tcPr>
          <w:p w14:paraId="32FB62BA"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3903</w:t>
            </w:r>
          </w:p>
        </w:tc>
        <w:tc>
          <w:tcPr>
            <w:tcW w:w="1608" w:type="dxa"/>
            <w:tcBorders>
              <w:top w:val="single" w:sz="4" w:space="0" w:color="auto"/>
            </w:tcBorders>
            <w:shd w:val="clear" w:color="auto" w:fill="auto"/>
            <w:noWrap/>
            <w:vAlign w:val="bottom"/>
            <w:hideMark/>
          </w:tcPr>
          <w:p w14:paraId="7107567B"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0</w:t>
            </w:r>
          </w:p>
        </w:tc>
        <w:tc>
          <w:tcPr>
            <w:tcW w:w="1608" w:type="dxa"/>
            <w:tcBorders>
              <w:top w:val="single" w:sz="4" w:space="0" w:color="auto"/>
            </w:tcBorders>
            <w:shd w:val="clear" w:color="auto" w:fill="auto"/>
            <w:noWrap/>
            <w:vAlign w:val="bottom"/>
            <w:hideMark/>
          </w:tcPr>
          <w:p w14:paraId="418D8F84"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3903</w:t>
            </w:r>
          </w:p>
        </w:tc>
      </w:tr>
      <w:tr w:rsidR="001B34C7" w:rsidRPr="009973EE" w14:paraId="2A8F6B12" w14:textId="77777777" w:rsidTr="002E33D9">
        <w:trPr>
          <w:trHeight w:val="284"/>
        </w:trPr>
        <w:tc>
          <w:tcPr>
            <w:tcW w:w="5103" w:type="dxa"/>
            <w:shd w:val="clear" w:color="auto" w:fill="auto"/>
            <w:noWrap/>
            <w:vAlign w:val="bottom"/>
            <w:hideMark/>
          </w:tcPr>
          <w:p w14:paraId="77429CD5" w14:textId="77777777" w:rsidR="001B34C7" w:rsidRPr="005F7254" w:rsidRDefault="001B34C7" w:rsidP="002E33D9">
            <w:pPr>
              <w:spacing w:after="0" w:line="240" w:lineRule="auto"/>
              <w:rPr>
                <w:rFonts w:eastAsia="Times New Roman" w:cs="Times New Roman"/>
                <w:color w:val="000000"/>
                <w:sz w:val="20"/>
                <w:lang w:eastAsia="sk-SK"/>
              </w:rPr>
            </w:pPr>
            <w:r w:rsidRPr="005F7254">
              <w:rPr>
                <w:rFonts w:eastAsia="Times New Roman" w:cs="Times New Roman"/>
                <w:color w:val="000000"/>
                <w:sz w:val="20"/>
                <w:lang w:eastAsia="sk-SK"/>
              </w:rPr>
              <w:t>Vývinové poruchy učenia</w:t>
            </w:r>
          </w:p>
        </w:tc>
        <w:tc>
          <w:tcPr>
            <w:tcW w:w="1607" w:type="dxa"/>
            <w:shd w:val="clear" w:color="auto" w:fill="auto"/>
            <w:noWrap/>
            <w:vAlign w:val="bottom"/>
            <w:hideMark/>
          </w:tcPr>
          <w:p w14:paraId="51878E97"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2063</w:t>
            </w:r>
          </w:p>
        </w:tc>
        <w:tc>
          <w:tcPr>
            <w:tcW w:w="1608" w:type="dxa"/>
            <w:shd w:val="clear" w:color="auto" w:fill="auto"/>
            <w:noWrap/>
            <w:vAlign w:val="bottom"/>
            <w:hideMark/>
          </w:tcPr>
          <w:p w14:paraId="58761065"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140</w:t>
            </w:r>
          </w:p>
        </w:tc>
        <w:tc>
          <w:tcPr>
            <w:tcW w:w="1608" w:type="dxa"/>
            <w:shd w:val="clear" w:color="auto" w:fill="auto"/>
            <w:noWrap/>
            <w:vAlign w:val="bottom"/>
            <w:hideMark/>
          </w:tcPr>
          <w:p w14:paraId="445FCEDA"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2203</w:t>
            </w:r>
          </w:p>
        </w:tc>
      </w:tr>
      <w:tr w:rsidR="001B34C7" w:rsidRPr="009973EE" w14:paraId="3987C651" w14:textId="77777777" w:rsidTr="002E33D9">
        <w:trPr>
          <w:trHeight w:val="284"/>
        </w:trPr>
        <w:tc>
          <w:tcPr>
            <w:tcW w:w="5103" w:type="dxa"/>
            <w:shd w:val="clear" w:color="auto" w:fill="auto"/>
            <w:noWrap/>
            <w:vAlign w:val="bottom"/>
            <w:hideMark/>
          </w:tcPr>
          <w:p w14:paraId="5B0B5E44" w14:textId="77777777" w:rsidR="001B34C7" w:rsidRPr="005F7254" w:rsidRDefault="001B34C7" w:rsidP="002E33D9">
            <w:pPr>
              <w:spacing w:after="0" w:line="240" w:lineRule="auto"/>
              <w:rPr>
                <w:rFonts w:eastAsia="Times New Roman" w:cs="Times New Roman"/>
                <w:color w:val="000000"/>
                <w:sz w:val="20"/>
                <w:lang w:eastAsia="sk-SK"/>
              </w:rPr>
            </w:pPr>
            <w:r w:rsidRPr="005F7254">
              <w:rPr>
                <w:rFonts w:eastAsia="Times New Roman" w:cs="Times New Roman"/>
                <w:color w:val="000000"/>
                <w:sz w:val="20"/>
                <w:lang w:eastAsia="sk-SK"/>
              </w:rPr>
              <w:t>Narušená komunikačná schopnosť</w:t>
            </w:r>
          </w:p>
        </w:tc>
        <w:tc>
          <w:tcPr>
            <w:tcW w:w="1607" w:type="dxa"/>
            <w:shd w:val="clear" w:color="auto" w:fill="auto"/>
            <w:noWrap/>
            <w:vAlign w:val="bottom"/>
            <w:hideMark/>
          </w:tcPr>
          <w:p w14:paraId="5E2C308A"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1428</w:t>
            </w:r>
          </w:p>
        </w:tc>
        <w:tc>
          <w:tcPr>
            <w:tcW w:w="1608" w:type="dxa"/>
            <w:shd w:val="clear" w:color="auto" w:fill="auto"/>
            <w:noWrap/>
            <w:vAlign w:val="bottom"/>
            <w:hideMark/>
          </w:tcPr>
          <w:p w14:paraId="604F162B"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326</w:t>
            </w:r>
          </w:p>
        </w:tc>
        <w:tc>
          <w:tcPr>
            <w:tcW w:w="1608" w:type="dxa"/>
            <w:shd w:val="clear" w:color="auto" w:fill="auto"/>
            <w:noWrap/>
            <w:vAlign w:val="bottom"/>
            <w:hideMark/>
          </w:tcPr>
          <w:p w14:paraId="55124902"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1754</w:t>
            </w:r>
          </w:p>
        </w:tc>
      </w:tr>
      <w:tr w:rsidR="001B34C7" w:rsidRPr="009973EE" w14:paraId="261D93D8" w14:textId="77777777" w:rsidTr="002E33D9">
        <w:trPr>
          <w:trHeight w:val="284"/>
        </w:trPr>
        <w:tc>
          <w:tcPr>
            <w:tcW w:w="5103" w:type="dxa"/>
            <w:shd w:val="clear" w:color="auto" w:fill="auto"/>
            <w:noWrap/>
            <w:vAlign w:val="bottom"/>
            <w:hideMark/>
          </w:tcPr>
          <w:p w14:paraId="28CFDD2E" w14:textId="77777777" w:rsidR="001B34C7" w:rsidRPr="005F7254" w:rsidRDefault="001B34C7" w:rsidP="002E33D9">
            <w:pPr>
              <w:spacing w:after="0" w:line="240" w:lineRule="auto"/>
              <w:rPr>
                <w:rFonts w:eastAsia="Times New Roman" w:cs="Times New Roman"/>
                <w:color w:val="000000"/>
                <w:sz w:val="20"/>
                <w:lang w:eastAsia="sk-SK"/>
              </w:rPr>
            </w:pPr>
            <w:r w:rsidRPr="005F7254">
              <w:rPr>
                <w:rFonts w:eastAsia="Times New Roman" w:cs="Times New Roman"/>
                <w:color w:val="000000"/>
                <w:sz w:val="20"/>
                <w:lang w:eastAsia="sk-SK"/>
              </w:rPr>
              <w:t>S autizmom</w:t>
            </w:r>
          </w:p>
        </w:tc>
        <w:tc>
          <w:tcPr>
            <w:tcW w:w="1607" w:type="dxa"/>
            <w:shd w:val="clear" w:color="auto" w:fill="auto"/>
            <w:noWrap/>
            <w:vAlign w:val="bottom"/>
            <w:hideMark/>
          </w:tcPr>
          <w:p w14:paraId="4964F9B0"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539</w:t>
            </w:r>
          </w:p>
        </w:tc>
        <w:tc>
          <w:tcPr>
            <w:tcW w:w="1608" w:type="dxa"/>
            <w:shd w:val="clear" w:color="auto" w:fill="auto"/>
            <w:noWrap/>
            <w:vAlign w:val="bottom"/>
            <w:hideMark/>
          </w:tcPr>
          <w:p w14:paraId="41CBB5D2"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0</w:t>
            </w:r>
          </w:p>
        </w:tc>
        <w:tc>
          <w:tcPr>
            <w:tcW w:w="1608" w:type="dxa"/>
            <w:shd w:val="clear" w:color="auto" w:fill="auto"/>
            <w:noWrap/>
            <w:vAlign w:val="bottom"/>
            <w:hideMark/>
          </w:tcPr>
          <w:p w14:paraId="3F0B0DCF"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539</w:t>
            </w:r>
          </w:p>
        </w:tc>
      </w:tr>
      <w:tr w:rsidR="001B34C7" w:rsidRPr="009973EE" w14:paraId="6CD66B80" w14:textId="77777777" w:rsidTr="002E33D9">
        <w:trPr>
          <w:trHeight w:val="284"/>
        </w:trPr>
        <w:tc>
          <w:tcPr>
            <w:tcW w:w="5103" w:type="dxa"/>
            <w:shd w:val="clear" w:color="auto" w:fill="auto"/>
            <w:noWrap/>
            <w:vAlign w:val="bottom"/>
            <w:hideMark/>
          </w:tcPr>
          <w:p w14:paraId="57BD908C" w14:textId="77777777" w:rsidR="001B34C7" w:rsidRPr="005F7254" w:rsidRDefault="001B34C7" w:rsidP="002E33D9">
            <w:pPr>
              <w:spacing w:after="0" w:line="240" w:lineRule="auto"/>
              <w:rPr>
                <w:rFonts w:eastAsia="Times New Roman" w:cs="Times New Roman"/>
                <w:color w:val="000000"/>
                <w:sz w:val="20"/>
                <w:lang w:eastAsia="sk-SK"/>
              </w:rPr>
            </w:pPr>
            <w:r w:rsidRPr="005F7254">
              <w:rPr>
                <w:rFonts w:eastAsia="Times New Roman" w:cs="Times New Roman"/>
                <w:color w:val="000000"/>
                <w:sz w:val="20"/>
                <w:lang w:eastAsia="sk-SK"/>
              </w:rPr>
              <w:t>Viacnásobne postihnutí</w:t>
            </w:r>
          </w:p>
        </w:tc>
        <w:tc>
          <w:tcPr>
            <w:tcW w:w="1607" w:type="dxa"/>
            <w:shd w:val="clear" w:color="auto" w:fill="auto"/>
            <w:noWrap/>
            <w:vAlign w:val="bottom"/>
            <w:hideMark/>
          </w:tcPr>
          <w:p w14:paraId="1E5F24DA"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345</w:t>
            </w:r>
          </w:p>
        </w:tc>
        <w:tc>
          <w:tcPr>
            <w:tcW w:w="1608" w:type="dxa"/>
            <w:shd w:val="clear" w:color="auto" w:fill="auto"/>
            <w:noWrap/>
            <w:vAlign w:val="bottom"/>
            <w:hideMark/>
          </w:tcPr>
          <w:p w14:paraId="43157871"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0</w:t>
            </w:r>
          </w:p>
        </w:tc>
        <w:tc>
          <w:tcPr>
            <w:tcW w:w="1608" w:type="dxa"/>
            <w:shd w:val="clear" w:color="auto" w:fill="auto"/>
            <w:noWrap/>
            <w:vAlign w:val="bottom"/>
            <w:hideMark/>
          </w:tcPr>
          <w:p w14:paraId="29BA5833"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345</w:t>
            </w:r>
          </w:p>
        </w:tc>
      </w:tr>
      <w:tr w:rsidR="001B34C7" w:rsidRPr="009973EE" w14:paraId="605F66B0" w14:textId="77777777" w:rsidTr="002E33D9">
        <w:trPr>
          <w:trHeight w:val="284"/>
        </w:trPr>
        <w:tc>
          <w:tcPr>
            <w:tcW w:w="5103" w:type="dxa"/>
            <w:shd w:val="clear" w:color="auto" w:fill="auto"/>
            <w:noWrap/>
            <w:vAlign w:val="bottom"/>
            <w:hideMark/>
          </w:tcPr>
          <w:p w14:paraId="78E6F892" w14:textId="77777777" w:rsidR="001B34C7" w:rsidRPr="005F7254" w:rsidRDefault="001B34C7" w:rsidP="002E33D9">
            <w:pPr>
              <w:spacing w:after="0" w:line="240" w:lineRule="auto"/>
              <w:rPr>
                <w:rFonts w:eastAsia="Times New Roman" w:cs="Times New Roman"/>
                <w:color w:val="000000"/>
                <w:sz w:val="20"/>
                <w:lang w:eastAsia="sk-SK"/>
              </w:rPr>
            </w:pPr>
            <w:r w:rsidRPr="005F7254">
              <w:rPr>
                <w:rFonts w:eastAsia="Times New Roman" w:cs="Times New Roman"/>
                <w:color w:val="000000"/>
                <w:sz w:val="20"/>
                <w:lang w:eastAsia="sk-SK"/>
              </w:rPr>
              <w:t>Chorí a zdravotne oslabení</w:t>
            </w:r>
          </w:p>
        </w:tc>
        <w:tc>
          <w:tcPr>
            <w:tcW w:w="1607" w:type="dxa"/>
            <w:shd w:val="clear" w:color="auto" w:fill="auto"/>
            <w:noWrap/>
            <w:vAlign w:val="bottom"/>
            <w:hideMark/>
          </w:tcPr>
          <w:p w14:paraId="4FDAE89B"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276</w:t>
            </w:r>
          </w:p>
        </w:tc>
        <w:tc>
          <w:tcPr>
            <w:tcW w:w="1608" w:type="dxa"/>
            <w:shd w:val="clear" w:color="auto" w:fill="auto"/>
            <w:noWrap/>
            <w:vAlign w:val="bottom"/>
            <w:hideMark/>
          </w:tcPr>
          <w:p w14:paraId="1C1A6DFC"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0</w:t>
            </w:r>
          </w:p>
        </w:tc>
        <w:tc>
          <w:tcPr>
            <w:tcW w:w="1608" w:type="dxa"/>
            <w:shd w:val="clear" w:color="auto" w:fill="auto"/>
            <w:noWrap/>
            <w:vAlign w:val="bottom"/>
            <w:hideMark/>
          </w:tcPr>
          <w:p w14:paraId="3CFA10B3"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276</w:t>
            </w:r>
          </w:p>
        </w:tc>
      </w:tr>
      <w:tr w:rsidR="001B34C7" w:rsidRPr="009973EE" w14:paraId="3C1C3A39" w14:textId="77777777" w:rsidTr="002E33D9">
        <w:trPr>
          <w:trHeight w:val="284"/>
        </w:trPr>
        <w:tc>
          <w:tcPr>
            <w:tcW w:w="5103" w:type="dxa"/>
            <w:shd w:val="clear" w:color="auto" w:fill="auto"/>
            <w:noWrap/>
            <w:vAlign w:val="bottom"/>
            <w:hideMark/>
          </w:tcPr>
          <w:p w14:paraId="46F3489A" w14:textId="77777777" w:rsidR="001B34C7" w:rsidRPr="005F7254" w:rsidRDefault="001B34C7" w:rsidP="002E33D9">
            <w:pPr>
              <w:spacing w:after="0" w:line="240" w:lineRule="auto"/>
              <w:rPr>
                <w:rFonts w:eastAsia="Times New Roman" w:cs="Times New Roman"/>
                <w:color w:val="000000"/>
                <w:sz w:val="20"/>
                <w:lang w:eastAsia="sk-SK"/>
              </w:rPr>
            </w:pPr>
            <w:r w:rsidRPr="005F7254">
              <w:rPr>
                <w:rFonts w:eastAsia="Times New Roman" w:cs="Times New Roman"/>
                <w:color w:val="000000"/>
                <w:sz w:val="20"/>
                <w:lang w:eastAsia="sk-SK"/>
              </w:rPr>
              <w:t>Mentálne postihnutí variant B</w:t>
            </w:r>
          </w:p>
        </w:tc>
        <w:tc>
          <w:tcPr>
            <w:tcW w:w="1607" w:type="dxa"/>
            <w:shd w:val="clear" w:color="auto" w:fill="auto"/>
            <w:noWrap/>
            <w:vAlign w:val="bottom"/>
            <w:hideMark/>
          </w:tcPr>
          <w:p w14:paraId="7E350D8A"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112</w:t>
            </w:r>
          </w:p>
        </w:tc>
        <w:tc>
          <w:tcPr>
            <w:tcW w:w="1608" w:type="dxa"/>
            <w:shd w:val="clear" w:color="auto" w:fill="auto"/>
            <w:noWrap/>
            <w:vAlign w:val="bottom"/>
            <w:hideMark/>
          </w:tcPr>
          <w:p w14:paraId="54555FEB"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177</w:t>
            </w:r>
          </w:p>
        </w:tc>
        <w:tc>
          <w:tcPr>
            <w:tcW w:w="1608" w:type="dxa"/>
            <w:shd w:val="clear" w:color="auto" w:fill="auto"/>
            <w:noWrap/>
            <w:vAlign w:val="bottom"/>
            <w:hideMark/>
          </w:tcPr>
          <w:p w14:paraId="6A4D8CB7"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289</w:t>
            </w:r>
          </w:p>
        </w:tc>
      </w:tr>
      <w:tr w:rsidR="001B34C7" w:rsidRPr="009973EE" w14:paraId="09C831F3" w14:textId="77777777" w:rsidTr="002E33D9">
        <w:trPr>
          <w:trHeight w:val="284"/>
        </w:trPr>
        <w:tc>
          <w:tcPr>
            <w:tcW w:w="5103" w:type="dxa"/>
            <w:shd w:val="clear" w:color="auto" w:fill="auto"/>
            <w:noWrap/>
            <w:vAlign w:val="bottom"/>
            <w:hideMark/>
          </w:tcPr>
          <w:p w14:paraId="21F26C35" w14:textId="77777777" w:rsidR="001B34C7" w:rsidRPr="005F7254" w:rsidRDefault="001B34C7" w:rsidP="002E33D9">
            <w:pPr>
              <w:spacing w:after="0" w:line="240" w:lineRule="auto"/>
              <w:rPr>
                <w:rFonts w:eastAsia="Times New Roman" w:cs="Times New Roman"/>
                <w:color w:val="000000"/>
                <w:sz w:val="20"/>
                <w:lang w:eastAsia="sk-SK"/>
              </w:rPr>
            </w:pPr>
            <w:r w:rsidRPr="005F7254">
              <w:rPr>
                <w:rFonts w:eastAsia="Times New Roman" w:cs="Times New Roman"/>
                <w:color w:val="000000"/>
                <w:sz w:val="20"/>
                <w:lang w:eastAsia="sk-SK"/>
              </w:rPr>
              <w:t>Sluchovo postihnutí</w:t>
            </w:r>
          </w:p>
        </w:tc>
        <w:tc>
          <w:tcPr>
            <w:tcW w:w="1607" w:type="dxa"/>
            <w:shd w:val="clear" w:color="auto" w:fill="auto"/>
            <w:noWrap/>
            <w:vAlign w:val="bottom"/>
            <w:hideMark/>
          </w:tcPr>
          <w:p w14:paraId="6C2DFC60"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105</w:t>
            </w:r>
          </w:p>
        </w:tc>
        <w:tc>
          <w:tcPr>
            <w:tcW w:w="1608" w:type="dxa"/>
            <w:shd w:val="clear" w:color="auto" w:fill="auto"/>
            <w:noWrap/>
            <w:vAlign w:val="bottom"/>
            <w:hideMark/>
          </w:tcPr>
          <w:p w14:paraId="3B37E7E3"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-3</w:t>
            </w:r>
          </w:p>
        </w:tc>
        <w:tc>
          <w:tcPr>
            <w:tcW w:w="1608" w:type="dxa"/>
            <w:shd w:val="clear" w:color="auto" w:fill="auto"/>
            <w:noWrap/>
            <w:vAlign w:val="bottom"/>
            <w:hideMark/>
          </w:tcPr>
          <w:p w14:paraId="6AC7B06D"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102</w:t>
            </w:r>
          </w:p>
        </w:tc>
      </w:tr>
      <w:tr w:rsidR="001B34C7" w:rsidRPr="009973EE" w14:paraId="18C38C53" w14:textId="77777777" w:rsidTr="002E33D9">
        <w:trPr>
          <w:trHeight w:val="284"/>
        </w:trPr>
        <w:tc>
          <w:tcPr>
            <w:tcW w:w="5103" w:type="dxa"/>
            <w:shd w:val="clear" w:color="auto" w:fill="auto"/>
            <w:noWrap/>
            <w:vAlign w:val="bottom"/>
            <w:hideMark/>
          </w:tcPr>
          <w:p w14:paraId="6030DD90" w14:textId="77777777" w:rsidR="001B34C7" w:rsidRPr="005F7254" w:rsidRDefault="001B34C7" w:rsidP="002E33D9">
            <w:pPr>
              <w:spacing w:after="0" w:line="240" w:lineRule="auto"/>
              <w:rPr>
                <w:rFonts w:eastAsia="Times New Roman" w:cs="Times New Roman"/>
                <w:color w:val="000000"/>
                <w:sz w:val="20"/>
                <w:lang w:eastAsia="sk-SK"/>
              </w:rPr>
            </w:pPr>
            <w:r w:rsidRPr="005F7254">
              <w:rPr>
                <w:rFonts w:eastAsia="Times New Roman" w:cs="Times New Roman"/>
                <w:color w:val="000000"/>
                <w:sz w:val="20"/>
                <w:lang w:eastAsia="sk-SK"/>
              </w:rPr>
              <w:t>Zrakovo postihnutí</w:t>
            </w:r>
          </w:p>
        </w:tc>
        <w:tc>
          <w:tcPr>
            <w:tcW w:w="1607" w:type="dxa"/>
            <w:shd w:val="clear" w:color="auto" w:fill="auto"/>
            <w:noWrap/>
            <w:vAlign w:val="bottom"/>
            <w:hideMark/>
          </w:tcPr>
          <w:p w14:paraId="4DB0D68C"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32</w:t>
            </w:r>
          </w:p>
        </w:tc>
        <w:tc>
          <w:tcPr>
            <w:tcW w:w="1608" w:type="dxa"/>
            <w:shd w:val="clear" w:color="auto" w:fill="auto"/>
            <w:noWrap/>
            <w:vAlign w:val="bottom"/>
            <w:hideMark/>
          </w:tcPr>
          <w:p w14:paraId="14238EA8"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-13</w:t>
            </w:r>
          </w:p>
        </w:tc>
        <w:tc>
          <w:tcPr>
            <w:tcW w:w="1608" w:type="dxa"/>
            <w:shd w:val="clear" w:color="auto" w:fill="auto"/>
            <w:noWrap/>
            <w:vAlign w:val="bottom"/>
            <w:hideMark/>
          </w:tcPr>
          <w:p w14:paraId="332475AF"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19</w:t>
            </w:r>
          </w:p>
        </w:tc>
      </w:tr>
      <w:tr w:rsidR="001B34C7" w:rsidRPr="009973EE" w14:paraId="2A51F93E" w14:textId="77777777" w:rsidTr="002E33D9">
        <w:trPr>
          <w:trHeight w:val="284"/>
        </w:trPr>
        <w:tc>
          <w:tcPr>
            <w:tcW w:w="5103" w:type="dxa"/>
            <w:shd w:val="clear" w:color="auto" w:fill="auto"/>
            <w:noWrap/>
            <w:vAlign w:val="bottom"/>
            <w:hideMark/>
          </w:tcPr>
          <w:p w14:paraId="20EB0626" w14:textId="77777777" w:rsidR="001B34C7" w:rsidRPr="005F7254" w:rsidRDefault="001B34C7" w:rsidP="002E33D9">
            <w:pPr>
              <w:spacing w:after="0" w:line="240" w:lineRule="auto"/>
              <w:rPr>
                <w:rFonts w:eastAsia="Times New Roman" w:cs="Times New Roman"/>
                <w:color w:val="000000"/>
                <w:sz w:val="20"/>
                <w:lang w:eastAsia="sk-SK"/>
              </w:rPr>
            </w:pPr>
            <w:r w:rsidRPr="005F7254">
              <w:rPr>
                <w:rFonts w:eastAsia="Times New Roman" w:cs="Times New Roman"/>
                <w:color w:val="000000"/>
                <w:sz w:val="20"/>
                <w:lang w:eastAsia="sk-SK"/>
              </w:rPr>
              <w:t>Mentálne postihnutí variant A v kombinácii s iným ZZ</w:t>
            </w:r>
          </w:p>
        </w:tc>
        <w:tc>
          <w:tcPr>
            <w:tcW w:w="1607" w:type="dxa"/>
            <w:shd w:val="clear" w:color="auto" w:fill="auto"/>
            <w:noWrap/>
            <w:vAlign w:val="bottom"/>
            <w:hideMark/>
          </w:tcPr>
          <w:p w14:paraId="7357A9E8"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11</w:t>
            </w:r>
          </w:p>
        </w:tc>
        <w:tc>
          <w:tcPr>
            <w:tcW w:w="1608" w:type="dxa"/>
            <w:shd w:val="clear" w:color="auto" w:fill="auto"/>
            <w:noWrap/>
            <w:vAlign w:val="bottom"/>
            <w:hideMark/>
          </w:tcPr>
          <w:p w14:paraId="051E1BC7"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245</w:t>
            </w:r>
          </w:p>
        </w:tc>
        <w:tc>
          <w:tcPr>
            <w:tcW w:w="1608" w:type="dxa"/>
            <w:shd w:val="clear" w:color="auto" w:fill="auto"/>
            <w:noWrap/>
            <w:vAlign w:val="bottom"/>
            <w:hideMark/>
          </w:tcPr>
          <w:p w14:paraId="6F1C4362"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256</w:t>
            </w:r>
          </w:p>
        </w:tc>
      </w:tr>
      <w:tr w:rsidR="001B34C7" w:rsidRPr="009973EE" w14:paraId="1343EA64" w14:textId="77777777" w:rsidTr="002E33D9">
        <w:trPr>
          <w:trHeight w:val="284"/>
        </w:trPr>
        <w:tc>
          <w:tcPr>
            <w:tcW w:w="5103" w:type="dxa"/>
            <w:shd w:val="clear" w:color="auto" w:fill="auto"/>
            <w:noWrap/>
            <w:vAlign w:val="bottom"/>
            <w:hideMark/>
          </w:tcPr>
          <w:p w14:paraId="25D39611" w14:textId="77777777" w:rsidR="001B34C7" w:rsidRPr="005F7254" w:rsidRDefault="001B34C7" w:rsidP="002E33D9">
            <w:pPr>
              <w:spacing w:after="0" w:line="240" w:lineRule="auto"/>
              <w:rPr>
                <w:rFonts w:eastAsia="Times New Roman" w:cs="Times New Roman"/>
                <w:color w:val="000000"/>
                <w:sz w:val="20"/>
                <w:lang w:eastAsia="sk-SK"/>
              </w:rPr>
            </w:pPr>
            <w:r w:rsidRPr="005F7254">
              <w:rPr>
                <w:rFonts w:eastAsia="Times New Roman" w:cs="Times New Roman"/>
                <w:color w:val="000000"/>
                <w:sz w:val="20"/>
                <w:lang w:eastAsia="sk-SK"/>
              </w:rPr>
              <w:t>Mentálne postihnutí variant C</w:t>
            </w:r>
          </w:p>
        </w:tc>
        <w:tc>
          <w:tcPr>
            <w:tcW w:w="1607" w:type="dxa"/>
            <w:shd w:val="clear" w:color="auto" w:fill="auto"/>
            <w:noWrap/>
            <w:vAlign w:val="bottom"/>
            <w:hideMark/>
          </w:tcPr>
          <w:p w14:paraId="4130DC26"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3</w:t>
            </w:r>
          </w:p>
        </w:tc>
        <w:tc>
          <w:tcPr>
            <w:tcW w:w="1608" w:type="dxa"/>
            <w:shd w:val="clear" w:color="auto" w:fill="auto"/>
            <w:noWrap/>
            <w:vAlign w:val="bottom"/>
            <w:hideMark/>
          </w:tcPr>
          <w:p w14:paraId="0A7A6CB5"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-121</w:t>
            </w:r>
          </w:p>
        </w:tc>
        <w:tc>
          <w:tcPr>
            <w:tcW w:w="1608" w:type="dxa"/>
            <w:shd w:val="clear" w:color="auto" w:fill="auto"/>
            <w:noWrap/>
            <w:vAlign w:val="bottom"/>
            <w:hideMark/>
          </w:tcPr>
          <w:p w14:paraId="15A9197F"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-117</w:t>
            </w:r>
          </w:p>
        </w:tc>
      </w:tr>
      <w:tr w:rsidR="001B34C7" w:rsidRPr="009973EE" w14:paraId="71774A3D" w14:textId="77777777" w:rsidTr="002E33D9">
        <w:trPr>
          <w:trHeight w:val="284"/>
        </w:trPr>
        <w:tc>
          <w:tcPr>
            <w:tcW w:w="5103" w:type="dxa"/>
            <w:shd w:val="clear" w:color="auto" w:fill="auto"/>
            <w:noWrap/>
            <w:vAlign w:val="bottom"/>
            <w:hideMark/>
          </w:tcPr>
          <w:p w14:paraId="2F83BC38" w14:textId="77777777" w:rsidR="001B34C7" w:rsidRPr="005F7254" w:rsidRDefault="001B34C7" w:rsidP="002E33D9">
            <w:pPr>
              <w:spacing w:after="0" w:line="240" w:lineRule="auto"/>
              <w:rPr>
                <w:rFonts w:eastAsia="Times New Roman" w:cs="Times New Roman"/>
                <w:color w:val="000000"/>
                <w:sz w:val="20"/>
                <w:lang w:eastAsia="sk-SK"/>
              </w:rPr>
            </w:pPr>
            <w:r w:rsidRPr="005F7254">
              <w:rPr>
                <w:rFonts w:eastAsia="Times New Roman" w:cs="Times New Roman"/>
                <w:color w:val="000000"/>
                <w:sz w:val="20"/>
                <w:lang w:eastAsia="sk-SK"/>
              </w:rPr>
              <w:t>Mentálne postihnutí variant C v kombinácii s iným ZZ</w:t>
            </w:r>
          </w:p>
        </w:tc>
        <w:tc>
          <w:tcPr>
            <w:tcW w:w="1607" w:type="dxa"/>
            <w:shd w:val="clear" w:color="auto" w:fill="auto"/>
            <w:noWrap/>
            <w:vAlign w:val="bottom"/>
            <w:hideMark/>
          </w:tcPr>
          <w:p w14:paraId="6BD88B87"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-11</w:t>
            </w:r>
          </w:p>
        </w:tc>
        <w:tc>
          <w:tcPr>
            <w:tcW w:w="1608" w:type="dxa"/>
            <w:shd w:val="clear" w:color="auto" w:fill="auto"/>
            <w:noWrap/>
            <w:vAlign w:val="bottom"/>
            <w:hideMark/>
          </w:tcPr>
          <w:p w14:paraId="6D6DBC6A"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-184</w:t>
            </w:r>
          </w:p>
        </w:tc>
        <w:tc>
          <w:tcPr>
            <w:tcW w:w="1608" w:type="dxa"/>
            <w:shd w:val="clear" w:color="auto" w:fill="auto"/>
            <w:noWrap/>
            <w:vAlign w:val="bottom"/>
            <w:hideMark/>
          </w:tcPr>
          <w:p w14:paraId="25E230CF"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-195</w:t>
            </w:r>
          </w:p>
        </w:tc>
      </w:tr>
      <w:tr w:rsidR="001B34C7" w:rsidRPr="009973EE" w14:paraId="36AF5FA8" w14:textId="77777777" w:rsidTr="002E33D9">
        <w:trPr>
          <w:trHeight w:val="284"/>
        </w:trPr>
        <w:tc>
          <w:tcPr>
            <w:tcW w:w="5103" w:type="dxa"/>
            <w:shd w:val="clear" w:color="auto" w:fill="auto"/>
            <w:noWrap/>
            <w:vAlign w:val="bottom"/>
            <w:hideMark/>
          </w:tcPr>
          <w:p w14:paraId="08680C96" w14:textId="77777777" w:rsidR="001B34C7" w:rsidRPr="005F7254" w:rsidRDefault="001B34C7" w:rsidP="002E33D9">
            <w:pPr>
              <w:spacing w:after="0" w:line="240" w:lineRule="auto"/>
              <w:rPr>
                <w:rFonts w:eastAsia="Times New Roman" w:cs="Times New Roman"/>
                <w:color w:val="000000"/>
                <w:sz w:val="20"/>
                <w:lang w:eastAsia="sk-SK"/>
              </w:rPr>
            </w:pPr>
            <w:r w:rsidRPr="005F7254">
              <w:rPr>
                <w:rFonts w:eastAsia="Times New Roman" w:cs="Times New Roman"/>
                <w:color w:val="000000"/>
                <w:sz w:val="20"/>
                <w:lang w:eastAsia="sk-SK"/>
              </w:rPr>
              <w:t>Mentálne postihnutí variant B v kombinácii s iným ZZ</w:t>
            </w:r>
          </w:p>
        </w:tc>
        <w:tc>
          <w:tcPr>
            <w:tcW w:w="1607" w:type="dxa"/>
            <w:shd w:val="clear" w:color="auto" w:fill="auto"/>
            <w:noWrap/>
            <w:vAlign w:val="bottom"/>
            <w:hideMark/>
          </w:tcPr>
          <w:p w14:paraId="1AB784E0"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-14</w:t>
            </w:r>
          </w:p>
        </w:tc>
        <w:tc>
          <w:tcPr>
            <w:tcW w:w="1608" w:type="dxa"/>
            <w:shd w:val="clear" w:color="auto" w:fill="auto"/>
            <w:noWrap/>
            <w:vAlign w:val="bottom"/>
            <w:hideMark/>
          </w:tcPr>
          <w:p w14:paraId="0D714990"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329</w:t>
            </w:r>
          </w:p>
        </w:tc>
        <w:tc>
          <w:tcPr>
            <w:tcW w:w="1608" w:type="dxa"/>
            <w:shd w:val="clear" w:color="auto" w:fill="auto"/>
            <w:noWrap/>
            <w:vAlign w:val="bottom"/>
            <w:hideMark/>
          </w:tcPr>
          <w:p w14:paraId="4E1FD807"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315</w:t>
            </w:r>
          </w:p>
        </w:tc>
      </w:tr>
      <w:tr w:rsidR="001B34C7" w:rsidRPr="009973EE" w14:paraId="20248B5B" w14:textId="77777777" w:rsidTr="002E33D9">
        <w:trPr>
          <w:trHeight w:val="284"/>
        </w:trPr>
        <w:tc>
          <w:tcPr>
            <w:tcW w:w="5103" w:type="dxa"/>
            <w:shd w:val="clear" w:color="auto" w:fill="auto"/>
            <w:noWrap/>
            <w:vAlign w:val="bottom"/>
            <w:hideMark/>
          </w:tcPr>
          <w:p w14:paraId="00F58514" w14:textId="77777777" w:rsidR="001B34C7" w:rsidRPr="005F7254" w:rsidRDefault="001B34C7" w:rsidP="002E33D9">
            <w:pPr>
              <w:spacing w:after="0" w:line="240" w:lineRule="auto"/>
              <w:rPr>
                <w:rFonts w:eastAsia="Times New Roman" w:cs="Times New Roman"/>
                <w:color w:val="000000"/>
                <w:sz w:val="20"/>
                <w:lang w:eastAsia="sk-SK"/>
              </w:rPr>
            </w:pPr>
            <w:r w:rsidRPr="005F7254">
              <w:rPr>
                <w:rFonts w:eastAsia="Times New Roman" w:cs="Times New Roman"/>
                <w:color w:val="000000"/>
                <w:sz w:val="20"/>
                <w:lang w:eastAsia="sk-SK"/>
              </w:rPr>
              <w:t>Telesne postihnutí</w:t>
            </w:r>
          </w:p>
        </w:tc>
        <w:tc>
          <w:tcPr>
            <w:tcW w:w="1607" w:type="dxa"/>
            <w:shd w:val="clear" w:color="auto" w:fill="auto"/>
            <w:noWrap/>
            <w:vAlign w:val="bottom"/>
            <w:hideMark/>
          </w:tcPr>
          <w:p w14:paraId="65FF09F5"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-357</w:t>
            </w:r>
          </w:p>
        </w:tc>
        <w:tc>
          <w:tcPr>
            <w:tcW w:w="1608" w:type="dxa"/>
            <w:shd w:val="clear" w:color="auto" w:fill="auto"/>
            <w:noWrap/>
            <w:vAlign w:val="bottom"/>
            <w:hideMark/>
          </w:tcPr>
          <w:p w14:paraId="042DF6F7"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-29</w:t>
            </w:r>
          </w:p>
        </w:tc>
        <w:tc>
          <w:tcPr>
            <w:tcW w:w="1608" w:type="dxa"/>
            <w:shd w:val="clear" w:color="auto" w:fill="auto"/>
            <w:noWrap/>
            <w:vAlign w:val="bottom"/>
            <w:hideMark/>
          </w:tcPr>
          <w:p w14:paraId="72682371"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-386</w:t>
            </w:r>
          </w:p>
        </w:tc>
      </w:tr>
      <w:tr w:rsidR="001B34C7" w:rsidRPr="009973EE" w14:paraId="0327C7C6" w14:textId="77777777" w:rsidTr="002E33D9">
        <w:trPr>
          <w:trHeight w:val="284"/>
        </w:trPr>
        <w:tc>
          <w:tcPr>
            <w:tcW w:w="5103" w:type="dxa"/>
            <w:shd w:val="clear" w:color="auto" w:fill="auto"/>
            <w:noWrap/>
            <w:vAlign w:val="bottom"/>
            <w:hideMark/>
          </w:tcPr>
          <w:p w14:paraId="3502EBB7" w14:textId="77777777" w:rsidR="001B34C7" w:rsidRPr="005F7254" w:rsidRDefault="001B34C7" w:rsidP="002E33D9">
            <w:pPr>
              <w:spacing w:after="0" w:line="240" w:lineRule="auto"/>
              <w:rPr>
                <w:rFonts w:eastAsia="Times New Roman" w:cs="Times New Roman"/>
                <w:color w:val="000000"/>
                <w:sz w:val="20"/>
                <w:lang w:eastAsia="sk-SK"/>
              </w:rPr>
            </w:pPr>
            <w:r w:rsidRPr="005F7254">
              <w:rPr>
                <w:rFonts w:eastAsia="Times New Roman" w:cs="Times New Roman"/>
                <w:color w:val="000000"/>
                <w:sz w:val="20"/>
                <w:lang w:eastAsia="sk-SK"/>
              </w:rPr>
              <w:t>Mentálne postihnutí variant A</w:t>
            </w:r>
          </w:p>
        </w:tc>
        <w:tc>
          <w:tcPr>
            <w:tcW w:w="1607" w:type="dxa"/>
            <w:shd w:val="clear" w:color="auto" w:fill="auto"/>
            <w:noWrap/>
            <w:vAlign w:val="bottom"/>
            <w:hideMark/>
          </w:tcPr>
          <w:p w14:paraId="4C199429"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-629</w:t>
            </w:r>
          </w:p>
        </w:tc>
        <w:tc>
          <w:tcPr>
            <w:tcW w:w="1608" w:type="dxa"/>
            <w:shd w:val="clear" w:color="auto" w:fill="auto"/>
            <w:noWrap/>
            <w:vAlign w:val="bottom"/>
            <w:hideMark/>
          </w:tcPr>
          <w:p w14:paraId="0C55CA14"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-1819</w:t>
            </w:r>
          </w:p>
        </w:tc>
        <w:tc>
          <w:tcPr>
            <w:tcW w:w="1608" w:type="dxa"/>
            <w:shd w:val="clear" w:color="auto" w:fill="auto"/>
            <w:noWrap/>
            <w:vAlign w:val="bottom"/>
            <w:hideMark/>
          </w:tcPr>
          <w:p w14:paraId="52362B4B"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-2448</w:t>
            </w:r>
          </w:p>
        </w:tc>
      </w:tr>
      <w:tr w:rsidR="001B34C7" w:rsidRPr="009973EE" w14:paraId="488259BA" w14:textId="77777777" w:rsidTr="002E33D9">
        <w:trPr>
          <w:trHeight w:val="284"/>
        </w:trPr>
        <w:tc>
          <w:tcPr>
            <w:tcW w:w="5103" w:type="dxa"/>
            <w:tcBorders>
              <w:bottom w:val="single" w:sz="4" w:space="0" w:color="auto"/>
            </w:tcBorders>
            <w:shd w:val="clear" w:color="auto" w:fill="auto"/>
            <w:noWrap/>
            <w:vAlign w:val="bottom"/>
            <w:hideMark/>
          </w:tcPr>
          <w:p w14:paraId="28279D25" w14:textId="77777777" w:rsidR="001B34C7" w:rsidRPr="005F7254" w:rsidRDefault="001B34C7" w:rsidP="002E33D9">
            <w:pPr>
              <w:spacing w:after="0" w:line="240" w:lineRule="auto"/>
              <w:rPr>
                <w:rFonts w:eastAsia="Times New Roman" w:cs="Times New Roman"/>
                <w:color w:val="000000"/>
                <w:sz w:val="20"/>
                <w:lang w:eastAsia="sk-SK"/>
              </w:rPr>
            </w:pPr>
            <w:r w:rsidRPr="005F7254">
              <w:rPr>
                <w:rFonts w:eastAsia="Times New Roman" w:cs="Times New Roman"/>
                <w:color w:val="000000"/>
                <w:sz w:val="20"/>
                <w:lang w:eastAsia="sk-SK"/>
              </w:rPr>
              <w:t>Poruchy správania</w:t>
            </w:r>
          </w:p>
        </w:tc>
        <w:tc>
          <w:tcPr>
            <w:tcW w:w="1607" w:type="dxa"/>
            <w:tcBorders>
              <w:bottom w:val="single" w:sz="4" w:space="0" w:color="auto"/>
            </w:tcBorders>
            <w:shd w:val="clear" w:color="auto" w:fill="auto"/>
            <w:noWrap/>
            <w:vAlign w:val="bottom"/>
            <w:hideMark/>
          </w:tcPr>
          <w:p w14:paraId="12C46059"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-710</w:t>
            </w:r>
          </w:p>
        </w:tc>
        <w:tc>
          <w:tcPr>
            <w:tcW w:w="1608" w:type="dxa"/>
            <w:tcBorders>
              <w:bottom w:val="single" w:sz="4" w:space="0" w:color="auto"/>
            </w:tcBorders>
            <w:shd w:val="clear" w:color="auto" w:fill="auto"/>
            <w:noWrap/>
            <w:vAlign w:val="bottom"/>
            <w:hideMark/>
          </w:tcPr>
          <w:p w14:paraId="12B100E4"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-109</w:t>
            </w:r>
          </w:p>
        </w:tc>
        <w:tc>
          <w:tcPr>
            <w:tcW w:w="1608" w:type="dxa"/>
            <w:tcBorders>
              <w:bottom w:val="single" w:sz="4" w:space="0" w:color="auto"/>
            </w:tcBorders>
            <w:shd w:val="clear" w:color="auto" w:fill="auto"/>
            <w:noWrap/>
            <w:vAlign w:val="bottom"/>
            <w:hideMark/>
          </w:tcPr>
          <w:p w14:paraId="2B7BD40A" w14:textId="77777777" w:rsidR="001B34C7" w:rsidRPr="009973EE" w:rsidRDefault="001B34C7" w:rsidP="002E33D9">
            <w:pPr>
              <w:spacing w:after="0" w:line="240" w:lineRule="auto"/>
              <w:jc w:val="right"/>
              <w:rPr>
                <w:rFonts w:eastAsia="Times New Roman" w:cs="Times New Roman"/>
                <w:color w:val="000000"/>
                <w:sz w:val="20"/>
                <w:lang w:eastAsia="sk-SK"/>
              </w:rPr>
            </w:pPr>
            <w:r w:rsidRPr="009973EE">
              <w:rPr>
                <w:rFonts w:eastAsia="Times New Roman" w:cs="Times New Roman"/>
                <w:color w:val="000000"/>
                <w:sz w:val="20"/>
                <w:lang w:eastAsia="sk-SK"/>
              </w:rPr>
              <w:t>-819</w:t>
            </w:r>
          </w:p>
        </w:tc>
      </w:tr>
      <w:tr w:rsidR="001B34C7" w:rsidRPr="009973EE" w14:paraId="57F648B3" w14:textId="77777777" w:rsidTr="002E33D9">
        <w:trPr>
          <w:trHeight w:val="284"/>
        </w:trPr>
        <w:tc>
          <w:tcPr>
            <w:tcW w:w="5103" w:type="dxa"/>
            <w:tcBorders>
              <w:top w:val="single" w:sz="4" w:space="0" w:color="auto"/>
              <w:bottom w:val="single" w:sz="4" w:space="0" w:color="auto"/>
            </w:tcBorders>
            <w:shd w:val="clear" w:color="auto" w:fill="auto"/>
            <w:noWrap/>
            <w:vAlign w:val="bottom"/>
            <w:hideMark/>
          </w:tcPr>
          <w:p w14:paraId="4BB90318" w14:textId="77777777" w:rsidR="001B34C7" w:rsidRPr="009973EE" w:rsidRDefault="001B34C7" w:rsidP="002E33D9">
            <w:pPr>
              <w:spacing w:after="0" w:line="240" w:lineRule="auto"/>
              <w:rPr>
                <w:rFonts w:eastAsia="Times New Roman" w:cs="Times New Roman"/>
                <w:b/>
                <w:color w:val="000000"/>
                <w:sz w:val="20"/>
                <w:lang w:eastAsia="sk-SK"/>
              </w:rPr>
            </w:pPr>
            <w:r w:rsidRPr="009973EE">
              <w:rPr>
                <w:rFonts w:eastAsia="Times New Roman" w:cs="Times New Roman"/>
                <w:b/>
                <w:color w:val="000000"/>
                <w:sz w:val="20"/>
                <w:lang w:eastAsia="sk-SK"/>
              </w:rPr>
              <w:t>SPOLU</w:t>
            </w:r>
          </w:p>
        </w:tc>
        <w:tc>
          <w:tcPr>
            <w:tcW w:w="1607" w:type="dxa"/>
            <w:tcBorders>
              <w:top w:val="single" w:sz="4" w:space="0" w:color="auto"/>
              <w:bottom w:val="single" w:sz="4" w:space="0" w:color="auto"/>
            </w:tcBorders>
            <w:shd w:val="clear" w:color="auto" w:fill="auto"/>
            <w:noWrap/>
            <w:vAlign w:val="bottom"/>
            <w:hideMark/>
          </w:tcPr>
          <w:p w14:paraId="13B89759" w14:textId="77777777" w:rsidR="001B34C7" w:rsidRPr="009973EE" w:rsidRDefault="001B34C7" w:rsidP="002E33D9">
            <w:pPr>
              <w:spacing w:after="0" w:line="240" w:lineRule="auto"/>
              <w:jc w:val="right"/>
              <w:rPr>
                <w:rFonts w:eastAsia="Times New Roman" w:cs="Times New Roman"/>
                <w:b/>
                <w:color w:val="000000"/>
                <w:sz w:val="20"/>
                <w:lang w:eastAsia="sk-SK"/>
              </w:rPr>
            </w:pPr>
            <w:r w:rsidRPr="009973EE">
              <w:rPr>
                <w:rFonts w:eastAsia="Times New Roman" w:cs="Times New Roman"/>
                <w:b/>
                <w:color w:val="000000"/>
                <w:sz w:val="20"/>
                <w:lang w:eastAsia="sk-SK"/>
              </w:rPr>
              <w:t>7097</w:t>
            </w:r>
          </w:p>
        </w:tc>
        <w:tc>
          <w:tcPr>
            <w:tcW w:w="1608" w:type="dxa"/>
            <w:tcBorders>
              <w:top w:val="single" w:sz="4" w:space="0" w:color="auto"/>
              <w:bottom w:val="single" w:sz="4" w:space="0" w:color="auto"/>
            </w:tcBorders>
            <w:shd w:val="clear" w:color="auto" w:fill="auto"/>
            <w:noWrap/>
            <w:vAlign w:val="bottom"/>
            <w:hideMark/>
          </w:tcPr>
          <w:p w14:paraId="2B92ECD4" w14:textId="77777777" w:rsidR="001B34C7" w:rsidRPr="009973EE" w:rsidRDefault="001B34C7" w:rsidP="002E33D9">
            <w:pPr>
              <w:spacing w:after="0" w:line="240" w:lineRule="auto"/>
              <w:jc w:val="right"/>
              <w:rPr>
                <w:rFonts w:eastAsia="Times New Roman" w:cs="Times New Roman"/>
                <w:b/>
                <w:color w:val="000000"/>
                <w:sz w:val="20"/>
                <w:lang w:eastAsia="sk-SK"/>
              </w:rPr>
            </w:pPr>
            <w:r w:rsidRPr="009973EE">
              <w:rPr>
                <w:rFonts w:eastAsia="Times New Roman" w:cs="Times New Roman"/>
                <w:b/>
                <w:color w:val="000000"/>
                <w:sz w:val="20"/>
                <w:lang w:eastAsia="sk-SK"/>
              </w:rPr>
              <w:t>-1062</w:t>
            </w:r>
          </w:p>
        </w:tc>
        <w:tc>
          <w:tcPr>
            <w:tcW w:w="1608" w:type="dxa"/>
            <w:tcBorders>
              <w:top w:val="single" w:sz="4" w:space="0" w:color="auto"/>
              <w:bottom w:val="single" w:sz="4" w:space="0" w:color="auto"/>
            </w:tcBorders>
            <w:shd w:val="clear" w:color="auto" w:fill="auto"/>
            <w:noWrap/>
            <w:vAlign w:val="bottom"/>
            <w:hideMark/>
          </w:tcPr>
          <w:p w14:paraId="3E943D09" w14:textId="77777777" w:rsidR="001B34C7" w:rsidRPr="009973EE" w:rsidRDefault="001B34C7" w:rsidP="002E33D9">
            <w:pPr>
              <w:spacing w:after="0" w:line="240" w:lineRule="auto"/>
              <w:jc w:val="right"/>
              <w:rPr>
                <w:rFonts w:eastAsia="Times New Roman" w:cs="Times New Roman"/>
                <w:b/>
                <w:color w:val="000000"/>
                <w:sz w:val="20"/>
                <w:lang w:eastAsia="sk-SK"/>
              </w:rPr>
            </w:pPr>
            <w:r w:rsidRPr="009973EE">
              <w:rPr>
                <w:rFonts w:eastAsia="Times New Roman" w:cs="Times New Roman"/>
                <w:b/>
                <w:color w:val="000000"/>
                <w:sz w:val="20"/>
                <w:lang w:eastAsia="sk-SK"/>
              </w:rPr>
              <w:t>6035</w:t>
            </w:r>
          </w:p>
        </w:tc>
      </w:tr>
    </w:tbl>
    <w:p w14:paraId="1E4FF157" w14:textId="77777777" w:rsidR="001B34C7" w:rsidRDefault="001B34C7" w:rsidP="001B34C7">
      <w:pPr>
        <w:pStyle w:val="Bezriadkovania"/>
        <w:jc w:val="right"/>
        <w:rPr>
          <w:rFonts w:ascii="Arial Narrow" w:hAnsi="Arial Narrow"/>
          <w:i/>
          <w:sz w:val="18"/>
          <w:szCs w:val="18"/>
        </w:rPr>
      </w:pPr>
      <w:r w:rsidRPr="009973EE">
        <w:rPr>
          <w:rFonts w:ascii="Arial Narrow" w:hAnsi="Arial Narrow"/>
          <w:i/>
          <w:sz w:val="18"/>
          <w:szCs w:val="18"/>
        </w:rPr>
        <w:t>Zdroj: Vlastné prepočty IVP na základe dát CVTI</w:t>
      </w:r>
      <w:r>
        <w:rPr>
          <w:rFonts w:ascii="Arial Narrow" w:hAnsi="Arial Narrow"/>
          <w:i/>
          <w:sz w:val="18"/>
          <w:szCs w:val="18"/>
        </w:rPr>
        <w:t>.</w:t>
      </w:r>
    </w:p>
    <w:p w14:paraId="7BEA692C" w14:textId="77777777" w:rsidR="001B34C7" w:rsidRPr="00D7142F" w:rsidRDefault="001B34C7" w:rsidP="001B34C7">
      <w:pPr>
        <w:pStyle w:val="Bezriadkovania"/>
        <w:rPr>
          <w:rFonts w:ascii="Arial Narrow" w:hAnsi="Arial Narrow"/>
          <w:i/>
          <w:sz w:val="18"/>
          <w:szCs w:val="18"/>
        </w:rPr>
      </w:pPr>
    </w:p>
    <w:p w14:paraId="6AD1C3A1" w14:textId="77777777" w:rsidR="001B34C7" w:rsidRDefault="001B34C7" w:rsidP="001B34C7">
      <w:pPr>
        <w:pStyle w:val="Popis"/>
        <w:rPr>
          <w:b/>
          <w:i w:val="0"/>
          <w:color w:val="2E74B5" w:themeColor="accent1" w:themeShade="BF"/>
          <w:sz w:val="22"/>
        </w:rPr>
      </w:pPr>
      <w:bookmarkStart w:id="1934" w:name="_Ref25844708"/>
      <w:r w:rsidRPr="000C6214">
        <w:rPr>
          <w:b/>
          <w:i w:val="0"/>
          <w:color w:val="2E74B5" w:themeColor="accent1" w:themeShade="BF"/>
          <w:sz w:val="22"/>
        </w:rPr>
        <w:t xml:space="preserve">Príloha </w:t>
      </w:r>
      <w:r w:rsidRPr="00AD2F2A">
        <w:rPr>
          <w:b/>
          <w:i w:val="0"/>
          <w:color w:val="2E74B5" w:themeColor="accent1" w:themeShade="BF"/>
          <w:sz w:val="22"/>
        </w:rPr>
        <w:fldChar w:fldCharType="begin"/>
      </w:r>
      <w:r w:rsidRPr="00AD2F2A">
        <w:rPr>
          <w:b/>
          <w:i w:val="0"/>
          <w:color w:val="2E74B5" w:themeColor="accent1" w:themeShade="BF"/>
          <w:sz w:val="22"/>
        </w:rPr>
        <w:instrText xml:space="preserve"> SEQ Príloha \* ARABIC </w:instrText>
      </w:r>
      <w:r w:rsidRPr="00AD2F2A">
        <w:rPr>
          <w:b/>
          <w:i w:val="0"/>
          <w:color w:val="2E74B5" w:themeColor="accent1" w:themeShade="BF"/>
          <w:sz w:val="22"/>
        </w:rPr>
        <w:fldChar w:fldCharType="separate"/>
      </w:r>
      <w:r w:rsidR="00FA29AF">
        <w:rPr>
          <w:b/>
          <w:i w:val="0"/>
          <w:noProof/>
          <w:color w:val="2E74B5" w:themeColor="accent1" w:themeShade="BF"/>
          <w:sz w:val="22"/>
        </w:rPr>
        <w:t>28</w:t>
      </w:r>
      <w:r w:rsidRPr="00AD2F2A">
        <w:rPr>
          <w:b/>
          <w:i w:val="0"/>
          <w:color w:val="2E74B5" w:themeColor="accent1" w:themeShade="BF"/>
          <w:sz w:val="22"/>
        </w:rPr>
        <w:fldChar w:fldCharType="end"/>
      </w:r>
      <w:bookmarkEnd w:id="1934"/>
      <w:r w:rsidRPr="000C6214">
        <w:rPr>
          <w:b/>
          <w:i w:val="0"/>
          <w:color w:val="2E74B5" w:themeColor="accent1" w:themeShade="BF"/>
          <w:sz w:val="22"/>
        </w:rPr>
        <w:t>: Systém prideľovania prostriedkov na asistentov – príklad dobrej praxe z</w:t>
      </w:r>
      <w:r>
        <w:rPr>
          <w:b/>
          <w:i w:val="0"/>
          <w:color w:val="2E74B5" w:themeColor="accent1" w:themeShade="BF"/>
          <w:sz w:val="22"/>
        </w:rPr>
        <w:t> </w:t>
      </w:r>
      <w:r w:rsidRPr="000C6214">
        <w:rPr>
          <w:b/>
          <w:i w:val="0"/>
          <w:color w:val="2E74B5" w:themeColor="accent1" w:themeShade="BF"/>
          <w:sz w:val="22"/>
        </w:rPr>
        <w:t>Írska</w:t>
      </w:r>
    </w:p>
    <w:p w14:paraId="0C4AE111" w14:textId="77777777" w:rsidR="001B34C7" w:rsidRPr="009865D7" w:rsidRDefault="001B34C7" w:rsidP="001B34C7">
      <w:pPr>
        <w:rPr>
          <w:b/>
        </w:rPr>
      </w:pPr>
      <w:r w:rsidRPr="009865D7">
        <w:rPr>
          <w:b/>
        </w:rPr>
        <w:t>Systém prideľovania prostriedkov na asistentov – príklad dobrej praxe z Írska</w:t>
      </w:r>
    </w:p>
    <w:p w14:paraId="2FA8FA1B" w14:textId="6299DF9C" w:rsidR="001B34C7" w:rsidRPr="00482D35" w:rsidRDefault="001B34C7" w:rsidP="001B34C7">
      <w:pPr>
        <w:rPr>
          <w:rFonts w:eastAsia="Calibri" w:cs="Times New Roman"/>
        </w:rPr>
      </w:pPr>
      <w:r w:rsidRPr="00482D35">
        <w:rPr>
          <w:rFonts w:eastAsia="Calibri" w:cs="Times New Roman"/>
        </w:rPr>
        <w:t xml:space="preserve">Príkladom transparentného systému prideľovania asistentov žiakom so ZZ je Írsko. Školy žiadajú o asistentov prostredníctvom siete </w:t>
      </w:r>
      <w:r w:rsidRPr="00482D35">
        <w:rPr>
          <w:rFonts w:eastAsia="Calibri" w:cs="Times New Roman"/>
          <w:b/>
        </w:rPr>
        <w:t>miestnych manažérov špeciálnych potrieb (SENO).</w:t>
      </w:r>
      <w:r w:rsidRPr="00482D35">
        <w:rPr>
          <w:rFonts w:eastAsia="Calibri" w:cs="Times New Roman"/>
          <w:vertAlign w:val="superscript"/>
        </w:rPr>
        <w:footnoteReference w:id="539"/>
      </w:r>
      <w:r w:rsidRPr="00482D35">
        <w:rPr>
          <w:rFonts w:eastAsia="Calibri" w:cs="Times New Roman"/>
        </w:rPr>
        <w:t xml:space="preserve"> Žiadosť sa podáva na základe lekárskych správ resp. posúdení iných odborníkov, podľa ktorých sa žiakom stanovujú značné zdravotné potreby alebo značné poškodenie fyzických alebo senzorických funkcií. Diagnostika prebieha v centrách tzv. Národných vzdelávaco-psychologických služieb (NEPS).</w:t>
      </w:r>
      <w:r w:rsidRPr="00482D35">
        <w:rPr>
          <w:rFonts w:eastAsia="Calibri" w:cs="Times New Roman"/>
          <w:vertAlign w:val="superscript"/>
        </w:rPr>
        <w:footnoteReference w:id="540"/>
      </w:r>
      <w:r w:rsidRPr="00482D35">
        <w:rPr>
          <w:rFonts w:eastAsia="Calibri" w:cs="Times New Roman"/>
        </w:rPr>
        <w:t xml:space="preserve"> Školy však môžu o asistenta žiadať aj v prípade, že správanie žiaka predstavuje nebezpečenstvo pre jeho spolužiakov či pre neho samého. Súčasťou žiadosti o pridelenie asistenta je vypracovaná stratégia o tom, ako chce škola prácu asistenta využívať. Podporuje sa tiež postupné oslabovanie pozície asistentov – v rámci nižšieho stredného vzdelania (u nás 2. stupeň ZŠ) by sa žiak mal stať nezávislým od podpory asistenta pokiaľ nejde o žiaka s telesným postihnutím alebo pokiaľ sa chronické potreby </w:t>
      </w:r>
      <w:r w:rsidR="00B24660">
        <w:rPr>
          <w:rFonts w:eastAsia="Calibri" w:cs="Times New Roman"/>
        </w:rPr>
        <w:t>vyplýva</w:t>
      </w:r>
      <w:r w:rsidRPr="00482D35">
        <w:rPr>
          <w:rFonts w:eastAsia="Calibri" w:cs="Times New Roman"/>
        </w:rPr>
        <w:t>júce zo ZZ s vekom výrazne nemenia. Na tomto stupni vzdelávania sa považujú za vhodnejší nástroj podpory kombinácia diferencovaného a dodatočného vyučovania.</w:t>
      </w:r>
      <w:r w:rsidRPr="00482D35">
        <w:rPr>
          <w:rFonts w:eastAsia="Calibri" w:cs="Times New Roman"/>
          <w:vertAlign w:val="superscript"/>
        </w:rPr>
        <w:footnoteReference w:id="541"/>
      </w:r>
    </w:p>
    <w:p w14:paraId="008FA8BE" w14:textId="0BEAF2B3" w:rsidR="001B34C7" w:rsidRPr="00CF7453" w:rsidRDefault="001B34C7" w:rsidP="001B34C7">
      <w:pPr>
        <w:rPr>
          <w:rFonts w:eastAsia="Calibri" w:cs="Times New Roman"/>
        </w:rPr>
      </w:pPr>
      <w:r w:rsidRPr="00CF7453">
        <w:rPr>
          <w:rFonts w:eastAsia="Calibri" w:cs="Times New Roman"/>
        </w:rPr>
        <w:t xml:space="preserve">O množstve vzdelávacej podpory (počte hodín) rozhoduje </w:t>
      </w:r>
      <w:r w:rsidRPr="00CF7453">
        <w:rPr>
          <w:rFonts w:eastAsia="Calibri" w:cs="Times New Roman"/>
          <w:b/>
        </w:rPr>
        <w:t>Národná rada pre špeciálne potreby</w:t>
      </w:r>
      <w:r w:rsidRPr="00CF7453">
        <w:rPr>
          <w:rFonts w:eastAsia="Calibri" w:cs="Times New Roman"/>
        </w:rPr>
        <w:t xml:space="preserve"> </w:t>
      </w:r>
      <w:r w:rsidRPr="00CF7453">
        <w:rPr>
          <w:rFonts w:eastAsia="Calibri" w:cs="Times New Roman"/>
          <w:b/>
        </w:rPr>
        <w:t>(NCSE)</w:t>
      </w:r>
      <w:r w:rsidR="007E2B47">
        <w:rPr>
          <w:rFonts w:eastAsia="Calibri" w:cs="Times New Roman"/>
        </w:rPr>
        <w:t xml:space="preserve"> na </w:t>
      </w:r>
      <w:r w:rsidRPr="00CF7453">
        <w:rPr>
          <w:rFonts w:eastAsia="Calibri" w:cs="Times New Roman"/>
        </w:rPr>
        <w:t>základe rozsahu a frekvencie potrieb a s ohľadom na spôsob, akým tieto potreby v školskom prostredí vznikajú. Rozhodovanie o množstve podpory tak nie je priamo v kompetencii odborníkov, ktorí posudzujú potreby dieťaťa. Hoci sa odborné správy považujú za neoddeliteľnú súčasť procesu určovania rozsahu potreby, ich autori nemajú príležitosť pozorovať žiaka v triede, nepoznajú situáciu na škole a nemajú informá</w:t>
      </w:r>
      <w:r w:rsidR="007E2B47">
        <w:rPr>
          <w:rFonts w:eastAsia="Calibri" w:cs="Times New Roman"/>
        </w:rPr>
        <w:t>cie o jej zdrojoch. Asistent sa </w:t>
      </w:r>
      <w:r w:rsidRPr="00CF7453">
        <w:rPr>
          <w:rFonts w:eastAsia="Calibri" w:cs="Times New Roman"/>
        </w:rPr>
        <w:t xml:space="preserve">prideľuje </w:t>
      </w:r>
      <w:r w:rsidRPr="00CF7453">
        <w:rPr>
          <w:rFonts w:eastAsia="Calibri" w:cs="Times New Roman"/>
          <w:b/>
        </w:rPr>
        <w:t>na tri roky na dobu určitú</w:t>
      </w:r>
      <w:r w:rsidRPr="00CF7453">
        <w:rPr>
          <w:rFonts w:eastAsia="Calibri" w:cs="Times New Roman"/>
        </w:rPr>
        <w:t xml:space="preserve"> a jeho pôsobenie sa každoročne p</w:t>
      </w:r>
      <w:r w:rsidR="007E2B47">
        <w:rPr>
          <w:rFonts w:eastAsia="Calibri" w:cs="Times New Roman"/>
        </w:rPr>
        <w:t>rehodnocuje. Po troch rokoch sa </w:t>
      </w:r>
      <w:r w:rsidRPr="00CF7453">
        <w:rPr>
          <w:rFonts w:eastAsia="Calibri" w:cs="Times New Roman"/>
        </w:rPr>
        <w:t>vyžaduje komplexné prehodnotenie potreby podpory asistentom ako takej. Na webových stránkach národnej r</w:t>
      </w:r>
      <w:r w:rsidR="007E2B47">
        <w:rPr>
          <w:rFonts w:eastAsia="Calibri" w:cs="Times New Roman"/>
        </w:rPr>
        <w:t>ady sú </w:t>
      </w:r>
      <w:r w:rsidRPr="00CF7453">
        <w:rPr>
          <w:rFonts w:eastAsia="Calibri" w:cs="Times New Roman"/>
        </w:rPr>
        <w:t>dostupné publikácie informujúce o princípoch prideľovania asistentov,</w:t>
      </w:r>
      <w:r w:rsidR="007E2B47">
        <w:rPr>
          <w:rFonts w:eastAsia="Calibri" w:cs="Times New Roman"/>
        </w:rPr>
        <w:t xml:space="preserve"> príručky pre školy a rodičov a </w:t>
      </w:r>
      <w:r w:rsidRPr="00CF7453">
        <w:rPr>
          <w:rFonts w:eastAsia="Calibri" w:cs="Times New Roman"/>
        </w:rPr>
        <w:t>štatistiky pridelených asistentov podľa škôl a počtu hodín</w:t>
      </w:r>
      <w:r w:rsidRPr="00CF7453">
        <w:rPr>
          <w:rFonts w:eastAsia="Calibri" w:cs="Times New Roman"/>
        </w:rPr>
        <w:footnoteReference w:id="542"/>
      </w:r>
      <w:r w:rsidRPr="00CF7453">
        <w:rPr>
          <w:rFonts w:eastAsia="Calibri" w:cs="Times New Roman"/>
        </w:rPr>
        <w:t>.</w:t>
      </w:r>
    </w:p>
    <w:p w14:paraId="224926B7" w14:textId="77777777" w:rsidR="001B34C7" w:rsidRPr="00482D35" w:rsidRDefault="001B34C7" w:rsidP="001B34C7">
      <w:pPr>
        <w:rPr>
          <w:rFonts w:eastAsia="Calibri" w:cs="Times New Roman"/>
        </w:rPr>
      </w:pPr>
      <w:r w:rsidRPr="00482D35">
        <w:rPr>
          <w:rFonts w:eastAsia="Calibri" w:cs="Times New Roman"/>
          <w:b/>
          <w:bCs/>
        </w:rPr>
        <w:t>Rodičia aj škola majú možnosť sa v určených prípadoch odvolať.</w:t>
      </w:r>
      <w:r w:rsidRPr="00482D35">
        <w:rPr>
          <w:rFonts w:eastAsia="Calibri" w:cs="Times New Roman"/>
        </w:rPr>
        <w:t xml:space="preserve"> V prípade, ak bol žiakovi asistent pridelený, no podľa rodiča nedostáva jeho dieťa dostatočnú podporu, odvolaním sa zaoberá riaditeľ školy alebo školská rada. V prípade, ak žiakovi nebol asistent pridelený vôbec prípadne mu bol pridelený nedostatočný počet hodín, odvolaním sa zaoberá manažér špeciálnych vzdelávacích potrieb (SENO) a v druhej inštancii poradná odvolacia komisia.</w:t>
      </w:r>
      <w:r w:rsidRPr="00482D35">
        <w:rPr>
          <w:rFonts w:eastAsia="Calibri" w:cs="Times New Roman"/>
          <w:vertAlign w:val="superscript"/>
        </w:rPr>
        <w:footnoteReference w:id="543"/>
      </w:r>
    </w:p>
    <w:bookmarkEnd w:id="1930"/>
    <w:p w14:paraId="640544F3" w14:textId="77777777" w:rsidR="002B2CCB" w:rsidRDefault="002B2CCB">
      <w:pPr>
        <w:spacing w:after="160"/>
        <w:jc w:val="left"/>
        <w:rPr>
          <w:b/>
          <w:color w:val="2E74B5" w:themeColor="accent1" w:themeShade="BF"/>
        </w:rPr>
      </w:pPr>
      <w:r>
        <w:rPr>
          <w:b/>
          <w:color w:val="2E74B5" w:themeColor="accent1" w:themeShade="BF"/>
        </w:rPr>
        <w:br w:type="page"/>
      </w:r>
    </w:p>
    <w:p w14:paraId="01231340" w14:textId="0D43A15D" w:rsidR="001B34C7" w:rsidRPr="002B2CCB" w:rsidRDefault="002B2CCB" w:rsidP="002B2CCB">
      <w:pPr>
        <w:pStyle w:val="Popis"/>
        <w:rPr>
          <w:b/>
          <w:sz w:val="20"/>
        </w:rPr>
      </w:pPr>
      <w:bookmarkStart w:id="1935" w:name="_Ref34215032"/>
      <w:r w:rsidRPr="002B2CCB">
        <w:rPr>
          <w:b/>
          <w:i w:val="0"/>
          <w:color w:val="2E74B5" w:themeColor="accent1" w:themeShade="BF"/>
          <w:sz w:val="22"/>
        </w:rPr>
        <w:t xml:space="preserve">Príloha </w:t>
      </w:r>
      <w:r w:rsidRPr="002B2CCB">
        <w:rPr>
          <w:b/>
          <w:i w:val="0"/>
          <w:color w:val="2E74B5" w:themeColor="accent1" w:themeShade="BF"/>
          <w:sz w:val="22"/>
        </w:rPr>
        <w:fldChar w:fldCharType="begin"/>
      </w:r>
      <w:r w:rsidRPr="002B2CCB">
        <w:rPr>
          <w:b/>
          <w:i w:val="0"/>
          <w:color w:val="2E74B5" w:themeColor="accent1" w:themeShade="BF"/>
          <w:sz w:val="22"/>
        </w:rPr>
        <w:instrText xml:space="preserve"> SEQ Príloha \* ARABIC </w:instrText>
      </w:r>
      <w:r w:rsidRPr="002B2CCB">
        <w:rPr>
          <w:b/>
          <w:i w:val="0"/>
          <w:color w:val="2E74B5" w:themeColor="accent1" w:themeShade="BF"/>
          <w:sz w:val="22"/>
        </w:rPr>
        <w:fldChar w:fldCharType="separate"/>
      </w:r>
      <w:r w:rsidR="00FA29AF">
        <w:rPr>
          <w:b/>
          <w:i w:val="0"/>
          <w:noProof/>
          <w:color w:val="2E74B5" w:themeColor="accent1" w:themeShade="BF"/>
          <w:sz w:val="22"/>
        </w:rPr>
        <w:t>29</w:t>
      </w:r>
      <w:r w:rsidRPr="002B2CCB">
        <w:rPr>
          <w:b/>
          <w:i w:val="0"/>
          <w:color w:val="2E74B5" w:themeColor="accent1" w:themeShade="BF"/>
          <w:sz w:val="22"/>
        </w:rPr>
        <w:fldChar w:fldCharType="end"/>
      </w:r>
      <w:bookmarkEnd w:id="1935"/>
      <w:r w:rsidRPr="002B2CCB">
        <w:rPr>
          <w:b/>
          <w:i w:val="0"/>
          <w:color w:val="2E74B5" w:themeColor="accent1" w:themeShade="BF"/>
          <w:sz w:val="22"/>
        </w:rPr>
        <w:t>:</w:t>
      </w:r>
      <w:r>
        <w:t xml:space="preserve"> </w:t>
      </w:r>
      <w:r w:rsidRPr="002B2CCB">
        <w:rPr>
          <w:b/>
          <w:i w:val="0"/>
          <w:color w:val="2E74B5" w:themeColor="accent1" w:themeShade="BF"/>
          <w:sz w:val="22"/>
        </w:rPr>
        <w:t>Podiel žiakov s ukončenou povinnou školskou dochádzkou nepokračujúcich vo vzdelávaní podľa ZZ (2018/19)</w:t>
      </w:r>
    </w:p>
    <w:p w14:paraId="53468E0C" w14:textId="3CD2A826" w:rsidR="002B2CCB" w:rsidRPr="002B2CCB" w:rsidRDefault="002B2CCB" w:rsidP="002B2CCB">
      <w:pPr>
        <w:pStyle w:val="Popis"/>
        <w:keepNext/>
        <w:spacing w:after="0"/>
        <w:rPr>
          <w:b/>
          <w:i w:val="0"/>
        </w:rPr>
      </w:pPr>
      <w:r w:rsidRPr="002B2CCB">
        <w:rPr>
          <w:b/>
          <w:bCs/>
          <w:i w:val="0"/>
          <w:color w:val="000000"/>
          <w:sz w:val="20"/>
          <w:szCs w:val="20"/>
        </w:rPr>
        <w:t xml:space="preserve">Tabuľka P </w:t>
      </w:r>
      <w:r w:rsidRPr="002B2CCB">
        <w:rPr>
          <w:b/>
          <w:bCs/>
          <w:i w:val="0"/>
          <w:color w:val="000000"/>
          <w:sz w:val="20"/>
          <w:szCs w:val="20"/>
        </w:rPr>
        <w:fldChar w:fldCharType="begin"/>
      </w:r>
      <w:r w:rsidRPr="002B2CCB">
        <w:rPr>
          <w:b/>
          <w:bCs/>
          <w:i w:val="0"/>
          <w:color w:val="000000"/>
          <w:sz w:val="20"/>
          <w:szCs w:val="20"/>
        </w:rPr>
        <w:instrText xml:space="preserve"> SEQ Tabuľka_P \* ARABIC </w:instrText>
      </w:r>
      <w:r w:rsidRPr="002B2CCB">
        <w:rPr>
          <w:b/>
          <w:bCs/>
          <w:i w:val="0"/>
          <w:color w:val="000000"/>
          <w:sz w:val="20"/>
          <w:szCs w:val="20"/>
        </w:rPr>
        <w:fldChar w:fldCharType="separate"/>
      </w:r>
      <w:r w:rsidR="00FA29AF">
        <w:rPr>
          <w:b/>
          <w:bCs/>
          <w:i w:val="0"/>
          <w:noProof/>
          <w:color w:val="000000"/>
          <w:sz w:val="20"/>
          <w:szCs w:val="20"/>
        </w:rPr>
        <w:t>24</w:t>
      </w:r>
      <w:r w:rsidRPr="002B2CCB">
        <w:rPr>
          <w:b/>
          <w:bCs/>
          <w:i w:val="0"/>
          <w:color w:val="000000"/>
          <w:sz w:val="20"/>
          <w:szCs w:val="20"/>
        </w:rPr>
        <w:fldChar w:fldCharType="end"/>
      </w:r>
      <w:r w:rsidRPr="002B2CCB">
        <w:rPr>
          <w:b/>
          <w:bCs/>
          <w:i w:val="0"/>
          <w:color w:val="000000"/>
          <w:sz w:val="20"/>
          <w:szCs w:val="20"/>
        </w:rPr>
        <w:t>:</w:t>
      </w:r>
      <w:r w:rsidRPr="002B2CCB">
        <w:rPr>
          <w:b/>
          <w:i w:val="0"/>
        </w:rPr>
        <w:t xml:space="preserve"> </w:t>
      </w:r>
      <w:r w:rsidRPr="002B2CCB">
        <w:rPr>
          <w:b/>
          <w:bCs/>
          <w:i w:val="0"/>
          <w:color w:val="000000"/>
          <w:sz w:val="20"/>
          <w:szCs w:val="20"/>
        </w:rPr>
        <w:t>Podiel žiakov s ukončenou povinnou školskou dochádzkou nepokračujúcich vo vzdelávaní podľa ZZ (2018/19)</w:t>
      </w:r>
    </w:p>
    <w:tbl>
      <w:tblPr>
        <w:tblW w:w="5000" w:type="pct"/>
        <w:tblCellMar>
          <w:left w:w="0" w:type="dxa"/>
          <w:right w:w="0" w:type="dxa"/>
        </w:tblCellMar>
        <w:tblLook w:val="04A0" w:firstRow="1" w:lastRow="0" w:firstColumn="1" w:lastColumn="0" w:noHBand="0" w:noVBand="1"/>
      </w:tblPr>
      <w:tblGrid>
        <w:gridCol w:w="2197"/>
        <w:gridCol w:w="548"/>
        <w:gridCol w:w="527"/>
        <w:gridCol w:w="642"/>
        <w:gridCol w:w="561"/>
        <w:gridCol w:w="550"/>
        <w:gridCol w:w="527"/>
        <w:gridCol w:w="536"/>
        <w:gridCol w:w="527"/>
        <w:gridCol w:w="527"/>
        <w:gridCol w:w="642"/>
        <w:gridCol w:w="550"/>
        <w:gridCol w:w="754"/>
      </w:tblGrid>
      <w:tr w:rsidR="002B2CCB" w14:paraId="0240EEFF" w14:textId="77777777" w:rsidTr="002B2CCB">
        <w:trPr>
          <w:trHeight w:val="300"/>
        </w:trPr>
        <w:tc>
          <w:tcPr>
            <w:tcW w:w="1235"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21266FCD" w14:textId="77777777" w:rsidR="002B2CCB" w:rsidRDefault="002B2CCB" w:rsidP="002B2CCB">
            <w:pPr>
              <w:spacing w:after="0"/>
              <w:jc w:val="center"/>
              <w:rPr>
                <w:b/>
                <w:bCs/>
                <w:color w:val="000000"/>
                <w:sz w:val="20"/>
              </w:rPr>
            </w:pPr>
          </w:p>
        </w:tc>
        <w:tc>
          <w:tcPr>
            <w:tcW w:w="299"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5A9BCF5B" w14:textId="77777777" w:rsidR="002B2CCB" w:rsidRDefault="002B2CCB" w:rsidP="002B2CCB">
            <w:pPr>
              <w:spacing w:after="0"/>
              <w:jc w:val="center"/>
              <w:rPr>
                <w:b/>
                <w:bCs/>
                <w:color w:val="000000"/>
                <w:sz w:val="20"/>
              </w:rPr>
            </w:pPr>
            <w:r>
              <w:rPr>
                <w:b/>
                <w:bCs/>
                <w:color w:val="000000"/>
                <w:sz w:val="20"/>
              </w:rPr>
              <w:t>AUT</w:t>
            </w:r>
          </w:p>
        </w:tc>
        <w:tc>
          <w:tcPr>
            <w:tcW w:w="287"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266EC5A1" w14:textId="77777777" w:rsidR="002B2CCB" w:rsidRDefault="002B2CCB" w:rsidP="002B2CCB">
            <w:pPr>
              <w:spacing w:after="0"/>
              <w:jc w:val="center"/>
              <w:rPr>
                <w:b/>
                <w:bCs/>
                <w:color w:val="000000"/>
                <w:sz w:val="20"/>
              </w:rPr>
            </w:pPr>
            <w:r>
              <w:rPr>
                <w:b/>
                <w:bCs/>
                <w:color w:val="000000"/>
                <w:sz w:val="20"/>
              </w:rPr>
              <w:t>CH</w:t>
            </w:r>
          </w:p>
        </w:tc>
        <w:tc>
          <w:tcPr>
            <w:tcW w:w="352"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02A076BA" w14:textId="77777777" w:rsidR="002B2CCB" w:rsidRDefault="002B2CCB" w:rsidP="002B2CCB">
            <w:pPr>
              <w:spacing w:after="0"/>
              <w:jc w:val="center"/>
              <w:rPr>
                <w:b/>
                <w:bCs/>
                <w:color w:val="000000"/>
                <w:sz w:val="20"/>
              </w:rPr>
            </w:pPr>
            <w:r>
              <w:rPr>
                <w:b/>
                <w:bCs/>
                <w:color w:val="000000"/>
                <w:sz w:val="20"/>
              </w:rPr>
              <w:t>MEN</w:t>
            </w:r>
          </w:p>
        </w:tc>
        <w:tc>
          <w:tcPr>
            <w:tcW w:w="306"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60F76AC0" w14:textId="77777777" w:rsidR="002B2CCB" w:rsidRDefault="002B2CCB" w:rsidP="002B2CCB">
            <w:pPr>
              <w:spacing w:after="0"/>
              <w:jc w:val="center"/>
              <w:rPr>
                <w:b/>
                <w:bCs/>
                <w:color w:val="000000"/>
                <w:sz w:val="20"/>
              </w:rPr>
            </w:pPr>
            <w:r>
              <w:rPr>
                <w:b/>
                <w:bCs/>
                <w:color w:val="000000"/>
                <w:sz w:val="20"/>
              </w:rPr>
              <w:t>NKS</w:t>
            </w:r>
          </w:p>
        </w:tc>
        <w:tc>
          <w:tcPr>
            <w:tcW w:w="300"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0EC735E6" w14:textId="77777777" w:rsidR="002B2CCB" w:rsidRDefault="002B2CCB" w:rsidP="002B2CCB">
            <w:pPr>
              <w:spacing w:after="0"/>
              <w:jc w:val="center"/>
              <w:rPr>
                <w:b/>
                <w:bCs/>
                <w:color w:val="000000"/>
                <w:sz w:val="20"/>
              </w:rPr>
            </w:pPr>
            <w:r>
              <w:rPr>
                <w:b/>
                <w:bCs/>
                <w:color w:val="000000"/>
                <w:sz w:val="20"/>
              </w:rPr>
              <w:t>PAP</w:t>
            </w:r>
          </w:p>
        </w:tc>
        <w:tc>
          <w:tcPr>
            <w:tcW w:w="287"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0B6B837D" w14:textId="77777777" w:rsidR="002B2CCB" w:rsidRDefault="002B2CCB" w:rsidP="002B2CCB">
            <w:pPr>
              <w:spacing w:after="0"/>
              <w:jc w:val="center"/>
              <w:rPr>
                <w:b/>
                <w:bCs/>
                <w:color w:val="000000"/>
                <w:sz w:val="20"/>
              </w:rPr>
            </w:pPr>
            <w:r>
              <w:rPr>
                <w:b/>
                <w:bCs/>
                <w:color w:val="000000"/>
                <w:sz w:val="20"/>
              </w:rPr>
              <w:t>PS</w:t>
            </w:r>
          </w:p>
        </w:tc>
        <w:tc>
          <w:tcPr>
            <w:tcW w:w="292"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369FF81A" w14:textId="77777777" w:rsidR="002B2CCB" w:rsidRDefault="002B2CCB" w:rsidP="002B2CCB">
            <w:pPr>
              <w:spacing w:after="0"/>
              <w:jc w:val="center"/>
              <w:rPr>
                <w:b/>
                <w:bCs/>
                <w:color w:val="000000"/>
                <w:sz w:val="20"/>
              </w:rPr>
            </w:pPr>
            <w:r>
              <w:rPr>
                <w:b/>
                <w:bCs/>
                <w:color w:val="000000"/>
                <w:sz w:val="20"/>
              </w:rPr>
              <w:t>SLU</w:t>
            </w:r>
          </w:p>
        </w:tc>
        <w:tc>
          <w:tcPr>
            <w:tcW w:w="287"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31FDBEEF" w14:textId="77777777" w:rsidR="002B2CCB" w:rsidRDefault="002B2CCB" w:rsidP="002B2CCB">
            <w:pPr>
              <w:spacing w:after="0"/>
              <w:jc w:val="center"/>
              <w:rPr>
                <w:b/>
                <w:bCs/>
                <w:color w:val="000000"/>
                <w:sz w:val="20"/>
              </w:rPr>
            </w:pPr>
            <w:r>
              <w:rPr>
                <w:b/>
                <w:bCs/>
                <w:color w:val="000000"/>
                <w:sz w:val="20"/>
              </w:rPr>
              <w:t>TEL</w:t>
            </w:r>
          </w:p>
        </w:tc>
        <w:tc>
          <w:tcPr>
            <w:tcW w:w="287"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6E92A738" w14:textId="77777777" w:rsidR="002B2CCB" w:rsidRDefault="002B2CCB" w:rsidP="002B2CCB">
            <w:pPr>
              <w:spacing w:after="0"/>
              <w:jc w:val="center"/>
              <w:rPr>
                <w:b/>
                <w:bCs/>
                <w:color w:val="000000"/>
                <w:sz w:val="20"/>
              </w:rPr>
            </w:pPr>
            <w:r>
              <w:rPr>
                <w:b/>
                <w:bCs/>
                <w:color w:val="000000"/>
                <w:sz w:val="20"/>
              </w:rPr>
              <w:t>VP</w:t>
            </w:r>
          </w:p>
        </w:tc>
        <w:tc>
          <w:tcPr>
            <w:tcW w:w="352"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0B260BBA" w14:textId="77777777" w:rsidR="002B2CCB" w:rsidRDefault="002B2CCB" w:rsidP="002B2CCB">
            <w:pPr>
              <w:spacing w:after="0"/>
              <w:jc w:val="center"/>
              <w:rPr>
                <w:b/>
                <w:bCs/>
                <w:color w:val="000000"/>
                <w:sz w:val="20"/>
              </w:rPr>
            </w:pPr>
            <w:r>
              <w:rPr>
                <w:b/>
                <w:bCs/>
                <w:color w:val="000000"/>
                <w:sz w:val="20"/>
              </w:rPr>
              <w:t>VPU</w:t>
            </w:r>
          </w:p>
        </w:tc>
        <w:tc>
          <w:tcPr>
            <w:tcW w:w="300"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4D9CA620" w14:textId="77777777" w:rsidR="002B2CCB" w:rsidRDefault="002B2CCB" w:rsidP="002B2CCB">
            <w:pPr>
              <w:spacing w:after="0"/>
              <w:jc w:val="center"/>
              <w:rPr>
                <w:b/>
                <w:bCs/>
                <w:color w:val="000000"/>
                <w:sz w:val="20"/>
              </w:rPr>
            </w:pPr>
            <w:r>
              <w:rPr>
                <w:b/>
                <w:bCs/>
                <w:color w:val="000000"/>
                <w:sz w:val="20"/>
              </w:rPr>
              <w:t>ZRA</w:t>
            </w:r>
          </w:p>
        </w:tc>
        <w:tc>
          <w:tcPr>
            <w:tcW w:w="415"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0D9E0560" w14:textId="77777777" w:rsidR="002B2CCB" w:rsidRDefault="002B2CCB" w:rsidP="002B2CCB">
            <w:pPr>
              <w:spacing w:after="0"/>
              <w:jc w:val="center"/>
              <w:rPr>
                <w:b/>
                <w:bCs/>
                <w:color w:val="000000"/>
                <w:sz w:val="20"/>
              </w:rPr>
            </w:pPr>
            <w:r>
              <w:rPr>
                <w:b/>
                <w:bCs/>
                <w:color w:val="000000"/>
                <w:sz w:val="20"/>
              </w:rPr>
              <w:t>Spolu</w:t>
            </w:r>
          </w:p>
        </w:tc>
      </w:tr>
      <w:tr w:rsidR="002B2CCB" w14:paraId="2F3F16FF" w14:textId="77777777" w:rsidTr="002B2CCB">
        <w:trPr>
          <w:trHeight w:val="300"/>
        </w:trPr>
        <w:tc>
          <w:tcPr>
            <w:tcW w:w="1235"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101D6C2E" w14:textId="77777777" w:rsidR="002B2CCB" w:rsidRDefault="002B2CCB" w:rsidP="002B2CCB">
            <w:pPr>
              <w:spacing w:after="0"/>
              <w:jc w:val="left"/>
              <w:rPr>
                <w:b/>
                <w:bCs/>
                <w:color w:val="000000"/>
                <w:sz w:val="20"/>
              </w:rPr>
            </w:pPr>
            <w:r>
              <w:rPr>
                <w:b/>
                <w:bCs/>
                <w:color w:val="000000"/>
                <w:sz w:val="20"/>
              </w:rPr>
              <w:t>Žiaci v integrácii</w:t>
            </w:r>
          </w:p>
        </w:tc>
        <w:tc>
          <w:tcPr>
            <w:tcW w:w="299"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53CBD563" w14:textId="77777777" w:rsidR="002B2CCB" w:rsidRDefault="002B2CCB" w:rsidP="002B2CCB">
            <w:pPr>
              <w:spacing w:after="0"/>
              <w:jc w:val="center"/>
              <w:rPr>
                <w:color w:val="000000"/>
                <w:sz w:val="20"/>
              </w:rPr>
            </w:pPr>
            <w:r>
              <w:rPr>
                <w:color w:val="000000"/>
                <w:sz w:val="20"/>
              </w:rPr>
              <w:t>0,00</w:t>
            </w:r>
          </w:p>
        </w:tc>
        <w:tc>
          <w:tcPr>
            <w:tcW w:w="287"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4DC61C0B" w14:textId="77777777" w:rsidR="002B2CCB" w:rsidRDefault="002B2CCB" w:rsidP="002B2CCB">
            <w:pPr>
              <w:spacing w:after="0"/>
              <w:jc w:val="center"/>
              <w:rPr>
                <w:color w:val="000000"/>
                <w:sz w:val="20"/>
              </w:rPr>
            </w:pPr>
            <w:r>
              <w:rPr>
                <w:color w:val="000000"/>
                <w:sz w:val="20"/>
              </w:rPr>
              <w:t>1,98</w:t>
            </w:r>
          </w:p>
        </w:tc>
        <w:tc>
          <w:tcPr>
            <w:tcW w:w="352"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442EAD1C" w14:textId="77777777" w:rsidR="002B2CCB" w:rsidRDefault="002B2CCB" w:rsidP="002B2CCB">
            <w:pPr>
              <w:spacing w:after="0"/>
              <w:jc w:val="center"/>
              <w:rPr>
                <w:color w:val="000000"/>
                <w:sz w:val="20"/>
              </w:rPr>
            </w:pPr>
            <w:r>
              <w:rPr>
                <w:color w:val="000000"/>
                <w:sz w:val="20"/>
              </w:rPr>
              <w:t>61,02</w:t>
            </w:r>
          </w:p>
        </w:tc>
        <w:tc>
          <w:tcPr>
            <w:tcW w:w="306"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4DB3E037" w14:textId="77777777" w:rsidR="002B2CCB" w:rsidRDefault="002B2CCB" w:rsidP="002B2CCB">
            <w:pPr>
              <w:spacing w:after="0"/>
              <w:jc w:val="center"/>
              <w:rPr>
                <w:color w:val="000000"/>
                <w:sz w:val="20"/>
              </w:rPr>
            </w:pPr>
            <w:r>
              <w:rPr>
                <w:color w:val="000000"/>
                <w:sz w:val="20"/>
              </w:rPr>
              <w:t>1,98</w:t>
            </w:r>
          </w:p>
        </w:tc>
        <w:tc>
          <w:tcPr>
            <w:tcW w:w="300"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08AD7E0B" w14:textId="77777777" w:rsidR="002B2CCB" w:rsidRDefault="002B2CCB" w:rsidP="002B2CCB">
            <w:pPr>
              <w:spacing w:after="0"/>
              <w:jc w:val="center"/>
              <w:rPr>
                <w:color w:val="000000"/>
                <w:sz w:val="20"/>
              </w:rPr>
            </w:pPr>
            <w:r>
              <w:rPr>
                <w:color w:val="000000"/>
                <w:sz w:val="20"/>
              </w:rPr>
              <w:t>3,95</w:t>
            </w:r>
          </w:p>
        </w:tc>
        <w:tc>
          <w:tcPr>
            <w:tcW w:w="287"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02C91A3B" w14:textId="77777777" w:rsidR="002B2CCB" w:rsidRDefault="002B2CCB" w:rsidP="002B2CCB">
            <w:pPr>
              <w:spacing w:after="0"/>
              <w:jc w:val="center"/>
              <w:rPr>
                <w:color w:val="000000"/>
                <w:sz w:val="20"/>
              </w:rPr>
            </w:pPr>
            <w:r>
              <w:rPr>
                <w:color w:val="000000"/>
                <w:sz w:val="20"/>
              </w:rPr>
              <w:t>0,56</w:t>
            </w:r>
          </w:p>
        </w:tc>
        <w:tc>
          <w:tcPr>
            <w:tcW w:w="292"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77FFFFAE" w14:textId="77777777" w:rsidR="002B2CCB" w:rsidRDefault="002B2CCB" w:rsidP="002B2CCB">
            <w:pPr>
              <w:spacing w:after="0"/>
              <w:jc w:val="center"/>
              <w:rPr>
                <w:color w:val="000000"/>
                <w:sz w:val="20"/>
              </w:rPr>
            </w:pPr>
            <w:r>
              <w:rPr>
                <w:color w:val="000000"/>
                <w:sz w:val="20"/>
              </w:rPr>
              <w:t>0,85</w:t>
            </w:r>
          </w:p>
        </w:tc>
        <w:tc>
          <w:tcPr>
            <w:tcW w:w="287"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3300A389" w14:textId="77777777" w:rsidR="002B2CCB" w:rsidRDefault="002B2CCB" w:rsidP="002B2CCB">
            <w:pPr>
              <w:spacing w:after="0"/>
              <w:jc w:val="center"/>
              <w:rPr>
                <w:color w:val="000000"/>
                <w:sz w:val="20"/>
              </w:rPr>
            </w:pPr>
            <w:r>
              <w:rPr>
                <w:color w:val="000000"/>
                <w:sz w:val="20"/>
              </w:rPr>
              <w:t>0,85</w:t>
            </w:r>
          </w:p>
        </w:tc>
        <w:tc>
          <w:tcPr>
            <w:tcW w:w="287"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3A8E89C6" w14:textId="77777777" w:rsidR="002B2CCB" w:rsidRDefault="002B2CCB" w:rsidP="002B2CCB">
            <w:pPr>
              <w:spacing w:after="0"/>
              <w:jc w:val="center"/>
              <w:rPr>
                <w:color w:val="000000"/>
                <w:sz w:val="20"/>
              </w:rPr>
            </w:pPr>
            <w:r>
              <w:rPr>
                <w:color w:val="000000"/>
                <w:sz w:val="20"/>
              </w:rPr>
              <w:t>6,78</w:t>
            </w:r>
          </w:p>
        </w:tc>
        <w:tc>
          <w:tcPr>
            <w:tcW w:w="352"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094843F4" w14:textId="77777777" w:rsidR="002B2CCB" w:rsidRDefault="002B2CCB" w:rsidP="002B2CCB">
            <w:pPr>
              <w:spacing w:after="0"/>
              <w:jc w:val="center"/>
              <w:rPr>
                <w:color w:val="000000"/>
                <w:sz w:val="20"/>
              </w:rPr>
            </w:pPr>
            <w:r>
              <w:rPr>
                <w:color w:val="000000"/>
                <w:sz w:val="20"/>
              </w:rPr>
              <w:t>20,90</w:t>
            </w:r>
          </w:p>
        </w:tc>
        <w:tc>
          <w:tcPr>
            <w:tcW w:w="300"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3463A502" w14:textId="77777777" w:rsidR="002B2CCB" w:rsidRDefault="002B2CCB" w:rsidP="002B2CCB">
            <w:pPr>
              <w:spacing w:after="0"/>
              <w:jc w:val="center"/>
              <w:rPr>
                <w:color w:val="000000"/>
                <w:sz w:val="20"/>
              </w:rPr>
            </w:pPr>
            <w:r>
              <w:rPr>
                <w:color w:val="000000"/>
                <w:sz w:val="20"/>
              </w:rPr>
              <w:t>1,13</w:t>
            </w:r>
          </w:p>
        </w:tc>
        <w:tc>
          <w:tcPr>
            <w:tcW w:w="415"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6DBE0E7F" w14:textId="77777777" w:rsidR="002B2CCB" w:rsidRDefault="002B2CCB" w:rsidP="002B2CCB">
            <w:pPr>
              <w:spacing w:after="0"/>
              <w:jc w:val="center"/>
              <w:rPr>
                <w:color w:val="000000"/>
                <w:sz w:val="20"/>
              </w:rPr>
            </w:pPr>
            <w:r>
              <w:rPr>
                <w:color w:val="000000"/>
                <w:sz w:val="20"/>
              </w:rPr>
              <w:t>100,00</w:t>
            </w:r>
          </w:p>
        </w:tc>
      </w:tr>
      <w:tr w:rsidR="002B2CCB" w14:paraId="18FFC4FA" w14:textId="77777777" w:rsidTr="002B2CCB">
        <w:trPr>
          <w:trHeight w:val="300"/>
        </w:trPr>
        <w:tc>
          <w:tcPr>
            <w:tcW w:w="1235" w:type="pct"/>
            <w:tcBorders>
              <w:top w:val="nil"/>
              <w:left w:val="nil"/>
              <w:bottom w:val="nil"/>
              <w:right w:val="nil"/>
            </w:tcBorders>
            <w:shd w:val="clear" w:color="auto" w:fill="auto"/>
            <w:noWrap/>
            <w:tcMar>
              <w:top w:w="15" w:type="dxa"/>
              <w:left w:w="15" w:type="dxa"/>
              <w:bottom w:w="0" w:type="dxa"/>
              <w:right w:w="15" w:type="dxa"/>
            </w:tcMar>
            <w:vAlign w:val="bottom"/>
            <w:hideMark/>
          </w:tcPr>
          <w:p w14:paraId="22620E07" w14:textId="77777777" w:rsidR="002B2CCB" w:rsidRDefault="002B2CCB" w:rsidP="002B2CCB">
            <w:pPr>
              <w:spacing w:after="0"/>
              <w:jc w:val="left"/>
              <w:rPr>
                <w:b/>
                <w:bCs/>
                <w:color w:val="000000"/>
                <w:sz w:val="20"/>
              </w:rPr>
            </w:pPr>
            <w:r>
              <w:rPr>
                <w:b/>
                <w:bCs/>
                <w:color w:val="000000"/>
                <w:sz w:val="20"/>
              </w:rPr>
              <w:t>Žiaci v ŠT</w:t>
            </w:r>
          </w:p>
        </w:tc>
        <w:tc>
          <w:tcPr>
            <w:tcW w:w="299" w:type="pct"/>
            <w:tcBorders>
              <w:top w:val="nil"/>
              <w:left w:val="nil"/>
              <w:bottom w:val="nil"/>
              <w:right w:val="nil"/>
            </w:tcBorders>
            <w:shd w:val="clear" w:color="auto" w:fill="auto"/>
            <w:noWrap/>
            <w:tcMar>
              <w:top w:w="15" w:type="dxa"/>
              <w:left w:w="15" w:type="dxa"/>
              <w:bottom w:w="0" w:type="dxa"/>
              <w:right w:w="15" w:type="dxa"/>
            </w:tcMar>
            <w:vAlign w:val="bottom"/>
            <w:hideMark/>
          </w:tcPr>
          <w:p w14:paraId="26C0F0C5" w14:textId="77777777" w:rsidR="002B2CCB" w:rsidRDefault="002B2CCB" w:rsidP="002B2CCB">
            <w:pPr>
              <w:spacing w:after="0"/>
              <w:jc w:val="center"/>
              <w:rPr>
                <w:color w:val="000000"/>
                <w:sz w:val="20"/>
              </w:rPr>
            </w:pPr>
            <w:r>
              <w:rPr>
                <w:color w:val="000000"/>
                <w:sz w:val="20"/>
              </w:rPr>
              <w:t>0,26</w:t>
            </w:r>
          </w:p>
        </w:tc>
        <w:tc>
          <w:tcPr>
            <w:tcW w:w="287" w:type="pct"/>
            <w:tcBorders>
              <w:top w:val="nil"/>
              <w:left w:val="nil"/>
              <w:bottom w:val="nil"/>
              <w:right w:val="nil"/>
            </w:tcBorders>
            <w:shd w:val="clear" w:color="auto" w:fill="auto"/>
            <w:noWrap/>
            <w:tcMar>
              <w:top w:w="15" w:type="dxa"/>
              <w:left w:w="15" w:type="dxa"/>
              <w:bottom w:w="0" w:type="dxa"/>
              <w:right w:w="15" w:type="dxa"/>
            </w:tcMar>
            <w:vAlign w:val="bottom"/>
            <w:hideMark/>
          </w:tcPr>
          <w:p w14:paraId="52E18151" w14:textId="77777777" w:rsidR="002B2CCB" w:rsidRDefault="002B2CCB" w:rsidP="002B2CCB">
            <w:pPr>
              <w:spacing w:after="0"/>
              <w:jc w:val="center"/>
              <w:rPr>
                <w:color w:val="000000"/>
                <w:sz w:val="20"/>
              </w:rPr>
            </w:pPr>
            <w:r>
              <w:rPr>
                <w:color w:val="000000"/>
                <w:sz w:val="20"/>
              </w:rPr>
              <w:t>0,00</w:t>
            </w:r>
          </w:p>
        </w:tc>
        <w:tc>
          <w:tcPr>
            <w:tcW w:w="352" w:type="pct"/>
            <w:tcBorders>
              <w:top w:val="nil"/>
              <w:left w:val="nil"/>
              <w:bottom w:val="nil"/>
              <w:right w:val="nil"/>
            </w:tcBorders>
            <w:shd w:val="clear" w:color="auto" w:fill="auto"/>
            <w:noWrap/>
            <w:tcMar>
              <w:top w:w="15" w:type="dxa"/>
              <w:left w:w="15" w:type="dxa"/>
              <w:bottom w:w="0" w:type="dxa"/>
              <w:right w:w="15" w:type="dxa"/>
            </w:tcMar>
            <w:vAlign w:val="bottom"/>
            <w:hideMark/>
          </w:tcPr>
          <w:p w14:paraId="302AF2C5" w14:textId="77777777" w:rsidR="002B2CCB" w:rsidRDefault="002B2CCB" w:rsidP="002B2CCB">
            <w:pPr>
              <w:spacing w:after="0"/>
              <w:jc w:val="center"/>
              <w:rPr>
                <w:color w:val="000000"/>
                <w:sz w:val="20"/>
              </w:rPr>
            </w:pPr>
            <w:r>
              <w:rPr>
                <w:color w:val="000000"/>
                <w:sz w:val="20"/>
              </w:rPr>
              <w:t>98,69</w:t>
            </w:r>
          </w:p>
        </w:tc>
        <w:tc>
          <w:tcPr>
            <w:tcW w:w="306" w:type="pct"/>
            <w:tcBorders>
              <w:top w:val="nil"/>
              <w:left w:val="nil"/>
              <w:bottom w:val="nil"/>
              <w:right w:val="nil"/>
            </w:tcBorders>
            <w:shd w:val="clear" w:color="auto" w:fill="auto"/>
            <w:noWrap/>
            <w:tcMar>
              <w:top w:w="15" w:type="dxa"/>
              <w:left w:w="15" w:type="dxa"/>
              <w:bottom w:w="0" w:type="dxa"/>
              <w:right w:w="15" w:type="dxa"/>
            </w:tcMar>
            <w:vAlign w:val="bottom"/>
            <w:hideMark/>
          </w:tcPr>
          <w:p w14:paraId="7AB02A15" w14:textId="77777777" w:rsidR="002B2CCB" w:rsidRDefault="002B2CCB" w:rsidP="002B2CCB">
            <w:pPr>
              <w:spacing w:after="0"/>
              <w:jc w:val="center"/>
              <w:rPr>
                <w:color w:val="000000"/>
                <w:sz w:val="20"/>
              </w:rPr>
            </w:pPr>
            <w:r>
              <w:rPr>
                <w:color w:val="000000"/>
                <w:sz w:val="20"/>
              </w:rPr>
              <w:t>0,00</w:t>
            </w:r>
          </w:p>
        </w:tc>
        <w:tc>
          <w:tcPr>
            <w:tcW w:w="300" w:type="pct"/>
            <w:tcBorders>
              <w:top w:val="nil"/>
              <w:left w:val="nil"/>
              <w:bottom w:val="nil"/>
              <w:right w:val="nil"/>
            </w:tcBorders>
            <w:shd w:val="clear" w:color="auto" w:fill="auto"/>
            <w:noWrap/>
            <w:tcMar>
              <w:top w:w="15" w:type="dxa"/>
              <w:left w:w="15" w:type="dxa"/>
              <w:bottom w:w="0" w:type="dxa"/>
              <w:right w:w="15" w:type="dxa"/>
            </w:tcMar>
            <w:vAlign w:val="bottom"/>
            <w:hideMark/>
          </w:tcPr>
          <w:p w14:paraId="534B6283" w14:textId="77777777" w:rsidR="002B2CCB" w:rsidRDefault="002B2CCB" w:rsidP="002B2CCB">
            <w:pPr>
              <w:spacing w:after="0"/>
              <w:jc w:val="center"/>
              <w:rPr>
                <w:color w:val="000000"/>
                <w:sz w:val="20"/>
              </w:rPr>
            </w:pPr>
            <w:r>
              <w:rPr>
                <w:color w:val="000000"/>
                <w:sz w:val="20"/>
              </w:rPr>
              <w:t>0,00</w:t>
            </w:r>
          </w:p>
        </w:tc>
        <w:tc>
          <w:tcPr>
            <w:tcW w:w="287" w:type="pct"/>
            <w:tcBorders>
              <w:top w:val="nil"/>
              <w:left w:val="nil"/>
              <w:bottom w:val="nil"/>
              <w:right w:val="nil"/>
            </w:tcBorders>
            <w:shd w:val="clear" w:color="auto" w:fill="auto"/>
            <w:noWrap/>
            <w:tcMar>
              <w:top w:w="15" w:type="dxa"/>
              <w:left w:w="15" w:type="dxa"/>
              <w:bottom w:w="0" w:type="dxa"/>
              <w:right w:w="15" w:type="dxa"/>
            </w:tcMar>
            <w:vAlign w:val="bottom"/>
            <w:hideMark/>
          </w:tcPr>
          <w:p w14:paraId="0E0F113C" w14:textId="77777777" w:rsidR="002B2CCB" w:rsidRDefault="002B2CCB" w:rsidP="002B2CCB">
            <w:pPr>
              <w:spacing w:after="0"/>
              <w:jc w:val="center"/>
              <w:rPr>
                <w:color w:val="000000"/>
                <w:sz w:val="20"/>
              </w:rPr>
            </w:pPr>
            <w:r>
              <w:rPr>
                <w:color w:val="000000"/>
                <w:sz w:val="20"/>
              </w:rPr>
              <w:t>0,00</w:t>
            </w:r>
          </w:p>
        </w:tc>
        <w:tc>
          <w:tcPr>
            <w:tcW w:w="292" w:type="pct"/>
            <w:tcBorders>
              <w:top w:val="nil"/>
              <w:left w:val="nil"/>
              <w:bottom w:val="nil"/>
              <w:right w:val="nil"/>
            </w:tcBorders>
            <w:shd w:val="clear" w:color="auto" w:fill="auto"/>
            <w:noWrap/>
            <w:tcMar>
              <w:top w:w="15" w:type="dxa"/>
              <w:left w:w="15" w:type="dxa"/>
              <w:bottom w:w="0" w:type="dxa"/>
              <w:right w:w="15" w:type="dxa"/>
            </w:tcMar>
            <w:vAlign w:val="bottom"/>
            <w:hideMark/>
          </w:tcPr>
          <w:p w14:paraId="7314F5DF" w14:textId="77777777" w:rsidR="002B2CCB" w:rsidRDefault="002B2CCB" w:rsidP="002B2CCB">
            <w:pPr>
              <w:spacing w:after="0"/>
              <w:jc w:val="center"/>
              <w:rPr>
                <w:color w:val="000000"/>
                <w:sz w:val="20"/>
              </w:rPr>
            </w:pPr>
            <w:r>
              <w:rPr>
                <w:color w:val="000000"/>
                <w:sz w:val="20"/>
              </w:rPr>
              <w:t>0,26</w:t>
            </w:r>
          </w:p>
        </w:tc>
        <w:tc>
          <w:tcPr>
            <w:tcW w:w="287" w:type="pct"/>
            <w:tcBorders>
              <w:top w:val="nil"/>
              <w:left w:val="nil"/>
              <w:bottom w:val="nil"/>
              <w:right w:val="nil"/>
            </w:tcBorders>
            <w:shd w:val="clear" w:color="auto" w:fill="auto"/>
            <w:noWrap/>
            <w:tcMar>
              <w:top w:w="15" w:type="dxa"/>
              <w:left w:w="15" w:type="dxa"/>
              <w:bottom w:w="0" w:type="dxa"/>
              <w:right w:w="15" w:type="dxa"/>
            </w:tcMar>
            <w:vAlign w:val="bottom"/>
            <w:hideMark/>
          </w:tcPr>
          <w:p w14:paraId="06296C5E" w14:textId="77777777" w:rsidR="002B2CCB" w:rsidRDefault="002B2CCB" w:rsidP="002B2CCB">
            <w:pPr>
              <w:spacing w:after="0"/>
              <w:jc w:val="center"/>
              <w:rPr>
                <w:color w:val="000000"/>
                <w:sz w:val="20"/>
              </w:rPr>
            </w:pPr>
            <w:r>
              <w:rPr>
                <w:color w:val="000000"/>
                <w:sz w:val="20"/>
              </w:rPr>
              <w:t>0,00</w:t>
            </w:r>
          </w:p>
        </w:tc>
        <w:tc>
          <w:tcPr>
            <w:tcW w:w="287" w:type="pct"/>
            <w:tcBorders>
              <w:top w:val="nil"/>
              <w:left w:val="nil"/>
              <w:bottom w:val="nil"/>
              <w:right w:val="nil"/>
            </w:tcBorders>
            <w:shd w:val="clear" w:color="auto" w:fill="auto"/>
            <w:noWrap/>
            <w:tcMar>
              <w:top w:w="15" w:type="dxa"/>
              <w:left w:w="15" w:type="dxa"/>
              <w:bottom w:w="0" w:type="dxa"/>
              <w:right w:w="15" w:type="dxa"/>
            </w:tcMar>
            <w:vAlign w:val="bottom"/>
            <w:hideMark/>
          </w:tcPr>
          <w:p w14:paraId="7E2F0B77" w14:textId="77777777" w:rsidR="002B2CCB" w:rsidRDefault="002B2CCB" w:rsidP="002B2CCB">
            <w:pPr>
              <w:spacing w:after="0"/>
              <w:jc w:val="center"/>
              <w:rPr>
                <w:color w:val="000000"/>
                <w:sz w:val="20"/>
              </w:rPr>
            </w:pPr>
            <w:r>
              <w:rPr>
                <w:color w:val="000000"/>
                <w:sz w:val="20"/>
              </w:rPr>
              <w:t>0,52</w:t>
            </w:r>
          </w:p>
        </w:tc>
        <w:tc>
          <w:tcPr>
            <w:tcW w:w="352" w:type="pct"/>
            <w:tcBorders>
              <w:top w:val="nil"/>
              <w:left w:val="nil"/>
              <w:bottom w:val="nil"/>
              <w:right w:val="nil"/>
            </w:tcBorders>
            <w:shd w:val="clear" w:color="auto" w:fill="auto"/>
            <w:noWrap/>
            <w:tcMar>
              <w:top w:w="15" w:type="dxa"/>
              <w:left w:w="15" w:type="dxa"/>
              <w:bottom w:w="0" w:type="dxa"/>
              <w:right w:w="15" w:type="dxa"/>
            </w:tcMar>
            <w:vAlign w:val="bottom"/>
            <w:hideMark/>
          </w:tcPr>
          <w:p w14:paraId="6DD7D2B5" w14:textId="77777777" w:rsidR="002B2CCB" w:rsidRDefault="002B2CCB" w:rsidP="002B2CCB">
            <w:pPr>
              <w:spacing w:after="0"/>
              <w:jc w:val="center"/>
              <w:rPr>
                <w:color w:val="000000"/>
                <w:sz w:val="20"/>
              </w:rPr>
            </w:pPr>
            <w:r>
              <w:rPr>
                <w:color w:val="000000"/>
                <w:sz w:val="20"/>
              </w:rPr>
              <w:t>0,26</w:t>
            </w:r>
          </w:p>
        </w:tc>
        <w:tc>
          <w:tcPr>
            <w:tcW w:w="300" w:type="pct"/>
            <w:tcBorders>
              <w:top w:val="nil"/>
              <w:left w:val="nil"/>
              <w:bottom w:val="nil"/>
              <w:right w:val="nil"/>
            </w:tcBorders>
            <w:shd w:val="clear" w:color="auto" w:fill="auto"/>
            <w:noWrap/>
            <w:tcMar>
              <w:top w:w="15" w:type="dxa"/>
              <w:left w:w="15" w:type="dxa"/>
              <w:bottom w:w="0" w:type="dxa"/>
              <w:right w:w="15" w:type="dxa"/>
            </w:tcMar>
            <w:vAlign w:val="bottom"/>
            <w:hideMark/>
          </w:tcPr>
          <w:p w14:paraId="0BBB5AF9" w14:textId="77777777" w:rsidR="002B2CCB" w:rsidRDefault="002B2CCB" w:rsidP="002B2CCB">
            <w:pPr>
              <w:spacing w:after="0"/>
              <w:jc w:val="center"/>
              <w:rPr>
                <w:color w:val="000000"/>
                <w:sz w:val="20"/>
              </w:rPr>
            </w:pPr>
            <w:r>
              <w:rPr>
                <w:color w:val="000000"/>
                <w:sz w:val="20"/>
              </w:rPr>
              <w:t>0,00</w:t>
            </w:r>
          </w:p>
        </w:tc>
        <w:tc>
          <w:tcPr>
            <w:tcW w:w="415" w:type="pct"/>
            <w:tcBorders>
              <w:top w:val="nil"/>
              <w:left w:val="nil"/>
              <w:bottom w:val="nil"/>
              <w:right w:val="nil"/>
            </w:tcBorders>
            <w:shd w:val="clear" w:color="auto" w:fill="auto"/>
            <w:noWrap/>
            <w:tcMar>
              <w:top w:w="15" w:type="dxa"/>
              <w:left w:w="15" w:type="dxa"/>
              <w:bottom w:w="0" w:type="dxa"/>
              <w:right w:w="15" w:type="dxa"/>
            </w:tcMar>
            <w:vAlign w:val="bottom"/>
            <w:hideMark/>
          </w:tcPr>
          <w:p w14:paraId="2D9DC79E" w14:textId="77777777" w:rsidR="002B2CCB" w:rsidRDefault="002B2CCB" w:rsidP="002B2CCB">
            <w:pPr>
              <w:spacing w:after="0"/>
              <w:jc w:val="center"/>
              <w:rPr>
                <w:color w:val="000000"/>
                <w:sz w:val="20"/>
              </w:rPr>
            </w:pPr>
            <w:r>
              <w:rPr>
                <w:color w:val="000000"/>
                <w:sz w:val="20"/>
              </w:rPr>
              <w:t>100,00</w:t>
            </w:r>
          </w:p>
        </w:tc>
      </w:tr>
      <w:tr w:rsidR="002B2CCB" w14:paraId="185631D5" w14:textId="77777777" w:rsidTr="002B2CCB">
        <w:trPr>
          <w:trHeight w:val="315"/>
        </w:trPr>
        <w:tc>
          <w:tcPr>
            <w:tcW w:w="1235" w:type="pct"/>
            <w:tcBorders>
              <w:top w:val="nil"/>
              <w:left w:val="nil"/>
              <w:bottom w:val="single" w:sz="8" w:space="0" w:color="auto"/>
              <w:right w:val="nil"/>
            </w:tcBorders>
            <w:shd w:val="clear" w:color="auto" w:fill="auto"/>
            <w:noWrap/>
            <w:tcMar>
              <w:top w:w="15" w:type="dxa"/>
              <w:left w:w="15" w:type="dxa"/>
              <w:bottom w:w="0" w:type="dxa"/>
              <w:right w:w="15" w:type="dxa"/>
            </w:tcMar>
            <w:vAlign w:val="bottom"/>
            <w:hideMark/>
          </w:tcPr>
          <w:p w14:paraId="273476B9" w14:textId="77777777" w:rsidR="002B2CCB" w:rsidRDefault="002B2CCB" w:rsidP="002B2CCB">
            <w:pPr>
              <w:spacing w:after="0"/>
              <w:jc w:val="left"/>
              <w:rPr>
                <w:b/>
                <w:bCs/>
                <w:color w:val="000000"/>
                <w:sz w:val="20"/>
              </w:rPr>
            </w:pPr>
            <w:r>
              <w:rPr>
                <w:b/>
                <w:bCs/>
                <w:color w:val="000000"/>
                <w:sz w:val="20"/>
              </w:rPr>
              <w:t>Žiaci v špec. školách</w:t>
            </w:r>
          </w:p>
        </w:tc>
        <w:tc>
          <w:tcPr>
            <w:tcW w:w="299" w:type="pct"/>
            <w:tcBorders>
              <w:top w:val="nil"/>
              <w:left w:val="nil"/>
              <w:bottom w:val="single" w:sz="8" w:space="0" w:color="auto"/>
              <w:right w:val="nil"/>
            </w:tcBorders>
            <w:shd w:val="clear" w:color="auto" w:fill="auto"/>
            <w:noWrap/>
            <w:tcMar>
              <w:top w:w="15" w:type="dxa"/>
              <w:left w:w="15" w:type="dxa"/>
              <w:bottom w:w="0" w:type="dxa"/>
              <w:right w:w="15" w:type="dxa"/>
            </w:tcMar>
            <w:vAlign w:val="bottom"/>
            <w:hideMark/>
          </w:tcPr>
          <w:p w14:paraId="22BB7120" w14:textId="77777777" w:rsidR="002B2CCB" w:rsidRDefault="002B2CCB" w:rsidP="002B2CCB">
            <w:pPr>
              <w:spacing w:after="0"/>
              <w:jc w:val="center"/>
              <w:rPr>
                <w:color w:val="000000"/>
                <w:sz w:val="20"/>
              </w:rPr>
            </w:pPr>
            <w:r>
              <w:rPr>
                <w:color w:val="000000"/>
                <w:sz w:val="20"/>
              </w:rPr>
              <w:t>0,00</w:t>
            </w:r>
          </w:p>
        </w:tc>
        <w:tc>
          <w:tcPr>
            <w:tcW w:w="287" w:type="pct"/>
            <w:tcBorders>
              <w:top w:val="nil"/>
              <w:left w:val="nil"/>
              <w:bottom w:val="single" w:sz="8" w:space="0" w:color="auto"/>
              <w:right w:val="nil"/>
            </w:tcBorders>
            <w:shd w:val="clear" w:color="auto" w:fill="auto"/>
            <w:noWrap/>
            <w:tcMar>
              <w:top w:w="15" w:type="dxa"/>
              <w:left w:w="15" w:type="dxa"/>
              <w:bottom w:w="0" w:type="dxa"/>
              <w:right w:w="15" w:type="dxa"/>
            </w:tcMar>
            <w:vAlign w:val="bottom"/>
            <w:hideMark/>
          </w:tcPr>
          <w:p w14:paraId="0BEF8AE8" w14:textId="77777777" w:rsidR="002B2CCB" w:rsidRDefault="002B2CCB" w:rsidP="002B2CCB">
            <w:pPr>
              <w:spacing w:after="0"/>
              <w:jc w:val="center"/>
              <w:rPr>
                <w:color w:val="000000"/>
                <w:sz w:val="20"/>
              </w:rPr>
            </w:pPr>
            <w:r>
              <w:rPr>
                <w:color w:val="000000"/>
                <w:sz w:val="20"/>
              </w:rPr>
              <w:t>0,00</w:t>
            </w:r>
          </w:p>
        </w:tc>
        <w:tc>
          <w:tcPr>
            <w:tcW w:w="352" w:type="pct"/>
            <w:tcBorders>
              <w:top w:val="nil"/>
              <w:left w:val="nil"/>
              <w:bottom w:val="single" w:sz="8" w:space="0" w:color="auto"/>
              <w:right w:val="nil"/>
            </w:tcBorders>
            <w:shd w:val="clear" w:color="auto" w:fill="auto"/>
            <w:noWrap/>
            <w:tcMar>
              <w:top w:w="15" w:type="dxa"/>
              <w:left w:w="15" w:type="dxa"/>
              <w:bottom w:w="0" w:type="dxa"/>
              <w:right w:w="15" w:type="dxa"/>
            </w:tcMar>
            <w:vAlign w:val="bottom"/>
            <w:hideMark/>
          </w:tcPr>
          <w:p w14:paraId="7FB0952F" w14:textId="77777777" w:rsidR="002B2CCB" w:rsidRDefault="002B2CCB" w:rsidP="002B2CCB">
            <w:pPr>
              <w:spacing w:after="0"/>
              <w:jc w:val="center"/>
              <w:rPr>
                <w:color w:val="000000"/>
                <w:sz w:val="20"/>
              </w:rPr>
            </w:pPr>
            <w:r>
              <w:rPr>
                <w:color w:val="000000"/>
                <w:sz w:val="20"/>
              </w:rPr>
              <w:t>97,08</w:t>
            </w:r>
          </w:p>
        </w:tc>
        <w:tc>
          <w:tcPr>
            <w:tcW w:w="306" w:type="pct"/>
            <w:tcBorders>
              <w:top w:val="nil"/>
              <w:left w:val="nil"/>
              <w:bottom w:val="single" w:sz="8" w:space="0" w:color="auto"/>
              <w:right w:val="nil"/>
            </w:tcBorders>
            <w:shd w:val="clear" w:color="auto" w:fill="auto"/>
            <w:noWrap/>
            <w:tcMar>
              <w:top w:w="15" w:type="dxa"/>
              <w:left w:w="15" w:type="dxa"/>
              <w:bottom w:w="0" w:type="dxa"/>
              <w:right w:w="15" w:type="dxa"/>
            </w:tcMar>
            <w:vAlign w:val="bottom"/>
            <w:hideMark/>
          </w:tcPr>
          <w:p w14:paraId="3458210A" w14:textId="77777777" w:rsidR="002B2CCB" w:rsidRDefault="002B2CCB" w:rsidP="002B2CCB">
            <w:pPr>
              <w:spacing w:after="0"/>
              <w:jc w:val="center"/>
              <w:rPr>
                <w:color w:val="000000"/>
                <w:sz w:val="20"/>
              </w:rPr>
            </w:pPr>
            <w:r>
              <w:rPr>
                <w:color w:val="000000"/>
                <w:sz w:val="20"/>
              </w:rPr>
              <w:t>0,15</w:t>
            </w:r>
          </w:p>
        </w:tc>
        <w:tc>
          <w:tcPr>
            <w:tcW w:w="300" w:type="pct"/>
            <w:tcBorders>
              <w:top w:val="nil"/>
              <w:left w:val="nil"/>
              <w:bottom w:val="single" w:sz="8" w:space="0" w:color="auto"/>
              <w:right w:val="nil"/>
            </w:tcBorders>
            <w:shd w:val="clear" w:color="auto" w:fill="auto"/>
            <w:noWrap/>
            <w:tcMar>
              <w:top w:w="15" w:type="dxa"/>
              <w:left w:w="15" w:type="dxa"/>
              <w:bottom w:w="0" w:type="dxa"/>
              <w:right w:w="15" w:type="dxa"/>
            </w:tcMar>
            <w:vAlign w:val="bottom"/>
            <w:hideMark/>
          </w:tcPr>
          <w:p w14:paraId="33F844F1" w14:textId="77777777" w:rsidR="002B2CCB" w:rsidRDefault="002B2CCB" w:rsidP="002B2CCB">
            <w:pPr>
              <w:spacing w:after="0"/>
              <w:jc w:val="center"/>
              <w:rPr>
                <w:color w:val="000000"/>
                <w:sz w:val="20"/>
              </w:rPr>
            </w:pPr>
            <w:r>
              <w:rPr>
                <w:color w:val="000000"/>
                <w:sz w:val="20"/>
              </w:rPr>
              <w:t>0,00</w:t>
            </w:r>
          </w:p>
        </w:tc>
        <w:tc>
          <w:tcPr>
            <w:tcW w:w="287" w:type="pct"/>
            <w:tcBorders>
              <w:top w:val="nil"/>
              <w:left w:val="nil"/>
              <w:bottom w:val="single" w:sz="8" w:space="0" w:color="auto"/>
              <w:right w:val="nil"/>
            </w:tcBorders>
            <w:shd w:val="clear" w:color="auto" w:fill="auto"/>
            <w:noWrap/>
            <w:tcMar>
              <w:top w:w="15" w:type="dxa"/>
              <w:left w:w="15" w:type="dxa"/>
              <w:bottom w:w="0" w:type="dxa"/>
              <w:right w:w="15" w:type="dxa"/>
            </w:tcMar>
            <w:vAlign w:val="bottom"/>
            <w:hideMark/>
          </w:tcPr>
          <w:p w14:paraId="56798FE4" w14:textId="77777777" w:rsidR="002B2CCB" w:rsidRDefault="002B2CCB" w:rsidP="002B2CCB">
            <w:pPr>
              <w:spacing w:after="0"/>
              <w:jc w:val="center"/>
              <w:rPr>
                <w:color w:val="000000"/>
                <w:sz w:val="20"/>
              </w:rPr>
            </w:pPr>
            <w:r>
              <w:rPr>
                <w:color w:val="000000"/>
                <w:sz w:val="20"/>
              </w:rPr>
              <w:t>1,17</w:t>
            </w:r>
          </w:p>
        </w:tc>
        <w:tc>
          <w:tcPr>
            <w:tcW w:w="292" w:type="pct"/>
            <w:tcBorders>
              <w:top w:val="nil"/>
              <w:left w:val="nil"/>
              <w:bottom w:val="single" w:sz="8" w:space="0" w:color="auto"/>
              <w:right w:val="nil"/>
            </w:tcBorders>
            <w:shd w:val="clear" w:color="auto" w:fill="auto"/>
            <w:noWrap/>
            <w:tcMar>
              <w:top w:w="15" w:type="dxa"/>
              <w:left w:w="15" w:type="dxa"/>
              <w:bottom w:w="0" w:type="dxa"/>
              <w:right w:w="15" w:type="dxa"/>
            </w:tcMar>
            <w:vAlign w:val="bottom"/>
            <w:hideMark/>
          </w:tcPr>
          <w:p w14:paraId="1091FC77" w14:textId="77777777" w:rsidR="002B2CCB" w:rsidRDefault="002B2CCB" w:rsidP="002B2CCB">
            <w:pPr>
              <w:spacing w:after="0"/>
              <w:jc w:val="center"/>
              <w:rPr>
                <w:color w:val="000000"/>
                <w:sz w:val="20"/>
              </w:rPr>
            </w:pPr>
            <w:r>
              <w:rPr>
                <w:color w:val="000000"/>
                <w:sz w:val="20"/>
              </w:rPr>
              <w:t>0,44</w:t>
            </w:r>
          </w:p>
        </w:tc>
        <w:tc>
          <w:tcPr>
            <w:tcW w:w="287" w:type="pct"/>
            <w:tcBorders>
              <w:top w:val="nil"/>
              <w:left w:val="nil"/>
              <w:bottom w:val="single" w:sz="8" w:space="0" w:color="auto"/>
              <w:right w:val="nil"/>
            </w:tcBorders>
            <w:shd w:val="clear" w:color="auto" w:fill="auto"/>
            <w:noWrap/>
            <w:tcMar>
              <w:top w:w="15" w:type="dxa"/>
              <w:left w:w="15" w:type="dxa"/>
              <w:bottom w:w="0" w:type="dxa"/>
              <w:right w:w="15" w:type="dxa"/>
            </w:tcMar>
            <w:vAlign w:val="bottom"/>
            <w:hideMark/>
          </w:tcPr>
          <w:p w14:paraId="4B8F2484" w14:textId="77777777" w:rsidR="002B2CCB" w:rsidRDefault="002B2CCB" w:rsidP="002B2CCB">
            <w:pPr>
              <w:spacing w:after="0"/>
              <w:jc w:val="center"/>
              <w:rPr>
                <w:color w:val="000000"/>
                <w:sz w:val="20"/>
              </w:rPr>
            </w:pPr>
            <w:r>
              <w:rPr>
                <w:color w:val="000000"/>
                <w:sz w:val="20"/>
              </w:rPr>
              <w:t>0,58</w:t>
            </w:r>
          </w:p>
        </w:tc>
        <w:tc>
          <w:tcPr>
            <w:tcW w:w="287" w:type="pct"/>
            <w:tcBorders>
              <w:top w:val="nil"/>
              <w:left w:val="nil"/>
              <w:bottom w:val="single" w:sz="8" w:space="0" w:color="auto"/>
              <w:right w:val="nil"/>
            </w:tcBorders>
            <w:shd w:val="clear" w:color="auto" w:fill="auto"/>
            <w:noWrap/>
            <w:tcMar>
              <w:top w:w="15" w:type="dxa"/>
              <w:left w:w="15" w:type="dxa"/>
              <w:bottom w:w="0" w:type="dxa"/>
              <w:right w:w="15" w:type="dxa"/>
            </w:tcMar>
            <w:vAlign w:val="bottom"/>
            <w:hideMark/>
          </w:tcPr>
          <w:p w14:paraId="4D78BA23" w14:textId="77777777" w:rsidR="002B2CCB" w:rsidRDefault="002B2CCB" w:rsidP="002B2CCB">
            <w:pPr>
              <w:spacing w:after="0"/>
              <w:jc w:val="center"/>
              <w:rPr>
                <w:color w:val="000000"/>
                <w:sz w:val="20"/>
              </w:rPr>
            </w:pPr>
            <w:r>
              <w:rPr>
                <w:color w:val="000000"/>
                <w:sz w:val="20"/>
              </w:rPr>
              <w:t>0,00</w:t>
            </w:r>
          </w:p>
        </w:tc>
        <w:tc>
          <w:tcPr>
            <w:tcW w:w="352" w:type="pct"/>
            <w:tcBorders>
              <w:top w:val="nil"/>
              <w:left w:val="nil"/>
              <w:bottom w:val="single" w:sz="8" w:space="0" w:color="auto"/>
              <w:right w:val="nil"/>
            </w:tcBorders>
            <w:shd w:val="clear" w:color="auto" w:fill="auto"/>
            <w:noWrap/>
            <w:tcMar>
              <w:top w:w="15" w:type="dxa"/>
              <w:left w:w="15" w:type="dxa"/>
              <w:bottom w:w="0" w:type="dxa"/>
              <w:right w:w="15" w:type="dxa"/>
            </w:tcMar>
            <w:vAlign w:val="bottom"/>
            <w:hideMark/>
          </w:tcPr>
          <w:p w14:paraId="2B89B6EB" w14:textId="77777777" w:rsidR="002B2CCB" w:rsidRDefault="002B2CCB" w:rsidP="002B2CCB">
            <w:pPr>
              <w:spacing w:after="0"/>
              <w:jc w:val="center"/>
              <w:rPr>
                <w:color w:val="000000"/>
                <w:sz w:val="20"/>
              </w:rPr>
            </w:pPr>
            <w:r>
              <w:rPr>
                <w:color w:val="000000"/>
                <w:sz w:val="20"/>
              </w:rPr>
              <w:t>0,15</w:t>
            </w:r>
          </w:p>
        </w:tc>
        <w:tc>
          <w:tcPr>
            <w:tcW w:w="300" w:type="pct"/>
            <w:tcBorders>
              <w:top w:val="nil"/>
              <w:left w:val="nil"/>
              <w:bottom w:val="single" w:sz="8" w:space="0" w:color="auto"/>
              <w:right w:val="nil"/>
            </w:tcBorders>
            <w:shd w:val="clear" w:color="auto" w:fill="auto"/>
            <w:noWrap/>
            <w:tcMar>
              <w:top w:w="15" w:type="dxa"/>
              <w:left w:w="15" w:type="dxa"/>
              <w:bottom w:w="0" w:type="dxa"/>
              <w:right w:w="15" w:type="dxa"/>
            </w:tcMar>
            <w:vAlign w:val="bottom"/>
            <w:hideMark/>
          </w:tcPr>
          <w:p w14:paraId="5D3B25EB" w14:textId="77777777" w:rsidR="002B2CCB" w:rsidRDefault="002B2CCB" w:rsidP="002B2CCB">
            <w:pPr>
              <w:spacing w:after="0"/>
              <w:jc w:val="center"/>
              <w:rPr>
                <w:color w:val="000000"/>
                <w:sz w:val="20"/>
              </w:rPr>
            </w:pPr>
            <w:r>
              <w:rPr>
                <w:color w:val="000000"/>
                <w:sz w:val="20"/>
              </w:rPr>
              <w:t>0,44</w:t>
            </w:r>
          </w:p>
        </w:tc>
        <w:tc>
          <w:tcPr>
            <w:tcW w:w="415" w:type="pct"/>
            <w:tcBorders>
              <w:top w:val="nil"/>
              <w:left w:val="nil"/>
              <w:bottom w:val="single" w:sz="8" w:space="0" w:color="auto"/>
              <w:right w:val="nil"/>
            </w:tcBorders>
            <w:shd w:val="clear" w:color="auto" w:fill="auto"/>
            <w:noWrap/>
            <w:tcMar>
              <w:top w:w="15" w:type="dxa"/>
              <w:left w:w="15" w:type="dxa"/>
              <w:bottom w:w="0" w:type="dxa"/>
              <w:right w:w="15" w:type="dxa"/>
            </w:tcMar>
            <w:vAlign w:val="bottom"/>
            <w:hideMark/>
          </w:tcPr>
          <w:p w14:paraId="412A8C53" w14:textId="77777777" w:rsidR="002B2CCB" w:rsidRDefault="002B2CCB" w:rsidP="002B2CCB">
            <w:pPr>
              <w:spacing w:after="0"/>
              <w:jc w:val="center"/>
              <w:rPr>
                <w:color w:val="000000"/>
                <w:sz w:val="20"/>
              </w:rPr>
            </w:pPr>
            <w:r>
              <w:rPr>
                <w:color w:val="000000"/>
                <w:sz w:val="20"/>
              </w:rPr>
              <w:t>100,00</w:t>
            </w:r>
          </w:p>
        </w:tc>
      </w:tr>
      <w:tr w:rsidR="002B2CCB" w14:paraId="697C4207" w14:textId="77777777" w:rsidTr="002B2CCB">
        <w:trPr>
          <w:trHeight w:val="300"/>
        </w:trPr>
        <w:tc>
          <w:tcPr>
            <w:tcW w:w="5000" w:type="pct"/>
            <w:gridSpan w:val="13"/>
            <w:tcBorders>
              <w:top w:val="nil"/>
              <w:left w:val="nil"/>
              <w:bottom w:val="nil"/>
              <w:right w:val="nil"/>
            </w:tcBorders>
            <w:shd w:val="clear" w:color="auto" w:fill="auto"/>
            <w:noWrap/>
            <w:tcMar>
              <w:top w:w="15" w:type="dxa"/>
              <w:left w:w="15" w:type="dxa"/>
              <w:bottom w:w="0" w:type="dxa"/>
              <w:right w:w="15" w:type="dxa"/>
            </w:tcMar>
            <w:vAlign w:val="center"/>
            <w:hideMark/>
          </w:tcPr>
          <w:p w14:paraId="124AA3CB" w14:textId="77777777" w:rsidR="002B2CCB" w:rsidRDefault="002B2CCB" w:rsidP="002B2CCB">
            <w:pPr>
              <w:spacing w:after="0"/>
              <w:jc w:val="right"/>
              <w:rPr>
                <w:i/>
                <w:iCs/>
                <w:color w:val="000000"/>
                <w:sz w:val="18"/>
                <w:szCs w:val="18"/>
              </w:rPr>
            </w:pPr>
            <w:r>
              <w:rPr>
                <w:i/>
                <w:iCs/>
                <w:color w:val="000000"/>
                <w:sz w:val="18"/>
                <w:szCs w:val="18"/>
              </w:rPr>
              <w:t xml:space="preserve">Zdroj: prepočty IVP na základe údajov RIS MŠVVŠ SR (2016-2019). </w:t>
            </w:r>
          </w:p>
          <w:p w14:paraId="3DC27E83" w14:textId="547A4F67" w:rsidR="002B2CCB" w:rsidRDefault="002B2CCB" w:rsidP="002B2CCB">
            <w:pPr>
              <w:spacing w:after="0"/>
              <w:rPr>
                <w:i/>
                <w:iCs/>
                <w:color w:val="000000"/>
                <w:sz w:val="18"/>
                <w:szCs w:val="18"/>
              </w:rPr>
            </w:pPr>
            <w:r>
              <w:rPr>
                <w:i/>
                <w:iCs/>
                <w:color w:val="000000"/>
                <w:sz w:val="18"/>
                <w:szCs w:val="18"/>
              </w:rPr>
              <w:t>Metodika výpočtov v tabuľke je odlišná od medzinárodne vykazovaných údajov. Údaje v tejto časti preto nie sú porovnateľné s medzinárodne vykazovanými údajmi. Jedná sa o podiel žiakov s ukončenou povinnou školskou dochádzkou nepokračujúcich vo vzdelávaní na základných alebo stredných školách. Mentálne postihnutia zahŕňajú kombinácie mentálneho postihnutia s iným zdravotným znevýhodnením. S výnimkou všetkých mentálne postihnutých a žiakov s vývojovými poruchami učenia v integrácii je vo všetkých kategóriách zdravotného znevýhodnenia menej ako 30 žiakov.</w:t>
            </w:r>
          </w:p>
        </w:tc>
      </w:tr>
    </w:tbl>
    <w:p w14:paraId="06FAFAC0" w14:textId="77777777" w:rsidR="002B2CCB" w:rsidRDefault="002B2CCB" w:rsidP="002B2CCB">
      <w:pPr>
        <w:rPr>
          <w:b/>
          <w:color w:val="0070C0"/>
          <w:sz w:val="20"/>
        </w:rPr>
      </w:pPr>
      <w:r w:rsidRPr="002B2CCB">
        <w:rPr>
          <w:b/>
          <w:color w:val="0070C0"/>
          <w:sz w:val="20"/>
        </w:rPr>
        <w:t xml:space="preserve"> </w:t>
      </w:r>
      <w:bookmarkStart w:id="1936" w:name="_Ref25844795"/>
    </w:p>
    <w:p w14:paraId="39134FA1" w14:textId="657246BA" w:rsidR="001B34C7" w:rsidRPr="002B2CCB" w:rsidRDefault="001B34C7" w:rsidP="002B2CCB">
      <w:pPr>
        <w:rPr>
          <w:b/>
          <w:color w:val="2E74B5" w:themeColor="accent1" w:themeShade="BF"/>
        </w:rPr>
      </w:pPr>
      <w:bookmarkStart w:id="1937" w:name="_Ref34320332"/>
      <w:r w:rsidRPr="002B2CCB">
        <w:rPr>
          <w:b/>
          <w:color w:val="2E74B5" w:themeColor="accent1" w:themeShade="BF"/>
        </w:rPr>
        <w:t xml:space="preserve">Príloha </w:t>
      </w:r>
      <w:r w:rsidRPr="002B2CCB">
        <w:rPr>
          <w:b/>
          <w:color w:val="2E74B5" w:themeColor="accent1" w:themeShade="BF"/>
        </w:rPr>
        <w:fldChar w:fldCharType="begin"/>
      </w:r>
      <w:r w:rsidRPr="002B2CCB">
        <w:rPr>
          <w:b/>
          <w:color w:val="2E74B5" w:themeColor="accent1" w:themeShade="BF"/>
        </w:rPr>
        <w:instrText xml:space="preserve"> SEQ Príloha \* ARABIC </w:instrText>
      </w:r>
      <w:r w:rsidRPr="002B2CCB">
        <w:rPr>
          <w:b/>
          <w:color w:val="2E74B5" w:themeColor="accent1" w:themeShade="BF"/>
        </w:rPr>
        <w:fldChar w:fldCharType="separate"/>
      </w:r>
      <w:r w:rsidR="00FA29AF">
        <w:rPr>
          <w:b/>
          <w:noProof/>
          <w:color w:val="2E74B5" w:themeColor="accent1" w:themeShade="BF"/>
        </w:rPr>
        <w:t>30</w:t>
      </w:r>
      <w:r w:rsidRPr="002B2CCB">
        <w:rPr>
          <w:b/>
          <w:color w:val="2E74B5" w:themeColor="accent1" w:themeShade="BF"/>
        </w:rPr>
        <w:fldChar w:fldCharType="end"/>
      </w:r>
      <w:bookmarkEnd w:id="1936"/>
      <w:bookmarkEnd w:id="1937"/>
      <w:r w:rsidRPr="002B2CCB">
        <w:rPr>
          <w:b/>
          <w:color w:val="2E74B5" w:themeColor="accent1" w:themeShade="BF"/>
        </w:rPr>
        <w:t>: Vývoj podielu žiakov so zdravotným znevýhodnením v stredných školách, 2008-2018</w:t>
      </w:r>
    </w:p>
    <w:tbl>
      <w:tblPr>
        <w:tblW w:w="9072" w:type="dxa"/>
        <w:tblLook w:val="04E0" w:firstRow="1" w:lastRow="1" w:firstColumn="1" w:lastColumn="0" w:noHBand="0" w:noVBand="1"/>
      </w:tblPr>
      <w:tblGrid>
        <w:gridCol w:w="9072"/>
      </w:tblGrid>
      <w:tr w:rsidR="001B34C7" w:rsidRPr="00CA2564" w14:paraId="77FAB75B" w14:textId="77777777" w:rsidTr="002E33D9">
        <w:tc>
          <w:tcPr>
            <w:tcW w:w="9072" w:type="dxa"/>
          </w:tcPr>
          <w:p w14:paraId="34E2B306" w14:textId="670B8DEA" w:rsidR="001B34C7" w:rsidRPr="00057DC6" w:rsidRDefault="001B34C7" w:rsidP="00057DC6">
            <w:pPr>
              <w:spacing w:after="0" w:line="240" w:lineRule="auto"/>
              <w:rPr>
                <w:b/>
              </w:rPr>
            </w:pPr>
            <w:r w:rsidRPr="00057DC6">
              <w:rPr>
                <w:b/>
                <w:sz w:val="20"/>
              </w:rPr>
              <w:t xml:space="preserve">Graf P </w:t>
            </w:r>
            <w:r w:rsidRPr="00057DC6">
              <w:rPr>
                <w:b/>
                <w:sz w:val="20"/>
              </w:rPr>
              <w:fldChar w:fldCharType="begin"/>
            </w:r>
            <w:r w:rsidRPr="00057DC6">
              <w:rPr>
                <w:b/>
                <w:sz w:val="20"/>
              </w:rPr>
              <w:instrText xml:space="preserve"> SEQ Graf_P \* ARABIC </w:instrText>
            </w:r>
            <w:r w:rsidRPr="00057DC6">
              <w:rPr>
                <w:b/>
                <w:sz w:val="20"/>
              </w:rPr>
              <w:fldChar w:fldCharType="separate"/>
            </w:r>
            <w:r w:rsidR="00FA29AF">
              <w:rPr>
                <w:b/>
                <w:noProof/>
                <w:sz w:val="20"/>
              </w:rPr>
              <w:t>6</w:t>
            </w:r>
            <w:r w:rsidRPr="00057DC6">
              <w:rPr>
                <w:b/>
                <w:sz w:val="20"/>
              </w:rPr>
              <w:fldChar w:fldCharType="end"/>
            </w:r>
            <w:r w:rsidRPr="00057DC6">
              <w:rPr>
                <w:b/>
                <w:sz w:val="20"/>
              </w:rPr>
              <w:t>: Vývoj</w:t>
            </w:r>
            <w:r w:rsidR="0070047D" w:rsidRPr="00057DC6">
              <w:rPr>
                <w:b/>
                <w:sz w:val="20"/>
              </w:rPr>
              <w:t xml:space="preserve"> </w:t>
            </w:r>
            <w:r w:rsidRPr="00057DC6">
              <w:rPr>
                <w:b/>
                <w:sz w:val="20"/>
              </w:rPr>
              <w:t>podielu žiakov so ZZ v základných školách, 2008-2018</w:t>
            </w:r>
          </w:p>
        </w:tc>
      </w:tr>
      <w:tr w:rsidR="001B34C7" w:rsidRPr="00CA2564" w14:paraId="5A3A628D" w14:textId="77777777" w:rsidTr="002E33D9">
        <w:tblPrEx>
          <w:tblCellMar>
            <w:left w:w="70" w:type="dxa"/>
            <w:right w:w="70" w:type="dxa"/>
          </w:tblCellMar>
        </w:tblPrEx>
        <w:tc>
          <w:tcPr>
            <w:tcW w:w="9072" w:type="dxa"/>
            <w:tcBorders>
              <w:top w:val="single" w:sz="4" w:space="0" w:color="auto"/>
              <w:bottom w:val="single" w:sz="4" w:space="0" w:color="auto"/>
            </w:tcBorders>
          </w:tcPr>
          <w:p w14:paraId="68591784" w14:textId="77777777" w:rsidR="001B34C7" w:rsidRPr="00DE6185" w:rsidRDefault="001B34C7" w:rsidP="00057DC6">
            <w:pPr>
              <w:spacing w:after="0" w:line="240" w:lineRule="auto"/>
              <w:rPr>
                <w:sz w:val="4"/>
                <w:szCs w:val="4"/>
              </w:rPr>
            </w:pPr>
          </w:p>
          <w:p w14:paraId="3CE80DBA" w14:textId="77777777" w:rsidR="001B34C7" w:rsidRPr="00DE6185" w:rsidRDefault="001B34C7" w:rsidP="00057DC6">
            <w:pPr>
              <w:spacing w:after="0" w:line="240" w:lineRule="auto"/>
              <w:rPr>
                <w:sz w:val="4"/>
                <w:szCs w:val="4"/>
              </w:rPr>
            </w:pPr>
          </w:p>
          <w:p w14:paraId="2D636C31" w14:textId="77777777" w:rsidR="001B34C7" w:rsidRPr="0057129C" w:rsidRDefault="001B34C7" w:rsidP="00057DC6">
            <w:pPr>
              <w:spacing w:after="0" w:line="240" w:lineRule="auto"/>
              <w:rPr>
                <w:sz w:val="4"/>
                <w:szCs w:val="4"/>
              </w:rPr>
            </w:pPr>
            <w:r>
              <w:rPr>
                <w:noProof/>
                <w:lang w:eastAsia="sk-SK"/>
              </w:rPr>
              <w:drawing>
                <wp:inline distT="0" distB="0" distL="0" distR="0" wp14:anchorId="2489E2B0" wp14:editId="49D8A163">
                  <wp:extent cx="5543550" cy="2047875"/>
                  <wp:effectExtent l="0" t="0" r="0" b="0"/>
                  <wp:docPr id="37" name="Graf 3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6D91FE4-CEC2-4682-822C-8BF31D6F29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3"/>
                    </a:graphicData>
                  </a:graphic>
                </wp:inline>
              </w:drawing>
            </w:r>
          </w:p>
        </w:tc>
      </w:tr>
      <w:tr w:rsidR="001B34C7" w:rsidRPr="00CA2564" w14:paraId="114D7ED3" w14:textId="77777777" w:rsidTr="002E33D9">
        <w:tc>
          <w:tcPr>
            <w:tcW w:w="9072" w:type="dxa"/>
          </w:tcPr>
          <w:p w14:paraId="3AA5429C" w14:textId="77777777" w:rsidR="00057DC6" w:rsidRDefault="00057DC6" w:rsidP="00057DC6">
            <w:pPr>
              <w:spacing w:after="0" w:line="240" w:lineRule="auto"/>
              <w:jc w:val="right"/>
              <w:rPr>
                <w:i/>
                <w:noProof/>
                <w:sz w:val="18"/>
                <w:szCs w:val="18"/>
              </w:rPr>
            </w:pPr>
            <w:r w:rsidRPr="00057DC6">
              <w:rPr>
                <w:i/>
                <w:noProof/>
                <w:sz w:val="18"/>
                <w:szCs w:val="18"/>
              </w:rPr>
              <w:t xml:space="preserve">Zdroj: Vlastné prepočty IVP na základe dát CVTI (2008-2018). </w:t>
            </w:r>
          </w:p>
          <w:p w14:paraId="0CE39165" w14:textId="252962B3" w:rsidR="001B34C7" w:rsidRPr="00057DC6" w:rsidRDefault="00057DC6" w:rsidP="00057DC6">
            <w:pPr>
              <w:spacing w:after="0" w:line="240" w:lineRule="auto"/>
              <w:rPr>
                <w:i/>
                <w:noProof/>
                <w:sz w:val="18"/>
                <w:szCs w:val="18"/>
              </w:rPr>
            </w:pPr>
            <w:r>
              <w:rPr>
                <w:i/>
                <w:noProof/>
                <w:sz w:val="18"/>
                <w:szCs w:val="18"/>
              </w:rPr>
              <w:t xml:space="preserve">Poznámka: </w:t>
            </w:r>
            <w:r w:rsidRPr="00057DC6">
              <w:rPr>
                <w:i/>
                <w:noProof/>
                <w:sz w:val="18"/>
                <w:szCs w:val="18"/>
              </w:rPr>
              <w:t>Stredné vzdelávanie zahŕňa žiakov v integrácii a v špeciálnych školách.</w:t>
            </w:r>
          </w:p>
        </w:tc>
      </w:tr>
    </w:tbl>
    <w:p w14:paraId="650721CB" w14:textId="77777777" w:rsidR="001B34C7" w:rsidRDefault="001B34C7" w:rsidP="001B34C7">
      <w:pPr>
        <w:pStyle w:val="Popis"/>
        <w:rPr>
          <w:b/>
          <w:i w:val="0"/>
          <w:color w:val="2E74B5" w:themeColor="accent1" w:themeShade="BF"/>
          <w:sz w:val="22"/>
        </w:rPr>
      </w:pPr>
    </w:p>
    <w:p w14:paraId="5DA84AFA" w14:textId="77777777" w:rsidR="001B34C7" w:rsidRPr="000C6214" w:rsidRDefault="001B34C7" w:rsidP="001B34C7">
      <w:pPr>
        <w:pStyle w:val="Popis"/>
        <w:rPr>
          <w:b/>
          <w:i w:val="0"/>
          <w:color w:val="2E74B5" w:themeColor="accent1" w:themeShade="BF"/>
          <w:sz w:val="22"/>
        </w:rPr>
      </w:pPr>
      <w:bookmarkStart w:id="1938" w:name="_Ref25844809"/>
      <w:r w:rsidRPr="000C6214">
        <w:rPr>
          <w:b/>
          <w:i w:val="0"/>
          <w:color w:val="2E74B5" w:themeColor="accent1" w:themeShade="BF"/>
          <w:sz w:val="22"/>
        </w:rPr>
        <w:t xml:space="preserve">Príloha </w:t>
      </w:r>
      <w:r w:rsidRPr="00AD2F2A">
        <w:rPr>
          <w:b/>
          <w:i w:val="0"/>
          <w:color w:val="2E74B5" w:themeColor="accent1" w:themeShade="BF"/>
          <w:sz w:val="22"/>
        </w:rPr>
        <w:fldChar w:fldCharType="begin"/>
      </w:r>
      <w:r w:rsidRPr="00AD2F2A">
        <w:rPr>
          <w:b/>
          <w:i w:val="0"/>
          <w:color w:val="2E74B5" w:themeColor="accent1" w:themeShade="BF"/>
          <w:sz w:val="22"/>
        </w:rPr>
        <w:instrText xml:space="preserve"> SEQ Príloha \* ARABIC </w:instrText>
      </w:r>
      <w:r w:rsidRPr="00AD2F2A">
        <w:rPr>
          <w:b/>
          <w:i w:val="0"/>
          <w:color w:val="2E74B5" w:themeColor="accent1" w:themeShade="BF"/>
          <w:sz w:val="22"/>
        </w:rPr>
        <w:fldChar w:fldCharType="separate"/>
      </w:r>
      <w:r w:rsidR="00FA29AF">
        <w:rPr>
          <w:b/>
          <w:i w:val="0"/>
          <w:noProof/>
          <w:color w:val="2E74B5" w:themeColor="accent1" w:themeShade="BF"/>
          <w:sz w:val="22"/>
        </w:rPr>
        <w:t>31</w:t>
      </w:r>
      <w:r w:rsidRPr="00AD2F2A">
        <w:rPr>
          <w:b/>
          <w:i w:val="0"/>
          <w:color w:val="2E74B5" w:themeColor="accent1" w:themeShade="BF"/>
          <w:sz w:val="22"/>
        </w:rPr>
        <w:fldChar w:fldCharType="end"/>
      </w:r>
      <w:bookmarkEnd w:id="1938"/>
      <w:r w:rsidRPr="000C6214">
        <w:rPr>
          <w:b/>
          <w:i w:val="0"/>
          <w:color w:val="2E74B5" w:themeColor="accent1" w:themeShade="BF"/>
          <w:sz w:val="22"/>
        </w:rPr>
        <w:t>: Vývoj počtu žiakov s jednotlivými druhmi zdravotného znevýhodnenia v stredných školách, 2012-2018</w:t>
      </w:r>
    </w:p>
    <w:p w14:paraId="07392113" w14:textId="2621F244" w:rsidR="006402E9" w:rsidRPr="00A77253" w:rsidRDefault="006402E9" w:rsidP="006402E9">
      <w:pPr>
        <w:pStyle w:val="Popis"/>
        <w:keepNext/>
        <w:spacing w:after="0"/>
        <w:rPr>
          <w:b/>
          <w:i w:val="0"/>
        </w:rPr>
      </w:pPr>
      <w:r w:rsidRPr="00A77253">
        <w:rPr>
          <w:b/>
          <w:i w:val="0"/>
          <w:color w:val="auto"/>
          <w:sz w:val="20"/>
        </w:rPr>
        <w:t xml:space="preserve">Tabuľka P </w:t>
      </w:r>
      <w:r w:rsidRPr="00A77253">
        <w:rPr>
          <w:b/>
          <w:i w:val="0"/>
          <w:color w:val="auto"/>
          <w:sz w:val="20"/>
        </w:rPr>
        <w:fldChar w:fldCharType="begin"/>
      </w:r>
      <w:r w:rsidRPr="00A77253">
        <w:rPr>
          <w:b/>
          <w:i w:val="0"/>
          <w:color w:val="auto"/>
          <w:sz w:val="20"/>
        </w:rPr>
        <w:instrText xml:space="preserve"> SEQ Tabuľka_P \* ARABIC </w:instrText>
      </w:r>
      <w:r w:rsidRPr="00A77253">
        <w:rPr>
          <w:b/>
          <w:i w:val="0"/>
          <w:color w:val="auto"/>
          <w:sz w:val="20"/>
        </w:rPr>
        <w:fldChar w:fldCharType="separate"/>
      </w:r>
      <w:r w:rsidR="00FA29AF">
        <w:rPr>
          <w:b/>
          <w:i w:val="0"/>
          <w:noProof/>
          <w:color w:val="auto"/>
          <w:sz w:val="20"/>
        </w:rPr>
        <w:t>25</w:t>
      </w:r>
      <w:r w:rsidRPr="00A77253">
        <w:rPr>
          <w:b/>
          <w:i w:val="0"/>
          <w:color w:val="auto"/>
          <w:sz w:val="20"/>
        </w:rPr>
        <w:fldChar w:fldCharType="end"/>
      </w:r>
      <w:r w:rsidR="00A77253" w:rsidRPr="00A77253">
        <w:rPr>
          <w:b/>
          <w:i w:val="0"/>
          <w:color w:val="auto"/>
          <w:sz w:val="20"/>
        </w:rPr>
        <w:t>: Vývoj počtu žiakov s jednotlivými druhmi zdravotného znevýhodnenia v stredných školách, 2012-2018</w:t>
      </w:r>
    </w:p>
    <w:tbl>
      <w:tblPr>
        <w:tblW w:w="9060" w:type="dxa"/>
        <w:tblCellMar>
          <w:left w:w="70" w:type="dxa"/>
          <w:right w:w="70" w:type="dxa"/>
        </w:tblCellMar>
        <w:tblLook w:val="04A0" w:firstRow="1" w:lastRow="0" w:firstColumn="1" w:lastColumn="0" w:noHBand="0" w:noVBand="1"/>
      </w:tblPr>
      <w:tblGrid>
        <w:gridCol w:w="4111"/>
        <w:gridCol w:w="567"/>
        <w:gridCol w:w="680"/>
        <w:gridCol w:w="1247"/>
        <w:gridCol w:w="1247"/>
        <w:gridCol w:w="1208"/>
      </w:tblGrid>
      <w:tr w:rsidR="001B34C7" w:rsidRPr="00922C7B" w14:paraId="7980CF3D" w14:textId="77777777" w:rsidTr="009C4F06">
        <w:trPr>
          <w:trHeight w:val="300"/>
        </w:trPr>
        <w:tc>
          <w:tcPr>
            <w:tcW w:w="4111" w:type="dxa"/>
            <w:tcBorders>
              <w:top w:val="single" w:sz="4" w:space="0" w:color="auto"/>
              <w:left w:val="nil"/>
              <w:right w:val="nil"/>
            </w:tcBorders>
            <w:shd w:val="clear" w:color="auto" w:fill="auto"/>
            <w:noWrap/>
            <w:vAlign w:val="bottom"/>
            <w:hideMark/>
          </w:tcPr>
          <w:p w14:paraId="1C5137AF" w14:textId="77777777" w:rsidR="001B34C7" w:rsidRPr="00922C7B" w:rsidRDefault="001B34C7" w:rsidP="002E33D9">
            <w:pPr>
              <w:spacing w:after="0" w:line="240" w:lineRule="auto"/>
              <w:rPr>
                <w:rFonts w:ascii="Times New Roman" w:eastAsia="Times New Roman" w:hAnsi="Times New Roman" w:cs="Times New Roman"/>
                <w:sz w:val="20"/>
                <w:lang w:eastAsia="sk-SK"/>
              </w:rPr>
            </w:pPr>
          </w:p>
        </w:tc>
        <w:tc>
          <w:tcPr>
            <w:tcW w:w="4949" w:type="dxa"/>
            <w:gridSpan w:val="5"/>
            <w:tcBorders>
              <w:top w:val="single" w:sz="4" w:space="0" w:color="auto"/>
              <w:left w:val="nil"/>
              <w:right w:val="nil"/>
            </w:tcBorders>
            <w:shd w:val="clear" w:color="auto" w:fill="auto"/>
            <w:noWrap/>
            <w:vAlign w:val="bottom"/>
            <w:hideMark/>
          </w:tcPr>
          <w:p w14:paraId="72D1E666" w14:textId="77777777" w:rsidR="001B34C7" w:rsidRPr="00922C7B" w:rsidRDefault="001B34C7" w:rsidP="002E33D9">
            <w:pPr>
              <w:spacing w:after="0" w:line="240" w:lineRule="auto"/>
              <w:jc w:val="center"/>
              <w:rPr>
                <w:rFonts w:eastAsia="Times New Roman" w:cs="Calibri"/>
                <w:b/>
                <w:bCs/>
                <w:color w:val="000000"/>
                <w:sz w:val="20"/>
                <w:lang w:eastAsia="sk-SK"/>
              </w:rPr>
            </w:pPr>
            <w:r w:rsidRPr="00922C7B">
              <w:rPr>
                <w:rFonts w:eastAsia="Times New Roman" w:cs="Calibri"/>
                <w:b/>
                <w:bCs/>
                <w:color w:val="000000"/>
                <w:sz w:val="20"/>
                <w:lang w:eastAsia="sk-SK"/>
              </w:rPr>
              <w:t>Rozdiel 2012 a 2018</w:t>
            </w:r>
          </w:p>
        </w:tc>
      </w:tr>
      <w:tr w:rsidR="001B34C7" w:rsidRPr="00922C7B" w14:paraId="3A8C42E9" w14:textId="77777777" w:rsidTr="009C4F06">
        <w:trPr>
          <w:trHeight w:val="300"/>
        </w:trPr>
        <w:tc>
          <w:tcPr>
            <w:tcW w:w="4111" w:type="dxa"/>
            <w:tcBorders>
              <w:bottom w:val="single" w:sz="4" w:space="0" w:color="auto"/>
            </w:tcBorders>
            <w:shd w:val="clear" w:color="auto" w:fill="auto"/>
            <w:noWrap/>
            <w:vAlign w:val="bottom"/>
            <w:hideMark/>
          </w:tcPr>
          <w:p w14:paraId="5D9B3E7C" w14:textId="77777777" w:rsidR="001B34C7" w:rsidRPr="00922C7B" w:rsidRDefault="001B34C7" w:rsidP="002E33D9">
            <w:pPr>
              <w:spacing w:after="0" w:line="240" w:lineRule="auto"/>
              <w:rPr>
                <w:rFonts w:eastAsia="Times New Roman" w:cs="Calibri"/>
                <w:color w:val="000000"/>
                <w:sz w:val="20"/>
                <w:lang w:eastAsia="sk-SK"/>
              </w:rPr>
            </w:pPr>
            <w:r w:rsidRPr="00922C7B">
              <w:rPr>
                <w:rFonts w:eastAsia="Times New Roman" w:cs="Calibri"/>
                <w:color w:val="000000"/>
                <w:sz w:val="20"/>
                <w:lang w:eastAsia="sk-SK"/>
              </w:rPr>
              <w:t> </w:t>
            </w:r>
          </w:p>
        </w:tc>
        <w:tc>
          <w:tcPr>
            <w:tcW w:w="1247" w:type="dxa"/>
            <w:gridSpan w:val="2"/>
            <w:tcBorders>
              <w:bottom w:val="single" w:sz="4" w:space="0" w:color="auto"/>
            </w:tcBorders>
            <w:shd w:val="clear" w:color="auto" w:fill="auto"/>
            <w:noWrap/>
            <w:vAlign w:val="bottom"/>
            <w:hideMark/>
          </w:tcPr>
          <w:p w14:paraId="27B90778" w14:textId="77777777" w:rsidR="001B34C7" w:rsidRPr="00922C7B" w:rsidRDefault="001B34C7" w:rsidP="002E33D9">
            <w:pPr>
              <w:spacing w:after="0" w:line="240" w:lineRule="auto"/>
              <w:jc w:val="center"/>
              <w:rPr>
                <w:rFonts w:eastAsia="Times New Roman" w:cs="Calibri"/>
                <w:b/>
                <w:bCs/>
                <w:color w:val="000000"/>
                <w:sz w:val="20"/>
                <w:lang w:eastAsia="sk-SK"/>
              </w:rPr>
            </w:pPr>
            <w:r w:rsidRPr="00922C7B">
              <w:rPr>
                <w:rFonts w:eastAsia="Times New Roman" w:cs="Calibri"/>
                <w:b/>
                <w:bCs/>
                <w:color w:val="000000"/>
                <w:sz w:val="20"/>
                <w:lang w:eastAsia="sk-SK"/>
              </w:rPr>
              <w:t>2012</w:t>
            </w:r>
          </w:p>
        </w:tc>
        <w:tc>
          <w:tcPr>
            <w:tcW w:w="1247" w:type="dxa"/>
            <w:tcBorders>
              <w:bottom w:val="single" w:sz="4" w:space="0" w:color="auto"/>
            </w:tcBorders>
            <w:shd w:val="clear" w:color="auto" w:fill="auto"/>
            <w:noWrap/>
            <w:vAlign w:val="bottom"/>
            <w:hideMark/>
          </w:tcPr>
          <w:p w14:paraId="00605A11" w14:textId="77777777" w:rsidR="001B34C7" w:rsidRPr="00922C7B" w:rsidRDefault="001B34C7" w:rsidP="002E33D9">
            <w:pPr>
              <w:spacing w:after="0" w:line="240" w:lineRule="auto"/>
              <w:jc w:val="center"/>
              <w:rPr>
                <w:rFonts w:eastAsia="Times New Roman" w:cs="Calibri"/>
                <w:b/>
                <w:bCs/>
                <w:color w:val="000000"/>
                <w:sz w:val="20"/>
                <w:lang w:eastAsia="sk-SK"/>
              </w:rPr>
            </w:pPr>
            <w:r w:rsidRPr="00922C7B">
              <w:rPr>
                <w:rFonts w:eastAsia="Times New Roman" w:cs="Calibri"/>
                <w:b/>
                <w:bCs/>
                <w:color w:val="000000"/>
                <w:sz w:val="20"/>
                <w:lang w:eastAsia="sk-SK"/>
              </w:rPr>
              <w:t>2018</w:t>
            </w:r>
          </w:p>
        </w:tc>
        <w:tc>
          <w:tcPr>
            <w:tcW w:w="1247" w:type="dxa"/>
            <w:tcBorders>
              <w:bottom w:val="single" w:sz="4" w:space="0" w:color="auto"/>
            </w:tcBorders>
            <w:shd w:val="clear" w:color="auto" w:fill="auto"/>
            <w:noWrap/>
            <w:vAlign w:val="bottom"/>
            <w:hideMark/>
          </w:tcPr>
          <w:p w14:paraId="0B6BFEFE" w14:textId="77777777" w:rsidR="001B34C7" w:rsidRPr="00922C7B" w:rsidRDefault="001B34C7" w:rsidP="002E33D9">
            <w:pPr>
              <w:spacing w:after="0" w:line="240" w:lineRule="auto"/>
              <w:jc w:val="center"/>
              <w:rPr>
                <w:rFonts w:eastAsia="Times New Roman" w:cs="Calibri"/>
                <w:b/>
                <w:bCs/>
                <w:color w:val="000000"/>
                <w:sz w:val="20"/>
                <w:lang w:eastAsia="sk-SK"/>
              </w:rPr>
            </w:pPr>
            <w:r w:rsidRPr="00922C7B">
              <w:rPr>
                <w:rFonts w:eastAsia="Times New Roman" w:cs="Calibri"/>
                <w:b/>
                <w:bCs/>
                <w:color w:val="000000"/>
                <w:sz w:val="20"/>
                <w:lang w:eastAsia="sk-SK"/>
              </w:rPr>
              <w:t>Spolu</w:t>
            </w:r>
          </w:p>
        </w:tc>
        <w:tc>
          <w:tcPr>
            <w:tcW w:w="1208" w:type="dxa"/>
            <w:tcBorders>
              <w:bottom w:val="single" w:sz="4" w:space="0" w:color="auto"/>
            </w:tcBorders>
            <w:shd w:val="clear" w:color="auto" w:fill="auto"/>
            <w:noWrap/>
            <w:vAlign w:val="bottom"/>
            <w:hideMark/>
          </w:tcPr>
          <w:p w14:paraId="49220E52" w14:textId="77777777" w:rsidR="001B34C7" w:rsidRPr="00922C7B" w:rsidRDefault="001B34C7" w:rsidP="002E33D9">
            <w:pPr>
              <w:spacing w:after="0" w:line="240" w:lineRule="auto"/>
              <w:jc w:val="center"/>
              <w:rPr>
                <w:rFonts w:eastAsia="Times New Roman" w:cs="Calibri"/>
                <w:b/>
                <w:bCs/>
                <w:color w:val="000000"/>
                <w:sz w:val="20"/>
                <w:lang w:eastAsia="sk-SK"/>
              </w:rPr>
            </w:pPr>
            <w:r w:rsidRPr="00922C7B">
              <w:rPr>
                <w:rFonts w:eastAsia="Times New Roman" w:cs="Calibri"/>
                <w:b/>
                <w:bCs/>
                <w:color w:val="000000"/>
                <w:sz w:val="20"/>
                <w:lang w:eastAsia="sk-SK"/>
              </w:rPr>
              <w:t>Nárast v %</w:t>
            </w:r>
          </w:p>
        </w:tc>
      </w:tr>
      <w:tr w:rsidR="001B34C7" w:rsidRPr="00922C7B" w14:paraId="62809B03" w14:textId="77777777" w:rsidTr="009C4F06">
        <w:trPr>
          <w:trHeight w:val="300"/>
        </w:trPr>
        <w:tc>
          <w:tcPr>
            <w:tcW w:w="4111" w:type="dxa"/>
            <w:tcBorders>
              <w:top w:val="single" w:sz="4" w:space="0" w:color="auto"/>
            </w:tcBorders>
            <w:shd w:val="clear" w:color="auto" w:fill="auto"/>
            <w:noWrap/>
            <w:vAlign w:val="bottom"/>
            <w:hideMark/>
          </w:tcPr>
          <w:p w14:paraId="31EFBB1D" w14:textId="77777777" w:rsidR="001B34C7" w:rsidRPr="002E33D9" w:rsidRDefault="001B34C7" w:rsidP="002E33D9">
            <w:pPr>
              <w:spacing w:after="0" w:line="240" w:lineRule="auto"/>
              <w:rPr>
                <w:rFonts w:eastAsia="Times New Roman" w:cs="Calibri"/>
                <w:bCs/>
                <w:color w:val="000000"/>
                <w:sz w:val="20"/>
                <w:lang w:eastAsia="sk-SK"/>
              </w:rPr>
            </w:pPr>
            <w:r w:rsidRPr="002E33D9">
              <w:rPr>
                <w:rFonts w:eastAsia="Times New Roman" w:cs="Calibri"/>
                <w:bCs/>
                <w:color w:val="000000"/>
                <w:sz w:val="20"/>
                <w:lang w:eastAsia="sk-SK"/>
              </w:rPr>
              <w:t>Vývinové poruchy učenia</w:t>
            </w:r>
          </w:p>
        </w:tc>
        <w:tc>
          <w:tcPr>
            <w:tcW w:w="1247" w:type="dxa"/>
            <w:gridSpan w:val="2"/>
            <w:tcBorders>
              <w:top w:val="single" w:sz="4" w:space="0" w:color="auto"/>
            </w:tcBorders>
            <w:shd w:val="clear" w:color="auto" w:fill="auto"/>
            <w:noWrap/>
            <w:vAlign w:val="bottom"/>
            <w:hideMark/>
          </w:tcPr>
          <w:p w14:paraId="54EA128A"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5277</w:t>
            </w:r>
          </w:p>
        </w:tc>
        <w:tc>
          <w:tcPr>
            <w:tcW w:w="1247" w:type="dxa"/>
            <w:tcBorders>
              <w:top w:val="single" w:sz="4" w:space="0" w:color="auto"/>
            </w:tcBorders>
            <w:shd w:val="clear" w:color="auto" w:fill="auto"/>
            <w:noWrap/>
            <w:vAlign w:val="bottom"/>
            <w:hideMark/>
          </w:tcPr>
          <w:p w14:paraId="32D60B28"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7744</w:t>
            </w:r>
          </w:p>
        </w:tc>
        <w:tc>
          <w:tcPr>
            <w:tcW w:w="1247" w:type="dxa"/>
            <w:tcBorders>
              <w:top w:val="single" w:sz="4" w:space="0" w:color="auto"/>
            </w:tcBorders>
            <w:shd w:val="clear" w:color="auto" w:fill="auto"/>
            <w:noWrap/>
            <w:vAlign w:val="bottom"/>
            <w:hideMark/>
          </w:tcPr>
          <w:p w14:paraId="5876BAE5"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2467</w:t>
            </w:r>
          </w:p>
        </w:tc>
        <w:tc>
          <w:tcPr>
            <w:tcW w:w="1208" w:type="dxa"/>
            <w:tcBorders>
              <w:top w:val="single" w:sz="4" w:space="0" w:color="auto"/>
            </w:tcBorders>
            <w:shd w:val="clear" w:color="auto" w:fill="auto"/>
            <w:noWrap/>
            <w:vAlign w:val="bottom"/>
            <w:hideMark/>
          </w:tcPr>
          <w:p w14:paraId="5DECDA53"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47%</w:t>
            </w:r>
          </w:p>
        </w:tc>
      </w:tr>
      <w:tr w:rsidR="001B34C7" w:rsidRPr="00922C7B" w14:paraId="10EE9434" w14:textId="77777777" w:rsidTr="009C4F06">
        <w:trPr>
          <w:trHeight w:val="300"/>
        </w:trPr>
        <w:tc>
          <w:tcPr>
            <w:tcW w:w="4111" w:type="dxa"/>
            <w:shd w:val="clear" w:color="auto" w:fill="auto"/>
            <w:noWrap/>
            <w:vAlign w:val="bottom"/>
            <w:hideMark/>
          </w:tcPr>
          <w:p w14:paraId="7AC79B67" w14:textId="77777777" w:rsidR="001B34C7" w:rsidRPr="002E33D9" w:rsidRDefault="001B34C7" w:rsidP="002E33D9">
            <w:pPr>
              <w:spacing w:after="0" w:line="240" w:lineRule="auto"/>
              <w:rPr>
                <w:rFonts w:eastAsia="Times New Roman" w:cs="Calibri"/>
                <w:bCs/>
                <w:color w:val="000000"/>
                <w:sz w:val="20"/>
                <w:lang w:eastAsia="sk-SK"/>
              </w:rPr>
            </w:pPr>
            <w:r w:rsidRPr="002E33D9">
              <w:rPr>
                <w:rFonts w:eastAsia="Times New Roman" w:cs="Calibri"/>
                <w:bCs/>
                <w:color w:val="000000"/>
                <w:sz w:val="20"/>
                <w:lang w:eastAsia="sk-SK"/>
              </w:rPr>
              <w:t>Vývinové poruchy aktivity a pozornosti</w:t>
            </w:r>
          </w:p>
        </w:tc>
        <w:tc>
          <w:tcPr>
            <w:tcW w:w="1247" w:type="dxa"/>
            <w:gridSpan w:val="2"/>
            <w:shd w:val="clear" w:color="auto" w:fill="auto"/>
            <w:noWrap/>
            <w:vAlign w:val="bottom"/>
            <w:hideMark/>
          </w:tcPr>
          <w:p w14:paraId="56A1AC09"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0</w:t>
            </w:r>
          </w:p>
        </w:tc>
        <w:tc>
          <w:tcPr>
            <w:tcW w:w="1247" w:type="dxa"/>
            <w:shd w:val="clear" w:color="auto" w:fill="auto"/>
            <w:noWrap/>
            <w:vAlign w:val="bottom"/>
            <w:hideMark/>
          </w:tcPr>
          <w:p w14:paraId="1351CB96"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896</w:t>
            </w:r>
          </w:p>
        </w:tc>
        <w:tc>
          <w:tcPr>
            <w:tcW w:w="1247" w:type="dxa"/>
            <w:shd w:val="clear" w:color="auto" w:fill="auto"/>
            <w:noWrap/>
            <w:vAlign w:val="bottom"/>
            <w:hideMark/>
          </w:tcPr>
          <w:p w14:paraId="43FBE5B3"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896</w:t>
            </w:r>
          </w:p>
        </w:tc>
        <w:tc>
          <w:tcPr>
            <w:tcW w:w="1208" w:type="dxa"/>
            <w:shd w:val="clear" w:color="auto" w:fill="auto"/>
            <w:noWrap/>
            <w:vAlign w:val="bottom"/>
            <w:hideMark/>
          </w:tcPr>
          <w:p w14:paraId="31A7E450"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100%</w:t>
            </w:r>
          </w:p>
        </w:tc>
      </w:tr>
      <w:tr w:rsidR="001B34C7" w:rsidRPr="00922C7B" w14:paraId="6E70FA00" w14:textId="77777777" w:rsidTr="009C4F06">
        <w:trPr>
          <w:trHeight w:val="300"/>
        </w:trPr>
        <w:tc>
          <w:tcPr>
            <w:tcW w:w="4111" w:type="dxa"/>
            <w:shd w:val="clear" w:color="auto" w:fill="auto"/>
            <w:noWrap/>
            <w:vAlign w:val="bottom"/>
            <w:hideMark/>
          </w:tcPr>
          <w:p w14:paraId="2BB838C7" w14:textId="77777777" w:rsidR="001B34C7" w:rsidRPr="002E33D9" w:rsidRDefault="001B34C7" w:rsidP="002E33D9">
            <w:pPr>
              <w:spacing w:after="0" w:line="240" w:lineRule="auto"/>
              <w:rPr>
                <w:rFonts w:eastAsia="Times New Roman" w:cs="Calibri"/>
                <w:bCs/>
                <w:color w:val="000000"/>
                <w:sz w:val="20"/>
                <w:lang w:eastAsia="sk-SK"/>
              </w:rPr>
            </w:pPr>
            <w:r w:rsidRPr="002E33D9">
              <w:rPr>
                <w:rFonts w:eastAsia="Times New Roman" w:cs="Calibri"/>
                <w:bCs/>
                <w:color w:val="000000"/>
                <w:sz w:val="20"/>
                <w:lang w:eastAsia="sk-SK"/>
              </w:rPr>
              <w:t>Mentálne postihnutí</w:t>
            </w:r>
          </w:p>
        </w:tc>
        <w:tc>
          <w:tcPr>
            <w:tcW w:w="1247" w:type="dxa"/>
            <w:gridSpan w:val="2"/>
            <w:shd w:val="clear" w:color="auto" w:fill="auto"/>
            <w:noWrap/>
            <w:vAlign w:val="bottom"/>
            <w:hideMark/>
          </w:tcPr>
          <w:p w14:paraId="5566F25F"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4292</w:t>
            </w:r>
          </w:p>
        </w:tc>
        <w:tc>
          <w:tcPr>
            <w:tcW w:w="1247" w:type="dxa"/>
            <w:shd w:val="clear" w:color="auto" w:fill="auto"/>
            <w:noWrap/>
            <w:vAlign w:val="bottom"/>
            <w:hideMark/>
          </w:tcPr>
          <w:p w14:paraId="696D1CAC"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4477</w:t>
            </w:r>
          </w:p>
        </w:tc>
        <w:tc>
          <w:tcPr>
            <w:tcW w:w="1247" w:type="dxa"/>
            <w:shd w:val="clear" w:color="auto" w:fill="auto"/>
            <w:noWrap/>
            <w:vAlign w:val="bottom"/>
            <w:hideMark/>
          </w:tcPr>
          <w:p w14:paraId="19F1DD7C"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185</w:t>
            </w:r>
          </w:p>
        </w:tc>
        <w:tc>
          <w:tcPr>
            <w:tcW w:w="1208" w:type="dxa"/>
            <w:shd w:val="clear" w:color="auto" w:fill="auto"/>
            <w:noWrap/>
            <w:vAlign w:val="bottom"/>
            <w:hideMark/>
          </w:tcPr>
          <w:p w14:paraId="6ECAA035"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4%</w:t>
            </w:r>
          </w:p>
        </w:tc>
      </w:tr>
      <w:tr w:rsidR="001B34C7" w:rsidRPr="00922C7B" w14:paraId="42A2A606" w14:textId="77777777" w:rsidTr="009C4F06">
        <w:trPr>
          <w:trHeight w:val="300"/>
        </w:trPr>
        <w:tc>
          <w:tcPr>
            <w:tcW w:w="4111" w:type="dxa"/>
            <w:shd w:val="clear" w:color="auto" w:fill="auto"/>
            <w:noWrap/>
            <w:vAlign w:val="bottom"/>
            <w:hideMark/>
          </w:tcPr>
          <w:p w14:paraId="7F33CFCD" w14:textId="77777777" w:rsidR="001B34C7" w:rsidRPr="002E33D9" w:rsidRDefault="001B34C7" w:rsidP="002E33D9">
            <w:pPr>
              <w:spacing w:after="0" w:line="240" w:lineRule="auto"/>
              <w:rPr>
                <w:rFonts w:eastAsia="Times New Roman" w:cs="Calibri"/>
                <w:bCs/>
                <w:color w:val="000000"/>
                <w:sz w:val="20"/>
                <w:lang w:eastAsia="sk-SK"/>
              </w:rPr>
            </w:pPr>
            <w:r w:rsidRPr="002E33D9">
              <w:rPr>
                <w:rFonts w:eastAsia="Times New Roman" w:cs="Calibri"/>
                <w:bCs/>
                <w:color w:val="000000"/>
                <w:sz w:val="20"/>
                <w:lang w:eastAsia="sk-SK"/>
              </w:rPr>
              <w:t>Autizmus</w:t>
            </w:r>
          </w:p>
        </w:tc>
        <w:tc>
          <w:tcPr>
            <w:tcW w:w="1247" w:type="dxa"/>
            <w:gridSpan w:val="2"/>
            <w:shd w:val="clear" w:color="auto" w:fill="auto"/>
            <w:noWrap/>
            <w:vAlign w:val="bottom"/>
            <w:hideMark/>
          </w:tcPr>
          <w:p w14:paraId="01B7EAC8"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48</w:t>
            </w:r>
          </w:p>
        </w:tc>
        <w:tc>
          <w:tcPr>
            <w:tcW w:w="1247" w:type="dxa"/>
            <w:shd w:val="clear" w:color="auto" w:fill="auto"/>
            <w:noWrap/>
            <w:vAlign w:val="bottom"/>
            <w:hideMark/>
          </w:tcPr>
          <w:p w14:paraId="07B69F26"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201</w:t>
            </w:r>
          </w:p>
        </w:tc>
        <w:tc>
          <w:tcPr>
            <w:tcW w:w="1247" w:type="dxa"/>
            <w:shd w:val="clear" w:color="auto" w:fill="auto"/>
            <w:noWrap/>
            <w:vAlign w:val="bottom"/>
            <w:hideMark/>
          </w:tcPr>
          <w:p w14:paraId="040439E5"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153</w:t>
            </w:r>
          </w:p>
        </w:tc>
        <w:tc>
          <w:tcPr>
            <w:tcW w:w="1208" w:type="dxa"/>
            <w:shd w:val="clear" w:color="auto" w:fill="auto"/>
            <w:noWrap/>
            <w:vAlign w:val="bottom"/>
            <w:hideMark/>
          </w:tcPr>
          <w:p w14:paraId="312DBC6E"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319%</w:t>
            </w:r>
          </w:p>
        </w:tc>
      </w:tr>
      <w:tr w:rsidR="001B34C7" w:rsidRPr="00922C7B" w14:paraId="406AFE56" w14:textId="77777777" w:rsidTr="009C4F06">
        <w:trPr>
          <w:trHeight w:val="300"/>
        </w:trPr>
        <w:tc>
          <w:tcPr>
            <w:tcW w:w="4111" w:type="dxa"/>
            <w:shd w:val="clear" w:color="auto" w:fill="auto"/>
            <w:noWrap/>
            <w:vAlign w:val="bottom"/>
            <w:hideMark/>
          </w:tcPr>
          <w:p w14:paraId="74C813DC" w14:textId="77777777" w:rsidR="001B34C7" w:rsidRPr="002E33D9" w:rsidRDefault="001B34C7" w:rsidP="002E33D9">
            <w:pPr>
              <w:spacing w:after="0" w:line="240" w:lineRule="auto"/>
              <w:rPr>
                <w:rFonts w:eastAsia="Times New Roman" w:cs="Calibri"/>
                <w:bCs/>
                <w:color w:val="000000"/>
                <w:sz w:val="20"/>
                <w:lang w:eastAsia="sk-SK"/>
              </w:rPr>
            </w:pPr>
            <w:r w:rsidRPr="002E33D9">
              <w:rPr>
                <w:rFonts w:eastAsia="Times New Roman" w:cs="Calibri"/>
                <w:bCs/>
                <w:color w:val="000000"/>
                <w:sz w:val="20"/>
                <w:lang w:eastAsia="sk-SK"/>
              </w:rPr>
              <w:t>Zrakovo postihnutí</w:t>
            </w:r>
          </w:p>
        </w:tc>
        <w:tc>
          <w:tcPr>
            <w:tcW w:w="1247" w:type="dxa"/>
            <w:gridSpan w:val="2"/>
            <w:shd w:val="clear" w:color="auto" w:fill="auto"/>
            <w:noWrap/>
            <w:vAlign w:val="bottom"/>
            <w:hideMark/>
          </w:tcPr>
          <w:p w14:paraId="3AAEDD67"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184</w:t>
            </w:r>
          </w:p>
        </w:tc>
        <w:tc>
          <w:tcPr>
            <w:tcW w:w="1247" w:type="dxa"/>
            <w:shd w:val="clear" w:color="auto" w:fill="auto"/>
            <w:noWrap/>
            <w:vAlign w:val="bottom"/>
            <w:hideMark/>
          </w:tcPr>
          <w:p w14:paraId="61708345"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195</w:t>
            </w:r>
          </w:p>
        </w:tc>
        <w:tc>
          <w:tcPr>
            <w:tcW w:w="1247" w:type="dxa"/>
            <w:shd w:val="clear" w:color="auto" w:fill="auto"/>
            <w:noWrap/>
            <w:vAlign w:val="bottom"/>
            <w:hideMark/>
          </w:tcPr>
          <w:p w14:paraId="3468D984"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11</w:t>
            </w:r>
          </w:p>
        </w:tc>
        <w:tc>
          <w:tcPr>
            <w:tcW w:w="1208" w:type="dxa"/>
            <w:shd w:val="clear" w:color="auto" w:fill="auto"/>
            <w:noWrap/>
            <w:vAlign w:val="bottom"/>
            <w:hideMark/>
          </w:tcPr>
          <w:p w14:paraId="356D6290"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6%</w:t>
            </w:r>
          </w:p>
        </w:tc>
      </w:tr>
      <w:tr w:rsidR="001B34C7" w:rsidRPr="00922C7B" w14:paraId="418B2FD2" w14:textId="77777777" w:rsidTr="009C4F06">
        <w:trPr>
          <w:trHeight w:val="300"/>
        </w:trPr>
        <w:tc>
          <w:tcPr>
            <w:tcW w:w="4111" w:type="dxa"/>
            <w:shd w:val="clear" w:color="auto" w:fill="auto"/>
            <w:noWrap/>
            <w:vAlign w:val="bottom"/>
            <w:hideMark/>
          </w:tcPr>
          <w:p w14:paraId="63AC02C8" w14:textId="77777777" w:rsidR="001B34C7" w:rsidRPr="002E33D9" w:rsidRDefault="001B34C7" w:rsidP="002E33D9">
            <w:pPr>
              <w:spacing w:after="0" w:line="240" w:lineRule="auto"/>
              <w:rPr>
                <w:rFonts w:eastAsia="Times New Roman" w:cs="Calibri"/>
                <w:bCs/>
                <w:color w:val="000000"/>
                <w:sz w:val="20"/>
                <w:lang w:eastAsia="sk-SK"/>
              </w:rPr>
            </w:pPr>
            <w:r w:rsidRPr="002E33D9">
              <w:rPr>
                <w:rFonts w:eastAsia="Times New Roman" w:cs="Calibri"/>
                <w:bCs/>
                <w:color w:val="000000"/>
                <w:sz w:val="20"/>
                <w:lang w:eastAsia="sk-SK"/>
              </w:rPr>
              <w:t>Sluchovo postihnutí</w:t>
            </w:r>
          </w:p>
        </w:tc>
        <w:tc>
          <w:tcPr>
            <w:tcW w:w="1247" w:type="dxa"/>
            <w:gridSpan w:val="2"/>
            <w:shd w:val="clear" w:color="auto" w:fill="auto"/>
            <w:noWrap/>
            <w:vAlign w:val="bottom"/>
            <w:hideMark/>
          </w:tcPr>
          <w:p w14:paraId="58F38ED1"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388</w:t>
            </w:r>
          </w:p>
        </w:tc>
        <w:tc>
          <w:tcPr>
            <w:tcW w:w="1247" w:type="dxa"/>
            <w:shd w:val="clear" w:color="auto" w:fill="auto"/>
            <w:noWrap/>
            <w:vAlign w:val="bottom"/>
            <w:hideMark/>
          </w:tcPr>
          <w:p w14:paraId="12BAD1CD"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293</w:t>
            </w:r>
          </w:p>
        </w:tc>
        <w:tc>
          <w:tcPr>
            <w:tcW w:w="1247" w:type="dxa"/>
            <w:shd w:val="clear" w:color="auto" w:fill="auto"/>
            <w:noWrap/>
            <w:vAlign w:val="bottom"/>
            <w:hideMark/>
          </w:tcPr>
          <w:p w14:paraId="240F7234"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-95</w:t>
            </w:r>
          </w:p>
        </w:tc>
        <w:tc>
          <w:tcPr>
            <w:tcW w:w="1208" w:type="dxa"/>
            <w:shd w:val="clear" w:color="auto" w:fill="auto"/>
            <w:noWrap/>
            <w:vAlign w:val="bottom"/>
            <w:hideMark/>
          </w:tcPr>
          <w:p w14:paraId="7F9CE85D"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-24%</w:t>
            </w:r>
          </w:p>
        </w:tc>
      </w:tr>
      <w:tr w:rsidR="001B34C7" w:rsidRPr="00922C7B" w14:paraId="0B50C4EF" w14:textId="77777777" w:rsidTr="009C4F06">
        <w:trPr>
          <w:trHeight w:val="300"/>
        </w:trPr>
        <w:tc>
          <w:tcPr>
            <w:tcW w:w="4111" w:type="dxa"/>
            <w:shd w:val="clear" w:color="auto" w:fill="auto"/>
            <w:noWrap/>
            <w:vAlign w:val="bottom"/>
            <w:hideMark/>
          </w:tcPr>
          <w:p w14:paraId="13B664D5" w14:textId="77777777" w:rsidR="001B34C7" w:rsidRPr="002E33D9" w:rsidRDefault="001B34C7" w:rsidP="002E33D9">
            <w:pPr>
              <w:spacing w:after="0" w:line="240" w:lineRule="auto"/>
              <w:rPr>
                <w:rFonts w:eastAsia="Times New Roman" w:cs="Calibri"/>
                <w:bCs/>
                <w:color w:val="000000"/>
                <w:sz w:val="20"/>
                <w:lang w:eastAsia="sk-SK"/>
              </w:rPr>
            </w:pPr>
            <w:r w:rsidRPr="002E33D9">
              <w:rPr>
                <w:rFonts w:eastAsia="Times New Roman" w:cs="Calibri"/>
                <w:bCs/>
                <w:color w:val="000000"/>
                <w:sz w:val="20"/>
                <w:lang w:eastAsia="sk-SK"/>
              </w:rPr>
              <w:t>Poruchy správania</w:t>
            </w:r>
          </w:p>
        </w:tc>
        <w:tc>
          <w:tcPr>
            <w:tcW w:w="1247" w:type="dxa"/>
            <w:gridSpan w:val="2"/>
            <w:shd w:val="clear" w:color="auto" w:fill="auto"/>
            <w:noWrap/>
            <w:vAlign w:val="bottom"/>
            <w:hideMark/>
          </w:tcPr>
          <w:p w14:paraId="5746F52D"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594</w:t>
            </w:r>
          </w:p>
        </w:tc>
        <w:tc>
          <w:tcPr>
            <w:tcW w:w="1247" w:type="dxa"/>
            <w:shd w:val="clear" w:color="auto" w:fill="auto"/>
            <w:noWrap/>
            <w:vAlign w:val="bottom"/>
            <w:hideMark/>
          </w:tcPr>
          <w:p w14:paraId="5838A938"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376</w:t>
            </w:r>
          </w:p>
        </w:tc>
        <w:tc>
          <w:tcPr>
            <w:tcW w:w="1247" w:type="dxa"/>
            <w:shd w:val="clear" w:color="auto" w:fill="auto"/>
            <w:noWrap/>
            <w:vAlign w:val="bottom"/>
            <w:hideMark/>
          </w:tcPr>
          <w:p w14:paraId="10C0BC70"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-218</w:t>
            </w:r>
          </w:p>
        </w:tc>
        <w:tc>
          <w:tcPr>
            <w:tcW w:w="1208" w:type="dxa"/>
            <w:shd w:val="clear" w:color="auto" w:fill="auto"/>
            <w:noWrap/>
            <w:vAlign w:val="bottom"/>
            <w:hideMark/>
          </w:tcPr>
          <w:p w14:paraId="4D09C82A"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-37%</w:t>
            </w:r>
          </w:p>
        </w:tc>
      </w:tr>
      <w:tr w:rsidR="001B34C7" w:rsidRPr="00922C7B" w14:paraId="6DCBD89C" w14:textId="77777777" w:rsidTr="009C4F06">
        <w:trPr>
          <w:trHeight w:val="300"/>
        </w:trPr>
        <w:tc>
          <w:tcPr>
            <w:tcW w:w="4111" w:type="dxa"/>
            <w:shd w:val="clear" w:color="auto" w:fill="auto"/>
            <w:noWrap/>
            <w:vAlign w:val="bottom"/>
            <w:hideMark/>
          </w:tcPr>
          <w:p w14:paraId="349FB7DA" w14:textId="77777777" w:rsidR="001B34C7" w:rsidRPr="002E33D9" w:rsidRDefault="001B34C7" w:rsidP="002E33D9">
            <w:pPr>
              <w:spacing w:after="0" w:line="240" w:lineRule="auto"/>
              <w:rPr>
                <w:rFonts w:eastAsia="Times New Roman" w:cs="Calibri"/>
                <w:bCs/>
                <w:color w:val="000000"/>
                <w:sz w:val="20"/>
                <w:lang w:eastAsia="sk-SK"/>
              </w:rPr>
            </w:pPr>
            <w:r w:rsidRPr="002E33D9">
              <w:rPr>
                <w:rFonts w:eastAsia="Times New Roman" w:cs="Calibri"/>
                <w:bCs/>
                <w:color w:val="000000"/>
                <w:sz w:val="20"/>
                <w:lang w:eastAsia="sk-SK"/>
              </w:rPr>
              <w:t>Telesne postihnutí</w:t>
            </w:r>
          </w:p>
        </w:tc>
        <w:tc>
          <w:tcPr>
            <w:tcW w:w="1247" w:type="dxa"/>
            <w:gridSpan w:val="2"/>
            <w:shd w:val="clear" w:color="auto" w:fill="auto"/>
            <w:noWrap/>
            <w:vAlign w:val="bottom"/>
            <w:hideMark/>
          </w:tcPr>
          <w:p w14:paraId="6E5CF46B"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807</w:t>
            </w:r>
          </w:p>
        </w:tc>
        <w:tc>
          <w:tcPr>
            <w:tcW w:w="1247" w:type="dxa"/>
            <w:shd w:val="clear" w:color="auto" w:fill="auto"/>
            <w:noWrap/>
            <w:vAlign w:val="bottom"/>
            <w:hideMark/>
          </w:tcPr>
          <w:p w14:paraId="7F199EFC"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532</w:t>
            </w:r>
          </w:p>
        </w:tc>
        <w:tc>
          <w:tcPr>
            <w:tcW w:w="1247" w:type="dxa"/>
            <w:shd w:val="clear" w:color="auto" w:fill="auto"/>
            <w:noWrap/>
            <w:vAlign w:val="bottom"/>
            <w:hideMark/>
          </w:tcPr>
          <w:p w14:paraId="14F51BF7"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-275</w:t>
            </w:r>
          </w:p>
        </w:tc>
        <w:tc>
          <w:tcPr>
            <w:tcW w:w="1208" w:type="dxa"/>
            <w:shd w:val="clear" w:color="auto" w:fill="auto"/>
            <w:noWrap/>
            <w:vAlign w:val="bottom"/>
            <w:hideMark/>
          </w:tcPr>
          <w:p w14:paraId="1A3E944C"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-34%</w:t>
            </w:r>
          </w:p>
        </w:tc>
      </w:tr>
      <w:tr w:rsidR="001B34C7" w:rsidRPr="00922C7B" w14:paraId="0A223F8A" w14:textId="77777777" w:rsidTr="009C4F06">
        <w:trPr>
          <w:trHeight w:val="300"/>
        </w:trPr>
        <w:tc>
          <w:tcPr>
            <w:tcW w:w="4111" w:type="dxa"/>
            <w:tcBorders>
              <w:bottom w:val="single" w:sz="4" w:space="0" w:color="auto"/>
            </w:tcBorders>
            <w:shd w:val="clear" w:color="auto" w:fill="auto"/>
            <w:noWrap/>
            <w:vAlign w:val="bottom"/>
            <w:hideMark/>
          </w:tcPr>
          <w:p w14:paraId="4041D0EF" w14:textId="77777777" w:rsidR="001B34C7" w:rsidRPr="00922C7B" w:rsidRDefault="001B34C7" w:rsidP="002E33D9">
            <w:pPr>
              <w:spacing w:after="0" w:line="240" w:lineRule="auto"/>
              <w:rPr>
                <w:rFonts w:eastAsia="Times New Roman" w:cs="Calibri"/>
                <w:b/>
                <w:bCs/>
                <w:color w:val="000000"/>
                <w:sz w:val="20"/>
                <w:lang w:eastAsia="sk-SK"/>
              </w:rPr>
            </w:pPr>
            <w:r w:rsidRPr="00922C7B">
              <w:rPr>
                <w:rFonts w:eastAsia="Times New Roman" w:cs="Calibri"/>
                <w:b/>
                <w:bCs/>
                <w:color w:val="000000"/>
                <w:sz w:val="20"/>
                <w:lang w:eastAsia="sk-SK"/>
              </w:rPr>
              <w:t>SPOLU</w:t>
            </w:r>
          </w:p>
        </w:tc>
        <w:tc>
          <w:tcPr>
            <w:tcW w:w="1247" w:type="dxa"/>
            <w:gridSpan w:val="2"/>
            <w:tcBorders>
              <w:bottom w:val="single" w:sz="4" w:space="0" w:color="auto"/>
            </w:tcBorders>
            <w:shd w:val="clear" w:color="auto" w:fill="auto"/>
            <w:noWrap/>
            <w:vAlign w:val="bottom"/>
            <w:hideMark/>
          </w:tcPr>
          <w:p w14:paraId="37F928D5" w14:textId="77777777" w:rsidR="001B34C7" w:rsidRPr="00922C7B" w:rsidRDefault="001B34C7" w:rsidP="002E33D9">
            <w:pPr>
              <w:spacing w:after="0" w:line="240" w:lineRule="auto"/>
              <w:jc w:val="center"/>
              <w:rPr>
                <w:rFonts w:eastAsia="Times New Roman" w:cs="Calibri"/>
                <w:b/>
                <w:bCs/>
                <w:color w:val="000000"/>
                <w:sz w:val="20"/>
                <w:lang w:eastAsia="sk-SK"/>
              </w:rPr>
            </w:pPr>
            <w:r w:rsidRPr="00922C7B">
              <w:rPr>
                <w:rFonts w:eastAsia="Times New Roman" w:cs="Calibri"/>
                <w:b/>
                <w:bCs/>
                <w:color w:val="000000"/>
                <w:sz w:val="20"/>
                <w:lang w:eastAsia="sk-SK"/>
              </w:rPr>
              <w:t>11590</w:t>
            </w:r>
          </w:p>
        </w:tc>
        <w:tc>
          <w:tcPr>
            <w:tcW w:w="1247" w:type="dxa"/>
            <w:tcBorders>
              <w:bottom w:val="single" w:sz="4" w:space="0" w:color="auto"/>
            </w:tcBorders>
            <w:shd w:val="clear" w:color="auto" w:fill="auto"/>
            <w:noWrap/>
            <w:vAlign w:val="bottom"/>
            <w:hideMark/>
          </w:tcPr>
          <w:p w14:paraId="6CA03C35" w14:textId="77777777" w:rsidR="001B34C7" w:rsidRPr="00922C7B" w:rsidRDefault="001B34C7" w:rsidP="002E33D9">
            <w:pPr>
              <w:spacing w:after="0" w:line="240" w:lineRule="auto"/>
              <w:jc w:val="center"/>
              <w:rPr>
                <w:rFonts w:eastAsia="Times New Roman" w:cs="Calibri"/>
                <w:b/>
                <w:bCs/>
                <w:color w:val="000000"/>
                <w:sz w:val="20"/>
                <w:lang w:eastAsia="sk-SK"/>
              </w:rPr>
            </w:pPr>
            <w:r w:rsidRPr="00922C7B">
              <w:rPr>
                <w:rFonts w:eastAsia="Times New Roman" w:cs="Calibri"/>
                <w:b/>
                <w:bCs/>
                <w:color w:val="000000"/>
                <w:sz w:val="20"/>
                <w:lang w:eastAsia="sk-SK"/>
              </w:rPr>
              <w:t>14714</w:t>
            </w:r>
          </w:p>
        </w:tc>
        <w:tc>
          <w:tcPr>
            <w:tcW w:w="1247" w:type="dxa"/>
            <w:tcBorders>
              <w:bottom w:val="single" w:sz="4" w:space="0" w:color="auto"/>
            </w:tcBorders>
            <w:shd w:val="clear" w:color="auto" w:fill="auto"/>
            <w:noWrap/>
            <w:vAlign w:val="bottom"/>
            <w:hideMark/>
          </w:tcPr>
          <w:p w14:paraId="5A32AC5F" w14:textId="77777777" w:rsidR="001B34C7" w:rsidRPr="00922C7B" w:rsidRDefault="001B34C7" w:rsidP="002E33D9">
            <w:pPr>
              <w:spacing w:after="0" w:line="240" w:lineRule="auto"/>
              <w:jc w:val="center"/>
              <w:rPr>
                <w:rFonts w:eastAsia="Times New Roman" w:cs="Calibri"/>
                <w:b/>
                <w:bCs/>
                <w:color w:val="000000"/>
                <w:sz w:val="20"/>
                <w:lang w:eastAsia="sk-SK"/>
              </w:rPr>
            </w:pPr>
            <w:r w:rsidRPr="00922C7B">
              <w:rPr>
                <w:rFonts w:eastAsia="Times New Roman" w:cs="Calibri"/>
                <w:b/>
                <w:bCs/>
                <w:color w:val="000000"/>
                <w:sz w:val="20"/>
                <w:lang w:eastAsia="sk-SK"/>
              </w:rPr>
              <w:t>3124</w:t>
            </w:r>
          </w:p>
        </w:tc>
        <w:tc>
          <w:tcPr>
            <w:tcW w:w="1208" w:type="dxa"/>
            <w:tcBorders>
              <w:bottom w:val="single" w:sz="4" w:space="0" w:color="auto"/>
            </w:tcBorders>
            <w:shd w:val="clear" w:color="auto" w:fill="auto"/>
            <w:noWrap/>
            <w:vAlign w:val="bottom"/>
            <w:hideMark/>
          </w:tcPr>
          <w:p w14:paraId="650BA0BC" w14:textId="77777777" w:rsidR="001B34C7" w:rsidRPr="00922C7B" w:rsidRDefault="001B34C7" w:rsidP="002E33D9">
            <w:pPr>
              <w:spacing w:after="0" w:line="240" w:lineRule="auto"/>
              <w:jc w:val="center"/>
              <w:rPr>
                <w:rFonts w:eastAsia="Times New Roman" w:cs="Calibri"/>
                <w:b/>
                <w:bCs/>
                <w:color w:val="000000"/>
                <w:sz w:val="20"/>
                <w:lang w:eastAsia="sk-SK"/>
              </w:rPr>
            </w:pPr>
            <w:r w:rsidRPr="00922C7B">
              <w:rPr>
                <w:rFonts w:eastAsia="Times New Roman" w:cs="Calibri"/>
                <w:b/>
                <w:bCs/>
                <w:color w:val="000000"/>
                <w:sz w:val="20"/>
                <w:lang w:eastAsia="sk-SK"/>
              </w:rPr>
              <w:t>27%</w:t>
            </w:r>
          </w:p>
        </w:tc>
      </w:tr>
      <w:tr w:rsidR="001B34C7" w:rsidRPr="00922C7B" w14:paraId="278A8706" w14:textId="77777777" w:rsidTr="009C4F06">
        <w:trPr>
          <w:trHeight w:val="300"/>
        </w:trPr>
        <w:tc>
          <w:tcPr>
            <w:tcW w:w="4678" w:type="dxa"/>
            <w:gridSpan w:val="2"/>
            <w:tcBorders>
              <w:top w:val="single" w:sz="4" w:space="0" w:color="auto"/>
              <w:left w:val="nil"/>
              <w:bottom w:val="nil"/>
              <w:right w:val="nil"/>
            </w:tcBorders>
            <w:shd w:val="clear" w:color="auto" w:fill="auto"/>
            <w:noWrap/>
            <w:hideMark/>
          </w:tcPr>
          <w:p w14:paraId="5EEC528B" w14:textId="77777777" w:rsidR="001B34C7" w:rsidRPr="00922C7B" w:rsidRDefault="001B34C7" w:rsidP="002E33D9">
            <w:pPr>
              <w:spacing w:after="0" w:line="240" w:lineRule="auto"/>
              <w:rPr>
                <w:rFonts w:ascii="Times New Roman" w:eastAsia="Times New Roman" w:hAnsi="Times New Roman" w:cs="Times New Roman"/>
                <w:sz w:val="20"/>
                <w:lang w:eastAsia="sk-SK"/>
              </w:rPr>
            </w:pPr>
            <w:r>
              <w:rPr>
                <w:rFonts w:eastAsia="Times New Roman" w:cs="Calibri"/>
                <w:i/>
                <w:iCs/>
                <w:color w:val="000000"/>
                <w:sz w:val="18"/>
                <w:szCs w:val="18"/>
                <w:lang w:eastAsia="sk-SK"/>
              </w:rPr>
              <w:t xml:space="preserve">Poznámka: </w:t>
            </w:r>
            <w:r w:rsidRPr="00922C7B">
              <w:rPr>
                <w:rFonts w:eastAsia="Times New Roman" w:cs="Calibri"/>
                <w:i/>
                <w:iCs/>
                <w:color w:val="000000"/>
                <w:sz w:val="18"/>
                <w:szCs w:val="18"/>
                <w:lang w:eastAsia="sk-SK"/>
              </w:rPr>
              <w:t>Do roku 2012 sa nezbierali údaje o žiakoch s vývinovými poruchami aktivity.</w:t>
            </w:r>
          </w:p>
        </w:tc>
        <w:tc>
          <w:tcPr>
            <w:tcW w:w="4382" w:type="dxa"/>
            <w:gridSpan w:val="4"/>
            <w:tcBorders>
              <w:top w:val="single" w:sz="4" w:space="0" w:color="auto"/>
              <w:left w:val="nil"/>
              <w:bottom w:val="nil"/>
              <w:right w:val="nil"/>
            </w:tcBorders>
            <w:shd w:val="clear" w:color="auto" w:fill="auto"/>
            <w:noWrap/>
            <w:hideMark/>
          </w:tcPr>
          <w:p w14:paraId="2B278E4A" w14:textId="77777777" w:rsidR="001B34C7" w:rsidRPr="00922C7B" w:rsidRDefault="001B34C7" w:rsidP="002E33D9">
            <w:pPr>
              <w:spacing w:after="0" w:line="240" w:lineRule="auto"/>
              <w:jc w:val="right"/>
              <w:rPr>
                <w:rFonts w:ascii="Times New Roman" w:eastAsia="Times New Roman" w:hAnsi="Times New Roman" w:cs="Times New Roman"/>
                <w:sz w:val="20"/>
                <w:lang w:eastAsia="sk-SK"/>
              </w:rPr>
            </w:pPr>
            <w:r w:rsidRPr="00922C7B">
              <w:rPr>
                <w:rFonts w:eastAsia="Times New Roman" w:cs="Calibri"/>
                <w:i/>
                <w:iCs/>
                <w:color w:val="000000"/>
                <w:sz w:val="18"/>
                <w:szCs w:val="18"/>
                <w:lang w:eastAsia="sk-SK"/>
              </w:rPr>
              <w:t>Zdroj: Vlastné prepočty IVP podľa dát CVTI (2011,2012 a 2017, 2018).</w:t>
            </w:r>
          </w:p>
        </w:tc>
      </w:tr>
    </w:tbl>
    <w:p w14:paraId="18CEA607" w14:textId="77777777" w:rsidR="001B34C7" w:rsidRDefault="001B34C7" w:rsidP="001B34C7">
      <w:pPr>
        <w:rPr>
          <w:b/>
          <w:sz w:val="20"/>
        </w:rPr>
        <w:sectPr w:rsidR="001B34C7" w:rsidSect="006932E7">
          <w:pgSz w:w="11906" w:h="16838" w:code="9"/>
          <w:pgMar w:top="1440" w:right="1378" w:bottom="1440" w:left="1440" w:header="720" w:footer="646" w:gutter="0"/>
          <w:cols w:space="708"/>
          <w:docGrid w:linePitch="360"/>
        </w:sectPr>
      </w:pPr>
    </w:p>
    <w:p w14:paraId="6C8C4C09" w14:textId="77777777" w:rsidR="001B34C7" w:rsidRPr="000C6214" w:rsidRDefault="001B34C7" w:rsidP="001B34C7">
      <w:pPr>
        <w:pStyle w:val="Popis"/>
        <w:rPr>
          <w:b/>
          <w:i w:val="0"/>
          <w:color w:val="2E74B5" w:themeColor="accent1" w:themeShade="BF"/>
          <w:sz w:val="22"/>
        </w:rPr>
      </w:pPr>
      <w:bookmarkStart w:id="1939" w:name="_Ref25844859"/>
      <w:r w:rsidRPr="000C6214">
        <w:rPr>
          <w:b/>
          <w:i w:val="0"/>
          <w:color w:val="2E74B5" w:themeColor="accent1" w:themeShade="BF"/>
          <w:sz w:val="22"/>
        </w:rPr>
        <w:t xml:space="preserve">Príloha </w:t>
      </w:r>
      <w:r w:rsidRPr="00AD2F2A">
        <w:rPr>
          <w:b/>
          <w:i w:val="0"/>
          <w:color w:val="2E74B5" w:themeColor="accent1" w:themeShade="BF"/>
          <w:sz w:val="22"/>
        </w:rPr>
        <w:fldChar w:fldCharType="begin"/>
      </w:r>
      <w:r w:rsidRPr="00AD2F2A">
        <w:rPr>
          <w:b/>
          <w:i w:val="0"/>
          <w:color w:val="2E74B5" w:themeColor="accent1" w:themeShade="BF"/>
          <w:sz w:val="22"/>
        </w:rPr>
        <w:instrText xml:space="preserve"> SEQ Príloha \* ARABIC </w:instrText>
      </w:r>
      <w:r w:rsidRPr="00AD2F2A">
        <w:rPr>
          <w:b/>
          <w:i w:val="0"/>
          <w:color w:val="2E74B5" w:themeColor="accent1" w:themeShade="BF"/>
          <w:sz w:val="22"/>
        </w:rPr>
        <w:fldChar w:fldCharType="separate"/>
      </w:r>
      <w:r w:rsidR="00FA29AF">
        <w:rPr>
          <w:b/>
          <w:i w:val="0"/>
          <w:noProof/>
          <w:color w:val="2E74B5" w:themeColor="accent1" w:themeShade="BF"/>
          <w:sz w:val="22"/>
        </w:rPr>
        <w:t>32</w:t>
      </w:r>
      <w:r w:rsidRPr="00AD2F2A">
        <w:rPr>
          <w:b/>
          <w:i w:val="0"/>
          <w:color w:val="2E74B5" w:themeColor="accent1" w:themeShade="BF"/>
          <w:sz w:val="22"/>
        </w:rPr>
        <w:fldChar w:fldCharType="end"/>
      </w:r>
      <w:bookmarkEnd w:id="1939"/>
      <w:r w:rsidRPr="000C6214">
        <w:rPr>
          <w:b/>
          <w:i w:val="0"/>
          <w:color w:val="2E74B5" w:themeColor="accent1" w:themeShade="BF"/>
          <w:sz w:val="22"/>
        </w:rPr>
        <w:t>: Dodatočné náklady na vzdelávanie žiakov so zdravotným znevýhodneným v bežných stredných školách, 2018</w:t>
      </w:r>
    </w:p>
    <w:p w14:paraId="0D72E8DD" w14:textId="363BF146" w:rsidR="006402E9" w:rsidRPr="00A77253" w:rsidRDefault="006402E9" w:rsidP="006402E9">
      <w:pPr>
        <w:pStyle w:val="Popis"/>
        <w:keepNext/>
        <w:spacing w:after="0"/>
        <w:rPr>
          <w:b/>
          <w:i w:val="0"/>
          <w:color w:val="auto"/>
          <w:sz w:val="20"/>
        </w:rPr>
      </w:pPr>
      <w:r w:rsidRPr="00A77253">
        <w:rPr>
          <w:b/>
          <w:i w:val="0"/>
          <w:color w:val="auto"/>
          <w:sz w:val="20"/>
        </w:rPr>
        <w:t xml:space="preserve">Tabuľka P </w:t>
      </w:r>
      <w:r w:rsidRPr="00A77253">
        <w:rPr>
          <w:b/>
          <w:i w:val="0"/>
          <w:color w:val="auto"/>
          <w:sz w:val="20"/>
        </w:rPr>
        <w:fldChar w:fldCharType="begin"/>
      </w:r>
      <w:r w:rsidRPr="00A77253">
        <w:rPr>
          <w:b/>
          <w:i w:val="0"/>
          <w:color w:val="auto"/>
          <w:sz w:val="20"/>
        </w:rPr>
        <w:instrText xml:space="preserve"> SEQ Tabuľka_P \* ARABIC </w:instrText>
      </w:r>
      <w:r w:rsidRPr="00A77253">
        <w:rPr>
          <w:b/>
          <w:i w:val="0"/>
          <w:color w:val="auto"/>
          <w:sz w:val="20"/>
        </w:rPr>
        <w:fldChar w:fldCharType="separate"/>
      </w:r>
      <w:r w:rsidR="00FA29AF">
        <w:rPr>
          <w:b/>
          <w:i w:val="0"/>
          <w:noProof/>
          <w:color w:val="auto"/>
          <w:sz w:val="20"/>
        </w:rPr>
        <w:t>26</w:t>
      </w:r>
      <w:r w:rsidRPr="00A77253">
        <w:rPr>
          <w:b/>
          <w:i w:val="0"/>
          <w:color w:val="auto"/>
          <w:sz w:val="20"/>
        </w:rPr>
        <w:fldChar w:fldCharType="end"/>
      </w:r>
      <w:r w:rsidR="00A77253" w:rsidRPr="00A77253">
        <w:rPr>
          <w:b/>
          <w:i w:val="0"/>
          <w:color w:val="auto"/>
          <w:sz w:val="20"/>
        </w:rPr>
        <w:t>: Dodatočné náklady na vzdelávanie žiakov so zdravotným znevýhodneným v bežných stredných školách, 2018</w:t>
      </w:r>
    </w:p>
    <w:tbl>
      <w:tblPr>
        <w:tblW w:w="5000" w:type="pct"/>
        <w:tblCellMar>
          <w:left w:w="70" w:type="dxa"/>
          <w:right w:w="70" w:type="dxa"/>
        </w:tblCellMar>
        <w:tblLook w:val="04A0" w:firstRow="1" w:lastRow="0" w:firstColumn="1" w:lastColumn="0" w:noHBand="0" w:noVBand="1"/>
      </w:tblPr>
      <w:tblGrid>
        <w:gridCol w:w="1129"/>
        <w:gridCol w:w="799"/>
        <w:gridCol w:w="1189"/>
        <w:gridCol w:w="1488"/>
        <w:gridCol w:w="798"/>
        <w:gridCol w:w="801"/>
        <w:gridCol w:w="1223"/>
        <w:gridCol w:w="1467"/>
        <w:gridCol w:w="787"/>
        <w:gridCol w:w="865"/>
        <w:gridCol w:w="1188"/>
        <w:gridCol w:w="1437"/>
        <w:gridCol w:w="787"/>
      </w:tblGrid>
      <w:tr w:rsidR="006402E9" w:rsidRPr="006402E9" w14:paraId="37BC1749" w14:textId="77777777" w:rsidTr="006402E9">
        <w:trPr>
          <w:trHeight w:val="1530"/>
        </w:trPr>
        <w:tc>
          <w:tcPr>
            <w:tcW w:w="1077" w:type="dxa"/>
            <w:tcBorders>
              <w:top w:val="single" w:sz="4" w:space="0" w:color="auto"/>
              <w:left w:val="nil"/>
              <w:bottom w:val="single" w:sz="4" w:space="0" w:color="auto"/>
              <w:right w:val="nil"/>
            </w:tcBorders>
            <w:shd w:val="clear" w:color="auto" w:fill="auto"/>
            <w:noWrap/>
            <w:vAlign w:val="center"/>
            <w:hideMark/>
          </w:tcPr>
          <w:p w14:paraId="29FBCCAF" w14:textId="77777777" w:rsidR="006402E9" w:rsidRPr="006402E9" w:rsidRDefault="006402E9" w:rsidP="006402E9">
            <w:pPr>
              <w:spacing w:after="0" w:line="240" w:lineRule="auto"/>
              <w:rPr>
                <w:rFonts w:eastAsia="Times New Roman" w:cs="Times New Roman"/>
                <w:color w:val="000000"/>
                <w:sz w:val="20"/>
                <w:lang w:eastAsia="sk-SK"/>
              </w:rPr>
            </w:pPr>
            <w:r w:rsidRPr="006402E9">
              <w:rPr>
                <w:rFonts w:eastAsia="Times New Roman" w:cs="Times New Roman"/>
                <w:color w:val="000000"/>
                <w:sz w:val="20"/>
                <w:lang w:eastAsia="sk-SK"/>
              </w:rPr>
              <w:t> </w:t>
            </w:r>
          </w:p>
        </w:tc>
        <w:tc>
          <w:tcPr>
            <w:tcW w:w="763" w:type="dxa"/>
            <w:tcBorders>
              <w:top w:val="single" w:sz="4" w:space="0" w:color="auto"/>
              <w:left w:val="nil"/>
              <w:bottom w:val="single" w:sz="4" w:space="0" w:color="auto"/>
              <w:right w:val="nil"/>
            </w:tcBorders>
            <w:shd w:val="clear" w:color="auto" w:fill="auto"/>
            <w:vAlign w:val="center"/>
            <w:hideMark/>
          </w:tcPr>
          <w:p w14:paraId="3BE8126B" w14:textId="77777777" w:rsidR="006402E9" w:rsidRPr="006402E9" w:rsidRDefault="006402E9" w:rsidP="006402E9">
            <w:pPr>
              <w:spacing w:after="0" w:line="240" w:lineRule="auto"/>
              <w:jc w:val="center"/>
              <w:rPr>
                <w:rFonts w:eastAsia="Times New Roman" w:cs="Times New Roman"/>
                <w:b/>
                <w:bCs/>
                <w:color w:val="000000"/>
                <w:sz w:val="20"/>
                <w:lang w:eastAsia="sk-SK"/>
              </w:rPr>
            </w:pPr>
            <w:r w:rsidRPr="006402E9">
              <w:rPr>
                <w:rFonts w:eastAsia="Times New Roman" w:cs="Times New Roman"/>
                <w:b/>
                <w:bCs/>
                <w:color w:val="000000"/>
                <w:sz w:val="20"/>
                <w:lang w:eastAsia="sk-SK"/>
              </w:rPr>
              <w:t>Počet žiakov</w:t>
            </w:r>
          </w:p>
        </w:tc>
        <w:tc>
          <w:tcPr>
            <w:tcW w:w="1135" w:type="dxa"/>
            <w:tcBorders>
              <w:top w:val="single" w:sz="4" w:space="0" w:color="auto"/>
              <w:left w:val="nil"/>
              <w:bottom w:val="single" w:sz="4" w:space="0" w:color="auto"/>
              <w:right w:val="nil"/>
            </w:tcBorders>
            <w:shd w:val="clear" w:color="auto" w:fill="auto"/>
            <w:vAlign w:val="center"/>
            <w:hideMark/>
          </w:tcPr>
          <w:p w14:paraId="5117593A" w14:textId="77777777" w:rsidR="006402E9" w:rsidRPr="006402E9" w:rsidRDefault="006402E9" w:rsidP="006402E9">
            <w:pPr>
              <w:spacing w:after="0" w:line="240" w:lineRule="auto"/>
              <w:jc w:val="center"/>
              <w:rPr>
                <w:rFonts w:eastAsia="Times New Roman" w:cs="Times New Roman"/>
                <w:b/>
                <w:bCs/>
                <w:color w:val="000000"/>
                <w:sz w:val="20"/>
                <w:lang w:eastAsia="sk-SK"/>
              </w:rPr>
            </w:pPr>
            <w:r w:rsidRPr="006402E9">
              <w:rPr>
                <w:rFonts w:eastAsia="Times New Roman" w:cs="Times New Roman"/>
                <w:b/>
                <w:bCs/>
                <w:color w:val="000000"/>
                <w:sz w:val="20"/>
                <w:lang w:eastAsia="sk-SK"/>
              </w:rPr>
              <w:t>Dodatočné náklady</w:t>
            </w:r>
          </w:p>
        </w:tc>
        <w:tc>
          <w:tcPr>
            <w:tcW w:w="1420" w:type="dxa"/>
            <w:tcBorders>
              <w:top w:val="single" w:sz="4" w:space="0" w:color="auto"/>
              <w:left w:val="nil"/>
              <w:bottom w:val="single" w:sz="4" w:space="0" w:color="auto"/>
              <w:right w:val="nil"/>
            </w:tcBorders>
            <w:shd w:val="clear" w:color="auto" w:fill="auto"/>
            <w:vAlign w:val="center"/>
            <w:hideMark/>
          </w:tcPr>
          <w:p w14:paraId="07C6F56B" w14:textId="77777777" w:rsidR="006402E9" w:rsidRPr="006402E9" w:rsidRDefault="006402E9" w:rsidP="006402E9">
            <w:pPr>
              <w:spacing w:after="0" w:line="240" w:lineRule="auto"/>
              <w:jc w:val="center"/>
              <w:rPr>
                <w:rFonts w:eastAsia="Times New Roman" w:cs="Times New Roman"/>
                <w:b/>
                <w:bCs/>
                <w:color w:val="000000"/>
                <w:sz w:val="20"/>
                <w:lang w:eastAsia="sk-SK"/>
              </w:rPr>
            </w:pPr>
            <w:r w:rsidRPr="006402E9">
              <w:rPr>
                <w:rFonts w:eastAsia="Times New Roman" w:cs="Times New Roman"/>
                <w:b/>
                <w:bCs/>
                <w:color w:val="000000"/>
                <w:sz w:val="20"/>
                <w:lang w:eastAsia="sk-SK"/>
              </w:rPr>
              <w:t>Podiel dodatočných nákladov v rámci kategórie</w:t>
            </w:r>
          </w:p>
        </w:tc>
        <w:tc>
          <w:tcPr>
            <w:tcW w:w="762" w:type="dxa"/>
            <w:tcBorders>
              <w:top w:val="single" w:sz="4" w:space="0" w:color="auto"/>
              <w:left w:val="nil"/>
              <w:bottom w:val="single" w:sz="4" w:space="0" w:color="auto"/>
              <w:right w:val="nil"/>
            </w:tcBorders>
            <w:shd w:val="clear" w:color="auto" w:fill="auto"/>
            <w:vAlign w:val="center"/>
            <w:hideMark/>
          </w:tcPr>
          <w:p w14:paraId="76C1BA32" w14:textId="77777777" w:rsidR="006402E9" w:rsidRPr="006402E9" w:rsidRDefault="006402E9" w:rsidP="006402E9">
            <w:pPr>
              <w:spacing w:after="0" w:line="240" w:lineRule="auto"/>
              <w:jc w:val="center"/>
              <w:rPr>
                <w:rFonts w:eastAsia="Times New Roman" w:cs="Times New Roman"/>
                <w:b/>
                <w:bCs/>
                <w:color w:val="000000"/>
                <w:sz w:val="20"/>
                <w:lang w:eastAsia="sk-SK"/>
              </w:rPr>
            </w:pPr>
            <w:r w:rsidRPr="006402E9">
              <w:rPr>
                <w:rFonts w:eastAsia="Times New Roman" w:cs="Times New Roman"/>
                <w:b/>
                <w:bCs/>
                <w:color w:val="000000"/>
                <w:sz w:val="20"/>
                <w:lang w:eastAsia="sk-SK"/>
              </w:rPr>
              <w:t>Priemer na žiaka</w:t>
            </w:r>
          </w:p>
        </w:tc>
        <w:tc>
          <w:tcPr>
            <w:tcW w:w="764" w:type="dxa"/>
            <w:tcBorders>
              <w:top w:val="single" w:sz="4" w:space="0" w:color="auto"/>
              <w:left w:val="nil"/>
              <w:bottom w:val="single" w:sz="4" w:space="0" w:color="auto"/>
              <w:right w:val="nil"/>
            </w:tcBorders>
            <w:shd w:val="clear" w:color="auto" w:fill="auto"/>
            <w:vAlign w:val="center"/>
            <w:hideMark/>
          </w:tcPr>
          <w:p w14:paraId="01111671" w14:textId="77777777" w:rsidR="006402E9" w:rsidRPr="006402E9" w:rsidRDefault="006402E9" w:rsidP="006402E9">
            <w:pPr>
              <w:spacing w:after="0" w:line="240" w:lineRule="auto"/>
              <w:jc w:val="center"/>
              <w:rPr>
                <w:rFonts w:eastAsia="Times New Roman" w:cs="Times New Roman"/>
                <w:b/>
                <w:bCs/>
                <w:color w:val="000000"/>
                <w:sz w:val="20"/>
                <w:lang w:eastAsia="sk-SK"/>
              </w:rPr>
            </w:pPr>
            <w:r w:rsidRPr="006402E9">
              <w:rPr>
                <w:rFonts w:eastAsia="Times New Roman" w:cs="Times New Roman"/>
                <w:b/>
                <w:bCs/>
                <w:color w:val="000000"/>
                <w:sz w:val="20"/>
                <w:lang w:eastAsia="sk-SK"/>
              </w:rPr>
              <w:t>Počet žiakov</w:t>
            </w:r>
          </w:p>
        </w:tc>
        <w:tc>
          <w:tcPr>
            <w:tcW w:w="1167" w:type="dxa"/>
            <w:tcBorders>
              <w:top w:val="single" w:sz="4" w:space="0" w:color="auto"/>
              <w:left w:val="nil"/>
              <w:bottom w:val="single" w:sz="4" w:space="0" w:color="auto"/>
              <w:right w:val="nil"/>
            </w:tcBorders>
            <w:shd w:val="clear" w:color="auto" w:fill="auto"/>
            <w:vAlign w:val="center"/>
            <w:hideMark/>
          </w:tcPr>
          <w:p w14:paraId="07968D59" w14:textId="77777777" w:rsidR="006402E9" w:rsidRPr="006402E9" w:rsidRDefault="006402E9" w:rsidP="006402E9">
            <w:pPr>
              <w:spacing w:after="0" w:line="240" w:lineRule="auto"/>
              <w:jc w:val="center"/>
              <w:rPr>
                <w:rFonts w:eastAsia="Times New Roman" w:cs="Times New Roman"/>
                <w:b/>
                <w:bCs/>
                <w:color w:val="000000"/>
                <w:sz w:val="20"/>
                <w:lang w:eastAsia="sk-SK"/>
              </w:rPr>
            </w:pPr>
            <w:r w:rsidRPr="006402E9">
              <w:rPr>
                <w:rFonts w:eastAsia="Times New Roman" w:cs="Times New Roman"/>
                <w:b/>
                <w:bCs/>
                <w:color w:val="000000"/>
                <w:sz w:val="20"/>
                <w:lang w:eastAsia="sk-SK"/>
              </w:rPr>
              <w:t>Dodatočné náklady</w:t>
            </w:r>
          </w:p>
        </w:tc>
        <w:tc>
          <w:tcPr>
            <w:tcW w:w="1400" w:type="dxa"/>
            <w:tcBorders>
              <w:top w:val="single" w:sz="4" w:space="0" w:color="auto"/>
              <w:left w:val="nil"/>
              <w:bottom w:val="single" w:sz="4" w:space="0" w:color="auto"/>
              <w:right w:val="nil"/>
            </w:tcBorders>
            <w:shd w:val="clear" w:color="auto" w:fill="auto"/>
            <w:vAlign w:val="center"/>
            <w:hideMark/>
          </w:tcPr>
          <w:p w14:paraId="35B94DD3" w14:textId="77777777" w:rsidR="006402E9" w:rsidRPr="006402E9" w:rsidRDefault="006402E9" w:rsidP="006402E9">
            <w:pPr>
              <w:spacing w:after="0" w:line="240" w:lineRule="auto"/>
              <w:jc w:val="center"/>
              <w:rPr>
                <w:rFonts w:eastAsia="Times New Roman" w:cs="Times New Roman"/>
                <w:b/>
                <w:bCs/>
                <w:color w:val="000000"/>
                <w:sz w:val="20"/>
                <w:lang w:eastAsia="sk-SK"/>
              </w:rPr>
            </w:pPr>
            <w:r w:rsidRPr="006402E9">
              <w:rPr>
                <w:rFonts w:eastAsia="Times New Roman" w:cs="Times New Roman"/>
                <w:b/>
                <w:bCs/>
                <w:color w:val="000000"/>
                <w:sz w:val="20"/>
                <w:lang w:eastAsia="sk-SK"/>
              </w:rPr>
              <w:t>Podiel dodatočných nákladov v rámci kategórie</w:t>
            </w:r>
          </w:p>
        </w:tc>
        <w:tc>
          <w:tcPr>
            <w:tcW w:w="751" w:type="dxa"/>
            <w:tcBorders>
              <w:top w:val="single" w:sz="4" w:space="0" w:color="auto"/>
              <w:left w:val="nil"/>
              <w:bottom w:val="single" w:sz="4" w:space="0" w:color="auto"/>
              <w:right w:val="nil"/>
            </w:tcBorders>
            <w:shd w:val="clear" w:color="auto" w:fill="auto"/>
            <w:vAlign w:val="center"/>
            <w:hideMark/>
          </w:tcPr>
          <w:p w14:paraId="20EB695D" w14:textId="77777777" w:rsidR="006402E9" w:rsidRPr="006402E9" w:rsidRDefault="006402E9" w:rsidP="006402E9">
            <w:pPr>
              <w:spacing w:after="0" w:line="240" w:lineRule="auto"/>
              <w:jc w:val="center"/>
              <w:rPr>
                <w:rFonts w:eastAsia="Times New Roman" w:cs="Times New Roman"/>
                <w:b/>
                <w:bCs/>
                <w:color w:val="000000"/>
                <w:sz w:val="20"/>
                <w:lang w:eastAsia="sk-SK"/>
              </w:rPr>
            </w:pPr>
            <w:r w:rsidRPr="006402E9">
              <w:rPr>
                <w:rFonts w:eastAsia="Times New Roman" w:cs="Times New Roman"/>
                <w:b/>
                <w:bCs/>
                <w:color w:val="000000"/>
                <w:sz w:val="20"/>
                <w:lang w:eastAsia="sk-SK"/>
              </w:rPr>
              <w:t>Priemer na žiaka</w:t>
            </w:r>
          </w:p>
        </w:tc>
        <w:tc>
          <w:tcPr>
            <w:tcW w:w="826" w:type="dxa"/>
            <w:tcBorders>
              <w:top w:val="single" w:sz="4" w:space="0" w:color="auto"/>
              <w:left w:val="nil"/>
              <w:bottom w:val="single" w:sz="4" w:space="0" w:color="auto"/>
              <w:right w:val="nil"/>
            </w:tcBorders>
            <w:shd w:val="clear" w:color="auto" w:fill="auto"/>
            <w:vAlign w:val="center"/>
            <w:hideMark/>
          </w:tcPr>
          <w:p w14:paraId="0235DE85" w14:textId="77777777" w:rsidR="006402E9" w:rsidRPr="006402E9" w:rsidRDefault="006402E9" w:rsidP="006402E9">
            <w:pPr>
              <w:spacing w:after="0" w:line="240" w:lineRule="auto"/>
              <w:jc w:val="center"/>
              <w:rPr>
                <w:rFonts w:eastAsia="Times New Roman" w:cs="Times New Roman"/>
                <w:b/>
                <w:bCs/>
                <w:color w:val="000000"/>
                <w:sz w:val="20"/>
                <w:lang w:eastAsia="sk-SK"/>
              </w:rPr>
            </w:pPr>
            <w:r w:rsidRPr="006402E9">
              <w:rPr>
                <w:rFonts w:eastAsia="Times New Roman" w:cs="Times New Roman"/>
                <w:b/>
                <w:bCs/>
                <w:color w:val="000000"/>
                <w:sz w:val="20"/>
                <w:lang w:eastAsia="sk-SK"/>
              </w:rPr>
              <w:t>Počet žiakov</w:t>
            </w:r>
          </w:p>
        </w:tc>
        <w:tc>
          <w:tcPr>
            <w:tcW w:w="1134" w:type="dxa"/>
            <w:tcBorders>
              <w:top w:val="single" w:sz="4" w:space="0" w:color="auto"/>
              <w:left w:val="nil"/>
              <w:bottom w:val="single" w:sz="4" w:space="0" w:color="auto"/>
              <w:right w:val="nil"/>
            </w:tcBorders>
            <w:shd w:val="clear" w:color="auto" w:fill="auto"/>
            <w:vAlign w:val="center"/>
            <w:hideMark/>
          </w:tcPr>
          <w:p w14:paraId="67A63D9A" w14:textId="77777777" w:rsidR="006402E9" w:rsidRPr="006402E9" w:rsidRDefault="006402E9" w:rsidP="006402E9">
            <w:pPr>
              <w:spacing w:after="0" w:line="240" w:lineRule="auto"/>
              <w:jc w:val="center"/>
              <w:rPr>
                <w:rFonts w:eastAsia="Times New Roman" w:cs="Times New Roman"/>
                <w:b/>
                <w:bCs/>
                <w:color w:val="000000"/>
                <w:sz w:val="20"/>
                <w:lang w:eastAsia="sk-SK"/>
              </w:rPr>
            </w:pPr>
            <w:r w:rsidRPr="006402E9">
              <w:rPr>
                <w:rFonts w:eastAsia="Times New Roman" w:cs="Times New Roman"/>
                <w:b/>
                <w:bCs/>
                <w:color w:val="000000"/>
                <w:sz w:val="20"/>
                <w:lang w:eastAsia="sk-SK"/>
              </w:rPr>
              <w:t>Dodatočné náklady</w:t>
            </w:r>
          </w:p>
        </w:tc>
        <w:tc>
          <w:tcPr>
            <w:tcW w:w="1371" w:type="dxa"/>
            <w:tcBorders>
              <w:top w:val="single" w:sz="4" w:space="0" w:color="auto"/>
              <w:left w:val="nil"/>
              <w:bottom w:val="single" w:sz="4" w:space="0" w:color="auto"/>
              <w:right w:val="nil"/>
            </w:tcBorders>
            <w:shd w:val="clear" w:color="auto" w:fill="auto"/>
            <w:vAlign w:val="center"/>
            <w:hideMark/>
          </w:tcPr>
          <w:p w14:paraId="6F961A02" w14:textId="77777777" w:rsidR="006402E9" w:rsidRPr="006402E9" w:rsidRDefault="006402E9" w:rsidP="006402E9">
            <w:pPr>
              <w:spacing w:after="0" w:line="240" w:lineRule="auto"/>
              <w:jc w:val="center"/>
              <w:rPr>
                <w:rFonts w:eastAsia="Times New Roman" w:cs="Times New Roman"/>
                <w:b/>
                <w:bCs/>
                <w:color w:val="000000"/>
                <w:sz w:val="20"/>
                <w:lang w:eastAsia="sk-SK"/>
              </w:rPr>
            </w:pPr>
            <w:r w:rsidRPr="006402E9">
              <w:rPr>
                <w:rFonts w:eastAsia="Times New Roman" w:cs="Times New Roman"/>
                <w:b/>
                <w:bCs/>
                <w:color w:val="000000"/>
                <w:sz w:val="20"/>
                <w:lang w:eastAsia="sk-SK"/>
              </w:rPr>
              <w:t>Podiel dodatočných nákladov v rámci kategórie</w:t>
            </w:r>
          </w:p>
        </w:tc>
        <w:tc>
          <w:tcPr>
            <w:tcW w:w="751" w:type="dxa"/>
            <w:tcBorders>
              <w:top w:val="single" w:sz="4" w:space="0" w:color="auto"/>
              <w:left w:val="nil"/>
              <w:bottom w:val="single" w:sz="4" w:space="0" w:color="auto"/>
              <w:right w:val="nil"/>
            </w:tcBorders>
            <w:shd w:val="clear" w:color="auto" w:fill="auto"/>
            <w:vAlign w:val="center"/>
            <w:hideMark/>
          </w:tcPr>
          <w:p w14:paraId="6C70A022" w14:textId="77777777" w:rsidR="006402E9" w:rsidRPr="006402E9" w:rsidRDefault="006402E9" w:rsidP="006402E9">
            <w:pPr>
              <w:spacing w:after="0" w:line="240" w:lineRule="auto"/>
              <w:jc w:val="center"/>
              <w:rPr>
                <w:rFonts w:eastAsia="Times New Roman" w:cs="Times New Roman"/>
                <w:b/>
                <w:bCs/>
                <w:color w:val="000000"/>
                <w:sz w:val="20"/>
                <w:lang w:eastAsia="sk-SK"/>
              </w:rPr>
            </w:pPr>
            <w:r w:rsidRPr="006402E9">
              <w:rPr>
                <w:rFonts w:eastAsia="Times New Roman" w:cs="Times New Roman"/>
                <w:b/>
                <w:bCs/>
                <w:color w:val="000000"/>
                <w:sz w:val="20"/>
                <w:lang w:eastAsia="sk-SK"/>
              </w:rPr>
              <w:t>Priemer na žiaka</w:t>
            </w:r>
          </w:p>
        </w:tc>
      </w:tr>
      <w:tr w:rsidR="006402E9" w:rsidRPr="006402E9" w14:paraId="31BC69F4" w14:textId="77777777" w:rsidTr="006402E9">
        <w:trPr>
          <w:trHeight w:val="300"/>
        </w:trPr>
        <w:tc>
          <w:tcPr>
            <w:tcW w:w="1077" w:type="dxa"/>
            <w:tcBorders>
              <w:top w:val="nil"/>
              <w:left w:val="nil"/>
              <w:bottom w:val="nil"/>
              <w:right w:val="nil"/>
            </w:tcBorders>
            <w:shd w:val="clear" w:color="auto" w:fill="auto"/>
            <w:noWrap/>
            <w:vAlign w:val="center"/>
            <w:hideMark/>
          </w:tcPr>
          <w:p w14:paraId="45D62AC1" w14:textId="77777777" w:rsidR="006402E9" w:rsidRPr="006402E9" w:rsidRDefault="006402E9" w:rsidP="006402E9">
            <w:pPr>
              <w:spacing w:after="0" w:line="240" w:lineRule="auto"/>
              <w:rPr>
                <w:rFonts w:eastAsia="Times New Roman" w:cs="Times New Roman"/>
                <w:bCs/>
                <w:color w:val="000000"/>
                <w:sz w:val="20"/>
                <w:lang w:eastAsia="sk-SK"/>
              </w:rPr>
            </w:pPr>
            <w:r w:rsidRPr="006402E9">
              <w:rPr>
                <w:rFonts w:eastAsia="Times New Roman" w:cs="Times New Roman"/>
                <w:bCs/>
                <w:color w:val="000000"/>
                <w:sz w:val="20"/>
                <w:lang w:eastAsia="sk-SK"/>
              </w:rPr>
              <w:t>Kategória 1</w:t>
            </w:r>
          </w:p>
        </w:tc>
        <w:tc>
          <w:tcPr>
            <w:tcW w:w="763" w:type="dxa"/>
            <w:tcBorders>
              <w:top w:val="nil"/>
              <w:left w:val="nil"/>
              <w:bottom w:val="nil"/>
              <w:right w:val="nil"/>
            </w:tcBorders>
            <w:shd w:val="clear" w:color="auto" w:fill="auto"/>
            <w:noWrap/>
            <w:vAlign w:val="center"/>
            <w:hideMark/>
          </w:tcPr>
          <w:p w14:paraId="443302C8" w14:textId="77777777" w:rsidR="006402E9" w:rsidRPr="006402E9" w:rsidRDefault="006402E9" w:rsidP="006402E9">
            <w:pPr>
              <w:spacing w:after="0" w:line="240" w:lineRule="auto"/>
              <w:jc w:val="center"/>
              <w:rPr>
                <w:rFonts w:eastAsia="Times New Roman" w:cs="Times New Roman"/>
                <w:color w:val="000000"/>
                <w:sz w:val="20"/>
                <w:lang w:eastAsia="sk-SK"/>
              </w:rPr>
            </w:pPr>
            <w:r w:rsidRPr="006402E9">
              <w:rPr>
                <w:rFonts w:eastAsia="Times New Roman" w:cs="Times New Roman"/>
                <w:color w:val="000000"/>
                <w:sz w:val="20"/>
                <w:lang w:eastAsia="sk-SK"/>
              </w:rPr>
              <w:t>283</w:t>
            </w:r>
          </w:p>
        </w:tc>
        <w:tc>
          <w:tcPr>
            <w:tcW w:w="1135" w:type="dxa"/>
            <w:tcBorders>
              <w:top w:val="nil"/>
              <w:left w:val="nil"/>
              <w:bottom w:val="nil"/>
              <w:right w:val="nil"/>
            </w:tcBorders>
            <w:shd w:val="clear" w:color="auto" w:fill="auto"/>
            <w:noWrap/>
            <w:vAlign w:val="center"/>
            <w:hideMark/>
          </w:tcPr>
          <w:p w14:paraId="73FE963C" w14:textId="77777777" w:rsidR="006402E9" w:rsidRPr="006402E9" w:rsidRDefault="006402E9" w:rsidP="006402E9">
            <w:pPr>
              <w:spacing w:after="0" w:line="240" w:lineRule="auto"/>
              <w:jc w:val="center"/>
              <w:rPr>
                <w:rFonts w:eastAsia="Times New Roman" w:cs="Times New Roman"/>
                <w:color w:val="000000"/>
                <w:sz w:val="20"/>
                <w:lang w:eastAsia="sk-SK"/>
              </w:rPr>
            </w:pPr>
            <w:r w:rsidRPr="006402E9">
              <w:rPr>
                <w:rFonts w:eastAsia="Times New Roman" w:cs="Times New Roman"/>
                <w:color w:val="000000"/>
                <w:sz w:val="20"/>
                <w:lang w:eastAsia="sk-SK"/>
              </w:rPr>
              <w:t>477 996</w:t>
            </w:r>
          </w:p>
        </w:tc>
        <w:tc>
          <w:tcPr>
            <w:tcW w:w="1420" w:type="dxa"/>
            <w:tcBorders>
              <w:top w:val="nil"/>
              <w:left w:val="nil"/>
              <w:bottom w:val="nil"/>
              <w:right w:val="nil"/>
            </w:tcBorders>
            <w:shd w:val="clear" w:color="auto" w:fill="auto"/>
            <w:noWrap/>
            <w:vAlign w:val="center"/>
            <w:hideMark/>
          </w:tcPr>
          <w:p w14:paraId="08D66500" w14:textId="77777777" w:rsidR="006402E9" w:rsidRPr="006402E9" w:rsidRDefault="006402E9" w:rsidP="006402E9">
            <w:pPr>
              <w:spacing w:after="0" w:line="240" w:lineRule="auto"/>
              <w:jc w:val="center"/>
              <w:rPr>
                <w:rFonts w:eastAsia="Times New Roman" w:cs="Times New Roman"/>
                <w:color w:val="000000"/>
                <w:sz w:val="20"/>
                <w:lang w:eastAsia="sk-SK"/>
              </w:rPr>
            </w:pPr>
            <w:r w:rsidRPr="006402E9">
              <w:rPr>
                <w:rFonts w:eastAsia="Times New Roman" w:cs="Times New Roman"/>
                <w:color w:val="000000"/>
                <w:sz w:val="20"/>
                <w:lang w:eastAsia="sk-SK"/>
              </w:rPr>
              <w:t>51%</w:t>
            </w:r>
          </w:p>
        </w:tc>
        <w:tc>
          <w:tcPr>
            <w:tcW w:w="762" w:type="dxa"/>
            <w:tcBorders>
              <w:top w:val="nil"/>
              <w:left w:val="nil"/>
              <w:bottom w:val="nil"/>
              <w:right w:val="nil"/>
            </w:tcBorders>
            <w:shd w:val="clear" w:color="auto" w:fill="auto"/>
            <w:noWrap/>
            <w:vAlign w:val="center"/>
            <w:hideMark/>
          </w:tcPr>
          <w:p w14:paraId="23ED6560" w14:textId="77777777" w:rsidR="006402E9" w:rsidRPr="006402E9" w:rsidRDefault="006402E9" w:rsidP="006402E9">
            <w:pPr>
              <w:spacing w:after="0" w:line="240" w:lineRule="auto"/>
              <w:jc w:val="center"/>
              <w:rPr>
                <w:rFonts w:eastAsia="Times New Roman" w:cs="Times New Roman"/>
                <w:color w:val="000000"/>
                <w:sz w:val="20"/>
                <w:lang w:eastAsia="sk-SK"/>
              </w:rPr>
            </w:pPr>
            <w:r w:rsidRPr="006402E9">
              <w:rPr>
                <w:rFonts w:eastAsia="Times New Roman" w:cs="Times New Roman"/>
                <w:color w:val="000000"/>
                <w:sz w:val="20"/>
                <w:lang w:eastAsia="sk-SK"/>
              </w:rPr>
              <w:t>1 691</w:t>
            </w:r>
          </w:p>
        </w:tc>
        <w:tc>
          <w:tcPr>
            <w:tcW w:w="764" w:type="dxa"/>
            <w:tcBorders>
              <w:top w:val="nil"/>
              <w:left w:val="nil"/>
              <w:bottom w:val="nil"/>
              <w:right w:val="nil"/>
            </w:tcBorders>
            <w:shd w:val="clear" w:color="auto" w:fill="auto"/>
            <w:noWrap/>
            <w:vAlign w:val="center"/>
            <w:hideMark/>
          </w:tcPr>
          <w:p w14:paraId="6556EC70" w14:textId="77777777" w:rsidR="006402E9" w:rsidRPr="006402E9" w:rsidRDefault="006402E9" w:rsidP="006402E9">
            <w:pPr>
              <w:spacing w:after="0" w:line="240" w:lineRule="auto"/>
              <w:jc w:val="center"/>
              <w:rPr>
                <w:rFonts w:eastAsia="Times New Roman" w:cs="Times New Roman"/>
                <w:color w:val="000000"/>
                <w:sz w:val="20"/>
                <w:lang w:eastAsia="sk-SK"/>
              </w:rPr>
            </w:pPr>
            <w:r w:rsidRPr="006402E9">
              <w:rPr>
                <w:rFonts w:eastAsia="Times New Roman" w:cs="Times New Roman"/>
                <w:color w:val="000000"/>
                <w:sz w:val="20"/>
                <w:lang w:eastAsia="sk-SK"/>
              </w:rPr>
              <w:t>83</w:t>
            </w:r>
          </w:p>
        </w:tc>
        <w:tc>
          <w:tcPr>
            <w:tcW w:w="1167" w:type="dxa"/>
            <w:tcBorders>
              <w:top w:val="nil"/>
              <w:left w:val="nil"/>
              <w:bottom w:val="nil"/>
              <w:right w:val="nil"/>
            </w:tcBorders>
            <w:shd w:val="clear" w:color="auto" w:fill="auto"/>
            <w:noWrap/>
            <w:vAlign w:val="center"/>
            <w:hideMark/>
          </w:tcPr>
          <w:p w14:paraId="52B9795A" w14:textId="77777777" w:rsidR="006402E9" w:rsidRPr="006402E9" w:rsidRDefault="006402E9" w:rsidP="006402E9">
            <w:pPr>
              <w:spacing w:after="0" w:line="240" w:lineRule="auto"/>
              <w:jc w:val="center"/>
              <w:rPr>
                <w:rFonts w:eastAsia="Times New Roman" w:cs="Times New Roman"/>
                <w:color w:val="000000"/>
                <w:sz w:val="20"/>
                <w:lang w:eastAsia="sk-SK"/>
              </w:rPr>
            </w:pPr>
            <w:r w:rsidRPr="006402E9">
              <w:rPr>
                <w:rFonts w:eastAsia="Times New Roman" w:cs="Times New Roman"/>
                <w:color w:val="000000"/>
                <w:sz w:val="20"/>
                <w:lang w:eastAsia="sk-SK"/>
              </w:rPr>
              <w:t>316 095</w:t>
            </w:r>
          </w:p>
        </w:tc>
        <w:tc>
          <w:tcPr>
            <w:tcW w:w="1400" w:type="dxa"/>
            <w:tcBorders>
              <w:top w:val="nil"/>
              <w:left w:val="nil"/>
              <w:bottom w:val="nil"/>
              <w:right w:val="nil"/>
            </w:tcBorders>
            <w:shd w:val="clear" w:color="auto" w:fill="auto"/>
            <w:noWrap/>
            <w:vAlign w:val="center"/>
            <w:hideMark/>
          </w:tcPr>
          <w:p w14:paraId="3071446B" w14:textId="77777777" w:rsidR="006402E9" w:rsidRPr="006402E9" w:rsidRDefault="006402E9" w:rsidP="006402E9">
            <w:pPr>
              <w:spacing w:after="0" w:line="240" w:lineRule="auto"/>
              <w:jc w:val="center"/>
              <w:rPr>
                <w:rFonts w:eastAsia="Times New Roman" w:cs="Times New Roman"/>
                <w:color w:val="000000"/>
                <w:sz w:val="20"/>
                <w:lang w:eastAsia="sk-SK"/>
              </w:rPr>
            </w:pPr>
            <w:r w:rsidRPr="006402E9">
              <w:rPr>
                <w:rFonts w:eastAsia="Times New Roman" w:cs="Times New Roman"/>
                <w:color w:val="000000"/>
                <w:sz w:val="20"/>
                <w:lang w:eastAsia="sk-SK"/>
              </w:rPr>
              <w:t>78%</w:t>
            </w:r>
          </w:p>
        </w:tc>
        <w:tc>
          <w:tcPr>
            <w:tcW w:w="751" w:type="dxa"/>
            <w:tcBorders>
              <w:top w:val="nil"/>
              <w:left w:val="nil"/>
              <w:bottom w:val="nil"/>
              <w:right w:val="nil"/>
            </w:tcBorders>
            <w:shd w:val="clear" w:color="auto" w:fill="auto"/>
            <w:noWrap/>
            <w:vAlign w:val="center"/>
            <w:hideMark/>
          </w:tcPr>
          <w:p w14:paraId="045A84BB" w14:textId="77777777" w:rsidR="006402E9" w:rsidRPr="006402E9" w:rsidRDefault="006402E9" w:rsidP="006402E9">
            <w:pPr>
              <w:spacing w:after="0" w:line="240" w:lineRule="auto"/>
              <w:jc w:val="center"/>
              <w:rPr>
                <w:rFonts w:eastAsia="Times New Roman" w:cs="Times New Roman"/>
                <w:color w:val="000000"/>
                <w:sz w:val="20"/>
                <w:lang w:eastAsia="sk-SK"/>
              </w:rPr>
            </w:pPr>
            <w:r w:rsidRPr="006402E9">
              <w:rPr>
                <w:rFonts w:eastAsia="Times New Roman" w:cs="Times New Roman"/>
                <w:color w:val="000000"/>
                <w:sz w:val="20"/>
                <w:lang w:eastAsia="sk-SK"/>
              </w:rPr>
              <w:t>3 793</w:t>
            </w:r>
          </w:p>
        </w:tc>
        <w:tc>
          <w:tcPr>
            <w:tcW w:w="826" w:type="dxa"/>
            <w:tcBorders>
              <w:top w:val="nil"/>
              <w:left w:val="nil"/>
              <w:bottom w:val="nil"/>
              <w:right w:val="nil"/>
            </w:tcBorders>
            <w:shd w:val="clear" w:color="auto" w:fill="auto"/>
            <w:noWrap/>
            <w:vAlign w:val="center"/>
            <w:hideMark/>
          </w:tcPr>
          <w:p w14:paraId="1FA2B4D4" w14:textId="77777777" w:rsidR="006402E9" w:rsidRPr="006402E9" w:rsidRDefault="006402E9" w:rsidP="006402E9">
            <w:pPr>
              <w:spacing w:after="0" w:line="240" w:lineRule="auto"/>
              <w:jc w:val="center"/>
              <w:rPr>
                <w:rFonts w:eastAsia="Times New Roman" w:cs="Times New Roman"/>
                <w:color w:val="000000"/>
                <w:sz w:val="20"/>
                <w:lang w:eastAsia="sk-SK"/>
              </w:rPr>
            </w:pPr>
            <w:r w:rsidRPr="006402E9">
              <w:rPr>
                <w:rFonts w:eastAsia="Times New Roman" w:cs="Times New Roman"/>
                <w:color w:val="000000"/>
                <w:sz w:val="20"/>
                <w:lang w:eastAsia="sk-SK"/>
              </w:rPr>
              <w:t>7 495</w:t>
            </w:r>
          </w:p>
        </w:tc>
        <w:tc>
          <w:tcPr>
            <w:tcW w:w="1134" w:type="dxa"/>
            <w:tcBorders>
              <w:top w:val="nil"/>
              <w:left w:val="nil"/>
              <w:bottom w:val="nil"/>
              <w:right w:val="nil"/>
            </w:tcBorders>
            <w:shd w:val="clear" w:color="auto" w:fill="auto"/>
            <w:noWrap/>
            <w:vAlign w:val="center"/>
            <w:hideMark/>
          </w:tcPr>
          <w:p w14:paraId="3FFFFA03" w14:textId="77777777" w:rsidR="006402E9" w:rsidRPr="006402E9" w:rsidRDefault="006402E9" w:rsidP="006402E9">
            <w:pPr>
              <w:spacing w:after="0" w:line="240" w:lineRule="auto"/>
              <w:jc w:val="center"/>
              <w:rPr>
                <w:rFonts w:eastAsia="Times New Roman" w:cs="Times New Roman"/>
                <w:color w:val="000000"/>
                <w:sz w:val="20"/>
                <w:lang w:eastAsia="sk-SK"/>
              </w:rPr>
            </w:pPr>
            <w:r w:rsidRPr="006402E9">
              <w:rPr>
                <w:rFonts w:eastAsia="Times New Roman" w:cs="Times New Roman"/>
                <w:color w:val="000000"/>
                <w:sz w:val="20"/>
                <w:lang w:eastAsia="sk-SK"/>
              </w:rPr>
              <w:t>14 454 839</w:t>
            </w:r>
          </w:p>
        </w:tc>
        <w:tc>
          <w:tcPr>
            <w:tcW w:w="1371" w:type="dxa"/>
            <w:tcBorders>
              <w:top w:val="nil"/>
              <w:left w:val="nil"/>
              <w:bottom w:val="nil"/>
              <w:right w:val="nil"/>
            </w:tcBorders>
            <w:shd w:val="clear" w:color="auto" w:fill="auto"/>
            <w:noWrap/>
            <w:vAlign w:val="center"/>
            <w:hideMark/>
          </w:tcPr>
          <w:p w14:paraId="5A272C7D" w14:textId="77777777" w:rsidR="006402E9" w:rsidRPr="006402E9" w:rsidRDefault="006402E9" w:rsidP="006402E9">
            <w:pPr>
              <w:spacing w:after="0" w:line="240" w:lineRule="auto"/>
              <w:jc w:val="center"/>
              <w:rPr>
                <w:rFonts w:eastAsia="Times New Roman" w:cs="Times New Roman"/>
                <w:color w:val="000000"/>
                <w:sz w:val="20"/>
                <w:lang w:eastAsia="sk-SK"/>
              </w:rPr>
            </w:pPr>
            <w:r w:rsidRPr="006402E9">
              <w:rPr>
                <w:rFonts w:eastAsia="Times New Roman" w:cs="Times New Roman"/>
                <w:color w:val="000000"/>
                <w:sz w:val="20"/>
                <w:lang w:eastAsia="sk-SK"/>
              </w:rPr>
              <w:t>87%</w:t>
            </w:r>
          </w:p>
        </w:tc>
        <w:tc>
          <w:tcPr>
            <w:tcW w:w="751" w:type="dxa"/>
            <w:tcBorders>
              <w:top w:val="nil"/>
              <w:left w:val="nil"/>
              <w:bottom w:val="nil"/>
              <w:right w:val="nil"/>
            </w:tcBorders>
            <w:shd w:val="clear" w:color="auto" w:fill="auto"/>
            <w:noWrap/>
            <w:vAlign w:val="center"/>
            <w:hideMark/>
          </w:tcPr>
          <w:p w14:paraId="2BE2AABA" w14:textId="77777777" w:rsidR="006402E9" w:rsidRPr="006402E9" w:rsidRDefault="006402E9" w:rsidP="006402E9">
            <w:pPr>
              <w:spacing w:after="0" w:line="240" w:lineRule="auto"/>
              <w:jc w:val="center"/>
              <w:rPr>
                <w:rFonts w:eastAsia="Times New Roman" w:cs="Times New Roman"/>
                <w:color w:val="000000"/>
                <w:sz w:val="20"/>
                <w:lang w:eastAsia="sk-SK"/>
              </w:rPr>
            </w:pPr>
            <w:r w:rsidRPr="006402E9">
              <w:rPr>
                <w:rFonts w:eastAsia="Times New Roman" w:cs="Times New Roman"/>
                <w:color w:val="000000"/>
                <w:sz w:val="20"/>
                <w:lang w:eastAsia="sk-SK"/>
              </w:rPr>
              <w:t>1 929</w:t>
            </w:r>
          </w:p>
        </w:tc>
      </w:tr>
      <w:tr w:rsidR="006402E9" w:rsidRPr="006402E9" w14:paraId="0615AC0F" w14:textId="77777777" w:rsidTr="006402E9">
        <w:trPr>
          <w:trHeight w:val="300"/>
        </w:trPr>
        <w:tc>
          <w:tcPr>
            <w:tcW w:w="1077" w:type="dxa"/>
            <w:tcBorders>
              <w:top w:val="nil"/>
              <w:left w:val="nil"/>
              <w:bottom w:val="nil"/>
              <w:right w:val="nil"/>
            </w:tcBorders>
            <w:shd w:val="clear" w:color="auto" w:fill="auto"/>
            <w:noWrap/>
            <w:vAlign w:val="center"/>
            <w:hideMark/>
          </w:tcPr>
          <w:p w14:paraId="24397AF4" w14:textId="77777777" w:rsidR="006402E9" w:rsidRPr="006402E9" w:rsidRDefault="006402E9" w:rsidP="006402E9">
            <w:pPr>
              <w:spacing w:after="0" w:line="240" w:lineRule="auto"/>
              <w:rPr>
                <w:rFonts w:eastAsia="Times New Roman" w:cs="Times New Roman"/>
                <w:bCs/>
                <w:color w:val="000000"/>
                <w:sz w:val="20"/>
                <w:lang w:eastAsia="sk-SK"/>
              </w:rPr>
            </w:pPr>
            <w:r w:rsidRPr="006402E9">
              <w:rPr>
                <w:rFonts w:eastAsia="Times New Roman" w:cs="Times New Roman"/>
                <w:bCs/>
                <w:color w:val="000000"/>
                <w:sz w:val="20"/>
                <w:lang w:eastAsia="sk-SK"/>
              </w:rPr>
              <w:t>Kategória 2</w:t>
            </w:r>
          </w:p>
        </w:tc>
        <w:tc>
          <w:tcPr>
            <w:tcW w:w="763" w:type="dxa"/>
            <w:tcBorders>
              <w:top w:val="nil"/>
              <w:left w:val="nil"/>
              <w:bottom w:val="nil"/>
              <w:right w:val="nil"/>
            </w:tcBorders>
            <w:shd w:val="clear" w:color="auto" w:fill="auto"/>
            <w:noWrap/>
            <w:vAlign w:val="center"/>
            <w:hideMark/>
          </w:tcPr>
          <w:p w14:paraId="4C2E96CA" w14:textId="77777777" w:rsidR="006402E9" w:rsidRPr="006402E9" w:rsidRDefault="006402E9" w:rsidP="006402E9">
            <w:pPr>
              <w:spacing w:after="0" w:line="240" w:lineRule="auto"/>
              <w:jc w:val="center"/>
              <w:rPr>
                <w:rFonts w:eastAsia="Times New Roman" w:cs="Times New Roman"/>
                <w:color w:val="000000"/>
                <w:sz w:val="20"/>
                <w:lang w:eastAsia="sk-SK"/>
              </w:rPr>
            </w:pPr>
            <w:r w:rsidRPr="006402E9">
              <w:rPr>
                <w:rFonts w:eastAsia="Times New Roman" w:cs="Times New Roman"/>
                <w:color w:val="000000"/>
                <w:sz w:val="20"/>
                <w:lang w:eastAsia="sk-SK"/>
              </w:rPr>
              <w:t>129</w:t>
            </w:r>
          </w:p>
        </w:tc>
        <w:tc>
          <w:tcPr>
            <w:tcW w:w="1135" w:type="dxa"/>
            <w:tcBorders>
              <w:top w:val="nil"/>
              <w:left w:val="nil"/>
              <w:bottom w:val="nil"/>
              <w:right w:val="nil"/>
            </w:tcBorders>
            <w:shd w:val="clear" w:color="auto" w:fill="auto"/>
            <w:noWrap/>
            <w:vAlign w:val="center"/>
            <w:hideMark/>
          </w:tcPr>
          <w:p w14:paraId="325BAD68" w14:textId="77777777" w:rsidR="006402E9" w:rsidRPr="006402E9" w:rsidRDefault="006402E9" w:rsidP="006402E9">
            <w:pPr>
              <w:spacing w:after="0" w:line="240" w:lineRule="auto"/>
              <w:jc w:val="center"/>
              <w:rPr>
                <w:rFonts w:eastAsia="Times New Roman" w:cs="Times New Roman"/>
                <w:color w:val="000000"/>
                <w:sz w:val="20"/>
                <w:lang w:eastAsia="sk-SK"/>
              </w:rPr>
            </w:pPr>
            <w:r w:rsidRPr="006402E9">
              <w:rPr>
                <w:rFonts w:eastAsia="Times New Roman" w:cs="Times New Roman"/>
                <w:color w:val="000000"/>
                <w:sz w:val="20"/>
                <w:lang w:eastAsia="sk-SK"/>
              </w:rPr>
              <w:t>289 111</w:t>
            </w:r>
          </w:p>
        </w:tc>
        <w:tc>
          <w:tcPr>
            <w:tcW w:w="1420" w:type="dxa"/>
            <w:tcBorders>
              <w:top w:val="nil"/>
              <w:left w:val="nil"/>
              <w:bottom w:val="nil"/>
              <w:right w:val="nil"/>
            </w:tcBorders>
            <w:shd w:val="clear" w:color="auto" w:fill="auto"/>
            <w:noWrap/>
            <w:vAlign w:val="center"/>
            <w:hideMark/>
          </w:tcPr>
          <w:p w14:paraId="02184973" w14:textId="77777777" w:rsidR="006402E9" w:rsidRPr="006402E9" w:rsidRDefault="006402E9" w:rsidP="006402E9">
            <w:pPr>
              <w:spacing w:after="0" w:line="240" w:lineRule="auto"/>
              <w:jc w:val="center"/>
              <w:rPr>
                <w:rFonts w:eastAsia="Times New Roman" w:cs="Times New Roman"/>
                <w:color w:val="000000"/>
                <w:sz w:val="20"/>
                <w:lang w:eastAsia="sk-SK"/>
              </w:rPr>
            </w:pPr>
            <w:r w:rsidRPr="006402E9">
              <w:rPr>
                <w:rFonts w:eastAsia="Times New Roman" w:cs="Times New Roman"/>
                <w:color w:val="000000"/>
                <w:sz w:val="20"/>
                <w:lang w:eastAsia="sk-SK"/>
              </w:rPr>
              <w:t>31%</w:t>
            </w:r>
          </w:p>
        </w:tc>
        <w:tc>
          <w:tcPr>
            <w:tcW w:w="762" w:type="dxa"/>
            <w:tcBorders>
              <w:top w:val="nil"/>
              <w:left w:val="nil"/>
              <w:bottom w:val="nil"/>
              <w:right w:val="nil"/>
            </w:tcBorders>
            <w:shd w:val="clear" w:color="auto" w:fill="auto"/>
            <w:noWrap/>
            <w:vAlign w:val="center"/>
            <w:hideMark/>
          </w:tcPr>
          <w:p w14:paraId="78C66C02" w14:textId="77777777" w:rsidR="006402E9" w:rsidRPr="006402E9" w:rsidRDefault="006402E9" w:rsidP="006402E9">
            <w:pPr>
              <w:spacing w:after="0" w:line="240" w:lineRule="auto"/>
              <w:jc w:val="center"/>
              <w:rPr>
                <w:rFonts w:eastAsia="Times New Roman" w:cs="Times New Roman"/>
                <w:color w:val="000000"/>
                <w:sz w:val="20"/>
                <w:lang w:eastAsia="sk-SK"/>
              </w:rPr>
            </w:pPr>
            <w:r w:rsidRPr="006402E9">
              <w:rPr>
                <w:rFonts w:eastAsia="Times New Roman" w:cs="Times New Roman"/>
                <w:color w:val="000000"/>
                <w:sz w:val="20"/>
                <w:lang w:eastAsia="sk-SK"/>
              </w:rPr>
              <w:t>2 235</w:t>
            </w:r>
          </w:p>
        </w:tc>
        <w:tc>
          <w:tcPr>
            <w:tcW w:w="764" w:type="dxa"/>
            <w:tcBorders>
              <w:top w:val="nil"/>
              <w:left w:val="nil"/>
              <w:bottom w:val="nil"/>
              <w:right w:val="nil"/>
            </w:tcBorders>
            <w:shd w:val="clear" w:color="auto" w:fill="auto"/>
            <w:noWrap/>
            <w:vAlign w:val="center"/>
            <w:hideMark/>
          </w:tcPr>
          <w:p w14:paraId="6F2A8183" w14:textId="77777777" w:rsidR="006402E9" w:rsidRPr="006402E9" w:rsidRDefault="006402E9" w:rsidP="006402E9">
            <w:pPr>
              <w:spacing w:after="0" w:line="240" w:lineRule="auto"/>
              <w:jc w:val="center"/>
              <w:rPr>
                <w:rFonts w:eastAsia="Times New Roman" w:cs="Times New Roman"/>
                <w:color w:val="000000"/>
                <w:sz w:val="20"/>
                <w:lang w:eastAsia="sk-SK"/>
              </w:rPr>
            </w:pPr>
            <w:r w:rsidRPr="006402E9">
              <w:rPr>
                <w:rFonts w:eastAsia="Times New Roman" w:cs="Times New Roman"/>
                <w:color w:val="000000"/>
                <w:sz w:val="20"/>
                <w:lang w:eastAsia="sk-SK"/>
              </w:rPr>
              <w:t>11</w:t>
            </w:r>
          </w:p>
        </w:tc>
        <w:tc>
          <w:tcPr>
            <w:tcW w:w="1167" w:type="dxa"/>
            <w:tcBorders>
              <w:top w:val="nil"/>
              <w:left w:val="nil"/>
              <w:bottom w:val="nil"/>
              <w:right w:val="nil"/>
            </w:tcBorders>
            <w:shd w:val="clear" w:color="auto" w:fill="auto"/>
            <w:noWrap/>
            <w:vAlign w:val="center"/>
            <w:hideMark/>
          </w:tcPr>
          <w:p w14:paraId="4CB76803" w14:textId="77777777" w:rsidR="006402E9" w:rsidRPr="006402E9" w:rsidRDefault="006402E9" w:rsidP="006402E9">
            <w:pPr>
              <w:spacing w:after="0" w:line="240" w:lineRule="auto"/>
              <w:jc w:val="center"/>
              <w:rPr>
                <w:rFonts w:eastAsia="Times New Roman" w:cs="Times New Roman"/>
                <w:color w:val="000000"/>
                <w:sz w:val="20"/>
                <w:lang w:eastAsia="sk-SK"/>
              </w:rPr>
            </w:pPr>
            <w:r w:rsidRPr="006402E9">
              <w:rPr>
                <w:rFonts w:eastAsia="Times New Roman" w:cs="Times New Roman"/>
                <w:color w:val="000000"/>
                <w:sz w:val="20"/>
                <w:lang w:eastAsia="sk-SK"/>
              </w:rPr>
              <w:t>72 392</w:t>
            </w:r>
          </w:p>
        </w:tc>
        <w:tc>
          <w:tcPr>
            <w:tcW w:w="1400" w:type="dxa"/>
            <w:tcBorders>
              <w:top w:val="nil"/>
              <w:left w:val="nil"/>
              <w:bottom w:val="nil"/>
              <w:right w:val="nil"/>
            </w:tcBorders>
            <w:shd w:val="clear" w:color="auto" w:fill="auto"/>
            <w:noWrap/>
            <w:vAlign w:val="center"/>
            <w:hideMark/>
          </w:tcPr>
          <w:p w14:paraId="331E2ACF" w14:textId="77777777" w:rsidR="006402E9" w:rsidRPr="006402E9" w:rsidRDefault="006402E9" w:rsidP="006402E9">
            <w:pPr>
              <w:spacing w:after="0" w:line="240" w:lineRule="auto"/>
              <w:jc w:val="center"/>
              <w:rPr>
                <w:rFonts w:eastAsia="Times New Roman" w:cs="Times New Roman"/>
                <w:color w:val="000000"/>
                <w:sz w:val="20"/>
                <w:lang w:eastAsia="sk-SK"/>
              </w:rPr>
            </w:pPr>
            <w:r w:rsidRPr="006402E9">
              <w:rPr>
                <w:rFonts w:eastAsia="Times New Roman" w:cs="Times New Roman"/>
                <w:color w:val="000000"/>
                <w:sz w:val="20"/>
                <w:lang w:eastAsia="sk-SK"/>
              </w:rPr>
              <w:t>18%</w:t>
            </w:r>
          </w:p>
        </w:tc>
        <w:tc>
          <w:tcPr>
            <w:tcW w:w="751" w:type="dxa"/>
            <w:tcBorders>
              <w:top w:val="nil"/>
              <w:left w:val="nil"/>
              <w:bottom w:val="nil"/>
              <w:right w:val="nil"/>
            </w:tcBorders>
            <w:shd w:val="clear" w:color="auto" w:fill="auto"/>
            <w:noWrap/>
            <w:vAlign w:val="center"/>
            <w:hideMark/>
          </w:tcPr>
          <w:p w14:paraId="275D1A5F" w14:textId="77777777" w:rsidR="006402E9" w:rsidRPr="006402E9" w:rsidRDefault="006402E9" w:rsidP="006402E9">
            <w:pPr>
              <w:spacing w:after="0" w:line="240" w:lineRule="auto"/>
              <w:jc w:val="center"/>
              <w:rPr>
                <w:rFonts w:eastAsia="Times New Roman" w:cs="Times New Roman"/>
                <w:color w:val="000000"/>
                <w:sz w:val="20"/>
                <w:lang w:eastAsia="sk-SK"/>
              </w:rPr>
            </w:pPr>
            <w:r w:rsidRPr="006402E9">
              <w:rPr>
                <w:rFonts w:eastAsia="Times New Roman" w:cs="Times New Roman"/>
                <w:color w:val="000000"/>
                <w:sz w:val="20"/>
                <w:lang w:eastAsia="sk-SK"/>
              </w:rPr>
              <w:t>6 581</w:t>
            </w:r>
          </w:p>
        </w:tc>
        <w:tc>
          <w:tcPr>
            <w:tcW w:w="826" w:type="dxa"/>
            <w:tcBorders>
              <w:top w:val="nil"/>
              <w:left w:val="nil"/>
              <w:bottom w:val="nil"/>
              <w:right w:val="nil"/>
            </w:tcBorders>
            <w:shd w:val="clear" w:color="auto" w:fill="auto"/>
            <w:noWrap/>
            <w:vAlign w:val="center"/>
            <w:hideMark/>
          </w:tcPr>
          <w:p w14:paraId="39C979D1" w14:textId="77777777" w:rsidR="006402E9" w:rsidRPr="006402E9" w:rsidRDefault="006402E9" w:rsidP="006402E9">
            <w:pPr>
              <w:spacing w:after="0" w:line="240" w:lineRule="auto"/>
              <w:jc w:val="center"/>
              <w:rPr>
                <w:rFonts w:eastAsia="Times New Roman" w:cs="Times New Roman"/>
                <w:color w:val="000000"/>
                <w:sz w:val="20"/>
                <w:lang w:eastAsia="sk-SK"/>
              </w:rPr>
            </w:pPr>
            <w:r w:rsidRPr="006402E9">
              <w:rPr>
                <w:rFonts w:eastAsia="Times New Roman" w:cs="Times New Roman"/>
                <w:color w:val="000000"/>
                <w:sz w:val="20"/>
                <w:lang w:eastAsia="sk-SK"/>
              </w:rPr>
              <w:t>490</w:t>
            </w:r>
          </w:p>
        </w:tc>
        <w:tc>
          <w:tcPr>
            <w:tcW w:w="1134" w:type="dxa"/>
            <w:tcBorders>
              <w:top w:val="nil"/>
              <w:left w:val="nil"/>
              <w:bottom w:val="nil"/>
              <w:right w:val="nil"/>
            </w:tcBorders>
            <w:shd w:val="clear" w:color="auto" w:fill="auto"/>
            <w:noWrap/>
            <w:vAlign w:val="center"/>
            <w:hideMark/>
          </w:tcPr>
          <w:p w14:paraId="01530F76" w14:textId="77777777" w:rsidR="006402E9" w:rsidRPr="006402E9" w:rsidRDefault="006402E9" w:rsidP="006402E9">
            <w:pPr>
              <w:spacing w:after="0" w:line="240" w:lineRule="auto"/>
              <w:jc w:val="center"/>
              <w:rPr>
                <w:rFonts w:eastAsia="Times New Roman" w:cs="Times New Roman"/>
                <w:color w:val="000000"/>
                <w:sz w:val="20"/>
                <w:lang w:eastAsia="sk-SK"/>
              </w:rPr>
            </w:pPr>
            <w:r w:rsidRPr="006402E9">
              <w:rPr>
                <w:rFonts w:eastAsia="Times New Roman" w:cs="Times New Roman"/>
                <w:color w:val="000000"/>
                <w:sz w:val="20"/>
                <w:lang w:eastAsia="sk-SK"/>
              </w:rPr>
              <w:t>1 605 642</w:t>
            </w:r>
          </w:p>
        </w:tc>
        <w:tc>
          <w:tcPr>
            <w:tcW w:w="1371" w:type="dxa"/>
            <w:tcBorders>
              <w:top w:val="nil"/>
              <w:left w:val="nil"/>
              <w:bottom w:val="nil"/>
              <w:right w:val="nil"/>
            </w:tcBorders>
            <w:shd w:val="clear" w:color="auto" w:fill="auto"/>
            <w:noWrap/>
            <w:vAlign w:val="center"/>
            <w:hideMark/>
          </w:tcPr>
          <w:p w14:paraId="6A84CEBF" w14:textId="77777777" w:rsidR="006402E9" w:rsidRPr="006402E9" w:rsidRDefault="006402E9" w:rsidP="006402E9">
            <w:pPr>
              <w:spacing w:after="0" w:line="240" w:lineRule="auto"/>
              <w:jc w:val="center"/>
              <w:rPr>
                <w:rFonts w:eastAsia="Times New Roman" w:cs="Times New Roman"/>
                <w:color w:val="000000"/>
                <w:sz w:val="20"/>
                <w:lang w:eastAsia="sk-SK"/>
              </w:rPr>
            </w:pPr>
            <w:r w:rsidRPr="006402E9">
              <w:rPr>
                <w:rFonts w:eastAsia="Times New Roman" w:cs="Times New Roman"/>
                <w:color w:val="000000"/>
                <w:sz w:val="20"/>
                <w:lang w:eastAsia="sk-SK"/>
              </w:rPr>
              <w:t>10%</w:t>
            </w:r>
          </w:p>
        </w:tc>
        <w:tc>
          <w:tcPr>
            <w:tcW w:w="751" w:type="dxa"/>
            <w:tcBorders>
              <w:top w:val="nil"/>
              <w:left w:val="nil"/>
              <w:bottom w:val="nil"/>
              <w:right w:val="nil"/>
            </w:tcBorders>
            <w:shd w:val="clear" w:color="auto" w:fill="auto"/>
            <w:noWrap/>
            <w:vAlign w:val="center"/>
            <w:hideMark/>
          </w:tcPr>
          <w:p w14:paraId="03FC6E07" w14:textId="77777777" w:rsidR="006402E9" w:rsidRPr="006402E9" w:rsidRDefault="006402E9" w:rsidP="006402E9">
            <w:pPr>
              <w:spacing w:after="0" w:line="240" w:lineRule="auto"/>
              <w:jc w:val="center"/>
              <w:rPr>
                <w:rFonts w:eastAsia="Times New Roman" w:cs="Times New Roman"/>
                <w:color w:val="000000"/>
                <w:sz w:val="20"/>
                <w:lang w:eastAsia="sk-SK"/>
              </w:rPr>
            </w:pPr>
            <w:r w:rsidRPr="006402E9">
              <w:rPr>
                <w:rFonts w:eastAsia="Times New Roman" w:cs="Times New Roman"/>
                <w:color w:val="000000"/>
                <w:sz w:val="20"/>
                <w:lang w:eastAsia="sk-SK"/>
              </w:rPr>
              <w:t>3 275</w:t>
            </w:r>
          </w:p>
        </w:tc>
      </w:tr>
      <w:tr w:rsidR="006402E9" w:rsidRPr="006402E9" w14:paraId="00D08EC8" w14:textId="77777777" w:rsidTr="006402E9">
        <w:trPr>
          <w:trHeight w:val="300"/>
        </w:trPr>
        <w:tc>
          <w:tcPr>
            <w:tcW w:w="1077" w:type="dxa"/>
            <w:tcBorders>
              <w:top w:val="nil"/>
              <w:left w:val="nil"/>
              <w:bottom w:val="nil"/>
              <w:right w:val="nil"/>
            </w:tcBorders>
            <w:shd w:val="clear" w:color="auto" w:fill="auto"/>
            <w:noWrap/>
            <w:vAlign w:val="center"/>
            <w:hideMark/>
          </w:tcPr>
          <w:p w14:paraId="087660B1" w14:textId="77777777" w:rsidR="006402E9" w:rsidRPr="006402E9" w:rsidRDefault="006402E9" w:rsidP="006402E9">
            <w:pPr>
              <w:spacing w:after="0" w:line="240" w:lineRule="auto"/>
              <w:rPr>
                <w:rFonts w:eastAsia="Times New Roman" w:cs="Times New Roman"/>
                <w:bCs/>
                <w:color w:val="000000"/>
                <w:sz w:val="20"/>
                <w:lang w:eastAsia="sk-SK"/>
              </w:rPr>
            </w:pPr>
            <w:r w:rsidRPr="006402E9">
              <w:rPr>
                <w:rFonts w:eastAsia="Times New Roman" w:cs="Times New Roman"/>
                <w:bCs/>
                <w:color w:val="000000"/>
                <w:sz w:val="20"/>
                <w:lang w:eastAsia="sk-SK"/>
              </w:rPr>
              <w:t>Kategória 3</w:t>
            </w:r>
          </w:p>
        </w:tc>
        <w:tc>
          <w:tcPr>
            <w:tcW w:w="763" w:type="dxa"/>
            <w:tcBorders>
              <w:top w:val="nil"/>
              <w:left w:val="nil"/>
              <w:bottom w:val="nil"/>
              <w:right w:val="nil"/>
            </w:tcBorders>
            <w:shd w:val="clear" w:color="auto" w:fill="auto"/>
            <w:noWrap/>
            <w:vAlign w:val="center"/>
            <w:hideMark/>
          </w:tcPr>
          <w:p w14:paraId="40682457" w14:textId="77777777" w:rsidR="006402E9" w:rsidRPr="006402E9" w:rsidRDefault="006402E9" w:rsidP="006402E9">
            <w:pPr>
              <w:spacing w:after="0" w:line="240" w:lineRule="auto"/>
              <w:jc w:val="center"/>
              <w:rPr>
                <w:rFonts w:eastAsia="Times New Roman" w:cs="Times New Roman"/>
                <w:color w:val="000000"/>
                <w:sz w:val="20"/>
                <w:lang w:eastAsia="sk-SK"/>
              </w:rPr>
            </w:pPr>
            <w:r w:rsidRPr="006402E9">
              <w:rPr>
                <w:rFonts w:eastAsia="Times New Roman" w:cs="Times New Roman"/>
                <w:color w:val="000000"/>
                <w:sz w:val="20"/>
                <w:lang w:eastAsia="sk-SK"/>
              </w:rPr>
              <w:t>58</w:t>
            </w:r>
          </w:p>
        </w:tc>
        <w:tc>
          <w:tcPr>
            <w:tcW w:w="1135" w:type="dxa"/>
            <w:tcBorders>
              <w:top w:val="nil"/>
              <w:left w:val="nil"/>
              <w:bottom w:val="nil"/>
              <w:right w:val="nil"/>
            </w:tcBorders>
            <w:shd w:val="clear" w:color="auto" w:fill="auto"/>
            <w:noWrap/>
            <w:vAlign w:val="center"/>
            <w:hideMark/>
          </w:tcPr>
          <w:p w14:paraId="764706BA" w14:textId="77777777" w:rsidR="006402E9" w:rsidRPr="006402E9" w:rsidRDefault="006402E9" w:rsidP="006402E9">
            <w:pPr>
              <w:spacing w:after="0" w:line="240" w:lineRule="auto"/>
              <w:jc w:val="center"/>
              <w:rPr>
                <w:rFonts w:eastAsia="Times New Roman" w:cs="Times New Roman"/>
                <w:color w:val="000000"/>
                <w:sz w:val="20"/>
                <w:lang w:eastAsia="sk-SK"/>
              </w:rPr>
            </w:pPr>
            <w:r w:rsidRPr="006402E9">
              <w:rPr>
                <w:rFonts w:eastAsia="Times New Roman" w:cs="Times New Roman"/>
                <w:color w:val="000000"/>
                <w:sz w:val="20"/>
                <w:lang w:eastAsia="sk-SK"/>
              </w:rPr>
              <w:t>178 450</w:t>
            </w:r>
          </w:p>
        </w:tc>
        <w:tc>
          <w:tcPr>
            <w:tcW w:w="1420" w:type="dxa"/>
            <w:tcBorders>
              <w:top w:val="nil"/>
              <w:left w:val="nil"/>
              <w:bottom w:val="nil"/>
              <w:right w:val="nil"/>
            </w:tcBorders>
            <w:shd w:val="clear" w:color="auto" w:fill="auto"/>
            <w:noWrap/>
            <w:vAlign w:val="center"/>
            <w:hideMark/>
          </w:tcPr>
          <w:p w14:paraId="1DDA07B5" w14:textId="77777777" w:rsidR="006402E9" w:rsidRPr="006402E9" w:rsidRDefault="006402E9" w:rsidP="006402E9">
            <w:pPr>
              <w:spacing w:after="0" w:line="240" w:lineRule="auto"/>
              <w:jc w:val="center"/>
              <w:rPr>
                <w:rFonts w:eastAsia="Times New Roman" w:cs="Times New Roman"/>
                <w:color w:val="000000"/>
                <w:sz w:val="20"/>
                <w:lang w:eastAsia="sk-SK"/>
              </w:rPr>
            </w:pPr>
            <w:r w:rsidRPr="006402E9">
              <w:rPr>
                <w:rFonts w:eastAsia="Times New Roman" w:cs="Times New Roman"/>
                <w:color w:val="000000"/>
                <w:sz w:val="20"/>
                <w:lang w:eastAsia="sk-SK"/>
              </w:rPr>
              <w:t>19%</w:t>
            </w:r>
          </w:p>
        </w:tc>
        <w:tc>
          <w:tcPr>
            <w:tcW w:w="762" w:type="dxa"/>
            <w:tcBorders>
              <w:top w:val="nil"/>
              <w:left w:val="nil"/>
              <w:bottom w:val="nil"/>
              <w:right w:val="nil"/>
            </w:tcBorders>
            <w:shd w:val="clear" w:color="auto" w:fill="auto"/>
            <w:noWrap/>
            <w:vAlign w:val="center"/>
            <w:hideMark/>
          </w:tcPr>
          <w:p w14:paraId="5066613A" w14:textId="77777777" w:rsidR="006402E9" w:rsidRPr="006402E9" w:rsidRDefault="006402E9" w:rsidP="006402E9">
            <w:pPr>
              <w:spacing w:after="0" w:line="240" w:lineRule="auto"/>
              <w:jc w:val="center"/>
              <w:rPr>
                <w:rFonts w:eastAsia="Times New Roman" w:cs="Times New Roman"/>
                <w:color w:val="000000"/>
                <w:sz w:val="20"/>
                <w:lang w:eastAsia="sk-SK"/>
              </w:rPr>
            </w:pPr>
            <w:r w:rsidRPr="006402E9">
              <w:rPr>
                <w:rFonts w:eastAsia="Times New Roman" w:cs="Times New Roman"/>
                <w:color w:val="000000"/>
                <w:sz w:val="20"/>
                <w:lang w:eastAsia="sk-SK"/>
              </w:rPr>
              <w:t>3 059</w:t>
            </w:r>
          </w:p>
        </w:tc>
        <w:tc>
          <w:tcPr>
            <w:tcW w:w="764" w:type="dxa"/>
            <w:tcBorders>
              <w:top w:val="nil"/>
              <w:left w:val="nil"/>
              <w:bottom w:val="nil"/>
              <w:right w:val="nil"/>
            </w:tcBorders>
            <w:shd w:val="clear" w:color="auto" w:fill="auto"/>
            <w:noWrap/>
            <w:vAlign w:val="center"/>
            <w:hideMark/>
          </w:tcPr>
          <w:p w14:paraId="02ACC9F0" w14:textId="77777777" w:rsidR="006402E9" w:rsidRPr="006402E9" w:rsidRDefault="006402E9" w:rsidP="006402E9">
            <w:pPr>
              <w:spacing w:after="0" w:line="240" w:lineRule="auto"/>
              <w:jc w:val="center"/>
              <w:rPr>
                <w:rFonts w:eastAsia="Times New Roman" w:cs="Times New Roman"/>
                <w:color w:val="000000"/>
                <w:sz w:val="20"/>
                <w:lang w:eastAsia="sk-SK"/>
              </w:rPr>
            </w:pPr>
            <w:r w:rsidRPr="006402E9">
              <w:rPr>
                <w:rFonts w:eastAsia="Times New Roman" w:cs="Times New Roman"/>
                <w:color w:val="000000"/>
                <w:sz w:val="20"/>
                <w:lang w:eastAsia="sk-SK"/>
              </w:rPr>
              <w:t>2</w:t>
            </w:r>
          </w:p>
        </w:tc>
        <w:tc>
          <w:tcPr>
            <w:tcW w:w="1167" w:type="dxa"/>
            <w:tcBorders>
              <w:top w:val="nil"/>
              <w:left w:val="nil"/>
              <w:bottom w:val="nil"/>
              <w:right w:val="nil"/>
            </w:tcBorders>
            <w:shd w:val="clear" w:color="auto" w:fill="auto"/>
            <w:noWrap/>
            <w:vAlign w:val="center"/>
            <w:hideMark/>
          </w:tcPr>
          <w:p w14:paraId="39CBA3D3" w14:textId="77777777" w:rsidR="006402E9" w:rsidRPr="006402E9" w:rsidRDefault="006402E9" w:rsidP="006402E9">
            <w:pPr>
              <w:spacing w:after="0" w:line="240" w:lineRule="auto"/>
              <w:jc w:val="center"/>
              <w:rPr>
                <w:rFonts w:eastAsia="Times New Roman" w:cs="Times New Roman"/>
                <w:color w:val="000000"/>
                <w:sz w:val="20"/>
                <w:lang w:eastAsia="sk-SK"/>
              </w:rPr>
            </w:pPr>
            <w:r w:rsidRPr="006402E9">
              <w:rPr>
                <w:rFonts w:eastAsia="Times New Roman" w:cs="Times New Roman"/>
                <w:color w:val="000000"/>
                <w:sz w:val="20"/>
                <w:lang w:eastAsia="sk-SK"/>
              </w:rPr>
              <w:t>18 989</w:t>
            </w:r>
          </w:p>
        </w:tc>
        <w:tc>
          <w:tcPr>
            <w:tcW w:w="1400" w:type="dxa"/>
            <w:tcBorders>
              <w:top w:val="nil"/>
              <w:left w:val="nil"/>
              <w:bottom w:val="nil"/>
              <w:right w:val="nil"/>
            </w:tcBorders>
            <w:shd w:val="clear" w:color="auto" w:fill="auto"/>
            <w:noWrap/>
            <w:vAlign w:val="center"/>
            <w:hideMark/>
          </w:tcPr>
          <w:p w14:paraId="5458B2DD" w14:textId="77777777" w:rsidR="006402E9" w:rsidRPr="006402E9" w:rsidRDefault="006402E9" w:rsidP="006402E9">
            <w:pPr>
              <w:spacing w:after="0" w:line="240" w:lineRule="auto"/>
              <w:jc w:val="center"/>
              <w:rPr>
                <w:rFonts w:eastAsia="Times New Roman" w:cs="Times New Roman"/>
                <w:color w:val="000000"/>
                <w:sz w:val="20"/>
                <w:lang w:eastAsia="sk-SK"/>
              </w:rPr>
            </w:pPr>
            <w:r w:rsidRPr="006402E9">
              <w:rPr>
                <w:rFonts w:eastAsia="Times New Roman" w:cs="Times New Roman"/>
                <w:color w:val="000000"/>
                <w:sz w:val="20"/>
                <w:lang w:eastAsia="sk-SK"/>
              </w:rPr>
              <w:t>5%</w:t>
            </w:r>
          </w:p>
        </w:tc>
        <w:tc>
          <w:tcPr>
            <w:tcW w:w="751" w:type="dxa"/>
            <w:tcBorders>
              <w:top w:val="nil"/>
              <w:left w:val="nil"/>
              <w:bottom w:val="nil"/>
              <w:right w:val="nil"/>
            </w:tcBorders>
            <w:shd w:val="clear" w:color="auto" w:fill="auto"/>
            <w:noWrap/>
            <w:vAlign w:val="center"/>
            <w:hideMark/>
          </w:tcPr>
          <w:p w14:paraId="69D2B7A0" w14:textId="77777777" w:rsidR="006402E9" w:rsidRPr="006402E9" w:rsidRDefault="006402E9" w:rsidP="006402E9">
            <w:pPr>
              <w:spacing w:after="0" w:line="240" w:lineRule="auto"/>
              <w:jc w:val="center"/>
              <w:rPr>
                <w:rFonts w:eastAsia="Times New Roman" w:cs="Times New Roman"/>
                <w:color w:val="000000"/>
                <w:sz w:val="20"/>
                <w:lang w:eastAsia="sk-SK"/>
              </w:rPr>
            </w:pPr>
            <w:r w:rsidRPr="006402E9">
              <w:rPr>
                <w:rFonts w:eastAsia="Times New Roman" w:cs="Times New Roman"/>
                <w:color w:val="000000"/>
                <w:sz w:val="20"/>
                <w:lang w:eastAsia="sk-SK"/>
              </w:rPr>
              <w:t>9 495</w:t>
            </w:r>
          </w:p>
        </w:tc>
        <w:tc>
          <w:tcPr>
            <w:tcW w:w="826" w:type="dxa"/>
            <w:tcBorders>
              <w:top w:val="nil"/>
              <w:left w:val="nil"/>
              <w:bottom w:val="nil"/>
              <w:right w:val="nil"/>
            </w:tcBorders>
            <w:shd w:val="clear" w:color="auto" w:fill="auto"/>
            <w:noWrap/>
            <w:vAlign w:val="center"/>
            <w:hideMark/>
          </w:tcPr>
          <w:p w14:paraId="53DB722E" w14:textId="77777777" w:rsidR="006402E9" w:rsidRPr="006402E9" w:rsidRDefault="006402E9" w:rsidP="006402E9">
            <w:pPr>
              <w:spacing w:after="0" w:line="240" w:lineRule="auto"/>
              <w:jc w:val="center"/>
              <w:rPr>
                <w:rFonts w:eastAsia="Times New Roman" w:cs="Times New Roman"/>
                <w:color w:val="000000"/>
                <w:sz w:val="20"/>
                <w:lang w:eastAsia="sk-SK"/>
              </w:rPr>
            </w:pPr>
            <w:r w:rsidRPr="006402E9">
              <w:rPr>
                <w:rFonts w:eastAsia="Times New Roman" w:cs="Times New Roman"/>
                <w:color w:val="000000"/>
                <w:sz w:val="20"/>
                <w:lang w:eastAsia="sk-SK"/>
              </w:rPr>
              <w:t>138</w:t>
            </w:r>
          </w:p>
        </w:tc>
        <w:tc>
          <w:tcPr>
            <w:tcW w:w="1134" w:type="dxa"/>
            <w:tcBorders>
              <w:top w:val="nil"/>
              <w:left w:val="nil"/>
              <w:bottom w:val="nil"/>
              <w:right w:val="nil"/>
            </w:tcBorders>
            <w:shd w:val="clear" w:color="auto" w:fill="auto"/>
            <w:noWrap/>
            <w:vAlign w:val="center"/>
            <w:hideMark/>
          </w:tcPr>
          <w:p w14:paraId="24B82E9F" w14:textId="77777777" w:rsidR="006402E9" w:rsidRPr="006402E9" w:rsidRDefault="006402E9" w:rsidP="006402E9">
            <w:pPr>
              <w:spacing w:after="0" w:line="240" w:lineRule="auto"/>
              <w:jc w:val="center"/>
              <w:rPr>
                <w:rFonts w:eastAsia="Times New Roman" w:cs="Times New Roman"/>
                <w:color w:val="000000"/>
                <w:sz w:val="20"/>
                <w:lang w:eastAsia="sk-SK"/>
              </w:rPr>
            </w:pPr>
            <w:r w:rsidRPr="006402E9">
              <w:rPr>
                <w:rFonts w:eastAsia="Times New Roman" w:cs="Times New Roman"/>
                <w:color w:val="000000"/>
                <w:sz w:val="20"/>
                <w:lang w:eastAsia="sk-SK"/>
              </w:rPr>
              <w:t>645 330</w:t>
            </w:r>
          </w:p>
        </w:tc>
        <w:tc>
          <w:tcPr>
            <w:tcW w:w="1371" w:type="dxa"/>
            <w:tcBorders>
              <w:top w:val="nil"/>
              <w:left w:val="nil"/>
              <w:bottom w:val="nil"/>
              <w:right w:val="nil"/>
            </w:tcBorders>
            <w:shd w:val="clear" w:color="auto" w:fill="auto"/>
            <w:noWrap/>
            <w:vAlign w:val="center"/>
            <w:hideMark/>
          </w:tcPr>
          <w:p w14:paraId="48E1506B" w14:textId="77777777" w:rsidR="006402E9" w:rsidRPr="006402E9" w:rsidRDefault="006402E9" w:rsidP="006402E9">
            <w:pPr>
              <w:spacing w:after="0" w:line="240" w:lineRule="auto"/>
              <w:jc w:val="center"/>
              <w:rPr>
                <w:rFonts w:eastAsia="Times New Roman" w:cs="Times New Roman"/>
                <w:color w:val="000000"/>
                <w:sz w:val="20"/>
                <w:lang w:eastAsia="sk-SK"/>
              </w:rPr>
            </w:pPr>
            <w:r w:rsidRPr="006402E9">
              <w:rPr>
                <w:rFonts w:eastAsia="Times New Roman" w:cs="Times New Roman"/>
                <w:color w:val="000000"/>
                <w:sz w:val="20"/>
                <w:lang w:eastAsia="sk-SK"/>
              </w:rPr>
              <w:t>4%</w:t>
            </w:r>
          </w:p>
        </w:tc>
        <w:tc>
          <w:tcPr>
            <w:tcW w:w="751" w:type="dxa"/>
            <w:tcBorders>
              <w:top w:val="nil"/>
              <w:left w:val="nil"/>
              <w:bottom w:val="nil"/>
              <w:right w:val="nil"/>
            </w:tcBorders>
            <w:shd w:val="clear" w:color="auto" w:fill="auto"/>
            <w:noWrap/>
            <w:vAlign w:val="center"/>
            <w:hideMark/>
          </w:tcPr>
          <w:p w14:paraId="06D6FDBA" w14:textId="77777777" w:rsidR="006402E9" w:rsidRPr="006402E9" w:rsidRDefault="006402E9" w:rsidP="006402E9">
            <w:pPr>
              <w:spacing w:after="0" w:line="240" w:lineRule="auto"/>
              <w:jc w:val="center"/>
              <w:rPr>
                <w:rFonts w:eastAsia="Times New Roman" w:cs="Times New Roman"/>
                <w:color w:val="000000"/>
                <w:sz w:val="20"/>
                <w:lang w:eastAsia="sk-SK"/>
              </w:rPr>
            </w:pPr>
            <w:r w:rsidRPr="006402E9">
              <w:rPr>
                <w:rFonts w:eastAsia="Times New Roman" w:cs="Times New Roman"/>
                <w:color w:val="000000"/>
                <w:sz w:val="20"/>
                <w:lang w:eastAsia="sk-SK"/>
              </w:rPr>
              <w:t>4 688</w:t>
            </w:r>
          </w:p>
        </w:tc>
      </w:tr>
      <w:tr w:rsidR="006402E9" w:rsidRPr="006402E9" w14:paraId="5B7F015A" w14:textId="77777777" w:rsidTr="006402E9">
        <w:trPr>
          <w:trHeight w:val="300"/>
        </w:trPr>
        <w:tc>
          <w:tcPr>
            <w:tcW w:w="1077" w:type="dxa"/>
            <w:tcBorders>
              <w:top w:val="single" w:sz="4" w:space="0" w:color="auto"/>
              <w:left w:val="nil"/>
              <w:bottom w:val="single" w:sz="4" w:space="0" w:color="auto"/>
              <w:right w:val="nil"/>
            </w:tcBorders>
            <w:shd w:val="clear" w:color="auto" w:fill="auto"/>
            <w:noWrap/>
            <w:vAlign w:val="center"/>
            <w:hideMark/>
          </w:tcPr>
          <w:p w14:paraId="5C0249B3" w14:textId="77777777" w:rsidR="006402E9" w:rsidRPr="006402E9" w:rsidRDefault="006402E9" w:rsidP="006402E9">
            <w:pPr>
              <w:spacing w:after="0" w:line="240" w:lineRule="auto"/>
              <w:rPr>
                <w:rFonts w:eastAsia="Times New Roman" w:cs="Times New Roman"/>
                <w:b/>
                <w:bCs/>
                <w:color w:val="000000"/>
                <w:sz w:val="20"/>
                <w:lang w:eastAsia="sk-SK"/>
              </w:rPr>
            </w:pPr>
            <w:r w:rsidRPr="006402E9">
              <w:rPr>
                <w:rFonts w:eastAsia="Times New Roman" w:cs="Times New Roman"/>
                <w:b/>
                <w:bCs/>
                <w:color w:val="000000"/>
                <w:sz w:val="20"/>
                <w:lang w:eastAsia="sk-SK"/>
              </w:rPr>
              <w:t>SPOLU</w:t>
            </w:r>
          </w:p>
        </w:tc>
        <w:tc>
          <w:tcPr>
            <w:tcW w:w="763" w:type="dxa"/>
            <w:tcBorders>
              <w:top w:val="single" w:sz="4" w:space="0" w:color="auto"/>
              <w:left w:val="nil"/>
              <w:bottom w:val="single" w:sz="4" w:space="0" w:color="auto"/>
              <w:right w:val="nil"/>
            </w:tcBorders>
            <w:shd w:val="clear" w:color="auto" w:fill="auto"/>
            <w:noWrap/>
            <w:vAlign w:val="center"/>
            <w:hideMark/>
          </w:tcPr>
          <w:p w14:paraId="5ED236F6" w14:textId="77777777" w:rsidR="006402E9" w:rsidRPr="006402E9" w:rsidRDefault="006402E9" w:rsidP="006402E9">
            <w:pPr>
              <w:spacing w:after="0" w:line="240" w:lineRule="auto"/>
              <w:jc w:val="center"/>
              <w:rPr>
                <w:rFonts w:eastAsia="Times New Roman" w:cs="Times New Roman"/>
                <w:b/>
                <w:bCs/>
                <w:color w:val="000000"/>
                <w:sz w:val="20"/>
                <w:lang w:eastAsia="sk-SK"/>
              </w:rPr>
            </w:pPr>
            <w:r w:rsidRPr="006402E9">
              <w:rPr>
                <w:rFonts w:eastAsia="Times New Roman" w:cs="Times New Roman"/>
                <w:b/>
                <w:bCs/>
                <w:color w:val="000000"/>
                <w:sz w:val="20"/>
                <w:lang w:eastAsia="sk-SK"/>
              </w:rPr>
              <w:t>470</w:t>
            </w:r>
          </w:p>
        </w:tc>
        <w:tc>
          <w:tcPr>
            <w:tcW w:w="1135" w:type="dxa"/>
            <w:tcBorders>
              <w:top w:val="single" w:sz="4" w:space="0" w:color="auto"/>
              <w:left w:val="nil"/>
              <w:bottom w:val="single" w:sz="4" w:space="0" w:color="auto"/>
              <w:right w:val="nil"/>
            </w:tcBorders>
            <w:shd w:val="clear" w:color="auto" w:fill="auto"/>
            <w:noWrap/>
            <w:vAlign w:val="center"/>
            <w:hideMark/>
          </w:tcPr>
          <w:p w14:paraId="419365FE" w14:textId="77777777" w:rsidR="006402E9" w:rsidRPr="006402E9" w:rsidRDefault="006402E9" w:rsidP="006402E9">
            <w:pPr>
              <w:spacing w:after="0" w:line="240" w:lineRule="auto"/>
              <w:jc w:val="center"/>
              <w:rPr>
                <w:rFonts w:eastAsia="Times New Roman" w:cs="Times New Roman"/>
                <w:b/>
                <w:bCs/>
                <w:color w:val="000000"/>
                <w:sz w:val="20"/>
                <w:lang w:eastAsia="sk-SK"/>
              </w:rPr>
            </w:pPr>
            <w:r w:rsidRPr="006402E9">
              <w:rPr>
                <w:rFonts w:eastAsia="Times New Roman" w:cs="Times New Roman"/>
                <w:b/>
                <w:bCs/>
                <w:color w:val="000000"/>
                <w:sz w:val="20"/>
                <w:lang w:eastAsia="sk-SK"/>
              </w:rPr>
              <w:t>945 557</w:t>
            </w:r>
          </w:p>
        </w:tc>
        <w:tc>
          <w:tcPr>
            <w:tcW w:w="1420" w:type="dxa"/>
            <w:tcBorders>
              <w:top w:val="single" w:sz="4" w:space="0" w:color="auto"/>
              <w:left w:val="nil"/>
              <w:bottom w:val="single" w:sz="4" w:space="0" w:color="auto"/>
              <w:right w:val="nil"/>
            </w:tcBorders>
            <w:shd w:val="clear" w:color="auto" w:fill="auto"/>
            <w:noWrap/>
            <w:vAlign w:val="center"/>
            <w:hideMark/>
          </w:tcPr>
          <w:p w14:paraId="4EBC86F5" w14:textId="77777777" w:rsidR="006402E9" w:rsidRPr="006402E9" w:rsidRDefault="006402E9" w:rsidP="006402E9">
            <w:pPr>
              <w:spacing w:after="0" w:line="240" w:lineRule="auto"/>
              <w:jc w:val="center"/>
              <w:rPr>
                <w:rFonts w:eastAsia="Times New Roman" w:cs="Times New Roman"/>
                <w:b/>
                <w:bCs/>
                <w:color w:val="000000"/>
                <w:sz w:val="20"/>
                <w:lang w:eastAsia="sk-SK"/>
              </w:rPr>
            </w:pPr>
            <w:r w:rsidRPr="006402E9">
              <w:rPr>
                <w:rFonts w:eastAsia="Times New Roman" w:cs="Times New Roman"/>
                <w:b/>
                <w:bCs/>
                <w:color w:val="000000"/>
                <w:sz w:val="20"/>
                <w:lang w:eastAsia="sk-SK"/>
              </w:rPr>
              <w:t>100%</w:t>
            </w:r>
          </w:p>
        </w:tc>
        <w:tc>
          <w:tcPr>
            <w:tcW w:w="762" w:type="dxa"/>
            <w:tcBorders>
              <w:top w:val="single" w:sz="4" w:space="0" w:color="auto"/>
              <w:left w:val="nil"/>
              <w:bottom w:val="single" w:sz="4" w:space="0" w:color="auto"/>
              <w:right w:val="nil"/>
            </w:tcBorders>
            <w:shd w:val="clear" w:color="auto" w:fill="auto"/>
            <w:noWrap/>
            <w:vAlign w:val="center"/>
            <w:hideMark/>
          </w:tcPr>
          <w:p w14:paraId="31923BFF" w14:textId="77777777" w:rsidR="006402E9" w:rsidRPr="006402E9" w:rsidRDefault="006402E9" w:rsidP="006402E9">
            <w:pPr>
              <w:spacing w:after="0" w:line="240" w:lineRule="auto"/>
              <w:jc w:val="center"/>
              <w:rPr>
                <w:rFonts w:eastAsia="Times New Roman" w:cs="Times New Roman"/>
                <w:b/>
                <w:bCs/>
                <w:color w:val="000000"/>
                <w:sz w:val="20"/>
                <w:lang w:eastAsia="sk-SK"/>
              </w:rPr>
            </w:pPr>
            <w:r w:rsidRPr="006402E9">
              <w:rPr>
                <w:rFonts w:eastAsia="Times New Roman" w:cs="Times New Roman"/>
                <w:b/>
                <w:bCs/>
                <w:color w:val="000000"/>
                <w:sz w:val="20"/>
                <w:lang w:eastAsia="sk-SK"/>
              </w:rPr>
              <w:t>2 010</w:t>
            </w:r>
          </w:p>
        </w:tc>
        <w:tc>
          <w:tcPr>
            <w:tcW w:w="764" w:type="dxa"/>
            <w:tcBorders>
              <w:top w:val="single" w:sz="4" w:space="0" w:color="auto"/>
              <w:left w:val="nil"/>
              <w:bottom w:val="single" w:sz="4" w:space="0" w:color="auto"/>
              <w:right w:val="nil"/>
            </w:tcBorders>
            <w:shd w:val="clear" w:color="auto" w:fill="auto"/>
            <w:noWrap/>
            <w:vAlign w:val="center"/>
            <w:hideMark/>
          </w:tcPr>
          <w:p w14:paraId="52147B0E" w14:textId="77777777" w:rsidR="006402E9" w:rsidRPr="006402E9" w:rsidRDefault="006402E9" w:rsidP="006402E9">
            <w:pPr>
              <w:spacing w:after="0" w:line="240" w:lineRule="auto"/>
              <w:jc w:val="center"/>
              <w:rPr>
                <w:rFonts w:eastAsia="Times New Roman" w:cs="Times New Roman"/>
                <w:b/>
                <w:bCs/>
                <w:color w:val="000000"/>
                <w:sz w:val="20"/>
                <w:lang w:eastAsia="sk-SK"/>
              </w:rPr>
            </w:pPr>
            <w:r w:rsidRPr="006402E9">
              <w:rPr>
                <w:rFonts w:eastAsia="Times New Roman" w:cs="Times New Roman"/>
                <w:b/>
                <w:bCs/>
                <w:color w:val="000000"/>
                <w:sz w:val="20"/>
                <w:lang w:eastAsia="sk-SK"/>
              </w:rPr>
              <w:t>96</w:t>
            </w:r>
          </w:p>
        </w:tc>
        <w:tc>
          <w:tcPr>
            <w:tcW w:w="1167" w:type="dxa"/>
            <w:tcBorders>
              <w:top w:val="single" w:sz="4" w:space="0" w:color="auto"/>
              <w:left w:val="nil"/>
              <w:bottom w:val="single" w:sz="4" w:space="0" w:color="auto"/>
              <w:right w:val="nil"/>
            </w:tcBorders>
            <w:shd w:val="clear" w:color="auto" w:fill="auto"/>
            <w:noWrap/>
            <w:vAlign w:val="center"/>
            <w:hideMark/>
          </w:tcPr>
          <w:p w14:paraId="76C1A49F" w14:textId="77777777" w:rsidR="006402E9" w:rsidRPr="006402E9" w:rsidRDefault="006402E9" w:rsidP="006402E9">
            <w:pPr>
              <w:spacing w:after="0" w:line="240" w:lineRule="auto"/>
              <w:jc w:val="center"/>
              <w:rPr>
                <w:rFonts w:eastAsia="Times New Roman" w:cs="Times New Roman"/>
                <w:b/>
                <w:bCs/>
                <w:color w:val="000000"/>
                <w:sz w:val="20"/>
                <w:lang w:eastAsia="sk-SK"/>
              </w:rPr>
            </w:pPr>
            <w:r w:rsidRPr="006402E9">
              <w:rPr>
                <w:rFonts w:eastAsia="Times New Roman" w:cs="Times New Roman"/>
                <w:b/>
                <w:bCs/>
                <w:color w:val="000000"/>
                <w:sz w:val="20"/>
                <w:lang w:eastAsia="sk-SK"/>
              </w:rPr>
              <w:t>407 476</w:t>
            </w:r>
          </w:p>
        </w:tc>
        <w:tc>
          <w:tcPr>
            <w:tcW w:w="1400" w:type="dxa"/>
            <w:tcBorders>
              <w:top w:val="single" w:sz="4" w:space="0" w:color="auto"/>
              <w:left w:val="nil"/>
              <w:bottom w:val="single" w:sz="4" w:space="0" w:color="auto"/>
              <w:right w:val="nil"/>
            </w:tcBorders>
            <w:shd w:val="clear" w:color="auto" w:fill="auto"/>
            <w:noWrap/>
            <w:vAlign w:val="center"/>
            <w:hideMark/>
          </w:tcPr>
          <w:p w14:paraId="7DD54E1C" w14:textId="77777777" w:rsidR="006402E9" w:rsidRPr="006402E9" w:rsidRDefault="006402E9" w:rsidP="006402E9">
            <w:pPr>
              <w:spacing w:after="0" w:line="240" w:lineRule="auto"/>
              <w:jc w:val="center"/>
              <w:rPr>
                <w:rFonts w:eastAsia="Times New Roman" w:cs="Times New Roman"/>
                <w:b/>
                <w:bCs/>
                <w:color w:val="000000"/>
                <w:sz w:val="20"/>
                <w:lang w:eastAsia="sk-SK"/>
              </w:rPr>
            </w:pPr>
            <w:r w:rsidRPr="006402E9">
              <w:rPr>
                <w:rFonts w:eastAsia="Times New Roman" w:cs="Times New Roman"/>
                <w:b/>
                <w:bCs/>
                <w:color w:val="000000"/>
                <w:sz w:val="20"/>
                <w:lang w:eastAsia="sk-SK"/>
              </w:rPr>
              <w:t>100%</w:t>
            </w:r>
          </w:p>
        </w:tc>
        <w:tc>
          <w:tcPr>
            <w:tcW w:w="751" w:type="dxa"/>
            <w:tcBorders>
              <w:top w:val="single" w:sz="4" w:space="0" w:color="auto"/>
              <w:left w:val="nil"/>
              <w:bottom w:val="single" w:sz="4" w:space="0" w:color="auto"/>
              <w:right w:val="nil"/>
            </w:tcBorders>
            <w:shd w:val="clear" w:color="auto" w:fill="auto"/>
            <w:noWrap/>
            <w:vAlign w:val="center"/>
            <w:hideMark/>
          </w:tcPr>
          <w:p w14:paraId="7B228D2B" w14:textId="77777777" w:rsidR="006402E9" w:rsidRPr="006402E9" w:rsidRDefault="006402E9" w:rsidP="006402E9">
            <w:pPr>
              <w:spacing w:after="0" w:line="240" w:lineRule="auto"/>
              <w:jc w:val="center"/>
              <w:rPr>
                <w:rFonts w:eastAsia="Times New Roman" w:cs="Times New Roman"/>
                <w:b/>
                <w:bCs/>
                <w:color w:val="000000"/>
                <w:sz w:val="20"/>
                <w:lang w:eastAsia="sk-SK"/>
              </w:rPr>
            </w:pPr>
            <w:r w:rsidRPr="006402E9">
              <w:rPr>
                <w:rFonts w:eastAsia="Times New Roman" w:cs="Times New Roman"/>
                <w:b/>
                <w:bCs/>
                <w:color w:val="000000"/>
                <w:sz w:val="20"/>
                <w:lang w:eastAsia="sk-SK"/>
              </w:rPr>
              <w:t>4 230</w:t>
            </w:r>
          </w:p>
        </w:tc>
        <w:tc>
          <w:tcPr>
            <w:tcW w:w="826" w:type="dxa"/>
            <w:tcBorders>
              <w:top w:val="single" w:sz="4" w:space="0" w:color="auto"/>
              <w:left w:val="nil"/>
              <w:bottom w:val="single" w:sz="4" w:space="0" w:color="auto"/>
              <w:right w:val="nil"/>
            </w:tcBorders>
            <w:shd w:val="clear" w:color="auto" w:fill="auto"/>
            <w:noWrap/>
            <w:vAlign w:val="center"/>
            <w:hideMark/>
          </w:tcPr>
          <w:p w14:paraId="778E9458" w14:textId="77777777" w:rsidR="006402E9" w:rsidRPr="006402E9" w:rsidRDefault="006402E9" w:rsidP="006402E9">
            <w:pPr>
              <w:spacing w:after="0" w:line="240" w:lineRule="auto"/>
              <w:jc w:val="center"/>
              <w:rPr>
                <w:rFonts w:eastAsia="Times New Roman" w:cs="Times New Roman"/>
                <w:b/>
                <w:bCs/>
                <w:color w:val="000000"/>
                <w:sz w:val="20"/>
                <w:lang w:eastAsia="sk-SK"/>
              </w:rPr>
            </w:pPr>
            <w:r w:rsidRPr="006402E9">
              <w:rPr>
                <w:rFonts w:eastAsia="Times New Roman" w:cs="Times New Roman"/>
                <w:b/>
                <w:bCs/>
                <w:color w:val="000000"/>
                <w:sz w:val="20"/>
                <w:lang w:eastAsia="sk-SK"/>
              </w:rPr>
              <w:t>8 123</w:t>
            </w:r>
          </w:p>
        </w:tc>
        <w:tc>
          <w:tcPr>
            <w:tcW w:w="1134" w:type="dxa"/>
            <w:tcBorders>
              <w:top w:val="single" w:sz="4" w:space="0" w:color="auto"/>
              <w:left w:val="nil"/>
              <w:bottom w:val="single" w:sz="4" w:space="0" w:color="auto"/>
              <w:right w:val="nil"/>
            </w:tcBorders>
            <w:shd w:val="clear" w:color="auto" w:fill="auto"/>
            <w:noWrap/>
            <w:vAlign w:val="center"/>
            <w:hideMark/>
          </w:tcPr>
          <w:p w14:paraId="33DDD933" w14:textId="77777777" w:rsidR="006402E9" w:rsidRPr="006402E9" w:rsidRDefault="006402E9" w:rsidP="006402E9">
            <w:pPr>
              <w:spacing w:after="0" w:line="240" w:lineRule="auto"/>
              <w:jc w:val="center"/>
              <w:rPr>
                <w:rFonts w:eastAsia="Times New Roman" w:cs="Times New Roman"/>
                <w:b/>
                <w:bCs/>
                <w:color w:val="000000"/>
                <w:sz w:val="20"/>
                <w:lang w:eastAsia="sk-SK"/>
              </w:rPr>
            </w:pPr>
            <w:r w:rsidRPr="006402E9">
              <w:rPr>
                <w:rFonts w:eastAsia="Times New Roman" w:cs="Times New Roman"/>
                <w:b/>
                <w:bCs/>
                <w:color w:val="000000"/>
                <w:sz w:val="20"/>
                <w:lang w:eastAsia="sk-SK"/>
              </w:rPr>
              <w:t>16 705 811</w:t>
            </w:r>
          </w:p>
        </w:tc>
        <w:tc>
          <w:tcPr>
            <w:tcW w:w="1371" w:type="dxa"/>
            <w:tcBorders>
              <w:top w:val="single" w:sz="4" w:space="0" w:color="auto"/>
              <w:left w:val="nil"/>
              <w:bottom w:val="single" w:sz="4" w:space="0" w:color="auto"/>
              <w:right w:val="nil"/>
            </w:tcBorders>
            <w:shd w:val="clear" w:color="auto" w:fill="auto"/>
            <w:noWrap/>
            <w:vAlign w:val="center"/>
            <w:hideMark/>
          </w:tcPr>
          <w:p w14:paraId="60E23C49" w14:textId="77777777" w:rsidR="006402E9" w:rsidRPr="006402E9" w:rsidRDefault="006402E9" w:rsidP="006402E9">
            <w:pPr>
              <w:spacing w:after="0" w:line="240" w:lineRule="auto"/>
              <w:jc w:val="center"/>
              <w:rPr>
                <w:rFonts w:eastAsia="Times New Roman" w:cs="Times New Roman"/>
                <w:b/>
                <w:bCs/>
                <w:color w:val="000000"/>
                <w:sz w:val="20"/>
                <w:lang w:eastAsia="sk-SK"/>
              </w:rPr>
            </w:pPr>
            <w:r w:rsidRPr="006402E9">
              <w:rPr>
                <w:rFonts w:eastAsia="Times New Roman" w:cs="Times New Roman"/>
                <w:b/>
                <w:bCs/>
                <w:color w:val="000000"/>
                <w:sz w:val="20"/>
                <w:lang w:eastAsia="sk-SK"/>
              </w:rPr>
              <w:t>100%</w:t>
            </w:r>
          </w:p>
        </w:tc>
        <w:tc>
          <w:tcPr>
            <w:tcW w:w="751" w:type="dxa"/>
            <w:tcBorders>
              <w:top w:val="single" w:sz="4" w:space="0" w:color="auto"/>
              <w:left w:val="nil"/>
              <w:bottom w:val="single" w:sz="4" w:space="0" w:color="auto"/>
              <w:right w:val="nil"/>
            </w:tcBorders>
            <w:shd w:val="clear" w:color="auto" w:fill="auto"/>
            <w:noWrap/>
            <w:vAlign w:val="center"/>
            <w:hideMark/>
          </w:tcPr>
          <w:p w14:paraId="622FB6A7" w14:textId="77777777" w:rsidR="006402E9" w:rsidRPr="006402E9" w:rsidRDefault="006402E9" w:rsidP="006402E9">
            <w:pPr>
              <w:spacing w:after="0" w:line="240" w:lineRule="auto"/>
              <w:jc w:val="center"/>
              <w:rPr>
                <w:rFonts w:eastAsia="Times New Roman" w:cs="Times New Roman"/>
                <w:b/>
                <w:bCs/>
                <w:color w:val="000000"/>
                <w:sz w:val="20"/>
                <w:lang w:eastAsia="sk-SK"/>
              </w:rPr>
            </w:pPr>
            <w:r w:rsidRPr="006402E9">
              <w:rPr>
                <w:rFonts w:eastAsia="Times New Roman" w:cs="Times New Roman"/>
                <w:b/>
                <w:bCs/>
                <w:color w:val="000000"/>
                <w:sz w:val="20"/>
                <w:lang w:eastAsia="sk-SK"/>
              </w:rPr>
              <w:t>2 057</w:t>
            </w:r>
          </w:p>
        </w:tc>
      </w:tr>
      <w:tr w:rsidR="006402E9" w:rsidRPr="006402E9" w14:paraId="4C1E4A64" w14:textId="77777777" w:rsidTr="006402E9">
        <w:trPr>
          <w:trHeight w:val="300"/>
        </w:trPr>
        <w:tc>
          <w:tcPr>
            <w:tcW w:w="1077" w:type="dxa"/>
            <w:tcBorders>
              <w:top w:val="nil"/>
              <w:left w:val="nil"/>
              <w:bottom w:val="nil"/>
              <w:right w:val="nil"/>
            </w:tcBorders>
            <w:shd w:val="clear" w:color="auto" w:fill="auto"/>
            <w:noWrap/>
            <w:vAlign w:val="bottom"/>
            <w:hideMark/>
          </w:tcPr>
          <w:p w14:paraId="3263CDFC" w14:textId="77777777" w:rsidR="006402E9" w:rsidRPr="006402E9" w:rsidRDefault="006402E9" w:rsidP="006402E9">
            <w:pPr>
              <w:spacing w:after="0" w:line="240" w:lineRule="auto"/>
              <w:jc w:val="center"/>
              <w:rPr>
                <w:rFonts w:eastAsia="Times New Roman" w:cs="Times New Roman"/>
                <w:b/>
                <w:bCs/>
                <w:color w:val="000000"/>
                <w:sz w:val="20"/>
                <w:lang w:eastAsia="sk-SK"/>
              </w:rPr>
            </w:pPr>
          </w:p>
        </w:tc>
        <w:tc>
          <w:tcPr>
            <w:tcW w:w="763" w:type="dxa"/>
            <w:tcBorders>
              <w:top w:val="nil"/>
              <w:left w:val="nil"/>
              <w:bottom w:val="nil"/>
              <w:right w:val="nil"/>
            </w:tcBorders>
            <w:shd w:val="clear" w:color="auto" w:fill="auto"/>
            <w:noWrap/>
            <w:vAlign w:val="bottom"/>
            <w:hideMark/>
          </w:tcPr>
          <w:p w14:paraId="39E212CA" w14:textId="77777777" w:rsidR="006402E9" w:rsidRPr="006402E9" w:rsidRDefault="006402E9" w:rsidP="006402E9">
            <w:pPr>
              <w:spacing w:after="0" w:line="240" w:lineRule="auto"/>
              <w:jc w:val="left"/>
              <w:rPr>
                <w:rFonts w:ascii="Times New Roman" w:eastAsia="Times New Roman" w:hAnsi="Times New Roman" w:cs="Times New Roman"/>
                <w:sz w:val="20"/>
                <w:lang w:eastAsia="sk-SK"/>
              </w:rPr>
            </w:pPr>
          </w:p>
        </w:tc>
        <w:tc>
          <w:tcPr>
            <w:tcW w:w="1135" w:type="dxa"/>
            <w:tcBorders>
              <w:top w:val="nil"/>
              <w:left w:val="nil"/>
              <w:bottom w:val="nil"/>
              <w:right w:val="nil"/>
            </w:tcBorders>
            <w:shd w:val="clear" w:color="auto" w:fill="auto"/>
            <w:noWrap/>
            <w:vAlign w:val="bottom"/>
            <w:hideMark/>
          </w:tcPr>
          <w:p w14:paraId="30F7ABD8" w14:textId="77777777" w:rsidR="006402E9" w:rsidRPr="006402E9" w:rsidRDefault="006402E9" w:rsidP="006402E9">
            <w:pPr>
              <w:spacing w:after="0" w:line="240" w:lineRule="auto"/>
              <w:jc w:val="left"/>
              <w:rPr>
                <w:rFonts w:ascii="Times New Roman" w:eastAsia="Times New Roman" w:hAnsi="Times New Roman" w:cs="Times New Roman"/>
                <w:sz w:val="20"/>
                <w:lang w:eastAsia="sk-SK"/>
              </w:rPr>
            </w:pPr>
          </w:p>
        </w:tc>
        <w:tc>
          <w:tcPr>
            <w:tcW w:w="1420" w:type="dxa"/>
            <w:tcBorders>
              <w:top w:val="nil"/>
              <w:left w:val="nil"/>
              <w:bottom w:val="nil"/>
              <w:right w:val="nil"/>
            </w:tcBorders>
            <w:shd w:val="clear" w:color="auto" w:fill="auto"/>
            <w:noWrap/>
            <w:vAlign w:val="bottom"/>
            <w:hideMark/>
          </w:tcPr>
          <w:p w14:paraId="28885CDB" w14:textId="77777777" w:rsidR="006402E9" w:rsidRPr="006402E9" w:rsidRDefault="006402E9" w:rsidP="006402E9">
            <w:pPr>
              <w:spacing w:after="0" w:line="240" w:lineRule="auto"/>
              <w:jc w:val="left"/>
              <w:rPr>
                <w:rFonts w:ascii="Times New Roman" w:eastAsia="Times New Roman" w:hAnsi="Times New Roman" w:cs="Times New Roman"/>
                <w:sz w:val="20"/>
                <w:lang w:eastAsia="sk-SK"/>
              </w:rPr>
            </w:pPr>
          </w:p>
        </w:tc>
        <w:tc>
          <w:tcPr>
            <w:tcW w:w="762" w:type="dxa"/>
            <w:tcBorders>
              <w:top w:val="nil"/>
              <w:left w:val="nil"/>
              <w:bottom w:val="nil"/>
              <w:right w:val="nil"/>
            </w:tcBorders>
            <w:shd w:val="clear" w:color="auto" w:fill="auto"/>
            <w:noWrap/>
            <w:vAlign w:val="bottom"/>
            <w:hideMark/>
          </w:tcPr>
          <w:p w14:paraId="125EF9CE" w14:textId="77777777" w:rsidR="006402E9" w:rsidRPr="006402E9" w:rsidRDefault="006402E9" w:rsidP="006402E9">
            <w:pPr>
              <w:spacing w:after="0" w:line="240" w:lineRule="auto"/>
              <w:jc w:val="left"/>
              <w:rPr>
                <w:rFonts w:ascii="Times New Roman" w:eastAsia="Times New Roman" w:hAnsi="Times New Roman" w:cs="Times New Roman"/>
                <w:sz w:val="20"/>
                <w:lang w:eastAsia="sk-SK"/>
              </w:rPr>
            </w:pPr>
          </w:p>
        </w:tc>
        <w:tc>
          <w:tcPr>
            <w:tcW w:w="764" w:type="dxa"/>
            <w:tcBorders>
              <w:top w:val="nil"/>
              <w:left w:val="nil"/>
              <w:bottom w:val="nil"/>
              <w:right w:val="nil"/>
            </w:tcBorders>
            <w:shd w:val="clear" w:color="auto" w:fill="auto"/>
            <w:noWrap/>
            <w:vAlign w:val="bottom"/>
            <w:hideMark/>
          </w:tcPr>
          <w:p w14:paraId="60A208CF" w14:textId="77777777" w:rsidR="006402E9" w:rsidRPr="006402E9" w:rsidRDefault="006402E9" w:rsidP="006402E9">
            <w:pPr>
              <w:spacing w:after="0" w:line="240" w:lineRule="auto"/>
              <w:jc w:val="left"/>
              <w:rPr>
                <w:rFonts w:ascii="Times New Roman" w:eastAsia="Times New Roman" w:hAnsi="Times New Roman" w:cs="Times New Roman"/>
                <w:sz w:val="20"/>
                <w:lang w:eastAsia="sk-SK"/>
              </w:rPr>
            </w:pPr>
          </w:p>
        </w:tc>
        <w:tc>
          <w:tcPr>
            <w:tcW w:w="1167" w:type="dxa"/>
            <w:tcBorders>
              <w:top w:val="nil"/>
              <w:left w:val="nil"/>
              <w:bottom w:val="nil"/>
              <w:right w:val="nil"/>
            </w:tcBorders>
            <w:shd w:val="clear" w:color="auto" w:fill="auto"/>
            <w:noWrap/>
            <w:vAlign w:val="bottom"/>
            <w:hideMark/>
          </w:tcPr>
          <w:p w14:paraId="4338D726" w14:textId="77777777" w:rsidR="006402E9" w:rsidRPr="006402E9" w:rsidRDefault="006402E9" w:rsidP="006402E9">
            <w:pPr>
              <w:spacing w:after="0" w:line="240" w:lineRule="auto"/>
              <w:jc w:val="left"/>
              <w:rPr>
                <w:rFonts w:ascii="Times New Roman" w:eastAsia="Times New Roman" w:hAnsi="Times New Roman" w:cs="Times New Roman"/>
                <w:sz w:val="20"/>
                <w:lang w:eastAsia="sk-SK"/>
              </w:rPr>
            </w:pPr>
          </w:p>
        </w:tc>
        <w:tc>
          <w:tcPr>
            <w:tcW w:w="1400" w:type="dxa"/>
            <w:tcBorders>
              <w:top w:val="nil"/>
              <w:left w:val="nil"/>
              <w:bottom w:val="nil"/>
              <w:right w:val="nil"/>
            </w:tcBorders>
            <w:shd w:val="clear" w:color="auto" w:fill="auto"/>
            <w:noWrap/>
            <w:vAlign w:val="bottom"/>
            <w:hideMark/>
          </w:tcPr>
          <w:p w14:paraId="76A2A07F" w14:textId="77777777" w:rsidR="006402E9" w:rsidRPr="006402E9" w:rsidRDefault="006402E9" w:rsidP="006402E9">
            <w:pPr>
              <w:spacing w:after="0" w:line="240" w:lineRule="auto"/>
              <w:jc w:val="left"/>
              <w:rPr>
                <w:rFonts w:ascii="Times New Roman" w:eastAsia="Times New Roman" w:hAnsi="Times New Roman" w:cs="Times New Roman"/>
                <w:sz w:val="20"/>
                <w:lang w:eastAsia="sk-SK"/>
              </w:rPr>
            </w:pPr>
          </w:p>
        </w:tc>
        <w:tc>
          <w:tcPr>
            <w:tcW w:w="4833" w:type="dxa"/>
            <w:gridSpan w:val="5"/>
            <w:tcBorders>
              <w:top w:val="nil"/>
              <w:left w:val="nil"/>
              <w:bottom w:val="nil"/>
              <w:right w:val="nil"/>
            </w:tcBorders>
            <w:shd w:val="clear" w:color="auto" w:fill="auto"/>
            <w:noWrap/>
            <w:vAlign w:val="center"/>
            <w:hideMark/>
          </w:tcPr>
          <w:p w14:paraId="57F42438" w14:textId="77777777" w:rsidR="006402E9" w:rsidRPr="006402E9" w:rsidRDefault="006402E9" w:rsidP="006402E9">
            <w:pPr>
              <w:spacing w:after="0" w:line="240" w:lineRule="auto"/>
              <w:jc w:val="right"/>
              <w:rPr>
                <w:rFonts w:eastAsia="Times New Roman" w:cs="Times New Roman"/>
                <w:i/>
                <w:iCs/>
                <w:color w:val="000000"/>
                <w:sz w:val="18"/>
                <w:szCs w:val="18"/>
                <w:lang w:eastAsia="sk-SK"/>
              </w:rPr>
            </w:pPr>
            <w:r w:rsidRPr="006402E9">
              <w:rPr>
                <w:rFonts w:eastAsia="Times New Roman" w:cs="Times New Roman"/>
                <w:i/>
                <w:iCs/>
                <w:color w:val="000000"/>
                <w:sz w:val="18"/>
                <w:szCs w:val="18"/>
                <w:lang w:eastAsia="sk-SK"/>
              </w:rPr>
              <w:t>Zdroj: Vlastné prepočty IVP na základe dát Eduzberu (2017, 2018).</w:t>
            </w:r>
          </w:p>
        </w:tc>
      </w:tr>
    </w:tbl>
    <w:p w14:paraId="12FFD26F" w14:textId="77777777" w:rsidR="001B34C7" w:rsidRDefault="001B34C7" w:rsidP="001B34C7">
      <w:pPr>
        <w:pStyle w:val="Popis"/>
        <w:rPr>
          <w:b/>
          <w:i w:val="0"/>
          <w:color w:val="2E74B5" w:themeColor="accent1" w:themeShade="BF"/>
          <w:sz w:val="22"/>
        </w:rPr>
      </w:pPr>
    </w:p>
    <w:p w14:paraId="7B38A604" w14:textId="77777777" w:rsidR="001B34C7" w:rsidRPr="000C6214" w:rsidRDefault="001B34C7" w:rsidP="001B34C7">
      <w:pPr>
        <w:pStyle w:val="Popis"/>
        <w:rPr>
          <w:b/>
          <w:i w:val="0"/>
          <w:color w:val="2E74B5" w:themeColor="accent1" w:themeShade="BF"/>
          <w:sz w:val="22"/>
        </w:rPr>
      </w:pPr>
      <w:bookmarkStart w:id="1940" w:name="_Ref25844873"/>
      <w:r w:rsidRPr="000C6214">
        <w:rPr>
          <w:b/>
          <w:i w:val="0"/>
          <w:color w:val="2E74B5" w:themeColor="accent1" w:themeShade="BF"/>
          <w:sz w:val="22"/>
        </w:rPr>
        <w:t xml:space="preserve">Príloha </w:t>
      </w:r>
      <w:r w:rsidRPr="00AD2F2A">
        <w:rPr>
          <w:b/>
          <w:i w:val="0"/>
          <w:color w:val="2E74B5" w:themeColor="accent1" w:themeShade="BF"/>
          <w:sz w:val="22"/>
        </w:rPr>
        <w:fldChar w:fldCharType="begin"/>
      </w:r>
      <w:r w:rsidRPr="00AD2F2A">
        <w:rPr>
          <w:b/>
          <w:i w:val="0"/>
          <w:color w:val="2E74B5" w:themeColor="accent1" w:themeShade="BF"/>
          <w:sz w:val="22"/>
        </w:rPr>
        <w:instrText xml:space="preserve"> SEQ Príloha \* ARABIC </w:instrText>
      </w:r>
      <w:r w:rsidRPr="00AD2F2A">
        <w:rPr>
          <w:b/>
          <w:i w:val="0"/>
          <w:color w:val="2E74B5" w:themeColor="accent1" w:themeShade="BF"/>
          <w:sz w:val="22"/>
        </w:rPr>
        <w:fldChar w:fldCharType="separate"/>
      </w:r>
      <w:r w:rsidR="00FA29AF">
        <w:rPr>
          <w:b/>
          <w:i w:val="0"/>
          <w:noProof/>
          <w:color w:val="2E74B5" w:themeColor="accent1" w:themeShade="BF"/>
          <w:sz w:val="22"/>
        </w:rPr>
        <w:t>33</w:t>
      </w:r>
      <w:r w:rsidRPr="00AD2F2A">
        <w:rPr>
          <w:b/>
          <w:i w:val="0"/>
          <w:color w:val="2E74B5" w:themeColor="accent1" w:themeShade="BF"/>
          <w:sz w:val="22"/>
        </w:rPr>
        <w:fldChar w:fldCharType="end"/>
      </w:r>
      <w:bookmarkEnd w:id="1940"/>
      <w:r w:rsidRPr="000C6214">
        <w:rPr>
          <w:b/>
          <w:i w:val="0"/>
          <w:color w:val="2E74B5" w:themeColor="accent1" w:themeShade="BF"/>
          <w:sz w:val="22"/>
        </w:rPr>
        <w:t>: Priemerné dodatočné zdroje z navýšených normatívov na žiaka so zdravotným znevýhodnením v stredných školách, 2018</w:t>
      </w:r>
    </w:p>
    <w:p w14:paraId="7DD48CD6" w14:textId="7D4424A4" w:rsidR="006402E9" w:rsidRPr="00A77253" w:rsidRDefault="006402E9" w:rsidP="006402E9">
      <w:pPr>
        <w:pStyle w:val="Popis"/>
        <w:keepNext/>
        <w:spacing w:after="0"/>
        <w:rPr>
          <w:b/>
          <w:i w:val="0"/>
          <w:color w:val="auto"/>
          <w:sz w:val="20"/>
        </w:rPr>
      </w:pPr>
      <w:r w:rsidRPr="00A77253">
        <w:rPr>
          <w:b/>
          <w:i w:val="0"/>
          <w:color w:val="auto"/>
          <w:sz w:val="20"/>
        </w:rPr>
        <w:t xml:space="preserve">Tabuľka P </w:t>
      </w:r>
      <w:r w:rsidRPr="00A77253">
        <w:rPr>
          <w:b/>
          <w:i w:val="0"/>
          <w:color w:val="auto"/>
          <w:sz w:val="20"/>
        </w:rPr>
        <w:fldChar w:fldCharType="begin"/>
      </w:r>
      <w:r w:rsidRPr="00A77253">
        <w:rPr>
          <w:b/>
          <w:i w:val="0"/>
          <w:color w:val="auto"/>
          <w:sz w:val="20"/>
        </w:rPr>
        <w:instrText xml:space="preserve"> SEQ Tabuľka_P \* ARABIC </w:instrText>
      </w:r>
      <w:r w:rsidRPr="00A77253">
        <w:rPr>
          <w:b/>
          <w:i w:val="0"/>
          <w:color w:val="auto"/>
          <w:sz w:val="20"/>
        </w:rPr>
        <w:fldChar w:fldCharType="separate"/>
      </w:r>
      <w:r w:rsidR="00FA29AF">
        <w:rPr>
          <w:b/>
          <w:i w:val="0"/>
          <w:noProof/>
          <w:color w:val="auto"/>
          <w:sz w:val="20"/>
        </w:rPr>
        <w:t>27</w:t>
      </w:r>
      <w:r w:rsidRPr="00A77253">
        <w:rPr>
          <w:b/>
          <w:i w:val="0"/>
          <w:color w:val="auto"/>
          <w:sz w:val="20"/>
        </w:rPr>
        <w:fldChar w:fldCharType="end"/>
      </w:r>
      <w:r w:rsidR="00A77253" w:rsidRPr="00A77253">
        <w:rPr>
          <w:b/>
          <w:i w:val="0"/>
          <w:color w:val="auto"/>
          <w:sz w:val="20"/>
        </w:rPr>
        <w:t>: Priemerné dodatočné zdroje z navýšených normatívov na žiaka so zdravotným znevýhodnením v stredných školách, 2018</w:t>
      </w:r>
    </w:p>
    <w:tbl>
      <w:tblPr>
        <w:tblW w:w="5000" w:type="pct"/>
        <w:tblCellMar>
          <w:left w:w="70" w:type="dxa"/>
          <w:right w:w="70" w:type="dxa"/>
        </w:tblCellMar>
        <w:tblLook w:val="04A0" w:firstRow="1" w:lastRow="0" w:firstColumn="1" w:lastColumn="0" w:noHBand="0" w:noVBand="1"/>
      </w:tblPr>
      <w:tblGrid>
        <w:gridCol w:w="2594"/>
        <w:gridCol w:w="1170"/>
        <w:gridCol w:w="1488"/>
        <w:gridCol w:w="1630"/>
        <w:gridCol w:w="1312"/>
        <w:gridCol w:w="1415"/>
        <w:gridCol w:w="1630"/>
        <w:gridCol w:w="1912"/>
        <w:gridCol w:w="807"/>
      </w:tblGrid>
      <w:tr w:rsidR="001B34C7" w:rsidRPr="002E78BA" w14:paraId="060D5775" w14:textId="77777777" w:rsidTr="009C4F06">
        <w:trPr>
          <w:trHeight w:val="300"/>
        </w:trPr>
        <w:tc>
          <w:tcPr>
            <w:tcW w:w="929" w:type="pct"/>
            <w:tcBorders>
              <w:top w:val="nil"/>
              <w:left w:val="nil"/>
              <w:right w:val="nil"/>
            </w:tcBorders>
            <w:shd w:val="clear" w:color="auto" w:fill="auto"/>
            <w:noWrap/>
            <w:vAlign w:val="bottom"/>
            <w:hideMark/>
          </w:tcPr>
          <w:p w14:paraId="4745E269" w14:textId="77777777" w:rsidR="001B34C7" w:rsidRPr="002E78BA" w:rsidRDefault="001B34C7" w:rsidP="002E33D9">
            <w:pPr>
              <w:spacing w:after="0" w:line="240" w:lineRule="auto"/>
              <w:rPr>
                <w:rFonts w:ascii="Times New Roman" w:eastAsia="Times New Roman" w:hAnsi="Times New Roman" w:cs="Times New Roman"/>
                <w:sz w:val="24"/>
                <w:szCs w:val="24"/>
                <w:lang w:eastAsia="sk-SK"/>
              </w:rPr>
            </w:pPr>
          </w:p>
        </w:tc>
        <w:tc>
          <w:tcPr>
            <w:tcW w:w="1536" w:type="pct"/>
            <w:gridSpan w:val="3"/>
            <w:tcBorders>
              <w:top w:val="nil"/>
              <w:left w:val="nil"/>
              <w:bottom w:val="nil"/>
              <w:right w:val="nil"/>
            </w:tcBorders>
            <w:shd w:val="clear" w:color="auto" w:fill="auto"/>
            <w:noWrap/>
            <w:vAlign w:val="bottom"/>
            <w:hideMark/>
          </w:tcPr>
          <w:p w14:paraId="5F0BB2D4" w14:textId="77777777" w:rsidR="001B34C7" w:rsidRPr="002E78BA" w:rsidRDefault="001B34C7" w:rsidP="002E33D9">
            <w:pPr>
              <w:spacing w:after="0" w:line="240" w:lineRule="auto"/>
              <w:jc w:val="center"/>
              <w:rPr>
                <w:rFonts w:eastAsia="Times New Roman" w:cs="Calibri"/>
                <w:b/>
                <w:bCs/>
                <w:color w:val="000000"/>
                <w:sz w:val="20"/>
                <w:lang w:eastAsia="sk-SK"/>
              </w:rPr>
            </w:pPr>
            <w:r w:rsidRPr="002E78BA">
              <w:rPr>
                <w:rFonts w:eastAsia="Times New Roman" w:cs="Calibri"/>
                <w:b/>
                <w:bCs/>
                <w:color w:val="000000"/>
                <w:sz w:val="20"/>
                <w:lang w:eastAsia="sk-SK"/>
              </w:rPr>
              <w:t>Bežné stredné školy</w:t>
            </w:r>
          </w:p>
        </w:tc>
        <w:tc>
          <w:tcPr>
            <w:tcW w:w="1561" w:type="pct"/>
            <w:gridSpan w:val="3"/>
            <w:tcBorders>
              <w:top w:val="nil"/>
              <w:left w:val="nil"/>
              <w:bottom w:val="nil"/>
              <w:right w:val="nil"/>
            </w:tcBorders>
            <w:shd w:val="clear" w:color="auto" w:fill="auto"/>
            <w:noWrap/>
            <w:vAlign w:val="bottom"/>
            <w:hideMark/>
          </w:tcPr>
          <w:p w14:paraId="5ED8634E" w14:textId="77777777" w:rsidR="001B34C7" w:rsidRPr="002E78BA" w:rsidRDefault="001B34C7" w:rsidP="002E33D9">
            <w:pPr>
              <w:spacing w:after="0" w:line="240" w:lineRule="auto"/>
              <w:jc w:val="center"/>
              <w:rPr>
                <w:rFonts w:eastAsia="Times New Roman" w:cs="Calibri"/>
                <w:b/>
                <w:bCs/>
                <w:color w:val="000000"/>
                <w:sz w:val="20"/>
                <w:lang w:eastAsia="sk-SK"/>
              </w:rPr>
            </w:pPr>
            <w:r w:rsidRPr="002E78BA">
              <w:rPr>
                <w:rFonts w:eastAsia="Times New Roman" w:cs="Calibri"/>
                <w:b/>
                <w:bCs/>
                <w:color w:val="000000"/>
                <w:sz w:val="20"/>
                <w:lang w:eastAsia="sk-SK"/>
              </w:rPr>
              <w:t>Špeciálne stredné školy</w:t>
            </w:r>
          </w:p>
        </w:tc>
        <w:tc>
          <w:tcPr>
            <w:tcW w:w="685" w:type="pct"/>
            <w:tcBorders>
              <w:top w:val="nil"/>
              <w:left w:val="nil"/>
              <w:bottom w:val="nil"/>
              <w:right w:val="nil"/>
            </w:tcBorders>
            <w:shd w:val="clear" w:color="auto" w:fill="auto"/>
            <w:noWrap/>
            <w:vAlign w:val="bottom"/>
            <w:hideMark/>
          </w:tcPr>
          <w:p w14:paraId="2E667D94" w14:textId="77777777" w:rsidR="001B34C7" w:rsidRPr="002E78BA" w:rsidRDefault="001B34C7" w:rsidP="002E33D9">
            <w:pPr>
              <w:spacing w:after="0" w:line="240" w:lineRule="auto"/>
              <w:jc w:val="center"/>
              <w:rPr>
                <w:rFonts w:eastAsia="Times New Roman" w:cs="Calibri"/>
                <w:b/>
                <w:bCs/>
                <w:color w:val="000000"/>
                <w:sz w:val="20"/>
                <w:lang w:eastAsia="sk-SK"/>
              </w:rPr>
            </w:pPr>
          </w:p>
        </w:tc>
        <w:tc>
          <w:tcPr>
            <w:tcW w:w="289" w:type="pct"/>
            <w:tcBorders>
              <w:top w:val="nil"/>
              <w:left w:val="nil"/>
              <w:bottom w:val="nil"/>
              <w:right w:val="nil"/>
            </w:tcBorders>
            <w:shd w:val="clear" w:color="auto" w:fill="auto"/>
            <w:noWrap/>
            <w:vAlign w:val="bottom"/>
            <w:hideMark/>
          </w:tcPr>
          <w:p w14:paraId="2CEC733B" w14:textId="77777777" w:rsidR="001B34C7" w:rsidRPr="002E78BA" w:rsidRDefault="001B34C7" w:rsidP="002E33D9">
            <w:pPr>
              <w:spacing w:after="0" w:line="240" w:lineRule="auto"/>
              <w:rPr>
                <w:rFonts w:ascii="Times New Roman" w:eastAsia="Times New Roman" w:hAnsi="Times New Roman" w:cs="Times New Roman"/>
                <w:sz w:val="20"/>
                <w:lang w:eastAsia="sk-SK"/>
              </w:rPr>
            </w:pPr>
          </w:p>
        </w:tc>
      </w:tr>
      <w:tr w:rsidR="001B34C7" w:rsidRPr="002E78BA" w14:paraId="37AA0558" w14:textId="77777777" w:rsidTr="009C4F06">
        <w:trPr>
          <w:trHeight w:val="789"/>
        </w:trPr>
        <w:tc>
          <w:tcPr>
            <w:tcW w:w="929" w:type="pct"/>
            <w:tcBorders>
              <w:top w:val="nil"/>
              <w:left w:val="nil"/>
              <w:bottom w:val="single" w:sz="4" w:space="0" w:color="auto"/>
            </w:tcBorders>
            <w:shd w:val="clear" w:color="auto" w:fill="auto"/>
            <w:noWrap/>
            <w:vAlign w:val="bottom"/>
            <w:hideMark/>
          </w:tcPr>
          <w:p w14:paraId="48E0DFBF" w14:textId="77777777" w:rsidR="001B34C7" w:rsidRPr="002E78BA" w:rsidRDefault="001B34C7" w:rsidP="002E33D9">
            <w:pPr>
              <w:spacing w:after="0" w:line="240" w:lineRule="auto"/>
              <w:rPr>
                <w:rFonts w:eastAsia="Times New Roman" w:cs="Calibri"/>
                <w:color w:val="000000"/>
                <w:sz w:val="20"/>
                <w:lang w:eastAsia="sk-SK"/>
              </w:rPr>
            </w:pPr>
            <w:r w:rsidRPr="002E78BA">
              <w:rPr>
                <w:rFonts w:eastAsia="Times New Roman" w:cs="Calibri"/>
                <w:color w:val="000000"/>
                <w:sz w:val="20"/>
                <w:lang w:eastAsia="sk-SK"/>
              </w:rPr>
              <w:t> </w:t>
            </w:r>
          </w:p>
        </w:tc>
        <w:tc>
          <w:tcPr>
            <w:tcW w:w="419" w:type="pct"/>
            <w:tcBorders>
              <w:top w:val="nil"/>
              <w:left w:val="nil"/>
              <w:bottom w:val="single" w:sz="4" w:space="0" w:color="auto"/>
              <w:right w:val="nil"/>
            </w:tcBorders>
            <w:shd w:val="clear" w:color="auto" w:fill="auto"/>
            <w:vAlign w:val="bottom"/>
            <w:hideMark/>
          </w:tcPr>
          <w:p w14:paraId="75F47DB9" w14:textId="77777777" w:rsidR="001B34C7" w:rsidRPr="002E78BA" w:rsidRDefault="001B34C7" w:rsidP="002E33D9">
            <w:pPr>
              <w:spacing w:after="0" w:line="240" w:lineRule="auto"/>
              <w:jc w:val="center"/>
              <w:rPr>
                <w:rFonts w:eastAsia="Times New Roman" w:cs="Calibri"/>
                <w:b/>
                <w:bCs/>
                <w:color w:val="000000"/>
                <w:sz w:val="20"/>
                <w:lang w:eastAsia="sk-SK"/>
              </w:rPr>
            </w:pPr>
            <w:r w:rsidRPr="002E78BA">
              <w:rPr>
                <w:rFonts w:eastAsia="Times New Roman" w:cs="Calibri"/>
                <w:b/>
                <w:bCs/>
                <w:color w:val="000000"/>
                <w:sz w:val="20"/>
                <w:lang w:eastAsia="sk-SK"/>
              </w:rPr>
              <w:t>Počet žiakov</w:t>
            </w:r>
          </w:p>
        </w:tc>
        <w:tc>
          <w:tcPr>
            <w:tcW w:w="533" w:type="pct"/>
            <w:tcBorders>
              <w:top w:val="nil"/>
              <w:left w:val="nil"/>
              <w:bottom w:val="single" w:sz="4" w:space="0" w:color="auto"/>
              <w:right w:val="nil"/>
            </w:tcBorders>
            <w:shd w:val="clear" w:color="auto" w:fill="auto"/>
            <w:vAlign w:val="bottom"/>
            <w:hideMark/>
          </w:tcPr>
          <w:p w14:paraId="3F880C28" w14:textId="77777777" w:rsidR="001B34C7" w:rsidRPr="002E78BA" w:rsidRDefault="001B34C7" w:rsidP="002E33D9">
            <w:pPr>
              <w:spacing w:after="0" w:line="240" w:lineRule="auto"/>
              <w:jc w:val="center"/>
              <w:rPr>
                <w:rFonts w:eastAsia="Times New Roman" w:cs="Calibri"/>
                <w:b/>
                <w:bCs/>
                <w:color w:val="000000"/>
                <w:sz w:val="20"/>
                <w:lang w:eastAsia="sk-SK"/>
              </w:rPr>
            </w:pPr>
            <w:r w:rsidRPr="002E78BA">
              <w:rPr>
                <w:rFonts w:eastAsia="Times New Roman" w:cs="Calibri"/>
                <w:b/>
                <w:bCs/>
                <w:color w:val="000000"/>
                <w:sz w:val="20"/>
                <w:lang w:eastAsia="sk-SK"/>
              </w:rPr>
              <w:t>Dodatočné zdroje na žiaka</w:t>
            </w:r>
          </w:p>
        </w:tc>
        <w:tc>
          <w:tcPr>
            <w:tcW w:w="584" w:type="pct"/>
            <w:tcBorders>
              <w:top w:val="nil"/>
              <w:left w:val="nil"/>
              <w:bottom w:val="single" w:sz="4" w:space="0" w:color="auto"/>
              <w:right w:val="nil"/>
            </w:tcBorders>
            <w:shd w:val="clear" w:color="auto" w:fill="auto"/>
            <w:vAlign w:val="bottom"/>
            <w:hideMark/>
          </w:tcPr>
          <w:p w14:paraId="61472E60" w14:textId="77777777" w:rsidR="001B34C7" w:rsidRPr="002E78BA" w:rsidRDefault="001B34C7" w:rsidP="002E33D9">
            <w:pPr>
              <w:spacing w:after="0" w:line="240" w:lineRule="auto"/>
              <w:jc w:val="center"/>
              <w:rPr>
                <w:rFonts w:eastAsia="Times New Roman" w:cs="Calibri"/>
                <w:b/>
                <w:bCs/>
                <w:color w:val="000000"/>
                <w:sz w:val="20"/>
                <w:lang w:eastAsia="sk-SK"/>
              </w:rPr>
            </w:pPr>
            <w:r w:rsidRPr="002E78BA">
              <w:rPr>
                <w:rFonts w:eastAsia="Times New Roman" w:cs="Calibri"/>
                <w:b/>
                <w:bCs/>
                <w:color w:val="000000"/>
                <w:sz w:val="20"/>
                <w:lang w:eastAsia="sk-SK"/>
              </w:rPr>
              <w:t>Ce</w:t>
            </w:r>
            <w:r>
              <w:rPr>
                <w:rFonts w:eastAsia="Times New Roman" w:cs="Calibri"/>
                <w:b/>
                <w:bCs/>
                <w:color w:val="000000"/>
                <w:sz w:val="20"/>
                <w:lang w:eastAsia="sk-SK"/>
              </w:rPr>
              <w:t>l</w:t>
            </w:r>
            <w:r w:rsidRPr="002E78BA">
              <w:rPr>
                <w:rFonts w:eastAsia="Times New Roman" w:cs="Calibri"/>
                <w:b/>
                <w:bCs/>
                <w:color w:val="000000"/>
                <w:sz w:val="20"/>
                <w:lang w:eastAsia="sk-SK"/>
              </w:rPr>
              <w:t>kové dodatočné zdroje</w:t>
            </w:r>
          </w:p>
        </w:tc>
        <w:tc>
          <w:tcPr>
            <w:tcW w:w="470" w:type="pct"/>
            <w:tcBorders>
              <w:top w:val="nil"/>
              <w:left w:val="nil"/>
              <w:bottom w:val="single" w:sz="4" w:space="0" w:color="auto"/>
              <w:right w:val="nil"/>
            </w:tcBorders>
            <w:shd w:val="clear" w:color="auto" w:fill="auto"/>
            <w:vAlign w:val="bottom"/>
            <w:hideMark/>
          </w:tcPr>
          <w:p w14:paraId="02CAFC89" w14:textId="77777777" w:rsidR="001B34C7" w:rsidRPr="002E78BA" w:rsidRDefault="001B34C7" w:rsidP="002E33D9">
            <w:pPr>
              <w:spacing w:after="0" w:line="240" w:lineRule="auto"/>
              <w:jc w:val="center"/>
              <w:rPr>
                <w:rFonts w:eastAsia="Times New Roman" w:cs="Calibri"/>
                <w:b/>
                <w:bCs/>
                <w:color w:val="000000"/>
                <w:sz w:val="20"/>
                <w:lang w:eastAsia="sk-SK"/>
              </w:rPr>
            </w:pPr>
            <w:r w:rsidRPr="002E78BA">
              <w:rPr>
                <w:rFonts w:eastAsia="Times New Roman" w:cs="Calibri"/>
                <w:b/>
                <w:bCs/>
                <w:color w:val="000000"/>
                <w:sz w:val="20"/>
                <w:lang w:eastAsia="sk-SK"/>
              </w:rPr>
              <w:t>Počet žiakov</w:t>
            </w:r>
          </w:p>
        </w:tc>
        <w:tc>
          <w:tcPr>
            <w:tcW w:w="507" w:type="pct"/>
            <w:tcBorders>
              <w:top w:val="nil"/>
              <w:left w:val="nil"/>
              <w:bottom w:val="single" w:sz="4" w:space="0" w:color="auto"/>
              <w:right w:val="nil"/>
            </w:tcBorders>
            <w:shd w:val="clear" w:color="auto" w:fill="auto"/>
            <w:vAlign w:val="bottom"/>
            <w:hideMark/>
          </w:tcPr>
          <w:p w14:paraId="4046B736" w14:textId="77777777" w:rsidR="001B34C7" w:rsidRPr="002E78BA" w:rsidRDefault="001B34C7" w:rsidP="002E33D9">
            <w:pPr>
              <w:spacing w:after="0" w:line="240" w:lineRule="auto"/>
              <w:jc w:val="center"/>
              <w:rPr>
                <w:rFonts w:eastAsia="Times New Roman" w:cs="Calibri"/>
                <w:b/>
                <w:bCs/>
                <w:color w:val="000000"/>
                <w:sz w:val="20"/>
                <w:lang w:eastAsia="sk-SK"/>
              </w:rPr>
            </w:pPr>
            <w:r w:rsidRPr="002E78BA">
              <w:rPr>
                <w:rFonts w:eastAsia="Times New Roman" w:cs="Calibri"/>
                <w:b/>
                <w:bCs/>
                <w:color w:val="000000"/>
                <w:sz w:val="20"/>
                <w:lang w:eastAsia="sk-SK"/>
              </w:rPr>
              <w:t>Dodatočné zdroje na žiaka</w:t>
            </w:r>
          </w:p>
        </w:tc>
        <w:tc>
          <w:tcPr>
            <w:tcW w:w="584" w:type="pct"/>
            <w:tcBorders>
              <w:top w:val="nil"/>
              <w:left w:val="nil"/>
              <w:bottom w:val="single" w:sz="4" w:space="0" w:color="auto"/>
              <w:right w:val="nil"/>
            </w:tcBorders>
            <w:shd w:val="clear" w:color="auto" w:fill="auto"/>
            <w:vAlign w:val="bottom"/>
            <w:hideMark/>
          </w:tcPr>
          <w:p w14:paraId="73EF693C" w14:textId="77777777" w:rsidR="001B34C7" w:rsidRPr="002E78BA" w:rsidRDefault="001B34C7" w:rsidP="002E33D9">
            <w:pPr>
              <w:spacing w:after="0" w:line="240" w:lineRule="auto"/>
              <w:jc w:val="center"/>
              <w:rPr>
                <w:rFonts w:eastAsia="Times New Roman" w:cs="Calibri"/>
                <w:b/>
                <w:bCs/>
                <w:color w:val="000000"/>
                <w:sz w:val="20"/>
                <w:lang w:eastAsia="sk-SK"/>
              </w:rPr>
            </w:pPr>
            <w:r w:rsidRPr="002E78BA">
              <w:rPr>
                <w:rFonts w:eastAsia="Times New Roman" w:cs="Calibri"/>
                <w:b/>
                <w:bCs/>
                <w:color w:val="000000"/>
                <w:sz w:val="20"/>
                <w:lang w:eastAsia="sk-SK"/>
              </w:rPr>
              <w:t>Celkové dodatočné zdroje</w:t>
            </w:r>
          </w:p>
        </w:tc>
        <w:tc>
          <w:tcPr>
            <w:tcW w:w="685" w:type="pct"/>
            <w:tcBorders>
              <w:top w:val="nil"/>
              <w:left w:val="nil"/>
              <w:bottom w:val="single" w:sz="4" w:space="0" w:color="auto"/>
              <w:right w:val="nil"/>
            </w:tcBorders>
            <w:shd w:val="clear" w:color="auto" w:fill="auto"/>
            <w:vAlign w:val="bottom"/>
            <w:hideMark/>
          </w:tcPr>
          <w:p w14:paraId="42A512BD" w14:textId="77777777" w:rsidR="001B34C7" w:rsidRPr="002E78BA" w:rsidRDefault="001B34C7" w:rsidP="002E33D9">
            <w:pPr>
              <w:spacing w:after="0" w:line="240" w:lineRule="auto"/>
              <w:jc w:val="center"/>
              <w:rPr>
                <w:rFonts w:eastAsia="Times New Roman" w:cs="Calibri"/>
                <w:b/>
                <w:bCs/>
                <w:color w:val="000000"/>
                <w:sz w:val="20"/>
                <w:lang w:eastAsia="sk-SK"/>
              </w:rPr>
            </w:pPr>
            <w:r w:rsidRPr="002E78BA">
              <w:rPr>
                <w:rFonts w:eastAsia="Times New Roman" w:cs="Calibri"/>
                <w:b/>
                <w:bCs/>
                <w:color w:val="000000"/>
                <w:sz w:val="20"/>
                <w:lang w:eastAsia="sk-SK"/>
              </w:rPr>
              <w:t>Rozdiel medzi dodatočnými zdrojmi ŠZŠ a ZŠ na žiaka</w:t>
            </w:r>
          </w:p>
        </w:tc>
        <w:tc>
          <w:tcPr>
            <w:tcW w:w="289" w:type="pct"/>
            <w:tcBorders>
              <w:top w:val="nil"/>
              <w:left w:val="nil"/>
              <w:bottom w:val="single" w:sz="4" w:space="0" w:color="auto"/>
              <w:right w:val="nil"/>
            </w:tcBorders>
            <w:shd w:val="clear" w:color="auto" w:fill="auto"/>
            <w:vAlign w:val="bottom"/>
            <w:hideMark/>
          </w:tcPr>
          <w:p w14:paraId="51CCC4E2" w14:textId="77777777" w:rsidR="001B34C7" w:rsidRPr="002E78BA" w:rsidRDefault="001B34C7" w:rsidP="002E33D9">
            <w:pPr>
              <w:spacing w:after="0" w:line="240" w:lineRule="auto"/>
              <w:jc w:val="center"/>
              <w:rPr>
                <w:rFonts w:eastAsia="Times New Roman" w:cs="Calibri"/>
                <w:b/>
                <w:bCs/>
                <w:color w:val="000000"/>
                <w:sz w:val="20"/>
                <w:lang w:eastAsia="sk-SK"/>
              </w:rPr>
            </w:pPr>
            <w:r w:rsidRPr="002E78BA">
              <w:rPr>
                <w:rFonts w:eastAsia="Times New Roman" w:cs="Calibri"/>
                <w:b/>
                <w:bCs/>
                <w:color w:val="000000"/>
                <w:sz w:val="20"/>
                <w:lang w:eastAsia="sk-SK"/>
              </w:rPr>
              <w:t>V %</w:t>
            </w:r>
          </w:p>
        </w:tc>
      </w:tr>
      <w:tr w:rsidR="001B34C7" w:rsidRPr="002E78BA" w14:paraId="4361B0C4" w14:textId="77777777" w:rsidTr="009C4F06">
        <w:trPr>
          <w:trHeight w:val="300"/>
        </w:trPr>
        <w:tc>
          <w:tcPr>
            <w:tcW w:w="929" w:type="pct"/>
            <w:tcBorders>
              <w:top w:val="nil"/>
              <w:left w:val="nil"/>
              <w:bottom w:val="nil"/>
            </w:tcBorders>
            <w:shd w:val="clear" w:color="auto" w:fill="auto"/>
            <w:noWrap/>
            <w:vAlign w:val="bottom"/>
            <w:hideMark/>
          </w:tcPr>
          <w:p w14:paraId="109BC262" w14:textId="77777777" w:rsidR="001B34C7" w:rsidRPr="006831E7" w:rsidRDefault="001B34C7" w:rsidP="002E33D9">
            <w:pPr>
              <w:spacing w:after="0" w:line="240" w:lineRule="auto"/>
              <w:rPr>
                <w:rFonts w:eastAsia="Times New Roman" w:cs="Calibri"/>
                <w:bCs/>
                <w:color w:val="000000"/>
                <w:sz w:val="20"/>
                <w:lang w:eastAsia="sk-SK"/>
              </w:rPr>
            </w:pPr>
            <w:r w:rsidRPr="006831E7">
              <w:rPr>
                <w:rFonts w:eastAsia="Times New Roman" w:cs="Calibri"/>
                <w:bCs/>
                <w:color w:val="000000"/>
                <w:sz w:val="20"/>
                <w:lang w:eastAsia="sk-SK"/>
              </w:rPr>
              <w:t>Gymnáziá</w:t>
            </w:r>
          </w:p>
        </w:tc>
        <w:tc>
          <w:tcPr>
            <w:tcW w:w="419" w:type="pct"/>
            <w:tcBorders>
              <w:top w:val="nil"/>
              <w:left w:val="nil"/>
              <w:bottom w:val="nil"/>
              <w:right w:val="nil"/>
            </w:tcBorders>
            <w:shd w:val="clear" w:color="auto" w:fill="auto"/>
            <w:noWrap/>
            <w:vAlign w:val="bottom"/>
            <w:hideMark/>
          </w:tcPr>
          <w:p w14:paraId="427CF308"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470</w:t>
            </w:r>
          </w:p>
        </w:tc>
        <w:tc>
          <w:tcPr>
            <w:tcW w:w="533" w:type="pct"/>
            <w:tcBorders>
              <w:top w:val="nil"/>
              <w:left w:val="nil"/>
              <w:bottom w:val="nil"/>
              <w:right w:val="nil"/>
            </w:tcBorders>
            <w:shd w:val="clear" w:color="auto" w:fill="auto"/>
            <w:noWrap/>
            <w:vAlign w:val="bottom"/>
            <w:hideMark/>
          </w:tcPr>
          <w:p w14:paraId="4E84540B"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2 010</w:t>
            </w:r>
          </w:p>
        </w:tc>
        <w:tc>
          <w:tcPr>
            <w:tcW w:w="584" w:type="pct"/>
            <w:tcBorders>
              <w:top w:val="nil"/>
              <w:left w:val="nil"/>
              <w:bottom w:val="nil"/>
              <w:right w:val="nil"/>
            </w:tcBorders>
            <w:shd w:val="clear" w:color="auto" w:fill="auto"/>
            <w:noWrap/>
            <w:vAlign w:val="bottom"/>
            <w:hideMark/>
          </w:tcPr>
          <w:p w14:paraId="4599178B"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945 557</w:t>
            </w:r>
          </w:p>
        </w:tc>
        <w:tc>
          <w:tcPr>
            <w:tcW w:w="470" w:type="pct"/>
            <w:tcBorders>
              <w:top w:val="nil"/>
              <w:left w:val="nil"/>
              <w:bottom w:val="nil"/>
              <w:right w:val="nil"/>
            </w:tcBorders>
            <w:shd w:val="clear" w:color="auto" w:fill="auto"/>
            <w:noWrap/>
            <w:vAlign w:val="bottom"/>
            <w:hideMark/>
          </w:tcPr>
          <w:p w14:paraId="1D28F867"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574</w:t>
            </w:r>
          </w:p>
        </w:tc>
        <w:tc>
          <w:tcPr>
            <w:tcW w:w="507" w:type="pct"/>
            <w:tcBorders>
              <w:top w:val="nil"/>
              <w:left w:val="nil"/>
              <w:bottom w:val="nil"/>
              <w:right w:val="nil"/>
            </w:tcBorders>
            <w:shd w:val="clear" w:color="auto" w:fill="auto"/>
            <w:noWrap/>
            <w:vAlign w:val="bottom"/>
            <w:hideMark/>
          </w:tcPr>
          <w:p w14:paraId="47CE5724"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1 116</w:t>
            </w:r>
          </w:p>
        </w:tc>
        <w:tc>
          <w:tcPr>
            <w:tcW w:w="584" w:type="pct"/>
            <w:tcBorders>
              <w:top w:val="nil"/>
              <w:left w:val="nil"/>
              <w:bottom w:val="nil"/>
              <w:right w:val="nil"/>
            </w:tcBorders>
            <w:shd w:val="clear" w:color="auto" w:fill="auto"/>
            <w:noWrap/>
            <w:vAlign w:val="bottom"/>
            <w:hideMark/>
          </w:tcPr>
          <w:p w14:paraId="51F1E41B"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640 576</w:t>
            </w:r>
          </w:p>
        </w:tc>
        <w:tc>
          <w:tcPr>
            <w:tcW w:w="685" w:type="pct"/>
            <w:tcBorders>
              <w:top w:val="nil"/>
              <w:left w:val="nil"/>
              <w:bottom w:val="nil"/>
              <w:right w:val="nil"/>
            </w:tcBorders>
            <w:shd w:val="clear" w:color="auto" w:fill="auto"/>
            <w:noWrap/>
            <w:vAlign w:val="bottom"/>
            <w:hideMark/>
          </w:tcPr>
          <w:p w14:paraId="47C8CC74"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-894</w:t>
            </w:r>
          </w:p>
        </w:tc>
        <w:tc>
          <w:tcPr>
            <w:tcW w:w="289" w:type="pct"/>
            <w:tcBorders>
              <w:top w:val="nil"/>
              <w:left w:val="nil"/>
              <w:bottom w:val="nil"/>
              <w:right w:val="nil"/>
            </w:tcBorders>
            <w:shd w:val="clear" w:color="auto" w:fill="auto"/>
            <w:noWrap/>
            <w:vAlign w:val="bottom"/>
            <w:hideMark/>
          </w:tcPr>
          <w:p w14:paraId="7D586683"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-44%</w:t>
            </w:r>
          </w:p>
        </w:tc>
      </w:tr>
      <w:tr w:rsidR="001B34C7" w:rsidRPr="002E78BA" w14:paraId="22FC0512" w14:textId="77777777" w:rsidTr="009C4F06">
        <w:trPr>
          <w:trHeight w:val="300"/>
        </w:trPr>
        <w:tc>
          <w:tcPr>
            <w:tcW w:w="929" w:type="pct"/>
            <w:tcBorders>
              <w:top w:val="nil"/>
              <w:left w:val="nil"/>
              <w:bottom w:val="nil"/>
            </w:tcBorders>
            <w:shd w:val="clear" w:color="auto" w:fill="auto"/>
            <w:noWrap/>
            <w:vAlign w:val="bottom"/>
            <w:hideMark/>
          </w:tcPr>
          <w:p w14:paraId="15C72EBD" w14:textId="77777777" w:rsidR="001B34C7" w:rsidRPr="006831E7" w:rsidRDefault="001B34C7" w:rsidP="002E33D9">
            <w:pPr>
              <w:spacing w:after="0" w:line="240" w:lineRule="auto"/>
              <w:rPr>
                <w:rFonts w:eastAsia="Times New Roman" w:cs="Calibri"/>
                <w:bCs/>
                <w:color w:val="000000"/>
                <w:sz w:val="20"/>
                <w:lang w:eastAsia="sk-SK"/>
              </w:rPr>
            </w:pPr>
            <w:r w:rsidRPr="006831E7">
              <w:rPr>
                <w:rFonts w:eastAsia="Times New Roman" w:cs="Calibri"/>
                <w:bCs/>
                <w:color w:val="000000"/>
                <w:sz w:val="20"/>
                <w:lang w:eastAsia="sk-SK"/>
              </w:rPr>
              <w:t>Stredné odborné školy</w:t>
            </w:r>
          </w:p>
        </w:tc>
        <w:tc>
          <w:tcPr>
            <w:tcW w:w="419" w:type="pct"/>
            <w:tcBorders>
              <w:top w:val="nil"/>
              <w:left w:val="nil"/>
              <w:bottom w:val="nil"/>
              <w:right w:val="nil"/>
            </w:tcBorders>
            <w:shd w:val="clear" w:color="auto" w:fill="auto"/>
            <w:noWrap/>
            <w:vAlign w:val="bottom"/>
            <w:hideMark/>
          </w:tcPr>
          <w:p w14:paraId="1558D2D8"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8 123</w:t>
            </w:r>
          </w:p>
        </w:tc>
        <w:tc>
          <w:tcPr>
            <w:tcW w:w="533" w:type="pct"/>
            <w:tcBorders>
              <w:top w:val="nil"/>
              <w:left w:val="nil"/>
              <w:bottom w:val="nil"/>
              <w:right w:val="nil"/>
            </w:tcBorders>
            <w:shd w:val="clear" w:color="auto" w:fill="auto"/>
            <w:noWrap/>
            <w:vAlign w:val="bottom"/>
            <w:hideMark/>
          </w:tcPr>
          <w:p w14:paraId="0B9D5534"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2 057</w:t>
            </w:r>
          </w:p>
        </w:tc>
        <w:tc>
          <w:tcPr>
            <w:tcW w:w="584" w:type="pct"/>
            <w:tcBorders>
              <w:top w:val="nil"/>
              <w:left w:val="nil"/>
              <w:bottom w:val="nil"/>
              <w:right w:val="nil"/>
            </w:tcBorders>
            <w:shd w:val="clear" w:color="auto" w:fill="auto"/>
            <w:noWrap/>
            <w:vAlign w:val="bottom"/>
            <w:hideMark/>
          </w:tcPr>
          <w:p w14:paraId="2DDA703A"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16 705 811</w:t>
            </w:r>
          </w:p>
        </w:tc>
        <w:tc>
          <w:tcPr>
            <w:tcW w:w="470" w:type="pct"/>
            <w:tcBorders>
              <w:top w:val="nil"/>
              <w:left w:val="nil"/>
              <w:bottom w:val="nil"/>
              <w:right w:val="nil"/>
            </w:tcBorders>
            <w:shd w:val="clear" w:color="auto" w:fill="auto"/>
            <w:noWrap/>
            <w:vAlign w:val="bottom"/>
            <w:hideMark/>
          </w:tcPr>
          <w:p w14:paraId="30102DB9"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405</w:t>
            </w:r>
          </w:p>
        </w:tc>
        <w:tc>
          <w:tcPr>
            <w:tcW w:w="507" w:type="pct"/>
            <w:tcBorders>
              <w:top w:val="nil"/>
              <w:left w:val="nil"/>
              <w:bottom w:val="nil"/>
              <w:right w:val="nil"/>
            </w:tcBorders>
            <w:shd w:val="clear" w:color="auto" w:fill="auto"/>
            <w:noWrap/>
            <w:vAlign w:val="bottom"/>
            <w:hideMark/>
          </w:tcPr>
          <w:p w14:paraId="77B6E513"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1 778</w:t>
            </w:r>
          </w:p>
        </w:tc>
        <w:tc>
          <w:tcPr>
            <w:tcW w:w="584" w:type="pct"/>
            <w:tcBorders>
              <w:top w:val="nil"/>
              <w:left w:val="nil"/>
              <w:bottom w:val="nil"/>
              <w:right w:val="nil"/>
            </w:tcBorders>
            <w:shd w:val="clear" w:color="auto" w:fill="auto"/>
            <w:noWrap/>
            <w:vAlign w:val="bottom"/>
            <w:hideMark/>
          </w:tcPr>
          <w:p w14:paraId="3E7F060F"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720 254</w:t>
            </w:r>
          </w:p>
        </w:tc>
        <w:tc>
          <w:tcPr>
            <w:tcW w:w="685" w:type="pct"/>
            <w:tcBorders>
              <w:top w:val="nil"/>
              <w:left w:val="nil"/>
              <w:bottom w:val="nil"/>
              <w:right w:val="nil"/>
            </w:tcBorders>
            <w:shd w:val="clear" w:color="auto" w:fill="auto"/>
            <w:noWrap/>
            <w:vAlign w:val="bottom"/>
            <w:hideMark/>
          </w:tcPr>
          <w:p w14:paraId="2A18468A"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-279</w:t>
            </w:r>
          </w:p>
        </w:tc>
        <w:tc>
          <w:tcPr>
            <w:tcW w:w="289" w:type="pct"/>
            <w:tcBorders>
              <w:top w:val="nil"/>
              <w:left w:val="nil"/>
              <w:bottom w:val="nil"/>
              <w:right w:val="nil"/>
            </w:tcBorders>
            <w:shd w:val="clear" w:color="auto" w:fill="auto"/>
            <w:noWrap/>
            <w:vAlign w:val="bottom"/>
            <w:hideMark/>
          </w:tcPr>
          <w:p w14:paraId="0056F4DA"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-14%</w:t>
            </w:r>
          </w:p>
        </w:tc>
      </w:tr>
      <w:tr w:rsidR="001B34C7" w:rsidRPr="002E78BA" w14:paraId="22C120C4" w14:textId="77777777" w:rsidTr="009C4F06">
        <w:trPr>
          <w:trHeight w:val="300"/>
        </w:trPr>
        <w:tc>
          <w:tcPr>
            <w:tcW w:w="929" w:type="pct"/>
            <w:tcBorders>
              <w:top w:val="nil"/>
              <w:left w:val="nil"/>
            </w:tcBorders>
            <w:shd w:val="clear" w:color="auto" w:fill="auto"/>
            <w:noWrap/>
            <w:vAlign w:val="bottom"/>
            <w:hideMark/>
          </w:tcPr>
          <w:p w14:paraId="395B4E05" w14:textId="77777777" w:rsidR="001B34C7" w:rsidRPr="006831E7" w:rsidRDefault="001B34C7" w:rsidP="002E33D9">
            <w:pPr>
              <w:spacing w:after="0" w:line="240" w:lineRule="auto"/>
              <w:rPr>
                <w:rFonts w:eastAsia="Times New Roman" w:cs="Calibri"/>
                <w:bCs/>
                <w:color w:val="000000"/>
                <w:sz w:val="20"/>
                <w:lang w:eastAsia="sk-SK"/>
              </w:rPr>
            </w:pPr>
            <w:r w:rsidRPr="006831E7">
              <w:rPr>
                <w:rFonts w:eastAsia="Times New Roman" w:cs="Calibri"/>
                <w:bCs/>
                <w:color w:val="000000"/>
                <w:sz w:val="20"/>
                <w:lang w:eastAsia="sk-SK"/>
              </w:rPr>
              <w:t>Konzervatóriá/Praktické školy</w:t>
            </w:r>
          </w:p>
        </w:tc>
        <w:tc>
          <w:tcPr>
            <w:tcW w:w="419" w:type="pct"/>
            <w:tcBorders>
              <w:top w:val="nil"/>
              <w:left w:val="nil"/>
              <w:right w:val="nil"/>
            </w:tcBorders>
            <w:shd w:val="clear" w:color="auto" w:fill="auto"/>
            <w:noWrap/>
            <w:vAlign w:val="bottom"/>
            <w:hideMark/>
          </w:tcPr>
          <w:p w14:paraId="7ECCECCE"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96</w:t>
            </w:r>
          </w:p>
        </w:tc>
        <w:tc>
          <w:tcPr>
            <w:tcW w:w="533" w:type="pct"/>
            <w:tcBorders>
              <w:top w:val="nil"/>
              <w:left w:val="nil"/>
              <w:right w:val="nil"/>
            </w:tcBorders>
            <w:shd w:val="clear" w:color="auto" w:fill="auto"/>
            <w:noWrap/>
            <w:vAlign w:val="bottom"/>
            <w:hideMark/>
          </w:tcPr>
          <w:p w14:paraId="16A5969F"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4 230</w:t>
            </w:r>
          </w:p>
        </w:tc>
        <w:tc>
          <w:tcPr>
            <w:tcW w:w="584" w:type="pct"/>
            <w:tcBorders>
              <w:top w:val="nil"/>
              <w:left w:val="nil"/>
              <w:right w:val="nil"/>
            </w:tcBorders>
            <w:shd w:val="clear" w:color="auto" w:fill="auto"/>
            <w:noWrap/>
            <w:vAlign w:val="bottom"/>
            <w:hideMark/>
          </w:tcPr>
          <w:p w14:paraId="699007EF"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407 476</w:t>
            </w:r>
          </w:p>
        </w:tc>
        <w:tc>
          <w:tcPr>
            <w:tcW w:w="470" w:type="pct"/>
            <w:tcBorders>
              <w:top w:val="nil"/>
              <w:left w:val="nil"/>
              <w:right w:val="nil"/>
            </w:tcBorders>
            <w:shd w:val="clear" w:color="auto" w:fill="auto"/>
            <w:noWrap/>
            <w:vAlign w:val="bottom"/>
            <w:hideMark/>
          </w:tcPr>
          <w:p w14:paraId="558D422D"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4 704</w:t>
            </w:r>
          </w:p>
        </w:tc>
        <w:tc>
          <w:tcPr>
            <w:tcW w:w="507" w:type="pct"/>
            <w:tcBorders>
              <w:top w:val="nil"/>
              <w:left w:val="nil"/>
              <w:right w:val="nil"/>
            </w:tcBorders>
            <w:shd w:val="clear" w:color="auto" w:fill="auto"/>
            <w:noWrap/>
            <w:vAlign w:val="bottom"/>
            <w:hideMark/>
          </w:tcPr>
          <w:p w14:paraId="273096D6"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2 162</w:t>
            </w:r>
          </w:p>
        </w:tc>
        <w:tc>
          <w:tcPr>
            <w:tcW w:w="584" w:type="pct"/>
            <w:tcBorders>
              <w:top w:val="nil"/>
              <w:left w:val="nil"/>
              <w:right w:val="nil"/>
            </w:tcBorders>
            <w:shd w:val="clear" w:color="auto" w:fill="auto"/>
            <w:noWrap/>
            <w:vAlign w:val="bottom"/>
            <w:hideMark/>
          </w:tcPr>
          <w:p w14:paraId="0E174518"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10 169 871</w:t>
            </w:r>
          </w:p>
        </w:tc>
        <w:tc>
          <w:tcPr>
            <w:tcW w:w="685" w:type="pct"/>
            <w:tcBorders>
              <w:top w:val="nil"/>
              <w:left w:val="nil"/>
              <w:right w:val="nil"/>
            </w:tcBorders>
            <w:shd w:val="clear" w:color="auto" w:fill="auto"/>
            <w:noWrap/>
            <w:vAlign w:val="bottom"/>
            <w:hideMark/>
          </w:tcPr>
          <w:p w14:paraId="2DC269C9"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105</w:t>
            </w:r>
          </w:p>
        </w:tc>
        <w:tc>
          <w:tcPr>
            <w:tcW w:w="289" w:type="pct"/>
            <w:tcBorders>
              <w:top w:val="nil"/>
              <w:left w:val="nil"/>
              <w:right w:val="nil"/>
            </w:tcBorders>
            <w:shd w:val="clear" w:color="auto" w:fill="auto"/>
            <w:noWrap/>
            <w:vAlign w:val="bottom"/>
            <w:hideMark/>
          </w:tcPr>
          <w:p w14:paraId="1661031D"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2%</w:t>
            </w:r>
          </w:p>
        </w:tc>
      </w:tr>
      <w:tr w:rsidR="001B34C7" w:rsidRPr="002E78BA" w14:paraId="45C1FED4" w14:textId="77777777" w:rsidTr="009C4F06">
        <w:trPr>
          <w:trHeight w:val="300"/>
        </w:trPr>
        <w:tc>
          <w:tcPr>
            <w:tcW w:w="929" w:type="pct"/>
            <w:tcBorders>
              <w:left w:val="nil"/>
              <w:bottom w:val="single" w:sz="4" w:space="0" w:color="auto"/>
            </w:tcBorders>
            <w:shd w:val="clear" w:color="auto" w:fill="auto"/>
            <w:noWrap/>
            <w:vAlign w:val="bottom"/>
            <w:hideMark/>
          </w:tcPr>
          <w:p w14:paraId="6612BFA4" w14:textId="77777777" w:rsidR="001B34C7" w:rsidRPr="002E78BA" w:rsidRDefault="001B34C7" w:rsidP="002E33D9">
            <w:pPr>
              <w:spacing w:after="0" w:line="240" w:lineRule="auto"/>
              <w:rPr>
                <w:rFonts w:eastAsia="Times New Roman" w:cs="Calibri"/>
                <w:b/>
                <w:bCs/>
                <w:color w:val="000000"/>
                <w:sz w:val="20"/>
                <w:lang w:eastAsia="sk-SK"/>
              </w:rPr>
            </w:pPr>
            <w:r w:rsidRPr="002E78BA">
              <w:rPr>
                <w:rFonts w:eastAsia="Times New Roman" w:cs="Calibri"/>
                <w:b/>
                <w:bCs/>
                <w:color w:val="000000"/>
                <w:sz w:val="20"/>
                <w:lang w:eastAsia="sk-SK"/>
              </w:rPr>
              <w:t>SPOLU</w:t>
            </w:r>
          </w:p>
        </w:tc>
        <w:tc>
          <w:tcPr>
            <w:tcW w:w="419" w:type="pct"/>
            <w:tcBorders>
              <w:left w:val="nil"/>
              <w:bottom w:val="single" w:sz="4" w:space="0" w:color="auto"/>
              <w:right w:val="nil"/>
            </w:tcBorders>
            <w:shd w:val="clear" w:color="auto" w:fill="auto"/>
            <w:noWrap/>
            <w:vAlign w:val="bottom"/>
            <w:hideMark/>
          </w:tcPr>
          <w:p w14:paraId="784ED882" w14:textId="77777777" w:rsidR="001B34C7" w:rsidRPr="002E78BA" w:rsidRDefault="001B34C7" w:rsidP="002E33D9">
            <w:pPr>
              <w:spacing w:after="0" w:line="240" w:lineRule="auto"/>
              <w:jc w:val="center"/>
              <w:rPr>
                <w:rFonts w:eastAsia="Times New Roman" w:cs="Calibri"/>
                <w:b/>
                <w:bCs/>
                <w:color w:val="000000"/>
                <w:sz w:val="20"/>
                <w:lang w:eastAsia="sk-SK"/>
              </w:rPr>
            </w:pPr>
            <w:r w:rsidRPr="002E78BA">
              <w:rPr>
                <w:rFonts w:eastAsia="Times New Roman" w:cs="Calibri"/>
                <w:b/>
                <w:bCs/>
                <w:color w:val="000000"/>
                <w:sz w:val="20"/>
                <w:lang w:eastAsia="sk-SK"/>
              </w:rPr>
              <w:t>8 689</w:t>
            </w:r>
          </w:p>
        </w:tc>
        <w:tc>
          <w:tcPr>
            <w:tcW w:w="533" w:type="pct"/>
            <w:tcBorders>
              <w:left w:val="nil"/>
              <w:bottom w:val="single" w:sz="4" w:space="0" w:color="auto"/>
              <w:right w:val="nil"/>
            </w:tcBorders>
            <w:shd w:val="clear" w:color="auto" w:fill="auto"/>
            <w:noWrap/>
            <w:vAlign w:val="bottom"/>
            <w:hideMark/>
          </w:tcPr>
          <w:p w14:paraId="03D4DC94" w14:textId="77777777" w:rsidR="001B34C7" w:rsidRPr="002E78BA" w:rsidRDefault="001B34C7" w:rsidP="002E33D9">
            <w:pPr>
              <w:spacing w:after="0" w:line="240" w:lineRule="auto"/>
              <w:jc w:val="center"/>
              <w:rPr>
                <w:rFonts w:eastAsia="Times New Roman" w:cs="Calibri"/>
                <w:b/>
                <w:bCs/>
                <w:color w:val="000000"/>
                <w:sz w:val="20"/>
                <w:lang w:eastAsia="sk-SK"/>
              </w:rPr>
            </w:pPr>
            <w:r w:rsidRPr="002E78BA">
              <w:rPr>
                <w:rFonts w:eastAsia="Times New Roman" w:cs="Calibri"/>
                <w:b/>
                <w:bCs/>
                <w:color w:val="000000"/>
                <w:sz w:val="20"/>
                <w:lang w:eastAsia="sk-SK"/>
              </w:rPr>
              <w:t>2 078</w:t>
            </w:r>
          </w:p>
        </w:tc>
        <w:tc>
          <w:tcPr>
            <w:tcW w:w="584" w:type="pct"/>
            <w:tcBorders>
              <w:left w:val="nil"/>
              <w:bottom w:val="single" w:sz="4" w:space="0" w:color="auto"/>
              <w:right w:val="nil"/>
            </w:tcBorders>
            <w:shd w:val="clear" w:color="auto" w:fill="auto"/>
            <w:noWrap/>
            <w:vAlign w:val="bottom"/>
            <w:hideMark/>
          </w:tcPr>
          <w:p w14:paraId="181EDC3B" w14:textId="77777777" w:rsidR="001B34C7" w:rsidRPr="002E78BA" w:rsidRDefault="001B34C7" w:rsidP="002E33D9">
            <w:pPr>
              <w:spacing w:after="0" w:line="240" w:lineRule="auto"/>
              <w:jc w:val="center"/>
              <w:rPr>
                <w:rFonts w:eastAsia="Times New Roman" w:cs="Calibri"/>
                <w:b/>
                <w:bCs/>
                <w:color w:val="000000"/>
                <w:sz w:val="20"/>
                <w:lang w:eastAsia="sk-SK"/>
              </w:rPr>
            </w:pPr>
            <w:r w:rsidRPr="002E78BA">
              <w:rPr>
                <w:rFonts w:eastAsia="Times New Roman" w:cs="Calibri"/>
                <w:b/>
                <w:bCs/>
                <w:color w:val="000000"/>
                <w:sz w:val="20"/>
                <w:lang w:eastAsia="sk-SK"/>
              </w:rPr>
              <w:t>18 058 845</w:t>
            </w:r>
          </w:p>
        </w:tc>
        <w:tc>
          <w:tcPr>
            <w:tcW w:w="470" w:type="pct"/>
            <w:tcBorders>
              <w:left w:val="nil"/>
              <w:bottom w:val="single" w:sz="4" w:space="0" w:color="auto"/>
              <w:right w:val="nil"/>
            </w:tcBorders>
            <w:shd w:val="clear" w:color="auto" w:fill="auto"/>
            <w:noWrap/>
            <w:vAlign w:val="bottom"/>
            <w:hideMark/>
          </w:tcPr>
          <w:p w14:paraId="72F37B54" w14:textId="77777777" w:rsidR="001B34C7" w:rsidRPr="002E78BA" w:rsidRDefault="001B34C7" w:rsidP="002E33D9">
            <w:pPr>
              <w:spacing w:after="0" w:line="240" w:lineRule="auto"/>
              <w:jc w:val="center"/>
              <w:rPr>
                <w:rFonts w:eastAsia="Times New Roman" w:cs="Calibri"/>
                <w:b/>
                <w:bCs/>
                <w:color w:val="000000"/>
                <w:sz w:val="20"/>
                <w:lang w:eastAsia="sk-SK"/>
              </w:rPr>
            </w:pPr>
            <w:r w:rsidRPr="002E78BA">
              <w:rPr>
                <w:rFonts w:eastAsia="Times New Roman" w:cs="Calibri"/>
                <w:b/>
                <w:bCs/>
                <w:color w:val="000000"/>
                <w:sz w:val="20"/>
                <w:lang w:eastAsia="sk-SK"/>
              </w:rPr>
              <w:t>5 683</w:t>
            </w:r>
          </w:p>
        </w:tc>
        <w:tc>
          <w:tcPr>
            <w:tcW w:w="507" w:type="pct"/>
            <w:tcBorders>
              <w:left w:val="nil"/>
              <w:bottom w:val="single" w:sz="4" w:space="0" w:color="auto"/>
              <w:right w:val="nil"/>
            </w:tcBorders>
            <w:shd w:val="clear" w:color="auto" w:fill="auto"/>
            <w:noWrap/>
            <w:vAlign w:val="bottom"/>
            <w:hideMark/>
          </w:tcPr>
          <w:p w14:paraId="01CF32B1" w14:textId="77777777" w:rsidR="001B34C7" w:rsidRPr="002E78BA" w:rsidRDefault="001B34C7" w:rsidP="002E33D9">
            <w:pPr>
              <w:spacing w:after="0" w:line="240" w:lineRule="auto"/>
              <w:jc w:val="center"/>
              <w:rPr>
                <w:rFonts w:eastAsia="Times New Roman" w:cs="Calibri"/>
                <w:b/>
                <w:bCs/>
                <w:color w:val="000000"/>
                <w:sz w:val="20"/>
                <w:lang w:eastAsia="sk-SK"/>
              </w:rPr>
            </w:pPr>
            <w:r w:rsidRPr="002E78BA">
              <w:rPr>
                <w:rFonts w:eastAsia="Times New Roman" w:cs="Calibri"/>
                <w:b/>
                <w:bCs/>
                <w:color w:val="000000"/>
                <w:sz w:val="20"/>
                <w:lang w:eastAsia="sk-SK"/>
              </w:rPr>
              <w:t>2 029</w:t>
            </w:r>
          </w:p>
        </w:tc>
        <w:tc>
          <w:tcPr>
            <w:tcW w:w="584" w:type="pct"/>
            <w:tcBorders>
              <w:left w:val="nil"/>
              <w:bottom w:val="single" w:sz="4" w:space="0" w:color="auto"/>
              <w:right w:val="nil"/>
            </w:tcBorders>
            <w:shd w:val="clear" w:color="auto" w:fill="auto"/>
            <w:noWrap/>
            <w:vAlign w:val="bottom"/>
            <w:hideMark/>
          </w:tcPr>
          <w:p w14:paraId="04D85671" w14:textId="77777777" w:rsidR="001B34C7" w:rsidRPr="002E78BA" w:rsidRDefault="001B34C7" w:rsidP="002E33D9">
            <w:pPr>
              <w:spacing w:after="0" w:line="240" w:lineRule="auto"/>
              <w:jc w:val="center"/>
              <w:rPr>
                <w:rFonts w:eastAsia="Times New Roman" w:cs="Calibri"/>
                <w:b/>
                <w:bCs/>
                <w:color w:val="000000"/>
                <w:sz w:val="20"/>
                <w:lang w:eastAsia="sk-SK"/>
              </w:rPr>
            </w:pPr>
            <w:r w:rsidRPr="002E78BA">
              <w:rPr>
                <w:rFonts w:eastAsia="Times New Roman" w:cs="Calibri"/>
                <w:b/>
                <w:bCs/>
                <w:color w:val="000000"/>
                <w:sz w:val="20"/>
                <w:lang w:eastAsia="sk-SK"/>
              </w:rPr>
              <w:t>11 530 702</w:t>
            </w:r>
          </w:p>
        </w:tc>
        <w:tc>
          <w:tcPr>
            <w:tcW w:w="685" w:type="pct"/>
            <w:tcBorders>
              <w:left w:val="nil"/>
              <w:bottom w:val="single" w:sz="4" w:space="0" w:color="auto"/>
              <w:right w:val="nil"/>
            </w:tcBorders>
            <w:shd w:val="clear" w:color="auto" w:fill="auto"/>
            <w:noWrap/>
            <w:vAlign w:val="bottom"/>
            <w:hideMark/>
          </w:tcPr>
          <w:p w14:paraId="7A78F1FC" w14:textId="77777777" w:rsidR="001B34C7" w:rsidRPr="002E78BA" w:rsidRDefault="001B34C7" w:rsidP="002E33D9">
            <w:pPr>
              <w:spacing w:after="0" w:line="240" w:lineRule="auto"/>
              <w:jc w:val="center"/>
              <w:rPr>
                <w:rFonts w:eastAsia="Times New Roman" w:cs="Calibri"/>
                <w:b/>
                <w:bCs/>
                <w:color w:val="000000"/>
                <w:sz w:val="20"/>
                <w:lang w:eastAsia="sk-SK"/>
              </w:rPr>
            </w:pPr>
          </w:p>
        </w:tc>
        <w:tc>
          <w:tcPr>
            <w:tcW w:w="289" w:type="pct"/>
            <w:tcBorders>
              <w:left w:val="nil"/>
              <w:bottom w:val="single" w:sz="4" w:space="0" w:color="auto"/>
              <w:right w:val="nil"/>
            </w:tcBorders>
            <w:shd w:val="clear" w:color="auto" w:fill="auto"/>
            <w:noWrap/>
            <w:vAlign w:val="bottom"/>
            <w:hideMark/>
          </w:tcPr>
          <w:p w14:paraId="0CE84594" w14:textId="77777777" w:rsidR="001B34C7" w:rsidRPr="002E78BA" w:rsidRDefault="001B34C7" w:rsidP="002E33D9">
            <w:pPr>
              <w:spacing w:after="0" w:line="240" w:lineRule="auto"/>
              <w:jc w:val="center"/>
              <w:rPr>
                <w:rFonts w:ascii="Times New Roman" w:eastAsia="Times New Roman" w:hAnsi="Times New Roman" w:cs="Times New Roman"/>
                <w:sz w:val="20"/>
                <w:lang w:eastAsia="sk-SK"/>
              </w:rPr>
            </w:pPr>
          </w:p>
        </w:tc>
      </w:tr>
      <w:tr w:rsidR="001B34C7" w:rsidRPr="002E78BA" w14:paraId="1B6B0330" w14:textId="77777777" w:rsidTr="009C4F06">
        <w:trPr>
          <w:trHeight w:val="300"/>
        </w:trPr>
        <w:tc>
          <w:tcPr>
            <w:tcW w:w="5000" w:type="pct"/>
            <w:gridSpan w:val="9"/>
            <w:tcBorders>
              <w:top w:val="single" w:sz="4" w:space="0" w:color="auto"/>
              <w:left w:val="nil"/>
              <w:bottom w:val="nil"/>
              <w:right w:val="nil"/>
            </w:tcBorders>
            <w:shd w:val="clear" w:color="auto" w:fill="auto"/>
            <w:noWrap/>
            <w:vAlign w:val="center"/>
            <w:hideMark/>
          </w:tcPr>
          <w:p w14:paraId="3E59F078" w14:textId="77777777" w:rsidR="001B34C7" w:rsidRPr="002E78BA" w:rsidRDefault="001B34C7" w:rsidP="002E33D9">
            <w:pPr>
              <w:spacing w:after="0" w:line="240" w:lineRule="auto"/>
              <w:jc w:val="right"/>
              <w:rPr>
                <w:rFonts w:ascii="Times New Roman" w:eastAsia="Times New Roman" w:hAnsi="Times New Roman" w:cs="Times New Roman"/>
                <w:sz w:val="20"/>
                <w:lang w:eastAsia="sk-SK"/>
              </w:rPr>
            </w:pPr>
            <w:r w:rsidRPr="002E78BA">
              <w:rPr>
                <w:rFonts w:eastAsia="Times New Roman" w:cs="Calibri"/>
                <w:i/>
                <w:iCs/>
                <w:color w:val="000000"/>
                <w:sz w:val="18"/>
                <w:szCs w:val="18"/>
                <w:lang w:eastAsia="sk-SK"/>
              </w:rPr>
              <w:t>Zdroj: Vlastné prepočty IVP na základe dát Eduzber (2017, 2018).</w:t>
            </w:r>
          </w:p>
        </w:tc>
      </w:tr>
    </w:tbl>
    <w:p w14:paraId="736608DF" w14:textId="77777777" w:rsidR="001B34C7" w:rsidRDefault="001B34C7" w:rsidP="001B34C7">
      <w:pPr>
        <w:rPr>
          <w:b/>
          <w:sz w:val="20"/>
        </w:rPr>
      </w:pPr>
      <w:r>
        <w:rPr>
          <w:b/>
          <w:sz w:val="20"/>
        </w:rPr>
        <w:br w:type="page"/>
      </w:r>
    </w:p>
    <w:p w14:paraId="2C6F5B4F" w14:textId="77777777" w:rsidR="001B34C7" w:rsidRDefault="001B34C7" w:rsidP="001B34C7">
      <w:pPr>
        <w:rPr>
          <w:b/>
          <w:color w:val="2E74B5" w:themeColor="accent1" w:themeShade="BF"/>
        </w:rPr>
        <w:sectPr w:rsidR="001B34C7" w:rsidSect="00A335E5">
          <w:pgSz w:w="16838" w:h="11906" w:orient="landscape" w:code="9"/>
          <w:pgMar w:top="1440" w:right="1440" w:bottom="1378" w:left="1440" w:header="720" w:footer="646" w:gutter="0"/>
          <w:cols w:space="708"/>
          <w:docGrid w:linePitch="360"/>
        </w:sectPr>
      </w:pPr>
    </w:p>
    <w:p w14:paraId="470EA8C3" w14:textId="77777777" w:rsidR="001B34C7" w:rsidRPr="005C3DA5" w:rsidRDefault="001B34C7" w:rsidP="001B34C7">
      <w:pPr>
        <w:rPr>
          <w:b/>
          <w:color w:val="2E74B5" w:themeColor="accent1" w:themeShade="BF"/>
        </w:rPr>
      </w:pPr>
      <w:bookmarkStart w:id="1941" w:name="_Ref25844896"/>
      <w:r w:rsidRPr="005C3DA5">
        <w:rPr>
          <w:b/>
          <w:color w:val="2E74B5" w:themeColor="accent1" w:themeShade="BF"/>
        </w:rPr>
        <w:t xml:space="preserve">Príloha </w:t>
      </w:r>
      <w:r w:rsidRPr="005C3DA5">
        <w:rPr>
          <w:b/>
          <w:i/>
          <w:color w:val="2E74B5" w:themeColor="accent1" w:themeShade="BF"/>
        </w:rPr>
        <w:fldChar w:fldCharType="begin"/>
      </w:r>
      <w:r w:rsidRPr="005C3DA5">
        <w:rPr>
          <w:b/>
          <w:color w:val="2E74B5" w:themeColor="accent1" w:themeShade="BF"/>
        </w:rPr>
        <w:instrText xml:space="preserve"> SEQ Príloha \* ARABIC </w:instrText>
      </w:r>
      <w:r w:rsidRPr="005C3DA5">
        <w:rPr>
          <w:b/>
          <w:i/>
          <w:color w:val="2E74B5" w:themeColor="accent1" w:themeShade="BF"/>
        </w:rPr>
        <w:fldChar w:fldCharType="separate"/>
      </w:r>
      <w:r w:rsidR="00FA29AF">
        <w:rPr>
          <w:b/>
          <w:noProof/>
          <w:color w:val="2E74B5" w:themeColor="accent1" w:themeShade="BF"/>
        </w:rPr>
        <w:t>34</w:t>
      </w:r>
      <w:r w:rsidRPr="005C3DA5">
        <w:rPr>
          <w:b/>
          <w:i/>
          <w:color w:val="2E74B5" w:themeColor="accent1" w:themeShade="BF"/>
        </w:rPr>
        <w:fldChar w:fldCharType="end"/>
      </w:r>
      <w:bookmarkEnd w:id="1941"/>
      <w:r w:rsidRPr="005C3DA5">
        <w:rPr>
          <w:b/>
          <w:color w:val="2E74B5" w:themeColor="accent1" w:themeShade="BF"/>
        </w:rPr>
        <w:t>: Študenti so zdravotným znevýhodnením na verejných vysokých školách, 2018</w:t>
      </w:r>
    </w:p>
    <w:p w14:paraId="1C0C661C" w14:textId="044E641F" w:rsidR="004E7C0A" w:rsidRPr="000A3C71" w:rsidRDefault="004E7C0A" w:rsidP="00A77253">
      <w:pPr>
        <w:pStyle w:val="Popis"/>
        <w:keepNext/>
        <w:spacing w:after="0"/>
        <w:rPr>
          <w:b/>
          <w:i w:val="0"/>
          <w:color w:val="auto"/>
          <w:sz w:val="20"/>
        </w:rPr>
      </w:pPr>
      <w:r w:rsidRPr="000A3C71">
        <w:rPr>
          <w:b/>
          <w:i w:val="0"/>
          <w:color w:val="auto"/>
          <w:sz w:val="20"/>
        </w:rPr>
        <w:t xml:space="preserve">Tabuľka P </w:t>
      </w:r>
      <w:r w:rsidRPr="000A3C71">
        <w:rPr>
          <w:b/>
          <w:i w:val="0"/>
          <w:color w:val="auto"/>
          <w:sz w:val="20"/>
        </w:rPr>
        <w:fldChar w:fldCharType="begin"/>
      </w:r>
      <w:r w:rsidRPr="000A3C71">
        <w:rPr>
          <w:b/>
          <w:i w:val="0"/>
          <w:color w:val="auto"/>
          <w:sz w:val="20"/>
        </w:rPr>
        <w:instrText xml:space="preserve"> SEQ Tabuľka_P \* ARABIC </w:instrText>
      </w:r>
      <w:r w:rsidRPr="000A3C71">
        <w:rPr>
          <w:b/>
          <w:i w:val="0"/>
          <w:color w:val="auto"/>
          <w:sz w:val="20"/>
        </w:rPr>
        <w:fldChar w:fldCharType="separate"/>
      </w:r>
      <w:r w:rsidR="00FA29AF">
        <w:rPr>
          <w:b/>
          <w:i w:val="0"/>
          <w:noProof/>
          <w:color w:val="auto"/>
          <w:sz w:val="20"/>
        </w:rPr>
        <w:t>28</w:t>
      </w:r>
      <w:r w:rsidRPr="000A3C71">
        <w:rPr>
          <w:b/>
          <w:i w:val="0"/>
          <w:color w:val="auto"/>
          <w:sz w:val="20"/>
        </w:rPr>
        <w:fldChar w:fldCharType="end"/>
      </w:r>
      <w:r w:rsidR="000A3C71" w:rsidRPr="000A3C71">
        <w:rPr>
          <w:b/>
          <w:i w:val="0"/>
          <w:color w:val="auto"/>
          <w:sz w:val="20"/>
        </w:rPr>
        <w:t>: Študenti so zdravotným znevýhodnením na verejných vysokých školách, 2018</w:t>
      </w:r>
    </w:p>
    <w:tbl>
      <w:tblPr>
        <w:tblW w:w="5000" w:type="pct"/>
        <w:jc w:val="center"/>
        <w:tblLayout w:type="fixed"/>
        <w:tblCellMar>
          <w:left w:w="70" w:type="dxa"/>
          <w:right w:w="70" w:type="dxa"/>
        </w:tblCellMar>
        <w:tblLook w:val="04A0" w:firstRow="1" w:lastRow="0" w:firstColumn="1" w:lastColumn="0" w:noHBand="0" w:noVBand="1"/>
      </w:tblPr>
      <w:tblGrid>
        <w:gridCol w:w="6720"/>
        <w:gridCol w:w="1390"/>
        <w:gridCol w:w="583"/>
        <w:gridCol w:w="2602"/>
        <w:gridCol w:w="2663"/>
      </w:tblGrid>
      <w:tr w:rsidR="001B34C7" w:rsidRPr="00922C7B" w14:paraId="3B092C35" w14:textId="77777777" w:rsidTr="009C4F06">
        <w:trPr>
          <w:trHeight w:val="300"/>
          <w:jc w:val="center"/>
        </w:trPr>
        <w:tc>
          <w:tcPr>
            <w:tcW w:w="2407" w:type="pct"/>
            <w:tcBorders>
              <w:top w:val="nil"/>
              <w:left w:val="nil"/>
              <w:bottom w:val="single" w:sz="4" w:space="0" w:color="auto"/>
            </w:tcBorders>
            <w:shd w:val="clear" w:color="auto" w:fill="auto"/>
            <w:noWrap/>
            <w:vAlign w:val="bottom"/>
            <w:hideMark/>
          </w:tcPr>
          <w:p w14:paraId="186D0A1F" w14:textId="77777777" w:rsidR="001B34C7" w:rsidRPr="00922C7B" w:rsidRDefault="001B34C7" w:rsidP="002E33D9">
            <w:pPr>
              <w:spacing w:after="0" w:line="240" w:lineRule="auto"/>
              <w:rPr>
                <w:rFonts w:eastAsia="Times New Roman" w:cs="Calibri"/>
                <w:color w:val="000000"/>
                <w:sz w:val="20"/>
                <w:lang w:eastAsia="sk-SK"/>
              </w:rPr>
            </w:pPr>
            <w:r w:rsidRPr="00922C7B">
              <w:rPr>
                <w:rFonts w:eastAsia="Times New Roman" w:cs="Calibri"/>
                <w:color w:val="000000"/>
                <w:sz w:val="20"/>
                <w:lang w:eastAsia="sk-SK"/>
              </w:rPr>
              <w:t> </w:t>
            </w:r>
          </w:p>
        </w:tc>
        <w:tc>
          <w:tcPr>
            <w:tcW w:w="707" w:type="pct"/>
            <w:gridSpan w:val="2"/>
            <w:tcBorders>
              <w:top w:val="nil"/>
              <w:left w:val="nil"/>
              <w:bottom w:val="single" w:sz="4" w:space="0" w:color="auto"/>
              <w:right w:val="nil"/>
            </w:tcBorders>
            <w:shd w:val="clear" w:color="auto" w:fill="auto"/>
            <w:noWrap/>
            <w:vAlign w:val="bottom"/>
            <w:hideMark/>
          </w:tcPr>
          <w:p w14:paraId="2A2A1377" w14:textId="77777777" w:rsidR="001B34C7" w:rsidRPr="00922C7B" w:rsidRDefault="001B34C7" w:rsidP="002E33D9">
            <w:pPr>
              <w:spacing w:after="0" w:line="240" w:lineRule="auto"/>
              <w:jc w:val="center"/>
              <w:rPr>
                <w:rFonts w:eastAsia="Times New Roman" w:cs="Calibri"/>
                <w:b/>
                <w:bCs/>
                <w:color w:val="000000"/>
                <w:sz w:val="20"/>
                <w:lang w:eastAsia="sk-SK"/>
              </w:rPr>
            </w:pPr>
            <w:r w:rsidRPr="00922C7B">
              <w:rPr>
                <w:rFonts w:eastAsia="Times New Roman" w:cs="Calibri"/>
                <w:b/>
                <w:bCs/>
                <w:color w:val="000000"/>
                <w:sz w:val="20"/>
                <w:lang w:eastAsia="sk-SK"/>
              </w:rPr>
              <w:t>Počet študentov</w:t>
            </w:r>
          </w:p>
        </w:tc>
        <w:tc>
          <w:tcPr>
            <w:tcW w:w="932" w:type="pct"/>
            <w:tcBorders>
              <w:top w:val="nil"/>
              <w:left w:val="nil"/>
              <w:bottom w:val="single" w:sz="4" w:space="0" w:color="auto"/>
              <w:right w:val="nil"/>
            </w:tcBorders>
            <w:shd w:val="clear" w:color="auto" w:fill="auto"/>
            <w:noWrap/>
            <w:vAlign w:val="bottom"/>
            <w:hideMark/>
          </w:tcPr>
          <w:p w14:paraId="2B398BA8" w14:textId="77777777" w:rsidR="001B34C7" w:rsidRPr="00922C7B" w:rsidRDefault="001B34C7" w:rsidP="002E33D9">
            <w:pPr>
              <w:spacing w:after="0" w:line="240" w:lineRule="auto"/>
              <w:jc w:val="center"/>
              <w:rPr>
                <w:rFonts w:eastAsia="Times New Roman" w:cs="Calibri"/>
                <w:b/>
                <w:bCs/>
                <w:color w:val="000000"/>
                <w:sz w:val="20"/>
                <w:lang w:eastAsia="sk-SK"/>
              </w:rPr>
            </w:pPr>
            <w:r w:rsidRPr="00922C7B">
              <w:rPr>
                <w:rFonts w:eastAsia="Times New Roman" w:cs="Calibri"/>
                <w:b/>
                <w:bCs/>
                <w:color w:val="000000"/>
                <w:sz w:val="20"/>
                <w:lang w:eastAsia="sk-SK"/>
              </w:rPr>
              <w:t>Počet študentov so ZZ</w:t>
            </w:r>
          </w:p>
        </w:tc>
        <w:tc>
          <w:tcPr>
            <w:tcW w:w="954" w:type="pct"/>
            <w:tcBorders>
              <w:top w:val="nil"/>
              <w:left w:val="nil"/>
              <w:bottom w:val="single" w:sz="4" w:space="0" w:color="auto"/>
              <w:right w:val="nil"/>
            </w:tcBorders>
            <w:shd w:val="clear" w:color="auto" w:fill="auto"/>
            <w:noWrap/>
            <w:vAlign w:val="bottom"/>
            <w:hideMark/>
          </w:tcPr>
          <w:p w14:paraId="59AF7430" w14:textId="77777777" w:rsidR="001B34C7" w:rsidRPr="00922C7B" w:rsidRDefault="001B34C7" w:rsidP="002E33D9">
            <w:pPr>
              <w:spacing w:after="0" w:line="240" w:lineRule="auto"/>
              <w:jc w:val="center"/>
              <w:rPr>
                <w:rFonts w:eastAsia="Times New Roman" w:cs="Calibri"/>
                <w:b/>
                <w:bCs/>
                <w:color w:val="000000"/>
                <w:sz w:val="20"/>
                <w:lang w:eastAsia="sk-SK"/>
              </w:rPr>
            </w:pPr>
            <w:r w:rsidRPr="00922C7B">
              <w:rPr>
                <w:rFonts w:eastAsia="Times New Roman" w:cs="Calibri"/>
                <w:b/>
                <w:bCs/>
                <w:color w:val="000000"/>
                <w:sz w:val="20"/>
                <w:lang w:eastAsia="sk-SK"/>
              </w:rPr>
              <w:t>Podiel študentov so ZZ</w:t>
            </w:r>
          </w:p>
        </w:tc>
      </w:tr>
      <w:tr w:rsidR="001B34C7" w:rsidRPr="00922C7B" w14:paraId="54790684" w14:textId="77777777" w:rsidTr="009C4F06">
        <w:trPr>
          <w:trHeight w:val="300"/>
          <w:jc w:val="center"/>
        </w:trPr>
        <w:tc>
          <w:tcPr>
            <w:tcW w:w="2407" w:type="pct"/>
            <w:tcBorders>
              <w:top w:val="nil"/>
              <w:left w:val="nil"/>
              <w:bottom w:val="nil"/>
            </w:tcBorders>
            <w:shd w:val="clear" w:color="auto" w:fill="auto"/>
            <w:noWrap/>
            <w:vAlign w:val="bottom"/>
            <w:hideMark/>
          </w:tcPr>
          <w:p w14:paraId="69F1ADC4" w14:textId="77777777" w:rsidR="001B34C7" w:rsidRPr="00B94989" w:rsidRDefault="001B34C7" w:rsidP="002E33D9">
            <w:pPr>
              <w:spacing w:after="0" w:line="240" w:lineRule="auto"/>
              <w:rPr>
                <w:rFonts w:eastAsia="Times New Roman" w:cs="Calibri"/>
                <w:bCs/>
                <w:color w:val="000000"/>
                <w:sz w:val="20"/>
                <w:lang w:eastAsia="sk-SK"/>
              </w:rPr>
            </w:pPr>
            <w:r w:rsidRPr="00B94989">
              <w:rPr>
                <w:rFonts w:eastAsia="Times New Roman" w:cs="Calibri"/>
                <w:bCs/>
                <w:color w:val="000000"/>
                <w:sz w:val="20"/>
                <w:lang w:eastAsia="sk-SK"/>
              </w:rPr>
              <w:t>Katolícka univerzita v Ružomberku</w:t>
            </w:r>
          </w:p>
        </w:tc>
        <w:tc>
          <w:tcPr>
            <w:tcW w:w="707" w:type="pct"/>
            <w:gridSpan w:val="2"/>
            <w:tcBorders>
              <w:top w:val="nil"/>
              <w:left w:val="nil"/>
              <w:bottom w:val="nil"/>
              <w:right w:val="nil"/>
            </w:tcBorders>
            <w:shd w:val="clear" w:color="auto" w:fill="auto"/>
            <w:noWrap/>
            <w:vAlign w:val="bottom"/>
            <w:hideMark/>
          </w:tcPr>
          <w:p w14:paraId="77A4211A"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3 424</w:t>
            </w:r>
          </w:p>
        </w:tc>
        <w:tc>
          <w:tcPr>
            <w:tcW w:w="932" w:type="pct"/>
            <w:tcBorders>
              <w:top w:val="nil"/>
              <w:left w:val="nil"/>
              <w:bottom w:val="nil"/>
              <w:right w:val="nil"/>
            </w:tcBorders>
            <w:shd w:val="clear" w:color="auto" w:fill="auto"/>
            <w:noWrap/>
            <w:vAlign w:val="bottom"/>
            <w:hideMark/>
          </w:tcPr>
          <w:p w14:paraId="6E96C7AC"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102</w:t>
            </w:r>
          </w:p>
        </w:tc>
        <w:tc>
          <w:tcPr>
            <w:tcW w:w="954" w:type="pct"/>
            <w:tcBorders>
              <w:top w:val="nil"/>
              <w:left w:val="nil"/>
              <w:bottom w:val="nil"/>
              <w:right w:val="nil"/>
            </w:tcBorders>
            <w:shd w:val="clear" w:color="auto" w:fill="auto"/>
            <w:noWrap/>
            <w:vAlign w:val="bottom"/>
            <w:hideMark/>
          </w:tcPr>
          <w:p w14:paraId="2976FA9C"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3,0%</w:t>
            </w:r>
          </w:p>
        </w:tc>
      </w:tr>
      <w:tr w:rsidR="001B34C7" w:rsidRPr="00922C7B" w14:paraId="1AB1D5D8" w14:textId="77777777" w:rsidTr="009C4F06">
        <w:trPr>
          <w:trHeight w:val="300"/>
          <w:jc w:val="center"/>
        </w:trPr>
        <w:tc>
          <w:tcPr>
            <w:tcW w:w="2407" w:type="pct"/>
            <w:tcBorders>
              <w:top w:val="nil"/>
              <w:left w:val="nil"/>
              <w:bottom w:val="nil"/>
            </w:tcBorders>
            <w:shd w:val="clear" w:color="auto" w:fill="auto"/>
            <w:noWrap/>
            <w:vAlign w:val="bottom"/>
            <w:hideMark/>
          </w:tcPr>
          <w:p w14:paraId="41FBD99C" w14:textId="77777777" w:rsidR="001B34C7" w:rsidRPr="00B94989" w:rsidRDefault="001B34C7" w:rsidP="002E33D9">
            <w:pPr>
              <w:spacing w:after="0" w:line="240" w:lineRule="auto"/>
              <w:rPr>
                <w:rFonts w:eastAsia="Times New Roman" w:cs="Calibri"/>
                <w:bCs/>
                <w:color w:val="000000"/>
                <w:sz w:val="20"/>
                <w:lang w:eastAsia="sk-SK"/>
              </w:rPr>
            </w:pPr>
            <w:r w:rsidRPr="00B94989">
              <w:rPr>
                <w:rFonts w:eastAsia="Times New Roman" w:cs="Calibri"/>
                <w:bCs/>
                <w:color w:val="000000"/>
                <w:sz w:val="20"/>
                <w:lang w:eastAsia="sk-SK"/>
              </w:rPr>
              <w:t>Trenčianska univerzita Alexandra Dubčeka v Trenčíne</w:t>
            </w:r>
          </w:p>
        </w:tc>
        <w:tc>
          <w:tcPr>
            <w:tcW w:w="707" w:type="pct"/>
            <w:gridSpan w:val="2"/>
            <w:tcBorders>
              <w:top w:val="nil"/>
              <w:left w:val="nil"/>
              <w:bottom w:val="nil"/>
              <w:right w:val="nil"/>
            </w:tcBorders>
            <w:shd w:val="clear" w:color="auto" w:fill="auto"/>
            <w:noWrap/>
            <w:vAlign w:val="bottom"/>
            <w:hideMark/>
          </w:tcPr>
          <w:p w14:paraId="75D7FF79"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1 952</w:t>
            </w:r>
          </w:p>
        </w:tc>
        <w:tc>
          <w:tcPr>
            <w:tcW w:w="932" w:type="pct"/>
            <w:tcBorders>
              <w:top w:val="nil"/>
              <w:left w:val="nil"/>
              <w:bottom w:val="nil"/>
              <w:right w:val="nil"/>
            </w:tcBorders>
            <w:shd w:val="clear" w:color="auto" w:fill="auto"/>
            <w:noWrap/>
            <w:vAlign w:val="bottom"/>
            <w:hideMark/>
          </w:tcPr>
          <w:p w14:paraId="7A70C1EF"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29</w:t>
            </w:r>
          </w:p>
        </w:tc>
        <w:tc>
          <w:tcPr>
            <w:tcW w:w="954" w:type="pct"/>
            <w:tcBorders>
              <w:top w:val="nil"/>
              <w:left w:val="nil"/>
              <w:bottom w:val="nil"/>
              <w:right w:val="nil"/>
            </w:tcBorders>
            <w:shd w:val="clear" w:color="auto" w:fill="auto"/>
            <w:noWrap/>
            <w:vAlign w:val="bottom"/>
            <w:hideMark/>
          </w:tcPr>
          <w:p w14:paraId="52CCED20"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1,5%</w:t>
            </w:r>
          </w:p>
        </w:tc>
      </w:tr>
      <w:tr w:rsidR="001B34C7" w:rsidRPr="00922C7B" w14:paraId="044C37FC" w14:textId="77777777" w:rsidTr="009C4F06">
        <w:trPr>
          <w:trHeight w:val="300"/>
          <w:jc w:val="center"/>
        </w:trPr>
        <w:tc>
          <w:tcPr>
            <w:tcW w:w="2407" w:type="pct"/>
            <w:tcBorders>
              <w:top w:val="nil"/>
              <w:left w:val="nil"/>
              <w:bottom w:val="nil"/>
            </w:tcBorders>
            <w:shd w:val="clear" w:color="auto" w:fill="auto"/>
            <w:noWrap/>
            <w:vAlign w:val="bottom"/>
            <w:hideMark/>
          </w:tcPr>
          <w:p w14:paraId="3365848E" w14:textId="77777777" w:rsidR="001B34C7" w:rsidRPr="00B94989" w:rsidRDefault="001B34C7" w:rsidP="002E33D9">
            <w:pPr>
              <w:spacing w:after="0" w:line="240" w:lineRule="auto"/>
              <w:rPr>
                <w:rFonts w:eastAsia="Times New Roman" w:cs="Calibri"/>
                <w:bCs/>
                <w:color w:val="000000"/>
                <w:sz w:val="20"/>
                <w:lang w:eastAsia="sk-SK"/>
              </w:rPr>
            </w:pPr>
            <w:r w:rsidRPr="00B94989">
              <w:rPr>
                <w:rFonts w:eastAsia="Times New Roman" w:cs="Calibri"/>
                <w:bCs/>
                <w:color w:val="000000"/>
                <w:sz w:val="20"/>
                <w:lang w:eastAsia="sk-SK"/>
              </w:rPr>
              <w:t>Univerzita Komenského v Bratislave</w:t>
            </w:r>
          </w:p>
        </w:tc>
        <w:tc>
          <w:tcPr>
            <w:tcW w:w="707" w:type="pct"/>
            <w:gridSpan w:val="2"/>
            <w:tcBorders>
              <w:top w:val="nil"/>
              <w:left w:val="nil"/>
              <w:bottom w:val="nil"/>
              <w:right w:val="nil"/>
            </w:tcBorders>
            <w:shd w:val="clear" w:color="auto" w:fill="auto"/>
            <w:noWrap/>
            <w:vAlign w:val="bottom"/>
            <w:hideMark/>
          </w:tcPr>
          <w:p w14:paraId="589B0131"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20 306</w:t>
            </w:r>
          </w:p>
        </w:tc>
        <w:tc>
          <w:tcPr>
            <w:tcW w:w="932" w:type="pct"/>
            <w:tcBorders>
              <w:top w:val="nil"/>
              <w:left w:val="nil"/>
              <w:bottom w:val="nil"/>
              <w:right w:val="nil"/>
            </w:tcBorders>
            <w:shd w:val="clear" w:color="auto" w:fill="auto"/>
            <w:noWrap/>
            <w:vAlign w:val="bottom"/>
            <w:hideMark/>
          </w:tcPr>
          <w:p w14:paraId="4D89AB30"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278</w:t>
            </w:r>
          </w:p>
        </w:tc>
        <w:tc>
          <w:tcPr>
            <w:tcW w:w="954" w:type="pct"/>
            <w:tcBorders>
              <w:top w:val="nil"/>
              <w:left w:val="nil"/>
              <w:bottom w:val="nil"/>
              <w:right w:val="nil"/>
            </w:tcBorders>
            <w:shd w:val="clear" w:color="auto" w:fill="auto"/>
            <w:noWrap/>
            <w:vAlign w:val="bottom"/>
            <w:hideMark/>
          </w:tcPr>
          <w:p w14:paraId="357929FA"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1,4%</w:t>
            </w:r>
          </w:p>
        </w:tc>
      </w:tr>
      <w:tr w:rsidR="001B34C7" w:rsidRPr="00922C7B" w14:paraId="7591D890" w14:textId="77777777" w:rsidTr="009C4F06">
        <w:trPr>
          <w:trHeight w:val="300"/>
          <w:jc w:val="center"/>
        </w:trPr>
        <w:tc>
          <w:tcPr>
            <w:tcW w:w="2407" w:type="pct"/>
            <w:tcBorders>
              <w:top w:val="nil"/>
              <w:left w:val="nil"/>
              <w:bottom w:val="nil"/>
            </w:tcBorders>
            <w:shd w:val="clear" w:color="auto" w:fill="auto"/>
            <w:noWrap/>
            <w:vAlign w:val="bottom"/>
            <w:hideMark/>
          </w:tcPr>
          <w:p w14:paraId="7B0C820E" w14:textId="77777777" w:rsidR="001B34C7" w:rsidRPr="00B94989" w:rsidRDefault="001B34C7" w:rsidP="002E33D9">
            <w:pPr>
              <w:spacing w:after="0" w:line="240" w:lineRule="auto"/>
              <w:rPr>
                <w:rFonts w:eastAsia="Times New Roman" w:cs="Calibri"/>
                <w:bCs/>
                <w:color w:val="000000"/>
                <w:sz w:val="20"/>
                <w:lang w:eastAsia="sk-SK"/>
              </w:rPr>
            </w:pPr>
            <w:r w:rsidRPr="00B94989">
              <w:rPr>
                <w:rFonts w:eastAsia="Times New Roman" w:cs="Calibri"/>
                <w:bCs/>
                <w:color w:val="000000"/>
                <w:sz w:val="20"/>
                <w:lang w:eastAsia="sk-SK"/>
              </w:rPr>
              <w:t>Univerzita veterinárskeho lekárstva a farmácie v Košiciach</w:t>
            </w:r>
          </w:p>
        </w:tc>
        <w:tc>
          <w:tcPr>
            <w:tcW w:w="707" w:type="pct"/>
            <w:gridSpan w:val="2"/>
            <w:tcBorders>
              <w:top w:val="nil"/>
              <w:left w:val="nil"/>
              <w:bottom w:val="nil"/>
              <w:right w:val="nil"/>
            </w:tcBorders>
            <w:shd w:val="clear" w:color="auto" w:fill="auto"/>
            <w:noWrap/>
            <w:vAlign w:val="bottom"/>
            <w:hideMark/>
          </w:tcPr>
          <w:p w14:paraId="29E6462D"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1 678</w:t>
            </w:r>
          </w:p>
        </w:tc>
        <w:tc>
          <w:tcPr>
            <w:tcW w:w="932" w:type="pct"/>
            <w:tcBorders>
              <w:top w:val="nil"/>
              <w:left w:val="nil"/>
              <w:bottom w:val="nil"/>
              <w:right w:val="nil"/>
            </w:tcBorders>
            <w:shd w:val="clear" w:color="auto" w:fill="auto"/>
            <w:noWrap/>
            <w:vAlign w:val="bottom"/>
            <w:hideMark/>
          </w:tcPr>
          <w:p w14:paraId="021F0631"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22</w:t>
            </w:r>
          </w:p>
        </w:tc>
        <w:tc>
          <w:tcPr>
            <w:tcW w:w="954" w:type="pct"/>
            <w:tcBorders>
              <w:top w:val="nil"/>
              <w:left w:val="nil"/>
              <w:bottom w:val="nil"/>
              <w:right w:val="nil"/>
            </w:tcBorders>
            <w:shd w:val="clear" w:color="auto" w:fill="auto"/>
            <w:noWrap/>
            <w:vAlign w:val="bottom"/>
            <w:hideMark/>
          </w:tcPr>
          <w:p w14:paraId="7B3D311B"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1,3%</w:t>
            </w:r>
          </w:p>
        </w:tc>
      </w:tr>
      <w:tr w:rsidR="001B34C7" w:rsidRPr="00922C7B" w14:paraId="45D97FB8" w14:textId="77777777" w:rsidTr="009C4F06">
        <w:trPr>
          <w:trHeight w:val="300"/>
          <w:jc w:val="center"/>
        </w:trPr>
        <w:tc>
          <w:tcPr>
            <w:tcW w:w="2407" w:type="pct"/>
            <w:tcBorders>
              <w:top w:val="nil"/>
              <w:left w:val="nil"/>
              <w:bottom w:val="nil"/>
            </w:tcBorders>
            <w:shd w:val="clear" w:color="auto" w:fill="auto"/>
            <w:noWrap/>
            <w:vAlign w:val="bottom"/>
            <w:hideMark/>
          </w:tcPr>
          <w:p w14:paraId="772DF18A" w14:textId="77777777" w:rsidR="001B34C7" w:rsidRPr="00B94989" w:rsidRDefault="001B34C7" w:rsidP="002E33D9">
            <w:pPr>
              <w:spacing w:after="0" w:line="240" w:lineRule="auto"/>
              <w:rPr>
                <w:rFonts w:eastAsia="Times New Roman" w:cs="Calibri"/>
                <w:bCs/>
                <w:color w:val="000000"/>
                <w:sz w:val="20"/>
                <w:lang w:eastAsia="sk-SK"/>
              </w:rPr>
            </w:pPr>
            <w:r w:rsidRPr="00B94989">
              <w:rPr>
                <w:rFonts w:eastAsia="Times New Roman" w:cs="Calibri"/>
                <w:bCs/>
                <w:color w:val="000000"/>
                <w:sz w:val="20"/>
                <w:lang w:eastAsia="sk-SK"/>
              </w:rPr>
              <w:t>Slovenská poľnohospodárska univerzita v Nitre</w:t>
            </w:r>
          </w:p>
        </w:tc>
        <w:tc>
          <w:tcPr>
            <w:tcW w:w="707" w:type="pct"/>
            <w:gridSpan w:val="2"/>
            <w:tcBorders>
              <w:top w:val="nil"/>
              <w:left w:val="nil"/>
              <w:bottom w:val="nil"/>
              <w:right w:val="nil"/>
            </w:tcBorders>
            <w:shd w:val="clear" w:color="auto" w:fill="auto"/>
            <w:noWrap/>
            <w:vAlign w:val="bottom"/>
            <w:hideMark/>
          </w:tcPr>
          <w:p w14:paraId="38982442"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6 028</w:t>
            </w:r>
          </w:p>
        </w:tc>
        <w:tc>
          <w:tcPr>
            <w:tcW w:w="932" w:type="pct"/>
            <w:tcBorders>
              <w:top w:val="nil"/>
              <w:left w:val="nil"/>
              <w:bottom w:val="nil"/>
              <w:right w:val="nil"/>
            </w:tcBorders>
            <w:shd w:val="clear" w:color="auto" w:fill="auto"/>
            <w:noWrap/>
            <w:vAlign w:val="bottom"/>
            <w:hideMark/>
          </w:tcPr>
          <w:p w14:paraId="3FB3CBD2"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78</w:t>
            </w:r>
          </w:p>
        </w:tc>
        <w:tc>
          <w:tcPr>
            <w:tcW w:w="954" w:type="pct"/>
            <w:tcBorders>
              <w:top w:val="nil"/>
              <w:left w:val="nil"/>
              <w:bottom w:val="nil"/>
              <w:right w:val="nil"/>
            </w:tcBorders>
            <w:shd w:val="clear" w:color="auto" w:fill="auto"/>
            <w:noWrap/>
            <w:vAlign w:val="bottom"/>
            <w:hideMark/>
          </w:tcPr>
          <w:p w14:paraId="6F9F1AF1"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1,3%</w:t>
            </w:r>
          </w:p>
        </w:tc>
      </w:tr>
      <w:tr w:rsidR="001B34C7" w:rsidRPr="00922C7B" w14:paraId="04AAB013" w14:textId="77777777" w:rsidTr="009C4F06">
        <w:trPr>
          <w:trHeight w:val="300"/>
          <w:jc w:val="center"/>
        </w:trPr>
        <w:tc>
          <w:tcPr>
            <w:tcW w:w="2407" w:type="pct"/>
            <w:tcBorders>
              <w:top w:val="nil"/>
              <w:left w:val="nil"/>
              <w:bottom w:val="nil"/>
            </w:tcBorders>
            <w:shd w:val="clear" w:color="auto" w:fill="auto"/>
            <w:noWrap/>
            <w:vAlign w:val="bottom"/>
            <w:hideMark/>
          </w:tcPr>
          <w:p w14:paraId="44058C89" w14:textId="77777777" w:rsidR="001B34C7" w:rsidRPr="00B94989" w:rsidRDefault="001B34C7" w:rsidP="002E33D9">
            <w:pPr>
              <w:spacing w:after="0" w:line="240" w:lineRule="auto"/>
              <w:rPr>
                <w:rFonts w:eastAsia="Times New Roman" w:cs="Calibri"/>
                <w:bCs/>
                <w:color w:val="000000"/>
                <w:sz w:val="20"/>
                <w:lang w:eastAsia="sk-SK"/>
              </w:rPr>
            </w:pPr>
            <w:r w:rsidRPr="00B94989">
              <w:rPr>
                <w:rFonts w:eastAsia="Times New Roman" w:cs="Calibri"/>
                <w:bCs/>
                <w:color w:val="000000"/>
                <w:sz w:val="20"/>
                <w:lang w:eastAsia="sk-SK"/>
              </w:rPr>
              <w:t>Trnavská univerzita v Trnave</w:t>
            </w:r>
          </w:p>
        </w:tc>
        <w:tc>
          <w:tcPr>
            <w:tcW w:w="707" w:type="pct"/>
            <w:gridSpan w:val="2"/>
            <w:tcBorders>
              <w:top w:val="nil"/>
              <w:left w:val="nil"/>
              <w:bottom w:val="nil"/>
              <w:right w:val="nil"/>
            </w:tcBorders>
            <w:shd w:val="clear" w:color="auto" w:fill="auto"/>
            <w:noWrap/>
            <w:vAlign w:val="bottom"/>
            <w:hideMark/>
          </w:tcPr>
          <w:p w14:paraId="23ED43AE"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4 396</w:t>
            </w:r>
          </w:p>
        </w:tc>
        <w:tc>
          <w:tcPr>
            <w:tcW w:w="932" w:type="pct"/>
            <w:tcBorders>
              <w:top w:val="nil"/>
              <w:left w:val="nil"/>
              <w:bottom w:val="nil"/>
              <w:right w:val="nil"/>
            </w:tcBorders>
            <w:shd w:val="clear" w:color="auto" w:fill="auto"/>
            <w:noWrap/>
            <w:vAlign w:val="bottom"/>
            <w:hideMark/>
          </w:tcPr>
          <w:p w14:paraId="604A30DE"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49</w:t>
            </w:r>
          </w:p>
        </w:tc>
        <w:tc>
          <w:tcPr>
            <w:tcW w:w="954" w:type="pct"/>
            <w:tcBorders>
              <w:top w:val="nil"/>
              <w:left w:val="nil"/>
              <w:bottom w:val="nil"/>
              <w:right w:val="nil"/>
            </w:tcBorders>
            <w:shd w:val="clear" w:color="auto" w:fill="auto"/>
            <w:noWrap/>
            <w:vAlign w:val="bottom"/>
            <w:hideMark/>
          </w:tcPr>
          <w:p w14:paraId="19419981"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1,1%</w:t>
            </w:r>
          </w:p>
        </w:tc>
      </w:tr>
      <w:tr w:rsidR="001B34C7" w:rsidRPr="00922C7B" w14:paraId="36DAD929" w14:textId="77777777" w:rsidTr="009C4F06">
        <w:trPr>
          <w:trHeight w:val="300"/>
          <w:jc w:val="center"/>
        </w:trPr>
        <w:tc>
          <w:tcPr>
            <w:tcW w:w="2407" w:type="pct"/>
            <w:tcBorders>
              <w:top w:val="nil"/>
              <w:left w:val="nil"/>
              <w:bottom w:val="nil"/>
            </w:tcBorders>
            <w:shd w:val="clear" w:color="auto" w:fill="auto"/>
            <w:noWrap/>
            <w:vAlign w:val="bottom"/>
            <w:hideMark/>
          </w:tcPr>
          <w:p w14:paraId="233183F3" w14:textId="77777777" w:rsidR="001B34C7" w:rsidRPr="00B94989" w:rsidRDefault="001B34C7" w:rsidP="002E33D9">
            <w:pPr>
              <w:spacing w:after="0" w:line="240" w:lineRule="auto"/>
              <w:rPr>
                <w:rFonts w:eastAsia="Times New Roman" w:cs="Calibri"/>
                <w:bCs/>
                <w:color w:val="000000"/>
                <w:sz w:val="20"/>
                <w:lang w:eastAsia="sk-SK"/>
              </w:rPr>
            </w:pPr>
            <w:r w:rsidRPr="00B94989">
              <w:rPr>
                <w:rFonts w:eastAsia="Times New Roman" w:cs="Calibri"/>
                <w:bCs/>
                <w:color w:val="000000"/>
                <w:sz w:val="20"/>
                <w:lang w:eastAsia="sk-SK"/>
              </w:rPr>
              <w:t>Vysoká škola múzických umení v Bratislave</w:t>
            </w:r>
          </w:p>
        </w:tc>
        <w:tc>
          <w:tcPr>
            <w:tcW w:w="707" w:type="pct"/>
            <w:gridSpan w:val="2"/>
            <w:tcBorders>
              <w:top w:val="nil"/>
              <w:left w:val="nil"/>
              <w:bottom w:val="nil"/>
              <w:right w:val="nil"/>
            </w:tcBorders>
            <w:shd w:val="clear" w:color="auto" w:fill="auto"/>
            <w:noWrap/>
            <w:vAlign w:val="bottom"/>
            <w:hideMark/>
          </w:tcPr>
          <w:p w14:paraId="3D9FB9D9"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915</w:t>
            </w:r>
          </w:p>
        </w:tc>
        <w:tc>
          <w:tcPr>
            <w:tcW w:w="932" w:type="pct"/>
            <w:tcBorders>
              <w:top w:val="nil"/>
              <w:left w:val="nil"/>
              <w:bottom w:val="nil"/>
              <w:right w:val="nil"/>
            </w:tcBorders>
            <w:shd w:val="clear" w:color="auto" w:fill="auto"/>
            <w:noWrap/>
            <w:vAlign w:val="bottom"/>
            <w:hideMark/>
          </w:tcPr>
          <w:p w14:paraId="33A998FE"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10</w:t>
            </w:r>
          </w:p>
        </w:tc>
        <w:tc>
          <w:tcPr>
            <w:tcW w:w="954" w:type="pct"/>
            <w:tcBorders>
              <w:top w:val="nil"/>
              <w:left w:val="nil"/>
              <w:bottom w:val="nil"/>
              <w:right w:val="nil"/>
            </w:tcBorders>
            <w:shd w:val="clear" w:color="auto" w:fill="auto"/>
            <w:noWrap/>
            <w:vAlign w:val="bottom"/>
            <w:hideMark/>
          </w:tcPr>
          <w:p w14:paraId="0C5F15FA"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1,1%</w:t>
            </w:r>
          </w:p>
        </w:tc>
      </w:tr>
      <w:tr w:rsidR="001B34C7" w:rsidRPr="00922C7B" w14:paraId="1EC4540F" w14:textId="77777777" w:rsidTr="009C4F06">
        <w:trPr>
          <w:trHeight w:val="300"/>
          <w:jc w:val="center"/>
        </w:trPr>
        <w:tc>
          <w:tcPr>
            <w:tcW w:w="2407" w:type="pct"/>
            <w:tcBorders>
              <w:top w:val="nil"/>
              <w:left w:val="nil"/>
              <w:bottom w:val="nil"/>
            </w:tcBorders>
            <w:shd w:val="clear" w:color="auto" w:fill="auto"/>
            <w:noWrap/>
            <w:vAlign w:val="bottom"/>
            <w:hideMark/>
          </w:tcPr>
          <w:p w14:paraId="04C9BC5C" w14:textId="77777777" w:rsidR="001B34C7" w:rsidRPr="00B94989" w:rsidRDefault="001B34C7" w:rsidP="002E33D9">
            <w:pPr>
              <w:spacing w:after="0" w:line="240" w:lineRule="auto"/>
              <w:rPr>
                <w:rFonts w:eastAsia="Times New Roman" w:cs="Calibri"/>
                <w:bCs/>
                <w:color w:val="000000"/>
                <w:sz w:val="20"/>
                <w:lang w:eastAsia="sk-SK"/>
              </w:rPr>
            </w:pPr>
            <w:r w:rsidRPr="00B94989">
              <w:rPr>
                <w:rFonts w:eastAsia="Times New Roman" w:cs="Calibri"/>
                <w:bCs/>
                <w:color w:val="000000"/>
                <w:sz w:val="20"/>
                <w:lang w:eastAsia="sk-SK"/>
              </w:rPr>
              <w:t>Technická univerzita vo Zvolene</w:t>
            </w:r>
          </w:p>
        </w:tc>
        <w:tc>
          <w:tcPr>
            <w:tcW w:w="707" w:type="pct"/>
            <w:gridSpan w:val="2"/>
            <w:tcBorders>
              <w:top w:val="nil"/>
              <w:left w:val="nil"/>
              <w:bottom w:val="nil"/>
              <w:right w:val="nil"/>
            </w:tcBorders>
            <w:shd w:val="clear" w:color="auto" w:fill="auto"/>
            <w:noWrap/>
            <w:vAlign w:val="bottom"/>
            <w:hideMark/>
          </w:tcPr>
          <w:p w14:paraId="4A4BCD51"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2 406</w:t>
            </w:r>
          </w:p>
        </w:tc>
        <w:tc>
          <w:tcPr>
            <w:tcW w:w="932" w:type="pct"/>
            <w:tcBorders>
              <w:top w:val="nil"/>
              <w:left w:val="nil"/>
              <w:bottom w:val="nil"/>
              <w:right w:val="nil"/>
            </w:tcBorders>
            <w:shd w:val="clear" w:color="auto" w:fill="auto"/>
            <w:noWrap/>
            <w:vAlign w:val="bottom"/>
            <w:hideMark/>
          </w:tcPr>
          <w:p w14:paraId="59108998"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25</w:t>
            </w:r>
          </w:p>
        </w:tc>
        <w:tc>
          <w:tcPr>
            <w:tcW w:w="954" w:type="pct"/>
            <w:tcBorders>
              <w:top w:val="nil"/>
              <w:left w:val="nil"/>
              <w:bottom w:val="nil"/>
              <w:right w:val="nil"/>
            </w:tcBorders>
            <w:shd w:val="clear" w:color="auto" w:fill="auto"/>
            <w:noWrap/>
            <w:vAlign w:val="bottom"/>
            <w:hideMark/>
          </w:tcPr>
          <w:p w14:paraId="6A7B7F02"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1,0%</w:t>
            </w:r>
          </w:p>
        </w:tc>
      </w:tr>
      <w:tr w:rsidR="001B34C7" w:rsidRPr="00922C7B" w14:paraId="56DE6CE8" w14:textId="77777777" w:rsidTr="009C4F06">
        <w:trPr>
          <w:trHeight w:val="300"/>
          <w:jc w:val="center"/>
        </w:trPr>
        <w:tc>
          <w:tcPr>
            <w:tcW w:w="2407" w:type="pct"/>
            <w:tcBorders>
              <w:top w:val="nil"/>
              <w:left w:val="nil"/>
              <w:bottom w:val="nil"/>
            </w:tcBorders>
            <w:shd w:val="clear" w:color="auto" w:fill="auto"/>
            <w:noWrap/>
            <w:vAlign w:val="bottom"/>
            <w:hideMark/>
          </w:tcPr>
          <w:p w14:paraId="6CD97F3D" w14:textId="77777777" w:rsidR="001B34C7" w:rsidRPr="00B94989" w:rsidRDefault="001B34C7" w:rsidP="002E33D9">
            <w:pPr>
              <w:spacing w:after="0" w:line="240" w:lineRule="auto"/>
              <w:rPr>
                <w:rFonts w:eastAsia="Times New Roman" w:cs="Calibri"/>
                <w:bCs/>
                <w:color w:val="000000"/>
                <w:sz w:val="20"/>
                <w:lang w:eastAsia="sk-SK"/>
              </w:rPr>
            </w:pPr>
            <w:r w:rsidRPr="00B94989">
              <w:rPr>
                <w:rFonts w:eastAsia="Times New Roman" w:cs="Calibri"/>
                <w:bCs/>
                <w:color w:val="000000"/>
                <w:sz w:val="20"/>
                <w:lang w:eastAsia="sk-SK"/>
              </w:rPr>
              <w:t>Univerzita Mateja Bela v Banskej Bystrici</w:t>
            </w:r>
          </w:p>
        </w:tc>
        <w:tc>
          <w:tcPr>
            <w:tcW w:w="707" w:type="pct"/>
            <w:gridSpan w:val="2"/>
            <w:tcBorders>
              <w:top w:val="nil"/>
              <w:left w:val="nil"/>
              <w:bottom w:val="nil"/>
              <w:right w:val="nil"/>
            </w:tcBorders>
            <w:shd w:val="clear" w:color="auto" w:fill="auto"/>
            <w:noWrap/>
            <w:vAlign w:val="bottom"/>
            <w:hideMark/>
          </w:tcPr>
          <w:p w14:paraId="6EF34569"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6 655</w:t>
            </w:r>
          </w:p>
        </w:tc>
        <w:tc>
          <w:tcPr>
            <w:tcW w:w="932" w:type="pct"/>
            <w:tcBorders>
              <w:top w:val="nil"/>
              <w:left w:val="nil"/>
              <w:bottom w:val="nil"/>
              <w:right w:val="nil"/>
            </w:tcBorders>
            <w:shd w:val="clear" w:color="auto" w:fill="auto"/>
            <w:noWrap/>
            <w:vAlign w:val="bottom"/>
            <w:hideMark/>
          </w:tcPr>
          <w:p w14:paraId="05BACFE6"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62</w:t>
            </w:r>
          </w:p>
        </w:tc>
        <w:tc>
          <w:tcPr>
            <w:tcW w:w="954" w:type="pct"/>
            <w:tcBorders>
              <w:top w:val="nil"/>
              <w:left w:val="nil"/>
              <w:bottom w:val="nil"/>
              <w:right w:val="nil"/>
            </w:tcBorders>
            <w:shd w:val="clear" w:color="auto" w:fill="auto"/>
            <w:noWrap/>
            <w:vAlign w:val="bottom"/>
            <w:hideMark/>
          </w:tcPr>
          <w:p w14:paraId="6AC65CAE"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0,9%</w:t>
            </w:r>
          </w:p>
        </w:tc>
      </w:tr>
      <w:tr w:rsidR="001B34C7" w:rsidRPr="00922C7B" w14:paraId="584B343F" w14:textId="77777777" w:rsidTr="009C4F06">
        <w:trPr>
          <w:trHeight w:val="300"/>
          <w:jc w:val="center"/>
        </w:trPr>
        <w:tc>
          <w:tcPr>
            <w:tcW w:w="2407" w:type="pct"/>
            <w:tcBorders>
              <w:top w:val="nil"/>
              <w:left w:val="nil"/>
              <w:bottom w:val="nil"/>
            </w:tcBorders>
            <w:shd w:val="clear" w:color="auto" w:fill="auto"/>
            <w:noWrap/>
            <w:vAlign w:val="bottom"/>
            <w:hideMark/>
          </w:tcPr>
          <w:p w14:paraId="2E04D720" w14:textId="77777777" w:rsidR="001B34C7" w:rsidRPr="00B94989" w:rsidRDefault="001B34C7" w:rsidP="002E33D9">
            <w:pPr>
              <w:spacing w:after="0" w:line="240" w:lineRule="auto"/>
              <w:rPr>
                <w:rFonts w:eastAsia="Times New Roman" w:cs="Calibri"/>
                <w:bCs/>
                <w:color w:val="000000"/>
                <w:sz w:val="20"/>
                <w:lang w:eastAsia="sk-SK"/>
              </w:rPr>
            </w:pPr>
            <w:r w:rsidRPr="00B94989">
              <w:rPr>
                <w:rFonts w:eastAsia="Times New Roman" w:cs="Calibri"/>
                <w:bCs/>
                <w:color w:val="000000"/>
                <w:sz w:val="20"/>
                <w:lang w:eastAsia="sk-SK"/>
              </w:rPr>
              <w:t>Univerzita Pavla Jozefa Šafárika v Košiciach</w:t>
            </w:r>
          </w:p>
        </w:tc>
        <w:tc>
          <w:tcPr>
            <w:tcW w:w="707" w:type="pct"/>
            <w:gridSpan w:val="2"/>
            <w:tcBorders>
              <w:top w:val="nil"/>
              <w:left w:val="nil"/>
              <w:bottom w:val="nil"/>
              <w:right w:val="nil"/>
            </w:tcBorders>
            <w:shd w:val="clear" w:color="auto" w:fill="auto"/>
            <w:noWrap/>
            <w:vAlign w:val="bottom"/>
            <w:hideMark/>
          </w:tcPr>
          <w:p w14:paraId="0ABDAE1C"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6 500</w:t>
            </w:r>
          </w:p>
        </w:tc>
        <w:tc>
          <w:tcPr>
            <w:tcW w:w="932" w:type="pct"/>
            <w:tcBorders>
              <w:top w:val="nil"/>
              <w:left w:val="nil"/>
              <w:bottom w:val="nil"/>
              <w:right w:val="nil"/>
            </w:tcBorders>
            <w:shd w:val="clear" w:color="auto" w:fill="auto"/>
            <w:noWrap/>
            <w:vAlign w:val="bottom"/>
            <w:hideMark/>
          </w:tcPr>
          <w:p w14:paraId="29CD2697"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58</w:t>
            </w:r>
          </w:p>
        </w:tc>
        <w:tc>
          <w:tcPr>
            <w:tcW w:w="954" w:type="pct"/>
            <w:tcBorders>
              <w:top w:val="nil"/>
              <w:left w:val="nil"/>
              <w:bottom w:val="nil"/>
              <w:right w:val="nil"/>
            </w:tcBorders>
            <w:shd w:val="clear" w:color="auto" w:fill="auto"/>
            <w:noWrap/>
            <w:vAlign w:val="bottom"/>
            <w:hideMark/>
          </w:tcPr>
          <w:p w14:paraId="3E4E2E18"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0,9%</w:t>
            </w:r>
          </w:p>
        </w:tc>
      </w:tr>
      <w:tr w:rsidR="001B34C7" w:rsidRPr="00922C7B" w14:paraId="4B3C4ADF" w14:textId="77777777" w:rsidTr="009C4F06">
        <w:trPr>
          <w:trHeight w:val="300"/>
          <w:jc w:val="center"/>
        </w:trPr>
        <w:tc>
          <w:tcPr>
            <w:tcW w:w="2407" w:type="pct"/>
            <w:tcBorders>
              <w:top w:val="nil"/>
              <w:left w:val="nil"/>
              <w:bottom w:val="nil"/>
            </w:tcBorders>
            <w:shd w:val="clear" w:color="auto" w:fill="auto"/>
            <w:noWrap/>
            <w:vAlign w:val="bottom"/>
            <w:hideMark/>
          </w:tcPr>
          <w:p w14:paraId="58203372" w14:textId="77777777" w:rsidR="001B34C7" w:rsidRPr="00B94989" w:rsidRDefault="001B34C7" w:rsidP="002E33D9">
            <w:pPr>
              <w:spacing w:after="0" w:line="240" w:lineRule="auto"/>
              <w:rPr>
                <w:rFonts w:eastAsia="Times New Roman" w:cs="Calibri"/>
                <w:bCs/>
                <w:color w:val="000000"/>
                <w:sz w:val="20"/>
                <w:lang w:eastAsia="sk-SK"/>
              </w:rPr>
            </w:pPr>
            <w:r w:rsidRPr="00B94989">
              <w:rPr>
                <w:rFonts w:eastAsia="Times New Roman" w:cs="Calibri"/>
                <w:bCs/>
                <w:color w:val="000000"/>
                <w:sz w:val="20"/>
                <w:lang w:eastAsia="sk-SK"/>
              </w:rPr>
              <w:t>Technická univerzita v Košiciach</w:t>
            </w:r>
          </w:p>
        </w:tc>
        <w:tc>
          <w:tcPr>
            <w:tcW w:w="707" w:type="pct"/>
            <w:gridSpan w:val="2"/>
            <w:tcBorders>
              <w:top w:val="nil"/>
              <w:left w:val="nil"/>
              <w:bottom w:val="nil"/>
              <w:right w:val="nil"/>
            </w:tcBorders>
            <w:shd w:val="clear" w:color="auto" w:fill="auto"/>
            <w:noWrap/>
            <w:vAlign w:val="bottom"/>
            <w:hideMark/>
          </w:tcPr>
          <w:p w14:paraId="66627F18"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8 590</w:t>
            </w:r>
          </w:p>
        </w:tc>
        <w:tc>
          <w:tcPr>
            <w:tcW w:w="932" w:type="pct"/>
            <w:tcBorders>
              <w:top w:val="nil"/>
              <w:left w:val="nil"/>
              <w:bottom w:val="nil"/>
              <w:right w:val="nil"/>
            </w:tcBorders>
            <w:shd w:val="clear" w:color="auto" w:fill="auto"/>
            <w:noWrap/>
            <w:vAlign w:val="bottom"/>
            <w:hideMark/>
          </w:tcPr>
          <w:p w14:paraId="6BB29E06"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73</w:t>
            </w:r>
          </w:p>
        </w:tc>
        <w:tc>
          <w:tcPr>
            <w:tcW w:w="954" w:type="pct"/>
            <w:tcBorders>
              <w:top w:val="nil"/>
              <w:left w:val="nil"/>
              <w:bottom w:val="nil"/>
              <w:right w:val="nil"/>
            </w:tcBorders>
            <w:shd w:val="clear" w:color="auto" w:fill="auto"/>
            <w:noWrap/>
            <w:vAlign w:val="bottom"/>
            <w:hideMark/>
          </w:tcPr>
          <w:p w14:paraId="3E653202"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0,8%</w:t>
            </w:r>
          </w:p>
        </w:tc>
      </w:tr>
      <w:tr w:rsidR="001B34C7" w:rsidRPr="00922C7B" w14:paraId="648F2A5A" w14:textId="77777777" w:rsidTr="009C4F06">
        <w:trPr>
          <w:trHeight w:val="300"/>
          <w:jc w:val="center"/>
        </w:trPr>
        <w:tc>
          <w:tcPr>
            <w:tcW w:w="2407" w:type="pct"/>
            <w:tcBorders>
              <w:top w:val="nil"/>
              <w:left w:val="nil"/>
              <w:bottom w:val="nil"/>
            </w:tcBorders>
            <w:shd w:val="clear" w:color="auto" w:fill="auto"/>
            <w:noWrap/>
            <w:vAlign w:val="bottom"/>
            <w:hideMark/>
          </w:tcPr>
          <w:p w14:paraId="6311262D" w14:textId="77777777" w:rsidR="001B34C7" w:rsidRPr="00B94989" w:rsidRDefault="001B34C7" w:rsidP="002E33D9">
            <w:pPr>
              <w:spacing w:after="0" w:line="240" w:lineRule="auto"/>
              <w:rPr>
                <w:rFonts w:eastAsia="Times New Roman" w:cs="Calibri"/>
                <w:bCs/>
                <w:color w:val="000000"/>
                <w:sz w:val="20"/>
                <w:lang w:eastAsia="sk-SK"/>
              </w:rPr>
            </w:pPr>
            <w:r w:rsidRPr="00B94989">
              <w:rPr>
                <w:rFonts w:eastAsia="Times New Roman" w:cs="Calibri"/>
                <w:bCs/>
                <w:color w:val="000000"/>
                <w:sz w:val="20"/>
                <w:lang w:eastAsia="sk-SK"/>
              </w:rPr>
              <w:t>Univerzita J. Selyeho</w:t>
            </w:r>
          </w:p>
        </w:tc>
        <w:tc>
          <w:tcPr>
            <w:tcW w:w="707" w:type="pct"/>
            <w:gridSpan w:val="2"/>
            <w:tcBorders>
              <w:top w:val="nil"/>
              <w:left w:val="nil"/>
              <w:bottom w:val="nil"/>
              <w:right w:val="nil"/>
            </w:tcBorders>
            <w:shd w:val="clear" w:color="auto" w:fill="auto"/>
            <w:noWrap/>
            <w:vAlign w:val="bottom"/>
            <w:hideMark/>
          </w:tcPr>
          <w:p w14:paraId="23F26C08"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1 754</w:t>
            </w:r>
          </w:p>
        </w:tc>
        <w:tc>
          <w:tcPr>
            <w:tcW w:w="932" w:type="pct"/>
            <w:tcBorders>
              <w:top w:val="nil"/>
              <w:left w:val="nil"/>
              <w:bottom w:val="nil"/>
              <w:right w:val="nil"/>
            </w:tcBorders>
            <w:shd w:val="clear" w:color="auto" w:fill="auto"/>
            <w:noWrap/>
            <w:vAlign w:val="bottom"/>
            <w:hideMark/>
          </w:tcPr>
          <w:p w14:paraId="26274706"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14</w:t>
            </w:r>
          </w:p>
        </w:tc>
        <w:tc>
          <w:tcPr>
            <w:tcW w:w="954" w:type="pct"/>
            <w:tcBorders>
              <w:top w:val="nil"/>
              <w:left w:val="nil"/>
              <w:bottom w:val="nil"/>
              <w:right w:val="nil"/>
            </w:tcBorders>
            <w:shd w:val="clear" w:color="auto" w:fill="auto"/>
            <w:noWrap/>
            <w:vAlign w:val="bottom"/>
            <w:hideMark/>
          </w:tcPr>
          <w:p w14:paraId="4BDC7C08"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0,8%</w:t>
            </w:r>
          </w:p>
        </w:tc>
      </w:tr>
      <w:tr w:rsidR="001B34C7" w:rsidRPr="00922C7B" w14:paraId="52B38CFE" w14:textId="77777777" w:rsidTr="009C4F06">
        <w:trPr>
          <w:trHeight w:val="300"/>
          <w:jc w:val="center"/>
        </w:trPr>
        <w:tc>
          <w:tcPr>
            <w:tcW w:w="2407" w:type="pct"/>
            <w:tcBorders>
              <w:top w:val="nil"/>
              <w:left w:val="nil"/>
              <w:bottom w:val="nil"/>
            </w:tcBorders>
            <w:shd w:val="clear" w:color="auto" w:fill="auto"/>
            <w:noWrap/>
            <w:vAlign w:val="bottom"/>
            <w:hideMark/>
          </w:tcPr>
          <w:p w14:paraId="6358AAAA" w14:textId="77777777" w:rsidR="001B34C7" w:rsidRPr="00B94989" w:rsidRDefault="001B34C7" w:rsidP="002E33D9">
            <w:pPr>
              <w:spacing w:after="0" w:line="240" w:lineRule="auto"/>
              <w:rPr>
                <w:rFonts w:eastAsia="Times New Roman" w:cs="Calibri"/>
                <w:bCs/>
                <w:color w:val="000000"/>
                <w:sz w:val="20"/>
                <w:lang w:eastAsia="sk-SK"/>
              </w:rPr>
            </w:pPr>
            <w:r w:rsidRPr="00B94989">
              <w:rPr>
                <w:rFonts w:eastAsia="Times New Roman" w:cs="Calibri"/>
                <w:bCs/>
                <w:color w:val="000000"/>
                <w:sz w:val="20"/>
                <w:lang w:eastAsia="sk-SK"/>
              </w:rPr>
              <w:t>Ekonomická univerzita v Bratislave</w:t>
            </w:r>
          </w:p>
        </w:tc>
        <w:tc>
          <w:tcPr>
            <w:tcW w:w="707" w:type="pct"/>
            <w:gridSpan w:val="2"/>
            <w:tcBorders>
              <w:top w:val="nil"/>
              <w:left w:val="nil"/>
              <w:bottom w:val="nil"/>
              <w:right w:val="nil"/>
            </w:tcBorders>
            <w:shd w:val="clear" w:color="auto" w:fill="auto"/>
            <w:noWrap/>
            <w:vAlign w:val="bottom"/>
            <w:hideMark/>
          </w:tcPr>
          <w:p w14:paraId="5B983225"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6 925</w:t>
            </w:r>
          </w:p>
        </w:tc>
        <w:tc>
          <w:tcPr>
            <w:tcW w:w="932" w:type="pct"/>
            <w:tcBorders>
              <w:top w:val="nil"/>
              <w:left w:val="nil"/>
              <w:bottom w:val="nil"/>
              <w:right w:val="nil"/>
            </w:tcBorders>
            <w:shd w:val="clear" w:color="auto" w:fill="auto"/>
            <w:noWrap/>
            <w:vAlign w:val="bottom"/>
            <w:hideMark/>
          </w:tcPr>
          <w:p w14:paraId="78C88EFA"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48</w:t>
            </w:r>
          </w:p>
        </w:tc>
        <w:tc>
          <w:tcPr>
            <w:tcW w:w="954" w:type="pct"/>
            <w:tcBorders>
              <w:top w:val="nil"/>
              <w:left w:val="nil"/>
              <w:bottom w:val="nil"/>
              <w:right w:val="nil"/>
            </w:tcBorders>
            <w:shd w:val="clear" w:color="auto" w:fill="auto"/>
            <w:noWrap/>
            <w:vAlign w:val="bottom"/>
            <w:hideMark/>
          </w:tcPr>
          <w:p w14:paraId="41220F58"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0,7%</w:t>
            </w:r>
          </w:p>
        </w:tc>
      </w:tr>
      <w:tr w:rsidR="001B34C7" w:rsidRPr="00922C7B" w14:paraId="3728F86F" w14:textId="77777777" w:rsidTr="009C4F06">
        <w:trPr>
          <w:trHeight w:val="300"/>
          <w:jc w:val="center"/>
        </w:trPr>
        <w:tc>
          <w:tcPr>
            <w:tcW w:w="2407" w:type="pct"/>
            <w:tcBorders>
              <w:top w:val="nil"/>
              <w:left w:val="nil"/>
              <w:bottom w:val="nil"/>
            </w:tcBorders>
            <w:shd w:val="clear" w:color="auto" w:fill="auto"/>
            <w:noWrap/>
            <w:vAlign w:val="bottom"/>
            <w:hideMark/>
          </w:tcPr>
          <w:p w14:paraId="4D34C6F0" w14:textId="77777777" w:rsidR="001B34C7" w:rsidRPr="00B94989" w:rsidRDefault="001B34C7" w:rsidP="002E33D9">
            <w:pPr>
              <w:spacing w:after="0" w:line="240" w:lineRule="auto"/>
              <w:rPr>
                <w:rFonts w:eastAsia="Times New Roman" w:cs="Calibri"/>
                <w:bCs/>
                <w:color w:val="000000"/>
                <w:sz w:val="20"/>
                <w:lang w:eastAsia="sk-SK"/>
              </w:rPr>
            </w:pPr>
            <w:r w:rsidRPr="00B94989">
              <w:rPr>
                <w:rFonts w:eastAsia="Times New Roman" w:cs="Calibri"/>
                <w:bCs/>
                <w:color w:val="000000"/>
                <w:sz w:val="20"/>
                <w:lang w:eastAsia="sk-SK"/>
              </w:rPr>
              <w:t>Vysoká škola výtvarných umení v Bratislave</w:t>
            </w:r>
          </w:p>
        </w:tc>
        <w:tc>
          <w:tcPr>
            <w:tcW w:w="707" w:type="pct"/>
            <w:gridSpan w:val="2"/>
            <w:tcBorders>
              <w:top w:val="nil"/>
              <w:left w:val="nil"/>
              <w:bottom w:val="nil"/>
              <w:right w:val="nil"/>
            </w:tcBorders>
            <w:shd w:val="clear" w:color="auto" w:fill="auto"/>
            <w:noWrap/>
            <w:vAlign w:val="bottom"/>
            <w:hideMark/>
          </w:tcPr>
          <w:p w14:paraId="7CC0B6C8"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579</w:t>
            </w:r>
          </w:p>
        </w:tc>
        <w:tc>
          <w:tcPr>
            <w:tcW w:w="932" w:type="pct"/>
            <w:tcBorders>
              <w:top w:val="nil"/>
              <w:left w:val="nil"/>
              <w:bottom w:val="nil"/>
              <w:right w:val="nil"/>
            </w:tcBorders>
            <w:shd w:val="clear" w:color="auto" w:fill="auto"/>
            <w:noWrap/>
            <w:vAlign w:val="bottom"/>
            <w:hideMark/>
          </w:tcPr>
          <w:p w14:paraId="08310F72"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4</w:t>
            </w:r>
          </w:p>
        </w:tc>
        <w:tc>
          <w:tcPr>
            <w:tcW w:w="954" w:type="pct"/>
            <w:tcBorders>
              <w:top w:val="nil"/>
              <w:left w:val="nil"/>
              <w:bottom w:val="nil"/>
              <w:right w:val="nil"/>
            </w:tcBorders>
            <w:shd w:val="clear" w:color="auto" w:fill="auto"/>
            <w:noWrap/>
            <w:vAlign w:val="bottom"/>
            <w:hideMark/>
          </w:tcPr>
          <w:p w14:paraId="5D2A3465"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0,7%</w:t>
            </w:r>
          </w:p>
        </w:tc>
      </w:tr>
      <w:tr w:rsidR="001B34C7" w:rsidRPr="00922C7B" w14:paraId="4EF51211" w14:textId="77777777" w:rsidTr="009C4F06">
        <w:trPr>
          <w:trHeight w:val="300"/>
          <w:jc w:val="center"/>
        </w:trPr>
        <w:tc>
          <w:tcPr>
            <w:tcW w:w="2407" w:type="pct"/>
            <w:tcBorders>
              <w:top w:val="nil"/>
              <w:left w:val="nil"/>
              <w:bottom w:val="nil"/>
            </w:tcBorders>
            <w:shd w:val="clear" w:color="auto" w:fill="auto"/>
            <w:noWrap/>
            <w:vAlign w:val="bottom"/>
            <w:hideMark/>
          </w:tcPr>
          <w:p w14:paraId="39CF89D3" w14:textId="77777777" w:rsidR="001B34C7" w:rsidRPr="00B94989" w:rsidRDefault="001B34C7" w:rsidP="002E33D9">
            <w:pPr>
              <w:spacing w:after="0" w:line="240" w:lineRule="auto"/>
              <w:rPr>
                <w:rFonts w:eastAsia="Times New Roman" w:cs="Calibri"/>
                <w:bCs/>
                <w:color w:val="000000"/>
                <w:sz w:val="20"/>
                <w:lang w:eastAsia="sk-SK"/>
              </w:rPr>
            </w:pPr>
            <w:r w:rsidRPr="00B94989">
              <w:rPr>
                <w:rFonts w:eastAsia="Times New Roman" w:cs="Calibri"/>
                <w:bCs/>
                <w:color w:val="000000"/>
                <w:sz w:val="20"/>
                <w:lang w:eastAsia="sk-SK"/>
              </w:rPr>
              <w:t>Slovenská technická univerzita v Bratislave</w:t>
            </w:r>
          </w:p>
        </w:tc>
        <w:tc>
          <w:tcPr>
            <w:tcW w:w="707" w:type="pct"/>
            <w:gridSpan w:val="2"/>
            <w:tcBorders>
              <w:top w:val="nil"/>
              <w:left w:val="nil"/>
              <w:bottom w:val="nil"/>
              <w:right w:val="nil"/>
            </w:tcBorders>
            <w:shd w:val="clear" w:color="auto" w:fill="auto"/>
            <w:noWrap/>
            <w:vAlign w:val="bottom"/>
            <w:hideMark/>
          </w:tcPr>
          <w:p w14:paraId="69E732C6"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10 348</w:t>
            </w:r>
          </w:p>
        </w:tc>
        <w:tc>
          <w:tcPr>
            <w:tcW w:w="932" w:type="pct"/>
            <w:tcBorders>
              <w:top w:val="nil"/>
              <w:left w:val="nil"/>
              <w:bottom w:val="nil"/>
              <w:right w:val="nil"/>
            </w:tcBorders>
            <w:shd w:val="clear" w:color="auto" w:fill="auto"/>
            <w:noWrap/>
            <w:vAlign w:val="bottom"/>
            <w:hideMark/>
          </w:tcPr>
          <w:p w14:paraId="6593CEF0"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63</w:t>
            </w:r>
          </w:p>
        </w:tc>
        <w:tc>
          <w:tcPr>
            <w:tcW w:w="954" w:type="pct"/>
            <w:tcBorders>
              <w:top w:val="nil"/>
              <w:left w:val="nil"/>
              <w:bottom w:val="nil"/>
              <w:right w:val="nil"/>
            </w:tcBorders>
            <w:shd w:val="clear" w:color="auto" w:fill="auto"/>
            <w:noWrap/>
            <w:vAlign w:val="bottom"/>
            <w:hideMark/>
          </w:tcPr>
          <w:p w14:paraId="7276B470"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0,6%</w:t>
            </w:r>
          </w:p>
        </w:tc>
      </w:tr>
      <w:tr w:rsidR="001B34C7" w:rsidRPr="00922C7B" w14:paraId="31E53B19" w14:textId="77777777" w:rsidTr="009C4F06">
        <w:trPr>
          <w:trHeight w:val="300"/>
          <w:jc w:val="center"/>
        </w:trPr>
        <w:tc>
          <w:tcPr>
            <w:tcW w:w="2407" w:type="pct"/>
            <w:tcBorders>
              <w:top w:val="nil"/>
              <w:left w:val="nil"/>
              <w:bottom w:val="nil"/>
            </w:tcBorders>
            <w:shd w:val="clear" w:color="auto" w:fill="auto"/>
            <w:noWrap/>
            <w:vAlign w:val="bottom"/>
            <w:hideMark/>
          </w:tcPr>
          <w:p w14:paraId="2AC2E6E0" w14:textId="77777777" w:rsidR="001B34C7" w:rsidRPr="00B94989" w:rsidRDefault="001B34C7" w:rsidP="002E33D9">
            <w:pPr>
              <w:spacing w:after="0" w:line="240" w:lineRule="auto"/>
              <w:rPr>
                <w:rFonts w:eastAsia="Times New Roman" w:cs="Calibri"/>
                <w:bCs/>
                <w:color w:val="000000"/>
                <w:sz w:val="20"/>
                <w:lang w:eastAsia="sk-SK"/>
              </w:rPr>
            </w:pPr>
            <w:r w:rsidRPr="00B94989">
              <w:rPr>
                <w:rFonts w:eastAsia="Times New Roman" w:cs="Calibri"/>
                <w:bCs/>
                <w:color w:val="000000"/>
                <w:sz w:val="20"/>
                <w:lang w:eastAsia="sk-SK"/>
              </w:rPr>
              <w:t>Univerzita Konštantína Filozofa v Nitre</w:t>
            </w:r>
          </w:p>
        </w:tc>
        <w:tc>
          <w:tcPr>
            <w:tcW w:w="707" w:type="pct"/>
            <w:gridSpan w:val="2"/>
            <w:tcBorders>
              <w:top w:val="nil"/>
              <w:left w:val="nil"/>
              <w:bottom w:val="nil"/>
              <w:right w:val="nil"/>
            </w:tcBorders>
            <w:shd w:val="clear" w:color="auto" w:fill="auto"/>
            <w:noWrap/>
            <w:vAlign w:val="bottom"/>
            <w:hideMark/>
          </w:tcPr>
          <w:p w14:paraId="121FEAE8"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6 888</w:t>
            </w:r>
          </w:p>
        </w:tc>
        <w:tc>
          <w:tcPr>
            <w:tcW w:w="932" w:type="pct"/>
            <w:tcBorders>
              <w:top w:val="nil"/>
              <w:left w:val="nil"/>
              <w:bottom w:val="nil"/>
              <w:right w:val="nil"/>
            </w:tcBorders>
            <w:shd w:val="clear" w:color="auto" w:fill="auto"/>
            <w:noWrap/>
            <w:vAlign w:val="bottom"/>
            <w:hideMark/>
          </w:tcPr>
          <w:p w14:paraId="6D837D5A"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39</w:t>
            </w:r>
          </w:p>
        </w:tc>
        <w:tc>
          <w:tcPr>
            <w:tcW w:w="954" w:type="pct"/>
            <w:tcBorders>
              <w:top w:val="nil"/>
              <w:left w:val="nil"/>
              <w:bottom w:val="nil"/>
              <w:right w:val="nil"/>
            </w:tcBorders>
            <w:shd w:val="clear" w:color="auto" w:fill="auto"/>
            <w:noWrap/>
            <w:vAlign w:val="bottom"/>
            <w:hideMark/>
          </w:tcPr>
          <w:p w14:paraId="686CD2F0"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0,6%</w:t>
            </w:r>
          </w:p>
        </w:tc>
      </w:tr>
      <w:tr w:rsidR="001B34C7" w:rsidRPr="00922C7B" w14:paraId="7F08FA83" w14:textId="77777777" w:rsidTr="009C4F06">
        <w:trPr>
          <w:trHeight w:val="300"/>
          <w:jc w:val="center"/>
        </w:trPr>
        <w:tc>
          <w:tcPr>
            <w:tcW w:w="2407" w:type="pct"/>
            <w:tcBorders>
              <w:top w:val="nil"/>
              <w:left w:val="nil"/>
              <w:bottom w:val="nil"/>
            </w:tcBorders>
            <w:shd w:val="clear" w:color="auto" w:fill="auto"/>
            <w:noWrap/>
            <w:vAlign w:val="bottom"/>
            <w:hideMark/>
          </w:tcPr>
          <w:p w14:paraId="4218F5DD" w14:textId="77777777" w:rsidR="001B34C7" w:rsidRPr="00B94989" w:rsidRDefault="001B34C7" w:rsidP="002E33D9">
            <w:pPr>
              <w:spacing w:after="0" w:line="240" w:lineRule="auto"/>
              <w:rPr>
                <w:rFonts w:eastAsia="Times New Roman" w:cs="Calibri"/>
                <w:bCs/>
                <w:color w:val="000000"/>
                <w:sz w:val="20"/>
                <w:lang w:eastAsia="sk-SK"/>
              </w:rPr>
            </w:pPr>
            <w:r w:rsidRPr="00B94989">
              <w:rPr>
                <w:rFonts w:eastAsia="Times New Roman" w:cs="Calibri"/>
                <w:bCs/>
                <w:color w:val="000000"/>
                <w:sz w:val="20"/>
                <w:lang w:eastAsia="sk-SK"/>
              </w:rPr>
              <w:t>Univerzita sv. Cyrila a Metoda v Trnave</w:t>
            </w:r>
          </w:p>
        </w:tc>
        <w:tc>
          <w:tcPr>
            <w:tcW w:w="707" w:type="pct"/>
            <w:gridSpan w:val="2"/>
            <w:tcBorders>
              <w:top w:val="nil"/>
              <w:left w:val="nil"/>
              <w:bottom w:val="nil"/>
              <w:right w:val="nil"/>
            </w:tcBorders>
            <w:shd w:val="clear" w:color="auto" w:fill="auto"/>
            <w:noWrap/>
            <w:vAlign w:val="bottom"/>
            <w:hideMark/>
          </w:tcPr>
          <w:p w14:paraId="529CF993"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5 203</w:t>
            </w:r>
          </w:p>
        </w:tc>
        <w:tc>
          <w:tcPr>
            <w:tcW w:w="932" w:type="pct"/>
            <w:tcBorders>
              <w:top w:val="nil"/>
              <w:left w:val="nil"/>
              <w:bottom w:val="nil"/>
              <w:right w:val="nil"/>
            </w:tcBorders>
            <w:shd w:val="clear" w:color="auto" w:fill="auto"/>
            <w:noWrap/>
            <w:vAlign w:val="bottom"/>
            <w:hideMark/>
          </w:tcPr>
          <w:p w14:paraId="6B1F5185"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28</w:t>
            </w:r>
          </w:p>
        </w:tc>
        <w:tc>
          <w:tcPr>
            <w:tcW w:w="954" w:type="pct"/>
            <w:tcBorders>
              <w:top w:val="nil"/>
              <w:left w:val="nil"/>
              <w:bottom w:val="nil"/>
              <w:right w:val="nil"/>
            </w:tcBorders>
            <w:shd w:val="clear" w:color="auto" w:fill="auto"/>
            <w:noWrap/>
            <w:vAlign w:val="bottom"/>
            <w:hideMark/>
          </w:tcPr>
          <w:p w14:paraId="2B874258"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0,5%</w:t>
            </w:r>
          </w:p>
        </w:tc>
      </w:tr>
      <w:tr w:rsidR="001B34C7" w:rsidRPr="00922C7B" w14:paraId="3242B7A6" w14:textId="77777777" w:rsidTr="009C4F06">
        <w:trPr>
          <w:trHeight w:val="300"/>
          <w:jc w:val="center"/>
        </w:trPr>
        <w:tc>
          <w:tcPr>
            <w:tcW w:w="2407" w:type="pct"/>
            <w:tcBorders>
              <w:top w:val="nil"/>
              <w:left w:val="nil"/>
              <w:bottom w:val="nil"/>
            </w:tcBorders>
            <w:shd w:val="clear" w:color="auto" w:fill="auto"/>
            <w:noWrap/>
            <w:vAlign w:val="bottom"/>
            <w:hideMark/>
          </w:tcPr>
          <w:p w14:paraId="167F7DE9" w14:textId="77777777" w:rsidR="001B34C7" w:rsidRPr="00B94989" w:rsidRDefault="001B34C7" w:rsidP="002E33D9">
            <w:pPr>
              <w:spacing w:after="0" w:line="240" w:lineRule="auto"/>
              <w:rPr>
                <w:rFonts w:eastAsia="Times New Roman" w:cs="Calibri"/>
                <w:bCs/>
                <w:color w:val="000000"/>
                <w:sz w:val="20"/>
                <w:lang w:eastAsia="sk-SK"/>
              </w:rPr>
            </w:pPr>
            <w:r w:rsidRPr="00B94989">
              <w:rPr>
                <w:rFonts w:eastAsia="Times New Roman" w:cs="Calibri"/>
                <w:bCs/>
                <w:color w:val="000000"/>
                <w:sz w:val="20"/>
                <w:lang w:eastAsia="sk-SK"/>
              </w:rPr>
              <w:t>Prešovská univerzita v Prešove</w:t>
            </w:r>
          </w:p>
        </w:tc>
        <w:tc>
          <w:tcPr>
            <w:tcW w:w="707" w:type="pct"/>
            <w:gridSpan w:val="2"/>
            <w:tcBorders>
              <w:top w:val="nil"/>
              <w:left w:val="nil"/>
              <w:bottom w:val="nil"/>
              <w:right w:val="nil"/>
            </w:tcBorders>
            <w:shd w:val="clear" w:color="auto" w:fill="auto"/>
            <w:noWrap/>
            <w:vAlign w:val="bottom"/>
            <w:hideMark/>
          </w:tcPr>
          <w:p w14:paraId="340E131C"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7 990</w:t>
            </w:r>
          </w:p>
        </w:tc>
        <w:tc>
          <w:tcPr>
            <w:tcW w:w="932" w:type="pct"/>
            <w:tcBorders>
              <w:top w:val="nil"/>
              <w:left w:val="nil"/>
              <w:bottom w:val="nil"/>
              <w:right w:val="nil"/>
            </w:tcBorders>
            <w:shd w:val="clear" w:color="auto" w:fill="auto"/>
            <w:noWrap/>
            <w:vAlign w:val="bottom"/>
            <w:hideMark/>
          </w:tcPr>
          <w:p w14:paraId="1AFFED3E"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41</w:t>
            </w:r>
          </w:p>
        </w:tc>
        <w:tc>
          <w:tcPr>
            <w:tcW w:w="954" w:type="pct"/>
            <w:tcBorders>
              <w:top w:val="nil"/>
              <w:left w:val="nil"/>
              <w:bottom w:val="nil"/>
              <w:right w:val="nil"/>
            </w:tcBorders>
            <w:shd w:val="clear" w:color="auto" w:fill="auto"/>
            <w:noWrap/>
            <w:vAlign w:val="bottom"/>
            <w:hideMark/>
          </w:tcPr>
          <w:p w14:paraId="673D35B8"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0,5%</w:t>
            </w:r>
          </w:p>
        </w:tc>
      </w:tr>
      <w:tr w:rsidR="001B34C7" w:rsidRPr="00922C7B" w14:paraId="75B60692" w14:textId="77777777" w:rsidTr="009C4F06">
        <w:trPr>
          <w:trHeight w:val="300"/>
          <w:jc w:val="center"/>
        </w:trPr>
        <w:tc>
          <w:tcPr>
            <w:tcW w:w="2407" w:type="pct"/>
            <w:tcBorders>
              <w:top w:val="nil"/>
              <w:left w:val="nil"/>
              <w:bottom w:val="nil"/>
            </w:tcBorders>
            <w:shd w:val="clear" w:color="auto" w:fill="auto"/>
            <w:noWrap/>
            <w:vAlign w:val="bottom"/>
            <w:hideMark/>
          </w:tcPr>
          <w:p w14:paraId="448C330C" w14:textId="77777777" w:rsidR="001B34C7" w:rsidRPr="00B94989" w:rsidRDefault="001B34C7" w:rsidP="002E33D9">
            <w:pPr>
              <w:spacing w:after="0" w:line="240" w:lineRule="auto"/>
              <w:rPr>
                <w:rFonts w:eastAsia="Times New Roman" w:cs="Calibri"/>
                <w:bCs/>
                <w:color w:val="000000"/>
                <w:sz w:val="20"/>
                <w:lang w:eastAsia="sk-SK"/>
              </w:rPr>
            </w:pPr>
            <w:r w:rsidRPr="00B94989">
              <w:rPr>
                <w:rFonts w:eastAsia="Times New Roman" w:cs="Calibri"/>
                <w:bCs/>
                <w:color w:val="000000"/>
                <w:sz w:val="20"/>
                <w:lang w:eastAsia="sk-SK"/>
              </w:rPr>
              <w:t>Žilinská univerzita v Žiline</w:t>
            </w:r>
          </w:p>
        </w:tc>
        <w:tc>
          <w:tcPr>
            <w:tcW w:w="707" w:type="pct"/>
            <w:gridSpan w:val="2"/>
            <w:tcBorders>
              <w:top w:val="nil"/>
              <w:left w:val="nil"/>
              <w:bottom w:val="nil"/>
              <w:right w:val="nil"/>
            </w:tcBorders>
            <w:shd w:val="clear" w:color="auto" w:fill="auto"/>
            <w:noWrap/>
            <w:vAlign w:val="bottom"/>
            <w:hideMark/>
          </w:tcPr>
          <w:p w14:paraId="518F21BC"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7 179</w:t>
            </w:r>
          </w:p>
        </w:tc>
        <w:tc>
          <w:tcPr>
            <w:tcW w:w="932" w:type="pct"/>
            <w:tcBorders>
              <w:top w:val="nil"/>
              <w:left w:val="nil"/>
              <w:bottom w:val="nil"/>
              <w:right w:val="nil"/>
            </w:tcBorders>
            <w:shd w:val="clear" w:color="auto" w:fill="auto"/>
            <w:noWrap/>
            <w:vAlign w:val="bottom"/>
            <w:hideMark/>
          </w:tcPr>
          <w:p w14:paraId="7B0E02FC"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30</w:t>
            </w:r>
          </w:p>
        </w:tc>
        <w:tc>
          <w:tcPr>
            <w:tcW w:w="954" w:type="pct"/>
            <w:tcBorders>
              <w:top w:val="nil"/>
              <w:left w:val="nil"/>
              <w:bottom w:val="nil"/>
              <w:right w:val="nil"/>
            </w:tcBorders>
            <w:shd w:val="clear" w:color="auto" w:fill="auto"/>
            <w:noWrap/>
            <w:vAlign w:val="bottom"/>
            <w:hideMark/>
          </w:tcPr>
          <w:p w14:paraId="639567A5"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0,4%</w:t>
            </w:r>
          </w:p>
        </w:tc>
      </w:tr>
      <w:tr w:rsidR="001B34C7" w:rsidRPr="00922C7B" w14:paraId="620782D6" w14:textId="77777777" w:rsidTr="009C4F06">
        <w:trPr>
          <w:trHeight w:val="300"/>
          <w:jc w:val="center"/>
        </w:trPr>
        <w:tc>
          <w:tcPr>
            <w:tcW w:w="2407" w:type="pct"/>
            <w:tcBorders>
              <w:top w:val="nil"/>
              <w:left w:val="nil"/>
            </w:tcBorders>
            <w:shd w:val="clear" w:color="auto" w:fill="auto"/>
            <w:noWrap/>
            <w:vAlign w:val="bottom"/>
            <w:hideMark/>
          </w:tcPr>
          <w:p w14:paraId="632702E0" w14:textId="77777777" w:rsidR="001B34C7" w:rsidRPr="00B94989" w:rsidRDefault="001B34C7" w:rsidP="002E33D9">
            <w:pPr>
              <w:spacing w:after="0" w:line="240" w:lineRule="auto"/>
              <w:rPr>
                <w:rFonts w:eastAsia="Times New Roman" w:cs="Calibri"/>
                <w:bCs/>
                <w:color w:val="000000"/>
                <w:sz w:val="20"/>
                <w:lang w:eastAsia="sk-SK"/>
              </w:rPr>
            </w:pPr>
            <w:r w:rsidRPr="00B94989">
              <w:rPr>
                <w:rFonts w:eastAsia="Times New Roman" w:cs="Calibri"/>
                <w:bCs/>
                <w:color w:val="000000"/>
                <w:sz w:val="20"/>
                <w:lang w:eastAsia="sk-SK"/>
              </w:rPr>
              <w:t>Akadémia umení v Banskej Bystrici</w:t>
            </w:r>
          </w:p>
        </w:tc>
        <w:tc>
          <w:tcPr>
            <w:tcW w:w="707" w:type="pct"/>
            <w:gridSpan w:val="2"/>
            <w:tcBorders>
              <w:top w:val="nil"/>
              <w:left w:val="nil"/>
              <w:right w:val="nil"/>
            </w:tcBorders>
            <w:shd w:val="clear" w:color="auto" w:fill="auto"/>
            <w:noWrap/>
            <w:vAlign w:val="bottom"/>
            <w:hideMark/>
          </w:tcPr>
          <w:p w14:paraId="6AA644AE"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516</w:t>
            </w:r>
          </w:p>
        </w:tc>
        <w:tc>
          <w:tcPr>
            <w:tcW w:w="932" w:type="pct"/>
            <w:tcBorders>
              <w:top w:val="nil"/>
              <w:left w:val="nil"/>
              <w:right w:val="nil"/>
            </w:tcBorders>
            <w:shd w:val="clear" w:color="auto" w:fill="auto"/>
            <w:noWrap/>
            <w:vAlign w:val="bottom"/>
            <w:hideMark/>
          </w:tcPr>
          <w:p w14:paraId="07A5CA57"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1</w:t>
            </w:r>
          </w:p>
        </w:tc>
        <w:tc>
          <w:tcPr>
            <w:tcW w:w="954" w:type="pct"/>
            <w:tcBorders>
              <w:top w:val="nil"/>
              <w:left w:val="nil"/>
              <w:right w:val="nil"/>
            </w:tcBorders>
            <w:shd w:val="clear" w:color="auto" w:fill="auto"/>
            <w:noWrap/>
            <w:vAlign w:val="bottom"/>
            <w:hideMark/>
          </w:tcPr>
          <w:p w14:paraId="7E501A22" w14:textId="77777777" w:rsidR="001B34C7" w:rsidRPr="00922C7B" w:rsidRDefault="001B34C7" w:rsidP="002E33D9">
            <w:pPr>
              <w:spacing w:after="0" w:line="240" w:lineRule="auto"/>
              <w:jc w:val="center"/>
              <w:rPr>
                <w:rFonts w:eastAsia="Times New Roman" w:cs="Calibri"/>
                <w:color w:val="000000"/>
                <w:sz w:val="20"/>
                <w:lang w:eastAsia="sk-SK"/>
              </w:rPr>
            </w:pPr>
            <w:r w:rsidRPr="00922C7B">
              <w:rPr>
                <w:rFonts w:eastAsia="Times New Roman" w:cs="Calibri"/>
                <w:color w:val="000000"/>
                <w:sz w:val="20"/>
                <w:lang w:eastAsia="sk-SK"/>
              </w:rPr>
              <w:t>0,2%</w:t>
            </w:r>
          </w:p>
        </w:tc>
      </w:tr>
      <w:tr w:rsidR="001B34C7" w:rsidRPr="00922C7B" w14:paraId="4176971A" w14:textId="77777777" w:rsidTr="009C4F06">
        <w:trPr>
          <w:trHeight w:val="300"/>
          <w:jc w:val="center"/>
        </w:trPr>
        <w:tc>
          <w:tcPr>
            <w:tcW w:w="2407" w:type="pct"/>
            <w:tcBorders>
              <w:left w:val="nil"/>
              <w:bottom w:val="single" w:sz="4" w:space="0" w:color="auto"/>
            </w:tcBorders>
            <w:shd w:val="clear" w:color="auto" w:fill="auto"/>
            <w:noWrap/>
            <w:vAlign w:val="center"/>
            <w:hideMark/>
          </w:tcPr>
          <w:p w14:paraId="55332894" w14:textId="77777777" w:rsidR="001B34C7" w:rsidRPr="00922C7B" w:rsidRDefault="001B34C7" w:rsidP="002E33D9">
            <w:pPr>
              <w:spacing w:after="0" w:line="240" w:lineRule="auto"/>
              <w:rPr>
                <w:rFonts w:eastAsia="Times New Roman" w:cs="Calibri"/>
                <w:b/>
                <w:bCs/>
                <w:color w:val="000000"/>
                <w:sz w:val="20"/>
                <w:lang w:eastAsia="sk-SK"/>
              </w:rPr>
            </w:pPr>
            <w:r w:rsidRPr="00922C7B">
              <w:rPr>
                <w:rFonts w:eastAsia="Times New Roman" w:cs="Calibri"/>
                <w:b/>
                <w:bCs/>
                <w:color w:val="000000"/>
                <w:sz w:val="20"/>
                <w:lang w:eastAsia="sk-SK"/>
              </w:rPr>
              <w:t>SPOLU</w:t>
            </w:r>
          </w:p>
        </w:tc>
        <w:tc>
          <w:tcPr>
            <w:tcW w:w="707" w:type="pct"/>
            <w:gridSpan w:val="2"/>
            <w:tcBorders>
              <w:left w:val="nil"/>
              <w:bottom w:val="single" w:sz="4" w:space="0" w:color="auto"/>
              <w:right w:val="nil"/>
            </w:tcBorders>
            <w:shd w:val="clear" w:color="auto" w:fill="auto"/>
            <w:noWrap/>
            <w:vAlign w:val="center"/>
            <w:hideMark/>
          </w:tcPr>
          <w:p w14:paraId="26A891A1" w14:textId="77777777" w:rsidR="001B34C7" w:rsidRPr="00922C7B" w:rsidRDefault="001B34C7" w:rsidP="002E33D9">
            <w:pPr>
              <w:spacing w:after="0" w:line="240" w:lineRule="auto"/>
              <w:jc w:val="center"/>
              <w:rPr>
                <w:rFonts w:eastAsia="Times New Roman" w:cs="Calibri"/>
                <w:b/>
                <w:bCs/>
                <w:color w:val="000000"/>
                <w:sz w:val="20"/>
                <w:lang w:eastAsia="sk-SK"/>
              </w:rPr>
            </w:pPr>
            <w:r w:rsidRPr="00922C7B">
              <w:rPr>
                <w:rFonts w:eastAsia="Times New Roman" w:cs="Calibri"/>
                <w:b/>
                <w:bCs/>
                <w:color w:val="000000"/>
                <w:sz w:val="20"/>
                <w:lang w:eastAsia="sk-SK"/>
              </w:rPr>
              <w:t>110 232</w:t>
            </w:r>
          </w:p>
        </w:tc>
        <w:tc>
          <w:tcPr>
            <w:tcW w:w="932" w:type="pct"/>
            <w:tcBorders>
              <w:left w:val="nil"/>
              <w:bottom w:val="single" w:sz="4" w:space="0" w:color="auto"/>
              <w:right w:val="nil"/>
            </w:tcBorders>
            <w:shd w:val="clear" w:color="auto" w:fill="auto"/>
            <w:noWrap/>
            <w:vAlign w:val="center"/>
            <w:hideMark/>
          </w:tcPr>
          <w:p w14:paraId="2BE79B7D" w14:textId="77777777" w:rsidR="001B34C7" w:rsidRPr="00922C7B" w:rsidRDefault="001B34C7" w:rsidP="002E33D9">
            <w:pPr>
              <w:spacing w:after="0" w:line="240" w:lineRule="auto"/>
              <w:jc w:val="center"/>
              <w:rPr>
                <w:rFonts w:eastAsia="Times New Roman" w:cs="Calibri"/>
                <w:b/>
                <w:bCs/>
                <w:color w:val="000000"/>
                <w:sz w:val="20"/>
                <w:lang w:eastAsia="sk-SK"/>
              </w:rPr>
            </w:pPr>
            <w:r w:rsidRPr="00922C7B">
              <w:rPr>
                <w:rFonts w:eastAsia="Times New Roman" w:cs="Calibri"/>
                <w:b/>
                <w:bCs/>
                <w:color w:val="000000"/>
                <w:sz w:val="20"/>
                <w:lang w:eastAsia="sk-SK"/>
              </w:rPr>
              <w:t>1 054</w:t>
            </w:r>
          </w:p>
        </w:tc>
        <w:tc>
          <w:tcPr>
            <w:tcW w:w="954" w:type="pct"/>
            <w:tcBorders>
              <w:left w:val="nil"/>
              <w:bottom w:val="single" w:sz="4" w:space="0" w:color="auto"/>
              <w:right w:val="nil"/>
            </w:tcBorders>
            <w:shd w:val="clear" w:color="auto" w:fill="auto"/>
            <w:noWrap/>
            <w:vAlign w:val="center"/>
            <w:hideMark/>
          </w:tcPr>
          <w:p w14:paraId="6F44E79E" w14:textId="77777777" w:rsidR="001B34C7" w:rsidRPr="00922C7B" w:rsidRDefault="001B34C7" w:rsidP="002E33D9">
            <w:pPr>
              <w:spacing w:after="0" w:line="240" w:lineRule="auto"/>
              <w:jc w:val="center"/>
              <w:rPr>
                <w:rFonts w:eastAsia="Times New Roman" w:cs="Calibri"/>
                <w:b/>
                <w:bCs/>
                <w:color w:val="000000"/>
                <w:sz w:val="20"/>
                <w:lang w:eastAsia="sk-SK"/>
              </w:rPr>
            </w:pPr>
            <w:r w:rsidRPr="00922C7B">
              <w:rPr>
                <w:rFonts w:eastAsia="Times New Roman" w:cs="Calibri"/>
                <w:b/>
                <w:bCs/>
                <w:color w:val="000000"/>
                <w:sz w:val="20"/>
                <w:lang w:eastAsia="sk-SK"/>
              </w:rPr>
              <w:t>0,96%</w:t>
            </w:r>
          </w:p>
        </w:tc>
      </w:tr>
      <w:tr w:rsidR="001B34C7" w:rsidRPr="00922C7B" w14:paraId="6FF4AC97" w14:textId="77777777" w:rsidTr="000A3C71">
        <w:trPr>
          <w:trHeight w:val="300"/>
          <w:jc w:val="center"/>
        </w:trPr>
        <w:tc>
          <w:tcPr>
            <w:tcW w:w="2905" w:type="pct"/>
            <w:gridSpan w:val="2"/>
            <w:tcBorders>
              <w:top w:val="single" w:sz="4" w:space="0" w:color="auto"/>
              <w:left w:val="nil"/>
              <w:bottom w:val="nil"/>
              <w:right w:val="nil"/>
            </w:tcBorders>
            <w:shd w:val="clear" w:color="auto" w:fill="auto"/>
            <w:noWrap/>
            <w:hideMark/>
          </w:tcPr>
          <w:p w14:paraId="7D8FA046" w14:textId="77777777" w:rsidR="001B34C7" w:rsidRPr="00922C7B" w:rsidRDefault="001B34C7" w:rsidP="002E33D9">
            <w:pPr>
              <w:spacing w:after="0" w:line="240" w:lineRule="auto"/>
              <w:rPr>
                <w:rFonts w:eastAsia="Times New Roman" w:cs="Calibri"/>
                <w:b/>
                <w:bCs/>
                <w:color w:val="000000"/>
                <w:sz w:val="20"/>
                <w:lang w:eastAsia="sk-SK"/>
              </w:rPr>
            </w:pPr>
            <w:r w:rsidRPr="00922C7B">
              <w:rPr>
                <w:rFonts w:eastAsia="Times New Roman" w:cs="Calibri"/>
                <w:i/>
                <w:iCs/>
                <w:color w:val="000000"/>
                <w:sz w:val="18"/>
                <w:szCs w:val="18"/>
                <w:lang w:eastAsia="sk-SK"/>
              </w:rPr>
              <w:t>Počet študentov so špecifickými po</w:t>
            </w:r>
            <w:r>
              <w:rPr>
                <w:rFonts w:eastAsia="Times New Roman" w:cs="Calibri"/>
                <w:i/>
                <w:iCs/>
                <w:color w:val="000000"/>
                <w:sz w:val="18"/>
                <w:szCs w:val="18"/>
                <w:lang w:eastAsia="sk-SK"/>
              </w:rPr>
              <w:t>trebami je uvedený k 31.12.2017.</w:t>
            </w:r>
          </w:p>
        </w:tc>
        <w:tc>
          <w:tcPr>
            <w:tcW w:w="2095" w:type="pct"/>
            <w:gridSpan w:val="3"/>
            <w:tcBorders>
              <w:top w:val="single" w:sz="4" w:space="0" w:color="auto"/>
              <w:left w:val="nil"/>
              <w:bottom w:val="nil"/>
              <w:right w:val="nil"/>
            </w:tcBorders>
            <w:shd w:val="clear" w:color="auto" w:fill="auto"/>
            <w:noWrap/>
            <w:hideMark/>
          </w:tcPr>
          <w:p w14:paraId="0A04A9D9" w14:textId="77777777" w:rsidR="001B34C7" w:rsidRPr="00922C7B" w:rsidRDefault="001B34C7" w:rsidP="002E33D9">
            <w:pPr>
              <w:spacing w:after="0" w:line="240" w:lineRule="auto"/>
              <w:jc w:val="right"/>
              <w:rPr>
                <w:rFonts w:ascii="Times New Roman" w:eastAsia="Times New Roman" w:hAnsi="Times New Roman" w:cs="Times New Roman"/>
                <w:sz w:val="20"/>
                <w:lang w:eastAsia="sk-SK"/>
              </w:rPr>
            </w:pPr>
            <w:r w:rsidRPr="00922C7B">
              <w:rPr>
                <w:rFonts w:eastAsia="Times New Roman" w:cs="Calibri"/>
                <w:i/>
                <w:iCs/>
                <w:color w:val="000000"/>
                <w:sz w:val="18"/>
                <w:szCs w:val="18"/>
                <w:lang w:eastAsia="sk-SK"/>
              </w:rPr>
              <w:t>Zdroj: Vlastné prepočty IVP na základe údajov z rozpočtu vysokých škôl (2018).</w:t>
            </w:r>
          </w:p>
        </w:tc>
      </w:tr>
    </w:tbl>
    <w:p w14:paraId="188E16FE" w14:textId="77777777" w:rsidR="001B34C7" w:rsidRDefault="001B34C7" w:rsidP="001B34C7">
      <w:pPr>
        <w:jc w:val="center"/>
        <w:rPr>
          <w:b/>
          <w:sz w:val="20"/>
        </w:rPr>
      </w:pPr>
    </w:p>
    <w:p w14:paraId="1CD2C207" w14:textId="77777777" w:rsidR="00A335E5" w:rsidRDefault="00A335E5" w:rsidP="001B34C7">
      <w:pPr>
        <w:rPr>
          <w:b/>
          <w:color w:val="2E74B5" w:themeColor="accent1" w:themeShade="BF"/>
        </w:rPr>
      </w:pPr>
      <w:bookmarkStart w:id="1942" w:name="_Ref25844919"/>
      <w:r>
        <w:rPr>
          <w:b/>
          <w:color w:val="2E74B5" w:themeColor="accent1" w:themeShade="BF"/>
        </w:rPr>
        <w:br w:type="page"/>
      </w:r>
    </w:p>
    <w:p w14:paraId="24C40DD2" w14:textId="77777777" w:rsidR="002B2CCB" w:rsidRDefault="002B2CCB" w:rsidP="001B34C7">
      <w:pPr>
        <w:rPr>
          <w:b/>
          <w:color w:val="2E74B5" w:themeColor="accent1" w:themeShade="BF"/>
        </w:rPr>
        <w:sectPr w:rsidR="002B2CCB" w:rsidSect="00A335E5">
          <w:pgSz w:w="16838" w:h="11906" w:orient="landscape" w:code="9"/>
          <w:pgMar w:top="1440" w:right="1440" w:bottom="1378" w:left="1440" w:header="708" w:footer="646" w:gutter="0"/>
          <w:cols w:space="708"/>
          <w:docGrid w:linePitch="360"/>
        </w:sectPr>
      </w:pPr>
      <w:bookmarkStart w:id="1943" w:name="_Ref34131725"/>
    </w:p>
    <w:p w14:paraId="1E14C4C0" w14:textId="4FA91629" w:rsidR="001B34C7" w:rsidRPr="005C3DA5" w:rsidRDefault="001B34C7" w:rsidP="001B34C7">
      <w:pPr>
        <w:rPr>
          <w:b/>
        </w:rPr>
      </w:pPr>
      <w:bookmarkStart w:id="1944" w:name="_Ref34215182"/>
      <w:r w:rsidRPr="005C3DA5">
        <w:rPr>
          <w:b/>
          <w:color w:val="2E74B5" w:themeColor="accent1" w:themeShade="BF"/>
        </w:rPr>
        <w:t xml:space="preserve">Príloha </w:t>
      </w:r>
      <w:r w:rsidRPr="005C3DA5">
        <w:rPr>
          <w:b/>
          <w:i/>
          <w:color w:val="2E74B5" w:themeColor="accent1" w:themeShade="BF"/>
        </w:rPr>
        <w:fldChar w:fldCharType="begin"/>
      </w:r>
      <w:r w:rsidRPr="005C3DA5">
        <w:rPr>
          <w:b/>
          <w:color w:val="2E74B5" w:themeColor="accent1" w:themeShade="BF"/>
        </w:rPr>
        <w:instrText xml:space="preserve"> SEQ Príloha \* ARABIC </w:instrText>
      </w:r>
      <w:r w:rsidRPr="005C3DA5">
        <w:rPr>
          <w:b/>
          <w:i/>
          <w:color w:val="2E74B5" w:themeColor="accent1" w:themeShade="BF"/>
        </w:rPr>
        <w:fldChar w:fldCharType="separate"/>
      </w:r>
      <w:r w:rsidR="00FA29AF">
        <w:rPr>
          <w:b/>
          <w:noProof/>
          <w:color w:val="2E74B5" w:themeColor="accent1" w:themeShade="BF"/>
        </w:rPr>
        <w:t>35</w:t>
      </w:r>
      <w:r w:rsidRPr="005C3DA5">
        <w:rPr>
          <w:b/>
          <w:i/>
          <w:color w:val="2E74B5" w:themeColor="accent1" w:themeShade="BF"/>
        </w:rPr>
        <w:fldChar w:fldCharType="end"/>
      </w:r>
      <w:bookmarkEnd w:id="1942"/>
      <w:bookmarkEnd w:id="1943"/>
      <w:bookmarkEnd w:id="1944"/>
      <w:r w:rsidRPr="005C3DA5">
        <w:rPr>
          <w:b/>
          <w:color w:val="2E74B5" w:themeColor="accent1" w:themeShade="BF"/>
        </w:rPr>
        <w:t>: Prehľad o výške podpory pre študentov s jednotlivými druhmi zdravotného znevýhodnenia</w:t>
      </w:r>
    </w:p>
    <w:p w14:paraId="467687C3" w14:textId="3D4208DA" w:rsidR="004E7C0A" w:rsidRPr="000A3C71" w:rsidRDefault="004E7C0A" w:rsidP="00A77253">
      <w:pPr>
        <w:pStyle w:val="Popis"/>
        <w:keepNext/>
        <w:spacing w:after="0"/>
        <w:rPr>
          <w:b/>
          <w:i w:val="0"/>
          <w:color w:val="auto"/>
          <w:sz w:val="20"/>
        </w:rPr>
      </w:pPr>
      <w:r w:rsidRPr="000A3C71">
        <w:rPr>
          <w:b/>
          <w:i w:val="0"/>
          <w:color w:val="auto"/>
          <w:sz w:val="20"/>
        </w:rPr>
        <w:t xml:space="preserve">Tabuľka P </w:t>
      </w:r>
      <w:r w:rsidRPr="000A3C71">
        <w:rPr>
          <w:b/>
          <w:i w:val="0"/>
          <w:color w:val="auto"/>
          <w:sz w:val="20"/>
        </w:rPr>
        <w:fldChar w:fldCharType="begin"/>
      </w:r>
      <w:r w:rsidRPr="000A3C71">
        <w:rPr>
          <w:b/>
          <w:i w:val="0"/>
          <w:color w:val="auto"/>
          <w:sz w:val="20"/>
        </w:rPr>
        <w:instrText xml:space="preserve"> SEQ Tabuľka_P \* ARABIC </w:instrText>
      </w:r>
      <w:r w:rsidRPr="000A3C71">
        <w:rPr>
          <w:b/>
          <w:i w:val="0"/>
          <w:color w:val="auto"/>
          <w:sz w:val="20"/>
        </w:rPr>
        <w:fldChar w:fldCharType="separate"/>
      </w:r>
      <w:r w:rsidR="00FA29AF">
        <w:rPr>
          <w:b/>
          <w:i w:val="0"/>
          <w:noProof/>
          <w:color w:val="auto"/>
          <w:sz w:val="20"/>
        </w:rPr>
        <w:t>29</w:t>
      </w:r>
      <w:r w:rsidRPr="000A3C71">
        <w:rPr>
          <w:b/>
          <w:i w:val="0"/>
          <w:color w:val="auto"/>
          <w:sz w:val="20"/>
        </w:rPr>
        <w:fldChar w:fldCharType="end"/>
      </w:r>
      <w:r w:rsidR="000A3C71" w:rsidRPr="000A3C71">
        <w:rPr>
          <w:b/>
          <w:i w:val="0"/>
          <w:color w:val="auto"/>
          <w:sz w:val="20"/>
        </w:rPr>
        <w:t>: Prehľad o výške podpory pre študentov s jednotlivými druhmi zdravotného znevýhodnenia</w:t>
      </w:r>
    </w:p>
    <w:tbl>
      <w:tblPr>
        <w:tblW w:w="5000" w:type="pct"/>
        <w:tblCellMar>
          <w:left w:w="70" w:type="dxa"/>
          <w:right w:w="70" w:type="dxa"/>
        </w:tblCellMar>
        <w:tblLook w:val="04A0" w:firstRow="1" w:lastRow="0" w:firstColumn="1" w:lastColumn="0" w:noHBand="0" w:noVBand="1"/>
      </w:tblPr>
      <w:tblGrid>
        <w:gridCol w:w="4820"/>
        <w:gridCol w:w="1559"/>
        <w:gridCol w:w="582"/>
        <w:gridCol w:w="709"/>
        <w:gridCol w:w="709"/>
        <w:gridCol w:w="658"/>
        <w:gridCol w:w="51"/>
      </w:tblGrid>
      <w:tr w:rsidR="001B34C7" w:rsidRPr="002E78BA" w14:paraId="13E15715" w14:textId="77777777" w:rsidTr="002B2CCB">
        <w:trPr>
          <w:trHeight w:val="284"/>
        </w:trPr>
        <w:tc>
          <w:tcPr>
            <w:tcW w:w="4820" w:type="dxa"/>
            <w:tcBorders>
              <w:top w:val="single" w:sz="4" w:space="0" w:color="auto"/>
              <w:left w:val="nil"/>
              <w:bottom w:val="single" w:sz="4" w:space="0" w:color="auto"/>
            </w:tcBorders>
            <w:shd w:val="clear" w:color="auto" w:fill="auto"/>
            <w:noWrap/>
            <w:vAlign w:val="bottom"/>
            <w:hideMark/>
          </w:tcPr>
          <w:p w14:paraId="1DCCAF40" w14:textId="77777777" w:rsidR="001B34C7" w:rsidRPr="002E78BA" w:rsidRDefault="001B34C7" w:rsidP="002E33D9">
            <w:pPr>
              <w:spacing w:after="0" w:line="240" w:lineRule="auto"/>
              <w:rPr>
                <w:rFonts w:eastAsia="Times New Roman" w:cs="Calibri"/>
                <w:b/>
                <w:bCs/>
                <w:color w:val="000000"/>
                <w:sz w:val="20"/>
                <w:lang w:eastAsia="sk-SK"/>
              </w:rPr>
            </w:pPr>
            <w:r w:rsidRPr="002E78BA">
              <w:rPr>
                <w:rFonts w:eastAsia="Times New Roman" w:cs="Calibri"/>
                <w:b/>
                <w:bCs/>
                <w:color w:val="000000"/>
                <w:sz w:val="20"/>
                <w:lang w:eastAsia="sk-SK"/>
              </w:rPr>
              <w:t> </w:t>
            </w:r>
          </w:p>
        </w:tc>
        <w:tc>
          <w:tcPr>
            <w:tcW w:w="1559" w:type="dxa"/>
            <w:tcBorders>
              <w:top w:val="single" w:sz="4" w:space="0" w:color="auto"/>
              <w:left w:val="nil"/>
              <w:bottom w:val="single" w:sz="4" w:space="0" w:color="auto"/>
              <w:right w:val="nil"/>
            </w:tcBorders>
            <w:shd w:val="clear" w:color="auto" w:fill="auto"/>
            <w:vAlign w:val="bottom"/>
            <w:hideMark/>
          </w:tcPr>
          <w:p w14:paraId="506BF840" w14:textId="77777777" w:rsidR="001B34C7" w:rsidRPr="002E78BA" w:rsidRDefault="001B34C7" w:rsidP="002E33D9">
            <w:pPr>
              <w:spacing w:after="0" w:line="240" w:lineRule="auto"/>
              <w:jc w:val="center"/>
              <w:rPr>
                <w:rFonts w:eastAsia="Times New Roman" w:cs="Calibri"/>
                <w:b/>
                <w:bCs/>
                <w:color w:val="000000"/>
                <w:sz w:val="20"/>
                <w:lang w:eastAsia="sk-SK"/>
              </w:rPr>
            </w:pPr>
            <w:r w:rsidRPr="002E78BA">
              <w:rPr>
                <w:rFonts w:eastAsia="Times New Roman" w:cs="Calibri"/>
                <w:b/>
                <w:bCs/>
                <w:color w:val="000000"/>
                <w:sz w:val="20"/>
                <w:lang w:eastAsia="sk-SK"/>
              </w:rPr>
              <w:t>Výška stanovenej podpory</w:t>
            </w:r>
          </w:p>
        </w:tc>
        <w:tc>
          <w:tcPr>
            <w:tcW w:w="582" w:type="dxa"/>
            <w:tcBorders>
              <w:top w:val="single" w:sz="4" w:space="0" w:color="auto"/>
              <w:left w:val="nil"/>
              <w:bottom w:val="single" w:sz="4" w:space="0" w:color="auto"/>
              <w:right w:val="nil"/>
            </w:tcBorders>
            <w:shd w:val="clear" w:color="auto" w:fill="auto"/>
            <w:noWrap/>
            <w:vAlign w:val="bottom"/>
            <w:hideMark/>
          </w:tcPr>
          <w:p w14:paraId="591F8C76" w14:textId="77777777" w:rsidR="001B34C7" w:rsidRPr="002E78BA" w:rsidRDefault="001B34C7" w:rsidP="002E33D9">
            <w:pPr>
              <w:spacing w:after="0" w:line="240" w:lineRule="auto"/>
              <w:jc w:val="center"/>
              <w:rPr>
                <w:rFonts w:eastAsia="Times New Roman" w:cs="Calibri"/>
                <w:b/>
                <w:bCs/>
                <w:color w:val="000000"/>
                <w:sz w:val="20"/>
                <w:lang w:eastAsia="sk-SK"/>
              </w:rPr>
            </w:pPr>
            <w:r w:rsidRPr="002E78BA">
              <w:rPr>
                <w:rFonts w:eastAsia="Times New Roman" w:cs="Calibri"/>
                <w:b/>
                <w:bCs/>
                <w:color w:val="000000"/>
                <w:sz w:val="20"/>
                <w:lang w:eastAsia="sk-SK"/>
              </w:rPr>
              <w:t>2015</w:t>
            </w:r>
          </w:p>
        </w:tc>
        <w:tc>
          <w:tcPr>
            <w:tcW w:w="709" w:type="dxa"/>
            <w:tcBorders>
              <w:top w:val="single" w:sz="4" w:space="0" w:color="auto"/>
              <w:left w:val="nil"/>
              <w:bottom w:val="single" w:sz="4" w:space="0" w:color="auto"/>
              <w:right w:val="nil"/>
            </w:tcBorders>
            <w:shd w:val="clear" w:color="auto" w:fill="auto"/>
            <w:noWrap/>
            <w:vAlign w:val="bottom"/>
            <w:hideMark/>
          </w:tcPr>
          <w:p w14:paraId="2A5C6336" w14:textId="77777777" w:rsidR="001B34C7" w:rsidRPr="002E78BA" w:rsidRDefault="001B34C7" w:rsidP="002E33D9">
            <w:pPr>
              <w:spacing w:after="0" w:line="240" w:lineRule="auto"/>
              <w:jc w:val="center"/>
              <w:rPr>
                <w:rFonts w:eastAsia="Times New Roman" w:cs="Calibri"/>
                <w:b/>
                <w:bCs/>
                <w:color w:val="000000"/>
                <w:sz w:val="20"/>
                <w:lang w:eastAsia="sk-SK"/>
              </w:rPr>
            </w:pPr>
            <w:r w:rsidRPr="002E78BA">
              <w:rPr>
                <w:rFonts w:eastAsia="Times New Roman" w:cs="Calibri"/>
                <w:b/>
                <w:bCs/>
                <w:color w:val="000000"/>
                <w:sz w:val="20"/>
                <w:lang w:eastAsia="sk-SK"/>
              </w:rPr>
              <w:t>2016</w:t>
            </w:r>
          </w:p>
        </w:tc>
        <w:tc>
          <w:tcPr>
            <w:tcW w:w="709" w:type="dxa"/>
            <w:tcBorders>
              <w:top w:val="single" w:sz="4" w:space="0" w:color="auto"/>
              <w:left w:val="nil"/>
              <w:bottom w:val="single" w:sz="4" w:space="0" w:color="auto"/>
              <w:right w:val="nil"/>
            </w:tcBorders>
            <w:shd w:val="clear" w:color="auto" w:fill="auto"/>
            <w:noWrap/>
            <w:vAlign w:val="bottom"/>
            <w:hideMark/>
          </w:tcPr>
          <w:p w14:paraId="3556C803" w14:textId="77777777" w:rsidR="001B34C7" w:rsidRPr="002E78BA" w:rsidRDefault="001B34C7" w:rsidP="002E33D9">
            <w:pPr>
              <w:spacing w:after="0" w:line="240" w:lineRule="auto"/>
              <w:jc w:val="center"/>
              <w:rPr>
                <w:rFonts w:eastAsia="Times New Roman" w:cs="Calibri"/>
                <w:b/>
                <w:bCs/>
                <w:color w:val="000000"/>
                <w:sz w:val="20"/>
                <w:lang w:eastAsia="sk-SK"/>
              </w:rPr>
            </w:pPr>
            <w:r w:rsidRPr="002E78BA">
              <w:rPr>
                <w:rFonts w:eastAsia="Times New Roman" w:cs="Calibri"/>
                <w:b/>
                <w:bCs/>
                <w:color w:val="000000"/>
                <w:sz w:val="20"/>
                <w:lang w:eastAsia="sk-SK"/>
              </w:rPr>
              <w:t>2017</w:t>
            </w:r>
          </w:p>
        </w:tc>
        <w:tc>
          <w:tcPr>
            <w:tcW w:w="709" w:type="dxa"/>
            <w:gridSpan w:val="2"/>
            <w:tcBorders>
              <w:top w:val="single" w:sz="4" w:space="0" w:color="auto"/>
              <w:left w:val="nil"/>
              <w:bottom w:val="single" w:sz="4" w:space="0" w:color="auto"/>
              <w:right w:val="nil"/>
            </w:tcBorders>
            <w:shd w:val="clear" w:color="auto" w:fill="auto"/>
            <w:noWrap/>
            <w:vAlign w:val="bottom"/>
            <w:hideMark/>
          </w:tcPr>
          <w:p w14:paraId="5D43FA2C" w14:textId="77777777" w:rsidR="001B34C7" w:rsidRPr="002E78BA" w:rsidRDefault="001B34C7" w:rsidP="002E33D9">
            <w:pPr>
              <w:spacing w:after="0" w:line="240" w:lineRule="auto"/>
              <w:jc w:val="center"/>
              <w:rPr>
                <w:rFonts w:eastAsia="Times New Roman" w:cs="Calibri"/>
                <w:b/>
                <w:bCs/>
                <w:color w:val="000000"/>
                <w:sz w:val="20"/>
                <w:lang w:eastAsia="sk-SK"/>
              </w:rPr>
            </w:pPr>
            <w:r w:rsidRPr="002E78BA">
              <w:rPr>
                <w:rFonts w:eastAsia="Times New Roman" w:cs="Calibri"/>
                <w:b/>
                <w:bCs/>
                <w:color w:val="000000"/>
                <w:sz w:val="20"/>
                <w:lang w:eastAsia="sk-SK"/>
              </w:rPr>
              <w:t>2018</w:t>
            </w:r>
          </w:p>
        </w:tc>
      </w:tr>
      <w:tr w:rsidR="001B34C7" w:rsidRPr="002E78BA" w14:paraId="0E9573F5" w14:textId="77777777" w:rsidTr="002B2CCB">
        <w:trPr>
          <w:trHeight w:val="218"/>
        </w:trPr>
        <w:tc>
          <w:tcPr>
            <w:tcW w:w="4820" w:type="dxa"/>
            <w:tcBorders>
              <w:top w:val="single" w:sz="4" w:space="0" w:color="auto"/>
              <w:left w:val="nil"/>
              <w:bottom w:val="nil"/>
            </w:tcBorders>
            <w:shd w:val="clear" w:color="auto" w:fill="auto"/>
            <w:noWrap/>
            <w:vAlign w:val="bottom"/>
            <w:hideMark/>
          </w:tcPr>
          <w:p w14:paraId="46D68616" w14:textId="77777777" w:rsidR="001B34C7" w:rsidRPr="00CF7995" w:rsidRDefault="001B34C7" w:rsidP="002E33D9">
            <w:pPr>
              <w:spacing w:after="0" w:line="240" w:lineRule="auto"/>
              <w:rPr>
                <w:rFonts w:eastAsia="Times New Roman" w:cs="Calibri"/>
                <w:bCs/>
                <w:color w:val="000000"/>
                <w:sz w:val="20"/>
                <w:lang w:eastAsia="sk-SK"/>
              </w:rPr>
            </w:pPr>
            <w:r w:rsidRPr="00CF7995">
              <w:rPr>
                <w:rFonts w:eastAsia="Times New Roman" w:cs="Calibri"/>
                <w:bCs/>
                <w:color w:val="000000"/>
                <w:sz w:val="20"/>
                <w:lang w:eastAsia="sk-SK"/>
              </w:rPr>
              <w:t>Nevidiaci a slabozrakí (A1)</w:t>
            </w:r>
          </w:p>
        </w:tc>
        <w:tc>
          <w:tcPr>
            <w:tcW w:w="1559" w:type="dxa"/>
            <w:tcBorders>
              <w:top w:val="nil"/>
              <w:left w:val="nil"/>
              <w:bottom w:val="nil"/>
              <w:right w:val="nil"/>
            </w:tcBorders>
            <w:shd w:val="clear" w:color="auto" w:fill="auto"/>
            <w:noWrap/>
            <w:vAlign w:val="bottom"/>
            <w:hideMark/>
          </w:tcPr>
          <w:p w14:paraId="2EE2E272"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2 500</w:t>
            </w:r>
          </w:p>
        </w:tc>
        <w:tc>
          <w:tcPr>
            <w:tcW w:w="582" w:type="dxa"/>
            <w:tcBorders>
              <w:top w:val="nil"/>
              <w:left w:val="nil"/>
              <w:bottom w:val="nil"/>
              <w:right w:val="nil"/>
            </w:tcBorders>
            <w:shd w:val="clear" w:color="auto" w:fill="auto"/>
            <w:noWrap/>
            <w:vAlign w:val="bottom"/>
            <w:hideMark/>
          </w:tcPr>
          <w:p w14:paraId="5115EAD5"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68</w:t>
            </w:r>
          </w:p>
        </w:tc>
        <w:tc>
          <w:tcPr>
            <w:tcW w:w="709" w:type="dxa"/>
            <w:tcBorders>
              <w:top w:val="nil"/>
              <w:left w:val="nil"/>
              <w:bottom w:val="nil"/>
              <w:right w:val="nil"/>
            </w:tcBorders>
            <w:shd w:val="clear" w:color="auto" w:fill="auto"/>
            <w:noWrap/>
            <w:vAlign w:val="bottom"/>
            <w:hideMark/>
          </w:tcPr>
          <w:p w14:paraId="50DEC8CA"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108</w:t>
            </w:r>
          </w:p>
        </w:tc>
        <w:tc>
          <w:tcPr>
            <w:tcW w:w="709" w:type="dxa"/>
            <w:tcBorders>
              <w:top w:val="nil"/>
              <w:left w:val="nil"/>
              <w:bottom w:val="nil"/>
              <w:right w:val="nil"/>
            </w:tcBorders>
            <w:shd w:val="clear" w:color="auto" w:fill="auto"/>
            <w:noWrap/>
            <w:vAlign w:val="bottom"/>
            <w:hideMark/>
          </w:tcPr>
          <w:p w14:paraId="0DC9DE4E"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91</w:t>
            </w:r>
          </w:p>
        </w:tc>
        <w:tc>
          <w:tcPr>
            <w:tcW w:w="709" w:type="dxa"/>
            <w:gridSpan w:val="2"/>
            <w:tcBorders>
              <w:top w:val="nil"/>
              <w:left w:val="nil"/>
              <w:bottom w:val="nil"/>
              <w:right w:val="nil"/>
            </w:tcBorders>
            <w:shd w:val="clear" w:color="auto" w:fill="auto"/>
            <w:noWrap/>
            <w:vAlign w:val="bottom"/>
            <w:hideMark/>
          </w:tcPr>
          <w:p w14:paraId="1461FF8D"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88</w:t>
            </w:r>
          </w:p>
        </w:tc>
      </w:tr>
      <w:tr w:rsidR="001B34C7" w:rsidRPr="002E78BA" w14:paraId="079375F0" w14:textId="77777777" w:rsidTr="002B2CCB">
        <w:trPr>
          <w:trHeight w:val="218"/>
        </w:trPr>
        <w:tc>
          <w:tcPr>
            <w:tcW w:w="4820" w:type="dxa"/>
            <w:tcBorders>
              <w:top w:val="nil"/>
              <w:left w:val="nil"/>
              <w:bottom w:val="nil"/>
            </w:tcBorders>
            <w:shd w:val="clear" w:color="auto" w:fill="auto"/>
            <w:noWrap/>
            <w:vAlign w:val="bottom"/>
            <w:hideMark/>
          </w:tcPr>
          <w:p w14:paraId="168E262B" w14:textId="77777777" w:rsidR="001B34C7" w:rsidRPr="00CF7995" w:rsidRDefault="001B34C7" w:rsidP="002E33D9">
            <w:pPr>
              <w:spacing w:after="0" w:line="240" w:lineRule="auto"/>
              <w:rPr>
                <w:rFonts w:eastAsia="Times New Roman" w:cs="Calibri"/>
                <w:bCs/>
                <w:color w:val="000000"/>
                <w:sz w:val="20"/>
                <w:lang w:eastAsia="sk-SK"/>
              </w:rPr>
            </w:pPr>
            <w:r w:rsidRPr="00CF7995">
              <w:rPr>
                <w:rFonts w:eastAsia="Times New Roman" w:cs="Calibri"/>
                <w:bCs/>
                <w:color w:val="000000"/>
                <w:sz w:val="20"/>
                <w:lang w:eastAsia="sk-SK"/>
              </w:rPr>
              <w:t>Nepočujúci a nedoslýchaví (B2)</w:t>
            </w:r>
          </w:p>
        </w:tc>
        <w:tc>
          <w:tcPr>
            <w:tcW w:w="1559" w:type="dxa"/>
            <w:tcBorders>
              <w:top w:val="nil"/>
              <w:left w:val="nil"/>
              <w:bottom w:val="nil"/>
              <w:right w:val="nil"/>
            </w:tcBorders>
            <w:shd w:val="clear" w:color="auto" w:fill="auto"/>
            <w:noWrap/>
            <w:vAlign w:val="bottom"/>
            <w:hideMark/>
          </w:tcPr>
          <w:p w14:paraId="665B00E2"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5 400</w:t>
            </w:r>
          </w:p>
        </w:tc>
        <w:tc>
          <w:tcPr>
            <w:tcW w:w="582" w:type="dxa"/>
            <w:tcBorders>
              <w:top w:val="nil"/>
              <w:left w:val="nil"/>
              <w:bottom w:val="nil"/>
              <w:right w:val="nil"/>
            </w:tcBorders>
            <w:shd w:val="clear" w:color="auto" w:fill="auto"/>
            <w:noWrap/>
            <w:vAlign w:val="bottom"/>
            <w:hideMark/>
          </w:tcPr>
          <w:p w14:paraId="4C3DBFF5"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24</w:t>
            </w:r>
          </w:p>
        </w:tc>
        <w:tc>
          <w:tcPr>
            <w:tcW w:w="709" w:type="dxa"/>
            <w:tcBorders>
              <w:top w:val="nil"/>
              <w:left w:val="nil"/>
              <w:bottom w:val="nil"/>
              <w:right w:val="nil"/>
            </w:tcBorders>
            <w:shd w:val="clear" w:color="auto" w:fill="auto"/>
            <w:noWrap/>
            <w:vAlign w:val="bottom"/>
            <w:hideMark/>
          </w:tcPr>
          <w:p w14:paraId="77F9FC62"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45</w:t>
            </w:r>
          </w:p>
        </w:tc>
        <w:tc>
          <w:tcPr>
            <w:tcW w:w="709" w:type="dxa"/>
            <w:tcBorders>
              <w:top w:val="nil"/>
              <w:left w:val="nil"/>
              <w:bottom w:val="nil"/>
              <w:right w:val="nil"/>
            </w:tcBorders>
            <w:shd w:val="clear" w:color="auto" w:fill="auto"/>
            <w:noWrap/>
            <w:vAlign w:val="bottom"/>
            <w:hideMark/>
          </w:tcPr>
          <w:p w14:paraId="4C542866"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41</w:t>
            </w:r>
          </w:p>
        </w:tc>
        <w:tc>
          <w:tcPr>
            <w:tcW w:w="709" w:type="dxa"/>
            <w:gridSpan w:val="2"/>
            <w:tcBorders>
              <w:top w:val="nil"/>
              <w:left w:val="nil"/>
              <w:bottom w:val="nil"/>
              <w:right w:val="nil"/>
            </w:tcBorders>
            <w:shd w:val="clear" w:color="auto" w:fill="auto"/>
            <w:noWrap/>
            <w:vAlign w:val="bottom"/>
            <w:hideMark/>
          </w:tcPr>
          <w:p w14:paraId="539EA101"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51</w:t>
            </w:r>
          </w:p>
        </w:tc>
      </w:tr>
      <w:tr w:rsidR="001B34C7" w:rsidRPr="002E78BA" w14:paraId="79BBF921" w14:textId="77777777" w:rsidTr="002B2CCB">
        <w:trPr>
          <w:trHeight w:val="218"/>
        </w:trPr>
        <w:tc>
          <w:tcPr>
            <w:tcW w:w="4820" w:type="dxa"/>
            <w:tcBorders>
              <w:top w:val="nil"/>
              <w:left w:val="nil"/>
              <w:bottom w:val="nil"/>
            </w:tcBorders>
            <w:shd w:val="clear" w:color="auto" w:fill="auto"/>
            <w:noWrap/>
            <w:vAlign w:val="bottom"/>
            <w:hideMark/>
          </w:tcPr>
          <w:p w14:paraId="3F20321C" w14:textId="77777777" w:rsidR="001B34C7" w:rsidRPr="00CF7995" w:rsidRDefault="001B34C7" w:rsidP="002E33D9">
            <w:pPr>
              <w:spacing w:after="0" w:line="240" w:lineRule="auto"/>
              <w:rPr>
                <w:rFonts w:eastAsia="Times New Roman" w:cs="Calibri"/>
                <w:bCs/>
                <w:color w:val="000000"/>
                <w:sz w:val="20"/>
                <w:lang w:eastAsia="sk-SK"/>
              </w:rPr>
            </w:pPr>
            <w:r w:rsidRPr="00CF7995">
              <w:rPr>
                <w:rFonts w:eastAsia="Times New Roman" w:cs="Calibri"/>
                <w:bCs/>
                <w:color w:val="000000"/>
                <w:sz w:val="20"/>
                <w:lang w:eastAsia="sk-SK"/>
              </w:rPr>
              <w:t>Telesné postihnutie dolných končatín (C1)</w:t>
            </w:r>
          </w:p>
        </w:tc>
        <w:tc>
          <w:tcPr>
            <w:tcW w:w="1559" w:type="dxa"/>
            <w:tcBorders>
              <w:top w:val="nil"/>
              <w:left w:val="nil"/>
              <w:bottom w:val="nil"/>
              <w:right w:val="nil"/>
            </w:tcBorders>
            <w:shd w:val="clear" w:color="auto" w:fill="auto"/>
            <w:noWrap/>
            <w:vAlign w:val="bottom"/>
            <w:hideMark/>
          </w:tcPr>
          <w:p w14:paraId="512F1F4F"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1 800</w:t>
            </w:r>
          </w:p>
        </w:tc>
        <w:tc>
          <w:tcPr>
            <w:tcW w:w="582" w:type="dxa"/>
            <w:tcBorders>
              <w:top w:val="nil"/>
              <w:left w:val="nil"/>
              <w:bottom w:val="nil"/>
              <w:right w:val="nil"/>
            </w:tcBorders>
            <w:shd w:val="clear" w:color="auto" w:fill="auto"/>
            <w:noWrap/>
            <w:vAlign w:val="bottom"/>
            <w:hideMark/>
          </w:tcPr>
          <w:p w14:paraId="17D0E9F3"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94</w:t>
            </w:r>
          </w:p>
        </w:tc>
        <w:tc>
          <w:tcPr>
            <w:tcW w:w="709" w:type="dxa"/>
            <w:tcBorders>
              <w:top w:val="nil"/>
              <w:left w:val="nil"/>
              <w:bottom w:val="nil"/>
              <w:right w:val="nil"/>
            </w:tcBorders>
            <w:shd w:val="clear" w:color="auto" w:fill="auto"/>
            <w:noWrap/>
            <w:vAlign w:val="bottom"/>
            <w:hideMark/>
          </w:tcPr>
          <w:p w14:paraId="44ABD75C"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135</w:t>
            </w:r>
          </w:p>
        </w:tc>
        <w:tc>
          <w:tcPr>
            <w:tcW w:w="709" w:type="dxa"/>
            <w:tcBorders>
              <w:top w:val="nil"/>
              <w:left w:val="nil"/>
              <w:bottom w:val="nil"/>
              <w:right w:val="nil"/>
            </w:tcBorders>
            <w:shd w:val="clear" w:color="auto" w:fill="auto"/>
            <w:noWrap/>
            <w:vAlign w:val="bottom"/>
            <w:hideMark/>
          </w:tcPr>
          <w:p w14:paraId="0F71B439"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131</w:t>
            </w:r>
          </w:p>
        </w:tc>
        <w:tc>
          <w:tcPr>
            <w:tcW w:w="709" w:type="dxa"/>
            <w:gridSpan w:val="2"/>
            <w:tcBorders>
              <w:top w:val="nil"/>
              <w:left w:val="nil"/>
              <w:bottom w:val="nil"/>
              <w:right w:val="nil"/>
            </w:tcBorders>
            <w:shd w:val="clear" w:color="auto" w:fill="auto"/>
            <w:noWrap/>
            <w:vAlign w:val="bottom"/>
            <w:hideMark/>
          </w:tcPr>
          <w:p w14:paraId="181BB358"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136</w:t>
            </w:r>
          </w:p>
        </w:tc>
      </w:tr>
      <w:tr w:rsidR="001B34C7" w:rsidRPr="002E78BA" w14:paraId="5780817F" w14:textId="77777777" w:rsidTr="002B2CCB">
        <w:trPr>
          <w:trHeight w:val="218"/>
        </w:trPr>
        <w:tc>
          <w:tcPr>
            <w:tcW w:w="4820" w:type="dxa"/>
            <w:tcBorders>
              <w:top w:val="nil"/>
              <w:left w:val="nil"/>
              <w:bottom w:val="nil"/>
            </w:tcBorders>
            <w:shd w:val="clear" w:color="auto" w:fill="auto"/>
            <w:noWrap/>
            <w:vAlign w:val="bottom"/>
            <w:hideMark/>
          </w:tcPr>
          <w:p w14:paraId="3B514FBD" w14:textId="77777777" w:rsidR="001B34C7" w:rsidRPr="00CF7995" w:rsidRDefault="001B34C7" w:rsidP="002E33D9">
            <w:pPr>
              <w:spacing w:after="0" w:line="240" w:lineRule="auto"/>
              <w:rPr>
                <w:rFonts w:eastAsia="Times New Roman" w:cs="Calibri"/>
                <w:bCs/>
                <w:color w:val="000000"/>
                <w:sz w:val="20"/>
                <w:lang w:eastAsia="sk-SK"/>
              </w:rPr>
            </w:pPr>
            <w:r w:rsidRPr="00CF7995">
              <w:rPr>
                <w:rFonts w:eastAsia="Times New Roman" w:cs="Calibri"/>
                <w:bCs/>
                <w:color w:val="000000"/>
                <w:sz w:val="20"/>
                <w:lang w:eastAsia="sk-SK"/>
              </w:rPr>
              <w:t>Telesné postihnutie horných končatín (C2)</w:t>
            </w:r>
          </w:p>
        </w:tc>
        <w:tc>
          <w:tcPr>
            <w:tcW w:w="1559" w:type="dxa"/>
            <w:tcBorders>
              <w:top w:val="nil"/>
              <w:left w:val="nil"/>
              <w:bottom w:val="nil"/>
              <w:right w:val="nil"/>
            </w:tcBorders>
            <w:shd w:val="clear" w:color="auto" w:fill="auto"/>
            <w:noWrap/>
            <w:vAlign w:val="bottom"/>
            <w:hideMark/>
          </w:tcPr>
          <w:p w14:paraId="396CDD1A"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4 000</w:t>
            </w:r>
          </w:p>
        </w:tc>
        <w:tc>
          <w:tcPr>
            <w:tcW w:w="582" w:type="dxa"/>
            <w:tcBorders>
              <w:top w:val="nil"/>
              <w:left w:val="nil"/>
              <w:bottom w:val="nil"/>
              <w:right w:val="nil"/>
            </w:tcBorders>
            <w:shd w:val="clear" w:color="auto" w:fill="auto"/>
            <w:noWrap/>
            <w:vAlign w:val="bottom"/>
            <w:hideMark/>
          </w:tcPr>
          <w:p w14:paraId="206B0750"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38</w:t>
            </w:r>
          </w:p>
        </w:tc>
        <w:tc>
          <w:tcPr>
            <w:tcW w:w="709" w:type="dxa"/>
            <w:tcBorders>
              <w:top w:val="nil"/>
              <w:left w:val="nil"/>
              <w:bottom w:val="nil"/>
              <w:right w:val="nil"/>
            </w:tcBorders>
            <w:shd w:val="clear" w:color="auto" w:fill="auto"/>
            <w:noWrap/>
            <w:vAlign w:val="bottom"/>
            <w:hideMark/>
          </w:tcPr>
          <w:p w14:paraId="45044BDF"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77</w:t>
            </w:r>
          </w:p>
        </w:tc>
        <w:tc>
          <w:tcPr>
            <w:tcW w:w="709" w:type="dxa"/>
            <w:tcBorders>
              <w:top w:val="nil"/>
              <w:left w:val="nil"/>
              <w:bottom w:val="nil"/>
              <w:right w:val="nil"/>
            </w:tcBorders>
            <w:shd w:val="clear" w:color="auto" w:fill="auto"/>
            <w:noWrap/>
            <w:vAlign w:val="bottom"/>
            <w:hideMark/>
          </w:tcPr>
          <w:p w14:paraId="50DF929C"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83</w:t>
            </w:r>
          </w:p>
        </w:tc>
        <w:tc>
          <w:tcPr>
            <w:tcW w:w="709" w:type="dxa"/>
            <w:gridSpan w:val="2"/>
            <w:tcBorders>
              <w:top w:val="nil"/>
              <w:left w:val="nil"/>
              <w:bottom w:val="nil"/>
              <w:right w:val="nil"/>
            </w:tcBorders>
            <w:shd w:val="clear" w:color="auto" w:fill="auto"/>
            <w:noWrap/>
            <w:vAlign w:val="bottom"/>
            <w:hideMark/>
          </w:tcPr>
          <w:p w14:paraId="2C085A64"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75</w:t>
            </w:r>
          </w:p>
        </w:tc>
      </w:tr>
      <w:tr w:rsidR="001B34C7" w:rsidRPr="002E78BA" w14:paraId="118D7FC8" w14:textId="77777777" w:rsidTr="002B2CCB">
        <w:trPr>
          <w:trHeight w:val="218"/>
        </w:trPr>
        <w:tc>
          <w:tcPr>
            <w:tcW w:w="4820" w:type="dxa"/>
            <w:tcBorders>
              <w:top w:val="nil"/>
              <w:left w:val="nil"/>
              <w:bottom w:val="nil"/>
            </w:tcBorders>
            <w:shd w:val="clear" w:color="auto" w:fill="auto"/>
            <w:noWrap/>
            <w:vAlign w:val="bottom"/>
            <w:hideMark/>
          </w:tcPr>
          <w:p w14:paraId="77F4D6CD" w14:textId="77777777" w:rsidR="001B34C7" w:rsidRPr="00CF7995" w:rsidRDefault="001B34C7" w:rsidP="002E33D9">
            <w:pPr>
              <w:spacing w:after="0" w:line="240" w:lineRule="auto"/>
              <w:rPr>
                <w:rFonts w:eastAsia="Times New Roman" w:cs="Calibri"/>
                <w:bCs/>
                <w:color w:val="000000"/>
                <w:sz w:val="20"/>
                <w:lang w:eastAsia="sk-SK"/>
              </w:rPr>
            </w:pPr>
            <w:r w:rsidRPr="00CF7995">
              <w:rPr>
                <w:rFonts w:eastAsia="Times New Roman" w:cs="Calibri"/>
                <w:bCs/>
                <w:color w:val="000000"/>
                <w:sz w:val="20"/>
                <w:lang w:eastAsia="sk-SK"/>
              </w:rPr>
              <w:t>Autizmus, iné pervazívne vývinové poruchy a poruchy učenia (D)</w:t>
            </w:r>
          </w:p>
        </w:tc>
        <w:tc>
          <w:tcPr>
            <w:tcW w:w="1559" w:type="dxa"/>
            <w:tcBorders>
              <w:top w:val="nil"/>
              <w:left w:val="nil"/>
              <w:bottom w:val="nil"/>
              <w:right w:val="nil"/>
            </w:tcBorders>
            <w:shd w:val="clear" w:color="auto" w:fill="auto"/>
            <w:noWrap/>
            <w:vAlign w:val="bottom"/>
            <w:hideMark/>
          </w:tcPr>
          <w:p w14:paraId="06E1655F"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700</w:t>
            </w:r>
          </w:p>
        </w:tc>
        <w:tc>
          <w:tcPr>
            <w:tcW w:w="582" w:type="dxa"/>
            <w:tcBorders>
              <w:top w:val="nil"/>
              <w:left w:val="nil"/>
              <w:bottom w:val="nil"/>
              <w:right w:val="nil"/>
            </w:tcBorders>
            <w:shd w:val="clear" w:color="auto" w:fill="auto"/>
            <w:noWrap/>
            <w:vAlign w:val="bottom"/>
            <w:hideMark/>
          </w:tcPr>
          <w:p w14:paraId="0FFA9A66"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64</w:t>
            </w:r>
          </w:p>
        </w:tc>
        <w:tc>
          <w:tcPr>
            <w:tcW w:w="709" w:type="dxa"/>
            <w:tcBorders>
              <w:top w:val="nil"/>
              <w:left w:val="nil"/>
              <w:bottom w:val="nil"/>
              <w:right w:val="nil"/>
            </w:tcBorders>
            <w:shd w:val="clear" w:color="auto" w:fill="auto"/>
            <w:noWrap/>
            <w:vAlign w:val="bottom"/>
            <w:hideMark/>
          </w:tcPr>
          <w:p w14:paraId="1C01E6F7"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114</w:t>
            </w:r>
          </w:p>
        </w:tc>
        <w:tc>
          <w:tcPr>
            <w:tcW w:w="709" w:type="dxa"/>
            <w:tcBorders>
              <w:top w:val="nil"/>
              <w:left w:val="nil"/>
              <w:bottom w:val="nil"/>
              <w:right w:val="nil"/>
            </w:tcBorders>
            <w:shd w:val="clear" w:color="auto" w:fill="auto"/>
            <w:noWrap/>
            <w:vAlign w:val="bottom"/>
            <w:hideMark/>
          </w:tcPr>
          <w:p w14:paraId="10065625"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151</w:t>
            </w:r>
          </w:p>
        </w:tc>
        <w:tc>
          <w:tcPr>
            <w:tcW w:w="709" w:type="dxa"/>
            <w:gridSpan w:val="2"/>
            <w:tcBorders>
              <w:top w:val="nil"/>
              <w:left w:val="nil"/>
              <w:bottom w:val="nil"/>
              <w:right w:val="nil"/>
            </w:tcBorders>
            <w:shd w:val="clear" w:color="auto" w:fill="auto"/>
            <w:noWrap/>
            <w:vAlign w:val="bottom"/>
            <w:hideMark/>
          </w:tcPr>
          <w:p w14:paraId="5E2376B2"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209</w:t>
            </w:r>
          </w:p>
        </w:tc>
      </w:tr>
      <w:tr w:rsidR="001B34C7" w:rsidRPr="002E78BA" w14:paraId="16F7F25F" w14:textId="77777777" w:rsidTr="002B2CCB">
        <w:trPr>
          <w:trHeight w:val="218"/>
        </w:trPr>
        <w:tc>
          <w:tcPr>
            <w:tcW w:w="4820" w:type="dxa"/>
            <w:tcBorders>
              <w:top w:val="nil"/>
              <w:left w:val="nil"/>
            </w:tcBorders>
            <w:shd w:val="clear" w:color="auto" w:fill="auto"/>
            <w:noWrap/>
            <w:vAlign w:val="bottom"/>
            <w:hideMark/>
          </w:tcPr>
          <w:p w14:paraId="7C6BCB75" w14:textId="77777777" w:rsidR="001B34C7" w:rsidRPr="00CF7995" w:rsidRDefault="001B34C7" w:rsidP="002E33D9">
            <w:pPr>
              <w:spacing w:after="0" w:line="240" w:lineRule="auto"/>
              <w:rPr>
                <w:rFonts w:eastAsia="Times New Roman" w:cs="Calibri"/>
                <w:bCs/>
                <w:color w:val="000000"/>
                <w:sz w:val="20"/>
                <w:lang w:eastAsia="sk-SK"/>
              </w:rPr>
            </w:pPr>
            <w:r w:rsidRPr="00CF7995">
              <w:rPr>
                <w:rFonts w:eastAsia="Times New Roman" w:cs="Calibri"/>
                <w:bCs/>
                <w:color w:val="000000"/>
                <w:sz w:val="20"/>
                <w:lang w:eastAsia="sk-SK"/>
              </w:rPr>
              <w:t>Chronická a psychické ochorenie, zdravotné oslabenie (eur)</w:t>
            </w:r>
          </w:p>
        </w:tc>
        <w:tc>
          <w:tcPr>
            <w:tcW w:w="1559" w:type="dxa"/>
            <w:tcBorders>
              <w:top w:val="nil"/>
              <w:left w:val="nil"/>
              <w:right w:val="nil"/>
            </w:tcBorders>
            <w:shd w:val="clear" w:color="auto" w:fill="auto"/>
            <w:noWrap/>
            <w:vAlign w:val="bottom"/>
            <w:hideMark/>
          </w:tcPr>
          <w:p w14:paraId="4E69435C"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325</w:t>
            </w:r>
          </w:p>
        </w:tc>
        <w:tc>
          <w:tcPr>
            <w:tcW w:w="582" w:type="dxa"/>
            <w:tcBorders>
              <w:top w:val="nil"/>
              <w:left w:val="nil"/>
              <w:right w:val="nil"/>
            </w:tcBorders>
            <w:shd w:val="clear" w:color="auto" w:fill="auto"/>
            <w:noWrap/>
            <w:vAlign w:val="bottom"/>
            <w:hideMark/>
          </w:tcPr>
          <w:p w14:paraId="374A0401"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308</w:t>
            </w:r>
          </w:p>
        </w:tc>
        <w:tc>
          <w:tcPr>
            <w:tcW w:w="709" w:type="dxa"/>
            <w:tcBorders>
              <w:top w:val="nil"/>
              <w:left w:val="nil"/>
              <w:right w:val="nil"/>
            </w:tcBorders>
            <w:shd w:val="clear" w:color="auto" w:fill="auto"/>
            <w:noWrap/>
            <w:vAlign w:val="bottom"/>
            <w:hideMark/>
          </w:tcPr>
          <w:p w14:paraId="2D885D33"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453</w:t>
            </w:r>
          </w:p>
        </w:tc>
        <w:tc>
          <w:tcPr>
            <w:tcW w:w="709" w:type="dxa"/>
            <w:tcBorders>
              <w:top w:val="nil"/>
              <w:left w:val="nil"/>
              <w:right w:val="nil"/>
            </w:tcBorders>
            <w:shd w:val="clear" w:color="auto" w:fill="auto"/>
            <w:noWrap/>
            <w:vAlign w:val="bottom"/>
            <w:hideMark/>
          </w:tcPr>
          <w:p w14:paraId="636C4843"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451</w:t>
            </w:r>
          </w:p>
        </w:tc>
        <w:tc>
          <w:tcPr>
            <w:tcW w:w="709" w:type="dxa"/>
            <w:gridSpan w:val="2"/>
            <w:tcBorders>
              <w:top w:val="nil"/>
              <w:left w:val="nil"/>
              <w:right w:val="nil"/>
            </w:tcBorders>
            <w:shd w:val="clear" w:color="auto" w:fill="auto"/>
            <w:noWrap/>
            <w:vAlign w:val="bottom"/>
            <w:hideMark/>
          </w:tcPr>
          <w:p w14:paraId="4C1D3145"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495</w:t>
            </w:r>
          </w:p>
        </w:tc>
      </w:tr>
      <w:tr w:rsidR="001B34C7" w:rsidRPr="002E78BA" w14:paraId="38349348" w14:textId="77777777" w:rsidTr="002B2CCB">
        <w:trPr>
          <w:trHeight w:val="218"/>
        </w:trPr>
        <w:tc>
          <w:tcPr>
            <w:tcW w:w="4820" w:type="dxa"/>
            <w:tcBorders>
              <w:top w:val="nil"/>
              <w:left w:val="nil"/>
              <w:bottom w:val="single" w:sz="4" w:space="0" w:color="auto"/>
            </w:tcBorders>
            <w:shd w:val="clear" w:color="auto" w:fill="auto"/>
            <w:noWrap/>
            <w:vAlign w:val="bottom"/>
            <w:hideMark/>
          </w:tcPr>
          <w:p w14:paraId="4119D2DF" w14:textId="77777777" w:rsidR="001B34C7" w:rsidRPr="002E78BA" w:rsidRDefault="001B34C7" w:rsidP="002E33D9">
            <w:pPr>
              <w:spacing w:after="0" w:line="240" w:lineRule="auto"/>
              <w:rPr>
                <w:rFonts w:eastAsia="Times New Roman" w:cs="Calibri"/>
                <w:b/>
                <w:bCs/>
                <w:color w:val="000000"/>
                <w:sz w:val="20"/>
                <w:lang w:eastAsia="sk-SK"/>
              </w:rPr>
            </w:pPr>
            <w:r w:rsidRPr="002E78BA">
              <w:rPr>
                <w:rFonts w:eastAsia="Times New Roman" w:cs="Calibri"/>
                <w:b/>
                <w:bCs/>
                <w:color w:val="000000"/>
                <w:sz w:val="20"/>
                <w:lang w:eastAsia="sk-SK"/>
              </w:rPr>
              <w:t>SPOLU</w:t>
            </w:r>
          </w:p>
        </w:tc>
        <w:tc>
          <w:tcPr>
            <w:tcW w:w="1559" w:type="dxa"/>
            <w:tcBorders>
              <w:top w:val="nil"/>
              <w:left w:val="nil"/>
              <w:bottom w:val="single" w:sz="4" w:space="0" w:color="auto"/>
              <w:right w:val="nil"/>
            </w:tcBorders>
            <w:shd w:val="clear" w:color="auto" w:fill="auto"/>
            <w:noWrap/>
            <w:vAlign w:val="bottom"/>
            <w:hideMark/>
          </w:tcPr>
          <w:p w14:paraId="16BB7CDF" w14:textId="77777777" w:rsidR="001B34C7" w:rsidRPr="002E78BA" w:rsidRDefault="001B34C7" w:rsidP="002E33D9">
            <w:pPr>
              <w:spacing w:after="0" w:line="240" w:lineRule="auto"/>
              <w:rPr>
                <w:rFonts w:eastAsia="Times New Roman" w:cs="Calibri"/>
                <w:b/>
                <w:bCs/>
                <w:color w:val="000000"/>
                <w:sz w:val="20"/>
                <w:lang w:eastAsia="sk-SK"/>
              </w:rPr>
            </w:pPr>
          </w:p>
        </w:tc>
        <w:tc>
          <w:tcPr>
            <w:tcW w:w="582" w:type="dxa"/>
            <w:tcBorders>
              <w:top w:val="nil"/>
              <w:left w:val="nil"/>
              <w:bottom w:val="single" w:sz="4" w:space="0" w:color="auto"/>
              <w:right w:val="nil"/>
            </w:tcBorders>
            <w:shd w:val="clear" w:color="auto" w:fill="auto"/>
            <w:noWrap/>
            <w:vAlign w:val="bottom"/>
            <w:hideMark/>
          </w:tcPr>
          <w:p w14:paraId="31B231E8" w14:textId="77777777" w:rsidR="001B34C7" w:rsidRPr="002E78BA" w:rsidRDefault="001B34C7" w:rsidP="002E33D9">
            <w:pPr>
              <w:spacing w:after="0" w:line="240" w:lineRule="auto"/>
              <w:jc w:val="center"/>
              <w:rPr>
                <w:rFonts w:eastAsia="Times New Roman" w:cs="Calibri"/>
                <w:b/>
                <w:bCs/>
                <w:color w:val="000000"/>
                <w:sz w:val="20"/>
                <w:lang w:eastAsia="sk-SK"/>
              </w:rPr>
            </w:pPr>
            <w:r w:rsidRPr="002E78BA">
              <w:rPr>
                <w:rFonts w:eastAsia="Times New Roman" w:cs="Calibri"/>
                <w:b/>
                <w:bCs/>
                <w:color w:val="000000"/>
                <w:sz w:val="20"/>
                <w:lang w:eastAsia="sk-SK"/>
              </w:rPr>
              <w:t>596</w:t>
            </w:r>
          </w:p>
        </w:tc>
        <w:tc>
          <w:tcPr>
            <w:tcW w:w="709" w:type="dxa"/>
            <w:tcBorders>
              <w:top w:val="nil"/>
              <w:left w:val="nil"/>
              <w:bottom w:val="single" w:sz="4" w:space="0" w:color="auto"/>
              <w:right w:val="nil"/>
            </w:tcBorders>
            <w:shd w:val="clear" w:color="auto" w:fill="auto"/>
            <w:noWrap/>
            <w:vAlign w:val="bottom"/>
            <w:hideMark/>
          </w:tcPr>
          <w:p w14:paraId="1C316248" w14:textId="77777777" w:rsidR="001B34C7" w:rsidRPr="002E78BA" w:rsidRDefault="001B34C7" w:rsidP="002E33D9">
            <w:pPr>
              <w:spacing w:after="0" w:line="240" w:lineRule="auto"/>
              <w:jc w:val="center"/>
              <w:rPr>
                <w:rFonts w:eastAsia="Times New Roman" w:cs="Calibri"/>
                <w:b/>
                <w:bCs/>
                <w:color w:val="000000"/>
                <w:sz w:val="20"/>
                <w:lang w:eastAsia="sk-SK"/>
              </w:rPr>
            </w:pPr>
            <w:r w:rsidRPr="002E78BA">
              <w:rPr>
                <w:rFonts w:eastAsia="Times New Roman" w:cs="Calibri"/>
                <w:b/>
                <w:bCs/>
                <w:color w:val="000000"/>
                <w:sz w:val="20"/>
                <w:lang w:eastAsia="sk-SK"/>
              </w:rPr>
              <w:t>932</w:t>
            </w:r>
          </w:p>
        </w:tc>
        <w:tc>
          <w:tcPr>
            <w:tcW w:w="709" w:type="dxa"/>
            <w:tcBorders>
              <w:top w:val="nil"/>
              <w:left w:val="nil"/>
              <w:bottom w:val="single" w:sz="4" w:space="0" w:color="auto"/>
              <w:right w:val="nil"/>
            </w:tcBorders>
            <w:shd w:val="clear" w:color="auto" w:fill="auto"/>
            <w:noWrap/>
            <w:vAlign w:val="bottom"/>
            <w:hideMark/>
          </w:tcPr>
          <w:p w14:paraId="2D942532" w14:textId="77777777" w:rsidR="001B34C7" w:rsidRPr="002E78BA" w:rsidRDefault="001B34C7" w:rsidP="002E33D9">
            <w:pPr>
              <w:spacing w:after="0" w:line="240" w:lineRule="auto"/>
              <w:jc w:val="center"/>
              <w:rPr>
                <w:rFonts w:eastAsia="Times New Roman" w:cs="Calibri"/>
                <w:b/>
                <w:bCs/>
                <w:color w:val="000000"/>
                <w:sz w:val="20"/>
                <w:lang w:eastAsia="sk-SK"/>
              </w:rPr>
            </w:pPr>
            <w:r w:rsidRPr="002E78BA">
              <w:rPr>
                <w:rFonts w:eastAsia="Times New Roman" w:cs="Calibri"/>
                <w:b/>
                <w:bCs/>
                <w:color w:val="000000"/>
                <w:sz w:val="20"/>
                <w:lang w:eastAsia="sk-SK"/>
              </w:rPr>
              <w:t>948</w:t>
            </w:r>
          </w:p>
        </w:tc>
        <w:tc>
          <w:tcPr>
            <w:tcW w:w="709" w:type="dxa"/>
            <w:gridSpan w:val="2"/>
            <w:tcBorders>
              <w:top w:val="nil"/>
              <w:left w:val="nil"/>
              <w:bottom w:val="single" w:sz="4" w:space="0" w:color="auto"/>
              <w:right w:val="nil"/>
            </w:tcBorders>
            <w:shd w:val="clear" w:color="auto" w:fill="auto"/>
            <w:noWrap/>
            <w:vAlign w:val="bottom"/>
            <w:hideMark/>
          </w:tcPr>
          <w:p w14:paraId="2763BC1E" w14:textId="77777777" w:rsidR="001B34C7" w:rsidRPr="002E78BA" w:rsidRDefault="001B34C7" w:rsidP="002E33D9">
            <w:pPr>
              <w:spacing w:after="0" w:line="240" w:lineRule="auto"/>
              <w:jc w:val="center"/>
              <w:rPr>
                <w:rFonts w:eastAsia="Times New Roman" w:cs="Calibri"/>
                <w:b/>
                <w:bCs/>
                <w:color w:val="000000"/>
                <w:sz w:val="20"/>
                <w:lang w:eastAsia="sk-SK"/>
              </w:rPr>
            </w:pPr>
            <w:r w:rsidRPr="002E78BA">
              <w:rPr>
                <w:rFonts w:eastAsia="Times New Roman" w:cs="Calibri"/>
                <w:b/>
                <w:bCs/>
                <w:color w:val="000000"/>
                <w:sz w:val="20"/>
                <w:lang w:eastAsia="sk-SK"/>
              </w:rPr>
              <w:t>1054</w:t>
            </w:r>
          </w:p>
        </w:tc>
      </w:tr>
      <w:tr w:rsidR="001B34C7" w:rsidRPr="002E78BA" w14:paraId="10B60DBF" w14:textId="77777777" w:rsidTr="002B2CCB">
        <w:trPr>
          <w:gridAfter w:val="1"/>
          <w:wAfter w:w="51" w:type="dxa"/>
          <w:trHeight w:val="218"/>
        </w:trPr>
        <w:tc>
          <w:tcPr>
            <w:tcW w:w="9037" w:type="dxa"/>
            <w:gridSpan w:val="6"/>
            <w:tcBorders>
              <w:top w:val="nil"/>
              <w:left w:val="nil"/>
              <w:bottom w:val="nil"/>
              <w:right w:val="nil"/>
            </w:tcBorders>
            <w:shd w:val="clear" w:color="auto" w:fill="auto"/>
            <w:noWrap/>
            <w:hideMark/>
          </w:tcPr>
          <w:p w14:paraId="5402F677" w14:textId="77777777" w:rsidR="001B34C7" w:rsidRPr="00CF7995" w:rsidRDefault="001B34C7" w:rsidP="002E33D9">
            <w:pPr>
              <w:spacing w:after="0" w:line="240" w:lineRule="auto"/>
              <w:jc w:val="right"/>
              <w:rPr>
                <w:rFonts w:eastAsia="Times New Roman" w:cs="Calibri"/>
                <w:i/>
                <w:iCs/>
                <w:color w:val="000000"/>
                <w:sz w:val="18"/>
                <w:szCs w:val="18"/>
                <w:lang w:eastAsia="sk-SK"/>
              </w:rPr>
            </w:pPr>
            <w:r w:rsidRPr="002E78BA">
              <w:rPr>
                <w:rFonts w:eastAsia="Times New Roman" w:cs="Calibri"/>
                <w:i/>
                <w:iCs/>
                <w:color w:val="000000"/>
                <w:sz w:val="18"/>
                <w:szCs w:val="18"/>
                <w:lang w:eastAsia="sk-SK"/>
              </w:rPr>
              <w:t>Zdroj:</w:t>
            </w:r>
            <w:r>
              <w:rPr>
                <w:rFonts w:eastAsia="Times New Roman" w:cs="Calibri"/>
                <w:i/>
                <w:iCs/>
                <w:color w:val="000000"/>
                <w:sz w:val="18"/>
                <w:szCs w:val="18"/>
                <w:lang w:eastAsia="sk-SK"/>
              </w:rPr>
              <w:t xml:space="preserve"> </w:t>
            </w:r>
            <w:r w:rsidRPr="002E78BA">
              <w:rPr>
                <w:rFonts w:eastAsia="Times New Roman" w:cs="Calibri"/>
                <w:i/>
                <w:iCs/>
                <w:color w:val="000000"/>
                <w:sz w:val="18"/>
                <w:szCs w:val="18"/>
                <w:lang w:eastAsia="sk-SK"/>
              </w:rPr>
              <w:t>Vlastné prepočty IVP na základe údajov z rozpočtu vysokých škôl (2015-2018).</w:t>
            </w:r>
          </w:p>
        </w:tc>
      </w:tr>
    </w:tbl>
    <w:p w14:paraId="333A1C0C" w14:textId="77777777" w:rsidR="001B34C7" w:rsidRDefault="001B34C7" w:rsidP="001B34C7">
      <w:pPr>
        <w:rPr>
          <w:b/>
          <w:sz w:val="20"/>
        </w:rPr>
      </w:pPr>
    </w:p>
    <w:p w14:paraId="5D958697" w14:textId="1857AE57" w:rsidR="004E7C0A" w:rsidRPr="000A3C71" w:rsidRDefault="004E7C0A" w:rsidP="000A3C71">
      <w:pPr>
        <w:spacing w:after="0"/>
        <w:rPr>
          <w:b/>
          <w:sz w:val="20"/>
        </w:rPr>
      </w:pPr>
      <w:r w:rsidRPr="000A3C71">
        <w:rPr>
          <w:b/>
          <w:sz w:val="20"/>
        </w:rPr>
        <w:t xml:space="preserve">Tabuľka P </w:t>
      </w:r>
      <w:r w:rsidRPr="000A3C71">
        <w:rPr>
          <w:b/>
          <w:sz w:val="20"/>
        </w:rPr>
        <w:fldChar w:fldCharType="begin"/>
      </w:r>
      <w:r w:rsidRPr="000A3C71">
        <w:rPr>
          <w:b/>
          <w:sz w:val="20"/>
        </w:rPr>
        <w:instrText xml:space="preserve"> SEQ Tabuľka_P \* ARABIC </w:instrText>
      </w:r>
      <w:r w:rsidRPr="000A3C71">
        <w:rPr>
          <w:b/>
          <w:sz w:val="20"/>
        </w:rPr>
        <w:fldChar w:fldCharType="separate"/>
      </w:r>
      <w:r w:rsidR="00FA29AF">
        <w:rPr>
          <w:b/>
          <w:noProof/>
          <w:sz w:val="20"/>
        </w:rPr>
        <w:t>30</w:t>
      </w:r>
      <w:r w:rsidRPr="000A3C71">
        <w:rPr>
          <w:b/>
          <w:sz w:val="20"/>
        </w:rPr>
        <w:fldChar w:fldCharType="end"/>
      </w:r>
      <w:r w:rsidRPr="000A3C71">
        <w:rPr>
          <w:b/>
          <w:sz w:val="20"/>
        </w:rPr>
        <w:t>: Objem požadovaných a pridelených zdrojov na študentov so zdravotným znevýhodnením</w:t>
      </w:r>
    </w:p>
    <w:tbl>
      <w:tblPr>
        <w:tblW w:w="5000" w:type="pct"/>
        <w:tblCellMar>
          <w:left w:w="70" w:type="dxa"/>
          <w:right w:w="70" w:type="dxa"/>
        </w:tblCellMar>
        <w:tblLook w:val="04A0" w:firstRow="1" w:lastRow="0" w:firstColumn="1" w:lastColumn="0" w:noHBand="0" w:noVBand="1"/>
      </w:tblPr>
      <w:tblGrid>
        <w:gridCol w:w="4159"/>
        <w:gridCol w:w="1233"/>
        <w:gridCol w:w="1232"/>
        <w:gridCol w:w="1232"/>
        <w:gridCol w:w="1232"/>
      </w:tblGrid>
      <w:tr w:rsidR="001B34C7" w:rsidRPr="002E78BA" w14:paraId="0734DE47" w14:textId="77777777" w:rsidTr="005C21FF">
        <w:trPr>
          <w:trHeight w:val="300"/>
        </w:trPr>
        <w:tc>
          <w:tcPr>
            <w:tcW w:w="4130" w:type="dxa"/>
            <w:tcBorders>
              <w:top w:val="single" w:sz="4" w:space="0" w:color="auto"/>
              <w:left w:val="nil"/>
              <w:bottom w:val="single" w:sz="4" w:space="0" w:color="auto"/>
            </w:tcBorders>
            <w:shd w:val="clear" w:color="auto" w:fill="auto"/>
            <w:noWrap/>
            <w:vAlign w:val="bottom"/>
            <w:hideMark/>
          </w:tcPr>
          <w:p w14:paraId="0753A0D5" w14:textId="77777777" w:rsidR="001B34C7" w:rsidRPr="002E78BA" w:rsidRDefault="001B34C7" w:rsidP="002E33D9">
            <w:pPr>
              <w:spacing w:after="0" w:line="240" w:lineRule="auto"/>
              <w:rPr>
                <w:rFonts w:eastAsia="Times New Roman" w:cs="Calibri"/>
                <w:b/>
                <w:bCs/>
                <w:color w:val="000000"/>
                <w:sz w:val="20"/>
                <w:lang w:eastAsia="sk-SK"/>
              </w:rPr>
            </w:pPr>
            <w:r w:rsidRPr="002E78BA">
              <w:rPr>
                <w:rFonts w:eastAsia="Times New Roman" w:cs="Calibri"/>
                <w:b/>
                <w:bCs/>
                <w:color w:val="000000"/>
                <w:sz w:val="20"/>
                <w:lang w:eastAsia="sk-SK"/>
              </w:rPr>
              <w:t> </w:t>
            </w:r>
          </w:p>
        </w:tc>
        <w:tc>
          <w:tcPr>
            <w:tcW w:w="1224" w:type="dxa"/>
            <w:tcBorders>
              <w:top w:val="single" w:sz="4" w:space="0" w:color="auto"/>
              <w:bottom w:val="single" w:sz="4" w:space="0" w:color="auto"/>
            </w:tcBorders>
            <w:shd w:val="clear" w:color="auto" w:fill="auto"/>
            <w:noWrap/>
            <w:vAlign w:val="bottom"/>
            <w:hideMark/>
          </w:tcPr>
          <w:p w14:paraId="2E4DB065" w14:textId="77777777" w:rsidR="001B34C7" w:rsidRPr="005C21FF" w:rsidRDefault="001B34C7" w:rsidP="002E33D9">
            <w:pPr>
              <w:spacing w:after="0" w:line="240" w:lineRule="auto"/>
              <w:jc w:val="center"/>
              <w:rPr>
                <w:rFonts w:eastAsia="Times New Roman" w:cs="Calibri"/>
                <w:b/>
                <w:bCs/>
                <w:color w:val="000000"/>
                <w:sz w:val="20"/>
                <w:lang w:eastAsia="sk-SK"/>
              </w:rPr>
            </w:pPr>
            <w:r w:rsidRPr="005C21FF">
              <w:rPr>
                <w:rFonts w:eastAsia="Times New Roman" w:cs="Calibri"/>
                <w:b/>
                <w:bCs/>
                <w:color w:val="000000"/>
                <w:sz w:val="20"/>
                <w:lang w:eastAsia="sk-SK"/>
              </w:rPr>
              <w:t>2015</w:t>
            </w:r>
          </w:p>
        </w:tc>
        <w:tc>
          <w:tcPr>
            <w:tcW w:w="1224" w:type="dxa"/>
            <w:tcBorders>
              <w:top w:val="single" w:sz="4" w:space="0" w:color="auto"/>
              <w:bottom w:val="single" w:sz="4" w:space="0" w:color="auto"/>
            </w:tcBorders>
            <w:shd w:val="clear" w:color="auto" w:fill="auto"/>
            <w:noWrap/>
            <w:vAlign w:val="bottom"/>
            <w:hideMark/>
          </w:tcPr>
          <w:p w14:paraId="7574E230" w14:textId="77777777" w:rsidR="001B34C7" w:rsidRPr="005C21FF" w:rsidRDefault="001B34C7" w:rsidP="002E33D9">
            <w:pPr>
              <w:spacing w:after="0" w:line="240" w:lineRule="auto"/>
              <w:jc w:val="center"/>
              <w:rPr>
                <w:rFonts w:eastAsia="Times New Roman" w:cs="Calibri"/>
                <w:b/>
                <w:bCs/>
                <w:color w:val="000000"/>
                <w:sz w:val="20"/>
                <w:lang w:eastAsia="sk-SK"/>
              </w:rPr>
            </w:pPr>
            <w:r w:rsidRPr="005C21FF">
              <w:rPr>
                <w:rFonts w:eastAsia="Times New Roman" w:cs="Calibri"/>
                <w:b/>
                <w:bCs/>
                <w:color w:val="000000"/>
                <w:sz w:val="20"/>
                <w:lang w:eastAsia="sk-SK"/>
              </w:rPr>
              <w:t>2016</w:t>
            </w:r>
          </w:p>
        </w:tc>
        <w:tc>
          <w:tcPr>
            <w:tcW w:w="1224" w:type="dxa"/>
            <w:tcBorders>
              <w:top w:val="single" w:sz="4" w:space="0" w:color="auto"/>
              <w:bottom w:val="single" w:sz="4" w:space="0" w:color="auto"/>
            </w:tcBorders>
            <w:shd w:val="clear" w:color="auto" w:fill="auto"/>
            <w:noWrap/>
            <w:vAlign w:val="bottom"/>
            <w:hideMark/>
          </w:tcPr>
          <w:p w14:paraId="201640ED" w14:textId="77777777" w:rsidR="001B34C7" w:rsidRPr="005C21FF" w:rsidRDefault="001B34C7" w:rsidP="002E33D9">
            <w:pPr>
              <w:spacing w:after="0" w:line="240" w:lineRule="auto"/>
              <w:jc w:val="center"/>
              <w:rPr>
                <w:rFonts w:eastAsia="Times New Roman" w:cs="Calibri"/>
                <w:b/>
                <w:bCs/>
                <w:color w:val="000000"/>
                <w:sz w:val="20"/>
                <w:lang w:eastAsia="sk-SK"/>
              </w:rPr>
            </w:pPr>
            <w:r w:rsidRPr="005C21FF">
              <w:rPr>
                <w:rFonts w:eastAsia="Times New Roman" w:cs="Calibri"/>
                <w:b/>
                <w:bCs/>
                <w:color w:val="000000"/>
                <w:sz w:val="20"/>
                <w:lang w:eastAsia="sk-SK"/>
              </w:rPr>
              <w:t>2017</w:t>
            </w:r>
          </w:p>
        </w:tc>
        <w:tc>
          <w:tcPr>
            <w:tcW w:w="1224" w:type="dxa"/>
            <w:tcBorders>
              <w:top w:val="single" w:sz="4" w:space="0" w:color="auto"/>
              <w:bottom w:val="single" w:sz="4" w:space="0" w:color="auto"/>
              <w:right w:val="nil"/>
            </w:tcBorders>
            <w:shd w:val="clear" w:color="auto" w:fill="auto"/>
            <w:noWrap/>
            <w:vAlign w:val="bottom"/>
            <w:hideMark/>
          </w:tcPr>
          <w:p w14:paraId="10C596BF" w14:textId="77777777" w:rsidR="001B34C7" w:rsidRPr="005C21FF" w:rsidRDefault="001B34C7" w:rsidP="002E33D9">
            <w:pPr>
              <w:spacing w:after="0" w:line="240" w:lineRule="auto"/>
              <w:jc w:val="center"/>
              <w:rPr>
                <w:rFonts w:eastAsia="Times New Roman" w:cs="Calibri"/>
                <w:b/>
                <w:bCs/>
                <w:color w:val="000000"/>
                <w:sz w:val="20"/>
                <w:lang w:eastAsia="sk-SK"/>
              </w:rPr>
            </w:pPr>
            <w:r w:rsidRPr="005C21FF">
              <w:rPr>
                <w:rFonts w:eastAsia="Times New Roman" w:cs="Calibri"/>
                <w:b/>
                <w:bCs/>
                <w:color w:val="000000"/>
                <w:sz w:val="20"/>
                <w:lang w:eastAsia="sk-SK"/>
              </w:rPr>
              <w:t>2018</w:t>
            </w:r>
          </w:p>
        </w:tc>
      </w:tr>
      <w:tr w:rsidR="001B34C7" w:rsidRPr="002E78BA" w14:paraId="78025979" w14:textId="77777777" w:rsidTr="005C21FF">
        <w:trPr>
          <w:trHeight w:val="300"/>
        </w:trPr>
        <w:tc>
          <w:tcPr>
            <w:tcW w:w="4130" w:type="dxa"/>
            <w:tcBorders>
              <w:top w:val="single" w:sz="4" w:space="0" w:color="auto"/>
              <w:left w:val="nil"/>
            </w:tcBorders>
            <w:shd w:val="clear" w:color="auto" w:fill="auto"/>
            <w:noWrap/>
            <w:vAlign w:val="bottom"/>
            <w:hideMark/>
          </w:tcPr>
          <w:p w14:paraId="124008D0" w14:textId="77777777" w:rsidR="001B34C7" w:rsidRPr="00CF7995" w:rsidRDefault="001B34C7" w:rsidP="002E33D9">
            <w:pPr>
              <w:spacing w:after="0" w:line="240" w:lineRule="auto"/>
              <w:rPr>
                <w:rFonts w:eastAsia="Times New Roman" w:cs="Calibri"/>
                <w:bCs/>
                <w:color w:val="000000"/>
                <w:sz w:val="20"/>
                <w:lang w:eastAsia="sk-SK"/>
              </w:rPr>
            </w:pPr>
            <w:r w:rsidRPr="00CF7995">
              <w:rPr>
                <w:rFonts w:eastAsia="Times New Roman" w:cs="Calibri"/>
                <w:bCs/>
                <w:color w:val="000000"/>
                <w:sz w:val="20"/>
                <w:lang w:eastAsia="sk-SK"/>
              </w:rPr>
              <w:t>Žiadané zdroje</w:t>
            </w:r>
          </w:p>
        </w:tc>
        <w:tc>
          <w:tcPr>
            <w:tcW w:w="1224" w:type="dxa"/>
            <w:tcBorders>
              <w:top w:val="single" w:sz="4" w:space="0" w:color="auto"/>
            </w:tcBorders>
            <w:shd w:val="clear" w:color="auto" w:fill="auto"/>
            <w:noWrap/>
            <w:vAlign w:val="bottom"/>
            <w:hideMark/>
          </w:tcPr>
          <w:p w14:paraId="3D9EBDD3"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765 700</w:t>
            </w:r>
          </w:p>
        </w:tc>
        <w:tc>
          <w:tcPr>
            <w:tcW w:w="1224" w:type="dxa"/>
            <w:tcBorders>
              <w:top w:val="single" w:sz="4" w:space="0" w:color="auto"/>
            </w:tcBorders>
            <w:shd w:val="clear" w:color="auto" w:fill="auto"/>
            <w:noWrap/>
            <w:vAlign w:val="bottom"/>
            <w:hideMark/>
          </w:tcPr>
          <w:p w14:paraId="0DE50C37"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1 291 025</w:t>
            </w:r>
          </w:p>
        </w:tc>
        <w:tc>
          <w:tcPr>
            <w:tcW w:w="1224" w:type="dxa"/>
            <w:tcBorders>
              <w:top w:val="single" w:sz="4" w:space="0" w:color="auto"/>
            </w:tcBorders>
            <w:shd w:val="clear" w:color="auto" w:fill="auto"/>
            <w:noWrap/>
            <w:vAlign w:val="bottom"/>
            <w:hideMark/>
          </w:tcPr>
          <w:p w14:paraId="2712552D"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1 268 975</w:t>
            </w:r>
          </w:p>
        </w:tc>
        <w:tc>
          <w:tcPr>
            <w:tcW w:w="1224" w:type="dxa"/>
            <w:tcBorders>
              <w:top w:val="single" w:sz="4" w:space="0" w:color="auto"/>
              <w:right w:val="nil"/>
            </w:tcBorders>
            <w:shd w:val="clear" w:color="auto" w:fill="auto"/>
            <w:noWrap/>
            <w:vAlign w:val="bottom"/>
            <w:hideMark/>
          </w:tcPr>
          <w:p w14:paraId="055A65DC"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1 347 375</w:t>
            </w:r>
          </w:p>
        </w:tc>
      </w:tr>
      <w:tr w:rsidR="001B34C7" w:rsidRPr="002E78BA" w14:paraId="3B263334" w14:textId="77777777" w:rsidTr="005C21FF">
        <w:trPr>
          <w:trHeight w:val="300"/>
        </w:trPr>
        <w:tc>
          <w:tcPr>
            <w:tcW w:w="4130" w:type="dxa"/>
            <w:tcBorders>
              <w:left w:val="nil"/>
            </w:tcBorders>
            <w:shd w:val="clear" w:color="auto" w:fill="auto"/>
            <w:noWrap/>
            <w:vAlign w:val="bottom"/>
            <w:hideMark/>
          </w:tcPr>
          <w:p w14:paraId="0D2F6BC6" w14:textId="77777777" w:rsidR="001B34C7" w:rsidRPr="00CF7995" w:rsidRDefault="001B34C7" w:rsidP="002E33D9">
            <w:pPr>
              <w:spacing w:after="0" w:line="240" w:lineRule="auto"/>
              <w:rPr>
                <w:rFonts w:eastAsia="Times New Roman" w:cs="Calibri"/>
                <w:bCs/>
                <w:color w:val="000000"/>
                <w:sz w:val="20"/>
                <w:lang w:eastAsia="sk-SK"/>
              </w:rPr>
            </w:pPr>
            <w:r w:rsidRPr="00CF7995">
              <w:rPr>
                <w:rFonts w:eastAsia="Times New Roman" w:cs="Calibri"/>
                <w:bCs/>
                <w:color w:val="000000"/>
                <w:sz w:val="20"/>
                <w:lang w:eastAsia="sk-SK"/>
              </w:rPr>
              <w:t>Pridelené zdroje</w:t>
            </w:r>
          </w:p>
        </w:tc>
        <w:tc>
          <w:tcPr>
            <w:tcW w:w="1224" w:type="dxa"/>
            <w:shd w:val="clear" w:color="auto" w:fill="auto"/>
            <w:noWrap/>
            <w:vAlign w:val="bottom"/>
            <w:hideMark/>
          </w:tcPr>
          <w:p w14:paraId="6F46454C"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550 000</w:t>
            </w:r>
          </w:p>
        </w:tc>
        <w:tc>
          <w:tcPr>
            <w:tcW w:w="1224" w:type="dxa"/>
            <w:shd w:val="clear" w:color="auto" w:fill="auto"/>
            <w:noWrap/>
            <w:vAlign w:val="bottom"/>
            <w:hideMark/>
          </w:tcPr>
          <w:p w14:paraId="75DD618D"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700 000</w:t>
            </w:r>
          </w:p>
        </w:tc>
        <w:tc>
          <w:tcPr>
            <w:tcW w:w="1224" w:type="dxa"/>
            <w:shd w:val="clear" w:color="auto" w:fill="auto"/>
            <w:noWrap/>
            <w:vAlign w:val="bottom"/>
            <w:hideMark/>
          </w:tcPr>
          <w:p w14:paraId="48F4629F"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700 000</w:t>
            </w:r>
          </w:p>
        </w:tc>
        <w:tc>
          <w:tcPr>
            <w:tcW w:w="1224" w:type="dxa"/>
            <w:tcBorders>
              <w:right w:val="nil"/>
            </w:tcBorders>
            <w:shd w:val="clear" w:color="auto" w:fill="auto"/>
            <w:noWrap/>
            <w:vAlign w:val="bottom"/>
            <w:hideMark/>
          </w:tcPr>
          <w:p w14:paraId="6278461A"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700 000</w:t>
            </w:r>
          </w:p>
        </w:tc>
      </w:tr>
      <w:tr w:rsidR="001B34C7" w:rsidRPr="002E78BA" w14:paraId="25AD10A7" w14:textId="77777777" w:rsidTr="005C21FF">
        <w:trPr>
          <w:trHeight w:val="300"/>
        </w:trPr>
        <w:tc>
          <w:tcPr>
            <w:tcW w:w="4130" w:type="dxa"/>
            <w:tcBorders>
              <w:left w:val="nil"/>
              <w:bottom w:val="single" w:sz="4" w:space="0" w:color="auto"/>
            </w:tcBorders>
            <w:shd w:val="clear" w:color="auto" w:fill="auto"/>
            <w:noWrap/>
            <w:vAlign w:val="bottom"/>
            <w:hideMark/>
          </w:tcPr>
          <w:p w14:paraId="438730FA" w14:textId="77777777" w:rsidR="001B34C7" w:rsidRPr="00CF7995" w:rsidRDefault="001B34C7" w:rsidP="002E33D9">
            <w:pPr>
              <w:spacing w:after="0" w:line="240" w:lineRule="auto"/>
              <w:rPr>
                <w:rFonts w:eastAsia="Times New Roman" w:cs="Calibri"/>
                <w:bCs/>
                <w:color w:val="000000"/>
                <w:sz w:val="20"/>
                <w:lang w:eastAsia="sk-SK"/>
              </w:rPr>
            </w:pPr>
            <w:r w:rsidRPr="00CF7995">
              <w:rPr>
                <w:rFonts w:eastAsia="Times New Roman" w:cs="Calibri"/>
                <w:bCs/>
                <w:color w:val="000000"/>
                <w:sz w:val="20"/>
                <w:lang w:eastAsia="sk-SK"/>
              </w:rPr>
              <w:t>Podiel uspokojených požiadaviek</w:t>
            </w:r>
          </w:p>
        </w:tc>
        <w:tc>
          <w:tcPr>
            <w:tcW w:w="1224" w:type="dxa"/>
            <w:tcBorders>
              <w:bottom w:val="single" w:sz="4" w:space="0" w:color="auto"/>
            </w:tcBorders>
            <w:shd w:val="clear" w:color="auto" w:fill="auto"/>
            <w:noWrap/>
            <w:vAlign w:val="bottom"/>
            <w:hideMark/>
          </w:tcPr>
          <w:p w14:paraId="346EAD8E"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72%</w:t>
            </w:r>
          </w:p>
        </w:tc>
        <w:tc>
          <w:tcPr>
            <w:tcW w:w="1224" w:type="dxa"/>
            <w:tcBorders>
              <w:bottom w:val="single" w:sz="4" w:space="0" w:color="auto"/>
            </w:tcBorders>
            <w:shd w:val="clear" w:color="auto" w:fill="auto"/>
            <w:noWrap/>
            <w:vAlign w:val="bottom"/>
            <w:hideMark/>
          </w:tcPr>
          <w:p w14:paraId="1504E60C"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54%</w:t>
            </w:r>
          </w:p>
        </w:tc>
        <w:tc>
          <w:tcPr>
            <w:tcW w:w="1224" w:type="dxa"/>
            <w:tcBorders>
              <w:bottom w:val="single" w:sz="4" w:space="0" w:color="auto"/>
            </w:tcBorders>
            <w:shd w:val="clear" w:color="auto" w:fill="auto"/>
            <w:noWrap/>
            <w:vAlign w:val="bottom"/>
            <w:hideMark/>
          </w:tcPr>
          <w:p w14:paraId="77FA1C71"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55%</w:t>
            </w:r>
          </w:p>
        </w:tc>
        <w:tc>
          <w:tcPr>
            <w:tcW w:w="1224" w:type="dxa"/>
            <w:tcBorders>
              <w:bottom w:val="single" w:sz="4" w:space="0" w:color="auto"/>
              <w:right w:val="nil"/>
            </w:tcBorders>
            <w:shd w:val="clear" w:color="auto" w:fill="auto"/>
            <w:noWrap/>
            <w:vAlign w:val="bottom"/>
            <w:hideMark/>
          </w:tcPr>
          <w:p w14:paraId="51222332" w14:textId="77777777" w:rsidR="001B34C7" w:rsidRPr="002E78BA" w:rsidRDefault="001B34C7" w:rsidP="002E33D9">
            <w:pPr>
              <w:spacing w:after="0" w:line="240" w:lineRule="auto"/>
              <w:jc w:val="center"/>
              <w:rPr>
                <w:rFonts w:eastAsia="Times New Roman" w:cs="Calibri"/>
                <w:color w:val="000000"/>
                <w:sz w:val="20"/>
                <w:lang w:eastAsia="sk-SK"/>
              </w:rPr>
            </w:pPr>
            <w:r w:rsidRPr="002E78BA">
              <w:rPr>
                <w:rFonts w:eastAsia="Times New Roman" w:cs="Calibri"/>
                <w:color w:val="000000"/>
                <w:sz w:val="20"/>
                <w:lang w:eastAsia="sk-SK"/>
              </w:rPr>
              <w:t>52%</w:t>
            </w:r>
          </w:p>
        </w:tc>
      </w:tr>
      <w:tr w:rsidR="001B34C7" w:rsidRPr="002E78BA" w14:paraId="5F952B41" w14:textId="77777777" w:rsidTr="001B34C7">
        <w:trPr>
          <w:trHeight w:val="300"/>
        </w:trPr>
        <w:tc>
          <w:tcPr>
            <w:tcW w:w="9026" w:type="dxa"/>
            <w:gridSpan w:val="5"/>
            <w:tcBorders>
              <w:top w:val="single" w:sz="4" w:space="0" w:color="auto"/>
              <w:left w:val="nil"/>
              <w:bottom w:val="nil"/>
              <w:right w:val="nil"/>
            </w:tcBorders>
            <w:shd w:val="clear" w:color="auto" w:fill="auto"/>
            <w:noWrap/>
            <w:vAlign w:val="center"/>
            <w:hideMark/>
          </w:tcPr>
          <w:p w14:paraId="7B64A830" w14:textId="77777777" w:rsidR="001B34C7" w:rsidRPr="002E78BA" w:rsidRDefault="001B34C7" w:rsidP="002E33D9">
            <w:pPr>
              <w:spacing w:after="0" w:line="240" w:lineRule="auto"/>
              <w:jc w:val="right"/>
              <w:rPr>
                <w:rFonts w:eastAsia="Times New Roman" w:cs="Calibri"/>
                <w:i/>
                <w:iCs/>
                <w:color w:val="000000"/>
                <w:sz w:val="18"/>
                <w:szCs w:val="18"/>
                <w:lang w:eastAsia="sk-SK"/>
              </w:rPr>
            </w:pPr>
            <w:r w:rsidRPr="002E78BA">
              <w:rPr>
                <w:rFonts w:eastAsia="Times New Roman" w:cs="Calibri"/>
                <w:i/>
                <w:iCs/>
                <w:color w:val="000000"/>
                <w:sz w:val="18"/>
                <w:szCs w:val="18"/>
                <w:lang w:eastAsia="sk-SK"/>
              </w:rPr>
              <w:t>Zdroj:</w:t>
            </w:r>
            <w:r>
              <w:rPr>
                <w:rFonts w:eastAsia="Times New Roman" w:cs="Calibri"/>
                <w:i/>
                <w:iCs/>
                <w:color w:val="000000"/>
                <w:sz w:val="18"/>
                <w:szCs w:val="18"/>
                <w:lang w:eastAsia="sk-SK"/>
              </w:rPr>
              <w:t xml:space="preserve"> </w:t>
            </w:r>
            <w:r w:rsidRPr="002E78BA">
              <w:rPr>
                <w:rFonts w:eastAsia="Times New Roman" w:cs="Calibri"/>
                <w:i/>
                <w:iCs/>
                <w:color w:val="000000"/>
                <w:sz w:val="18"/>
                <w:szCs w:val="18"/>
                <w:lang w:eastAsia="sk-SK"/>
              </w:rPr>
              <w:t>Vlastné prepočty IVP na základe ú</w:t>
            </w:r>
            <w:r>
              <w:rPr>
                <w:rFonts w:eastAsia="Times New Roman" w:cs="Calibri"/>
                <w:i/>
                <w:iCs/>
                <w:color w:val="000000"/>
                <w:sz w:val="18"/>
                <w:szCs w:val="18"/>
                <w:lang w:eastAsia="sk-SK"/>
              </w:rPr>
              <w:t>dajov z rozpočtu vysokých škôl.</w:t>
            </w:r>
          </w:p>
        </w:tc>
      </w:tr>
    </w:tbl>
    <w:p w14:paraId="1D51DECE" w14:textId="77777777" w:rsidR="002B2CCB" w:rsidRDefault="002B2CCB" w:rsidP="001B34C7">
      <w:pPr>
        <w:pStyle w:val="Popis"/>
        <w:rPr>
          <w:b/>
          <w:i w:val="0"/>
          <w:color w:val="2E74B5" w:themeColor="accent1" w:themeShade="BF"/>
          <w:sz w:val="22"/>
        </w:rPr>
      </w:pPr>
      <w:bookmarkStart w:id="1945" w:name="_Ref25661073"/>
      <w:bookmarkStart w:id="1946" w:name="_Ref34131973"/>
    </w:p>
    <w:p w14:paraId="73347EEB" w14:textId="49BF5611" w:rsidR="001B34C7" w:rsidRDefault="001B34C7" w:rsidP="001B34C7">
      <w:pPr>
        <w:pStyle w:val="Popis"/>
        <w:rPr>
          <w:b/>
          <w:i w:val="0"/>
          <w:color w:val="2E74B5" w:themeColor="accent1" w:themeShade="BF"/>
          <w:sz w:val="22"/>
        </w:rPr>
      </w:pPr>
      <w:bookmarkStart w:id="1947" w:name="_Ref34320398"/>
      <w:r w:rsidRPr="00DF3709">
        <w:rPr>
          <w:b/>
          <w:i w:val="0"/>
          <w:color w:val="2E74B5" w:themeColor="accent1" w:themeShade="BF"/>
          <w:sz w:val="22"/>
        </w:rPr>
        <w:t xml:space="preserve">Príloha </w:t>
      </w:r>
      <w:r w:rsidRPr="00DF3709">
        <w:rPr>
          <w:b/>
          <w:i w:val="0"/>
          <w:color w:val="2E74B5" w:themeColor="accent1" w:themeShade="BF"/>
          <w:sz w:val="22"/>
        </w:rPr>
        <w:fldChar w:fldCharType="begin"/>
      </w:r>
      <w:r w:rsidRPr="00DF3709">
        <w:rPr>
          <w:b/>
          <w:i w:val="0"/>
          <w:color w:val="2E74B5" w:themeColor="accent1" w:themeShade="BF"/>
          <w:sz w:val="22"/>
        </w:rPr>
        <w:instrText xml:space="preserve"> SEQ Príloha \* ARABIC </w:instrText>
      </w:r>
      <w:r w:rsidRPr="00DF3709">
        <w:rPr>
          <w:b/>
          <w:i w:val="0"/>
          <w:color w:val="2E74B5" w:themeColor="accent1" w:themeShade="BF"/>
          <w:sz w:val="22"/>
        </w:rPr>
        <w:fldChar w:fldCharType="separate"/>
      </w:r>
      <w:r w:rsidR="00FA29AF">
        <w:rPr>
          <w:b/>
          <w:i w:val="0"/>
          <w:noProof/>
          <w:color w:val="2E74B5" w:themeColor="accent1" w:themeShade="BF"/>
          <w:sz w:val="22"/>
        </w:rPr>
        <w:t>36</w:t>
      </w:r>
      <w:r w:rsidRPr="00DF3709">
        <w:rPr>
          <w:b/>
          <w:i w:val="0"/>
          <w:color w:val="2E74B5" w:themeColor="accent1" w:themeShade="BF"/>
          <w:sz w:val="22"/>
        </w:rPr>
        <w:fldChar w:fldCharType="end"/>
      </w:r>
      <w:bookmarkEnd w:id="1945"/>
      <w:bookmarkEnd w:id="1946"/>
      <w:bookmarkEnd w:id="1947"/>
      <w:r w:rsidRPr="00DF3709">
        <w:rPr>
          <w:b/>
          <w:i w:val="0"/>
          <w:color w:val="2E74B5" w:themeColor="accent1" w:themeShade="BF"/>
          <w:sz w:val="22"/>
        </w:rPr>
        <w:t xml:space="preserve">: </w:t>
      </w:r>
      <w:r>
        <w:rPr>
          <w:b/>
          <w:i w:val="0"/>
          <w:color w:val="2E74B5" w:themeColor="accent1" w:themeShade="BF"/>
          <w:sz w:val="22"/>
        </w:rPr>
        <w:t>Vplyv návrhu zmeny systému pomoci v hmotnej núdzi na pascu inaktivity</w:t>
      </w:r>
    </w:p>
    <w:p w14:paraId="3FF6031E" w14:textId="6B1B881F" w:rsidR="001B34C7" w:rsidRPr="00556088" w:rsidRDefault="001B34C7" w:rsidP="001B34C7">
      <w:pPr>
        <w:rPr>
          <w:bCs/>
        </w:rPr>
      </w:pPr>
      <w:r w:rsidRPr="00556088">
        <w:rPr>
          <w:bCs/>
        </w:rPr>
        <w:t>V súčasnom systéme sociálnych dávok sa dlhodobo nezamestnaným osobám výrazne viac oplatí pracovať oproti poberaniu sociálnej pomoci. Motivácia pracovať je meraná tzv. pascou inaktivity, ktorá meria podiel hrubého príjmu, ktorý človek stráca na daniach a znížených sociálnych dávkach pri nástupe do zamestnania.</w:t>
      </w:r>
      <w:r w:rsidRPr="00556088">
        <w:rPr>
          <w:rStyle w:val="Odkaznapoznmkupodiarou"/>
          <w:bCs/>
        </w:rPr>
        <w:footnoteReference w:id="544"/>
      </w:r>
      <w:r w:rsidR="006675C8">
        <w:rPr>
          <w:bCs/>
        </w:rPr>
        <w:t xml:space="preserve"> Čím vyššia je </w:t>
      </w:r>
      <w:r w:rsidRPr="00556088">
        <w:rPr>
          <w:bCs/>
        </w:rPr>
        <w:t xml:space="preserve">hodnota </w:t>
      </w:r>
      <w:r w:rsidR="003E522D">
        <w:rPr>
          <w:bCs/>
        </w:rPr>
        <w:t>tohto ukazovateľa</w:t>
      </w:r>
      <w:r w:rsidRPr="00556088">
        <w:rPr>
          <w:bCs/>
        </w:rPr>
        <w:t xml:space="preserve">, tým menšia je finančná motivácia prechodu z nezamestnanosti do zamestnania. </w:t>
      </w:r>
    </w:p>
    <w:p w14:paraId="5BE27894" w14:textId="692B4E2F" w:rsidR="001B34C7" w:rsidRPr="00556088" w:rsidRDefault="001B34C7" w:rsidP="001B34C7">
      <w:pPr>
        <w:rPr>
          <w:bCs/>
        </w:rPr>
      </w:pPr>
      <w:r w:rsidRPr="00556088">
        <w:rPr>
          <w:bCs/>
        </w:rPr>
        <w:t xml:space="preserve">Pre domácnosti s deťmi je motivácia pracovať oproti bezdetným domácnostiam oveľa vyššia </w:t>
      </w:r>
      <w:r w:rsidR="003E522D">
        <w:rPr>
          <w:bCs/>
        </w:rPr>
        <w:t xml:space="preserve">– daň z participácie je nižšia </w:t>
      </w:r>
      <w:r w:rsidRPr="00556088">
        <w:rPr>
          <w:bCs/>
        </w:rPr>
        <w:t>(</w:t>
      </w:r>
      <w:r w:rsidRPr="00AE30CC">
        <w:fldChar w:fldCharType="begin"/>
      </w:r>
      <w:r w:rsidRPr="00AE30CC">
        <w:instrText xml:space="preserve"> REF _Ref25663370 \h </w:instrText>
      </w:r>
      <w:r>
        <w:instrText xml:space="preserve"> \* MERGEFORMAT </w:instrText>
      </w:r>
      <w:r w:rsidRPr="00AE30CC">
        <w:fldChar w:fldCharType="separate"/>
      </w:r>
      <w:r w:rsidR="00FA29AF" w:rsidRPr="00FA29AF">
        <w:t>Graf P 7</w:t>
      </w:r>
      <w:r w:rsidRPr="00AE30CC">
        <w:fldChar w:fldCharType="end"/>
      </w:r>
      <w:r w:rsidRPr="00AE30CC">
        <w:t>)</w:t>
      </w:r>
      <w:r w:rsidRPr="00556088">
        <w:rPr>
          <w:bCs/>
        </w:rPr>
        <w:t xml:space="preserve">. </w:t>
      </w:r>
      <w:r w:rsidR="00291E65">
        <w:rPr>
          <w:bCs/>
        </w:rPr>
        <w:t xml:space="preserve">Zmeny s účinnosťou od januára 2020 (napr. zvýšenie minimálnej mzdy) spôsobili iba mierne zmeny v tomto nastavení. </w:t>
      </w:r>
      <w:r w:rsidRPr="00556088">
        <w:rPr>
          <w:bCs/>
        </w:rPr>
        <w:t xml:space="preserve">Ak sa v domácnosti dlhodobo nezamestnaných </w:t>
      </w:r>
      <w:r w:rsidR="00B07A75">
        <w:rPr>
          <w:bCs/>
        </w:rPr>
        <w:t>rodičov s deťmi</w:t>
      </w:r>
      <w:r w:rsidRPr="00556088">
        <w:rPr>
          <w:bCs/>
        </w:rPr>
        <w:t xml:space="preserve"> zamestná </w:t>
      </w:r>
      <w:r w:rsidR="00B07A75">
        <w:rPr>
          <w:bCs/>
        </w:rPr>
        <w:t xml:space="preserve">jeden rodič </w:t>
      </w:r>
      <w:r w:rsidR="006675C8">
        <w:rPr>
          <w:bCs/>
        </w:rPr>
        <w:t>za </w:t>
      </w:r>
      <w:r w:rsidRPr="00556088">
        <w:rPr>
          <w:bCs/>
        </w:rPr>
        <w:t>minimálnu mzdu</w:t>
      </w:r>
      <w:r w:rsidR="006675C8">
        <w:rPr>
          <w:bCs/>
        </w:rPr>
        <w:t>,</w:t>
      </w:r>
      <w:r w:rsidRPr="00556088">
        <w:rPr>
          <w:bCs/>
        </w:rPr>
        <w:t xml:space="preserve"> pasca inaktivity </w:t>
      </w:r>
      <w:r w:rsidR="00B07A75" w:rsidRPr="00556088">
        <w:rPr>
          <w:bCs/>
        </w:rPr>
        <w:t xml:space="preserve">je </w:t>
      </w:r>
      <w:r w:rsidRPr="00556088">
        <w:rPr>
          <w:bCs/>
        </w:rPr>
        <w:t>negatívna.</w:t>
      </w:r>
      <w:r w:rsidR="00291E65">
        <w:rPr>
          <w:rStyle w:val="Odkaznapoznmkupodiarou"/>
          <w:bCs/>
        </w:rPr>
        <w:footnoteReference w:id="545"/>
      </w:r>
      <w:r w:rsidRPr="00556088">
        <w:rPr>
          <w:bCs/>
        </w:rPr>
        <w:t xml:space="preserve"> To znamená, že po vstupe do zamestnania domácnosť kr</w:t>
      </w:r>
      <w:r>
        <w:rPr>
          <w:bCs/>
        </w:rPr>
        <w:t>á</w:t>
      </w:r>
      <w:r w:rsidRPr="00556088">
        <w:rPr>
          <w:bCs/>
        </w:rPr>
        <w:t>tkodobo dostane vyššie dávky ako predtým</w:t>
      </w:r>
      <w:r w:rsidR="00291E65">
        <w:rPr>
          <w:bCs/>
        </w:rPr>
        <w:t xml:space="preserve"> v dôsledku rôznych stimulov (</w:t>
      </w:r>
      <w:r w:rsidR="00291E65" w:rsidRPr="00556088">
        <w:rPr>
          <w:bCs/>
        </w:rPr>
        <w:t>osobitný príspevok, rozšírený aktivačný príspevok</w:t>
      </w:r>
      <w:r w:rsidR="00291E65">
        <w:rPr>
          <w:bCs/>
        </w:rPr>
        <w:t xml:space="preserve">) ako aj </w:t>
      </w:r>
      <w:r w:rsidR="00B07A75">
        <w:rPr>
          <w:bCs/>
        </w:rPr>
        <w:t>daňových</w:t>
      </w:r>
      <w:r w:rsidR="00291E65">
        <w:rPr>
          <w:bCs/>
        </w:rPr>
        <w:t xml:space="preserve"> nástrojov (</w:t>
      </w:r>
      <w:r w:rsidR="00DC0C0A">
        <w:rPr>
          <w:bCs/>
        </w:rPr>
        <w:t>podkapitola</w:t>
      </w:r>
      <w:r w:rsidR="00291E65">
        <w:rPr>
          <w:bCs/>
        </w:rPr>
        <w:t xml:space="preserve"> </w:t>
      </w:r>
      <w:r w:rsidR="00291E65">
        <w:rPr>
          <w:bCs/>
        </w:rPr>
        <w:fldChar w:fldCharType="begin"/>
      </w:r>
      <w:r w:rsidR="00291E65">
        <w:rPr>
          <w:bCs/>
        </w:rPr>
        <w:instrText xml:space="preserve"> REF _Ref25489028 \r \h </w:instrText>
      </w:r>
      <w:r w:rsidR="00291E65">
        <w:rPr>
          <w:bCs/>
        </w:rPr>
      </w:r>
      <w:r w:rsidR="00291E65">
        <w:rPr>
          <w:bCs/>
        </w:rPr>
        <w:fldChar w:fldCharType="separate"/>
      </w:r>
      <w:r w:rsidR="00FA29AF">
        <w:rPr>
          <w:bCs/>
        </w:rPr>
        <w:t>8.3</w:t>
      </w:r>
      <w:r w:rsidR="00291E65">
        <w:rPr>
          <w:bCs/>
        </w:rPr>
        <w:fldChar w:fldCharType="end"/>
      </w:r>
      <w:r w:rsidR="00291E65">
        <w:rPr>
          <w:bCs/>
        </w:rPr>
        <w:t>)</w:t>
      </w:r>
      <w:r w:rsidRPr="00556088">
        <w:rPr>
          <w:bCs/>
        </w:rPr>
        <w:t xml:space="preserve">. V bezdetných </w:t>
      </w:r>
      <w:r w:rsidR="00DC0C0A" w:rsidRPr="00556088">
        <w:rPr>
          <w:bCs/>
        </w:rPr>
        <w:t>domácnostiach</w:t>
      </w:r>
      <w:r w:rsidRPr="00556088">
        <w:rPr>
          <w:bCs/>
        </w:rPr>
        <w:t xml:space="preserve"> je pasca inaktivity </w:t>
      </w:r>
      <w:r w:rsidR="003E522D">
        <w:rPr>
          <w:bCs/>
        </w:rPr>
        <w:t xml:space="preserve">pozitívna ale </w:t>
      </w:r>
      <w:r w:rsidRPr="00556088">
        <w:rPr>
          <w:bCs/>
        </w:rPr>
        <w:t xml:space="preserve">stále veľmi nízka aj </w:t>
      </w:r>
      <w:r>
        <w:rPr>
          <w:bCs/>
        </w:rPr>
        <w:t xml:space="preserve">v </w:t>
      </w:r>
      <w:r w:rsidRPr="00556088">
        <w:rPr>
          <w:bCs/>
        </w:rPr>
        <w:t>medzinárodnom porovnaní (</w:t>
      </w:r>
      <w:r w:rsidR="003E522D" w:rsidRPr="00D41517">
        <w:rPr>
          <w:bCs/>
          <w:szCs w:val="22"/>
        </w:rPr>
        <w:fldChar w:fldCharType="begin"/>
      </w:r>
      <w:r w:rsidR="003E522D" w:rsidRPr="00D41517">
        <w:rPr>
          <w:bCs/>
          <w:szCs w:val="22"/>
        </w:rPr>
        <w:instrText xml:space="preserve"> REF _Ref18408190 \h  \* MERGEFORMAT </w:instrText>
      </w:r>
      <w:r w:rsidR="003E522D" w:rsidRPr="00D41517">
        <w:rPr>
          <w:bCs/>
          <w:szCs w:val="22"/>
        </w:rPr>
      </w:r>
      <w:r w:rsidR="003E522D" w:rsidRPr="00D41517">
        <w:rPr>
          <w:bCs/>
          <w:szCs w:val="22"/>
        </w:rPr>
        <w:fldChar w:fldCharType="separate"/>
      </w:r>
      <w:r w:rsidR="00FA29AF" w:rsidRPr="00FA29AF">
        <w:rPr>
          <w:szCs w:val="22"/>
        </w:rPr>
        <w:t xml:space="preserve">Graf </w:t>
      </w:r>
      <w:r w:rsidR="00FA29AF" w:rsidRPr="00FA29AF">
        <w:rPr>
          <w:noProof/>
          <w:szCs w:val="22"/>
        </w:rPr>
        <w:t>53</w:t>
      </w:r>
      <w:r w:rsidR="003E522D" w:rsidRPr="00D41517">
        <w:rPr>
          <w:bCs/>
          <w:szCs w:val="22"/>
        </w:rPr>
        <w:fldChar w:fldCharType="end"/>
      </w:r>
      <w:r w:rsidRPr="003E522D">
        <w:rPr>
          <w:bCs/>
        </w:rPr>
        <w:t xml:space="preserve"> </w:t>
      </w:r>
      <w:r w:rsidRPr="00D41517">
        <w:rPr>
          <w:bCs/>
        </w:rPr>
        <w:t>podkapitola</w:t>
      </w:r>
      <w:r w:rsidR="003E522D">
        <w:rPr>
          <w:bCs/>
        </w:rPr>
        <w:t xml:space="preserve"> </w:t>
      </w:r>
      <w:r w:rsidR="003E522D">
        <w:rPr>
          <w:bCs/>
        </w:rPr>
        <w:fldChar w:fldCharType="begin"/>
      </w:r>
      <w:r w:rsidR="003E522D">
        <w:rPr>
          <w:bCs/>
        </w:rPr>
        <w:instrText xml:space="preserve"> REF _Ref32241262 \r \h </w:instrText>
      </w:r>
      <w:r w:rsidR="003E522D">
        <w:rPr>
          <w:bCs/>
        </w:rPr>
      </w:r>
      <w:r w:rsidR="003E522D">
        <w:rPr>
          <w:bCs/>
        </w:rPr>
        <w:fldChar w:fldCharType="separate"/>
      </w:r>
      <w:r w:rsidR="00FA29AF">
        <w:rPr>
          <w:bCs/>
        </w:rPr>
        <w:t>8.1</w:t>
      </w:r>
      <w:r w:rsidR="003E522D">
        <w:rPr>
          <w:bCs/>
        </w:rPr>
        <w:fldChar w:fldCharType="end"/>
      </w:r>
      <w:r w:rsidRPr="00556088">
        <w:rPr>
          <w:bCs/>
        </w:rPr>
        <w:t>).</w:t>
      </w:r>
      <w:r w:rsidR="00291E65">
        <w:rPr>
          <w:rStyle w:val="Odkaznapoznmkupodiarou"/>
          <w:bCs/>
        </w:rPr>
        <w:footnoteReference w:id="546"/>
      </w:r>
      <w:r w:rsidRPr="00556088">
        <w:rPr>
          <w:bCs/>
        </w:rPr>
        <w:t xml:space="preserve"> </w:t>
      </w:r>
    </w:p>
    <w:p w14:paraId="1A38A813" w14:textId="3F1F8FAB" w:rsidR="001B34C7" w:rsidRPr="001D6156" w:rsidRDefault="001B34C7" w:rsidP="001B34C7">
      <w:r>
        <w:rPr>
          <w:bCs/>
        </w:rPr>
        <w:t>N</w:t>
      </w:r>
      <w:r w:rsidRPr="00556088">
        <w:rPr>
          <w:bCs/>
        </w:rPr>
        <w:t>ávrh zmeny systému pomoci v hmotnej núdzi</w:t>
      </w:r>
      <w:r>
        <w:rPr>
          <w:bCs/>
        </w:rPr>
        <w:t xml:space="preserve"> spočíva vo zvýšení celkových nárokov na PHN a rozšírení príspevku na nezaopatrené dieťa na všetky deti do ukončenia povinnej školskej dochádzky</w:t>
      </w:r>
      <w:r w:rsidRPr="00556088">
        <w:rPr>
          <w:bCs/>
        </w:rPr>
        <w:t xml:space="preserve"> (</w:t>
      </w:r>
      <w:r w:rsidRPr="00AB28DA">
        <w:fldChar w:fldCharType="begin"/>
      </w:r>
      <w:r w:rsidRPr="00AB28DA">
        <w:instrText xml:space="preserve"> REF _Ref21088099 \h  \* MERGEFORMAT </w:instrText>
      </w:r>
      <w:r w:rsidRPr="00AB28DA">
        <w:fldChar w:fldCharType="separate"/>
      </w:r>
      <w:r w:rsidR="00FA29AF" w:rsidRPr="00FA29AF">
        <w:rPr>
          <w:iCs/>
        </w:rPr>
        <w:t>Box 20</w:t>
      </w:r>
      <w:r w:rsidRPr="00AB28DA">
        <w:fldChar w:fldCharType="end"/>
      </w:r>
      <w:r w:rsidR="006675C8">
        <w:rPr>
          <w:bCs/>
        </w:rPr>
        <w:t>) a rozšírení nároku na </w:t>
      </w:r>
      <w:r>
        <w:rPr>
          <w:bCs/>
        </w:rPr>
        <w:t xml:space="preserve">osobitný príspevok na rodičov, ktorí stratili nárok na PHN z dôvodu získania nároku na </w:t>
      </w:r>
      <w:r w:rsidR="00DC0C0A">
        <w:rPr>
          <w:bCs/>
        </w:rPr>
        <w:t>rodičovský</w:t>
      </w:r>
      <w:r>
        <w:rPr>
          <w:bCs/>
        </w:rPr>
        <w:t xml:space="preserve"> príspevok (podkapitola 7.2). Po realizácii tohto návrhu by </w:t>
      </w:r>
      <w:r w:rsidRPr="00556088">
        <w:rPr>
          <w:bCs/>
        </w:rPr>
        <w:t xml:space="preserve">práca </w:t>
      </w:r>
      <w:r>
        <w:rPr>
          <w:bCs/>
        </w:rPr>
        <w:t xml:space="preserve">ostala </w:t>
      </w:r>
      <w:r w:rsidRPr="00556088">
        <w:rPr>
          <w:bCs/>
        </w:rPr>
        <w:t xml:space="preserve">naďalej </w:t>
      </w:r>
      <w:r>
        <w:rPr>
          <w:bCs/>
        </w:rPr>
        <w:t xml:space="preserve">výrazne </w:t>
      </w:r>
      <w:r w:rsidRPr="00556088">
        <w:rPr>
          <w:bCs/>
        </w:rPr>
        <w:t xml:space="preserve">výhodnejšia v porovnaní s poberaním sociálnej pomoci. </w:t>
      </w:r>
      <w:r w:rsidR="00B117BC">
        <w:rPr>
          <w:bCs/>
        </w:rPr>
        <w:t xml:space="preserve">V prípade osamelých rodičov sa dokonca výrazne posilní motivácia v dôsledku širšej dostupnosti osobitného príspevku. Ich čistý zisk z práce za minimálnu mzdu oproti </w:t>
      </w:r>
      <w:r w:rsidR="00B117BC" w:rsidRPr="00556088">
        <w:rPr>
          <w:bCs/>
        </w:rPr>
        <w:t>p</w:t>
      </w:r>
      <w:r w:rsidR="00B117BC">
        <w:rPr>
          <w:bCs/>
        </w:rPr>
        <w:t>oberaniu dávok tvorí viac ako 13</w:t>
      </w:r>
      <w:r w:rsidR="00B117BC" w:rsidRPr="00556088">
        <w:rPr>
          <w:bCs/>
        </w:rPr>
        <w:t>0 % hrubej mzdy</w:t>
      </w:r>
      <w:r w:rsidR="00B117BC">
        <w:rPr>
          <w:bCs/>
        </w:rPr>
        <w:t xml:space="preserve">. V prípade dvojíc s deťmi návrh zvyšuje pascu </w:t>
      </w:r>
      <w:r w:rsidR="00DC0C0A">
        <w:rPr>
          <w:bCs/>
        </w:rPr>
        <w:t>inaktivity</w:t>
      </w:r>
      <w:r w:rsidR="00B117BC">
        <w:rPr>
          <w:bCs/>
        </w:rPr>
        <w:t xml:space="preserve">, tá však zostáva výrazne negatívna. </w:t>
      </w:r>
    </w:p>
    <w:tbl>
      <w:tblPr>
        <w:tblW w:w="9072" w:type="dxa"/>
        <w:tblLayout w:type="fixed"/>
        <w:tblLook w:val="04E0" w:firstRow="1" w:lastRow="1" w:firstColumn="1" w:lastColumn="0" w:noHBand="0" w:noVBand="1"/>
      </w:tblPr>
      <w:tblGrid>
        <w:gridCol w:w="9072"/>
      </w:tblGrid>
      <w:tr w:rsidR="001B34C7" w:rsidRPr="001D6156" w14:paraId="02D90A39" w14:textId="77777777" w:rsidTr="00A335E5">
        <w:tc>
          <w:tcPr>
            <w:tcW w:w="9072" w:type="dxa"/>
            <w:tcBorders>
              <w:bottom w:val="single" w:sz="4" w:space="0" w:color="auto"/>
            </w:tcBorders>
          </w:tcPr>
          <w:p w14:paraId="0A94A05F" w14:textId="77777777" w:rsidR="001B34C7" w:rsidRPr="00A335E5" w:rsidRDefault="001B34C7" w:rsidP="00A335E5">
            <w:pPr>
              <w:pStyle w:val="Popis"/>
              <w:keepNext/>
              <w:spacing w:after="0"/>
              <w:rPr>
                <w:b/>
                <w:i w:val="0"/>
                <w:sz w:val="20"/>
                <w:szCs w:val="20"/>
              </w:rPr>
            </w:pPr>
            <w:bookmarkStart w:id="1948" w:name="_Ref25663370"/>
            <w:bookmarkStart w:id="1949" w:name="_Ref25072016"/>
            <w:r w:rsidRPr="00A335E5">
              <w:rPr>
                <w:b/>
                <w:i w:val="0"/>
                <w:color w:val="auto"/>
                <w:sz w:val="20"/>
                <w:szCs w:val="20"/>
              </w:rPr>
              <w:t xml:space="preserve">Graf P </w:t>
            </w:r>
            <w:r w:rsidRPr="00A335E5">
              <w:rPr>
                <w:b/>
                <w:i w:val="0"/>
                <w:color w:val="auto"/>
                <w:sz w:val="20"/>
                <w:szCs w:val="20"/>
              </w:rPr>
              <w:fldChar w:fldCharType="begin"/>
            </w:r>
            <w:r w:rsidRPr="00A335E5">
              <w:rPr>
                <w:b/>
                <w:i w:val="0"/>
                <w:color w:val="auto"/>
                <w:sz w:val="20"/>
                <w:szCs w:val="20"/>
              </w:rPr>
              <w:instrText xml:space="preserve"> SEQ Graf_P \* ARABIC </w:instrText>
            </w:r>
            <w:r w:rsidRPr="00A335E5">
              <w:rPr>
                <w:b/>
                <w:i w:val="0"/>
                <w:color w:val="auto"/>
                <w:sz w:val="20"/>
                <w:szCs w:val="20"/>
              </w:rPr>
              <w:fldChar w:fldCharType="separate"/>
            </w:r>
            <w:r w:rsidR="00FA29AF">
              <w:rPr>
                <w:b/>
                <w:i w:val="0"/>
                <w:noProof/>
                <w:color w:val="auto"/>
                <w:sz w:val="20"/>
                <w:szCs w:val="20"/>
              </w:rPr>
              <w:t>7</w:t>
            </w:r>
            <w:r w:rsidRPr="00A335E5">
              <w:rPr>
                <w:b/>
                <w:i w:val="0"/>
                <w:color w:val="auto"/>
                <w:sz w:val="20"/>
                <w:szCs w:val="20"/>
              </w:rPr>
              <w:fldChar w:fldCharType="end"/>
            </w:r>
            <w:bookmarkEnd w:id="1948"/>
            <w:r w:rsidRPr="00A335E5">
              <w:rPr>
                <w:b/>
                <w:i w:val="0"/>
                <w:color w:val="auto"/>
                <w:sz w:val="20"/>
                <w:szCs w:val="20"/>
              </w:rPr>
              <w:t>:</w:t>
            </w:r>
            <w:bookmarkEnd w:id="1949"/>
            <w:r w:rsidRPr="00A335E5">
              <w:rPr>
                <w:b/>
                <w:i w:val="0"/>
                <w:color w:val="auto"/>
                <w:sz w:val="20"/>
                <w:szCs w:val="20"/>
              </w:rPr>
              <w:t xml:space="preserve"> Pasca inaktivity: efektívna daň pri nástupe s platom na úrovni minimálnej mzdy (%)</w:t>
            </w:r>
          </w:p>
        </w:tc>
      </w:tr>
      <w:tr w:rsidR="001B34C7" w:rsidRPr="00CA2564" w14:paraId="042AD823" w14:textId="77777777" w:rsidTr="00A335E5">
        <w:tblPrEx>
          <w:tblCellMar>
            <w:left w:w="70" w:type="dxa"/>
            <w:right w:w="70" w:type="dxa"/>
          </w:tblCellMar>
        </w:tblPrEx>
        <w:tc>
          <w:tcPr>
            <w:tcW w:w="9072" w:type="dxa"/>
            <w:tcBorders>
              <w:top w:val="single" w:sz="4" w:space="0" w:color="auto"/>
              <w:bottom w:val="single" w:sz="4" w:space="0" w:color="auto"/>
            </w:tcBorders>
          </w:tcPr>
          <w:p w14:paraId="5B69D88A" w14:textId="77777777" w:rsidR="001B34C7" w:rsidRPr="00CA2564" w:rsidRDefault="001B34C7" w:rsidP="00A335E5">
            <w:pPr>
              <w:spacing w:after="0"/>
              <w:rPr>
                <w:sz w:val="4"/>
                <w:szCs w:val="4"/>
              </w:rPr>
            </w:pPr>
          </w:p>
          <w:p w14:paraId="06A509F2" w14:textId="76B53B50" w:rsidR="001B34C7" w:rsidRPr="00CA2564" w:rsidRDefault="003E522D" w:rsidP="00A335E5">
            <w:pPr>
              <w:spacing w:after="0"/>
              <w:rPr>
                <w:sz w:val="4"/>
                <w:szCs w:val="4"/>
              </w:rPr>
            </w:pPr>
            <w:r>
              <w:rPr>
                <w:noProof/>
                <w:lang w:eastAsia="sk-SK"/>
              </w:rPr>
              <w:drawing>
                <wp:inline distT="0" distB="0" distL="0" distR="0" wp14:anchorId="4F098A71" wp14:editId="37C58390">
                  <wp:extent cx="5671820" cy="2362200"/>
                  <wp:effectExtent l="0" t="0" r="5080" b="0"/>
                  <wp:docPr id="317" name="Graf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4"/>
                    </a:graphicData>
                  </a:graphic>
                </wp:inline>
              </w:drawing>
            </w:r>
          </w:p>
          <w:p w14:paraId="047B2AEF" w14:textId="77777777" w:rsidR="001B34C7" w:rsidRPr="00CA2564" w:rsidRDefault="001B34C7" w:rsidP="00A335E5">
            <w:pPr>
              <w:spacing w:after="0"/>
              <w:rPr>
                <w:sz w:val="4"/>
                <w:szCs w:val="4"/>
              </w:rPr>
            </w:pPr>
          </w:p>
        </w:tc>
      </w:tr>
      <w:tr w:rsidR="001B34C7" w:rsidRPr="00A335E5" w14:paraId="7458D36F" w14:textId="77777777" w:rsidTr="00A335E5">
        <w:tc>
          <w:tcPr>
            <w:tcW w:w="9072" w:type="dxa"/>
            <w:tcBorders>
              <w:top w:val="single" w:sz="4" w:space="0" w:color="auto"/>
            </w:tcBorders>
          </w:tcPr>
          <w:p w14:paraId="29BA8A4F" w14:textId="4548F22F" w:rsidR="001B34C7" w:rsidRPr="00A335E5" w:rsidRDefault="001B34C7" w:rsidP="00A335E5">
            <w:pPr>
              <w:spacing w:after="0"/>
              <w:jc w:val="right"/>
              <w:rPr>
                <w:i/>
                <w:noProof/>
                <w:sz w:val="18"/>
                <w:szCs w:val="18"/>
              </w:rPr>
            </w:pPr>
            <w:r w:rsidRPr="00A335E5">
              <w:rPr>
                <w:i/>
                <w:noProof/>
                <w:sz w:val="18"/>
                <w:szCs w:val="18"/>
              </w:rPr>
              <w:t>Zdroj: ÚHP na základe údajov zo mzdovej kalkulačky Inštitútu zamestnanosti</w:t>
            </w:r>
            <w:r w:rsidR="00291E65" w:rsidRPr="00A335E5">
              <w:rPr>
                <w:i/>
                <w:noProof/>
                <w:sz w:val="18"/>
                <w:szCs w:val="18"/>
              </w:rPr>
              <w:t xml:space="preserve"> (</w:t>
            </w:r>
            <w:hyperlink r:id="rId265" w:history="1">
              <w:r w:rsidR="00291E65" w:rsidRPr="00A335E5">
                <w:rPr>
                  <w:rStyle w:val="Hypertextovprepojenie"/>
                  <w:i/>
                  <w:sz w:val="18"/>
                  <w:szCs w:val="18"/>
                </w:rPr>
                <w:t>https://www.iz.sk/kalkulacka</w:t>
              </w:r>
            </w:hyperlink>
            <w:r w:rsidR="00291E65" w:rsidRPr="00A335E5">
              <w:rPr>
                <w:i/>
                <w:noProof/>
                <w:sz w:val="18"/>
                <w:szCs w:val="18"/>
              </w:rPr>
              <w:t>)</w:t>
            </w:r>
          </w:p>
        </w:tc>
      </w:tr>
    </w:tbl>
    <w:p w14:paraId="0EB44842" w14:textId="77777777" w:rsidR="001B34C7" w:rsidRPr="0020638D" w:rsidRDefault="001B34C7" w:rsidP="001B34C7">
      <w:pPr>
        <w:sectPr w:rsidR="001B34C7" w:rsidRPr="0020638D" w:rsidSect="002B2CCB">
          <w:pgSz w:w="11906" w:h="16838" w:code="9"/>
          <w:pgMar w:top="1440" w:right="1378" w:bottom="1440" w:left="1440" w:header="708" w:footer="646" w:gutter="0"/>
          <w:cols w:space="708"/>
          <w:docGrid w:linePitch="360"/>
        </w:sectPr>
      </w:pPr>
    </w:p>
    <w:p w14:paraId="08A65129" w14:textId="77777777" w:rsidR="00DC0C0A" w:rsidRDefault="00DC0C0A" w:rsidP="00D5224B">
      <w:pPr>
        <w:pStyle w:val="Popis"/>
        <w:rPr>
          <w:b/>
          <w:i w:val="0"/>
          <w:color w:val="2E74B5" w:themeColor="accent1" w:themeShade="BF"/>
          <w:sz w:val="22"/>
        </w:rPr>
      </w:pPr>
      <w:bookmarkStart w:id="1950" w:name="_Ref25324403"/>
      <w:bookmarkStart w:id="1951" w:name="_Ref34132000"/>
      <w:bookmarkStart w:id="1952" w:name="_Hlk24490201"/>
      <w:bookmarkStart w:id="1953" w:name="_Ref25324469"/>
      <w:bookmarkStart w:id="1954" w:name="_Hlk24490228"/>
    </w:p>
    <w:p w14:paraId="2FECEE6D" w14:textId="016ED3F6" w:rsidR="00D5224B" w:rsidRPr="00DF3709" w:rsidRDefault="00D5224B" w:rsidP="00D5224B">
      <w:pPr>
        <w:pStyle w:val="Popis"/>
        <w:rPr>
          <w:b/>
          <w:i w:val="0"/>
          <w:color w:val="2E74B5" w:themeColor="accent1" w:themeShade="BF"/>
          <w:sz w:val="22"/>
        </w:rPr>
      </w:pPr>
      <w:bookmarkStart w:id="1955" w:name="_Ref34320417"/>
      <w:r w:rsidRPr="00DF3709">
        <w:rPr>
          <w:b/>
          <w:i w:val="0"/>
          <w:color w:val="2E74B5" w:themeColor="accent1" w:themeShade="BF"/>
          <w:sz w:val="22"/>
        </w:rPr>
        <w:t xml:space="preserve">Príloha </w:t>
      </w:r>
      <w:r w:rsidRPr="00DF3709">
        <w:rPr>
          <w:b/>
          <w:i w:val="0"/>
          <w:color w:val="2E74B5" w:themeColor="accent1" w:themeShade="BF"/>
          <w:sz w:val="22"/>
        </w:rPr>
        <w:fldChar w:fldCharType="begin"/>
      </w:r>
      <w:r w:rsidRPr="00DF3709">
        <w:rPr>
          <w:b/>
          <w:i w:val="0"/>
          <w:color w:val="2E74B5" w:themeColor="accent1" w:themeShade="BF"/>
          <w:sz w:val="22"/>
        </w:rPr>
        <w:instrText xml:space="preserve"> SEQ Príloha \* ARABIC </w:instrText>
      </w:r>
      <w:r w:rsidRPr="00DF3709">
        <w:rPr>
          <w:b/>
          <w:i w:val="0"/>
          <w:color w:val="2E74B5" w:themeColor="accent1" w:themeShade="BF"/>
          <w:sz w:val="22"/>
        </w:rPr>
        <w:fldChar w:fldCharType="separate"/>
      </w:r>
      <w:r w:rsidR="00FA29AF">
        <w:rPr>
          <w:b/>
          <w:i w:val="0"/>
          <w:noProof/>
          <w:color w:val="2E74B5" w:themeColor="accent1" w:themeShade="BF"/>
          <w:sz w:val="22"/>
        </w:rPr>
        <w:t>37</w:t>
      </w:r>
      <w:r w:rsidRPr="00DF3709">
        <w:rPr>
          <w:b/>
          <w:i w:val="0"/>
          <w:color w:val="2E74B5" w:themeColor="accent1" w:themeShade="BF"/>
          <w:sz w:val="22"/>
        </w:rPr>
        <w:fldChar w:fldCharType="end"/>
      </w:r>
      <w:bookmarkEnd w:id="1950"/>
      <w:bookmarkEnd w:id="1951"/>
      <w:bookmarkEnd w:id="1955"/>
      <w:r w:rsidRPr="00DF3709">
        <w:rPr>
          <w:b/>
          <w:i w:val="0"/>
          <w:color w:val="2E74B5" w:themeColor="accent1" w:themeShade="BF"/>
          <w:sz w:val="22"/>
        </w:rPr>
        <w:t>: Dopad rodičovského príspevku na finančnú situáciu chudobných rodín s deťmi</w:t>
      </w:r>
    </w:p>
    <w:bookmarkEnd w:id="1952"/>
    <w:p w14:paraId="2F839B9F" w14:textId="2448AA23" w:rsidR="00D5224B" w:rsidRPr="00CA2564" w:rsidRDefault="00D5224B" w:rsidP="00D5224B">
      <w:r>
        <w:fldChar w:fldCharType="begin"/>
      </w:r>
      <w:r>
        <w:instrText xml:space="preserve"> REF _Ref25330142 \h  \* MERGEFORMAT </w:instrText>
      </w:r>
      <w:r>
        <w:fldChar w:fldCharType="separate"/>
      </w:r>
      <w:r w:rsidR="00FA29AF" w:rsidRPr="00FA29AF">
        <w:t>Tabuľka P 31</w:t>
      </w:r>
      <w:r>
        <w:fldChar w:fldCharType="end"/>
      </w:r>
      <w:r>
        <w:t xml:space="preserve"> </w:t>
      </w:r>
      <w:r w:rsidRPr="00CA2564">
        <w:t>ukazuje príklady chudobných rodín bez práce, pri ktorých rodičovský príspevok iba veľmi mierne prevyšuje sumu nárokov na pomoc v hmotnej núdzi, a rodina získaním nároku na</w:t>
      </w:r>
      <w:r w:rsidR="006675C8">
        <w:t xml:space="preserve"> príspevok prichádza o nárok na </w:t>
      </w:r>
      <w:r w:rsidRPr="00CA2564">
        <w:t>PHN. Spodný riadok ukazuje hranicu poplatku za účasť dieťaťa v materskej škole, pri prevýšení ktorej dochádza k nižšiemu príjmu domácnosti (po zaplatení poplatku za materskú školu) v systé</w:t>
      </w:r>
      <w:r w:rsidR="006675C8">
        <w:t>me s rodičovským príspevkom ako </w:t>
      </w:r>
      <w:r w:rsidRPr="00CA2564">
        <w:t xml:space="preserve">v prípade, keby rodičovský príspevok neexistoval. </w:t>
      </w:r>
    </w:p>
    <w:p w14:paraId="66F5FC4D" w14:textId="77777777" w:rsidR="00D5224B" w:rsidRPr="00CA2564" w:rsidRDefault="00D5224B" w:rsidP="006675C8">
      <w:pPr>
        <w:pStyle w:val="Odsekzoznamu"/>
        <w:numPr>
          <w:ilvl w:val="0"/>
          <w:numId w:val="20"/>
        </w:numPr>
      </w:pPr>
      <w:r w:rsidRPr="00CA2564">
        <w:t xml:space="preserve">Rodina 1: </w:t>
      </w:r>
      <w:r w:rsidRPr="00147832">
        <w:t>Dvaja rodičia s jedným dieťaťom do 1 roku a dvomi deťmi v MŠ, s nárokom na jeden aktivačný príspevok, bez nároku na príspevok na bývanie</w:t>
      </w:r>
    </w:p>
    <w:p w14:paraId="05DCF223" w14:textId="77777777" w:rsidR="00D5224B" w:rsidRPr="00CA2564" w:rsidRDefault="00D5224B" w:rsidP="006675C8">
      <w:pPr>
        <w:pStyle w:val="Odsekzoznamu"/>
        <w:numPr>
          <w:ilvl w:val="0"/>
          <w:numId w:val="20"/>
        </w:numPr>
      </w:pPr>
      <w:r w:rsidRPr="00CA2564">
        <w:t xml:space="preserve">Rodina 2: </w:t>
      </w:r>
      <w:r w:rsidRPr="00147832">
        <w:t>Dvaja rodičia s jedným dvojročným dieťaťom a jedným dieťaťom v MŠ, bez nároku na aktivačný príspevok</w:t>
      </w:r>
    </w:p>
    <w:p w14:paraId="0841EC3B" w14:textId="77777777" w:rsidR="00D5224B" w:rsidRPr="00CA2564" w:rsidRDefault="00D5224B" w:rsidP="006675C8">
      <w:pPr>
        <w:pStyle w:val="Odsekzoznamu"/>
        <w:numPr>
          <w:ilvl w:val="0"/>
          <w:numId w:val="20"/>
        </w:numPr>
      </w:pPr>
      <w:r w:rsidRPr="00CA2564">
        <w:t xml:space="preserve">Rodina 3: </w:t>
      </w:r>
      <w:r w:rsidRPr="00147832">
        <w:t>Jeden rodič s jedným dieťaťom do 1 roku, jedným dieťaťom v MŠ a dvomi deťmi v ZŠ s nárokom na príspevok na bývanie</w:t>
      </w:r>
    </w:p>
    <w:p w14:paraId="641039CC" w14:textId="54333B55" w:rsidR="00DC0C0A" w:rsidRDefault="00D5224B" w:rsidP="006675C8">
      <w:pPr>
        <w:pStyle w:val="Odsekzoznamu"/>
        <w:numPr>
          <w:ilvl w:val="0"/>
          <w:numId w:val="20"/>
        </w:numPr>
      </w:pPr>
      <w:r w:rsidRPr="00CA2564">
        <w:t xml:space="preserve">Rodina </w:t>
      </w:r>
      <w:r>
        <w:t>4</w:t>
      </w:r>
      <w:r w:rsidRPr="00CA2564">
        <w:t xml:space="preserve">: </w:t>
      </w:r>
      <w:r w:rsidRPr="00147832">
        <w:t>Dvaja rodičia s jedným dvojročným dieťaťom, jedným dieťaťom v MŠ a jedným dieťaťom v ZŠ, s nárokom na jeden aktivačný príspevok, bez nároku na príspevok na bývanie</w:t>
      </w:r>
    </w:p>
    <w:p w14:paraId="39926475" w14:textId="35ED7BBB" w:rsidR="00EC44CC" w:rsidRDefault="00EC44CC" w:rsidP="00EC44CC">
      <w:pPr>
        <w:spacing w:before="160"/>
      </w:pPr>
      <w:r>
        <w:fldChar w:fldCharType="begin"/>
      </w:r>
      <w:r>
        <w:instrText xml:space="preserve"> REF _Ref25330172 \h  \* MERGEFORMAT </w:instrText>
      </w:r>
      <w:r>
        <w:fldChar w:fldCharType="separate"/>
      </w:r>
      <w:r w:rsidR="00FA29AF" w:rsidRPr="00FA29AF">
        <w:t>Tabuľka</w:t>
      </w:r>
      <w:r w:rsidR="00FA29AF" w:rsidRPr="009B0BF7">
        <w:rPr>
          <w:b/>
          <w:sz w:val="20"/>
        </w:rPr>
        <w:t xml:space="preserve"> P </w:t>
      </w:r>
      <w:r w:rsidR="00FA29AF">
        <w:rPr>
          <w:b/>
          <w:noProof/>
          <w:sz w:val="20"/>
        </w:rPr>
        <w:t>32</w:t>
      </w:r>
      <w:r>
        <w:fldChar w:fldCharType="end"/>
      </w:r>
      <w:r>
        <w:t xml:space="preserve"> </w:t>
      </w:r>
      <w:r w:rsidRPr="00CA2564">
        <w:t>sa zameriava na možnosti zvýšenia príjmu pre rodinu dvoch rodičov s</w:t>
      </w:r>
      <w:r w:rsidR="002F5684">
        <w:t> jedným dieťaťom vo veku 1 až </w:t>
      </w:r>
      <w:r>
        <w:t>3 roky. Rodičia sú</w:t>
      </w:r>
      <w:r w:rsidRPr="00CA2564">
        <w:t xml:space="preserve"> dlhodobo nezamestnan</w:t>
      </w:r>
      <w:r>
        <w:t xml:space="preserve">í, </w:t>
      </w:r>
      <w:r w:rsidRPr="00CA2564">
        <w:t xml:space="preserve">nezúčastňujú sa aktivačných činností a majú nárok na príspevok na bývanie. </w:t>
      </w:r>
      <w:r>
        <w:t>Súčet</w:t>
      </w:r>
      <w:r w:rsidRPr="00CA2564">
        <w:t xml:space="preserve"> nárokov na PHN dosahuje </w:t>
      </w:r>
      <w:r>
        <w:t>264</w:t>
      </w:r>
      <w:r w:rsidRPr="00CA2564">
        <w:t>,</w:t>
      </w:r>
      <w:r>
        <w:t>0</w:t>
      </w:r>
      <w:r w:rsidR="002F5684">
        <w:t xml:space="preserve"> eur</w:t>
      </w:r>
      <w:r w:rsidRPr="00CA2564">
        <w:t>, čo znamená, že v systéme s rodičovským príspevkom strácajú nárok na PHN. Ich celkový rodinný príjem je v systéme s rodičovským príspevkom 2</w:t>
      </w:r>
      <w:r>
        <w:t>94</w:t>
      </w:r>
      <w:r w:rsidRPr="00CA2564">
        <w:t>,</w:t>
      </w:r>
      <w:r>
        <w:t>95</w:t>
      </w:r>
      <w:r w:rsidR="002F5684">
        <w:t xml:space="preserve"> eur</w:t>
      </w:r>
      <w:r w:rsidRPr="00CA2564">
        <w:t xml:space="preserve"> (stĺpec </w:t>
      </w:r>
      <w:r>
        <w:t>1</w:t>
      </w:r>
      <w:r w:rsidRPr="00CA2564">
        <w:t>)</w:t>
      </w:r>
      <w:r w:rsidR="002F5684">
        <w:t>,</w:t>
      </w:r>
      <w:r w:rsidRPr="00CA2564">
        <w:t xml:space="preserve"> čo je o </w:t>
      </w:r>
      <w:r>
        <w:t>6</w:t>
      </w:r>
      <w:r w:rsidRPr="00CA2564">
        <w:t xml:space="preserve"> eur viac ako v systéme bez RP (stĺpec </w:t>
      </w:r>
      <w:r>
        <w:t>3</w:t>
      </w:r>
      <w:r w:rsidRPr="00CA2564">
        <w:t>).</w:t>
      </w:r>
      <w:r>
        <w:t xml:space="preserve"> </w:t>
      </w:r>
      <w:r w:rsidRPr="00CA2564">
        <w:t xml:space="preserve">V prípade zamestnania jedného z rodičov </w:t>
      </w:r>
      <w:r>
        <w:t xml:space="preserve">na čiastočný úväzok za 302 eur za mesiac (52 % mesačnej minimálnej mzdy a 261,19 eur v čistom) </w:t>
      </w:r>
      <w:r w:rsidRPr="00CA2564">
        <w:t xml:space="preserve">by rodinný príjem v systéme s RP dosiahol </w:t>
      </w:r>
      <w:r>
        <w:t>556,14</w:t>
      </w:r>
      <w:r w:rsidRPr="00CA2564">
        <w:t xml:space="preserve"> eur (stĺpec </w:t>
      </w:r>
      <w:r>
        <w:t>2</w:t>
      </w:r>
      <w:r w:rsidRPr="00CA2564">
        <w:t>). Bez straty nároku na PHN by však v takej situácii pracujúci rodič dostal nárok</w:t>
      </w:r>
      <w:r w:rsidR="002F5684">
        <w:t xml:space="preserve"> na </w:t>
      </w:r>
      <w:r w:rsidRPr="00CA2564">
        <w:t xml:space="preserve">osobitný príspevok, čo by rodinný príjem zvýšilo až na </w:t>
      </w:r>
      <w:r>
        <w:t>681,38 eur</w:t>
      </w:r>
      <w:r w:rsidRPr="00CA2564">
        <w:t xml:space="preserve">. S rodičovským príspevkom však túto možnosť rodina stráca. </w:t>
      </w:r>
    </w:p>
    <w:p w14:paraId="4C781394" w14:textId="77777777" w:rsidR="00DC0C0A" w:rsidRDefault="00DC0C0A">
      <w:pPr>
        <w:spacing w:after="160"/>
        <w:jc w:val="left"/>
      </w:pPr>
      <w:r>
        <w:br w:type="page"/>
      </w:r>
    </w:p>
    <w:p w14:paraId="5D8620F2" w14:textId="77777777" w:rsidR="00D5224B" w:rsidRPr="009B0BF7" w:rsidRDefault="00D5224B" w:rsidP="00D5224B">
      <w:pPr>
        <w:spacing w:after="0" w:line="240" w:lineRule="auto"/>
        <w:rPr>
          <w:b/>
          <w:sz w:val="20"/>
        </w:rPr>
      </w:pPr>
      <w:bookmarkStart w:id="1956" w:name="_Ref25330142"/>
      <w:bookmarkStart w:id="1957" w:name="_Ref25330115"/>
      <w:r w:rsidRPr="009B0BF7">
        <w:rPr>
          <w:b/>
          <w:sz w:val="20"/>
        </w:rPr>
        <w:t xml:space="preserve">Tabuľka P </w:t>
      </w:r>
      <w:r>
        <w:rPr>
          <w:b/>
          <w:sz w:val="20"/>
        </w:rPr>
        <w:fldChar w:fldCharType="begin"/>
      </w:r>
      <w:r>
        <w:rPr>
          <w:b/>
          <w:sz w:val="20"/>
        </w:rPr>
        <w:instrText xml:space="preserve"> SEQ Tabuľka_P \* ARABIC </w:instrText>
      </w:r>
      <w:r>
        <w:rPr>
          <w:b/>
          <w:sz w:val="20"/>
        </w:rPr>
        <w:fldChar w:fldCharType="separate"/>
      </w:r>
      <w:r w:rsidR="00FA29AF">
        <w:rPr>
          <w:b/>
          <w:noProof/>
          <w:sz w:val="20"/>
        </w:rPr>
        <w:t>31</w:t>
      </w:r>
      <w:r>
        <w:rPr>
          <w:b/>
          <w:sz w:val="20"/>
        </w:rPr>
        <w:fldChar w:fldCharType="end"/>
      </w:r>
      <w:bookmarkEnd w:id="1956"/>
      <w:r w:rsidRPr="009B0BF7">
        <w:rPr>
          <w:b/>
          <w:sz w:val="20"/>
        </w:rPr>
        <w:t>: Dopad rodičovského príspevku na chudobné rodiny s deťmi v MŠ (eur)</w:t>
      </w:r>
      <w:bookmarkEnd w:id="1957"/>
    </w:p>
    <w:tbl>
      <w:tblPr>
        <w:tblW w:w="9072" w:type="dxa"/>
        <w:tblLayout w:type="fixed"/>
        <w:tblCellMar>
          <w:left w:w="70" w:type="dxa"/>
          <w:right w:w="70" w:type="dxa"/>
        </w:tblCellMar>
        <w:tblLook w:val="04A0" w:firstRow="1" w:lastRow="0" w:firstColumn="1" w:lastColumn="0" w:noHBand="0" w:noVBand="1"/>
      </w:tblPr>
      <w:tblGrid>
        <w:gridCol w:w="3686"/>
        <w:gridCol w:w="1346"/>
        <w:gridCol w:w="1347"/>
        <w:gridCol w:w="1346"/>
        <w:gridCol w:w="1347"/>
      </w:tblGrid>
      <w:tr w:rsidR="00D5224B" w:rsidRPr="00CA2564" w14:paraId="0E3D002F" w14:textId="77777777" w:rsidTr="003B7808">
        <w:trPr>
          <w:trHeight w:val="284"/>
        </w:trPr>
        <w:tc>
          <w:tcPr>
            <w:tcW w:w="3686" w:type="dxa"/>
            <w:tcBorders>
              <w:top w:val="single" w:sz="4" w:space="0" w:color="auto"/>
              <w:left w:val="nil"/>
              <w:bottom w:val="single" w:sz="4" w:space="0" w:color="auto"/>
              <w:right w:val="nil"/>
            </w:tcBorders>
            <w:shd w:val="clear" w:color="000000" w:fill="FFFFFF"/>
            <w:noWrap/>
            <w:vAlign w:val="bottom"/>
            <w:hideMark/>
          </w:tcPr>
          <w:p w14:paraId="7DAADBF2" w14:textId="77777777" w:rsidR="00D5224B" w:rsidRPr="002A1412" w:rsidRDefault="00D5224B" w:rsidP="003B7808">
            <w:pPr>
              <w:spacing w:after="0" w:line="240" w:lineRule="auto"/>
              <w:jc w:val="left"/>
              <w:rPr>
                <w:rFonts w:eastAsia="Times New Roman" w:cs="Times New Roman"/>
                <w:b/>
                <w:bCs/>
                <w:color w:val="000000"/>
                <w:sz w:val="20"/>
                <w:lang w:eastAsia="sk-SK"/>
              </w:rPr>
            </w:pPr>
            <w:r>
              <w:rPr>
                <w:b/>
                <w:bCs/>
                <w:color w:val="000000"/>
                <w:sz w:val="20"/>
              </w:rPr>
              <w:t> </w:t>
            </w:r>
          </w:p>
        </w:tc>
        <w:tc>
          <w:tcPr>
            <w:tcW w:w="1346" w:type="dxa"/>
            <w:tcBorders>
              <w:top w:val="single" w:sz="4" w:space="0" w:color="auto"/>
              <w:left w:val="nil"/>
              <w:bottom w:val="single" w:sz="4" w:space="0" w:color="auto"/>
              <w:right w:val="nil"/>
            </w:tcBorders>
            <w:shd w:val="clear" w:color="000000" w:fill="FFFFFF"/>
            <w:noWrap/>
            <w:vAlign w:val="bottom"/>
            <w:hideMark/>
          </w:tcPr>
          <w:p w14:paraId="1EC4D2AB" w14:textId="77777777" w:rsidR="00D5224B" w:rsidRPr="002A1412" w:rsidRDefault="00D5224B" w:rsidP="003B7808">
            <w:pPr>
              <w:spacing w:after="0" w:line="240" w:lineRule="auto"/>
              <w:jc w:val="right"/>
              <w:rPr>
                <w:rFonts w:eastAsia="Times New Roman" w:cs="Times New Roman"/>
                <w:b/>
                <w:bCs/>
                <w:color w:val="000000"/>
                <w:sz w:val="20"/>
                <w:lang w:eastAsia="sk-SK"/>
              </w:rPr>
            </w:pPr>
            <w:r>
              <w:rPr>
                <w:b/>
                <w:bCs/>
                <w:color w:val="000000"/>
                <w:sz w:val="20"/>
              </w:rPr>
              <w:t>Rodina 1</w:t>
            </w:r>
          </w:p>
        </w:tc>
        <w:tc>
          <w:tcPr>
            <w:tcW w:w="1347" w:type="dxa"/>
            <w:tcBorders>
              <w:top w:val="single" w:sz="4" w:space="0" w:color="auto"/>
              <w:left w:val="nil"/>
              <w:bottom w:val="single" w:sz="4" w:space="0" w:color="auto"/>
              <w:right w:val="nil"/>
            </w:tcBorders>
            <w:shd w:val="clear" w:color="000000" w:fill="FFFFFF"/>
            <w:vAlign w:val="bottom"/>
            <w:hideMark/>
          </w:tcPr>
          <w:p w14:paraId="7FD2B86B" w14:textId="77777777" w:rsidR="00D5224B" w:rsidRPr="002A1412" w:rsidRDefault="00D5224B" w:rsidP="003B7808">
            <w:pPr>
              <w:spacing w:after="0" w:line="240" w:lineRule="auto"/>
              <w:jc w:val="right"/>
              <w:rPr>
                <w:rFonts w:eastAsia="Times New Roman" w:cs="Times New Roman"/>
                <w:b/>
                <w:bCs/>
                <w:color w:val="000000"/>
                <w:sz w:val="20"/>
                <w:lang w:eastAsia="sk-SK"/>
              </w:rPr>
            </w:pPr>
            <w:r>
              <w:rPr>
                <w:b/>
                <w:bCs/>
                <w:color w:val="000000"/>
                <w:sz w:val="20"/>
              </w:rPr>
              <w:t>Rodina 2</w:t>
            </w:r>
          </w:p>
        </w:tc>
        <w:tc>
          <w:tcPr>
            <w:tcW w:w="1346" w:type="dxa"/>
            <w:tcBorders>
              <w:top w:val="single" w:sz="4" w:space="0" w:color="auto"/>
              <w:left w:val="nil"/>
              <w:bottom w:val="single" w:sz="4" w:space="0" w:color="auto"/>
              <w:right w:val="nil"/>
            </w:tcBorders>
            <w:shd w:val="clear" w:color="000000" w:fill="FFFFFF"/>
            <w:vAlign w:val="bottom"/>
            <w:hideMark/>
          </w:tcPr>
          <w:p w14:paraId="51F9D9F4" w14:textId="77777777" w:rsidR="00D5224B" w:rsidRPr="002A1412" w:rsidRDefault="00D5224B" w:rsidP="003B7808">
            <w:pPr>
              <w:spacing w:after="0" w:line="240" w:lineRule="auto"/>
              <w:jc w:val="right"/>
              <w:rPr>
                <w:rFonts w:eastAsia="Times New Roman" w:cs="Times New Roman"/>
                <w:b/>
                <w:bCs/>
                <w:color w:val="000000"/>
                <w:sz w:val="20"/>
                <w:lang w:eastAsia="sk-SK"/>
              </w:rPr>
            </w:pPr>
            <w:r>
              <w:rPr>
                <w:b/>
                <w:bCs/>
                <w:color w:val="000000"/>
                <w:sz w:val="20"/>
              </w:rPr>
              <w:t>Rodina 3</w:t>
            </w:r>
          </w:p>
        </w:tc>
        <w:tc>
          <w:tcPr>
            <w:tcW w:w="1347" w:type="dxa"/>
            <w:tcBorders>
              <w:top w:val="single" w:sz="4" w:space="0" w:color="auto"/>
              <w:left w:val="nil"/>
              <w:bottom w:val="single" w:sz="4" w:space="0" w:color="auto"/>
              <w:right w:val="nil"/>
            </w:tcBorders>
            <w:shd w:val="clear" w:color="000000" w:fill="FFFFFF"/>
            <w:noWrap/>
            <w:vAlign w:val="bottom"/>
            <w:hideMark/>
          </w:tcPr>
          <w:p w14:paraId="792B53DB" w14:textId="77777777" w:rsidR="00D5224B" w:rsidRPr="002A1412" w:rsidRDefault="00D5224B" w:rsidP="003B7808">
            <w:pPr>
              <w:spacing w:after="0" w:line="240" w:lineRule="auto"/>
              <w:jc w:val="right"/>
              <w:rPr>
                <w:rFonts w:eastAsia="Times New Roman" w:cs="Times New Roman"/>
                <w:b/>
                <w:bCs/>
                <w:color w:val="000000"/>
                <w:sz w:val="20"/>
                <w:lang w:eastAsia="sk-SK"/>
              </w:rPr>
            </w:pPr>
            <w:r>
              <w:rPr>
                <w:b/>
                <w:bCs/>
                <w:color w:val="000000"/>
                <w:sz w:val="20"/>
              </w:rPr>
              <w:t>Rodina 4</w:t>
            </w:r>
          </w:p>
        </w:tc>
      </w:tr>
      <w:tr w:rsidR="00D5224B" w:rsidRPr="00CA2564" w14:paraId="65079864" w14:textId="77777777" w:rsidTr="003B7808">
        <w:trPr>
          <w:trHeight w:val="284"/>
        </w:trPr>
        <w:tc>
          <w:tcPr>
            <w:tcW w:w="3686" w:type="dxa"/>
            <w:tcBorders>
              <w:top w:val="nil"/>
              <w:left w:val="nil"/>
              <w:bottom w:val="nil"/>
              <w:right w:val="nil"/>
            </w:tcBorders>
            <w:shd w:val="clear" w:color="000000" w:fill="FFFFFF"/>
            <w:noWrap/>
            <w:vAlign w:val="bottom"/>
            <w:hideMark/>
          </w:tcPr>
          <w:p w14:paraId="553CB5DB" w14:textId="77777777" w:rsidR="00D5224B" w:rsidRPr="002A1412" w:rsidRDefault="00D5224B" w:rsidP="003B7808">
            <w:pPr>
              <w:spacing w:after="0" w:line="240" w:lineRule="auto"/>
              <w:jc w:val="left"/>
              <w:rPr>
                <w:rFonts w:eastAsia="Times New Roman" w:cs="Times New Roman"/>
                <w:color w:val="000000"/>
                <w:sz w:val="20"/>
                <w:lang w:eastAsia="sk-SK"/>
              </w:rPr>
            </w:pPr>
            <w:r>
              <w:rPr>
                <w:color w:val="000000"/>
                <w:sz w:val="20"/>
              </w:rPr>
              <w:t>Dávka v HN</w:t>
            </w:r>
          </w:p>
        </w:tc>
        <w:tc>
          <w:tcPr>
            <w:tcW w:w="1346" w:type="dxa"/>
            <w:tcBorders>
              <w:top w:val="nil"/>
              <w:left w:val="nil"/>
              <w:bottom w:val="nil"/>
              <w:right w:val="nil"/>
            </w:tcBorders>
            <w:shd w:val="clear" w:color="000000" w:fill="FFFFFF"/>
            <w:noWrap/>
            <w:vAlign w:val="bottom"/>
            <w:hideMark/>
          </w:tcPr>
          <w:p w14:paraId="151987E6" w14:textId="77777777" w:rsidR="00D5224B" w:rsidRPr="002A1412" w:rsidRDefault="00D5224B" w:rsidP="003B7808">
            <w:pPr>
              <w:spacing w:after="0" w:line="240" w:lineRule="auto"/>
              <w:jc w:val="right"/>
              <w:rPr>
                <w:rFonts w:eastAsia="Times New Roman" w:cs="Times New Roman"/>
                <w:color w:val="000000"/>
                <w:sz w:val="20"/>
                <w:lang w:eastAsia="sk-SK"/>
              </w:rPr>
            </w:pPr>
            <w:r>
              <w:rPr>
                <w:color w:val="000000"/>
                <w:sz w:val="20"/>
              </w:rPr>
              <w:t>172,60</w:t>
            </w:r>
          </w:p>
        </w:tc>
        <w:tc>
          <w:tcPr>
            <w:tcW w:w="1347" w:type="dxa"/>
            <w:tcBorders>
              <w:top w:val="nil"/>
              <w:left w:val="nil"/>
              <w:bottom w:val="nil"/>
              <w:right w:val="nil"/>
            </w:tcBorders>
            <w:shd w:val="clear" w:color="000000" w:fill="FFFFFF"/>
            <w:noWrap/>
            <w:vAlign w:val="bottom"/>
            <w:hideMark/>
          </w:tcPr>
          <w:p w14:paraId="0F7F4744" w14:textId="77777777" w:rsidR="00D5224B" w:rsidRPr="002A1412" w:rsidRDefault="00D5224B" w:rsidP="003B7808">
            <w:pPr>
              <w:spacing w:after="0" w:line="240" w:lineRule="auto"/>
              <w:jc w:val="right"/>
              <w:rPr>
                <w:rFonts w:eastAsia="Times New Roman" w:cs="Times New Roman"/>
                <w:color w:val="000000"/>
                <w:sz w:val="20"/>
                <w:lang w:eastAsia="sk-SK"/>
              </w:rPr>
            </w:pPr>
            <w:r>
              <w:rPr>
                <w:color w:val="000000"/>
                <w:sz w:val="20"/>
              </w:rPr>
              <w:t>172,60</w:t>
            </w:r>
          </w:p>
        </w:tc>
        <w:tc>
          <w:tcPr>
            <w:tcW w:w="1346" w:type="dxa"/>
            <w:tcBorders>
              <w:top w:val="nil"/>
              <w:left w:val="nil"/>
              <w:bottom w:val="nil"/>
              <w:right w:val="nil"/>
            </w:tcBorders>
            <w:shd w:val="clear" w:color="000000" w:fill="FFFFFF"/>
            <w:noWrap/>
            <w:vAlign w:val="bottom"/>
            <w:hideMark/>
          </w:tcPr>
          <w:p w14:paraId="20DDC4D6" w14:textId="77777777" w:rsidR="00D5224B" w:rsidRPr="002A1412" w:rsidRDefault="00D5224B" w:rsidP="003B7808">
            <w:pPr>
              <w:spacing w:after="0" w:line="240" w:lineRule="auto"/>
              <w:jc w:val="right"/>
              <w:rPr>
                <w:rFonts w:eastAsia="Times New Roman" w:cs="Times New Roman"/>
                <w:color w:val="000000"/>
                <w:sz w:val="20"/>
                <w:lang w:eastAsia="sk-SK"/>
              </w:rPr>
            </w:pPr>
            <w:r>
              <w:rPr>
                <w:color w:val="000000"/>
                <w:sz w:val="20"/>
              </w:rPr>
              <w:t>126,20</w:t>
            </w:r>
          </w:p>
        </w:tc>
        <w:tc>
          <w:tcPr>
            <w:tcW w:w="1347" w:type="dxa"/>
            <w:tcBorders>
              <w:top w:val="nil"/>
              <w:left w:val="nil"/>
              <w:bottom w:val="nil"/>
              <w:right w:val="nil"/>
            </w:tcBorders>
            <w:shd w:val="clear" w:color="000000" w:fill="FFFFFF"/>
            <w:noWrap/>
            <w:vAlign w:val="bottom"/>
            <w:hideMark/>
          </w:tcPr>
          <w:p w14:paraId="76D50401" w14:textId="77777777" w:rsidR="00D5224B" w:rsidRPr="002A1412" w:rsidRDefault="00D5224B" w:rsidP="003B7808">
            <w:pPr>
              <w:spacing w:after="0" w:line="240" w:lineRule="auto"/>
              <w:jc w:val="right"/>
              <w:rPr>
                <w:rFonts w:eastAsia="Times New Roman" w:cs="Times New Roman"/>
                <w:color w:val="000000"/>
                <w:sz w:val="20"/>
                <w:lang w:eastAsia="sk-SK"/>
              </w:rPr>
            </w:pPr>
            <w:r>
              <w:rPr>
                <w:color w:val="000000"/>
                <w:sz w:val="20"/>
              </w:rPr>
              <w:t>172,60</w:t>
            </w:r>
          </w:p>
        </w:tc>
      </w:tr>
      <w:tr w:rsidR="00D5224B" w:rsidRPr="00CA2564" w14:paraId="24D09BE8" w14:textId="77777777" w:rsidTr="003B7808">
        <w:trPr>
          <w:trHeight w:val="284"/>
        </w:trPr>
        <w:tc>
          <w:tcPr>
            <w:tcW w:w="3686" w:type="dxa"/>
            <w:tcBorders>
              <w:top w:val="nil"/>
              <w:left w:val="nil"/>
              <w:bottom w:val="nil"/>
              <w:right w:val="nil"/>
            </w:tcBorders>
            <w:shd w:val="clear" w:color="000000" w:fill="FFFFFF"/>
            <w:noWrap/>
            <w:vAlign w:val="bottom"/>
            <w:hideMark/>
          </w:tcPr>
          <w:p w14:paraId="6F6E223F" w14:textId="77777777" w:rsidR="00D5224B" w:rsidRPr="002A1412" w:rsidRDefault="00D5224B" w:rsidP="003B7808">
            <w:pPr>
              <w:spacing w:after="0" w:line="240" w:lineRule="auto"/>
              <w:jc w:val="left"/>
              <w:rPr>
                <w:rFonts w:eastAsia="Times New Roman" w:cs="Times New Roman"/>
                <w:color w:val="000000"/>
                <w:sz w:val="20"/>
                <w:lang w:eastAsia="sk-SK"/>
              </w:rPr>
            </w:pPr>
            <w:r>
              <w:rPr>
                <w:color w:val="000000"/>
                <w:sz w:val="20"/>
              </w:rPr>
              <w:t>Ochranný príspevok</w:t>
            </w:r>
          </w:p>
        </w:tc>
        <w:tc>
          <w:tcPr>
            <w:tcW w:w="1346" w:type="dxa"/>
            <w:tcBorders>
              <w:top w:val="nil"/>
              <w:left w:val="nil"/>
              <w:bottom w:val="nil"/>
              <w:right w:val="nil"/>
            </w:tcBorders>
            <w:shd w:val="clear" w:color="000000" w:fill="FFFFFF"/>
            <w:noWrap/>
            <w:vAlign w:val="bottom"/>
            <w:hideMark/>
          </w:tcPr>
          <w:p w14:paraId="6F24B6A2" w14:textId="77777777" w:rsidR="00D5224B" w:rsidRPr="002A1412" w:rsidRDefault="00D5224B" w:rsidP="003B7808">
            <w:pPr>
              <w:spacing w:after="0" w:line="240" w:lineRule="auto"/>
              <w:jc w:val="right"/>
              <w:rPr>
                <w:rFonts w:eastAsia="Times New Roman" w:cs="Times New Roman"/>
                <w:color w:val="000000"/>
                <w:sz w:val="20"/>
                <w:lang w:eastAsia="sk-SK"/>
              </w:rPr>
            </w:pPr>
            <w:r>
              <w:rPr>
                <w:color w:val="000000"/>
                <w:sz w:val="20"/>
              </w:rPr>
              <w:t>14,60</w:t>
            </w:r>
          </w:p>
        </w:tc>
        <w:tc>
          <w:tcPr>
            <w:tcW w:w="1347" w:type="dxa"/>
            <w:tcBorders>
              <w:top w:val="nil"/>
              <w:left w:val="nil"/>
              <w:bottom w:val="nil"/>
              <w:right w:val="nil"/>
            </w:tcBorders>
            <w:shd w:val="clear" w:color="000000" w:fill="FFFFFF"/>
            <w:noWrap/>
            <w:vAlign w:val="bottom"/>
            <w:hideMark/>
          </w:tcPr>
          <w:p w14:paraId="6E7F467B" w14:textId="77777777" w:rsidR="00D5224B" w:rsidRPr="002A1412" w:rsidRDefault="00D5224B" w:rsidP="003B7808">
            <w:pPr>
              <w:spacing w:after="0" w:line="240" w:lineRule="auto"/>
              <w:jc w:val="right"/>
              <w:rPr>
                <w:rFonts w:eastAsia="Times New Roman" w:cs="Times New Roman"/>
                <w:color w:val="000000"/>
                <w:sz w:val="20"/>
                <w:lang w:eastAsia="sk-SK"/>
              </w:rPr>
            </w:pPr>
            <w:r>
              <w:rPr>
                <w:color w:val="000000"/>
                <w:sz w:val="20"/>
              </w:rPr>
              <w:t>0,00</w:t>
            </w:r>
          </w:p>
        </w:tc>
        <w:tc>
          <w:tcPr>
            <w:tcW w:w="1346" w:type="dxa"/>
            <w:tcBorders>
              <w:top w:val="nil"/>
              <w:left w:val="nil"/>
              <w:bottom w:val="nil"/>
              <w:right w:val="nil"/>
            </w:tcBorders>
            <w:shd w:val="clear" w:color="000000" w:fill="FFFFFF"/>
            <w:noWrap/>
            <w:vAlign w:val="bottom"/>
            <w:hideMark/>
          </w:tcPr>
          <w:p w14:paraId="23BFD09A" w14:textId="77777777" w:rsidR="00D5224B" w:rsidRPr="002A1412" w:rsidRDefault="00D5224B" w:rsidP="003B7808">
            <w:pPr>
              <w:spacing w:after="0" w:line="240" w:lineRule="auto"/>
              <w:jc w:val="right"/>
              <w:rPr>
                <w:rFonts w:eastAsia="Times New Roman" w:cs="Times New Roman"/>
                <w:color w:val="000000"/>
                <w:sz w:val="20"/>
                <w:lang w:eastAsia="sk-SK"/>
              </w:rPr>
            </w:pPr>
            <w:r>
              <w:rPr>
                <w:color w:val="000000"/>
                <w:sz w:val="20"/>
              </w:rPr>
              <w:t>14,60</w:t>
            </w:r>
          </w:p>
        </w:tc>
        <w:tc>
          <w:tcPr>
            <w:tcW w:w="1347" w:type="dxa"/>
            <w:tcBorders>
              <w:top w:val="nil"/>
              <w:left w:val="nil"/>
              <w:bottom w:val="nil"/>
              <w:right w:val="nil"/>
            </w:tcBorders>
            <w:shd w:val="clear" w:color="000000" w:fill="FFFFFF"/>
            <w:noWrap/>
            <w:vAlign w:val="bottom"/>
            <w:hideMark/>
          </w:tcPr>
          <w:p w14:paraId="10B2576D" w14:textId="77777777" w:rsidR="00D5224B" w:rsidRPr="002A1412" w:rsidRDefault="00D5224B" w:rsidP="003B7808">
            <w:pPr>
              <w:spacing w:after="0" w:line="240" w:lineRule="auto"/>
              <w:jc w:val="right"/>
              <w:rPr>
                <w:rFonts w:eastAsia="Times New Roman" w:cs="Times New Roman"/>
                <w:color w:val="000000"/>
                <w:sz w:val="20"/>
                <w:lang w:eastAsia="sk-SK"/>
              </w:rPr>
            </w:pPr>
            <w:r>
              <w:rPr>
                <w:color w:val="000000"/>
                <w:sz w:val="20"/>
              </w:rPr>
              <w:t>0,00</w:t>
            </w:r>
          </w:p>
        </w:tc>
      </w:tr>
      <w:tr w:rsidR="00D5224B" w:rsidRPr="00CA2564" w14:paraId="438BAD44" w14:textId="77777777" w:rsidTr="003B7808">
        <w:trPr>
          <w:trHeight w:val="284"/>
        </w:trPr>
        <w:tc>
          <w:tcPr>
            <w:tcW w:w="3686" w:type="dxa"/>
            <w:tcBorders>
              <w:top w:val="nil"/>
              <w:left w:val="nil"/>
              <w:bottom w:val="nil"/>
              <w:right w:val="nil"/>
            </w:tcBorders>
            <w:shd w:val="clear" w:color="000000" w:fill="FFFFFF"/>
            <w:noWrap/>
            <w:vAlign w:val="bottom"/>
            <w:hideMark/>
          </w:tcPr>
          <w:p w14:paraId="71F9ECAB" w14:textId="77777777" w:rsidR="00D5224B" w:rsidRPr="002A1412" w:rsidRDefault="00D5224B" w:rsidP="003B7808">
            <w:pPr>
              <w:spacing w:after="0" w:line="240" w:lineRule="auto"/>
              <w:jc w:val="left"/>
              <w:rPr>
                <w:rFonts w:eastAsia="Times New Roman" w:cs="Times New Roman"/>
                <w:color w:val="000000"/>
                <w:sz w:val="20"/>
                <w:lang w:eastAsia="sk-SK"/>
              </w:rPr>
            </w:pPr>
            <w:r>
              <w:rPr>
                <w:color w:val="000000"/>
                <w:sz w:val="20"/>
              </w:rPr>
              <w:t>Aktivačný príspevok</w:t>
            </w:r>
          </w:p>
        </w:tc>
        <w:tc>
          <w:tcPr>
            <w:tcW w:w="1346" w:type="dxa"/>
            <w:tcBorders>
              <w:top w:val="nil"/>
              <w:left w:val="nil"/>
              <w:bottom w:val="nil"/>
              <w:right w:val="nil"/>
            </w:tcBorders>
            <w:shd w:val="clear" w:color="000000" w:fill="FFFFFF"/>
            <w:noWrap/>
            <w:vAlign w:val="bottom"/>
            <w:hideMark/>
          </w:tcPr>
          <w:p w14:paraId="1BF950B6" w14:textId="77777777" w:rsidR="00D5224B" w:rsidRPr="002A1412" w:rsidRDefault="00D5224B" w:rsidP="003B7808">
            <w:pPr>
              <w:spacing w:after="0" w:line="240" w:lineRule="auto"/>
              <w:jc w:val="right"/>
              <w:rPr>
                <w:rFonts w:eastAsia="Times New Roman" w:cs="Times New Roman"/>
                <w:color w:val="000000"/>
                <w:sz w:val="20"/>
                <w:lang w:eastAsia="sk-SK"/>
              </w:rPr>
            </w:pPr>
            <w:r>
              <w:rPr>
                <w:color w:val="000000"/>
                <w:sz w:val="20"/>
              </w:rPr>
              <w:t>67,90</w:t>
            </w:r>
          </w:p>
        </w:tc>
        <w:tc>
          <w:tcPr>
            <w:tcW w:w="1347" w:type="dxa"/>
            <w:tcBorders>
              <w:top w:val="nil"/>
              <w:left w:val="nil"/>
              <w:bottom w:val="nil"/>
              <w:right w:val="nil"/>
            </w:tcBorders>
            <w:shd w:val="clear" w:color="000000" w:fill="FFFFFF"/>
            <w:noWrap/>
            <w:vAlign w:val="bottom"/>
            <w:hideMark/>
          </w:tcPr>
          <w:p w14:paraId="469A21DF" w14:textId="77777777" w:rsidR="00D5224B" w:rsidRPr="002A1412" w:rsidRDefault="00D5224B" w:rsidP="003B7808">
            <w:pPr>
              <w:spacing w:after="0" w:line="240" w:lineRule="auto"/>
              <w:jc w:val="right"/>
              <w:rPr>
                <w:rFonts w:eastAsia="Times New Roman" w:cs="Times New Roman"/>
                <w:color w:val="000000"/>
                <w:sz w:val="20"/>
                <w:lang w:eastAsia="sk-SK"/>
              </w:rPr>
            </w:pPr>
            <w:r>
              <w:rPr>
                <w:color w:val="000000"/>
                <w:sz w:val="20"/>
              </w:rPr>
              <w:t>0,00</w:t>
            </w:r>
          </w:p>
        </w:tc>
        <w:tc>
          <w:tcPr>
            <w:tcW w:w="1346" w:type="dxa"/>
            <w:tcBorders>
              <w:top w:val="nil"/>
              <w:left w:val="nil"/>
              <w:bottom w:val="nil"/>
              <w:right w:val="nil"/>
            </w:tcBorders>
            <w:shd w:val="clear" w:color="000000" w:fill="FFFFFF"/>
            <w:noWrap/>
            <w:vAlign w:val="bottom"/>
            <w:hideMark/>
          </w:tcPr>
          <w:p w14:paraId="221233FE" w14:textId="77777777" w:rsidR="00D5224B" w:rsidRPr="002A1412" w:rsidRDefault="00D5224B" w:rsidP="003B7808">
            <w:pPr>
              <w:spacing w:after="0" w:line="240" w:lineRule="auto"/>
              <w:jc w:val="right"/>
              <w:rPr>
                <w:rFonts w:eastAsia="Times New Roman" w:cs="Times New Roman"/>
                <w:color w:val="000000"/>
                <w:sz w:val="20"/>
                <w:lang w:eastAsia="sk-SK"/>
              </w:rPr>
            </w:pPr>
            <w:r>
              <w:rPr>
                <w:color w:val="000000"/>
                <w:sz w:val="20"/>
              </w:rPr>
              <w:t>0,00</w:t>
            </w:r>
          </w:p>
        </w:tc>
        <w:tc>
          <w:tcPr>
            <w:tcW w:w="1347" w:type="dxa"/>
            <w:tcBorders>
              <w:top w:val="nil"/>
              <w:left w:val="nil"/>
              <w:bottom w:val="nil"/>
              <w:right w:val="nil"/>
            </w:tcBorders>
            <w:shd w:val="clear" w:color="000000" w:fill="FFFFFF"/>
            <w:noWrap/>
            <w:vAlign w:val="bottom"/>
            <w:hideMark/>
          </w:tcPr>
          <w:p w14:paraId="2F6151CB" w14:textId="77777777" w:rsidR="00D5224B" w:rsidRPr="002A1412" w:rsidRDefault="00D5224B" w:rsidP="003B7808">
            <w:pPr>
              <w:spacing w:after="0" w:line="240" w:lineRule="auto"/>
              <w:jc w:val="right"/>
              <w:rPr>
                <w:rFonts w:eastAsia="Times New Roman" w:cs="Times New Roman"/>
                <w:color w:val="000000"/>
                <w:sz w:val="20"/>
                <w:lang w:eastAsia="sk-SK"/>
              </w:rPr>
            </w:pPr>
            <w:r>
              <w:rPr>
                <w:color w:val="000000"/>
                <w:sz w:val="20"/>
              </w:rPr>
              <w:t>67,90</w:t>
            </w:r>
          </w:p>
        </w:tc>
      </w:tr>
      <w:tr w:rsidR="00D5224B" w:rsidRPr="00CA2564" w14:paraId="72BE0DED" w14:textId="77777777" w:rsidTr="003B7808">
        <w:trPr>
          <w:trHeight w:val="284"/>
        </w:trPr>
        <w:tc>
          <w:tcPr>
            <w:tcW w:w="3686" w:type="dxa"/>
            <w:tcBorders>
              <w:top w:val="nil"/>
              <w:left w:val="nil"/>
              <w:bottom w:val="nil"/>
              <w:right w:val="nil"/>
            </w:tcBorders>
            <w:shd w:val="clear" w:color="000000" w:fill="FFFFFF"/>
            <w:noWrap/>
            <w:vAlign w:val="bottom"/>
            <w:hideMark/>
          </w:tcPr>
          <w:p w14:paraId="6082DF58" w14:textId="77777777" w:rsidR="00D5224B" w:rsidRPr="002A1412" w:rsidRDefault="00D5224B" w:rsidP="003B7808">
            <w:pPr>
              <w:spacing w:after="0" w:line="240" w:lineRule="auto"/>
              <w:jc w:val="left"/>
              <w:rPr>
                <w:rFonts w:eastAsia="Times New Roman" w:cs="Times New Roman"/>
                <w:color w:val="000000"/>
                <w:sz w:val="20"/>
                <w:lang w:eastAsia="sk-SK"/>
              </w:rPr>
            </w:pPr>
            <w:r>
              <w:rPr>
                <w:color w:val="000000"/>
                <w:sz w:val="20"/>
              </w:rPr>
              <w:t>Príspevok na nezaopatrené dieťa</w:t>
            </w:r>
          </w:p>
        </w:tc>
        <w:tc>
          <w:tcPr>
            <w:tcW w:w="1346" w:type="dxa"/>
            <w:tcBorders>
              <w:top w:val="nil"/>
              <w:left w:val="nil"/>
              <w:bottom w:val="nil"/>
              <w:right w:val="nil"/>
            </w:tcBorders>
            <w:shd w:val="clear" w:color="000000" w:fill="FFFFFF"/>
            <w:noWrap/>
            <w:vAlign w:val="bottom"/>
            <w:hideMark/>
          </w:tcPr>
          <w:p w14:paraId="17BF246A" w14:textId="77777777" w:rsidR="00D5224B" w:rsidRPr="002A1412" w:rsidRDefault="00D5224B" w:rsidP="003B7808">
            <w:pPr>
              <w:spacing w:after="0" w:line="240" w:lineRule="auto"/>
              <w:jc w:val="right"/>
              <w:rPr>
                <w:rFonts w:eastAsia="Times New Roman" w:cs="Times New Roman"/>
                <w:color w:val="000000"/>
                <w:sz w:val="20"/>
                <w:lang w:eastAsia="sk-SK"/>
              </w:rPr>
            </w:pPr>
            <w:r>
              <w:rPr>
                <w:color w:val="000000"/>
                <w:sz w:val="20"/>
              </w:rPr>
              <w:t>0,00</w:t>
            </w:r>
          </w:p>
        </w:tc>
        <w:tc>
          <w:tcPr>
            <w:tcW w:w="1347" w:type="dxa"/>
            <w:tcBorders>
              <w:top w:val="nil"/>
              <w:left w:val="nil"/>
              <w:bottom w:val="nil"/>
              <w:right w:val="nil"/>
            </w:tcBorders>
            <w:shd w:val="clear" w:color="000000" w:fill="FFFFFF"/>
            <w:noWrap/>
            <w:vAlign w:val="bottom"/>
            <w:hideMark/>
          </w:tcPr>
          <w:p w14:paraId="1AE4AA23" w14:textId="77777777" w:rsidR="00D5224B" w:rsidRPr="002A1412" w:rsidRDefault="00D5224B" w:rsidP="003B7808">
            <w:pPr>
              <w:spacing w:after="0" w:line="240" w:lineRule="auto"/>
              <w:jc w:val="right"/>
              <w:rPr>
                <w:rFonts w:eastAsia="Times New Roman" w:cs="Times New Roman"/>
                <w:color w:val="000000"/>
                <w:sz w:val="20"/>
                <w:lang w:eastAsia="sk-SK"/>
              </w:rPr>
            </w:pPr>
            <w:r>
              <w:rPr>
                <w:color w:val="000000"/>
                <w:sz w:val="20"/>
              </w:rPr>
              <w:t>0,00</w:t>
            </w:r>
          </w:p>
        </w:tc>
        <w:tc>
          <w:tcPr>
            <w:tcW w:w="1346" w:type="dxa"/>
            <w:tcBorders>
              <w:top w:val="nil"/>
              <w:left w:val="nil"/>
              <w:bottom w:val="nil"/>
              <w:right w:val="nil"/>
            </w:tcBorders>
            <w:shd w:val="clear" w:color="000000" w:fill="FFFFFF"/>
            <w:noWrap/>
            <w:vAlign w:val="bottom"/>
            <w:hideMark/>
          </w:tcPr>
          <w:p w14:paraId="515FB9F6" w14:textId="77777777" w:rsidR="00D5224B" w:rsidRPr="002A1412" w:rsidRDefault="00D5224B" w:rsidP="003B7808">
            <w:pPr>
              <w:spacing w:after="0" w:line="240" w:lineRule="auto"/>
              <w:jc w:val="right"/>
              <w:rPr>
                <w:rFonts w:eastAsia="Times New Roman" w:cs="Times New Roman"/>
                <w:color w:val="000000"/>
                <w:sz w:val="20"/>
                <w:lang w:eastAsia="sk-SK"/>
              </w:rPr>
            </w:pPr>
            <w:r>
              <w:rPr>
                <w:color w:val="000000"/>
                <w:sz w:val="20"/>
              </w:rPr>
              <w:t>37,20</w:t>
            </w:r>
          </w:p>
        </w:tc>
        <w:tc>
          <w:tcPr>
            <w:tcW w:w="1347" w:type="dxa"/>
            <w:tcBorders>
              <w:top w:val="nil"/>
              <w:left w:val="nil"/>
              <w:bottom w:val="nil"/>
              <w:right w:val="nil"/>
            </w:tcBorders>
            <w:shd w:val="clear" w:color="000000" w:fill="FFFFFF"/>
            <w:noWrap/>
            <w:vAlign w:val="bottom"/>
            <w:hideMark/>
          </w:tcPr>
          <w:p w14:paraId="606DE383" w14:textId="77777777" w:rsidR="00D5224B" w:rsidRPr="002A1412" w:rsidRDefault="00D5224B" w:rsidP="003B7808">
            <w:pPr>
              <w:spacing w:after="0" w:line="240" w:lineRule="auto"/>
              <w:jc w:val="right"/>
              <w:rPr>
                <w:rFonts w:eastAsia="Times New Roman" w:cs="Times New Roman"/>
                <w:color w:val="000000"/>
                <w:sz w:val="20"/>
                <w:lang w:eastAsia="sk-SK"/>
              </w:rPr>
            </w:pPr>
            <w:r>
              <w:rPr>
                <w:color w:val="000000"/>
                <w:sz w:val="20"/>
              </w:rPr>
              <w:t>18,60</w:t>
            </w:r>
          </w:p>
        </w:tc>
      </w:tr>
      <w:tr w:rsidR="00D5224B" w:rsidRPr="00CA2564" w14:paraId="7EAED032" w14:textId="77777777" w:rsidTr="003B7808">
        <w:trPr>
          <w:trHeight w:val="284"/>
        </w:trPr>
        <w:tc>
          <w:tcPr>
            <w:tcW w:w="3686" w:type="dxa"/>
            <w:tcBorders>
              <w:top w:val="nil"/>
              <w:left w:val="nil"/>
              <w:bottom w:val="nil"/>
              <w:right w:val="nil"/>
            </w:tcBorders>
            <w:shd w:val="clear" w:color="000000" w:fill="FFFFFF"/>
            <w:noWrap/>
            <w:vAlign w:val="bottom"/>
            <w:hideMark/>
          </w:tcPr>
          <w:p w14:paraId="0029282D" w14:textId="77777777" w:rsidR="00D5224B" w:rsidRPr="002A1412" w:rsidRDefault="00D5224B" w:rsidP="003B7808">
            <w:pPr>
              <w:spacing w:after="0" w:line="240" w:lineRule="auto"/>
              <w:jc w:val="left"/>
              <w:rPr>
                <w:rFonts w:eastAsia="Times New Roman" w:cs="Times New Roman"/>
                <w:color w:val="000000"/>
                <w:sz w:val="20"/>
                <w:lang w:eastAsia="sk-SK"/>
              </w:rPr>
            </w:pPr>
            <w:r>
              <w:rPr>
                <w:color w:val="000000"/>
                <w:sz w:val="20"/>
              </w:rPr>
              <w:t>Príspevok na bývanie</w:t>
            </w:r>
          </w:p>
        </w:tc>
        <w:tc>
          <w:tcPr>
            <w:tcW w:w="1346" w:type="dxa"/>
            <w:tcBorders>
              <w:top w:val="nil"/>
              <w:left w:val="nil"/>
              <w:bottom w:val="nil"/>
              <w:right w:val="nil"/>
            </w:tcBorders>
            <w:shd w:val="clear" w:color="000000" w:fill="FFFFFF"/>
            <w:noWrap/>
            <w:vAlign w:val="bottom"/>
            <w:hideMark/>
          </w:tcPr>
          <w:p w14:paraId="45F6E930" w14:textId="77777777" w:rsidR="00D5224B" w:rsidRPr="002A1412" w:rsidRDefault="00D5224B" w:rsidP="003B7808">
            <w:pPr>
              <w:spacing w:after="0" w:line="240" w:lineRule="auto"/>
              <w:jc w:val="right"/>
              <w:rPr>
                <w:rFonts w:eastAsia="Times New Roman" w:cs="Times New Roman"/>
                <w:color w:val="000000"/>
                <w:sz w:val="20"/>
                <w:lang w:eastAsia="sk-SK"/>
              </w:rPr>
            </w:pPr>
            <w:r>
              <w:rPr>
                <w:color w:val="000000"/>
                <w:sz w:val="20"/>
              </w:rPr>
              <w:t>0,00</w:t>
            </w:r>
          </w:p>
        </w:tc>
        <w:tc>
          <w:tcPr>
            <w:tcW w:w="1347" w:type="dxa"/>
            <w:tcBorders>
              <w:top w:val="nil"/>
              <w:left w:val="nil"/>
              <w:bottom w:val="nil"/>
              <w:right w:val="nil"/>
            </w:tcBorders>
            <w:shd w:val="clear" w:color="000000" w:fill="FFFFFF"/>
            <w:noWrap/>
            <w:vAlign w:val="bottom"/>
            <w:hideMark/>
          </w:tcPr>
          <w:p w14:paraId="2C5CC20A" w14:textId="77777777" w:rsidR="00D5224B" w:rsidRPr="002A1412" w:rsidRDefault="00D5224B" w:rsidP="003B7808">
            <w:pPr>
              <w:spacing w:after="0" w:line="240" w:lineRule="auto"/>
              <w:jc w:val="right"/>
              <w:rPr>
                <w:rFonts w:eastAsia="Times New Roman" w:cs="Times New Roman"/>
                <w:color w:val="000000"/>
                <w:sz w:val="20"/>
                <w:lang w:eastAsia="sk-SK"/>
              </w:rPr>
            </w:pPr>
            <w:r>
              <w:rPr>
                <w:color w:val="000000"/>
                <w:sz w:val="20"/>
              </w:rPr>
              <w:t>91,40</w:t>
            </w:r>
          </w:p>
        </w:tc>
        <w:tc>
          <w:tcPr>
            <w:tcW w:w="1346" w:type="dxa"/>
            <w:tcBorders>
              <w:top w:val="nil"/>
              <w:left w:val="nil"/>
              <w:bottom w:val="nil"/>
              <w:right w:val="nil"/>
            </w:tcBorders>
            <w:shd w:val="clear" w:color="000000" w:fill="FFFFFF"/>
            <w:noWrap/>
            <w:vAlign w:val="bottom"/>
            <w:hideMark/>
          </w:tcPr>
          <w:p w14:paraId="7D8CB533" w14:textId="77777777" w:rsidR="00D5224B" w:rsidRPr="002A1412" w:rsidRDefault="00D5224B" w:rsidP="003B7808">
            <w:pPr>
              <w:spacing w:after="0" w:line="240" w:lineRule="auto"/>
              <w:jc w:val="right"/>
              <w:rPr>
                <w:rFonts w:eastAsia="Times New Roman" w:cs="Times New Roman"/>
                <w:color w:val="000000"/>
                <w:sz w:val="20"/>
                <w:lang w:eastAsia="sk-SK"/>
              </w:rPr>
            </w:pPr>
            <w:r>
              <w:rPr>
                <w:color w:val="000000"/>
                <w:sz w:val="20"/>
              </w:rPr>
              <w:t>91,40</w:t>
            </w:r>
          </w:p>
        </w:tc>
        <w:tc>
          <w:tcPr>
            <w:tcW w:w="1347" w:type="dxa"/>
            <w:tcBorders>
              <w:top w:val="nil"/>
              <w:left w:val="nil"/>
              <w:bottom w:val="nil"/>
              <w:right w:val="nil"/>
            </w:tcBorders>
            <w:shd w:val="clear" w:color="000000" w:fill="FFFFFF"/>
            <w:noWrap/>
            <w:vAlign w:val="bottom"/>
            <w:hideMark/>
          </w:tcPr>
          <w:p w14:paraId="1A104EE1" w14:textId="77777777" w:rsidR="00D5224B" w:rsidRPr="002A1412" w:rsidRDefault="00D5224B" w:rsidP="003B7808">
            <w:pPr>
              <w:spacing w:after="0" w:line="240" w:lineRule="auto"/>
              <w:jc w:val="right"/>
              <w:rPr>
                <w:rFonts w:eastAsia="Times New Roman" w:cs="Times New Roman"/>
                <w:color w:val="000000"/>
                <w:sz w:val="20"/>
                <w:lang w:eastAsia="sk-SK"/>
              </w:rPr>
            </w:pPr>
            <w:r>
              <w:rPr>
                <w:color w:val="000000"/>
                <w:sz w:val="20"/>
              </w:rPr>
              <w:t>0,00</w:t>
            </w:r>
          </w:p>
        </w:tc>
      </w:tr>
      <w:tr w:rsidR="00D5224B" w:rsidRPr="00CA2564" w14:paraId="72EB643E" w14:textId="77777777" w:rsidTr="003B7808">
        <w:trPr>
          <w:trHeight w:val="284"/>
        </w:trPr>
        <w:tc>
          <w:tcPr>
            <w:tcW w:w="3686" w:type="dxa"/>
            <w:tcBorders>
              <w:top w:val="nil"/>
              <w:left w:val="nil"/>
              <w:bottom w:val="nil"/>
              <w:right w:val="nil"/>
            </w:tcBorders>
            <w:shd w:val="clear" w:color="000000" w:fill="FFFFFF"/>
            <w:noWrap/>
            <w:vAlign w:val="bottom"/>
            <w:hideMark/>
          </w:tcPr>
          <w:p w14:paraId="137612CA" w14:textId="77777777" w:rsidR="00D5224B" w:rsidRPr="002A1412" w:rsidRDefault="00D5224B" w:rsidP="003B7808">
            <w:pPr>
              <w:spacing w:after="0" w:line="240" w:lineRule="auto"/>
              <w:jc w:val="left"/>
              <w:rPr>
                <w:rFonts w:eastAsia="Times New Roman" w:cs="Times New Roman"/>
                <w:color w:val="000000"/>
                <w:sz w:val="20"/>
                <w:lang w:eastAsia="sk-SK"/>
              </w:rPr>
            </w:pPr>
            <w:r>
              <w:rPr>
                <w:color w:val="000000"/>
                <w:sz w:val="20"/>
              </w:rPr>
              <w:t>a. PHN celkom</w:t>
            </w:r>
          </w:p>
        </w:tc>
        <w:tc>
          <w:tcPr>
            <w:tcW w:w="1346" w:type="dxa"/>
            <w:tcBorders>
              <w:top w:val="nil"/>
              <w:left w:val="nil"/>
              <w:bottom w:val="nil"/>
              <w:right w:val="nil"/>
            </w:tcBorders>
            <w:shd w:val="clear" w:color="000000" w:fill="FFFFFF"/>
            <w:noWrap/>
            <w:vAlign w:val="bottom"/>
            <w:hideMark/>
          </w:tcPr>
          <w:p w14:paraId="33BB9657" w14:textId="77777777" w:rsidR="00D5224B" w:rsidRPr="002A1412" w:rsidRDefault="00D5224B" w:rsidP="003B7808">
            <w:pPr>
              <w:spacing w:after="0" w:line="240" w:lineRule="auto"/>
              <w:jc w:val="right"/>
              <w:rPr>
                <w:rFonts w:eastAsia="Times New Roman" w:cs="Times New Roman"/>
                <w:color w:val="000000"/>
                <w:sz w:val="20"/>
                <w:lang w:eastAsia="sk-SK"/>
              </w:rPr>
            </w:pPr>
            <w:r>
              <w:rPr>
                <w:color w:val="000000"/>
                <w:sz w:val="20"/>
              </w:rPr>
              <w:t>255,10</w:t>
            </w:r>
          </w:p>
        </w:tc>
        <w:tc>
          <w:tcPr>
            <w:tcW w:w="1347" w:type="dxa"/>
            <w:tcBorders>
              <w:top w:val="nil"/>
              <w:left w:val="nil"/>
              <w:bottom w:val="nil"/>
              <w:right w:val="nil"/>
            </w:tcBorders>
            <w:shd w:val="clear" w:color="000000" w:fill="FFFFFF"/>
            <w:noWrap/>
            <w:vAlign w:val="bottom"/>
            <w:hideMark/>
          </w:tcPr>
          <w:p w14:paraId="3E8361F8" w14:textId="77777777" w:rsidR="00D5224B" w:rsidRPr="002A1412" w:rsidRDefault="00D5224B" w:rsidP="003B7808">
            <w:pPr>
              <w:spacing w:after="0" w:line="240" w:lineRule="auto"/>
              <w:jc w:val="right"/>
              <w:rPr>
                <w:rFonts w:eastAsia="Times New Roman" w:cs="Times New Roman"/>
                <w:color w:val="000000"/>
                <w:sz w:val="20"/>
                <w:lang w:eastAsia="sk-SK"/>
              </w:rPr>
            </w:pPr>
            <w:r>
              <w:rPr>
                <w:color w:val="000000"/>
                <w:sz w:val="20"/>
              </w:rPr>
              <w:t>264,00</w:t>
            </w:r>
          </w:p>
        </w:tc>
        <w:tc>
          <w:tcPr>
            <w:tcW w:w="1346" w:type="dxa"/>
            <w:tcBorders>
              <w:top w:val="nil"/>
              <w:left w:val="nil"/>
              <w:bottom w:val="nil"/>
              <w:right w:val="nil"/>
            </w:tcBorders>
            <w:shd w:val="clear" w:color="000000" w:fill="FFFFFF"/>
            <w:noWrap/>
            <w:vAlign w:val="bottom"/>
            <w:hideMark/>
          </w:tcPr>
          <w:p w14:paraId="5152432E" w14:textId="77777777" w:rsidR="00D5224B" w:rsidRPr="002A1412" w:rsidRDefault="00D5224B" w:rsidP="003B7808">
            <w:pPr>
              <w:spacing w:after="0" w:line="240" w:lineRule="auto"/>
              <w:jc w:val="right"/>
              <w:rPr>
                <w:rFonts w:eastAsia="Times New Roman" w:cs="Times New Roman"/>
                <w:color w:val="000000"/>
                <w:sz w:val="20"/>
                <w:lang w:eastAsia="sk-SK"/>
              </w:rPr>
            </w:pPr>
            <w:r>
              <w:rPr>
                <w:color w:val="000000"/>
                <w:sz w:val="20"/>
              </w:rPr>
              <w:t>269,40</w:t>
            </w:r>
          </w:p>
        </w:tc>
        <w:tc>
          <w:tcPr>
            <w:tcW w:w="1347" w:type="dxa"/>
            <w:tcBorders>
              <w:top w:val="nil"/>
              <w:left w:val="nil"/>
              <w:bottom w:val="nil"/>
              <w:right w:val="nil"/>
            </w:tcBorders>
            <w:shd w:val="clear" w:color="000000" w:fill="FFFFFF"/>
            <w:noWrap/>
            <w:vAlign w:val="bottom"/>
            <w:hideMark/>
          </w:tcPr>
          <w:p w14:paraId="5BE81E9D" w14:textId="77777777" w:rsidR="00D5224B" w:rsidRPr="002A1412" w:rsidRDefault="00D5224B" w:rsidP="003B7808">
            <w:pPr>
              <w:spacing w:after="0" w:line="240" w:lineRule="auto"/>
              <w:jc w:val="right"/>
              <w:rPr>
                <w:rFonts w:eastAsia="Times New Roman" w:cs="Times New Roman"/>
                <w:color w:val="000000"/>
                <w:sz w:val="20"/>
                <w:lang w:eastAsia="sk-SK"/>
              </w:rPr>
            </w:pPr>
            <w:r>
              <w:rPr>
                <w:color w:val="000000"/>
                <w:sz w:val="20"/>
              </w:rPr>
              <w:t>259,10</w:t>
            </w:r>
          </w:p>
        </w:tc>
      </w:tr>
      <w:tr w:rsidR="00D5224B" w:rsidRPr="00CA2564" w14:paraId="65CADF67" w14:textId="77777777" w:rsidTr="003B7808">
        <w:trPr>
          <w:trHeight w:val="284"/>
        </w:trPr>
        <w:tc>
          <w:tcPr>
            <w:tcW w:w="3686" w:type="dxa"/>
            <w:tcBorders>
              <w:top w:val="nil"/>
              <w:left w:val="nil"/>
              <w:bottom w:val="nil"/>
              <w:right w:val="nil"/>
            </w:tcBorders>
            <w:shd w:val="clear" w:color="000000" w:fill="FFFFFF"/>
            <w:noWrap/>
            <w:vAlign w:val="bottom"/>
            <w:hideMark/>
          </w:tcPr>
          <w:p w14:paraId="4B719E5A" w14:textId="77777777" w:rsidR="00D5224B" w:rsidRPr="002A1412" w:rsidRDefault="00D5224B" w:rsidP="003B7808">
            <w:pPr>
              <w:spacing w:after="0" w:line="240" w:lineRule="auto"/>
              <w:jc w:val="left"/>
              <w:rPr>
                <w:rFonts w:eastAsia="Times New Roman" w:cs="Times New Roman"/>
                <w:color w:val="000000"/>
                <w:sz w:val="20"/>
                <w:lang w:eastAsia="sk-SK"/>
              </w:rPr>
            </w:pPr>
            <w:r>
              <w:rPr>
                <w:color w:val="000000"/>
                <w:sz w:val="20"/>
              </w:rPr>
              <w:t>b. Školský obed</w:t>
            </w:r>
          </w:p>
        </w:tc>
        <w:tc>
          <w:tcPr>
            <w:tcW w:w="1346" w:type="dxa"/>
            <w:tcBorders>
              <w:top w:val="nil"/>
              <w:left w:val="nil"/>
              <w:bottom w:val="nil"/>
              <w:right w:val="nil"/>
            </w:tcBorders>
            <w:shd w:val="clear" w:color="000000" w:fill="FFFFFF"/>
            <w:noWrap/>
            <w:vAlign w:val="bottom"/>
            <w:hideMark/>
          </w:tcPr>
          <w:p w14:paraId="60D4B809" w14:textId="77777777" w:rsidR="00D5224B" w:rsidRPr="002A1412" w:rsidRDefault="00D5224B" w:rsidP="003B7808">
            <w:pPr>
              <w:spacing w:after="0" w:line="240" w:lineRule="auto"/>
              <w:jc w:val="right"/>
              <w:rPr>
                <w:rFonts w:eastAsia="Times New Roman" w:cs="Times New Roman"/>
                <w:color w:val="000000"/>
                <w:sz w:val="20"/>
                <w:lang w:eastAsia="sk-SK"/>
              </w:rPr>
            </w:pPr>
            <w:r>
              <w:rPr>
                <w:color w:val="000000"/>
                <w:sz w:val="20"/>
              </w:rPr>
              <w:t>22,00</w:t>
            </w:r>
          </w:p>
        </w:tc>
        <w:tc>
          <w:tcPr>
            <w:tcW w:w="1347" w:type="dxa"/>
            <w:tcBorders>
              <w:top w:val="nil"/>
              <w:left w:val="nil"/>
              <w:bottom w:val="nil"/>
              <w:right w:val="nil"/>
            </w:tcBorders>
            <w:shd w:val="clear" w:color="000000" w:fill="FFFFFF"/>
            <w:noWrap/>
            <w:vAlign w:val="bottom"/>
            <w:hideMark/>
          </w:tcPr>
          <w:p w14:paraId="5BA52D33" w14:textId="77777777" w:rsidR="00D5224B" w:rsidRPr="002A1412" w:rsidRDefault="00D5224B" w:rsidP="003B7808">
            <w:pPr>
              <w:spacing w:after="0" w:line="240" w:lineRule="auto"/>
              <w:jc w:val="right"/>
              <w:rPr>
                <w:rFonts w:eastAsia="Times New Roman" w:cs="Times New Roman"/>
                <w:color w:val="000000"/>
                <w:sz w:val="20"/>
                <w:lang w:eastAsia="sk-SK"/>
              </w:rPr>
            </w:pPr>
            <w:r>
              <w:rPr>
                <w:color w:val="000000"/>
                <w:sz w:val="20"/>
              </w:rPr>
              <w:t>11,00</w:t>
            </w:r>
          </w:p>
        </w:tc>
        <w:tc>
          <w:tcPr>
            <w:tcW w:w="1346" w:type="dxa"/>
            <w:tcBorders>
              <w:top w:val="nil"/>
              <w:left w:val="nil"/>
              <w:bottom w:val="nil"/>
              <w:right w:val="nil"/>
            </w:tcBorders>
            <w:shd w:val="clear" w:color="000000" w:fill="FFFFFF"/>
            <w:noWrap/>
            <w:vAlign w:val="bottom"/>
            <w:hideMark/>
          </w:tcPr>
          <w:p w14:paraId="6AC3E800" w14:textId="77777777" w:rsidR="00D5224B" w:rsidRPr="002A1412" w:rsidRDefault="00D5224B" w:rsidP="003B7808">
            <w:pPr>
              <w:spacing w:after="0" w:line="240" w:lineRule="auto"/>
              <w:jc w:val="right"/>
              <w:rPr>
                <w:rFonts w:eastAsia="Times New Roman" w:cs="Times New Roman"/>
                <w:color w:val="000000"/>
                <w:sz w:val="20"/>
                <w:lang w:eastAsia="sk-SK"/>
              </w:rPr>
            </w:pPr>
            <w:r>
              <w:rPr>
                <w:color w:val="000000"/>
                <w:sz w:val="20"/>
              </w:rPr>
              <w:t>33,00</w:t>
            </w:r>
          </w:p>
        </w:tc>
        <w:tc>
          <w:tcPr>
            <w:tcW w:w="1347" w:type="dxa"/>
            <w:tcBorders>
              <w:top w:val="nil"/>
              <w:left w:val="nil"/>
              <w:bottom w:val="nil"/>
              <w:right w:val="nil"/>
            </w:tcBorders>
            <w:shd w:val="clear" w:color="000000" w:fill="FFFFFF"/>
            <w:noWrap/>
            <w:vAlign w:val="bottom"/>
            <w:hideMark/>
          </w:tcPr>
          <w:p w14:paraId="78A8261B" w14:textId="77777777" w:rsidR="00D5224B" w:rsidRPr="002A1412" w:rsidRDefault="00D5224B" w:rsidP="003B7808">
            <w:pPr>
              <w:spacing w:after="0" w:line="240" w:lineRule="auto"/>
              <w:jc w:val="right"/>
              <w:rPr>
                <w:rFonts w:eastAsia="Times New Roman" w:cs="Times New Roman"/>
                <w:color w:val="000000"/>
                <w:sz w:val="20"/>
                <w:lang w:eastAsia="sk-SK"/>
              </w:rPr>
            </w:pPr>
            <w:r>
              <w:rPr>
                <w:color w:val="000000"/>
                <w:sz w:val="20"/>
              </w:rPr>
              <w:t>22,00</w:t>
            </w:r>
          </w:p>
        </w:tc>
      </w:tr>
      <w:tr w:rsidR="00D5224B" w:rsidRPr="00CA2564" w14:paraId="7B901090" w14:textId="77777777" w:rsidTr="003B7808">
        <w:trPr>
          <w:trHeight w:val="284"/>
        </w:trPr>
        <w:tc>
          <w:tcPr>
            <w:tcW w:w="3686" w:type="dxa"/>
            <w:tcBorders>
              <w:top w:val="nil"/>
              <w:left w:val="nil"/>
              <w:bottom w:val="nil"/>
              <w:right w:val="nil"/>
            </w:tcBorders>
            <w:shd w:val="clear" w:color="000000" w:fill="FFFFFF"/>
            <w:noWrap/>
            <w:vAlign w:val="bottom"/>
            <w:hideMark/>
          </w:tcPr>
          <w:p w14:paraId="32E96D87" w14:textId="77777777" w:rsidR="00D5224B" w:rsidRPr="002A1412" w:rsidRDefault="00D5224B" w:rsidP="003B7808">
            <w:pPr>
              <w:spacing w:after="0" w:line="240" w:lineRule="auto"/>
              <w:jc w:val="left"/>
              <w:rPr>
                <w:rFonts w:eastAsia="Times New Roman" w:cs="Times New Roman"/>
                <w:color w:val="000000"/>
                <w:sz w:val="20"/>
                <w:lang w:eastAsia="sk-SK"/>
              </w:rPr>
            </w:pPr>
            <w:r>
              <w:rPr>
                <w:color w:val="000000"/>
                <w:sz w:val="20"/>
              </w:rPr>
              <w:t>c. Prídavok na dieťa</w:t>
            </w:r>
          </w:p>
        </w:tc>
        <w:tc>
          <w:tcPr>
            <w:tcW w:w="1346" w:type="dxa"/>
            <w:tcBorders>
              <w:top w:val="nil"/>
              <w:left w:val="nil"/>
              <w:bottom w:val="nil"/>
              <w:right w:val="nil"/>
            </w:tcBorders>
            <w:shd w:val="clear" w:color="000000" w:fill="FFFFFF"/>
            <w:noWrap/>
            <w:vAlign w:val="bottom"/>
            <w:hideMark/>
          </w:tcPr>
          <w:p w14:paraId="401B983A" w14:textId="77777777" w:rsidR="00D5224B" w:rsidRPr="002A1412" w:rsidRDefault="00D5224B" w:rsidP="003B7808">
            <w:pPr>
              <w:spacing w:after="0" w:line="240" w:lineRule="auto"/>
              <w:jc w:val="right"/>
              <w:rPr>
                <w:rFonts w:eastAsia="Times New Roman" w:cs="Times New Roman"/>
                <w:color w:val="000000"/>
                <w:sz w:val="20"/>
                <w:lang w:eastAsia="sk-SK"/>
              </w:rPr>
            </w:pPr>
            <w:r>
              <w:rPr>
                <w:color w:val="000000"/>
                <w:sz w:val="20"/>
              </w:rPr>
              <w:t>74,85</w:t>
            </w:r>
          </w:p>
        </w:tc>
        <w:tc>
          <w:tcPr>
            <w:tcW w:w="1347" w:type="dxa"/>
            <w:tcBorders>
              <w:top w:val="nil"/>
              <w:left w:val="nil"/>
              <w:bottom w:val="nil"/>
              <w:right w:val="nil"/>
            </w:tcBorders>
            <w:shd w:val="clear" w:color="000000" w:fill="FFFFFF"/>
            <w:noWrap/>
            <w:vAlign w:val="bottom"/>
            <w:hideMark/>
          </w:tcPr>
          <w:p w14:paraId="7DABCE25" w14:textId="77777777" w:rsidR="00D5224B" w:rsidRPr="002A1412" w:rsidRDefault="00D5224B" w:rsidP="003B7808">
            <w:pPr>
              <w:spacing w:after="0" w:line="240" w:lineRule="auto"/>
              <w:jc w:val="right"/>
              <w:rPr>
                <w:rFonts w:eastAsia="Times New Roman" w:cs="Times New Roman"/>
                <w:color w:val="000000"/>
                <w:sz w:val="20"/>
                <w:lang w:eastAsia="sk-SK"/>
              </w:rPr>
            </w:pPr>
            <w:r>
              <w:rPr>
                <w:color w:val="000000"/>
                <w:sz w:val="20"/>
              </w:rPr>
              <w:t>49,90</w:t>
            </w:r>
          </w:p>
        </w:tc>
        <w:tc>
          <w:tcPr>
            <w:tcW w:w="1346" w:type="dxa"/>
            <w:tcBorders>
              <w:top w:val="nil"/>
              <w:left w:val="nil"/>
              <w:bottom w:val="nil"/>
              <w:right w:val="nil"/>
            </w:tcBorders>
            <w:shd w:val="clear" w:color="000000" w:fill="FFFFFF"/>
            <w:noWrap/>
            <w:vAlign w:val="bottom"/>
            <w:hideMark/>
          </w:tcPr>
          <w:p w14:paraId="431062EB" w14:textId="77777777" w:rsidR="00D5224B" w:rsidRPr="002A1412" w:rsidRDefault="00D5224B" w:rsidP="003B7808">
            <w:pPr>
              <w:spacing w:after="0" w:line="240" w:lineRule="auto"/>
              <w:jc w:val="right"/>
              <w:rPr>
                <w:rFonts w:eastAsia="Times New Roman" w:cs="Times New Roman"/>
                <w:color w:val="000000"/>
                <w:sz w:val="20"/>
                <w:lang w:eastAsia="sk-SK"/>
              </w:rPr>
            </w:pPr>
            <w:r>
              <w:rPr>
                <w:color w:val="000000"/>
                <w:sz w:val="20"/>
              </w:rPr>
              <w:t>99,80</w:t>
            </w:r>
          </w:p>
        </w:tc>
        <w:tc>
          <w:tcPr>
            <w:tcW w:w="1347" w:type="dxa"/>
            <w:tcBorders>
              <w:top w:val="nil"/>
              <w:left w:val="nil"/>
              <w:bottom w:val="nil"/>
              <w:right w:val="nil"/>
            </w:tcBorders>
            <w:shd w:val="clear" w:color="000000" w:fill="FFFFFF"/>
            <w:noWrap/>
            <w:vAlign w:val="bottom"/>
            <w:hideMark/>
          </w:tcPr>
          <w:p w14:paraId="66AFA66A" w14:textId="77777777" w:rsidR="00D5224B" w:rsidRPr="002A1412" w:rsidRDefault="00D5224B" w:rsidP="003B7808">
            <w:pPr>
              <w:spacing w:after="0" w:line="240" w:lineRule="auto"/>
              <w:jc w:val="right"/>
              <w:rPr>
                <w:rFonts w:eastAsia="Times New Roman" w:cs="Times New Roman"/>
                <w:color w:val="000000"/>
                <w:sz w:val="20"/>
                <w:lang w:eastAsia="sk-SK"/>
              </w:rPr>
            </w:pPr>
            <w:r>
              <w:rPr>
                <w:color w:val="000000"/>
                <w:sz w:val="20"/>
              </w:rPr>
              <w:t>74,85</w:t>
            </w:r>
          </w:p>
        </w:tc>
      </w:tr>
      <w:tr w:rsidR="00D5224B" w:rsidRPr="00CA2564" w14:paraId="7FE47F1F" w14:textId="77777777" w:rsidTr="003B7808">
        <w:trPr>
          <w:trHeight w:val="284"/>
        </w:trPr>
        <w:tc>
          <w:tcPr>
            <w:tcW w:w="3686" w:type="dxa"/>
            <w:tcBorders>
              <w:top w:val="nil"/>
              <w:left w:val="nil"/>
              <w:bottom w:val="nil"/>
              <w:right w:val="nil"/>
            </w:tcBorders>
            <w:shd w:val="clear" w:color="000000" w:fill="FFFFFF"/>
            <w:noWrap/>
            <w:vAlign w:val="bottom"/>
            <w:hideMark/>
          </w:tcPr>
          <w:p w14:paraId="60D85F45" w14:textId="77777777" w:rsidR="00D5224B" w:rsidRPr="002A1412" w:rsidRDefault="00D5224B" w:rsidP="003B7808">
            <w:pPr>
              <w:spacing w:after="0" w:line="240" w:lineRule="auto"/>
              <w:jc w:val="left"/>
              <w:rPr>
                <w:rFonts w:eastAsia="Times New Roman" w:cs="Times New Roman"/>
                <w:color w:val="000000"/>
                <w:sz w:val="20"/>
                <w:lang w:eastAsia="sk-SK"/>
              </w:rPr>
            </w:pPr>
            <w:r>
              <w:rPr>
                <w:color w:val="000000"/>
                <w:sz w:val="20"/>
              </w:rPr>
              <w:t>d. Rodičovský príspevok</w:t>
            </w:r>
          </w:p>
        </w:tc>
        <w:tc>
          <w:tcPr>
            <w:tcW w:w="1346" w:type="dxa"/>
            <w:tcBorders>
              <w:top w:val="nil"/>
              <w:left w:val="nil"/>
              <w:bottom w:val="nil"/>
              <w:right w:val="nil"/>
            </w:tcBorders>
            <w:shd w:val="clear" w:color="000000" w:fill="FFFFFF"/>
            <w:noWrap/>
            <w:vAlign w:val="bottom"/>
            <w:hideMark/>
          </w:tcPr>
          <w:p w14:paraId="67CBB6C0" w14:textId="77777777" w:rsidR="00D5224B" w:rsidRPr="002A1412" w:rsidRDefault="00D5224B" w:rsidP="003B7808">
            <w:pPr>
              <w:spacing w:after="0" w:line="240" w:lineRule="auto"/>
              <w:jc w:val="right"/>
              <w:rPr>
                <w:rFonts w:eastAsia="Times New Roman" w:cs="Times New Roman"/>
                <w:color w:val="000000"/>
                <w:sz w:val="20"/>
                <w:lang w:eastAsia="sk-SK"/>
              </w:rPr>
            </w:pPr>
            <w:r>
              <w:rPr>
                <w:color w:val="000000"/>
                <w:sz w:val="20"/>
              </w:rPr>
              <w:t>270,00</w:t>
            </w:r>
          </w:p>
        </w:tc>
        <w:tc>
          <w:tcPr>
            <w:tcW w:w="1347" w:type="dxa"/>
            <w:tcBorders>
              <w:top w:val="nil"/>
              <w:left w:val="nil"/>
              <w:bottom w:val="nil"/>
              <w:right w:val="nil"/>
            </w:tcBorders>
            <w:shd w:val="clear" w:color="000000" w:fill="FFFFFF"/>
            <w:noWrap/>
            <w:vAlign w:val="bottom"/>
            <w:hideMark/>
          </w:tcPr>
          <w:p w14:paraId="0D2ED80B" w14:textId="77777777" w:rsidR="00D5224B" w:rsidRPr="002A1412" w:rsidRDefault="00D5224B" w:rsidP="003B7808">
            <w:pPr>
              <w:spacing w:after="0" w:line="240" w:lineRule="auto"/>
              <w:jc w:val="right"/>
              <w:rPr>
                <w:rFonts w:eastAsia="Times New Roman" w:cs="Times New Roman"/>
                <w:color w:val="000000"/>
                <w:sz w:val="20"/>
                <w:lang w:eastAsia="sk-SK"/>
              </w:rPr>
            </w:pPr>
            <w:r>
              <w:rPr>
                <w:color w:val="000000"/>
                <w:sz w:val="20"/>
              </w:rPr>
              <w:t>270,00</w:t>
            </w:r>
          </w:p>
        </w:tc>
        <w:tc>
          <w:tcPr>
            <w:tcW w:w="1346" w:type="dxa"/>
            <w:tcBorders>
              <w:top w:val="nil"/>
              <w:left w:val="nil"/>
              <w:bottom w:val="nil"/>
              <w:right w:val="nil"/>
            </w:tcBorders>
            <w:shd w:val="clear" w:color="000000" w:fill="FFFFFF"/>
            <w:noWrap/>
            <w:vAlign w:val="bottom"/>
            <w:hideMark/>
          </w:tcPr>
          <w:p w14:paraId="5922CDE0" w14:textId="77777777" w:rsidR="00D5224B" w:rsidRPr="002A1412" w:rsidRDefault="00D5224B" w:rsidP="003B7808">
            <w:pPr>
              <w:spacing w:after="0" w:line="240" w:lineRule="auto"/>
              <w:jc w:val="right"/>
              <w:rPr>
                <w:rFonts w:eastAsia="Times New Roman" w:cs="Times New Roman"/>
                <w:color w:val="000000"/>
                <w:sz w:val="20"/>
                <w:lang w:eastAsia="sk-SK"/>
              </w:rPr>
            </w:pPr>
            <w:r>
              <w:rPr>
                <w:color w:val="000000"/>
                <w:sz w:val="20"/>
              </w:rPr>
              <w:t>270,00</w:t>
            </w:r>
          </w:p>
        </w:tc>
        <w:tc>
          <w:tcPr>
            <w:tcW w:w="1347" w:type="dxa"/>
            <w:tcBorders>
              <w:top w:val="nil"/>
              <w:left w:val="nil"/>
              <w:bottom w:val="nil"/>
              <w:right w:val="nil"/>
            </w:tcBorders>
            <w:shd w:val="clear" w:color="000000" w:fill="FFFFFF"/>
            <w:noWrap/>
            <w:vAlign w:val="bottom"/>
            <w:hideMark/>
          </w:tcPr>
          <w:p w14:paraId="2740E6D7" w14:textId="77777777" w:rsidR="00D5224B" w:rsidRPr="002A1412" w:rsidRDefault="00D5224B" w:rsidP="003B7808">
            <w:pPr>
              <w:spacing w:after="0" w:line="240" w:lineRule="auto"/>
              <w:jc w:val="right"/>
              <w:rPr>
                <w:rFonts w:eastAsia="Times New Roman" w:cs="Times New Roman"/>
                <w:color w:val="000000"/>
                <w:sz w:val="20"/>
                <w:lang w:eastAsia="sk-SK"/>
              </w:rPr>
            </w:pPr>
            <w:r>
              <w:rPr>
                <w:color w:val="000000"/>
                <w:sz w:val="20"/>
              </w:rPr>
              <w:t>270,00</w:t>
            </w:r>
          </w:p>
        </w:tc>
      </w:tr>
      <w:tr w:rsidR="00D5224B" w:rsidRPr="00CA2564" w14:paraId="37EA1D31" w14:textId="77777777" w:rsidTr="003B7808">
        <w:trPr>
          <w:trHeight w:val="284"/>
        </w:trPr>
        <w:tc>
          <w:tcPr>
            <w:tcW w:w="3686" w:type="dxa"/>
            <w:tcBorders>
              <w:top w:val="nil"/>
              <w:left w:val="nil"/>
              <w:bottom w:val="nil"/>
              <w:right w:val="nil"/>
            </w:tcBorders>
            <w:shd w:val="clear" w:color="000000" w:fill="FFFFFF"/>
            <w:noWrap/>
            <w:vAlign w:val="bottom"/>
            <w:hideMark/>
          </w:tcPr>
          <w:p w14:paraId="7BEDD13A" w14:textId="77777777" w:rsidR="00D5224B" w:rsidRPr="002A1412" w:rsidRDefault="00D5224B" w:rsidP="003B7808">
            <w:pPr>
              <w:spacing w:after="0" w:line="240" w:lineRule="auto"/>
              <w:jc w:val="left"/>
              <w:rPr>
                <w:rFonts w:eastAsia="Times New Roman" w:cs="Times New Roman"/>
                <w:color w:val="000000"/>
                <w:sz w:val="20"/>
                <w:lang w:eastAsia="sk-SK"/>
              </w:rPr>
            </w:pPr>
            <w:r>
              <w:rPr>
                <w:color w:val="000000"/>
                <w:sz w:val="20"/>
              </w:rPr>
              <w:t>e. Príjem bez rodičovského príspevku (a+b+c)</w:t>
            </w:r>
          </w:p>
        </w:tc>
        <w:tc>
          <w:tcPr>
            <w:tcW w:w="1346" w:type="dxa"/>
            <w:tcBorders>
              <w:top w:val="nil"/>
              <w:left w:val="nil"/>
              <w:bottom w:val="nil"/>
              <w:right w:val="nil"/>
            </w:tcBorders>
            <w:shd w:val="clear" w:color="000000" w:fill="FFFFFF"/>
            <w:noWrap/>
            <w:vAlign w:val="bottom"/>
            <w:hideMark/>
          </w:tcPr>
          <w:p w14:paraId="6D809FC5" w14:textId="77777777" w:rsidR="00D5224B" w:rsidRPr="002A1412" w:rsidRDefault="00D5224B" w:rsidP="003B7808">
            <w:pPr>
              <w:spacing w:after="0" w:line="240" w:lineRule="auto"/>
              <w:jc w:val="right"/>
              <w:rPr>
                <w:rFonts w:eastAsia="Times New Roman" w:cs="Times New Roman"/>
                <w:color w:val="000000"/>
                <w:sz w:val="20"/>
                <w:lang w:eastAsia="sk-SK"/>
              </w:rPr>
            </w:pPr>
            <w:r>
              <w:rPr>
                <w:color w:val="000000"/>
                <w:sz w:val="20"/>
              </w:rPr>
              <w:t>351,95</w:t>
            </w:r>
          </w:p>
        </w:tc>
        <w:tc>
          <w:tcPr>
            <w:tcW w:w="1347" w:type="dxa"/>
            <w:tcBorders>
              <w:top w:val="nil"/>
              <w:left w:val="nil"/>
              <w:bottom w:val="nil"/>
              <w:right w:val="nil"/>
            </w:tcBorders>
            <w:shd w:val="clear" w:color="000000" w:fill="FFFFFF"/>
            <w:noWrap/>
            <w:vAlign w:val="bottom"/>
            <w:hideMark/>
          </w:tcPr>
          <w:p w14:paraId="7A7E3296" w14:textId="77777777" w:rsidR="00D5224B" w:rsidRPr="002A1412" w:rsidRDefault="00D5224B" w:rsidP="003B7808">
            <w:pPr>
              <w:spacing w:after="0" w:line="240" w:lineRule="auto"/>
              <w:jc w:val="right"/>
              <w:rPr>
                <w:rFonts w:eastAsia="Times New Roman" w:cs="Times New Roman"/>
                <w:color w:val="000000"/>
                <w:sz w:val="20"/>
                <w:lang w:eastAsia="sk-SK"/>
              </w:rPr>
            </w:pPr>
            <w:r>
              <w:rPr>
                <w:color w:val="000000"/>
                <w:sz w:val="20"/>
              </w:rPr>
              <w:t>324,90</w:t>
            </w:r>
          </w:p>
        </w:tc>
        <w:tc>
          <w:tcPr>
            <w:tcW w:w="1346" w:type="dxa"/>
            <w:tcBorders>
              <w:top w:val="nil"/>
              <w:left w:val="nil"/>
              <w:bottom w:val="nil"/>
              <w:right w:val="nil"/>
            </w:tcBorders>
            <w:shd w:val="clear" w:color="000000" w:fill="FFFFFF"/>
            <w:noWrap/>
            <w:vAlign w:val="bottom"/>
            <w:hideMark/>
          </w:tcPr>
          <w:p w14:paraId="5667A598" w14:textId="77777777" w:rsidR="00D5224B" w:rsidRPr="002A1412" w:rsidRDefault="00D5224B" w:rsidP="003B7808">
            <w:pPr>
              <w:spacing w:after="0" w:line="240" w:lineRule="auto"/>
              <w:jc w:val="right"/>
              <w:rPr>
                <w:rFonts w:eastAsia="Times New Roman" w:cs="Times New Roman"/>
                <w:color w:val="000000"/>
                <w:sz w:val="20"/>
                <w:lang w:eastAsia="sk-SK"/>
              </w:rPr>
            </w:pPr>
            <w:r>
              <w:rPr>
                <w:color w:val="000000"/>
                <w:sz w:val="20"/>
              </w:rPr>
              <w:t>402,20</w:t>
            </w:r>
          </w:p>
        </w:tc>
        <w:tc>
          <w:tcPr>
            <w:tcW w:w="1347" w:type="dxa"/>
            <w:tcBorders>
              <w:top w:val="nil"/>
              <w:left w:val="nil"/>
              <w:bottom w:val="nil"/>
              <w:right w:val="nil"/>
            </w:tcBorders>
            <w:shd w:val="clear" w:color="000000" w:fill="FFFFFF"/>
            <w:noWrap/>
            <w:vAlign w:val="bottom"/>
            <w:hideMark/>
          </w:tcPr>
          <w:p w14:paraId="614890DB" w14:textId="77777777" w:rsidR="00D5224B" w:rsidRPr="002A1412" w:rsidRDefault="00D5224B" w:rsidP="003B7808">
            <w:pPr>
              <w:spacing w:after="0" w:line="240" w:lineRule="auto"/>
              <w:jc w:val="right"/>
              <w:rPr>
                <w:rFonts w:eastAsia="Times New Roman" w:cs="Times New Roman"/>
                <w:color w:val="000000"/>
                <w:sz w:val="20"/>
                <w:lang w:eastAsia="sk-SK"/>
              </w:rPr>
            </w:pPr>
            <w:r>
              <w:rPr>
                <w:color w:val="000000"/>
                <w:sz w:val="20"/>
              </w:rPr>
              <w:t>355,95</w:t>
            </w:r>
          </w:p>
        </w:tc>
      </w:tr>
      <w:tr w:rsidR="00D5224B" w:rsidRPr="00CA2564" w14:paraId="777BFADD" w14:textId="77777777" w:rsidTr="00A640A7">
        <w:trPr>
          <w:trHeight w:val="284"/>
        </w:trPr>
        <w:tc>
          <w:tcPr>
            <w:tcW w:w="3686" w:type="dxa"/>
            <w:tcBorders>
              <w:top w:val="nil"/>
              <w:left w:val="nil"/>
              <w:right w:val="nil"/>
            </w:tcBorders>
            <w:shd w:val="clear" w:color="000000" w:fill="FFFFFF"/>
            <w:noWrap/>
            <w:vAlign w:val="bottom"/>
            <w:hideMark/>
          </w:tcPr>
          <w:p w14:paraId="2B6EAF67" w14:textId="77777777" w:rsidR="00D5224B" w:rsidRPr="002A1412" w:rsidRDefault="00D5224B" w:rsidP="003B7808">
            <w:pPr>
              <w:spacing w:after="0" w:line="240" w:lineRule="auto"/>
              <w:jc w:val="left"/>
              <w:rPr>
                <w:rFonts w:eastAsia="Times New Roman" w:cs="Times New Roman"/>
                <w:color w:val="000000"/>
                <w:sz w:val="20"/>
                <w:lang w:eastAsia="sk-SK"/>
              </w:rPr>
            </w:pPr>
            <w:r>
              <w:rPr>
                <w:color w:val="000000"/>
                <w:sz w:val="20"/>
              </w:rPr>
              <w:t>f. Príjem s rodičovským príspevkom (b+c+d)</w:t>
            </w:r>
          </w:p>
        </w:tc>
        <w:tc>
          <w:tcPr>
            <w:tcW w:w="1346" w:type="dxa"/>
            <w:tcBorders>
              <w:top w:val="nil"/>
              <w:left w:val="nil"/>
              <w:right w:val="nil"/>
            </w:tcBorders>
            <w:shd w:val="clear" w:color="000000" w:fill="FFFFFF"/>
            <w:noWrap/>
            <w:vAlign w:val="bottom"/>
            <w:hideMark/>
          </w:tcPr>
          <w:p w14:paraId="504BCAA6" w14:textId="77777777" w:rsidR="00D5224B" w:rsidRPr="002A1412" w:rsidRDefault="00D5224B" w:rsidP="003B7808">
            <w:pPr>
              <w:spacing w:after="0" w:line="240" w:lineRule="auto"/>
              <w:jc w:val="right"/>
              <w:rPr>
                <w:rFonts w:eastAsia="Times New Roman" w:cs="Times New Roman"/>
                <w:color w:val="000000"/>
                <w:sz w:val="20"/>
                <w:lang w:eastAsia="sk-SK"/>
              </w:rPr>
            </w:pPr>
            <w:r>
              <w:rPr>
                <w:color w:val="000000"/>
                <w:sz w:val="20"/>
              </w:rPr>
              <w:t>366,85</w:t>
            </w:r>
          </w:p>
        </w:tc>
        <w:tc>
          <w:tcPr>
            <w:tcW w:w="1347" w:type="dxa"/>
            <w:tcBorders>
              <w:top w:val="nil"/>
              <w:left w:val="nil"/>
              <w:right w:val="nil"/>
            </w:tcBorders>
            <w:shd w:val="clear" w:color="000000" w:fill="FFFFFF"/>
            <w:noWrap/>
            <w:vAlign w:val="bottom"/>
            <w:hideMark/>
          </w:tcPr>
          <w:p w14:paraId="06AA200B" w14:textId="77777777" w:rsidR="00D5224B" w:rsidRPr="002A1412" w:rsidRDefault="00D5224B" w:rsidP="003B7808">
            <w:pPr>
              <w:spacing w:after="0" w:line="240" w:lineRule="auto"/>
              <w:jc w:val="right"/>
              <w:rPr>
                <w:rFonts w:eastAsia="Times New Roman" w:cs="Times New Roman"/>
                <w:color w:val="000000"/>
                <w:sz w:val="20"/>
                <w:lang w:eastAsia="sk-SK"/>
              </w:rPr>
            </w:pPr>
            <w:r>
              <w:rPr>
                <w:color w:val="000000"/>
                <w:sz w:val="20"/>
              </w:rPr>
              <w:t>330,90</w:t>
            </w:r>
          </w:p>
        </w:tc>
        <w:tc>
          <w:tcPr>
            <w:tcW w:w="1346" w:type="dxa"/>
            <w:tcBorders>
              <w:top w:val="nil"/>
              <w:left w:val="nil"/>
              <w:right w:val="nil"/>
            </w:tcBorders>
            <w:shd w:val="clear" w:color="000000" w:fill="FFFFFF"/>
            <w:noWrap/>
            <w:vAlign w:val="bottom"/>
            <w:hideMark/>
          </w:tcPr>
          <w:p w14:paraId="479C0263" w14:textId="77777777" w:rsidR="00D5224B" w:rsidRPr="002A1412" w:rsidRDefault="00D5224B" w:rsidP="003B7808">
            <w:pPr>
              <w:spacing w:after="0" w:line="240" w:lineRule="auto"/>
              <w:jc w:val="right"/>
              <w:rPr>
                <w:rFonts w:eastAsia="Times New Roman" w:cs="Times New Roman"/>
                <w:color w:val="000000"/>
                <w:sz w:val="20"/>
                <w:lang w:eastAsia="sk-SK"/>
              </w:rPr>
            </w:pPr>
            <w:r>
              <w:rPr>
                <w:color w:val="000000"/>
                <w:sz w:val="20"/>
              </w:rPr>
              <w:t>402,80</w:t>
            </w:r>
          </w:p>
        </w:tc>
        <w:tc>
          <w:tcPr>
            <w:tcW w:w="1347" w:type="dxa"/>
            <w:tcBorders>
              <w:top w:val="nil"/>
              <w:left w:val="nil"/>
              <w:right w:val="nil"/>
            </w:tcBorders>
            <w:shd w:val="clear" w:color="000000" w:fill="FFFFFF"/>
            <w:noWrap/>
            <w:vAlign w:val="bottom"/>
            <w:hideMark/>
          </w:tcPr>
          <w:p w14:paraId="4714793D" w14:textId="77777777" w:rsidR="00D5224B" w:rsidRPr="002A1412" w:rsidRDefault="00D5224B" w:rsidP="003B7808">
            <w:pPr>
              <w:spacing w:after="0" w:line="240" w:lineRule="auto"/>
              <w:jc w:val="right"/>
              <w:rPr>
                <w:rFonts w:eastAsia="Times New Roman" w:cs="Times New Roman"/>
                <w:color w:val="000000"/>
                <w:sz w:val="20"/>
                <w:lang w:eastAsia="sk-SK"/>
              </w:rPr>
            </w:pPr>
            <w:r>
              <w:rPr>
                <w:color w:val="000000"/>
                <w:sz w:val="20"/>
              </w:rPr>
              <w:t>366,85</w:t>
            </w:r>
          </w:p>
        </w:tc>
      </w:tr>
      <w:tr w:rsidR="00D5224B" w:rsidRPr="00CA2564" w14:paraId="4D816AD5" w14:textId="77777777" w:rsidTr="00A640A7">
        <w:trPr>
          <w:trHeight w:val="284"/>
        </w:trPr>
        <w:tc>
          <w:tcPr>
            <w:tcW w:w="3686" w:type="dxa"/>
            <w:tcBorders>
              <w:left w:val="nil"/>
              <w:bottom w:val="single" w:sz="4" w:space="0" w:color="auto"/>
              <w:right w:val="nil"/>
            </w:tcBorders>
            <w:shd w:val="clear" w:color="000000" w:fill="FFFFFF"/>
            <w:vAlign w:val="bottom"/>
            <w:hideMark/>
          </w:tcPr>
          <w:p w14:paraId="6A53EB17" w14:textId="77777777" w:rsidR="00D5224B" w:rsidRPr="002A1412" w:rsidRDefault="00D5224B" w:rsidP="003B7808">
            <w:pPr>
              <w:spacing w:after="0" w:line="240" w:lineRule="auto"/>
              <w:jc w:val="left"/>
              <w:rPr>
                <w:rFonts w:eastAsia="Times New Roman" w:cs="Times New Roman"/>
                <w:b/>
                <w:bCs/>
                <w:color w:val="000000"/>
                <w:sz w:val="20"/>
                <w:lang w:eastAsia="sk-SK"/>
              </w:rPr>
            </w:pPr>
            <w:r>
              <w:rPr>
                <w:b/>
                <w:bCs/>
                <w:color w:val="000000"/>
                <w:sz w:val="20"/>
              </w:rPr>
              <w:t>Hranica poplatku za MŠ, nad ktorou dochádza k strate ((f-e)/počet detí v MŠ)</w:t>
            </w:r>
          </w:p>
        </w:tc>
        <w:tc>
          <w:tcPr>
            <w:tcW w:w="1346" w:type="dxa"/>
            <w:tcBorders>
              <w:left w:val="nil"/>
              <w:bottom w:val="single" w:sz="4" w:space="0" w:color="auto"/>
              <w:right w:val="nil"/>
            </w:tcBorders>
            <w:shd w:val="clear" w:color="000000" w:fill="FFFFFF"/>
            <w:noWrap/>
            <w:vAlign w:val="bottom"/>
            <w:hideMark/>
          </w:tcPr>
          <w:p w14:paraId="306EC678" w14:textId="77777777" w:rsidR="00D5224B" w:rsidRPr="002A1412" w:rsidRDefault="00D5224B" w:rsidP="003B7808">
            <w:pPr>
              <w:spacing w:after="0" w:line="240" w:lineRule="auto"/>
              <w:jc w:val="right"/>
              <w:rPr>
                <w:rFonts w:eastAsia="Times New Roman" w:cs="Times New Roman"/>
                <w:color w:val="000000"/>
                <w:sz w:val="20"/>
                <w:lang w:eastAsia="sk-SK"/>
              </w:rPr>
            </w:pPr>
            <w:r>
              <w:rPr>
                <w:color w:val="000000"/>
                <w:sz w:val="20"/>
              </w:rPr>
              <w:t>7,45</w:t>
            </w:r>
          </w:p>
        </w:tc>
        <w:tc>
          <w:tcPr>
            <w:tcW w:w="1347" w:type="dxa"/>
            <w:tcBorders>
              <w:left w:val="nil"/>
              <w:bottom w:val="single" w:sz="4" w:space="0" w:color="auto"/>
              <w:right w:val="nil"/>
            </w:tcBorders>
            <w:shd w:val="clear" w:color="000000" w:fill="FFFFFF"/>
            <w:noWrap/>
            <w:vAlign w:val="bottom"/>
            <w:hideMark/>
          </w:tcPr>
          <w:p w14:paraId="24C0BFC3" w14:textId="77777777" w:rsidR="00D5224B" w:rsidRPr="002A1412" w:rsidRDefault="00D5224B" w:rsidP="003B7808">
            <w:pPr>
              <w:spacing w:after="0" w:line="240" w:lineRule="auto"/>
              <w:jc w:val="right"/>
              <w:rPr>
                <w:rFonts w:eastAsia="Times New Roman" w:cs="Times New Roman"/>
                <w:color w:val="000000"/>
                <w:sz w:val="20"/>
                <w:lang w:eastAsia="sk-SK"/>
              </w:rPr>
            </w:pPr>
            <w:r>
              <w:rPr>
                <w:color w:val="000000"/>
                <w:sz w:val="20"/>
              </w:rPr>
              <w:t>6,00</w:t>
            </w:r>
          </w:p>
        </w:tc>
        <w:tc>
          <w:tcPr>
            <w:tcW w:w="1346" w:type="dxa"/>
            <w:tcBorders>
              <w:left w:val="nil"/>
              <w:bottom w:val="single" w:sz="4" w:space="0" w:color="auto"/>
              <w:right w:val="nil"/>
            </w:tcBorders>
            <w:shd w:val="clear" w:color="000000" w:fill="FFFFFF"/>
            <w:noWrap/>
            <w:vAlign w:val="bottom"/>
            <w:hideMark/>
          </w:tcPr>
          <w:p w14:paraId="11897156" w14:textId="77777777" w:rsidR="00D5224B" w:rsidRPr="002A1412" w:rsidRDefault="00D5224B" w:rsidP="003B7808">
            <w:pPr>
              <w:spacing w:after="0" w:line="240" w:lineRule="auto"/>
              <w:jc w:val="right"/>
              <w:rPr>
                <w:rFonts w:eastAsia="Times New Roman" w:cs="Times New Roman"/>
                <w:color w:val="000000"/>
                <w:sz w:val="20"/>
                <w:lang w:eastAsia="sk-SK"/>
              </w:rPr>
            </w:pPr>
            <w:r>
              <w:rPr>
                <w:color w:val="000000"/>
                <w:sz w:val="20"/>
              </w:rPr>
              <w:t>0,60</w:t>
            </w:r>
          </w:p>
        </w:tc>
        <w:tc>
          <w:tcPr>
            <w:tcW w:w="1347" w:type="dxa"/>
            <w:tcBorders>
              <w:left w:val="nil"/>
              <w:bottom w:val="single" w:sz="4" w:space="0" w:color="auto"/>
              <w:right w:val="nil"/>
            </w:tcBorders>
            <w:shd w:val="clear" w:color="000000" w:fill="FFFFFF"/>
            <w:noWrap/>
            <w:vAlign w:val="bottom"/>
            <w:hideMark/>
          </w:tcPr>
          <w:p w14:paraId="60CDAD62" w14:textId="77777777" w:rsidR="00D5224B" w:rsidRPr="002A1412" w:rsidRDefault="00D5224B" w:rsidP="003B7808">
            <w:pPr>
              <w:spacing w:after="0" w:line="240" w:lineRule="auto"/>
              <w:jc w:val="right"/>
              <w:rPr>
                <w:rFonts w:eastAsia="Times New Roman" w:cs="Times New Roman"/>
                <w:color w:val="000000"/>
                <w:sz w:val="20"/>
                <w:lang w:eastAsia="sk-SK"/>
              </w:rPr>
            </w:pPr>
            <w:r>
              <w:rPr>
                <w:color w:val="000000"/>
                <w:sz w:val="20"/>
              </w:rPr>
              <w:t>10,90</w:t>
            </w:r>
          </w:p>
        </w:tc>
      </w:tr>
    </w:tbl>
    <w:p w14:paraId="78EC4C3C" w14:textId="77777777" w:rsidR="00D5224B" w:rsidRPr="00CA2564" w:rsidRDefault="00D5224B" w:rsidP="00D5224B">
      <w:pPr>
        <w:jc w:val="right"/>
        <w:rPr>
          <w:i/>
          <w:sz w:val="18"/>
          <w:szCs w:val="18"/>
        </w:rPr>
      </w:pPr>
      <w:r w:rsidRPr="00CA2564">
        <w:rPr>
          <w:i/>
          <w:sz w:val="18"/>
          <w:szCs w:val="18"/>
        </w:rPr>
        <w:t>Zdroj: ÚHP</w:t>
      </w:r>
    </w:p>
    <w:p w14:paraId="5740C307" w14:textId="31942196" w:rsidR="00D5224B" w:rsidRPr="009B0BF7" w:rsidRDefault="00D5224B" w:rsidP="00DC0C0A">
      <w:pPr>
        <w:spacing w:before="160" w:after="0"/>
        <w:rPr>
          <w:b/>
          <w:sz w:val="20"/>
        </w:rPr>
      </w:pPr>
      <w:bookmarkStart w:id="1958" w:name="_Ref25330172"/>
      <w:r w:rsidRPr="009B0BF7">
        <w:rPr>
          <w:b/>
          <w:sz w:val="20"/>
        </w:rPr>
        <w:t xml:space="preserve">Tabuľka P </w:t>
      </w:r>
      <w:r>
        <w:rPr>
          <w:b/>
          <w:sz w:val="20"/>
        </w:rPr>
        <w:fldChar w:fldCharType="begin"/>
      </w:r>
      <w:r>
        <w:rPr>
          <w:b/>
          <w:sz w:val="20"/>
        </w:rPr>
        <w:instrText xml:space="preserve"> SEQ Tabuľka_P \* ARABIC </w:instrText>
      </w:r>
      <w:r>
        <w:rPr>
          <w:b/>
          <w:sz w:val="20"/>
        </w:rPr>
        <w:fldChar w:fldCharType="separate"/>
      </w:r>
      <w:r w:rsidR="00FA29AF">
        <w:rPr>
          <w:b/>
          <w:noProof/>
          <w:sz w:val="20"/>
        </w:rPr>
        <w:t>32</w:t>
      </w:r>
      <w:r>
        <w:rPr>
          <w:b/>
          <w:sz w:val="20"/>
        </w:rPr>
        <w:fldChar w:fldCharType="end"/>
      </w:r>
      <w:bookmarkEnd w:id="1958"/>
      <w:r w:rsidRPr="009B0BF7">
        <w:rPr>
          <w:b/>
          <w:sz w:val="20"/>
        </w:rPr>
        <w:t>: Dopad rodičovského príspevku na možnosti zvýšiť príjem pomocou aktivačného a osobitného príspevku (rodina dvoch rodičov a dvoch detí vo veku 1 až 2 roky)</w:t>
      </w:r>
    </w:p>
    <w:tbl>
      <w:tblPr>
        <w:tblW w:w="9072" w:type="dxa"/>
        <w:tblLayout w:type="fixed"/>
        <w:tblCellMar>
          <w:left w:w="70" w:type="dxa"/>
          <w:right w:w="70" w:type="dxa"/>
        </w:tblCellMar>
        <w:tblLook w:val="04A0" w:firstRow="1" w:lastRow="0" w:firstColumn="1" w:lastColumn="0" w:noHBand="0" w:noVBand="1"/>
      </w:tblPr>
      <w:tblGrid>
        <w:gridCol w:w="3402"/>
        <w:gridCol w:w="1417"/>
        <w:gridCol w:w="1418"/>
        <w:gridCol w:w="1417"/>
        <w:gridCol w:w="1418"/>
      </w:tblGrid>
      <w:tr w:rsidR="00D5224B" w:rsidRPr="00CA2564" w14:paraId="319A1CEC" w14:textId="77777777" w:rsidTr="003B7808">
        <w:trPr>
          <w:trHeight w:val="660"/>
        </w:trPr>
        <w:tc>
          <w:tcPr>
            <w:tcW w:w="3402" w:type="dxa"/>
            <w:tcBorders>
              <w:top w:val="single" w:sz="4" w:space="0" w:color="auto"/>
              <w:left w:val="nil"/>
              <w:bottom w:val="single" w:sz="4" w:space="0" w:color="auto"/>
              <w:right w:val="nil"/>
            </w:tcBorders>
            <w:shd w:val="clear" w:color="000000" w:fill="FFFFFF"/>
            <w:noWrap/>
            <w:vAlign w:val="bottom"/>
            <w:hideMark/>
          </w:tcPr>
          <w:p w14:paraId="6A86D6DB" w14:textId="77777777" w:rsidR="00D5224B" w:rsidRPr="00CA2564" w:rsidRDefault="00D5224B" w:rsidP="003B7808">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 </w:t>
            </w:r>
          </w:p>
        </w:tc>
        <w:tc>
          <w:tcPr>
            <w:tcW w:w="1417" w:type="dxa"/>
            <w:tcBorders>
              <w:top w:val="single" w:sz="4" w:space="0" w:color="auto"/>
              <w:left w:val="nil"/>
              <w:bottom w:val="single" w:sz="4" w:space="0" w:color="auto"/>
              <w:right w:val="nil"/>
            </w:tcBorders>
            <w:shd w:val="clear" w:color="000000" w:fill="FFFFFF"/>
            <w:vAlign w:val="bottom"/>
            <w:hideMark/>
          </w:tcPr>
          <w:p w14:paraId="51ED7E4D" w14:textId="77777777" w:rsidR="00D5224B" w:rsidRPr="00CA2564" w:rsidRDefault="00D5224B" w:rsidP="003B7808">
            <w:pPr>
              <w:spacing w:after="0" w:line="240" w:lineRule="auto"/>
              <w:jc w:val="center"/>
              <w:rPr>
                <w:rFonts w:eastAsia="Times New Roman" w:cs="Times New Roman"/>
                <w:b/>
                <w:bCs/>
                <w:color w:val="000000"/>
                <w:sz w:val="20"/>
                <w:lang w:eastAsia="sk-SK"/>
              </w:rPr>
            </w:pPr>
            <w:r>
              <w:rPr>
                <w:b/>
                <w:bCs/>
                <w:color w:val="000000"/>
                <w:sz w:val="20"/>
              </w:rPr>
              <w:t>Príjem s RP nezamestnaný</w:t>
            </w:r>
          </w:p>
        </w:tc>
        <w:tc>
          <w:tcPr>
            <w:tcW w:w="1418" w:type="dxa"/>
            <w:tcBorders>
              <w:top w:val="single" w:sz="4" w:space="0" w:color="auto"/>
              <w:left w:val="nil"/>
              <w:bottom w:val="single" w:sz="4" w:space="0" w:color="auto"/>
              <w:right w:val="nil"/>
            </w:tcBorders>
            <w:shd w:val="clear" w:color="000000" w:fill="FFFFFF"/>
            <w:vAlign w:val="bottom"/>
            <w:hideMark/>
          </w:tcPr>
          <w:p w14:paraId="1F133BA6" w14:textId="77777777" w:rsidR="00D5224B" w:rsidRPr="00CA2564" w:rsidRDefault="00D5224B" w:rsidP="003B7808">
            <w:pPr>
              <w:spacing w:after="0" w:line="240" w:lineRule="auto"/>
              <w:jc w:val="center"/>
              <w:rPr>
                <w:rFonts w:eastAsia="Times New Roman" w:cs="Times New Roman"/>
                <w:b/>
                <w:bCs/>
                <w:color w:val="000000"/>
                <w:sz w:val="20"/>
                <w:lang w:eastAsia="sk-SK"/>
              </w:rPr>
            </w:pPr>
            <w:r>
              <w:rPr>
                <w:b/>
                <w:bCs/>
                <w:color w:val="000000"/>
                <w:sz w:val="20"/>
              </w:rPr>
              <w:t>Príjem s RP + zamestnanie</w:t>
            </w:r>
          </w:p>
        </w:tc>
        <w:tc>
          <w:tcPr>
            <w:tcW w:w="1417" w:type="dxa"/>
            <w:tcBorders>
              <w:top w:val="single" w:sz="4" w:space="0" w:color="auto"/>
              <w:left w:val="nil"/>
              <w:bottom w:val="single" w:sz="4" w:space="0" w:color="auto"/>
              <w:right w:val="nil"/>
            </w:tcBorders>
            <w:shd w:val="clear" w:color="000000" w:fill="FFFFFF"/>
            <w:vAlign w:val="bottom"/>
            <w:hideMark/>
          </w:tcPr>
          <w:p w14:paraId="3FE40375" w14:textId="77777777" w:rsidR="00D5224B" w:rsidRPr="00CA2564" w:rsidRDefault="00D5224B" w:rsidP="003B7808">
            <w:pPr>
              <w:spacing w:after="0" w:line="240" w:lineRule="auto"/>
              <w:jc w:val="center"/>
              <w:rPr>
                <w:rFonts w:eastAsia="Times New Roman" w:cs="Times New Roman"/>
                <w:b/>
                <w:bCs/>
                <w:color w:val="000000"/>
                <w:sz w:val="20"/>
                <w:lang w:eastAsia="sk-SK"/>
              </w:rPr>
            </w:pPr>
            <w:r>
              <w:rPr>
                <w:b/>
                <w:bCs/>
                <w:color w:val="000000"/>
                <w:sz w:val="20"/>
              </w:rPr>
              <w:t>Príjem bez RP nezamestnaný</w:t>
            </w:r>
          </w:p>
        </w:tc>
        <w:tc>
          <w:tcPr>
            <w:tcW w:w="1418" w:type="dxa"/>
            <w:tcBorders>
              <w:top w:val="single" w:sz="4" w:space="0" w:color="auto"/>
              <w:left w:val="nil"/>
              <w:bottom w:val="single" w:sz="4" w:space="0" w:color="auto"/>
              <w:right w:val="nil"/>
            </w:tcBorders>
            <w:shd w:val="clear" w:color="000000" w:fill="FFFFFF"/>
            <w:vAlign w:val="bottom"/>
            <w:hideMark/>
          </w:tcPr>
          <w:p w14:paraId="2965632A" w14:textId="77777777" w:rsidR="00D5224B" w:rsidRPr="00CA2564" w:rsidRDefault="00D5224B" w:rsidP="003B7808">
            <w:pPr>
              <w:spacing w:after="0" w:line="240" w:lineRule="auto"/>
              <w:jc w:val="center"/>
              <w:rPr>
                <w:rFonts w:eastAsia="Times New Roman" w:cs="Times New Roman"/>
                <w:b/>
                <w:bCs/>
                <w:color w:val="000000"/>
                <w:sz w:val="20"/>
                <w:lang w:eastAsia="sk-SK"/>
              </w:rPr>
            </w:pPr>
            <w:r>
              <w:rPr>
                <w:b/>
                <w:bCs/>
                <w:color w:val="000000"/>
                <w:sz w:val="20"/>
              </w:rPr>
              <w:t>Príjem bez RP + zamestanie</w:t>
            </w:r>
          </w:p>
        </w:tc>
      </w:tr>
      <w:tr w:rsidR="00D5224B" w:rsidRPr="00CA2564" w14:paraId="3E64C365" w14:textId="77777777" w:rsidTr="003B7808">
        <w:trPr>
          <w:trHeight w:val="284"/>
        </w:trPr>
        <w:tc>
          <w:tcPr>
            <w:tcW w:w="3402" w:type="dxa"/>
            <w:tcBorders>
              <w:top w:val="nil"/>
              <w:left w:val="nil"/>
              <w:bottom w:val="nil"/>
              <w:right w:val="nil"/>
            </w:tcBorders>
            <w:shd w:val="clear" w:color="000000" w:fill="FFFFFF"/>
            <w:noWrap/>
            <w:vAlign w:val="bottom"/>
            <w:hideMark/>
          </w:tcPr>
          <w:p w14:paraId="00545B56" w14:textId="77777777" w:rsidR="00D5224B" w:rsidRPr="00CA2564" w:rsidRDefault="00D5224B" w:rsidP="003B7808">
            <w:pPr>
              <w:spacing w:after="0" w:line="240" w:lineRule="auto"/>
              <w:jc w:val="left"/>
              <w:rPr>
                <w:rFonts w:eastAsia="Times New Roman" w:cs="Times New Roman"/>
                <w:color w:val="000000"/>
                <w:sz w:val="20"/>
                <w:lang w:eastAsia="sk-SK"/>
              </w:rPr>
            </w:pPr>
            <w:r>
              <w:rPr>
                <w:color w:val="000000"/>
                <w:sz w:val="20"/>
              </w:rPr>
              <w:t>Dávka v HN</w:t>
            </w:r>
          </w:p>
        </w:tc>
        <w:tc>
          <w:tcPr>
            <w:tcW w:w="1417" w:type="dxa"/>
            <w:tcBorders>
              <w:top w:val="nil"/>
              <w:left w:val="nil"/>
              <w:bottom w:val="nil"/>
              <w:right w:val="nil"/>
            </w:tcBorders>
            <w:shd w:val="clear" w:color="000000" w:fill="FFFFFF"/>
            <w:noWrap/>
            <w:vAlign w:val="bottom"/>
            <w:hideMark/>
          </w:tcPr>
          <w:p w14:paraId="3F409E4D" w14:textId="77777777" w:rsidR="00D5224B" w:rsidRPr="00A30E57" w:rsidRDefault="00D5224B" w:rsidP="003B7808">
            <w:pPr>
              <w:spacing w:after="0" w:line="240" w:lineRule="auto"/>
              <w:jc w:val="right"/>
              <w:rPr>
                <w:rFonts w:eastAsia="Times New Roman" w:cs="Times New Roman"/>
                <w:color w:val="000000"/>
                <w:sz w:val="20"/>
                <w:lang w:eastAsia="sk-SK"/>
              </w:rPr>
            </w:pPr>
            <w:r>
              <w:rPr>
                <w:color w:val="000000"/>
                <w:sz w:val="20"/>
              </w:rPr>
              <w:t>172,60</w:t>
            </w:r>
          </w:p>
        </w:tc>
        <w:tc>
          <w:tcPr>
            <w:tcW w:w="1418" w:type="dxa"/>
            <w:tcBorders>
              <w:top w:val="nil"/>
              <w:left w:val="nil"/>
              <w:bottom w:val="nil"/>
              <w:right w:val="nil"/>
            </w:tcBorders>
            <w:shd w:val="clear" w:color="000000" w:fill="FFFFFF"/>
            <w:noWrap/>
            <w:vAlign w:val="bottom"/>
            <w:hideMark/>
          </w:tcPr>
          <w:p w14:paraId="2D05C252" w14:textId="77777777" w:rsidR="00D5224B" w:rsidRPr="00A30E57" w:rsidRDefault="00D5224B" w:rsidP="003B7808">
            <w:pPr>
              <w:spacing w:after="0" w:line="240" w:lineRule="auto"/>
              <w:jc w:val="right"/>
              <w:rPr>
                <w:rFonts w:eastAsia="Times New Roman" w:cs="Times New Roman"/>
                <w:color w:val="000000"/>
                <w:sz w:val="20"/>
                <w:lang w:eastAsia="sk-SK"/>
              </w:rPr>
            </w:pPr>
            <w:r>
              <w:rPr>
                <w:color w:val="000000"/>
                <w:sz w:val="20"/>
              </w:rPr>
              <w:t>172,60</w:t>
            </w:r>
          </w:p>
        </w:tc>
        <w:tc>
          <w:tcPr>
            <w:tcW w:w="1417" w:type="dxa"/>
            <w:tcBorders>
              <w:top w:val="nil"/>
              <w:left w:val="nil"/>
              <w:bottom w:val="nil"/>
              <w:right w:val="nil"/>
            </w:tcBorders>
            <w:shd w:val="clear" w:color="000000" w:fill="FFFFFF"/>
            <w:noWrap/>
            <w:vAlign w:val="bottom"/>
            <w:hideMark/>
          </w:tcPr>
          <w:p w14:paraId="50FC9D8D" w14:textId="77777777" w:rsidR="00D5224B" w:rsidRPr="00A30E57" w:rsidRDefault="00D5224B" w:rsidP="003B7808">
            <w:pPr>
              <w:spacing w:after="0" w:line="240" w:lineRule="auto"/>
              <w:jc w:val="right"/>
              <w:rPr>
                <w:rFonts w:eastAsia="Times New Roman" w:cs="Times New Roman"/>
                <w:color w:val="000000"/>
                <w:sz w:val="20"/>
                <w:lang w:eastAsia="sk-SK"/>
              </w:rPr>
            </w:pPr>
            <w:r>
              <w:rPr>
                <w:color w:val="000000"/>
                <w:sz w:val="20"/>
              </w:rPr>
              <w:t>172,60</w:t>
            </w:r>
          </w:p>
        </w:tc>
        <w:tc>
          <w:tcPr>
            <w:tcW w:w="1418" w:type="dxa"/>
            <w:tcBorders>
              <w:top w:val="nil"/>
              <w:left w:val="nil"/>
              <w:bottom w:val="nil"/>
              <w:right w:val="nil"/>
            </w:tcBorders>
            <w:shd w:val="clear" w:color="000000" w:fill="FFFFFF"/>
            <w:noWrap/>
            <w:vAlign w:val="bottom"/>
            <w:hideMark/>
          </w:tcPr>
          <w:p w14:paraId="06351B4B" w14:textId="77777777" w:rsidR="00D5224B" w:rsidRPr="00A30E57" w:rsidRDefault="00D5224B" w:rsidP="003B7808">
            <w:pPr>
              <w:spacing w:after="0" w:line="240" w:lineRule="auto"/>
              <w:jc w:val="right"/>
              <w:rPr>
                <w:rFonts w:eastAsia="Times New Roman" w:cs="Times New Roman"/>
                <w:color w:val="000000"/>
                <w:sz w:val="20"/>
                <w:lang w:eastAsia="sk-SK"/>
              </w:rPr>
            </w:pPr>
            <w:r>
              <w:rPr>
                <w:color w:val="000000"/>
                <w:sz w:val="20"/>
              </w:rPr>
              <w:t>172,60</w:t>
            </w:r>
          </w:p>
        </w:tc>
      </w:tr>
      <w:tr w:rsidR="00D5224B" w:rsidRPr="00CA2564" w14:paraId="23CC42C6" w14:textId="77777777" w:rsidTr="003B7808">
        <w:trPr>
          <w:trHeight w:val="284"/>
        </w:trPr>
        <w:tc>
          <w:tcPr>
            <w:tcW w:w="3402" w:type="dxa"/>
            <w:tcBorders>
              <w:top w:val="nil"/>
              <w:left w:val="nil"/>
              <w:bottom w:val="nil"/>
              <w:right w:val="nil"/>
            </w:tcBorders>
            <w:shd w:val="clear" w:color="000000" w:fill="FFFFFF"/>
            <w:noWrap/>
            <w:vAlign w:val="bottom"/>
            <w:hideMark/>
          </w:tcPr>
          <w:p w14:paraId="3AA8C78B" w14:textId="77777777" w:rsidR="00D5224B" w:rsidRPr="00CA2564" w:rsidRDefault="00D5224B" w:rsidP="003B7808">
            <w:pPr>
              <w:spacing w:after="0" w:line="240" w:lineRule="auto"/>
              <w:jc w:val="left"/>
              <w:rPr>
                <w:rFonts w:eastAsia="Times New Roman" w:cs="Times New Roman"/>
                <w:color w:val="000000"/>
                <w:sz w:val="20"/>
                <w:lang w:eastAsia="sk-SK"/>
              </w:rPr>
            </w:pPr>
            <w:r>
              <w:rPr>
                <w:color w:val="000000"/>
                <w:sz w:val="20"/>
              </w:rPr>
              <w:t>Ochranný príspevok</w:t>
            </w:r>
          </w:p>
        </w:tc>
        <w:tc>
          <w:tcPr>
            <w:tcW w:w="1417" w:type="dxa"/>
            <w:tcBorders>
              <w:top w:val="nil"/>
              <w:left w:val="nil"/>
              <w:bottom w:val="nil"/>
              <w:right w:val="nil"/>
            </w:tcBorders>
            <w:shd w:val="clear" w:color="000000" w:fill="FFFFFF"/>
            <w:noWrap/>
            <w:vAlign w:val="bottom"/>
            <w:hideMark/>
          </w:tcPr>
          <w:p w14:paraId="77FBEEC4" w14:textId="77777777" w:rsidR="00D5224B" w:rsidRPr="00A30E57" w:rsidRDefault="00D5224B" w:rsidP="003B7808">
            <w:pPr>
              <w:spacing w:after="0" w:line="240" w:lineRule="auto"/>
              <w:jc w:val="right"/>
              <w:rPr>
                <w:rFonts w:eastAsia="Times New Roman" w:cs="Times New Roman"/>
                <w:color w:val="000000"/>
                <w:sz w:val="20"/>
                <w:lang w:eastAsia="sk-SK"/>
              </w:rPr>
            </w:pPr>
            <w:r>
              <w:rPr>
                <w:color w:val="000000"/>
                <w:sz w:val="20"/>
              </w:rPr>
              <w:t>0,00</w:t>
            </w:r>
          </w:p>
        </w:tc>
        <w:tc>
          <w:tcPr>
            <w:tcW w:w="1418" w:type="dxa"/>
            <w:tcBorders>
              <w:top w:val="nil"/>
              <w:left w:val="nil"/>
              <w:bottom w:val="nil"/>
              <w:right w:val="nil"/>
            </w:tcBorders>
            <w:shd w:val="clear" w:color="000000" w:fill="FFFFFF"/>
            <w:noWrap/>
            <w:vAlign w:val="bottom"/>
            <w:hideMark/>
          </w:tcPr>
          <w:p w14:paraId="1703DC27" w14:textId="77777777" w:rsidR="00D5224B" w:rsidRPr="00A30E57" w:rsidRDefault="00D5224B" w:rsidP="003B7808">
            <w:pPr>
              <w:spacing w:after="0" w:line="240" w:lineRule="auto"/>
              <w:jc w:val="right"/>
              <w:rPr>
                <w:rFonts w:eastAsia="Times New Roman" w:cs="Times New Roman"/>
                <w:color w:val="000000"/>
                <w:sz w:val="20"/>
                <w:lang w:eastAsia="sk-SK"/>
              </w:rPr>
            </w:pPr>
            <w:r>
              <w:rPr>
                <w:color w:val="000000"/>
                <w:sz w:val="20"/>
              </w:rPr>
              <w:t>0,00</w:t>
            </w:r>
          </w:p>
        </w:tc>
        <w:tc>
          <w:tcPr>
            <w:tcW w:w="1417" w:type="dxa"/>
            <w:tcBorders>
              <w:top w:val="nil"/>
              <w:left w:val="nil"/>
              <w:bottom w:val="nil"/>
              <w:right w:val="nil"/>
            </w:tcBorders>
            <w:shd w:val="clear" w:color="000000" w:fill="FFFFFF"/>
            <w:noWrap/>
            <w:vAlign w:val="bottom"/>
            <w:hideMark/>
          </w:tcPr>
          <w:p w14:paraId="0A217CE4" w14:textId="77777777" w:rsidR="00D5224B" w:rsidRPr="00A30E57" w:rsidRDefault="00D5224B" w:rsidP="003B7808">
            <w:pPr>
              <w:spacing w:after="0" w:line="240" w:lineRule="auto"/>
              <w:jc w:val="right"/>
              <w:rPr>
                <w:rFonts w:eastAsia="Times New Roman" w:cs="Times New Roman"/>
                <w:color w:val="000000"/>
                <w:sz w:val="20"/>
                <w:lang w:eastAsia="sk-SK"/>
              </w:rPr>
            </w:pPr>
            <w:r>
              <w:rPr>
                <w:color w:val="000000"/>
                <w:sz w:val="20"/>
              </w:rPr>
              <w:t>0,00</w:t>
            </w:r>
          </w:p>
        </w:tc>
        <w:tc>
          <w:tcPr>
            <w:tcW w:w="1418" w:type="dxa"/>
            <w:tcBorders>
              <w:top w:val="nil"/>
              <w:left w:val="nil"/>
              <w:bottom w:val="nil"/>
              <w:right w:val="nil"/>
            </w:tcBorders>
            <w:shd w:val="clear" w:color="000000" w:fill="FFFFFF"/>
            <w:noWrap/>
            <w:vAlign w:val="bottom"/>
            <w:hideMark/>
          </w:tcPr>
          <w:p w14:paraId="41C0FD90" w14:textId="77777777" w:rsidR="00D5224B" w:rsidRPr="00A30E57" w:rsidRDefault="00D5224B" w:rsidP="003B7808">
            <w:pPr>
              <w:spacing w:after="0" w:line="240" w:lineRule="auto"/>
              <w:jc w:val="right"/>
              <w:rPr>
                <w:rFonts w:eastAsia="Times New Roman" w:cs="Times New Roman"/>
                <w:color w:val="000000"/>
                <w:sz w:val="20"/>
                <w:lang w:eastAsia="sk-SK"/>
              </w:rPr>
            </w:pPr>
            <w:r>
              <w:rPr>
                <w:color w:val="000000"/>
                <w:sz w:val="20"/>
              </w:rPr>
              <w:t>0,00</w:t>
            </w:r>
          </w:p>
        </w:tc>
      </w:tr>
      <w:tr w:rsidR="00D5224B" w:rsidRPr="00CA2564" w14:paraId="3860CB23" w14:textId="77777777" w:rsidTr="003B7808">
        <w:trPr>
          <w:trHeight w:val="284"/>
        </w:trPr>
        <w:tc>
          <w:tcPr>
            <w:tcW w:w="3402" w:type="dxa"/>
            <w:tcBorders>
              <w:top w:val="nil"/>
              <w:left w:val="nil"/>
              <w:bottom w:val="nil"/>
              <w:right w:val="nil"/>
            </w:tcBorders>
            <w:shd w:val="clear" w:color="000000" w:fill="FFFFFF"/>
            <w:noWrap/>
            <w:vAlign w:val="bottom"/>
            <w:hideMark/>
          </w:tcPr>
          <w:p w14:paraId="6E2A6804" w14:textId="77777777" w:rsidR="00D5224B" w:rsidRPr="00CA2564" w:rsidRDefault="00D5224B" w:rsidP="003B7808">
            <w:pPr>
              <w:spacing w:after="0" w:line="240" w:lineRule="auto"/>
              <w:jc w:val="left"/>
              <w:rPr>
                <w:rFonts w:eastAsia="Times New Roman" w:cs="Times New Roman"/>
                <w:color w:val="000000"/>
                <w:sz w:val="20"/>
                <w:lang w:eastAsia="sk-SK"/>
              </w:rPr>
            </w:pPr>
            <w:r>
              <w:rPr>
                <w:color w:val="000000"/>
                <w:sz w:val="20"/>
              </w:rPr>
              <w:t>Aktivačný príspevok (AP)</w:t>
            </w:r>
          </w:p>
        </w:tc>
        <w:tc>
          <w:tcPr>
            <w:tcW w:w="1417" w:type="dxa"/>
            <w:tcBorders>
              <w:top w:val="nil"/>
              <w:left w:val="nil"/>
              <w:bottom w:val="nil"/>
              <w:right w:val="nil"/>
            </w:tcBorders>
            <w:shd w:val="clear" w:color="000000" w:fill="FFFFFF"/>
            <w:noWrap/>
            <w:vAlign w:val="bottom"/>
            <w:hideMark/>
          </w:tcPr>
          <w:p w14:paraId="6BE5433B" w14:textId="77777777" w:rsidR="00D5224B" w:rsidRPr="00A30E57" w:rsidRDefault="00D5224B" w:rsidP="003B7808">
            <w:pPr>
              <w:spacing w:after="0" w:line="240" w:lineRule="auto"/>
              <w:jc w:val="right"/>
              <w:rPr>
                <w:rFonts w:eastAsia="Times New Roman" w:cs="Times New Roman"/>
                <w:color w:val="000000"/>
                <w:sz w:val="20"/>
                <w:lang w:eastAsia="sk-SK"/>
              </w:rPr>
            </w:pPr>
            <w:r>
              <w:rPr>
                <w:color w:val="000000"/>
                <w:sz w:val="20"/>
              </w:rPr>
              <w:t>0,00</w:t>
            </w:r>
          </w:p>
        </w:tc>
        <w:tc>
          <w:tcPr>
            <w:tcW w:w="1418" w:type="dxa"/>
            <w:tcBorders>
              <w:top w:val="nil"/>
              <w:left w:val="nil"/>
              <w:bottom w:val="nil"/>
              <w:right w:val="nil"/>
            </w:tcBorders>
            <w:shd w:val="clear" w:color="000000" w:fill="FFFFFF"/>
            <w:noWrap/>
            <w:vAlign w:val="bottom"/>
            <w:hideMark/>
          </w:tcPr>
          <w:p w14:paraId="55513049" w14:textId="77777777" w:rsidR="00D5224B" w:rsidRPr="00A30E57" w:rsidRDefault="00D5224B" w:rsidP="003B7808">
            <w:pPr>
              <w:spacing w:after="0" w:line="240" w:lineRule="auto"/>
              <w:jc w:val="right"/>
              <w:rPr>
                <w:rFonts w:eastAsia="Times New Roman" w:cs="Times New Roman"/>
                <w:color w:val="000000"/>
                <w:sz w:val="20"/>
                <w:lang w:eastAsia="sk-SK"/>
              </w:rPr>
            </w:pPr>
            <w:r>
              <w:rPr>
                <w:color w:val="000000"/>
                <w:sz w:val="20"/>
              </w:rPr>
              <w:t>135,70</w:t>
            </w:r>
          </w:p>
        </w:tc>
        <w:tc>
          <w:tcPr>
            <w:tcW w:w="1417" w:type="dxa"/>
            <w:tcBorders>
              <w:top w:val="nil"/>
              <w:left w:val="nil"/>
              <w:bottom w:val="nil"/>
              <w:right w:val="nil"/>
            </w:tcBorders>
            <w:shd w:val="clear" w:color="000000" w:fill="FFFFFF"/>
            <w:noWrap/>
            <w:vAlign w:val="bottom"/>
            <w:hideMark/>
          </w:tcPr>
          <w:p w14:paraId="26B6321E" w14:textId="77777777" w:rsidR="00D5224B" w:rsidRPr="00A30E57" w:rsidRDefault="00D5224B" w:rsidP="003B7808">
            <w:pPr>
              <w:spacing w:after="0" w:line="240" w:lineRule="auto"/>
              <w:jc w:val="right"/>
              <w:rPr>
                <w:rFonts w:eastAsia="Times New Roman" w:cs="Times New Roman"/>
                <w:color w:val="000000"/>
                <w:sz w:val="20"/>
                <w:lang w:eastAsia="sk-SK"/>
              </w:rPr>
            </w:pPr>
            <w:r>
              <w:rPr>
                <w:color w:val="000000"/>
                <w:sz w:val="20"/>
              </w:rPr>
              <w:t>0,00</w:t>
            </w:r>
          </w:p>
        </w:tc>
        <w:tc>
          <w:tcPr>
            <w:tcW w:w="1418" w:type="dxa"/>
            <w:tcBorders>
              <w:top w:val="nil"/>
              <w:left w:val="nil"/>
              <w:bottom w:val="nil"/>
              <w:right w:val="nil"/>
            </w:tcBorders>
            <w:shd w:val="clear" w:color="000000" w:fill="FFFFFF"/>
            <w:noWrap/>
            <w:vAlign w:val="bottom"/>
            <w:hideMark/>
          </w:tcPr>
          <w:p w14:paraId="36AD7B52" w14:textId="77777777" w:rsidR="00D5224B" w:rsidRPr="00A30E57" w:rsidRDefault="00D5224B" w:rsidP="003B7808">
            <w:pPr>
              <w:spacing w:after="0" w:line="240" w:lineRule="auto"/>
              <w:jc w:val="right"/>
              <w:rPr>
                <w:rFonts w:eastAsia="Times New Roman" w:cs="Times New Roman"/>
                <w:color w:val="000000"/>
                <w:sz w:val="20"/>
                <w:lang w:eastAsia="sk-SK"/>
              </w:rPr>
            </w:pPr>
            <w:r>
              <w:rPr>
                <w:color w:val="000000"/>
                <w:sz w:val="20"/>
              </w:rPr>
              <w:t>135,70</w:t>
            </w:r>
          </w:p>
        </w:tc>
      </w:tr>
      <w:tr w:rsidR="00D5224B" w:rsidRPr="00CA2564" w14:paraId="0140AABB" w14:textId="77777777" w:rsidTr="003B7808">
        <w:trPr>
          <w:trHeight w:val="284"/>
        </w:trPr>
        <w:tc>
          <w:tcPr>
            <w:tcW w:w="3402" w:type="dxa"/>
            <w:tcBorders>
              <w:top w:val="nil"/>
              <w:left w:val="nil"/>
              <w:bottom w:val="nil"/>
              <w:right w:val="nil"/>
            </w:tcBorders>
            <w:shd w:val="clear" w:color="000000" w:fill="FFFFFF"/>
            <w:noWrap/>
            <w:vAlign w:val="bottom"/>
            <w:hideMark/>
          </w:tcPr>
          <w:p w14:paraId="745DC917" w14:textId="77777777" w:rsidR="00D5224B" w:rsidRPr="00CA2564" w:rsidRDefault="00D5224B" w:rsidP="003B7808">
            <w:pPr>
              <w:spacing w:after="0" w:line="240" w:lineRule="auto"/>
              <w:jc w:val="left"/>
              <w:rPr>
                <w:rFonts w:eastAsia="Times New Roman" w:cs="Times New Roman"/>
                <w:color w:val="000000"/>
                <w:sz w:val="20"/>
                <w:lang w:eastAsia="sk-SK"/>
              </w:rPr>
            </w:pPr>
            <w:r>
              <w:rPr>
                <w:color w:val="000000"/>
                <w:sz w:val="20"/>
              </w:rPr>
              <w:t>Príspevok na nezaopatrené dieťa</w:t>
            </w:r>
          </w:p>
        </w:tc>
        <w:tc>
          <w:tcPr>
            <w:tcW w:w="1417" w:type="dxa"/>
            <w:tcBorders>
              <w:top w:val="nil"/>
              <w:left w:val="nil"/>
              <w:bottom w:val="nil"/>
              <w:right w:val="nil"/>
            </w:tcBorders>
            <w:shd w:val="clear" w:color="000000" w:fill="FFFFFF"/>
            <w:noWrap/>
            <w:vAlign w:val="bottom"/>
            <w:hideMark/>
          </w:tcPr>
          <w:p w14:paraId="4CF86D38" w14:textId="77777777" w:rsidR="00D5224B" w:rsidRPr="00A30E57" w:rsidRDefault="00D5224B" w:rsidP="003B7808">
            <w:pPr>
              <w:spacing w:after="0" w:line="240" w:lineRule="auto"/>
              <w:jc w:val="right"/>
              <w:rPr>
                <w:rFonts w:eastAsia="Times New Roman" w:cs="Times New Roman"/>
                <w:color w:val="000000"/>
                <w:sz w:val="20"/>
                <w:lang w:eastAsia="sk-SK"/>
              </w:rPr>
            </w:pPr>
            <w:r>
              <w:rPr>
                <w:color w:val="000000"/>
                <w:sz w:val="20"/>
              </w:rPr>
              <w:t>0,00</w:t>
            </w:r>
          </w:p>
        </w:tc>
        <w:tc>
          <w:tcPr>
            <w:tcW w:w="1418" w:type="dxa"/>
            <w:tcBorders>
              <w:top w:val="nil"/>
              <w:left w:val="nil"/>
              <w:bottom w:val="nil"/>
              <w:right w:val="nil"/>
            </w:tcBorders>
            <w:shd w:val="clear" w:color="000000" w:fill="FFFFFF"/>
            <w:noWrap/>
            <w:vAlign w:val="bottom"/>
            <w:hideMark/>
          </w:tcPr>
          <w:p w14:paraId="7182CC8A" w14:textId="77777777" w:rsidR="00D5224B" w:rsidRPr="00A30E57" w:rsidRDefault="00D5224B" w:rsidP="003B7808">
            <w:pPr>
              <w:spacing w:after="0" w:line="240" w:lineRule="auto"/>
              <w:jc w:val="right"/>
              <w:rPr>
                <w:rFonts w:eastAsia="Times New Roman" w:cs="Times New Roman"/>
                <w:color w:val="000000"/>
                <w:sz w:val="20"/>
                <w:lang w:eastAsia="sk-SK"/>
              </w:rPr>
            </w:pPr>
            <w:r>
              <w:rPr>
                <w:color w:val="000000"/>
                <w:sz w:val="20"/>
              </w:rPr>
              <w:t>0,00</w:t>
            </w:r>
          </w:p>
        </w:tc>
        <w:tc>
          <w:tcPr>
            <w:tcW w:w="1417" w:type="dxa"/>
            <w:tcBorders>
              <w:top w:val="nil"/>
              <w:left w:val="nil"/>
              <w:bottom w:val="nil"/>
              <w:right w:val="nil"/>
            </w:tcBorders>
            <w:shd w:val="clear" w:color="000000" w:fill="FFFFFF"/>
            <w:noWrap/>
            <w:vAlign w:val="bottom"/>
            <w:hideMark/>
          </w:tcPr>
          <w:p w14:paraId="41EDCA1C" w14:textId="77777777" w:rsidR="00D5224B" w:rsidRPr="00A30E57" w:rsidRDefault="00D5224B" w:rsidP="003B7808">
            <w:pPr>
              <w:spacing w:after="0" w:line="240" w:lineRule="auto"/>
              <w:jc w:val="right"/>
              <w:rPr>
                <w:rFonts w:eastAsia="Times New Roman" w:cs="Times New Roman"/>
                <w:color w:val="000000"/>
                <w:sz w:val="20"/>
                <w:lang w:eastAsia="sk-SK"/>
              </w:rPr>
            </w:pPr>
            <w:r>
              <w:rPr>
                <w:color w:val="000000"/>
                <w:sz w:val="20"/>
              </w:rPr>
              <w:t>0,00</w:t>
            </w:r>
          </w:p>
        </w:tc>
        <w:tc>
          <w:tcPr>
            <w:tcW w:w="1418" w:type="dxa"/>
            <w:tcBorders>
              <w:top w:val="nil"/>
              <w:left w:val="nil"/>
              <w:bottom w:val="nil"/>
              <w:right w:val="nil"/>
            </w:tcBorders>
            <w:shd w:val="clear" w:color="000000" w:fill="FFFFFF"/>
            <w:noWrap/>
            <w:vAlign w:val="bottom"/>
            <w:hideMark/>
          </w:tcPr>
          <w:p w14:paraId="5A6F774D" w14:textId="77777777" w:rsidR="00D5224B" w:rsidRPr="00A30E57" w:rsidRDefault="00D5224B" w:rsidP="003B7808">
            <w:pPr>
              <w:spacing w:after="0" w:line="240" w:lineRule="auto"/>
              <w:jc w:val="right"/>
              <w:rPr>
                <w:rFonts w:eastAsia="Times New Roman" w:cs="Times New Roman"/>
                <w:color w:val="000000"/>
                <w:sz w:val="20"/>
                <w:lang w:eastAsia="sk-SK"/>
              </w:rPr>
            </w:pPr>
            <w:r>
              <w:rPr>
                <w:color w:val="000000"/>
                <w:sz w:val="20"/>
              </w:rPr>
              <w:t>0,00</w:t>
            </w:r>
          </w:p>
        </w:tc>
      </w:tr>
      <w:tr w:rsidR="00D5224B" w:rsidRPr="00CA2564" w14:paraId="3A60FA3E" w14:textId="77777777" w:rsidTr="003B7808">
        <w:trPr>
          <w:trHeight w:val="284"/>
        </w:trPr>
        <w:tc>
          <w:tcPr>
            <w:tcW w:w="3402" w:type="dxa"/>
            <w:tcBorders>
              <w:top w:val="nil"/>
              <w:left w:val="nil"/>
              <w:bottom w:val="nil"/>
              <w:right w:val="nil"/>
            </w:tcBorders>
            <w:shd w:val="clear" w:color="000000" w:fill="FFFFFF"/>
            <w:noWrap/>
            <w:vAlign w:val="bottom"/>
            <w:hideMark/>
          </w:tcPr>
          <w:p w14:paraId="28E26EAC" w14:textId="77777777" w:rsidR="00D5224B" w:rsidRPr="00CA2564" w:rsidRDefault="00D5224B" w:rsidP="003B7808">
            <w:pPr>
              <w:spacing w:after="0" w:line="240" w:lineRule="auto"/>
              <w:jc w:val="left"/>
              <w:rPr>
                <w:rFonts w:eastAsia="Times New Roman" w:cs="Times New Roman"/>
                <w:color w:val="000000"/>
                <w:sz w:val="20"/>
                <w:lang w:eastAsia="sk-SK"/>
              </w:rPr>
            </w:pPr>
            <w:r>
              <w:rPr>
                <w:color w:val="000000"/>
                <w:sz w:val="20"/>
              </w:rPr>
              <w:t>Príspevok na bývanie</w:t>
            </w:r>
          </w:p>
        </w:tc>
        <w:tc>
          <w:tcPr>
            <w:tcW w:w="1417" w:type="dxa"/>
            <w:tcBorders>
              <w:top w:val="nil"/>
              <w:left w:val="nil"/>
              <w:bottom w:val="nil"/>
              <w:right w:val="nil"/>
            </w:tcBorders>
            <w:shd w:val="clear" w:color="000000" w:fill="FFFFFF"/>
            <w:noWrap/>
            <w:vAlign w:val="bottom"/>
            <w:hideMark/>
          </w:tcPr>
          <w:p w14:paraId="11BC92CE" w14:textId="77777777" w:rsidR="00D5224B" w:rsidRPr="00A30E57" w:rsidRDefault="00D5224B" w:rsidP="003B7808">
            <w:pPr>
              <w:spacing w:after="0" w:line="240" w:lineRule="auto"/>
              <w:jc w:val="right"/>
              <w:rPr>
                <w:rFonts w:eastAsia="Times New Roman" w:cs="Times New Roman"/>
                <w:color w:val="000000"/>
                <w:sz w:val="20"/>
                <w:lang w:eastAsia="sk-SK"/>
              </w:rPr>
            </w:pPr>
            <w:r>
              <w:rPr>
                <w:color w:val="000000"/>
                <w:sz w:val="20"/>
              </w:rPr>
              <w:t>91,40</w:t>
            </w:r>
          </w:p>
        </w:tc>
        <w:tc>
          <w:tcPr>
            <w:tcW w:w="1418" w:type="dxa"/>
            <w:tcBorders>
              <w:top w:val="nil"/>
              <w:left w:val="nil"/>
              <w:bottom w:val="nil"/>
              <w:right w:val="nil"/>
            </w:tcBorders>
            <w:shd w:val="clear" w:color="000000" w:fill="FFFFFF"/>
            <w:noWrap/>
            <w:vAlign w:val="bottom"/>
            <w:hideMark/>
          </w:tcPr>
          <w:p w14:paraId="0A58B168" w14:textId="77777777" w:rsidR="00D5224B" w:rsidRPr="00A30E57" w:rsidRDefault="00D5224B" w:rsidP="003B7808">
            <w:pPr>
              <w:spacing w:after="0" w:line="240" w:lineRule="auto"/>
              <w:jc w:val="right"/>
              <w:rPr>
                <w:rFonts w:eastAsia="Times New Roman" w:cs="Times New Roman"/>
                <w:color w:val="000000"/>
                <w:sz w:val="20"/>
                <w:lang w:eastAsia="sk-SK"/>
              </w:rPr>
            </w:pPr>
            <w:r>
              <w:rPr>
                <w:color w:val="000000"/>
                <w:sz w:val="20"/>
              </w:rPr>
              <w:t>91,40</w:t>
            </w:r>
          </w:p>
        </w:tc>
        <w:tc>
          <w:tcPr>
            <w:tcW w:w="1417" w:type="dxa"/>
            <w:tcBorders>
              <w:top w:val="nil"/>
              <w:left w:val="nil"/>
              <w:bottom w:val="nil"/>
              <w:right w:val="nil"/>
            </w:tcBorders>
            <w:shd w:val="clear" w:color="000000" w:fill="FFFFFF"/>
            <w:noWrap/>
            <w:vAlign w:val="bottom"/>
            <w:hideMark/>
          </w:tcPr>
          <w:p w14:paraId="079AA655" w14:textId="77777777" w:rsidR="00D5224B" w:rsidRPr="00A30E57" w:rsidRDefault="00D5224B" w:rsidP="003B7808">
            <w:pPr>
              <w:spacing w:after="0" w:line="240" w:lineRule="auto"/>
              <w:jc w:val="right"/>
              <w:rPr>
                <w:rFonts w:eastAsia="Times New Roman" w:cs="Times New Roman"/>
                <w:color w:val="000000"/>
                <w:sz w:val="20"/>
                <w:lang w:eastAsia="sk-SK"/>
              </w:rPr>
            </w:pPr>
            <w:r>
              <w:rPr>
                <w:color w:val="000000"/>
                <w:sz w:val="20"/>
              </w:rPr>
              <w:t>91,40</w:t>
            </w:r>
          </w:p>
        </w:tc>
        <w:tc>
          <w:tcPr>
            <w:tcW w:w="1418" w:type="dxa"/>
            <w:tcBorders>
              <w:top w:val="nil"/>
              <w:left w:val="nil"/>
              <w:bottom w:val="nil"/>
              <w:right w:val="nil"/>
            </w:tcBorders>
            <w:shd w:val="clear" w:color="000000" w:fill="FFFFFF"/>
            <w:noWrap/>
            <w:vAlign w:val="bottom"/>
            <w:hideMark/>
          </w:tcPr>
          <w:p w14:paraId="52EBC7E8" w14:textId="77777777" w:rsidR="00D5224B" w:rsidRPr="00A30E57" w:rsidRDefault="00D5224B" w:rsidP="003B7808">
            <w:pPr>
              <w:spacing w:after="0" w:line="240" w:lineRule="auto"/>
              <w:jc w:val="right"/>
              <w:rPr>
                <w:rFonts w:eastAsia="Times New Roman" w:cs="Times New Roman"/>
                <w:color w:val="000000"/>
                <w:sz w:val="20"/>
                <w:lang w:eastAsia="sk-SK"/>
              </w:rPr>
            </w:pPr>
            <w:r>
              <w:rPr>
                <w:color w:val="000000"/>
                <w:sz w:val="20"/>
              </w:rPr>
              <w:t>91,40</w:t>
            </w:r>
          </w:p>
        </w:tc>
      </w:tr>
      <w:tr w:rsidR="00D5224B" w:rsidRPr="00CA2564" w14:paraId="25A05E1D" w14:textId="77777777" w:rsidTr="003B7808">
        <w:trPr>
          <w:trHeight w:val="284"/>
        </w:trPr>
        <w:tc>
          <w:tcPr>
            <w:tcW w:w="3402" w:type="dxa"/>
            <w:tcBorders>
              <w:top w:val="nil"/>
              <w:left w:val="nil"/>
              <w:bottom w:val="nil"/>
              <w:right w:val="nil"/>
            </w:tcBorders>
            <w:shd w:val="clear" w:color="000000" w:fill="FFFFFF"/>
            <w:noWrap/>
            <w:vAlign w:val="bottom"/>
            <w:hideMark/>
          </w:tcPr>
          <w:p w14:paraId="356CEE59" w14:textId="77777777" w:rsidR="00D5224B" w:rsidRPr="00CA2564" w:rsidRDefault="00D5224B" w:rsidP="003B7808">
            <w:pPr>
              <w:spacing w:after="0" w:line="240" w:lineRule="auto"/>
              <w:jc w:val="left"/>
              <w:rPr>
                <w:rFonts w:eastAsia="Times New Roman" w:cs="Times New Roman"/>
                <w:color w:val="000000"/>
                <w:sz w:val="20"/>
                <w:lang w:eastAsia="sk-SK"/>
              </w:rPr>
            </w:pPr>
            <w:r>
              <w:rPr>
                <w:color w:val="000000"/>
                <w:sz w:val="20"/>
              </w:rPr>
              <w:t>Súčet nárokov na PHN</w:t>
            </w:r>
          </w:p>
        </w:tc>
        <w:tc>
          <w:tcPr>
            <w:tcW w:w="1417" w:type="dxa"/>
            <w:tcBorders>
              <w:top w:val="nil"/>
              <w:left w:val="nil"/>
              <w:bottom w:val="nil"/>
              <w:right w:val="nil"/>
            </w:tcBorders>
            <w:shd w:val="clear" w:color="000000" w:fill="FFFFFF"/>
            <w:noWrap/>
            <w:vAlign w:val="bottom"/>
            <w:hideMark/>
          </w:tcPr>
          <w:p w14:paraId="2F008D4C" w14:textId="77777777" w:rsidR="00D5224B" w:rsidRPr="00A30E57" w:rsidRDefault="00D5224B" w:rsidP="003B7808">
            <w:pPr>
              <w:spacing w:after="0" w:line="240" w:lineRule="auto"/>
              <w:jc w:val="right"/>
              <w:rPr>
                <w:rFonts w:eastAsia="Times New Roman" w:cs="Times New Roman"/>
                <w:color w:val="000000"/>
                <w:sz w:val="20"/>
                <w:lang w:eastAsia="sk-SK"/>
              </w:rPr>
            </w:pPr>
            <w:r>
              <w:rPr>
                <w:color w:val="000000"/>
                <w:sz w:val="20"/>
              </w:rPr>
              <w:t>264,00</w:t>
            </w:r>
          </w:p>
        </w:tc>
        <w:tc>
          <w:tcPr>
            <w:tcW w:w="1418" w:type="dxa"/>
            <w:tcBorders>
              <w:top w:val="nil"/>
              <w:left w:val="nil"/>
              <w:bottom w:val="nil"/>
              <w:right w:val="nil"/>
            </w:tcBorders>
            <w:shd w:val="clear" w:color="000000" w:fill="FFFFFF"/>
            <w:noWrap/>
            <w:vAlign w:val="bottom"/>
            <w:hideMark/>
          </w:tcPr>
          <w:p w14:paraId="43396298" w14:textId="77777777" w:rsidR="00D5224B" w:rsidRPr="00A30E57" w:rsidRDefault="00D5224B" w:rsidP="003B7808">
            <w:pPr>
              <w:spacing w:after="0" w:line="240" w:lineRule="auto"/>
              <w:jc w:val="right"/>
              <w:rPr>
                <w:rFonts w:eastAsia="Times New Roman" w:cs="Times New Roman"/>
                <w:color w:val="000000"/>
                <w:sz w:val="20"/>
                <w:lang w:eastAsia="sk-SK"/>
              </w:rPr>
            </w:pPr>
            <w:r>
              <w:rPr>
                <w:color w:val="000000"/>
                <w:sz w:val="20"/>
              </w:rPr>
              <w:t>399,70</w:t>
            </w:r>
          </w:p>
        </w:tc>
        <w:tc>
          <w:tcPr>
            <w:tcW w:w="1417" w:type="dxa"/>
            <w:tcBorders>
              <w:top w:val="nil"/>
              <w:left w:val="nil"/>
              <w:bottom w:val="nil"/>
              <w:right w:val="nil"/>
            </w:tcBorders>
            <w:shd w:val="clear" w:color="000000" w:fill="FFFFFF"/>
            <w:noWrap/>
            <w:vAlign w:val="bottom"/>
            <w:hideMark/>
          </w:tcPr>
          <w:p w14:paraId="0B882DB9" w14:textId="77777777" w:rsidR="00D5224B" w:rsidRPr="00A30E57" w:rsidRDefault="00D5224B" w:rsidP="003B7808">
            <w:pPr>
              <w:spacing w:after="0" w:line="240" w:lineRule="auto"/>
              <w:jc w:val="right"/>
              <w:rPr>
                <w:rFonts w:eastAsia="Times New Roman" w:cs="Times New Roman"/>
                <w:color w:val="000000"/>
                <w:sz w:val="20"/>
                <w:lang w:eastAsia="sk-SK"/>
              </w:rPr>
            </w:pPr>
            <w:r>
              <w:rPr>
                <w:color w:val="000000"/>
                <w:sz w:val="20"/>
              </w:rPr>
              <w:t>264,00</w:t>
            </w:r>
          </w:p>
        </w:tc>
        <w:tc>
          <w:tcPr>
            <w:tcW w:w="1418" w:type="dxa"/>
            <w:tcBorders>
              <w:top w:val="nil"/>
              <w:left w:val="nil"/>
              <w:bottom w:val="nil"/>
              <w:right w:val="nil"/>
            </w:tcBorders>
            <w:shd w:val="clear" w:color="000000" w:fill="FFFFFF"/>
            <w:noWrap/>
            <w:vAlign w:val="bottom"/>
            <w:hideMark/>
          </w:tcPr>
          <w:p w14:paraId="024ED725" w14:textId="77777777" w:rsidR="00D5224B" w:rsidRPr="00A30E57" w:rsidRDefault="00D5224B" w:rsidP="003B7808">
            <w:pPr>
              <w:spacing w:after="0" w:line="240" w:lineRule="auto"/>
              <w:jc w:val="right"/>
              <w:rPr>
                <w:rFonts w:eastAsia="Times New Roman" w:cs="Times New Roman"/>
                <w:color w:val="000000"/>
                <w:sz w:val="20"/>
                <w:lang w:eastAsia="sk-SK"/>
              </w:rPr>
            </w:pPr>
            <w:r>
              <w:rPr>
                <w:color w:val="000000"/>
                <w:sz w:val="20"/>
              </w:rPr>
              <w:t>399,70</w:t>
            </w:r>
          </w:p>
        </w:tc>
      </w:tr>
      <w:tr w:rsidR="00D5224B" w:rsidRPr="00CA2564" w14:paraId="7C0E0F1F" w14:textId="77777777" w:rsidTr="003B7808">
        <w:trPr>
          <w:trHeight w:val="284"/>
        </w:trPr>
        <w:tc>
          <w:tcPr>
            <w:tcW w:w="3402" w:type="dxa"/>
            <w:tcBorders>
              <w:top w:val="nil"/>
              <w:left w:val="nil"/>
              <w:bottom w:val="nil"/>
              <w:right w:val="nil"/>
            </w:tcBorders>
            <w:shd w:val="clear" w:color="000000" w:fill="FFFFFF"/>
            <w:noWrap/>
            <w:vAlign w:val="bottom"/>
          </w:tcPr>
          <w:p w14:paraId="144756CE" w14:textId="77777777" w:rsidR="00D5224B" w:rsidRPr="00CA2564" w:rsidRDefault="00D5224B" w:rsidP="003B7808">
            <w:pPr>
              <w:spacing w:after="0" w:line="240" w:lineRule="auto"/>
              <w:jc w:val="left"/>
              <w:rPr>
                <w:rFonts w:eastAsia="Times New Roman" w:cs="Times New Roman"/>
                <w:color w:val="000000"/>
                <w:sz w:val="20"/>
                <w:lang w:eastAsia="sk-SK"/>
              </w:rPr>
            </w:pPr>
            <w:r>
              <w:rPr>
                <w:color w:val="000000"/>
                <w:sz w:val="20"/>
              </w:rPr>
              <w:t>Súčet nárokov na PHN po zohľadnení príjmu z práce</w:t>
            </w:r>
            <w:r>
              <w:rPr>
                <w:rStyle w:val="Odkaznapoznmkupodiarou"/>
                <w:color w:val="000000"/>
                <w:sz w:val="20"/>
              </w:rPr>
              <w:footnoteReference w:id="547"/>
            </w:r>
          </w:p>
        </w:tc>
        <w:tc>
          <w:tcPr>
            <w:tcW w:w="1417" w:type="dxa"/>
            <w:tcBorders>
              <w:top w:val="nil"/>
              <w:left w:val="nil"/>
              <w:bottom w:val="nil"/>
              <w:right w:val="nil"/>
            </w:tcBorders>
            <w:shd w:val="clear" w:color="000000" w:fill="FFFFFF"/>
            <w:noWrap/>
            <w:vAlign w:val="bottom"/>
          </w:tcPr>
          <w:p w14:paraId="0FD9E645" w14:textId="77777777" w:rsidR="00D5224B" w:rsidRPr="00D3189B" w:rsidRDefault="00D5224B" w:rsidP="003B7808">
            <w:pPr>
              <w:spacing w:after="0" w:line="240" w:lineRule="auto"/>
              <w:jc w:val="right"/>
              <w:rPr>
                <w:color w:val="000000"/>
                <w:sz w:val="20"/>
              </w:rPr>
            </w:pPr>
            <w:r>
              <w:rPr>
                <w:color w:val="000000"/>
                <w:sz w:val="20"/>
              </w:rPr>
              <w:t>264,00</w:t>
            </w:r>
          </w:p>
        </w:tc>
        <w:tc>
          <w:tcPr>
            <w:tcW w:w="1418" w:type="dxa"/>
            <w:tcBorders>
              <w:top w:val="nil"/>
              <w:left w:val="nil"/>
              <w:bottom w:val="nil"/>
              <w:right w:val="nil"/>
            </w:tcBorders>
            <w:shd w:val="clear" w:color="000000" w:fill="FFFFFF"/>
            <w:noWrap/>
            <w:vAlign w:val="bottom"/>
          </w:tcPr>
          <w:p w14:paraId="356398D8" w14:textId="77777777" w:rsidR="00D5224B" w:rsidRPr="00D3189B" w:rsidRDefault="00D5224B" w:rsidP="003B7808">
            <w:pPr>
              <w:spacing w:after="0" w:line="240" w:lineRule="auto"/>
              <w:jc w:val="right"/>
              <w:rPr>
                <w:color w:val="000000"/>
                <w:sz w:val="20"/>
              </w:rPr>
            </w:pPr>
            <w:r>
              <w:rPr>
                <w:color w:val="000000"/>
                <w:sz w:val="20"/>
              </w:rPr>
              <w:t>269,11</w:t>
            </w:r>
          </w:p>
        </w:tc>
        <w:tc>
          <w:tcPr>
            <w:tcW w:w="1417" w:type="dxa"/>
            <w:tcBorders>
              <w:top w:val="nil"/>
              <w:left w:val="nil"/>
              <w:bottom w:val="nil"/>
              <w:right w:val="nil"/>
            </w:tcBorders>
            <w:shd w:val="clear" w:color="000000" w:fill="FFFFFF"/>
            <w:noWrap/>
            <w:vAlign w:val="bottom"/>
          </w:tcPr>
          <w:p w14:paraId="48EB5DA7" w14:textId="77777777" w:rsidR="00D5224B" w:rsidRPr="00D3189B" w:rsidRDefault="00D5224B" w:rsidP="003B7808">
            <w:pPr>
              <w:spacing w:after="0" w:line="240" w:lineRule="auto"/>
              <w:jc w:val="right"/>
              <w:rPr>
                <w:color w:val="000000"/>
                <w:sz w:val="20"/>
              </w:rPr>
            </w:pPr>
            <w:r>
              <w:rPr>
                <w:color w:val="000000"/>
                <w:sz w:val="20"/>
              </w:rPr>
              <w:t>264,00</w:t>
            </w:r>
          </w:p>
        </w:tc>
        <w:tc>
          <w:tcPr>
            <w:tcW w:w="1418" w:type="dxa"/>
            <w:tcBorders>
              <w:top w:val="nil"/>
              <w:left w:val="nil"/>
              <w:bottom w:val="nil"/>
              <w:right w:val="nil"/>
            </w:tcBorders>
            <w:shd w:val="clear" w:color="000000" w:fill="FFFFFF"/>
            <w:noWrap/>
            <w:vAlign w:val="bottom"/>
          </w:tcPr>
          <w:p w14:paraId="08749894" w14:textId="77777777" w:rsidR="00D5224B" w:rsidRPr="00D3189B" w:rsidRDefault="00D5224B" w:rsidP="003B7808">
            <w:pPr>
              <w:spacing w:after="0" w:line="240" w:lineRule="auto"/>
              <w:jc w:val="right"/>
              <w:rPr>
                <w:color w:val="000000"/>
                <w:sz w:val="20"/>
              </w:rPr>
            </w:pPr>
            <w:r>
              <w:rPr>
                <w:color w:val="000000"/>
                <w:sz w:val="20"/>
              </w:rPr>
              <w:t>269,11</w:t>
            </w:r>
          </w:p>
        </w:tc>
      </w:tr>
      <w:tr w:rsidR="00D5224B" w:rsidRPr="00CA2564" w14:paraId="619B61D1" w14:textId="77777777" w:rsidTr="003B7808">
        <w:trPr>
          <w:trHeight w:val="284"/>
        </w:trPr>
        <w:tc>
          <w:tcPr>
            <w:tcW w:w="3402" w:type="dxa"/>
            <w:tcBorders>
              <w:top w:val="nil"/>
              <w:left w:val="nil"/>
              <w:bottom w:val="nil"/>
              <w:right w:val="nil"/>
            </w:tcBorders>
            <w:shd w:val="clear" w:color="000000" w:fill="FFFFFF"/>
            <w:noWrap/>
            <w:vAlign w:val="bottom"/>
          </w:tcPr>
          <w:p w14:paraId="426722A8" w14:textId="77777777" w:rsidR="00D5224B" w:rsidRPr="00CA2564" w:rsidRDefault="00D5224B" w:rsidP="003B7808">
            <w:pPr>
              <w:spacing w:after="0" w:line="240" w:lineRule="auto"/>
              <w:jc w:val="left"/>
              <w:rPr>
                <w:rFonts w:eastAsia="Times New Roman" w:cs="Times New Roman"/>
                <w:color w:val="000000"/>
                <w:sz w:val="20"/>
                <w:lang w:eastAsia="sk-SK"/>
              </w:rPr>
            </w:pPr>
            <w:r>
              <w:rPr>
                <w:color w:val="000000"/>
                <w:sz w:val="20"/>
              </w:rPr>
              <w:t>a. Súčet nárokov na PHN po zohľadnení príjmu a RP</w:t>
            </w:r>
          </w:p>
        </w:tc>
        <w:tc>
          <w:tcPr>
            <w:tcW w:w="1417" w:type="dxa"/>
            <w:tcBorders>
              <w:top w:val="nil"/>
              <w:left w:val="nil"/>
              <w:bottom w:val="nil"/>
              <w:right w:val="nil"/>
            </w:tcBorders>
            <w:shd w:val="clear" w:color="000000" w:fill="FFFFFF"/>
            <w:noWrap/>
            <w:vAlign w:val="bottom"/>
          </w:tcPr>
          <w:p w14:paraId="09A94D64" w14:textId="77777777" w:rsidR="00D5224B" w:rsidRPr="00D3189B" w:rsidRDefault="00D5224B" w:rsidP="003B7808">
            <w:pPr>
              <w:spacing w:after="0" w:line="240" w:lineRule="auto"/>
              <w:jc w:val="right"/>
              <w:rPr>
                <w:color w:val="000000"/>
                <w:sz w:val="20"/>
              </w:rPr>
            </w:pPr>
            <w:r>
              <w:rPr>
                <w:color w:val="000000"/>
                <w:sz w:val="20"/>
              </w:rPr>
              <w:t>0,00</w:t>
            </w:r>
          </w:p>
        </w:tc>
        <w:tc>
          <w:tcPr>
            <w:tcW w:w="1418" w:type="dxa"/>
            <w:tcBorders>
              <w:top w:val="nil"/>
              <w:left w:val="nil"/>
              <w:bottom w:val="nil"/>
              <w:right w:val="nil"/>
            </w:tcBorders>
            <w:shd w:val="clear" w:color="000000" w:fill="FFFFFF"/>
            <w:noWrap/>
            <w:vAlign w:val="bottom"/>
          </w:tcPr>
          <w:p w14:paraId="3F0ABE4F" w14:textId="77777777" w:rsidR="00D5224B" w:rsidRPr="00D3189B" w:rsidRDefault="00D5224B" w:rsidP="003B7808">
            <w:pPr>
              <w:spacing w:after="0" w:line="240" w:lineRule="auto"/>
              <w:jc w:val="right"/>
              <w:rPr>
                <w:color w:val="000000"/>
                <w:sz w:val="20"/>
              </w:rPr>
            </w:pPr>
            <w:r>
              <w:rPr>
                <w:color w:val="000000"/>
                <w:sz w:val="20"/>
              </w:rPr>
              <w:t>0,00</w:t>
            </w:r>
          </w:p>
        </w:tc>
        <w:tc>
          <w:tcPr>
            <w:tcW w:w="1417" w:type="dxa"/>
            <w:tcBorders>
              <w:top w:val="nil"/>
              <w:left w:val="nil"/>
              <w:bottom w:val="nil"/>
              <w:right w:val="nil"/>
            </w:tcBorders>
            <w:shd w:val="clear" w:color="000000" w:fill="FFFFFF"/>
            <w:noWrap/>
            <w:vAlign w:val="bottom"/>
          </w:tcPr>
          <w:p w14:paraId="1A33B365" w14:textId="77777777" w:rsidR="00D5224B" w:rsidRPr="00D3189B" w:rsidRDefault="00D5224B" w:rsidP="003B7808">
            <w:pPr>
              <w:spacing w:after="0" w:line="240" w:lineRule="auto"/>
              <w:jc w:val="right"/>
              <w:rPr>
                <w:color w:val="000000"/>
                <w:sz w:val="20"/>
              </w:rPr>
            </w:pPr>
            <w:r>
              <w:rPr>
                <w:color w:val="000000"/>
                <w:sz w:val="20"/>
              </w:rPr>
              <w:t>264,00</w:t>
            </w:r>
          </w:p>
        </w:tc>
        <w:tc>
          <w:tcPr>
            <w:tcW w:w="1418" w:type="dxa"/>
            <w:tcBorders>
              <w:top w:val="nil"/>
              <w:left w:val="nil"/>
              <w:bottom w:val="nil"/>
              <w:right w:val="nil"/>
            </w:tcBorders>
            <w:shd w:val="clear" w:color="000000" w:fill="FFFFFF"/>
            <w:noWrap/>
            <w:vAlign w:val="bottom"/>
          </w:tcPr>
          <w:p w14:paraId="4C75E33C" w14:textId="77777777" w:rsidR="00D5224B" w:rsidRPr="00D3189B" w:rsidRDefault="00D5224B" w:rsidP="003B7808">
            <w:pPr>
              <w:spacing w:after="0" w:line="240" w:lineRule="auto"/>
              <w:jc w:val="right"/>
              <w:rPr>
                <w:color w:val="000000"/>
                <w:sz w:val="20"/>
              </w:rPr>
            </w:pPr>
            <w:r>
              <w:rPr>
                <w:color w:val="000000"/>
                <w:sz w:val="20"/>
              </w:rPr>
              <w:t>269,11</w:t>
            </w:r>
          </w:p>
        </w:tc>
      </w:tr>
      <w:tr w:rsidR="00D5224B" w:rsidRPr="00CA2564" w14:paraId="37514DB5" w14:textId="77777777" w:rsidTr="003B7808">
        <w:trPr>
          <w:trHeight w:val="284"/>
        </w:trPr>
        <w:tc>
          <w:tcPr>
            <w:tcW w:w="3402" w:type="dxa"/>
            <w:tcBorders>
              <w:top w:val="nil"/>
              <w:left w:val="nil"/>
              <w:bottom w:val="nil"/>
              <w:right w:val="nil"/>
            </w:tcBorders>
            <w:shd w:val="clear" w:color="000000" w:fill="FFFFFF"/>
            <w:noWrap/>
            <w:vAlign w:val="bottom"/>
            <w:hideMark/>
          </w:tcPr>
          <w:p w14:paraId="210473C8" w14:textId="77777777" w:rsidR="00D5224B" w:rsidRPr="00CA2564" w:rsidRDefault="00D5224B" w:rsidP="003B7808">
            <w:pPr>
              <w:spacing w:after="0" w:line="240" w:lineRule="auto"/>
              <w:jc w:val="left"/>
              <w:rPr>
                <w:rFonts w:eastAsia="Times New Roman" w:cs="Times New Roman"/>
                <w:color w:val="000000"/>
                <w:sz w:val="20"/>
                <w:lang w:eastAsia="sk-SK"/>
              </w:rPr>
            </w:pPr>
            <w:r>
              <w:rPr>
                <w:color w:val="000000"/>
                <w:sz w:val="20"/>
              </w:rPr>
              <w:t>b. Osobitný príspevok (OP)</w:t>
            </w:r>
          </w:p>
        </w:tc>
        <w:tc>
          <w:tcPr>
            <w:tcW w:w="1417" w:type="dxa"/>
            <w:tcBorders>
              <w:top w:val="nil"/>
              <w:left w:val="nil"/>
              <w:bottom w:val="nil"/>
              <w:right w:val="nil"/>
            </w:tcBorders>
            <w:shd w:val="clear" w:color="000000" w:fill="FFFFFF"/>
            <w:noWrap/>
            <w:vAlign w:val="bottom"/>
            <w:hideMark/>
          </w:tcPr>
          <w:p w14:paraId="42DA85DD" w14:textId="77777777" w:rsidR="00D5224B" w:rsidRPr="00A30E57" w:rsidRDefault="00D5224B" w:rsidP="003B7808">
            <w:pPr>
              <w:spacing w:after="0" w:line="240" w:lineRule="auto"/>
              <w:jc w:val="right"/>
              <w:rPr>
                <w:rFonts w:eastAsia="Times New Roman" w:cs="Times New Roman"/>
                <w:color w:val="000000"/>
                <w:sz w:val="20"/>
                <w:lang w:eastAsia="sk-SK"/>
              </w:rPr>
            </w:pPr>
            <w:r>
              <w:rPr>
                <w:color w:val="000000"/>
                <w:sz w:val="20"/>
              </w:rPr>
              <w:t>0,00</w:t>
            </w:r>
          </w:p>
        </w:tc>
        <w:tc>
          <w:tcPr>
            <w:tcW w:w="1418" w:type="dxa"/>
            <w:tcBorders>
              <w:top w:val="nil"/>
              <w:left w:val="nil"/>
              <w:bottom w:val="nil"/>
              <w:right w:val="nil"/>
            </w:tcBorders>
            <w:shd w:val="clear" w:color="000000" w:fill="FFFFFF"/>
            <w:noWrap/>
            <w:vAlign w:val="bottom"/>
            <w:hideMark/>
          </w:tcPr>
          <w:p w14:paraId="544E50B1" w14:textId="77777777" w:rsidR="00D5224B" w:rsidRPr="00A30E57" w:rsidRDefault="00D5224B" w:rsidP="003B7808">
            <w:pPr>
              <w:spacing w:after="0" w:line="240" w:lineRule="auto"/>
              <w:jc w:val="right"/>
              <w:rPr>
                <w:rFonts w:eastAsia="Times New Roman" w:cs="Times New Roman"/>
                <w:color w:val="000000"/>
                <w:sz w:val="20"/>
                <w:lang w:eastAsia="sk-SK"/>
              </w:rPr>
            </w:pPr>
            <w:r>
              <w:rPr>
                <w:color w:val="000000"/>
                <w:sz w:val="20"/>
              </w:rPr>
              <w:t>0,00</w:t>
            </w:r>
          </w:p>
        </w:tc>
        <w:tc>
          <w:tcPr>
            <w:tcW w:w="1417" w:type="dxa"/>
            <w:tcBorders>
              <w:top w:val="nil"/>
              <w:left w:val="nil"/>
              <w:bottom w:val="nil"/>
              <w:right w:val="nil"/>
            </w:tcBorders>
            <w:shd w:val="clear" w:color="000000" w:fill="FFFFFF"/>
            <w:noWrap/>
            <w:vAlign w:val="bottom"/>
            <w:hideMark/>
          </w:tcPr>
          <w:p w14:paraId="5B7A753C" w14:textId="77777777" w:rsidR="00D5224B" w:rsidRPr="00A30E57" w:rsidRDefault="00D5224B" w:rsidP="003B7808">
            <w:pPr>
              <w:spacing w:after="0" w:line="240" w:lineRule="auto"/>
              <w:jc w:val="right"/>
              <w:rPr>
                <w:rFonts w:eastAsia="Times New Roman" w:cs="Times New Roman"/>
                <w:color w:val="000000"/>
                <w:sz w:val="20"/>
                <w:lang w:eastAsia="sk-SK"/>
              </w:rPr>
            </w:pPr>
            <w:r>
              <w:rPr>
                <w:color w:val="000000"/>
                <w:sz w:val="20"/>
              </w:rPr>
              <w:t>0,00</w:t>
            </w:r>
          </w:p>
        </w:tc>
        <w:tc>
          <w:tcPr>
            <w:tcW w:w="1418" w:type="dxa"/>
            <w:tcBorders>
              <w:top w:val="nil"/>
              <w:left w:val="nil"/>
              <w:bottom w:val="nil"/>
              <w:right w:val="nil"/>
            </w:tcBorders>
            <w:shd w:val="clear" w:color="000000" w:fill="FFFFFF"/>
            <w:noWrap/>
            <w:vAlign w:val="bottom"/>
            <w:hideMark/>
          </w:tcPr>
          <w:p w14:paraId="03F05DF6" w14:textId="77777777" w:rsidR="00D5224B" w:rsidRPr="00A30E57" w:rsidRDefault="00D5224B" w:rsidP="003B7808">
            <w:pPr>
              <w:spacing w:after="0" w:line="240" w:lineRule="auto"/>
              <w:jc w:val="right"/>
              <w:rPr>
                <w:rFonts w:eastAsia="Times New Roman" w:cs="Times New Roman"/>
                <w:color w:val="000000"/>
                <w:sz w:val="20"/>
                <w:lang w:eastAsia="sk-SK"/>
              </w:rPr>
            </w:pPr>
            <w:r>
              <w:rPr>
                <w:color w:val="000000"/>
                <w:sz w:val="20"/>
              </w:rPr>
              <w:t>126,14</w:t>
            </w:r>
          </w:p>
        </w:tc>
      </w:tr>
      <w:tr w:rsidR="00D5224B" w:rsidRPr="00CA2564" w14:paraId="15DAB552" w14:textId="77777777" w:rsidTr="003B7808">
        <w:trPr>
          <w:trHeight w:val="284"/>
        </w:trPr>
        <w:tc>
          <w:tcPr>
            <w:tcW w:w="3402" w:type="dxa"/>
            <w:tcBorders>
              <w:top w:val="nil"/>
              <w:left w:val="nil"/>
              <w:bottom w:val="nil"/>
              <w:right w:val="nil"/>
            </w:tcBorders>
            <w:shd w:val="clear" w:color="000000" w:fill="FFFFFF"/>
            <w:noWrap/>
            <w:vAlign w:val="bottom"/>
            <w:hideMark/>
          </w:tcPr>
          <w:p w14:paraId="451EDA17" w14:textId="77777777" w:rsidR="00D5224B" w:rsidRPr="00CA2564" w:rsidRDefault="00D5224B" w:rsidP="003B7808">
            <w:pPr>
              <w:spacing w:after="0" w:line="240" w:lineRule="auto"/>
              <w:jc w:val="left"/>
              <w:rPr>
                <w:rFonts w:eastAsia="Times New Roman" w:cs="Times New Roman"/>
                <w:color w:val="000000"/>
                <w:sz w:val="20"/>
                <w:lang w:eastAsia="sk-SK"/>
              </w:rPr>
            </w:pPr>
            <w:r>
              <w:rPr>
                <w:color w:val="000000"/>
                <w:sz w:val="20"/>
              </w:rPr>
              <w:t>c. Prídavok na dieťa</w:t>
            </w:r>
          </w:p>
        </w:tc>
        <w:tc>
          <w:tcPr>
            <w:tcW w:w="1417" w:type="dxa"/>
            <w:tcBorders>
              <w:top w:val="nil"/>
              <w:left w:val="nil"/>
              <w:bottom w:val="nil"/>
              <w:right w:val="nil"/>
            </w:tcBorders>
            <w:shd w:val="clear" w:color="000000" w:fill="FFFFFF"/>
            <w:noWrap/>
            <w:vAlign w:val="bottom"/>
            <w:hideMark/>
          </w:tcPr>
          <w:p w14:paraId="4BA18D2E" w14:textId="77777777" w:rsidR="00D5224B" w:rsidRPr="00A30E57" w:rsidRDefault="00D5224B" w:rsidP="003B7808">
            <w:pPr>
              <w:spacing w:after="0" w:line="240" w:lineRule="auto"/>
              <w:jc w:val="right"/>
              <w:rPr>
                <w:rFonts w:eastAsia="Times New Roman" w:cs="Times New Roman"/>
                <w:color w:val="000000"/>
                <w:sz w:val="20"/>
                <w:lang w:eastAsia="sk-SK"/>
              </w:rPr>
            </w:pPr>
            <w:r>
              <w:rPr>
                <w:color w:val="000000"/>
                <w:sz w:val="20"/>
              </w:rPr>
              <w:t>24,95</w:t>
            </w:r>
          </w:p>
        </w:tc>
        <w:tc>
          <w:tcPr>
            <w:tcW w:w="1418" w:type="dxa"/>
            <w:tcBorders>
              <w:top w:val="nil"/>
              <w:left w:val="nil"/>
              <w:bottom w:val="nil"/>
              <w:right w:val="nil"/>
            </w:tcBorders>
            <w:shd w:val="clear" w:color="000000" w:fill="FFFFFF"/>
            <w:noWrap/>
            <w:vAlign w:val="bottom"/>
            <w:hideMark/>
          </w:tcPr>
          <w:p w14:paraId="0FB1FBF9" w14:textId="77777777" w:rsidR="00D5224B" w:rsidRPr="00A30E57" w:rsidRDefault="00D5224B" w:rsidP="003B7808">
            <w:pPr>
              <w:spacing w:after="0" w:line="240" w:lineRule="auto"/>
              <w:jc w:val="right"/>
              <w:rPr>
                <w:rFonts w:eastAsia="Times New Roman" w:cs="Times New Roman"/>
                <w:color w:val="000000"/>
                <w:sz w:val="20"/>
                <w:lang w:eastAsia="sk-SK"/>
              </w:rPr>
            </w:pPr>
            <w:r>
              <w:rPr>
                <w:color w:val="000000"/>
                <w:sz w:val="20"/>
              </w:rPr>
              <w:t>24,95</w:t>
            </w:r>
          </w:p>
        </w:tc>
        <w:tc>
          <w:tcPr>
            <w:tcW w:w="1417" w:type="dxa"/>
            <w:tcBorders>
              <w:top w:val="nil"/>
              <w:left w:val="nil"/>
              <w:bottom w:val="nil"/>
              <w:right w:val="nil"/>
            </w:tcBorders>
            <w:shd w:val="clear" w:color="000000" w:fill="FFFFFF"/>
            <w:noWrap/>
            <w:vAlign w:val="bottom"/>
            <w:hideMark/>
          </w:tcPr>
          <w:p w14:paraId="3A1C4644" w14:textId="77777777" w:rsidR="00D5224B" w:rsidRPr="00A30E57" w:rsidRDefault="00D5224B" w:rsidP="003B7808">
            <w:pPr>
              <w:spacing w:after="0" w:line="240" w:lineRule="auto"/>
              <w:jc w:val="right"/>
              <w:rPr>
                <w:rFonts w:eastAsia="Times New Roman" w:cs="Times New Roman"/>
                <w:color w:val="000000"/>
                <w:sz w:val="20"/>
                <w:lang w:eastAsia="sk-SK"/>
              </w:rPr>
            </w:pPr>
            <w:r>
              <w:rPr>
                <w:color w:val="000000"/>
                <w:sz w:val="20"/>
              </w:rPr>
              <w:t>24,95</w:t>
            </w:r>
          </w:p>
        </w:tc>
        <w:tc>
          <w:tcPr>
            <w:tcW w:w="1418" w:type="dxa"/>
            <w:tcBorders>
              <w:top w:val="nil"/>
              <w:left w:val="nil"/>
              <w:bottom w:val="nil"/>
              <w:right w:val="nil"/>
            </w:tcBorders>
            <w:shd w:val="clear" w:color="000000" w:fill="FFFFFF"/>
            <w:noWrap/>
            <w:vAlign w:val="bottom"/>
            <w:hideMark/>
          </w:tcPr>
          <w:p w14:paraId="69C06B21" w14:textId="77777777" w:rsidR="00D5224B" w:rsidRPr="00A30E57" w:rsidRDefault="00D5224B" w:rsidP="003B7808">
            <w:pPr>
              <w:spacing w:after="0" w:line="240" w:lineRule="auto"/>
              <w:jc w:val="right"/>
              <w:rPr>
                <w:rFonts w:eastAsia="Times New Roman" w:cs="Times New Roman"/>
                <w:color w:val="000000"/>
                <w:sz w:val="20"/>
                <w:lang w:eastAsia="sk-SK"/>
              </w:rPr>
            </w:pPr>
            <w:r>
              <w:rPr>
                <w:color w:val="000000"/>
                <w:sz w:val="20"/>
              </w:rPr>
              <w:t>24,95</w:t>
            </w:r>
          </w:p>
        </w:tc>
      </w:tr>
      <w:tr w:rsidR="00D5224B" w:rsidRPr="00CA2564" w14:paraId="36E80902" w14:textId="77777777" w:rsidTr="003B7808">
        <w:trPr>
          <w:trHeight w:val="284"/>
        </w:trPr>
        <w:tc>
          <w:tcPr>
            <w:tcW w:w="3402" w:type="dxa"/>
            <w:tcBorders>
              <w:top w:val="nil"/>
              <w:left w:val="nil"/>
              <w:bottom w:val="nil"/>
              <w:right w:val="nil"/>
            </w:tcBorders>
            <w:shd w:val="clear" w:color="000000" w:fill="FFFFFF"/>
            <w:noWrap/>
            <w:vAlign w:val="bottom"/>
            <w:hideMark/>
          </w:tcPr>
          <w:p w14:paraId="026AC696" w14:textId="77777777" w:rsidR="00D5224B" w:rsidRPr="00CA2564" w:rsidRDefault="00D5224B" w:rsidP="003B7808">
            <w:pPr>
              <w:spacing w:after="0" w:line="240" w:lineRule="auto"/>
              <w:jc w:val="left"/>
              <w:rPr>
                <w:rFonts w:eastAsia="Times New Roman" w:cs="Times New Roman"/>
                <w:color w:val="000000"/>
                <w:sz w:val="20"/>
                <w:lang w:eastAsia="sk-SK"/>
              </w:rPr>
            </w:pPr>
            <w:r>
              <w:rPr>
                <w:color w:val="000000"/>
                <w:sz w:val="20"/>
              </w:rPr>
              <w:t>d. Rodičovský príspevok (RP)</w:t>
            </w:r>
          </w:p>
        </w:tc>
        <w:tc>
          <w:tcPr>
            <w:tcW w:w="1417" w:type="dxa"/>
            <w:tcBorders>
              <w:top w:val="nil"/>
              <w:left w:val="nil"/>
              <w:bottom w:val="nil"/>
              <w:right w:val="nil"/>
            </w:tcBorders>
            <w:shd w:val="clear" w:color="000000" w:fill="FFFFFF"/>
            <w:noWrap/>
            <w:vAlign w:val="bottom"/>
            <w:hideMark/>
          </w:tcPr>
          <w:p w14:paraId="55511A05" w14:textId="77777777" w:rsidR="00D5224B" w:rsidRPr="00A30E57" w:rsidRDefault="00D5224B" w:rsidP="003B7808">
            <w:pPr>
              <w:spacing w:after="0" w:line="240" w:lineRule="auto"/>
              <w:jc w:val="right"/>
              <w:rPr>
                <w:rFonts w:eastAsia="Times New Roman" w:cs="Times New Roman"/>
                <w:color w:val="000000"/>
                <w:sz w:val="20"/>
                <w:lang w:eastAsia="sk-SK"/>
              </w:rPr>
            </w:pPr>
            <w:r>
              <w:rPr>
                <w:color w:val="000000"/>
                <w:sz w:val="20"/>
              </w:rPr>
              <w:t>270,00</w:t>
            </w:r>
          </w:p>
        </w:tc>
        <w:tc>
          <w:tcPr>
            <w:tcW w:w="1418" w:type="dxa"/>
            <w:tcBorders>
              <w:top w:val="nil"/>
              <w:left w:val="nil"/>
              <w:bottom w:val="nil"/>
              <w:right w:val="nil"/>
            </w:tcBorders>
            <w:shd w:val="clear" w:color="000000" w:fill="FFFFFF"/>
            <w:noWrap/>
            <w:vAlign w:val="bottom"/>
            <w:hideMark/>
          </w:tcPr>
          <w:p w14:paraId="23600E22" w14:textId="77777777" w:rsidR="00D5224B" w:rsidRPr="00A30E57" w:rsidRDefault="00D5224B" w:rsidP="003B7808">
            <w:pPr>
              <w:spacing w:after="0" w:line="240" w:lineRule="auto"/>
              <w:jc w:val="right"/>
              <w:rPr>
                <w:rFonts w:eastAsia="Times New Roman" w:cs="Times New Roman"/>
                <w:color w:val="000000"/>
                <w:sz w:val="20"/>
                <w:lang w:eastAsia="sk-SK"/>
              </w:rPr>
            </w:pPr>
            <w:r>
              <w:rPr>
                <w:color w:val="000000"/>
                <w:sz w:val="20"/>
              </w:rPr>
              <w:t>270,00</w:t>
            </w:r>
          </w:p>
        </w:tc>
        <w:tc>
          <w:tcPr>
            <w:tcW w:w="1417" w:type="dxa"/>
            <w:tcBorders>
              <w:top w:val="nil"/>
              <w:left w:val="nil"/>
              <w:bottom w:val="nil"/>
              <w:right w:val="nil"/>
            </w:tcBorders>
            <w:shd w:val="clear" w:color="000000" w:fill="FFFFFF"/>
            <w:noWrap/>
            <w:vAlign w:val="bottom"/>
            <w:hideMark/>
          </w:tcPr>
          <w:p w14:paraId="370AF070" w14:textId="77777777" w:rsidR="00D5224B" w:rsidRPr="00A30E57" w:rsidRDefault="00D5224B" w:rsidP="003B7808">
            <w:pPr>
              <w:spacing w:after="0" w:line="240" w:lineRule="auto"/>
              <w:jc w:val="right"/>
              <w:rPr>
                <w:rFonts w:eastAsia="Times New Roman" w:cs="Times New Roman"/>
                <w:color w:val="000000"/>
                <w:sz w:val="20"/>
                <w:lang w:eastAsia="sk-SK"/>
              </w:rPr>
            </w:pPr>
            <w:r>
              <w:rPr>
                <w:color w:val="000000"/>
                <w:sz w:val="20"/>
              </w:rPr>
              <w:t>0,00</w:t>
            </w:r>
          </w:p>
        </w:tc>
        <w:tc>
          <w:tcPr>
            <w:tcW w:w="1418" w:type="dxa"/>
            <w:tcBorders>
              <w:top w:val="nil"/>
              <w:left w:val="nil"/>
              <w:bottom w:val="nil"/>
              <w:right w:val="nil"/>
            </w:tcBorders>
            <w:shd w:val="clear" w:color="000000" w:fill="FFFFFF"/>
            <w:noWrap/>
            <w:vAlign w:val="bottom"/>
            <w:hideMark/>
          </w:tcPr>
          <w:p w14:paraId="39B6DA78" w14:textId="77777777" w:rsidR="00D5224B" w:rsidRPr="00A30E57" w:rsidRDefault="00D5224B" w:rsidP="003B7808">
            <w:pPr>
              <w:spacing w:after="0" w:line="240" w:lineRule="auto"/>
              <w:jc w:val="right"/>
              <w:rPr>
                <w:rFonts w:eastAsia="Times New Roman" w:cs="Times New Roman"/>
                <w:color w:val="000000"/>
                <w:sz w:val="20"/>
                <w:lang w:eastAsia="sk-SK"/>
              </w:rPr>
            </w:pPr>
            <w:r>
              <w:rPr>
                <w:color w:val="000000"/>
                <w:sz w:val="20"/>
              </w:rPr>
              <w:t>0,00</w:t>
            </w:r>
          </w:p>
        </w:tc>
      </w:tr>
      <w:tr w:rsidR="00D5224B" w:rsidRPr="00CA2564" w14:paraId="01EFCE09" w14:textId="77777777" w:rsidTr="00A640A7">
        <w:trPr>
          <w:trHeight w:val="284"/>
        </w:trPr>
        <w:tc>
          <w:tcPr>
            <w:tcW w:w="3402" w:type="dxa"/>
            <w:tcBorders>
              <w:top w:val="nil"/>
              <w:left w:val="nil"/>
              <w:right w:val="nil"/>
            </w:tcBorders>
            <w:shd w:val="clear" w:color="000000" w:fill="FFFFFF"/>
            <w:noWrap/>
            <w:vAlign w:val="bottom"/>
            <w:hideMark/>
          </w:tcPr>
          <w:p w14:paraId="7EAE5C47" w14:textId="77777777" w:rsidR="00D5224B" w:rsidRPr="00CA2564" w:rsidRDefault="00D5224B" w:rsidP="003B7808">
            <w:pPr>
              <w:spacing w:after="0" w:line="240" w:lineRule="auto"/>
              <w:jc w:val="left"/>
              <w:rPr>
                <w:rFonts w:eastAsia="Times New Roman" w:cs="Times New Roman"/>
                <w:color w:val="000000"/>
                <w:sz w:val="20"/>
                <w:lang w:eastAsia="sk-SK"/>
              </w:rPr>
            </w:pPr>
            <w:r>
              <w:rPr>
                <w:color w:val="000000"/>
                <w:sz w:val="20"/>
              </w:rPr>
              <w:t>e. Čistý príjem z práce</w:t>
            </w:r>
          </w:p>
        </w:tc>
        <w:tc>
          <w:tcPr>
            <w:tcW w:w="1417" w:type="dxa"/>
            <w:tcBorders>
              <w:top w:val="nil"/>
              <w:left w:val="nil"/>
              <w:right w:val="nil"/>
            </w:tcBorders>
            <w:shd w:val="clear" w:color="000000" w:fill="FFFFFF"/>
            <w:noWrap/>
            <w:vAlign w:val="bottom"/>
            <w:hideMark/>
          </w:tcPr>
          <w:p w14:paraId="021705BC" w14:textId="77777777" w:rsidR="00D5224B" w:rsidRPr="00A30E57" w:rsidRDefault="00D5224B" w:rsidP="003B7808">
            <w:pPr>
              <w:spacing w:after="0" w:line="240" w:lineRule="auto"/>
              <w:jc w:val="right"/>
              <w:rPr>
                <w:rFonts w:eastAsia="Times New Roman" w:cs="Times New Roman"/>
                <w:color w:val="000000"/>
                <w:sz w:val="20"/>
                <w:lang w:eastAsia="sk-SK"/>
              </w:rPr>
            </w:pPr>
            <w:r>
              <w:rPr>
                <w:color w:val="000000"/>
                <w:sz w:val="20"/>
              </w:rPr>
              <w:t>0,00</w:t>
            </w:r>
          </w:p>
        </w:tc>
        <w:tc>
          <w:tcPr>
            <w:tcW w:w="1418" w:type="dxa"/>
            <w:tcBorders>
              <w:top w:val="nil"/>
              <w:left w:val="nil"/>
              <w:right w:val="nil"/>
            </w:tcBorders>
            <w:shd w:val="clear" w:color="000000" w:fill="FFFFFF"/>
            <w:noWrap/>
            <w:vAlign w:val="bottom"/>
            <w:hideMark/>
          </w:tcPr>
          <w:p w14:paraId="4843AD2D" w14:textId="77777777" w:rsidR="00D5224B" w:rsidRPr="00A30E57" w:rsidRDefault="00D5224B" w:rsidP="003B7808">
            <w:pPr>
              <w:spacing w:after="0" w:line="240" w:lineRule="auto"/>
              <w:jc w:val="right"/>
              <w:rPr>
                <w:rFonts w:eastAsia="Times New Roman" w:cs="Times New Roman"/>
                <w:color w:val="000000"/>
                <w:sz w:val="20"/>
                <w:lang w:eastAsia="sk-SK"/>
              </w:rPr>
            </w:pPr>
            <w:r>
              <w:rPr>
                <w:color w:val="000000"/>
                <w:sz w:val="20"/>
              </w:rPr>
              <w:t>261,19</w:t>
            </w:r>
          </w:p>
        </w:tc>
        <w:tc>
          <w:tcPr>
            <w:tcW w:w="1417" w:type="dxa"/>
            <w:tcBorders>
              <w:top w:val="nil"/>
              <w:left w:val="nil"/>
              <w:right w:val="nil"/>
            </w:tcBorders>
            <w:shd w:val="clear" w:color="000000" w:fill="FFFFFF"/>
            <w:noWrap/>
            <w:vAlign w:val="bottom"/>
            <w:hideMark/>
          </w:tcPr>
          <w:p w14:paraId="675773CF" w14:textId="77777777" w:rsidR="00D5224B" w:rsidRPr="00A30E57" w:rsidRDefault="00D5224B" w:rsidP="003B7808">
            <w:pPr>
              <w:spacing w:after="0" w:line="240" w:lineRule="auto"/>
              <w:jc w:val="right"/>
              <w:rPr>
                <w:rFonts w:eastAsia="Times New Roman" w:cs="Times New Roman"/>
                <w:color w:val="000000"/>
                <w:sz w:val="20"/>
                <w:lang w:eastAsia="sk-SK"/>
              </w:rPr>
            </w:pPr>
            <w:r>
              <w:rPr>
                <w:color w:val="000000"/>
                <w:sz w:val="20"/>
              </w:rPr>
              <w:t>0,00</w:t>
            </w:r>
          </w:p>
        </w:tc>
        <w:tc>
          <w:tcPr>
            <w:tcW w:w="1418" w:type="dxa"/>
            <w:tcBorders>
              <w:top w:val="nil"/>
              <w:left w:val="nil"/>
              <w:right w:val="nil"/>
            </w:tcBorders>
            <w:shd w:val="clear" w:color="000000" w:fill="FFFFFF"/>
            <w:noWrap/>
            <w:vAlign w:val="bottom"/>
            <w:hideMark/>
          </w:tcPr>
          <w:p w14:paraId="2102C297" w14:textId="77777777" w:rsidR="00D5224B" w:rsidRPr="00C73450" w:rsidRDefault="00D5224B" w:rsidP="003B7808">
            <w:pPr>
              <w:spacing w:after="0" w:line="240" w:lineRule="auto"/>
              <w:jc w:val="right"/>
              <w:rPr>
                <w:rFonts w:eastAsia="Times New Roman" w:cs="Times New Roman"/>
                <w:color w:val="000000"/>
                <w:sz w:val="20"/>
                <w:lang w:eastAsia="sk-SK"/>
              </w:rPr>
            </w:pPr>
            <w:r>
              <w:rPr>
                <w:color w:val="000000"/>
                <w:sz w:val="20"/>
              </w:rPr>
              <w:t>261,19</w:t>
            </w:r>
          </w:p>
        </w:tc>
      </w:tr>
      <w:tr w:rsidR="00D5224B" w:rsidRPr="00CA2564" w14:paraId="2A3D6C2E" w14:textId="77777777" w:rsidTr="00A640A7">
        <w:trPr>
          <w:trHeight w:val="284"/>
        </w:trPr>
        <w:tc>
          <w:tcPr>
            <w:tcW w:w="3402" w:type="dxa"/>
            <w:tcBorders>
              <w:left w:val="nil"/>
              <w:bottom w:val="single" w:sz="4" w:space="0" w:color="auto"/>
              <w:right w:val="nil"/>
            </w:tcBorders>
            <w:shd w:val="clear" w:color="000000" w:fill="FFFFFF"/>
            <w:noWrap/>
            <w:vAlign w:val="bottom"/>
            <w:hideMark/>
          </w:tcPr>
          <w:p w14:paraId="67BFE511" w14:textId="77777777" w:rsidR="00D5224B" w:rsidRPr="00CA2564" w:rsidRDefault="00D5224B" w:rsidP="003B7808">
            <w:pPr>
              <w:spacing w:after="0" w:line="240" w:lineRule="auto"/>
              <w:jc w:val="left"/>
              <w:rPr>
                <w:rFonts w:eastAsia="Times New Roman" w:cs="Times New Roman"/>
                <w:b/>
                <w:bCs/>
                <w:color w:val="000000"/>
                <w:sz w:val="20"/>
                <w:lang w:eastAsia="sk-SK"/>
              </w:rPr>
            </w:pPr>
            <w:r>
              <w:rPr>
                <w:b/>
                <w:bCs/>
                <w:color w:val="000000"/>
                <w:sz w:val="20"/>
              </w:rPr>
              <w:t>Rodinný príjem (a+b+c+d+e)</w:t>
            </w:r>
          </w:p>
        </w:tc>
        <w:tc>
          <w:tcPr>
            <w:tcW w:w="1417" w:type="dxa"/>
            <w:tcBorders>
              <w:left w:val="nil"/>
              <w:bottom w:val="single" w:sz="4" w:space="0" w:color="auto"/>
              <w:right w:val="nil"/>
            </w:tcBorders>
            <w:shd w:val="clear" w:color="000000" w:fill="FFFFFF"/>
            <w:noWrap/>
            <w:vAlign w:val="bottom"/>
            <w:hideMark/>
          </w:tcPr>
          <w:p w14:paraId="47C3A70D" w14:textId="77777777" w:rsidR="00D5224B" w:rsidRPr="00A30E57" w:rsidRDefault="00D5224B" w:rsidP="003B7808">
            <w:pPr>
              <w:spacing w:after="0" w:line="240" w:lineRule="auto"/>
              <w:jc w:val="right"/>
              <w:rPr>
                <w:rFonts w:eastAsia="Times New Roman" w:cs="Times New Roman"/>
                <w:color w:val="000000"/>
                <w:sz w:val="20"/>
                <w:lang w:eastAsia="sk-SK"/>
              </w:rPr>
            </w:pPr>
            <w:r>
              <w:rPr>
                <w:b/>
                <w:bCs/>
                <w:color w:val="000000"/>
                <w:sz w:val="20"/>
              </w:rPr>
              <w:t>294,95</w:t>
            </w:r>
          </w:p>
        </w:tc>
        <w:tc>
          <w:tcPr>
            <w:tcW w:w="1418" w:type="dxa"/>
            <w:tcBorders>
              <w:left w:val="nil"/>
              <w:bottom w:val="single" w:sz="4" w:space="0" w:color="auto"/>
              <w:right w:val="nil"/>
            </w:tcBorders>
            <w:shd w:val="clear" w:color="000000" w:fill="FFFFFF"/>
            <w:noWrap/>
            <w:vAlign w:val="bottom"/>
            <w:hideMark/>
          </w:tcPr>
          <w:p w14:paraId="37EC8174" w14:textId="77777777" w:rsidR="00D5224B" w:rsidRPr="00A30E57" w:rsidRDefault="00D5224B" w:rsidP="003B7808">
            <w:pPr>
              <w:spacing w:after="0" w:line="240" w:lineRule="auto"/>
              <w:jc w:val="right"/>
              <w:rPr>
                <w:rFonts w:eastAsia="Times New Roman" w:cs="Times New Roman"/>
                <w:color w:val="000000"/>
                <w:sz w:val="20"/>
                <w:lang w:eastAsia="sk-SK"/>
              </w:rPr>
            </w:pPr>
            <w:r>
              <w:rPr>
                <w:b/>
                <w:bCs/>
                <w:color w:val="000000"/>
                <w:sz w:val="20"/>
              </w:rPr>
              <w:t>556,14</w:t>
            </w:r>
          </w:p>
        </w:tc>
        <w:tc>
          <w:tcPr>
            <w:tcW w:w="1417" w:type="dxa"/>
            <w:tcBorders>
              <w:left w:val="nil"/>
              <w:bottom w:val="single" w:sz="4" w:space="0" w:color="auto"/>
              <w:right w:val="nil"/>
            </w:tcBorders>
            <w:shd w:val="clear" w:color="000000" w:fill="FFFFFF"/>
            <w:noWrap/>
            <w:vAlign w:val="bottom"/>
            <w:hideMark/>
          </w:tcPr>
          <w:p w14:paraId="072F0FEB" w14:textId="77777777" w:rsidR="00D5224B" w:rsidRPr="00A30E57" w:rsidRDefault="00D5224B" w:rsidP="003B7808">
            <w:pPr>
              <w:spacing w:after="0" w:line="240" w:lineRule="auto"/>
              <w:jc w:val="right"/>
              <w:rPr>
                <w:rFonts w:eastAsia="Times New Roman" w:cs="Times New Roman"/>
                <w:color w:val="000000"/>
                <w:sz w:val="20"/>
                <w:lang w:eastAsia="sk-SK"/>
              </w:rPr>
            </w:pPr>
            <w:r>
              <w:rPr>
                <w:b/>
                <w:bCs/>
                <w:color w:val="000000"/>
                <w:sz w:val="20"/>
              </w:rPr>
              <w:t>288,95</w:t>
            </w:r>
          </w:p>
        </w:tc>
        <w:tc>
          <w:tcPr>
            <w:tcW w:w="1418" w:type="dxa"/>
            <w:tcBorders>
              <w:left w:val="nil"/>
              <w:bottom w:val="single" w:sz="4" w:space="0" w:color="auto"/>
              <w:right w:val="nil"/>
            </w:tcBorders>
            <w:shd w:val="clear" w:color="000000" w:fill="FFFFFF"/>
            <w:noWrap/>
            <w:vAlign w:val="bottom"/>
            <w:hideMark/>
          </w:tcPr>
          <w:p w14:paraId="33825681" w14:textId="77777777" w:rsidR="00D5224B" w:rsidRPr="00A30E57" w:rsidRDefault="00D5224B" w:rsidP="003B7808">
            <w:pPr>
              <w:spacing w:after="0" w:line="240" w:lineRule="auto"/>
              <w:jc w:val="right"/>
              <w:rPr>
                <w:rFonts w:eastAsia="Times New Roman" w:cs="Times New Roman"/>
                <w:color w:val="000000"/>
                <w:sz w:val="20"/>
                <w:lang w:eastAsia="sk-SK"/>
              </w:rPr>
            </w:pPr>
            <w:r>
              <w:rPr>
                <w:b/>
                <w:bCs/>
                <w:color w:val="000000"/>
                <w:sz w:val="20"/>
              </w:rPr>
              <w:t>681,38</w:t>
            </w:r>
          </w:p>
        </w:tc>
      </w:tr>
      <w:tr w:rsidR="00A640A7" w:rsidRPr="00CA2564" w14:paraId="48E3A867" w14:textId="77777777" w:rsidTr="00A640A7">
        <w:trPr>
          <w:trHeight w:val="284"/>
        </w:trPr>
        <w:tc>
          <w:tcPr>
            <w:tcW w:w="3402" w:type="dxa"/>
            <w:tcBorders>
              <w:top w:val="single" w:sz="4" w:space="0" w:color="auto"/>
              <w:left w:val="nil"/>
              <w:right w:val="nil"/>
            </w:tcBorders>
            <w:shd w:val="clear" w:color="000000" w:fill="FFFFFF"/>
            <w:noWrap/>
            <w:vAlign w:val="bottom"/>
          </w:tcPr>
          <w:p w14:paraId="31FC9FCC" w14:textId="77777777" w:rsidR="00A640A7" w:rsidRDefault="00A640A7" w:rsidP="003B7808">
            <w:pPr>
              <w:spacing w:after="0" w:line="240" w:lineRule="auto"/>
              <w:jc w:val="left"/>
              <w:rPr>
                <w:b/>
                <w:bCs/>
                <w:color w:val="000000"/>
                <w:sz w:val="20"/>
              </w:rPr>
            </w:pPr>
          </w:p>
        </w:tc>
        <w:tc>
          <w:tcPr>
            <w:tcW w:w="1417" w:type="dxa"/>
            <w:tcBorders>
              <w:top w:val="single" w:sz="4" w:space="0" w:color="auto"/>
              <w:left w:val="nil"/>
              <w:right w:val="nil"/>
            </w:tcBorders>
            <w:shd w:val="clear" w:color="000000" w:fill="FFFFFF"/>
            <w:noWrap/>
            <w:vAlign w:val="bottom"/>
          </w:tcPr>
          <w:p w14:paraId="438B219C" w14:textId="77777777" w:rsidR="00A640A7" w:rsidRDefault="00A640A7" w:rsidP="003B7808">
            <w:pPr>
              <w:spacing w:after="0" w:line="240" w:lineRule="auto"/>
              <w:jc w:val="right"/>
              <w:rPr>
                <w:b/>
                <w:bCs/>
                <w:color w:val="000000"/>
                <w:sz w:val="20"/>
              </w:rPr>
            </w:pPr>
          </w:p>
        </w:tc>
        <w:tc>
          <w:tcPr>
            <w:tcW w:w="1418" w:type="dxa"/>
            <w:tcBorders>
              <w:top w:val="single" w:sz="4" w:space="0" w:color="auto"/>
              <w:left w:val="nil"/>
              <w:right w:val="nil"/>
            </w:tcBorders>
            <w:shd w:val="clear" w:color="000000" w:fill="FFFFFF"/>
            <w:noWrap/>
            <w:vAlign w:val="bottom"/>
          </w:tcPr>
          <w:p w14:paraId="4B9548F8" w14:textId="77777777" w:rsidR="00A640A7" w:rsidRDefault="00A640A7" w:rsidP="003B7808">
            <w:pPr>
              <w:spacing w:after="0" w:line="240" w:lineRule="auto"/>
              <w:jc w:val="right"/>
              <w:rPr>
                <w:b/>
                <w:bCs/>
                <w:color w:val="000000"/>
                <w:sz w:val="20"/>
              </w:rPr>
            </w:pPr>
          </w:p>
        </w:tc>
        <w:tc>
          <w:tcPr>
            <w:tcW w:w="1417" w:type="dxa"/>
            <w:tcBorders>
              <w:top w:val="single" w:sz="4" w:space="0" w:color="auto"/>
              <w:left w:val="nil"/>
              <w:right w:val="nil"/>
            </w:tcBorders>
            <w:shd w:val="clear" w:color="000000" w:fill="FFFFFF"/>
            <w:noWrap/>
            <w:vAlign w:val="bottom"/>
          </w:tcPr>
          <w:p w14:paraId="391D3021" w14:textId="77777777" w:rsidR="00A640A7" w:rsidRDefault="00A640A7" w:rsidP="003B7808">
            <w:pPr>
              <w:spacing w:after="0" w:line="240" w:lineRule="auto"/>
              <w:jc w:val="right"/>
              <w:rPr>
                <w:b/>
                <w:bCs/>
                <w:color w:val="000000"/>
                <w:sz w:val="20"/>
              </w:rPr>
            </w:pPr>
          </w:p>
        </w:tc>
        <w:tc>
          <w:tcPr>
            <w:tcW w:w="1418" w:type="dxa"/>
            <w:tcBorders>
              <w:top w:val="single" w:sz="4" w:space="0" w:color="auto"/>
              <w:left w:val="nil"/>
              <w:right w:val="nil"/>
            </w:tcBorders>
            <w:shd w:val="clear" w:color="000000" w:fill="FFFFFF"/>
            <w:noWrap/>
            <w:vAlign w:val="bottom"/>
          </w:tcPr>
          <w:p w14:paraId="2FCC3A41" w14:textId="436081B3" w:rsidR="00A640A7" w:rsidRPr="00A640A7" w:rsidRDefault="00A640A7" w:rsidP="00A640A7">
            <w:pPr>
              <w:jc w:val="right"/>
              <w:rPr>
                <w:i/>
                <w:sz w:val="18"/>
                <w:szCs w:val="18"/>
              </w:rPr>
            </w:pPr>
            <w:r>
              <w:rPr>
                <w:i/>
                <w:sz w:val="18"/>
                <w:szCs w:val="18"/>
              </w:rPr>
              <w:t>Zdroj: ÚHP</w:t>
            </w:r>
          </w:p>
        </w:tc>
      </w:tr>
    </w:tbl>
    <w:p w14:paraId="47E2EC2A" w14:textId="6AE9ACAD" w:rsidR="0004475D" w:rsidRDefault="0004475D" w:rsidP="00414A3D">
      <w:pPr>
        <w:spacing w:after="160"/>
        <w:jc w:val="left"/>
        <w:rPr>
          <w:b/>
          <w:iCs/>
          <w:color w:val="2E74B5" w:themeColor="accent1" w:themeShade="BF"/>
          <w:szCs w:val="18"/>
        </w:rPr>
      </w:pPr>
      <w:r>
        <w:rPr>
          <w:b/>
          <w:i/>
          <w:color w:val="2E74B5" w:themeColor="accent1" w:themeShade="BF"/>
        </w:rPr>
        <w:br w:type="page"/>
      </w:r>
    </w:p>
    <w:p w14:paraId="5582D269" w14:textId="77777777" w:rsidR="0004475D" w:rsidRDefault="0004475D" w:rsidP="00494ABB">
      <w:pPr>
        <w:pStyle w:val="Popis"/>
        <w:rPr>
          <w:b/>
          <w:i w:val="0"/>
          <w:color w:val="2E74B5" w:themeColor="accent1" w:themeShade="BF"/>
          <w:sz w:val="22"/>
        </w:rPr>
        <w:sectPr w:rsidR="0004475D" w:rsidSect="002B2CCB">
          <w:type w:val="continuous"/>
          <w:pgSz w:w="11906" w:h="16838" w:code="9"/>
          <w:pgMar w:top="1440" w:right="1378" w:bottom="1440" w:left="1440" w:header="708" w:footer="708" w:gutter="0"/>
          <w:cols w:space="708"/>
          <w:docGrid w:linePitch="360"/>
        </w:sectPr>
      </w:pPr>
    </w:p>
    <w:p w14:paraId="691DBDC5" w14:textId="678ADE66" w:rsidR="007C0188" w:rsidRPr="00DF3709" w:rsidRDefault="00494ABB" w:rsidP="00494ABB">
      <w:pPr>
        <w:pStyle w:val="Popis"/>
        <w:rPr>
          <w:b/>
          <w:i w:val="0"/>
          <w:color w:val="2E74B5" w:themeColor="accent1" w:themeShade="BF"/>
          <w:sz w:val="22"/>
        </w:rPr>
      </w:pPr>
      <w:bookmarkStart w:id="1959" w:name="_Ref34215261"/>
      <w:r w:rsidRPr="00DF3709">
        <w:rPr>
          <w:b/>
          <w:i w:val="0"/>
          <w:color w:val="2E74B5" w:themeColor="accent1" w:themeShade="BF"/>
          <w:sz w:val="22"/>
        </w:rPr>
        <w:t xml:space="preserve">Príloha </w:t>
      </w:r>
      <w:r w:rsidRPr="00DF3709">
        <w:rPr>
          <w:b/>
          <w:i w:val="0"/>
          <w:color w:val="2E74B5" w:themeColor="accent1" w:themeShade="BF"/>
          <w:sz w:val="22"/>
        </w:rPr>
        <w:fldChar w:fldCharType="begin"/>
      </w:r>
      <w:r w:rsidRPr="00DF3709">
        <w:rPr>
          <w:b/>
          <w:i w:val="0"/>
          <w:color w:val="2E74B5" w:themeColor="accent1" w:themeShade="BF"/>
          <w:sz w:val="22"/>
        </w:rPr>
        <w:instrText xml:space="preserve"> SEQ Príloha \* ARABIC </w:instrText>
      </w:r>
      <w:r w:rsidRPr="00DF3709">
        <w:rPr>
          <w:b/>
          <w:i w:val="0"/>
          <w:color w:val="2E74B5" w:themeColor="accent1" w:themeShade="BF"/>
          <w:sz w:val="22"/>
        </w:rPr>
        <w:fldChar w:fldCharType="separate"/>
      </w:r>
      <w:r w:rsidR="00FA29AF">
        <w:rPr>
          <w:b/>
          <w:i w:val="0"/>
          <w:noProof/>
          <w:color w:val="2E74B5" w:themeColor="accent1" w:themeShade="BF"/>
          <w:sz w:val="22"/>
        </w:rPr>
        <w:t>38</w:t>
      </w:r>
      <w:r w:rsidRPr="00DF3709">
        <w:rPr>
          <w:b/>
          <w:i w:val="0"/>
          <w:color w:val="2E74B5" w:themeColor="accent1" w:themeShade="BF"/>
          <w:sz w:val="22"/>
        </w:rPr>
        <w:fldChar w:fldCharType="end"/>
      </w:r>
      <w:bookmarkEnd w:id="1953"/>
      <w:bookmarkEnd w:id="1959"/>
      <w:r w:rsidR="007C0188" w:rsidRPr="00DF3709">
        <w:rPr>
          <w:b/>
          <w:i w:val="0"/>
          <w:color w:val="2E74B5" w:themeColor="accent1" w:themeShade="BF"/>
          <w:sz w:val="22"/>
        </w:rPr>
        <w:t>: Prehľad najnebezpečnejších skládok podľa Inštitútu environmentálnej politiky</w:t>
      </w:r>
    </w:p>
    <w:p w14:paraId="5FD94C84" w14:textId="5FEBED8E" w:rsidR="0004475D" w:rsidRPr="000A3C71" w:rsidRDefault="0004475D" w:rsidP="00A77253">
      <w:pPr>
        <w:pStyle w:val="Popis"/>
        <w:keepNext/>
        <w:spacing w:after="0"/>
        <w:rPr>
          <w:b/>
          <w:i w:val="0"/>
          <w:color w:val="auto"/>
          <w:sz w:val="20"/>
        </w:rPr>
      </w:pPr>
      <w:r w:rsidRPr="000A3C71">
        <w:rPr>
          <w:b/>
          <w:i w:val="0"/>
          <w:color w:val="auto"/>
          <w:sz w:val="20"/>
        </w:rPr>
        <w:t xml:space="preserve">Tabuľka P </w:t>
      </w:r>
      <w:r w:rsidRPr="000A3C71">
        <w:rPr>
          <w:b/>
          <w:i w:val="0"/>
          <w:color w:val="auto"/>
          <w:sz w:val="20"/>
        </w:rPr>
        <w:fldChar w:fldCharType="begin"/>
      </w:r>
      <w:r w:rsidRPr="000A3C71">
        <w:rPr>
          <w:b/>
          <w:i w:val="0"/>
          <w:color w:val="auto"/>
          <w:sz w:val="20"/>
        </w:rPr>
        <w:instrText xml:space="preserve"> SEQ Tabuľka_P \* ARABIC </w:instrText>
      </w:r>
      <w:r w:rsidRPr="000A3C71">
        <w:rPr>
          <w:b/>
          <w:i w:val="0"/>
          <w:color w:val="auto"/>
          <w:sz w:val="20"/>
        </w:rPr>
        <w:fldChar w:fldCharType="separate"/>
      </w:r>
      <w:r w:rsidR="00FA29AF">
        <w:rPr>
          <w:b/>
          <w:i w:val="0"/>
          <w:noProof/>
          <w:color w:val="auto"/>
          <w:sz w:val="20"/>
        </w:rPr>
        <w:t>33</w:t>
      </w:r>
      <w:r w:rsidRPr="000A3C71">
        <w:rPr>
          <w:b/>
          <w:i w:val="0"/>
          <w:color w:val="auto"/>
          <w:sz w:val="20"/>
        </w:rPr>
        <w:fldChar w:fldCharType="end"/>
      </w:r>
      <w:r w:rsidR="000A3C71" w:rsidRPr="000A3C71">
        <w:rPr>
          <w:b/>
          <w:i w:val="0"/>
          <w:color w:val="auto"/>
          <w:sz w:val="20"/>
        </w:rPr>
        <w:t>: Prehľad najnebezpečnejších skládok podľa Inštitútu environmentálnej politiky</w:t>
      </w:r>
    </w:p>
    <w:tbl>
      <w:tblPr>
        <w:tblW w:w="13892" w:type="dxa"/>
        <w:tblCellMar>
          <w:left w:w="70" w:type="dxa"/>
          <w:right w:w="70" w:type="dxa"/>
        </w:tblCellMar>
        <w:tblLook w:val="04A0" w:firstRow="1" w:lastRow="0" w:firstColumn="1" w:lastColumn="0" w:noHBand="0" w:noVBand="1"/>
      </w:tblPr>
      <w:tblGrid>
        <w:gridCol w:w="1985"/>
        <w:gridCol w:w="850"/>
        <w:gridCol w:w="1985"/>
        <w:gridCol w:w="1134"/>
        <w:gridCol w:w="1134"/>
        <w:gridCol w:w="1134"/>
        <w:gridCol w:w="1417"/>
        <w:gridCol w:w="1417"/>
        <w:gridCol w:w="1418"/>
        <w:gridCol w:w="1418"/>
      </w:tblGrid>
      <w:tr w:rsidR="007C0188" w:rsidRPr="00CA2564" w14:paraId="67D46B91" w14:textId="77777777" w:rsidTr="0004475D">
        <w:trPr>
          <w:trHeight w:val="510"/>
        </w:trPr>
        <w:tc>
          <w:tcPr>
            <w:tcW w:w="1985" w:type="dxa"/>
            <w:vMerge w:val="restart"/>
            <w:tcBorders>
              <w:top w:val="single" w:sz="4" w:space="0" w:color="auto"/>
              <w:left w:val="nil"/>
              <w:bottom w:val="single" w:sz="4" w:space="0" w:color="000000"/>
              <w:right w:val="nil"/>
            </w:tcBorders>
            <w:shd w:val="clear" w:color="000000" w:fill="FFFFFF"/>
            <w:noWrap/>
            <w:vAlign w:val="center"/>
            <w:hideMark/>
          </w:tcPr>
          <w:bookmarkEnd w:id="1954"/>
          <w:p w14:paraId="35062FBE" w14:textId="77777777" w:rsidR="007C0188" w:rsidRPr="00CA2564" w:rsidRDefault="007C0188" w:rsidP="007C4E85">
            <w:pPr>
              <w:spacing w:after="0" w:line="240" w:lineRule="auto"/>
              <w:jc w:val="left"/>
              <w:rPr>
                <w:rFonts w:eastAsia="Times New Roman" w:cs="Times New Roman"/>
                <w:b/>
                <w:bCs/>
                <w:color w:val="000000"/>
                <w:sz w:val="20"/>
                <w:lang w:eastAsia="sk-SK"/>
              </w:rPr>
            </w:pPr>
            <w:r w:rsidRPr="00CA2564">
              <w:rPr>
                <w:rFonts w:eastAsia="Times New Roman" w:cs="Times New Roman"/>
                <w:b/>
                <w:bCs/>
                <w:color w:val="000000"/>
                <w:sz w:val="20"/>
                <w:lang w:eastAsia="sk-SK"/>
              </w:rPr>
              <w:t>Obec</w:t>
            </w:r>
          </w:p>
        </w:tc>
        <w:tc>
          <w:tcPr>
            <w:tcW w:w="850" w:type="dxa"/>
            <w:vMerge w:val="restart"/>
            <w:tcBorders>
              <w:top w:val="single" w:sz="4" w:space="0" w:color="auto"/>
              <w:left w:val="nil"/>
              <w:bottom w:val="single" w:sz="4" w:space="0" w:color="000000"/>
              <w:right w:val="nil"/>
            </w:tcBorders>
            <w:shd w:val="clear" w:color="000000" w:fill="FFFFFF"/>
            <w:noWrap/>
            <w:vAlign w:val="center"/>
            <w:hideMark/>
          </w:tcPr>
          <w:p w14:paraId="49626B8F" w14:textId="77777777" w:rsidR="007C0188" w:rsidRPr="00CA2564" w:rsidRDefault="007C0188" w:rsidP="007C4E85">
            <w:pPr>
              <w:spacing w:after="0" w:line="240" w:lineRule="auto"/>
              <w:jc w:val="center"/>
              <w:rPr>
                <w:rFonts w:eastAsia="Times New Roman" w:cs="Times New Roman"/>
                <w:b/>
                <w:bCs/>
                <w:color w:val="000000"/>
                <w:sz w:val="20"/>
                <w:lang w:eastAsia="sk-SK"/>
              </w:rPr>
            </w:pPr>
            <w:r w:rsidRPr="00CA2564">
              <w:rPr>
                <w:rFonts w:eastAsia="Times New Roman" w:cs="Times New Roman"/>
                <w:b/>
                <w:bCs/>
                <w:color w:val="000000"/>
                <w:sz w:val="20"/>
                <w:lang w:eastAsia="sk-SK"/>
              </w:rPr>
              <w:t>Rok vzniku</w:t>
            </w:r>
          </w:p>
        </w:tc>
        <w:tc>
          <w:tcPr>
            <w:tcW w:w="1985" w:type="dxa"/>
            <w:tcBorders>
              <w:top w:val="single" w:sz="4" w:space="0" w:color="auto"/>
              <w:left w:val="nil"/>
              <w:bottom w:val="nil"/>
              <w:right w:val="nil"/>
            </w:tcBorders>
            <w:shd w:val="clear" w:color="000000" w:fill="FFFFFF"/>
            <w:noWrap/>
            <w:vAlign w:val="center"/>
            <w:hideMark/>
          </w:tcPr>
          <w:p w14:paraId="5FC51720" w14:textId="77777777" w:rsidR="007C0188" w:rsidRPr="00CA2564" w:rsidRDefault="007C0188" w:rsidP="007C4E85">
            <w:pPr>
              <w:spacing w:after="0" w:line="240" w:lineRule="auto"/>
              <w:jc w:val="center"/>
              <w:rPr>
                <w:rFonts w:eastAsia="Times New Roman" w:cs="Times New Roman"/>
                <w:b/>
                <w:bCs/>
                <w:color w:val="000000"/>
                <w:sz w:val="20"/>
                <w:lang w:eastAsia="sk-SK"/>
              </w:rPr>
            </w:pPr>
            <w:r w:rsidRPr="00CA2564">
              <w:rPr>
                <w:rFonts w:eastAsia="Times New Roman" w:cs="Times New Roman"/>
                <w:b/>
                <w:bCs/>
                <w:color w:val="000000"/>
                <w:sz w:val="20"/>
                <w:lang w:eastAsia="sk-SK"/>
              </w:rPr>
              <w:t>Školy a zdravotnícke zariadenia</w:t>
            </w:r>
          </w:p>
        </w:tc>
        <w:tc>
          <w:tcPr>
            <w:tcW w:w="3402" w:type="dxa"/>
            <w:gridSpan w:val="3"/>
            <w:tcBorders>
              <w:top w:val="single" w:sz="4" w:space="0" w:color="auto"/>
              <w:left w:val="nil"/>
              <w:bottom w:val="nil"/>
              <w:right w:val="nil"/>
            </w:tcBorders>
            <w:shd w:val="clear" w:color="000000" w:fill="FFFFFF"/>
            <w:noWrap/>
            <w:vAlign w:val="center"/>
            <w:hideMark/>
          </w:tcPr>
          <w:p w14:paraId="27152016" w14:textId="77777777" w:rsidR="007C0188" w:rsidRPr="00CA2564" w:rsidRDefault="007C0188" w:rsidP="007C4E85">
            <w:pPr>
              <w:spacing w:after="0" w:line="240" w:lineRule="auto"/>
              <w:jc w:val="center"/>
              <w:rPr>
                <w:rFonts w:eastAsia="Times New Roman" w:cs="Times New Roman"/>
                <w:b/>
                <w:bCs/>
                <w:color w:val="000000"/>
                <w:sz w:val="20"/>
                <w:lang w:eastAsia="sk-SK"/>
              </w:rPr>
            </w:pPr>
            <w:r w:rsidRPr="00CA2564">
              <w:rPr>
                <w:rFonts w:eastAsia="Times New Roman" w:cs="Times New Roman"/>
                <w:b/>
                <w:bCs/>
                <w:color w:val="000000"/>
                <w:sz w:val="20"/>
                <w:lang w:eastAsia="sk-SK"/>
              </w:rPr>
              <w:t>Obyvatelia</w:t>
            </w:r>
          </w:p>
        </w:tc>
        <w:tc>
          <w:tcPr>
            <w:tcW w:w="1417" w:type="dxa"/>
            <w:tcBorders>
              <w:top w:val="single" w:sz="4" w:space="0" w:color="auto"/>
              <w:left w:val="nil"/>
              <w:bottom w:val="nil"/>
              <w:right w:val="nil"/>
            </w:tcBorders>
            <w:shd w:val="clear" w:color="000000" w:fill="FFFFFF"/>
            <w:vAlign w:val="center"/>
            <w:hideMark/>
          </w:tcPr>
          <w:p w14:paraId="707CB053" w14:textId="77777777" w:rsidR="007C0188" w:rsidRPr="00CA2564" w:rsidRDefault="007C0188" w:rsidP="007C4E85">
            <w:pPr>
              <w:spacing w:after="0" w:line="240" w:lineRule="auto"/>
              <w:jc w:val="center"/>
              <w:rPr>
                <w:rFonts w:eastAsia="Times New Roman" w:cs="Times New Roman"/>
                <w:b/>
                <w:bCs/>
                <w:color w:val="000000"/>
                <w:sz w:val="20"/>
                <w:lang w:eastAsia="sk-SK"/>
              </w:rPr>
            </w:pPr>
            <w:r w:rsidRPr="00CA2564">
              <w:rPr>
                <w:rFonts w:eastAsia="Times New Roman" w:cs="Times New Roman"/>
                <w:b/>
                <w:bCs/>
                <w:color w:val="000000"/>
                <w:sz w:val="20"/>
                <w:lang w:eastAsia="sk-SK"/>
              </w:rPr>
              <w:t>Rómske obyvateľstvo</w:t>
            </w:r>
          </w:p>
        </w:tc>
        <w:tc>
          <w:tcPr>
            <w:tcW w:w="4253" w:type="dxa"/>
            <w:gridSpan w:val="3"/>
            <w:tcBorders>
              <w:top w:val="single" w:sz="4" w:space="0" w:color="auto"/>
              <w:left w:val="nil"/>
              <w:bottom w:val="nil"/>
              <w:right w:val="nil"/>
            </w:tcBorders>
            <w:shd w:val="clear" w:color="000000" w:fill="FFFFFF"/>
            <w:vAlign w:val="center"/>
            <w:hideMark/>
          </w:tcPr>
          <w:p w14:paraId="7A85532A" w14:textId="77777777" w:rsidR="007C0188" w:rsidRPr="00CA2564" w:rsidRDefault="007C0188" w:rsidP="007C4E85">
            <w:pPr>
              <w:spacing w:after="0" w:line="240" w:lineRule="auto"/>
              <w:jc w:val="center"/>
              <w:rPr>
                <w:rFonts w:eastAsia="Times New Roman" w:cs="Times New Roman"/>
                <w:b/>
                <w:bCs/>
                <w:color w:val="000000"/>
                <w:sz w:val="20"/>
                <w:lang w:eastAsia="sk-SK"/>
              </w:rPr>
            </w:pPr>
            <w:r w:rsidRPr="00CA2564">
              <w:rPr>
                <w:rFonts w:eastAsia="Times New Roman" w:cs="Times New Roman"/>
                <w:b/>
                <w:bCs/>
                <w:color w:val="000000"/>
                <w:sz w:val="20"/>
                <w:lang w:eastAsia="sk-SK"/>
              </w:rPr>
              <w:t>Poľahčujúce faktory</w:t>
            </w:r>
          </w:p>
        </w:tc>
      </w:tr>
      <w:tr w:rsidR="007C0188" w:rsidRPr="00CA2564" w14:paraId="6372306C" w14:textId="77777777" w:rsidTr="0004475D">
        <w:trPr>
          <w:trHeight w:val="510"/>
        </w:trPr>
        <w:tc>
          <w:tcPr>
            <w:tcW w:w="1985" w:type="dxa"/>
            <w:vMerge/>
            <w:tcBorders>
              <w:top w:val="single" w:sz="4" w:space="0" w:color="auto"/>
              <w:left w:val="nil"/>
              <w:bottom w:val="single" w:sz="4" w:space="0" w:color="000000"/>
              <w:right w:val="nil"/>
            </w:tcBorders>
            <w:vAlign w:val="center"/>
            <w:hideMark/>
          </w:tcPr>
          <w:p w14:paraId="5B2F7683" w14:textId="77777777" w:rsidR="007C0188" w:rsidRPr="00CA2564" w:rsidRDefault="007C0188" w:rsidP="007C4E85">
            <w:pPr>
              <w:spacing w:after="0" w:line="240" w:lineRule="auto"/>
              <w:jc w:val="left"/>
              <w:rPr>
                <w:rFonts w:eastAsia="Times New Roman" w:cs="Times New Roman"/>
                <w:b/>
                <w:bCs/>
                <w:color w:val="000000"/>
                <w:sz w:val="20"/>
                <w:lang w:eastAsia="sk-SK"/>
              </w:rPr>
            </w:pPr>
          </w:p>
        </w:tc>
        <w:tc>
          <w:tcPr>
            <w:tcW w:w="850" w:type="dxa"/>
            <w:vMerge/>
            <w:tcBorders>
              <w:top w:val="single" w:sz="4" w:space="0" w:color="auto"/>
              <w:left w:val="nil"/>
              <w:bottom w:val="single" w:sz="4" w:space="0" w:color="000000"/>
              <w:right w:val="nil"/>
            </w:tcBorders>
            <w:vAlign w:val="center"/>
            <w:hideMark/>
          </w:tcPr>
          <w:p w14:paraId="46E25B74" w14:textId="77777777" w:rsidR="007C0188" w:rsidRPr="00CA2564" w:rsidRDefault="007C0188" w:rsidP="007C4E85">
            <w:pPr>
              <w:spacing w:after="0" w:line="240" w:lineRule="auto"/>
              <w:jc w:val="left"/>
              <w:rPr>
                <w:rFonts w:eastAsia="Times New Roman" w:cs="Times New Roman"/>
                <w:b/>
                <w:bCs/>
                <w:color w:val="000000"/>
                <w:sz w:val="20"/>
                <w:lang w:eastAsia="sk-SK"/>
              </w:rPr>
            </w:pPr>
          </w:p>
        </w:tc>
        <w:tc>
          <w:tcPr>
            <w:tcW w:w="1985" w:type="dxa"/>
            <w:tcBorders>
              <w:top w:val="nil"/>
              <w:left w:val="nil"/>
              <w:bottom w:val="single" w:sz="4" w:space="0" w:color="auto"/>
              <w:right w:val="nil"/>
            </w:tcBorders>
            <w:shd w:val="clear" w:color="000000" w:fill="FFFFFF"/>
            <w:noWrap/>
            <w:vAlign w:val="center"/>
            <w:hideMark/>
          </w:tcPr>
          <w:p w14:paraId="74DB3F23" w14:textId="77777777" w:rsidR="007C0188" w:rsidRPr="00CA2564" w:rsidRDefault="007C0188" w:rsidP="007C4E85">
            <w:pPr>
              <w:spacing w:after="0" w:line="240" w:lineRule="auto"/>
              <w:jc w:val="center"/>
              <w:rPr>
                <w:rFonts w:eastAsia="Times New Roman" w:cs="Times New Roman"/>
                <w:b/>
                <w:bCs/>
                <w:color w:val="000000"/>
                <w:sz w:val="20"/>
                <w:lang w:eastAsia="sk-SK"/>
              </w:rPr>
            </w:pPr>
            <w:r w:rsidRPr="00CA2564">
              <w:rPr>
                <w:rFonts w:eastAsia="Times New Roman" w:cs="Times New Roman"/>
                <w:b/>
                <w:bCs/>
                <w:color w:val="000000"/>
                <w:sz w:val="20"/>
                <w:lang w:eastAsia="sk-SK"/>
              </w:rPr>
              <w:t>Do 1000 metrov</w:t>
            </w:r>
          </w:p>
        </w:tc>
        <w:tc>
          <w:tcPr>
            <w:tcW w:w="1134" w:type="dxa"/>
            <w:tcBorders>
              <w:top w:val="nil"/>
              <w:left w:val="nil"/>
              <w:bottom w:val="single" w:sz="4" w:space="0" w:color="auto"/>
              <w:right w:val="nil"/>
            </w:tcBorders>
            <w:shd w:val="clear" w:color="000000" w:fill="FFFFFF"/>
            <w:noWrap/>
            <w:vAlign w:val="center"/>
            <w:hideMark/>
          </w:tcPr>
          <w:p w14:paraId="1A12254B" w14:textId="77777777" w:rsidR="007C0188" w:rsidRPr="00CA2564" w:rsidRDefault="007C0188" w:rsidP="007C4E85">
            <w:pPr>
              <w:spacing w:after="0" w:line="240" w:lineRule="auto"/>
              <w:jc w:val="center"/>
              <w:rPr>
                <w:rFonts w:eastAsia="Times New Roman" w:cs="Times New Roman"/>
                <w:b/>
                <w:bCs/>
                <w:color w:val="000000"/>
                <w:sz w:val="20"/>
                <w:lang w:eastAsia="sk-SK"/>
              </w:rPr>
            </w:pPr>
            <w:r w:rsidRPr="00CA2564">
              <w:rPr>
                <w:rFonts w:eastAsia="Times New Roman" w:cs="Times New Roman"/>
                <w:b/>
                <w:bCs/>
                <w:color w:val="000000"/>
                <w:sz w:val="20"/>
                <w:lang w:eastAsia="sk-SK"/>
              </w:rPr>
              <w:t>Do 500 metrov</w:t>
            </w:r>
          </w:p>
        </w:tc>
        <w:tc>
          <w:tcPr>
            <w:tcW w:w="1134" w:type="dxa"/>
            <w:tcBorders>
              <w:top w:val="nil"/>
              <w:left w:val="nil"/>
              <w:bottom w:val="single" w:sz="4" w:space="0" w:color="auto"/>
              <w:right w:val="nil"/>
            </w:tcBorders>
            <w:shd w:val="clear" w:color="000000" w:fill="FFFFFF"/>
            <w:noWrap/>
            <w:vAlign w:val="center"/>
            <w:hideMark/>
          </w:tcPr>
          <w:p w14:paraId="452D6039" w14:textId="77777777" w:rsidR="007C0188" w:rsidRPr="00CA2564" w:rsidRDefault="007C0188" w:rsidP="007C4E85">
            <w:pPr>
              <w:spacing w:after="0" w:line="240" w:lineRule="auto"/>
              <w:jc w:val="center"/>
              <w:rPr>
                <w:rFonts w:eastAsia="Times New Roman" w:cs="Times New Roman"/>
                <w:b/>
                <w:bCs/>
                <w:color w:val="000000"/>
                <w:sz w:val="20"/>
                <w:lang w:eastAsia="sk-SK"/>
              </w:rPr>
            </w:pPr>
            <w:r w:rsidRPr="00CA2564">
              <w:rPr>
                <w:rFonts w:eastAsia="Times New Roman" w:cs="Times New Roman"/>
                <w:b/>
                <w:bCs/>
                <w:color w:val="000000"/>
                <w:sz w:val="20"/>
                <w:lang w:eastAsia="sk-SK"/>
              </w:rPr>
              <w:t>Do 300 metrov</w:t>
            </w:r>
          </w:p>
        </w:tc>
        <w:tc>
          <w:tcPr>
            <w:tcW w:w="1134" w:type="dxa"/>
            <w:tcBorders>
              <w:top w:val="nil"/>
              <w:left w:val="nil"/>
              <w:bottom w:val="single" w:sz="4" w:space="0" w:color="auto"/>
              <w:right w:val="nil"/>
            </w:tcBorders>
            <w:shd w:val="clear" w:color="000000" w:fill="FFFFFF"/>
            <w:noWrap/>
            <w:vAlign w:val="center"/>
            <w:hideMark/>
          </w:tcPr>
          <w:p w14:paraId="78D14A76" w14:textId="77777777" w:rsidR="007C0188" w:rsidRPr="00CA2564" w:rsidRDefault="007C0188" w:rsidP="007C4E85">
            <w:pPr>
              <w:spacing w:after="0" w:line="240" w:lineRule="auto"/>
              <w:jc w:val="center"/>
              <w:rPr>
                <w:rFonts w:eastAsia="Times New Roman" w:cs="Times New Roman"/>
                <w:b/>
                <w:bCs/>
                <w:color w:val="000000"/>
                <w:sz w:val="20"/>
                <w:lang w:eastAsia="sk-SK"/>
              </w:rPr>
            </w:pPr>
            <w:r w:rsidRPr="00CA2564">
              <w:rPr>
                <w:rFonts w:eastAsia="Times New Roman" w:cs="Times New Roman"/>
                <w:b/>
                <w:bCs/>
                <w:color w:val="000000"/>
                <w:sz w:val="20"/>
                <w:lang w:eastAsia="sk-SK"/>
              </w:rPr>
              <w:t>Do 100 metrov</w:t>
            </w:r>
          </w:p>
        </w:tc>
        <w:tc>
          <w:tcPr>
            <w:tcW w:w="1417" w:type="dxa"/>
            <w:tcBorders>
              <w:top w:val="nil"/>
              <w:left w:val="nil"/>
              <w:bottom w:val="single" w:sz="4" w:space="0" w:color="auto"/>
              <w:right w:val="nil"/>
            </w:tcBorders>
            <w:shd w:val="clear" w:color="000000" w:fill="FFFFFF"/>
            <w:vAlign w:val="center"/>
            <w:hideMark/>
          </w:tcPr>
          <w:p w14:paraId="10229651" w14:textId="77777777" w:rsidR="007C0188" w:rsidRPr="00CA2564" w:rsidRDefault="007C0188" w:rsidP="007C4E85">
            <w:pPr>
              <w:spacing w:after="0" w:line="240" w:lineRule="auto"/>
              <w:jc w:val="center"/>
              <w:rPr>
                <w:rFonts w:eastAsia="Times New Roman" w:cs="Times New Roman"/>
                <w:b/>
                <w:bCs/>
                <w:color w:val="000000"/>
                <w:sz w:val="20"/>
                <w:lang w:eastAsia="sk-SK"/>
              </w:rPr>
            </w:pPr>
            <w:r w:rsidRPr="00CA2564">
              <w:rPr>
                <w:rFonts w:eastAsia="Times New Roman" w:cs="Times New Roman"/>
                <w:b/>
                <w:bCs/>
                <w:color w:val="000000"/>
                <w:sz w:val="20"/>
                <w:lang w:eastAsia="sk-SK"/>
              </w:rPr>
              <w:t>Do 500 metrov</w:t>
            </w:r>
          </w:p>
        </w:tc>
        <w:tc>
          <w:tcPr>
            <w:tcW w:w="1417" w:type="dxa"/>
            <w:tcBorders>
              <w:top w:val="nil"/>
              <w:left w:val="nil"/>
              <w:bottom w:val="single" w:sz="4" w:space="0" w:color="auto"/>
              <w:right w:val="nil"/>
            </w:tcBorders>
            <w:shd w:val="clear" w:color="000000" w:fill="FFFFFF"/>
            <w:vAlign w:val="center"/>
            <w:hideMark/>
          </w:tcPr>
          <w:p w14:paraId="19ED683C" w14:textId="77777777" w:rsidR="007C0188" w:rsidRPr="00CA2564" w:rsidRDefault="007C0188" w:rsidP="007C4E85">
            <w:pPr>
              <w:spacing w:after="0" w:line="240" w:lineRule="auto"/>
              <w:jc w:val="center"/>
              <w:rPr>
                <w:rFonts w:eastAsia="Times New Roman" w:cs="Times New Roman"/>
                <w:b/>
                <w:bCs/>
                <w:color w:val="000000"/>
                <w:sz w:val="20"/>
                <w:lang w:eastAsia="sk-SK"/>
              </w:rPr>
            </w:pPr>
            <w:r w:rsidRPr="00CA2564">
              <w:rPr>
                <w:rFonts w:eastAsia="Times New Roman" w:cs="Times New Roman"/>
                <w:b/>
                <w:bCs/>
                <w:color w:val="000000"/>
                <w:sz w:val="20"/>
                <w:lang w:eastAsia="sk-SK"/>
              </w:rPr>
              <w:t>Les</w:t>
            </w:r>
          </w:p>
        </w:tc>
        <w:tc>
          <w:tcPr>
            <w:tcW w:w="1418" w:type="dxa"/>
            <w:tcBorders>
              <w:top w:val="nil"/>
              <w:left w:val="nil"/>
              <w:bottom w:val="single" w:sz="4" w:space="0" w:color="auto"/>
              <w:right w:val="nil"/>
            </w:tcBorders>
            <w:shd w:val="clear" w:color="000000" w:fill="FFFFFF"/>
            <w:vAlign w:val="center"/>
            <w:hideMark/>
          </w:tcPr>
          <w:p w14:paraId="43C49239" w14:textId="77777777" w:rsidR="007C0188" w:rsidRPr="00CA2564" w:rsidRDefault="007C0188" w:rsidP="007C4E85">
            <w:pPr>
              <w:spacing w:after="0" w:line="240" w:lineRule="auto"/>
              <w:jc w:val="center"/>
              <w:rPr>
                <w:rFonts w:eastAsia="Times New Roman" w:cs="Times New Roman"/>
                <w:b/>
                <w:bCs/>
                <w:color w:val="000000"/>
                <w:sz w:val="20"/>
                <w:lang w:eastAsia="sk-SK"/>
              </w:rPr>
            </w:pPr>
            <w:r w:rsidRPr="00CA2564">
              <w:rPr>
                <w:rFonts w:eastAsia="Times New Roman" w:cs="Times New Roman"/>
                <w:b/>
                <w:bCs/>
                <w:color w:val="000000"/>
                <w:sz w:val="20"/>
                <w:lang w:eastAsia="sk-SK"/>
              </w:rPr>
              <w:t>Vietor</w:t>
            </w:r>
          </w:p>
        </w:tc>
        <w:tc>
          <w:tcPr>
            <w:tcW w:w="1418" w:type="dxa"/>
            <w:tcBorders>
              <w:top w:val="nil"/>
              <w:left w:val="nil"/>
              <w:bottom w:val="single" w:sz="4" w:space="0" w:color="auto"/>
              <w:right w:val="nil"/>
            </w:tcBorders>
            <w:shd w:val="clear" w:color="000000" w:fill="FFFFFF"/>
            <w:vAlign w:val="center"/>
            <w:hideMark/>
          </w:tcPr>
          <w:p w14:paraId="672A7909" w14:textId="77777777" w:rsidR="007C0188" w:rsidRPr="00CA2564" w:rsidRDefault="007C0188" w:rsidP="007C4E85">
            <w:pPr>
              <w:spacing w:after="0" w:line="240" w:lineRule="auto"/>
              <w:jc w:val="center"/>
              <w:rPr>
                <w:rFonts w:eastAsia="Times New Roman" w:cs="Times New Roman"/>
                <w:b/>
                <w:bCs/>
                <w:color w:val="000000"/>
                <w:sz w:val="20"/>
                <w:lang w:eastAsia="sk-SK"/>
              </w:rPr>
            </w:pPr>
            <w:r w:rsidRPr="00CA2564">
              <w:rPr>
                <w:rFonts w:eastAsia="Times New Roman" w:cs="Times New Roman"/>
                <w:b/>
                <w:bCs/>
                <w:color w:val="000000"/>
                <w:sz w:val="20"/>
                <w:lang w:eastAsia="sk-SK"/>
              </w:rPr>
              <w:t>Typ skládky</w:t>
            </w:r>
          </w:p>
        </w:tc>
      </w:tr>
      <w:tr w:rsidR="007C0188" w:rsidRPr="00CA2564" w14:paraId="500CA289" w14:textId="77777777" w:rsidTr="007C4E85">
        <w:trPr>
          <w:trHeight w:val="330"/>
        </w:trPr>
        <w:tc>
          <w:tcPr>
            <w:tcW w:w="1985" w:type="dxa"/>
            <w:tcBorders>
              <w:top w:val="nil"/>
              <w:left w:val="nil"/>
              <w:bottom w:val="nil"/>
              <w:right w:val="nil"/>
            </w:tcBorders>
            <w:shd w:val="clear" w:color="000000" w:fill="FFFFFF"/>
            <w:noWrap/>
            <w:vAlign w:val="center"/>
            <w:hideMark/>
          </w:tcPr>
          <w:p w14:paraId="2EB89D7D" w14:textId="77777777" w:rsidR="007C0188" w:rsidRPr="00CA2564" w:rsidRDefault="007C0188" w:rsidP="007C4E85">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Košice-Myslava</w:t>
            </w:r>
          </w:p>
        </w:tc>
        <w:tc>
          <w:tcPr>
            <w:tcW w:w="850" w:type="dxa"/>
            <w:tcBorders>
              <w:top w:val="nil"/>
              <w:left w:val="nil"/>
              <w:bottom w:val="nil"/>
              <w:right w:val="nil"/>
            </w:tcBorders>
            <w:shd w:val="clear" w:color="000000" w:fill="FFFFFF"/>
            <w:noWrap/>
            <w:vAlign w:val="center"/>
            <w:hideMark/>
          </w:tcPr>
          <w:p w14:paraId="7B7EA0B8"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2002</w:t>
            </w:r>
          </w:p>
        </w:tc>
        <w:tc>
          <w:tcPr>
            <w:tcW w:w="1985" w:type="dxa"/>
            <w:tcBorders>
              <w:top w:val="nil"/>
              <w:left w:val="nil"/>
              <w:bottom w:val="nil"/>
              <w:right w:val="nil"/>
            </w:tcBorders>
            <w:shd w:val="clear" w:color="000000" w:fill="FFFFFF"/>
            <w:noWrap/>
            <w:vAlign w:val="center"/>
            <w:hideMark/>
          </w:tcPr>
          <w:p w14:paraId="43E8AAA7"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6</w:t>
            </w:r>
          </w:p>
        </w:tc>
        <w:tc>
          <w:tcPr>
            <w:tcW w:w="1134" w:type="dxa"/>
            <w:tcBorders>
              <w:top w:val="nil"/>
              <w:left w:val="nil"/>
              <w:bottom w:val="nil"/>
              <w:right w:val="nil"/>
            </w:tcBorders>
            <w:shd w:val="clear" w:color="000000" w:fill="FFFFFF"/>
            <w:noWrap/>
            <w:vAlign w:val="center"/>
            <w:hideMark/>
          </w:tcPr>
          <w:p w14:paraId="4FE7B397"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3705</w:t>
            </w:r>
          </w:p>
        </w:tc>
        <w:tc>
          <w:tcPr>
            <w:tcW w:w="1134" w:type="dxa"/>
            <w:tcBorders>
              <w:top w:val="nil"/>
              <w:left w:val="nil"/>
              <w:bottom w:val="nil"/>
              <w:right w:val="nil"/>
            </w:tcBorders>
            <w:shd w:val="clear" w:color="000000" w:fill="FFFFFF"/>
            <w:noWrap/>
            <w:vAlign w:val="center"/>
            <w:hideMark/>
          </w:tcPr>
          <w:p w14:paraId="06E1896A"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1583</w:t>
            </w:r>
          </w:p>
        </w:tc>
        <w:tc>
          <w:tcPr>
            <w:tcW w:w="1134" w:type="dxa"/>
            <w:tcBorders>
              <w:top w:val="nil"/>
              <w:left w:val="nil"/>
              <w:bottom w:val="nil"/>
              <w:right w:val="nil"/>
            </w:tcBorders>
            <w:shd w:val="clear" w:color="000000" w:fill="FFFFFF"/>
            <w:noWrap/>
            <w:vAlign w:val="center"/>
            <w:hideMark/>
          </w:tcPr>
          <w:p w14:paraId="15616E05"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28</w:t>
            </w:r>
          </w:p>
        </w:tc>
        <w:tc>
          <w:tcPr>
            <w:tcW w:w="1417" w:type="dxa"/>
            <w:tcBorders>
              <w:top w:val="nil"/>
              <w:left w:val="nil"/>
              <w:bottom w:val="nil"/>
              <w:right w:val="nil"/>
            </w:tcBorders>
            <w:shd w:val="clear" w:color="000000" w:fill="FFFFFF"/>
            <w:vAlign w:val="center"/>
            <w:hideMark/>
          </w:tcPr>
          <w:p w14:paraId="55C6665E"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3671</w:t>
            </w:r>
          </w:p>
        </w:tc>
        <w:tc>
          <w:tcPr>
            <w:tcW w:w="1417" w:type="dxa"/>
            <w:tcBorders>
              <w:top w:val="nil"/>
              <w:left w:val="nil"/>
              <w:bottom w:val="nil"/>
              <w:right w:val="nil"/>
            </w:tcBorders>
            <w:shd w:val="clear" w:color="000000" w:fill="FFFFFF"/>
            <w:vAlign w:val="center"/>
            <w:hideMark/>
          </w:tcPr>
          <w:p w14:paraId="375218F6"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ascii="Segoe UI Symbol" w:eastAsia="Times New Roman" w:hAnsi="Segoe UI Symbol" w:cs="Segoe UI Symbol"/>
                <w:sz w:val="20"/>
                <w:lang w:eastAsia="sk-SK"/>
              </w:rPr>
              <w:t>✓</w:t>
            </w:r>
          </w:p>
        </w:tc>
        <w:tc>
          <w:tcPr>
            <w:tcW w:w="1418" w:type="dxa"/>
            <w:tcBorders>
              <w:top w:val="nil"/>
              <w:left w:val="nil"/>
              <w:bottom w:val="nil"/>
              <w:right w:val="nil"/>
            </w:tcBorders>
            <w:shd w:val="clear" w:color="000000" w:fill="FFFFFF"/>
            <w:vAlign w:val="center"/>
            <w:hideMark/>
          </w:tcPr>
          <w:p w14:paraId="63947606"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ascii="Segoe UI Symbol" w:eastAsia="Times New Roman" w:hAnsi="Segoe UI Symbol" w:cs="Segoe UI Symbol"/>
                <w:sz w:val="20"/>
                <w:lang w:eastAsia="sk-SK"/>
              </w:rPr>
              <w:t>✗</w:t>
            </w:r>
          </w:p>
        </w:tc>
        <w:tc>
          <w:tcPr>
            <w:tcW w:w="1418" w:type="dxa"/>
            <w:tcBorders>
              <w:top w:val="nil"/>
              <w:left w:val="nil"/>
              <w:bottom w:val="nil"/>
              <w:right w:val="nil"/>
            </w:tcBorders>
            <w:shd w:val="clear" w:color="000000" w:fill="FFFFFF"/>
            <w:vAlign w:val="center"/>
            <w:hideMark/>
          </w:tcPr>
          <w:p w14:paraId="5180AA28"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eastAsia="Times New Roman" w:cs="Times New Roman"/>
                <w:sz w:val="20"/>
                <w:lang w:eastAsia="sk-SK"/>
              </w:rPr>
              <w:t>N</w:t>
            </w:r>
          </w:p>
        </w:tc>
      </w:tr>
      <w:tr w:rsidR="007C0188" w:rsidRPr="00CA2564" w14:paraId="432F2CBC" w14:textId="77777777" w:rsidTr="007C4E85">
        <w:trPr>
          <w:trHeight w:val="330"/>
        </w:trPr>
        <w:tc>
          <w:tcPr>
            <w:tcW w:w="1985" w:type="dxa"/>
            <w:tcBorders>
              <w:top w:val="nil"/>
              <w:left w:val="nil"/>
              <w:bottom w:val="nil"/>
              <w:right w:val="nil"/>
            </w:tcBorders>
            <w:shd w:val="clear" w:color="000000" w:fill="FFFFFF"/>
            <w:noWrap/>
            <w:vAlign w:val="center"/>
            <w:hideMark/>
          </w:tcPr>
          <w:p w14:paraId="0FC45217" w14:textId="77777777" w:rsidR="007C0188" w:rsidRPr="00CA2564" w:rsidRDefault="007C0188" w:rsidP="007C4E85">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Čadca</w:t>
            </w:r>
          </w:p>
        </w:tc>
        <w:tc>
          <w:tcPr>
            <w:tcW w:w="850" w:type="dxa"/>
            <w:tcBorders>
              <w:top w:val="nil"/>
              <w:left w:val="nil"/>
              <w:bottom w:val="nil"/>
              <w:right w:val="nil"/>
            </w:tcBorders>
            <w:shd w:val="clear" w:color="000000" w:fill="FFFFFF"/>
            <w:noWrap/>
            <w:vAlign w:val="center"/>
            <w:hideMark/>
          </w:tcPr>
          <w:p w14:paraId="798DFA8B"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2009</w:t>
            </w:r>
          </w:p>
        </w:tc>
        <w:tc>
          <w:tcPr>
            <w:tcW w:w="1985" w:type="dxa"/>
            <w:tcBorders>
              <w:top w:val="nil"/>
              <w:left w:val="nil"/>
              <w:bottom w:val="nil"/>
              <w:right w:val="nil"/>
            </w:tcBorders>
            <w:shd w:val="clear" w:color="000000" w:fill="FFFFFF"/>
            <w:noWrap/>
            <w:vAlign w:val="center"/>
            <w:hideMark/>
          </w:tcPr>
          <w:p w14:paraId="56D19D8E"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1</w:t>
            </w:r>
          </w:p>
        </w:tc>
        <w:tc>
          <w:tcPr>
            <w:tcW w:w="1134" w:type="dxa"/>
            <w:tcBorders>
              <w:top w:val="nil"/>
              <w:left w:val="nil"/>
              <w:bottom w:val="nil"/>
              <w:right w:val="nil"/>
            </w:tcBorders>
            <w:shd w:val="clear" w:color="000000" w:fill="FFFFFF"/>
            <w:noWrap/>
            <w:vAlign w:val="center"/>
            <w:hideMark/>
          </w:tcPr>
          <w:p w14:paraId="4296428D"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1311</w:t>
            </w:r>
          </w:p>
        </w:tc>
        <w:tc>
          <w:tcPr>
            <w:tcW w:w="1134" w:type="dxa"/>
            <w:tcBorders>
              <w:top w:val="nil"/>
              <w:left w:val="nil"/>
              <w:bottom w:val="nil"/>
              <w:right w:val="nil"/>
            </w:tcBorders>
            <w:shd w:val="clear" w:color="000000" w:fill="FFFFFF"/>
            <w:noWrap/>
            <w:vAlign w:val="center"/>
            <w:hideMark/>
          </w:tcPr>
          <w:p w14:paraId="1983FFA1"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545</w:t>
            </w:r>
          </w:p>
        </w:tc>
        <w:tc>
          <w:tcPr>
            <w:tcW w:w="1134" w:type="dxa"/>
            <w:tcBorders>
              <w:top w:val="nil"/>
              <w:left w:val="nil"/>
              <w:bottom w:val="nil"/>
              <w:right w:val="nil"/>
            </w:tcBorders>
            <w:shd w:val="clear" w:color="000000" w:fill="FFFFFF"/>
            <w:noWrap/>
            <w:vAlign w:val="center"/>
            <w:hideMark/>
          </w:tcPr>
          <w:p w14:paraId="77F2863F"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228</w:t>
            </w:r>
          </w:p>
        </w:tc>
        <w:tc>
          <w:tcPr>
            <w:tcW w:w="1417" w:type="dxa"/>
            <w:tcBorders>
              <w:top w:val="nil"/>
              <w:left w:val="nil"/>
              <w:bottom w:val="nil"/>
              <w:right w:val="nil"/>
            </w:tcBorders>
            <w:shd w:val="clear" w:color="000000" w:fill="FFFFFF"/>
            <w:vAlign w:val="center"/>
            <w:hideMark/>
          </w:tcPr>
          <w:p w14:paraId="2E151905"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 </w:t>
            </w:r>
          </w:p>
        </w:tc>
        <w:tc>
          <w:tcPr>
            <w:tcW w:w="1417" w:type="dxa"/>
            <w:tcBorders>
              <w:top w:val="nil"/>
              <w:left w:val="nil"/>
              <w:bottom w:val="nil"/>
              <w:right w:val="nil"/>
            </w:tcBorders>
            <w:shd w:val="clear" w:color="000000" w:fill="FFFFFF"/>
            <w:vAlign w:val="center"/>
            <w:hideMark/>
          </w:tcPr>
          <w:p w14:paraId="7A6DB1A6"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ascii="Segoe UI Symbol" w:eastAsia="Times New Roman" w:hAnsi="Segoe UI Symbol" w:cs="Segoe UI Symbol"/>
                <w:sz w:val="20"/>
                <w:lang w:eastAsia="sk-SK"/>
              </w:rPr>
              <w:t>✗</w:t>
            </w:r>
          </w:p>
        </w:tc>
        <w:tc>
          <w:tcPr>
            <w:tcW w:w="1418" w:type="dxa"/>
            <w:tcBorders>
              <w:top w:val="nil"/>
              <w:left w:val="nil"/>
              <w:bottom w:val="nil"/>
              <w:right w:val="nil"/>
            </w:tcBorders>
            <w:shd w:val="clear" w:color="000000" w:fill="FFFFFF"/>
            <w:vAlign w:val="center"/>
            <w:hideMark/>
          </w:tcPr>
          <w:p w14:paraId="5D452F87"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ascii="Segoe UI Symbol" w:eastAsia="Times New Roman" w:hAnsi="Segoe UI Symbol" w:cs="Segoe UI Symbol"/>
                <w:sz w:val="20"/>
                <w:lang w:eastAsia="sk-SK"/>
              </w:rPr>
              <w:t>✗</w:t>
            </w:r>
          </w:p>
        </w:tc>
        <w:tc>
          <w:tcPr>
            <w:tcW w:w="1418" w:type="dxa"/>
            <w:tcBorders>
              <w:top w:val="nil"/>
              <w:left w:val="nil"/>
              <w:bottom w:val="nil"/>
              <w:right w:val="nil"/>
            </w:tcBorders>
            <w:shd w:val="clear" w:color="000000" w:fill="FFFFFF"/>
            <w:vAlign w:val="center"/>
            <w:hideMark/>
          </w:tcPr>
          <w:p w14:paraId="423D428F"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eastAsia="Times New Roman" w:cs="Times New Roman"/>
                <w:sz w:val="20"/>
                <w:lang w:eastAsia="sk-SK"/>
              </w:rPr>
              <w:t>O</w:t>
            </w:r>
          </w:p>
        </w:tc>
      </w:tr>
      <w:tr w:rsidR="007C0188" w:rsidRPr="00CA2564" w14:paraId="5963DE51" w14:textId="77777777" w:rsidTr="007C4E85">
        <w:trPr>
          <w:trHeight w:val="330"/>
        </w:trPr>
        <w:tc>
          <w:tcPr>
            <w:tcW w:w="1985" w:type="dxa"/>
            <w:tcBorders>
              <w:top w:val="nil"/>
              <w:left w:val="nil"/>
              <w:bottom w:val="nil"/>
              <w:right w:val="nil"/>
            </w:tcBorders>
            <w:shd w:val="clear" w:color="000000" w:fill="FFFFFF"/>
            <w:noWrap/>
            <w:vAlign w:val="center"/>
            <w:hideMark/>
          </w:tcPr>
          <w:p w14:paraId="03D3F866" w14:textId="77777777" w:rsidR="007C0188" w:rsidRPr="00CA2564" w:rsidRDefault="007C0188" w:rsidP="007C4E85">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Zemianske Kostoľany</w:t>
            </w:r>
          </w:p>
        </w:tc>
        <w:tc>
          <w:tcPr>
            <w:tcW w:w="850" w:type="dxa"/>
            <w:tcBorders>
              <w:top w:val="nil"/>
              <w:left w:val="nil"/>
              <w:bottom w:val="nil"/>
              <w:right w:val="nil"/>
            </w:tcBorders>
            <w:shd w:val="clear" w:color="000000" w:fill="FFFFFF"/>
            <w:noWrap/>
            <w:vAlign w:val="center"/>
            <w:hideMark/>
          </w:tcPr>
          <w:p w14:paraId="75ED1B32"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1998</w:t>
            </w:r>
          </w:p>
        </w:tc>
        <w:tc>
          <w:tcPr>
            <w:tcW w:w="1985" w:type="dxa"/>
            <w:tcBorders>
              <w:top w:val="nil"/>
              <w:left w:val="nil"/>
              <w:bottom w:val="nil"/>
              <w:right w:val="nil"/>
            </w:tcBorders>
            <w:shd w:val="clear" w:color="000000" w:fill="FFFFFF"/>
            <w:noWrap/>
            <w:vAlign w:val="center"/>
            <w:hideMark/>
          </w:tcPr>
          <w:p w14:paraId="24394B92"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1</w:t>
            </w:r>
          </w:p>
        </w:tc>
        <w:tc>
          <w:tcPr>
            <w:tcW w:w="1134" w:type="dxa"/>
            <w:tcBorders>
              <w:top w:val="nil"/>
              <w:left w:val="nil"/>
              <w:bottom w:val="nil"/>
              <w:right w:val="nil"/>
            </w:tcBorders>
            <w:shd w:val="clear" w:color="000000" w:fill="FFFFFF"/>
            <w:noWrap/>
            <w:vAlign w:val="center"/>
            <w:hideMark/>
          </w:tcPr>
          <w:p w14:paraId="4514E400"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630</w:t>
            </w:r>
          </w:p>
        </w:tc>
        <w:tc>
          <w:tcPr>
            <w:tcW w:w="1134" w:type="dxa"/>
            <w:tcBorders>
              <w:top w:val="nil"/>
              <w:left w:val="nil"/>
              <w:bottom w:val="nil"/>
              <w:right w:val="nil"/>
            </w:tcBorders>
            <w:shd w:val="clear" w:color="000000" w:fill="FFFFFF"/>
            <w:noWrap/>
            <w:vAlign w:val="center"/>
            <w:hideMark/>
          </w:tcPr>
          <w:p w14:paraId="4D7BA42C"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294</w:t>
            </w:r>
          </w:p>
        </w:tc>
        <w:tc>
          <w:tcPr>
            <w:tcW w:w="1134" w:type="dxa"/>
            <w:tcBorders>
              <w:top w:val="nil"/>
              <w:left w:val="nil"/>
              <w:bottom w:val="nil"/>
              <w:right w:val="nil"/>
            </w:tcBorders>
            <w:shd w:val="clear" w:color="000000" w:fill="FFFFFF"/>
            <w:noWrap/>
            <w:vAlign w:val="center"/>
            <w:hideMark/>
          </w:tcPr>
          <w:p w14:paraId="1B561377"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0</w:t>
            </w:r>
          </w:p>
        </w:tc>
        <w:tc>
          <w:tcPr>
            <w:tcW w:w="1417" w:type="dxa"/>
            <w:tcBorders>
              <w:top w:val="nil"/>
              <w:left w:val="nil"/>
              <w:bottom w:val="nil"/>
              <w:right w:val="nil"/>
            </w:tcBorders>
            <w:shd w:val="clear" w:color="000000" w:fill="FFFFFF"/>
            <w:vAlign w:val="center"/>
            <w:hideMark/>
          </w:tcPr>
          <w:p w14:paraId="503569C9"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 </w:t>
            </w:r>
          </w:p>
        </w:tc>
        <w:tc>
          <w:tcPr>
            <w:tcW w:w="1417" w:type="dxa"/>
            <w:tcBorders>
              <w:top w:val="nil"/>
              <w:left w:val="nil"/>
              <w:bottom w:val="nil"/>
              <w:right w:val="nil"/>
            </w:tcBorders>
            <w:shd w:val="clear" w:color="000000" w:fill="FFFFFF"/>
            <w:vAlign w:val="center"/>
            <w:hideMark/>
          </w:tcPr>
          <w:p w14:paraId="2C282EA5"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ascii="Segoe UI Symbol" w:eastAsia="Times New Roman" w:hAnsi="Segoe UI Symbol" w:cs="Segoe UI Symbol"/>
                <w:sz w:val="20"/>
                <w:lang w:eastAsia="sk-SK"/>
              </w:rPr>
              <w:t>✗</w:t>
            </w:r>
          </w:p>
        </w:tc>
        <w:tc>
          <w:tcPr>
            <w:tcW w:w="1418" w:type="dxa"/>
            <w:tcBorders>
              <w:top w:val="nil"/>
              <w:left w:val="nil"/>
              <w:bottom w:val="nil"/>
              <w:right w:val="nil"/>
            </w:tcBorders>
            <w:shd w:val="clear" w:color="000000" w:fill="FFFFFF"/>
            <w:vAlign w:val="center"/>
            <w:hideMark/>
          </w:tcPr>
          <w:p w14:paraId="1C9235A1"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ascii="Segoe UI Symbol" w:eastAsia="Times New Roman" w:hAnsi="Segoe UI Symbol" w:cs="Segoe UI Symbol"/>
                <w:sz w:val="20"/>
                <w:lang w:eastAsia="sk-SK"/>
              </w:rPr>
              <w:t>✗</w:t>
            </w:r>
          </w:p>
        </w:tc>
        <w:tc>
          <w:tcPr>
            <w:tcW w:w="1418" w:type="dxa"/>
            <w:tcBorders>
              <w:top w:val="nil"/>
              <w:left w:val="nil"/>
              <w:bottom w:val="nil"/>
              <w:right w:val="nil"/>
            </w:tcBorders>
            <w:shd w:val="clear" w:color="000000" w:fill="FFFFFF"/>
            <w:vAlign w:val="center"/>
            <w:hideMark/>
          </w:tcPr>
          <w:p w14:paraId="3020121E"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eastAsia="Times New Roman" w:cs="Times New Roman"/>
                <w:sz w:val="20"/>
                <w:lang w:eastAsia="sk-SK"/>
              </w:rPr>
              <w:t>I</w:t>
            </w:r>
          </w:p>
        </w:tc>
      </w:tr>
      <w:tr w:rsidR="007C0188" w:rsidRPr="00CA2564" w14:paraId="24EC51F3" w14:textId="77777777" w:rsidTr="007C4E85">
        <w:trPr>
          <w:trHeight w:val="330"/>
        </w:trPr>
        <w:tc>
          <w:tcPr>
            <w:tcW w:w="1985" w:type="dxa"/>
            <w:tcBorders>
              <w:top w:val="nil"/>
              <w:left w:val="nil"/>
              <w:bottom w:val="nil"/>
              <w:right w:val="nil"/>
            </w:tcBorders>
            <w:shd w:val="clear" w:color="000000" w:fill="FFFFFF"/>
            <w:noWrap/>
            <w:vAlign w:val="center"/>
            <w:hideMark/>
          </w:tcPr>
          <w:p w14:paraId="6754A5F6" w14:textId="77777777" w:rsidR="007C0188" w:rsidRPr="00CA2564" w:rsidRDefault="007C0188" w:rsidP="007C4E85">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Spišská Nová Ves</w:t>
            </w:r>
          </w:p>
        </w:tc>
        <w:tc>
          <w:tcPr>
            <w:tcW w:w="850" w:type="dxa"/>
            <w:tcBorders>
              <w:top w:val="nil"/>
              <w:left w:val="nil"/>
              <w:bottom w:val="nil"/>
              <w:right w:val="nil"/>
            </w:tcBorders>
            <w:shd w:val="clear" w:color="000000" w:fill="FFFFFF"/>
            <w:noWrap/>
            <w:vAlign w:val="center"/>
            <w:hideMark/>
          </w:tcPr>
          <w:p w14:paraId="356FB4B8"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1996</w:t>
            </w:r>
          </w:p>
        </w:tc>
        <w:tc>
          <w:tcPr>
            <w:tcW w:w="1985" w:type="dxa"/>
            <w:tcBorders>
              <w:top w:val="nil"/>
              <w:left w:val="nil"/>
              <w:bottom w:val="nil"/>
              <w:right w:val="nil"/>
            </w:tcBorders>
            <w:shd w:val="clear" w:color="000000" w:fill="FFFFFF"/>
            <w:noWrap/>
            <w:vAlign w:val="center"/>
            <w:hideMark/>
          </w:tcPr>
          <w:p w14:paraId="1974D555"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0</w:t>
            </w:r>
          </w:p>
        </w:tc>
        <w:tc>
          <w:tcPr>
            <w:tcW w:w="1134" w:type="dxa"/>
            <w:tcBorders>
              <w:top w:val="nil"/>
              <w:left w:val="nil"/>
              <w:bottom w:val="nil"/>
              <w:right w:val="nil"/>
            </w:tcBorders>
            <w:shd w:val="clear" w:color="000000" w:fill="FFFFFF"/>
            <w:noWrap/>
            <w:vAlign w:val="center"/>
            <w:hideMark/>
          </w:tcPr>
          <w:p w14:paraId="3228D33B"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866</w:t>
            </w:r>
          </w:p>
        </w:tc>
        <w:tc>
          <w:tcPr>
            <w:tcW w:w="1134" w:type="dxa"/>
            <w:tcBorders>
              <w:top w:val="nil"/>
              <w:left w:val="nil"/>
              <w:bottom w:val="nil"/>
              <w:right w:val="nil"/>
            </w:tcBorders>
            <w:shd w:val="clear" w:color="000000" w:fill="FFFFFF"/>
            <w:noWrap/>
            <w:vAlign w:val="center"/>
            <w:hideMark/>
          </w:tcPr>
          <w:p w14:paraId="633C3E7F"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0</w:t>
            </w:r>
          </w:p>
        </w:tc>
        <w:tc>
          <w:tcPr>
            <w:tcW w:w="1134" w:type="dxa"/>
            <w:tcBorders>
              <w:top w:val="nil"/>
              <w:left w:val="nil"/>
              <w:bottom w:val="nil"/>
              <w:right w:val="nil"/>
            </w:tcBorders>
            <w:shd w:val="clear" w:color="000000" w:fill="FFFFFF"/>
            <w:noWrap/>
            <w:vAlign w:val="center"/>
            <w:hideMark/>
          </w:tcPr>
          <w:p w14:paraId="19367398"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0</w:t>
            </w:r>
          </w:p>
        </w:tc>
        <w:tc>
          <w:tcPr>
            <w:tcW w:w="1417" w:type="dxa"/>
            <w:tcBorders>
              <w:top w:val="nil"/>
              <w:left w:val="nil"/>
              <w:bottom w:val="nil"/>
              <w:right w:val="nil"/>
            </w:tcBorders>
            <w:shd w:val="clear" w:color="000000" w:fill="FFFFFF"/>
            <w:vAlign w:val="center"/>
            <w:hideMark/>
          </w:tcPr>
          <w:p w14:paraId="58FD3F72"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745</w:t>
            </w:r>
          </w:p>
        </w:tc>
        <w:tc>
          <w:tcPr>
            <w:tcW w:w="1417" w:type="dxa"/>
            <w:tcBorders>
              <w:top w:val="nil"/>
              <w:left w:val="nil"/>
              <w:bottom w:val="nil"/>
              <w:right w:val="nil"/>
            </w:tcBorders>
            <w:shd w:val="clear" w:color="000000" w:fill="FFFFFF"/>
            <w:vAlign w:val="center"/>
            <w:hideMark/>
          </w:tcPr>
          <w:p w14:paraId="0677DF38"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ascii="Segoe UI Symbol" w:eastAsia="Times New Roman" w:hAnsi="Segoe UI Symbol" w:cs="Segoe UI Symbol"/>
                <w:sz w:val="20"/>
                <w:lang w:eastAsia="sk-SK"/>
              </w:rPr>
              <w:t>✗</w:t>
            </w:r>
          </w:p>
        </w:tc>
        <w:tc>
          <w:tcPr>
            <w:tcW w:w="1418" w:type="dxa"/>
            <w:tcBorders>
              <w:top w:val="nil"/>
              <w:left w:val="nil"/>
              <w:bottom w:val="nil"/>
              <w:right w:val="nil"/>
            </w:tcBorders>
            <w:shd w:val="clear" w:color="000000" w:fill="FFFFFF"/>
            <w:vAlign w:val="center"/>
            <w:hideMark/>
          </w:tcPr>
          <w:p w14:paraId="3FBB22E9"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ascii="Segoe UI Symbol" w:eastAsia="Times New Roman" w:hAnsi="Segoe UI Symbol" w:cs="Segoe UI Symbol"/>
                <w:sz w:val="20"/>
                <w:lang w:eastAsia="sk-SK"/>
              </w:rPr>
              <w:t>✗</w:t>
            </w:r>
          </w:p>
        </w:tc>
        <w:tc>
          <w:tcPr>
            <w:tcW w:w="1418" w:type="dxa"/>
            <w:tcBorders>
              <w:top w:val="nil"/>
              <w:left w:val="nil"/>
              <w:bottom w:val="nil"/>
              <w:right w:val="nil"/>
            </w:tcBorders>
            <w:shd w:val="clear" w:color="000000" w:fill="FFFFFF"/>
            <w:vAlign w:val="center"/>
            <w:hideMark/>
          </w:tcPr>
          <w:p w14:paraId="09372DFF"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eastAsia="Times New Roman" w:cs="Times New Roman"/>
                <w:sz w:val="20"/>
                <w:lang w:eastAsia="sk-SK"/>
              </w:rPr>
              <w:t>O</w:t>
            </w:r>
          </w:p>
        </w:tc>
      </w:tr>
      <w:tr w:rsidR="007C0188" w:rsidRPr="00CA2564" w14:paraId="25F2425D" w14:textId="77777777" w:rsidTr="007C4E85">
        <w:trPr>
          <w:trHeight w:val="330"/>
        </w:trPr>
        <w:tc>
          <w:tcPr>
            <w:tcW w:w="1985" w:type="dxa"/>
            <w:tcBorders>
              <w:top w:val="nil"/>
              <w:left w:val="nil"/>
              <w:bottom w:val="nil"/>
              <w:right w:val="nil"/>
            </w:tcBorders>
            <w:shd w:val="clear" w:color="000000" w:fill="FFFFFF"/>
            <w:noWrap/>
            <w:vAlign w:val="center"/>
            <w:hideMark/>
          </w:tcPr>
          <w:p w14:paraId="1910A79A" w14:textId="77777777" w:rsidR="007C0188" w:rsidRPr="00CA2564" w:rsidRDefault="007C0188" w:rsidP="007C4E85">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Košice-Šaca</w:t>
            </w:r>
          </w:p>
        </w:tc>
        <w:tc>
          <w:tcPr>
            <w:tcW w:w="850" w:type="dxa"/>
            <w:tcBorders>
              <w:top w:val="nil"/>
              <w:left w:val="nil"/>
              <w:bottom w:val="nil"/>
              <w:right w:val="nil"/>
            </w:tcBorders>
            <w:shd w:val="clear" w:color="000000" w:fill="FFFFFF"/>
            <w:noWrap/>
            <w:vAlign w:val="center"/>
            <w:hideMark/>
          </w:tcPr>
          <w:p w14:paraId="2EFA8DFF"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2009</w:t>
            </w:r>
          </w:p>
        </w:tc>
        <w:tc>
          <w:tcPr>
            <w:tcW w:w="1985" w:type="dxa"/>
            <w:tcBorders>
              <w:top w:val="nil"/>
              <w:left w:val="nil"/>
              <w:bottom w:val="nil"/>
              <w:right w:val="nil"/>
            </w:tcBorders>
            <w:shd w:val="clear" w:color="000000" w:fill="FFFFFF"/>
            <w:noWrap/>
            <w:vAlign w:val="center"/>
            <w:hideMark/>
          </w:tcPr>
          <w:p w14:paraId="5D263B50"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0</w:t>
            </w:r>
          </w:p>
        </w:tc>
        <w:tc>
          <w:tcPr>
            <w:tcW w:w="1134" w:type="dxa"/>
            <w:tcBorders>
              <w:top w:val="nil"/>
              <w:left w:val="nil"/>
              <w:bottom w:val="nil"/>
              <w:right w:val="nil"/>
            </w:tcBorders>
            <w:shd w:val="clear" w:color="000000" w:fill="FFFFFF"/>
            <w:noWrap/>
            <w:vAlign w:val="center"/>
            <w:hideMark/>
          </w:tcPr>
          <w:p w14:paraId="1EBE5770"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393</w:t>
            </w:r>
          </w:p>
        </w:tc>
        <w:tc>
          <w:tcPr>
            <w:tcW w:w="1134" w:type="dxa"/>
            <w:tcBorders>
              <w:top w:val="nil"/>
              <w:left w:val="nil"/>
              <w:bottom w:val="nil"/>
              <w:right w:val="nil"/>
            </w:tcBorders>
            <w:shd w:val="clear" w:color="000000" w:fill="FFFFFF"/>
            <w:noWrap/>
            <w:vAlign w:val="center"/>
            <w:hideMark/>
          </w:tcPr>
          <w:p w14:paraId="072D2255"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193</w:t>
            </w:r>
          </w:p>
        </w:tc>
        <w:tc>
          <w:tcPr>
            <w:tcW w:w="1134" w:type="dxa"/>
            <w:tcBorders>
              <w:top w:val="nil"/>
              <w:left w:val="nil"/>
              <w:bottom w:val="nil"/>
              <w:right w:val="nil"/>
            </w:tcBorders>
            <w:shd w:val="clear" w:color="000000" w:fill="FFFFFF"/>
            <w:noWrap/>
            <w:vAlign w:val="center"/>
            <w:hideMark/>
          </w:tcPr>
          <w:p w14:paraId="698AC4A8"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108</w:t>
            </w:r>
          </w:p>
        </w:tc>
        <w:tc>
          <w:tcPr>
            <w:tcW w:w="1417" w:type="dxa"/>
            <w:tcBorders>
              <w:top w:val="nil"/>
              <w:left w:val="nil"/>
              <w:bottom w:val="nil"/>
              <w:right w:val="nil"/>
            </w:tcBorders>
            <w:shd w:val="clear" w:color="000000" w:fill="FFFFFF"/>
            <w:vAlign w:val="center"/>
            <w:hideMark/>
          </w:tcPr>
          <w:p w14:paraId="0BA76090"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 </w:t>
            </w:r>
          </w:p>
        </w:tc>
        <w:tc>
          <w:tcPr>
            <w:tcW w:w="1417" w:type="dxa"/>
            <w:tcBorders>
              <w:top w:val="nil"/>
              <w:left w:val="nil"/>
              <w:bottom w:val="nil"/>
              <w:right w:val="nil"/>
            </w:tcBorders>
            <w:shd w:val="clear" w:color="000000" w:fill="FFFFFF"/>
            <w:vAlign w:val="center"/>
            <w:hideMark/>
          </w:tcPr>
          <w:p w14:paraId="2F302DA2"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ascii="Segoe UI Symbol" w:eastAsia="Times New Roman" w:hAnsi="Segoe UI Symbol" w:cs="Segoe UI Symbol"/>
                <w:sz w:val="20"/>
                <w:lang w:eastAsia="sk-SK"/>
              </w:rPr>
              <w:t>✗</w:t>
            </w:r>
          </w:p>
        </w:tc>
        <w:tc>
          <w:tcPr>
            <w:tcW w:w="1418" w:type="dxa"/>
            <w:tcBorders>
              <w:top w:val="nil"/>
              <w:left w:val="nil"/>
              <w:bottom w:val="nil"/>
              <w:right w:val="nil"/>
            </w:tcBorders>
            <w:shd w:val="clear" w:color="000000" w:fill="FFFFFF"/>
            <w:vAlign w:val="center"/>
            <w:hideMark/>
          </w:tcPr>
          <w:p w14:paraId="665377F7"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ascii="Segoe UI Symbol" w:eastAsia="Times New Roman" w:hAnsi="Segoe UI Symbol" w:cs="Segoe UI Symbol"/>
                <w:sz w:val="20"/>
                <w:lang w:eastAsia="sk-SK"/>
              </w:rPr>
              <w:t>✓</w:t>
            </w:r>
          </w:p>
        </w:tc>
        <w:tc>
          <w:tcPr>
            <w:tcW w:w="1418" w:type="dxa"/>
            <w:tcBorders>
              <w:top w:val="nil"/>
              <w:left w:val="nil"/>
              <w:bottom w:val="nil"/>
              <w:right w:val="nil"/>
            </w:tcBorders>
            <w:shd w:val="clear" w:color="000000" w:fill="FFFFFF"/>
            <w:vAlign w:val="center"/>
            <w:hideMark/>
          </w:tcPr>
          <w:p w14:paraId="2B2E2FF3"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eastAsia="Times New Roman" w:cs="Times New Roman"/>
                <w:sz w:val="20"/>
                <w:lang w:eastAsia="sk-SK"/>
              </w:rPr>
              <w:t>O, N</w:t>
            </w:r>
          </w:p>
        </w:tc>
      </w:tr>
      <w:tr w:rsidR="007C0188" w:rsidRPr="00CA2564" w14:paraId="5DA487CD" w14:textId="77777777" w:rsidTr="007C4E85">
        <w:trPr>
          <w:trHeight w:val="330"/>
        </w:trPr>
        <w:tc>
          <w:tcPr>
            <w:tcW w:w="1985" w:type="dxa"/>
            <w:tcBorders>
              <w:top w:val="nil"/>
              <w:left w:val="nil"/>
              <w:bottom w:val="nil"/>
              <w:right w:val="nil"/>
            </w:tcBorders>
            <w:shd w:val="clear" w:color="000000" w:fill="FFFFFF"/>
            <w:noWrap/>
            <w:vAlign w:val="center"/>
            <w:hideMark/>
          </w:tcPr>
          <w:p w14:paraId="59E8AF64" w14:textId="77777777" w:rsidR="007C0188" w:rsidRPr="00CA2564" w:rsidRDefault="007C0188" w:rsidP="007C4E85">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Martin</w:t>
            </w:r>
          </w:p>
        </w:tc>
        <w:tc>
          <w:tcPr>
            <w:tcW w:w="850" w:type="dxa"/>
            <w:tcBorders>
              <w:top w:val="nil"/>
              <w:left w:val="nil"/>
              <w:bottom w:val="nil"/>
              <w:right w:val="nil"/>
            </w:tcBorders>
            <w:shd w:val="clear" w:color="000000" w:fill="FFFFFF"/>
            <w:noWrap/>
            <w:vAlign w:val="center"/>
            <w:hideMark/>
          </w:tcPr>
          <w:p w14:paraId="4E9D85B7"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1994</w:t>
            </w:r>
          </w:p>
        </w:tc>
        <w:tc>
          <w:tcPr>
            <w:tcW w:w="1985" w:type="dxa"/>
            <w:tcBorders>
              <w:top w:val="nil"/>
              <w:left w:val="nil"/>
              <w:bottom w:val="nil"/>
              <w:right w:val="nil"/>
            </w:tcBorders>
            <w:shd w:val="clear" w:color="000000" w:fill="FFFFFF"/>
            <w:noWrap/>
            <w:vAlign w:val="center"/>
            <w:hideMark/>
          </w:tcPr>
          <w:p w14:paraId="0C1F9706"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0</w:t>
            </w:r>
          </w:p>
        </w:tc>
        <w:tc>
          <w:tcPr>
            <w:tcW w:w="1134" w:type="dxa"/>
            <w:tcBorders>
              <w:top w:val="nil"/>
              <w:left w:val="nil"/>
              <w:bottom w:val="nil"/>
              <w:right w:val="nil"/>
            </w:tcBorders>
            <w:shd w:val="clear" w:color="000000" w:fill="FFFFFF"/>
            <w:noWrap/>
            <w:vAlign w:val="center"/>
            <w:hideMark/>
          </w:tcPr>
          <w:p w14:paraId="32F176FB"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331</w:t>
            </w:r>
          </w:p>
        </w:tc>
        <w:tc>
          <w:tcPr>
            <w:tcW w:w="1134" w:type="dxa"/>
            <w:tcBorders>
              <w:top w:val="nil"/>
              <w:left w:val="nil"/>
              <w:bottom w:val="nil"/>
              <w:right w:val="nil"/>
            </w:tcBorders>
            <w:shd w:val="clear" w:color="000000" w:fill="FFFFFF"/>
            <w:noWrap/>
            <w:vAlign w:val="center"/>
            <w:hideMark/>
          </w:tcPr>
          <w:p w14:paraId="746E3EB1"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331</w:t>
            </w:r>
          </w:p>
        </w:tc>
        <w:tc>
          <w:tcPr>
            <w:tcW w:w="1134" w:type="dxa"/>
            <w:tcBorders>
              <w:top w:val="nil"/>
              <w:left w:val="nil"/>
              <w:bottom w:val="nil"/>
              <w:right w:val="nil"/>
            </w:tcBorders>
            <w:shd w:val="clear" w:color="000000" w:fill="FFFFFF"/>
            <w:noWrap/>
            <w:vAlign w:val="center"/>
            <w:hideMark/>
          </w:tcPr>
          <w:p w14:paraId="4467FF64"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142</w:t>
            </w:r>
          </w:p>
        </w:tc>
        <w:tc>
          <w:tcPr>
            <w:tcW w:w="1417" w:type="dxa"/>
            <w:tcBorders>
              <w:top w:val="nil"/>
              <w:left w:val="nil"/>
              <w:bottom w:val="nil"/>
              <w:right w:val="nil"/>
            </w:tcBorders>
            <w:shd w:val="clear" w:color="000000" w:fill="FFFFFF"/>
            <w:vAlign w:val="center"/>
            <w:hideMark/>
          </w:tcPr>
          <w:p w14:paraId="64BD792A"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331</w:t>
            </w:r>
          </w:p>
        </w:tc>
        <w:tc>
          <w:tcPr>
            <w:tcW w:w="1417" w:type="dxa"/>
            <w:tcBorders>
              <w:top w:val="nil"/>
              <w:left w:val="nil"/>
              <w:bottom w:val="nil"/>
              <w:right w:val="nil"/>
            </w:tcBorders>
            <w:shd w:val="clear" w:color="000000" w:fill="FFFFFF"/>
            <w:vAlign w:val="center"/>
            <w:hideMark/>
          </w:tcPr>
          <w:p w14:paraId="53DE384B"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ascii="Segoe UI Symbol" w:eastAsia="Times New Roman" w:hAnsi="Segoe UI Symbol" w:cs="Segoe UI Symbol"/>
                <w:sz w:val="20"/>
                <w:lang w:eastAsia="sk-SK"/>
              </w:rPr>
              <w:t>✗</w:t>
            </w:r>
          </w:p>
        </w:tc>
        <w:tc>
          <w:tcPr>
            <w:tcW w:w="1418" w:type="dxa"/>
            <w:tcBorders>
              <w:top w:val="nil"/>
              <w:left w:val="nil"/>
              <w:bottom w:val="nil"/>
              <w:right w:val="nil"/>
            </w:tcBorders>
            <w:shd w:val="clear" w:color="000000" w:fill="FFFFFF"/>
            <w:vAlign w:val="center"/>
            <w:hideMark/>
          </w:tcPr>
          <w:p w14:paraId="0F226EA4"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ascii="Segoe UI Symbol" w:eastAsia="Times New Roman" w:hAnsi="Segoe UI Symbol" w:cs="Segoe UI Symbol"/>
                <w:sz w:val="20"/>
                <w:lang w:eastAsia="sk-SK"/>
              </w:rPr>
              <w:t>✓</w:t>
            </w:r>
          </w:p>
        </w:tc>
        <w:tc>
          <w:tcPr>
            <w:tcW w:w="1418" w:type="dxa"/>
            <w:tcBorders>
              <w:top w:val="nil"/>
              <w:left w:val="nil"/>
              <w:bottom w:val="nil"/>
              <w:right w:val="nil"/>
            </w:tcBorders>
            <w:shd w:val="clear" w:color="000000" w:fill="FFFFFF"/>
            <w:vAlign w:val="center"/>
            <w:hideMark/>
          </w:tcPr>
          <w:p w14:paraId="36FB3171"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eastAsia="Times New Roman" w:cs="Times New Roman"/>
                <w:sz w:val="20"/>
                <w:lang w:eastAsia="sk-SK"/>
              </w:rPr>
              <w:t>O</w:t>
            </w:r>
          </w:p>
        </w:tc>
      </w:tr>
      <w:tr w:rsidR="007C0188" w:rsidRPr="00CA2564" w14:paraId="64A3F78B" w14:textId="77777777" w:rsidTr="007C4E85">
        <w:trPr>
          <w:trHeight w:val="330"/>
        </w:trPr>
        <w:tc>
          <w:tcPr>
            <w:tcW w:w="1985" w:type="dxa"/>
            <w:tcBorders>
              <w:top w:val="nil"/>
              <w:left w:val="nil"/>
              <w:bottom w:val="nil"/>
              <w:right w:val="nil"/>
            </w:tcBorders>
            <w:shd w:val="clear" w:color="000000" w:fill="FFFFFF"/>
            <w:noWrap/>
            <w:vAlign w:val="center"/>
            <w:hideMark/>
          </w:tcPr>
          <w:p w14:paraId="0BFAB5D1" w14:textId="77777777" w:rsidR="007C0188" w:rsidRPr="00CA2564" w:rsidRDefault="007C0188" w:rsidP="007C4E85">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Banská Bystrica</w:t>
            </w:r>
          </w:p>
        </w:tc>
        <w:tc>
          <w:tcPr>
            <w:tcW w:w="850" w:type="dxa"/>
            <w:tcBorders>
              <w:top w:val="nil"/>
              <w:left w:val="nil"/>
              <w:bottom w:val="nil"/>
              <w:right w:val="nil"/>
            </w:tcBorders>
            <w:shd w:val="clear" w:color="000000" w:fill="FFFFFF"/>
            <w:noWrap/>
            <w:vAlign w:val="center"/>
            <w:hideMark/>
          </w:tcPr>
          <w:p w14:paraId="2C1DCD72"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1988</w:t>
            </w:r>
          </w:p>
        </w:tc>
        <w:tc>
          <w:tcPr>
            <w:tcW w:w="1985" w:type="dxa"/>
            <w:tcBorders>
              <w:top w:val="nil"/>
              <w:left w:val="nil"/>
              <w:bottom w:val="nil"/>
              <w:right w:val="nil"/>
            </w:tcBorders>
            <w:shd w:val="clear" w:color="000000" w:fill="FFFFFF"/>
            <w:noWrap/>
            <w:vAlign w:val="center"/>
            <w:hideMark/>
          </w:tcPr>
          <w:p w14:paraId="0E5F62F0"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0</w:t>
            </w:r>
          </w:p>
        </w:tc>
        <w:tc>
          <w:tcPr>
            <w:tcW w:w="1134" w:type="dxa"/>
            <w:tcBorders>
              <w:top w:val="nil"/>
              <w:left w:val="nil"/>
              <w:bottom w:val="nil"/>
              <w:right w:val="nil"/>
            </w:tcBorders>
            <w:shd w:val="clear" w:color="000000" w:fill="FFFFFF"/>
            <w:noWrap/>
            <w:vAlign w:val="center"/>
            <w:hideMark/>
          </w:tcPr>
          <w:p w14:paraId="7C634077"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531</w:t>
            </w:r>
          </w:p>
        </w:tc>
        <w:tc>
          <w:tcPr>
            <w:tcW w:w="1134" w:type="dxa"/>
            <w:tcBorders>
              <w:top w:val="nil"/>
              <w:left w:val="nil"/>
              <w:bottom w:val="nil"/>
              <w:right w:val="nil"/>
            </w:tcBorders>
            <w:shd w:val="clear" w:color="000000" w:fill="FFFFFF"/>
            <w:noWrap/>
            <w:vAlign w:val="center"/>
            <w:hideMark/>
          </w:tcPr>
          <w:p w14:paraId="06AD06AD"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225</w:t>
            </w:r>
          </w:p>
        </w:tc>
        <w:tc>
          <w:tcPr>
            <w:tcW w:w="1134" w:type="dxa"/>
            <w:tcBorders>
              <w:top w:val="nil"/>
              <w:left w:val="nil"/>
              <w:bottom w:val="nil"/>
              <w:right w:val="nil"/>
            </w:tcBorders>
            <w:shd w:val="clear" w:color="000000" w:fill="FFFFFF"/>
            <w:noWrap/>
            <w:vAlign w:val="center"/>
            <w:hideMark/>
          </w:tcPr>
          <w:p w14:paraId="36E5CEA0"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13</w:t>
            </w:r>
          </w:p>
        </w:tc>
        <w:tc>
          <w:tcPr>
            <w:tcW w:w="1417" w:type="dxa"/>
            <w:tcBorders>
              <w:top w:val="nil"/>
              <w:left w:val="nil"/>
              <w:bottom w:val="nil"/>
              <w:right w:val="nil"/>
            </w:tcBorders>
            <w:shd w:val="clear" w:color="000000" w:fill="FFFFFF"/>
            <w:vAlign w:val="center"/>
            <w:hideMark/>
          </w:tcPr>
          <w:p w14:paraId="2934974F"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 </w:t>
            </w:r>
          </w:p>
        </w:tc>
        <w:tc>
          <w:tcPr>
            <w:tcW w:w="1417" w:type="dxa"/>
            <w:tcBorders>
              <w:top w:val="nil"/>
              <w:left w:val="nil"/>
              <w:bottom w:val="nil"/>
              <w:right w:val="nil"/>
            </w:tcBorders>
            <w:shd w:val="clear" w:color="000000" w:fill="FFFFFF"/>
            <w:vAlign w:val="center"/>
            <w:hideMark/>
          </w:tcPr>
          <w:p w14:paraId="619D7A9A"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ascii="Segoe UI Symbol" w:eastAsia="Times New Roman" w:hAnsi="Segoe UI Symbol" w:cs="Segoe UI Symbol"/>
                <w:sz w:val="20"/>
                <w:lang w:eastAsia="sk-SK"/>
              </w:rPr>
              <w:t>✗</w:t>
            </w:r>
          </w:p>
        </w:tc>
        <w:tc>
          <w:tcPr>
            <w:tcW w:w="1418" w:type="dxa"/>
            <w:tcBorders>
              <w:top w:val="nil"/>
              <w:left w:val="nil"/>
              <w:bottom w:val="nil"/>
              <w:right w:val="nil"/>
            </w:tcBorders>
            <w:shd w:val="clear" w:color="000000" w:fill="FFFFFF"/>
            <w:vAlign w:val="center"/>
            <w:hideMark/>
          </w:tcPr>
          <w:p w14:paraId="71755C08"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ascii="Segoe UI Symbol" w:eastAsia="Times New Roman" w:hAnsi="Segoe UI Symbol" w:cs="Segoe UI Symbol"/>
                <w:sz w:val="20"/>
                <w:lang w:eastAsia="sk-SK"/>
              </w:rPr>
              <w:t>✗</w:t>
            </w:r>
          </w:p>
        </w:tc>
        <w:tc>
          <w:tcPr>
            <w:tcW w:w="1418" w:type="dxa"/>
            <w:tcBorders>
              <w:top w:val="nil"/>
              <w:left w:val="nil"/>
              <w:bottom w:val="nil"/>
              <w:right w:val="nil"/>
            </w:tcBorders>
            <w:shd w:val="clear" w:color="000000" w:fill="FFFFFF"/>
            <w:vAlign w:val="center"/>
            <w:hideMark/>
          </w:tcPr>
          <w:p w14:paraId="3E5882F0"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eastAsia="Times New Roman" w:cs="Times New Roman"/>
                <w:sz w:val="20"/>
                <w:lang w:eastAsia="sk-SK"/>
              </w:rPr>
              <w:t>I</w:t>
            </w:r>
          </w:p>
        </w:tc>
      </w:tr>
      <w:tr w:rsidR="007C0188" w:rsidRPr="00CA2564" w14:paraId="7AD2934F" w14:textId="77777777" w:rsidTr="007C4E85">
        <w:trPr>
          <w:trHeight w:val="330"/>
        </w:trPr>
        <w:tc>
          <w:tcPr>
            <w:tcW w:w="1985" w:type="dxa"/>
            <w:tcBorders>
              <w:top w:val="nil"/>
              <w:left w:val="nil"/>
              <w:bottom w:val="nil"/>
              <w:right w:val="nil"/>
            </w:tcBorders>
            <w:shd w:val="clear" w:color="000000" w:fill="FFFFFF"/>
            <w:noWrap/>
            <w:vAlign w:val="center"/>
            <w:hideMark/>
          </w:tcPr>
          <w:p w14:paraId="015C7ED8" w14:textId="77777777" w:rsidR="007C0188" w:rsidRPr="00CA2564" w:rsidRDefault="007C0188" w:rsidP="007C4E85">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Maršová</w:t>
            </w:r>
          </w:p>
        </w:tc>
        <w:tc>
          <w:tcPr>
            <w:tcW w:w="850" w:type="dxa"/>
            <w:tcBorders>
              <w:top w:val="nil"/>
              <w:left w:val="nil"/>
              <w:bottom w:val="nil"/>
              <w:right w:val="nil"/>
            </w:tcBorders>
            <w:shd w:val="clear" w:color="000000" w:fill="FFFFFF"/>
            <w:noWrap/>
            <w:vAlign w:val="center"/>
            <w:hideMark/>
          </w:tcPr>
          <w:p w14:paraId="547AD4CC"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1986</w:t>
            </w:r>
          </w:p>
        </w:tc>
        <w:tc>
          <w:tcPr>
            <w:tcW w:w="1985" w:type="dxa"/>
            <w:tcBorders>
              <w:top w:val="nil"/>
              <w:left w:val="nil"/>
              <w:bottom w:val="nil"/>
              <w:right w:val="nil"/>
            </w:tcBorders>
            <w:shd w:val="clear" w:color="000000" w:fill="FFFFFF"/>
            <w:noWrap/>
            <w:vAlign w:val="center"/>
            <w:hideMark/>
          </w:tcPr>
          <w:p w14:paraId="07427606"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0</w:t>
            </w:r>
          </w:p>
        </w:tc>
        <w:tc>
          <w:tcPr>
            <w:tcW w:w="1134" w:type="dxa"/>
            <w:tcBorders>
              <w:top w:val="nil"/>
              <w:left w:val="nil"/>
              <w:bottom w:val="nil"/>
              <w:right w:val="nil"/>
            </w:tcBorders>
            <w:shd w:val="clear" w:color="000000" w:fill="FFFFFF"/>
            <w:noWrap/>
            <w:vAlign w:val="center"/>
            <w:hideMark/>
          </w:tcPr>
          <w:p w14:paraId="1BB66FF1"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184</w:t>
            </w:r>
          </w:p>
        </w:tc>
        <w:tc>
          <w:tcPr>
            <w:tcW w:w="1134" w:type="dxa"/>
            <w:tcBorders>
              <w:top w:val="nil"/>
              <w:left w:val="nil"/>
              <w:bottom w:val="nil"/>
              <w:right w:val="nil"/>
            </w:tcBorders>
            <w:shd w:val="clear" w:color="000000" w:fill="FFFFFF"/>
            <w:noWrap/>
            <w:vAlign w:val="center"/>
            <w:hideMark/>
          </w:tcPr>
          <w:p w14:paraId="40F12706"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0</w:t>
            </w:r>
          </w:p>
        </w:tc>
        <w:tc>
          <w:tcPr>
            <w:tcW w:w="1134" w:type="dxa"/>
            <w:tcBorders>
              <w:top w:val="nil"/>
              <w:left w:val="nil"/>
              <w:bottom w:val="nil"/>
              <w:right w:val="nil"/>
            </w:tcBorders>
            <w:shd w:val="clear" w:color="000000" w:fill="FFFFFF"/>
            <w:noWrap/>
            <w:vAlign w:val="center"/>
            <w:hideMark/>
          </w:tcPr>
          <w:p w14:paraId="7E72ED0A"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0</w:t>
            </w:r>
          </w:p>
        </w:tc>
        <w:tc>
          <w:tcPr>
            <w:tcW w:w="1417" w:type="dxa"/>
            <w:tcBorders>
              <w:top w:val="nil"/>
              <w:left w:val="nil"/>
              <w:bottom w:val="nil"/>
              <w:right w:val="nil"/>
            </w:tcBorders>
            <w:shd w:val="clear" w:color="000000" w:fill="FFFFFF"/>
            <w:vAlign w:val="center"/>
            <w:hideMark/>
          </w:tcPr>
          <w:p w14:paraId="19FC8D00"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 </w:t>
            </w:r>
          </w:p>
        </w:tc>
        <w:tc>
          <w:tcPr>
            <w:tcW w:w="1417" w:type="dxa"/>
            <w:tcBorders>
              <w:top w:val="nil"/>
              <w:left w:val="nil"/>
              <w:bottom w:val="nil"/>
              <w:right w:val="nil"/>
            </w:tcBorders>
            <w:shd w:val="clear" w:color="000000" w:fill="FFFFFF"/>
            <w:vAlign w:val="center"/>
            <w:hideMark/>
          </w:tcPr>
          <w:p w14:paraId="08B9EFED"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ascii="Segoe UI Symbol" w:eastAsia="Times New Roman" w:hAnsi="Segoe UI Symbol" w:cs="Segoe UI Symbol"/>
                <w:sz w:val="20"/>
                <w:lang w:eastAsia="sk-SK"/>
              </w:rPr>
              <w:t>✗</w:t>
            </w:r>
          </w:p>
        </w:tc>
        <w:tc>
          <w:tcPr>
            <w:tcW w:w="1418" w:type="dxa"/>
            <w:tcBorders>
              <w:top w:val="nil"/>
              <w:left w:val="nil"/>
              <w:bottom w:val="nil"/>
              <w:right w:val="nil"/>
            </w:tcBorders>
            <w:shd w:val="clear" w:color="000000" w:fill="FFFFFF"/>
            <w:vAlign w:val="center"/>
            <w:hideMark/>
          </w:tcPr>
          <w:p w14:paraId="6036100B"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ascii="Segoe UI Symbol" w:eastAsia="Times New Roman" w:hAnsi="Segoe UI Symbol" w:cs="Segoe UI Symbol"/>
                <w:sz w:val="20"/>
                <w:lang w:eastAsia="sk-SK"/>
              </w:rPr>
              <w:t>✗</w:t>
            </w:r>
          </w:p>
        </w:tc>
        <w:tc>
          <w:tcPr>
            <w:tcW w:w="1418" w:type="dxa"/>
            <w:tcBorders>
              <w:top w:val="nil"/>
              <w:left w:val="nil"/>
              <w:bottom w:val="nil"/>
              <w:right w:val="nil"/>
            </w:tcBorders>
            <w:shd w:val="clear" w:color="000000" w:fill="FFFFFF"/>
            <w:vAlign w:val="center"/>
            <w:hideMark/>
          </w:tcPr>
          <w:p w14:paraId="151251A3"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eastAsia="Times New Roman" w:cs="Times New Roman"/>
                <w:sz w:val="20"/>
                <w:lang w:eastAsia="sk-SK"/>
              </w:rPr>
              <w:t>O</w:t>
            </w:r>
          </w:p>
        </w:tc>
      </w:tr>
      <w:tr w:rsidR="007C0188" w:rsidRPr="00CA2564" w14:paraId="3712F634" w14:textId="77777777" w:rsidTr="007C4E85">
        <w:trPr>
          <w:trHeight w:val="330"/>
        </w:trPr>
        <w:tc>
          <w:tcPr>
            <w:tcW w:w="1985" w:type="dxa"/>
            <w:tcBorders>
              <w:top w:val="nil"/>
              <w:left w:val="nil"/>
              <w:bottom w:val="nil"/>
              <w:right w:val="nil"/>
            </w:tcBorders>
            <w:shd w:val="clear" w:color="000000" w:fill="FFFFFF"/>
            <w:noWrap/>
            <w:vAlign w:val="center"/>
            <w:hideMark/>
          </w:tcPr>
          <w:p w14:paraId="7B6A2745" w14:textId="77777777" w:rsidR="007C0188" w:rsidRPr="00CA2564" w:rsidRDefault="007C0188" w:rsidP="007C4E85">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Bajtava</w:t>
            </w:r>
          </w:p>
        </w:tc>
        <w:tc>
          <w:tcPr>
            <w:tcW w:w="850" w:type="dxa"/>
            <w:tcBorders>
              <w:top w:val="nil"/>
              <w:left w:val="nil"/>
              <w:bottom w:val="nil"/>
              <w:right w:val="nil"/>
            </w:tcBorders>
            <w:shd w:val="clear" w:color="000000" w:fill="FFFFFF"/>
            <w:noWrap/>
            <w:vAlign w:val="center"/>
            <w:hideMark/>
          </w:tcPr>
          <w:p w14:paraId="32717FB9"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1993</w:t>
            </w:r>
          </w:p>
        </w:tc>
        <w:tc>
          <w:tcPr>
            <w:tcW w:w="1985" w:type="dxa"/>
            <w:tcBorders>
              <w:top w:val="nil"/>
              <w:left w:val="nil"/>
              <w:bottom w:val="nil"/>
              <w:right w:val="nil"/>
            </w:tcBorders>
            <w:shd w:val="clear" w:color="000000" w:fill="FFFFFF"/>
            <w:noWrap/>
            <w:vAlign w:val="center"/>
            <w:hideMark/>
          </w:tcPr>
          <w:p w14:paraId="473DA736"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0</w:t>
            </w:r>
          </w:p>
        </w:tc>
        <w:tc>
          <w:tcPr>
            <w:tcW w:w="1134" w:type="dxa"/>
            <w:tcBorders>
              <w:top w:val="nil"/>
              <w:left w:val="nil"/>
              <w:bottom w:val="nil"/>
              <w:right w:val="nil"/>
            </w:tcBorders>
            <w:shd w:val="clear" w:color="000000" w:fill="FFFFFF"/>
            <w:noWrap/>
            <w:vAlign w:val="center"/>
            <w:hideMark/>
          </w:tcPr>
          <w:p w14:paraId="234495A4"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270</w:t>
            </w:r>
          </w:p>
        </w:tc>
        <w:tc>
          <w:tcPr>
            <w:tcW w:w="1134" w:type="dxa"/>
            <w:tcBorders>
              <w:top w:val="nil"/>
              <w:left w:val="nil"/>
              <w:bottom w:val="nil"/>
              <w:right w:val="nil"/>
            </w:tcBorders>
            <w:shd w:val="clear" w:color="000000" w:fill="FFFFFF"/>
            <w:noWrap/>
            <w:vAlign w:val="center"/>
            <w:hideMark/>
          </w:tcPr>
          <w:p w14:paraId="192D71F2"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58</w:t>
            </w:r>
          </w:p>
        </w:tc>
        <w:tc>
          <w:tcPr>
            <w:tcW w:w="1134" w:type="dxa"/>
            <w:tcBorders>
              <w:top w:val="nil"/>
              <w:left w:val="nil"/>
              <w:bottom w:val="nil"/>
              <w:right w:val="nil"/>
            </w:tcBorders>
            <w:shd w:val="clear" w:color="000000" w:fill="FFFFFF"/>
            <w:noWrap/>
            <w:vAlign w:val="center"/>
            <w:hideMark/>
          </w:tcPr>
          <w:p w14:paraId="7F7921AF"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0</w:t>
            </w:r>
          </w:p>
        </w:tc>
        <w:tc>
          <w:tcPr>
            <w:tcW w:w="1417" w:type="dxa"/>
            <w:tcBorders>
              <w:top w:val="nil"/>
              <w:left w:val="nil"/>
              <w:bottom w:val="nil"/>
              <w:right w:val="nil"/>
            </w:tcBorders>
            <w:shd w:val="clear" w:color="000000" w:fill="FFFFFF"/>
            <w:vAlign w:val="center"/>
            <w:hideMark/>
          </w:tcPr>
          <w:p w14:paraId="650E2F6E"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 </w:t>
            </w:r>
          </w:p>
        </w:tc>
        <w:tc>
          <w:tcPr>
            <w:tcW w:w="1417" w:type="dxa"/>
            <w:tcBorders>
              <w:top w:val="nil"/>
              <w:left w:val="nil"/>
              <w:bottom w:val="nil"/>
              <w:right w:val="nil"/>
            </w:tcBorders>
            <w:shd w:val="clear" w:color="000000" w:fill="FFFFFF"/>
            <w:vAlign w:val="center"/>
            <w:hideMark/>
          </w:tcPr>
          <w:p w14:paraId="6C3E8EB6"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ascii="Segoe UI Symbol" w:eastAsia="Times New Roman" w:hAnsi="Segoe UI Symbol" w:cs="Segoe UI Symbol"/>
                <w:sz w:val="20"/>
                <w:lang w:eastAsia="sk-SK"/>
              </w:rPr>
              <w:t>✓</w:t>
            </w:r>
          </w:p>
        </w:tc>
        <w:tc>
          <w:tcPr>
            <w:tcW w:w="1418" w:type="dxa"/>
            <w:tcBorders>
              <w:top w:val="nil"/>
              <w:left w:val="nil"/>
              <w:bottom w:val="nil"/>
              <w:right w:val="nil"/>
            </w:tcBorders>
            <w:shd w:val="clear" w:color="000000" w:fill="FFFFFF"/>
            <w:vAlign w:val="center"/>
            <w:hideMark/>
          </w:tcPr>
          <w:p w14:paraId="36F5D0B5"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ascii="Segoe UI Symbol" w:eastAsia="Times New Roman" w:hAnsi="Segoe UI Symbol" w:cs="Segoe UI Symbol"/>
                <w:sz w:val="20"/>
                <w:lang w:eastAsia="sk-SK"/>
              </w:rPr>
              <w:t>✗</w:t>
            </w:r>
          </w:p>
        </w:tc>
        <w:tc>
          <w:tcPr>
            <w:tcW w:w="1418" w:type="dxa"/>
            <w:tcBorders>
              <w:top w:val="nil"/>
              <w:left w:val="nil"/>
              <w:bottom w:val="nil"/>
              <w:right w:val="nil"/>
            </w:tcBorders>
            <w:shd w:val="clear" w:color="000000" w:fill="FFFFFF"/>
            <w:vAlign w:val="center"/>
            <w:hideMark/>
          </w:tcPr>
          <w:p w14:paraId="0F547B82"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eastAsia="Times New Roman" w:cs="Times New Roman"/>
                <w:sz w:val="20"/>
                <w:lang w:eastAsia="sk-SK"/>
              </w:rPr>
              <w:t>O</w:t>
            </w:r>
          </w:p>
        </w:tc>
      </w:tr>
      <w:tr w:rsidR="007C0188" w:rsidRPr="00CA2564" w14:paraId="2BFD790F" w14:textId="77777777" w:rsidTr="007C4E85">
        <w:trPr>
          <w:trHeight w:val="330"/>
        </w:trPr>
        <w:tc>
          <w:tcPr>
            <w:tcW w:w="1985" w:type="dxa"/>
            <w:tcBorders>
              <w:top w:val="nil"/>
              <w:left w:val="nil"/>
              <w:bottom w:val="nil"/>
              <w:right w:val="nil"/>
            </w:tcBorders>
            <w:shd w:val="clear" w:color="000000" w:fill="FFFFFF"/>
            <w:noWrap/>
            <w:vAlign w:val="center"/>
            <w:hideMark/>
          </w:tcPr>
          <w:p w14:paraId="6D7C09C5" w14:textId="77777777" w:rsidR="007C0188" w:rsidRPr="00CA2564" w:rsidRDefault="007C0188" w:rsidP="007C4E85">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Veľké Ozorovce</w:t>
            </w:r>
          </w:p>
        </w:tc>
        <w:tc>
          <w:tcPr>
            <w:tcW w:w="850" w:type="dxa"/>
            <w:tcBorders>
              <w:top w:val="nil"/>
              <w:left w:val="nil"/>
              <w:bottom w:val="nil"/>
              <w:right w:val="nil"/>
            </w:tcBorders>
            <w:shd w:val="clear" w:color="000000" w:fill="FFFFFF"/>
            <w:noWrap/>
            <w:vAlign w:val="center"/>
            <w:hideMark/>
          </w:tcPr>
          <w:p w14:paraId="4A8FC573"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2010</w:t>
            </w:r>
          </w:p>
        </w:tc>
        <w:tc>
          <w:tcPr>
            <w:tcW w:w="1985" w:type="dxa"/>
            <w:tcBorders>
              <w:top w:val="nil"/>
              <w:left w:val="nil"/>
              <w:bottom w:val="nil"/>
              <w:right w:val="nil"/>
            </w:tcBorders>
            <w:shd w:val="clear" w:color="000000" w:fill="FFFFFF"/>
            <w:noWrap/>
            <w:vAlign w:val="center"/>
            <w:hideMark/>
          </w:tcPr>
          <w:p w14:paraId="0896A26D"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0</w:t>
            </w:r>
          </w:p>
        </w:tc>
        <w:tc>
          <w:tcPr>
            <w:tcW w:w="1134" w:type="dxa"/>
            <w:tcBorders>
              <w:top w:val="nil"/>
              <w:left w:val="nil"/>
              <w:bottom w:val="nil"/>
              <w:right w:val="nil"/>
            </w:tcBorders>
            <w:shd w:val="clear" w:color="000000" w:fill="FFFFFF"/>
            <w:noWrap/>
            <w:vAlign w:val="center"/>
            <w:hideMark/>
          </w:tcPr>
          <w:p w14:paraId="15E1D451"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315</w:t>
            </w:r>
          </w:p>
        </w:tc>
        <w:tc>
          <w:tcPr>
            <w:tcW w:w="1134" w:type="dxa"/>
            <w:tcBorders>
              <w:top w:val="nil"/>
              <w:left w:val="nil"/>
              <w:bottom w:val="nil"/>
              <w:right w:val="nil"/>
            </w:tcBorders>
            <w:shd w:val="clear" w:color="000000" w:fill="FFFFFF"/>
            <w:noWrap/>
            <w:vAlign w:val="center"/>
            <w:hideMark/>
          </w:tcPr>
          <w:p w14:paraId="139ADB0E"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73</w:t>
            </w:r>
          </w:p>
        </w:tc>
        <w:tc>
          <w:tcPr>
            <w:tcW w:w="1134" w:type="dxa"/>
            <w:tcBorders>
              <w:top w:val="nil"/>
              <w:left w:val="nil"/>
              <w:bottom w:val="nil"/>
              <w:right w:val="nil"/>
            </w:tcBorders>
            <w:shd w:val="clear" w:color="000000" w:fill="FFFFFF"/>
            <w:noWrap/>
            <w:vAlign w:val="center"/>
            <w:hideMark/>
          </w:tcPr>
          <w:p w14:paraId="36D26155"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0</w:t>
            </w:r>
          </w:p>
        </w:tc>
        <w:tc>
          <w:tcPr>
            <w:tcW w:w="1417" w:type="dxa"/>
            <w:tcBorders>
              <w:top w:val="nil"/>
              <w:left w:val="nil"/>
              <w:bottom w:val="nil"/>
              <w:right w:val="nil"/>
            </w:tcBorders>
            <w:shd w:val="clear" w:color="000000" w:fill="FFFFFF"/>
            <w:vAlign w:val="center"/>
            <w:hideMark/>
          </w:tcPr>
          <w:p w14:paraId="3FECCB07"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73</w:t>
            </w:r>
          </w:p>
        </w:tc>
        <w:tc>
          <w:tcPr>
            <w:tcW w:w="1417" w:type="dxa"/>
            <w:tcBorders>
              <w:top w:val="nil"/>
              <w:left w:val="nil"/>
              <w:bottom w:val="nil"/>
              <w:right w:val="nil"/>
            </w:tcBorders>
            <w:shd w:val="clear" w:color="000000" w:fill="FFFFFF"/>
            <w:vAlign w:val="center"/>
            <w:hideMark/>
          </w:tcPr>
          <w:p w14:paraId="7A359A84"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ascii="Segoe UI Symbol" w:eastAsia="Times New Roman" w:hAnsi="Segoe UI Symbol" w:cs="Segoe UI Symbol"/>
                <w:sz w:val="20"/>
                <w:lang w:eastAsia="sk-SK"/>
              </w:rPr>
              <w:t>✗</w:t>
            </w:r>
          </w:p>
        </w:tc>
        <w:tc>
          <w:tcPr>
            <w:tcW w:w="1418" w:type="dxa"/>
            <w:tcBorders>
              <w:top w:val="nil"/>
              <w:left w:val="nil"/>
              <w:bottom w:val="nil"/>
              <w:right w:val="nil"/>
            </w:tcBorders>
            <w:shd w:val="clear" w:color="000000" w:fill="FFFFFF"/>
            <w:vAlign w:val="center"/>
            <w:hideMark/>
          </w:tcPr>
          <w:p w14:paraId="7575A506"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ascii="Segoe UI Symbol" w:eastAsia="Times New Roman" w:hAnsi="Segoe UI Symbol" w:cs="Segoe UI Symbol"/>
                <w:sz w:val="20"/>
                <w:lang w:eastAsia="sk-SK"/>
              </w:rPr>
              <w:t>✓</w:t>
            </w:r>
          </w:p>
        </w:tc>
        <w:tc>
          <w:tcPr>
            <w:tcW w:w="1418" w:type="dxa"/>
            <w:tcBorders>
              <w:top w:val="nil"/>
              <w:left w:val="nil"/>
              <w:bottom w:val="nil"/>
              <w:right w:val="nil"/>
            </w:tcBorders>
            <w:shd w:val="clear" w:color="000000" w:fill="FFFFFF"/>
            <w:vAlign w:val="center"/>
            <w:hideMark/>
          </w:tcPr>
          <w:p w14:paraId="3D48C6C0"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eastAsia="Times New Roman" w:cs="Times New Roman"/>
                <w:sz w:val="20"/>
                <w:lang w:eastAsia="sk-SK"/>
              </w:rPr>
              <w:t>O</w:t>
            </w:r>
          </w:p>
        </w:tc>
      </w:tr>
      <w:tr w:rsidR="007C0188" w:rsidRPr="00CA2564" w14:paraId="0BA1863F" w14:textId="77777777" w:rsidTr="007C4E85">
        <w:trPr>
          <w:trHeight w:val="330"/>
        </w:trPr>
        <w:tc>
          <w:tcPr>
            <w:tcW w:w="1985" w:type="dxa"/>
            <w:tcBorders>
              <w:top w:val="nil"/>
              <w:left w:val="nil"/>
              <w:bottom w:val="nil"/>
              <w:right w:val="nil"/>
            </w:tcBorders>
            <w:shd w:val="clear" w:color="000000" w:fill="FFFFFF"/>
            <w:noWrap/>
            <w:vAlign w:val="center"/>
            <w:hideMark/>
          </w:tcPr>
          <w:p w14:paraId="361A0EF7" w14:textId="77777777" w:rsidR="007C0188" w:rsidRPr="00CA2564" w:rsidRDefault="007C0188" w:rsidP="007C4E85">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Námestovo</w:t>
            </w:r>
          </w:p>
        </w:tc>
        <w:tc>
          <w:tcPr>
            <w:tcW w:w="850" w:type="dxa"/>
            <w:tcBorders>
              <w:top w:val="nil"/>
              <w:left w:val="nil"/>
              <w:bottom w:val="nil"/>
              <w:right w:val="nil"/>
            </w:tcBorders>
            <w:shd w:val="clear" w:color="000000" w:fill="FFFFFF"/>
            <w:noWrap/>
            <w:vAlign w:val="center"/>
            <w:hideMark/>
          </w:tcPr>
          <w:p w14:paraId="20BCDD65"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2010</w:t>
            </w:r>
          </w:p>
        </w:tc>
        <w:tc>
          <w:tcPr>
            <w:tcW w:w="1985" w:type="dxa"/>
            <w:tcBorders>
              <w:top w:val="nil"/>
              <w:left w:val="nil"/>
              <w:bottom w:val="nil"/>
              <w:right w:val="nil"/>
            </w:tcBorders>
            <w:shd w:val="clear" w:color="000000" w:fill="FFFFFF"/>
            <w:noWrap/>
            <w:vAlign w:val="center"/>
            <w:hideMark/>
          </w:tcPr>
          <w:p w14:paraId="08861FFF"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0</w:t>
            </w:r>
          </w:p>
        </w:tc>
        <w:tc>
          <w:tcPr>
            <w:tcW w:w="1134" w:type="dxa"/>
            <w:tcBorders>
              <w:top w:val="nil"/>
              <w:left w:val="nil"/>
              <w:bottom w:val="nil"/>
              <w:right w:val="nil"/>
            </w:tcBorders>
            <w:shd w:val="clear" w:color="000000" w:fill="FFFFFF"/>
            <w:noWrap/>
            <w:vAlign w:val="center"/>
            <w:hideMark/>
          </w:tcPr>
          <w:p w14:paraId="1C8624DF"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368</w:t>
            </w:r>
          </w:p>
        </w:tc>
        <w:tc>
          <w:tcPr>
            <w:tcW w:w="1134" w:type="dxa"/>
            <w:tcBorders>
              <w:top w:val="nil"/>
              <w:left w:val="nil"/>
              <w:bottom w:val="nil"/>
              <w:right w:val="nil"/>
            </w:tcBorders>
            <w:shd w:val="clear" w:color="000000" w:fill="FFFFFF"/>
            <w:noWrap/>
            <w:vAlign w:val="center"/>
            <w:hideMark/>
          </w:tcPr>
          <w:p w14:paraId="6141516E"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47</w:t>
            </w:r>
          </w:p>
        </w:tc>
        <w:tc>
          <w:tcPr>
            <w:tcW w:w="1134" w:type="dxa"/>
            <w:tcBorders>
              <w:top w:val="nil"/>
              <w:left w:val="nil"/>
              <w:bottom w:val="nil"/>
              <w:right w:val="nil"/>
            </w:tcBorders>
            <w:shd w:val="clear" w:color="000000" w:fill="FFFFFF"/>
            <w:noWrap/>
            <w:vAlign w:val="center"/>
            <w:hideMark/>
          </w:tcPr>
          <w:p w14:paraId="21DDE1AC"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0</w:t>
            </w:r>
          </w:p>
        </w:tc>
        <w:tc>
          <w:tcPr>
            <w:tcW w:w="1417" w:type="dxa"/>
            <w:tcBorders>
              <w:top w:val="nil"/>
              <w:left w:val="nil"/>
              <w:bottom w:val="nil"/>
              <w:right w:val="nil"/>
            </w:tcBorders>
            <w:shd w:val="clear" w:color="000000" w:fill="FFFFFF"/>
            <w:vAlign w:val="center"/>
            <w:hideMark/>
          </w:tcPr>
          <w:p w14:paraId="58274EDC"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 </w:t>
            </w:r>
          </w:p>
        </w:tc>
        <w:tc>
          <w:tcPr>
            <w:tcW w:w="1417" w:type="dxa"/>
            <w:tcBorders>
              <w:top w:val="nil"/>
              <w:left w:val="nil"/>
              <w:bottom w:val="nil"/>
              <w:right w:val="nil"/>
            </w:tcBorders>
            <w:shd w:val="clear" w:color="000000" w:fill="FFFFFF"/>
            <w:vAlign w:val="center"/>
            <w:hideMark/>
          </w:tcPr>
          <w:p w14:paraId="770943C8"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ascii="Segoe UI Symbol" w:eastAsia="Times New Roman" w:hAnsi="Segoe UI Symbol" w:cs="Segoe UI Symbol"/>
                <w:sz w:val="20"/>
                <w:lang w:eastAsia="sk-SK"/>
              </w:rPr>
              <w:t>✓</w:t>
            </w:r>
          </w:p>
        </w:tc>
        <w:tc>
          <w:tcPr>
            <w:tcW w:w="1418" w:type="dxa"/>
            <w:tcBorders>
              <w:top w:val="nil"/>
              <w:left w:val="nil"/>
              <w:bottom w:val="nil"/>
              <w:right w:val="nil"/>
            </w:tcBorders>
            <w:shd w:val="clear" w:color="000000" w:fill="FFFFFF"/>
            <w:vAlign w:val="center"/>
            <w:hideMark/>
          </w:tcPr>
          <w:p w14:paraId="397A4525"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ascii="Segoe UI Symbol" w:eastAsia="Times New Roman" w:hAnsi="Segoe UI Symbol" w:cs="Segoe UI Symbol"/>
                <w:sz w:val="20"/>
                <w:lang w:eastAsia="sk-SK"/>
              </w:rPr>
              <w:t>✗</w:t>
            </w:r>
          </w:p>
        </w:tc>
        <w:tc>
          <w:tcPr>
            <w:tcW w:w="1418" w:type="dxa"/>
            <w:tcBorders>
              <w:top w:val="nil"/>
              <w:left w:val="nil"/>
              <w:bottom w:val="nil"/>
              <w:right w:val="nil"/>
            </w:tcBorders>
            <w:shd w:val="clear" w:color="000000" w:fill="FFFFFF"/>
            <w:vAlign w:val="center"/>
            <w:hideMark/>
          </w:tcPr>
          <w:p w14:paraId="22BB6F17"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eastAsia="Times New Roman" w:cs="Times New Roman"/>
                <w:sz w:val="20"/>
                <w:lang w:eastAsia="sk-SK"/>
              </w:rPr>
              <w:t>O</w:t>
            </w:r>
          </w:p>
        </w:tc>
      </w:tr>
      <w:tr w:rsidR="007C0188" w:rsidRPr="00CA2564" w14:paraId="634264ED" w14:textId="77777777" w:rsidTr="007C4E85">
        <w:trPr>
          <w:trHeight w:val="330"/>
        </w:trPr>
        <w:tc>
          <w:tcPr>
            <w:tcW w:w="1985" w:type="dxa"/>
            <w:tcBorders>
              <w:top w:val="nil"/>
              <w:left w:val="nil"/>
              <w:bottom w:val="nil"/>
              <w:right w:val="nil"/>
            </w:tcBorders>
            <w:shd w:val="clear" w:color="000000" w:fill="FFFFFF"/>
            <w:noWrap/>
            <w:vAlign w:val="center"/>
            <w:hideMark/>
          </w:tcPr>
          <w:p w14:paraId="4EA7DDE7" w14:textId="77777777" w:rsidR="007C0188" w:rsidRPr="00CA2564" w:rsidRDefault="007C0188" w:rsidP="007C4E85">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Mokrý Háj</w:t>
            </w:r>
          </w:p>
        </w:tc>
        <w:tc>
          <w:tcPr>
            <w:tcW w:w="850" w:type="dxa"/>
            <w:tcBorders>
              <w:top w:val="nil"/>
              <w:left w:val="nil"/>
              <w:bottom w:val="nil"/>
              <w:right w:val="nil"/>
            </w:tcBorders>
            <w:shd w:val="clear" w:color="000000" w:fill="FFFFFF"/>
            <w:noWrap/>
            <w:vAlign w:val="center"/>
            <w:hideMark/>
          </w:tcPr>
          <w:p w14:paraId="18F8B78B"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2009</w:t>
            </w:r>
          </w:p>
        </w:tc>
        <w:tc>
          <w:tcPr>
            <w:tcW w:w="1985" w:type="dxa"/>
            <w:tcBorders>
              <w:top w:val="nil"/>
              <w:left w:val="nil"/>
              <w:bottom w:val="nil"/>
              <w:right w:val="nil"/>
            </w:tcBorders>
            <w:shd w:val="clear" w:color="000000" w:fill="FFFFFF"/>
            <w:noWrap/>
            <w:vAlign w:val="center"/>
            <w:hideMark/>
          </w:tcPr>
          <w:p w14:paraId="18A6140F"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0</w:t>
            </w:r>
          </w:p>
        </w:tc>
        <w:tc>
          <w:tcPr>
            <w:tcW w:w="1134" w:type="dxa"/>
            <w:tcBorders>
              <w:top w:val="nil"/>
              <w:left w:val="nil"/>
              <w:bottom w:val="nil"/>
              <w:right w:val="nil"/>
            </w:tcBorders>
            <w:shd w:val="clear" w:color="000000" w:fill="FFFFFF"/>
            <w:noWrap/>
            <w:vAlign w:val="center"/>
            <w:hideMark/>
          </w:tcPr>
          <w:p w14:paraId="365C3EA5"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205</w:t>
            </w:r>
          </w:p>
        </w:tc>
        <w:tc>
          <w:tcPr>
            <w:tcW w:w="1134" w:type="dxa"/>
            <w:tcBorders>
              <w:top w:val="nil"/>
              <w:left w:val="nil"/>
              <w:bottom w:val="nil"/>
              <w:right w:val="nil"/>
            </w:tcBorders>
            <w:shd w:val="clear" w:color="000000" w:fill="FFFFFF"/>
            <w:noWrap/>
            <w:vAlign w:val="center"/>
            <w:hideMark/>
          </w:tcPr>
          <w:p w14:paraId="0BDC0674"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96</w:t>
            </w:r>
          </w:p>
        </w:tc>
        <w:tc>
          <w:tcPr>
            <w:tcW w:w="1134" w:type="dxa"/>
            <w:tcBorders>
              <w:top w:val="nil"/>
              <w:left w:val="nil"/>
              <w:bottom w:val="nil"/>
              <w:right w:val="nil"/>
            </w:tcBorders>
            <w:shd w:val="clear" w:color="000000" w:fill="FFFFFF"/>
            <w:noWrap/>
            <w:vAlign w:val="center"/>
            <w:hideMark/>
          </w:tcPr>
          <w:p w14:paraId="12F040B2"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0</w:t>
            </w:r>
          </w:p>
        </w:tc>
        <w:tc>
          <w:tcPr>
            <w:tcW w:w="1417" w:type="dxa"/>
            <w:tcBorders>
              <w:top w:val="nil"/>
              <w:left w:val="nil"/>
              <w:bottom w:val="nil"/>
              <w:right w:val="nil"/>
            </w:tcBorders>
            <w:shd w:val="clear" w:color="000000" w:fill="FFFFFF"/>
            <w:vAlign w:val="center"/>
            <w:hideMark/>
          </w:tcPr>
          <w:p w14:paraId="25EEBB1E"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 </w:t>
            </w:r>
          </w:p>
        </w:tc>
        <w:tc>
          <w:tcPr>
            <w:tcW w:w="1417" w:type="dxa"/>
            <w:tcBorders>
              <w:top w:val="nil"/>
              <w:left w:val="nil"/>
              <w:bottom w:val="nil"/>
              <w:right w:val="nil"/>
            </w:tcBorders>
            <w:shd w:val="clear" w:color="000000" w:fill="FFFFFF"/>
            <w:vAlign w:val="center"/>
            <w:hideMark/>
          </w:tcPr>
          <w:p w14:paraId="528D2831"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ascii="Segoe UI Symbol" w:eastAsia="Times New Roman" w:hAnsi="Segoe UI Symbol" w:cs="Segoe UI Symbol"/>
                <w:sz w:val="20"/>
                <w:lang w:eastAsia="sk-SK"/>
              </w:rPr>
              <w:t>✗</w:t>
            </w:r>
          </w:p>
        </w:tc>
        <w:tc>
          <w:tcPr>
            <w:tcW w:w="1418" w:type="dxa"/>
            <w:tcBorders>
              <w:top w:val="nil"/>
              <w:left w:val="nil"/>
              <w:bottom w:val="nil"/>
              <w:right w:val="nil"/>
            </w:tcBorders>
            <w:shd w:val="clear" w:color="000000" w:fill="FFFFFF"/>
            <w:vAlign w:val="center"/>
            <w:hideMark/>
          </w:tcPr>
          <w:p w14:paraId="0C4BC5C8"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ascii="Segoe UI Symbol" w:eastAsia="Times New Roman" w:hAnsi="Segoe UI Symbol" w:cs="Segoe UI Symbol"/>
                <w:sz w:val="20"/>
                <w:lang w:eastAsia="sk-SK"/>
              </w:rPr>
              <w:t>✗</w:t>
            </w:r>
          </w:p>
        </w:tc>
        <w:tc>
          <w:tcPr>
            <w:tcW w:w="1418" w:type="dxa"/>
            <w:tcBorders>
              <w:top w:val="nil"/>
              <w:left w:val="nil"/>
              <w:bottom w:val="nil"/>
              <w:right w:val="nil"/>
            </w:tcBorders>
            <w:shd w:val="clear" w:color="000000" w:fill="FFFFFF"/>
            <w:vAlign w:val="center"/>
            <w:hideMark/>
          </w:tcPr>
          <w:p w14:paraId="51EF454C"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eastAsia="Times New Roman" w:cs="Times New Roman"/>
                <w:sz w:val="20"/>
                <w:lang w:eastAsia="sk-SK"/>
              </w:rPr>
              <w:t>O</w:t>
            </w:r>
          </w:p>
        </w:tc>
      </w:tr>
      <w:tr w:rsidR="007C0188" w:rsidRPr="00CA2564" w14:paraId="025C1AFB" w14:textId="77777777" w:rsidTr="007C4E85">
        <w:trPr>
          <w:trHeight w:val="330"/>
        </w:trPr>
        <w:tc>
          <w:tcPr>
            <w:tcW w:w="1985" w:type="dxa"/>
            <w:tcBorders>
              <w:top w:val="nil"/>
              <w:left w:val="nil"/>
              <w:bottom w:val="nil"/>
              <w:right w:val="nil"/>
            </w:tcBorders>
            <w:shd w:val="clear" w:color="000000" w:fill="FFFFFF"/>
            <w:noWrap/>
            <w:vAlign w:val="center"/>
            <w:hideMark/>
          </w:tcPr>
          <w:p w14:paraId="0526BCA8" w14:textId="77777777" w:rsidR="007C0188" w:rsidRPr="00CA2564" w:rsidRDefault="007C0188" w:rsidP="007C4E85">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Podbrezová</w:t>
            </w:r>
          </w:p>
        </w:tc>
        <w:tc>
          <w:tcPr>
            <w:tcW w:w="850" w:type="dxa"/>
            <w:tcBorders>
              <w:top w:val="nil"/>
              <w:left w:val="nil"/>
              <w:bottom w:val="nil"/>
              <w:right w:val="nil"/>
            </w:tcBorders>
            <w:shd w:val="clear" w:color="000000" w:fill="FFFFFF"/>
            <w:noWrap/>
            <w:vAlign w:val="center"/>
            <w:hideMark/>
          </w:tcPr>
          <w:p w14:paraId="3A20235E"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2012</w:t>
            </w:r>
          </w:p>
        </w:tc>
        <w:tc>
          <w:tcPr>
            <w:tcW w:w="1985" w:type="dxa"/>
            <w:tcBorders>
              <w:top w:val="nil"/>
              <w:left w:val="nil"/>
              <w:bottom w:val="nil"/>
              <w:right w:val="nil"/>
            </w:tcBorders>
            <w:shd w:val="clear" w:color="000000" w:fill="FFFFFF"/>
            <w:noWrap/>
            <w:vAlign w:val="center"/>
            <w:hideMark/>
          </w:tcPr>
          <w:p w14:paraId="7DF998AC"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6</w:t>
            </w:r>
          </w:p>
        </w:tc>
        <w:tc>
          <w:tcPr>
            <w:tcW w:w="1134" w:type="dxa"/>
            <w:tcBorders>
              <w:top w:val="nil"/>
              <w:left w:val="nil"/>
              <w:bottom w:val="nil"/>
              <w:right w:val="nil"/>
            </w:tcBorders>
            <w:shd w:val="clear" w:color="000000" w:fill="FFFFFF"/>
            <w:noWrap/>
            <w:vAlign w:val="center"/>
            <w:hideMark/>
          </w:tcPr>
          <w:p w14:paraId="6B630248"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148</w:t>
            </w:r>
          </w:p>
        </w:tc>
        <w:tc>
          <w:tcPr>
            <w:tcW w:w="1134" w:type="dxa"/>
            <w:tcBorders>
              <w:top w:val="nil"/>
              <w:left w:val="nil"/>
              <w:bottom w:val="nil"/>
              <w:right w:val="nil"/>
            </w:tcBorders>
            <w:shd w:val="clear" w:color="000000" w:fill="FFFFFF"/>
            <w:noWrap/>
            <w:vAlign w:val="center"/>
            <w:hideMark/>
          </w:tcPr>
          <w:p w14:paraId="505B717A"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0</w:t>
            </w:r>
          </w:p>
        </w:tc>
        <w:tc>
          <w:tcPr>
            <w:tcW w:w="1134" w:type="dxa"/>
            <w:tcBorders>
              <w:top w:val="nil"/>
              <w:left w:val="nil"/>
              <w:bottom w:val="nil"/>
              <w:right w:val="nil"/>
            </w:tcBorders>
            <w:shd w:val="clear" w:color="000000" w:fill="FFFFFF"/>
            <w:noWrap/>
            <w:vAlign w:val="center"/>
            <w:hideMark/>
          </w:tcPr>
          <w:p w14:paraId="5F1D2FC2"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0</w:t>
            </w:r>
          </w:p>
        </w:tc>
        <w:tc>
          <w:tcPr>
            <w:tcW w:w="1417" w:type="dxa"/>
            <w:tcBorders>
              <w:top w:val="nil"/>
              <w:left w:val="nil"/>
              <w:bottom w:val="nil"/>
              <w:right w:val="nil"/>
            </w:tcBorders>
            <w:shd w:val="clear" w:color="000000" w:fill="FFFFFF"/>
            <w:vAlign w:val="center"/>
            <w:hideMark/>
          </w:tcPr>
          <w:p w14:paraId="7DBE0887"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 </w:t>
            </w:r>
          </w:p>
        </w:tc>
        <w:tc>
          <w:tcPr>
            <w:tcW w:w="1417" w:type="dxa"/>
            <w:tcBorders>
              <w:top w:val="nil"/>
              <w:left w:val="nil"/>
              <w:bottom w:val="nil"/>
              <w:right w:val="nil"/>
            </w:tcBorders>
            <w:shd w:val="clear" w:color="000000" w:fill="FFFFFF"/>
            <w:vAlign w:val="center"/>
            <w:hideMark/>
          </w:tcPr>
          <w:p w14:paraId="7E5A2830"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ascii="Segoe UI Symbol" w:eastAsia="Times New Roman" w:hAnsi="Segoe UI Symbol" w:cs="Segoe UI Symbol"/>
                <w:sz w:val="20"/>
                <w:lang w:eastAsia="sk-SK"/>
              </w:rPr>
              <w:t>✓</w:t>
            </w:r>
          </w:p>
        </w:tc>
        <w:tc>
          <w:tcPr>
            <w:tcW w:w="1418" w:type="dxa"/>
            <w:tcBorders>
              <w:top w:val="nil"/>
              <w:left w:val="nil"/>
              <w:bottom w:val="nil"/>
              <w:right w:val="nil"/>
            </w:tcBorders>
            <w:shd w:val="clear" w:color="000000" w:fill="FFFFFF"/>
            <w:vAlign w:val="center"/>
            <w:hideMark/>
          </w:tcPr>
          <w:p w14:paraId="63C4B119"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ascii="Segoe UI Symbol" w:eastAsia="Times New Roman" w:hAnsi="Segoe UI Symbol" w:cs="Segoe UI Symbol"/>
                <w:sz w:val="20"/>
                <w:lang w:eastAsia="sk-SK"/>
              </w:rPr>
              <w:t>✗</w:t>
            </w:r>
          </w:p>
        </w:tc>
        <w:tc>
          <w:tcPr>
            <w:tcW w:w="1418" w:type="dxa"/>
            <w:tcBorders>
              <w:top w:val="nil"/>
              <w:left w:val="nil"/>
              <w:bottom w:val="nil"/>
              <w:right w:val="nil"/>
            </w:tcBorders>
            <w:shd w:val="clear" w:color="000000" w:fill="FFFFFF"/>
            <w:vAlign w:val="center"/>
            <w:hideMark/>
          </w:tcPr>
          <w:p w14:paraId="0BCAE912"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eastAsia="Times New Roman" w:cs="Times New Roman"/>
                <w:sz w:val="20"/>
                <w:lang w:eastAsia="sk-SK"/>
              </w:rPr>
              <w:t>O</w:t>
            </w:r>
          </w:p>
        </w:tc>
      </w:tr>
      <w:tr w:rsidR="007C0188" w:rsidRPr="00CA2564" w14:paraId="15BC3D34" w14:textId="77777777" w:rsidTr="007C4E85">
        <w:trPr>
          <w:trHeight w:val="330"/>
        </w:trPr>
        <w:tc>
          <w:tcPr>
            <w:tcW w:w="1985" w:type="dxa"/>
            <w:tcBorders>
              <w:top w:val="nil"/>
              <w:left w:val="nil"/>
              <w:bottom w:val="nil"/>
              <w:right w:val="nil"/>
            </w:tcBorders>
            <w:shd w:val="clear" w:color="000000" w:fill="FFFFFF"/>
            <w:noWrap/>
            <w:vAlign w:val="center"/>
            <w:hideMark/>
          </w:tcPr>
          <w:p w14:paraId="2283AE95" w14:textId="77777777" w:rsidR="007C0188" w:rsidRPr="00CA2564" w:rsidRDefault="007C0188" w:rsidP="007C4E85">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Stará Ľubovňa</w:t>
            </w:r>
          </w:p>
        </w:tc>
        <w:tc>
          <w:tcPr>
            <w:tcW w:w="850" w:type="dxa"/>
            <w:tcBorders>
              <w:top w:val="nil"/>
              <w:left w:val="nil"/>
              <w:bottom w:val="nil"/>
              <w:right w:val="nil"/>
            </w:tcBorders>
            <w:shd w:val="clear" w:color="000000" w:fill="FFFFFF"/>
            <w:noWrap/>
            <w:vAlign w:val="center"/>
            <w:hideMark/>
          </w:tcPr>
          <w:p w14:paraId="30CD41BB"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2007</w:t>
            </w:r>
          </w:p>
        </w:tc>
        <w:tc>
          <w:tcPr>
            <w:tcW w:w="1985" w:type="dxa"/>
            <w:tcBorders>
              <w:top w:val="nil"/>
              <w:left w:val="nil"/>
              <w:bottom w:val="nil"/>
              <w:right w:val="nil"/>
            </w:tcBorders>
            <w:shd w:val="clear" w:color="000000" w:fill="FFFFFF"/>
            <w:noWrap/>
            <w:vAlign w:val="center"/>
            <w:hideMark/>
          </w:tcPr>
          <w:p w14:paraId="4D5F64DF"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0</w:t>
            </w:r>
          </w:p>
        </w:tc>
        <w:tc>
          <w:tcPr>
            <w:tcW w:w="1134" w:type="dxa"/>
            <w:tcBorders>
              <w:top w:val="nil"/>
              <w:left w:val="nil"/>
              <w:bottom w:val="nil"/>
              <w:right w:val="nil"/>
            </w:tcBorders>
            <w:shd w:val="clear" w:color="000000" w:fill="FFFFFF"/>
            <w:noWrap/>
            <w:vAlign w:val="center"/>
            <w:hideMark/>
          </w:tcPr>
          <w:p w14:paraId="5FAD92DB"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210</w:t>
            </w:r>
          </w:p>
        </w:tc>
        <w:tc>
          <w:tcPr>
            <w:tcW w:w="1134" w:type="dxa"/>
            <w:tcBorders>
              <w:top w:val="nil"/>
              <w:left w:val="nil"/>
              <w:bottom w:val="nil"/>
              <w:right w:val="nil"/>
            </w:tcBorders>
            <w:shd w:val="clear" w:color="000000" w:fill="FFFFFF"/>
            <w:noWrap/>
            <w:vAlign w:val="center"/>
            <w:hideMark/>
          </w:tcPr>
          <w:p w14:paraId="20E7BF37"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0</w:t>
            </w:r>
          </w:p>
        </w:tc>
        <w:tc>
          <w:tcPr>
            <w:tcW w:w="1134" w:type="dxa"/>
            <w:tcBorders>
              <w:top w:val="nil"/>
              <w:left w:val="nil"/>
              <w:bottom w:val="nil"/>
              <w:right w:val="nil"/>
            </w:tcBorders>
            <w:shd w:val="clear" w:color="000000" w:fill="FFFFFF"/>
            <w:noWrap/>
            <w:vAlign w:val="center"/>
            <w:hideMark/>
          </w:tcPr>
          <w:p w14:paraId="759F6AC8"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0</w:t>
            </w:r>
          </w:p>
        </w:tc>
        <w:tc>
          <w:tcPr>
            <w:tcW w:w="1417" w:type="dxa"/>
            <w:tcBorders>
              <w:top w:val="nil"/>
              <w:left w:val="nil"/>
              <w:bottom w:val="nil"/>
              <w:right w:val="nil"/>
            </w:tcBorders>
            <w:shd w:val="clear" w:color="000000" w:fill="FFFFFF"/>
            <w:vAlign w:val="center"/>
            <w:hideMark/>
          </w:tcPr>
          <w:p w14:paraId="7FD077A2"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 </w:t>
            </w:r>
          </w:p>
        </w:tc>
        <w:tc>
          <w:tcPr>
            <w:tcW w:w="1417" w:type="dxa"/>
            <w:tcBorders>
              <w:top w:val="nil"/>
              <w:left w:val="nil"/>
              <w:bottom w:val="nil"/>
              <w:right w:val="nil"/>
            </w:tcBorders>
            <w:shd w:val="clear" w:color="000000" w:fill="FFFFFF"/>
            <w:vAlign w:val="center"/>
            <w:hideMark/>
          </w:tcPr>
          <w:p w14:paraId="7B8A8127"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ascii="Segoe UI Symbol" w:eastAsia="Times New Roman" w:hAnsi="Segoe UI Symbol" w:cs="Segoe UI Symbol"/>
                <w:sz w:val="20"/>
                <w:lang w:eastAsia="sk-SK"/>
              </w:rPr>
              <w:t>✗</w:t>
            </w:r>
          </w:p>
        </w:tc>
        <w:tc>
          <w:tcPr>
            <w:tcW w:w="1418" w:type="dxa"/>
            <w:tcBorders>
              <w:top w:val="nil"/>
              <w:left w:val="nil"/>
              <w:bottom w:val="nil"/>
              <w:right w:val="nil"/>
            </w:tcBorders>
            <w:shd w:val="clear" w:color="000000" w:fill="FFFFFF"/>
            <w:vAlign w:val="center"/>
            <w:hideMark/>
          </w:tcPr>
          <w:p w14:paraId="0B89A663"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ascii="Segoe UI Symbol" w:eastAsia="Times New Roman" w:hAnsi="Segoe UI Symbol" w:cs="Segoe UI Symbol"/>
                <w:sz w:val="20"/>
                <w:lang w:eastAsia="sk-SK"/>
              </w:rPr>
              <w:t>✓</w:t>
            </w:r>
          </w:p>
        </w:tc>
        <w:tc>
          <w:tcPr>
            <w:tcW w:w="1418" w:type="dxa"/>
            <w:tcBorders>
              <w:top w:val="nil"/>
              <w:left w:val="nil"/>
              <w:bottom w:val="nil"/>
              <w:right w:val="nil"/>
            </w:tcBorders>
            <w:shd w:val="clear" w:color="000000" w:fill="FFFFFF"/>
            <w:vAlign w:val="center"/>
            <w:hideMark/>
          </w:tcPr>
          <w:p w14:paraId="3AC0E920"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eastAsia="Times New Roman" w:cs="Times New Roman"/>
                <w:sz w:val="20"/>
                <w:lang w:eastAsia="sk-SK"/>
              </w:rPr>
              <w:t>O</w:t>
            </w:r>
          </w:p>
        </w:tc>
      </w:tr>
      <w:tr w:rsidR="007C0188" w:rsidRPr="00CA2564" w14:paraId="54206243" w14:textId="77777777" w:rsidTr="007C4E85">
        <w:trPr>
          <w:trHeight w:val="330"/>
        </w:trPr>
        <w:tc>
          <w:tcPr>
            <w:tcW w:w="1985" w:type="dxa"/>
            <w:tcBorders>
              <w:top w:val="nil"/>
              <w:left w:val="nil"/>
              <w:bottom w:val="nil"/>
              <w:right w:val="nil"/>
            </w:tcBorders>
            <w:shd w:val="clear" w:color="000000" w:fill="FFFFFF"/>
            <w:noWrap/>
            <w:vAlign w:val="center"/>
            <w:hideMark/>
          </w:tcPr>
          <w:p w14:paraId="7184BFCA" w14:textId="77777777" w:rsidR="007C0188" w:rsidRPr="00CA2564" w:rsidRDefault="007C0188" w:rsidP="007C4E85">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Podtureň</w:t>
            </w:r>
          </w:p>
        </w:tc>
        <w:tc>
          <w:tcPr>
            <w:tcW w:w="850" w:type="dxa"/>
            <w:tcBorders>
              <w:top w:val="nil"/>
              <w:left w:val="nil"/>
              <w:bottom w:val="nil"/>
              <w:right w:val="nil"/>
            </w:tcBorders>
            <w:shd w:val="clear" w:color="000000" w:fill="FFFFFF"/>
            <w:noWrap/>
            <w:vAlign w:val="center"/>
            <w:hideMark/>
          </w:tcPr>
          <w:p w14:paraId="0CBEA8AA"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2000</w:t>
            </w:r>
          </w:p>
        </w:tc>
        <w:tc>
          <w:tcPr>
            <w:tcW w:w="1985" w:type="dxa"/>
            <w:tcBorders>
              <w:top w:val="nil"/>
              <w:left w:val="nil"/>
              <w:bottom w:val="nil"/>
              <w:right w:val="nil"/>
            </w:tcBorders>
            <w:shd w:val="clear" w:color="000000" w:fill="FFFFFF"/>
            <w:noWrap/>
            <w:vAlign w:val="center"/>
            <w:hideMark/>
          </w:tcPr>
          <w:p w14:paraId="0959340A"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1</w:t>
            </w:r>
          </w:p>
        </w:tc>
        <w:tc>
          <w:tcPr>
            <w:tcW w:w="1134" w:type="dxa"/>
            <w:tcBorders>
              <w:top w:val="nil"/>
              <w:left w:val="nil"/>
              <w:bottom w:val="nil"/>
              <w:right w:val="nil"/>
            </w:tcBorders>
            <w:shd w:val="clear" w:color="000000" w:fill="FFFFFF"/>
            <w:noWrap/>
            <w:vAlign w:val="center"/>
            <w:hideMark/>
          </w:tcPr>
          <w:p w14:paraId="3E2E128A"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366</w:t>
            </w:r>
          </w:p>
        </w:tc>
        <w:tc>
          <w:tcPr>
            <w:tcW w:w="1134" w:type="dxa"/>
            <w:tcBorders>
              <w:top w:val="nil"/>
              <w:left w:val="nil"/>
              <w:bottom w:val="nil"/>
              <w:right w:val="nil"/>
            </w:tcBorders>
            <w:shd w:val="clear" w:color="000000" w:fill="FFFFFF"/>
            <w:noWrap/>
            <w:vAlign w:val="center"/>
            <w:hideMark/>
          </w:tcPr>
          <w:p w14:paraId="088A06BC"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0</w:t>
            </w:r>
          </w:p>
        </w:tc>
        <w:tc>
          <w:tcPr>
            <w:tcW w:w="1134" w:type="dxa"/>
            <w:tcBorders>
              <w:top w:val="nil"/>
              <w:left w:val="nil"/>
              <w:bottom w:val="nil"/>
              <w:right w:val="nil"/>
            </w:tcBorders>
            <w:shd w:val="clear" w:color="000000" w:fill="FFFFFF"/>
            <w:noWrap/>
            <w:vAlign w:val="center"/>
            <w:hideMark/>
          </w:tcPr>
          <w:p w14:paraId="32312287"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0</w:t>
            </w:r>
          </w:p>
        </w:tc>
        <w:tc>
          <w:tcPr>
            <w:tcW w:w="1417" w:type="dxa"/>
            <w:tcBorders>
              <w:top w:val="nil"/>
              <w:left w:val="nil"/>
              <w:bottom w:val="nil"/>
              <w:right w:val="nil"/>
            </w:tcBorders>
            <w:shd w:val="clear" w:color="000000" w:fill="FFFFFF"/>
            <w:vAlign w:val="center"/>
            <w:hideMark/>
          </w:tcPr>
          <w:p w14:paraId="220672C8"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 </w:t>
            </w:r>
          </w:p>
        </w:tc>
        <w:tc>
          <w:tcPr>
            <w:tcW w:w="1417" w:type="dxa"/>
            <w:tcBorders>
              <w:top w:val="nil"/>
              <w:left w:val="nil"/>
              <w:bottom w:val="nil"/>
              <w:right w:val="nil"/>
            </w:tcBorders>
            <w:shd w:val="clear" w:color="000000" w:fill="FFFFFF"/>
            <w:vAlign w:val="center"/>
            <w:hideMark/>
          </w:tcPr>
          <w:p w14:paraId="6C6E1F0C"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ascii="Segoe UI Symbol" w:eastAsia="Times New Roman" w:hAnsi="Segoe UI Symbol" w:cs="Segoe UI Symbol"/>
                <w:sz w:val="20"/>
                <w:lang w:eastAsia="sk-SK"/>
              </w:rPr>
              <w:t>✓</w:t>
            </w:r>
          </w:p>
        </w:tc>
        <w:tc>
          <w:tcPr>
            <w:tcW w:w="1418" w:type="dxa"/>
            <w:tcBorders>
              <w:top w:val="nil"/>
              <w:left w:val="nil"/>
              <w:bottom w:val="nil"/>
              <w:right w:val="nil"/>
            </w:tcBorders>
            <w:shd w:val="clear" w:color="000000" w:fill="FFFFFF"/>
            <w:vAlign w:val="center"/>
            <w:hideMark/>
          </w:tcPr>
          <w:p w14:paraId="57A9F8A2"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ascii="Segoe UI Symbol" w:eastAsia="Times New Roman" w:hAnsi="Segoe UI Symbol" w:cs="Segoe UI Symbol"/>
                <w:sz w:val="20"/>
                <w:lang w:eastAsia="sk-SK"/>
              </w:rPr>
              <w:t>✗</w:t>
            </w:r>
          </w:p>
        </w:tc>
        <w:tc>
          <w:tcPr>
            <w:tcW w:w="1418" w:type="dxa"/>
            <w:tcBorders>
              <w:top w:val="nil"/>
              <w:left w:val="nil"/>
              <w:bottom w:val="nil"/>
              <w:right w:val="nil"/>
            </w:tcBorders>
            <w:shd w:val="clear" w:color="000000" w:fill="FFFFFF"/>
            <w:vAlign w:val="center"/>
            <w:hideMark/>
          </w:tcPr>
          <w:p w14:paraId="2EB440A2"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eastAsia="Times New Roman" w:cs="Times New Roman"/>
                <w:sz w:val="20"/>
                <w:lang w:eastAsia="sk-SK"/>
              </w:rPr>
              <w:t>O</w:t>
            </w:r>
          </w:p>
        </w:tc>
      </w:tr>
      <w:tr w:rsidR="007C0188" w:rsidRPr="00CA2564" w14:paraId="6AF41B7B" w14:textId="77777777" w:rsidTr="007C4E85">
        <w:trPr>
          <w:trHeight w:val="330"/>
        </w:trPr>
        <w:tc>
          <w:tcPr>
            <w:tcW w:w="1985" w:type="dxa"/>
            <w:tcBorders>
              <w:top w:val="nil"/>
              <w:left w:val="nil"/>
              <w:bottom w:val="nil"/>
              <w:right w:val="nil"/>
            </w:tcBorders>
            <w:shd w:val="clear" w:color="000000" w:fill="FFFFFF"/>
            <w:noWrap/>
            <w:vAlign w:val="center"/>
            <w:hideMark/>
          </w:tcPr>
          <w:p w14:paraId="79669541" w14:textId="77777777" w:rsidR="007C0188" w:rsidRPr="00CA2564" w:rsidRDefault="007C0188" w:rsidP="007C4E85">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Kozárovce</w:t>
            </w:r>
          </w:p>
        </w:tc>
        <w:tc>
          <w:tcPr>
            <w:tcW w:w="850" w:type="dxa"/>
            <w:tcBorders>
              <w:top w:val="nil"/>
              <w:left w:val="nil"/>
              <w:bottom w:val="nil"/>
              <w:right w:val="nil"/>
            </w:tcBorders>
            <w:shd w:val="clear" w:color="000000" w:fill="FFFFFF"/>
            <w:noWrap/>
            <w:vAlign w:val="center"/>
            <w:hideMark/>
          </w:tcPr>
          <w:p w14:paraId="6F78D48C"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2012</w:t>
            </w:r>
          </w:p>
        </w:tc>
        <w:tc>
          <w:tcPr>
            <w:tcW w:w="1985" w:type="dxa"/>
            <w:tcBorders>
              <w:top w:val="nil"/>
              <w:left w:val="nil"/>
              <w:bottom w:val="nil"/>
              <w:right w:val="nil"/>
            </w:tcBorders>
            <w:shd w:val="clear" w:color="000000" w:fill="FFFFFF"/>
            <w:noWrap/>
            <w:vAlign w:val="center"/>
            <w:hideMark/>
          </w:tcPr>
          <w:p w14:paraId="097EFB78"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0</w:t>
            </w:r>
          </w:p>
        </w:tc>
        <w:tc>
          <w:tcPr>
            <w:tcW w:w="1134" w:type="dxa"/>
            <w:tcBorders>
              <w:top w:val="nil"/>
              <w:left w:val="nil"/>
              <w:bottom w:val="nil"/>
              <w:right w:val="nil"/>
            </w:tcBorders>
            <w:shd w:val="clear" w:color="000000" w:fill="FFFFFF"/>
            <w:noWrap/>
            <w:vAlign w:val="center"/>
            <w:hideMark/>
          </w:tcPr>
          <w:p w14:paraId="6781E0C4"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77</w:t>
            </w:r>
          </w:p>
        </w:tc>
        <w:tc>
          <w:tcPr>
            <w:tcW w:w="1134" w:type="dxa"/>
            <w:tcBorders>
              <w:top w:val="nil"/>
              <w:left w:val="nil"/>
              <w:bottom w:val="nil"/>
              <w:right w:val="nil"/>
            </w:tcBorders>
            <w:shd w:val="clear" w:color="000000" w:fill="FFFFFF"/>
            <w:noWrap/>
            <w:vAlign w:val="center"/>
            <w:hideMark/>
          </w:tcPr>
          <w:p w14:paraId="7C98A58D"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77</w:t>
            </w:r>
          </w:p>
        </w:tc>
        <w:tc>
          <w:tcPr>
            <w:tcW w:w="1134" w:type="dxa"/>
            <w:tcBorders>
              <w:top w:val="nil"/>
              <w:left w:val="nil"/>
              <w:bottom w:val="nil"/>
              <w:right w:val="nil"/>
            </w:tcBorders>
            <w:shd w:val="clear" w:color="000000" w:fill="FFFFFF"/>
            <w:noWrap/>
            <w:vAlign w:val="center"/>
            <w:hideMark/>
          </w:tcPr>
          <w:p w14:paraId="07141713"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0</w:t>
            </w:r>
          </w:p>
        </w:tc>
        <w:tc>
          <w:tcPr>
            <w:tcW w:w="1417" w:type="dxa"/>
            <w:tcBorders>
              <w:top w:val="nil"/>
              <w:left w:val="nil"/>
              <w:bottom w:val="nil"/>
              <w:right w:val="nil"/>
            </w:tcBorders>
            <w:shd w:val="clear" w:color="000000" w:fill="FFFFFF"/>
            <w:vAlign w:val="center"/>
            <w:hideMark/>
          </w:tcPr>
          <w:p w14:paraId="28C5E954"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77</w:t>
            </w:r>
          </w:p>
        </w:tc>
        <w:tc>
          <w:tcPr>
            <w:tcW w:w="1417" w:type="dxa"/>
            <w:tcBorders>
              <w:top w:val="nil"/>
              <w:left w:val="nil"/>
              <w:bottom w:val="nil"/>
              <w:right w:val="nil"/>
            </w:tcBorders>
            <w:shd w:val="clear" w:color="000000" w:fill="FFFFFF"/>
            <w:vAlign w:val="center"/>
            <w:hideMark/>
          </w:tcPr>
          <w:p w14:paraId="4B95028C"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ascii="Segoe UI Symbol" w:eastAsia="Times New Roman" w:hAnsi="Segoe UI Symbol" w:cs="Segoe UI Symbol"/>
                <w:sz w:val="20"/>
                <w:lang w:eastAsia="sk-SK"/>
              </w:rPr>
              <w:t>✗</w:t>
            </w:r>
          </w:p>
        </w:tc>
        <w:tc>
          <w:tcPr>
            <w:tcW w:w="1418" w:type="dxa"/>
            <w:tcBorders>
              <w:top w:val="nil"/>
              <w:left w:val="nil"/>
              <w:bottom w:val="nil"/>
              <w:right w:val="nil"/>
            </w:tcBorders>
            <w:shd w:val="clear" w:color="000000" w:fill="FFFFFF"/>
            <w:vAlign w:val="center"/>
            <w:hideMark/>
          </w:tcPr>
          <w:p w14:paraId="2E8F9631"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ascii="Segoe UI Symbol" w:eastAsia="Times New Roman" w:hAnsi="Segoe UI Symbol" w:cs="Segoe UI Symbol"/>
                <w:sz w:val="20"/>
                <w:lang w:eastAsia="sk-SK"/>
              </w:rPr>
              <w:t>✗</w:t>
            </w:r>
          </w:p>
        </w:tc>
        <w:tc>
          <w:tcPr>
            <w:tcW w:w="1418" w:type="dxa"/>
            <w:tcBorders>
              <w:top w:val="nil"/>
              <w:left w:val="nil"/>
              <w:bottom w:val="nil"/>
              <w:right w:val="nil"/>
            </w:tcBorders>
            <w:shd w:val="clear" w:color="000000" w:fill="FFFFFF"/>
            <w:vAlign w:val="center"/>
            <w:hideMark/>
          </w:tcPr>
          <w:p w14:paraId="5581ADC4"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eastAsia="Times New Roman" w:cs="Times New Roman"/>
                <w:sz w:val="20"/>
                <w:lang w:eastAsia="sk-SK"/>
              </w:rPr>
              <w:t>I</w:t>
            </w:r>
          </w:p>
        </w:tc>
      </w:tr>
      <w:tr w:rsidR="007C0188" w:rsidRPr="00CA2564" w14:paraId="29017E0C" w14:textId="77777777" w:rsidTr="007C4E85">
        <w:trPr>
          <w:trHeight w:val="330"/>
        </w:trPr>
        <w:tc>
          <w:tcPr>
            <w:tcW w:w="1985" w:type="dxa"/>
            <w:tcBorders>
              <w:top w:val="nil"/>
              <w:left w:val="nil"/>
              <w:bottom w:val="nil"/>
              <w:right w:val="nil"/>
            </w:tcBorders>
            <w:shd w:val="clear" w:color="000000" w:fill="FFFFFF"/>
            <w:noWrap/>
            <w:vAlign w:val="center"/>
            <w:hideMark/>
          </w:tcPr>
          <w:p w14:paraId="31CF3160" w14:textId="77777777" w:rsidR="007C0188" w:rsidRPr="00CA2564" w:rsidRDefault="007C0188" w:rsidP="007C4E85">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Strážske</w:t>
            </w:r>
          </w:p>
        </w:tc>
        <w:tc>
          <w:tcPr>
            <w:tcW w:w="850" w:type="dxa"/>
            <w:tcBorders>
              <w:top w:val="nil"/>
              <w:left w:val="nil"/>
              <w:bottom w:val="nil"/>
              <w:right w:val="nil"/>
            </w:tcBorders>
            <w:shd w:val="clear" w:color="000000" w:fill="FFFFFF"/>
            <w:noWrap/>
            <w:vAlign w:val="center"/>
            <w:hideMark/>
          </w:tcPr>
          <w:p w14:paraId="74A5F4BB"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2009</w:t>
            </w:r>
          </w:p>
        </w:tc>
        <w:tc>
          <w:tcPr>
            <w:tcW w:w="1985" w:type="dxa"/>
            <w:tcBorders>
              <w:top w:val="nil"/>
              <w:left w:val="nil"/>
              <w:bottom w:val="nil"/>
              <w:right w:val="nil"/>
            </w:tcBorders>
            <w:shd w:val="clear" w:color="000000" w:fill="FFFFFF"/>
            <w:noWrap/>
            <w:vAlign w:val="center"/>
            <w:hideMark/>
          </w:tcPr>
          <w:p w14:paraId="1DAAA75E"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1</w:t>
            </w:r>
          </w:p>
        </w:tc>
        <w:tc>
          <w:tcPr>
            <w:tcW w:w="1134" w:type="dxa"/>
            <w:tcBorders>
              <w:top w:val="nil"/>
              <w:left w:val="nil"/>
              <w:bottom w:val="nil"/>
              <w:right w:val="nil"/>
            </w:tcBorders>
            <w:shd w:val="clear" w:color="000000" w:fill="FFFFFF"/>
            <w:noWrap/>
            <w:vAlign w:val="center"/>
            <w:hideMark/>
          </w:tcPr>
          <w:p w14:paraId="36E37753"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96</w:t>
            </w:r>
          </w:p>
        </w:tc>
        <w:tc>
          <w:tcPr>
            <w:tcW w:w="1134" w:type="dxa"/>
            <w:tcBorders>
              <w:top w:val="nil"/>
              <w:left w:val="nil"/>
              <w:bottom w:val="nil"/>
              <w:right w:val="nil"/>
            </w:tcBorders>
            <w:shd w:val="clear" w:color="000000" w:fill="FFFFFF"/>
            <w:noWrap/>
            <w:vAlign w:val="center"/>
            <w:hideMark/>
          </w:tcPr>
          <w:p w14:paraId="4F656B24"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7</w:t>
            </w:r>
          </w:p>
        </w:tc>
        <w:tc>
          <w:tcPr>
            <w:tcW w:w="1134" w:type="dxa"/>
            <w:tcBorders>
              <w:top w:val="nil"/>
              <w:left w:val="nil"/>
              <w:bottom w:val="nil"/>
              <w:right w:val="nil"/>
            </w:tcBorders>
            <w:shd w:val="clear" w:color="000000" w:fill="FFFFFF"/>
            <w:noWrap/>
            <w:vAlign w:val="center"/>
            <w:hideMark/>
          </w:tcPr>
          <w:p w14:paraId="00CC2291"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0</w:t>
            </w:r>
          </w:p>
        </w:tc>
        <w:tc>
          <w:tcPr>
            <w:tcW w:w="1417" w:type="dxa"/>
            <w:tcBorders>
              <w:top w:val="nil"/>
              <w:left w:val="nil"/>
              <w:bottom w:val="nil"/>
              <w:right w:val="nil"/>
            </w:tcBorders>
            <w:shd w:val="clear" w:color="000000" w:fill="FFFFFF"/>
            <w:vAlign w:val="center"/>
            <w:hideMark/>
          </w:tcPr>
          <w:p w14:paraId="3256CA07"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 </w:t>
            </w:r>
          </w:p>
        </w:tc>
        <w:tc>
          <w:tcPr>
            <w:tcW w:w="1417" w:type="dxa"/>
            <w:tcBorders>
              <w:top w:val="nil"/>
              <w:left w:val="nil"/>
              <w:bottom w:val="nil"/>
              <w:right w:val="nil"/>
            </w:tcBorders>
            <w:shd w:val="clear" w:color="000000" w:fill="FFFFFF"/>
            <w:vAlign w:val="center"/>
            <w:hideMark/>
          </w:tcPr>
          <w:p w14:paraId="46912E9C"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ascii="Segoe UI Symbol" w:eastAsia="Times New Roman" w:hAnsi="Segoe UI Symbol" w:cs="Segoe UI Symbol"/>
                <w:sz w:val="20"/>
                <w:lang w:eastAsia="sk-SK"/>
              </w:rPr>
              <w:t>✗</w:t>
            </w:r>
          </w:p>
        </w:tc>
        <w:tc>
          <w:tcPr>
            <w:tcW w:w="1418" w:type="dxa"/>
            <w:tcBorders>
              <w:top w:val="nil"/>
              <w:left w:val="nil"/>
              <w:bottom w:val="nil"/>
              <w:right w:val="nil"/>
            </w:tcBorders>
            <w:shd w:val="clear" w:color="000000" w:fill="FFFFFF"/>
            <w:vAlign w:val="center"/>
            <w:hideMark/>
          </w:tcPr>
          <w:p w14:paraId="4AB5E143"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ascii="Segoe UI Symbol" w:eastAsia="Times New Roman" w:hAnsi="Segoe UI Symbol" w:cs="Segoe UI Symbol"/>
                <w:sz w:val="20"/>
                <w:lang w:eastAsia="sk-SK"/>
              </w:rPr>
              <w:t>✓</w:t>
            </w:r>
          </w:p>
        </w:tc>
        <w:tc>
          <w:tcPr>
            <w:tcW w:w="1418" w:type="dxa"/>
            <w:tcBorders>
              <w:top w:val="nil"/>
              <w:left w:val="nil"/>
              <w:bottom w:val="nil"/>
              <w:right w:val="nil"/>
            </w:tcBorders>
            <w:shd w:val="clear" w:color="000000" w:fill="FFFFFF"/>
            <w:vAlign w:val="center"/>
            <w:hideMark/>
          </w:tcPr>
          <w:p w14:paraId="3E8FAD8B"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eastAsia="Times New Roman" w:cs="Times New Roman"/>
                <w:sz w:val="20"/>
                <w:lang w:eastAsia="sk-SK"/>
              </w:rPr>
              <w:t>O, N</w:t>
            </w:r>
          </w:p>
        </w:tc>
      </w:tr>
      <w:tr w:rsidR="007C0188" w:rsidRPr="00CA2564" w14:paraId="53C30170" w14:textId="77777777" w:rsidTr="007C4E85">
        <w:trPr>
          <w:trHeight w:val="330"/>
        </w:trPr>
        <w:tc>
          <w:tcPr>
            <w:tcW w:w="1985" w:type="dxa"/>
            <w:tcBorders>
              <w:top w:val="nil"/>
              <w:left w:val="nil"/>
              <w:bottom w:val="nil"/>
              <w:right w:val="nil"/>
            </w:tcBorders>
            <w:shd w:val="clear" w:color="000000" w:fill="FFFFFF"/>
            <w:noWrap/>
            <w:vAlign w:val="center"/>
            <w:hideMark/>
          </w:tcPr>
          <w:p w14:paraId="394D4FF3" w14:textId="77777777" w:rsidR="007C0188" w:rsidRPr="00CA2564" w:rsidRDefault="007C0188" w:rsidP="007C4E85">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Myslina</w:t>
            </w:r>
          </w:p>
        </w:tc>
        <w:tc>
          <w:tcPr>
            <w:tcW w:w="850" w:type="dxa"/>
            <w:tcBorders>
              <w:top w:val="nil"/>
              <w:left w:val="nil"/>
              <w:bottom w:val="nil"/>
              <w:right w:val="nil"/>
            </w:tcBorders>
            <w:shd w:val="clear" w:color="000000" w:fill="FFFFFF"/>
            <w:noWrap/>
            <w:vAlign w:val="center"/>
            <w:hideMark/>
          </w:tcPr>
          <w:p w14:paraId="660102F4"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2001</w:t>
            </w:r>
          </w:p>
        </w:tc>
        <w:tc>
          <w:tcPr>
            <w:tcW w:w="1985" w:type="dxa"/>
            <w:tcBorders>
              <w:top w:val="nil"/>
              <w:left w:val="nil"/>
              <w:bottom w:val="nil"/>
              <w:right w:val="nil"/>
            </w:tcBorders>
            <w:shd w:val="clear" w:color="000000" w:fill="FFFFFF"/>
            <w:noWrap/>
            <w:vAlign w:val="center"/>
            <w:hideMark/>
          </w:tcPr>
          <w:p w14:paraId="4FDB3723"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0</w:t>
            </w:r>
          </w:p>
        </w:tc>
        <w:tc>
          <w:tcPr>
            <w:tcW w:w="1134" w:type="dxa"/>
            <w:tcBorders>
              <w:top w:val="nil"/>
              <w:left w:val="nil"/>
              <w:bottom w:val="nil"/>
              <w:right w:val="nil"/>
            </w:tcBorders>
            <w:shd w:val="clear" w:color="000000" w:fill="FFFFFF"/>
            <w:noWrap/>
            <w:vAlign w:val="center"/>
            <w:hideMark/>
          </w:tcPr>
          <w:p w14:paraId="27DF1428"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94</w:t>
            </w:r>
          </w:p>
        </w:tc>
        <w:tc>
          <w:tcPr>
            <w:tcW w:w="1134" w:type="dxa"/>
            <w:tcBorders>
              <w:top w:val="nil"/>
              <w:left w:val="nil"/>
              <w:bottom w:val="nil"/>
              <w:right w:val="nil"/>
            </w:tcBorders>
            <w:shd w:val="clear" w:color="000000" w:fill="FFFFFF"/>
            <w:noWrap/>
            <w:vAlign w:val="center"/>
            <w:hideMark/>
          </w:tcPr>
          <w:p w14:paraId="3414FF39"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0</w:t>
            </w:r>
          </w:p>
        </w:tc>
        <w:tc>
          <w:tcPr>
            <w:tcW w:w="1134" w:type="dxa"/>
            <w:tcBorders>
              <w:top w:val="nil"/>
              <w:left w:val="nil"/>
              <w:bottom w:val="nil"/>
              <w:right w:val="nil"/>
            </w:tcBorders>
            <w:shd w:val="clear" w:color="000000" w:fill="FFFFFF"/>
            <w:noWrap/>
            <w:vAlign w:val="center"/>
            <w:hideMark/>
          </w:tcPr>
          <w:p w14:paraId="24900C7E"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0</w:t>
            </w:r>
          </w:p>
        </w:tc>
        <w:tc>
          <w:tcPr>
            <w:tcW w:w="1417" w:type="dxa"/>
            <w:tcBorders>
              <w:top w:val="nil"/>
              <w:left w:val="nil"/>
              <w:bottom w:val="nil"/>
              <w:right w:val="nil"/>
            </w:tcBorders>
            <w:shd w:val="clear" w:color="000000" w:fill="FFFFFF"/>
            <w:vAlign w:val="center"/>
            <w:hideMark/>
          </w:tcPr>
          <w:p w14:paraId="453C0EFF"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 </w:t>
            </w:r>
          </w:p>
        </w:tc>
        <w:tc>
          <w:tcPr>
            <w:tcW w:w="1417" w:type="dxa"/>
            <w:tcBorders>
              <w:top w:val="nil"/>
              <w:left w:val="nil"/>
              <w:bottom w:val="nil"/>
              <w:right w:val="nil"/>
            </w:tcBorders>
            <w:shd w:val="clear" w:color="000000" w:fill="FFFFFF"/>
            <w:vAlign w:val="center"/>
            <w:hideMark/>
          </w:tcPr>
          <w:p w14:paraId="2C182295"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ascii="Segoe UI Symbol" w:eastAsia="Times New Roman" w:hAnsi="Segoe UI Symbol" w:cs="Segoe UI Symbol"/>
                <w:sz w:val="20"/>
                <w:lang w:eastAsia="sk-SK"/>
              </w:rPr>
              <w:t>✗</w:t>
            </w:r>
          </w:p>
        </w:tc>
        <w:tc>
          <w:tcPr>
            <w:tcW w:w="1418" w:type="dxa"/>
            <w:tcBorders>
              <w:top w:val="nil"/>
              <w:left w:val="nil"/>
              <w:bottom w:val="nil"/>
              <w:right w:val="nil"/>
            </w:tcBorders>
            <w:shd w:val="clear" w:color="000000" w:fill="FFFFFF"/>
            <w:vAlign w:val="center"/>
            <w:hideMark/>
          </w:tcPr>
          <w:p w14:paraId="34F36EB8"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ascii="Segoe UI Symbol" w:eastAsia="Times New Roman" w:hAnsi="Segoe UI Symbol" w:cs="Segoe UI Symbol"/>
                <w:sz w:val="20"/>
                <w:lang w:eastAsia="sk-SK"/>
              </w:rPr>
              <w:t>✓</w:t>
            </w:r>
          </w:p>
        </w:tc>
        <w:tc>
          <w:tcPr>
            <w:tcW w:w="1418" w:type="dxa"/>
            <w:tcBorders>
              <w:top w:val="nil"/>
              <w:left w:val="nil"/>
              <w:bottom w:val="nil"/>
              <w:right w:val="nil"/>
            </w:tcBorders>
            <w:shd w:val="clear" w:color="000000" w:fill="FFFFFF"/>
            <w:vAlign w:val="center"/>
            <w:hideMark/>
          </w:tcPr>
          <w:p w14:paraId="79EB5258"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eastAsia="Times New Roman" w:cs="Times New Roman"/>
                <w:sz w:val="20"/>
                <w:lang w:eastAsia="sk-SK"/>
              </w:rPr>
              <w:t>O</w:t>
            </w:r>
          </w:p>
        </w:tc>
      </w:tr>
      <w:tr w:rsidR="007C0188" w:rsidRPr="00CA2564" w14:paraId="07439DFE" w14:textId="77777777" w:rsidTr="007C4E85">
        <w:trPr>
          <w:trHeight w:val="330"/>
        </w:trPr>
        <w:tc>
          <w:tcPr>
            <w:tcW w:w="1985" w:type="dxa"/>
            <w:tcBorders>
              <w:top w:val="nil"/>
              <w:left w:val="nil"/>
              <w:bottom w:val="nil"/>
              <w:right w:val="nil"/>
            </w:tcBorders>
            <w:shd w:val="clear" w:color="000000" w:fill="FFFFFF"/>
            <w:noWrap/>
            <w:vAlign w:val="center"/>
            <w:hideMark/>
          </w:tcPr>
          <w:p w14:paraId="7B1B0F1C" w14:textId="77777777" w:rsidR="007C0188" w:rsidRPr="00CA2564" w:rsidRDefault="007C0188" w:rsidP="007C4E85">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Michal nad Žitavou</w:t>
            </w:r>
          </w:p>
        </w:tc>
        <w:tc>
          <w:tcPr>
            <w:tcW w:w="850" w:type="dxa"/>
            <w:tcBorders>
              <w:top w:val="nil"/>
              <w:left w:val="nil"/>
              <w:bottom w:val="nil"/>
              <w:right w:val="nil"/>
            </w:tcBorders>
            <w:shd w:val="clear" w:color="000000" w:fill="FFFFFF"/>
            <w:noWrap/>
            <w:vAlign w:val="center"/>
            <w:hideMark/>
          </w:tcPr>
          <w:p w14:paraId="581F94D0"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2009</w:t>
            </w:r>
          </w:p>
        </w:tc>
        <w:tc>
          <w:tcPr>
            <w:tcW w:w="1985" w:type="dxa"/>
            <w:tcBorders>
              <w:top w:val="nil"/>
              <w:left w:val="nil"/>
              <w:bottom w:val="nil"/>
              <w:right w:val="nil"/>
            </w:tcBorders>
            <w:shd w:val="clear" w:color="000000" w:fill="FFFFFF"/>
            <w:noWrap/>
            <w:vAlign w:val="center"/>
            <w:hideMark/>
          </w:tcPr>
          <w:p w14:paraId="4E9CE247"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0</w:t>
            </w:r>
          </w:p>
        </w:tc>
        <w:tc>
          <w:tcPr>
            <w:tcW w:w="1134" w:type="dxa"/>
            <w:tcBorders>
              <w:top w:val="nil"/>
              <w:left w:val="nil"/>
              <w:bottom w:val="nil"/>
              <w:right w:val="nil"/>
            </w:tcBorders>
            <w:shd w:val="clear" w:color="000000" w:fill="FFFFFF"/>
            <w:noWrap/>
            <w:vAlign w:val="center"/>
            <w:hideMark/>
          </w:tcPr>
          <w:p w14:paraId="73A19B27"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78</w:t>
            </w:r>
          </w:p>
        </w:tc>
        <w:tc>
          <w:tcPr>
            <w:tcW w:w="1134" w:type="dxa"/>
            <w:tcBorders>
              <w:top w:val="nil"/>
              <w:left w:val="nil"/>
              <w:bottom w:val="nil"/>
              <w:right w:val="nil"/>
            </w:tcBorders>
            <w:shd w:val="clear" w:color="000000" w:fill="FFFFFF"/>
            <w:noWrap/>
            <w:vAlign w:val="center"/>
            <w:hideMark/>
          </w:tcPr>
          <w:p w14:paraId="19CA0D73"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0</w:t>
            </w:r>
          </w:p>
        </w:tc>
        <w:tc>
          <w:tcPr>
            <w:tcW w:w="1134" w:type="dxa"/>
            <w:tcBorders>
              <w:top w:val="nil"/>
              <w:left w:val="nil"/>
              <w:bottom w:val="nil"/>
              <w:right w:val="nil"/>
            </w:tcBorders>
            <w:shd w:val="clear" w:color="000000" w:fill="FFFFFF"/>
            <w:noWrap/>
            <w:vAlign w:val="center"/>
            <w:hideMark/>
          </w:tcPr>
          <w:p w14:paraId="7772A601"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0</w:t>
            </w:r>
          </w:p>
        </w:tc>
        <w:tc>
          <w:tcPr>
            <w:tcW w:w="1417" w:type="dxa"/>
            <w:tcBorders>
              <w:top w:val="nil"/>
              <w:left w:val="nil"/>
              <w:bottom w:val="nil"/>
              <w:right w:val="nil"/>
            </w:tcBorders>
            <w:shd w:val="clear" w:color="000000" w:fill="FFFFFF"/>
            <w:vAlign w:val="center"/>
            <w:hideMark/>
          </w:tcPr>
          <w:p w14:paraId="04575B2B"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 </w:t>
            </w:r>
          </w:p>
        </w:tc>
        <w:tc>
          <w:tcPr>
            <w:tcW w:w="1417" w:type="dxa"/>
            <w:tcBorders>
              <w:top w:val="nil"/>
              <w:left w:val="nil"/>
              <w:bottom w:val="nil"/>
              <w:right w:val="nil"/>
            </w:tcBorders>
            <w:shd w:val="clear" w:color="000000" w:fill="FFFFFF"/>
            <w:vAlign w:val="center"/>
            <w:hideMark/>
          </w:tcPr>
          <w:p w14:paraId="26513C31"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ascii="Segoe UI Symbol" w:eastAsia="Times New Roman" w:hAnsi="Segoe UI Symbol" w:cs="Segoe UI Symbol"/>
                <w:sz w:val="20"/>
                <w:lang w:eastAsia="sk-SK"/>
              </w:rPr>
              <w:t>✗</w:t>
            </w:r>
          </w:p>
        </w:tc>
        <w:tc>
          <w:tcPr>
            <w:tcW w:w="1418" w:type="dxa"/>
            <w:tcBorders>
              <w:top w:val="nil"/>
              <w:left w:val="nil"/>
              <w:bottom w:val="nil"/>
              <w:right w:val="nil"/>
            </w:tcBorders>
            <w:shd w:val="clear" w:color="000000" w:fill="FFFFFF"/>
            <w:vAlign w:val="center"/>
            <w:hideMark/>
          </w:tcPr>
          <w:p w14:paraId="157EE6CA"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ascii="Segoe UI Symbol" w:eastAsia="Times New Roman" w:hAnsi="Segoe UI Symbol" w:cs="Segoe UI Symbol"/>
                <w:sz w:val="20"/>
                <w:lang w:eastAsia="sk-SK"/>
              </w:rPr>
              <w:t>✗</w:t>
            </w:r>
          </w:p>
        </w:tc>
        <w:tc>
          <w:tcPr>
            <w:tcW w:w="1418" w:type="dxa"/>
            <w:tcBorders>
              <w:top w:val="nil"/>
              <w:left w:val="nil"/>
              <w:bottom w:val="nil"/>
              <w:right w:val="nil"/>
            </w:tcBorders>
            <w:shd w:val="clear" w:color="000000" w:fill="FFFFFF"/>
            <w:vAlign w:val="center"/>
            <w:hideMark/>
          </w:tcPr>
          <w:p w14:paraId="406895B2"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eastAsia="Times New Roman" w:cs="Times New Roman"/>
                <w:sz w:val="20"/>
                <w:lang w:eastAsia="sk-SK"/>
              </w:rPr>
              <w:t>I</w:t>
            </w:r>
          </w:p>
        </w:tc>
      </w:tr>
      <w:tr w:rsidR="007C0188" w:rsidRPr="00CA2564" w14:paraId="0CCDF73A" w14:textId="77777777" w:rsidTr="007C4E85">
        <w:trPr>
          <w:trHeight w:val="330"/>
        </w:trPr>
        <w:tc>
          <w:tcPr>
            <w:tcW w:w="1985" w:type="dxa"/>
            <w:tcBorders>
              <w:top w:val="nil"/>
              <w:left w:val="nil"/>
              <w:bottom w:val="nil"/>
              <w:right w:val="nil"/>
            </w:tcBorders>
            <w:shd w:val="clear" w:color="000000" w:fill="FFFFFF"/>
            <w:noWrap/>
            <w:vAlign w:val="center"/>
            <w:hideMark/>
          </w:tcPr>
          <w:p w14:paraId="4810C1F6" w14:textId="77777777" w:rsidR="007C0188" w:rsidRPr="00CA2564" w:rsidRDefault="007C0188" w:rsidP="007C4E85">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Lučenec</w:t>
            </w:r>
          </w:p>
        </w:tc>
        <w:tc>
          <w:tcPr>
            <w:tcW w:w="850" w:type="dxa"/>
            <w:tcBorders>
              <w:top w:val="nil"/>
              <w:left w:val="nil"/>
              <w:bottom w:val="nil"/>
              <w:right w:val="nil"/>
            </w:tcBorders>
            <w:shd w:val="clear" w:color="000000" w:fill="FFFFFF"/>
            <w:noWrap/>
            <w:vAlign w:val="center"/>
            <w:hideMark/>
          </w:tcPr>
          <w:p w14:paraId="45EDC60B"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1995</w:t>
            </w:r>
          </w:p>
        </w:tc>
        <w:tc>
          <w:tcPr>
            <w:tcW w:w="1985" w:type="dxa"/>
            <w:tcBorders>
              <w:top w:val="nil"/>
              <w:left w:val="nil"/>
              <w:bottom w:val="nil"/>
              <w:right w:val="nil"/>
            </w:tcBorders>
            <w:shd w:val="clear" w:color="000000" w:fill="FFFFFF"/>
            <w:noWrap/>
            <w:vAlign w:val="center"/>
            <w:hideMark/>
          </w:tcPr>
          <w:p w14:paraId="4DD37F5E"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0</w:t>
            </w:r>
          </w:p>
        </w:tc>
        <w:tc>
          <w:tcPr>
            <w:tcW w:w="1134" w:type="dxa"/>
            <w:tcBorders>
              <w:top w:val="nil"/>
              <w:left w:val="nil"/>
              <w:bottom w:val="nil"/>
              <w:right w:val="nil"/>
            </w:tcBorders>
            <w:shd w:val="clear" w:color="000000" w:fill="FFFFFF"/>
            <w:noWrap/>
            <w:vAlign w:val="center"/>
            <w:hideMark/>
          </w:tcPr>
          <w:p w14:paraId="45CA1E27"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59</w:t>
            </w:r>
          </w:p>
        </w:tc>
        <w:tc>
          <w:tcPr>
            <w:tcW w:w="1134" w:type="dxa"/>
            <w:tcBorders>
              <w:top w:val="nil"/>
              <w:left w:val="nil"/>
              <w:bottom w:val="nil"/>
              <w:right w:val="nil"/>
            </w:tcBorders>
            <w:shd w:val="clear" w:color="000000" w:fill="FFFFFF"/>
            <w:noWrap/>
            <w:vAlign w:val="center"/>
            <w:hideMark/>
          </w:tcPr>
          <w:p w14:paraId="75F3924F"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9</w:t>
            </w:r>
          </w:p>
        </w:tc>
        <w:tc>
          <w:tcPr>
            <w:tcW w:w="1134" w:type="dxa"/>
            <w:tcBorders>
              <w:top w:val="nil"/>
              <w:left w:val="nil"/>
              <w:bottom w:val="nil"/>
              <w:right w:val="nil"/>
            </w:tcBorders>
            <w:shd w:val="clear" w:color="000000" w:fill="FFFFFF"/>
            <w:noWrap/>
            <w:vAlign w:val="center"/>
            <w:hideMark/>
          </w:tcPr>
          <w:p w14:paraId="1C40E03B"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0</w:t>
            </w:r>
          </w:p>
        </w:tc>
        <w:tc>
          <w:tcPr>
            <w:tcW w:w="1417" w:type="dxa"/>
            <w:tcBorders>
              <w:top w:val="nil"/>
              <w:left w:val="nil"/>
              <w:bottom w:val="nil"/>
              <w:right w:val="nil"/>
            </w:tcBorders>
            <w:shd w:val="clear" w:color="000000" w:fill="FFFFFF"/>
            <w:vAlign w:val="center"/>
            <w:hideMark/>
          </w:tcPr>
          <w:p w14:paraId="7FE6F0E6"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 </w:t>
            </w:r>
          </w:p>
        </w:tc>
        <w:tc>
          <w:tcPr>
            <w:tcW w:w="1417" w:type="dxa"/>
            <w:tcBorders>
              <w:top w:val="nil"/>
              <w:left w:val="nil"/>
              <w:bottom w:val="nil"/>
              <w:right w:val="nil"/>
            </w:tcBorders>
            <w:shd w:val="clear" w:color="000000" w:fill="FFFFFF"/>
            <w:vAlign w:val="center"/>
            <w:hideMark/>
          </w:tcPr>
          <w:p w14:paraId="59B4B3F8"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ascii="Segoe UI Symbol" w:eastAsia="Times New Roman" w:hAnsi="Segoe UI Symbol" w:cs="Segoe UI Symbol"/>
                <w:sz w:val="20"/>
                <w:lang w:eastAsia="sk-SK"/>
              </w:rPr>
              <w:t>✓</w:t>
            </w:r>
          </w:p>
        </w:tc>
        <w:tc>
          <w:tcPr>
            <w:tcW w:w="1418" w:type="dxa"/>
            <w:tcBorders>
              <w:top w:val="nil"/>
              <w:left w:val="nil"/>
              <w:bottom w:val="nil"/>
              <w:right w:val="nil"/>
            </w:tcBorders>
            <w:shd w:val="clear" w:color="000000" w:fill="FFFFFF"/>
            <w:vAlign w:val="center"/>
            <w:hideMark/>
          </w:tcPr>
          <w:p w14:paraId="04691A39"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ascii="Segoe UI Symbol" w:eastAsia="Times New Roman" w:hAnsi="Segoe UI Symbol" w:cs="Segoe UI Symbol"/>
                <w:sz w:val="20"/>
                <w:lang w:eastAsia="sk-SK"/>
              </w:rPr>
              <w:t>✓</w:t>
            </w:r>
          </w:p>
        </w:tc>
        <w:tc>
          <w:tcPr>
            <w:tcW w:w="1418" w:type="dxa"/>
            <w:tcBorders>
              <w:top w:val="nil"/>
              <w:left w:val="nil"/>
              <w:bottom w:val="nil"/>
              <w:right w:val="nil"/>
            </w:tcBorders>
            <w:shd w:val="clear" w:color="000000" w:fill="FFFFFF"/>
            <w:vAlign w:val="center"/>
            <w:hideMark/>
          </w:tcPr>
          <w:p w14:paraId="4F1FAA1D"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eastAsia="Times New Roman" w:cs="Times New Roman"/>
                <w:sz w:val="20"/>
                <w:lang w:eastAsia="sk-SK"/>
              </w:rPr>
              <w:t>O</w:t>
            </w:r>
          </w:p>
        </w:tc>
      </w:tr>
      <w:tr w:rsidR="007C0188" w:rsidRPr="00CA2564" w14:paraId="38B78FF9" w14:textId="77777777" w:rsidTr="007C4E85">
        <w:trPr>
          <w:trHeight w:val="80"/>
        </w:trPr>
        <w:tc>
          <w:tcPr>
            <w:tcW w:w="1985" w:type="dxa"/>
            <w:tcBorders>
              <w:top w:val="nil"/>
              <w:left w:val="nil"/>
              <w:bottom w:val="single" w:sz="4" w:space="0" w:color="auto"/>
              <w:right w:val="nil"/>
            </w:tcBorders>
            <w:shd w:val="clear" w:color="000000" w:fill="FFFFFF"/>
            <w:noWrap/>
            <w:vAlign w:val="center"/>
            <w:hideMark/>
          </w:tcPr>
          <w:p w14:paraId="549213A2" w14:textId="77777777" w:rsidR="007C0188" w:rsidRPr="00CA2564" w:rsidRDefault="007C0188" w:rsidP="007C4E85">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Blatnica</w:t>
            </w:r>
          </w:p>
        </w:tc>
        <w:tc>
          <w:tcPr>
            <w:tcW w:w="850" w:type="dxa"/>
            <w:tcBorders>
              <w:top w:val="nil"/>
              <w:left w:val="nil"/>
              <w:bottom w:val="single" w:sz="4" w:space="0" w:color="auto"/>
              <w:right w:val="nil"/>
            </w:tcBorders>
            <w:shd w:val="clear" w:color="000000" w:fill="FFFFFF"/>
            <w:noWrap/>
            <w:vAlign w:val="center"/>
            <w:hideMark/>
          </w:tcPr>
          <w:p w14:paraId="03080419"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1993</w:t>
            </w:r>
          </w:p>
        </w:tc>
        <w:tc>
          <w:tcPr>
            <w:tcW w:w="1985" w:type="dxa"/>
            <w:tcBorders>
              <w:top w:val="nil"/>
              <w:left w:val="nil"/>
              <w:bottom w:val="single" w:sz="4" w:space="0" w:color="auto"/>
              <w:right w:val="nil"/>
            </w:tcBorders>
            <w:shd w:val="clear" w:color="000000" w:fill="FFFFFF"/>
            <w:noWrap/>
            <w:vAlign w:val="center"/>
            <w:hideMark/>
          </w:tcPr>
          <w:p w14:paraId="6591E92E"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0</w:t>
            </w:r>
          </w:p>
        </w:tc>
        <w:tc>
          <w:tcPr>
            <w:tcW w:w="1134" w:type="dxa"/>
            <w:tcBorders>
              <w:top w:val="nil"/>
              <w:left w:val="nil"/>
              <w:bottom w:val="single" w:sz="4" w:space="0" w:color="auto"/>
              <w:right w:val="nil"/>
            </w:tcBorders>
            <w:shd w:val="clear" w:color="000000" w:fill="FFFFFF"/>
            <w:noWrap/>
            <w:vAlign w:val="center"/>
            <w:hideMark/>
          </w:tcPr>
          <w:p w14:paraId="29AB6919"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63</w:t>
            </w:r>
          </w:p>
        </w:tc>
        <w:tc>
          <w:tcPr>
            <w:tcW w:w="1134" w:type="dxa"/>
            <w:tcBorders>
              <w:top w:val="nil"/>
              <w:left w:val="nil"/>
              <w:bottom w:val="single" w:sz="4" w:space="0" w:color="auto"/>
              <w:right w:val="nil"/>
            </w:tcBorders>
            <w:shd w:val="clear" w:color="000000" w:fill="FFFFFF"/>
            <w:noWrap/>
            <w:vAlign w:val="center"/>
            <w:hideMark/>
          </w:tcPr>
          <w:p w14:paraId="2FEBB754"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9</w:t>
            </w:r>
          </w:p>
        </w:tc>
        <w:tc>
          <w:tcPr>
            <w:tcW w:w="1134" w:type="dxa"/>
            <w:tcBorders>
              <w:top w:val="nil"/>
              <w:left w:val="nil"/>
              <w:bottom w:val="single" w:sz="4" w:space="0" w:color="auto"/>
              <w:right w:val="nil"/>
            </w:tcBorders>
            <w:shd w:val="clear" w:color="000000" w:fill="FFFFFF"/>
            <w:noWrap/>
            <w:vAlign w:val="center"/>
            <w:hideMark/>
          </w:tcPr>
          <w:p w14:paraId="00E4E3CB"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0</w:t>
            </w:r>
          </w:p>
        </w:tc>
        <w:tc>
          <w:tcPr>
            <w:tcW w:w="1417" w:type="dxa"/>
            <w:tcBorders>
              <w:top w:val="nil"/>
              <w:left w:val="nil"/>
              <w:bottom w:val="single" w:sz="4" w:space="0" w:color="auto"/>
              <w:right w:val="nil"/>
            </w:tcBorders>
            <w:shd w:val="clear" w:color="000000" w:fill="FFFFFF"/>
            <w:vAlign w:val="center"/>
            <w:hideMark/>
          </w:tcPr>
          <w:p w14:paraId="680380CA" w14:textId="77777777" w:rsidR="007C0188" w:rsidRPr="00CA2564" w:rsidRDefault="007C0188" w:rsidP="007C4E85">
            <w:pPr>
              <w:spacing w:after="0" w:line="240" w:lineRule="auto"/>
              <w:jc w:val="center"/>
              <w:rPr>
                <w:rFonts w:eastAsia="Times New Roman" w:cs="Times New Roman"/>
                <w:color w:val="000000"/>
                <w:sz w:val="20"/>
                <w:lang w:eastAsia="sk-SK"/>
              </w:rPr>
            </w:pPr>
            <w:r w:rsidRPr="00CA2564">
              <w:rPr>
                <w:rFonts w:eastAsia="Times New Roman" w:cs="Times New Roman"/>
                <w:color w:val="000000"/>
                <w:sz w:val="20"/>
                <w:lang w:eastAsia="sk-SK"/>
              </w:rPr>
              <w:t> </w:t>
            </w:r>
          </w:p>
        </w:tc>
        <w:tc>
          <w:tcPr>
            <w:tcW w:w="1417" w:type="dxa"/>
            <w:tcBorders>
              <w:top w:val="nil"/>
              <w:left w:val="nil"/>
              <w:bottom w:val="single" w:sz="4" w:space="0" w:color="auto"/>
              <w:right w:val="nil"/>
            </w:tcBorders>
            <w:shd w:val="clear" w:color="000000" w:fill="FFFFFF"/>
            <w:vAlign w:val="center"/>
            <w:hideMark/>
          </w:tcPr>
          <w:p w14:paraId="6970BF5D"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ascii="Segoe UI Symbol" w:eastAsia="Times New Roman" w:hAnsi="Segoe UI Symbol" w:cs="Segoe UI Symbol"/>
                <w:sz w:val="20"/>
                <w:lang w:eastAsia="sk-SK"/>
              </w:rPr>
              <w:t>✗</w:t>
            </w:r>
          </w:p>
        </w:tc>
        <w:tc>
          <w:tcPr>
            <w:tcW w:w="1418" w:type="dxa"/>
            <w:tcBorders>
              <w:top w:val="nil"/>
              <w:left w:val="nil"/>
              <w:bottom w:val="single" w:sz="4" w:space="0" w:color="auto"/>
              <w:right w:val="nil"/>
            </w:tcBorders>
            <w:shd w:val="clear" w:color="000000" w:fill="FFFFFF"/>
            <w:vAlign w:val="center"/>
            <w:hideMark/>
          </w:tcPr>
          <w:p w14:paraId="256A535D"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ascii="Segoe UI Symbol" w:eastAsia="Times New Roman" w:hAnsi="Segoe UI Symbol" w:cs="Segoe UI Symbol"/>
                <w:sz w:val="20"/>
                <w:lang w:eastAsia="sk-SK"/>
              </w:rPr>
              <w:t>✓</w:t>
            </w:r>
          </w:p>
        </w:tc>
        <w:tc>
          <w:tcPr>
            <w:tcW w:w="1418" w:type="dxa"/>
            <w:tcBorders>
              <w:top w:val="nil"/>
              <w:left w:val="nil"/>
              <w:bottom w:val="single" w:sz="4" w:space="0" w:color="auto"/>
              <w:right w:val="nil"/>
            </w:tcBorders>
            <w:shd w:val="clear" w:color="000000" w:fill="FFFFFF"/>
            <w:vAlign w:val="center"/>
            <w:hideMark/>
          </w:tcPr>
          <w:p w14:paraId="7B0CE4EF" w14:textId="77777777" w:rsidR="007C0188" w:rsidRPr="00CA2564" w:rsidRDefault="007C0188" w:rsidP="007C4E85">
            <w:pPr>
              <w:spacing w:after="0" w:line="240" w:lineRule="auto"/>
              <w:jc w:val="center"/>
              <w:rPr>
                <w:rFonts w:eastAsia="Times New Roman" w:cs="Times New Roman"/>
                <w:sz w:val="20"/>
                <w:lang w:eastAsia="sk-SK"/>
              </w:rPr>
            </w:pPr>
            <w:r w:rsidRPr="00CA2564">
              <w:rPr>
                <w:rFonts w:eastAsia="Times New Roman" w:cs="Times New Roman"/>
                <w:sz w:val="20"/>
                <w:lang w:eastAsia="sk-SK"/>
              </w:rPr>
              <w:t>I</w:t>
            </w:r>
          </w:p>
        </w:tc>
      </w:tr>
    </w:tbl>
    <w:p w14:paraId="3A3EA921" w14:textId="77777777" w:rsidR="00A77253" w:rsidRDefault="00A77253" w:rsidP="00494ABB">
      <w:pPr>
        <w:pStyle w:val="Popis"/>
        <w:rPr>
          <w:b/>
          <w:i w:val="0"/>
          <w:color w:val="2E74B5" w:themeColor="accent1" w:themeShade="BF"/>
          <w:sz w:val="22"/>
        </w:rPr>
      </w:pPr>
      <w:bookmarkStart w:id="1960" w:name="_Ref25323962"/>
      <w:bookmarkStart w:id="1961" w:name="_Hlk24411695"/>
      <w:bookmarkStart w:id="1962" w:name="_Hlk25427566"/>
    </w:p>
    <w:p w14:paraId="393EA64B" w14:textId="77777777" w:rsidR="007C0C1E" w:rsidRDefault="007C0C1E" w:rsidP="007C0C1E">
      <w:pPr>
        <w:pStyle w:val="Popis"/>
        <w:rPr>
          <w:b/>
          <w:i w:val="0"/>
          <w:color w:val="2E74B5" w:themeColor="accent1" w:themeShade="BF"/>
          <w:sz w:val="22"/>
        </w:rPr>
        <w:sectPr w:rsidR="007C0C1E" w:rsidSect="00DC0C0A">
          <w:pgSz w:w="16838" w:h="11906" w:orient="landscape" w:code="9"/>
          <w:pgMar w:top="1440" w:right="1440" w:bottom="1378" w:left="1440" w:header="720" w:footer="646" w:gutter="0"/>
          <w:cols w:space="708"/>
          <w:docGrid w:linePitch="360"/>
        </w:sectPr>
      </w:pPr>
    </w:p>
    <w:p w14:paraId="186C5096" w14:textId="6C0C91B4" w:rsidR="007C0C1E" w:rsidRPr="00414A3D" w:rsidRDefault="007C0C1E" w:rsidP="007C0C1E">
      <w:pPr>
        <w:pStyle w:val="Popis"/>
        <w:rPr>
          <w:b/>
          <w:i w:val="0"/>
          <w:color w:val="2E74B5" w:themeColor="accent1" w:themeShade="BF"/>
          <w:sz w:val="22"/>
        </w:rPr>
      </w:pPr>
      <w:bookmarkStart w:id="1963" w:name="_Ref34132043"/>
      <w:r w:rsidRPr="00DF3709">
        <w:rPr>
          <w:b/>
          <w:i w:val="0"/>
          <w:color w:val="2E74B5" w:themeColor="accent1" w:themeShade="BF"/>
          <w:sz w:val="22"/>
        </w:rPr>
        <w:t xml:space="preserve">Príloha </w:t>
      </w:r>
      <w:r w:rsidRPr="00DF3709">
        <w:rPr>
          <w:b/>
          <w:i w:val="0"/>
          <w:color w:val="2E74B5" w:themeColor="accent1" w:themeShade="BF"/>
          <w:sz w:val="22"/>
        </w:rPr>
        <w:fldChar w:fldCharType="begin"/>
      </w:r>
      <w:r w:rsidRPr="00DF3709">
        <w:rPr>
          <w:b/>
          <w:i w:val="0"/>
          <w:color w:val="2E74B5" w:themeColor="accent1" w:themeShade="BF"/>
          <w:sz w:val="22"/>
        </w:rPr>
        <w:instrText xml:space="preserve"> SEQ Príloha \* ARABIC </w:instrText>
      </w:r>
      <w:r w:rsidRPr="00DF3709">
        <w:rPr>
          <w:b/>
          <w:i w:val="0"/>
          <w:color w:val="2E74B5" w:themeColor="accent1" w:themeShade="BF"/>
          <w:sz w:val="22"/>
        </w:rPr>
        <w:fldChar w:fldCharType="separate"/>
      </w:r>
      <w:r w:rsidR="00FA29AF">
        <w:rPr>
          <w:b/>
          <w:i w:val="0"/>
          <w:noProof/>
          <w:color w:val="2E74B5" w:themeColor="accent1" w:themeShade="BF"/>
          <w:sz w:val="22"/>
        </w:rPr>
        <w:t>39</w:t>
      </w:r>
      <w:r w:rsidRPr="00DF3709">
        <w:rPr>
          <w:b/>
          <w:i w:val="0"/>
          <w:color w:val="2E74B5" w:themeColor="accent1" w:themeShade="BF"/>
          <w:sz w:val="22"/>
        </w:rPr>
        <w:fldChar w:fldCharType="end"/>
      </w:r>
      <w:bookmarkEnd w:id="1963"/>
      <w:r w:rsidRPr="00DF3709">
        <w:rPr>
          <w:b/>
          <w:i w:val="0"/>
          <w:color w:val="2E74B5" w:themeColor="accent1" w:themeShade="BF"/>
          <w:sz w:val="22"/>
        </w:rPr>
        <w:t xml:space="preserve">: </w:t>
      </w:r>
      <w:r>
        <w:rPr>
          <w:b/>
          <w:i w:val="0"/>
          <w:color w:val="2E74B5" w:themeColor="accent1" w:themeShade="BF"/>
          <w:sz w:val="22"/>
        </w:rPr>
        <w:t>Zariadenia krízového bývania</w:t>
      </w:r>
    </w:p>
    <w:tbl>
      <w:tblPr>
        <w:tblW w:w="9067" w:type="dxa"/>
        <w:tblBorders>
          <w:top w:val="single" w:sz="4" w:space="0" w:color="auto"/>
          <w:bottom w:val="single" w:sz="4" w:space="0" w:color="auto"/>
        </w:tblBorders>
        <w:tblLayout w:type="fixed"/>
        <w:tblLook w:val="04A0" w:firstRow="1" w:lastRow="0" w:firstColumn="1" w:lastColumn="0" w:noHBand="0" w:noVBand="1"/>
      </w:tblPr>
      <w:tblGrid>
        <w:gridCol w:w="1510"/>
        <w:gridCol w:w="1510"/>
        <w:gridCol w:w="2362"/>
        <w:gridCol w:w="3685"/>
      </w:tblGrid>
      <w:tr w:rsidR="007C0C1E" w:rsidRPr="00414A3D" w14:paraId="6975933A" w14:textId="77777777" w:rsidTr="003B7808">
        <w:tc>
          <w:tcPr>
            <w:tcW w:w="1510" w:type="dxa"/>
            <w:tcBorders>
              <w:top w:val="single" w:sz="4" w:space="0" w:color="auto"/>
              <w:bottom w:val="single" w:sz="4" w:space="0" w:color="auto"/>
            </w:tcBorders>
          </w:tcPr>
          <w:p w14:paraId="0E5C5AD2" w14:textId="77777777" w:rsidR="007C0C1E" w:rsidRPr="00414A3D" w:rsidRDefault="007C0C1E" w:rsidP="003B7808">
            <w:pPr>
              <w:pStyle w:val="Bezriadkovania"/>
              <w:spacing w:before="160" w:after="160" w:line="259" w:lineRule="auto"/>
              <w:jc w:val="center"/>
              <w:rPr>
                <w:rFonts w:ascii="Arial Narrow" w:hAnsi="Arial Narrow"/>
                <w:b/>
                <w:sz w:val="20"/>
                <w:szCs w:val="20"/>
              </w:rPr>
            </w:pPr>
            <w:r w:rsidRPr="00414A3D">
              <w:rPr>
                <w:rFonts w:ascii="Arial Narrow" w:hAnsi="Arial Narrow"/>
                <w:b/>
                <w:sz w:val="20"/>
                <w:szCs w:val="20"/>
              </w:rPr>
              <w:t>Druh zariadenia</w:t>
            </w:r>
          </w:p>
        </w:tc>
        <w:tc>
          <w:tcPr>
            <w:tcW w:w="1510" w:type="dxa"/>
            <w:tcBorders>
              <w:top w:val="single" w:sz="4" w:space="0" w:color="auto"/>
              <w:bottom w:val="single" w:sz="4" w:space="0" w:color="auto"/>
            </w:tcBorders>
          </w:tcPr>
          <w:p w14:paraId="0814D2FB" w14:textId="77777777" w:rsidR="007C0C1E" w:rsidRPr="00414A3D" w:rsidRDefault="007C0C1E" w:rsidP="003B7808">
            <w:pPr>
              <w:pStyle w:val="Bezriadkovania"/>
              <w:spacing w:before="160" w:after="160" w:line="259" w:lineRule="auto"/>
              <w:jc w:val="center"/>
              <w:rPr>
                <w:rFonts w:ascii="Arial Narrow" w:hAnsi="Arial Narrow"/>
                <w:b/>
                <w:sz w:val="20"/>
                <w:szCs w:val="20"/>
              </w:rPr>
            </w:pPr>
            <w:r w:rsidRPr="00414A3D">
              <w:rPr>
                <w:rFonts w:ascii="Arial Narrow" w:hAnsi="Arial Narrow"/>
                <w:b/>
                <w:sz w:val="20"/>
                <w:szCs w:val="20"/>
              </w:rPr>
              <w:t>Dĺžka pobytu</w:t>
            </w:r>
          </w:p>
        </w:tc>
        <w:tc>
          <w:tcPr>
            <w:tcW w:w="2362" w:type="dxa"/>
            <w:tcBorders>
              <w:top w:val="single" w:sz="4" w:space="0" w:color="auto"/>
              <w:bottom w:val="single" w:sz="4" w:space="0" w:color="auto"/>
            </w:tcBorders>
          </w:tcPr>
          <w:p w14:paraId="21EE8C80" w14:textId="77777777" w:rsidR="007C0C1E" w:rsidRPr="00414A3D" w:rsidRDefault="007C0C1E" w:rsidP="003B7808">
            <w:pPr>
              <w:pStyle w:val="Bezriadkovania"/>
              <w:spacing w:before="160" w:after="160" w:line="259" w:lineRule="auto"/>
              <w:jc w:val="center"/>
              <w:rPr>
                <w:rFonts w:ascii="Arial Narrow" w:hAnsi="Arial Narrow"/>
                <w:b/>
                <w:sz w:val="20"/>
                <w:szCs w:val="20"/>
              </w:rPr>
            </w:pPr>
            <w:r w:rsidRPr="00414A3D">
              <w:rPr>
                <w:rFonts w:ascii="Arial Narrow" w:hAnsi="Arial Narrow"/>
                <w:b/>
                <w:sz w:val="20"/>
                <w:szCs w:val="20"/>
              </w:rPr>
              <w:t>Cieľová skupina</w:t>
            </w:r>
          </w:p>
        </w:tc>
        <w:tc>
          <w:tcPr>
            <w:tcW w:w="3685" w:type="dxa"/>
            <w:tcBorders>
              <w:top w:val="single" w:sz="4" w:space="0" w:color="auto"/>
              <w:bottom w:val="single" w:sz="4" w:space="0" w:color="auto"/>
            </w:tcBorders>
          </w:tcPr>
          <w:p w14:paraId="5790CF82" w14:textId="77777777" w:rsidR="007C0C1E" w:rsidRPr="00414A3D" w:rsidRDefault="007C0C1E" w:rsidP="003B7808">
            <w:pPr>
              <w:pStyle w:val="Bezriadkovania"/>
              <w:spacing w:before="160" w:after="160" w:line="259" w:lineRule="auto"/>
              <w:jc w:val="center"/>
              <w:rPr>
                <w:rFonts w:ascii="Arial Narrow" w:hAnsi="Arial Narrow"/>
                <w:b/>
                <w:sz w:val="20"/>
                <w:szCs w:val="20"/>
              </w:rPr>
            </w:pPr>
            <w:r w:rsidRPr="00414A3D">
              <w:rPr>
                <w:rFonts w:ascii="Arial Narrow" w:hAnsi="Arial Narrow"/>
                <w:b/>
                <w:sz w:val="20"/>
                <w:szCs w:val="20"/>
              </w:rPr>
              <w:t>Ďalšie poskytované služby</w:t>
            </w:r>
          </w:p>
        </w:tc>
      </w:tr>
      <w:tr w:rsidR="007C0C1E" w:rsidRPr="00414A3D" w14:paraId="33306BFE" w14:textId="77777777" w:rsidTr="003B7808">
        <w:trPr>
          <w:trHeight w:val="557"/>
        </w:trPr>
        <w:tc>
          <w:tcPr>
            <w:tcW w:w="1510" w:type="dxa"/>
            <w:tcBorders>
              <w:top w:val="single" w:sz="4" w:space="0" w:color="auto"/>
              <w:bottom w:val="dashSmallGap" w:sz="4" w:space="0" w:color="auto"/>
            </w:tcBorders>
            <w:hideMark/>
          </w:tcPr>
          <w:p w14:paraId="5E9E1294" w14:textId="77777777" w:rsidR="007C0C1E" w:rsidRPr="00414A3D" w:rsidRDefault="007C0C1E" w:rsidP="003B7808">
            <w:pPr>
              <w:spacing w:after="0"/>
              <w:jc w:val="left"/>
              <w:rPr>
                <w:rFonts w:eastAsia="Times New Roman" w:cs="Times New Roman"/>
                <w:color w:val="000000"/>
                <w:sz w:val="20"/>
                <w:lang w:eastAsia="sk-SK"/>
              </w:rPr>
            </w:pPr>
            <w:r w:rsidRPr="00414A3D">
              <w:rPr>
                <w:rFonts w:eastAsia="Times New Roman" w:cs="Times New Roman"/>
                <w:color w:val="000000"/>
                <w:sz w:val="20"/>
                <w:lang w:eastAsia="sk-SK"/>
              </w:rPr>
              <w:t>Nocľaháreň</w:t>
            </w:r>
          </w:p>
        </w:tc>
        <w:tc>
          <w:tcPr>
            <w:tcW w:w="1510" w:type="dxa"/>
            <w:tcBorders>
              <w:top w:val="single" w:sz="4" w:space="0" w:color="auto"/>
              <w:bottom w:val="dashSmallGap" w:sz="4" w:space="0" w:color="auto"/>
            </w:tcBorders>
            <w:hideMark/>
          </w:tcPr>
          <w:p w14:paraId="713B90ED" w14:textId="77777777" w:rsidR="007C0C1E" w:rsidRPr="00414A3D" w:rsidRDefault="007C0C1E" w:rsidP="003B7808">
            <w:pPr>
              <w:spacing w:after="0"/>
              <w:jc w:val="left"/>
              <w:rPr>
                <w:rFonts w:eastAsia="Times New Roman" w:cs="Times New Roman"/>
                <w:color w:val="000000"/>
                <w:sz w:val="20"/>
                <w:lang w:eastAsia="sk-SK"/>
              </w:rPr>
            </w:pPr>
            <w:r w:rsidRPr="00414A3D">
              <w:rPr>
                <w:rFonts w:eastAsia="Times New Roman" w:cs="Times New Roman"/>
                <w:color w:val="000000"/>
                <w:sz w:val="20"/>
                <w:lang w:eastAsia="sk-SK"/>
              </w:rPr>
              <w:t>Iba prenocovanie</w:t>
            </w:r>
          </w:p>
        </w:tc>
        <w:tc>
          <w:tcPr>
            <w:tcW w:w="2362" w:type="dxa"/>
            <w:tcBorders>
              <w:top w:val="single" w:sz="4" w:space="0" w:color="auto"/>
              <w:bottom w:val="dashSmallGap" w:sz="4" w:space="0" w:color="auto"/>
            </w:tcBorders>
            <w:hideMark/>
          </w:tcPr>
          <w:p w14:paraId="1533DA26" w14:textId="77777777" w:rsidR="007C0C1E" w:rsidRPr="00414A3D" w:rsidRDefault="007C0C1E" w:rsidP="003B7808">
            <w:pPr>
              <w:spacing w:after="0"/>
              <w:jc w:val="left"/>
              <w:rPr>
                <w:rFonts w:eastAsia="Times New Roman" w:cs="Times New Roman"/>
                <w:color w:val="000000"/>
                <w:sz w:val="20"/>
                <w:lang w:eastAsia="sk-SK"/>
              </w:rPr>
            </w:pPr>
            <w:r w:rsidRPr="00414A3D">
              <w:rPr>
                <w:rFonts w:eastAsia="Times New Roman" w:cs="Times New Roman"/>
                <w:color w:val="000000"/>
                <w:sz w:val="20"/>
                <w:lang w:eastAsia="sk-SK"/>
              </w:rPr>
              <w:t>Osoby, ktoré nemajú zabezpečené ubytovanie alebo nemôžu doterajšie bývanie užívať</w:t>
            </w:r>
          </w:p>
        </w:tc>
        <w:tc>
          <w:tcPr>
            <w:tcW w:w="3685" w:type="dxa"/>
            <w:tcBorders>
              <w:top w:val="single" w:sz="4" w:space="0" w:color="auto"/>
              <w:bottom w:val="dashSmallGap" w:sz="4" w:space="0" w:color="auto"/>
            </w:tcBorders>
            <w:hideMark/>
          </w:tcPr>
          <w:p w14:paraId="014495A3" w14:textId="77777777" w:rsidR="007C0C1E" w:rsidRPr="00414A3D" w:rsidRDefault="007C0C1E" w:rsidP="003B7808">
            <w:pPr>
              <w:pStyle w:val="Odsekzoznamu"/>
              <w:numPr>
                <w:ilvl w:val="0"/>
                <w:numId w:val="16"/>
              </w:numPr>
              <w:spacing w:after="0"/>
              <w:jc w:val="left"/>
              <w:rPr>
                <w:rFonts w:eastAsia="Times New Roman" w:cs="Times New Roman"/>
                <w:color w:val="000000"/>
                <w:sz w:val="20"/>
                <w:lang w:eastAsia="sk-SK"/>
              </w:rPr>
            </w:pPr>
            <w:r w:rsidRPr="00414A3D">
              <w:rPr>
                <w:rFonts w:eastAsia="Times New Roman" w:cs="Times New Roman"/>
                <w:color w:val="000000"/>
                <w:sz w:val="20"/>
                <w:lang w:eastAsia="sk-SK"/>
              </w:rPr>
              <w:t>sociálne poradenstvo</w:t>
            </w:r>
          </w:p>
          <w:p w14:paraId="3F2D39AC" w14:textId="77777777" w:rsidR="007C0C1E" w:rsidRPr="00414A3D" w:rsidRDefault="007C0C1E" w:rsidP="003B7808">
            <w:pPr>
              <w:pStyle w:val="Odsekzoznamu"/>
              <w:numPr>
                <w:ilvl w:val="0"/>
                <w:numId w:val="16"/>
              </w:numPr>
              <w:spacing w:after="0"/>
              <w:jc w:val="left"/>
              <w:rPr>
                <w:rFonts w:eastAsia="Times New Roman" w:cs="Times New Roman"/>
                <w:color w:val="000000"/>
                <w:sz w:val="20"/>
                <w:lang w:eastAsia="sk-SK"/>
              </w:rPr>
            </w:pPr>
            <w:r w:rsidRPr="00414A3D">
              <w:rPr>
                <w:rFonts w:eastAsia="Times New Roman" w:cs="Times New Roman"/>
                <w:color w:val="000000"/>
                <w:sz w:val="20"/>
                <w:lang w:eastAsia="sk-SK"/>
              </w:rPr>
              <w:t>nevyhnutné ošatenie a obuv</w:t>
            </w:r>
          </w:p>
          <w:p w14:paraId="450A62D0" w14:textId="77777777" w:rsidR="007C0C1E" w:rsidRPr="00414A3D" w:rsidRDefault="007C0C1E" w:rsidP="003B7808">
            <w:pPr>
              <w:spacing w:after="0"/>
              <w:rPr>
                <w:rFonts w:eastAsia="Times New Roman" w:cs="Times New Roman"/>
                <w:color w:val="000000"/>
                <w:sz w:val="20"/>
                <w:lang w:eastAsia="sk-SK"/>
              </w:rPr>
            </w:pPr>
            <w:r w:rsidRPr="00414A3D">
              <w:rPr>
                <w:rFonts w:eastAsia="Times New Roman" w:cs="Times New Roman"/>
                <w:color w:val="000000"/>
                <w:sz w:val="20"/>
                <w:lang w:eastAsia="sk-SK"/>
              </w:rPr>
              <w:t>podmienky na:</w:t>
            </w:r>
          </w:p>
          <w:p w14:paraId="3A7D9703" w14:textId="77777777" w:rsidR="007C0C1E" w:rsidRPr="00414A3D" w:rsidRDefault="007C0C1E" w:rsidP="003B7808">
            <w:pPr>
              <w:pStyle w:val="Odsekzoznamu"/>
              <w:numPr>
                <w:ilvl w:val="0"/>
                <w:numId w:val="17"/>
              </w:numPr>
              <w:spacing w:after="0"/>
              <w:jc w:val="left"/>
              <w:rPr>
                <w:rFonts w:eastAsia="Times New Roman" w:cs="Times New Roman"/>
                <w:color w:val="000000"/>
                <w:sz w:val="20"/>
                <w:lang w:eastAsia="sk-SK"/>
              </w:rPr>
            </w:pPr>
            <w:r w:rsidRPr="00414A3D">
              <w:rPr>
                <w:rFonts w:eastAsia="Times New Roman" w:cs="Times New Roman"/>
                <w:color w:val="000000"/>
                <w:sz w:val="20"/>
                <w:lang w:eastAsia="sk-SK"/>
              </w:rPr>
              <w:t>prípravu stravy, výdaj stravy alebo výdaj potravín,</w:t>
            </w:r>
          </w:p>
          <w:p w14:paraId="7F171292" w14:textId="77777777" w:rsidR="007C0C1E" w:rsidRPr="00414A3D" w:rsidRDefault="007C0C1E" w:rsidP="003B7808">
            <w:pPr>
              <w:pStyle w:val="Odsekzoznamu"/>
              <w:numPr>
                <w:ilvl w:val="0"/>
                <w:numId w:val="17"/>
              </w:numPr>
              <w:spacing w:after="0"/>
              <w:jc w:val="left"/>
              <w:rPr>
                <w:rFonts w:eastAsia="Times New Roman" w:cs="Times New Roman"/>
                <w:color w:val="000000"/>
                <w:sz w:val="20"/>
                <w:lang w:eastAsia="sk-SK"/>
              </w:rPr>
            </w:pPr>
            <w:r w:rsidRPr="00414A3D">
              <w:rPr>
                <w:rFonts w:eastAsia="Times New Roman" w:cs="Times New Roman"/>
                <w:color w:val="000000"/>
                <w:sz w:val="20"/>
                <w:lang w:eastAsia="sk-SK"/>
              </w:rPr>
              <w:t>vykonávanie nevyhnutnej základnej osobnej hygieny.</w:t>
            </w:r>
          </w:p>
        </w:tc>
      </w:tr>
      <w:tr w:rsidR="007C0C1E" w:rsidRPr="00414A3D" w14:paraId="1671AF69" w14:textId="77777777" w:rsidTr="003B7808">
        <w:trPr>
          <w:trHeight w:val="1005"/>
        </w:trPr>
        <w:tc>
          <w:tcPr>
            <w:tcW w:w="1510" w:type="dxa"/>
            <w:tcBorders>
              <w:top w:val="dashSmallGap" w:sz="4" w:space="0" w:color="auto"/>
              <w:bottom w:val="dashSmallGap" w:sz="4" w:space="0" w:color="auto"/>
            </w:tcBorders>
            <w:hideMark/>
          </w:tcPr>
          <w:p w14:paraId="63ABB9FA" w14:textId="77777777" w:rsidR="007C0C1E" w:rsidRPr="00414A3D" w:rsidRDefault="007C0C1E" w:rsidP="003B7808">
            <w:pPr>
              <w:spacing w:after="0"/>
              <w:jc w:val="left"/>
              <w:rPr>
                <w:rFonts w:eastAsia="Times New Roman" w:cs="Times New Roman"/>
                <w:color w:val="000000"/>
                <w:sz w:val="20"/>
                <w:lang w:eastAsia="sk-SK"/>
              </w:rPr>
            </w:pPr>
            <w:r w:rsidRPr="00414A3D">
              <w:rPr>
                <w:rFonts w:eastAsia="Times New Roman" w:cs="Times New Roman"/>
                <w:color w:val="000000"/>
                <w:sz w:val="20"/>
                <w:lang w:eastAsia="sk-SK"/>
              </w:rPr>
              <w:t>Útulok</w:t>
            </w:r>
          </w:p>
        </w:tc>
        <w:tc>
          <w:tcPr>
            <w:tcW w:w="1510" w:type="dxa"/>
            <w:tcBorders>
              <w:top w:val="dashSmallGap" w:sz="4" w:space="0" w:color="auto"/>
              <w:bottom w:val="dashSmallGap" w:sz="4" w:space="0" w:color="auto"/>
            </w:tcBorders>
            <w:hideMark/>
          </w:tcPr>
          <w:p w14:paraId="4E0A8955" w14:textId="77777777" w:rsidR="007C0C1E" w:rsidRPr="00414A3D" w:rsidRDefault="007C0C1E" w:rsidP="003B7808">
            <w:pPr>
              <w:spacing w:after="0"/>
              <w:jc w:val="left"/>
              <w:rPr>
                <w:rFonts w:eastAsia="Times New Roman" w:cs="Times New Roman"/>
                <w:color w:val="000000"/>
                <w:sz w:val="20"/>
                <w:lang w:eastAsia="sk-SK"/>
              </w:rPr>
            </w:pPr>
            <w:r w:rsidRPr="00414A3D">
              <w:rPr>
                <w:rFonts w:eastAsia="Times New Roman" w:cs="Times New Roman"/>
                <w:color w:val="000000"/>
                <w:sz w:val="20"/>
                <w:lang w:eastAsia="sk-SK"/>
              </w:rPr>
              <w:t xml:space="preserve">Celodenne, na určitý čas </w:t>
            </w:r>
          </w:p>
        </w:tc>
        <w:tc>
          <w:tcPr>
            <w:tcW w:w="2362" w:type="dxa"/>
            <w:tcBorders>
              <w:top w:val="dashSmallGap" w:sz="4" w:space="0" w:color="auto"/>
              <w:bottom w:val="dashSmallGap" w:sz="4" w:space="0" w:color="auto"/>
            </w:tcBorders>
            <w:hideMark/>
          </w:tcPr>
          <w:p w14:paraId="05434FBC" w14:textId="77777777" w:rsidR="007C0C1E" w:rsidRPr="00414A3D" w:rsidRDefault="007C0C1E" w:rsidP="003B7808">
            <w:pPr>
              <w:spacing w:after="0"/>
              <w:jc w:val="left"/>
              <w:rPr>
                <w:rFonts w:eastAsia="Times New Roman" w:cs="Times New Roman"/>
                <w:color w:val="000000"/>
                <w:sz w:val="20"/>
                <w:lang w:eastAsia="sk-SK"/>
              </w:rPr>
            </w:pPr>
            <w:r w:rsidRPr="00414A3D">
              <w:rPr>
                <w:rFonts w:eastAsia="Times New Roman" w:cs="Times New Roman"/>
                <w:color w:val="000000"/>
                <w:sz w:val="20"/>
                <w:lang w:eastAsia="sk-SK"/>
              </w:rPr>
              <w:t>Osoby, ktoré nemajú zabezpečené ubytovanie alebo nemôžu doterajšie bývanie užívať</w:t>
            </w:r>
            <w:r w:rsidRPr="00414A3D">
              <w:rPr>
                <w:rStyle w:val="Odkaznapoznmkupodiarou"/>
                <w:rFonts w:eastAsia="Times New Roman" w:cs="Times New Roman"/>
                <w:color w:val="000000"/>
                <w:sz w:val="20"/>
                <w:lang w:eastAsia="sk-SK"/>
              </w:rPr>
              <w:footnoteReference w:id="548"/>
            </w:r>
          </w:p>
        </w:tc>
        <w:tc>
          <w:tcPr>
            <w:tcW w:w="3685" w:type="dxa"/>
            <w:tcBorders>
              <w:top w:val="dashSmallGap" w:sz="4" w:space="0" w:color="auto"/>
              <w:bottom w:val="dashSmallGap" w:sz="4" w:space="0" w:color="auto"/>
            </w:tcBorders>
            <w:hideMark/>
          </w:tcPr>
          <w:p w14:paraId="02568836" w14:textId="77777777" w:rsidR="007C0C1E" w:rsidRPr="00414A3D" w:rsidRDefault="007C0C1E" w:rsidP="003B7808">
            <w:pPr>
              <w:pStyle w:val="Odsekzoznamu"/>
              <w:numPr>
                <w:ilvl w:val="0"/>
                <w:numId w:val="16"/>
              </w:numPr>
              <w:spacing w:after="0"/>
              <w:jc w:val="left"/>
              <w:rPr>
                <w:rFonts w:eastAsia="Times New Roman" w:cs="Times New Roman"/>
                <w:color w:val="000000"/>
                <w:sz w:val="20"/>
                <w:lang w:eastAsia="sk-SK"/>
              </w:rPr>
            </w:pPr>
            <w:r w:rsidRPr="00414A3D">
              <w:rPr>
                <w:rFonts w:eastAsia="Times New Roman" w:cs="Times New Roman"/>
                <w:color w:val="000000"/>
                <w:sz w:val="20"/>
                <w:lang w:eastAsia="sk-SK"/>
              </w:rPr>
              <w:t>sociálne poradenstvo</w:t>
            </w:r>
          </w:p>
          <w:p w14:paraId="4CB439D6" w14:textId="77777777" w:rsidR="007C0C1E" w:rsidRPr="00414A3D" w:rsidRDefault="007C0C1E" w:rsidP="003B7808">
            <w:pPr>
              <w:pStyle w:val="Odsekzoznamu"/>
              <w:numPr>
                <w:ilvl w:val="0"/>
                <w:numId w:val="16"/>
              </w:numPr>
              <w:spacing w:after="0"/>
              <w:jc w:val="left"/>
              <w:rPr>
                <w:rFonts w:eastAsia="Times New Roman" w:cs="Times New Roman"/>
                <w:color w:val="000000"/>
                <w:sz w:val="20"/>
                <w:lang w:eastAsia="sk-SK"/>
              </w:rPr>
            </w:pPr>
            <w:r w:rsidRPr="00414A3D">
              <w:rPr>
                <w:rFonts w:eastAsia="Times New Roman" w:cs="Times New Roman"/>
                <w:color w:val="000000"/>
                <w:sz w:val="20"/>
                <w:lang w:eastAsia="sk-SK"/>
              </w:rPr>
              <w:t>pomoc pri uplatňovaní práv a právom chránených záujmov</w:t>
            </w:r>
          </w:p>
          <w:p w14:paraId="391BA5C1" w14:textId="77777777" w:rsidR="007C0C1E" w:rsidRPr="00414A3D" w:rsidRDefault="007C0C1E" w:rsidP="003B7808">
            <w:pPr>
              <w:pStyle w:val="Odsekzoznamu"/>
              <w:numPr>
                <w:ilvl w:val="0"/>
                <w:numId w:val="16"/>
              </w:numPr>
              <w:spacing w:after="0"/>
              <w:jc w:val="left"/>
              <w:rPr>
                <w:rFonts w:eastAsia="Times New Roman" w:cs="Times New Roman"/>
                <w:color w:val="000000"/>
                <w:sz w:val="20"/>
                <w:lang w:eastAsia="sk-SK"/>
              </w:rPr>
            </w:pPr>
            <w:r w:rsidRPr="00414A3D">
              <w:rPr>
                <w:rFonts w:eastAsia="Times New Roman" w:cs="Times New Roman"/>
                <w:color w:val="000000"/>
                <w:sz w:val="20"/>
                <w:lang w:eastAsia="sk-SK"/>
              </w:rPr>
              <w:t>nevyhnutné ošatenie a obuv</w:t>
            </w:r>
          </w:p>
          <w:p w14:paraId="74B2B3E1" w14:textId="77777777" w:rsidR="007C0C1E" w:rsidRPr="00414A3D" w:rsidRDefault="007C0C1E" w:rsidP="003B7808">
            <w:pPr>
              <w:spacing w:after="0"/>
              <w:rPr>
                <w:rFonts w:eastAsia="Times New Roman" w:cs="Times New Roman"/>
                <w:color w:val="000000"/>
                <w:sz w:val="20"/>
                <w:lang w:eastAsia="sk-SK"/>
              </w:rPr>
            </w:pPr>
            <w:r w:rsidRPr="00414A3D">
              <w:rPr>
                <w:rFonts w:eastAsia="Times New Roman" w:cs="Times New Roman"/>
                <w:color w:val="000000"/>
                <w:sz w:val="20"/>
                <w:lang w:eastAsia="sk-SK"/>
              </w:rPr>
              <w:t>podmienky na:</w:t>
            </w:r>
          </w:p>
          <w:p w14:paraId="06ABA59E" w14:textId="77777777" w:rsidR="007C0C1E" w:rsidRPr="00414A3D" w:rsidRDefault="007C0C1E" w:rsidP="003B7808">
            <w:pPr>
              <w:pStyle w:val="Odsekzoznamu"/>
              <w:numPr>
                <w:ilvl w:val="0"/>
                <w:numId w:val="17"/>
              </w:numPr>
              <w:spacing w:after="0"/>
              <w:jc w:val="left"/>
              <w:rPr>
                <w:rFonts w:eastAsia="Times New Roman" w:cs="Times New Roman"/>
                <w:color w:val="000000"/>
                <w:sz w:val="20"/>
                <w:lang w:eastAsia="sk-SK"/>
              </w:rPr>
            </w:pPr>
            <w:r w:rsidRPr="00414A3D">
              <w:rPr>
                <w:rFonts w:eastAsia="Times New Roman" w:cs="Times New Roman"/>
                <w:color w:val="000000"/>
                <w:sz w:val="20"/>
                <w:lang w:eastAsia="sk-SK"/>
              </w:rPr>
              <w:t>prípravu stravy, výdaj stravy alebo výdaj potravín,</w:t>
            </w:r>
          </w:p>
          <w:p w14:paraId="01FD6104" w14:textId="77777777" w:rsidR="007C0C1E" w:rsidRPr="00414A3D" w:rsidRDefault="007C0C1E" w:rsidP="003B7808">
            <w:pPr>
              <w:pStyle w:val="Odsekzoznamu"/>
              <w:numPr>
                <w:ilvl w:val="0"/>
                <w:numId w:val="17"/>
              </w:numPr>
              <w:spacing w:after="0"/>
              <w:jc w:val="left"/>
              <w:rPr>
                <w:rFonts w:eastAsia="Times New Roman" w:cs="Times New Roman"/>
                <w:color w:val="000000"/>
                <w:sz w:val="20"/>
                <w:lang w:eastAsia="sk-SK"/>
              </w:rPr>
            </w:pPr>
            <w:r w:rsidRPr="00414A3D">
              <w:rPr>
                <w:rFonts w:eastAsia="Times New Roman" w:cs="Times New Roman"/>
                <w:color w:val="000000"/>
                <w:sz w:val="20"/>
                <w:lang w:eastAsia="sk-SK"/>
              </w:rPr>
              <w:t>vykonávanie nevyhnutnej základnej osobnej hygieny,</w:t>
            </w:r>
          </w:p>
          <w:p w14:paraId="707F75EC" w14:textId="77777777" w:rsidR="007C0C1E" w:rsidRPr="00414A3D" w:rsidRDefault="007C0C1E" w:rsidP="003B7808">
            <w:pPr>
              <w:pStyle w:val="Odsekzoznamu"/>
              <w:numPr>
                <w:ilvl w:val="0"/>
                <w:numId w:val="17"/>
              </w:numPr>
              <w:spacing w:after="0"/>
              <w:jc w:val="left"/>
              <w:rPr>
                <w:rFonts w:eastAsia="Times New Roman" w:cs="Times New Roman"/>
                <w:color w:val="000000"/>
                <w:sz w:val="20"/>
                <w:lang w:eastAsia="sk-SK"/>
              </w:rPr>
            </w:pPr>
            <w:r w:rsidRPr="00414A3D">
              <w:rPr>
                <w:rFonts w:eastAsia="Times New Roman" w:cs="Times New Roman"/>
                <w:color w:val="000000"/>
                <w:sz w:val="20"/>
                <w:lang w:eastAsia="sk-SK"/>
              </w:rPr>
              <w:t>upratovanie,</w:t>
            </w:r>
          </w:p>
          <w:p w14:paraId="64DBC3AA" w14:textId="77777777" w:rsidR="007C0C1E" w:rsidRPr="00414A3D" w:rsidRDefault="007C0C1E" w:rsidP="003B7808">
            <w:pPr>
              <w:pStyle w:val="Odsekzoznamu"/>
              <w:numPr>
                <w:ilvl w:val="0"/>
                <w:numId w:val="17"/>
              </w:numPr>
              <w:spacing w:after="0"/>
              <w:jc w:val="left"/>
              <w:rPr>
                <w:rFonts w:eastAsia="Times New Roman" w:cs="Times New Roman"/>
                <w:color w:val="000000"/>
                <w:sz w:val="20"/>
                <w:lang w:eastAsia="sk-SK"/>
              </w:rPr>
            </w:pPr>
            <w:r w:rsidRPr="00414A3D">
              <w:rPr>
                <w:rFonts w:eastAsia="Times New Roman" w:cs="Times New Roman"/>
                <w:color w:val="000000"/>
                <w:sz w:val="20"/>
                <w:lang w:eastAsia="sk-SK"/>
              </w:rPr>
              <w:t>pranie, žehlenie a údržbu bielizne a šatstva,</w:t>
            </w:r>
          </w:p>
          <w:p w14:paraId="5DEE34EF" w14:textId="77777777" w:rsidR="007C0C1E" w:rsidRPr="00414A3D" w:rsidRDefault="007C0C1E" w:rsidP="003B7808">
            <w:pPr>
              <w:pStyle w:val="Odsekzoznamu"/>
              <w:numPr>
                <w:ilvl w:val="0"/>
                <w:numId w:val="17"/>
              </w:numPr>
              <w:spacing w:after="0"/>
              <w:jc w:val="left"/>
              <w:rPr>
                <w:rFonts w:eastAsia="Times New Roman" w:cs="Times New Roman"/>
                <w:color w:val="000000"/>
                <w:sz w:val="20"/>
                <w:lang w:eastAsia="sk-SK"/>
              </w:rPr>
            </w:pPr>
            <w:r w:rsidRPr="00414A3D">
              <w:rPr>
                <w:rFonts w:eastAsia="Times New Roman" w:cs="Times New Roman"/>
                <w:color w:val="000000"/>
                <w:sz w:val="20"/>
                <w:lang w:eastAsia="sk-SK"/>
              </w:rPr>
              <w:t>záujmovú činnosť.</w:t>
            </w:r>
          </w:p>
        </w:tc>
      </w:tr>
      <w:tr w:rsidR="007C0C1E" w:rsidRPr="00414A3D" w14:paraId="4613BFFC" w14:textId="77777777" w:rsidTr="003B7808">
        <w:trPr>
          <w:trHeight w:val="345"/>
        </w:trPr>
        <w:tc>
          <w:tcPr>
            <w:tcW w:w="1510" w:type="dxa"/>
            <w:tcBorders>
              <w:top w:val="dashSmallGap" w:sz="4" w:space="0" w:color="auto"/>
              <w:bottom w:val="dashSmallGap" w:sz="4" w:space="0" w:color="auto"/>
            </w:tcBorders>
            <w:hideMark/>
          </w:tcPr>
          <w:p w14:paraId="226308EB" w14:textId="77777777" w:rsidR="007C0C1E" w:rsidRPr="00414A3D" w:rsidRDefault="007C0C1E" w:rsidP="003B7808">
            <w:pPr>
              <w:spacing w:after="0"/>
              <w:jc w:val="left"/>
              <w:rPr>
                <w:rFonts w:eastAsia="Times New Roman" w:cs="Times New Roman"/>
                <w:color w:val="000000"/>
                <w:sz w:val="20"/>
                <w:lang w:eastAsia="sk-SK"/>
              </w:rPr>
            </w:pPr>
            <w:r w:rsidRPr="00414A3D">
              <w:rPr>
                <w:rFonts w:eastAsia="Times New Roman" w:cs="Times New Roman"/>
                <w:color w:val="000000"/>
                <w:sz w:val="20"/>
                <w:lang w:eastAsia="sk-SK"/>
              </w:rPr>
              <w:t>Zariadenie núdzového bývania</w:t>
            </w:r>
          </w:p>
        </w:tc>
        <w:tc>
          <w:tcPr>
            <w:tcW w:w="1510" w:type="dxa"/>
            <w:tcBorders>
              <w:top w:val="dashSmallGap" w:sz="4" w:space="0" w:color="auto"/>
              <w:bottom w:val="dashSmallGap" w:sz="4" w:space="0" w:color="auto"/>
            </w:tcBorders>
            <w:hideMark/>
          </w:tcPr>
          <w:p w14:paraId="4C59D492" w14:textId="77777777" w:rsidR="007C0C1E" w:rsidRPr="00414A3D" w:rsidRDefault="007C0C1E" w:rsidP="003B7808">
            <w:pPr>
              <w:spacing w:after="0"/>
              <w:jc w:val="left"/>
              <w:rPr>
                <w:rFonts w:eastAsia="Times New Roman" w:cs="Times New Roman"/>
                <w:color w:val="000000"/>
                <w:sz w:val="20"/>
                <w:lang w:eastAsia="sk-SK"/>
              </w:rPr>
            </w:pPr>
            <w:r w:rsidRPr="00414A3D">
              <w:rPr>
                <w:rFonts w:eastAsia="Times New Roman" w:cs="Times New Roman"/>
                <w:color w:val="000000"/>
                <w:sz w:val="20"/>
                <w:lang w:eastAsia="sk-SK"/>
              </w:rPr>
              <w:t xml:space="preserve">Celodenne, na určitý čas </w:t>
            </w:r>
          </w:p>
        </w:tc>
        <w:tc>
          <w:tcPr>
            <w:tcW w:w="2362" w:type="dxa"/>
            <w:tcBorders>
              <w:top w:val="dashSmallGap" w:sz="4" w:space="0" w:color="auto"/>
              <w:bottom w:val="dashSmallGap" w:sz="4" w:space="0" w:color="auto"/>
            </w:tcBorders>
            <w:hideMark/>
          </w:tcPr>
          <w:p w14:paraId="2D3CBD88" w14:textId="77777777" w:rsidR="007C0C1E" w:rsidRPr="00414A3D" w:rsidRDefault="007C0C1E" w:rsidP="003B7808">
            <w:pPr>
              <w:spacing w:after="0"/>
              <w:jc w:val="left"/>
              <w:rPr>
                <w:rFonts w:eastAsia="Times New Roman" w:cs="Times New Roman"/>
                <w:color w:val="000000"/>
                <w:sz w:val="20"/>
                <w:lang w:eastAsia="sk-SK"/>
              </w:rPr>
            </w:pPr>
            <w:r w:rsidRPr="00414A3D">
              <w:rPr>
                <w:rFonts w:eastAsia="Times New Roman" w:cs="Times New Roman"/>
                <w:color w:val="000000"/>
                <w:sz w:val="20"/>
                <w:lang w:eastAsia="sk-SK"/>
              </w:rPr>
              <w:t>Osoby ohrozené domácim násilím</w:t>
            </w:r>
          </w:p>
        </w:tc>
        <w:tc>
          <w:tcPr>
            <w:tcW w:w="3685" w:type="dxa"/>
            <w:tcBorders>
              <w:top w:val="dashSmallGap" w:sz="4" w:space="0" w:color="auto"/>
              <w:bottom w:val="dashSmallGap" w:sz="4" w:space="0" w:color="auto"/>
            </w:tcBorders>
            <w:hideMark/>
          </w:tcPr>
          <w:p w14:paraId="0E3FD1BE" w14:textId="77777777" w:rsidR="007C0C1E" w:rsidRPr="00414A3D" w:rsidRDefault="007C0C1E" w:rsidP="003B7808">
            <w:pPr>
              <w:pStyle w:val="Odsekzoznamu"/>
              <w:numPr>
                <w:ilvl w:val="0"/>
                <w:numId w:val="16"/>
              </w:numPr>
              <w:spacing w:after="0"/>
              <w:jc w:val="left"/>
              <w:rPr>
                <w:rFonts w:eastAsia="Times New Roman" w:cs="Times New Roman"/>
                <w:color w:val="000000"/>
                <w:sz w:val="20"/>
                <w:lang w:eastAsia="sk-SK"/>
              </w:rPr>
            </w:pPr>
            <w:r w:rsidRPr="00414A3D">
              <w:rPr>
                <w:rFonts w:eastAsia="Times New Roman" w:cs="Times New Roman"/>
                <w:color w:val="000000"/>
                <w:sz w:val="20"/>
                <w:lang w:eastAsia="sk-SK"/>
              </w:rPr>
              <w:t>sociálne poradenstvo</w:t>
            </w:r>
          </w:p>
          <w:p w14:paraId="415E1681" w14:textId="77777777" w:rsidR="007C0C1E" w:rsidRPr="00414A3D" w:rsidRDefault="007C0C1E" w:rsidP="003B7808">
            <w:pPr>
              <w:pStyle w:val="Odsekzoznamu"/>
              <w:numPr>
                <w:ilvl w:val="0"/>
                <w:numId w:val="16"/>
              </w:numPr>
              <w:spacing w:after="0"/>
              <w:jc w:val="left"/>
              <w:rPr>
                <w:rFonts w:eastAsia="Times New Roman" w:cs="Times New Roman"/>
                <w:color w:val="000000"/>
                <w:sz w:val="20"/>
                <w:lang w:eastAsia="sk-SK"/>
              </w:rPr>
            </w:pPr>
            <w:r w:rsidRPr="00414A3D">
              <w:rPr>
                <w:rFonts w:eastAsia="Times New Roman" w:cs="Times New Roman"/>
                <w:color w:val="000000"/>
                <w:sz w:val="20"/>
                <w:lang w:eastAsia="sk-SK"/>
              </w:rPr>
              <w:t>pomoc pri uplatňovaní práv a právom chránených záujmov</w:t>
            </w:r>
          </w:p>
          <w:p w14:paraId="51921A58" w14:textId="77777777" w:rsidR="007C0C1E" w:rsidRPr="00414A3D" w:rsidRDefault="007C0C1E" w:rsidP="003B7808">
            <w:pPr>
              <w:spacing w:after="0"/>
              <w:rPr>
                <w:rFonts w:eastAsia="Times New Roman" w:cs="Times New Roman"/>
                <w:color w:val="000000"/>
                <w:sz w:val="20"/>
                <w:lang w:eastAsia="sk-SK"/>
              </w:rPr>
            </w:pPr>
            <w:r w:rsidRPr="00414A3D">
              <w:rPr>
                <w:rFonts w:eastAsia="Times New Roman" w:cs="Times New Roman"/>
                <w:color w:val="000000"/>
                <w:sz w:val="20"/>
                <w:lang w:eastAsia="sk-SK"/>
              </w:rPr>
              <w:t>podmienky na:</w:t>
            </w:r>
          </w:p>
          <w:p w14:paraId="6D0986BF" w14:textId="77777777" w:rsidR="007C0C1E" w:rsidRPr="00414A3D" w:rsidRDefault="007C0C1E" w:rsidP="003B7808">
            <w:pPr>
              <w:numPr>
                <w:ilvl w:val="0"/>
                <w:numId w:val="17"/>
              </w:numPr>
              <w:spacing w:after="0"/>
              <w:contextualSpacing/>
              <w:jc w:val="left"/>
              <w:rPr>
                <w:rFonts w:eastAsia="Times New Roman" w:cs="Times New Roman"/>
                <w:color w:val="000000"/>
                <w:sz w:val="20"/>
                <w:lang w:eastAsia="sk-SK"/>
              </w:rPr>
            </w:pPr>
            <w:r w:rsidRPr="00414A3D">
              <w:rPr>
                <w:rFonts w:eastAsia="Times New Roman" w:cs="Times New Roman"/>
                <w:color w:val="000000"/>
                <w:sz w:val="20"/>
                <w:lang w:eastAsia="sk-SK"/>
              </w:rPr>
              <w:t>prípravu stravy, výdaj stravy alebo výdaj potravín,</w:t>
            </w:r>
          </w:p>
          <w:p w14:paraId="218332FE" w14:textId="77777777" w:rsidR="007C0C1E" w:rsidRPr="00414A3D" w:rsidRDefault="007C0C1E" w:rsidP="003B7808">
            <w:pPr>
              <w:numPr>
                <w:ilvl w:val="0"/>
                <w:numId w:val="17"/>
              </w:numPr>
              <w:spacing w:after="0"/>
              <w:contextualSpacing/>
              <w:jc w:val="left"/>
              <w:rPr>
                <w:rFonts w:eastAsia="Times New Roman" w:cs="Times New Roman"/>
                <w:color w:val="000000"/>
                <w:sz w:val="20"/>
                <w:lang w:eastAsia="sk-SK"/>
              </w:rPr>
            </w:pPr>
            <w:r w:rsidRPr="00414A3D">
              <w:rPr>
                <w:rFonts w:eastAsia="Times New Roman" w:cs="Times New Roman"/>
                <w:color w:val="000000"/>
                <w:sz w:val="20"/>
                <w:lang w:eastAsia="sk-SK"/>
              </w:rPr>
              <w:t>vykonávanie nevyhnutnej základnej osobnej hygieny,</w:t>
            </w:r>
          </w:p>
          <w:p w14:paraId="4147F970" w14:textId="77777777" w:rsidR="007C0C1E" w:rsidRPr="00414A3D" w:rsidRDefault="007C0C1E" w:rsidP="003B7808">
            <w:pPr>
              <w:numPr>
                <w:ilvl w:val="0"/>
                <w:numId w:val="17"/>
              </w:numPr>
              <w:spacing w:after="0"/>
              <w:contextualSpacing/>
              <w:jc w:val="left"/>
              <w:rPr>
                <w:rFonts w:eastAsia="Times New Roman" w:cs="Times New Roman"/>
                <w:color w:val="000000"/>
                <w:sz w:val="20"/>
                <w:lang w:eastAsia="sk-SK"/>
              </w:rPr>
            </w:pPr>
            <w:r w:rsidRPr="00414A3D">
              <w:rPr>
                <w:rFonts w:eastAsia="Times New Roman" w:cs="Times New Roman"/>
                <w:color w:val="000000"/>
                <w:sz w:val="20"/>
                <w:lang w:eastAsia="sk-SK"/>
              </w:rPr>
              <w:t>upratovanie,</w:t>
            </w:r>
          </w:p>
          <w:p w14:paraId="01391C40" w14:textId="77777777" w:rsidR="007C0C1E" w:rsidRPr="00414A3D" w:rsidRDefault="007C0C1E" w:rsidP="003B7808">
            <w:pPr>
              <w:numPr>
                <w:ilvl w:val="0"/>
                <w:numId w:val="17"/>
              </w:numPr>
              <w:spacing w:after="0"/>
              <w:contextualSpacing/>
              <w:jc w:val="left"/>
              <w:rPr>
                <w:rFonts w:eastAsia="Times New Roman" w:cs="Times New Roman"/>
                <w:color w:val="000000"/>
                <w:sz w:val="20"/>
                <w:lang w:eastAsia="sk-SK"/>
              </w:rPr>
            </w:pPr>
            <w:r w:rsidRPr="00414A3D">
              <w:rPr>
                <w:rFonts w:eastAsia="Times New Roman" w:cs="Times New Roman"/>
                <w:color w:val="000000"/>
                <w:sz w:val="20"/>
                <w:lang w:eastAsia="sk-SK"/>
              </w:rPr>
              <w:t>pranie, žehlenie a údržbu bielizne a šatstva,</w:t>
            </w:r>
          </w:p>
          <w:p w14:paraId="06FD7F92" w14:textId="77777777" w:rsidR="007C0C1E" w:rsidRPr="00414A3D" w:rsidRDefault="007C0C1E" w:rsidP="003B7808">
            <w:pPr>
              <w:numPr>
                <w:ilvl w:val="0"/>
                <w:numId w:val="17"/>
              </w:numPr>
              <w:spacing w:after="0"/>
              <w:contextualSpacing/>
              <w:jc w:val="left"/>
              <w:rPr>
                <w:rFonts w:eastAsia="Times New Roman" w:cs="Times New Roman"/>
                <w:color w:val="000000"/>
                <w:sz w:val="20"/>
                <w:lang w:eastAsia="sk-SK"/>
              </w:rPr>
            </w:pPr>
            <w:r w:rsidRPr="00414A3D">
              <w:rPr>
                <w:rFonts w:eastAsia="Times New Roman" w:cs="Times New Roman"/>
                <w:color w:val="000000"/>
                <w:sz w:val="20"/>
                <w:lang w:eastAsia="sk-SK"/>
              </w:rPr>
              <w:t>záujmovú činnosť.</w:t>
            </w:r>
          </w:p>
        </w:tc>
      </w:tr>
      <w:tr w:rsidR="007C0C1E" w:rsidRPr="00414A3D" w14:paraId="52CF3E42" w14:textId="77777777" w:rsidTr="003B7808">
        <w:trPr>
          <w:trHeight w:val="274"/>
        </w:trPr>
        <w:tc>
          <w:tcPr>
            <w:tcW w:w="1510" w:type="dxa"/>
            <w:tcBorders>
              <w:top w:val="dashSmallGap" w:sz="4" w:space="0" w:color="auto"/>
              <w:bottom w:val="single" w:sz="4" w:space="0" w:color="auto"/>
            </w:tcBorders>
            <w:hideMark/>
          </w:tcPr>
          <w:p w14:paraId="7EB8F182" w14:textId="77777777" w:rsidR="007C0C1E" w:rsidRPr="00414A3D" w:rsidRDefault="007C0C1E" w:rsidP="003B7808">
            <w:pPr>
              <w:spacing w:after="0"/>
              <w:jc w:val="left"/>
              <w:rPr>
                <w:rFonts w:eastAsia="Times New Roman" w:cs="Times New Roman"/>
                <w:color w:val="000000"/>
                <w:sz w:val="20"/>
                <w:lang w:eastAsia="sk-SK"/>
              </w:rPr>
            </w:pPr>
            <w:r w:rsidRPr="00414A3D">
              <w:rPr>
                <w:rFonts w:eastAsia="Times New Roman" w:cs="Times New Roman"/>
                <w:color w:val="000000"/>
                <w:sz w:val="20"/>
                <w:lang w:eastAsia="sk-SK"/>
              </w:rPr>
              <w:t>Domov na polceste</w:t>
            </w:r>
          </w:p>
        </w:tc>
        <w:tc>
          <w:tcPr>
            <w:tcW w:w="1510" w:type="dxa"/>
            <w:tcBorders>
              <w:top w:val="dashSmallGap" w:sz="4" w:space="0" w:color="auto"/>
              <w:bottom w:val="single" w:sz="4" w:space="0" w:color="auto"/>
            </w:tcBorders>
            <w:hideMark/>
          </w:tcPr>
          <w:p w14:paraId="18161159" w14:textId="77777777" w:rsidR="007C0C1E" w:rsidRPr="00414A3D" w:rsidRDefault="007C0C1E" w:rsidP="003B7808">
            <w:pPr>
              <w:spacing w:after="0"/>
              <w:jc w:val="left"/>
              <w:rPr>
                <w:rFonts w:eastAsia="Times New Roman" w:cs="Times New Roman"/>
                <w:color w:val="000000"/>
                <w:sz w:val="20"/>
                <w:lang w:eastAsia="sk-SK"/>
              </w:rPr>
            </w:pPr>
            <w:r w:rsidRPr="00414A3D">
              <w:rPr>
                <w:rFonts w:eastAsia="Times New Roman" w:cs="Times New Roman"/>
                <w:color w:val="000000"/>
                <w:sz w:val="20"/>
                <w:lang w:eastAsia="sk-SK"/>
              </w:rPr>
              <w:t xml:space="preserve">Celodenne, na určitý čas </w:t>
            </w:r>
          </w:p>
        </w:tc>
        <w:tc>
          <w:tcPr>
            <w:tcW w:w="2362" w:type="dxa"/>
            <w:tcBorders>
              <w:top w:val="dashSmallGap" w:sz="4" w:space="0" w:color="auto"/>
              <w:bottom w:val="single" w:sz="4" w:space="0" w:color="auto"/>
            </w:tcBorders>
            <w:hideMark/>
          </w:tcPr>
          <w:p w14:paraId="21A44665" w14:textId="77777777" w:rsidR="007C0C1E" w:rsidRPr="00414A3D" w:rsidRDefault="007C0C1E" w:rsidP="003B7808">
            <w:pPr>
              <w:spacing w:after="0"/>
              <w:jc w:val="left"/>
              <w:rPr>
                <w:rFonts w:eastAsia="Times New Roman" w:cs="Times New Roman"/>
                <w:color w:val="000000"/>
                <w:sz w:val="20"/>
                <w:lang w:eastAsia="sk-SK"/>
              </w:rPr>
            </w:pPr>
            <w:r w:rsidRPr="00414A3D">
              <w:rPr>
                <w:rFonts w:eastAsia="Times New Roman" w:cs="Times New Roman"/>
                <w:color w:val="000000"/>
                <w:sz w:val="20"/>
                <w:lang w:eastAsia="sk-SK"/>
              </w:rPr>
              <w:t>Osoby, ktoré nemajú zabezpečené ubytovanie po skončení poskytovania sociálnej služby v inom zariadení, po skončení náhradnej starostlivosti alebo po skončení ochrannej výchovy</w:t>
            </w:r>
            <w:r w:rsidRPr="00414A3D">
              <w:rPr>
                <w:rStyle w:val="Odkaznapoznmkupodiarou"/>
                <w:rFonts w:eastAsia="Times New Roman" w:cs="Times New Roman"/>
                <w:color w:val="000000"/>
                <w:sz w:val="20"/>
                <w:lang w:eastAsia="sk-SK"/>
              </w:rPr>
              <w:footnoteReference w:id="549"/>
            </w:r>
          </w:p>
        </w:tc>
        <w:tc>
          <w:tcPr>
            <w:tcW w:w="3685" w:type="dxa"/>
            <w:tcBorders>
              <w:top w:val="dashSmallGap" w:sz="4" w:space="0" w:color="auto"/>
              <w:bottom w:val="single" w:sz="4" w:space="0" w:color="auto"/>
            </w:tcBorders>
            <w:hideMark/>
          </w:tcPr>
          <w:p w14:paraId="362D59F9" w14:textId="77777777" w:rsidR="007C0C1E" w:rsidRPr="00414A3D" w:rsidRDefault="007C0C1E" w:rsidP="003B7808">
            <w:pPr>
              <w:numPr>
                <w:ilvl w:val="0"/>
                <w:numId w:val="16"/>
              </w:numPr>
              <w:spacing w:after="0"/>
              <w:contextualSpacing/>
              <w:jc w:val="left"/>
              <w:rPr>
                <w:rFonts w:eastAsia="Times New Roman" w:cs="Times New Roman"/>
                <w:color w:val="000000"/>
                <w:sz w:val="20"/>
                <w:lang w:eastAsia="sk-SK"/>
              </w:rPr>
            </w:pPr>
            <w:r w:rsidRPr="00414A3D">
              <w:rPr>
                <w:rFonts w:eastAsia="Times New Roman" w:cs="Times New Roman"/>
                <w:color w:val="000000"/>
                <w:sz w:val="20"/>
                <w:lang w:eastAsia="sk-SK"/>
              </w:rPr>
              <w:t xml:space="preserve">sociálne poradenstvo </w:t>
            </w:r>
          </w:p>
          <w:p w14:paraId="04E171AA" w14:textId="77777777" w:rsidR="007C0C1E" w:rsidRPr="00414A3D" w:rsidRDefault="007C0C1E" w:rsidP="003B7808">
            <w:pPr>
              <w:numPr>
                <w:ilvl w:val="0"/>
                <w:numId w:val="16"/>
              </w:numPr>
              <w:spacing w:after="0"/>
              <w:contextualSpacing/>
              <w:jc w:val="left"/>
              <w:rPr>
                <w:rFonts w:eastAsia="Times New Roman" w:cs="Times New Roman"/>
                <w:color w:val="000000"/>
                <w:sz w:val="20"/>
                <w:lang w:eastAsia="sk-SK"/>
              </w:rPr>
            </w:pPr>
            <w:r w:rsidRPr="00414A3D">
              <w:rPr>
                <w:rFonts w:eastAsia="Times New Roman" w:cs="Times New Roman"/>
                <w:color w:val="000000"/>
                <w:sz w:val="20"/>
                <w:lang w:eastAsia="sk-SK"/>
              </w:rPr>
              <w:t>pomoc pri uplatňovaní práv a právom chránených záujmov</w:t>
            </w:r>
          </w:p>
          <w:p w14:paraId="57D22FD1" w14:textId="77777777" w:rsidR="007C0C1E" w:rsidRPr="00414A3D" w:rsidRDefault="007C0C1E" w:rsidP="003B7808">
            <w:pPr>
              <w:numPr>
                <w:ilvl w:val="0"/>
                <w:numId w:val="16"/>
              </w:numPr>
              <w:spacing w:after="0"/>
              <w:contextualSpacing/>
              <w:jc w:val="left"/>
              <w:rPr>
                <w:rFonts w:eastAsia="Times New Roman" w:cs="Times New Roman"/>
                <w:color w:val="000000"/>
                <w:sz w:val="20"/>
                <w:lang w:eastAsia="sk-SK"/>
              </w:rPr>
            </w:pPr>
            <w:r w:rsidRPr="00414A3D">
              <w:rPr>
                <w:rFonts w:eastAsia="Times New Roman" w:cs="Times New Roman"/>
                <w:color w:val="000000"/>
                <w:sz w:val="20"/>
                <w:lang w:eastAsia="sk-SK"/>
              </w:rPr>
              <w:t>rozvoj pracovných zručností</w:t>
            </w:r>
          </w:p>
          <w:p w14:paraId="35815372" w14:textId="77777777" w:rsidR="007C0C1E" w:rsidRPr="00414A3D" w:rsidRDefault="007C0C1E" w:rsidP="003B7808">
            <w:pPr>
              <w:numPr>
                <w:ilvl w:val="0"/>
                <w:numId w:val="16"/>
              </w:numPr>
              <w:spacing w:after="0"/>
              <w:contextualSpacing/>
              <w:jc w:val="left"/>
              <w:rPr>
                <w:rFonts w:eastAsia="Times New Roman" w:cs="Times New Roman"/>
                <w:color w:val="000000"/>
                <w:sz w:val="20"/>
                <w:lang w:eastAsia="sk-SK"/>
              </w:rPr>
            </w:pPr>
            <w:r w:rsidRPr="00414A3D">
              <w:rPr>
                <w:rFonts w:eastAsia="Times New Roman" w:cs="Times New Roman"/>
                <w:color w:val="000000"/>
                <w:sz w:val="20"/>
                <w:lang w:eastAsia="sk-SK"/>
              </w:rPr>
              <w:t>pomoc pri pracovnom uplatnení</w:t>
            </w:r>
          </w:p>
          <w:p w14:paraId="3D6B132E" w14:textId="77777777" w:rsidR="007C0C1E" w:rsidRPr="00414A3D" w:rsidRDefault="007C0C1E" w:rsidP="003B7808">
            <w:pPr>
              <w:spacing w:after="0"/>
              <w:rPr>
                <w:rFonts w:eastAsia="Times New Roman" w:cs="Times New Roman"/>
                <w:color w:val="000000"/>
                <w:sz w:val="20"/>
                <w:lang w:eastAsia="sk-SK"/>
              </w:rPr>
            </w:pPr>
            <w:r w:rsidRPr="00414A3D">
              <w:rPr>
                <w:rFonts w:eastAsia="Times New Roman" w:cs="Times New Roman"/>
                <w:color w:val="000000"/>
                <w:sz w:val="20"/>
                <w:lang w:eastAsia="sk-SK"/>
              </w:rPr>
              <w:t>podmienky na:</w:t>
            </w:r>
          </w:p>
          <w:p w14:paraId="4FCBB296" w14:textId="77777777" w:rsidR="007C0C1E" w:rsidRPr="00414A3D" w:rsidRDefault="007C0C1E" w:rsidP="003B7808">
            <w:pPr>
              <w:numPr>
                <w:ilvl w:val="0"/>
                <w:numId w:val="17"/>
              </w:numPr>
              <w:spacing w:after="0"/>
              <w:contextualSpacing/>
              <w:jc w:val="left"/>
              <w:rPr>
                <w:rFonts w:eastAsia="Times New Roman" w:cs="Times New Roman"/>
                <w:color w:val="000000"/>
                <w:sz w:val="20"/>
                <w:lang w:eastAsia="sk-SK"/>
              </w:rPr>
            </w:pPr>
            <w:r w:rsidRPr="00414A3D">
              <w:rPr>
                <w:rFonts w:eastAsia="Times New Roman" w:cs="Times New Roman"/>
                <w:color w:val="000000"/>
                <w:sz w:val="20"/>
                <w:lang w:eastAsia="sk-SK"/>
              </w:rPr>
              <w:t>prípravu stravy, výdaj stravy alebo výdaj potravín,</w:t>
            </w:r>
          </w:p>
          <w:p w14:paraId="548F0D64" w14:textId="77777777" w:rsidR="007C0C1E" w:rsidRPr="00414A3D" w:rsidRDefault="007C0C1E" w:rsidP="003B7808">
            <w:pPr>
              <w:numPr>
                <w:ilvl w:val="0"/>
                <w:numId w:val="17"/>
              </w:numPr>
              <w:spacing w:after="0"/>
              <w:contextualSpacing/>
              <w:jc w:val="left"/>
              <w:rPr>
                <w:rFonts w:eastAsia="Times New Roman" w:cs="Times New Roman"/>
                <w:color w:val="000000"/>
                <w:sz w:val="20"/>
                <w:lang w:eastAsia="sk-SK"/>
              </w:rPr>
            </w:pPr>
            <w:r w:rsidRPr="00414A3D">
              <w:rPr>
                <w:rFonts w:eastAsia="Times New Roman" w:cs="Times New Roman"/>
                <w:color w:val="000000"/>
                <w:sz w:val="20"/>
                <w:lang w:eastAsia="sk-SK"/>
              </w:rPr>
              <w:t>vykonávanie nevyhnutnej základnej osobnej hygieny,</w:t>
            </w:r>
          </w:p>
          <w:p w14:paraId="0F019A8F" w14:textId="77777777" w:rsidR="007C0C1E" w:rsidRPr="00414A3D" w:rsidRDefault="007C0C1E" w:rsidP="003B7808">
            <w:pPr>
              <w:numPr>
                <w:ilvl w:val="0"/>
                <w:numId w:val="17"/>
              </w:numPr>
              <w:spacing w:after="0"/>
              <w:contextualSpacing/>
              <w:jc w:val="left"/>
              <w:rPr>
                <w:rFonts w:eastAsia="Times New Roman" w:cs="Times New Roman"/>
                <w:color w:val="000000"/>
                <w:sz w:val="20"/>
                <w:lang w:eastAsia="sk-SK"/>
              </w:rPr>
            </w:pPr>
            <w:r w:rsidRPr="00414A3D">
              <w:rPr>
                <w:rFonts w:eastAsia="Times New Roman" w:cs="Times New Roman"/>
                <w:color w:val="000000"/>
                <w:sz w:val="20"/>
                <w:lang w:eastAsia="sk-SK"/>
              </w:rPr>
              <w:t>upratovanie,</w:t>
            </w:r>
          </w:p>
          <w:p w14:paraId="4B9322A3" w14:textId="77777777" w:rsidR="007C0C1E" w:rsidRPr="00414A3D" w:rsidRDefault="007C0C1E" w:rsidP="003B7808">
            <w:pPr>
              <w:numPr>
                <w:ilvl w:val="0"/>
                <w:numId w:val="17"/>
              </w:numPr>
              <w:spacing w:after="0"/>
              <w:contextualSpacing/>
              <w:jc w:val="left"/>
              <w:rPr>
                <w:rFonts w:eastAsia="Times New Roman" w:cs="Times New Roman"/>
                <w:color w:val="000000"/>
                <w:sz w:val="20"/>
                <w:lang w:eastAsia="sk-SK"/>
              </w:rPr>
            </w:pPr>
            <w:r w:rsidRPr="00414A3D">
              <w:rPr>
                <w:rFonts w:eastAsia="Times New Roman" w:cs="Times New Roman"/>
                <w:color w:val="000000"/>
                <w:sz w:val="20"/>
                <w:lang w:eastAsia="sk-SK"/>
              </w:rPr>
              <w:t>pranie, žehlenie a údržbu bielizne a šatstva,</w:t>
            </w:r>
          </w:p>
          <w:p w14:paraId="66A49404" w14:textId="77777777" w:rsidR="007C0C1E" w:rsidRPr="00414A3D" w:rsidRDefault="007C0C1E" w:rsidP="003B7808">
            <w:pPr>
              <w:numPr>
                <w:ilvl w:val="0"/>
                <w:numId w:val="17"/>
              </w:numPr>
              <w:spacing w:after="0"/>
              <w:contextualSpacing/>
              <w:jc w:val="left"/>
              <w:rPr>
                <w:rFonts w:eastAsia="Times New Roman" w:cs="Times New Roman"/>
                <w:color w:val="000000"/>
                <w:sz w:val="20"/>
                <w:lang w:eastAsia="sk-SK"/>
              </w:rPr>
            </w:pPr>
            <w:r w:rsidRPr="00414A3D">
              <w:rPr>
                <w:rFonts w:eastAsia="Times New Roman" w:cs="Times New Roman"/>
                <w:color w:val="000000"/>
                <w:sz w:val="20"/>
                <w:lang w:eastAsia="sk-SK"/>
              </w:rPr>
              <w:t>záujmovú činnosť.</w:t>
            </w:r>
          </w:p>
        </w:tc>
      </w:tr>
      <w:tr w:rsidR="007C0C1E" w:rsidRPr="00CA2564" w14:paraId="1DE2CD98" w14:textId="77777777" w:rsidTr="003B7808">
        <w:trPr>
          <w:trHeight w:val="88"/>
        </w:trPr>
        <w:tc>
          <w:tcPr>
            <w:tcW w:w="9067" w:type="dxa"/>
            <w:gridSpan w:val="4"/>
            <w:tcBorders>
              <w:top w:val="single" w:sz="4" w:space="0" w:color="auto"/>
              <w:bottom w:val="nil"/>
            </w:tcBorders>
          </w:tcPr>
          <w:p w14:paraId="73945DE3" w14:textId="77777777" w:rsidR="007C0C1E" w:rsidRPr="005907E8" w:rsidRDefault="007C0C1E" w:rsidP="003B7808">
            <w:pPr>
              <w:spacing w:after="0"/>
              <w:ind w:left="357"/>
              <w:contextualSpacing/>
              <w:jc w:val="right"/>
              <w:rPr>
                <w:rFonts w:eastAsia="Times New Roman" w:cs="Times New Roman"/>
                <w:i/>
                <w:color w:val="000000"/>
                <w:sz w:val="18"/>
                <w:szCs w:val="18"/>
                <w:lang w:eastAsia="sk-SK"/>
              </w:rPr>
            </w:pPr>
            <w:r w:rsidRPr="005907E8">
              <w:rPr>
                <w:rFonts w:eastAsia="Times New Roman" w:cs="Times New Roman"/>
                <w:i/>
                <w:color w:val="000000"/>
                <w:sz w:val="18"/>
                <w:szCs w:val="18"/>
                <w:lang w:eastAsia="sk-SK"/>
              </w:rPr>
              <w:t>Zdroj: Zákon č. 448/2008 Z. z. o sociálnych službách</w:t>
            </w:r>
          </w:p>
        </w:tc>
      </w:tr>
    </w:tbl>
    <w:p w14:paraId="36EA65A6" w14:textId="77777777" w:rsidR="007C0C1E" w:rsidRDefault="007C0C1E" w:rsidP="00494ABB">
      <w:pPr>
        <w:pStyle w:val="Popis"/>
        <w:rPr>
          <w:b/>
          <w:i w:val="0"/>
          <w:color w:val="2E74B5" w:themeColor="accent1" w:themeShade="BF"/>
          <w:sz w:val="22"/>
        </w:rPr>
        <w:sectPr w:rsidR="007C0C1E" w:rsidSect="00DC0C0A">
          <w:pgSz w:w="11906" w:h="16838" w:code="9"/>
          <w:pgMar w:top="1440" w:right="1378" w:bottom="1440" w:left="1440" w:header="720" w:footer="646" w:gutter="0"/>
          <w:cols w:space="708"/>
          <w:docGrid w:linePitch="360"/>
        </w:sectPr>
      </w:pPr>
    </w:p>
    <w:p w14:paraId="58EB5699" w14:textId="1354CA87" w:rsidR="003A0DD8" w:rsidRPr="00DF3709" w:rsidRDefault="00494ABB" w:rsidP="00494ABB">
      <w:pPr>
        <w:pStyle w:val="Popis"/>
        <w:rPr>
          <w:b/>
          <w:i w:val="0"/>
          <w:color w:val="2E74B5" w:themeColor="accent1" w:themeShade="BF"/>
          <w:sz w:val="22"/>
        </w:rPr>
      </w:pPr>
      <w:bookmarkStart w:id="1964" w:name="_Ref34129538"/>
      <w:r w:rsidRPr="00DF3709">
        <w:rPr>
          <w:b/>
          <w:i w:val="0"/>
          <w:color w:val="2E74B5" w:themeColor="accent1" w:themeShade="BF"/>
          <w:sz w:val="22"/>
        </w:rPr>
        <w:t xml:space="preserve">Príloha </w:t>
      </w:r>
      <w:r w:rsidRPr="00DF3709">
        <w:rPr>
          <w:b/>
          <w:i w:val="0"/>
          <w:color w:val="2E74B5" w:themeColor="accent1" w:themeShade="BF"/>
          <w:sz w:val="22"/>
        </w:rPr>
        <w:fldChar w:fldCharType="begin"/>
      </w:r>
      <w:r w:rsidRPr="00DF3709">
        <w:rPr>
          <w:b/>
          <w:i w:val="0"/>
          <w:color w:val="2E74B5" w:themeColor="accent1" w:themeShade="BF"/>
          <w:sz w:val="22"/>
        </w:rPr>
        <w:instrText xml:space="preserve"> SEQ Príloha \* ARABIC </w:instrText>
      </w:r>
      <w:r w:rsidRPr="00DF3709">
        <w:rPr>
          <w:b/>
          <w:i w:val="0"/>
          <w:color w:val="2E74B5" w:themeColor="accent1" w:themeShade="BF"/>
          <w:sz w:val="22"/>
        </w:rPr>
        <w:fldChar w:fldCharType="separate"/>
      </w:r>
      <w:r w:rsidR="00FA29AF">
        <w:rPr>
          <w:b/>
          <w:i w:val="0"/>
          <w:noProof/>
          <w:color w:val="2E74B5" w:themeColor="accent1" w:themeShade="BF"/>
          <w:sz w:val="22"/>
        </w:rPr>
        <w:t>40</w:t>
      </w:r>
      <w:r w:rsidRPr="00DF3709">
        <w:rPr>
          <w:b/>
          <w:i w:val="0"/>
          <w:color w:val="2E74B5" w:themeColor="accent1" w:themeShade="BF"/>
          <w:sz w:val="22"/>
        </w:rPr>
        <w:fldChar w:fldCharType="end"/>
      </w:r>
      <w:bookmarkEnd w:id="1960"/>
      <w:bookmarkEnd w:id="1964"/>
      <w:r w:rsidR="003A0DD8" w:rsidRPr="00DF3709">
        <w:rPr>
          <w:b/>
          <w:i w:val="0"/>
          <w:color w:val="2E74B5" w:themeColor="accent1" w:themeShade="BF"/>
          <w:sz w:val="22"/>
        </w:rPr>
        <w:t>: Metodické poznámky k výpočtu dopadov opatrení na verejné výdavky</w:t>
      </w:r>
    </w:p>
    <w:bookmarkEnd w:id="1961"/>
    <w:bookmarkEnd w:id="1962"/>
    <w:p w14:paraId="4A4BB390" w14:textId="77777777" w:rsidR="00F16AF6" w:rsidRPr="00CA2564" w:rsidRDefault="00F16AF6" w:rsidP="00F16AF6">
      <w:pPr>
        <w:spacing w:before="160" w:after="160"/>
        <w:rPr>
          <w:color w:val="0070C0"/>
        </w:rPr>
      </w:pPr>
      <w:r w:rsidRPr="00CA2564">
        <w:rPr>
          <w:color w:val="0070C0"/>
        </w:rPr>
        <w:t>Hodnota</w:t>
      </w:r>
    </w:p>
    <w:tbl>
      <w:tblPr>
        <w:tblW w:w="14034" w:type="dxa"/>
        <w:tblLayout w:type="fixed"/>
        <w:tblCellMar>
          <w:left w:w="70" w:type="dxa"/>
          <w:right w:w="70" w:type="dxa"/>
        </w:tblCellMar>
        <w:tblLook w:val="04A0" w:firstRow="1" w:lastRow="0" w:firstColumn="1" w:lastColumn="0" w:noHBand="0" w:noVBand="1"/>
      </w:tblPr>
      <w:tblGrid>
        <w:gridCol w:w="567"/>
        <w:gridCol w:w="2694"/>
        <w:gridCol w:w="850"/>
        <w:gridCol w:w="9923"/>
      </w:tblGrid>
      <w:tr w:rsidR="00F16AF6" w:rsidRPr="000B09C5" w14:paraId="521D4E8C" w14:textId="77777777" w:rsidTr="00793156">
        <w:trPr>
          <w:trHeight w:val="255"/>
        </w:trPr>
        <w:tc>
          <w:tcPr>
            <w:tcW w:w="567" w:type="dxa"/>
            <w:tcBorders>
              <w:top w:val="single" w:sz="4" w:space="0" w:color="auto"/>
              <w:left w:val="nil"/>
              <w:bottom w:val="single" w:sz="4" w:space="0" w:color="auto"/>
              <w:right w:val="nil"/>
            </w:tcBorders>
            <w:shd w:val="clear" w:color="000000" w:fill="DDEBF7"/>
            <w:vAlign w:val="bottom"/>
            <w:hideMark/>
          </w:tcPr>
          <w:p w14:paraId="55346890" w14:textId="77777777" w:rsidR="00F16AF6" w:rsidRPr="000B09C5" w:rsidRDefault="00F16AF6" w:rsidP="00793156">
            <w:pPr>
              <w:spacing w:after="0" w:line="240" w:lineRule="auto"/>
              <w:jc w:val="left"/>
              <w:rPr>
                <w:rFonts w:eastAsia="Times New Roman" w:cs="Times New Roman"/>
                <w:color w:val="000000"/>
                <w:sz w:val="20"/>
                <w:lang w:eastAsia="sk-SK"/>
              </w:rPr>
            </w:pPr>
          </w:p>
        </w:tc>
        <w:tc>
          <w:tcPr>
            <w:tcW w:w="2694" w:type="dxa"/>
            <w:tcBorders>
              <w:top w:val="single" w:sz="4" w:space="0" w:color="auto"/>
              <w:left w:val="nil"/>
              <w:bottom w:val="single" w:sz="4" w:space="0" w:color="auto"/>
              <w:right w:val="nil"/>
            </w:tcBorders>
            <w:shd w:val="clear" w:color="000000" w:fill="DDEBF7"/>
            <w:vAlign w:val="bottom"/>
            <w:hideMark/>
          </w:tcPr>
          <w:p w14:paraId="569C4091" w14:textId="77777777" w:rsidR="00F16AF6" w:rsidRPr="007F4230" w:rsidRDefault="00F16AF6" w:rsidP="00793156">
            <w:pPr>
              <w:spacing w:after="0" w:line="240" w:lineRule="auto"/>
              <w:jc w:val="left"/>
              <w:rPr>
                <w:rFonts w:eastAsia="Times New Roman" w:cs="Times New Roman"/>
                <w:color w:val="000000"/>
                <w:sz w:val="20"/>
                <w:lang w:eastAsia="sk-SK"/>
              </w:rPr>
            </w:pPr>
            <w:r w:rsidRPr="007F4230">
              <w:rPr>
                <w:rFonts w:eastAsia="Times New Roman" w:cs="Times New Roman"/>
                <w:color w:val="000000"/>
                <w:sz w:val="20"/>
                <w:lang w:eastAsia="sk-SK"/>
              </w:rPr>
              <w:t>Úloha</w:t>
            </w:r>
          </w:p>
        </w:tc>
        <w:tc>
          <w:tcPr>
            <w:tcW w:w="850" w:type="dxa"/>
            <w:tcBorders>
              <w:top w:val="single" w:sz="4" w:space="0" w:color="auto"/>
              <w:left w:val="nil"/>
              <w:bottom w:val="single" w:sz="4" w:space="0" w:color="auto"/>
              <w:right w:val="nil"/>
            </w:tcBorders>
            <w:shd w:val="clear" w:color="000000" w:fill="DDEBF7"/>
            <w:noWrap/>
            <w:vAlign w:val="bottom"/>
            <w:hideMark/>
          </w:tcPr>
          <w:p w14:paraId="4365D5DD" w14:textId="77777777" w:rsidR="00F16AF6" w:rsidRPr="000B09C5" w:rsidRDefault="00F16AF6" w:rsidP="00793156">
            <w:pPr>
              <w:spacing w:after="0" w:line="240" w:lineRule="auto"/>
              <w:jc w:val="left"/>
              <w:rPr>
                <w:rFonts w:eastAsia="Times New Roman" w:cs="Times New Roman"/>
                <w:color w:val="000000"/>
                <w:sz w:val="20"/>
                <w:lang w:eastAsia="sk-SK"/>
              </w:rPr>
            </w:pPr>
            <w:r>
              <w:rPr>
                <w:rFonts w:eastAsia="Times New Roman" w:cs="Times New Roman"/>
                <w:color w:val="000000"/>
                <w:sz w:val="20"/>
                <w:lang w:eastAsia="sk-SK"/>
              </w:rPr>
              <w:t>Potenciál</w:t>
            </w:r>
            <w:r w:rsidRPr="000B09C5">
              <w:rPr>
                <w:rFonts w:eastAsia="Times New Roman" w:cs="Times New Roman"/>
                <w:color w:val="000000"/>
                <w:sz w:val="20"/>
                <w:lang w:eastAsia="sk-SK"/>
              </w:rPr>
              <w:t xml:space="preserve"> (mil. eur)</w:t>
            </w:r>
          </w:p>
        </w:tc>
        <w:tc>
          <w:tcPr>
            <w:tcW w:w="9923" w:type="dxa"/>
            <w:tcBorders>
              <w:top w:val="single" w:sz="4" w:space="0" w:color="auto"/>
              <w:left w:val="nil"/>
              <w:bottom w:val="single" w:sz="4" w:space="0" w:color="auto"/>
              <w:right w:val="nil"/>
            </w:tcBorders>
            <w:shd w:val="clear" w:color="000000" w:fill="DDEBF7"/>
            <w:noWrap/>
            <w:vAlign w:val="bottom"/>
            <w:hideMark/>
          </w:tcPr>
          <w:p w14:paraId="34CA5B4C" w14:textId="77777777" w:rsidR="00F16AF6" w:rsidRPr="000B09C5" w:rsidRDefault="00F16AF6" w:rsidP="00793156">
            <w:pPr>
              <w:spacing w:after="0" w:line="240" w:lineRule="auto"/>
              <w:jc w:val="left"/>
              <w:rPr>
                <w:rFonts w:eastAsia="Times New Roman" w:cs="Times New Roman"/>
                <w:color w:val="000000"/>
                <w:sz w:val="20"/>
                <w:lang w:eastAsia="sk-SK"/>
              </w:rPr>
            </w:pPr>
            <w:r w:rsidRPr="000B09C5">
              <w:rPr>
                <w:rFonts w:eastAsia="Times New Roman" w:cs="Times New Roman"/>
                <w:color w:val="000000"/>
                <w:sz w:val="20"/>
                <w:lang w:eastAsia="sk-SK"/>
              </w:rPr>
              <w:t>Výpočet</w:t>
            </w:r>
          </w:p>
        </w:tc>
      </w:tr>
      <w:tr w:rsidR="00F16AF6" w:rsidRPr="000B09C5" w14:paraId="7AF980D9" w14:textId="77777777" w:rsidTr="00793156">
        <w:trPr>
          <w:trHeight w:val="510"/>
        </w:trPr>
        <w:tc>
          <w:tcPr>
            <w:tcW w:w="567" w:type="dxa"/>
            <w:tcBorders>
              <w:top w:val="nil"/>
              <w:left w:val="nil"/>
              <w:bottom w:val="dotted" w:sz="4" w:space="0" w:color="auto"/>
              <w:right w:val="nil"/>
            </w:tcBorders>
            <w:shd w:val="clear" w:color="000000" w:fill="FFFFFF"/>
            <w:vAlign w:val="bottom"/>
            <w:hideMark/>
          </w:tcPr>
          <w:p w14:paraId="495B25D4" w14:textId="77777777" w:rsidR="00F16AF6" w:rsidRPr="000B09C5" w:rsidRDefault="00F16AF6" w:rsidP="00793156">
            <w:pPr>
              <w:spacing w:after="0" w:line="240" w:lineRule="auto"/>
              <w:jc w:val="center"/>
              <w:rPr>
                <w:rFonts w:eastAsia="Times New Roman" w:cs="Times New Roman"/>
                <w:color w:val="000000"/>
                <w:sz w:val="20"/>
                <w:lang w:eastAsia="sk-SK"/>
              </w:rPr>
            </w:pPr>
            <w:r w:rsidRPr="000B09C5">
              <w:rPr>
                <w:rFonts w:eastAsia="Times New Roman" w:cs="Times New Roman"/>
                <w:color w:val="000000"/>
                <w:sz w:val="20"/>
                <w:lang w:eastAsia="sk-SK"/>
              </w:rPr>
              <w:t>1</w:t>
            </w:r>
          </w:p>
        </w:tc>
        <w:tc>
          <w:tcPr>
            <w:tcW w:w="2694" w:type="dxa"/>
            <w:tcBorders>
              <w:top w:val="nil"/>
              <w:left w:val="nil"/>
              <w:bottom w:val="dotted" w:sz="4" w:space="0" w:color="auto"/>
              <w:right w:val="nil"/>
            </w:tcBorders>
            <w:shd w:val="clear" w:color="000000" w:fill="FFFFFF"/>
            <w:vAlign w:val="bottom"/>
            <w:hideMark/>
          </w:tcPr>
          <w:p w14:paraId="48C70F1B" w14:textId="4CF12876" w:rsidR="00F16AF6" w:rsidRPr="00837A88" w:rsidRDefault="00837A88" w:rsidP="00793156">
            <w:pPr>
              <w:spacing w:after="0" w:line="240" w:lineRule="auto"/>
              <w:jc w:val="left"/>
              <w:rPr>
                <w:rFonts w:eastAsia="Times New Roman" w:cs="Times New Roman"/>
                <w:color w:val="000000"/>
                <w:sz w:val="20"/>
                <w:lang w:eastAsia="sk-SK"/>
              </w:rPr>
            </w:pPr>
            <w:r w:rsidRPr="00452DBC">
              <w:rPr>
                <w:sz w:val="20"/>
                <w:lang w:eastAsia="sk-SK"/>
              </w:rPr>
              <w:t>Podporiť poskytovanie ranej starostlivosti deťom vo veku 0 až 3 roky žijúcim v prostredí MRK</w:t>
            </w:r>
          </w:p>
        </w:tc>
        <w:tc>
          <w:tcPr>
            <w:tcW w:w="850" w:type="dxa"/>
            <w:tcBorders>
              <w:top w:val="nil"/>
              <w:left w:val="nil"/>
              <w:bottom w:val="dotted" w:sz="4" w:space="0" w:color="auto"/>
              <w:right w:val="nil"/>
            </w:tcBorders>
            <w:shd w:val="clear" w:color="000000" w:fill="FFFFFF"/>
            <w:noWrap/>
            <w:vAlign w:val="bottom"/>
            <w:hideMark/>
          </w:tcPr>
          <w:p w14:paraId="179B5787" w14:textId="5AAA077D" w:rsidR="00F16AF6" w:rsidRPr="001170C1" w:rsidRDefault="00837A88" w:rsidP="00793156">
            <w:pPr>
              <w:spacing w:after="0" w:line="240" w:lineRule="auto"/>
              <w:jc w:val="right"/>
              <w:rPr>
                <w:rFonts w:eastAsia="Times New Roman" w:cs="Times New Roman"/>
                <w:sz w:val="20"/>
                <w:lang w:eastAsia="sk-SK"/>
              </w:rPr>
            </w:pPr>
            <w:r>
              <w:rPr>
                <w:rFonts w:eastAsia="Times New Roman" w:cs="Times New Roman"/>
                <w:sz w:val="20"/>
                <w:lang w:eastAsia="sk-SK"/>
              </w:rPr>
              <w:t>4,9</w:t>
            </w:r>
          </w:p>
        </w:tc>
        <w:tc>
          <w:tcPr>
            <w:tcW w:w="9923" w:type="dxa"/>
            <w:tcBorders>
              <w:top w:val="nil"/>
              <w:left w:val="nil"/>
              <w:bottom w:val="dotted" w:sz="4" w:space="0" w:color="auto"/>
              <w:right w:val="nil"/>
            </w:tcBorders>
            <w:shd w:val="clear" w:color="000000" w:fill="FFFFFF"/>
            <w:noWrap/>
            <w:vAlign w:val="bottom"/>
            <w:hideMark/>
          </w:tcPr>
          <w:p w14:paraId="3D798BEB" w14:textId="5215894E" w:rsidR="00F16AF6" w:rsidRPr="001170C1" w:rsidRDefault="00F16AF6" w:rsidP="00FC3751">
            <w:pPr>
              <w:spacing w:after="0" w:line="240" w:lineRule="auto"/>
              <w:rPr>
                <w:rFonts w:eastAsia="Times New Roman" w:cs="Times New Roman"/>
                <w:sz w:val="20"/>
                <w:lang w:eastAsia="sk-SK"/>
              </w:rPr>
            </w:pPr>
            <w:r w:rsidRPr="001170C1">
              <w:rPr>
                <w:rFonts w:eastAsia="Times New Roman" w:cs="Times New Roman"/>
                <w:sz w:val="20"/>
                <w:lang w:eastAsia="sk-SK"/>
              </w:rPr>
              <w:t xml:space="preserve">Informácie z projektu Omama: </w:t>
            </w:r>
            <w:r>
              <w:rPr>
                <w:rFonts w:eastAsia="Times New Roman" w:cs="Times New Roman"/>
                <w:sz w:val="20"/>
                <w:lang w:eastAsia="sk-SK"/>
              </w:rPr>
              <w:t xml:space="preserve">osobné </w:t>
            </w:r>
            <w:r w:rsidRPr="001170C1">
              <w:rPr>
                <w:rFonts w:eastAsia="Times New Roman" w:cs="Times New Roman"/>
                <w:sz w:val="20"/>
                <w:lang w:eastAsia="sk-SK"/>
              </w:rPr>
              <w:t>náklady na jedno dieťa na rok sú 1000 eur. Počet detí žijúcich v</w:t>
            </w:r>
            <w:r w:rsidR="009D554E">
              <w:rPr>
                <w:rFonts w:eastAsia="Times New Roman" w:cs="Times New Roman"/>
                <w:sz w:val="20"/>
                <w:lang w:eastAsia="sk-SK"/>
              </w:rPr>
              <w:t> segregovaných rómskych osadách</w:t>
            </w:r>
            <w:r w:rsidR="009D554E" w:rsidRPr="001170C1">
              <w:rPr>
                <w:rFonts w:eastAsia="Times New Roman" w:cs="Times New Roman"/>
                <w:sz w:val="20"/>
                <w:lang w:eastAsia="sk-SK"/>
              </w:rPr>
              <w:t xml:space="preserve"> </w:t>
            </w:r>
            <w:r w:rsidRPr="001170C1">
              <w:rPr>
                <w:rFonts w:eastAsia="Times New Roman" w:cs="Times New Roman"/>
                <w:sz w:val="20"/>
                <w:lang w:eastAsia="sk-SK"/>
              </w:rPr>
              <w:t xml:space="preserve">vo veku 0 až 3 roky je </w:t>
            </w:r>
            <w:r w:rsidR="009D554E">
              <w:rPr>
                <w:rFonts w:eastAsia="Times New Roman" w:cs="Times New Roman"/>
                <w:sz w:val="20"/>
                <w:lang w:eastAsia="sk-SK"/>
              </w:rPr>
              <w:t>7 535</w:t>
            </w:r>
            <w:r w:rsidRPr="001170C1">
              <w:rPr>
                <w:rFonts w:eastAsia="Times New Roman" w:cs="Times New Roman"/>
                <w:sz w:val="20"/>
                <w:lang w:eastAsia="sk-SK"/>
              </w:rPr>
              <w:t xml:space="preserve">. K tomu je pripočítaný paušál na </w:t>
            </w:r>
            <w:r w:rsidRPr="001170C1">
              <w:rPr>
                <w:sz w:val="20"/>
              </w:rPr>
              <w:t>nepriame výdavky</w:t>
            </w:r>
            <w:r w:rsidRPr="001170C1">
              <w:rPr>
                <w:rFonts w:eastAsia="Times New Roman" w:cs="Times New Roman"/>
                <w:sz w:val="20"/>
                <w:lang w:eastAsia="sk-SK"/>
              </w:rPr>
              <w:t xml:space="preserve"> (</w:t>
            </w:r>
            <w:r w:rsidRPr="001170C1">
              <w:rPr>
                <w:sz w:val="20"/>
              </w:rPr>
              <w:t xml:space="preserve">15 % celkových osobných výdavkov, </w:t>
            </w:r>
            <w:r w:rsidR="009D554E">
              <w:rPr>
                <w:sz w:val="20"/>
              </w:rPr>
              <w:t>1,1</w:t>
            </w:r>
            <w:r w:rsidR="00FC3751">
              <w:rPr>
                <w:sz w:val="20"/>
              </w:rPr>
              <w:t> </w:t>
            </w:r>
            <w:r w:rsidRPr="001170C1">
              <w:rPr>
                <w:sz w:val="20"/>
              </w:rPr>
              <w:t>milión</w:t>
            </w:r>
            <w:r w:rsidR="009D554E">
              <w:rPr>
                <w:sz w:val="20"/>
              </w:rPr>
              <w:t>ov</w:t>
            </w:r>
            <w:r w:rsidRPr="001170C1">
              <w:rPr>
                <w:sz w:val="20"/>
              </w:rPr>
              <w:t xml:space="preserve"> eur) a výdavky </w:t>
            </w:r>
            <w:r w:rsidRPr="001170C1">
              <w:rPr>
                <w:rFonts w:eastAsia="Times New Roman" w:cs="Times New Roman"/>
                <w:sz w:val="20"/>
                <w:lang w:eastAsia="sk-SK"/>
              </w:rPr>
              <w:t>na riadenie projektu (</w:t>
            </w:r>
            <w:r w:rsidRPr="001170C1">
              <w:rPr>
                <w:sz w:val="20"/>
              </w:rPr>
              <w:t xml:space="preserve">11 % celkových nákladov, </w:t>
            </w:r>
            <w:r w:rsidR="009D554E">
              <w:rPr>
                <w:sz w:val="20"/>
              </w:rPr>
              <w:t>1,1</w:t>
            </w:r>
            <w:r w:rsidRPr="001170C1">
              <w:rPr>
                <w:sz w:val="20"/>
              </w:rPr>
              <w:t xml:space="preserve"> milión</w:t>
            </w:r>
            <w:r w:rsidR="009D554E">
              <w:rPr>
                <w:sz w:val="20"/>
              </w:rPr>
              <w:t>ov</w:t>
            </w:r>
            <w:r w:rsidRPr="001170C1">
              <w:rPr>
                <w:sz w:val="20"/>
              </w:rPr>
              <w:t xml:space="preserve"> eur). </w:t>
            </w:r>
            <w:r>
              <w:rPr>
                <w:sz w:val="20"/>
              </w:rPr>
              <w:t>Maxim</w:t>
            </w:r>
            <w:r w:rsidR="00FC3751">
              <w:rPr>
                <w:sz w:val="20"/>
              </w:rPr>
              <w:t>álne výdavky predpokladajú 50 % </w:t>
            </w:r>
            <w:r>
              <w:rPr>
                <w:sz w:val="20"/>
              </w:rPr>
              <w:t xml:space="preserve">účasť. </w:t>
            </w:r>
            <w:r w:rsidRPr="001170C1">
              <w:rPr>
                <w:rFonts w:eastAsia="Times New Roman" w:cs="Times New Roman"/>
                <w:sz w:val="20"/>
                <w:lang w:eastAsia="sk-SK"/>
              </w:rPr>
              <w:t>Reálne výdavky budú závisieť od miery záujmu, keďže sa predpokladá, že participácia by bola dobrovoľná.</w:t>
            </w:r>
          </w:p>
        </w:tc>
      </w:tr>
      <w:tr w:rsidR="00F16AF6" w:rsidRPr="000B09C5" w14:paraId="406ADB74" w14:textId="77777777" w:rsidTr="00793156">
        <w:trPr>
          <w:trHeight w:val="510"/>
        </w:trPr>
        <w:tc>
          <w:tcPr>
            <w:tcW w:w="567" w:type="dxa"/>
            <w:tcBorders>
              <w:top w:val="nil"/>
              <w:left w:val="nil"/>
              <w:bottom w:val="dotted" w:sz="4" w:space="0" w:color="auto"/>
              <w:right w:val="nil"/>
            </w:tcBorders>
            <w:shd w:val="clear" w:color="000000" w:fill="FFFFFF"/>
            <w:vAlign w:val="bottom"/>
            <w:hideMark/>
          </w:tcPr>
          <w:p w14:paraId="50D0F3CD" w14:textId="77777777" w:rsidR="00F16AF6" w:rsidRPr="000B09C5" w:rsidRDefault="00F16AF6" w:rsidP="00793156">
            <w:pPr>
              <w:spacing w:after="0" w:line="240" w:lineRule="auto"/>
              <w:jc w:val="center"/>
              <w:rPr>
                <w:rFonts w:eastAsia="Times New Roman" w:cs="Times New Roman"/>
                <w:color w:val="000000"/>
                <w:sz w:val="20"/>
                <w:lang w:eastAsia="sk-SK"/>
              </w:rPr>
            </w:pPr>
            <w:r w:rsidRPr="000B09C5">
              <w:rPr>
                <w:rFonts w:eastAsia="Times New Roman" w:cs="Times New Roman"/>
                <w:color w:val="000000"/>
                <w:sz w:val="20"/>
                <w:lang w:eastAsia="sk-SK"/>
              </w:rPr>
              <w:t>2</w:t>
            </w:r>
            <w:r>
              <w:rPr>
                <w:rFonts w:eastAsia="Times New Roman" w:cs="Times New Roman"/>
                <w:color w:val="000000"/>
                <w:sz w:val="20"/>
                <w:lang w:eastAsia="sk-SK"/>
              </w:rPr>
              <w:t>.1</w:t>
            </w:r>
          </w:p>
        </w:tc>
        <w:tc>
          <w:tcPr>
            <w:tcW w:w="2694" w:type="dxa"/>
            <w:tcBorders>
              <w:top w:val="nil"/>
              <w:left w:val="nil"/>
              <w:bottom w:val="dotted" w:sz="4" w:space="0" w:color="auto"/>
              <w:right w:val="nil"/>
            </w:tcBorders>
            <w:shd w:val="clear" w:color="000000" w:fill="FFFFFF"/>
            <w:vAlign w:val="bottom"/>
            <w:hideMark/>
          </w:tcPr>
          <w:p w14:paraId="7B25D9C2" w14:textId="77777777" w:rsidR="00F16AF6" w:rsidRPr="007F4230" w:rsidRDefault="00F16AF6" w:rsidP="00793156">
            <w:pPr>
              <w:spacing w:after="0" w:line="240" w:lineRule="auto"/>
              <w:jc w:val="left"/>
              <w:rPr>
                <w:rFonts w:eastAsia="Times New Roman" w:cs="Times New Roman"/>
                <w:color w:val="000000"/>
                <w:sz w:val="20"/>
                <w:lang w:eastAsia="sk-SK"/>
              </w:rPr>
            </w:pPr>
            <w:r w:rsidRPr="007F4230">
              <w:rPr>
                <w:sz w:val="20"/>
              </w:rPr>
              <w:t xml:space="preserve">Dobudovanie kapacít potrebných </w:t>
            </w:r>
            <w:r w:rsidRPr="007F4230">
              <w:rPr>
                <w:rFonts w:eastAsia="Times New Roman" w:cs="Times New Roman"/>
                <w:color w:val="000000"/>
                <w:sz w:val="20"/>
                <w:lang w:eastAsia="sk-SK"/>
              </w:rPr>
              <w:t>pre zavedenie povinného predprimárneho vzdelávania od 5 rokov a právneho nároku na miesto v MŠ pre 3- a 4-ročné deti</w:t>
            </w:r>
          </w:p>
        </w:tc>
        <w:tc>
          <w:tcPr>
            <w:tcW w:w="850" w:type="dxa"/>
            <w:tcBorders>
              <w:top w:val="nil"/>
              <w:left w:val="nil"/>
              <w:bottom w:val="dotted" w:sz="4" w:space="0" w:color="auto"/>
              <w:right w:val="nil"/>
            </w:tcBorders>
            <w:shd w:val="clear" w:color="000000" w:fill="FFFFFF"/>
            <w:noWrap/>
            <w:vAlign w:val="bottom"/>
            <w:hideMark/>
          </w:tcPr>
          <w:p w14:paraId="761FE2F5" w14:textId="77777777" w:rsidR="00F16AF6" w:rsidRPr="00705E01" w:rsidRDefault="00F16AF6" w:rsidP="00793156">
            <w:pPr>
              <w:spacing w:after="0" w:line="240" w:lineRule="auto"/>
              <w:jc w:val="right"/>
              <w:rPr>
                <w:rFonts w:eastAsia="Times New Roman" w:cs="Times New Roman"/>
                <w:sz w:val="20"/>
                <w:lang w:eastAsia="sk-SK"/>
              </w:rPr>
            </w:pPr>
            <w:r>
              <w:rPr>
                <w:rFonts w:eastAsia="Times New Roman" w:cs="Times New Roman"/>
                <w:color w:val="000000"/>
                <w:sz w:val="20"/>
                <w:lang w:eastAsia="sk-SK"/>
              </w:rPr>
              <w:t>34,4</w:t>
            </w:r>
          </w:p>
        </w:tc>
        <w:tc>
          <w:tcPr>
            <w:tcW w:w="9923" w:type="dxa"/>
            <w:tcBorders>
              <w:top w:val="nil"/>
              <w:left w:val="nil"/>
              <w:bottom w:val="dotted" w:sz="4" w:space="0" w:color="auto"/>
              <w:right w:val="nil"/>
            </w:tcBorders>
            <w:shd w:val="clear" w:color="000000" w:fill="FFFFFF"/>
            <w:noWrap/>
            <w:vAlign w:val="bottom"/>
            <w:hideMark/>
          </w:tcPr>
          <w:p w14:paraId="4052B808" w14:textId="44481D8F" w:rsidR="00F16AF6" w:rsidRPr="00705E01" w:rsidRDefault="00F16AF6" w:rsidP="00793156">
            <w:pPr>
              <w:spacing w:after="0" w:line="240" w:lineRule="auto"/>
              <w:rPr>
                <w:sz w:val="20"/>
              </w:rPr>
            </w:pPr>
            <w:r w:rsidRPr="00705E01">
              <w:rPr>
                <w:sz w:val="20"/>
              </w:rPr>
              <w:t>Po zohľadnení aktuálnych voľných kapacít a zazmluvnených miest z EŠIF je pre dosiahnutie plnej zaškolenosti 5-ročných detí potrebné dobudovať 1 828 – 3 172 miest a pre uspokojenie dopytu zákonných zástupcov po miestach pre mladši</w:t>
            </w:r>
            <w:r w:rsidR="00FC3751">
              <w:rPr>
                <w:sz w:val="20"/>
              </w:rPr>
              <w:t>e deti vytvoriť ďalších 8 826 – </w:t>
            </w:r>
            <w:r w:rsidRPr="00705E01">
              <w:rPr>
                <w:sz w:val="20"/>
              </w:rPr>
              <w:t>9 606. Okrem toho sa v rámci právneho nároku počíta s tým, že zákonní zástupcovia znevýhodnených detí budú mať približne polovičný záujem o miesta v MŠ oproti celkovej populácii. V súlade s doterajšími priemernými výdavkami na vytvorenie jedného miesta v MŠ podľa údajov ministerstva vnútra SR ide spolu o sumu 8</w:t>
            </w:r>
            <w:r>
              <w:rPr>
                <w:sz w:val="20"/>
              </w:rPr>
              <w:t>4,0</w:t>
            </w:r>
            <w:r w:rsidR="0070047D">
              <w:rPr>
                <w:sz w:val="20"/>
              </w:rPr>
              <w:t xml:space="preserve"> </w:t>
            </w:r>
            <w:r w:rsidRPr="00705E01">
              <w:rPr>
                <w:sz w:val="20"/>
              </w:rPr>
              <w:t>až 101</w:t>
            </w:r>
            <w:r>
              <w:rPr>
                <w:sz w:val="20"/>
              </w:rPr>
              <w:t>,3 miliónov</w:t>
            </w:r>
            <w:r w:rsidRPr="00705E01">
              <w:rPr>
                <w:sz w:val="20"/>
              </w:rPr>
              <w:t xml:space="preserve"> eur</w:t>
            </w:r>
            <w:r>
              <w:rPr>
                <w:sz w:val="20"/>
              </w:rPr>
              <w:t>, z toho 30,6 až 38,1 na znevýhodnené deti (potenciál výdavkov na inklúziu je vyjadrený ako stredná hodnota medzi minimom a maximom výdavkov na znevýhodnené deti)</w:t>
            </w:r>
            <w:r w:rsidRPr="00705E01">
              <w:rPr>
                <w:sz w:val="20"/>
              </w:rPr>
              <w:t>. Jedná sa o prostriedky na spolufinancovanie doterajších EŠIF-ov (IROP a OP ĽZ) alokovaných na budovanie kapacít MŠ v prípade ich plného vyčerpania a o dodatočné prostriedky na kapacity MŠ pre dosiahnutie plnej zaškolenosti 5-ročných a právneho nároku pre 3-4-ročných. Nezahŕňa samotné financovanie z EŠIF-ov (ku októbru 2018 nezazmluvnených 41,24 mil. eur).</w:t>
            </w:r>
          </w:p>
        </w:tc>
      </w:tr>
      <w:tr w:rsidR="00F16AF6" w:rsidRPr="000B09C5" w14:paraId="67979581" w14:textId="77777777" w:rsidTr="00793156">
        <w:trPr>
          <w:trHeight w:val="510"/>
        </w:trPr>
        <w:tc>
          <w:tcPr>
            <w:tcW w:w="567" w:type="dxa"/>
            <w:tcBorders>
              <w:top w:val="nil"/>
              <w:left w:val="nil"/>
              <w:bottom w:val="dotted" w:sz="4" w:space="0" w:color="auto"/>
              <w:right w:val="nil"/>
            </w:tcBorders>
            <w:shd w:val="clear" w:color="000000" w:fill="FFFFFF"/>
            <w:vAlign w:val="bottom"/>
          </w:tcPr>
          <w:p w14:paraId="5E71D518" w14:textId="77777777" w:rsidR="00F16AF6" w:rsidRDefault="00F16AF6" w:rsidP="00793156">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2.2</w:t>
            </w:r>
          </w:p>
        </w:tc>
        <w:tc>
          <w:tcPr>
            <w:tcW w:w="2694" w:type="dxa"/>
            <w:tcBorders>
              <w:top w:val="nil"/>
              <w:left w:val="nil"/>
              <w:bottom w:val="dotted" w:sz="4" w:space="0" w:color="auto"/>
              <w:right w:val="nil"/>
            </w:tcBorders>
            <w:shd w:val="clear" w:color="000000" w:fill="FFFFFF"/>
            <w:vAlign w:val="bottom"/>
          </w:tcPr>
          <w:p w14:paraId="5008DF65" w14:textId="77777777" w:rsidR="00F16AF6" w:rsidRPr="007F4230" w:rsidRDefault="00F16AF6" w:rsidP="00793156">
            <w:pPr>
              <w:spacing w:after="0" w:line="240" w:lineRule="auto"/>
              <w:jc w:val="left"/>
              <w:rPr>
                <w:rFonts w:eastAsia="Times New Roman" w:cs="Times New Roman"/>
                <w:color w:val="000000"/>
                <w:sz w:val="20"/>
                <w:lang w:eastAsia="sk-SK"/>
              </w:rPr>
            </w:pPr>
            <w:r w:rsidRPr="007F4230">
              <w:rPr>
                <w:sz w:val="20"/>
              </w:rPr>
              <w:t>Finančná podpora formou rozvojového projektu pre debarierizáciu materských škôl</w:t>
            </w:r>
          </w:p>
        </w:tc>
        <w:tc>
          <w:tcPr>
            <w:tcW w:w="850" w:type="dxa"/>
            <w:tcBorders>
              <w:top w:val="nil"/>
              <w:left w:val="nil"/>
              <w:bottom w:val="dotted" w:sz="4" w:space="0" w:color="auto"/>
              <w:right w:val="nil"/>
            </w:tcBorders>
            <w:shd w:val="clear" w:color="000000" w:fill="FFFFFF"/>
            <w:noWrap/>
            <w:vAlign w:val="bottom"/>
          </w:tcPr>
          <w:p w14:paraId="7F6F122F" w14:textId="77777777" w:rsidR="00F16AF6" w:rsidRPr="00B07867" w:rsidRDefault="00F16AF6" w:rsidP="00793156">
            <w:pPr>
              <w:spacing w:after="0" w:line="240" w:lineRule="auto"/>
              <w:jc w:val="right"/>
              <w:rPr>
                <w:rFonts w:eastAsia="Times New Roman" w:cs="Times New Roman"/>
                <w:sz w:val="20"/>
                <w:lang w:eastAsia="sk-SK"/>
              </w:rPr>
            </w:pPr>
            <w:r w:rsidRPr="00B07867">
              <w:rPr>
                <w:rFonts w:eastAsia="Times New Roman" w:cs="Times New Roman"/>
                <w:sz w:val="20"/>
                <w:lang w:eastAsia="sk-SK"/>
              </w:rPr>
              <w:t>0,</w:t>
            </w:r>
            <w:r>
              <w:rPr>
                <w:rFonts w:eastAsia="Times New Roman" w:cs="Times New Roman"/>
                <w:sz w:val="20"/>
                <w:lang w:eastAsia="sk-SK"/>
              </w:rPr>
              <w:t>6</w:t>
            </w:r>
          </w:p>
        </w:tc>
        <w:tc>
          <w:tcPr>
            <w:tcW w:w="9923" w:type="dxa"/>
            <w:tcBorders>
              <w:top w:val="nil"/>
              <w:left w:val="nil"/>
              <w:bottom w:val="dotted" w:sz="4" w:space="0" w:color="auto"/>
              <w:right w:val="nil"/>
            </w:tcBorders>
            <w:shd w:val="clear" w:color="000000" w:fill="FFFFFF"/>
            <w:noWrap/>
            <w:vAlign w:val="bottom"/>
          </w:tcPr>
          <w:p w14:paraId="631995E0" w14:textId="77777777" w:rsidR="00F16AF6" w:rsidRPr="00B07867" w:rsidRDefault="00F16AF6" w:rsidP="00793156">
            <w:pPr>
              <w:spacing w:after="0" w:line="240" w:lineRule="auto"/>
              <w:rPr>
                <w:sz w:val="20"/>
              </w:rPr>
            </w:pPr>
            <w:r>
              <w:rPr>
                <w:sz w:val="20"/>
              </w:rPr>
              <w:t>Výdavky sú určené po vzore rozvojového</w:t>
            </w:r>
            <w:r w:rsidRPr="00B07867">
              <w:rPr>
                <w:sz w:val="20"/>
              </w:rPr>
              <w:t xml:space="preserve"> projekt</w:t>
            </w:r>
            <w:r>
              <w:rPr>
                <w:sz w:val="20"/>
              </w:rPr>
              <w:t>u</w:t>
            </w:r>
            <w:r w:rsidRPr="00B07867">
              <w:rPr>
                <w:sz w:val="20"/>
              </w:rPr>
              <w:t xml:space="preserve"> pre debarierizáciu </w:t>
            </w:r>
            <w:r>
              <w:rPr>
                <w:sz w:val="20"/>
              </w:rPr>
              <w:t>základných škôl.</w:t>
            </w:r>
          </w:p>
        </w:tc>
      </w:tr>
      <w:tr w:rsidR="00F16AF6" w:rsidRPr="000B09C5" w14:paraId="658B9065" w14:textId="77777777" w:rsidTr="00793156">
        <w:trPr>
          <w:trHeight w:val="510"/>
        </w:trPr>
        <w:tc>
          <w:tcPr>
            <w:tcW w:w="567" w:type="dxa"/>
            <w:tcBorders>
              <w:top w:val="nil"/>
              <w:left w:val="nil"/>
              <w:bottom w:val="dotted" w:sz="4" w:space="0" w:color="auto"/>
              <w:right w:val="nil"/>
            </w:tcBorders>
            <w:shd w:val="clear" w:color="000000" w:fill="FFFFFF"/>
            <w:vAlign w:val="bottom"/>
            <w:hideMark/>
          </w:tcPr>
          <w:p w14:paraId="3D4F5B9E" w14:textId="77777777" w:rsidR="00F16AF6" w:rsidRPr="000B09C5" w:rsidRDefault="00F16AF6" w:rsidP="00793156">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3</w:t>
            </w:r>
          </w:p>
        </w:tc>
        <w:tc>
          <w:tcPr>
            <w:tcW w:w="2694" w:type="dxa"/>
            <w:tcBorders>
              <w:top w:val="nil"/>
              <w:left w:val="nil"/>
              <w:bottom w:val="dotted" w:sz="4" w:space="0" w:color="auto"/>
              <w:right w:val="nil"/>
            </w:tcBorders>
            <w:shd w:val="clear" w:color="000000" w:fill="FFFFFF"/>
            <w:vAlign w:val="bottom"/>
            <w:hideMark/>
          </w:tcPr>
          <w:p w14:paraId="287A8980" w14:textId="77777777" w:rsidR="00F16AF6" w:rsidRPr="007F4230" w:rsidRDefault="00F16AF6" w:rsidP="00793156">
            <w:pPr>
              <w:spacing w:after="0" w:line="240" w:lineRule="auto"/>
              <w:jc w:val="left"/>
              <w:rPr>
                <w:rFonts w:eastAsia="Times New Roman" w:cs="Times New Roman"/>
                <w:color w:val="000000"/>
                <w:sz w:val="20"/>
                <w:lang w:eastAsia="sk-SK"/>
              </w:rPr>
            </w:pPr>
            <w:r w:rsidRPr="007F4230">
              <w:rPr>
                <w:rFonts w:eastAsia="Times New Roman" w:cs="Times New Roman"/>
                <w:color w:val="000000"/>
                <w:sz w:val="20"/>
                <w:lang w:eastAsia="sk-SK"/>
              </w:rPr>
              <w:t>Zabezpečiť autobusové spojenie medzi segregovanými osídleniami a materskými a základnými školami</w:t>
            </w:r>
          </w:p>
        </w:tc>
        <w:tc>
          <w:tcPr>
            <w:tcW w:w="850" w:type="dxa"/>
            <w:tcBorders>
              <w:top w:val="nil"/>
              <w:left w:val="nil"/>
              <w:bottom w:val="dotted" w:sz="4" w:space="0" w:color="auto"/>
              <w:right w:val="nil"/>
            </w:tcBorders>
            <w:shd w:val="clear" w:color="000000" w:fill="FFFFFF"/>
            <w:noWrap/>
            <w:vAlign w:val="bottom"/>
            <w:hideMark/>
          </w:tcPr>
          <w:p w14:paraId="7FF9C9D0" w14:textId="77777777" w:rsidR="00F16AF6" w:rsidRPr="001170C1" w:rsidRDefault="00F16AF6" w:rsidP="00793156">
            <w:pPr>
              <w:spacing w:after="0" w:line="240" w:lineRule="auto"/>
              <w:jc w:val="right"/>
              <w:rPr>
                <w:rFonts w:eastAsia="Times New Roman" w:cs="Times New Roman"/>
                <w:sz w:val="20"/>
                <w:lang w:eastAsia="sk-SK"/>
              </w:rPr>
            </w:pPr>
            <w:r w:rsidRPr="001170C1">
              <w:rPr>
                <w:rFonts w:eastAsia="Times New Roman" w:cs="Times New Roman"/>
                <w:sz w:val="20"/>
                <w:lang w:eastAsia="sk-SK"/>
              </w:rPr>
              <w:t>0,</w:t>
            </w:r>
            <w:r>
              <w:rPr>
                <w:rFonts w:eastAsia="Times New Roman" w:cs="Times New Roman"/>
                <w:sz w:val="20"/>
                <w:lang w:eastAsia="sk-SK"/>
              </w:rPr>
              <w:t>4</w:t>
            </w:r>
          </w:p>
        </w:tc>
        <w:tc>
          <w:tcPr>
            <w:tcW w:w="9923" w:type="dxa"/>
            <w:tcBorders>
              <w:top w:val="nil"/>
              <w:left w:val="nil"/>
              <w:bottom w:val="dotted" w:sz="4" w:space="0" w:color="auto"/>
              <w:right w:val="nil"/>
            </w:tcBorders>
            <w:shd w:val="clear" w:color="000000" w:fill="FFFFFF"/>
            <w:noWrap/>
            <w:vAlign w:val="bottom"/>
            <w:hideMark/>
          </w:tcPr>
          <w:p w14:paraId="2CC03A5B" w14:textId="77777777" w:rsidR="00F16AF6" w:rsidRPr="001170C1" w:rsidRDefault="00F16AF6" w:rsidP="00793156">
            <w:pPr>
              <w:spacing w:after="0" w:line="240" w:lineRule="auto"/>
              <w:rPr>
                <w:sz w:val="20"/>
              </w:rPr>
            </w:pPr>
            <w:r w:rsidRPr="001170C1">
              <w:rPr>
                <w:sz w:val="20"/>
              </w:rPr>
              <w:t xml:space="preserve">Celkový počet kilometrov zo 49 rómskych osídlení mimo obce do najbližších obcí je 173 km. Na základe prieskumu trhu stojí 1 km cesty prenajatým autobusom 1,45 - 4,26 eura. Pri ceste tam a späť počas 190 dní školského roka a maximálnej kapacite jedného autobusu 30 miest, predstavujú náklady na prenájom autobusov pre všetky deti vo veku do 15-rokov </w:t>
            </w:r>
            <w:r>
              <w:rPr>
                <w:sz w:val="20"/>
              </w:rPr>
              <w:t xml:space="preserve">(4 263 detí) </w:t>
            </w:r>
            <w:r w:rsidRPr="001170C1">
              <w:rPr>
                <w:sz w:val="20"/>
              </w:rPr>
              <w:t>213-tisíc až 625-tisíc eur ročne (cena za km * počet km * počet autobusov).</w:t>
            </w:r>
          </w:p>
        </w:tc>
      </w:tr>
      <w:tr w:rsidR="00F16AF6" w:rsidRPr="000B09C5" w14:paraId="7A99A707" w14:textId="77777777" w:rsidTr="00793156">
        <w:trPr>
          <w:trHeight w:val="141"/>
        </w:trPr>
        <w:tc>
          <w:tcPr>
            <w:tcW w:w="567" w:type="dxa"/>
            <w:tcBorders>
              <w:top w:val="nil"/>
              <w:left w:val="nil"/>
              <w:bottom w:val="dotted" w:sz="4" w:space="0" w:color="auto"/>
              <w:right w:val="nil"/>
            </w:tcBorders>
            <w:shd w:val="clear" w:color="000000" w:fill="FFFFFF"/>
            <w:vAlign w:val="bottom"/>
            <w:hideMark/>
          </w:tcPr>
          <w:p w14:paraId="362F5CA4" w14:textId="77777777" w:rsidR="00F16AF6" w:rsidRPr="000B09C5" w:rsidRDefault="00F16AF6" w:rsidP="00793156">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4.1</w:t>
            </w:r>
          </w:p>
        </w:tc>
        <w:tc>
          <w:tcPr>
            <w:tcW w:w="2694" w:type="dxa"/>
            <w:tcBorders>
              <w:top w:val="nil"/>
              <w:left w:val="nil"/>
              <w:bottom w:val="dotted" w:sz="4" w:space="0" w:color="auto"/>
              <w:right w:val="nil"/>
            </w:tcBorders>
            <w:shd w:val="clear" w:color="000000" w:fill="FFFFFF"/>
            <w:vAlign w:val="bottom"/>
            <w:hideMark/>
          </w:tcPr>
          <w:p w14:paraId="5201D346" w14:textId="77777777" w:rsidR="00F16AF6" w:rsidRPr="007F4230" w:rsidRDefault="00F16AF6" w:rsidP="00793156">
            <w:pPr>
              <w:spacing w:after="0" w:line="240" w:lineRule="auto"/>
              <w:jc w:val="left"/>
              <w:rPr>
                <w:rFonts w:eastAsia="Times New Roman" w:cs="Times New Roman"/>
                <w:color w:val="000000"/>
                <w:sz w:val="20"/>
                <w:lang w:eastAsia="sk-SK"/>
              </w:rPr>
            </w:pPr>
            <w:r w:rsidRPr="007F4230">
              <w:rPr>
                <w:rFonts w:eastAsia="Times New Roman" w:cs="Times New Roman"/>
                <w:bCs/>
                <w:color w:val="000000"/>
                <w:sz w:val="20"/>
                <w:lang w:eastAsia="sk-SK"/>
              </w:rPr>
              <w:t>Poskytovanie finančných prostriedkov zriaďovateľom na pedagogických asistentov, pomocných vychovávateľov a odborných zamestnancov v materských školách vo výške 50 % ich tarifného platu</w:t>
            </w:r>
          </w:p>
        </w:tc>
        <w:tc>
          <w:tcPr>
            <w:tcW w:w="850" w:type="dxa"/>
            <w:tcBorders>
              <w:top w:val="nil"/>
              <w:left w:val="nil"/>
              <w:bottom w:val="dotted" w:sz="4" w:space="0" w:color="auto"/>
              <w:right w:val="nil"/>
            </w:tcBorders>
            <w:shd w:val="clear" w:color="000000" w:fill="FFFFFF"/>
            <w:noWrap/>
            <w:vAlign w:val="bottom"/>
            <w:hideMark/>
          </w:tcPr>
          <w:p w14:paraId="2B12FA26" w14:textId="77777777" w:rsidR="00F16AF6" w:rsidRPr="00C605B9" w:rsidRDefault="00F16AF6" w:rsidP="00793156">
            <w:pPr>
              <w:spacing w:after="0" w:line="240" w:lineRule="auto"/>
              <w:jc w:val="right"/>
              <w:rPr>
                <w:rFonts w:eastAsia="Times New Roman" w:cs="Times New Roman"/>
                <w:color w:val="000000"/>
                <w:sz w:val="20"/>
                <w:lang w:eastAsia="sk-SK"/>
              </w:rPr>
            </w:pPr>
            <w:r w:rsidRPr="00C605B9">
              <w:rPr>
                <w:rFonts w:eastAsia="Times New Roman" w:cs="Times New Roman"/>
                <w:color w:val="000000"/>
                <w:sz w:val="20"/>
                <w:lang w:eastAsia="sk-SK"/>
              </w:rPr>
              <w:t>3</w:t>
            </w:r>
            <w:r>
              <w:rPr>
                <w:rFonts w:eastAsia="Times New Roman" w:cs="Times New Roman"/>
                <w:color w:val="000000"/>
                <w:sz w:val="20"/>
                <w:lang w:eastAsia="sk-SK"/>
              </w:rPr>
              <w:t>2,3</w:t>
            </w:r>
            <w:r w:rsidRPr="00C605B9">
              <w:rPr>
                <w:rFonts w:eastAsia="Times New Roman" w:cs="Times New Roman"/>
                <w:color w:val="000000"/>
                <w:sz w:val="20"/>
                <w:lang w:eastAsia="sk-SK"/>
              </w:rPr>
              <w:t> </w:t>
            </w:r>
          </w:p>
        </w:tc>
        <w:tc>
          <w:tcPr>
            <w:tcW w:w="9923" w:type="dxa"/>
            <w:tcBorders>
              <w:top w:val="nil"/>
              <w:left w:val="nil"/>
              <w:bottom w:val="dotted" w:sz="4" w:space="0" w:color="auto"/>
              <w:right w:val="nil"/>
            </w:tcBorders>
            <w:shd w:val="clear" w:color="000000" w:fill="FFFFFF"/>
            <w:noWrap/>
            <w:vAlign w:val="bottom"/>
            <w:hideMark/>
          </w:tcPr>
          <w:p w14:paraId="121355DB" w14:textId="2875D84A" w:rsidR="00F16AF6" w:rsidRPr="000D328F" w:rsidRDefault="00F16AF6" w:rsidP="00793156">
            <w:pPr>
              <w:spacing w:after="0" w:line="240" w:lineRule="auto"/>
              <w:rPr>
                <w:sz w:val="20"/>
              </w:rPr>
            </w:pPr>
            <w:r w:rsidRPr="000D328F">
              <w:rPr>
                <w:sz w:val="20"/>
              </w:rPr>
              <w:t>V rámci navrhovaného opatrenia by v prípade záujmu štát každoročne prispieval na 50 % z</w:t>
            </w:r>
            <w:r>
              <w:rPr>
                <w:sz w:val="20"/>
              </w:rPr>
              <w:t> tarifného platu</w:t>
            </w:r>
            <w:r w:rsidRPr="000D328F">
              <w:rPr>
                <w:sz w:val="20"/>
              </w:rPr>
              <w:t xml:space="preserve"> pedagogických asistentov (</w:t>
            </w:r>
            <w:r w:rsidR="00FC3751">
              <w:rPr>
                <w:sz w:val="20"/>
              </w:rPr>
              <w:t>5 </w:t>
            </w:r>
            <w:r>
              <w:rPr>
                <w:sz w:val="20"/>
              </w:rPr>
              <w:t>313</w:t>
            </w:r>
            <w:r w:rsidRPr="000D328F">
              <w:rPr>
                <w:sz w:val="20"/>
              </w:rPr>
              <w:t xml:space="preserve"> eur), pomocných vychovávateľov (4 845 eur) a odborných zamestnancov (7 </w:t>
            </w:r>
            <w:r>
              <w:rPr>
                <w:sz w:val="20"/>
              </w:rPr>
              <w:t>070</w:t>
            </w:r>
            <w:r w:rsidRPr="000D328F">
              <w:rPr>
                <w:sz w:val="20"/>
              </w:rPr>
              <w:t xml:space="preserve"> eur) zriaďovateľom MŠ.</w:t>
            </w:r>
          </w:p>
          <w:p w14:paraId="0AD16211" w14:textId="77777777" w:rsidR="00F16AF6" w:rsidRPr="00C605B9" w:rsidRDefault="00F16AF6" w:rsidP="00793156">
            <w:pPr>
              <w:spacing w:after="0" w:line="240" w:lineRule="auto"/>
              <w:rPr>
                <w:sz w:val="20"/>
              </w:rPr>
            </w:pPr>
            <w:r w:rsidRPr="00C605B9">
              <w:rPr>
                <w:sz w:val="20"/>
              </w:rPr>
              <w:t>Asistenti pre žiakov zo sociálne znevýhodneného prostredia</w:t>
            </w:r>
            <w:r>
              <w:rPr>
                <w:sz w:val="20"/>
              </w:rPr>
              <w:t xml:space="preserve"> (SZP)</w:t>
            </w:r>
            <w:r w:rsidRPr="00C605B9">
              <w:rPr>
                <w:sz w:val="20"/>
              </w:rPr>
              <w:t xml:space="preserve">/pomocní vychovávatelia: ak má MŠ 5 až 10 detí zo SZP (192 MŠ) má bez ohľadu na počet tried nárok na jeden </w:t>
            </w:r>
            <w:r w:rsidRPr="00FD5DB7">
              <w:rPr>
                <w:sz w:val="20"/>
              </w:rPr>
              <w:t xml:space="preserve">úväzok PA/PV a ak má viac ako 10 detí zo SZP (67 MŠ) v dvoch a viacerých triedach, má nárok na dva úväzky PA/PV. Ak by si nárok uplatnili všetky MŠ, išlo by spolu o 326 úväzkov PA/PV spolu v sume 1 579 435 eur (dolná hranica na základe osobných nákladov na pomocných vychovávateľov) až </w:t>
            </w:r>
            <w:r>
              <w:rPr>
                <w:sz w:val="20"/>
              </w:rPr>
              <w:t>1 814 477</w:t>
            </w:r>
            <w:r w:rsidRPr="00FD5DB7">
              <w:rPr>
                <w:sz w:val="20"/>
              </w:rPr>
              <w:t xml:space="preserve"> eur (horná hranica na základe</w:t>
            </w:r>
            <w:r w:rsidRPr="00C605B9">
              <w:rPr>
                <w:sz w:val="20"/>
              </w:rPr>
              <w:t xml:space="preserve"> osobných nákladov na pedagogických asistentov).</w:t>
            </w:r>
          </w:p>
          <w:p w14:paraId="1DABDFCC" w14:textId="77777777" w:rsidR="00F16AF6" w:rsidRPr="00C605B9" w:rsidRDefault="00F16AF6" w:rsidP="00793156">
            <w:pPr>
              <w:spacing w:after="0" w:line="240" w:lineRule="auto"/>
              <w:rPr>
                <w:sz w:val="20"/>
              </w:rPr>
            </w:pPr>
            <w:r w:rsidRPr="00C605B9">
              <w:rPr>
                <w:sz w:val="20"/>
              </w:rPr>
              <w:t>Asistenti pre žiakov so zdravotným znevýhodnením</w:t>
            </w:r>
            <w:r>
              <w:rPr>
                <w:sz w:val="20"/>
              </w:rPr>
              <w:t xml:space="preserve"> (ZZ)</w:t>
            </w:r>
            <w:r w:rsidRPr="00C605B9">
              <w:rPr>
                <w:sz w:val="20"/>
              </w:rPr>
              <w:t xml:space="preserve">/pomocní vychovávatelia: ak má MŠ 1 alebo viac detí so ZZ v jednej triede, počíta sa s nárokom na jedného úväzok PA (225 MŠ) a ak má MŠ 2 a viac detí so ZZ v dvoch a viacerých triedach počíta sa s nárokom na úväzok dvoch PA (446 MŠ). Ak by si nárok uplatnili všetky MŠ, išlo by spolu o 1 117 úväzkov PA/PV spolu v sume 5 411 744 eur (dolná hranica) až </w:t>
            </w:r>
            <w:r>
              <w:rPr>
                <w:sz w:val="20"/>
              </w:rPr>
              <w:t>5 888 168</w:t>
            </w:r>
            <w:r w:rsidRPr="00C605B9">
              <w:rPr>
                <w:sz w:val="20"/>
              </w:rPr>
              <w:t xml:space="preserve"> eur (</w:t>
            </w:r>
            <w:bookmarkStart w:id="1965" w:name="_Hlk21611481"/>
            <w:r w:rsidRPr="00C605B9">
              <w:rPr>
                <w:sz w:val="20"/>
              </w:rPr>
              <w:t>horná hranica</w:t>
            </w:r>
            <w:bookmarkEnd w:id="1965"/>
            <w:r>
              <w:rPr>
                <w:sz w:val="20"/>
              </w:rPr>
              <w:t>).</w:t>
            </w:r>
          </w:p>
          <w:p w14:paraId="65B562BC" w14:textId="6823F04E" w:rsidR="00F16AF6" w:rsidRPr="00C605B9" w:rsidRDefault="00F16AF6" w:rsidP="00793156">
            <w:pPr>
              <w:spacing w:after="0" w:line="240" w:lineRule="auto"/>
            </w:pPr>
            <w:r w:rsidRPr="00C605B9">
              <w:rPr>
                <w:sz w:val="20"/>
              </w:rPr>
              <w:t>Odborní zamestnanci: Ak má MŠ menej ako dve triedy (1 159 MŠ), má nárok na polovicu úväzku odborného zamestnanca, ak má MŠ dve až štyri triedy (1 076 MŠ), má nárok na jeden úväzok odborného zamestnanca a ak má viac ako štyri triedy (766 MŠ), má nárok na</w:t>
            </w:r>
            <w:r w:rsidR="00FC3751">
              <w:rPr>
                <w:sz w:val="20"/>
              </w:rPr>
              <w:t> </w:t>
            </w:r>
            <w:r w:rsidRPr="00C605B9">
              <w:rPr>
                <w:sz w:val="20"/>
              </w:rPr>
              <w:t xml:space="preserve">dva úväzky odborných zamestnancov Ak by si nárok uplatnili všetky MŠ, išlo by spolu o 3 188 úväzkov odborných zamestnancov spolu v sume </w:t>
            </w:r>
            <w:r>
              <w:rPr>
                <w:sz w:val="20"/>
              </w:rPr>
              <w:t>22 534 102</w:t>
            </w:r>
            <w:r w:rsidRPr="00C605B9">
              <w:rPr>
                <w:sz w:val="20"/>
              </w:rPr>
              <w:t xml:space="preserve"> eur.</w:t>
            </w:r>
          </w:p>
        </w:tc>
      </w:tr>
      <w:tr w:rsidR="00F16AF6" w:rsidRPr="000B09C5" w14:paraId="6397FF18" w14:textId="77777777" w:rsidTr="00793156">
        <w:trPr>
          <w:trHeight w:val="510"/>
        </w:trPr>
        <w:tc>
          <w:tcPr>
            <w:tcW w:w="567" w:type="dxa"/>
            <w:tcBorders>
              <w:top w:val="nil"/>
              <w:left w:val="nil"/>
              <w:bottom w:val="dotted" w:sz="4" w:space="0" w:color="auto"/>
              <w:right w:val="nil"/>
            </w:tcBorders>
            <w:shd w:val="clear" w:color="000000" w:fill="FFFFFF"/>
            <w:vAlign w:val="bottom"/>
          </w:tcPr>
          <w:p w14:paraId="73A9A47C" w14:textId="77777777" w:rsidR="00F16AF6" w:rsidRPr="00CA2564" w:rsidRDefault="00F16AF6" w:rsidP="00793156">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4.2</w:t>
            </w:r>
          </w:p>
        </w:tc>
        <w:tc>
          <w:tcPr>
            <w:tcW w:w="2694" w:type="dxa"/>
            <w:tcBorders>
              <w:top w:val="nil"/>
              <w:left w:val="nil"/>
              <w:bottom w:val="dotted" w:sz="4" w:space="0" w:color="auto"/>
              <w:right w:val="nil"/>
            </w:tcBorders>
            <w:shd w:val="clear" w:color="000000" w:fill="FFFFFF"/>
            <w:vAlign w:val="bottom"/>
          </w:tcPr>
          <w:p w14:paraId="4E182D72" w14:textId="77777777" w:rsidR="00F16AF6" w:rsidRPr="007F4230" w:rsidRDefault="00F16AF6" w:rsidP="00793156">
            <w:pPr>
              <w:spacing w:after="0" w:line="240" w:lineRule="auto"/>
              <w:jc w:val="left"/>
              <w:rPr>
                <w:rFonts w:eastAsia="Times New Roman" w:cs="Times New Roman"/>
                <w:color w:val="000000"/>
                <w:sz w:val="20"/>
                <w:lang w:eastAsia="sk-SK"/>
              </w:rPr>
            </w:pPr>
            <w:r w:rsidRPr="007F4230">
              <w:rPr>
                <w:sz w:val="20"/>
              </w:rPr>
              <w:t xml:space="preserve">Poskytovanie plného financovania na rómsky a maďarsky hovoriacich </w:t>
            </w:r>
            <w:r w:rsidRPr="007F4230">
              <w:rPr>
                <w:rFonts w:eastAsia="Times New Roman" w:cs="Times New Roman"/>
                <w:color w:val="000000"/>
                <w:sz w:val="20"/>
                <w:lang w:eastAsia="sk-SK"/>
              </w:rPr>
              <w:t>pedagogických asistentov/pomocných vychovávateľov</w:t>
            </w:r>
          </w:p>
        </w:tc>
        <w:tc>
          <w:tcPr>
            <w:tcW w:w="850" w:type="dxa"/>
            <w:tcBorders>
              <w:top w:val="nil"/>
              <w:left w:val="nil"/>
              <w:bottom w:val="dotted" w:sz="4" w:space="0" w:color="auto"/>
              <w:right w:val="nil"/>
            </w:tcBorders>
            <w:shd w:val="clear" w:color="000000" w:fill="FFFFFF"/>
            <w:noWrap/>
            <w:vAlign w:val="bottom"/>
          </w:tcPr>
          <w:p w14:paraId="109446C2" w14:textId="77777777" w:rsidR="00F16AF6" w:rsidRPr="000B09C5" w:rsidRDefault="00F16AF6" w:rsidP="00793156">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7,6</w:t>
            </w:r>
          </w:p>
        </w:tc>
        <w:tc>
          <w:tcPr>
            <w:tcW w:w="9923" w:type="dxa"/>
            <w:tcBorders>
              <w:top w:val="nil"/>
              <w:left w:val="nil"/>
              <w:bottom w:val="dotted" w:sz="4" w:space="0" w:color="auto"/>
              <w:right w:val="nil"/>
            </w:tcBorders>
            <w:shd w:val="clear" w:color="000000" w:fill="FFFFFF"/>
            <w:noWrap/>
            <w:vAlign w:val="bottom"/>
          </w:tcPr>
          <w:p w14:paraId="236B39E0" w14:textId="77777777" w:rsidR="00F16AF6" w:rsidRPr="00F766AD" w:rsidRDefault="00F16AF6" w:rsidP="00793156">
            <w:pPr>
              <w:spacing w:after="0" w:line="240" w:lineRule="auto"/>
              <w:rPr>
                <w:rFonts w:asciiTheme="minorHAnsi" w:hAnsiTheme="minorHAnsi"/>
                <w:color w:val="1F497D"/>
              </w:rPr>
            </w:pPr>
            <w:r>
              <w:rPr>
                <w:rFonts w:eastAsia="Times New Roman"/>
                <w:sz w:val="20"/>
                <w:lang w:eastAsia="sk-SK"/>
              </w:rPr>
              <w:t>Výpočet je robený na obciach, v ktorých v Atlase rómskych komunít z roku 2019 bola ako hlavný jazyk rómskej populácie uvedená rómčina alebo maďarčina. Výpočet predpokladá, že počet financovaných asistentov v obci je určený ako nižšia hodnota z nasledovných: (1) počet MŠ v obci, alebo (2) (počet detí z MRK vo veku 3 až 5 rokov)/5, a zaokrúhlené nadol. Celkový počet nárokov na financovanie asistenta tak činí 567. Podľa štandardnej stupnice jednotkových nákladov pedagogických asistentov v rámci Národného projektu Škola otvorená všetkým predstavuje cena práce jedného asistenta 1 115 eur mesačne. Reálne výdavky budú závisieť od počtu zriaďovateľov, ktorí uplatnia svoj nárok ako aj od ponuky vhodných kandidátov na trhu práce. Výpočet predpokladá, že eventuálne sa zapoja všetci zriaďovatelia, ktorí majú nárok.</w:t>
            </w:r>
          </w:p>
        </w:tc>
      </w:tr>
      <w:tr w:rsidR="00F16AF6" w:rsidRPr="000B09C5" w14:paraId="24ACA747" w14:textId="77777777" w:rsidTr="00793156">
        <w:trPr>
          <w:trHeight w:val="510"/>
        </w:trPr>
        <w:tc>
          <w:tcPr>
            <w:tcW w:w="567" w:type="dxa"/>
            <w:tcBorders>
              <w:top w:val="nil"/>
              <w:left w:val="nil"/>
              <w:bottom w:val="dotted" w:sz="4" w:space="0" w:color="auto"/>
              <w:right w:val="nil"/>
            </w:tcBorders>
            <w:shd w:val="clear" w:color="000000" w:fill="FFFFFF"/>
            <w:vAlign w:val="bottom"/>
          </w:tcPr>
          <w:p w14:paraId="592228D0" w14:textId="77777777" w:rsidR="00F16AF6" w:rsidRPr="00CA2564" w:rsidRDefault="00F16AF6" w:rsidP="00793156">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4.3</w:t>
            </w:r>
          </w:p>
        </w:tc>
        <w:tc>
          <w:tcPr>
            <w:tcW w:w="2694" w:type="dxa"/>
            <w:tcBorders>
              <w:top w:val="nil"/>
              <w:left w:val="nil"/>
              <w:bottom w:val="dotted" w:sz="4" w:space="0" w:color="auto"/>
              <w:right w:val="nil"/>
            </w:tcBorders>
            <w:shd w:val="clear" w:color="000000" w:fill="FFFFFF"/>
            <w:vAlign w:val="bottom"/>
          </w:tcPr>
          <w:p w14:paraId="0E849F63" w14:textId="77777777" w:rsidR="00F16AF6" w:rsidRPr="007F4230" w:rsidRDefault="00F16AF6" w:rsidP="00793156">
            <w:pPr>
              <w:spacing w:after="0" w:line="240" w:lineRule="auto"/>
              <w:jc w:val="left"/>
              <w:rPr>
                <w:rFonts w:eastAsia="Times New Roman" w:cs="Times New Roman"/>
                <w:color w:val="000000"/>
                <w:sz w:val="20"/>
                <w:lang w:eastAsia="sk-SK"/>
              </w:rPr>
            </w:pPr>
            <w:r w:rsidRPr="007F4230">
              <w:rPr>
                <w:sz w:val="20"/>
              </w:rPr>
              <w:t xml:space="preserve">Uskutočnenie pilotnej štipendijnej schémy pre </w:t>
            </w:r>
            <w:r w:rsidRPr="007F4230">
              <w:rPr>
                <w:rFonts w:eastAsia="Times New Roman" w:cs="Times New Roman"/>
                <w:color w:val="000000"/>
                <w:sz w:val="20"/>
                <w:lang w:eastAsia="sk-SK"/>
              </w:rPr>
              <w:t>mladých ľudí so znalosťou rómskeho jazyka na dokončenie si potrebného vzdelania pre prácu pedagogického asistenta, pomocného vychovávateľa alebo učiteľa v materskej škole</w:t>
            </w:r>
          </w:p>
        </w:tc>
        <w:tc>
          <w:tcPr>
            <w:tcW w:w="850" w:type="dxa"/>
            <w:tcBorders>
              <w:top w:val="nil"/>
              <w:left w:val="nil"/>
              <w:bottom w:val="dotted" w:sz="4" w:space="0" w:color="auto"/>
              <w:right w:val="nil"/>
            </w:tcBorders>
            <w:shd w:val="clear" w:color="000000" w:fill="FFFFFF"/>
            <w:noWrap/>
            <w:vAlign w:val="bottom"/>
          </w:tcPr>
          <w:p w14:paraId="10E35B0E" w14:textId="77777777" w:rsidR="00F16AF6" w:rsidRPr="000B09C5" w:rsidRDefault="00F16AF6" w:rsidP="00793156">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0,7</w:t>
            </w:r>
          </w:p>
        </w:tc>
        <w:tc>
          <w:tcPr>
            <w:tcW w:w="9923" w:type="dxa"/>
            <w:tcBorders>
              <w:top w:val="nil"/>
              <w:left w:val="nil"/>
              <w:bottom w:val="dotted" w:sz="4" w:space="0" w:color="auto"/>
              <w:right w:val="nil"/>
            </w:tcBorders>
            <w:shd w:val="clear" w:color="000000" w:fill="FFFFFF"/>
            <w:noWrap/>
            <w:vAlign w:val="bottom"/>
          </w:tcPr>
          <w:p w14:paraId="7D28E380" w14:textId="77777777" w:rsidR="00F16AF6" w:rsidRPr="00F41160" w:rsidRDefault="00F16AF6" w:rsidP="00FC3751">
            <w:pPr>
              <w:spacing w:after="0" w:line="240" w:lineRule="auto"/>
              <w:rPr>
                <w:rFonts w:eastAsia="Times New Roman" w:cs="Times New Roman"/>
                <w:color w:val="000000"/>
                <w:sz w:val="20"/>
                <w:lang w:eastAsia="sk-SK"/>
              </w:rPr>
            </w:pPr>
            <w:r>
              <w:rPr>
                <w:rFonts w:eastAsia="Times New Roman" w:cs="Times New Roman"/>
                <w:color w:val="000000"/>
                <w:sz w:val="20"/>
                <w:lang w:eastAsia="sk-SK"/>
              </w:rPr>
              <w:t>Pilot predpokladá ročne podporených 5 učiteľov, 5 asistentov a 5 pomocných vychovávateľov na každý z troch krajov (BB, PO a KE). Doba štúdia je 1 rok pre pomocných vychovávateľov, a 5 rokov pre učiteľov a asistentov. Výška štipendia je stanovená na úroveň čistej minimálnej mzdy v roku 2019 (430,35 eur) po dobu 10 mesiacov školského roka.</w:t>
            </w:r>
          </w:p>
        </w:tc>
      </w:tr>
      <w:tr w:rsidR="00F16AF6" w:rsidRPr="000B09C5" w14:paraId="5F9D09AE" w14:textId="77777777" w:rsidTr="00793156">
        <w:trPr>
          <w:trHeight w:val="510"/>
        </w:trPr>
        <w:tc>
          <w:tcPr>
            <w:tcW w:w="567" w:type="dxa"/>
            <w:tcBorders>
              <w:top w:val="nil"/>
              <w:left w:val="nil"/>
              <w:bottom w:val="dotted" w:sz="4" w:space="0" w:color="auto"/>
              <w:right w:val="nil"/>
            </w:tcBorders>
            <w:shd w:val="clear" w:color="000000" w:fill="FFFFFF"/>
            <w:vAlign w:val="bottom"/>
          </w:tcPr>
          <w:p w14:paraId="0E9A195A" w14:textId="77777777" w:rsidR="00F16AF6" w:rsidRDefault="00F16AF6" w:rsidP="00793156">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5</w:t>
            </w:r>
          </w:p>
        </w:tc>
        <w:tc>
          <w:tcPr>
            <w:tcW w:w="2694" w:type="dxa"/>
            <w:tcBorders>
              <w:top w:val="nil"/>
              <w:left w:val="nil"/>
              <w:bottom w:val="dotted" w:sz="4" w:space="0" w:color="auto"/>
              <w:right w:val="nil"/>
            </w:tcBorders>
            <w:shd w:val="clear" w:color="000000" w:fill="FFFFFF"/>
            <w:vAlign w:val="bottom"/>
          </w:tcPr>
          <w:p w14:paraId="48CB3AE8" w14:textId="77777777" w:rsidR="00F16AF6" w:rsidRPr="007F4230" w:rsidRDefault="00F16AF6" w:rsidP="00793156">
            <w:pPr>
              <w:spacing w:after="0" w:line="240" w:lineRule="auto"/>
              <w:jc w:val="left"/>
              <w:rPr>
                <w:rFonts w:eastAsia="Times New Roman" w:cs="Times New Roman"/>
                <w:color w:val="000000"/>
                <w:sz w:val="20"/>
                <w:lang w:eastAsia="sk-SK"/>
              </w:rPr>
            </w:pPr>
            <w:r w:rsidRPr="007F4230">
              <w:rPr>
                <w:rFonts w:eastAsia="Times New Roman" w:cs="Times New Roman"/>
                <w:color w:val="000000"/>
                <w:sz w:val="20"/>
                <w:lang w:eastAsia="sk-SK"/>
              </w:rPr>
              <w:t>Posilniť ponuku vzdelávania pedagogických a odborných zamestnancov v materských školách pre prácu s deťmi zo sociálne znevýhodneného prostredia a so zdravotným znevýhodnením</w:t>
            </w:r>
          </w:p>
        </w:tc>
        <w:tc>
          <w:tcPr>
            <w:tcW w:w="850" w:type="dxa"/>
            <w:tcBorders>
              <w:top w:val="nil"/>
              <w:left w:val="nil"/>
              <w:bottom w:val="dotted" w:sz="4" w:space="0" w:color="auto"/>
              <w:right w:val="nil"/>
            </w:tcBorders>
            <w:shd w:val="clear" w:color="000000" w:fill="FFFFFF"/>
            <w:noWrap/>
            <w:vAlign w:val="bottom"/>
          </w:tcPr>
          <w:p w14:paraId="379FAC60" w14:textId="77777777" w:rsidR="00F16AF6" w:rsidRPr="00233D34" w:rsidRDefault="00F16AF6" w:rsidP="00793156">
            <w:pPr>
              <w:spacing w:after="0" w:line="240" w:lineRule="auto"/>
              <w:jc w:val="right"/>
              <w:rPr>
                <w:rFonts w:eastAsia="Times New Roman" w:cs="Times New Roman"/>
                <w:sz w:val="20"/>
                <w:lang w:eastAsia="sk-SK"/>
              </w:rPr>
            </w:pPr>
            <w:r>
              <w:rPr>
                <w:rFonts w:eastAsia="Times New Roman" w:cs="Times New Roman"/>
                <w:sz w:val="20"/>
                <w:lang w:eastAsia="sk-SK"/>
              </w:rPr>
              <w:t>2,1</w:t>
            </w:r>
          </w:p>
        </w:tc>
        <w:tc>
          <w:tcPr>
            <w:tcW w:w="9923" w:type="dxa"/>
            <w:tcBorders>
              <w:top w:val="nil"/>
              <w:left w:val="nil"/>
              <w:bottom w:val="dotted" w:sz="4" w:space="0" w:color="auto"/>
              <w:right w:val="nil"/>
            </w:tcBorders>
            <w:shd w:val="clear" w:color="000000" w:fill="FFFFFF"/>
            <w:noWrap/>
            <w:vAlign w:val="bottom"/>
          </w:tcPr>
          <w:p w14:paraId="03A4AD67" w14:textId="57ED6447" w:rsidR="00F16AF6" w:rsidRPr="00233D34" w:rsidRDefault="00F16AF6" w:rsidP="00FC3751">
            <w:pPr>
              <w:spacing w:after="0" w:line="240" w:lineRule="auto"/>
              <w:rPr>
                <w:rFonts w:eastAsia="Times New Roman" w:cs="Times New Roman"/>
                <w:sz w:val="20"/>
                <w:lang w:eastAsia="sk-SK"/>
              </w:rPr>
            </w:pPr>
            <w:r w:rsidRPr="00233D34">
              <w:rPr>
                <w:sz w:val="20"/>
              </w:rPr>
              <w:t xml:space="preserve">Počíta sa dĺžkou tvorby kurzu jeden rok pri nákladoch 20 eur/hodinu tvorcov a lektorov kurzov (v súlade s výškou odmien v realizovaných národných projektoch). Cieľová skupina </w:t>
            </w:r>
            <w:r>
              <w:rPr>
                <w:sz w:val="20"/>
              </w:rPr>
              <w:t>11 099</w:t>
            </w:r>
            <w:r w:rsidRPr="00233D34">
              <w:rPr>
                <w:sz w:val="20"/>
              </w:rPr>
              <w:t xml:space="preserve"> učiteľov bola identifikovaná zo všetkých učiteľov MŠ na základe podielu učiteľov (</w:t>
            </w:r>
            <w:r>
              <w:rPr>
                <w:sz w:val="20"/>
              </w:rPr>
              <w:t>6</w:t>
            </w:r>
            <w:r w:rsidRPr="00233D34">
              <w:rPr>
                <w:sz w:val="20"/>
              </w:rPr>
              <w:t>6 %), ktorí identifikovali</w:t>
            </w:r>
            <w:r w:rsidR="0070047D">
              <w:rPr>
                <w:sz w:val="20"/>
              </w:rPr>
              <w:t xml:space="preserve"> </w:t>
            </w:r>
            <w:r w:rsidRPr="00233D34">
              <w:rPr>
                <w:sz w:val="20"/>
              </w:rPr>
              <w:t xml:space="preserve">potrebu ďalšieho vzdelávania </w:t>
            </w:r>
            <w:r>
              <w:rPr>
                <w:sz w:val="20"/>
              </w:rPr>
              <w:t xml:space="preserve">v oblasti vzdelávania </w:t>
            </w:r>
            <w:r w:rsidRPr="00233D34">
              <w:rPr>
                <w:sz w:val="20"/>
              </w:rPr>
              <w:t>žiakov</w:t>
            </w:r>
            <w:r>
              <w:rPr>
                <w:sz w:val="20"/>
              </w:rPr>
              <w:t xml:space="preserve"> so</w:t>
            </w:r>
            <w:r w:rsidRPr="00233D34">
              <w:rPr>
                <w:sz w:val="20"/>
              </w:rPr>
              <w:t xml:space="preserve"> </w:t>
            </w:r>
            <w:r>
              <w:rPr>
                <w:sz w:val="20"/>
              </w:rPr>
              <w:t>špeciálnymi potrebami</w:t>
            </w:r>
            <w:r w:rsidRPr="00233D34">
              <w:rPr>
                <w:sz w:val="20"/>
              </w:rPr>
              <w:t xml:space="preserve"> (T</w:t>
            </w:r>
            <w:r>
              <w:rPr>
                <w:sz w:val="20"/>
              </w:rPr>
              <w:t>o dá rozum,</w:t>
            </w:r>
            <w:r w:rsidRPr="00233D34">
              <w:rPr>
                <w:sz w:val="20"/>
              </w:rPr>
              <w:t xml:space="preserve"> 2019). Učitelia budú vzdelávaní v skupinách po 10 v rozsahu 50 hodín ročne podľa štandardnej dĺžky trvaniu obdobných kurzov. Celkové náklady predstavujú sumu </w:t>
            </w:r>
            <w:r>
              <w:rPr>
                <w:sz w:val="20"/>
              </w:rPr>
              <w:t xml:space="preserve">460 </w:t>
            </w:r>
            <w:r w:rsidRPr="00233D34">
              <w:rPr>
                <w:sz w:val="20"/>
              </w:rPr>
              <w:t>tisíc eur prv</w:t>
            </w:r>
            <w:r>
              <w:rPr>
                <w:sz w:val="20"/>
              </w:rPr>
              <w:t>ý rok na tvorbu kurzov a 1,6 milióna</w:t>
            </w:r>
            <w:r w:rsidRPr="00233D34">
              <w:rPr>
                <w:sz w:val="20"/>
              </w:rPr>
              <w:t xml:space="preserve"> eur ročne v ďalších šiestich rokoch na vzdelávanie učiteľov. Predpokladá sa, že jeden učiteľ absolvuje jeden program za jeden rok.</w:t>
            </w:r>
          </w:p>
        </w:tc>
      </w:tr>
      <w:tr w:rsidR="00F16AF6" w:rsidRPr="000B09C5" w14:paraId="0ED36ACC" w14:textId="77777777" w:rsidTr="00793156">
        <w:trPr>
          <w:trHeight w:val="510"/>
        </w:trPr>
        <w:tc>
          <w:tcPr>
            <w:tcW w:w="567" w:type="dxa"/>
            <w:tcBorders>
              <w:top w:val="nil"/>
              <w:left w:val="nil"/>
              <w:bottom w:val="dotted" w:sz="4" w:space="0" w:color="auto"/>
              <w:right w:val="nil"/>
            </w:tcBorders>
            <w:shd w:val="clear" w:color="000000" w:fill="FFFFFF"/>
            <w:vAlign w:val="bottom"/>
          </w:tcPr>
          <w:p w14:paraId="26893A12" w14:textId="77777777" w:rsidR="00F16AF6" w:rsidRDefault="00F16AF6" w:rsidP="00793156">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6.1</w:t>
            </w:r>
          </w:p>
        </w:tc>
        <w:tc>
          <w:tcPr>
            <w:tcW w:w="2694" w:type="dxa"/>
            <w:tcBorders>
              <w:top w:val="nil"/>
              <w:left w:val="nil"/>
              <w:bottom w:val="dotted" w:sz="4" w:space="0" w:color="auto"/>
              <w:right w:val="nil"/>
            </w:tcBorders>
            <w:shd w:val="clear" w:color="000000" w:fill="FFFFFF"/>
            <w:vAlign w:val="bottom"/>
          </w:tcPr>
          <w:p w14:paraId="7985808E" w14:textId="77777777" w:rsidR="00F16AF6" w:rsidRPr="007F4230" w:rsidRDefault="00F16AF6" w:rsidP="00793156">
            <w:pPr>
              <w:spacing w:after="0" w:line="240" w:lineRule="auto"/>
              <w:jc w:val="left"/>
              <w:rPr>
                <w:rFonts w:eastAsia="Times New Roman" w:cs="Times New Roman"/>
                <w:color w:val="000000"/>
                <w:sz w:val="20"/>
                <w:lang w:eastAsia="sk-SK"/>
              </w:rPr>
            </w:pPr>
            <w:r w:rsidRPr="007F4230">
              <w:rPr>
                <w:sz w:val="20"/>
              </w:rPr>
              <w:t>Financovanie odborných zamestnancov na bežných základných školách</w:t>
            </w:r>
          </w:p>
        </w:tc>
        <w:tc>
          <w:tcPr>
            <w:tcW w:w="850" w:type="dxa"/>
            <w:tcBorders>
              <w:top w:val="nil"/>
              <w:left w:val="nil"/>
              <w:bottom w:val="dotted" w:sz="4" w:space="0" w:color="auto"/>
              <w:right w:val="nil"/>
            </w:tcBorders>
            <w:shd w:val="clear" w:color="000000" w:fill="FFFFFF"/>
            <w:noWrap/>
            <w:vAlign w:val="bottom"/>
          </w:tcPr>
          <w:p w14:paraId="11A1B463" w14:textId="77777777" w:rsidR="00F16AF6" w:rsidRPr="00CA2564" w:rsidRDefault="00F16AF6" w:rsidP="00793156">
            <w:pPr>
              <w:spacing w:after="0"/>
              <w:jc w:val="right"/>
              <w:rPr>
                <w:rFonts w:eastAsia="Times New Roman" w:cs="Times New Roman"/>
                <w:color w:val="000000"/>
                <w:sz w:val="20"/>
                <w:lang w:eastAsia="sk-SK"/>
              </w:rPr>
            </w:pPr>
            <w:r>
              <w:rPr>
                <w:rFonts w:eastAsia="Times New Roman" w:cs="Times New Roman"/>
                <w:color w:val="000000"/>
                <w:sz w:val="20"/>
                <w:lang w:eastAsia="sk-SK"/>
              </w:rPr>
              <w:t>32,9</w:t>
            </w:r>
          </w:p>
        </w:tc>
        <w:tc>
          <w:tcPr>
            <w:tcW w:w="9923" w:type="dxa"/>
            <w:tcBorders>
              <w:top w:val="nil"/>
              <w:left w:val="nil"/>
              <w:bottom w:val="dotted" w:sz="4" w:space="0" w:color="auto"/>
              <w:right w:val="nil"/>
            </w:tcBorders>
            <w:shd w:val="clear" w:color="000000" w:fill="FFFFFF"/>
            <w:noWrap/>
            <w:vAlign w:val="bottom"/>
          </w:tcPr>
          <w:p w14:paraId="10AF08F3" w14:textId="5EF8E930" w:rsidR="00FC3751" w:rsidRDefault="00F16AF6" w:rsidP="00FC3751">
            <w:pPr>
              <w:spacing w:after="0" w:line="240" w:lineRule="auto"/>
              <w:rPr>
                <w:sz w:val="20"/>
              </w:rPr>
            </w:pPr>
            <w:r w:rsidRPr="004E028C">
              <w:rPr>
                <w:sz w:val="20"/>
              </w:rPr>
              <w:t>Výpočet predpokladá, že každá škola bez ohľadu na počet žiakov so zdravotným znevýhodnením alebo na počet žiakov zo sociálne znevýhodneného prostredia dostane nenormatívne účelovo viazané prostriedky na vyčíslený úväzok školského psychológa a ďalšieho odborného zamestnanca podľa veľkosti školy. Veľkosť úväzkov je nanormovaná v súlade s materiálom Model objektivizácie počtu odborných zamestnancov, str. 2. (</w:t>
            </w:r>
            <w:hyperlink r:id="rId266" w:history="1">
              <w:r w:rsidRPr="004E028C">
                <w:rPr>
                  <w:rStyle w:val="Hypertextovprepojenie"/>
                  <w:sz w:val="20"/>
                </w:rPr>
                <w:t>https://www.minedu.sk/data/att/11075.pdf</w:t>
              </w:r>
            </w:hyperlink>
            <w:r w:rsidRPr="004E028C">
              <w:rPr>
                <w:rStyle w:val="Hypertextovprepojenie"/>
                <w:sz w:val="20"/>
              </w:rPr>
              <w:t xml:space="preserve">). </w:t>
            </w:r>
            <w:r w:rsidRPr="004E028C">
              <w:rPr>
                <w:sz w:val="20"/>
              </w:rPr>
              <w:t>Spolu ide o 1 897 úväzkov. Výdavky predpokladajú priemernú mzdu v roku 2018 v hodnote</w:t>
            </w:r>
            <w:r>
              <w:rPr>
                <w:sz w:val="20"/>
              </w:rPr>
              <w:t xml:space="preserve"> 1 070,2 eur</w:t>
            </w:r>
            <w:r w:rsidRPr="004E028C">
              <w:rPr>
                <w:sz w:val="20"/>
              </w:rPr>
              <w:t xml:space="preserve"> na </w:t>
            </w:r>
            <w:r w:rsidR="00FC3751">
              <w:rPr>
                <w:sz w:val="20"/>
              </w:rPr>
              <w:t>mesiac na odborného zamestnanca</w:t>
            </w:r>
          </w:p>
          <w:p w14:paraId="0391E38E" w14:textId="25F7011C" w:rsidR="00F16AF6" w:rsidRPr="004E028C" w:rsidRDefault="00F16AF6" w:rsidP="00FC3751">
            <w:pPr>
              <w:spacing w:after="0" w:line="240" w:lineRule="auto"/>
              <w:rPr>
                <w:rFonts w:eastAsia="Times New Roman" w:cs="Times New Roman"/>
                <w:color w:val="000000"/>
                <w:sz w:val="20"/>
                <w:lang w:eastAsia="sk-SK"/>
              </w:rPr>
            </w:pPr>
            <w:r w:rsidRPr="004E028C">
              <w:rPr>
                <w:sz w:val="20"/>
              </w:rPr>
              <w:t>(*1,352 koeficient na osobné náklady * 12 mesiacov).</w:t>
            </w:r>
          </w:p>
        </w:tc>
      </w:tr>
      <w:tr w:rsidR="00F16AF6" w:rsidRPr="000B09C5" w14:paraId="0700F3E5" w14:textId="77777777" w:rsidTr="00793156">
        <w:trPr>
          <w:trHeight w:val="510"/>
        </w:trPr>
        <w:tc>
          <w:tcPr>
            <w:tcW w:w="567" w:type="dxa"/>
            <w:tcBorders>
              <w:top w:val="nil"/>
              <w:left w:val="nil"/>
              <w:bottom w:val="dotted" w:sz="4" w:space="0" w:color="auto"/>
              <w:right w:val="nil"/>
            </w:tcBorders>
            <w:shd w:val="clear" w:color="000000" w:fill="FFFFFF"/>
            <w:vAlign w:val="bottom"/>
            <w:hideMark/>
          </w:tcPr>
          <w:p w14:paraId="5FB4CE07" w14:textId="77777777" w:rsidR="00F16AF6" w:rsidRPr="000B09C5" w:rsidRDefault="00F16AF6" w:rsidP="00793156">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6.2</w:t>
            </w:r>
          </w:p>
        </w:tc>
        <w:tc>
          <w:tcPr>
            <w:tcW w:w="2694" w:type="dxa"/>
            <w:tcBorders>
              <w:top w:val="nil"/>
              <w:left w:val="nil"/>
              <w:bottom w:val="dotted" w:sz="4" w:space="0" w:color="auto"/>
              <w:right w:val="nil"/>
            </w:tcBorders>
            <w:shd w:val="clear" w:color="000000" w:fill="FFFFFF"/>
            <w:vAlign w:val="bottom"/>
            <w:hideMark/>
          </w:tcPr>
          <w:p w14:paraId="3650CC0B" w14:textId="77777777" w:rsidR="00F16AF6" w:rsidRPr="007F4230" w:rsidRDefault="00F16AF6" w:rsidP="00793156">
            <w:pPr>
              <w:spacing w:after="0" w:line="240" w:lineRule="auto"/>
              <w:jc w:val="left"/>
              <w:rPr>
                <w:rFonts w:eastAsia="Times New Roman" w:cs="Times New Roman"/>
                <w:color w:val="000000"/>
                <w:sz w:val="20"/>
                <w:lang w:eastAsia="sk-SK"/>
              </w:rPr>
            </w:pPr>
            <w:r w:rsidRPr="007F4230">
              <w:rPr>
                <w:sz w:val="20"/>
              </w:rPr>
              <w:t>Navýšený normatív na vzdelávanie žiakov so SZP podľa rozšírenej definície</w:t>
            </w:r>
          </w:p>
        </w:tc>
        <w:tc>
          <w:tcPr>
            <w:tcW w:w="850" w:type="dxa"/>
            <w:tcBorders>
              <w:top w:val="nil"/>
              <w:left w:val="nil"/>
              <w:bottom w:val="dotted" w:sz="4" w:space="0" w:color="auto"/>
              <w:right w:val="nil"/>
            </w:tcBorders>
            <w:shd w:val="clear" w:color="000000" w:fill="FFFFFF"/>
            <w:noWrap/>
            <w:vAlign w:val="bottom"/>
            <w:hideMark/>
          </w:tcPr>
          <w:p w14:paraId="54B0923E" w14:textId="77777777" w:rsidR="00F16AF6" w:rsidRPr="00894EBF" w:rsidRDefault="00F16AF6" w:rsidP="00793156">
            <w:pPr>
              <w:spacing w:after="0" w:line="240" w:lineRule="auto"/>
              <w:jc w:val="right"/>
              <w:rPr>
                <w:rFonts w:eastAsia="Times New Roman" w:cs="Times New Roman"/>
                <w:sz w:val="20"/>
                <w:lang w:eastAsia="sk-SK"/>
              </w:rPr>
            </w:pPr>
            <w:r>
              <w:rPr>
                <w:rFonts w:eastAsia="Times New Roman" w:cs="Times New Roman"/>
                <w:color w:val="000000"/>
                <w:sz w:val="20"/>
                <w:lang w:eastAsia="sk-SK"/>
              </w:rPr>
              <w:t>21,7</w:t>
            </w:r>
          </w:p>
        </w:tc>
        <w:tc>
          <w:tcPr>
            <w:tcW w:w="9923" w:type="dxa"/>
            <w:tcBorders>
              <w:top w:val="nil"/>
              <w:left w:val="nil"/>
              <w:bottom w:val="dotted" w:sz="4" w:space="0" w:color="auto"/>
              <w:right w:val="nil"/>
            </w:tcBorders>
            <w:shd w:val="clear" w:color="000000" w:fill="FFFFFF"/>
            <w:noWrap/>
            <w:vAlign w:val="bottom"/>
            <w:hideMark/>
          </w:tcPr>
          <w:p w14:paraId="14E742F8" w14:textId="77777777" w:rsidR="00F16AF6" w:rsidRPr="00191196" w:rsidRDefault="00F16AF6" w:rsidP="00FC3751">
            <w:pPr>
              <w:spacing w:after="0" w:line="240" w:lineRule="auto"/>
              <w:rPr>
                <w:rFonts w:eastAsia="Times New Roman" w:cs="Times New Roman"/>
                <w:sz w:val="20"/>
                <w:lang w:eastAsia="sk-SK"/>
              </w:rPr>
            </w:pPr>
            <w:r w:rsidRPr="00191196">
              <w:rPr>
                <w:sz w:val="20"/>
              </w:rPr>
              <w:t xml:space="preserve">Navýšený normatív </w:t>
            </w:r>
            <w:r>
              <w:rPr>
                <w:sz w:val="20"/>
              </w:rPr>
              <w:t>je</w:t>
            </w:r>
            <w:r w:rsidRPr="00191196">
              <w:rPr>
                <w:sz w:val="20"/>
              </w:rPr>
              <w:t xml:space="preserve"> napočítaný ako minimálna suma nevyhnutná na zaplatenie jedného úväzku pedagogického asistenta/odborného asistenta pri aspoň 50 žiakoch zo SZP. Predpokladá sa s ročnými osobnými nákladmi na pedagogického asistenta </w:t>
            </w:r>
            <w:r>
              <w:rPr>
                <w:sz w:val="20"/>
              </w:rPr>
              <w:t>vo výške 13 044 eur</w:t>
            </w:r>
            <w:r w:rsidRPr="00191196">
              <w:rPr>
                <w:sz w:val="20"/>
              </w:rPr>
              <w:t>, čo sa premietne do navýšeného normatívu o 261 eur na žiaka oproti výške normatívu na bežného žiaka a s ročnými osobnými nákladmi na odborného</w:t>
            </w:r>
            <w:r>
              <w:rPr>
                <w:sz w:val="20"/>
              </w:rPr>
              <w:t xml:space="preserve"> zamestnanca vo výške 17 363 eur</w:t>
            </w:r>
            <w:r w:rsidRPr="00191196">
              <w:rPr>
                <w:sz w:val="20"/>
              </w:rPr>
              <w:t xml:space="preserve">, čo sa premietne do navýšeného normatívu o 347 eur na žiaka oproti výške normatívu na bežného žiaka. </w:t>
            </w:r>
            <w:r>
              <w:rPr>
                <w:sz w:val="20"/>
              </w:rPr>
              <w:t xml:space="preserve">Predpokladaný normatív je vypočítaný ako priemer týchto dvoch hodnôt (304 eur). </w:t>
            </w:r>
            <w:r w:rsidRPr="00191196">
              <w:rPr>
                <w:sz w:val="20"/>
              </w:rPr>
              <w:t>V súlade s </w:t>
            </w:r>
            <w:r>
              <w:rPr>
                <w:sz w:val="20"/>
              </w:rPr>
              <w:t>rozšírenou</w:t>
            </w:r>
            <w:r w:rsidRPr="00191196">
              <w:rPr>
                <w:sz w:val="20"/>
              </w:rPr>
              <w:t xml:space="preserve"> definíciou by počet žiakov zo SZP mohol stúpnuť na 71 344 žiakov</w:t>
            </w:r>
            <w:r>
              <w:rPr>
                <w:sz w:val="20"/>
              </w:rPr>
              <w:t>.</w:t>
            </w:r>
            <w:r>
              <w:rPr>
                <w:rStyle w:val="Odkaznapoznmkupodiarou"/>
                <w:sz w:val="20"/>
              </w:rPr>
              <w:footnoteReference w:id="550"/>
            </w:r>
            <w:r>
              <w:rPr>
                <w:sz w:val="20"/>
              </w:rPr>
              <w:t xml:space="preserve"> </w:t>
            </w:r>
          </w:p>
        </w:tc>
      </w:tr>
      <w:tr w:rsidR="00F16AF6" w:rsidRPr="000B09C5" w14:paraId="75B3498B" w14:textId="77777777" w:rsidTr="00793156">
        <w:trPr>
          <w:trHeight w:val="510"/>
        </w:trPr>
        <w:tc>
          <w:tcPr>
            <w:tcW w:w="567" w:type="dxa"/>
            <w:tcBorders>
              <w:top w:val="nil"/>
              <w:left w:val="nil"/>
              <w:bottom w:val="dotted" w:sz="4" w:space="0" w:color="auto"/>
              <w:right w:val="nil"/>
            </w:tcBorders>
            <w:shd w:val="clear" w:color="000000" w:fill="FFFFFF"/>
            <w:vAlign w:val="bottom"/>
          </w:tcPr>
          <w:p w14:paraId="4A995CD3" w14:textId="77777777" w:rsidR="00F16AF6" w:rsidRDefault="00F16AF6" w:rsidP="00793156">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6.3</w:t>
            </w:r>
          </w:p>
        </w:tc>
        <w:tc>
          <w:tcPr>
            <w:tcW w:w="2694" w:type="dxa"/>
            <w:tcBorders>
              <w:top w:val="nil"/>
              <w:left w:val="nil"/>
              <w:bottom w:val="dotted" w:sz="4" w:space="0" w:color="auto"/>
              <w:right w:val="nil"/>
            </w:tcBorders>
            <w:shd w:val="clear" w:color="000000" w:fill="FFFFFF"/>
            <w:vAlign w:val="bottom"/>
          </w:tcPr>
          <w:p w14:paraId="788AF32D" w14:textId="77777777" w:rsidR="00F16AF6" w:rsidRPr="007F4230" w:rsidRDefault="00F16AF6" w:rsidP="00793156">
            <w:pPr>
              <w:spacing w:after="0" w:line="240" w:lineRule="auto"/>
              <w:jc w:val="left"/>
              <w:rPr>
                <w:rFonts w:eastAsia="Times New Roman" w:cs="Times New Roman"/>
                <w:color w:val="000000"/>
                <w:sz w:val="20"/>
                <w:lang w:eastAsia="sk-SK"/>
              </w:rPr>
            </w:pPr>
            <w:r w:rsidRPr="007F4230">
              <w:rPr>
                <w:bCs/>
                <w:sz w:val="20"/>
              </w:rPr>
              <w:t>Umožnenie bežným školám so školským klubom detí (ŠKD), ktoré navštevujú deti so ZZ, žiadať v rámci predkladania žiadostí na osobné náklady na úväzky pedagogických asistentov o extra úväzky na pedagogických asistentov/pomocných vychovávateľov pre ŠKD</w:t>
            </w:r>
          </w:p>
        </w:tc>
        <w:tc>
          <w:tcPr>
            <w:tcW w:w="850" w:type="dxa"/>
            <w:tcBorders>
              <w:top w:val="nil"/>
              <w:left w:val="nil"/>
              <w:bottom w:val="dotted" w:sz="4" w:space="0" w:color="auto"/>
              <w:right w:val="nil"/>
            </w:tcBorders>
            <w:shd w:val="clear" w:color="000000" w:fill="FFFFFF"/>
            <w:noWrap/>
            <w:vAlign w:val="bottom"/>
          </w:tcPr>
          <w:p w14:paraId="059FEE1A" w14:textId="77777777" w:rsidR="00F16AF6" w:rsidRPr="00BD6232" w:rsidRDefault="00F16AF6" w:rsidP="00793156">
            <w:pPr>
              <w:spacing w:after="0"/>
              <w:jc w:val="right"/>
              <w:rPr>
                <w:rFonts w:eastAsia="Times New Roman" w:cs="Times New Roman"/>
                <w:color w:val="000000"/>
                <w:sz w:val="20"/>
                <w:lang w:eastAsia="sk-SK"/>
              </w:rPr>
            </w:pPr>
            <w:r w:rsidRPr="00BD6232">
              <w:rPr>
                <w:rFonts w:eastAsia="Times New Roman" w:cs="Times New Roman"/>
                <w:color w:val="000000"/>
                <w:sz w:val="20"/>
                <w:lang w:eastAsia="sk-SK"/>
              </w:rPr>
              <w:t>9,7</w:t>
            </w:r>
          </w:p>
        </w:tc>
        <w:tc>
          <w:tcPr>
            <w:tcW w:w="9923" w:type="dxa"/>
            <w:tcBorders>
              <w:top w:val="nil"/>
              <w:left w:val="nil"/>
              <w:bottom w:val="dotted" w:sz="4" w:space="0" w:color="auto"/>
              <w:right w:val="nil"/>
            </w:tcBorders>
            <w:shd w:val="clear" w:color="000000" w:fill="FFFFFF"/>
            <w:noWrap/>
            <w:vAlign w:val="bottom"/>
          </w:tcPr>
          <w:p w14:paraId="637E0C86" w14:textId="77777777" w:rsidR="00F16AF6" w:rsidRPr="00BD6232" w:rsidRDefault="00F16AF6" w:rsidP="00793156">
            <w:pPr>
              <w:spacing w:after="0" w:line="240" w:lineRule="auto"/>
              <w:rPr>
                <w:sz w:val="20"/>
              </w:rPr>
            </w:pPr>
            <w:r w:rsidRPr="00BD6232">
              <w:rPr>
                <w:bCs/>
                <w:sz w:val="20"/>
              </w:rPr>
              <w:t>Predpokladá sa, že z 2 621 úväzkov pedagogických asistentov zafinancovaných z nenormatívnych finančných prostriedkov približne polovica pôsobí na prvom stupni, a že ŠKD využíva približne 69 % žiakov prvého stupňa základných škôl a 97 % žiakov prvého stupňa špeciálnych základných škôl. Za predpokladu, že by žiaci so ZZ vykazovali rovnaký záujem o návštevu ŠKD ako celková populácia by školy mohli dostať pridelených maximálne 887 úväzkov na pedagogických asistentov/pomocných vychovávateľov pre ŠKD. Spolu ide o výdavky v hodnote</w:t>
            </w:r>
            <w:r w:rsidRPr="00BD6232">
              <w:rPr>
                <w:sz w:val="20"/>
              </w:rPr>
              <w:t xml:space="preserve"> 8 595 030 (dolná hranica na základe osobných nákladov na pomocných vychovávateľov) až 10 814 304 eur (horná hranica na základe osobných nákladov na pedagogických asistentov).</w:t>
            </w:r>
          </w:p>
        </w:tc>
      </w:tr>
      <w:tr w:rsidR="00F16AF6" w:rsidRPr="000B09C5" w14:paraId="2ED8F272" w14:textId="77777777" w:rsidTr="00793156">
        <w:trPr>
          <w:trHeight w:val="1020"/>
        </w:trPr>
        <w:tc>
          <w:tcPr>
            <w:tcW w:w="567" w:type="dxa"/>
            <w:tcBorders>
              <w:top w:val="nil"/>
              <w:left w:val="nil"/>
              <w:bottom w:val="dotted" w:sz="4" w:space="0" w:color="auto"/>
              <w:right w:val="nil"/>
            </w:tcBorders>
            <w:shd w:val="clear" w:color="000000" w:fill="FFFFFF"/>
            <w:vAlign w:val="bottom"/>
          </w:tcPr>
          <w:p w14:paraId="7A1943AB" w14:textId="77777777" w:rsidR="00F16AF6" w:rsidRDefault="00F16AF6" w:rsidP="00793156">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6.4</w:t>
            </w:r>
          </w:p>
        </w:tc>
        <w:tc>
          <w:tcPr>
            <w:tcW w:w="2694" w:type="dxa"/>
            <w:tcBorders>
              <w:top w:val="nil"/>
              <w:left w:val="nil"/>
              <w:bottom w:val="dotted" w:sz="4" w:space="0" w:color="auto"/>
              <w:right w:val="nil"/>
            </w:tcBorders>
            <w:shd w:val="clear" w:color="000000" w:fill="FFFFFF"/>
            <w:vAlign w:val="bottom"/>
          </w:tcPr>
          <w:p w14:paraId="3645DFCC" w14:textId="77777777" w:rsidR="00F16AF6" w:rsidRPr="007F4230" w:rsidRDefault="00F16AF6" w:rsidP="00793156">
            <w:pPr>
              <w:spacing w:after="0"/>
              <w:jc w:val="left"/>
              <w:rPr>
                <w:rFonts w:eastAsia="Times New Roman" w:cs="Times New Roman"/>
                <w:color w:val="000000"/>
                <w:sz w:val="20"/>
                <w:lang w:eastAsia="sk-SK"/>
              </w:rPr>
            </w:pPr>
            <w:r w:rsidRPr="007F4230">
              <w:rPr>
                <w:sz w:val="20"/>
              </w:rPr>
              <w:t>Samostatné zbieranie požiadaviek na pedagogických asistentov v stredných školách a vyčlenenie samostatného objemu nenormatívnych zdrojov na ich osobné náklady</w:t>
            </w:r>
          </w:p>
        </w:tc>
        <w:tc>
          <w:tcPr>
            <w:tcW w:w="850" w:type="dxa"/>
            <w:tcBorders>
              <w:top w:val="nil"/>
              <w:left w:val="nil"/>
              <w:bottom w:val="dotted" w:sz="4" w:space="0" w:color="auto"/>
              <w:right w:val="nil"/>
            </w:tcBorders>
            <w:shd w:val="clear" w:color="000000" w:fill="FFFFFF"/>
            <w:noWrap/>
            <w:vAlign w:val="bottom"/>
          </w:tcPr>
          <w:p w14:paraId="31A76582" w14:textId="77777777" w:rsidR="00F16AF6" w:rsidRPr="00CA2564" w:rsidRDefault="00F16AF6" w:rsidP="00793156">
            <w:pPr>
              <w:spacing w:after="0"/>
              <w:jc w:val="right"/>
              <w:rPr>
                <w:rFonts w:eastAsia="Times New Roman" w:cs="Times New Roman"/>
                <w:color w:val="000000"/>
                <w:sz w:val="20"/>
                <w:lang w:eastAsia="sk-SK"/>
              </w:rPr>
            </w:pPr>
            <w:r>
              <w:rPr>
                <w:rFonts w:eastAsia="Times New Roman" w:cs="Times New Roman"/>
                <w:color w:val="000000"/>
                <w:sz w:val="20"/>
                <w:lang w:eastAsia="sk-SK"/>
              </w:rPr>
              <w:t>5,7</w:t>
            </w:r>
          </w:p>
        </w:tc>
        <w:tc>
          <w:tcPr>
            <w:tcW w:w="9923" w:type="dxa"/>
            <w:tcBorders>
              <w:top w:val="nil"/>
              <w:left w:val="nil"/>
              <w:bottom w:val="dotted" w:sz="4" w:space="0" w:color="auto"/>
              <w:right w:val="nil"/>
            </w:tcBorders>
            <w:shd w:val="clear" w:color="000000" w:fill="FFFFFF"/>
            <w:noWrap/>
            <w:vAlign w:val="bottom"/>
          </w:tcPr>
          <w:p w14:paraId="7DEE023E" w14:textId="5667B18D" w:rsidR="00F16AF6" w:rsidRPr="00DA36C1" w:rsidRDefault="00F16AF6" w:rsidP="00793156">
            <w:pPr>
              <w:spacing w:after="0" w:line="240" w:lineRule="auto"/>
              <w:rPr>
                <w:sz w:val="20"/>
              </w:rPr>
            </w:pPr>
            <w:r w:rsidRPr="00DA36C1">
              <w:rPr>
                <w:sz w:val="20"/>
              </w:rPr>
              <w:t>Ak predpokladáme, že s vekom sa pri niektorých druhoch ZZ nezávislosť žiakov so ZZ zvyšuje, a teda, že dopyt po pedagogických asistentoch by v prípade žiakov v stredných školách mohol byť o polovicu nižší ako v prípade žiakov v základných školách, počítame s požiadavkami stredných škôl na 940 pedagogických asistentov. Preto, aby boli požiadavky stredných škôl na začiatku uspokojené aspoň na 50 % (analogicky ako v priemere za roky 2012-18 v základných školách) počíta sa s vyčlenením zdrojov na osobné náklady 470 pedagogických asistentov, čo spolu predstavuje sumu</w:t>
            </w:r>
            <w:r w:rsidR="0070047D">
              <w:rPr>
                <w:sz w:val="20"/>
              </w:rPr>
              <w:t xml:space="preserve"> </w:t>
            </w:r>
            <w:r w:rsidRPr="00DA36C1">
              <w:rPr>
                <w:sz w:val="20"/>
              </w:rPr>
              <w:t xml:space="preserve">5 730 850 eur ročne. </w:t>
            </w:r>
          </w:p>
        </w:tc>
      </w:tr>
      <w:tr w:rsidR="00F16AF6" w:rsidRPr="000B09C5" w14:paraId="1152FF67" w14:textId="77777777" w:rsidTr="00793156">
        <w:trPr>
          <w:trHeight w:val="141"/>
        </w:trPr>
        <w:tc>
          <w:tcPr>
            <w:tcW w:w="567" w:type="dxa"/>
            <w:tcBorders>
              <w:top w:val="nil"/>
              <w:left w:val="nil"/>
              <w:bottom w:val="dotted" w:sz="4" w:space="0" w:color="auto"/>
              <w:right w:val="nil"/>
            </w:tcBorders>
            <w:shd w:val="clear" w:color="000000" w:fill="FFFFFF"/>
            <w:vAlign w:val="bottom"/>
          </w:tcPr>
          <w:p w14:paraId="53D9C4DF" w14:textId="77777777" w:rsidR="00F16AF6" w:rsidRPr="005C5FF1" w:rsidRDefault="00F16AF6" w:rsidP="00793156">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6</w:t>
            </w:r>
            <w:r w:rsidRPr="005C5FF1">
              <w:rPr>
                <w:rFonts w:eastAsia="Times New Roman" w:cs="Times New Roman"/>
                <w:color w:val="000000"/>
                <w:sz w:val="20"/>
                <w:lang w:eastAsia="sk-SK"/>
              </w:rPr>
              <w:t>.5</w:t>
            </w:r>
          </w:p>
        </w:tc>
        <w:tc>
          <w:tcPr>
            <w:tcW w:w="2694" w:type="dxa"/>
            <w:tcBorders>
              <w:top w:val="nil"/>
              <w:left w:val="nil"/>
              <w:bottom w:val="dotted" w:sz="4" w:space="0" w:color="auto"/>
              <w:right w:val="nil"/>
            </w:tcBorders>
            <w:shd w:val="clear" w:color="000000" w:fill="FFFFFF"/>
            <w:vAlign w:val="bottom"/>
          </w:tcPr>
          <w:p w14:paraId="64628776" w14:textId="77777777" w:rsidR="00F16AF6" w:rsidRPr="007F4230" w:rsidRDefault="00F16AF6" w:rsidP="00793156">
            <w:pPr>
              <w:spacing w:after="0" w:line="240" w:lineRule="auto"/>
              <w:jc w:val="left"/>
              <w:rPr>
                <w:rFonts w:eastAsia="Times New Roman" w:cs="Times New Roman"/>
                <w:color w:val="000000"/>
                <w:sz w:val="20"/>
                <w:lang w:eastAsia="sk-SK"/>
              </w:rPr>
            </w:pPr>
            <w:r w:rsidRPr="007F4230">
              <w:rPr>
                <w:sz w:val="20"/>
              </w:rPr>
              <w:t>Rozvojový projekt s pravidelnou finančnou alokáciou na podporu mentoringu a tútoringu slabo prospievajúcich žiakov na druhom stupni bežných základných škôl a na stredných školách</w:t>
            </w:r>
          </w:p>
        </w:tc>
        <w:tc>
          <w:tcPr>
            <w:tcW w:w="850" w:type="dxa"/>
            <w:tcBorders>
              <w:top w:val="nil"/>
              <w:left w:val="nil"/>
              <w:bottom w:val="dotted" w:sz="4" w:space="0" w:color="auto"/>
              <w:right w:val="nil"/>
            </w:tcBorders>
            <w:shd w:val="clear" w:color="000000" w:fill="FFFFFF"/>
            <w:noWrap/>
            <w:vAlign w:val="bottom"/>
          </w:tcPr>
          <w:p w14:paraId="32F39BA6" w14:textId="77777777" w:rsidR="00F16AF6" w:rsidRPr="005C5FF1" w:rsidRDefault="00F16AF6" w:rsidP="00793156">
            <w:pPr>
              <w:spacing w:after="0"/>
              <w:jc w:val="right"/>
              <w:rPr>
                <w:rFonts w:eastAsia="Times New Roman" w:cs="Times New Roman"/>
                <w:color w:val="000000"/>
                <w:sz w:val="20"/>
                <w:lang w:eastAsia="sk-SK"/>
              </w:rPr>
            </w:pPr>
            <w:r>
              <w:rPr>
                <w:rFonts w:eastAsia="Times New Roman" w:cs="Times New Roman"/>
                <w:color w:val="000000"/>
                <w:sz w:val="20"/>
                <w:lang w:eastAsia="sk-SK"/>
              </w:rPr>
              <w:t>4,7</w:t>
            </w:r>
          </w:p>
        </w:tc>
        <w:tc>
          <w:tcPr>
            <w:tcW w:w="9923" w:type="dxa"/>
            <w:tcBorders>
              <w:top w:val="nil"/>
              <w:left w:val="nil"/>
              <w:bottom w:val="dotted" w:sz="4" w:space="0" w:color="auto"/>
              <w:right w:val="nil"/>
            </w:tcBorders>
            <w:shd w:val="clear" w:color="000000" w:fill="FFFFFF"/>
            <w:noWrap/>
            <w:vAlign w:val="bottom"/>
          </w:tcPr>
          <w:p w14:paraId="46A70AB8" w14:textId="79B4FEE5" w:rsidR="00F16AF6" w:rsidRPr="007B618F" w:rsidRDefault="00F16AF6" w:rsidP="00FC3751">
            <w:pPr>
              <w:spacing w:after="0" w:line="240" w:lineRule="auto"/>
              <w:rPr>
                <w:rFonts w:eastAsia="Times New Roman" w:cs="Times New Roman"/>
                <w:color w:val="000000"/>
                <w:sz w:val="20"/>
                <w:lang w:eastAsia="sk-SK"/>
              </w:rPr>
            </w:pPr>
            <w:r w:rsidRPr="005C5FF1">
              <w:rPr>
                <w:sz w:val="20"/>
              </w:rPr>
              <w:t>V roku 2018 bol počet žiakov ohrozených predčasným ukončením školskej dochádzky na základných školách 1 450 žiakov.</w:t>
            </w:r>
            <w:r w:rsidRPr="005C5FF1">
              <w:rPr>
                <w:rStyle w:val="Odkaznapoznmkupodiarou"/>
                <w:sz w:val="20"/>
              </w:rPr>
              <w:footnoteReference w:id="551"/>
            </w:r>
            <w:r w:rsidR="00FC3751">
              <w:rPr>
                <w:sz w:val="20"/>
              </w:rPr>
              <w:t xml:space="preserve"> Za </w:t>
            </w:r>
            <w:r w:rsidRPr="005C5FF1">
              <w:rPr>
                <w:sz w:val="20"/>
              </w:rPr>
              <w:t>rizikovú skupinu študentov na stredných školách sa považuje 788 študentov stredných škôl, ktorí opakovali prvý ročník. Priemerné náklady na ročný mentoring a tútoring jedného žiaka v riziku predčasne ukončenej školskej dochádzky sú 4 158 eur.</w:t>
            </w:r>
            <w:r w:rsidRPr="005C5FF1">
              <w:rPr>
                <w:rStyle w:val="Odkaznapoznmkupodiarou"/>
                <w:sz w:val="20"/>
              </w:rPr>
              <w:footnoteReference w:id="552"/>
            </w:r>
            <w:r w:rsidRPr="005C5FF1">
              <w:rPr>
                <w:sz w:val="20"/>
              </w:rPr>
              <w:t xml:space="preserve"> Celkové náklady na vytvorenie rozvojového projektu, v rámci ktorého by sa základné a stredné školy mohli uchádzať o prostriedky na mentoring a tútoring pre všetkých ohrozených žiakov PUŠD predstavujú sumu 4 652 385 eur ročne pri predpokladanej 50 % účasti slabo prospievajúcich žiakov. V závislosti od miery úspešnosti projektu a v závislosti od implementácie ďalších opatrení identifikovaných v revízii by výdavky v ďalších rokoch mali klesať, keďže bude klesať aj počet žiakov, ktorí budú ohrození predčasným ukončením školskej dochádzky. Naopak v prvom roku môžu byť v prípade vyššej ako 50 % účasti výdavky vyššie.</w:t>
            </w:r>
          </w:p>
        </w:tc>
      </w:tr>
      <w:tr w:rsidR="00F16AF6" w:rsidRPr="000B09C5" w14:paraId="1E7DC01B" w14:textId="77777777" w:rsidTr="00793156">
        <w:trPr>
          <w:trHeight w:val="510"/>
        </w:trPr>
        <w:tc>
          <w:tcPr>
            <w:tcW w:w="567" w:type="dxa"/>
            <w:tcBorders>
              <w:top w:val="nil"/>
              <w:left w:val="nil"/>
              <w:bottom w:val="dotted" w:sz="4" w:space="0" w:color="auto"/>
              <w:right w:val="nil"/>
            </w:tcBorders>
            <w:shd w:val="clear" w:color="000000" w:fill="FFFFFF"/>
            <w:vAlign w:val="bottom"/>
          </w:tcPr>
          <w:p w14:paraId="381CBBA1" w14:textId="77777777" w:rsidR="00F16AF6" w:rsidRDefault="00F16AF6" w:rsidP="00793156">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7.1</w:t>
            </w:r>
          </w:p>
        </w:tc>
        <w:tc>
          <w:tcPr>
            <w:tcW w:w="2694" w:type="dxa"/>
            <w:tcBorders>
              <w:top w:val="nil"/>
              <w:left w:val="nil"/>
              <w:bottom w:val="dotted" w:sz="4" w:space="0" w:color="auto"/>
              <w:right w:val="nil"/>
            </w:tcBorders>
            <w:shd w:val="clear" w:color="000000" w:fill="FFFFFF"/>
            <w:vAlign w:val="bottom"/>
          </w:tcPr>
          <w:p w14:paraId="4156E595" w14:textId="77777777" w:rsidR="00F16AF6" w:rsidRPr="007F4230" w:rsidRDefault="00F16AF6" w:rsidP="00793156">
            <w:pPr>
              <w:spacing w:after="0" w:line="240" w:lineRule="auto"/>
              <w:jc w:val="left"/>
              <w:rPr>
                <w:rFonts w:eastAsia="Times New Roman" w:cs="Times New Roman"/>
                <w:color w:val="000000"/>
                <w:sz w:val="20"/>
                <w:lang w:eastAsia="sk-SK"/>
              </w:rPr>
            </w:pPr>
            <w:r w:rsidRPr="007F4230">
              <w:rPr>
                <w:bCs/>
                <w:sz w:val="20"/>
              </w:rPr>
              <w:t>Reformovaný príspevok pre žiakov zo sociálne znevýhodneného prostredia</w:t>
            </w:r>
          </w:p>
        </w:tc>
        <w:tc>
          <w:tcPr>
            <w:tcW w:w="850" w:type="dxa"/>
            <w:tcBorders>
              <w:top w:val="nil"/>
              <w:left w:val="nil"/>
              <w:bottom w:val="dotted" w:sz="4" w:space="0" w:color="auto"/>
              <w:right w:val="nil"/>
            </w:tcBorders>
            <w:shd w:val="clear" w:color="000000" w:fill="FFFFFF"/>
            <w:noWrap/>
            <w:vAlign w:val="bottom"/>
          </w:tcPr>
          <w:p w14:paraId="3DB253A7" w14:textId="77777777" w:rsidR="00F16AF6" w:rsidRPr="000B09C5" w:rsidRDefault="00F16AF6" w:rsidP="00793156">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-2,6</w:t>
            </w:r>
          </w:p>
        </w:tc>
        <w:tc>
          <w:tcPr>
            <w:tcW w:w="9923" w:type="dxa"/>
            <w:tcBorders>
              <w:top w:val="nil"/>
              <w:left w:val="nil"/>
              <w:bottom w:val="dotted" w:sz="4" w:space="0" w:color="auto"/>
              <w:right w:val="nil"/>
            </w:tcBorders>
            <w:shd w:val="clear" w:color="000000" w:fill="FFFFFF"/>
            <w:noWrap/>
            <w:vAlign w:val="bottom"/>
          </w:tcPr>
          <w:p w14:paraId="7D40154A" w14:textId="77777777" w:rsidR="00F16AF6" w:rsidRPr="00C9261A" w:rsidRDefault="00F16AF6" w:rsidP="00BB7573">
            <w:pPr>
              <w:spacing w:after="0" w:line="240" w:lineRule="auto"/>
              <w:rPr>
                <w:rFonts w:eastAsia="Times New Roman" w:cs="Times New Roman"/>
                <w:color w:val="000000"/>
                <w:sz w:val="20"/>
                <w:lang w:eastAsia="sk-SK"/>
              </w:rPr>
            </w:pPr>
            <w:r w:rsidRPr="00C9261A">
              <w:rPr>
                <w:rFonts w:eastAsia="Times New Roman" w:cs="Times New Roman"/>
                <w:color w:val="000000"/>
                <w:sz w:val="20"/>
                <w:lang w:eastAsia="sk-SK"/>
              </w:rPr>
              <w:t xml:space="preserve">Predpokladaný počet žiakov zo SZP podľa rozšírenej definície je </w:t>
            </w:r>
            <w:r w:rsidRPr="00C9261A">
              <w:rPr>
                <w:sz w:val="20"/>
              </w:rPr>
              <w:t>71 344 a predpokladaná výška príspevku je 50 eur za rok. Celkové výdavky predstavujú 3,6, čo je o 2,6 milióny eur menej ako výdavky na príspevok v roku 2018.</w:t>
            </w:r>
          </w:p>
        </w:tc>
      </w:tr>
      <w:tr w:rsidR="00F16AF6" w:rsidRPr="000B09C5" w14:paraId="6FE60EF8" w14:textId="77777777" w:rsidTr="00793156">
        <w:trPr>
          <w:trHeight w:val="510"/>
        </w:trPr>
        <w:tc>
          <w:tcPr>
            <w:tcW w:w="567" w:type="dxa"/>
            <w:tcBorders>
              <w:top w:val="nil"/>
              <w:left w:val="nil"/>
              <w:bottom w:val="dotted" w:sz="4" w:space="0" w:color="auto"/>
              <w:right w:val="nil"/>
            </w:tcBorders>
            <w:shd w:val="clear" w:color="000000" w:fill="FFFFFF"/>
            <w:vAlign w:val="bottom"/>
          </w:tcPr>
          <w:p w14:paraId="593F87FA" w14:textId="77777777" w:rsidR="00F16AF6" w:rsidRDefault="00F16AF6" w:rsidP="00793156">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7.2</w:t>
            </w:r>
          </w:p>
        </w:tc>
        <w:tc>
          <w:tcPr>
            <w:tcW w:w="2694" w:type="dxa"/>
            <w:tcBorders>
              <w:top w:val="nil"/>
              <w:left w:val="nil"/>
              <w:bottom w:val="dotted" w:sz="4" w:space="0" w:color="auto"/>
              <w:right w:val="nil"/>
            </w:tcBorders>
            <w:shd w:val="clear" w:color="000000" w:fill="FFFFFF"/>
            <w:vAlign w:val="bottom"/>
          </w:tcPr>
          <w:p w14:paraId="75505630" w14:textId="77777777" w:rsidR="00F16AF6" w:rsidRPr="007F4230" w:rsidRDefault="00F16AF6" w:rsidP="00793156">
            <w:pPr>
              <w:spacing w:after="0" w:line="240" w:lineRule="auto"/>
              <w:jc w:val="left"/>
              <w:rPr>
                <w:rFonts w:eastAsia="Times New Roman" w:cs="Times New Roman"/>
                <w:color w:val="000000"/>
                <w:sz w:val="20"/>
                <w:lang w:eastAsia="sk-SK"/>
              </w:rPr>
            </w:pPr>
            <w:r w:rsidRPr="007F4230">
              <w:rPr>
                <w:bCs/>
                <w:sz w:val="20"/>
              </w:rPr>
              <w:t>Povinné odpúšťanie poplatkov za školský klub detí žiakom zo SZP</w:t>
            </w:r>
          </w:p>
        </w:tc>
        <w:tc>
          <w:tcPr>
            <w:tcW w:w="850" w:type="dxa"/>
            <w:tcBorders>
              <w:top w:val="nil"/>
              <w:left w:val="nil"/>
              <w:bottom w:val="dotted" w:sz="4" w:space="0" w:color="auto"/>
              <w:right w:val="nil"/>
            </w:tcBorders>
            <w:shd w:val="clear" w:color="000000" w:fill="FFFFFF"/>
            <w:noWrap/>
            <w:vAlign w:val="bottom"/>
          </w:tcPr>
          <w:p w14:paraId="26075D82" w14:textId="77777777" w:rsidR="00F16AF6" w:rsidRPr="00CA2564" w:rsidRDefault="00F16AF6" w:rsidP="00793156">
            <w:pPr>
              <w:spacing w:after="0"/>
              <w:jc w:val="right"/>
              <w:rPr>
                <w:rFonts w:eastAsia="Times New Roman" w:cs="Times New Roman"/>
                <w:color w:val="000000"/>
                <w:sz w:val="20"/>
                <w:lang w:eastAsia="sk-SK"/>
              </w:rPr>
            </w:pPr>
            <w:r>
              <w:rPr>
                <w:rFonts w:eastAsia="Times New Roman" w:cs="Times New Roman"/>
                <w:color w:val="000000"/>
                <w:sz w:val="20"/>
                <w:lang w:eastAsia="sk-SK"/>
              </w:rPr>
              <w:t>2,7</w:t>
            </w:r>
          </w:p>
        </w:tc>
        <w:tc>
          <w:tcPr>
            <w:tcW w:w="9923" w:type="dxa"/>
            <w:tcBorders>
              <w:top w:val="nil"/>
              <w:left w:val="nil"/>
              <w:bottom w:val="dotted" w:sz="4" w:space="0" w:color="auto"/>
              <w:right w:val="nil"/>
            </w:tcBorders>
            <w:shd w:val="clear" w:color="000000" w:fill="FFFFFF"/>
            <w:noWrap/>
            <w:vAlign w:val="bottom"/>
          </w:tcPr>
          <w:p w14:paraId="039B17A0" w14:textId="77777777" w:rsidR="00F16AF6" w:rsidRPr="007B618F" w:rsidRDefault="00F16AF6" w:rsidP="00793156">
            <w:pPr>
              <w:spacing w:after="0" w:line="240" w:lineRule="auto"/>
              <w:rPr>
                <w:sz w:val="20"/>
              </w:rPr>
            </w:pPr>
            <w:r w:rsidRPr="007B618F">
              <w:rPr>
                <w:sz w:val="20"/>
              </w:rPr>
              <w:t>Ako kompenzáciu za výpadok v príjmoch zriaďovateľov sa analogicky po vzore materských škôl navrhuje zaviesť príspevok na čiastočnú úhradu nákladov na výchovu a vzdelávanie v ŠKD pre zriaďovateľov ŠKD. Výška príspevku sa navrhuje stanoviť v sume 84 eur na žiaka ročne (7,5 % životného minima na jedno nezaopatrené dieťa*12 mesiacov kalendárneho roka). Pri predpokladanom počte 31 708 žiakov zo SZP na prvom stupni ZŠ (po zavedení novej definície) ide o celkové výdavky v hodnote 2 663 472 eur ročne.</w:t>
            </w:r>
          </w:p>
        </w:tc>
      </w:tr>
      <w:tr w:rsidR="00F16AF6" w:rsidRPr="000B09C5" w14:paraId="638F8AD3" w14:textId="77777777" w:rsidTr="00793156">
        <w:trPr>
          <w:trHeight w:val="765"/>
        </w:trPr>
        <w:tc>
          <w:tcPr>
            <w:tcW w:w="567" w:type="dxa"/>
            <w:tcBorders>
              <w:top w:val="nil"/>
              <w:left w:val="nil"/>
              <w:bottom w:val="dotted" w:sz="4" w:space="0" w:color="auto"/>
              <w:right w:val="nil"/>
            </w:tcBorders>
            <w:shd w:val="clear" w:color="000000" w:fill="FFFFFF"/>
            <w:vAlign w:val="bottom"/>
            <w:hideMark/>
          </w:tcPr>
          <w:p w14:paraId="67D9229F" w14:textId="77777777" w:rsidR="00F16AF6" w:rsidRPr="000B09C5" w:rsidRDefault="00F16AF6" w:rsidP="00793156">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7.3</w:t>
            </w:r>
          </w:p>
        </w:tc>
        <w:tc>
          <w:tcPr>
            <w:tcW w:w="2694" w:type="dxa"/>
            <w:tcBorders>
              <w:top w:val="nil"/>
              <w:left w:val="nil"/>
              <w:bottom w:val="dotted" w:sz="4" w:space="0" w:color="auto"/>
              <w:right w:val="nil"/>
            </w:tcBorders>
            <w:shd w:val="clear" w:color="000000" w:fill="FFFFFF"/>
            <w:vAlign w:val="bottom"/>
            <w:hideMark/>
          </w:tcPr>
          <w:p w14:paraId="10122893" w14:textId="77777777" w:rsidR="00F16AF6" w:rsidRPr="007F4230" w:rsidRDefault="00F16AF6" w:rsidP="00793156">
            <w:pPr>
              <w:spacing w:after="0" w:line="240" w:lineRule="auto"/>
              <w:jc w:val="left"/>
              <w:rPr>
                <w:rFonts w:eastAsia="Times New Roman" w:cs="Times New Roman"/>
                <w:color w:val="000000"/>
                <w:sz w:val="20"/>
                <w:lang w:eastAsia="sk-SK"/>
              </w:rPr>
            </w:pPr>
            <w:r w:rsidRPr="007F4230">
              <w:rPr>
                <w:bCs/>
                <w:sz w:val="20"/>
              </w:rPr>
              <w:t>Navýšenie stredoškolského štipendia tak, aby najnižšia hodnota bola na úrovni aktivačného príspevku v rámci pomoci v hmotnej núdzi</w:t>
            </w:r>
          </w:p>
        </w:tc>
        <w:tc>
          <w:tcPr>
            <w:tcW w:w="850" w:type="dxa"/>
            <w:tcBorders>
              <w:top w:val="nil"/>
              <w:left w:val="nil"/>
              <w:bottom w:val="dotted" w:sz="4" w:space="0" w:color="auto"/>
              <w:right w:val="nil"/>
            </w:tcBorders>
            <w:shd w:val="clear" w:color="000000" w:fill="FFFFFF"/>
            <w:noWrap/>
            <w:vAlign w:val="bottom"/>
            <w:hideMark/>
          </w:tcPr>
          <w:p w14:paraId="23AB37B7" w14:textId="77777777" w:rsidR="00F16AF6" w:rsidRPr="000B09C5" w:rsidRDefault="00F16AF6" w:rsidP="00793156">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4,1</w:t>
            </w:r>
          </w:p>
        </w:tc>
        <w:tc>
          <w:tcPr>
            <w:tcW w:w="9923" w:type="dxa"/>
            <w:tcBorders>
              <w:top w:val="nil"/>
              <w:left w:val="nil"/>
              <w:bottom w:val="dotted" w:sz="4" w:space="0" w:color="auto"/>
              <w:right w:val="nil"/>
            </w:tcBorders>
            <w:shd w:val="clear" w:color="000000" w:fill="FFFFFF"/>
            <w:noWrap/>
            <w:vAlign w:val="bottom"/>
            <w:hideMark/>
          </w:tcPr>
          <w:p w14:paraId="7A8536AD" w14:textId="77777777" w:rsidR="00F16AF6" w:rsidRPr="000B09C5" w:rsidRDefault="00F16AF6" w:rsidP="00BB7573">
            <w:pPr>
              <w:spacing w:after="0" w:line="240" w:lineRule="auto"/>
              <w:rPr>
                <w:rFonts w:eastAsia="Times New Roman" w:cs="Times New Roman"/>
                <w:color w:val="000000"/>
                <w:sz w:val="20"/>
                <w:lang w:eastAsia="sk-SK"/>
              </w:rPr>
            </w:pPr>
            <w:r w:rsidRPr="00D55EA4">
              <w:rPr>
                <w:rFonts w:eastAsia="Times New Roman" w:cs="Times New Roman"/>
                <w:color w:val="000000"/>
                <w:sz w:val="20"/>
                <w:lang w:eastAsia="sk-SK"/>
              </w:rPr>
              <w:t xml:space="preserve">Najnižšia hodnota štipendia by vzrástla z 23,99 </w:t>
            </w:r>
            <w:r>
              <w:rPr>
                <w:rFonts w:eastAsia="Times New Roman" w:cs="Times New Roman"/>
                <w:color w:val="000000"/>
                <w:sz w:val="20"/>
                <w:lang w:eastAsia="sk-SK"/>
              </w:rPr>
              <w:t>eur na 67,90</w:t>
            </w:r>
            <w:r w:rsidRPr="00D55EA4">
              <w:rPr>
                <w:rFonts w:eastAsia="Times New Roman" w:cs="Times New Roman"/>
                <w:color w:val="000000"/>
                <w:sz w:val="20"/>
                <w:lang w:eastAsia="sk-SK"/>
              </w:rPr>
              <w:t xml:space="preserve"> eur za mesiac</w:t>
            </w:r>
            <w:r>
              <w:rPr>
                <w:rFonts w:eastAsia="Times New Roman" w:cs="Times New Roman"/>
                <w:color w:val="000000"/>
                <w:sz w:val="20"/>
                <w:lang w:eastAsia="sk-SK"/>
              </w:rPr>
              <w:t>, najvyššia zo 47,98 eur na 135,80 eur. Výpočet p</w:t>
            </w:r>
            <w:r w:rsidRPr="00D55EA4">
              <w:rPr>
                <w:rFonts w:eastAsia="Times New Roman" w:cs="Times New Roman"/>
                <w:color w:val="000000"/>
                <w:sz w:val="20"/>
                <w:lang w:eastAsia="sk-SK"/>
              </w:rPr>
              <w:t>redpokladá rovnaký počet št</w:t>
            </w:r>
            <w:r>
              <w:rPr>
                <w:rFonts w:eastAsia="Times New Roman" w:cs="Times New Roman"/>
                <w:color w:val="000000"/>
                <w:sz w:val="20"/>
                <w:lang w:eastAsia="sk-SK"/>
              </w:rPr>
              <w:t>ipendií ako v školskom roku 2018/2019 (58 960</w:t>
            </w:r>
            <w:r w:rsidRPr="00D55EA4">
              <w:rPr>
                <w:rFonts w:eastAsia="Times New Roman" w:cs="Times New Roman"/>
                <w:color w:val="000000"/>
                <w:sz w:val="20"/>
                <w:lang w:eastAsia="sk-SK"/>
              </w:rPr>
              <w:t xml:space="preserve"> mesačných platieb). Počet žiakov v systéme PHN pritom </w:t>
            </w:r>
            <w:r>
              <w:rPr>
                <w:rFonts w:eastAsia="Times New Roman" w:cs="Times New Roman"/>
                <w:color w:val="000000"/>
                <w:sz w:val="20"/>
                <w:lang w:eastAsia="sk-SK"/>
              </w:rPr>
              <w:t xml:space="preserve">z roka na rok </w:t>
            </w:r>
            <w:r w:rsidRPr="00D55EA4">
              <w:rPr>
                <w:rFonts w:eastAsia="Times New Roman" w:cs="Times New Roman"/>
                <w:color w:val="000000"/>
                <w:sz w:val="20"/>
                <w:lang w:eastAsia="sk-SK"/>
              </w:rPr>
              <w:t>klesá, ale na druhej strane možno očakávať nárast záujmu o pokračovanie v štúdiu z dôvodu vyššej finančnej motivácie.</w:t>
            </w:r>
            <w:r>
              <w:rPr>
                <w:rFonts w:eastAsia="Times New Roman" w:cs="Times New Roman"/>
                <w:color w:val="000000"/>
                <w:sz w:val="20"/>
                <w:lang w:eastAsia="sk-SK"/>
              </w:rPr>
              <w:t xml:space="preserve"> </w:t>
            </w:r>
          </w:p>
        </w:tc>
      </w:tr>
      <w:tr w:rsidR="00F16AF6" w:rsidRPr="000B09C5" w14:paraId="6A007351" w14:textId="77777777" w:rsidTr="00793156">
        <w:trPr>
          <w:trHeight w:val="1020"/>
        </w:trPr>
        <w:tc>
          <w:tcPr>
            <w:tcW w:w="567" w:type="dxa"/>
            <w:tcBorders>
              <w:top w:val="nil"/>
              <w:left w:val="nil"/>
              <w:bottom w:val="dotted" w:sz="4" w:space="0" w:color="auto"/>
              <w:right w:val="nil"/>
            </w:tcBorders>
            <w:shd w:val="clear" w:color="000000" w:fill="FFFFFF"/>
            <w:vAlign w:val="bottom"/>
          </w:tcPr>
          <w:p w14:paraId="14CDA3C9" w14:textId="77777777" w:rsidR="00F16AF6" w:rsidRDefault="00F16AF6" w:rsidP="00793156">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8.1</w:t>
            </w:r>
          </w:p>
        </w:tc>
        <w:tc>
          <w:tcPr>
            <w:tcW w:w="2694" w:type="dxa"/>
            <w:tcBorders>
              <w:top w:val="nil"/>
              <w:left w:val="nil"/>
              <w:bottom w:val="dotted" w:sz="4" w:space="0" w:color="auto"/>
              <w:right w:val="nil"/>
            </w:tcBorders>
            <w:shd w:val="clear" w:color="000000" w:fill="FFFFFF"/>
            <w:vAlign w:val="bottom"/>
          </w:tcPr>
          <w:p w14:paraId="30111569" w14:textId="77777777" w:rsidR="00F16AF6" w:rsidRPr="007F4230" w:rsidRDefault="00F16AF6" w:rsidP="00793156">
            <w:pPr>
              <w:spacing w:after="0"/>
              <w:jc w:val="left"/>
              <w:rPr>
                <w:rFonts w:eastAsia="Times New Roman" w:cs="Times New Roman"/>
                <w:color w:val="000000"/>
                <w:sz w:val="20"/>
                <w:lang w:eastAsia="sk-SK"/>
              </w:rPr>
            </w:pPr>
            <w:r w:rsidRPr="007F4230">
              <w:rPr>
                <w:rFonts w:eastAsia="Times New Roman" w:cs="Times New Roman"/>
                <w:color w:val="000000"/>
                <w:sz w:val="20"/>
                <w:lang w:eastAsia="sk-SK"/>
              </w:rPr>
              <w:t>Grantový program pre vysoké školy pripravujúce budúcich učiteľov na transformáciu študijných programov smerom k väčšej inkluzívnosti</w:t>
            </w:r>
          </w:p>
        </w:tc>
        <w:tc>
          <w:tcPr>
            <w:tcW w:w="850" w:type="dxa"/>
            <w:tcBorders>
              <w:top w:val="nil"/>
              <w:left w:val="nil"/>
              <w:bottom w:val="dotted" w:sz="4" w:space="0" w:color="auto"/>
              <w:right w:val="nil"/>
            </w:tcBorders>
            <w:shd w:val="clear" w:color="000000" w:fill="FFFFFF"/>
            <w:noWrap/>
            <w:vAlign w:val="bottom"/>
          </w:tcPr>
          <w:p w14:paraId="1A6F2A40" w14:textId="77777777" w:rsidR="00F16AF6" w:rsidRPr="00CA2564" w:rsidRDefault="00F16AF6" w:rsidP="00793156">
            <w:pPr>
              <w:spacing w:after="0"/>
              <w:jc w:val="right"/>
              <w:rPr>
                <w:rFonts w:eastAsia="Times New Roman" w:cs="Times New Roman"/>
                <w:color w:val="000000"/>
                <w:sz w:val="20"/>
                <w:lang w:eastAsia="sk-SK"/>
              </w:rPr>
            </w:pPr>
            <w:r>
              <w:rPr>
                <w:rFonts w:eastAsia="Times New Roman" w:cs="Times New Roman"/>
                <w:color w:val="000000"/>
                <w:sz w:val="20"/>
                <w:lang w:eastAsia="sk-SK"/>
              </w:rPr>
              <w:t>1,5</w:t>
            </w:r>
          </w:p>
        </w:tc>
        <w:tc>
          <w:tcPr>
            <w:tcW w:w="9923" w:type="dxa"/>
            <w:tcBorders>
              <w:top w:val="nil"/>
              <w:left w:val="nil"/>
              <w:bottom w:val="dotted" w:sz="4" w:space="0" w:color="auto"/>
              <w:right w:val="nil"/>
            </w:tcBorders>
            <w:shd w:val="clear" w:color="000000" w:fill="FFFFFF"/>
            <w:noWrap/>
            <w:vAlign w:val="bottom"/>
          </w:tcPr>
          <w:p w14:paraId="35B48934" w14:textId="77777777" w:rsidR="00F16AF6" w:rsidRPr="00DA36C1" w:rsidRDefault="00F16AF6" w:rsidP="00793156">
            <w:pPr>
              <w:spacing w:after="0" w:line="240" w:lineRule="auto"/>
              <w:rPr>
                <w:bCs/>
                <w:sz w:val="20"/>
              </w:rPr>
            </w:pPr>
            <w:r w:rsidRPr="00DA36C1">
              <w:rPr>
                <w:bCs/>
                <w:sz w:val="20"/>
              </w:rPr>
              <w:t>Počíta sa so sumou 500 000 eur na jeden transformačný projekt</w:t>
            </w:r>
            <w:r w:rsidRPr="00DA36C1">
              <w:rPr>
                <w:rStyle w:val="Odkaznapoznmkupodiarou"/>
                <w:bCs/>
                <w:sz w:val="20"/>
              </w:rPr>
              <w:footnoteReference w:id="553"/>
            </w:r>
            <w:r w:rsidRPr="00DA36C1">
              <w:rPr>
                <w:bCs/>
                <w:sz w:val="20"/>
              </w:rPr>
              <w:t xml:space="preserve">, pričom v akademickom roku 2018/19 bolo na Slovensku 26 fakúlt, ktoré poskytovali študijné programy pripravujúce budúcich učiteľov. Za predpokladu, že by </w:t>
            </w:r>
            <w:r>
              <w:rPr>
                <w:bCs/>
                <w:sz w:val="20"/>
              </w:rPr>
              <w:t xml:space="preserve">z </w:t>
            </w:r>
            <w:r w:rsidRPr="00DA36C1">
              <w:rPr>
                <w:bCs/>
                <w:sz w:val="20"/>
              </w:rPr>
              <w:t>grantovej výzvy</w:t>
            </w:r>
            <w:r>
              <w:rPr>
                <w:bCs/>
                <w:sz w:val="20"/>
              </w:rPr>
              <w:t xml:space="preserve"> boli podporené tri najlepšie projekty</w:t>
            </w:r>
            <w:r w:rsidRPr="00DA36C1">
              <w:rPr>
                <w:bCs/>
                <w:sz w:val="20"/>
              </w:rPr>
              <w:t xml:space="preserve">, ide spolu o výdavky vo výške </w:t>
            </w:r>
            <w:r w:rsidRPr="00DA36C1">
              <w:rPr>
                <w:sz w:val="20"/>
              </w:rPr>
              <w:t>1</w:t>
            </w:r>
            <w:r>
              <w:rPr>
                <w:sz w:val="20"/>
              </w:rPr>
              <w:t>,5</w:t>
            </w:r>
            <w:r w:rsidRPr="00DA36C1">
              <w:rPr>
                <w:sz w:val="20"/>
              </w:rPr>
              <w:t xml:space="preserve"> milión</w:t>
            </w:r>
            <w:r>
              <w:rPr>
                <w:sz w:val="20"/>
              </w:rPr>
              <w:t>a</w:t>
            </w:r>
            <w:r w:rsidRPr="00DA36C1">
              <w:rPr>
                <w:sz w:val="20"/>
              </w:rPr>
              <w:t xml:space="preserve"> eur.</w:t>
            </w:r>
          </w:p>
        </w:tc>
      </w:tr>
      <w:tr w:rsidR="00F16AF6" w:rsidRPr="000B09C5" w14:paraId="589E9F26" w14:textId="77777777" w:rsidTr="00793156">
        <w:trPr>
          <w:trHeight w:val="510"/>
        </w:trPr>
        <w:tc>
          <w:tcPr>
            <w:tcW w:w="567" w:type="dxa"/>
            <w:tcBorders>
              <w:top w:val="nil"/>
              <w:left w:val="nil"/>
              <w:bottom w:val="dotted" w:sz="4" w:space="0" w:color="auto"/>
              <w:right w:val="nil"/>
            </w:tcBorders>
            <w:shd w:val="clear" w:color="000000" w:fill="FFFFFF"/>
            <w:vAlign w:val="bottom"/>
          </w:tcPr>
          <w:p w14:paraId="2E54EC0E" w14:textId="77777777" w:rsidR="00F16AF6" w:rsidRDefault="00F16AF6" w:rsidP="00793156">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8.2</w:t>
            </w:r>
          </w:p>
        </w:tc>
        <w:tc>
          <w:tcPr>
            <w:tcW w:w="2694" w:type="dxa"/>
            <w:tcBorders>
              <w:top w:val="nil"/>
              <w:left w:val="nil"/>
              <w:bottom w:val="dotted" w:sz="4" w:space="0" w:color="auto"/>
              <w:right w:val="nil"/>
            </w:tcBorders>
            <w:shd w:val="clear" w:color="000000" w:fill="FFFFFF"/>
            <w:vAlign w:val="bottom"/>
          </w:tcPr>
          <w:p w14:paraId="0AF091B5" w14:textId="77777777" w:rsidR="00F16AF6" w:rsidRPr="007F4230" w:rsidRDefault="00F16AF6" w:rsidP="00793156">
            <w:pPr>
              <w:spacing w:after="0" w:line="240" w:lineRule="auto"/>
              <w:jc w:val="left"/>
              <w:rPr>
                <w:rFonts w:eastAsia="Times New Roman" w:cs="Times New Roman"/>
                <w:color w:val="000000"/>
                <w:sz w:val="20"/>
                <w:lang w:eastAsia="sk-SK"/>
              </w:rPr>
            </w:pPr>
            <w:r w:rsidRPr="007F4230">
              <w:rPr>
                <w:sz w:val="20"/>
              </w:rPr>
              <w:t>Vytvorenie nového kurzu zameraného na medzigeneračnú chudobu a jej vplyvu na vzdelávanie a vytvorenie šiestich nových kurzov vzdelávania zameraných na vzdelávanie detí so špecifickými druhmi zdravotného znevýhodnenia, ktoré momentálne nie sú dostupné</w:t>
            </w:r>
          </w:p>
        </w:tc>
        <w:tc>
          <w:tcPr>
            <w:tcW w:w="850" w:type="dxa"/>
            <w:tcBorders>
              <w:top w:val="nil"/>
              <w:left w:val="nil"/>
              <w:bottom w:val="dotted" w:sz="4" w:space="0" w:color="auto"/>
              <w:right w:val="nil"/>
            </w:tcBorders>
            <w:shd w:val="clear" w:color="000000" w:fill="FFFFFF"/>
            <w:noWrap/>
            <w:vAlign w:val="bottom"/>
          </w:tcPr>
          <w:p w14:paraId="4A127E35" w14:textId="77777777" w:rsidR="00F16AF6" w:rsidRPr="00CA2564" w:rsidRDefault="00F16AF6" w:rsidP="00793156">
            <w:pPr>
              <w:spacing w:after="0"/>
              <w:jc w:val="right"/>
              <w:rPr>
                <w:rFonts w:eastAsia="Times New Roman" w:cs="Times New Roman"/>
                <w:color w:val="000000"/>
                <w:sz w:val="20"/>
                <w:lang w:eastAsia="sk-SK"/>
              </w:rPr>
            </w:pPr>
            <w:r>
              <w:rPr>
                <w:rFonts w:eastAsia="Times New Roman" w:cs="Times New Roman"/>
                <w:color w:val="000000"/>
                <w:sz w:val="20"/>
                <w:lang w:eastAsia="sk-SK"/>
              </w:rPr>
              <w:t>4,0</w:t>
            </w:r>
          </w:p>
        </w:tc>
        <w:tc>
          <w:tcPr>
            <w:tcW w:w="9923" w:type="dxa"/>
            <w:tcBorders>
              <w:top w:val="nil"/>
              <w:left w:val="nil"/>
              <w:bottom w:val="dotted" w:sz="4" w:space="0" w:color="auto"/>
              <w:right w:val="nil"/>
            </w:tcBorders>
            <w:shd w:val="clear" w:color="000000" w:fill="FFFFFF"/>
            <w:noWrap/>
            <w:vAlign w:val="bottom"/>
          </w:tcPr>
          <w:p w14:paraId="42808C99" w14:textId="75A0C0E7" w:rsidR="00F16AF6" w:rsidRPr="007B618F" w:rsidRDefault="00F16AF6" w:rsidP="00793156">
            <w:pPr>
              <w:spacing w:after="0" w:line="240" w:lineRule="auto"/>
              <w:rPr>
                <w:sz w:val="20"/>
              </w:rPr>
            </w:pPr>
            <w:r w:rsidRPr="007B618F">
              <w:rPr>
                <w:sz w:val="20"/>
              </w:rPr>
              <w:t xml:space="preserve">Počíta sa dĺžkou tvorby kurzu jeden rok pri nákladoch 20 eur/hodinu tvorcov a lektorov kurzov (v súlade s výškou odmien v realizovaných národných projektoch). Cieľová skupina </w:t>
            </w:r>
            <w:r>
              <w:rPr>
                <w:sz w:val="20"/>
              </w:rPr>
              <w:t>24 873</w:t>
            </w:r>
            <w:r w:rsidRPr="007B618F">
              <w:rPr>
                <w:sz w:val="20"/>
              </w:rPr>
              <w:t xml:space="preserve"> učiteľov bola identifikovaná zo všetkých učiteľov ZŠ na základe podielu učiteľov (6</w:t>
            </w:r>
            <w:r>
              <w:rPr>
                <w:sz w:val="20"/>
              </w:rPr>
              <w:t>9</w:t>
            </w:r>
            <w:r w:rsidRPr="007B618F">
              <w:rPr>
                <w:sz w:val="20"/>
              </w:rPr>
              <w:t xml:space="preserve"> %), ktorí identifikovali</w:t>
            </w:r>
            <w:r w:rsidR="0070047D">
              <w:rPr>
                <w:sz w:val="20"/>
              </w:rPr>
              <w:t xml:space="preserve"> </w:t>
            </w:r>
            <w:r w:rsidRPr="007B618F">
              <w:rPr>
                <w:sz w:val="20"/>
              </w:rPr>
              <w:t>potrebu ďalšieho vzdelávania</w:t>
            </w:r>
            <w:r>
              <w:rPr>
                <w:sz w:val="20"/>
              </w:rPr>
              <w:t xml:space="preserve"> v oblasti vzdelávania</w:t>
            </w:r>
            <w:r w:rsidRPr="007B618F">
              <w:rPr>
                <w:sz w:val="20"/>
              </w:rPr>
              <w:t xml:space="preserve"> žiakov so</w:t>
            </w:r>
            <w:r>
              <w:rPr>
                <w:sz w:val="20"/>
              </w:rPr>
              <w:t xml:space="preserve"> špeciálnymi potrebami</w:t>
            </w:r>
            <w:r w:rsidRPr="007B618F">
              <w:rPr>
                <w:sz w:val="20"/>
              </w:rPr>
              <w:t xml:space="preserve"> (T</w:t>
            </w:r>
            <w:r>
              <w:rPr>
                <w:sz w:val="20"/>
              </w:rPr>
              <w:t>o dá rozum,</w:t>
            </w:r>
            <w:r w:rsidRPr="007B618F">
              <w:rPr>
                <w:sz w:val="20"/>
              </w:rPr>
              <w:t xml:space="preserve"> 2019). Učitelia budú vzdelávaní v skupinách po 10 v rozsahu 50 hodín ročne podľa štandardnej dĺžky trvaniu obdobných kurzov. Celkové náklady predstavujú sumu 307 - tisíc eur prvý rok na tvorbu kurzov a</w:t>
            </w:r>
            <w:r>
              <w:rPr>
                <w:sz w:val="20"/>
              </w:rPr>
              <w:t> 3,7</w:t>
            </w:r>
            <w:r w:rsidRPr="007B618F">
              <w:rPr>
                <w:sz w:val="20"/>
              </w:rPr>
              <w:t xml:space="preserve"> milióna eur ročne v ďalších štyroch rokoch na vzdelávanie učiteľov. Predpokladá sa, že jeden učiteľ absolvuje jeden program za jeden rok.</w:t>
            </w:r>
          </w:p>
        </w:tc>
      </w:tr>
      <w:tr w:rsidR="00F16AF6" w:rsidRPr="000B09C5" w14:paraId="48DFAA52" w14:textId="77777777" w:rsidTr="00793156">
        <w:trPr>
          <w:trHeight w:val="510"/>
        </w:trPr>
        <w:tc>
          <w:tcPr>
            <w:tcW w:w="567" w:type="dxa"/>
            <w:tcBorders>
              <w:top w:val="nil"/>
              <w:left w:val="nil"/>
              <w:bottom w:val="dotted" w:sz="4" w:space="0" w:color="auto"/>
              <w:right w:val="nil"/>
            </w:tcBorders>
            <w:shd w:val="clear" w:color="000000" w:fill="FFFFFF"/>
            <w:vAlign w:val="bottom"/>
          </w:tcPr>
          <w:p w14:paraId="584C5F47" w14:textId="77777777" w:rsidR="00F16AF6" w:rsidRDefault="00F16AF6" w:rsidP="00793156">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8.3</w:t>
            </w:r>
          </w:p>
        </w:tc>
        <w:tc>
          <w:tcPr>
            <w:tcW w:w="2694" w:type="dxa"/>
            <w:tcBorders>
              <w:top w:val="nil"/>
              <w:left w:val="nil"/>
              <w:bottom w:val="dotted" w:sz="4" w:space="0" w:color="auto"/>
              <w:right w:val="nil"/>
            </w:tcBorders>
            <w:shd w:val="clear" w:color="000000" w:fill="FFFFFF"/>
            <w:vAlign w:val="bottom"/>
          </w:tcPr>
          <w:p w14:paraId="04F004E8" w14:textId="77777777" w:rsidR="00F16AF6" w:rsidRPr="007F4230" w:rsidRDefault="00F16AF6" w:rsidP="00793156">
            <w:pPr>
              <w:spacing w:after="0" w:line="240" w:lineRule="auto"/>
              <w:jc w:val="left"/>
              <w:rPr>
                <w:rFonts w:eastAsia="Times New Roman" w:cs="Times New Roman"/>
                <w:color w:val="000000"/>
                <w:sz w:val="20"/>
                <w:lang w:eastAsia="sk-SK"/>
              </w:rPr>
            </w:pPr>
            <w:r w:rsidRPr="007F4230">
              <w:rPr>
                <w:sz w:val="20"/>
              </w:rPr>
              <w:t>Vytvorenie vzdelávacieho programu zameraného na problematiku segregácie vo vzdelávaní pre riaditeľov MŠ a ZŠ, starostov obcí ako zriaďovateľov škôl a úradníkov okresných úradov</w:t>
            </w:r>
          </w:p>
        </w:tc>
        <w:tc>
          <w:tcPr>
            <w:tcW w:w="850" w:type="dxa"/>
            <w:tcBorders>
              <w:top w:val="nil"/>
              <w:left w:val="nil"/>
              <w:bottom w:val="dotted" w:sz="4" w:space="0" w:color="auto"/>
              <w:right w:val="nil"/>
            </w:tcBorders>
            <w:shd w:val="clear" w:color="000000" w:fill="FFFFFF"/>
            <w:noWrap/>
            <w:vAlign w:val="bottom"/>
          </w:tcPr>
          <w:p w14:paraId="06F8F128" w14:textId="77777777" w:rsidR="00F16AF6" w:rsidRDefault="00F16AF6" w:rsidP="00793156">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1,5</w:t>
            </w:r>
          </w:p>
        </w:tc>
        <w:tc>
          <w:tcPr>
            <w:tcW w:w="9923" w:type="dxa"/>
            <w:tcBorders>
              <w:top w:val="nil"/>
              <w:left w:val="nil"/>
              <w:bottom w:val="dotted" w:sz="4" w:space="0" w:color="auto"/>
              <w:right w:val="nil"/>
            </w:tcBorders>
            <w:shd w:val="clear" w:color="000000" w:fill="FFFFFF"/>
            <w:noWrap/>
            <w:vAlign w:val="bottom"/>
          </w:tcPr>
          <w:p w14:paraId="174839D7" w14:textId="56C2B1D5" w:rsidR="00F16AF6" w:rsidRPr="003F1E78" w:rsidRDefault="00F16AF6" w:rsidP="00793156">
            <w:pPr>
              <w:spacing w:after="0" w:line="240" w:lineRule="auto"/>
              <w:rPr>
                <w:sz w:val="20"/>
              </w:rPr>
            </w:pPr>
            <w:r w:rsidRPr="004D56D1">
              <w:rPr>
                <w:sz w:val="20"/>
              </w:rPr>
              <w:t>Počíta sa dĺžkou tvorby kurzu jeden rok pri nákladoch 20 eur/hodinu tvorcov a lektorov kurzov (v súlade s výškou odmien v realizovaných národných projektoch). Cieľovú skupinu tvorí 9 315 ľudí (2 087 riaditeľov</w:t>
            </w:r>
            <w:r w:rsidR="0070047D">
              <w:rPr>
                <w:sz w:val="20"/>
              </w:rPr>
              <w:t xml:space="preserve"> </w:t>
            </w:r>
            <w:r w:rsidRPr="004D56D1">
              <w:rPr>
                <w:sz w:val="20"/>
              </w:rPr>
              <w:t>ZŠ, 3 001 riaditeľov MŠ, 1 560 zriaďovateľov ZŠ, 2 272 zriaďovateľov MŠ a 395 zamestnancov okresných úradov). Vzdelávanie bude prebiehať v skupinách po 10 v rozsahu 50 hodín ročne podľa štandardnej dĺžky trvaniu obdobných kurzov. Počíta sa s tvorbou spoločného základného modulu kurzu pre všetky cieľové skupiny (riaditelia, zriaďovatelia a zamestnanci okresných úradov) a špecifického modulu pre každú cieľovú skupinu. Celkové náklady predstavujú sumu 153 - tisíc eur prvý rok na tvorbu kurzov a 1,4 milióna eur v ďalšom roku na samotné vzdelávanie.</w:t>
            </w:r>
          </w:p>
        </w:tc>
      </w:tr>
      <w:tr w:rsidR="00F16AF6" w:rsidRPr="000B09C5" w14:paraId="4C8504DC" w14:textId="77777777" w:rsidTr="00793156">
        <w:trPr>
          <w:trHeight w:val="510"/>
        </w:trPr>
        <w:tc>
          <w:tcPr>
            <w:tcW w:w="567" w:type="dxa"/>
            <w:tcBorders>
              <w:top w:val="nil"/>
              <w:left w:val="nil"/>
              <w:bottom w:val="dotted" w:sz="4" w:space="0" w:color="auto"/>
              <w:right w:val="nil"/>
            </w:tcBorders>
            <w:shd w:val="clear" w:color="000000" w:fill="FFFFFF"/>
            <w:vAlign w:val="bottom"/>
          </w:tcPr>
          <w:p w14:paraId="4795F4FD" w14:textId="77777777" w:rsidR="00F16AF6" w:rsidRDefault="00F16AF6" w:rsidP="00793156">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8.4</w:t>
            </w:r>
          </w:p>
        </w:tc>
        <w:tc>
          <w:tcPr>
            <w:tcW w:w="2694" w:type="dxa"/>
            <w:tcBorders>
              <w:top w:val="nil"/>
              <w:left w:val="nil"/>
              <w:bottom w:val="dotted" w:sz="4" w:space="0" w:color="auto"/>
              <w:right w:val="nil"/>
            </w:tcBorders>
            <w:shd w:val="clear" w:color="000000" w:fill="FFFFFF"/>
            <w:vAlign w:val="bottom"/>
          </w:tcPr>
          <w:p w14:paraId="5EE468A6" w14:textId="77777777" w:rsidR="00F16AF6" w:rsidRPr="007F4230" w:rsidRDefault="00F16AF6" w:rsidP="00793156">
            <w:pPr>
              <w:spacing w:after="0" w:line="240" w:lineRule="auto"/>
              <w:jc w:val="left"/>
              <w:rPr>
                <w:rFonts w:eastAsia="Times New Roman" w:cs="Times New Roman"/>
                <w:color w:val="000000"/>
                <w:sz w:val="20"/>
                <w:lang w:eastAsia="sk-SK"/>
              </w:rPr>
            </w:pPr>
            <w:r w:rsidRPr="007F4230">
              <w:rPr>
                <w:rFonts w:eastAsia="Times New Roman" w:cs="Times New Roman"/>
                <w:color w:val="000000"/>
                <w:sz w:val="20"/>
                <w:lang w:eastAsia="sk-SK"/>
              </w:rPr>
              <w:t>Rozšírenie ponuky programov vzdelávania o programy zamerané na nadobúdanie kompetencií vo výučbe slovenského jazyka ako druhého jazyka</w:t>
            </w:r>
          </w:p>
        </w:tc>
        <w:tc>
          <w:tcPr>
            <w:tcW w:w="850" w:type="dxa"/>
            <w:tcBorders>
              <w:top w:val="nil"/>
              <w:left w:val="nil"/>
              <w:bottom w:val="dotted" w:sz="4" w:space="0" w:color="auto"/>
              <w:right w:val="nil"/>
            </w:tcBorders>
            <w:shd w:val="clear" w:color="000000" w:fill="FFFFFF"/>
            <w:noWrap/>
            <w:vAlign w:val="bottom"/>
          </w:tcPr>
          <w:p w14:paraId="7B8F80DE" w14:textId="77777777" w:rsidR="00F16AF6" w:rsidRPr="000B09C5" w:rsidRDefault="00F16AF6" w:rsidP="00793156">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0,6</w:t>
            </w:r>
          </w:p>
        </w:tc>
        <w:tc>
          <w:tcPr>
            <w:tcW w:w="9923" w:type="dxa"/>
            <w:tcBorders>
              <w:top w:val="nil"/>
              <w:left w:val="nil"/>
              <w:bottom w:val="dotted" w:sz="4" w:space="0" w:color="auto"/>
              <w:right w:val="nil"/>
            </w:tcBorders>
            <w:shd w:val="clear" w:color="000000" w:fill="FFFFFF"/>
            <w:noWrap/>
            <w:vAlign w:val="bottom"/>
          </w:tcPr>
          <w:p w14:paraId="4B4FB950" w14:textId="77777777" w:rsidR="00F16AF6" w:rsidRPr="003F1E78" w:rsidRDefault="00F16AF6" w:rsidP="00793156">
            <w:pPr>
              <w:spacing w:after="0" w:line="240" w:lineRule="auto"/>
              <w:rPr>
                <w:sz w:val="20"/>
              </w:rPr>
            </w:pPr>
            <w:r w:rsidRPr="003F1E78">
              <w:rPr>
                <w:sz w:val="20"/>
              </w:rPr>
              <w:t>Počíta sa dĺžkou tvorby kurzu jeden rok pri nákladoch 20 eur/hodinu tvorcov a lektorov kurzov (v súlade s výškou odmien v realizovaných národných projektoch). Cieľová skupina 2 062 učiteľov predstavuje všetkých učiteľov na prvom stupni v školách, ktoré sa nachádzajú v obciach, kde Rómovia hovoriaci po rómsky tvoria viac ako 20 % populácie obce. Učitelia budú vzdelávaní v skupinách po 10 v rozsahu 100 hodín ročne podľa štandardnej dĺžky trvaniu obdobných kurzov. Celkové náklady predstavujú sumu 77 tisíc eur prvý rok na tvorbu kurzov a 618 tisíc eur v ďalšom roku na vzdelávanie učiteľov.</w:t>
            </w:r>
          </w:p>
        </w:tc>
      </w:tr>
      <w:tr w:rsidR="00F16AF6" w:rsidRPr="000B09C5" w14:paraId="11BB0CA8" w14:textId="77777777" w:rsidTr="00793156">
        <w:trPr>
          <w:trHeight w:val="210"/>
        </w:trPr>
        <w:tc>
          <w:tcPr>
            <w:tcW w:w="567" w:type="dxa"/>
            <w:tcBorders>
              <w:top w:val="nil"/>
              <w:left w:val="nil"/>
              <w:bottom w:val="dotted" w:sz="4" w:space="0" w:color="auto"/>
              <w:right w:val="nil"/>
            </w:tcBorders>
            <w:shd w:val="clear" w:color="000000" w:fill="FFFFFF"/>
            <w:vAlign w:val="bottom"/>
          </w:tcPr>
          <w:p w14:paraId="26183AC0" w14:textId="77777777" w:rsidR="00F16AF6" w:rsidRDefault="00F16AF6" w:rsidP="00793156">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9</w:t>
            </w:r>
          </w:p>
        </w:tc>
        <w:tc>
          <w:tcPr>
            <w:tcW w:w="2694" w:type="dxa"/>
            <w:tcBorders>
              <w:top w:val="nil"/>
              <w:left w:val="nil"/>
              <w:bottom w:val="dotted" w:sz="4" w:space="0" w:color="auto"/>
              <w:right w:val="nil"/>
            </w:tcBorders>
            <w:shd w:val="clear" w:color="000000" w:fill="FFFFFF"/>
            <w:vAlign w:val="bottom"/>
          </w:tcPr>
          <w:p w14:paraId="0A928E87" w14:textId="77777777" w:rsidR="00F16AF6" w:rsidRPr="007F4230" w:rsidRDefault="00F16AF6" w:rsidP="00793156">
            <w:pPr>
              <w:spacing w:after="0"/>
              <w:jc w:val="left"/>
              <w:rPr>
                <w:sz w:val="20"/>
              </w:rPr>
            </w:pPr>
            <w:r w:rsidRPr="007F4230">
              <w:rPr>
                <w:sz w:val="20"/>
              </w:rPr>
              <w:t>Zaviesť flexibilnú výšku normatívu pre druhošancové vzdelávanie</w:t>
            </w:r>
          </w:p>
        </w:tc>
        <w:tc>
          <w:tcPr>
            <w:tcW w:w="850" w:type="dxa"/>
            <w:tcBorders>
              <w:top w:val="nil"/>
              <w:left w:val="nil"/>
              <w:bottom w:val="dotted" w:sz="4" w:space="0" w:color="auto"/>
              <w:right w:val="nil"/>
            </w:tcBorders>
            <w:shd w:val="clear" w:color="000000" w:fill="FFFFFF"/>
            <w:noWrap/>
            <w:vAlign w:val="bottom"/>
          </w:tcPr>
          <w:p w14:paraId="33727C0E" w14:textId="77777777" w:rsidR="00F16AF6" w:rsidRDefault="00F16AF6" w:rsidP="00793156">
            <w:pPr>
              <w:spacing w:after="0"/>
              <w:jc w:val="right"/>
              <w:rPr>
                <w:rFonts w:eastAsia="Times New Roman" w:cs="Times New Roman"/>
                <w:color w:val="000000"/>
                <w:sz w:val="20"/>
                <w:lang w:eastAsia="sk-SK"/>
              </w:rPr>
            </w:pPr>
            <w:r>
              <w:rPr>
                <w:rFonts w:eastAsia="Times New Roman" w:cs="Times New Roman"/>
                <w:color w:val="000000"/>
                <w:sz w:val="20"/>
                <w:lang w:eastAsia="sk-SK"/>
              </w:rPr>
              <w:t>0,9</w:t>
            </w:r>
          </w:p>
        </w:tc>
        <w:tc>
          <w:tcPr>
            <w:tcW w:w="9923" w:type="dxa"/>
            <w:tcBorders>
              <w:top w:val="nil"/>
              <w:left w:val="nil"/>
              <w:bottom w:val="dotted" w:sz="4" w:space="0" w:color="auto"/>
              <w:right w:val="nil"/>
            </w:tcBorders>
            <w:shd w:val="clear" w:color="000000" w:fill="FFFFFF"/>
            <w:noWrap/>
            <w:vAlign w:val="bottom"/>
          </w:tcPr>
          <w:p w14:paraId="4A0DE29A" w14:textId="227ABEE5" w:rsidR="00F16AF6" w:rsidRPr="00DA36C1" w:rsidRDefault="00F16AF6" w:rsidP="00793156">
            <w:pPr>
              <w:spacing w:after="0" w:line="240" w:lineRule="auto"/>
              <w:rPr>
                <w:sz w:val="20"/>
              </w:rPr>
            </w:pPr>
            <w:r>
              <w:rPr>
                <w:sz w:val="20"/>
              </w:rPr>
              <w:t>Oproti súčasnému systému, v rámci ktorého bolo na žiaka alokovaných 10 % normatívu, sa navrhuje zaviesť flexibilná výška normatívu (10 až 100 %). Konkrétna výška normatívu bude závisieť od rozsahu rámcového učebného plánu, ktorý podľa potrieb študenta stanovuje riaditeľ školy. Dodatočné výdavky, ktoré zavedenie flexibilne výšky normatívu prinesie, sú vypočítané ako rozdiel medzi násobkom priemerného počtu žiakov participujúcich na druhošancovom vzdelávaní v jednotlivých typoch škôl (ZŠ, GYM a SOŠ) za posledných päť rokov (2014-2018) a výškou flexibilného normatívu (počíta sa so stredovou hodnotou 50 %)</w:t>
            </w:r>
            <w:r w:rsidR="0070047D">
              <w:rPr>
                <w:sz w:val="20"/>
              </w:rPr>
              <w:t xml:space="preserve"> </w:t>
            </w:r>
            <w:r>
              <w:rPr>
                <w:sz w:val="20"/>
              </w:rPr>
              <w:t>a násobkom priemerného počtu žiakov participujúcich na druhošancovom vzdelávaní v jednotlivých typoch škôl (ZŠ, GYM a SOŠ) za pos</w:t>
            </w:r>
            <w:r w:rsidR="00BB7573">
              <w:rPr>
                <w:sz w:val="20"/>
              </w:rPr>
              <w:t>ledných päť rokov (2014-2018) a </w:t>
            </w:r>
            <w:r>
              <w:rPr>
                <w:sz w:val="20"/>
              </w:rPr>
              <w:t>výškou pôvodného normatívu (10 %).</w:t>
            </w:r>
          </w:p>
        </w:tc>
      </w:tr>
      <w:tr w:rsidR="00F16AF6" w:rsidRPr="000B09C5" w14:paraId="56CEC301" w14:textId="77777777" w:rsidTr="00793156">
        <w:trPr>
          <w:trHeight w:val="210"/>
        </w:trPr>
        <w:tc>
          <w:tcPr>
            <w:tcW w:w="567" w:type="dxa"/>
            <w:tcBorders>
              <w:top w:val="nil"/>
              <w:left w:val="nil"/>
              <w:bottom w:val="dotted" w:sz="4" w:space="0" w:color="auto"/>
              <w:right w:val="nil"/>
            </w:tcBorders>
            <w:shd w:val="clear" w:color="000000" w:fill="FFFFFF"/>
            <w:vAlign w:val="bottom"/>
          </w:tcPr>
          <w:p w14:paraId="4FE15349" w14:textId="77777777" w:rsidR="00F16AF6" w:rsidRDefault="00F16AF6" w:rsidP="00793156">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10</w:t>
            </w:r>
          </w:p>
        </w:tc>
        <w:tc>
          <w:tcPr>
            <w:tcW w:w="2694" w:type="dxa"/>
            <w:tcBorders>
              <w:top w:val="nil"/>
              <w:left w:val="nil"/>
              <w:bottom w:val="dotted" w:sz="4" w:space="0" w:color="auto"/>
              <w:right w:val="nil"/>
            </w:tcBorders>
            <w:shd w:val="clear" w:color="000000" w:fill="FFFFFF"/>
            <w:vAlign w:val="bottom"/>
          </w:tcPr>
          <w:p w14:paraId="1244F196" w14:textId="77777777" w:rsidR="00F16AF6" w:rsidRPr="007F4230" w:rsidRDefault="00F16AF6" w:rsidP="00793156">
            <w:pPr>
              <w:spacing w:after="0"/>
              <w:jc w:val="left"/>
              <w:rPr>
                <w:rFonts w:eastAsia="Times New Roman" w:cs="Times New Roman"/>
                <w:color w:val="000000"/>
                <w:sz w:val="20"/>
                <w:lang w:eastAsia="sk-SK"/>
              </w:rPr>
            </w:pPr>
            <w:r w:rsidRPr="007F4230">
              <w:rPr>
                <w:sz w:val="20"/>
              </w:rPr>
              <w:t>Zvýšiť objem zdrojov na debarierizáciu základných a stredných škôl</w:t>
            </w:r>
          </w:p>
        </w:tc>
        <w:tc>
          <w:tcPr>
            <w:tcW w:w="850" w:type="dxa"/>
            <w:tcBorders>
              <w:top w:val="nil"/>
              <w:left w:val="nil"/>
              <w:bottom w:val="dotted" w:sz="4" w:space="0" w:color="auto"/>
              <w:right w:val="nil"/>
            </w:tcBorders>
            <w:shd w:val="clear" w:color="000000" w:fill="FFFFFF"/>
            <w:noWrap/>
            <w:vAlign w:val="bottom"/>
          </w:tcPr>
          <w:p w14:paraId="79F4C7B4" w14:textId="77777777" w:rsidR="00F16AF6" w:rsidRPr="00CA2564" w:rsidRDefault="00F16AF6" w:rsidP="00793156">
            <w:pPr>
              <w:spacing w:after="0"/>
              <w:jc w:val="right"/>
              <w:rPr>
                <w:rFonts w:eastAsia="Times New Roman" w:cs="Times New Roman"/>
                <w:color w:val="000000"/>
                <w:sz w:val="20"/>
                <w:lang w:eastAsia="sk-SK"/>
              </w:rPr>
            </w:pPr>
            <w:r>
              <w:rPr>
                <w:rFonts w:eastAsia="Times New Roman" w:cs="Times New Roman"/>
                <w:color w:val="000000"/>
                <w:sz w:val="20"/>
                <w:lang w:eastAsia="sk-SK"/>
              </w:rPr>
              <w:t>0,6</w:t>
            </w:r>
          </w:p>
        </w:tc>
        <w:tc>
          <w:tcPr>
            <w:tcW w:w="9923" w:type="dxa"/>
            <w:tcBorders>
              <w:top w:val="nil"/>
              <w:left w:val="nil"/>
              <w:bottom w:val="dotted" w:sz="4" w:space="0" w:color="auto"/>
              <w:right w:val="nil"/>
            </w:tcBorders>
            <w:shd w:val="clear" w:color="000000" w:fill="FFFFFF"/>
            <w:noWrap/>
            <w:vAlign w:val="bottom"/>
          </w:tcPr>
          <w:p w14:paraId="3E9E37C8" w14:textId="6C074ACB" w:rsidR="00F16AF6" w:rsidRPr="00BA5C14" w:rsidRDefault="00F16AF6" w:rsidP="00793156">
            <w:pPr>
              <w:spacing w:after="0" w:line="240" w:lineRule="auto"/>
              <w:rPr>
                <w:sz w:val="20"/>
              </w:rPr>
            </w:pPr>
            <w:r w:rsidRPr="00BA5C14">
              <w:rPr>
                <w:sz w:val="20"/>
              </w:rPr>
              <w:t>Počíta sa s navýšením zdrojov pre základné školy (z 300 tisíc na 600 tisíc eur) a vytvorením samost</w:t>
            </w:r>
            <w:r w:rsidR="00BB7573">
              <w:rPr>
                <w:sz w:val="20"/>
              </w:rPr>
              <w:t>atného rozvojového projektu pre </w:t>
            </w:r>
            <w:r w:rsidRPr="00BA5C14">
              <w:rPr>
                <w:sz w:val="20"/>
              </w:rPr>
              <w:t>stredné školy (300 tisíc eur).</w:t>
            </w:r>
          </w:p>
        </w:tc>
      </w:tr>
      <w:tr w:rsidR="00F16AF6" w:rsidRPr="000B09C5" w14:paraId="6D1EE0AD" w14:textId="77777777" w:rsidTr="00793156">
        <w:trPr>
          <w:trHeight w:val="510"/>
        </w:trPr>
        <w:tc>
          <w:tcPr>
            <w:tcW w:w="567" w:type="dxa"/>
            <w:tcBorders>
              <w:top w:val="nil"/>
              <w:left w:val="nil"/>
              <w:bottom w:val="dotted" w:sz="4" w:space="0" w:color="auto"/>
              <w:right w:val="nil"/>
            </w:tcBorders>
            <w:shd w:val="clear" w:color="000000" w:fill="FFFFFF"/>
            <w:vAlign w:val="bottom"/>
          </w:tcPr>
          <w:p w14:paraId="551BE4EA" w14:textId="77777777" w:rsidR="00F16AF6" w:rsidRDefault="00F16AF6" w:rsidP="00793156">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11</w:t>
            </w:r>
          </w:p>
        </w:tc>
        <w:tc>
          <w:tcPr>
            <w:tcW w:w="2694" w:type="dxa"/>
            <w:tcBorders>
              <w:top w:val="nil"/>
              <w:left w:val="nil"/>
              <w:bottom w:val="dotted" w:sz="4" w:space="0" w:color="auto"/>
              <w:right w:val="nil"/>
            </w:tcBorders>
            <w:shd w:val="clear" w:color="000000" w:fill="FFFFFF"/>
            <w:vAlign w:val="bottom"/>
          </w:tcPr>
          <w:p w14:paraId="2A29BFE6" w14:textId="77777777" w:rsidR="00F16AF6" w:rsidRPr="007F4230" w:rsidRDefault="00F16AF6" w:rsidP="00793156">
            <w:pPr>
              <w:spacing w:after="0" w:line="240" w:lineRule="auto"/>
              <w:jc w:val="left"/>
              <w:rPr>
                <w:rFonts w:eastAsia="Times New Roman" w:cs="Times New Roman"/>
                <w:color w:val="000000"/>
                <w:sz w:val="20"/>
                <w:lang w:eastAsia="sk-SK"/>
              </w:rPr>
            </w:pPr>
            <w:r w:rsidRPr="007F4230">
              <w:rPr>
                <w:sz w:val="20"/>
              </w:rPr>
              <w:t>Pilotne overiť úpravu školských obvodov na desegregačnom princípe</w:t>
            </w:r>
          </w:p>
        </w:tc>
        <w:tc>
          <w:tcPr>
            <w:tcW w:w="850" w:type="dxa"/>
            <w:tcBorders>
              <w:top w:val="nil"/>
              <w:left w:val="nil"/>
              <w:bottom w:val="dotted" w:sz="4" w:space="0" w:color="auto"/>
              <w:right w:val="nil"/>
            </w:tcBorders>
            <w:shd w:val="clear" w:color="000000" w:fill="FFFFFF"/>
            <w:noWrap/>
            <w:vAlign w:val="bottom"/>
          </w:tcPr>
          <w:p w14:paraId="1EB39AB2" w14:textId="77777777" w:rsidR="00F16AF6" w:rsidRPr="000B09C5" w:rsidRDefault="00F16AF6" w:rsidP="00793156">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0,8</w:t>
            </w:r>
          </w:p>
        </w:tc>
        <w:tc>
          <w:tcPr>
            <w:tcW w:w="9923" w:type="dxa"/>
            <w:tcBorders>
              <w:top w:val="nil"/>
              <w:left w:val="nil"/>
              <w:bottom w:val="dotted" w:sz="4" w:space="0" w:color="auto"/>
              <w:right w:val="nil"/>
            </w:tcBorders>
            <w:shd w:val="clear" w:color="000000" w:fill="FFFFFF"/>
            <w:noWrap/>
            <w:vAlign w:val="bottom"/>
          </w:tcPr>
          <w:p w14:paraId="6B4264B8" w14:textId="77777777" w:rsidR="00F16AF6" w:rsidRPr="000B09C5" w:rsidRDefault="00F16AF6" w:rsidP="00BB7573">
            <w:pPr>
              <w:spacing w:after="0" w:line="240" w:lineRule="auto"/>
              <w:rPr>
                <w:rFonts w:eastAsia="Times New Roman" w:cs="Times New Roman"/>
                <w:color w:val="000000"/>
                <w:sz w:val="20"/>
                <w:lang w:eastAsia="sk-SK"/>
              </w:rPr>
            </w:pPr>
            <w:r>
              <w:rPr>
                <w:rFonts w:eastAsia="Times New Roman" w:cs="Times New Roman"/>
                <w:color w:val="000000"/>
                <w:sz w:val="20"/>
                <w:lang w:eastAsia="sk-SK"/>
              </w:rPr>
              <w:t>Výdavky na pilot sú namodelované na prípad väčšej obce/menšieho mesta s tromi základnými školami. Predpokladá sa, že žiaci z MRKsú v súlade so stanovenými školskými obvodmi koncentrovaní do jednej z troch škôl, pričom zvyšné dve školy majú voľné kapacity na začlenenie týchto žiakov. Cieľom pilotu je otestovať dobrovoľnú zmenu školských obvodov tak, aby od stanoveného školského roku žiaci zo SZP začali navštevovať ostatné dve školy a škola, v ktorej sa žiaci zo SZP pôvodne koncetrovali, prestala prijimať žiakov do prvého ročníka. Počíta sa s výdavkami na päť rokov (pol roka príprava projektu, štyri roky realizácie na prvom stupni ZŠ, pol roka spracovanie výstupovprojektu), a to na primerané úväzky supervízora desegrergácie, pedagogických asistentov a odborných zamestnancov a terénnych sociálnych pracovníkov. Príprava na proces desegrgeácie bude zahŕnať tvorbu komunikačnej stratégie a poskytnutie vzdelávacích kurzov pre zriaďovateľa, úradníkov, riaditeľov škôl, pedagogických a odborných zamestnancov. Súčasťou podory desegregačného procesu bude tiež pokrytie výdavkov na bezplatnú dopravu a školský klub detí pre všetkých žiakov prvého stupňa na zapojených školách. Počíta sa tiež s výskumným komponentom, výsledkom ktorého bude vytvorenie metodického materiálu pre tvorbu desegregácie.</w:t>
            </w:r>
          </w:p>
        </w:tc>
      </w:tr>
      <w:tr w:rsidR="00F16AF6" w:rsidRPr="000B09C5" w14:paraId="31667302" w14:textId="77777777" w:rsidTr="00793156">
        <w:trPr>
          <w:trHeight w:val="510"/>
        </w:trPr>
        <w:tc>
          <w:tcPr>
            <w:tcW w:w="567" w:type="dxa"/>
            <w:tcBorders>
              <w:top w:val="nil"/>
              <w:left w:val="nil"/>
              <w:bottom w:val="dotted" w:sz="4" w:space="0" w:color="auto"/>
              <w:right w:val="nil"/>
            </w:tcBorders>
            <w:shd w:val="clear" w:color="000000" w:fill="FFFFFF"/>
            <w:vAlign w:val="bottom"/>
          </w:tcPr>
          <w:p w14:paraId="549E342C" w14:textId="77777777" w:rsidR="00F16AF6" w:rsidRDefault="00F16AF6" w:rsidP="00793156">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12.1</w:t>
            </w:r>
          </w:p>
        </w:tc>
        <w:tc>
          <w:tcPr>
            <w:tcW w:w="2694" w:type="dxa"/>
            <w:tcBorders>
              <w:top w:val="nil"/>
              <w:left w:val="nil"/>
              <w:bottom w:val="dotted" w:sz="4" w:space="0" w:color="auto"/>
              <w:right w:val="nil"/>
            </w:tcBorders>
            <w:shd w:val="clear" w:color="000000" w:fill="FFFFFF"/>
            <w:vAlign w:val="bottom"/>
          </w:tcPr>
          <w:p w14:paraId="54446868" w14:textId="77777777" w:rsidR="00F16AF6" w:rsidRPr="007F4230" w:rsidRDefault="00F16AF6" w:rsidP="00793156">
            <w:pPr>
              <w:spacing w:after="0" w:line="240" w:lineRule="auto"/>
              <w:jc w:val="left"/>
              <w:rPr>
                <w:rFonts w:eastAsia="Times New Roman" w:cs="Times New Roman"/>
                <w:color w:val="000000"/>
                <w:sz w:val="20"/>
                <w:lang w:eastAsia="sk-SK"/>
              </w:rPr>
            </w:pPr>
            <w:r w:rsidRPr="007F4230">
              <w:rPr>
                <w:sz w:val="20"/>
              </w:rPr>
              <w:t>Povinná každoročná rediagnostika žiakov s ľahkým mentálnym postihnutím na prvom stupni bežných a špeciálnych základných škôl</w:t>
            </w:r>
          </w:p>
        </w:tc>
        <w:tc>
          <w:tcPr>
            <w:tcW w:w="850" w:type="dxa"/>
            <w:tcBorders>
              <w:top w:val="nil"/>
              <w:left w:val="nil"/>
              <w:bottom w:val="dotted" w:sz="4" w:space="0" w:color="auto"/>
              <w:right w:val="nil"/>
            </w:tcBorders>
            <w:shd w:val="clear" w:color="000000" w:fill="FFFFFF"/>
            <w:noWrap/>
            <w:vAlign w:val="bottom"/>
          </w:tcPr>
          <w:p w14:paraId="5F663140" w14:textId="77777777" w:rsidR="00F16AF6" w:rsidRPr="000B09C5" w:rsidRDefault="00F16AF6" w:rsidP="00793156">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0,1</w:t>
            </w:r>
          </w:p>
        </w:tc>
        <w:tc>
          <w:tcPr>
            <w:tcW w:w="9923" w:type="dxa"/>
            <w:tcBorders>
              <w:top w:val="nil"/>
              <w:left w:val="nil"/>
              <w:bottom w:val="dotted" w:sz="4" w:space="0" w:color="auto"/>
              <w:right w:val="nil"/>
            </w:tcBorders>
            <w:shd w:val="clear" w:color="000000" w:fill="FFFFFF"/>
            <w:noWrap/>
            <w:vAlign w:val="bottom"/>
          </w:tcPr>
          <w:p w14:paraId="6E7C4B6C" w14:textId="77777777" w:rsidR="00F16AF6" w:rsidRPr="000B09C5" w:rsidRDefault="00F16AF6" w:rsidP="00BB7573">
            <w:pPr>
              <w:spacing w:after="0" w:line="240" w:lineRule="auto"/>
              <w:rPr>
                <w:rFonts w:eastAsia="Times New Roman" w:cs="Times New Roman"/>
                <w:color w:val="000000"/>
                <w:sz w:val="20"/>
                <w:lang w:eastAsia="sk-SK"/>
              </w:rPr>
            </w:pPr>
            <w:r>
              <w:rPr>
                <w:rFonts w:eastAsia="Times New Roman" w:cs="Times New Roman"/>
                <w:color w:val="000000"/>
                <w:sz w:val="20"/>
                <w:lang w:eastAsia="sk-SK"/>
              </w:rPr>
              <w:t>Výdavky na povinnú rediagnostiku sú napočítané ako násobok priemerného počtu žiakov s ľahkým mentálnym postihnutím na prvom stupni bežných a špeciálnych základných škôl v roku 2018 (1 636 žiakov) a výdavku štátnej CŠPP na diagnostiku žiaka s ľahkým mentálnym postihnutím (40 eur, z toho normatívny príspevok 30,2 eur na klienta avýkonový príspevok za diagnostiku ľahkého mentálneho postihnutia 9,8 eur).</w:t>
            </w:r>
          </w:p>
        </w:tc>
      </w:tr>
      <w:tr w:rsidR="00F16AF6" w:rsidRPr="000B09C5" w14:paraId="2CB09A9B" w14:textId="77777777" w:rsidTr="00793156">
        <w:trPr>
          <w:trHeight w:val="510"/>
        </w:trPr>
        <w:tc>
          <w:tcPr>
            <w:tcW w:w="567" w:type="dxa"/>
            <w:tcBorders>
              <w:top w:val="nil"/>
              <w:left w:val="nil"/>
              <w:bottom w:val="dotted" w:sz="4" w:space="0" w:color="auto"/>
              <w:right w:val="nil"/>
            </w:tcBorders>
            <w:shd w:val="clear" w:color="000000" w:fill="FFFFFF"/>
            <w:vAlign w:val="bottom"/>
          </w:tcPr>
          <w:p w14:paraId="4256E878" w14:textId="77777777" w:rsidR="00F16AF6" w:rsidRDefault="00F16AF6" w:rsidP="00793156">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12.2</w:t>
            </w:r>
          </w:p>
        </w:tc>
        <w:tc>
          <w:tcPr>
            <w:tcW w:w="2694" w:type="dxa"/>
            <w:tcBorders>
              <w:top w:val="nil"/>
              <w:left w:val="nil"/>
              <w:bottom w:val="dotted" w:sz="4" w:space="0" w:color="auto"/>
              <w:right w:val="nil"/>
            </w:tcBorders>
            <w:shd w:val="clear" w:color="000000" w:fill="FFFFFF"/>
            <w:vAlign w:val="bottom"/>
          </w:tcPr>
          <w:p w14:paraId="1B212E25" w14:textId="77777777" w:rsidR="00F16AF6" w:rsidRPr="007F4230" w:rsidRDefault="00F16AF6" w:rsidP="00793156">
            <w:pPr>
              <w:spacing w:after="0" w:line="240" w:lineRule="auto"/>
              <w:jc w:val="left"/>
              <w:rPr>
                <w:rFonts w:eastAsia="Times New Roman" w:cs="Times New Roman"/>
                <w:color w:val="000000"/>
                <w:sz w:val="20"/>
                <w:lang w:eastAsia="sk-SK"/>
              </w:rPr>
            </w:pPr>
            <w:r w:rsidRPr="007F4230">
              <w:rPr>
                <w:sz w:val="20"/>
              </w:rPr>
              <w:t>Pilotný projekt transformácie špeciálnej základnej školy na bežnú základnú školu alebo zdrojové centrum</w:t>
            </w:r>
          </w:p>
        </w:tc>
        <w:tc>
          <w:tcPr>
            <w:tcW w:w="850" w:type="dxa"/>
            <w:tcBorders>
              <w:top w:val="nil"/>
              <w:left w:val="nil"/>
              <w:bottom w:val="dotted" w:sz="4" w:space="0" w:color="auto"/>
              <w:right w:val="nil"/>
            </w:tcBorders>
            <w:shd w:val="clear" w:color="000000" w:fill="FFFFFF"/>
            <w:noWrap/>
            <w:vAlign w:val="bottom"/>
          </w:tcPr>
          <w:p w14:paraId="62F40028" w14:textId="77777777" w:rsidR="00F16AF6" w:rsidRPr="000B09C5" w:rsidRDefault="00F16AF6" w:rsidP="00793156">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0,5</w:t>
            </w:r>
          </w:p>
        </w:tc>
        <w:tc>
          <w:tcPr>
            <w:tcW w:w="9923" w:type="dxa"/>
            <w:tcBorders>
              <w:top w:val="nil"/>
              <w:left w:val="nil"/>
              <w:bottom w:val="dotted" w:sz="4" w:space="0" w:color="auto"/>
              <w:right w:val="nil"/>
            </w:tcBorders>
            <w:shd w:val="clear" w:color="000000" w:fill="FFFFFF"/>
            <w:noWrap/>
            <w:vAlign w:val="bottom"/>
          </w:tcPr>
          <w:p w14:paraId="45B6D9A5" w14:textId="77777777" w:rsidR="00F16AF6" w:rsidRDefault="00F16AF6" w:rsidP="00BB7573">
            <w:pPr>
              <w:spacing w:after="0" w:line="240" w:lineRule="auto"/>
              <w:rPr>
                <w:rFonts w:eastAsia="Times New Roman" w:cs="Times New Roman"/>
                <w:color w:val="000000"/>
                <w:sz w:val="20"/>
                <w:lang w:eastAsia="sk-SK"/>
              </w:rPr>
            </w:pPr>
            <w:r>
              <w:rPr>
                <w:rFonts w:eastAsia="Times New Roman" w:cs="Times New Roman"/>
                <w:color w:val="000000"/>
                <w:sz w:val="20"/>
                <w:lang w:eastAsia="sk-SK"/>
              </w:rPr>
              <w:t>Výdavky na pilot sú namodelované na postupné dobrovoľné zrušenie špeciálnej školy, ktorá vzdeláva výlučne alebo prevažne žiakov s ľahkým mentálnym postihnutím. Počíta sa s výdavkami na päť rokov (pol roka príprava projektu, štyri roky realizácie na prvom stupni ZŠ, pol roka spracovanie výstupovprojektu), a to na primerané úväzky supervízora desegrergácie, pedagogických asistentov a terénnych sociálnych pracovníkov. Príprava na proces bude zahŕnať tvorbu komunikačnej stratégie a poskytnutie vzdelávacích kurzov pre zriaďovateľov, úradníkov, riaditeľov škôl, pedagogických a odborných zamestnancov. Súčasťou podpory procesu bude tiež pokrytie výdavkov na bezplatnú dopravu pre žiakov pôvodne navštevujúcich špeciálu školu. Počíta sa tiež s výskumným komponentom, výsledkom ktorého bude vytvorenie metodického materiálu pre tento typ transformačného procesu.</w:t>
            </w:r>
          </w:p>
          <w:p w14:paraId="12C863FD" w14:textId="77777777" w:rsidR="00F16AF6" w:rsidRPr="000B09C5" w:rsidRDefault="00F16AF6" w:rsidP="00793156">
            <w:pPr>
              <w:spacing w:after="0" w:line="240" w:lineRule="auto"/>
              <w:jc w:val="left"/>
              <w:rPr>
                <w:rFonts w:eastAsia="Times New Roman" w:cs="Times New Roman"/>
                <w:color w:val="000000"/>
                <w:sz w:val="20"/>
                <w:lang w:eastAsia="sk-SK"/>
              </w:rPr>
            </w:pPr>
          </w:p>
        </w:tc>
      </w:tr>
      <w:tr w:rsidR="00F16AF6" w:rsidRPr="000B09C5" w14:paraId="64CB42BB" w14:textId="77777777" w:rsidTr="00793156">
        <w:trPr>
          <w:trHeight w:val="510"/>
        </w:trPr>
        <w:tc>
          <w:tcPr>
            <w:tcW w:w="567" w:type="dxa"/>
            <w:tcBorders>
              <w:top w:val="nil"/>
              <w:left w:val="nil"/>
              <w:bottom w:val="dotted" w:sz="4" w:space="0" w:color="auto"/>
              <w:right w:val="nil"/>
            </w:tcBorders>
            <w:shd w:val="clear" w:color="000000" w:fill="FFFFFF"/>
            <w:vAlign w:val="bottom"/>
          </w:tcPr>
          <w:p w14:paraId="0E2800E8" w14:textId="77777777" w:rsidR="00F16AF6" w:rsidRDefault="00F16AF6" w:rsidP="00793156">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12.3</w:t>
            </w:r>
          </w:p>
        </w:tc>
        <w:tc>
          <w:tcPr>
            <w:tcW w:w="2694" w:type="dxa"/>
            <w:tcBorders>
              <w:top w:val="nil"/>
              <w:left w:val="nil"/>
              <w:bottom w:val="dotted" w:sz="4" w:space="0" w:color="auto"/>
              <w:right w:val="nil"/>
            </w:tcBorders>
            <w:shd w:val="clear" w:color="000000" w:fill="FFFFFF"/>
            <w:vAlign w:val="bottom"/>
          </w:tcPr>
          <w:p w14:paraId="2FB77A88" w14:textId="77777777" w:rsidR="00F16AF6" w:rsidRPr="007F4230" w:rsidRDefault="00F16AF6" w:rsidP="00793156">
            <w:pPr>
              <w:spacing w:after="0" w:line="240" w:lineRule="auto"/>
              <w:jc w:val="left"/>
              <w:rPr>
                <w:rFonts w:eastAsia="Times New Roman" w:cs="Times New Roman"/>
                <w:color w:val="000000"/>
                <w:sz w:val="20"/>
                <w:lang w:eastAsia="sk-SK"/>
              </w:rPr>
            </w:pPr>
            <w:r w:rsidRPr="007F4230">
              <w:rPr>
                <w:sz w:val="20"/>
              </w:rPr>
              <w:t>Pilotný projekt zrušenia špeciálnych tried v 16 základných školách</w:t>
            </w:r>
          </w:p>
        </w:tc>
        <w:tc>
          <w:tcPr>
            <w:tcW w:w="850" w:type="dxa"/>
            <w:tcBorders>
              <w:top w:val="nil"/>
              <w:left w:val="nil"/>
              <w:bottom w:val="dotted" w:sz="4" w:space="0" w:color="auto"/>
              <w:right w:val="nil"/>
            </w:tcBorders>
            <w:shd w:val="clear" w:color="000000" w:fill="FFFFFF"/>
            <w:noWrap/>
            <w:vAlign w:val="bottom"/>
          </w:tcPr>
          <w:p w14:paraId="2CE47A5D" w14:textId="77777777" w:rsidR="00F16AF6" w:rsidRPr="000B09C5" w:rsidRDefault="00F16AF6" w:rsidP="00793156">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1,2</w:t>
            </w:r>
          </w:p>
        </w:tc>
        <w:tc>
          <w:tcPr>
            <w:tcW w:w="9923" w:type="dxa"/>
            <w:tcBorders>
              <w:top w:val="nil"/>
              <w:left w:val="nil"/>
              <w:bottom w:val="dotted" w:sz="4" w:space="0" w:color="auto"/>
              <w:right w:val="nil"/>
            </w:tcBorders>
            <w:shd w:val="clear" w:color="000000" w:fill="FFFFFF"/>
            <w:noWrap/>
            <w:vAlign w:val="bottom"/>
          </w:tcPr>
          <w:p w14:paraId="54371C26" w14:textId="77777777" w:rsidR="00F16AF6" w:rsidRDefault="00F16AF6" w:rsidP="00BB7573">
            <w:pPr>
              <w:spacing w:after="0" w:line="240" w:lineRule="auto"/>
              <w:rPr>
                <w:rFonts w:eastAsia="Times New Roman" w:cs="Times New Roman"/>
                <w:color w:val="000000"/>
                <w:sz w:val="20"/>
                <w:lang w:eastAsia="sk-SK"/>
              </w:rPr>
            </w:pPr>
            <w:r>
              <w:rPr>
                <w:rFonts w:eastAsia="Times New Roman" w:cs="Times New Roman"/>
                <w:color w:val="000000"/>
                <w:sz w:val="20"/>
                <w:lang w:eastAsia="sk-SK"/>
              </w:rPr>
              <w:t>Výdavky na pilot sú namodelované na postupné dobrovoľné zrušenie špeciálnych tried a následné začlenenie žiakov do bežných tried v ôsmich základných školách (po jednej školy z každého kraja). Počíta sa s výdavkami na šesť rokov (pol roka príprava projektu, päť rokov realizácie na druhom stupni ZŠ, pol roka uzavretie projektu), a to na primerané úväzky pedagogických asistentov. Príprava na proces zrušenia špeciálnych tried bude zahŕnať tvorbu komunikačnej stratégie a poskytnutie vzdelávacích kurzov pre zriaďovateľov, úradníkov, riaditeľov škôl, pedagogických a odborných zamestnancov. Súčasťou podory procesu bude tiež pokrytie výdavkov na bezplatný školský klub detí pre všetkých žiakov prvého stupňa na zapojených školách. Počíta sa tiež s výskumným komponentom, výsledkom ktorého bude vytvorenie metodického materiálu pre tento typ transformačného procesu.</w:t>
            </w:r>
          </w:p>
          <w:p w14:paraId="613FB9E4" w14:textId="77777777" w:rsidR="00F16AF6" w:rsidRPr="000B09C5" w:rsidRDefault="00F16AF6" w:rsidP="00793156">
            <w:pPr>
              <w:spacing w:after="0" w:line="240" w:lineRule="auto"/>
              <w:jc w:val="left"/>
              <w:rPr>
                <w:rFonts w:eastAsia="Times New Roman" w:cs="Times New Roman"/>
                <w:color w:val="000000"/>
                <w:sz w:val="20"/>
                <w:lang w:eastAsia="sk-SK"/>
              </w:rPr>
            </w:pPr>
          </w:p>
        </w:tc>
      </w:tr>
      <w:tr w:rsidR="00F16AF6" w:rsidRPr="00035200" w14:paraId="416C6BDD" w14:textId="77777777" w:rsidTr="00793156">
        <w:trPr>
          <w:trHeight w:val="468"/>
        </w:trPr>
        <w:tc>
          <w:tcPr>
            <w:tcW w:w="567" w:type="dxa"/>
            <w:tcBorders>
              <w:top w:val="nil"/>
              <w:left w:val="nil"/>
              <w:bottom w:val="dotted" w:sz="4" w:space="0" w:color="auto"/>
              <w:right w:val="nil"/>
            </w:tcBorders>
            <w:shd w:val="clear" w:color="000000" w:fill="FFFFFF"/>
            <w:vAlign w:val="bottom"/>
            <w:hideMark/>
          </w:tcPr>
          <w:p w14:paraId="64CBF725" w14:textId="77777777" w:rsidR="00F16AF6" w:rsidRPr="00035200" w:rsidRDefault="00F16AF6" w:rsidP="00793156">
            <w:pPr>
              <w:spacing w:after="0" w:line="240" w:lineRule="auto"/>
              <w:jc w:val="center"/>
              <w:rPr>
                <w:rFonts w:eastAsia="Times New Roman" w:cs="Times New Roman"/>
                <w:color w:val="000000"/>
                <w:sz w:val="20"/>
                <w:lang w:eastAsia="sk-SK"/>
              </w:rPr>
            </w:pPr>
            <w:r w:rsidRPr="00035200">
              <w:rPr>
                <w:rFonts w:eastAsia="Times New Roman" w:cs="Times New Roman"/>
                <w:color w:val="000000"/>
                <w:sz w:val="20"/>
                <w:lang w:eastAsia="sk-SK"/>
              </w:rPr>
              <w:t>13</w:t>
            </w:r>
          </w:p>
        </w:tc>
        <w:tc>
          <w:tcPr>
            <w:tcW w:w="2694" w:type="dxa"/>
            <w:tcBorders>
              <w:top w:val="nil"/>
              <w:left w:val="nil"/>
              <w:bottom w:val="dotted" w:sz="4" w:space="0" w:color="auto"/>
              <w:right w:val="nil"/>
            </w:tcBorders>
            <w:shd w:val="clear" w:color="000000" w:fill="FFFFFF"/>
            <w:vAlign w:val="bottom"/>
            <w:hideMark/>
          </w:tcPr>
          <w:p w14:paraId="7FD51FE7" w14:textId="77777777" w:rsidR="00F16AF6" w:rsidRPr="007F4230" w:rsidRDefault="00F16AF6" w:rsidP="00793156">
            <w:pPr>
              <w:spacing w:after="0" w:line="240" w:lineRule="auto"/>
              <w:jc w:val="left"/>
              <w:rPr>
                <w:rFonts w:eastAsia="Times New Roman" w:cs="Times New Roman"/>
                <w:color w:val="000000"/>
                <w:sz w:val="20"/>
                <w:lang w:eastAsia="sk-SK"/>
              </w:rPr>
            </w:pPr>
            <w:r w:rsidRPr="007F4230">
              <w:rPr>
                <w:rFonts w:eastAsia="Times New Roman" w:cs="Times New Roman"/>
                <w:color w:val="000000"/>
                <w:sz w:val="20"/>
                <w:lang w:eastAsia="sk-SK"/>
              </w:rPr>
              <w:t>Zabezpečiť individuálnu prácu so znevýhodnenými skupinami na trhu práce</w:t>
            </w:r>
          </w:p>
        </w:tc>
        <w:tc>
          <w:tcPr>
            <w:tcW w:w="850" w:type="dxa"/>
            <w:tcBorders>
              <w:top w:val="nil"/>
              <w:left w:val="nil"/>
              <w:bottom w:val="dotted" w:sz="4" w:space="0" w:color="auto"/>
              <w:right w:val="nil"/>
            </w:tcBorders>
            <w:shd w:val="clear" w:color="000000" w:fill="FFFFFF"/>
            <w:noWrap/>
            <w:vAlign w:val="bottom"/>
            <w:hideMark/>
          </w:tcPr>
          <w:p w14:paraId="2E35DC7A" w14:textId="77777777" w:rsidR="00F16AF6" w:rsidRPr="00035200" w:rsidRDefault="00F16AF6" w:rsidP="00793156">
            <w:pPr>
              <w:spacing w:after="0" w:line="240" w:lineRule="auto"/>
              <w:jc w:val="right"/>
              <w:rPr>
                <w:rFonts w:eastAsia="Times New Roman" w:cs="Times New Roman"/>
                <w:color w:val="000000"/>
                <w:sz w:val="20"/>
                <w:lang w:eastAsia="sk-SK"/>
              </w:rPr>
            </w:pPr>
            <w:r w:rsidRPr="00035200">
              <w:rPr>
                <w:rFonts w:eastAsia="Times New Roman" w:cs="Times New Roman"/>
                <w:color w:val="000000"/>
                <w:sz w:val="20"/>
                <w:lang w:eastAsia="sk-SK"/>
              </w:rPr>
              <w:t>3,3</w:t>
            </w:r>
          </w:p>
        </w:tc>
        <w:tc>
          <w:tcPr>
            <w:tcW w:w="9923" w:type="dxa"/>
            <w:tcBorders>
              <w:top w:val="nil"/>
              <w:left w:val="nil"/>
              <w:bottom w:val="dotted" w:sz="4" w:space="0" w:color="auto"/>
              <w:right w:val="nil"/>
            </w:tcBorders>
            <w:shd w:val="clear" w:color="000000" w:fill="FFFFFF"/>
            <w:noWrap/>
            <w:vAlign w:val="bottom"/>
            <w:hideMark/>
          </w:tcPr>
          <w:p w14:paraId="6357FC06" w14:textId="5957474D" w:rsidR="00F16AF6" w:rsidRPr="00035200" w:rsidRDefault="00F16AF6" w:rsidP="00793156">
            <w:pPr>
              <w:spacing w:after="0" w:line="240" w:lineRule="auto"/>
              <w:rPr>
                <w:rFonts w:eastAsia="Calibri" w:cs="Times New Roman"/>
                <w:sz w:val="20"/>
              </w:rPr>
            </w:pPr>
            <w:r w:rsidRPr="00035200">
              <w:rPr>
                <w:rFonts w:eastAsia="Calibri" w:cs="Times New Roman"/>
                <w:sz w:val="20"/>
              </w:rPr>
              <w:t>Analytická štúdia z dielne Inštitútu pre výskum práce a rodiny vypracovaná na základe požiadavky MPSVR SR navrhuje systém financovania činnosti APZ skladajúci sa z dvoch typov transferov -</w:t>
            </w:r>
            <w:r w:rsidR="0070047D">
              <w:rPr>
                <w:rFonts w:eastAsia="Calibri" w:cs="Times New Roman"/>
                <w:sz w:val="20"/>
              </w:rPr>
              <w:t xml:space="preserve"> </w:t>
            </w:r>
            <w:r w:rsidRPr="00035200">
              <w:rPr>
                <w:rFonts w:eastAsia="Calibri" w:cs="Times New Roman"/>
                <w:sz w:val="20"/>
              </w:rPr>
              <w:t>transferov za poskytovanie individualizovaného poradenstva pre ťažko uplatniteľných UoZ (najviac po dobu 15 mesiacov) a transferov za umiestnenie UoZ na trhu práce (najviac po dobu 6 mesiacov, súhrne oba transfery však najviac 15 mesiacov na jedného UoZ). Odhadované náklady tvoria 161 eur mesačne na jedného UoZ za poskytovanie individualizovaného poradenstva a výška mesačného príspevku za jedného úspešne umiestneného UoZ je navrhovaná na úrovni 50 % vymeriavacieho základu mzdy umiestnenej osoby. Celkové ročné náklady na obidva typy transferov sú odhadované na 3 282 000 eur.</w:t>
            </w:r>
            <w:r w:rsidRPr="00035200">
              <w:rPr>
                <w:rStyle w:val="Odkaznapoznmkupodiarou"/>
                <w:rFonts w:eastAsia="Calibri" w:cs="Times New Roman"/>
                <w:sz w:val="20"/>
              </w:rPr>
              <w:footnoteReference w:id="554"/>
            </w:r>
          </w:p>
        </w:tc>
      </w:tr>
      <w:tr w:rsidR="00F16AF6" w:rsidRPr="000B09C5" w14:paraId="7529E8A6" w14:textId="77777777" w:rsidTr="00793156">
        <w:trPr>
          <w:trHeight w:val="510"/>
        </w:trPr>
        <w:tc>
          <w:tcPr>
            <w:tcW w:w="567" w:type="dxa"/>
            <w:tcBorders>
              <w:top w:val="nil"/>
              <w:left w:val="nil"/>
              <w:bottom w:val="dotted" w:sz="4" w:space="0" w:color="auto"/>
              <w:right w:val="nil"/>
            </w:tcBorders>
            <w:shd w:val="clear" w:color="000000" w:fill="FFFFFF"/>
            <w:vAlign w:val="bottom"/>
            <w:hideMark/>
          </w:tcPr>
          <w:p w14:paraId="7772D686" w14:textId="77777777" w:rsidR="00F16AF6" w:rsidRPr="00CA2564" w:rsidRDefault="00F16AF6" w:rsidP="00793156">
            <w:pPr>
              <w:spacing w:after="0"/>
              <w:jc w:val="center"/>
              <w:rPr>
                <w:rFonts w:eastAsia="Times New Roman" w:cs="Times New Roman"/>
                <w:color w:val="000000"/>
                <w:sz w:val="20"/>
                <w:lang w:eastAsia="sk-SK"/>
              </w:rPr>
            </w:pPr>
            <w:r>
              <w:rPr>
                <w:rFonts w:eastAsia="Times New Roman" w:cs="Times New Roman"/>
                <w:color w:val="000000"/>
                <w:sz w:val="20"/>
                <w:lang w:eastAsia="sk-SK"/>
              </w:rPr>
              <w:t>14</w:t>
            </w:r>
          </w:p>
        </w:tc>
        <w:tc>
          <w:tcPr>
            <w:tcW w:w="2694" w:type="dxa"/>
            <w:tcBorders>
              <w:top w:val="nil"/>
              <w:left w:val="nil"/>
              <w:bottom w:val="dotted" w:sz="4" w:space="0" w:color="auto"/>
              <w:right w:val="nil"/>
            </w:tcBorders>
            <w:shd w:val="clear" w:color="000000" w:fill="FFFFFF"/>
            <w:vAlign w:val="bottom"/>
            <w:hideMark/>
          </w:tcPr>
          <w:p w14:paraId="0B9CB956" w14:textId="77777777" w:rsidR="00F16AF6" w:rsidRPr="007F4230" w:rsidRDefault="00F16AF6" w:rsidP="00793156">
            <w:pPr>
              <w:spacing w:after="0" w:line="240" w:lineRule="auto"/>
              <w:jc w:val="left"/>
              <w:rPr>
                <w:rFonts w:eastAsia="Times New Roman" w:cs="Times New Roman"/>
                <w:color w:val="000000"/>
                <w:sz w:val="20"/>
                <w:lang w:eastAsia="sk-SK"/>
              </w:rPr>
            </w:pPr>
            <w:r w:rsidRPr="007F4230">
              <w:rPr>
                <w:rFonts w:eastAsia="Times New Roman" w:cs="Times New Roman"/>
                <w:color w:val="000000"/>
                <w:sz w:val="20"/>
                <w:lang w:eastAsia="sk-SK"/>
              </w:rPr>
              <w:t>Zabezpečiť debarierizáciu úradov práce</w:t>
            </w:r>
          </w:p>
        </w:tc>
        <w:tc>
          <w:tcPr>
            <w:tcW w:w="850" w:type="dxa"/>
            <w:tcBorders>
              <w:top w:val="nil"/>
              <w:left w:val="nil"/>
              <w:bottom w:val="dotted" w:sz="4" w:space="0" w:color="auto"/>
              <w:right w:val="nil"/>
            </w:tcBorders>
            <w:shd w:val="clear" w:color="000000" w:fill="FFFFFF"/>
            <w:noWrap/>
            <w:vAlign w:val="bottom"/>
            <w:hideMark/>
          </w:tcPr>
          <w:p w14:paraId="167EC607" w14:textId="77777777" w:rsidR="00F16AF6" w:rsidRPr="000B09C5" w:rsidRDefault="00F16AF6" w:rsidP="00793156">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0,6</w:t>
            </w:r>
          </w:p>
        </w:tc>
        <w:tc>
          <w:tcPr>
            <w:tcW w:w="9923" w:type="dxa"/>
            <w:tcBorders>
              <w:top w:val="nil"/>
              <w:left w:val="nil"/>
              <w:bottom w:val="dotted" w:sz="4" w:space="0" w:color="auto"/>
              <w:right w:val="nil"/>
            </w:tcBorders>
            <w:shd w:val="clear" w:color="000000" w:fill="FFFFFF"/>
            <w:noWrap/>
            <w:vAlign w:val="bottom"/>
            <w:hideMark/>
          </w:tcPr>
          <w:p w14:paraId="187FAD59" w14:textId="77777777" w:rsidR="00F16AF6" w:rsidRPr="00874780" w:rsidRDefault="00F16AF6" w:rsidP="00BB7573">
            <w:pPr>
              <w:spacing w:after="0" w:line="240" w:lineRule="auto"/>
              <w:rPr>
                <w:rFonts w:eastAsia="Times New Roman" w:cs="Times New Roman"/>
                <w:color w:val="000000"/>
                <w:sz w:val="20"/>
                <w:lang w:eastAsia="sk-SK"/>
              </w:rPr>
            </w:pPr>
            <w:r>
              <w:rPr>
                <w:rFonts w:eastAsia="Times New Roman" w:cs="Times New Roman"/>
                <w:color w:val="000000"/>
                <w:sz w:val="20"/>
                <w:lang w:eastAsia="sk-SK"/>
              </w:rPr>
              <w:t xml:space="preserve">Výpočet zahŕňa </w:t>
            </w:r>
            <w:r w:rsidRPr="008F1437">
              <w:rPr>
                <w:rFonts w:eastAsia="Times New Roman" w:cs="Times New Roman"/>
                <w:color w:val="000000"/>
                <w:sz w:val="20"/>
                <w:lang w:eastAsia="sk-SK"/>
              </w:rPr>
              <w:t xml:space="preserve">všetky </w:t>
            </w:r>
            <w:r>
              <w:rPr>
                <w:rFonts w:eastAsia="Times New Roman" w:cs="Times New Roman"/>
                <w:color w:val="000000"/>
                <w:sz w:val="20"/>
                <w:lang w:eastAsia="sk-SK"/>
              </w:rPr>
              <w:t>ú</w:t>
            </w:r>
            <w:r w:rsidRPr="008F1437">
              <w:rPr>
                <w:rFonts w:eastAsia="Times New Roman" w:cs="Times New Roman"/>
                <w:color w:val="000000"/>
                <w:sz w:val="20"/>
                <w:lang w:eastAsia="sk-SK"/>
              </w:rPr>
              <w:t>rad</w:t>
            </w:r>
            <w:r>
              <w:rPr>
                <w:rFonts w:eastAsia="Times New Roman" w:cs="Times New Roman"/>
                <w:color w:val="000000"/>
                <w:sz w:val="20"/>
                <w:lang w:eastAsia="sk-SK"/>
              </w:rPr>
              <w:t>y</w:t>
            </w:r>
            <w:r w:rsidRPr="008F1437">
              <w:rPr>
                <w:rFonts w:eastAsia="Times New Roman" w:cs="Times New Roman"/>
                <w:color w:val="000000"/>
                <w:sz w:val="20"/>
                <w:lang w:eastAsia="sk-SK"/>
              </w:rPr>
              <w:t xml:space="preserve"> práce</w:t>
            </w:r>
            <w:r>
              <w:rPr>
                <w:rFonts w:eastAsia="Times New Roman" w:cs="Times New Roman"/>
                <w:color w:val="000000"/>
                <w:sz w:val="20"/>
                <w:lang w:eastAsia="sk-SK"/>
              </w:rPr>
              <w:t xml:space="preserve"> (spolu 9)</w:t>
            </w:r>
            <w:r w:rsidRPr="008F1437">
              <w:rPr>
                <w:rFonts w:eastAsia="Times New Roman" w:cs="Times New Roman"/>
                <w:color w:val="000000"/>
                <w:sz w:val="20"/>
                <w:lang w:eastAsia="sk-SK"/>
              </w:rPr>
              <w:t>, ktoré na základe monitoringu komisárky pre osoby so zdravotným postihnutím z roku 2016 nemali bezbariérový prístup</w:t>
            </w:r>
            <w:r>
              <w:rPr>
                <w:rFonts w:eastAsia="Times New Roman" w:cs="Times New Roman"/>
                <w:color w:val="000000"/>
                <w:sz w:val="20"/>
                <w:lang w:eastAsia="sk-SK"/>
              </w:rPr>
              <w:t xml:space="preserve"> </w:t>
            </w:r>
            <w:r w:rsidRPr="008F1437">
              <w:rPr>
                <w:rFonts w:eastAsia="Times New Roman" w:cs="Times New Roman"/>
                <w:color w:val="000000"/>
                <w:sz w:val="20"/>
                <w:lang w:eastAsia="sk-SK"/>
              </w:rPr>
              <w:t>a</w:t>
            </w:r>
            <w:r>
              <w:rPr>
                <w:rFonts w:eastAsia="Times New Roman" w:cs="Times New Roman"/>
                <w:color w:val="000000"/>
                <w:sz w:val="20"/>
                <w:lang w:eastAsia="sk-SK"/>
              </w:rPr>
              <w:t> z toho všetky pracoviská, ktoré</w:t>
            </w:r>
            <w:r w:rsidRPr="008F1437">
              <w:rPr>
                <w:rFonts w:eastAsia="Times New Roman" w:cs="Times New Roman"/>
                <w:color w:val="000000"/>
                <w:sz w:val="20"/>
                <w:lang w:eastAsia="sk-SK"/>
              </w:rPr>
              <w:t> dodnes takýto prístup nemajú</w:t>
            </w:r>
            <w:r>
              <w:rPr>
                <w:rFonts w:eastAsia="Times New Roman" w:cs="Times New Roman"/>
                <w:color w:val="000000"/>
                <w:sz w:val="20"/>
                <w:lang w:eastAsia="sk-SK"/>
              </w:rPr>
              <w:t xml:space="preserve"> (spolu 14)</w:t>
            </w:r>
            <w:r w:rsidRPr="008F1437">
              <w:rPr>
                <w:rFonts w:eastAsia="Times New Roman" w:cs="Times New Roman"/>
                <w:color w:val="000000"/>
                <w:sz w:val="20"/>
                <w:lang w:eastAsia="sk-SK"/>
              </w:rPr>
              <w:t>. Pri úradoch práce, ktoré v monitoringu vykazovali bezbariérový prístup, nebolo zisťované, či je tomu tak na všetkých pracoviskách, preto môže byť skutočný počet pracovísk bez bezbariérového prístupu ešte vyšší. Výpočet vychádza z potreby úprav v štyroch kategóriách (parkovacie miesto, bezbariérový vchod, bezbariérový interiér a výťah). V každej kategórii boli necenené tri úrovne potreby úprav (najnižšia, stredná a najvyššia) a z nich vypočítaná priemerná cena. Pre menšie úpravy, ako napríklad postavenie vstupnej rampy bez ďalších úprav, boli v priemeroch kladené vyššie váhy. Súčet položiek v každej kategórii tvorí cenu priemernej debarierizácie jedného pracoviska Úradu práce. Priemerná rekonštrukcia jedného pracoviska úradu práce by tak stála 39 tisíc eur</w:t>
            </w:r>
            <w:r>
              <w:rPr>
                <w:rFonts w:eastAsia="Times New Roman" w:cs="Times New Roman"/>
                <w:color w:val="000000"/>
                <w:sz w:val="20"/>
                <w:lang w:eastAsia="sk-SK"/>
              </w:rPr>
              <w:t>.</w:t>
            </w:r>
          </w:p>
        </w:tc>
      </w:tr>
      <w:tr w:rsidR="00F16AF6" w:rsidRPr="000B09C5" w14:paraId="3EEAC348" w14:textId="77777777" w:rsidTr="00793156">
        <w:trPr>
          <w:trHeight w:val="566"/>
        </w:trPr>
        <w:tc>
          <w:tcPr>
            <w:tcW w:w="567" w:type="dxa"/>
            <w:tcBorders>
              <w:top w:val="nil"/>
              <w:left w:val="nil"/>
              <w:bottom w:val="dotted" w:sz="4" w:space="0" w:color="auto"/>
              <w:right w:val="nil"/>
            </w:tcBorders>
            <w:shd w:val="clear" w:color="000000" w:fill="FFFFFF"/>
            <w:vAlign w:val="bottom"/>
            <w:hideMark/>
          </w:tcPr>
          <w:p w14:paraId="63CF26C8" w14:textId="77777777" w:rsidR="00F16AF6" w:rsidRPr="00CA2564" w:rsidRDefault="00F16AF6" w:rsidP="00793156">
            <w:pPr>
              <w:spacing w:after="0"/>
              <w:jc w:val="center"/>
              <w:rPr>
                <w:rFonts w:eastAsia="Times New Roman" w:cs="Times New Roman"/>
                <w:color w:val="000000"/>
                <w:sz w:val="20"/>
                <w:lang w:eastAsia="sk-SK"/>
              </w:rPr>
            </w:pPr>
            <w:r>
              <w:rPr>
                <w:rFonts w:eastAsia="Times New Roman" w:cs="Times New Roman"/>
                <w:color w:val="000000"/>
                <w:sz w:val="20"/>
                <w:lang w:eastAsia="sk-SK"/>
              </w:rPr>
              <w:t>15.1</w:t>
            </w:r>
          </w:p>
        </w:tc>
        <w:tc>
          <w:tcPr>
            <w:tcW w:w="2694" w:type="dxa"/>
            <w:tcBorders>
              <w:top w:val="nil"/>
              <w:left w:val="nil"/>
              <w:bottom w:val="dotted" w:sz="4" w:space="0" w:color="auto"/>
              <w:right w:val="nil"/>
            </w:tcBorders>
            <w:shd w:val="clear" w:color="000000" w:fill="FFFFFF"/>
            <w:vAlign w:val="bottom"/>
            <w:hideMark/>
          </w:tcPr>
          <w:p w14:paraId="1D0FB7E0" w14:textId="77777777" w:rsidR="00F16AF6" w:rsidRPr="007F4230" w:rsidRDefault="00F16AF6" w:rsidP="00793156">
            <w:pPr>
              <w:spacing w:after="0" w:line="240" w:lineRule="auto"/>
              <w:jc w:val="left"/>
              <w:rPr>
                <w:rFonts w:eastAsia="Times New Roman" w:cs="Times New Roman"/>
                <w:sz w:val="20"/>
                <w:lang w:eastAsia="sk-SK"/>
              </w:rPr>
            </w:pPr>
            <w:r w:rsidRPr="007F4230">
              <w:rPr>
                <w:sz w:val="20"/>
              </w:rPr>
              <w:t>Naviazanie maximálnej výšky nárokov v systéme PHN pre rodiny s deťmi (po vyňatí príspevku na bývanie) spolu s prídavkom na dieťa na ekvivalent životného minima jednotlivca bez detí zohľadňujúc veľkosť a zloženie domácnosti použitím OECD ekvivalenčnej škály</w:t>
            </w:r>
          </w:p>
        </w:tc>
        <w:tc>
          <w:tcPr>
            <w:tcW w:w="850" w:type="dxa"/>
            <w:tcBorders>
              <w:top w:val="nil"/>
              <w:left w:val="nil"/>
              <w:bottom w:val="dotted" w:sz="4" w:space="0" w:color="auto"/>
              <w:right w:val="nil"/>
            </w:tcBorders>
            <w:shd w:val="clear" w:color="000000" w:fill="FFFFFF"/>
            <w:noWrap/>
            <w:vAlign w:val="bottom"/>
            <w:hideMark/>
          </w:tcPr>
          <w:p w14:paraId="7F0DD175" w14:textId="77777777" w:rsidR="00F16AF6" w:rsidRPr="00030CDE" w:rsidRDefault="00F16AF6" w:rsidP="00793156">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22,0</w:t>
            </w:r>
          </w:p>
        </w:tc>
        <w:tc>
          <w:tcPr>
            <w:tcW w:w="9923" w:type="dxa"/>
            <w:tcBorders>
              <w:top w:val="nil"/>
              <w:left w:val="nil"/>
              <w:bottom w:val="dotted" w:sz="4" w:space="0" w:color="auto"/>
              <w:right w:val="nil"/>
            </w:tcBorders>
            <w:shd w:val="clear" w:color="000000" w:fill="FFFFFF"/>
            <w:noWrap/>
            <w:vAlign w:val="bottom"/>
            <w:hideMark/>
          </w:tcPr>
          <w:p w14:paraId="5029617A" w14:textId="77777777" w:rsidR="00F16AF6" w:rsidRDefault="00F16AF6" w:rsidP="00BB7573">
            <w:pPr>
              <w:spacing w:after="0" w:line="240" w:lineRule="auto"/>
              <w:rPr>
                <w:rFonts w:eastAsia="Times New Roman" w:cs="Times New Roman"/>
                <w:color w:val="000000"/>
                <w:sz w:val="20"/>
                <w:lang w:eastAsia="sk-SK"/>
              </w:rPr>
            </w:pPr>
            <w:r w:rsidRPr="00030CDE">
              <w:rPr>
                <w:rFonts w:eastAsia="Times New Roman" w:cs="Times New Roman"/>
                <w:color w:val="000000"/>
                <w:sz w:val="20"/>
                <w:lang w:eastAsia="sk-SK"/>
              </w:rPr>
              <w:t xml:space="preserve">Výpočet predpokladá rovnaký počet a štruktúru domácností v systéme PHN ako v roku 2018. </w:t>
            </w:r>
            <w:r>
              <w:rPr>
                <w:rFonts w:eastAsia="Times New Roman" w:cs="Times New Roman"/>
                <w:color w:val="000000"/>
                <w:sz w:val="20"/>
                <w:lang w:eastAsia="sk-SK"/>
              </w:rPr>
              <w:t xml:space="preserve">Výška jednotlivých zložiek PHN a životného minima je za rok 2020. </w:t>
            </w:r>
            <w:r w:rsidRPr="00030CDE">
              <w:rPr>
                <w:rFonts w:eastAsia="Times New Roman" w:cs="Times New Roman"/>
                <w:color w:val="000000"/>
                <w:sz w:val="20"/>
                <w:lang w:eastAsia="sk-SK"/>
              </w:rPr>
              <w:t>Pre každú domácnosť je vypočítaný rozdiel medzi maximálnym nárokom na PHN (bez príspevku na bývanie) a ekvivalentom ŽM pre jednotlivca bez detí (použitím OECD ekvivalenčnej škály). Toto je suma, o ktorú by sa domácnosti príjem zvýšil bez ohľadu na to, či a do akej miery sa jej aktuálne suma nárokov kráti v dôsledku iných príjmov.</w:t>
            </w:r>
            <w:r>
              <w:rPr>
                <w:rStyle w:val="Odkaznapoznmkupodiarou"/>
                <w:rFonts w:eastAsia="Times New Roman" w:cs="Times New Roman"/>
                <w:color w:val="000000"/>
                <w:sz w:val="20"/>
                <w:lang w:eastAsia="sk-SK"/>
              </w:rPr>
              <w:footnoteReference w:id="555"/>
            </w:r>
            <w:r w:rsidRPr="00030CDE">
              <w:rPr>
                <w:rFonts w:eastAsia="Times New Roman" w:cs="Times New Roman"/>
                <w:color w:val="000000"/>
                <w:sz w:val="20"/>
                <w:lang w:eastAsia="sk-SK"/>
              </w:rPr>
              <w:t xml:space="preserve"> Príjem sa dorovnáva výlučne prostredníctvom dávky a príspevku na nezaopatrené dieťa, pri ktorom je zohľadnené rozšírenie príspevku na deti v predškolskom veku</w:t>
            </w:r>
            <w:r>
              <w:rPr>
                <w:rFonts w:eastAsia="Times New Roman" w:cs="Times New Roman"/>
                <w:color w:val="000000"/>
                <w:sz w:val="20"/>
                <w:lang w:eastAsia="sk-SK"/>
              </w:rPr>
              <w:t xml:space="preserve"> (pri deťoch vo veku 3 až 5 rokov sa predpokladá zaškolenosť na úrovni 41 % (podkapitola </w:t>
            </w:r>
            <w:r>
              <w:rPr>
                <w:rFonts w:eastAsia="Times New Roman" w:cs="Times New Roman"/>
                <w:color w:val="000000"/>
                <w:sz w:val="20"/>
                <w:lang w:eastAsia="sk-SK"/>
              </w:rPr>
              <w:fldChar w:fldCharType="begin"/>
            </w:r>
            <w:r>
              <w:rPr>
                <w:rFonts w:eastAsia="Times New Roman" w:cs="Times New Roman"/>
                <w:color w:val="000000"/>
                <w:sz w:val="20"/>
                <w:lang w:eastAsia="sk-SK"/>
              </w:rPr>
              <w:instrText xml:space="preserve"> REF _Ref25310222 \r \h  \* MERGEFORMAT </w:instrText>
            </w:r>
            <w:r>
              <w:rPr>
                <w:rFonts w:eastAsia="Times New Roman" w:cs="Times New Roman"/>
                <w:color w:val="000000"/>
                <w:sz w:val="20"/>
                <w:lang w:eastAsia="sk-SK"/>
              </w:rPr>
            </w:r>
            <w:r>
              <w:rPr>
                <w:rFonts w:eastAsia="Times New Roman" w:cs="Times New Roman"/>
                <w:color w:val="000000"/>
                <w:sz w:val="20"/>
                <w:lang w:eastAsia="sk-SK"/>
              </w:rPr>
              <w:fldChar w:fldCharType="separate"/>
            </w:r>
            <w:r w:rsidR="00FA29AF">
              <w:rPr>
                <w:rFonts w:eastAsia="Times New Roman" w:cs="Times New Roman"/>
                <w:color w:val="000000"/>
                <w:sz w:val="20"/>
                <w:lang w:eastAsia="sk-SK"/>
              </w:rPr>
              <w:t>5.1</w:t>
            </w:r>
            <w:r>
              <w:rPr>
                <w:rFonts w:eastAsia="Times New Roman" w:cs="Times New Roman"/>
                <w:color w:val="000000"/>
                <w:sz w:val="20"/>
                <w:lang w:eastAsia="sk-SK"/>
              </w:rPr>
              <w:fldChar w:fldCharType="end"/>
            </w:r>
            <w:r>
              <w:rPr>
                <w:rFonts w:eastAsia="Times New Roman" w:cs="Times New Roman"/>
                <w:color w:val="000000"/>
                <w:sz w:val="20"/>
                <w:lang w:eastAsia="sk-SK"/>
              </w:rPr>
              <w:t>))</w:t>
            </w:r>
            <w:r w:rsidRPr="00030CDE">
              <w:rPr>
                <w:rFonts w:eastAsia="Times New Roman" w:cs="Times New Roman"/>
                <w:color w:val="000000"/>
                <w:sz w:val="20"/>
                <w:lang w:eastAsia="sk-SK"/>
              </w:rPr>
              <w:t xml:space="preserve">. Nároky na ostatné zložky PHN (aktivačný príspevok, ochranný príspevok) zostávajú nezmenené. </w:t>
            </w:r>
          </w:p>
          <w:p w14:paraId="5E8D556B" w14:textId="77777777" w:rsidR="00F16AF6" w:rsidRDefault="00F16AF6" w:rsidP="00793156">
            <w:pPr>
              <w:spacing w:after="0" w:line="240" w:lineRule="auto"/>
              <w:jc w:val="left"/>
              <w:rPr>
                <w:rFonts w:eastAsia="Times New Roman" w:cs="Times New Roman"/>
                <w:color w:val="000000"/>
                <w:sz w:val="20"/>
                <w:lang w:eastAsia="sk-SK"/>
              </w:rPr>
            </w:pPr>
          </w:p>
          <w:p w14:paraId="6F12CA60" w14:textId="132100E4" w:rsidR="00F16AF6" w:rsidRPr="00030CDE" w:rsidRDefault="00F16AF6" w:rsidP="00BB7573">
            <w:pPr>
              <w:spacing w:after="0" w:line="240" w:lineRule="auto"/>
              <w:rPr>
                <w:rFonts w:eastAsia="Times New Roman" w:cs="Times New Roman"/>
                <w:color w:val="000000"/>
                <w:sz w:val="20"/>
                <w:lang w:eastAsia="sk-SK"/>
              </w:rPr>
            </w:pPr>
            <w:r w:rsidRPr="00030CDE">
              <w:rPr>
                <w:rFonts w:eastAsia="Times New Roman" w:cs="Times New Roman"/>
                <w:color w:val="000000"/>
                <w:sz w:val="20"/>
                <w:lang w:eastAsia="sk-SK"/>
              </w:rPr>
              <w:t xml:space="preserve">Výpočet nezohľadňuje fakt, že príspevok na nezaopatrené dieťa </w:t>
            </w:r>
            <w:r>
              <w:rPr>
                <w:rFonts w:eastAsia="Times New Roman" w:cs="Times New Roman"/>
                <w:color w:val="000000"/>
                <w:sz w:val="20"/>
                <w:lang w:eastAsia="sk-SK"/>
              </w:rPr>
              <w:t xml:space="preserve">pre školopovinné deti </w:t>
            </w:r>
            <w:r w:rsidRPr="00030CDE">
              <w:rPr>
                <w:rFonts w:eastAsia="Times New Roman" w:cs="Times New Roman"/>
                <w:color w:val="000000"/>
                <w:sz w:val="20"/>
                <w:lang w:eastAsia="sk-SK"/>
              </w:rPr>
              <w:t xml:space="preserve">je podmienený riadnou školskou dochádzkou, a teda, že nie každá rodina s dieťaťom v systéme PHN má naň nárok. </w:t>
            </w:r>
            <w:r>
              <w:rPr>
                <w:rFonts w:eastAsia="Times New Roman" w:cs="Times New Roman"/>
                <w:color w:val="000000"/>
                <w:sz w:val="20"/>
                <w:lang w:eastAsia="sk-SK"/>
              </w:rPr>
              <w:t xml:space="preserve">Tento efekt by mierne znížil odhadované dodatočné výdavky. </w:t>
            </w:r>
            <w:r w:rsidRPr="00030CDE">
              <w:rPr>
                <w:rFonts w:eastAsia="Times New Roman" w:cs="Times New Roman"/>
                <w:color w:val="000000"/>
                <w:sz w:val="20"/>
                <w:lang w:eastAsia="sk-SK"/>
              </w:rPr>
              <w:t xml:space="preserve">Výpočet tiež nezohľadňuje úsporu z dôvodu </w:t>
            </w:r>
            <w:r w:rsidRPr="005F43D8">
              <w:rPr>
                <w:rFonts w:eastAsia="Times New Roman" w:cs="Times New Roman"/>
                <w:color w:val="000000"/>
                <w:sz w:val="20"/>
                <w:lang w:eastAsia="sk-SK"/>
              </w:rPr>
              <w:t xml:space="preserve">zrušenia príspevku na bývanie v rámci PHN – táto úspora vstupuje do výpočtu výdavkov na nový príspevok na bývanie (hodnotové opatrenie </w:t>
            </w:r>
            <w:r w:rsidR="005F43D8" w:rsidRPr="005F43D8">
              <w:rPr>
                <w:rFonts w:eastAsia="Times New Roman" w:cs="Times New Roman"/>
                <w:color w:val="000000"/>
                <w:sz w:val="20"/>
                <w:lang w:eastAsia="sk-SK"/>
              </w:rPr>
              <w:t>21</w:t>
            </w:r>
            <w:r w:rsidRPr="005F43D8">
              <w:rPr>
                <w:rFonts w:eastAsia="Times New Roman" w:cs="Times New Roman"/>
                <w:color w:val="000000"/>
                <w:sz w:val="20"/>
                <w:lang w:eastAsia="sk-SK"/>
              </w:rPr>
              <w:t>). Hoci príspevok na nezaopatrené dieťa a dávka v hmotnej núdzi sú v návrhu zvýšené, vyňatie príspevku na bývanie z PHN znamená</w:t>
            </w:r>
            <w:r>
              <w:rPr>
                <w:rFonts w:eastAsia="Times New Roman" w:cs="Times New Roman"/>
                <w:color w:val="000000"/>
                <w:sz w:val="20"/>
                <w:lang w:eastAsia="sk-SK"/>
              </w:rPr>
              <w:t xml:space="preserve">, že celková maximálna suma nárokov zostáva podobná ako pred zmenou. Avšak keďže dávka a príspevok na nezaopatrené dieťa sú dostupnejšie ako príspevok na bývanie (podkapitola </w:t>
            </w:r>
            <w:r>
              <w:rPr>
                <w:rFonts w:eastAsia="Times New Roman" w:cs="Times New Roman"/>
                <w:color w:val="000000"/>
                <w:sz w:val="20"/>
                <w:lang w:eastAsia="sk-SK"/>
              </w:rPr>
              <w:fldChar w:fldCharType="begin"/>
            </w:r>
            <w:r>
              <w:rPr>
                <w:rFonts w:eastAsia="Times New Roman" w:cs="Times New Roman"/>
                <w:color w:val="000000"/>
                <w:sz w:val="20"/>
                <w:lang w:eastAsia="sk-SK"/>
              </w:rPr>
              <w:instrText xml:space="preserve"> REF _Ref25315950 \r \h  \* MERGEFORMAT </w:instrText>
            </w:r>
            <w:r>
              <w:rPr>
                <w:rFonts w:eastAsia="Times New Roman" w:cs="Times New Roman"/>
                <w:color w:val="000000"/>
                <w:sz w:val="20"/>
                <w:lang w:eastAsia="sk-SK"/>
              </w:rPr>
            </w:r>
            <w:r>
              <w:rPr>
                <w:rFonts w:eastAsia="Times New Roman" w:cs="Times New Roman"/>
                <w:color w:val="000000"/>
                <w:sz w:val="20"/>
                <w:lang w:eastAsia="sk-SK"/>
              </w:rPr>
              <w:fldChar w:fldCharType="separate"/>
            </w:r>
            <w:r w:rsidR="00FA29AF">
              <w:rPr>
                <w:rFonts w:eastAsia="Times New Roman" w:cs="Times New Roman"/>
                <w:color w:val="000000"/>
                <w:sz w:val="20"/>
                <w:lang w:eastAsia="sk-SK"/>
              </w:rPr>
              <w:t>9.5</w:t>
            </w:r>
            <w:r>
              <w:rPr>
                <w:rFonts w:eastAsia="Times New Roman" w:cs="Times New Roman"/>
                <w:color w:val="000000"/>
                <w:sz w:val="20"/>
                <w:lang w:eastAsia="sk-SK"/>
              </w:rPr>
              <w:fldChar w:fldCharType="end"/>
            </w:r>
            <w:r>
              <w:rPr>
                <w:rFonts w:eastAsia="Times New Roman" w:cs="Times New Roman"/>
                <w:color w:val="000000"/>
                <w:sz w:val="20"/>
                <w:lang w:eastAsia="sk-SK"/>
              </w:rPr>
              <w:t>), dá sa očakávať, že zmena štruktúry PHN by viedla k miernemu navýšeniu počtu prijímateľov a spolu posudzovaných osôb. Tento efekt nie je vo výpočte zohľadnený, v skutočnosti by však bol pravdepodobne nízky.</w:t>
            </w:r>
            <w:r>
              <w:rPr>
                <w:rStyle w:val="Odkaznapoznmkupodiarou"/>
                <w:rFonts w:eastAsia="Times New Roman" w:cs="Times New Roman"/>
                <w:color w:val="000000"/>
                <w:sz w:val="20"/>
                <w:lang w:eastAsia="sk-SK"/>
              </w:rPr>
              <w:footnoteReference w:id="556"/>
            </w:r>
          </w:p>
        </w:tc>
      </w:tr>
      <w:tr w:rsidR="00F16AF6" w:rsidRPr="000B09C5" w14:paraId="4A11AA22" w14:textId="77777777" w:rsidTr="00793156">
        <w:trPr>
          <w:trHeight w:val="274"/>
        </w:trPr>
        <w:tc>
          <w:tcPr>
            <w:tcW w:w="567" w:type="dxa"/>
            <w:tcBorders>
              <w:top w:val="nil"/>
              <w:left w:val="nil"/>
              <w:bottom w:val="dotted" w:sz="4" w:space="0" w:color="auto"/>
              <w:right w:val="nil"/>
            </w:tcBorders>
            <w:shd w:val="clear" w:color="000000" w:fill="FFFFFF"/>
            <w:vAlign w:val="bottom"/>
          </w:tcPr>
          <w:p w14:paraId="4F52651E" w14:textId="77777777" w:rsidR="00F16AF6" w:rsidRPr="00CA2564" w:rsidRDefault="00F16AF6" w:rsidP="00793156">
            <w:pPr>
              <w:spacing w:after="0"/>
              <w:jc w:val="center"/>
              <w:rPr>
                <w:rFonts w:eastAsia="Times New Roman" w:cs="Times New Roman"/>
                <w:color w:val="000000"/>
                <w:sz w:val="20"/>
                <w:lang w:eastAsia="sk-SK"/>
              </w:rPr>
            </w:pPr>
            <w:r>
              <w:rPr>
                <w:rFonts w:eastAsia="Times New Roman" w:cs="Times New Roman"/>
                <w:color w:val="000000"/>
                <w:sz w:val="20"/>
                <w:lang w:eastAsia="sk-SK"/>
              </w:rPr>
              <w:t>15.2</w:t>
            </w:r>
          </w:p>
        </w:tc>
        <w:tc>
          <w:tcPr>
            <w:tcW w:w="2694" w:type="dxa"/>
            <w:tcBorders>
              <w:top w:val="nil"/>
              <w:left w:val="nil"/>
              <w:bottom w:val="dotted" w:sz="4" w:space="0" w:color="auto"/>
              <w:right w:val="nil"/>
            </w:tcBorders>
            <w:shd w:val="clear" w:color="000000" w:fill="FFFFFF"/>
            <w:vAlign w:val="bottom"/>
          </w:tcPr>
          <w:p w14:paraId="26FE0013" w14:textId="77777777" w:rsidR="00F16AF6" w:rsidRPr="007F4230" w:rsidRDefault="00F16AF6" w:rsidP="00793156">
            <w:pPr>
              <w:spacing w:after="0" w:line="240" w:lineRule="auto"/>
              <w:jc w:val="left"/>
              <w:rPr>
                <w:rFonts w:eastAsia="Times New Roman" w:cs="Times New Roman"/>
                <w:color w:val="000000"/>
                <w:sz w:val="20"/>
                <w:lang w:eastAsia="sk-SK"/>
              </w:rPr>
            </w:pPr>
            <w:r w:rsidRPr="007F4230">
              <w:rPr>
                <w:sz w:val="20"/>
              </w:rPr>
              <w:t>Zavedenie tretej úrovne aktivačného príspevku na úrovni 101,80 eur</w:t>
            </w:r>
          </w:p>
        </w:tc>
        <w:tc>
          <w:tcPr>
            <w:tcW w:w="850" w:type="dxa"/>
            <w:tcBorders>
              <w:top w:val="nil"/>
              <w:left w:val="nil"/>
              <w:bottom w:val="dotted" w:sz="4" w:space="0" w:color="auto"/>
              <w:right w:val="nil"/>
            </w:tcBorders>
            <w:shd w:val="clear" w:color="000000" w:fill="FFFFFF"/>
            <w:noWrap/>
            <w:vAlign w:val="bottom"/>
          </w:tcPr>
          <w:p w14:paraId="79559A03" w14:textId="77777777" w:rsidR="00F16AF6" w:rsidRPr="000B09C5" w:rsidRDefault="00F16AF6" w:rsidP="00793156">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0,5</w:t>
            </w:r>
          </w:p>
        </w:tc>
        <w:tc>
          <w:tcPr>
            <w:tcW w:w="9923" w:type="dxa"/>
            <w:tcBorders>
              <w:top w:val="nil"/>
              <w:left w:val="nil"/>
              <w:bottom w:val="dotted" w:sz="4" w:space="0" w:color="auto"/>
              <w:right w:val="nil"/>
            </w:tcBorders>
            <w:shd w:val="clear" w:color="000000" w:fill="FFFFFF"/>
            <w:noWrap/>
            <w:vAlign w:val="bottom"/>
          </w:tcPr>
          <w:p w14:paraId="64025F5F" w14:textId="77777777" w:rsidR="00F16AF6" w:rsidRPr="000B09C5" w:rsidRDefault="00F16AF6" w:rsidP="00BB7573">
            <w:pPr>
              <w:spacing w:after="0" w:line="240" w:lineRule="auto"/>
              <w:rPr>
                <w:rFonts w:eastAsia="Times New Roman" w:cs="Times New Roman"/>
                <w:color w:val="000000"/>
                <w:sz w:val="20"/>
                <w:lang w:eastAsia="sk-SK"/>
              </w:rPr>
            </w:pPr>
            <w:r>
              <w:rPr>
                <w:rFonts w:eastAsia="Times New Roman" w:cs="Times New Roman"/>
                <w:color w:val="000000"/>
                <w:sz w:val="20"/>
                <w:lang w:eastAsia="sk-SK"/>
              </w:rPr>
              <w:t>Výpočet predpokladá stanovenie aktivačného príspevku na úroveň 101,80 eur, čo je na pol ceste medzi hornou (135,70 eur) a dolnou (67,90 eur) úrovňou aktivačného príspevku v súčasnosti. Reálne výdavky budú závisieť od miery zvýšeného záujmu o aktiváciu prostredníctvom vzdelávania a zvyšovania si kvalifikácie. Výpočet predpokladá 50 % nárast v priemernom mesačnom počte príjemcov oproti roku 2019 (zo 491 na 737).</w:t>
            </w:r>
          </w:p>
        </w:tc>
      </w:tr>
      <w:tr w:rsidR="00F16AF6" w:rsidRPr="000B09C5" w14:paraId="4AEB905E" w14:textId="77777777" w:rsidTr="00793156">
        <w:trPr>
          <w:trHeight w:val="510"/>
        </w:trPr>
        <w:tc>
          <w:tcPr>
            <w:tcW w:w="567" w:type="dxa"/>
            <w:tcBorders>
              <w:top w:val="dotted" w:sz="4" w:space="0" w:color="auto"/>
              <w:left w:val="nil"/>
              <w:bottom w:val="dotted" w:sz="4" w:space="0" w:color="auto"/>
              <w:right w:val="nil"/>
            </w:tcBorders>
            <w:shd w:val="clear" w:color="000000" w:fill="FFFFFF"/>
            <w:vAlign w:val="bottom"/>
          </w:tcPr>
          <w:p w14:paraId="22B8C666" w14:textId="77777777" w:rsidR="00F16AF6" w:rsidRPr="00CA2564" w:rsidRDefault="00F16AF6" w:rsidP="00793156">
            <w:pPr>
              <w:spacing w:after="0"/>
              <w:jc w:val="center"/>
              <w:rPr>
                <w:rFonts w:eastAsia="Times New Roman" w:cs="Times New Roman"/>
                <w:color w:val="000000"/>
                <w:sz w:val="20"/>
                <w:lang w:eastAsia="sk-SK"/>
              </w:rPr>
            </w:pPr>
            <w:r>
              <w:rPr>
                <w:rFonts w:eastAsia="Times New Roman" w:cs="Times New Roman"/>
                <w:color w:val="000000"/>
                <w:sz w:val="20"/>
                <w:lang w:eastAsia="sk-SK"/>
              </w:rPr>
              <w:t>15.3</w:t>
            </w:r>
          </w:p>
        </w:tc>
        <w:tc>
          <w:tcPr>
            <w:tcW w:w="2694" w:type="dxa"/>
            <w:tcBorders>
              <w:top w:val="dotted" w:sz="4" w:space="0" w:color="auto"/>
              <w:left w:val="nil"/>
              <w:bottom w:val="dotted" w:sz="4" w:space="0" w:color="auto"/>
              <w:right w:val="nil"/>
            </w:tcBorders>
            <w:shd w:val="clear" w:color="000000" w:fill="FFFFFF"/>
            <w:vAlign w:val="bottom"/>
          </w:tcPr>
          <w:p w14:paraId="25A00E0C" w14:textId="77777777" w:rsidR="00F16AF6" w:rsidRPr="007F4230" w:rsidRDefault="00F16AF6" w:rsidP="00793156">
            <w:pPr>
              <w:spacing w:after="0" w:line="240" w:lineRule="auto"/>
              <w:jc w:val="left"/>
              <w:rPr>
                <w:rFonts w:eastAsia="Times New Roman" w:cs="Times New Roman"/>
                <w:color w:val="000000"/>
                <w:sz w:val="20"/>
                <w:lang w:eastAsia="sk-SK"/>
              </w:rPr>
            </w:pPr>
            <w:r w:rsidRPr="007F4230">
              <w:rPr>
                <w:bCs/>
                <w:sz w:val="20"/>
              </w:rPr>
              <w:t>Ponechanie nároku na osobitný príspevok pre dlhodobo nezamestnaných alebo neaktívnych rodičov, ktorí stratili nárok na pomoc v hmotnej núdzi z dôvodu získania nároku na rodičovský príspevok, a ktorí sa následne zamestnajú</w:t>
            </w:r>
          </w:p>
        </w:tc>
        <w:tc>
          <w:tcPr>
            <w:tcW w:w="850" w:type="dxa"/>
            <w:tcBorders>
              <w:top w:val="dotted" w:sz="4" w:space="0" w:color="auto"/>
              <w:left w:val="nil"/>
              <w:bottom w:val="dotted" w:sz="4" w:space="0" w:color="auto"/>
              <w:right w:val="nil"/>
            </w:tcBorders>
            <w:shd w:val="clear" w:color="000000" w:fill="auto"/>
            <w:noWrap/>
            <w:vAlign w:val="bottom"/>
          </w:tcPr>
          <w:p w14:paraId="0847B7C8" w14:textId="77777777" w:rsidR="00F16AF6" w:rsidRPr="000B09C5" w:rsidRDefault="00F16AF6" w:rsidP="00793156">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0,3</w:t>
            </w:r>
          </w:p>
        </w:tc>
        <w:tc>
          <w:tcPr>
            <w:tcW w:w="9923" w:type="dxa"/>
            <w:tcBorders>
              <w:top w:val="dotted" w:sz="4" w:space="0" w:color="auto"/>
              <w:left w:val="nil"/>
              <w:bottom w:val="dotted" w:sz="4" w:space="0" w:color="auto"/>
              <w:right w:val="nil"/>
            </w:tcBorders>
            <w:shd w:val="clear" w:color="000000" w:fill="auto"/>
            <w:noWrap/>
            <w:vAlign w:val="bottom"/>
          </w:tcPr>
          <w:p w14:paraId="426229D4" w14:textId="77777777" w:rsidR="00F16AF6" w:rsidRPr="000B3CE1" w:rsidRDefault="00F16AF6" w:rsidP="00BB7573">
            <w:pPr>
              <w:spacing w:after="0" w:line="240" w:lineRule="auto"/>
              <w:rPr>
                <w:rFonts w:eastAsia="Times New Roman" w:cs="Times New Roman"/>
                <w:color w:val="000000"/>
                <w:sz w:val="20"/>
                <w:lang w:eastAsia="sk-SK"/>
              </w:rPr>
            </w:pPr>
            <w:r>
              <w:rPr>
                <w:rFonts w:eastAsia="Times New Roman" w:cs="Times New Roman"/>
                <w:color w:val="000000"/>
                <w:sz w:val="20"/>
                <w:lang w:eastAsia="sk-SK"/>
              </w:rPr>
              <w:t>V roku 2016 bolo odhadom 2 890 rodičov, ktorí stratili nárok na PHN z dôvodu získania nároku na RP. Z nich 2 188 (76 %) spĺňali kritérium dlhodobej nezamestnanosti alebo inaktivity počas dvojročného obdobia od straty nároku na PHN. Spomedzi tejto skupiny 519 (24 %) počas obdobia dvoch rokov od straty nároku na PHN nastúpili do zamestnania. V roku 2018 bolo odhadom 1 737 rodičov, ktorí stratili nárok na PHN z </w:t>
            </w:r>
            <w:r w:rsidRPr="005F43D8">
              <w:rPr>
                <w:rFonts w:eastAsia="Times New Roman" w:cs="Times New Roman"/>
                <w:color w:val="000000"/>
                <w:sz w:val="20"/>
                <w:lang w:eastAsia="sk-SK"/>
              </w:rPr>
              <w:t>dôvodu získania nároku na RP. Výpočet predpokladá, že podiel dlhodobo nezamestnaných alebo neaktívnych zostal na úrovni 76 % a spomedzi tejto skupiny sa podiel nastupujúci do zamestnania v dôsledku nároku na OP zvýši o 50 % na 36 %. Výpočet tiež predpokladá, že zotrvanie poberateľov osobitného príspevku v zamestnaní sa bude vyvíjať podobne ako v nedávnej minulosti (</w:t>
            </w:r>
            <w:r w:rsidRPr="005F43D8">
              <w:rPr>
                <w:rFonts w:eastAsia="Times New Roman" w:cs="Times New Roman"/>
                <w:color w:val="000000"/>
                <w:sz w:val="20"/>
                <w:lang w:eastAsia="sk-SK"/>
              </w:rPr>
              <w:fldChar w:fldCharType="begin"/>
            </w:r>
            <w:r w:rsidRPr="005F43D8">
              <w:rPr>
                <w:rFonts w:eastAsia="Times New Roman" w:cs="Times New Roman"/>
                <w:color w:val="000000"/>
                <w:sz w:val="20"/>
                <w:lang w:eastAsia="sk-SK"/>
              </w:rPr>
              <w:instrText xml:space="preserve"> REF _Ref529265450 \h  \* MERGEFORMAT </w:instrText>
            </w:r>
            <w:r w:rsidRPr="005F43D8">
              <w:rPr>
                <w:rFonts w:eastAsia="Times New Roman" w:cs="Times New Roman"/>
                <w:color w:val="000000"/>
                <w:sz w:val="20"/>
                <w:lang w:eastAsia="sk-SK"/>
              </w:rPr>
            </w:r>
            <w:r w:rsidRPr="005F43D8">
              <w:rPr>
                <w:rFonts w:eastAsia="Times New Roman" w:cs="Times New Roman"/>
                <w:color w:val="000000"/>
                <w:sz w:val="20"/>
                <w:lang w:eastAsia="sk-SK"/>
              </w:rPr>
              <w:fldChar w:fldCharType="separate"/>
            </w:r>
            <w:r w:rsidR="00FA29AF" w:rsidRPr="00FA29AF">
              <w:rPr>
                <w:sz w:val="20"/>
              </w:rPr>
              <w:t xml:space="preserve">Graf </w:t>
            </w:r>
            <w:r w:rsidR="00FA29AF" w:rsidRPr="00FA29AF">
              <w:rPr>
                <w:noProof/>
                <w:sz w:val="20"/>
              </w:rPr>
              <w:t>52</w:t>
            </w:r>
            <w:r w:rsidRPr="005F43D8">
              <w:rPr>
                <w:rFonts w:eastAsia="Times New Roman" w:cs="Times New Roman"/>
                <w:color w:val="000000"/>
                <w:sz w:val="20"/>
                <w:lang w:eastAsia="sk-SK"/>
              </w:rPr>
              <w:fldChar w:fldCharType="end"/>
            </w:r>
            <w:r w:rsidRPr="005F43D8">
              <w:rPr>
                <w:rFonts w:eastAsia="Times New Roman" w:cs="Times New Roman"/>
                <w:color w:val="000000"/>
                <w:sz w:val="20"/>
                <w:lang w:eastAsia="sk-SK"/>
              </w:rPr>
              <w:t xml:space="preserve">, podkapitola </w:t>
            </w:r>
            <w:r w:rsidRPr="005F43D8">
              <w:rPr>
                <w:rFonts w:eastAsia="Times New Roman" w:cs="Times New Roman"/>
                <w:color w:val="000000"/>
                <w:sz w:val="20"/>
                <w:lang w:eastAsia="sk-SK"/>
              </w:rPr>
              <w:fldChar w:fldCharType="begin"/>
            </w:r>
            <w:r w:rsidRPr="005F43D8">
              <w:rPr>
                <w:rFonts w:eastAsia="Times New Roman" w:cs="Times New Roman"/>
                <w:color w:val="000000"/>
                <w:sz w:val="20"/>
                <w:lang w:eastAsia="sk-SK"/>
              </w:rPr>
              <w:instrText xml:space="preserve"> REF _Ref25315963 \r \h  \* MERGEFORMAT </w:instrText>
            </w:r>
            <w:r w:rsidRPr="005F43D8">
              <w:rPr>
                <w:rFonts w:eastAsia="Times New Roman" w:cs="Times New Roman"/>
                <w:color w:val="000000"/>
                <w:sz w:val="20"/>
                <w:lang w:eastAsia="sk-SK"/>
              </w:rPr>
            </w:r>
            <w:r w:rsidRPr="005F43D8">
              <w:rPr>
                <w:rFonts w:eastAsia="Times New Roman" w:cs="Times New Roman"/>
                <w:color w:val="000000"/>
                <w:sz w:val="20"/>
                <w:lang w:eastAsia="sk-SK"/>
              </w:rPr>
              <w:fldChar w:fldCharType="separate"/>
            </w:r>
            <w:r w:rsidR="00FA29AF">
              <w:rPr>
                <w:rFonts w:eastAsia="Times New Roman" w:cs="Times New Roman"/>
                <w:color w:val="000000"/>
                <w:sz w:val="20"/>
                <w:lang w:eastAsia="sk-SK"/>
              </w:rPr>
              <w:t>8.1</w:t>
            </w:r>
            <w:r w:rsidRPr="005F43D8">
              <w:rPr>
                <w:rFonts w:eastAsia="Times New Roman" w:cs="Times New Roman"/>
                <w:color w:val="000000"/>
                <w:sz w:val="20"/>
                <w:lang w:eastAsia="sk-SK"/>
              </w:rPr>
              <w:fldChar w:fldCharType="end"/>
            </w:r>
            <w:r w:rsidRPr="005F43D8">
              <w:rPr>
                <w:rFonts w:eastAsia="Times New Roman" w:cs="Times New Roman"/>
                <w:color w:val="000000"/>
                <w:sz w:val="20"/>
                <w:lang w:eastAsia="sk-SK"/>
              </w:rPr>
              <w:t>). Výpočet zohľadňuje</w:t>
            </w:r>
            <w:r>
              <w:rPr>
                <w:rFonts w:eastAsia="Times New Roman" w:cs="Times New Roman"/>
                <w:color w:val="000000"/>
                <w:sz w:val="20"/>
                <w:lang w:eastAsia="sk-SK"/>
              </w:rPr>
              <w:t xml:space="preserve"> predĺženie maximálnej možnej doby poberania osobitného príspevku na 18 mesiacov s účinnosťou od apríla 2019.</w:t>
            </w:r>
          </w:p>
        </w:tc>
      </w:tr>
      <w:tr w:rsidR="00F16AF6" w:rsidRPr="000B09C5" w14:paraId="22C98021" w14:textId="77777777" w:rsidTr="00793156">
        <w:trPr>
          <w:trHeight w:val="510"/>
        </w:trPr>
        <w:tc>
          <w:tcPr>
            <w:tcW w:w="567" w:type="dxa"/>
            <w:tcBorders>
              <w:top w:val="nil"/>
              <w:left w:val="nil"/>
              <w:bottom w:val="dotted" w:sz="4" w:space="0" w:color="auto"/>
              <w:right w:val="nil"/>
            </w:tcBorders>
            <w:shd w:val="clear" w:color="000000" w:fill="FFFFFF"/>
            <w:vAlign w:val="bottom"/>
            <w:hideMark/>
          </w:tcPr>
          <w:p w14:paraId="4A0E44A2" w14:textId="77777777" w:rsidR="00F16AF6" w:rsidRPr="00CA2564" w:rsidRDefault="00F16AF6" w:rsidP="00793156">
            <w:pPr>
              <w:spacing w:after="0"/>
              <w:jc w:val="center"/>
              <w:rPr>
                <w:rFonts w:eastAsia="Times New Roman" w:cs="Times New Roman"/>
                <w:color w:val="000000"/>
                <w:sz w:val="20"/>
                <w:lang w:eastAsia="sk-SK"/>
              </w:rPr>
            </w:pPr>
            <w:r>
              <w:rPr>
                <w:rFonts w:eastAsia="Times New Roman" w:cs="Times New Roman"/>
                <w:color w:val="000000"/>
                <w:sz w:val="20"/>
                <w:lang w:eastAsia="sk-SK"/>
              </w:rPr>
              <w:t>16</w:t>
            </w:r>
          </w:p>
        </w:tc>
        <w:tc>
          <w:tcPr>
            <w:tcW w:w="2694" w:type="dxa"/>
            <w:tcBorders>
              <w:top w:val="nil"/>
              <w:left w:val="nil"/>
              <w:bottom w:val="dotted" w:sz="4" w:space="0" w:color="auto"/>
              <w:right w:val="nil"/>
            </w:tcBorders>
            <w:shd w:val="clear" w:color="000000" w:fill="FFFFFF"/>
            <w:vAlign w:val="bottom"/>
            <w:hideMark/>
          </w:tcPr>
          <w:p w14:paraId="206BD691" w14:textId="77777777" w:rsidR="00F16AF6" w:rsidRPr="007F4230" w:rsidRDefault="00F16AF6" w:rsidP="00793156">
            <w:pPr>
              <w:spacing w:after="0" w:line="240" w:lineRule="auto"/>
              <w:jc w:val="left"/>
              <w:rPr>
                <w:rFonts w:eastAsia="Times New Roman" w:cs="Times New Roman"/>
                <w:color w:val="000000"/>
                <w:sz w:val="20"/>
                <w:lang w:eastAsia="sk-SK"/>
              </w:rPr>
            </w:pPr>
            <w:r w:rsidRPr="007F4230">
              <w:rPr>
                <w:rFonts w:eastAsia="Times New Roman" w:cs="Times New Roman"/>
                <w:color w:val="000000"/>
                <w:sz w:val="20"/>
                <w:lang w:eastAsia="sk-SK"/>
              </w:rPr>
              <w:t>Zvýšiť dostupnosť príspevku pri narodení dieťaťa</w:t>
            </w:r>
          </w:p>
        </w:tc>
        <w:tc>
          <w:tcPr>
            <w:tcW w:w="850" w:type="dxa"/>
            <w:tcBorders>
              <w:top w:val="nil"/>
              <w:left w:val="nil"/>
              <w:bottom w:val="dotted" w:sz="4" w:space="0" w:color="auto"/>
              <w:right w:val="nil"/>
            </w:tcBorders>
            <w:shd w:val="clear" w:color="000000" w:fill="FFFFFF"/>
            <w:noWrap/>
            <w:vAlign w:val="bottom"/>
            <w:hideMark/>
          </w:tcPr>
          <w:p w14:paraId="641338BD" w14:textId="77777777" w:rsidR="00F16AF6" w:rsidRPr="00906F13" w:rsidRDefault="00F16AF6" w:rsidP="00793156">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0,8</w:t>
            </w:r>
          </w:p>
        </w:tc>
        <w:tc>
          <w:tcPr>
            <w:tcW w:w="9923" w:type="dxa"/>
            <w:tcBorders>
              <w:top w:val="nil"/>
              <w:left w:val="nil"/>
              <w:bottom w:val="dotted" w:sz="4" w:space="0" w:color="auto"/>
              <w:right w:val="nil"/>
            </w:tcBorders>
            <w:shd w:val="clear" w:color="000000" w:fill="FFFFFF"/>
            <w:noWrap/>
            <w:vAlign w:val="bottom"/>
            <w:hideMark/>
          </w:tcPr>
          <w:p w14:paraId="5074901D" w14:textId="77777777" w:rsidR="00F16AF6" w:rsidRPr="00906F13" w:rsidRDefault="00F16AF6" w:rsidP="00BB7573">
            <w:pPr>
              <w:spacing w:after="0" w:line="240" w:lineRule="auto"/>
              <w:rPr>
                <w:rFonts w:eastAsia="Times New Roman" w:cs="Times New Roman"/>
                <w:color w:val="000000"/>
                <w:sz w:val="20"/>
                <w:lang w:eastAsia="sk-SK"/>
              </w:rPr>
            </w:pPr>
            <w:r w:rsidRPr="00906F13">
              <w:rPr>
                <w:rFonts w:eastAsia="Times New Roman" w:cs="Times New Roman"/>
                <w:color w:val="000000"/>
                <w:sz w:val="20"/>
                <w:lang w:eastAsia="sk-SK"/>
              </w:rPr>
              <w:t xml:space="preserve">V roku 2017 sa podľa jednotkových údajov ÚPSVR narodilo 3 159 detí, ktorých rodičia nezískali nárok na príspevok pri narodení dieťaťa v období šiestich mesiacov od narodenia. Výška príspevku je 829,86 eur </w:t>
            </w:r>
            <w:r w:rsidRPr="00906F13">
              <w:rPr>
                <w:sz w:val="20"/>
              </w:rPr>
              <w:t>ak ide o dieťa narodené z prvého pôrodu až tretieho pôrodu, ktoré sa dožilo najmenej 28 dní (spolu 1 537 nepokrytých detí v roku 2017) a 151,37 eur ak ide o dieťa narodené zo štvrtého pôrodu a ďalšieho pôrodu alebo ak ide o dieťa z prvého pôrodu až tretieho pôrodu, ktoré sa nedožilo 28 dní (spolu 1 622 nepokrytých detí v roku 2017).</w:t>
            </w:r>
          </w:p>
        </w:tc>
      </w:tr>
      <w:tr w:rsidR="00F16AF6" w:rsidRPr="000B09C5" w14:paraId="3462D670" w14:textId="77777777" w:rsidTr="00793156">
        <w:trPr>
          <w:trHeight w:val="425"/>
        </w:trPr>
        <w:tc>
          <w:tcPr>
            <w:tcW w:w="567" w:type="dxa"/>
            <w:tcBorders>
              <w:top w:val="dotted" w:sz="4" w:space="0" w:color="auto"/>
              <w:left w:val="nil"/>
              <w:bottom w:val="dotted" w:sz="4" w:space="0" w:color="auto"/>
              <w:right w:val="nil"/>
            </w:tcBorders>
            <w:shd w:val="clear" w:color="000000" w:fill="FFFFFF"/>
            <w:vAlign w:val="bottom"/>
            <w:hideMark/>
          </w:tcPr>
          <w:p w14:paraId="6D43D4DD" w14:textId="4E08A664" w:rsidR="00F16AF6" w:rsidRPr="00CA2564" w:rsidRDefault="00EF63D6" w:rsidP="00793156">
            <w:pPr>
              <w:spacing w:after="0"/>
              <w:jc w:val="center"/>
              <w:rPr>
                <w:rFonts w:eastAsia="Times New Roman" w:cs="Times New Roman"/>
                <w:color w:val="000000"/>
                <w:sz w:val="20"/>
                <w:lang w:eastAsia="sk-SK"/>
              </w:rPr>
            </w:pPr>
            <w:r>
              <w:rPr>
                <w:rFonts w:eastAsia="Times New Roman" w:cs="Times New Roman"/>
                <w:color w:val="000000"/>
                <w:sz w:val="20"/>
                <w:lang w:eastAsia="sk-SK"/>
              </w:rPr>
              <w:t>17</w:t>
            </w:r>
          </w:p>
        </w:tc>
        <w:tc>
          <w:tcPr>
            <w:tcW w:w="2694" w:type="dxa"/>
            <w:tcBorders>
              <w:top w:val="dotted" w:sz="4" w:space="0" w:color="auto"/>
              <w:left w:val="nil"/>
              <w:bottom w:val="dotted" w:sz="4" w:space="0" w:color="auto"/>
              <w:right w:val="nil"/>
            </w:tcBorders>
            <w:shd w:val="clear" w:color="000000" w:fill="FFFFFF"/>
            <w:vAlign w:val="bottom"/>
            <w:hideMark/>
          </w:tcPr>
          <w:p w14:paraId="5E4A0749" w14:textId="77777777" w:rsidR="00F16AF6" w:rsidRPr="007F4230" w:rsidRDefault="00F16AF6" w:rsidP="00793156">
            <w:pPr>
              <w:spacing w:after="0" w:line="240" w:lineRule="auto"/>
              <w:jc w:val="left"/>
              <w:rPr>
                <w:rFonts w:eastAsia="Times New Roman" w:cs="Times New Roman"/>
                <w:color w:val="000000"/>
                <w:sz w:val="20"/>
                <w:lang w:eastAsia="sk-SK"/>
              </w:rPr>
            </w:pPr>
            <w:r w:rsidRPr="007F4230">
              <w:rPr>
                <w:rFonts w:eastAsia="Times New Roman" w:cs="Times New Roman"/>
                <w:color w:val="000000"/>
                <w:sz w:val="20"/>
                <w:lang w:eastAsia="sk-SK"/>
              </w:rPr>
              <w:t>Znížiť spoluúčasť osoby s ťažkým zdravotným postihnutím pri jednorazových peňažných príspevkoch na kompenzáciu sociálnych dôsledkov ťažkého zdravotného postihnutia</w:t>
            </w:r>
          </w:p>
        </w:tc>
        <w:tc>
          <w:tcPr>
            <w:tcW w:w="850" w:type="dxa"/>
            <w:tcBorders>
              <w:top w:val="dotted" w:sz="4" w:space="0" w:color="auto"/>
              <w:left w:val="nil"/>
              <w:bottom w:val="dotted" w:sz="4" w:space="0" w:color="auto"/>
              <w:right w:val="nil"/>
            </w:tcBorders>
            <w:shd w:val="clear" w:color="000000" w:fill="FFFFFF"/>
            <w:noWrap/>
            <w:vAlign w:val="bottom"/>
            <w:hideMark/>
          </w:tcPr>
          <w:p w14:paraId="59067607" w14:textId="77777777" w:rsidR="00F16AF6" w:rsidRPr="007F1D92" w:rsidRDefault="00F16AF6" w:rsidP="00793156">
            <w:pPr>
              <w:spacing w:after="0" w:line="240" w:lineRule="auto"/>
              <w:jc w:val="right"/>
              <w:rPr>
                <w:rFonts w:eastAsia="Times New Roman" w:cs="Times New Roman"/>
                <w:sz w:val="20"/>
                <w:lang w:eastAsia="sk-SK"/>
              </w:rPr>
            </w:pPr>
            <w:r>
              <w:rPr>
                <w:rFonts w:eastAsia="Times New Roman" w:cs="Times New Roman"/>
                <w:sz w:val="20"/>
                <w:lang w:eastAsia="sk-SK"/>
              </w:rPr>
              <w:t>0,2</w:t>
            </w:r>
          </w:p>
        </w:tc>
        <w:tc>
          <w:tcPr>
            <w:tcW w:w="9923" w:type="dxa"/>
            <w:tcBorders>
              <w:top w:val="dotted" w:sz="4" w:space="0" w:color="auto"/>
              <w:left w:val="nil"/>
              <w:bottom w:val="dotted" w:sz="4" w:space="0" w:color="auto"/>
              <w:right w:val="nil"/>
            </w:tcBorders>
            <w:shd w:val="clear" w:color="000000" w:fill="FFFFFF"/>
            <w:noWrap/>
            <w:vAlign w:val="bottom"/>
            <w:hideMark/>
          </w:tcPr>
          <w:p w14:paraId="67EAC3B5" w14:textId="77777777" w:rsidR="00F16AF6" w:rsidRPr="007F1D92" w:rsidRDefault="00F16AF6" w:rsidP="00BB7573">
            <w:pPr>
              <w:spacing w:after="0" w:line="240" w:lineRule="auto"/>
              <w:rPr>
                <w:rFonts w:eastAsia="Times New Roman" w:cs="Times New Roman"/>
                <w:sz w:val="20"/>
                <w:lang w:eastAsia="sk-SK"/>
              </w:rPr>
            </w:pPr>
            <w:r w:rsidRPr="008F1437">
              <w:rPr>
                <w:sz w:val="20"/>
              </w:rPr>
              <w:t>Na základe ročného objemu jednorazových príspevkov vyplatených osobám s príjmom pod hranicou životného minima je odvodená suma, ktoro</w:t>
            </w:r>
            <w:r>
              <w:rPr>
                <w:sz w:val="20"/>
              </w:rPr>
              <w:t>u </w:t>
            </w:r>
            <w:r w:rsidRPr="008F1437">
              <w:rPr>
                <w:sz w:val="20"/>
              </w:rPr>
              <w:t>by sa pokrytie nákladov</w:t>
            </w:r>
            <w:r>
              <w:rPr>
                <w:sz w:val="20"/>
              </w:rPr>
              <w:t xml:space="preserve"> zvýšilo v súlade </w:t>
            </w:r>
            <w:r w:rsidRPr="00D05A7E">
              <w:rPr>
                <w:sz w:val="20"/>
              </w:rPr>
              <w:t xml:space="preserve">s </w:t>
            </w:r>
            <w:r w:rsidRPr="000F651B">
              <w:rPr>
                <w:sz w:val="20"/>
              </w:rPr>
              <w:fldChar w:fldCharType="begin"/>
            </w:r>
            <w:r w:rsidRPr="00D05A7E">
              <w:rPr>
                <w:sz w:val="20"/>
              </w:rPr>
              <w:instrText xml:space="preserve"> REF _Ref27740338 \h </w:instrText>
            </w:r>
            <w:r w:rsidRPr="008F1437">
              <w:rPr>
                <w:sz w:val="20"/>
              </w:rPr>
              <w:instrText xml:space="preserve"> \* MERGEFORMAT </w:instrText>
            </w:r>
            <w:r w:rsidRPr="000F651B">
              <w:rPr>
                <w:sz w:val="20"/>
              </w:rPr>
            </w:r>
            <w:r w:rsidRPr="000F651B">
              <w:rPr>
                <w:sz w:val="20"/>
              </w:rPr>
              <w:fldChar w:fldCharType="separate"/>
            </w:r>
            <w:r w:rsidR="00FA29AF" w:rsidRPr="00FA29AF">
              <w:rPr>
                <w:sz w:val="20"/>
              </w:rPr>
              <w:t xml:space="preserve">Tabuľka </w:t>
            </w:r>
            <w:r w:rsidR="00FA29AF" w:rsidRPr="00FA29AF">
              <w:rPr>
                <w:noProof/>
                <w:sz w:val="20"/>
              </w:rPr>
              <w:t>28</w:t>
            </w:r>
            <w:r w:rsidRPr="000F651B">
              <w:rPr>
                <w:sz w:val="20"/>
              </w:rPr>
              <w:fldChar w:fldCharType="end"/>
            </w:r>
            <w:r w:rsidRPr="008F1437">
              <w:rPr>
                <w:color w:val="FF0000"/>
                <w:sz w:val="20"/>
              </w:rPr>
              <w:t xml:space="preserve"> </w:t>
            </w:r>
            <w:r w:rsidRPr="008F1437">
              <w:rPr>
                <w:sz w:val="20"/>
              </w:rPr>
              <w:t>(od 90 do 98 % zo stanovenej ceny, resp. maximálnej výšky ceny podľa typu peňažného príspevku.)</w:t>
            </w:r>
          </w:p>
        </w:tc>
      </w:tr>
      <w:tr w:rsidR="00F16AF6" w:rsidRPr="000B09C5" w14:paraId="5C7F146D" w14:textId="77777777" w:rsidTr="00793156">
        <w:trPr>
          <w:trHeight w:val="510"/>
        </w:trPr>
        <w:tc>
          <w:tcPr>
            <w:tcW w:w="567" w:type="dxa"/>
            <w:tcBorders>
              <w:top w:val="dotted" w:sz="4" w:space="0" w:color="auto"/>
              <w:left w:val="nil"/>
              <w:bottom w:val="dotted" w:sz="4" w:space="0" w:color="auto"/>
              <w:right w:val="nil"/>
            </w:tcBorders>
            <w:shd w:val="clear" w:color="000000" w:fill="FFFFFF"/>
            <w:vAlign w:val="bottom"/>
            <w:hideMark/>
          </w:tcPr>
          <w:p w14:paraId="4EC95ECD" w14:textId="1840AC4E" w:rsidR="00F16AF6" w:rsidRPr="00CA2564" w:rsidRDefault="00EF63D6" w:rsidP="00793156">
            <w:pPr>
              <w:spacing w:after="0"/>
              <w:jc w:val="center"/>
              <w:rPr>
                <w:rFonts w:eastAsia="Times New Roman" w:cs="Times New Roman"/>
                <w:color w:val="000000"/>
                <w:sz w:val="20"/>
                <w:lang w:eastAsia="sk-SK"/>
              </w:rPr>
            </w:pPr>
            <w:r>
              <w:rPr>
                <w:rFonts w:eastAsia="Times New Roman" w:cs="Times New Roman"/>
                <w:color w:val="000000"/>
                <w:sz w:val="20"/>
                <w:lang w:eastAsia="sk-SK"/>
              </w:rPr>
              <w:t>18</w:t>
            </w:r>
            <w:r w:rsidR="00F16AF6">
              <w:rPr>
                <w:rFonts w:eastAsia="Times New Roman" w:cs="Times New Roman"/>
                <w:color w:val="000000"/>
                <w:sz w:val="20"/>
                <w:lang w:eastAsia="sk-SK"/>
              </w:rPr>
              <w:t>.1</w:t>
            </w:r>
          </w:p>
        </w:tc>
        <w:tc>
          <w:tcPr>
            <w:tcW w:w="2694" w:type="dxa"/>
            <w:tcBorders>
              <w:top w:val="dotted" w:sz="4" w:space="0" w:color="auto"/>
              <w:left w:val="nil"/>
              <w:bottom w:val="dotted" w:sz="4" w:space="0" w:color="auto"/>
              <w:right w:val="nil"/>
            </w:tcBorders>
            <w:shd w:val="clear" w:color="000000" w:fill="FFFFFF"/>
            <w:vAlign w:val="bottom"/>
            <w:hideMark/>
          </w:tcPr>
          <w:p w14:paraId="1E46CFB1" w14:textId="77777777" w:rsidR="00F16AF6" w:rsidRPr="007F4230" w:rsidRDefault="00F16AF6" w:rsidP="00793156">
            <w:pPr>
              <w:spacing w:after="0" w:line="240" w:lineRule="auto"/>
              <w:jc w:val="left"/>
              <w:rPr>
                <w:rFonts w:eastAsia="Times New Roman" w:cs="Times New Roman"/>
                <w:color w:val="000000"/>
                <w:sz w:val="20"/>
                <w:lang w:eastAsia="sk-SK"/>
              </w:rPr>
            </w:pPr>
            <w:r w:rsidRPr="007F4230">
              <w:rPr>
                <w:rFonts w:eastAsia="Times New Roman" w:cs="Times New Roman"/>
                <w:color w:val="000000"/>
                <w:sz w:val="20"/>
                <w:lang w:eastAsia="sk-SK"/>
              </w:rPr>
              <w:t>Pilotne otestovať individualizovanú pomoc pre osoby, ktoré prešli osobným bankrotom</w:t>
            </w:r>
          </w:p>
        </w:tc>
        <w:tc>
          <w:tcPr>
            <w:tcW w:w="850" w:type="dxa"/>
            <w:tcBorders>
              <w:top w:val="dotted" w:sz="4" w:space="0" w:color="auto"/>
              <w:left w:val="nil"/>
              <w:bottom w:val="dotted" w:sz="4" w:space="0" w:color="auto"/>
              <w:right w:val="nil"/>
            </w:tcBorders>
            <w:shd w:val="clear" w:color="auto" w:fill="auto"/>
            <w:noWrap/>
            <w:vAlign w:val="bottom"/>
            <w:hideMark/>
          </w:tcPr>
          <w:p w14:paraId="1D9A7E63" w14:textId="77777777" w:rsidR="00F16AF6" w:rsidRPr="000B09C5" w:rsidRDefault="00F16AF6" w:rsidP="00793156">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0,5</w:t>
            </w:r>
          </w:p>
        </w:tc>
        <w:tc>
          <w:tcPr>
            <w:tcW w:w="9923" w:type="dxa"/>
            <w:tcBorders>
              <w:top w:val="dotted" w:sz="4" w:space="0" w:color="auto"/>
              <w:left w:val="nil"/>
              <w:bottom w:val="dotted" w:sz="4" w:space="0" w:color="auto"/>
              <w:right w:val="nil"/>
            </w:tcBorders>
            <w:shd w:val="clear" w:color="auto" w:fill="auto"/>
            <w:noWrap/>
            <w:vAlign w:val="bottom"/>
            <w:hideMark/>
          </w:tcPr>
          <w:p w14:paraId="4AEF6193" w14:textId="77777777" w:rsidR="00F16AF6" w:rsidRPr="000B09C5" w:rsidRDefault="00F16AF6" w:rsidP="00793156">
            <w:pPr>
              <w:spacing w:after="0" w:line="240" w:lineRule="auto"/>
              <w:jc w:val="left"/>
              <w:rPr>
                <w:rFonts w:eastAsia="Times New Roman" w:cs="Times New Roman"/>
                <w:color w:val="000000"/>
                <w:sz w:val="20"/>
                <w:lang w:eastAsia="sk-SK"/>
              </w:rPr>
            </w:pPr>
            <w:r w:rsidRPr="000B09C5">
              <w:rPr>
                <w:rFonts w:eastAsia="Times New Roman" w:cs="Times New Roman"/>
                <w:color w:val="000000"/>
                <w:sz w:val="20"/>
                <w:lang w:eastAsia="sk-SK"/>
              </w:rPr>
              <w:t> </w:t>
            </w:r>
            <w:r>
              <w:rPr>
                <w:rFonts w:eastAsia="Times New Roman" w:cs="Times New Roman"/>
                <w:color w:val="000000"/>
                <w:sz w:val="20"/>
                <w:lang w:eastAsia="sk-SK"/>
              </w:rPr>
              <w:t xml:space="preserve">Konkrétna suma bude závisieť od konkrétnej podoby projektu, veľkosť intervenčnej skupiny, a druhu intervencií. </w:t>
            </w:r>
          </w:p>
        </w:tc>
      </w:tr>
      <w:tr w:rsidR="00F16AF6" w:rsidRPr="000B09C5" w14:paraId="19103FA9" w14:textId="77777777" w:rsidTr="00793156">
        <w:trPr>
          <w:trHeight w:val="510"/>
        </w:trPr>
        <w:tc>
          <w:tcPr>
            <w:tcW w:w="567" w:type="dxa"/>
            <w:tcBorders>
              <w:top w:val="nil"/>
              <w:left w:val="nil"/>
              <w:bottom w:val="dotted" w:sz="4" w:space="0" w:color="auto"/>
              <w:right w:val="nil"/>
            </w:tcBorders>
            <w:shd w:val="clear" w:color="000000" w:fill="FFFFFF"/>
            <w:vAlign w:val="bottom"/>
          </w:tcPr>
          <w:p w14:paraId="123F7324" w14:textId="2EAB29AD" w:rsidR="00F16AF6" w:rsidRDefault="00EF63D6" w:rsidP="00793156">
            <w:pPr>
              <w:spacing w:after="0"/>
              <w:jc w:val="center"/>
              <w:rPr>
                <w:rFonts w:eastAsia="Times New Roman" w:cs="Times New Roman"/>
                <w:color w:val="000000"/>
                <w:sz w:val="20"/>
                <w:lang w:eastAsia="sk-SK"/>
              </w:rPr>
            </w:pPr>
            <w:r>
              <w:rPr>
                <w:rFonts w:eastAsia="Times New Roman" w:cs="Times New Roman"/>
                <w:color w:val="000000"/>
                <w:sz w:val="20"/>
                <w:lang w:eastAsia="sk-SK"/>
              </w:rPr>
              <w:t>18</w:t>
            </w:r>
            <w:r w:rsidR="00F16AF6">
              <w:rPr>
                <w:rFonts w:eastAsia="Times New Roman" w:cs="Times New Roman"/>
                <w:color w:val="000000"/>
                <w:sz w:val="20"/>
                <w:lang w:eastAsia="sk-SK"/>
              </w:rPr>
              <w:t>.2</w:t>
            </w:r>
          </w:p>
        </w:tc>
        <w:tc>
          <w:tcPr>
            <w:tcW w:w="2694" w:type="dxa"/>
            <w:tcBorders>
              <w:top w:val="nil"/>
              <w:left w:val="nil"/>
              <w:bottom w:val="dotted" w:sz="4" w:space="0" w:color="auto"/>
              <w:right w:val="nil"/>
            </w:tcBorders>
            <w:shd w:val="clear" w:color="000000" w:fill="FFFFFF"/>
            <w:vAlign w:val="bottom"/>
          </w:tcPr>
          <w:p w14:paraId="2730E1E1" w14:textId="77777777" w:rsidR="00F16AF6" w:rsidRPr="007F4230" w:rsidRDefault="00F16AF6" w:rsidP="00793156">
            <w:pPr>
              <w:spacing w:after="0" w:line="240" w:lineRule="auto"/>
              <w:jc w:val="left"/>
              <w:rPr>
                <w:rFonts w:eastAsia="Times New Roman" w:cs="Times New Roman"/>
                <w:color w:val="000000"/>
                <w:sz w:val="20"/>
                <w:lang w:eastAsia="sk-SK"/>
              </w:rPr>
            </w:pPr>
            <w:r w:rsidRPr="007F4230">
              <w:rPr>
                <w:rFonts w:eastAsia="Times New Roman" w:cs="Times New Roman"/>
                <w:color w:val="000000"/>
                <w:sz w:val="20"/>
                <w:lang w:eastAsia="sk-SK"/>
              </w:rPr>
              <w:t xml:space="preserve">Pilotne otestovať </w:t>
            </w:r>
            <w:r w:rsidRPr="007F4230">
              <w:rPr>
                <w:sz w:val="20"/>
              </w:rPr>
              <w:t>komplexnú podporu osamelých rodičov na trhu práce</w:t>
            </w:r>
          </w:p>
        </w:tc>
        <w:tc>
          <w:tcPr>
            <w:tcW w:w="850" w:type="dxa"/>
            <w:tcBorders>
              <w:top w:val="dotted" w:sz="4" w:space="0" w:color="auto"/>
              <w:left w:val="nil"/>
              <w:bottom w:val="dotted" w:sz="4" w:space="0" w:color="auto"/>
              <w:right w:val="nil"/>
            </w:tcBorders>
            <w:shd w:val="clear" w:color="auto" w:fill="auto"/>
            <w:noWrap/>
            <w:vAlign w:val="bottom"/>
          </w:tcPr>
          <w:p w14:paraId="19563840" w14:textId="77777777" w:rsidR="00F16AF6" w:rsidRPr="000B09C5" w:rsidRDefault="00F16AF6" w:rsidP="00793156">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0,5</w:t>
            </w:r>
          </w:p>
        </w:tc>
        <w:tc>
          <w:tcPr>
            <w:tcW w:w="9923" w:type="dxa"/>
            <w:tcBorders>
              <w:top w:val="dotted" w:sz="4" w:space="0" w:color="auto"/>
              <w:left w:val="nil"/>
              <w:bottom w:val="dotted" w:sz="4" w:space="0" w:color="auto"/>
              <w:right w:val="nil"/>
            </w:tcBorders>
            <w:shd w:val="clear" w:color="auto" w:fill="auto"/>
            <w:noWrap/>
            <w:vAlign w:val="bottom"/>
          </w:tcPr>
          <w:p w14:paraId="1BB8BBFB" w14:textId="77777777" w:rsidR="00F16AF6" w:rsidRPr="000B09C5" w:rsidRDefault="00F16AF6" w:rsidP="00793156">
            <w:pPr>
              <w:spacing w:after="0" w:line="240" w:lineRule="auto"/>
              <w:jc w:val="left"/>
              <w:rPr>
                <w:rFonts w:eastAsia="Times New Roman" w:cs="Times New Roman"/>
                <w:color w:val="000000"/>
                <w:sz w:val="20"/>
                <w:lang w:eastAsia="sk-SK"/>
              </w:rPr>
            </w:pPr>
            <w:r>
              <w:rPr>
                <w:rFonts w:eastAsia="Times New Roman" w:cs="Times New Roman"/>
                <w:color w:val="000000"/>
                <w:sz w:val="20"/>
                <w:lang w:eastAsia="sk-SK"/>
              </w:rPr>
              <w:t>Konkrétna suma bude závisieť od konkrétnej podoby projektu, veľkosť intervenčnej skupiny, a druhu intervencií.</w:t>
            </w:r>
          </w:p>
        </w:tc>
      </w:tr>
      <w:tr w:rsidR="00F16AF6" w:rsidRPr="000B09C5" w14:paraId="2E050077" w14:textId="77777777" w:rsidTr="00793156">
        <w:trPr>
          <w:trHeight w:val="510"/>
        </w:trPr>
        <w:tc>
          <w:tcPr>
            <w:tcW w:w="567" w:type="dxa"/>
            <w:tcBorders>
              <w:top w:val="nil"/>
              <w:left w:val="nil"/>
              <w:bottom w:val="dotted" w:sz="4" w:space="0" w:color="auto"/>
              <w:right w:val="nil"/>
            </w:tcBorders>
            <w:shd w:val="clear" w:color="000000" w:fill="FFFFFF"/>
            <w:vAlign w:val="bottom"/>
            <w:hideMark/>
          </w:tcPr>
          <w:p w14:paraId="1F670812" w14:textId="514F3BDC" w:rsidR="00F16AF6" w:rsidRPr="00CA2564" w:rsidRDefault="00EF63D6" w:rsidP="00793156">
            <w:pPr>
              <w:spacing w:after="0"/>
              <w:jc w:val="center"/>
              <w:rPr>
                <w:rFonts w:eastAsia="Times New Roman" w:cs="Times New Roman"/>
                <w:color w:val="000000"/>
                <w:sz w:val="20"/>
                <w:lang w:eastAsia="sk-SK"/>
              </w:rPr>
            </w:pPr>
            <w:r>
              <w:rPr>
                <w:rFonts w:eastAsia="Times New Roman" w:cs="Times New Roman"/>
                <w:color w:val="000000"/>
                <w:sz w:val="20"/>
                <w:lang w:eastAsia="sk-SK"/>
              </w:rPr>
              <w:t>19</w:t>
            </w:r>
          </w:p>
        </w:tc>
        <w:tc>
          <w:tcPr>
            <w:tcW w:w="2694" w:type="dxa"/>
            <w:tcBorders>
              <w:top w:val="nil"/>
              <w:left w:val="nil"/>
              <w:bottom w:val="dotted" w:sz="4" w:space="0" w:color="auto"/>
              <w:right w:val="nil"/>
            </w:tcBorders>
            <w:shd w:val="clear" w:color="000000" w:fill="FFFFFF"/>
            <w:vAlign w:val="bottom"/>
            <w:hideMark/>
          </w:tcPr>
          <w:p w14:paraId="4EAD4D91" w14:textId="77777777" w:rsidR="00F16AF6" w:rsidRPr="007F4230" w:rsidRDefault="00F16AF6" w:rsidP="00793156">
            <w:pPr>
              <w:spacing w:after="0" w:line="240" w:lineRule="auto"/>
              <w:jc w:val="left"/>
              <w:rPr>
                <w:rFonts w:eastAsia="Times New Roman" w:cs="Times New Roman"/>
                <w:color w:val="000000"/>
                <w:sz w:val="20"/>
                <w:lang w:eastAsia="sk-SK"/>
              </w:rPr>
            </w:pPr>
            <w:r w:rsidRPr="007F4230">
              <w:rPr>
                <w:rFonts w:eastAsia="Times New Roman" w:cs="Times New Roman"/>
                <w:color w:val="000000"/>
                <w:sz w:val="20"/>
                <w:lang w:eastAsia="sk-SK"/>
              </w:rPr>
              <w:t>Zvýšiť ochranu pred doplatkami za lieky na základe príjmu</w:t>
            </w:r>
          </w:p>
        </w:tc>
        <w:tc>
          <w:tcPr>
            <w:tcW w:w="850" w:type="dxa"/>
            <w:tcBorders>
              <w:top w:val="nil"/>
              <w:left w:val="nil"/>
              <w:bottom w:val="dotted" w:sz="4" w:space="0" w:color="auto"/>
              <w:right w:val="nil"/>
            </w:tcBorders>
            <w:shd w:val="clear" w:color="000000" w:fill="FFFFFF"/>
            <w:noWrap/>
            <w:vAlign w:val="bottom"/>
            <w:hideMark/>
          </w:tcPr>
          <w:p w14:paraId="698581E6" w14:textId="77777777" w:rsidR="00F16AF6" w:rsidRPr="00C760E5" w:rsidRDefault="00F16AF6" w:rsidP="00793156">
            <w:pPr>
              <w:spacing w:after="0" w:line="240" w:lineRule="auto"/>
              <w:jc w:val="right"/>
              <w:rPr>
                <w:rFonts w:eastAsia="Times New Roman" w:cs="Times New Roman"/>
                <w:color w:val="000000"/>
                <w:sz w:val="20"/>
                <w:lang w:eastAsia="sk-SK"/>
              </w:rPr>
            </w:pPr>
            <w:r w:rsidRPr="00C760E5">
              <w:rPr>
                <w:rFonts w:eastAsia="Times New Roman" w:cs="Times New Roman"/>
                <w:color w:val="000000"/>
                <w:sz w:val="20"/>
                <w:lang w:eastAsia="sk-SK"/>
              </w:rPr>
              <w:t>1,3</w:t>
            </w:r>
          </w:p>
        </w:tc>
        <w:tc>
          <w:tcPr>
            <w:tcW w:w="9923" w:type="dxa"/>
            <w:tcBorders>
              <w:top w:val="nil"/>
              <w:left w:val="nil"/>
              <w:bottom w:val="dotted" w:sz="4" w:space="0" w:color="auto"/>
              <w:right w:val="nil"/>
            </w:tcBorders>
            <w:shd w:val="clear" w:color="000000" w:fill="FFFFFF"/>
            <w:noWrap/>
            <w:vAlign w:val="bottom"/>
            <w:hideMark/>
          </w:tcPr>
          <w:p w14:paraId="41D546AC" w14:textId="77777777" w:rsidR="00F16AF6" w:rsidRPr="00C760E5" w:rsidRDefault="00F16AF6" w:rsidP="00BB7573">
            <w:pPr>
              <w:spacing w:after="0" w:line="240" w:lineRule="auto"/>
              <w:rPr>
                <w:rFonts w:eastAsia="Times New Roman" w:cs="Times New Roman"/>
                <w:color w:val="000000"/>
                <w:sz w:val="20"/>
                <w:lang w:eastAsia="sk-SK"/>
              </w:rPr>
            </w:pPr>
            <w:r w:rsidRPr="00C760E5">
              <w:rPr>
                <w:rFonts w:eastAsia="Times New Roman" w:cs="Times New Roman"/>
                <w:color w:val="000000"/>
                <w:sz w:val="20"/>
                <w:lang w:eastAsia="sk-SK"/>
              </w:rPr>
              <w:t>Priemerný ročný poplatok podľa veku vynásobený počtom ľudí v systéme PHN v jednotlivých vekových kohortoch. Keďže počet ľudí s príjmom pod ŽM je mierne viac ako v systéme PHN, počet bol nafúknutý použitím koeficientu získaného na základe údajov o dotáciách pre školy, kde vidieť počet detí, ktoré má na dotácie nárok z titulu PHN a z titulu príjmu pod hranicou ŽM. Ročné poplatky sú za rok 2017, počty ľudí v systéme PHN ako aj koeficient sú na základe údajov z roku 2018.</w:t>
            </w:r>
          </w:p>
        </w:tc>
      </w:tr>
      <w:tr w:rsidR="00F16AF6" w:rsidRPr="000B09C5" w14:paraId="2C12D24E" w14:textId="77777777" w:rsidTr="005F43D8">
        <w:trPr>
          <w:trHeight w:val="416"/>
        </w:trPr>
        <w:tc>
          <w:tcPr>
            <w:tcW w:w="567" w:type="dxa"/>
            <w:tcBorders>
              <w:top w:val="nil"/>
              <w:left w:val="nil"/>
              <w:bottom w:val="dotted" w:sz="4" w:space="0" w:color="auto"/>
              <w:right w:val="nil"/>
            </w:tcBorders>
            <w:shd w:val="clear" w:color="000000" w:fill="FFFFFF"/>
            <w:vAlign w:val="bottom"/>
            <w:hideMark/>
          </w:tcPr>
          <w:p w14:paraId="10EF8FC1" w14:textId="2487B445" w:rsidR="00F16AF6" w:rsidRPr="00CA2564" w:rsidRDefault="00EF63D6" w:rsidP="00793156">
            <w:pPr>
              <w:spacing w:after="0"/>
              <w:jc w:val="center"/>
              <w:rPr>
                <w:rFonts w:eastAsia="Times New Roman" w:cs="Times New Roman"/>
                <w:color w:val="000000"/>
                <w:sz w:val="20"/>
                <w:lang w:eastAsia="sk-SK"/>
              </w:rPr>
            </w:pPr>
            <w:r>
              <w:rPr>
                <w:rFonts w:eastAsia="Times New Roman" w:cs="Times New Roman"/>
                <w:color w:val="000000"/>
                <w:sz w:val="20"/>
                <w:lang w:eastAsia="sk-SK"/>
              </w:rPr>
              <w:t>20</w:t>
            </w:r>
          </w:p>
        </w:tc>
        <w:tc>
          <w:tcPr>
            <w:tcW w:w="2694" w:type="dxa"/>
            <w:tcBorders>
              <w:top w:val="nil"/>
              <w:left w:val="nil"/>
              <w:bottom w:val="dotted" w:sz="4" w:space="0" w:color="auto"/>
              <w:right w:val="nil"/>
            </w:tcBorders>
            <w:shd w:val="clear" w:color="000000" w:fill="FFFFFF"/>
            <w:vAlign w:val="bottom"/>
            <w:hideMark/>
          </w:tcPr>
          <w:p w14:paraId="516A8D45" w14:textId="77777777" w:rsidR="00F16AF6" w:rsidRPr="007F4230" w:rsidRDefault="00F16AF6" w:rsidP="00793156">
            <w:pPr>
              <w:spacing w:after="0" w:line="240" w:lineRule="auto"/>
              <w:jc w:val="left"/>
              <w:rPr>
                <w:rFonts w:eastAsia="Times New Roman" w:cs="Times New Roman"/>
                <w:color w:val="000000"/>
                <w:sz w:val="20"/>
                <w:lang w:eastAsia="sk-SK"/>
              </w:rPr>
            </w:pPr>
            <w:r w:rsidRPr="007F4230">
              <w:rPr>
                <w:rFonts w:eastAsia="Times New Roman" w:cs="Times New Roman"/>
                <w:color w:val="000000"/>
                <w:sz w:val="20"/>
                <w:lang w:eastAsia="sk-SK"/>
              </w:rPr>
              <w:t>Pilotne overiť podmienené transfery pri preventívnych prehliadkach</w:t>
            </w:r>
          </w:p>
        </w:tc>
        <w:tc>
          <w:tcPr>
            <w:tcW w:w="850" w:type="dxa"/>
            <w:tcBorders>
              <w:top w:val="nil"/>
              <w:left w:val="nil"/>
              <w:bottom w:val="dotted" w:sz="4" w:space="0" w:color="auto"/>
              <w:right w:val="nil"/>
            </w:tcBorders>
            <w:shd w:val="clear" w:color="000000" w:fill="FFFFFF"/>
            <w:noWrap/>
            <w:vAlign w:val="bottom"/>
            <w:hideMark/>
          </w:tcPr>
          <w:p w14:paraId="7FBA65B5" w14:textId="77777777" w:rsidR="00F16AF6" w:rsidRPr="000B09C5" w:rsidRDefault="00F16AF6" w:rsidP="00793156">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0,1</w:t>
            </w:r>
          </w:p>
        </w:tc>
        <w:tc>
          <w:tcPr>
            <w:tcW w:w="9923" w:type="dxa"/>
            <w:tcBorders>
              <w:top w:val="nil"/>
              <w:left w:val="nil"/>
              <w:bottom w:val="dotted" w:sz="4" w:space="0" w:color="auto"/>
              <w:right w:val="nil"/>
            </w:tcBorders>
            <w:shd w:val="clear" w:color="000000" w:fill="FFFFFF"/>
            <w:noWrap/>
            <w:vAlign w:val="bottom"/>
            <w:hideMark/>
          </w:tcPr>
          <w:p w14:paraId="2CDCC232" w14:textId="77777777" w:rsidR="00F16AF6" w:rsidRPr="000B09C5" w:rsidRDefault="00F16AF6" w:rsidP="00BB7573">
            <w:pPr>
              <w:spacing w:after="0" w:line="240" w:lineRule="auto"/>
              <w:rPr>
                <w:rFonts w:eastAsia="Times New Roman" w:cs="Times New Roman"/>
                <w:color w:val="000000"/>
                <w:sz w:val="20"/>
                <w:lang w:eastAsia="sk-SK"/>
              </w:rPr>
            </w:pPr>
            <w:r w:rsidRPr="009F055B">
              <w:rPr>
                <w:rFonts w:eastAsia="Times New Roman" w:cs="Times New Roman"/>
                <w:color w:val="000000"/>
                <w:sz w:val="20"/>
                <w:lang w:eastAsia="sk-SK"/>
              </w:rPr>
              <w:t>Predpokladá 16 prehliadok pre deti od narodenia do do</w:t>
            </w:r>
            <w:r>
              <w:rPr>
                <w:rFonts w:eastAsia="Times New Roman" w:cs="Times New Roman"/>
                <w:color w:val="000000"/>
                <w:sz w:val="20"/>
                <w:lang w:eastAsia="sk-SK"/>
              </w:rPr>
              <w:t>vŕšenia 15 roku (podľa VŠZP) a 4 prehliadky</w:t>
            </w:r>
            <w:r w:rsidRPr="009F055B">
              <w:rPr>
                <w:rFonts w:eastAsia="Times New Roman" w:cs="Times New Roman"/>
                <w:color w:val="000000"/>
                <w:sz w:val="20"/>
                <w:lang w:eastAsia="sk-SK"/>
              </w:rPr>
              <w:t xml:space="preserve"> pre te</w:t>
            </w:r>
            <w:r>
              <w:rPr>
                <w:rFonts w:eastAsia="Times New Roman" w:cs="Times New Roman"/>
                <w:color w:val="000000"/>
                <w:sz w:val="20"/>
                <w:lang w:eastAsia="sk-SK"/>
              </w:rPr>
              <w:t>hotné ženy. Výška</w:t>
            </w:r>
            <w:r w:rsidRPr="009F055B">
              <w:rPr>
                <w:rFonts w:eastAsia="Times New Roman" w:cs="Times New Roman"/>
                <w:color w:val="000000"/>
                <w:sz w:val="20"/>
                <w:lang w:eastAsia="sk-SK"/>
              </w:rPr>
              <w:t xml:space="preserve"> transferu </w:t>
            </w:r>
            <w:r>
              <w:rPr>
                <w:rFonts w:eastAsia="Times New Roman" w:cs="Times New Roman"/>
                <w:color w:val="000000"/>
                <w:sz w:val="20"/>
                <w:lang w:eastAsia="sk-SK"/>
              </w:rPr>
              <w:t>bola stanovená</w:t>
            </w:r>
            <w:r w:rsidRPr="009F055B">
              <w:rPr>
                <w:rFonts w:eastAsia="Times New Roman" w:cs="Times New Roman"/>
                <w:color w:val="000000"/>
                <w:sz w:val="20"/>
                <w:lang w:eastAsia="sk-SK"/>
              </w:rPr>
              <w:t xml:space="preserve"> na 10 eur za jednu prehliadku. </w:t>
            </w:r>
            <w:r>
              <w:rPr>
                <w:rFonts w:eastAsia="Times New Roman" w:cs="Times New Roman"/>
                <w:color w:val="000000"/>
                <w:sz w:val="20"/>
                <w:lang w:eastAsia="sk-SK"/>
              </w:rPr>
              <w:t>Presné výdavky budú závisieť od výberu lokalít pre pilotný projekt a vekovej štruktúry miestnej populácie MRK. Výpočet bol robený za predpokladu, že ročne bude podporených 10 000 obyvateľov MRK, rovnomerne rozdelených od 4 mesiaca pred narodením až po ľudí, ktorí dovŕšili 15 rok veku. Priemerný počet prehliadok za rok tak vychádza na 1,3 na osobu.</w:t>
            </w:r>
            <w:r>
              <w:rPr>
                <w:rStyle w:val="Odkaznapoznmkupodiarou"/>
                <w:rFonts w:eastAsia="Times New Roman" w:cs="Times New Roman"/>
                <w:color w:val="000000"/>
                <w:sz w:val="20"/>
                <w:lang w:eastAsia="sk-SK"/>
              </w:rPr>
              <w:footnoteReference w:id="557"/>
            </w:r>
            <w:r>
              <w:rPr>
                <w:rFonts w:eastAsia="Times New Roman" w:cs="Times New Roman"/>
                <w:color w:val="000000"/>
                <w:sz w:val="20"/>
                <w:lang w:eastAsia="sk-SK"/>
              </w:rPr>
              <w:t xml:space="preserve"> </w:t>
            </w:r>
          </w:p>
        </w:tc>
      </w:tr>
      <w:tr w:rsidR="00F16AF6" w:rsidRPr="000B09C5" w14:paraId="1C48278F" w14:textId="77777777" w:rsidTr="00793156">
        <w:trPr>
          <w:trHeight w:val="765"/>
        </w:trPr>
        <w:tc>
          <w:tcPr>
            <w:tcW w:w="567" w:type="dxa"/>
            <w:tcBorders>
              <w:top w:val="nil"/>
              <w:left w:val="nil"/>
              <w:bottom w:val="dotted" w:sz="4" w:space="0" w:color="auto"/>
              <w:right w:val="nil"/>
            </w:tcBorders>
            <w:shd w:val="clear" w:color="000000" w:fill="FFFFFF"/>
            <w:vAlign w:val="bottom"/>
            <w:hideMark/>
          </w:tcPr>
          <w:p w14:paraId="691AC184" w14:textId="0B5DBA4A" w:rsidR="00F16AF6" w:rsidRPr="00CA2564" w:rsidRDefault="00EF63D6" w:rsidP="00793156">
            <w:pPr>
              <w:spacing w:after="0"/>
              <w:jc w:val="center"/>
              <w:rPr>
                <w:rFonts w:eastAsia="Times New Roman" w:cs="Times New Roman"/>
                <w:color w:val="000000"/>
                <w:sz w:val="20"/>
                <w:lang w:eastAsia="sk-SK"/>
              </w:rPr>
            </w:pPr>
            <w:r>
              <w:rPr>
                <w:rFonts w:eastAsia="Times New Roman" w:cs="Times New Roman"/>
                <w:color w:val="000000"/>
                <w:sz w:val="20"/>
                <w:lang w:eastAsia="sk-SK"/>
              </w:rPr>
              <w:t>21</w:t>
            </w:r>
          </w:p>
        </w:tc>
        <w:tc>
          <w:tcPr>
            <w:tcW w:w="2694" w:type="dxa"/>
            <w:tcBorders>
              <w:top w:val="nil"/>
              <w:left w:val="nil"/>
              <w:bottom w:val="dotted" w:sz="4" w:space="0" w:color="auto"/>
              <w:right w:val="nil"/>
            </w:tcBorders>
            <w:shd w:val="clear" w:color="000000" w:fill="FFFFFF"/>
            <w:vAlign w:val="bottom"/>
            <w:hideMark/>
          </w:tcPr>
          <w:p w14:paraId="427ED439" w14:textId="77777777" w:rsidR="00F16AF6" w:rsidRPr="007F4230" w:rsidRDefault="00F16AF6" w:rsidP="00793156">
            <w:pPr>
              <w:spacing w:after="0" w:line="240" w:lineRule="auto"/>
              <w:jc w:val="left"/>
              <w:rPr>
                <w:rFonts w:eastAsia="Times New Roman" w:cs="Times New Roman"/>
                <w:color w:val="000000"/>
                <w:sz w:val="20"/>
                <w:lang w:eastAsia="sk-SK"/>
              </w:rPr>
            </w:pPr>
            <w:r w:rsidRPr="007F4230">
              <w:rPr>
                <w:rFonts w:eastAsia="Times New Roman" w:cs="Times New Roman"/>
                <w:color w:val="000000"/>
                <w:sz w:val="20"/>
                <w:lang w:eastAsia="sk-SK"/>
              </w:rPr>
              <w:t>Upraviť podmienky poskytovania príspevku na bývanie</w:t>
            </w:r>
          </w:p>
        </w:tc>
        <w:tc>
          <w:tcPr>
            <w:tcW w:w="850" w:type="dxa"/>
            <w:tcBorders>
              <w:top w:val="nil"/>
              <w:left w:val="nil"/>
              <w:bottom w:val="dotted" w:sz="4" w:space="0" w:color="auto"/>
              <w:right w:val="nil"/>
            </w:tcBorders>
            <w:shd w:val="clear" w:color="000000" w:fill="FFFFFF"/>
            <w:noWrap/>
            <w:vAlign w:val="bottom"/>
            <w:hideMark/>
          </w:tcPr>
          <w:p w14:paraId="16A05E6F" w14:textId="77777777" w:rsidR="00F16AF6" w:rsidRPr="00BD06CD" w:rsidRDefault="00F16AF6" w:rsidP="00793156">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48,7</w:t>
            </w:r>
          </w:p>
        </w:tc>
        <w:tc>
          <w:tcPr>
            <w:tcW w:w="9923" w:type="dxa"/>
            <w:tcBorders>
              <w:top w:val="nil"/>
              <w:left w:val="nil"/>
              <w:bottom w:val="dotted" w:sz="4" w:space="0" w:color="auto"/>
              <w:right w:val="nil"/>
            </w:tcBorders>
            <w:shd w:val="clear" w:color="000000" w:fill="FFFFFF"/>
            <w:noWrap/>
            <w:vAlign w:val="bottom"/>
            <w:hideMark/>
          </w:tcPr>
          <w:p w14:paraId="215385FE" w14:textId="3CBD4AF9" w:rsidR="00F16AF6" w:rsidRPr="00BD06CD" w:rsidRDefault="00F16AF6" w:rsidP="00BB7573">
            <w:pPr>
              <w:spacing w:after="0" w:line="240" w:lineRule="auto"/>
              <w:rPr>
                <w:rFonts w:eastAsia="Times New Roman" w:cs="Times New Roman"/>
                <w:color w:val="000000"/>
                <w:sz w:val="20"/>
                <w:lang w:eastAsia="sk-SK"/>
              </w:rPr>
            </w:pPr>
            <w:r w:rsidRPr="00BD06CD">
              <w:rPr>
                <w:rFonts w:eastAsia="Times New Roman" w:cs="Times New Roman"/>
                <w:color w:val="000000"/>
                <w:sz w:val="20"/>
                <w:lang w:eastAsia="sk-SK"/>
              </w:rPr>
              <w:t>Konkrétny návrh príspevku na bývanie si vyžaduje detailnejšiu analýzu ako poskytuje táto revízia. Výpočet bol urobený na základe zjednodušeného scenára, pri ktorom miera pokrytia domácností v spodnom kvintile príjmovej distribúcie stúpne z 8,5 % v roku 2018 na 15 % (okolo 62 tisíc domácností a mierne pod</w:t>
            </w:r>
            <w:r>
              <w:rPr>
                <w:rFonts w:eastAsia="Times New Roman" w:cs="Times New Roman"/>
                <w:color w:val="000000"/>
                <w:sz w:val="20"/>
                <w:lang w:eastAsia="sk-SK"/>
              </w:rPr>
              <w:t xml:space="preserve"> priemerom EÚ na úrovni 18</w:t>
            </w:r>
            <w:r w:rsidRPr="00BD06CD">
              <w:rPr>
                <w:rFonts w:eastAsia="Times New Roman" w:cs="Times New Roman"/>
                <w:color w:val="000000"/>
                <w:sz w:val="20"/>
                <w:lang w:eastAsia="sk-SK"/>
              </w:rPr>
              <w:t xml:space="preserve"> %). Priemerná výška príspevku bola stanovená na 100 eur za mesiac. Pre porovnanie priemerný príspevok na bývanie v ČR v roku 2017 bol okolo 136 eur (Český statistický úřad) a priemerný nárok na príspevok na bývanie v rámci PHN v roku 2018 bol na Slovensku 71 eur. Celkové výdavky na príspevok by v tomto scenári predstavovali 74,2 miliónov eur ročne. Z tejto sumy je odpočítaná odhadovaná úspora z dôvodu zrušenia príspevku na bývanie v rámci PHN (25,5 miliónov eur). Tá bola vypočítaná ako suma nárokov na príspevok na bývanie v rámci PHN vynásobená</w:t>
            </w:r>
            <w:r w:rsidR="0070047D">
              <w:rPr>
                <w:rFonts w:eastAsia="Times New Roman" w:cs="Times New Roman"/>
                <w:color w:val="000000"/>
                <w:sz w:val="20"/>
                <w:lang w:eastAsia="sk-SK"/>
              </w:rPr>
              <w:t xml:space="preserve"> </w:t>
            </w:r>
            <w:r w:rsidRPr="00BD06CD">
              <w:rPr>
                <w:rFonts w:eastAsia="Times New Roman" w:cs="Times New Roman"/>
                <w:color w:val="000000"/>
                <w:sz w:val="20"/>
                <w:lang w:eastAsia="sk-SK"/>
              </w:rPr>
              <w:t xml:space="preserve">pomerom </w:t>
            </w:r>
            <w:r>
              <w:rPr>
                <w:rFonts w:eastAsia="Times New Roman" w:cs="Times New Roman"/>
                <w:color w:val="000000"/>
                <w:sz w:val="20"/>
                <w:lang w:eastAsia="sk-SK"/>
              </w:rPr>
              <w:t>celkových výdavkov</w:t>
            </w:r>
            <w:r w:rsidRPr="00BD06CD">
              <w:rPr>
                <w:rFonts w:eastAsia="Times New Roman" w:cs="Times New Roman"/>
                <w:color w:val="000000"/>
                <w:sz w:val="20"/>
                <w:lang w:eastAsia="sk-SK"/>
              </w:rPr>
              <w:t xml:space="preserve"> na PHN </w:t>
            </w:r>
            <w:r>
              <w:rPr>
                <w:rFonts w:eastAsia="Times New Roman" w:cs="Times New Roman"/>
                <w:color w:val="000000"/>
                <w:sz w:val="20"/>
                <w:lang w:eastAsia="sk-SK"/>
              </w:rPr>
              <w:t xml:space="preserve">k </w:t>
            </w:r>
            <w:r w:rsidRPr="00BD06CD">
              <w:rPr>
                <w:rFonts w:eastAsia="Times New Roman" w:cs="Times New Roman"/>
                <w:color w:val="000000"/>
                <w:sz w:val="20"/>
                <w:lang w:eastAsia="sk-SK"/>
              </w:rPr>
              <w:t>celkový</w:t>
            </w:r>
            <w:r>
              <w:rPr>
                <w:rFonts w:eastAsia="Times New Roman" w:cs="Times New Roman"/>
                <w:color w:val="000000"/>
                <w:sz w:val="20"/>
                <w:lang w:eastAsia="sk-SK"/>
              </w:rPr>
              <w:t>m</w:t>
            </w:r>
            <w:r w:rsidRPr="00BD06CD">
              <w:rPr>
                <w:rFonts w:eastAsia="Times New Roman" w:cs="Times New Roman"/>
                <w:color w:val="000000"/>
                <w:sz w:val="20"/>
                <w:lang w:eastAsia="sk-SK"/>
              </w:rPr>
              <w:t xml:space="preserve"> nároko</w:t>
            </w:r>
            <w:r>
              <w:rPr>
                <w:rFonts w:eastAsia="Times New Roman" w:cs="Times New Roman"/>
                <w:color w:val="000000"/>
                <w:sz w:val="20"/>
                <w:lang w:eastAsia="sk-SK"/>
              </w:rPr>
              <w:t>m</w:t>
            </w:r>
            <w:r w:rsidRPr="00BD06CD">
              <w:rPr>
                <w:rFonts w:eastAsia="Times New Roman" w:cs="Times New Roman"/>
                <w:color w:val="000000"/>
                <w:sz w:val="20"/>
                <w:lang w:eastAsia="sk-SK"/>
              </w:rPr>
              <w:t xml:space="preserve"> na PHN v roku 2018 (85,2 %).</w:t>
            </w:r>
          </w:p>
        </w:tc>
      </w:tr>
      <w:tr w:rsidR="00F16AF6" w:rsidRPr="000B09C5" w14:paraId="5217C445" w14:textId="77777777" w:rsidTr="00793156">
        <w:trPr>
          <w:trHeight w:val="765"/>
        </w:trPr>
        <w:tc>
          <w:tcPr>
            <w:tcW w:w="567" w:type="dxa"/>
            <w:tcBorders>
              <w:top w:val="nil"/>
              <w:left w:val="nil"/>
              <w:bottom w:val="dotted" w:sz="4" w:space="0" w:color="auto"/>
              <w:right w:val="nil"/>
            </w:tcBorders>
            <w:shd w:val="clear" w:color="000000" w:fill="FFFFFF"/>
            <w:vAlign w:val="bottom"/>
            <w:hideMark/>
          </w:tcPr>
          <w:p w14:paraId="17225AF7" w14:textId="5EBE1170" w:rsidR="00F16AF6" w:rsidRPr="00CA2564" w:rsidRDefault="00EF63D6" w:rsidP="00793156">
            <w:pPr>
              <w:spacing w:after="0"/>
              <w:jc w:val="center"/>
              <w:rPr>
                <w:rFonts w:eastAsia="Times New Roman" w:cs="Times New Roman"/>
                <w:color w:val="000000"/>
                <w:sz w:val="20"/>
                <w:lang w:eastAsia="sk-SK"/>
              </w:rPr>
            </w:pPr>
            <w:r>
              <w:rPr>
                <w:rFonts w:eastAsia="Times New Roman" w:cs="Times New Roman"/>
                <w:color w:val="000000"/>
                <w:sz w:val="20"/>
                <w:lang w:eastAsia="sk-SK"/>
              </w:rPr>
              <w:t>22</w:t>
            </w:r>
          </w:p>
        </w:tc>
        <w:tc>
          <w:tcPr>
            <w:tcW w:w="2694" w:type="dxa"/>
            <w:tcBorders>
              <w:top w:val="nil"/>
              <w:left w:val="nil"/>
              <w:bottom w:val="dotted" w:sz="4" w:space="0" w:color="auto"/>
              <w:right w:val="nil"/>
            </w:tcBorders>
            <w:shd w:val="clear" w:color="000000" w:fill="FFFFFF"/>
            <w:vAlign w:val="bottom"/>
            <w:hideMark/>
          </w:tcPr>
          <w:p w14:paraId="1C086A2F" w14:textId="77777777" w:rsidR="00F16AF6" w:rsidRPr="007F4230" w:rsidRDefault="00F16AF6" w:rsidP="00793156">
            <w:pPr>
              <w:spacing w:after="0" w:line="240" w:lineRule="auto"/>
              <w:jc w:val="left"/>
              <w:rPr>
                <w:rFonts w:eastAsia="Times New Roman" w:cs="Times New Roman"/>
                <w:color w:val="000000"/>
                <w:sz w:val="20"/>
                <w:lang w:eastAsia="sk-SK"/>
              </w:rPr>
            </w:pPr>
            <w:r w:rsidRPr="007F4230">
              <w:rPr>
                <w:rFonts w:eastAsia="Times New Roman" w:cs="Times New Roman"/>
                <w:color w:val="000000"/>
                <w:sz w:val="20"/>
                <w:lang w:eastAsia="sk-SK"/>
              </w:rPr>
              <w:t>Pilotne overiť prístup „housing first“ ako riešenie bezdomovectva</w:t>
            </w:r>
          </w:p>
        </w:tc>
        <w:tc>
          <w:tcPr>
            <w:tcW w:w="850" w:type="dxa"/>
            <w:tcBorders>
              <w:top w:val="nil"/>
              <w:left w:val="nil"/>
              <w:bottom w:val="dotted" w:sz="4" w:space="0" w:color="auto"/>
              <w:right w:val="nil"/>
            </w:tcBorders>
            <w:shd w:val="clear" w:color="000000" w:fill="FFFFFF"/>
            <w:noWrap/>
            <w:vAlign w:val="bottom"/>
            <w:hideMark/>
          </w:tcPr>
          <w:p w14:paraId="09DE4640" w14:textId="77777777" w:rsidR="00F16AF6" w:rsidRPr="000B09C5" w:rsidRDefault="00F16AF6" w:rsidP="00793156">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2,9</w:t>
            </w:r>
          </w:p>
        </w:tc>
        <w:tc>
          <w:tcPr>
            <w:tcW w:w="9923" w:type="dxa"/>
            <w:tcBorders>
              <w:top w:val="nil"/>
              <w:left w:val="nil"/>
              <w:bottom w:val="dotted" w:sz="4" w:space="0" w:color="auto"/>
              <w:right w:val="nil"/>
            </w:tcBorders>
            <w:shd w:val="clear" w:color="000000" w:fill="FFFFFF"/>
            <w:noWrap/>
            <w:vAlign w:val="bottom"/>
            <w:hideMark/>
          </w:tcPr>
          <w:p w14:paraId="2F39A911" w14:textId="1353225B" w:rsidR="00F16AF6" w:rsidRPr="000B09C5" w:rsidRDefault="00F16AF6" w:rsidP="00BB7573">
            <w:pPr>
              <w:spacing w:after="0" w:line="240" w:lineRule="auto"/>
              <w:rPr>
                <w:rFonts w:eastAsia="Times New Roman" w:cs="Times New Roman"/>
                <w:color w:val="000000"/>
                <w:sz w:val="20"/>
                <w:lang w:eastAsia="sk-SK"/>
              </w:rPr>
            </w:pPr>
            <w:r w:rsidRPr="00A062BA">
              <w:rPr>
                <w:sz w:val="20"/>
              </w:rPr>
              <w:t>Veľkosť testovanej skupiny je stanovená na 50 domácností s intervenciou a minimálne 50 domácností bez intervencie. Dĺžka projektu po zabezpečení potrebného počtu bytových</w:t>
            </w:r>
            <w:r>
              <w:rPr>
                <w:sz w:val="20"/>
              </w:rPr>
              <w:t xml:space="preserve"> jednotiek je predpokladaná na 3 roky </w:t>
            </w:r>
            <w:r w:rsidRPr="00A062BA">
              <w:rPr>
                <w:sz w:val="20"/>
              </w:rPr>
              <w:t xml:space="preserve">z toho </w:t>
            </w:r>
            <w:r>
              <w:rPr>
                <w:sz w:val="20"/>
              </w:rPr>
              <w:t>6 mesiacov je predpokladaná príprava (výber vzorky, školenie terénnych pracovníkov atď.), 2 roky</w:t>
            </w:r>
            <w:r w:rsidRPr="00A062BA">
              <w:rPr>
                <w:sz w:val="20"/>
              </w:rPr>
              <w:t xml:space="preserve"> sa predpokladá pod</w:t>
            </w:r>
            <w:r>
              <w:rPr>
                <w:sz w:val="20"/>
              </w:rPr>
              <w:t xml:space="preserve">pora bývania zúčastnených rodín a </w:t>
            </w:r>
            <w:r w:rsidRPr="00A062BA">
              <w:rPr>
                <w:sz w:val="20"/>
              </w:rPr>
              <w:t xml:space="preserve">6 mesiacov </w:t>
            </w:r>
            <w:r>
              <w:rPr>
                <w:sz w:val="20"/>
              </w:rPr>
              <w:t xml:space="preserve">je určených </w:t>
            </w:r>
            <w:r w:rsidRPr="00A062BA">
              <w:rPr>
                <w:sz w:val="20"/>
              </w:rPr>
              <w:t>na hodnotenie</w:t>
            </w:r>
            <w:r>
              <w:rPr>
                <w:sz w:val="20"/>
              </w:rPr>
              <w:t xml:space="preserve"> projektu</w:t>
            </w:r>
            <w:r w:rsidRPr="00A062BA">
              <w:rPr>
                <w:sz w:val="20"/>
              </w:rPr>
              <w:t>. Do výpo</w:t>
            </w:r>
            <w:r>
              <w:rPr>
                <w:sz w:val="20"/>
              </w:rPr>
              <w:t>čtu vstupujú mzdové náklady na 8</w:t>
            </w:r>
            <w:r w:rsidRPr="00A062BA">
              <w:rPr>
                <w:sz w:val="20"/>
              </w:rPr>
              <w:t xml:space="preserve"> terénnych sociálnych praco</w:t>
            </w:r>
            <w:r>
              <w:rPr>
                <w:sz w:val="20"/>
              </w:rPr>
              <w:t>vníkov (406 596 eur za 30 mesiacov), jedného koordinátora (63 530</w:t>
            </w:r>
            <w:r w:rsidRPr="00A062BA">
              <w:rPr>
                <w:sz w:val="20"/>
              </w:rPr>
              <w:t xml:space="preserve"> eur za </w:t>
            </w:r>
            <w:r>
              <w:rPr>
                <w:sz w:val="20"/>
              </w:rPr>
              <w:t>30 mesiacov</w:t>
            </w:r>
            <w:r w:rsidRPr="00A062BA">
              <w:rPr>
                <w:sz w:val="20"/>
              </w:rPr>
              <w:t>)</w:t>
            </w:r>
            <w:r>
              <w:rPr>
                <w:sz w:val="20"/>
              </w:rPr>
              <w:t>, 1 právnika (62 105 eur za 24 mesiacov) a 1 psychológa (30 631 eur za 24 mesiacov)</w:t>
            </w:r>
            <w:r w:rsidRPr="00A062BA">
              <w:rPr>
                <w:sz w:val="20"/>
              </w:rPr>
              <w:t xml:space="preserve">. </w:t>
            </w:r>
            <w:r>
              <w:rPr>
                <w:sz w:val="20"/>
              </w:rPr>
              <w:t xml:space="preserve">Na nepriame náklady je vyčlenených 15 % z mzdových nákladov (84 429 eur), rovnako ako pri terénnej sociálnej práci. </w:t>
            </w:r>
            <w:r w:rsidRPr="00A062BA">
              <w:rPr>
                <w:sz w:val="20"/>
              </w:rPr>
              <w:t>Náklady zohľadňujú finančnú pomoc pre zúčastnené rodiny v hodnote príspevku na bývanie počas prvých 6 mesiacov</w:t>
            </w:r>
            <w:r w:rsidRPr="00A062BA">
              <w:rPr>
                <w:rStyle w:val="Odkaznapoznmkupodiarou"/>
                <w:sz w:val="20"/>
              </w:rPr>
              <w:footnoteReference w:id="558"/>
            </w:r>
            <w:r w:rsidRPr="00A062BA">
              <w:rPr>
                <w:sz w:val="20"/>
              </w:rPr>
              <w:t xml:space="preserve"> (26 760 eur) a</w:t>
            </w:r>
            <w:r>
              <w:rPr>
                <w:sz w:val="20"/>
              </w:rPr>
              <w:t> garančný fond, ktorý v prípade potreby</w:t>
            </w:r>
            <w:r w:rsidRPr="00A062BA">
              <w:rPr>
                <w:sz w:val="20"/>
              </w:rPr>
              <w:t xml:space="preserve"> umožní zníženie nájom</w:t>
            </w:r>
            <w:r>
              <w:rPr>
                <w:sz w:val="20"/>
              </w:rPr>
              <w:t xml:space="preserve">ného pre zúčastnené rodiny počas 2 rokov trvania intervencie, najviac však o 1,5 % obstarávacej ceny (spolu 69 468 eur). </w:t>
            </w:r>
            <w:r w:rsidRPr="00A062BA">
              <w:rPr>
                <w:sz w:val="20"/>
              </w:rPr>
              <w:t>Výdavky tiež zahŕňajú vzdelávanie a odbornú prípravu terénnych sociálnych pracovníkov (25 tisíc eur), evidenciu a prípravu účastníkov programu (45 tisíc eur) a</w:t>
            </w:r>
            <w:r w:rsidR="0070047D">
              <w:rPr>
                <w:sz w:val="20"/>
              </w:rPr>
              <w:t xml:space="preserve"> </w:t>
            </w:r>
            <w:r w:rsidRPr="00A062BA">
              <w:rPr>
                <w:sz w:val="20"/>
              </w:rPr>
              <w:t xml:space="preserve">uskutočnenie a odborné vyhodnotenie navrhovaného experimentu (40 tisíc eur). Pre uskutočnenie projektu bude tiež potrebné obstarať 50 nájomných bytových jednotiek. Výpočet predpokladá financovanie pomocou dotácie MDV na rozvoj bývania v hodnote 90 % priemernej obstarávacej ceny nájomného bytu podporeného dotáciou v roku </w:t>
            </w:r>
            <w:r>
              <w:rPr>
                <w:sz w:val="20"/>
              </w:rPr>
              <w:t>2019</w:t>
            </w:r>
            <w:r w:rsidRPr="00A062BA">
              <w:rPr>
                <w:sz w:val="20"/>
              </w:rPr>
              <w:t xml:space="preserve"> (</w:t>
            </w:r>
            <w:r w:rsidRPr="00875070">
              <w:rPr>
                <w:sz w:val="20"/>
              </w:rPr>
              <w:t>spolu 2,1</w:t>
            </w:r>
            <w:r w:rsidRPr="00A062BA">
              <w:rPr>
                <w:sz w:val="20"/>
              </w:rPr>
              <w:t xml:space="preserve"> milióny eur). Výpočet nezohľadňuje potenciálne úspory, ktoré by vďaka projektu mohli vzniknúť v iných oblastiach (zdravotná starostlivosť, zásahy polície, služby krízovej intervencie).</w:t>
            </w:r>
          </w:p>
        </w:tc>
      </w:tr>
      <w:tr w:rsidR="00F16AF6" w:rsidRPr="00CA2564" w14:paraId="5184BC05" w14:textId="77777777" w:rsidTr="00793156">
        <w:trPr>
          <w:trHeight w:val="92"/>
        </w:trPr>
        <w:tc>
          <w:tcPr>
            <w:tcW w:w="567" w:type="dxa"/>
            <w:tcBorders>
              <w:top w:val="dotted" w:sz="4" w:space="0" w:color="auto"/>
              <w:left w:val="nil"/>
              <w:bottom w:val="dotted" w:sz="4" w:space="0" w:color="auto"/>
              <w:right w:val="nil"/>
            </w:tcBorders>
            <w:shd w:val="clear" w:color="000000" w:fill="FFFFFF"/>
            <w:vAlign w:val="bottom"/>
          </w:tcPr>
          <w:p w14:paraId="74D175C3" w14:textId="4311D92D" w:rsidR="00F16AF6" w:rsidRDefault="00EF63D6" w:rsidP="00793156">
            <w:pPr>
              <w:spacing w:after="0"/>
              <w:jc w:val="center"/>
              <w:rPr>
                <w:rFonts w:eastAsia="Times New Roman" w:cs="Times New Roman"/>
                <w:color w:val="000000"/>
                <w:sz w:val="20"/>
                <w:lang w:eastAsia="sk-SK"/>
              </w:rPr>
            </w:pPr>
            <w:r>
              <w:rPr>
                <w:rFonts w:eastAsia="Times New Roman" w:cs="Times New Roman"/>
                <w:color w:val="000000"/>
                <w:sz w:val="20"/>
                <w:lang w:eastAsia="sk-SK"/>
              </w:rPr>
              <w:t>23</w:t>
            </w:r>
          </w:p>
        </w:tc>
        <w:tc>
          <w:tcPr>
            <w:tcW w:w="2694" w:type="dxa"/>
            <w:tcBorders>
              <w:top w:val="dotted" w:sz="4" w:space="0" w:color="auto"/>
              <w:left w:val="nil"/>
              <w:bottom w:val="dotted" w:sz="4" w:space="0" w:color="auto"/>
              <w:right w:val="nil"/>
            </w:tcBorders>
            <w:shd w:val="clear" w:color="000000" w:fill="FFFFFF"/>
            <w:vAlign w:val="bottom"/>
          </w:tcPr>
          <w:p w14:paraId="229FACDB" w14:textId="77777777" w:rsidR="00F16AF6" w:rsidRPr="007F4230" w:rsidRDefault="00F16AF6" w:rsidP="00793156">
            <w:pPr>
              <w:spacing w:after="0"/>
              <w:jc w:val="left"/>
              <w:rPr>
                <w:rFonts w:eastAsia="Times New Roman" w:cs="Times New Roman"/>
                <w:color w:val="000000"/>
                <w:sz w:val="20"/>
                <w:lang w:eastAsia="sk-SK"/>
              </w:rPr>
            </w:pPr>
            <w:r w:rsidRPr="007F4230">
              <w:rPr>
                <w:sz w:val="20"/>
              </w:rPr>
              <w:t>Zabezpečiť podporu terénnych pracovníkov v ďalšom štúdiu</w:t>
            </w:r>
          </w:p>
        </w:tc>
        <w:tc>
          <w:tcPr>
            <w:tcW w:w="850" w:type="dxa"/>
            <w:tcBorders>
              <w:top w:val="dotted" w:sz="4" w:space="0" w:color="auto"/>
              <w:left w:val="nil"/>
              <w:bottom w:val="dotted" w:sz="4" w:space="0" w:color="auto"/>
              <w:right w:val="nil"/>
            </w:tcBorders>
            <w:shd w:val="clear" w:color="000000" w:fill="FFFFFF"/>
            <w:noWrap/>
            <w:vAlign w:val="bottom"/>
          </w:tcPr>
          <w:p w14:paraId="62B72081" w14:textId="77777777" w:rsidR="00F16AF6" w:rsidRPr="006517A2" w:rsidRDefault="00F16AF6" w:rsidP="00793156">
            <w:pPr>
              <w:spacing w:after="0" w:line="240" w:lineRule="auto"/>
              <w:jc w:val="right"/>
              <w:rPr>
                <w:rFonts w:eastAsia="Times New Roman" w:cs="Times New Roman"/>
                <w:color w:val="000000"/>
                <w:sz w:val="20"/>
                <w:lang w:val="en-US" w:eastAsia="sk-SK"/>
              </w:rPr>
            </w:pPr>
            <w:r>
              <w:rPr>
                <w:rFonts w:eastAsia="Times New Roman" w:cs="Times New Roman"/>
                <w:color w:val="000000"/>
                <w:sz w:val="20"/>
                <w:lang w:val="en-US" w:eastAsia="sk-SK"/>
              </w:rPr>
              <w:t>0,3</w:t>
            </w:r>
          </w:p>
        </w:tc>
        <w:tc>
          <w:tcPr>
            <w:tcW w:w="9923" w:type="dxa"/>
            <w:tcBorders>
              <w:top w:val="dotted" w:sz="4" w:space="0" w:color="auto"/>
              <w:left w:val="nil"/>
              <w:bottom w:val="dotted" w:sz="4" w:space="0" w:color="auto"/>
              <w:right w:val="nil"/>
            </w:tcBorders>
            <w:shd w:val="clear" w:color="000000" w:fill="FFFFFF"/>
            <w:noWrap/>
            <w:vAlign w:val="bottom"/>
          </w:tcPr>
          <w:p w14:paraId="2666D1A0" w14:textId="77777777" w:rsidR="00F16AF6" w:rsidRPr="00CA2564" w:rsidRDefault="00F16AF6" w:rsidP="00BB7573">
            <w:pPr>
              <w:spacing w:after="0" w:line="240" w:lineRule="auto"/>
              <w:rPr>
                <w:rFonts w:eastAsia="Times New Roman" w:cs="Times New Roman"/>
                <w:color w:val="000000"/>
                <w:sz w:val="20"/>
                <w:lang w:eastAsia="sk-SK"/>
              </w:rPr>
            </w:pPr>
            <w:r>
              <w:rPr>
                <w:rFonts w:eastAsia="Times New Roman" w:cs="Times New Roman"/>
                <w:color w:val="000000"/>
                <w:sz w:val="20"/>
                <w:lang w:eastAsia="sk-SK"/>
              </w:rPr>
              <w:t>Pilot predpokladá, že ročne do schémy vstúpi 10 terénnych pracovníkov, čím po 7 rokoch dosiahne celkový počet zapojených TP 70, čo je cca 15 % všetkých TP. Doba štúdia na získanie vysokoškolského vzdelania druhého stupňa pre terénnych pracovníkov s neúplným stredoškolským vzdelaním je spolu 7 rokov. Výška štipendia je stanovená na úroveň čistej minimálnej mzdy v roku 2019 (430,35 eur za mesiac).</w:t>
            </w:r>
          </w:p>
        </w:tc>
      </w:tr>
      <w:tr w:rsidR="00F16AF6" w:rsidRPr="00CA2564" w14:paraId="75C327BC" w14:textId="77777777" w:rsidTr="00793156">
        <w:trPr>
          <w:trHeight w:val="92"/>
        </w:trPr>
        <w:tc>
          <w:tcPr>
            <w:tcW w:w="567" w:type="dxa"/>
            <w:tcBorders>
              <w:top w:val="dotted" w:sz="4" w:space="0" w:color="auto"/>
              <w:left w:val="nil"/>
              <w:bottom w:val="dotted" w:sz="4" w:space="0" w:color="auto"/>
              <w:right w:val="nil"/>
            </w:tcBorders>
            <w:shd w:val="clear" w:color="000000" w:fill="FFFFFF"/>
            <w:vAlign w:val="bottom"/>
          </w:tcPr>
          <w:p w14:paraId="6C2DDDEF" w14:textId="16D81DAA" w:rsidR="00F16AF6" w:rsidRDefault="00EF63D6" w:rsidP="00793156">
            <w:pPr>
              <w:spacing w:after="0"/>
              <w:jc w:val="center"/>
              <w:rPr>
                <w:rFonts w:eastAsia="Times New Roman" w:cs="Times New Roman"/>
                <w:color w:val="000000"/>
                <w:sz w:val="20"/>
                <w:lang w:eastAsia="sk-SK"/>
              </w:rPr>
            </w:pPr>
            <w:r>
              <w:rPr>
                <w:rFonts w:eastAsia="Times New Roman" w:cs="Times New Roman"/>
                <w:color w:val="000000"/>
                <w:sz w:val="20"/>
                <w:lang w:eastAsia="sk-SK"/>
              </w:rPr>
              <w:t>24</w:t>
            </w:r>
          </w:p>
        </w:tc>
        <w:tc>
          <w:tcPr>
            <w:tcW w:w="2694" w:type="dxa"/>
            <w:tcBorders>
              <w:top w:val="dotted" w:sz="4" w:space="0" w:color="auto"/>
              <w:left w:val="nil"/>
              <w:bottom w:val="dotted" w:sz="4" w:space="0" w:color="auto"/>
              <w:right w:val="nil"/>
            </w:tcBorders>
            <w:shd w:val="clear" w:color="000000" w:fill="FFFFFF"/>
            <w:vAlign w:val="bottom"/>
          </w:tcPr>
          <w:p w14:paraId="36A81D06" w14:textId="77777777" w:rsidR="00F16AF6" w:rsidRPr="007F4230" w:rsidRDefault="00F16AF6" w:rsidP="00793156">
            <w:pPr>
              <w:spacing w:after="0"/>
              <w:jc w:val="left"/>
              <w:rPr>
                <w:sz w:val="20"/>
              </w:rPr>
            </w:pPr>
            <w:r w:rsidRPr="007F4230">
              <w:rPr>
                <w:sz w:val="20"/>
              </w:rPr>
              <w:t>Rozšíriť program terénnej sociálnej práce o obce, v ktorých chýba</w:t>
            </w:r>
          </w:p>
        </w:tc>
        <w:tc>
          <w:tcPr>
            <w:tcW w:w="850" w:type="dxa"/>
            <w:tcBorders>
              <w:top w:val="dotted" w:sz="4" w:space="0" w:color="auto"/>
              <w:left w:val="nil"/>
              <w:bottom w:val="dotted" w:sz="4" w:space="0" w:color="auto"/>
              <w:right w:val="nil"/>
            </w:tcBorders>
            <w:shd w:val="clear" w:color="000000" w:fill="FFFFFF"/>
            <w:noWrap/>
            <w:vAlign w:val="bottom"/>
          </w:tcPr>
          <w:p w14:paraId="6A6E4B1D" w14:textId="77777777" w:rsidR="00F16AF6" w:rsidRPr="00CA2564" w:rsidRDefault="00F16AF6" w:rsidP="00793156">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2,0</w:t>
            </w:r>
          </w:p>
        </w:tc>
        <w:tc>
          <w:tcPr>
            <w:tcW w:w="9923" w:type="dxa"/>
            <w:tcBorders>
              <w:top w:val="dotted" w:sz="4" w:space="0" w:color="auto"/>
              <w:left w:val="nil"/>
              <w:bottom w:val="dotted" w:sz="4" w:space="0" w:color="auto"/>
              <w:right w:val="nil"/>
            </w:tcBorders>
            <w:shd w:val="clear" w:color="000000" w:fill="FFFFFF"/>
            <w:noWrap/>
            <w:vAlign w:val="bottom"/>
          </w:tcPr>
          <w:p w14:paraId="244492DE" w14:textId="7CF946EB" w:rsidR="00F16AF6" w:rsidRPr="0019259B" w:rsidRDefault="00F16AF6" w:rsidP="00BB7573">
            <w:pPr>
              <w:spacing w:after="0" w:line="240" w:lineRule="auto"/>
              <w:rPr>
                <w:rFonts w:ascii="Calibri" w:hAnsi="Calibri"/>
                <w:sz w:val="20"/>
              </w:rPr>
            </w:pPr>
            <w:r>
              <w:rPr>
                <w:sz w:val="20"/>
              </w:rPr>
              <w:t xml:space="preserve">Z kontextovej evaluácie TSP </w:t>
            </w:r>
            <w:r w:rsidR="00B24660">
              <w:rPr>
                <w:sz w:val="20"/>
              </w:rPr>
              <w:t>vyplýva</w:t>
            </w:r>
            <w:r>
              <w:rPr>
                <w:sz w:val="20"/>
              </w:rPr>
              <w:t xml:space="preserve">, že v 78 obciach s indexom potrebnosti terénnej sociálnej práce nad 10 (z celkového počtu 203 obcí) táto služba stále neexistuje. V Atlase rómskych komunít z roku 2019 sa nachádza 71 z týchto obcí. </w:t>
            </w:r>
            <w:r w:rsidRPr="00391141">
              <w:rPr>
                <w:sz w:val="20"/>
              </w:rPr>
              <w:t xml:space="preserve">Pre doplnenie kapacít </w:t>
            </w:r>
            <w:r>
              <w:rPr>
                <w:sz w:val="20"/>
              </w:rPr>
              <w:t xml:space="preserve">v týchto obciach by bolo potrebné </w:t>
            </w:r>
            <w:r w:rsidRPr="00391141">
              <w:rPr>
                <w:sz w:val="20"/>
              </w:rPr>
              <w:t xml:space="preserve">vytvoriť 102 pracovných miest </w:t>
            </w:r>
            <w:r>
              <w:rPr>
                <w:sz w:val="20"/>
              </w:rPr>
              <w:t xml:space="preserve">pre terénnych sociálnych pracovníkov (TSP) </w:t>
            </w:r>
            <w:r w:rsidRPr="00391141">
              <w:rPr>
                <w:sz w:val="20"/>
              </w:rPr>
              <w:t xml:space="preserve">a 47 pracovných miest pre </w:t>
            </w:r>
            <w:r>
              <w:rPr>
                <w:sz w:val="20"/>
              </w:rPr>
              <w:t>terénnych pracovníkov (TP)</w:t>
            </w:r>
            <w:r w:rsidRPr="00391141">
              <w:rPr>
                <w:sz w:val="20"/>
              </w:rPr>
              <w:t>.</w:t>
            </w:r>
            <w:r>
              <w:rPr>
                <w:rStyle w:val="Odkaznapoznmkupodiarou"/>
                <w:sz w:val="20"/>
              </w:rPr>
              <w:footnoteReference w:id="559"/>
            </w:r>
            <w:r w:rsidRPr="00391141">
              <w:rPr>
                <w:sz w:val="20"/>
              </w:rPr>
              <w:t xml:space="preserve"> Celkové mesačné náklady na ich zamestnávanie b</w:t>
            </w:r>
            <w:r>
              <w:rPr>
                <w:sz w:val="20"/>
              </w:rPr>
              <w:t>y predstavovali 168 588,81 eur.</w:t>
            </w:r>
            <w:r>
              <w:rPr>
                <w:rFonts w:ascii="Calibri" w:hAnsi="Calibri"/>
                <w:sz w:val="20"/>
              </w:rPr>
              <w:t xml:space="preserve"> </w:t>
            </w:r>
            <w:r w:rsidRPr="00391141">
              <w:rPr>
                <w:sz w:val="20"/>
              </w:rPr>
              <w:t xml:space="preserve">Výpočet zahŕňa celkovú cenu práce a povinný príspevok zamestnávateľa na stravu zamestnanca (približne 76,6 eur mesačne). Základná hrubá mzda sa predpokladá vo výške 866,50 eur pre TSP (ôsma platová tarifa) a 593 eur pre </w:t>
            </w:r>
            <w:r>
              <w:rPr>
                <w:sz w:val="20"/>
              </w:rPr>
              <w:t>TP (tretia platová tarifa). Reálne výdavky budú závisieť od záujmu dotknutých obcí, keďže bez ich súhlasu nie je možné TSP realizovať.</w:t>
            </w:r>
          </w:p>
        </w:tc>
      </w:tr>
      <w:tr w:rsidR="00F16AF6" w:rsidRPr="00CA2564" w14:paraId="22BB9FAA" w14:textId="77777777" w:rsidTr="00793156">
        <w:trPr>
          <w:trHeight w:val="92"/>
        </w:trPr>
        <w:tc>
          <w:tcPr>
            <w:tcW w:w="567" w:type="dxa"/>
            <w:tcBorders>
              <w:top w:val="dotted" w:sz="4" w:space="0" w:color="auto"/>
              <w:left w:val="nil"/>
              <w:bottom w:val="dotted" w:sz="4" w:space="0" w:color="auto"/>
              <w:right w:val="nil"/>
            </w:tcBorders>
            <w:shd w:val="clear" w:color="000000" w:fill="FFFFFF"/>
            <w:vAlign w:val="bottom"/>
          </w:tcPr>
          <w:p w14:paraId="5AD85660" w14:textId="44521B1B" w:rsidR="00F16AF6" w:rsidRDefault="00EF63D6" w:rsidP="00793156">
            <w:pPr>
              <w:spacing w:after="0"/>
              <w:jc w:val="center"/>
              <w:rPr>
                <w:rFonts w:eastAsia="Times New Roman" w:cs="Times New Roman"/>
                <w:color w:val="000000"/>
                <w:sz w:val="20"/>
                <w:lang w:eastAsia="sk-SK"/>
              </w:rPr>
            </w:pPr>
            <w:r>
              <w:rPr>
                <w:rFonts w:eastAsia="Times New Roman" w:cs="Times New Roman"/>
                <w:color w:val="000000"/>
                <w:sz w:val="20"/>
                <w:lang w:eastAsia="sk-SK"/>
              </w:rPr>
              <w:t>25</w:t>
            </w:r>
          </w:p>
        </w:tc>
        <w:tc>
          <w:tcPr>
            <w:tcW w:w="2694" w:type="dxa"/>
            <w:tcBorders>
              <w:top w:val="dotted" w:sz="4" w:space="0" w:color="auto"/>
              <w:left w:val="nil"/>
              <w:bottom w:val="dotted" w:sz="4" w:space="0" w:color="auto"/>
              <w:right w:val="nil"/>
            </w:tcBorders>
            <w:shd w:val="clear" w:color="000000" w:fill="FFFFFF"/>
            <w:vAlign w:val="bottom"/>
          </w:tcPr>
          <w:p w14:paraId="38767D1D" w14:textId="77777777" w:rsidR="00F16AF6" w:rsidRPr="007F4230" w:rsidRDefault="00F16AF6" w:rsidP="00793156">
            <w:pPr>
              <w:spacing w:after="0"/>
              <w:jc w:val="left"/>
              <w:rPr>
                <w:sz w:val="20"/>
              </w:rPr>
            </w:pPr>
            <w:r w:rsidRPr="007F4230">
              <w:rPr>
                <w:sz w:val="20"/>
              </w:rPr>
              <w:t>Rozšíriť program Zdravých komunít o obce, v ktorých chýba</w:t>
            </w:r>
          </w:p>
        </w:tc>
        <w:tc>
          <w:tcPr>
            <w:tcW w:w="850" w:type="dxa"/>
            <w:tcBorders>
              <w:top w:val="dotted" w:sz="4" w:space="0" w:color="auto"/>
              <w:left w:val="nil"/>
              <w:bottom w:val="dotted" w:sz="4" w:space="0" w:color="auto"/>
              <w:right w:val="nil"/>
            </w:tcBorders>
            <w:shd w:val="clear" w:color="000000" w:fill="FFFFFF"/>
            <w:noWrap/>
            <w:vAlign w:val="bottom"/>
          </w:tcPr>
          <w:p w14:paraId="34AA8C04" w14:textId="77777777" w:rsidR="00F16AF6" w:rsidRPr="00CA2564" w:rsidRDefault="00F16AF6" w:rsidP="00793156">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0,7</w:t>
            </w:r>
          </w:p>
        </w:tc>
        <w:tc>
          <w:tcPr>
            <w:tcW w:w="9923" w:type="dxa"/>
            <w:tcBorders>
              <w:top w:val="dotted" w:sz="4" w:space="0" w:color="auto"/>
              <w:left w:val="nil"/>
              <w:bottom w:val="dotted" w:sz="4" w:space="0" w:color="auto"/>
              <w:right w:val="nil"/>
            </w:tcBorders>
            <w:shd w:val="clear" w:color="000000" w:fill="FFFFFF"/>
            <w:noWrap/>
            <w:vAlign w:val="bottom"/>
          </w:tcPr>
          <w:p w14:paraId="0DCA3E10" w14:textId="77777777" w:rsidR="00F16AF6" w:rsidRPr="00E304AB" w:rsidRDefault="00F16AF6" w:rsidP="00793156">
            <w:pPr>
              <w:spacing w:after="0" w:line="240" w:lineRule="auto"/>
              <w:rPr>
                <w:sz w:val="20"/>
              </w:rPr>
            </w:pPr>
            <w:r w:rsidRPr="00E304AB">
              <w:rPr>
                <w:sz w:val="20"/>
              </w:rPr>
              <w:t>Pre úplné pokrytie MRK v rámci podpory zdravia, zdravotnej osvety a mediácie by bolo</w:t>
            </w:r>
            <w:r>
              <w:rPr>
                <w:sz w:val="20"/>
              </w:rPr>
              <w:t xml:space="preserve"> podľa organizácie Zdravé regióny potrebné</w:t>
            </w:r>
            <w:r w:rsidRPr="00E304AB">
              <w:rPr>
                <w:sz w:val="20"/>
              </w:rPr>
              <w:t xml:space="preserve"> zamestnať ďalších približne 50 asistentov a 10 koordinátorov osvety zdravia. Dodatočné výdavky by predstavovali okolo 0,7 miliónov eur ročne pre obdobie rokov 2020 – 2022.</w:t>
            </w:r>
            <w:r w:rsidRPr="00E304AB">
              <w:rPr>
                <w:rStyle w:val="Odkaznapoznmkupodiarou"/>
                <w:sz w:val="20"/>
              </w:rPr>
              <w:footnoteReference w:id="560"/>
            </w:r>
            <w:r w:rsidRPr="00E304AB">
              <w:rPr>
                <w:sz w:val="20"/>
              </w:rPr>
              <w:t xml:space="preserve"> Výpočet tohto scenára predpokladá priemerný počet približne 600 až 700 ľudí z prostredia MRK na jedného asistenta osvety zdravia a 8 až 10 asistentov na jedného koordinátora</w:t>
            </w:r>
            <w:r>
              <w:rPr>
                <w:sz w:val="20"/>
              </w:rPr>
              <w:t>.</w:t>
            </w:r>
            <w:r w:rsidRPr="00E304AB">
              <w:rPr>
                <w:rStyle w:val="Odkaznapoznmkupodiarou"/>
                <w:sz w:val="20"/>
              </w:rPr>
              <w:footnoteReference w:id="561"/>
            </w:r>
            <w:r w:rsidRPr="00E304AB">
              <w:rPr>
                <w:sz w:val="20"/>
              </w:rPr>
              <w:t xml:space="preserve"> Pričom v súčasnosti 09/2019 sú priemerné mesačné náklady na jedného asistenta osvety zdravia, definované celkovou cenou práce na úrovni 701,74 eur, a na koordinátora asistentov osvety zdravia vo výške 1 325,87 eur.</w:t>
            </w:r>
            <w:r>
              <w:rPr>
                <w:sz w:val="20"/>
              </w:rPr>
              <w:t xml:space="preserve"> Reálne výdavky budú závisieť od záujmu dotknutých obcí, keďže bez ich súhlasu nie je možné program Zdravé komunity realizovať.</w:t>
            </w:r>
          </w:p>
        </w:tc>
      </w:tr>
      <w:tr w:rsidR="00F16AF6" w:rsidRPr="00CA2564" w14:paraId="4654130B" w14:textId="77777777" w:rsidTr="00793156">
        <w:trPr>
          <w:trHeight w:val="92"/>
        </w:trPr>
        <w:tc>
          <w:tcPr>
            <w:tcW w:w="567" w:type="dxa"/>
            <w:tcBorders>
              <w:top w:val="dotted" w:sz="4" w:space="0" w:color="auto"/>
              <w:left w:val="nil"/>
              <w:bottom w:val="single" w:sz="4" w:space="0" w:color="auto"/>
              <w:right w:val="nil"/>
            </w:tcBorders>
            <w:shd w:val="clear" w:color="000000" w:fill="FFFFFF"/>
            <w:vAlign w:val="bottom"/>
          </w:tcPr>
          <w:p w14:paraId="12E90AE9" w14:textId="58262790" w:rsidR="00F16AF6" w:rsidRPr="00CA2564" w:rsidRDefault="00EF63D6" w:rsidP="00793156">
            <w:pPr>
              <w:spacing w:after="0"/>
              <w:jc w:val="center"/>
              <w:rPr>
                <w:rFonts w:eastAsia="Times New Roman" w:cs="Times New Roman"/>
                <w:color w:val="000000"/>
                <w:sz w:val="20"/>
                <w:lang w:eastAsia="sk-SK"/>
              </w:rPr>
            </w:pPr>
            <w:r>
              <w:rPr>
                <w:rFonts w:eastAsia="Times New Roman" w:cs="Times New Roman"/>
                <w:color w:val="000000"/>
                <w:sz w:val="20"/>
                <w:lang w:eastAsia="sk-SK"/>
              </w:rPr>
              <w:t>26</w:t>
            </w:r>
          </w:p>
        </w:tc>
        <w:tc>
          <w:tcPr>
            <w:tcW w:w="2694" w:type="dxa"/>
            <w:tcBorders>
              <w:top w:val="dotted" w:sz="4" w:space="0" w:color="auto"/>
              <w:left w:val="nil"/>
              <w:bottom w:val="single" w:sz="4" w:space="0" w:color="auto"/>
              <w:right w:val="nil"/>
            </w:tcBorders>
            <w:shd w:val="clear" w:color="000000" w:fill="FFFFFF"/>
            <w:vAlign w:val="bottom"/>
          </w:tcPr>
          <w:p w14:paraId="1154516F" w14:textId="77777777" w:rsidR="00F16AF6" w:rsidRPr="007F4230" w:rsidRDefault="00F16AF6" w:rsidP="00793156">
            <w:pPr>
              <w:spacing w:after="0"/>
              <w:jc w:val="left"/>
              <w:rPr>
                <w:sz w:val="20"/>
              </w:rPr>
            </w:pPr>
            <w:r w:rsidRPr="007F4230">
              <w:rPr>
                <w:sz w:val="20"/>
              </w:rPr>
              <w:t>Rozšíriť program mestských občianskych poriadkových služieb o obce, v ktorých chýba</w:t>
            </w:r>
          </w:p>
        </w:tc>
        <w:tc>
          <w:tcPr>
            <w:tcW w:w="850" w:type="dxa"/>
            <w:tcBorders>
              <w:top w:val="dotted" w:sz="4" w:space="0" w:color="auto"/>
              <w:left w:val="nil"/>
              <w:bottom w:val="single" w:sz="4" w:space="0" w:color="auto"/>
              <w:right w:val="nil"/>
            </w:tcBorders>
            <w:shd w:val="clear" w:color="000000" w:fill="FFFFFF"/>
            <w:noWrap/>
            <w:vAlign w:val="bottom"/>
          </w:tcPr>
          <w:p w14:paraId="6AC4B90F" w14:textId="77777777" w:rsidR="00F16AF6" w:rsidRPr="00CA2564" w:rsidRDefault="00F16AF6" w:rsidP="00793156">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4,5</w:t>
            </w:r>
          </w:p>
        </w:tc>
        <w:tc>
          <w:tcPr>
            <w:tcW w:w="9923" w:type="dxa"/>
            <w:tcBorders>
              <w:top w:val="dotted" w:sz="4" w:space="0" w:color="auto"/>
              <w:left w:val="nil"/>
              <w:bottom w:val="single" w:sz="4" w:space="0" w:color="auto"/>
              <w:right w:val="nil"/>
            </w:tcBorders>
            <w:shd w:val="clear" w:color="000000" w:fill="FFFFFF"/>
            <w:noWrap/>
            <w:vAlign w:val="bottom"/>
          </w:tcPr>
          <w:p w14:paraId="17FC54F6" w14:textId="47CD7E52" w:rsidR="00F16AF6" w:rsidRPr="00E304AB" w:rsidRDefault="00F16AF6" w:rsidP="00793156">
            <w:pPr>
              <w:spacing w:after="0" w:line="240" w:lineRule="auto"/>
              <w:rPr>
                <w:sz w:val="20"/>
              </w:rPr>
            </w:pPr>
            <w:r>
              <w:rPr>
                <w:sz w:val="20"/>
              </w:rPr>
              <w:t xml:space="preserve">Výpočet vychádza z aktuálnych pravidiel výzvy pre obce v rámci OP ĽZ. </w:t>
            </w:r>
            <w:r w:rsidRPr="00E304AB">
              <w:rPr>
                <w:sz w:val="20"/>
              </w:rPr>
              <w:t>Tie hovoria, že aktivity MOPS môžu byť vykonávané iba v obciach, v ktorých je minimálne 80 osôb MRK. V závislostí od počtu osôb MRK sú maximálne limity stanovené na 4, 8 alebo 12 zamestnancov MOPS na plný úväzok.</w:t>
            </w:r>
            <w:r w:rsidRPr="00E304AB">
              <w:rPr>
                <w:rStyle w:val="Odkaznapoznmkupodiarou"/>
                <w:sz w:val="20"/>
              </w:rPr>
              <w:footnoteReference w:id="562"/>
            </w:r>
            <w:r w:rsidRPr="00E304AB">
              <w:rPr>
                <w:sz w:val="20"/>
              </w:rPr>
              <w:t xml:space="preserve"> Minimálny počet sú dve osoby. </w:t>
            </w:r>
            <w:r>
              <w:rPr>
                <w:sz w:val="20"/>
              </w:rPr>
              <w:t xml:space="preserve">Výpočet predpokladá úplné pokrytie oprávnených obcí (629) s minimálnym počtom MOPS na obec. </w:t>
            </w:r>
            <w:r w:rsidRPr="00E304AB">
              <w:rPr>
                <w:sz w:val="20"/>
              </w:rPr>
              <w:t>Jednotková cena za pracovné miesto v MOPS bola za rok 2018 stanovaná na 647,76 eur za mesiac, čo zodpovedá minimálnej mzde.</w:t>
            </w:r>
            <w:r>
              <w:rPr>
                <w:sz w:val="20"/>
              </w:rPr>
              <w:t xml:space="preserve"> Odčítané je čerpanie za rok 2018 v hodnote 5,3 miliónov eur.</w:t>
            </w:r>
            <w:r w:rsidR="0070047D">
              <w:rPr>
                <w:sz w:val="20"/>
              </w:rPr>
              <w:t xml:space="preserve"> </w:t>
            </w:r>
            <w:r w:rsidRPr="00E304AB">
              <w:rPr>
                <w:sz w:val="20"/>
              </w:rPr>
              <w:t>V praxi pokrytie obcí v rámci MOPS nezávisí iba od dostupných finančných zdrojov ale tiež od ochoty a schopnosti samospráv zapojiť sa do programu.</w:t>
            </w:r>
          </w:p>
        </w:tc>
      </w:tr>
    </w:tbl>
    <w:p w14:paraId="26BD0180" w14:textId="77777777" w:rsidR="005F43D8" w:rsidRDefault="005F43D8" w:rsidP="00EF63D6">
      <w:pPr>
        <w:spacing w:before="200" w:after="160"/>
        <w:jc w:val="left"/>
        <w:rPr>
          <w:color w:val="0070C0"/>
        </w:rPr>
      </w:pPr>
    </w:p>
    <w:p w14:paraId="0FCA7518" w14:textId="77777777" w:rsidR="00F16AF6" w:rsidRPr="00E14888" w:rsidRDefault="00F16AF6" w:rsidP="00EF63D6">
      <w:pPr>
        <w:spacing w:before="200" w:after="160"/>
        <w:jc w:val="left"/>
        <w:rPr>
          <w:color w:val="0070C0"/>
        </w:rPr>
      </w:pPr>
      <w:r>
        <w:rPr>
          <w:color w:val="0070C0"/>
        </w:rPr>
        <w:t>Úspora</w:t>
      </w:r>
    </w:p>
    <w:tbl>
      <w:tblPr>
        <w:tblW w:w="14034" w:type="dxa"/>
        <w:tblCellMar>
          <w:left w:w="70" w:type="dxa"/>
          <w:right w:w="70" w:type="dxa"/>
        </w:tblCellMar>
        <w:tblLook w:val="04A0" w:firstRow="1" w:lastRow="0" w:firstColumn="1" w:lastColumn="0" w:noHBand="0" w:noVBand="1"/>
      </w:tblPr>
      <w:tblGrid>
        <w:gridCol w:w="567"/>
        <w:gridCol w:w="2694"/>
        <w:gridCol w:w="850"/>
        <w:gridCol w:w="9923"/>
      </w:tblGrid>
      <w:tr w:rsidR="00F16AF6" w:rsidRPr="00CA2564" w14:paraId="0BCC550C" w14:textId="77777777" w:rsidTr="00793156">
        <w:trPr>
          <w:trHeight w:val="255"/>
        </w:trPr>
        <w:tc>
          <w:tcPr>
            <w:tcW w:w="567" w:type="dxa"/>
            <w:tcBorders>
              <w:top w:val="single" w:sz="4" w:space="0" w:color="auto"/>
              <w:left w:val="nil"/>
              <w:bottom w:val="single" w:sz="4" w:space="0" w:color="auto"/>
              <w:right w:val="nil"/>
            </w:tcBorders>
            <w:shd w:val="clear" w:color="000000" w:fill="DDEBF7"/>
            <w:vAlign w:val="bottom"/>
            <w:hideMark/>
          </w:tcPr>
          <w:p w14:paraId="64FADEF3" w14:textId="77777777" w:rsidR="00F16AF6" w:rsidRPr="00CA2564" w:rsidRDefault="00F16AF6" w:rsidP="00793156">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Čís.</w:t>
            </w:r>
          </w:p>
        </w:tc>
        <w:tc>
          <w:tcPr>
            <w:tcW w:w="2694" w:type="dxa"/>
            <w:tcBorders>
              <w:top w:val="single" w:sz="4" w:space="0" w:color="auto"/>
              <w:left w:val="nil"/>
              <w:bottom w:val="single" w:sz="4" w:space="0" w:color="auto"/>
              <w:right w:val="nil"/>
            </w:tcBorders>
            <w:shd w:val="clear" w:color="000000" w:fill="DDEBF7"/>
            <w:vAlign w:val="bottom"/>
            <w:hideMark/>
          </w:tcPr>
          <w:p w14:paraId="07480A31" w14:textId="77777777" w:rsidR="00F16AF6" w:rsidRPr="00846079" w:rsidRDefault="00F16AF6" w:rsidP="00793156">
            <w:pPr>
              <w:spacing w:after="0" w:line="240" w:lineRule="auto"/>
              <w:jc w:val="left"/>
              <w:rPr>
                <w:rFonts w:eastAsia="Times New Roman" w:cs="Times New Roman"/>
                <w:color w:val="000000"/>
                <w:sz w:val="20"/>
                <w:lang w:eastAsia="sk-SK"/>
              </w:rPr>
            </w:pPr>
            <w:r w:rsidRPr="00846079">
              <w:rPr>
                <w:rFonts w:eastAsia="Times New Roman" w:cs="Times New Roman"/>
                <w:color w:val="000000"/>
                <w:sz w:val="20"/>
                <w:lang w:eastAsia="sk-SK"/>
              </w:rPr>
              <w:t>Úloha</w:t>
            </w:r>
          </w:p>
        </w:tc>
        <w:tc>
          <w:tcPr>
            <w:tcW w:w="850" w:type="dxa"/>
            <w:tcBorders>
              <w:top w:val="single" w:sz="4" w:space="0" w:color="auto"/>
              <w:left w:val="nil"/>
              <w:bottom w:val="single" w:sz="4" w:space="0" w:color="auto"/>
              <w:right w:val="nil"/>
            </w:tcBorders>
            <w:shd w:val="clear" w:color="000000" w:fill="DDEBF7"/>
            <w:noWrap/>
            <w:vAlign w:val="bottom"/>
            <w:hideMark/>
          </w:tcPr>
          <w:p w14:paraId="71BB9B37" w14:textId="77777777" w:rsidR="00F16AF6" w:rsidRPr="00CA2564" w:rsidRDefault="00F16AF6" w:rsidP="00793156">
            <w:pPr>
              <w:spacing w:after="0" w:line="240" w:lineRule="auto"/>
              <w:jc w:val="left"/>
              <w:rPr>
                <w:rFonts w:eastAsia="Times New Roman" w:cs="Times New Roman"/>
                <w:color w:val="000000"/>
                <w:sz w:val="20"/>
                <w:lang w:eastAsia="sk-SK"/>
              </w:rPr>
            </w:pPr>
            <w:r w:rsidRPr="00CA2564">
              <w:rPr>
                <w:rFonts w:eastAsia="Times New Roman" w:cs="Times New Roman"/>
                <w:color w:val="000000"/>
                <w:sz w:val="20"/>
                <w:lang w:eastAsia="sk-SK"/>
              </w:rPr>
              <w:t>Úspora (mil. eur)</w:t>
            </w:r>
          </w:p>
        </w:tc>
        <w:tc>
          <w:tcPr>
            <w:tcW w:w="9923" w:type="dxa"/>
            <w:tcBorders>
              <w:top w:val="single" w:sz="4" w:space="0" w:color="auto"/>
              <w:left w:val="nil"/>
              <w:bottom w:val="single" w:sz="4" w:space="0" w:color="auto"/>
              <w:right w:val="nil"/>
            </w:tcBorders>
            <w:shd w:val="clear" w:color="000000" w:fill="DDEBF7"/>
            <w:noWrap/>
            <w:vAlign w:val="bottom"/>
            <w:hideMark/>
          </w:tcPr>
          <w:p w14:paraId="453E8DA2" w14:textId="77777777" w:rsidR="00F16AF6" w:rsidRPr="00CA2564" w:rsidRDefault="00F16AF6" w:rsidP="00793156">
            <w:pPr>
              <w:spacing w:after="0" w:line="240" w:lineRule="auto"/>
              <w:jc w:val="left"/>
              <w:rPr>
                <w:rFonts w:eastAsia="Times New Roman" w:cs="Times New Roman"/>
                <w:color w:val="000000"/>
                <w:sz w:val="20"/>
                <w:lang w:eastAsia="sk-SK"/>
              </w:rPr>
            </w:pPr>
            <w:r>
              <w:rPr>
                <w:rFonts w:eastAsia="Times New Roman" w:cs="Times New Roman"/>
                <w:color w:val="000000"/>
                <w:sz w:val="20"/>
                <w:lang w:eastAsia="sk-SK"/>
              </w:rPr>
              <w:t>Výpočet</w:t>
            </w:r>
          </w:p>
        </w:tc>
      </w:tr>
      <w:tr w:rsidR="00F16AF6" w:rsidRPr="002E50BE" w14:paraId="39F2C5AB" w14:textId="77777777" w:rsidTr="00793156">
        <w:trPr>
          <w:trHeight w:val="84"/>
        </w:trPr>
        <w:tc>
          <w:tcPr>
            <w:tcW w:w="567" w:type="dxa"/>
            <w:tcBorders>
              <w:top w:val="nil"/>
              <w:left w:val="nil"/>
              <w:bottom w:val="dotted" w:sz="4" w:space="0" w:color="auto"/>
              <w:right w:val="nil"/>
            </w:tcBorders>
            <w:shd w:val="clear" w:color="000000" w:fill="FFFFFF"/>
            <w:vAlign w:val="bottom"/>
            <w:hideMark/>
          </w:tcPr>
          <w:p w14:paraId="38E774FE" w14:textId="77777777" w:rsidR="00F16AF6" w:rsidRPr="002E50BE" w:rsidRDefault="00F16AF6" w:rsidP="00793156">
            <w:pPr>
              <w:spacing w:after="0" w:line="240" w:lineRule="auto"/>
              <w:jc w:val="center"/>
              <w:rPr>
                <w:rFonts w:eastAsia="Times New Roman" w:cs="Times New Roman"/>
                <w:color w:val="000000"/>
                <w:sz w:val="20"/>
                <w:lang w:eastAsia="sk-SK"/>
              </w:rPr>
            </w:pPr>
            <w:r w:rsidRPr="002E50BE">
              <w:rPr>
                <w:rFonts w:eastAsia="Times New Roman" w:cs="Times New Roman"/>
                <w:color w:val="000000"/>
                <w:sz w:val="20"/>
                <w:lang w:eastAsia="sk-SK"/>
              </w:rPr>
              <w:t>1</w:t>
            </w:r>
          </w:p>
        </w:tc>
        <w:tc>
          <w:tcPr>
            <w:tcW w:w="2694" w:type="dxa"/>
            <w:tcBorders>
              <w:top w:val="nil"/>
              <w:left w:val="nil"/>
              <w:bottom w:val="dotted" w:sz="4" w:space="0" w:color="auto"/>
              <w:right w:val="nil"/>
            </w:tcBorders>
            <w:shd w:val="clear" w:color="000000" w:fill="FFFFFF"/>
            <w:vAlign w:val="bottom"/>
            <w:hideMark/>
          </w:tcPr>
          <w:p w14:paraId="228000A1" w14:textId="77777777" w:rsidR="00F16AF6" w:rsidRPr="00846079" w:rsidRDefault="00F16AF6" w:rsidP="00793156">
            <w:pPr>
              <w:spacing w:after="0" w:line="240" w:lineRule="auto"/>
              <w:jc w:val="left"/>
              <w:rPr>
                <w:rFonts w:eastAsia="Times New Roman" w:cs="Times New Roman"/>
                <w:color w:val="000000"/>
                <w:sz w:val="20"/>
                <w:lang w:eastAsia="sk-SK"/>
              </w:rPr>
            </w:pPr>
            <w:r w:rsidRPr="00846079">
              <w:rPr>
                <w:rFonts w:eastAsia="Times New Roman" w:cs="Times New Roman"/>
                <w:color w:val="000000"/>
                <w:sz w:val="20"/>
                <w:lang w:eastAsia="sk-SK"/>
              </w:rPr>
              <w:t>Zrušiť nultý ročník základných škôl</w:t>
            </w:r>
          </w:p>
        </w:tc>
        <w:tc>
          <w:tcPr>
            <w:tcW w:w="850" w:type="dxa"/>
            <w:tcBorders>
              <w:top w:val="nil"/>
              <w:left w:val="nil"/>
              <w:bottom w:val="dotted" w:sz="4" w:space="0" w:color="auto"/>
              <w:right w:val="nil"/>
            </w:tcBorders>
            <w:shd w:val="clear" w:color="000000" w:fill="FFFFFF"/>
            <w:noWrap/>
            <w:vAlign w:val="bottom"/>
            <w:hideMark/>
          </w:tcPr>
          <w:p w14:paraId="23A4D77D" w14:textId="77777777" w:rsidR="00F16AF6" w:rsidRPr="002E50BE" w:rsidRDefault="00F16AF6" w:rsidP="00793156">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5,0</w:t>
            </w:r>
          </w:p>
        </w:tc>
        <w:tc>
          <w:tcPr>
            <w:tcW w:w="9923" w:type="dxa"/>
            <w:tcBorders>
              <w:top w:val="nil"/>
              <w:left w:val="nil"/>
              <w:bottom w:val="dotted" w:sz="4" w:space="0" w:color="auto"/>
              <w:right w:val="nil"/>
            </w:tcBorders>
            <w:shd w:val="clear" w:color="000000" w:fill="FFFFFF"/>
            <w:noWrap/>
            <w:vAlign w:val="bottom"/>
            <w:hideMark/>
          </w:tcPr>
          <w:p w14:paraId="05EB9654" w14:textId="77777777" w:rsidR="00F16AF6" w:rsidRPr="002E50BE" w:rsidRDefault="00F16AF6" w:rsidP="00793156">
            <w:pPr>
              <w:spacing w:after="0" w:line="240" w:lineRule="auto"/>
              <w:jc w:val="left"/>
              <w:rPr>
                <w:rFonts w:eastAsia="Times New Roman" w:cs="Times New Roman"/>
                <w:color w:val="000000"/>
                <w:sz w:val="20"/>
                <w:lang w:eastAsia="sk-SK"/>
              </w:rPr>
            </w:pPr>
            <w:r w:rsidRPr="002E50BE">
              <w:rPr>
                <w:rFonts w:eastAsia="Times New Roman" w:cs="Times New Roman"/>
                <w:color w:val="000000"/>
                <w:sz w:val="20"/>
                <w:lang w:eastAsia="sk-SK"/>
              </w:rPr>
              <w:t>Rozdiel medzi normatívom na žiaka nultého ročníka a normatívu na bežného žiaka tej istej základnej školy</w:t>
            </w:r>
          </w:p>
        </w:tc>
      </w:tr>
      <w:tr w:rsidR="00F16AF6" w:rsidRPr="002E50BE" w14:paraId="763F890D" w14:textId="77777777" w:rsidTr="00793156">
        <w:trPr>
          <w:trHeight w:val="413"/>
        </w:trPr>
        <w:tc>
          <w:tcPr>
            <w:tcW w:w="567" w:type="dxa"/>
            <w:tcBorders>
              <w:top w:val="nil"/>
              <w:left w:val="nil"/>
              <w:bottom w:val="dotted" w:sz="4" w:space="0" w:color="auto"/>
              <w:right w:val="nil"/>
            </w:tcBorders>
            <w:shd w:val="clear" w:color="000000" w:fill="FFFFFF"/>
            <w:vAlign w:val="bottom"/>
            <w:hideMark/>
          </w:tcPr>
          <w:p w14:paraId="319610F5" w14:textId="77777777" w:rsidR="00F16AF6" w:rsidRPr="002E50BE" w:rsidRDefault="00F16AF6" w:rsidP="00793156">
            <w:pPr>
              <w:spacing w:after="0" w:line="240" w:lineRule="auto"/>
              <w:jc w:val="center"/>
              <w:rPr>
                <w:rFonts w:eastAsia="Times New Roman" w:cs="Times New Roman"/>
                <w:color w:val="000000"/>
                <w:sz w:val="20"/>
                <w:lang w:eastAsia="sk-SK"/>
              </w:rPr>
            </w:pPr>
            <w:r w:rsidRPr="002E50BE">
              <w:rPr>
                <w:rFonts w:eastAsia="Times New Roman" w:cs="Times New Roman"/>
                <w:color w:val="000000"/>
                <w:sz w:val="20"/>
                <w:lang w:eastAsia="sk-SK"/>
              </w:rPr>
              <w:t>2</w:t>
            </w:r>
          </w:p>
        </w:tc>
        <w:tc>
          <w:tcPr>
            <w:tcW w:w="2694" w:type="dxa"/>
            <w:tcBorders>
              <w:top w:val="nil"/>
              <w:left w:val="nil"/>
              <w:bottom w:val="dotted" w:sz="4" w:space="0" w:color="auto"/>
              <w:right w:val="nil"/>
            </w:tcBorders>
            <w:shd w:val="clear" w:color="000000" w:fill="FFFFFF"/>
            <w:vAlign w:val="bottom"/>
            <w:hideMark/>
          </w:tcPr>
          <w:p w14:paraId="651546B1" w14:textId="77777777" w:rsidR="00F16AF6" w:rsidRPr="00846079" w:rsidRDefault="00F16AF6" w:rsidP="00793156">
            <w:pPr>
              <w:spacing w:after="0" w:line="240" w:lineRule="auto"/>
              <w:jc w:val="left"/>
              <w:rPr>
                <w:rFonts w:eastAsia="Times New Roman" w:cs="Times New Roman"/>
                <w:color w:val="000000"/>
                <w:sz w:val="20"/>
                <w:lang w:eastAsia="sk-SK"/>
              </w:rPr>
            </w:pPr>
            <w:r w:rsidRPr="00846079">
              <w:rPr>
                <w:rFonts w:eastAsia="Times New Roman" w:cs="Times New Roman"/>
                <w:color w:val="000000"/>
                <w:sz w:val="20"/>
                <w:lang w:eastAsia="sk-SK"/>
              </w:rPr>
              <w:t>Znížiť zastúpenie žiakov z MRK medzi žiakmi s ľahkým mentálnym postihnutím</w:t>
            </w:r>
          </w:p>
        </w:tc>
        <w:tc>
          <w:tcPr>
            <w:tcW w:w="850" w:type="dxa"/>
            <w:tcBorders>
              <w:top w:val="nil"/>
              <w:left w:val="nil"/>
              <w:bottom w:val="dotted" w:sz="4" w:space="0" w:color="auto"/>
              <w:right w:val="nil"/>
            </w:tcBorders>
            <w:shd w:val="clear" w:color="000000" w:fill="FFFFFF"/>
            <w:noWrap/>
            <w:vAlign w:val="bottom"/>
            <w:hideMark/>
          </w:tcPr>
          <w:p w14:paraId="7C45DD46" w14:textId="77777777" w:rsidR="00F16AF6" w:rsidRPr="002E50BE" w:rsidRDefault="00F16AF6" w:rsidP="00793156">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8,1</w:t>
            </w:r>
          </w:p>
        </w:tc>
        <w:tc>
          <w:tcPr>
            <w:tcW w:w="9923" w:type="dxa"/>
            <w:tcBorders>
              <w:top w:val="nil"/>
              <w:left w:val="nil"/>
              <w:bottom w:val="dotted" w:sz="4" w:space="0" w:color="auto"/>
              <w:right w:val="nil"/>
            </w:tcBorders>
            <w:shd w:val="clear" w:color="000000" w:fill="FFFFFF"/>
            <w:noWrap/>
            <w:vAlign w:val="bottom"/>
            <w:hideMark/>
          </w:tcPr>
          <w:p w14:paraId="1F46B2A1" w14:textId="06AF84B9" w:rsidR="00F16AF6" w:rsidRPr="002E50BE" w:rsidRDefault="00F16AF6" w:rsidP="00BB7573">
            <w:pPr>
              <w:spacing w:after="0" w:line="240" w:lineRule="auto"/>
              <w:rPr>
                <w:rFonts w:eastAsia="Times New Roman" w:cs="Times New Roman"/>
                <w:color w:val="000000"/>
                <w:sz w:val="20"/>
                <w:lang w:eastAsia="sk-SK"/>
              </w:rPr>
            </w:pPr>
            <w:r>
              <w:rPr>
                <w:rFonts w:eastAsia="Times New Roman" w:cs="Times New Roman"/>
                <w:color w:val="000000"/>
                <w:sz w:val="20"/>
                <w:lang w:eastAsia="sk-SK"/>
              </w:rPr>
              <w:t xml:space="preserve">Úspory </w:t>
            </w:r>
            <w:r w:rsidR="00B24660">
              <w:rPr>
                <w:rFonts w:eastAsia="Times New Roman" w:cs="Times New Roman"/>
                <w:color w:val="000000"/>
                <w:sz w:val="20"/>
                <w:lang w:eastAsia="sk-SK"/>
              </w:rPr>
              <w:t>vyplýva</w:t>
            </w:r>
            <w:r>
              <w:rPr>
                <w:rFonts w:eastAsia="Times New Roman" w:cs="Times New Roman"/>
                <w:color w:val="000000"/>
                <w:sz w:val="20"/>
                <w:lang w:eastAsia="sk-SK"/>
              </w:rPr>
              <w:t>jú z nižších normatívov na žiakov v bežnom vzdelávacom prúde. Výpočet p</w:t>
            </w:r>
            <w:r w:rsidRPr="002E50BE">
              <w:rPr>
                <w:rFonts w:eastAsia="Times New Roman" w:cs="Times New Roman"/>
                <w:color w:val="000000"/>
                <w:sz w:val="20"/>
                <w:lang w:eastAsia="sk-SK"/>
              </w:rPr>
              <w:t xml:space="preserve">redpokladá zníženie </w:t>
            </w:r>
            <w:r>
              <w:rPr>
                <w:rFonts w:eastAsia="Times New Roman" w:cs="Times New Roman"/>
                <w:color w:val="000000"/>
                <w:sz w:val="20"/>
                <w:lang w:eastAsia="sk-SK"/>
              </w:rPr>
              <w:t>miery diagnostikovania</w:t>
            </w:r>
            <w:r w:rsidRPr="002E50BE">
              <w:rPr>
                <w:rFonts w:eastAsia="Times New Roman" w:cs="Times New Roman"/>
                <w:color w:val="000000"/>
                <w:sz w:val="20"/>
                <w:lang w:eastAsia="sk-SK"/>
              </w:rPr>
              <w:t xml:space="preserve"> ľahkého mentálneho postihnutia v MRK na úroveň populácie žiakov v systéme p</w:t>
            </w:r>
            <w:r>
              <w:rPr>
                <w:rFonts w:eastAsia="Times New Roman" w:cs="Times New Roman"/>
                <w:color w:val="000000"/>
                <w:sz w:val="20"/>
                <w:lang w:eastAsia="sk-SK"/>
              </w:rPr>
              <w:t xml:space="preserve">omoci v hmotnej núdzi mimo MRK. </w:t>
            </w:r>
          </w:p>
        </w:tc>
      </w:tr>
      <w:tr w:rsidR="00F16AF6" w:rsidRPr="00CA2564" w14:paraId="732B40E5" w14:textId="77777777" w:rsidTr="00793156">
        <w:trPr>
          <w:trHeight w:val="255"/>
        </w:trPr>
        <w:tc>
          <w:tcPr>
            <w:tcW w:w="567" w:type="dxa"/>
            <w:tcBorders>
              <w:top w:val="dotted" w:sz="4" w:space="0" w:color="auto"/>
              <w:left w:val="nil"/>
              <w:bottom w:val="single" w:sz="4" w:space="0" w:color="auto"/>
              <w:right w:val="nil"/>
            </w:tcBorders>
            <w:shd w:val="clear" w:color="000000" w:fill="FFFFFF"/>
            <w:vAlign w:val="bottom"/>
          </w:tcPr>
          <w:p w14:paraId="650C6EC1" w14:textId="66B1F9B2" w:rsidR="00F16AF6" w:rsidRPr="002E50BE" w:rsidRDefault="00332DCB" w:rsidP="00793156">
            <w:pPr>
              <w:spacing w:after="0" w:line="240" w:lineRule="auto"/>
              <w:jc w:val="center"/>
              <w:rPr>
                <w:rFonts w:eastAsia="Times New Roman" w:cs="Times New Roman"/>
                <w:color w:val="000000"/>
                <w:sz w:val="20"/>
                <w:lang w:eastAsia="sk-SK"/>
              </w:rPr>
            </w:pPr>
            <w:r>
              <w:rPr>
                <w:rFonts w:eastAsia="Times New Roman" w:cs="Times New Roman"/>
                <w:color w:val="000000"/>
                <w:sz w:val="20"/>
                <w:lang w:eastAsia="sk-SK"/>
              </w:rPr>
              <w:t>3</w:t>
            </w:r>
          </w:p>
        </w:tc>
        <w:tc>
          <w:tcPr>
            <w:tcW w:w="2694" w:type="dxa"/>
            <w:tcBorders>
              <w:top w:val="dotted" w:sz="4" w:space="0" w:color="auto"/>
              <w:left w:val="nil"/>
              <w:bottom w:val="single" w:sz="4" w:space="0" w:color="auto"/>
              <w:right w:val="nil"/>
            </w:tcBorders>
            <w:shd w:val="clear" w:color="000000" w:fill="FFFFFF"/>
            <w:vAlign w:val="bottom"/>
          </w:tcPr>
          <w:p w14:paraId="2901BF7A" w14:textId="77777777" w:rsidR="00F16AF6" w:rsidRPr="00846079" w:rsidRDefault="00F16AF6" w:rsidP="00793156">
            <w:pPr>
              <w:spacing w:after="0" w:line="240" w:lineRule="auto"/>
              <w:jc w:val="left"/>
              <w:rPr>
                <w:rFonts w:eastAsia="Times New Roman" w:cs="Times New Roman"/>
                <w:color w:val="000000"/>
                <w:sz w:val="20"/>
                <w:lang w:eastAsia="sk-SK"/>
              </w:rPr>
            </w:pPr>
            <w:r w:rsidRPr="00846079">
              <w:rPr>
                <w:rFonts w:eastAsia="Times New Roman" w:cs="Times New Roman"/>
                <w:color w:val="000000"/>
                <w:sz w:val="20"/>
                <w:lang w:eastAsia="sk-SK"/>
              </w:rPr>
              <w:t>Podmieniť podporu aktivačných prác rozvojom zručností účastníkov</w:t>
            </w:r>
          </w:p>
        </w:tc>
        <w:tc>
          <w:tcPr>
            <w:tcW w:w="850" w:type="dxa"/>
            <w:tcBorders>
              <w:top w:val="dotted" w:sz="4" w:space="0" w:color="auto"/>
              <w:left w:val="nil"/>
              <w:bottom w:val="single" w:sz="4" w:space="0" w:color="auto"/>
              <w:right w:val="nil"/>
            </w:tcBorders>
            <w:shd w:val="clear" w:color="000000" w:fill="FFFFFF"/>
            <w:noWrap/>
            <w:vAlign w:val="bottom"/>
          </w:tcPr>
          <w:p w14:paraId="431B6B3C" w14:textId="77777777" w:rsidR="00F16AF6" w:rsidRPr="002E50BE" w:rsidRDefault="00F16AF6" w:rsidP="00793156">
            <w:pPr>
              <w:spacing w:after="0" w:line="240" w:lineRule="auto"/>
              <w:jc w:val="right"/>
              <w:rPr>
                <w:rFonts w:eastAsia="Times New Roman" w:cs="Times New Roman"/>
                <w:color w:val="000000"/>
                <w:sz w:val="20"/>
                <w:lang w:eastAsia="sk-SK"/>
              </w:rPr>
            </w:pPr>
            <w:r>
              <w:rPr>
                <w:rFonts w:eastAsia="Times New Roman" w:cs="Times New Roman"/>
                <w:color w:val="000000"/>
                <w:sz w:val="20"/>
                <w:lang w:eastAsia="sk-SK"/>
              </w:rPr>
              <w:t>0,6</w:t>
            </w:r>
          </w:p>
        </w:tc>
        <w:tc>
          <w:tcPr>
            <w:tcW w:w="9923" w:type="dxa"/>
            <w:tcBorders>
              <w:top w:val="dotted" w:sz="4" w:space="0" w:color="auto"/>
              <w:left w:val="nil"/>
              <w:bottom w:val="single" w:sz="4" w:space="0" w:color="auto"/>
              <w:right w:val="nil"/>
            </w:tcBorders>
            <w:shd w:val="clear" w:color="000000" w:fill="FFFFFF"/>
            <w:noWrap/>
            <w:vAlign w:val="bottom"/>
          </w:tcPr>
          <w:p w14:paraId="0DEDB451" w14:textId="77777777" w:rsidR="00F16AF6" w:rsidRPr="00CA2564" w:rsidRDefault="00F16AF6" w:rsidP="00BB7573">
            <w:pPr>
              <w:spacing w:after="0" w:line="240" w:lineRule="auto"/>
              <w:rPr>
                <w:rFonts w:eastAsia="Times New Roman" w:cs="Times New Roman"/>
                <w:color w:val="000000"/>
                <w:sz w:val="20"/>
                <w:lang w:eastAsia="sk-SK"/>
              </w:rPr>
            </w:pPr>
            <w:r>
              <w:rPr>
                <w:rFonts w:eastAsia="Times New Roman" w:cs="Times New Roman"/>
                <w:color w:val="000000"/>
                <w:sz w:val="20"/>
                <w:lang w:eastAsia="sk-SK"/>
              </w:rPr>
              <w:t>Celkové výdavky na príspevok v roku 2018 tvorili 2,3 milióna eur. Táto suma z</w:t>
            </w:r>
            <w:r w:rsidRPr="002E50BE">
              <w:rPr>
                <w:rFonts w:eastAsia="Times New Roman" w:cs="Times New Roman"/>
                <w:color w:val="000000"/>
                <w:sz w:val="20"/>
                <w:lang w:eastAsia="sk-SK"/>
              </w:rPr>
              <w:t xml:space="preserve">ahŕňa iba náklady na AOTP koľaj aktivačných prác. </w:t>
            </w:r>
            <w:r>
              <w:rPr>
                <w:rFonts w:eastAsia="Times New Roman" w:cs="Times New Roman"/>
                <w:color w:val="000000"/>
                <w:sz w:val="20"/>
                <w:lang w:eastAsia="sk-SK"/>
              </w:rPr>
              <w:t>D</w:t>
            </w:r>
            <w:r w:rsidRPr="002E50BE">
              <w:rPr>
                <w:rFonts w:eastAsia="Times New Roman" w:cs="Times New Roman"/>
                <w:color w:val="000000"/>
                <w:sz w:val="20"/>
                <w:lang w:eastAsia="sk-SK"/>
              </w:rPr>
              <w:t>odatočné náklady</w:t>
            </w:r>
            <w:r>
              <w:rPr>
                <w:rFonts w:eastAsia="Times New Roman" w:cs="Times New Roman"/>
                <w:color w:val="000000"/>
                <w:sz w:val="20"/>
                <w:lang w:eastAsia="sk-SK"/>
              </w:rPr>
              <w:t xml:space="preserve"> obcí</w:t>
            </w:r>
            <w:r w:rsidRPr="002E50BE">
              <w:rPr>
                <w:rFonts w:eastAsia="Times New Roman" w:cs="Times New Roman"/>
                <w:color w:val="000000"/>
                <w:sz w:val="20"/>
                <w:lang w:eastAsia="sk-SK"/>
              </w:rPr>
              <w:t>, ktoré neboli pokryté príspevkom v rámci AOTP koľaje nie sú zahrnuté.</w:t>
            </w:r>
            <w:r>
              <w:rPr>
                <w:rFonts w:eastAsia="Times New Roman" w:cs="Times New Roman"/>
                <w:color w:val="000000"/>
                <w:sz w:val="20"/>
                <w:lang w:eastAsia="sk-SK"/>
              </w:rPr>
              <w:t xml:space="preserve"> Výška úspory bude závisieť od toho koľko obcí bude podľa nových pravidiel spĺňať podmienky nároku. Výpočet predpokladá zníženie výdavkov o 25 %. </w:t>
            </w:r>
          </w:p>
        </w:tc>
      </w:tr>
    </w:tbl>
    <w:p w14:paraId="573F9AFE" w14:textId="625F3E22" w:rsidR="003A0DD8" w:rsidRPr="00EF63D6" w:rsidRDefault="003A0DD8" w:rsidP="00EF63D6">
      <w:pPr>
        <w:spacing w:before="160" w:after="160"/>
        <w:rPr>
          <w:sz w:val="4"/>
          <w:szCs w:val="4"/>
        </w:rPr>
      </w:pPr>
    </w:p>
    <w:sectPr w:rsidR="003A0DD8" w:rsidRPr="00EF63D6" w:rsidSect="00DC0C0A">
      <w:pgSz w:w="16838" w:h="11906" w:orient="landscape" w:code="9"/>
      <w:pgMar w:top="1440" w:right="1440" w:bottom="1378" w:left="1440" w:header="720" w:footer="64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FA34F5" w14:textId="77777777" w:rsidR="00FA29AF" w:rsidRDefault="00FA29AF" w:rsidP="00D84634">
      <w:pPr>
        <w:spacing w:after="0" w:line="240" w:lineRule="auto"/>
      </w:pPr>
      <w:r>
        <w:separator/>
      </w:r>
    </w:p>
  </w:endnote>
  <w:endnote w:type="continuationSeparator" w:id="0">
    <w:p w14:paraId="5F375635" w14:textId="77777777" w:rsidR="00FA29AF" w:rsidRDefault="00FA29AF" w:rsidP="00D846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NeueHaasGroteskText W02">
    <w:panose1 w:val="020B0504020202020204"/>
    <w:charset w:val="EE"/>
    <w:family w:val="swiss"/>
    <w:pitch w:val="variable"/>
    <w:sig w:usb0="800000AF" w:usb1="4000204A" w:usb2="00000000" w:usb3="00000000" w:csb0="00000093"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EC Square Sans Pro">
    <w:altName w:val="Arial"/>
    <w:panose1 w:val="00000000000000000000"/>
    <w:charset w:val="00"/>
    <w:family w:val="swiss"/>
    <w:notTrueType/>
    <w:pitch w:val="default"/>
    <w:sig w:usb0="00000003" w:usb1="00000000" w:usb2="00000000" w:usb3="00000000" w:csb0="00000001" w:csb1="00000000"/>
  </w:font>
  <w:font w:name="GTAmerica-Regular">
    <w:altName w:val="Calibri"/>
    <w:panose1 w:val="00000000000000000000"/>
    <w:charset w:val="EE"/>
    <w:family w:val="swiss"/>
    <w:notTrueType/>
    <w:pitch w:val="default"/>
    <w:sig w:usb0="00000005" w:usb1="00000000" w:usb2="00000000" w:usb3="00000000" w:csb0="00000002" w:csb1="00000000"/>
  </w:font>
  <w:font w:name="Helvetica">
    <w:panose1 w:val="020B0604020202020204"/>
    <w:charset w:val="00"/>
    <w:family w:val="swiss"/>
    <w:notTrueType/>
    <w:pitch w:val="variable"/>
    <w:sig w:usb0="00000003" w:usb1="00000000" w:usb2="00000000" w:usb3="00000000" w:csb0="00000001" w:csb1="00000000"/>
  </w:font>
  <w:font w:name="ArialNarrow">
    <w:altName w:val="Arial"/>
    <w:panose1 w:val="00000000000000000000"/>
    <w:charset w:val="00"/>
    <w:family w:val="swiss"/>
    <w:notTrueType/>
    <w:pitch w:val="default"/>
    <w:sig w:usb0="00000007" w:usb1="00000000" w:usb2="00000000" w:usb3="00000000" w:csb0="00000003" w:csb1="00000000"/>
  </w:font>
  <w:font w:name="MS PGothic">
    <w:panose1 w:val="020B0600070205080204"/>
    <w:charset w:val="80"/>
    <w:family w:val="swiss"/>
    <w:pitch w:val="variable"/>
    <w:sig w:usb0="E00002FF" w:usb1="6AC7FDFB" w:usb2="00000012" w:usb3="00000000" w:csb0="0002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MyriadPro-Regular">
    <w:altName w:val="Yu Gothic"/>
    <w:panose1 w:val="00000000000000000000"/>
    <w:charset w:val="80"/>
    <w:family w:val="auto"/>
    <w:notTrueType/>
    <w:pitch w:val="default"/>
    <w:sig w:usb0="00000001" w:usb1="08070000" w:usb2="00000010" w:usb3="00000000" w:csb0="00020000" w:csb1="00000000"/>
  </w:font>
  <w:font w:name="MyriadPro-It">
    <w:altName w:val="MS Mincho"/>
    <w:panose1 w:val="00000000000000000000"/>
    <w:charset w:val="80"/>
    <w:family w:val="auto"/>
    <w:notTrueType/>
    <w:pitch w:val="default"/>
    <w:sig w:usb0="00000000" w:usb1="08070000" w:usb2="00000010" w:usb3="00000000" w:csb0="00020000" w:csb1="00000000"/>
  </w:font>
  <w:font w:name="GretaSansPro-Reg">
    <w:panose1 w:val="00000000000000000000"/>
    <w:charset w:val="EE"/>
    <w:family w:val="swiss"/>
    <w:notTrueType/>
    <w:pitch w:val="default"/>
    <w:sig w:usb0="00000005" w:usb1="00000000" w:usb2="00000000" w:usb3="00000000" w:csb0="00000002" w:csb1="00000000"/>
  </w:font>
  <w:font w:name="Tahoma">
    <w:altName w:val="Tahoma"/>
    <w:panose1 w:val="020B0604030504040204"/>
    <w:charset w:val="EE"/>
    <w:family w:val="swiss"/>
    <w:pitch w:val="variable"/>
    <w:sig w:usb0="E1002EFF" w:usb1="C000605B" w:usb2="00000029" w:usb3="00000000" w:csb0="000101FF" w:csb1="00000000"/>
  </w:font>
  <w:font w:name="MinionPro-Regular">
    <w:altName w:val="MS Mincho"/>
    <w:panose1 w:val="00000000000000000000"/>
    <w:charset w:val="80"/>
    <w:family w:val="roman"/>
    <w:notTrueType/>
    <w:pitch w:val="default"/>
    <w:sig w:usb0="00000001" w:usb1="08070000" w:usb2="00000010" w:usb3="00000000" w:csb0="00020000" w:csb1="00000000"/>
  </w:font>
  <w:font w:name="TimesNewRomanPS-Italic">
    <w:altName w:val="Times New Roman"/>
    <w:panose1 w:val="00000000000000000000"/>
    <w:charset w:val="00"/>
    <w:family w:val="roman"/>
    <w:notTrueType/>
    <w:pitch w:val="default"/>
    <w:sig w:usb0="00000003" w:usb1="00000000" w:usb2="00000000" w:usb3="00000000" w:csb0="00000001" w:csb1="00000000"/>
  </w:font>
  <w:font w:name="JansonText-Roman">
    <w:panose1 w:val="00000000000000000000"/>
    <w:charset w:val="EE"/>
    <w:family w:val="auto"/>
    <w:notTrueType/>
    <w:pitch w:val="default"/>
    <w:sig w:usb0="00000005" w:usb1="00000000" w:usb2="00000000" w:usb3="00000000" w:csb0="00000002" w:csb1="00000000"/>
  </w:font>
  <w:font w:name="JansonTextLTStd-Roman">
    <w:panose1 w:val="00000000000000000000"/>
    <w:charset w:val="EE"/>
    <w:family w:val="auto"/>
    <w:notTrueType/>
    <w:pitch w:val="default"/>
    <w:sig w:usb0="00000005" w:usb1="00000000" w:usb2="00000000" w:usb3="00000000" w:csb0="00000002" w:csb1="00000000"/>
  </w:font>
  <w:font w:name="JansonText-Italic">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ArialMT">
    <w:altName w:val="Times New Roman"/>
    <w:panose1 w:val="00000000000000000000"/>
    <w:charset w:val="EE"/>
    <w:family w:val="auto"/>
    <w:notTrueType/>
    <w:pitch w:val="default"/>
    <w:sig w:usb0="00000001" w:usb1="00000000" w:usb2="00000000" w:usb3="00000000" w:csb0="00000003" w:csb1="00000000"/>
  </w:font>
  <w:font w:name="Cambria Math">
    <w:panose1 w:val="02040503050406030204"/>
    <w:charset w:val="01"/>
    <w:family w:val="roman"/>
    <w:notTrueType/>
    <w:pitch w:val="variable"/>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8B6F6C" w14:textId="61C75735" w:rsidR="00FA29AF" w:rsidRDefault="00FA29AF">
    <w:pPr>
      <w:pStyle w:val="Pta"/>
      <w:jc w:val="right"/>
    </w:pPr>
  </w:p>
  <w:p w14:paraId="47ACDB40" w14:textId="77777777" w:rsidR="00FA29AF" w:rsidRDefault="00FA29AF" w:rsidP="00D84634">
    <w:pPr>
      <w:pStyle w:val="Pt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rPr>
      <w:id w:val="-189842639"/>
      <w:docPartObj>
        <w:docPartGallery w:val="Page Numbers (Bottom of Page)"/>
        <w:docPartUnique/>
      </w:docPartObj>
    </w:sdtPr>
    <w:sdtEndPr/>
    <w:sdtContent>
      <w:p w14:paraId="3254EA27" w14:textId="77777777" w:rsidR="00FA29AF" w:rsidRPr="00E4669E" w:rsidRDefault="00FA29AF" w:rsidP="00F01CEA">
        <w:pPr>
          <w:pStyle w:val="Pta"/>
          <w:tabs>
            <w:tab w:val="clear" w:pos="9072"/>
            <w:tab w:val="right" w:pos="9026"/>
          </w:tabs>
          <w:jc w:val="right"/>
          <w:rPr>
            <w:sz w:val="18"/>
          </w:rPr>
        </w:pPr>
        <w:r>
          <w:rPr>
            <w:rFonts w:ascii="NeueHaasGroteskText W02" w:hAnsi="NeueHaasGroteskText W02"/>
            <w:noProof/>
            <w:sz w:val="52"/>
            <w:szCs w:val="52"/>
            <w:lang w:eastAsia="sk-SK"/>
          </w:rPr>
          <mc:AlternateContent>
            <mc:Choice Requires="wps">
              <w:drawing>
                <wp:anchor distT="0" distB="0" distL="114300" distR="114300" simplePos="0" relativeHeight="251681792" behindDoc="0" locked="0" layoutInCell="1" allowOverlap="1" wp14:anchorId="0ADB1598" wp14:editId="11D814BB">
                  <wp:simplePos x="0" y="0"/>
                  <wp:positionH relativeFrom="margin">
                    <wp:posOffset>5524500</wp:posOffset>
                  </wp:positionH>
                  <wp:positionV relativeFrom="page">
                    <wp:posOffset>10125075</wp:posOffset>
                  </wp:positionV>
                  <wp:extent cx="273050" cy="70485"/>
                  <wp:effectExtent l="0" t="0" r="12700" b="24765"/>
                  <wp:wrapNone/>
                  <wp:docPr id="329" name="Obdĺžnik 329"/>
                  <wp:cNvGraphicFramePr/>
                  <a:graphic xmlns:a="http://schemas.openxmlformats.org/drawingml/2006/main">
                    <a:graphicData uri="http://schemas.microsoft.com/office/word/2010/wordprocessingShape">
                      <wps:wsp>
                        <wps:cNvSpPr/>
                        <wps:spPr>
                          <a:xfrm>
                            <a:off x="0" y="0"/>
                            <a:ext cx="273050" cy="704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6C4E1" id="Obdĺžnik 329" o:spid="_x0000_s1026" style="position:absolute;margin-left:435pt;margin-top:797.25pt;width:21.5pt;height:5.5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" fillcolor="#5b9bd5 [3204]" strokecolor="#1f4d78 [1604]" strokeweight="1pt">
                  <w10:wrap anchorx="margin" anchory="page"/>
                </v:rect>
              </w:pict>
            </mc:Fallback>
          </mc:AlternateContent>
        </w:r>
        <w:r w:rsidRPr="00E4669E">
          <w:rPr>
            <w:sz w:val="18"/>
          </w:rPr>
          <w:fldChar w:fldCharType="begin"/>
        </w:r>
        <w:r w:rsidRPr="00E4669E">
          <w:rPr>
            <w:sz w:val="18"/>
          </w:rPr>
          <w:instrText>PAGE   \* MERGEFORMAT</w:instrText>
        </w:r>
        <w:r w:rsidRPr="00E4669E">
          <w:rPr>
            <w:sz w:val="18"/>
          </w:rPr>
          <w:fldChar w:fldCharType="separate"/>
        </w:r>
        <w:r w:rsidR="000D2802">
          <w:rPr>
            <w:noProof/>
            <w:sz w:val="18"/>
          </w:rPr>
          <w:t>60</w:t>
        </w:r>
        <w:r w:rsidRPr="00E4669E">
          <w:rPr>
            <w:sz w:val="18"/>
          </w:rPr>
          <w:fldChar w:fldCharType="end"/>
        </w:r>
      </w:p>
    </w:sdtContent>
  </w:sdt>
  <w:p w14:paraId="7EA7A432" w14:textId="77777777" w:rsidR="00FA29AF" w:rsidRDefault="00FA29AF" w:rsidP="00673623">
    <w:pPr>
      <w:pStyle w:val="Pta"/>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511E2" w14:textId="77777777" w:rsidR="00FA29AF" w:rsidRPr="002948D5" w:rsidRDefault="00FA29AF" w:rsidP="002948D5">
    <w:pPr>
      <w:pStyle w:val="Pta"/>
      <w:jc w:val="right"/>
      <w:rPr>
        <w:sz w:val="18"/>
      </w:rPr>
    </w:pPr>
    <w:r>
      <w:rPr>
        <w:rFonts w:ascii="NeueHaasGroteskText W02" w:hAnsi="NeueHaasGroteskText W02"/>
        <w:noProof/>
        <w:sz w:val="52"/>
        <w:szCs w:val="52"/>
        <w:lang w:eastAsia="sk-SK"/>
      </w:rPr>
      <mc:AlternateContent>
        <mc:Choice Requires="wps">
          <w:drawing>
            <wp:anchor distT="0" distB="0" distL="114300" distR="114300" simplePos="0" relativeHeight="251683840" behindDoc="0" locked="0" layoutInCell="1" allowOverlap="1" wp14:anchorId="4B16384D" wp14:editId="2E7ACEEB">
              <wp:simplePos x="0" y="0"/>
              <wp:positionH relativeFrom="margin">
                <wp:posOffset>8639175</wp:posOffset>
              </wp:positionH>
              <wp:positionV relativeFrom="page">
                <wp:posOffset>6962775</wp:posOffset>
              </wp:positionV>
              <wp:extent cx="273050" cy="70485"/>
              <wp:effectExtent l="0" t="0" r="12700" b="24765"/>
              <wp:wrapNone/>
              <wp:docPr id="35" name="Obdĺžnik 35"/>
              <wp:cNvGraphicFramePr/>
              <a:graphic xmlns:a="http://schemas.openxmlformats.org/drawingml/2006/main">
                <a:graphicData uri="http://schemas.microsoft.com/office/word/2010/wordprocessingShape">
                  <wps:wsp>
                    <wps:cNvSpPr/>
                    <wps:spPr>
                      <a:xfrm>
                        <a:off x="0" y="0"/>
                        <a:ext cx="273050" cy="704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6227F" id="Obdĺžnik 35" o:spid="_x0000_s1026" style="position:absolute;margin-left:680.25pt;margin-top:548.25pt;width:21.5pt;height:5.5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" fillcolor="#5b9bd5 [3204]" strokecolor="#1f4d78 [1604]" strokeweight="1pt">
              <w10:wrap anchorx="margin" anchory="page"/>
            </v:rect>
          </w:pict>
        </mc:Fallback>
      </mc:AlternateContent>
    </w:r>
    <w:sdt>
      <w:sdtPr>
        <w:rPr>
          <w:sz w:val="18"/>
        </w:rPr>
        <w:id w:val="-291895619"/>
        <w:docPartObj>
          <w:docPartGallery w:val="Page Numbers (Bottom of Page)"/>
          <w:docPartUnique/>
        </w:docPartObj>
      </w:sdtPr>
      <w:sdtEndPr/>
      <w:sdtContent>
        <w:r w:rsidRPr="00E4669E">
          <w:rPr>
            <w:sz w:val="18"/>
          </w:rPr>
          <w:fldChar w:fldCharType="begin"/>
        </w:r>
        <w:r w:rsidRPr="00E4669E">
          <w:rPr>
            <w:sz w:val="18"/>
          </w:rPr>
          <w:instrText>PAGE   \* MERGEFORMAT</w:instrText>
        </w:r>
        <w:r w:rsidRPr="00E4669E">
          <w:rPr>
            <w:sz w:val="18"/>
          </w:rPr>
          <w:fldChar w:fldCharType="separate"/>
        </w:r>
        <w:r w:rsidR="00155D56">
          <w:rPr>
            <w:noProof/>
            <w:sz w:val="18"/>
          </w:rPr>
          <w:t>226</w:t>
        </w:r>
        <w:r w:rsidRPr="00E4669E">
          <w:rPr>
            <w:sz w:val="18"/>
          </w:rPr>
          <w:fldChar w:fldCharType="end"/>
        </w:r>
        <w:r>
          <w:rPr>
            <w:rFonts w:ascii="NeueHaasGroteskText W02" w:hAnsi="NeueHaasGroteskText W02"/>
            <w:noProof/>
            <w:sz w:val="52"/>
            <w:szCs w:val="52"/>
            <w:lang w:eastAsia="sk-SK"/>
          </w:rPr>
          <mc:AlternateContent>
            <mc:Choice Requires="wps">
              <w:drawing>
                <wp:anchor distT="0" distB="0" distL="114300" distR="114300" simplePos="0" relativeHeight="251685888" behindDoc="0" locked="0" layoutInCell="1" allowOverlap="1" wp14:anchorId="3860EB42" wp14:editId="792E0D4D">
                  <wp:simplePos x="0" y="0"/>
                  <wp:positionH relativeFrom="margin">
                    <wp:posOffset>-14605</wp:posOffset>
                  </wp:positionH>
                  <wp:positionV relativeFrom="paragraph">
                    <wp:posOffset>3010535</wp:posOffset>
                  </wp:positionV>
                  <wp:extent cx="273050" cy="70485"/>
                  <wp:effectExtent l="0" t="0" r="12700" b="24765"/>
                  <wp:wrapNone/>
                  <wp:docPr id="43" name="Obdĺžnik 43"/>
                  <wp:cNvGraphicFramePr/>
                  <a:graphic xmlns:a="http://schemas.openxmlformats.org/drawingml/2006/main">
                    <a:graphicData uri="http://schemas.microsoft.com/office/word/2010/wordprocessingShape">
                      <wps:wsp>
                        <wps:cNvSpPr/>
                        <wps:spPr>
                          <a:xfrm>
                            <a:off x="0" y="0"/>
                            <a:ext cx="273050" cy="704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89242" id="Obdĺžnik 43" o:spid="_x0000_s1026" style="position:absolute;margin-left:-1.15pt;margin-top:237.05pt;width:21.5pt;height:5.5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" fillcolor="#5b9bd5 [3204]" strokecolor="#1f4d78 [1604]" strokeweight="1pt">
                  <w10:wrap anchorx="margin"/>
                </v:rect>
              </w:pict>
            </mc:Fallback>
          </mc:AlternateContent>
        </w:r>
      </w:sdtContent>
    </w:sdt>
    <w:r>
      <w:rPr>
        <w:rFonts w:ascii="NeueHaasGroteskText W02" w:hAnsi="NeueHaasGroteskText W02"/>
        <w:noProof/>
        <w:sz w:val="52"/>
        <w:szCs w:val="52"/>
        <w:lang w:eastAsia="sk-SK"/>
      </w:rPr>
      <mc:AlternateContent>
        <mc:Choice Requires="wps">
          <w:drawing>
            <wp:anchor distT="0" distB="0" distL="114300" distR="114300" simplePos="0" relativeHeight="251684864" behindDoc="0" locked="0" layoutInCell="1" allowOverlap="1" wp14:anchorId="76C14A5D" wp14:editId="704EDAAD">
              <wp:simplePos x="0" y="0"/>
              <wp:positionH relativeFrom="margin">
                <wp:posOffset>-14605</wp:posOffset>
              </wp:positionH>
              <wp:positionV relativeFrom="paragraph">
                <wp:posOffset>3009900</wp:posOffset>
              </wp:positionV>
              <wp:extent cx="273050" cy="70485"/>
              <wp:effectExtent l="0" t="0" r="12700" b="24765"/>
              <wp:wrapNone/>
              <wp:docPr id="42" name="Obdĺžnik 42"/>
              <wp:cNvGraphicFramePr/>
              <a:graphic xmlns:a="http://schemas.openxmlformats.org/drawingml/2006/main">
                <a:graphicData uri="http://schemas.microsoft.com/office/word/2010/wordprocessingShape">
                  <wps:wsp>
                    <wps:cNvSpPr/>
                    <wps:spPr>
                      <a:xfrm>
                        <a:off x="0" y="0"/>
                        <a:ext cx="273050" cy="704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9B364" id="Obdĺžnik 42" o:spid="_x0000_s1026" style="position:absolute;margin-left:-1.15pt;margin-top:237pt;width:21.5pt;height:5.5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" fillcolor="#5b9bd5 [3204]" strokecolor="#1f4d78 [1604]" strokeweight="1pt">
              <w10:wrap anchorx="margin"/>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2D91F" w14:textId="039B2A87" w:rsidR="00FA29AF" w:rsidRPr="002948D5" w:rsidRDefault="00FA29AF" w:rsidP="002948D5">
    <w:pPr>
      <w:pStyle w:val="Pta"/>
      <w:jc w:val="right"/>
      <w:rPr>
        <w:sz w:val="18"/>
      </w:rPr>
    </w:pPr>
    <w:r>
      <w:rPr>
        <w:rFonts w:ascii="NeueHaasGroteskText W02" w:hAnsi="NeueHaasGroteskText W02"/>
        <w:noProof/>
        <w:sz w:val="52"/>
        <w:szCs w:val="52"/>
        <w:lang w:eastAsia="sk-SK"/>
      </w:rPr>
      <mc:AlternateContent>
        <mc:Choice Requires="wps">
          <w:drawing>
            <wp:anchor distT="0" distB="0" distL="114300" distR="114300" simplePos="0" relativeHeight="251671552" behindDoc="0" locked="0" layoutInCell="1" allowOverlap="1" wp14:anchorId="702FDB5E" wp14:editId="2244A465">
              <wp:simplePos x="0" y="0"/>
              <wp:positionH relativeFrom="margin">
                <wp:posOffset>5515610</wp:posOffset>
              </wp:positionH>
              <wp:positionV relativeFrom="page">
                <wp:posOffset>10126980</wp:posOffset>
              </wp:positionV>
              <wp:extent cx="273050" cy="70485"/>
              <wp:effectExtent l="0" t="0" r="12700" b="24765"/>
              <wp:wrapNone/>
              <wp:docPr id="47" name="Obdĺžnik 47"/>
              <wp:cNvGraphicFramePr/>
              <a:graphic xmlns:a="http://schemas.openxmlformats.org/drawingml/2006/main">
                <a:graphicData uri="http://schemas.microsoft.com/office/word/2010/wordprocessingShape">
                  <wps:wsp>
                    <wps:cNvSpPr/>
                    <wps:spPr>
                      <a:xfrm>
                        <a:off x="0" y="0"/>
                        <a:ext cx="273050" cy="704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98844" id="Obdĺžnik 47" o:spid="_x0000_s1026" style="position:absolute;margin-left:434.3pt;margin-top:797.4pt;width:21.5pt;height:5.5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" fillcolor="#5b9bd5 [3204]" strokecolor="#1f4d78 [1604]" strokeweight="1pt">
              <w10:wrap anchorx="margin" anchory="page"/>
            </v:rect>
          </w:pict>
        </mc:Fallback>
      </mc:AlternateContent>
    </w:r>
    <w:sdt>
      <w:sdtPr>
        <w:rPr>
          <w:sz w:val="18"/>
        </w:rPr>
        <w:id w:val="234293915"/>
        <w:docPartObj>
          <w:docPartGallery w:val="Page Numbers (Bottom of Page)"/>
          <w:docPartUnique/>
        </w:docPartObj>
      </w:sdtPr>
      <w:sdtEndPr/>
      <w:sdtContent>
        <w:r>
          <w:rPr>
            <w:rFonts w:ascii="NeueHaasGroteskText W02" w:hAnsi="NeueHaasGroteskText W02"/>
            <w:noProof/>
            <w:sz w:val="52"/>
            <w:szCs w:val="52"/>
            <w:lang w:eastAsia="sk-SK"/>
          </w:rPr>
          <mc:AlternateContent>
            <mc:Choice Requires="wps">
              <w:drawing>
                <wp:anchor distT="0" distB="0" distL="114300" distR="114300" simplePos="0" relativeHeight="251667456" behindDoc="0" locked="0" layoutInCell="1" allowOverlap="1" wp14:anchorId="54E02A5D" wp14:editId="36C62327">
                  <wp:simplePos x="0" y="0"/>
                  <wp:positionH relativeFrom="margin">
                    <wp:posOffset>8582025</wp:posOffset>
                  </wp:positionH>
                  <wp:positionV relativeFrom="paragraph">
                    <wp:posOffset>132080</wp:posOffset>
                  </wp:positionV>
                  <wp:extent cx="273050" cy="70485"/>
                  <wp:effectExtent l="0" t="0" r="12700" b="24765"/>
                  <wp:wrapNone/>
                  <wp:docPr id="44" name="Obdĺžnik 44"/>
                  <wp:cNvGraphicFramePr/>
                  <a:graphic xmlns:a="http://schemas.openxmlformats.org/drawingml/2006/main">
                    <a:graphicData uri="http://schemas.microsoft.com/office/word/2010/wordprocessingShape">
                      <wps:wsp>
                        <wps:cNvSpPr/>
                        <wps:spPr>
                          <a:xfrm>
                            <a:off x="0" y="0"/>
                            <a:ext cx="273050" cy="704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9A07F" id="Obdĺžnik 44" o:spid="_x0000_s1026" style="position:absolute;margin-left:675.75pt;margin-top:10.4pt;width:21.5pt;height:5.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" fillcolor="#5b9bd5 [3204]" strokecolor="#1f4d78 [1604]" strokeweight="1pt">
                  <w10:wrap anchorx="margin"/>
                </v:rect>
              </w:pict>
            </mc:Fallback>
          </mc:AlternateContent>
        </w:r>
        <w:r w:rsidRPr="00E4669E">
          <w:rPr>
            <w:sz w:val="18"/>
          </w:rPr>
          <w:fldChar w:fldCharType="begin"/>
        </w:r>
        <w:r w:rsidRPr="00E4669E">
          <w:rPr>
            <w:sz w:val="18"/>
          </w:rPr>
          <w:instrText>PAGE   \* MERGEFORMAT</w:instrText>
        </w:r>
        <w:r w:rsidRPr="00E4669E">
          <w:rPr>
            <w:sz w:val="18"/>
          </w:rPr>
          <w:fldChar w:fldCharType="separate"/>
        </w:r>
        <w:r w:rsidR="00155D56">
          <w:rPr>
            <w:noProof/>
            <w:sz w:val="18"/>
          </w:rPr>
          <w:t>229</w:t>
        </w:r>
        <w:r w:rsidRPr="00E4669E">
          <w:rPr>
            <w:sz w:val="18"/>
          </w:rPr>
          <w:fldChar w:fldCharType="end"/>
        </w:r>
        <w:r>
          <w:rPr>
            <w:rFonts w:ascii="NeueHaasGroteskText W02" w:hAnsi="NeueHaasGroteskText W02"/>
            <w:noProof/>
            <w:sz w:val="52"/>
            <w:szCs w:val="52"/>
            <w:lang w:eastAsia="sk-SK"/>
          </w:rPr>
          <mc:AlternateContent>
            <mc:Choice Requires="wps">
              <w:drawing>
                <wp:anchor distT="0" distB="0" distL="114300" distR="114300" simplePos="0" relativeHeight="251669504" behindDoc="0" locked="0" layoutInCell="1" allowOverlap="1" wp14:anchorId="6A3F6230" wp14:editId="1CA6AF2B">
                  <wp:simplePos x="0" y="0"/>
                  <wp:positionH relativeFrom="margin">
                    <wp:posOffset>-14605</wp:posOffset>
                  </wp:positionH>
                  <wp:positionV relativeFrom="paragraph">
                    <wp:posOffset>3010535</wp:posOffset>
                  </wp:positionV>
                  <wp:extent cx="273050" cy="70485"/>
                  <wp:effectExtent l="0" t="0" r="12700" b="24765"/>
                  <wp:wrapNone/>
                  <wp:docPr id="45" name="Obdĺžnik 45"/>
                  <wp:cNvGraphicFramePr/>
                  <a:graphic xmlns:a="http://schemas.openxmlformats.org/drawingml/2006/main">
                    <a:graphicData uri="http://schemas.microsoft.com/office/word/2010/wordprocessingShape">
                      <wps:wsp>
                        <wps:cNvSpPr/>
                        <wps:spPr>
                          <a:xfrm>
                            <a:off x="0" y="0"/>
                            <a:ext cx="273050" cy="704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1232A" id="Obdĺžnik 45" o:spid="_x0000_s1026" style="position:absolute;margin-left:-1.15pt;margin-top:237.05pt;width:21.5pt;height:5.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" fillcolor="#5b9bd5 [3204]" strokecolor="#1f4d78 [1604]" strokeweight="1pt">
                  <w10:wrap anchorx="margin"/>
                </v:rect>
              </w:pict>
            </mc:Fallback>
          </mc:AlternateContent>
        </w:r>
      </w:sdtContent>
    </w:sdt>
    <w:r>
      <w:rPr>
        <w:rFonts w:ascii="NeueHaasGroteskText W02" w:hAnsi="NeueHaasGroteskText W02"/>
        <w:noProof/>
        <w:sz w:val="52"/>
        <w:szCs w:val="52"/>
        <w:lang w:eastAsia="sk-SK"/>
      </w:rPr>
      <mc:AlternateContent>
        <mc:Choice Requires="wps">
          <w:drawing>
            <wp:anchor distT="0" distB="0" distL="114300" distR="114300" simplePos="0" relativeHeight="251668480" behindDoc="0" locked="0" layoutInCell="1" allowOverlap="1" wp14:anchorId="419AD565" wp14:editId="6BF9562F">
              <wp:simplePos x="0" y="0"/>
              <wp:positionH relativeFrom="margin">
                <wp:posOffset>-14605</wp:posOffset>
              </wp:positionH>
              <wp:positionV relativeFrom="paragraph">
                <wp:posOffset>3009900</wp:posOffset>
              </wp:positionV>
              <wp:extent cx="273050" cy="70485"/>
              <wp:effectExtent l="0" t="0" r="12700" b="24765"/>
              <wp:wrapNone/>
              <wp:docPr id="46" name="Obdĺžnik 46"/>
              <wp:cNvGraphicFramePr/>
              <a:graphic xmlns:a="http://schemas.openxmlformats.org/drawingml/2006/main">
                <a:graphicData uri="http://schemas.microsoft.com/office/word/2010/wordprocessingShape">
                  <wps:wsp>
                    <wps:cNvSpPr/>
                    <wps:spPr>
                      <a:xfrm>
                        <a:off x="0" y="0"/>
                        <a:ext cx="273050" cy="704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B129B" id="Obdĺžnik 46" o:spid="_x0000_s1026" style="position:absolute;margin-left:-1.15pt;margin-top:237pt;width:21.5pt;height:5.5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" fillcolor="#5b9bd5 [3204]" strokecolor="#1f4d78 [1604]" strokeweight="1pt">
              <w10:wrap anchorx="margin"/>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6968600"/>
      <w:docPartObj>
        <w:docPartGallery w:val="Page Numbers (Bottom of Page)"/>
        <w:docPartUnique/>
      </w:docPartObj>
    </w:sdtPr>
    <w:sdtEndPr/>
    <w:sdtContent>
      <w:p w14:paraId="1D6A8FCB" w14:textId="761F8347" w:rsidR="00FA29AF" w:rsidRDefault="00FA29AF">
        <w:pPr>
          <w:pStyle w:val="Pta"/>
          <w:jc w:val="right"/>
        </w:pPr>
        <w:r>
          <w:rPr>
            <w:rFonts w:ascii="NeueHaasGroteskText W02" w:hAnsi="NeueHaasGroteskText W02"/>
            <w:noProof/>
            <w:sz w:val="52"/>
            <w:szCs w:val="52"/>
            <w:lang w:eastAsia="sk-SK"/>
          </w:rPr>
          <mc:AlternateContent>
            <mc:Choice Requires="wps">
              <w:drawing>
                <wp:anchor distT="0" distB="0" distL="114300" distR="114300" simplePos="0" relativeHeight="251679744" behindDoc="0" locked="0" layoutInCell="1" allowOverlap="1" wp14:anchorId="32FAEB7C" wp14:editId="38281E4F">
                  <wp:simplePos x="0" y="0"/>
                  <wp:positionH relativeFrom="margin">
                    <wp:posOffset>8648065</wp:posOffset>
                  </wp:positionH>
                  <wp:positionV relativeFrom="page">
                    <wp:posOffset>7019925</wp:posOffset>
                  </wp:positionV>
                  <wp:extent cx="273050" cy="70485"/>
                  <wp:effectExtent l="0" t="0" r="12700" b="24765"/>
                  <wp:wrapNone/>
                  <wp:docPr id="56" name="Obdĺžnik 56"/>
                  <wp:cNvGraphicFramePr/>
                  <a:graphic xmlns:a="http://schemas.openxmlformats.org/drawingml/2006/main">
                    <a:graphicData uri="http://schemas.microsoft.com/office/word/2010/wordprocessingShape">
                      <wps:wsp>
                        <wps:cNvSpPr/>
                        <wps:spPr>
                          <a:xfrm>
                            <a:off x="0" y="0"/>
                            <a:ext cx="273050" cy="704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B9E82" id="Obdĺžnik 56" o:spid="_x0000_s1026" style="position:absolute;margin-left:680.95pt;margin-top:552.75pt;width:21.5pt;height:5.5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" fillcolor="#5b9bd5 [3204]" strokecolor="#1f4d78 [1604]" strokeweight="1pt">
                  <w10:wrap anchorx="margin" anchory="page"/>
                </v:rect>
              </w:pict>
            </mc:Fallback>
          </mc:AlternateContent>
        </w:r>
        <w:r w:rsidRPr="00673623">
          <w:rPr>
            <w:sz w:val="18"/>
          </w:rPr>
          <w:fldChar w:fldCharType="begin"/>
        </w:r>
        <w:r w:rsidRPr="00673623">
          <w:rPr>
            <w:sz w:val="18"/>
          </w:rPr>
          <w:instrText>PAGE   \* MERGEFORMAT</w:instrText>
        </w:r>
        <w:r w:rsidRPr="00673623">
          <w:rPr>
            <w:sz w:val="18"/>
          </w:rPr>
          <w:fldChar w:fldCharType="separate"/>
        </w:r>
        <w:r w:rsidR="00155D56">
          <w:rPr>
            <w:noProof/>
            <w:sz w:val="18"/>
          </w:rPr>
          <w:t>251</w:t>
        </w:r>
        <w:r w:rsidRPr="00673623">
          <w:rPr>
            <w:sz w:val="18"/>
          </w:rPr>
          <w:fldChar w:fldCharType="end"/>
        </w:r>
      </w:p>
    </w:sdtContent>
  </w:sdt>
  <w:p w14:paraId="1B9AAA10" w14:textId="04840802" w:rsidR="00FA29AF" w:rsidRPr="002948D5" w:rsidRDefault="00FA29AF" w:rsidP="00BA2479">
    <w:pPr>
      <w:pStyle w:val="Pta"/>
      <w:rPr>
        <w:sz w:val="18"/>
      </w:rPr>
    </w:pPr>
    <w:r>
      <w:rPr>
        <w:rFonts w:ascii="NeueHaasGroteskText W02" w:hAnsi="NeueHaasGroteskText W02"/>
        <w:noProof/>
        <w:sz w:val="52"/>
        <w:szCs w:val="52"/>
        <w:lang w:eastAsia="sk-SK"/>
      </w:rPr>
      <mc:AlternateContent>
        <mc:Choice Requires="wps">
          <w:drawing>
            <wp:anchor distT="0" distB="0" distL="114300" distR="114300" simplePos="0" relativeHeight="251677696" behindDoc="0" locked="0" layoutInCell="1" allowOverlap="1" wp14:anchorId="388FB95B" wp14:editId="40342CC2">
              <wp:simplePos x="0" y="0"/>
              <wp:positionH relativeFrom="margin">
                <wp:posOffset>5518785</wp:posOffset>
              </wp:positionH>
              <wp:positionV relativeFrom="page">
                <wp:posOffset>10132695</wp:posOffset>
              </wp:positionV>
              <wp:extent cx="273050" cy="70485"/>
              <wp:effectExtent l="0" t="0" r="12700" b="24765"/>
              <wp:wrapNone/>
              <wp:docPr id="55" name="Obdĺžnik 55"/>
              <wp:cNvGraphicFramePr/>
              <a:graphic xmlns:a="http://schemas.openxmlformats.org/drawingml/2006/main">
                <a:graphicData uri="http://schemas.microsoft.com/office/word/2010/wordprocessingShape">
                  <wps:wsp>
                    <wps:cNvSpPr/>
                    <wps:spPr>
                      <a:xfrm>
                        <a:off x="0" y="0"/>
                        <a:ext cx="273050" cy="704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7D679" id="Obdĺžnik 55" o:spid="_x0000_s1026" style="position:absolute;margin-left:434.55pt;margin-top:797.85pt;width:21.5pt;height:5.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" fillcolor="#5b9bd5 [3204]" strokecolor="#1f4d78 [1604]" strokeweight="1pt">
              <w10:wrap anchorx="margin"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378CEF" w14:textId="77777777" w:rsidR="00FA29AF" w:rsidRDefault="00FA29AF" w:rsidP="00D84634">
      <w:pPr>
        <w:spacing w:after="0" w:line="240" w:lineRule="auto"/>
      </w:pPr>
      <w:r>
        <w:separator/>
      </w:r>
    </w:p>
  </w:footnote>
  <w:footnote w:type="continuationSeparator" w:id="0">
    <w:p w14:paraId="4DEF9D20" w14:textId="77777777" w:rsidR="00FA29AF" w:rsidRDefault="00FA29AF" w:rsidP="00D84634">
      <w:pPr>
        <w:spacing w:after="0" w:line="240" w:lineRule="auto"/>
      </w:pPr>
      <w:r>
        <w:continuationSeparator/>
      </w:r>
    </w:p>
  </w:footnote>
  <w:footnote w:id="1">
    <w:p w14:paraId="58F6134F" w14:textId="74EF7C61" w:rsidR="00FA29AF" w:rsidRDefault="00FA29AF" w:rsidP="00E940F9">
      <w:pPr>
        <w:pStyle w:val="Textpoznmkypodiarou"/>
      </w:pPr>
      <w:r>
        <w:rPr>
          <w:rStyle w:val="Odkaznapoznmkupodiarou"/>
        </w:rPr>
        <w:footnoteRef/>
      </w:r>
      <w:r>
        <w:t xml:space="preserve"> </w:t>
      </w:r>
      <w:r>
        <w:rPr>
          <w:bCs/>
          <w:szCs w:val="22"/>
        </w:rPr>
        <w:t>Metodika výpočtu potenciálu pri jednotlivých opatreniach je bližšie popísaná v </w:t>
      </w:r>
      <w:r w:rsidRPr="00947C94">
        <w:rPr>
          <w:sz w:val="14"/>
        </w:rPr>
        <w:fldChar w:fldCharType="begin"/>
      </w:r>
      <w:r w:rsidRPr="00947C94">
        <w:rPr>
          <w:sz w:val="14"/>
        </w:rPr>
        <w:instrText xml:space="preserve"> REF _Ref34129538 \h  \* MERGEFORMAT </w:instrText>
      </w:r>
      <w:r w:rsidRPr="00947C94">
        <w:rPr>
          <w:sz w:val="14"/>
        </w:rPr>
      </w:r>
      <w:r w:rsidRPr="00947C94">
        <w:rPr>
          <w:sz w:val="14"/>
        </w:rPr>
        <w:fldChar w:fldCharType="separate"/>
      </w:r>
      <w:r w:rsidRPr="00FA29AF">
        <w:t>Príloha 40</w:t>
      </w:r>
      <w:r w:rsidRPr="00947C94">
        <w:rPr>
          <w:sz w:val="14"/>
        </w:rPr>
        <w:fldChar w:fldCharType="end"/>
      </w:r>
      <w:r>
        <w:rPr>
          <w:bCs/>
          <w:szCs w:val="22"/>
        </w:rPr>
        <w:t>.</w:t>
      </w:r>
    </w:p>
  </w:footnote>
  <w:footnote w:id="2">
    <w:p w14:paraId="71DFDD09" w14:textId="77777777" w:rsidR="00FA29AF" w:rsidRDefault="00FA29AF" w:rsidP="005F3ADB">
      <w:pPr>
        <w:pStyle w:val="Textpoznmkypodiarou"/>
      </w:pPr>
      <w:r>
        <w:rPr>
          <w:rStyle w:val="Odkaznapoznmkupodiarou"/>
        </w:rPr>
        <w:footnoteRef/>
      </w:r>
      <w:r>
        <w:t xml:space="preserve"> Zjednodušene by sa dalo povedať, že pomocný vychovávateľ je menej kvalifikovaný asistent. Nemusí mať pedagogické vzdelanie a jeho úlohou je vykonávať </w:t>
      </w:r>
      <w:r w:rsidRPr="00CC2156">
        <w:t>pomocn</w:t>
      </w:r>
      <w:r>
        <w:t>é</w:t>
      </w:r>
      <w:r w:rsidRPr="00CC2156">
        <w:t xml:space="preserve"> prác</w:t>
      </w:r>
      <w:r>
        <w:t>e</w:t>
      </w:r>
      <w:r w:rsidRPr="00CC2156">
        <w:t xml:space="preserve"> pri realizácii výchovno-vzdelávacieho proces</w:t>
      </w:r>
      <w:r>
        <w:t>u</w:t>
      </w:r>
      <w:r w:rsidRPr="00CC2156">
        <w:t xml:space="preserve">, </w:t>
      </w:r>
      <w:r>
        <w:t xml:space="preserve">poskytovať deťom </w:t>
      </w:r>
      <w:r w:rsidRPr="00CC2156">
        <w:t>fyzick</w:t>
      </w:r>
      <w:r>
        <w:t>ú</w:t>
      </w:r>
      <w:r w:rsidRPr="00CC2156">
        <w:t xml:space="preserve"> starostlivosť</w:t>
      </w:r>
      <w:r>
        <w:t xml:space="preserve"> </w:t>
      </w:r>
      <w:r w:rsidRPr="00CC2156">
        <w:t>a podpor</w:t>
      </w:r>
      <w:r>
        <w:t>u</w:t>
      </w:r>
      <w:r w:rsidRPr="00CC2156">
        <w:t xml:space="preserve"> pri samoobslužných činnostiach.</w:t>
      </w:r>
    </w:p>
  </w:footnote>
  <w:footnote w:id="3">
    <w:p w14:paraId="792B6A0B" w14:textId="77777777" w:rsidR="00FA29AF" w:rsidRDefault="00FA29AF" w:rsidP="005F3ADB">
      <w:pPr>
        <w:pStyle w:val="Textpoznmkypodiarou"/>
      </w:pPr>
      <w:r>
        <w:rPr>
          <w:rStyle w:val="Odkaznapoznmkupodiarou"/>
        </w:rPr>
        <w:footnoteRef/>
      </w:r>
      <w:r>
        <w:t xml:space="preserve"> Odborní zamestnanci zahŕňajú napríklad psychológov, špeciálnych pedagógov, sociálnych pedagógov, logopédov a iných.</w:t>
      </w:r>
    </w:p>
  </w:footnote>
  <w:footnote w:id="4">
    <w:p w14:paraId="24C96235" w14:textId="77777777" w:rsidR="00FA29AF" w:rsidRPr="00063BDB" w:rsidRDefault="00FA29AF" w:rsidP="00900528">
      <w:pPr>
        <w:pStyle w:val="Textpoznmkypodiarou"/>
      </w:pPr>
      <w:r w:rsidRPr="00063BDB">
        <w:rPr>
          <w:rStyle w:val="Odkaznapoznmkupodiarou"/>
        </w:rPr>
        <w:footnoteRef/>
      </w:r>
      <w:r w:rsidRPr="00063BDB">
        <w:t xml:space="preserve"> Mentoring predstavuje štruktúrovaný vzťah medzi služobne starším kolegom, učiteľom, susedom, či iným dospelým človekom a mladším človekom za účelom poskytnutia poradenstva, podpory a povzbudenia. Tútoring predstavuje doučovanie žiakov základných a stredných škôl, ktorí sú cieľovou skupinou mentoringu a ktorých doučovanie v príslušných predmetoch prostredníctvom tútora v prípade potreby (na základe monitorovania školských výsledkov v spolupráci so školou i učiteľmi) odporučí mentor. Zámerom tútoringu je zlepšenie výsledkov žiakov na základných a stredných školách a ich príprava na prijímacie skúšky na stredné školy a ukončenie strednej školy maturitnou skúškou.</w:t>
      </w:r>
    </w:p>
  </w:footnote>
  <w:footnote w:id="5">
    <w:p w14:paraId="79C8BD46" w14:textId="0E2245AC" w:rsidR="00FA29AF" w:rsidRDefault="00FA29AF" w:rsidP="00FC78C5">
      <w:pPr>
        <w:pStyle w:val="Textpoznmkypodiarou"/>
      </w:pPr>
      <w:r>
        <w:rPr>
          <w:rStyle w:val="Odkaznapoznmkupodiarou"/>
        </w:rPr>
        <w:footnoteRef/>
      </w:r>
      <w:r>
        <w:t xml:space="preserve"> Dorovnanie na úroveň ekvivalentu ŽM jednotlivca bez detí by neplatilo v prípade rodín v systéme PHN bez detí, a tiež v prípade rodín s dieťaťom, ktoré ukončilo povinnú školskú dochádzku, keďže na také dieťa už domácnosť nepoberá príspevok na nezaopatrené dieťa. Tieto deti však majú možnosť získať stredoškolské štipendium v prípade, že pokračujú v štúdiu. Výška štipendia je vyššia ako výška príspevku na nezaopatrené dieťa a revízia navrhuje zvýšenie štipendia (hodnotové opatrenie 7).</w:t>
      </w:r>
    </w:p>
  </w:footnote>
  <w:footnote w:id="6">
    <w:p w14:paraId="00DDBD1A" w14:textId="5DD2F8DC" w:rsidR="00FA29AF" w:rsidRDefault="00FA29AF" w:rsidP="00A22588">
      <w:pPr>
        <w:pStyle w:val="Textpoznmkypodiarou"/>
      </w:pPr>
      <w:r>
        <w:rPr>
          <w:rStyle w:val="Odkaznapoznmkupodiarou"/>
        </w:rPr>
        <w:footnoteRef/>
      </w:r>
      <w:r>
        <w:t xml:space="preserve"> </w:t>
      </w:r>
      <w:r>
        <w:rPr>
          <w:bCs/>
          <w:szCs w:val="22"/>
        </w:rPr>
        <w:t>Metodika výpočtu potenciálu pri jednotlivých opatreniach je bližšie popísaná v </w:t>
      </w:r>
      <w:r w:rsidRPr="00947C94">
        <w:rPr>
          <w:sz w:val="14"/>
        </w:rPr>
        <w:fldChar w:fldCharType="begin"/>
      </w:r>
      <w:r w:rsidRPr="00947C94">
        <w:rPr>
          <w:sz w:val="14"/>
        </w:rPr>
        <w:instrText xml:space="preserve"> REF _Ref34129538 \h  \* MERGEFORMAT </w:instrText>
      </w:r>
      <w:r w:rsidRPr="00947C94">
        <w:rPr>
          <w:sz w:val="14"/>
        </w:rPr>
      </w:r>
      <w:r w:rsidRPr="00947C94">
        <w:rPr>
          <w:sz w:val="14"/>
        </w:rPr>
        <w:fldChar w:fldCharType="separate"/>
      </w:r>
      <w:r w:rsidRPr="00FA29AF">
        <w:t>Príloha 40</w:t>
      </w:r>
      <w:r w:rsidRPr="00947C94">
        <w:rPr>
          <w:sz w:val="14"/>
        </w:rPr>
        <w:fldChar w:fldCharType="end"/>
      </w:r>
      <w:r>
        <w:rPr>
          <w:bCs/>
          <w:szCs w:val="22"/>
        </w:rPr>
        <w:t>.</w:t>
      </w:r>
    </w:p>
  </w:footnote>
  <w:footnote w:id="7">
    <w:p w14:paraId="2A6EE15B" w14:textId="77777777" w:rsidR="00FA29AF" w:rsidRDefault="00FA29AF" w:rsidP="00C5042F">
      <w:pPr>
        <w:pStyle w:val="Textpoznmkypodiarou"/>
      </w:pPr>
      <w:r>
        <w:rPr>
          <w:rStyle w:val="Odkaznapoznmkupodiarou"/>
        </w:rPr>
        <w:footnoteRef/>
      </w:r>
      <w:r>
        <w:t xml:space="preserve"> Dostupné na: </w:t>
      </w:r>
      <w:hyperlink r:id="rId1" w:history="1">
        <w:r w:rsidRPr="00BE4113">
          <w:rPr>
            <w:rStyle w:val="Hypertextovprepojenie"/>
          </w:rPr>
          <w:t>https://siov.sk/projekty/aktualne-projekty/narodny-projekt-dualne-vzdelavanie/</w:t>
        </w:r>
      </w:hyperlink>
      <w:r>
        <w:t xml:space="preserve"> </w:t>
      </w:r>
    </w:p>
  </w:footnote>
  <w:footnote w:id="8">
    <w:p w14:paraId="2315AACE" w14:textId="08853C15" w:rsidR="00FA29AF" w:rsidRPr="0007676D" w:rsidRDefault="00FA29AF" w:rsidP="00B11B04">
      <w:pPr>
        <w:pStyle w:val="Textpoznmkypodiarou"/>
      </w:pPr>
      <w:r>
        <w:rPr>
          <w:rStyle w:val="Odkaznapoznmkupodiarou"/>
        </w:rPr>
        <w:footnoteRef/>
      </w:r>
      <w:r>
        <w:t xml:space="preserve"> </w:t>
      </w:r>
      <w:r w:rsidRPr="0007676D">
        <w:t xml:space="preserve">Rezort </w:t>
      </w:r>
      <w:r>
        <w:t>p</w:t>
      </w:r>
      <w:r w:rsidRPr="0007676D">
        <w:t xml:space="preserve">ráce, sociálnych vecí a rodiny v prípade terénnej sociálnej práce a vybraných sociálnych služieb krízovej intervencie a rezort </w:t>
      </w:r>
      <w:r>
        <w:t>v</w:t>
      </w:r>
      <w:r w:rsidRPr="0007676D">
        <w:t>nútra v prípade miestnych občianskych poriadkových služieb</w:t>
      </w:r>
      <w:r>
        <w:t>. Organizácia Zdravé regióny, ktorá implementuje program Zdravé komunity je už v súčasnosti príspevkovou organizáciou rezortu zdravotníctva.</w:t>
      </w:r>
    </w:p>
  </w:footnote>
  <w:footnote w:id="9">
    <w:p w14:paraId="26EEAA5F" w14:textId="77777777" w:rsidR="00FA29AF" w:rsidRPr="00FD7002" w:rsidRDefault="00FA29AF" w:rsidP="0035005D">
      <w:pPr>
        <w:pStyle w:val="Textpoznmkypodiarou"/>
        <w:rPr>
          <w:szCs w:val="18"/>
        </w:rPr>
      </w:pPr>
      <w:r w:rsidRPr="00FD7002">
        <w:rPr>
          <w:rStyle w:val="Odkaznapoznmkupodiarou"/>
          <w:szCs w:val="18"/>
        </w:rPr>
        <w:footnoteRef/>
      </w:r>
      <w:r w:rsidRPr="00FD7002">
        <w:rPr>
          <w:szCs w:val="18"/>
        </w:rPr>
        <w:t xml:space="preserve"> </w:t>
      </w:r>
      <w:hyperlink r:id="rId2" w:history="1">
        <w:r w:rsidRPr="00FD7002">
          <w:rPr>
            <w:rStyle w:val="Hypertextovprepojenie"/>
            <w:szCs w:val="18"/>
          </w:rPr>
          <w:t>http://www.eu2020.gov.sk/strategia-europa-2020/</w:t>
        </w:r>
      </w:hyperlink>
      <w:r w:rsidRPr="00FD7002">
        <w:rPr>
          <w:szCs w:val="18"/>
        </w:rPr>
        <w:t xml:space="preserve"> </w:t>
      </w:r>
    </w:p>
  </w:footnote>
  <w:footnote w:id="10">
    <w:p w14:paraId="2D0AD787" w14:textId="77777777" w:rsidR="00FA29AF" w:rsidRPr="00FD7002" w:rsidRDefault="00FA29AF" w:rsidP="0035005D">
      <w:pPr>
        <w:autoSpaceDE w:val="0"/>
        <w:autoSpaceDN w:val="0"/>
        <w:adjustRightInd w:val="0"/>
        <w:spacing w:after="0" w:line="240" w:lineRule="auto"/>
        <w:rPr>
          <w:rFonts w:cs="ArialNarrow"/>
          <w:sz w:val="18"/>
          <w:szCs w:val="18"/>
        </w:rPr>
      </w:pPr>
      <w:r w:rsidRPr="00FD7002">
        <w:rPr>
          <w:rStyle w:val="Odkaznapoznmkupodiarou"/>
          <w:sz w:val="18"/>
          <w:szCs w:val="18"/>
        </w:rPr>
        <w:footnoteRef/>
      </w:r>
      <w:r w:rsidRPr="00FD7002">
        <w:rPr>
          <w:sz w:val="18"/>
          <w:szCs w:val="18"/>
        </w:rPr>
        <w:t xml:space="preserve"> Položky zahŕňajú nasledovné: </w:t>
      </w:r>
      <w:r w:rsidRPr="00FD7002">
        <w:rPr>
          <w:rFonts w:cs="ArialNarrow"/>
          <w:sz w:val="18"/>
          <w:szCs w:val="18"/>
        </w:rPr>
        <w:t>1) nedoplatky spojené s hypotékou alebo nájomným, úhradou za energie alebo splácaním nákupov na splátky a iných pôžičiek, 2) schopnosť dovoliť si ísť raz za rok na jeden týždeň dovolenky mimo domu, 3) schopnosť dovoliť si jesť jedlo s mäsom, kuraťom, rybou (alebo vegetariánskou obdobou) každý druhý deň, 4) schopnosť čeliť neočakávaným výdavkom vo výške sumy stanovenej ako mesačná národná hranica rizika chudoby za obdobie predchádzajúceho roka, 5) schopnosť dovoliť si kúpiť telefón (vrátane mobilného telefónu), 6) schopnosť dovoliť si kúpiť farebný televízor, 7) schopnosť dovoliť si kúpiť práčku, 8) schopnosť dovoliť si kúpiť automobil, 9) schopnosť dovoliť si udržiavať doma primerané teplo.</w:t>
      </w:r>
    </w:p>
  </w:footnote>
  <w:footnote w:id="11">
    <w:p w14:paraId="13FB27CB" w14:textId="77777777" w:rsidR="00FA29AF" w:rsidRPr="00FD7002" w:rsidRDefault="00FA29AF" w:rsidP="0035005D">
      <w:pPr>
        <w:pStyle w:val="Textpoznmkypodiarou"/>
        <w:rPr>
          <w:szCs w:val="18"/>
        </w:rPr>
      </w:pPr>
      <w:r w:rsidRPr="00FD7002">
        <w:rPr>
          <w:rStyle w:val="Odkaznapoznmkupodiarou"/>
          <w:szCs w:val="18"/>
        </w:rPr>
        <w:footnoteRef/>
      </w:r>
      <w:r w:rsidRPr="00FD7002">
        <w:rPr>
          <w:szCs w:val="18"/>
        </w:rPr>
        <w:t xml:space="preserve"> Podľa medzinárodnej metodiky Eurostatu do štatistického zisťovania SILC môžu byť náhodne vybraté iba byty obývané súkromnými hospodáriacimi domácnosťami na základe Sčítania obyvateľov, domov a bytov (SODB 2011) a nie takzvané kolektívne domácnosti (domovy dôchodcov, internáty, mestské a obecné úrady, pracovné kancelárie a pod.). V prípade, že sa niektorí obyvatelia (napr. ľudia bez domova alebo časť obyvateľov segregovaných osád) sčítali na mestskom alebo obecnom úrade, nemôžu byť súčasťou výberového štatistického zisťovania. V štatistickom zisťovaní SILC tiež nie sú zahrnuté domácnosti žijúce v nezdokumentovaných resp. právne nevysporiadaných príbytkoch.</w:t>
      </w:r>
    </w:p>
  </w:footnote>
  <w:footnote w:id="12">
    <w:p w14:paraId="515AD701" w14:textId="41CCB4B5" w:rsidR="00FA29AF" w:rsidRPr="000F5DD5" w:rsidRDefault="00FA29AF">
      <w:pPr>
        <w:pStyle w:val="Textpoznmkypodiarou"/>
      </w:pPr>
      <w:r>
        <w:rPr>
          <w:rStyle w:val="Odkaznapoznmkupodiarou"/>
        </w:rPr>
        <w:footnoteRef/>
      </w:r>
      <w:r>
        <w:t xml:space="preserve"> </w:t>
      </w:r>
      <w:r w:rsidRPr="00390780">
        <w:rPr>
          <w:szCs w:val="22"/>
        </w:rPr>
        <w:t xml:space="preserve">Medzi </w:t>
      </w:r>
      <w:r w:rsidRPr="00CA2564">
        <w:t xml:space="preserve">rodinami </w:t>
      </w:r>
      <w:r>
        <w:t xml:space="preserve">osamelých rodičov </w:t>
      </w:r>
      <w:r w:rsidRPr="00CA2564">
        <w:t>s deťmi vyčnievajú rodiny</w:t>
      </w:r>
      <w:r>
        <w:t>,</w:t>
      </w:r>
      <w:r w:rsidRPr="00CA2564">
        <w:t xml:space="preserve"> v ktorých aspoň jedno dieťa je mladšie ako 6 rokov. Až 67 % ľudí žijúcich v týchto rodinách je vystavených riziku chudoby alebo sociálneho vylúčenia.</w:t>
      </w:r>
    </w:p>
  </w:footnote>
  <w:footnote w:id="13">
    <w:p w14:paraId="764DC8FD" w14:textId="444F95CD" w:rsidR="00FA29AF" w:rsidRPr="00FD7002" w:rsidRDefault="00FA29AF" w:rsidP="00FD7002">
      <w:pPr>
        <w:pStyle w:val="Textpoznmkypodiarou"/>
        <w:rPr>
          <w:color w:val="FF0000"/>
          <w:szCs w:val="18"/>
        </w:rPr>
      </w:pPr>
      <w:r w:rsidRPr="00FD7002">
        <w:rPr>
          <w:rStyle w:val="Odkaznapoznmkupodiarou"/>
          <w:szCs w:val="18"/>
        </w:rPr>
        <w:footnoteRef/>
      </w:r>
      <w:r w:rsidRPr="00FD7002">
        <w:rPr>
          <w:szCs w:val="18"/>
        </w:rPr>
        <w:t xml:space="preserve"> Zdravotne znevýhodnení sú v prieskume EU SILC identifikovaní na základe samodefinovania, teda ako respondenti, ktorí uviedli, že sa cítia veľmi obmedzovaní vo svojich každodenných aktivitách z dôvodu zdravotných problémov. Formulácia otázky v prieskume je nejednoznačná, čo pravdepodobne spôsobuje nadhodnotenie počtu zdravotne znevýhodnených osôb v populácii (Bahna, 2018).</w:t>
      </w:r>
    </w:p>
  </w:footnote>
  <w:footnote w:id="14">
    <w:p w14:paraId="21249902" w14:textId="7DC6DC17"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Cieľové skupiny boli určené v mandáte revízie </w:t>
      </w:r>
      <w:hyperlink r:id="rId3" w:history="1">
        <w:r w:rsidRPr="00FD7002">
          <w:rPr>
            <w:rStyle w:val="Hypertextovprepojenie"/>
            <w:szCs w:val="18"/>
          </w:rPr>
          <w:t>http://www.finance.gov.sk/Default.aspx?CatID=11158</w:t>
        </w:r>
      </w:hyperlink>
      <w:r>
        <w:rPr>
          <w:szCs w:val="18"/>
        </w:rPr>
        <w:t>.</w:t>
      </w:r>
    </w:p>
  </w:footnote>
  <w:footnote w:id="15">
    <w:p w14:paraId="140EA863" w14:textId="6DFF3E31"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Eurostat </w:t>
      </w:r>
      <w:r>
        <w:rPr>
          <w:szCs w:val="18"/>
        </w:rPr>
        <w:t>(</w:t>
      </w:r>
      <w:r w:rsidRPr="00FD7002">
        <w:rPr>
          <w:szCs w:val="18"/>
        </w:rPr>
        <w:t>201</w:t>
      </w:r>
      <w:r>
        <w:rPr>
          <w:szCs w:val="18"/>
        </w:rPr>
        <w:t>8)</w:t>
      </w:r>
      <w:r w:rsidRPr="00FD7002">
        <w:rPr>
          <w:szCs w:val="18"/>
        </w:rPr>
        <w:t>.</w:t>
      </w:r>
    </w:p>
  </w:footnote>
  <w:footnote w:id="16">
    <w:p w14:paraId="115E9C75" w14:textId="77777777"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Administratívne údaje sú v niektorých prípadoch zbierané na úrovni jednotlivca v iných na úrovni rodiny alebo domácnosti v závislosti od toho, ako je cieľová skupina konkrétnej politiky zadefinovaná. Definícia rizika chudoby alebo sociálneho vylúčenia je založená na sociálnej situácii domácností, ktoré je možné sledovať v </w:t>
      </w:r>
      <w:r w:rsidRPr="00FD7002">
        <w:rPr>
          <w:rFonts w:cs="NeueHaasGroteskText W02"/>
          <w:color w:val="000000"/>
          <w:szCs w:val="18"/>
        </w:rPr>
        <w:t xml:space="preserve">štatistickom zisťovaní o príjmoch a životných podmienkach domácností (EU SILC). </w:t>
      </w:r>
    </w:p>
  </w:footnote>
  <w:footnote w:id="17">
    <w:p w14:paraId="75A4FAB5" w14:textId="6D7C5E96" w:rsidR="00FA29AF" w:rsidRPr="00FD7002" w:rsidRDefault="00FA29AF" w:rsidP="00FD7002">
      <w:pPr>
        <w:pStyle w:val="Textpoznmkypodiarou"/>
        <w:rPr>
          <w:szCs w:val="18"/>
        </w:rPr>
      </w:pPr>
      <w:r w:rsidRPr="00886031">
        <w:rPr>
          <w:rStyle w:val="Odkaznapoznmkupodiarou"/>
          <w:szCs w:val="18"/>
        </w:rPr>
        <w:footnoteRef/>
      </w:r>
      <w:r w:rsidRPr="00886031">
        <w:rPr>
          <w:szCs w:val="18"/>
        </w:rPr>
        <w:t xml:space="preserve"> Podľa údajov EU SILC z roku 201</w:t>
      </w:r>
      <w:r w:rsidRPr="00D41517">
        <w:rPr>
          <w:szCs w:val="18"/>
        </w:rPr>
        <w:t>7</w:t>
      </w:r>
      <w:r w:rsidRPr="00886031">
        <w:rPr>
          <w:szCs w:val="18"/>
        </w:rPr>
        <w:t xml:space="preserve"> až </w:t>
      </w:r>
      <w:r w:rsidRPr="00D41517">
        <w:rPr>
          <w:szCs w:val="18"/>
        </w:rPr>
        <w:t>89</w:t>
      </w:r>
      <w:r w:rsidRPr="00886031">
        <w:rPr>
          <w:szCs w:val="18"/>
        </w:rPr>
        <w:t xml:space="preserve"> % neúplných rodín s deťmi má za hlavu domácnosti ženu.</w:t>
      </w:r>
    </w:p>
  </w:footnote>
  <w:footnote w:id="18">
    <w:p w14:paraId="5532F986" w14:textId="4754D887"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Jednotkové dáta sú dáta na úrovni jednotlivca, v tomto prípade údaje o jednotlivých žiakoch škôl z rezortného informačného systému MŠVVŠ. Definícia SZP a identifikácia žiakov zo SZP v jednotkových dátach je opísaná</w:t>
      </w:r>
      <w:r>
        <w:rPr>
          <w:szCs w:val="18"/>
        </w:rPr>
        <w:t xml:space="preserve"> v </w:t>
      </w:r>
      <w:r w:rsidRPr="002B01DB">
        <w:rPr>
          <w:i/>
          <w:noProof/>
          <w:szCs w:val="18"/>
        </w:rPr>
        <w:fldChar w:fldCharType="begin"/>
      </w:r>
      <w:r w:rsidRPr="002B01DB">
        <w:rPr>
          <w:i/>
          <w:noProof/>
          <w:szCs w:val="18"/>
        </w:rPr>
        <w:instrText xml:space="preserve"> REF _Ref33440448 \h  \* MERGEFORMAT </w:instrText>
      </w:r>
      <w:r w:rsidRPr="002B01DB">
        <w:rPr>
          <w:i/>
          <w:noProof/>
          <w:szCs w:val="18"/>
        </w:rPr>
      </w:r>
      <w:r w:rsidRPr="002B01DB">
        <w:rPr>
          <w:i/>
          <w:noProof/>
          <w:szCs w:val="18"/>
        </w:rPr>
        <w:fldChar w:fldCharType="separate"/>
      </w:r>
      <w:r w:rsidRPr="00FA29AF">
        <w:rPr>
          <w:i/>
          <w:szCs w:val="18"/>
        </w:rPr>
        <w:t xml:space="preserve">Box </w:t>
      </w:r>
      <w:r w:rsidRPr="00FA29AF">
        <w:rPr>
          <w:i/>
          <w:noProof/>
          <w:szCs w:val="18"/>
        </w:rPr>
        <w:t>7</w:t>
      </w:r>
      <w:r w:rsidRPr="002B01DB">
        <w:rPr>
          <w:i/>
          <w:noProof/>
          <w:szCs w:val="18"/>
        </w:rPr>
        <w:fldChar w:fldCharType="end"/>
      </w:r>
      <w:r w:rsidRPr="00FD7002">
        <w:rPr>
          <w:szCs w:val="18"/>
        </w:rPr>
        <w:t>.</w:t>
      </w:r>
    </w:p>
  </w:footnote>
  <w:footnote w:id="19">
    <w:p w14:paraId="1F9B689E" w14:textId="7401DBD4"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Systém pomoci v hmotnej núdzi je opísaný podrobnejšie v kapitole </w:t>
      </w:r>
      <w:r>
        <w:rPr>
          <w:szCs w:val="18"/>
        </w:rPr>
        <w:fldChar w:fldCharType="begin"/>
      </w:r>
      <w:r>
        <w:rPr>
          <w:szCs w:val="18"/>
        </w:rPr>
        <w:instrText xml:space="preserve"> REF _Ref25312407 \r \h </w:instrText>
      </w:r>
      <w:r>
        <w:rPr>
          <w:szCs w:val="18"/>
        </w:rPr>
      </w:r>
      <w:r>
        <w:rPr>
          <w:szCs w:val="18"/>
        </w:rPr>
        <w:fldChar w:fldCharType="separate"/>
      </w:r>
      <w:r>
        <w:rPr>
          <w:szCs w:val="18"/>
        </w:rPr>
        <w:t>8</w:t>
      </w:r>
      <w:r>
        <w:rPr>
          <w:szCs w:val="18"/>
        </w:rPr>
        <w:fldChar w:fldCharType="end"/>
      </w:r>
      <w:r w:rsidRPr="00FD7002">
        <w:rPr>
          <w:szCs w:val="18"/>
        </w:rPr>
        <w:t>.</w:t>
      </w:r>
    </w:p>
  </w:footnote>
  <w:footnote w:id="20">
    <w:p w14:paraId="28092E32" w14:textId="77777777"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Podľa údajov ÚPSVR 265-tisíc obyvateľov Slovenska žilo v roku 2017 v domácnosti, ktorej sa aspoň jeden mesiac v roku poskytovala PHN. Počet ľudí pod hranicou rizika chudoby bol v roku 2017 podľa údajov Eurostatu 650-tisíc. Domácnosti, ktoré aspoň jeden mesiac poberali pomoc v hmotnej núdzi teda zahŕňali odhadom okolo 41 % chudobných ľudí. Na porovnanie, domácnosti, ktoré v konkrétnom mesiaci poberali pomoc v hmotnej núdzi zahŕňali v priemere za mesiac okolo 30 % chudobných ľudí.</w:t>
      </w:r>
    </w:p>
  </w:footnote>
  <w:footnote w:id="21">
    <w:p w14:paraId="28D436E1" w14:textId="23739943" w:rsidR="00FA29AF" w:rsidRPr="007A3C63" w:rsidRDefault="00FA29AF" w:rsidP="00D3189B">
      <w:pPr>
        <w:pStyle w:val="Textpoznmkypodiarou"/>
      </w:pPr>
      <w:r w:rsidRPr="007A3C63">
        <w:rPr>
          <w:rStyle w:val="Odkaznapoznmkupodiarou"/>
        </w:rPr>
        <w:footnoteRef/>
      </w:r>
      <w:r w:rsidRPr="007A3C63">
        <w:t xml:space="preserve"> </w:t>
      </w:r>
      <w:r>
        <w:t>Podiel výdavkov na začleňovanie z celkového balíka výdavkov na daný nástroj je odhadnutý na základe podielu populácie ohrozenej chudobou alebo sociálnym vylúčením v demografickej skupine zodpovedajúcej prijímateľom dávky alebo užívateľom služby v prieskume EU SILC (napr. v prípade materských škôl ide o deti vo veku 3 až 5 rokov).</w:t>
      </w:r>
    </w:p>
  </w:footnote>
  <w:footnote w:id="22">
    <w:p w14:paraId="734E1637" w14:textId="77777777" w:rsidR="00FA29AF" w:rsidRPr="00FD7002" w:rsidRDefault="00FA29AF" w:rsidP="00910F22">
      <w:pPr>
        <w:pStyle w:val="Textpoznmkypodiarou"/>
        <w:rPr>
          <w:szCs w:val="18"/>
        </w:rPr>
      </w:pPr>
      <w:r w:rsidRPr="00FD7002">
        <w:rPr>
          <w:rStyle w:val="Odkaznapoznmkupodiarou"/>
          <w:szCs w:val="18"/>
        </w:rPr>
        <w:footnoteRef/>
      </w:r>
      <w:r w:rsidRPr="00FD7002">
        <w:rPr>
          <w:szCs w:val="18"/>
        </w:rPr>
        <w:t xml:space="preserve"> Výdavky na sociálne začleňovanie sú vypočítané na základe rozpočtovaných prostriedkov a nemusia zodpovedať reálnym výdavkom škôl na tento účel. V prípade normatívneho financovania sa výdavky na znevýhodnených žiakov môžu meniť, keďže zriaďovateľ má podľa zákona možnosť prerozdeľovať časť zo zdrojov medzi školami vo svojej pôsobnosti. Dodatočné zdroje je možné získať v dohodovacom konaní. V prípade bežných škôl nie sú výdavky na vzdelávanie integrovaných zdravotne znevýhodnených žiakov a na špeciálne triedy pre zdravotne znevýhodnených žiakov účelovo viazané a nie je možné sledovať, či reálne boli použité na sociálne začleňovanie. Podobne pri podielových daniach sú výdavky vypočítané na základe teoreticky napočítaných prostriedkov na istý účel, nie na základe overiteľných výdavkov, keďže prostriedky z podielových daní nie sú účelovo viazané.</w:t>
      </w:r>
    </w:p>
  </w:footnote>
  <w:footnote w:id="23">
    <w:p w14:paraId="414FE2D6" w14:textId="24CB6254" w:rsidR="00FA29AF" w:rsidRDefault="00FA29AF" w:rsidP="00C406D8">
      <w:pPr>
        <w:pStyle w:val="Textpoznmkypodiarou"/>
      </w:pPr>
      <w:r>
        <w:rPr>
          <w:rStyle w:val="Odkaznapoznmkupodiarou"/>
        </w:rPr>
        <w:footnoteRef/>
      </w:r>
      <w:r>
        <w:t xml:space="preserve"> Školským zariadeniam výchovného poradenstva a prevencia sa revízia </w:t>
      </w:r>
      <w:r w:rsidRPr="000A3730">
        <w:t xml:space="preserve">čiastočne </w:t>
      </w:r>
      <w:r w:rsidRPr="00910F22">
        <w:t xml:space="preserve">venuje v kapitole </w:t>
      </w:r>
      <w:r w:rsidRPr="00452DBC">
        <w:fldChar w:fldCharType="begin"/>
      </w:r>
      <w:r w:rsidRPr="00452DBC">
        <w:instrText xml:space="preserve"> REF _Ref33198253 \r \h </w:instrText>
      </w:r>
      <w:r>
        <w:instrText xml:space="preserve"> \* MERGEFORMAT </w:instrText>
      </w:r>
      <w:r w:rsidRPr="00452DBC">
        <w:fldChar w:fldCharType="separate"/>
      </w:r>
      <w:r>
        <w:t>4</w:t>
      </w:r>
      <w:r w:rsidRPr="00452DBC">
        <w:fldChar w:fldCharType="end"/>
      </w:r>
      <w:r w:rsidRPr="00910F22">
        <w:t xml:space="preserve"> o ranej starostlivosti.</w:t>
      </w:r>
    </w:p>
  </w:footnote>
  <w:footnote w:id="24">
    <w:p w14:paraId="2F150A99" w14:textId="6DA983F2" w:rsidR="00FA29AF" w:rsidRDefault="00FA29AF" w:rsidP="00D3189B">
      <w:pPr>
        <w:pStyle w:val="Textpoznmkypodiarou"/>
      </w:pPr>
      <w:r>
        <w:rPr>
          <w:rStyle w:val="Odkaznapoznmkupodiarou"/>
        </w:rPr>
        <w:footnoteRef/>
      </w:r>
      <w:r>
        <w:t xml:space="preserve"> Zo základného fondu invalidného poistenia sa okrem invalidných dôchodkov vyplácajú aj vdovské dôchodky, vdovecké dôchodky a sirotské dôchodky po poberateľovi invalidného dôchodku, po poistencovi, ktorý ku dňu smrti získal počet rokov dôchodkového poistenia na vznik nároku na invalidný dôchodok, a po poistencovi, ktorý zomrel v dôsledku pracovného úrazu alebo choroby z povolania. Celkové výdavky základného fondu invalidného poistenia v roku 2018 tvorili 931,1 miliónov eur.</w:t>
      </w:r>
    </w:p>
  </w:footnote>
  <w:footnote w:id="25">
    <w:p w14:paraId="11789CB2" w14:textId="77777777" w:rsidR="00FA29AF" w:rsidRDefault="00FA29AF" w:rsidP="00B12147">
      <w:pPr>
        <w:pStyle w:val="Textpoznmkypodiarou"/>
      </w:pPr>
      <w:r>
        <w:rPr>
          <w:rStyle w:val="Odkaznapoznmkupodiarou"/>
        </w:rPr>
        <w:footnoteRef/>
      </w:r>
      <w:r>
        <w:t xml:space="preserve"> V niektorých krajinách sú niektoré peňažné dávky predmetom zdanenia, čím sa časť hrubých výdavkov na tieto nástroje vracia do štátneho rozpočtu. Čisté výdavky môžu byť tým pádom podstatne nižšie ako hrubé výdavky.</w:t>
      </w:r>
    </w:p>
  </w:footnote>
  <w:footnote w:id="26">
    <w:p w14:paraId="16402E3A" w14:textId="0F93ECFD" w:rsidR="00FA29AF" w:rsidRPr="0068595B" w:rsidRDefault="00FA29AF">
      <w:pPr>
        <w:pStyle w:val="Textpoznmkypodiarou"/>
        <w:rPr>
          <w:szCs w:val="18"/>
        </w:rPr>
      </w:pPr>
      <w:r>
        <w:rPr>
          <w:rStyle w:val="Odkaznapoznmkupodiarou"/>
        </w:rPr>
        <w:footnoteRef/>
      </w:r>
      <w:r>
        <w:t xml:space="preserve"> Zahŕňa všetky výdavky na AOTP financované zo štátneho rozpočtu. Výdavky financované z EŠIF sú </w:t>
      </w:r>
      <w:r w:rsidRPr="00B96845">
        <w:rPr>
          <w:szCs w:val="18"/>
        </w:rPr>
        <w:t xml:space="preserve">uvedené v </w:t>
      </w:r>
      <w:r w:rsidRPr="00473CB3">
        <w:rPr>
          <w:szCs w:val="18"/>
        </w:rPr>
        <w:fldChar w:fldCharType="begin"/>
      </w:r>
      <w:r w:rsidRPr="00D41517">
        <w:rPr>
          <w:szCs w:val="18"/>
        </w:rPr>
        <w:instrText xml:space="preserve"> REF _Ref529549960 \h </w:instrText>
      </w:r>
      <w:r w:rsidRPr="000C114C">
        <w:rPr>
          <w:szCs w:val="18"/>
        </w:rPr>
        <w:instrText xml:space="preserve"> \* MERGEFORMAT </w:instrText>
      </w:r>
      <w:r w:rsidRPr="00473CB3">
        <w:rPr>
          <w:szCs w:val="18"/>
        </w:rPr>
      </w:r>
      <w:r w:rsidRPr="00473CB3">
        <w:rPr>
          <w:szCs w:val="18"/>
        </w:rPr>
        <w:fldChar w:fldCharType="separate"/>
      </w:r>
      <w:r w:rsidRPr="00FA29AF">
        <w:rPr>
          <w:szCs w:val="18"/>
        </w:rPr>
        <w:t xml:space="preserve">Tabuľka </w:t>
      </w:r>
      <w:r w:rsidRPr="00FA29AF">
        <w:rPr>
          <w:noProof/>
          <w:szCs w:val="18"/>
        </w:rPr>
        <w:t>5</w:t>
      </w:r>
      <w:r w:rsidRPr="00473CB3">
        <w:rPr>
          <w:szCs w:val="18"/>
        </w:rPr>
        <w:fldChar w:fldCharType="end"/>
      </w:r>
      <w:r w:rsidRPr="00473CB3">
        <w:rPr>
          <w:szCs w:val="18"/>
        </w:rPr>
        <w:t>.</w:t>
      </w:r>
    </w:p>
  </w:footnote>
  <w:footnote w:id="27">
    <w:p w14:paraId="0782146D" w14:textId="57458412" w:rsidR="00FA29AF" w:rsidRDefault="00FA29AF" w:rsidP="00773905">
      <w:pPr>
        <w:pStyle w:val="Textpoznmkypodiarou"/>
      </w:pPr>
      <w:r>
        <w:rPr>
          <w:rStyle w:val="Odkaznapoznmkupodiarou"/>
        </w:rPr>
        <w:footnoteRef/>
      </w:r>
      <w:r>
        <w:t xml:space="preserve"> Príspevok na starostlivosť o dieťa je čiastočne financovaný z Európskeho sociálneho </w:t>
      </w:r>
      <w:r w:rsidRPr="005805D6">
        <w:rPr>
          <w:szCs w:val="18"/>
        </w:rPr>
        <w:t>fondu (</w:t>
      </w:r>
      <w:r w:rsidRPr="005805D6">
        <w:rPr>
          <w:szCs w:val="18"/>
        </w:rPr>
        <w:fldChar w:fldCharType="begin"/>
      </w:r>
      <w:r w:rsidRPr="005805D6">
        <w:rPr>
          <w:szCs w:val="18"/>
        </w:rPr>
        <w:instrText xml:space="preserve"> REF _Ref529549960 \h  \* MERGEFORMAT </w:instrText>
      </w:r>
      <w:r w:rsidRPr="005805D6">
        <w:rPr>
          <w:szCs w:val="18"/>
        </w:rPr>
      </w:r>
      <w:r w:rsidRPr="005805D6">
        <w:rPr>
          <w:szCs w:val="18"/>
        </w:rPr>
        <w:fldChar w:fldCharType="separate"/>
      </w:r>
      <w:r w:rsidRPr="00FA29AF">
        <w:rPr>
          <w:szCs w:val="18"/>
        </w:rPr>
        <w:t xml:space="preserve">Tabuľka </w:t>
      </w:r>
      <w:r w:rsidRPr="00FA29AF">
        <w:rPr>
          <w:noProof/>
          <w:szCs w:val="18"/>
        </w:rPr>
        <w:t>5</w:t>
      </w:r>
      <w:r w:rsidRPr="005805D6">
        <w:rPr>
          <w:szCs w:val="18"/>
        </w:rPr>
        <w:fldChar w:fldCharType="end"/>
      </w:r>
      <w:r>
        <w:t>). Celkové výdavky na príspevok v roku 2018 tvorili 11,7 miliónov eur, z toho 7,6 miliónov zo š. r. a 4,1 miliónov z prostriedkov EŠIF. Refundácia (čerpanie) prostriedkov ESF prebieha s časovým odstupom od vyplatenia príspevku úradom práce oprávnenej osobe. Po očakávanom refundovaní všetkých oprávnených platieb v roku 2018 by mal pomer zdrojov štátneho rozpočtu k zdrojom EŠIF dosiahnuť 0,8 milióna eur k 10,9 milióna eur.</w:t>
      </w:r>
    </w:p>
  </w:footnote>
  <w:footnote w:id="28">
    <w:p w14:paraId="759FEBEA" w14:textId="20E88FD1" w:rsidR="00FA29AF" w:rsidRDefault="00FA29AF" w:rsidP="00773905">
      <w:pPr>
        <w:pStyle w:val="Textpoznmkypodiarou"/>
      </w:pPr>
      <w:r>
        <w:rPr>
          <w:rStyle w:val="Odkaznapoznmkupodiarou"/>
        </w:rPr>
        <w:footnoteRef/>
      </w:r>
      <w:r>
        <w:t xml:space="preserve"> Medzi sociálne služby krízovej intervencie okrem služieb zameraných na bývanie (</w:t>
      </w:r>
      <w:r w:rsidRPr="005805D6">
        <w:rPr>
          <w:szCs w:val="18"/>
        </w:rPr>
        <w:fldChar w:fldCharType="begin"/>
      </w:r>
      <w:r w:rsidRPr="005805D6">
        <w:rPr>
          <w:szCs w:val="18"/>
        </w:rPr>
        <w:instrText xml:space="preserve"> REF _Ref19716089 \h  \* MERGEFORMAT </w:instrText>
      </w:r>
      <w:r w:rsidRPr="005805D6">
        <w:rPr>
          <w:szCs w:val="18"/>
        </w:rPr>
      </w:r>
      <w:r w:rsidRPr="005805D6">
        <w:rPr>
          <w:szCs w:val="18"/>
        </w:rPr>
        <w:fldChar w:fldCharType="separate"/>
      </w:r>
      <w:r w:rsidRPr="00FA29AF">
        <w:rPr>
          <w:szCs w:val="18"/>
        </w:rPr>
        <w:t xml:space="preserve">Tabuľka </w:t>
      </w:r>
      <w:r w:rsidRPr="00FA29AF">
        <w:rPr>
          <w:noProof/>
          <w:szCs w:val="18"/>
        </w:rPr>
        <w:t>4</w:t>
      </w:r>
      <w:r w:rsidRPr="005805D6">
        <w:rPr>
          <w:szCs w:val="18"/>
        </w:rPr>
        <w:fldChar w:fldCharType="end"/>
      </w:r>
      <w:r>
        <w:t>) patrí nízkoprahové denné centrum, nízkoprahová sociálna služba pre deti a rodinu, integračné centrum, komunitné centrum a terénna sociálna služba krízovej intervencie.</w:t>
      </w:r>
    </w:p>
  </w:footnote>
  <w:footnote w:id="29">
    <w:p w14:paraId="6FFE07DB" w14:textId="3D312B83" w:rsidR="00FA29AF" w:rsidRDefault="00FA29AF" w:rsidP="00773905">
      <w:pPr>
        <w:pStyle w:val="Textpoznmkypodiarou"/>
      </w:pPr>
      <w:r>
        <w:rPr>
          <w:rStyle w:val="Odkaznapoznmkupodiarou"/>
        </w:rPr>
        <w:footnoteRef/>
      </w:r>
      <w:r>
        <w:t xml:space="preserve"> Medzi soc. služby na podporu rodiny s deťmi patrí pomoc pri osobnej starostlivosti o dieťa, zariadenie dočasnej starostlivosti o deti, služba včasnej intervencie, služba na podporu zosúlaďovania rodinného života a pracovného života a zariadenie starostlivosti o deti do troch rokov.</w:t>
      </w:r>
    </w:p>
  </w:footnote>
  <w:footnote w:id="30">
    <w:p w14:paraId="74C7100B" w14:textId="3B23DD89" w:rsidR="00FA29AF" w:rsidRDefault="00FA29AF" w:rsidP="00773905">
      <w:pPr>
        <w:pStyle w:val="Textpoznmkypodiarou"/>
      </w:pPr>
      <w:r>
        <w:rPr>
          <w:rStyle w:val="Odkaznapoznmkupodiarou"/>
        </w:rPr>
        <w:footnoteRef/>
      </w:r>
      <w:r>
        <w:t xml:space="preserve"> Medzi </w:t>
      </w:r>
      <w:r w:rsidRPr="006D7A90">
        <w:t>sociálne služby na riešenie nepriaznivej so</w:t>
      </w:r>
      <w:r>
        <w:t>c.</w:t>
      </w:r>
      <w:r w:rsidRPr="006D7A90">
        <w:t xml:space="preserve"> situácie z dôvodu </w:t>
      </w:r>
      <w:r>
        <w:t>ŤZP</w:t>
      </w:r>
      <w:r w:rsidRPr="006D7A90">
        <w:t>, nepriaznivého zdravotného stavu alebo z dôvodu dovŕšenia dôchodkového veku</w:t>
      </w:r>
      <w:r>
        <w:t xml:space="preserve"> patrí domov sociálnych služieb pre dospelých, denný stacionár, domov sociálnych služieb pre deti, zariadenie podporovaného bývania, rehabilitačné stredisko, zariadenie pre seniorov a špecializované zariadenie. Výdavky v tabuľke nezahŕňajú výdavky na zariadenia pre seniorov. Aj niektoré ostatné z uvedených služieb môžu využívať klienti v dôchodkovom veku.</w:t>
      </w:r>
    </w:p>
  </w:footnote>
  <w:footnote w:id="31">
    <w:p w14:paraId="27DC0659" w14:textId="16697A3D" w:rsidR="00FA29AF" w:rsidRPr="00FD7002" w:rsidRDefault="00FA29AF">
      <w:pPr>
        <w:pStyle w:val="Textpoznmkypodiarou"/>
        <w:rPr>
          <w:szCs w:val="18"/>
        </w:rPr>
      </w:pPr>
      <w:r w:rsidRPr="00FD7002">
        <w:rPr>
          <w:rStyle w:val="Odkaznapoznmkupodiarou"/>
          <w:szCs w:val="18"/>
        </w:rPr>
        <w:footnoteRef/>
      </w:r>
      <w:r w:rsidRPr="00FD7002">
        <w:rPr>
          <w:szCs w:val="18"/>
        </w:rPr>
        <w:t xml:space="preserve"> Spolufinancovanie zahŕňa národné zdroje zo štátneho rozpočtu ale nie vlastné kofinancovanie prijímateľov. </w:t>
      </w:r>
      <w:r w:rsidRPr="00CA2564">
        <w:t>Do výdavkov nie je zahrnuté čerpanie zdrojov na projekty a výzvy cieliace ľudí v dôchodkovom veku</w:t>
      </w:r>
    </w:p>
  </w:footnote>
  <w:footnote w:id="32">
    <w:p w14:paraId="4B492E56" w14:textId="032723D3" w:rsidR="00FA29AF" w:rsidRPr="000F5DD5" w:rsidRDefault="00FA29AF" w:rsidP="00865729">
      <w:pPr>
        <w:pStyle w:val="Textpoznmkypodiarou"/>
      </w:pPr>
      <w:r>
        <w:rPr>
          <w:rStyle w:val="Odkaznapoznmkupodiarou"/>
        </w:rPr>
        <w:footnoteRef/>
      </w:r>
      <w:r>
        <w:t xml:space="preserve"> Zdroje na PO 5 sú poskytnuté z</w:t>
      </w:r>
      <w:r w:rsidRPr="00D3189B">
        <w:t> Európskeho sociálneho fondu</w:t>
      </w:r>
      <w:r>
        <w:t>,</w:t>
      </w:r>
      <w:r w:rsidRPr="00D3189B">
        <w:t xml:space="preserve"> </w:t>
      </w:r>
      <w:r>
        <w:t xml:space="preserve">kým PO 6 je financovaná z </w:t>
      </w:r>
      <w:r>
        <w:rPr>
          <w:noProof/>
          <w:lang w:eastAsia="sk-SK"/>
        </w:rPr>
        <w:t>Európskeho fondu regionálneho rozvoja.</w:t>
      </w:r>
    </w:p>
  </w:footnote>
  <w:footnote w:id="33">
    <w:p w14:paraId="7E7D167D" w14:textId="282FEFAB" w:rsidR="00FA29AF" w:rsidRDefault="00FA29AF" w:rsidP="00865729">
      <w:pPr>
        <w:pStyle w:val="Textpoznmkypodiarou"/>
      </w:pPr>
      <w:r>
        <w:rPr>
          <w:rStyle w:val="Odkaznapoznmkupodiarou"/>
        </w:rPr>
        <w:footnoteRef/>
      </w:r>
      <w:r>
        <w:t xml:space="preserve"> Strednodobé ciele sú vyhodnocované po uplynutí 5 rokov od začiatku programového obdobia. V aktuálnom programovom období ide o koniec roka 2018. Za nedostatočné plnenie strednodobých cieľov môže hroziť neuvoľnenie takzvanej výkonnostnej rezervy v hodnote 6 % z celkových prostriedkov EŠIF.</w:t>
      </w:r>
    </w:p>
  </w:footnote>
  <w:footnote w:id="34">
    <w:p w14:paraId="177EF39D" w14:textId="45D265A6" w:rsidR="00FA29AF" w:rsidRDefault="00FA29AF" w:rsidP="00865729">
      <w:pPr>
        <w:pStyle w:val="Textpoznmkypodiarou"/>
      </w:pPr>
      <w:r>
        <w:rPr>
          <w:rStyle w:val="Odkaznapoznmkupodiarou"/>
        </w:rPr>
        <w:footnoteRef/>
      </w:r>
      <w:r>
        <w:t xml:space="preserve"> Podľa výročnej správy OP ĽZ za rok 2018: </w:t>
      </w:r>
      <w:hyperlink r:id="rId4" w:history="1">
        <w:r w:rsidRPr="00F335DC">
          <w:rPr>
            <w:rStyle w:val="Hypertextovprepojenie"/>
          </w:rPr>
          <w:t>https://www.employment.gov.sk/sk/esf/programove-obdobie-2014-2020/spravy-implementacii/op-ludske-zdroje/</w:t>
        </w:r>
      </w:hyperlink>
      <w:r>
        <w:t xml:space="preserve"> </w:t>
      </w:r>
    </w:p>
  </w:footnote>
  <w:footnote w:id="35">
    <w:p w14:paraId="73709112" w14:textId="520A40D3" w:rsidR="00FA29AF" w:rsidRDefault="00FA29AF" w:rsidP="00865729">
      <w:pPr>
        <w:pStyle w:val="Textpoznmkypodiarou"/>
      </w:pPr>
      <w:r>
        <w:rPr>
          <w:rStyle w:val="Odkaznapoznmkupodiarou"/>
        </w:rPr>
        <w:footnoteRef/>
      </w:r>
      <w:r>
        <w:t xml:space="preserve"> Podporné programy financované zo zdrojov EŠIF sú popísané a vyhodnotené v kapitole </w:t>
      </w:r>
      <w:r>
        <w:fldChar w:fldCharType="begin"/>
      </w:r>
      <w:r>
        <w:instrText xml:space="preserve"> REF _Ref25321758 \r \h  \* MERGEFORMAT </w:instrText>
      </w:r>
      <w:r>
        <w:fldChar w:fldCharType="separate"/>
      </w:r>
      <w:r>
        <w:t>11</w:t>
      </w:r>
      <w:r>
        <w:fldChar w:fldCharType="end"/>
      </w:r>
      <w:r>
        <w:t>.</w:t>
      </w:r>
    </w:p>
  </w:footnote>
  <w:footnote w:id="36">
    <w:p w14:paraId="6CA92F0D" w14:textId="6E65ADA0" w:rsidR="00FA29AF" w:rsidRDefault="00FA29AF" w:rsidP="00865729">
      <w:pPr>
        <w:pStyle w:val="Textpoznmkypodiarou"/>
      </w:pPr>
      <w:r>
        <w:rPr>
          <w:rStyle w:val="Odkaznapoznmkupodiarou"/>
        </w:rPr>
        <w:footnoteRef/>
      </w:r>
      <w:r>
        <w:t xml:space="preserve"> Podpora s vysporiadaním pozemkov v MRK je popísaná v kapitole </w:t>
      </w:r>
      <w:r>
        <w:fldChar w:fldCharType="begin"/>
      </w:r>
      <w:r>
        <w:instrText xml:space="preserve"> REF _Ref25321745 \r \h  \* MERGEFORMAT </w:instrText>
      </w:r>
      <w:r>
        <w:fldChar w:fldCharType="separate"/>
      </w:r>
      <w:r>
        <w:t>9</w:t>
      </w:r>
      <w:r>
        <w:fldChar w:fldCharType="end"/>
      </w:r>
      <w:r>
        <w:t>.</w:t>
      </w:r>
    </w:p>
  </w:footnote>
  <w:footnote w:id="37">
    <w:p w14:paraId="2C7678E9" w14:textId="571DBD42" w:rsidR="00FA29AF" w:rsidRDefault="00FA29AF" w:rsidP="00865729">
      <w:pPr>
        <w:pStyle w:val="Textpoznmkypodiarou"/>
      </w:pPr>
      <w:r>
        <w:rPr>
          <w:rStyle w:val="Odkaznapoznmkupodiarou"/>
        </w:rPr>
        <w:footnoteRef/>
      </w:r>
      <w:r>
        <w:t xml:space="preserve"> Pre vysoký záujem a úspech projektu bola v roku 2018 vyhlásená druhá výzva na poskytovanie MOPS, pre ktorú bol alokovaný v porovnaní s prvou výzvou vyšší objem prostriedkov.</w:t>
      </w:r>
    </w:p>
  </w:footnote>
  <w:footnote w:id="38">
    <w:p w14:paraId="76D9D4B8" w14:textId="7C5738C7" w:rsidR="00FA29AF" w:rsidRDefault="00FA29AF" w:rsidP="00D3189B">
      <w:pPr>
        <w:pStyle w:val="Textpoznmkypodiarou"/>
      </w:pPr>
      <w:r>
        <w:rPr>
          <w:rStyle w:val="Odkaznapoznmkupodiarou"/>
        </w:rPr>
        <w:footnoteRef/>
      </w:r>
      <w:r>
        <w:t xml:space="preserve"> Svojpomocná výstavba v MRK je popísaná a vyhodnotená v kapitole </w:t>
      </w:r>
      <w:r>
        <w:fldChar w:fldCharType="begin"/>
      </w:r>
      <w:r>
        <w:instrText xml:space="preserve"> REF _Ref25321775 \r \h </w:instrText>
      </w:r>
      <w:r>
        <w:fldChar w:fldCharType="separate"/>
      </w:r>
      <w:r>
        <w:t>9</w:t>
      </w:r>
      <w:r>
        <w:fldChar w:fldCharType="end"/>
      </w:r>
      <w:r>
        <w:t>.</w:t>
      </w:r>
    </w:p>
  </w:footnote>
  <w:footnote w:id="39">
    <w:p w14:paraId="00EB2EFA" w14:textId="77777777" w:rsidR="00FA29AF" w:rsidRPr="00C8342B" w:rsidRDefault="00FA29AF" w:rsidP="00C8342B">
      <w:pPr>
        <w:pStyle w:val="Textpoznmkypodiarou"/>
        <w:rPr>
          <w:szCs w:val="18"/>
        </w:rPr>
      </w:pPr>
      <w:r w:rsidRPr="00C8342B">
        <w:rPr>
          <w:rStyle w:val="Odkaznapoznmkupodiarou"/>
          <w:szCs w:val="18"/>
        </w:rPr>
        <w:footnoteRef/>
      </w:r>
      <w:r w:rsidRPr="00C8342B">
        <w:rPr>
          <w:szCs w:val="18"/>
        </w:rPr>
        <w:t xml:space="preserve"> Raný vek je v rôznych krajinách a kontextoch definovaný rôzne. Najčastejšie sa pracuje s ohraničením 0 až 3, respektíve 7 rokov.</w:t>
      </w:r>
    </w:p>
  </w:footnote>
  <w:footnote w:id="40">
    <w:p w14:paraId="5975EE75" w14:textId="68A3A9EB" w:rsidR="00FA29AF" w:rsidRPr="00C8342B" w:rsidRDefault="00FA29AF" w:rsidP="00C8342B">
      <w:pPr>
        <w:pStyle w:val="Textpoznmkypodiarou"/>
        <w:rPr>
          <w:szCs w:val="18"/>
        </w:rPr>
      </w:pPr>
      <w:r w:rsidRPr="00C8342B">
        <w:rPr>
          <w:rStyle w:val="Odkaznapoznmkupodiarou"/>
          <w:szCs w:val="18"/>
        </w:rPr>
        <w:footnoteRef/>
      </w:r>
      <w:r>
        <w:rPr>
          <w:szCs w:val="18"/>
        </w:rPr>
        <w:t xml:space="preserve"> M</w:t>
      </w:r>
      <w:r w:rsidRPr="00C8342B">
        <w:rPr>
          <w:szCs w:val="18"/>
        </w:rPr>
        <w:t>edzi skupinami detí v riziku môžu existovať prieniky a niektoré deti tak môžu byť započítané dvakrát.</w:t>
      </w:r>
    </w:p>
  </w:footnote>
  <w:footnote w:id="41">
    <w:p w14:paraId="1C49DCD8" w14:textId="77777777" w:rsidR="00FA29AF" w:rsidRPr="00C8342B" w:rsidRDefault="00FA29AF" w:rsidP="00C8342B">
      <w:pPr>
        <w:pStyle w:val="Textpoznmkypodiarou"/>
        <w:rPr>
          <w:szCs w:val="18"/>
        </w:rPr>
      </w:pPr>
      <w:r w:rsidRPr="00C8342B">
        <w:rPr>
          <w:rStyle w:val="Odkaznapoznmkupodiarou"/>
          <w:szCs w:val="18"/>
        </w:rPr>
        <w:footnoteRef/>
      </w:r>
      <w:r w:rsidRPr="00C8342B">
        <w:rPr>
          <w:szCs w:val="18"/>
        </w:rPr>
        <w:t xml:space="preserve"> Vlastné prepočty IVP na základe počtu žiakov so zdravotným postihnutím (mentálne postihnutie, autizmus, narušená komunikačná schopnosť, sluchové, zrakové, telesné a viacnásobné postihnutie) v nultom, prípravnom a prvom ročníku (CVTI, 2018). Aj údaje z predošlých rokov potvrdzujú, že veľkosť populačného ročníka sa pohybuje okolo 5 %. Cangár a kol. (2016) </w:t>
      </w:r>
      <w:r w:rsidRPr="00C8342B">
        <w:rPr>
          <w:rFonts w:eastAsia="Arial Narrow" w:cs="Arial Narrow"/>
          <w:bCs/>
          <w:color w:val="000000"/>
          <w:szCs w:val="18"/>
        </w:rPr>
        <w:t xml:space="preserve">odhadujú veľkosť populačného ročníka detí so ZP na </w:t>
      </w:r>
      <w:r w:rsidRPr="00C8342B">
        <w:rPr>
          <w:rFonts w:eastAsia="Arial Narrow" w:cs="Arial Narrow"/>
          <w:color w:val="000000"/>
          <w:szCs w:val="18"/>
        </w:rPr>
        <w:t>2 000 detí. Vychádzajú z počtu detí narodených s vrodenou chybou a predčasne, a u ktorých možno predpokladať, že budú mať trvalé následky poškodenia.</w:t>
      </w:r>
    </w:p>
  </w:footnote>
  <w:footnote w:id="42">
    <w:p w14:paraId="58A9FD58" w14:textId="77777777" w:rsidR="00FA29AF" w:rsidRPr="00C8342B" w:rsidRDefault="00FA29AF" w:rsidP="00C8342B">
      <w:pPr>
        <w:pStyle w:val="Textpoznmkypodiarou"/>
        <w:rPr>
          <w:szCs w:val="18"/>
        </w:rPr>
      </w:pPr>
      <w:r w:rsidRPr="00C8342B">
        <w:rPr>
          <w:rStyle w:val="Odkaznapoznmkupodiarou"/>
          <w:szCs w:val="18"/>
        </w:rPr>
        <w:footnoteRef/>
      </w:r>
      <w:r w:rsidRPr="00C8342B">
        <w:rPr>
          <w:szCs w:val="18"/>
        </w:rPr>
        <w:t xml:space="preserve"> Prepočty ÚSVPRK na základe údajov zo špecializovaného zisťovania EU SILC – MRK. Dostupné na: </w:t>
      </w:r>
      <w:hyperlink r:id="rId5" w:history="1">
        <w:r w:rsidRPr="00C8342B">
          <w:rPr>
            <w:rStyle w:val="Hypertextovprepojenie"/>
            <w:szCs w:val="18"/>
          </w:rPr>
          <w:t>http://www.minv.sk/?zber-dat-od-ministerstiev-a-ostatnych-organov-statnej-a-verejnej-spravy</w:t>
        </w:r>
      </w:hyperlink>
      <w:r w:rsidRPr="00C8342B">
        <w:rPr>
          <w:szCs w:val="18"/>
        </w:rPr>
        <w:t xml:space="preserve"> </w:t>
      </w:r>
    </w:p>
  </w:footnote>
  <w:footnote w:id="43">
    <w:p w14:paraId="0C68FFA0" w14:textId="77777777" w:rsidR="00FA29AF" w:rsidRPr="00C8342B" w:rsidRDefault="00FA29AF" w:rsidP="00C8342B">
      <w:pPr>
        <w:pStyle w:val="Textpoznmkypodiarou"/>
        <w:rPr>
          <w:szCs w:val="18"/>
        </w:rPr>
      </w:pPr>
      <w:r w:rsidRPr="00C8342B">
        <w:rPr>
          <w:rStyle w:val="Odkaznapoznmkupodiarou"/>
          <w:szCs w:val="18"/>
        </w:rPr>
        <w:footnoteRef/>
      </w:r>
      <w:r w:rsidRPr="00C8342B">
        <w:rPr>
          <w:szCs w:val="18"/>
        </w:rPr>
        <w:t xml:space="preserve"> Pozitívne je, že koncom roka 2018 bola na MPSVR SR zriadená medzirezortná pracovná skupina zameraná na problematiku včasnej intervencie. Doterajší reálny dopad pracovnej skupiny na systémové zmeny je však obmedzený. </w:t>
      </w:r>
    </w:p>
  </w:footnote>
  <w:footnote w:id="44">
    <w:p w14:paraId="33234AC2" w14:textId="77777777" w:rsidR="00FA29AF" w:rsidRPr="00C8342B" w:rsidRDefault="00FA29AF" w:rsidP="00C8342B">
      <w:pPr>
        <w:pBdr>
          <w:top w:val="nil"/>
          <w:left w:val="nil"/>
          <w:bottom w:val="nil"/>
          <w:right w:val="nil"/>
          <w:between w:val="nil"/>
        </w:pBdr>
        <w:spacing w:after="0" w:line="240" w:lineRule="auto"/>
        <w:rPr>
          <w:color w:val="000000"/>
          <w:sz w:val="18"/>
          <w:szCs w:val="18"/>
        </w:rPr>
      </w:pPr>
      <w:r w:rsidRPr="00C8342B">
        <w:rPr>
          <w:sz w:val="18"/>
          <w:szCs w:val="18"/>
          <w:vertAlign w:val="superscript"/>
        </w:rPr>
        <w:footnoteRef/>
      </w:r>
      <w:r w:rsidRPr="00C8342B">
        <w:rPr>
          <w:rFonts w:eastAsia="Arial Narrow" w:cs="Arial Narrow"/>
          <w:color w:val="000000"/>
          <w:sz w:val="18"/>
          <w:szCs w:val="18"/>
        </w:rPr>
        <w:t xml:space="preserve"> V rezorte zdravotníctva sú štandardy v procese tvorby (</w:t>
      </w:r>
      <w:hyperlink r:id="rId6" w:history="1">
        <w:r w:rsidRPr="00C8342B">
          <w:rPr>
            <w:rStyle w:val="Hypertextovprepojenie"/>
            <w:rFonts w:eastAsia="Arial Narrow" w:cs="Arial Narrow"/>
            <w:sz w:val="18"/>
            <w:szCs w:val="18"/>
          </w:rPr>
          <w:t>https://www.health.gov.sk/Clanok?standardne-diagnosticke-postupy</w:t>
        </w:r>
      </w:hyperlink>
      <w:r w:rsidRPr="00C8342B">
        <w:rPr>
          <w:rStyle w:val="Hypertextovprepojenie"/>
          <w:rFonts w:eastAsia="Arial Narrow" w:cs="Arial Narrow"/>
          <w:sz w:val="18"/>
          <w:szCs w:val="18"/>
        </w:rPr>
        <w:t>)</w:t>
      </w:r>
      <w:r w:rsidRPr="00C8342B">
        <w:rPr>
          <w:rFonts w:eastAsia="Arial Narrow" w:cs="Arial Narrow"/>
          <w:color w:val="000000"/>
          <w:sz w:val="18"/>
          <w:szCs w:val="18"/>
        </w:rPr>
        <w:t>. V rezorte práce existujú univerzálne štandardy pre všetky typy sociálnych služieb (Zákon č. 448/2008 Z. z. o sociálnych službách, Príloha 2). V rezorte školstva sú štandardy pre školské zariadenia poradenstva a prevencie v procese tvorby v rámci NP Štandardy (</w:t>
      </w:r>
      <w:hyperlink r:id="rId7" w:history="1">
        <w:r w:rsidRPr="00C8342B">
          <w:rPr>
            <w:rStyle w:val="Hypertextovprepojenie"/>
            <w:rFonts w:eastAsia="Arial Narrow" w:cs="Arial Narrow"/>
            <w:sz w:val="18"/>
            <w:szCs w:val="18"/>
          </w:rPr>
          <w:t>https://vudpap.sk/x/projekty/standardy/</w:t>
        </w:r>
      </w:hyperlink>
      <w:r w:rsidRPr="00C8342B">
        <w:rPr>
          <w:rFonts w:eastAsia="Arial Narrow" w:cs="Arial Narrow"/>
          <w:color w:val="000000"/>
          <w:sz w:val="18"/>
          <w:szCs w:val="18"/>
        </w:rPr>
        <w:t xml:space="preserve">). </w:t>
      </w:r>
    </w:p>
  </w:footnote>
  <w:footnote w:id="45">
    <w:p w14:paraId="6BF7BFB4" w14:textId="77777777" w:rsidR="00FA29AF" w:rsidRPr="00C8342B" w:rsidRDefault="00FA29AF" w:rsidP="00C8342B">
      <w:pPr>
        <w:pStyle w:val="Textpoznmkypodiarou"/>
        <w:rPr>
          <w:szCs w:val="18"/>
        </w:rPr>
      </w:pPr>
      <w:r w:rsidRPr="00C8342B">
        <w:rPr>
          <w:rStyle w:val="Odkaznapoznmkupodiarou"/>
          <w:szCs w:val="18"/>
        </w:rPr>
        <w:footnoteRef/>
      </w:r>
      <w:r w:rsidRPr="00C8342B">
        <w:rPr>
          <w:szCs w:val="18"/>
        </w:rPr>
        <w:t xml:space="preserve"> Ako príklad dobrej praxe môže slúžiť portugalský model včasnej intervencie a odporúčania z viacerých odborných publikácií (Pinto, A. I. a kol. (2012), Dobrova-Krol, a kol. (2019), Národná asociácia včasnej intervencie (2016)). </w:t>
      </w:r>
    </w:p>
  </w:footnote>
  <w:footnote w:id="46">
    <w:p w14:paraId="1A824452" w14:textId="7C07BCA0" w:rsidR="00FA29AF" w:rsidRPr="00C8342B" w:rsidRDefault="00FA29AF" w:rsidP="00C8342B">
      <w:pPr>
        <w:pBdr>
          <w:top w:val="nil"/>
          <w:left w:val="nil"/>
          <w:bottom w:val="nil"/>
          <w:right w:val="nil"/>
          <w:between w:val="nil"/>
        </w:pBdr>
        <w:spacing w:after="0" w:line="240" w:lineRule="auto"/>
        <w:rPr>
          <w:rFonts w:eastAsia="Arial Narrow" w:cs="Arial Narrow"/>
          <w:color w:val="000000"/>
          <w:sz w:val="18"/>
          <w:szCs w:val="18"/>
        </w:rPr>
      </w:pPr>
      <w:r w:rsidRPr="00C8342B">
        <w:rPr>
          <w:sz w:val="18"/>
          <w:szCs w:val="18"/>
          <w:vertAlign w:val="superscript"/>
        </w:rPr>
        <w:footnoteRef/>
      </w:r>
      <w:r>
        <w:rPr>
          <w:rStyle w:val="Hypertextovprepojenie"/>
          <w:rFonts w:eastAsia="Arial Narrow" w:cs="Arial Narrow"/>
          <w:color w:val="auto"/>
          <w:sz w:val="18"/>
          <w:szCs w:val="18"/>
          <w:u w:val="none"/>
        </w:rPr>
        <w:t xml:space="preserve"> Viac informácií </w:t>
      </w:r>
      <w:hyperlink r:id="rId8" w:history="1">
        <w:r w:rsidRPr="002D7EAF">
          <w:rPr>
            <w:rStyle w:val="Hypertextovprepojenie"/>
            <w:rFonts w:eastAsia="Arial Narrow" w:cs="Arial Narrow"/>
            <w:sz w:val="18"/>
            <w:szCs w:val="18"/>
          </w:rPr>
          <w:t>tu</w:t>
        </w:r>
      </w:hyperlink>
      <w:r>
        <w:rPr>
          <w:rStyle w:val="Hypertextovprepojenie"/>
          <w:rFonts w:eastAsia="Arial Narrow" w:cs="Arial Narrow"/>
          <w:color w:val="auto"/>
          <w:sz w:val="18"/>
          <w:szCs w:val="18"/>
          <w:u w:val="none"/>
        </w:rPr>
        <w:t>.</w:t>
      </w:r>
      <w:r w:rsidRPr="00C8342B">
        <w:rPr>
          <w:rFonts w:eastAsia="Arial Narrow" w:cs="Arial Narrow"/>
          <w:color w:val="000000"/>
          <w:sz w:val="18"/>
          <w:szCs w:val="18"/>
        </w:rPr>
        <w:t xml:space="preserve"> </w:t>
      </w:r>
    </w:p>
  </w:footnote>
  <w:footnote w:id="47">
    <w:p w14:paraId="1283AEDF" w14:textId="77777777" w:rsidR="00FA29AF" w:rsidRPr="00C8342B" w:rsidRDefault="00FA29AF" w:rsidP="00C8342B">
      <w:pPr>
        <w:pBdr>
          <w:top w:val="nil"/>
          <w:left w:val="nil"/>
          <w:bottom w:val="nil"/>
          <w:right w:val="nil"/>
          <w:between w:val="nil"/>
        </w:pBdr>
        <w:spacing w:after="0" w:line="240" w:lineRule="auto"/>
        <w:rPr>
          <w:rFonts w:eastAsia="Arial Narrow" w:cs="Arial Narrow"/>
          <w:color w:val="000000"/>
          <w:sz w:val="18"/>
          <w:szCs w:val="18"/>
        </w:rPr>
      </w:pPr>
      <w:r w:rsidRPr="00C8342B">
        <w:rPr>
          <w:sz w:val="18"/>
          <w:szCs w:val="18"/>
          <w:vertAlign w:val="superscript"/>
        </w:rPr>
        <w:footnoteRef/>
      </w:r>
      <w:r w:rsidRPr="00C8342B">
        <w:rPr>
          <w:rFonts w:eastAsia="Arial Narrow" w:cs="Arial Narrow"/>
          <w:color w:val="000000"/>
          <w:sz w:val="18"/>
          <w:szCs w:val="18"/>
        </w:rPr>
        <w:t xml:space="preserve"> Zákon č. 448/2008 Z. z. o sociálnych službách</w:t>
      </w:r>
    </w:p>
  </w:footnote>
  <w:footnote w:id="48">
    <w:p w14:paraId="60D85383" w14:textId="77777777" w:rsidR="00FA29AF" w:rsidRPr="00C8342B" w:rsidRDefault="00FA29AF" w:rsidP="00C8342B">
      <w:pPr>
        <w:pStyle w:val="Textpoznmkypodiarou"/>
        <w:rPr>
          <w:szCs w:val="18"/>
        </w:rPr>
      </w:pPr>
      <w:r w:rsidRPr="00C8342B">
        <w:rPr>
          <w:rStyle w:val="Odkaznapoznmkupodiarou"/>
          <w:szCs w:val="18"/>
        </w:rPr>
        <w:footnoteRef/>
      </w:r>
      <w:r w:rsidRPr="00C8342B">
        <w:rPr>
          <w:szCs w:val="18"/>
        </w:rPr>
        <w:t xml:space="preserve"> Vypočítané ako podiel klientov na celkovej populácii detí so ZP vo veku 0-7 rokov. Počíta sa s veľkosťou populačného ročníka 3 044 detí so ZP. </w:t>
      </w:r>
    </w:p>
  </w:footnote>
  <w:footnote w:id="49">
    <w:p w14:paraId="6608B2C3" w14:textId="77777777" w:rsidR="00FA29AF" w:rsidRPr="00155D56" w:rsidRDefault="00FA29AF" w:rsidP="00C8342B">
      <w:pPr>
        <w:pStyle w:val="Textpoznmkypodiarou"/>
        <w:rPr>
          <w:szCs w:val="18"/>
        </w:rPr>
      </w:pPr>
      <w:r w:rsidRPr="00C8342B">
        <w:rPr>
          <w:rStyle w:val="Odkaznapoznmkupodiarou"/>
          <w:szCs w:val="18"/>
        </w:rPr>
        <w:footnoteRef/>
      </w:r>
      <w:r w:rsidRPr="00C8342B">
        <w:rPr>
          <w:szCs w:val="18"/>
        </w:rPr>
        <w:t xml:space="preserve"> </w:t>
      </w:r>
      <w:r w:rsidRPr="00C8342B">
        <w:rPr>
          <w:rFonts w:eastAsia="Arial Narrow" w:cs="Arial Narrow"/>
          <w:color w:val="000000"/>
          <w:szCs w:val="18"/>
        </w:rPr>
        <w:t>Všetci neverejní poskytovatelia mali formu neziskovej organizácie.</w:t>
      </w:r>
    </w:p>
  </w:footnote>
  <w:footnote w:id="50">
    <w:p w14:paraId="76BECB70" w14:textId="77777777" w:rsidR="00FA29AF" w:rsidRPr="00C8342B" w:rsidRDefault="00FA29AF" w:rsidP="00C8342B">
      <w:pPr>
        <w:pStyle w:val="Textpoznmkypodiarou"/>
        <w:rPr>
          <w:szCs w:val="18"/>
        </w:rPr>
      </w:pPr>
      <w:r w:rsidRPr="00C8342B">
        <w:rPr>
          <w:rStyle w:val="Odkaznapoznmkupodiarou"/>
          <w:szCs w:val="18"/>
        </w:rPr>
        <w:footnoteRef/>
      </w:r>
      <w:r w:rsidRPr="00C8342B">
        <w:rPr>
          <w:szCs w:val="18"/>
        </w:rPr>
        <w:t xml:space="preserve"> Zákon č. 448/2008 Z. z. o sociálnych službách, § 17. Medzi obslužné činnosti patria ubytovanie, stravovanie, upratovanie, pranie, žehlenie, údržba bielizne a šatstva a poskytovanie vecných plnení spojených s poskytovaním ambulantnej služby v spoločných priestoroch.</w:t>
      </w:r>
    </w:p>
  </w:footnote>
  <w:footnote w:id="51">
    <w:p w14:paraId="108F7769" w14:textId="77777777" w:rsidR="00FA29AF" w:rsidRPr="00C8342B" w:rsidRDefault="00FA29AF" w:rsidP="00C8342B">
      <w:pPr>
        <w:pStyle w:val="Textpoznmkypodiarou"/>
        <w:rPr>
          <w:szCs w:val="18"/>
        </w:rPr>
      </w:pPr>
      <w:r w:rsidRPr="00C8342B">
        <w:rPr>
          <w:rStyle w:val="Odkaznapoznmkupodiarou"/>
          <w:szCs w:val="18"/>
        </w:rPr>
        <w:footnoteRef/>
      </w:r>
      <w:r w:rsidRPr="00C8342B">
        <w:rPr>
          <w:szCs w:val="18"/>
        </w:rPr>
        <w:t xml:space="preserve"> Zákon č. 280/2019 Z. z., ktorým sa novelizoval zákon č. 480/2008 Z z. o sociálnych službách</w:t>
      </w:r>
    </w:p>
  </w:footnote>
  <w:footnote w:id="52">
    <w:p w14:paraId="6AE4A406" w14:textId="5033CD22" w:rsidR="00FA29AF" w:rsidRPr="00C8342B" w:rsidRDefault="00FA29AF" w:rsidP="00C8342B">
      <w:pPr>
        <w:pBdr>
          <w:top w:val="nil"/>
          <w:left w:val="nil"/>
          <w:bottom w:val="nil"/>
          <w:right w:val="nil"/>
          <w:between w:val="nil"/>
        </w:pBdr>
        <w:spacing w:after="0" w:line="240" w:lineRule="auto"/>
        <w:rPr>
          <w:rFonts w:eastAsia="Arial Narrow" w:cs="Arial Narrow"/>
          <w:color w:val="000000"/>
          <w:sz w:val="18"/>
          <w:szCs w:val="18"/>
        </w:rPr>
      </w:pPr>
      <w:r w:rsidRPr="00C8342B">
        <w:rPr>
          <w:sz w:val="18"/>
          <w:szCs w:val="18"/>
          <w:vertAlign w:val="superscript"/>
        </w:rPr>
        <w:footnoteRef/>
      </w:r>
      <w:r w:rsidRPr="00C8342B">
        <w:rPr>
          <w:rFonts w:eastAsia="Arial Narrow" w:cs="Arial Narrow"/>
          <w:color w:val="000000"/>
          <w:sz w:val="18"/>
          <w:szCs w:val="18"/>
        </w:rPr>
        <w:t xml:space="preserve"> APPVI (2017). Náklady poskytovateľa sociálnej slu</w:t>
      </w:r>
      <w:r>
        <w:rPr>
          <w:rFonts w:eastAsia="Arial Narrow" w:cs="Arial Narrow"/>
          <w:color w:val="000000"/>
          <w:sz w:val="18"/>
          <w:szCs w:val="18"/>
        </w:rPr>
        <w:t>žby včasnej intervencie na rok.</w:t>
      </w:r>
    </w:p>
  </w:footnote>
  <w:footnote w:id="53">
    <w:p w14:paraId="607572D0" w14:textId="77777777" w:rsidR="00FA29AF" w:rsidRPr="00C8342B" w:rsidRDefault="00FA29AF" w:rsidP="00C8342B">
      <w:pPr>
        <w:pStyle w:val="Textpoznmkypodiarou"/>
        <w:rPr>
          <w:szCs w:val="18"/>
        </w:rPr>
      </w:pPr>
      <w:r w:rsidRPr="00C8342B">
        <w:rPr>
          <w:rStyle w:val="Odkaznapoznmkupodiarou"/>
          <w:szCs w:val="18"/>
        </w:rPr>
        <w:footnoteRef/>
      </w:r>
      <w:r w:rsidRPr="00C8342B">
        <w:rPr>
          <w:szCs w:val="18"/>
        </w:rPr>
        <w:t xml:space="preserve"> Zákon č. 448/2008 Z. z. o sociálnych službách, Príloha 2</w:t>
      </w:r>
    </w:p>
  </w:footnote>
  <w:footnote w:id="54">
    <w:p w14:paraId="14C2807D" w14:textId="77777777" w:rsidR="00FA29AF" w:rsidRPr="00C8342B" w:rsidRDefault="00FA29AF" w:rsidP="00C8342B">
      <w:pPr>
        <w:pStyle w:val="Textpoznmkypodiarou"/>
        <w:rPr>
          <w:szCs w:val="18"/>
        </w:rPr>
      </w:pPr>
      <w:r w:rsidRPr="00C8342B">
        <w:rPr>
          <w:rStyle w:val="Odkaznapoznmkupodiarou"/>
          <w:szCs w:val="18"/>
        </w:rPr>
        <w:footnoteRef/>
      </w:r>
      <w:r w:rsidRPr="00C8342B">
        <w:rPr>
          <w:szCs w:val="18"/>
        </w:rPr>
        <w:t xml:space="preserve"> Zákon č. 448/2008 Z. z., Príloha 2. Štandardy sú v súčasnosti revidované. Revízia štandardov sa uskutočňuje ako jedna z aktivít Národného projektu Kvalita sociálnych služieb. Revidovaná verzia štandardov by mala byť dostupná v roku 2022.</w:t>
      </w:r>
    </w:p>
  </w:footnote>
  <w:footnote w:id="55">
    <w:p w14:paraId="04C7F69C" w14:textId="77777777" w:rsidR="00FA29AF" w:rsidRPr="00C8342B" w:rsidRDefault="00FA29AF" w:rsidP="00C8342B">
      <w:pPr>
        <w:pBdr>
          <w:top w:val="nil"/>
          <w:left w:val="nil"/>
          <w:bottom w:val="nil"/>
          <w:right w:val="nil"/>
          <w:between w:val="nil"/>
        </w:pBdr>
        <w:spacing w:after="0" w:line="240" w:lineRule="auto"/>
        <w:rPr>
          <w:rFonts w:eastAsia="Arial Narrow" w:cs="Arial Narrow"/>
          <w:color w:val="000000"/>
          <w:sz w:val="18"/>
          <w:szCs w:val="18"/>
        </w:rPr>
      </w:pPr>
      <w:r w:rsidRPr="00C8342B">
        <w:rPr>
          <w:sz w:val="18"/>
          <w:szCs w:val="18"/>
          <w:vertAlign w:val="superscript"/>
        </w:rPr>
        <w:footnoteRef/>
      </w:r>
      <w:r w:rsidRPr="00C8342B">
        <w:rPr>
          <w:rFonts w:eastAsia="Arial Narrow" w:cs="Arial Narrow"/>
          <w:color w:val="000000"/>
          <w:sz w:val="18"/>
          <w:szCs w:val="18"/>
        </w:rPr>
        <w:t xml:space="preserve"> Zákon č. 245/2008 Z. z. o výchove a vzdelávaní (školský zákon), § 130 a vyhláška č. 325/2008 Z. z. o školských zariadeniach výchovného poradenstva a prevencie, § 4 ods. 5</w:t>
      </w:r>
    </w:p>
  </w:footnote>
  <w:footnote w:id="56">
    <w:p w14:paraId="064C5ED2" w14:textId="77777777" w:rsidR="00FA29AF" w:rsidRPr="00C8342B" w:rsidRDefault="00FA29AF" w:rsidP="00C8342B">
      <w:pPr>
        <w:pBdr>
          <w:top w:val="nil"/>
          <w:left w:val="nil"/>
          <w:bottom w:val="nil"/>
          <w:right w:val="nil"/>
          <w:between w:val="nil"/>
        </w:pBdr>
        <w:spacing w:after="0" w:line="240" w:lineRule="auto"/>
        <w:rPr>
          <w:rFonts w:eastAsia="Arial Narrow" w:cs="Arial Narrow"/>
          <w:color w:val="000000"/>
          <w:sz w:val="18"/>
          <w:szCs w:val="18"/>
        </w:rPr>
      </w:pPr>
      <w:r w:rsidRPr="00C8342B">
        <w:rPr>
          <w:sz w:val="18"/>
          <w:szCs w:val="18"/>
          <w:vertAlign w:val="superscript"/>
        </w:rPr>
        <w:footnoteRef/>
      </w:r>
      <w:r w:rsidRPr="00C8342B">
        <w:rPr>
          <w:rFonts w:eastAsia="Arial Narrow" w:cs="Arial Narrow"/>
          <w:color w:val="000000"/>
          <w:sz w:val="18"/>
          <w:szCs w:val="18"/>
        </w:rPr>
        <w:t xml:space="preserve"> Naposledy bola Koncepcia špeciálnopedagogického poradenstva vytvorená v roku 2008, pričom jedným z opatrení koncepcie bolo zabezpečiť skvalitnenie ranej starostlivosti. Dostupné na: </w:t>
      </w:r>
      <w:hyperlink r:id="rId9" w:history="1">
        <w:r w:rsidRPr="00C8342B">
          <w:rPr>
            <w:rStyle w:val="Hypertextovprepojenie"/>
            <w:rFonts w:eastAsia="Arial Narrow" w:cs="Arial Narrow"/>
            <w:sz w:val="18"/>
            <w:szCs w:val="18"/>
          </w:rPr>
          <w:t>https://www.minedu.sk/data/files/198_koncepcia_spp.pdf</w:t>
        </w:r>
      </w:hyperlink>
      <w:r w:rsidRPr="00C8342B">
        <w:rPr>
          <w:rFonts w:eastAsia="Arial Narrow" w:cs="Arial Narrow"/>
          <w:color w:val="000000"/>
          <w:sz w:val="18"/>
          <w:szCs w:val="18"/>
        </w:rPr>
        <w:t xml:space="preserve"> </w:t>
      </w:r>
    </w:p>
  </w:footnote>
  <w:footnote w:id="57">
    <w:p w14:paraId="3ADE4ED8" w14:textId="77777777" w:rsidR="00FA29AF" w:rsidRPr="00C8342B" w:rsidRDefault="00FA29AF" w:rsidP="00C8342B">
      <w:pPr>
        <w:pBdr>
          <w:top w:val="nil"/>
          <w:left w:val="nil"/>
          <w:bottom w:val="nil"/>
          <w:right w:val="nil"/>
          <w:between w:val="nil"/>
        </w:pBdr>
        <w:spacing w:after="0" w:line="240" w:lineRule="auto"/>
        <w:rPr>
          <w:rFonts w:eastAsia="Arial Narrow" w:cs="Arial Narrow"/>
          <w:color w:val="000000"/>
          <w:sz w:val="18"/>
          <w:szCs w:val="18"/>
        </w:rPr>
      </w:pPr>
      <w:r w:rsidRPr="00C8342B">
        <w:rPr>
          <w:sz w:val="18"/>
          <w:szCs w:val="18"/>
          <w:vertAlign w:val="superscript"/>
        </w:rPr>
        <w:footnoteRef/>
      </w:r>
      <w:r w:rsidRPr="00C8342B">
        <w:rPr>
          <w:rFonts w:eastAsia="Arial Narrow" w:cs="Arial Narrow"/>
          <w:color w:val="000000"/>
          <w:sz w:val="18"/>
          <w:szCs w:val="18"/>
        </w:rPr>
        <w:t xml:space="preserve"> V roku 2018 iba tri z 83 existujúcich štátnych poradní neboli súčasťou špeciálnych základných škôl, mali vlastnú právnu subjektivitu a samostatne vykazovali svoje príjmy a výdavky. Ostatných 80 poradní vykazovalo svoje výdavky spoločne s výdavkami špeciálnych základných škôl.</w:t>
      </w:r>
    </w:p>
  </w:footnote>
  <w:footnote w:id="58">
    <w:p w14:paraId="7D8382EA" w14:textId="046DEB42" w:rsidR="00FA29AF" w:rsidRPr="00C8342B" w:rsidRDefault="00FA29AF" w:rsidP="00C8342B">
      <w:pPr>
        <w:pStyle w:val="Textpoznmkypodiarou"/>
        <w:rPr>
          <w:szCs w:val="18"/>
        </w:rPr>
      </w:pPr>
      <w:r w:rsidRPr="00C8342B">
        <w:rPr>
          <w:rStyle w:val="Odkaznapoznmkupodiarou"/>
          <w:szCs w:val="18"/>
        </w:rPr>
        <w:footnoteRef/>
      </w:r>
      <w:r w:rsidRPr="00C8342B">
        <w:rPr>
          <w:szCs w:val="18"/>
        </w:rPr>
        <w:t xml:space="preserve"> Na centrálnej úrovni sa v rámci Súhrnného výkazu o práci v školstve (MŠVVŠ SR) 1-04 zbierajú iba údaje o mzdových prostriedkov a ostatných mzdových nákladoch. Jednotlivé obce, ktoré neštátnym poradniam poskytujú zdroje z podielových daní, si údaje o výdavkoch zbierajú samostatne v nimi zvolenej štruktúre. </w:t>
      </w:r>
    </w:p>
  </w:footnote>
  <w:footnote w:id="59">
    <w:p w14:paraId="39425208" w14:textId="77777777" w:rsidR="00FA29AF" w:rsidRPr="00C8342B" w:rsidRDefault="00FA29AF" w:rsidP="00C8342B">
      <w:pPr>
        <w:pBdr>
          <w:top w:val="nil"/>
          <w:left w:val="nil"/>
          <w:bottom w:val="nil"/>
          <w:right w:val="nil"/>
          <w:between w:val="nil"/>
        </w:pBdr>
        <w:spacing w:after="0" w:line="240" w:lineRule="auto"/>
        <w:rPr>
          <w:rFonts w:eastAsia="Arial Narrow" w:cs="Arial Narrow"/>
          <w:color w:val="000000"/>
          <w:sz w:val="18"/>
          <w:szCs w:val="18"/>
        </w:rPr>
      </w:pPr>
      <w:r w:rsidRPr="00C8342B">
        <w:rPr>
          <w:sz w:val="18"/>
          <w:szCs w:val="18"/>
          <w:vertAlign w:val="superscript"/>
        </w:rPr>
        <w:footnoteRef/>
      </w:r>
      <w:r w:rsidRPr="00C8342B">
        <w:rPr>
          <w:rFonts w:eastAsia="Arial Narrow" w:cs="Arial Narrow"/>
          <w:color w:val="000000"/>
          <w:sz w:val="18"/>
          <w:szCs w:val="18"/>
        </w:rPr>
        <w:t xml:space="preserve"> V pravidelnom zbere údajov nie sú dostupné údaje o počte unikátnych klientov vo veku 0-3 rokov, pretože sa zbierajú iba údaje o celkovom počte klientov, ktorým bola poskytnutá starostlivosť. V roku 2018/19 bola v CŠPP poskytnutá starostlivosť 2 817 deťom so ZZ vo veku 0-3 roky. Dostupné na: </w:t>
      </w:r>
      <w:hyperlink r:id="rId10" w:history="1">
        <w:r w:rsidRPr="00C8342B">
          <w:rPr>
            <w:rStyle w:val="Hypertextovprepojenie"/>
            <w:rFonts w:eastAsia="Arial Narrow" w:cs="Arial Narrow"/>
            <w:sz w:val="18"/>
            <w:szCs w:val="18"/>
          </w:rPr>
          <w:t>https://www.minedu.sk/data/files/9126_skol_5-01_2019.pdf</w:t>
        </w:r>
      </w:hyperlink>
      <w:r w:rsidRPr="00C8342B">
        <w:rPr>
          <w:rFonts w:eastAsia="Arial Narrow" w:cs="Arial Narrow"/>
          <w:color w:val="000000"/>
          <w:sz w:val="18"/>
          <w:szCs w:val="18"/>
        </w:rPr>
        <w:t xml:space="preserve"> </w:t>
      </w:r>
    </w:p>
  </w:footnote>
  <w:footnote w:id="60">
    <w:p w14:paraId="4051BCAC" w14:textId="5FEC5A9D" w:rsidR="00FA29AF" w:rsidRPr="00C8342B" w:rsidRDefault="00FA29AF" w:rsidP="00C8342B">
      <w:pPr>
        <w:pStyle w:val="Textpoznmkypodiarou"/>
        <w:rPr>
          <w:szCs w:val="18"/>
        </w:rPr>
      </w:pPr>
      <w:r w:rsidRPr="00C8342B">
        <w:rPr>
          <w:rStyle w:val="Odkaznapoznmkupodiarou"/>
          <w:szCs w:val="18"/>
        </w:rPr>
        <w:footnoteRef/>
      </w:r>
      <w:r w:rsidRPr="00C8342B">
        <w:rPr>
          <w:szCs w:val="18"/>
        </w:rPr>
        <w:t xml:space="preserve"> </w:t>
      </w:r>
      <w:r w:rsidRPr="00C8342B">
        <w:rPr>
          <w:rFonts w:eastAsia="Arial Narrow" w:cs="Arial Narrow"/>
          <w:color w:val="000000"/>
          <w:szCs w:val="18"/>
        </w:rPr>
        <w:t>Do prieskumu sa zapojilo 125 zo 151 existujúcich CŠPP. V rámci úsekov ranej starostlivosti boli služby poskytované 632 klientom vo veku 0-3 rokov. Okrem toho bola raná starostlivosť poskytnutá ďalším 635 deťom vo veku 0-3 rokov poradňami, ktoré úsek ranej starostlivosti zriadený nemali.</w:t>
      </w:r>
      <w:r>
        <w:rPr>
          <w:rFonts w:eastAsia="Arial Narrow" w:cs="Arial Narrow"/>
          <w:color w:val="000000"/>
          <w:szCs w:val="18"/>
        </w:rPr>
        <w:t xml:space="preserve"> </w:t>
      </w:r>
    </w:p>
  </w:footnote>
  <w:footnote w:id="61">
    <w:p w14:paraId="1ABFDC11" w14:textId="77777777" w:rsidR="00FA29AF" w:rsidRPr="00C8342B" w:rsidRDefault="00FA29AF" w:rsidP="00C8342B">
      <w:pPr>
        <w:pBdr>
          <w:top w:val="nil"/>
          <w:left w:val="nil"/>
          <w:bottom w:val="nil"/>
          <w:right w:val="nil"/>
          <w:between w:val="nil"/>
        </w:pBdr>
        <w:spacing w:after="0" w:line="240" w:lineRule="auto"/>
        <w:rPr>
          <w:rFonts w:eastAsia="Arial Narrow" w:cs="Arial Narrow"/>
          <w:color w:val="000000"/>
          <w:sz w:val="18"/>
          <w:szCs w:val="18"/>
        </w:rPr>
      </w:pPr>
      <w:r w:rsidRPr="00C8342B">
        <w:rPr>
          <w:sz w:val="18"/>
          <w:szCs w:val="18"/>
          <w:vertAlign w:val="superscript"/>
        </w:rPr>
        <w:footnoteRef/>
      </w:r>
      <w:r w:rsidRPr="00C8342B">
        <w:rPr>
          <w:rFonts w:eastAsia="Arial Narrow" w:cs="Arial Narrow"/>
          <w:color w:val="000000"/>
          <w:sz w:val="18"/>
          <w:szCs w:val="18"/>
        </w:rPr>
        <w:t xml:space="preserve"> Eduzber (2018).</w:t>
      </w:r>
    </w:p>
  </w:footnote>
  <w:footnote w:id="62">
    <w:p w14:paraId="4D6A39E3" w14:textId="77777777" w:rsidR="00FA29AF" w:rsidRPr="00C8342B" w:rsidRDefault="00FA29AF" w:rsidP="00C8342B">
      <w:pPr>
        <w:pBdr>
          <w:top w:val="nil"/>
          <w:left w:val="nil"/>
          <w:bottom w:val="nil"/>
          <w:right w:val="nil"/>
          <w:between w:val="nil"/>
        </w:pBdr>
        <w:spacing w:after="0" w:line="240" w:lineRule="auto"/>
        <w:rPr>
          <w:rFonts w:eastAsia="Arial Narrow" w:cs="Arial Narrow"/>
          <w:color w:val="000000"/>
          <w:sz w:val="18"/>
          <w:szCs w:val="18"/>
        </w:rPr>
      </w:pPr>
      <w:r w:rsidRPr="00C8342B">
        <w:rPr>
          <w:sz w:val="18"/>
          <w:szCs w:val="18"/>
          <w:vertAlign w:val="superscript"/>
        </w:rPr>
        <w:footnoteRef/>
      </w:r>
      <w:r w:rsidRPr="00C8342B">
        <w:rPr>
          <w:rFonts w:eastAsia="Arial Narrow" w:cs="Arial Narrow"/>
          <w:color w:val="000000"/>
          <w:sz w:val="18"/>
          <w:szCs w:val="18"/>
        </w:rPr>
        <w:t xml:space="preserve"> Nariadenie vlády č. 630/2008 Z. z., ktorým sa ustanovujú podrobnosti rozpisu finančných prostriedkov zo štátneho rozpočtu pre školy a školské zariadenia</w:t>
      </w:r>
    </w:p>
  </w:footnote>
  <w:footnote w:id="63">
    <w:p w14:paraId="7F3B9EC4" w14:textId="77777777" w:rsidR="00FA29AF" w:rsidRPr="00C8342B" w:rsidRDefault="00FA29AF" w:rsidP="00C8342B">
      <w:pPr>
        <w:pBdr>
          <w:top w:val="nil"/>
          <w:left w:val="nil"/>
          <w:bottom w:val="nil"/>
          <w:right w:val="nil"/>
          <w:between w:val="nil"/>
        </w:pBdr>
        <w:spacing w:after="0" w:line="240" w:lineRule="auto"/>
        <w:rPr>
          <w:rFonts w:eastAsia="Arial Narrow" w:cs="Arial Narrow"/>
          <w:color w:val="000000"/>
          <w:sz w:val="18"/>
          <w:szCs w:val="18"/>
        </w:rPr>
      </w:pPr>
      <w:r w:rsidRPr="00C8342B">
        <w:rPr>
          <w:sz w:val="18"/>
          <w:szCs w:val="18"/>
          <w:vertAlign w:val="superscript"/>
        </w:rPr>
        <w:footnoteRef/>
      </w:r>
      <w:r w:rsidRPr="00C8342B">
        <w:rPr>
          <w:rFonts w:eastAsia="Arial Narrow" w:cs="Arial Narrow"/>
          <w:color w:val="000000"/>
          <w:sz w:val="18"/>
          <w:szCs w:val="18"/>
        </w:rPr>
        <w:t xml:space="preserve"> Dostupné na: </w:t>
      </w:r>
      <w:hyperlink r:id="rId11" w:history="1">
        <w:r w:rsidRPr="00C8342B">
          <w:rPr>
            <w:rStyle w:val="Hypertextovprepojenie"/>
            <w:rFonts w:eastAsia="Arial Narrow" w:cs="Arial Narrow"/>
            <w:sz w:val="18"/>
            <w:szCs w:val="18"/>
          </w:rPr>
          <w:t>https://vudpap.sk/x/projekty/standardy/</w:t>
        </w:r>
      </w:hyperlink>
      <w:r w:rsidRPr="00C8342B">
        <w:rPr>
          <w:rFonts w:eastAsia="Arial Narrow" w:cs="Arial Narrow"/>
          <w:color w:val="000000"/>
          <w:sz w:val="18"/>
          <w:szCs w:val="18"/>
        </w:rPr>
        <w:t xml:space="preserve"> </w:t>
      </w:r>
    </w:p>
  </w:footnote>
  <w:footnote w:id="64">
    <w:p w14:paraId="2D46B539" w14:textId="77777777" w:rsidR="00FA29AF" w:rsidRPr="00C8342B" w:rsidRDefault="00FA29AF" w:rsidP="00C8342B">
      <w:pPr>
        <w:pStyle w:val="Bezriadkovania"/>
        <w:jc w:val="both"/>
        <w:rPr>
          <w:rFonts w:ascii="Arial Narrow" w:hAnsi="Arial Narrow"/>
          <w:sz w:val="18"/>
          <w:szCs w:val="18"/>
          <w:lang w:eastAsia="sk-SK"/>
        </w:rPr>
      </w:pPr>
      <w:r w:rsidRPr="00C8342B">
        <w:rPr>
          <w:rStyle w:val="Odkaznapoznmkupodiarou"/>
          <w:rFonts w:ascii="Arial Narrow" w:hAnsi="Arial Narrow"/>
          <w:sz w:val="18"/>
          <w:szCs w:val="18"/>
        </w:rPr>
        <w:footnoteRef/>
      </w:r>
      <w:r w:rsidRPr="00C8342B">
        <w:rPr>
          <w:rFonts w:ascii="Arial Narrow" w:hAnsi="Arial Narrow"/>
          <w:sz w:val="18"/>
          <w:szCs w:val="18"/>
        </w:rPr>
        <w:t xml:space="preserve"> </w:t>
      </w:r>
      <w:r w:rsidRPr="00C8342B">
        <w:rPr>
          <w:rFonts w:ascii="Arial Narrow" w:hAnsi="Arial Narrow"/>
          <w:sz w:val="18"/>
          <w:szCs w:val="18"/>
          <w:lang w:eastAsia="sk-SK"/>
        </w:rPr>
        <w:t>Úseky ranej starostlivosti sa síce môžu na Slovensku zriaďovať v rámci Centier špeciálno-pedagogického poradenstva, tie však poskytujú starostlivosť iba deťom so zdravotným znevýhodnením, nie deťom zo sociálne znevýhodneného prostredia.</w:t>
      </w:r>
    </w:p>
  </w:footnote>
  <w:footnote w:id="65">
    <w:p w14:paraId="0E868521" w14:textId="2D54FEA5" w:rsidR="00FA29AF" w:rsidRPr="003A435E" w:rsidRDefault="00FA29AF" w:rsidP="00C459B7">
      <w:pPr>
        <w:pStyle w:val="Textpoznmkypodiarou"/>
        <w:rPr>
          <w:szCs w:val="18"/>
        </w:rPr>
      </w:pPr>
      <w:r w:rsidRPr="003A435E">
        <w:rPr>
          <w:rStyle w:val="Odkaznapoznmkupodiarou"/>
          <w:szCs w:val="18"/>
        </w:rPr>
        <w:footnoteRef/>
      </w:r>
      <w:r w:rsidRPr="003A435E">
        <w:rPr>
          <w:szCs w:val="18"/>
        </w:rPr>
        <w:t xml:space="preserve"> Navštevovanie špeciálneho zariadenia je spojené s nízkou akademickou a odbornou kvalifikáciou, so zamestnaním v chránených dielňach</w:t>
      </w:r>
      <w:r>
        <w:rPr>
          <w:szCs w:val="18"/>
        </w:rPr>
        <w:t xml:space="preserve"> (podkapitola </w:t>
      </w:r>
      <w:r>
        <w:rPr>
          <w:szCs w:val="18"/>
        </w:rPr>
        <w:fldChar w:fldCharType="begin"/>
      </w:r>
      <w:r>
        <w:rPr>
          <w:szCs w:val="18"/>
        </w:rPr>
        <w:instrText xml:space="preserve"> REF _Ref32849605 \r \h </w:instrText>
      </w:r>
      <w:r>
        <w:rPr>
          <w:szCs w:val="18"/>
        </w:rPr>
      </w:r>
      <w:r>
        <w:rPr>
          <w:szCs w:val="18"/>
        </w:rPr>
        <w:fldChar w:fldCharType="separate"/>
      </w:r>
      <w:r>
        <w:rPr>
          <w:szCs w:val="18"/>
        </w:rPr>
        <w:t>7.3</w:t>
      </w:r>
      <w:r>
        <w:rPr>
          <w:szCs w:val="18"/>
        </w:rPr>
        <w:fldChar w:fldCharType="end"/>
      </w:r>
      <w:r>
        <w:rPr>
          <w:szCs w:val="18"/>
        </w:rPr>
        <w:t>)</w:t>
      </w:r>
      <w:r w:rsidRPr="003A435E">
        <w:rPr>
          <w:szCs w:val="18"/>
        </w:rPr>
        <w:t xml:space="preserve">, s finančnou závislosťou, nižším počtom príležitostí na nezávislý život a slabými sociálnymi kontaktmi po ukončení vzdelávania. </w:t>
      </w:r>
    </w:p>
  </w:footnote>
  <w:footnote w:id="66">
    <w:p w14:paraId="59ADE8D3" w14:textId="29C884C2" w:rsidR="00FA29AF" w:rsidRPr="003A435E" w:rsidRDefault="00FA29AF" w:rsidP="00C459B7">
      <w:pPr>
        <w:pStyle w:val="Textpoznmkypodiarou"/>
        <w:rPr>
          <w:szCs w:val="18"/>
        </w:rPr>
      </w:pPr>
      <w:r w:rsidRPr="003A435E">
        <w:rPr>
          <w:rStyle w:val="Odkaznapoznmkupodiarou"/>
          <w:szCs w:val="18"/>
        </w:rPr>
        <w:footnoteRef/>
      </w:r>
      <w:r w:rsidRPr="003A435E">
        <w:rPr>
          <w:szCs w:val="18"/>
        </w:rPr>
        <w:t xml:space="preserve"> Dohovor OSN o právach osôb so zdravotným postihnutím</w:t>
      </w:r>
    </w:p>
  </w:footnote>
  <w:footnote w:id="67">
    <w:p w14:paraId="7FC9DC70" w14:textId="3445BA99" w:rsidR="00FA29AF" w:rsidRPr="003A435E" w:rsidRDefault="00FA29AF" w:rsidP="00C459B7">
      <w:pPr>
        <w:pStyle w:val="Textpoznmkypodiarou"/>
        <w:jc w:val="left"/>
        <w:rPr>
          <w:szCs w:val="18"/>
        </w:rPr>
      </w:pPr>
      <w:r w:rsidRPr="003A435E">
        <w:rPr>
          <w:rStyle w:val="Odkaznapoznmkupodiarou"/>
          <w:szCs w:val="18"/>
        </w:rPr>
        <w:footnoteRef/>
      </w:r>
      <w:r w:rsidRPr="003A435E">
        <w:rPr>
          <w:szCs w:val="18"/>
        </w:rPr>
        <w:t xml:space="preserve"> </w:t>
      </w:r>
      <w:r>
        <w:rPr>
          <w:szCs w:val="18"/>
        </w:rPr>
        <w:t>Učiace sa Slovensko, Stratégia pre integráciu Rómov do roku 2020, Národný program rozvoja životných podmienok osôb so zdravotným postihnutím (2014-2020)</w:t>
      </w:r>
    </w:p>
  </w:footnote>
  <w:footnote w:id="68">
    <w:p w14:paraId="7E1AA334" w14:textId="721441D1" w:rsidR="00FA29AF" w:rsidRPr="003A435E" w:rsidRDefault="00FA29AF" w:rsidP="00C459B7">
      <w:pPr>
        <w:pStyle w:val="Textpoznmkypodiarou"/>
        <w:rPr>
          <w:szCs w:val="18"/>
        </w:rPr>
      </w:pPr>
      <w:r w:rsidRPr="003A435E">
        <w:rPr>
          <w:rStyle w:val="Odkaznapoznmkupodiarou"/>
          <w:szCs w:val="18"/>
        </w:rPr>
        <w:footnoteRef/>
      </w:r>
      <w:r w:rsidRPr="003A435E">
        <w:rPr>
          <w:szCs w:val="18"/>
        </w:rPr>
        <w:t xml:space="preserve"> </w:t>
      </w:r>
      <w:r>
        <w:rPr>
          <w:szCs w:val="18"/>
        </w:rPr>
        <w:t>Štátny vzdelávací program pre predprimárne vzdelávanie v materských školách</w:t>
      </w:r>
    </w:p>
  </w:footnote>
  <w:footnote w:id="69">
    <w:p w14:paraId="5EF3FF18" w14:textId="176AF166" w:rsidR="00FA29AF" w:rsidRPr="003A435E" w:rsidRDefault="00FA29AF" w:rsidP="00C459B7">
      <w:pPr>
        <w:pStyle w:val="Textpoznmkypodiarou"/>
        <w:rPr>
          <w:szCs w:val="18"/>
        </w:rPr>
      </w:pPr>
      <w:r w:rsidRPr="003A435E">
        <w:rPr>
          <w:rStyle w:val="Odkaznapoznmkupodiarou"/>
          <w:szCs w:val="18"/>
        </w:rPr>
        <w:footnoteRef/>
      </w:r>
      <w:r>
        <w:rPr>
          <w:szCs w:val="18"/>
        </w:rPr>
        <w:t xml:space="preserve"> MRK, MRK 2, PRINED, ŠOV</w:t>
      </w:r>
    </w:p>
  </w:footnote>
  <w:footnote w:id="70">
    <w:p w14:paraId="397B93AD" w14:textId="77777777" w:rsidR="00FA29AF" w:rsidRDefault="00FA29AF" w:rsidP="00055A44">
      <w:pPr>
        <w:pStyle w:val="Textpoznmkypodiarou"/>
      </w:pPr>
      <w:r>
        <w:rPr>
          <w:rStyle w:val="Odkaznapoznmkupodiarou"/>
        </w:rPr>
        <w:footnoteRef/>
      </w:r>
      <w:r>
        <w:t xml:space="preserve"> Zákon č. 245/2008 Z. z. o výchove a vzdelávaní, § 2 písm. s). Inklúzia a integrácia predstavujú dva kvalitatívne odlišné pojmy. Kým integrácia predstavuje fyzické začlenenie osôb so zdravotným znevýhodnením</w:t>
      </w:r>
      <w:r w:rsidRPr="000303D1">
        <w:t xml:space="preserve"> do existujúcich b</w:t>
      </w:r>
      <w:r>
        <w:t>ežných vzdelávacích inštitúcií a prispôsobenie sa týchto osôb existujúcim štandardom a pravidlám, inklúzia predstavuje proces systémových zmien, ktorých cieľom je odstránenie bariér a prispôsobenie sa školy dieťaťu tak, aby mohlo naplno benefitovať zo vzdelávania (UNCRPD, 2007).</w:t>
      </w:r>
    </w:p>
  </w:footnote>
  <w:footnote w:id="71">
    <w:p w14:paraId="603CBF50" w14:textId="77777777" w:rsidR="00FA29AF" w:rsidRPr="003A435E" w:rsidRDefault="00FA29AF" w:rsidP="00C459B7">
      <w:pPr>
        <w:pStyle w:val="Textpoznmkypodiarou"/>
        <w:rPr>
          <w:szCs w:val="18"/>
        </w:rPr>
      </w:pPr>
      <w:r w:rsidRPr="003A435E">
        <w:rPr>
          <w:rStyle w:val="Odkaznapoznmkupodiarou"/>
          <w:szCs w:val="18"/>
        </w:rPr>
        <w:footnoteRef/>
      </w:r>
      <w:r w:rsidRPr="003A435E">
        <w:rPr>
          <w:szCs w:val="18"/>
        </w:rPr>
        <w:t xml:space="preserve"> Zákon č. 245/2008 Z. z. o výchove a vzdelávaní (školský zákon) a o zmene a doplnení niektorých zákonov, § 2 písm. p)</w:t>
      </w:r>
    </w:p>
  </w:footnote>
  <w:footnote w:id="72">
    <w:p w14:paraId="15844691" w14:textId="7CBB90A5" w:rsidR="00FA29AF" w:rsidRPr="003A435E" w:rsidRDefault="00FA29AF" w:rsidP="00C459B7">
      <w:pPr>
        <w:pStyle w:val="Textpoznmkypodiarou"/>
        <w:jc w:val="left"/>
        <w:rPr>
          <w:szCs w:val="18"/>
        </w:rPr>
      </w:pPr>
      <w:r w:rsidRPr="003A435E">
        <w:rPr>
          <w:rStyle w:val="Odkaznapoznmkupodiarou"/>
          <w:szCs w:val="18"/>
        </w:rPr>
        <w:footnoteRef/>
      </w:r>
      <w:r w:rsidRPr="003A435E">
        <w:rPr>
          <w:szCs w:val="18"/>
        </w:rPr>
        <w:t xml:space="preserve"> Zákon č. 245/2008 Z. z. o výchove a vzdelávaní (školský zákon), § 2 písm. j)</w:t>
      </w:r>
    </w:p>
  </w:footnote>
  <w:footnote w:id="73">
    <w:p w14:paraId="0E93EEBD" w14:textId="42A90BCB" w:rsidR="00FA29AF" w:rsidRPr="003A435E" w:rsidRDefault="00FA29AF" w:rsidP="00452DBC">
      <w:pPr>
        <w:pStyle w:val="Textpoznmkypodiarou"/>
        <w:rPr>
          <w:szCs w:val="18"/>
        </w:rPr>
      </w:pPr>
      <w:r w:rsidRPr="003A435E">
        <w:rPr>
          <w:rStyle w:val="Odkaznapoznmkupodiarou"/>
          <w:szCs w:val="18"/>
        </w:rPr>
        <w:footnoteRef/>
      </w:r>
      <w:r w:rsidRPr="003A435E">
        <w:rPr>
          <w:szCs w:val="18"/>
        </w:rPr>
        <w:t xml:space="preserve"> Zákon č. 245/2008 Z. z. o výchove a vzdelávaní (školský zákon), § 5 ods. 4</w:t>
      </w:r>
    </w:p>
  </w:footnote>
  <w:footnote w:id="74">
    <w:p w14:paraId="5C3A75C4" w14:textId="6A363C57" w:rsidR="00FA29AF" w:rsidRPr="003A435E" w:rsidRDefault="00FA29AF" w:rsidP="00452DBC">
      <w:pPr>
        <w:pStyle w:val="Textpoznmkypodiarou"/>
        <w:rPr>
          <w:szCs w:val="18"/>
        </w:rPr>
      </w:pPr>
      <w:r w:rsidRPr="003A435E">
        <w:rPr>
          <w:rStyle w:val="Odkaznapoznmkupodiarou"/>
          <w:szCs w:val="18"/>
        </w:rPr>
        <w:footnoteRef/>
      </w:r>
      <w:r w:rsidRPr="003A435E">
        <w:rPr>
          <w:szCs w:val="18"/>
        </w:rPr>
        <w:t xml:space="preserve"> Zákon č. 245/2008 Z. z. o výchove a vzdelávaní (školský zákon), § 107 ods. 1</w:t>
      </w:r>
    </w:p>
  </w:footnote>
  <w:footnote w:id="75">
    <w:p w14:paraId="1D21B2A6" w14:textId="77777777" w:rsidR="00FA29AF" w:rsidRPr="003A435E" w:rsidRDefault="00FA29AF" w:rsidP="00452DBC">
      <w:pPr>
        <w:pStyle w:val="Textpoznmkypodiarou"/>
        <w:rPr>
          <w:szCs w:val="18"/>
        </w:rPr>
      </w:pPr>
      <w:r w:rsidRPr="003A435E">
        <w:rPr>
          <w:rStyle w:val="Odkaznapoznmkupodiarou"/>
          <w:szCs w:val="18"/>
        </w:rPr>
        <w:footnoteRef/>
      </w:r>
      <w:r w:rsidRPr="003A435E">
        <w:rPr>
          <w:szCs w:val="18"/>
        </w:rPr>
        <w:t xml:space="preserve"> Zákon č. 245/2008 Z. z. o výchove a vzdelávaní (školský zákon) a o zmene a doplnení niektorých zákonov, § 107 ods. 2</w:t>
      </w:r>
    </w:p>
  </w:footnote>
  <w:footnote w:id="76">
    <w:p w14:paraId="30CF5F0D" w14:textId="20FA2D4F" w:rsidR="00FA29AF" w:rsidRPr="003A435E" w:rsidRDefault="00FA29AF" w:rsidP="00452DBC">
      <w:pPr>
        <w:pStyle w:val="Textpoznmkypodiarou"/>
        <w:rPr>
          <w:szCs w:val="18"/>
        </w:rPr>
      </w:pPr>
      <w:r w:rsidRPr="003A435E">
        <w:rPr>
          <w:rStyle w:val="Odkaznapoznmkupodiarou"/>
          <w:szCs w:val="18"/>
        </w:rPr>
        <w:footnoteRef/>
      </w:r>
      <w:r w:rsidRPr="003A435E">
        <w:rPr>
          <w:szCs w:val="18"/>
        </w:rPr>
        <w:t xml:space="preserve"> V prípade </w:t>
      </w:r>
      <w:r>
        <w:rPr>
          <w:szCs w:val="18"/>
        </w:rPr>
        <w:t>SZP príspevku</w:t>
      </w:r>
      <w:r w:rsidRPr="003A435E">
        <w:rPr>
          <w:szCs w:val="18"/>
        </w:rPr>
        <w:t xml:space="preserve"> je podpora možná aj na základe diagnostikovan</w:t>
      </w:r>
      <w:r>
        <w:rPr>
          <w:szCs w:val="18"/>
        </w:rPr>
        <w:t>ých</w:t>
      </w:r>
      <w:r w:rsidRPr="003A435E">
        <w:rPr>
          <w:szCs w:val="18"/>
        </w:rPr>
        <w:t xml:space="preserve"> vzdelávac</w:t>
      </w:r>
      <w:r>
        <w:rPr>
          <w:szCs w:val="18"/>
        </w:rPr>
        <w:t>ích</w:t>
      </w:r>
      <w:r w:rsidRPr="003A435E">
        <w:rPr>
          <w:szCs w:val="18"/>
        </w:rPr>
        <w:t xml:space="preserve"> potr</w:t>
      </w:r>
      <w:r>
        <w:rPr>
          <w:szCs w:val="18"/>
        </w:rPr>
        <w:t>ieb</w:t>
      </w:r>
      <w:r w:rsidRPr="003A435E">
        <w:rPr>
          <w:szCs w:val="18"/>
        </w:rPr>
        <w:t xml:space="preserve"> </w:t>
      </w:r>
      <w:r>
        <w:rPr>
          <w:szCs w:val="18"/>
        </w:rPr>
        <w:t>vyplýva</w:t>
      </w:r>
      <w:r w:rsidRPr="003A435E">
        <w:rPr>
          <w:szCs w:val="18"/>
        </w:rPr>
        <w:t>júc</w:t>
      </w:r>
      <w:r>
        <w:rPr>
          <w:szCs w:val="18"/>
        </w:rPr>
        <w:t>ich</w:t>
      </w:r>
      <w:r w:rsidRPr="003A435E">
        <w:rPr>
          <w:szCs w:val="18"/>
        </w:rPr>
        <w:t xml:space="preserve"> z vývinu v SZP.</w:t>
      </w:r>
    </w:p>
  </w:footnote>
  <w:footnote w:id="77">
    <w:p w14:paraId="1A00F011" w14:textId="42F79D52" w:rsidR="00FA29AF" w:rsidRDefault="00FA29AF">
      <w:pPr>
        <w:pStyle w:val="Textpoznmkypodiarou"/>
      </w:pPr>
      <w:r>
        <w:rPr>
          <w:rStyle w:val="Odkaznapoznmkupodiarou"/>
        </w:rPr>
        <w:footnoteRef/>
      </w:r>
      <w:r>
        <w:t xml:space="preserve"> V roku 2018 vyrastalo v detských domovoch na Slovensku 2 769 školopovinných detí (UPSVAR, 2018). V súlade s aktuálnym znením školského zákona deti z detských domovov nepatria medzi deti so špeciálnymi potrebami a v systéme vzdelávania neexistujú žiadne špecifické nástroje zamerané na ich podporu (EASNIE, 2011). </w:t>
      </w:r>
    </w:p>
  </w:footnote>
  <w:footnote w:id="78">
    <w:p w14:paraId="38823E96" w14:textId="1FC74DEC" w:rsidR="00FA29AF" w:rsidRPr="003A435E" w:rsidRDefault="00FA29AF" w:rsidP="00452DBC">
      <w:pPr>
        <w:pStyle w:val="Bezriadkovania"/>
        <w:jc w:val="both"/>
        <w:rPr>
          <w:sz w:val="18"/>
          <w:szCs w:val="18"/>
        </w:rPr>
      </w:pPr>
      <w:r w:rsidRPr="003A435E">
        <w:rPr>
          <w:rStyle w:val="Odkaznapoznmkupodiarou"/>
          <w:rFonts w:ascii="Arial Narrow" w:hAnsi="Arial Narrow"/>
          <w:sz w:val="18"/>
          <w:szCs w:val="18"/>
        </w:rPr>
        <w:footnoteRef/>
      </w:r>
      <w:r w:rsidRPr="003A435E">
        <w:rPr>
          <w:rFonts w:ascii="Arial Narrow" w:hAnsi="Arial Narrow"/>
          <w:sz w:val="18"/>
          <w:szCs w:val="18"/>
        </w:rPr>
        <w:t xml:space="preserve"> V roku 2017 malo Slovensko najnižšiu mieru zaškolenosti detí vo veku od 4 rokov do veku začatia povinnej školskej dochádzky v spomedzi všetkých krajín EÚ </w:t>
      </w:r>
      <w:r>
        <w:rPr>
          <w:rFonts w:ascii="Arial Narrow" w:hAnsi="Arial Narrow"/>
          <w:sz w:val="18"/>
          <w:szCs w:val="18"/>
        </w:rPr>
        <w:t>–</w:t>
      </w:r>
      <w:r w:rsidRPr="003A435E">
        <w:rPr>
          <w:rFonts w:ascii="Arial Narrow" w:hAnsi="Arial Narrow"/>
          <w:sz w:val="18"/>
          <w:szCs w:val="18"/>
        </w:rPr>
        <w:t xml:space="preserve"> 78 % oproti 95 % priemeru EÚ.</w:t>
      </w:r>
      <w:r>
        <w:rPr>
          <w:rFonts w:ascii="Arial Narrow" w:hAnsi="Arial Narrow"/>
          <w:sz w:val="18"/>
          <w:szCs w:val="18"/>
        </w:rPr>
        <w:t xml:space="preserve"> </w:t>
      </w:r>
      <w:r w:rsidRPr="003A435E">
        <w:rPr>
          <w:rFonts w:ascii="Arial Narrow" w:hAnsi="Arial Narrow"/>
          <w:sz w:val="18"/>
          <w:szCs w:val="18"/>
        </w:rPr>
        <w:t xml:space="preserve">Slovensko tak výrazne zaostáva v plnení cieľa dosiahnuť 95 %-nú zaškolenosť všetkých detí v tejto vekovej skupine, ktorý je stanovený pre členské štáty EÚ v rámci Stratégie 2020. Pozri </w:t>
      </w:r>
      <w:hyperlink r:id="rId12" w:history="1">
        <w:r w:rsidRPr="003A435E">
          <w:rPr>
            <w:rStyle w:val="Hypertextovprepojenie"/>
            <w:rFonts w:ascii="Arial Narrow" w:hAnsi="Arial Narrow"/>
            <w:sz w:val="18"/>
            <w:szCs w:val="18"/>
          </w:rPr>
          <w:t>https://ec.europa.eu/education/sites/education/files/document-library-docs/et-monitor-report-2019-slovakia_en.pdf</w:t>
        </w:r>
      </w:hyperlink>
      <w:r w:rsidRPr="003A435E">
        <w:rPr>
          <w:sz w:val="18"/>
          <w:szCs w:val="18"/>
        </w:rPr>
        <w:t xml:space="preserve"> </w:t>
      </w:r>
    </w:p>
  </w:footnote>
  <w:footnote w:id="79">
    <w:p w14:paraId="77A7BF6E" w14:textId="77777777" w:rsidR="00FA29AF" w:rsidRPr="003A435E" w:rsidRDefault="00FA29AF">
      <w:pPr>
        <w:pStyle w:val="Textpoznmkypodiarou"/>
        <w:rPr>
          <w:szCs w:val="18"/>
        </w:rPr>
      </w:pPr>
      <w:r w:rsidRPr="003A435E">
        <w:rPr>
          <w:rStyle w:val="Odkaznapoznmkupodiarou"/>
          <w:szCs w:val="18"/>
        </w:rPr>
        <w:footnoteRef/>
      </w:r>
      <w:r w:rsidRPr="003A435E">
        <w:rPr>
          <w:szCs w:val="18"/>
        </w:rPr>
        <w:t xml:space="preserve"> Administratívne dáta tak potvrdzujú doterajšie zistenia z medzinárodného prieskumu FRA, v ktorých sa zaškolenosť detí </w:t>
      </w:r>
      <w:r>
        <w:rPr>
          <w:szCs w:val="18"/>
        </w:rPr>
        <w:t xml:space="preserve">z prostredia MRK </w:t>
      </w:r>
      <w:r w:rsidRPr="003A435E">
        <w:rPr>
          <w:szCs w:val="18"/>
        </w:rPr>
        <w:t>vo veku od 4 rokov do veku začatia povinnej školskej dochádzky pohybovala na obdobnej úrovni (34 %). Priemer deviatich skúmaných európskych krajín s početnou rómskou menšinou bol pritom na úrovni 54 % (FRA, 2016).</w:t>
      </w:r>
    </w:p>
  </w:footnote>
  <w:footnote w:id="80">
    <w:p w14:paraId="5C80A542" w14:textId="3D073183" w:rsidR="00FA29AF" w:rsidRPr="00FD7002" w:rsidRDefault="00FA29AF" w:rsidP="000823A6">
      <w:pPr>
        <w:pStyle w:val="Textpoznmkypodiarou"/>
        <w:rPr>
          <w:szCs w:val="18"/>
        </w:rPr>
      </w:pPr>
      <w:r w:rsidRPr="00FD7002">
        <w:rPr>
          <w:rStyle w:val="Odkaznapoznmkupodiarou"/>
          <w:szCs w:val="18"/>
        </w:rPr>
        <w:footnoteRef/>
      </w:r>
      <w:r w:rsidRPr="00FD7002">
        <w:rPr>
          <w:szCs w:val="18"/>
        </w:rPr>
        <w:t xml:space="preserve"> Dotácie na stravu a pomôcky sú hradené z rozpočtovej kapitoly </w:t>
      </w:r>
      <w:r>
        <w:rPr>
          <w:szCs w:val="18"/>
        </w:rPr>
        <w:t>MPSVR</w:t>
      </w:r>
      <w:r w:rsidRPr="00FD7002">
        <w:rPr>
          <w:szCs w:val="18"/>
        </w:rPr>
        <w:t xml:space="preserve"> a prijímateľmi sú zriaďovatelia škôl.</w:t>
      </w:r>
    </w:p>
  </w:footnote>
  <w:footnote w:id="81">
    <w:p w14:paraId="4E50BF73" w14:textId="02BBA4AE" w:rsidR="00FA29AF" w:rsidRPr="003A435E" w:rsidRDefault="00FA29AF" w:rsidP="000823A6">
      <w:pPr>
        <w:pStyle w:val="Textpoznmkypodiarou"/>
        <w:rPr>
          <w:szCs w:val="18"/>
        </w:rPr>
      </w:pPr>
      <w:r w:rsidRPr="003A435E">
        <w:rPr>
          <w:rStyle w:val="Odkaznapoznmkupodiarou"/>
          <w:szCs w:val="18"/>
        </w:rPr>
        <w:footnoteRef/>
      </w:r>
      <w:r w:rsidRPr="003A435E">
        <w:rPr>
          <w:szCs w:val="18"/>
        </w:rPr>
        <w:t xml:space="preserve"> 375/2018 Z. z. ktorým sa mení a dopĺňa zákon č. 544/2010 Z. z. o dotáciách v pôsobnosti </w:t>
      </w:r>
      <w:r>
        <w:rPr>
          <w:szCs w:val="18"/>
        </w:rPr>
        <w:t>MPSVaR</w:t>
      </w:r>
    </w:p>
  </w:footnote>
  <w:footnote w:id="82">
    <w:p w14:paraId="0ACD7CE4" w14:textId="73A94C39" w:rsidR="00FA29AF" w:rsidRPr="003A435E" w:rsidRDefault="00FA29AF" w:rsidP="000823A6">
      <w:pPr>
        <w:pStyle w:val="Textpoznmkypodiarou"/>
        <w:rPr>
          <w:szCs w:val="18"/>
        </w:rPr>
      </w:pPr>
      <w:r w:rsidRPr="003A435E">
        <w:rPr>
          <w:rStyle w:val="Odkaznapoznmkupodiarou"/>
          <w:szCs w:val="18"/>
        </w:rPr>
        <w:footnoteRef/>
      </w:r>
      <w:r w:rsidRPr="003A435E">
        <w:rPr>
          <w:szCs w:val="18"/>
        </w:rPr>
        <w:t xml:space="preserve"> Príspevok na výchovu a vzdelávanie pre MŠ (2018): </w:t>
      </w:r>
      <w:hyperlink r:id="rId13" w:history="1">
        <w:r w:rsidRPr="003A435E">
          <w:rPr>
            <w:rStyle w:val="Hypertextovprepojenie"/>
            <w:szCs w:val="18"/>
          </w:rPr>
          <w:t>https://www.minedu.sk/prispevok-na-vychovu-a-vzdelavanie-pre-ms/</w:t>
        </w:r>
      </w:hyperlink>
    </w:p>
  </w:footnote>
  <w:footnote w:id="83">
    <w:p w14:paraId="510DBF13" w14:textId="77777777" w:rsidR="00FA29AF" w:rsidRDefault="00FA29AF" w:rsidP="00E963DA">
      <w:pPr>
        <w:pStyle w:val="Textpoznmkypodiarou"/>
      </w:pPr>
      <w:r>
        <w:rPr>
          <w:rStyle w:val="Odkaznapoznmkupodiarou"/>
        </w:rPr>
        <w:footnoteRef/>
      </w:r>
      <w:r>
        <w:t xml:space="preserve"> Vlastné prepočty IVP na základe verejne dostupných znení VZN obcí v Banskobystrickom, Košickom a Prešovskom kraji.</w:t>
      </w:r>
    </w:p>
  </w:footnote>
  <w:footnote w:id="84">
    <w:p w14:paraId="24C47AB3" w14:textId="0DDC79B8" w:rsidR="00FA29AF" w:rsidRPr="003A435E" w:rsidRDefault="00FA29AF" w:rsidP="000823A6">
      <w:pPr>
        <w:pStyle w:val="Textpoznmkypodiarou"/>
        <w:rPr>
          <w:szCs w:val="18"/>
        </w:rPr>
      </w:pPr>
      <w:r w:rsidRPr="003A435E">
        <w:rPr>
          <w:rStyle w:val="Odkaznapoznmkupodiarou"/>
          <w:szCs w:val="18"/>
        </w:rPr>
        <w:footnoteRef/>
      </w:r>
      <w:r w:rsidRPr="003A435E">
        <w:rPr>
          <w:szCs w:val="18"/>
        </w:rPr>
        <w:t xml:space="preserve"> Zákon č. 245/ 2008 Z. z. o výchove a vzdelávaní (školský zákon), § 28 ods. 4</w:t>
      </w:r>
      <w:r>
        <w:rPr>
          <w:szCs w:val="18"/>
        </w:rPr>
        <w:t xml:space="preserve">. </w:t>
      </w:r>
      <w:r w:rsidRPr="003A435E">
        <w:rPr>
          <w:szCs w:val="18"/>
        </w:rPr>
        <w:t xml:space="preserve">Regulácia však stále platí vo vzťahu k špeciálnym </w:t>
      </w:r>
      <w:r>
        <w:rPr>
          <w:szCs w:val="18"/>
        </w:rPr>
        <w:t>MŠ</w:t>
      </w:r>
      <w:r w:rsidRPr="003A435E">
        <w:rPr>
          <w:szCs w:val="18"/>
        </w:rPr>
        <w:t>.</w:t>
      </w:r>
    </w:p>
  </w:footnote>
  <w:footnote w:id="85">
    <w:p w14:paraId="20A3E23F" w14:textId="14870FE6" w:rsidR="00FA29AF" w:rsidRPr="003A435E" w:rsidRDefault="00FA29AF" w:rsidP="000823A6">
      <w:pPr>
        <w:pStyle w:val="Textpoznmkypodiarou"/>
        <w:rPr>
          <w:szCs w:val="18"/>
        </w:rPr>
      </w:pPr>
      <w:r w:rsidRPr="003A435E">
        <w:rPr>
          <w:rStyle w:val="Odkaznapoznmkupodiarou"/>
          <w:szCs w:val="18"/>
        </w:rPr>
        <w:footnoteRef/>
      </w:r>
      <w:r w:rsidRPr="003A435E">
        <w:rPr>
          <w:szCs w:val="18"/>
        </w:rPr>
        <w:t xml:space="preserve"> Poplatky vyššie ako je 7,5 % životného minima majú stanovené obce, ktoré nastavujú rôznu výšku poplatkov pre rôzne skupiny detí v závislosti od viacerých kritérií. Najčastejšie ide o vek dieťaťa, trvalý pobyt, dátum nástupu do MŠ alebo kombináciu týchto kritérií.</w:t>
      </w:r>
    </w:p>
  </w:footnote>
  <w:footnote w:id="86">
    <w:p w14:paraId="328A59E3" w14:textId="77777777" w:rsidR="00FA29AF" w:rsidRPr="003A435E" w:rsidRDefault="00FA29AF" w:rsidP="00D0125C">
      <w:pPr>
        <w:pStyle w:val="Textpoznmkypodiarou"/>
        <w:rPr>
          <w:szCs w:val="18"/>
        </w:rPr>
      </w:pPr>
      <w:r w:rsidRPr="003A435E">
        <w:rPr>
          <w:rStyle w:val="Odkaznapoznmkupodiarou"/>
          <w:szCs w:val="18"/>
        </w:rPr>
        <w:footnoteRef/>
      </w:r>
      <w:r w:rsidRPr="003A435E">
        <w:rPr>
          <w:szCs w:val="18"/>
        </w:rPr>
        <w:t xml:space="preserve"> </w:t>
      </w:r>
      <w:r w:rsidRPr="003A435E">
        <w:rPr>
          <w:rFonts w:eastAsia="Times New Roman" w:cs="Times New Roman"/>
          <w:color w:val="000000"/>
          <w:szCs w:val="18"/>
          <w:lang w:eastAsia="sk-SK"/>
        </w:rPr>
        <w:t>Podiel ohrozených detí v </w:t>
      </w:r>
      <w:r>
        <w:rPr>
          <w:rFonts w:eastAsia="Times New Roman" w:cs="Times New Roman"/>
          <w:color w:val="000000"/>
          <w:szCs w:val="18"/>
          <w:lang w:eastAsia="sk-SK"/>
        </w:rPr>
        <w:t>MŠ</w:t>
      </w:r>
      <w:r w:rsidRPr="003A435E">
        <w:rPr>
          <w:rFonts w:eastAsia="Times New Roman" w:cs="Times New Roman"/>
          <w:color w:val="000000"/>
          <w:szCs w:val="18"/>
          <w:lang w:eastAsia="sk-SK"/>
        </w:rPr>
        <w:t xml:space="preserve"> bol odhadnutý na základe miery ohrozenia chudobou alebo sociálnym vylúčením vo vekovej skupine 3 až 5 rokov v prieskume </w:t>
      </w:r>
      <w:r>
        <w:rPr>
          <w:rFonts w:eastAsia="Times New Roman" w:cs="Times New Roman"/>
          <w:color w:val="000000"/>
          <w:szCs w:val="18"/>
          <w:lang w:eastAsia="sk-SK"/>
        </w:rPr>
        <w:t xml:space="preserve">EU </w:t>
      </w:r>
      <w:r w:rsidRPr="003A435E">
        <w:rPr>
          <w:rFonts w:eastAsia="Times New Roman" w:cs="Times New Roman"/>
          <w:color w:val="000000"/>
          <w:szCs w:val="18"/>
          <w:lang w:eastAsia="sk-SK"/>
        </w:rPr>
        <w:t>SILC z roku 201</w:t>
      </w:r>
      <w:r>
        <w:rPr>
          <w:rFonts w:eastAsia="Times New Roman" w:cs="Times New Roman"/>
          <w:color w:val="000000"/>
          <w:szCs w:val="18"/>
          <w:lang w:eastAsia="sk-SK"/>
        </w:rPr>
        <w:t>7</w:t>
      </w:r>
      <w:r w:rsidRPr="003A435E">
        <w:rPr>
          <w:rFonts w:eastAsia="Times New Roman" w:cs="Times New Roman"/>
          <w:color w:val="000000"/>
          <w:szCs w:val="18"/>
          <w:lang w:eastAsia="sk-SK"/>
        </w:rPr>
        <w:t xml:space="preserve"> (1</w:t>
      </w:r>
      <w:r>
        <w:rPr>
          <w:rFonts w:eastAsia="Times New Roman" w:cs="Times New Roman"/>
          <w:color w:val="000000"/>
          <w:szCs w:val="18"/>
          <w:lang w:eastAsia="sk-SK"/>
        </w:rPr>
        <w:t>9</w:t>
      </w:r>
      <w:r w:rsidRPr="003A435E">
        <w:rPr>
          <w:rFonts w:eastAsia="Times New Roman" w:cs="Times New Roman"/>
          <w:color w:val="000000"/>
          <w:szCs w:val="18"/>
          <w:lang w:eastAsia="sk-SK"/>
        </w:rPr>
        <w:t>,</w:t>
      </w:r>
      <w:r>
        <w:rPr>
          <w:rFonts w:eastAsia="Times New Roman" w:cs="Times New Roman"/>
          <w:color w:val="000000"/>
          <w:szCs w:val="18"/>
          <w:lang w:eastAsia="sk-SK"/>
        </w:rPr>
        <w:t>3</w:t>
      </w:r>
      <w:r w:rsidRPr="003A435E">
        <w:rPr>
          <w:rFonts w:eastAsia="Times New Roman" w:cs="Times New Roman"/>
          <w:color w:val="000000"/>
          <w:szCs w:val="18"/>
          <w:lang w:eastAsia="sk-SK"/>
        </w:rPr>
        <w:t xml:space="preserve"> %) a za predpokladu zaškolenosti ohrozených detí v tejto vekovej skupine na rovnakej úrovni ako v skupine detí v hmotnej núdzi</w:t>
      </w:r>
      <w:r>
        <w:rPr>
          <w:rFonts w:eastAsia="Times New Roman" w:cs="Times New Roman"/>
          <w:color w:val="000000"/>
          <w:szCs w:val="18"/>
          <w:lang w:eastAsia="sk-SK"/>
        </w:rPr>
        <w:t xml:space="preserve"> v š.r. 2018/19</w:t>
      </w:r>
      <w:r w:rsidRPr="003A435E">
        <w:rPr>
          <w:rFonts w:eastAsia="Times New Roman" w:cs="Times New Roman"/>
          <w:color w:val="000000"/>
          <w:szCs w:val="18"/>
          <w:lang w:eastAsia="sk-SK"/>
        </w:rPr>
        <w:t xml:space="preserve"> (4</w:t>
      </w:r>
      <w:r>
        <w:rPr>
          <w:rFonts w:eastAsia="Times New Roman" w:cs="Times New Roman"/>
          <w:color w:val="000000"/>
          <w:szCs w:val="18"/>
          <w:lang w:eastAsia="sk-SK"/>
        </w:rPr>
        <w:t>1</w:t>
      </w:r>
      <w:r w:rsidRPr="003A435E">
        <w:rPr>
          <w:rFonts w:eastAsia="Times New Roman" w:cs="Times New Roman"/>
          <w:color w:val="000000"/>
          <w:szCs w:val="18"/>
          <w:lang w:eastAsia="sk-SK"/>
        </w:rPr>
        <w:t xml:space="preserve"> %).</w:t>
      </w:r>
    </w:p>
  </w:footnote>
  <w:footnote w:id="87">
    <w:p w14:paraId="00A721DA" w14:textId="7F05B304" w:rsidR="00FA29AF" w:rsidRPr="003A435E" w:rsidRDefault="00FA29AF" w:rsidP="00D0125C">
      <w:pPr>
        <w:pStyle w:val="Textpoznmkypodiarou"/>
        <w:rPr>
          <w:szCs w:val="18"/>
        </w:rPr>
      </w:pPr>
      <w:r w:rsidRPr="003A435E">
        <w:rPr>
          <w:rStyle w:val="Odkaznapoznmkupodiarou"/>
          <w:szCs w:val="18"/>
        </w:rPr>
        <w:footnoteRef/>
      </w:r>
      <w:r w:rsidRPr="003A435E">
        <w:rPr>
          <w:szCs w:val="18"/>
        </w:rPr>
        <w:t xml:space="preserve"> Dôvodom nízkeho pokrytia je hlavne veľká medzera medzi hranicou rizika chudoby a hranicou životného minima </w:t>
      </w:r>
      <w:r>
        <w:rPr>
          <w:szCs w:val="18"/>
        </w:rPr>
        <w:t>(</w:t>
      </w:r>
      <w:r w:rsidRPr="003A435E">
        <w:rPr>
          <w:szCs w:val="18"/>
        </w:rPr>
        <w:t>podkapitol</w:t>
      </w:r>
      <w:r>
        <w:rPr>
          <w:szCs w:val="18"/>
        </w:rPr>
        <w:t>a</w:t>
      </w:r>
      <w:r w:rsidRPr="003A435E">
        <w:rPr>
          <w:szCs w:val="18"/>
        </w:rPr>
        <w:t xml:space="preserve"> </w:t>
      </w:r>
      <w:r>
        <w:rPr>
          <w:szCs w:val="18"/>
        </w:rPr>
        <w:fldChar w:fldCharType="begin"/>
      </w:r>
      <w:r>
        <w:rPr>
          <w:szCs w:val="18"/>
        </w:rPr>
        <w:instrText xml:space="preserve"> REF _Ref25321786 \r \h </w:instrText>
      </w:r>
      <w:r>
        <w:rPr>
          <w:szCs w:val="18"/>
        </w:rPr>
      </w:r>
      <w:r>
        <w:rPr>
          <w:szCs w:val="18"/>
        </w:rPr>
        <w:fldChar w:fldCharType="separate"/>
      </w:r>
      <w:r>
        <w:rPr>
          <w:szCs w:val="18"/>
        </w:rPr>
        <w:t>8.1</w:t>
      </w:r>
      <w:r>
        <w:rPr>
          <w:szCs w:val="18"/>
        </w:rPr>
        <w:fldChar w:fldCharType="end"/>
      </w:r>
      <w:r>
        <w:rPr>
          <w:szCs w:val="18"/>
        </w:rPr>
        <w:t>)</w:t>
      </w:r>
      <w:r w:rsidRPr="003A435E">
        <w:rPr>
          <w:szCs w:val="18"/>
        </w:rPr>
        <w:t>.</w:t>
      </w:r>
    </w:p>
  </w:footnote>
  <w:footnote w:id="88">
    <w:p w14:paraId="05A6B501" w14:textId="77777777" w:rsidR="00FA29AF" w:rsidRDefault="00FA29AF" w:rsidP="00E963DA">
      <w:pPr>
        <w:pStyle w:val="Textpoznmkypodiarou"/>
      </w:pPr>
      <w:r>
        <w:rPr>
          <w:rStyle w:val="Odkaznapoznmkupodiarou"/>
        </w:rPr>
        <w:footnoteRef/>
      </w:r>
      <w:r>
        <w:t xml:space="preserve"> </w:t>
      </w:r>
      <w:r w:rsidRPr="003A435E">
        <w:rPr>
          <w:szCs w:val="18"/>
        </w:rPr>
        <w:t>Zákon č. 245/ 2008 Z. z. o výchove a vzdelávaní (školský zákon)</w:t>
      </w:r>
      <w:r>
        <w:rPr>
          <w:szCs w:val="18"/>
        </w:rPr>
        <w:t>, § 28 ods. 12</w:t>
      </w:r>
    </w:p>
  </w:footnote>
  <w:footnote w:id="89">
    <w:p w14:paraId="2598F87B" w14:textId="77777777" w:rsidR="00FA29AF" w:rsidRPr="003A435E" w:rsidRDefault="00FA29AF" w:rsidP="000823A6">
      <w:pPr>
        <w:pStyle w:val="Textpoznmkypodiarou"/>
        <w:rPr>
          <w:szCs w:val="18"/>
        </w:rPr>
      </w:pPr>
      <w:r w:rsidRPr="003A435E">
        <w:rPr>
          <w:rStyle w:val="Odkaznapoznmkupodiarou"/>
          <w:szCs w:val="18"/>
        </w:rPr>
        <w:footnoteRef/>
      </w:r>
      <w:r w:rsidRPr="003A435E">
        <w:rPr>
          <w:szCs w:val="18"/>
        </w:rPr>
        <w:t xml:space="preserve"> Vyhláška č. 306/2008 Z. z. o materskej škole, § 4 ods. 4. Priemerná veľkosť triedy v MŠ bola v roku 2018 20 detí.</w:t>
      </w:r>
    </w:p>
  </w:footnote>
  <w:footnote w:id="90">
    <w:p w14:paraId="4918B369" w14:textId="77777777" w:rsidR="00FA29AF" w:rsidRPr="003A435E" w:rsidRDefault="00FA29AF" w:rsidP="00627606">
      <w:pPr>
        <w:pStyle w:val="Textpoznmkypodiarou"/>
        <w:rPr>
          <w:szCs w:val="18"/>
        </w:rPr>
      </w:pPr>
      <w:r w:rsidRPr="003A435E">
        <w:rPr>
          <w:rStyle w:val="Odkaznapoznmkupodiarou"/>
          <w:szCs w:val="18"/>
        </w:rPr>
        <w:footnoteRef/>
      </w:r>
      <w:r w:rsidRPr="003A435E">
        <w:rPr>
          <w:szCs w:val="18"/>
        </w:rPr>
        <w:t xml:space="preserve"> </w:t>
      </w:r>
      <w:r>
        <w:rPr>
          <w:szCs w:val="18"/>
        </w:rPr>
        <w:t>CVTI SR</w:t>
      </w:r>
      <w:r w:rsidRPr="003A435E">
        <w:rPr>
          <w:szCs w:val="18"/>
        </w:rPr>
        <w:t xml:space="preserve"> (2018).</w:t>
      </w:r>
    </w:p>
  </w:footnote>
  <w:footnote w:id="91">
    <w:p w14:paraId="2544EF24" w14:textId="16BC2BC7" w:rsidR="00FA29AF" w:rsidRDefault="00FA29AF" w:rsidP="000823A6">
      <w:pPr>
        <w:pStyle w:val="Textpoznmkypodiarou"/>
      </w:pPr>
      <w:r>
        <w:rPr>
          <w:rStyle w:val="Odkaznapoznmkupodiarou"/>
        </w:rPr>
        <w:footnoteRef/>
      </w:r>
      <w:r>
        <w:t xml:space="preserve"> </w:t>
      </w:r>
      <w:r w:rsidRPr="003A435E">
        <w:rPr>
          <w:szCs w:val="18"/>
        </w:rPr>
        <w:t>Zákon č. 245/ 2008 Z. z. o výchove a vzdelávaní (školský zákon)</w:t>
      </w:r>
      <w:r>
        <w:rPr>
          <w:szCs w:val="18"/>
        </w:rPr>
        <w:t>, § 107 ods. 2</w:t>
      </w:r>
    </w:p>
  </w:footnote>
  <w:footnote w:id="92">
    <w:p w14:paraId="5BEC47FF" w14:textId="77777777" w:rsidR="00FA29AF" w:rsidRPr="003A435E" w:rsidRDefault="00FA29AF" w:rsidP="00CE229E">
      <w:pPr>
        <w:pStyle w:val="Textpoznmkypodiarou"/>
        <w:rPr>
          <w:szCs w:val="18"/>
        </w:rPr>
      </w:pPr>
      <w:r w:rsidRPr="003A435E">
        <w:rPr>
          <w:rStyle w:val="Odkaznapoznmkupodiarou"/>
          <w:szCs w:val="18"/>
        </w:rPr>
        <w:footnoteRef/>
      </w:r>
      <w:r w:rsidRPr="003A435E">
        <w:rPr>
          <w:szCs w:val="18"/>
        </w:rPr>
        <w:t xml:space="preserve"> Do tohto porovnania boli zahrnuté iba tie obce kde počet 3- až 5- ročných detí z MRK aj z prostredia mimo MRK je najmenej 20 a kde žiadna z týchto dvoch skupín netvorí viac ako 90 % populácie v tejto vekovej skupine. Spolu ide o 164 obcí. </w:t>
      </w:r>
    </w:p>
  </w:footnote>
  <w:footnote w:id="93">
    <w:p w14:paraId="1292F302" w14:textId="77777777" w:rsidR="00FA29AF" w:rsidRPr="003A435E" w:rsidRDefault="00FA29AF" w:rsidP="00CE229E">
      <w:pPr>
        <w:pStyle w:val="Textpoznmkypodiarou"/>
        <w:rPr>
          <w:szCs w:val="18"/>
        </w:rPr>
      </w:pPr>
      <w:r w:rsidRPr="003A435E">
        <w:rPr>
          <w:rStyle w:val="Odkaznapoznmkupodiarou"/>
          <w:szCs w:val="18"/>
        </w:rPr>
        <w:footnoteRef/>
      </w:r>
      <w:r w:rsidRPr="003A435E">
        <w:rPr>
          <w:szCs w:val="18"/>
        </w:rPr>
        <w:t xml:space="preserve"> </w:t>
      </w:r>
      <w:r>
        <w:rPr>
          <w:szCs w:val="18"/>
        </w:rPr>
        <w:t xml:space="preserve">Údaj o počte nevybavených žiadostí môže obsahovať aj duplicity v prípadoch, ak rodič podal žiadosti o prijatie do viacerých materských </w:t>
      </w:r>
      <w:r w:rsidRPr="00852A39">
        <w:rPr>
          <w:szCs w:val="18"/>
        </w:rPr>
        <w:t>škôl (</w:t>
      </w:r>
      <w:r>
        <w:rPr>
          <w:szCs w:val="18"/>
        </w:rPr>
        <w:t>Varsik</w:t>
      </w:r>
      <w:r w:rsidRPr="00452DBC">
        <w:rPr>
          <w:szCs w:val="18"/>
        </w:rPr>
        <w:t>, 2019).</w:t>
      </w:r>
    </w:p>
  </w:footnote>
  <w:footnote w:id="94">
    <w:p w14:paraId="756FEC97" w14:textId="4BE835DB" w:rsidR="00FA29AF" w:rsidRPr="003A435E" w:rsidRDefault="00FA29AF" w:rsidP="000823A6">
      <w:pPr>
        <w:pStyle w:val="Textpoznmkypodiarou"/>
        <w:rPr>
          <w:szCs w:val="18"/>
        </w:rPr>
      </w:pPr>
      <w:r w:rsidRPr="003A435E">
        <w:rPr>
          <w:rStyle w:val="Odkaznapoznmkupodiarou"/>
          <w:szCs w:val="18"/>
        </w:rPr>
        <w:footnoteRef/>
      </w:r>
      <w:r w:rsidRPr="003A435E">
        <w:rPr>
          <w:szCs w:val="18"/>
        </w:rPr>
        <w:t xml:space="preserve"> Atlas rómskych komunít (2019): </w:t>
      </w:r>
      <w:hyperlink r:id="rId14" w:history="1">
        <w:r w:rsidRPr="00A44CAE">
          <w:rPr>
            <w:rStyle w:val="Hypertextovprepojenie"/>
            <w:szCs w:val="18"/>
          </w:rPr>
          <w:t>https://www.minv.sk/?atlas-romskych-komunit-2019</w:t>
        </w:r>
      </w:hyperlink>
      <w:r>
        <w:rPr>
          <w:szCs w:val="18"/>
        </w:rPr>
        <w:t xml:space="preserve"> </w:t>
      </w:r>
    </w:p>
  </w:footnote>
  <w:footnote w:id="95">
    <w:p w14:paraId="7D031A6B" w14:textId="1D77BCE5" w:rsidR="00FA29AF" w:rsidRDefault="00FA29AF" w:rsidP="00754508">
      <w:pPr>
        <w:pStyle w:val="Textpoznmkypodiarou"/>
      </w:pPr>
      <w:r>
        <w:rPr>
          <w:rStyle w:val="Odkaznapoznmkupodiarou"/>
        </w:rPr>
        <w:footnoteRef/>
      </w:r>
      <w:r>
        <w:t xml:space="preserve"> </w:t>
      </w:r>
      <w:bookmarkStart w:id="312" w:name="_Hlk33899160"/>
      <w:r>
        <w:t>V rámci zavedenia povinného predprimárneho vzdelávania sa počíta so zvýšením štátneho príspevku na čiastočnú úhradu nákladov na výchovu a vzdelávanie detí v MŠ z 15 % na 43,75 % životného minima</w:t>
      </w:r>
      <w:bookmarkEnd w:id="312"/>
      <w:r>
        <w:t xml:space="preserve">. Navýšenie však vychádza iba z prepočtov vzťahujúcich sa na zafinancovanie zvýšeného počtu učiteliek a pedagogických asistentov v MŠ, pričom v pôvodnej analýze vplyvov sa uvažovalo až s 80 % životného minima. Je preto otázne, či tieto zdroje budú postačujúce. </w:t>
      </w:r>
    </w:p>
  </w:footnote>
  <w:footnote w:id="96">
    <w:p w14:paraId="027FB76F" w14:textId="77777777" w:rsidR="00FA29AF" w:rsidRPr="003A435E" w:rsidRDefault="00FA29AF" w:rsidP="000823A6">
      <w:pPr>
        <w:pStyle w:val="Bezriadkovania"/>
        <w:rPr>
          <w:rFonts w:ascii="Arial Narrow" w:hAnsi="Arial Narrow"/>
          <w:sz w:val="18"/>
          <w:szCs w:val="18"/>
        </w:rPr>
      </w:pPr>
      <w:r w:rsidRPr="003A435E">
        <w:rPr>
          <w:rStyle w:val="Odkaznapoznmkupodiarou"/>
          <w:rFonts w:ascii="Arial Narrow" w:hAnsi="Arial Narrow"/>
          <w:sz w:val="18"/>
          <w:szCs w:val="18"/>
        </w:rPr>
        <w:footnoteRef/>
      </w:r>
      <w:r w:rsidRPr="003A435E">
        <w:rPr>
          <w:rFonts w:ascii="Arial Narrow" w:hAnsi="Arial Narrow"/>
          <w:sz w:val="18"/>
          <w:szCs w:val="18"/>
        </w:rPr>
        <w:t xml:space="preserve"> Národný projekt inklúzie v materských školách. Dostupné na: </w:t>
      </w:r>
      <w:hyperlink r:id="rId15" w:history="1">
        <w:r w:rsidRPr="00C35FE2">
          <w:rPr>
            <w:rStyle w:val="Hypertextovprepojenie"/>
            <w:rFonts w:ascii="Arial Narrow" w:hAnsi="Arial Narrow"/>
            <w:sz w:val="18"/>
            <w:szCs w:val="18"/>
          </w:rPr>
          <w:t>https://www.minv.sk/?pre-materske-skoly</w:t>
        </w:r>
      </w:hyperlink>
      <w:r>
        <w:rPr>
          <w:rFonts w:ascii="Arial Narrow" w:hAnsi="Arial Narrow"/>
          <w:sz w:val="18"/>
          <w:szCs w:val="18"/>
        </w:rPr>
        <w:t xml:space="preserve"> </w:t>
      </w:r>
    </w:p>
  </w:footnote>
  <w:footnote w:id="97">
    <w:p w14:paraId="78ACDA3D" w14:textId="77777777" w:rsidR="00FA29AF" w:rsidRPr="003A435E" w:rsidRDefault="00FA29AF" w:rsidP="000823A6">
      <w:pPr>
        <w:pStyle w:val="Bezriadkovania"/>
        <w:rPr>
          <w:rFonts w:ascii="Arial Narrow" w:hAnsi="Arial Narrow"/>
          <w:sz w:val="18"/>
          <w:szCs w:val="18"/>
        </w:rPr>
      </w:pPr>
      <w:r w:rsidRPr="003A435E">
        <w:rPr>
          <w:rStyle w:val="Odkaznapoznmkupodiarou"/>
          <w:rFonts w:ascii="Arial Narrow" w:hAnsi="Arial Narrow"/>
          <w:sz w:val="18"/>
          <w:szCs w:val="18"/>
        </w:rPr>
        <w:footnoteRef/>
      </w:r>
      <w:r w:rsidRPr="003A435E">
        <w:rPr>
          <w:rFonts w:ascii="Arial Narrow" w:hAnsi="Arial Narrow"/>
          <w:sz w:val="18"/>
          <w:szCs w:val="18"/>
        </w:rPr>
        <w:t xml:space="preserve"> V roku 2017 MŠVVaŠ realizovalo pilotný projekt IKATIKA, v rámci ktorého sa vytvorili metodiky pre učiteľov MŠ, ktorí vzdelávajú deti s maďarským, rusínskym aj rómskym materinským jazykom. Vyškolených bolo 112 učiteľov (spolu pre všetky jazykové verzie), ktorí metodiku hodnotili pozitívne. Vyškolení učitelia však nepôsobili v MŠ, ale v nultých ročníkoch 12 vybraných ZŠ. Metodiky sú voľne dostupné online na Planéte vedomostí.</w:t>
      </w:r>
    </w:p>
  </w:footnote>
  <w:footnote w:id="98">
    <w:p w14:paraId="1A3D49DB" w14:textId="31547271" w:rsidR="00FA29AF" w:rsidRDefault="00FA29AF" w:rsidP="000823A6">
      <w:pPr>
        <w:pStyle w:val="Textpoznmkypodiarou"/>
      </w:pPr>
      <w:r>
        <w:rPr>
          <w:rStyle w:val="Odkaznapoznmkupodiarou"/>
        </w:rPr>
        <w:footnoteRef/>
      </w:r>
      <w:r>
        <w:t xml:space="preserve"> Zákon č. 365/2004 Z. z. o rovnakom zaobchádzaní v niektorých oblastiach a o ochrane pred diskrimináciou, § 8a</w:t>
      </w:r>
    </w:p>
  </w:footnote>
  <w:footnote w:id="99">
    <w:p w14:paraId="1F0A67FE" w14:textId="77777777" w:rsidR="00FA29AF" w:rsidRDefault="00FA29AF" w:rsidP="00FA7C06">
      <w:pPr>
        <w:pStyle w:val="Textpoznmkypodiarou"/>
      </w:pPr>
      <w:r>
        <w:rPr>
          <w:rStyle w:val="Odkaznapoznmkupodiarou"/>
        </w:rPr>
        <w:footnoteRef/>
      </w:r>
      <w:r>
        <w:t xml:space="preserve"> Vlastné prepočty IVP. Vypočítane ako podiel žiakov zo SZP podľa údajov z Eduzberu (2018) na celkovej populácii žiakov základných škôl (bez špeciálnych tried) podľa údajov CVTI (2018).</w:t>
      </w:r>
    </w:p>
  </w:footnote>
  <w:footnote w:id="100">
    <w:p w14:paraId="2F835103" w14:textId="77777777" w:rsidR="00FA29AF" w:rsidRPr="003A435E" w:rsidRDefault="00FA29AF" w:rsidP="00D53C5F">
      <w:pPr>
        <w:pStyle w:val="Bezriadkovania"/>
        <w:jc w:val="both"/>
        <w:rPr>
          <w:rFonts w:ascii="Arial Narrow" w:hAnsi="Arial Narrow"/>
          <w:sz w:val="18"/>
          <w:szCs w:val="18"/>
        </w:rPr>
      </w:pPr>
      <w:r w:rsidRPr="003A435E">
        <w:rPr>
          <w:rStyle w:val="Odkaznapoznmkupodiarou"/>
          <w:rFonts w:ascii="Arial Narrow" w:hAnsi="Arial Narrow"/>
          <w:sz w:val="18"/>
          <w:szCs w:val="18"/>
        </w:rPr>
        <w:footnoteRef/>
      </w:r>
      <w:hyperlink r:id="rId16" w:history="1">
        <w:r w:rsidRPr="003A435E">
          <w:rPr>
            <w:rStyle w:val="Hypertextovprepojenie"/>
            <w:rFonts w:ascii="Arial Narrow" w:hAnsi="Arial Narrow"/>
            <w:sz w:val="18"/>
            <w:szCs w:val="18"/>
          </w:rPr>
          <w:t>https://www.nucem.sk/sk/merania/narodne-merania/testovanie-5/roky/2018-2019</w:t>
        </w:r>
      </w:hyperlink>
      <w:r>
        <w:rPr>
          <w:rFonts w:ascii="Arial Narrow" w:hAnsi="Arial Narrow"/>
          <w:sz w:val="18"/>
          <w:szCs w:val="18"/>
        </w:rPr>
        <w:t xml:space="preserve">, </w:t>
      </w:r>
      <w:hyperlink r:id="rId17" w:history="1">
        <w:r w:rsidRPr="003A435E">
          <w:rPr>
            <w:rStyle w:val="Hypertextovprepojenie"/>
            <w:rFonts w:ascii="Arial Narrow" w:hAnsi="Arial Narrow"/>
            <w:sz w:val="18"/>
            <w:szCs w:val="18"/>
          </w:rPr>
          <w:t>https://www.nucem.sk/sk/merania/narodne-merania/testovanie-9/roky/2018-2019?componentId=730</w:t>
        </w:r>
      </w:hyperlink>
      <w:r>
        <w:rPr>
          <w:rStyle w:val="Hypertextovprepojenie"/>
          <w:rFonts w:ascii="Arial Narrow" w:hAnsi="Arial Narrow"/>
          <w:sz w:val="18"/>
          <w:szCs w:val="18"/>
        </w:rPr>
        <w:t xml:space="preserve">, </w:t>
      </w:r>
      <w:hyperlink r:id="rId18" w:history="1">
        <w:r w:rsidRPr="00C936A7">
          <w:rPr>
            <w:rStyle w:val="Hypertextovprepojenie"/>
            <w:rFonts w:ascii="Arial Narrow" w:hAnsi="Arial Narrow"/>
            <w:sz w:val="18"/>
            <w:szCs w:val="18"/>
          </w:rPr>
          <w:t>https://www.oecd.org/pisa/Combined_Executive_Summaries_PISA_2018.pdf</w:t>
        </w:r>
      </w:hyperlink>
      <w:r>
        <w:rPr>
          <w:rStyle w:val="Hypertextovprepojenie"/>
          <w:rFonts w:ascii="Arial Narrow" w:hAnsi="Arial Narrow"/>
          <w:sz w:val="18"/>
          <w:szCs w:val="18"/>
        </w:rPr>
        <w:t xml:space="preserve">, </w:t>
      </w:r>
      <w:hyperlink r:id="rId19" w:history="1">
        <w:r w:rsidRPr="0094146A">
          <w:rPr>
            <w:rStyle w:val="Hypertextovprepojenie"/>
            <w:rFonts w:ascii="Arial Narrow" w:hAnsi="Arial Narrow"/>
            <w:sz w:val="18"/>
            <w:szCs w:val="18"/>
          </w:rPr>
          <w:t>http://www.nucem.sk/documents/27/medzinarodne_merania/timss/publikacie/Prve_vysledky_Slovenska_v_studii_IEA_TIMSS_2015.pdf</w:t>
        </w:r>
      </w:hyperlink>
      <w:r>
        <w:rPr>
          <w:rFonts w:ascii="Arial Narrow" w:hAnsi="Arial Narrow"/>
          <w:sz w:val="18"/>
          <w:szCs w:val="18"/>
        </w:rPr>
        <w:t xml:space="preserve">, </w:t>
      </w:r>
      <w:hyperlink r:id="rId20" w:history="1">
        <w:r w:rsidRPr="0094146A">
          <w:rPr>
            <w:rStyle w:val="Hypertextovprepojenie"/>
            <w:rFonts w:ascii="Arial Narrow" w:hAnsi="Arial Narrow"/>
            <w:sz w:val="18"/>
            <w:szCs w:val="18"/>
          </w:rPr>
          <w:t>http://www.nucem.sk/documents/27/medzinarodne_merania/pirls/publikacie/Prv%C3%A9_v%C3%BDsledky_Slovenska_v_%C5%A1t%C3%BAdii_IEA_PIRLS_2016.pdf</w:t>
        </w:r>
      </w:hyperlink>
    </w:p>
  </w:footnote>
  <w:footnote w:id="101">
    <w:p w14:paraId="2F030AA8" w14:textId="11CCB440" w:rsidR="00FA29AF" w:rsidRPr="003A435E" w:rsidRDefault="00FA29AF" w:rsidP="00FA7C06">
      <w:pPr>
        <w:pStyle w:val="Textpoznmkypodiarou"/>
        <w:rPr>
          <w:szCs w:val="18"/>
        </w:rPr>
      </w:pPr>
      <w:r w:rsidRPr="003A435E">
        <w:rPr>
          <w:rStyle w:val="Odkaznapoznmkupodiarou"/>
          <w:szCs w:val="18"/>
        </w:rPr>
        <w:footnoteRef/>
      </w:r>
      <w:r w:rsidRPr="003A435E">
        <w:rPr>
          <w:szCs w:val="18"/>
        </w:rPr>
        <w:t xml:space="preserve"> </w:t>
      </w:r>
      <w:r>
        <w:rPr>
          <w:szCs w:val="18"/>
        </w:rPr>
        <w:t>V RIS</w:t>
      </w:r>
      <w:r w:rsidRPr="003A435E">
        <w:rPr>
          <w:szCs w:val="18"/>
        </w:rPr>
        <w:t xml:space="preserve"> ministerstva školstva, </w:t>
      </w:r>
      <w:r>
        <w:rPr>
          <w:szCs w:val="18"/>
        </w:rPr>
        <w:t xml:space="preserve">nie je možné </w:t>
      </w:r>
      <w:r w:rsidRPr="003A435E">
        <w:rPr>
          <w:szCs w:val="18"/>
        </w:rPr>
        <w:t>dostatočne uplatniť</w:t>
      </w:r>
      <w:r>
        <w:rPr>
          <w:szCs w:val="18"/>
        </w:rPr>
        <w:t xml:space="preserve"> oficiálnu definíciu SZP</w:t>
      </w:r>
      <w:r w:rsidRPr="003A435E">
        <w:rPr>
          <w:szCs w:val="18"/>
        </w:rPr>
        <w:t>, pretože viaceré školy nevypĺňajú údaje o SZP statuse konkrétnych žiakov alebo ich vypĺňajú neúplne. Výsledkom je, že celkový počet SZP žiakov ZŠ v RIS je o 26 % nižší ako celkový počet žiakov, na ktorých školy poberajú príspevok pre SZP v dátach Eduzberu (zber údajov pre normatívne financovanie).</w:t>
      </w:r>
    </w:p>
  </w:footnote>
  <w:footnote w:id="102">
    <w:p w14:paraId="3DD660D5" w14:textId="46513F3A" w:rsidR="00FA29AF" w:rsidRPr="003A435E" w:rsidRDefault="00FA29AF" w:rsidP="00CC72C1">
      <w:pPr>
        <w:pStyle w:val="Textpoznmkypodiarou"/>
        <w:rPr>
          <w:szCs w:val="18"/>
        </w:rPr>
      </w:pPr>
      <w:r w:rsidRPr="003A435E">
        <w:rPr>
          <w:rStyle w:val="Odkaznapoznmkupodiarou"/>
          <w:szCs w:val="18"/>
        </w:rPr>
        <w:footnoteRef/>
      </w:r>
      <w:r w:rsidRPr="003A435E">
        <w:rPr>
          <w:szCs w:val="18"/>
        </w:rPr>
        <w:t xml:space="preserve"> Pokles medzi prvým a tretím ročníkom možno čiastočne pripísať vyčleňovaniu niektorých žiakov z uvedených </w:t>
      </w:r>
      <w:r>
        <w:rPr>
          <w:szCs w:val="18"/>
        </w:rPr>
        <w:t>skupín do špeciálneho školstva</w:t>
      </w:r>
      <w:r w:rsidRPr="003A435E">
        <w:rPr>
          <w:szCs w:val="18"/>
        </w:rPr>
        <w:t xml:space="preserve">. Vo vyšších ročníkoch </w:t>
      </w:r>
      <w:r>
        <w:rPr>
          <w:szCs w:val="18"/>
        </w:rPr>
        <w:t>je vplyv</w:t>
      </w:r>
      <w:r w:rsidRPr="003A435E">
        <w:rPr>
          <w:szCs w:val="18"/>
        </w:rPr>
        <w:t xml:space="preserve"> odchod</w:t>
      </w:r>
      <w:r>
        <w:rPr>
          <w:szCs w:val="18"/>
        </w:rPr>
        <w:t>u</w:t>
      </w:r>
      <w:r w:rsidRPr="003A435E">
        <w:rPr>
          <w:szCs w:val="18"/>
        </w:rPr>
        <w:t xml:space="preserve"> žiakov z bežného do špeciálneho školstva minimáln</w:t>
      </w:r>
      <w:r>
        <w:rPr>
          <w:szCs w:val="18"/>
        </w:rPr>
        <w:t>y.</w:t>
      </w:r>
    </w:p>
  </w:footnote>
  <w:footnote w:id="103">
    <w:p w14:paraId="7A47F88A" w14:textId="77777777" w:rsidR="00FA29AF" w:rsidRDefault="00FA29AF" w:rsidP="00DE675D">
      <w:pPr>
        <w:pStyle w:val="Textpoznmkypodiarou"/>
      </w:pPr>
      <w:r>
        <w:rPr>
          <w:rStyle w:val="Odkaznapoznmkupodiarou"/>
        </w:rPr>
        <w:footnoteRef/>
      </w:r>
      <w:r>
        <w:t xml:space="preserve"> Podľa dát o SZP príspevku z Eduzber (2018).</w:t>
      </w:r>
    </w:p>
  </w:footnote>
  <w:footnote w:id="104">
    <w:p w14:paraId="3616BE78" w14:textId="2C0321A6" w:rsidR="00FA29AF" w:rsidRDefault="00FA29AF" w:rsidP="00DE675D">
      <w:pPr>
        <w:pStyle w:val="Textpoznmkypodiarou"/>
      </w:pPr>
      <w:r>
        <w:rPr>
          <w:rStyle w:val="Odkaznapoznmkupodiarou"/>
        </w:rPr>
        <w:footnoteRef/>
      </w:r>
      <w:r>
        <w:t xml:space="preserve"> </w:t>
      </w:r>
      <w:r>
        <w:rPr>
          <w:szCs w:val="18"/>
        </w:rPr>
        <w:t xml:space="preserve">245/2008 Z. z. školský zákon, § 3 písm. d) Diskrimináciu vo vzdelávaní z dôvodu rasy, farby pleti, jazyka, príslušnosti k národnosti alebo etnickej skupine, zdravotného postihnutia a ďalších dôvodov, zakazuje slovenský právny poriadok ako aj viaceré medzinárodné ľudsko-právne zmluvy, ktoré Slovenská republika ratifikovala. </w:t>
      </w:r>
    </w:p>
  </w:footnote>
  <w:footnote w:id="105">
    <w:p w14:paraId="033F344E" w14:textId="2ACC6328" w:rsidR="00FA29AF" w:rsidRDefault="00FA29AF" w:rsidP="00D73BB4">
      <w:pPr>
        <w:pStyle w:val="Textpoznmkypodiarou"/>
      </w:pPr>
      <w:r>
        <w:rPr>
          <w:rStyle w:val="Odkaznapoznmkupodiarou"/>
        </w:rPr>
        <w:footnoteRef/>
      </w:r>
      <w:r>
        <w:t xml:space="preserve"> </w:t>
      </w:r>
      <w:r w:rsidRPr="004239DF">
        <w:t xml:space="preserve">Spomedzi prvákov z prostredia MRK zaradených do bežného prúdu </w:t>
      </w:r>
      <w:r>
        <w:t>sa v školách, ktoré spĺňajú podmienky zaradenia do skúmanej vzorky vzdelávala</w:t>
      </w:r>
      <w:r w:rsidRPr="004239DF">
        <w:t xml:space="preserve"> približne polovica žiakov</w:t>
      </w:r>
      <w:r>
        <w:t xml:space="preserve"> (</w:t>
      </w:r>
      <w:r>
        <w:fldChar w:fldCharType="begin"/>
      </w:r>
      <w:r>
        <w:instrText xml:space="preserve"> REF _Ref34129691 \h  \* MERGEFORMAT </w:instrText>
      </w:r>
      <w:r>
        <w:fldChar w:fldCharType="separate"/>
      </w:r>
      <w:r w:rsidRPr="00FA29AF">
        <w:t>Príloha 11</w:t>
      </w:r>
      <w:r>
        <w:fldChar w:fldCharType="end"/>
      </w:r>
      <w:r>
        <w:t>)</w:t>
      </w:r>
      <w:r w:rsidRPr="004239DF">
        <w:t>.</w:t>
      </w:r>
      <w:r>
        <w:t xml:space="preserve"> </w:t>
      </w:r>
    </w:p>
  </w:footnote>
  <w:footnote w:id="106">
    <w:p w14:paraId="28208B7F" w14:textId="6FD04216" w:rsidR="00FA29AF" w:rsidRDefault="00FA29AF">
      <w:pPr>
        <w:pStyle w:val="Textpoznmkypodiarou"/>
      </w:pPr>
      <w:r>
        <w:rPr>
          <w:rStyle w:val="Odkaznapoznmkupodiarou"/>
        </w:rPr>
        <w:footnoteRef/>
      </w:r>
      <w:r>
        <w:t xml:space="preserve"> </w:t>
      </w:r>
      <w:r w:rsidRPr="00E32A3F">
        <w:t xml:space="preserve">Spomedzi žiakov bežného prúdu z prostredia MRK </w:t>
      </w:r>
      <w:r>
        <w:t>sa v školách, ktoré spĺňajú podmienky zaradenia do skúmanej vzorky vzdelávalo</w:t>
      </w:r>
      <w:r w:rsidRPr="004239DF">
        <w:t xml:space="preserve"> približne </w:t>
      </w:r>
      <w:r w:rsidRPr="00E32A3F">
        <w:t>29 %</w:t>
      </w:r>
      <w:r>
        <w:t xml:space="preserve"> žiakov (</w:t>
      </w:r>
      <w:r>
        <w:fldChar w:fldCharType="begin"/>
      </w:r>
      <w:r>
        <w:instrText xml:space="preserve"> REF _Ref34129691 \h  \* MERGEFORMAT </w:instrText>
      </w:r>
      <w:r>
        <w:fldChar w:fldCharType="separate"/>
      </w:r>
      <w:r w:rsidRPr="00FA29AF">
        <w:t>Príloha 11</w:t>
      </w:r>
      <w:r>
        <w:fldChar w:fldCharType="end"/>
      </w:r>
      <w:r>
        <w:t>).</w:t>
      </w:r>
    </w:p>
  </w:footnote>
  <w:footnote w:id="107">
    <w:p w14:paraId="4631CEA0" w14:textId="4E8994E9" w:rsidR="00FA29AF" w:rsidRPr="00FD7002" w:rsidRDefault="00FA29AF" w:rsidP="00695590">
      <w:pPr>
        <w:pStyle w:val="Bezriadkovania"/>
        <w:jc w:val="both"/>
        <w:rPr>
          <w:rFonts w:ascii="Arial Narrow" w:hAnsi="Arial Narrow"/>
          <w:sz w:val="18"/>
          <w:szCs w:val="18"/>
        </w:rPr>
      </w:pPr>
      <w:r w:rsidRPr="00FD7002">
        <w:rPr>
          <w:rStyle w:val="Odkaznapoznmkupodiarou"/>
          <w:rFonts w:ascii="Arial Narrow" w:hAnsi="Arial Narrow"/>
          <w:sz w:val="18"/>
          <w:szCs w:val="18"/>
        </w:rPr>
        <w:footnoteRef/>
      </w:r>
      <w:r w:rsidRPr="00FD7002">
        <w:rPr>
          <w:rFonts w:ascii="Arial Narrow" w:hAnsi="Arial Narrow"/>
          <w:sz w:val="18"/>
          <w:szCs w:val="18"/>
        </w:rPr>
        <w:t xml:space="preserve"> </w:t>
      </w:r>
      <w:r>
        <w:rPr>
          <w:rFonts w:ascii="Arial Narrow" w:hAnsi="Arial Narrow"/>
          <w:sz w:val="18"/>
          <w:szCs w:val="18"/>
        </w:rPr>
        <w:t xml:space="preserve">MŠVVŠ SR. Regionálne školstvo. Financovanie. </w:t>
      </w:r>
      <w:hyperlink r:id="rId21" w:history="1">
        <w:r w:rsidRPr="00414F80">
          <w:rPr>
            <w:rStyle w:val="Hypertextovprepojenie"/>
            <w:rFonts w:ascii="Arial Narrow" w:hAnsi="Arial Narrow"/>
            <w:sz w:val="18"/>
            <w:szCs w:val="18"/>
          </w:rPr>
          <w:t>https://www.minedu.sk/financovanie/</w:t>
        </w:r>
      </w:hyperlink>
      <w:r>
        <w:rPr>
          <w:rFonts w:ascii="Arial Narrow" w:hAnsi="Arial Narrow"/>
          <w:sz w:val="18"/>
          <w:szCs w:val="18"/>
        </w:rPr>
        <w:t xml:space="preserve"> </w:t>
      </w:r>
    </w:p>
  </w:footnote>
  <w:footnote w:id="108">
    <w:p w14:paraId="7FD0B234" w14:textId="58DA38DF" w:rsidR="00FA29AF" w:rsidRPr="001A28E7" w:rsidRDefault="00FA29AF" w:rsidP="00695590">
      <w:pPr>
        <w:pStyle w:val="Textpoznmkypodiarou"/>
      </w:pPr>
      <w:r>
        <w:rPr>
          <w:rStyle w:val="Odkaznapoznmkupodiarou"/>
        </w:rPr>
        <w:footnoteRef/>
      </w:r>
      <w:r>
        <w:t xml:space="preserve"> </w:t>
      </w:r>
      <w:r w:rsidRPr="0046488A">
        <w:t xml:space="preserve">Mzdový normatív na žiaka nultého </w:t>
      </w:r>
      <w:r w:rsidRPr="00E460AC">
        <w:t>ročníka základnej školy je určený ako dvojnásobok normatívu na žiaka príslušnej základnej školy, čo v roku 2018 predstavovalo navýšenie v priemere o 1 344 eur za rok. Výdavky</w:t>
      </w:r>
      <w:r w:rsidRPr="00CA2564">
        <w:t xml:space="preserve"> sú navýšené najmä preto, lebo ide o triedy s menším počtom žiakov (min. 6 a max. 16 žiakov)</w:t>
      </w:r>
      <w:r>
        <w:t xml:space="preserve"> </w:t>
      </w:r>
      <w:r w:rsidRPr="00CA2564">
        <w:t>v porovnaní s inými triedami na prvom stupni ZŠ (min. 11 a max. 25 žiakov).</w:t>
      </w:r>
    </w:p>
  </w:footnote>
  <w:footnote w:id="109">
    <w:p w14:paraId="42AFDAC8" w14:textId="77777777" w:rsidR="00FA29AF" w:rsidRPr="00FD7002" w:rsidRDefault="00FA29AF" w:rsidP="00695590">
      <w:pPr>
        <w:pStyle w:val="Bezriadkovania"/>
        <w:jc w:val="both"/>
        <w:rPr>
          <w:rFonts w:ascii="Arial Narrow" w:hAnsi="Arial Narrow"/>
          <w:sz w:val="18"/>
          <w:szCs w:val="18"/>
        </w:rPr>
      </w:pPr>
      <w:r w:rsidRPr="00FD7002">
        <w:rPr>
          <w:rStyle w:val="Odkaznapoznmkupodiarou"/>
          <w:rFonts w:ascii="Arial Narrow" w:hAnsi="Arial Narrow"/>
          <w:sz w:val="18"/>
          <w:szCs w:val="18"/>
        </w:rPr>
        <w:footnoteRef/>
      </w:r>
      <w:r w:rsidRPr="00FD7002">
        <w:rPr>
          <w:rFonts w:ascii="Arial Narrow" w:hAnsi="Arial Narrow"/>
          <w:sz w:val="18"/>
          <w:szCs w:val="18"/>
        </w:rPr>
        <w:t xml:space="preserve"> Obsah vzdelávania v nultých ročníkoch má vychádzať zo štátnych vzdelávacích programov (ŠVP) pre predprimárne vzdelávanie a ŠVP pre primárne vzdelávanie </w:t>
      </w:r>
      <w:hyperlink r:id="rId22" w:history="1">
        <w:r w:rsidRPr="00FD7002">
          <w:rPr>
            <w:rStyle w:val="Hypertextovprepojenie"/>
            <w:rFonts w:ascii="Arial Narrow" w:hAnsi="Arial Narrow"/>
            <w:sz w:val="18"/>
            <w:szCs w:val="18"/>
          </w:rPr>
          <w:t>https://www.minedu.sk/data/files/6342_isvp_platne_od-1_9_2015.pdf</w:t>
        </w:r>
      </w:hyperlink>
      <w:r w:rsidRPr="00FD7002">
        <w:rPr>
          <w:rFonts w:ascii="Arial Narrow" w:hAnsi="Arial Narrow"/>
          <w:sz w:val="18"/>
          <w:szCs w:val="18"/>
        </w:rPr>
        <w:t xml:space="preserve"> </w:t>
      </w:r>
    </w:p>
  </w:footnote>
  <w:footnote w:id="110">
    <w:p w14:paraId="2154DE89" w14:textId="49D1FB80" w:rsidR="00FA29AF" w:rsidRPr="00FD7002" w:rsidRDefault="00FA29AF" w:rsidP="00122F6F">
      <w:pPr>
        <w:pStyle w:val="Bezriadkovania"/>
        <w:jc w:val="both"/>
        <w:rPr>
          <w:rFonts w:ascii="Arial Narrow" w:hAnsi="Arial Narrow"/>
          <w:sz w:val="18"/>
          <w:szCs w:val="18"/>
        </w:rPr>
      </w:pPr>
      <w:r w:rsidRPr="00FD7002">
        <w:rPr>
          <w:rStyle w:val="Odkaznapoznmkupodiarou"/>
          <w:rFonts w:ascii="Arial Narrow" w:hAnsi="Arial Narrow"/>
          <w:sz w:val="18"/>
          <w:szCs w:val="18"/>
        </w:rPr>
        <w:footnoteRef/>
      </w:r>
      <w:r w:rsidRPr="00FD7002">
        <w:rPr>
          <w:rFonts w:ascii="Arial Narrow" w:hAnsi="Arial Narrow"/>
          <w:sz w:val="18"/>
          <w:szCs w:val="18"/>
        </w:rPr>
        <w:t xml:space="preserve"> </w:t>
      </w:r>
      <w:r w:rsidRPr="00FD7002">
        <w:rPr>
          <w:rFonts w:ascii="Arial Narrow" w:hAnsi="Arial Narrow"/>
          <w:color w:val="000000"/>
          <w:sz w:val="18"/>
          <w:szCs w:val="18"/>
        </w:rPr>
        <w:t>Zistenia Štátnej školskej inšpekcie hovoria dokonca až o 91 % žiakoch z MRK</w:t>
      </w:r>
      <w:r w:rsidRPr="00FD7002">
        <w:rPr>
          <w:rFonts w:ascii="Arial Narrow" w:hAnsi="Arial Narrow"/>
          <w:sz w:val="18"/>
          <w:szCs w:val="18"/>
        </w:rPr>
        <w:t>. Údaje ŠŠI pochádzajú z elektronického dotazníka zaslaného riaditeľom škôl, ktoré prevádzkovali nultý ročník v školskom roku 2016-17 (Štátna školská inšpekcia, 2017</w:t>
      </w:r>
      <w:r>
        <w:rPr>
          <w:rFonts w:ascii="Arial Narrow" w:hAnsi="Arial Narrow"/>
          <w:sz w:val="18"/>
          <w:szCs w:val="18"/>
        </w:rPr>
        <w:t>a</w:t>
      </w:r>
      <w:r w:rsidRPr="00FD7002">
        <w:rPr>
          <w:rFonts w:ascii="Arial Narrow" w:hAnsi="Arial Narrow"/>
          <w:sz w:val="18"/>
          <w:szCs w:val="18"/>
        </w:rPr>
        <w:t>).</w:t>
      </w:r>
    </w:p>
  </w:footnote>
  <w:footnote w:id="111">
    <w:p w14:paraId="298DFCF1" w14:textId="6416259D" w:rsidR="00FA29AF" w:rsidRPr="00FD7002" w:rsidRDefault="00FA29AF" w:rsidP="00695590">
      <w:pPr>
        <w:pStyle w:val="Textpoznmkypodiarou"/>
        <w:rPr>
          <w:szCs w:val="18"/>
        </w:rPr>
      </w:pPr>
      <w:r w:rsidRPr="00FD7002">
        <w:rPr>
          <w:rStyle w:val="Odkaznapoznmkupodiarou"/>
          <w:szCs w:val="18"/>
        </w:rPr>
        <w:footnoteRef/>
      </w:r>
      <w:r w:rsidRPr="00FD7002">
        <w:rPr>
          <w:szCs w:val="18"/>
        </w:rPr>
        <w:t xml:space="preserve"> Do tohto výpočtu boli zahrnutí iba tí žiaci, ktorí zostali v tej istej škole, v ktorej absolvovali nultý ročník a iba tie školy, ktoré mali v prvom ročníku aspoň dve triedy (aby oddeľovanie absolventov nultého ročníka od ostatných prvákov bolo v princípe možné). Spomedzi absolventov nultého ročníka, ktorí nastúpili do prvého ročníka v š.r. 201</w:t>
      </w:r>
      <w:r>
        <w:rPr>
          <w:szCs w:val="18"/>
        </w:rPr>
        <w:t>8</w:t>
      </w:r>
      <w:r w:rsidRPr="00FD7002">
        <w:rPr>
          <w:szCs w:val="18"/>
        </w:rPr>
        <w:t>/1</w:t>
      </w:r>
      <w:r>
        <w:rPr>
          <w:szCs w:val="18"/>
        </w:rPr>
        <w:t>9</w:t>
      </w:r>
      <w:r w:rsidRPr="00FD7002">
        <w:rPr>
          <w:szCs w:val="18"/>
        </w:rPr>
        <w:t xml:space="preserve"> iba </w:t>
      </w:r>
      <w:r>
        <w:rPr>
          <w:szCs w:val="18"/>
        </w:rPr>
        <w:t>12</w:t>
      </w:r>
      <w:r w:rsidRPr="00FD7002">
        <w:rPr>
          <w:szCs w:val="18"/>
        </w:rPr>
        <w:t xml:space="preserve"> % bolo v škole, ktorá má v prvom ročníku iba jednu triedu. </w:t>
      </w:r>
    </w:p>
  </w:footnote>
  <w:footnote w:id="112">
    <w:p w14:paraId="358CC23B" w14:textId="77777777" w:rsidR="00FA29AF" w:rsidRDefault="00FA29AF" w:rsidP="00695590">
      <w:pPr>
        <w:pStyle w:val="Textpoznmkypodiarou"/>
      </w:pPr>
      <w:r>
        <w:rPr>
          <w:rStyle w:val="Odkaznapoznmkupodiarou"/>
        </w:rPr>
        <w:footnoteRef/>
      </w:r>
      <w:r>
        <w:t xml:space="preserve"> Údaj sa líši od oficiálne zverejnených štatistík CVTI SR, pretože sa jedná o iný zdroj údajov (RIS MŠVVŠ SR). Údaje sú očistené o žiakov nultého ročníka, ktorí </w:t>
      </w:r>
      <w:r w:rsidRPr="008D52D8">
        <w:t>nultý ročník v nasledujúcom školskom roku opakoval</w:t>
      </w:r>
      <w:r>
        <w:t>i a tiež o žiakov, ktorí boli preradení</w:t>
      </w:r>
      <w:r w:rsidRPr="008D52D8">
        <w:t xml:space="preserve"> do špeciálnych tried alebo </w:t>
      </w:r>
      <w:r>
        <w:t>špeciálnych škôl</w:t>
      </w:r>
      <w:r w:rsidRPr="008D52D8">
        <w:t>.</w:t>
      </w:r>
    </w:p>
  </w:footnote>
  <w:footnote w:id="113">
    <w:p w14:paraId="74040F19" w14:textId="77777777" w:rsidR="00FA29AF" w:rsidRDefault="00FA29AF" w:rsidP="00695590">
      <w:pPr>
        <w:pStyle w:val="Textpoznmkypodiarou"/>
      </w:pPr>
      <w:r>
        <w:rPr>
          <w:rStyle w:val="Odkaznapoznmkupodiarou"/>
        </w:rPr>
        <w:footnoteRef/>
      </w:r>
      <w:r>
        <w:t xml:space="preserve"> Prepočty IVP na základe údajov NUCEM (2018). Bodová škála sa pohybuje medzi 300 a 700. Pre širší kontext uvádzame, že priemerné skóre slovenských študentov bolo 535 a českých študentov 543. </w:t>
      </w:r>
    </w:p>
  </w:footnote>
  <w:footnote w:id="114">
    <w:p w14:paraId="5AC41EBA" w14:textId="40ADF132" w:rsidR="00FA29AF" w:rsidRPr="00421E5E" w:rsidRDefault="00FA29AF" w:rsidP="00695590">
      <w:pPr>
        <w:pStyle w:val="Textpoznmkypodiarou"/>
        <w:rPr>
          <w:szCs w:val="18"/>
        </w:rPr>
      </w:pPr>
      <w:r w:rsidRPr="00421E5E">
        <w:rPr>
          <w:rStyle w:val="Odkaznapoznmkupodiarou"/>
          <w:szCs w:val="18"/>
        </w:rPr>
        <w:footnoteRef/>
      </w:r>
      <w:r w:rsidRPr="00421E5E">
        <w:rPr>
          <w:szCs w:val="18"/>
        </w:rPr>
        <w:t xml:space="preserve"> Zákon č. 209/2019 Z. z., ktorým sa mení a dopĺňa zákon č. 245/2008 Z. z. o výchove a vzdelávaní (školský zákon) </w:t>
      </w:r>
    </w:p>
  </w:footnote>
  <w:footnote w:id="115">
    <w:p w14:paraId="30DBAE19" w14:textId="77777777" w:rsidR="00FA29AF" w:rsidRPr="00421E5E" w:rsidRDefault="00FA29AF" w:rsidP="00695590">
      <w:pPr>
        <w:pStyle w:val="Textpoznmkypodiarou"/>
        <w:rPr>
          <w:szCs w:val="18"/>
        </w:rPr>
      </w:pPr>
      <w:r w:rsidRPr="00421E5E">
        <w:rPr>
          <w:rStyle w:val="Odkaznapoznmkupodiarou"/>
          <w:szCs w:val="18"/>
        </w:rPr>
        <w:footnoteRef/>
      </w:r>
      <w:r w:rsidRPr="00421E5E">
        <w:rPr>
          <w:szCs w:val="18"/>
        </w:rPr>
        <w:t xml:space="preserve"> 8-ročné gymnázia, na ktorých sa prvé štyri roky vzdelávajú žiaci, ktorí by za iných okolností navštevovali 6. až 9.ročník základnej školy, nemajú nárok na SZP príspevok, a teda na podporu vzdelávania žiakov zo sociálne znevýhodneného prostredia.</w:t>
      </w:r>
    </w:p>
  </w:footnote>
  <w:footnote w:id="116">
    <w:p w14:paraId="76B2B777" w14:textId="77599C0B" w:rsidR="00FA29AF" w:rsidRDefault="00FA29AF" w:rsidP="00695590">
      <w:pPr>
        <w:pStyle w:val="Textpoznmkypodiarou"/>
      </w:pPr>
      <w:r w:rsidRPr="00421E5E">
        <w:rPr>
          <w:rStyle w:val="Odkaznapoznmkupodiarou"/>
        </w:rPr>
        <w:footnoteRef/>
      </w:r>
      <w:r w:rsidRPr="00421E5E">
        <w:t xml:space="preserve"> S účinnosťou od 1. januára 2020 je možné použiť SZP príspevok aj na zabezpečenie chýbajúcich pomôcok pre žiakov nad rámec dotácie</w:t>
      </w:r>
      <w:r>
        <w:t xml:space="preserve"> na školské potreby poskytnutej podľa zákona 554/2010 Z. z.: </w:t>
      </w:r>
      <w:hyperlink r:id="rId23" w:history="1">
        <w:r w:rsidRPr="00414F80">
          <w:rPr>
            <w:rStyle w:val="Hypertextovprepojenie"/>
          </w:rPr>
          <w:t>https://www.nrsr.sk/web/Default.aspx?sid=zakony/zakon&amp;MasterID=7467</w:t>
        </w:r>
      </w:hyperlink>
      <w:r>
        <w:t xml:space="preserve"> </w:t>
      </w:r>
    </w:p>
  </w:footnote>
  <w:footnote w:id="117">
    <w:p w14:paraId="41354DE3" w14:textId="77777777" w:rsidR="00FA29AF" w:rsidRPr="00FD7002" w:rsidRDefault="00FA29AF" w:rsidP="00695590">
      <w:pPr>
        <w:pStyle w:val="Bezriadkovania"/>
        <w:jc w:val="both"/>
        <w:rPr>
          <w:rFonts w:ascii="Arial Narrow" w:hAnsi="Arial Narrow"/>
          <w:sz w:val="18"/>
          <w:szCs w:val="18"/>
        </w:rPr>
      </w:pPr>
      <w:r w:rsidRPr="00FD7002">
        <w:rPr>
          <w:rStyle w:val="Odkaznapoznmkupodiarou"/>
          <w:rFonts w:ascii="Arial Narrow" w:hAnsi="Arial Narrow"/>
          <w:sz w:val="18"/>
          <w:szCs w:val="18"/>
        </w:rPr>
        <w:footnoteRef/>
      </w:r>
      <w:r w:rsidRPr="00FD7002">
        <w:rPr>
          <w:rFonts w:ascii="Arial Narrow" w:hAnsi="Arial Narrow"/>
          <w:sz w:val="18"/>
          <w:szCs w:val="18"/>
        </w:rPr>
        <w:t xml:space="preserve"> Úlohou asistenta učiteľa je pomáhať žiakom prekonávať bariéry plynúce z ich znevýhodnenia. Sociálny pedagóg poskytuje žiakom v rámci výchovno-vzdelávacieho procesu sociálnu pomoc.</w:t>
      </w:r>
    </w:p>
  </w:footnote>
  <w:footnote w:id="118">
    <w:p w14:paraId="34F9C878" w14:textId="1499B0D6" w:rsidR="00FA29AF" w:rsidRDefault="00FA29AF" w:rsidP="00695590">
      <w:pPr>
        <w:pStyle w:val="Textpoznmkypodiarou"/>
      </w:pPr>
      <w:r>
        <w:rPr>
          <w:rStyle w:val="Odkaznapoznmkupodiarou"/>
        </w:rPr>
        <w:footnoteRef/>
      </w:r>
      <w:r>
        <w:t xml:space="preserve"> Do konca roka 2019 bola hranica povinnosti pre zamestnanie pedagogického asistenta alebo sociálneho pedagóga určená na úrovni 85 žiakov.</w:t>
      </w:r>
    </w:p>
  </w:footnote>
  <w:footnote w:id="119">
    <w:p w14:paraId="6D8C769D" w14:textId="77777777" w:rsidR="00FA29AF" w:rsidRPr="003A435E" w:rsidRDefault="00FA29AF" w:rsidP="00695590">
      <w:pPr>
        <w:pStyle w:val="Textpoznmkypodiarou"/>
        <w:rPr>
          <w:szCs w:val="18"/>
        </w:rPr>
      </w:pPr>
      <w:r w:rsidRPr="003A435E">
        <w:rPr>
          <w:rStyle w:val="Odkaznapoznmkupodiarou"/>
          <w:szCs w:val="18"/>
        </w:rPr>
        <w:footnoteRef/>
      </w:r>
      <w:r w:rsidRPr="003A435E">
        <w:rPr>
          <w:szCs w:val="18"/>
        </w:rPr>
        <w:t xml:space="preserve"> Vlastné prepočty IVP na základe dát CVTI a RIS (2018).</w:t>
      </w:r>
    </w:p>
  </w:footnote>
  <w:footnote w:id="120">
    <w:p w14:paraId="40AF48C4" w14:textId="2B5C13FC" w:rsidR="00FA29AF" w:rsidRDefault="00FA29AF" w:rsidP="00695590">
      <w:pPr>
        <w:pStyle w:val="Textpoznmkypodiarou"/>
      </w:pPr>
      <w:r>
        <w:rPr>
          <w:rStyle w:val="Odkaznapoznmkupodiarou"/>
        </w:rPr>
        <w:footnoteRef/>
      </w:r>
      <w:r>
        <w:t xml:space="preserve"> Poradenské zariadenia majú pri identifikovaní vzdelávacích potrieb vyplývajúcich zo SZP zohľadňovať viaceré faktory uvedené v metodickom usmernení MŠVVŠ SR (2016): </w:t>
      </w:r>
      <w:hyperlink r:id="rId24" w:history="1">
        <w:r w:rsidRPr="00414F80">
          <w:rPr>
            <w:rStyle w:val="Hypertextovprepojenie"/>
          </w:rPr>
          <w:t>https://www.minedu.sk/data/files/5853_usmernenie_cpppap_diagnostika.pdf</w:t>
        </w:r>
      </w:hyperlink>
      <w:r>
        <w:t xml:space="preserve"> </w:t>
      </w:r>
    </w:p>
  </w:footnote>
  <w:footnote w:id="121">
    <w:p w14:paraId="6CC67984" w14:textId="77777777" w:rsidR="00FA29AF" w:rsidRDefault="00FA29AF" w:rsidP="006D483D">
      <w:pPr>
        <w:pStyle w:val="Textpoznmkypodiarou"/>
      </w:pPr>
      <w:r>
        <w:rPr>
          <w:rStyle w:val="Odkaznapoznmkupodiarou"/>
        </w:rPr>
        <w:footnoteRef/>
      </w:r>
      <w:r>
        <w:t xml:space="preserve"> S účinnosťou od 1. januára 2020 sa výška príplatku zvýšila z 2,5 % na 5 % z platovej tarify 9. platovej triedy prvej pracovnej triedy mesačne: </w:t>
      </w:r>
      <w:hyperlink r:id="rId25" w:history="1">
        <w:r w:rsidRPr="00414F80">
          <w:rPr>
            <w:rStyle w:val="Hypertextovprepojenie"/>
          </w:rPr>
          <w:t>https://www.nrsr.sk/web/Default.aspx?sid=zakony/zakon&amp;MasterID=7467</w:t>
        </w:r>
      </w:hyperlink>
      <w:r>
        <w:t xml:space="preserve"> </w:t>
      </w:r>
    </w:p>
  </w:footnote>
  <w:footnote w:id="122">
    <w:p w14:paraId="76F83AA1" w14:textId="23FA03EA" w:rsidR="00FA29AF" w:rsidRPr="003A435E" w:rsidRDefault="00FA29AF" w:rsidP="00695590">
      <w:pPr>
        <w:pStyle w:val="Textpoznmkypodiarou"/>
        <w:rPr>
          <w:szCs w:val="18"/>
        </w:rPr>
      </w:pPr>
      <w:r w:rsidRPr="003A435E">
        <w:rPr>
          <w:rStyle w:val="Odkaznapoznmkupodiarou"/>
          <w:szCs w:val="18"/>
        </w:rPr>
        <w:footnoteRef/>
      </w:r>
      <w:r w:rsidRPr="003A435E">
        <w:rPr>
          <w:szCs w:val="18"/>
        </w:rPr>
        <w:t xml:space="preserve"> 553/2003 Z. z. o odmeňovaní niektorých zamestnancov pri výkone práce vo verejnom záujme, § 14d</w:t>
      </w:r>
    </w:p>
  </w:footnote>
  <w:footnote w:id="123">
    <w:p w14:paraId="2BEE207C" w14:textId="2D9C8B6B" w:rsidR="00FA29AF" w:rsidRPr="003A435E" w:rsidRDefault="00FA29AF" w:rsidP="00695590">
      <w:pPr>
        <w:pStyle w:val="Textpoznmkypodiarou"/>
        <w:rPr>
          <w:szCs w:val="18"/>
        </w:rPr>
      </w:pPr>
      <w:r w:rsidRPr="003A435E">
        <w:rPr>
          <w:rStyle w:val="Odkaznapoznmkupodiarou"/>
          <w:szCs w:val="18"/>
        </w:rPr>
        <w:footnoteRef/>
      </w:r>
      <w:r w:rsidRPr="003A435E">
        <w:rPr>
          <w:szCs w:val="18"/>
        </w:rPr>
        <w:t xml:space="preserve"> Špecializované triedy treba odlišovať od špeciálnych tried (a špeciálnych škôl), ktoré sú určené pre žiakov so zdravotným znevýhodnením vrátane detí s diagnostikovaným mentálnym postihnutím (</w:t>
      </w:r>
      <w:r w:rsidRPr="00936D58">
        <w:rPr>
          <w:szCs w:val="18"/>
        </w:rPr>
        <w:t xml:space="preserve">podkapitola </w:t>
      </w:r>
      <w:r w:rsidRPr="00936D58">
        <w:rPr>
          <w:szCs w:val="18"/>
        </w:rPr>
        <w:fldChar w:fldCharType="begin"/>
      </w:r>
      <w:r w:rsidRPr="00936D58">
        <w:rPr>
          <w:szCs w:val="18"/>
        </w:rPr>
        <w:instrText xml:space="preserve"> REF _Ref25743147 \r \h </w:instrText>
      </w:r>
      <w:r>
        <w:rPr>
          <w:szCs w:val="18"/>
        </w:rPr>
        <w:instrText xml:space="preserve"> \* MERGEFORMAT </w:instrText>
      </w:r>
      <w:r w:rsidRPr="00936D58">
        <w:rPr>
          <w:szCs w:val="18"/>
        </w:rPr>
      </w:r>
      <w:r w:rsidRPr="00936D58">
        <w:rPr>
          <w:szCs w:val="18"/>
        </w:rPr>
        <w:fldChar w:fldCharType="separate"/>
      </w:r>
      <w:r>
        <w:rPr>
          <w:szCs w:val="18"/>
        </w:rPr>
        <w:t>6.2</w:t>
      </w:r>
      <w:r w:rsidRPr="00936D58">
        <w:rPr>
          <w:szCs w:val="18"/>
        </w:rPr>
        <w:fldChar w:fldCharType="end"/>
      </w:r>
      <w:r w:rsidRPr="003A435E">
        <w:rPr>
          <w:szCs w:val="18"/>
        </w:rPr>
        <w:t>).</w:t>
      </w:r>
    </w:p>
  </w:footnote>
  <w:footnote w:id="124">
    <w:p w14:paraId="69610166" w14:textId="667BEC67" w:rsidR="00FA29AF" w:rsidRPr="003A435E" w:rsidRDefault="00FA29AF" w:rsidP="00695590">
      <w:pPr>
        <w:pStyle w:val="Bezriadkovania"/>
        <w:jc w:val="both"/>
        <w:rPr>
          <w:rFonts w:ascii="Arial Narrow" w:hAnsi="Arial Narrow"/>
          <w:sz w:val="18"/>
          <w:szCs w:val="18"/>
        </w:rPr>
      </w:pPr>
      <w:r w:rsidRPr="003A435E">
        <w:rPr>
          <w:rStyle w:val="Odkaznapoznmkupodiarou"/>
          <w:rFonts w:ascii="Arial Narrow" w:hAnsi="Arial Narrow"/>
          <w:sz w:val="18"/>
          <w:szCs w:val="18"/>
        </w:rPr>
        <w:footnoteRef/>
      </w:r>
      <w:r w:rsidRPr="003A435E">
        <w:rPr>
          <w:rFonts w:ascii="Arial Narrow" w:hAnsi="Arial Narrow"/>
          <w:sz w:val="18"/>
          <w:szCs w:val="18"/>
        </w:rPr>
        <w:t xml:space="preserve"> 245/2008 </w:t>
      </w:r>
      <w:r>
        <w:rPr>
          <w:rFonts w:ascii="Arial Narrow" w:hAnsi="Arial Narrow"/>
          <w:sz w:val="18"/>
          <w:szCs w:val="18"/>
        </w:rPr>
        <w:t xml:space="preserve">Z. z. </w:t>
      </w:r>
      <w:r w:rsidRPr="0050481A">
        <w:rPr>
          <w:rFonts w:ascii="Arial Narrow" w:hAnsi="Arial Narrow"/>
          <w:sz w:val="18"/>
          <w:szCs w:val="18"/>
        </w:rPr>
        <w:t xml:space="preserve">o výchove a vzdelávaní (školský zákon) </w:t>
      </w:r>
      <w:r w:rsidRPr="003A435E">
        <w:rPr>
          <w:rFonts w:ascii="Arial Narrow" w:hAnsi="Arial Narrow"/>
          <w:sz w:val="18"/>
          <w:szCs w:val="18"/>
        </w:rPr>
        <w:t>§ 29 ods. 11 Žiaka do špecializovanej triedy zaraďuje riaditeľ školy na návrh triedneho učiteľa po vyjadrení výchovného poradcu a s informovaným súhlasom zákonného zástupcu žiaka.</w:t>
      </w:r>
    </w:p>
  </w:footnote>
  <w:footnote w:id="125">
    <w:p w14:paraId="497F836A" w14:textId="4974E6F3" w:rsidR="00FA29AF" w:rsidRPr="003A435E" w:rsidRDefault="00FA29AF" w:rsidP="00695590">
      <w:pPr>
        <w:pStyle w:val="Bezriadkovania"/>
        <w:jc w:val="both"/>
        <w:rPr>
          <w:rFonts w:ascii="Arial Narrow" w:hAnsi="Arial Narrow"/>
          <w:sz w:val="18"/>
          <w:szCs w:val="18"/>
        </w:rPr>
      </w:pPr>
      <w:r w:rsidRPr="003A435E">
        <w:rPr>
          <w:rStyle w:val="Odkaznapoznmkupodiarou"/>
          <w:rFonts w:ascii="Arial Narrow" w:hAnsi="Arial Narrow"/>
          <w:sz w:val="18"/>
          <w:szCs w:val="18"/>
        </w:rPr>
        <w:footnoteRef/>
      </w:r>
      <w:r>
        <w:rPr>
          <w:rFonts w:ascii="Arial Narrow" w:hAnsi="Arial Narrow"/>
          <w:sz w:val="18"/>
          <w:szCs w:val="18"/>
        </w:rPr>
        <w:t xml:space="preserve"> </w:t>
      </w:r>
      <w:r w:rsidRPr="003A435E">
        <w:rPr>
          <w:rFonts w:ascii="Arial Narrow" w:hAnsi="Arial Narrow"/>
          <w:sz w:val="18"/>
          <w:szCs w:val="18"/>
        </w:rPr>
        <w:t>CVTI</w:t>
      </w:r>
      <w:r>
        <w:rPr>
          <w:rFonts w:ascii="Arial Narrow" w:hAnsi="Arial Narrow"/>
          <w:sz w:val="18"/>
          <w:szCs w:val="18"/>
        </w:rPr>
        <w:t xml:space="preserve"> (2018)</w:t>
      </w:r>
    </w:p>
  </w:footnote>
  <w:footnote w:id="126">
    <w:p w14:paraId="3BE15FC9" w14:textId="77777777" w:rsidR="00FA29AF" w:rsidRPr="00D75C23" w:rsidRDefault="00FA29AF" w:rsidP="00695590">
      <w:pPr>
        <w:pStyle w:val="Textpoznmkypodiarou"/>
      </w:pPr>
      <w:r>
        <w:rPr>
          <w:rStyle w:val="Odkaznapoznmkupodiarou"/>
        </w:rPr>
        <w:footnoteRef/>
      </w:r>
      <w:r>
        <w:t xml:space="preserve"> </w:t>
      </w:r>
      <w:r w:rsidRPr="00DD74D4">
        <w:t>Jedným z dôvodov nízkeho záujmu škôl o využívanie tohto nástroja môže byť aj fakt, že vzhľadom na nízky počet žiakov (</w:t>
      </w:r>
      <w:r w:rsidRPr="00500CD1">
        <w:t>min. 4 a max. 8 žiaci) ide o relatívne drahý nástroj a výška SZP príspevku (150 eur) nemusí byť postačujúca na pokrytie výdavkov spojených s fungovaním špecializovanej triedy.</w:t>
      </w:r>
    </w:p>
  </w:footnote>
  <w:footnote w:id="127">
    <w:p w14:paraId="22575C9B" w14:textId="5E38B681" w:rsidR="00FA29AF" w:rsidRPr="00FD7002" w:rsidRDefault="00FA29AF" w:rsidP="00695590">
      <w:pPr>
        <w:pStyle w:val="Bezriadkovania"/>
        <w:jc w:val="both"/>
        <w:rPr>
          <w:rFonts w:ascii="Arial Narrow" w:hAnsi="Arial Narrow"/>
          <w:sz w:val="18"/>
          <w:szCs w:val="18"/>
        </w:rPr>
      </w:pPr>
      <w:r w:rsidRPr="00FD7002">
        <w:rPr>
          <w:rStyle w:val="Odkaznapoznmkupodiarou"/>
          <w:rFonts w:ascii="Arial Narrow" w:hAnsi="Arial Narrow"/>
          <w:sz w:val="18"/>
          <w:szCs w:val="18"/>
        </w:rPr>
        <w:footnoteRef/>
      </w:r>
      <w:r w:rsidRPr="00FD7002">
        <w:rPr>
          <w:rFonts w:ascii="Arial Narrow" w:hAnsi="Arial Narrow"/>
          <w:sz w:val="18"/>
          <w:szCs w:val="18"/>
        </w:rPr>
        <w:t xml:space="preserve"> V prepočte na kalendárne roky išlo o pokles z 45 183 žiakov v roku 2016 na 28 236 žiakov v roku 2017</w:t>
      </w:r>
      <w:r>
        <w:rPr>
          <w:rFonts w:ascii="Arial Narrow" w:hAnsi="Arial Narrow"/>
          <w:sz w:val="18"/>
          <w:szCs w:val="18"/>
        </w:rPr>
        <w:t xml:space="preserve"> (MŠSVŠ SR, 2016, 2017)</w:t>
      </w:r>
      <w:r w:rsidRPr="00FD7002">
        <w:rPr>
          <w:rFonts w:ascii="Arial Narrow" w:hAnsi="Arial Narrow"/>
          <w:sz w:val="18"/>
          <w:szCs w:val="18"/>
        </w:rPr>
        <w:t>.</w:t>
      </w:r>
    </w:p>
  </w:footnote>
  <w:footnote w:id="128">
    <w:p w14:paraId="0C886600" w14:textId="77777777" w:rsidR="00FA29AF" w:rsidRPr="00FD7002" w:rsidRDefault="00FA29AF" w:rsidP="00695590">
      <w:pPr>
        <w:pStyle w:val="Bezriadkovania"/>
        <w:rPr>
          <w:rFonts w:ascii="Arial Narrow" w:hAnsi="Arial Narrow"/>
          <w:sz w:val="18"/>
          <w:szCs w:val="18"/>
        </w:rPr>
      </w:pPr>
      <w:r w:rsidRPr="00FD7002">
        <w:rPr>
          <w:rStyle w:val="Odkaznapoznmkupodiarou"/>
          <w:rFonts w:ascii="Arial Narrow" w:hAnsi="Arial Narrow"/>
          <w:sz w:val="18"/>
          <w:szCs w:val="18"/>
        </w:rPr>
        <w:footnoteRef/>
      </w:r>
      <w:r w:rsidRPr="00FD7002">
        <w:rPr>
          <w:rFonts w:ascii="Arial Narrow" w:hAnsi="Arial Narrow"/>
          <w:sz w:val="18"/>
          <w:szCs w:val="18"/>
        </w:rPr>
        <w:t xml:space="preserve"> 597/2003 Z. z. o financovaní základných škôl, stredných škôl a školských zariadení, § 9f ods. 3.</w:t>
      </w:r>
    </w:p>
  </w:footnote>
  <w:footnote w:id="129">
    <w:p w14:paraId="67BDD09C" w14:textId="19DF6F5E" w:rsidR="00FA29AF" w:rsidRPr="00FD7002" w:rsidRDefault="00FA29AF" w:rsidP="00695590">
      <w:pPr>
        <w:pStyle w:val="Textpoznmkypodiarou"/>
        <w:rPr>
          <w:szCs w:val="18"/>
        </w:rPr>
      </w:pPr>
      <w:r w:rsidRPr="00FD7002">
        <w:rPr>
          <w:rStyle w:val="Odkaznapoznmkupodiarou"/>
          <w:szCs w:val="18"/>
        </w:rPr>
        <w:footnoteRef/>
      </w:r>
      <w:r w:rsidRPr="00FD7002">
        <w:rPr>
          <w:szCs w:val="18"/>
        </w:rPr>
        <w:t xml:space="preserve"> Dôvodom nízkeho pokrytia je hlavne veľká medzera medzi hranicou rizika chudoby a hranicou životného minima kedy vzniká nárok na dotácie</w:t>
      </w:r>
      <w:r>
        <w:rPr>
          <w:szCs w:val="18"/>
        </w:rPr>
        <w:t xml:space="preserve"> (</w:t>
      </w:r>
      <w:r w:rsidRPr="00FD7002">
        <w:rPr>
          <w:szCs w:val="18"/>
        </w:rPr>
        <w:t>podkapitol</w:t>
      </w:r>
      <w:r>
        <w:rPr>
          <w:szCs w:val="18"/>
        </w:rPr>
        <w:t>a</w:t>
      </w:r>
      <w:r w:rsidRPr="00FD7002">
        <w:rPr>
          <w:szCs w:val="18"/>
        </w:rPr>
        <w:t xml:space="preserve"> </w:t>
      </w:r>
      <w:r>
        <w:rPr>
          <w:szCs w:val="18"/>
        </w:rPr>
        <w:fldChar w:fldCharType="begin"/>
      </w:r>
      <w:r>
        <w:rPr>
          <w:szCs w:val="18"/>
        </w:rPr>
        <w:instrText xml:space="preserve"> REF _Ref25321797 \r \h </w:instrText>
      </w:r>
      <w:r>
        <w:rPr>
          <w:szCs w:val="18"/>
        </w:rPr>
      </w:r>
      <w:r>
        <w:rPr>
          <w:szCs w:val="18"/>
        </w:rPr>
        <w:fldChar w:fldCharType="separate"/>
      </w:r>
      <w:r>
        <w:rPr>
          <w:szCs w:val="18"/>
        </w:rPr>
        <w:t>8.1</w:t>
      </w:r>
      <w:r>
        <w:rPr>
          <w:szCs w:val="18"/>
        </w:rPr>
        <w:fldChar w:fldCharType="end"/>
      </w:r>
      <w:r>
        <w:rPr>
          <w:szCs w:val="18"/>
        </w:rPr>
        <w:t>)</w:t>
      </w:r>
      <w:r w:rsidRPr="00FD7002">
        <w:rPr>
          <w:szCs w:val="18"/>
        </w:rPr>
        <w:t>.</w:t>
      </w:r>
    </w:p>
  </w:footnote>
  <w:footnote w:id="130">
    <w:p w14:paraId="77F8DCDE" w14:textId="60AB1A63" w:rsidR="00FA29AF" w:rsidRPr="00FD7002" w:rsidRDefault="00FA29AF" w:rsidP="00695590">
      <w:pPr>
        <w:pStyle w:val="Textpoznmkypodiarou"/>
        <w:rPr>
          <w:szCs w:val="18"/>
        </w:rPr>
      </w:pPr>
      <w:r w:rsidRPr="00FD7002">
        <w:rPr>
          <w:rStyle w:val="Odkaznapoznmkupodiarou"/>
          <w:szCs w:val="18"/>
        </w:rPr>
        <w:footnoteRef/>
      </w:r>
      <w:r w:rsidRPr="00FD7002">
        <w:rPr>
          <w:szCs w:val="18"/>
        </w:rPr>
        <w:t xml:space="preserve"> </w:t>
      </w:r>
      <w:r>
        <w:rPr>
          <w:szCs w:val="18"/>
        </w:rPr>
        <w:t xml:space="preserve">Zákon č. 375/2018 Z. z. </w:t>
      </w:r>
      <w:r w:rsidRPr="00FC4894">
        <w:rPr>
          <w:szCs w:val="18"/>
        </w:rPr>
        <w:t>ktorým sa mení a dopĺňa zákon č. 544/2010 Z. z. o dotáciách v pôsobnosti Ministerstva práce, sociálnych vecí a</w:t>
      </w:r>
      <w:r>
        <w:rPr>
          <w:szCs w:val="18"/>
        </w:rPr>
        <w:t> </w:t>
      </w:r>
      <w:r w:rsidRPr="00FC4894">
        <w:rPr>
          <w:szCs w:val="18"/>
        </w:rPr>
        <w:t>rodiny</w:t>
      </w:r>
      <w:r>
        <w:rPr>
          <w:szCs w:val="18"/>
        </w:rPr>
        <w:t>.</w:t>
      </w:r>
      <w:hyperlink w:history="1"/>
    </w:p>
  </w:footnote>
  <w:footnote w:id="131">
    <w:p w14:paraId="213E1594" w14:textId="0B35E748" w:rsidR="00FA29AF" w:rsidRPr="003A435E" w:rsidRDefault="00FA29AF" w:rsidP="00695590">
      <w:pPr>
        <w:pStyle w:val="Textpoznmkypodiarou"/>
        <w:rPr>
          <w:szCs w:val="18"/>
        </w:rPr>
      </w:pPr>
      <w:r w:rsidRPr="003A435E">
        <w:rPr>
          <w:rStyle w:val="Odkaznapoznmkupodiarou"/>
          <w:szCs w:val="18"/>
        </w:rPr>
        <w:footnoteRef/>
      </w:r>
      <w:r w:rsidRPr="003A435E">
        <w:rPr>
          <w:szCs w:val="18"/>
        </w:rPr>
        <w:t xml:space="preserve"> 630/2008 Z. z. ktorým sa ustanovujú podrobnosti rozpisu finančných prostriedkov zo štátneho rozpočtu pre školy a školské zariadenia. Základné školy, v ktorých sa vyučuje jazyk národnostnej menšiny, dostávajú na žiakov učiacich sa menšinový jazyk navýšený normatív zodpovedajúci 104 % bežného normatívu. Školy s vyučujúcim jazykom rómskym neexistujú. Normatívne financovanie, dostupné na: </w:t>
      </w:r>
      <w:hyperlink r:id="rId26" w:history="1">
        <w:r w:rsidRPr="00D55CB2">
          <w:rPr>
            <w:rStyle w:val="Hypertextovprepojenie"/>
            <w:szCs w:val="18"/>
          </w:rPr>
          <w:t>https://www.minedu.sk/normativne-financovanie/</w:t>
        </w:r>
      </w:hyperlink>
      <w:r>
        <w:rPr>
          <w:szCs w:val="18"/>
        </w:rPr>
        <w:t xml:space="preserve"> </w:t>
      </w:r>
    </w:p>
  </w:footnote>
  <w:footnote w:id="132">
    <w:p w14:paraId="65CE9C04" w14:textId="77777777" w:rsidR="00FA29AF" w:rsidRPr="003A435E" w:rsidRDefault="00FA29AF" w:rsidP="00695590">
      <w:pPr>
        <w:pStyle w:val="Textpoznmkypodiarou"/>
        <w:rPr>
          <w:szCs w:val="18"/>
        </w:rPr>
      </w:pPr>
      <w:r w:rsidRPr="003A435E">
        <w:rPr>
          <w:rStyle w:val="Odkaznapoznmkupodiarou"/>
          <w:szCs w:val="18"/>
        </w:rPr>
        <w:footnoteRef/>
      </w:r>
      <w:r w:rsidRPr="003A435E">
        <w:rPr>
          <w:szCs w:val="18"/>
        </w:rPr>
        <w:t xml:space="preserve"> Školský zákon momentálne neumožňuje zbierať údaje o materinskom jazyku žiakov.</w:t>
      </w:r>
    </w:p>
  </w:footnote>
  <w:footnote w:id="133">
    <w:p w14:paraId="424429B5" w14:textId="77777777" w:rsidR="00FA29AF" w:rsidRPr="003A435E" w:rsidRDefault="00FA29AF" w:rsidP="00695590">
      <w:pPr>
        <w:pStyle w:val="Textpoznmkypodiarou"/>
        <w:rPr>
          <w:szCs w:val="18"/>
        </w:rPr>
      </w:pPr>
      <w:r w:rsidRPr="003A435E">
        <w:rPr>
          <w:rStyle w:val="Odkaznapoznmkupodiarou"/>
          <w:szCs w:val="18"/>
        </w:rPr>
        <w:footnoteRef/>
      </w:r>
      <w:r w:rsidRPr="003A435E">
        <w:rPr>
          <w:szCs w:val="18"/>
        </w:rPr>
        <w:t xml:space="preserve"> </w:t>
      </w:r>
      <w:hyperlink r:id="rId27" w:history="1">
        <w:r w:rsidRPr="003A435E">
          <w:rPr>
            <w:rStyle w:val="Hypertextovprepojenie"/>
          </w:rPr>
          <w:t>https://www.minedu.sk/data/att/14770.pdf</w:t>
        </w:r>
      </w:hyperlink>
    </w:p>
  </w:footnote>
  <w:footnote w:id="134">
    <w:p w14:paraId="4C00DFF1" w14:textId="77777777" w:rsidR="00FA29AF" w:rsidRPr="003A435E" w:rsidRDefault="00FA29AF" w:rsidP="00695590">
      <w:pPr>
        <w:pStyle w:val="Textpoznmkypodiarou"/>
        <w:rPr>
          <w:szCs w:val="18"/>
        </w:rPr>
      </w:pPr>
      <w:r w:rsidRPr="003A435E">
        <w:rPr>
          <w:rStyle w:val="Odkaznapoznmkupodiarou"/>
          <w:szCs w:val="18"/>
        </w:rPr>
        <w:footnoteRef/>
      </w:r>
      <w:r w:rsidRPr="003A435E">
        <w:rPr>
          <w:szCs w:val="18"/>
        </w:rPr>
        <w:t xml:space="preserve"> Školy môžu dotáciu navýšiť v rozsahu disponibilných hodín.</w:t>
      </w:r>
    </w:p>
  </w:footnote>
  <w:footnote w:id="135">
    <w:p w14:paraId="589BFC90" w14:textId="05E1ACB4" w:rsidR="00FA29AF" w:rsidRDefault="00FA29AF" w:rsidP="00714129">
      <w:pPr>
        <w:pStyle w:val="Textpoznmkypodiarou"/>
        <w:jc w:val="left"/>
      </w:pPr>
      <w:r>
        <w:rPr>
          <w:rStyle w:val="Odkaznapoznmkupodiarou"/>
        </w:rPr>
        <w:footnoteRef/>
      </w:r>
      <w:r>
        <w:t xml:space="preserve"> Rámcový učebný plán pre ZŠ s vyučovaním jazyka národnostnej menšiny</w:t>
      </w:r>
      <w:r w:rsidRPr="003A435E" w:rsidDel="003F00E9">
        <w:rPr>
          <w:szCs w:val="18"/>
        </w:rPr>
        <w:t xml:space="preserve"> </w:t>
      </w:r>
      <w:r w:rsidRPr="003A435E">
        <w:rPr>
          <w:szCs w:val="18"/>
        </w:rPr>
        <w:t xml:space="preserve">: </w:t>
      </w:r>
      <w:hyperlink r:id="rId28" w:history="1">
        <w:r w:rsidRPr="003A435E">
          <w:rPr>
            <w:rStyle w:val="Hypertextovprepojenie"/>
          </w:rPr>
          <w:t>http://www.statpedu.sk/files/articles/dokumenty/inovovany-statny-vzdelavaci-program/rup_zs_pre-z-s-vyu_ovan_m-jazyka-n_rodnostnej-men_iny.pdf</w:t>
        </w:r>
      </w:hyperlink>
      <w:r w:rsidRPr="00714129">
        <w:rPr>
          <w:rStyle w:val="Hypertextovprepojenie"/>
          <w:u w:val="none"/>
        </w:rPr>
        <w:t xml:space="preserve"> </w:t>
      </w:r>
      <w:r w:rsidRPr="00714129">
        <w:rPr>
          <w:rStyle w:val="Hypertextovprepojenie"/>
          <w:color w:val="auto"/>
          <w:u w:val="none"/>
        </w:rPr>
        <w:t>a</w:t>
      </w:r>
      <w:r w:rsidRPr="00714129">
        <w:rPr>
          <w:rStyle w:val="Hypertextovprepojenie"/>
          <w:u w:val="none"/>
        </w:rPr>
        <w:t xml:space="preserve"> </w:t>
      </w:r>
      <w:hyperlink r:id="rId29" w:history="1">
        <w:r w:rsidRPr="00C967E9">
          <w:rPr>
            <w:rStyle w:val="Hypertextovprepojenie"/>
          </w:rPr>
          <w:t>https://www.minedu.sk/data/files/7461_dodatok-c-1_vjnm.pdf</w:t>
        </w:r>
      </w:hyperlink>
    </w:p>
  </w:footnote>
  <w:footnote w:id="136">
    <w:p w14:paraId="52BDF838" w14:textId="77777777" w:rsidR="00FA29AF" w:rsidRPr="003A435E" w:rsidRDefault="00FA29AF" w:rsidP="00695590">
      <w:pPr>
        <w:pStyle w:val="Textpoznmkypodiarou"/>
        <w:rPr>
          <w:szCs w:val="18"/>
        </w:rPr>
      </w:pPr>
      <w:r w:rsidRPr="003A435E">
        <w:rPr>
          <w:rStyle w:val="Odkaznapoznmkupodiarou"/>
          <w:szCs w:val="18"/>
        </w:rPr>
        <w:footnoteRef/>
      </w:r>
      <w:r w:rsidRPr="003A435E">
        <w:rPr>
          <w:szCs w:val="18"/>
        </w:rPr>
        <w:t xml:space="preserve"> Inovačné vzdelávanie pedagogických zamestnancov škôl v oblasti inkluzívneho vzdelávania detí z marginalizovaných rómskych komunít, Rozvoj kompetencií odborných zamestnancov v prevencii sociálno-patologických javov u žiakov z marginalizovaných rómskych komunít a Odborné poradenstvo v predprimárnom vzdelávaní detí z marginalizovaných rómskych komunít</w:t>
      </w:r>
    </w:p>
  </w:footnote>
  <w:footnote w:id="137">
    <w:p w14:paraId="3F7E2B44" w14:textId="77777777" w:rsidR="00FA29AF" w:rsidRPr="003A435E" w:rsidRDefault="00FA29AF" w:rsidP="00695590">
      <w:pPr>
        <w:pStyle w:val="Textpoznmkypodiarou"/>
        <w:rPr>
          <w:szCs w:val="18"/>
        </w:rPr>
      </w:pPr>
      <w:r w:rsidRPr="003A435E">
        <w:rPr>
          <w:rStyle w:val="Odkaznapoznmkupodiarou"/>
          <w:szCs w:val="18"/>
        </w:rPr>
        <w:footnoteRef/>
      </w:r>
      <w:r w:rsidRPr="003A435E">
        <w:rPr>
          <w:szCs w:val="18"/>
        </w:rPr>
        <w:t xml:space="preserve"> Takýto prípad zdokumentovala aj ŠŠI, kedy dôvodom nízkeho zastúpenia žiakov v ŠKD v ZŠ v Bardejove bola práve skutočnosť, že nepristúpili k zníženiu alebo odpusteniu mesačného príspevku na čiastočnú úhradu nákladov spojených s činnosťou klubu. </w:t>
      </w:r>
      <w:hyperlink r:id="rId30" w:history="1">
        <w:r w:rsidRPr="003A435E">
          <w:rPr>
            <w:rStyle w:val="Hypertextovprepojenie"/>
            <w:szCs w:val="18"/>
          </w:rPr>
          <w:t>http://www.ssiba.sk/admin/fckeditor/editor/userfiles/file/Dokumenty/ZS_UZP_Inkluzia_2017_2018.pdf</w:t>
        </w:r>
      </w:hyperlink>
      <w:r w:rsidRPr="003A435E">
        <w:rPr>
          <w:szCs w:val="18"/>
        </w:rPr>
        <w:t xml:space="preserve"> </w:t>
      </w:r>
    </w:p>
  </w:footnote>
  <w:footnote w:id="138">
    <w:p w14:paraId="664EA199" w14:textId="77777777" w:rsidR="00FA29AF" w:rsidRPr="003A435E" w:rsidRDefault="00FA29AF" w:rsidP="00695590">
      <w:pPr>
        <w:pStyle w:val="Textpoznmkypodiarou"/>
        <w:rPr>
          <w:szCs w:val="18"/>
        </w:rPr>
      </w:pPr>
      <w:r w:rsidRPr="003A435E">
        <w:rPr>
          <w:rStyle w:val="Odkaznapoznmkupodiarou"/>
          <w:szCs w:val="18"/>
        </w:rPr>
        <w:footnoteRef/>
      </w:r>
      <w:r w:rsidRPr="003A435E">
        <w:rPr>
          <w:szCs w:val="18"/>
        </w:rPr>
        <w:t xml:space="preserve"> Zdroj: vlastný zber IVP.</w:t>
      </w:r>
    </w:p>
  </w:footnote>
  <w:footnote w:id="139">
    <w:p w14:paraId="719A58E0" w14:textId="77777777" w:rsidR="00FA29AF" w:rsidRDefault="00FA29AF" w:rsidP="00695590">
      <w:pPr>
        <w:pStyle w:val="Textpoznmkypodiarou"/>
      </w:pPr>
      <w:r>
        <w:rPr>
          <w:rStyle w:val="Odkaznapoznmkupodiarou"/>
        </w:rPr>
        <w:footnoteRef/>
      </w:r>
      <w:r>
        <w:t xml:space="preserve"> </w:t>
      </w:r>
      <w:r w:rsidRPr="007201AB">
        <w:rPr>
          <w:szCs w:val="18"/>
        </w:rPr>
        <w:t>V minulosti bola maximálna výška poplatkov v ŠKD zriaďovaných obcami stanovená na 7,5 % životného minima na nezaopatrené dieťa. Dnes sa táto regulácia vzťahuje na ŠKD pri špeciálnych základných školách, ktoré sú zriaďované okresnými úradmi.</w:t>
      </w:r>
    </w:p>
  </w:footnote>
  <w:footnote w:id="140">
    <w:p w14:paraId="2E22EDE6" w14:textId="67DFD067" w:rsidR="00FA29AF" w:rsidRDefault="00FA29AF" w:rsidP="00695590">
      <w:pPr>
        <w:pStyle w:val="Textpoznmkypodiarou"/>
      </w:pPr>
      <w:r>
        <w:rPr>
          <w:rStyle w:val="Odkaznapoznmkupodiarou"/>
        </w:rPr>
        <w:footnoteRef/>
      </w:r>
      <w:r>
        <w:t xml:space="preserve"> </w:t>
      </w:r>
      <w:r w:rsidRPr="003A435E">
        <w:rPr>
          <w:szCs w:val="18"/>
        </w:rPr>
        <w:t>Zákon č. 245/ 2008 Z. z. o výchove a vzdelávaní (školský zákon) a o zmene a doplnení niektorých zákonov</w:t>
      </w:r>
      <w:r>
        <w:rPr>
          <w:szCs w:val="18"/>
        </w:rPr>
        <w:t>, § 107 ods. 2</w:t>
      </w:r>
    </w:p>
  </w:footnote>
  <w:footnote w:id="141">
    <w:p w14:paraId="792E46A6" w14:textId="77777777" w:rsidR="00FA29AF" w:rsidRPr="003A435E" w:rsidRDefault="00FA29AF" w:rsidP="00695590">
      <w:pPr>
        <w:pStyle w:val="Textpoznmkypodiarou"/>
        <w:rPr>
          <w:szCs w:val="18"/>
        </w:rPr>
      </w:pPr>
      <w:r w:rsidRPr="003A435E">
        <w:rPr>
          <w:rStyle w:val="Odkaznapoznmkupodiarou"/>
          <w:szCs w:val="18"/>
        </w:rPr>
        <w:footnoteRef/>
      </w:r>
      <w:r w:rsidRPr="003A435E">
        <w:rPr>
          <w:szCs w:val="18"/>
        </w:rPr>
        <w:t xml:space="preserve"> Nedostatočnú pripravenosť učiteľov vzdelávať deti z menšinového jazykového prostredia naznačujú aj výsledky niektorých existujúcich výskumov; kvalitatívny výskum realizovaný vo forme rozhovorov s učiteľmi vzdelávajúcimi deti z MRK poukázal na to, že niektorí učitelia zakazujú deťom hovoriť medzi sebou po rómsky, pretože im nerozumejú. Učitelia, ktorí rómčinu ako podporný jazyk používali, mali dokonca tendenciu túto prax ospravedlňovať (Gažovičová, 2012) aj napriek tomu, že sa v mnohých vzdelávacích systémoch považuje za efektívnu metódu výučby detí s iným materinským jazykom (prehľad napr. Ó Duibhir et al., 2015).</w:t>
      </w:r>
    </w:p>
  </w:footnote>
  <w:footnote w:id="142">
    <w:p w14:paraId="7F593853" w14:textId="6D640A54" w:rsidR="00FA29AF" w:rsidRPr="003A435E" w:rsidRDefault="00FA29AF" w:rsidP="00695590">
      <w:pPr>
        <w:pStyle w:val="Textpoznmkypodiarou"/>
        <w:rPr>
          <w:szCs w:val="18"/>
        </w:rPr>
      </w:pPr>
      <w:r w:rsidRPr="003A435E">
        <w:rPr>
          <w:rStyle w:val="Odkaznapoznmkupodiarou"/>
          <w:szCs w:val="18"/>
        </w:rPr>
        <w:footnoteRef/>
      </w:r>
      <w:r w:rsidRPr="003A435E">
        <w:rPr>
          <w:szCs w:val="18"/>
        </w:rPr>
        <w:t xml:space="preserve"> 596/2003</w:t>
      </w:r>
      <w:r>
        <w:rPr>
          <w:szCs w:val="18"/>
        </w:rPr>
        <w:t xml:space="preserve"> Z. z. </w:t>
      </w:r>
      <w:r w:rsidRPr="000F6412">
        <w:rPr>
          <w:szCs w:val="18"/>
        </w:rPr>
        <w:t>o štátnej správe v školstve a školskej samospráve</w:t>
      </w:r>
      <w:r w:rsidRPr="003A435E">
        <w:rPr>
          <w:szCs w:val="18"/>
        </w:rPr>
        <w:t>, § 8</w:t>
      </w:r>
    </w:p>
  </w:footnote>
  <w:footnote w:id="143">
    <w:p w14:paraId="66F28F5C" w14:textId="6C9E8A01" w:rsidR="00FA29AF" w:rsidRPr="00B12633" w:rsidRDefault="00FA29AF" w:rsidP="00E94DB8">
      <w:pPr>
        <w:pStyle w:val="Textpoznmkypodiarou"/>
        <w:rPr>
          <w:szCs w:val="18"/>
        </w:rPr>
      </w:pPr>
      <w:r w:rsidRPr="003A435E">
        <w:rPr>
          <w:rStyle w:val="Odkaznapoznmkupodiarou"/>
          <w:szCs w:val="18"/>
        </w:rPr>
        <w:footnoteRef/>
      </w:r>
      <w:r w:rsidRPr="003A435E">
        <w:rPr>
          <w:szCs w:val="18"/>
        </w:rPr>
        <w:t xml:space="preserve"> </w:t>
      </w:r>
      <w:hyperlink r:id="rId31" w:history="1">
        <w:r w:rsidRPr="00414F80">
          <w:rPr>
            <w:rStyle w:val="Hypertextovprepojenie"/>
            <w:szCs w:val="18"/>
          </w:rPr>
          <w:t>https://presov.korzar.sme.sk/c/7901842/lipany-rusia-spolocny-skolsky-obvod-s-torysou.html</w:t>
        </w:r>
      </w:hyperlink>
      <w:r>
        <w:rPr>
          <w:szCs w:val="18"/>
        </w:rPr>
        <w:t xml:space="preserve"> </w:t>
      </w:r>
    </w:p>
    <w:p w14:paraId="0272BD4D" w14:textId="6B481DDF" w:rsidR="00FA29AF" w:rsidRPr="00B12633" w:rsidRDefault="000D2802" w:rsidP="00E94DB8">
      <w:pPr>
        <w:pStyle w:val="Textpoznmkypodiarou"/>
        <w:rPr>
          <w:szCs w:val="18"/>
        </w:rPr>
      </w:pPr>
      <w:hyperlink r:id="rId32" w:history="1">
        <w:r w:rsidR="00FA29AF" w:rsidRPr="00414F80">
          <w:rPr>
            <w:rStyle w:val="Hypertextovprepojenie"/>
            <w:szCs w:val="18"/>
          </w:rPr>
          <w:t>http://www.podtatranske-noviny.sk/2017/02/kvoli-segregacii-vypovedali-janovciam-skolsky-obvod/</w:t>
        </w:r>
      </w:hyperlink>
      <w:r w:rsidR="00FA29AF">
        <w:rPr>
          <w:szCs w:val="18"/>
        </w:rPr>
        <w:t xml:space="preserve"> </w:t>
      </w:r>
    </w:p>
    <w:p w14:paraId="06D4F6A3" w14:textId="278D735B" w:rsidR="00FA29AF" w:rsidRPr="00B12633" w:rsidRDefault="000D2802" w:rsidP="00E94DB8">
      <w:pPr>
        <w:pStyle w:val="Textpoznmkypodiarou"/>
        <w:rPr>
          <w:szCs w:val="18"/>
        </w:rPr>
      </w:pPr>
      <w:hyperlink r:id="rId33" w:history="1">
        <w:r w:rsidR="00FA29AF" w:rsidRPr="00414F80">
          <w:rPr>
            <w:rStyle w:val="Hypertextovprepojenie"/>
            <w:szCs w:val="18"/>
          </w:rPr>
          <w:t>http://www.vop.gov.sk/files/Sprava%20VOP-Vzdelavanie%20Romov.pdf</w:t>
        </w:r>
      </w:hyperlink>
      <w:r w:rsidR="00FA29AF">
        <w:rPr>
          <w:szCs w:val="18"/>
        </w:rPr>
        <w:t xml:space="preserve"> </w:t>
      </w:r>
    </w:p>
    <w:p w14:paraId="33067F85" w14:textId="35E39CFD" w:rsidR="00FA29AF" w:rsidRPr="00B12633" w:rsidRDefault="000D2802" w:rsidP="00E94DB8">
      <w:pPr>
        <w:pStyle w:val="Textpoznmkypodiarou"/>
        <w:rPr>
          <w:szCs w:val="18"/>
        </w:rPr>
      </w:pPr>
      <w:hyperlink r:id="rId34" w:history="1">
        <w:r w:rsidR="00FA29AF" w:rsidRPr="00414F80">
          <w:rPr>
            <w:rStyle w:val="Hypertextovprepojenie"/>
            <w:szCs w:val="18"/>
          </w:rPr>
          <w:t>http://www.noveskolstvo.sk/upload/pdf/OSF_2012.pdf</w:t>
        </w:r>
      </w:hyperlink>
      <w:r w:rsidR="00FA29AF">
        <w:rPr>
          <w:szCs w:val="18"/>
        </w:rPr>
        <w:t xml:space="preserve"> </w:t>
      </w:r>
    </w:p>
    <w:p w14:paraId="1CD2C942" w14:textId="31640EFD" w:rsidR="00FA29AF" w:rsidRPr="003A435E" w:rsidRDefault="000D2802" w:rsidP="00E94DB8">
      <w:pPr>
        <w:pStyle w:val="Textpoznmkypodiarou"/>
        <w:rPr>
          <w:szCs w:val="18"/>
        </w:rPr>
      </w:pPr>
      <w:hyperlink r:id="rId35" w:history="1">
        <w:r w:rsidR="00FA29AF" w:rsidRPr="00414F80">
          <w:rPr>
            <w:rStyle w:val="Hypertextovprepojenie"/>
            <w:szCs w:val="18"/>
          </w:rPr>
          <w:t>http://www.amnesty.sk/ai-slovensko-a-poradna-pre-obcianske-a-ludske-prava-vyzvali-mesto-presov-aby-odstranilo-segregaciu-romskych-deti-na-skolach/</w:t>
        </w:r>
      </w:hyperlink>
      <w:r w:rsidR="00FA29AF">
        <w:rPr>
          <w:szCs w:val="18"/>
        </w:rPr>
        <w:t xml:space="preserve"> </w:t>
      </w:r>
    </w:p>
  </w:footnote>
  <w:footnote w:id="144">
    <w:p w14:paraId="03B50028" w14:textId="77777777" w:rsidR="00FA29AF" w:rsidRDefault="00FA29AF" w:rsidP="00695590">
      <w:pPr>
        <w:pStyle w:val="Textpoznmkypodiarou"/>
      </w:pPr>
      <w:r>
        <w:rPr>
          <w:rStyle w:val="Odkaznapoznmkupodiarou"/>
        </w:rPr>
        <w:footnoteRef/>
      </w:r>
      <w:r>
        <w:t xml:space="preserve"> Definícia tejto premennej je vysvetlená na strane 72 tu: </w:t>
      </w:r>
      <w:hyperlink r:id="rId36" w:history="1">
        <w:r w:rsidRPr="001E2E1E">
          <w:rPr>
            <w:rStyle w:val="Hypertextovprepojenie"/>
          </w:rPr>
          <w:t>https://ec.europa.eu/eurostat/documents/1978984/6037342/EU-LFS-explanatory-notes-from-2017-onwards.pdf</w:t>
        </w:r>
      </w:hyperlink>
      <w:r>
        <w:t xml:space="preserve"> </w:t>
      </w:r>
    </w:p>
  </w:footnote>
  <w:footnote w:id="145">
    <w:p w14:paraId="51D3AC9D" w14:textId="7F382F12" w:rsidR="00FA29AF" w:rsidRPr="00D75C23" w:rsidRDefault="00FA29AF" w:rsidP="00695590">
      <w:pPr>
        <w:pStyle w:val="Textpoznmkypodiarou"/>
      </w:pPr>
      <w:r>
        <w:rPr>
          <w:rStyle w:val="Odkaznapoznmkupodiarou"/>
        </w:rPr>
        <w:footnoteRef/>
      </w:r>
      <w:r>
        <w:t xml:space="preserve"> </w:t>
      </w:r>
      <w:r w:rsidRPr="00812259">
        <w:t>Prekérnu prácu definujú neistota pracovných podmienok, kolektívnej reprezentácie, vyhliadok na pracovnom trhu a pod. (Správa EP k pracovným podmienkam a neistým pracovným miestam 2016/2221 (INI))</w:t>
      </w:r>
      <w:r>
        <w:t xml:space="preserve"> </w:t>
      </w:r>
    </w:p>
  </w:footnote>
  <w:footnote w:id="146">
    <w:p w14:paraId="59D023CE" w14:textId="7D74F424" w:rsidR="00FA29AF" w:rsidRDefault="00FA29AF" w:rsidP="00C21AC3">
      <w:pPr>
        <w:pStyle w:val="Textpoznmkypodiarou"/>
      </w:pPr>
      <w:r>
        <w:rPr>
          <w:rStyle w:val="Odkaznapoznmkupodiarou"/>
        </w:rPr>
        <w:footnoteRef/>
      </w:r>
      <w:r>
        <w:t xml:space="preserve"> LFS (2016). Definícia osôb s PUŠD sa líši od definície uvedenej v Tabuľke 12, pretože vychádza z odlišného zdroju dát. Za osoby s PUŠD sa považujú 15-24-ročné osoby, ktorých najvyššie dosiahnuté vzdelanie je nižšie sekundárne a nie sú angažovaní v ďalšom vzdelávaní alebo odbornej príprave. Podiel žiakov s PUŠD je podiel na celkovom počte 15-24-ročných osôb. </w:t>
      </w:r>
    </w:p>
  </w:footnote>
  <w:footnote w:id="147">
    <w:p w14:paraId="4091D1B6" w14:textId="4DE538E7" w:rsidR="00FA29AF" w:rsidRPr="0035302B" w:rsidRDefault="00FA29AF" w:rsidP="00695590">
      <w:pPr>
        <w:pStyle w:val="Textpoznmkypodiarou"/>
        <w:rPr>
          <w:szCs w:val="18"/>
        </w:rPr>
      </w:pPr>
      <w:r w:rsidRPr="0035302B">
        <w:rPr>
          <w:rStyle w:val="Odkaznapoznmkupodiarou"/>
          <w:szCs w:val="18"/>
        </w:rPr>
        <w:footnoteRef/>
      </w:r>
      <w:r w:rsidRPr="0035302B">
        <w:rPr>
          <w:szCs w:val="18"/>
        </w:rPr>
        <w:t xml:space="preserve"> 245/2008 Z.z.</w:t>
      </w:r>
      <w:r>
        <w:rPr>
          <w:szCs w:val="18"/>
        </w:rPr>
        <w:t xml:space="preserve"> o výchove a vzdelávaní</w:t>
      </w:r>
      <w:r w:rsidRPr="0035302B">
        <w:rPr>
          <w:szCs w:val="18"/>
        </w:rPr>
        <w:t xml:space="preserve"> </w:t>
      </w:r>
      <w:r>
        <w:rPr>
          <w:szCs w:val="18"/>
        </w:rPr>
        <w:t>(</w:t>
      </w:r>
      <w:r w:rsidRPr="0035302B">
        <w:rPr>
          <w:szCs w:val="18"/>
        </w:rPr>
        <w:t>školský zákon</w:t>
      </w:r>
      <w:r>
        <w:rPr>
          <w:szCs w:val="18"/>
        </w:rPr>
        <w:t>)</w:t>
      </w:r>
      <w:r w:rsidRPr="0035302B">
        <w:rPr>
          <w:szCs w:val="18"/>
        </w:rPr>
        <w:t>, § 62 ods. 4 – podľa výkladu ministerstva školstva môžu prestúpiť zo základnej školy na strednú odbornú školu poskytujúcu nižšie stredné odborné vzdelávanie nielen žiaci, ktorí neukončili alebo neúspešne ukončili 9. ročník základnej školy, ale aj žiaci, ktorí po deviatich rokoch dochádzky v základnej škole ukončil štúdium v nižšom ako deviatom ročníku bez ohľadu na to, či išlo o úspešné alebo neúspešné ukončenie.</w:t>
      </w:r>
    </w:p>
  </w:footnote>
  <w:footnote w:id="148">
    <w:p w14:paraId="35270251" w14:textId="3590928D" w:rsidR="00FA29AF" w:rsidRPr="0035302B" w:rsidRDefault="00FA29AF" w:rsidP="00695590">
      <w:pPr>
        <w:pStyle w:val="Textpoznmkypodiarou"/>
        <w:rPr>
          <w:szCs w:val="18"/>
        </w:rPr>
      </w:pPr>
      <w:r w:rsidRPr="0035302B">
        <w:rPr>
          <w:rStyle w:val="Odkaznapoznmkupodiarou"/>
          <w:szCs w:val="18"/>
        </w:rPr>
        <w:footnoteRef/>
      </w:r>
      <w:r w:rsidRPr="0035302B">
        <w:rPr>
          <w:szCs w:val="18"/>
        </w:rPr>
        <w:t xml:space="preserve"> 245/2008 Z.z. </w:t>
      </w:r>
      <w:r>
        <w:rPr>
          <w:szCs w:val="18"/>
        </w:rPr>
        <w:t>o výchove a vzdelávaní</w:t>
      </w:r>
      <w:r w:rsidRPr="0035302B">
        <w:rPr>
          <w:szCs w:val="18"/>
        </w:rPr>
        <w:t xml:space="preserve"> </w:t>
      </w:r>
      <w:r>
        <w:rPr>
          <w:szCs w:val="18"/>
        </w:rPr>
        <w:t>(</w:t>
      </w:r>
      <w:r w:rsidRPr="0035302B">
        <w:rPr>
          <w:szCs w:val="18"/>
        </w:rPr>
        <w:t>školský zákon</w:t>
      </w:r>
      <w:r>
        <w:rPr>
          <w:szCs w:val="18"/>
        </w:rPr>
        <w:t>)</w:t>
      </w:r>
      <w:r w:rsidRPr="0035302B">
        <w:rPr>
          <w:szCs w:val="18"/>
        </w:rPr>
        <w:t>, § 30 ods.5 a § 42 ods. 4</w:t>
      </w:r>
    </w:p>
  </w:footnote>
  <w:footnote w:id="149">
    <w:p w14:paraId="704D329E" w14:textId="77777777" w:rsidR="00FA29AF" w:rsidRPr="003A435E" w:rsidRDefault="00FA29AF" w:rsidP="004342BB">
      <w:pPr>
        <w:pStyle w:val="Textpoznmkypodiarou"/>
        <w:rPr>
          <w:szCs w:val="18"/>
        </w:rPr>
      </w:pPr>
      <w:r w:rsidRPr="003A435E">
        <w:rPr>
          <w:rStyle w:val="Odkaznapoznmkupodiarou"/>
          <w:szCs w:val="18"/>
        </w:rPr>
        <w:footnoteRef/>
      </w:r>
      <w:r w:rsidRPr="003A435E">
        <w:rPr>
          <w:szCs w:val="18"/>
        </w:rPr>
        <w:t xml:space="preserve"> Eduzber (201</w:t>
      </w:r>
      <w:r>
        <w:rPr>
          <w:szCs w:val="18"/>
        </w:rPr>
        <w:t>8</w:t>
      </w:r>
      <w:r w:rsidRPr="003A435E">
        <w:rPr>
          <w:szCs w:val="18"/>
        </w:rPr>
        <w:t>). Priemerné výšky normatívov vypočítané na základe prepočítaného počtu žiakov F-odborov (nezahŕňa študentov F-odborov na SOŠ pre zdravotne znevýhodnených a na SOŠ pri reedukačných centrách) a prepočítaného počtu žiakov základných škôl v kalendárnom roku 201</w:t>
      </w:r>
      <w:r>
        <w:rPr>
          <w:szCs w:val="18"/>
        </w:rPr>
        <w:t>8</w:t>
      </w:r>
      <w:r w:rsidRPr="003A435E">
        <w:rPr>
          <w:szCs w:val="18"/>
        </w:rPr>
        <w:t>.</w:t>
      </w:r>
    </w:p>
  </w:footnote>
  <w:footnote w:id="150">
    <w:p w14:paraId="5C9BD0DB" w14:textId="77777777" w:rsidR="00FA29AF" w:rsidRPr="003A435E" w:rsidRDefault="00FA29AF" w:rsidP="004342BB">
      <w:pPr>
        <w:pStyle w:val="Textpoznmkypodiarou"/>
        <w:rPr>
          <w:szCs w:val="18"/>
        </w:rPr>
      </w:pPr>
      <w:r w:rsidRPr="003A435E">
        <w:rPr>
          <w:rStyle w:val="Odkaznapoznmkupodiarou"/>
          <w:szCs w:val="18"/>
        </w:rPr>
        <w:footnoteRef/>
      </w:r>
      <w:r w:rsidRPr="003A435E">
        <w:rPr>
          <w:szCs w:val="18"/>
        </w:rPr>
        <w:t xml:space="preserve"> CVTI (201</w:t>
      </w:r>
      <w:r>
        <w:rPr>
          <w:szCs w:val="18"/>
        </w:rPr>
        <w:t>7</w:t>
      </w:r>
      <w:r w:rsidRPr="003A435E">
        <w:rPr>
          <w:szCs w:val="18"/>
        </w:rPr>
        <w:t>, 201</w:t>
      </w:r>
      <w:r>
        <w:rPr>
          <w:szCs w:val="18"/>
        </w:rPr>
        <w:t>9</w:t>
      </w:r>
      <w:r w:rsidRPr="003A435E">
        <w:rPr>
          <w:szCs w:val="18"/>
        </w:rPr>
        <w:t>). Vypočítané ako podiel absolventov F-odborov za rok 201</w:t>
      </w:r>
      <w:r>
        <w:rPr>
          <w:szCs w:val="18"/>
        </w:rPr>
        <w:t>9</w:t>
      </w:r>
      <w:r w:rsidRPr="003A435E">
        <w:rPr>
          <w:szCs w:val="18"/>
        </w:rPr>
        <w:t xml:space="preserve"> na žiakoch prvého ročníka F-odborov v roku 201</w:t>
      </w:r>
      <w:r>
        <w:rPr>
          <w:szCs w:val="18"/>
        </w:rPr>
        <w:t>7</w:t>
      </w:r>
      <w:r w:rsidRPr="003A435E">
        <w:rPr>
          <w:szCs w:val="18"/>
        </w:rPr>
        <w:t>. Výpočet nezahŕňa žiakov F-odborov na SOŠ pre zdravotne znevýhodnených a na SOŠ pri reedukačných centrách.</w:t>
      </w:r>
      <w:r>
        <w:rPr>
          <w:szCs w:val="18"/>
        </w:rPr>
        <w:t xml:space="preserve"> Očistené o 3-ročné odbory.</w:t>
      </w:r>
    </w:p>
  </w:footnote>
  <w:footnote w:id="151">
    <w:p w14:paraId="60A84C54" w14:textId="77777777" w:rsidR="00FA29AF" w:rsidRPr="003A435E" w:rsidRDefault="00FA29AF" w:rsidP="004342BB">
      <w:pPr>
        <w:pStyle w:val="Textpoznmkypodiarou"/>
        <w:rPr>
          <w:szCs w:val="18"/>
        </w:rPr>
      </w:pPr>
      <w:r w:rsidRPr="003A435E">
        <w:rPr>
          <w:rStyle w:val="Odkaznapoznmkupodiarou"/>
          <w:szCs w:val="18"/>
        </w:rPr>
        <w:footnoteRef/>
      </w:r>
      <w:r w:rsidRPr="003A435E">
        <w:rPr>
          <w:szCs w:val="18"/>
        </w:rPr>
        <w:t xml:space="preserve"> CVTI (201</w:t>
      </w:r>
      <w:r>
        <w:rPr>
          <w:szCs w:val="18"/>
        </w:rPr>
        <w:t>8</w:t>
      </w:r>
      <w:r w:rsidRPr="003A435E">
        <w:rPr>
          <w:szCs w:val="18"/>
        </w:rPr>
        <w:t>). Z 9</w:t>
      </w:r>
      <w:r>
        <w:rPr>
          <w:szCs w:val="18"/>
        </w:rPr>
        <w:t>5</w:t>
      </w:r>
      <w:r w:rsidRPr="003A435E">
        <w:rPr>
          <w:szCs w:val="18"/>
        </w:rPr>
        <w:t xml:space="preserve"> stredných škôl, ktoré majú žiakov študujúcich v dvojročných F-odboroch, bolo iba 4</w:t>
      </w:r>
      <w:r>
        <w:rPr>
          <w:szCs w:val="18"/>
        </w:rPr>
        <w:t>0</w:t>
      </w:r>
      <w:r w:rsidRPr="003A435E">
        <w:rPr>
          <w:szCs w:val="18"/>
        </w:rPr>
        <w:t xml:space="preserve"> škôl takých, ktoré realizovali kurz druhošancového vzdelávania.</w:t>
      </w:r>
    </w:p>
  </w:footnote>
  <w:footnote w:id="152">
    <w:p w14:paraId="33852C80" w14:textId="77777777" w:rsidR="00FA29AF" w:rsidRPr="003A435E" w:rsidRDefault="00FA29AF" w:rsidP="004342BB">
      <w:pPr>
        <w:pStyle w:val="Textpoznmkypodiarou"/>
        <w:rPr>
          <w:szCs w:val="18"/>
        </w:rPr>
      </w:pPr>
      <w:r w:rsidRPr="003A435E">
        <w:rPr>
          <w:rStyle w:val="Odkaznapoznmkupodiarou"/>
          <w:szCs w:val="18"/>
        </w:rPr>
        <w:footnoteRef/>
      </w:r>
      <w:r w:rsidRPr="003A435E">
        <w:rPr>
          <w:szCs w:val="18"/>
        </w:rPr>
        <w:t xml:space="preserve"> </w:t>
      </w:r>
      <w:r>
        <w:rPr>
          <w:szCs w:val="18"/>
        </w:rPr>
        <w:t>Eduzber a CVTI</w:t>
      </w:r>
      <w:r w:rsidRPr="003A435E">
        <w:rPr>
          <w:szCs w:val="18"/>
        </w:rPr>
        <w:t xml:space="preserve"> (201</w:t>
      </w:r>
      <w:r>
        <w:rPr>
          <w:szCs w:val="18"/>
        </w:rPr>
        <w:t>8</w:t>
      </w:r>
      <w:r w:rsidRPr="003A435E">
        <w:rPr>
          <w:szCs w:val="18"/>
        </w:rPr>
        <w:t>). Počet žiakov F-odborov na SOŠ okrem žiakov SOŠ pre zdravotne znevýhodnených a okrem žiakov SOŠ pri reedukačných centrách.</w:t>
      </w:r>
    </w:p>
  </w:footnote>
  <w:footnote w:id="153">
    <w:p w14:paraId="1708F941" w14:textId="77777777" w:rsidR="00FA29AF" w:rsidRPr="003A435E" w:rsidRDefault="00FA29AF" w:rsidP="004342BB">
      <w:pPr>
        <w:pStyle w:val="Textpoznmkypodiarou"/>
        <w:rPr>
          <w:szCs w:val="18"/>
        </w:rPr>
      </w:pPr>
      <w:r w:rsidRPr="003A435E">
        <w:rPr>
          <w:rStyle w:val="Odkaznapoznmkupodiarou"/>
          <w:szCs w:val="18"/>
        </w:rPr>
        <w:footnoteRef/>
      </w:r>
      <w:r w:rsidRPr="003A435E">
        <w:rPr>
          <w:szCs w:val="18"/>
        </w:rPr>
        <w:t xml:space="preserve"> V RIS MŠVVŠ je možné identifikovať iba 75 % z celkového počtu žiakov F-odborov, takže uvedené odhady nemusia byť presné. </w:t>
      </w:r>
    </w:p>
  </w:footnote>
  <w:footnote w:id="154">
    <w:p w14:paraId="06A226D7" w14:textId="77777777" w:rsidR="00FA29AF" w:rsidRPr="00FD7002" w:rsidRDefault="00FA29AF" w:rsidP="00894FE3">
      <w:pPr>
        <w:pStyle w:val="Textpoznmkypodiarou"/>
        <w:rPr>
          <w:szCs w:val="18"/>
        </w:rPr>
      </w:pPr>
      <w:r w:rsidRPr="00FD7002">
        <w:rPr>
          <w:rStyle w:val="Odkaznapoznmkupodiarou"/>
          <w:szCs w:val="18"/>
        </w:rPr>
        <w:footnoteRef/>
      </w:r>
      <w:r w:rsidRPr="00FD7002">
        <w:rPr>
          <w:szCs w:val="18"/>
        </w:rPr>
        <w:t xml:space="preserve"> Po zohľadnení ďalších pozorovateľných premenných, ktoré môžu ovplyvňovať šance na trhu práce sa pravdepodobnosť nájdenia zamestnania v prípade týchto štyroch odborov štatisticky významne nelíši od absolventov s ukončenou základnou školou (</w:t>
      </w:r>
      <w:r w:rsidRPr="00A815B6">
        <w:fldChar w:fldCharType="begin"/>
      </w:r>
      <w:r w:rsidRPr="00A815B6">
        <w:instrText xml:space="preserve"> REF _Ref34129746 \h </w:instrText>
      </w:r>
      <w:r>
        <w:instrText xml:space="preserve"> \* MERGEFORMAT </w:instrText>
      </w:r>
      <w:r w:rsidRPr="00A815B6">
        <w:fldChar w:fldCharType="separate"/>
      </w:r>
      <w:r w:rsidRPr="00FA29AF">
        <w:t>Príloha 13</w:t>
      </w:r>
      <w:r w:rsidRPr="00A815B6">
        <w:fldChar w:fldCharType="end"/>
      </w:r>
      <w:r w:rsidRPr="00FD7002">
        <w:rPr>
          <w:szCs w:val="18"/>
        </w:rPr>
        <w:t>).</w:t>
      </w:r>
    </w:p>
  </w:footnote>
  <w:footnote w:id="155">
    <w:p w14:paraId="544F7DB6" w14:textId="77777777" w:rsidR="00FA29AF" w:rsidRPr="003A435E" w:rsidRDefault="00FA29AF" w:rsidP="004342BB">
      <w:pPr>
        <w:pStyle w:val="Textpoznmkypodiarou"/>
        <w:rPr>
          <w:szCs w:val="18"/>
        </w:rPr>
      </w:pPr>
      <w:r w:rsidRPr="003A435E">
        <w:rPr>
          <w:rStyle w:val="Odkaznapoznmkupodiarou"/>
          <w:szCs w:val="18"/>
        </w:rPr>
        <w:footnoteRef/>
      </w:r>
      <w:r w:rsidRPr="003A435E">
        <w:rPr>
          <w:szCs w:val="18"/>
        </w:rPr>
        <w:t xml:space="preserve"> </w:t>
      </w:r>
      <w:r w:rsidRPr="007201AB">
        <w:t>EP sa síce riadia vzdelávacím</w:t>
      </w:r>
      <w:r w:rsidRPr="0025079B">
        <w:t xml:space="preserve"> programom kmeňovej školy, no zriaďujú sa ako fyzicky oddelené pracoviská (zákonu 596/2003 Z. z.).</w:t>
      </w:r>
    </w:p>
  </w:footnote>
  <w:footnote w:id="156">
    <w:p w14:paraId="6FDC4958" w14:textId="7DAE5607" w:rsidR="00FA29AF" w:rsidRDefault="00FA29AF">
      <w:pPr>
        <w:pStyle w:val="Textpoznmkypodiarou"/>
      </w:pPr>
      <w:r>
        <w:rPr>
          <w:rStyle w:val="Odkaznapoznmkupodiarou"/>
        </w:rPr>
        <w:footnoteRef/>
      </w:r>
      <w:r>
        <w:t xml:space="preserve"> Vyhláška</w:t>
      </w:r>
      <w:r w:rsidRPr="0025079B">
        <w:t xml:space="preserve"> 320/2008 Z. z., § 19</w:t>
      </w:r>
    </w:p>
  </w:footnote>
  <w:footnote w:id="157">
    <w:p w14:paraId="4DAED9AC" w14:textId="77777777" w:rsidR="00FA29AF" w:rsidRPr="003A435E" w:rsidRDefault="00FA29AF" w:rsidP="003A1470">
      <w:pPr>
        <w:pStyle w:val="Textpoznmkypodiarou"/>
        <w:rPr>
          <w:szCs w:val="18"/>
        </w:rPr>
      </w:pPr>
      <w:r w:rsidRPr="003A435E">
        <w:rPr>
          <w:rStyle w:val="Odkaznapoznmkupodiarou"/>
          <w:szCs w:val="18"/>
        </w:rPr>
        <w:footnoteRef/>
      </w:r>
      <w:r w:rsidRPr="003A435E">
        <w:rPr>
          <w:szCs w:val="18"/>
        </w:rPr>
        <w:t xml:space="preserve"> CVTI (201</w:t>
      </w:r>
      <w:r>
        <w:rPr>
          <w:szCs w:val="18"/>
        </w:rPr>
        <w:t>8</w:t>
      </w:r>
      <w:r w:rsidRPr="003A435E">
        <w:rPr>
          <w:szCs w:val="18"/>
        </w:rPr>
        <w:t>)</w:t>
      </w:r>
    </w:p>
  </w:footnote>
  <w:footnote w:id="158">
    <w:p w14:paraId="7D69CAC2" w14:textId="54FEE450" w:rsidR="00FA29AF" w:rsidRDefault="00FA29AF" w:rsidP="004F2EFF">
      <w:pPr>
        <w:pStyle w:val="Textpoznmkypodiarou"/>
      </w:pPr>
      <w:r>
        <w:rPr>
          <w:rStyle w:val="Odkaznapoznmkupodiarou"/>
        </w:rPr>
        <w:footnoteRef/>
      </w:r>
      <w:r>
        <w:t xml:space="preserve"> Systém kariérneho poradenstva prešiel v roku 2019 viacerými zmenami </w:t>
      </w:r>
      <w:hyperlink r:id="rId37" w:history="1">
        <w:r w:rsidRPr="00AD60EC">
          <w:rPr>
            <w:rStyle w:val="Hypertextovprepojenie"/>
          </w:rPr>
          <w:t>https://www.minedu.sk/zmeny-v-karierovom-poradenstve-v-systeme-regionalneho-skolstva-od-192019/</w:t>
        </w:r>
      </w:hyperlink>
    </w:p>
  </w:footnote>
  <w:footnote w:id="159">
    <w:p w14:paraId="10BD572F" w14:textId="56800745" w:rsidR="00FA29AF" w:rsidRPr="003A435E" w:rsidRDefault="00FA29AF" w:rsidP="00695590">
      <w:pPr>
        <w:pStyle w:val="Textpoznmkypodiarou"/>
        <w:rPr>
          <w:szCs w:val="18"/>
        </w:rPr>
      </w:pPr>
      <w:r w:rsidRPr="003A435E">
        <w:rPr>
          <w:rStyle w:val="Odkaznapoznmkupodiarou"/>
          <w:szCs w:val="18"/>
        </w:rPr>
        <w:footnoteRef/>
      </w:r>
      <w:hyperlink r:id="rId38" w:history="1">
        <w:r w:rsidRPr="0027096D">
          <w:rPr>
            <w:rStyle w:val="Hypertextovprepojenie"/>
            <w:szCs w:val="18"/>
          </w:rPr>
          <w:t>http://www.minv.sk/?aktualne-vyzvy-na-predkladanie-ziadosti-o-nenavratny-financny-prispevok&amp;sprava=vyzva-zamerana-na-poskytovanie-mentorskej-a-tutorskej-podpory-pre-ziakov-z-mrk-s-dorazom-na-uspesne-ukoncenie-zs-a-plynuly-prechod-na-ss-oplz-po5-2017-2</w:t>
        </w:r>
      </w:hyperlink>
      <w:r>
        <w:rPr>
          <w:szCs w:val="18"/>
        </w:rPr>
        <w:t xml:space="preserve"> </w:t>
      </w:r>
    </w:p>
  </w:footnote>
  <w:footnote w:id="160">
    <w:p w14:paraId="4AC65EF2" w14:textId="77777777" w:rsidR="00FA29AF" w:rsidRPr="003A435E" w:rsidRDefault="00FA29AF" w:rsidP="00695590">
      <w:pPr>
        <w:pStyle w:val="Textpoznmkypodiarou"/>
        <w:rPr>
          <w:szCs w:val="18"/>
        </w:rPr>
      </w:pPr>
      <w:r w:rsidRPr="003A435E">
        <w:rPr>
          <w:rStyle w:val="Odkaznapoznmkupodiarou"/>
          <w:szCs w:val="18"/>
        </w:rPr>
        <w:footnoteRef/>
      </w:r>
      <w:r w:rsidRPr="003A435E">
        <w:rPr>
          <w:szCs w:val="18"/>
        </w:rPr>
        <w:t xml:space="preserve"> </w:t>
      </w:r>
      <w:r w:rsidRPr="003A435E">
        <w:rPr>
          <w:rFonts w:eastAsia="Times New Roman" w:cs="Times New Roman"/>
          <w:color w:val="000000"/>
          <w:szCs w:val="18"/>
          <w:lang w:eastAsia="sk-SK"/>
        </w:rPr>
        <w:t>Podiel ohrozených študentov v stredných školách bol odhadnutý na základe miery ohrozenia chudobou alebo sociálnym vylúčením vo vekovej skupine 15 až 19 rokov v prieskume SILC z roku 2016 (23,6 %) a za predpokladu účasti na vzdelávaní ohrozených ľudí v tejto vekovej skupine na rovnakej úrovni ako v skupine ľudí v hmotnej núdzi.</w:t>
      </w:r>
    </w:p>
  </w:footnote>
  <w:footnote w:id="161">
    <w:p w14:paraId="32072AFD" w14:textId="77777777" w:rsidR="00FA29AF" w:rsidRDefault="00FA29AF" w:rsidP="004F2EFF">
      <w:pPr>
        <w:pStyle w:val="Textpoznmkypodiarou"/>
      </w:pPr>
      <w:r>
        <w:rPr>
          <w:rStyle w:val="Odkaznapoznmkupodiarou"/>
        </w:rPr>
        <w:footnoteRef/>
      </w:r>
      <w:r>
        <w:t xml:space="preserve"> </w:t>
      </w:r>
      <w:r>
        <w:rPr>
          <w:lang w:eastAsia="sk-SK"/>
        </w:rPr>
        <w:t>Zákon č. 131/2002 Z. z. o vysokých školách a vyhláška</w:t>
      </w:r>
      <w:r w:rsidRPr="00820AA9">
        <w:rPr>
          <w:lang w:eastAsia="sk-SK"/>
        </w:rPr>
        <w:t xml:space="preserve"> MŠŠVŠ SR č. 102/2006 Z. z.</w:t>
      </w:r>
      <w:r>
        <w:rPr>
          <w:lang w:eastAsia="sk-SK"/>
        </w:rPr>
        <w:t xml:space="preserve"> </w:t>
      </w:r>
      <w:r w:rsidRPr="00793C73">
        <w:rPr>
          <w:lang w:eastAsia="sk-SK"/>
        </w:rPr>
        <w:t>o priznávaní sociálneho štipendia študentom vysokých škôl</w:t>
      </w:r>
    </w:p>
  </w:footnote>
  <w:footnote w:id="162">
    <w:p w14:paraId="223DC134" w14:textId="77777777" w:rsidR="00FA29AF" w:rsidRDefault="00FA29AF" w:rsidP="00D77CAE">
      <w:pPr>
        <w:pStyle w:val="Textpoznmkypodiarou"/>
      </w:pPr>
      <w:r>
        <w:rPr>
          <w:rStyle w:val="Odkaznapoznmkupodiarou"/>
        </w:rPr>
        <w:footnoteRef/>
      </w:r>
      <w:r>
        <w:t xml:space="preserve"> Označenie deti sa naprieč touto kapitolou používa na pomenovanie detí, žiačok a žiakov vo vzdelávacom systéme.</w:t>
      </w:r>
    </w:p>
  </w:footnote>
  <w:footnote w:id="163">
    <w:p w14:paraId="3629AC00" w14:textId="77777777" w:rsidR="00FA29AF" w:rsidRDefault="00FA29AF" w:rsidP="00D77CAE">
      <w:pPr>
        <w:pStyle w:val="Textpoznmkypodiarou"/>
      </w:pPr>
      <w:r>
        <w:rPr>
          <w:rStyle w:val="Odkaznapoznmkupodiarou"/>
        </w:rPr>
        <w:footnoteRef/>
      </w:r>
      <w:r>
        <w:t xml:space="preserve"> Zákon č. 245/2008 Z. z. o výchove a vzdelávaní (školský zákon), § 2 písm. k)</w:t>
      </w:r>
    </w:p>
  </w:footnote>
  <w:footnote w:id="164">
    <w:p w14:paraId="77B85A1B" w14:textId="77777777" w:rsidR="00FA29AF" w:rsidRDefault="00FA29AF" w:rsidP="00D77CAE">
      <w:pPr>
        <w:pStyle w:val="Textpoznmkypodiarou"/>
      </w:pPr>
      <w:r>
        <w:rPr>
          <w:rStyle w:val="Odkaznapoznmkupodiarou"/>
        </w:rPr>
        <w:footnoteRef/>
      </w:r>
      <w:r>
        <w:t xml:space="preserve"> Centrá pedagogicko-psychologického poradenstva (CPPPaP) a Centrá špeciálno-pedagogického poradenstva (CŠPP)</w:t>
      </w:r>
    </w:p>
  </w:footnote>
  <w:footnote w:id="165">
    <w:p w14:paraId="7665C367" w14:textId="77777777" w:rsidR="00FA29AF" w:rsidRDefault="00FA29AF" w:rsidP="00D77CAE">
      <w:pPr>
        <w:pStyle w:val="Textpoznmkypodiarou"/>
      </w:pPr>
      <w:r>
        <w:rPr>
          <w:rStyle w:val="Odkaznapoznmkupodiarou"/>
        </w:rPr>
        <w:footnoteRef/>
      </w:r>
      <w:r>
        <w:t xml:space="preserve"> Zákon č. 245/2008 Z. z. o výchove a vzdelávaní (školský zákon), § 130 Robia tak </w:t>
      </w:r>
      <w:r w:rsidRPr="00A47998">
        <w:rPr>
          <w:bCs/>
        </w:rPr>
        <w:t>z iniciatívy zákonného zástupcu alebo školy, avšak vždy len s informovaným súhlasom zákonného zástupcu</w:t>
      </w:r>
      <w:r>
        <w:rPr>
          <w:bCs/>
        </w:rPr>
        <w:t>.</w:t>
      </w:r>
      <w:r>
        <w:t xml:space="preserve"> , § 130</w:t>
      </w:r>
    </w:p>
  </w:footnote>
  <w:footnote w:id="166">
    <w:p w14:paraId="39064187" w14:textId="77777777" w:rsidR="00FA29AF" w:rsidRDefault="00FA29AF" w:rsidP="00D77CAE">
      <w:pPr>
        <w:pStyle w:val="Textpoznmkypodiarou"/>
      </w:pPr>
      <w:r>
        <w:rPr>
          <w:rStyle w:val="Odkaznapoznmkupodiarou"/>
        </w:rPr>
        <w:footnoteRef/>
      </w:r>
      <w:r>
        <w:t xml:space="preserve"> Návrh na vzdelávanie dieťaťa alebo žiaka so špeciálnymi výchovno-vzdelávacími potrebami v materskej, základnej alebo strednej škole a v špeciálnej škole. Dostupné na: </w:t>
      </w:r>
      <w:hyperlink r:id="rId39" w:history="1">
        <w:r w:rsidRPr="00063662">
          <w:rPr>
            <w:rStyle w:val="Hypertextovprepojenie"/>
          </w:rPr>
          <w:t>https://edicnyportal.iedu.sk/Forms/Show/476</w:t>
        </w:r>
      </w:hyperlink>
    </w:p>
  </w:footnote>
  <w:footnote w:id="167">
    <w:p w14:paraId="400C9C4E" w14:textId="33ED9233" w:rsidR="00FA29AF" w:rsidRDefault="00FA29AF" w:rsidP="00D77CAE">
      <w:pPr>
        <w:pStyle w:val="Textpoznmkypodiarou"/>
      </w:pPr>
      <w:r>
        <w:rPr>
          <w:rStyle w:val="Odkaznapoznmkupodiarou"/>
        </w:rPr>
        <w:footnoteRef/>
      </w:r>
      <w:r>
        <w:t xml:space="preserve"> Zákon č. 245/2008 Z. z. o výchove a vzdelávaní (školský zákon), § 94 ods. 1 písm. b) bod 1</w:t>
      </w:r>
    </w:p>
  </w:footnote>
  <w:footnote w:id="168">
    <w:p w14:paraId="3ED52205" w14:textId="77777777" w:rsidR="00FA29AF" w:rsidRDefault="00FA29AF" w:rsidP="00D77CAE">
      <w:pPr>
        <w:pStyle w:val="Textpoznmkypodiarou"/>
      </w:pPr>
      <w:r>
        <w:rPr>
          <w:rStyle w:val="Odkaznapoznmkupodiarou"/>
        </w:rPr>
        <w:footnoteRef/>
      </w:r>
      <w:r>
        <w:t xml:space="preserve"> Zákon č. 138/2019 Z. z. o pedagogických zamestnancoch a odborných zamestnancoch, § 10 ods. 2.T</w:t>
      </w:r>
      <w:r w:rsidRPr="00B54FEF">
        <w:t>o sa nevzťahuje na učiteľa, ktorý v triede pre deti a žiakov so špeciálnymi výchovno-vzdelávacími potrebami vykonáva priamu výchovno-vzdelávaciu činnosť v rozsahu najviac desať hodín týždenne.</w:t>
      </w:r>
    </w:p>
  </w:footnote>
  <w:footnote w:id="169">
    <w:p w14:paraId="00D10A9F" w14:textId="77777777" w:rsidR="00FA29AF" w:rsidRDefault="00FA29AF" w:rsidP="00D77CAE">
      <w:pPr>
        <w:pStyle w:val="Textpoznmkypodiarou"/>
      </w:pPr>
      <w:r>
        <w:rPr>
          <w:rStyle w:val="Odkaznapoznmkupodiarou"/>
        </w:rPr>
        <w:footnoteRef/>
      </w:r>
      <w:r>
        <w:t xml:space="preserve"> Zákon č. 245/2008 Z. z. o výchove a vzdelávaní (školský zákon), § 28 ods. 12, § 61 ods. 1</w:t>
      </w:r>
    </w:p>
  </w:footnote>
  <w:footnote w:id="170">
    <w:p w14:paraId="6E912BEF" w14:textId="77777777" w:rsidR="00FA29AF" w:rsidRDefault="00FA29AF" w:rsidP="00D77CAE">
      <w:pPr>
        <w:pStyle w:val="Textpoznmkypodiarou"/>
      </w:pPr>
      <w:r>
        <w:rPr>
          <w:rStyle w:val="Odkaznapoznmkupodiarou"/>
        </w:rPr>
        <w:footnoteRef/>
      </w:r>
      <w:r>
        <w:t xml:space="preserve"> Zákon č. 245/2008 Z. z. o výchove a vzdelávaní (školský zákon), § 20 ods. 5</w:t>
      </w:r>
    </w:p>
  </w:footnote>
  <w:footnote w:id="171">
    <w:p w14:paraId="524F562D" w14:textId="77777777" w:rsidR="00FA29AF" w:rsidRDefault="00FA29AF" w:rsidP="00D77CAE">
      <w:pPr>
        <w:pStyle w:val="Textpoznmkypodiarou"/>
      </w:pPr>
      <w:r>
        <w:rPr>
          <w:rStyle w:val="Odkaznapoznmkupodiarou"/>
        </w:rPr>
        <w:footnoteRef/>
      </w:r>
      <w:r>
        <w:t xml:space="preserve"> Zákon č. 245/2008 Z. z. o výchove a vzdelávaní (školský zákon), § 94 ods. 1 písm. b) bod 2 a ods. 3</w:t>
      </w:r>
    </w:p>
  </w:footnote>
  <w:footnote w:id="172">
    <w:p w14:paraId="48A9E65F" w14:textId="77777777" w:rsidR="00FA29AF" w:rsidRDefault="00FA29AF" w:rsidP="00D77CAE">
      <w:pPr>
        <w:pStyle w:val="Textpoznmkypodiarou"/>
      </w:pPr>
      <w:r>
        <w:rPr>
          <w:rStyle w:val="Odkaznapoznmkupodiarou"/>
        </w:rPr>
        <w:footnoteRef/>
      </w:r>
      <w:r>
        <w:t xml:space="preserve"> Zákon č. 245/2008 Z. z. o výchove a vzdelávaní (školský zákon) a o zmene a doplnení niektorých zákonov, § 144 ods. 2 a 3</w:t>
      </w:r>
    </w:p>
  </w:footnote>
  <w:footnote w:id="173">
    <w:p w14:paraId="2C4C5864" w14:textId="77777777" w:rsidR="00FA29AF" w:rsidRPr="00A425AB" w:rsidRDefault="00FA29AF" w:rsidP="008E166F">
      <w:pPr>
        <w:pStyle w:val="Textpoznmkypodiarou"/>
      </w:pPr>
      <w:r>
        <w:rPr>
          <w:rStyle w:val="Odkaznapoznmkupodiarou"/>
        </w:rPr>
        <w:footnoteRef/>
      </w:r>
      <w:r>
        <w:t xml:space="preserve"> </w:t>
      </w:r>
      <w:r w:rsidRPr="00A47998">
        <w:rPr>
          <w:szCs w:val="18"/>
        </w:rPr>
        <w:t>V populácii detí s autizmom sú započítané iba deti s autizmom bez mentálneho postihnutia.</w:t>
      </w:r>
    </w:p>
  </w:footnote>
  <w:footnote w:id="174">
    <w:p w14:paraId="07E7CE9F" w14:textId="77777777" w:rsidR="00FA29AF" w:rsidRPr="00A425AB" w:rsidRDefault="00FA29AF" w:rsidP="008E166F">
      <w:pPr>
        <w:pStyle w:val="Textpoznmkypodiarou"/>
      </w:pPr>
      <w:r>
        <w:rPr>
          <w:rStyle w:val="Odkaznapoznmkupodiarou"/>
        </w:rPr>
        <w:footnoteRef/>
      </w:r>
      <w:r>
        <w:t xml:space="preserve"> </w:t>
      </w:r>
      <w:r w:rsidRPr="00A47998">
        <w:rPr>
          <w:szCs w:val="18"/>
        </w:rPr>
        <w:t>V populácii detí s mentálnym postihnutím sú započítané deti s mentálnym postihnutím vrátane mentálneho postihnutia v kombinácii s iným zdravotnými znevýhodneniami</w:t>
      </w:r>
      <w:r>
        <w:rPr>
          <w:szCs w:val="18"/>
        </w:rPr>
        <w:t>.</w:t>
      </w:r>
    </w:p>
  </w:footnote>
  <w:footnote w:id="175">
    <w:p w14:paraId="62EE5884" w14:textId="23066D17" w:rsidR="00FA29AF" w:rsidRPr="00B07246" w:rsidRDefault="00FA29AF" w:rsidP="008E166F">
      <w:pPr>
        <w:pStyle w:val="Textpoznmkypodiarou"/>
        <w:rPr>
          <w:szCs w:val="18"/>
        </w:rPr>
      </w:pPr>
      <w:r w:rsidRPr="00B07246">
        <w:rPr>
          <w:rStyle w:val="Odkaznapoznmkupodiarou"/>
          <w:szCs w:val="18"/>
        </w:rPr>
        <w:footnoteRef/>
      </w:r>
      <w:r w:rsidRPr="00B07246">
        <w:rPr>
          <w:szCs w:val="18"/>
        </w:rPr>
        <w:t xml:space="preserve"> </w:t>
      </w:r>
      <w:r w:rsidRPr="006E1239">
        <w:rPr>
          <w:bCs/>
          <w:szCs w:val="18"/>
        </w:rPr>
        <w:t>Materským školám chýba motivácia vykazovať príznak ZZ v oficiálnych štatistikách, keďže systém financovania príznak ZZ v bežných MŠ nezohľadňuje (hoci zriaďovatelia – väčšinou obce – môžu pri prerozdelení financií tento fakt zohľadniť). Za takýchto podmienok môže deklarácia ZZ pre MŠ de facto znamenať iba zvýšenú administratívnu záťaž v súvislosti s úpravou vzdelávacích programov. Zo strany rodičov môže ísť v prípade otvorenej deklarácie existencie zdravotného znevýhodnenia o obavu zo stigmatizácie alebo z neprijati</w:t>
      </w:r>
      <w:r>
        <w:rPr>
          <w:bCs/>
          <w:szCs w:val="18"/>
        </w:rPr>
        <w:t>a dieťaťa do MŠ</w:t>
      </w:r>
      <w:r w:rsidRPr="006E1239">
        <w:rPr>
          <w:bCs/>
          <w:szCs w:val="18"/>
        </w:rPr>
        <w:t>.</w:t>
      </w:r>
    </w:p>
  </w:footnote>
  <w:footnote w:id="176">
    <w:p w14:paraId="67170441" w14:textId="2CFCF6BD" w:rsidR="00FA29AF" w:rsidRDefault="00FA29AF" w:rsidP="00170D28">
      <w:pPr>
        <w:pStyle w:val="Textpoznmkypodiarou"/>
      </w:pPr>
      <w:r w:rsidRPr="00B07246">
        <w:rPr>
          <w:rStyle w:val="Odkaznapoznmkupodiarou"/>
          <w:szCs w:val="18"/>
        </w:rPr>
        <w:footnoteRef/>
      </w:r>
      <w:r w:rsidRPr="00B07246">
        <w:rPr>
          <w:szCs w:val="18"/>
        </w:rPr>
        <w:t xml:space="preserve"> </w:t>
      </w:r>
      <w:r w:rsidRPr="006E1239">
        <w:rPr>
          <w:bCs/>
          <w:szCs w:val="18"/>
        </w:rPr>
        <w:t xml:space="preserve">Iba </w:t>
      </w:r>
      <w:r w:rsidRPr="006E1239">
        <w:rPr>
          <w:szCs w:val="18"/>
        </w:rPr>
        <w:t xml:space="preserve">7 % z detí so ZZ, ktoré mali v roku 2018/19 diagnostikované zdravotné znevýhodnenie v základnej škole (nultý, prípravný a prvý ročník) a v roku 2017/18 navštevovali bežnú MŠ, malo príznak zdravotného znevýhodnenia v materskej škole reálne vykázaný. </w:t>
      </w:r>
      <w:r w:rsidRPr="00B07246">
        <w:rPr>
          <w:szCs w:val="18"/>
        </w:rPr>
        <w:t>Rozdiel v zastúpení detí so ZZ v materských a základných školách je okrem podhodnoteného vykazovania zdravotného znevýhodnenia zapríčinený</w:t>
      </w:r>
      <w:r>
        <w:t xml:space="preserve"> aj inými faktormi ako je </w:t>
      </w:r>
      <w:r w:rsidRPr="00B05B9A">
        <w:t>prirodzene n</w:t>
      </w:r>
      <w:r>
        <w:t>ižšia účasť</w:t>
      </w:r>
      <w:r w:rsidRPr="00B05B9A">
        <w:t xml:space="preserve"> detí na nepovinnom predš</w:t>
      </w:r>
      <w:r>
        <w:t>kolskom vzdelávaní a dostupnosť a načasovanie</w:t>
      </w:r>
      <w:r w:rsidRPr="00B05B9A">
        <w:t xml:space="preserve"> diagnostiky</w:t>
      </w:r>
      <w:r>
        <w:t xml:space="preserve">. </w:t>
      </w:r>
      <w:r w:rsidRPr="00364A1C">
        <w:t>K diagnostike zdravotného znevýhodnenia môže z rôznych dôvodov dochádzať až vo vyššom školopovinnom veku.</w:t>
      </w:r>
      <w:r w:rsidRPr="00293CFE">
        <w:t xml:space="preserve"> Príčiny sú rozmanité – od</w:t>
      </w:r>
      <w:r>
        <w:t xml:space="preserve"> neskoršieho</w:t>
      </w:r>
      <w:r w:rsidRPr="00293CFE">
        <w:t xml:space="preserve"> spozorovania znevýhodnenia samotnými rodičmi a pedagógmi, cez </w:t>
      </w:r>
      <w:r>
        <w:t>dostupnosť diagnostiky (poradne pracujú najmä so školopovinnými deťmi)</w:t>
      </w:r>
      <w:r w:rsidRPr="00293CFE">
        <w:t xml:space="preserve">, až po druh </w:t>
      </w:r>
      <w:r>
        <w:t>zdravotného znevýhodnenia</w:t>
      </w:r>
      <w:r w:rsidRPr="00293CFE">
        <w:t xml:space="preserve">, z podstaty ktorého môže </w:t>
      </w:r>
      <w:r>
        <w:t>vyplýva</w:t>
      </w:r>
      <w:r w:rsidRPr="00293CFE">
        <w:t xml:space="preserve">ť, že </w:t>
      </w:r>
      <w:r>
        <w:t>ZZ je diagnostikované</w:t>
      </w:r>
      <w:r w:rsidRPr="00293CFE">
        <w:t xml:space="preserve"> až vo vyššom veku</w:t>
      </w:r>
      <w:r>
        <w:t xml:space="preserve"> (napr. poruchy učenia, autizmus a i.)</w:t>
      </w:r>
      <w:r w:rsidRPr="00293CFE">
        <w:t>.</w:t>
      </w:r>
    </w:p>
  </w:footnote>
  <w:footnote w:id="177">
    <w:p w14:paraId="6207346F" w14:textId="77777777" w:rsidR="00FA29AF" w:rsidRPr="00176244" w:rsidRDefault="00FA29AF" w:rsidP="00D53C5F">
      <w:pPr>
        <w:pStyle w:val="Textpoznmkypodiarou"/>
        <w:rPr>
          <w:szCs w:val="18"/>
        </w:rPr>
      </w:pPr>
      <w:r w:rsidRPr="00176244">
        <w:rPr>
          <w:rStyle w:val="Odkaznapoznmkupodiarou"/>
          <w:szCs w:val="18"/>
        </w:rPr>
        <w:footnoteRef/>
      </w:r>
      <w:r w:rsidRPr="00176244">
        <w:rPr>
          <w:szCs w:val="18"/>
        </w:rPr>
        <w:t xml:space="preserve"> Prepočty IVP na základe dát RIS (2016-2018)</w:t>
      </w:r>
      <w:r>
        <w:rPr>
          <w:szCs w:val="18"/>
        </w:rPr>
        <w:t>.</w:t>
      </w:r>
    </w:p>
  </w:footnote>
  <w:footnote w:id="178">
    <w:p w14:paraId="7E2DD775" w14:textId="77777777" w:rsidR="00FA29AF" w:rsidRPr="00176244" w:rsidRDefault="00FA29AF" w:rsidP="00170D28">
      <w:pPr>
        <w:pStyle w:val="Textpoznmkypodiarou"/>
        <w:rPr>
          <w:szCs w:val="18"/>
        </w:rPr>
      </w:pPr>
      <w:r w:rsidRPr="00176244">
        <w:rPr>
          <w:rStyle w:val="Odkaznapoznmkupodiarou"/>
          <w:szCs w:val="18"/>
        </w:rPr>
        <w:footnoteRef/>
      </w:r>
      <w:r w:rsidRPr="00176244">
        <w:rPr>
          <w:szCs w:val="18"/>
        </w:rPr>
        <w:t xml:space="preserve"> Z</w:t>
      </w:r>
      <w:r>
        <w:rPr>
          <w:szCs w:val="18"/>
        </w:rPr>
        <w:t> 1 310</w:t>
      </w:r>
      <w:r w:rsidRPr="00176244">
        <w:rPr>
          <w:szCs w:val="18"/>
        </w:rPr>
        <w:t xml:space="preserve"> detí so ZZ v predškolskom veku sa v špeciálnych triedach vzdelávalo iba 6 detí so ZZ, všetky ostatné deti navštevovali</w:t>
      </w:r>
      <w:r>
        <w:rPr>
          <w:szCs w:val="18"/>
        </w:rPr>
        <w:t xml:space="preserve"> buď bežné triedy bežných materských škôl alebo špeciálne materské školy.</w:t>
      </w:r>
    </w:p>
  </w:footnote>
  <w:footnote w:id="179">
    <w:p w14:paraId="47E96A61" w14:textId="2AEE919E" w:rsidR="00FA29AF" w:rsidRPr="00155D56" w:rsidRDefault="00FA29AF">
      <w:pPr>
        <w:pStyle w:val="Textpoznmkypodiarou"/>
      </w:pPr>
      <w:r>
        <w:rPr>
          <w:rStyle w:val="Odkaznapoznmkupodiarou"/>
        </w:rPr>
        <w:footnoteRef/>
      </w:r>
      <w:r>
        <w:t xml:space="preserve"> </w:t>
      </w:r>
      <w:r w:rsidRPr="00A47998">
        <w:t>Medzi 4-ročnými v školskom roku 2016/17 to bolo 44 % pre oba druhy postihnutia a okrem toho boli v špeciálnom prúde nadpriemerne zastúpené aj deti s telesným postihnutím (47%).</w:t>
      </w:r>
    </w:p>
  </w:footnote>
  <w:footnote w:id="180">
    <w:p w14:paraId="1BC92B4B" w14:textId="77777777" w:rsidR="00FA29AF" w:rsidRDefault="00FA29AF" w:rsidP="00170D28">
      <w:pPr>
        <w:pStyle w:val="Textpoznmkypodiarou"/>
      </w:pPr>
      <w:r>
        <w:rPr>
          <w:rStyle w:val="Odkaznapoznmkupodiarou"/>
        </w:rPr>
        <w:footnoteRef/>
      </w:r>
      <w:r>
        <w:t xml:space="preserve"> </w:t>
      </w:r>
      <w:r w:rsidRPr="00176244">
        <w:rPr>
          <w:szCs w:val="18"/>
        </w:rPr>
        <w:t>Prepočty IVP na základe dát CVTI (2017, 2018)</w:t>
      </w:r>
    </w:p>
  </w:footnote>
  <w:footnote w:id="181">
    <w:p w14:paraId="0F8E9785" w14:textId="77777777" w:rsidR="00FA29AF" w:rsidRDefault="00FA29AF" w:rsidP="00170D28">
      <w:pPr>
        <w:pStyle w:val="Textpoznmkypodiarou"/>
      </w:pPr>
      <w:r>
        <w:rPr>
          <w:rStyle w:val="Odkaznapoznmkupodiarou"/>
        </w:rPr>
        <w:footnoteRef/>
      </w:r>
      <w:r>
        <w:t xml:space="preserve"> Prepočty IVP na základe dát Eduzberu (2017, 2018) a na základe priemernej sumy napočítanej</w:t>
      </w:r>
      <w:r w:rsidRPr="007F658A">
        <w:t xml:space="preserve"> na jedno dieťa v materskej škole podľa vzorca na prerozdeľovanie dani z prímu fyzických osôb zohľadňujúc</w:t>
      </w:r>
      <w:r>
        <w:t xml:space="preserve"> prepočítaný</w:t>
      </w:r>
      <w:r w:rsidRPr="007F658A">
        <w:t xml:space="preserve"> počet detí v materskej škole v kalendárnom roku 2018</w:t>
      </w:r>
      <w:r>
        <w:t xml:space="preserve"> </w:t>
      </w:r>
    </w:p>
  </w:footnote>
  <w:footnote w:id="182">
    <w:p w14:paraId="6C57706D" w14:textId="77777777" w:rsidR="00FA29AF" w:rsidRDefault="00FA29AF" w:rsidP="00170D28">
      <w:pPr>
        <w:pStyle w:val="Textpoznmkypodiarou"/>
      </w:pPr>
      <w:r>
        <w:rPr>
          <w:rStyle w:val="Odkaznapoznmkupodiarou"/>
        </w:rPr>
        <w:footnoteRef/>
      </w:r>
      <w:r>
        <w:t xml:space="preserve"> </w:t>
      </w:r>
      <w:r w:rsidRPr="00176244">
        <w:rPr>
          <w:szCs w:val="18"/>
        </w:rPr>
        <w:t>Prepočty IVP na základe dát CVTI (2017, 2018)</w:t>
      </w:r>
    </w:p>
  </w:footnote>
  <w:footnote w:id="183">
    <w:p w14:paraId="7180FEC1" w14:textId="77777777" w:rsidR="00FA29AF" w:rsidRPr="00F176BA" w:rsidRDefault="00FA29AF" w:rsidP="00170D28">
      <w:pPr>
        <w:pStyle w:val="Textpoznmkypodiarou"/>
      </w:pPr>
      <w:r>
        <w:rPr>
          <w:rStyle w:val="Odkaznapoznmkupodiarou"/>
        </w:rPr>
        <w:footnoteRef/>
      </w:r>
      <w:r>
        <w:t xml:space="preserve"> </w:t>
      </w:r>
      <w:r w:rsidRPr="00F176BA">
        <w:t>Medzi deti so špeciálnymi výchovno-vzdelávajúcimi potrebami patria deti so zdravotným znevýhodnením, deti s nadaním a deti zo sociálne znevýhodneného prostredia.</w:t>
      </w:r>
    </w:p>
  </w:footnote>
  <w:footnote w:id="184">
    <w:p w14:paraId="7CBA275F" w14:textId="3B589ABB" w:rsidR="00FA29AF" w:rsidRPr="00F176BA" w:rsidRDefault="00FA29AF" w:rsidP="00170D28">
      <w:pPr>
        <w:pStyle w:val="Textpoznmkypodiarou"/>
      </w:pPr>
      <w:r w:rsidRPr="00F176BA">
        <w:rPr>
          <w:rStyle w:val="Odkaznapoznmkupodiarou"/>
        </w:rPr>
        <w:footnoteRef/>
      </w:r>
      <w:r w:rsidRPr="00F176BA">
        <w:t xml:space="preserve"> </w:t>
      </w:r>
      <w:r>
        <w:t xml:space="preserve">Zákon </w:t>
      </w:r>
      <w:r w:rsidRPr="00F176BA">
        <w:t>č. 245/2008 Z. z.</w:t>
      </w:r>
      <w:r>
        <w:t xml:space="preserve"> o výchove a vzdelávaní (školský zákon)</w:t>
      </w:r>
      <w:r w:rsidRPr="00F176BA">
        <w:t>, § 28 ods. 12</w:t>
      </w:r>
    </w:p>
  </w:footnote>
  <w:footnote w:id="185">
    <w:p w14:paraId="233AA776" w14:textId="77777777" w:rsidR="00FA29AF" w:rsidRDefault="00FA29AF" w:rsidP="00BE798A">
      <w:pPr>
        <w:pStyle w:val="Textpoznmkypodiarou"/>
      </w:pPr>
      <w:r>
        <w:rPr>
          <w:rStyle w:val="Odkaznapoznmkupodiarou"/>
        </w:rPr>
        <w:footnoteRef/>
      </w:r>
      <w:r>
        <w:t xml:space="preserve"> Prepočty IVP na základe dát CVTI (2018)</w:t>
      </w:r>
    </w:p>
  </w:footnote>
  <w:footnote w:id="186">
    <w:p w14:paraId="1C371E81" w14:textId="77777777" w:rsidR="00FA29AF" w:rsidRDefault="00FA29AF" w:rsidP="00BE798A">
      <w:pPr>
        <w:pStyle w:val="Textpoznmkypodiarou"/>
      </w:pPr>
      <w:r>
        <w:rPr>
          <w:rStyle w:val="Odkaznapoznmkupodiarou"/>
        </w:rPr>
        <w:footnoteRef/>
      </w:r>
      <w:r>
        <w:t xml:space="preserve"> Podľa údajov CVTI (2018) malo 22 a viac detí v jednej triede 1 144 MŠ z 3 001 MŠ (prepočet zohľadňuje zákonné maximá a je očistený o hygienickú kapacitu). Platí, že aj iné krajiny EÚ majú maximálne počty deti v triedach stanovené vyššie ako je optimálny počet 20 detí na triedu, avšak približne polovica z nich reguluje maximálny počet detí pripadajúcich na jedného pracovníka </w:t>
      </w:r>
      <w:r w:rsidRPr="00282A50">
        <w:t>(European Commission/EACEA/Eurydice, 2019)</w:t>
      </w:r>
      <w:r>
        <w:t>.</w:t>
      </w:r>
    </w:p>
  </w:footnote>
  <w:footnote w:id="187">
    <w:p w14:paraId="0999FD07" w14:textId="77777777" w:rsidR="00FA29AF" w:rsidRDefault="00FA29AF" w:rsidP="00BE798A">
      <w:pPr>
        <w:pStyle w:val="Textpoznmkypodiarou"/>
      </w:pPr>
      <w:r>
        <w:rPr>
          <w:rStyle w:val="Odkaznapoznmkupodiarou"/>
        </w:rPr>
        <w:footnoteRef/>
      </w:r>
      <w:r>
        <w:t xml:space="preserve"> Zákon č. 245/2008 Z. z. o výchove a vzdelávaní (školský zákon), § 28 ods. 9 a 10</w:t>
      </w:r>
    </w:p>
  </w:footnote>
  <w:footnote w:id="188">
    <w:p w14:paraId="130DE00D" w14:textId="77777777" w:rsidR="00FA29AF" w:rsidRDefault="00FA29AF" w:rsidP="00170D28">
      <w:pPr>
        <w:pStyle w:val="Textpoznmkypodiarou"/>
      </w:pPr>
      <w:r>
        <w:rPr>
          <w:rStyle w:val="Odkaznapoznmkupodiarou"/>
        </w:rPr>
        <w:footnoteRef/>
      </w:r>
      <w:r>
        <w:t xml:space="preserve"> Ide o 8 vzdelávacích systémov krajín EÚ z 20 v prípade 5-ročných detí a o 12 vzdelávacích systémov z 20 v prípade 3-ročných detí. Maximálne počty detí pripadajúcich na jedného dospelého sú stanovené na 8 až 13 detí.</w:t>
      </w:r>
    </w:p>
  </w:footnote>
  <w:footnote w:id="189">
    <w:p w14:paraId="1659053A" w14:textId="77777777" w:rsidR="00FA29AF" w:rsidRDefault="00FA29AF" w:rsidP="00170D28">
      <w:pPr>
        <w:pStyle w:val="Textpoznmkypodiarou"/>
      </w:pPr>
      <w:r>
        <w:rPr>
          <w:rStyle w:val="Odkaznapoznmkupodiarou"/>
        </w:rPr>
        <w:footnoteRef/>
      </w:r>
      <w:r>
        <w:t xml:space="preserve"> </w:t>
      </w:r>
      <w:r w:rsidRPr="00F176BA">
        <w:t>Zákon č. 245/2008 Z. z.</w:t>
      </w:r>
      <w:r>
        <w:t xml:space="preserve"> o výchove a vzdelávaní (školský zákon)</w:t>
      </w:r>
      <w:r w:rsidRPr="00F176BA">
        <w:t>, § 144 ods. 2 a 3</w:t>
      </w:r>
    </w:p>
  </w:footnote>
  <w:footnote w:id="190">
    <w:p w14:paraId="702A45E1" w14:textId="77777777" w:rsidR="00FA29AF" w:rsidRPr="00176244" w:rsidRDefault="00FA29AF" w:rsidP="00170D28">
      <w:pPr>
        <w:pStyle w:val="Textpoznmkypodiarou"/>
        <w:rPr>
          <w:szCs w:val="18"/>
        </w:rPr>
      </w:pPr>
      <w:r w:rsidRPr="00176244">
        <w:rPr>
          <w:rStyle w:val="Odkaznapoznmkupodiarou"/>
          <w:szCs w:val="18"/>
        </w:rPr>
        <w:footnoteRef/>
      </w:r>
      <w:r w:rsidRPr="00176244">
        <w:rPr>
          <w:szCs w:val="18"/>
        </w:rPr>
        <w:t xml:space="preserve"> Nezverejnený audit poradenských zariadení vypracovaný Výskumným ústavom detskej psychológie a patopsychológie pre MŠVVŠ SR</w:t>
      </w:r>
      <w:r>
        <w:rPr>
          <w:szCs w:val="18"/>
        </w:rPr>
        <w:t>.</w:t>
      </w:r>
    </w:p>
  </w:footnote>
  <w:footnote w:id="191">
    <w:p w14:paraId="20C7B157" w14:textId="77777777" w:rsidR="00FA29AF" w:rsidRPr="00176244" w:rsidRDefault="00FA29AF" w:rsidP="00170D28">
      <w:pPr>
        <w:pStyle w:val="Textpoznmkypodiarou"/>
        <w:rPr>
          <w:szCs w:val="18"/>
        </w:rPr>
      </w:pPr>
      <w:r w:rsidRPr="00176244">
        <w:rPr>
          <w:rStyle w:val="Odkaznapoznmkupodiarou"/>
          <w:szCs w:val="18"/>
        </w:rPr>
        <w:footnoteRef/>
      </w:r>
      <w:r w:rsidRPr="00176244">
        <w:rPr>
          <w:szCs w:val="18"/>
        </w:rPr>
        <w:t xml:space="preserve"> Pre úplný prehľad dostupného vzdelávania v oblasti ŠVVP detí so ZZ by bolo potrebné analyzovať obsah ďalších programov, ktoré sa síce zameriavajú na iné oblasti (napr. využívanie IKT), ale v rámci kurikula môžu obsahovať špecifické odporúčania pre prácu s deťmi so ŠVVP.</w:t>
      </w:r>
    </w:p>
  </w:footnote>
  <w:footnote w:id="192">
    <w:p w14:paraId="437841EC" w14:textId="77777777" w:rsidR="00FA29AF" w:rsidRPr="00176244" w:rsidRDefault="00FA29AF" w:rsidP="00170D28">
      <w:pPr>
        <w:pStyle w:val="Textpoznmkypodiarou"/>
        <w:rPr>
          <w:szCs w:val="18"/>
        </w:rPr>
      </w:pPr>
      <w:r w:rsidRPr="00176244">
        <w:rPr>
          <w:rStyle w:val="Odkaznapoznmkupodiarou"/>
          <w:szCs w:val="18"/>
        </w:rPr>
        <w:footnoteRef/>
      </w:r>
      <w:r w:rsidRPr="00176244">
        <w:rPr>
          <w:szCs w:val="18"/>
        </w:rPr>
        <w:t xml:space="preserve"> </w:t>
      </w:r>
      <w:r>
        <w:rPr>
          <w:szCs w:val="18"/>
        </w:rPr>
        <w:t>P</w:t>
      </w:r>
      <w:r w:rsidRPr="00176244">
        <w:rPr>
          <w:szCs w:val="18"/>
        </w:rPr>
        <w:t>okyn ministra č. 39/2017, ktorým sa vydávajú profesijné štandardy pre jednotlivé kategórie a podkategórie pedagogických zamestnancov a odborných zamestnancov škôl a školských zariadení</w:t>
      </w:r>
      <w:r w:rsidRPr="00364A1C">
        <w:rPr>
          <w:szCs w:val="18"/>
        </w:rPr>
        <w:t xml:space="preserve">. Dostupné na: </w:t>
      </w:r>
      <w:hyperlink r:id="rId40" w:history="1">
        <w:r w:rsidRPr="00364A1C">
          <w:rPr>
            <w:rStyle w:val="Hypertextovprepojenie"/>
            <w:szCs w:val="18"/>
          </w:rPr>
          <w:t>https://www.minedu.sk/pokyn-ministra-c-392017-ktorym-sa-vydavaju-profesijne-standardy-pre-jednotlive-kategorie-a-podkategorie-pedagogickych-zamestnancov-a-odbornych-zamestnancov-skol-a-skolskych-zariadeni/</w:t>
        </w:r>
      </w:hyperlink>
      <w:r>
        <w:rPr>
          <w:szCs w:val="18"/>
        </w:rPr>
        <w:t>. V uvedených profesijných štandardoch sú opísané k</w:t>
      </w:r>
      <w:r w:rsidRPr="00176244">
        <w:rPr>
          <w:szCs w:val="18"/>
        </w:rPr>
        <w:t>onkrétne kompetencie jednotlivých podporných zamestnancov</w:t>
      </w:r>
      <w:r>
        <w:rPr>
          <w:szCs w:val="18"/>
        </w:rPr>
        <w:t>,</w:t>
      </w:r>
    </w:p>
  </w:footnote>
  <w:footnote w:id="193">
    <w:p w14:paraId="7785C237" w14:textId="77777777" w:rsidR="00FA29AF" w:rsidRPr="00176244" w:rsidRDefault="00FA29AF" w:rsidP="00170D28">
      <w:pPr>
        <w:pStyle w:val="Textpoznmkypodiarou"/>
        <w:rPr>
          <w:szCs w:val="18"/>
        </w:rPr>
      </w:pPr>
      <w:r w:rsidRPr="00176244">
        <w:rPr>
          <w:rStyle w:val="Odkaznapoznmkupodiarou"/>
          <w:szCs w:val="18"/>
        </w:rPr>
        <w:footnoteRef/>
      </w:r>
      <w:r w:rsidRPr="00176244">
        <w:rPr>
          <w:szCs w:val="18"/>
        </w:rPr>
        <w:t xml:space="preserve"> Z toho 11 špeciálnych pedagógov, 10 psychológov a 36 iných odborných zamestnancov (logopédi, sociálni a liečební pedagógovia).</w:t>
      </w:r>
    </w:p>
  </w:footnote>
  <w:footnote w:id="194">
    <w:p w14:paraId="6178B3C3" w14:textId="77777777" w:rsidR="00FA29AF" w:rsidRDefault="00FA29AF" w:rsidP="00170D28">
      <w:pPr>
        <w:pStyle w:val="Textpoznmkypodiarou"/>
      </w:pPr>
      <w:r>
        <w:rPr>
          <w:rStyle w:val="Odkaznapoznmkupodiarou"/>
        </w:rPr>
        <w:footnoteRef/>
      </w:r>
      <w:r>
        <w:t xml:space="preserve"> V 40 z 3001.</w:t>
      </w:r>
    </w:p>
  </w:footnote>
  <w:footnote w:id="195">
    <w:p w14:paraId="6E951C60" w14:textId="77777777" w:rsidR="00FA29AF" w:rsidRPr="00176244" w:rsidRDefault="00FA29AF" w:rsidP="00170D28">
      <w:pPr>
        <w:pStyle w:val="Textpoznmkypodiarou"/>
        <w:rPr>
          <w:szCs w:val="18"/>
        </w:rPr>
      </w:pPr>
      <w:r w:rsidRPr="00176244">
        <w:rPr>
          <w:rStyle w:val="Odkaznapoznmkupodiarou"/>
          <w:szCs w:val="18"/>
        </w:rPr>
        <w:footnoteRef/>
      </w:r>
      <w:r w:rsidRPr="00176244">
        <w:rPr>
          <w:szCs w:val="18"/>
        </w:rPr>
        <w:t xml:space="preserve"> Prepočty IVP na základe dát CVTI (2017, 2018).</w:t>
      </w:r>
    </w:p>
  </w:footnote>
  <w:footnote w:id="196">
    <w:p w14:paraId="696E753A" w14:textId="3DBE3700" w:rsidR="00FA29AF" w:rsidRPr="0046057E" w:rsidRDefault="00FA29AF" w:rsidP="00170D28">
      <w:pPr>
        <w:pStyle w:val="Textpoznmkypodiarou"/>
        <w:rPr>
          <w:color w:val="212121"/>
        </w:rPr>
      </w:pPr>
      <w:r w:rsidRPr="00364A1C">
        <w:rPr>
          <w:rStyle w:val="Odkaznapoznmkupodiarou"/>
        </w:rPr>
        <w:footnoteRef/>
      </w:r>
      <w:r w:rsidRPr="00364A1C">
        <w:t xml:space="preserve"> </w:t>
      </w:r>
      <w:r w:rsidRPr="00364A1C">
        <w:rPr>
          <w:color w:val="212121"/>
        </w:rPr>
        <w:t xml:space="preserve">Z analýzy príjmov a výdavkov zriaďovateľov materských škôl </w:t>
      </w:r>
      <w:r>
        <w:rPr>
          <w:color w:val="212121"/>
        </w:rPr>
        <w:t>vyplýva</w:t>
      </w:r>
      <w:r w:rsidRPr="00364A1C">
        <w:rPr>
          <w:color w:val="212121"/>
        </w:rPr>
        <w:t>, že v roku 2017 boli výdavky obcí ako zriaďovateľov materských škôl na predprimárne vzdelávanie v priemere o 15 579 eur na jednu materskú školu nižšie ako ich príjmy z tzv. podielových daní vypočítaných na základe počtu detí v MŠ. To naznačuje, že väčšina obcí disponuje zdrojmi na dofinancovanie 50 % tarifného platu odborného zamestnanca. Príjmy nižšie ako výdavky malo 18 % obcí a 15 % obcí malo príjmy vyššie ako výdavky o 0 až 10 % (</w:t>
      </w:r>
      <w:r w:rsidRPr="00A815B6">
        <w:fldChar w:fldCharType="begin"/>
      </w:r>
      <w:r w:rsidRPr="00A815B6">
        <w:instrText xml:space="preserve"> REF _Ref34129767 \h </w:instrText>
      </w:r>
      <w:r>
        <w:instrText xml:space="preserve"> \* MERGEFORMAT </w:instrText>
      </w:r>
      <w:r w:rsidRPr="00A815B6">
        <w:fldChar w:fldCharType="separate"/>
      </w:r>
      <w:r w:rsidRPr="00FA29AF">
        <w:t>Príloha 9</w:t>
      </w:r>
      <w:r w:rsidRPr="00A815B6">
        <w:fldChar w:fldCharType="end"/>
      </w:r>
      <w:r w:rsidRPr="00364A1C">
        <w:rPr>
          <w:color w:val="212121"/>
        </w:rPr>
        <w:t>).</w:t>
      </w:r>
    </w:p>
  </w:footnote>
  <w:footnote w:id="197">
    <w:p w14:paraId="4D9410B4" w14:textId="77777777" w:rsidR="00FA29AF" w:rsidRDefault="00FA29AF" w:rsidP="00170D28">
      <w:pPr>
        <w:pStyle w:val="Textpoznmkypodiarou"/>
      </w:pPr>
      <w:r>
        <w:rPr>
          <w:rStyle w:val="Odkaznapoznmkupodiarou"/>
        </w:rPr>
        <w:footnoteRef/>
      </w:r>
      <w:r>
        <w:t xml:space="preserve"> Z prítomnosti odborných zamestnancov v materských školách (psychológov, špeciálnych pedagógov, logopédov a i.) benefitujú všetky deti, nielen deti so zdravotným znevýhodnením.</w:t>
      </w:r>
    </w:p>
  </w:footnote>
  <w:footnote w:id="198">
    <w:p w14:paraId="4451B30A" w14:textId="77777777" w:rsidR="00FA29AF" w:rsidRPr="00176244" w:rsidRDefault="00FA29AF" w:rsidP="00170D28">
      <w:pPr>
        <w:pStyle w:val="Textpoznmkypodiarou"/>
        <w:rPr>
          <w:szCs w:val="18"/>
        </w:rPr>
      </w:pPr>
      <w:r w:rsidRPr="00176244">
        <w:rPr>
          <w:rStyle w:val="Odkaznapoznmkupodiarou"/>
          <w:szCs w:val="18"/>
        </w:rPr>
        <w:footnoteRef/>
      </w:r>
      <w:r w:rsidRPr="00176244">
        <w:rPr>
          <w:szCs w:val="18"/>
        </w:rPr>
        <w:t xml:space="preserve"> Vlastné prepočty</w:t>
      </w:r>
      <w:r>
        <w:rPr>
          <w:szCs w:val="18"/>
        </w:rPr>
        <w:t xml:space="preserve"> IVP</w:t>
      </w:r>
      <w:r w:rsidRPr="00176244">
        <w:rPr>
          <w:szCs w:val="18"/>
        </w:rPr>
        <w:t xml:space="preserve"> na základe dát CVTI</w:t>
      </w:r>
      <w:r>
        <w:rPr>
          <w:szCs w:val="18"/>
        </w:rPr>
        <w:t xml:space="preserve"> (2017, 2018)</w:t>
      </w:r>
      <w:r w:rsidRPr="00176244">
        <w:rPr>
          <w:szCs w:val="18"/>
        </w:rPr>
        <w:t xml:space="preserve"> a dát z NP ŠOV</w:t>
      </w:r>
      <w:r>
        <w:rPr>
          <w:szCs w:val="18"/>
        </w:rPr>
        <w:t xml:space="preserve"> (2019)</w:t>
      </w:r>
      <w:r w:rsidRPr="00176244">
        <w:rPr>
          <w:szCs w:val="18"/>
        </w:rPr>
        <w:t>.</w:t>
      </w:r>
    </w:p>
  </w:footnote>
  <w:footnote w:id="199">
    <w:p w14:paraId="0D4E64D2" w14:textId="77777777" w:rsidR="00FA29AF" w:rsidRDefault="00FA29AF" w:rsidP="00170D28">
      <w:pPr>
        <w:pStyle w:val="Textpoznmkypodiarou"/>
      </w:pPr>
      <w:r>
        <w:rPr>
          <w:rStyle w:val="Odkaznapoznmkupodiarou"/>
        </w:rPr>
        <w:footnoteRef/>
      </w:r>
      <w:r>
        <w:t xml:space="preserve"> Zákon </w:t>
      </w:r>
      <w:r w:rsidRPr="00272076">
        <w:rPr>
          <w:bCs/>
        </w:rPr>
        <w:t>č. 138/2019 Z. z.</w:t>
      </w:r>
      <w:r>
        <w:rPr>
          <w:bCs/>
        </w:rPr>
        <w:t xml:space="preserve"> </w:t>
      </w:r>
      <w:r w:rsidRPr="00D96287">
        <w:rPr>
          <w:bCs/>
        </w:rPr>
        <w:t>o pedagogických zamestnancoch a odborných zamestnancoch</w:t>
      </w:r>
      <w:r w:rsidRPr="00272076">
        <w:rPr>
          <w:bCs/>
        </w:rPr>
        <w:t>, § 21</w:t>
      </w:r>
      <w:r>
        <w:rPr>
          <w:bCs/>
        </w:rPr>
        <w:t>. V</w:t>
      </w:r>
      <w:r w:rsidRPr="003902BF">
        <w:rPr>
          <w:bCs/>
        </w:rPr>
        <w:t xml:space="preserve"> súlade so štátnym vzdelávacím programom pre deti so ZZ by mal </w:t>
      </w:r>
      <w:r>
        <w:rPr>
          <w:bCs/>
        </w:rPr>
        <w:t>pedagogický asistent</w:t>
      </w:r>
      <w:r w:rsidRPr="003902BF">
        <w:rPr>
          <w:bCs/>
        </w:rPr>
        <w:t xml:space="preserve"> pôsobiť v triede v prípade, ak si to vyžaduje výchova a vzdelávanie dieťaťa v závislosti od závažnosti ZZ a na základe odporúčania centra špeciálno-pedagogického poradenstva</w:t>
      </w:r>
      <w:r>
        <w:rPr>
          <w:bCs/>
        </w:rPr>
        <w:t xml:space="preserve"> (ŠPÚ, 2017).</w:t>
      </w:r>
    </w:p>
  </w:footnote>
  <w:footnote w:id="200">
    <w:p w14:paraId="137E8C22" w14:textId="15D72136" w:rsidR="00FA29AF" w:rsidRPr="00F176BA" w:rsidRDefault="00FA29AF" w:rsidP="00170D28">
      <w:pPr>
        <w:pStyle w:val="Textpoznmkypodiarou"/>
      </w:pPr>
      <w:r>
        <w:rPr>
          <w:rStyle w:val="Odkaznapoznmkupodiarou"/>
        </w:rPr>
        <w:footnoteRef/>
      </w:r>
      <w:r>
        <w:t xml:space="preserve"> </w:t>
      </w:r>
      <w:r w:rsidRPr="00F176BA">
        <w:t xml:space="preserve">Vlastné prepočty </w:t>
      </w:r>
      <w:r>
        <w:t xml:space="preserve">IVP </w:t>
      </w:r>
      <w:r w:rsidRPr="00F176BA">
        <w:t>na základe dát CVTI</w:t>
      </w:r>
      <w:r>
        <w:t xml:space="preserve"> (2018)</w:t>
      </w:r>
      <w:r w:rsidRPr="00F176BA">
        <w:t>.</w:t>
      </w:r>
      <w:r>
        <w:t xml:space="preserve"> </w:t>
      </w:r>
      <w:r w:rsidRPr="00F176BA">
        <w:t xml:space="preserve">Dostupnejší boli </w:t>
      </w:r>
      <w:r w:rsidRPr="00F176BA">
        <w:rPr>
          <w:color w:val="000000" w:themeColor="text1"/>
        </w:rPr>
        <w:t>asistenti učiteľa v neštátnych bežných materských školách aj neštátnych ŠMŠ (AU pôsobili v 14 % súkromných MŠ a 88 % súkromných ŠMŠ).</w:t>
      </w:r>
      <w:r w:rsidRPr="00F176BA">
        <w:rPr>
          <w:rStyle w:val="Odkaznapoznmkupodiarou"/>
          <w:color w:val="000000" w:themeColor="text1"/>
        </w:rPr>
        <w:footnoteRef/>
      </w:r>
    </w:p>
  </w:footnote>
  <w:footnote w:id="201">
    <w:p w14:paraId="78D29E88" w14:textId="77777777" w:rsidR="00FA29AF" w:rsidRDefault="00FA29AF" w:rsidP="00170D28">
      <w:pPr>
        <w:pStyle w:val="Textpoznmkypodiarou"/>
      </w:pPr>
      <w:r>
        <w:rPr>
          <w:rStyle w:val="Odkaznapoznmkupodiarou"/>
        </w:rPr>
        <w:footnoteRef/>
      </w:r>
      <w:r>
        <w:t xml:space="preserve"> Základné školy môžu každoročne žiadať o prostriedky na osobné náklady pedagogických asistentov pre žiakov so ZZ. Dostupné na: </w:t>
      </w:r>
      <w:hyperlink r:id="rId41" w:history="1">
        <w:r>
          <w:rPr>
            <w:rStyle w:val="Hypertextovprepojenie"/>
          </w:rPr>
          <w:t>https://www.minedu.sk/asistenti-ucitela-pre-ziakov-so-zdravotnym-znevyhodnenim/</w:t>
        </w:r>
      </w:hyperlink>
    </w:p>
  </w:footnote>
  <w:footnote w:id="202">
    <w:p w14:paraId="4318D1B9" w14:textId="4893C0A1" w:rsidR="00FA29AF" w:rsidRDefault="00FA29AF" w:rsidP="00170D28">
      <w:pPr>
        <w:pStyle w:val="Textpoznmkypodiarou"/>
      </w:pPr>
      <w:r>
        <w:rPr>
          <w:rStyle w:val="Odkaznapoznmkupodiarou"/>
        </w:rPr>
        <w:footnoteRef/>
      </w:r>
      <w:r>
        <w:t xml:space="preserve"> Vypočítané ako stredová hodnota ročných osobných nákladov v platovej triede 3, do ktorej sú pomocní vychovávatelia zaradení v súlade s prílohou č. 3 zákona č. 553/2003 Z. z. o odmeňovaní </w:t>
      </w:r>
      <w:r w:rsidRPr="00ED44F5">
        <w:t>niektorých zamestnancov pri výkone práce vo verejnom záujme</w:t>
      </w:r>
      <w:r>
        <w:t>.</w:t>
      </w:r>
    </w:p>
  </w:footnote>
  <w:footnote w:id="203">
    <w:p w14:paraId="2A328C09" w14:textId="1F28BC5A" w:rsidR="00FA29AF" w:rsidRPr="00176244" w:rsidRDefault="00FA29AF" w:rsidP="00170D28">
      <w:pPr>
        <w:pStyle w:val="Textpoznmkypodiarou"/>
        <w:rPr>
          <w:szCs w:val="18"/>
        </w:rPr>
      </w:pPr>
      <w:r w:rsidRPr="00176244">
        <w:rPr>
          <w:rStyle w:val="Odkaznapoznmkupodiarou"/>
          <w:szCs w:val="18"/>
        </w:rPr>
        <w:footnoteRef/>
      </w:r>
      <w:r w:rsidRPr="00176244">
        <w:rPr>
          <w:szCs w:val="18"/>
        </w:rPr>
        <w:t xml:space="preserve"> Vlastné prepočty</w:t>
      </w:r>
      <w:r>
        <w:rPr>
          <w:szCs w:val="18"/>
        </w:rPr>
        <w:t xml:space="preserve"> IVP</w:t>
      </w:r>
      <w:r w:rsidRPr="00176244">
        <w:rPr>
          <w:szCs w:val="18"/>
        </w:rPr>
        <w:t xml:space="preserve"> na základe dát </w:t>
      </w:r>
      <w:r>
        <w:rPr>
          <w:szCs w:val="18"/>
        </w:rPr>
        <w:t xml:space="preserve">CVTI </w:t>
      </w:r>
      <w:r w:rsidRPr="00176244">
        <w:rPr>
          <w:szCs w:val="18"/>
        </w:rPr>
        <w:t>(</w:t>
      </w:r>
      <w:r>
        <w:rPr>
          <w:szCs w:val="18"/>
        </w:rPr>
        <w:t xml:space="preserve">2017, </w:t>
      </w:r>
      <w:r w:rsidRPr="00176244">
        <w:rPr>
          <w:szCs w:val="18"/>
        </w:rPr>
        <w:t>2018).</w:t>
      </w:r>
    </w:p>
  </w:footnote>
  <w:footnote w:id="204">
    <w:p w14:paraId="70330956" w14:textId="55924381" w:rsidR="00FA29AF" w:rsidRPr="0046057E" w:rsidRDefault="00FA29AF" w:rsidP="00170D28">
      <w:pPr>
        <w:pStyle w:val="Textpoznmkypodiarou"/>
        <w:rPr>
          <w:color w:val="212121"/>
        </w:rPr>
      </w:pPr>
      <w:r>
        <w:rPr>
          <w:rStyle w:val="Odkaznapoznmkupodiarou"/>
        </w:rPr>
        <w:footnoteRef/>
      </w:r>
      <w:r>
        <w:rPr>
          <w:color w:val="212121"/>
        </w:rPr>
        <w:t xml:space="preserve"> </w:t>
      </w:r>
      <w:r w:rsidRPr="00364A1C">
        <w:rPr>
          <w:color w:val="212121"/>
        </w:rPr>
        <w:t xml:space="preserve">Z analýzy príjmov a výdavkov zriaďovateľov materských škôl </w:t>
      </w:r>
      <w:r>
        <w:rPr>
          <w:color w:val="212121"/>
        </w:rPr>
        <w:t>vyplýva</w:t>
      </w:r>
      <w:r w:rsidRPr="00364A1C">
        <w:rPr>
          <w:color w:val="212121"/>
        </w:rPr>
        <w:t>, že v roku 2017 boli výdavky obcí ako zriaďovateľov materských škôl na predprimárne vzdelávanie v priemere o 15 579 eur na jednu materskú školu nižšie ako ich príjmy z tzv. podielových daní vypočítaných na základe počtu detí v MŠ. To naznačuje, že väčšina obcí disponuje zdrojmi na dofinancovanie 50 % tarifného platu odborného zamestnanca. Príjmy nižšie ako výdavky malo 18 % obcí a 15 % obcí malo príjmy vyššie ako výdavky o 0 až 10 % (</w:t>
      </w:r>
      <w:r w:rsidRPr="00A815B6">
        <w:fldChar w:fldCharType="begin"/>
      </w:r>
      <w:r w:rsidRPr="00A815B6">
        <w:instrText xml:space="preserve"> REF _Ref34129767 \h </w:instrText>
      </w:r>
      <w:r>
        <w:instrText xml:space="preserve"> \* MERGEFORMAT </w:instrText>
      </w:r>
      <w:r w:rsidRPr="00A815B6">
        <w:fldChar w:fldCharType="separate"/>
      </w:r>
      <w:r w:rsidRPr="00FA29AF">
        <w:t>Príloha 9</w:t>
      </w:r>
      <w:r w:rsidRPr="00A815B6">
        <w:fldChar w:fldCharType="end"/>
      </w:r>
      <w:r w:rsidRPr="00364A1C">
        <w:rPr>
          <w:color w:val="212121"/>
        </w:rPr>
        <w:t>).</w:t>
      </w:r>
    </w:p>
  </w:footnote>
  <w:footnote w:id="205">
    <w:p w14:paraId="70BA2F37" w14:textId="77777777" w:rsidR="00FA29AF" w:rsidRPr="00176244" w:rsidRDefault="00FA29AF" w:rsidP="00B6502E">
      <w:pPr>
        <w:pStyle w:val="Textpoznmkypodiarou"/>
        <w:rPr>
          <w:szCs w:val="18"/>
        </w:rPr>
      </w:pPr>
      <w:r w:rsidRPr="00176244">
        <w:rPr>
          <w:rStyle w:val="Odkaznapoznmkupodiarou"/>
          <w:szCs w:val="18"/>
        </w:rPr>
        <w:footnoteRef/>
      </w:r>
      <w:r w:rsidRPr="00176244">
        <w:rPr>
          <w:szCs w:val="18"/>
        </w:rPr>
        <w:t xml:space="preserve"> Podľa údajov CVTI (2018) evidujú nevybavené žiadosti o prijatie z dôvodu nedostatku miesta aj ŠMŠ. Väčšina žiadostí pochádzala z Bratislavského kraja (30), žiadosti evidoval aj Žilinský (3), Košický (4) a Prešovský kraj (3). Nevybavené žiadosti sa týkali detí s mentálnym postihnutím (25), detí so syndrómom autizmu (19) a detí so sluchovým postihnutím (4).</w:t>
      </w:r>
    </w:p>
  </w:footnote>
  <w:footnote w:id="206">
    <w:p w14:paraId="31B24306" w14:textId="77777777" w:rsidR="00FA29AF" w:rsidRDefault="00FA29AF" w:rsidP="00B6502E">
      <w:pPr>
        <w:pStyle w:val="Textpoznmkypodiarou"/>
      </w:pPr>
      <w:r>
        <w:rPr>
          <w:rStyle w:val="Odkaznapoznmkupodiarou"/>
        </w:rPr>
        <w:footnoteRef/>
      </w:r>
      <w:r>
        <w:t xml:space="preserve"> Vlastné prepočty IVP na základe dát CVTI (2018).</w:t>
      </w:r>
    </w:p>
  </w:footnote>
  <w:footnote w:id="207">
    <w:p w14:paraId="1EC20257" w14:textId="77777777" w:rsidR="00FA29AF" w:rsidRPr="00176244" w:rsidRDefault="00FA29AF" w:rsidP="00B6502E">
      <w:pPr>
        <w:pStyle w:val="Textpoznmkypodiarou"/>
        <w:rPr>
          <w:szCs w:val="18"/>
        </w:rPr>
      </w:pPr>
      <w:r w:rsidRPr="00176244">
        <w:rPr>
          <w:rStyle w:val="Odkaznapoznmkupodiarou"/>
          <w:szCs w:val="18"/>
        </w:rPr>
        <w:footnoteRef/>
      </w:r>
      <w:r w:rsidRPr="00176244">
        <w:rPr>
          <w:szCs w:val="18"/>
        </w:rPr>
        <w:t xml:space="preserve"> </w:t>
      </w:r>
      <w:r>
        <w:rPr>
          <w:szCs w:val="18"/>
        </w:rPr>
        <w:t>Vlastné p</w:t>
      </w:r>
      <w:r w:rsidRPr="00176244">
        <w:rPr>
          <w:szCs w:val="18"/>
        </w:rPr>
        <w:t>repočty IVP na základe dát RIS (2017).</w:t>
      </w:r>
    </w:p>
  </w:footnote>
  <w:footnote w:id="208">
    <w:p w14:paraId="13E0902F" w14:textId="77777777" w:rsidR="00FA29AF" w:rsidRDefault="00FA29AF" w:rsidP="00B6502E">
      <w:pPr>
        <w:pStyle w:val="Textpoznmkypodiarou"/>
      </w:pPr>
      <w:r>
        <w:rPr>
          <w:rStyle w:val="Odkaznapoznmkupodiarou"/>
        </w:rPr>
        <w:footnoteRef/>
      </w:r>
      <w:r>
        <w:t xml:space="preserve"> </w:t>
      </w:r>
      <w:r w:rsidRPr="008D612C">
        <w:t>Zohľadnené skutočné výdavky na predprimárne vzdelávanie v kalendárnom roku 2017. Zdroje výdavkov boli očistené o zdroje zo štátneho rozpočtu, z EÚ a spolufinancovania. Zohľadnené iba výdavky z vlastných príjmov obcí. Zohľadnené bežné aj kapitálové výdavky.</w:t>
      </w:r>
    </w:p>
  </w:footnote>
  <w:footnote w:id="209">
    <w:p w14:paraId="290826FA" w14:textId="77777777" w:rsidR="00FA29AF" w:rsidRDefault="00FA29AF" w:rsidP="00B6502E">
      <w:pPr>
        <w:pStyle w:val="Textpoznmkypodiarou"/>
      </w:pPr>
      <w:r>
        <w:rPr>
          <w:rStyle w:val="Odkaznapoznmkupodiarou"/>
        </w:rPr>
        <w:footnoteRef/>
      </w:r>
      <w:r>
        <w:t xml:space="preserve"> </w:t>
      </w:r>
      <w:r w:rsidRPr="008D612C">
        <w:t xml:space="preserve">Ministerstvo školstva zverejňuje hodnotu jednotkového koeficientu, na základe ktorého sa dá vypočítať, koľko prostriedkov bolo každej obci prerozdelených na základe počtu detí v materských školách v dokumente </w:t>
      </w:r>
      <w:r w:rsidRPr="00364A1C">
        <w:t>„Často kladené otázky“ tu: https://www.minedu.sk/financovanie-zus-ms-js-a-skolskych-zariadeni-prostrednictvom-podielovych-dani/.</w:t>
      </w:r>
      <w:r w:rsidRPr="008D612C">
        <w:t xml:space="preserve"> Pre potreby vypočítania koľko prostriedkov je prerozdelených na základe počtu detí v materských školách je však potrebné vedieť, koľko detí navštevujúcich materské školy podľa zriaďovateľa vykázala pre účely financovania každá obec. Tieto informácie pre širokú ani odbornú verejnosť nie sú dostupné.</w:t>
      </w:r>
    </w:p>
  </w:footnote>
  <w:footnote w:id="210">
    <w:p w14:paraId="4254B55E" w14:textId="77777777" w:rsidR="00FA29AF" w:rsidRDefault="00FA29AF" w:rsidP="00B6502E">
      <w:pPr>
        <w:pStyle w:val="Textpoznmkypodiarou"/>
      </w:pPr>
      <w:r w:rsidRPr="00364A1C">
        <w:rPr>
          <w:rStyle w:val="Odkaznapoznmkupodiarou"/>
        </w:rPr>
        <w:footnoteRef/>
      </w:r>
      <w:r w:rsidRPr="00364A1C">
        <w:t xml:space="preserve"> V štátnom vzdelávacom programe pre deti so zdravotným znevýhodnením je bezbariérovosť uvedená ako súčasť povinného materiálno-technického zabezpečenie v prípade vzdelávania detí s niektorými druhmi zdravotného znevýhodnenia.</w:t>
      </w:r>
      <w:r>
        <w:t xml:space="preserve"> Dostupné na: </w:t>
      </w:r>
      <w:hyperlink r:id="rId42" w:history="1">
        <w:r w:rsidRPr="00F17E76">
          <w:rPr>
            <w:rStyle w:val="Hypertextovprepojenie"/>
          </w:rPr>
          <w:t>http://www.statpedu.sk/files/sk/deti-ziaci-so-svvp/deti-ziaci-so-zdravotnym-znevyhodnenim-vseobecnym-intelektovym-nadanim/vzdelavacie-programy/vp-deti-so-zz-schvalene-maj-2017.pdf</w:t>
        </w:r>
      </w:hyperlink>
      <w:r>
        <w:t xml:space="preserve"> </w:t>
      </w:r>
    </w:p>
  </w:footnote>
  <w:footnote w:id="211">
    <w:p w14:paraId="46BEAEBD" w14:textId="77777777" w:rsidR="00FA29AF" w:rsidRDefault="00FA29AF" w:rsidP="00B6502E">
      <w:pPr>
        <w:pStyle w:val="Textpoznmkypodiarou"/>
      </w:pPr>
      <w:r>
        <w:rPr>
          <w:rStyle w:val="Odkaznapoznmkupodiarou"/>
        </w:rPr>
        <w:footnoteRef/>
      </w:r>
      <w:r>
        <w:t xml:space="preserve"> Išlo o 5 zo 159 kontrolovaných materských škôl.</w:t>
      </w:r>
    </w:p>
  </w:footnote>
  <w:footnote w:id="212">
    <w:p w14:paraId="1C426F77" w14:textId="77777777" w:rsidR="00FA29AF" w:rsidRDefault="00FA29AF" w:rsidP="00B6502E">
      <w:pPr>
        <w:pStyle w:val="Textpoznmkypodiarou"/>
      </w:pPr>
      <w:r>
        <w:rPr>
          <w:rStyle w:val="Odkaznapoznmkupodiarou"/>
        </w:rPr>
        <w:footnoteRef/>
      </w:r>
      <w:r>
        <w:t xml:space="preserve"> Napríklad školy, respektíve ich zriaďovatelia, môžu bezbariérovosť zužovať iba na bezbariérový vstup do budovy pre ľudí s telesným postihnutím. Potrebné je však zabezpečiť aj bezbariérové sociálne, stravovacie a športové zariadenia a bezbariérovosť informačných technológií, a to všetko aj vo vzťahu k ľudom so zmyslovými postihnutiami.</w:t>
      </w:r>
    </w:p>
  </w:footnote>
  <w:footnote w:id="213">
    <w:p w14:paraId="2B2AA0B3" w14:textId="77777777" w:rsidR="00FA29AF" w:rsidRDefault="00FA29AF" w:rsidP="00B6502E">
      <w:pPr>
        <w:pStyle w:val="Textpoznmkypodiarou"/>
      </w:pPr>
      <w:r>
        <w:rPr>
          <w:rStyle w:val="Odkaznapoznmkupodiarou"/>
        </w:rPr>
        <w:footnoteRef/>
      </w:r>
      <w:r>
        <w:t xml:space="preserve"> Vlastné prepočty IVP na základe dát CVTI (2017, 2018).</w:t>
      </w:r>
    </w:p>
  </w:footnote>
  <w:footnote w:id="214">
    <w:p w14:paraId="1D63B258" w14:textId="77777777" w:rsidR="00FA29AF" w:rsidRPr="00702C7E" w:rsidRDefault="00FA29AF" w:rsidP="00B6502E">
      <w:pPr>
        <w:pStyle w:val="Textpoznmkypodiarou"/>
        <w:rPr>
          <w:color w:val="0563C1" w:themeColor="hyperlink"/>
        </w:rPr>
      </w:pPr>
      <w:r w:rsidRPr="00702C7E">
        <w:rPr>
          <w:rStyle w:val="Odkaznapoznmkupodiarou"/>
        </w:rPr>
        <w:footnoteRef/>
      </w:r>
      <w:r w:rsidRPr="00702C7E">
        <w:t xml:space="preserve"> </w:t>
      </w:r>
      <w:r w:rsidRPr="00702C7E">
        <w:rPr>
          <w:rStyle w:val="Hypertextovprepojenie"/>
          <w:color w:val="000000" w:themeColor="text1"/>
          <w:u w:val="none"/>
        </w:rPr>
        <w:t>Medzinárodné porovnanie zahŕňa žiakov s diagnostikovanými špeciálnymi výchovno-vzdelávacími potrebami, pričom definície špeciálnych potrieb sa naprieč krajinami môžu líšiť.</w:t>
      </w:r>
    </w:p>
  </w:footnote>
  <w:footnote w:id="215">
    <w:p w14:paraId="14BDA01B" w14:textId="77777777" w:rsidR="00FA29AF" w:rsidRDefault="00FA29AF" w:rsidP="00B6502E">
      <w:pPr>
        <w:pStyle w:val="Textpoznmkypodiarou"/>
      </w:pPr>
      <w:r w:rsidRPr="00364A1C">
        <w:rPr>
          <w:rStyle w:val="Odkaznapoznmkupodiarou"/>
        </w:rPr>
        <w:footnoteRef/>
      </w:r>
      <w:r w:rsidRPr="00364A1C">
        <w:t xml:space="preserve"> Od roku 2012 sa údaje o žiakoch so ZZ zbierajú v súčasnej štruktúre.</w:t>
      </w:r>
      <w:r>
        <w:t xml:space="preserve"> Do roku 2012 sa nezbierali údaje o žiakoch s vývinovými poruchami aktivity a pozornosti, o žiakoch chorých a zdravotne oslabených a o žiakoch s viacnásobným postihnutím.</w:t>
      </w:r>
    </w:p>
  </w:footnote>
  <w:footnote w:id="216">
    <w:p w14:paraId="1C134A38" w14:textId="5620775B" w:rsidR="00FA29AF" w:rsidRPr="00FD7002" w:rsidRDefault="00FA29AF" w:rsidP="004A7F97">
      <w:pPr>
        <w:pStyle w:val="Textpoznmkypodiarou"/>
        <w:rPr>
          <w:szCs w:val="18"/>
        </w:rPr>
      </w:pPr>
      <w:r w:rsidRPr="00FD7002">
        <w:rPr>
          <w:rStyle w:val="Odkaznapoznmkupodiarou"/>
          <w:szCs w:val="18"/>
        </w:rPr>
        <w:footnoteRef/>
      </w:r>
      <w:r w:rsidRPr="00FD7002">
        <w:rPr>
          <w:szCs w:val="18"/>
        </w:rPr>
        <w:t xml:space="preserve"> V školskom roku</w:t>
      </w:r>
      <w:r>
        <w:rPr>
          <w:szCs w:val="18"/>
        </w:rPr>
        <w:t xml:space="preserve"> </w:t>
      </w:r>
      <w:r w:rsidRPr="00FD7002">
        <w:rPr>
          <w:szCs w:val="18"/>
        </w:rPr>
        <w:t>2017/18 bol priemerný normatív na žiaka s ľahkým mentálnym postihnutím vzdeláv</w:t>
      </w:r>
      <w:r>
        <w:rPr>
          <w:szCs w:val="18"/>
        </w:rPr>
        <w:t>aného v integrácii 2 952 eur, v </w:t>
      </w:r>
      <w:r w:rsidRPr="00FD7002">
        <w:rPr>
          <w:szCs w:val="18"/>
        </w:rPr>
        <w:t xml:space="preserve">špeciálnej triede 3 311 eur a v špeciálnej škole 3 206 eur. Pre porovnanie, priemerný normatív na žiaka v bežnej triede bez </w:t>
      </w:r>
      <w:r>
        <w:rPr>
          <w:szCs w:val="18"/>
        </w:rPr>
        <w:t>ZZ bol 1 695 </w:t>
      </w:r>
      <w:r w:rsidRPr="00FD7002">
        <w:rPr>
          <w:szCs w:val="18"/>
        </w:rPr>
        <w:t>eur.</w:t>
      </w:r>
    </w:p>
  </w:footnote>
  <w:footnote w:id="217">
    <w:p w14:paraId="2B13128C" w14:textId="77777777" w:rsidR="00FA29AF" w:rsidRPr="00FD7002" w:rsidRDefault="00FA29AF" w:rsidP="004A7F97">
      <w:pPr>
        <w:pStyle w:val="Textpoznmkypodiarou"/>
        <w:rPr>
          <w:szCs w:val="18"/>
        </w:rPr>
      </w:pPr>
      <w:r w:rsidRPr="00FD7002">
        <w:rPr>
          <w:rStyle w:val="Odkaznapoznmkupodiarou"/>
          <w:szCs w:val="18"/>
        </w:rPr>
        <w:footnoteRef/>
      </w:r>
      <w:r w:rsidRPr="00FD7002">
        <w:rPr>
          <w:szCs w:val="18"/>
        </w:rPr>
        <w:t xml:space="preserve"> 44 % žiakov bežných a špeciálnych základných škôl z MRK pochádza z rodín, ktorým sa neposkytuje pomoc v hmotnej núdzi.</w:t>
      </w:r>
    </w:p>
  </w:footnote>
  <w:footnote w:id="218">
    <w:p w14:paraId="764741A0" w14:textId="1D1AF0A9" w:rsidR="00FA29AF" w:rsidRDefault="00FA29AF" w:rsidP="008E166F">
      <w:pPr>
        <w:pStyle w:val="Textpoznmkypodiarou"/>
      </w:pPr>
      <w:r>
        <w:rPr>
          <w:rStyle w:val="Odkaznapoznmkupodiarou"/>
        </w:rPr>
        <w:footnoteRef/>
      </w:r>
      <w:r>
        <w:t xml:space="preserve"> Eduzber (2018/19)</w:t>
      </w:r>
    </w:p>
  </w:footnote>
  <w:footnote w:id="219">
    <w:p w14:paraId="26AD8B7E" w14:textId="77777777" w:rsidR="00FA29AF" w:rsidRDefault="00FA29AF" w:rsidP="008E166F">
      <w:pPr>
        <w:pStyle w:val="Textpoznmkypodiarou"/>
      </w:pPr>
      <w:r>
        <w:rPr>
          <w:rStyle w:val="Odkaznapoznmkupodiarou"/>
        </w:rPr>
        <w:footnoteRef/>
      </w:r>
      <w:r>
        <w:t xml:space="preserve"> Výsledky Testovania T5 nie sú uvádzané z dôvodu nízkej účasti žiakov špeciálnych škôl na testovaní. Porovnanie</w:t>
      </w:r>
      <w:r w:rsidRPr="00B56BE0">
        <w:t xml:space="preserve"> </w:t>
      </w:r>
      <w:r>
        <w:t>výsledkov žiakov podľa jednotlivých druhov ZZ nie je prezentované</w:t>
      </w:r>
      <w:r w:rsidRPr="00B56BE0">
        <w:t xml:space="preserve"> vzhľadom na nízky počet žiakov </w:t>
      </w:r>
      <w:r>
        <w:t>v jednotlivých druhoch ZZ</w:t>
      </w:r>
      <w:r w:rsidRPr="00B56BE0">
        <w:t>.</w:t>
      </w:r>
    </w:p>
  </w:footnote>
  <w:footnote w:id="220">
    <w:p w14:paraId="5912E6F9" w14:textId="0A68472F" w:rsidR="00FA29AF" w:rsidRDefault="00FA29AF" w:rsidP="008E166F">
      <w:pPr>
        <w:pStyle w:val="Textpoznmkypodiarou"/>
      </w:pPr>
      <w:r>
        <w:rPr>
          <w:rStyle w:val="Odkaznapoznmkupodiarou"/>
        </w:rPr>
        <w:footnoteRef/>
      </w:r>
      <w:r>
        <w:t xml:space="preserve"> Vlastné prepočty IVP na základe dát CVTI a RIS (2017, 2018).</w:t>
      </w:r>
    </w:p>
  </w:footnote>
  <w:footnote w:id="221">
    <w:p w14:paraId="4533BA18" w14:textId="221D603C" w:rsidR="00FA29AF" w:rsidRDefault="00FA29AF" w:rsidP="008E166F">
      <w:pPr>
        <w:pStyle w:val="Textpoznmkypodiarou"/>
      </w:pPr>
      <w:r>
        <w:rPr>
          <w:rStyle w:val="Odkaznapoznmkupodiarou"/>
        </w:rPr>
        <w:footnoteRef/>
      </w:r>
      <w:r>
        <w:t xml:space="preserve"> </w:t>
      </w:r>
      <w:hyperlink r:id="rId43" w:history="1">
        <w:r w:rsidRPr="00FF3C96">
          <w:rPr>
            <w:rStyle w:val="Hypertextovprepojenie"/>
          </w:rPr>
          <w:t>https://www.minedu.sk/rozvojove-projekty-v-regionalnom-skolstve/</w:t>
        </w:r>
      </w:hyperlink>
      <w:r>
        <w:t xml:space="preserve"> Iba v roku 2017 boli požadované zdroje takmer dvojnásobne vyššie ako alokované zdroje.</w:t>
      </w:r>
    </w:p>
  </w:footnote>
  <w:footnote w:id="222">
    <w:p w14:paraId="6B376D22" w14:textId="505662AF" w:rsidR="00FA29AF" w:rsidRDefault="00FA29AF" w:rsidP="007354A2">
      <w:pPr>
        <w:pStyle w:val="Textpoznmkypodiarou"/>
      </w:pPr>
      <w:r>
        <w:rPr>
          <w:rStyle w:val="Odkaznapoznmkupodiarou"/>
        </w:rPr>
        <w:footnoteRef/>
      </w:r>
      <w:r>
        <w:t xml:space="preserve"> Nezverejnené údaje MŠVVŠ SR z formuláru ASIST (2018). O prostriedky na osobné náklady pedagogických asistentov sa uchádzalo 58 % zo všetkých bežných ZŠ a 84 % zo všetkých špeciálnych ZŠ. </w:t>
      </w:r>
    </w:p>
  </w:footnote>
  <w:footnote w:id="223">
    <w:p w14:paraId="48629E86" w14:textId="77777777" w:rsidR="00FA29AF" w:rsidRDefault="00FA29AF" w:rsidP="007354A2">
      <w:pPr>
        <w:pStyle w:val="Textpoznmkypodiarou"/>
      </w:pPr>
      <w:r>
        <w:rPr>
          <w:rStyle w:val="Odkaznapoznmkupodiarou"/>
        </w:rPr>
        <w:footnoteRef/>
      </w:r>
      <w:r>
        <w:t xml:space="preserve"> Išlo o 11 z 22 základných škôl. Plne debarierizované boli dve školy.</w:t>
      </w:r>
    </w:p>
  </w:footnote>
  <w:footnote w:id="224">
    <w:p w14:paraId="50581B94" w14:textId="77777777" w:rsidR="00FA29AF" w:rsidRDefault="00FA29AF" w:rsidP="008E166F">
      <w:pPr>
        <w:pStyle w:val="Textpoznmkypodiarou"/>
      </w:pPr>
      <w:r>
        <w:rPr>
          <w:rStyle w:val="Odkaznapoznmkupodiarou"/>
        </w:rPr>
        <w:footnoteRef/>
      </w:r>
      <w:r>
        <w:t xml:space="preserve"> Žiak má právo byť do spádovej školy prijatý.</w:t>
      </w:r>
    </w:p>
  </w:footnote>
  <w:footnote w:id="225">
    <w:p w14:paraId="28400613" w14:textId="65B5A13B" w:rsidR="00FA29AF" w:rsidRPr="00155D56" w:rsidRDefault="00FA29AF">
      <w:pPr>
        <w:pStyle w:val="Textpoznmkypodiarou"/>
      </w:pPr>
      <w:r>
        <w:rPr>
          <w:rStyle w:val="Odkaznapoznmkupodiarou"/>
        </w:rPr>
        <w:footnoteRef/>
      </w:r>
      <w:r>
        <w:t xml:space="preserve"> Z dôvodu nízkej kvality údajov nie je možné u absolventov prípravného ročníka vyhodnotiť mieru opakovania prvého ročníka, ktorá vysiela určitý signál o miere efektivity prípravného ročníka.</w:t>
      </w:r>
    </w:p>
  </w:footnote>
  <w:footnote w:id="226">
    <w:p w14:paraId="653D0E0A" w14:textId="77777777" w:rsidR="00FA29AF" w:rsidRPr="003A435E" w:rsidRDefault="00FA29AF" w:rsidP="007354A2">
      <w:pPr>
        <w:pStyle w:val="Textpoznmkypodiarou"/>
        <w:rPr>
          <w:szCs w:val="18"/>
        </w:rPr>
      </w:pPr>
      <w:r w:rsidRPr="003A435E">
        <w:rPr>
          <w:rStyle w:val="Odkaznapoznmkupodiarou"/>
          <w:szCs w:val="18"/>
        </w:rPr>
        <w:footnoteRef/>
      </w:r>
      <w:r w:rsidRPr="003A435E">
        <w:rPr>
          <w:szCs w:val="18"/>
        </w:rPr>
        <w:t xml:space="preserve"> </w:t>
      </w:r>
      <w:r>
        <w:rPr>
          <w:szCs w:val="18"/>
        </w:rPr>
        <w:t xml:space="preserve">Zákon č. 209/2019 Z. z., </w:t>
      </w:r>
      <w:r w:rsidRPr="0050481A">
        <w:rPr>
          <w:szCs w:val="18"/>
        </w:rPr>
        <w:t xml:space="preserve">ktorým sa mení a dopĺňa zákon č. 245/2008 Z. z. o výchove a vzdelávaní (školský zákon) </w:t>
      </w:r>
      <w:hyperlink w:history="1"/>
    </w:p>
  </w:footnote>
  <w:footnote w:id="227">
    <w:p w14:paraId="50C4B65A" w14:textId="77777777" w:rsidR="00FA29AF" w:rsidRPr="00807737" w:rsidRDefault="00FA29AF" w:rsidP="003C21E8">
      <w:pPr>
        <w:pStyle w:val="Textpoznmkypodiarou"/>
        <w:rPr>
          <w:szCs w:val="18"/>
        </w:rPr>
      </w:pPr>
      <w:r w:rsidRPr="00F176BA">
        <w:rPr>
          <w:rStyle w:val="Odkaznapoznmkupodiarou"/>
        </w:rPr>
        <w:footnoteRef/>
      </w:r>
      <w:r w:rsidRPr="00F176BA">
        <w:t xml:space="preserve"> </w:t>
      </w:r>
      <w:r>
        <w:t>Zákon</w:t>
      </w:r>
      <w:r w:rsidRPr="00F176BA">
        <w:t xml:space="preserve"> č. 245/2008 Z. </w:t>
      </w:r>
      <w:r>
        <w:t>z</w:t>
      </w:r>
      <w:r w:rsidRPr="00F176BA">
        <w:t xml:space="preserve">, </w:t>
      </w:r>
      <w:r w:rsidRPr="0050481A">
        <w:rPr>
          <w:szCs w:val="18"/>
        </w:rPr>
        <w:t xml:space="preserve">o výchove a vzdelávaní (školský zákon) </w:t>
      </w:r>
      <w:r>
        <w:rPr>
          <w:szCs w:val="18"/>
        </w:rPr>
        <w:t xml:space="preserve">, </w:t>
      </w:r>
      <w:hyperlink w:history="1"/>
      <w:r w:rsidRPr="00F176BA">
        <w:t>§ 94 ods. 3 a § 94 ods. 1 písm. b) bod 2)</w:t>
      </w:r>
    </w:p>
  </w:footnote>
  <w:footnote w:id="228">
    <w:p w14:paraId="25947E34" w14:textId="77777777" w:rsidR="00FA29AF" w:rsidRDefault="00FA29AF" w:rsidP="003C21E8">
      <w:pPr>
        <w:pStyle w:val="Textpoznmkypodiarou"/>
      </w:pPr>
      <w:r>
        <w:rPr>
          <w:rStyle w:val="Odkaznapoznmkupodiarou"/>
        </w:rPr>
        <w:footnoteRef/>
      </w:r>
      <w:hyperlink r:id="rId44" w:history="1">
        <w:r w:rsidRPr="007E6847">
          <w:rPr>
            <w:rStyle w:val="Hypertextovprepojenie"/>
          </w:rPr>
          <w:t>http://www.statpedu.sk/files/sk/deti-ziaci-so-svvp/deti-ziaci-so-zdravotnym-znevyhodnenim-vseobecnym-intelektovym-nadanim/vzdelavacie-programy/vzdelavacie-programy-ziakov-so-zdravotnym-znevyhodnenim-vseobecnym-intelektovym-nadanim/zakladne-vzdelavanie-primarne-vzdelavanie-nizsie-stredne-vzdelavanie/vp_pre_ziakov_s_mentalnym_postihnutim.pdf</w:t>
        </w:r>
      </w:hyperlink>
      <w:r>
        <w:t xml:space="preserve"> </w:t>
      </w:r>
    </w:p>
    <w:p w14:paraId="4CBA4CC2" w14:textId="77777777" w:rsidR="00FA29AF" w:rsidRDefault="00FA29AF" w:rsidP="003C21E8">
      <w:pPr>
        <w:pStyle w:val="Textpoznmkypodiarou"/>
      </w:pPr>
      <w:r>
        <w:t>Žiaci v špeciálnych školách sa napríklad vôbec neučia cudzí jazyk.</w:t>
      </w:r>
    </w:p>
  </w:footnote>
  <w:footnote w:id="229">
    <w:p w14:paraId="221F8D57" w14:textId="77777777" w:rsidR="00FA29AF" w:rsidRPr="0046057E" w:rsidRDefault="00FA29AF" w:rsidP="003C21E8">
      <w:pPr>
        <w:pStyle w:val="Textpoznmkypodiarou"/>
        <w:rPr>
          <w:szCs w:val="18"/>
        </w:rPr>
      </w:pPr>
      <w:r>
        <w:rPr>
          <w:rStyle w:val="Odkaznapoznmkupodiarou"/>
        </w:rPr>
        <w:footnoteRef/>
      </w:r>
      <w:r>
        <w:t xml:space="preserve"> </w:t>
      </w:r>
      <w:r w:rsidRPr="00364A1C">
        <w:t>Slovenská republika má dlhodobo problém s neobjektívnym diagnostikovaním ľahkého mentálneho postihnutia</w:t>
      </w:r>
      <w:r>
        <w:t xml:space="preserve"> (ŠŠI, 2016a, 2016b a 2017a,). </w:t>
      </w:r>
    </w:p>
  </w:footnote>
  <w:footnote w:id="230">
    <w:p w14:paraId="24945FDE" w14:textId="77777777" w:rsidR="00FA29AF" w:rsidRDefault="00FA29AF" w:rsidP="003C21E8">
      <w:pPr>
        <w:pStyle w:val="Textpoznmkypodiarou"/>
      </w:pPr>
      <w:r>
        <w:rPr>
          <w:rStyle w:val="Odkaznapoznmkupodiarou"/>
        </w:rPr>
        <w:footnoteRef/>
      </w:r>
      <w:r>
        <w:t xml:space="preserve"> </w:t>
      </w:r>
      <w:r w:rsidRPr="00F176BA">
        <w:t>Zákon č. 245/2008 Z. z.</w:t>
      </w:r>
      <w:r>
        <w:t xml:space="preserve"> o výchove a vzdelávaní (školský zákon)</w:t>
      </w:r>
      <w:r w:rsidRPr="00F176BA">
        <w:t>, §</w:t>
      </w:r>
      <w:r>
        <w:t xml:space="preserve"> 95 ods. 4 a</w:t>
      </w:r>
      <w:r w:rsidRPr="00F176BA">
        <w:t xml:space="preserve"> 144 ods. 2 a 3</w:t>
      </w:r>
    </w:p>
  </w:footnote>
  <w:footnote w:id="231">
    <w:p w14:paraId="6B2E8204" w14:textId="77777777" w:rsidR="00FA29AF" w:rsidRPr="00176244" w:rsidRDefault="00FA29AF" w:rsidP="003C21E8">
      <w:pPr>
        <w:pStyle w:val="Textpoznmkypodiarou"/>
        <w:rPr>
          <w:szCs w:val="18"/>
        </w:rPr>
      </w:pPr>
      <w:r w:rsidRPr="00176244">
        <w:rPr>
          <w:rStyle w:val="Odkaznapoznmkupodiarou"/>
          <w:szCs w:val="18"/>
        </w:rPr>
        <w:footnoteRef/>
      </w:r>
      <w:r w:rsidRPr="00176244">
        <w:rPr>
          <w:szCs w:val="18"/>
        </w:rPr>
        <w:t xml:space="preserve"> Nezverejnený audit poradenských zariadení vypracovaný Výskumným ústavom detskej psychológie a patopsychológie pre MŠVVŠ SR</w:t>
      </w:r>
    </w:p>
  </w:footnote>
  <w:footnote w:id="232">
    <w:p w14:paraId="5643A8A0" w14:textId="77777777" w:rsidR="00FA29AF" w:rsidRPr="00176244" w:rsidRDefault="00FA29AF" w:rsidP="008E166F">
      <w:pPr>
        <w:pStyle w:val="Textpoznmkypodiarou"/>
        <w:rPr>
          <w:szCs w:val="18"/>
        </w:rPr>
      </w:pPr>
      <w:r w:rsidRPr="00176244">
        <w:rPr>
          <w:rStyle w:val="Odkaznapoznmkupodiarou"/>
          <w:szCs w:val="18"/>
        </w:rPr>
        <w:footnoteRef/>
      </w:r>
      <w:r w:rsidRPr="00176244">
        <w:rPr>
          <w:szCs w:val="18"/>
        </w:rPr>
        <w:t xml:space="preserve"> Pre úplný prehľad dostupného vzdelávania v oblasti ŠVVP detí so ZZ by bolo potrebné analyzovať obsah ďalších programov, ktoré sa síce zameriavajú na iné oblasti (napr. využívanie IKT), ale v rámci kurikula môžu obsahovať špecifické odporúčania pre prácu s deťmi so ŠVVP.</w:t>
      </w:r>
    </w:p>
  </w:footnote>
  <w:footnote w:id="233">
    <w:p w14:paraId="17ABF56B" w14:textId="77777777" w:rsidR="00FA29AF" w:rsidRDefault="00FA29AF" w:rsidP="003C21E8">
      <w:pPr>
        <w:pStyle w:val="Textpoznmkypodiarou"/>
      </w:pPr>
      <w:r>
        <w:rPr>
          <w:rStyle w:val="Odkaznapoznmkupodiarou"/>
        </w:rPr>
        <w:footnoteRef/>
      </w:r>
      <w:r>
        <w:t xml:space="preserve"> Nariadenie vlády č. 630/2008 Z. z. ktorým sa ustanovujú podrobnosti rozpisu finančných prostriedkov zo štátneho rozpočtu pre školy a školské zariadenia. Koeficienty sa v závislosti od druhu zdravotného znevýhodnenia a v závislosti od druhu školy (bežná a špeciálna) pohybujú od 1,3 po 6,8.</w:t>
      </w:r>
    </w:p>
  </w:footnote>
  <w:footnote w:id="234">
    <w:p w14:paraId="5DEEF8E8" w14:textId="77777777" w:rsidR="00FA29AF" w:rsidRDefault="00FA29AF" w:rsidP="00FA469B">
      <w:pPr>
        <w:pStyle w:val="Textpoznmkypodiarou"/>
      </w:pPr>
      <w:r>
        <w:rPr>
          <w:rStyle w:val="Odkaznapoznmkupodiarou"/>
        </w:rPr>
        <w:footnoteRef/>
      </w:r>
      <w:r>
        <w:t xml:space="preserve"> </w:t>
      </w:r>
      <w:r w:rsidRPr="00C606E9">
        <w:rPr>
          <w:bCs/>
        </w:rPr>
        <w:t>Základný normatív na žiaka v špeciálnej základnej škole bol o 862 eur vyšší v porovnaní so základným normatívom na žiaka v bežnej základnej škole (2</w:t>
      </w:r>
      <w:r>
        <w:rPr>
          <w:bCs/>
        </w:rPr>
        <w:t xml:space="preserve"> </w:t>
      </w:r>
      <w:r w:rsidRPr="00C606E9">
        <w:rPr>
          <w:bCs/>
        </w:rPr>
        <w:t>636 eur oproti 1</w:t>
      </w:r>
      <w:r>
        <w:rPr>
          <w:bCs/>
        </w:rPr>
        <w:t xml:space="preserve"> </w:t>
      </w:r>
      <w:r w:rsidRPr="00C606E9">
        <w:rPr>
          <w:bCs/>
        </w:rPr>
        <w:t>774 eurám).</w:t>
      </w:r>
    </w:p>
  </w:footnote>
  <w:footnote w:id="235">
    <w:p w14:paraId="6FB01287" w14:textId="77777777" w:rsidR="00FA29AF" w:rsidRDefault="00FA29AF" w:rsidP="00FA469B">
      <w:pPr>
        <w:pStyle w:val="Textpoznmkypodiarou"/>
      </w:pPr>
      <w:r>
        <w:rPr>
          <w:rStyle w:val="Odkaznapoznmkupodiarou"/>
        </w:rPr>
        <w:footnoteRef/>
      </w:r>
      <w:r>
        <w:t xml:space="preserve"> </w:t>
      </w:r>
      <w:r w:rsidRPr="0031705F">
        <w:t xml:space="preserve">Žiaci so ZZ však majú právo </w:t>
      </w:r>
      <w:r w:rsidRPr="0031705F">
        <w:rPr>
          <w:bCs/>
        </w:rPr>
        <w:t>na vzdelávanie s využitím špecifických foriem a metód, na využívanie špeciálnych učebníc, multimediálnych, didaktických a kompenzačných pomôcok</w:t>
      </w:r>
      <w:r>
        <w:t>, a ak si to vyžaduje výchova a vzdelávanie žiaka, v triede</w:t>
      </w:r>
      <w:r w:rsidRPr="0031705F">
        <w:rPr>
          <w:bCs/>
        </w:rPr>
        <w:t xml:space="preserve"> </w:t>
      </w:r>
      <w:r>
        <w:rPr>
          <w:bCs/>
        </w:rPr>
        <w:t>by mal tiež pôsobiť pedagogický asistent</w:t>
      </w:r>
      <w:r w:rsidRPr="0031705F">
        <w:rPr>
          <w:bCs/>
        </w:rPr>
        <w:t xml:space="preserve"> alebo odborn</w:t>
      </w:r>
      <w:r>
        <w:rPr>
          <w:bCs/>
        </w:rPr>
        <w:t>ý zamestnanec.</w:t>
      </w:r>
    </w:p>
  </w:footnote>
  <w:footnote w:id="236">
    <w:p w14:paraId="50C3AA1F" w14:textId="77777777" w:rsidR="00FA29AF" w:rsidRDefault="00FA29AF" w:rsidP="00FA469B">
      <w:pPr>
        <w:pStyle w:val="Textpoznmkypodiarou"/>
      </w:pPr>
      <w:r>
        <w:rPr>
          <w:rStyle w:val="Odkaznapoznmkupodiarou"/>
        </w:rPr>
        <w:footnoteRef/>
      </w:r>
      <w:r>
        <w:t xml:space="preserve"> </w:t>
      </w:r>
      <w:r w:rsidRPr="0031705F">
        <w:t xml:space="preserve">Tak ako pri </w:t>
      </w:r>
      <w:r>
        <w:t>základných</w:t>
      </w:r>
      <w:r w:rsidRPr="0031705F">
        <w:t xml:space="preserve"> normatívoch platí, že mzdový normatív je určený výdavky spojené s mzdou a platmi zamestnancov školy a prevádzkový normatív na výdavky spojené s výchovno-vzdelávacím procesom a prevádzkou školy</w:t>
      </w:r>
      <w:r>
        <w:t>.</w:t>
      </w:r>
    </w:p>
  </w:footnote>
  <w:footnote w:id="237">
    <w:p w14:paraId="0A45F9EE" w14:textId="77777777" w:rsidR="00FA29AF" w:rsidRDefault="00FA29AF" w:rsidP="00FA469B">
      <w:pPr>
        <w:pStyle w:val="Textpoznmkypodiarou"/>
      </w:pPr>
      <w:r>
        <w:rPr>
          <w:rStyle w:val="Odkaznapoznmkupodiarou"/>
        </w:rPr>
        <w:footnoteRef/>
      </w:r>
      <w:r>
        <w:t xml:space="preserve"> Podľa dostupných dát z národného projektu ŠOV a dát z výzvy V základnej škole úspešnejší (2018).</w:t>
      </w:r>
    </w:p>
  </w:footnote>
  <w:footnote w:id="238">
    <w:p w14:paraId="3991E658" w14:textId="77777777" w:rsidR="00FA29AF" w:rsidRPr="00176244" w:rsidRDefault="00FA29AF" w:rsidP="00FA469B">
      <w:pPr>
        <w:pStyle w:val="Textpoznmkypodiarou"/>
        <w:rPr>
          <w:szCs w:val="18"/>
        </w:rPr>
      </w:pPr>
      <w:r w:rsidRPr="00176244">
        <w:rPr>
          <w:rStyle w:val="Odkaznapoznmkupodiarou"/>
          <w:szCs w:val="18"/>
        </w:rPr>
        <w:footnoteRef/>
      </w:r>
      <w:r w:rsidRPr="00176244">
        <w:rPr>
          <w:szCs w:val="18"/>
        </w:rPr>
        <w:t xml:space="preserve"> </w:t>
      </w:r>
      <w:r w:rsidRPr="0004540A">
        <w:rPr>
          <w:szCs w:val="18"/>
        </w:rPr>
        <w:t>CVTI SR (2017, 2018) a Eduzber (2018).</w:t>
      </w:r>
    </w:p>
  </w:footnote>
  <w:footnote w:id="239">
    <w:p w14:paraId="23703873" w14:textId="77777777" w:rsidR="00FA29AF" w:rsidRDefault="00FA29AF" w:rsidP="00FA469B">
      <w:pPr>
        <w:pStyle w:val="Textpoznmkypodiarou"/>
      </w:pPr>
      <w:r>
        <w:rPr>
          <w:rStyle w:val="Odkaznapoznmkupodiarou"/>
        </w:rPr>
        <w:footnoteRef/>
      </w:r>
      <w:r>
        <w:t xml:space="preserve"> Po uhradení osobných nákladov na pedagogických a nepedagogických zamestnancov (bez pedagogických asistentov). Okrem nárokovateľných mzdových výdavkov sa v rámci osobných nákladov počíta aj s priemernými odmenami za kalendárny rok 2018. Normované výdavky boli posudzované na základe počtu žiakov v školskom roku 2018/2019. Osobné náklady pedagogických, nepedagogických a odborných zamestnancov boli posudzované na základe reálnych výdavkov za posledný kvartál 2018.</w:t>
      </w:r>
    </w:p>
  </w:footnote>
  <w:footnote w:id="240">
    <w:p w14:paraId="233253D8" w14:textId="77777777" w:rsidR="00FA29AF" w:rsidRDefault="00FA29AF" w:rsidP="00FA469B">
      <w:pPr>
        <w:pStyle w:val="Textpoznmkypodiarou"/>
      </w:pPr>
      <w:r>
        <w:rPr>
          <w:rStyle w:val="Odkaznapoznmkupodiarou"/>
        </w:rPr>
        <w:footnoteRef/>
      </w:r>
      <w:r>
        <w:t xml:space="preserve"> </w:t>
      </w:r>
      <w:r w:rsidRPr="003F1597">
        <w:rPr>
          <w:color w:val="000000"/>
          <w:szCs w:val="18"/>
        </w:rPr>
        <w:t>Zákon č. 245/2008 Z. z. o výchove a vzdelávaní (školský zákon)</w:t>
      </w:r>
      <w:r>
        <w:rPr>
          <w:color w:val="000000"/>
          <w:szCs w:val="18"/>
        </w:rPr>
        <w:t>,</w:t>
      </w:r>
      <w:r w:rsidRPr="003F1597">
        <w:rPr>
          <w:color w:val="000000"/>
          <w:szCs w:val="18"/>
        </w:rPr>
        <w:t xml:space="preserve"> </w:t>
      </w:r>
      <w:r>
        <w:rPr>
          <w:color w:val="000000"/>
          <w:szCs w:val="18"/>
        </w:rPr>
        <w:t>§ 94 ods. 4</w:t>
      </w:r>
    </w:p>
  </w:footnote>
  <w:footnote w:id="241">
    <w:p w14:paraId="21E2A51A" w14:textId="77777777" w:rsidR="00FA29AF" w:rsidRDefault="00FA29AF" w:rsidP="00FA469B">
      <w:pPr>
        <w:pStyle w:val="Textpoznmkypodiarou"/>
      </w:pPr>
      <w:r>
        <w:rPr>
          <w:rStyle w:val="Odkaznapoznmkupodiarou"/>
        </w:rPr>
        <w:footnoteRef/>
      </w:r>
      <w:r>
        <w:t xml:space="preserve"> Vlastné prepočty IVP na základe dát za aplikácie ASIST (máj 2018).</w:t>
      </w:r>
    </w:p>
  </w:footnote>
  <w:footnote w:id="242">
    <w:p w14:paraId="743AC9FC" w14:textId="08F344E2" w:rsidR="00FA29AF" w:rsidRDefault="00FA29AF" w:rsidP="00FA469B">
      <w:pPr>
        <w:pStyle w:val="Textpoznmkypodiarou"/>
      </w:pPr>
      <w:r>
        <w:rPr>
          <w:rStyle w:val="Odkaznapoznmkupodiarou"/>
        </w:rPr>
        <w:footnoteRef/>
      </w:r>
      <w:r>
        <w:t xml:space="preserve"> Po uhradení osobných nákladov na pedagogických a nepedagogických zamestnancov (bez pedagogických asistentov). Okrem nárokovateľných mzdových výdavkov sa v rámci osobných nákladov počíta aj s priemernými odmenami za kalendárny rok 2018. Normované výdavky boli posudzované na základe počtu žiakov v školskom roku 2018/2019. Osobné náklady pedagogických a nepedagogických zamestnancov boli posudzované na základe reálnych výdavkov za posledný kvartál 2018. Žiadosti o pedagogického asistenta sa podávajú v máji a vyhodnotenie žiadostí je viditeľné v septembri.</w:t>
      </w:r>
    </w:p>
  </w:footnote>
  <w:footnote w:id="243">
    <w:p w14:paraId="7719F79C" w14:textId="77777777" w:rsidR="00FA29AF" w:rsidRDefault="00FA29AF" w:rsidP="009D2757">
      <w:pPr>
        <w:pStyle w:val="Textpoznmkypodiarou"/>
      </w:pPr>
      <w:r>
        <w:rPr>
          <w:rStyle w:val="Odkaznapoznmkupodiarou"/>
        </w:rPr>
        <w:footnoteRef/>
      </w:r>
      <w:r>
        <w:t xml:space="preserve"> Štruktúra </w:t>
      </w:r>
      <w:r w:rsidRPr="00540778">
        <w:t xml:space="preserve">dát, v akej sa </w:t>
      </w:r>
      <w:r>
        <w:t xml:space="preserve">v súčasnosti zbierajú požiadavky na asistentov a štruktúra dát v akej sa zverejňuje vyhodnotenie požiadaviek </w:t>
      </w:r>
      <w:r w:rsidRPr="00540778">
        <w:t>nám neumožňuje presne vyčísliť aký podiel zdrojov bol alokovaný stredným školám. Takmer 10 % zo všetkých škôl, ktorým boli</w:t>
      </w:r>
      <w:r>
        <w:t xml:space="preserve"> v roku 2018</w:t>
      </w:r>
      <w:r w:rsidRPr="00540778">
        <w:t xml:space="preserve"> pridelené prostriedky na osobné náklady</w:t>
      </w:r>
      <w:r>
        <w:t xml:space="preserve"> pedagogických asistentov tvorili spojené školy tvorené</w:t>
      </w:r>
      <w:r w:rsidRPr="00540778">
        <w:t xml:space="preserve"> viacerými organizačnými zložkami (základné a stredné). V týchto prípadoch nie je možné vyhodnotiť, v ktorej organizačnej zložke v akej miere </w:t>
      </w:r>
      <w:r>
        <w:t>asistenti</w:t>
      </w:r>
      <w:r w:rsidRPr="00540778">
        <w:t xml:space="preserve"> pôsobia. Stredným školám, </w:t>
      </w:r>
      <w:r>
        <w:t>ktoré nie sú spojené školy, boli alokované</w:t>
      </w:r>
      <w:r w:rsidRPr="00540778">
        <w:t xml:space="preserve"> 2 % z</w:t>
      </w:r>
      <w:r>
        <w:t>o všetkých zdrojov na úväzky pedagogických asistentov.</w:t>
      </w:r>
    </w:p>
  </w:footnote>
  <w:footnote w:id="244">
    <w:p w14:paraId="3A3D0B64" w14:textId="77777777" w:rsidR="00FA29AF" w:rsidRDefault="00FA29AF" w:rsidP="009D2757">
      <w:pPr>
        <w:pStyle w:val="Textpoznmkypodiarou"/>
      </w:pPr>
      <w:r>
        <w:rPr>
          <w:rStyle w:val="Odkaznapoznmkupodiarou"/>
        </w:rPr>
        <w:footnoteRef/>
      </w:r>
      <w:r>
        <w:t xml:space="preserve"> Vlastné prepočty IVP na základe dát MŠVVŠ SR. </w:t>
      </w:r>
    </w:p>
  </w:footnote>
  <w:footnote w:id="245">
    <w:p w14:paraId="184CD81A" w14:textId="77777777" w:rsidR="00FA29AF" w:rsidRDefault="00FA29AF" w:rsidP="00A279BC">
      <w:pPr>
        <w:pStyle w:val="Textpoznmkypodiarou"/>
      </w:pPr>
      <w:r>
        <w:rPr>
          <w:rStyle w:val="Odkaznapoznmkupodiarou"/>
        </w:rPr>
        <w:footnoteRef/>
      </w:r>
      <w:r>
        <w:t xml:space="preserve"> Pričom v bežných školách narástol a v špeciálnych školách klesol (</w:t>
      </w:r>
      <w:r w:rsidRPr="0074735A">
        <w:rPr>
          <w:highlight w:val="yellow"/>
        </w:rPr>
        <w:fldChar w:fldCharType="begin"/>
      </w:r>
      <w:r w:rsidRPr="0074735A">
        <w:instrText xml:space="preserve"> REF _Ref25844976 \h </w:instrText>
      </w:r>
      <w:r w:rsidRPr="0074735A">
        <w:rPr>
          <w:highlight w:val="yellow"/>
        </w:rPr>
        <w:instrText xml:space="preserve"> \* MERGEFORMAT </w:instrText>
      </w:r>
      <w:r w:rsidRPr="0074735A">
        <w:rPr>
          <w:highlight w:val="yellow"/>
        </w:rPr>
      </w:r>
      <w:r w:rsidRPr="0074735A">
        <w:rPr>
          <w:highlight w:val="yellow"/>
        </w:rPr>
        <w:fldChar w:fldCharType="separate"/>
      </w:r>
      <w:r w:rsidRPr="00FA29AF">
        <w:t>Príloha 27</w:t>
      </w:r>
      <w:r w:rsidRPr="0074735A">
        <w:rPr>
          <w:highlight w:val="yellow"/>
        </w:rPr>
        <w:fldChar w:fldCharType="end"/>
      </w:r>
      <w:r>
        <w:t>).</w:t>
      </w:r>
    </w:p>
  </w:footnote>
  <w:footnote w:id="246">
    <w:p w14:paraId="38439690" w14:textId="77777777" w:rsidR="00FA29AF" w:rsidRDefault="00FA29AF" w:rsidP="008E166F">
      <w:pPr>
        <w:pStyle w:val="Textpoznmkypodiarou"/>
      </w:pPr>
      <w:r>
        <w:rPr>
          <w:rStyle w:val="Odkaznapoznmkupodiarou"/>
        </w:rPr>
        <w:footnoteRef/>
      </w:r>
      <w:r>
        <w:t xml:space="preserve"> Zákon č. 597/2003 Z. z. o financovaní základných škôl, stredných škôl a školských zariadení a o zmene a doplnení niektorých zákonov, § 4a</w:t>
      </w:r>
    </w:p>
  </w:footnote>
  <w:footnote w:id="247">
    <w:p w14:paraId="662C5C42" w14:textId="77777777" w:rsidR="00FA29AF" w:rsidRDefault="00FA29AF" w:rsidP="009D2757">
      <w:pPr>
        <w:pStyle w:val="Textpoznmkypodiarou"/>
      </w:pPr>
      <w:r>
        <w:rPr>
          <w:rStyle w:val="Odkaznapoznmkupodiarou"/>
        </w:rPr>
        <w:footnoteRef/>
      </w:r>
      <w:r>
        <w:t xml:space="preserve"> Zákon č. 138/2019 Z. z. o pedagogických zamestnancoch a odborných zamestnancoch, § 21 ods. 1</w:t>
      </w:r>
    </w:p>
  </w:footnote>
  <w:footnote w:id="248">
    <w:p w14:paraId="4EDC2DB6" w14:textId="77777777" w:rsidR="00FA29AF" w:rsidRDefault="00FA29AF" w:rsidP="009D2757">
      <w:pPr>
        <w:pStyle w:val="Textpoznmkypodiarou"/>
      </w:pPr>
      <w:r>
        <w:rPr>
          <w:rStyle w:val="Odkaznapoznmkupodiarou"/>
        </w:rPr>
        <w:footnoteRef/>
      </w:r>
      <w:r>
        <w:t xml:space="preserve"> </w:t>
      </w:r>
      <w:r w:rsidRPr="00D725ED">
        <w:t>Pokyn ministra č. 39/2017</w:t>
      </w:r>
      <w:r>
        <w:t xml:space="preserve">, dostupné na: </w:t>
      </w:r>
      <w:hyperlink r:id="rId45" w:history="1">
        <w:r w:rsidRPr="004A454A">
          <w:rPr>
            <w:rStyle w:val="Hypertextovprepojenie"/>
          </w:rPr>
          <w:t>https://www.minedu.sk/pokyn-ministra-c-392017-ktorym-sa-vydavaju-profesijne-standardy-pre-jednotlive-kategorie-a-podkategorie-pedagogickych-zamestnancov-a-odbornych-zamestnancov-skol-a-skolskych-zariadeni/</w:t>
        </w:r>
      </w:hyperlink>
    </w:p>
  </w:footnote>
  <w:footnote w:id="249">
    <w:p w14:paraId="63CB2CC5" w14:textId="77777777" w:rsidR="00FA29AF" w:rsidRDefault="00FA29AF" w:rsidP="009D2757">
      <w:pPr>
        <w:pStyle w:val="Textpoznmkypodiarou"/>
      </w:pPr>
      <w:r>
        <w:rPr>
          <w:rStyle w:val="Odkaznapoznmkupodiarou"/>
        </w:rPr>
        <w:footnoteRef/>
      </w:r>
      <w:r>
        <w:t xml:space="preserve"> Nariadenie vlády č. 341/2004 z. z. ktorým sa ustanovujú katalógy pracovných činností pri výkone práce vo verejnom záujme</w:t>
      </w:r>
    </w:p>
  </w:footnote>
  <w:footnote w:id="250">
    <w:p w14:paraId="04816C31" w14:textId="77777777" w:rsidR="00FA29AF" w:rsidRDefault="00FA29AF" w:rsidP="009D2757">
      <w:pPr>
        <w:pStyle w:val="Textpoznmkypodiarou"/>
      </w:pPr>
      <w:r>
        <w:rPr>
          <w:rStyle w:val="Odkaznapoznmkupodiarou"/>
        </w:rPr>
        <w:footnoteRef/>
      </w:r>
      <w:r>
        <w:t xml:space="preserve"> Zákon </w:t>
      </w:r>
      <w:r w:rsidRPr="002131D8">
        <w:t>č. 447/2008 Z. o peňažných príspevkoch na kompenzáciu ťažkého zdravotného postihnutia a o zmene a doplnení niektorých zákonov</w:t>
      </w:r>
      <w:r>
        <w:t>, Príloha č. 4. V roku 2018 využívalo osobnú asistenciu v priemere 409 detí vo veku 6 – 18 rokov. Poberanie príspevku na osobnú asistenciu sa však vylučuje s poberaním príspevku na opatrovanie. Príspevok na opatrovanie bol poberaný na 5953 detí, ktoré môžu asistenciu v škole tiež potrebovať. Tretiu skupinu tvoria deti, ktorých rodičia sa z hľadiska výšky príjmu nemajú nárok na príspevky, avšak ich deti asistenciu v škole potrebujú.</w:t>
      </w:r>
    </w:p>
  </w:footnote>
  <w:footnote w:id="251">
    <w:p w14:paraId="2402D8CD" w14:textId="77777777" w:rsidR="00FA29AF" w:rsidRDefault="00FA29AF" w:rsidP="009D2757">
      <w:pPr>
        <w:pStyle w:val="Textpoznmkypodiarou"/>
      </w:pPr>
      <w:r>
        <w:rPr>
          <w:rStyle w:val="Odkaznapoznmkupodiarou"/>
        </w:rPr>
        <w:footnoteRef/>
      </w:r>
      <w:r>
        <w:t xml:space="preserve"> 1/2020 Z. z. vyhláška MŠVVŠ SR</w:t>
      </w:r>
      <w:r w:rsidRPr="00085B98">
        <w:t xml:space="preserve"> </w:t>
      </w:r>
      <w:r>
        <w:t>o kvalifikačných predpokladoch pedagogických zamestnancov a odborných zamestnancov</w:t>
      </w:r>
    </w:p>
  </w:footnote>
  <w:footnote w:id="252">
    <w:p w14:paraId="1C43E5C0" w14:textId="77777777" w:rsidR="00FA29AF" w:rsidRDefault="00FA29AF" w:rsidP="009D2757">
      <w:pPr>
        <w:pStyle w:val="Textpoznmkypodiarou"/>
      </w:pPr>
      <w:r>
        <w:rPr>
          <w:rStyle w:val="Odkaznapoznmkupodiarou"/>
        </w:rPr>
        <w:footnoteRef/>
      </w:r>
      <w:r>
        <w:t xml:space="preserve"> </w:t>
      </w:r>
      <w:r w:rsidRPr="003F1597">
        <w:rPr>
          <w:color w:val="000000"/>
          <w:szCs w:val="18"/>
        </w:rPr>
        <w:t>Zákon č. 245/2008 Z. z. o výchove a vzdelávaní (školský zákon)</w:t>
      </w:r>
      <w:r>
        <w:rPr>
          <w:color w:val="000000"/>
          <w:szCs w:val="18"/>
        </w:rPr>
        <w:t>, § 144 ods. 3</w:t>
      </w:r>
    </w:p>
  </w:footnote>
  <w:footnote w:id="253">
    <w:p w14:paraId="73D1AFD8" w14:textId="77777777" w:rsidR="00FA29AF" w:rsidRDefault="00FA29AF" w:rsidP="009D2757">
      <w:pPr>
        <w:pStyle w:val="Textpoznmkypodiarou"/>
      </w:pPr>
      <w:r>
        <w:rPr>
          <w:rStyle w:val="Odkaznapoznmkupodiarou"/>
        </w:rPr>
        <w:footnoteRef/>
      </w:r>
      <w:r>
        <w:t xml:space="preserve"> Napríklad v Írsku musia a</w:t>
      </w:r>
      <w:r w:rsidRPr="00AB204B">
        <w:t>sistenti pre žiakov so</w:t>
      </w:r>
      <w:r>
        <w:t xml:space="preserve"> zmyslovými postihnutiami </w:t>
      </w:r>
      <w:r w:rsidRPr="00AB204B">
        <w:t>ovládať posunkový jazyk, Braillove písmo a i.</w:t>
      </w:r>
    </w:p>
  </w:footnote>
  <w:footnote w:id="254">
    <w:p w14:paraId="4E53DB0B" w14:textId="77777777" w:rsidR="00FA29AF" w:rsidRDefault="00FA29AF" w:rsidP="009D2757">
      <w:pPr>
        <w:pStyle w:val="Textpoznmkypodiarou"/>
      </w:pPr>
      <w:r>
        <w:rPr>
          <w:rStyle w:val="Odkaznapoznmkupodiarou"/>
        </w:rPr>
        <w:footnoteRef/>
      </w:r>
      <w:r>
        <w:t xml:space="preserve"> Zákon č. 245/2008 Z. z. o výchove a vzdelávaní (školský zákon), § 28 ods. 14, § 30 ods. 6</w:t>
      </w:r>
    </w:p>
  </w:footnote>
  <w:footnote w:id="255">
    <w:p w14:paraId="02070C4B" w14:textId="77777777" w:rsidR="00FA29AF" w:rsidRDefault="00FA29AF" w:rsidP="009D2757">
      <w:pPr>
        <w:pStyle w:val="Textpoznmkypodiarou"/>
      </w:pPr>
      <w:r>
        <w:rPr>
          <w:rStyle w:val="Odkaznapoznmkupodiarou"/>
        </w:rPr>
        <w:footnoteRef/>
      </w:r>
      <w:r>
        <w:t xml:space="preserve"> Vyhláška č. 322/ 2008 Z. z. o špeciálnych školách, § 6 ods. 3 a ods. 6</w:t>
      </w:r>
    </w:p>
  </w:footnote>
  <w:footnote w:id="256">
    <w:p w14:paraId="21F9D758" w14:textId="77777777" w:rsidR="00FA29AF" w:rsidRDefault="00FA29AF" w:rsidP="00160AEF">
      <w:pPr>
        <w:pStyle w:val="Textpoznmkypodiarou"/>
      </w:pPr>
      <w:r>
        <w:rPr>
          <w:rStyle w:val="Odkaznapoznmkupodiarou"/>
        </w:rPr>
        <w:footnoteRef/>
      </w:r>
      <w:r>
        <w:t xml:space="preserve"> Definícia špeciálnych potrieb sa naprieč krajinami líši a môže zahŕňať rôzne kategórie: žiakov so zdravotným postihnutím, žiakov so zdravotným znevýhodnením, žiakov zo sociálne znevýhodneného prostredia, žiakov z etnických menšín, žiakov pochádzajúcich z cudziny, žiakov neovládajúcich vyučujúci jazyk školy, intelektovo nadaných žiakov a iných.</w:t>
      </w:r>
    </w:p>
  </w:footnote>
  <w:footnote w:id="257">
    <w:p w14:paraId="08C70019" w14:textId="77777777" w:rsidR="00FA29AF" w:rsidRDefault="00FA29AF" w:rsidP="00160AEF">
      <w:pPr>
        <w:pStyle w:val="Textpoznmkypodiarou"/>
      </w:pPr>
      <w:r>
        <w:rPr>
          <w:rStyle w:val="Odkaznapoznmkupodiarou"/>
        </w:rPr>
        <w:footnoteRef/>
      </w:r>
      <w:r>
        <w:t xml:space="preserve"> </w:t>
      </w:r>
      <w:r w:rsidRPr="00FC7F96">
        <w:t>Krajiny ako Austrália, Fínsko a Spojené kráľovstvo používajú bilingválnych asistentov na podporu špecifických jazykových potrieb dvojjazyčných študentov a študentov, ktorých prvý jazyk nie je jazykom školy s cieľom začleniť deti migrantov a žiakov z etnických menšín.</w:t>
      </w:r>
    </w:p>
  </w:footnote>
  <w:footnote w:id="258">
    <w:p w14:paraId="555B6A3D" w14:textId="77777777" w:rsidR="00FA29AF" w:rsidRDefault="00FA29AF" w:rsidP="00160AEF">
      <w:pPr>
        <w:pStyle w:val="Textpoznmkypodiarou"/>
      </w:pPr>
      <w:r>
        <w:rPr>
          <w:rStyle w:val="Odkaznapoznmkupodiarou"/>
        </w:rPr>
        <w:footnoteRef/>
      </w:r>
      <w:r>
        <w:t xml:space="preserve"> Contract of Employment. Special Needs Asssistant. Dostupné na: </w:t>
      </w:r>
      <w:r w:rsidRPr="00934BBF">
        <w:t>https://www.education.ie/en/Circulars-and-Forms/Popular-forms/SNA-15-05-Contract-Form.pdf</w:t>
      </w:r>
    </w:p>
  </w:footnote>
  <w:footnote w:id="259">
    <w:p w14:paraId="161B8E9F" w14:textId="2580E308" w:rsidR="00FA29AF" w:rsidRDefault="00FA29AF" w:rsidP="008E166F">
      <w:pPr>
        <w:pStyle w:val="Textpoznmkypodiarou"/>
      </w:pPr>
      <w:r>
        <w:rPr>
          <w:rStyle w:val="Odkaznapoznmkupodiarou"/>
        </w:rPr>
        <w:footnoteRef/>
      </w:r>
      <w:r>
        <w:t xml:space="preserve"> Poradie podľa naliehavosti bolo do roku 2013 zverejňované na webovom sídle ministerstva. Dostupné na: </w:t>
      </w:r>
      <w:hyperlink r:id="rId46" w:history="1">
        <w:r w:rsidRPr="00903A5A">
          <w:rPr>
            <w:rStyle w:val="Hypertextovprepojenie"/>
          </w:rPr>
          <w:t>https://www.minedu.sk/asistenti-ucitela-pre-ziakov-so-zdravotnym-znevyhodnenim/</w:t>
        </w:r>
      </w:hyperlink>
    </w:p>
  </w:footnote>
  <w:footnote w:id="260">
    <w:p w14:paraId="32199A35" w14:textId="77777777" w:rsidR="00FA29AF" w:rsidRDefault="00FA29AF"/>
    <w:p w14:paraId="5581ECEF" w14:textId="77777777" w:rsidR="00FA29AF" w:rsidRDefault="00FA29AF"/>
  </w:footnote>
  <w:footnote w:id="261">
    <w:p w14:paraId="57BD4F56" w14:textId="77777777" w:rsidR="00FA29AF" w:rsidRDefault="00FA29AF" w:rsidP="00CB6A05">
      <w:pPr>
        <w:pStyle w:val="Textpoznmkypodiarou"/>
      </w:pPr>
      <w:r>
        <w:rPr>
          <w:rStyle w:val="Odkaznapoznmkupodiarou"/>
        </w:rPr>
        <w:footnoteRef/>
      </w:r>
      <w:r>
        <w:t xml:space="preserve"> Zákon č. 597/2003 Z. z. o financovaní základných škôl, stredných škôl a školských zariadení a o zmene a doplnení niektorých zákonov, § 4a</w:t>
      </w:r>
    </w:p>
  </w:footnote>
  <w:footnote w:id="262">
    <w:p w14:paraId="46A6E7BB" w14:textId="77777777" w:rsidR="00FA29AF" w:rsidRDefault="00FA29AF" w:rsidP="00F232F4">
      <w:pPr>
        <w:pStyle w:val="Textpoznmkypodiarou"/>
      </w:pPr>
      <w:r>
        <w:rPr>
          <w:rStyle w:val="Odkaznapoznmkupodiarou"/>
        </w:rPr>
        <w:footnoteRef/>
      </w:r>
      <w:r>
        <w:t xml:space="preserve"> Zákon č. 597/2003 Z. z. o financovaní základných škôl, stredných škôl a školských zariadení, § 4a</w:t>
      </w:r>
    </w:p>
  </w:footnote>
  <w:footnote w:id="263">
    <w:p w14:paraId="0C14D38B" w14:textId="4AE91F10" w:rsidR="00FA29AF" w:rsidRDefault="00FA29AF" w:rsidP="00F232F4">
      <w:pPr>
        <w:pStyle w:val="Textpoznmkypodiarou"/>
      </w:pPr>
      <w:r>
        <w:rPr>
          <w:rStyle w:val="Odkaznapoznmkupodiarou"/>
        </w:rPr>
        <w:footnoteRef/>
      </w:r>
      <w:r>
        <w:t xml:space="preserve">Správa z diagnostického vyšetrenia – informácia s odporúčaním pre odborných zamestnancov školských zariadení výchovného poradenstva a prevencie. Dostupné na: </w:t>
      </w:r>
      <w:hyperlink r:id="rId47" w:history="1">
        <w:r w:rsidRPr="00020F3C">
          <w:rPr>
            <w:rStyle w:val="Hypertextovprepojenie"/>
          </w:rPr>
          <w:t>https://vudpap.sk/odborny-portal/informacie/informacie-pre-odbornych-a-pedagogickych-zamestnancov/vudpap-informacie-pre-odbornych-sprava-z-diagnostickeho-vysetrenia-dietata/</w:t>
        </w:r>
      </w:hyperlink>
      <w:r>
        <w:t xml:space="preserve"> </w:t>
      </w:r>
    </w:p>
  </w:footnote>
  <w:footnote w:id="264">
    <w:p w14:paraId="63C83E5B" w14:textId="397126A4" w:rsidR="00FA29AF" w:rsidRDefault="00FA29AF" w:rsidP="008E166F">
      <w:pPr>
        <w:pStyle w:val="Textpoznmkypodiarou"/>
      </w:pPr>
      <w:r>
        <w:rPr>
          <w:rStyle w:val="Odkaznapoznmkupodiarou"/>
        </w:rPr>
        <w:footnoteRef/>
      </w:r>
      <w:r>
        <w:t xml:space="preserve"> Nariadenie vlády č. 630/2008 Z. z., </w:t>
      </w:r>
      <w:r w:rsidRPr="00D126C7">
        <w:t>ktorým sa ustanovujú podrobnosti rozpisu finančných prostriedkov zo štátneho rozpočtu pre školy a školské zariadenia</w:t>
      </w:r>
      <w:r>
        <w:t xml:space="preserve"> </w:t>
      </w:r>
    </w:p>
  </w:footnote>
  <w:footnote w:id="265">
    <w:p w14:paraId="140D2418" w14:textId="6C5981E6" w:rsidR="00FA29AF" w:rsidRDefault="00FA29AF" w:rsidP="008E166F">
      <w:pPr>
        <w:pStyle w:val="Textpoznmkypodiarou"/>
      </w:pPr>
      <w:r>
        <w:rPr>
          <w:rStyle w:val="Odkaznapoznmkupodiarou"/>
        </w:rPr>
        <w:footnoteRef/>
      </w:r>
      <w:r>
        <w:t xml:space="preserve"> </w:t>
      </w:r>
      <w:r w:rsidRPr="003F1597">
        <w:rPr>
          <w:color w:val="000000"/>
          <w:szCs w:val="18"/>
        </w:rPr>
        <w:t xml:space="preserve">Zákon č. 245/2008 Z. z. o výchove a vzdelávaní (školský zákon), § </w:t>
      </w:r>
      <w:r>
        <w:rPr>
          <w:color w:val="000000"/>
          <w:szCs w:val="18"/>
        </w:rPr>
        <w:t>24 ods. 3</w:t>
      </w:r>
    </w:p>
  </w:footnote>
  <w:footnote w:id="266">
    <w:p w14:paraId="572E69EF" w14:textId="77777777" w:rsidR="00FA29AF" w:rsidRDefault="00FA29AF" w:rsidP="008E166F">
      <w:pPr>
        <w:pStyle w:val="Textpoznmkypodiarou"/>
      </w:pPr>
      <w:r>
        <w:rPr>
          <w:rStyle w:val="Odkaznapoznmkupodiarou"/>
        </w:rPr>
        <w:footnoteRef/>
      </w:r>
      <w:r>
        <w:t xml:space="preserve"> Vlastné prepočty IVP na základe dát CVTI (2008-2018).</w:t>
      </w:r>
    </w:p>
  </w:footnote>
  <w:footnote w:id="267">
    <w:p w14:paraId="2AA2DF06" w14:textId="40D953A2" w:rsidR="00FA29AF" w:rsidRDefault="00FA29AF" w:rsidP="008E166F">
      <w:pPr>
        <w:pStyle w:val="Textpoznmkypodiarou"/>
      </w:pPr>
      <w:r>
        <w:rPr>
          <w:rStyle w:val="Odkaznapoznmkupodiarou"/>
        </w:rPr>
        <w:footnoteRef/>
      </w:r>
      <w:r>
        <w:t xml:space="preserve"> </w:t>
      </w:r>
      <w:r w:rsidRPr="003F1597">
        <w:rPr>
          <w:color w:val="000000"/>
          <w:szCs w:val="18"/>
        </w:rPr>
        <w:t>Zákon č. 245/2008 Z. z. o výchove a vzdelávaní (školský zákon)</w:t>
      </w:r>
      <w:r>
        <w:rPr>
          <w:color w:val="000000"/>
          <w:szCs w:val="18"/>
        </w:rPr>
        <w:t>, § 19 a § 24.</w:t>
      </w:r>
      <w:r>
        <w:rPr>
          <w:bCs/>
        </w:rPr>
        <w:t xml:space="preserve"> Každý žiak, vrátane žiaka so ZZ, má určenú spádovú školu v mieste svojho trvalého bydliska, ktorá je povinná žiaka na plnenie PŠD prijať. Od plnenia PŠD nemožno nikoho oslobodiť, žiakovi možno iba povoliť individuálne vzdelávanie, v rámci ktorého je následne oslobodený od povinnosti pravidelne sa zúčastňovať vzdelávania v škole.</w:t>
      </w:r>
    </w:p>
  </w:footnote>
  <w:footnote w:id="268">
    <w:p w14:paraId="4552C3EB" w14:textId="77777777" w:rsidR="00FA29AF" w:rsidRDefault="00FA29AF" w:rsidP="008E166F">
      <w:pPr>
        <w:pStyle w:val="Textpoznmkypodiarou"/>
      </w:pPr>
      <w:r>
        <w:rPr>
          <w:rStyle w:val="Odkaznapoznmkupodiarou"/>
        </w:rPr>
        <w:footnoteRef/>
      </w:r>
      <w:r>
        <w:t xml:space="preserve"> </w:t>
      </w:r>
      <w:r w:rsidRPr="00B26D12">
        <w:rPr>
          <w:bCs/>
        </w:rPr>
        <w:t>V roku</w:t>
      </w:r>
      <w:r>
        <w:rPr>
          <w:bCs/>
        </w:rPr>
        <w:t xml:space="preserve"> 2018 predstavovali žiaci </w:t>
      </w:r>
      <w:r>
        <w:t>chorí a zdravotne oslabení 1 % zo všetkých žiakov</w:t>
      </w:r>
      <w:r>
        <w:rPr>
          <w:bCs/>
        </w:rPr>
        <w:t xml:space="preserve">, </w:t>
      </w:r>
      <w:r w:rsidRPr="00B26D12">
        <w:rPr>
          <w:bCs/>
        </w:rPr>
        <w:t>na ktorých</w:t>
      </w:r>
      <w:r>
        <w:rPr>
          <w:bCs/>
        </w:rPr>
        <w:t xml:space="preserve"> sa žiadal pedagogický asistent.</w:t>
      </w:r>
      <w:r>
        <w:t xml:space="preserve"> </w:t>
      </w:r>
    </w:p>
  </w:footnote>
  <w:footnote w:id="269">
    <w:p w14:paraId="1332E6F0" w14:textId="77777777" w:rsidR="00FA29AF" w:rsidRDefault="00FA29AF" w:rsidP="008E166F">
      <w:pPr>
        <w:pStyle w:val="Textpoznmkypodiarou"/>
      </w:pPr>
      <w:r>
        <w:rPr>
          <w:rStyle w:val="Odkaznapoznmkupodiarou"/>
        </w:rPr>
        <w:footnoteRef/>
      </w:r>
      <w:r>
        <w:t xml:space="preserve"> 630/2008 Z. z. nariadenie vlády, </w:t>
      </w:r>
      <w:r w:rsidRPr="00B52BD9">
        <w:t>ktorým sa ustanovujú podrobnosti rozpisu finančných prostriedkov zo štátneho rozpočtu pre školy a školské zariadenia</w:t>
      </w:r>
    </w:p>
  </w:footnote>
  <w:footnote w:id="270">
    <w:p w14:paraId="22D2537D" w14:textId="07154D49" w:rsidR="00FA29AF" w:rsidRDefault="00FA29AF" w:rsidP="008E166F">
      <w:pPr>
        <w:pStyle w:val="Textpoznmkypodiarou"/>
      </w:pPr>
      <w:r>
        <w:rPr>
          <w:rStyle w:val="Odkaznapoznmkupodiarou"/>
        </w:rPr>
        <w:footnoteRef/>
      </w:r>
      <w:r>
        <w:t xml:space="preserve"> V roku 2018 pôsobilo na špeciálnych základných školách 17 zdravotných sestier.</w:t>
      </w:r>
    </w:p>
  </w:footnote>
  <w:footnote w:id="271">
    <w:p w14:paraId="44544C98" w14:textId="77777777" w:rsidR="00FA29AF" w:rsidRDefault="00FA29AF" w:rsidP="00F232F4">
      <w:pPr>
        <w:pStyle w:val="Textpoznmkypodiarou"/>
      </w:pPr>
      <w:r>
        <w:rPr>
          <w:rStyle w:val="Odkaznapoznmkupodiarou"/>
        </w:rPr>
        <w:footnoteRef/>
      </w:r>
      <w:r>
        <w:t xml:space="preserve"> 630/2008 Z. z. nariadenie vlády, </w:t>
      </w:r>
      <w:r w:rsidRPr="00B52BD9">
        <w:t>ktorým sa ustanovujú podrobnosti rozpisu finančných prostriedkov zo štátneho rozpočtu pre školy a školské zariadenia</w:t>
      </w:r>
    </w:p>
  </w:footnote>
  <w:footnote w:id="272">
    <w:p w14:paraId="2237F331" w14:textId="4F243F34" w:rsidR="00FA29AF" w:rsidRDefault="00FA29AF" w:rsidP="008E166F">
      <w:pPr>
        <w:pStyle w:val="Textpoznmkypodiarou"/>
      </w:pPr>
      <w:r>
        <w:rPr>
          <w:rStyle w:val="Odkaznapoznmkupodiarou"/>
        </w:rPr>
        <w:footnoteRef/>
      </w:r>
      <w:r>
        <w:t xml:space="preserve"> </w:t>
      </w:r>
      <w:r w:rsidRPr="00D41B03">
        <w:t xml:space="preserve">Takýto model funguje napr. vo viacerých štátoch USA, kde školská </w:t>
      </w:r>
      <w:r>
        <w:t>zdravotná sestra môže vyškoliť a</w:t>
      </w:r>
      <w:r w:rsidRPr="00D41B03">
        <w:t xml:space="preserve"> oprávniť na podávanie liekov konkrétnemu dieťaťu iného zamestnanca školy. Samozrejme ide výlučne o podávanie predpísaných liekov. Úprava pre štáty USA dostupná tu: </w:t>
      </w:r>
      <w:hyperlink r:id="rId48" w:anchor="sthash.bs6boFmU.dpbs" w:history="1">
        <w:r w:rsidRPr="00B06344">
          <w:rPr>
            <w:rStyle w:val="Hypertextovprepojenie"/>
          </w:rPr>
          <w:t>http://healthinschools.org/issue-areas/other-school-health-issues/school-health-services/medication-management/state-policies-on-administration-of-medication-in-schools/#sthash.bs6boFmU.dpbs</w:t>
        </w:r>
      </w:hyperlink>
      <w:r>
        <w:t xml:space="preserve">  </w:t>
      </w:r>
    </w:p>
  </w:footnote>
  <w:footnote w:id="273">
    <w:p w14:paraId="577975F1" w14:textId="77777777" w:rsidR="00FA29AF" w:rsidRDefault="00FA29AF" w:rsidP="008E166F">
      <w:pPr>
        <w:pStyle w:val="Textpoznmkypodiarou"/>
      </w:pPr>
      <w:r>
        <w:rPr>
          <w:rStyle w:val="Odkaznapoznmkupodiarou"/>
        </w:rPr>
        <w:footnoteRef/>
      </w:r>
      <w:r>
        <w:t xml:space="preserve"> Celkovú participáciu žiakov v ŠKD, ani participáciu žiakov so ZZ v ŠKD pri bežných školách a v ŠKD pri špeciálnych školách, nie je na základe dostupných dát vyčísliť.</w:t>
      </w:r>
    </w:p>
  </w:footnote>
  <w:footnote w:id="274">
    <w:p w14:paraId="69AE81E7" w14:textId="676674B5" w:rsidR="00FA29AF" w:rsidRPr="00A30AD5" w:rsidRDefault="00FA29AF" w:rsidP="008E166F">
      <w:pPr>
        <w:pStyle w:val="Textpoznmkypodiarou"/>
        <w:rPr>
          <w:szCs w:val="18"/>
        </w:rPr>
      </w:pPr>
      <w:r w:rsidRPr="00A30AD5">
        <w:rPr>
          <w:rStyle w:val="Odkaznapoznmkupodiarou"/>
          <w:szCs w:val="18"/>
        </w:rPr>
        <w:footnoteRef/>
      </w:r>
      <w:r w:rsidRPr="00A30AD5">
        <w:rPr>
          <w:szCs w:val="18"/>
        </w:rPr>
        <w:t xml:space="preserve"> </w:t>
      </w:r>
      <w:r>
        <w:rPr>
          <w:szCs w:val="18"/>
        </w:rPr>
        <w:t>Zákon</w:t>
      </w:r>
      <w:r w:rsidRPr="00A30AD5">
        <w:rPr>
          <w:szCs w:val="18"/>
        </w:rPr>
        <w:t xml:space="preserve"> 245/2008 Z. z. o výchove a vzdelávaní (školský zákon)</w:t>
      </w:r>
      <w:r>
        <w:rPr>
          <w:szCs w:val="18"/>
        </w:rPr>
        <w:t>,</w:t>
      </w:r>
      <w:r w:rsidRPr="003F16EE">
        <w:rPr>
          <w:szCs w:val="18"/>
        </w:rPr>
        <w:t xml:space="preserve"> </w:t>
      </w:r>
      <w:r w:rsidRPr="00A30AD5">
        <w:rPr>
          <w:szCs w:val="18"/>
        </w:rPr>
        <w:t>§ 16 ods. 3</w:t>
      </w:r>
      <w:r>
        <w:rPr>
          <w:szCs w:val="18"/>
        </w:rPr>
        <w:t xml:space="preserve"> </w:t>
      </w:r>
      <w:r w:rsidRPr="00A30AD5">
        <w:rPr>
          <w:szCs w:val="18"/>
        </w:rPr>
        <w:t>a</w:t>
      </w:r>
      <w:r>
        <w:rPr>
          <w:szCs w:val="18"/>
        </w:rPr>
        <w:t> </w:t>
      </w:r>
      <w:hyperlink r:id="rId49" w:history="1">
        <w:r w:rsidRPr="00A30AD5">
          <w:rPr>
            <w:rStyle w:val="Hypertextovprepojenie"/>
            <w:szCs w:val="18"/>
          </w:rPr>
          <w:t>http://www.minedu.sk/data/files/3772.pdf</w:t>
        </w:r>
      </w:hyperlink>
      <w:r w:rsidRPr="00A30AD5">
        <w:rPr>
          <w:szCs w:val="18"/>
        </w:rPr>
        <w:t xml:space="preserve"> </w:t>
      </w:r>
    </w:p>
  </w:footnote>
  <w:footnote w:id="275">
    <w:p w14:paraId="66BA7593" w14:textId="77777777" w:rsidR="00FA29AF" w:rsidRPr="00A30AD5" w:rsidRDefault="00FA29AF" w:rsidP="008E166F">
      <w:pPr>
        <w:pStyle w:val="Textpoznmkypodiarou"/>
        <w:rPr>
          <w:szCs w:val="18"/>
        </w:rPr>
      </w:pPr>
      <w:r w:rsidRPr="00A30AD5">
        <w:rPr>
          <w:rStyle w:val="Odkaznapoznmkupodiarou"/>
          <w:szCs w:val="18"/>
        </w:rPr>
        <w:footnoteRef/>
      </w:r>
      <w:r w:rsidRPr="00A30AD5">
        <w:rPr>
          <w:szCs w:val="18"/>
        </w:rPr>
        <w:t xml:space="preserve"> § 94 ods. 1 Zákona 245/2008 Z. z. o výchove a vzdelávaní (školský zákon) a o zmene a doplnení niektorých zákonov</w:t>
      </w:r>
    </w:p>
  </w:footnote>
  <w:footnote w:id="276">
    <w:p w14:paraId="1A3D6F82" w14:textId="44D4E872" w:rsidR="00FA29AF" w:rsidRPr="000372A8" w:rsidRDefault="00FA29AF" w:rsidP="008E166F">
      <w:pPr>
        <w:pStyle w:val="Textpoznmkypodiarou"/>
        <w:rPr>
          <w:color w:val="000000" w:themeColor="text1"/>
          <w:szCs w:val="18"/>
        </w:rPr>
      </w:pPr>
      <w:r>
        <w:rPr>
          <w:rStyle w:val="Odkaznapoznmkupodiarou"/>
        </w:rPr>
        <w:footnoteRef/>
      </w:r>
      <w:r>
        <w:t xml:space="preserve"> </w:t>
      </w:r>
      <w:hyperlink r:id="rId50" w:history="1">
        <w:r w:rsidRPr="006540E8">
          <w:rPr>
            <w:rStyle w:val="Hypertextovprepojenie"/>
            <w:szCs w:val="18"/>
          </w:rPr>
          <w:t>https://www.employment.gov.sk/files/slovensky/uvod/legislativa/socialna-pomoc-podpora/dohovor-osn-pravach-osob-so-zdravotnym-postihnutim-opcny-protokol-sk-aj.pdf</w:t>
        </w:r>
      </w:hyperlink>
      <w:r>
        <w:rPr>
          <w:rStyle w:val="Hypertextovprepojenie"/>
          <w:szCs w:val="18"/>
        </w:rPr>
        <w:t xml:space="preserve">, </w:t>
      </w:r>
      <w:r w:rsidRPr="00314777">
        <w:rPr>
          <w:rStyle w:val="Hypertextovprepojenie"/>
          <w:color w:val="000000" w:themeColor="text1"/>
          <w:szCs w:val="18"/>
          <w:u w:val="none"/>
        </w:rPr>
        <w:t>Článok 24 „..zmluvné strany zabezpečia, aby osoby so zdravotným postihnutím mali na rovnakom základe s ostatnými prístup k inkluzívnemu, kvalitnému a bezplatnému základnému a stredoškolskému vzdelaniu v spoločenstve, v ktorom žij.“</w:t>
      </w:r>
    </w:p>
  </w:footnote>
  <w:footnote w:id="277">
    <w:p w14:paraId="41EB7F4E" w14:textId="77777777" w:rsidR="00FA29AF" w:rsidRPr="00DD24B4" w:rsidRDefault="00FA29AF" w:rsidP="008E166F">
      <w:pPr>
        <w:pStyle w:val="Textpoznmkypodiarou"/>
        <w:rPr>
          <w:szCs w:val="18"/>
        </w:rPr>
      </w:pPr>
      <w:r w:rsidRPr="00DD24B4">
        <w:rPr>
          <w:rStyle w:val="Odkaznapoznmkupodiarou"/>
          <w:szCs w:val="18"/>
        </w:rPr>
        <w:footnoteRef/>
      </w:r>
      <w:r w:rsidRPr="00DD24B4">
        <w:rPr>
          <w:szCs w:val="18"/>
        </w:rPr>
        <w:t xml:space="preserve"> </w:t>
      </w:r>
      <w:hyperlink r:id="rId51" w:history="1">
        <w:r w:rsidRPr="00DD24B4">
          <w:rPr>
            <w:rStyle w:val="Hypertextovprepojenie"/>
            <w:szCs w:val="18"/>
          </w:rPr>
          <w:t>http://www.nuv.cz/vystupy/nova-klasifikace-vzdelani-v-europassu</w:t>
        </w:r>
      </w:hyperlink>
      <w:r w:rsidRPr="00DD24B4">
        <w:rPr>
          <w:szCs w:val="18"/>
        </w:rPr>
        <w:t xml:space="preserve"> a </w:t>
      </w:r>
      <w:hyperlink r:id="rId52" w:history="1">
        <w:r w:rsidRPr="00DD24B4">
          <w:rPr>
            <w:rStyle w:val="Hypertextovprepojenie"/>
            <w:szCs w:val="18"/>
          </w:rPr>
          <w:t>https://www.czso.cz/documents/10180/23169548/cz-isced+2011.pdf/fa446ca2-e212-4dd8-a61e-a80a3152f7cb?version=1.0</w:t>
        </w:r>
      </w:hyperlink>
      <w:r w:rsidRPr="00DD24B4">
        <w:rPr>
          <w:szCs w:val="18"/>
        </w:rPr>
        <w:t xml:space="preserve"> </w:t>
      </w:r>
    </w:p>
  </w:footnote>
  <w:footnote w:id="278">
    <w:p w14:paraId="589F6DA2" w14:textId="77777777" w:rsidR="00FA29AF" w:rsidRPr="003A435E" w:rsidRDefault="00FA29AF" w:rsidP="007853BE">
      <w:pPr>
        <w:pStyle w:val="Textpoznmkypodiarou"/>
        <w:rPr>
          <w:szCs w:val="18"/>
        </w:rPr>
      </w:pPr>
      <w:r w:rsidRPr="003A435E">
        <w:rPr>
          <w:rStyle w:val="Odkaznapoznmkupodiarou"/>
          <w:szCs w:val="18"/>
        </w:rPr>
        <w:footnoteRef/>
      </w:r>
      <w:r w:rsidRPr="003A435E">
        <w:rPr>
          <w:szCs w:val="18"/>
        </w:rPr>
        <w:t xml:space="preserve"> </w:t>
      </w:r>
      <w:r>
        <w:rPr>
          <w:szCs w:val="18"/>
        </w:rPr>
        <w:t xml:space="preserve">Národný projekt Štandardy. Dostupné na: </w:t>
      </w:r>
      <w:hyperlink r:id="rId53" w:history="1">
        <w:r w:rsidRPr="0040302E">
          <w:rPr>
            <w:rStyle w:val="Hypertextovprepojenie"/>
            <w:szCs w:val="18"/>
          </w:rPr>
          <w:t>https://vudpap.sk/x/projekty/standardy/</w:t>
        </w:r>
      </w:hyperlink>
      <w:r w:rsidRPr="003A435E">
        <w:rPr>
          <w:szCs w:val="18"/>
        </w:rPr>
        <w:t xml:space="preserve"> </w:t>
      </w:r>
    </w:p>
  </w:footnote>
  <w:footnote w:id="279">
    <w:p w14:paraId="4F2DC9EC" w14:textId="77777777" w:rsidR="00FA29AF" w:rsidRDefault="00FA29AF" w:rsidP="008E166F">
      <w:pPr>
        <w:pStyle w:val="Textpoznmkypodiarou"/>
      </w:pPr>
      <w:r>
        <w:rPr>
          <w:rStyle w:val="Odkaznapoznmkupodiarou"/>
        </w:rPr>
        <w:footnoteRef/>
      </w:r>
      <w:r>
        <w:t xml:space="preserve"> CVTI (2018). Údaje za predchádzajúce roky nie sú dostupné.</w:t>
      </w:r>
    </w:p>
  </w:footnote>
  <w:footnote w:id="280">
    <w:p w14:paraId="2AA833CF" w14:textId="36E634B5" w:rsidR="00FA29AF" w:rsidRDefault="00FA29AF" w:rsidP="008E166F">
      <w:pPr>
        <w:pStyle w:val="Textpoznmkypodiarou"/>
      </w:pPr>
      <w:r>
        <w:rPr>
          <w:rStyle w:val="Odkaznapoznmkupodiarou"/>
        </w:rPr>
        <w:footnoteRef/>
      </w:r>
      <w:r>
        <w:t xml:space="preserve"> Vlastné prepočty IVP na </w:t>
      </w:r>
      <w:r w:rsidRPr="009E14D1">
        <w:rPr>
          <w:bCs/>
        </w:rPr>
        <w:t>základe</w:t>
      </w:r>
      <w:r>
        <w:rPr>
          <w:bCs/>
        </w:rPr>
        <w:t xml:space="preserve"> dát</w:t>
      </w:r>
      <w:r w:rsidRPr="009E14D1">
        <w:rPr>
          <w:bCs/>
        </w:rPr>
        <w:t xml:space="preserve"> RIS MŠVVŠ</w:t>
      </w:r>
      <w:r>
        <w:rPr>
          <w:bCs/>
        </w:rPr>
        <w:t xml:space="preserve"> a CVTI </w:t>
      </w:r>
      <w:r w:rsidRPr="009E14D1">
        <w:rPr>
          <w:bCs/>
        </w:rPr>
        <w:t>(2017, 2018)</w:t>
      </w:r>
      <w:r>
        <w:rPr>
          <w:bCs/>
        </w:rPr>
        <w:t>.</w:t>
      </w:r>
    </w:p>
  </w:footnote>
  <w:footnote w:id="281">
    <w:p w14:paraId="66250209" w14:textId="77777777" w:rsidR="00FA29AF" w:rsidRDefault="00FA29AF" w:rsidP="007853BE">
      <w:pPr>
        <w:pStyle w:val="Textpoznmkypodiarou"/>
      </w:pPr>
      <w:r>
        <w:rPr>
          <w:rStyle w:val="Odkaznapoznmkupodiarou"/>
        </w:rPr>
        <w:footnoteRef/>
      </w:r>
      <w:r>
        <w:t xml:space="preserve"> Vlastné spracovanie údajov z VEGA, KEGA a APVV.</w:t>
      </w:r>
    </w:p>
  </w:footnote>
  <w:footnote w:id="282">
    <w:p w14:paraId="34CBF859" w14:textId="77777777" w:rsidR="00FA29AF" w:rsidRDefault="00FA29AF" w:rsidP="007853BE">
      <w:pPr>
        <w:pStyle w:val="Textpoznmkypodiarou"/>
      </w:pPr>
      <w:r>
        <w:rPr>
          <w:rStyle w:val="Odkaznapoznmkupodiarou"/>
        </w:rPr>
        <w:footnoteRef/>
      </w:r>
      <w:r>
        <w:t xml:space="preserve"> Dostupné na: </w:t>
      </w:r>
      <w:hyperlink r:id="rId54" w:history="1">
        <w:r w:rsidRPr="0040302E">
          <w:rPr>
            <w:rStyle w:val="Hypertextovprepojenie"/>
          </w:rPr>
          <w:t>https://vudpap.sk/na-com-pracujeme/hlavne-ulohy/vyskumy/ukoncene-vyskumy/</w:t>
        </w:r>
      </w:hyperlink>
      <w:r>
        <w:t xml:space="preserve"> Výsledky výskumu O</w:t>
      </w:r>
      <w:r w:rsidRPr="006D3C04">
        <w:t>ptimalizácia psychologických, pedagogických a sociálnych metód pri poruchách učenia</w:t>
      </w:r>
      <w:r>
        <w:t xml:space="preserve"> nie sú dostupné. </w:t>
      </w:r>
    </w:p>
  </w:footnote>
  <w:footnote w:id="283">
    <w:p w14:paraId="6E9ADE86" w14:textId="7D6EACC0" w:rsidR="00FA29AF" w:rsidRDefault="00FA29AF" w:rsidP="008E166F">
      <w:pPr>
        <w:pStyle w:val="Textpoznmkypodiarou"/>
      </w:pPr>
      <w:r>
        <w:rPr>
          <w:rStyle w:val="Odkaznapoznmkupodiarou"/>
        </w:rPr>
        <w:footnoteRef/>
      </w:r>
      <w:r>
        <w:t xml:space="preserve"> Vlastné prepočty IVP podľa dát CVTI (2018)</w:t>
      </w:r>
    </w:p>
  </w:footnote>
  <w:footnote w:id="284">
    <w:p w14:paraId="6CC90FD3" w14:textId="77777777" w:rsidR="00FA29AF" w:rsidRDefault="00FA29AF" w:rsidP="00647708">
      <w:pPr>
        <w:pStyle w:val="Textpoznmkypodiarou"/>
      </w:pPr>
      <w:r>
        <w:rPr>
          <w:rStyle w:val="Odkaznapoznmkupodiarou"/>
        </w:rPr>
        <w:footnoteRef/>
      </w:r>
      <w:r>
        <w:t xml:space="preserve"> Vlastné prepočty IVP podľa dát CVTI (2017, 2018). </w:t>
      </w:r>
    </w:p>
  </w:footnote>
  <w:footnote w:id="285">
    <w:p w14:paraId="7870F8E7" w14:textId="77777777" w:rsidR="00FA29AF" w:rsidRDefault="00FA29AF" w:rsidP="00647708">
      <w:pPr>
        <w:pStyle w:val="Textpoznmkypodiarou"/>
      </w:pPr>
      <w:r>
        <w:rPr>
          <w:rStyle w:val="Odkaznapoznmkupodiarou"/>
        </w:rPr>
        <w:footnoteRef/>
      </w:r>
      <w:r>
        <w:t xml:space="preserve"> Vlastné prepočty IVP podľa dát CVTI (2018).</w:t>
      </w:r>
    </w:p>
  </w:footnote>
  <w:footnote w:id="286">
    <w:p w14:paraId="2431012E" w14:textId="77777777" w:rsidR="00FA29AF" w:rsidRDefault="00FA29AF" w:rsidP="008E166F">
      <w:pPr>
        <w:pStyle w:val="Textpoznmkypodiarou"/>
      </w:pPr>
      <w:r>
        <w:rPr>
          <w:rStyle w:val="Odkaznapoznmkupodiarou"/>
        </w:rPr>
        <w:footnoteRef/>
      </w:r>
      <w:r>
        <w:t xml:space="preserve"> Nariadenie vlády č. 630/2008 Z. z. ktorým sa ustanovujú podrobnosti rozpisu finančných prostriedkov zo štátneho rozpočtu pre školy a školské zariadenia. Koeficienty sa v závislosti od druhu zdravotného znevýhodnenia pohybujú od 1,7 po 2,7.</w:t>
      </w:r>
    </w:p>
  </w:footnote>
  <w:footnote w:id="287">
    <w:p w14:paraId="0706FF02" w14:textId="736C71CF" w:rsidR="00FA29AF" w:rsidRDefault="00FA29AF" w:rsidP="008E166F">
      <w:pPr>
        <w:pStyle w:val="Textpoznmkypodiarou"/>
      </w:pPr>
      <w:r>
        <w:rPr>
          <w:rStyle w:val="Odkaznapoznmkupodiarou"/>
        </w:rPr>
        <w:footnoteRef/>
      </w:r>
      <w:r>
        <w:t xml:space="preserve"> Kým žiaci s narušenou komunikačnou schopnosťou tvorili v roku 2018 7 % školskej populácie základných škôl (3 649 žiakov), v stredných školách nebol evidovaný ani jeden žiak s touto diagnózou.</w:t>
      </w:r>
    </w:p>
  </w:footnote>
  <w:footnote w:id="288">
    <w:p w14:paraId="2E34A549" w14:textId="77777777" w:rsidR="00FA29AF" w:rsidRDefault="00FA29AF" w:rsidP="00C31ECA">
      <w:pPr>
        <w:pStyle w:val="Textpoznmkypodiarou"/>
      </w:pPr>
      <w:r>
        <w:rPr>
          <w:rStyle w:val="Odkaznapoznmkupodiarou"/>
        </w:rPr>
        <w:footnoteRef/>
      </w:r>
      <w:r>
        <w:t xml:space="preserve"> </w:t>
      </w:r>
      <w:r>
        <w:rPr>
          <w:bCs/>
        </w:rPr>
        <w:t xml:space="preserve">Dodatočné náklady na vzdelávanie týchto žiakov sú preto napočítané ako rozdiel medzi objemom zdrojov, alokovaných na jedného žiaka vybraného druhu špeciálnej školy a priemerným objemom zdrojov alokovaným na jedného žiaka v rovnakom druhu školy v bežnom prúde. </w:t>
      </w:r>
      <w:r>
        <w:t>Dodatočné náklady pre odborné učilištia a praktické školy boli vypočítané na základe priemerného objemu zdrojov alokovaných na jedného žiaka v bežných stredných odborných školách.</w:t>
      </w:r>
    </w:p>
  </w:footnote>
  <w:footnote w:id="289">
    <w:p w14:paraId="042D733E" w14:textId="77777777" w:rsidR="00FA29AF" w:rsidRPr="00176244" w:rsidRDefault="00FA29AF" w:rsidP="00C31ECA">
      <w:pPr>
        <w:pStyle w:val="Textpoznmkypodiarou"/>
        <w:rPr>
          <w:szCs w:val="18"/>
        </w:rPr>
      </w:pPr>
      <w:r w:rsidRPr="00176244">
        <w:rPr>
          <w:rStyle w:val="Odkaznapoznmkupodiarou"/>
        </w:rPr>
        <w:footnoteRef/>
      </w:r>
      <w:r w:rsidRPr="00176244">
        <w:rPr>
          <w:szCs w:val="18"/>
        </w:rPr>
        <w:t xml:space="preserve"> </w:t>
      </w:r>
      <w:r>
        <w:rPr>
          <w:szCs w:val="18"/>
        </w:rPr>
        <w:t>Vlastné p</w:t>
      </w:r>
      <w:r w:rsidRPr="00176244">
        <w:rPr>
          <w:szCs w:val="18"/>
        </w:rPr>
        <w:t>repočty IVP na základe dát CVTI (2017, 2018).</w:t>
      </w:r>
    </w:p>
  </w:footnote>
  <w:footnote w:id="290">
    <w:p w14:paraId="58FDFB0A" w14:textId="77777777" w:rsidR="00FA29AF" w:rsidRDefault="00FA29AF" w:rsidP="00C31ECA">
      <w:pPr>
        <w:pStyle w:val="Textpoznmkypodiarou"/>
      </w:pPr>
      <w:r>
        <w:rPr>
          <w:rStyle w:val="Odkaznapoznmkupodiarou"/>
        </w:rPr>
        <w:footnoteRef/>
      </w:r>
      <w:r>
        <w:t xml:space="preserve"> Vlastné prepočty IVP na základe dát zo Štvrťročného výkazu o práci v školstve (2018).</w:t>
      </w:r>
    </w:p>
  </w:footnote>
  <w:footnote w:id="291">
    <w:p w14:paraId="7556C2D2" w14:textId="77777777" w:rsidR="00FA29AF" w:rsidRDefault="00FA29AF" w:rsidP="00C31ECA">
      <w:pPr>
        <w:pStyle w:val="Textpoznmkypodiarou"/>
      </w:pPr>
      <w:r>
        <w:rPr>
          <w:rStyle w:val="Odkaznapoznmkupodiarou"/>
        </w:rPr>
        <w:footnoteRef/>
      </w:r>
      <w:r>
        <w:t xml:space="preserve"> Zákon č. 61/2015 z. z. o odbornom vzdelávaní a príprave a o zmene a doplnení niektorých zákonov, § 3</w:t>
      </w:r>
    </w:p>
  </w:footnote>
  <w:footnote w:id="292">
    <w:p w14:paraId="1C7CE1A3" w14:textId="77777777" w:rsidR="00FA29AF" w:rsidRDefault="00FA29AF" w:rsidP="00C31ECA">
      <w:pPr>
        <w:pStyle w:val="Textpoznmkypodiarou"/>
      </w:pPr>
      <w:r>
        <w:rPr>
          <w:rStyle w:val="Odkaznapoznmkupodiarou"/>
        </w:rPr>
        <w:footnoteRef/>
      </w:r>
      <w:r>
        <w:t xml:space="preserve"> Dostupné na: </w:t>
      </w:r>
      <w:hyperlink r:id="rId55" w:history="1">
        <w:r w:rsidRPr="00BE4113">
          <w:rPr>
            <w:rStyle w:val="Hypertextovprepojenie"/>
          </w:rPr>
          <w:t>https://siov.sk/projekty/aktualne-projekty/narodny-projekt-dualne-vzdelavanie/</w:t>
        </w:r>
      </w:hyperlink>
      <w:r>
        <w:t xml:space="preserve"> </w:t>
      </w:r>
    </w:p>
  </w:footnote>
  <w:footnote w:id="293">
    <w:p w14:paraId="20BE6B0E" w14:textId="77777777" w:rsidR="00FA29AF" w:rsidRPr="007D3840" w:rsidRDefault="00FA29AF" w:rsidP="008E166F">
      <w:pPr>
        <w:pStyle w:val="Textpoznmkypodiarou"/>
        <w:rPr>
          <w:szCs w:val="18"/>
        </w:rPr>
      </w:pPr>
      <w:r w:rsidRPr="007D3840">
        <w:rPr>
          <w:rStyle w:val="Odkaznapoznmkupodiarou"/>
          <w:szCs w:val="18"/>
        </w:rPr>
        <w:footnoteRef/>
      </w:r>
      <w:r w:rsidRPr="007D3840">
        <w:rPr>
          <w:szCs w:val="18"/>
        </w:rPr>
        <w:t xml:space="preserve"> Štruktúra údajov o študentoch so ZZ na vysokých školách sa odlišuje od štruktúry údajov o žiakoch so ZZ v základných a stredných školách. Vysoké školy nezbierajú údaje o študentoch s narušenou komunikačnou schopnosťou, s poruchami aktivity a pozornosti a s poruchami správania.</w:t>
      </w:r>
    </w:p>
  </w:footnote>
  <w:footnote w:id="294">
    <w:p w14:paraId="41E3DE21" w14:textId="244463D1" w:rsidR="00FA29AF" w:rsidRPr="00BE29F3" w:rsidRDefault="00FA29AF" w:rsidP="008E166F">
      <w:pPr>
        <w:pStyle w:val="Textpoznmkypodiarou"/>
      </w:pPr>
      <w:r>
        <w:rPr>
          <w:rStyle w:val="Odkaznapoznmkupodiarou"/>
        </w:rPr>
        <w:footnoteRef/>
      </w:r>
      <w:r>
        <w:t xml:space="preserve"> V roku 2017 a 2016 neboli na debarierizáciu vysokoškolského prostredia vyčlenené žiadne zdroje. V </w:t>
      </w:r>
      <w:r w:rsidRPr="00BE29F3">
        <w:t>roku 2015 bolo 729 429 eur poskytnutých Slovenskej technickej univerzite na projekt Eliminácia architektonických, informačných a orientačných bariér.</w:t>
      </w:r>
      <w:r>
        <w:t xml:space="preserve"> </w:t>
      </w:r>
    </w:p>
  </w:footnote>
  <w:footnote w:id="295">
    <w:p w14:paraId="5DCD7D24" w14:textId="48D23CB2" w:rsidR="00FA29AF" w:rsidRPr="007D3840" w:rsidRDefault="00FA29AF" w:rsidP="008E166F">
      <w:pPr>
        <w:pStyle w:val="Textpoznmkypodiarou"/>
        <w:rPr>
          <w:szCs w:val="18"/>
        </w:rPr>
      </w:pPr>
      <w:r w:rsidRPr="00BE29F3">
        <w:rPr>
          <w:rStyle w:val="Odkaznapoznmkupodiarou"/>
          <w:szCs w:val="18"/>
        </w:rPr>
        <w:footnoteRef/>
      </w:r>
      <w:r w:rsidRPr="00BE29F3">
        <w:rPr>
          <w:szCs w:val="18"/>
        </w:rPr>
        <w:t xml:space="preserve"> Prieskum bol realizovaný v období od októbra 2015 do septembra 2016 v rámci projektu UNIALL na vybraných 14 verejných </w:t>
      </w:r>
      <w:r w:rsidRPr="007D3840">
        <w:rPr>
          <w:szCs w:val="18"/>
        </w:rPr>
        <w:t xml:space="preserve">vysokých školách, pričom do prieskumu bolo zahrnutých 43 budov fakúlt a 10 študentských domovov. Dostupné na: </w:t>
      </w:r>
      <w:hyperlink r:id="rId56" w:history="1">
        <w:r w:rsidRPr="00020F3C">
          <w:rPr>
            <w:rStyle w:val="Hypertextovprepojenie"/>
            <w:szCs w:val="18"/>
          </w:rPr>
          <w:t>https://www.minedu.sk/vyrocne-spravy-o-stave-vysokeho-skolstva/</w:t>
        </w:r>
      </w:hyperlink>
      <w:r>
        <w:rPr>
          <w:szCs w:val="18"/>
        </w:rPr>
        <w:t xml:space="preserve"> </w:t>
      </w:r>
    </w:p>
  </w:footnote>
  <w:footnote w:id="296">
    <w:p w14:paraId="7FD7EE7B" w14:textId="77777777" w:rsidR="00FA29AF" w:rsidRPr="002D07FE" w:rsidRDefault="00FA29AF" w:rsidP="009D226F">
      <w:pPr>
        <w:pStyle w:val="Textpoznmkypodiarou"/>
        <w:rPr>
          <w:szCs w:val="18"/>
        </w:rPr>
      </w:pPr>
      <w:r w:rsidRPr="002D07FE">
        <w:rPr>
          <w:rStyle w:val="Odkaznapoznmkupodiarou"/>
          <w:szCs w:val="18"/>
        </w:rPr>
        <w:footnoteRef/>
      </w:r>
      <w:r w:rsidRPr="002D07FE">
        <w:rPr>
          <w:szCs w:val="18"/>
        </w:rPr>
        <w:t xml:space="preserve"> </w:t>
      </w:r>
      <w:r>
        <w:rPr>
          <w:szCs w:val="18"/>
        </w:rPr>
        <w:t xml:space="preserve">Dostupné na: </w:t>
      </w:r>
      <w:hyperlink r:id="rId57" w:history="1">
        <w:r w:rsidRPr="0022147E">
          <w:rPr>
            <w:rStyle w:val="Hypertextovprepojenie"/>
            <w:szCs w:val="18"/>
          </w:rPr>
          <w:t>https://www.minedu.sk/rada-ministra-na-podporu-studia-studentov-so-specifickymi-potrebami/</w:t>
        </w:r>
      </w:hyperlink>
      <w:r>
        <w:rPr>
          <w:rStyle w:val="Hypertextovprepojenie"/>
          <w:szCs w:val="18"/>
        </w:rPr>
        <w:t xml:space="preserve">, </w:t>
      </w:r>
      <w:r w:rsidRPr="0022147E">
        <w:rPr>
          <w:rStyle w:val="Hypertextovprepojenie"/>
          <w:szCs w:val="18"/>
        </w:rPr>
        <w:t>Záznam zo zasadnutia Rady 23.5.2017</w:t>
      </w:r>
    </w:p>
  </w:footnote>
  <w:footnote w:id="297">
    <w:p w14:paraId="6ECD44D8" w14:textId="77777777" w:rsidR="00FA29AF" w:rsidRPr="002D07FE" w:rsidRDefault="00FA29AF" w:rsidP="004342BB">
      <w:pPr>
        <w:pStyle w:val="Textpoznmkypodiarou"/>
        <w:rPr>
          <w:szCs w:val="18"/>
        </w:rPr>
      </w:pPr>
      <w:r w:rsidRPr="002D07FE">
        <w:rPr>
          <w:rStyle w:val="Odkaznapoznmkupodiarou"/>
          <w:szCs w:val="18"/>
        </w:rPr>
        <w:footnoteRef/>
      </w:r>
      <w:r w:rsidRPr="002D07FE">
        <w:rPr>
          <w:szCs w:val="18"/>
        </w:rPr>
        <w:t xml:space="preserve"> Podľa počtu študentov s vybranou špecifickou potrebou k 31.12.2017.</w:t>
      </w:r>
    </w:p>
  </w:footnote>
  <w:footnote w:id="298">
    <w:p w14:paraId="45D28707" w14:textId="77777777" w:rsidR="00FA29AF" w:rsidRPr="002D07FE" w:rsidRDefault="00FA29AF" w:rsidP="004342BB">
      <w:pPr>
        <w:pStyle w:val="Textpoznmkypodiarou"/>
        <w:rPr>
          <w:szCs w:val="18"/>
        </w:rPr>
      </w:pPr>
      <w:r w:rsidRPr="002D07FE">
        <w:rPr>
          <w:rStyle w:val="Odkaznapoznmkupodiarou"/>
          <w:szCs w:val="18"/>
        </w:rPr>
        <w:footnoteRef/>
      </w:r>
      <w:r w:rsidRPr="002D07FE">
        <w:rPr>
          <w:szCs w:val="18"/>
        </w:rPr>
        <w:t xml:space="preserve"> </w:t>
      </w:r>
      <w:r>
        <w:rPr>
          <w:szCs w:val="18"/>
        </w:rPr>
        <w:t xml:space="preserve">Dostupné na: </w:t>
      </w:r>
      <w:r w:rsidRPr="002D07FE">
        <w:rPr>
          <w:szCs w:val="18"/>
        </w:rPr>
        <w:t>https://www.minedu.sk/677-sk/financovanie/</w:t>
      </w:r>
    </w:p>
  </w:footnote>
  <w:footnote w:id="299">
    <w:p w14:paraId="3892F68E" w14:textId="46A15B93" w:rsidR="00FA29AF" w:rsidRPr="00A41F6D" w:rsidRDefault="00FA29AF" w:rsidP="004342BB">
      <w:pPr>
        <w:pStyle w:val="Textpoznmkypodiarou"/>
        <w:rPr>
          <w:szCs w:val="18"/>
        </w:rPr>
      </w:pPr>
      <w:r w:rsidRPr="00A41F6D">
        <w:rPr>
          <w:rStyle w:val="Odkaznapoznmkupodiarou"/>
          <w:szCs w:val="18"/>
        </w:rPr>
        <w:footnoteRef/>
      </w:r>
      <w:r w:rsidRPr="00A41F6D">
        <w:rPr>
          <w:szCs w:val="18"/>
        </w:rPr>
        <w:t xml:space="preserve"> Zákon č. 131/2002 Z. z. o vysokých školách, § 16a. </w:t>
      </w:r>
      <w:r>
        <w:t>Vlastné fondy na podporu študentov so špecifickými potrebami malo v roku 2018 zriadených 10 z 20 slovenských verejných vysokých škôl. Na podporu študentov bolo použitých vyše 17 tisíc eur. Celkový objem zdrojov vo fondoch mal k decembru 2018 hodnotu vyše 260 tisíc eur.</w:t>
      </w:r>
    </w:p>
  </w:footnote>
  <w:footnote w:id="300">
    <w:p w14:paraId="49BC2BF1" w14:textId="77777777" w:rsidR="00FA29AF" w:rsidRDefault="00FA29AF" w:rsidP="00546656">
      <w:pPr>
        <w:pStyle w:val="Textpoznmkypodiarou"/>
      </w:pPr>
      <w:r>
        <w:rPr>
          <w:rStyle w:val="Odkaznapoznmkupodiarou"/>
        </w:rPr>
        <w:footnoteRef/>
      </w:r>
      <w:r>
        <w:t xml:space="preserve"> Vyhláška č. 458/2012 Z. z. o minimálnych nárokoch študenta so špecifickými potrebami</w:t>
      </w:r>
    </w:p>
  </w:footnote>
  <w:footnote w:id="301">
    <w:p w14:paraId="52EEA8AC" w14:textId="77777777" w:rsidR="00FA29AF" w:rsidRPr="00A41F6D" w:rsidRDefault="00FA29AF" w:rsidP="00546656">
      <w:pPr>
        <w:pStyle w:val="Textpoznmkypodiarou"/>
        <w:rPr>
          <w:szCs w:val="18"/>
        </w:rPr>
      </w:pPr>
      <w:r w:rsidRPr="00A41F6D">
        <w:rPr>
          <w:rStyle w:val="Odkaznapoznmkupodiarou"/>
          <w:szCs w:val="18"/>
        </w:rPr>
        <w:footnoteRef/>
      </w:r>
      <w:r w:rsidRPr="00A41F6D">
        <w:rPr>
          <w:szCs w:val="18"/>
        </w:rPr>
        <w:t xml:space="preserve"> </w:t>
      </w:r>
      <w:r>
        <w:rPr>
          <w:szCs w:val="18"/>
        </w:rPr>
        <w:t xml:space="preserve">Dostupné na: </w:t>
      </w:r>
      <w:hyperlink r:id="rId58" w:history="1">
        <w:r w:rsidRPr="00C50015">
          <w:rPr>
            <w:rStyle w:val="Hypertextovprepojenie"/>
            <w:szCs w:val="18"/>
          </w:rPr>
          <w:t>https://www.minedu.sk/data/att/13930.pdf</w:t>
        </w:r>
      </w:hyperlink>
      <w:r w:rsidRPr="00A41F6D">
        <w:rPr>
          <w:szCs w:val="18"/>
        </w:rPr>
        <w:t xml:space="preserve"> </w:t>
      </w:r>
    </w:p>
  </w:footnote>
  <w:footnote w:id="302">
    <w:p w14:paraId="2A7B5003" w14:textId="77777777" w:rsidR="00FA29AF" w:rsidRDefault="00FA29AF" w:rsidP="00546656">
      <w:pPr>
        <w:pStyle w:val="Textpoznmkypodiarou"/>
      </w:pPr>
      <w:r>
        <w:rPr>
          <w:rStyle w:val="Odkaznapoznmkupodiarou"/>
        </w:rPr>
        <w:footnoteRef/>
      </w:r>
      <w:r>
        <w:t xml:space="preserve"> Dostupné na: </w:t>
      </w:r>
      <w:r w:rsidRPr="00B868E5">
        <w:t>https://www.minedu.sk/rada-ministra-na-podporu-studia-studentov-so-specifickymi-potrebami/</w:t>
      </w:r>
    </w:p>
  </w:footnote>
  <w:footnote w:id="303">
    <w:p w14:paraId="57B95B5B" w14:textId="77777777" w:rsidR="00FA29AF" w:rsidRPr="00A41F6D" w:rsidRDefault="00FA29AF" w:rsidP="00546656">
      <w:pPr>
        <w:pStyle w:val="Textpoznmkypodiarou"/>
        <w:rPr>
          <w:szCs w:val="18"/>
        </w:rPr>
      </w:pPr>
      <w:r w:rsidRPr="00A41F6D">
        <w:rPr>
          <w:rStyle w:val="Odkaznapoznmkupodiarou"/>
          <w:szCs w:val="18"/>
        </w:rPr>
        <w:footnoteRef/>
      </w:r>
      <w:r w:rsidRPr="00A41F6D">
        <w:rPr>
          <w:szCs w:val="18"/>
        </w:rPr>
        <w:t xml:space="preserve"> Zákon č. 131/2002 Z. z. o vysokých školách, § 100 ods. 7 a 8</w:t>
      </w:r>
    </w:p>
  </w:footnote>
  <w:footnote w:id="304">
    <w:p w14:paraId="7CF28AD8" w14:textId="77777777" w:rsidR="00FA29AF" w:rsidRPr="00A41F6D" w:rsidRDefault="00FA29AF" w:rsidP="00546656">
      <w:pPr>
        <w:rPr>
          <w:sz w:val="18"/>
          <w:szCs w:val="18"/>
        </w:rPr>
      </w:pPr>
      <w:r w:rsidRPr="00A41F6D">
        <w:rPr>
          <w:rStyle w:val="Odkaznapoznmkupodiarou"/>
          <w:sz w:val="18"/>
          <w:szCs w:val="18"/>
        </w:rPr>
        <w:footnoteRef/>
      </w:r>
      <w:r w:rsidRPr="00A41F6D">
        <w:rPr>
          <w:sz w:val="18"/>
          <w:szCs w:val="18"/>
        </w:rPr>
        <w:t xml:space="preserve"> </w:t>
      </w:r>
    </w:p>
    <w:p w14:paraId="7FC58A09" w14:textId="77777777" w:rsidR="00FA29AF" w:rsidRPr="00A41F6D" w:rsidRDefault="00FA29AF" w:rsidP="00546656">
      <w:pPr>
        <w:pStyle w:val="Textpoznmkypodiarou"/>
        <w:rPr>
          <w:szCs w:val="18"/>
        </w:rPr>
      </w:pPr>
    </w:p>
  </w:footnote>
  <w:footnote w:id="305">
    <w:p w14:paraId="7AB973C9" w14:textId="6974EF28" w:rsidR="00FA29AF" w:rsidRPr="00FD7002" w:rsidRDefault="00FA29AF" w:rsidP="00FD7002">
      <w:pPr>
        <w:pStyle w:val="Textpoznmkypodiarou"/>
        <w:rPr>
          <w:szCs w:val="18"/>
        </w:rPr>
      </w:pPr>
      <w:r w:rsidRPr="008F10A1">
        <w:rPr>
          <w:rStyle w:val="Odkaznapoznmkupodiarou"/>
          <w:szCs w:val="18"/>
        </w:rPr>
        <w:footnoteRef/>
      </w:r>
      <w:r w:rsidRPr="008F10A1">
        <w:rPr>
          <w:szCs w:val="18"/>
        </w:rPr>
        <w:t xml:space="preserve"> </w:t>
      </w:r>
      <w:r w:rsidRPr="00D41517">
        <w:rPr>
          <w:szCs w:val="18"/>
        </w:rPr>
        <w:t xml:space="preserve">Väčšina krajín EU nezbiera v pravidelných Labour Force Surveys (LFS) údaje o zdravotnom znevýhodnení. Medzinárodne porovnateľné údaje o situácii osôb so zdravotným znevýhodnením na trhu práce sú dostupné len zo špeciálneho ad-hoc modulu LFS z roku 2011, ktorý bol na túto tému zameraný, a zo zisťovania EU-SILC. V ad-hoc module EU-LFS z roku 2011 aj v EU-SILCu je zdravotné znevýhodnenie určené na základe samo-definovania zdravotného stavu respondentmi (otázka sa pýta na obmedzenie v každodenných aktivitách). Z tohto dôvodu je v nich počet osôb so zdravotným znevýhodnením v populácii nadhodnotený </w:t>
      </w:r>
      <w:r w:rsidRPr="008F10A1">
        <w:rPr>
          <w:szCs w:val="18"/>
        </w:rPr>
        <w:t>(Bahna, 2018).</w:t>
      </w:r>
      <w:r w:rsidRPr="00D41517">
        <w:rPr>
          <w:szCs w:val="18"/>
        </w:rPr>
        <w:t xml:space="preserve"> Slovensko je jednou z mála krajín, ktoré v národných LFS údaje o zdravotnom postihnutí zbierajú. Podľa LFS predstavovala miera zamestnanosti obyvateľstva so zdravotným postihnutím na Slovensku</w:t>
      </w:r>
      <w:r>
        <w:rPr>
          <w:szCs w:val="18"/>
        </w:rPr>
        <w:t xml:space="preserve"> v roku</w:t>
      </w:r>
      <w:r w:rsidRPr="00D41517">
        <w:rPr>
          <w:szCs w:val="18"/>
        </w:rPr>
        <w:t xml:space="preserve"> </w:t>
      </w:r>
      <w:r w:rsidRPr="008901A7">
        <w:rPr>
          <w:szCs w:val="18"/>
        </w:rPr>
        <w:t>201</w:t>
      </w:r>
      <w:r>
        <w:rPr>
          <w:szCs w:val="18"/>
        </w:rPr>
        <w:t>8</w:t>
      </w:r>
      <w:r w:rsidRPr="008901A7">
        <w:rPr>
          <w:szCs w:val="18"/>
        </w:rPr>
        <w:t xml:space="preserve"> len </w:t>
      </w:r>
      <w:r>
        <w:rPr>
          <w:szCs w:val="18"/>
        </w:rPr>
        <w:t xml:space="preserve">18,7 </w:t>
      </w:r>
      <w:r w:rsidRPr="008901A7">
        <w:rPr>
          <w:szCs w:val="18"/>
        </w:rPr>
        <w:t>%</w:t>
      </w:r>
      <w:r w:rsidRPr="00D41517">
        <w:rPr>
          <w:szCs w:val="18"/>
        </w:rPr>
        <w:t>. V týchto pravidelných zisťovaniach je zdravotné znevýhodnenie definované cez objektívnu otázku o tom, či osobe bolo (na základe posudkovej činnosti) priznané zdravotné postihnutie.</w:t>
      </w:r>
      <w:r>
        <w:rPr>
          <w:szCs w:val="18"/>
        </w:rPr>
        <w:t xml:space="preserve"> </w:t>
      </w:r>
      <w:r w:rsidRPr="00D41517">
        <w:rPr>
          <w:szCs w:val="18"/>
        </w:rPr>
        <w:t>V tomto zisťovaní je počet</w:t>
      </w:r>
      <w:r w:rsidRPr="00D41517">
        <w:t xml:space="preserve"> </w:t>
      </w:r>
      <w:r w:rsidRPr="00D41517">
        <w:rPr>
          <w:szCs w:val="18"/>
        </w:rPr>
        <w:t>osôb so zdravotným znevýhodnením v populácii skôr podhodnotený a neexistujú k nim medzinárodne porovnateľné údaje z väčšiny ostatných krajín EÚ.</w:t>
      </w:r>
    </w:p>
  </w:footnote>
  <w:footnote w:id="306">
    <w:p w14:paraId="62AD5984" w14:textId="77777777"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w:t>
      </w:r>
      <w:r w:rsidRPr="00FD7002">
        <w:rPr>
          <w:rFonts w:cs="Segoe UI"/>
          <w:bCs/>
          <w:color w:val="000000"/>
          <w:szCs w:val="18"/>
          <w:shd w:val="clear" w:color="auto" w:fill="FFFFFF"/>
        </w:rPr>
        <w:t xml:space="preserve">§ 2 zákona č. 447/2008 Z. z. </w:t>
      </w:r>
    </w:p>
  </w:footnote>
  <w:footnote w:id="307">
    <w:p w14:paraId="2F500F5F" w14:textId="77777777"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w:t>
      </w:r>
      <w:r w:rsidRPr="00FD7002">
        <w:rPr>
          <w:rFonts w:cs="Segoe UI"/>
          <w:bCs/>
          <w:color w:val="000000"/>
          <w:szCs w:val="18"/>
          <w:shd w:val="clear" w:color="auto" w:fill="FFFFFF"/>
        </w:rPr>
        <w:t>§ 71 zákona č. 461/2003 Z.z.</w:t>
      </w:r>
    </w:p>
  </w:footnote>
  <w:footnote w:id="308">
    <w:p w14:paraId="53B752FD" w14:textId="77777777" w:rsidR="00FA29AF" w:rsidRPr="00D3189B" w:rsidRDefault="00FA29AF" w:rsidP="00D3189B">
      <w:pPr>
        <w:pBdr>
          <w:top w:val="nil"/>
          <w:left w:val="nil"/>
          <w:bottom w:val="nil"/>
          <w:right w:val="nil"/>
          <w:between w:val="nil"/>
        </w:pBdr>
        <w:spacing w:after="0" w:line="240" w:lineRule="auto"/>
        <w:contextualSpacing/>
        <w:rPr>
          <w:sz w:val="18"/>
          <w:szCs w:val="18"/>
        </w:rPr>
      </w:pPr>
      <w:r>
        <w:rPr>
          <w:rStyle w:val="Odkaznapoznmkupodiarou"/>
        </w:rPr>
        <w:footnoteRef/>
      </w:r>
      <w:r>
        <w:t xml:space="preserve"> </w:t>
      </w:r>
      <w:r w:rsidRPr="00D3189B">
        <w:rPr>
          <w:sz w:val="18"/>
          <w:szCs w:val="18"/>
        </w:rPr>
        <w:t xml:space="preserve">Potrebný počet rokov dôchodkového poistenia: </w:t>
      </w:r>
    </w:p>
    <w:p w14:paraId="3AF78D9A" w14:textId="77777777" w:rsidR="00FA29AF" w:rsidRPr="00D3189B" w:rsidRDefault="00FA29AF" w:rsidP="00D3189B">
      <w:pPr>
        <w:pStyle w:val="Odsekzoznamu"/>
        <w:numPr>
          <w:ilvl w:val="0"/>
          <w:numId w:val="14"/>
        </w:numPr>
        <w:pBdr>
          <w:top w:val="nil"/>
          <w:left w:val="nil"/>
          <w:bottom w:val="nil"/>
          <w:right w:val="nil"/>
          <w:between w:val="nil"/>
        </w:pBdr>
        <w:spacing w:after="0" w:line="240" w:lineRule="auto"/>
        <w:jc w:val="left"/>
        <w:rPr>
          <w:sz w:val="18"/>
          <w:szCs w:val="18"/>
        </w:rPr>
      </w:pPr>
      <w:r w:rsidRPr="00D3189B">
        <w:rPr>
          <w:sz w:val="18"/>
          <w:szCs w:val="18"/>
        </w:rPr>
        <w:t>menej ako jeden rok, ak ide o poistenca do 20 rokov,</w:t>
      </w:r>
    </w:p>
    <w:p w14:paraId="460010AE" w14:textId="77777777" w:rsidR="00FA29AF" w:rsidRPr="00D3189B" w:rsidRDefault="00FA29AF" w:rsidP="00D3189B">
      <w:pPr>
        <w:pStyle w:val="Odsekzoznamu"/>
        <w:numPr>
          <w:ilvl w:val="0"/>
          <w:numId w:val="14"/>
        </w:numPr>
        <w:pBdr>
          <w:top w:val="nil"/>
          <w:left w:val="nil"/>
          <w:bottom w:val="nil"/>
          <w:right w:val="nil"/>
          <w:between w:val="nil"/>
        </w:pBdr>
        <w:spacing w:after="0" w:line="240" w:lineRule="auto"/>
        <w:jc w:val="left"/>
        <w:rPr>
          <w:sz w:val="18"/>
          <w:szCs w:val="18"/>
        </w:rPr>
      </w:pPr>
      <w:r w:rsidRPr="00D3189B">
        <w:rPr>
          <w:sz w:val="18"/>
          <w:szCs w:val="18"/>
        </w:rPr>
        <w:t>najmenej jeden rok, ak ide o poistenca vo veku nad 20 rokov do 24 rokov,</w:t>
      </w:r>
    </w:p>
    <w:p w14:paraId="0B8CC4D9" w14:textId="77777777" w:rsidR="00FA29AF" w:rsidRPr="00D3189B" w:rsidRDefault="00FA29AF" w:rsidP="00D3189B">
      <w:pPr>
        <w:pStyle w:val="Odsekzoznamu"/>
        <w:numPr>
          <w:ilvl w:val="0"/>
          <w:numId w:val="14"/>
        </w:numPr>
        <w:pBdr>
          <w:top w:val="nil"/>
          <w:left w:val="nil"/>
          <w:bottom w:val="nil"/>
          <w:right w:val="nil"/>
          <w:between w:val="nil"/>
        </w:pBdr>
        <w:spacing w:after="0" w:line="240" w:lineRule="auto"/>
        <w:jc w:val="left"/>
        <w:rPr>
          <w:sz w:val="18"/>
          <w:szCs w:val="18"/>
        </w:rPr>
      </w:pPr>
      <w:r w:rsidRPr="00D3189B">
        <w:rPr>
          <w:sz w:val="18"/>
          <w:szCs w:val="18"/>
        </w:rPr>
        <w:t>najmenej dva roky, ak ide o poistenca vo veku nad 24 rokov do 28 rokov veku,</w:t>
      </w:r>
    </w:p>
    <w:p w14:paraId="32685FF2" w14:textId="77777777" w:rsidR="00FA29AF" w:rsidRPr="00D3189B" w:rsidRDefault="00FA29AF" w:rsidP="00D3189B">
      <w:pPr>
        <w:pStyle w:val="Odsekzoznamu"/>
        <w:numPr>
          <w:ilvl w:val="0"/>
          <w:numId w:val="14"/>
        </w:numPr>
        <w:pBdr>
          <w:top w:val="nil"/>
          <w:left w:val="nil"/>
          <w:bottom w:val="nil"/>
          <w:right w:val="nil"/>
          <w:between w:val="nil"/>
        </w:pBdr>
        <w:spacing w:after="0" w:line="240" w:lineRule="auto"/>
        <w:jc w:val="left"/>
        <w:rPr>
          <w:sz w:val="18"/>
          <w:szCs w:val="18"/>
        </w:rPr>
      </w:pPr>
      <w:r w:rsidRPr="00D3189B">
        <w:rPr>
          <w:sz w:val="18"/>
          <w:szCs w:val="18"/>
        </w:rPr>
        <w:t>najmenej päť rokov, ak ide o poistenca vo veku nad 28 rokov do 34 rokov veku,</w:t>
      </w:r>
    </w:p>
    <w:p w14:paraId="693599B5" w14:textId="77777777" w:rsidR="00FA29AF" w:rsidRPr="00D3189B" w:rsidRDefault="00FA29AF" w:rsidP="00D3189B">
      <w:pPr>
        <w:pStyle w:val="Odsekzoznamu"/>
        <w:numPr>
          <w:ilvl w:val="0"/>
          <w:numId w:val="14"/>
        </w:numPr>
        <w:pBdr>
          <w:top w:val="nil"/>
          <w:left w:val="nil"/>
          <w:bottom w:val="nil"/>
          <w:right w:val="nil"/>
          <w:between w:val="nil"/>
        </w:pBdr>
        <w:spacing w:after="0" w:line="240" w:lineRule="auto"/>
        <w:jc w:val="left"/>
        <w:rPr>
          <w:sz w:val="18"/>
          <w:szCs w:val="18"/>
        </w:rPr>
      </w:pPr>
      <w:r w:rsidRPr="00D3189B">
        <w:rPr>
          <w:sz w:val="18"/>
          <w:szCs w:val="18"/>
        </w:rPr>
        <w:t>najmenej osem rokov, ak ide o poistenca vo veku nad 34 rokov do 40 rokov veku,</w:t>
      </w:r>
    </w:p>
    <w:p w14:paraId="4B582195" w14:textId="0001B6A5" w:rsidR="00FA29AF" w:rsidRPr="00D3189B" w:rsidRDefault="00FA29AF" w:rsidP="00D3189B">
      <w:pPr>
        <w:pStyle w:val="Odsekzoznamu"/>
        <w:numPr>
          <w:ilvl w:val="0"/>
          <w:numId w:val="14"/>
        </w:numPr>
        <w:pBdr>
          <w:top w:val="nil"/>
          <w:left w:val="nil"/>
          <w:bottom w:val="nil"/>
          <w:right w:val="nil"/>
          <w:between w:val="nil"/>
        </w:pBdr>
        <w:spacing w:after="0" w:line="240" w:lineRule="auto"/>
        <w:jc w:val="left"/>
        <w:rPr>
          <w:sz w:val="18"/>
          <w:szCs w:val="18"/>
        </w:rPr>
      </w:pPr>
      <w:r w:rsidRPr="00D3189B">
        <w:rPr>
          <w:sz w:val="18"/>
          <w:szCs w:val="18"/>
        </w:rPr>
        <w:t>najmenej desať rokov, ak ide o poistenca vo veku nad 40 rokov do 45 rokov veku,</w:t>
      </w:r>
    </w:p>
    <w:p w14:paraId="44A36AC5" w14:textId="79DB200A" w:rsidR="00FA29AF" w:rsidRPr="00225D12" w:rsidRDefault="00FA29AF" w:rsidP="00D3189B">
      <w:pPr>
        <w:pStyle w:val="Odsekzoznamu"/>
        <w:numPr>
          <w:ilvl w:val="0"/>
          <w:numId w:val="14"/>
        </w:numPr>
        <w:pBdr>
          <w:top w:val="nil"/>
          <w:left w:val="nil"/>
          <w:bottom w:val="nil"/>
          <w:right w:val="nil"/>
          <w:between w:val="nil"/>
        </w:pBdr>
        <w:spacing w:after="0" w:line="240" w:lineRule="auto"/>
        <w:jc w:val="left"/>
        <w:rPr>
          <w:szCs w:val="18"/>
        </w:rPr>
      </w:pPr>
      <w:r w:rsidRPr="00D3189B">
        <w:rPr>
          <w:sz w:val="18"/>
          <w:szCs w:val="18"/>
        </w:rPr>
        <w:t>najmenej 15 rokov, ak ide o poistenca vo veku nad 45 rokov veku.</w:t>
      </w:r>
    </w:p>
  </w:footnote>
  <w:footnote w:id="309">
    <w:p w14:paraId="778CD351" w14:textId="77777777" w:rsidR="00FA29AF" w:rsidRPr="00FD7002" w:rsidRDefault="00FA29AF" w:rsidP="00C6200E">
      <w:pPr>
        <w:pStyle w:val="Textpoznmkypodiarou"/>
        <w:rPr>
          <w:szCs w:val="18"/>
        </w:rPr>
      </w:pPr>
      <w:r w:rsidRPr="00FD7002">
        <w:rPr>
          <w:rStyle w:val="Odkaznapoznmkupodiarou"/>
          <w:szCs w:val="18"/>
        </w:rPr>
        <w:footnoteRef/>
      </w:r>
      <w:r w:rsidRPr="00FD7002">
        <w:rPr>
          <w:szCs w:val="18"/>
        </w:rPr>
        <w:t xml:space="preserve"> </w:t>
      </w:r>
      <w:r w:rsidRPr="00FD7002">
        <w:rPr>
          <w:rFonts w:cs="Segoe UI"/>
          <w:bCs/>
          <w:color w:val="000000"/>
          <w:szCs w:val="18"/>
          <w:shd w:val="clear" w:color="auto" w:fill="FFFFFF"/>
        </w:rPr>
        <w:t>§ 9 zákona č. 5/2004</w:t>
      </w:r>
    </w:p>
  </w:footnote>
  <w:footnote w:id="310">
    <w:p w14:paraId="5D550466" w14:textId="56E8A9DB" w:rsidR="00FA29AF" w:rsidRPr="00FD7002" w:rsidRDefault="00FA29AF" w:rsidP="0052580F">
      <w:pPr>
        <w:pStyle w:val="Textpoznmkypodiarou"/>
        <w:rPr>
          <w:szCs w:val="18"/>
        </w:rPr>
      </w:pPr>
      <w:r w:rsidRPr="00FD7002">
        <w:rPr>
          <w:rStyle w:val="Odkaznapoznmkupodiarou"/>
          <w:szCs w:val="18"/>
        </w:rPr>
        <w:footnoteRef/>
      </w:r>
      <w:r w:rsidRPr="00FD7002">
        <w:rPr>
          <w:szCs w:val="18"/>
        </w:rPr>
        <w:t xml:space="preserve"> Rozdiel medzi mierou zamestnanosti invalidných dôchodcov podľa individuálnych údajov Sociálnej poisťovne a mierou zamestnanosti osôb so zdravotným postihnutím podľa údajov zo zisťovania EU SILC pravdepodobne súvisí s tým, že údaje</w:t>
      </w:r>
      <w:r>
        <w:rPr>
          <w:szCs w:val="18"/>
        </w:rPr>
        <w:t xml:space="preserve"> </w:t>
      </w:r>
      <w:r w:rsidRPr="00FD7002">
        <w:rPr>
          <w:szCs w:val="18"/>
        </w:rPr>
        <w:t xml:space="preserve">EU SILC zahŕňajú väčšiu skupinu ľudí s rôznymi mierami obmedzenia aktivít z dôvodu zdravotných problémov, vrátane tých, ktorí nespĺňajú kritéria invalidity. Podľa EU SILC malo v roku 2016 zdravotné postihnutie </w:t>
      </w:r>
      <w:r w:rsidRPr="00FD7002">
        <w:rPr>
          <w:rFonts w:cstheme="minorHAnsi"/>
          <w:color w:val="000000"/>
          <w:szCs w:val="18"/>
        </w:rPr>
        <w:t xml:space="preserve">29,4 % populácie, pričom podiel invalidných dôchodcov na celkovej populácii (vo veku 20-64 rokov) tvoril len 7,2 %. </w:t>
      </w:r>
    </w:p>
  </w:footnote>
  <w:footnote w:id="311">
    <w:p w14:paraId="677DDD65" w14:textId="5CC88173"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Výnimkou sú neúplné rodiny, ktoré vznikli dlhodobým pobytom jedného z partnerov/manželov v </w:t>
      </w:r>
      <w:r w:rsidRPr="00D37212">
        <w:rPr>
          <w:szCs w:val="18"/>
        </w:rPr>
        <w:t>zahraničí (</w:t>
      </w:r>
      <w:r w:rsidRPr="00225D12">
        <w:rPr>
          <w:szCs w:val="18"/>
        </w:rPr>
        <w:fldChar w:fldCharType="begin"/>
      </w:r>
      <w:r w:rsidRPr="00D37212">
        <w:rPr>
          <w:szCs w:val="18"/>
        </w:rPr>
        <w:instrText xml:space="preserve"> REF _Ref21086370 \h  \* MERGEFORMAT </w:instrText>
      </w:r>
      <w:r w:rsidRPr="00225D12">
        <w:rPr>
          <w:szCs w:val="18"/>
        </w:rPr>
      </w:r>
      <w:r w:rsidRPr="00225D12">
        <w:rPr>
          <w:szCs w:val="18"/>
        </w:rPr>
        <w:fldChar w:fldCharType="separate"/>
      </w:r>
      <w:r w:rsidRPr="00FA29AF">
        <w:rPr>
          <w:iCs/>
          <w:szCs w:val="18"/>
        </w:rPr>
        <w:t>Box 13</w:t>
      </w:r>
      <w:r w:rsidRPr="00225D12">
        <w:rPr>
          <w:szCs w:val="18"/>
        </w:rPr>
        <w:fldChar w:fldCharType="end"/>
      </w:r>
      <w:r w:rsidRPr="00FD7002">
        <w:rPr>
          <w:szCs w:val="18"/>
        </w:rPr>
        <w:t>).</w:t>
      </w:r>
    </w:p>
  </w:footnote>
  <w:footnote w:id="312">
    <w:p w14:paraId="62A36812" w14:textId="4B084A1A"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Aktuálnejšie</w:t>
      </w:r>
      <w:r>
        <w:rPr>
          <w:szCs w:val="18"/>
        </w:rPr>
        <w:t xml:space="preserve"> medzinárodné</w:t>
      </w:r>
      <w:r w:rsidRPr="00FD7002">
        <w:rPr>
          <w:szCs w:val="18"/>
        </w:rPr>
        <w:t xml:space="preserve"> údaje o zamestnanosti matiek s mladými deťmi nie sú verejne dostupné.</w:t>
      </w:r>
    </w:p>
  </w:footnote>
  <w:footnote w:id="313">
    <w:p w14:paraId="31DC6876" w14:textId="4484D3DB"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V rovnakom roku bolo v údajoch VZPS zamestnaných 78 % osamelých matiek a 64 % matiek v úplných rodinách. Rozdiel medzi týmito zdrojmi nemožno pripísať rozdielnej definícii neúplnej rodiny, keďže rodina alebo domácnosť sú v oboch prípadoch definované na základe spoločného bývania a zdieľania nákladov. Pravdepodobným dôvodom rozdielu je nedostatočná reprezentatívnosť VZPS, čo sa týka neúplných rodín. Kým vo VZPS v roku 2011 zhruba 1,6 % populácie vo veku 15 až 64 rokov žilo v neúplnej </w:t>
      </w:r>
      <w:r>
        <w:rPr>
          <w:szCs w:val="18"/>
        </w:rPr>
        <w:t>rodine s deťmi, podľa údajov zo </w:t>
      </w:r>
      <w:r w:rsidRPr="00FD7002">
        <w:rPr>
          <w:szCs w:val="18"/>
        </w:rPr>
        <w:t>sčítania obyvateľstva v neúplných rodinách s deťmi žilo až 7 % celkovej populácie Slovenska.</w:t>
      </w:r>
    </w:p>
  </w:footnote>
  <w:footnote w:id="314">
    <w:p w14:paraId="6FA03C40" w14:textId="77777777"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Nezosobášený pár žijúci v jednej domácnosti je považovaný za úplnú rodinu. Naopak žena s deťmi, ktorej manžel žije v inej domácnosti je považovaná za neúplnú rodinu.</w:t>
      </w:r>
    </w:p>
  </w:footnote>
  <w:footnote w:id="315">
    <w:p w14:paraId="773FE8A6" w14:textId="1FCB05D0" w:rsidR="00FA29AF" w:rsidRPr="00FD7002" w:rsidRDefault="00FA29AF" w:rsidP="006B6EB7">
      <w:pPr>
        <w:pStyle w:val="Textpoznmkypodiarou"/>
        <w:rPr>
          <w:szCs w:val="18"/>
        </w:rPr>
      </w:pPr>
      <w:r w:rsidRPr="00FD7002">
        <w:rPr>
          <w:rStyle w:val="Odkaznapoznmkupodiarou"/>
          <w:szCs w:val="18"/>
        </w:rPr>
        <w:footnoteRef/>
      </w:r>
      <w:r w:rsidRPr="00FD7002">
        <w:rPr>
          <w:szCs w:val="18"/>
        </w:rPr>
        <w:t xml:space="preserve"> Správa o činnosti komisára pre osoby so zdravotným postihnutím za rok 2016</w:t>
      </w:r>
      <w:r>
        <w:rPr>
          <w:szCs w:val="18"/>
        </w:rPr>
        <w:t xml:space="preserve">. </w:t>
      </w:r>
      <w:r w:rsidRPr="00AF7D8B">
        <w:rPr>
          <w:szCs w:val="18"/>
        </w:rPr>
        <w:t>Pri úradoch práce, ktoré v monitoringu vykazovali bezbariérový prístup, nebolo zisťované, či je tomu tak na všetkých pracoviskách, preto môže b</w:t>
      </w:r>
      <w:r>
        <w:rPr>
          <w:szCs w:val="18"/>
        </w:rPr>
        <w:t>yť skutočný počet pracovísk bez </w:t>
      </w:r>
      <w:r w:rsidRPr="00AF7D8B">
        <w:rPr>
          <w:szCs w:val="18"/>
        </w:rPr>
        <w:t>bezbariérového prístupu ešte vyšší.</w:t>
      </w:r>
    </w:p>
  </w:footnote>
  <w:footnote w:id="316">
    <w:p w14:paraId="6B444124" w14:textId="7332F3AE"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73 % z tejto sumy bolo financovaných zo zdrojov EŠIF a spolufinancovania. Táto suma zahŕňa</w:t>
      </w:r>
      <w:r>
        <w:rPr>
          <w:szCs w:val="18"/>
        </w:rPr>
        <w:t xml:space="preserve"> aj výdavky na AOTP zamerané na </w:t>
      </w:r>
      <w:r w:rsidRPr="00FD7002">
        <w:rPr>
          <w:szCs w:val="18"/>
        </w:rPr>
        <w:t>zdravotne znevýhodnených UoZ.</w:t>
      </w:r>
    </w:p>
  </w:footnote>
  <w:footnote w:id="317">
    <w:p w14:paraId="138DD6E6" w14:textId="1AAFD19D" w:rsidR="00FA29AF" w:rsidRPr="00FD7002" w:rsidRDefault="00FA29AF" w:rsidP="00B047B6">
      <w:pPr>
        <w:pStyle w:val="Textpoznmkypodiarou"/>
        <w:rPr>
          <w:szCs w:val="18"/>
        </w:rPr>
      </w:pPr>
      <w:r w:rsidRPr="00FD7002">
        <w:rPr>
          <w:rStyle w:val="Odkaznapoznmkupodiarou"/>
          <w:szCs w:val="18"/>
        </w:rPr>
        <w:footnoteRef/>
      </w:r>
      <w:r>
        <w:rPr>
          <w:szCs w:val="18"/>
        </w:rPr>
        <w:t xml:space="preserve"> 90 % v roku 2017 a 93 % v roku 2018. Projekt KOMPAS sa začal väčšou mierou (34 %) podieľať na výdavkoch na vzdelávanie až v roku 2018.</w:t>
      </w:r>
    </w:p>
  </w:footnote>
  <w:footnote w:id="318">
    <w:p w14:paraId="48D72139" w14:textId="77777777"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Nižší pozorovaný efekt u žien mohlo spôsobiť najmä absolvovanie kurzov opatrovania. V tomto prípade však výsledok mohol byť skreslený odchodom niektorých absolventiek pracovať do zahraničia. </w:t>
      </w:r>
    </w:p>
  </w:footnote>
  <w:footnote w:id="319">
    <w:p w14:paraId="71B3E0CA" w14:textId="0E03BE1C" w:rsidR="00FA29AF" w:rsidRPr="00FD7002" w:rsidRDefault="00FA29AF" w:rsidP="00B047B6">
      <w:pPr>
        <w:pStyle w:val="Textpoznmkypodiarou"/>
        <w:rPr>
          <w:szCs w:val="18"/>
        </w:rPr>
      </w:pPr>
      <w:r w:rsidRPr="00FD7002">
        <w:rPr>
          <w:rStyle w:val="Odkaznapoznmkupodiarou"/>
          <w:szCs w:val="18"/>
        </w:rPr>
        <w:footnoteRef/>
      </w:r>
      <w:r w:rsidRPr="00FD7002">
        <w:rPr>
          <w:szCs w:val="18"/>
        </w:rPr>
        <w:t xml:space="preserve"> Účasť na vzdelávacom kurze v rámci REPAS</w:t>
      </w:r>
      <w:r>
        <w:rPr>
          <w:szCs w:val="18"/>
        </w:rPr>
        <w:t xml:space="preserve"> a KOMPAS</w:t>
      </w:r>
      <w:r w:rsidRPr="00FD7002">
        <w:rPr>
          <w:szCs w:val="18"/>
        </w:rPr>
        <w:t xml:space="preserve"> je na rozhodnutí samotného uchádzača, ktorý si konkrétny kurz a poskytovateľa vyberá z vlastnej iniciatívy.</w:t>
      </w:r>
      <w:r>
        <w:rPr>
          <w:szCs w:val="18"/>
        </w:rPr>
        <w:t xml:space="preserve"> Štát za účastníka kurzu hradí poskytovateľovi kurzovné a účastníkovi poskytuje príspevok na stravu a dopravu v hodnote 4,64 eur za každý absolvovaný deň kurzu.</w:t>
      </w:r>
    </w:p>
  </w:footnote>
  <w:footnote w:id="320">
    <w:p w14:paraId="0FC80BE3" w14:textId="3880CEAF" w:rsidR="00FA29AF" w:rsidRDefault="00FA29AF">
      <w:pPr>
        <w:pStyle w:val="Textpoznmkypodiarou"/>
      </w:pPr>
      <w:r>
        <w:rPr>
          <w:rStyle w:val="Odkaznapoznmkupodiarou"/>
        </w:rPr>
        <w:footnoteRef/>
      </w:r>
      <w:r>
        <w:t xml:space="preserve"> Príspevok na podporu rozvoja miestnej a regionálnej zamestnanosti podľa § 50j zákona č. 5/ 2004 Z. z. o službách zamestnanosti.</w:t>
      </w:r>
    </w:p>
  </w:footnote>
  <w:footnote w:id="321">
    <w:p w14:paraId="4130531A" w14:textId="5C47568D"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Interná norma č. IN – 039/2019 „Metodické usmernenie k uplatňovaniu jednotného postupu úradov práce, sociálnych vecí a rodiny pri zabezpečovaní výkonu oddelenia služieb pre občana pri sprostredkovaní</w:t>
      </w:r>
      <w:r>
        <w:rPr>
          <w:szCs w:val="18"/>
        </w:rPr>
        <w:t xml:space="preserve"> </w:t>
      </w:r>
      <w:r w:rsidRPr="00FD7002">
        <w:rPr>
          <w:szCs w:val="18"/>
        </w:rPr>
        <w:t>zamestnania, pri uplatňovaní pomoci v hmotnej núdzi a štátnych sociálnych dávok.“</w:t>
      </w:r>
    </w:p>
  </w:footnote>
  <w:footnote w:id="322">
    <w:p w14:paraId="75F0E3E3" w14:textId="2FDBB1ED"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w:t>
      </w:r>
      <w:hyperlink r:id="rId59" w:history="1">
        <w:r>
          <w:rPr>
            <w:rStyle w:val="Hypertextovprepojenie"/>
          </w:rPr>
          <w:t>http://www1.mfsr.sk/LoadDocument.aspx?categoryId=11154&amp;documentId=16566</w:t>
        </w:r>
      </w:hyperlink>
      <w:r>
        <w:t xml:space="preserve"> </w:t>
      </w:r>
    </w:p>
  </w:footnote>
  <w:footnote w:id="323">
    <w:p w14:paraId="356362B8" w14:textId="6CED59BA"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Medzi aktivačnými prácami v rámci AOTP a aktivačnými prácami organizovanými obcami sú aj ďalšie rozdiely v podmienkach nároku na účasť, čo sa týka dĺžky evidencie a v maximálnej možnej dĺžke účasti (Kureková a kol., 2013). Účastníci aktivačných prác, ktorí sú v systéme pomoci v hmotnej núdzi, majú nárok na aktivačný príspevok (podkapitola</w:t>
      </w:r>
      <w:r>
        <w:rPr>
          <w:szCs w:val="18"/>
        </w:rPr>
        <w:t xml:space="preserve"> </w:t>
      </w:r>
      <w:r>
        <w:rPr>
          <w:szCs w:val="18"/>
        </w:rPr>
        <w:fldChar w:fldCharType="begin"/>
      </w:r>
      <w:r>
        <w:rPr>
          <w:szCs w:val="18"/>
        </w:rPr>
        <w:instrText xml:space="preserve"> REF _Ref33439118 \r \h </w:instrText>
      </w:r>
      <w:r>
        <w:rPr>
          <w:szCs w:val="18"/>
        </w:rPr>
      </w:r>
      <w:r>
        <w:rPr>
          <w:szCs w:val="18"/>
        </w:rPr>
        <w:fldChar w:fldCharType="separate"/>
      </w:r>
      <w:r>
        <w:rPr>
          <w:szCs w:val="18"/>
        </w:rPr>
        <w:t>8.1</w:t>
      </w:r>
      <w:r>
        <w:rPr>
          <w:szCs w:val="18"/>
        </w:rPr>
        <w:fldChar w:fldCharType="end"/>
      </w:r>
      <w:r w:rsidRPr="00FD7002">
        <w:rPr>
          <w:szCs w:val="18"/>
        </w:rPr>
        <w:t>).</w:t>
      </w:r>
    </w:p>
  </w:footnote>
  <w:footnote w:id="324">
    <w:p w14:paraId="734E5DB9" w14:textId="77777777" w:rsidR="00FA29AF" w:rsidRDefault="00FA29AF">
      <w:pPr>
        <w:pStyle w:val="Textpoznmkypodiarou"/>
        <w:rPr>
          <w:szCs w:val="18"/>
        </w:rPr>
      </w:pPr>
      <w:r w:rsidRPr="00FD7002">
        <w:rPr>
          <w:rStyle w:val="Odkaznapoznmkupodiarou"/>
          <w:szCs w:val="18"/>
        </w:rPr>
        <w:footnoteRef/>
      </w:r>
      <w:r w:rsidRPr="00FD7002">
        <w:rPr>
          <w:szCs w:val="18"/>
        </w:rPr>
        <w:t xml:space="preserve"> V delení nástrojov AOTP podľa Eur</w:t>
      </w:r>
      <w:r>
        <w:rPr>
          <w:szCs w:val="18"/>
        </w:rPr>
        <w:t>ópskej komisie</w:t>
      </w:r>
      <w:r w:rsidRPr="00FD7002">
        <w:rPr>
          <w:szCs w:val="18"/>
        </w:rPr>
        <w:t xml:space="preserve"> sú aktivačné práce zaradené v rámci systému AOTP pod typ nástrojov Priama tvorba pracovných miest, spolu s dobrovoľníckou činnosťou</w:t>
      </w:r>
      <w:r>
        <w:rPr>
          <w:szCs w:val="18"/>
        </w:rPr>
        <w:t xml:space="preserve">: </w:t>
      </w:r>
    </w:p>
    <w:p w14:paraId="40CEEC02" w14:textId="206E6B42" w:rsidR="00FA29AF" w:rsidRPr="00FD7002" w:rsidRDefault="000D2802">
      <w:pPr>
        <w:pStyle w:val="Textpoznmkypodiarou"/>
        <w:rPr>
          <w:szCs w:val="18"/>
        </w:rPr>
      </w:pPr>
      <w:hyperlink r:id="rId60" w:history="1">
        <w:r w:rsidR="00FA29AF">
          <w:rPr>
            <w:rStyle w:val="Hypertextovprepojenie"/>
          </w:rPr>
          <w:t>https://ec.europa.eu/social/main.jsp?catId=738&amp;langId=en&amp;pubId=8126&amp;furtherPubs=yes</w:t>
        </w:r>
      </w:hyperlink>
    </w:p>
  </w:footnote>
  <w:footnote w:id="325">
    <w:p w14:paraId="2A5D5C71" w14:textId="7119B0CE" w:rsidR="00FA29AF" w:rsidRDefault="00FA29AF" w:rsidP="00120396">
      <w:pPr>
        <w:pStyle w:val="Textpoznmkypodiarou"/>
      </w:pPr>
      <w:r>
        <w:rPr>
          <w:rStyle w:val="Odkaznapoznmkupodiarou"/>
        </w:rPr>
        <w:footnoteRef/>
      </w:r>
      <w:r>
        <w:t xml:space="preserve"> Hoci aktivačné práce v rámci AOTP tvoria menšinu účastníkov aktivačných prác, je dôvod očakávať, že efektívnosť druhej koľaje (na základe dohody medzi UoZ a obcou) je ešte nižšia. V nej totiž obce nedostávajú príspevok od štátu na úhradu časti nákladov, čo podľa informácií z terénu obmedzuje ich možnosť poskytovať sofistikovanejšiu prácu s vyššou pridanou hodnotou a možnosťami pre účastníkov získať nové zručnosti (Kureková a spol., 2013).</w:t>
      </w:r>
    </w:p>
  </w:footnote>
  <w:footnote w:id="326">
    <w:p w14:paraId="5AB028C0" w14:textId="77777777" w:rsidR="00FA29AF" w:rsidRPr="00FD7002" w:rsidRDefault="00FA29AF" w:rsidP="00120396">
      <w:pPr>
        <w:pStyle w:val="Textpoznmkypodiarou"/>
        <w:rPr>
          <w:szCs w:val="18"/>
        </w:rPr>
      </w:pPr>
      <w:r w:rsidRPr="00FD7002">
        <w:rPr>
          <w:rStyle w:val="Odkaznapoznmkupodiarou"/>
          <w:szCs w:val="18"/>
        </w:rPr>
        <w:footnoteRef/>
      </w:r>
      <w:r w:rsidRPr="00FD7002">
        <w:rPr>
          <w:szCs w:val="18"/>
        </w:rPr>
        <w:t xml:space="preserve"> Zákon 5/2004 Z.z. o službách zamestnanosti §52 ods. 1.</w:t>
      </w:r>
    </w:p>
  </w:footnote>
  <w:footnote w:id="327">
    <w:p w14:paraId="33183574" w14:textId="77777777" w:rsidR="00FA29AF" w:rsidRPr="00FD7002" w:rsidRDefault="00FA29AF" w:rsidP="00120396">
      <w:pPr>
        <w:pStyle w:val="Textpoznmkypodiarou"/>
        <w:rPr>
          <w:szCs w:val="18"/>
        </w:rPr>
      </w:pPr>
      <w:r w:rsidRPr="00FD7002">
        <w:rPr>
          <w:rStyle w:val="Odkaznapoznmkupodiarou"/>
          <w:szCs w:val="18"/>
        </w:rPr>
        <w:footnoteRef/>
      </w:r>
      <w:r w:rsidRPr="00FD7002">
        <w:rPr>
          <w:szCs w:val="18"/>
        </w:rPr>
        <w:t xml:space="preserve"> Pre účel tohto výpočtu boli zahrnuté iba pracovné pomery resp. SZČO v trvaní aspoň 6 mesiacov podľa údajov Sociálnej poisťovne.</w:t>
      </w:r>
    </w:p>
  </w:footnote>
  <w:footnote w:id="328">
    <w:p w14:paraId="1DF5BE34" w14:textId="5F9995E2" w:rsidR="00FA29AF" w:rsidRPr="00864D0D" w:rsidRDefault="00FA29AF" w:rsidP="00FD7002">
      <w:pPr>
        <w:pStyle w:val="Textpoznmkypodiarou"/>
        <w:rPr>
          <w:szCs w:val="18"/>
        </w:rPr>
      </w:pPr>
      <w:r w:rsidRPr="00864D0D">
        <w:rPr>
          <w:rStyle w:val="Odkaznapoznmkupodiarou"/>
          <w:szCs w:val="18"/>
        </w:rPr>
        <w:footnoteRef/>
      </w:r>
      <w:r w:rsidRPr="00864D0D">
        <w:rPr>
          <w:szCs w:val="18"/>
        </w:rPr>
        <w:t xml:space="preserve"> </w:t>
      </w:r>
      <w:r w:rsidRPr="00864D0D">
        <w:rPr>
          <w:rFonts w:cs="NeueHaasGroteskText W02"/>
          <w:szCs w:val="18"/>
        </w:rPr>
        <w:t xml:space="preserve">Výnimkou je </w:t>
      </w:r>
      <w:r w:rsidRPr="00864D0D">
        <w:rPr>
          <w:szCs w:val="18"/>
        </w:rPr>
        <w:t>závislá činnosť s príjmom najmenej vo výške mesačnej minimálnej mzdy, pri ktorej je aktivačný príspevok vyšší.</w:t>
      </w:r>
    </w:p>
  </w:footnote>
  <w:footnote w:id="329">
    <w:p w14:paraId="22687E3F" w14:textId="77777777" w:rsidR="00FA29AF" w:rsidRDefault="00FA29AF">
      <w:pPr>
        <w:pStyle w:val="Textpoznmkypodiarou"/>
      </w:pPr>
      <w:r>
        <w:rPr>
          <w:rStyle w:val="Odkaznapoznmkupodiarou"/>
        </w:rPr>
        <w:footnoteRef/>
      </w:r>
      <w:r>
        <w:t xml:space="preserve"> Príklady aktivačných prác s vyššou pridanou hodnotou sú uvedené v publikácii Dobrá prax aktivačnej práce:</w:t>
      </w:r>
    </w:p>
    <w:p w14:paraId="71B5BBEC" w14:textId="665B05C8" w:rsidR="00FA29AF" w:rsidRPr="00D75C23" w:rsidRDefault="000D2802">
      <w:pPr>
        <w:pStyle w:val="Textpoznmkypodiarou"/>
      </w:pPr>
      <w:hyperlink r:id="rId61" w:history="1">
        <w:r w:rsidR="00FA29AF">
          <w:rPr>
            <w:rStyle w:val="Hypertextovprepojenie"/>
          </w:rPr>
          <w:t>https://www.minv.sk/swift_data/source/romovia/publikacie/Dobra%20prax%20aktivacnej%20prace.pdf</w:t>
        </w:r>
      </w:hyperlink>
    </w:p>
  </w:footnote>
  <w:footnote w:id="330">
    <w:p w14:paraId="2C9B194F" w14:textId="77777777" w:rsidR="00FA29AF" w:rsidRPr="00FD7002" w:rsidRDefault="00FA29AF" w:rsidP="00FD7002">
      <w:pPr>
        <w:pStyle w:val="Textpoznmkypodiarou"/>
        <w:rPr>
          <w:rFonts w:eastAsiaTheme="minorEastAsia" w:cs="Times New Roman"/>
          <w:szCs w:val="18"/>
          <w:lang w:eastAsia="sk-SK"/>
        </w:rPr>
      </w:pPr>
      <w:r w:rsidRPr="00FD7002">
        <w:rPr>
          <w:rStyle w:val="Odkaznapoznmkupodiarou"/>
          <w:rFonts w:cs="Times New Roman"/>
          <w:szCs w:val="18"/>
        </w:rPr>
        <w:footnoteRef/>
      </w:r>
      <w:r w:rsidRPr="00FD7002">
        <w:rPr>
          <w:rFonts w:cs="Times New Roman"/>
          <w:szCs w:val="18"/>
        </w:rPr>
        <w:t xml:space="preserve"> </w:t>
      </w:r>
      <w:r w:rsidRPr="00FD7002">
        <w:rPr>
          <w:rFonts w:eastAsiaTheme="minorEastAsia" w:cs="Times New Roman"/>
          <w:szCs w:val="18"/>
          <w:lang w:eastAsia="sk-SK"/>
        </w:rPr>
        <w:t>§ 58 ods.5, Zákona o SZ</w:t>
      </w:r>
    </w:p>
  </w:footnote>
  <w:footnote w:id="331">
    <w:p w14:paraId="5526C311" w14:textId="77777777"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APZ majú zhotovovať výročné správy, z 39 platných agentúr však poslalo výročnú správu len 11. Nie je jasné, ktoré agentúry sa zaoberajú výlučne odborným poradenstvom, resp. vzdelávaním, a ktoré pracujú priamo s klientmi (občanmi so zdravotným postihnutím).</w:t>
      </w:r>
    </w:p>
  </w:footnote>
  <w:footnote w:id="332">
    <w:p w14:paraId="4B163512" w14:textId="66DE3A21" w:rsidR="00FA29AF" w:rsidRPr="00FD7002" w:rsidRDefault="00FA29AF" w:rsidP="00FD7002">
      <w:pPr>
        <w:pStyle w:val="Textpoznmkypodiarou"/>
        <w:rPr>
          <w:rFonts w:cs="Times New Roman"/>
          <w:szCs w:val="18"/>
        </w:rPr>
      </w:pPr>
      <w:r w:rsidRPr="00FD7002">
        <w:rPr>
          <w:rStyle w:val="Odkaznapoznmkupodiarou"/>
          <w:rFonts w:cs="Times New Roman"/>
          <w:szCs w:val="18"/>
        </w:rPr>
        <w:footnoteRef/>
      </w:r>
      <w:r w:rsidRPr="00FD7002">
        <w:rPr>
          <w:rFonts w:cs="Times New Roman"/>
          <w:szCs w:val="18"/>
        </w:rPr>
        <w:t xml:space="preserve"> </w:t>
      </w:r>
      <w:r w:rsidRPr="00FD7002">
        <w:rPr>
          <w:rFonts w:eastAsiaTheme="minorEastAsia" w:cs="Times New Roman"/>
          <w:szCs w:val="18"/>
          <w:lang w:eastAsia="sk-SK"/>
        </w:rPr>
        <w:t xml:space="preserve">§58 Zákona o službách zamestnanosti. APZ môže od zamestnávateľa vyberať úhradu v dohodnutej výške za činnosti ako napríklad (i) </w:t>
      </w:r>
      <w:r w:rsidRPr="00FD7002">
        <w:rPr>
          <w:rFonts w:cs="Helvetica"/>
          <w:szCs w:val="18"/>
        </w:rPr>
        <w:t>poskytovanie odborného poradenstva zamestnávateľovi pri získavaní zamestnancov, ktorí sú občanmi so zdravotným postihnutím alebo dlhodobo nezamestnanými občanmi, a pri riešení problémov počas ich zamestnávania, (ii) vykonávanie výberu vhodného občana so zdravotným postihnutím alebo vhodného dlhodobo nezamestnaného občana na pracovné miesto na základe požiadaviek a nárokov zamestnávateľa, (iii) poskytovanie odborného poradenstva zamestnávateľovi pri úprave pracovného miesta a pracovných podmienok pri zamestnávaní konkrétneho občana so zdravotným postihnutím.</w:t>
      </w:r>
    </w:p>
  </w:footnote>
  <w:footnote w:id="333">
    <w:p w14:paraId="2DFEE1D6" w14:textId="77777777" w:rsidR="00FA29AF" w:rsidRPr="00FD7002" w:rsidRDefault="00FA29AF" w:rsidP="00FD7002">
      <w:pPr>
        <w:pStyle w:val="Textpoznmkypodiarou"/>
        <w:rPr>
          <w:rFonts w:cs="Times New Roman"/>
          <w:szCs w:val="18"/>
        </w:rPr>
      </w:pPr>
      <w:r w:rsidRPr="00FD7002">
        <w:rPr>
          <w:rStyle w:val="Odkaznapoznmkupodiarou"/>
          <w:rFonts w:cs="Times New Roman"/>
          <w:szCs w:val="18"/>
        </w:rPr>
        <w:footnoteRef/>
      </w:r>
      <w:r w:rsidRPr="00FD7002">
        <w:rPr>
          <w:rFonts w:cs="Times New Roman"/>
          <w:szCs w:val="18"/>
        </w:rPr>
        <w:t xml:space="preserve"> Zdroj: Výročné správy ÚPSVaR</w:t>
      </w:r>
    </w:p>
  </w:footnote>
  <w:footnote w:id="334">
    <w:p w14:paraId="262A909B" w14:textId="7364FB1D" w:rsidR="00FA29AF" w:rsidRPr="00FD7002" w:rsidRDefault="00FA29AF" w:rsidP="00FD7002">
      <w:pPr>
        <w:pStyle w:val="Textpoznmkypodiarou"/>
        <w:jc w:val="left"/>
        <w:rPr>
          <w:rFonts w:cs="Times New Roman"/>
          <w:szCs w:val="18"/>
        </w:rPr>
      </w:pPr>
      <w:r w:rsidRPr="00FD7002">
        <w:rPr>
          <w:rStyle w:val="Odkaznapoznmkupodiarou"/>
          <w:rFonts w:cs="Times New Roman"/>
          <w:szCs w:val="18"/>
        </w:rPr>
        <w:footnoteRef/>
      </w:r>
      <w:r w:rsidRPr="00FD7002">
        <w:rPr>
          <w:rFonts w:cs="Times New Roman"/>
          <w:szCs w:val="18"/>
        </w:rPr>
        <w:t xml:space="preserve"> Zdroj: </w:t>
      </w:r>
      <w:hyperlink r:id="rId62" w:history="1">
        <w:r w:rsidRPr="00FD7002">
          <w:rPr>
            <w:rStyle w:val="Hypertextovprepojenie"/>
            <w:rFonts w:cs="Times New Roman"/>
            <w:szCs w:val="18"/>
          </w:rPr>
          <w:t>https://www.upsvr.gov.sk/sluzby-zamestnanosti/nestatne-sluzby-zamestnanosti/agentury-podporovaneho-zamestnavania.html?page_id=13042</w:t>
        </w:r>
      </w:hyperlink>
      <w:r w:rsidRPr="00FD7002">
        <w:rPr>
          <w:rFonts w:cs="Times New Roman"/>
          <w:szCs w:val="18"/>
        </w:rPr>
        <w:t>, informácie o zaslaných Správach o činnosti za rok 2018 poskytol ÚPSVaR na vyžiadanie.</w:t>
      </w:r>
    </w:p>
  </w:footnote>
  <w:footnote w:id="335">
    <w:p w14:paraId="0C273D22" w14:textId="6A4770F9" w:rsidR="00FA29AF" w:rsidRDefault="00FA29AF">
      <w:pPr>
        <w:pStyle w:val="Textpoznmkypodiarou"/>
      </w:pPr>
      <w:r>
        <w:rPr>
          <w:rStyle w:val="Odkaznapoznmkupodiarou"/>
        </w:rPr>
        <w:footnoteRef/>
      </w:r>
      <w:r>
        <w:t xml:space="preserve"> </w:t>
      </w:r>
      <w:r w:rsidRPr="00410281">
        <w:t xml:space="preserve">MPSVR SR aktuálne pripravuje výzvu „Krok za krokom“, </w:t>
      </w:r>
      <w:r>
        <w:t xml:space="preserve">ktorej predmetom je </w:t>
      </w:r>
      <w:r w:rsidRPr="00410281">
        <w:t>individuáln</w:t>
      </w:r>
      <w:r>
        <w:t xml:space="preserve">a práca </w:t>
      </w:r>
      <w:r w:rsidRPr="00D35823">
        <w:t>so</w:t>
      </w:r>
      <w:r>
        <w:t xml:space="preserve"> </w:t>
      </w:r>
      <w:r w:rsidRPr="00D35823">
        <w:t>znevýhodnenými skupinami na trhu práce</w:t>
      </w:r>
      <w:r>
        <w:t>, kde sa rozšíri okruh oprávnených žiadateľov okrem agentúr podporovaného zamestnávania na vybrané subjekty (obce, neziskové organizácie, občianske združenia, cirkevné organizácie).</w:t>
      </w:r>
    </w:p>
    <w:p w14:paraId="37879B74" w14:textId="27973CE7" w:rsidR="00FA29AF" w:rsidRDefault="00FA29AF">
      <w:pPr>
        <w:pStyle w:val="Textpoznmkypodiarou"/>
      </w:pPr>
    </w:p>
  </w:footnote>
  <w:footnote w:id="336">
    <w:p w14:paraId="7F0EAD43" w14:textId="4CAAEFA1"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w:t>
      </w:r>
      <w:r w:rsidRPr="00FD7002">
        <w:rPr>
          <w:rFonts w:eastAsia="Arial Narrow" w:cs="Arial Narrow"/>
          <w:szCs w:val="18"/>
        </w:rPr>
        <w:t>Zákon č.</w:t>
      </w:r>
      <w:r w:rsidRPr="00FD7002">
        <w:rPr>
          <w:szCs w:val="18"/>
        </w:rPr>
        <w:t xml:space="preserve"> </w:t>
      </w:r>
      <w:r w:rsidRPr="00FD7002">
        <w:rPr>
          <w:rFonts w:eastAsia="Arial Narrow" w:cs="Arial Narrow"/>
          <w:szCs w:val="18"/>
        </w:rPr>
        <w:t>112/2018 Z. z</w:t>
      </w:r>
      <w:r>
        <w:rPr>
          <w:rFonts w:eastAsia="Arial Narrow" w:cs="Arial Narrow"/>
          <w:szCs w:val="18"/>
        </w:rPr>
        <w:t xml:space="preserve">. </w:t>
      </w:r>
    </w:p>
  </w:footnote>
  <w:footnote w:id="337">
    <w:p w14:paraId="7963950C" w14:textId="77777777"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w:t>
      </w:r>
      <w:hyperlink r:id="rId63" w:history="1">
        <w:r w:rsidRPr="00FD7002">
          <w:rPr>
            <w:rStyle w:val="Hypertextovprepojenie"/>
            <w:szCs w:val="18"/>
          </w:rPr>
          <w:t>https://www.employment.gov.sk/sk/informacie-media/aktuality/otvaranie-poradenskych-centier-socialnej-ekonomiky.html</w:t>
        </w:r>
      </w:hyperlink>
    </w:p>
  </w:footnote>
  <w:footnote w:id="338">
    <w:p w14:paraId="02FD47BC" w14:textId="77777777" w:rsidR="00FA29AF" w:rsidRPr="00FD7002" w:rsidRDefault="00FA29AF" w:rsidP="001F4453">
      <w:pPr>
        <w:pStyle w:val="Textpoznmkypodiarou"/>
        <w:rPr>
          <w:szCs w:val="18"/>
        </w:rPr>
      </w:pPr>
      <w:r w:rsidRPr="00FD7002">
        <w:rPr>
          <w:rStyle w:val="Odkaznapoznmkupodiarou"/>
          <w:szCs w:val="18"/>
        </w:rPr>
        <w:footnoteRef/>
      </w:r>
      <w:r w:rsidRPr="00FD7002">
        <w:rPr>
          <w:szCs w:val="18"/>
        </w:rPr>
        <w:t xml:space="preserve"> Na základe mikro-údajov UPSVARu</w:t>
      </w:r>
    </w:p>
  </w:footnote>
  <w:footnote w:id="339">
    <w:p w14:paraId="775DE510" w14:textId="0CC2DC67" w:rsidR="00FA29AF" w:rsidRPr="00F63247" w:rsidRDefault="00FA29AF" w:rsidP="00306088">
      <w:pPr>
        <w:pStyle w:val="Textpoznmkypodiarou"/>
      </w:pPr>
      <w:r>
        <w:rPr>
          <w:rStyle w:val="Odkaznapoznmkupodiarou"/>
        </w:rPr>
        <w:footnoteRef/>
      </w:r>
      <w:r>
        <w:t xml:space="preserve"> </w:t>
      </w:r>
      <w:r w:rsidRPr="00D3189B">
        <w:t xml:space="preserve">Novela zákona v roku </w:t>
      </w:r>
      <w:r>
        <w:t>2013</w:t>
      </w:r>
      <w:r w:rsidRPr="00D3189B">
        <w:t xml:space="preserve"> zmenila podmienky poskytovania príspevku na zriadenie chránenej dielne</w:t>
      </w:r>
      <w:r>
        <w:t xml:space="preserve"> alebo chráneného pracoviska (§ </w:t>
      </w:r>
      <w:r w:rsidRPr="00D3189B">
        <w:t xml:space="preserve">59). Kým pred zmenou bolo možné financovať celkovú cenu práce zamestnancov CHD/CHP aj cez </w:t>
      </w:r>
      <w:r>
        <w:t>§</w:t>
      </w:r>
      <w:r w:rsidRPr="00D3189B">
        <w:t xml:space="preserve"> 56</w:t>
      </w:r>
      <w:r>
        <w:t>, o</w:t>
      </w:r>
      <w:r w:rsidRPr="00D3189B">
        <w:t>d 1.5. 2013 s</w:t>
      </w:r>
      <w:r>
        <w:t xml:space="preserve">a tento príspevok </w:t>
      </w:r>
      <w:r w:rsidRPr="00D3189B">
        <w:t xml:space="preserve">poskytuje výlučne na úhradu nákladov na zriadenie pracovného miesta, bez nákladov na celkovú cenu práce. Celkovú cenu práce je teda možné financovať už len cez </w:t>
      </w:r>
      <w:r>
        <w:t>§</w:t>
      </w:r>
      <w:r w:rsidRPr="00D3189B">
        <w:t xml:space="preserve"> 60.</w:t>
      </w:r>
    </w:p>
  </w:footnote>
  <w:footnote w:id="340">
    <w:p w14:paraId="682986FA" w14:textId="77777777" w:rsidR="00FA29AF" w:rsidRPr="00FD7002" w:rsidRDefault="00FA29AF" w:rsidP="00306088">
      <w:pPr>
        <w:pStyle w:val="Textpoznmkypodiarou"/>
      </w:pPr>
      <w:r w:rsidRPr="00FD7002">
        <w:rPr>
          <w:vertAlign w:val="superscript"/>
        </w:rPr>
        <w:footnoteRef/>
      </w:r>
      <w:r w:rsidRPr="00FD7002">
        <w:rPr>
          <w:rFonts w:eastAsia="Calibri" w:cs="Calibri"/>
        </w:rPr>
        <w:t xml:space="preserve"> </w:t>
      </w:r>
      <w:r w:rsidRPr="00FD7002">
        <w:t>UPSVR</w:t>
      </w:r>
      <w:r>
        <w:t xml:space="preserve"> </w:t>
      </w:r>
    </w:p>
  </w:footnote>
  <w:footnote w:id="341">
    <w:p w14:paraId="1191DA80" w14:textId="77777777" w:rsidR="00FA29AF" w:rsidRPr="00FD7002" w:rsidRDefault="00FA29AF" w:rsidP="00E51E6C">
      <w:pPr>
        <w:pStyle w:val="Textpoznmkypodiarou"/>
      </w:pPr>
      <w:r w:rsidRPr="00FD7002">
        <w:rPr>
          <w:rStyle w:val="Odkaznapoznmkupodiarou"/>
          <w:szCs w:val="18"/>
        </w:rPr>
        <w:footnoteRef/>
      </w:r>
      <w:r w:rsidRPr="00FD7002">
        <w:t xml:space="preserve"> Výbor </w:t>
      </w:r>
      <w:r w:rsidRPr="0058243D">
        <w:t>OSN</w:t>
      </w:r>
      <w:r w:rsidRPr="00FD7002">
        <w:t xml:space="preserve"> pre práva osôb so zdravotným postihnutím: Záverečné odporúčania k východiskovej správe Slovenskej republiky (máj 2016). CRPD/C/SVK/CO/1: dostupné </w:t>
      </w:r>
      <w:hyperlink r:id="rId64" w:history="1">
        <w:r w:rsidRPr="00FD7002">
          <w:rPr>
            <w:rStyle w:val="Hypertextovprepojenie"/>
            <w:rFonts w:eastAsia="Arial Narrow" w:cs="Arial Narrow"/>
            <w:szCs w:val="18"/>
          </w:rPr>
          <w:t>tu</w:t>
        </w:r>
      </w:hyperlink>
    </w:p>
  </w:footnote>
  <w:footnote w:id="342">
    <w:p w14:paraId="559FE963" w14:textId="6D73056E" w:rsidR="00FA29AF" w:rsidRPr="00FB533B" w:rsidRDefault="00FA29AF" w:rsidP="00D3189B">
      <w:pPr>
        <w:pStyle w:val="Textpoznmkypodiarou"/>
        <w:rPr>
          <w:szCs w:val="18"/>
        </w:rPr>
      </w:pPr>
      <w:r>
        <w:rPr>
          <w:rStyle w:val="Odkaznapoznmkupodiarou"/>
        </w:rPr>
        <w:footnoteRef/>
      </w:r>
      <w:r>
        <w:t xml:space="preserve"> </w:t>
      </w:r>
      <w:r w:rsidRPr="00FB533B">
        <w:rPr>
          <w:szCs w:val="18"/>
        </w:rPr>
        <w:t>Poberateľov úplného ID v roku 2017 bolo 114 667 a čiastočného 145 200. Pre výpočet efektívneho podielu bol každý poberateľ úplného ID započítaný ako 3 osoby v súlade s možnosťami plnenia zákonnej povinnosti zamestnávať OZP (</w:t>
      </w:r>
      <w:r w:rsidRPr="00FB533B">
        <w:rPr>
          <w:szCs w:val="18"/>
        </w:rPr>
        <w:fldChar w:fldCharType="begin"/>
      </w:r>
      <w:r w:rsidRPr="00FB533B">
        <w:rPr>
          <w:szCs w:val="18"/>
        </w:rPr>
        <w:instrText xml:space="preserve"> REF _Ref15145698 \h  \* MERGEFORMAT </w:instrText>
      </w:r>
      <w:r w:rsidRPr="00FB533B">
        <w:rPr>
          <w:szCs w:val="18"/>
        </w:rPr>
      </w:r>
      <w:r w:rsidRPr="00FB533B">
        <w:rPr>
          <w:szCs w:val="18"/>
        </w:rPr>
        <w:fldChar w:fldCharType="separate"/>
      </w:r>
      <w:r w:rsidRPr="00FA29AF">
        <w:rPr>
          <w:szCs w:val="18"/>
        </w:rPr>
        <w:t>Tabuľka</w:t>
      </w:r>
      <w:r w:rsidRPr="00FA29AF">
        <w:rPr>
          <w:b/>
          <w:szCs w:val="18"/>
        </w:rPr>
        <w:t xml:space="preserve"> </w:t>
      </w:r>
      <w:r w:rsidRPr="00FA29AF">
        <w:rPr>
          <w:noProof/>
          <w:szCs w:val="18"/>
        </w:rPr>
        <w:t>25</w:t>
      </w:r>
      <w:r w:rsidRPr="00FB533B">
        <w:rPr>
          <w:szCs w:val="18"/>
        </w:rPr>
        <w:fldChar w:fldCharType="end"/>
      </w:r>
      <w:r w:rsidRPr="00FB533B">
        <w:rPr>
          <w:szCs w:val="18"/>
        </w:rPr>
        <w:t>). Zákonná povinnosť zamestnávať OZP sa navyše nevzťahuje iba na poberateľov ID, ale aj osoby, ktorým bola uznaná invalidita ale nezískali nárok na invalidný dôchodok (</w:t>
      </w:r>
      <w:r w:rsidRPr="00FB533B">
        <w:rPr>
          <w:szCs w:val="18"/>
        </w:rPr>
        <w:fldChar w:fldCharType="begin"/>
      </w:r>
      <w:r w:rsidRPr="00FB533B">
        <w:rPr>
          <w:szCs w:val="18"/>
        </w:rPr>
        <w:instrText xml:space="preserve"> REF _Ref21087645 \h  \* MERGEFORMAT </w:instrText>
      </w:r>
      <w:r w:rsidRPr="00FB533B">
        <w:rPr>
          <w:szCs w:val="18"/>
        </w:rPr>
      </w:r>
      <w:r w:rsidRPr="00FB533B">
        <w:rPr>
          <w:szCs w:val="18"/>
        </w:rPr>
        <w:fldChar w:fldCharType="separate"/>
      </w:r>
      <w:r w:rsidRPr="00FA29AF">
        <w:rPr>
          <w:rFonts w:eastAsia="Arial Narrow" w:cs="Arial Narrow"/>
          <w:iCs/>
          <w:szCs w:val="18"/>
        </w:rPr>
        <w:t>Box 16</w:t>
      </w:r>
      <w:r w:rsidRPr="00FB533B">
        <w:rPr>
          <w:szCs w:val="18"/>
        </w:rPr>
        <w:fldChar w:fldCharType="end"/>
      </w:r>
      <w:r w:rsidRPr="00FB533B">
        <w:rPr>
          <w:szCs w:val="18"/>
        </w:rPr>
        <w:t>).</w:t>
      </w:r>
    </w:p>
  </w:footnote>
  <w:footnote w:id="343">
    <w:p w14:paraId="7C59F67A" w14:textId="2B0B5FC7" w:rsidR="00FA29AF" w:rsidRPr="00FD7002" w:rsidRDefault="00FA29AF" w:rsidP="009422F6">
      <w:pPr>
        <w:pStyle w:val="Textpoznmkypodiarou"/>
      </w:pPr>
      <w:r w:rsidRPr="00FD7002">
        <w:rPr>
          <w:rStyle w:val="Odkaznapoznmkupodiarou"/>
          <w:szCs w:val="18"/>
        </w:rPr>
        <w:footnoteRef/>
      </w:r>
      <w:r w:rsidRPr="00FD7002">
        <w:t xml:space="preserve"> </w:t>
      </w:r>
      <w:r w:rsidRPr="009422F6">
        <w:rPr>
          <w:szCs w:val="18"/>
        </w:rPr>
        <w:t>Kozová, A. (</w:t>
      </w:r>
      <w:r w:rsidRPr="009422F6">
        <w:t>2019</w:t>
      </w:r>
      <w:r w:rsidRPr="009422F6">
        <w:rPr>
          <w:szCs w:val="18"/>
        </w:rPr>
        <w:t>):</w:t>
      </w:r>
      <w:r>
        <w:rPr>
          <w:szCs w:val="18"/>
        </w:rPr>
        <w:t xml:space="preserve"> </w:t>
      </w:r>
      <w:r w:rsidRPr="009422F6">
        <w:rPr>
          <w:szCs w:val="18"/>
        </w:rPr>
        <w:t>Práca s klientom v roku 2018. Centrum sociálnej a pracovnej rehabilitácie, Inštitút pre pracovnú rehabilitáciu občanom so zdravotným postihnutím.</w:t>
      </w:r>
      <w:r w:rsidRPr="00FD7002">
        <w:t xml:space="preserve"> </w:t>
      </w:r>
    </w:p>
  </w:footnote>
  <w:footnote w:id="344">
    <w:p w14:paraId="4608A125" w14:textId="3474B401" w:rsidR="00FA29AF" w:rsidRDefault="00FA29AF" w:rsidP="009422F6">
      <w:pPr>
        <w:pStyle w:val="Textpoznmkypodiarou"/>
      </w:pPr>
      <w:r>
        <w:rPr>
          <w:rStyle w:val="Odkaznapoznmkupodiarou"/>
        </w:rPr>
        <w:footnoteRef/>
      </w:r>
      <w:r>
        <w:t xml:space="preserve"> </w:t>
      </w:r>
      <w:r w:rsidRPr="009422F6">
        <w:t>Údaje poskytla SP na základe vyžiadania ÚHP MF SR. Konania o uvedených dávkach boli zastavené napr. z dôvodu stiahnutia žiadosti poškodeným alebo nepriznaním nároku na dávky, z dôvodu nesplnenia zákonných podmienok.</w:t>
      </w:r>
    </w:p>
  </w:footnote>
  <w:footnote w:id="345">
    <w:p w14:paraId="22518FBF" w14:textId="77777777" w:rsidR="00FA29AF" w:rsidRPr="00FD7002" w:rsidRDefault="00FA29AF" w:rsidP="00FD7002">
      <w:pPr>
        <w:pStyle w:val="Textpoznmkypodiarou"/>
        <w:rPr>
          <w:rFonts w:cs="Times New Roman"/>
          <w:szCs w:val="18"/>
        </w:rPr>
      </w:pPr>
      <w:r w:rsidRPr="00FD7002">
        <w:rPr>
          <w:rStyle w:val="Odkaznapoznmkupodiarou"/>
          <w:rFonts w:cs="Times New Roman"/>
          <w:szCs w:val="18"/>
        </w:rPr>
        <w:footnoteRef/>
      </w:r>
      <w:r w:rsidRPr="00FD7002">
        <w:rPr>
          <w:rFonts w:cs="Times New Roman"/>
          <w:szCs w:val="18"/>
        </w:rPr>
        <w:t xml:space="preserve"> § 35, Zákona č. 387/1996 o zamestnanosti </w:t>
      </w:r>
    </w:p>
  </w:footnote>
  <w:footnote w:id="346">
    <w:p w14:paraId="78405B31" w14:textId="77777777"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Zamestnanosti matiek na Slovensku sa nedávno venovala ekonomická analýza Inštitútu finančnej politiky (Hidas a Horváthová, 2018) ako aj komentár Inštitútu sociálnej politiky (Šedovič a Plavčan, 2019).</w:t>
      </w:r>
    </w:p>
  </w:footnote>
  <w:footnote w:id="347">
    <w:p w14:paraId="57F75877" w14:textId="77777777"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Tento benchmark nezahŕňa deti umiestnené v neformálnej a nelicencovanej starostlivosti ani deti v nedotovaných súkromných zariadeniach.</w:t>
      </w:r>
    </w:p>
  </w:footnote>
  <w:footnote w:id="348">
    <w:p w14:paraId="199206B6" w14:textId="77777777" w:rsidR="00FA29AF" w:rsidRDefault="00FA29AF" w:rsidP="00A103C8">
      <w:pPr>
        <w:pStyle w:val="Textpoznmkypodiarou"/>
      </w:pPr>
      <w:r>
        <w:rPr>
          <w:rStyle w:val="Odkaznapoznmkupodiarou"/>
        </w:rPr>
        <w:footnoteRef/>
      </w:r>
      <w:r>
        <w:t xml:space="preserve"> Štatistický úrad SR</w:t>
      </w:r>
    </w:p>
  </w:footnote>
  <w:footnote w:id="349">
    <w:p w14:paraId="2D6A00F1" w14:textId="3F369A69" w:rsidR="00FA29AF" w:rsidRPr="000F5DD5" w:rsidRDefault="00FA29AF">
      <w:pPr>
        <w:pStyle w:val="Textpoznmkypodiarou"/>
      </w:pPr>
      <w:r>
        <w:rPr>
          <w:rStyle w:val="Odkaznapoznmkupodiarou"/>
        </w:rPr>
        <w:footnoteRef/>
      </w:r>
      <w:r>
        <w:t xml:space="preserve"> </w:t>
      </w:r>
      <w:r w:rsidRPr="00D75C23">
        <w:t>V ostatných prípadoch starostlivosť poskytuje niekto z rodiny dieťaťa, napríklad starý rodič. V takom prípade je výška príspevku nižšia.</w:t>
      </w:r>
    </w:p>
  </w:footnote>
  <w:footnote w:id="350">
    <w:p w14:paraId="0960811F" w14:textId="77777777" w:rsidR="00FA29AF" w:rsidRPr="00FD7002" w:rsidRDefault="00FA29AF" w:rsidP="00A27A56">
      <w:pPr>
        <w:pStyle w:val="Textpoznmkypodiarou"/>
        <w:rPr>
          <w:szCs w:val="18"/>
        </w:rPr>
      </w:pPr>
      <w:r w:rsidRPr="00FD7002">
        <w:rPr>
          <w:rStyle w:val="Odkaznapoznmkupodiarou"/>
          <w:szCs w:val="18"/>
        </w:rPr>
        <w:footnoteRef/>
      </w:r>
      <w:r w:rsidRPr="00FD7002">
        <w:rPr>
          <w:szCs w:val="18"/>
        </w:rPr>
        <w:t xml:space="preserve"> Výhoda príspevku na starostlivosť o dieťa je vyššia v prípade rodín s viac ako jedným dieťaťom vo veku do 3 rokov. Príspevok na starostlivosť sa totiž vypláca na dieťa v starostlivosti kým rodičovský príspevok dostáva rodič v rovnakej výške bez ohľadu na počet detí vo veku do 3 rokov (pokiaľ deti nie sú narodené súčasne).</w:t>
      </w:r>
    </w:p>
  </w:footnote>
  <w:footnote w:id="351">
    <w:p w14:paraId="0D9D5257" w14:textId="60DA80A5" w:rsidR="00FA29AF" w:rsidRPr="00FD7002" w:rsidRDefault="00FA29AF" w:rsidP="00A27A56">
      <w:pPr>
        <w:pStyle w:val="Textpoznmkypodiarou"/>
        <w:rPr>
          <w:szCs w:val="18"/>
        </w:rPr>
      </w:pPr>
      <w:r w:rsidRPr="00FD7002">
        <w:rPr>
          <w:rStyle w:val="Odkaznapoznmkupodiarou"/>
          <w:szCs w:val="18"/>
        </w:rPr>
        <w:footnoteRef/>
      </w:r>
      <w:r w:rsidRPr="00FD7002">
        <w:rPr>
          <w:szCs w:val="18"/>
        </w:rPr>
        <w:t xml:space="preserve"> Príspevok môže byť naďalej výhodný pre rodičov, ktorí majú 2 a viac detí v zariadeniach. V tom prípade majú nárok na 2 a viac príspevkov na starostlivosť, kým rodičovský príspevok by mali iba jeden.</w:t>
      </w:r>
      <w:r>
        <w:rPr>
          <w:szCs w:val="18"/>
        </w:rPr>
        <w:t xml:space="preserve"> </w:t>
      </w:r>
    </w:p>
  </w:footnote>
  <w:footnote w:id="352">
    <w:p w14:paraId="676C929E" w14:textId="0B1C912F" w:rsidR="00FA29AF" w:rsidRPr="00FD7002" w:rsidRDefault="00FA29AF" w:rsidP="00A27A56">
      <w:pPr>
        <w:pStyle w:val="Textpoznmkypodiarou"/>
        <w:rPr>
          <w:szCs w:val="18"/>
        </w:rPr>
      </w:pPr>
      <w:r w:rsidRPr="00FD7002">
        <w:rPr>
          <w:rStyle w:val="Odkaznapoznmkupodiarou"/>
          <w:szCs w:val="18"/>
        </w:rPr>
        <w:footnoteRef/>
      </w:r>
      <w:r w:rsidRPr="00FD7002">
        <w:rPr>
          <w:szCs w:val="18"/>
        </w:rPr>
        <w:t xml:space="preserve"> Táto zmena </w:t>
      </w:r>
      <w:r>
        <w:rPr>
          <w:szCs w:val="18"/>
        </w:rPr>
        <w:t>okrem iného znamená</w:t>
      </w:r>
      <w:r w:rsidRPr="00FD7002">
        <w:rPr>
          <w:szCs w:val="18"/>
        </w:rPr>
        <w:t xml:space="preserve">, že po prestupe rodičov na rodičovský príspevok </w:t>
      </w:r>
      <w:r>
        <w:rPr>
          <w:szCs w:val="18"/>
        </w:rPr>
        <w:t xml:space="preserve">budú </w:t>
      </w:r>
      <w:r w:rsidRPr="00FD7002">
        <w:rPr>
          <w:szCs w:val="18"/>
        </w:rPr>
        <w:t xml:space="preserve">výdavky na príspevok na starostlivosť o dieťa, ktoré sú aktuálne hradené z eurofondov, </w:t>
      </w:r>
      <w:r>
        <w:rPr>
          <w:szCs w:val="18"/>
        </w:rPr>
        <w:t xml:space="preserve">musieť byť </w:t>
      </w:r>
      <w:r w:rsidRPr="00FD7002">
        <w:rPr>
          <w:szCs w:val="18"/>
        </w:rPr>
        <w:t>v plnej miere financované zo štátneho rozpočtu.</w:t>
      </w:r>
    </w:p>
  </w:footnote>
  <w:footnote w:id="353">
    <w:p w14:paraId="4F2BEA49" w14:textId="38EBA870" w:rsidR="00FA29AF" w:rsidRDefault="00FA29AF">
      <w:pPr>
        <w:pStyle w:val="Textpoznmkypodiarou"/>
      </w:pPr>
      <w:r>
        <w:rPr>
          <w:rStyle w:val="Odkaznapoznmkupodiarou"/>
        </w:rPr>
        <w:footnoteRef/>
      </w:r>
      <w:r>
        <w:t xml:space="preserve"> Ide o odhad priemerného poplatku za jasle na dieťa podporené príspevkom na starostlivosť o dieťa podľa údajov za december 2019.</w:t>
      </w:r>
    </w:p>
  </w:footnote>
  <w:footnote w:id="354">
    <w:p w14:paraId="3976A535" w14:textId="77777777" w:rsidR="00FA29AF" w:rsidRDefault="00FA29AF" w:rsidP="00B2148E">
      <w:pPr>
        <w:pStyle w:val="Textpoznmkypodiarou"/>
      </w:pPr>
      <w:r>
        <w:rPr>
          <w:rStyle w:val="Odkaznapoznmkupodiarou"/>
        </w:rPr>
        <w:footnoteRef/>
      </w:r>
      <w:r>
        <w:t xml:space="preserve"> Úplné znenie vyzvania na: </w:t>
      </w:r>
    </w:p>
    <w:p w14:paraId="17ACC769" w14:textId="77777777" w:rsidR="00FA29AF" w:rsidRDefault="000D2802" w:rsidP="00B2148E">
      <w:pPr>
        <w:pStyle w:val="Textpoznmkypodiarou"/>
      </w:pPr>
      <w:hyperlink r:id="rId65" w:history="1">
        <w:r w:rsidR="00FA29AF">
          <w:rPr>
            <w:rStyle w:val="Hypertextovprepojenie"/>
          </w:rPr>
          <w:t>https://www.upsvr.gov.sk/buxus/docs/KGR/narodne_projekty/Zosuladenie_rod_a_prac_zivota/Oznamenie_NP_ZRaPZ_Aktualizacia_2.pdf</w:t>
        </w:r>
      </w:hyperlink>
    </w:p>
  </w:footnote>
  <w:footnote w:id="355">
    <w:p w14:paraId="5D7ED57A" w14:textId="77777777" w:rsidR="00FA29AF" w:rsidRPr="00FD7002" w:rsidRDefault="00FA29AF" w:rsidP="00EF1973">
      <w:pPr>
        <w:pStyle w:val="Textpoznmkypodiarou"/>
        <w:rPr>
          <w:szCs w:val="18"/>
        </w:rPr>
      </w:pPr>
      <w:r w:rsidRPr="00FD7002">
        <w:rPr>
          <w:rStyle w:val="Odkaznapoznmkupodiarou"/>
          <w:szCs w:val="18"/>
        </w:rPr>
        <w:footnoteRef/>
      </w:r>
      <w:r w:rsidRPr="00FD7002">
        <w:rPr>
          <w:szCs w:val="18"/>
        </w:rPr>
        <w:t xml:space="preserve"> Jeden človek môže mať naraz viacero exekúcií.</w:t>
      </w:r>
    </w:p>
  </w:footnote>
  <w:footnote w:id="356">
    <w:p w14:paraId="65D0931E" w14:textId="5E1950A4" w:rsidR="00FA29AF" w:rsidRPr="008C0BD8" w:rsidRDefault="00FA29AF" w:rsidP="00EF1973">
      <w:pPr>
        <w:pStyle w:val="Textpoznmkypodiarou"/>
        <w:rPr>
          <w:szCs w:val="18"/>
        </w:rPr>
      </w:pPr>
      <w:r w:rsidRPr="00FD7002">
        <w:rPr>
          <w:rStyle w:val="Odkaznapoznmkupodiarou"/>
          <w:szCs w:val="18"/>
        </w:rPr>
        <w:footnoteRef/>
      </w:r>
      <w:r w:rsidRPr="00FD7002">
        <w:rPr>
          <w:szCs w:val="18"/>
        </w:rPr>
        <w:t xml:space="preserve"> Jediný náklad z pohľadu dlžníka predstavuje povinnosť uhradiť Centru právnej pomoci poplatok vo výške 500</w:t>
      </w:r>
      <w:r>
        <w:rPr>
          <w:szCs w:val="18"/>
        </w:rPr>
        <w:t xml:space="preserve"> eur</w:t>
      </w:r>
      <w:r w:rsidRPr="00FD7002">
        <w:rPr>
          <w:szCs w:val="18"/>
        </w:rPr>
        <w:t xml:space="preserve"> v splátkach po 14</w:t>
      </w:r>
      <w:r>
        <w:rPr>
          <w:szCs w:val="18"/>
        </w:rPr>
        <w:t xml:space="preserve"> eur</w:t>
      </w:r>
      <w:r w:rsidRPr="00FD7002">
        <w:rPr>
          <w:szCs w:val="18"/>
        </w:rPr>
        <w:t xml:space="preserve"> mesačne, </w:t>
      </w:r>
      <w:r w:rsidRPr="008C0BD8">
        <w:rPr>
          <w:szCs w:val="18"/>
        </w:rPr>
        <w:t>ktorý Centrum uhradilo správcovi konkurznej podstaty ako zákonnú paušálnu odmenu.</w:t>
      </w:r>
    </w:p>
  </w:footnote>
  <w:footnote w:id="357">
    <w:p w14:paraId="4C2B3748" w14:textId="77777777" w:rsidR="00FA29AF" w:rsidRPr="008C0BD8" w:rsidRDefault="00FA29AF" w:rsidP="008C0BD8">
      <w:pPr>
        <w:pStyle w:val="Textpoznmkypodiarou"/>
      </w:pPr>
      <w:r w:rsidRPr="008C0BD8">
        <w:rPr>
          <w:rStyle w:val="Odkaznapoznmkupodiarou"/>
        </w:rPr>
        <w:footnoteRef/>
      </w:r>
      <w:r w:rsidRPr="008C0BD8">
        <w:t xml:space="preserve"> Zákon č. 233/2019 Z. z.</w:t>
      </w:r>
    </w:p>
  </w:footnote>
  <w:footnote w:id="358">
    <w:p w14:paraId="129F6490" w14:textId="67B1B153"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Zákon 417/2013 Z. z. o pomoci v hmotnej núdzi.</w:t>
      </w:r>
      <w:r>
        <w:rPr>
          <w:szCs w:val="18"/>
        </w:rPr>
        <w:t xml:space="preserve"> </w:t>
      </w:r>
    </w:p>
  </w:footnote>
  <w:footnote w:id="359">
    <w:p w14:paraId="11F7BCA2" w14:textId="6B32B0A8" w:rsidR="00FA29AF" w:rsidRDefault="00FA29AF" w:rsidP="00D3189B">
      <w:pPr>
        <w:pStyle w:val="Textpoznmkypodiarou"/>
      </w:pPr>
      <w:r>
        <w:rPr>
          <w:rStyle w:val="Odkaznapoznmkupodiarou"/>
        </w:rPr>
        <w:footnoteRef/>
      </w:r>
      <w:r>
        <w:t xml:space="preserve"> Hoci sa príspevok poskytuje priamo škole, prispieva k znižovaniu nákladov domácnosti na stravu, preto ho možno považovať za nefinančný príjem domácnosti.</w:t>
      </w:r>
    </w:p>
  </w:footnote>
  <w:footnote w:id="360">
    <w:p w14:paraId="07E19473" w14:textId="77777777"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To znamená, že pracovný pomer začal v posledný mesiac, kedy mal poberateľ nárok na pomoc v hmotnej núdzi alebo v predošlý mesiac. Pre tento výpočet boli použité dáta ÚPSVR a Sociálnej Poisťovne. Dáta neumožňujú určiť, či v dôsledku nastúpenia do práce reálne došlo k zvýšeniu príjmu domácnosti nad úroveň súčtu nárokov na jednotlivé zložky pomoci v hmotnej núdzi a teda či odchod zo systému pomoci v hmotnej núdzi možno pripísať práve nastúpeniu do práce alebo iným okolnostiam.</w:t>
      </w:r>
    </w:p>
  </w:footnote>
  <w:footnote w:id="361">
    <w:p w14:paraId="1E765765" w14:textId="77777777" w:rsidR="00FA29AF" w:rsidRPr="00FD7002" w:rsidRDefault="00FA29AF" w:rsidP="003D4AA2">
      <w:pPr>
        <w:pStyle w:val="Textpoznmkypodiarou"/>
      </w:pPr>
      <w:r w:rsidRPr="00FD7002">
        <w:rPr>
          <w:rStyle w:val="Odkaznapoznmkupodiarou"/>
          <w:szCs w:val="18"/>
        </w:rPr>
        <w:footnoteRef/>
      </w:r>
      <w:r w:rsidRPr="00FD7002">
        <w:t xml:space="preserve"> V roku 2014 došlo k preskupeniu častí PHN bez zmeny celkovej sumy nároku na PHN.</w:t>
      </w:r>
    </w:p>
  </w:footnote>
  <w:footnote w:id="362">
    <w:p w14:paraId="6445EA73" w14:textId="7A58CFBF" w:rsidR="00FA29AF" w:rsidRPr="00FD7002" w:rsidRDefault="00FA29AF" w:rsidP="003D4AA2">
      <w:pPr>
        <w:pStyle w:val="Textpoznmkypodiarou"/>
      </w:pPr>
      <w:r w:rsidRPr="00FD7002">
        <w:rPr>
          <w:rStyle w:val="Odkaznapoznmkupodiarou"/>
          <w:szCs w:val="18"/>
        </w:rPr>
        <w:footnoteRef/>
      </w:r>
      <w:r>
        <w:t xml:space="preserve"> </w:t>
      </w:r>
      <w:r w:rsidRPr="00225D12">
        <w:fldChar w:fldCharType="begin"/>
      </w:r>
      <w:r w:rsidRPr="00D10DA9">
        <w:instrText xml:space="preserve"> REF _Ref21079087 \h  \* MERGEFORMAT </w:instrText>
      </w:r>
      <w:r w:rsidRPr="00225D12">
        <w:fldChar w:fldCharType="separate"/>
      </w:r>
      <w:r w:rsidRPr="00FA29AF">
        <w:t xml:space="preserve">Box </w:t>
      </w:r>
      <w:r w:rsidRPr="00FA29AF">
        <w:rPr>
          <w:noProof/>
        </w:rPr>
        <w:t>1</w:t>
      </w:r>
      <w:r w:rsidRPr="00225D12">
        <w:fldChar w:fldCharType="end"/>
      </w:r>
      <w:r>
        <w:t xml:space="preserve"> </w:t>
      </w:r>
      <w:r w:rsidRPr="00D10DA9">
        <w:t>pre definíci</w:t>
      </w:r>
      <w:r w:rsidRPr="00FD7002">
        <w:t>u hranice rizika chudoby.</w:t>
      </w:r>
    </w:p>
  </w:footnote>
  <w:footnote w:id="363">
    <w:p w14:paraId="299A0058" w14:textId="77777777" w:rsidR="00FA29AF" w:rsidRPr="00FD7002" w:rsidRDefault="00FA29AF" w:rsidP="003D4AA2">
      <w:pPr>
        <w:pStyle w:val="Textpoznmkypodiarou"/>
      </w:pPr>
      <w:r w:rsidRPr="00FD7002">
        <w:rPr>
          <w:rStyle w:val="Odkaznapoznmkupodiarou"/>
          <w:szCs w:val="18"/>
        </w:rPr>
        <w:footnoteRef/>
      </w:r>
      <w:r w:rsidRPr="00FD7002">
        <w:t xml:space="preserve"> Príspevok na bývanie zostal nezmenený. Aktivačný príspevok pre pracujúcich príjemcov PHN bol zvýšený o 110 % na úroveň 132,40 eur.</w:t>
      </w:r>
    </w:p>
  </w:footnote>
  <w:footnote w:id="364">
    <w:p w14:paraId="71B8DE6A" w14:textId="6E3C829A" w:rsidR="00FA29AF" w:rsidRPr="00FD7002" w:rsidRDefault="00FA29AF" w:rsidP="007D02D6">
      <w:pPr>
        <w:pStyle w:val="Textpoznmkypodiarou"/>
        <w:rPr>
          <w:szCs w:val="18"/>
        </w:rPr>
      </w:pPr>
      <w:r w:rsidRPr="00FD7002">
        <w:rPr>
          <w:rStyle w:val="Odkaznapoznmkupodiarou"/>
          <w:szCs w:val="18"/>
        </w:rPr>
        <w:footnoteRef/>
      </w:r>
      <w:r w:rsidRPr="00FD7002">
        <w:rPr>
          <w:szCs w:val="18"/>
        </w:rPr>
        <w:t xml:space="preserve"> </w:t>
      </w:r>
      <w:r w:rsidRPr="00FD7002">
        <w:rPr>
          <w:rFonts w:eastAsia="Times New Roman" w:cs="Times New Roman"/>
          <w:color w:val="000000"/>
          <w:szCs w:val="18"/>
          <w:lang w:eastAsia="sk-SK"/>
        </w:rPr>
        <w:t>Počet ľudí pod hranicou rizika chudoby v roku 201</w:t>
      </w:r>
      <w:r>
        <w:rPr>
          <w:rFonts w:eastAsia="Times New Roman" w:cs="Times New Roman"/>
          <w:color w:val="000000"/>
          <w:szCs w:val="18"/>
          <w:lang w:eastAsia="sk-SK"/>
        </w:rPr>
        <w:t xml:space="preserve">8 </w:t>
      </w:r>
      <w:r w:rsidRPr="00FD7002">
        <w:rPr>
          <w:rFonts w:eastAsia="Times New Roman" w:cs="Times New Roman"/>
          <w:color w:val="000000"/>
          <w:szCs w:val="18"/>
          <w:lang w:eastAsia="sk-SK"/>
        </w:rPr>
        <w:t>bol na Slovensku podľa Eurostatu 6</w:t>
      </w:r>
      <w:r>
        <w:rPr>
          <w:rFonts w:eastAsia="Times New Roman" w:cs="Times New Roman"/>
          <w:color w:val="000000"/>
          <w:szCs w:val="18"/>
          <w:lang w:eastAsia="sk-SK"/>
        </w:rPr>
        <w:t>55</w:t>
      </w:r>
      <w:r w:rsidRPr="00FD7002">
        <w:rPr>
          <w:rFonts w:eastAsia="Times New Roman" w:cs="Times New Roman"/>
          <w:color w:val="000000"/>
          <w:szCs w:val="18"/>
          <w:lang w:eastAsia="sk-SK"/>
        </w:rPr>
        <w:t>-tisíc.</w:t>
      </w:r>
    </w:p>
  </w:footnote>
  <w:footnote w:id="365">
    <w:p w14:paraId="4F643255" w14:textId="10C5382F" w:rsidR="00FA29AF" w:rsidRDefault="00FA29AF" w:rsidP="00CE4B44">
      <w:pPr>
        <w:pStyle w:val="Textpoznmkypodiarou"/>
      </w:pPr>
      <w:r w:rsidRPr="00F31E9B">
        <w:rPr>
          <w:rStyle w:val="Odkaznapoznmkupodiarou"/>
        </w:rPr>
        <w:footnoteRef/>
      </w:r>
      <w:r w:rsidRPr="00F31E9B">
        <w:t xml:space="preserve"> </w:t>
      </w:r>
      <w:r w:rsidRPr="00CE4B44">
        <w:t xml:space="preserve">Revízia odporúča vyňať príspevok na bývanie zo systému pomoci v hmotnej núdzi a ustanoviť ho ako osobitnú formu sociálnej pomoci (podkapitola </w:t>
      </w:r>
      <w:r>
        <w:fldChar w:fldCharType="begin"/>
      </w:r>
      <w:r>
        <w:instrText xml:space="preserve"> REF _Ref25315989 \r \h </w:instrText>
      </w:r>
      <w:r>
        <w:fldChar w:fldCharType="separate"/>
      </w:r>
      <w:r>
        <w:t>9.5</w:t>
      </w:r>
      <w:r>
        <w:fldChar w:fldCharType="end"/>
      </w:r>
      <w:r w:rsidRPr="00CE4B44">
        <w:t>).</w:t>
      </w:r>
    </w:p>
  </w:footnote>
  <w:footnote w:id="366">
    <w:p w14:paraId="011123CC" w14:textId="77777777" w:rsidR="00FA29AF" w:rsidRPr="00D75C23" w:rsidRDefault="00FA29AF" w:rsidP="00F31E9B">
      <w:pPr>
        <w:pStyle w:val="Textpoznmkypodiarou"/>
        <w:rPr>
          <w:szCs w:val="18"/>
        </w:rPr>
      </w:pPr>
      <w:r w:rsidRPr="00B125BB">
        <w:rPr>
          <w:rStyle w:val="Odkaznapoznmkupodiarou"/>
          <w:szCs w:val="18"/>
        </w:rPr>
        <w:footnoteRef/>
      </w:r>
      <w:r w:rsidRPr="00B125BB">
        <w:rPr>
          <w:szCs w:val="18"/>
        </w:rPr>
        <w:t xml:space="preserve"> Prídavok na dieťa je štátna sociálna dávka, ktorou štát prispieva oprávnenej osobe na výchovu a výživu nezaopatreného dieťaťa. Prídavok sa vypláca mesačne, najdlhšie do dovŕšenia 25 rokov veku dieťaťa, ak spĺňa podmienku nezaopatrenosti. Aktuálna výška príspevku je 24,34 eur za mesiac</w:t>
      </w:r>
      <w:r>
        <w:rPr>
          <w:szCs w:val="18"/>
        </w:rPr>
        <w:t>.</w:t>
      </w:r>
    </w:p>
  </w:footnote>
  <w:footnote w:id="367">
    <w:p w14:paraId="6E0C2188" w14:textId="449C2EC8" w:rsidR="00FA29AF" w:rsidRDefault="00FA29AF" w:rsidP="00CE4B44">
      <w:pPr>
        <w:pStyle w:val="Textpoznmkypodiarou"/>
      </w:pPr>
      <w:r>
        <w:rPr>
          <w:rStyle w:val="Odkaznapoznmkupodiarou"/>
        </w:rPr>
        <w:footnoteRef/>
      </w:r>
      <w:r>
        <w:t xml:space="preserve"> Toto neplatí v prípade rodín v systéme PHN s dieťaťom, ktoré ukončilo povinnú školskú dochádzku, keďže na také dieťa už domácnosť nepoberá príspevok na nezaopatrené dieťa. Tieto deti však majú možnosť získať stredoškolské štipendium v prípade, že pokračujú v štúdiu. Výška štipendia je vyššia ako výška príspevku na nezaopatrené dieťa (</w:t>
      </w:r>
      <w:r w:rsidRPr="00791CB1">
        <w:t xml:space="preserve">podkapitola </w:t>
      </w:r>
      <w:r>
        <w:fldChar w:fldCharType="begin"/>
      </w:r>
      <w:r>
        <w:instrText xml:space="preserve"> REF _Ref25663957 \r \h </w:instrText>
      </w:r>
      <w:r>
        <w:fldChar w:fldCharType="separate"/>
      </w:r>
      <w:r>
        <w:t>5.4</w:t>
      </w:r>
      <w:r>
        <w:fldChar w:fldCharType="end"/>
      </w:r>
      <w:r>
        <w:t>).</w:t>
      </w:r>
    </w:p>
  </w:footnote>
  <w:footnote w:id="368">
    <w:p w14:paraId="4D1C81E7" w14:textId="15219FD1" w:rsidR="00FA29AF" w:rsidRDefault="00FA29AF" w:rsidP="00F81E5C">
      <w:pPr>
        <w:pStyle w:val="Textpoznmkypodiarou"/>
      </w:pPr>
      <w:r>
        <w:rPr>
          <w:rStyle w:val="Odkaznapoznmkupodiarou"/>
        </w:rPr>
        <w:footnoteRef/>
      </w:r>
      <w:r>
        <w:t xml:space="preserve"> V prípade domácností bez detí je zvýšenie miernejšie, a to o 20 % na 79,56 eur pre jednotlivca bez detí a 138,36 eur pre dvojicu bez detí.</w:t>
      </w:r>
    </w:p>
  </w:footnote>
  <w:footnote w:id="369">
    <w:p w14:paraId="2AE37B43" w14:textId="32A9F55D" w:rsidR="00FA29AF" w:rsidRPr="00437924" w:rsidRDefault="00FA29AF" w:rsidP="00A00FBC">
      <w:pPr>
        <w:pStyle w:val="Textpoznmkypodiarou"/>
      </w:pPr>
      <w:r>
        <w:rPr>
          <w:rStyle w:val="Odkaznapoznmkupodiarou"/>
        </w:rPr>
        <w:footnoteRef/>
      </w:r>
      <w:r>
        <w:t xml:space="preserve"> </w:t>
      </w:r>
      <w:r w:rsidRPr="00437924">
        <w:t xml:space="preserve">Výpočet pasce inaktivity zohľadňuje okrem návrhu na zvýšenie PHN aj návrh </w:t>
      </w:r>
      <w:r w:rsidRPr="00AC289E">
        <w:t>ponechať nárok na osobitný príspevok pre dlhodobo nezamestnaných alebo neaktívnych rodičov, ktorí stratili nárok na pomoc v hmotnej núdzi z dôvodu získania nároku na rodičovský príspevok, a ktorí sa následne zamestnajú</w:t>
      </w:r>
      <w:r>
        <w:t xml:space="preserve"> (podkapitola </w:t>
      </w:r>
      <w:r>
        <w:fldChar w:fldCharType="begin"/>
      </w:r>
      <w:r>
        <w:instrText xml:space="preserve"> REF _Ref26435350 \r \h </w:instrText>
      </w:r>
      <w:r>
        <w:fldChar w:fldCharType="separate"/>
      </w:r>
      <w:r>
        <w:t>8.2</w:t>
      </w:r>
      <w:r>
        <w:fldChar w:fldCharType="end"/>
      </w:r>
      <w:r>
        <w:t>)</w:t>
      </w:r>
      <w:r w:rsidRPr="00AC289E">
        <w:t>.</w:t>
      </w:r>
    </w:p>
  </w:footnote>
  <w:footnote w:id="370">
    <w:p w14:paraId="2B36A645" w14:textId="3D36B858" w:rsidR="00FA29AF" w:rsidRDefault="00FA29AF" w:rsidP="00C02CED">
      <w:pPr>
        <w:pStyle w:val="Textpoznmkypodiarou"/>
      </w:pPr>
      <w:r>
        <w:rPr>
          <w:rStyle w:val="Odkaznapoznmkupodiarou"/>
        </w:rPr>
        <w:footnoteRef/>
      </w:r>
      <w:r>
        <w:t xml:space="preserve"> § 10 ods. 3. Zákona 417/2013 Z.z. o pomoci v hmotnej núdzi a o zmene a doplnení niektorých zákonov</w:t>
      </w:r>
    </w:p>
  </w:footnote>
  <w:footnote w:id="371">
    <w:p w14:paraId="79D9EAFF" w14:textId="58ED68A0" w:rsidR="00FA29AF" w:rsidRDefault="00FA29AF">
      <w:pPr>
        <w:pStyle w:val="Textpoznmkypodiarou"/>
      </w:pPr>
      <w:r>
        <w:rPr>
          <w:rStyle w:val="Odkaznapoznmkupodiarou"/>
        </w:rPr>
        <w:footnoteRef/>
      </w:r>
      <w:r>
        <w:t xml:space="preserve"> Ľudia v systéme PHN, ktorí pracujú aspoň za min. mzdu majú od roku 2019 nárok na vyšší aktivačný príspevok (aktuálne 135,70 eur).</w:t>
      </w:r>
    </w:p>
  </w:footnote>
  <w:footnote w:id="372">
    <w:p w14:paraId="2825EFE2" w14:textId="77777777"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Pred tým mali nízko príjmoví zamestnanci nárok na sociálnu pomoc v rámci aktivačného príspevku, ale výška nároku sa krátila v závislosti od príjmu z práce, čo znižovalo motiváciu zamestnať sa. Na rozdiel od aktivačného príspevku, osobitný príspevok je poskytovaný v rovnakej výške všetkým zamestnancom, ktorí naň majú nárok.</w:t>
      </w:r>
    </w:p>
  </w:footnote>
  <w:footnote w:id="373">
    <w:p w14:paraId="5270792F" w14:textId="77777777"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Príjem musí byť v rozpätí od polovice minimálnej mzdy po dvojnásobok minimálnej mzdy.</w:t>
      </w:r>
    </w:p>
  </w:footnote>
  <w:footnote w:id="374">
    <w:p w14:paraId="6E648902" w14:textId="77777777" w:rsidR="00FA29AF" w:rsidRPr="00FD7002" w:rsidRDefault="00FA29AF" w:rsidP="00E24FEA">
      <w:pPr>
        <w:pStyle w:val="Textpoznmkypodiarou"/>
      </w:pPr>
      <w:r w:rsidRPr="00FD7002">
        <w:rPr>
          <w:rStyle w:val="Odkaznapoznmkupodiarou"/>
          <w:szCs w:val="18"/>
        </w:rPr>
        <w:footnoteRef/>
      </w:r>
      <w:r w:rsidRPr="00FD7002">
        <w:t xml:space="preserve"> S účinnosťou od 1. mája 2017 sa upravila podmienka započítavania príjmu u členov domácností, ktorým sa poskytuje osobitný príspevok, a to zo 75 % na 50 % z ich príjmu z pracovného pomeru alebo obdobného pracovného vzťahu pri posudzovaní nároku na pomoc v hmotnej núdzi. V praxi to znamená miernejšie krátenie pomoci v hmotnej núdzi z dôvodu vyššieho príjmu prijímateľov osobitného príspevku, čo zvyšuje motiváciu zamestnať sa. Toto zvýhodnenie platí iba počas poberania osobitného príspevku.</w:t>
      </w:r>
    </w:p>
  </w:footnote>
  <w:footnote w:id="375">
    <w:p w14:paraId="7038CE84" w14:textId="347B2A03" w:rsidR="00FA29AF" w:rsidRPr="00FD7002" w:rsidRDefault="00FA29AF" w:rsidP="004D2594">
      <w:pPr>
        <w:pStyle w:val="Textpoznmkypodiarou"/>
        <w:rPr>
          <w:szCs w:val="18"/>
        </w:rPr>
      </w:pPr>
      <w:r w:rsidRPr="00FD7002">
        <w:rPr>
          <w:rStyle w:val="Odkaznapoznmkupodiarou"/>
          <w:szCs w:val="18"/>
        </w:rPr>
        <w:footnoteRef/>
      </w:r>
      <w:r w:rsidRPr="00FD7002">
        <w:rPr>
          <w:szCs w:val="18"/>
        </w:rPr>
        <w:t xml:space="preserve"> Pred tým bolo obdobie podpory 12 mesiacov, z toho 6 mesiacov na vyššej úrovni príspevku a 6 mesiacov na nižšej úrovni.</w:t>
      </w:r>
    </w:p>
  </w:footnote>
  <w:footnote w:id="376">
    <w:p w14:paraId="21E8FA41" w14:textId="77777777"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 54 zákona o službách zamestnanosti.</w:t>
      </w:r>
    </w:p>
  </w:footnote>
  <w:footnote w:id="377">
    <w:p w14:paraId="01D55214" w14:textId="77777777"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 50j zákona o službách zamestnanosti.</w:t>
      </w:r>
    </w:p>
  </w:footnote>
  <w:footnote w:id="378">
    <w:p w14:paraId="6FBA8129" w14:textId="6317DE81" w:rsidR="00FA29AF" w:rsidRPr="00FD7002" w:rsidRDefault="00FA29AF" w:rsidP="00E24FEA">
      <w:pPr>
        <w:pStyle w:val="Textpoznmkypodiarou"/>
      </w:pPr>
      <w:r w:rsidRPr="00FD7002">
        <w:rPr>
          <w:rStyle w:val="Odkaznapoznmkupodiarou"/>
          <w:szCs w:val="18"/>
        </w:rPr>
        <w:footnoteRef/>
      </w:r>
      <w:r w:rsidRPr="00FD7002">
        <w:t xml:space="preserve"> Príspevok na podporu rozvoja miestnej a regionálnej zamestnanosti sa poskytuje najviac počas 9 mesiacov. Národný projekt „Šanca na zamestnanie“ poskytoval finančný príspevok zamestnávateľovi najmenej počas 3 a najviac počas 9 kalendárnych mesiacov. Národný projekt „Cesta z kruhu nezamestnanosti“</w:t>
      </w:r>
      <w:r>
        <w:t xml:space="preserve"> </w:t>
      </w:r>
      <w:r w:rsidRPr="00FD7002">
        <w:t>poskytuje finančný príspevok počas najviac 12 mesiacov, alebo najviac počas 15 mesiacov, v závislosti od doby evidencie prijatého UoZ.</w:t>
      </w:r>
    </w:p>
  </w:footnote>
  <w:footnote w:id="379">
    <w:p w14:paraId="3ACD0C45" w14:textId="77777777" w:rsidR="00FA29AF" w:rsidRPr="00FD7002" w:rsidRDefault="00FA29AF" w:rsidP="00C02CED">
      <w:pPr>
        <w:pStyle w:val="Textpoznmkypodiarou"/>
        <w:rPr>
          <w:szCs w:val="18"/>
        </w:rPr>
      </w:pPr>
      <w:r w:rsidRPr="00FD7002">
        <w:rPr>
          <w:rStyle w:val="Odkaznapoznmkupodiarou"/>
          <w:szCs w:val="18"/>
        </w:rPr>
        <w:footnoteRef/>
      </w:r>
      <w:r w:rsidRPr="00FD7002">
        <w:rPr>
          <w:szCs w:val="18"/>
        </w:rPr>
        <w:t xml:space="preserve"> Daň meria podiel hrubého príjmu, ktorý človek stráca na daniach a znížených sociálnych dávkach pri nástupe do zamestnania. Čím vyššia hodnota dane, tým menšia finančná motivácia prechodu z nezamestnanosti do zamestnania a tým pádom väčšia pasca inaktivity. Pri dani na úrovni 100 percent je čistý príjem zamestnanca rovnaký ako by bol keby zostal poberateľom sociálnej pomoci. Na motiváciu hľadať si prácu vplývajú okrem daňového a sociálneho systému aj viaceré nefinančné faktory ako napríklad kvalita infraštruktúry a jednoduchosť dochádzania za prácou v odľahlých regiónoch, miera diskriminácie na trhu práce, a tiež kultúrne a jazykové bariéry v prípade niektorých skupín, napríklad Rómov.</w:t>
      </w:r>
    </w:p>
  </w:footnote>
  <w:footnote w:id="380">
    <w:p w14:paraId="675C961F" w14:textId="77777777" w:rsidR="00FA29AF" w:rsidRPr="00FD7002" w:rsidRDefault="00FA29AF" w:rsidP="00C02CED">
      <w:pPr>
        <w:pStyle w:val="Textpoznmkypodiarou"/>
        <w:rPr>
          <w:szCs w:val="18"/>
        </w:rPr>
      </w:pPr>
      <w:r w:rsidRPr="00FD7002">
        <w:rPr>
          <w:rStyle w:val="Odkaznapoznmkupodiarou"/>
          <w:szCs w:val="18"/>
        </w:rPr>
        <w:footnoteRef/>
      </w:r>
      <w:r w:rsidRPr="00FD7002">
        <w:rPr>
          <w:szCs w:val="18"/>
        </w:rPr>
        <w:t xml:space="preserve"> Pri nástupe s priemernou mzdou je daň z participácie na Slovensku tiež pod priemerom EÚ aj V3 vo všetkých druhoch domácností.</w:t>
      </w:r>
    </w:p>
  </w:footnote>
  <w:footnote w:id="381">
    <w:p w14:paraId="605B384F" w14:textId="1304A86A" w:rsidR="00FA29AF" w:rsidRPr="00D24A95" w:rsidRDefault="00FA29AF">
      <w:pPr>
        <w:pStyle w:val="Textpoznmkypodiarou"/>
      </w:pPr>
      <w:r>
        <w:rPr>
          <w:rStyle w:val="Odkaznapoznmkupodiarou"/>
        </w:rPr>
        <w:footnoteRef/>
      </w:r>
      <w:r>
        <w:t xml:space="preserve"> </w:t>
      </w:r>
      <w:r w:rsidRPr="00D24A95">
        <w:t>Príjem je vyjadrený ako ekvivalentný disponibilný príjem, ktorý zohľadňuje veľkosť a štruktúru domácnosti použitím OECD ekvivalenčnej škály (</w:t>
      </w:r>
      <w:r w:rsidRPr="008E12D6">
        <w:fldChar w:fldCharType="begin"/>
      </w:r>
      <w:r w:rsidRPr="00D24A95">
        <w:instrText xml:space="preserve"> REF _Ref21087997 \h </w:instrText>
      </w:r>
      <w:r w:rsidRPr="00D41517">
        <w:instrText xml:space="preserve"> \* MERGEFORMAT </w:instrText>
      </w:r>
      <w:r w:rsidRPr="008E12D6">
        <w:fldChar w:fldCharType="separate"/>
      </w:r>
      <w:r w:rsidRPr="00FA29AF">
        <w:rPr>
          <w:iCs/>
        </w:rPr>
        <w:t xml:space="preserve">Box </w:t>
      </w:r>
      <w:r w:rsidRPr="00FA29AF">
        <w:rPr>
          <w:iCs/>
          <w:noProof/>
        </w:rPr>
        <w:t>19</w:t>
      </w:r>
      <w:r w:rsidRPr="008E12D6">
        <w:fldChar w:fldCharType="end"/>
      </w:r>
      <w:r w:rsidRPr="00D24A95">
        <w:t>).</w:t>
      </w:r>
      <w:r>
        <w:t xml:space="preserve"> Hranica rizika chudoby je určená pre každú krajinu zvlášť a teda zohľadňuje rozdiely v priemernej životnej úrovni naprieč krajinami </w:t>
      </w:r>
      <w:r w:rsidRPr="00D34D7C">
        <w:t>(</w:t>
      </w:r>
      <w:r w:rsidRPr="008E12D6">
        <w:fldChar w:fldCharType="begin"/>
      </w:r>
      <w:r w:rsidRPr="00D34D7C">
        <w:instrText xml:space="preserve"> REF _Ref21079087 \h </w:instrText>
      </w:r>
      <w:r w:rsidRPr="00D41517">
        <w:instrText xml:space="preserve"> \* MERGEFORMAT </w:instrText>
      </w:r>
      <w:r w:rsidRPr="008E12D6">
        <w:fldChar w:fldCharType="separate"/>
      </w:r>
      <w:r w:rsidRPr="00FA29AF">
        <w:t xml:space="preserve">Box </w:t>
      </w:r>
      <w:r w:rsidRPr="00FA29AF">
        <w:rPr>
          <w:noProof/>
        </w:rPr>
        <w:t>1</w:t>
      </w:r>
      <w:r w:rsidRPr="008E12D6">
        <w:fldChar w:fldCharType="end"/>
      </w:r>
      <w:r>
        <w:t>).</w:t>
      </w:r>
    </w:p>
  </w:footnote>
  <w:footnote w:id="382">
    <w:p w14:paraId="116978C5" w14:textId="58791BCF" w:rsidR="00FA29AF" w:rsidRPr="00DE2CDC" w:rsidRDefault="00FA29AF">
      <w:pPr>
        <w:pStyle w:val="Textpoznmkypodiarou"/>
        <w:rPr>
          <w:szCs w:val="18"/>
        </w:rPr>
      </w:pPr>
      <w:r>
        <w:rPr>
          <w:rStyle w:val="Odkaznapoznmkupodiarou"/>
        </w:rPr>
        <w:footnoteRef/>
      </w:r>
      <w:r>
        <w:t xml:space="preserve"> </w:t>
      </w:r>
      <w:r w:rsidRPr="00FD7002">
        <w:rPr>
          <w:szCs w:val="18"/>
        </w:rPr>
        <w:t>Príspevok sa zvyšuje o 25 % za každé</w:t>
      </w:r>
      <w:r>
        <w:rPr>
          <w:szCs w:val="18"/>
        </w:rPr>
        <w:t xml:space="preserve"> ďalšie súčasne narodené dieťa.</w:t>
      </w:r>
    </w:p>
  </w:footnote>
  <w:footnote w:id="383">
    <w:p w14:paraId="38F7F7FF" w14:textId="33AFBF53" w:rsidR="00FA29AF" w:rsidRDefault="00FA29AF" w:rsidP="008F5608">
      <w:pPr>
        <w:pStyle w:val="Textpoznmkypodiarou"/>
      </w:pPr>
      <w:r>
        <w:rPr>
          <w:rStyle w:val="Odkaznapoznmkupodiarou"/>
        </w:rPr>
        <w:footnoteRef/>
      </w:r>
      <w:r>
        <w:t xml:space="preserve"> Prínosom tohto nastavenia je, že vytvára silnejšiu motiváciu pre rodičov aby sa zamestnali, keďže nárok na rodičovský príspevok na rozdiel od PHN nie je podmienený príjmom domácnosti.</w:t>
      </w:r>
    </w:p>
  </w:footnote>
  <w:footnote w:id="384">
    <w:p w14:paraId="48C29C42" w14:textId="119C1EE5" w:rsidR="00FA29AF" w:rsidRDefault="00FA29AF" w:rsidP="00A63792">
      <w:pPr>
        <w:pStyle w:val="Textpoznmkypodiarou"/>
      </w:pPr>
      <w:r>
        <w:rPr>
          <w:rStyle w:val="Odkaznapoznmkupodiarou"/>
        </w:rPr>
        <w:footnoteRef/>
      </w:r>
      <w:r>
        <w:t xml:space="preserve"> Nárok na príspevok na bývanie má menej ako polovica prijímateľov pomoci v hmotnej núdzi (podkapitola </w:t>
      </w:r>
      <w:r>
        <w:fldChar w:fldCharType="begin"/>
      </w:r>
      <w:r>
        <w:instrText xml:space="preserve"> REF _Ref25315477 \r \h </w:instrText>
      </w:r>
      <w:r>
        <w:fldChar w:fldCharType="separate"/>
      </w:r>
      <w:r>
        <w:t>9.5</w:t>
      </w:r>
      <w:r>
        <w:fldChar w:fldCharType="end"/>
      </w:r>
      <w:r>
        <w:t>).</w:t>
      </w:r>
    </w:p>
  </w:footnote>
  <w:footnote w:id="385">
    <w:p w14:paraId="247F7514" w14:textId="7D65B683" w:rsidR="00FA29AF" w:rsidRDefault="00FA29AF" w:rsidP="00773905">
      <w:pPr>
        <w:pStyle w:val="Textpoznmkypodiarou"/>
      </w:pPr>
      <w:r>
        <w:rPr>
          <w:rStyle w:val="Odkaznapoznmkupodiarou"/>
        </w:rPr>
        <w:footnoteRef/>
      </w:r>
      <w:r>
        <w:t xml:space="preserve"> Výpočet je robený na základe výšky PHN a rodičovského príspevku v auguste 2019, pred zvýšením rodičovského príspevku s účinnosťou od 1.1.2020. Po zvýšení rodičovského príspevku tento problém nezmizne, iba sa presunie na iné druhy rodín v systéme PHN.</w:t>
      </w:r>
    </w:p>
  </w:footnote>
  <w:footnote w:id="386">
    <w:p w14:paraId="72B5A4D2" w14:textId="77777777" w:rsidR="00FA29AF" w:rsidRPr="00FD7002" w:rsidRDefault="00FA29AF" w:rsidP="00DB47CE">
      <w:pPr>
        <w:pStyle w:val="Textpoznmkypodiarou"/>
        <w:rPr>
          <w:szCs w:val="18"/>
        </w:rPr>
      </w:pPr>
      <w:r w:rsidRPr="00FD7002">
        <w:rPr>
          <w:rStyle w:val="Odkaznapoznmkupodiarou"/>
          <w:szCs w:val="18"/>
        </w:rPr>
        <w:footnoteRef/>
      </w:r>
      <w:r w:rsidRPr="00FD7002">
        <w:rPr>
          <w:szCs w:val="18"/>
        </w:rPr>
        <w:t xml:space="preserve"> V prípade ďalších pôrodov sa príspevok vypláca vo výške 151,37 eur.</w:t>
      </w:r>
    </w:p>
  </w:footnote>
  <w:footnote w:id="387">
    <w:p w14:paraId="5D80CFC9" w14:textId="77777777"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Nárok na náhradné výživné vzniká aj osirelým nezaopatreným deťom, ktoré nemajú nárok na sirotský alebo sirotský výsluhový dôchodok, prípadne je výška priznaného dôchodku nižšia ako minimálna výška výživného podľa zákona o rodine</w:t>
      </w:r>
    </w:p>
  </w:footnote>
  <w:footnote w:id="388">
    <w:p w14:paraId="7D92BA24" w14:textId="77777777" w:rsidR="00FA29AF" w:rsidRDefault="00FA29AF" w:rsidP="00F22186">
      <w:pPr>
        <w:pStyle w:val="Textpoznmkypodiarou"/>
      </w:pPr>
      <w:r>
        <w:rPr>
          <w:rStyle w:val="Odkaznapoznmkupodiarou"/>
        </w:rPr>
        <w:footnoteRef/>
      </w:r>
      <w:r>
        <w:t xml:space="preserve"> Nárok má osoba, ktorá bola vedená v evidencii UoZ minimálne 12 mesiacov, prípadne osoba, ktorá bola vedená v evidencii 6 po sebe nasledujúcich mesiacov a súčasne má trvalý pobyt v najmenej rozvinutom regióne. Zoznam regiónov zverejňuje ÚPSVaR. Upravuje z</w:t>
      </w:r>
      <w:r w:rsidRPr="00386768">
        <w:t xml:space="preserve">ákon </w:t>
      </w:r>
      <w:r>
        <w:t xml:space="preserve">č. </w:t>
      </w:r>
      <w:r w:rsidRPr="00386768">
        <w:t>461/2003 Z. z</w:t>
      </w:r>
      <w:r>
        <w:t>.</w:t>
      </w:r>
      <w:r w:rsidRPr="00386768">
        <w:t xml:space="preserve"> o sociálnom poistení.</w:t>
      </w:r>
    </w:p>
  </w:footnote>
  <w:footnote w:id="389">
    <w:p w14:paraId="04E046CF" w14:textId="77777777" w:rsidR="00FA29AF" w:rsidRDefault="00FA29AF" w:rsidP="00541A55">
      <w:pPr>
        <w:pStyle w:val="Textpoznmkypodiarou"/>
      </w:pPr>
      <w:r>
        <w:rPr>
          <w:rStyle w:val="Odkaznapoznmkupodiarou"/>
        </w:rPr>
        <w:footnoteRef/>
      </w:r>
      <w:r>
        <w:t xml:space="preserve"> </w:t>
      </w:r>
      <w:r w:rsidRPr="00D9063E">
        <w:t>Odvodová úľava bola využívaná najviac u zamestnancov s príjmami na úrovni minimálnej mzdy, v odvetviach veľkoobchodu a maloobchodu, v priemyselnej výrobe a v poľnohospodárstve a v Prešovskom kraji.</w:t>
      </w:r>
    </w:p>
  </w:footnote>
  <w:footnote w:id="390">
    <w:p w14:paraId="2B093404" w14:textId="77777777" w:rsidR="00FA29AF" w:rsidRDefault="00FA29AF" w:rsidP="00541A55">
      <w:pPr>
        <w:pStyle w:val="Textpoznmkypodiarou"/>
      </w:pPr>
      <w:r>
        <w:rPr>
          <w:rStyle w:val="Odkaznapoznmkupodiarou"/>
        </w:rPr>
        <w:footnoteRef/>
      </w:r>
      <w:r>
        <w:t xml:space="preserve"> </w:t>
      </w:r>
      <w:r w:rsidRPr="00400BE9">
        <w:t>Zamestnanci, ktorí túto úľavu využívajú tak nemajú v prípade choroby nárok na nemocenské dávky, obdobie zamestnania sa im nezapočítava pri určovaní nároku na dávku v nezamestnanosti, ani pri určovaní výšky dôchodku</w:t>
      </w:r>
      <w:r>
        <w:t>.</w:t>
      </w:r>
    </w:p>
  </w:footnote>
  <w:footnote w:id="391">
    <w:p w14:paraId="03F7E1E1" w14:textId="0E96C5E8" w:rsidR="00FA29AF" w:rsidRDefault="00FA29AF" w:rsidP="00F22186">
      <w:pPr>
        <w:pStyle w:val="Textpoznmkypodiarou"/>
      </w:pPr>
      <w:r>
        <w:rPr>
          <w:rStyle w:val="Odkaznapoznmkupodiarou"/>
        </w:rPr>
        <w:footnoteRef/>
      </w:r>
      <w:r>
        <w:t xml:space="preserve"> Na rozdiel od odvodovej úľavy nevzniká na odpočítateľnú položku nárok automaticky, ale podlieha oznamovacej povinnosti zamestnanca. Nárok nemajú osoby pracujúce na dohodu a poistenci štátu. Upravuje z</w:t>
      </w:r>
      <w:r w:rsidRPr="00386768">
        <w:t>ákon</w:t>
      </w:r>
      <w:r w:rsidRPr="008C651B">
        <w:t xml:space="preserve"> </w:t>
      </w:r>
      <w:r>
        <w:t>č. 580/2004</w:t>
      </w:r>
      <w:r w:rsidRPr="00386768">
        <w:t xml:space="preserve"> Z. z. o </w:t>
      </w:r>
      <w:r>
        <w:t>zdravotnom</w:t>
      </w:r>
      <w:r w:rsidRPr="00386768">
        <w:t xml:space="preserve"> poistení</w:t>
      </w:r>
      <w:r>
        <w:t>.</w:t>
      </w:r>
    </w:p>
  </w:footnote>
  <w:footnote w:id="392">
    <w:p w14:paraId="6FD6C007" w14:textId="130D8AF0" w:rsidR="00FA29AF" w:rsidRDefault="00FA29AF" w:rsidP="00F22186">
      <w:pPr>
        <w:pStyle w:val="Textpoznmkypodiarou"/>
      </w:pPr>
      <w:r>
        <w:rPr>
          <w:rStyle w:val="Odkaznapoznmkupodiarou"/>
        </w:rPr>
        <w:footnoteRef/>
      </w:r>
      <w:r>
        <w:t xml:space="preserve"> Manžel(ka) počas zdaňovacieho obdobia musí spĺňať aspoň jednu podmienku uvedenú v zákone č. 595/2003 Z. z. o dani z príjmov. Do príjmov manžela(ky) sa nezarátavajú štátne sociálne dávky. Naopak, materské, nemocenské dávky, všetky druhy dôchodkov, výhry a pod. sú súčasťou príjmov. Upravuje z</w:t>
      </w:r>
      <w:r w:rsidRPr="009B51EA">
        <w:t>ákon</w:t>
      </w:r>
      <w:r w:rsidRPr="008C651B">
        <w:t xml:space="preserve"> </w:t>
      </w:r>
      <w:r>
        <w:t>č. 595/2003 Z. z.</w:t>
      </w:r>
      <w:r w:rsidRPr="009B51EA">
        <w:t xml:space="preserve"> o dani z</w:t>
      </w:r>
      <w:r>
        <w:t> </w:t>
      </w:r>
      <w:r w:rsidRPr="009B51EA">
        <w:t>príjmov</w:t>
      </w:r>
      <w:r>
        <w:t>.</w:t>
      </w:r>
    </w:p>
  </w:footnote>
  <w:footnote w:id="393">
    <w:p w14:paraId="291E6BF4" w14:textId="77777777" w:rsidR="00FA29AF" w:rsidRDefault="00FA29AF" w:rsidP="00F22186">
      <w:pPr>
        <w:pStyle w:val="Textpoznmkypodiarou"/>
      </w:pPr>
      <w:r>
        <w:rPr>
          <w:rStyle w:val="Odkaznapoznmkupodiarou"/>
        </w:rPr>
        <w:footnoteRef/>
      </w:r>
      <w:r>
        <w:t xml:space="preserve"> Na daňový bonus na dieťa nemá nárok daňovník, ktorému vznikol nárok na invalidný dôchodok. Upravuje z</w:t>
      </w:r>
      <w:r w:rsidRPr="009B51EA">
        <w:t>ákon</w:t>
      </w:r>
      <w:r w:rsidRPr="008C651B">
        <w:t xml:space="preserve"> </w:t>
      </w:r>
      <w:r>
        <w:t>č. 595/2003 Z. z.</w:t>
      </w:r>
      <w:r w:rsidRPr="009B51EA">
        <w:t xml:space="preserve"> o dani z</w:t>
      </w:r>
      <w:r>
        <w:t> </w:t>
      </w:r>
      <w:r w:rsidRPr="009B51EA">
        <w:t>príjmov</w:t>
      </w:r>
      <w:r>
        <w:t>.</w:t>
      </w:r>
    </w:p>
  </w:footnote>
  <w:footnote w:id="394">
    <w:p w14:paraId="0F2047D6" w14:textId="77777777" w:rsidR="00FA29AF" w:rsidRDefault="00FA29AF" w:rsidP="00F22186">
      <w:pPr>
        <w:pStyle w:val="Textpoznmkypodiarou"/>
      </w:pPr>
      <w:r>
        <w:rPr>
          <w:rStyle w:val="Odkaznapoznmkupodiarou"/>
        </w:rPr>
        <w:footnoteRef/>
      </w:r>
      <w:r>
        <w:t xml:space="preserve"> Upravené novelou zákona, platné od 1.4.2019. </w:t>
      </w:r>
    </w:p>
  </w:footnote>
  <w:footnote w:id="395">
    <w:p w14:paraId="31B04051" w14:textId="77777777"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gov_10a_exp - tieto údaje zahŕňajú aj výdavky, ktoré nie sú súčasťou tejto revízie ako napríklad nemocenské poistenie. Údaje sú označené ako predbežné.</w:t>
      </w:r>
    </w:p>
  </w:footnote>
  <w:footnote w:id="396">
    <w:p w14:paraId="51A02549" w14:textId="77777777"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Vyššie výdavky na Slovensku môžu byť spôsobené aj celkovým zdravotným stavom populácie (Slovensko zaostáva v počte rokov prežitých v zdraví za priemerom EÚ v roku 2016 približne o 7 rokov, za priemerom V3 je to približne o 5 rokov).</w:t>
      </w:r>
    </w:p>
  </w:footnote>
  <w:footnote w:id="397">
    <w:p w14:paraId="7DBC27C0" w14:textId="0FE208FE"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w:t>
      </w:r>
      <w:r w:rsidRPr="001B1C50">
        <w:rPr>
          <w:szCs w:val="18"/>
        </w:rPr>
        <w:t>Europe 2020 data &amp; People with disabilities - tables (EU SILC 2017)</w:t>
      </w:r>
      <w:r>
        <w:rPr>
          <w:szCs w:val="18"/>
        </w:rPr>
        <w:t xml:space="preserve"> </w:t>
      </w:r>
      <w:r w:rsidRPr="00FD7002">
        <w:rPr>
          <w:szCs w:val="18"/>
        </w:rPr>
        <w:t>(Stefanos Grammenos), December 201</w:t>
      </w:r>
      <w:r>
        <w:rPr>
          <w:szCs w:val="18"/>
        </w:rPr>
        <w:t>9</w:t>
      </w:r>
      <w:r w:rsidRPr="00FD7002">
        <w:rPr>
          <w:szCs w:val="18"/>
        </w:rPr>
        <w:t>.</w:t>
      </w:r>
      <w:r>
        <w:rPr>
          <w:szCs w:val="18"/>
        </w:rPr>
        <w:t>:</w:t>
      </w:r>
      <w:r>
        <w:t xml:space="preserve"> </w:t>
      </w:r>
      <w:hyperlink r:id="rId66" w:history="1">
        <w:r>
          <w:rPr>
            <w:rStyle w:val="Hypertextovprepojenie"/>
          </w:rPr>
          <w:t>https://www.disability-europe.net/downloads/1045-europe-2020-data-people-with-disabilities-tables-eu-silc-2017</w:t>
        </w:r>
      </w:hyperlink>
      <w:r w:rsidRPr="00FD7002">
        <w:rPr>
          <w:szCs w:val="18"/>
        </w:rPr>
        <w:t>. V prieskume EU SILC je zdravotné znevýhodnenie tiež určené na základe samo-definovania zdravotného stavu respondentmi. Respondenti odpovedajú na otázku, či trpia nejakým zdravotným problémom, ktorý ich obmedzuje v každodenných aktivitách.</w:t>
      </w:r>
    </w:p>
  </w:footnote>
  <w:footnote w:id="398">
    <w:p w14:paraId="6B977E40" w14:textId="77777777"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w:t>
      </w:r>
      <w:r w:rsidRPr="00FD7002">
        <w:rPr>
          <w:rFonts w:eastAsia="Arial Narrow" w:cs="Arial Narrow"/>
          <w:szCs w:val="18"/>
        </w:rPr>
        <w:t>Napríklad sa zrušilo zníženie peňažného príspevku na opatrovanie detí s ŤZP navštevujúcich školské zariadenie viac ako 20 hodín týždenne.</w:t>
      </w:r>
    </w:p>
  </w:footnote>
  <w:footnote w:id="399">
    <w:p w14:paraId="4E50EFD1" w14:textId="77777777" w:rsidR="00FA29AF" w:rsidRPr="00FD7002" w:rsidRDefault="00FA29AF" w:rsidP="000A3C71">
      <w:pPr>
        <w:pStyle w:val="Textpoznmkypodiarou"/>
        <w:rPr>
          <w:szCs w:val="18"/>
        </w:rPr>
      </w:pPr>
      <w:r w:rsidRPr="00FD7002">
        <w:rPr>
          <w:rStyle w:val="Odkaznapoznmkupodiarou"/>
          <w:szCs w:val="18"/>
        </w:rPr>
        <w:footnoteRef/>
      </w:r>
      <w:r w:rsidRPr="00FD7002">
        <w:rPr>
          <w:szCs w:val="18"/>
        </w:rPr>
        <w:t xml:space="preserve"> Po dovŕšení 65. roku sa príspevok poskytuje len, ak bol osobe s ŤZP poskytovaný aj pred dovŕšením 65 rokov veku.</w:t>
      </w:r>
    </w:p>
  </w:footnote>
  <w:footnote w:id="400">
    <w:p w14:paraId="120D02D0" w14:textId="77777777" w:rsidR="00FA29AF" w:rsidRPr="00FD7002" w:rsidRDefault="00FA29AF" w:rsidP="000A3C71">
      <w:pPr>
        <w:pStyle w:val="Textpoznmkypodiarou"/>
        <w:rPr>
          <w:szCs w:val="18"/>
        </w:rPr>
      </w:pPr>
      <w:r w:rsidRPr="00FD7002">
        <w:rPr>
          <w:rStyle w:val="Odkaznapoznmkupodiarou"/>
          <w:szCs w:val="18"/>
        </w:rPr>
        <w:footnoteRef/>
      </w:r>
      <w:r w:rsidRPr="00FD7002">
        <w:rPr>
          <w:szCs w:val="18"/>
        </w:rPr>
        <w:t xml:space="preserve"> </w:t>
      </w:r>
      <w:r w:rsidRPr="00FD7002">
        <w:rPr>
          <w:rFonts w:cs="Arial"/>
          <w:color w:val="000000"/>
          <w:szCs w:val="18"/>
        </w:rPr>
        <w:t xml:space="preserve">95% pri príjme do 2-násobku sumy ŽM, 90% pri príjme do 3-násobku sumy ŽM, 70% pri príjme do 4-násobku sumy ŽM, 50% pri príjme do 5-násobku sumy ŽM. </w:t>
      </w:r>
    </w:p>
  </w:footnote>
  <w:footnote w:id="401">
    <w:p w14:paraId="0416FAE7" w14:textId="77777777"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w:t>
      </w:r>
      <w:r w:rsidRPr="00FD7002">
        <w:rPr>
          <w:rFonts w:eastAsia="Arial Narrow" w:cs="Arial Narrow"/>
          <w:szCs w:val="18"/>
        </w:rPr>
        <w:t>Dovtedy bol nárok na plnú sumu príspevku ohraničený príjmom vo výške 4-násobku životného minima.</w:t>
      </w:r>
    </w:p>
  </w:footnote>
  <w:footnote w:id="402">
    <w:p w14:paraId="00A41277" w14:textId="12871351" w:rsidR="00FA29AF" w:rsidRPr="00FD7002" w:rsidRDefault="00FA29AF" w:rsidP="00FD7002">
      <w:pPr>
        <w:pStyle w:val="Textpoznmkypodiarou"/>
        <w:rPr>
          <w:szCs w:val="18"/>
        </w:rPr>
      </w:pPr>
      <w:r w:rsidRPr="00FD7002">
        <w:rPr>
          <w:rStyle w:val="Odkaznapoznmkupodiarou"/>
          <w:szCs w:val="18"/>
        </w:rPr>
        <w:footnoteRef/>
      </w:r>
      <w:r w:rsidRPr="00FD7002">
        <w:rPr>
          <w:rStyle w:val="Odkaznapoznmkupodiarou"/>
          <w:szCs w:val="18"/>
        </w:rPr>
        <w:t xml:space="preserve"> </w:t>
      </w:r>
      <w:r>
        <w:rPr>
          <w:rFonts w:cs="Arial"/>
          <w:color w:val="000000"/>
          <w:szCs w:val="18"/>
        </w:rPr>
        <w:t>Ú</w:t>
      </w:r>
      <w:r w:rsidRPr="00FD7002">
        <w:rPr>
          <w:rFonts w:cs="Arial"/>
          <w:color w:val="000000"/>
          <w:szCs w:val="18"/>
        </w:rPr>
        <w:t>daj je za december 2018.</w:t>
      </w:r>
    </w:p>
  </w:footnote>
  <w:footnote w:id="403">
    <w:p w14:paraId="31650898" w14:textId="77777777" w:rsidR="00FA29AF" w:rsidRPr="00FD7002" w:rsidRDefault="00FA29AF" w:rsidP="00FD7002">
      <w:pPr>
        <w:spacing w:after="0" w:line="240" w:lineRule="auto"/>
        <w:rPr>
          <w:sz w:val="18"/>
          <w:szCs w:val="18"/>
        </w:rPr>
      </w:pPr>
      <w:r w:rsidRPr="00FD7002">
        <w:rPr>
          <w:rStyle w:val="Odkaznapoznmkupodiarou"/>
          <w:sz w:val="18"/>
          <w:szCs w:val="18"/>
        </w:rPr>
        <w:footnoteRef/>
      </w:r>
      <w:r w:rsidRPr="00FD7002">
        <w:rPr>
          <w:sz w:val="18"/>
          <w:szCs w:val="18"/>
        </w:rPr>
        <w:t xml:space="preserve"> </w:t>
      </w:r>
      <w:r w:rsidRPr="00FD7002">
        <w:rPr>
          <w:bCs/>
          <w:sz w:val="18"/>
          <w:szCs w:val="18"/>
        </w:rPr>
        <w:t>Zákon č. 182/1993 Z. z. o vlastníctve bytov a nebytových priestorov (§ 14b)</w:t>
      </w:r>
    </w:p>
  </w:footnote>
  <w:footnote w:id="404">
    <w:p w14:paraId="0C076CE4" w14:textId="77777777"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V roku 2017 sa takýmto podnetom napr. zaoberal Komisár pre osoby so zdravotným postihnutím (Správa o činnosti komisára pre osoby so zdravotným postihnutím za rok 2017).</w:t>
      </w:r>
    </w:p>
  </w:footnote>
  <w:footnote w:id="405">
    <w:p w14:paraId="13E91241" w14:textId="784BB528"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Ageing working group (2017): Country fiche on 2018 pension projections of the Slovak republic: </w:t>
      </w:r>
      <w:hyperlink r:id="rId67" w:history="1">
        <w:r w:rsidRPr="00FD7002">
          <w:rPr>
            <w:szCs w:val="18"/>
          </w:rPr>
          <w:t>https://ec.europa.eu/info/sites/info/files/economy-finance/final_country_fiche_sk.pdf</w:t>
        </w:r>
      </w:hyperlink>
      <w:r>
        <w:rPr>
          <w:szCs w:val="18"/>
        </w:rPr>
        <w:t xml:space="preserve"> </w:t>
      </w:r>
    </w:p>
  </w:footnote>
  <w:footnote w:id="406">
    <w:p w14:paraId="236F2A26" w14:textId="4EF32529"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Do výpočtu vchádzali len zamestnanci a „dohodári“.</w:t>
      </w:r>
      <w:r>
        <w:rPr>
          <w:szCs w:val="18"/>
        </w:rPr>
        <w:t xml:space="preserve"> </w:t>
      </w:r>
      <w:r w:rsidRPr="00FD7002">
        <w:rPr>
          <w:szCs w:val="18"/>
        </w:rPr>
        <w:t xml:space="preserve">Z použitých dát nebolo možné sledovať príjmy SZČO. </w:t>
      </w:r>
    </w:p>
  </w:footnote>
  <w:footnote w:id="407">
    <w:p w14:paraId="44D07C48" w14:textId="77777777" w:rsidR="00FA29AF" w:rsidRPr="00FD7002" w:rsidRDefault="00FA29AF" w:rsidP="00D92EC7">
      <w:pPr>
        <w:pStyle w:val="Textpoznmkypodiarou"/>
        <w:rPr>
          <w:szCs w:val="18"/>
        </w:rPr>
      </w:pPr>
      <w:r w:rsidRPr="00FD7002">
        <w:rPr>
          <w:rStyle w:val="Odkaznapoznmkupodiarou"/>
          <w:szCs w:val="18"/>
        </w:rPr>
        <w:footnoteRef/>
      </w:r>
      <w:r w:rsidRPr="00FD7002">
        <w:rPr>
          <w:szCs w:val="18"/>
        </w:rPr>
        <w:t xml:space="preserve"> Zmena výšky príjmov zo zamestnania bola vypočítaná ako objem miezd rok pred rokom, v ktorom bol invalidnému dôchodcovi priznaný ID s rokom nasledujúceho po roku priznania invalidity. Objem miezd rok pred rokom priznania invalidity môže byť skreslený, keďže je bežnou praxou, že žiadatelia o ID sú rok pred posudkom na dlhodobej PN-ke.</w:t>
      </w:r>
    </w:p>
  </w:footnote>
  <w:footnote w:id="408">
    <w:p w14:paraId="19855E92" w14:textId="3F397607" w:rsidR="00FA29AF" w:rsidRDefault="00FA29AF">
      <w:pPr>
        <w:pStyle w:val="Textpoznmkypodiarou"/>
      </w:pPr>
      <w:r>
        <w:rPr>
          <w:rStyle w:val="Odkaznapoznmkupodiarou"/>
        </w:rPr>
        <w:footnoteRef/>
      </w:r>
      <w:r>
        <w:t xml:space="preserve"> </w:t>
      </w:r>
      <w:r w:rsidRPr="00FD7002">
        <w:t xml:space="preserve">Výbor </w:t>
      </w:r>
      <w:r w:rsidRPr="0058243D">
        <w:t>OSN</w:t>
      </w:r>
      <w:r w:rsidRPr="00FD7002">
        <w:t xml:space="preserve"> pre práva osôb so zdravotným postihnutím: Záverečné odporúčania k východiskovej správe Slovenskej republiky (máj 2016). CRPD/C/SVK/CO/1: dostupné </w:t>
      </w:r>
      <w:hyperlink r:id="rId68" w:history="1">
        <w:r w:rsidRPr="00FD7002">
          <w:rPr>
            <w:rStyle w:val="Hypertextovprepojenie"/>
            <w:rFonts w:eastAsia="Arial Narrow" w:cs="Arial Narrow"/>
            <w:szCs w:val="18"/>
          </w:rPr>
          <w:t>tu</w:t>
        </w:r>
      </w:hyperlink>
    </w:p>
  </w:footnote>
  <w:footnote w:id="409">
    <w:p w14:paraId="3E123C04" w14:textId="77777777" w:rsidR="00FA29AF" w:rsidRDefault="00FA29AF" w:rsidP="00545CC8">
      <w:pPr>
        <w:pStyle w:val="Textpoznmkypodiarou"/>
      </w:pPr>
      <w:r>
        <w:rPr>
          <w:rStyle w:val="Odkaznapoznmkupodiarou"/>
        </w:rPr>
        <w:footnoteRef/>
      </w:r>
      <w:r>
        <w:t xml:space="preserve"> V niektorých vymedzených situáciách </w:t>
      </w:r>
      <w:r w:rsidRPr="00C35529">
        <w:t>(</w:t>
      </w:r>
      <w:r>
        <w:t xml:space="preserve">napr. </w:t>
      </w:r>
      <w:r w:rsidRPr="00C35529">
        <w:t>evidovaná nezamestnanosť, štúdium</w:t>
      </w:r>
      <w:r>
        <w:t xml:space="preserve"> na strednej a vysokej škole</w:t>
      </w:r>
      <w:r w:rsidRPr="00C35529">
        <w:t>)</w:t>
      </w:r>
      <w:r>
        <w:t xml:space="preserve"> existuje možnosť</w:t>
      </w:r>
      <w:r w:rsidRPr="00C35529">
        <w:t xml:space="preserve"> spätného doplatenia poistného na dôchodkové poistenie.</w:t>
      </w:r>
    </w:p>
  </w:footnote>
  <w:footnote w:id="410">
    <w:p w14:paraId="5F20E120" w14:textId="77777777" w:rsidR="00FA29AF" w:rsidRPr="00FD7002" w:rsidRDefault="00FA29AF" w:rsidP="00312202">
      <w:pPr>
        <w:pStyle w:val="Textpoznmkypodiarou"/>
        <w:rPr>
          <w:szCs w:val="18"/>
        </w:rPr>
      </w:pPr>
      <w:r w:rsidRPr="00FD7002">
        <w:rPr>
          <w:rStyle w:val="Odkaznapoznmkupodiarou"/>
          <w:szCs w:val="18"/>
        </w:rPr>
        <w:footnoteRef/>
      </w:r>
      <w:r w:rsidRPr="00FD7002">
        <w:rPr>
          <w:szCs w:val="18"/>
        </w:rPr>
        <w:t xml:space="preserve"> </w:t>
      </w:r>
      <w:r w:rsidRPr="00FD7002">
        <w:rPr>
          <w:rFonts w:eastAsia="Arial Narrow" w:cs="Arial Narrow"/>
          <w:szCs w:val="18"/>
        </w:rPr>
        <w:t>Správa o činnosti komisára pre osoby so zdravotným postihnutím za rok 2018</w:t>
      </w:r>
    </w:p>
  </w:footnote>
  <w:footnote w:id="411">
    <w:p w14:paraId="57FE32AA" w14:textId="6FE3CEAF" w:rsidR="00FA29AF" w:rsidRPr="00FD7002" w:rsidRDefault="00FA29AF" w:rsidP="00A03081">
      <w:pPr>
        <w:pStyle w:val="Textpoznmkypodiarou"/>
        <w:rPr>
          <w:szCs w:val="18"/>
        </w:rPr>
      </w:pPr>
      <w:r w:rsidRPr="00FD7002">
        <w:rPr>
          <w:rStyle w:val="Odkaznapoznmkupodiarou"/>
          <w:szCs w:val="18"/>
        </w:rPr>
        <w:footnoteRef/>
      </w:r>
      <w:r w:rsidRPr="00FD7002">
        <w:rPr>
          <w:szCs w:val="18"/>
        </w:rPr>
        <w:t xml:space="preserve"> Všeobecná deklarácia ľudských práv (1948), Medzinárodný pakt o hospodárskych a kultúrnych právach (1966), Vancouverská deklarácia (1976), Globálna stratégia bývania (1988), U</w:t>
      </w:r>
      <w:r>
        <w:rPr>
          <w:szCs w:val="18"/>
        </w:rPr>
        <w:t>N - Habitat z Istanbulu (1996) a i.</w:t>
      </w:r>
    </w:p>
  </w:footnote>
  <w:footnote w:id="412">
    <w:p w14:paraId="1D837B7F" w14:textId="03598540" w:rsidR="00FA29AF" w:rsidRDefault="00FA29AF" w:rsidP="00A03081">
      <w:pPr>
        <w:pStyle w:val="Textpoznmkypodiarou"/>
      </w:pPr>
      <w:r>
        <w:rPr>
          <w:rStyle w:val="Odkaznapoznmkupodiarou"/>
        </w:rPr>
        <w:footnoteRef/>
      </w:r>
      <w:r>
        <w:t xml:space="preserve"> Ústava SR však obsahuje zmienky o ochrane ľudskej dôstojnosti (čl. 19 ods. 1) a nedotknuteľnosti obydlia (čl. 21 ods. 1). Neuplatňovanie práva na bývanie je odôvodňované existujúcou vlastníckou štruktúrou bytového fondu a možnosťami štátu.</w:t>
      </w:r>
    </w:p>
  </w:footnote>
  <w:footnote w:id="413">
    <w:p w14:paraId="48ECB922" w14:textId="4F6D4310"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Preplnené domácnosti, sú také, v ktorých počet izieb nezodpovedá veľkosti a zloženiu domácnosti (</w:t>
      </w:r>
      <w:hyperlink r:id="rId69" w:history="1">
        <w:r w:rsidRPr="00FD7002">
          <w:rPr>
            <w:rStyle w:val="Hypertextovprepojenie"/>
            <w:szCs w:val="18"/>
          </w:rPr>
          <w:t>https://ec.europa.eu/eurostat/statistics-explained/index.php/Glossary:Overcrowding_rate</w:t>
        </w:r>
      </w:hyperlink>
      <w:r w:rsidRPr="00FD7002">
        <w:rPr>
          <w:szCs w:val="18"/>
        </w:rPr>
        <w:t>). Údaje sú z Eurostatu n</w:t>
      </w:r>
      <w:r>
        <w:rPr>
          <w:szCs w:val="18"/>
        </w:rPr>
        <w:t>a základe prieskumu EU- </w:t>
      </w:r>
      <w:r w:rsidRPr="00FD7002">
        <w:rPr>
          <w:szCs w:val="18"/>
        </w:rPr>
        <w:t>SILC.</w:t>
      </w:r>
    </w:p>
  </w:footnote>
  <w:footnote w:id="414">
    <w:p w14:paraId="60CA8030" w14:textId="77777777" w:rsidR="00FA29AF" w:rsidRPr="00FD7002" w:rsidRDefault="00FA29AF" w:rsidP="00986B94">
      <w:pPr>
        <w:pStyle w:val="Textpoznmkypodiarou"/>
        <w:rPr>
          <w:szCs w:val="18"/>
        </w:rPr>
      </w:pPr>
      <w:r w:rsidRPr="00FD7002">
        <w:rPr>
          <w:rStyle w:val="Odkaznapoznmkupodiarou"/>
          <w:szCs w:val="18"/>
        </w:rPr>
        <w:footnoteRef/>
      </w:r>
      <w:r w:rsidRPr="00FD7002">
        <w:rPr>
          <w:szCs w:val="18"/>
        </w:rPr>
        <w:t xml:space="preserve"> Definícia závažnej deprivácie v bývaní je uvedená v </w:t>
      </w:r>
      <w:r>
        <w:rPr>
          <w:szCs w:val="18"/>
        </w:rPr>
        <w:fldChar w:fldCharType="begin"/>
      </w:r>
      <w:r>
        <w:rPr>
          <w:szCs w:val="18"/>
        </w:rPr>
        <w:instrText xml:space="preserve"> REF _Ref21079087 \h  \* MERGEFORMAT </w:instrText>
      </w:r>
      <w:r>
        <w:rPr>
          <w:szCs w:val="18"/>
        </w:rPr>
      </w:r>
      <w:r>
        <w:rPr>
          <w:szCs w:val="18"/>
        </w:rPr>
        <w:fldChar w:fldCharType="separate"/>
      </w:r>
      <w:r w:rsidRPr="00FA29AF">
        <w:rPr>
          <w:szCs w:val="18"/>
        </w:rPr>
        <w:t>Box 1</w:t>
      </w:r>
      <w:r>
        <w:rPr>
          <w:szCs w:val="18"/>
        </w:rPr>
        <w:fldChar w:fldCharType="end"/>
      </w:r>
      <w:r w:rsidRPr="00FD7002">
        <w:rPr>
          <w:szCs w:val="18"/>
        </w:rPr>
        <w:t>.</w:t>
      </w:r>
    </w:p>
  </w:footnote>
  <w:footnote w:id="415">
    <w:p w14:paraId="53A48B6D" w14:textId="77777777" w:rsidR="00FA29AF" w:rsidRPr="00FD7002" w:rsidRDefault="00FA29AF" w:rsidP="00986B94">
      <w:pPr>
        <w:pStyle w:val="Textpoznmkypodiarou"/>
        <w:rPr>
          <w:szCs w:val="18"/>
        </w:rPr>
      </w:pPr>
      <w:r w:rsidRPr="00FD7002">
        <w:rPr>
          <w:rStyle w:val="Odkaznapoznmkupodiarou"/>
          <w:szCs w:val="18"/>
        </w:rPr>
        <w:footnoteRef/>
      </w:r>
      <w:r w:rsidRPr="00FD7002">
        <w:rPr>
          <w:szCs w:val="18"/>
        </w:rPr>
        <w:t xml:space="preserve"> Definícia rizika chudoby je uvedená v </w:t>
      </w:r>
      <w:r>
        <w:rPr>
          <w:szCs w:val="18"/>
        </w:rPr>
        <w:fldChar w:fldCharType="begin"/>
      </w:r>
      <w:r>
        <w:rPr>
          <w:szCs w:val="18"/>
        </w:rPr>
        <w:instrText xml:space="preserve"> REF _Ref21079087 \h  \* MERGEFORMAT </w:instrText>
      </w:r>
      <w:r>
        <w:rPr>
          <w:szCs w:val="18"/>
        </w:rPr>
      </w:r>
      <w:r>
        <w:rPr>
          <w:szCs w:val="18"/>
        </w:rPr>
        <w:fldChar w:fldCharType="separate"/>
      </w:r>
      <w:r w:rsidRPr="00FA29AF">
        <w:rPr>
          <w:szCs w:val="18"/>
        </w:rPr>
        <w:t>Box 1</w:t>
      </w:r>
      <w:r>
        <w:rPr>
          <w:szCs w:val="18"/>
        </w:rPr>
        <w:fldChar w:fldCharType="end"/>
      </w:r>
      <w:r w:rsidRPr="00FD7002">
        <w:rPr>
          <w:szCs w:val="18"/>
        </w:rPr>
        <w:t>.</w:t>
      </w:r>
    </w:p>
  </w:footnote>
  <w:footnote w:id="416">
    <w:p w14:paraId="6A85B434" w14:textId="77777777" w:rsidR="00FA29AF" w:rsidRPr="00FD7002" w:rsidRDefault="00FA29AF" w:rsidP="00986B94">
      <w:pPr>
        <w:pStyle w:val="Textpoznmkypodiarou"/>
        <w:rPr>
          <w:szCs w:val="18"/>
        </w:rPr>
      </w:pPr>
      <w:r w:rsidRPr="00FD7002">
        <w:rPr>
          <w:rStyle w:val="Odkaznapoznmkupodiarou"/>
          <w:szCs w:val="18"/>
        </w:rPr>
        <w:footnoteRef/>
      </w:r>
      <w:r w:rsidRPr="00FD7002">
        <w:rPr>
          <w:szCs w:val="18"/>
        </w:rPr>
        <w:t xml:space="preserve"> Výber vzorky pre štatistické zisťovanie o príjmoch a životných podmienkach domácností je opísaný v poznámke </w:t>
      </w:r>
      <w:r>
        <w:rPr>
          <w:szCs w:val="18"/>
          <w:highlight w:val="yellow"/>
        </w:rPr>
        <w:fldChar w:fldCharType="begin"/>
      </w:r>
      <w:r>
        <w:rPr>
          <w:szCs w:val="18"/>
        </w:rPr>
        <w:instrText xml:space="preserve"> NOTEREF _Ref25656733 \h </w:instrText>
      </w:r>
      <w:r>
        <w:rPr>
          <w:szCs w:val="18"/>
          <w:highlight w:val="yellow"/>
        </w:rPr>
      </w:r>
      <w:r>
        <w:rPr>
          <w:szCs w:val="18"/>
          <w:highlight w:val="yellow"/>
        </w:rPr>
        <w:fldChar w:fldCharType="separate"/>
      </w:r>
      <w:r>
        <w:rPr>
          <w:szCs w:val="18"/>
        </w:rPr>
        <w:t>11</w:t>
      </w:r>
      <w:r>
        <w:rPr>
          <w:szCs w:val="18"/>
          <w:highlight w:val="yellow"/>
        </w:rPr>
        <w:fldChar w:fldCharType="end"/>
      </w:r>
      <w:r w:rsidRPr="00FD7002">
        <w:rPr>
          <w:szCs w:val="18"/>
        </w:rPr>
        <w:t xml:space="preserve"> v kapitole </w:t>
      </w:r>
      <w:r>
        <w:rPr>
          <w:szCs w:val="18"/>
        </w:rPr>
        <w:fldChar w:fldCharType="begin"/>
      </w:r>
      <w:r>
        <w:rPr>
          <w:szCs w:val="18"/>
        </w:rPr>
        <w:instrText xml:space="preserve"> REF _Ref25321815 \r \h </w:instrText>
      </w:r>
      <w:r>
        <w:rPr>
          <w:szCs w:val="18"/>
        </w:rPr>
      </w:r>
      <w:r>
        <w:rPr>
          <w:szCs w:val="18"/>
        </w:rPr>
        <w:fldChar w:fldCharType="separate"/>
      </w:r>
      <w:r>
        <w:rPr>
          <w:szCs w:val="18"/>
        </w:rPr>
        <w:t>2</w:t>
      </w:r>
      <w:r>
        <w:rPr>
          <w:szCs w:val="18"/>
        </w:rPr>
        <w:fldChar w:fldCharType="end"/>
      </w:r>
      <w:r w:rsidRPr="00FD7002">
        <w:rPr>
          <w:szCs w:val="18"/>
        </w:rPr>
        <w:t>.</w:t>
      </w:r>
    </w:p>
  </w:footnote>
  <w:footnote w:id="417">
    <w:p w14:paraId="53F7F0C6" w14:textId="0B3BEFCD" w:rsidR="00FA29AF" w:rsidRDefault="00FA29AF">
      <w:pPr>
        <w:pStyle w:val="Textpoznmkypodiarou"/>
      </w:pPr>
      <w:r>
        <w:rPr>
          <w:rStyle w:val="Odkaznapoznmkupodiarou"/>
        </w:rPr>
        <w:footnoteRef/>
      </w:r>
      <w:r>
        <w:t xml:space="preserve"> </w:t>
      </w:r>
      <w:r w:rsidRPr="00CA2564">
        <w:t xml:space="preserve">Relatívne dobré výsledky Českej republiky môžu byť dôsledkom oveľa lepšej dostupnosti obecných bytov aj kvôli vyššej miere urbanizácie </w:t>
      </w:r>
      <w:r w:rsidRPr="00243633">
        <w:t>rómskeho obyvateľstva. Kým 59 % Rómov v Českej republike býva v obecnom byte, na Slovensku je to iba 5 % (</w:t>
      </w:r>
      <w:r w:rsidRPr="00243633">
        <w:rPr>
          <w:rFonts w:eastAsia="MyriadPro-Regular" w:cs="MyriadPro-Regular"/>
        </w:rPr>
        <w:t>Perić, 2012</w:t>
      </w:r>
      <w:r w:rsidRPr="00243633">
        <w:t>).</w:t>
      </w:r>
    </w:p>
  </w:footnote>
  <w:footnote w:id="418">
    <w:p w14:paraId="3FBB76FD" w14:textId="77777777" w:rsidR="00FA29AF" w:rsidRPr="00FD7002" w:rsidRDefault="00FA29AF" w:rsidP="00DF2F11">
      <w:pPr>
        <w:pStyle w:val="Textpoznmkypodiarou"/>
        <w:rPr>
          <w:szCs w:val="18"/>
        </w:rPr>
      </w:pPr>
      <w:r w:rsidRPr="00FD7002">
        <w:rPr>
          <w:rStyle w:val="Odkaznapoznmkupodiarou"/>
          <w:szCs w:val="18"/>
        </w:rPr>
        <w:footnoteRef/>
      </w:r>
      <w:r w:rsidRPr="00FD7002">
        <w:rPr>
          <w:szCs w:val="18"/>
        </w:rPr>
        <w:t xml:space="preserve"> Príčiny nelegálnosti stavby nemusia priamo súvisieť s jej kvalitou. Nelegálne obydlia s technicky dostatočnou kvalitou by teoreticky bolo možné v budúcnosti dodatočne legalizovať.</w:t>
      </w:r>
    </w:p>
  </w:footnote>
  <w:footnote w:id="419">
    <w:p w14:paraId="40D3B124" w14:textId="46BFA5E7" w:rsidR="00FA29AF" w:rsidRDefault="00FA29AF" w:rsidP="00C41101">
      <w:pPr>
        <w:pStyle w:val="Textpoznmkypodiarou"/>
      </w:pPr>
      <w:r>
        <w:rPr>
          <w:rStyle w:val="Odkaznapoznmkupodiarou"/>
        </w:rPr>
        <w:footnoteRef/>
      </w:r>
      <w:r>
        <w:t xml:space="preserve"> Údaje z Atlasu rómskych komunít 2013 nakoľko v roku 2019 sa tieto údaje nezbierali.</w:t>
      </w:r>
    </w:p>
  </w:footnote>
  <w:footnote w:id="420">
    <w:p w14:paraId="4838516F" w14:textId="30B80A73" w:rsidR="00FA29AF" w:rsidRPr="00FD7002" w:rsidRDefault="00FA29AF" w:rsidP="00CB1850">
      <w:pPr>
        <w:pStyle w:val="Textpoznmkypodiarou"/>
        <w:rPr>
          <w:szCs w:val="18"/>
        </w:rPr>
      </w:pPr>
      <w:r w:rsidRPr="00FD7002">
        <w:rPr>
          <w:rStyle w:val="Odkaznapoznmkupodiarou"/>
          <w:szCs w:val="18"/>
        </w:rPr>
        <w:footnoteRef/>
      </w:r>
      <w:r w:rsidRPr="00FD7002">
        <w:rPr>
          <w:szCs w:val="18"/>
        </w:rPr>
        <w:t xml:space="preserve"> </w:t>
      </w:r>
      <w:r w:rsidRPr="00FD7002">
        <w:rPr>
          <w:rFonts w:cs="Calibri"/>
          <w:szCs w:val="18"/>
        </w:rPr>
        <w:t>Výpočty sú založené na údajoch z Atlasu rómskych komunít, a ohrozená rómska populácia zahŕňa iba obyvateľov segregovaných miestnych častí. Rómov žijúcich v rozptyle s majoritnou populáciou nebolo možné identifikovať,</w:t>
      </w:r>
      <w:r>
        <w:rPr>
          <w:rFonts w:cs="Calibri"/>
          <w:szCs w:val="18"/>
        </w:rPr>
        <w:t xml:space="preserve"> lebo žijú integrovane, preto celkové číslo 4 </w:t>
      </w:r>
      <w:r w:rsidRPr="00FD7002">
        <w:rPr>
          <w:rFonts w:cs="Calibri"/>
          <w:szCs w:val="18"/>
        </w:rPr>
        <w:t>800 ohrozených rómskych obyvateľov je pravdepodobne podhodnotené.</w:t>
      </w:r>
    </w:p>
  </w:footnote>
  <w:footnote w:id="421">
    <w:p w14:paraId="3D1B1A66" w14:textId="5964EE75" w:rsidR="00FA29AF" w:rsidRDefault="00FA29AF" w:rsidP="00D3189B">
      <w:pPr>
        <w:pStyle w:val="Textpoznmkypodiarou"/>
      </w:pPr>
      <w:r>
        <w:rPr>
          <w:rStyle w:val="Odkaznapoznmkupodiarou"/>
        </w:rPr>
        <w:footnoteRef/>
      </w:r>
      <w:r>
        <w:t xml:space="preserve"> Menej ako 50 % obyvateľov osídlenia má k dispozícii kuku/bobor na zber odpadu a zároveň v osídlení nie je zabezpečený veľkokapacitný kontajner (zdroj Atlas rómskych komunít 2019).</w:t>
      </w:r>
    </w:p>
  </w:footnote>
  <w:footnote w:id="422">
    <w:p w14:paraId="3271C168" w14:textId="30B1635E" w:rsidR="00FA29AF" w:rsidRPr="00FD7002" w:rsidRDefault="00FA29AF">
      <w:pPr>
        <w:pStyle w:val="Textpoznmkypodiarou"/>
        <w:rPr>
          <w:szCs w:val="18"/>
        </w:rPr>
      </w:pPr>
      <w:r w:rsidRPr="00FD7002">
        <w:rPr>
          <w:rStyle w:val="Odkaznapoznmkupodiarou"/>
          <w:szCs w:val="18"/>
        </w:rPr>
        <w:footnoteRef/>
      </w:r>
      <w:r w:rsidRPr="00FD7002">
        <w:rPr>
          <w:szCs w:val="18"/>
        </w:rPr>
        <w:t xml:space="preserve"> Koncepcia je rámcový dokument stanovujúci priority a nástroje štátnej bytovej politiky</w:t>
      </w:r>
      <w:r>
        <w:rPr>
          <w:szCs w:val="18"/>
        </w:rPr>
        <w:t xml:space="preserve">: </w:t>
      </w:r>
      <w:hyperlink r:id="rId70" w:history="1">
        <w:r w:rsidRPr="00CA2564">
          <w:rPr>
            <w:rStyle w:val="Hypertextovprepojenie"/>
          </w:rPr>
          <w:t>https://www.mindop.sk/ministerstvo-1/vystavba-5/bytova-politika/dokumenty/koncepcie</w:t>
        </w:r>
      </w:hyperlink>
    </w:p>
  </w:footnote>
  <w:footnote w:id="423">
    <w:p w14:paraId="511577F0" w14:textId="77777777"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Zákon č. 443/2010 o dotáciách na rozvoj bývania a o sociálnom bývaní. Jedná sa o „bývanie obstarané s použitím verejných prostriedkov určené na primerané a ľudsky dôstojné bývanie fyzických osôb, ktoré si nemôžu obstarať bývanie vlastným pričinením a spĺňajú podmienky podľa tohto zákona“</w:t>
      </w:r>
    </w:p>
  </w:footnote>
  <w:footnote w:id="424">
    <w:p w14:paraId="3FA72521" w14:textId="77777777"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V podmienkach SR upravuje výšku nájmu Opatrenie MF SR z 1. decembra 2011 č. 01/R/2011, ktorým sa mení a dopĺňa opatrenie Ministerstva financií Slovenskej republiky z 23. apríla 2008 č. 01/R/2008 o regulácii cien nájmu bytov v znení opatrenia z 25. septembra 2008 č. 02/R/2008. V § 2 ods. 1 sa uvádza maximálna výška ročného nájmu vo výške 5 % z obstarávacej ceny bytu.</w:t>
      </w:r>
    </w:p>
  </w:footnote>
  <w:footnote w:id="425">
    <w:p w14:paraId="0A482EE5" w14:textId="77777777"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ak (1) je členom tejto domácnosti osoba s ťažkým zdravotným postihnutím, (2) ide o domácnosť osamelého rodiča s nezaopatreným dieťaťom, alebo (3) aspoň jeden z členov tejto domácnosti zabezpečuje zdravotnícku starostlivosť, sociálne a všeobecne prospešné spoločenské služby, vzdelávanie, kultúru alebo ochranu obyvateľov obce</w:t>
      </w:r>
    </w:p>
  </w:footnote>
  <w:footnote w:id="426">
    <w:p w14:paraId="721FA713" w14:textId="77777777" w:rsidR="00FA29AF" w:rsidRPr="00FD7002" w:rsidRDefault="00FA29AF" w:rsidP="00837D80">
      <w:pPr>
        <w:pStyle w:val="Textpoznmkypodiarou"/>
        <w:rPr>
          <w:szCs w:val="18"/>
        </w:rPr>
      </w:pPr>
      <w:r w:rsidRPr="00FD7002">
        <w:rPr>
          <w:rStyle w:val="Odkaznapoznmkupodiarou"/>
          <w:szCs w:val="18"/>
        </w:rPr>
        <w:footnoteRef/>
      </w:r>
      <w:r w:rsidRPr="00FD7002">
        <w:rPr>
          <w:szCs w:val="18"/>
        </w:rPr>
        <w:t xml:space="preserve"> zákon č. 150/2013 Z. z. o Štátnom fonde rozvoja bývania v znení neskorších predpisov</w:t>
      </w:r>
    </w:p>
  </w:footnote>
  <w:footnote w:id="427">
    <w:p w14:paraId="43596D1A" w14:textId="77777777" w:rsidR="00FA29AF" w:rsidRPr="00FD7002" w:rsidRDefault="00FA29AF" w:rsidP="00837D80">
      <w:pPr>
        <w:pStyle w:val="Textpoznmkypodiarou"/>
        <w:rPr>
          <w:szCs w:val="18"/>
        </w:rPr>
      </w:pPr>
      <w:r w:rsidRPr="00FD7002">
        <w:rPr>
          <w:rStyle w:val="Odkaznapoznmkupodiarou"/>
          <w:szCs w:val="18"/>
        </w:rPr>
        <w:footnoteRef/>
      </w:r>
      <w:r w:rsidRPr="00FD7002">
        <w:rPr>
          <w:szCs w:val="18"/>
        </w:rPr>
        <w:t xml:space="preserve"> Zákon č. 443/2010 Z. z. o dotáciách na rozvoj bývania a o sociálnom bývaní</w:t>
      </w:r>
      <w:r>
        <w:rPr>
          <w:szCs w:val="18"/>
        </w:rPr>
        <w:t xml:space="preserve"> v znení neskorších predpisov</w:t>
      </w:r>
    </w:p>
  </w:footnote>
  <w:footnote w:id="428">
    <w:p w14:paraId="73BEB5AE" w14:textId="2373FC76" w:rsidR="00FA29AF" w:rsidRDefault="00FA29AF">
      <w:pPr>
        <w:pStyle w:val="Textpoznmkypodiarou"/>
      </w:pPr>
      <w:r>
        <w:rPr>
          <w:rStyle w:val="Odkaznapoznmkupodiarou"/>
        </w:rPr>
        <w:footnoteRef/>
      </w:r>
      <w:r>
        <w:t xml:space="preserve"> </w:t>
      </w:r>
      <w:r w:rsidRPr="00FD7002">
        <w:rPr>
          <w:szCs w:val="18"/>
        </w:rPr>
        <w:t>Na Slovensku sa uplatňuje tzv. duálny model sociálneho bývania. V praxi to znamená, že legislatívne sú vymedzené 2 odlišné typy bytov: sociálne byty bežného (</w:t>
      </w:r>
      <w:r>
        <w:rPr>
          <w:szCs w:val="18"/>
        </w:rPr>
        <w:t xml:space="preserve">do </w:t>
      </w:r>
      <w:r w:rsidRPr="00FD7002">
        <w:rPr>
          <w:szCs w:val="18"/>
        </w:rPr>
        <w:t>80m2) a nižšieho (</w:t>
      </w:r>
      <w:r>
        <w:rPr>
          <w:szCs w:val="18"/>
        </w:rPr>
        <w:t xml:space="preserve">do </w:t>
      </w:r>
      <w:r w:rsidRPr="00FD7002">
        <w:rPr>
          <w:szCs w:val="18"/>
        </w:rPr>
        <w:t>60m2) štandardu.</w:t>
      </w:r>
      <w:r>
        <w:rPr>
          <w:szCs w:val="18"/>
        </w:rPr>
        <w:t xml:space="preserve"> </w:t>
      </w:r>
      <w:r>
        <w:t xml:space="preserve">Nižší štandard nájomného bývania s regulovaným nájmom musí spĺňať rovnaké kritériá stavebného zákona a zákona o energetickej hospodárnosti budov ako bývanie bežného štandardu. </w:t>
      </w:r>
    </w:p>
  </w:footnote>
  <w:footnote w:id="429">
    <w:p w14:paraId="0793D056" w14:textId="0651F1F9" w:rsidR="00FA29AF" w:rsidRDefault="00FA29AF">
      <w:pPr>
        <w:pStyle w:val="Textpoznmkypodiarou"/>
      </w:pPr>
      <w:r>
        <w:rPr>
          <w:rStyle w:val="Odkaznapoznmkupodiarou"/>
        </w:rPr>
        <w:footnoteRef/>
      </w:r>
      <w:r>
        <w:t xml:space="preserve"> Maximálna cena ročného nájomného pri bytoch podporených dotáciou MDV je stanovená ako 5 % obstarávacej ceny: Opatrenie Ministerstva financií Slovenskej republiky z 23. apríla 2008 č. 01/R/2008 o regulácii cien nájmu bytov.</w:t>
      </w:r>
    </w:p>
  </w:footnote>
  <w:footnote w:id="430">
    <w:p w14:paraId="3BB9A2EC" w14:textId="5E0A84D0" w:rsidR="00FA29AF" w:rsidRDefault="00FA29AF">
      <w:pPr>
        <w:pStyle w:val="Textpoznmkypodiarou"/>
      </w:pPr>
      <w:r>
        <w:rPr>
          <w:rStyle w:val="Odkaznapoznmkupodiarou"/>
        </w:rPr>
        <w:footnoteRef/>
      </w:r>
      <w:r>
        <w:t xml:space="preserve"> Výpočet predpokladá rodinu dvoch rodičov a dve deti, s nárokom na jeden aktivačný príspevok, dva príspevky na nezaopatrené dieťa, príspevok na bývanie a dva prídavky na dieťa (spolu 369,10 eur).</w:t>
      </w:r>
    </w:p>
  </w:footnote>
  <w:footnote w:id="431">
    <w:p w14:paraId="0DA256B5" w14:textId="77777777" w:rsidR="00FA29AF" w:rsidRPr="00FD7002" w:rsidRDefault="00FA29AF" w:rsidP="00CB1850">
      <w:pPr>
        <w:pStyle w:val="Textpoznmkypodiarou"/>
        <w:rPr>
          <w:szCs w:val="18"/>
        </w:rPr>
      </w:pPr>
      <w:r w:rsidRPr="00FD7002">
        <w:rPr>
          <w:rStyle w:val="Odkaznapoznmkupodiarou"/>
          <w:szCs w:val="18"/>
        </w:rPr>
        <w:footnoteRef/>
      </w:r>
      <w:r w:rsidRPr="00FD7002">
        <w:rPr>
          <w:szCs w:val="18"/>
        </w:rPr>
        <w:t xml:space="preserve"> </w:t>
      </w:r>
      <w:hyperlink r:id="rId71" w:history="1">
        <w:r w:rsidRPr="00FD7002">
          <w:rPr>
            <w:rStyle w:val="Hypertextovprepojenie"/>
            <w:szCs w:val="18"/>
          </w:rPr>
          <w:t>https://reality.etrend.sk/byvanie/prieskum-ukazal-ze-starostovia-a-primatori-podporuju-najomne-byvanie.html</w:t>
        </w:r>
      </w:hyperlink>
      <w:r w:rsidRPr="00FD7002">
        <w:rPr>
          <w:szCs w:val="18"/>
        </w:rPr>
        <w:t xml:space="preserve"> </w:t>
      </w:r>
    </w:p>
  </w:footnote>
  <w:footnote w:id="432">
    <w:p w14:paraId="27E51341" w14:textId="77777777" w:rsidR="00FA29AF" w:rsidRPr="00D75C23" w:rsidRDefault="00FA29AF" w:rsidP="00CB1850">
      <w:pPr>
        <w:pStyle w:val="Textpoznmkypodiarou"/>
      </w:pPr>
      <w:r>
        <w:rPr>
          <w:rStyle w:val="Odkaznapoznmkupodiarou"/>
        </w:rPr>
        <w:footnoteRef/>
      </w:r>
      <w:r>
        <w:t xml:space="preserve"> </w:t>
      </w:r>
      <w:hyperlink r:id="rId72" w:history="1">
        <w:r w:rsidRPr="00CA2564">
          <w:rPr>
            <w:rStyle w:val="Hypertextovprepojenie"/>
          </w:rPr>
          <w:t>https://katarinasmatanova.com/2018/05/06/socialne-byvanie-na-slovensku-prehlad/</w:t>
        </w:r>
      </w:hyperlink>
    </w:p>
  </w:footnote>
  <w:footnote w:id="433">
    <w:p w14:paraId="7B5D9C37" w14:textId="77777777"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Príkladom je sídlisko Luník IX, ktoré sa v dôsledku krátkozrakých opatrení stalo jedným z najväčších segregovaných sídlisk s vysokou mierou deprivácie v strednej Európe</w:t>
      </w:r>
    </w:p>
  </w:footnote>
  <w:footnote w:id="434">
    <w:p w14:paraId="50062D8C" w14:textId="071AEE77" w:rsidR="00FA29AF" w:rsidRDefault="00FA29AF">
      <w:pPr>
        <w:pStyle w:val="Textpoznmkypodiarou"/>
      </w:pPr>
      <w:r>
        <w:rPr>
          <w:rStyle w:val="Odkaznapoznmkupodiarou"/>
        </w:rPr>
        <w:footnoteRef/>
      </w:r>
      <w:r>
        <w:t xml:space="preserve"> </w:t>
      </w:r>
      <w:hyperlink r:id="rId73" w:history="1">
        <w:r w:rsidRPr="00100CC9">
          <w:rPr>
            <w:rStyle w:val="Hypertextovprepojenie"/>
          </w:rPr>
          <w:t>https://www.minv.sk/swift_data/source/romovia/publikacie/Velky%20Krtis%20final.pdf</w:t>
        </w:r>
      </w:hyperlink>
      <w:r>
        <w:t xml:space="preserve"> </w:t>
      </w:r>
    </w:p>
  </w:footnote>
  <w:footnote w:id="435">
    <w:p w14:paraId="513EF31A" w14:textId="77777777"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w:t>
      </w:r>
      <w:r w:rsidRPr="00FD7002">
        <w:rPr>
          <w:bCs/>
          <w:szCs w:val="18"/>
        </w:rPr>
        <w:t>Zákon č. 443/2010 Z. z</w:t>
      </w:r>
    </w:p>
  </w:footnote>
  <w:footnote w:id="436">
    <w:p w14:paraId="29732C28" w14:textId="77777777" w:rsidR="00FA29AF" w:rsidRPr="00FD7002" w:rsidRDefault="00FA29AF" w:rsidP="00CA11E1">
      <w:pPr>
        <w:pStyle w:val="Textpoznmkypodiarou"/>
        <w:rPr>
          <w:szCs w:val="18"/>
        </w:rPr>
      </w:pPr>
      <w:r w:rsidRPr="00FD7002">
        <w:rPr>
          <w:rStyle w:val="Odkaznapoznmkupodiarou"/>
          <w:szCs w:val="18"/>
        </w:rPr>
        <w:footnoteRef/>
      </w:r>
      <w:r w:rsidRPr="00FD7002">
        <w:rPr>
          <w:szCs w:val="18"/>
        </w:rPr>
        <w:t xml:space="preserve"> </w:t>
      </w:r>
      <w:hyperlink r:id="rId74" w:history="1">
        <w:r w:rsidRPr="00FD7002">
          <w:rPr>
            <w:rStyle w:val="Hypertextovprepojenie"/>
            <w:szCs w:val="18"/>
          </w:rPr>
          <w:t>https://www.iamexpat.nl/housing/netherlands-rentals/social-housing-private-free-sector</w:t>
        </w:r>
      </w:hyperlink>
      <w:r w:rsidRPr="00FD7002">
        <w:rPr>
          <w:color w:val="000000" w:themeColor="text1"/>
          <w:szCs w:val="18"/>
        </w:rPr>
        <w:t xml:space="preserve"> </w:t>
      </w:r>
    </w:p>
  </w:footnote>
  <w:footnote w:id="437">
    <w:p w14:paraId="04C60DC4" w14:textId="515B5BD7" w:rsidR="00FA29AF" w:rsidRPr="00D75C23" w:rsidRDefault="00FA29AF">
      <w:pPr>
        <w:pStyle w:val="Textpoznmkypodiarou"/>
      </w:pPr>
      <w:r>
        <w:rPr>
          <w:rStyle w:val="Odkaznapoznmkupodiarou"/>
        </w:rPr>
        <w:footnoteRef/>
      </w:r>
      <w:r>
        <w:t xml:space="preserve"> </w:t>
      </w:r>
      <w:hyperlink r:id="rId75" w:history="1">
        <w:r w:rsidRPr="00CA2564">
          <w:rPr>
            <w:rStyle w:val="Hypertextovprepojenie"/>
          </w:rPr>
          <w:t>https://www.government.nl/topics/housing/housing-associations</w:t>
        </w:r>
      </w:hyperlink>
    </w:p>
  </w:footnote>
  <w:footnote w:id="438">
    <w:p w14:paraId="7BA603D8" w14:textId="77777777"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Zákon č. 448/2008 Z. z. o sociálnych službách a o zmene a doplnení zákona č. 455/1991 Zb. o živnostenskom podnikaní (živnostenský zákon) v znení neskorších predpisov</w:t>
      </w:r>
    </w:p>
  </w:footnote>
  <w:footnote w:id="439">
    <w:p w14:paraId="6A05BAE3" w14:textId="101CF6EB" w:rsidR="00FA29AF" w:rsidRPr="00FD7002" w:rsidRDefault="00FA29AF" w:rsidP="00CB6EAE">
      <w:pPr>
        <w:pStyle w:val="Textpoznmkypodiarou"/>
        <w:rPr>
          <w:szCs w:val="18"/>
        </w:rPr>
      </w:pPr>
      <w:r w:rsidRPr="00FD7002">
        <w:rPr>
          <w:rStyle w:val="Odkaznapoznmkupodiarou"/>
          <w:szCs w:val="18"/>
        </w:rPr>
        <w:footnoteRef/>
      </w:r>
      <w:r w:rsidRPr="00FD7002">
        <w:rPr>
          <w:szCs w:val="18"/>
        </w:rPr>
        <w:t xml:space="preserve"> Kým poskytovanie, resp. zabezpečovanie terénnej služby krízovej intervencie a nepobytových služieb patrí do pôsobnosti miest a obcí, nocľahárne sú rovnako v pôsobnosti miest a obcí, pričom sa na ich financovaní podieľa aj štát prostredníctvom príspevku, ktorý sa poskytuje tak mestskej samospráve, ako aj neverejným poskytovateľom. Zariadenia dočasného ubytovania, vrátane tých, ktoré sú zriadené neverejnými poskytovateľmi, sú v pôsobnosti regionálnej samosprávy, vyšších územných celkov, ale s výnimkou domovov na polceste môžu byť zriadené aj mestskou samosprávou. V prípade, ak sú zariadenia dočasného ubytovania zriadené mestskou samosprávou, majú nárok na spolufinancovanie z príspevku ministerstva práce. (Ondrušová a </w:t>
      </w:r>
      <w:r>
        <w:rPr>
          <w:szCs w:val="18"/>
        </w:rPr>
        <w:t>Fico</w:t>
      </w:r>
      <w:r w:rsidRPr="00FD7002">
        <w:rPr>
          <w:szCs w:val="18"/>
        </w:rPr>
        <w:t>, 2018)</w:t>
      </w:r>
    </w:p>
  </w:footnote>
  <w:footnote w:id="440">
    <w:p w14:paraId="78DF9577" w14:textId="2A14255C" w:rsidR="00FA29AF" w:rsidRPr="00FD7002" w:rsidRDefault="00FA29AF" w:rsidP="00CB6EAE">
      <w:pPr>
        <w:pStyle w:val="Textpoznmkypodiarou"/>
        <w:rPr>
          <w:szCs w:val="18"/>
        </w:rPr>
      </w:pPr>
      <w:r w:rsidRPr="00FD7002">
        <w:rPr>
          <w:rStyle w:val="Odkaznapoznmkupodiarou"/>
          <w:szCs w:val="18"/>
        </w:rPr>
        <w:footnoteRef/>
      </w:r>
      <w:r w:rsidRPr="00FD7002">
        <w:rPr>
          <w:szCs w:val="18"/>
        </w:rPr>
        <w:t xml:space="preserve"> „Porovnanie spôsobu trávenia noci v čase sčítania (v novembri v roku 2016) a pred rokom (v novembri v roku 2015), ukázalo, že takmer 80 % ľudí, ktorí noc sčítania prespali v maringotke, chatke alebo garáži, strávili takto aj noc pred rokom. Spomedzi tých, ktorí v noc sčítania prespali na ulici, takmer polovica (49 %) trávila noc na ulici aj pred rokom.“ (Csomor, 2016, Ondrušová a </w:t>
      </w:r>
      <w:r>
        <w:rPr>
          <w:szCs w:val="18"/>
        </w:rPr>
        <w:t>Fico</w:t>
      </w:r>
      <w:r w:rsidRPr="00FD7002">
        <w:rPr>
          <w:szCs w:val="18"/>
        </w:rPr>
        <w:t>, 2018)</w:t>
      </w:r>
    </w:p>
  </w:footnote>
  <w:footnote w:id="441">
    <w:p w14:paraId="10B1B31B" w14:textId="77777777" w:rsidR="00FA29AF" w:rsidRPr="00FD7002" w:rsidRDefault="00FA29AF" w:rsidP="00A85C93">
      <w:pPr>
        <w:autoSpaceDE w:val="0"/>
        <w:autoSpaceDN w:val="0"/>
        <w:adjustRightInd w:val="0"/>
        <w:spacing w:after="0" w:line="240" w:lineRule="auto"/>
        <w:rPr>
          <w:rFonts w:cs="Times New Roman"/>
          <w:sz w:val="18"/>
          <w:szCs w:val="18"/>
        </w:rPr>
      </w:pPr>
      <w:r w:rsidRPr="00FD7002">
        <w:rPr>
          <w:rStyle w:val="Odkaznapoznmkupodiarou"/>
          <w:sz w:val="18"/>
          <w:szCs w:val="18"/>
        </w:rPr>
        <w:footnoteRef/>
      </w:r>
      <w:r w:rsidRPr="00FD7002">
        <w:rPr>
          <w:sz w:val="18"/>
          <w:szCs w:val="18"/>
        </w:rPr>
        <w:t xml:space="preserve"> </w:t>
      </w:r>
      <w:r w:rsidRPr="00FD7002">
        <w:rPr>
          <w:rFonts w:cs="Times New Roman"/>
          <w:sz w:val="18"/>
          <w:szCs w:val="18"/>
        </w:rPr>
        <w:t xml:space="preserve">Išlo o </w:t>
      </w:r>
      <w:r w:rsidRPr="00FD7002">
        <w:rPr>
          <w:rFonts w:eastAsia="TimesNewRomanPSMT" w:cs="TimesNewRomanPSMT"/>
          <w:sz w:val="18"/>
          <w:szCs w:val="18"/>
        </w:rPr>
        <w:t xml:space="preserve">osoby sčítané v </w:t>
      </w:r>
      <w:r w:rsidRPr="00FD7002">
        <w:rPr>
          <w:rFonts w:cs="Times New Roman"/>
          <w:sz w:val="18"/>
          <w:szCs w:val="18"/>
        </w:rPr>
        <w:t xml:space="preserve">obydlí mimo bytového fondu, hromadnom </w:t>
      </w:r>
      <w:r w:rsidRPr="00FD7002">
        <w:rPr>
          <w:rFonts w:eastAsia="TimesNewRomanPSMT" w:cs="TimesNewRomanPSMT"/>
          <w:sz w:val="18"/>
          <w:szCs w:val="18"/>
        </w:rPr>
        <w:t>ubytovacom zariadení dočasného ubytovania (nocľaháreň, domov na pol ceste, útulok,</w:t>
      </w:r>
      <w:r w:rsidRPr="00FD7002">
        <w:rPr>
          <w:rFonts w:cs="Times New Roman"/>
          <w:sz w:val="18"/>
          <w:szCs w:val="18"/>
        </w:rPr>
        <w:t xml:space="preserve"> </w:t>
      </w:r>
      <w:r w:rsidRPr="00FD7002">
        <w:rPr>
          <w:rFonts w:eastAsia="TimesNewRomanPSMT" w:cs="TimesNewRomanPSMT"/>
          <w:sz w:val="18"/>
          <w:szCs w:val="18"/>
        </w:rPr>
        <w:t xml:space="preserve">ubytovňa pre ľudí bez domova, zariadenia pre ľudí bez domova), bez prístrešia a </w:t>
      </w:r>
      <w:r w:rsidRPr="00FD7002">
        <w:rPr>
          <w:rFonts w:cs="Times New Roman"/>
          <w:sz w:val="18"/>
          <w:szCs w:val="18"/>
        </w:rPr>
        <w:t xml:space="preserve">vo fiktívnom </w:t>
      </w:r>
      <w:r w:rsidRPr="00FD7002">
        <w:rPr>
          <w:rFonts w:eastAsia="TimesNewRomanPSMT" w:cs="TimesNewRomanPSMT"/>
          <w:sz w:val="18"/>
          <w:szCs w:val="18"/>
        </w:rPr>
        <w:t xml:space="preserve">dome. </w:t>
      </w:r>
      <w:r w:rsidRPr="00FD7002">
        <w:rPr>
          <w:rFonts w:cs="Times New Roman"/>
          <w:sz w:val="18"/>
          <w:szCs w:val="18"/>
        </w:rPr>
        <w:t xml:space="preserve">Osoby bez prístrešia, prespávajúce vonku na ulici, neboli </w:t>
      </w:r>
      <w:r w:rsidRPr="00FD7002">
        <w:rPr>
          <w:rFonts w:eastAsia="TimesNewRomanPSMT" w:cs="TimesNewRomanPSMT"/>
          <w:sz w:val="18"/>
          <w:szCs w:val="18"/>
        </w:rPr>
        <w:t>do sčítania zahrnuté.</w:t>
      </w:r>
    </w:p>
  </w:footnote>
  <w:footnote w:id="442">
    <w:p w14:paraId="0C30DCD7" w14:textId="77777777"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Napríklad, kým podľa sčítania obyvateľov z roku 2011 bolo v Bratislave 1 800 ľudí bez domova, podľa sčítania, ktoré realizoval Inštitút pre výskum práce a rodiny v spolupráci s mestom Bratislava a mimovládnymi organizáciami, ich v roku 2016 bolo minimálne 2 064 (Ondrušová a spol., 2016). Občianske združenie Vagus má pritom vo svojom elektronickom registri klientov za šesť rokov svojej prevádzky viac ako 4 000 klientov (Dráb a spol., 2019).</w:t>
      </w:r>
    </w:p>
  </w:footnote>
  <w:footnote w:id="443">
    <w:p w14:paraId="1A7279D7" w14:textId="1F533148" w:rsidR="00FA29AF" w:rsidRDefault="00FA29AF" w:rsidP="005D3372">
      <w:pPr>
        <w:pStyle w:val="Textpoznmkypodiarou"/>
      </w:pPr>
      <w:r>
        <w:rPr>
          <w:rStyle w:val="Odkaznapoznmkupodiarou"/>
        </w:rPr>
        <w:footnoteRef/>
      </w:r>
      <w:r>
        <w:t xml:space="preserve"> Na MPSVR SR sa začali </w:t>
      </w:r>
      <w:r>
        <w:rPr>
          <w:szCs w:val="18"/>
        </w:rPr>
        <w:t>aktivity smerujúce k prijatiu takejto stratégie. Prvým krokom bolo vypracovanie dokumentu „Podkladový materiál koncepcie prevencie a riešenia bezdomovectva na národnej úrovni“ (Ondrušová a Fico 2018), dodnes však ale v tomto smere nebol prijatý žiaden záväzný vládny dokument.</w:t>
      </w:r>
    </w:p>
  </w:footnote>
  <w:footnote w:id="444">
    <w:p w14:paraId="37947F77" w14:textId="77777777" w:rsidR="00FA29AF" w:rsidRPr="00FD7002" w:rsidRDefault="00FA29AF" w:rsidP="00F765FD">
      <w:pPr>
        <w:pStyle w:val="Textpoznmkypodiarou"/>
        <w:rPr>
          <w:szCs w:val="18"/>
        </w:rPr>
      </w:pPr>
      <w:r w:rsidRPr="00FD7002">
        <w:rPr>
          <w:rStyle w:val="Odkaznapoznmkupodiarou"/>
          <w:szCs w:val="18"/>
        </w:rPr>
        <w:footnoteRef/>
      </w:r>
      <w:r w:rsidRPr="00FD7002">
        <w:rPr>
          <w:szCs w:val="18"/>
        </w:rPr>
        <w:t xml:space="preserve"> European Typology of Homelessness and Housing Exclusion: </w:t>
      </w:r>
      <w:hyperlink r:id="rId76" w:history="1">
        <w:r w:rsidRPr="00FD7002">
          <w:rPr>
            <w:rStyle w:val="Hypertextovprepojenie"/>
            <w:szCs w:val="18"/>
          </w:rPr>
          <w:t>https://www.feantsa.org/download/en-16822651433655843804.pdf</w:t>
        </w:r>
      </w:hyperlink>
    </w:p>
  </w:footnote>
  <w:footnote w:id="445">
    <w:p w14:paraId="70C5A247" w14:textId="60E862C7"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Označovaný aj ako systém sociálneho bývania s prvkami prestupného bývania</w:t>
      </w:r>
      <w:r>
        <w:rPr>
          <w:szCs w:val="18"/>
        </w:rPr>
        <w:t>.</w:t>
      </w:r>
    </w:p>
  </w:footnote>
  <w:footnote w:id="446">
    <w:p w14:paraId="56351AB9" w14:textId="13664BE0" w:rsidR="00FA29AF" w:rsidRPr="00FD7002" w:rsidRDefault="00FA29AF" w:rsidP="00BC47A1">
      <w:pPr>
        <w:pStyle w:val="Textpoznmkypodiarou"/>
        <w:rPr>
          <w:szCs w:val="18"/>
        </w:rPr>
      </w:pPr>
      <w:r w:rsidRPr="00FD7002">
        <w:rPr>
          <w:rStyle w:val="Odkaznapoznmkupodiarou"/>
          <w:szCs w:val="18"/>
        </w:rPr>
        <w:footnoteRef/>
      </w:r>
      <w:r w:rsidRPr="00FD7002">
        <w:rPr>
          <w:szCs w:val="18"/>
        </w:rPr>
        <w:t xml:space="preserve"> Jednou z podmienok výzvy je minimálny podiel 30 % bytových jednotiek v každom stupni bývania pre </w:t>
      </w:r>
      <w:r>
        <w:rPr>
          <w:szCs w:val="18"/>
        </w:rPr>
        <w:t>ľudí z prostredia</w:t>
      </w:r>
      <w:r w:rsidRPr="00FD7002">
        <w:rPr>
          <w:szCs w:val="18"/>
        </w:rPr>
        <w:t xml:space="preserve"> MRK. Výzva tak nerieši prístup k bývaniu pre ľudí bez domova vo väčších mestách, vrátane Bratislavy.</w:t>
      </w:r>
    </w:p>
  </w:footnote>
  <w:footnote w:id="447">
    <w:p w14:paraId="3D676EA0" w14:textId="59050391" w:rsidR="00FA29AF" w:rsidRDefault="00FA29AF" w:rsidP="00D3189B">
      <w:pPr>
        <w:pStyle w:val="Textpoznmkypodiarou"/>
      </w:pPr>
      <w:r>
        <w:rPr>
          <w:rStyle w:val="Odkaznapoznmkupodiarou"/>
        </w:rPr>
        <w:footnoteRef/>
      </w:r>
      <w:r>
        <w:t xml:space="preserve"> To znamená, že prestup domácností v systéme musí byť možný oboma smermi, t.j. v prípade dodržiavania pravidiel definovaných žiadateľom smerom nahor, v prípade ich nedodržiavania smerom nadol.</w:t>
      </w:r>
    </w:p>
  </w:footnote>
  <w:footnote w:id="448">
    <w:p w14:paraId="6FEACAE5" w14:textId="77777777" w:rsidR="00FA29AF" w:rsidRDefault="00FA29AF" w:rsidP="00D70D36">
      <w:pPr>
        <w:pStyle w:val="Textpoznmkypodiarou"/>
      </w:pPr>
      <w:r>
        <w:rPr>
          <w:rStyle w:val="Odkaznapoznmkupodiarou"/>
        </w:rPr>
        <w:footnoteRef/>
      </w:r>
      <w:hyperlink r:id="rId77" w:history="1">
        <w:r w:rsidRPr="00636434">
          <w:rPr>
            <w:rStyle w:val="Hypertextovprepojenie"/>
          </w:rPr>
          <w:t>https://www.minv.sk/swift_data/source/mvsr_a_eu/oplz/vyzvy/vyzva_byvanie_2018/P11%20Zasady%20a%20odp%20v%20zneni%20Zmeny%20c.%201.pdf</w:t>
        </w:r>
      </w:hyperlink>
      <w:r>
        <w:t xml:space="preserve"> </w:t>
      </w:r>
    </w:p>
  </w:footnote>
  <w:footnote w:id="449">
    <w:p w14:paraId="502AEE8C" w14:textId="1E31F542" w:rsidR="00FA29AF" w:rsidRDefault="00FA29AF">
      <w:pPr>
        <w:pStyle w:val="Textpoznmkypodiarou"/>
      </w:pPr>
      <w:r>
        <w:rPr>
          <w:rStyle w:val="Odkaznapoznmkupodiarou"/>
        </w:rPr>
        <w:footnoteRef/>
      </w:r>
      <w:r>
        <w:t xml:space="preserve"> Hoci podmienky bývania v MRK sú veľmi nepriaznivé, ľudia žijúci v týchto lokalitách nie sú bez domova a preto nemožno očakávať, že by dobrovoľne bývali v ubytovni.</w:t>
      </w:r>
    </w:p>
  </w:footnote>
  <w:footnote w:id="450">
    <w:p w14:paraId="4B197001" w14:textId="69A74BCD" w:rsidR="00FA29AF" w:rsidRDefault="00FA29AF" w:rsidP="00D3189B">
      <w:pPr>
        <w:pStyle w:val="Textpoznmkypodiarou"/>
      </w:pPr>
      <w:r>
        <w:rPr>
          <w:rStyle w:val="Odkaznapoznmkupodiarou"/>
        </w:rPr>
        <w:footnoteRef/>
      </w:r>
      <w:r>
        <w:t xml:space="preserve"> Práca asistenta bývania súvisí najmä s výberom domácností, mapovaním bytovej situácie cieľovej skupiny. Asistent bývania motivuje domácnosti na zapojenie sa do systému prestupného bývania, vysvetľuje podmienky a kritériá, môže sa aktívne zúčastňovať na stretnutiach pracovnej skupiny/výberovej komisie organizovaných žiadateľom a pod. Okrem iného spolupracuje s relevantnými inštitúciami pri analýze a riešení sociálnej situácie klienta, vytvára a udržiava strategické partnerstvá a korektné vzťahy s jednotlivcami, organizáciami a inštitúciami. Pomáha pri prevádzke domácnosti a hospodárení s peniazmi. Poskytuje podporu pri zapojení sa členov domácnosti do spoločenského a pracovného života, pričom prihliada na individuálne potreby domácností. Svojou činnosťou podporuje rozvoj osobných záujmov členov domácností, snaží sa predchádzať a riešiť krízové situácie. Členov domácností vedie k nezávislosti, sebestačnosti, k samostatnému bývaniu a pod.</w:t>
      </w:r>
    </w:p>
  </w:footnote>
  <w:footnote w:id="451">
    <w:p w14:paraId="706B6503" w14:textId="61E91BAD" w:rsidR="00FA29AF" w:rsidRDefault="00FA29AF">
      <w:pPr>
        <w:pStyle w:val="Textpoznmkypodiarou"/>
      </w:pPr>
      <w:r>
        <w:rPr>
          <w:rStyle w:val="Odkaznapoznmkupodiarou"/>
        </w:rPr>
        <w:footnoteRef/>
      </w:r>
      <w:r>
        <w:t xml:space="preserve"> </w:t>
      </w:r>
      <w:hyperlink r:id="rId78" w:history="1">
        <w:r>
          <w:rPr>
            <w:rStyle w:val="Hypertextovprepojenie"/>
          </w:rPr>
          <w:t>https://www.ceit.sk/IVPR/images/IVPR/2019/os1_mikuska.pdf</w:t>
        </w:r>
      </w:hyperlink>
    </w:p>
  </w:footnote>
  <w:footnote w:id="452">
    <w:p w14:paraId="66FEAD4B" w14:textId="2FBC1E00"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V housing first projektoch sa zvykne uplatňovať pravidlo, že v jednom bytovom komplexe môže byť na tento účel vyčlenených maximálne 20 % bytových jednotiek (Škobla a kol., 2016</w:t>
      </w:r>
      <w:r>
        <w:rPr>
          <w:szCs w:val="18"/>
        </w:rPr>
        <w:t>b</w:t>
      </w:r>
      <w:r w:rsidRPr="00FD7002">
        <w:rPr>
          <w:szCs w:val="18"/>
        </w:rPr>
        <w:t>)</w:t>
      </w:r>
    </w:p>
  </w:footnote>
  <w:footnote w:id="453">
    <w:p w14:paraId="2B7D7518" w14:textId="63DFA378" w:rsidR="00FA29AF" w:rsidRPr="000F5DD5" w:rsidRDefault="00FA29AF">
      <w:pPr>
        <w:pStyle w:val="Textpoznmkypodiarou"/>
      </w:pPr>
      <w:r>
        <w:rPr>
          <w:rStyle w:val="Odkaznapoznmkupodiarou"/>
        </w:rPr>
        <w:footnoteRef/>
      </w:r>
      <w:r>
        <w:t xml:space="preserve"> </w:t>
      </w:r>
      <w:r w:rsidRPr="00D75C23">
        <w:t>Ak výber do intervenčnej a kontrolnej skupiny nie je robený náhodne ale intervenciu dostávajú menej problémoví klienti, porovnanie ľudí s intervenciou a bez intervencie môže byť skresľujúce.</w:t>
      </w:r>
    </w:p>
  </w:footnote>
  <w:footnote w:id="454">
    <w:p w14:paraId="534B0DC2" w14:textId="77777777" w:rsidR="00FA29AF" w:rsidRPr="006E40F0" w:rsidRDefault="00FA29AF">
      <w:pPr>
        <w:pStyle w:val="Textpoznmkypodiarou"/>
        <w:rPr>
          <w:szCs w:val="18"/>
        </w:rPr>
      </w:pPr>
      <w:r w:rsidRPr="00FD7002">
        <w:rPr>
          <w:rStyle w:val="Odkaznapoznmkupodiarou"/>
          <w:szCs w:val="18"/>
        </w:rPr>
        <w:footnoteRef/>
      </w:r>
      <w:r w:rsidRPr="00FD7002">
        <w:rPr>
          <w:szCs w:val="18"/>
        </w:rPr>
        <w:t xml:space="preserve"> </w:t>
      </w:r>
      <w:r w:rsidRPr="006E40F0">
        <w:rPr>
          <w:szCs w:val="18"/>
        </w:rPr>
        <w:t>Variant housing first zameraný na rýchle zabezpečenie bývania pre klientov s menej komplexnými potrebami, zvyčajne bez dlhodobej skúsenosti s bezdomovectvom, ktorým ale (väčšinou z finančných dôvodov) hrozí riziko straty bývania.</w:t>
      </w:r>
    </w:p>
  </w:footnote>
  <w:footnote w:id="455">
    <w:p w14:paraId="6A4181E3" w14:textId="77777777" w:rsidR="00FA29AF" w:rsidRDefault="00FA29AF" w:rsidP="00D3189B">
      <w:pPr>
        <w:pStyle w:val="Textpoznmkypodiarou"/>
      </w:pPr>
      <w:r>
        <w:rPr>
          <w:rStyle w:val="Odkaznapoznmkupodiarou"/>
        </w:rPr>
        <w:footnoteRef/>
      </w:r>
      <w:r>
        <w:t xml:space="preserve"> Vo všeobecnosti je fínsky model postavený na 4 hlavných zásadách: (1) samostatné bývanie pre klienta, (2) klient si určuje, čo bude obsahom poskytovaných sociálnych služieb, pričom sa nevyžaduje úplná abstinencia od návykových látok, (3) rovnocenné postavenie klienta voči sociálnym pracovníkom, (4) budovanie sociálnych väzieb a integrácia v rámci komunity</w:t>
      </w:r>
    </w:p>
  </w:footnote>
  <w:footnote w:id="456">
    <w:p w14:paraId="6E20CF15" w14:textId="26EB5CC9" w:rsidR="00FA29AF" w:rsidRDefault="00FA29AF" w:rsidP="00D3189B">
      <w:pPr>
        <w:pStyle w:val="Textpoznmkypodiarou"/>
      </w:pPr>
      <w:r>
        <w:rPr>
          <w:rStyle w:val="Odkaznapoznmkupodiarou"/>
        </w:rPr>
        <w:footnoteRef/>
      </w:r>
      <w:r>
        <w:t xml:space="preserve"> V Helsinkách sa v novo postavených objektoch uplatňuje nasledovné rozdelenie bytov: 25 % sociálne bývanie</w:t>
      </w:r>
      <w:r w:rsidRPr="00335AE6">
        <w:t>, 30</w:t>
      </w:r>
      <w:r>
        <w:t> </w:t>
      </w:r>
      <w:r w:rsidRPr="00335AE6">
        <w:t xml:space="preserve">% </w:t>
      </w:r>
      <w:r>
        <w:t>dotovaná kúpa, 45 % súkromný sek</w:t>
      </w:r>
      <w:r w:rsidRPr="00335AE6">
        <w:t>tor</w:t>
      </w:r>
    </w:p>
  </w:footnote>
  <w:footnote w:id="457">
    <w:p w14:paraId="36E65B9E" w14:textId="77777777" w:rsidR="00FA29AF" w:rsidRDefault="00FA29AF" w:rsidP="00F849FE">
      <w:pPr>
        <w:pStyle w:val="Textpoznmkypodiarou"/>
      </w:pPr>
      <w:r>
        <w:rPr>
          <w:rStyle w:val="Odkaznapoznmkupodiarou"/>
        </w:rPr>
        <w:footnoteRef/>
      </w:r>
      <w:r>
        <w:t xml:space="preserve"> </w:t>
      </w:r>
      <w:hyperlink r:id="rId79" w:history="1">
        <w:r w:rsidRPr="00100CC9">
          <w:rPr>
            <w:rStyle w:val="Hypertextovprepojenie"/>
          </w:rPr>
          <w:t>https://www.theguardian.com/cities/2019/jun/03/its-a-miracle-helsinkis-radical-solution-to-homelessness</w:t>
        </w:r>
      </w:hyperlink>
      <w:r>
        <w:t xml:space="preserve"> </w:t>
      </w:r>
    </w:p>
  </w:footnote>
  <w:footnote w:id="458">
    <w:p w14:paraId="730CB766" w14:textId="77777777" w:rsidR="00FA29AF" w:rsidRPr="006E40F0" w:rsidRDefault="00FA29AF">
      <w:pPr>
        <w:spacing w:after="0" w:line="240" w:lineRule="auto"/>
        <w:rPr>
          <w:sz w:val="18"/>
          <w:szCs w:val="18"/>
        </w:rPr>
      </w:pPr>
      <w:r w:rsidRPr="006E40F0">
        <w:rPr>
          <w:rStyle w:val="Odkaznapoznmkupodiarou"/>
          <w:sz w:val="18"/>
          <w:szCs w:val="18"/>
        </w:rPr>
        <w:footnoteRef/>
      </w:r>
      <w:r w:rsidRPr="006E40F0">
        <w:rPr>
          <w:sz w:val="18"/>
          <w:szCs w:val="18"/>
        </w:rPr>
        <w:t xml:space="preserve"> </w:t>
      </w:r>
      <w:hyperlink r:id="rId80" w:history="1">
        <w:r w:rsidRPr="006E40F0">
          <w:rPr>
            <w:rStyle w:val="Hypertextovprepojenie"/>
            <w:sz w:val="18"/>
            <w:szCs w:val="18"/>
          </w:rPr>
          <w:t>https://www.vagus.sk/housing-first-cverna/21/o-programe/</w:t>
        </w:r>
      </w:hyperlink>
      <w:r w:rsidRPr="006E40F0">
        <w:rPr>
          <w:rStyle w:val="Hypertextovprepojenie"/>
          <w:sz w:val="18"/>
          <w:szCs w:val="18"/>
        </w:rPr>
        <w:t xml:space="preserve">, </w:t>
      </w:r>
      <w:hyperlink r:id="rId81" w:history="1">
        <w:r w:rsidRPr="006E40F0">
          <w:rPr>
            <w:rStyle w:val="Hypertextovprepojenie"/>
            <w:sz w:val="18"/>
            <w:szCs w:val="18"/>
          </w:rPr>
          <w:t>https://www.dobrenoviny.sk/c/151413/fantasticke-vysledky-vdaka-projektu-housing-cverna-sa-uz-po-par-mesiacoch-ludia-bez-domova-postavili-na-vlastne-nohy</w:t>
        </w:r>
      </w:hyperlink>
    </w:p>
  </w:footnote>
  <w:footnote w:id="459">
    <w:p w14:paraId="015B9A75" w14:textId="77777777"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Svojpomocná výstavba nie je vhodná napríklad pre osamelé matky s malými deťmi, osoby so zdravotným postihnutím alebo starých ľudí.</w:t>
      </w:r>
    </w:p>
  </w:footnote>
  <w:footnote w:id="460">
    <w:p w14:paraId="324118DA" w14:textId="1AEF045B" w:rsidR="00FA29AF" w:rsidRPr="0033780C" w:rsidRDefault="00FA29AF" w:rsidP="00D41517">
      <w:pPr>
        <w:pStyle w:val="Textkomentra"/>
        <w:spacing w:after="0"/>
        <w:rPr>
          <w:szCs w:val="18"/>
        </w:rPr>
      </w:pPr>
      <w:r w:rsidRPr="0033780C">
        <w:rPr>
          <w:rStyle w:val="Odkaznapoznmkupodiarou"/>
          <w:sz w:val="18"/>
          <w:szCs w:val="18"/>
        </w:rPr>
        <w:footnoteRef/>
      </w:r>
      <w:r w:rsidRPr="0033780C">
        <w:rPr>
          <w:sz w:val="18"/>
          <w:szCs w:val="18"/>
        </w:rPr>
        <w:t xml:space="preserve"> </w:t>
      </w:r>
      <w:r w:rsidRPr="00D41517">
        <w:rPr>
          <w:sz w:val="18"/>
          <w:szCs w:val="18"/>
        </w:rPr>
        <w:t xml:space="preserve">V nákladoch sú obsiahnuté všetky náklady za materiál, dodavky a prácu v takom rozsahu aby bol </w:t>
      </w:r>
      <w:r>
        <w:rPr>
          <w:sz w:val="18"/>
          <w:szCs w:val="18"/>
        </w:rPr>
        <w:t>dom</w:t>
      </w:r>
      <w:r w:rsidRPr="00D41517">
        <w:rPr>
          <w:sz w:val="18"/>
          <w:szCs w:val="18"/>
        </w:rPr>
        <w:t xml:space="preserve"> užívaniaschopný (všetky zriaďovacie predmety, povrchové úpravy, zdroj tepla a pod.)</w:t>
      </w:r>
      <w:r w:rsidRPr="0033780C">
        <w:rPr>
          <w:sz w:val="18"/>
          <w:szCs w:val="18"/>
        </w:rPr>
        <w:t xml:space="preserve"> Údaje poskytla Katarína Smatanová z projektu Dom.ov.</w:t>
      </w:r>
    </w:p>
  </w:footnote>
  <w:footnote w:id="461">
    <w:p w14:paraId="06632C55" w14:textId="61EA080C"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w:t>
      </w:r>
      <w:r>
        <w:rPr>
          <w:szCs w:val="18"/>
        </w:rPr>
        <w:t>Porovnateľnosť nájomného bývania svojpomocnej výstavby do vlastníctva je obmedzená vzhľadom na odlišnú formu bývania ako aj skutočnosť, že pri porovnaní nebolo možné zohľadniť faktory ako napríklad rozdiely v priemernej veľkosti (domy v rámci svojpomocnej výstavby sú väčšie ako nájomné byty nižšieho štandardu), použitých materiáloch, kvalite atď. ako aj skutočnosť, že pri v nákladoch na svojpomocnú výstavbu, na rozdiel od nájomných bytov sú zahrnuté náklady na kúpu pozemku a sprievodnú sociálnu prácu s klientmi.</w:t>
      </w:r>
    </w:p>
  </w:footnote>
  <w:footnote w:id="462">
    <w:p w14:paraId="25A85C49" w14:textId="77777777"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Táto suma nezahŕňa náklady na podporné opatrenia pre konečných prijímateľov.</w:t>
      </w:r>
    </w:p>
  </w:footnote>
  <w:footnote w:id="463">
    <w:p w14:paraId="39B2B937" w14:textId="72DBC156" w:rsidR="00FA29AF" w:rsidRPr="00D75C23" w:rsidRDefault="00FA29AF">
      <w:pPr>
        <w:pStyle w:val="Textpoznmkypodiarou"/>
      </w:pPr>
      <w:r>
        <w:rPr>
          <w:rStyle w:val="Odkaznapoznmkupodiarou"/>
        </w:rPr>
        <w:footnoteRef/>
      </w:r>
      <w:r>
        <w:t xml:space="preserve"> </w:t>
      </w:r>
      <w:hyperlink r:id="rId82" w:history="1">
        <w:r w:rsidRPr="00CA2564">
          <w:rPr>
            <w:rStyle w:val="Hypertextovprepojenie"/>
          </w:rPr>
          <w:t>https://www.finance.gov.sk/files/archiv/33/Aktualizacia2.pdf</w:t>
        </w:r>
      </w:hyperlink>
    </w:p>
  </w:footnote>
  <w:footnote w:id="464">
    <w:p w14:paraId="2D906A86" w14:textId="651757EA" w:rsidR="00FA29AF" w:rsidRDefault="00FA29AF" w:rsidP="00D3189B">
      <w:pPr>
        <w:pStyle w:val="Textpoznmkypodiarou"/>
      </w:pPr>
      <w:r>
        <w:rPr>
          <w:rStyle w:val="Odkaznapoznmkupodiarou"/>
        </w:rPr>
        <w:footnoteRef/>
      </w:r>
      <w:r>
        <w:t xml:space="preserve"> Okrem svojpomocnej výstavby má vyzvanie za cieľ podporovať aj iné druhy bývania v prostredí MRK, napríklad nájomné bývanie s regulovaným nájmom určené pre obyvateľov MRK.</w:t>
      </w:r>
    </w:p>
  </w:footnote>
  <w:footnote w:id="465">
    <w:p w14:paraId="373E88C1" w14:textId="781FA613" w:rsidR="00FA29AF" w:rsidRPr="00D75C23" w:rsidRDefault="00FA29AF">
      <w:pPr>
        <w:pStyle w:val="Textpoznmkypodiarou"/>
      </w:pPr>
      <w:r>
        <w:rPr>
          <w:rStyle w:val="Odkaznapoznmkupodiarou"/>
        </w:rPr>
        <w:footnoteRef/>
      </w:r>
      <w:r>
        <w:t xml:space="preserve"> </w:t>
      </w:r>
      <w:hyperlink r:id="rId83" w:history="1">
        <w:r w:rsidRPr="00CA2564">
          <w:rPr>
            <w:rStyle w:val="Hypertextovprepojenie"/>
          </w:rPr>
          <w:t>http://etp.sk/ukoncene-projekty/budujeme-nadej-z-chatrce-do-3e-domu/</w:t>
        </w:r>
      </w:hyperlink>
    </w:p>
  </w:footnote>
  <w:footnote w:id="466">
    <w:p w14:paraId="1C375218" w14:textId="63B59AF8" w:rsidR="00FA29AF" w:rsidRDefault="00FA29AF" w:rsidP="00D3189B">
      <w:pPr>
        <w:pStyle w:val="Textpoznmkypodiarou"/>
      </w:pPr>
      <w:r>
        <w:rPr>
          <w:rStyle w:val="Odkaznapoznmkupodiarou"/>
        </w:rPr>
        <w:footnoteRef/>
      </w:r>
      <w:r>
        <w:t xml:space="preserve"> Ako súčasť žiadosti o nenávratný finančný príspevok sa vyžaduje predložiť </w:t>
      </w:r>
      <w:r w:rsidRPr="00A3018B">
        <w:t>doklad preukazujúci vlastnícky alebo iný právny vzťah žiadateľa oprávňujúci žiadateľa užívať všetky nehnuteľnosti, ktoré súvisia s realizáciou projektu a oprávnenie žiadateľa na týchto nehnuteľnostiach realizovať stavbu v rozsahu zadefinovanej podmienky poskytnutia príspevku (list vlastníctva, nájomná zmluva uzatvorená na dobu minimálne 5 rokov po ukončení realizácie projektu) alebo iný vhodný doklad preukazujúci vlastnícky alebo iný právny vzťah žiadateľa, oprávňujúci ho užívať všetky nehnuteľnosti/hnuteľné veci, na ktorých má byť projekt realizovaný.</w:t>
      </w:r>
    </w:p>
  </w:footnote>
  <w:footnote w:id="467">
    <w:p w14:paraId="60564574" w14:textId="3A49A2FE" w:rsidR="00FA29AF" w:rsidRPr="00F63247" w:rsidRDefault="00FA29AF" w:rsidP="00D3189B">
      <w:pPr>
        <w:pStyle w:val="Textpoznmkypodiarou"/>
        <w:rPr>
          <w:szCs w:val="18"/>
        </w:rPr>
      </w:pPr>
      <w:r>
        <w:rPr>
          <w:rStyle w:val="Odkaznapoznmkupodiarou"/>
        </w:rPr>
        <w:footnoteRef/>
      </w:r>
      <w:r>
        <w:t xml:space="preserve"> </w:t>
      </w:r>
      <w:r w:rsidRPr="00F63247">
        <w:rPr>
          <w:szCs w:val="18"/>
        </w:rPr>
        <w:t xml:space="preserve">Táto právna úprava bola zavedená novelou </w:t>
      </w:r>
      <w:r>
        <w:rPr>
          <w:szCs w:val="18"/>
        </w:rPr>
        <w:t>Z</w:t>
      </w:r>
      <w:r w:rsidRPr="00D3189B">
        <w:rPr>
          <w:szCs w:val="18"/>
        </w:rPr>
        <w:t xml:space="preserve">ákona </w:t>
      </w:r>
      <w:r w:rsidRPr="00C67D59">
        <w:rPr>
          <w:szCs w:val="18"/>
        </w:rPr>
        <w:t>č. 330/1991 Zb.</w:t>
      </w:r>
      <w:r>
        <w:rPr>
          <w:szCs w:val="18"/>
        </w:rPr>
        <w:t xml:space="preserve"> </w:t>
      </w:r>
      <w:r w:rsidRPr="00D3189B">
        <w:rPr>
          <w:rFonts w:cs="GretaSansPro-Reg"/>
          <w:szCs w:val="18"/>
        </w:rPr>
        <w:t>o po</w:t>
      </w:r>
      <w:r w:rsidRPr="00F63247">
        <w:rPr>
          <w:rFonts w:cs="GretaSansPro-Reg"/>
          <w:szCs w:val="18"/>
        </w:rPr>
        <w:t xml:space="preserve">zemkových úpravách, usporiadaní </w:t>
      </w:r>
      <w:r w:rsidRPr="00D3189B">
        <w:rPr>
          <w:rFonts w:cs="GretaSansPro-Reg"/>
          <w:szCs w:val="18"/>
        </w:rPr>
        <w:t>pozemkového vlastní</w:t>
      </w:r>
      <w:r w:rsidRPr="00F63247">
        <w:rPr>
          <w:rFonts w:cs="GretaSansPro-Reg"/>
          <w:szCs w:val="18"/>
        </w:rPr>
        <w:t xml:space="preserve">ctva, </w:t>
      </w:r>
      <w:r w:rsidRPr="00D3189B">
        <w:rPr>
          <w:rFonts w:cs="GretaSansPro-Reg"/>
          <w:szCs w:val="18"/>
        </w:rPr>
        <w:t>pozemkových úradoch, pozemkovom fonde a o pozemkových spoločenstvách</w:t>
      </w:r>
      <w:r>
        <w:rPr>
          <w:rFonts w:cs="GretaSansPro-Reg"/>
          <w:szCs w:val="18"/>
        </w:rPr>
        <w:t xml:space="preserve"> v znení neskorších predpisov</w:t>
      </w:r>
      <w:r>
        <w:rPr>
          <w:szCs w:val="18"/>
        </w:rPr>
        <w:t xml:space="preserve"> s účinnosťou od 1.9.2017.</w:t>
      </w:r>
    </w:p>
  </w:footnote>
  <w:footnote w:id="468">
    <w:p w14:paraId="7A76DFC9" w14:textId="04FE27FB" w:rsidR="00FA29AF" w:rsidRDefault="00FA29AF" w:rsidP="00D3189B">
      <w:pPr>
        <w:pStyle w:val="Textpoznmkypodiarou"/>
        <w:jc w:val="left"/>
      </w:pPr>
      <w:r>
        <w:rPr>
          <w:rStyle w:val="Odkaznapoznmkupodiarou"/>
        </w:rPr>
        <w:footnoteRef/>
      </w:r>
      <w:hyperlink r:id="rId84" w:history="1">
        <w:r w:rsidRPr="00B552C3">
          <w:rPr>
            <w:rStyle w:val="Hypertextovprepojenie"/>
          </w:rPr>
          <w:t>https://www.minv.sk/swift_data/source/romovia/publikacie/Sprievodca%20vysporiadanim%20pozemkov%20v%20obciach%20s%20romskymi%20osidleniami.pdf</w:t>
        </w:r>
      </w:hyperlink>
    </w:p>
  </w:footnote>
  <w:footnote w:id="469">
    <w:p w14:paraId="069F4A57" w14:textId="2DD3E089" w:rsidR="00FA29AF" w:rsidRDefault="00FA29AF" w:rsidP="00976C9E">
      <w:pPr>
        <w:pStyle w:val="Textpoznmkypodiarou"/>
      </w:pPr>
      <w:r>
        <w:rPr>
          <w:rStyle w:val="Odkaznapoznmkupodiarou"/>
        </w:rPr>
        <w:footnoteRef/>
      </w:r>
      <w:r>
        <w:t xml:space="preserve"> Starší údaj z Atlasu rómskych komunít 2013.</w:t>
      </w:r>
    </w:p>
  </w:footnote>
  <w:footnote w:id="470">
    <w:p w14:paraId="75B5BE29" w14:textId="17ECBD56" w:rsidR="00FA29AF" w:rsidRPr="00FD7002" w:rsidRDefault="00FA29AF">
      <w:pPr>
        <w:pStyle w:val="Textpoznmkypodiarou"/>
        <w:rPr>
          <w:szCs w:val="18"/>
        </w:rPr>
      </w:pPr>
      <w:r w:rsidRPr="00FD7002">
        <w:rPr>
          <w:rStyle w:val="Odkaznapoznmkupodiarou"/>
          <w:szCs w:val="18"/>
        </w:rPr>
        <w:footnoteRef/>
      </w:r>
      <w:r w:rsidRPr="00FD7002">
        <w:rPr>
          <w:szCs w:val="18"/>
        </w:rPr>
        <w:t xml:space="preserve"> Príspevok na bývanie upravuje</w:t>
      </w:r>
      <w:r>
        <w:rPr>
          <w:szCs w:val="18"/>
        </w:rPr>
        <w:t xml:space="preserve"> </w:t>
      </w:r>
      <w:r w:rsidRPr="00FD7002">
        <w:rPr>
          <w:szCs w:val="18"/>
        </w:rPr>
        <w:t xml:space="preserve">zákon č. 417/2013 Z. z. Systém pomoci v hmotnej núdzi je opísaný v podkapitole </w:t>
      </w:r>
      <w:r>
        <w:rPr>
          <w:szCs w:val="18"/>
        </w:rPr>
        <w:fldChar w:fldCharType="begin"/>
      </w:r>
      <w:r>
        <w:rPr>
          <w:szCs w:val="18"/>
        </w:rPr>
        <w:instrText xml:space="preserve"> REF _Ref25315703 \r \h </w:instrText>
      </w:r>
      <w:r>
        <w:rPr>
          <w:szCs w:val="18"/>
        </w:rPr>
      </w:r>
      <w:r>
        <w:rPr>
          <w:szCs w:val="18"/>
        </w:rPr>
        <w:fldChar w:fldCharType="separate"/>
      </w:r>
      <w:r>
        <w:rPr>
          <w:szCs w:val="18"/>
        </w:rPr>
        <w:t>8.1</w:t>
      </w:r>
      <w:r>
        <w:rPr>
          <w:szCs w:val="18"/>
        </w:rPr>
        <w:fldChar w:fldCharType="end"/>
      </w:r>
    </w:p>
  </w:footnote>
  <w:footnote w:id="471">
    <w:p w14:paraId="584D276D" w14:textId="77777777" w:rsidR="00FA29AF" w:rsidRPr="00FD7002" w:rsidRDefault="00FA29AF">
      <w:pPr>
        <w:pStyle w:val="Textpoznmkypodiarou"/>
        <w:rPr>
          <w:szCs w:val="18"/>
        </w:rPr>
      </w:pPr>
      <w:r w:rsidRPr="00FD7002">
        <w:rPr>
          <w:rStyle w:val="Odkaznapoznmkupodiarou"/>
          <w:szCs w:val="18"/>
        </w:rPr>
        <w:footnoteRef/>
      </w:r>
      <w:r w:rsidRPr="00FD7002">
        <w:rPr>
          <w:szCs w:val="18"/>
        </w:rPr>
        <w:t xml:space="preserve"> Zahŕňa osoby bývajúce v zariadení podporovaného bývania, zariadení pre seniorov, domove sociálnych služieb alebo špecializovanom zariadení s celoročnou pobytovou formou, v útulku, domove na polceste, zariadení núdzového bývania alebo v krízovom stredisku.</w:t>
      </w:r>
    </w:p>
  </w:footnote>
  <w:footnote w:id="472">
    <w:p w14:paraId="6890B835" w14:textId="2B768839" w:rsidR="00FA29AF" w:rsidRDefault="00FA29AF">
      <w:pPr>
        <w:pStyle w:val="Textpoznmkypodiarou"/>
      </w:pPr>
      <w:r>
        <w:rPr>
          <w:rStyle w:val="Odkaznapoznmkupodiarou"/>
        </w:rPr>
        <w:footnoteRef/>
      </w:r>
      <w:r>
        <w:t xml:space="preserve"> Rozdiely v priemerných nájmoch mestských bytov naprieč mestami je spôsobený okrem iného aj rozdielmi v podiely starých mestských bytov na celkovom fonde mestského nájomného bývania a v kvalite týchto bytov. Na staré byty sa totiž uplatňuje odlišná regulácia nájomného ako na byty postavené po 1. februári 2001.</w:t>
      </w:r>
    </w:p>
  </w:footnote>
  <w:footnote w:id="473">
    <w:p w14:paraId="37CD5484" w14:textId="77777777" w:rsidR="00FA29AF" w:rsidRDefault="00FA29AF" w:rsidP="000B705C">
      <w:pPr>
        <w:pStyle w:val="Textpoznmkypodiarou"/>
      </w:pPr>
      <w:r>
        <w:rPr>
          <w:rStyle w:val="Odkaznapoznmkupodiarou"/>
        </w:rPr>
        <w:footnoteRef/>
      </w:r>
      <w:r>
        <w:t xml:space="preserve"> V roku 2018 bol nárok na príspevok na bývanie priznaný priemerne mesačne 35 115 domácnostiam, čo tvorilo okolo 8,5 % domácností v spodnom kvintile, podľa Sčítania obyvateľstva z roku 2011.</w:t>
      </w:r>
    </w:p>
  </w:footnote>
  <w:footnote w:id="474">
    <w:p w14:paraId="5B302471" w14:textId="3DBB804D" w:rsidR="00FA29AF" w:rsidRDefault="00FA29AF" w:rsidP="000B705C">
      <w:pPr>
        <w:pStyle w:val="Textpoznmkypodiarou"/>
      </w:pPr>
      <w:r>
        <w:rPr>
          <w:rStyle w:val="Odkaznapoznmkupodiarou"/>
        </w:rPr>
        <w:footnoteRef/>
      </w:r>
      <w:r>
        <w:t xml:space="preserve"> Respondent v prieskume EU SILC nemusí vedieť, že má nárok na príspevok na bývanie, keďže ten je poskytovaný ako súčasť „balíka“ PHN. V krajinách, kde je príspevok na bývanie poskytovaný osobitne od dávok sociálnej pomoci, je chybovosť respondentov pravdepodobne nižšia.</w:t>
      </w:r>
    </w:p>
  </w:footnote>
  <w:footnote w:id="475">
    <w:p w14:paraId="14F4B12F" w14:textId="77777777" w:rsidR="00FA29AF" w:rsidRPr="00FD7002" w:rsidRDefault="00FA29AF" w:rsidP="000B705C">
      <w:pPr>
        <w:pStyle w:val="Textpoznmkypodiarou"/>
        <w:rPr>
          <w:szCs w:val="18"/>
        </w:rPr>
      </w:pPr>
      <w:r w:rsidRPr="00FD7002">
        <w:rPr>
          <w:rStyle w:val="Odkaznapoznmkupodiarou"/>
          <w:szCs w:val="18"/>
        </w:rPr>
        <w:footnoteRef/>
      </w:r>
      <w:r w:rsidRPr="00FD7002">
        <w:rPr>
          <w:szCs w:val="18"/>
        </w:rPr>
        <w:t xml:space="preserve"> </w:t>
      </w:r>
      <w:hyperlink r:id="rId85" w:history="1">
        <w:r w:rsidRPr="00FD7002">
          <w:rPr>
            <w:rStyle w:val="Hypertextovprepojenie"/>
            <w:szCs w:val="18"/>
          </w:rPr>
          <w:t>https://www.oecd.org/els/family/PH3-2-Key-characteristics-of-housing-allowances.pdf</w:t>
        </w:r>
      </w:hyperlink>
      <w:r w:rsidRPr="00FD7002">
        <w:rPr>
          <w:szCs w:val="18"/>
        </w:rPr>
        <w:t xml:space="preserve"> </w:t>
      </w:r>
    </w:p>
  </w:footnote>
  <w:footnote w:id="476">
    <w:p w14:paraId="77D73311" w14:textId="14D3E35E" w:rsidR="00FA29AF" w:rsidRDefault="00FA29AF">
      <w:pPr>
        <w:pStyle w:val="Textpoznmkypodiarou"/>
      </w:pPr>
      <w:r>
        <w:rPr>
          <w:rStyle w:val="Odkaznapoznmkupodiarou"/>
        </w:rPr>
        <w:footnoteRef/>
      </w:r>
      <w:r>
        <w:t xml:space="preserve"> V tejto súvislosti bola vypracovaná Analýza minimálnych výdavkov na bývanie a záťaže výdavkami na bývanie z hľadiska príjmu domácnosti Inštitútom pre výskum prace a rodiny. Analýza bola MPSVR SR predložená v septembri 2019. Za účelom hľadania konsenzu ohľadom nastavenia novej právnej úpravy príspevku na bývanie bola zriadená pracovná skupina. Tá posúdi návrh zákona, ktorý v súčasnosti pripravuje MPSVR SR.</w:t>
      </w:r>
    </w:p>
  </w:footnote>
  <w:footnote w:id="477">
    <w:p w14:paraId="45E714EF" w14:textId="7258AB10"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Okrem nájomného aj poplatky za energie, odvoz odpadu a</w:t>
      </w:r>
      <w:r>
        <w:rPr>
          <w:szCs w:val="18"/>
        </w:rPr>
        <w:t> </w:t>
      </w:r>
      <w:r w:rsidRPr="00FD7002">
        <w:rPr>
          <w:szCs w:val="18"/>
        </w:rPr>
        <w:t>iné</w:t>
      </w:r>
      <w:r>
        <w:rPr>
          <w:szCs w:val="18"/>
        </w:rPr>
        <w:t>.</w:t>
      </w:r>
    </w:p>
  </w:footnote>
  <w:footnote w:id="478">
    <w:p w14:paraId="64712896" w14:textId="77777777"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Najstaršie dostupné údaje o očakávanej dĺžke života pri narodení pre celú populáciu Slovenska sú pre rok 1960 na úrovni 70,3 rokov.</w:t>
      </w:r>
    </w:p>
  </w:footnote>
  <w:footnote w:id="479">
    <w:p w14:paraId="642EE505" w14:textId="77777777"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Podľa údajov populačného oddelenia Spojených národov bola očakávaná dĺžka života pri narodení v období 2010 až 2015 v Kambodži 67,6 rokov a v Bolívii a Východnom Timore 67,7 rokov.</w:t>
      </w:r>
    </w:p>
  </w:footnote>
  <w:footnote w:id="480">
    <w:p w14:paraId="7614EB8C" w14:textId="26A18976"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Dojčenská úmrtnosť vo veku matky pod 15 rokov je vysoká v oboch skupinách. Pôrody v tak nízkom v</w:t>
      </w:r>
      <w:r>
        <w:rPr>
          <w:szCs w:val="18"/>
        </w:rPr>
        <w:t>eku však tvoria menej ako 0,3 % </w:t>
      </w:r>
      <w:r w:rsidRPr="00FD7002">
        <w:rPr>
          <w:szCs w:val="18"/>
        </w:rPr>
        <w:t>pôrodov v oboch skupinách.</w:t>
      </w:r>
    </w:p>
  </w:footnote>
  <w:footnote w:id="481">
    <w:p w14:paraId="1B9D47EE" w14:textId="77777777"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V tejto vekovej kategórii bolo zaznamenaných za uvedené obdobie 4,2 % pôrodov v prostredí MRK.</w:t>
      </w:r>
    </w:p>
  </w:footnote>
  <w:footnote w:id="482">
    <w:p w14:paraId="7BDD48DA" w14:textId="29396F2B"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Podľa údajov populačného oddelenia Spojených národov bola dojčenská úmrtnosť v období 2010 a</w:t>
      </w:r>
      <w:r>
        <w:rPr>
          <w:szCs w:val="18"/>
        </w:rPr>
        <w:t>ž 2015 v Guatemale na úrovni 27 </w:t>
      </w:r>
      <w:r w:rsidRPr="00FD7002">
        <w:rPr>
          <w:szCs w:val="18"/>
        </w:rPr>
        <w:t>úmrtí na 1</w:t>
      </w:r>
      <w:r>
        <w:rPr>
          <w:szCs w:val="18"/>
        </w:rPr>
        <w:t xml:space="preserve"> </w:t>
      </w:r>
      <w:r w:rsidRPr="00FD7002">
        <w:rPr>
          <w:szCs w:val="18"/>
        </w:rPr>
        <w:t>000 živonarodených detí a v Alžírsku na úrovni 28 úmrtí.</w:t>
      </w:r>
    </w:p>
  </w:footnote>
  <w:footnote w:id="483">
    <w:p w14:paraId="1055FEC5" w14:textId="77777777" w:rsidR="00FA29AF" w:rsidRDefault="00FA29AF" w:rsidP="00B5791C">
      <w:pPr>
        <w:pStyle w:val="Textpoznmkypodiarou"/>
      </w:pPr>
      <w:r>
        <w:rPr>
          <w:rStyle w:val="Odkaznapoznmkupodiarou"/>
        </w:rPr>
        <w:footnoteRef/>
      </w:r>
      <w:r>
        <w:t xml:space="preserve"> Systém kompenzácie sociálnych dôsledkov ťažkého zdravotného postihnutia je popísaný v podkapitole </w:t>
      </w:r>
      <w:r>
        <w:fldChar w:fldCharType="begin"/>
      </w:r>
      <w:r>
        <w:instrText xml:space="preserve"> REF _Ref30001534 \r \h </w:instrText>
      </w:r>
      <w:r>
        <w:fldChar w:fldCharType="separate"/>
      </w:r>
      <w:r>
        <w:t>8.4</w:t>
      </w:r>
      <w:r>
        <w:fldChar w:fldCharType="end"/>
      </w:r>
      <w:r>
        <w:t>.</w:t>
      </w:r>
    </w:p>
  </w:footnote>
  <w:footnote w:id="484">
    <w:p w14:paraId="19EF16BD" w14:textId="77777777"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Napríklad podľa prieskumu EU MIDIS II má 95 % Rómov na Slovensku zdravotné poistenie (FRA, 2016).</w:t>
      </w:r>
    </w:p>
  </w:footnote>
  <w:footnote w:id="485">
    <w:p w14:paraId="0447FEBF" w14:textId="77777777"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ÚHP na základe údajov ÚPSVR, ARK a MV SR.</w:t>
      </w:r>
    </w:p>
  </w:footnote>
  <w:footnote w:id="486">
    <w:p w14:paraId="6E5E5B7E" w14:textId="77777777" w:rsidR="00FA29AF" w:rsidRDefault="00FA29AF" w:rsidP="00D41517">
      <w:pPr>
        <w:spacing w:after="0" w:line="240" w:lineRule="auto"/>
      </w:pPr>
      <w:r>
        <w:rPr>
          <w:rStyle w:val="Odkaznapoznmkupodiarou"/>
        </w:rPr>
        <w:footnoteRef/>
      </w:r>
      <w:r>
        <w:t xml:space="preserve"> </w:t>
      </w:r>
      <w:r w:rsidRPr="00D41517">
        <w:rPr>
          <w:sz w:val="18"/>
          <w:szCs w:val="18"/>
        </w:rPr>
        <w:t>Pre vrátenie doplatkov podľa zákona nie je potrebné sa nikde registrovať, do 90 dni od konca štvrťroka by pacientovi mali prísť peniaze na účet alebo ako poukážka poštou (pokiaľ suma presiahne 3 eura, inak sa zaráta do ďalšieho štvrťroka)</w:t>
      </w:r>
      <w:r>
        <w:rPr>
          <w:sz w:val="18"/>
          <w:szCs w:val="18"/>
        </w:rPr>
        <w:t>.</w:t>
      </w:r>
    </w:p>
  </w:footnote>
  <w:footnote w:id="487">
    <w:p w14:paraId="59048DB2" w14:textId="2CE74E8C"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Do tohto porovnania bola zahrnutá celá rómska populácia </w:t>
      </w:r>
      <w:r>
        <w:rPr>
          <w:szCs w:val="18"/>
        </w:rPr>
        <w:t>z</w:t>
      </w:r>
      <w:r w:rsidRPr="00FD7002">
        <w:rPr>
          <w:szCs w:val="18"/>
        </w:rPr>
        <w:t> Atlas</w:t>
      </w:r>
      <w:r>
        <w:rPr>
          <w:szCs w:val="18"/>
        </w:rPr>
        <w:t>u</w:t>
      </w:r>
      <w:r w:rsidRPr="00FD7002">
        <w:rPr>
          <w:szCs w:val="18"/>
        </w:rPr>
        <w:t xml:space="preserve"> rómskych komunít</w:t>
      </w:r>
      <w:r>
        <w:rPr>
          <w:szCs w:val="18"/>
        </w:rPr>
        <w:t xml:space="preserve"> (2019)</w:t>
      </w:r>
      <w:r w:rsidRPr="00FD7002">
        <w:rPr>
          <w:szCs w:val="18"/>
        </w:rPr>
        <w:t>, nie iba obyvatelia MRK.</w:t>
      </w:r>
    </w:p>
  </w:footnote>
  <w:footnote w:id="488">
    <w:p w14:paraId="2575A86B" w14:textId="1FC64B0B" w:rsidR="00FA29AF" w:rsidRDefault="00FA29AF" w:rsidP="00D3189B">
      <w:pPr>
        <w:pStyle w:val="Textpoznmkypodiarou"/>
      </w:pPr>
      <w:r>
        <w:rPr>
          <w:rStyle w:val="Odkaznapoznmkupodiarou"/>
        </w:rPr>
        <w:footnoteRef/>
      </w:r>
      <w:r>
        <w:t xml:space="preserve"> Podľa ARK 2013 takmer 10 % rómskych obyvateľov je od najbližšej stomatologickej ambulancie vzdialených viac než 10 kilometrov. V porovnaní s majoritou ide o takmer trojnásobok. V aktuálnom ARK (2019) sa tento údaj nesleduje. Podobne je to aj v prípade dostupnosti lekární, k roku 2013 viac ako 7 % rómskej populácie bolo od lekárne vzdialených viac než 10 kilometrov, na rozdiel od majority, kde tento podiel predstavoval 2 %.</w:t>
      </w:r>
    </w:p>
  </w:footnote>
  <w:footnote w:id="489">
    <w:p w14:paraId="7FB16781" w14:textId="77777777" w:rsidR="00FA29AF" w:rsidRPr="00FD7002" w:rsidRDefault="00FA29AF" w:rsidP="003C7E46">
      <w:pPr>
        <w:pStyle w:val="Textpoznmkypodiarou"/>
        <w:rPr>
          <w:szCs w:val="18"/>
        </w:rPr>
      </w:pPr>
      <w:r w:rsidRPr="00FD7002">
        <w:rPr>
          <w:rStyle w:val="Odkaznapoznmkupodiarou"/>
          <w:szCs w:val="18"/>
        </w:rPr>
        <w:footnoteRef/>
      </w:r>
      <w:r w:rsidRPr="00FD7002">
        <w:rPr>
          <w:szCs w:val="18"/>
        </w:rPr>
        <w:t xml:space="preserve"> Pred tým bola TSP realizovaná v menšom rozsahu hlavne mimovládnymi organizáciami.</w:t>
      </w:r>
    </w:p>
  </w:footnote>
  <w:footnote w:id="490">
    <w:p w14:paraId="53DCC1DD" w14:textId="77777777" w:rsidR="00FA29AF" w:rsidRPr="00FD7002" w:rsidRDefault="00FA29AF" w:rsidP="003C7E46">
      <w:pPr>
        <w:pStyle w:val="Textpoznmkypodiarou"/>
        <w:rPr>
          <w:szCs w:val="18"/>
        </w:rPr>
      </w:pPr>
      <w:r w:rsidRPr="00FD7002">
        <w:rPr>
          <w:rStyle w:val="Odkaznapoznmkupodiarou"/>
          <w:szCs w:val="18"/>
        </w:rPr>
        <w:footnoteRef/>
      </w:r>
      <w:r w:rsidRPr="00FD7002">
        <w:rPr>
          <w:szCs w:val="18"/>
        </w:rPr>
        <w:t xml:space="preserve"> </w:t>
      </w:r>
      <w:hyperlink r:id="rId86" w:history="1">
        <w:r w:rsidRPr="00FD7002">
          <w:rPr>
            <w:rStyle w:val="Hypertextovprepojenie"/>
            <w:szCs w:val="18"/>
          </w:rPr>
          <w:t>https://www.minv.sk/?spravy_rk&amp;sprava=aktualny-zoznam-obci-zapojenych-do-narodneho-projektu-take-away</w:t>
        </w:r>
      </w:hyperlink>
      <w:r w:rsidRPr="00FD7002">
        <w:rPr>
          <w:szCs w:val="18"/>
        </w:rPr>
        <w:t xml:space="preserve"> </w:t>
      </w:r>
    </w:p>
  </w:footnote>
  <w:footnote w:id="491">
    <w:p w14:paraId="57061AD1" w14:textId="77777777" w:rsidR="00FA29AF" w:rsidRPr="00FD7002" w:rsidRDefault="00FA29AF" w:rsidP="003C7E46">
      <w:pPr>
        <w:pStyle w:val="Textpoznmkypodiarou"/>
        <w:rPr>
          <w:szCs w:val="18"/>
        </w:rPr>
      </w:pPr>
      <w:r w:rsidRPr="00FD7002">
        <w:rPr>
          <w:rStyle w:val="Odkaznapoznmkupodiarou"/>
          <w:szCs w:val="18"/>
        </w:rPr>
        <w:footnoteRef/>
      </w:r>
      <w:r w:rsidRPr="00FD7002">
        <w:rPr>
          <w:szCs w:val="18"/>
        </w:rPr>
        <w:t xml:space="preserve"> Celková alokácia na Národný projekt Terénna sociálna práca je 29 340 353 eur na obdobie od októbra 2015 do septembra 2019 (</w:t>
      </w:r>
      <w:hyperlink r:id="rId87" w:history="1">
        <w:r w:rsidRPr="00FD7002">
          <w:rPr>
            <w:rStyle w:val="Hypertextovprepojenie"/>
            <w:szCs w:val="18"/>
          </w:rPr>
          <w:t>https://www.tsp.gov.sk/</w:t>
        </w:r>
      </w:hyperlink>
      <w:r w:rsidRPr="00FD7002">
        <w:rPr>
          <w:szCs w:val="18"/>
        </w:rPr>
        <w:t>).</w:t>
      </w:r>
    </w:p>
  </w:footnote>
  <w:footnote w:id="492">
    <w:p w14:paraId="203FB478" w14:textId="77777777" w:rsidR="00FA29AF" w:rsidRPr="00FD7002" w:rsidRDefault="00FA29AF" w:rsidP="003C7E46">
      <w:pPr>
        <w:pStyle w:val="Textpoznmkypodiarou"/>
        <w:rPr>
          <w:szCs w:val="18"/>
        </w:rPr>
      </w:pPr>
      <w:r w:rsidRPr="00FD7002">
        <w:rPr>
          <w:rStyle w:val="Odkaznapoznmkupodiarou"/>
          <w:szCs w:val="18"/>
        </w:rPr>
        <w:footnoteRef/>
      </w:r>
      <w:r w:rsidRPr="00FD7002">
        <w:rPr>
          <w:szCs w:val="18"/>
        </w:rPr>
        <w:t xml:space="preserve"> Celková alokácia na Národný projekt Terénna sociálna práca a terénna práca v obciach s prítomnosťou marginalizovaných rómskych komunít je 26 511 131 eur na obdobie od januára 2016 do decembra 2019 (</w:t>
      </w:r>
      <w:hyperlink r:id="rId88" w:history="1">
        <w:r w:rsidRPr="00FD7002">
          <w:rPr>
            <w:rStyle w:val="Hypertextovprepojenie"/>
            <w:szCs w:val="18"/>
          </w:rPr>
          <w:t>https://www.minv.sk/?NP-TSP</w:t>
        </w:r>
      </w:hyperlink>
      <w:r w:rsidRPr="00FD7002">
        <w:rPr>
          <w:szCs w:val="18"/>
        </w:rPr>
        <w:t>).</w:t>
      </w:r>
    </w:p>
  </w:footnote>
  <w:footnote w:id="493">
    <w:p w14:paraId="28F28A7A" w14:textId="764B2828" w:rsidR="00FA29AF" w:rsidRPr="00D75C23" w:rsidRDefault="00FA29AF">
      <w:pPr>
        <w:pStyle w:val="Textpoznmkypodiarou"/>
      </w:pPr>
      <w:r>
        <w:rPr>
          <w:rStyle w:val="Odkaznapoznmkupodiarou"/>
        </w:rPr>
        <w:footnoteRef/>
      </w:r>
      <w:r>
        <w:t xml:space="preserve"> </w:t>
      </w:r>
      <w:hyperlink r:id="rId89" w:history="1">
        <w:r>
          <w:rPr>
            <w:rStyle w:val="Hypertextovprepojenie"/>
          </w:rPr>
          <w:t>https://www.tsp.gov.sk/wp-content/uploads/2016/02/Formy-podpory-1.pdf</w:t>
        </w:r>
      </w:hyperlink>
    </w:p>
  </w:footnote>
  <w:footnote w:id="494">
    <w:p w14:paraId="4A8B5DDE" w14:textId="363A30D5" w:rsidR="00FA29AF" w:rsidRPr="00FD7002" w:rsidRDefault="00FA29AF" w:rsidP="0088311C">
      <w:pPr>
        <w:pStyle w:val="Textpoznmkypodiarou"/>
        <w:rPr>
          <w:szCs w:val="18"/>
        </w:rPr>
      </w:pPr>
      <w:r w:rsidRPr="00FD7002">
        <w:rPr>
          <w:rStyle w:val="Odkaznapoznmkupodiarou"/>
          <w:szCs w:val="18"/>
        </w:rPr>
        <w:footnoteRef/>
      </w:r>
      <w:r w:rsidRPr="00FD7002">
        <w:rPr>
          <w:szCs w:val="18"/>
        </w:rPr>
        <w:t xml:space="preserve"> Celková zmluvne dohodnutá čiastka na financovanie národného projektu Zdravé komunity 2A zo zdrojov EŠIF </w:t>
      </w:r>
      <w:r>
        <w:rPr>
          <w:szCs w:val="18"/>
        </w:rPr>
        <w:t xml:space="preserve">je 11 295 855 eur do 31.12.2019 a celková </w:t>
      </w:r>
      <w:r w:rsidRPr="00FD7002">
        <w:rPr>
          <w:szCs w:val="18"/>
        </w:rPr>
        <w:t>zmluvne dohodnutá čiastka na financovanie náro</w:t>
      </w:r>
      <w:r>
        <w:rPr>
          <w:szCs w:val="18"/>
        </w:rPr>
        <w:t>dného projektu Zdravé komunity 3</w:t>
      </w:r>
      <w:r w:rsidRPr="00FD7002">
        <w:rPr>
          <w:szCs w:val="18"/>
        </w:rPr>
        <w:t xml:space="preserve">A zo zdrojov EŠIF </w:t>
      </w:r>
      <w:r>
        <w:rPr>
          <w:szCs w:val="18"/>
        </w:rPr>
        <w:t>je 303 557 eur do 30.06.2020.</w:t>
      </w:r>
    </w:p>
  </w:footnote>
  <w:footnote w:id="495">
    <w:p w14:paraId="5F9CE084" w14:textId="77777777" w:rsidR="00FA29AF" w:rsidRDefault="00FA29AF" w:rsidP="0088311C">
      <w:pPr>
        <w:pStyle w:val="Textpoznmkypodiarou"/>
      </w:pPr>
      <w:r>
        <w:rPr>
          <w:rStyle w:val="Odkaznapoznmkupodiarou"/>
        </w:rPr>
        <w:footnoteRef/>
      </w:r>
      <w:r>
        <w:t xml:space="preserve"> </w:t>
      </w:r>
      <w:hyperlink r:id="rId90" w:history="1">
        <w:r w:rsidRPr="00382D2B">
          <w:rPr>
            <w:rStyle w:val="Hypertextovprepojenie"/>
          </w:rPr>
          <w:t>https://zdraveregiony.eu/wp-content/uploads/2019/05/Výročná-správa-ZR-2018.pdf</w:t>
        </w:r>
      </w:hyperlink>
      <w:r>
        <w:t xml:space="preserve"> </w:t>
      </w:r>
    </w:p>
  </w:footnote>
  <w:footnote w:id="496">
    <w:p w14:paraId="451ABED1" w14:textId="77777777" w:rsidR="00FA29AF" w:rsidRDefault="00FA29AF" w:rsidP="0088311C">
      <w:pPr>
        <w:pStyle w:val="Textpoznmkypodiarou"/>
      </w:pPr>
      <w:r>
        <w:rPr>
          <w:rStyle w:val="Odkaznapoznmkupodiarou"/>
        </w:rPr>
        <w:footnoteRef/>
      </w:r>
      <w:r>
        <w:t xml:space="preserve"> </w:t>
      </w:r>
      <w:hyperlink r:id="rId91" w:history="1">
        <w:r w:rsidRPr="00382D2B">
          <w:rPr>
            <w:rStyle w:val="Hypertextovprepojenie"/>
          </w:rPr>
          <w:t>https://zdraveregiony.eu/wp-content/uploads/2019/05/Výročná-správa-ZR-2018.pdf</w:t>
        </w:r>
      </w:hyperlink>
      <w:r>
        <w:t xml:space="preserve"> </w:t>
      </w:r>
    </w:p>
  </w:footnote>
  <w:footnote w:id="497">
    <w:p w14:paraId="4E42596E" w14:textId="77777777" w:rsidR="00FA29AF" w:rsidRPr="006A7E33" w:rsidRDefault="00FA29AF">
      <w:pPr>
        <w:spacing w:after="0" w:line="240" w:lineRule="auto"/>
        <w:rPr>
          <w:sz w:val="18"/>
          <w:szCs w:val="18"/>
        </w:rPr>
      </w:pPr>
      <w:r w:rsidRPr="006A7E33">
        <w:rPr>
          <w:rStyle w:val="Odkaznapoznmkupodiarou"/>
          <w:sz w:val="18"/>
          <w:szCs w:val="18"/>
        </w:rPr>
        <w:footnoteRef/>
      </w:r>
      <w:r w:rsidRPr="006A7E33">
        <w:rPr>
          <w:sz w:val="18"/>
          <w:szCs w:val="18"/>
        </w:rPr>
        <w:t xml:space="preserve"> </w:t>
      </w:r>
      <w:r>
        <w:rPr>
          <w:sz w:val="18"/>
          <w:szCs w:val="18"/>
        </w:rPr>
        <w:t>Doposiaľ boli na MOPS</w:t>
      </w:r>
      <w:r w:rsidRPr="006A7E33">
        <w:rPr>
          <w:sz w:val="18"/>
          <w:szCs w:val="18"/>
        </w:rPr>
        <w:t xml:space="preserve"> vyhlásené dve výzvy v rokoch 2017 a 2018. Celková alokácia prostriedkov z EŠIF za obe výzvy dohromady pr</w:t>
      </w:r>
      <w:r>
        <w:rPr>
          <w:sz w:val="18"/>
          <w:szCs w:val="18"/>
        </w:rPr>
        <w:t>edstavuje sumu 41,8 milióna eur</w:t>
      </w:r>
      <w:r w:rsidRPr="006A7E33">
        <w:rPr>
          <w:sz w:val="18"/>
          <w:szCs w:val="18"/>
        </w:rPr>
        <w:t>.</w:t>
      </w:r>
    </w:p>
  </w:footnote>
  <w:footnote w:id="498">
    <w:p w14:paraId="36BF56D7" w14:textId="77777777" w:rsidR="00FA29AF" w:rsidRPr="00FD7002" w:rsidRDefault="00FA29AF" w:rsidP="003C7E46">
      <w:pPr>
        <w:pStyle w:val="Textpoznmkypodiarou"/>
        <w:rPr>
          <w:szCs w:val="18"/>
        </w:rPr>
      </w:pPr>
      <w:r w:rsidRPr="00FD7002">
        <w:rPr>
          <w:rStyle w:val="Odkaznapoznmkupodiarou"/>
          <w:szCs w:val="18"/>
        </w:rPr>
        <w:footnoteRef/>
      </w:r>
      <w:r w:rsidRPr="00FD7002">
        <w:rPr>
          <w:szCs w:val="18"/>
        </w:rPr>
        <w:t xml:space="preserve"> </w:t>
      </w:r>
      <w:r w:rsidRPr="00FD7002">
        <w:rPr>
          <w:rFonts w:cs="Arial"/>
          <w:szCs w:val="18"/>
        </w:rPr>
        <w:t>Zákona č. 448/2008 Z. z. o sociálnych službách a o zmene a doplnení zákona č. 455/1991 Zb. o živnostenskom podnikaní (živnostenský zákon) v znení neskorších predpisov.</w:t>
      </w:r>
    </w:p>
  </w:footnote>
  <w:footnote w:id="499">
    <w:p w14:paraId="65734C7F" w14:textId="77777777" w:rsidR="00FA29AF" w:rsidRPr="00FD7002" w:rsidRDefault="00FA29AF" w:rsidP="003C7E46">
      <w:pPr>
        <w:pStyle w:val="Textpoznmkypodiarou"/>
        <w:rPr>
          <w:szCs w:val="18"/>
        </w:rPr>
      </w:pPr>
      <w:r w:rsidRPr="00FD7002">
        <w:rPr>
          <w:rStyle w:val="Odkaznapoznmkupodiarou"/>
          <w:szCs w:val="18"/>
        </w:rPr>
        <w:footnoteRef/>
      </w:r>
      <w:r w:rsidRPr="00FD7002">
        <w:rPr>
          <w:szCs w:val="18"/>
        </w:rPr>
        <w:t xml:space="preserve"> Celková alokácia na Národný projekt Podpora vybraných služieb krízovej intervencie na komunitnej úrovni je </w:t>
      </w:r>
      <w:r w:rsidRPr="00FD7002">
        <w:rPr>
          <w:rFonts w:cs="Tahoma"/>
          <w:color w:val="000000"/>
          <w:szCs w:val="18"/>
        </w:rPr>
        <w:t xml:space="preserve">20 915 000 </w:t>
      </w:r>
      <w:r w:rsidRPr="00FD7002">
        <w:rPr>
          <w:szCs w:val="18"/>
        </w:rPr>
        <w:t>eur na obdobie od októbra 2015 do septembra 2019 (</w:t>
      </w:r>
      <w:hyperlink r:id="rId92" w:history="1">
        <w:r w:rsidRPr="00FD7002">
          <w:rPr>
            <w:rStyle w:val="Hypertextovprepojenie"/>
            <w:szCs w:val="18"/>
          </w:rPr>
          <w:t>https://www.ia.gov.sk/npkiku/o-projekte/zakladne-informacie-2/</w:t>
        </w:r>
      </w:hyperlink>
      <w:r w:rsidRPr="00FD7002">
        <w:rPr>
          <w:szCs w:val="18"/>
        </w:rPr>
        <w:t xml:space="preserve">). </w:t>
      </w:r>
    </w:p>
  </w:footnote>
  <w:footnote w:id="500">
    <w:p w14:paraId="134A8E8A" w14:textId="77777777" w:rsidR="00FA29AF" w:rsidRPr="00FD7002" w:rsidRDefault="00FA29AF" w:rsidP="003C7E46">
      <w:pPr>
        <w:pStyle w:val="Textpoznmkypodiarou"/>
        <w:rPr>
          <w:szCs w:val="18"/>
        </w:rPr>
      </w:pPr>
      <w:r w:rsidRPr="00FD7002">
        <w:rPr>
          <w:rStyle w:val="Odkaznapoznmkupodiarou"/>
          <w:szCs w:val="18"/>
        </w:rPr>
        <w:footnoteRef/>
      </w:r>
      <w:r w:rsidRPr="00FD7002">
        <w:rPr>
          <w:szCs w:val="18"/>
        </w:rPr>
        <w:t xml:space="preserve"> Celková alokácia na Národný projekt Komunitné centrá v mestách a obciach s prítomnosťou MRK je </w:t>
      </w:r>
      <w:r w:rsidRPr="00FD7002">
        <w:rPr>
          <w:rFonts w:cs="Tahoma"/>
          <w:color w:val="000000"/>
          <w:szCs w:val="18"/>
        </w:rPr>
        <w:t xml:space="preserve">18 688 726 </w:t>
      </w:r>
      <w:r w:rsidRPr="00FD7002">
        <w:rPr>
          <w:szCs w:val="18"/>
        </w:rPr>
        <w:t>eur na obdobie od januára 2016 do decembra 2019 (</w:t>
      </w:r>
      <w:hyperlink r:id="rId93" w:history="1">
        <w:r w:rsidRPr="00FD7002">
          <w:rPr>
            <w:rStyle w:val="Hypertextovprepojenie"/>
            <w:szCs w:val="18"/>
          </w:rPr>
          <w:t>https://www.minv.sk/?NP-KC-1</w:t>
        </w:r>
      </w:hyperlink>
      <w:r w:rsidRPr="00FD7002">
        <w:rPr>
          <w:szCs w:val="18"/>
        </w:rPr>
        <w:t xml:space="preserve">). </w:t>
      </w:r>
    </w:p>
  </w:footnote>
  <w:footnote w:id="501">
    <w:p w14:paraId="0CA27201" w14:textId="66B4C6D1" w:rsidR="00FA29AF" w:rsidRDefault="00FA29AF" w:rsidP="003C7E46">
      <w:pPr>
        <w:pStyle w:val="Textpoznmkypodiarou"/>
      </w:pPr>
      <w:r>
        <w:rPr>
          <w:rStyle w:val="Odkaznapoznmkupodiarou"/>
        </w:rPr>
        <w:footnoteRef/>
      </w:r>
      <w:r>
        <w:t xml:space="preserve"> Centrálne riadený a implementovaný model patrí medzi dva najperspektívnejšie modely zabezpečenia udržateľnosti a kvality TSP aj podľa kontextovej evaluácie terénnej </w:t>
      </w:r>
      <w:r w:rsidRPr="001D1F41">
        <w:t xml:space="preserve">sociálnej práce </w:t>
      </w:r>
      <w:r w:rsidRPr="00D3189B">
        <w:t>(Filčák a spol., 2019</w:t>
      </w:r>
      <w:r w:rsidRPr="001D1F41">
        <w:t>).</w:t>
      </w:r>
    </w:p>
  </w:footnote>
  <w:footnote w:id="502">
    <w:p w14:paraId="051E603B" w14:textId="77777777" w:rsidR="00FA29AF" w:rsidRDefault="00FA29AF" w:rsidP="008E46D8">
      <w:pPr>
        <w:pStyle w:val="Textpoznmkypodiarou"/>
      </w:pPr>
      <w:r>
        <w:rPr>
          <w:rStyle w:val="Odkaznapoznmkupodiarou"/>
        </w:rPr>
        <w:footnoteRef/>
      </w:r>
      <w:r>
        <w:t xml:space="preserve"> </w:t>
      </w:r>
      <w:r w:rsidRPr="000C6214">
        <w:t xml:space="preserve">Zdroj: interný </w:t>
      </w:r>
      <w:r w:rsidRPr="000C6214">
        <w:rPr>
          <w:szCs w:val="18"/>
        </w:rPr>
        <w:t>materiál</w:t>
      </w:r>
      <w:r w:rsidRPr="000C6214">
        <w:t xml:space="preserve"> ISP</w:t>
      </w:r>
    </w:p>
  </w:footnote>
  <w:footnote w:id="503">
    <w:p w14:paraId="795E777E" w14:textId="2288F27D" w:rsidR="00FA29AF" w:rsidRDefault="00FA29AF" w:rsidP="008E46D8">
      <w:pPr>
        <w:pBdr>
          <w:top w:val="nil"/>
          <w:left w:val="nil"/>
          <w:bottom w:val="nil"/>
          <w:right w:val="nil"/>
          <w:between w:val="nil"/>
        </w:pBdr>
        <w:spacing w:after="0" w:line="240" w:lineRule="auto"/>
        <w:rPr>
          <w:rFonts w:eastAsia="Arial Narrow" w:cs="Arial Narrow"/>
          <w:color w:val="000000"/>
          <w:sz w:val="18"/>
          <w:szCs w:val="18"/>
        </w:rPr>
      </w:pPr>
      <w:r>
        <w:rPr>
          <w:vertAlign w:val="superscript"/>
        </w:rPr>
        <w:footnoteRef/>
      </w:r>
      <w:r>
        <w:rPr>
          <w:rFonts w:eastAsia="Arial Narrow" w:cs="Arial Narrow"/>
          <w:color w:val="000000"/>
          <w:sz w:val="18"/>
          <w:szCs w:val="18"/>
        </w:rPr>
        <w:t xml:space="preserve"> Na základe zahraničných údajov môžeme predpokladať, že sa ročne na Slovensku narodí 580 až 850 detí s PAS. Interný materiál ISP, Elsabbagh et al. 2012; Fombonne, 2011; ADDM 2012; Mattila et al. 2011; Saemundsen et al. 2013; Baird et al. 2011, uvedené na stránke Autism Europe: </w:t>
      </w:r>
      <w:hyperlink r:id="rId94">
        <w:r>
          <w:rPr>
            <w:rFonts w:eastAsia="Arial Narrow" w:cs="Arial Narrow"/>
            <w:color w:val="0563C1"/>
            <w:sz w:val="18"/>
            <w:szCs w:val="18"/>
            <w:u w:val="single"/>
          </w:rPr>
          <w:t>http://www.autismeurope.org/about-autism/prevalence-rate-of-autism/</w:t>
        </w:r>
      </w:hyperlink>
      <w:r>
        <w:rPr>
          <w:rFonts w:eastAsia="Arial Narrow" w:cs="Arial Narrow"/>
          <w:color w:val="000000"/>
          <w:sz w:val="18"/>
          <w:szCs w:val="18"/>
        </w:rPr>
        <w:t>, Centers for Disease Control and Prevention (Baio, 2014) vrátane nultých a prípravných ročníkov</w:t>
      </w:r>
    </w:p>
  </w:footnote>
  <w:footnote w:id="504">
    <w:p w14:paraId="381B2897" w14:textId="77777777" w:rsidR="00FA29AF" w:rsidRDefault="00FA29AF" w:rsidP="008E46D8">
      <w:pPr>
        <w:pBdr>
          <w:top w:val="nil"/>
          <w:left w:val="nil"/>
          <w:bottom w:val="nil"/>
          <w:right w:val="nil"/>
          <w:between w:val="nil"/>
        </w:pBdr>
        <w:spacing w:after="0" w:line="240" w:lineRule="auto"/>
        <w:rPr>
          <w:rFonts w:eastAsia="Arial Narrow" w:cs="Arial Narrow"/>
          <w:color w:val="000000"/>
          <w:sz w:val="18"/>
          <w:szCs w:val="18"/>
        </w:rPr>
      </w:pPr>
      <w:r>
        <w:rPr>
          <w:vertAlign w:val="superscript"/>
        </w:rPr>
        <w:footnoteRef/>
      </w:r>
      <w:r>
        <w:rPr>
          <w:rFonts w:eastAsia="Arial Narrow" w:cs="Arial Narrow"/>
          <w:color w:val="000000"/>
          <w:sz w:val="18"/>
          <w:szCs w:val="18"/>
        </w:rPr>
        <w:t>Napr. hoci je v odbornej literatúre aplikovaná behaviorálna analýza (ABA) terapiou číslo 1 pre deti s poruchami autistického spektra a inými vývinovými poruchami, na Slovensku nemáme takmer žiadnych certifikovaných behaviorálnych analytikov. (Zdroj: dokument „Hodnota za peniaze“ pre zámer národného projektu „Každé dieťa sa počíta“, rozhovory s odborníkmi na autizmus).</w:t>
      </w:r>
    </w:p>
  </w:footnote>
  <w:footnote w:id="505">
    <w:p w14:paraId="09FEA2EE" w14:textId="56AF9700"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Obmedzenie analýzy na predškolákov je možné zdôvodniť skutočnosťou, že táto skupina má prednosť pri prístupe k preprimárnemu vzdelávaniu pred mladšími deťmi. Materské školy majú preto menší priestor na vylučovanie rómskych predškolákov z prístupu k predprimárnemu vzdelávaniu ako v prípade mladších rómskych detí. Tieto diskriminačné praktiky nie je možné v modeli zohľadniť.</w:t>
      </w:r>
      <w:r>
        <w:rPr>
          <w:szCs w:val="18"/>
        </w:rPr>
        <w:t xml:space="preserve"> </w:t>
      </w:r>
    </w:p>
  </w:footnote>
  <w:footnote w:id="506">
    <w:p w14:paraId="08BD37A4" w14:textId="7A654C45"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w:t>
      </w:r>
      <w:r w:rsidRPr="002A676F">
        <w:rPr>
          <w:i/>
          <w:noProof/>
          <w:szCs w:val="18"/>
        </w:rPr>
        <w:fldChar w:fldCharType="begin"/>
      </w:r>
      <w:r w:rsidRPr="002A676F">
        <w:rPr>
          <w:rFonts w:eastAsia="Times New Roman" w:cs="Times New Roman"/>
          <w:i/>
          <w:iCs/>
          <w:color w:val="000000"/>
          <w:szCs w:val="18"/>
        </w:rPr>
        <w:instrText xml:space="preserve"> REF _Ref33439692 \h </w:instrText>
      </w:r>
      <w:r w:rsidRPr="002A676F">
        <w:rPr>
          <w:i/>
          <w:noProof/>
          <w:szCs w:val="18"/>
        </w:rPr>
        <w:instrText xml:space="preserve"> \* MERGEFORMAT </w:instrText>
      </w:r>
      <w:r w:rsidRPr="002A676F">
        <w:rPr>
          <w:i/>
          <w:noProof/>
          <w:szCs w:val="18"/>
        </w:rPr>
      </w:r>
      <w:r w:rsidRPr="002A676F">
        <w:rPr>
          <w:i/>
          <w:noProof/>
          <w:szCs w:val="18"/>
        </w:rPr>
        <w:fldChar w:fldCharType="separate"/>
      </w:r>
      <w:r w:rsidRPr="00FA29AF">
        <w:rPr>
          <w:i/>
          <w:szCs w:val="18"/>
        </w:rPr>
        <w:t xml:space="preserve">Box </w:t>
      </w:r>
      <w:r w:rsidRPr="00FA29AF">
        <w:rPr>
          <w:i/>
          <w:noProof/>
          <w:szCs w:val="18"/>
        </w:rPr>
        <w:t>3</w:t>
      </w:r>
      <w:r w:rsidRPr="002A676F">
        <w:rPr>
          <w:i/>
          <w:noProof/>
          <w:szCs w:val="18"/>
        </w:rPr>
        <w:fldChar w:fldCharType="end"/>
      </w:r>
      <w:r w:rsidRPr="002A676F">
        <w:rPr>
          <w:i/>
          <w:noProof/>
          <w:szCs w:val="18"/>
        </w:rPr>
        <w:t xml:space="preserve"> </w:t>
      </w:r>
      <w:r w:rsidRPr="00980973">
        <w:rPr>
          <w:szCs w:val="18"/>
        </w:rPr>
        <w:t>pre definíciu PHN</w:t>
      </w:r>
      <w:r w:rsidRPr="00FD7002">
        <w:rPr>
          <w:szCs w:val="18"/>
        </w:rPr>
        <w:t>.</w:t>
      </w:r>
    </w:p>
  </w:footnote>
  <w:footnote w:id="507">
    <w:p w14:paraId="5E0C4460" w14:textId="6BE731EA"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Dotované obedy dostávajú aj deti mimo systému pomoci v hmotnej núdzi ak žijú v rodine, ktorej príjem nedosahuje hranicu životného minima. Skutočný dopad dotácií na zaškolenosť preto môže byť ešte o niečo vyšší ako naznačujú koeficienty na PHN dummy v tabuľke.</w:t>
      </w:r>
    </w:p>
  </w:footnote>
  <w:footnote w:id="508">
    <w:p w14:paraId="17A800C0" w14:textId="77777777"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Rodič je považovaný za zamestnaného ak bol zamestnaný aspoň 6 mesiacov v roku 2017. </w:t>
      </w:r>
    </w:p>
  </w:footnote>
  <w:footnote w:id="509">
    <w:p w14:paraId="0A9E91EE" w14:textId="23FEDA9A" w:rsidR="00FA29AF" w:rsidRPr="00FD7002" w:rsidRDefault="00FA29AF" w:rsidP="00AD46EB">
      <w:pPr>
        <w:pStyle w:val="Textpoznmkypodiarou"/>
        <w:rPr>
          <w:szCs w:val="18"/>
        </w:rPr>
      </w:pPr>
      <w:r w:rsidRPr="00FD7002">
        <w:rPr>
          <w:rStyle w:val="Odkaznapoznmkupodiarou"/>
          <w:szCs w:val="18"/>
        </w:rPr>
        <w:footnoteRef/>
      </w:r>
      <w:r w:rsidRPr="00FD7002">
        <w:rPr>
          <w:szCs w:val="18"/>
        </w:rPr>
        <w:t xml:space="preserve"> Napríklad v prípade dieťaťa v systéme PHN, ktorého matka je bez práce a otec pracuje je koeficient na PHN určený takto: 1 x 0,4513 + 1 x 0 x -0,4311 + 1 x 1</w:t>
      </w:r>
      <w:r>
        <w:rPr>
          <w:szCs w:val="18"/>
        </w:rPr>
        <w:t xml:space="preserve"> </w:t>
      </w:r>
      <w:r w:rsidRPr="00FD7002">
        <w:rPr>
          <w:szCs w:val="18"/>
        </w:rPr>
        <w:t>x -0,3376 = 0,1137.</w:t>
      </w:r>
    </w:p>
  </w:footnote>
  <w:footnote w:id="510">
    <w:p w14:paraId="00511B46" w14:textId="77777777" w:rsidR="00FA29AF" w:rsidRPr="00FD7002" w:rsidRDefault="00FA29AF" w:rsidP="00AD46EB">
      <w:pPr>
        <w:pStyle w:val="Textpoznmkypodiarou"/>
        <w:rPr>
          <w:szCs w:val="18"/>
        </w:rPr>
      </w:pPr>
      <w:r w:rsidRPr="00FD7002">
        <w:rPr>
          <w:rStyle w:val="Odkaznapoznmkupodiarou"/>
          <w:szCs w:val="18"/>
        </w:rPr>
        <w:footnoteRef/>
      </w:r>
      <w:r w:rsidRPr="00FD7002">
        <w:rPr>
          <w:szCs w:val="18"/>
        </w:rPr>
        <w:t xml:space="preserve"> Deti v systéme PHN sa vo väčšej miere nachádzajú v obciach bez MŠ, alebo s obmedzenými kapacitami, a vo väčšej miere pochádzajú z rodín, kde rodičia nepracujú alebo majú nízky príjem.</w:t>
      </w:r>
    </w:p>
  </w:footnote>
  <w:footnote w:id="511">
    <w:p w14:paraId="3D23F291" w14:textId="77777777"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Plošné zavedenie dotácií je modelované simuláciou modelu 2 a modelu 3 pri nastavení hodnoty dummy premennej „v systéme PHN“ na úroveň 1 pre všetky pozorovania. Hodnoty ostatných premenných zostávajú nezmenené.</w:t>
      </w:r>
    </w:p>
  </w:footnote>
  <w:footnote w:id="512">
    <w:p w14:paraId="271D7E11" w14:textId="77777777"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Tento odhad bol urobený iteračnou metódou. Model 3 bol najprv simulovaný pri originálnej hodnote zaškolenosti ostatných detí v obci. Následne bola hodnota zaškolenosti ostatných detí v obci odhadnutá nanovo podľa výsledkov simulácie, a táto hodnota bola použitá pri novej iterácii simulácie modela. Opakované iterácie viedli ku konvergencii odhadu celkovej zaškolenosti v MRK na úrovni 72 %.</w:t>
      </w:r>
    </w:p>
  </w:footnote>
  <w:footnote w:id="513">
    <w:p w14:paraId="5A3AF731" w14:textId="77777777" w:rsidR="00FA29AF" w:rsidRDefault="00FA29AF" w:rsidP="00E353C5">
      <w:pPr>
        <w:pStyle w:val="Textpoznmkypodiarou"/>
      </w:pPr>
      <w:r>
        <w:rPr>
          <w:rStyle w:val="Odkaznapoznmkupodiarou"/>
        </w:rPr>
        <w:footnoteRef/>
      </w:r>
      <w:r>
        <w:t xml:space="preserve"> Podľa údajov CVTI SR (2018) v súlade s Vyhláškou</w:t>
      </w:r>
      <w:r w:rsidRPr="000E72DE">
        <w:t xml:space="preserve"> MZ SR č. 527/2007 Z. z. o podrobnostiach o požiadavkách na zariadenia pre deti a mládež, § 3 ods. 2</w:t>
      </w:r>
      <w:r>
        <w:t>. Existuje 133 MŠ, ktoré majú elokované pracoviská/triedy a ktoré vypĺňajú jeden sumárny výkaz za „kmeňovú školu“ aj elokované pracovisko/triedu. Tým pádom sa nedá rozlíšiť priestorová kapacita, počet tried ani počet detí „kmeňovej školy“ od elokovaného pracoviska/triedy. Dolná hranica voľných kapacít predpokladá nulovú voľnú kapacitu v týchto 133 MŠ. Horná hranica pracuje s celkovou „hygienickou kapacitou“ deklarovanou sumárne pre kmeňovú školu a elokované pracovisko. V niektorých prípadoch je možné „hygienickú kapacitu“ znížiť na základe maximálneho počtu detí na triedy stanovenom v školskom zákone. Dolná hranica počíta s takouto úpravou, horná hranica nie.</w:t>
      </w:r>
    </w:p>
  </w:footnote>
  <w:footnote w:id="514">
    <w:p w14:paraId="2329F928" w14:textId="77777777" w:rsidR="00FA29AF" w:rsidRDefault="00FA29AF" w:rsidP="00E353C5">
      <w:pPr>
        <w:pStyle w:val="Textpoznmkypodiarou"/>
      </w:pPr>
      <w:r>
        <w:rPr>
          <w:rStyle w:val="Odkaznapoznmkupodiarou"/>
        </w:rPr>
        <w:footnoteRef/>
      </w:r>
      <w:r>
        <w:t xml:space="preserve"> Zákon č. </w:t>
      </w:r>
      <w:r w:rsidRPr="00C94463">
        <w:t>245/2008 Z. z.</w:t>
      </w:r>
      <w:r>
        <w:t xml:space="preserve"> </w:t>
      </w:r>
      <w:r w:rsidRPr="0049348F">
        <w:t>o výchove a vzdelávaní (školský zákon) a o zmene a doplnení niektorých zákonov</w:t>
      </w:r>
      <w:r>
        <w:t xml:space="preserve">, </w:t>
      </w:r>
      <w:r w:rsidRPr="00C94463">
        <w:t>§ 28</w:t>
      </w:r>
      <w:r>
        <w:t xml:space="preserve"> ods. 9, 10 a 12</w:t>
      </w:r>
    </w:p>
  </w:footnote>
  <w:footnote w:id="515">
    <w:p w14:paraId="1C482BA8" w14:textId="546934F2" w:rsidR="00FA29AF" w:rsidRDefault="00FA29AF" w:rsidP="00E353C5">
      <w:pPr>
        <w:pStyle w:val="Textpoznmkypodiarou"/>
      </w:pPr>
      <w:r>
        <w:rPr>
          <w:rStyle w:val="Odkaznapoznmkupodiarou"/>
        </w:rPr>
        <w:footnoteRef/>
      </w:r>
      <w:r>
        <w:t xml:space="preserve"> Prepočet nezohľadňuje možnosť riaditeľov MŠ znižovať počet detí v triede o dve za každé začlenené dieťa so špeciálnymi výchovno-vzdelávacími potrebami (ŠVVP), ktorej uplatňovanie v praxi sa nedá predvídať. Nezohľadňuje sa tiež povinnosť maximálne dvoch začlenených detí na triedu, pretože výskyt a distribúciu detí so ŠVVP nemožno presne stanoviť (školský zákon, § 28 ods. 12). Nezohľadňuje sa ani ustanovenie o maximálnom počte detí v triedach tvorených výlučne deťmi zo sociálne znevýhodneného prostredia (SZP), ktorý je stanovený na 16 detí na triedu (vyhláška č. 322/2008 Z.z. o materských školách). Podľa súčasne platnej definície je dieťaťom zo SZP iba dieťa, ktorému boli diagnostikované ŠVVP vyplývajúce z jeho vývinu v SZP. Analýza údajov ukazuje, že v súčasnosti neexistuje MŠ, v ktorej by sa vzdelávali iba deti zo SZP. Pri ostatných MŠ, v ktorých sa vzdelávajú aj deti, ktoré nepochádzajú zo SZP predpokladáme, že sa možnosť vytvárania menších tried pre deti zo SZP nebude uplatňovať. </w:t>
      </w:r>
    </w:p>
  </w:footnote>
  <w:footnote w:id="516">
    <w:p w14:paraId="59B18889" w14:textId="77777777" w:rsidR="00FA29AF" w:rsidRDefault="00FA29AF" w:rsidP="00AC3E65">
      <w:pPr>
        <w:pStyle w:val="Textpoznmkypodiarou"/>
      </w:pPr>
      <w:r>
        <w:rPr>
          <w:rStyle w:val="Odkaznapoznmkupodiarou"/>
        </w:rPr>
        <w:footnoteRef/>
      </w:r>
      <w:r>
        <w:t xml:space="preserve"> Počíta sa s dolnou hranicou voľných kapacít.</w:t>
      </w:r>
    </w:p>
  </w:footnote>
  <w:footnote w:id="517">
    <w:p w14:paraId="0ACFD1C8" w14:textId="59469829" w:rsidR="00FA29AF" w:rsidRDefault="00FA29AF" w:rsidP="00AC3E65">
      <w:pPr>
        <w:pStyle w:val="Textpoznmkypodiarou"/>
      </w:pPr>
      <w:r>
        <w:rPr>
          <w:rStyle w:val="Odkaznapoznmkupodiarou"/>
        </w:rPr>
        <w:footnoteRef/>
      </w:r>
      <w:r>
        <w:t xml:space="preserve"> Napr. ak má MŠ 2 triedy a celkovú priestorovú kapacitu 40, implicitne sa predpokladá kapacita na triedu 20. Je však možné, že jedna trieda má kapacitu 10 a druhá 30, avšak školský zákon stanovuje maximálny počet detí v typickej triede na 21.Tým pádom môže byť do školy prijatých iba 10 + 21 = 31 detí.</w:t>
      </w:r>
    </w:p>
  </w:footnote>
  <w:footnote w:id="518">
    <w:p w14:paraId="61AF893F" w14:textId="77777777" w:rsidR="00FA29AF" w:rsidRDefault="00FA29AF" w:rsidP="00AC3E65">
      <w:pPr>
        <w:pStyle w:val="Textpoznmkypodiarou"/>
      </w:pPr>
      <w:r>
        <w:rPr>
          <w:rStyle w:val="Odkaznapoznmkupodiarou"/>
        </w:rPr>
        <w:footnoteRef/>
      </w:r>
      <w:r>
        <w:t xml:space="preserve"> Voľná kapacita špeciálnych materských škôl sa pohybuje</w:t>
      </w:r>
      <w:r w:rsidRPr="00FD7E0A">
        <w:t xml:space="preserve"> v rozmedzí 59-65 detí.</w:t>
      </w:r>
      <w:r>
        <w:t xml:space="preserve"> Počet nevybavených žiadostí bol 48.</w:t>
      </w:r>
    </w:p>
  </w:footnote>
  <w:footnote w:id="519">
    <w:p w14:paraId="10E1A065" w14:textId="6306A059" w:rsidR="00FA29AF" w:rsidRDefault="00FA29AF" w:rsidP="00AC3E65">
      <w:pPr>
        <w:pStyle w:val="Textpoznmkypodiarou"/>
      </w:pPr>
      <w:r>
        <w:rPr>
          <w:rStyle w:val="Odkaznapoznmkupodiarou"/>
        </w:rPr>
        <w:footnoteRef/>
      </w:r>
      <w:r>
        <w:t xml:space="preserve"> </w:t>
      </w:r>
      <w:r w:rsidRPr="00EA71BF">
        <w:t xml:space="preserve">Z týchto 11 147 miest </w:t>
      </w:r>
      <w:r>
        <w:t>bolo</w:t>
      </w:r>
      <w:r w:rsidRPr="00EA71BF">
        <w:t xml:space="preserve"> podľa odhadov </w:t>
      </w:r>
      <w:r w:rsidRPr="00AC72A8">
        <w:t xml:space="preserve">IVP </w:t>
      </w:r>
      <w:r>
        <w:t xml:space="preserve">ku septembru 2018 </w:t>
      </w:r>
      <w:r w:rsidRPr="00AC72A8">
        <w:t>1 371 miest (12 %) využívaných.</w:t>
      </w:r>
      <w:r>
        <w:t xml:space="preserve"> </w:t>
      </w:r>
    </w:p>
  </w:footnote>
  <w:footnote w:id="520">
    <w:p w14:paraId="2246FB58" w14:textId="77777777" w:rsidR="00FA29AF" w:rsidRDefault="00FA29AF" w:rsidP="00E353C5">
      <w:pPr>
        <w:pStyle w:val="Textpoznmkypodiarou"/>
      </w:pPr>
      <w:r>
        <w:rPr>
          <w:rStyle w:val="Odkaznapoznmkupodiarou"/>
        </w:rPr>
        <w:footnoteRef/>
      </w:r>
      <w:r>
        <w:t xml:space="preserve"> Prepočet vychádza z predpokladu, že zavedenie povinnej predškolskej dochádzky pre 5-ročné deti by vzhľadom na celkovo nízku mieru zaškolenosti detí a vysoký počet nevybavených žiadostí nemalo viesť k „nahrádzaniu“ mladších detí predškolákmi.</w:t>
      </w:r>
    </w:p>
  </w:footnote>
  <w:footnote w:id="521">
    <w:p w14:paraId="182521BC" w14:textId="77777777" w:rsidR="00FA29AF" w:rsidRDefault="00FA29AF" w:rsidP="00E353C5">
      <w:pPr>
        <w:pStyle w:val="Textpoznmkypodiarou"/>
      </w:pPr>
      <w:r>
        <w:rPr>
          <w:rStyle w:val="Odkaznapoznmkupodiarou"/>
        </w:rPr>
        <w:footnoteRef/>
      </w:r>
      <w:r>
        <w:t xml:space="preserve"> </w:t>
      </w:r>
      <w:r w:rsidRPr="00F80F14">
        <w:t>Pre počet detí v MŠ sa zohľadňujú údaje z Rezortného informačného systému (RIS), ktoré obsahujú dátumy narodenia detí (a teda vek k 31.8.) a trvalý pobyt dieťaťa na úrovni obce. Pre počet detí v populácii sa zohľadňujú údaje z Registra fyzických osôb (RFO), odkiaľ sa dá čerpať vek k 31.8. a zároveň trvalý pobyt občanov.</w:t>
      </w:r>
    </w:p>
  </w:footnote>
  <w:footnote w:id="522">
    <w:p w14:paraId="638BD6B4" w14:textId="77777777" w:rsidR="00FA29AF" w:rsidRDefault="00FA29AF" w:rsidP="00E353C5">
      <w:pPr>
        <w:pStyle w:val="Textpoznmkypodiarou"/>
      </w:pPr>
      <w:r>
        <w:rPr>
          <w:rStyle w:val="Odkaznapoznmkupodiarou"/>
        </w:rPr>
        <w:footnoteRef/>
      </w:r>
      <w:r>
        <w:t xml:space="preserve"> Doterajšie čerpanie ukazuje, že žiadatelia vytvárali aj vyšší počet nových miest, než je len počet nezaškolených 5-ročných v obci (napr. pre mladšie, príp. staršie nezaškolené deti, mohli zohľadňovať demografický vývoj a i.).</w:t>
      </w:r>
    </w:p>
  </w:footnote>
  <w:footnote w:id="523">
    <w:p w14:paraId="06B89415" w14:textId="77777777" w:rsidR="00FA29AF" w:rsidRDefault="00FA29AF" w:rsidP="00E353C5">
      <w:pPr>
        <w:pStyle w:val="Textpoznmkypodiarou"/>
      </w:pPr>
      <w:r>
        <w:rPr>
          <w:rStyle w:val="Odkaznapoznmkupodiarou"/>
        </w:rPr>
        <w:footnoteRef/>
      </w:r>
      <w:r>
        <w:t xml:space="preserve"> Z týchto obcí, resp. mestských častí, má iba Bratislava-Petržalka zatiaľ zazmluvnenú tvorbu nových miest prostredníctvom IROP-u. Aj napriek tejto pomoci sa však dá očakávať 107 nezaškolených 5-ročných detí.</w:t>
      </w:r>
    </w:p>
  </w:footnote>
  <w:footnote w:id="524">
    <w:p w14:paraId="3AD2FE7C" w14:textId="6FDA4FF6" w:rsidR="00FA29AF" w:rsidRDefault="00FA29AF" w:rsidP="00AC3E65">
      <w:pPr>
        <w:pStyle w:val="Textpoznmkypodiarou"/>
      </w:pPr>
      <w:r>
        <w:rPr>
          <w:rStyle w:val="Odkaznapoznmkupodiarou"/>
        </w:rPr>
        <w:footnoteRef/>
      </w:r>
      <w:r>
        <w:t xml:space="preserve"> </w:t>
      </w:r>
      <w:r w:rsidRPr="00447A4D">
        <w:t xml:space="preserve">Súčet miest, ktoré teoreticky budú môcť byť obsadené práve 5-ročnými z OP ĽZ a IROP-u nie je totožný so stĺpcom </w:t>
      </w:r>
      <w:r>
        <w:t>„Spolu“, pretože v </w:t>
      </w:r>
      <w:r w:rsidRPr="00447A4D">
        <w:t>niektorých obciach sa vytvorili miesta z oboch OP.</w:t>
      </w:r>
    </w:p>
  </w:footnote>
  <w:footnote w:id="525">
    <w:p w14:paraId="6002716D" w14:textId="77777777" w:rsidR="00FA29AF" w:rsidRDefault="00FA29AF" w:rsidP="00AC3E65">
      <w:pPr>
        <w:pStyle w:val="Textpoznmkypodiarou"/>
      </w:pPr>
      <w:r>
        <w:rPr>
          <w:rStyle w:val="Odkaznapoznmkupodiarou"/>
        </w:rPr>
        <w:footnoteRef/>
      </w:r>
      <w:r>
        <w:t xml:space="preserve"> </w:t>
      </w:r>
      <w:r w:rsidRPr="009F6E6B">
        <w:t xml:space="preserve">Počet nezaškolených detí je pravdepodobne nadhodnotený o tie deti, ktoré žijú v obciach, ktoré nemajú MŠ a ani nebudujú MŠ. V týchto obciach sa automaticky predpokladá, že v súčasnosti nezaškolené deti budú nezaškolené aj po </w:t>
      </w:r>
      <w:r>
        <w:t xml:space="preserve">všetkých intervenciách. Je však </w:t>
      </w:r>
      <w:r w:rsidRPr="009F6E6B">
        <w:t>pravdepodobné, že aspoň niektoré z týchto detí budú môcť dochádzať do najbližších MŠ s voľnou kapacitou. Celkovo sa jedná o 266 obcí so 607 nezaškolenými 5-ročnými.</w:t>
      </w:r>
      <w:r>
        <w:t xml:space="preserve"> V týchto prípadoch vieme zohľadniť migráciu detí do najbližších troch obcí s MŠ. </w:t>
      </w:r>
      <w:r w:rsidRPr="00815C85">
        <w:t>Po zohľadnení migrácie detí z obcí bez MŠ do najbližších troch obcí s MŠ sa podarí zaškoliť ďalších 368 detí</w:t>
      </w:r>
      <w:r>
        <w:t>, čím sa horná hranica zaškolenosti môže zvýšiť na 97,52 %.</w:t>
      </w:r>
    </w:p>
  </w:footnote>
  <w:footnote w:id="526">
    <w:p w14:paraId="35721847" w14:textId="77777777" w:rsidR="00FA29AF" w:rsidRDefault="00FA29AF" w:rsidP="00D5224B">
      <w:pPr>
        <w:pStyle w:val="Textpoznmkypodiarou"/>
      </w:pPr>
      <w:r>
        <w:rPr>
          <w:rStyle w:val="Odkaznapoznmkupodiarou"/>
        </w:rPr>
        <w:footnoteRef/>
      </w:r>
      <w:r>
        <w:t xml:space="preserve"> </w:t>
      </w:r>
      <w:r w:rsidRPr="00B923C6">
        <w:t xml:space="preserve">Informácie o NP PRINED dostupné na: </w:t>
      </w:r>
      <w:hyperlink r:id="rId95" w:history="1">
        <w:r w:rsidRPr="00ED2BD8">
          <w:rPr>
            <w:rStyle w:val="Hypertextovprepojenie"/>
          </w:rPr>
          <w:t>http://prined.mpc-edu.sk/</w:t>
        </w:r>
      </w:hyperlink>
      <w:r w:rsidRPr="00B923C6">
        <w:t xml:space="preserve">; informácie o NP ŠOV dostupné na: </w:t>
      </w:r>
      <w:hyperlink r:id="rId96" w:history="1">
        <w:r w:rsidRPr="00ED2BD8">
          <w:rPr>
            <w:rStyle w:val="Hypertextovprepojenie"/>
          </w:rPr>
          <w:t>http://npsov.mpc-edu.sk/</w:t>
        </w:r>
      </w:hyperlink>
      <w:r w:rsidRPr="00B923C6">
        <w:t xml:space="preserve">; informácie o NP ZIPE dostupné v Partnerskej dohode na: </w:t>
      </w:r>
      <w:hyperlink r:id="rId97" w:history="1">
        <w:r w:rsidRPr="00ED2BD8">
          <w:rPr>
            <w:rStyle w:val="Hypertextovprepojenie"/>
          </w:rPr>
          <w:t>https://www.partnerskadohoda.gov.sk/data/files/3071_oplz_2019_06_28_np_pomahajuce-profesie-v-edukacii-deti-a-ziakov.pdf</w:t>
        </w:r>
      </w:hyperlink>
      <w:r w:rsidRPr="00B923C6">
        <w:t xml:space="preserve">; informácie o NP ZIPE dostupné v partnerskej dohode na: </w:t>
      </w:r>
      <w:hyperlink r:id="rId98" w:history="1">
        <w:r w:rsidRPr="00ED2BD8">
          <w:rPr>
            <w:rStyle w:val="Hypertextovprepojenie"/>
          </w:rPr>
          <w:t>https://www.partnerskadohoda.gov.sk/data/files/3071_oplz_2019_06_28_np_pomahajuce-profesie-v-edukacii-deti-a-ziakov.pdf</w:t>
        </w:r>
      </w:hyperlink>
      <w:r>
        <w:t>.</w:t>
      </w:r>
    </w:p>
  </w:footnote>
  <w:footnote w:id="527">
    <w:p w14:paraId="751A2871" w14:textId="77777777" w:rsidR="00FA29AF" w:rsidRDefault="00FA29AF" w:rsidP="00D5224B">
      <w:pPr>
        <w:pStyle w:val="Textpoznmkypodiarou"/>
      </w:pPr>
      <w:r>
        <w:rPr>
          <w:rStyle w:val="Odkaznapoznmkupodiarou"/>
        </w:rPr>
        <w:footnoteRef/>
      </w:r>
      <w:r>
        <w:t xml:space="preserve"> Informácie o NP PRIM dostupné na </w:t>
      </w:r>
      <w:hyperlink r:id="rId99" w:history="1">
        <w:r>
          <w:rPr>
            <w:rStyle w:val="Hypertextovprepojenie"/>
          </w:rPr>
          <w:t>https://www.minv.sk/?narodny-projekt-prim-projekt-inkluzie-v-materskych-skolach</w:t>
        </w:r>
      </w:hyperlink>
      <w:r>
        <w:t>.</w:t>
      </w:r>
    </w:p>
  </w:footnote>
  <w:footnote w:id="528">
    <w:p w14:paraId="078E704A" w14:textId="77777777" w:rsidR="00FA29AF" w:rsidRDefault="00FA29AF" w:rsidP="00D5224B">
      <w:pPr>
        <w:pStyle w:val="Textpoznmkypodiarou"/>
      </w:pPr>
      <w:r>
        <w:rPr>
          <w:rStyle w:val="Odkaznapoznmkupodiarou"/>
        </w:rPr>
        <w:footnoteRef/>
      </w:r>
      <w:r>
        <w:t xml:space="preserve"> Výpočty podľa CVTI (2013, 2014)</w:t>
      </w:r>
    </w:p>
  </w:footnote>
  <w:footnote w:id="529">
    <w:p w14:paraId="6E39B415" w14:textId="77777777" w:rsidR="00FA29AF" w:rsidRDefault="00FA29AF" w:rsidP="008226ED">
      <w:pPr>
        <w:pStyle w:val="Textpoznmkypodiarou"/>
      </w:pPr>
      <w:r>
        <w:rPr>
          <w:rStyle w:val="Odkaznapoznmkupodiarou"/>
        </w:rPr>
        <w:footnoteRef/>
      </w:r>
      <w:r>
        <w:t xml:space="preserve"> Výsledky sú veľmi podobné aj pri užšom rozsahu povoleného podielu žiakov z MRK (napríklad najmenej 25 % a najviac 75 %). Pri obmedzujúcejších podmienkach pre výber škôl však klesá podiel žiakov z MRK, ktorí sú obsiahnutí vo vzorke. </w:t>
      </w:r>
    </w:p>
  </w:footnote>
  <w:footnote w:id="530">
    <w:p w14:paraId="36BE87A9" w14:textId="77777777" w:rsidR="00FA29AF" w:rsidRPr="0035302B" w:rsidRDefault="00FA29AF" w:rsidP="008226ED">
      <w:pPr>
        <w:pStyle w:val="Textpoznmkypodiarou"/>
      </w:pPr>
      <w:r w:rsidRPr="0035302B">
        <w:rPr>
          <w:rStyle w:val="Odkaznapoznmkupodiarou"/>
        </w:rPr>
        <w:footnoteRef/>
      </w:r>
      <w:r w:rsidRPr="0035302B">
        <w:t xml:space="preserve"> Toto nezahŕňa žiakov prvých štyroch ročníkov osem ročných gymnázií.</w:t>
      </w:r>
    </w:p>
  </w:footnote>
  <w:footnote w:id="531">
    <w:p w14:paraId="317A2067" w14:textId="77777777"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Nárok na plošnú dotáciu sa prehodnocuje každý mesiac podľa toho, či škola preukáže, že viac ako polovica žiakov je v danom mesiaci v systéme pomoci v hmotnej núdzi.</w:t>
      </w:r>
    </w:p>
  </w:footnote>
  <w:footnote w:id="532">
    <w:p w14:paraId="3539DB2C" w14:textId="77777777" w:rsidR="00FA29AF" w:rsidRPr="00FD7002" w:rsidRDefault="00FA29AF" w:rsidP="00FD7002">
      <w:pPr>
        <w:pStyle w:val="Textpoznmkypodiarou"/>
        <w:rPr>
          <w:szCs w:val="18"/>
        </w:rPr>
      </w:pPr>
      <w:r w:rsidRPr="00FD7002">
        <w:rPr>
          <w:rStyle w:val="Odkaznapoznmkupodiarou"/>
          <w:szCs w:val="18"/>
        </w:rPr>
        <w:footnoteRef/>
      </w:r>
      <w:r w:rsidRPr="00FD7002">
        <w:rPr>
          <w:szCs w:val="18"/>
        </w:rPr>
        <w:t xml:space="preserve"> Ide o vážený priemer, ktorý zohľadňuje veľkosť školy.</w:t>
      </w:r>
    </w:p>
  </w:footnote>
  <w:footnote w:id="533">
    <w:p w14:paraId="5A2B271D" w14:textId="77777777" w:rsidR="00FA29AF" w:rsidRPr="00FD7002" w:rsidRDefault="00FA29AF" w:rsidP="00C219E9">
      <w:pPr>
        <w:pStyle w:val="Textpoznmkypodiarou"/>
        <w:rPr>
          <w:szCs w:val="18"/>
        </w:rPr>
      </w:pPr>
      <w:r w:rsidRPr="00FD7002">
        <w:rPr>
          <w:rStyle w:val="Odkaznapoznmkupodiarou"/>
          <w:szCs w:val="18"/>
        </w:rPr>
        <w:footnoteRef/>
      </w:r>
      <w:r w:rsidRPr="00FD7002">
        <w:rPr>
          <w:szCs w:val="18"/>
        </w:rPr>
        <w:t xml:space="preserve"> Absolventi sú kategorizovaní podľa najvyššieho ukončeného stupňa vzdelania bez ohľadu na to, či pokračovali na vyššom stupni vzdelania ale neukončili ho. </w:t>
      </w:r>
    </w:p>
  </w:footnote>
  <w:footnote w:id="534">
    <w:p w14:paraId="44887341" w14:textId="77777777" w:rsidR="00FA29AF" w:rsidRPr="00FD7002" w:rsidRDefault="00FA29AF" w:rsidP="00C219E9">
      <w:pPr>
        <w:pStyle w:val="Textpoznmkypodiarou"/>
        <w:rPr>
          <w:szCs w:val="18"/>
        </w:rPr>
      </w:pPr>
      <w:r w:rsidRPr="00FD7002">
        <w:rPr>
          <w:rStyle w:val="Odkaznapoznmkupodiarou"/>
          <w:szCs w:val="18"/>
        </w:rPr>
        <w:footnoteRef/>
      </w:r>
      <w:r w:rsidRPr="00FD7002">
        <w:rPr>
          <w:szCs w:val="18"/>
        </w:rPr>
        <w:t xml:space="preserve"> H odbory sú vzdelávacie programy na stredných odborných školách, pri ktorých žiaci získajú výučný list bez maturity. </w:t>
      </w:r>
      <w:hyperlink r:id="rId100" w:history="1">
        <w:r w:rsidRPr="00FD7002">
          <w:rPr>
            <w:rStyle w:val="Hypertextovprepojenie"/>
            <w:szCs w:val="18"/>
          </w:rPr>
          <w:t>http://www.minedu.sk/data/files/3772.pdf</w:t>
        </w:r>
      </w:hyperlink>
      <w:r w:rsidRPr="00FD7002">
        <w:rPr>
          <w:szCs w:val="18"/>
        </w:rPr>
        <w:t xml:space="preserve"> </w:t>
      </w:r>
    </w:p>
  </w:footnote>
  <w:footnote w:id="535">
    <w:p w14:paraId="41BA57C9" w14:textId="77777777" w:rsidR="00FA29AF" w:rsidRPr="00FD7002" w:rsidRDefault="00FA29AF" w:rsidP="00C219E9">
      <w:pPr>
        <w:pStyle w:val="Textpoznmkypodiarou"/>
        <w:rPr>
          <w:szCs w:val="18"/>
        </w:rPr>
      </w:pPr>
      <w:r w:rsidRPr="00FD7002">
        <w:rPr>
          <w:rStyle w:val="Odkaznapoznmkupodiarou"/>
          <w:szCs w:val="18"/>
        </w:rPr>
        <w:footnoteRef/>
      </w:r>
      <w:r w:rsidRPr="00FD7002">
        <w:rPr>
          <w:szCs w:val="18"/>
        </w:rPr>
        <w:t xml:space="preserve"> Za vstup do zamestnania sa počíta začatie pracovného pomeru ako zamestnanec, dohodár (okrem dohody o brigádnickej práci študenta) alebo začatie SZČ. Z analýzy boli vyradené pracovné pomery, ktoré v dátach Sociálnej poisťovne uvádzajú maximálny vymeriavací základ (mzdu) nižší ako polovica minimálnej mzdy za rok 2018 (240 eur).</w:t>
      </w:r>
    </w:p>
  </w:footnote>
  <w:footnote w:id="536">
    <w:p w14:paraId="10338623" w14:textId="55D15638" w:rsidR="00FA29AF" w:rsidRDefault="00FA29AF" w:rsidP="001B34C7">
      <w:pPr>
        <w:pStyle w:val="Textpoznmkypodiarou"/>
      </w:pPr>
      <w:r>
        <w:rPr>
          <w:rStyle w:val="Odkaznapoznmkupodiarou"/>
        </w:rPr>
        <w:footnoteRef/>
      </w:r>
      <w:r>
        <w:t xml:space="preserve"> Pre bližšie informácie k indexu </w:t>
      </w:r>
      <w:r w:rsidRPr="00213C05">
        <w:rPr>
          <w:bCs/>
          <w:szCs w:val="22"/>
        </w:rPr>
        <w:fldChar w:fldCharType="begin"/>
      </w:r>
      <w:r w:rsidRPr="00213C05">
        <w:rPr>
          <w:bCs/>
          <w:szCs w:val="22"/>
        </w:rPr>
        <w:instrText xml:space="preserve"> REF _Ref34129691 \h </w:instrText>
      </w:r>
      <w:r>
        <w:rPr>
          <w:bCs/>
          <w:szCs w:val="22"/>
        </w:rPr>
        <w:instrText xml:space="preserve"> \* MERGEFORMAT </w:instrText>
      </w:r>
      <w:r w:rsidRPr="00213C05">
        <w:rPr>
          <w:bCs/>
          <w:szCs w:val="22"/>
        </w:rPr>
      </w:r>
      <w:r w:rsidRPr="00213C05">
        <w:rPr>
          <w:bCs/>
          <w:szCs w:val="22"/>
        </w:rPr>
        <w:fldChar w:fldCharType="separate"/>
      </w:r>
      <w:r w:rsidRPr="00FA29AF">
        <w:rPr>
          <w:bCs/>
          <w:szCs w:val="22"/>
        </w:rPr>
        <w:t>Príloha 11</w:t>
      </w:r>
      <w:r w:rsidRPr="00213C05">
        <w:rPr>
          <w:bCs/>
          <w:szCs w:val="22"/>
        </w:rPr>
        <w:fldChar w:fldCharType="end"/>
      </w:r>
      <w:r>
        <w:t>.</w:t>
      </w:r>
    </w:p>
  </w:footnote>
  <w:footnote w:id="537">
    <w:p w14:paraId="23AD9BEC" w14:textId="77777777" w:rsidR="00FA29AF" w:rsidRDefault="00FA29AF" w:rsidP="001B34C7">
      <w:pPr>
        <w:pStyle w:val="Textpoznmkypodiarou"/>
      </w:pPr>
      <w:r>
        <w:rPr>
          <w:rStyle w:val="Odkaznapoznmkupodiarou"/>
        </w:rPr>
        <w:footnoteRef/>
      </w:r>
      <w:r>
        <w:t xml:space="preserve"> Do analýzy boli zahrnuté ZŠ s minimálne dvoma bežnými triedami s aspoň troma žiakmi so ZZ v ročníku, v ktorých podiel žiakov so ZZ v ročníku je medzi 3 % a 97 %. V piatom ročníku bolo do analýzy zahrnutých 443 ZŠ s 2 528 žiakmi so ZZ.</w:t>
      </w:r>
    </w:p>
  </w:footnote>
  <w:footnote w:id="538">
    <w:p w14:paraId="564370D8" w14:textId="77777777" w:rsidR="00FA29AF" w:rsidRDefault="00FA29AF" w:rsidP="001B34C7">
      <w:pPr>
        <w:pStyle w:val="Textpoznmkypodiarou"/>
      </w:pPr>
      <w:r>
        <w:rPr>
          <w:rStyle w:val="Odkaznapoznmkupodiarou"/>
        </w:rPr>
        <w:footnoteRef/>
      </w:r>
      <w:r>
        <w:t xml:space="preserve"> Jedná sa o obce, ktoré spĺňajú podmienku zaradenia do analýzy, t. j. obce, v ktorých sa nachádzajú aspoň dve bežné základné školy a podiel žiakov so ZZ v obci je medzi 5 % a 95 %. Spolu sa jedná o 133 obcí so 166 ZŠ s 13 400 žiakmi so ZZ.</w:t>
      </w:r>
    </w:p>
  </w:footnote>
  <w:footnote w:id="539">
    <w:p w14:paraId="744CEC93" w14:textId="77777777" w:rsidR="00FA29AF" w:rsidRDefault="00FA29AF" w:rsidP="001B34C7">
      <w:pPr>
        <w:pStyle w:val="Textpoznmkypodiarou"/>
      </w:pPr>
      <w:r>
        <w:rPr>
          <w:rStyle w:val="Odkaznapoznmkupodiarou"/>
        </w:rPr>
        <w:footnoteRef/>
      </w:r>
      <w:r>
        <w:t xml:space="preserve"> Každý manažér špeciálnych potrieb je zodpovedný za bežné a špeciálne školy v jeho oblasti. Komunikuje s rodičmi a zabezpečuje, aby dieťa so špeciálnymi potrebami dostalo podporu, na ktorú má nárok. </w:t>
      </w:r>
      <w:r w:rsidRPr="00922468">
        <w:t>http://ncse.ie/for-parents</w:t>
      </w:r>
    </w:p>
  </w:footnote>
  <w:footnote w:id="540">
    <w:p w14:paraId="461CC900" w14:textId="77777777" w:rsidR="00FA29AF" w:rsidRDefault="00FA29AF" w:rsidP="001B34C7">
      <w:pPr>
        <w:pStyle w:val="Textpoznmkypodiarou"/>
      </w:pPr>
      <w:r>
        <w:rPr>
          <w:rStyle w:val="Odkaznapoznmkupodiarou"/>
        </w:rPr>
        <w:footnoteRef/>
      </w:r>
      <w:r>
        <w:t xml:space="preserve"> Národné vzdelávaco-psychologické služby (NEPS) </w:t>
      </w:r>
      <w:r w:rsidRPr="008A6215">
        <w:t>https://www.education.ie/en/Schools-Colleges/Services/National-Educational-Psychological-Service-NEPS-/Model-of-Service.html</w:t>
      </w:r>
    </w:p>
  </w:footnote>
  <w:footnote w:id="541">
    <w:p w14:paraId="5957D9BE" w14:textId="77777777" w:rsidR="00FA29AF" w:rsidRDefault="00FA29AF" w:rsidP="001B34C7">
      <w:pPr>
        <w:pStyle w:val="Textpoznmkypodiarou"/>
      </w:pPr>
      <w:r>
        <w:rPr>
          <w:rStyle w:val="Odkaznapoznmkupodiarou"/>
        </w:rPr>
        <w:footnoteRef/>
      </w:r>
      <w:r>
        <w:t xml:space="preserve"> </w:t>
      </w:r>
      <w:hyperlink r:id="rId101" w:history="1">
        <w:r>
          <w:rPr>
            <w:rStyle w:val="Hypertextovprepojenie"/>
          </w:rPr>
          <w:t>https://www.education.ie/en/Circulars-and-Forms/Active-Circulars/cl0030_2014.pdf</w:t>
        </w:r>
      </w:hyperlink>
      <w:r>
        <w:t xml:space="preserve"> a </w:t>
      </w:r>
      <w:hyperlink r:id="rId102" w:history="1">
        <w:r>
          <w:rPr>
            <w:rStyle w:val="Hypertextovprepojenie"/>
          </w:rPr>
          <w:t>http://ncse.ie/wp-content/uploads/2014/10/ChildrenWithSpecialEdNeeds1.pdf</w:t>
        </w:r>
      </w:hyperlink>
      <w:r>
        <w:t xml:space="preserve"> </w:t>
      </w:r>
    </w:p>
  </w:footnote>
  <w:footnote w:id="542">
    <w:p w14:paraId="1A493893" w14:textId="77777777" w:rsidR="00FA29AF" w:rsidRDefault="00FA29AF" w:rsidP="001B34C7">
      <w:pPr>
        <w:pStyle w:val="Textpoznmkypodiarou"/>
      </w:pPr>
      <w:r>
        <w:rPr>
          <w:rStyle w:val="Odkaznapoznmkupodiarou"/>
        </w:rPr>
        <w:footnoteRef/>
      </w:r>
      <w:r>
        <w:t xml:space="preserve"> </w:t>
      </w:r>
      <w:hyperlink r:id="rId103" w:history="1">
        <w:r>
          <w:rPr>
            <w:rStyle w:val="Hypertextovprepojenie"/>
          </w:rPr>
          <w:t>https://ncse.ie/</w:t>
        </w:r>
      </w:hyperlink>
    </w:p>
  </w:footnote>
  <w:footnote w:id="543">
    <w:p w14:paraId="060C1E1F" w14:textId="77777777" w:rsidR="00FA29AF" w:rsidRDefault="00FA29AF" w:rsidP="001B34C7">
      <w:pPr>
        <w:pStyle w:val="Textpoznmkypodiarou"/>
      </w:pPr>
      <w:r>
        <w:rPr>
          <w:rStyle w:val="Odkaznapoznmkupodiarou"/>
        </w:rPr>
        <w:footnoteRef/>
      </w:r>
      <w:r>
        <w:t xml:space="preserve"> </w:t>
      </w:r>
      <w:r w:rsidRPr="00370858">
        <w:t>https://ncse.ie/wp-content/uploads/2015/01/NCSE-SNA-Scheme-Information-Pamphlet.FINALwebaccessibleversion.16.01.151.pdf</w:t>
      </w:r>
    </w:p>
  </w:footnote>
  <w:footnote w:id="544">
    <w:p w14:paraId="5D63FA0B" w14:textId="77777777" w:rsidR="00FA29AF" w:rsidRDefault="00FA29AF" w:rsidP="001B34C7">
      <w:pPr>
        <w:pStyle w:val="Textpoznmkypodiarou"/>
      </w:pPr>
      <w:r>
        <w:rPr>
          <w:rStyle w:val="Odkaznapoznmkupodiarou"/>
        </w:rPr>
        <w:footnoteRef/>
      </w:r>
      <w:r>
        <w:t xml:space="preserve"> Výpočet pasce inaktivity zahŕňa všetky dostupné dávky a daňové úľavy pre modelové domácnosti (pomoc v hmotnej núdzi s osobitným príspevkom, rodičovský príspevok, prídavky na deti, stravné, daňový bonus) okrem príspevku na dochádzku, ktorý v prípade že je príslušným úradom práce poskytnutý výhodnosť práce ešte výrazne zvýši. </w:t>
      </w:r>
    </w:p>
  </w:footnote>
  <w:footnote w:id="545">
    <w:p w14:paraId="1C174C97" w14:textId="3900A79F" w:rsidR="00FA29AF" w:rsidRDefault="00FA29AF">
      <w:pPr>
        <w:pStyle w:val="Textpoznmkypodiarou"/>
      </w:pPr>
      <w:r>
        <w:rPr>
          <w:rStyle w:val="Odkaznapoznmkupodiarou"/>
        </w:rPr>
        <w:footnoteRef/>
      </w:r>
      <w:r>
        <w:t xml:space="preserve"> Výpočet predpokladá bydlisko v najmenej rozvinutom okrese, nepracujúceho partnera, dlhodobú nezamestnanosť predchádzajúcu zamestnaniu sa (</w:t>
      </w:r>
      <w:r w:rsidRPr="00150674">
        <w:t>dobu evidencie nad 12 mesiacov</w:t>
      </w:r>
      <w:r>
        <w:t>) a aspoň jedno dieťa v domácnosti do 3 rokov (</w:t>
      </w:r>
      <w:r w:rsidRPr="00150674">
        <w:t>tretinu de</w:t>
      </w:r>
      <w:r>
        <w:t>tí vo veku do 3 r., tretinu v MŠ a tretinu v ZŠ v prípade mnohopočetných domácností).</w:t>
      </w:r>
    </w:p>
  </w:footnote>
  <w:footnote w:id="546">
    <w:p w14:paraId="39147CD2" w14:textId="60B4A5F4" w:rsidR="00FA29AF" w:rsidRDefault="00FA29AF">
      <w:pPr>
        <w:pStyle w:val="Textpoznmkypodiarou"/>
      </w:pPr>
      <w:r>
        <w:rPr>
          <w:rStyle w:val="Odkaznapoznmkupodiarou"/>
        </w:rPr>
        <w:footnoteRef/>
      </w:r>
      <w:r>
        <w:t xml:space="preserve"> Rozdiely vo veľkosti pasce inaktivity oproti výpočtom </w:t>
      </w:r>
      <w:r w:rsidRPr="00DE2CDC">
        <w:rPr>
          <w:szCs w:val="18"/>
        </w:rPr>
        <w:t>OECD (</w:t>
      </w:r>
      <w:r w:rsidRPr="00D41517">
        <w:rPr>
          <w:szCs w:val="18"/>
        </w:rPr>
        <w:fldChar w:fldCharType="begin"/>
      </w:r>
      <w:r w:rsidRPr="00D41517">
        <w:rPr>
          <w:szCs w:val="18"/>
        </w:rPr>
        <w:instrText xml:space="preserve"> REF _Ref18408190 \h </w:instrText>
      </w:r>
      <w:r>
        <w:rPr>
          <w:szCs w:val="18"/>
        </w:rPr>
        <w:instrText xml:space="preserve"> \* MERGEFORMAT </w:instrText>
      </w:r>
      <w:r w:rsidRPr="00D41517">
        <w:rPr>
          <w:szCs w:val="18"/>
        </w:rPr>
      </w:r>
      <w:r w:rsidRPr="00D41517">
        <w:rPr>
          <w:szCs w:val="18"/>
        </w:rPr>
        <w:fldChar w:fldCharType="separate"/>
      </w:r>
      <w:r w:rsidRPr="00FA29AF">
        <w:rPr>
          <w:szCs w:val="18"/>
        </w:rPr>
        <w:t xml:space="preserve">Graf </w:t>
      </w:r>
      <w:r w:rsidRPr="00FA29AF">
        <w:rPr>
          <w:noProof/>
          <w:szCs w:val="18"/>
        </w:rPr>
        <w:t>53</w:t>
      </w:r>
      <w:r w:rsidRPr="00D41517">
        <w:rPr>
          <w:szCs w:val="18"/>
        </w:rPr>
        <w:fldChar w:fldCharType="end"/>
      </w:r>
      <w:r w:rsidRPr="00D41517">
        <w:rPr>
          <w:szCs w:val="18"/>
        </w:rPr>
        <w:t>) je možné</w:t>
      </w:r>
      <w:r>
        <w:t xml:space="preserve"> vysvetliť okrem iného aj tým, že OECD počíta s nezamestnanosťou pred vstupom do zamestnania v dĺžke 2 mesiacov, čím uchádzačovi v systéme PHN nevzniká nárok na osobitný príspevok po vstupe do zamestnania. OECD tiež </w:t>
      </w:r>
      <w:r w:rsidRPr="00F371B8">
        <w:t>a</w:t>
      </w:r>
      <w:r>
        <w:t> </w:t>
      </w:r>
      <w:r w:rsidRPr="00F371B8">
        <w:t>nezohľadňuje</w:t>
      </w:r>
      <w:r>
        <w:t xml:space="preserve"> </w:t>
      </w:r>
      <w:r w:rsidRPr="00F371B8">
        <w:t>všetky dostupné benefity v prípade zamestnania sa</w:t>
      </w:r>
      <w:r>
        <w:t xml:space="preserve"> ani vek detí relevantný pre ich nárokovateľnosť.</w:t>
      </w:r>
    </w:p>
  </w:footnote>
  <w:footnote w:id="547">
    <w:p w14:paraId="73AEE4F7" w14:textId="77777777" w:rsidR="00FA29AF" w:rsidRPr="00D359BC" w:rsidRDefault="00FA29AF" w:rsidP="00D5224B">
      <w:pPr>
        <w:pStyle w:val="Textpoznmkypodiarou"/>
        <w:rPr>
          <w:szCs w:val="18"/>
        </w:rPr>
      </w:pPr>
      <w:r w:rsidRPr="00D359BC">
        <w:rPr>
          <w:rStyle w:val="Odkaznapoznmkupodiarou"/>
          <w:szCs w:val="18"/>
        </w:rPr>
        <w:footnoteRef/>
      </w:r>
      <w:r w:rsidRPr="00D359BC">
        <w:rPr>
          <w:szCs w:val="18"/>
        </w:rPr>
        <w:t xml:space="preserve"> </w:t>
      </w:r>
      <w:r w:rsidRPr="00D359BC">
        <w:rPr>
          <w:rFonts w:cs="Helvetica"/>
          <w:szCs w:val="18"/>
        </w:rPr>
        <w:t xml:space="preserve">Pri poskytovaní pomoci v hmotnej núdzi sa započítavajú príjmy členov domácnosti. </w:t>
      </w:r>
      <w:r>
        <w:rPr>
          <w:rFonts w:cs="Helvetica"/>
          <w:szCs w:val="18"/>
        </w:rPr>
        <w:t xml:space="preserve">Príjem sa odčítava od súčtu nárokov na PHN. </w:t>
      </w:r>
      <w:r w:rsidRPr="00D359BC">
        <w:rPr>
          <w:rFonts w:cs="Helvetica"/>
          <w:szCs w:val="18"/>
        </w:rPr>
        <w:t xml:space="preserve">Za príjem sa okrem iného nepočíta 50 % </w:t>
      </w:r>
      <w:r>
        <w:rPr>
          <w:rFonts w:cs="Helvetica"/>
          <w:szCs w:val="18"/>
        </w:rPr>
        <w:t>príjmu zo závislej činnosti, na základe ktorej sa človeku poskytuje osobitný príspevok.</w:t>
      </w:r>
    </w:p>
  </w:footnote>
  <w:footnote w:id="548">
    <w:p w14:paraId="20F60B13" w14:textId="77777777" w:rsidR="00FA29AF" w:rsidRPr="00FD7002" w:rsidRDefault="00FA29AF" w:rsidP="007C0C1E">
      <w:pPr>
        <w:pStyle w:val="Textpoznmkypodiarou"/>
        <w:rPr>
          <w:szCs w:val="18"/>
        </w:rPr>
      </w:pPr>
      <w:r w:rsidRPr="00FD7002">
        <w:rPr>
          <w:rStyle w:val="Odkaznapoznmkupodiarou"/>
          <w:szCs w:val="18"/>
        </w:rPr>
        <w:footnoteRef/>
      </w:r>
      <w:r w:rsidRPr="00FD7002">
        <w:rPr>
          <w:szCs w:val="18"/>
        </w:rPr>
        <w:t xml:space="preserve"> Poskytovateľ sociálnej služby v útulku poskytuje túto sociálnu službu oddelene pre jednotlivcov a oddelene pre rodiny s dieťaťom alebo jednotlivcov s dieťaťom.</w:t>
      </w:r>
    </w:p>
  </w:footnote>
  <w:footnote w:id="549">
    <w:p w14:paraId="1A139CFD" w14:textId="77777777" w:rsidR="00FA29AF" w:rsidRPr="00FD7002" w:rsidRDefault="00FA29AF" w:rsidP="007C0C1E">
      <w:pPr>
        <w:pStyle w:val="Textpoznmkypodiarou"/>
        <w:rPr>
          <w:szCs w:val="18"/>
        </w:rPr>
      </w:pPr>
      <w:r w:rsidRPr="00FD7002">
        <w:rPr>
          <w:rStyle w:val="Odkaznapoznmkupodiarou"/>
          <w:szCs w:val="18"/>
        </w:rPr>
        <w:footnoteRef/>
      </w:r>
      <w:r w:rsidRPr="00FD7002">
        <w:rPr>
          <w:szCs w:val="18"/>
        </w:rPr>
        <w:t xml:space="preserve"> Sociálnu službu v domove na polceste nemožno poskytovať v priestoroch alebo v areáli detského domova.</w:t>
      </w:r>
    </w:p>
  </w:footnote>
  <w:footnote w:id="550">
    <w:p w14:paraId="444DAA13" w14:textId="3D0FDA55" w:rsidR="00FA29AF" w:rsidRPr="00D75C23" w:rsidRDefault="00FA29AF" w:rsidP="00F16AF6">
      <w:pPr>
        <w:pStyle w:val="Textpoznmkypodiarou"/>
      </w:pPr>
      <w:r>
        <w:rPr>
          <w:rStyle w:val="Odkaznapoznmkupodiarou"/>
        </w:rPr>
        <w:footnoteRef/>
      </w:r>
      <w:r>
        <w:t xml:space="preserve"> </w:t>
      </w:r>
      <w:r w:rsidRPr="009621DF">
        <w:rPr>
          <w:szCs w:val="18"/>
        </w:rPr>
        <w:t xml:space="preserve">Vo výpočte </w:t>
      </w:r>
      <w:r>
        <w:rPr>
          <w:szCs w:val="18"/>
        </w:rPr>
        <w:t>je zohľadnený</w:t>
      </w:r>
      <w:r w:rsidRPr="009621DF">
        <w:rPr>
          <w:szCs w:val="18"/>
        </w:rPr>
        <w:t xml:space="preserve"> príjem rodičov</w:t>
      </w:r>
      <w:r>
        <w:rPr>
          <w:szCs w:val="18"/>
        </w:rPr>
        <w:t xml:space="preserve"> (prijímatelia PHN)</w:t>
      </w:r>
      <w:r w:rsidRPr="009621DF">
        <w:rPr>
          <w:szCs w:val="18"/>
        </w:rPr>
        <w:t xml:space="preserve"> a bydlisko vo vylúčenej lokalite. Vzdelanie a nezamestnanosť rodičov, ani odlišný materinský jazyk žiaka z dôvodu nedostupnosti údajov zohľadnené nie sú. </w:t>
      </w:r>
      <w:r>
        <w:rPr>
          <w:szCs w:val="18"/>
        </w:rPr>
        <w:t>Revízia však navrhuje</w:t>
      </w:r>
      <w:r w:rsidRPr="009621DF">
        <w:rPr>
          <w:szCs w:val="18"/>
        </w:rPr>
        <w:t xml:space="preserve"> začať tieto údaje zbierať</w:t>
      </w:r>
      <w:r>
        <w:rPr>
          <w:szCs w:val="18"/>
        </w:rPr>
        <w:t xml:space="preserve"> (dáta a metodika opatrenia 2, 3 a 4)</w:t>
      </w:r>
      <w:r w:rsidRPr="009621DF">
        <w:rPr>
          <w:szCs w:val="18"/>
        </w:rPr>
        <w:t>.</w:t>
      </w:r>
    </w:p>
  </w:footnote>
  <w:footnote w:id="551">
    <w:p w14:paraId="72827796" w14:textId="77777777" w:rsidR="00FA29AF" w:rsidRPr="008B31A9" w:rsidRDefault="00FA29AF" w:rsidP="00F16AF6">
      <w:pPr>
        <w:pStyle w:val="Textpoznmkypodiarou"/>
        <w:rPr>
          <w:szCs w:val="18"/>
        </w:rPr>
      </w:pPr>
      <w:r w:rsidRPr="008B31A9">
        <w:rPr>
          <w:rStyle w:val="Odkaznapoznmkupodiarou"/>
          <w:szCs w:val="18"/>
        </w:rPr>
        <w:footnoteRef/>
      </w:r>
      <w:r w:rsidRPr="008B31A9">
        <w:rPr>
          <w:szCs w:val="18"/>
        </w:rPr>
        <w:t xml:space="preserve"> Vypočítane ako počet žiakov základnej školy, ktorí v školskom roku 2017/2018 do konca júna 2018 dovŕšili 16. rok veku alebo vyšší (teda počas školského roka 2017/2018 si splnili povinnosť povinnej desaťročnej školskej dochádzky) a nepokračovali v štúdiu v školskom roku 2018/2019.</w:t>
      </w:r>
    </w:p>
  </w:footnote>
  <w:footnote w:id="552">
    <w:p w14:paraId="1232A9C9" w14:textId="77777777" w:rsidR="00FA29AF" w:rsidRPr="008B31A9" w:rsidRDefault="00FA29AF" w:rsidP="00F16AF6">
      <w:pPr>
        <w:pStyle w:val="Textpoznmkypodiarou"/>
        <w:rPr>
          <w:szCs w:val="18"/>
        </w:rPr>
      </w:pPr>
      <w:r w:rsidRPr="008B31A9">
        <w:rPr>
          <w:rStyle w:val="Odkaznapoznmkupodiarou"/>
          <w:szCs w:val="18"/>
        </w:rPr>
        <w:footnoteRef/>
      </w:r>
      <w:r w:rsidRPr="008B31A9">
        <w:rPr>
          <w:szCs w:val="18"/>
        </w:rPr>
        <w:t xml:space="preserve"> Náklady boli vyčíslené podľa aktuálne realizovaného mentoringového a tútoringového projektu podporovaného z európskych prostriedkov. Dostupné na: </w:t>
      </w:r>
      <w:hyperlink r:id="rId104" w:history="1">
        <w:r w:rsidRPr="000A2AB8">
          <w:rPr>
            <w:rStyle w:val="Hypertextovprepojenie"/>
            <w:szCs w:val="18"/>
          </w:rPr>
          <w:t>http://www.minv.sk/?aktualne-vyzvy-na-predkladanie-ziadosti-o-nenavratny-financny-prispevok&amp;sprava=vyzva-zamerana-na-poskytovanie-mentorskej-a-tutorskej-podpory-pre-ziakov-z-mrk-s-dorazom-na-uspesne-ukoncenie-zs-a-plynuly-prechod-na-ss-oplz-po5-2017-2</w:t>
        </w:r>
      </w:hyperlink>
      <w:r>
        <w:rPr>
          <w:szCs w:val="18"/>
        </w:rPr>
        <w:t xml:space="preserve"> </w:t>
      </w:r>
    </w:p>
  </w:footnote>
  <w:footnote w:id="553">
    <w:p w14:paraId="3CA833E6" w14:textId="77777777" w:rsidR="00FA29AF" w:rsidRPr="008B31A9" w:rsidRDefault="00FA29AF" w:rsidP="00F16AF6">
      <w:pPr>
        <w:spacing w:after="0" w:line="240" w:lineRule="auto"/>
        <w:rPr>
          <w:sz w:val="18"/>
          <w:szCs w:val="18"/>
        </w:rPr>
      </w:pPr>
      <w:r w:rsidRPr="008B31A9">
        <w:rPr>
          <w:rStyle w:val="Odkaznapoznmkupodiarou"/>
          <w:sz w:val="18"/>
          <w:szCs w:val="18"/>
        </w:rPr>
        <w:footnoteRef/>
      </w:r>
      <w:r w:rsidRPr="008B31A9">
        <w:rPr>
          <w:sz w:val="18"/>
          <w:szCs w:val="18"/>
        </w:rPr>
        <w:t xml:space="preserve"> Napočítané v súlade aktuálne vyhlásenou výzvou OPĽZ, ktorá sa zameriava najmä na skvalitnenie praktickej prípravy budúcich učiteľov študujúcich na vysokých školách. Alokácia tejto výzvy je celkovo 15 000 000,00 €, pričom obmedzenie na jeden projekt je v rozmedzí 100 000 – 500 000 eur. Dostupné na: </w:t>
      </w:r>
      <w:hyperlink r:id="rId105" w:history="1">
        <w:r w:rsidRPr="000A2AB8">
          <w:rPr>
            <w:rStyle w:val="Hypertextovprepojenie"/>
            <w:sz w:val="18"/>
            <w:szCs w:val="18"/>
          </w:rPr>
          <w:t>https://www.itms2014.sk/vyzva?id=344eaa93-7846-4629-bc31-88f0a2d8415e</w:t>
        </w:r>
      </w:hyperlink>
      <w:r>
        <w:rPr>
          <w:sz w:val="18"/>
          <w:szCs w:val="18"/>
        </w:rPr>
        <w:t xml:space="preserve"> </w:t>
      </w:r>
    </w:p>
  </w:footnote>
  <w:footnote w:id="554">
    <w:p w14:paraId="1BDBDB05" w14:textId="5CAB46E7" w:rsidR="00FA29AF" w:rsidRPr="00FD7002" w:rsidRDefault="00FA29AF" w:rsidP="00F16AF6">
      <w:pPr>
        <w:pStyle w:val="Textpoznmkypodiarou"/>
        <w:rPr>
          <w:szCs w:val="18"/>
        </w:rPr>
      </w:pPr>
      <w:r w:rsidRPr="00FD7002">
        <w:rPr>
          <w:rStyle w:val="Odkaznapoznmkupodiarou"/>
          <w:szCs w:val="18"/>
        </w:rPr>
        <w:footnoteRef/>
      </w:r>
      <w:r w:rsidRPr="00FD7002">
        <w:rPr>
          <w:szCs w:val="18"/>
        </w:rPr>
        <w:t xml:space="preserve"> </w:t>
      </w:r>
      <w:r w:rsidRPr="00FD7002">
        <w:rPr>
          <w:rFonts w:eastAsia="Calibri" w:cs="Times New Roman"/>
          <w:szCs w:val="18"/>
        </w:rPr>
        <w:t>Maximálne ročné náklady na poskytovanie individualizovaného poradenstva APZ pri 100 zamestnancoch APZ, z ktorých každý pracuje mesačne s 10 klientmi počas 12 mesiacov, sú odhadované na 1 932 000 eur. Pri predpoklade, že APZ umiestnia na trhu práce ročne 900 UoZ zo ZP, pričom priemerná výška príspevku za ich umiestnenie bude 1 500 eur (súhrnne za celých 6 mesiacov), ročné náklady na financovanie transferov za umiestnenie UoZ so ZP na trhu práce by tvorili</w:t>
      </w:r>
      <w:r>
        <w:rPr>
          <w:rFonts w:eastAsia="Calibri" w:cs="Times New Roman"/>
          <w:szCs w:val="18"/>
        </w:rPr>
        <w:t xml:space="preserve"> </w:t>
      </w:r>
      <w:r w:rsidRPr="00FD7002">
        <w:rPr>
          <w:rFonts w:eastAsia="Calibri" w:cs="Times New Roman"/>
          <w:szCs w:val="18"/>
        </w:rPr>
        <w:t>1 350 000 eur.</w:t>
      </w:r>
    </w:p>
  </w:footnote>
  <w:footnote w:id="555">
    <w:p w14:paraId="5C6E07D6" w14:textId="77777777" w:rsidR="00FA29AF" w:rsidRPr="008050D4" w:rsidRDefault="00FA29AF" w:rsidP="00F16AF6">
      <w:pPr>
        <w:pStyle w:val="Textpoznmkypodiarou"/>
        <w:rPr>
          <w:szCs w:val="18"/>
        </w:rPr>
      </w:pPr>
      <w:r w:rsidRPr="008050D4">
        <w:rPr>
          <w:rStyle w:val="Odkaznapoznmkupodiarou"/>
          <w:szCs w:val="18"/>
        </w:rPr>
        <w:footnoteRef/>
      </w:r>
      <w:r w:rsidRPr="008050D4">
        <w:rPr>
          <w:szCs w:val="18"/>
        </w:rPr>
        <w:t xml:space="preserve"> V prípade nezaopatrených detí, ktoré ukončili povinnú školskú dochádzku bol ekvivalent ŽM jednotlivca bez detí znížený o navrhovanú hodnotu príspevku na nezaopatrené dieťa, nakoľko na tieto deti nevzniká nárok na tento príspevok v rámci PHN.</w:t>
      </w:r>
    </w:p>
  </w:footnote>
  <w:footnote w:id="556">
    <w:p w14:paraId="042F7F5A" w14:textId="77777777" w:rsidR="00FA29AF" w:rsidRPr="00BD06CD" w:rsidRDefault="00FA29AF" w:rsidP="00F16AF6">
      <w:pPr>
        <w:pStyle w:val="Textpoznmkypodiarou"/>
        <w:rPr>
          <w:szCs w:val="18"/>
        </w:rPr>
      </w:pPr>
      <w:r w:rsidRPr="00BD06CD">
        <w:rPr>
          <w:rStyle w:val="Odkaznapoznmkupodiarou"/>
          <w:szCs w:val="18"/>
        </w:rPr>
        <w:footnoteRef/>
      </w:r>
      <w:r>
        <w:rPr>
          <w:szCs w:val="18"/>
        </w:rPr>
        <w:t xml:space="preserve"> Rozsah tohto efektu závisí od počtu domácností s vlastným príjmom, ktorý je vyšší ako suma nárokov bez príspevku na bývanie v aktuálnom systéme (a tým pádom nemajú na PHN nárok) ale nižší ako suma nárokov v navrhovanom nastavení s vyššou dávkou v hmotnej núdzi a vyšším príspevkom na nezaopatrené dieťa (získali by nárok na PHN). V skutočnosti je podiel príjemcov PHN s vlastným príjmom nízky. V roku 2018 predstavovali výdavky na PHN vyše 85 % celkových nárokov na PHN, čo naznačuje, že iba malému podielu príjemcov sa PHN krátila v dôsledku vlastného príjmu. Navyše domácnosti, ktoré v aktuálnom nastavení nemajú nárok na PHN ale v navrhovanom nastavení by nárok získali, by z dôvodu krátenia PHN dostávali iba časť z celkových nárokov. Dopad na celkové výdavky by bol preto nízky. </w:t>
      </w:r>
    </w:p>
  </w:footnote>
  <w:footnote w:id="557">
    <w:p w14:paraId="2D3554AC" w14:textId="77777777" w:rsidR="00FA29AF" w:rsidRPr="00B545E5" w:rsidRDefault="00FA29AF" w:rsidP="00F16AF6">
      <w:pPr>
        <w:pStyle w:val="Textpoznmkypodiarou"/>
        <w:rPr>
          <w:szCs w:val="18"/>
        </w:rPr>
      </w:pPr>
      <w:r>
        <w:rPr>
          <w:rStyle w:val="Odkaznapoznmkupodiarou"/>
        </w:rPr>
        <w:footnoteRef/>
      </w:r>
      <w:r>
        <w:t xml:space="preserve"> </w:t>
      </w:r>
      <w:r w:rsidRPr="00B545E5">
        <w:rPr>
          <w:rFonts w:eastAsia="Times New Roman" w:cs="Times New Roman"/>
          <w:color w:val="000000"/>
          <w:szCs w:val="18"/>
          <w:lang w:eastAsia="sk-SK"/>
        </w:rPr>
        <w:t>V prípade, že by bol projekt rozšírený na všetkých obyvateľov MRK v tejto vekovej kategórii, maximálne výdavky, za predpokladu 100 % účasti by predstavovali 1,3 milióny eur.</w:t>
      </w:r>
    </w:p>
  </w:footnote>
  <w:footnote w:id="558">
    <w:p w14:paraId="71FE0E11" w14:textId="77777777" w:rsidR="00FA29AF" w:rsidRPr="00A062BA" w:rsidRDefault="00FA29AF" w:rsidP="00F16AF6">
      <w:pPr>
        <w:pStyle w:val="Textpoznmkypodiarou"/>
      </w:pPr>
      <w:r w:rsidRPr="00A062BA">
        <w:rPr>
          <w:rStyle w:val="Odkaznapoznmkupodiarou"/>
        </w:rPr>
        <w:footnoteRef/>
      </w:r>
      <w:r w:rsidRPr="00A062BA">
        <w:t xml:space="preserve"> Náhrada príspevku na bývanie pre účastníkov projektu, ktorí naň nemajú nárok je dočasná. Po zdokladovaní, že domácnosť uhrádza nájomné a náklady za služby spojené s bývaním, ak je to dohodnuté v nájomnej zmluve, účastníci projektu, ktorí sú v systéme pomoci v hmotnej núdzi získajú nárok na príspevok na bývanie.</w:t>
      </w:r>
    </w:p>
  </w:footnote>
  <w:footnote w:id="559">
    <w:p w14:paraId="3A6E9C3C" w14:textId="77777777" w:rsidR="00FA29AF" w:rsidRPr="00391141" w:rsidRDefault="00FA29AF" w:rsidP="00F16AF6">
      <w:pPr>
        <w:pStyle w:val="Textpoznmkypodiarou"/>
        <w:rPr>
          <w:szCs w:val="18"/>
        </w:rPr>
      </w:pPr>
      <w:r w:rsidRPr="00391141">
        <w:rPr>
          <w:rStyle w:val="Odkaznapoznmkupodiarou"/>
          <w:szCs w:val="18"/>
        </w:rPr>
        <w:footnoteRef/>
      </w:r>
      <w:r w:rsidRPr="00391141">
        <w:rPr>
          <w:szCs w:val="18"/>
        </w:rPr>
        <w:t xml:space="preserve"> Počty potrebných miest vychádzajú z jednoduchého hypotetického modelu v rámci ešte nepublikovanej štúdie uskutočniteľnosti TSP, ktorý predpokladá 1 TSP pre obce so 100 alebo menej obyvateľmi MRK, 1 TSP a 1 TP v obciach od 101 do 200 obyvateľov MRK, 2 TSP a 1 TP v obciach s 201 až 350 obyvateľov MRK, 2 TSP a 2 TP v obciach s 351 až 600 obyvateľov MRK, 3 TSP a 2 TP v obciach s 601 až 1000 obyvateľov MRK a 3 TSP a 3 TP v obciach s viac ako 1000 obyvateľmi MRK.</w:t>
      </w:r>
    </w:p>
  </w:footnote>
  <w:footnote w:id="560">
    <w:p w14:paraId="406C7F97" w14:textId="77777777" w:rsidR="00FA29AF" w:rsidRPr="00A63689" w:rsidRDefault="00FA29AF" w:rsidP="00F16AF6">
      <w:pPr>
        <w:pStyle w:val="Textpoznmkypodiarou"/>
        <w:rPr>
          <w:szCs w:val="18"/>
        </w:rPr>
      </w:pPr>
      <w:r w:rsidRPr="00A63689">
        <w:rPr>
          <w:rStyle w:val="Odkaznapoznmkupodiarou"/>
          <w:szCs w:val="18"/>
        </w:rPr>
        <w:footnoteRef/>
      </w:r>
      <w:r w:rsidRPr="00A63689">
        <w:rPr>
          <w:szCs w:val="18"/>
        </w:rPr>
        <w:t xml:space="preserve"> Konkrétne 658 626 eur v roku 2020, 691 014 eur v roku 2021 a 723 402 eur v roku 2022. Náklady zohľadňujú predpokladaný rast minimálnej mzdy.</w:t>
      </w:r>
    </w:p>
  </w:footnote>
  <w:footnote w:id="561">
    <w:p w14:paraId="1D679CDF" w14:textId="546BA9DF" w:rsidR="00FA29AF" w:rsidRPr="00A63689" w:rsidRDefault="00FA29AF" w:rsidP="00F16AF6">
      <w:pPr>
        <w:pStyle w:val="Textpoznmkypodiarou"/>
        <w:rPr>
          <w:szCs w:val="18"/>
        </w:rPr>
      </w:pPr>
      <w:r w:rsidRPr="00A63689">
        <w:rPr>
          <w:rStyle w:val="Odkaznapoznmkupodiarou"/>
          <w:szCs w:val="18"/>
        </w:rPr>
        <w:footnoteRef/>
      </w:r>
      <w:r w:rsidRPr="00A63689">
        <w:rPr>
          <w:szCs w:val="18"/>
        </w:rPr>
        <w:t xml:space="preserve"> Predbežné odhady na základe neúplných dát zo stanovenia zdravotných potrieb v cieľových MRK Národného projektu Zdravé komunity, realizovaného </w:t>
      </w:r>
      <w:r>
        <w:rPr>
          <w:szCs w:val="18"/>
        </w:rPr>
        <w:t>pre potreby národného projektu L</w:t>
      </w:r>
      <w:r w:rsidRPr="00A63689">
        <w:rPr>
          <w:szCs w:val="18"/>
        </w:rPr>
        <w:t>ekárskou fakultou UPJŠ v Košiciach (finálne údaje budú k dispozícii v decembri 2019)</w:t>
      </w:r>
    </w:p>
  </w:footnote>
  <w:footnote w:id="562">
    <w:p w14:paraId="2AF9E8C3" w14:textId="77777777" w:rsidR="00FA29AF" w:rsidRPr="00A63689" w:rsidRDefault="00FA29AF" w:rsidP="00F16AF6">
      <w:pPr>
        <w:pStyle w:val="Textpoznmkypodiarou"/>
        <w:rPr>
          <w:szCs w:val="18"/>
        </w:rPr>
      </w:pPr>
      <w:r w:rsidRPr="00A63689">
        <w:rPr>
          <w:rStyle w:val="Odkaznapoznmkupodiarou"/>
          <w:szCs w:val="18"/>
        </w:rPr>
        <w:footnoteRef/>
      </w:r>
      <w:r w:rsidRPr="00A63689">
        <w:rPr>
          <w:szCs w:val="18"/>
        </w:rPr>
        <w:t xml:space="preserve"> V obciach s počtom obyvateľov MRK od 80 do 599 je maximum stanovené na 4 pracovníkov MOPS, v obciach s počtom obyvateľov MRK od 600 do 1 199 je maximum stanovené na 8 pracovníkov MOPS, v obciach s počtom obyvateľov MRK 1 200 a viac je maximum st</w:t>
      </w:r>
      <w:r>
        <w:rPr>
          <w:szCs w:val="18"/>
        </w:rPr>
        <w:t>anovené na 12 pracovníkov MOPS.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A3A2D"/>
    <w:multiLevelType w:val="hybridMultilevel"/>
    <w:tmpl w:val="F38CDFD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03D4654"/>
    <w:multiLevelType w:val="hybridMultilevel"/>
    <w:tmpl w:val="84F0836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1BD596E"/>
    <w:multiLevelType w:val="hybridMultilevel"/>
    <w:tmpl w:val="2792909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3CF3E5D"/>
    <w:multiLevelType w:val="hybridMultilevel"/>
    <w:tmpl w:val="73CCED68"/>
    <w:lvl w:ilvl="0" w:tplc="041B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 w15:restartNumberingAfterBreak="0">
    <w:nsid w:val="058B5E0F"/>
    <w:multiLevelType w:val="multilevel"/>
    <w:tmpl w:val="2932DBB2"/>
    <w:lvl w:ilvl="0">
      <w:start w:val="1"/>
      <w:numFmt w:val="decimal"/>
      <w:pStyle w:val="Nadpis1"/>
      <w:lvlText w:val="%1."/>
      <w:lvlJc w:val="left"/>
      <w:pPr>
        <w:ind w:left="1920" w:hanging="360"/>
      </w:pPr>
    </w:lvl>
    <w:lvl w:ilvl="1">
      <w:start w:val="1"/>
      <w:numFmt w:val="decimal"/>
      <w:pStyle w:val="Nadpis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91510B6"/>
    <w:multiLevelType w:val="hybridMultilevel"/>
    <w:tmpl w:val="7E68D69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B266A0C"/>
    <w:multiLevelType w:val="hybridMultilevel"/>
    <w:tmpl w:val="5DE8E1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0D7D2FCE"/>
    <w:multiLevelType w:val="multilevel"/>
    <w:tmpl w:val="58EE3E4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E83709A"/>
    <w:multiLevelType w:val="hybridMultilevel"/>
    <w:tmpl w:val="75A8214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0EA91894"/>
    <w:multiLevelType w:val="hybridMultilevel"/>
    <w:tmpl w:val="FA2E5D0E"/>
    <w:lvl w:ilvl="0" w:tplc="910AADE6">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0FC66111"/>
    <w:multiLevelType w:val="hybridMultilevel"/>
    <w:tmpl w:val="14FED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7023CD"/>
    <w:multiLevelType w:val="hybridMultilevel"/>
    <w:tmpl w:val="6CB021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1230780C"/>
    <w:multiLevelType w:val="hybridMultilevel"/>
    <w:tmpl w:val="61AC723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90A3B2A"/>
    <w:multiLevelType w:val="hybridMultilevel"/>
    <w:tmpl w:val="3634F9BC"/>
    <w:lvl w:ilvl="0" w:tplc="5F7223BC">
      <w:start w:val="6"/>
      <w:numFmt w:val="bullet"/>
      <w:lvlText w:val="-"/>
      <w:lvlJc w:val="left"/>
      <w:pPr>
        <w:ind w:left="720" w:hanging="360"/>
      </w:pPr>
      <w:rPr>
        <w:rFonts w:ascii="Arial Narrow" w:eastAsiaTheme="minorHAnsi" w:hAnsi="Arial Narrow"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19AF0CE1"/>
    <w:multiLevelType w:val="hybridMultilevel"/>
    <w:tmpl w:val="7196245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5" w15:restartNumberingAfterBreak="0">
    <w:nsid w:val="20407E44"/>
    <w:multiLevelType w:val="hybridMultilevel"/>
    <w:tmpl w:val="3C9ECA3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20C4490E"/>
    <w:multiLevelType w:val="hybridMultilevel"/>
    <w:tmpl w:val="C1C2D2E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22474855"/>
    <w:multiLevelType w:val="hybridMultilevel"/>
    <w:tmpl w:val="438CA7C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2652469F"/>
    <w:multiLevelType w:val="hybridMultilevel"/>
    <w:tmpl w:val="0B60C4B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9" w15:restartNumberingAfterBreak="0">
    <w:nsid w:val="272D21C9"/>
    <w:multiLevelType w:val="hybridMultilevel"/>
    <w:tmpl w:val="B76AD5DE"/>
    <w:lvl w:ilvl="0" w:tplc="5BAAFFFA">
      <w:numFmt w:val="bullet"/>
      <w:lvlText w:val="-"/>
      <w:lvlJc w:val="left"/>
      <w:pPr>
        <w:ind w:left="720" w:hanging="360"/>
      </w:pPr>
      <w:rPr>
        <w:rFonts w:ascii="Arial Narrow" w:eastAsiaTheme="minorHAnsi" w:hAnsi="Arial Narrow"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2D420624"/>
    <w:multiLevelType w:val="hybridMultilevel"/>
    <w:tmpl w:val="7F86997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2F050418"/>
    <w:multiLevelType w:val="hybridMultilevel"/>
    <w:tmpl w:val="7DE65C3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2F8F2F94"/>
    <w:multiLevelType w:val="hybridMultilevel"/>
    <w:tmpl w:val="E0DE572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2FC96483"/>
    <w:multiLevelType w:val="hybridMultilevel"/>
    <w:tmpl w:val="1B469D32"/>
    <w:lvl w:ilvl="0" w:tplc="1B226586">
      <w:start w:val="1"/>
      <w:numFmt w:val="bullet"/>
      <w:lvlText w:val="-"/>
      <w:lvlJc w:val="left"/>
      <w:pPr>
        <w:ind w:left="720" w:hanging="360"/>
      </w:pPr>
      <w:rPr>
        <w:rFonts w:ascii="Arial Narrow" w:eastAsiaTheme="minorHAnsi" w:hAnsi="Arial Narrow"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30C22E21"/>
    <w:multiLevelType w:val="hybridMultilevel"/>
    <w:tmpl w:val="BEDED58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3141460F"/>
    <w:multiLevelType w:val="hybridMultilevel"/>
    <w:tmpl w:val="13ACEA5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318043AA"/>
    <w:multiLevelType w:val="hybridMultilevel"/>
    <w:tmpl w:val="1542E7FA"/>
    <w:lvl w:ilvl="0" w:tplc="54442670">
      <w:numFmt w:val="bullet"/>
      <w:lvlText w:val=""/>
      <w:lvlJc w:val="left"/>
      <w:pPr>
        <w:ind w:left="720" w:hanging="360"/>
      </w:pPr>
      <w:rPr>
        <w:rFonts w:ascii="Symbol" w:eastAsiaTheme="minorHAnsi" w:hAnsi="Symbol"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35A776EF"/>
    <w:multiLevelType w:val="hybridMultilevel"/>
    <w:tmpl w:val="6F906B1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3E551337"/>
    <w:multiLevelType w:val="hybridMultilevel"/>
    <w:tmpl w:val="9BCECF6E"/>
    <w:lvl w:ilvl="0" w:tplc="9658144A">
      <w:numFmt w:val="bullet"/>
      <w:lvlText w:val="-"/>
      <w:lvlJc w:val="left"/>
      <w:pPr>
        <w:ind w:left="720" w:hanging="360"/>
      </w:pPr>
      <w:rPr>
        <w:rFonts w:ascii="Arial Narrow" w:eastAsiaTheme="minorHAnsi" w:hAnsi="Arial Narrow"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429B6DEB"/>
    <w:multiLevelType w:val="hybridMultilevel"/>
    <w:tmpl w:val="5318411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45AB6FBD"/>
    <w:multiLevelType w:val="hybridMultilevel"/>
    <w:tmpl w:val="DA7C7D6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47EB5805"/>
    <w:multiLevelType w:val="hybridMultilevel"/>
    <w:tmpl w:val="5B44AD1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2" w15:restartNumberingAfterBreak="0">
    <w:nsid w:val="49DC4615"/>
    <w:multiLevelType w:val="hybridMultilevel"/>
    <w:tmpl w:val="A89606F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3" w15:restartNumberingAfterBreak="0">
    <w:nsid w:val="4BF36B5A"/>
    <w:multiLevelType w:val="hybridMultilevel"/>
    <w:tmpl w:val="77FC5F2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4" w15:restartNumberingAfterBreak="0">
    <w:nsid w:val="4C7579DE"/>
    <w:multiLevelType w:val="hybridMultilevel"/>
    <w:tmpl w:val="F7668CA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4D5B5127"/>
    <w:multiLevelType w:val="hybridMultilevel"/>
    <w:tmpl w:val="CA76B3AC"/>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55B2E1D4">
      <w:start w:val="1"/>
      <w:numFmt w:val="bullet"/>
      <w:lvlText w:val="-"/>
      <w:lvlJc w:val="left"/>
      <w:pPr>
        <w:ind w:left="3600" w:hanging="360"/>
      </w:pPr>
      <w:rPr>
        <w:rFonts w:ascii="Arial Narrow" w:eastAsiaTheme="minorHAnsi" w:hAnsi="Arial Narrow" w:cstheme="minorBidi" w:hint="default"/>
      </w:r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4F511A9D"/>
    <w:multiLevelType w:val="multilevel"/>
    <w:tmpl w:val="7534B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4371A13"/>
    <w:multiLevelType w:val="hybridMultilevel"/>
    <w:tmpl w:val="27927F4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56193324"/>
    <w:multiLevelType w:val="hybridMultilevel"/>
    <w:tmpl w:val="771A84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56F23B0C"/>
    <w:multiLevelType w:val="hybridMultilevel"/>
    <w:tmpl w:val="F6245EB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5A5F33A2"/>
    <w:multiLevelType w:val="hybridMultilevel"/>
    <w:tmpl w:val="48E03A54"/>
    <w:lvl w:ilvl="0" w:tplc="EFDC8874">
      <w:start w:val="15"/>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5FAC0A87"/>
    <w:multiLevelType w:val="hybridMultilevel"/>
    <w:tmpl w:val="290AB20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60A26BC0"/>
    <w:multiLevelType w:val="hybridMultilevel"/>
    <w:tmpl w:val="D4D207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618452D6"/>
    <w:multiLevelType w:val="hybridMultilevel"/>
    <w:tmpl w:val="58D8B88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636E4B65"/>
    <w:multiLevelType w:val="hybridMultilevel"/>
    <w:tmpl w:val="A93CFBA8"/>
    <w:lvl w:ilvl="0" w:tplc="C0563536">
      <w:numFmt w:val="bullet"/>
      <w:lvlText w:val="-"/>
      <w:lvlJc w:val="left"/>
      <w:pPr>
        <w:ind w:left="720" w:hanging="360"/>
      </w:pPr>
      <w:rPr>
        <w:rFonts w:ascii="Arial Narrow" w:eastAsiaTheme="minorHAnsi" w:hAnsi="Arial Narrow"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644E588A"/>
    <w:multiLevelType w:val="hybridMultilevel"/>
    <w:tmpl w:val="CAD4A5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66127C6E"/>
    <w:multiLevelType w:val="hybridMultilevel"/>
    <w:tmpl w:val="C794226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6C106F46"/>
    <w:multiLevelType w:val="hybridMultilevel"/>
    <w:tmpl w:val="532C2640"/>
    <w:lvl w:ilvl="0" w:tplc="9FE802F8">
      <w:start w:val="101"/>
      <w:numFmt w:val="bullet"/>
      <w:lvlText w:val="-"/>
      <w:lvlJc w:val="left"/>
      <w:pPr>
        <w:ind w:left="720" w:hanging="360"/>
      </w:pPr>
      <w:rPr>
        <w:rFonts w:ascii="Arial Narrow" w:eastAsiaTheme="minorHAnsi" w:hAnsi="Arial Narrow"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6C357CC3"/>
    <w:multiLevelType w:val="hybridMultilevel"/>
    <w:tmpl w:val="12F24EE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6E9C2D96"/>
    <w:multiLevelType w:val="hybridMultilevel"/>
    <w:tmpl w:val="FADC781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15:restartNumberingAfterBreak="0">
    <w:nsid w:val="747C1277"/>
    <w:multiLevelType w:val="hybridMultilevel"/>
    <w:tmpl w:val="02EC64C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15:restartNumberingAfterBreak="0">
    <w:nsid w:val="77152443"/>
    <w:multiLevelType w:val="hybridMultilevel"/>
    <w:tmpl w:val="5FCECBC6"/>
    <w:lvl w:ilvl="0" w:tplc="764CB398">
      <w:numFmt w:val="bullet"/>
      <w:lvlText w:val="-"/>
      <w:lvlJc w:val="left"/>
      <w:pPr>
        <w:ind w:left="720" w:hanging="360"/>
      </w:pPr>
      <w:rPr>
        <w:rFonts w:ascii="Arial Narrow" w:eastAsiaTheme="minorHAnsi" w:hAnsi="Arial Narrow"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7D796B07"/>
    <w:multiLevelType w:val="hybridMultilevel"/>
    <w:tmpl w:val="5CB4E5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15:restartNumberingAfterBreak="0">
    <w:nsid w:val="7E5314A6"/>
    <w:multiLevelType w:val="hybridMultilevel"/>
    <w:tmpl w:val="C77C84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48"/>
  </w:num>
  <w:num w:numId="4">
    <w:abstractNumId w:val="46"/>
  </w:num>
  <w:num w:numId="5">
    <w:abstractNumId w:val="17"/>
  </w:num>
  <w:num w:numId="6">
    <w:abstractNumId w:val="31"/>
  </w:num>
  <w:num w:numId="7">
    <w:abstractNumId w:val="27"/>
  </w:num>
  <w:num w:numId="8">
    <w:abstractNumId w:val="34"/>
  </w:num>
  <w:num w:numId="9">
    <w:abstractNumId w:val="21"/>
  </w:num>
  <w:num w:numId="10">
    <w:abstractNumId w:val="41"/>
  </w:num>
  <w:num w:numId="11">
    <w:abstractNumId w:val="16"/>
  </w:num>
  <w:num w:numId="12">
    <w:abstractNumId w:val="20"/>
  </w:num>
  <w:num w:numId="13">
    <w:abstractNumId w:val="52"/>
  </w:num>
  <w:num w:numId="14">
    <w:abstractNumId w:val="5"/>
  </w:num>
  <w:num w:numId="15">
    <w:abstractNumId w:val="12"/>
  </w:num>
  <w:num w:numId="16">
    <w:abstractNumId w:val="32"/>
  </w:num>
  <w:num w:numId="17">
    <w:abstractNumId w:val="14"/>
  </w:num>
  <w:num w:numId="18">
    <w:abstractNumId w:val="3"/>
  </w:num>
  <w:num w:numId="19">
    <w:abstractNumId w:val="39"/>
  </w:num>
  <w:num w:numId="20">
    <w:abstractNumId w:val="42"/>
  </w:num>
  <w:num w:numId="21">
    <w:abstractNumId w:val="18"/>
  </w:num>
  <w:num w:numId="22">
    <w:abstractNumId w:val="0"/>
  </w:num>
  <w:num w:numId="23">
    <w:abstractNumId w:val="50"/>
  </w:num>
  <w:num w:numId="24">
    <w:abstractNumId w:val="45"/>
  </w:num>
  <w:num w:numId="25">
    <w:abstractNumId w:val="8"/>
  </w:num>
  <w:num w:numId="26">
    <w:abstractNumId w:val="38"/>
  </w:num>
  <w:num w:numId="27">
    <w:abstractNumId w:val="11"/>
  </w:num>
  <w:num w:numId="28">
    <w:abstractNumId w:val="49"/>
  </w:num>
  <w:num w:numId="29">
    <w:abstractNumId w:val="24"/>
  </w:num>
  <w:num w:numId="30">
    <w:abstractNumId w:val="6"/>
  </w:num>
  <w:num w:numId="31">
    <w:abstractNumId w:val="10"/>
  </w:num>
  <w:num w:numId="32">
    <w:abstractNumId w:val="29"/>
  </w:num>
  <w:num w:numId="33">
    <w:abstractNumId w:val="30"/>
  </w:num>
  <w:num w:numId="34">
    <w:abstractNumId w:val="15"/>
  </w:num>
  <w:num w:numId="35">
    <w:abstractNumId w:val="19"/>
  </w:num>
  <w:num w:numId="36">
    <w:abstractNumId w:val="13"/>
  </w:num>
  <w:num w:numId="37">
    <w:abstractNumId w:val="2"/>
  </w:num>
  <w:num w:numId="38">
    <w:abstractNumId w:val="53"/>
  </w:num>
  <w:num w:numId="39">
    <w:abstractNumId w:val="51"/>
  </w:num>
  <w:num w:numId="40">
    <w:abstractNumId w:val="26"/>
  </w:num>
  <w:num w:numId="41">
    <w:abstractNumId w:val="35"/>
  </w:num>
  <w:num w:numId="42">
    <w:abstractNumId w:val="37"/>
  </w:num>
  <w:num w:numId="43">
    <w:abstractNumId w:val="25"/>
  </w:num>
  <w:num w:numId="44">
    <w:abstractNumId w:val="23"/>
  </w:num>
  <w:num w:numId="45">
    <w:abstractNumId w:val="47"/>
  </w:num>
  <w:num w:numId="46">
    <w:abstractNumId w:val="36"/>
  </w:num>
  <w:num w:numId="47">
    <w:abstractNumId w:val="40"/>
  </w:num>
  <w:num w:numId="48">
    <w:abstractNumId w:val="44"/>
  </w:num>
  <w:num w:numId="49">
    <w:abstractNumId w:val="28"/>
  </w:num>
  <w:num w:numId="50">
    <w:abstractNumId w:val="4"/>
  </w:num>
  <w:num w:numId="51">
    <w:abstractNumId w:val="7"/>
  </w:num>
  <w:num w:numId="52">
    <w:abstractNumId w:val="43"/>
  </w:num>
  <w:num w:numId="53">
    <w:abstractNumId w:val="9"/>
  </w:num>
  <w:num w:numId="54">
    <w:abstractNumId w:val="22"/>
  </w:num>
  <w:num w:numId="55">
    <w:abstractNumId w:val="3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4485"/>
    <w:rsid w:val="000001E8"/>
    <w:rsid w:val="00000219"/>
    <w:rsid w:val="00000253"/>
    <w:rsid w:val="00000668"/>
    <w:rsid w:val="0000122A"/>
    <w:rsid w:val="000013B7"/>
    <w:rsid w:val="00001528"/>
    <w:rsid w:val="00001B41"/>
    <w:rsid w:val="000022A4"/>
    <w:rsid w:val="000022FB"/>
    <w:rsid w:val="000029A4"/>
    <w:rsid w:val="00002CE7"/>
    <w:rsid w:val="00002D91"/>
    <w:rsid w:val="0000392D"/>
    <w:rsid w:val="00003E18"/>
    <w:rsid w:val="00003FC4"/>
    <w:rsid w:val="00004183"/>
    <w:rsid w:val="00004C22"/>
    <w:rsid w:val="0000511E"/>
    <w:rsid w:val="000055D7"/>
    <w:rsid w:val="00011516"/>
    <w:rsid w:val="00011C26"/>
    <w:rsid w:val="0001252B"/>
    <w:rsid w:val="000125DF"/>
    <w:rsid w:val="0001275D"/>
    <w:rsid w:val="000128EF"/>
    <w:rsid w:val="00013CEB"/>
    <w:rsid w:val="000143DB"/>
    <w:rsid w:val="00015A0C"/>
    <w:rsid w:val="00015B8C"/>
    <w:rsid w:val="00015C48"/>
    <w:rsid w:val="00015ECD"/>
    <w:rsid w:val="00016A35"/>
    <w:rsid w:val="00016D0D"/>
    <w:rsid w:val="00017759"/>
    <w:rsid w:val="00017F2A"/>
    <w:rsid w:val="0002054A"/>
    <w:rsid w:val="000206DD"/>
    <w:rsid w:val="0002077F"/>
    <w:rsid w:val="00021A8B"/>
    <w:rsid w:val="00021EF5"/>
    <w:rsid w:val="00022643"/>
    <w:rsid w:val="00022844"/>
    <w:rsid w:val="0002284C"/>
    <w:rsid w:val="00022F83"/>
    <w:rsid w:val="0002318F"/>
    <w:rsid w:val="00023568"/>
    <w:rsid w:val="00023ABD"/>
    <w:rsid w:val="00023C71"/>
    <w:rsid w:val="0002451F"/>
    <w:rsid w:val="000248F6"/>
    <w:rsid w:val="00027A08"/>
    <w:rsid w:val="00027F8E"/>
    <w:rsid w:val="0003025B"/>
    <w:rsid w:val="000302FE"/>
    <w:rsid w:val="00030B8E"/>
    <w:rsid w:val="0003113C"/>
    <w:rsid w:val="000313EF"/>
    <w:rsid w:val="00031426"/>
    <w:rsid w:val="0003149C"/>
    <w:rsid w:val="000319F8"/>
    <w:rsid w:val="00032A28"/>
    <w:rsid w:val="00032B12"/>
    <w:rsid w:val="000341C4"/>
    <w:rsid w:val="0003476D"/>
    <w:rsid w:val="00035D10"/>
    <w:rsid w:val="00037177"/>
    <w:rsid w:val="00037492"/>
    <w:rsid w:val="00037708"/>
    <w:rsid w:val="00040CE3"/>
    <w:rsid w:val="00040DE9"/>
    <w:rsid w:val="0004116F"/>
    <w:rsid w:val="00041889"/>
    <w:rsid w:val="0004254A"/>
    <w:rsid w:val="00042C94"/>
    <w:rsid w:val="0004311A"/>
    <w:rsid w:val="00043E5D"/>
    <w:rsid w:val="00043F5E"/>
    <w:rsid w:val="00044203"/>
    <w:rsid w:val="0004475D"/>
    <w:rsid w:val="000449E3"/>
    <w:rsid w:val="00044FE1"/>
    <w:rsid w:val="00045C85"/>
    <w:rsid w:val="00046111"/>
    <w:rsid w:val="00046B66"/>
    <w:rsid w:val="00047618"/>
    <w:rsid w:val="000478CF"/>
    <w:rsid w:val="00047FB7"/>
    <w:rsid w:val="0005064C"/>
    <w:rsid w:val="000507BD"/>
    <w:rsid w:val="00051B04"/>
    <w:rsid w:val="00051DB1"/>
    <w:rsid w:val="00052121"/>
    <w:rsid w:val="00052E83"/>
    <w:rsid w:val="000533E4"/>
    <w:rsid w:val="00053695"/>
    <w:rsid w:val="0005549A"/>
    <w:rsid w:val="00055A44"/>
    <w:rsid w:val="00055D56"/>
    <w:rsid w:val="00056CBE"/>
    <w:rsid w:val="000573CA"/>
    <w:rsid w:val="000576E8"/>
    <w:rsid w:val="00057DC6"/>
    <w:rsid w:val="000602BD"/>
    <w:rsid w:val="00061110"/>
    <w:rsid w:val="00061429"/>
    <w:rsid w:val="0006156F"/>
    <w:rsid w:val="000618CF"/>
    <w:rsid w:val="00061B65"/>
    <w:rsid w:val="00061C67"/>
    <w:rsid w:val="000621D8"/>
    <w:rsid w:val="000624B6"/>
    <w:rsid w:val="00062793"/>
    <w:rsid w:val="00063BC2"/>
    <w:rsid w:val="00064F13"/>
    <w:rsid w:val="00065347"/>
    <w:rsid w:val="000653CD"/>
    <w:rsid w:val="00065F27"/>
    <w:rsid w:val="00066210"/>
    <w:rsid w:val="000669CA"/>
    <w:rsid w:val="00067D85"/>
    <w:rsid w:val="0007014E"/>
    <w:rsid w:val="00071027"/>
    <w:rsid w:val="00071817"/>
    <w:rsid w:val="00071E8E"/>
    <w:rsid w:val="00072B2F"/>
    <w:rsid w:val="00072BD6"/>
    <w:rsid w:val="00072ED1"/>
    <w:rsid w:val="00073688"/>
    <w:rsid w:val="00074351"/>
    <w:rsid w:val="000744D8"/>
    <w:rsid w:val="00074701"/>
    <w:rsid w:val="0007505C"/>
    <w:rsid w:val="00075960"/>
    <w:rsid w:val="0007665E"/>
    <w:rsid w:val="0007676D"/>
    <w:rsid w:val="00076A51"/>
    <w:rsid w:val="00076E92"/>
    <w:rsid w:val="000774A2"/>
    <w:rsid w:val="00077CFB"/>
    <w:rsid w:val="00077FE9"/>
    <w:rsid w:val="00080E77"/>
    <w:rsid w:val="000814FE"/>
    <w:rsid w:val="00081A27"/>
    <w:rsid w:val="0008203C"/>
    <w:rsid w:val="000822DF"/>
    <w:rsid w:val="000823A6"/>
    <w:rsid w:val="00082E3D"/>
    <w:rsid w:val="00083380"/>
    <w:rsid w:val="00083C7D"/>
    <w:rsid w:val="00083EDF"/>
    <w:rsid w:val="0008455F"/>
    <w:rsid w:val="0008550A"/>
    <w:rsid w:val="00085958"/>
    <w:rsid w:val="000865C8"/>
    <w:rsid w:val="0008697C"/>
    <w:rsid w:val="00086D78"/>
    <w:rsid w:val="00087A7D"/>
    <w:rsid w:val="00087E5A"/>
    <w:rsid w:val="0009000C"/>
    <w:rsid w:val="0009039E"/>
    <w:rsid w:val="00090B3C"/>
    <w:rsid w:val="00091223"/>
    <w:rsid w:val="0009170D"/>
    <w:rsid w:val="00091A22"/>
    <w:rsid w:val="00092A01"/>
    <w:rsid w:val="00092E63"/>
    <w:rsid w:val="00092FA9"/>
    <w:rsid w:val="00093482"/>
    <w:rsid w:val="000938F7"/>
    <w:rsid w:val="00094497"/>
    <w:rsid w:val="0009474B"/>
    <w:rsid w:val="00094A11"/>
    <w:rsid w:val="00094ABE"/>
    <w:rsid w:val="00094F44"/>
    <w:rsid w:val="00095985"/>
    <w:rsid w:val="000959C4"/>
    <w:rsid w:val="00095BB2"/>
    <w:rsid w:val="00096D2D"/>
    <w:rsid w:val="0009757D"/>
    <w:rsid w:val="000975A7"/>
    <w:rsid w:val="000975F1"/>
    <w:rsid w:val="000A01D2"/>
    <w:rsid w:val="000A0641"/>
    <w:rsid w:val="000A0910"/>
    <w:rsid w:val="000A0BF1"/>
    <w:rsid w:val="000A3063"/>
    <w:rsid w:val="000A3730"/>
    <w:rsid w:val="000A3C20"/>
    <w:rsid w:val="000A3C71"/>
    <w:rsid w:val="000A4657"/>
    <w:rsid w:val="000A4FCC"/>
    <w:rsid w:val="000A5353"/>
    <w:rsid w:val="000A5972"/>
    <w:rsid w:val="000A5E02"/>
    <w:rsid w:val="000A70DB"/>
    <w:rsid w:val="000A7218"/>
    <w:rsid w:val="000A78E5"/>
    <w:rsid w:val="000A7A83"/>
    <w:rsid w:val="000B098B"/>
    <w:rsid w:val="000B0BDF"/>
    <w:rsid w:val="000B11B5"/>
    <w:rsid w:val="000B1C2A"/>
    <w:rsid w:val="000B1DE4"/>
    <w:rsid w:val="000B1FFE"/>
    <w:rsid w:val="000B2526"/>
    <w:rsid w:val="000B2714"/>
    <w:rsid w:val="000B29ED"/>
    <w:rsid w:val="000B3117"/>
    <w:rsid w:val="000B32D3"/>
    <w:rsid w:val="000B3329"/>
    <w:rsid w:val="000B3802"/>
    <w:rsid w:val="000B3DA4"/>
    <w:rsid w:val="000B44CC"/>
    <w:rsid w:val="000B47C6"/>
    <w:rsid w:val="000B5D3A"/>
    <w:rsid w:val="000B608E"/>
    <w:rsid w:val="000B6118"/>
    <w:rsid w:val="000B65DF"/>
    <w:rsid w:val="000B6A5A"/>
    <w:rsid w:val="000B700A"/>
    <w:rsid w:val="000B705C"/>
    <w:rsid w:val="000B7332"/>
    <w:rsid w:val="000C09C0"/>
    <w:rsid w:val="000C114C"/>
    <w:rsid w:val="000C14A4"/>
    <w:rsid w:val="000C1DAD"/>
    <w:rsid w:val="000C26C2"/>
    <w:rsid w:val="000C2D89"/>
    <w:rsid w:val="000C3691"/>
    <w:rsid w:val="000C38FE"/>
    <w:rsid w:val="000C395F"/>
    <w:rsid w:val="000C3E99"/>
    <w:rsid w:val="000C42E1"/>
    <w:rsid w:val="000C557A"/>
    <w:rsid w:val="000C5976"/>
    <w:rsid w:val="000C66BA"/>
    <w:rsid w:val="000D00C5"/>
    <w:rsid w:val="000D07A6"/>
    <w:rsid w:val="000D0E57"/>
    <w:rsid w:val="000D13C3"/>
    <w:rsid w:val="000D1C18"/>
    <w:rsid w:val="000D2802"/>
    <w:rsid w:val="000D2847"/>
    <w:rsid w:val="000D287F"/>
    <w:rsid w:val="000D3D61"/>
    <w:rsid w:val="000D431D"/>
    <w:rsid w:val="000D4B3F"/>
    <w:rsid w:val="000D640B"/>
    <w:rsid w:val="000D6493"/>
    <w:rsid w:val="000D6BDD"/>
    <w:rsid w:val="000D6DA8"/>
    <w:rsid w:val="000D726B"/>
    <w:rsid w:val="000D7291"/>
    <w:rsid w:val="000D7337"/>
    <w:rsid w:val="000D7F9E"/>
    <w:rsid w:val="000E0245"/>
    <w:rsid w:val="000E033A"/>
    <w:rsid w:val="000E1005"/>
    <w:rsid w:val="000E10B2"/>
    <w:rsid w:val="000E1657"/>
    <w:rsid w:val="000E27B6"/>
    <w:rsid w:val="000E2EAA"/>
    <w:rsid w:val="000E3055"/>
    <w:rsid w:val="000E31C9"/>
    <w:rsid w:val="000E343E"/>
    <w:rsid w:val="000E3C8F"/>
    <w:rsid w:val="000E59BC"/>
    <w:rsid w:val="000E613C"/>
    <w:rsid w:val="000E6473"/>
    <w:rsid w:val="000E6EAF"/>
    <w:rsid w:val="000E74AC"/>
    <w:rsid w:val="000E7C12"/>
    <w:rsid w:val="000E7D20"/>
    <w:rsid w:val="000E7D24"/>
    <w:rsid w:val="000E7DC4"/>
    <w:rsid w:val="000F147D"/>
    <w:rsid w:val="000F1838"/>
    <w:rsid w:val="000F2AD2"/>
    <w:rsid w:val="000F37B6"/>
    <w:rsid w:val="000F3B2F"/>
    <w:rsid w:val="000F4127"/>
    <w:rsid w:val="000F42CA"/>
    <w:rsid w:val="000F4A1B"/>
    <w:rsid w:val="000F4AEF"/>
    <w:rsid w:val="000F52DB"/>
    <w:rsid w:val="000F5D1F"/>
    <w:rsid w:val="000F5DD5"/>
    <w:rsid w:val="000F62AD"/>
    <w:rsid w:val="000F62E0"/>
    <w:rsid w:val="000F6497"/>
    <w:rsid w:val="000F651B"/>
    <w:rsid w:val="00100500"/>
    <w:rsid w:val="0010170D"/>
    <w:rsid w:val="00101EF0"/>
    <w:rsid w:val="00102790"/>
    <w:rsid w:val="001027D9"/>
    <w:rsid w:val="001029D7"/>
    <w:rsid w:val="00102C2E"/>
    <w:rsid w:val="00102E0F"/>
    <w:rsid w:val="00103469"/>
    <w:rsid w:val="00103671"/>
    <w:rsid w:val="001052BE"/>
    <w:rsid w:val="0010591A"/>
    <w:rsid w:val="00105B5F"/>
    <w:rsid w:val="00105BE6"/>
    <w:rsid w:val="00105C08"/>
    <w:rsid w:val="00106859"/>
    <w:rsid w:val="00106929"/>
    <w:rsid w:val="00106D06"/>
    <w:rsid w:val="0011017B"/>
    <w:rsid w:val="001102AF"/>
    <w:rsid w:val="00110744"/>
    <w:rsid w:val="00110D66"/>
    <w:rsid w:val="00111D7E"/>
    <w:rsid w:val="0011231A"/>
    <w:rsid w:val="0011362E"/>
    <w:rsid w:val="0011393D"/>
    <w:rsid w:val="001145C8"/>
    <w:rsid w:val="00114D8E"/>
    <w:rsid w:val="001151FC"/>
    <w:rsid w:val="001152E6"/>
    <w:rsid w:val="001153C1"/>
    <w:rsid w:val="001154BF"/>
    <w:rsid w:val="00115A36"/>
    <w:rsid w:val="00115EE3"/>
    <w:rsid w:val="00116021"/>
    <w:rsid w:val="001167FC"/>
    <w:rsid w:val="00116B67"/>
    <w:rsid w:val="00117DF6"/>
    <w:rsid w:val="00120396"/>
    <w:rsid w:val="00120402"/>
    <w:rsid w:val="00120841"/>
    <w:rsid w:val="001208CE"/>
    <w:rsid w:val="00120A97"/>
    <w:rsid w:val="00120E4B"/>
    <w:rsid w:val="00121455"/>
    <w:rsid w:val="00121DAB"/>
    <w:rsid w:val="00122ADD"/>
    <w:rsid w:val="00122F6F"/>
    <w:rsid w:val="00123A35"/>
    <w:rsid w:val="00123A56"/>
    <w:rsid w:val="00123C3C"/>
    <w:rsid w:val="00124428"/>
    <w:rsid w:val="00125BD2"/>
    <w:rsid w:val="00125FA4"/>
    <w:rsid w:val="0012662B"/>
    <w:rsid w:val="00126C1F"/>
    <w:rsid w:val="00126EE2"/>
    <w:rsid w:val="00127A8F"/>
    <w:rsid w:val="0013064E"/>
    <w:rsid w:val="0013073B"/>
    <w:rsid w:val="00130DAC"/>
    <w:rsid w:val="0013114C"/>
    <w:rsid w:val="00131228"/>
    <w:rsid w:val="00131D97"/>
    <w:rsid w:val="00131DC3"/>
    <w:rsid w:val="00132622"/>
    <w:rsid w:val="001328BF"/>
    <w:rsid w:val="00134838"/>
    <w:rsid w:val="00134992"/>
    <w:rsid w:val="001353FA"/>
    <w:rsid w:val="00135CFE"/>
    <w:rsid w:val="00135F04"/>
    <w:rsid w:val="001361C1"/>
    <w:rsid w:val="0013626D"/>
    <w:rsid w:val="0013631B"/>
    <w:rsid w:val="00136341"/>
    <w:rsid w:val="00136597"/>
    <w:rsid w:val="00136902"/>
    <w:rsid w:val="00136DBA"/>
    <w:rsid w:val="00136E9E"/>
    <w:rsid w:val="00136FCB"/>
    <w:rsid w:val="00137292"/>
    <w:rsid w:val="001374BD"/>
    <w:rsid w:val="00137551"/>
    <w:rsid w:val="001375A4"/>
    <w:rsid w:val="00137AA6"/>
    <w:rsid w:val="00137AAB"/>
    <w:rsid w:val="00137B27"/>
    <w:rsid w:val="00137FC6"/>
    <w:rsid w:val="00140186"/>
    <w:rsid w:val="00140782"/>
    <w:rsid w:val="00140A54"/>
    <w:rsid w:val="00141913"/>
    <w:rsid w:val="00141B1D"/>
    <w:rsid w:val="00141B6D"/>
    <w:rsid w:val="001429AA"/>
    <w:rsid w:val="00142FE9"/>
    <w:rsid w:val="0014345B"/>
    <w:rsid w:val="00143F41"/>
    <w:rsid w:val="001447D4"/>
    <w:rsid w:val="001449A2"/>
    <w:rsid w:val="001454FC"/>
    <w:rsid w:val="00145750"/>
    <w:rsid w:val="0014584F"/>
    <w:rsid w:val="001459C9"/>
    <w:rsid w:val="00145CB8"/>
    <w:rsid w:val="00146253"/>
    <w:rsid w:val="00146284"/>
    <w:rsid w:val="001465F1"/>
    <w:rsid w:val="0014666E"/>
    <w:rsid w:val="001467CE"/>
    <w:rsid w:val="00147832"/>
    <w:rsid w:val="00147E3A"/>
    <w:rsid w:val="001501B6"/>
    <w:rsid w:val="0015029B"/>
    <w:rsid w:val="001508CD"/>
    <w:rsid w:val="001511A3"/>
    <w:rsid w:val="00152DB5"/>
    <w:rsid w:val="00153584"/>
    <w:rsid w:val="001549F0"/>
    <w:rsid w:val="00154BF9"/>
    <w:rsid w:val="00155A1B"/>
    <w:rsid w:val="00155D56"/>
    <w:rsid w:val="00155E94"/>
    <w:rsid w:val="00157382"/>
    <w:rsid w:val="001574E8"/>
    <w:rsid w:val="00157D47"/>
    <w:rsid w:val="00160347"/>
    <w:rsid w:val="00160AEF"/>
    <w:rsid w:val="0016202D"/>
    <w:rsid w:val="00162162"/>
    <w:rsid w:val="00162C43"/>
    <w:rsid w:val="001632E1"/>
    <w:rsid w:val="0016374A"/>
    <w:rsid w:val="0016379B"/>
    <w:rsid w:val="0016434D"/>
    <w:rsid w:val="001643C8"/>
    <w:rsid w:val="001646A8"/>
    <w:rsid w:val="001654E3"/>
    <w:rsid w:val="00165796"/>
    <w:rsid w:val="00166640"/>
    <w:rsid w:val="00166936"/>
    <w:rsid w:val="001703F8"/>
    <w:rsid w:val="00170597"/>
    <w:rsid w:val="00170D28"/>
    <w:rsid w:val="001717F8"/>
    <w:rsid w:val="00171AD1"/>
    <w:rsid w:val="00171F71"/>
    <w:rsid w:val="00172AB0"/>
    <w:rsid w:val="00172CA1"/>
    <w:rsid w:val="00172D55"/>
    <w:rsid w:val="001742FA"/>
    <w:rsid w:val="0017452E"/>
    <w:rsid w:val="00174714"/>
    <w:rsid w:val="0017476E"/>
    <w:rsid w:val="00174780"/>
    <w:rsid w:val="00174D72"/>
    <w:rsid w:val="00176145"/>
    <w:rsid w:val="00176B60"/>
    <w:rsid w:val="00176DAC"/>
    <w:rsid w:val="00176E38"/>
    <w:rsid w:val="00176FD9"/>
    <w:rsid w:val="00177275"/>
    <w:rsid w:val="00177291"/>
    <w:rsid w:val="001779B0"/>
    <w:rsid w:val="00180588"/>
    <w:rsid w:val="00180D51"/>
    <w:rsid w:val="00181821"/>
    <w:rsid w:val="00181EB0"/>
    <w:rsid w:val="0018220C"/>
    <w:rsid w:val="001829E9"/>
    <w:rsid w:val="00183117"/>
    <w:rsid w:val="0018455D"/>
    <w:rsid w:val="00185096"/>
    <w:rsid w:val="00185744"/>
    <w:rsid w:val="00186098"/>
    <w:rsid w:val="001860BC"/>
    <w:rsid w:val="0018779F"/>
    <w:rsid w:val="00190668"/>
    <w:rsid w:val="0019115A"/>
    <w:rsid w:val="00191786"/>
    <w:rsid w:val="00191A7D"/>
    <w:rsid w:val="00193185"/>
    <w:rsid w:val="00193A68"/>
    <w:rsid w:val="00194B21"/>
    <w:rsid w:val="00194E9C"/>
    <w:rsid w:val="001956BE"/>
    <w:rsid w:val="00195E33"/>
    <w:rsid w:val="00196A60"/>
    <w:rsid w:val="00196ABA"/>
    <w:rsid w:val="00196B47"/>
    <w:rsid w:val="00197CDE"/>
    <w:rsid w:val="001A0123"/>
    <w:rsid w:val="001A03F1"/>
    <w:rsid w:val="001A0C88"/>
    <w:rsid w:val="001A32B6"/>
    <w:rsid w:val="001A3396"/>
    <w:rsid w:val="001A3E41"/>
    <w:rsid w:val="001A40CB"/>
    <w:rsid w:val="001A4384"/>
    <w:rsid w:val="001A43B9"/>
    <w:rsid w:val="001A476C"/>
    <w:rsid w:val="001A48CE"/>
    <w:rsid w:val="001A494C"/>
    <w:rsid w:val="001A4A04"/>
    <w:rsid w:val="001A4A28"/>
    <w:rsid w:val="001A514B"/>
    <w:rsid w:val="001A76AC"/>
    <w:rsid w:val="001A791E"/>
    <w:rsid w:val="001A7F23"/>
    <w:rsid w:val="001B0EA7"/>
    <w:rsid w:val="001B26C2"/>
    <w:rsid w:val="001B2FB4"/>
    <w:rsid w:val="001B34C7"/>
    <w:rsid w:val="001B40AB"/>
    <w:rsid w:val="001B4EEC"/>
    <w:rsid w:val="001B52BE"/>
    <w:rsid w:val="001B56A6"/>
    <w:rsid w:val="001B5815"/>
    <w:rsid w:val="001B6174"/>
    <w:rsid w:val="001C02FE"/>
    <w:rsid w:val="001C11A4"/>
    <w:rsid w:val="001C2322"/>
    <w:rsid w:val="001C2E3D"/>
    <w:rsid w:val="001C3380"/>
    <w:rsid w:val="001C3CA7"/>
    <w:rsid w:val="001C4308"/>
    <w:rsid w:val="001C459A"/>
    <w:rsid w:val="001C4A08"/>
    <w:rsid w:val="001C5BC1"/>
    <w:rsid w:val="001C648C"/>
    <w:rsid w:val="001C69B8"/>
    <w:rsid w:val="001C6DB4"/>
    <w:rsid w:val="001C6FDD"/>
    <w:rsid w:val="001D1591"/>
    <w:rsid w:val="001D1F41"/>
    <w:rsid w:val="001D2301"/>
    <w:rsid w:val="001D27C1"/>
    <w:rsid w:val="001D27C3"/>
    <w:rsid w:val="001D27EB"/>
    <w:rsid w:val="001D32F6"/>
    <w:rsid w:val="001D3EF9"/>
    <w:rsid w:val="001D5F9C"/>
    <w:rsid w:val="001D61E5"/>
    <w:rsid w:val="001D6203"/>
    <w:rsid w:val="001D6AD3"/>
    <w:rsid w:val="001D7FF4"/>
    <w:rsid w:val="001E1229"/>
    <w:rsid w:val="001E122D"/>
    <w:rsid w:val="001E3008"/>
    <w:rsid w:val="001E3484"/>
    <w:rsid w:val="001E3FE4"/>
    <w:rsid w:val="001E4C34"/>
    <w:rsid w:val="001E5631"/>
    <w:rsid w:val="001E572E"/>
    <w:rsid w:val="001E5EAD"/>
    <w:rsid w:val="001E69BC"/>
    <w:rsid w:val="001E6F2A"/>
    <w:rsid w:val="001E7A5E"/>
    <w:rsid w:val="001E7CDF"/>
    <w:rsid w:val="001E7DC2"/>
    <w:rsid w:val="001F04F1"/>
    <w:rsid w:val="001F1A77"/>
    <w:rsid w:val="001F30D1"/>
    <w:rsid w:val="001F3367"/>
    <w:rsid w:val="001F4453"/>
    <w:rsid w:val="001F4E66"/>
    <w:rsid w:val="001F58E5"/>
    <w:rsid w:val="001F59D9"/>
    <w:rsid w:val="001F6309"/>
    <w:rsid w:val="002008A1"/>
    <w:rsid w:val="0020115D"/>
    <w:rsid w:val="002018CB"/>
    <w:rsid w:val="00201AFA"/>
    <w:rsid w:val="00201F3C"/>
    <w:rsid w:val="00202130"/>
    <w:rsid w:val="002033B5"/>
    <w:rsid w:val="00203993"/>
    <w:rsid w:val="00203E30"/>
    <w:rsid w:val="00204917"/>
    <w:rsid w:val="00204DC3"/>
    <w:rsid w:val="00205CF8"/>
    <w:rsid w:val="002064E8"/>
    <w:rsid w:val="00206A06"/>
    <w:rsid w:val="00207C85"/>
    <w:rsid w:val="002101E9"/>
    <w:rsid w:val="00210352"/>
    <w:rsid w:val="00210A6A"/>
    <w:rsid w:val="00210ECB"/>
    <w:rsid w:val="0021107F"/>
    <w:rsid w:val="00211209"/>
    <w:rsid w:val="002113FF"/>
    <w:rsid w:val="00211611"/>
    <w:rsid w:val="00211B30"/>
    <w:rsid w:val="00213037"/>
    <w:rsid w:val="00213C05"/>
    <w:rsid w:val="00214F06"/>
    <w:rsid w:val="002158CB"/>
    <w:rsid w:val="00215EEC"/>
    <w:rsid w:val="0021600E"/>
    <w:rsid w:val="002161FB"/>
    <w:rsid w:val="002177CC"/>
    <w:rsid w:val="00217A22"/>
    <w:rsid w:val="00217C0B"/>
    <w:rsid w:val="00220E4A"/>
    <w:rsid w:val="00221128"/>
    <w:rsid w:val="0022205F"/>
    <w:rsid w:val="002224DE"/>
    <w:rsid w:val="0022284F"/>
    <w:rsid w:val="002229B2"/>
    <w:rsid w:val="0022395C"/>
    <w:rsid w:val="00223A18"/>
    <w:rsid w:val="00223F60"/>
    <w:rsid w:val="002242E9"/>
    <w:rsid w:val="00224461"/>
    <w:rsid w:val="002250F2"/>
    <w:rsid w:val="00225D12"/>
    <w:rsid w:val="00225E7E"/>
    <w:rsid w:val="002260C0"/>
    <w:rsid w:val="00226147"/>
    <w:rsid w:val="0022636E"/>
    <w:rsid w:val="00226B8B"/>
    <w:rsid w:val="002277BB"/>
    <w:rsid w:val="002279F2"/>
    <w:rsid w:val="00227FE3"/>
    <w:rsid w:val="00230318"/>
    <w:rsid w:val="00230F76"/>
    <w:rsid w:val="00231820"/>
    <w:rsid w:val="00231BE7"/>
    <w:rsid w:val="00232AC3"/>
    <w:rsid w:val="00232F48"/>
    <w:rsid w:val="002333AE"/>
    <w:rsid w:val="00233428"/>
    <w:rsid w:val="0023347C"/>
    <w:rsid w:val="0023442C"/>
    <w:rsid w:val="002346C0"/>
    <w:rsid w:val="00235660"/>
    <w:rsid w:val="002370BC"/>
    <w:rsid w:val="00237351"/>
    <w:rsid w:val="002373E2"/>
    <w:rsid w:val="00237F4E"/>
    <w:rsid w:val="002407F1"/>
    <w:rsid w:val="00240879"/>
    <w:rsid w:val="00240CA3"/>
    <w:rsid w:val="00240D60"/>
    <w:rsid w:val="00240F31"/>
    <w:rsid w:val="002420C0"/>
    <w:rsid w:val="00242347"/>
    <w:rsid w:val="00242407"/>
    <w:rsid w:val="00242EBE"/>
    <w:rsid w:val="002431F6"/>
    <w:rsid w:val="00243633"/>
    <w:rsid w:val="0024370E"/>
    <w:rsid w:val="0024495A"/>
    <w:rsid w:val="00244C2F"/>
    <w:rsid w:val="002455E7"/>
    <w:rsid w:val="00245E4D"/>
    <w:rsid w:val="0024658A"/>
    <w:rsid w:val="00246D0F"/>
    <w:rsid w:val="002472BE"/>
    <w:rsid w:val="00250823"/>
    <w:rsid w:val="00250AEE"/>
    <w:rsid w:val="00251401"/>
    <w:rsid w:val="002516AC"/>
    <w:rsid w:val="00251BBE"/>
    <w:rsid w:val="002525BA"/>
    <w:rsid w:val="00252808"/>
    <w:rsid w:val="002554B3"/>
    <w:rsid w:val="00255CE3"/>
    <w:rsid w:val="0025614F"/>
    <w:rsid w:val="00256A42"/>
    <w:rsid w:val="002571AE"/>
    <w:rsid w:val="002576A4"/>
    <w:rsid w:val="00257CAF"/>
    <w:rsid w:val="00260524"/>
    <w:rsid w:val="00260974"/>
    <w:rsid w:val="00260BC5"/>
    <w:rsid w:val="00261401"/>
    <w:rsid w:val="0026147D"/>
    <w:rsid w:val="002616B8"/>
    <w:rsid w:val="00263320"/>
    <w:rsid w:val="00263A0E"/>
    <w:rsid w:val="00263EB7"/>
    <w:rsid w:val="0026401E"/>
    <w:rsid w:val="002649CA"/>
    <w:rsid w:val="00265017"/>
    <w:rsid w:val="0026585E"/>
    <w:rsid w:val="0026730C"/>
    <w:rsid w:val="0026746B"/>
    <w:rsid w:val="002709F1"/>
    <w:rsid w:val="00270AA5"/>
    <w:rsid w:val="002719DA"/>
    <w:rsid w:val="002724FF"/>
    <w:rsid w:val="00272B9A"/>
    <w:rsid w:val="00273FD6"/>
    <w:rsid w:val="00274ADD"/>
    <w:rsid w:val="00274B65"/>
    <w:rsid w:val="00274B9B"/>
    <w:rsid w:val="00274C8D"/>
    <w:rsid w:val="0027516A"/>
    <w:rsid w:val="002755EC"/>
    <w:rsid w:val="0027738C"/>
    <w:rsid w:val="00277AE4"/>
    <w:rsid w:val="00280B16"/>
    <w:rsid w:val="002819E9"/>
    <w:rsid w:val="00281CC4"/>
    <w:rsid w:val="00281D6C"/>
    <w:rsid w:val="00282804"/>
    <w:rsid w:val="00282EC2"/>
    <w:rsid w:val="00283F1C"/>
    <w:rsid w:val="002843B2"/>
    <w:rsid w:val="00284514"/>
    <w:rsid w:val="00284BCA"/>
    <w:rsid w:val="002854E8"/>
    <w:rsid w:val="002856AD"/>
    <w:rsid w:val="00285A13"/>
    <w:rsid w:val="00285B72"/>
    <w:rsid w:val="00285DBF"/>
    <w:rsid w:val="002860E4"/>
    <w:rsid w:val="00286785"/>
    <w:rsid w:val="00286BCB"/>
    <w:rsid w:val="00286E48"/>
    <w:rsid w:val="00287056"/>
    <w:rsid w:val="00287253"/>
    <w:rsid w:val="00291E65"/>
    <w:rsid w:val="00292054"/>
    <w:rsid w:val="00292D7B"/>
    <w:rsid w:val="00293532"/>
    <w:rsid w:val="00293670"/>
    <w:rsid w:val="002948D5"/>
    <w:rsid w:val="00294C2A"/>
    <w:rsid w:val="00294CE5"/>
    <w:rsid w:val="00294D6B"/>
    <w:rsid w:val="002952EE"/>
    <w:rsid w:val="0029538D"/>
    <w:rsid w:val="00295B42"/>
    <w:rsid w:val="002970B3"/>
    <w:rsid w:val="00297499"/>
    <w:rsid w:val="00297996"/>
    <w:rsid w:val="002A001B"/>
    <w:rsid w:val="002A00E0"/>
    <w:rsid w:val="002A1412"/>
    <w:rsid w:val="002A167F"/>
    <w:rsid w:val="002A1D99"/>
    <w:rsid w:val="002A2D86"/>
    <w:rsid w:val="002A355E"/>
    <w:rsid w:val="002A3CF4"/>
    <w:rsid w:val="002A45E5"/>
    <w:rsid w:val="002A479F"/>
    <w:rsid w:val="002A51E1"/>
    <w:rsid w:val="002A5334"/>
    <w:rsid w:val="002A5528"/>
    <w:rsid w:val="002A676F"/>
    <w:rsid w:val="002A6808"/>
    <w:rsid w:val="002A7E20"/>
    <w:rsid w:val="002B019E"/>
    <w:rsid w:val="002B01DB"/>
    <w:rsid w:val="002B05EE"/>
    <w:rsid w:val="002B0CBF"/>
    <w:rsid w:val="002B0DE7"/>
    <w:rsid w:val="002B126D"/>
    <w:rsid w:val="002B2650"/>
    <w:rsid w:val="002B267D"/>
    <w:rsid w:val="002B26D0"/>
    <w:rsid w:val="002B2CCB"/>
    <w:rsid w:val="002B2DB5"/>
    <w:rsid w:val="002B2EA6"/>
    <w:rsid w:val="002B3366"/>
    <w:rsid w:val="002B3A49"/>
    <w:rsid w:val="002B3E4F"/>
    <w:rsid w:val="002B4036"/>
    <w:rsid w:val="002B43FF"/>
    <w:rsid w:val="002B4438"/>
    <w:rsid w:val="002B4E91"/>
    <w:rsid w:val="002B5077"/>
    <w:rsid w:val="002B56F0"/>
    <w:rsid w:val="002B59F3"/>
    <w:rsid w:val="002B6112"/>
    <w:rsid w:val="002B6462"/>
    <w:rsid w:val="002B74A4"/>
    <w:rsid w:val="002B7A04"/>
    <w:rsid w:val="002C073A"/>
    <w:rsid w:val="002C1049"/>
    <w:rsid w:val="002C153C"/>
    <w:rsid w:val="002C195D"/>
    <w:rsid w:val="002C1CCC"/>
    <w:rsid w:val="002C341F"/>
    <w:rsid w:val="002C40D2"/>
    <w:rsid w:val="002C4CC8"/>
    <w:rsid w:val="002C54EB"/>
    <w:rsid w:val="002C6179"/>
    <w:rsid w:val="002C6746"/>
    <w:rsid w:val="002C6C66"/>
    <w:rsid w:val="002C72AC"/>
    <w:rsid w:val="002C7773"/>
    <w:rsid w:val="002C79F9"/>
    <w:rsid w:val="002D0560"/>
    <w:rsid w:val="002D2376"/>
    <w:rsid w:val="002D26C1"/>
    <w:rsid w:val="002D294B"/>
    <w:rsid w:val="002D369C"/>
    <w:rsid w:val="002D41BA"/>
    <w:rsid w:val="002D4663"/>
    <w:rsid w:val="002D4739"/>
    <w:rsid w:val="002D4CBA"/>
    <w:rsid w:val="002D4F4C"/>
    <w:rsid w:val="002D4FFB"/>
    <w:rsid w:val="002D5B85"/>
    <w:rsid w:val="002D608E"/>
    <w:rsid w:val="002D6315"/>
    <w:rsid w:val="002D6937"/>
    <w:rsid w:val="002D6B61"/>
    <w:rsid w:val="002D6E93"/>
    <w:rsid w:val="002D7243"/>
    <w:rsid w:val="002D79CB"/>
    <w:rsid w:val="002D7EAF"/>
    <w:rsid w:val="002E012F"/>
    <w:rsid w:val="002E0339"/>
    <w:rsid w:val="002E034C"/>
    <w:rsid w:val="002E0B47"/>
    <w:rsid w:val="002E0BCC"/>
    <w:rsid w:val="002E0C75"/>
    <w:rsid w:val="002E0EF6"/>
    <w:rsid w:val="002E26ED"/>
    <w:rsid w:val="002E284F"/>
    <w:rsid w:val="002E33D9"/>
    <w:rsid w:val="002E3CA8"/>
    <w:rsid w:val="002E4400"/>
    <w:rsid w:val="002E5A42"/>
    <w:rsid w:val="002E673E"/>
    <w:rsid w:val="002E68D5"/>
    <w:rsid w:val="002E6CDA"/>
    <w:rsid w:val="002E6D6B"/>
    <w:rsid w:val="002E72A7"/>
    <w:rsid w:val="002E7360"/>
    <w:rsid w:val="002E75D7"/>
    <w:rsid w:val="002F0221"/>
    <w:rsid w:val="002F055B"/>
    <w:rsid w:val="002F2A14"/>
    <w:rsid w:val="002F2C89"/>
    <w:rsid w:val="002F3720"/>
    <w:rsid w:val="002F4050"/>
    <w:rsid w:val="002F45AF"/>
    <w:rsid w:val="002F4646"/>
    <w:rsid w:val="002F54D9"/>
    <w:rsid w:val="002F559D"/>
    <w:rsid w:val="002F5684"/>
    <w:rsid w:val="002F5733"/>
    <w:rsid w:val="002F57E9"/>
    <w:rsid w:val="002F5ADC"/>
    <w:rsid w:val="002F657B"/>
    <w:rsid w:val="002F7532"/>
    <w:rsid w:val="002F7A48"/>
    <w:rsid w:val="002F7F94"/>
    <w:rsid w:val="00302ADE"/>
    <w:rsid w:val="00302CE3"/>
    <w:rsid w:val="00303863"/>
    <w:rsid w:val="00304205"/>
    <w:rsid w:val="00304301"/>
    <w:rsid w:val="00304498"/>
    <w:rsid w:val="003044E0"/>
    <w:rsid w:val="00306088"/>
    <w:rsid w:val="00306886"/>
    <w:rsid w:val="00306CCA"/>
    <w:rsid w:val="003072FC"/>
    <w:rsid w:val="003079C8"/>
    <w:rsid w:val="00307D58"/>
    <w:rsid w:val="00307EDC"/>
    <w:rsid w:val="00311074"/>
    <w:rsid w:val="003116FA"/>
    <w:rsid w:val="00312202"/>
    <w:rsid w:val="00312680"/>
    <w:rsid w:val="00312CE0"/>
    <w:rsid w:val="00312CE4"/>
    <w:rsid w:val="00312F7D"/>
    <w:rsid w:val="003137BC"/>
    <w:rsid w:val="00314777"/>
    <w:rsid w:val="00314969"/>
    <w:rsid w:val="00315E8E"/>
    <w:rsid w:val="0031611B"/>
    <w:rsid w:val="00317E89"/>
    <w:rsid w:val="003200A9"/>
    <w:rsid w:val="00320746"/>
    <w:rsid w:val="003208EA"/>
    <w:rsid w:val="00320B5C"/>
    <w:rsid w:val="00321584"/>
    <w:rsid w:val="00321BFB"/>
    <w:rsid w:val="0032202F"/>
    <w:rsid w:val="00322DB3"/>
    <w:rsid w:val="00323010"/>
    <w:rsid w:val="00323359"/>
    <w:rsid w:val="00323399"/>
    <w:rsid w:val="00325CF9"/>
    <w:rsid w:val="0032658E"/>
    <w:rsid w:val="003266C4"/>
    <w:rsid w:val="003269C1"/>
    <w:rsid w:val="003271ED"/>
    <w:rsid w:val="00327EED"/>
    <w:rsid w:val="00330D91"/>
    <w:rsid w:val="00330F60"/>
    <w:rsid w:val="00330FD7"/>
    <w:rsid w:val="0033191F"/>
    <w:rsid w:val="0033209B"/>
    <w:rsid w:val="00332DCB"/>
    <w:rsid w:val="00332EF4"/>
    <w:rsid w:val="0033326C"/>
    <w:rsid w:val="00333E0E"/>
    <w:rsid w:val="00334AA4"/>
    <w:rsid w:val="003358C1"/>
    <w:rsid w:val="00335A1C"/>
    <w:rsid w:val="00335AC9"/>
    <w:rsid w:val="00335E75"/>
    <w:rsid w:val="00336C92"/>
    <w:rsid w:val="003377EF"/>
    <w:rsid w:val="0033780C"/>
    <w:rsid w:val="00340839"/>
    <w:rsid w:val="00340B97"/>
    <w:rsid w:val="00341953"/>
    <w:rsid w:val="0034283E"/>
    <w:rsid w:val="00342C2F"/>
    <w:rsid w:val="00342D79"/>
    <w:rsid w:val="0034386C"/>
    <w:rsid w:val="00343B8D"/>
    <w:rsid w:val="0034499E"/>
    <w:rsid w:val="00344AEA"/>
    <w:rsid w:val="00344C6A"/>
    <w:rsid w:val="0034532E"/>
    <w:rsid w:val="00345688"/>
    <w:rsid w:val="00345A79"/>
    <w:rsid w:val="00345B7C"/>
    <w:rsid w:val="00347E76"/>
    <w:rsid w:val="0035005D"/>
    <w:rsid w:val="00350206"/>
    <w:rsid w:val="003505DB"/>
    <w:rsid w:val="00351A68"/>
    <w:rsid w:val="00351A6C"/>
    <w:rsid w:val="00351F0E"/>
    <w:rsid w:val="00353647"/>
    <w:rsid w:val="00353C22"/>
    <w:rsid w:val="003540CF"/>
    <w:rsid w:val="00354442"/>
    <w:rsid w:val="003549E7"/>
    <w:rsid w:val="00355176"/>
    <w:rsid w:val="003556AD"/>
    <w:rsid w:val="00355F83"/>
    <w:rsid w:val="003569E4"/>
    <w:rsid w:val="0035752E"/>
    <w:rsid w:val="00360445"/>
    <w:rsid w:val="00360487"/>
    <w:rsid w:val="003611EE"/>
    <w:rsid w:val="00361924"/>
    <w:rsid w:val="003640DC"/>
    <w:rsid w:val="003658F7"/>
    <w:rsid w:val="0036590E"/>
    <w:rsid w:val="00365CB0"/>
    <w:rsid w:val="00367027"/>
    <w:rsid w:val="00367E38"/>
    <w:rsid w:val="00367FFC"/>
    <w:rsid w:val="0037021C"/>
    <w:rsid w:val="003707A9"/>
    <w:rsid w:val="00370CA2"/>
    <w:rsid w:val="00370F48"/>
    <w:rsid w:val="00372722"/>
    <w:rsid w:val="00373230"/>
    <w:rsid w:val="00373238"/>
    <w:rsid w:val="00373255"/>
    <w:rsid w:val="003738BF"/>
    <w:rsid w:val="003739E1"/>
    <w:rsid w:val="003747A2"/>
    <w:rsid w:val="00374D5B"/>
    <w:rsid w:val="00375178"/>
    <w:rsid w:val="00375E0C"/>
    <w:rsid w:val="003760F1"/>
    <w:rsid w:val="00376397"/>
    <w:rsid w:val="00377AD0"/>
    <w:rsid w:val="00380EB7"/>
    <w:rsid w:val="00380F88"/>
    <w:rsid w:val="0038144E"/>
    <w:rsid w:val="0038189D"/>
    <w:rsid w:val="003839C0"/>
    <w:rsid w:val="003843C1"/>
    <w:rsid w:val="00385513"/>
    <w:rsid w:val="0038621B"/>
    <w:rsid w:val="003862A7"/>
    <w:rsid w:val="003863ED"/>
    <w:rsid w:val="0038718A"/>
    <w:rsid w:val="00387CB1"/>
    <w:rsid w:val="00387CD5"/>
    <w:rsid w:val="003900E7"/>
    <w:rsid w:val="0039021F"/>
    <w:rsid w:val="00390780"/>
    <w:rsid w:val="003908CF"/>
    <w:rsid w:val="00391370"/>
    <w:rsid w:val="0039192D"/>
    <w:rsid w:val="00391AA9"/>
    <w:rsid w:val="003922D7"/>
    <w:rsid w:val="00392E62"/>
    <w:rsid w:val="003934E0"/>
    <w:rsid w:val="00393D72"/>
    <w:rsid w:val="00393F8F"/>
    <w:rsid w:val="00394459"/>
    <w:rsid w:val="00394A6E"/>
    <w:rsid w:val="00394FE0"/>
    <w:rsid w:val="00394FF6"/>
    <w:rsid w:val="00396161"/>
    <w:rsid w:val="0039638B"/>
    <w:rsid w:val="0039691F"/>
    <w:rsid w:val="00397FEA"/>
    <w:rsid w:val="003A08A3"/>
    <w:rsid w:val="003A0BB1"/>
    <w:rsid w:val="003A0DD8"/>
    <w:rsid w:val="003A0F4D"/>
    <w:rsid w:val="003A1470"/>
    <w:rsid w:val="003A2229"/>
    <w:rsid w:val="003A2492"/>
    <w:rsid w:val="003A2B58"/>
    <w:rsid w:val="003A2DB2"/>
    <w:rsid w:val="003A2E66"/>
    <w:rsid w:val="003A38FA"/>
    <w:rsid w:val="003A3F12"/>
    <w:rsid w:val="003A52DE"/>
    <w:rsid w:val="003A52F1"/>
    <w:rsid w:val="003A632C"/>
    <w:rsid w:val="003A6C0A"/>
    <w:rsid w:val="003A6F6E"/>
    <w:rsid w:val="003A7231"/>
    <w:rsid w:val="003A724B"/>
    <w:rsid w:val="003A7A17"/>
    <w:rsid w:val="003B01E7"/>
    <w:rsid w:val="003B1D6A"/>
    <w:rsid w:val="003B209A"/>
    <w:rsid w:val="003B23F2"/>
    <w:rsid w:val="003B2DEF"/>
    <w:rsid w:val="003B2F27"/>
    <w:rsid w:val="003B39A0"/>
    <w:rsid w:val="003B45BE"/>
    <w:rsid w:val="003B4658"/>
    <w:rsid w:val="003B49E2"/>
    <w:rsid w:val="003B52B8"/>
    <w:rsid w:val="003B6844"/>
    <w:rsid w:val="003B7808"/>
    <w:rsid w:val="003C02B8"/>
    <w:rsid w:val="003C14B4"/>
    <w:rsid w:val="003C1E1E"/>
    <w:rsid w:val="003C21E8"/>
    <w:rsid w:val="003C24DF"/>
    <w:rsid w:val="003C2691"/>
    <w:rsid w:val="003C3221"/>
    <w:rsid w:val="003C3ACE"/>
    <w:rsid w:val="003C459B"/>
    <w:rsid w:val="003C5782"/>
    <w:rsid w:val="003C6012"/>
    <w:rsid w:val="003C7106"/>
    <w:rsid w:val="003C75A2"/>
    <w:rsid w:val="003C7D70"/>
    <w:rsid w:val="003C7DF1"/>
    <w:rsid w:val="003C7E46"/>
    <w:rsid w:val="003D1392"/>
    <w:rsid w:val="003D19D3"/>
    <w:rsid w:val="003D2211"/>
    <w:rsid w:val="003D2310"/>
    <w:rsid w:val="003D25CF"/>
    <w:rsid w:val="003D2CDC"/>
    <w:rsid w:val="003D2EF9"/>
    <w:rsid w:val="003D305B"/>
    <w:rsid w:val="003D395C"/>
    <w:rsid w:val="003D3A4E"/>
    <w:rsid w:val="003D44C1"/>
    <w:rsid w:val="003D4884"/>
    <w:rsid w:val="003D48D2"/>
    <w:rsid w:val="003D4AA2"/>
    <w:rsid w:val="003D59B2"/>
    <w:rsid w:val="003D6615"/>
    <w:rsid w:val="003D6AD9"/>
    <w:rsid w:val="003E10DE"/>
    <w:rsid w:val="003E15A0"/>
    <w:rsid w:val="003E251E"/>
    <w:rsid w:val="003E3804"/>
    <w:rsid w:val="003E38D9"/>
    <w:rsid w:val="003E4502"/>
    <w:rsid w:val="003E4C90"/>
    <w:rsid w:val="003E5044"/>
    <w:rsid w:val="003E522D"/>
    <w:rsid w:val="003E538B"/>
    <w:rsid w:val="003E54EB"/>
    <w:rsid w:val="003E57D7"/>
    <w:rsid w:val="003E6202"/>
    <w:rsid w:val="003E66DD"/>
    <w:rsid w:val="003E7296"/>
    <w:rsid w:val="003F00E9"/>
    <w:rsid w:val="003F32C9"/>
    <w:rsid w:val="003F37D1"/>
    <w:rsid w:val="003F3D91"/>
    <w:rsid w:val="003F3F7C"/>
    <w:rsid w:val="003F453D"/>
    <w:rsid w:val="003F4982"/>
    <w:rsid w:val="003F4AB3"/>
    <w:rsid w:val="003F4E8E"/>
    <w:rsid w:val="003F6A00"/>
    <w:rsid w:val="003F74B6"/>
    <w:rsid w:val="004003C7"/>
    <w:rsid w:val="0040144E"/>
    <w:rsid w:val="00401454"/>
    <w:rsid w:val="00401464"/>
    <w:rsid w:val="00401542"/>
    <w:rsid w:val="004027AE"/>
    <w:rsid w:val="00402A2F"/>
    <w:rsid w:val="0040350A"/>
    <w:rsid w:val="004035DA"/>
    <w:rsid w:val="00404F79"/>
    <w:rsid w:val="004051A4"/>
    <w:rsid w:val="004055CF"/>
    <w:rsid w:val="004067F1"/>
    <w:rsid w:val="004101E4"/>
    <w:rsid w:val="00410281"/>
    <w:rsid w:val="004104D9"/>
    <w:rsid w:val="00411740"/>
    <w:rsid w:val="0041179C"/>
    <w:rsid w:val="00412511"/>
    <w:rsid w:val="00412B51"/>
    <w:rsid w:val="004135C9"/>
    <w:rsid w:val="00413802"/>
    <w:rsid w:val="00414187"/>
    <w:rsid w:val="00414A3D"/>
    <w:rsid w:val="00414A83"/>
    <w:rsid w:val="004164DD"/>
    <w:rsid w:val="004167A6"/>
    <w:rsid w:val="00416B7B"/>
    <w:rsid w:val="004177A4"/>
    <w:rsid w:val="00420921"/>
    <w:rsid w:val="00420A1F"/>
    <w:rsid w:val="00420B10"/>
    <w:rsid w:val="00420F41"/>
    <w:rsid w:val="004214C3"/>
    <w:rsid w:val="004218A0"/>
    <w:rsid w:val="00421E5E"/>
    <w:rsid w:val="00422C33"/>
    <w:rsid w:val="00422DD7"/>
    <w:rsid w:val="004236AE"/>
    <w:rsid w:val="00423AA9"/>
    <w:rsid w:val="00425D6A"/>
    <w:rsid w:val="00425DD3"/>
    <w:rsid w:val="00426349"/>
    <w:rsid w:val="00426634"/>
    <w:rsid w:val="004266FB"/>
    <w:rsid w:val="00426B9A"/>
    <w:rsid w:val="00426C09"/>
    <w:rsid w:val="00426CB0"/>
    <w:rsid w:val="00427F58"/>
    <w:rsid w:val="004304E3"/>
    <w:rsid w:val="00430B7E"/>
    <w:rsid w:val="00430C01"/>
    <w:rsid w:val="00430C10"/>
    <w:rsid w:val="00430ECB"/>
    <w:rsid w:val="0043166A"/>
    <w:rsid w:val="004322CF"/>
    <w:rsid w:val="00432534"/>
    <w:rsid w:val="00432AFB"/>
    <w:rsid w:val="004331DA"/>
    <w:rsid w:val="0043333B"/>
    <w:rsid w:val="0043362A"/>
    <w:rsid w:val="00433CED"/>
    <w:rsid w:val="004342BB"/>
    <w:rsid w:val="0043475E"/>
    <w:rsid w:val="00435017"/>
    <w:rsid w:val="00435D20"/>
    <w:rsid w:val="00436E1D"/>
    <w:rsid w:val="00436E71"/>
    <w:rsid w:val="00437817"/>
    <w:rsid w:val="00437924"/>
    <w:rsid w:val="004379C2"/>
    <w:rsid w:val="00437EEF"/>
    <w:rsid w:val="0044034F"/>
    <w:rsid w:val="00440580"/>
    <w:rsid w:val="004411B3"/>
    <w:rsid w:val="004431BA"/>
    <w:rsid w:val="00443783"/>
    <w:rsid w:val="00443CC7"/>
    <w:rsid w:val="00443F98"/>
    <w:rsid w:val="00443FB0"/>
    <w:rsid w:val="00445BF6"/>
    <w:rsid w:val="00445E37"/>
    <w:rsid w:val="00446021"/>
    <w:rsid w:val="004462C2"/>
    <w:rsid w:val="00446B30"/>
    <w:rsid w:val="00446DCC"/>
    <w:rsid w:val="00447309"/>
    <w:rsid w:val="0045133B"/>
    <w:rsid w:val="004517F5"/>
    <w:rsid w:val="004519D0"/>
    <w:rsid w:val="00452258"/>
    <w:rsid w:val="004522D4"/>
    <w:rsid w:val="004524CC"/>
    <w:rsid w:val="00452745"/>
    <w:rsid w:val="00452C9F"/>
    <w:rsid w:val="00452DBC"/>
    <w:rsid w:val="00453378"/>
    <w:rsid w:val="00453574"/>
    <w:rsid w:val="004538B2"/>
    <w:rsid w:val="00453D10"/>
    <w:rsid w:val="00453F5B"/>
    <w:rsid w:val="004546F8"/>
    <w:rsid w:val="00454B44"/>
    <w:rsid w:val="00454CD3"/>
    <w:rsid w:val="0045503A"/>
    <w:rsid w:val="00455CC3"/>
    <w:rsid w:val="00456893"/>
    <w:rsid w:val="00456912"/>
    <w:rsid w:val="00457455"/>
    <w:rsid w:val="004574A6"/>
    <w:rsid w:val="00457F54"/>
    <w:rsid w:val="0046024A"/>
    <w:rsid w:val="00460503"/>
    <w:rsid w:val="00460526"/>
    <w:rsid w:val="0046072F"/>
    <w:rsid w:val="00460BD3"/>
    <w:rsid w:val="00461594"/>
    <w:rsid w:val="00461672"/>
    <w:rsid w:val="0046182D"/>
    <w:rsid w:val="0046237D"/>
    <w:rsid w:val="00463552"/>
    <w:rsid w:val="00463731"/>
    <w:rsid w:val="00463BF0"/>
    <w:rsid w:val="00465362"/>
    <w:rsid w:val="004654E2"/>
    <w:rsid w:val="0046623A"/>
    <w:rsid w:val="00466FE9"/>
    <w:rsid w:val="004704A9"/>
    <w:rsid w:val="00471858"/>
    <w:rsid w:val="00471EB5"/>
    <w:rsid w:val="00472843"/>
    <w:rsid w:val="0047348F"/>
    <w:rsid w:val="0047375B"/>
    <w:rsid w:val="00473CB3"/>
    <w:rsid w:val="004746F0"/>
    <w:rsid w:val="00474F03"/>
    <w:rsid w:val="00475926"/>
    <w:rsid w:val="00475A6B"/>
    <w:rsid w:val="00475E9F"/>
    <w:rsid w:val="0047655A"/>
    <w:rsid w:val="00476D4C"/>
    <w:rsid w:val="0047707D"/>
    <w:rsid w:val="00477211"/>
    <w:rsid w:val="0047738B"/>
    <w:rsid w:val="00477410"/>
    <w:rsid w:val="00480309"/>
    <w:rsid w:val="00480FD3"/>
    <w:rsid w:val="00481859"/>
    <w:rsid w:val="00483B31"/>
    <w:rsid w:val="00484273"/>
    <w:rsid w:val="0048437A"/>
    <w:rsid w:val="00484676"/>
    <w:rsid w:val="00484A6D"/>
    <w:rsid w:val="00485150"/>
    <w:rsid w:val="0048557B"/>
    <w:rsid w:val="00485CE2"/>
    <w:rsid w:val="00486336"/>
    <w:rsid w:val="0048648C"/>
    <w:rsid w:val="00487460"/>
    <w:rsid w:val="004876EA"/>
    <w:rsid w:val="00487DFC"/>
    <w:rsid w:val="00490097"/>
    <w:rsid w:val="0049064B"/>
    <w:rsid w:val="00491AB9"/>
    <w:rsid w:val="00491B9A"/>
    <w:rsid w:val="00491C0D"/>
    <w:rsid w:val="00491EA3"/>
    <w:rsid w:val="00492166"/>
    <w:rsid w:val="00492528"/>
    <w:rsid w:val="00492717"/>
    <w:rsid w:val="00493265"/>
    <w:rsid w:val="0049387A"/>
    <w:rsid w:val="00493B33"/>
    <w:rsid w:val="00493D2F"/>
    <w:rsid w:val="00493FEC"/>
    <w:rsid w:val="00494146"/>
    <w:rsid w:val="00494A5C"/>
    <w:rsid w:val="00494ABB"/>
    <w:rsid w:val="00494D15"/>
    <w:rsid w:val="00494E2C"/>
    <w:rsid w:val="004957B6"/>
    <w:rsid w:val="00495D62"/>
    <w:rsid w:val="00495EDB"/>
    <w:rsid w:val="00497BC0"/>
    <w:rsid w:val="00497FD1"/>
    <w:rsid w:val="004A0ABE"/>
    <w:rsid w:val="004A0C82"/>
    <w:rsid w:val="004A0ED3"/>
    <w:rsid w:val="004A11B9"/>
    <w:rsid w:val="004A1E18"/>
    <w:rsid w:val="004A2470"/>
    <w:rsid w:val="004A2670"/>
    <w:rsid w:val="004A29F0"/>
    <w:rsid w:val="004A347F"/>
    <w:rsid w:val="004A3A67"/>
    <w:rsid w:val="004A44F8"/>
    <w:rsid w:val="004A48F2"/>
    <w:rsid w:val="004A58D0"/>
    <w:rsid w:val="004A5C17"/>
    <w:rsid w:val="004A6338"/>
    <w:rsid w:val="004A651E"/>
    <w:rsid w:val="004A678D"/>
    <w:rsid w:val="004A6D87"/>
    <w:rsid w:val="004A7041"/>
    <w:rsid w:val="004A7704"/>
    <w:rsid w:val="004A7998"/>
    <w:rsid w:val="004A7D45"/>
    <w:rsid w:val="004A7F97"/>
    <w:rsid w:val="004A7FAD"/>
    <w:rsid w:val="004B0142"/>
    <w:rsid w:val="004B01F1"/>
    <w:rsid w:val="004B0214"/>
    <w:rsid w:val="004B033A"/>
    <w:rsid w:val="004B0880"/>
    <w:rsid w:val="004B144B"/>
    <w:rsid w:val="004B17F4"/>
    <w:rsid w:val="004B1D08"/>
    <w:rsid w:val="004B24BE"/>
    <w:rsid w:val="004B2772"/>
    <w:rsid w:val="004B2E4E"/>
    <w:rsid w:val="004B2FB9"/>
    <w:rsid w:val="004B3331"/>
    <w:rsid w:val="004B3598"/>
    <w:rsid w:val="004B39C1"/>
    <w:rsid w:val="004B3BEC"/>
    <w:rsid w:val="004B3FEA"/>
    <w:rsid w:val="004B4000"/>
    <w:rsid w:val="004B4942"/>
    <w:rsid w:val="004B5CC5"/>
    <w:rsid w:val="004B5ED0"/>
    <w:rsid w:val="004B5F07"/>
    <w:rsid w:val="004B6FC7"/>
    <w:rsid w:val="004B73A3"/>
    <w:rsid w:val="004B7D11"/>
    <w:rsid w:val="004B7D32"/>
    <w:rsid w:val="004B7E47"/>
    <w:rsid w:val="004C09FE"/>
    <w:rsid w:val="004C105E"/>
    <w:rsid w:val="004C124E"/>
    <w:rsid w:val="004C1305"/>
    <w:rsid w:val="004C15A2"/>
    <w:rsid w:val="004C1D86"/>
    <w:rsid w:val="004C1FB3"/>
    <w:rsid w:val="004C2479"/>
    <w:rsid w:val="004C2F72"/>
    <w:rsid w:val="004C3167"/>
    <w:rsid w:val="004C3FEF"/>
    <w:rsid w:val="004C4082"/>
    <w:rsid w:val="004C41CC"/>
    <w:rsid w:val="004C5750"/>
    <w:rsid w:val="004C59DB"/>
    <w:rsid w:val="004C6AED"/>
    <w:rsid w:val="004C6B46"/>
    <w:rsid w:val="004C7877"/>
    <w:rsid w:val="004C79FE"/>
    <w:rsid w:val="004D017D"/>
    <w:rsid w:val="004D020D"/>
    <w:rsid w:val="004D0E69"/>
    <w:rsid w:val="004D17CA"/>
    <w:rsid w:val="004D1FF6"/>
    <w:rsid w:val="004D2090"/>
    <w:rsid w:val="004D2594"/>
    <w:rsid w:val="004D28B5"/>
    <w:rsid w:val="004D319C"/>
    <w:rsid w:val="004D3364"/>
    <w:rsid w:val="004D33EE"/>
    <w:rsid w:val="004D3944"/>
    <w:rsid w:val="004D4E7C"/>
    <w:rsid w:val="004D4FBA"/>
    <w:rsid w:val="004D5627"/>
    <w:rsid w:val="004D5CFE"/>
    <w:rsid w:val="004D5DC8"/>
    <w:rsid w:val="004D5EBE"/>
    <w:rsid w:val="004D6DBB"/>
    <w:rsid w:val="004D745B"/>
    <w:rsid w:val="004D77CE"/>
    <w:rsid w:val="004D786F"/>
    <w:rsid w:val="004E0099"/>
    <w:rsid w:val="004E019E"/>
    <w:rsid w:val="004E0F7A"/>
    <w:rsid w:val="004E18F4"/>
    <w:rsid w:val="004E29D7"/>
    <w:rsid w:val="004E37F6"/>
    <w:rsid w:val="004E3D89"/>
    <w:rsid w:val="004E42E3"/>
    <w:rsid w:val="004E4961"/>
    <w:rsid w:val="004E4E38"/>
    <w:rsid w:val="004E527D"/>
    <w:rsid w:val="004E53CE"/>
    <w:rsid w:val="004E608D"/>
    <w:rsid w:val="004E666F"/>
    <w:rsid w:val="004E68A6"/>
    <w:rsid w:val="004E69CB"/>
    <w:rsid w:val="004E6F68"/>
    <w:rsid w:val="004E765B"/>
    <w:rsid w:val="004E76D1"/>
    <w:rsid w:val="004E7C0A"/>
    <w:rsid w:val="004E7C3D"/>
    <w:rsid w:val="004F06F3"/>
    <w:rsid w:val="004F0C69"/>
    <w:rsid w:val="004F14D9"/>
    <w:rsid w:val="004F1697"/>
    <w:rsid w:val="004F18E0"/>
    <w:rsid w:val="004F220D"/>
    <w:rsid w:val="004F29B6"/>
    <w:rsid w:val="004F2DC5"/>
    <w:rsid w:val="004F2EFF"/>
    <w:rsid w:val="004F3751"/>
    <w:rsid w:val="004F39CC"/>
    <w:rsid w:val="004F3DBA"/>
    <w:rsid w:val="004F3E85"/>
    <w:rsid w:val="004F46B7"/>
    <w:rsid w:val="004F489F"/>
    <w:rsid w:val="004F4ACA"/>
    <w:rsid w:val="004F4C0B"/>
    <w:rsid w:val="004F5690"/>
    <w:rsid w:val="004F56B7"/>
    <w:rsid w:val="004F5908"/>
    <w:rsid w:val="004F5EB0"/>
    <w:rsid w:val="004F65F4"/>
    <w:rsid w:val="004F6A60"/>
    <w:rsid w:val="004F75B7"/>
    <w:rsid w:val="0050022E"/>
    <w:rsid w:val="005008AC"/>
    <w:rsid w:val="0050110D"/>
    <w:rsid w:val="0050127D"/>
    <w:rsid w:val="0050159A"/>
    <w:rsid w:val="00502034"/>
    <w:rsid w:val="00502152"/>
    <w:rsid w:val="0050316F"/>
    <w:rsid w:val="00503564"/>
    <w:rsid w:val="00504136"/>
    <w:rsid w:val="00505BD6"/>
    <w:rsid w:val="00506387"/>
    <w:rsid w:val="00506397"/>
    <w:rsid w:val="005067CC"/>
    <w:rsid w:val="00506B23"/>
    <w:rsid w:val="00506F86"/>
    <w:rsid w:val="0050738C"/>
    <w:rsid w:val="00507602"/>
    <w:rsid w:val="005076DB"/>
    <w:rsid w:val="005106B2"/>
    <w:rsid w:val="005107B3"/>
    <w:rsid w:val="005107D9"/>
    <w:rsid w:val="005116F1"/>
    <w:rsid w:val="00511BF4"/>
    <w:rsid w:val="00511C45"/>
    <w:rsid w:val="00512D55"/>
    <w:rsid w:val="00514BCA"/>
    <w:rsid w:val="00514EF7"/>
    <w:rsid w:val="00515DD6"/>
    <w:rsid w:val="0051611F"/>
    <w:rsid w:val="00516573"/>
    <w:rsid w:val="005176B1"/>
    <w:rsid w:val="00517D46"/>
    <w:rsid w:val="00517D4B"/>
    <w:rsid w:val="00520D38"/>
    <w:rsid w:val="00520D76"/>
    <w:rsid w:val="00521AC3"/>
    <w:rsid w:val="00521DE2"/>
    <w:rsid w:val="00522601"/>
    <w:rsid w:val="00522BBC"/>
    <w:rsid w:val="00523186"/>
    <w:rsid w:val="00523ACF"/>
    <w:rsid w:val="00524A3A"/>
    <w:rsid w:val="005250F0"/>
    <w:rsid w:val="005255A8"/>
    <w:rsid w:val="0052580F"/>
    <w:rsid w:val="00525CFC"/>
    <w:rsid w:val="005261E7"/>
    <w:rsid w:val="00527399"/>
    <w:rsid w:val="005273F4"/>
    <w:rsid w:val="005274D6"/>
    <w:rsid w:val="005314AE"/>
    <w:rsid w:val="005314C0"/>
    <w:rsid w:val="0053317E"/>
    <w:rsid w:val="005332AA"/>
    <w:rsid w:val="00533302"/>
    <w:rsid w:val="005336C7"/>
    <w:rsid w:val="00533AF8"/>
    <w:rsid w:val="00533C76"/>
    <w:rsid w:val="00533CD4"/>
    <w:rsid w:val="0053461D"/>
    <w:rsid w:val="00534973"/>
    <w:rsid w:val="0053562B"/>
    <w:rsid w:val="00535CDE"/>
    <w:rsid w:val="00535D34"/>
    <w:rsid w:val="00535DBE"/>
    <w:rsid w:val="005364AA"/>
    <w:rsid w:val="005364AC"/>
    <w:rsid w:val="0053660A"/>
    <w:rsid w:val="00536C6E"/>
    <w:rsid w:val="00537338"/>
    <w:rsid w:val="00537BAC"/>
    <w:rsid w:val="0054005E"/>
    <w:rsid w:val="0054049C"/>
    <w:rsid w:val="00540525"/>
    <w:rsid w:val="00540891"/>
    <w:rsid w:val="0054097A"/>
    <w:rsid w:val="00540D70"/>
    <w:rsid w:val="00541A55"/>
    <w:rsid w:val="0054221D"/>
    <w:rsid w:val="00543918"/>
    <w:rsid w:val="00543DA4"/>
    <w:rsid w:val="00544674"/>
    <w:rsid w:val="00544B8D"/>
    <w:rsid w:val="00545776"/>
    <w:rsid w:val="00545CC8"/>
    <w:rsid w:val="00545E13"/>
    <w:rsid w:val="00546002"/>
    <w:rsid w:val="00546185"/>
    <w:rsid w:val="00546656"/>
    <w:rsid w:val="005478DF"/>
    <w:rsid w:val="00551369"/>
    <w:rsid w:val="00551EE8"/>
    <w:rsid w:val="005523FA"/>
    <w:rsid w:val="00552AE7"/>
    <w:rsid w:val="00552D2A"/>
    <w:rsid w:val="00552F49"/>
    <w:rsid w:val="00553E5D"/>
    <w:rsid w:val="00553ECD"/>
    <w:rsid w:val="00554B86"/>
    <w:rsid w:val="0055528D"/>
    <w:rsid w:val="00555D41"/>
    <w:rsid w:val="00555F38"/>
    <w:rsid w:val="005565E7"/>
    <w:rsid w:val="005565F2"/>
    <w:rsid w:val="00556D87"/>
    <w:rsid w:val="00556F26"/>
    <w:rsid w:val="005575C1"/>
    <w:rsid w:val="00557AD6"/>
    <w:rsid w:val="00557D1D"/>
    <w:rsid w:val="005600A2"/>
    <w:rsid w:val="00560350"/>
    <w:rsid w:val="00561445"/>
    <w:rsid w:val="00561458"/>
    <w:rsid w:val="005623B7"/>
    <w:rsid w:val="005624ED"/>
    <w:rsid w:val="005637CD"/>
    <w:rsid w:val="00564151"/>
    <w:rsid w:val="0056476C"/>
    <w:rsid w:val="00564973"/>
    <w:rsid w:val="00564E3F"/>
    <w:rsid w:val="005654B7"/>
    <w:rsid w:val="0056577D"/>
    <w:rsid w:val="005659FF"/>
    <w:rsid w:val="005661D5"/>
    <w:rsid w:val="00566214"/>
    <w:rsid w:val="00566490"/>
    <w:rsid w:val="00567FF2"/>
    <w:rsid w:val="0057032F"/>
    <w:rsid w:val="005716F3"/>
    <w:rsid w:val="005726E1"/>
    <w:rsid w:val="00572F31"/>
    <w:rsid w:val="00574266"/>
    <w:rsid w:val="005742C2"/>
    <w:rsid w:val="00574732"/>
    <w:rsid w:val="00576669"/>
    <w:rsid w:val="005769CB"/>
    <w:rsid w:val="00576BDE"/>
    <w:rsid w:val="005771EE"/>
    <w:rsid w:val="00577C33"/>
    <w:rsid w:val="00577DFB"/>
    <w:rsid w:val="00577F9A"/>
    <w:rsid w:val="005801B1"/>
    <w:rsid w:val="00580449"/>
    <w:rsid w:val="005805D6"/>
    <w:rsid w:val="005808E1"/>
    <w:rsid w:val="005814C0"/>
    <w:rsid w:val="00581D70"/>
    <w:rsid w:val="0058243D"/>
    <w:rsid w:val="00582564"/>
    <w:rsid w:val="00582B63"/>
    <w:rsid w:val="005837FB"/>
    <w:rsid w:val="005838CF"/>
    <w:rsid w:val="00583D91"/>
    <w:rsid w:val="00584299"/>
    <w:rsid w:val="00584761"/>
    <w:rsid w:val="005847F7"/>
    <w:rsid w:val="00585B51"/>
    <w:rsid w:val="00586773"/>
    <w:rsid w:val="00586EB6"/>
    <w:rsid w:val="00586EE7"/>
    <w:rsid w:val="005870C1"/>
    <w:rsid w:val="005873F4"/>
    <w:rsid w:val="005876C8"/>
    <w:rsid w:val="00587D39"/>
    <w:rsid w:val="00587E40"/>
    <w:rsid w:val="0059028A"/>
    <w:rsid w:val="005907E8"/>
    <w:rsid w:val="00591091"/>
    <w:rsid w:val="005929EF"/>
    <w:rsid w:val="00592F82"/>
    <w:rsid w:val="00593415"/>
    <w:rsid w:val="005935F7"/>
    <w:rsid w:val="00593626"/>
    <w:rsid w:val="0059378B"/>
    <w:rsid w:val="00593A3F"/>
    <w:rsid w:val="00593EED"/>
    <w:rsid w:val="00593F37"/>
    <w:rsid w:val="005941E6"/>
    <w:rsid w:val="005959A6"/>
    <w:rsid w:val="00595AEC"/>
    <w:rsid w:val="00596CBC"/>
    <w:rsid w:val="005975CD"/>
    <w:rsid w:val="005976C2"/>
    <w:rsid w:val="005A053D"/>
    <w:rsid w:val="005A15FC"/>
    <w:rsid w:val="005A1ECD"/>
    <w:rsid w:val="005A2673"/>
    <w:rsid w:val="005A296B"/>
    <w:rsid w:val="005A2FAB"/>
    <w:rsid w:val="005A46DB"/>
    <w:rsid w:val="005A48B4"/>
    <w:rsid w:val="005A54D1"/>
    <w:rsid w:val="005A5750"/>
    <w:rsid w:val="005A58A0"/>
    <w:rsid w:val="005A5DD3"/>
    <w:rsid w:val="005A6664"/>
    <w:rsid w:val="005A6D1F"/>
    <w:rsid w:val="005A7460"/>
    <w:rsid w:val="005A7C6A"/>
    <w:rsid w:val="005B08AB"/>
    <w:rsid w:val="005B0D5F"/>
    <w:rsid w:val="005B1431"/>
    <w:rsid w:val="005B19BA"/>
    <w:rsid w:val="005B1B27"/>
    <w:rsid w:val="005B1C98"/>
    <w:rsid w:val="005B2F63"/>
    <w:rsid w:val="005B320B"/>
    <w:rsid w:val="005B346C"/>
    <w:rsid w:val="005B37E3"/>
    <w:rsid w:val="005B3B6B"/>
    <w:rsid w:val="005B432A"/>
    <w:rsid w:val="005B49A3"/>
    <w:rsid w:val="005B4C59"/>
    <w:rsid w:val="005B4E12"/>
    <w:rsid w:val="005B51CD"/>
    <w:rsid w:val="005B530B"/>
    <w:rsid w:val="005B560F"/>
    <w:rsid w:val="005B7772"/>
    <w:rsid w:val="005C0446"/>
    <w:rsid w:val="005C07FE"/>
    <w:rsid w:val="005C0D4F"/>
    <w:rsid w:val="005C142F"/>
    <w:rsid w:val="005C1C62"/>
    <w:rsid w:val="005C1C6C"/>
    <w:rsid w:val="005C21FF"/>
    <w:rsid w:val="005C224C"/>
    <w:rsid w:val="005C387D"/>
    <w:rsid w:val="005C3AB6"/>
    <w:rsid w:val="005C3BAF"/>
    <w:rsid w:val="005C3DAF"/>
    <w:rsid w:val="005C3EAD"/>
    <w:rsid w:val="005C483D"/>
    <w:rsid w:val="005C5859"/>
    <w:rsid w:val="005C5C49"/>
    <w:rsid w:val="005C5FF1"/>
    <w:rsid w:val="005C6EAA"/>
    <w:rsid w:val="005C7020"/>
    <w:rsid w:val="005D0AE5"/>
    <w:rsid w:val="005D0B35"/>
    <w:rsid w:val="005D104C"/>
    <w:rsid w:val="005D1370"/>
    <w:rsid w:val="005D1B0A"/>
    <w:rsid w:val="005D1FFD"/>
    <w:rsid w:val="005D250B"/>
    <w:rsid w:val="005D2CC7"/>
    <w:rsid w:val="005D2DCB"/>
    <w:rsid w:val="005D2E66"/>
    <w:rsid w:val="005D3372"/>
    <w:rsid w:val="005D3D13"/>
    <w:rsid w:val="005D3EA9"/>
    <w:rsid w:val="005D4068"/>
    <w:rsid w:val="005D4403"/>
    <w:rsid w:val="005D4A1A"/>
    <w:rsid w:val="005D660E"/>
    <w:rsid w:val="005D6947"/>
    <w:rsid w:val="005D738A"/>
    <w:rsid w:val="005D74B6"/>
    <w:rsid w:val="005D7AEC"/>
    <w:rsid w:val="005E068A"/>
    <w:rsid w:val="005E081D"/>
    <w:rsid w:val="005E0891"/>
    <w:rsid w:val="005E104E"/>
    <w:rsid w:val="005E124E"/>
    <w:rsid w:val="005E1B61"/>
    <w:rsid w:val="005E380B"/>
    <w:rsid w:val="005E4146"/>
    <w:rsid w:val="005E4B85"/>
    <w:rsid w:val="005E4EBB"/>
    <w:rsid w:val="005E5072"/>
    <w:rsid w:val="005E5A44"/>
    <w:rsid w:val="005E66C3"/>
    <w:rsid w:val="005E6881"/>
    <w:rsid w:val="005E71FC"/>
    <w:rsid w:val="005E72C5"/>
    <w:rsid w:val="005E76D8"/>
    <w:rsid w:val="005E76DE"/>
    <w:rsid w:val="005E76F6"/>
    <w:rsid w:val="005F08A8"/>
    <w:rsid w:val="005F0FFD"/>
    <w:rsid w:val="005F10C2"/>
    <w:rsid w:val="005F17E4"/>
    <w:rsid w:val="005F1AFF"/>
    <w:rsid w:val="005F2099"/>
    <w:rsid w:val="005F2329"/>
    <w:rsid w:val="005F2A53"/>
    <w:rsid w:val="005F2CE3"/>
    <w:rsid w:val="005F3ADB"/>
    <w:rsid w:val="005F3BF7"/>
    <w:rsid w:val="005F43D8"/>
    <w:rsid w:val="005F53AF"/>
    <w:rsid w:val="005F5A39"/>
    <w:rsid w:val="005F5D56"/>
    <w:rsid w:val="005F5F3F"/>
    <w:rsid w:val="005F6B48"/>
    <w:rsid w:val="005F6B6E"/>
    <w:rsid w:val="005F6DCF"/>
    <w:rsid w:val="0060007D"/>
    <w:rsid w:val="00600740"/>
    <w:rsid w:val="00600879"/>
    <w:rsid w:val="00601332"/>
    <w:rsid w:val="006013B1"/>
    <w:rsid w:val="00601CAE"/>
    <w:rsid w:val="006022A0"/>
    <w:rsid w:val="0060230D"/>
    <w:rsid w:val="0060287B"/>
    <w:rsid w:val="00603298"/>
    <w:rsid w:val="00603946"/>
    <w:rsid w:val="00603E13"/>
    <w:rsid w:val="006040A0"/>
    <w:rsid w:val="00604573"/>
    <w:rsid w:val="00605327"/>
    <w:rsid w:val="00605E69"/>
    <w:rsid w:val="006060C4"/>
    <w:rsid w:val="00607A60"/>
    <w:rsid w:val="00610F39"/>
    <w:rsid w:val="00612455"/>
    <w:rsid w:val="00612456"/>
    <w:rsid w:val="006126E4"/>
    <w:rsid w:val="006128BF"/>
    <w:rsid w:val="0061311B"/>
    <w:rsid w:val="00613957"/>
    <w:rsid w:val="006139F4"/>
    <w:rsid w:val="00614805"/>
    <w:rsid w:val="00615251"/>
    <w:rsid w:val="0061550C"/>
    <w:rsid w:val="0061567E"/>
    <w:rsid w:val="00615F68"/>
    <w:rsid w:val="00615FA2"/>
    <w:rsid w:val="0061636D"/>
    <w:rsid w:val="0061700B"/>
    <w:rsid w:val="0061787F"/>
    <w:rsid w:val="00617A01"/>
    <w:rsid w:val="006211D8"/>
    <w:rsid w:val="00621D22"/>
    <w:rsid w:val="006223C6"/>
    <w:rsid w:val="006228E5"/>
    <w:rsid w:val="00622CE6"/>
    <w:rsid w:val="00622D08"/>
    <w:rsid w:val="00623288"/>
    <w:rsid w:val="00623796"/>
    <w:rsid w:val="00623880"/>
    <w:rsid w:val="00623ED0"/>
    <w:rsid w:val="00624183"/>
    <w:rsid w:val="00624281"/>
    <w:rsid w:val="00624672"/>
    <w:rsid w:val="00624D99"/>
    <w:rsid w:val="00625A7D"/>
    <w:rsid w:val="00625EB7"/>
    <w:rsid w:val="006262C4"/>
    <w:rsid w:val="006263D4"/>
    <w:rsid w:val="00626E1D"/>
    <w:rsid w:val="00627606"/>
    <w:rsid w:val="0063005D"/>
    <w:rsid w:val="00630729"/>
    <w:rsid w:val="00630F4C"/>
    <w:rsid w:val="00631129"/>
    <w:rsid w:val="00631B36"/>
    <w:rsid w:val="00631BE9"/>
    <w:rsid w:val="0063389D"/>
    <w:rsid w:val="00633B68"/>
    <w:rsid w:val="00633C48"/>
    <w:rsid w:val="00634658"/>
    <w:rsid w:val="0063496E"/>
    <w:rsid w:val="00635A6D"/>
    <w:rsid w:val="006365FD"/>
    <w:rsid w:val="00637A95"/>
    <w:rsid w:val="00637C79"/>
    <w:rsid w:val="006402E9"/>
    <w:rsid w:val="0064050A"/>
    <w:rsid w:val="00640C63"/>
    <w:rsid w:val="00640F16"/>
    <w:rsid w:val="00641181"/>
    <w:rsid w:val="0064136A"/>
    <w:rsid w:val="00641D66"/>
    <w:rsid w:val="00643CBF"/>
    <w:rsid w:val="00644541"/>
    <w:rsid w:val="006445A1"/>
    <w:rsid w:val="00644E36"/>
    <w:rsid w:val="00646313"/>
    <w:rsid w:val="00646A50"/>
    <w:rsid w:val="00646BFB"/>
    <w:rsid w:val="00647708"/>
    <w:rsid w:val="00647E5B"/>
    <w:rsid w:val="006502E9"/>
    <w:rsid w:val="006505D6"/>
    <w:rsid w:val="00651B4E"/>
    <w:rsid w:val="00652364"/>
    <w:rsid w:val="00652BDF"/>
    <w:rsid w:val="00653201"/>
    <w:rsid w:val="00653611"/>
    <w:rsid w:val="00654242"/>
    <w:rsid w:val="00654AFC"/>
    <w:rsid w:val="00654E93"/>
    <w:rsid w:val="0065508F"/>
    <w:rsid w:val="00655295"/>
    <w:rsid w:val="00655530"/>
    <w:rsid w:val="006559AB"/>
    <w:rsid w:val="00655F0A"/>
    <w:rsid w:val="006566AC"/>
    <w:rsid w:val="00657499"/>
    <w:rsid w:val="006579F3"/>
    <w:rsid w:val="00657CA6"/>
    <w:rsid w:val="0066092B"/>
    <w:rsid w:val="00660EA9"/>
    <w:rsid w:val="00661714"/>
    <w:rsid w:val="006618BB"/>
    <w:rsid w:val="00661E06"/>
    <w:rsid w:val="006620E2"/>
    <w:rsid w:val="00662EAA"/>
    <w:rsid w:val="00663578"/>
    <w:rsid w:val="00663927"/>
    <w:rsid w:val="00663A50"/>
    <w:rsid w:val="006640D5"/>
    <w:rsid w:val="0066443F"/>
    <w:rsid w:val="00664AA8"/>
    <w:rsid w:val="0066579E"/>
    <w:rsid w:val="00665E4E"/>
    <w:rsid w:val="00666150"/>
    <w:rsid w:val="00666CC6"/>
    <w:rsid w:val="006673A0"/>
    <w:rsid w:val="006675A4"/>
    <w:rsid w:val="006675C8"/>
    <w:rsid w:val="00667BA6"/>
    <w:rsid w:val="00670878"/>
    <w:rsid w:val="00670A9C"/>
    <w:rsid w:val="00670C7A"/>
    <w:rsid w:val="00671295"/>
    <w:rsid w:val="0067129B"/>
    <w:rsid w:val="00671E33"/>
    <w:rsid w:val="0067252A"/>
    <w:rsid w:val="00672BB2"/>
    <w:rsid w:val="00673623"/>
    <w:rsid w:val="006738F5"/>
    <w:rsid w:val="00673C07"/>
    <w:rsid w:val="00673D32"/>
    <w:rsid w:val="006742C0"/>
    <w:rsid w:val="0067502D"/>
    <w:rsid w:val="0067577E"/>
    <w:rsid w:val="00675B2C"/>
    <w:rsid w:val="0067627C"/>
    <w:rsid w:val="006762D1"/>
    <w:rsid w:val="00677EBB"/>
    <w:rsid w:val="00677F81"/>
    <w:rsid w:val="00680FEA"/>
    <w:rsid w:val="00681979"/>
    <w:rsid w:val="00681ACC"/>
    <w:rsid w:val="00682BF5"/>
    <w:rsid w:val="006831E7"/>
    <w:rsid w:val="00684539"/>
    <w:rsid w:val="0068465E"/>
    <w:rsid w:val="00684FB2"/>
    <w:rsid w:val="0068595B"/>
    <w:rsid w:val="00686FCC"/>
    <w:rsid w:val="006907A6"/>
    <w:rsid w:val="006908B3"/>
    <w:rsid w:val="006909FA"/>
    <w:rsid w:val="00690A02"/>
    <w:rsid w:val="00690D10"/>
    <w:rsid w:val="00691A8F"/>
    <w:rsid w:val="00691CD0"/>
    <w:rsid w:val="00691DE9"/>
    <w:rsid w:val="00691ED7"/>
    <w:rsid w:val="00692543"/>
    <w:rsid w:val="006926B9"/>
    <w:rsid w:val="00692C4D"/>
    <w:rsid w:val="00692C55"/>
    <w:rsid w:val="0069322F"/>
    <w:rsid w:val="006932E7"/>
    <w:rsid w:val="0069390E"/>
    <w:rsid w:val="00694A4C"/>
    <w:rsid w:val="00694B34"/>
    <w:rsid w:val="00694E4F"/>
    <w:rsid w:val="00695590"/>
    <w:rsid w:val="00696A09"/>
    <w:rsid w:val="00697836"/>
    <w:rsid w:val="006A0837"/>
    <w:rsid w:val="006A330C"/>
    <w:rsid w:val="006A3899"/>
    <w:rsid w:val="006A3925"/>
    <w:rsid w:val="006A4898"/>
    <w:rsid w:val="006A5912"/>
    <w:rsid w:val="006A7280"/>
    <w:rsid w:val="006A7552"/>
    <w:rsid w:val="006B0264"/>
    <w:rsid w:val="006B0C40"/>
    <w:rsid w:val="006B158B"/>
    <w:rsid w:val="006B190E"/>
    <w:rsid w:val="006B30A3"/>
    <w:rsid w:val="006B47A4"/>
    <w:rsid w:val="006B4CC3"/>
    <w:rsid w:val="006B4E2A"/>
    <w:rsid w:val="006B527D"/>
    <w:rsid w:val="006B5385"/>
    <w:rsid w:val="006B53A3"/>
    <w:rsid w:val="006B64B4"/>
    <w:rsid w:val="006B65D7"/>
    <w:rsid w:val="006B6EB7"/>
    <w:rsid w:val="006B7223"/>
    <w:rsid w:val="006B7954"/>
    <w:rsid w:val="006B7E22"/>
    <w:rsid w:val="006C087F"/>
    <w:rsid w:val="006C0F26"/>
    <w:rsid w:val="006C1456"/>
    <w:rsid w:val="006C1798"/>
    <w:rsid w:val="006C17BE"/>
    <w:rsid w:val="006C37FF"/>
    <w:rsid w:val="006C3B20"/>
    <w:rsid w:val="006C4363"/>
    <w:rsid w:val="006C464E"/>
    <w:rsid w:val="006C4FEC"/>
    <w:rsid w:val="006C50DE"/>
    <w:rsid w:val="006C527E"/>
    <w:rsid w:val="006C581F"/>
    <w:rsid w:val="006C61A8"/>
    <w:rsid w:val="006C62BF"/>
    <w:rsid w:val="006C7D38"/>
    <w:rsid w:val="006D0D08"/>
    <w:rsid w:val="006D0E38"/>
    <w:rsid w:val="006D13B1"/>
    <w:rsid w:val="006D1CA3"/>
    <w:rsid w:val="006D1F7C"/>
    <w:rsid w:val="006D20EF"/>
    <w:rsid w:val="006D26CD"/>
    <w:rsid w:val="006D2B91"/>
    <w:rsid w:val="006D3355"/>
    <w:rsid w:val="006D3770"/>
    <w:rsid w:val="006D37AE"/>
    <w:rsid w:val="006D3B89"/>
    <w:rsid w:val="006D45A6"/>
    <w:rsid w:val="006D483D"/>
    <w:rsid w:val="006D4C8C"/>
    <w:rsid w:val="006D60EC"/>
    <w:rsid w:val="006D685B"/>
    <w:rsid w:val="006D6A43"/>
    <w:rsid w:val="006D6AC7"/>
    <w:rsid w:val="006D6FE3"/>
    <w:rsid w:val="006D788A"/>
    <w:rsid w:val="006E03B1"/>
    <w:rsid w:val="006E0CDC"/>
    <w:rsid w:val="006E0EB7"/>
    <w:rsid w:val="006E1F9A"/>
    <w:rsid w:val="006E2B6B"/>
    <w:rsid w:val="006E396A"/>
    <w:rsid w:val="006E3B03"/>
    <w:rsid w:val="006E40F0"/>
    <w:rsid w:val="006E42ED"/>
    <w:rsid w:val="006E4305"/>
    <w:rsid w:val="006E486F"/>
    <w:rsid w:val="006E4A3A"/>
    <w:rsid w:val="006E4CC1"/>
    <w:rsid w:val="006E4CEC"/>
    <w:rsid w:val="006E55FE"/>
    <w:rsid w:val="006E5D36"/>
    <w:rsid w:val="006E5D4C"/>
    <w:rsid w:val="006E5FFA"/>
    <w:rsid w:val="006F0311"/>
    <w:rsid w:val="006F08DC"/>
    <w:rsid w:val="006F2D32"/>
    <w:rsid w:val="006F45DC"/>
    <w:rsid w:val="006F4D37"/>
    <w:rsid w:val="006F5FB8"/>
    <w:rsid w:val="006F6C9A"/>
    <w:rsid w:val="006F6D06"/>
    <w:rsid w:val="006F723E"/>
    <w:rsid w:val="006F74A6"/>
    <w:rsid w:val="006F7896"/>
    <w:rsid w:val="006F79D3"/>
    <w:rsid w:val="006F7CE4"/>
    <w:rsid w:val="006F7FA4"/>
    <w:rsid w:val="0070047D"/>
    <w:rsid w:val="00702011"/>
    <w:rsid w:val="007027B4"/>
    <w:rsid w:val="00702BFB"/>
    <w:rsid w:val="00702C7E"/>
    <w:rsid w:val="007037C7"/>
    <w:rsid w:val="00705533"/>
    <w:rsid w:val="007058B9"/>
    <w:rsid w:val="0070599C"/>
    <w:rsid w:val="00705B18"/>
    <w:rsid w:val="00705D32"/>
    <w:rsid w:val="00705E01"/>
    <w:rsid w:val="00706128"/>
    <w:rsid w:val="00706F27"/>
    <w:rsid w:val="007076E4"/>
    <w:rsid w:val="00710D5D"/>
    <w:rsid w:val="00711303"/>
    <w:rsid w:val="00711491"/>
    <w:rsid w:val="00711496"/>
    <w:rsid w:val="00711DD5"/>
    <w:rsid w:val="0071298F"/>
    <w:rsid w:val="00712CD4"/>
    <w:rsid w:val="00712EB3"/>
    <w:rsid w:val="007138E3"/>
    <w:rsid w:val="0071407E"/>
    <w:rsid w:val="00714129"/>
    <w:rsid w:val="0071417E"/>
    <w:rsid w:val="007147B3"/>
    <w:rsid w:val="00714C4D"/>
    <w:rsid w:val="00715C81"/>
    <w:rsid w:val="007163F7"/>
    <w:rsid w:val="007165F5"/>
    <w:rsid w:val="007171F5"/>
    <w:rsid w:val="00717E28"/>
    <w:rsid w:val="00720344"/>
    <w:rsid w:val="00720C8C"/>
    <w:rsid w:val="00720F63"/>
    <w:rsid w:val="00721642"/>
    <w:rsid w:val="00721900"/>
    <w:rsid w:val="00721C6E"/>
    <w:rsid w:val="007227C7"/>
    <w:rsid w:val="00722808"/>
    <w:rsid w:val="00723AF4"/>
    <w:rsid w:val="007244D6"/>
    <w:rsid w:val="00724874"/>
    <w:rsid w:val="00725359"/>
    <w:rsid w:val="007253CD"/>
    <w:rsid w:val="007254F2"/>
    <w:rsid w:val="00726876"/>
    <w:rsid w:val="00726D90"/>
    <w:rsid w:val="007279C9"/>
    <w:rsid w:val="00727F47"/>
    <w:rsid w:val="00730060"/>
    <w:rsid w:val="00730C57"/>
    <w:rsid w:val="00731238"/>
    <w:rsid w:val="007312AF"/>
    <w:rsid w:val="0073195A"/>
    <w:rsid w:val="007323A6"/>
    <w:rsid w:val="007324E1"/>
    <w:rsid w:val="007327D8"/>
    <w:rsid w:val="00732C6E"/>
    <w:rsid w:val="00733375"/>
    <w:rsid w:val="00733591"/>
    <w:rsid w:val="0073370C"/>
    <w:rsid w:val="007350A2"/>
    <w:rsid w:val="007354A2"/>
    <w:rsid w:val="00735E29"/>
    <w:rsid w:val="007370C4"/>
    <w:rsid w:val="007409DD"/>
    <w:rsid w:val="00740AD7"/>
    <w:rsid w:val="00742676"/>
    <w:rsid w:val="00742BA4"/>
    <w:rsid w:val="007430F1"/>
    <w:rsid w:val="00743502"/>
    <w:rsid w:val="00744A72"/>
    <w:rsid w:val="007460D2"/>
    <w:rsid w:val="00746405"/>
    <w:rsid w:val="00746EAB"/>
    <w:rsid w:val="0074735A"/>
    <w:rsid w:val="007475A3"/>
    <w:rsid w:val="007501A2"/>
    <w:rsid w:val="00751350"/>
    <w:rsid w:val="007518F4"/>
    <w:rsid w:val="00751DBF"/>
    <w:rsid w:val="00752A24"/>
    <w:rsid w:val="00752A9E"/>
    <w:rsid w:val="00752BD1"/>
    <w:rsid w:val="00752E3F"/>
    <w:rsid w:val="0075324D"/>
    <w:rsid w:val="00753F8D"/>
    <w:rsid w:val="00754340"/>
    <w:rsid w:val="00754374"/>
    <w:rsid w:val="00754508"/>
    <w:rsid w:val="0075453A"/>
    <w:rsid w:val="007553FD"/>
    <w:rsid w:val="00755677"/>
    <w:rsid w:val="007568C1"/>
    <w:rsid w:val="00756D2B"/>
    <w:rsid w:val="0076018A"/>
    <w:rsid w:val="007603F8"/>
    <w:rsid w:val="0076076E"/>
    <w:rsid w:val="00761448"/>
    <w:rsid w:val="00761D1D"/>
    <w:rsid w:val="00761EE5"/>
    <w:rsid w:val="0076250C"/>
    <w:rsid w:val="00762A50"/>
    <w:rsid w:val="00762CFE"/>
    <w:rsid w:val="00763313"/>
    <w:rsid w:val="00763889"/>
    <w:rsid w:val="00763B71"/>
    <w:rsid w:val="00763DB6"/>
    <w:rsid w:val="00763FD5"/>
    <w:rsid w:val="0076417D"/>
    <w:rsid w:val="007643F7"/>
    <w:rsid w:val="00764BC8"/>
    <w:rsid w:val="007662A5"/>
    <w:rsid w:val="0076631E"/>
    <w:rsid w:val="007674EC"/>
    <w:rsid w:val="00770B0F"/>
    <w:rsid w:val="00770E53"/>
    <w:rsid w:val="00770F27"/>
    <w:rsid w:val="007718BD"/>
    <w:rsid w:val="00771B24"/>
    <w:rsid w:val="00771B6A"/>
    <w:rsid w:val="0077220E"/>
    <w:rsid w:val="007722B6"/>
    <w:rsid w:val="007726FF"/>
    <w:rsid w:val="00773818"/>
    <w:rsid w:val="00773905"/>
    <w:rsid w:val="0077395F"/>
    <w:rsid w:val="00773D27"/>
    <w:rsid w:val="00774150"/>
    <w:rsid w:val="007743F2"/>
    <w:rsid w:val="00774B5C"/>
    <w:rsid w:val="00775BC6"/>
    <w:rsid w:val="00776CB5"/>
    <w:rsid w:val="0077729E"/>
    <w:rsid w:val="007775F1"/>
    <w:rsid w:val="007777C9"/>
    <w:rsid w:val="00777B9B"/>
    <w:rsid w:val="00777D90"/>
    <w:rsid w:val="00780C0F"/>
    <w:rsid w:val="007816CF"/>
    <w:rsid w:val="00781D51"/>
    <w:rsid w:val="0078203B"/>
    <w:rsid w:val="00782615"/>
    <w:rsid w:val="00782B8C"/>
    <w:rsid w:val="00784240"/>
    <w:rsid w:val="00784BCA"/>
    <w:rsid w:val="00785069"/>
    <w:rsid w:val="007853BE"/>
    <w:rsid w:val="00785F58"/>
    <w:rsid w:val="00786970"/>
    <w:rsid w:val="00786DED"/>
    <w:rsid w:val="00787DD9"/>
    <w:rsid w:val="007906DB"/>
    <w:rsid w:val="00790716"/>
    <w:rsid w:val="00791415"/>
    <w:rsid w:val="00791819"/>
    <w:rsid w:val="00791CB1"/>
    <w:rsid w:val="0079226F"/>
    <w:rsid w:val="007923D7"/>
    <w:rsid w:val="00792423"/>
    <w:rsid w:val="00792580"/>
    <w:rsid w:val="00792D11"/>
    <w:rsid w:val="00793156"/>
    <w:rsid w:val="0079346E"/>
    <w:rsid w:val="0079347D"/>
    <w:rsid w:val="00793512"/>
    <w:rsid w:val="007949CD"/>
    <w:rsid w:val="00794BE1"/>
    <w:rsid w:val="00795367"/>
    <w:rsid w:val="0079545C"/>
    <w:rsid w:val="00795CC4"/>
    <w:rsid w:val="00796C70"/>
    <w:rsid w:val="00796DCD"/>
    <w:rsid w:val="00796F16"/>
    <w:rsid w:val="007971E7"/>
    <w:rsid w:val="00797E45"/>
    <w:rsid w:val="007A1132"/>
    <w:rsid w:val="007A2274"/>
    <w:rsid w:val="007A2752"/>
    <w:rsid w:val="007A2872"/>
    <w:rsid w:val="007A2B80"/>
    <w:rsid w:val="007A2DE7"/>
    <w:rsid w:val="007A3C63"/>
    <w:rsid w:val="007A3E8E"/>
    <w:rsid w:val="007A413A"/>
    <w:rsid w:val="007A4C8C"/>
    <w:rsid w:val="007A58CF"/>
    <w:rsid w:val="007A59F2"/>
    <w:rsid w:val="007A5CDD"/>
    <w:rsid w:val="007A69F6"/>
    <w:rsid w:val="007A782C"/>
    <w:rsid w:val="007A78A5"/>
    <w:rsid w:val="007A78FB"/>
    <w:rsid w:val="007A79EC"/>
    <w:rsid w:val="007B1693"/>
    <w:rsid w:val="007B59B0"/>
    <w:rsid w:val="007B7102"/>
    <w:rsid w:val="007B7120"/>
    <w:rsid w:val="007B7A80"/>
    <w:rsid w:val="007B7B37"/>
    <w:rsid w:val="007B7EAD"/>
    <w:rsid w:val="007C0188"/>
    <w:rsid w:val="007C0793"/>
    <w:rsid w:val="007C0C1E"/>
    <w:rsid w:val="007C0FA8"/>
    <w:rsid w:val="007C273D"/>
    <w:rsid w:val="007C2BBD"/>
    <w:rsid w:val="007C2D10"/>
    <w:rsid w:val="007C2E52"/>
    <w:rsid w:val="007C38A8"/>
    <w:rsid w:val="007C41CF"/>
    <w:rsid w:val="007C4C64"/>
    <w:rsid w:val="007C4E85"/>
    <w:rsid w:val="007C536E"/>
    <w:rsid w:val="007C6209"/>
    <w:rsid w:val="007C631A"/>
    <w:rsid w:val="007C68AE"/>
    <w:rsid w:val="007C6D42"/>
    <w:rsid w:val="007C6DF7"/>
    <w:rsid w:val="007C7843"/>
    <w:rsid w:val="007C78D6"/>
    <w:rsid w:val="007D003E"/>
    <w:rsid w:val="007D02D6"/>
    <w:rsid w:val="007D19EB"/>
    <w:rsid w:val="007D262E"/>
    <w:rsid w:val="007D4008"/>
    <w:rsid w:val="007D4475"/>
    <w:rsid w:val="007D49F0"/>
    <w:rsid w:val="007D5014"/>
    <w:rsid w:val="007D5F51"/>
    <w:rsid w:val="007D663D"/>
    <w:rsid w:val="007D6B4E"/>
    <w:rsid w:val="007D6E52"/>
    <w:rsid w:val="007D702A"/>
    <w:rsid w:val="007D7B75"/>
    <w:rsid w:val="007D7FD6"/>
    <w:rsid w:val="007E0579"/>
    <w:rsid w:val="007E08C4"/>
    <w:rsid w:val="007E1862"/>
    <w:rsid w:val="007E192E"/>
    <w:rsid w:val="007E1F26"/>
    <w:rsid w:val="007E1F91"/>
    <w:rsid w:val="007E2524"/>
    <w:rsid w:val="007E28BC"/>
    <w:rsid w:val="007E2B47"/>
    <w:rsid w:val="007E2F6E"/>
    <w:rsid w:val="007E3D39"/>
    <w:rsid w:val="007E4122"/>
    <w:rsid w:val="007E46F7"/>
    <w:rsid w:val="007E5601"/>
    <w:rsid w:val="007E59BB"/>
    <w:rsid w:val="007E62D7"/>
    <w:rsid w:val="007E78F0"/>
    <w:rsid w:val="007F0A12"/>
    <w:rsid w:val="007F2211"/>
    <w:rsid w:val="007F22BF"/>
    <w:rsid w:val="007F22DD"/>
    <w:rsid w:val="007F266A"/>
    <w:rsid w:val="007F2A44"/>
    <w:rsid w:val="007F2ED3"/>
    <w:rsid w:val="007F2EEA"/>
    <w:rsid w:val="007F2F71"/>
    <w:rsid w:val="007F3978"/>
    <w:rsid w:val="007F4037"/>
    <w:rsid w:val="007F4AA6"/>
    <w:rsid w:val="007F4F6B"/>
    <w:rsid w:val="007F5412"/>
    <w:rsid w:val="007F56B3"/>
    <w:rsid w:val="007F5ED8"/>
    <w:rsid w:val="007F667E"/>
    <w:rsid w:val="007F6878"/>
    <w:rsid w:val="007F6C74"/>
    <w:rsid w:val="007F7392"/>
    <w:rsid w:val="0080012E"/>
    <w:rsid w:val="00800232"/>
    <w:rsid w:val="00800267"/>
    <w:rsid w:val="00800C1B"/>
    <w:rsid w:val="0080103A"/>
    <w:rsid w:val="0080119E"/>
    <w:rsid w:val="0080177A"/>
    <w:rsid w:val="00802235"/>
    <w:rsid w:val="00802519"/>
    <w:rsid w:val="0080298B"/>
    <w:rsid w:val="0080332C"/>
    <w:rsid w:val="00803AB5"/>
    <w:rsid w:val="00804005"/>
    <w:rsid w:val="008041DF"/>
    <w:rsid w:val="0080427D"/>
    <w:rsid w:val="008048FF"/>
    <w:rsid w:val="00804C75"/>
    <w:rsid w:val="00804DC1"/>
    <w:rsid w:val="00805E50"/>
    <w:rsid w:val="00806056"/>
    <w:rsid w:val="00806BCC"/>
    <w:rsid w:val="00806C71"/>
    <w:rsid w:val="00810210"/>
    <w:rsid w:val="00810401"/>
    <w:rsid w:val="008113C2"/>
    <w:rsid w:val="00811463"/>
    <w:rsid w:val="00811591"/>
    <w:rsid w:val="0081168F"/>
    <w:rsid w:val="00811EFD"/>
    <w:rsid w:val="00812208"/>
    <w:rsid w:val="008123B5"/>
    <w:rsid w:val="008130AC"/>
    <w:rsid w:val="00813D86"/>
    <w:rsid w:val="008140AF"/>
    <w:rsid w:val="008160EA"/>
    <w:rsid w:val="0081634E"/>
    <w:rsid w:val="00816517"/>
    <w:rsid w:val="00816E21"/>
    <w:rsid w:val="00820BAE"/>
    <w:rsid w:val="00821100"/>
    <w:rsid w:val="0082118A"/>
    <w:rsid w:val="00821F16"/>
    <w:rsid w:val="008224DF"/>
    <w:rsid w:val="008226ED"/>
    <w:rsid w:val="00822B4F"/>
    <w:rsid w:val="00822CD1"/>
    <w:rsid w:val="00824827"/>
    <w:rsid w:val="0082550C"/>
    <w:rsid w:val="008255F4"/>
    <w:rsid w:val="00825BF7"/>
    <w:rsid w:val="00826935"/>
    <w:rsid w:val="00826B4A"/>
    <w:rsid w:val="00826F8C"/>
    <w:rsid w:val="00826FCD"/>
    <w:rsid w:val="0082748C"/>
    <w:rsid w:val="008276E3"/>
    <w:rsid w:val="00827897"/>
    <w:rsid w:val="0082799F"/>
    <w:rsid w:val="00827A67"/>
    <w:rsid w:val="00827B00"/>
    <w:rsid w:val="008302C8"/>
    <w:rsid w:val="008303B4"/>
    <w:rsid w:val="008306B8"/>
    <w:rsid w:val="008311BF"/>
    <w:rsid w:val="008311C5"/>
    <w:rsid w:val="00831A4C"/>
    <w:rsid w:val="0083228E"/>
    <w:rsid w:val="008323A9"/>
    <w:rsid w:val="00832427"/>
    <w:rsid w:val="0083272F"/>
    <w:rsid w:val="00832F2A"/>
    <w:rsid w:val="0083310D"/>
    <w:rsid w:val="0083345A"/>
    <w:rsid w:val="008336CC"/>
    <w:rsid w:val="0083412A"/>
    <w:rsid w:val="00834853"/>
    <w:rsid w:val="00834EEC"/>
    <w:rsid w:val="008354D2"/>
    <w:rsid w:val="00835C2B"/>
    <w:rsid w:val="008360EB"/>
    <w:rsid w:val="00836147"/>
    <w:rsid w:val="008371EB"/>
    <w:rsid w:val="008372B9"/>
    <w:rsid w:val="00837A88"/>
    <w:rsid w:val="00837D80"/>
    <w:rsid w:val="0084001D"/>
    <w:rsid w:val="0084063F"/>
    <w:rsid w:val="00840930"/>
    <w:rsid w:val="00840B84"/>
    <w:rsid w:val="00841775"/>
    <w:rsid w:val="00841CA3"/>
    <w:rsid w:val="00844F49"/>
    <w:rsid w:val="008453C7"/>
    <w:rsid w:val="008466A4"/>
    <w:rsid w:val="0084692A"/>
    <w:rsid w:val="00847FBE"/>
    <w:rsid w:val="008502F2"/>
    <w:rsid w:val="00850A19"/>
    <w:rsid w:val="00850E5C"/>
    <w:rsid w:val="008510C6"/>
    <w:rsid w:val="00851509"/>
    <w:rsid w:val="0085187B"/>
    <w:rsid w:val="00851962"/>
    <w:rsid w:val="00851B01"/>
    <w:rsid w:val="00851C5F"/>
    <w:rsid w:val="00852A39"/>
    <w:rsid w:val="00852ACC"/>
    <w:rsid w:val="0085370B"/>
    <w:rsid w:val="00853EC8"/>
    <w:rsid w:val="008541AF"/>
    <w:rsid w:val="008542A6"/>
    <w:rsid w:val="008542A9"/>
    <w:rsid w:val="008556DE"/>
    <w:rsid w:val="00855B9C"/>
    <w:rsid w:val="00856016"/>
    <w:rsid w:val="0085651D"/>
    <w:rsid w:val="008565D2"/>
    <w:rsid w:val="00857EF0"/>
    <w:rsid w:val="0086113C"/>
    <w:rsid w:val="008611B2"/>
    <w:rsid w:val="00861978"/>
    <w:rsid w:val="00861CD4"/>
    <w:rsid w:val="008627E7"/>
    <w:rsid w:val="00862D5A"/>
    <w:rsid w:val="008630C8"/>
    <w:rsid w:val="00863203"/>
    <w:rsid w:val="00863A66"/>
    <w:rsid w:val="00864562"/>
    <w:rsid w:val="008645DE"/>
    <w:rsid w:val="00864A53"/>
    <w:rsid w:val="00864D0D"/>
    <w:rsid w:val="00865729"/>
    <w:rsid w:val="00865FC7"/>
    <w:rsid w:val="008673D4"/>
    <w:rsid w:val="00867850"/>
    <w:rsid w:val="00867E0E"/>
    <w:rsid w:val="00867E22"/>
    <w:rsid w:val="00870096"/>
    <w:rsid w:val="0087027C"/>
    <w:rsid w:val="0087061E"/>
    <w:rsid w:val="00870A4F"/>
    <w:rsid w:val="00870F9E"/>
    <w:rsid w:val="008711D9"/>
    <w:rsid w:val="00871333"/>
    <w:rsid w:val="00872643"/>
    <w:rsid w:val="008735C5"/>
    <w:rsid w:val="00874780"/>
    <w:rsid w:val="00876045"/>
    <w:rsid w:val="008764F5"/>
    <w:rsid w:val="00876858"/>
    <w:rsid w:val="00876AEB"/>
    <w:rsid w:val="00876F41"/>
    <w:rsid w:val="00880DD2"/>
    <w:rsid w:val="008810F6"/>
    <w:rsid w:val="00881127"/>
    <w:rsid w:val="00881A20"/>
    <w:rsid w:val="00882A6F"/>
    <w:rsid w:val="00882AAA"/>
    <w:rsid w:val="00882ACF"/>
    <w:rsid w:val="0088311C"/>
    <w:rsid w:val="008849FB"/>
    <w:rsid w:val="00886031"/>
    <w:rsid w:val="00886292"/>
    <w:rsid w:val="008870E9"/>
    <w:rsid w:val="00890190"/>
    <w:rsid w:val="00890215"/>
    <w:rsid w:val="008926C4"/>
    <w:rsid w:val="0089272B"/>
    <w:rsid w:val="00892B1E"/>
    <w:rsid w:val="00892D22"/>
    <w:rsid w:val="00894434"/>
    <w:rsid w:val="00894B55"/>
    <w:rsid w:val="00894FE3"/>
    <w:rsid w:val="0089505F"/>
    <w:rsid w:val="00896617"/>
    <w:rsid w:val="00896BB2"/>
    <w:rsid w:val="008A0331"/>
    <w:rsid w:val="008A1250"/>
    <w:rsid w:val="008A1402"/>
    <w:rsid w:val="008A2A8D"/>
    <w:rsid w:val="008A2F3A"/>
    <w:rsid w:val="008A2F5E"/>
    <w:rsid w:val="008A326A"/>
    <w:rsid w:val="008A33A2"/>
    <w:rsid w:val="008A34F7"/>
    <w:rsid w:val="008A3548"/>
    <w:rsid w:val="008A3980"/>
    <w:rsid w:val="008A3F46"/>
    <w:rsid w:val="008A41A7"/>
    <w:rsid w:val="008A5C37"/>
    <w:rsid w:val="008A5D47"/>
    <w:rsid w:val="008A5D66"/>
    <w:rsid w:val="008A623A"/>
    <w:rsid w:val="008A66C0"/>
    <w:rsid w:val="008A67B1"/>
    <w:rsid w:val="008A7076"/>
    <w:rsid w:val="008A736B"/>
    <w:rsid w:val="008A7559"/>
    <w:rsid w:val="008B0858"/>
    <w:rsid w:val="008B0915"/>
    <w:rsid w:val="008B25E6"/>
    <w:rsid w:val="008B2C85"/>
    <w:rsid w:val="008B336A"/>
    <w:rsid w:val="008B3553"/>
    <w:rsid w:val="008B3B9A"/>
    <w:rsid w:val="008B3FA9"/>
    <w:rsid w:val="008B40F0"/>
    <w:rsid w:val="008B4B15"/>
    <w:rsid w:val="008B4F73"/>
    <w:rsid w:val="008B6330"/>
    <w:rsid w:val="008B64F9"/>
    <w:rsid w:val="008B69F7"/>
    <w:rsid w:val="008B78C7"/>
    <w:rsid w:val="008B7C01"/>
    <w:rsid w:val="008C063B"/>
    <w:rsid w:val="008C0BD8"/>
    <w:rsid w:val="008C1042"/>
    <w:rsid w:val="008C1905"/>
    <w:rsid w:val="008C1CAF"/>
    <w:rsid w:val="008C2025"/>
    <w:rsid w:val="008C263B"/>
    <w:rsid w:val="008C3976"/>
    <w:rsid w:val="008C3A6D"/>
    <w:rsid w:val="008C3FAF"/>
    <w:rsid w:val="008C44B9"/>
    <w:rsid w:val="008C45D8"/>
    <w:rsid w:val="008C4862"/>
    <w:rsid w:val="008C503D"/>
    <w:rsid w:val="008C554C"/>
    <w:rsid w:val="008C5690"/>
    <w:rsid w:val="008C64A9"/>
    <w:rsid w:val="008C6F29"/>
    <w:rsid w:val="008C7849"/>
    <w:rsid w:val="008C79EC"/>
    <w:rsid w:val="008C7ADC"/>
    <w:rsid w:val="008C7FA9"/>
    <w:rsid w:val="008D02D5"/>
    <w:rsid w:val="008D0466"/>
    <w:rsid w:val="008D04EF"/>
    <w:rsid w:val="008D064F"/>
    <w:rsid w:val="008D256D"/>
    <w:rsid w:val="008D2AD1"/>
    <w:rsid w:val="008D33E1"/>
    <w:rsid w:val="008D352B"/>
    <w:rsid w:val="008D4003"/>
    <w:rsid w:val="008D4A2A"/>
    <w:rsid w:val="008D53D6"/>
    <w:rsid w:val="008D565A"/>
    <w:rsid w:val="008D5709"/>
    <w:rsid w:val="008D6E3E"/>
    <w:rsid w:val="008D72B4"/>
    <w:rsid w:val="008D7BAA"/>
    <w:rsid w:val="008D7E5B"/>
    <w:rsid w:val="008E0744"/>
    <w:rsid w:val="008E12CA"/>
    <w:rsid w:val="008E12D6"/>
    <w:rsid w:val="008E166F"/>
    <w:rsid w:val="008E17CD"/>
    <w:rsid w:val="008E1DCE"/>
    <w:rsid w:val="008E22D5"/>
    <w:rsid w:val="008E297B"/>
    <w:rsid w:val="008E41E8"/>
    <w:rsid w:val="008E4374"/>
    <w:rsid w:val="008E46D8"/>
    <w:rsid w:val="008E4D9D"/>
    <w:rsid w:val="008E57D9"/>
    <w:rsid w:val="008E59E0"/>
    <w:rsid w:val="008E60A9"/>
    <w:rsid w:val="008E621E"/>
    <w:rsid w:val="008E6A65"/>
    <w:rsid w:val="008E7176"/>
    <w:rsid w:val="008E73B3"/>
    <w:rsid w:val="008E797D"/>
    <w:rsid w:val="008F0CF5"/>
    <w:rsid w:val="008F10A1"/>
    <w:rsid w:val="008F2165"/>
    <w:rsid w:val="008F241B"/>
    <w:rsid w:val="008F2C2C"/>
    <w:rsid w:val="008F2FE7"/>
    <w:rsid w:val="008F3559"/>
    <w:rsid w:val="008F3C2E"/>
    <w:rsid w:val="008F427C"/>
    <w:rsid w:val="008F4E84"/>
    <w:rsid w:val="008F4F68"/>
    <w:rsid w:val="008F5007"/>
    <w:rsid w:val="008F5608"/>
    <w:rsid w:val="008F5AC2"/>
    <w:rsid w:val="008F640D"/>
    <w:rsid w:val="008F6795"/>
    <w:rsid w:val="008F689E"/>
    <w:rsid w:val="008F6E96"/>
    <w:rsid w:val="008F73BC"/>
    <w:rsid w:val="008F7526"/>
    <w:rsid w:val="008F7FC7"/>
    <w:rsid w:val="009003A3"/>
    <w:rsid w:val="00900441"/>
    <w:rsid w:val="00900528"/>
    <w:rsid w:val="00900831"/>
    <w:rsid w:val="009021C1"/>
    <w:rsid w:val="009043C8"/>
    <w:rsid w:val="00904675"/>
    <w:rsid w:val="00904F7D"/>
    <w:rsid w:val="00905D23"/>
    <w:rsid w:val="009066E0"/>
    <w:rsid w:val="00906B31"/>
    <w:rsid w:val="00910F22"/>
    <w:rsid w:val="009116BC"/>
    <w:rsid w:val="00911A62"/>
    <w:rsid w:val="00912B9C"/>
    <w:rsid w:val="009130F4"/>
    <w:rsid w:val="00913A5B"/>
    <w:rsid w:val="00913AFC"/>
    <w:rsid w:val="0091408B"/>
    <w:rsid w:val="00914946"/>
    <w:rsid w:val="00914ABF"/>
    <w:rsid w:val="00914F7E"/>
    <w:rsid w:val="00915124"/>
    <w:rsid w:val="00915672"/>
    <w:rsid w:val="00916DE2"/>
    <w:rsid w:val="00916FCB"/>
    <w:rsid w:val="009173AB"/>
    <w:rsid w:val="00917C2A"/>
    <w:rsid w:val="00920360"/>
    <w:rsid w:val="00920C04"/>
    <w:rsid w:val="009217CC"/>
    <w:rsid w:val="00921A47"/>
    <w:rsid w:val="00921CC5"/>
    <w:rsid w:val="00921EF0"/>
    <w:rsid w:val="00923555"/>
    <w:rsid w:val="0092357D"/>
    <w:rsid w:val="00923B8D"/>
    <w:rsid w:val="00924094"/>
    <w:rsid w:val="009250FE"/>
    <w:rsid w:val="00925566"/>
    <w:rsid w:val="00925758"/>
    <w:rsid w:val="00925942"/>
    <w:rsid w:val="0092614F"/>
    <w:rsid w:val="00926172"/>
    <w:rsid w:val="009263CD"/>
    <w:rsid w:val="00926900"/>
    <w:rsid w:val="00927787"/>
    <w:rsid w:val="00927BD3"/>
    <w:rsid w:val="00931184"/>
    <w:rsid w:val="0093167F"/>
    <w:rsid w:val="009326D9"/>
    <w:rsid w:val="00932AF2"/>
    <w:rsid w:val="00932B71"/>
    <w:rsid w:val="00933499"/>
    <w:rsid w:val="00933521"/>
    <w:rsid w:val="009338B3"/>
    <w:rsid w:val="0093407A"/>
    <w:rsid w:val="0093460D"/>
    <w:rsid w:val="0093481D"/>
    <w:rsid w:val="00934FAF"/>
    <w:rsid w:val="00936D58"/>
    <w:rsid w:val="00936EB0"/>
    <w:rsid w:val="009374A7"/>
    <w:rsid w:val="009377E1"/>
    <w:rsid w:val="00937F76"/>
    <w:rsid w:val="0094029E"/>
    <w:rsid w:val="00940359"/>
    <w:rsid w:val="009422F6"/>
    <w:rsid w:val="00942E92"/>
    <w:rsid w:val="00942ED9"/>
    <w:rsid w:val="00942FEA"/>
    <w:rsid w:val="00943073"/>
    <w:rsid w:val="00943975"/>
    <w:rsid w:val="00943C05"/>
    <w:rsid w:val="00943C34"/>
    <w:rsid w:val="00944389"/>
    <w:rsid w:val="009443D0"/>
    <w:rsid w:val="009447CC"/>
    <w:rsid w:val="00944BB6"/>
    <w:rsid w:val="00944D68"/>
    <w:rsid w:val="00945E88"/>
    <w:rsid w:val="00946783"/>
    <w:rsid w:val="00946D55"/>
    <w:rsid w:val="009470DE"/>
    <w:rsid w:val="00947AAB"/>
    <w:rsid w:val="00947C94"/>
    <w:rsid w:val="00947EE8"/>
    <w:rsid w:val="00950BAD"/>
    <w:rsid w:val="00950CA6"/>
    <w:rsid w:val="00951520"/>
    <w:rsid w:val="00952CB9"/>
    <w:rsid w:val="00953764"/>
    <w:rsid w:val="009541F8"/>
    <w:rsid w:val="0095514E"/>
    <w:rsid w:val="009564D6"/>
    <w:rsid w:val="00956F00"/>
    <w:rsid w:val="009573C4"/>
    <w:rsid w:val="00957420"/>
    <w:rsid w:val="00957BB0"/>
    <w:rsid w:val="009602F0"/>
    <w:rsid w:val="0096069B"/>
    <w:rsid w:val="00960FF4"/>
    <w:rsid w:val="009610E4"/>
    <w:rsid w:val="009611E8"/>
    <w:rsid w:val="009612F1"/>
    <w:rsid w:val="00961328"/>
    <w:rsid w:val="009619BC"/>
    <w:rsid w:val="00962280"/>
    <w:rsid w:val="0096237B"/>
    <w:rsid w:val="00962C4E"/>
    <w:rsid w:val="009663A5"/>
    <w:rsid w:val="009669F9"/>
    <w:rsid w:val="00966FB7"/>
    <w:rsid w:val="00967486"/>
    <w:rsid w:val="0096767F"/>
    <w:rsid w:val="00967C9B"/>
    <w:rsid w:val="00970805"/>
    <w:rsid w:val="00970963"/>
    <w:rsid w:val="00970AA0"/>
    <w:rsid w:val="00972A3F"/>
    <w:rsid w:val="0097383A"/>
    <w:rsid w:val="00973CA3"/>
    <w:rsid w:val="009755A0"/>
    <w:rsid w:val="009755B6"/>
    <w:rsid w:val="009758A5"/>
    <w:rsid w:val="00975B09"/>
    <w:rsid w:val="00976145"/>
    <w:rsid w:val="0097693A"/>
    <w:rsid w:val="00976BA9"/>
    <w:rsid w:val="00976C9E"/>
    <w:rsid w:val="00976CCB"/>
    <w:rsid w:val="00977590"/>
    <w:rsid w:val="00977FF0"/>
    <w:rsid w:val="009802B0"/>
    <w:rsid w:val="009808D8"/>
    <w:rsid w:val="00980973"/>
    <w:rsid w:val="00980C71"/>
    <w:rsid w:val="009817F6"/>
    <w:rsid w:val="00981D41"/>
    <w:rsid w:val="00982F1D"/>
    <w:rsid w:val="00983430"/>
    <w:rsid w:val="0098358D"/>
    <w:rsid w:val="00983A70"/>
    <w:rsid w:val="00983AEA"/>
    <w:rsid w:val="009842F0"/>
    <w:rsid w:val="00984A4F"/>
    <w:rsid w:val="00984B1C"/>
    <w:rsid w:val="009867B8"/>
    <w:rsid w:val="00986AA7"/>
    <w:rsid w:val="00986B76"/>
    <w:rsid w:val="00986B94"/>
    <w:rsid w:val="00986FEE"/>
    <w:rsid w:val="009873AC"/>
    <w:rsid w:val="009878CB"/>
    <w:rsid w:val="00987BB4"/>
    <w:rsid w:val="00990EF2"/>
    <w:rsid w:val="00991091"/>
    <w:rsid w:val="0099123C"/>
    <w:rsid w:val="00991267"/>
    <w:rsid w:val="00992AE6"/>
    <w:rsid w:val="009938B4"/>
    <w:rsid w:val="00994BF9"/>
    <w:rsid w:val="009958F0"/>
    <w:rsid w:val="00995A73"/>
    <w:rsid w:val="00995FAD"/>
    <w:rsid w:val="00996F50"/>
    <w:rsid w:val="00996FD3"/>
    <w:rsid w:val="00997E0A"/>
    <w:rsid w:val="009A00B0"/>
    <w:rsid w:val="009A03B3"/>
    <w:rsid w:val="009A16D6"/>
    <w:rsid w:val="009A17F2"/>
    <w:rsid w:val="009A1E4B"/>
    <w:rsid w:val="009A20F7"/>
    <w:rsid w:val="009A219B"/>
    <w:rsid w:val="009A2905"/>
    <w:rsid w:val="009A3300"/>
    <w:rsid w:val="009A3546"/>
    <w:rsid w:val="009A3A00"/>
    <w:rsid w:val="009A40FD"/>
    <w:rsid w:val="009A4169"/>
    <w:rsid w:val="009A4405"/>
    <w:rsid w:val="009A45CC"/>
    <w:rsid w:val="009A4C5D"/>
    <w:rsid w:val="009A4E01"/>
    <w:rsid w:val="009A51C8"/>
    <w:rsid w:val="009A5225"/>
    <w:rsid w:val="009A57ED"/>
    <w:rsid w:val="009A5DAE"/>
    <w:rsid w:val="009A5E2E"/>
    <w:rsid w:val="009A655A"/>
    <w:rsid w:val="009A7BB3"/>
    <w:rsid w:val="009B0BF7"/>
    <w:rsid w:val="009B12D8"/>
    <w:rsid w:val="009B1750"/>
    <w:rsid w:val="009B1CA3"/>
    <w:rsid w:val="009B1FCF"/>
    <w:rsid w:val="009B2A24"/>
    <w:rsid w:val="009B2DFA"/>
    <w:rsid w:val="009B30AE"/>
    <w:rsid w:val="009B3817"/>
    <w:rsid w:val="009B3FA0"/>
    <w:rsid w:val="009B45F2"/>
    <w:rsid w:val="009B4B62"/>
    <w:rsid w:val="009B4ED1"/>
    <w:rsid w:val="009B5295"/>
    <w:rsid w:val="009B5844"/>
    <w:rsid w:val="009B611C"/>
    <w:rsid w:val="009B665E"/>
    <w:rsid w:val="009B6E34"/>
    <w:rsid w:val="009B6E92"/>
    <w:rsid w:val="009B768D"/>
    <w:rsid w:val="009B7862"/>
    <w:rsid w:val="009B792C"/>
    <w:rsid w:val="009B7937"/>
    <w:rsid w:val="009B7B4E"/>
    <w:rsid w:val="009B7C4D"/>
    <w:rsid w:val="009B7D99"/>
    <w:rsid w:val="009C195B"/>
    <w:rsid w:val="009C1EA0"/>
    <w:rsid w:val="009C216F"/>
    <w:rsid w:val="009C22C9"/>
    <w:rsid w:val="009C2410"/>
    <w:rsid w:val="009C37AC"/>
    <w:rsid w:val="009C37F9"/>
    <w:rsid w:val="009C4305"/>
    <w:rsid w:val="009C4729"/>
    <w:rsid w:val="009C4F06"/>
    <w:rsid w:val="009C4FE5"/>
    <w:rsid w:val="009C50D5"/>
    <w:rsid w:val="009C524A"/>
    <w:rsid w:val="009C5D2C"/>
    <w:rsid w:val="009C7376"/>
    <w:rsid w:val="009D08DA"/>
    <w:rsid w:val="009D137F"/>
    <w:rsid w:val="009D143D"/>
    <w:rsid w:val="009D226F"/>
    <w:rsid w:val="009D2757"/>
    <w:rsid w:val="009D2811"/>
    <w:rsid w:val="009D2F8A"/>
    <w:rsid w:val="009D3164"/>
    <w:rsid w:val="009D45E0"/>
    <w:rsid w:val="009D4AAB"/>
    <w:rsid w:val="009D4CCD"/>
    <w:rsid w:val="009D4E37"/>
    <w:rsid w:val="009D5004"/>
    <w:rsid w:val="009D554E"/>
    <w:rsid w:val="009D5D8E"/>
    <w:rsid w:val="009D5F63"/>
    <w:rsid w:val="009D6425"/>
    <w:rsid w:val="009D6DFD"/>
    <w:rsid w:val="009D6F79"/>
    <w:rsid w:val="009D710B"/>
    <w:rsid w:val="009E0501"/>
    <w:rsid w:val="009E0C1B"/>
    <w:rsid w:val="009E1D5A"/>
    <w:rsid w:val="009E40CD"/>
    <w:rsid w:val="009E459A"/>
    <w:rsid w:val="009E4B54"/>
    <w:rsid w:val="009E515A"/>
    <w:rsid w:val="009E5E3E"/>
    <w:rsid w:val="009E6143"/>
    <w:rsid w:val="009E6218"/>
    <w:rsid w:val="009E6995"/>
    <w:rsid w:val="009E6C4C"/>
    <w:rsid w:val="009E6F09"/>
    <w:rsid w:val="009E70FC"/>
    <w:rsid w:val="009E77EC"/>
    <w:rsid w:val="009F09BB"/>
    <w:rsid w:val="009F108D"/>
    <w:rsid w:val="009F4486"/>
    <w:rsid w:val="009F5056"/>
    <w:rsid w:val="009F66E8"/>
    <w:rsid w:val="009F6F24"/>
    <w:rsid w:val="009F781E"/>
    <w:rsid w:val="009F798D"/>
    <w:rsid w:val="00A0018B"/>
    <w:rsid w:val="00A0045A"/>
    <w:rsid w:val="00A00726"/>
    <w:rsid w:val="00A00BD3"/>
    <w:rsid w:val="00A00FBC"/>
    <w:rsid w:val="00A01C0A"/>
    <w:rsid w:val="00A02323"/>
    <w:rsid w:val="00A02A8A"/>
    <w:rsid w:val="00A02A8B"/>
    <w:rsid w:val="00A02F47"/>
    <w:rsid w:val="00A03081"/>
    <w:rsid w:val="00A0315D"/>
    <w:rsid w:val="00A037F6"/>
    <w:rsid w:val="00A0396C"/>
    <w:rsid w:val="00A03E59"/>
    <w:rsid w:val="00A03E5D"/>
    <w:rsid w:val="00A043FC"/>
    <w:rsid w:val="00A044BF"/>
    <w:rsid w:val="00A0472F"/>
    <w:rsid w:val="00A047E9"/>
    <w:rsid w:val="00A05107"/>
    <w:rsid w:val="00A051A1"/>
    <w:rsid w:val="00A05269"/>
    <w:rsid w:val="00A05599"/>
    <w:rsid w:val="00A05B9E"/>
    <w:rsid w:val="00A06C4C"/>
    <w:rsid w:val="00A07370"/>
    <w:rsid w:val="00A103C8"/>
    <w:rsid w:val="00A10C10"/>
    <w:rsid w:val="00A10C49"/>
    <w:rsid w:val="00A10DED"/>
    <w:rsid w:val="00A1145F"/>
    <w:rsid w:val="00A1163E"/>
    <w:rsid w:val="00A11B09"/>
    <w:rsid w:val="00A128D4"/>
    <w:rsid w:val="00A1434B"/>
    <w:rsid w:val="00A1487D"/>
    <w:rsid w:val="00A14CE7"/>
    <w:rsid w:val="00A14ED2"/>
    <w:rsid w:val="00A15F33"/>
    <w:rsid w:val="00A16C60"/>
    <w:rsid w:val="00A16EF0"/>
    <w:rsid w:val="00A1700F"/>
    <w:rsid w:val="00A2003E"/>
    <w:rsid w:val="00A2069A"/>
    <w:rsid w:val="00A2099E"/>
    <w:rsid w:val="00A20B8F"/>
    <w:rsid w:val="00A21272"/>
    <w:rsid w:val="00A214CE"/>
    <w:rsid w:val="00A21593"/>
    <w:rsid w:val="00A21C93"/>
    <w:rsid w:val="00A22126"/>
    <w:rsid w:val="00A22437"/>
    <w:rsid w:val="00A22588"/>
    <w:rsid w:val="00A22F76"/>
    <w:rsid w:val="00A237B3"/>
    <w:rsid w:val="00A23D57"/>
    <w:rsid w:val="00A23F74"/>
    <w:rsid w:val="00A25093"/>
    <w:rsid w:val="00A25223"/>
    <w:rsid w:val="00A2529B"/>
    <w:rsid w:val="00A25A9A"/>
    <w:rsid w:val="00A25BDE"/>
    <w:rsid w:val="00A266EC"/>
    <w:rsid w:val="00A26762"/>
    <w:rsid w:val="00A27473"/>
    <w:rsid w:val="00A279BC"/>
    <w:rsid w:val="00A27A56"/>
    <w:rsid w:val="00A27BFF"/>
    <w:rsid w:val="00A30A15"/>
    <w:rsid w:val="00A30E57"/>
    <w:rsid w:val="00A310F6"/>
    <w:rsid w:val="00A3130B"/>
    <w:rsid w:val="00A3151F"/>
    <w:rsid w:val="00A319CC"/>
    <w:rsid w:val="00A31B9E"/>
    <w:rsid w:val="00A31D0F"/>
    <w:rsid w:val="00A31EE4"/>
    <w:rsid w:val="00A328BB"/>
    <w:rsid w:val="00A328CB"/>
    <w:rsid w:val="00A328F5"/>
    <w:rsid w:val="00A32B18"/>
    <w:rsid w:val="00A335D2"/>
    <w:rsid w:val="00A335E5"/>
    <w:rsid w:val="00A33FEB"/>
    <w:rsid w:val="00A34060"/>
    <w:rsid w:val="00A34BAA"/>
    <w:rsid w:val="00A34C52"/>
    <w:rsid w:val="00A35500"/>
    <w:rsid w:val="00A35632"/>
    <w:rsid w:val="00A35861"/>
    <w:rsid w:val="00A35D40"/>
    <w:rsid w:val="00A35E92"/>
    <w:rsid w:val="00A360EC"/>
    <w:rsid w:val="00A363BC"/>
    <w:rsid w:val="00A374DC"/>
    <w:rsid w:val="00A374FF"/>
    <w:rsid w:val="00A379BE"/>
    <w:rsid w:val="00A37FFB"/>
    <w:rsid w:val="00A4005D"/>
    <w:rsid w:val="00A40183"/>
    <w:rsid w:val="00A402CF"/>
    <w:rsid w:val="00A40AD5"/>
    <w:rsid w:val="00A4116A"/>
    <w:rsid w:val="00A417CF"/>
    <w:rsid w:val="00A425AB"/>
    <w:rsid w:val="00A42768"/>
    <w:rsid w:val="00A42958"/>
    <w:rsid w:val="00A42C54"/>
    <w:rsid w:val="00A43E58"/>
    <w:rsid w:val="00A43E78"/>
    <w:rsid w:val="00A44E3E"/>
    <w:rsid w:val="00A45CA3"/>
    <w:rsid w:val="00A4609C"/>
    <w:rsid w:val="00A502DF"/>
    <w:rsid w:val="00A5041B"/>
    <w:rsid w:val="00A51C97"/>
    <w:rsid w:val="00A530DC"/>
    <w:rsid w:val="00A53B83"/>
    <w:rsid w:val="00A53B88"/>
    <w:rsid w:val="00A53DBD"/>
    <w:rsid w:val="00A53E7D"/>
    <w:rsid w:val="00A54101"/>
    <w:rsid w:val="00A54359"/>
    <w:rsid w:val="00A54665"/>
    <w:rsid w:val="00A54F4B"/>
    <w:rsid w:val="00A56317"/>
    <w:rsid w:val="00A56755"/>
    <w:rsid w:val="00A56A64"/>
    <w:rsid w:val="00A56F94"/>
    <w:rsid w:val="00A57A30"/>
    <w:rsid w:val="00A60E4E"/>
    <w:rsid w:val="00A60EE1"/>
    <w:rsid w:val="00A613C4"/>
    <w:rsid w:val="00A61575"/>
    <w:rsid w:val="00A616C6"/>
    <w:rsid w:val="00A617A1"/>
    <w:rsid w:val="00A61D4B"/>
    <w:rsid w:val="00A6269A"/>
    <w:rsid w:val="00A62B42"/>
    <w:rsid w:val="00A62C35"/>
    <w:rsid w:val="00A62D7D"/>
    <w:rsid w:val="00A62FD3"/>
    <w:rsid w:val="00A63669"/>
    <w:rsid w:val="00A63792"/>
    <w:rsid w:val="00A640A7"/>
    <w:rsid w:val="00A6467E"/>
    <w:rsid w:val="00A6508C"/>
    <w:rsid w:val="00A655E8"/>
    <w:rsid w:val="00A6596F"/>
    <w:rsid w:val="00A6658E"/>
    <w:rsid w:val="00A66675"/>
    <w:rsid w:val="00A6673B"/>
    <w:rsid w:val="00A66CF4"/>
    <w:rsid w:val="00A66DAC"/>
    <w:rsid w:val="00A67B35"/>
    <w:rsid w:val="00A67EB5"/>
    <w:rsid w:val="00A67FCB"/>
    <w:rsid w:val="00A702AF"/>
    <w:rsid w:val="00A704EA"/>
    <w:rsid w:val="00A707AA"/>
    <w:rsid w:val="00A70AD5"/>
    <w:rsid w:val="00A70D02"/>
    <w:rsid w:val="00A70F22"/>
    <w:rsid w:val="00A70F9C"/>
    <w:rsid w:val="00A7132F"/>
    <w:rsid w:val="00A7188F"/>
    <w:rsid w:val="00A71BBC"/>
    <w:rsid w:val="00A71C8E"/>
    <w:rsid w:val="00A71F6A"/>
    <w:rsid w:val="00A72177"/>
    <w:rsid w:val="00A72587"/>
    <w:rsid w:val="00A733B6"/>
    <w:rsid w:val="00A74116"/>
    <w:rsid w:val="00A74710"/>
    <w:rsid w:val="00A762D6"/>
    <w:rsid w:val="00A764DF"/>
    <w:rsid w:val="00A76D67"/>
    <w:rsid w:val="00A77253"/>
    <w:rsid w:val="00A77283"/>
    <w:rsid w:val="00A7764E"/>
    <w:rsid w:val="00A7781C"/>
    <w:rsid w:val="00A77970"/>
    <w:rsid w:val="00A77C84"/>
    <w:rsid w:val="00A815B6"/>
    <w:rsid w:val="00A81F6F"/>
    <w:rsid w:val="00A82254"/>
    <w:rsid w:val="00A82437"/>
    <w:rsid w:val="00A8244F"/>
    <w:rsid w:val="00A82A82"/>
    <w:rsid w:val="00A8335D"/>
    <w:rsid w:val="00A83D0F"/>
    <w:rsid w:val="00A8433B"/>
    <w:rsid w:val="00A848DB"/>
    <w:rsid w:val="00A850AD"/>
    <w:rsid w:val="00A851F1"/>
    <w:rsid w:val="00A852B0"/>
    <w:rsid w:val="00A85C91"/>
    <w:rsid w:val="00A85C93"/>
    <w:rsid w:val="00A8613E"/>
    <w:rsid w:val="00A86DE0"/>
    <w:rsid w:val="00A878FC"/>
    <w:rsid w:val="00A87AE3"/>
    <w:rsid w:val="00A90692"/>
    <w:rsid w:val="00A91496"/>
    <w:rsid w:val="00A91546"/>
    <w:rsid w:val="00A91CDD"/>
    <w:rsid w:val="00A91CE4"/>
    <w:rsid w:val="00A91F17"/>
    <w:rsid w:val="00A91FC5"/>
    <w:rsid w:val="00A92AB4"/>
    <w:rsid w:val="00A932FA"/>
    <w:rsid w:val="00A9379F"/>
    <w:rsid w:val="00A93B63"/>
    <w:rsid w:val="00A9407B"/>
    <w:rsid w:val="00A94A43"/>
    <w:rsid w:val="00A94B0E"/>
    <w:rsid w:val="00A94BFF"/>
    <w:rsid w:val="00A9580A"/>
    <w:rsid w:val="00A95960"/>
    <w:rsid w:val="00A95D8E"/>
    <w:rsid w:val="00A97636"/>
    <w:rsid w:val="00AA0C48"/>
    <w:rsid w:val="00AA0E63"/>
    <w:rsid w:val="00AA1B90"/>
    <w:rsid w:val="00AA29DF"/>
    <w:rsid w:val="00AA3FD4"/>
    <w:rsid w:val="00AA40A7"/>
    <w:rsid w:val="00AA4A10"/>
    <w:rsid w:val="00AA5050"/>
    <w:rsid w:val="00AA558B"/>
    <w:rsid w:val="00AA5705"/>
    <w:rsid w:val="00AA5BC5"/>
    <w:rsid w:val="00AA633E"/>
    <w:rsid w:val="00AB07C8"/>
    <w:rsid w:val="00AB099D"/>
    <w:rsid w:val="00AB0C3F"/>
    <w:rsid w:val="00AB0FAC"/>
    <w:rsid w:val="00AB1D30"/>
    <w:rsid w:val="00AB28DA"/>
    <w:rsid w:val="00AB4037"/>
    <w:rsid w:val="00AB4A10"/>
    <w:rsid w:val="00AB4FCC"/>
    <w:rsid w:val="00AB5174"/>
    <w:rsid w:val="00AB53BB"/>
    <w:rsid w:val="00AB5422"/>
    <w:rsid w:val="00AB556A"/>
    <w:rsid w:val="00AB62F5"/>
    <w:rsid w:val="00AB6405"/>
    <w:rsid w:val="00AB66A7"/>
    <w:rsid w:val="00AB6B7E"/>
    <w:rsid w:val="00AB73EC"/>
    <w:rsid w:val="00AB7F9D"/>
    <w:rsid w:val="00AC0ED9"/>
    <w:rsid w:val="00AC1AFC"/>
    <w:rsid w:val="00AC1BC2"/>
    <w:rsid w:val="00AC25AE"/>
    <w:rsid w:val="00AC26A9"/>
    <w:rsid w:val="00AC2D45"/>
    <w:rsid w:val="00AC3E65"/>
    <w:rsid w:val="00AC454A"/>
    <w:rsid w:val="00AC4870"/>
    <w:rsid w:val="00AC516D"/>
    <w:rsid w:val="00AC5481"/>
    <w:rsid w:val="00AC5876"/>
    <w:rsid w:val="00AC58B8"/>
    <w:rsid w:val="00AC6279"/>
    <w:rsid w:val="00AC6590"/>
    <w:rsid w:val="00AC68D1"/>
    <w:rsid w:val="00AC69B3"/>
    <w:rsid w:val="00AC75FA"/>
    <w:rsid w:val="00AD0464"/>
    <w:rsid w:val="00AD08A2"/>
    <w:rsid w:val="00AD09A8"/>
    <w:rsid w:val="00AD10CC"/>
    <w:rsid w:val="00AD2A0A"/>
    <w:rsid w:val="00AD2F2A"/>
    <w:rsid w:val="00AD2F89"/>
    <w:rsid w:val="00AD388C"/>
    <w:rsid w:val="00AD3D81"/>
    <w:rsid w:val="00AD40C0"/>
    <w:rsid w:val="00AD46EB"/>
    <w:rsid w:val="00AD47A5"/>
    <w:rsid w:val="00AD4E53"/>
    <w:rsid w:val="00AD5605"/>
    <w:rsid w:val="00AD5B60"/>
    <w:rsid w:val="00AD5F37"/>
    <w:rsid w:val="00AE30CC"/>
    <w:rsid w:val="00AE355D"/>
    <w:rsid w:val="00AE3EF3"/>
    <w:rsid w:val="00AE4878"/>
    <w:rsid w:val="00AE4CE5"/>
    <w:rsid w:val="00AE4D94"/>
    <w:rsid w:val="00AE511A"/>
    <w:rsid w:val="00AE54A8"/>
    <w:rsid w:val="00AE6FE1"/>
    <w:rsid w:val="00AE72AF"/>
    <w:rsid w:val="00AF0131"/>
    <w:rsid w:val="00AF04AA"/>
    <w:rsid w:val="00AF0B7B"/>
    <w:rsid w:val="00AF0BE8"/>
    <w:rsid w:val="00AF0E81"/>
    <w:rsid w:val="00AF197F"/>
    <w:rsid w:val="00AF1AE8"/>
    <w:rsid w:val="00AF2705"/>
    <w:rsid w:val="00AF299A"/>
    <w:rsid w:val="00AF4603"/>
    <w:rsid w:val="00AF4D71"/>
    <w:rsid w:val="00AF5D0F"/>
    <w:rsid w:val="00AF6038"/>
    <w:rsid w:val="00AF612D"/>
    <w:rsid w:val="00AF623E"/>
    <w:rsid w:val="00AF6EF7"/>
    <w:rsid w:val="00AF720D"/>
    <w:rsid w:val="00AF76FD"/>
    <w:rsid w:val="00AF7889"/>
    <w:rsid w:val="00AF7D8B"/>
    <w:rsid w:val="00B005B8"/>
    <w:rsid w:val="00B00B7E"/>
    <w:rsid w:val="00B011B0"/>
    <w:rsid w:val="00B03205"/>
    <w:rsid w:val="00B0348B"/>
    <w:rsid w:val="00B03E78"/>
    <w:rsid w:val="00B03FA7"/>
    <w:rsid w:val="00B0450C"/>
    <w:rsid w:val="00B0471E"/>
    <w:rsid w:val="00B047B6"/>
    <w:rsid w:val="00B04C05"/>
    <w:rsid w:val="00B05411"/>
    <w:rsid w:val="00B0633C"/>
    <w:rsid w:val="00B06356"/>
    <w:rsid w:val="00B06881"/>
    <w:rsid w:val="00B07A75"/>
    <w:rsid w:val="00B10188"/>
    <w:rsid w:val="00B117BC"/>
    <w:rsid w:val="00B1198B"/>
    <w:rsid w:val="00B11B04"/>
    <w:rsid w:val="00B12147"/>
    <w:rsid w:val="00B1241E"/>
    <w:rsid w:val="00B125BB"/>
    <w:rsid w:val="00B12831"/>
    <w:rsid w:val="00B12905"/>
    <w:rsid w:val="00B12A6C"/>
    <w:rsid w:val="00B12D38"/>
    <w:rsid w:val="00B12E9B"/>
    <w:rsid w:val="00B13205"/>
    <w:rsid w:val="00B13FE4"/>
    <w:rsid w:val="00B147FD"/>
    <w:rsid w:val="00B14905"/>
    <w:rsid w:val="00B15218"/>
    <w:rsid w:val="00B15C18"/>
    <w:rsid w:val="00B16284"/>
    <w:rsid w:val="00B17421"/>
    <w:rsid w:val="00B203D3"/>
    <w:rsid w:val="00B20825"/>
    <w:rsid w:val="00B20C48"/>
    <w:rsid w:val="00B2148E"/>
    <w:rsid w:val="00B2177A"/>
    <w:rsid w:val="00B22A5E"/>
    <w:rsid w:val="00B22EF6"/>
    <w:rsid w:val="00B23F04"/>
    <w:rsid w:val="00B24505"/>
    <w:rsid w:val="00B2459F"/>
    <w:rsid w:val="00B24660"/>
    <w:rsid w:val="00B24679"/>
    <w:rsid w:val="00B24E3B"/>
    <w:rsid w:val="00B24E86"/>
    <w:rsid w:val="00B25336"/>
    <w:rsid w:val="00B26007"/>
    <w:rsid w:val="00B26476"/>
    <w:rsid w:val="00B2753B"/>
    <w:rsid w:val="00B27634"/>
    <w:rsid w:val="00B313BA"/>
    <w:rsid w:val="00B31689"/>
    <w:rsid w:val="00B31710"/>
    <w:rsid w:val="00B323BA"/>
    <w:rsid w:val="00B32CEF"/>
    <w:rsid w:val="00B3309E"/>
    <w:rsid w:val="00B335F6"/>
    <w:rsid w:val="00B337DA"/>
    <w:rsid w:val="00B34122"/>
    <w:rsid w:val="00B344E4"/>
    <w:rsid w:val="00B345B9"/>
    <w:rsid w:val="00B3493A"/>
    <w:rsid w:val="00B34B37"/>
    <w:rsid w:val="00B34E15"/>
    <w:rsid w:val="00B34EED"/>
    <w:rsid w:val="00B35C43"/>
    <w:rsid w:val="00B35CF6"/>
    <w:rsid w:val="00B36C3A"/>
    <w:rsid w:val="00B36C5A"/>
    <w:rsid w:val="00B36ECF"/>
    <w:rsid w:val="00B37427"/>
    <w:rsid w:val="00B3773C"/>
    <w:rsid w:val="00B37B6C"/>
    <w:rsid w:val="00B400F1"/>
    <w:rsid w:val="00B408B3"/>
    <w:rsid w:val="00B41058"/>
    <w:rsid w:val="00B415FC"/>
    <w:rsid w:val="00B42B63"/>
    <w:rsid w:val="00B43308"/>
    <w:rsid w:val="00B438AD"/>
    <w:rsid w:val="00B43958"/>
    <w:rsid w:val="00B43E9E"/>
    <w:rsid w:val="00B44454"/>
    <w:rsid w:val="00B45541"/>
    <w:rsid w:val="00B45AE2"/>
    <w:rsid w:val="00B4644B"/>
    <w:rsid w:val="00B4786D"/>
    <w:rsid w:val="00B501DF"/>
    <w:rsid w:val="00B5035F"/>
    <w:rsid w:val="00B504B8"/>
    <w:rsid w:val="00B508C8"/>
    <w:rsid w:val="00B5143B"/>
    <w:rsid w:val="00B523B2"/>
    <w:rsid w:val="00B52C7C"/>
    <w:rsid w:val="00B53058"/>
    <w:rsid w:val="00B535C3"/>
    <w:rsid w:val="00B54236"/>
    <w:rsid w:val="00B54EAE"/>
    <w:rsid w:val="00B554DC"/>
    <w:rsid w:val="00B563B2"/>
    <w:rsid w:val="00B56AD5"/>
    <w:rsid w:val="00B56BC5"/>
    <w:rsid w:val="00B56BD4"/>
    <w:rsid w:val="00B56DF2"/>
    <w:rsid w:val="00B56E0A"/>
    <w:rsid w:val="00B5791C"/>
    <w:rsid w:val="00B5794D"/>
    <w:rsid w:val="00B57EB5"/>
    <w:rsid w:val="00B6015C"/>
    <w:rsid w:val="00B6077C"/>
    <w:rsid w:val="00B61511"/>
    <w:rsid w:val="00B615AA"/>
    <w:rsid w:val="00B61E09"/>
    <w:rsid w:val="00B61EC3"/>
    <w:rsid w:val="00B6226A"/>
    <w:rsid w:val="00B6328A"/>
    <w:rsid w:val="00B64398"/>
    <w:rsid w:val="00B6502E"/>
    <w:rsid w:val="00B65094"/>
    <w:rsid w:val="00B6591A"/>
    <w:rsid w:val="00B66821"/>
    <w:rsid w:val="00B66C7F"/>
    <w:rsid w:val="00B67476"/>
    <w:rsid w:val="00B6765E"/>
    <w:rsid w:val="00B67A5E"/>
    <w:rsid w:val="00B7032D"/>
    <w:rsid w:val="00B7090B"/>
    <w:rsid w:val="00B70E4F"/>
    <w:rsid w:val="00B70F74"/>
    <w:rsid w:val="00B711B9"/>
    <w:rsid w:val="00B7126D"/>
    <w:rsid w:val="00B71CE0"/>
    <w:rsid w:val="00B71E61"/>
    <w:rsid w:val="00B721F5"/>
    <w:rsid w:val="00B7233B"/>
    <w:rsid w:val="00B72A2C"/>
    <w:rsid w:val="00B73108"/>
    <w:rsid w:val="00B73803"/>
    <w:rsid w:val="00B73C23"/>
    <w:rsid w:val="00B74A39"/>
    <w:rsid w:val="00B7725F"/>
    <w:rsid w:val="00B81556"/>
    <w:rsid w:val="00B82806"/>
    <w:rsid w:val="00B829B3"/>
    <w:rsid w:val="00B82F0A"/>
    <w:rsid w:val="00B83081"/>
    <w:rsid w:val="00B84A0E"/>
    <w:rsid w:val="00B85177"/>
    <w:rsid w:val="00B86BEE"/>
    <w:rsid w:val="00B87881"/>
    <w:rsid w:val="00B901BE"/>
    <w:rsid w:val="00B901F9"/>
    <w:rsid w:val="00B9056A"/>
    <w:rsid w:val="00B91548"/>
    <w:rsid w:val="00B916FD"/>
    <w:rsid w:val="00B91A56"/>
    <w:rsid w:val="00B91E5B"/>
    <w:rsid w:val="00B929BE"/>
    <w:rsid w:val="00B931C6"/>
    <w:rsid w:val="00B93A41"/>
    <w:rsid w:val="00B94A90"/>
    <w:rsid w:val="00B94C05"/>
    <w:rsid w:val="00B94D7D"/>
    <w:rsid w:val="00B9537C"/>
    <w:rsid w:val="00B957FD"/>
    <w:rsid w:val="00B96845"/>
    <w:rsid w:val="00B96B98"/>
    <w:rsid w:val="00B97058"/>
    <w:rsid w:val="00B974A2"/>
    <w:rsid w:val="00B97C15"/>
    <w:rsid w:val="00B97C79"/>
    <w:rsid w:val="00BA002B"/>
    <w:rsid w:val="00BA06E5"/>
    <w:rsid w:val="00BA094A"/>
    <w:rsid w:val="00BA0ADB"/>
    <w:rsid w:val="00BA1CD6"/>
    <w:rsid w:val="00BA2479"/>
    <w:rsid w:val="00BA2EB1"/>
    <w:rsid w:val="00BA3294"/>
    <w:rsid w:val="00BA3E1C"/>
    <w:rsid w:val="00BA46DA"/>
    <w:rsid w:val="00BA658B"/>
    <w:rsid w:val="00BA6EED"/>
    <w:rsid w:val="00BA7250"/>
    <w:rsid w:val="00BA7AE6"/>
    <w:rsid w:val="00BB0CA4"/>
    <w:rsid w:val="00BB2BC8"/>
    <w:rsid w:val="00BB2C42"/>
    <w:rsid w:val="00BB2F12"/>
    <w:rsid w:val="00BB4364"/>
    <w:rsid w:val="00BB5C78"/>
    <w:rsid w:val="00BB5F81"/>
    <w:rsid w:val="00BB6A23"/>
    <w:rsid w:val="00BB6AC9"/>
    <w:rsid w:val="00BB70D7"/>
    <w:rsid w:val="00BB71EF"/>
    <w:rsid w:val="00BB7573"/>
    <w:rsid w:val="00BB79D0"/>
    <w:rsid w:val="00BB7B13"/>
    <w:rsid w:val="00BB7FF1"/>
    <w:rsid w:val="00BC036E"/>
    <w:rsid w:val="00BC0B9F"/>
    <w:rsid w:val="00BC0DA7"/>
    <w:rsid w:val="00BC143A"/>
    <w:rsid w:val="00BC1E9C"/>
    <w:rsid w:val="00BC1F6A"/>
    <w:rsid w:val="00BC2041"/>
    <w:rsid w:val="00BC2AD7"/>
    <w:rsid w:val="00BC4520"/>
    <w:rsid w:val="00BC47A1"/>
    <w:rsid w:val="00BC5300"/>
    <w:rsid w:val="00BC5851"/>
    <w:rsid w:val="00BC622E"/>
    <w:rsid w:val="00BC6F57"/>
    <w:rsid w:val="00BC76BD"/>
    <w:rsid w:val="00BC7E8A"/>
    <w:rsid w:val="00BD0223"/>
    <w:rsid w:val="00BD08DB"/>
    <w:rsid w:val="00BD0B8E"/>
    <w:rsid w:val="00BD0E7F"/>
    <w:rsid w:val="00BD13BE"/>
    <w:rsid w:val="00BD22CF"/>
    <w:rsid w:val="00BD2C16"/>
    <w:rsid w:val="00BD3597"/>
    <w:rsid w:val="00BD3A46"/>
    <w:rsid w:val="00BD416A"/>
    <w:rsid w:val="00BD41D2"/>
    <w:rsid w:val="00BD458A"/>
    <w:rsid w:val="00BD470E"/>
    <w:rsid w:val="00BD5956"/>
    <w:rsid w:val="00BD6232"/>
    <w:rsid w:val="00BD6949"/>
    <w:rsid w:val="00BD781E"/>
    <w:rsid w:val="00BE0005"/>
    <w:rsid w:val="00BE047D"/>
    <w:rsid w:val="00BE048C"/>
    <w:rsid w:val="00BE0F42"/>
    <w:rsid w:val="00BE1786"/>
    <w:rsid w:val="00BE214A"/>
    <w:rsid w:val="00BE2518"/>
    <w:rsid w:val="00BE2627"/>
    <w:rsid w:val="00BE2742"/>
    <w:rsid w:val="00BE29F3"/>
    <w:rsid w:val="00BE3C29"/>
    <w:rsid w:val="00BE6270"/>
    <w:rsid w:val="00BE6A47"/>
    <w:rsid w:val="00BE76D1"/>
    <w:rsid w:val="00BE798A"/>
    <w:rsid w:val="00BE7C77"/>
    <w:rsid w:val="00BF0E73"/>
    <w:rsid w:val="00BF1EAE"/>
    <w:rsid w:val="00BF208F"/>
    <w:rsid w:val="00BF25FE"/>
    <w:rsid w:val="00BF32BD"/>
    <w:rsid w:val="00BF3599"/>
    <w:rsid w:val="00BF38A9"/>
    <w:rsid w:val="00BF4231"/>
    <w:rsid w:val="00BF44AF"/>
    <w:rsid w:val="00BF4A75"/>
    <w:rsid w:val="00BF5681"/>
    <w:rsid w:val="00BF5A4F"/>
    <w:rsid w:val="00BF5AC3"/>
    <w:rsid w:val="00BF64CC"/>
    <w:rsid w:val="00BF682D"/>
    <w:rsid w:val="00BF7184"/>
    <w:rsid w:val="00BF76AA"/>
    <w:rsid w:val="00BF7EF5"/>
    <w:rsid w:val="00C008C2"/>
    <w:rsid w:val="00C02111"/>
    <w:rsid w:val="00C0233E"/>
    <w:rsid w:val="00C02989"/>
    <w:rsid w:val="00C02AE2"/>
    <w:rsid w:val="00C02CED"/>
    <w:rsid w:val="00C03756"/>
    <w:rsid w:val="00C04186"/>
    <w:rsid w:val="00C04485"/>
    <w:rsid w:val="00C04AAA"/>
    <w:rsid w:val="00C04EAD"/>
    <w:rsid w:val="00C04FE6"/>
    <w:rsid w:val="00C05BCF"/>
    <w:rsid w:val="00C069AF"/>
    <w:rsid w:val="00C07054"/>
    <w:rsid w:val="00C070EA"/>
    <w:rsid w:val="00C071E9"/>
    <w:rsid w:val="00C077AB"/>
    <w:rsid w:val="00C07AF0"/>
    <w:rsid w:val="00C10CCD"/>
    <w:rsid w:val="00C11FCE"/>
    <w:rsid w:val="00C124E8"/>
    <w:rsid w:val="00C12642"/>
    <w:rsid w:val="00C13605"/>
    <w:rsid w:val="00C14134"/>
    <w:rsid w:val="00C14317"/>
    <w:rsid w:val="00C14A9B"/>
    <w:rsid w:val="00C14FFF"/>
    <w:rsid w:val="00C15221"/>
    <w:rsid w:val="00C15B5F"/>
    <w:rsid w:val="00C15D41"/>
    <w:rsid w:val="00C16685"/>
    <w:rsid w:val="00C16FAB"/>
    <w:rsid w:val="00C170A3"/>
    <w:rsid w:val="00C17356"/>
    <w:rsid w:val="00C212A9"/>
    <w:rsid w:val="00C213EC"/>
    <w:rsid w:val="00C219A4"/>
    <w:rsid w:val="00C219E9"/>
    <w:rsid w:val="00C21AC3"/>
    <w:rsid w:val="00C2247E"/>
    <w:rsid w:val="00C23101"/>
    <w:rsid w:val="00C23BCA"/>
    <w:rsid w:val="00C240A5"/>
    <w:rsid w:val="00C25628"/>
    <w:rsid w:val="00C25B2D"/>
    <w:rsid w:val="00C26204"/>
    <w:rsid w:val="00C26618"/>
    <w:rsid w:val="00C3127C"/>
    <w:rsid w:val="00C31ECA"/>
    <w:rsid w:val="00C3212C"/>
    <w:rsid w:val="00C32DBD"/>
    <w:rsid w:val="00C331EF"/>
    <w:rsid w:val="00C3325D"/>
    <w:rsid w:val="00C332DC"/>
    <w:rsid w:val="00C33603"/>
    <w:rsid w:val="00C33BDC"/>
    <w:rsid w:val="00C33C7B"/>
    <w:rsid w:val="00C34E92"/>
    <w:rsid w:val="00C35208"/>
    <w:rsid w:val="00C35A03"/>
    <w:rsid w:val="00C36630"/>
    <w:rsid w:val="00C36C26"/>
    <w:rsid w:val="00C370C5"/>
    <w:rsid w:val="00C406D8"/>
    <w:rsid w:val="00C40701"/>
    <w:rsid w:val="00C41101"/>
    <w:rsid w:val="00C414CB"/>
    <w:rsid w:val="00C41858"/>
    <w:rsid w:val="00C4196F"/>
    <w:rsid w:val="00C42E2A"/>
    <w:rsid w:val="00C439B2"/>
    <w:rsid w:val="00C4461F"/>
    <w:rsid w:val="00C45626"/>
    <w:rsid w:val="00C459B7"/>
    <w:rsid w:val="00C45C4F"/>
    <w:rsid w:val="00C45E2A"/>
    <w:rsid w:val="00C45F0E"/>
    <w:rsid w:val="00C479DC"/>
    <w:rsid w:val="00C5042F"/>
    <w:rsid w:val="00C51D7B"/>
    <w:rsid w:val="00C528C0"/>
    <w:rsid w:val="00C52BCD"/>
    <w:rsid w:val="00C53A8A"/>
    <w:rsid w:val="00C53D87"/>
    <w:rsid w:val="00C540C1"/>
    <w:rsid w:val="00C540DF"/>
    <w:rsid w:val="00C5463F"/>
    <w:rsid w:val="00C54962"/>
    <w:rsid w:val="00C549D6"/>
    <w:rsid w:val="00C54B04"/>
    <w:rsid w:val="00C55338"/>
    <w:rsid w:val="00C554C5"/>
    <w:rsid w:val="00C5582B"/>
    <w:rsid w:val="00C55910"/>
    <w:rsid w:val="00C56146"/>
    <w:rsid w:val="00C56768"/>
    <w:rsid w:val="00C56AFA"/>
    <w:rsid w:val="00C5779B"/>
    <w:rsid w:val="00C60190"/>
    <w:rsid w:val="00C610D5"/>
    <w:rsid w:val="00C61133"/>
    <w:rsid w:val="00C6200E"/>
    <w:rsid w:val="00C626EA"/>
    <w:rsid w:val="00C627D9"/>
    <w:rsid w:val="00C6303D"/>
    <w:rsid w:val="00C63EF1"/>
    <w:rsid w:val="00C64CFF"/>
    <w:rsid w:val="00C65152"/>
    <w:rsid w:val="00C656FC"/>
    <w:rsid w:val="00C6663E"/>
    <w:rsid w:val="00C672A4"/>
    <w:rsid w:val="00C67554"/>
    <w:rsid w:val="00C67DE2"/>
    <w:rsid w:val="00C70688"/>
    <w:rsid w:val="00C70A54"/>
    <w:rsid w:val="00C715EF"/>
    <w:rsid w:val="00C71A73"/>
    <w:rsid w:val="00C73450"/>
    <w:rsid w:val="00C74A8C"/>
    <w:rsid w:val="00C755B3"/>
    <w:rsid w:val="00C772D6"/>
    <w:rsid w:val="00C774C4"/>
    <w:rsid w:val="00C8050A"/>
    <w:rsid w:val="00C8090B"/>
    <w:rsid w:val="00C82027"/>
    <w:rsid w:val="00C8271A"/>
    <w:rsid w:val="00C8342B"/>
    <w:rsid w:val="00C8445E"/>
    <w:rsid w:val="00C85024"/>
    <w:rsid w:val="00C852DD"/>
    <w:rsid w:val="00C859E7"/>
    <w:rsid w:val="00C86028"/>
    <w:rsid w:val="00C8657E"/>
    <w:rsid w:val="00C8658B"/>
    <w:rsid w:val="00C86F4F"/>
    <w:rsid w:val="00C87440"/>
    <w:rsid w:val="00C8768E"/>
    <w:rsid w:val="00C87806"/>
    <w:rsid w:val="00C90BDA"/>
    <w:rsid w:val="00C91037"/>
    <w:rsid w:val="00C914C6"/>
    <w:rsid w:val="00C91CCD"/>
    <w:rsid w:val="00C9261A"/>
    <w:rsid w:val="00C93BED"/>
    <w:rsid w:val="00C943A9"/>
    <w:rsid w:val="00C94614"/>
    <w:rsid w:val="00C95066"/>
    <w:rsid w:val="00C9773E"/>
    <w:rsid w:val="00C97E5C"/>
    <w:rsid w:val="00CA0708"/>
    <w:rsid w:val="00CA11E1"/>
    <w:rsid w:val="00CA1524"/>
    <w:rsid w:val="00CA1FBE"/>
    <w:rsid w:val="00CA2564"/>
    <w:rsid w:val="00CA2AC8"/>
    <w:rsid w:val="00CA3191"/>
    <w:rsid w:val="00CA3920"/>
    <w:rsid w:val="00CA482A"/>
    <w:rsid w:val="00CA4B21"/>
    <w:rsid w:val="00CA4C63"/>
    <w:rsid w:val="00CA4D8A"/>
    <w:rsid w:val="00CA54C9"/>
    <w:rsid w:val="00CA5867"/>
    <w:rsid w:val="00CA63A4"/>
    <w:rsid w:val="00CA6CCB"/>
    <w:rsid w:val="00CA7B64"/>
    <w:rsid w:val="00CA7D1E"/>
    <w:rsid w:val="00CA7D7A"/>
    <w:rsid w:val="00CA7FEF"/>
    <w:rsid w:val="00CB04BA"/>
    <w:rsid w:val="00CB0792"/>
    <w:rsid w:val="00CB0BD2"/>
    <w:rsid w:val="00CB0D29"/>
    <w:rsid w:val="00CB1850"/>
    <w:rsid w:val="00CB21B3"/>
    <w:rsid w:val="00CB323F"/>
    <w:rsid w:val="00CB32C0"/>
    <w:rsid w:val="00CB34FB"/>
    <w:rsid w:val="00CB39DF"/>
    <w:rsid w:val="00CB3ABD"/>
    <w:rsid w:val="00CB531F"/>
    <w:rsid w:val="00CB68E6"/>
    <w:rsid w:val="00CB6A05"/>
    <w:rsid w:val="00CB6EAE"/>
    <w:rsid w:val="00CB7AEF"/>
    <w:rsid w:val="00CC00C0"/>
    <w:rsid w:val="00CC0457"/>
    <w:rsid w:val="00CC0993"/>
    <w:rsid w:val="00CC0DE6"/>
    <w:rsid w:val="00CC0FBC"/>
    <w:rsid w:val="00CC14DF"/>
    <w:rsid w:val="00CC23DA"/>
    <w:rsid w:val="00CC2576"/>
    <w:rsid w:val="00CC2B90"/>
    <w:rsid w:val="00CC3ECC"/>
    <w:rsid w:val="00CC4346"/>
    <w:rsid w:val="00CC4774"/>
    <w:rsid w:val="00CC47B0"/>
    <w:rsid w:val="00CC482C"/>
    <w:rsid w:val="00CC5066"/>
    <w:rsid w:val="00CC56CB"/>
    <w:rsid w:val="00CC6649"/>
    <w:rsid w:val="00CC6892"/>
    <w:rsid w:val="00CC72C1"/>
    <w:rsid w:val="00CC7C32"/>
    <w:rsid w:val="00CC7D78"/>
    <w:rsid w:val="00CC7D83"/>
    <w:rsid w:val="00CD06BE"/>
    <w:rsid w:val="00CD0890"/>
    <w:rsid w:val="00CD10D1"/>
    <w:rsid w:val="00CD133F"/>
    <w:rsid w:val="00CD14A4"/>
    <w:rsid w:val="00CD1952"/>
    <w:rsid w:val="00CD1EBA"/>
    <w:rsid w:val="00CD254D"/>
    <w:rsid w:val="00CD29F2"/>
    <w:rsid w:val="00CD2EBB"/>
    <w:rsid w:val="00CD3B16"/>
    <w:rsid w:val="00CD3BE0"/>
    <w:rsid w:val="00CD3E45"/>
    <w:rsid w:val="00CD44BB"/>
    <w:rsid w:val="00CD5167"/>
    <w:rsid w:val="00CD55C1"/>
    <w:rsid w:val="00CD595E"/>
    <w:rsid w:val="00CD61E5"/>
    <w:rsid w:val="00CD6F81"/>
    <w:rsid w:val="00CD72D3"/>
    <w:rsid w:val="00CD78B5"/>
    <w:rsid w:val="00CD7C39"/>
    <w:rsid w:val="00CE044D"/>
    <w:rsid w:val="00CE065C"/>
    <w:rsid w:val="00CE07B0"/>
    <w:rsid w:val="00CE0EFC"/>
    <w:rsid w:val="00CE10C7"/>
    <w:rsid w:val="00CE1ABB"/>
    <w:rsid w:val="00CE21B7"/>
    <w:rsid w:val="00CE229E"/>
    <w:rsid w:val="00CE2C5E"/>
    <w:rsid w:val="00CE3549"/>
    <w:rsid w:val="00CE4B44"/>
    <w:rsid w:val="00CE5E79"/>
    <w:rsid w:val="00CE6D1A"/>
    <w:rsid w:val="00CE7152"/>
    <w:rsid w:val="00CE7764"/>
    <w:rsid w:val="00CE79FD"/>
    <w:rsid w:val="00CF0137"/>
    <w:rsid w:val="00CF0480"/>
    <w:rsid w:val="00CF0A78"/>
    <w:rsid w:val="00CF0CD7"/>
    <w:rsid w:val="00CF1853"/>
    <w:rsid w:val="00CF2E3A"/>
    <w:rsid w:val="00CF3A2E"/>
    <w:rsid w:val="00CF69C0"/>
    <w:rsid w:val="00CF718B"/>
    <w:rsid w:val="00CF7E9F"/>
    <w:rsid w:val="00D00283"/>
    <w:rsid w:val="00D002B5"/>
    <w:rsid w:val="00D00621"/>
    <w:rsid w:val="00D006CF"/>
    <w:rsid w:val="00D00789"/>
    <w:rsid w:val="00D009EA"/>
    <w:rsid w:val="00D01226"/>
    <w:rsid w:val="00D0125C"/>
    <w:rsid w:val="00D01FB8"/>
    <w:rsid w:val="00D02E39"/>
    <w:rsid w:val="00D03F8D"/>
    <w:rsid w:val="00D04742"/>
    <w:rsid w:val="00D04A95"/>
    <w:rsid w:val="00D04AF3"/>
    <w:rsid w:val="00D04F9F"/>
    <w:rsid w:val="00D05131"/>
    <w:rsid w:val="00D05492"/>
    <w:rsid w:val="00D05785"/>
    <w:rsid w:val="00D05A7E"/>
    <w:rsid w:val="00D06BA1"/>
    <w:rsid w:val="00D10329"/>
    <w:rsid w:val="00D1068B"/>
    <w:rsid w:val="00D10DA9"/>
    <w:rsid w:val="00D11430"/>
    <w:rsid w:val="00D11F18"/>
    <w:rsid w:val="00D11F83"/>
    <w:rsid w:val="00D123D6"/>
    <w:rsid w:val="00D1280A"/>
    <w:rsid w:val="00D12901"/>
    <w:rsid w:val="00D12A21"/>
    <w:rsid w:val="00D12C5E"/>
    <w:rsid w:val="00D15D2C"/>
    <w:rsid w:val="00D16982"/>
    <w:rsid w:val="00D174CE"/>
    <w:rsid w:val="00D1787B"/>
    <w:rsid w:val="00D17A6E"/>
    <w:rsid w:val="00D17BA4"/>
    <w:rsid w:val="00D20170"/>
    <w:rsid w:val="00D205B3"/>
    <w:rsid w:val="00D20D85"/>
    <w:rsid w:val="00D20FFB"/>
    <w:rsid w:val="00D216DD"/>
    <w:rsid w:val="00D21CD8"/>
    <w:rsid w:val="00D24813"/>
    <w:rsid w:val="00D24A95"/>
    <w:rsid w:val="00D24D3B"/>
    <w:rsid w:val="00D25239"/>
    <w:rsid w:val="00D25EFE"/>
    <w:rsid w:val="00D262E4"/>
    <w:rsid w:val="00D262F9"/>
    <w:rsid w:val="00D2678C"/>
    <w:rsid w:val="00D275D9"/>
    <w:rsid w:val="00D27DF1"/>
    <w:rsid w:val="00D27F8B"/>
    <w:rsid w:val="00D30B30"/>
    <w:rsid w:val="00D3189B"/>
    <w:rsid w:val="00D320AC"/>
    <w:rsid w:val="00D33DE5"/>
    <w:rsid w:val="00D342FC"/>
    <w:rsid w:val="00D34D7C"/>
    <w:rsid w:val="00D35823"/>
    <w:rsid w:val="00D362CB"/>
    <w:rsid w:val="00D36506"/>
    <w:rsid w:val="00D36722"/>
    <w:rsid w:val="00D37212"/>
    <w:rsid w:val="00D37610"/>
    <w:rsid w:val="00D377E6"/>
    <w:rsid w:val="00D3795C"/>
    <w:rsid w:val="00D408B4"/>
    <w:rsid w:val="00D40AE2"/>
    <w:rsid w:val="00D40C58"/>
    <w:rsid w:val="00D4104D"/>
    <w:rsid w:val="00D41517"/>
    <w:rsid w:val="00D4196C"/>
    <w:rsid w:val="00D41F4A"/>
    <w:rsid w:val="00D421F9"/>
    <w:rsid w:val="00D428C5"/>
    <w:rsid w:val="00D4291C"/>
    <w:rsid w:val="00D42F8C"/>
    <w:rsid w:val="00D43126"/>
    <w:rsid w:val="00D43185"/>
    <w:rsid w:val="00D4324F"/>
    <w:rsid w:val="00D43829"/>
    <w:rsid w:val="00D43959"/>
    <w:rsid w:val="00D43DC8"/>
    <w:rsid w:val="00D43E87"/>
    <w:rsid w:val="00D44863"/>
    <w:rsid w:val="00D44F52"/>
    <w:rsid w:val="00D451FB"/>
    <w:rsid w:val="00D459BF"/>
    <w:rsid w:val="00D46170"/>
    <w:rsid w:val="00D46171"/>
    <w:rsid w:val="00D46731"/>
    <w:rsid w:val="00D46B11"/>
    <w:rsid w:val="00D46B38"/>
    <w:rsid w:val="00D46C75"/>
    <w:rsid w:val="00D46E1C"/>
    <w:rsid w:val="00D479E6"/>
    <w:rsid w:val="00D47BB1"/>
    <w:rsid w:val="00D50490"/>
    <w:rsid w:val="00D507AE"/>
    <w:rsid w:val="00D5154E"/>
    <w:rsid w:val="00D51C2B"/>
    <w:rsid w:val="00D5224B"/>
    <w:rsid w:val="00D53A88"/>
    <w:rsid w:val="00D53C5F"/>
    <w:rsid w:val="00D53E93"/>
    <w:rsid w:val="00D5409D"/>
    <w:rsid w:val="00D5494A"/>
    <w:rsid w:val="00D549D1"/>
    <w:rsid w:val="00D54A4F"/>
    <w:rsid w:val="00D55CFF"/>
    <w:rsid w:val="00D56B0F"/>
    <w:rsid w:val="00D57B32"/>
    <w:rsid w:val="00D57D9B"/>
    <w:rsid w:val="00D60110"/>
    <w:rsid w:val="00D60187"/>
    <w:rsid w:val="00D60507"/>
    <w:rsid w:val="00D60660"/>
    <w:rsid w:val="00D609F8"/>
    <w:rsid w:val="00D6152A"/>
    <w:rsid w:val="00D616D1"/>
    <w:rsid w:val="00D62C16"/>
    <w:rsid w:val="00D62EE0"/>
    <w:rsid w:val="00D62FDD"/>
    <w:rsid w:val="00D632FD"/>
    <w:rsid w:val="00D63B5B"/>
    <w:rsid w:val="00D6420F"/>
    <w:rsid w:val="00D645E1"/>
    <w:rsid w:val="00D64BB4"/>
    <w:rsid w:val="00D64CA0"/>
    <w:rsid w:val="00D65998"/>
    <w:rsid w:val="00D65D62"/>
    <w:rsid w:val="00D66AD0"/>
    <w:rsid w:val="00D6775F"/>
    <w:rsid w:val="00D70B16"/>
    <w:rsid w:val="00D70D36"/>
    <w:rsid w:val="00D70EAB"/>
    <w:rsid w:val="00D70F03"/>
    <w:rsid w:val="00D710DF"/>
    <w:rsid w:val="00D7176D"/>
    <w:rsid w:val="00D71C5E"/>
    <w:rsid w:val="00D72446"/>
    <w:rsid w:val="00D72E68"/>
    <w:rsid w:val="00D73548"/>
    <w:rsid w:val="00D7375B"/>
    <w:rsid w:val="00D73BB4"/>
    <w:rsid w:val="00D73D78"/>
    <w:rsid w:val="00D73EAD"/>
    <w:rsid w:val="00D74072"/>
    <w:rsid w:val="00D7435C"/>
    <w:rsid w:val="00D74665"/>
    <w:rsid w:val="00D7488A"/>
    <w:rsid w:val="00D75C23"/>
    <w:rsid w:val="00D75D13"/>
    <w:rsid w:val="00D75DB5"/>
    <w:rsid w:val="00D764DE"/>
    <w:rsid w:val="00D76EAE"/>
    <w:rsid w:val="00D77CAE"/>
    <w:rsid w:val="00D77D53"/>
    <w:rsid w:val="00D807ED"/>
    <w:rsid w:val="00D80899"/>
    <w:rsid w:val="00D80DFB"/>
    <w:rsid w:val="00D80F10"/>
    <w:rsid w:val="00D81ABB"/>
    <w:rsid w:val="00D81BCE"/>
    <w:rsid w:val="00D81DF3"/>
    <w:rsid w:val="00D82087"/>
    <w:rsid w:val="00D8239D"/>
    <w:rsid w:val="00D82411"/>
    <w:rsid w:val="00D82666"/>
    <w:rsid w:val="00D82C41"/>
    <w:rsid w:val="00D83238"/>
    <w:rsid w:val="00D83359"/>
    <w:rsid w:val="00D8344F"/>
    <w:rsid w:val="00D83510"/>
    <w:rsid w:val="00D8360D"/>
    <w:rsid w:val="00D83FAB"/>
    <w:rsid w:val="00D84634"/>
    <w:rsid w:val="00D85470"/>
    <w:rsid w:val="00D856B4"/>
    <w:rsid w:val="00D86943"/>
    <w:rsid w:val="00D86B1A"/>
    <w:rsid w:val="00D86FCA"/>
    <w:rsid w:val="00D8704D"/>
    <w:rsid w:val="00D9012A"/>
    <w:rsid w:val="00D90223"/>
    <w:rsid w:val="00D90651"/>
    <w:rsid w:val="00D90AAB"/>
    <w:rsid w:val="00D90C0A"/>
    <w:rsid w:val="00D90DD4"/>
    <w:rsid w:val="00D915CF"/>
    <w:rsid w:val="00D91939"/>
    <w:rsid w:val="00D91F2E"/>
    <w:rsid w:val="00D92764"/>
    <w:rsid w:val="00D92EC7"/>
    <w:rsid w:val="00D933E5"/>
    <w:rsid w:val="00D935CC"/>
    <w:rsid w:val="00D94201"/>
    <w:rsid w:val="00D948EE"/>
    <w:rsid w:val="00D94CB1"/>
    <w:rsid w:val="00D9542A"/>
    <w:rsid w:val="00D95646"/>
    <w:rsid w:val="00D95A46"/>
    <w:rsid w:val="00D96437"/>
    <w:rsid w:val="00D96743"/>
    <w:rsid w:val="00D96CB6"/>
    <w:rsid w:val="00D9738A"/>
    <w:rsid w:val="00D97616"/>
    <w:rsid w:val="00D97E57"/>
    <w:rsid w:val="00DA07AF"/>
    <w:rsid w:val="00DA0D7C"/>
    <w:rsid w:val="00DA2EA2"/>
    <w:rsid w:val="00DA333C"/>
    <w:rsid w:val="00DA342E"/>
    <w:rsid w:val="00DA3B65"/>
    <w:rsid w:val="00DA4D27"/>
    <w:rsid w:val="00DA4EE5"/>
    <w:rsid w:val="00DA6D6F"/>
    <w:rsid w:val="00DA7629"/>
    <w:rsid w:val="00DA7B91"/>
    <w:rsid w:val="00DB03E0"/>
    <w:rsid w:val="00DB09BD"/>
    <w:rsid w:val="00DB10AE"/>
    <w:rsid w:val="00DB1899"/>
    <w:rsid w:val="00DB1A76"/>
    <w:rsid w:val="00DB2B72"/>
    <w:rsid w:val="00DB34A5"/>
    <w:rsid w:val="00DB3ABB"/>
    <w:rsid w:val="00DB41F8"/>
    <w:rsid w:val="00DB47CE"/>
    <w:rsid w:val="00DB4E1A"/>
    <w:rsid w:val="00DB63D6"/>
    <w:rsid w:val="00DB79A6"/>
    <w:rsid w:val="00DB7E72"/>
    <w:rsid w:val="00DC0C0A"/>
    <w:rsid w:val="00DC1F4C"/>
    <w:rsid w:val="00DC20CE"/>
    <w:rsid w:val="00DC2448"/>
    <w:rsid w:val="00DC29CF"/>
    <w:rsid w:val="00DC32C6"/>
    <w:rsid w:val="00DC4284"/>
    <w:rsid w:val="00DC479D"/>
    <w:rsid w:val="00DC4C88"/>
    <w:rsid w:val="00DC56AC"/>
    <w:rsid w:val="00DC5DB3"/>
    <w:rsid w:val="00DC64CB"/>
    <w:rsid w:val="00DC66C6"/>
    <w:rsid w:val="00DC711B"/>
    <w:rsid w:val="00DC7329"/>
    <w:rsid w:val="00DD05EE"/>
    <w:rsid w:val="00DD0A04"/>
    <w:rsid w:val="00DD0D5C"/>
    <w:rsid w:val="00DD1828"/>
    <w:rsid w:val="00DD25B0"/>
    <w:rsid w:val="00DD25F7"/>
    <w:rsid w:val="00DD261E"/>
    <w:rsid w:val="00DD3419"/>
    <w:rsid w:val="00DD36CC"/>
    <w:rsid w:val="00DD4541"/>
    <w:rsid w:val="00DD46DD"/>
    <w:rsid w:val="00DD4B77"/>
    <w:rsid w:val="00DD742A"/>
    <w:rsid w:val="00DD7B16"/>
    <w:rsid w:val="00DD7D4A"/>
    <w:rsid w:val="00DD7ED3"/>
    <w:rsid w:val="00DE0146"/>
    <w:rsid w:val="00DE08E8"/>
    <w:rsid w:val="00DE16F3"/>
    <w:rsid w:val="00DE2797"/>
    <w:rsid w:val="00DE2AE3"/>
    <w:rsid w:val="00DE2CDC"/>
    <w:rsid w:val="00DE3052"/>
    <w:rsid w:val="00DE3CD7"/>
    <w:rsid w:val="00DE4530"/>
    <w:rsid w:val="00DE4DC8"/>
    <w:rsid w:val="00DE5520"/>
    <w:rsid w:val="00DE654D"/>
    <w:rsid w:val="00DE675D"/>
    <w:rsid w:val="00DE6A49"/>
    <w:rsid w:val="00DE6C9B"/>
    <w:rsid w:val="00DE79A7"/>
    <w:rsid w:val="00DF0262"/>
    <w:rsid w:val="00DF070A"/>
    <w:rsid w:val="00DF0967"/>
    <w:rsid w:val="00DF10F7"/>
    <w:rsid w:val="00DF1EB1"/>
    <w:rsid w:val="00DF2085"/>
    <w:rsid w:val="00DF2DF6"/>
    <w:rsid w:val="00DF2F11"/>
    <w:rsid w:val="00DF3709"/>
    <w:rsid w:val="00DF37C1"/>
    <w:rsid w:val="00DF3962"/>
    <w:rsid w:val="00DF3BCB"/>
    <w:rsid w:val="00DF4580"/>
    <w:rsid w:val="00DF51AD"/>
    <w:rsid w:val="00DF6291"/>
    <w:rsid w:val="00DF6C4D"/>
    <w:rsid w:val="00DF7308"/>
    <w:rsid w:val="00DF7AE5"/>
    <w:rsid w:val="00DF7C6D"/>
    <w:rsid w:val="00E00409"/>
    <w:rsid w:val="00E0075C"/>
    <w:rsid w:val="00E00DC6"/>
    <w:rsid w:val="00E01300"/>
    <w:rsid w:val="00E027E3"/>
    <w:rsid w:val="00E02B90"/>
    <w:rsid w:val="00E02C93"/>
    <w:rsid w:val="00E03E1F"/>
    <w:rsid w:val="00E04659"/>
    <w:rsid w:val="00E04D50"/>
    <w:rsid w:val="00E04DB8"/>
    <w:rsid w:val="00E053F3"/>
    <w:rsid w:val="00E06C37"/>
    <w:rsid w:val="00E078B9"/>
    <w:rsid w:val="00E07CE5"/>
    <w:rsid w:val="00E11171"/>
    <w:rsid w:val="00E11211"/>
    <w:rsid w:val="00E1189C"/>
    <w:rsid w:val="00E1297C"/>
    <w:rsid w:val="00E12E73"/>
    <w:rsid w:val="00E130A9"/>
    <w:rsid w:val="00E136A7"/>
    <w:rsid w:val="00E13FF1"/>
    <w:rsid w:val="00E14367"/>
    <w:rsid w:val="00E143F9"/>
    <w:rsid w:val="00E1460A"/>
    <w:rsid w:val="00E14B9D"/>
    <w:rsid w:val="00E15742"/>
    <w:rsid w:val="00E15DA1"/>
    <w:rsid w:val="00E1650F"/>
    <w:rsid w:val="00E165C7"/>
    <w:rsid w:val="00E16C16"/>
    <w:rsid w:val="00E17166"/>
    <w:rsid w:val="00E17FA6"/>
    <w:rsid w:val="00E20063"/>
    <w:rsid w:val="00E2027C"/>
    <w:rsid w:val="00E20B6D"/>
    <w:rsid w:val="00E219F3"/>
    <w:rsid w:val="00E22185"/>
    <w:rsid w:val="00E22C15"/>
    <w:rsid w:val="00E23BEA"/>
    <w:rsid w:val="00E23C3B"/>
    <w:rsid w:val="00E23CFB"/>
    <w:rsid w:val="00E24FEA"/>
    <w:rsid w:val="00E254FC"/>
    <w:rsid w:val="00E272C6"/>
    <w:rsid w:val="00E2794C"/>
    <w:rsid w:val="00E2796E"/>
    <w:rsid w:val="00E27A24"/>
    <w:rsid w:val="00E27C4B"/>
    <w:rsid w:val="00E3013F"/>
    <w:rsid w:val="00E31022"/>
    <w:rsid w:val="00E316E5"/>
    <w:rsid w:val="00E31E32"/>
    <w:rsid w:val="00E3277E"/>
    <w:rsid w:val="00E333C0"/>
    <w:rsid w:val="00E33547"/>
    <w:rsid w:val="00E335A4"/>
    <w:rsid w:val="00E33D02"/>
    <w:rsid w:val="00E33D33"/>
    <w:rsid w:val="00E3402B"/>
    <w:rsid w:val="00E353C5"/>
    <w:rsid w:val="00E35A14"/>
    <w:rsid w:val="00E36D2E"/>
    <w:rsid w:val="00E36D71"/>
    <w:rsid w:val="00E37106"/>
    <w:rsid w:val="00E371DE"/>
    <w:rsid w:val="00E37CD4"/>
    <w:rsid w:val="00E40957"/>
    <w:rsid w:val="00E416B2"/>
    <w:rsid w:val="00E419AC"/>
    <w:rsid w:val="00E428DA"/>
    <w:rsid w:val="00E428ED"/>
    <w:rsid w:val="00E42958"/>
    <w:rsid w:val="00E42BDF"/>
    <w:rsid w:val="00E43079"/>
    <w:rsid w:val="00E438B3"/>
    <w:rsid w:val="00E43A71"/>
    <w:rsid w:val="00E43D01"/>
    <w:rsid w:val="00E44779"/>
    <w:rsid w:val="00E44C93"/>
    <w:rsid w:val="00E44DD6"/>
    <w:rsid w:val="00E460AC"/>
    <w:rsid w:val="00E46675"/>
    <w:rsid w:val="00E4669E"/>
    <w:rsid w:val="00E46940"/>
    <w:rsid w:val="00E46D04"/>
    <w:rsid w:val="00E474C5"/>
    <w:rsid w:val="00E50633"/>
    <w:rsid w:val="00E50BFD"/>
    <w:rsid w:val="00E517CD"/>
    <w:rsid w:val="00E51E6C"/>
    <w:rsid w:val="00E525D0"/>
    <w:rsid w:val="00E528F7"/>
    <w:rsid w:val="00E52C19"/>
    <w:rsid w:val="00E53247"/>
    <w:rsid w:val="00E53BDB"/>
    <w:rsid w:val="00E543A7"/>
    <w:rsid w:val="00E546A2"/>
    <w:rsid w:val="00E554D1"/>
    <w:rsid w:val="00E56318"/>
    <w:rsid w:val="00E56620"/>
    <w:rsid w:val="00E5671B"/>
    <w:rsid w:val="00E569CB"/>
    <w:rsid w:val="00E56F3E"/>
    <w:rsid w:val="00E57000"/>
    <w:rsid w:val="00E62627"/>
    <w:rsid w:val="00E62BFB"/>
    <w:rsid w:val="00E636BE"/>
    <w:rsid w:val="00E661FD"/>
    <w:rsid w:val="00E66A88"/>
    <w:rsid w:val="00E66E5D"/>
    <w:rsid w:val="00E66FB0"/>
    <w:rsid w:val="00E67194"/>
    <w:rsid w:val="00E6732F"/>
    <w:rsid w:val="00E677F8"/>
    <w:rsid w:val="00E67F20"/>
    <w:rsid w:val="00E67FE0"/>
    <w:rsid w:val="00E704E7"/>
    <w:rsid w:val="00E706F4"/>
    <w:rsid w:val="00E707BC"/>
    <w:rsid w:val="00E70C54"/>
    <w:rsid w:val="00E70DDC"/>
    <w:rsid w:val="00E70FC6"/>
    <w:rsid w:val="00E71DE2"/>
    <w:rsid w:val="00E724B2"/>
    <w:rsid w:val="00E7284E"/>
    <w:rsid w:val="00E729A9"/>
    <w:rsid w:val="00E72EAF"/>
    <w:rsid w:val="00E734B6"/>
    <w:rsid w:val="00E7379E"/>
    <w:rsid w:val="00E73B16"/>
    <w:rsid w:val="00E74BA4"/>
    <w:rsid w:val="00E752A9"/>
    <w:rsid w:val="00E7575C"/>
    <w:rsid w:val="00E75BF8"/>
    <w:rsid w:val="00E75D5A"/>
    <w:rsid w:val="00E75F82"/>
    <w:rsid w:val="00E7619A"/>
    <w:rsid w:val="00E76A85"/>
    <w:rsid w:val="00E76BBC"/>
    <w:rsid w:val="00E76CC1"/>
    <w:rsid w:val="00E77AB4"/>
    <w:rsid w:val="00E77C9F"/>
    <w:rsid w:val="00E8004B"/>
    <w:rsid w:val="00E80206"/>
    <w:rsid w:val="00E80247"/>
    <w:rsid w:val="00E80CE2"/>
    <w:rsid w:val="00E80E78"/>
    <w:rsid w:val="00E8262B"/>
    <w:rsid w:val="00E8284F"/>
    <w:rsid w:val="00E83592"/>
    <w:rsid w:val="00E83EA6"/>
    <w:rsid w:val="00E841EE"/>
    <w:rsid w:val="00E84C5F"/>
    <w:rsid w:val="00E84C95"/>
    <w:rsid w:val="00E84F61"/>
    <w:rsid w:val="00E8546B"/>
    <w:rsid w:val="00E8557F"/>
    <w:rsid w:val="00E85586"/>
    <w:rsid w:val="00E85970"/>
    <w:rsid w:val="00E86181"/>
    <w:rsid w:val="00E87586"/>
    <w:rsid w:val="00E87DB4"/>
    <w:rsid w:val="00E87DBF"/>
    <w:rsid w:val="00E901A9"/>
    <w:rsid w:val="00E910DE"/>
    <w:rsid w:val="00E917BE"/>
    <w:rsid w:val="00E93CDA"/>
    <w:rsid w:val="00E940F9"/>
    <w:rsid w:val="00E94DB8"/>
    <w:rsid w:val="00E9613A"/>
    <w:rsid w:val="00E963DA"/>
    <w:rsid w:val="00E96772"/>
    <w:rsid w:val="00E9726D"/>
    <w:rsid w:val="00EA0F5F"/>
    <w:rsid w:val="00EA15E8"/>
    <w:rsid w:val="00EA2C99"/>
    <w:rsid w:val="00EA32A8"/>
    <w:rsid w:val="00EA36CA"/>
    <w:rsid w:val="00EA4899"/>
    <w:rsid w:val="00EA59EE"/>
    <w:rsid w:val="00EA5BE6"/>
    <w:rsid w:val="00EA64DF"/>
    <w:rsid w:val="00EA695D"/>
    <w:rsid w:val="00EA741A"/>
    <w:rsid w:val="00EA7CF9"/>
    <w:rsid w:val="00EA7FF5"/>
    <w:rsid w:val="00EB0705"/>
    <w:rsid w:val="00EB2209"/>
    <w:rsid w:val="00EB2714"/>
    <w:rsid w:val="00EB360B"/>
    <w:rsid w:val="00EB3D97"/>
    <w:rsid w:val="00EB3E14"/>
    <w:rsid w:val="00EB43F3"/>
    <w:rsid w:val="00EB5320"/>
    <w:rsid w:val="00EB56B7"/>
    <w:rsid w:val="00EB65A3"/>
    <w:rsid w:val="00EB66D7"/>
    <w:rsid w:val="00EB76A4"/>
    <w:rsid w:val="00EC07C0"/>
    <w:rsid w:val="00EC0E7E"/>
    <w:rsid w:val="00EC187D"/>
    <w:rsid w:val="00EC2046"/>
    <w:rsid w:val="00EC266C"/>
    <w:rsid w:val="00EC291C"/>
    <w:rsid w:val="00EC3B74"/>
    <w:rsid w:val="00EC44CC"/>
    <w:rsid w:val="00EC4A0B"/>
    <w:rsid w:val="00EC7464"/>
    <w:rsid w:val="00EC753E"/>
    <w:rsid w:val="00EC7B8C"/>
    <w:rsid w:val="00ED05BE"/>
    <w:rsid w:val="00ED0756"/>
    <w:rsid w:val="00ED0AA6"/>
    <w:rsid w:val="00ED0FF7"/>
    <w:rsid w:val="00ED168C"/>
    <w:rsid w:val="00ED1A38"/>
    <w:rsid w:val="00ED1FCE"/>
    <w:rsid w:val="00ED2229"/>
    <w:rsid w:val="00ED488A"/>
    <w:rsid w:val="00ED4EC3"/>
    <w:rsid w:val="00ED5059"/>
    <w:rsid w:val="00ED62CB"/>
    <w:rsid w:val="00EE0BB4"/>
    <w:rsid w:val="00EE196F"/>
    <w:rsid w:val="00EE23E7"/>
    <w:rsid w:val="00EE242C"/>
    <w:rsid w:val="00EE25E7"/>
    <w:rsid w:val="00EE2F7D"/>
    <w:rsid w:val="00EE35BC"/>
    <w:rsid w:val="00EE43DA"/>
    <w:rsid w:val="00EE454B"/>
    <w:rsid w:val="00EE486A"/>
    <w:rsid w:val="00EE4A8B"/>
    <w:rsid w:val="00EE529B"/>
    <w:rsid w:val="00EE589C"/>
    <w:rsid w:val="00EE5B35"/>
    <w:rsid w:val="00EE682F"/>
    <w:rsid w:val="00EE6EDE"/>
    <w:rsid w:val="00EE7779"/>
    <w:rsid w:val="00EF01EC"/>
    <w:rsid w:val="00EF037C"/>
    <w:rsid w:val="00EF03B9"/>
    <w:rsid w:val="00EF0608"/>
    <w:rsid w:val="00EF08C2"/>
    <w:rsid w:val="00EF0A39"/>
    <w:rsid w:val="00EF10B5"/>
    <w:rsid w:val="00EF1189"/>
    <w:rsid w:val="00EF1973"/>
    <w:rsid w:val="00EF236D"/>
    <w:rsid w:val="00EF2B71"/>
    <w:rsid w:val="00EF2C76"/>
    <w:rsid w:val="00EF31BA"/>
    <w:rsid w:val="00EF35A4"/>
    <w:rsid w:val="00EF3F65"/>
    <w:rsid w:val="00EF5191"/>
    <w:rsid w:val="00EF5802"/>
    <w:rsid w:val="00EF63D6"/>
    <w:rsid w:val="00EF65F5"/>
    <w:rsid w:val="00EF6717"/>
    <w:rsid w:val="00EF6F9A"/>
    <w:rsid w:val="00EF72C9"/>
    <w:rsid w:val="00EF7D0A"/>
    <w:rsid w:val="00F002B4"/>
    <w:rsid w:val="00F00FF1"/>
    <w:rsid w:val="00F011E7"/>
    <w:rsid w:val="00F0122D"/>
    <w:rsid w:val="00F01CEA"/>
    <w:rsid w:val="00F032C2"/>
    <w:rsid w:val="00F038E7"/>
    <w:rsid w:val="00F041A9"/>
    <w:rsid w:val="00F0500F"/>
    <w:rsid w:val="00F05344"/>
    <w:rsid w:val="00F0540A"/>
    <w:rsid w:val="00F06021"/>
    <w:rsid w:val="00F06AB0"/>
    <w:rsid w:val="00F07492"/>
    <w:rsid w:val="00F07DD1"/>
    <w:rsid w:val="00F10EE4"/>
    <w:rsid w:val="00F11472"/>
    <w:rsid w:val="00F11921"/>
    <w:rsid w:val="00F124C7"/>
    <w:rsid w:val="00F128C5"/>
    <w:rsid w:val="00F12C2F"/>
    <w:rsid w:val="00F13B24"/>
    <w:rsid w:val="00F13B91"/>
    <w:rsid w:val="00F13BBA"/>
    <w:rsid w:val="00F1470A"/>
    <w:rsid w:val="00F149BE"/>
    <w:rsid w:val="00F15621"/>
    <w:rsid w:val="00F15DCD"/>
    <w:rsid w:val="00F15E53"/>
    <w:rsid w:val="00F16A53"/>
    <w:rsid w:val="00F16AF6"/>
    <w:rsid w:val="00F16CF4"/>
    <w:rsid w:val="00F16F39"/>
    <w:rsid w:val="00F2075A"/>
    <w:rsid w:val="00F2078B"/>
    <w:rsid w:val="00F20EB2"/>
    <w:rsid w:val="00F20FB0"/>
    <w:rsid w:val="00F218AA"/>
    <w:rsid w:val="00F21EA5"/>
    <w:rsid w:val="00F22186"/>
    <w:rsid w:val="00F23213"/>
    <w:rsid w:val="00F232F4"/>
    <w:rsid w:val="00F23397"/>
    <w:rsid w:val="00F23556"/>
    <w:rsid w:val="00F236C0"/>
    <w:rsid w:val="00F237A2"/>
    <w:rsid w:val="00F23CE6"/>
    <w:rsid w:val="00F24004"/>
    <w:rsid w:val="00F24F22"/>
    <w:rsid w:val="00F25A0F"/>
    <w:rsid w:val="00F25CB3"/>
    <w:rsid w:val="00F25DEC"/>
    <w:rsid w:val="00F26295"/>
    <w:rsid w:val="00F26372"/>
    <w:rsid w:val="00F26DC6"/>
    <w:rsid w:val="00F2751F"/>
    <w:rsid w:val="00F27984"/>
    <w:rsid w:val="00F27A8D"/>
    <w:rsid w:val="00F301F6"/>
    <w:rsid w:val="00F30730"/>
    <w:rsid w:val="00F31274"/>
    <w:rsid w:val="00F31500"/>
    <w:rsid w:val="00F319E7"/>
    <w:rsid w:val="00F319F8"/>
    <w:rsid w:val="00F31BEE"/>
    <w:rsid w:val="00F31E9B"/>
    <w:rsid w:val="00F31E9D"/>
    <w:rsid w:val="00F31EF5"/>
    <w:rsid w:val="00F322D1"/>
    <w:rsid w:val="00F3234B"/>
    <w:rsid w:val="00F3253F"/>
    <w:rsid w:val="00F32C9C"/>
    <w:rsid w:val="00F33B0D"/>
    <w:rsid w:val="00F340CB"/>
    <w:rsid w:val="00F341A2"/>
    <w:rsid w:val="00F349AF"/>
    <w:rsid w:val="00F34C8D"/>
    <w:rsid w:val="00F34D53"/>
    <w:rsid w:val="00F34F14"/>
    <w:rsid w:val="00F3502D"/>
    <w:rsid w:val="00F35D26"/>
    <w:rsid w:val="00F35F87"/>
    <w:rsid w:val="00F36C03"/>
    <w:rsid w:val="00F37059"/>
    <w:rsid w:val="00F374A3"/>
    <w:rsid w:val="00F379CE"/>
    <w:rsid w:val="00F403B9"/>
    <w:rsid w:val="00F403C2"/>
    <w:rsid w:val="00F40686"/>
    <w:rsid w:val="00F40AD0"/>
    <w:rsid w:val="00F40BFA"/>
    <w:rsid w:val="00F41014"/>
    <w:rsid w:val="00F41160"/>
    <w:rsid w:val="00F4152B"/>
    <w:rsid w:val="00F41C76"/>
    <w:rsid w:val="00F41D31"/>
    <w:rsid w:val="00F43875"/>
    <w:rsid w:val="00F43DA6"/>
    <w:rsid w:val="00F441E9"/>
    <w:rsid w:val="00F44931"/>
    <w:rsid w:val="00F456B8"/>
    <w:rsid w:val="00F457F2"/>
    <w:rsid w:val="00F45864"/>
    <w:rsid w:val="00F46270"/>
    <w:rsid w:val="00F5028F"/>
    <w:rsid w:val="00F50B9D"/>
    <w:rsid w:val="00F50DD4"/>
    <w:rsid w:val="00F51613"/>
    <w:rsid w:val="00F518AA"/>
    <w:rsid w:val="00F51975"/>
    <w:rsid w:val="00F521EB"/>
    <w:rsid w:val="00F5272E"/>
    <w:rsid w:val="00F54EB1"/>
    <w:rsid w:val="00F54F88"/>
    <w:rsid w:val="00F553E4"/>
    <w:rsid w:val="00F557E7"/>
    <w:rsid w:val="00F5662A"/>
    <w:rsid w:val="00F56B50"/>
    <w:rsid w:val="00F57B35"/>
    <w:rsid w:val="00F61928"/>
    <w:rsid w:val="00F63060"/>
    <w:rsid w:val="00F63247"/>
    <w:rsid w:val="00F63445"/>
    <w:rsid w:val="00F63F3A"/>
    <w:rsid w:val="00F641D3"/>
    <w:rsid w:val="00F651E7"/>
    <w:rsid w:val="00F656E3"/>
    <w:rsid w:val="00F65895"/>
    <w:rsid w:val="00F66359"/>
    <w:rsid w:val="00F6734F"/>
    <w:rsid w:val="00F67513"/>
    <w:rsid w:val="00F701AE"/>
    <w:rsid w:val="00F71192"/>
    <w:rsid w:val="00F7137D"/>
    <w:rsid w:val="00F715FD"/>
    <w:rsid w:val="00F71933"/>
    <w:rsid w:val="00F725E0"/>
    <w:rsid w:val="00F73813"/>
    <w:rsid w:val="00F7391A"/>
    <w:rsid w:val="00F76589"/>
    <w:rsid w:val="00F765FD"/>
    <w:rsid w:val="00F774B6"/>
    <w:rsid w:val="00F77B96"/>
    <w:rsid w:val="00F80790"/>
    <w:rsid w:val="00F80A40"/>
    <w:rsid w:val="00F81E5C"/>
    <w:rsid w:val="00F824C7"/>
    <w:rsid w:val="00F8264E"/>
    <w:rsid w:val="00F83E84"/>
    <w:rsid w:val="00F8403A"/>
    <w:rsid w:val="00F84445"/>
    <w:rsid w:val="00F84587"/>
    <w:rsid w:val="00F849FE"/>
    <w:rsid w:val="00F84D60"/>
    <w:rsid w:val="00F84E2D"/>
    <w:rsid w:val="00F85AFE"/>
    <w:rsid w:val="00F8707C"/>
    <w:rsid w:val="00F87DC2"/>
    <w:rsid w:val="00F90451"/>
    <w:rsid w:val="00F90C7B"/>
    <w:rsid w:val="00F914A5"/>
    <w:rsid w:val="00F91552"/>
    <w:rsid w:val="00F915A0"/>
    <w:rsid w:val="00F9186B"/>
    <w:rsid w:val="00F91C14"/>
    <w:rsid w:val="00F92780"/>
    <w:rsid w:val="00F92AC0"/>
    <w:rsid w:val="00F92D57"/>
    <w:rsid w:val="00F9314A"/>
    <w:rsid w:val="00F93753"/>
    <w:rsid w:val="00F9396A"/>
    <w:rsid w:val="00F95819"/>
    <w:rsid w:val="00F96AC8"/>
    <w:rsid w:val="00F9752E"/>
    <w:rsid w:val="00F97B09"/>
    <w:rsid w:val="00F97F6A"/>
    <w:rsid w:val="00FA0C9F"/>
    <w:rsid w:val="00FA0F58"/>
    <w:rsid w:val="00FA11A1"/>
    <w:rsid w:val="00FA131D"/>
    <w:rsid w:val="00FA1596"/>
    <w:rsid w:val="00FA17C4"/>
    <w:rsid w:val="00FA1DD8"/>
    <w:rsid w:val="00FA221E"/>
    <w:rsid w:val="00FA276F"/>
    <w:rsid w:val="00FA27DC"/>
    <w:rsid w:val="00FA29AF"/>
    <w:rsid w:val="00FA2AB6"/>
    <w:rsid w:val="00FA41FB"/>
    <w:rsid w:val="00FA453D"/>
    <w:rsid w:val="00FA469B"/>
    <w:rsid w:val="00FA46CA"/>
    <w:rsid w:val="00FA4F26"/>
    <w:rsid w:val="00FA5D5E"/>
    <w:rsid w:val="00FA6239"/>
    <w:rsid w:val="00FA62ED"/>
    <w:rsid w:val="00FA68C1"/>
    <w:rsid w:val="00FA6907"/>
    <w:rsid w:val="00FA6D66"/>
    <w:rsid w:val="00FA7049"/>
    <w:rsid w:val="00FA704F"/>
    <w:rsid w:val="00FA7180"/>
    <w:rsid w:val="00FA7C06"/>
    <w:rsid w:val="00FA7F97"/>
    <w:rsid w:val="00FB011A"/>
    <w:rsid w:val="00FB03B1"/>
    <w:rsid w:val="00FB0872"/>
    <w:rsid w:val="00FB09D6"/>
    <w:rsid w:val="00FB118F"/>
    <w:rsid w:val="00FB1202"/>
    <w:rsid w:val="00FB2ECD"/>
    <w:rsid w:val="00FB3E88"/>
    <w:rsid w:val="00FB3FDE"/>
    <w:rsid w:val="00FB42E8"/>
    <w:rsid w:val="00FB43B0"/>
    <w:rsid w:val="00FB4976"/>
    <w:rsid w:val="00FB5282"/>
    <w:rsid w:val="00FB533B"/>
    <w:rsid w:val="00FB6408"/>
    <w:rsid w:val="00FB669A"/>
    <w:rsid w:val="00FB6E71"/>
    <w:rsid w:val="00FB710B"/>
    <w:rsid w:val="00FC074D"/>
    <w:rsid w:val="00FC1891"/>
    <w:rsid w:val="00FC1F5A"/>
    <w:rsid w:val="00FC215F"/>
    <w:rsid w:val="00FC3751"/>
    <w:rsid w:val="00FC45F0"/>
    <w:rsid w:val="00FC4A7C"/>
    <w:rsid w:val="00FC4FFD"/>
    <w:rsid w:val="00FC56B1"/>
    <w:rsid w:val="00FC608C"/>
    <w:rsid w:val="00FC6A87"/>
    <w:rsid w:val="00FC708A"/>
    <w:rsid w:val="00FC74AF"/>
    <w:rsid w:val="00FC78C5"/>
    <w:rsid w:val="00FD017B"/>
    <w:rsid w:val="00FD0685"/>
    <w:rsid w:val="00FD0911"/>
    <w:rsid w:val="00FD0A63"/>
    <w:rsid w:val="00FD0C2F"/>
    <w:rsid w:val="00FD1970"/>
    <w:rsid w:val="00FD1B7A"/>
    <w:rsid w:val="00FD1B91"/>
    <w:rsid w:val="00FD3547"/>
    <w:rsid w:val="00FD3839"/>
    <w:rsid w:val="00FD3E8B"/>
    <w:rsid w:val="00FD41D6"/>
    <w:rsid w:val="00FD563C"/>
    <w:rsid w:val="00FD5864"/>
    <w:rsid w:val="00FD5EC4"/>
    <w:rsid w:val="00FD7002"/>
    <w:rsid w:val="00FD7346"/>
    <w:rsid w:val="00FD76D2"/>
    <w:rsid w:val="00FD772B"/>
    <w:rsid w:val="00FD77B6"/>
    <w:rsid w:val="00FD77D6"/>
    <w:rsid w:val="00FD7CE3"/>
    <w:rsid w:val="00FD7DBC"/>
    <w:rsid w:val="00FD7F33"/>
    <w:rsid w:val="00FD7F80"/>
    <w:rsid w:val="00FE02EC"/>
    <w:rsid w:val="00FE125A"/>
    <w:rsid w:val="00FE145F"/>
    <w:rsid w:val="00FE1993"/>
    <w:rsid w:val="00FE1C21"/>
    <w:rsid w:val="00FE1C63"/>
    <w:rsid w:val="00FE1D66"/>
    <w:rsid w:val="00FE237D"/>
    <w:rsid w:val="00FE270D"/>
    <w:rsid w:val="00FE350B"/>
    <w:rsid w:val="00FE3C3C"/>
    <w:rsid w:val="00FE447B"/>
    <w:rsid w:val="00FE4A8A"/>
    <w:rsid w:val="00FE4C46"/>
    <w:rsid w:val="00FE5AEA"/>
    <w:rsid w:val="00FE6135"/>
    <w:rsid w:val="00FE6535"/>
    <w:rsid w:val="00FE6762"/>
    <w:rsid w:val="00FE7EB9"/>
    <w:rsid w:val="00FF0500"/>
    <w:rsid w:val="00FF1DC3"/>
    <w:rsid w:val="00FF2FC5"/>
    <w:rsid w:val="00FF35D1"/>
    <w:rsid w:val="00FF3728"/>
    <w:rsid w:val="00FF3EF7"/>
    <w:rsid w:val="00FF510C"/>
    <w:rsid w:val="00FF5A12"/>
    <w:rsid w:val="00FF6341"/>
    <w:rsid w:val="00FF6861"/>
    <w:rsid w:val="00FF6F16"/>
    <w:rsid w:val="00FF705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FB0F9B8"/>
  <w15:chartTrackingRefBased/>
  <w15:docId w15:val="{E6FBECFD-2756-45A5-ACFA-3C1630BAA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Narrow" w:eastAsiaTheme="minorHAnsi" w:hAnsi="Arial Narrow" w:cstheme="minorBidi"/>
        <w:sz w:val="18"/>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8C7ADC"/>
    <w:pPr>
      <w:spacing w:after="200"/>
      <w:jc w:val="both"/>
    </w:pPr>
    <w:rPr>
      <w:sz w:val="22"/>
    </w:rPr>
  </w:style>
  <w:style w:type="paragraph" w:styleId="Nadpis1">
    <w:name w:val="heading 1"/>
    <w:basedOn w:val="Normlny"/>
    <w:next w:val="Normlny"/>
    <w:link w:val="Nadpis1Char"/>
    <w:uiPriority w:val="9"/>
    <w:qFormat/>
    <w:rsid w:val="00A23F74"/>
    <w:pPr>
      <w:keepNext/>
      <w:keepLines/>
      <w:pageBreakBefore/>
      <w:numPr>
        <w:numId w:val="1"/>
      </w:numPr>
      <w:ind w:left="360"/>
      <w:outlineLvl w:val="0"/>
    </w:pPr>
    <w:rPr>
      <w:rFonts w:eastAsiaTheme="majorEastAsia" w:cstheme="majorBidi"/>
      <w:color w:val="0070C0"/>
      <w:sz w:val="32"/>
      <w:szCs w:val="32"/>
    </w:rPr>
  </w:style>
  <w:style w:type="paragraph" w:styleId="Nadpis2">
    <w:name w:val="heading 2"/>
    <w:basedOn w:val="Normlny"/>
    <w:next w:val="Normlny"/>
    <w:link w:val="Nadpis2Char"/>
    <w:uiPriority w:val="9"/>
    <w:unhideWhenUsed/>
    <w:qFormat/>
    <w:rsid w:val="00A71F6A"/>
    <w:pPr>
      <w:keepNext/>
      <w:keepLines/>
      <w:numPr>
        <w:ilvl w:val="1"/>
        <w:numId w:val="1"/>
      </w:numPr>
      <w:spacing w:before="120"/>
      <w:ind w:left="567" w:hanging="567"/>
      <w:outlineLvl w:val="1"/>
    </w:pPr>
    <w:rPr>
      <w:rFonts w:eastAsiaTheme="majorEastAsia" w:cstheme="majorBidi"/>
      <w:color w:val="0070C0"/>
      <w:sz w:val="26"/>
      <w:szCs w:val="26"/>
    </w:rPr>
  </w:style>
  <w:style w:type="paragraph" w:styleId="Nadpis3">
    <w:name w:val="heading 3"/>
    <w:basedOn w:val="Nadpis2"/>
    <w:next w:val="Normlny"/>
    <w:link w:val="Nadpis3Char"/>
    <w:uiPriority w:val="9"/>
    <w:unhideWhenUsed/>
    <w:qFormat/>
    <w:rsid w:val="00A23F74"/>
    <w:pPr>
      <w:numPr>
        <w:ilvl w:val="0"/>
        <w:numId w:val="0"/>
      </w:numPr>
      <w:spacing w:after="120"/>
      <w:outlineLvl w:val="2"/>
    </w:pPr>
    <w:rPr>
      <w:sz w:val="22"/>
      <w:szCs w:val="24"/>
    </w:rPr>
  </w:style>
  <w:style w:type="paragraph" w:styleId="Nadpis4">
    <w:name w:val="heading 4"/>
    <w:basedOn w:val="Normlny"/>
    <w:next w:val="Normlny"/>
    <w:link w:val="Nadpis4Char"/>
    <w:uiPriority w:val="9"/>
    <w:unhideWhenUsed/>
    <w:qFormat/>
    <w:rsid w:val="0069559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A23F74"/>
    <w:rPr>
      <w:rFonts w:eastAsiaTheme="majorEastAsia" w:cstheme="majorBidi"/>
      <w:color w:val="0070C0"/>
      <w:sz w:val="32"/>
      <w:szCs w:val="32"/>
    </w:rPr>
  </w:style>
  <w:style w:type="character" w:customStyle="1" w:styleId="Nadpis2Char">
    <w:name w:val="Nadpis 2 Char"/>
    <w:basedOn w:val="Predvolenpsmoodseku"/>
    <w:link w:val="Nadpis2"/>
    <w:uiPriority w:val="9"/>
    <w:rsid w:val="00A71F6A"/>
    <w:rPr>
      <w:rFonts w:eastAsiaTheme="majorEastAsia" w:cstheme="majorBidi"/>
      <w:color w:val="0070C0"/>
      <w:sz w:val="26"/>
      <w:szCs w:val="26"/>
    </w:rPr>
  </w:style>
  <w:style w:type="character" w:customStyle="1" w:styleId="Nadpis3Char">
    <w:name w:val="Nadpis 3 Char"/>
    <w:basedOn w:val="Predvolenpsmoodseku"/>
    <w:link w:val="Nadpis3"/>
    <w:uiPriority w:val="9"/>
    <w:rsid w:val="00A23F74"/>
    <w:rPr>
      <w:rFonts w:ascii="Arial Narrow" w:eastAsiaTheme="majorEastAsia" w:hAnsi="Arial Narrow" w:cstheme="majorBidi"/>
      <w:color w:val="0070C0"/>
      <w:szCs w:val="24"/>
    </w:rPr>
  </w:style>
  <w:style w:type="character" w:customStyle="1" w:styleId="Nadpis4Char">
    <w:name w:val="Nadpis 4 Char"/>
    <w:basedOn w:val="Predvolenpsmoodseku"/>
    <w:link w:val="Nadpis4"/>
    <w:uiPriority w:val="9"/>
    <w:rsid w:val="00695590"/>
    <w:rPr>
      <w:rFonts w:asciiTheme="majorHAnsi" w:eastAsiaTheme="majorEastAsia" w:hAnsiTheme="majorHAnsi" w:cstheme="majorBidi"/>
      <w:i/>
      <w:iCs/>
      <w:color w:val="2E74B5" w:themeColor="accent1" w:themeShade="BF"/>
      <w:sz w:val="22"/>
    </w:rPr>
  </w:style>
  <w:style w:type="table" w:styleId="Mriekatabuky">
    <w:name w:val="Table Grid"/>
    <w:basedOn w:val="Normlnatabuka"/>
    <w:uiPriority w:val="39"/>
    <w:rsid w:val="009B7C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uiPriority w:val="99"/>
    <w:unhideWhenUsed/>
    <w:rsid w:val="00D84634"/>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D84634"/>
    <w:rPr>
      <w:rFonts w:ascii="Arial Narrow" w:hAnsi="Arial Narrow"/>
    </w:rPr>
  </w:style>
  <w:style w:type="paragraph" w:styleId="Pta">
    <w:name w:val="footer"/>
    <w:basedOn w:val="Normlny"/>
    <w:link w:val="PtaChar"/>
    <w:uiPriority w:val="99"/>
    <w:unhideWhenUsed/>
    <w:rsid w:val="00D84634"/>
    <w:pPr>
      <w:tabs>
        <w:tab w:val="center" w:pos="4536"/>
        <w:tab w:val="right" w:pos="9072"/>
      </w:tabs>
      <w:spacing w:after="0" w:line="240" w:lineRule="auto"/>
    </w:pPr>
  </w:style>
  <w:style w:type="character" w:customStyle="1" w:styleId="PtaChar">
    <w:name w:val="Päta Char"/>
    <w:basedOn w:val="Predvolenpsmoodseku"/>
    <w:link w:val="Pta"/>
    <w:uiPriority w:val="99"/>
    <w:rsid w:val="00D84634"/>
    <w:rPr>
      <w:rFonts w:ascii="Arial Narrow" w:hAnsi="Arial Narrow"/>
    </w:rPr>
  </w:style>
  <w:style w:type="paragraph" w:styleId="Hlavikaobsahu">
    <w:name w:val="TOC Heading"/>
    <w:basedOn w:val="Nadpis1"/>
    <w:next w:val="Normlny"/>
    <w:uiPriority w:val="39"/>
    <w:unhideWhenUsed/>
    <w:qFormat/>
    <w:rsid w:val="00D36722"/>
    <w:pPr>
      <w:numPr>
        <w:numId w:val="0"/>
      </w:numPr>
      <w:spacing w:before="240" w:after="0"/>
      <w:jc w:val="left"/>
      <w:outlineLvl w:val="9"/>
    </w:pPr>
    <w:rPr>
      <w:rFonts w:asciiTheme="majorHAnsi" w:hAnsiTheme="majorHAnsi"/>
      <w:color w:val="2E74B5" w:themeColor="accent1" w:themeShade="BF"/>
      <w:lang w:eastAsia="sk-SK"/>
    </w:rPr>
  </w:style>
  <w:style w:type="paragraph" w:styleId="Obsah1">
    <w:name w:val="toc 1"/>
    <w:basedOn w:val="Normlny"/>
    <w:next w:val="Normlny"/>
    <w:autoRedefine/>
    <w:uiPriority w:val="39"/>
    <w:unhideWhenUsed/>
    <w:rsid w:val="00D36722"/>
    <w:pPr>
      <w:spacing w:after="100"/>
    </w:pPr>
  </w:style>
  <w:style w:type="paragraph" w:styleId="Obsah2">
    <w:name w:val="toc 2"/>
    <w:basedOn w:val="Normlny"/>
    <w:next w:val="Normlny"/>
    <w:autoRedefine/>
    <w:uiPriority w:val="39"/>
    <w:unhideWhenUsed/>
    <w:rsid w:val="00D36722"/>
    <w:pPr>
      <w:spacing w:after="100"/>
      <w:ind w:left="220"/>
    </w:pPr>
  </w:style>
  <w:style w:type="character" w:styleId="Hypertextovprepojenie">
    <w:name w:val="Hyperlink"/>
    <w:basedOn w:val="Predvolenpsmoodseku"/>
    <w:uiPriority w:val="99"/>
    <w:unhideWhenUsed/>
    <w:rsid w:val="00D36722"/>
    <w:rPr>
      <w:color w:val="0563C1" w:themeColor="hyperlink"/>
      <w:u w:val="single"/>
    </w:rPr>
  </w:style>
  <w:style w:type="paragraph" w:styleId="Obsah3">
    <w:name w:val="toc 3"/>
    <w:basedOn w:val="Normlny"/>
    <w:next w:val="Normlny"/>
    <w:autoRedefine/>
    <w:uiPriority w:val="39"/>
    <w:unhideWhenUsed/>
    <w:rsid w:val="00A23F74"/>
    <w:pPr>
      <w:spacing w:after="100"/>
      <w:ind w:left="440"/>
    </w:pPr>
  </w:style>
  <w:style w:type="table" w:styleId="Tabukasmriekou4zvraznenie5">
    <w:name w:val="Grid Table 4 Accent 5"/>
    <w:basedOn w:val="Normlnatabuka"/>
    <w:uiPriority w:val="49"/>
    <w:rsid w:val="00A23F7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Odsekzoznamu">
    <w:name w:val="List Paragraph"/>
    <w:basedOn w:val="Normlny"/>
    <w:uiPriority w:val="34"/>
    <w:qFormat/>
    <w:rsid w:val="007C6DF7"/>
    <w:pPr>
      <w:ind w:left="720"/>
      <w:contextualSpacing/>
    </w:pPr>
  </w:style>
  <w:style w:type="paragraph" w:styleId="Textpoznmkypodiarou">
    <w:name w:val="footnote text"/>
    <w:aliases w:val="Text poznámky pod čiarou 007,Footnote Text Char2,Footnote Text Char1 Char,Footnote Text Char2 Char Char,Footnote Text Char1 Char Char Char,Footnote Text Char2 Char Char Char Char,f,Schriftart: 9 pt,Schriftart: 10 pt"/>
    <w:basedOn w:val="Normlny"/>
    <w:link w:val="TextpoznmkypodiarouChar"/>
    <w:uiPriority w:val="99"/>
    <w:unhideWhenUsed/>
    <w:qFormat/>
    <w:rsid w:val="007C6DF7"/>
    <w:pPr>
      <w:spacing w:after="0" w:line="240" w:lineRule="auto"/>
    </w:pPr>
    <w:rPr>
      <w:sz w:val="18"/>
    </w:rPr>
  </w:style>
  <w:style w:type="character" w:customStyle="1" w:styleId="TextpoznmkypodiarouChar">
    <w:name w:val="Text poznámky pod čiarou Char"/>
    <w:aliases w:val="Text poznámky pod čiarou 007 Char,Footnote Text Char2 Char,Footnote Text Char1 Char Char,Footnote Text Char2 Char Char Char,Footnote Text Char1 Char Char Char Char,Footnote Text Char2 Char Char Char Char Char,f Char"/>
    <w:basedOn w:val="Predvolenpsmoodseku"/>
    <w:link w:val="Textpoznmkypodiarou"/>
    <w:uiPriority w:val="99"/>
    <w:rsid w:val="007C6DF7"/>
  </w:style>
  <w:style w:type="character" w:styleId="Odkaznapoznmkupodiarou">
    <w:name w:val="footnote reference"/>
    <w:aliases w:val="16 Point,Superscript 6 Point,Footnote Reference Number,Footnote Reference_LVL6,Footnote Reference_LVL61,Footnote Reference_LVL62,Footnote Reference_LVL63,Footnote Reference_LVL64,Footnote call,BVI fnr,SUPERS,Footnote symbol"/>
    <w:basedOn w:val="Predvolenpsmoodseku"/>
    <w:link w:val="Char2"/>
    <w:uiPriority w:val="99"/>
    <w:unhideWhenUsed/>
    <w:qFormat/>
    <w:rsid w:val="00AE511A"/>
    <w:rPr>
      <w:vertAlign w:val="superscript"/>
    </w:rPr>
  </w:style>
  <w:style w:type="paragraph" w:customStyle="1" w:styleId="Char2">
    <w:name w:val="Char2"/>
    <w:basedOn w:val="Normlny"/>
    <w:link w:val="Odkaznapoznmkupodiarou"/>
    <w:uiPriority w:val="99"/>
    <w:rsid w:val="00763313"/>
    <w:pPr>
      <w:spacing w:after="0" w:line="240" w:lineRule="exact"/>
      <w:jc w:val="left"/>
    </w:pPr>
    <w:rPr>
      <w:sz w:val="18"/>
      <w:vertAlign w:val="superscript"/>
    </w:rPr>
  </w:style>
  <w:style w:type="paragraph" w:styleId="Textvysvetlivky">
    <w:name w:val="endnote text"/>
    <w:basedOn w:val="Normlny"/>
    <w:link w:val="TextvysvetlivkyChar"/>
    <w:uiPriority w:val="99"/>
    <w:semiHidden/>
    <w:unhideWhenUsed/>
    <w:rsid w:val="00AE511A"/>
    <w:pPr>
      <w:spacing w:after="0" w:line="240" w:lineRule="auto"/>
    </w:pPr>
    <w:rPr>
      <w:sz w:val="20"/>
    </w:rPr>
  </w:style>
  <w:style w:type="character" w:customStyle="1" w:styleId="TextvysvetlivkyChar">
    <w:name w:val="Text vysvetlivky Char"/>
    <w:basedOn w:val="Predvolenpsmoodseku"/>
    <w:link w:val="Textvysvetlivky"/>
    <w:uiPriority w:val="99"/>
    <w:semiHidden/>
    <w:rsid w:val="00AE511A"/>
    <w:rPr>
      <w:rFonts w:ascii="Arial Narrow" w:hAnsi="Arial Narrow"/>
      <w:sz w:val="20"/>
      <w:szCs w:val="20"/>
    </w:rPr>
  </w:style>
  <w:style w:type="character" w:styleId="Odkaznavysvetlivku">
    <w:name w:val="endnote reference"/>
    <w:basedOn w:val="Predvolenpsmoodseku"/>
    <w:uiPriority w:val="99"/>
    <w:semiHidden/>
    <w:unhideWhenUsed/>
    <w:rsid w:val="00AE511A"/>
    <w:rPr>
      <w:vertAlign w:val="superscript"/>
    </w:rPr>
  </w:style>
  <w:style w:type="table" w:customStyle="1" w:styleId="UHPGRAF">
    <w:name w:val="UHP_GRAF"/>
    <w:basedOn w:val="Normlnatabuka"/>
    <w:uiPriority w:val="99"/>
    <w:rsid w:val="00763313"/>
    <w:pPr>
      <w:spacing w:before="160" w:after="0" w:line="240" w:lineRule="auto"/>
      <w:contextualSpacing/>
      <w:jc w:val="both"/>
    </w:pPr>
    <w:rPr>
      <w:sz w:val="20"/>
      <w:lang w:val="en-US" w:eastAsia="sk-SK"/>
    </w:rPr>
    <w:tblPr>
      <w:tblBorders>
        <w:bottom w:val="single" w:sz="4" w:space="0" w:color="auto"/>
      </w:tblBorders>
    </w:tblPr>
    <w:tcPr>
      <w:shd w:val="clear" w:color="auto" w:fill="auto"/>
      <w:vAlign w:val="center"/>
    </w:tcPr>
    <w:tblStylePr w:type="firstRow">
      <w:pPr>
        <w:jc w:val="left"/>
      </w:pPr>
      <w:rPr>
        <w:rFonts w:ascii="NeueHaasGroteskText W02" w:hAnsi="NeueHaasGroteskText W02"/>
        <w:b/>
        <w:i w:val="0"/>
        <w:iCs/>
        <w:sz w:val="20"/>
      </w:rPr>
      <w:tblPr/>
      <w:tcPr>
        <w:tcBorders>
          <w:top w:val="nil"/>
          <w:left w:val="nil"/>
          <w:bottom w:val="single" w:sz="4" w:space="0" w:color="auto"/>
          <w:right w:val="nil"/>
          <w:insideH w:val="nil"/>
          <w:insideV w:val="nil"/>
          <w:tl2br w:val="nil"/>
          <w:tr2bl w:val="nil"/>
        </w:tcBorders>
        <w:shd w:val="clear" w:color="auto" w:fill="auto"/>
        <w:vAlign w:val="center"/>
      </w:tcPr>
    </w:tblStylePr>
    <w:tblStylePr w:type="lastRow">
      <w:pPr>
        <w:jc w:val="right"/>
      </w:pPr>
      <w:rPr>
        <w:b w:val="0"/>
        <w:i/>
        <w:color w:val="auto"/>
        <w:sz w:val="16"/>
      </w:rPr>
      <w:tblPr/>
      <w:tcPr>
        <w:tcBorders>
          <w:top w:val="single" w:sz="4" w:space="0" w:color="auto"/>
          <w:left w:val="nil"/>
          <w:bottom w:val="nil"/>
          <w:right w:val="nil"/>
          <w:insideH w:val="nil"/>
          <w:insideV w:val="nil"/>
          <w:tl2br w:val="nil"/>
          <w:tr2bl w:val="nil"/>
        </w:tcBorders>
        <w:shd w:val="clear" w:color="auto" w:fill="auto"/>
      </w:tcPr>
    </w:tblStylePr>
    <w:tblStylePr w:type="firstCol">
      <w:rPr>
        <w:b/>
      </w:rPr>
      <w:tblPr/>
      <w:tcPr>
        <w:tcBorders>
          <w:top w:val="nil"/>
          <w:left w:val="nil"/>
          <w:bottom w:val="single" w:sz="4" w:space="0" w:color="auto"/>
          <w:right w:val="nil"/>
          <w:insideH w:val="nil"/>
          <w:insideV w:val="nil"/>
          <w:tl2br w:val="nil"/>
          <w:tr2bl w:val="nil"/>
        </w:tcBorders>
        <w:shd w:val="clear" w:color="auto" w:fill="auto"/>
      </w:tcPr>
    </w:tblStylePr>
    <w:tblStylePr w:type="lastCol">
      <w:pPr>
        <w:jc w:val="right"/>
      </w:pPr>
      <w:rPr>
        <w:b/>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Odkaznakomentr">
    <w:name w:val="annotation reference"/>
    <w:basedOn w:val="Predvolenpsmoodseku"/>
    <w:uiPriority w:val="99"/>
    <w:semiHidden/>
    <w:unhideWhenUsed/>
    <w:rsid w:val="009A3546"/>
    <w:rPr>
      <w:sz w:val="16"/>
      <w:szCs w:val="16"/>
    </w:rPr>
  </w:style>
  <w:style w:type="paragraph" w:styleId="Textkomentra">
    <w:name w:val="annotation text"/>
    <w:basedOn w:val="Normlny"/>
    <w:link w:val="TextkomentraChar"/>
    <w:uiPriority w:val="99"/>
    <w:unhideWhenUsed/>
    <w:rsid w:val="009A3546"/>
    <w:pPr>
      <w:spacing w:line="240" w:lineRule="auto"/>
    </w:pPr>
    <w:rPr>
      <w:sz w:val="20"/>
    </w:rPr>
  </w:style>
  <w:style w:type="character" w:customStyle="1" w:styleId="TextkomentraChar">
    <w:name w:val="Text komentára Char"/>
    <w:basedOn w:val="Predvolenpsmoodseku"/>
    <w:link w:val="Textkomentra"/>
    <w:uiPriority w:val="99"/>
    <w:rsid w:val="009A3546"/>
    <w:rPr>
      <w:sz w:val="20"/>
    </w:rPr>
  </w:style>
  <w:style w:type="paragraph" w:styleId="Predmetkomentra">
    <w:name w:val="annotation subject"/>
    <w:basedOn w:val="Textkomentra"/>
    <w:next w:val="Textkomentra"/>
    <w:link w:val="PredmetkomentraChar"/>
    <w:uiPriority w:val="99"/>
    <w:semiHidden/>
    <w:unhideWhenUsed/>
    <w:rsid w:val="009A3546"/>
    <w:rPr>
      <w:b/>
      <w:bCs/>
    </w:rPr>
  </w:style>
  <w:style w:type="character" w:customStyle="1" w:styleId="PredmetkomentraChar">
    <w:name w:val="Predmet komentára Char"/>
    <w:basedOn w:val="TextkomentraChar"/>
    <w:link w:val="Predmetkomentra"/>
    <w:uiPriority w:val="99"/>
    <w:semiHidden/>
    <w:rsid w:val="009A3546"/>
    <w:rPr>
      <w:b/>
      <w:bCs/>
      <w:sz w:val="20"/>
    </w:rPr>
  </w:style>
  <w:style w:type="paragraph" w:styleId="Textbubliny">
    <w:name w:val="Balloon Text"/>
    <w:basedOn w:val="Normlny"/>
    <w:link w:val="TextbublinyChar"/>
    <w:uiPriority w:val="99"/>
    <w:semiHidden/>
    <w:unhideWhenUsed/>
    <w:rsid w:val="009A3546"/>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9A3546"/>
    <w:rPr>
      <w:rFonts w:ascii="Segoe UI" w:hAnsi="Segoe UI" w:cs="Segoe UI"/>
      <w:szCs w:val="18"/>
    </w:rPr>
  </w:style>
  <w:style w:type="paragraph" w:styleId="Zoznamobrzkov">
    <w:name w:val="table of figures"/>
    <w:basedOn w:val="Normlny"/>
    <w:next w:val="Normlny"/>
    <w:uiPriority w:val="99"/>
    <w:unhideWhenUsed/>
    <w:rsid w:val="00416B7B"/>
    <w:pPr>
      <w:spacing w:after="0"/>
    </w:pPr>
    <w:rPr>
      <w:szCs w:val="22"/>
    </w:rPr>
  </w:style>
  <w:style w:type="table" w:customStyle="1" w:styleId="UHPTAB">
    <w:name w:val="UHP_TAB"/>
    <w:basedOn w:val="Klasicktabuka1"/>
    <w:uiPriority w:val="99"/>
    <w:rsid w:val="00416B7B"/>
    <w:pPr>
      <w:spacing w:after="0" w:line="240" w:lineRule="auto"/>
      <w:contextualSpacing/>
    </w:pPr>
    <w:rPr>
      <w:sz w:val="20"/>
      <w:lang w:val="en-US" w:eastAsia="sk-SK"/>
    </w:rPr>
    <w:tblPr>
      <w:tblBorders>
        <w:top w:val="none" w:sz="0" w:space="0" w:color="auto"/>
        <w:bottom w:val="single" w:sz="4" w:space="0" w:color="auto"/>
      </w:tblBorders>
    </w:tblPr>
    <w:tcPr>
      <w:shd w:val="clear" w:color="auto" w:fill="auto"/>
      <w:vAlign w:val="center"/>
    </w:tcPr>
    <w:tblStylePr w:type="firstRow">
      <w:pPr>
        <w:jc w:val="left"/>
      </w:pPr>
      <w:rPr>
        <w:rFonts w:ascii="NeueHaasGroteskText W02" w:hAnsi="NeueHaasGroteskText W02"/>
        <w:i w:val="0"/>
        <w:iCs/>
        <w:sz w:val="20"/>
      </w:rPr>
      <w:tblPr/>
      <w:tcPr>
        <w:tcBorders>
          <w:top w:val="single" w:sz="4" w:space="0" w:color="auto"/>
          <w:left w:val="nil"/>
          <w:bottom w:val="single" w:sz="4" w:space="0" w:color="auto"/>
          <w:right w:val="nil"/>
          <w:insideH w:val="nil"/>
          <w:insideV w:val="nil"/>
          <w:tl2br w:val="nil"/>
          <w:tr2bl w:val="nil"/>
        </w:tcBorders>
        <w:vAlign w:val="center"/>
      </w:tcPr>
    </w:tblStylePr>
    <w:tblStylePr w:type="lastRow">
      <w:pPr>
        <w:jc w:val="right"/>
      </w:pPr>
      <w:rPr>
        <w:b w:val="0"/>
        <w:i/>
        <w:color w:val="auto"/>
        <w:sz w:val="16"/>
      </w:rPr>
      <w:tblPr/>
      <w:tcPr>
        <w:tcBorders>
          <w:top w:val="single" w:sz="4" w:space="0" w:color="auto"/>
          <w:left w:val="nil"/>
          <w:bottom w:val="nil"/>
          <w:right w:val="nil"/>
          <w:insideH w:val="nil"/>
          <w:insideV w:val="nil"/>
          <w:tl2br w:val="nil"/>
          <w:tr2bl w:val="nil"/>
        </w:tcBorders>
      </w:tcPr>
    </w:tblStylePr>
    <w:tblStylePr w:type="firstCol">
      <w:tblPr/>
      <w:tcPr>
        <w:tcBorders>
          <w:top w:val="nil"/>
          <w:left w:val="nil"/>
          <w:bottom w:val="nil"/>
          <w:right w:val="nil"/>
          <w:insideH w:val="nil"/>
          <w:insideV w:val="nil"/>
          <w:tl2br w:val="nil"/>
          <w:tr2bl w:val="nil"/>
        </w:tcBorders>
        <w:shd w:val="clear" w:color="auto" w:fill="auto"/>
      </w:tcPr>
    </w:tblStylePr>
    <w:tblStylePr w:type="lastCol">
      <w:pPr>
        <w:jc w:val="right"/>
      </w:pPr>
      <w:rPr>
        <w:b w:val="0"/>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ka1">
    <w:name w:val="Table Classic 1"/>
    <w:basedOn w:val="Normlnatabuka"/>
    <w:uiPriority w:val="99"/>
    <w:semiHidden/>
    <w:unhideWhenUsed/>
    <w:rsid w:val="00416B7B"/>
    <w:pPr>
      <w:spacing w:before="160"/>
      <w:jc w:val="both"/>
    </w:pPr>
    <w:rPr>
      <w:rFonts w:asciiTheme="minorHAnsi" w:hAnsiTheme="minorHAnsi"/>
      <w:sz w:val="22"/>
      <w:szCs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efault">
    <w:name w:val="Default"/>
    <w:rsid w:val="00416B7B"/>
    <w:pPr>
      <w:autoSpaceDE w:val="0"/>
      <w:autoSpaceDN w:val="0"/>
      <w:adjustRightInd w:val="0"/>
      <w:spacing w:after="0" w:line="240" w:lineRule="auto"/>
    </w:pPr>
    <w:rPr>
      <w:rFonts w:ascii="Arial" w:hAnsi="Arial" w:cs="Arial"/>
      <w:color w:val="000000"/>
      <w:sz w:val="24"/>
      <w:szCs w:val="24"/>
    </w:rPr>
  </w:style>
  <w:style w:type="character" w:styleId="PouitHypertextovPrepojenie">
    <w:name w:val="FollowedHyperlink"/>
    <w:basedOn w:val="Predvolenpsmoodseku"/>
    <w:uiPriority w:val="99"/>
    <w:semiHidden/>
    <w:unhideWhenUsed/>
    <w:rsid w:val="00416B7B"/>
    <w:rPr>
      <w:color w:val="954F72" w:themeColor="followedHyperlink"/>
      <w:u w:val="single"/>
    </w:rPr>
  </w:style>
  <w:style w:type="paragraph" w:styleId="Bezriadkovania">
    <w:name w:val="No Spacing"/>
    <w:uiPriority w:val="1"/>
    <w:qFormat/>
    <w:rsid w:val="00416B7B"/>
    <w:pPr>
      <w:spacing w:after="0" w:line="240" w:lineRule="auto"/>
    </w:pPr>
    <w:rPr>
      <w:rFonts w:asciiTheme="minorHAnsi" w:hAnsiTheme="minorHAnsi"/>
      <w:sz w:val="22"/>
      <w:szCs w:val="22"/>
    </w:rPr>
  </w:style>
  <w:style w:type="paragraph" w:styleId="Bibliografia">
    <w:name w:val="Bibliography"/>
    <w:basedOn w:val="Normlny"/>
    <w:next w:val="Normlny"/>
    <w:uiPriority w:val="37"/>
    <w:unhideWhenUsed/>
    <w:rsid w:val="00416B7B"/>
    <w:rPr>
      <w:szCs w:val="22"/>
    </w:rPr>
  </w:style>
  <w:style w:type="character" w:customStyle="1" w:styleId="a-size-extra-large3">
    <w:name w:val="a-size-extra-large3"/>
    <w:basedOn w:val="Predvolenpsmoodseku"/>
    <w:rsid w:val="00416B7B"/>
  </w:style>
  <w:style w:type="paragraph" w:styleId="Normlnywebov">
    <w:name w:val="Normal (Web)"/>
    <w:basedOn w:val="Normlny"/>
    <w:uiPriority w:val="99"/>
    <w:unhideWhenUsed/>
    <w:rsid w:val="00416B7B"/>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UnresolvedMention1">
    <w:name w:val="Unresolved Mention1"/>
    <w:basedOn w:val="Predvolenpsmoodseku"/>
    <w:uiPriority w:val="99"/>
    <w:semiHidden/>
    <w:unhideWhenUsed/>
    <w:rsid w:val="00416B7B"/>
    <w:rPr>
      <w:color w:val="605E5C"/>
      <w:shd w:val="clear" w:color="auto" w:fill="E1DFDD"/>
    </w:rPr>
  </w:style>
  <w:style w:type="character" w:customStyle="1" w:styleId="UnresolvedMention2">
    <w:name w:val="Unresolved Mention2"/>
    <w:basedOn w:val="Predvolenpsmoodseku"/>
    <w:uiPriority w:val="99"/>
    <w:semiHidden/>
    <w:unhideWhenUsed/>
    <w:rsid w:val="00416B7B"/>
    <w:rPr>
      <w:color w:val="605E5C"/>
      <w:shd w:val="clear" w:color="auto" w:fill="E1DFDD"/>
    </w:rPr>
  </w:style>
  <w:style w:type="table" w:styleId="Tabukasmriekou6farebn">
    <w:name w:val="Grid Table 6 Colorful"/>
    <w:basedOn w:val="Normlnatabuka"/>
    <w:uiPriority w:val="51"/>
    <w:rsid w:val="00416B7B"/>
    <w:pPr>
      <w:spacing w:after="0" w:line="240" w:lineRule="auto"/>
    </w:pPr>
    <w:rPr>
      <w:rFonts w:asciiTheme="minorHAnsi" w:hAnsiTheme="minorHAnsi"/>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Obyajntext">
    <w:name w:val="Plain Text"/>
    <w:basedOn w:val="Normlny"/>
    <w:link w:val="ObyajntextChar"/>
    <w:uiPriority w:val="99"/>
    <w:semiHidden/>
    <w:unhideWhenUsed/>
    <w:rsid w:val="00416B7B"/>
    <w:pPr>
      <w:spacing w:after="0" w:line="240" w:lineRule="auto"/>
      <w:jc w:val="left"/>
    </w:pPr>
    <w:rPr>
      <w:rFonts w:ascii="Calibri" w:hAnsi="Calibri"/>
      <w:szCs w:val="21"/>
    </w:rPr>
  </w:style>
  <w:style w:type="character" w:customStyle="1" w:styleId="ObyajntextChar">
    <w:name w:val="Obyčajný text Char"/>
    <w:basedOn w:val="Predvolenpsmoodseku"/>
    <w:link w:val="Obyajntext"/>
    <w:uiPriority w:val="99"/>
    <w:semiHidden/>
    <w:rsid w:val="00416B7B"/>
    <w:rPr>
      <w:rFonts w:ascii="Calibri" w:hAnsi="Calibri"/>
      <w:sz w:val="22"/>
      <w:szCs w:val="21"/>
    </w:rPr>
  </w:style>
  <w:style w:type="character" w:customStyle="1" w:styleId="UnresolvedMention3">
    <w:name w:val="Unresolved Mention3"/>
    <w:basedOn w:val="Predvolenpsmoodseku"/>
    <w:uiPriority w:val="99"/>
    <w:semiHidden/>
    <w:unhideWhenUsed/>
    <w:rsid w:val="00416B7B"/>
    <w:rPr>
      <w:color w:val="605E5C"/>
      <w:shd w:val="clear" w:color="auto" w:fill="E1DFDD"/>
    </w:rPr>
  </w:style>
  <w:style w:type="table" w:styleId="Obyajntabuka2">
    <w:name w:val="Plain Table 2"/>
    <w:basedOn w:val="Normlnatabuka"/>
    <w:uiPriority w:val="42"/>
    <w:rsid w:val="00416B7B"/>
    <w:pPr>
      <w:spacing w:after="0" w:line="240" w:lineRule="auto"/>
    </w:pPr>
    <w:rPr>
      <w:rFonts w:asciiTheme="minorHAnsi" w:hAnsiTheme="minorHAns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lid-translation">
    <w:name w:val="tlid-translation"/>
    <w:basedOn w:val="Predvolenpsmoodseku"/>
    <w:rsid w:val="00416B7B"/>
  </w:style>
  <w:style w:type="paragraph" w:styleId="Revzia">
    <w:name w:val="Revision"/>
    <w:hidden/>
    <w:uiPriority w:val="99"/>
    <w:semiHidden/>
    <w:rsid w:val="00416B7B"/>
    <w:pPr>
      <w:spacing w:after="0" w:line="240" w:lineRule="auto"/>
    </w:pPr>
    <w:rPr>
      <w:sz w:val="22"/>
      <w:szCs w:val="22"/>
    </w:rPr>
  </w:style>
  <w:style w:type="character" w:customStyle="1" w:styleId="A10">
    <w:name w:val="A10"/>
    <w:uiPriority w:val="99"/>
    <w:rsid w:val="00416B7B"/>
    <w:rPr>
      <w:rFonts w:cs="EC Square Sans Pro"/>
      <w:color w:val="000000"/>
      <w:sz w:val="20"/>
      <w:szCs w:val="20"/>
      <w:u w:val="single"/>
    </w:rPr>
  </w:style>
  <w:style w:type="table" w:styleId="Mriekatabukysvetl">
    <w:name w:val="Grid Table Light"/>
    <w:basedOn w:val="Normlnatabuka"/>
    <w:uiPriority w:val="40"/>
    <w:rsid w:val="00416B7B"/>
    <w:pPr>
      <w:spacing w:after="0" w:line="240" w:lineRule="auto"/>
    </w:pPr>
    <w:rPr>
      <w:rFonts w:asciiTheme="minorHAnsi" w:hAnsi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byajntabuka1">
    <w:name w:val="Plain Table 1"/>
    <w:basedOn w:val="Normlnatabuka"/>
    <w:uiPriority w:val="41"/>
    <w:rsid w:val="00416B7B"/>
    <w:pPr>
      <w:spacing w:after="0" w:line="240" w:lineRule="auto"/>
    </w:pPr>
    <w:rPr>
      <w:rFonts w:asciiTheme="minorHAnsi" w:hAnsiTheme="minorHAns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iln">
    <w:name w:val="Strong"/>
    <w:basedOn w:val="Predvolenpsmoodseku"/>
    <w:uiPriority w:val="22"/>
    <w:qFormat/>
    <w:rsid w:val="00B554DC"/>
    <w:rPr>
      <w:b/>
      <w:bCs/>
    </w:rPr>
  </w:style>
  <w:style w:type="character" w:customStyle="1" w:styleId="UnresolvedMention4">
    <w:name w:val="Unresolved Mention4"/>
    <w:basedOn w:val="Predvolenpsmoodseku"/>
    <w:uiPriority w:val="99"/>
    <w:semiHidden/>
    <w:unhideWhenUsed/>
    <w:rsid w:val="004167A6"/>
    <w:rPr>
      <w:color w:val="605E5C"/>
      <w:shd w:val="clear" w:color="auto" w:fill="E1DFDD"/>
    </w:rPr>
  </w:style>
  <w:style w:type="character" w:customStyle="1" w:styleId="awspan1">
    <w:name w:val="awspan1"/>
    <w:basedOn w:val="Predvolenpsmoodseku"/>
    <w:rsid w:val="007076E4"/>
    <w:rPr>
      <w:color w:val="000000"/>
      <w:sz w:val="24"/>
      <w:szCs w:val="24"/>
    </w:rPr>
  </w:style>
  <w:style w:type="character" w:customStyle="1" w:styleId="UnresolvedMention5">
    <w:name w:val="Unresolved Mention5"/>
    <w:basedOn w:val="Predvolenpsmoodseku"/>
    <w:uiPriority w:val="99"/>
    <w:semiHidden/>
    <w:unhideWhenUsed/>
    <w:rsid w:val="0050127D"/>
    <w:rPr>
      <w:color w:val="605E5C"/>
      <w:shd w:val="clear" w:color="auto" w:fill="E1DFDD"/>
    </w:rPr>
  </w:style>
  <w:style w:type="table" w:customStyle="1" w:styleId="Tabukasmriekou4zvraznenie51">
    <w:name w:val="Tabuľka s mriežkou 4 – zvýraznenie 51"/>
    <w:basedOn w:val="Normlnatabuka"/>
    <w:uiPriority w:val="49"/>
    <w:rsid w:val="0069559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ukasmriekou6farebn1">
    <w:name w:val="Tabuľka s mriežkou 6 – farebná1"/>
    <w:basedOn w:val="Normlnatabuka"/>
    <w:uiPriority w:val="51"/>
    <w:rsid w:val="00695590"/>
    <w:pPr>
      <w:spacing w:after="0" w:line="240" w:lineRule="auto"/>
    </w:pPr>
    <w:rPr>
      <w:rFonts w:asciiTheme="minorHAnsi" w:hAnsiTheme="minorHAnsi"/>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Obyajntabuka21">
    <w:name w:val="Obyčajná tabuľka 21"/>
    <w:basedOn w:val="Normlnatabuka"/>
    <w:uiPriority w:val="42"/>
    <w:rsid w:val="00695590"/>
    <w:pPr>
      <w:spacing w:after="0" w:line="240" w:lineRule="auto"/>
    </w:pPr>
    <w:rPr>
      <w:rFonts w:asciiTheme="minorHAnsi" w:hAnsiTheme="minorHAns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Mriekatabukysvetl1">
    <w:name w:val="Mriežka tabuľky – svetlá1"/>
    <w:basedOn w:val="Normlnatabuka"/>
    <w:uiPriority w:val="40"/>
    <w:rsid w:val="00695590"/>
    <w:pPr>
      <w:spacing w:after="0" w:line="240" w:lineRule="auto"/>
    </w:pPr>
    <w:rPr>
      <w:rFonts w:asciiTheme="minorHAnsi" w:hAnsi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Obyajntabuka11">
    <w:name w:val="Obyčajná tabuľka 11"/>
    <w:basedOn w:val="Normlnatabuka"/>
    <w:uiPriority w:val="41"/>
    <w:rsid w:val="00695590"/>
    <w:pPr>
      <w:spacing w:after="0" w:line="240" w:lineRule="auto"/>
    </w:pPr>
    <w:rPr>
      <w:rFonts w:asciiTheme="minorHAnsi" w:hAnsiTheme="minorHAns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opis">
    <w:name w:val="caption"/>
    <w:basedOn w:val="Normlny"/>
    <w:next w:val="Normlny"/>
    <w:uiPriority w:val="35"/>
    <w:unhideWhenUsed/>
    <w:qFormat/>
    <w:rsid w:val="00C672A4"/>
    <w:pPr>
      <w:spacing w:line="240" w:lineRule="auto"/>
    </w:pPr>
    <w:rPr>
      <w:i/>
      <w:iCs/>
      <w:color w:val="44546A" w:themeColor="text2"/>
      <w:sz w:val="18"/>
      <w:szCs w:val="18"/>
    </w:rPr>
  </w:style>
  <w:style w:type="table" w:styleId="Obyajntabuka3">
    <w:name w:val="Plain Table 3"/>
    <w:basedOn w:val="Normlnatabuka"/>
    <w:uiPriority w:val="43"/>
    <w:rsid w:val="004B6FC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st">
    <w:name w:val="st"/>
    <w:basedOn w:val="Predvolenpsmoodseku"/>
    <w:rsid w:val="009D2757"/>
  </w:style>
  <w:style w:type="character" w:styleId="CitciaHTML">
    <w:name w:val="HTML Cite"/>
    <w:basedOn w:val="Predvolenpsmoodseku"/>
    <w:uiPriority w:val="99"/>
    <w:semiHidden/>
    <w:unhideWhenUsed/>
    <w:rsid w:val="004E18F4"/>
    <w:rPr>
      <w:i/>
      <w:iCs/>
    </w:rPr>
  </w:style>
  <w:style w:type="character" w:styleId="Intenzvnezvraznenie">
    <w:name w:val="Intense Emphasis"/>
    <w:basedOn w:val="Predvolenpsmoodseku"/>
    <w:uiPriority w:val="21"/>
    <w:qFormat/>
    <w:rsid w:val="006B527D"/>
    <w:rPr>
      <w:i/>
      <w:iCs/>
      <w:color w:val="5B9BD5" w:themeColor="accent1"/>
    </w:rPr>
  </w:style>
  <w:style w:type="character" w:customStyle="1" w:styleId="UnresolvedMention">
    <w:name w:val="Unresolved Mention"/>
    <w:basedOn w:val="Predvolenpsmoodseku"/>
    <w:uiPriority w:val="99"/>
    <w:semiHidden/>
    <w:unhideWhenUsed/>
    <w:rsid w:val="000012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8513">
      <w:bodyDiv w:val="1"/>
      <w:marLeft w:val="0"/>
      <w:marRight w:val="0"/>
      <w:marTop w:val="0"/>
      <w:marBottom w:val="0"/>
      <w:divBdr>
        <w:top w:val="none" w:sz="0" w:space="0" w:color="auto"/>
        <w:left w:val="none" w:sz="0" w:space="0" w:color="auto"/>
        <w:bottom w:val="none" w:sz="0" w:space="0" w:color="auto"/>
        <w:right w:val="none" w:sz="0" w:space="0" w:color="auto"/>
      </w:divBdr>
    </w:div>
    <w:div w:id="11148859">
      <w:bodyDiv w:val="1"/>
      <w:marLeft w:val="0"/>
      <w:marRight w:val="0"/>
      <w:marTop w:val="0"/>
      <w:marBottom w:val="0"/>
      <w:divBdr>
        <w:top w:val="none" w:sz="0" w:space="0" w:color="auto"/>
        <w:left w:val="none" w:sz="0" w:space="0" w:color="auto"/>
        <w:bottom w:val="none" w:sz="0" w:space="0" w:color="auto"/>
        <w:right w:val="none" w:sz="0" w:space="0" w:color="auto"/>
      </w:divBdr>
    </w:div>
    <w:div w:id="12730965">
      <w:bodyDiv w:val="1"/>
      <w:marLeft w:val="0"/>
      <w:marRight w:val="0"/>
      <w:marTop w:val="0"/>
      <w:marBottom w:val="0"/>
      <w:divBdr>
        <w:top w:val="none" w:sz="0" w:space="0" w:color="auto"/>
        <w:left w:val="none" w:sz="0" w:space="0" w:color="auto"/>
        <w:bottom w:val="none" w:sz="0" w:space="0" w:color="auto"/>
        <w:right w:val="none" w:sz="0" w:space="0" w:color="auto"/>
      </w:divBdr>
    </w:div>
    <w:div w:id="15012013">
      <w:bodyDiv w:val="1"/>
      <w:marLeft w:val="0"/>
      <w:marRight w:val="0"/>
      <w:marTop w:val="0"/>
      <w:marBottom w:val="0"/>
      <w:divBdr>
        <w:top w:val="none" w:sz="0" w:space="0" w:color="auto"/>
        <w:left w:val="none" w:sz="0" w:space="0" w:color="auto"/>
        <w:bottom w:val="none" w:sz="0" w:space="0" w:color="auto"/>
        <w:right w:val="none" w:sz="0" w:space="0" w:color="auto"/>
      </w:divBdr>
    </w:div>
    <w:div w:id="15934034">
      <w:bodyDiv w:val="1"/>
      <w:marLeft w:val="0"/>
      <w:marRight w:val="0"/>
      <w:marTop w:val="0"/>
      <w:marBottom w:val="0"/>
      <w:divBdr>
        <w:top w:val="none" w:sz="0" w:space="0" w:color="auto"/>
        <w:left w:val="none" w:sz="0" w:space="0" w:color="auto"/>
        <w:bottom w:val="none" w:sz="0" w:space="0" w:color="auto"/>
        <w:right w:val="none" w:sz="0" w:space="0" w:color="auto"/>
      </w:divBdr>
    </w:div>
    <w:div w:id="16515091">
      <w:bodyDiv w:val="1"/>
      <w:marLeft w:val="0"/>
      <w:marRight w:val="0"/>
      <w:marTop w:val="0"/>
      <w:marBottom w:val="0"/>
      <w:divBdr>
        <w:top w:val="none" w:sz="0" w:space="0" w:color="auto"/>
        <w:left w:val="none" w:sz="0" w:space="0" w:color="auto"/>
        <w:bottom w:val="none" w:sz="0" w:space="0" w:color="auto"/>
        <w:right w:val="none" w:sz="0" w:space="0" w:color="auto"/>
      </w:divBdr>
    </w:div>
    <w:div w:id="22367526">
      <w:bodyDiv w:val="1"/>
      <w:marLeft w:val="0"/>
      <w:marRight w:val="0"/>
      <w:marTop w:val="0"/>
      <w:marBottom w:val="0"/>
      <w:divBdr>
        <w:top w:val="none" w:sz="0" w:space="0" w:color="auto"/>
        <w:left w:val="none" w:sz="0" w:space="0" w:color="auto"/>
        <w:bottom w:val="none" w:sz="0" w:space="0" w:color="auto"/>
        <w:right w:val="none" w:sz="0" w:space="0" w:color="auto"/>
      </w:divBdr>
    </w:div>
    <w:div w:id="24720896">
      <w:bodyDiv w:val="1"/>
      <w:marLeft w:val="0"/>
      <w:marRight w:val="0"/>
      <w:marTop w:val="0"/>
      <w:marBottom w:val="0"/>
      <w:divBdr>
        <w:top w:val="none" w:sz="0" w:space="0" w:color="auto"/>
        <w:left w:val="none" w:sz="0" w:space="0" w:color="auto"/>
        <w:bottom w:val="none" w:sz="0" w:space="0" w:color="auto"/>
        <w:right w:val="none" w:sz="0" w:space="0" w:color="auto"/>
      </w:divBdr>
    </w:div>
    <w:div w:id="29577373">
      <w:bodyDiv w:val="1"/>
      <w:marLeft w:val="0"/>
      <w:marRight w:val="0"/>
      <w:marTop w:val="0"/>
      <w:marBottom w:val="0"/>
      <w:divBdr>
        <w:top w:val="none" w:sz="0" w:space="0" w:color="auto"/>
        <w:left w:val="none" w:sz="0" w:space="0" w:color="auto"/>
        <w:bottom w:val="none" w:sz="0" w:space="0" w:color="auto"/>
        <w:right w:val="none" w:sz="0" w:space="0" w:color="auto"/>
      </w:divBdr>
    </w:div>
    <w:div w:id="30308135">
      <w:bodyDiv w:val="1"/>
      <w:marLeft w:val="0"/>
      <w:marRight w:val="0"/>
      <w:marTop w:val="0"/>
      <w:marBottom w:val="0"/>
      <w:divBdr>
        <w:top w:val="none" w:sz="0" w:space="0" w:color="auto"/>
        <w:left w:val="none" w:sz="0" w:space="0" w:color="auto"/>
        <w:bottom w:val="none" w:sz="0" w:space="0" w:color="auto"/>
        <w:right w:val="none" w:sz="0" w:space="0" w:color="auto"/>
      </w:divBdr>
    </w:div>
    <w:div w:id="31006283">
      <w:bodyDiv w:val="1"/>
      <w:marLeft w:val="0"/>
      <w:marRight w:val="0"/>
      <w:marTop w:val="0"/>
      <w:marBottom w:val="0"/>
      <w:divBdr>
        <w:top w:val="none" w:sz="0" w:space="0" w:color="auto"/>
        <w:left w:val="none" w:sz="0" w:space="0" w:color="auto"/>
        <w:bottom w:val="none" w:sz="0" w:space="0" w:color="auto"/>
        <w:right w:val="none" w:sz="0" w:space="0" w:color="auto"/>
      </w:divBdr>
    </w:div>
    <w:div w:id="32922774">
      <w:bodyDiv w:val="1"/>
      <w:marLeft w:val="0"/>
      <w:marRight w:val="0"/>
      <w:marTop w:val="0"/>
      <w:marBottom w:val="0"/>
      <w:divBdr>
        <w:top w:val="none" w:sz="0" w:space="0" w:color="auto"/>
        <w:left w:val="none" w:sz="0" w:space="0" w:color="auto"/>
        <w:bottom w:val="none" w:sz="0" w:space="0" w:color="auto"/>
        <w:right w:val="none" w:sz="0" w:space="0" w:color="auto"/>
      </w:divBdr>
    </w:div>
    <w:div w:id="33042151">
      <w:bodyDiv w:val="1"/>
      <w:marLeft w:val="0"/>
      <w:marRight w:val="0"/>
      <w:marTop w:val="0"/>
      <w:marBottom w:val="0"/>
      <w:divBdr>
        <w:top w:val="none" w:sz="0" w:space="0" w:color="auto"/>
        <w:left w:val="none" w:sz="0" w:space="0" w:color="auto"/>
        <w:bottom w:val="none" w:sz="0" w:space="0" w:color="auto"/>
        <w:right w:val="none" w:sz="0" w:space="0" w:color="auto"/>
      </w:divBdr>
    </w:div>
    <w:div w:id="33971154">
      <w:bodyDiv w:val="1"/>
      <w:marLeft w:val="0"/>
      <w:marRight w:val="0"/>
      <w:marTop w:val="0"/>
      <w:marBottom w:val="0"/>
      <w:divBdr>
        <w:top w:val="none" w:sz="0" w:space="0" w:color="auto"/>
        <w:left w:val="none" w:sz="0" w:space="0" w:color="auto"/>
        <w:bottom w:val="none" w:sz="0" w:space="0" w:color="auto"/>
        <w:right w:val="none" w:sz="0" w:space="0" w:color="auto"/>
      </w:divBdr>
    </w:div>
    <w:div w:id="38169975">
      <w:bodyDiv w:val="1"/>
      <w:marLeft w:val="0"/>
      <w:marRight w:val="0"/>
      <w:marTop w:val="0"/>
      <w:marBottom w:val="0"/>
      <w:divBdr>
        <w:top w:val="none" w:sz="0" w:space="0" w:color="auto"/>
        <w:left w:val="none" w:sz="0" w:space="0" w:color="auto"/>
        <w:bottom w:val="none" w:sz="0" w:space="0" w:color="auto"/>
        <w:right w:val="none" w:sz="0" w:space="0" w:color="auto"/>
      </w:divBdr>
    </w:div>
    <w:div w:id="48580319">
      <w:bodyDiv w:val="1"/>
      <w:marLeft w:val="0"/>
      <w:marRight w:val="0"/>
      <w:marTop w:val="0"/>
      <w:marBottom w:val="0"/>
      <w:divBdr>
        <w:top w:val="none" w:sz="0" w:space="0" w:color="auto"/>
        <w:left w:val="none" w:sz="0" w:space="0" w:color="auto"/>
        <w:bottom w:val="none" w:sz="0" w:space="0" w:color="auto"/>
        <w:right w:val="none" w:sz="0" w:space="0" w:color="auto"/>
      </w:divBdr>
    </w:div>
    <w:div w:id="48649054">
      <w:bodyDiv w:val="1"/>
      <w:marLeft w:val="0"/>
      <w:marRight w:val="0"/>
      <w:marTop w:val="0"/>
      <w:marBottom w:val="0"/>
      <w:divBdr>
        <w:top w:val="none" w:sz="0" w:space="0" w:color="auto"/>
        <w:left w:val="none" w:sz="0" w:space="0" w:color="auto"/>
        <w:bottom w:val="none" w:sz="0" w:space="0" w:color="auto"/>
        <w:right w:val="none" w:sz="0" w:space="0" w:color="auto"/>
      </w:divBdr>
    </w:div>
    <w:div w:id="50813473">
      <w:bodyDiv w:val="1"/>
      <w:marLeft w:val="0"/>
      <w:marRight w:val="0"/>
      <w:marTop w:val="0"/>
      <w:marBottom w:val="0"/>
      <w:divBdr>
        <w:top w:val="none" w:sz="0" w:space="0" w:color="auto"/>
        <w:left w:val="none" w:sz="0" w:space="0" w:color="auto"/>
        <w:bottom w:val="none" w:sz="0" w:space="0" w:color="auto"/>
        <w:right w:val="none" w:sz="0" w:space="0" w:color="auto"/>
      </w:divBdr>
    </w:div>
    <w:div w:id="51198437">
      <w:bodyDiv w:val="1"/>
      <w:marLeft w:val="0"/>
      <w:marRight w:val="0"/>
      <w:marTop w:val="0"/>
      <w:marBottom w:val="0"/>
      <w:divBdr>
        <w:top w:val="none" w:sz="0" w:space="0" w:color="auto"/>
        <w:left w:val="none" w:sz="0" w:space="0" w:color="auto"/>
        <w:bottom w:val="none" w:sz="0" w:space="0" w:color="auto"/>
        <w:right w:val="none" w:sz="0" w:space="0" w:color="auto"/>
      </w:divBdr>
    </w:div>
    <w:div w:id="52631335">
      <w:bodyDiv w:val="1"/>
      <w:marLeft w:val="0"/>
      <w:marRight w:val="0"/>
      <w:marTop w:val="0"/>
      <w:marBottom w:val="0"/>
      <w:divBdr>
        <w:top w:val="none" w:sz="0" w:space="0" w:color="auto"/>
        <w:left w:val="none" w:sz="0" w:space="0" w:color="auto"/>
        <w:bottom w:val="none" w:sz="0" w:space="0" w:color="auto"/>
        <w:right w:val="none" w:sz="0" w:space="0" w:color="auto"/>
      </w:divBdr>
    </w:div>
    <w:div w:id="58093001">
      <w:bodyDiv w:val="1"/>
      <w:marLeft w:val="0"/>
      <w:marRight w:val="0"/>
      <w:marTop w:val="0"/>
      <w:marBottom w:val="0"/>
      <w:divBdr>
        <w:top w:val="none" w:sz="0" w:space="0" w:color="auto"/>
        <w:left w:val="none" w:sz="0" w:space="0" w:color="auto"/>
        <w:bottom w:val="none" w:sz="0" w:space="0" w:color="auto"/>
        <w:right w:val="none" w:sz="0" w:space="0" w:color="auto"/>
      </w:divBdr>
    </w:div>
    <w:div w:id="62607920">
      <w:bodyDiv w:val="1"/>
      <w:marLeft w:val="0"/>
      <w:marRight w:val="0"/>
      <w:marTop w:val="0"/>
      <w:marBottom w:val="0"/>
      <w:divBdr>
        <w:top w:val="none" w:sz="0" w:space="0" w:color="auto"/>
        <w:left w:val="none" w:sz="0" w:space="0" w:color="auto"/>
        <w:bottom w:val="none" w:sz="0" w:space="0" w:color="auto"/>
        <w:right w:val="none" w:sz="0" w:space="0" w:color="auto"/>
      </w:divBdr>
    </w:div>
    <w:div w:id="77604101">
      <w:bodyDiv w:val="1"/>
      <w:marLeft w:val="0"/>
      <w:marRight w:val="0"/>
      <w:marTop w:val="0"/>
      <w:marBottom w:val="0"/>
      <w:divBdr>
        <w:top w:val="none" w:sz="0" w:space="0" w:color="auto"/>
        <w:left w:val="none" w:sz="0" w:space="0" w:color="auto"/>
        <w:bottom w:val="none" w:sz="0" w:space="0" w:color="auto"/>
        <w:right w:val="none" w:sz="0" w:space="0" w:color="auto"/>
      </w:divBdr>
    </w:div>
    <w:div w:id="78330343">
      <w:bodyDiv w:val="1"/>
      <w:marLeft w:val="0"/>
      <w:marRight w:val="0"/>
      <w:marTop w:val="0"/>
      <w:marBottom w:val="0"/>
      <w:divBdr>
        <w:top w:val="none" w:sz="0" w:space="0" w:color="auto"/>
        <w:left w:val="none" w:sz="0" w:space="0" w:color="auto"/>
        <w:bottom w:val="none" w:sz="0" w:space="0" w:color="auto"/>
        <w:right w:val="none" w:sz="0" w:space="0" w:color="auto"/>
      </w:divBdr>
    </w:div>
    <w:div w:id="88739515">
      <w:bodyDiv w:val="1"/>
      <w:marLeft w:val="0"/>
      <w:marRight w:val="0"/>
      <w:marTop w:val="0"/>
      <w:marBottom w:val="0"/>
      <w:divBdr>
        <w:top w:val="none" w:sz="0" w:space="0" w:color="auto"/>
        <w:left w:val="none" w:sz="0" w:space="0" w:color="auto"/>
        <w:bottom w:val="none" w:sz="0" w:space="0" w:color="auto"/>
        <w:right w:val="none" w:sz="0" w:space="0" w:color="auto"/>
      </w:divBdr>
    </w:div>
    <w:div w:id="90929034">
      <w:bodyDiv w:val="1"/>
      <w:marLeft w:val="0"/>
      <w:marRight w:val="0"/>
      <w:marTop w:val="0"/>
      <w:marBottom w:val="0"/>
      <w:divBdr>
        <w:top w:val="none" w:sz="0" w:space="0" w:color="auto"/>
        <w:left w:val="none" w:sz="0" w:space="0" w:color="auto"/>
        <w:bottom w:val="none" w:sz="0" w:space="0" w:color="auto"/>
        <w:right w:val="none" w:sz="0" w:space="0" w:color="auto"/>
      </w:divBdr>
    </w:div>
    <w:div w:id="93913189">
      <w:bodyDiv w:val="1"/>
      <w:marLeft w:val="0"/>
      <w:marRight w:val="0"/>
      <w:marTop w:val="0"/>
      <w:marBottom w:val="0"/>
      <w:divBdr>
        <w:top w:val="none" w:sz="0" w:space="0" w:color="auto"/>
        <w:left w:val="none" w:sz="0" w:space="0" w:color="auto"/>
        <w:bottom w:val="none" w:sz="0" w:space="0" w:color="auto"/>
        <w:right w:val="none" w:sz="0" w:space="0" w:color="auto"/>
      </w:divBdr>
    </w:div>
    <w:div w:id="98137038">
      <w:bodyDiv w:val="1"/>
      <w:marLeft w:val="0"/>
      <w:marRight w:val="0"/>
      <w:marTop w:val="0"/>
      <w:marBottom w:val="0"/>
      <w:divBdr>
        <w:top w:val="none" w:sz="0" w:space="0" w:color="auto"/>
        <w:left w:val="none" w:sz="0" w:space="0" w:color="auto"/>
        <w:bottom w:val="none" w:sz="0" w:space="0" w:color="auto"/>
        <w:right w:val="none" w:sz="0" w:space="0" w:color="auto"/>
      </w:divBdr>
    </w:div>
    <w:div w:id="126439136">
      <w:bodyDiv w:val="1"/>
      <w:marLeft w:val="0"/>
      <w:marRight w:val="0"/>
      <w:marTop w:val="0"/>
      <w:marBottom w:val="0"/>
      <w:divBdr>
        <w:top w:val="none" w:sz="0" w:space="0" w:color="auto"/>
        <w:left w:val="none" w:sz="0" w:space="0" w:color="auto"/>
        <w:bottom w:val="none" w:sz="0" w:space="0" w:color="auto"/>
        <w:right w:val="none" w:sz="0" w:space="0" w:color="auto"/>
      </w:divBdr>
    </w:div>
    <w:div w:id="128405976">
      <w:bodyDiv w:val="1"/>
      <w:marLeft w:val="0"/>
      <w:marRight w:val="0"/>
      <w:marTop w:val="0"/>
      <w:marBottom w:val="0"/>
      <w:divBdr>
        <w:top w:val="none" w:sz="0" w:space="0" w:color="auto"/>
        <w:left w:val="none" w:sz="0" w:space="0" w:color="auto"/>
        <w:bottom w:val="none" w:sz="0" w:space="0" w:color="auto"/>
        <w:right w:val="none" w:sz="0" w:space="0" w:color="auto"/>
      </w:divBdr>
    </w:div>
    <w:div w:id="139471014">
      <w:bodyDiv w:val="1"/>
      <w:marLeft w:val="0"/>
      <w:marRight w:val="0"/>
      <w:marTop w:val="0"/>
      <w:marBottom w:val="0"/>
      <w:divBdr>
        <w:top w:val="none" w:sz="0" w:space="0" w:color="auto"/>
        <w:left w:val="none" w:sz="0" w:space="0" w:color="auto"/>
        <w:bottom w:val="none" w:sz="0" w:space="0" w:color="auto"/>
        <w:right w:val="none" w:sz="0" w:space="0" w:color="auto"/>
      </w:divBdr>
    </w:div>
    <w:div w:id="151525037">
      <w:bodyDiv w:val="1"/>
      <w:marLeft w:val="0"/>
      <w:marRight w:val="0"/>
      <w:marTop w:val="0"/>
      <w:marBottom w:val="0"/>
      <w:divBdr>
        <w:top w:val="none" w:sz="0" w:space="0" w:color="auto"/>
        <w:left w:val="none" w:sz="0" w:space="0" w:color="auto"/>
        <w:bottom w:val="none" w:sz="0" w:space="0" w:color="auto"/>
        <w:right w:val="none" w:sz="0" w:space="0" w:color="auto"/>
      </w:divBdr>
    </w:div>
    <w:div w:id="152259002">
      <w:bodyDiv w:val="1"/>
      <w:marLeft w:val="0"/>
      <w:marRight w:val="0"/>
      <w:marTop w:val="0"/>
      <w:marBottom w:val="0"/>
      <w:divBdr>
        <w:top w:val="none" w:sz="0" w:space="0" w:color="auto"/>
        <w:left w:val="none" w:sz="0" w:space="0" w:color="auto"/>
        <w:bottom w:val="none" w:sz="0" w:space="0" w:color="auto"/>
        <w:right w:val="none" w:sz="0" w:space="0" w:color="auto"/>
      </w:divBdr>
    </w:div>
    <w:div w:id="152261113">
      <w:bodyDiv w:val="1"/>
      <w:marLeft w:val="0"/>
      <w:marRight w:val="0"/>
      <w:marTop w:val="0"/>
      <w:marBottom w:val="0"/>
      <w:divBdr>
        <w:top w:val="none" w:sz="0" w:space="0" w:color="auto"/>
        <w:left w:val="none" w:sz="0" w:space="0" w:color="auto"/>
        <w:bottom w:val="none" w:sz="0" w:space="0" w:color="auto"/>
        <w:right w:val="none" w:sz="0" w:space="0" w:color="auto"/>
      </w:divBdr>
    </w:div>
    <w:div w:id="154076166">
      <w:bodyDiv w:val="1"/>
      <w:marLeft w:val="0"/>
      <w:marRight w:val="0"/>
      <w:marTop w:val="0"/>
      <w:marBottom w:val="0"/>
      <w:divBdr>
        <w:top w:val="none" w:sz="0" w:space="0" w:color="auto"/>
        <w:left w:val="none" w:sz="0" w:space="0" w:color="auto"/>
        <w:bottom w:val="none" w:sz="0" w:space="0" w:color="auto"/>
        <w:right w:val="none" w:sz="0" w:space="0" w:color="auto"/>
      </w:divBdr>
    </w:div>
    <w:div w:id="154885300">
      <w:bodyDiv w:val="1"/>
      <w:marLeft w:val="0"/>
      <w:marRight w:val="0"/>
      <w:marTop w:val="0"/>
      <w:marBottom w:val="0"/>
      <w:divBdr>
        <w:top w:val="none" w:sz="0" w:space="0" w:color="auto"/>
        <w:left w:val="none" w:sz="0" w:space="0" w:color="auto"/>
        <w:bottom w:val="none" w:sz="0" w:space="0" w:color="auto"/>
        <w:right w:val="none" w:sz="0" w:space="0" w:color="auto"/>
      </w:divBdr>
    </w:div>
    <w:div w:id="155147655">
      <w:bodyDiv w:val="1"/>
      <w:marLeft w:val="0"/>
      <w:marRight w:val="0"/>
      <w:marTop w:val="0"/>
      <w:marBottom w:val="0"/>
      <w:divBdr>
        <w:top w:val="none" w:sz="0" w:space="0" w:color="auto"/>
        <w:left w:val="none" w:sz="0" w:space="0" w:color="auto"/>
        <w:bottom w:val="none" w:sz="0" w:space="0" w:color="auto"/>
        <w:right w:val="none" w:sz="0" w:space="0" w:color="auto"/>
      </w:divBdr>
    </w:div>
    <w:div w:id="158817365">
      <w:bodyDiv w:val="1"/>
      <w:marLeft w:val="0"/>
      <w:marRight w:val="0"/>
      <w:marTop w:val="0"/>
      <w:marBottom w:val="0"/>
      <w:divBdr>
        <w:top w:val="none" w:sz="0" w:space="0" w:color="auto"/>
        <w:left w:val="none" w:sz="0" w:space="0" w:color="auto"/>
        <w:bottom w:val="none" w:sz="0" w:space="0" w:color="auto"/>
        <w:right w:val="none" w:sz="0" w:space="0" w:color="auto"/>
      </w:divBdr>
    </w:div>
    <w:div w:id="164711528">
      <w:bodyDiv w:val="1"/>
      <w:marLeft w:val="0"/>
      <w:marRight w:val="0"/>
      <w:marTop w:val="0"/>
      <w:marBottom w:val="0"/>
      <w:divBdr>
        <w:top w:val="none" w:sz="0" w:space="0" w:color="auto"/>
        <w:left w:val="none" w:sz="0" w:space="0" w:color="auto"/>
        <w:bottom w:val="none" w:sz="0" w:space="0" w:color="auto"/>
        <w:right w:val="none" w:sz="0" w:space="0" w:color="auto"/>
      </w:divBdr>
    </w:div>
    <w:div w:id="164830103">
      <w:bodyDiv w:val="1"/>
      <w:marLeft w:val="0"/>
      <w:marRight w:val="0"/>
      <w:marTop w:val="0"/>
      <w:marBottom w:val="0"/>
      <w:divBdr>
        <w:top w:val="none" w:sz="0" w:space="0" w:color="auto"/>
        <w:left w:val="none" w:sz="0" w:space="0" w:color="auto"/>
        <w:bottom w:val="none" w:sz="0" w:space="0" w:color="auto"/>
        <w:right w:val="none" w:sz="0" w:space="0" w:color="auto"/>
      </w:divBdr>
    </w:div>
    <w:div w:id="173998495">
      <w:bodyDiv w:val="1"/>
      <w:marLeft w:val="0"/>
      <w:marRight w:val="0"/>
      <w:marTop w:val="0"/>
      <w:marBottom w:val="0"/>
      <w:divBdr>
        <w:top w:val="none" w:sz="0" w:space="0" w:color="auto"/>
        <w:left w:val="none" w:sz="0" w:space="0" w:color="auto"/>
        <w:bottom w:val="none" w:sz="0" w:space="0" w:color="auto"/>
        <w:right w:val="none" w:sz="0" w:space="0" w:color="auto"/>
      </w:divBdr>
    </w:div>
    <w:div w:id="174998268">
      <w:bodyDiv w:val="1"/>
      <w:marLeft w:val="0"/>
      <w:marRight w:val="0"/>
      <w:marTop w:val="0"/>
      <w:marBottom w:val="0"/>
      <w:divBdr>
        <w:top w:val="none" w:sz="0" w:space="0" w:color="auto"/>
        <w:left w:val="none" w:sz="0" w:space="0" w:color="auto"/>
        <w:bottom w:val="none" w:sz="0" w:space="0" w:color="auto"/>
        <w:right w:val="none" w:sz="0" w:space="0" w:color="auto"/>
      </w:divBdr>
    </w:div>
    <w:div w:id="179198288">
      <w:bodyDiv w:val="1"/>
      <w:marLeft w:val="0"/>
      <w:marRight w:val="0"/>
      <w:marTop w:val="0"/>
      <w:marBottom w:val="0"/>
      <w:divBdr>
        <w:top w:val="none" w:sz="0" w:space="0" w:color="auto"/>
        <w:left w:val="none" w:sz="0" w:space="0" w:color="auto"/>
        <w:bottom w:val="none" w:sz="0" w:space="0" w:color="auto"/>
        <w:right w:val="none" w:sz="0" w:space="0" w:color="auto"/>
      </w:divBdr>
    </w:div>
    <w:div w:id="181087769">
      <w:bodyDiv w:val="1"/>
      <w:marLeft w:val="0"/>
      <w:marRight w:val="0"/>
      <w:marTop w:val="0"/>
      <w:marBottom w:val="0"/>
      <w:divBdr>
        <w:top w:val="none" w:sz="0" w:space="0" w:color="auto"/>
        <w:left w:val="none" w:sz="0" w:space="0" w:color="auto"/>
        <w:bottom w:val="none" w:sz="0" w:space="0" w:color="auto"/>
        <w:right w:val="none" w:sz="0" w:space="0" w:color="auto"/>
      </w:divBdr>
    </w:div>
    <w:div w:id="183060530">
      <w:bodyDiv w:val="1"/>
      <w:marLeft w:val="0"/>
      <w:marRight w:val="0"/>
      <w:marTop w:val="0"/>
      <w:marBottom w:val="0"/>
      <w:divBdr>
        <w:top w:val="none" w:sz="0" w:space="0" w:color="auto"/>
        <w:left w:val="none" w:sz="0" w:space="0" w:color="auto"/>
        <w:bottom w:val="none" w:sz="0" w:space="0" w:color="auto"/>
        <w:right w:val="none" w:sz="0" w:space="0" w:color="auto"/>
      </w:divBdr>
    </w:div>
    <w:div w:id="183710513">
      <w:bodyDiv w:val="1"/>
      <w:marLeft w:val="0"/>
      <w:marRight w:val="0"/>
      <w:marTop w:val="0"/>
      <w:marBottom w:val="0"/>
      <w:divBdr>
        <w:top w:val="none" w:sz="0" w:space="0" w:color="auto"/>
        <w:left w:val="none" w:sz="0" w:space="0" w:color="auto"/>
        <w:bottom w:val="none" w:sz="0" w:space="0" w:color="auto"/>
        <w:right w:val="none" w:sz="0" w:space="0" w:color="auto"/>
      </w:divBdr>
    </w:div>
    <w:div w:id="185414706">
      <w:bodyDiv w:val="1"/>
      <w:marLeft w:val="0"/>
      <w:marRight w:val="0"/>
      <w:marTop w:val="0"/>
      <w:marBottom w:val="0"/>
      <w:divBdr>
        <w:top w:val="none" w:sz="0" w:space="0" w:color="auto"/>
        <w:left w:val="none" w:sz="0" w:space="0" w:color="auto"/>
        <w:bottom w:val="none" w:sz="0" w:space="0" w:color="auto"/>
        <w:right w:val="none" w:sz="0" w:space="0" w:color="auto"/>
      </w:divBdr>
    </w:div>
    <w:div w:id="192570933">
      <w:bodyDiv w:val="1"/>
      <w:marLeft w:val="0"/>
      <w:marRight w:val="0"/>
      <w:marTop w:val="0"/>
      <w:marBottom w:val="0"/>
      <w:divBdr>
        <w:top w:val="none" w:sz="0" w:space="0" w:color="auto"/>
        <w:left w:val="none" w:sz="0" w:space="0" w:color="auto"/>
        <w:bottom w:val="none" w:sz="0" w:space="0" w:color="auto"/>
        <w:right w:val="none" w:sz="0" w:space="0" w:color="auto"/>
      </w:divBdr>
    </w:div>
    <w:div w:id="192615537">
      <w:bodyDiv w:val="1"/>
      <w:marLeft w:val="0"/>
      <w:marRight w:val="0"/>
      <w:marTop w:val="0"/>
      <w:marBottom w:val="0"/>
      <w:divBdr>
        <w:top w:val="none" w:sz="0" w:space="0" w:color="auto"/>
        <w:left w:val="none" w:sz="0" w:space="0" w:color="auto"/>
        <w:bottom w:val="none" w:sz="0" w:space="0" w:color="auto"/>
        <w:right w:val="none" w:sz="0" w:space="0" w:color="auto"/>
      </w:divBdr>
    </w:div>
    <w:div w:id="196049442">
      <w:bodyDiv w:val="1"/>
      <w:marLeft w:val="0"/>
      <w:marRight w:val="0"/>
      <w:marTop w:val="0"/>
      <w:marBottom w:val="0"/>
      <w:divBdr>
        <w:top w:val="none" w:sz="0" w:space="0" w:color="auto"/>
        <w:left w:val="none" w:sz="0" w:space="0" w:color="auto"/>
        <w:bottom w:val="none" w:sz="0" w:space="0" w:color="auto"/>
        <w:right w:val="none" w:sz="0" w:space="0" w:color="auto"/>
      </w:divBdr>
    </w:div>
    <w:div w:id="208227637">
      <w:bodyDiv w:val="1"/>
      <w:marLeft w:val="0"/>
      <w:marRight w:val="0"/>
      <w:marTop w:val="0"/>
      <w:marBottom w:val="0"/>
      <w:divBdr>
        <w:top w:val="none" w:sz="0" w:space="0" w:color="auto"/>
        <w:left w:val="none" w:sz="0" w:space="0" w:color="auto"/>
        <w:bottom w:val="none" w:sz="0" w:space="0" w:color="auto"/>
        <w:right w:val="none" w:sz="0" w:space="0" w:color="auto"/>
      </w:divBdr>
    </w:div>
    <w:div w:id="209848557">
      <w:bodyDiv w:val="1"/>
      <w:marLeft w:val="0"/>
      <w:marRight w:val="0"/>
      <w:marTop w:val="0"/>
      <w:marBottom w:val="0"/>
      <w:divBdr>
        <w:top w:val="none" w:sz="0" w:space="0" w:color="auto"/>
        <w:left w:val="none" w:sz="0" w:space="0" w:color="auto"/>
        <w:bottom w:val="none" w:sz="0" w:space="0" w:color="auto"/>
        <w:right w:val="none" w:sz="0" w:space="0" w:color="auto"/>
      </w:divBdr>
    </w:div>
    <w:div w:id="213398232">
      <w:bodyDiv w:val="1"/>
      <w:marLeft w:val="0"/>
      <w:marRight w:val="0"/>
      <w:marTop w:val="0"/>
      <w:marBottom w:val="0"/>
      <w:divBdr>
        <w:top w:val="none" w:sz="0" w:space="0" w:color="auto"/>
        <w:left w:val="none" w:sz="0" w:space="0" w:color="auto"/>
        <w:bottom w:val="none" w:sz="0" w:space="0" w:color="auto"/>
        <w:right w:val="none" w:sz="0" w:space="0" w:color="auto"/>
      </w:divBdr>
    </w:div>
    <w:div w:id="215817747">
      <w:bodyDiv w:val="1"/>
      <w:marLeft w:val="0"/>
      <w:marRight w:val="0"/>
      <w:marTop w:val="0"/>
      <w:marBottom w:val="0"/>
      <w:divBdr>
        <w:top w:val="none" w:sz="0" w:space="0" w:color="auto"/>
        <w:left w:val="none" w:sz="0" w:space="0" w:color="auto"/>
        <w:bottom w:val="none" w:sz="0" w:space="0" w:color="auto"/>
        <w:right w:val="none" w:sz="0" w:space="0" w:color="auto"/>
      </w:divBdr>
    </w:div>
    <w:div w:id="217523098">
      <w:bodyDiv w:val="1"/>
      <w:marLeft w:val="0"/>
      <w:marRight w:val="0"/>
      <w:marTop w:val="0"/>
      <w:marBottom w:val="0"/>
      <w:divBdr>
        <w:top w:val="none" w:sz="0" w:space="0" w:color="auto"/>
        <w:left w:val="none" w:sz="0" w:space="0" w:color="auto"/>
        <w:bottom w:val="none" w:sz="0" w:space="0" w:color="auto"/>
        <w:right w:val="none" w:sz="0" w:space="0" w:color="auto"/>
      </w:divBdr>
    </w:div>
    <w:div w:id="222986032">
      <w:bodyDiv w:val="1"/>
      <w:marLeft w:val="0"/>
      <w:marRight w:val="0"/>
      <w:marTop w:val="0"/>
      <w:marBottom w:val="0"/>
      <w:divBdr>
        <w:top w:val="none" w:sz="0" w:space="0" w:color="auto"/>
        <w:left w:val="none" w:sz="0" w:space="0" w:color="auto"/>
        <w:bottom w:val="none" w:sz="0" w:space="0" w:color="auto"/>
        <w:right w:val="none" w:sz="0" w:space="0" w:color="auto"/>
      </w:divBdr>
    </w:div>
    <w:div w:id="223033312">
      <w:bodyDiv w:val="1"/>
      <w:marLeft w:val="0"/>
      <w:marRight w:val="0"/>
      <w:marTop w:val="0"/>
      <w:marBottom w:val="0"/>
      <w:divBdr>
        <w:top w:val="none" w:sz="0" w:space="0" w:color="auto"/>
        <w:left w:val="none" w:sz="0" w:space="0" w:color="auto"/>
        <w:bottom w:val="none" w:sz="0" w:space="0" w:color="auto"/>
        <w:right w:val="none" w:sz="0" w:space="0" w:color="auto"/>
      </w:divBdr>
    </w:div>
    <w:div w:id="224873718">
      <w:bodyDiv w:val="1"/>
      <w:marLeft w:val="0"/>
      <w:marRight w:val="0"/>
      <w:marTop w:val="0"/>
      <w:marBottom w:val="0"/>
      <w:divBdr>
        <w:top w:val="none" w:sz="0" w:space="0" w:color="auto"/>
        <w:left w:val="none" w:sz="0" w:space="0" w:color="auto"/>
        <w:bottom w:val="none" w:sz="0" w:space="0" w:color="auto"/>
        <w:right w:val="none" w:sz="0" w:space="0" w:color="auto"/>
      </w:divBdr>
    </w:div>
    <w:div w:id="234316657">
      <w:bodyDiv w:val="1"/>
      <w:marLeft w:val="0"/>
      <w:marRight w:val="0"/>
      <w:marTop w:val="0"/>
      <w:marBottom w:val="0"/>
      <w:divBdr>
        <w:top w:val="none" w:sz="0" w:space="0" w:color="auto"/>
        <w:left w:val="none" w:sz="0" w:space="0" w:color="auto"/>
        <w:bottom w:val="none" w:sz="0" w:space="0" w:color="auto"/>
        <w:right w:val="none" w:sz="0" w:space="0" w:color="auto"/>
      </w:divBdr>
    </w:div>
    <w:div w:id="240070718">
      <w:bodyDiv w:val="1"/>
      <w:marLeft w:val="0"/>
      <w:marRight w:val="0"/>
      <w:marTop w:val="0"/>
      <w:marBottom w:val="0"/>
      <w:divBdr>
        <w:top w:val="none" w:sz="0" w:space="0" w:color="auto"/>
        <w:left w:val="none" w:sz="0" w:space="0" w:color="auto"/>
        <w:bottom w:val="none" w:sz="0" w:space="0" w:color="auto"/>
        <w:right w:val="none" w:sz="0" w:space="0" w:color="auto"/>
      </w:divBdr>
    </w:div>
    <w:div w:id="242683718">
      <w:bodyDiv w:val="1"/>
      <w:marLeft w:val="0"/>
      <w:marRight w:val="0"/>
      <w:marTop w:val="0"/>
      <w:marBottom w:val="0"/>
      <w:divBdr>
        <w:top w:val="none" w:sz="0" w:space="0" w:color="auto"/>
        <w:left w:val="none" w:sz="0" w:space="0" w:color="auto"/>
        <w:bottom w:val="none" w:sz="0" w:space="0" w:color="auto"/>
        <w:right w:val="none" w:sz="0" w:space="0" w:color="auto"/>
      </w:divBdr>
    </w:div>
    <w:div w:id="255409599">
      <w:bodyDiv w:val="1"/>
      <w:marLeft w:val="0"/>
      <w:marRight w:val="0"/>
      <w:marTop w:val="0"/>
      <w:marBottom w:val="0"/>
      <w:divBdr>
        <w:top w:val="none" w:sz="0" w:space="0" w:color="auto"/>
        <w:left w:val="none" w:sz="0" w:space="0" w:color="auto"/>
        <w:bottom w:val="none" w:sz="0" w:space="0" w:color="auto"/>
        <w:right w:val="none" w:sz="0" w:space="0" w:color="auto"/>
      </w:divBdr>
    </w:div>
    <w:div w:id="264730926">
      <w:bodyDiv w:val="1"/>
      <w:marLeft w:val="0"/>
      <w:marRight w:val="0"/>
      <w:marTop w:val="0"/>
      <w:marBottom w:val="0"/>
      <w:divBdr>
        <w:top w:val="none" w:sz="0" w:space="0" w:color="auto"/>
        <w:left w:val="none" w:sz="0" w:space="0" w:color="auto"/>
        <w:bottom w:val="none" w:sz="0" w:space="0" w:color="auto"/>
        <w:right w:val="none" w:sz="0" w:space="0" w:color="auto"/>
      </w:divBdr>
    </w:div>
    <w:div w:id="274095418">
      <w:bodyDiv w:val="1"/>
      <w:marLeft w:val="0"/>
      <w:marRight w:val="0"/>
      <w:marTop w:val="0"/>
      <w:marBottom w:val="0"/>
      <w:divBdr>
        <w:top w:val="none" w:sz="0" w:space="0" w:color="auto"/>
        <w:left w:val="none" w:sz="0" w:space="0" w:color="auto"/>
        <w:bottom w:val="none" w:sz="0" w:space="0" w:color="auto"/>
        <w:right w:val="none" w:sz="0" w:space="0" w:color="auto"/>
      </w:divBdr>
    </w:div>
    <w:div w:id="274948432">
      <w:bodyDiv w:val="1"/>
      <w:marLeft w:val="0"/>
      <w:marRight w:val="0"/>
      <w:marTop w:val="0"/>
      <w:marBottom w:val="0"/>
      <w:divBdr>
        <w:top w:val="none" w:sz="0" w:space="0" w:color="auto"/>
        <w:left w:val="none" w:sz="0" w:space="0" w:color="auto"/>
        <w:bottom w:val="none" w:sz="0" w:space="0" w:color="auto"/>
        <w:right w:val="none" w:sz="0" w:space="0" w:color="auto"/>
      </w:divBdr>
    </w:div>
    <w:div w:id="275793686">
      <w:bodyDiv w:val="1"/>
      <w:marLeft w:val="0"/>
      <w:marRight w:val="0"/>
      <w:marTop w:val="0"/>
      <w:marBottom w:val="0"/>
      <w:divBdr>
        <w:top w:val="none" w:sz="0" w:space="0" w:color="auto"/>
        <w:left w:val="none" w:sz="0" w:space="0" w:color="auto"/>
        <w:bottom w:val="none" w:sz="0" w:space="0" w:color="auto"/>
        <w:right w:val="none" w:sz="0" w:space="0" w:color="auto"/>
      </w:divBdr>
    </w:div>
    <w:div w:id="278490241">
      <w:bodyDiv w:val="1"/>
      <w:marLeft w:val="0"/>
      <w:marRight w:val="0"/>
      <w:marTop w:val="0"/>
      <w:marBottom w:val="0"/>
      <w:divBdr>
        <w:top w:val="none" w:sz="0" w:space="0" w:color="auto"/>
        <w:left w:val="none" w:sz="0" w:space="0" w:color="auto"/>
        <w:bottom w:val="none" w:sz="0" w:space="0" w:color="auto"/>
        <w:right w:val="none" w:sz="0" w:space="0" w:color="auto"/>
      </w:divBdr>
    </w:div>
    <w:div w:id="280577715">
      <w:bodyDiv w:val="1"/>
      <w:marLeft w:val="0"/>
      <w:marRight w:val="0"/>
      <w:marTop w:val="0"/>
      <w:marBottom w:val="0"/>
      <w:divBdr>
        <w:top w:val="none" w:sz="0" w:space="0" w:color="auto"/>
        <w:left w:val="none" w:sz="0" w:space="0" w:color="auto"/>
        <w:bottom w:val="none" w:sz="0" w:space="0" w:color="auto"/>
        <w:right w:val="none" w:sz="0" w:space="0" w:color="auto"/>
      </w:divBdr>
    </w:div>
    <w:div w:id="286818253">
      <w:bodyDiv w:val="1"/>
      <w:marLeft w:val="0"/>
      <w:marRight w:val="0"/>
      <w:marTop w:val="0"/>
      <w:marBottom w:val="0"/>
      <w:divBdr>
        <w:top w:val="none" w:sz="0" w:space="0" w:color="auto"/>
        <w:left w:val="none" w:sz="0" w:space="0" w:color="auto"/>
        <w:bottom w:val="none" w:sz="0" w:space="0" w:color="auto"/>
        <w:right w:val="none" w:sz="0" w:space="0" w:color="auto"/>
      </w:divBdr>
    </w:div>
    <w:div w:id="287781087">
      <w:bodyDiv w:val="1"/>
      <w:marLeft w:val="0"/>
      <w:marRight w:val="0"/>
      <w:marTop w:val="0"/>
      <w:marBottom w:val="0"/>
      <w:divBdr>
        <w:top w:val="none" w:sz="0" w:space="0" w:color="auto"/>
        <w:left w:val="none" w:sz="0" w:space="0" w:color="auto"/>
        <w:bottom w:val="none" w:sz="0" w:space="0" w:color="auto"/>
        <w:right w:val="none" w:sz="0" w:space="0" w:color="auto"/>
      </w:divBdr>
    </w:div>
    <w:div w:id="298924450">
      <w:bodyDiv w:val="1"/>
      <w:marLeft w:val="0"/>
      <w:marRight w:val="0"/>
      <w:marTop w:val="0"/>
      <w:marBottom w:val="0"/>
      <w:divBdr>
        <w:top w:val="none" w:sz="0" w:space="0" w:color="auto"/>
        <w:left w:val="none" w:sz="0" w:space="0" w:color="auto"/>
        <w:bottom w:val="none" w:sz="0" w:space="0" w:color="auto"/>
        <w:right w:val="none" w:sz="0" w:space="0" w:color="auto"/>
      </w:divBdr>
    </w:div>
    <w:div w:id="302930919">
      <w:bodyDiv w:val="1"/>
      <w:marLeft w:val="0"/>
      <w:marRight w:val="0"/>
      <w:marTop w:val="0"/>
      <w:marBottom w:val="0"/>
      <w:divBdr>
        <w:top w:val="none" w:sz="0" w:space="0" w:color="auto"/>
        <w:left w:val="none" w:sz="0" w:space="0" w:color="auto"/>
        <w:bottom w:val="none" w:sz="0" w:space="0" w:color="auto"/>
        <w:right w:val="none" w:sz="0" w:space="0" w:color="auto"/>
      </w:divBdr>
    </w:div>
    <w:div w:id="303243507">
      <w:bodyDiv w:val="1"/>
      <w:marLeft w:val="0"/>
      <w:marRight w:val="0"/>
      <w:marTop w:val="0"/>
      <w:marBottom w:val="0"/>
      <w:divBdr>
        <w:top w:val="none" w:sz="0" w:space="0" w:color="auto"/>
        <w:left w:val="none" w:sz="0" w:space="0" w:color="auto"/>
        <w:bottom w:val="none" w:sz="0" w:space="0" w:color="auto"/>
        <w:right w:val="none" w:sz="0" w:space="0" w:color="auto"/>
      </w:divBdr>
    </w:div>
    <w:div w:id="305285793">
      <w:bodyDiv w:val="1"/>
      <w:marLeft w:val="0"/>
      <w:marRight w:val="0"/>
      <w:marTop w:val="0"/>
      <w:marBottom w:val="0"/>
      <w:divBdr>
        <w:top w:val="none" w:sz="0" w:space="0" w:color="auto"/>
        <w:left w:val="none" w:sz="0" w:space="0" w:color="auto"/>
        <w:bottom w:val="none" w:sz="0" w:space="0" w:color="auto"/>
        <w:right w:val="none" w:sz="0" w:space="0" w:color="auto"/>
      </w:divBdr>
    </w:div>
    <w:div w:id="306276826">
      <w:bodyDiv w:val="1"/>
      <w:marLeft w:val="0"/>
      <w:marRight w:val="0"/>
      <w:marTop w:val="0"/>
      <w:marBottom w:val="0"/>
      <w:divBdr>
        <w:top w:val="none" w:sz="0" w:space="0" w:color="auto"/>
        <w:left w:val="none" w:sz="0" w:space="0" w:color="auto"/>
        <w:bottom w:val="none" w:sz="0" w:space="0" w:color="auto"/>
        <w:right w:val="none" w:sz="0" w:space="0" w:color="auto"/>
      </w:divBdr>
    </w:div>
    <w:div w:id="308677868">
      <w:bodyDiv w:val="1"/>
      <w:marLeft w:val="0"/>
      <w:marRight w:val="0"/>
      <w:marTop w:val="0"/>
      <w:marBottom w:val="0"/>
      <w:divBdr>
        <w:top w:val="none" w:sz="0" w:space="0" w:color="auto"/>
        <w:left w:val="none" w:sz="0" w:space="0" w:color="auto"/>
        <w:bottom w:val="none" w:sz="0" w:space="0" w:color="auto"/>
        <w:right w:val="none" w:sz="0" w:space="0" w:color="auto"/>
      </w:divBdr>
    </w:div>
    <w:div w:id="315689370">
      <w:bodyDiv w:val="1"/>
      <w:marLeft w:val="0"/>
      <w:marRight w:val="0"/>
      <w:marTop w:val="0"/>
      <w:marBottom w:val="0"/>
      <w:divBdr>
        <w:top w:val="none" w:sz="0" w:space="0" w:color="auto"/>
        <w:left w:val="none" w:sz="0" w:space="0" w:color="auto"/>
        <w:bottom w:val="none" w:sz="0" w:space="0" w:color="auto"/>
        <w:right w:val="none" w:sz="0" w:space="0" w:color="auto"/>
      </w:divBdr>
    </w:div>
    <w:div w:id="318534959">
      <w:bodyDiv w:val="1"/>
      <w:marLeft w:val="0"/>
      <w:marRight w:val="0"/>
      <w:marTop w:val="0"/>
      <w:marBottom w:val="0"/>
      <w:divBdr>
        <w:top w:val="none" w:sz="0" w:space="0" w:color="auto"/>
        <w:left w:val="none" w:sz="0" w:space="0" w:color="auto"/>
        <w:bottom w:val="none" w:sz="0" w:space="0" w:color="auto"/>
        <w:right w:val="none" w:sz="0" w:space="0" w:color="auto"/>
      </w:divBdr>
    </w:div>
    <w:div w:id="319308884">
      <w:bodyDiv w:val="1"/>
      <w:marLeft w:val="0"/>
      <w:marRight w:val="0"/>
      <w:marTop w:val="0"/>
      <w:marBottom w:val="0"/>
      <w:divBdr>
        <w:top w:val="none" w:sz="0" w:space="0" w:color="auto"/>
        <w:left w:val="none" w:sz="0" w:space="0" w:color="auto"/>
        <w:bottom w:val="none" w:sz="0" w:space="0" w:color="auto"/>
        <w:right w:val="none" w:sz="0" w:space="0" w:color="auto"/>
      </w:divBdr>
    </w:div>
    <w:div w:id="321667295">
      <w:bodyDiv w:val="1"/>
      <w:marLeft w:val="0"/>
      <w:marRight w:val="0"/>
      <w:marTop w:val="0"/>
      <w:marBottom w:val="0"/>
      <w:divBdr>
        <w:top w:val="none" w:sz="0" w:space="0" w:color="auto"/>
        <w:left w:val="none" w:sz="0" w:space="0" w:color="auto"/>
        <w:bottom w:val="none" w:sz="0" w:space="0" w:color="auto"/>
        <w:right w:val="none" w:sz="0" w:space="0" w:color="auto"/>
      </w:divBdr>
    </w:div>
    <w:div w:id="329601835">
      <w:bodyDiv w:val="1"/>
      <w:marLeft w:val="0"/>
      <w:marRight w:val="0"/>
      <w:marTop w:val="0"/>
      <w:marBottom w:val="0"/>
      <w:divBdr>
        <w:top w:val="none" w:sz="0" w:space="0" w:color="auto"/>
        <w:left w:val="none" w:sz="0" w:space="0" w:color="auto"/>
        <w:bottom w:val="none" w:sz="0" w:space="0" w:color="auto"/>
        <w:right w:val="none" w:sz="0" w:space="0" w:color="auto"/>
      </w:divBdr>
    </w:div>
    <w:div w:id="334189299">
      <w:bodyDiv w:val="1"/>
      <w:marLeft w:val="0"/>
      <w:marRight w:val="0"/>
      <w:marTop w:val="0"/>
      <w:marBottom w:val="0"/>
      <w:divBdr>
        <w:top w:val="none" w:sz="0" w:space="0" w:color="auto"/>
        <w:left w:val="none" w:sz="0" w:space="0" w:color="auto"/>
        <w:bottom w:val="none" w:sz="0" w:space="0" w:color="auto"/>
        <w:right w:val="none" w:sz="0" w:space="0" w:color="auto"/>
      </w:divBdr>
    </w:div>
    <w:div w:id="341250110">
      <w:bodyDiv w:val="1"/>
      <w:marLeft w:val="0"/>
      <w:marRight w:val="0"/>
      <w:marTop w:val="0"/>
      <w:marBottom w:val="0"/>
      <w:divBdr>
        <w:top w:val="none" w:sz="0" w:space="0" w:color="auto"/>
        <w:left w:val="none" w:sz="0" w:space="0" w:color="auto"/>
        <w:bottom w:val="none" w:sz="0" w:space="0" w:color="auto"/>
        <w:right w:val="none" w:sz="0" w:space="0" w:color="auto"/>
      </w:divBdr>
    </w:div>
    <w:div w:id="344212919">
      <w:bodyDiv w:val="1"/>
      <w:marLeft w:val="0"/>
      <w:marRight w:val="0"/>
      <w:marTop w:val="0"/>
      <w:marBottom w:val="0"/>
      <w:divBdr>
        <w:top w:val="none" w:sz="0" w:space="0" w:color="auto"/>
        <w:left w:val="none" w:sz="0" w:space="0" w:color="auto"/>
        <w:bottom w:val="none" w:sz="0" w:space="0" w:color="auto"/>
        <w:right w:val="none" w:sz="0" w:space="0" w:color="auto"/>
      </w:divBdr>
    </w:div>
    <w:div w:id="344481224">
      <w:bodyDiv w:val="1"/>
      <w:marLeft w:val="0"/>
      <w:marRight w:val="0"/>
      <w:marTop w:val="0"/>
      <w:marBottom w:val="0"/>
      <w:divBdr>
        <w:top w:val="none" w:sz="0" w:space="0" w:color="auto"/>
        <w:left w:val="none" w:sz="0" w:space="0" w:color="auto"/>
        <w:bottom w:val="none" w:sz="0" w:space="0" w:color="auto"/>
        <w:right w:val="none" w:sz="0" w:space="0" w:color="auto"/>
      </w:divBdr>
    </w:div>
    <w:div w:id="346640680">
      <w:bodyDiv w:val="1"/>
      <w:marLeft w:val="0"/>
      <w:marRight w:val="0"/>
      <w:marTop w:val="0"/>
      <w:marBottom w:val="0"/>
      <w:divBdr>
        <w:top w:val="none" w:sz="0" w:space="0" w:color="auto"/>
        <w:left w:val="none" w:sz="0" w:space="0" w:color="auto"/>
        <w:bottom w:val="none" w:sz="0" w:space="0" w:color="auto"/>
        <w:right w:val="none" w:sz="0" w:space="0" w:color="auto"/>
      </w:divBdr>
    </w:div>
    <w:div w:id="355544573">
      <w:bodyDiv w:val="1"/>
      <w:marLeft w:val="0"/>
      <w:marRight w:val="0"/>
      <w:marTop w:val="0"/>
      <w:marBottom w:val="0"/>
      <w:divBdr>
        <w:top w:val="none" w:sz="0" w:space="0" w:color="auto"/>
        <w:left w:val="none" w:sz="0" w:space="0" w:color="auto"/>
        <w:bottom w:val="none" w:sz="0" w:space="0" w:color="auto"/>
        <w:right w:val="none" w:sz="0" w:space="0" w:color="auto"/>
      </w:divBdr>
    </w:div>
    <w:div w:id="357632490">
      <w:bodyDiv w:val="1"/>
      <w:marLeft w:val="0"/>
      <w:marRight w:val="0"/>
      <w:marTop w:val="0"/>
      <w:marBottom w:val="0"/>
      <w:divBdr>
        <w:top w:val="none" w:sz="0" w:space="0" w:color="auto"/>
        <w:left w:val="none" w:sz="0" w:space="0" w:color="auto"/>
        <w:bottom w:val="none" w:sz="0" w:space="0" w:color="auto"/>
        <w:right w:val="none" w:sz="0" w:space="0" w:color="auto"/>
      </w:divBdr>
    </w:div>
    <w:div w:id="360664199">
      <w:bodyDiv w:val="1"/>
      <w:marLeft w:val="0"/>
      <w:marRight w:val="0"/>
      <w:marTop w:val="0"/>
      <w:marBottom w:val="0"/>
      <w:divBdr>
        <w:top w:val="none" w:sz="0" w:space="0" w:color="auto"/>
        <w:left w:val="none" w:sz="0" w:space="0" w:color="auto"/>
        <w:bottom w:val="none" w:sz="0" w:space="0" w:color="auto"/>
        <w:right w:val="none" w:sz="0" w:space="0" w:color="auto"/>
      </w:divBdr>
    </w:div>
    <w:div w:id="360907382">
      <w:bodyDiv w:val="1"/>
      <w:marLeft w:val="0"/>
      <w:marRight w:val="0"/>
      <w:marTop w:val="0"/>
      <w:marBottom w:val="0"/>
      <w:divBdr>
        <w:top w:val="none" w:sz="0" w:space="0" w:color="auto"/>
        <w:left w:val="none" w:sz="0" w:space="0" w:color="auto"/>
        <w:bottom w:val="none" w:sz="0" w:space="0" w:color="auto"/>
        <w:right w:val="none" w:sz="0" w:space="0" w:color="auto"/>
      </w:divBdr>
    </w:div>
    <w:div w:id="362170509">
      <w:bodyDiv w:val="1"/>
      <w:marLeft w:val="0"/>
      <w:marRight w:val="0"/>
      <w:marTop w:val="0"/>
      <w:marBottom w:val="0"/>
      <w:divBdr>
        <w:top w:val="none" w:sz="0" w:space="0" w:color="auto"/>
        <w:left w:val="none" w:sz="0" w:space="0" w:color="auto"/>
        <w:bottom w:val="none" w:sz="0" w:space="0" w:color="auto"/>
        <w:right w:val="none" w:sz="0" w:space="0" w:color="auto"/>
      </w:divBdr>
    </w:div>
    <w:div w:id="362756292">
      <w:bodyDiv w:val="1"/>
      <w:marLeft w:val="0"/>
      <w:marRight w:val="0"/>
      <w:marTop w:val="0"/>
      <w:marBottom w:val="0"/>
      <w:divBdr>
        <w:top w:val="none" w:sz="0" w:space="0" w:color="auto"/>
        <w:left w:val="none" w:sz="0" w:space="0" w:color="auto"/>
        <w:bottom w:val="none" w:sz="0" w:space="0" w:color="auto"/>
        <w:right w:val="none" w:sz="0" w:space="0" w:color="auto"/>
      </w:divBdr>
    </w:div>
    <w:div w:id="363943700">
      <w:bodyDiv w:val="1"/>
      <w:marLeft w:val="0"/>
      <w:marRight w:val="0"/>
      <w:marTop w:val="0"/>
      <w:marBottom w:val="0"/>
      <w:divBdr>
        <w:top w:val="none" w:sz="0" w:space="0" w:color="auto"/>
        <w:left w:val="none" w:sz="0" w:space="0" w:color="auto"/>
        <w:bottom w:val="none" w:sz="0" w:space="0" w:color="auto"/>
        <w:right w:val="none" w:sz="0" w:space="0" w:color="auto"/>
      </w:divBdr>
    </w:div>
    <w:div w:id="366488582">
      <w:bodyDiv w:val="1"/>
      <w:marLeft w:val="0"/>
      <w:marRight w:val="0"/>
      <w:marTop w:val="0"/>
      <w:marBottom w:val="0"/>
      <w:divBdr>
        <w:top w:val="none" w:sz="0" w:space="0" w:color="auto"/>
        <w:left w:val="none" w:sz="0" w:space="0" w:color="auto"/>
        <w:bottom w:val="none" w:sz="0" w:space="0" w:color="auto"/>
        <w:right w:val="none" w:sz="0" w:space="0" w:color="auto"/>
      </w:divBdr>
    </w:div>
    <w:div w:id="366760312">
      <w:bodyDiv w:val="1"/>
      <w:marLeft w:val="0"/>
      <w:marRight w:val="0"/>
      <w:marTop w:val="0"/>
      <w:marBottom w:val="0"/>
      <w:divBdr>
        <w:top w:val="none" w:sz="0" w:space="0" w:color="auto"/>
        <w:left w:val="none" w:sz="0" w:space="0" w:color="auto"/>
        <w:bottom w:val="none" w:sz="0" w:space="0" w:color="auto"/>
        <w:right w:val="none" w:sz="0" w:space="0" w:color="auto"/>
      </w:divBdr>
    </w:div>
    <w:div w:id="373164584">
      <w:bodyDiv w:val="1"/>
      <w:marLeft w:val="0"/>
      <w:marRight w:val="0"/>
      <w:marTop w:val="0"/>
      <w:marBottom w:val="0"/>
      <w:divBdr>
        <w:top w:val="none" w:sz="0" w:space="0" w:color="auto"/>
        <w:left w:val="none" w:sz="0" w:space="0" w:color="auto"/>
        <w:bottom w:val="none" w:sz="0" w:space="0" w:color="auto"/>
        <w:right w:val="none" w:sz="0" w:space="0" w:color="auto"/>
      </w:divBdr>
    </w:div>
    <w:div w:id="376203088">
      <w:bodyDiv w:val="1"/>
      <w:marLeft w:val="0"/>
      <w:marRight w:val="0"/>
      <w:marTop w:val="0"/>
      <w:marBottom w:val="0"/>
      <w:divBdr>
        <w:top w:val="none" w:sz="0" w:space="0" w:color="auto"/>
        <w:left w:val="none" w:sz="0" w:space="0" w:color="auto"/>
        <w:bottom w:val="none" w:sz="0" w:space="0" w:color="auto"/>
        <w:right w:val="none" w:sz="0" w:space="0" w:color="auto"/>
      </w:divBdr>
    </w:div>
    <w:div w:id="376247799">
      <w:bodyDiv w:val="1"/>
      <w:marLeft w:val="0"/>
      <w:marRight w:val="0"/>
      <w:marTop w:val="0"/>
      <w:marBottom w:val="0"/>
      <w:divBdr>
        <w:top w:val="none" w:sz="0" w:space="0" w:color="auto"/>
        <w:left w:val="none" w:sz="0" w:space="0" w:color="auto"/>
        <w:bottom w:val="none" w:sz="0" w:space="0" w:color="auto"/>
        <w:right w:val="none" w:sz="0" w:space="0" w:color="auto"/>
      </w:divBdr>
    </w:div>
    <w:div w:id="382214942">
      <w:bodyDiv w:val="1"/>
      <w:marLeft w:val="0"/>
      <w:marRight w:val="0"/>
      <w:marTop w:val="0"/>
      <w:marBottom w:val="0"/>
      <w:divBdr>
        <w:top w:val="none" w:sz="0" w:space="0" w:color="auto"/>
        <w:left w:val="none" w:sz="0" w:space="0" w:color="auto"/>
        <w:bottom w:val="none" w:sz="0" w:space="0" w:color="auto"/>
        <w:right w:val="none" w:sz="0" w:space="0" w:color="auto"/>
      </w:divBdr>
    </w:div>
    <w:div w:id="388845871">
      <w:bodyDiv w:val="1"/>
      <w:marLeft w:val="0"/>
      <w:marRight w:val="0"/>
      <w:marTop w:val="0"/>
      <w:marBottom w:val="0"/>
      <w:divBdr>
        <w:top w:val="none" w:sz="0" w:space="0" w:color="auto"/>
        <w:left w:val="none" w:sz="0" w:space="0" w:color="auto"/>
        <w:bottom w:val="none" w:sz="0" w:space="0" w:color="auto"/>
        <w:right w:val="none" w:sz="0" w:space="0" w:color="auto"/>
      </w:divBdr>
    </w:div>
    <w:div w:id="396241810">
      <w:bodyDiv w:val="1"/>
      <w:marLeft w:val="0"/>
      <w:marRight w:val="0"/>
      <w:marTop w:val="0"/>
      <w:marBottom w:val="0"/>
      <w:divBdr>
        <w:top w:val="none" w:sz="0" w:space="0" w:color="auto"/>
        <w:left w:val="none" w:sz="0" w:space="0" w:color="auto"/>
        <w:bottom w:val="none" w:sz="0" w:space="0" w:color="auto"/>
        <w:right w:val="none" w:sz="0" w:space="0" w:color="auto"/>
      </w:divBdr>
    </w:div>
    <w:div w:id="409625096">
      <w:bodyDiv w:val="1"/>
      <w:marLeft w:val="0"/>
      <w:marRight w:val="0"/>
      <w:marTop w:val="0"/>
      <w:marBottom w:val="0"/>
      <w:divBdr>
        <w:top w:val="none" w:sz="0" w:space="0" w:color="auto"/>
        <w:left w:val="none" w:sz="0" w:space="0" w:color="auto"/>
        <w:bottom w:val="none" w:sz="0" w:space="0" w:color="auto"/>
        <w:right w:val="none" w:sz="0" w:space="0" w:color="auto"/>
      </w:divBdr>
    </w:div>
    <w:div w:id="409694538">
      <w:bodyDiv w:val="1"/>
      <w:marLeft w:val="0"/>
      <w:marRight w:val="0"/>
      <w:marTop w:val="0"/>
      <w:marBottom w:val="0"/>
      <w:divBdr>
        <w:top w:val="none" w:sz="0" w:space="0" w:color="auto"/>
        <w:left w:val="none" w:sz="0" w:space="0" w:color="auto"/>
        <w:bottom w:val="none" w:sz="0" w:space="0" w:color="auto"/>
        <w:right w:val="none" w:sz="0" w:space="0" w:color="auto"/>
      </w:divBdr>
    </w:div>
    <w:div w:id="410351171">
      <w:bodyDiv w:val="1"/>
      <w:marLeft w:val="0"/>
      <w:marRight w:val="0"/>
      <w:marTop w:val="0"/>
      <w:marBottom w:val="0"/>
      <w:divBdr>
        <w:top w:val="none" w:sz="0" w:space="0" w:color="auto"/>
        <w:left w:val="none" w:sz="0" w:space="0" w:color="auto"/>
        <w:bottom w:val="none" w:sz="0" w:space="0" w:color="auto"/>
        <w:right w:val="none" w:sz="0" w:space="0" w:color="auto"/>
      </w:divBdr>
    </w:div>
    <w:div w:id="430859000">
      <w:bodyDiv w:val="1"/>
      <w:marLeft w:val="0"/>
      <w:marRight w:val="0"/>
      <w:marTop w:val="0"/>
      <w:marBottom w:val="0"/>
      <w:divBdr>
        <w:top w:val="none" w:sz="0" w:space="0" w:color="auto"/>
        <w:left w:val="none" w:sz="0" w:space="0" w:color="auto"/>
        <w:bottom w:val="none" w:sz="0" w:space="0" w:color="auto"/>
        <w:right w:val="none" w:sz="0" w:space="0" w:color="auto"/>
      </w:divBdr>
    </w:div>
    <w:div w:id="433939942">
      <w:bodyDiv w:val="1"/>
      <w:marLeft w:val="0"/>
      <w:marRight w:val="0"/>
      <w:marTop w:val="0"/>
      <w:marBottom w:val="0"/>
      <w:divBdr>
        <w:top w:val="none" w:sz="0" w:space="0" w:color="auto"/>
        <w:left w:val="none" w:sz="0" w:space="0" w:color="auto"/>
        <w:bottom w:val="none" w:sz="0" w:space="0" w:color="auto"/>
        <w:right w:val="none" w:sz="0" w:space="0" w:color="auto"/>
      </w:divBdr>
    </w:div>
    <w:div w:id="435835622">
      <w:bodyDiv w:val="1"/>
      <w:marLeft w:val="0"/>
      <w:marRight w:val="0"/>
      <w:marTop w:val="0"/>
      <w:marBottom w:val="0"/>
      <w:divBdr>
        <w:top w:val="none" w:sz="0" w:space="0" w:color="auto"/>
        <w:left w:val="none" w:sz="0" w:space="0" w:color="auto"/>
        <w:bottom w:val="none" w:sz="0" w:space="0" w:color="auto"/>
        <w:right w:val="none" w:sz="0" w:space="0" w:color="auto"/>
      </w:divBdr>
    </w:div>
    <w:div w:id="437071258">
      <w:bodyDiv w:val="1"/>
      <w:marLeft w:val="0"/>
      <w:marRight w:val="0"/>
      <w:marTop w:val="0"/>
      <w:marBottom w:val="0"/>
      <w:divBdr>
        <w:top w:val="none" w:sz="0" w:space="0" w:color="auto"/>
        <w:left w:val="none" w:sz="0" w:space="0" w:color="auto"/>
        <w:bottom w:val="none" w:sz="0" w:space="0" w:color="auto"/>
        <w:right w:val="none" w:sz="0" w:space="0" w:color="auto"/>
      </w:divBdr>
    </w:div>
    <w:div w:id="443771934">
      <w:bodyDiv w:val="1"/>
      <w:marLeft w:val="0"/>
      <w:marRight w:val="0"/>
      <w:marTop w:val="0"/>
      <w:marBottom w:val="0"/>
      <w:divBdr>
        <w:top w:val="none" w:sz="0" w:space="0" w:color="auto"/>
        <w:left w:val="none" w:sz="0" w:space="0" w:color="auto"/>
        <w:bottom w:val="none" w:sz="0" w:space="0" w:color="auto"/>
        <w:right w:val="none" w:sz="0" w:space="0" w:color="auto"/>
      </w:divBdr>
    </w:div>
    <w:div w:id="452675615">
      <w:bodyDiv w:val="1"/>
      <w:marLeft w:val="0"/>
      <w:marRight w:val="0"/>
      <w:marTop w:val="0"/>
      <w:marBottom w:val="0"/>
      <w:divBdr>
        <w:top w:val="none" w:sz="0" w:space="0" w:color="auto"/>
        <w:left w:val="none" w:sz="0" w:space="0" w:color="auto"/>
        <w:bottom w:val="none" w:sz="0" w:space="0" w:color="auto"/>
        <w:right w:val="none" w:sz="0" w:space="0" w:color="auto"/>
      </w:divBdr>
    </w:div>
    <w:div w:id="455100800">
      <w:bodyDiv w:val="1"/>
      <w:marLeft w:val="0"/>
      <w:marRight w:val="0"/>
      <w:marTop w:val="0"/>
      <w:marBottom w:val="0"/>
      <w:divBdr>
        <w:top w:val="none" w:sz="0" w:space="0" w:color="auto"/>
        <w:left w:val="none" w:sz="0" w:space="0" w:color="auto"/>
        <w:bottom w:val="none" w:sz="0" w:space="0" w:color="auto"/>
        <w:right w:val="none" w:sz="0" w:space="0" w:color="auto"/>
      </w:divBdr>
    </w:div>
    <w:div w:id="456337273">
      <w:bodyDiv w:val="1"/>
      <w:marLeft w:val="0"/>
      <w:marRight w:val="0"/>
      <w:marTop w:val="0"/>
      <w:marBottom w:val="0"/>
      <w:divBdr>
        <w:top w:val="none" w:sz="0" w:space="0" w:color="auto"/>
        <w:left w:val="none" w:sz="0" w:space="0" w:color="auto"/>
        <w:bottom w:val="none" w:sz="0" w:space="0" w:color="auto"/>
        <w:right w:val="none" w:sz="0" w:space="0" w:color="auto"/>
      </w:divBdr>
    </w:div>
    <w:div w:id="458687809">
      <w:bodyDiv w:val="1"/>
      <w:marLeft w:val="0"/>
      <w:marRight w:val="0"/>
      <w:marTop w:val="0"/>
      <w:marBottom w:val="0"/>
      <w:divBdr>
        <w:top w:val="none" w:sz="0" w:space="0" w:color="auto"/>
        <w:left w:val="none" w:sz="0" w:space="0" w:color="auto"/>
        <w:bottom w:val="none" w:sz="0" w:space="0" w:color="auto"/>
        <w:right w:val="none" w:sz="0" w:space="0" w:color="auto"/>
      </w:divBdr>
    </w:div>
    <w:div w:id="461465465">
      <w:bodyDiv w:val="1"/>
      <w:marLeft w:val="0"/>
      <w:marRight w:val="0"/>
      <w:marTop w:val="0"/>
      <w:marBottom w:val="0"/>
      <w:divBdr>
        <w:top w:val="none" w:sz="0" w:space="0" w:color="auto"/>
        <w:left w:val="none" w:sz="0" w:space="0" w:color="auto"/>
        <w:bottom w:val="none" w:sz="0" w:space="0" w:color="auto"/>
        <w:right w:val="none" w:sz="0" w:space="0" w:color="auto"/>
      </w:divBdr>
    </w:div>
    <w:div w:id="464659319">
      <w:bodyDiv w:val="1"/>
      <w:marLeft w:val="0"/>
      <w:marRight w:val="0"/>
      <w:marTop w:val="0"/>
      <w:marBottom w:val="0"/>
      <w:divBdr>
        <w:top w:val="none" w:sz="0" w:space="0" w:color="auto"/>
        <w:left w:val="none" w:sz="0" w:space="0" w:color="auto"/>
        <w:bottom w:val="none" w:sz="0" w:space="0" w:color="auto"/>
        <w:right w:val="none" w:sz="0" w:space="0" w:color="auto"/>
      </w:divBdr>
    </w:div>
    <w:div w:id="465467181">
      <w:bodyDiv w:val="1"/>
      <w:marLeft w:val="0"/>
      <w:marRight w:val="0"/>
      <w:marTop w:val="0"/>
      <w:marBottom w:val="0"/>
      <w:divBdr>
        <w:top w:val="none" w:sz="0" w:space="0" w:color="auto"/>
        <w:left w:val="none" w:sz="0" w:space="0" w:color="auto"/>
        <w:bottom w:val="none" w:sz="0" w:space="0" w:color="auto"/>
        <w:right w:val="none" w:sz="0" w:space="0" w:color="auto"/>
      </w:divBdr>
    </w:div>
    <w:div w:id="475028794">
      <w:bodyDiv w:val="1"/>
      <w:marLeft w:val="0"/>
      <w:marRight w:val="0"/>
      <w:marTop w:val="0"/>
      <w:marBottom w:val="0"/>
      <w:divBdr>
        <w:top w:val="none" w:sz="0" w:space="0" w:color="auto"/>
        <w:left w:val="none" w:sz="0" w:space="0" w:color="auto"/>
        <w:bottom w:val="none" w:sz="0" w:space="0" w:color="auto"/>
        <w:right w:val="none" w:sz="0" w:space="0" w:color="auto"/>
      </w:divBdr>
    </w:div>
    <w:div w:id="475225117">
      <w:bodyDiv w:val="1"/>
      <w:marLeft w:val="0"/>
      <w:marRight w:val="0"/>
      <w:marTop w:val="0"/>
      <w:marBottom w:val="0"/>
      <w:divBdr>
        <w:top w:val="none" w:sz="0" w:space="0" w:color="auto"/>
        <w:left w:val="none" w:sz="0" w:space="0" w:color="auto"/>
        <w:bottom w:val="none" w:sz="0" w:space="0" w:color="auto"/>
        <w:right w:val="none" w:sz="0" w:space="0" w:color="auto"/>
      </w:divBdr>
    </w:div>
    <w:div w:id="482821093">
      <w:bodyDiv w:val="1"/>
      <w:marLeft w:val="0"/>
      <w:marRight w:val="0"/>
      <w:marTop w:val="0"/>
      <w:marBottom w:val="0"/>
      <w:divBdr>
        <w:top w:val="none" w:sz="0" w:space="0" w:color="auto"/>
        <w:left w:val="none" w:sz="0" w:space="0" w:color="auto"/>
        <w:bottom w:val="none" w:sz="0" w:space="0" w:color="auto"/>
        <w:right w:val="none" w:sz="0" w:space="0" w:color="auto"/>
      </w:divBdr>
    </w:div>
    <w:div w:id="482964941">
      <w:bodyDiv w:val="1"/>
      <w:marLeft w:val="0"/>
      <w:marRight w:val="0"/>
      <w:marTop w:val="0"/>
      <w:marBottom w:val="0"/>
      <w:divBdr>
        <w:top w:val="none" w:sz="0" w:space="0" w:color="auto"/>
        <w:left w:val="none" w:sz="0" w:space="0" w:color="auto"/>
        <w:bottom w:val="none" w:sz="0" w:space="0" w:color="auto"/>
        <w:right w:val="none" w:sz="0" w:space="0" w:color="auto"/>
      </w:divBdr>
    </w:div>
    <w:div w:id="488178729">
      <w:bodyDiv w:val="1"/>
      <w:marLeft w:val="0"/>
      <w:marRight w:val="0"/>
      <w:marTop w:val="0"/>
      <w:marBottom w:val="0"/>
      <w:divBdr>
        <w:top w:val="none" w:sz="0" w:space="0" w:color="auto"/>
        <w:left w:val="none" w:sz="0" w:space="0" w:color="auto"/>
        <w:bottom w:val="none" w:sz="0" w:space="0" w:color="auto"/>
        <w:right w:val="none" w:sz="0" w:space="0" w:color="auto"/>
      </w:divBdr>
    </w:div>
    <w:div w:id="492650548">
      <w:bodyDiv w:val="1"/>
      <w:marLeft w:val="0"/>
      <w:marRight w:val="0"/>
      <w:marTop w:val="0"/>
      <w:marBottom w:val="0"/>
      <w:divBdr>
        <w:top w:val="none" w:sz="0" w:space="0" w:color="auto"/>
        <w:left w:val="none" w:sz="0" w:space="0" w:color="auto"/>
        <w:bottom w:val="none" w:sz="0" w:space="0" w:color="auto"/>
        <w:right w:val="none" w:sz="0" w:space="0" w:color="auto"/>
      </w:divBdr>
    </w:div>
    <w:div w:id="493959694">
      <w:bodyDiv w:val="1"/>
      <w:marLeft w:val="0"/>
      <w:marRight w:val="0"/>
      <w:marTop w:val="0"/>
      <w:marBottom w:val="0"/>
      <w:divBdr>
        <w:top w:val="none" w:sz="0" w:space="0" w:color="auto"/>
        <w:left w:val="none" w:sz="0" w:space="0" w:color="auto"/>
        <w:bottom w:val="none" w:sz="0" w:space="0" w:color="auto"/>
        <w:right w:val="none" w:sz="0" w:space="0" w:color="auto"/>
      </w:divBdr>
    </w:div>
    <w:div w:id="495418333">
      <w:bodyDiv w:val="1"/>
      <w:marLeft w:val="0"/>
      <w:marRight w:val="0"/>
      <w:marTop w:val="0"/>
      <w:marBottom w:val="0"/>
      <w:divBdr>
        <w:top w:val="none" w:sz="0" w:space="0" w:color="auto"/>
        <w:left w:val="none" w:sz="0" w:space="0" w:color="auto"/>
        <w:bottom w:val="none" w:sz="0" w:space="0" w:color="auto"/>
        <w:right w:val="none" w:sz="0" w:space="0" w:color="auto"/>
      </w:divBdr>
    </w:div>
    <w:div w:id="497964487">
      <w:bodyDiv w:val="1"/>
      <w:marLeft w:val="0"/>
      <w:marRight w:val="0"/>
      <w:marTop w:val="0"/>
      <w:marBottom w:val="0"/>
      <w:divBdr>
        <w:top w:val="none" w:sz="0" w:space="0" w:color="auto"/>
        <w:left w:val="none" w:sz="0" w:space="0" w:color="auto"/>
        <w:bottom w:val="none" w:sz="0" w:space="0" w:color="auto"/>
        <w:right w:val="none" w:sz="0" w:space="0" w:color="auto"/>
      </w:divBdr>
    </w:div>
    <w:div w:id="499808596">
      <w:bodyDiv w:val="1"/>
      <w:marLeft w:val="0"/>
      <w:marRight w:val="0"/>
      <w:marTop w:val="0"/>
      <w:marBottom w:val="0"/>
      <w:divBdr>
        <w:top w:val="none" w:sz="0" w:space="0" w:color="auto"/>
        <w:left w:val="none" w:sz="0" w:space="0" w:color="auto"/>
        <w:bottom w:val="none" w:sz="0" w:space="0" w:color="auto"/>
        <w:right w:val="none" w:sz="0" w:space="0" w:color="auto"/>
      </w:divBdr>
    </w:div>
    <w:div w:id="501775223">
      <w:bodyDiv w:val="1"/>
      <w:marLeft w:val="0"/>
      <w:marRight w:val="0"/>
      <w:marTop w:val="0"/>
      <w:marBottom w:val="0"/>
      <w:divBdr>
        <w:top w:val="none" w:sz="0" w:space="0" w:color="auto"/>
        <w:left w:val="none" w:sz="0" w:space="0" w:color="auto"/>
        <w:bottom w:val="none" w:sz="0" w:space="0" w:color="auto"/>
        <w:right w:val="none" w:sz="0" w:space="0" w:color="auto"/>
      </w:divBdr>
      <w:divsChild>
        <w:div w:id="460151548">
          <w:marLeft w:val="0"/>
          <w:marRight w:val="0"/>
          <w:marTop w:val="100"/>
          <w:marBottom w:val="100"/>
          <w:divBdr>
            <w:top w:val="none" w:sz="0" w:space="0" w:color="auto"/>
            <w:left w:val="none" w:sz="0" w:space="0" w:color="auto"/>
            <w:bottom w:val="none" w:sz="0" w:space="0" w:color="auto"/>
            <w:right w:val="none" w:sz="0" w:space="0" w:color="auto"/>
          </w:divBdr>
          <w:divsChild>
            <w:div w:id="711349945">
              <w:marLeft w:val="0"/>
              <w:marRight w:val="0"/>
              <w:marTop w:val="225"/>
              <w:marBottom w:val="750"/>
              <w:divBdr>
                <w:top w:val="none" w:sz="0" w:space="0" w:color="auto"/>
                <w:left w:val="none" w:sz="0" w:space="0" w:color="auto"/>
                <w:bottom w:val="none" w:sz="0" w:space="0" w:color="auto"/>
                <w:right w:val="none" w:sz="0" w:space="0" w:color="auto"/>
              </w:divBdr>
              <w:divsChild>
                <w:div w:id="1611011715">
                  <w:marLeft w:val="0"/>
                  <w:marRight w:val="0"/>
                  <w:marTop w:val="0"/>
                  <w:marBottom w:val="0"/>
                  <w:divBdr>
                    <w:top w:val="none" w:sz="0" w:space="0" w:color="auto"/>
                    <w:left w:val="none" w:sz="0" w:space="0" w:color="auto"/>
                    <w:bottom w:val="none" w:sz="0" w:space="0" w:color="auto"/>
                    <w:right w:val="none" w:sz="0" w:space="0" w:color="auto"/>
                  </w:divBdr>
                  <w:divsChild>
                    <w:div w:id="852114956">
                      <w:marLeft w:val="0"/>
                      <w:marRight w:val="0"/>
                      <w:marTop w:val="0"/>
                      <w:marBottom w:val="0"/>
                      <w:divBdr>
                        <w:top w:val="none" w:sz="0" w:space="0" w:color="auto"/>
                        <w:left w:val="none" w:sz="0" w:space="0" w:color="auto"/>
                        <w:bottom w:val="none" w:sz="0" w:space="0" w:color="auto"/>
                        <w:right w:val="none" w:sz="0" w:space="0" w:color="auto"/>
                      </w:divBdr>
                      <w:divsChild>
                        <w:div w:id="1405881810">
                          <w:marLeft w:val="0"/>
                          <w:marRight w:val="0"/>
                          <w:marTop w:val="0"/>
                          <w:marBottom w:val="0"/>
                          <w:divBdr>
                            <w:top w:val="none" w:sz="0" w:space="0" w:color="auto"/>
                            <w:left w:val="none" w:sz="0" w:space="0" w:color="auto"/>
                            <w:bottom w:val="none" w:sz="0" w:space="0" w:color="auto"/>
                            <w:right w:val="none" w:sz="0" w:space="0" w:color="auto"/>
                          </w:divBdr>
                          <w:divsChild>
                            <w:div w:id="1283538193">
                              <w:marLeft w:val="0"/>
                              <w:marRight w:val="0"/>
                              <w:marTop w:val="0"/>
                              <w:marBottom w:val="0"/>
                              <w:divBdr>
                                <w:top w:val="none" w:sz="0" w:space="0" w:color="auto"/>
                                <w:left w:val="none" w:sz="0" w:space="0" w:color="auto"/>
                                <w:bottom w:val="none" w:sz="0" w:space="0" w:color="auto"/>
                                <w:right w:val="none" w:sz="0" w:space="0" w:color="auto"/>
                              </w:divBdr>
                              <w:divsChild>
                                <w:div w:id="1752771979">
                                  <w:marLeft w:val="0"/>
                                  <w:marRight w:val="0"/>
                                  <w:marTop w:val="0"/>
                                  <w:marBottom w:val="0"/>
                                  <w:divBdr>
                                    <w:top w:val="none" w:sz="0" w:space="0" w:color="auto"/>
                                    <w:left w:val="none" w:sz="0" w:space="0" w:color="auto"/>
                                    <w:bottom w:val="none" w:sz="0" w:space="0" w:color="auto"/>
                                    <w:right w:val="none" w:sz="0" w:space="0" w:color="auto"/>
                                  </w:divBdr>
                                  <w:divsChild>
                                    <w:div w:id="1040664537">
                                      <w:marLeft w:val="0"/>
                                      <w:marRight w:val="0"/>
                                      <w:marTop w:val="0"/>
                                      <w:marBottom w:val="0"/>
                                      <w:divBdr>
                                        <w:top w:val="none" w:sz="0" w:space="0" w:color="auto"/>
                                        <w:left w:val="none" w:sz="0" w:space="0" w:color="auto"/>
                                        <w:bottom w:val="none" w:sz="0" w:space="0" w:color="auto"/>
                                        <w:right w:val="none" w:sz="0" w:space="0" w:color="auto"/>
                                      </w:divBdr>
                                      <w:divsChild>
                                        <w:div w:id="1665668069">
                                          <w:marLeft w:val="0"/>
                                          <w:marRight w:val="0"/>
                                          <w:marTop w:val="0"/>
                                          <w:marBottom w:val="0"/>
                                          <w:divBdr>
                                            <w:top w:val="none" w:sz="0" w:space="0" w:color="auto"/>
                                            <w:left w:val="none" w:sz="0" w:space="0" w:color="auto"/>
                                            <w:bottom w:val="none" w:sz="0" w:space="0" w:color="auto"/>
                                            <w:right w:val="none" w:sz="0" w:space="0" w:color="auto"/>
                                          </w:divBdr>
                                          <w:divsChild>
                                            <w:div w:id="15733670">
                                              <w:marLeft w:val="0"/>
                                              <w:marRight w:val="0"/>
                                              <w:marTop w:val="0"/>
                                              <w:marBottom w:val="0"/>
                                              <w:divBdr>
                                                <w:top w:val="none" w:sz="0" w:space="0" w:color="auto"/>
                                                <w:left w:val="none" w:sz="0" w:space="0" w:color="auto"/>
                                                <w:bottom w:val="none" w:sz="0" w:space="0" w:color="auto"/>
                                                <w:right w:val="none" w:sz="0" w:space="0" w:color="auto"/>
                                              </w:divBdr>
                                              <w:divsChild>
                                                <w:div w:id="1966277172">
                                                  <w:marLeft w:val="0"/>
                                                  <w:marRight w:val="0"/>
                                                  <w:marTop w:val="0"/>
                                                  <w:marBottom w:val="0"/>
                                                  <w:divBdr>
                                                    <w:top w:val="none" w:sz="0" w:space="0" w:color="auto"/>
                                                    <w:left w:val="none" w:sz="0" w:space="0" w:color="auto"/>
                                                    <w:bottom w:val="none" w:sz="0" w:space="0" w:color="auto"/>
                                                    <w:right w:val="none" w:sz="0" w:space="0" w:color="auto"/>
                                                  </w:divBdr>
                                                  <w:divsChild>
                                                    <w:div w:id="580338005">
                                                      <w:marLeft w:val="0"/>
                                                      <w:marRight w:val="0"/>
                                                      <w:marTop w:val="0"/>
                                                      <w:marBottom w:val="0"/>
                                                      <w:divBdr>
                                                        <w:top w:val="none" w:sz="0" w:space="0" w:color="auto"/>
                                                        <w:left w:val="none" w:sz="0" w:space="0" w:color="auto"/>
                                                        <w:bottom w:val="none" w:sz="0" w:space="0" w:color="auto"/>
                                                        <w:right w:val="none" w:sz="0" w:space="0" w:color="auto"/>
                                                      </w:divBdr>
                                                      <w:divsChild>
                                                        <w:div w:id="1457527340">
                                                          <w:marLeft w:val="0"/>
                                                          <w:marRight w:val="0"/>
                                                          <w:marTop w:val="0"/>
                                                          <w:marBottom w:val="0"/>
                                                          <w:divBdr>
                                                            <w:top w:val="none" w:sz="0" w:space="0" w:color="auto"/>
                                                            <w:left w:val="none" w:sz="0" w:space="0" w:color="auto"/>
                                                            <w:bottom w:val="none" w:sz="0" w:space="0" w:color="auto"/>
                                                            <w:right w:val="none" w:sz="0" w:space="0" w:color="auto"/>
                                                          </w:divBdr>
                                                          <w:divsChild>
                                                            <w:div w:id="349334608">
                                                              <w:marLeft w:val="0"/>
                                                              <w:marRight w:val="0"/>
                                                              <w:marTop w:val="0"/>
                                                              <w:marBottom w:val="0"/>
                                                              <w:divBdr>
                                                                <w:top w:val="none" w:sz="0" w:space="0" w:color="auto"/>
                                                                <w:left w:val="none" w:sz="0" w:space="0" w:color="auto"/>
                                                                <w:bottom w:val="none" w:sz="0" w:space="0" w:color="auto"/>
                                                                <w:right w:val="none" w:sz="0" w:space="0" w:color="auto"/>
                                                              </w:divBdr>
                                                              <w:divsChild>
                                                                <w:div w:id="47650721">
                                                                  <w:marLeft w:val="0"/>
                                                                  <w:marRight w:val="0"/>
                                                                  <w:marTop w:val="0"/>
                                                                  <w:marBottom w:val="0"/>
                                                                  <w:divBdr>
                                                                    <w:top w:val="none" w:sz="0" w:space="0" w:color="auto"/>
                                                                    <w:left w:val="none" w:sz="0" w:space="0" w:color="auto"/>
                                                                    <w:bottom w:val="none" w:sz="0" w:space="0" w:color="auto"/>
                                                                    <w:right w:val="none" w:sz="0" w:space="0" w:color="auto"/>
                                                                  </w:divBdr>
                                                                  <w:divsChild>
                                                                    <w:div w:id="147036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9026141">
      <w:bodyDiv w:val="1"/>
      <w:marLeft w:val="0"/>
      <w:marRight w:val="0"/>
      <w:marTop w:val="0"/>
      <w:marBottom w:val="0"/>
      <w:divBdr>
        <w:top w:val="none" w:sz="0" w:space="0" w:color="auto"/>
        <w:left w:val="none" w:sz="0" w:space="0" w:color="auto"/>
        <w:bottom w:val="none" w:sz="0" w:space="0" w:color="auto"/>
        <w:right w:val="none" w:sz="0" w:space="0" w:color="auto"/>
      </w:divBdr>
    </w:div>
    <w:div w:id="511338955">
      <w:bodyDiv w:val="1"/>
      <w:marLeft w:val="0"/>
      <w:marRight w:val="0"/>
      <w:marTop w:val="0"/>
      <w:marBottom w:val="0"/>
      <w:divBdr>
        <w:top w:val="none" w:sz="0" w:space="0" w:color="auto"/>
        <w:left w:val="none" w:sz="0" w:space="0" w:color="auto"/>
        <w:bottom w:val="none" w:sz="0" w:space="0" w:color="auto"/>
        <w:right w:val="none" w:sz="0" w:space="0" w:color="auto"/>
      </w:divBdr>
    </w:div>
    <w:div w:id="512648976">
      <w:bodyDiv w:val="1"/>
      <w:marLeft w:val="0"/>
      <w:marRight w:val="0"/>
      <w:marTop w:val="0"/>
      <w:marBottom w:val="0"/>
      <w:divBdr>
        <w:top w:val="none" w:sz="0" w:space="0" w:color="auto"/>
        <w:left w:val="none" w:sz="0" w:space="0" w:color="auto"/>
        <w:bottom w:val="none" w:sz="0" w:space="0" w:color="auto"/>
        <w:right w:val="none" w:sz="0" w:space="0" w:color="auto"/>
      </w:divBdr>
    </w:div>
    <w:div w:id="530186375">
      <w:bodyDiv w:val="1"/>
      <w:marLeft w:val="0"/>
      <w:marRight w:val="0"/>
      <w:marTop w:val="0"/>
      <w:marBottom w:val="0"/>
      <w:divBdr>
        <w:top w:val="none" w:sz="0" w:space="0" w:color="auto"/>
        <w:left w:val="none" w:sz="0" w:space="0" w:color="auto"/>
        <w:bottom w:val="none" w:sz="0" w:space="0" w:color="auto"/>
        <w:right w:val="none" w:sz="0" w:space="0" w:color="auto"/>
      </w:divBdr>
    </w:div>
    <w:div w:id="533884886">
      <w:bodyDiv w:val="1"/>
      <w:marLeft w:val="0"/>
      <w:marRight w:val="0"/>
      <w:marTop w:val="0"/>
      <w:marBottom w:val="0"/>
      <w:divBdr>
        <w:top w:val="none" w:sz="0" w:space="0" w:color="auto"/>
        <w:left w:val="none" w:sz="0" w:space="0" w:color="auto"/>
        <w:bottom w:val="none" w:sz="0" w:space="0" w:color="auto"/>
        <w:right w:val="none" w:sz="0" w:space="0" w:color="auto"/>
      </w:divBdr>
    </w:div>
    <w:div w:id="536508598">
      <w:bodyDiv w:val="1"/>
      <w:marLeft w:val="0"/>
      <w:marRight w:val="0"/>
      <w:marTop w:val="0"/>
      <w:marBottom w:val="0"/>
      <w:divBdr>
        <w:top w:val="none" w:sz="0" w:space="0" w:color="auto"/>
        <w:left w:val="none" w:sz="0" w:space="0" w:color="auto"/>
        <w:bottom w:val="none" w:sz="0" w:space="0" w:color="auto"/>
        <w:right w:val="none" w:sz="0" w:space="0" w:color="auto"/>
      </w:divBdr>
    </w:div>
    <w:div w:id="539585695">
      <w:bodyDiv w:val="1"/>
      <w:marLeft w:val="0"/>
      <w:marRight w:val="0"/>
      <w:marTop w:val="0"/>
      <w:marBottom w:val="0"/>
      <w:divBdr>
        <w:top w:val="none" w:sz="0" w:space="0" w:color="auto"/>
        <w:left w:val="none" w:sz="0" w:space="0" w:color="auto"/>
        <w:bottom w:val="none" w:sz="0" w:space="0" w:color="auto"/>
        <w:right w:val="none" w:sz="0" w:space="0" w:color="auto"/>
      </w:divBdr>
    </w:div>
    <w:div w:id="547912687">
      <w:bodyDiv w:val="1"/>
      <w:marLeft w:val="0"/>
      <w:marRight w:val="0"/>
      <w:marTop w:val="0"/>
      <w:marBottom w:val="0"/>
      <w:divBdr>
        <w:top w:val="none" w:sz="0" w:space="0" w:color="auto"/>
        <w:left w:val="none" w:sz="0" w:space="0" w:color="auto"/>
        <w:bottom w:val="none" w:sz="0" w:space="0" w:color="auto"/>
        <w:right w:val="none" w:sz="0" w:space="0" w:color="auto"/>
      </w:divBdr>
    </w:div>
    <w:div w:id="553321100">
      <w:bodyDiv w:val="1"/>
      <w:marLeft w:val="0"/>
      <w:marRight w:val="0"/>
      <w:marTop w:val="0"/>
      <w:marBottom w:val="0"/>
      <w:divBdr>
        <w:top w:val="none" w:sz="0" w:space="0" w:color="auto"/>
        <w:left w:val="none" w:sz="0" w:space="0" w:color="auto"/>
        <w:bottom w:val="none" w:sz="0" w:space="0" w:color="auto"/>
        <w:right w:val="none" w:sz="0" w:space="0" w:color="auto"/>
      </w:divBdr>
    </w:div>
    <w:div w:id="561067606">
      <w:bodyDiv w:val="1"/>
      <w:marLeft w:val="0"/>
      <w:marRight w:val="0"/>
      <w:marTop w:val="0"/>
      <w:marBottom w:val="0"/>
      <w:divBdr>
        <w:top w:val="none" w:sz="0" w:space="0" w:color="auto"/>
        <w:left w:val="none" w:sz="0" w:space="0" w:color="auto"/>
        <w:bottom w:val="none" w:sz="0" w:space="0" w:color="auto"/>
        <w:right w:val="none" w:sz="0" w:space="0" w:color="auto"/>
      </w:divBdr>
    </w:div>
    <w:div w:id="561402670">
      <w:bodyDiv w:val="1"/>
      <w:marLeft w:val="0"/>
      <w:marRight w:val="0"/>
      <w:marTop w:val="0"/>
      <w:marBottom w:val="0"/>
      <w:divBdr>
        <w:top w:val="none" w:sz="0" w:space="0" w:color="auto"/>
        <w:left w:val="none" w:sz="0" w:space="0" w:color="auto"/>
        <w:bottom w:val="none" w:sz="0" w:space="0" w:color="auto"/>
        <w:right w:val="none" w:sz="0" w:space="0" w:color="auto"/>
      </w:divBdr>
    </w:div>
    <w:div w:id="561601934">
      <w:bodyDiv w:val="1"/>
      <w:marLeft w:val="0"/>
      <w:marRight w:val="0"/>
      <w:marTop w:val="0"/>
      <w:marBottom w:val="0"/>
      <w:divBdr>
        <w:top w:val="none" w:sz="0" w:space="0" w:color="auto"/>
        <w:left w:val="none" w:sz="0" w:space="0" w:color="auto"/>
        <w:bottom w:val="none" w:sz="0" w:space="0" w:color="auto"/>
        <w:right w:val="none" w:sz="0" w:space="0" w:color="auto"/>
      </w:divBdr>
    </w:div>
    <w:div w:id="563375255">
      <w:bodyDiv w:val="1"/>
      <w:marLeft w:val="0"/>
      <w:marRight w:val="0"/>
      <w:marTop w:val="0"/>
      <w:marBottom w:val="0"/>
      <w:divBdr>
        <w:top w:val="none" w:sz="0" w:space="0" w:color="auto"/>
        <w:left w:val="none" w:sz="0" w:space="0" w:color="auto"/>
        <w:bottom w:val="none" w:sz="0" w:space="0" w:color="auto"/>
        <w:right w:val="none" w:sz="0" w:space="0" w:color="auto"/>
      </w:divBdr>
    </w:div>
    <w:div w:id="564681842">
      <w:bodyDiv w:val="1"/>
      <w:marLeft w:val="0"/>
      <w:marRight w:val="0"/>
      <w:marTop w:val="0"/>
      <w:marBottom w:val="0"/>
      <w:divBdr>
        <w:top w:val="none" w:sz="0" w:space="0" w:color="auto"/>
        <w:left w:val="none" w:sz="0" w:space="0" w:color="auto"/>
        <w:bottom w:val="none" w:sz="0" w:space="0" w:color="auto"/>
        <w:right w:val="none" w:sz="0" w:space="0" w:color="auto"/>
      </w:divBdr>
    </w:div>
    <w:div w:id="568426322">
      <w:bodyDiv w:val="1"/>
      <w:marLeft w:val="0"/>
      <w:marRight w:val="0"/>
      <w:marTop w:val="0"/>
      <w:marBottom w:val="0"/>
      <w:divBdr>
        <w:top w:val="none" w:sz="0" w:space="0" w:color="auto"/>
        <w:left w:val="none" w:sz="0" w:space="0" w:color="auto"/>
        <w:bottom w:val="none" w:sz="0" w:space="0" w:color="auto"/>
        <w:right w:val="none" w:sz="0" w:space="0" w:color="auto"/>
      </w:divBdr>
    </w:div>
    <w:div w:id="581641746">
      <w:bodyDiv w:val="1"/>
      <w:marLeft w:val="0"/>
      <w:marRight w:val="0"/>
      <w:marTop w:val="0"/>
      <w:marBottom w:val="0"/>
      <w:divBdr>
        <w:top w:val="none" w:sz="0" w:space="0" w:color="auto"/>
        <w:left w:val="none" w:sz="0" w:space="0" w:color="auto"/>
        <w:bottom w:val="none" w:sz="0" w:space="0" w:color="auto"/>
        <w:right w:val="none" w:sz="0" w:space="0" w:color="auto"/>
      </w:divBdr>
    </w:div>
    <w:div w:id="582223796">
      <w:bodyDiv w:val="1"/>
      <w:marLeft w:val="0"/>
      <w:marRight w:val="0"/>
      <w:marTop w:val="0"/>
      <w:marBottom w:val="0"/>
      <w:divBdr>
        <w:top w:val="none" w:sz="0" w:space="0" w:color="auto"/>
        <w:left w:val="none" w:sz="0" w:space="0" w:color="auto"/>
        <w:bottom w:val="none" w:sz="0" w:space="0" w:color="auto"/>
        <w:right w:val="none" w:sz="0" w:space="0" w:color="auto"/>
      </w:divBdr>
    </w:div>
    <w:div w:id="583030719">
      <w:bodyDiv w:val="1"/>
      <w:marLeft w:val="0"/>
      <w:marRight w:val="0"/>
      <w:marTop w:val="0"/>
      <w:marBottom w:val="0"/>
      <w:divBdr>
        <w:top w:val="none" w:sz="0" w:space="0" w:color="auto"/>
        <w:left w:val="none" w:sz="0" w:space="0" w:color="auto"/>
        <w:bottom w:val="none" w:sz="0" w:space="0" w:color="auto"/>
        <w:right w:val="none" w:sz="0" w:space="0" w:color="auto"/>
      </w:divBdr>
    </w:div>
    <w:div w:id="588270773">
      <w:bodyDiv w:val="1"/>
      <w:marLeft w:val="0"/>
      <w:marRight w:val="0"/>
      <w:marTop w:val="0"/>
      <w:marBottom w:val="0"/>
      <w:divBdr>
        <w:top w:val="none" w:sz="0" w:space="0" w:color="auto"/>
        <w:left w:val="none" w:sz="0" w:space="0" w:color="auto"/>
        <w:bottom w:val="none" w:sz="0" w:space="0" w:color="auto"/>
        <w:right w:val="none" w:sz="0" w:space="0" w:color="auto"/>
      </w:divBdr>
    </w:div>
    <w:div w:id="593048896">
      <w:bodyDiv w:val="1"/>
      <w:marLeft w:val="0"/>
      <w:marRight w:val="0"/>
      <w:marTop w:val="0"/>
      <w:marBottom w:val="0"/>
      <w:divBdr>
        <w:top w:val="none" w:sz="0" w:space="0" w:color="auto"/>
        <w:left w:val="none" w:sz="0" w:space="0" w:color="auto"/>
        <w:bottom w:val="none" w:sz="0" w:space="0" w:color="auto"/>
        <w:right w:val="none" w:sz="0" w:space="0" w:color="auto"/>
      </w:divBdr>
    </w:div>
    <w:div w:id="596060884">
      <w:bodyDiv w:val="1"/>
      <w:marLeft w:val="0"/>
      <w:marRight w:val="0"/>
      <w:marTop w:val="0"/>
      <w:marBottom w:val="0"/>
      <w:divBdr>
        <w:top w:val="none" w:sz="0" w:space="0" w:color="auto"/>
        <w:left w:val="none" w:sz="0" w:space="0" w:color="auto"/>
        <w:bottom w:val="none" w:sz="0" w:space="0" w:color="auto"/>
        <w:right w:val="none" w:sz="0" w:space="0" w:color="auto"/>
      </w:divBdr>
    </w:div>
    <w:div w:id="596598107">
      <w:bodyDiv w:val="1"/>
      <w:marLeft w:val="0"/>
      <w:marRight w:val="0"/>
      <w:marTop w:val="0"/>
      <w:marBottom w:val="0"/>
      <w:divBdr>
        <w:top w:val="none" w:sz="0" w:space="0" w:color="auto"/>
        <w:left w:val="none" w:sz="0" w:space="0" w:color="auto"/>
        <w:bottom w:val="none" w:sz="0" w:space="0" w:color="auto"/>
        <w:right w:val="none" w:sz="0" w:space="0" w:color="auto"/>
      </w:divBdr>
    </w:div>
    <w:div w:id="597449682">
      <w:bodyDiv w:val="1"/>
      <w:marLeft w:val="0"/>
      <w:marRight w:val="0"/>
      <w:marTop w:val="0"/>
      <w:marBottom w:val="0"/>
      <w:divBdr>
        <w:top w:val="none" w:sz="0" w:space="0" w:color="auto"/>
        <w:left w:val="none" w:sz="0" w:space="0" w:color="auto"/>
        <w:bottom w:val="none" w:sz="0" w:space="0" w:color="auto"/>
        <w:right w:val="none" w:sz="0" w:space="0" w:color="auto"/>
      </w:divBdr>
    </w:div>
    <w:div w:id="602961283">
      <w:bodyDiv w:val="1"/>
      <w:marLeft w:val="0"/>
      <w:marRight w:val="0"/>
      <w:marTop w:val="0"/>
      <w:marBottom w:val="0"/>
      <w:divBdr>
        <w:top w:val="none" w:sz="0" w:space="0" w:color="auto"/>
        <w:left w:val="none" w:sz="0" w:space="0" w:color="auto"/>
        <w:bottom w:val="none" w:sz="0" w:space="0" w:color="auto"/>
        <w:right w:val="none" w:sz="0" w:space="0" w:color="auto"/>
      </w:divBdr>
    </w:div>
    <w:div w:id="607128461">
      <w:bodyDiv w:val="1"/>
      <w:marLeft w:val="0"/>
      <w:marRight w:val="0"/>
      <w:marTop w:val="0"/>
      <w:marBottom w:val="0"/>
      <w:divBdr>
        <w:top w:val="none" w:sz="0" w:space="0" w:color="auto"/>
        <w:left w:val="none" w:sz="0" w:space="0" w:color="auto"/>
        <w:bottom w:val="none" w:sz="0" w:space="0" w:color="auto"/>
        <w:right w:val="none" w:sz="0" w:space="0" w:color="auto"/>
      </w:divBdr>
    </w:div>
    <w:div w:id="609708287">
      <w:bodyDiv w:val="1"/>
      <w:marLeft w:val="0"/>
      <w:marRight w:val="0"/>
      <w:marTop w:val="0"/>
      <w:marBottom w:val="0"/>
      <w:divBdr>
        <w:top w:val="none" w:sz="0" w:space="0" w:color="auto"/>
        <w:left w:val="none" w:sz="0" w:space="0" w:color="auto"/>
        <w:bottom w:val="none" w:sz="0" w:space="0" w:color="auto"/>
        <w:right w:val="none" w:sz="0" w:space="0" w:color="auto"/>
      </w:divBdr>
    </w:div>
    <w:div w:id="614092679">
      <w:bodyDiv w:val="1"/>
      <w:marLeft w:val="0"/>
      <w:marRight w:val="0"/>
      <w:marTop w:val="0"/>
      <w:marBottom w:val="0"/>
      <w:divBdr>
        <w:top w:val="none" w:sz="0" w:space="0" w:color="auto"/>
        <w:left w:val="none" w:sz="0" w:space="0" w:color="auto"/>
        <w:bottom w:val="none" w:sz="0" w:space="0" w:color="auto"/>
        <w:right w:val="none" w:sz="0" w:space="0" w:color="auto"/>
      </w:divBdr>
    </w:div>
    <w:div w:id="615138808">
      <w:bodyDiv w:val="1"/>
      <w:marLeft w:val="0"/>
      <w:marRight w:val="0"/>
      <w:marTop w:val="0"/>
      <w:marBottom w:val="0"/>
      <w:divBdr>
        <w:top w:val="none" w:sz="0" w:space="0" w:color="auto"/>
        <w:left w:val="none" w:sz="0" w:space="0" w:color="auto"/>
        <w:bottom w:val="none" w:sz="0" w:space="0" w:color="auto"/>
        <w:right w:val="none" w:sz="0" w:space="0" w:color="auto"/>
      </w:divBdr>
    </w:div>
    <w:div w:id="619142807">
      <w:bodyDiv w:val="1"/>
      <w:marLeft w:val="0"/>
      <w:marRight w:val="0"/>
      <w:marTop w:val="0"/>
      <w:marBottom w:val="0"/>
      <w:divBdr>
        <w:top w:val="none" w:sz="0" w:space="0" w:color="auto"/>
        <w:left w:val="none" w:sz="0" w:space="0" w:color="auto"/>
        <w:bottom w:val="none" w:sz="0" w:space="0" w:color="auto"/>
        <w:right w:val="none" w:sz="0" w:space="0" w:color="auto"/>
      </w:divBdr>
    </w:div>
    <w:div w:id="620768285">
      <w:bodyDiv w:val="1"/>
      <w:marLeft w:val="0"/>
      <w:marRight w:val="0"/>
      <w:marTop w:val="0"/>
      <w:marBottom w:val="0"/>
      <w:divBdr>
        <w:top w:val="none" w:sz="0" w:space="0" w:color="auto"/>
        <w:left w:val="none" w:sz="0" w:space="0" w:color="auto"/>
        <w:bottom w:val="none" w:sz="0" w:space="0" w:color="auto"/>
        <w:right w:val="none" w:sz="0" w:space="0" w:color="auto"/>
      </w:divBdr>
    </w:div>
    <w:div w:id="620842559">
      <w:bodyDiv w:val="1"/>
      <w:marLeft w:val="0"/>
      <w:marRight w:val="0"/>
      <w:marTop w:val="0"/>
      <w:marBottom w:val="0"/>
      <w:divBdr>
        <w:top w:val="none" w:sz="0" w:space="0" w:color="auto"/>
        <w:left w:val="none" w:sz="0" w:space="0" w:color="auto"/>
        <w:bottom w:val="none" w:sz="0" w:space="0" w:color="auto"/>
        <w:right w:val="none" w:sz="0" w:space="0" w:color="auto"/>
      </w:divBdr>
    </w:div>
    <w:div w:id="626469672">
      <w:bodyDiv w:val="1"/>
      <w:marLeft w:val="0"/>
      <w:marRight w:val="0"/>
      <w:marTop w:val="0"/>
      <w:marBottom w:val="0"/>
      <w:divBdr>
        <w:top w:val="none" w:sz="0" w:space="0" w:color="auto"/>
        <w:left w:val="none" w:sz="0" w:space="0" w:color="auto"/>
        <w:bottom w:val="none" w:sz="0" w:space="0" w:color="auto"/>
        <w:right w:val="none" w:sz="0" w:space="0" w:color="auto"/>
      </w:divBdr>
    </w:div>
    <w:div w:id="626935673">
      <w:bodyDiv w:val="1"/>
      <w:marLeft w:val="0"/>
      <w:marRight w:val="0"/>
      <w:marTop w:val="0"/>
      <w:marBottom w:val="0"/>
      <w:divBdr>
        <w:top w:val="none" w:sz="0" w:space="0" w:color="auto"/>
        <w:left w:val="none" w:sz="0" w:space="0" w:color="auto"/>
        <w:bottom w:val="none" w:sz="0" w:space="0" w:color="auto"/>
        <w:right w:val="none" w:sz="0" w:space="0" w:color="auto"/>
      </w:divBdr>
    </w:div>
    <w:div w:id="627198426">
      <w:bodyDiv w:val="1"/>
      <w:marLeft w:val="0"/>
      <w:marRight w:val="0"/>
      <w:marTop w:val="0"/>
      <w:marBottom w:val="0"/>
      <w:divBdr>
        <w:top w:val="none" w:sz="0" w:space="0" w:color="auto"/>
        <w:left w:val="none" w:sz="0" w:space="0" w:color="auto"/>
        <w:bottom w:val="none" w:sz="0" w:space="0" w:color="auto"/>
        <w:right w:val="none" w:sz="0" w:space="0" w:color="auto"/>
      </w:divBdr>
    </w:div>
    <w:div w:id="630985934">
      <w:bodyDiv w:val="1"/>
      <w:marLeft w:val="0"/>
      <w:marRight w:val="0"/>
      <w:marTop w:val="0"/>
      <w:marBottom w:val="0"/>
      <w:divBdr>
        <w:top w:val="none" w:sz="0" w:space="0" w:color="auto"/>
        <w:left w:val="none" w:sz="0" w:space="0" w:color="auto"/>
        <w:bottom w:val="none" w:sz="0" w:space="0" w:color="auto"/>
        <w:right w:val="none" w:sz="0" w:space="0" w:color="auto"/>
      </w:divBdr>
    </w:div>
    <w:div w:id="637078168">
      <w:bodyDiv w:val="1"/>
      <w:marLeft w:val="0"/>
      <w:marRight w:val="0"/>
      <w:marTop w:val="0"/>
      <w:marBottom w:val="0"/>
      <w:divBdr>
        <w:top w:val="none" w:sz="0" w:space="0" w:color="auto"/>
        <w:left w:val="none" w:sz="0" w:space="0" w:color="auto"/>
        <w:bottom w:val="none" w:sz="0" w:space="0" w:color="auto"/>
        <w:right w:val="none" w:sz="0" w:space="0" w:color="auto"/>
      </w:divBdr>
    </w:div>
    <w:div w:id="639576857">
      <w:bodyDiv w:val="1"/>
      <w:marLeft w:val="0"/>
      <w:marRight w:val="0"/>
      <w:marTop w:val="0"/>
      <w:marBottom w:val="0"/>
      <w:divBdr>
        <w:top w:val="none" w:sz="0" w:space="0" w:color="auto"/>
        <w:left w:val="none" w:sz="0" w:space="0" w:color="auto"/>
        <w:bottom w:val="none" w:sz="0" w:space="0" w:color="auto"/>
        <w:right w:val="none" w:sz="0" w:space="0" w:color="auto"/>
      </w:divBdr>
    </w:div>
    <w:div w:id="645473232">
      <w:bodyDiv w:val="1"/>
      <w:marLeft w:val="0"/>
      <w:marRight w:val="0"/>
      <w:marTop w:val="0"/>
      <w:marBottom w:val="0"/>
      <w:divBdr>
        <w:top w:val="none" w:sz="0" w:space="0" w:color="auto"/>
        <w:left w:val="none" w:sz="0" w:space="0" w:color="auto"/>
        <w:bottom w:val="none" w:sz="0" w:space="0" w:color="auto"/>
        <w:right w:val="none" w:sz="0" w:space="0" w:color="auto"/>
      </w:divBdr>
    </w:div>
    <w:div w:id="647824366">
      <w:bodyDiv w:val="1"/>
      <w:marLeft w:val="0"/>
      <w:marRight w:val="0"/>
      <w:marTop w:val="0"/>
      <w:marBottom w:val="0"/>
      <w:divBdr>
        <w:top w:val="none" w:sz="0" w:space="0" w:color="auto"/>
        <w:left w:val="none" w:sz="0" w:space="0" w:color="auto"/>
        <w:bottom w:val="none" w:sz="0" w:space="0" w:color="auto"/>
        <w:right w:val="none" w:sz="0" w:space="0" w:color="auto"/>
      </w:divBdr>
    </w:div>
    <w:div w:id="654991364">
      <w:bodyDiv w:val="1"/>
      <w:marLeft w:val="0"/>
      <w:marRight w:val="0"/>
      <w:marTop w:val="0"/>
      <w:marBottom w:val="0"/>
      <w:divBdr>
        <w:top w:val="none" w:sz="0" w:space="0" w:color="auto"/>
        <w:left w:val="none" w:sz="0" w:space="0" w:color="auto"/>
        <w:bottom w:val="none" w:sz="0" w:space="0" w:color="auto"/>
        <w:right w:val="none" w:sz="0" w:space="0" w:color="auto"/>
      </w:divBdr>
    </w:div>
    <w:div w:id="662926773">
      <w:bodyDiv w:val="1"/>
      <w:marLeft w:val="0"/>
      <w:marRight w:val="0"/>
      <w:marTop w:val="0"/>
      <w:marBottom w:val="0"/>
      <w:divBdr>
        <w:top w:val="none" w:sz="0" w:space="0" w:color="auto"/>
        <w:left w:val="none" w:sz="0" w:space="0" w:color="auto"/>
        <w:bottom w:val="none" w:sz="0" w:space="0" w:color="auto"/>
        <w:right w:val="none" w:sz="0" w:space="0" w:color="auto"/>
      </w:divBdr>
    </w:div>
    <w:div w:id="663051998">
      <w:bodyDiv w:val="1"/>
      <w:marLeft w:val="0"/>
      <w:marRight w:val="0"/>
      <w:marTop w:val="0"/>
      <w:marBottom w:val="0"/>
      <w:divBdr>
        <w:top w:val="none" w:sz="0" w:space="0" w:color="auto"/>
        <w:left w:val="none" w:sz="0" w:space="0" w:color="auto"/>
        <w:bottom w:val="none" w:sz="0" w:space="0" w:color="auto"/>
        <w:right w:val="none" w:sz="0" w:space="0" w:color="auto"/>
      </w:divBdr>
    </w:div>
    <w:div w:id="664551293">
      <w:bodyDiv w:val="1"/>
      <w:marLeft w:val="0"/>
      <w:marRight w:val="0"/>
      <w:marTop w:val="0"/>
      <w:marBottom w:val="0"/>
      <w:divBdr>
        <w:top w:val="none" w:sz="0" w:space="0" w:color="auto"/>
        <w:left w:val="none" w:sz="0" w:space="0" w:color="auto"/>
        <w:bottom w:val="none" w:sz="0" w:space="0" w:color="auto"/>
        <w:right w:val="none" w:sz="0" w:space="0" w:color="auto"/>
      </w:divBdr>
    </w:div>
    <w:div w:id="665786125">
      <w:bodyDiv w:val="1"/>
      <w:marLeft w:val="0"/>
      <w:marRight w:val="0"/>
      <w:marTop w:val="0"/>
      <w:marBottom w:val="0"/>
      <w:divBdr>
        <w:top w:val="none" w:sz="0" w:space="0" w:color="auto"/>
        <w:left w:val="none" w:sz="0" w:space="0" w:color="auto"/>
        <w:bottom w:val="none" w:sz="0" w:space="0" w:color="auto"/>
        <w:right w:val="none" w:sz="0" w:space="0" w:color="auto"/>
      </w:divBdr>
    </w:div>
    <w:div w:id="666638779">
      <w:bodyDiv w:val="1"/>
      <w:marLeft w:val="0"/>
      <w:marRight w:val="0"/>
      <w:marTop w:val="0"/>
      <w:marBottom w:val="0"/>
      <w:divBdr>
        <w:top w:val="none" w:sz="0" w:space="0" w:color="auto"/>
        <w:left w:val="none" w:sz="0" w:space="0" w:color="auto"/>
        <w:bottom w:val="none" w:sz="0" w:space="0" w:color="auto"/>
        <w:right w:val="none" w:sz="0" w:space="0" w:color="auto"/>
      </w:divBdr>
    </w:div>
    <w:div w:id="666830061">
      <w:bodyDiv w:val="1"/>
      <w:marLeft w:val="0"/>
      <w:marRight w:val="0"/>
      <w:marTop w:val="0"/>
      <w:marBottom w:val="0"/>
      <w:divBdr>
        <w:top w:val="none" w:sz="0" w:space="0" w:color="auto"/>
        <w:left w:val="none" w:sz="0" w:space="0" w:color="auto"/>
        <w:bottom w:val="none" w:sz="0" w:space="0" w:color="auto"/>
        <w:right w:val="none" w:sz="0" w:space="0" w:color="auto"/>
      </w:divBdr>
    </w:div>
    <w:div w:id="668558980">
      <w:bodyDiv w:val="1"/>
      <w:marLeft w:val="0"/>
      <w:marRight w:val="0"/>
      <w:marTop w:val="0"/>
      <w:marBottom w:val="0"/>
      <w:divBdr>
        <w:top w:val="none" w:sz="0" w:space="0" w:color="auto"/>
        <w:left w:val="none" w:sz="0" w:space="0" w:color="auto"/>
        <w:bottom w:val="none" w:sz="0" w:space="0" w:color="auto"/>
        <w:right w:val="none" w:sz="0" w:space="0" w:color="auto"/>
      </w:divBdr>
    </w:div>
    <w:div w:id="674262729">
      <w:bodyDiv w:val="1"/>
      <w:marLeft w:val="0"/>
      <w:marRight w:val="0"/>
      <w:marTop w:val="0"/>
      <w:marBottom w:val="0"/>
      <w:divBdr>
        <w:top w:val="none" w:sz="0" w:space="0" w:color="auto"/>
        <w:left w:val="none" w:sz="0" w:space="0" w:color="auto"/>
        <w:bottom w:val="none" w:sz="0" w:space="0" w:color="auto"/>
        <w:right w:val="none" w:sz="0" w:space="0" w:color="auto"/>
      </w:divBdr>
    </w:div>
    <w:div w:id="682052991">
      <w:bodyDiv w:val="1"/>
      <w:marLeft w:val="0"/>
      <w:marRight w:val="0"/>
      <w:marTop w:val="0"/>
      <w:marBottom w:val="0"/>
      <w:divBdr>
        <w:top w:val="none" w:sz="0" w:space="0" w:color="auto"/>
        <w:left w:val="none" w:sz="0" w:space="0" w:color="auto"/>
        <w:bottom w:val="none" w:sz="0" w:space="0" w:color="auto"/>
        <w:right w:val="none" w:sz="0" w:space="0" w:color="auto"/>
      </w:divBdr>
    </w:div>
    <w:div w:id="690880528">
      <w:bodyDiv w:val="1"/>
      <w:marLeft w:val="0"/>
      <w:marRight w:val="0"/>
      <w:marTop w:val="0"/>
      <w:marBottom w:val="0"/>
      <w:divBdr>
        <w:top w:val="none" w:sz="0" w:space="0" w:color="auto"/>
        <w:left w:val="none" w:sz="0" w:space="0" w:color="auto"/>
        <w:bottom w:val="none" w:sz="0" w:space="0" w:color="auto"/>
        <w:right w:val="none" w:sz="0" w:space="0" w:color="auto"/>
      </w:divBdr>
    </w:div>
    <w:div w:id="707608274">
      <w:bodyDiv w:val="1"/>
      <w:marLeft w:val="0"/>
      <w:marRight w:val="0"/>
      <w:marTop w:val="0"/>
      <w:marBottom w:val="0"/>
      <w:divBdr>
        <w:top w:val="none" w:sz="0" w:space="0" w:color="auto"/>
        <w:left w:val="none" w:sz="0" w:space="0" w:color="auto"/>
        <w:bottom w:val="none" w:sz="0" w:space="0" w:color="auto"/>
        <w:right w:val="none" w:sz="0" w:space="0" w:color="auto"/>
      </w:divBdr>
    </w:div>
    <w:div w:id="716053298">
      <w:bodyDiv w:val="1"/>
      <w:marLeft w:val="0"/>
      <w:marRight w:val="0"/>
      <w:marTop w:val="0"/>
      <w:marBottom w:val="0"/>
      <w:divBdr>
        <w:top w:val="none" w:sz="0" w:space="0" w:color="auto"/>
        <w:left w:val="none" w:sz="0" w:space="0" w:color="auto"/>
        <w:bottom w:val="none" w:sz="0" w:space="0" w:color="auto"/>
        <w:right w:val="none" w:sz="0" w:space="0" w:color="auto"/>
      </w:divBdr>
    </w:div>
    <w:div w:id="723796628">
      <w:bodyDiv w:val="1"/>
      <w:marLeft w:val="0"/>
      <w:marRight w:val="0"/>
      <w:marTop w:val="0"/>
      <w:marBottom w:val="0"/>
      <w:divBdr>
        <w:top w:val="none" w:sz="0" w:space="0" w:color="auto"/>
        <w:left w:val="none" w:sz="0" w:space="0" w:color="auto"/>
        <w:bottom w:val="none" w:sz="0" w:space="0" w:color="auto"/>
        <w:right w:val="none" w:sz="0" w:space="0" w:color="auto"/>
      </w:divBdr>
    </w:div>
    <w:div w:id="728505192">
      <w:bodyDiv w:val="1"/>
      <w:marLeft w:val="0"/>
      <w:marRight w:val="0"/>
      <w:marTop w:val="0"/>
      <w:marBottom w:val="0"/>
      <w:divBdr>
        <w:top w:val="none" w:sz="0" w:space="0" w:color="auto"/>
        <w:left w:val="none" w:sz="0" w:space="0" w:color="auto"/>
        <w:bottom w:val="none" w:sz="0" w:space="0" w:color="auto"/>
        <w:right w:val="none" w:sz="0" w:space="0" w:color="auto"/>
      </w:divBdr>
    </w:div>
    <w:div w:id="732462269">
      <w:bodyDiv w:val="1"/>
      <w:marLeft w:val="0"/>
      <w:marRight w:val="0"/>
      <w:marTop w:val="0"/>
      <w:marBottom w:val="0"/>
      <w:divBdr>
        <w:top w:val="none" w:sz="0" w:space="0" w:color="auto"/>
        <w:left w:val="none" w:sz="0" w:space="0" w:color="auto"/>
        <w:bottom w:val="none" w:sz="0" w:space="0" w:color="auto"/>
        <w:right w:val="none" w:sz="0" w:space="0" w:color="auto"/>
      </w:divBdr>
    </w:div>
    <w:div w:id="733550441">
      <w:bodyDiv w:val="1"/>
      <w:marLeft w:val="0"/>
      <w:marRight w:val="0"/>
      <w:marTop w:val="0"/>
      <w:marBottom w:val="0"/>
      <w:divBdr>
        <w:top w:val="none" w:sz="0" w:space="0" w:color="auto"/>
        <w:left w:val="none" w:sz="0" w:space="0" w:color="auto"/>
        <w:bottom w:val="none" w:sz="0" w:space="0" w:color="auto"/>
        <w:right w:val="none" w:sz="0" w:space="0" w:color="auto"/>
      </w:divBdr>
    </w:div>
    <w:div w:id="736634482">
      <w:bodyDiv w:val="1"/>
      <w:marLeft w:val="0"/>
      <w:marRight w:val="0"/>
      <w:marTop w:val="0"/>
      <w:marBottom w:val="0"/>
      <w:divBdr>
        <w:top w:val="none" w:sz="0" w:space="0" w:color="auto"/>
        <w:left w:val="none" w:sz="0" w:space="0" w:color="auto"/>
        <w:bottom w:val="none" w:sz="0" w:space="0" w:color="auto"/>
        <w:right w:val="none" w:sz="0" w:space="0" w:color="auto"/>
      </w:divBdr>
    </w:div>
    <w:div w:id="739403246">
      <w:bodyDiv w:val="1"/>
      <w:marLeft w:val="0"/>
      <w:marRight w:val="0"/>
      <w:marTop w:val="0"/>
      <w:marBottom w:val="0"/>
      <w:divBdr>
        <w:top w:val="none" w:sz="0" w:space="0" w:color="auto"/>
        <w:left w:val="none" w:sz="0" w:space="0" w:color="auto"/>
        <w:bottom w:val="none" w:sz="0" w:space="0" w:color="auto"/>
        <w:right w:val="none" w:sz="0" w:space="0" w:color="auto"/>
      </w:divBdr>
    </w:div>
    <w:div w:id="751970359">
      <w:bodyDiv w:val="1"/>
      <w:marLeft w:val="0"/>
      <w:marRight w:val="0"/>
      <w:marTop w:val="0"/>
      <w:marBottom w:val="0"/>
      <w:divBdr>
        <w:top w:val="none" w:sz="0" w:space="0" w:color="auto"/>
        <w:left w:val="none" w:sz="0" w:space="0" w:color="auto"/>
        <w:bottom w:val="none" w:sz="0" w:space="0" w:color="auto"/>
        <w:right w:val="none" w:sz="0" w:space="0" w:color="auto"/>
      </w:divBdr>
    </w:div>
    <w:div w:id="761610842">
      <w:bodyDiv w:val="1"/>
      <w:marLeft w:val="0"/>
      <w:marRight w:val="0"/>
      <w:marTop w:val="0"/>
      <w:marBottom w:val="0"/>
      <w:divBdr>
        <w:top w:val="none" w:sz="0" w:space="0" w:color="auto"/>
        <w:left w:val="none" w:sz="0" w:space="0" w:color="auto"/>
        <w:bottom w:val="none" w:sz="0" w:space="0" w:color="auto"/>
        <w:right w:val="none" w:sz="0" w:space="0" w:color="auto"/>
      </w:divBdr>
    </w:div>
    <w:div w:id="763647763">
      <w:bodyDiv w:val="1"/>
      <w:marLeft w:val="0"/>
      <w:marRight w:val="0"/>
      <w:marTop w:val="0"/>
      <w:marBottom w:val="0"/>
      <w:divBdr>
        <w:top w:val="none" w:sz="0" w:space="0" w:color="auto"/>
        <w:left w:val="none" w:sz="0" w:space="0" w:color="auto"/>
        <w:bottom w:val="none" w:sz="0" w:space="0" w:color="auto"/>
        <w:right w:val="none" w:sz="0" w:space="0" w:color="auto"/>
      </w:divBdr>
    </w:div>
    <w:div w:id="766579491">
      <w:bodyDiv w:val="1"/>
      <w:marLeft w:val="0"/>
      <w:marRight w:val="0"/>
      <w:marTop w:val="0"/>
      <w:marBottom w:val="0"/>
      <w:divBdr>
        <w:top w:val="none" w:sz="0" w:space="0" w:color="auto"/>
        <w:left w:val="none" w:sz="0" w:space="0" w:color="auto"/>
        <w:bottom w:val="none" w:sz="0" w:space="0" w:color="auto"/>
        <w:right w:val="none" w:sz="0" w:space="0" w:color="auto"/>
      </w:divBdr>
    </w:div>
    <w:div w:id="767042458">
      <w:bodyDiv w:val="1"/>
      <w:marLeft w:val="0"/>
      <w:marRight w:val="0"/>
      <w:marTop w:val="0"/>
      <w:marBottom w:val="0"/>
      <w:divBdr>
        <w:top w:val="none" w:sz="0" w:space="0" w:color="auto"/>
        <w:left w:val="none" w:sz="0" w:space="0" w:color="auto"/>
        <w:bottom w:val="none" w:sz="0" w:space="0" w:color="auto"/>
        <w:right w:val="none" w:sz="0" w:space="0" w:color="auto"/>
      </w:divBdr>
    </w:div>
    <w:div w:id="768819820">
      <w:bodyDiv w:val="1"/>
      <w:marLeft w:val="0"/>
      <w:marRight w:val="0"/>
      <w:marTop w:val="0"/>
      <w:marBottom w:val="0"/>
      <w:divBdr>
        <w:top w:val="none" w:sz="0" w:space="0" w:color="auto"/>
        <w:left w:val="none" w:sz="0" w:space="0" w:color="auto"/>
        <w:bottom w:val="none" w:sz="0" w:space="0" w:color="auto"/>
        <w:right w:val="none" w:sz="0" w:space="0" w:color="auto"/>
      </w:divBdr>
    </w:div>
    <w:div w:id="768963013">
      <w:bodyDiv w:val="1"/>
      <w:marLeft w:val="0"/>
      <w:marRight w:val="0"/>
      <w:marTop w:val="0"/>
      <w:marBottom w:val="0"/>
      <w:divBdr>
        <w:top w:val="none" w:sz="0" w:space="0" w:color="auto"/>
        <w:left w:val="none" w:sz="0" w:space="0" w:color="auto"/>
        <w:bottom w:val="none" w:sz="0" w:space="0" w:color="auto"/>
        <w:right w:val="none" w:sz="0" w:space="0" w:color="auto"/>
      </w:divBdr>
    </w:div>
    <w:div w:id="769279896">
      <w:bodyDiv w:val="1"/>
      <w:marLeft w:val="0"/>
      <w:marRight w:val="0"/>
      <w:marTop w:val="0"/>
      <w:marBottom w:val="0"/>
      <w:divBdr>
        <w:top w:val="none" w:sz="0" w:space="0" w:color="auto"/>
        <w:left w:val="none" w:sz="0" w:space="0" w:color="auto"/>
        <w:bottom w:val="none" w:sz="0" w:space="0" w:color="auto"/>
        <w:right w:val="none" w:sz="0" w:space="0" w:color="auto"/>
      </w:divBdr>
    </w:div>
    <w:div w:id="770129372">
      <w:bodyDiv w:val="1"/>
      <w:marLeft w:val="0"/>
      <w:marRight w:val="0"/>
      <w:marTop w:val="0"/>
      <w:marBottom w:val="0"/>
      <w:divBdr>
        <w:top w:val="none" w:sz="0" w:space="0" w:color="auto"/>
        <w:left w:val="none" w:sz="0" w:space="0" w:color="auto"/>
        <w:bottom w:val="none" w:sz="0" w:space="0" w:color="auto"/>
        <w:right w:val="none" w:sz="0" w:space="0" w:color="auto"/>
      </w:divBdr>
    </w:div>
    <w:div w:id="772632723">
      <w:bodyDiv w:val="1"/>
      <w:marLeft w:val="0"/>
      <w:marRight w:val="0"/>
      <w:marTop w:val="0"/>
      <w:marBottom w:val="0"/>
      <w:divBdr>
        <w:top w:val="none" w:sz="0" w:space="0" w:color="auto"/>
        <w:left w:val="none" w:sz="0" w:space="0" w:color="auto"/>
        <w:bottom w:val="none" w:sz="0" w:space="0" w:color="auto"/>
        <w:right w:val="none" w:sz="0" w:space="0" w:color="auto"/>
      </w:divBdr>
    </w:div>
    <w:div w:id="772747460">
      <w:bodyDiv w:val="1"/>
      <w:marLeft w:val="0"/>
      <w:marRight w:val="0"/>
      <w:marTop w:val="0"/>
      <w:marBottom w:val="0"/>
      <w:divBdr>
        <w:top w:val="none" w:sz="0" w:space="0" w:color="auto"/>
        <w:left w:val="none" w:sz="0" w:space="0" w:color="auto"/>
        <w:bottom w:val="none" w:sz="0" w:space="0" w:color="auto"/>
        <w:right w:val="none" w:sz="0" w:space="0" w:color="auto"/>
      </w:divBdr>
    </w:div>
    <w:div w:id="773401021">
      <w:bodyDiv w:val="1"/>
      <w:marLeft w:val="0"/>
      <w:marRight w:val="0"/>
      <w:marTop w:val="0"/>
      <w:marBottom w:val="0"/>
      <w:divBdr>
        <w:top w:val="none" w:sz="0" w:space="0" w:color="auto"/>
        <w:left w:val="none" w:sz="0" w:space="0" w:color="auto"/>
        <w:bottom w:val="none" w:sz="0" w:space="0" w:color="auto"/>
        <w:right w:val="none" w:sz="0" w:space="0" w:color="auto"/>
      </w:divBdr>
    </w:div>
    <w:div w:id="774250865">
      <w:bodyDiv w:val="1"/>
      <w:marLeft w:val="0"/>
      <w:marRight w:val="0"/>
      <w:marTop w:val="0"/>
      <w:marBottom w:val="0"/>
      <w:divBdr>
        <w:top w:val="none" w:sz="0" w:space="0" w:color="auto"/>
        <w:left w:val="none" w:sz="0" w:space="0" w:color="auto"/>
        <w:bottom w:val="none" w:sz="0" w:space="0" w:color="auto"/>
        <w:right w:val="none" w:sz="0" w:space="0" w:color="auto"/>
      </w:divBdr>
    </w:div>
    <w:div w:id="776489888">
      <w:bodyDiv w:val="1"/>
      <w:marLeft w:val="0"/>
      <w:marRight w:val="0"/>
      <w:marTop w:val="0"/>
      <w:marBottom w:val="0"/>
      <w:divBdr>
        <w:top w:val="none" w:sz="0" w:space="0" w:color="auto"/>
        <w:left w:val="none" w:sz="0" w:space="0" w:color="auto"/>
        <w:bottom w:val="none" w:sz="0" w:space="0" w:color="auto"/>
        <w:right w:val="none" w:sz="0" w:space="0" w:color="auto"/>
      </w:divBdr>
    </w:div>
    <w:div w:id="776674366">
      <w:bodyDiv w:val="1"/>
      <w:marLeft w:val="0"/>
      <w:marRight w:val="0"/>
      <w:marTop w:val="0"/>
      <w:marBottom w:val="0"/>
      <w:divBdr>
        <w:top w:val="none" w:sz="0" w:space="0" w:color="auto"/>
        <w:left w:val="none" w:sz="0" w:space="0" w:color="auto"/>
        <w:bottom w:val="none" w:sz="0" w:space="0" w:color="auto"/>
        <w:right w:val="none" w:sz="0" w:space="0" w:color="auto"/>
      </w:divBdr>
    </w:div>
    <w:div w:id="779446603">
      <w:bodyDiv w:val="1"/>
      <w:marLeft w:val="0"/>
      <w:marRight w:val="0"/>
      <w:marTop w:val="0"/>
      <w:marBottom w:val="0"/>
      <w:divBdr>
        <w:top w:val="none" w:sz="0" w:space="0" w:color="auto"/>
        <w:left w:val="none" w:sz="0" w:space="0" w:color="auto"/>
        <w:bottom w:val="none" w:sz="0" w:space="0" w:color="auto"/>
        <w:right w:val="none" w:sz="0" w:space="0" w:color="auto"/>
      </w:divBdr>
    </w:div>
    <w:div w:id="790824102">
      <w:bodyDiv w:val="1"/>
      <w:marLeft w:val="0"/>
      <w:marRight w:val="0"/>
      <w:marTop w:val="0"/>
      <w:marBottom w:val="0"/>
      <w:divBdr>
        <w:top w:val="none" w:sz="0" w:space="0" w:color="auto"/>
        <w:left w:val="none" w:sz="0" w:space="0" w:color="auto"/>
        <w:bottom w:val="none" w:sz="0" w:space="0" w:color="auto"/>
        <w:right w:val="none" w:sz="0" w:space="0" w:color="auto"/>
      </w:divBdr>
    </w:div>
    <w:div w:id="791828869">
      <w:bodyDiv w:val="1"/>
      <w:marLeft w:val="0"/>
      <w:marRight w:val="0"/>
      <w:marTop w:val="0"/>
      <w:marBottom w:val="0"/>
      <w:divBdr>
        <w:top w:val="none" w:sz="0" w:space="0" w:color="auto"/>
        <w:left w:val="none" w:sz="0" w:space="0" w:color="auto"/>
        <w:bottom w:val="none" w:sz="0" w:space="0" w:color="auto"/>
        <w:right w:val="none" w:sz="0" w:space="0" w:color="auto"/>
      </w:divBdr>
    </w:div>
    <w:div w:id="795030445">
      <w:bodyDiv w:val="1"/>
      <w:marLeft w:val="0"/>
      <w:marRight w:val="0"/>
      <w:marTop w:val="0"/>
      <w:marBottom w:val="0"/>
      <w:divBdr>
        <w:top w:val="none" w:sz="0" w:space="0" w:color="auto"/>
        <w:left w:val="none" w:sz="0" w:space="0" w:color="auto"/>
        <w:bottom w:val="none" w:sz="0" w:space="0" w:color="auto"/>
        <w:right w:val="none" w:sz="0" w:space="0" w:color="auto"/>
      </w:divBdr>
    </w:div>
    <w:div w:id="795487703">
      <w:bodyDiv w:val="1"/>
      <w:marLeft w:val="0"/>
      <w:marRight w:val="0"/>
      <w:marTop w:val="0"/>
      <w:marBottom w:val="0"/>
      <w:divBdr>
        <w:top w:val="none" w:sz="0" w:space="0" w:color="auto"/>
        <w:left w:val="none" w:sz="0" w:space="0" w:color="auto"/>
        <w:bottom w:val="none" w:sz="0" w:space="0" w:color="auto"/>
        <w:right w:val="none" w:sz="0" w:space="0" w:color="auto"/>
      </w:divBdr>
    </w:div>
    <w:div w:id="796416637">
      <w:bodyDiv w:val="1"/>
      <w:marLeft w:val="0"/>
      <w:marRight w:val="0"/>
      <w:marTop w:val="0"/>
      <w:marBottom w:val="0"/>
      <w:divBdr>
        <w:top w:val="none" w:sz="0" w:space="0" w:color="auto"/>
        <w:left w:val="none" w:sz="0" w:space="0" w:color="auto"/>
        <w:bottom w:val="none" w:sz="0" w:space="0" w:color="auto"/>
        <w:right w:val="none" w:sz="0" w:space="0" w:color="auto"/>
      </w:divBdr>
    </w:div>
    <w:div w:id="796606761">
      <w:bodyDiv w:val="1"/>
      <w:marLeft w:val="0"/>
      <w:marRight w:val="0"/>
      <w:marTop w:val="0"/>
      <w:marBottom w:val="0"/>
      <w:divBdr>
        <w:top w:val="none" w:sz="0" w:space="0" w:color="auto"/>
        <w:left w:val="none" w:sz="0" w:space="0" w:color="auto"/>
        <w:bottom w:val="none" w:sz="0" w:space="0" w:color="auto"/>
        <w:right w:val="none" w:sz="0" w:space="0" w:color="auto"/>
      </w:divBdr>
    </w:div>
    <w:div w:id="798451261">
      <w:bodyDiv w:val="1"/>
      <w:marLeft w:val="0"/>
      <w:marRight w:val="0"/>
      <w:marTop w:val="0"/>
      <w:marBottom w:val="0"/>
      <w:divBdr>
        <w:top w:val="none" w:sz="0" w:space="0" w:color="auto"/>
        <w:left w:val="none" w:sz="0" w:space="0" w:color="auto"/>
        <w:bottom w:val="none" w:sz="0" w:space="0" w:color="auto"/>
        <w:right w:val="none" w:sz="0" w:space="0" w:color="auto"/>
      </w:divBdr>
    </w:div>
    <w:div w:id="799302143">
      <w:bodyDiv w:val="1"/>
      <w:marLeft w:val="0"/>
      <w:marRight w:val="0"/>
      <w:marTop w:val="0"/>
      <w:marBottom w:val="0"/>
      <w:divBdr>
        <w:top w:val="none" w:sz="0" w:space="0" w:color="auto"/>
        <w:left w:val="none" w:sz="0" w:space="0" w:color="auto"/>
        <w:bottom w:val="none" w:sz="0" w:space="0" w:color="auto"/>
        <w:right w:val="none" w:sz="0" w:space="0" w:color="auto"/>
      </w:divBdr>
    </w:div>
    <w:div w:id="803471537">
      <w:bodyDiv w:val="1"/>
      <w:marLeft w:val="0"/>
      <w:marRight w:val="0"/>
      <w:marTop w:val="0"/>
      <w:marBottom w:val="0"/>
      <w:divBdr>
        <w:top w:val="none" w:sz="0" w:space="0" w:color="auto"/>
        <w:left w:val="none" w:sz="0" w:space="0" w:color="auto"/>
        <w:bottom w:val="none" w:sz="0" w:space="0" w:color="auto"/>
        <w:right w:val="none" w:sz="0" w:space="0" w:color="auto"/>
      </w:divBdr>
    </w:div>
    <w:div w:id="805902245">
      <w:bodyDiv w:val="1"/>
      <w:marLeft w:val="0"/>
      <w:marRight w:val="0"/>
      <w:marTop w:val="0"/>
      <w:marBottom w:val="0"/>
      <w:divBdr>
        <w:top w:val="none" w:sz="0" w:space="0" w:color="auto"/>
        <w:left w:val="none" w:sz="0" w:space="0" w:color="auto"/>
        <w:bottom w:val="none" w:sz="0" w:space="0" w:color="auto"/>
        <w:right w:val="none" w:sz="0" w:space="0" w:color="auto"/>
      </w:divBdr>
    </w:div>
    <w:div w:id="811872062">
      <w:bodyDiv w:val="1"/>
      <w:marLeft w:val="0"/>
      <w:marRight w:val="0"/>
      <w:marTop w:val="0"/>
      <w:marBottom w:val="0"/>
      <w:divBdr>
        <w:top w:val="none" w:sz="0" w:space="0" w:color="auto"/>
        <w:left w:val="none" w:sz="0" w:space="0" w:color="auto"/>
        <w:bottom w:val="none" w:sz="0" w:space="0" w:color="auto"/>
        <w:right w:val="none" w:sz="0" w:space="0" w:color="auto"/>
      </w:divBdr>
    </w:div>
    <w:div w:id="812983967">
      <w:bodyDiv w:val="1"/>
      <w:marLeft w:val="0"/>
      <w:marRight w:val="0"/>
      <w:marTop w:val="0"/>
      <w:marBottom w:val="0"/>
      <w:divBdr>
        <w:top w:val="none" w:sz="0" w:space="0" w:color="auto"/>
        <w:left w:val="none" w:sz="0" w:space="0" w:color="auto"/>
        <w:bottom w:val="none" w:sz="0" w:space="0" w:color="auto"/>
        <w:right w:val="none" w:sz="0" w:space="0" w:color="auto"/>
      </w:divBdr>
    </w:div>
    <w:div w:id="821432467">
      <w:bodyDiv w:val="1"/>
      <w:marLeft w:val="0"/>
      <w:marRight w:val="0"/>
      <w:marTop w:val="0"/>
      <w:marBottom w:val="0"/>
      <w:divBdr>
        <w:top w:val="none" w:sz="0" w:space="0" w:color="auto"/>
        <w:left w:val="none" w:sz="0" w:space="0" w:color="auto"/>
        <w:bottom w:val="none" w:sz="0" w:space="0" w:color="auto"/>
        <w:right w:val="none" w:sz="0" w:space="0" w:color="auto"/>
      </w:divBdr>
    </w:div>
    <w:div w:id="825629127">
      <w:bodyDiv w:val="1"/>
      <w:marLeft w:val="0"/>
      <w:marRight w:val="0"/>
      <w:marTop w:val="0"/>
      <w:marBottom w:val="0"/>
      <w:divBdr>
        <w:top w:val="none" w:sz="0" w:space="0" w:color="auto"/>
        <w:left w:val="none" w:sz="0" w:space="0" w:color="auto"/>
        <w:bottom w:val="none" w:sz="0" w:space="0" w:color="auto"/>
        <w:right w:val="none" w:sz="0" w:space="0" w:color="auto"/>
      </w:divBdr>
    </w:div>
    <w:div w:id="834568104">
      <w:bodyDiv w:val="1"/>
      <w:marLeft w:val="0"/>
      <w:marRight w:val="0"/>
      <w:marTop w:val="0"/>
      <w:marBottom w:val="0"/>
      <w:divBdr>
        <w:top w:val="none" w:sz="0" w:space="0" w:color="auto"/>
        <w:left w:val="none" w:sz="0" w:space="0" w:color="auto"/>
        <w:bottom w:val="none" w:sz="0" w:space="0" w:color="auto"/>
        <w:right w:val="none" w:sz="0" w:space="0" w:color="auto"/>
      </w:divBdr>
    </w:div>
    <w:div w:id="835418026">
      <w:bodyDiv w:val="1"/>
      <w:marLeft w:val="0"/>
      <w:marRight w:val="0"/>
      <w:marTop w:val="0"/>
      <w:marBottom w:val="0"/>
      <w:divBdr>
        <w:top w:val="none" w:sz="0" w:space="0" w:color="auto"/>
        <w:left w:val="none" w:sz="0" w:space="0" w:color="auto"/>
        <w:bottom w:val="none" w:sz="0" w:space="0" w:color="auto"/>
        <w:right w:val="none" w:sz="0" w:space="0" w:color="auto"/>
      </w:divBdr>
    </w:div>
    <w:div w:id="836650677">
      <w:bodyDiv w:val="1"/>
      <w:marLeft w:val="0"/>
      <w:marRight w:val="0"/>
      <w:marTop w:val="0"/>
      <w:marBottom w:val="0"/>
      <w:divBdr>
        <w:top w:val="none" w:sz="0" w:space="0" w:color="auto"/>
        <w:left w:val="none" w:sz="0" w:space="0" w:color="auto"/>
        <w:bottom w:val="none" w:sz="0" w:space="0" w:color="auto"/>
        <w:right w:val="none" w:sz="0" w:space="0" w:color="auto"/>
      </w:divBdr>
    </w:div>
    <w:div w:id="837113308">
      <w:bodyDiv w:val="1"/>
      <w:marLeft w:val="0"/>
      <w:marRight w:val="0"/>
      <w:marTop w:val="0"/>
      <w:marBottom w:val="0"/>
      <w:divBdr>
        <w:top w:val="none" w:sz="0" w:space="0" w:color="auto"/>
        <w:left w:val="none" w:sz="0" w:space="0" w:color="auto"/>
        <w:bottom w:val="none" w:sz="0" w:space="0" w:color="auto"/>
        <w:right w:val="none" w:sz="0" w:space="0" w:color="auto"/>
      </w:divBdr>
    </w:div>
    <w:div w:id="837622551">
      <w:bodyDiv w:val="1"/>
      <w:marLeft w:val="0"/>
      <w:marRight w:val="0"/>
      <w:marTop w:val="0"/>
      <w:marBottom w:val="0"/>
      <w:divBdr>
        <w:top w:val="none" w:sz="0" w:space="0" w:color="auto"/>
        <w:left w:val="none" w:sz="0" w:space="0" w:color="auto"/>
        <w:bottom w:val="none" w:sz="0" w:space="0" w:color="auto"/>
        <w:right w:val="none" w:sz="0" w:space="0" w:color="auto"/>
      </w:divBdr>
    </w:div>
    <w:div w:id="839469514">
      <w:bodyDiv w:val="1"/>
      <w:marLeft w:val="0"/>
      <w:marRight w:val="0"/>
      <w:marTop w:val="0"/>
      <w:marBottom w:val="0"/>
      <w:divBdr>
        <w:top w:val="none" w:sz="0" w:space="0" w:color="auto"/>
        <w:left w:val="none" w:sz="0" w:space="0" w:color="auto"/>
        <w:bottom w:val="none" w:sz="0" w:space="0" w:color="auto"/>
        <w:right w:val="none" w:sz="0" w:space="0" w:color="auto"/>
      </w:divBdr>
    </w:div>
    <w:div w:id="842471217">
      <w:bodyDiv w:val="1"/>
      <w:marLeft w:val="0"/>
      <w:marRight w:val="0"/>
      <w:marTop w:val="0"/>
      <w:marBottom w:val="0"/>
      <w:divBdr>
        <w:top w:val="none" w:sz="0" w:space="0" w:color="auto"/>
        <w:left w:val="none" w:sz="0" w:space="0" w:color="auto"/>
        <w:bottom w:val="none" w:sz="0" w:space="0" w:color="auto"/>
        <w:right w:val="none" w:sz="0" w:space="0" w:color="auto"/>
      </w:divBdr>
    </w:div>
    <w:div w:id="850073591">
      <w:bodyDiv w:val="1"/>
      <w:marLeft w:val="0"/>
      <w:marRight w:val="0"/>
      <w:marTop w:val="0"/>
      <w:marBottom w:val="0"/>
      <w:divBdr>
        <w:top w:val="none" w:sz="0" w:space="0" w:color="auto"/>
        <w:left w:val="none" w:sz="0" w:space="0" w:color="auto"/>
        <w:bottom w:val="none" w:sz="0" w:space="0" w:color="auto"/>
        <w:right w:val="none" w:sz="0" w:space="0" w:color="auto"/>
      </w:divBdr>
    </w:div>
    <w:div w:id="851181909">
      <w:bodyDiv w:val="1"/>
      <w:marLeft w:val="0"/>
      <w:marRight w:val="0"/>
      <w:marTop w:val="0"/>
      <w:marBottom w:val="0"/>
      <w:divBdr>
        <w:top w:val="none" w:sz="0" w:space="0" w:color="auto"/>
        <w:left w:val="none" w:sz="0" w:space="0" w:color="auto"/>
        <w:bottom w:val="none" w:sz="0" w:space="0" w:color="auto"/>
        <w:right w:val="none" w:sz="0" w:space="0" w:color="auto"/>
      </w:divBdr>
    </w:div>
    <w:div w:id="856388429">
      <w:bodyDiv w:val="1"/>
      <w:marLeft w:val="0"/>
      <w:marRight w:val="0"/>
      <w:marTop w:val="0"/>
      <w:marBottom w:val="0"/>
      <w:divBdr>
        <w:top w:val="none" w:sz="0" w:space="0" w:color="auto"/>
        <w:left w:val="none" w:sz="0" w:space="0" w:color="auto"/>
        <w:bottom w:val="none" w:sz="0" w:space="0" w:color="auto"/>
        <w:right w:val="none" w:sz="0" w:space="0" w:color="auto"/>
      </w:divBdr>
    </w:div>
    <w:div w:id="857696145">
      <w:bodyDiv w:val="1"/>
      <w:marLeft w:val="0"/>
      <w:marRight w:val="0"/>
      <w:marTop w:val="0"/>
      <w:marBottom w:val="0"/>
      <w:divBdr>
        <w:top w:val="none" w:sz="0" w:space="0" w:color="auto"/>
        <w:left w:val="none" w:sz="0" w:space="0" w:color="auto"/>
        <w:bottom w:val="none" w:sz="0" w:space="0" w:color="auto"/>
        <w:right w:val="none" w:sz="0" w:space="0" w:color="auto"/>
      </w:divBdr>
    </w:div>
    <w:div w:id="860508201">
      <w:bodyDiv w:val="1"/>
      <w:marLeft w:val="0"/>
      <w:marRight w:val="0"/>
      <w:marTop w:val="0"/>
      <w:marBottom w:val="0"/>
      <w:divBdr>
        <w:top w:val="none" w:sz="0" w:space="0" w:color="auto"/>
        <w:left w:val="none" w:sz="0" w:space="0" w:color="auto"/>
        <w:bottom w:val="none" w:sz="0" w:space="0" w:color="auto"/>
        <w:right w:val="none" w:sz="0" w:space="0" w:color="auto"/>
      </w:divBdr>
    </w:div>
    <w:div w:id="863593650">
      <w:bodyDiv w:val="1"/>
      <w:marLeft w:val="0"/>
      <w:marRight w:val="0"/>
      <w:marTop w:val="0"/>
      <w:marBottom w:val="0"/>
      <w:divBdr>
        <w:top w:val="none" w:sz="0" w:space="0" w:color="auto"/>
        <w:left w:val="none" w:sz="0" w:space="0" w:color="auto"/>
        <w:bottom w:val="none" w:sz="0" w:space="0" w:color="auto"/>
        <w:right w:val="none" w:sz="0" w:space="0" w:color="auto"/>
      </w:divBdr>
    </w:div>
    <w:div w:id="867372536">
      <w:bodyDiv w:val="1"/>
      <w:marLeft w:val="0"/>
      <w:marRight w:val="0"/>
      <w:marTop w:val="0"/>
      <w:marBottom w:val="0"/>
      <w:divBdr>
        <w:top w:val="none" w:sz="0" w:space="0" w:color="auto"/>
        <w:left w:val="none" w:sz="0" w:space="0" w:color="auto"/>
        <w:bottom w:val="none" w:sz="0" w:space="0" w:color="auto"/>
        <w:right w:val="none" w:sz="0" w:space="0" w:color="auto"/>
      </w:divBdr>
    </w:div>
    <w:div w:id="867790590">
      <w:bodyDiv w:val="1"/>
      <w:marLeft w:val="0"/>
      <w:marRight w:val="0"/>
      <w:marTop w:val="0"/>
      <w:marBottom w:val="0"/>
      <w:divBdr>
        <w:top w:val="none" w:sz="0" w:space="0" w:color="auto"/>
        <w:left w:val="none" w:sz="0" w:space="0" w:color="auto"/>
        <w:bottom w:val="none" w:sz="0" w:space="0" w:color="auto"/>
        <w:right w:val="none" w:sz="0" w:space="0" w:color="auto"/>
      </w:divBdr>
    </w:div>
    <w:div w:id="882206405">
      <w:bodyDiv w:val="1"/>
      <w:marLeft w:val="0"/>
      <w:marRight w:val="0"/>
      <w:marTop w:val="0"/>
      <w:marBottom w:val="0"/>
      <w:divBdr>
        <w:top w:val="none" w:sz="0" w:space="0" w:color="auto"/>
        <w:left w:val="none" w:sz="0" w:space="0" w:color="auto"/>
        <w:bottom w:val="none" w:sz="0" w:space="0" w:color="auto"/>
        <w:right w:val="none" w:sz="0" w:space="0" w:color="auto"/>
      </w:divBdr>
    </w:div>
    <w:div w:id="882333160">
      <w:bodyDiv w:val="1"/>
      <w:marLeft w:val="0"/>
      <w:marRight w:val="0"/>
      <w:marTop w:val="0"/>
      <w:marBottom w:val="0"/>
      <w:divBdr>
        <w:top w:val="none" w:sz="0" w:space="0" w:color="auto"/>
        <w:left w:val="none" w:sz="0" w:space="0" w:color="auto"/>
        <w:bottom w:val="none" w:sz="0" w:space="0" w:color="auto"/>
        <w:right w:val="none" w:sz="0" w:space="0" w:color="auto"/>
      </w:divBdr>
    </w:div>
    <w:div w:id="887179665">
      <w:bodyDiv w:val="1"/>
      <w:marLeft w:val="0"/>
      <w:marRight w:val="0"/>
      <w:marTop w:val="0"/>
      <w:marBottom w:val="0"/>
      <w:divBdr>
        <w:top w:val="none" w:sz="0" w:space="0" w:color="auto"/>
        <w:left w:val="none" w:sz="0" w:space="0" w:color="auto"/>
        <w:bottom w:val="none" w:sz="0" w:space="0" w:color="auto"/>
        <w:right w:val="none" w:sz="0" w:space="0" w:color="auto"/>
      </w:divBdr>
    </w:div>
    <w:div w:id="892471190">
      <w:bodyDiv w:val="1"/>
      <w:marLeft w:val="0"/>
      <w:marRight w:val="0"/>
      <w:marTop w:val="0"/>
      <w:marBottom w:val="0"/>
      <w:divBdr>
        <w:top w:val="none" w:sz="0" w:space="0" w:color="auto"/>
        <w:left w:val="none" w:sz="0" w:space="0" w:color="auto"/>
        <w:bottom w:val="none" w:sz="0" w:space="0" w:color="auto"/>
        <w:right w:val="none" w:sz="0" w:space="0" w:color="auto"/>
      </w:divBdr>
    </w:div>
    <w:div w:id="901597852">
      <w:bodyDiv w:val="1"/>
      <w:marLeft w:val="0"/>
      <w:marRight w:val="0"/>
      <w:marTop w:val="0"/>
      <w:marBottom w:val="0"/>
      <w:divBdr>
        <w:top w:val="none" w:sz="0" w:space="0" w:color="auto"/>
        <w:left w:val="none" w:sz="0" w:space="0" w:color="auto"/>
        <w:bottom w:val="none" w:sz="0" w:space="0" w:color="auto"/>
        <w:right w:val="none" w:sz="0" w:space="0" w:color="auto"/>
      </w:divBdr>
    </w:div>
    <w:div w:id="907423775">
      <w:bodyDiv w:val="1"/>
      <w:marLeft w:val="0"/>
      <w:marRight w:val="0"/>
      <w:marTop w:val="0"/>
      <w:marBottom w:val="0"/>
      <w:divBdr>
        <w:top w:val="none" w:sz="0" w:space="0" w:color="auto"/>
        <w:left w:val="none" w:sz="0" w:space="0" w:color="auto"/>
        <w:bottom w:val="none" w:sz="0" w:space="0" w:color="auto"/>
        <w:right w:val="none" w:sz="0" w:space="0" w:color="auto"/>
      </w:divBdr>
    </w:div>
    <w:div w:id="908879440">
      <w:bodyDiv w:val="1"/>
      <w:marLeft w:val="0"/>
      <w:marRight w:val="0"/>
      <w:marTop w:val="0"/>
      <w:marBottom w:val="0"/>
      <w:divBdr>
        <w:top w:val="none" w:sz="0" w:space="0" w:color="auto"/>
        <w:left w:val="none" w:sz="0" w:space="0" w:color="auto"/>
        <w:bottom w:val="none" w:sz="0" w:space="0" w:color="auto"/>
        <w:right w:val="none" w:sz="0" w:space="0" w:color="auto"/>
      </w:divBdr>
    </w:div>
    <w:div w:id="913854285">
      <w:bodyDiv w:val="1"/>
      <w:marLeft w:val="0"/>
      <w:marRight w:val="0"/>
      <w:marTop w:val="0"/>
      <w:marBottom w:val="0"/>
      <w:divBdr>
        <w:top w:val="none" w:sz="0" w:space="0" w:color="auto"/>
        <w:left w:val="none" w:sz="0" w:space="0" w:color="auto"/>
        <w:bottom w:val="none" w:sz="0" w:space="0" w:color="auto"/>
        <w:right w:val="none" w:sz="0" w:space="0" w:color="auto"/>
      </w:divBdr>
    </w:div>
    <w:div w:id="917984836">
      <w:bodyDiv w:val="1"/>
      <w:marLeft w:val="0"/>
      <w:marRight w:val="0"/>
      <w:marTop w:val="0"/>
      <w:marBottom w:val="0"/>
      <w:divBdr>
        <w:top w:val="none" w:sz="0" w:space="0" w:color="auto"/>
        <w:left w:val="none" w:sz="0" w:space="0" w:color="auto"/>
        <w:bottom w:val="none" w:sz="0" w:space="0" w:color="auto"/>
        <w:right w:val="none" w:sz="0" w:space="0" w:color="auto"/>
      </w:divBdr>
    </w:div>
    <w:div w:id="920993455">
      <w:bodyDiv w:val="1"/>
      <w:marLeft w:val="0"/>
      <w:marRight w:val="0"/>
      <w:marTop w:val="0"/>
      <w:marBottom w:val="0"/>
      <w:divBdr>
        <w:top w:val="none" w:sz="0" w:space="0" w:color="auto"/>
        <w:left w:val="none" w:sz="0" w:space="0" w:color="auto"/>
        <w:bottom w:val="none" w:sz="0" w:space="0" w:color="auto"/>
        <w:right w:val="none" w:sz="0" w:space="0" w:color="auto"/>
      </w:divBdr>
    </w:div>
    <w:div w:id="930509246">
      <w:bodyDiv w:val="1"/>
      <w:marLeft w:val="0"/>
      <w:marRight w:val="0"/>
      <w:marTop w:val="0"/>
      <w:marBottom w:val="0"/>
      <w:divBdr>
        <w:top w:val="none" w:sz="0" w:space="0" w:color="auto"/>
        <w:left w:val="none" w:sz="0" w:space="0" w:color="auto"/>
        <w:bottom w:val="none" w:sz="0" w:space="0" w:color="auto"/>
        <w:right w:val="none" w:sz="0" w:space="0" w:color="auto"/>
      </w:divBdr>
    </w:div>
    <w:div w:id="934170079">
      <w:bodyDiv w:val="1"/>
      <w:marLeft w:val="0"/>
      <w:marRight w:val="0"/>
      <w:marTop w:val="0"/>
      <w:marBottom w:val="0"/>
      <w:divBdr>
        <w:top w:val="none" w:sz="0" w:space="0" w:color="auto"/>
        <w:left w:val="none" w:sz="0" w:space="0" w:color="auto"/>
        <w:bottom w:val="none" w:sz="0" w:space="0" w:color="auto"/>
        <w:right w:val="none" w:sz="0" w:space="0" w:color="auto"/>
      </w:divBdr>
    </w:div>
    <w:div w:id="935208959">
      <w:bodyDiv w:val="1"/>
      <w:marLeft w:val="0"/>
      <w:marRight w:val="0"/>
      <w:marTop w:val="0"/>
      <w:marBottom w:val="0"/>
      <w:divBdr>
        <w:top w:val="none" w:sz="0" w:space="0" w:color="auto"/>
        <w:left w:val="none" w:sz="0" w:space="0" w:color="auto"/>
        <w:bottom w:val="none" w:sz="0" w:space="0" w:color="auto"/>
        <w:right w:val="none" w:sz="0" w:space="0" w:color="auto"/>
      </w:divBdr>
    </w:div>
    <w:div w:id="938441223">
      <w:bodyDiv w:val="1"/>
      <w:marLeft w:val="0"/>
      <w:marRight w:val="0"/>
      <w:marTop w:val="0"/>
      <w:marBottom w:val="0"/>
      <w:divBdr>
        <w:top w:val="none" w:sz="0" w:space="0" w:color="auto"/>
        <w:left w:val="none" w:sz="0" w:space="0" w:color="auto"/>
        <w:bottom w:val="none" w:sz="0" w:space="0" w:color="auto"/>
        <w:right w:val="none" w:sz="0" w:space="0" w:color="auto"/>
      </w:divBdr>
    </w:div>
    <w:div w:id="947200164">
      <w:bodyDiv w:val="1"/>
      <w:marLeft w:val="0"/>
      <w:marRight w:val="0"/>
      <w:marTop w:val="0"/>
      <w:marBottom w:val="0"/>
      <w:divBdr>
        <w:top w:val="none" w:sz="0" w:space="0" w:color="auto"/>
        <w:left w:val="none" w:sz="0" w:space="0" w:color="auto"/>
        <w:bottom w:val="none" w:sz="0" w:space="0" w:color="auto"/>
        <w:right w:val="none" w:sz="0" w:space="0" w:color="auto"/>
      </w:divBdr>
    </w:div>
    <w:div w:id="950088194">
      <w:bodyDiv w:val="1"/>
      <w:marLeft w:val="0"/>
      <w:marRight w:val="0"/>
      <w:marTop w:val="0"/>
      <w:marBottom w:val="0"/>
      <w:divBdr>
        <w:top w:val="none" w:sz="0" w:space="0" w:color="auto"/>
        <w:left w:val="none" w:sz="0" w:space="0" w:color="auto"/>
        <w:bottom w:val="none" w:sz="0" w:space="0" w:color="auto"/>
        <w:right w:val="none" w:sz="0" w:space="0" w:color="auto"/>
      </w:divBdr>
    </w:div>
    <w:div w:id="950936032">
      <w:bodyDiv w:val="1"/>
      <w:marLeft w:val="0"/>
      <w:marRight w:val="0"/>
      <w:marTop w:val="0"/>
      <w:marBottom w:val="0"/>
      <w:divBdr>
        <w:top w:val="none" w:sz="0" w:space="0" w:color="auto"/>
        <w:left w:val="none" w:sz="0" w:space="0" w:color="auto"/>
        <w:bottom w:val="none" w:sz="0" w:space="0" w:color="auto"/>
        <w:right w:val="none" w:sz="0" w:space="0" w:color="auto"/>
      </w:divBdr>
    </w:div>
    <w:div w:id="954093770">
      <w:bodyDiv w:val="1"/>
      <w:marLeft w:val="0"/>
      <w:marRight w:val="0"/>
      <w:marTop w:val="0"/>
      <w:marBottom w:val="0"/>
      <w:divBdr>
        <w:top w:val="none" w:sz="0" w:space="0" w:color="auto"/>
        <w:left w:val="none" w:sz="0" w:space="0" w:color="auto"/>
        <w:bottom w:val="none" w:sz="0" w:space="0" w:color="auto"/>
        <w:right w:val="none" w:sz="0" w:space="0" w:color="auto"/>
      </w:divBdr>
    </w:div>
    <w:div w:id="956566946">
      <w:bodyDiv w:val="1"/>
      <w:marLeft w:val="0"/>
      <w:marRight w:val="0"/>
      <w:marTop w:val="0"/>
      <w:marBottom w:val="0"/>
      <w:divBdr>
        <w:top w:val="none" w:sz="0" w:space="0" w:color="auto"/>
        <w:left w:val="none" w:sz="0" w:space="0" w:color="auto"/>
        <w:bottom w:val="none" w:sz="0" w:space="0" w:color="auto"/>
        <w:right w:val="none" w:sz="0" w:space="0" w:color="auto"/>
      </w:divBdr>
    </w:div>
    <w:div w:id="962424201">
      <w:bodyDiv w:val="1"/>
      <w:marLeft w:val="0"/>
      <w:marRight w:val="0"/>
      <w:marTop w:val="0"/>
      <w:marBottom w:val="0"/>
      <w:divBdr>
        <w:top w:val="none" w:sz="0" w:space="0" w:color="auto"/>
        <w:left w:val="none" w:sz="0" w:space="0" w:color="auto"/>
        <w:bottom w:val="none" w:sz="0" w:space="0" w:color="auto"/>
        <w:right w:val="none" w:sz="0" w:space="0" w:color="auto"/>
      </w:divBdr>
    </w:div>
    <w:div w:id="962537881">
      <w:bodyDiv w:val="1"/>
      <w:marLeft w:val="0"/>
      <w:marRight w:val="0"/>
      <w:marTop w:val="0"/>
      <w:marBottom w:val="0"/>
      <w:divBdr>
        <w:top w:val="none" w:sz="0" w:space="0" w:color="auto"/>
        <w:left w:val="none" w:sz="0" w:space="0" w:color="auto"/>
        <w:bottom w:val="none" w:sz="0" w:space="0" w:color="auto"/>
        <w:right w:val="none" w:sz="0" w:space="0" w:color="auto"/>
      </w:divBdr>
    </w:div>
    <w:div w:id="968820284">
      <w:bodyDiv w:val="1"/>
      <w:marLeft w:val="0"/>
      <w:marRight w:val="0"/>
      <w:marTop w:val="0"/>
      <w:marBottom w:val="0"/>
      <w:divBdr>
        <w:top w:val="none" w:sz="0" w:space="0" w:color="auto"/>
        <w:left w:val="none" w:sz="0" w:space="0" w:color="auto"/>
        <w:bottom w:val="none" w:sz="0" w:space="0" w:color="auto"/>
        <w:right w:val="none" w:sz="0" w:space="0" w:color="auto"/>
      </w:divBdr>
    </w:div>
    <w:div w:id="973557491">
      <w:bodyDiv w:val="1"/>
      <w:marLeft w:val="0"/>
      <w:marRight w:val="0"/>
      <w:marTop w:val="0"/>
      <w:marBottom w:val="0"/>
      <w:divBdr>
        <w:top w:val="none" w:sz="0" w:space="0" w:color="auto"/>
        <w:left w:val="none" w:sz="0" w:space="0" w:color="auto"/>
        <w:bottom w:val="none" w:sz="0" w:space="0" w:color="auto"/>
        <w:right w:val="none" w:sz="0" w:space="0" w:color="auto"/>
      </w:divBdr>
    </w:div>
    <w:div w:id="976684236">
      <w:bodyDiv w:val="1"/>
      <w:marLeft w:val="0"/>
      <w:marRight w:val="0"/>
      <w:marTop w:val="0"/>
      <w:marBottom w:val="0"/>
      <w:divBdr>
        <w:top w:val="none" w:sz="0" w:space="0" w:color="auto"/>
        <w:left w:val="none" w:sz="0" w:space="0" w:color="auto"/>
        <w:bottom w:val="none" w:sz="0" w:space="0" w:color="auto"/>
        <w:right w:val="none" w:sz="0" w:space="0" w:color="auto"/>
      </w:divBdr>
    </w:div>
    <w:div w:id="985165955">
      <w:bodyDiv w:val="1"/>
      <w:marLeft w:val="0"/>
      <w:marRight w:val="0"/>
      <w:marTop w:val="0"/>
      <w:marBottom w:val="0"/>
      <w:divBdr>
        <w:top w:val="none" w:sz="0" w:space="0" w:color="auto"/>
        <w:left w:val="none" w:sz="0" w:space="0" w:color="auto"/>
        <w:bottom w:val="none" w:sz="0" w:space="0" w:color="auto"/>
        <w:right w:val="none" w:sz="0" w:space="0" w:color="auto"/>
      </w:divBdr>
    </w:div>
    <w:div w:id="987831354">
      <w:bodyDiv w:val="1"/>
      <w:marLeft w:val="0"/>
      <w:marRight w:val="0"/>
      <w:marTop w:val="0"/>
      <w:marBottom w:val="0"/>
      <w:divBdr>
        <w:top w:val="none" w:sz="0" w:space="0" w:color="auto"/>
        <w:left w:val="none" w:sz="0" w:space="0" w:color="auto"/>
        <w:bottom w:val="none" w:sz="0" w:space="0" w:color="auto"/>
        <w:right w:val="none" w:sz="0" w:space="0" w:color="auto"/>
      </w:divBdr>
    </w:div>
    <w:div w:id="990056318">
      <w:bodyDiv w:val="1"/>
      <w:marLeft w:val="0"/>
      <w:marRight w:val="0"/>
      <w:marTop w:val="0"/>
      <w:marBottom w:val="0"/>
      <w:divBdr>
        <w:top w:val="none" w:sz="0" w:space="0" w:color="auto"/>
        <w:left w:val="none" w:sz="0" w:space="0" w:color="auto"/>
        <w:bottom w:val="none" w:sz="0" w:space="0" w:color="auto"/>
        <w:right w:val="none" w:sz="0" w:space="0" w:color="auto"/>
      </w:divBdr>
    </w:div>
    <w:div w:id="992678340">
      <w:bodyDiv w:val="1"/>
      <w:marLeft w:val="0"/>
      <w:marRight w:val="0"/>
      <w:marTop w:val="0"/>
      <w:marBottom w:val="0"/>
      <w:divBdr>
        <w:top w:val="none" w:sz="0" w:space="0" w:color="auto"/>
        <w:left w:val="none" w:sz="0" w:space="0" w:color="auto"/>
        <w:bottom w:val="none" w:sz="0" w:space="0" w:color="auto"/>
        <w:right w:val="none" w:sz="0" w:space="0" w:color="auto"/>
      </w:divBdr>
    </w:div>
    <w:div w:id="995719787">
      <w:bodyDiv w:val="1"/>
      <w:marLeft w:val="0"/>
      <w:marRight w:val="0"/>
      <w:marTop w:val="0"/>
      <w:marBottom w:val="0"/>
      <w:divBdr>
        <w:top w:val="none" w:sz="0" w:space="0" w:color="auto"/>
        <w:left w:val="none" w:sz="0" w:space="0" w:color="auto"/>
        <w:bottom w:val="none" w:sz="0" w:space="0" w:color="auto"/>
        <w:right w:val="none" w:sz="0" w:space="0" w:color="auto"/>
      </w:divBdr>
    </w:div>
    <w:div w:id="995840152">
      <w:bodyDiv w:val="1"/>
      <w:marLeft w:val="0"/>
      <w:marRight w:val="0"/>
      <w:marTop w:val="0"/>
      <w:marBottom w:val="0"/>
      <w:divBdr>
        <w:top w:val="none" w:sz="0" w:space="0" w:color="auto"/>
        <w:left w:val="none" w:sz="0" w:space="0" w:color="auto"/>
        <w:bottom w:val="none" w:sz="0" w:space="0" w:color="auto"/>
        <w:right w:val="none" w:sz="0" w:space="0" w:color="auto"/>
      </w:divBdr>
    </w:div>
    <w:div w:id="997802305">
      <w:bodyDiv w:val="1"/>
      <w:marLeft w:val="0"/>
      <w:marRight w:val="0"/>
      <w:marTop w:val="0"/>
      <w:marBottom w:val="0"/>
      <w:divBdr>
        <w:top w:val="none" w:sz="0" w:space="0" w:color="auto"/>
        <w:left w:val="none" w:sz="0" w:space="0" w:color="auto"/>
        <w:bottom w:val="none" w:sz="0" w:space="0" w:color="auto"/>
        <w:right w:val="none" w:sz="0" w:space="0" w:color="auto"/>
      </w:divBdr>
    </w:div>
    <w:div w:id="1000234778">
      <w:bodyDiv w:val="1"/>
      <w:marLeft w:val="0"/>
      <w:marRight w:val="0"/>
      <w:marTop w:val="0"/>
      <w:marBottom w:val="0"/>
      <w:divBdr>
        <w:top w:val="none" w:sz="0" w:space="0" w:color="auto"/>
        <w:left w:val="none" w:sz="0" w:space="0" w:color="auto"/>
        <w:bottom w:val="none" w:sz="0" w:space="0" w:color="auto"/>
        <w:right w:val="none" w:sz="0" w:space="0" w:color="auto"/>
      </w:divBdr>
    </w:div>
    <w:div w:id="1003823644">
      <w:bodyDiv w:val="1"/>
      <w:marLeft w:val="0"/>
      <w:marRight w:val="0"/>
      <w:marTop w:val="0"/>
      <w:marBottom w:val="0"/>
      <w:divBdr>
        <w:top w:val="none" w:sz="0" w:space="0" w:color="auto"/>
        <w:left w:val="none" w:sz="0" w:space="0" w:color="auto"/>
        <w:bottom w:val="none" w:sz="0" w:space="0" w:color="auto"/>
        <w:right w:val="none" w:sz="0" w:space="0" w:color="auto"/>
      </w:divBdr>
    </w:div>
    <w:div w:id="1006786267">
      <w:bodyDiv w:val="1"/>
      <w:marLeft w:val="0"/>
      <w:marRight w:val="0"/>
      <w:marTop w:val="0"/>
      <w:marBottom w:val="0"/>
      <w:divBdr>
        <w:top w:val="none" w:sz="0" w:space="0" w:color="auto"/>
        <w:left w:val="none" w:sz="0" w:space="0" w:color="auto"/>
        <w:bottom w:val="none" w:sz="0" w:space="0" w:color="auto"/>
        <w:right w:val="none" w:sz="0" w:space="0" w:color="auto"/>
      </w:divBdr>
    </w:div>
    <w:div w:id="1010062395">
      <w:bodyDiv w:val="1"/>
      <w:marLeft w:val="0"/>
      <w:marRight w:val="0"/>
      <w:marTop w:val="0"/>
      <w:marBottom w:val="0"/>
      <w:divBdr>
        <w:top w:val="none" w:sz="0" w:space="0" w:color="auto"/>
        <w:left w:val="none" w:sz="0" w:space="0" w:color="auto"/>
        <w:bottom w:val="none" w:sz="0" w:space="0" w:color="auto"/>
        <w:right w:val="none" w:sz="0" w:space="0" w:color="auto"/>
      </w:divBdr>
    </w:div>
    <w:div w:id="1013412161">
      <w:bodyDiv w:val="1"/>
      <w:marLeft w:val="0"/>
      <w:marRight w:val="0"/>
      <w:marTop w:val="0"/>
      <w:marBottom w:val="0"/>
      <w:divBdr>
        <w:top w:val="none" w:sz="0" w:space="0" w:color="auto"/>
        <w:left w:val="none" w:sz="0" w:space="0" w:color="auto"/>
        <w:bottom w:val="none" w:sz="0" w:space="0" w:color="auto"/>
        <w:right w:val="none" w:sz="0" w:space="0" w:color="auto"/>
      </w:divBdr>
    </w:div>
    <w:div w:id="1016224579">
      <w:bodyDiv w:val="1"/>
      <w:marLeft w:val="0"/>
      <w:marRight w:val="0"/>
      <w:marTop w:val="0"/>
      <w:marBottom w:val="0"/>
      <w:divBdr>
        <w:top w:val="none" w:sz="0" w:space="0" w:color="auto"/>
        <w:left w:val="none" w:sz="0" w:space="0" w:color="auto"/>
        <w:bottom w:val="none" w:sz="0" w:space="0" w:color="auto"/>
        <w:right w:val="none" w:sz="0" w:space="0" w:color="auto"/>
      </w:divBdr>
    </w:div>
    <w:div w:id="1018504381">
      <w:bodyDiv w:val="1"/>
      <w:marLeft w:val="0"/>
      <w:marRight w:val="0"/>
      <w:marTop w:val="0"/>
      <w:marBottom w:val="0"/>
      <w:divBdr>
        <w:top w:val="none" w:sz="0" w:space="0" w:color="auto"/>
        <w:left w:val="none" w:sz="0" w:space="0" w:color="auto"/>
        <w:bottom w:val="none" w:sz="0" w:space="0" w:color="auto"/>
        <w:right w:val="none" w:sz="0" w:space="0" w:color="auto"/>
      </w:divBdr>
    </w:div>
    <w:div w:id="1023751779">
      <w:bodyDiv w:val="1"/>
      <w:marLeft w:val="0"/>
      <w:marRight w:val="0"/>
      <w:marTop w:val="0"/>
      <w:marBottom w:val="0"/>
      <w:divBdr>
        <w:top w:val="none" w:sz="0" w:space="0" w:color="auto"/>
        <w:left w:val="none" w:sz="0" w:space="0" w:color="auto"/>
        <w:bottom w:val="none" w:sz="0" w:space="0" w:color="auto"/>
        <w:right w:val="none" w:sz="0" w:space="0" w:color="auto"/>
      </w:divBdr>
    </w:div>
    <w:div w:id="1031690628">
      <w:bodyDiv w:val="1"/>
      <w:marLeft w:val="0"/>
      <w:marRight w:val="0"/>
      <w:marTop w:val="0"/>
      <w:marBottom w:val="0"/>
      <w:divBdr>
        <w:top w:val="none" w:sz="0" w:space="0" w:color="auto"/>
        <w:left w:val="none" w:sz="0" w:space="0" w:color="auto"/>
        <w:bottom w:val="none" w:sz="0" w:space="0" w:color="auto"/>
        <w:right w:val="none" w:sz="0" w:space="0" w:color="auto"/>
      </w:divBdr>
    </w:div>
    <w:div w:id="1033461294">
      <w:bodyDiv w:val="1"/>
      <w:marLeft w:val="0"/>
      <w:marRight w:val="0"/>
      <w:marTop w:val="0"/>
      <w:marBottom w:val="0"/>
      <w:divBdr>
        <w:top w:val="none" w:sz="0" w:space="0" w:color="auto"/>
        <w:left w:val="none" w:sz="0" w:space="0" w:color="auto"/>
        <w:bottom w:val="none" w:sz="0" w:space="0" w:color="auto"/>
        <w:right w:val="none" w:sz="0" w:space="0" w:color="auto"/>
      </w:divBdr>
    </w:div>
    <w:div w:id="1035815020">
      <w:bodyDiv w:val="1"/>
      <w:marLeft w:val="0"/>
      <w:marRight w:val="0"/>
      <w:marTop w:val="0"/>
      <w:marBottom w:val="0"/>
      <w:divBdr>
        <w:top w:val="none" w:sz="0" w:space="0" w:color="auto"/>
        <w:left w:val="none" w:sz="0" w:space="0" w:color="auto"/>
        <w:bottom w:val="none" w:sz="0" w:space="0" w:color="auto"/>
        <w:right w:val="none" w:sz="0" w:space="0" w:color="auto"/>
      </w:divBdr>
    </w:div>
    <w:div w:id="1046951278">
      <w:bodyDiv w:val="1"/>
      <w:marLeft w:val="0"/>
      <w:marRight w:val="0"/>
      <w:marTop w:val="0"/>
      <w:marBottom w:val="0"/>
      <w:divBdr>
        <w:top w:val="none" w:sz="0" w:space="0" w:color="auto"/>
        <w:left w:val="none" w:sz="0" w:space="0" w:color="auto"/>
        <w:bottom w:val="none" w:sz="0" w:space="0" w:color="auto"/>
        <w:right w:val="none" w:sz="0" w:space="0" w:color="auto"/>
      </w:divBdr>
    </w:div>
    <w:div w:id="1059208479">
      <w:bodyDiv w:val="1"/>
      <w:marLeft w:val="0"/>
      <w:marRight w:val="0"/>
      <w:marTop w:val="0"/>
      <w:marBottom w:val="0"/>
      <w:divBdr>
        <w:top w:val="none" w:sz="0" w:space="0" w:color="auto"/>
        <w:left w:val="none" w:sz="0" w:space="0" w:color="auto"/>
        <w:bottom w:val="none" w:sz="0" w:space="0" w:color="auto"/>
        <w:right w:val="none" w:sz="0" w:space="0" w:color="auto"/>
      </w:divBdr>
    </w:div>
    <w:div w:id="1060441770">
      <w:bodyDiv w:val="1"/>
      <w:marLeft w:val="0"/>
      <w:marRight w:val="0"/>
      <w:marTop w:val="0"/>
      <w:marBottom w:val="0"/>
      <w:divBdr>
        <w:top w:val="none" w:sz="0" w:space="0" w:color="auto"/>
        <w:left w:val="none" w:sz="0" w:space="0" w:color="auto"/>
        <w:bottom w:val="none" w:sz="0" w:space="0" w:color="auto"/>
        <w:right w:val="none" w:sz="0" w:space="0" w:color="auto"/>
      </w:divBdr>
    </w:div>
    <w:div w:id="1067538391">
      <w:bodyDiv w:val="1"/>
      <w:marLeft w:val="0"/>
      <w:marRight w:val="0"/>
      <w:marTop w:val="0"/>
      <w:marBottom w:val="0"/>
      <w:divBdr>
        <w:top w:val="none" w:sz="0" w:space="0" w:color="auto"/>
        <w:left w:val="none" w:sz="0" w:space="0" w:color="auto"/>
        <w:bottom w:val="none" w:sz="0" w:space="0" w:color="auto"/>
        <w:right w:val="none" w:sz="0" w:space="0" w:color="auto"/>
      </w:divBdr>
    </w:div>
    <w:div w:id="1071195746">
      <w:bodyDiv w:val="1"/>
      <w:marLeft w:val="0"/>
      <w:marRight w:val="0"/>
      <w:marTop w:val="0"/>
      <w:marBottom w:val="0"/>
      <w:divBdr>
        <w:top w:val="none" w:sz="0" w:space="0" w:color="auto"/>
        <w:left w:val="none" w:sz="0" w:space="0" w:color="auto"/>
        <w:bottom w:val="none" w:sz="0" w:space="0" w:color="auto"/>
        <w:right w:val="none" w:sz="0" w:space="0" w:color="auto"/>
      </w:divBdr>
    </w:div>
    <w:div w:id="1074205386">
      <w:bodyDiv w:val="1"/>
      <w:marLeft w:val="0"/>
      <w:marRight w:val="0"/>
      <w:marTop w:val="0"/>
      <w:marBottom w:val="0"/>
      <w:divBdr>
        <w:top w:val="none" w:sz="0" w:space="0" w:color="auto"/>
        <w:left w:val="none" w:sz="0" w:space="0" w:color="auto"/>
        <w:bottom w:val="none" w:sz="0" w:space="0" w:color="auto"/>
        <w:right w:val="none" w:sz="0" w:space="0" w:color="auto"/>
      </w:divBdr>
    </w:div>
    <w:div w:id="1076514426">
      <w:bodyDiv w:val="1"/>
      <w:marLeft w:val="0"/>
      <w:marRight w:val="0"/>
      <w:marTop w:val="0"/>
      <w:marBottom w:val="0"/>
      <w:divBdr>
        <w:top w:val="none" w:sz="0" w:space="0" w:color="auto"/>
        <w:left w:val="none" w:sz="0" w:space="0" w:color="auto"/>
        <w:bottom w:val="none" w:sz="0" w:space="0" w:color="auto"/>
        <w:right w:val="none" w:sz="0" w:space="0" w:color="auto"/>
      </w:divBdr>
    </w:div>
    <w:div w:id="1077558123">
      <w:bodyDiv w:val="1"/>
      <w:marLeft w:val="0"/>
      <w:marRight w:val="0"/>
      <w:marTop w:val="0"/>
      <w:marBottom w:val="0"/>
      <w:divBdr>
        <w:top w:val="none" w:sz="0" w:space="0" w:color="auto"/>
        <w:left w:val="none" w:sz="0" w:space="0" w:color="auto"/>
        <w:bottom w:val="none" w:sz="0" w:space="0" w:color="auto"/>
        <w:right w:val="none" w:sz="0" w:space="0" w:color="auto"/>
      </w:divBdr>
    </w:div>
    <w:div w:id="1078789673">
      <w:bodyDiv w:val="1"/>
      <w:marLeft w:val="0"/>
      <w:marRight w:val="0"/>
      <w:marTop w:val="0"/>
      <w:marBottom w:val="0"/>
      <w:divBdr>
        <w:top w:val="none" w:sz="0" w:space="0" w:color="auto"/>
        <w:left w:val="none" w:sz="0" w:space="0" w:color="auto"/>
        <w:bottom w:val="none" w:sz="0" w:space="0" w:color="auto"/>
        <w:right w:val="none" w:sz="0" w:space="0" w:color="auto"/>
      </w:divBdr>
    </w:div>
    <w:div w:id="1084492491">
      <w:bodyDiv w:val="1"/>
      <w:marLeft w:val="0"/>
      <w:marRight w:val="0"/>
      <w:marTop w:val="0"/>
      <w:marBottom w:val="0"/>
      <w:divBdr>
        <w:top w:val="none" w:sz="0" w:space="0" w:color="auto"/>
        <w:left w:val="none" w:sz="0" w:space="0" w:color="auto"/>
        <w:bottom w:val="none" w:sz="0" w:space="0" w:color="auto"/>
        <w:right w:val="none" w:sz="0" w:space="0" w:color="auto"/>
      </w:divBdr>
    </w:div>
    <w:div w:id="1086001527">
      <w:bodyDiv w:val="1"/>
      <w:marLeft w:val="0"/>
      <w:marRight w:val="0"/>
      <w:marTop w:val="0"/>
      <w:marBottom w:val="0"/>
      <w:divBdr>
        <w:top w:val="none" w:sz="0" w:space="0" w:color="auto"/>
        <w:left w:val="none" w:sz="0" w:space="0" w:color="auto"/>
        <w:bottom w:val="none" w:sz="0" w:space="0" w:color="auto"/>
        <w:right w:val="none" w:sz="0" w:space="0" w:color="auto"/>
      </w:divBdr>
    </w:div>
    <w:div w:id="1107388260">
      <w:bodyDiv w:val="1"/>
      <w:marLeft w:val="0"/>
      <w:marRight w:val="0"/>
      <w:marTop w:val="0"/>
      <w:marBottom w:val="0"/>
      <w:divBdr>
        <w:top w:val="none" w:sz="0" w:space="0" w:color="auto"/>
        <w:left w:val="none" w:sz="0" w:space="0" w:color="auto"/>
        <w:bottom w:val="none" w:sz="0" w:space="0" w:color="auto"/>
        <w:right w:val="none" w:sz="0" w:space="0" w:color="auto"/>
      </w:divBdr>
    </w:div>
    <w:div w:id="1108887903">
      <w:bodyDiv w:val="1"/>
      <w:marLeft w:val="0"/>
      <w:marRight w:val="0"/>
      <w:marTop w:val="0"/>
      <w:marBottom w:val="0"/>
      <w:divBdr>
        <w:top w:val="none" w:sz="0" w:space="0" w:color="auto"/>
        <w:left w:val="none" w:sz="0" w:space="0" w:color="auto"/>
        <w:bottom w:val="none" w:sz="0" w:space="0" w:color="auto"/>
        <w:right w:val="none" w:sz="0" w:space="0" w:color="auto"/>
      </w:divBdr>
    </w:div>
    <w:div w:id="1109474450">
      <w:bodyDiv w:val="1"/>
      <w:marLeft w:val="0"/>
      <w:marRight w:val="0"/>
      <w:marTop w:val="0"/>
      <w:marBottom w:val="0"/>
      <w:divBdr>
        <w:top w:val="none" w:sz="0" w:space="0" w:color="auto"/>
        <w:left w:val="none" w:sz="0" w:space="0" w:color="auto"/>
        <w:bottom w:val="none" w:sz="0" w:space="0" w:color="auto"/>
        <w:right w:val="none" w:sz="0" w:space="0" w:color="auto"/>
      </w:divBdr>
    </w:div>
    <w:div w:id="1113092247">
      <w:bodyDiv w:val="1"/>
      <w:marLeft w:val="0"/>
      <w:marRight w:val="0"/>
      <w:marTop w:val="0"/>
      <w:marBottom w:val="0"/>
      <w:divBdr>
        <w:top w:val="none" w:sz="0" w:space="0" w:color="auto"/>
        <w:left w:val="none" w:sz="0" w:space="0" w:color="auto"/>
        <w:bottom w:val="none" w:sz="0" w:space="0" w:color="auto"/>
        <w:right w:val="none" w:sz="0" w:space="0" w:color="auto"/>
      </w:divBdr>
    </w:div>
    <w:div w:id="1113981214">
      <w:bodyDiv w:val="1"/>
      <w:marLeft w:val="0"/>
      <w:marRight w:val="0"/>
      <w:marTop w:val="0"/>
      <w:marBottom w:val="0"/>
      <w:divBdr>
        <w:top w:val="none" w:sz="0" w:space="0" w:color="auto"/>
        <w:left w:val="none" w:sz="0" w:space="0" w:color="auto"/>
        <w:bottom w:val="none" w:sz="0" w:space="0" w:color="auto"/>
        <w:right w:val="none" w:sz="0" w:space="0" w:color="auto"/>
      </w:divBdr>
    </w:div>
    <w:div w:id="1117480179">
      <w:bodyDiv w:val="1"/>
      <w:marLeft w:val="0"/>
      <w:marRight w:val="0"/>
      <w:marTop w:val="0"/>
      <w:marBottom w:val="0"/>
      <w:divBdr>
        <w:top w:val="none" w:sz="0" w:space="0" w:color="auto"/>
        <w:left w:val="none" w:sz="0" w:space="0" w:color="auto"/>
        <w:bottom w:val="none" w:sz="0" w:space="0" w:color="auto"/>
        <w:right w:val="none" w:sz="0" w:space="0" w:color="auto"/>
      </w:divBdr>
    </w:div>
    <w:div w:id="1139568401">
      <w:bodyDiv w:val="1"/>
      <w:marLeft w:val="0"/>
      <w:marRight w:val="0"/>
      <w:marTop w:val="0"/>
      <w:marBottom w:val="0"/>
      <w:divBdr>
        <w:top w:val="none" w:sz="0" w:space="0" w:color="auto"/>
        <w:left w:val="none" w:sz="0" w:space="0" w:color="auto"/>
        <w:bottom w:val="none" w:sz="0" w:space="0" w:color="auto"/>
        <w:right w:val="none" w:sz="0" w:space="0" w:color="auto"/>
      </w:divBdr>
    </w:div>
    <w:div w:id="1139806875">
      <w:bodyDiv w:val="1"/>
      <w:marLeft w:val="0"/>
      <w:marRight w:val="0"/>
      <w:marTop w:val="0"/>
      <w:marBottom w:val="0"/>
      <w:divBdr>
        <w:top w:val="none" w:sz="0" w:space="0" w:color="auto"/>
        <w:left w:val="none" w:sz="0" w:space="0" w:color="auto"/>
        <w:bottom w:val="none" w:sz="0" w:space="0" w:color="auto"/>
        <w:right w:val="none" w:sz="0" w:space="0" w:color="auto"/>
      </w:divBdr>
    </w:div>
    <w:div w:id="1145007358">
      <w:bodyDiv w:val="1"/>
      <w:marLeft w:val="0"/>
      <w:marRight w:val="0"/>
      <w:marTop w:val="0"/>
      <w:marBottom w:val="0"/>
      <w:divBdr>
        <w:top w:val="none" w:sz="0" w:space="0" w:color="auto"/>
        <w:left w:val="none" w:sz="0" w:space="0" w:color="auto"/>
        <w:bottom w:val="none" w:sz="0" w:space="0" w:color="auto"/>
        <w:right w:val="none" w:sz="0" w:space="0" w:color="auto"/>
      </w:divBdr>
    </w:div>
    <w:div w:id="1162308674">
      <w:bodyDiv w:val="1"/>
      <w:marLeft w:val="0"/>
      <w:marRight w:val="0"/>
      <w:marTop w:val="0"/>
      <w:marBottom w:val="0"/>
      <w:divBdr>
        <w:top w:val="none" w:sz="0" w:space="0" w:color="auto"/>
        <w:left w:val="none" w:sz="0" w:space="0" w:color="auto"/>
        <w:bottom w:val="none" w:sz="0" w:space="0" w:color="auto"/>
        <w:right w:val="none" w:sz="0" w:space="0" w:color="auto"/>
      </w:divBdr>
    </w:div>
    <w:div w:id="1163549540">
      <w:bodyDiv w:val="1"/>
      <w:marLeft w:val="0"/>
      <w:marRight w:val="0"/>
      <w:marTop w:val="0"/>
      <w:marBottom w:val="0"/>
      <w:divBdr>
        <w:top w:val="none" w:sz="0" w:space="0" w:color="auto"/>
        <w:left w:val="none" w:sz="0" w:space="0" w:color="auto"/>
        <w:bottom w:val="none" w:sz="0" w:space="0" w:color="auto"/>
        <w:right w:val="none" w:sz="0" w:space="0" w:color="auto"/>
      </w:divBdr>
    </w:div>
    <w:div w:id="1163819407">
      <w:bodyDiv w:val="1"/>
      <w:marLeft w:val="0"/>
      <w:marRight w:val="0"/>
      <w:marTop w:val="0"/>
      <w:marBottom w:val="0"/>
      <w:divBdr>
        <w:top w:val="none" w:sz="0" w:space="0" w:color="auto"/>
        <w:left w:val="none" w:sz="0" w:space="0" w:color="auto"/>
        <w:bottom w:val="none" w:sz="0" w:space="0" w:color="auto"/>
        <w:right w:val="none" w:sz="0" w:space="0" w:color="auto"/>
      </w:divBdr>
    </w:div>
    <w:div w:id="1181894994">
      <w:bodyDiv w:val="1"/>
      <w:marLeft w:val="0"/>
      <w:marRight w:val="0"/>
      <w:marTop w:val="0"/>
      <w:marBottom w:val="0"/>
      <w:divBdr>
        <w:top w:val="none" w:sz="0" w:space="0" w:color="auto"/>
        <w:left w:val="none" w:sz="0" w:space="0" w:color="auto"/>
        <w:bottom w:val="none" w:sz="0" w:space="0" w:color="auto"/>
        <w:right w:val="none" w:sz="0" w:space="0" w:color="auto"/>
      </w:divBdr>
    </w:div>
    <w:div w:id="1182549520">
      <w:bodyDiv w:val="1"/>
      <w:marLeft w:val="0"/>
      <w:marRight w:val="0"/>
      <w:marTop w:val="0"/>
      <w:marBottom w:val="0"/>
      <w:divBdr>
        <w:top w:val="none" w:sz="0" w:space="0" w:color="auto"/>
        <w:left w:val="none" w:sz="0" w:space="0" w:color="auto"/>
        <w:bottom w:val="none" w:sz="0" w:space="0" w:color="auto"/>
        <w:right w:val="none" w:sz="0" w:space="0" w:color="auto"/>
      </w:divBdr>
    </w:div>
    <w:div w:id="1189248566">
      <w:bodyDiv w:val="1"/>
      <w:marLeft w:val="0"/>
      <w:marRight w:val="0"/>
      <w:marTop w:val="0"/>
      <w:marBottom w:val="0"/>
      <w:divBdr>
        <w:top w:val="none" w:sz="0" w:space="0" w:color="auto"/>
        <w:left w:val="none" w:sz="0" w:space="0" w:color="auto"/>
        <w:bottom w:val="none" w:sz="0" w:space="0" w:color="auto"/>
        <w:right w:val="none" w:sz="0" w:space="0" w:color="auto"/>
      </w:divBdr>
    </w:div>
    <w:div w:id="1195265237">
      <w:bodyDiv w:val="1"/>
      <w:marLeft w:val="0"/>
      <w:marRight w:val="0"/>
      <w:marTop w:val="0"/>
      <w:marBottom w:val="0"/>
      <w:divBdr>
        <w:top w:val="none" w:sz="0" w:space="0" w:color="auto"/>
        <w:left w:val="none" w:sz="0" w:space="0" w:color="auto"/>
        <w:bottom w:val="none" w:sz="0" w:space="0" w:color="auto"/>
        <w:right w:val="none" w:sz="0" w:space="0" w:color="auto"/>
      </w:divBdr>
    </w:div>
    <w:div w:id="1199005427">
      <w:bodyDiv w:val="1"/>
      <w:marLeft w:val="0"/>
      <w:marRight w:val="0"/>
      <w:marTop w:val="0"/>
      <w:marBottom w:val="0"/>
      <w:divBdr>
        <w:top w:val="none" w:sz="0" w:space="0" w:color="auto"/>
        <w:left w:val="none" w:sz="0" w:space="0" w:color="auto"/>
        <w:bottom w:val="none" w:sz="0" w:space="0" w:color="auto"/>
        <w:right w:val="none" w:sz="0" w:space="0" w:color="auto"/>
      </w:divBdr>
    </w:div>
    <w:div w:id="1207454148">
      <w:bodyDiv w:val="1"/>
      <w:marLeft w:val="0"/>
      <w:marRight w:val="0"/>
      <w:marTop w:val="0"/>
      <w:marBottom w:val="0"/>
      <w:divBdr>
        <w:top w:val="none" w:sz="0" w:space="0" w:color="auto"/>
        <w:left w:val="none" w:sz="0" w:space="0" w:color="auto"/>
        <w:bottom w:val="none" w:sz="0" w:space="0" w:color="auto"/>
        <w:right w:val="none" w:sz="0" w:space="0" w:color="auto"/>
      </w:divBdr>
    </w:div>
    <w:div w:id="1210991738">
      <w:bodyDiv w:val="1"/>
      <w:marLeft w:val="0"/>
      <w:marRight w:val="0"/>
      <w:marTop w:val="0"/>
      <w:marBottom w:val="0"/>
      <w:divBdr>
        <w:top w:val="none" w:sz="0" w:space="0" w:color="auto"/>
        <w:left w:val="none" w:sz="0" w:space="0" w:color="auto"/>
        <w:bottom w:val="none" w:sz="0" w:space="0" w:color="auto"/>
        <w:right w:val="none" w:sz="0" w:space="0" w:color="auto"/>
      </w:divBdr>
    </w:div>
    <w:div w:id="1213074387">
      <w:bodyDiv w:val="1"/>
      <w:marLeft w:val="0"/>
      <w:marRight w:val="0"/>
      <w:marTop w:val="0"/>
      <w:marBottom w:val="0"/>
      <w:divBdr>
        <w:top w:val="none" w:sz="0" w:space="0" w:color="auto"/>
        <w:left w:val="none" w:sz="0" w:space="0" w:color="auto"/>
        <w:bottom w:val="none" w:sz="0" w:space="0" w:color="auto"/>
        <w:right w:val="none" w:sz="0" w:space="0" w:color="auto"/>
      </w:divBdr>
    </w:div>
    <w:div w:id="1213731904">
      <w:bodyDiv w:val="1"/>
      <w:marLeft w:val="0"/>
      <w:marRight w:val="0"/>
      <w:marTop w:val="0"/>
      <w:marBottom w:val="0"/>
      <w:divBdr>
        <w:top w:val="none" w:sz="0" w:space="0" w:color="auto"/>
        <w:left w:val="none" w:sz="0" w:space="0" w:color="auto"/>
        <w:bottom w:val="none" w:sz="0" w:space="0" w:color="auto"/>
        <w:right w:val="none" w:sz="0" w:space="0" w:color="auto"/>
      </w:divBdr>
    </w:div>
    <w:div w:id="1218391935">
      <w:bodyDiv w:val="1"/>
      <w:marLeft w:val="0"/>
      <w:marRight w:val="0"/>
      <w:marTop w:val="0"/>
      <w:marBottom w:val="0"/>
      <w:divBdr>
        <w:top w:val="none" w:sz="0" w:space="0" w:color="auto"/>
        <w:left w:val="none" w:sz="0" w:space="0" w:color="auto"/>
        <w:bottom w:val="none" w:sz="0" w:space="0" w:color="auto"/>
        <w:right w:val="none" w:sz="0" w:space="0" w:color="auto"/>
      </w:divBdr>
    </w:div>
    <w:div w:id="1219509474">
      <w:bodyDiv w:val="1"/>
      <w:marLeft w:val="0"/>
      <w:marRight w:val="0"/>
      <w:marTop w:val="0"/>
      <w:marBottom w:val="0"/>
      <w:divBdr>
        <w:top w:val="none" w:sz="0" w:space="0" w:color="auto"/>
        <w:left w:val="none" w:sz="0" w:space="0" w:color="auto"/>
        <w:bottom w:val="none" w:sz="0" w:space="0" w:color="auto"/>
        <w:right w:val="none" w:sz="0" w:space="0" w:color="auto"/>
      </w:divBdr>
    </w:div>
    <w:div w:id="1219516694">
      <w:bodyDiv w:val="1"/>
      <w:marLeft w:val="0"/>
      <w:marRight w:val="0"/>
      <w:marTop w:val="0"/>
      <w:marBottom w:val="0"/>
      <w:divBdr>
        <w:top w:val="none" w:sz="0" w:space="0" w:color="auto"/>
        <w:left w:val="none" w:sz="0" w:space="0" w:color="auto"/>
        <w:bottom w:val="none" w:sz="0" w:space="0" w:color="auto"/>
        <w:right w:val="none" w:sz="0" w:space="0" w:color="auto"/>
      </w:divBdr>
    </w:div>
    <w:div w:id="1222444298">
      <w:bodyDiv w:val="1"/>
      <w:marLeft w:val="0"/>
      <w:marRight w:val="0"/>
      <w:marTop w:val="0"/>
      <w:marBottom w:val="0"/>
      <w:divBdr>
        <w:top w:val="none" w:sz="0" w:space="0" w:color="auto"/>
        <w:left w:val="none" w:sz="0" w:space="0" w:color="auto"/>
        <w:bottom w:val="none" w:sz="0" w:space="0" w:color="auto"/>
        <w:right w:val="none" w:sz="0" w:space="0" w:color="auto"/>
      </w:divBdr>
    </w:div>
    <w:div w:id="1228108563">
      <w:bodyDiv w:val="1"/>
      <w:marLeft w:val="0"/>
      <w:marRight w:val="0"/>
      <w:marTop w:val="0"/>
      <w:marBottom w:val="0"/>
      <w:divBdr>
        <w:top w:val="none" w:sz="0" w:space="0" w:color="auto"/>
        <w:left w:val="none" w:sz="0" w:space="0" w:color="auto"/>
        <w:bottom w:val="none" w:sz="0" w:space="0" w:color="auto"/>
        <w:right w:val="none" w:sz="0" w:space="0" w:color="auto"/>
      </w:divBdr>
    </w:div>
    <w:div w:id="1231162226">
      <w:bodyDiv w:val="1"/>
      <w:marLeft w:val="0"/>
      <w:marRight w:val="0"/>
      <w:marTop w:val="0"/>
      <w:marBottom w:val="0"/>
      <w:divBdr>
        <w:top w:val="none" w:sz="0" w:space="0" w:color="auto"/>
        <w:left w:val="none" w:sz="0" w:space="0" w:color="auto"/>
        <w:bottom w:val="none" w:sz="0" w:space="0" w:color="auto"/>
        <w:right w:val="none" w:sz="0" w:space="0" w:color="auto"/>
      </w:divBdr>
    </w:div>
    <w:div w:id="1231380716">
      <w:bodyDiv w:val="1"/>
      <w:marLeft w:val="0"/>
      <w:marRight w:val="0"/>
      <w:marTop w:val="0"/>
      <w:marBottom w:val="0"/>
      <w:divBdr>
        <w:top w:val="none" w:sz="0" w:space="0" w:color="auto"/>
        <w:left w:val="none" w:sz="0" w:space="0" w:color="auto"/>
        <w:bottom w:val="none" w:sz="0" w:space="0" w:color="auto"/>
        <w:right w:val="none" w:sz="0" w:space="0" w:color="auto"/>
      </w:divBdr>
    </w:div>
    <w:div w:id="1236160353">
      <w:bodyDiv w:val="1"/>
      <w:marLeft w:val="0"/>
      <w:marRight w:val="0"/>
      <w:marTop w:val="0"/>
      <w:marBottom w:val="0"/>
      <w:divBdr>
        <w:top w:val="none" w:sz="0" w:space="0" w:color="auto"/>
        <w:left w:val="none" w:sz="0" w:space="0" w:color="auto"/>
        <w:bottom w:val="none" w:sz="0" w:space="0" w:color="auto"/>
        <w:right w:val="none" w:sz="0" w:space="0" w:color="auto"/>
      </w:divBdr>
    </w:div>
    <w:div w:id="1243417232">
      <w:bodyDiv w:val="1"/>
      <w:marLeft w:val="0"/>
      <w:marRight w:val="0"/>
      <w:marTop w:val="0"/>
      <w:marBottom w:val="0"/>
      <w:divBdr>
        <w:top w:val="none" w:sz="0" w:space="0" w:color="auto"/>
        <w:left w:val="none" w:sz="0" w:space="0" w:color="auto"/>
        <w:bottom w:val="none" w:sz="0" w:space="0" w:color="auto"/>
        <w:right w:val="none" w:sz="0" w:space="0" w:color="auto"/>
      </w:divBdr>
    </w:div>
    <w:div w:id="1244487427">
      <w:bodyDiv w:val="1"/>
      <w:marLeft w:val="0"/>
      <w:marRight w:val="0"/>
      <w:marTop w:val="0"/>
      <w:marBottom w:val="0"/>
      <w:divBdr>
        <w:top w:val="none" w:sz="0" w:space="0" w:color="auto"/>
        <w:left w:val="none" w:sz="0" w:space="0" w:color="auto"/>
        <w:bottom w:val="none" w:sz="0" w:space="0" w:color="auto"/>
        <w:right w:val="none" w:sz="0" w:space="0" w:color="auto"/>
      </w:divBdr>
    </w:div>
    <w:div w:id="1245534264">
      <w:bodyDiv w:val="1"/>
      <w:marLeft w:val="0"/>
      <w:marRight w:val="0"/>
      <w:marTop w:val="0"/>
      <w:marBottom w:val="0"/>
      <w:divBdr>
        <w:top w:val="none" w:sz="0" w:space="0" w:color="auto"/>
        <w:left w:val="none" w:sz="0" w:space="0" w:color="auto"/>
        <w:bottom w:val="none" w:sz="0" w:space="0" w:color="auto"/>
        <w:right w:val="none" w:sz="0" w:space="0" w:color="auto"/>
      </w:divBdr>
    </w:div>
    <w:div w:id="1247959116">
      <w:bodyDiv w:val="1"/>
      <w:marLeft w:val="0"/>
      <w:marRight w:val="0"/>
      <w:marTop w:val="0"/>
      <w:marBottom w:val="0"/>
      <w:divBdr>
        <w:top w:val="none" w:sz="0" w:space="0" w:color="auto"/>
        <w:left w:val="none" w:sz="0" w:space="0" w:color="auto"/>
        <w:bottom w:val="none" w:sz="0" w:space="0" w:color="auto"/>
        <w:right w:val="none" w:sz="0" w:space="0" w:color="auto"/>
      </w:divBdr>
    </w:div>
    <w:div w:id="1250194983">
      <w:bodyDiv w:val="1"/>
      <w:marLeft w:val="0"/>
      <w:marRight w:val="0"/>
      <w:marTop w:val="0"/>
      <w:marBottom w:val="0"/>
      <w:divBdr>
        <w:top w:val="none" w:sz="0" w:space="0" w:color="auto"/>
        <w:left w:val="none" w:sz="0" w:space="0" w:color="auto"/>
        <w:bottom w:val="none" w:sz="0" w:space="0" w:color="auto"/>
        <w:right w:val="none" w:sz="0" w:space="0" w:color="auto"/>
      </w:divBdr>
    </w:div>
    <w:div w:id="1252356931">
      <w:bodyDiv w:val="1"/>
      <w:marLeft w:val="0"/>
      <w:marRight w:val="0"/>
      <w:marTop w:val="0"/>
      <w:marBottom w:val="0"/>
      <w:divBdr>
        <w:top w:val="none" w:sz="0" w:space="0" w:color="auto"/>
        <w:left w:val="none" w:sz="0" w:space="0" w:color="auto"/>
        <w:bottom w:val="none" w:sz="0" w:space="0" w:color="auto"/>
        <w:right w:val="none" w:sz="0" w:space="0" w:color="auto"/>
      </w:divBdr>
      <w:divsChild>
        <w:div w:id="1658801026">
          <w:marLeft w:val="0"/>
          <w:marRight w:val="0"/>
          <w:marTop w:val="100"/>
          <w:marBottom w:val="100"/>
          <w:divBdr>
            <w:top w:val="none" w:sz="0" w:space="0" w:color="auto"/>
            <w:left w:val="none" w:sz="0" w:space="0" w:color="auto"/>
            <w:bottom w:val="none" w:sz="0" w:space="0" w:color="auto"/>
            <w:right w:val="none" w:sz="0" w:space="0" w:color="auto"/>
          </w:divBdr>
          <w:divsChild>
            <w:div w:id="310404799">
              <w:marLeft w:val="0"/>
              <w:marRight w:val="0"/>
              <w:marTop w:val="225"/>
              <w:marBottom w:val="750"/>
              <w:divBdr>
                <w:top w:val="none" w:sz="0" w:space="0" w:color="auto"/>
                <w:left w:val="none" w:sz="0" w:space="0" w:color="auto"/>
                <w:bottom w:val="none" w:sz="0" w:space="0" w:color="auto"/>
                <w:right w:val="none" w:sz="0" w:space="0" w:color="auto"/>
              </w:divBdr>
              <w:divsChild>
                <w:div w:id="450782295">
                  <w:marLeft w:val="0"/>
                  <w:marRight w:val="0"/>
                  <w:marTop w:val="0"/>
                  <w:marBottom w:val="0"/>
                  <w:divBdr>
                    <w:top w:val="none" w:sz="0" w:space="0" w:color="auto"/>
                    <w:left w:val="none" w:sz="0" w:space="0" w:color="auto"/>
                    <w:bottom w:val="none" w:sz="0" w:space="0" w:color="auto"/>
                    <w:right w:val="none" w:sz="0" w:space="0" w:color="auto"/>
                  </w:divBdr>
                  <w:divsChild>
                    <w:div w:id="942029078">
                      <w:marLeft w:val="0"/>
                      <w:marRight w:val="0"/>
                      <w:marTop w:val="0"/>
                      <w:marBottom w:val="0"/>
                      <w:divBdr>
                        <w:top w:val="none" w:sz="0" w:space="0" w:color="auto"/>
                        <w:left w:val="none" w:sz="0" w:space="0" w:color="auto"/>
                        <w:bottom w:val="none" w:sz="0" w:space="0" w:color="auto"/>
                        <w:right w:val="none" w:sz="0" w:space="0" w:color="auto"/>
                      </w:divBdr>
                      <w:divsChild>
                        <w:div w:id="724527416">
                          <w:marLeft w:val="0"/>
                          <w:marRight w:val="0"/>
                          <w:marTop w:val="0"/>
                          <w:marBottom w:val="0"/>
                          <w:divBdr>
                            <w:top w:val="none" w:sz="0" w:space="0" w:color="auto"/>
                            <w:left w:val="none" w:sz="0" w:space="0" w:color="auto"/>
                            <w:bottom w:val="none" w:sz="0" w:space="0" w:color="auto"/>
                            <w:right w:val="none" w:sz="0" w:space="0" w:color="auto"/>
                          </w:divBdr>
                          <w:divsChild>
                            <w:div w:id="1263731743">
                              <w:marLeft w:val="0"/>
                              <w:marRight w:val="0"/>
                              <w:marTop w:val="0"/>
                              <w:marBottom w:val="0"/>
                              <w:divBdr>
                                <w:top w:val="none" w:sz="0" w:space="0" w:color="auto"/>
                                <w:left w:val="none" w:sz="0" w:space="0" w:color="auto"/>
                                <w:bottom w:val="none" w:sz="0" w:space="0" w:color="auto"/>
                                <w:right w:val="none" w:sz="0" w:space="0" w:color="auto"/>
                              </w:divBdr>
                              <w:divsChild>
                                <w:div w:id="1377850723">
                                  <w:marLeft w:val="0"/>
                                  <w:marRight w:val="0"/>
                                  <w:marTop w:val="0"/>
                                  <w:marBottom w:val="0"/>
                                  <w:divBdr>
                                    <w:top w:val="none" w:sz="0" w:space="0" w:color="auto"/>
                                    <w:left w:val="none" w:sz="0" w:space="0" w:color="auto"/>
                                    <w:bottom w:val="none" w:sz="0" w:space="0" w:color="auto"/>
                                    <w:right w:val="none" w:sz="0" w:space="0" w:color="auto"/>
                                  </w:divBdr>
                                  <w:divsChild>
                                    <w:div w:id="1066302008">
                                      <w:marLeft w:val="0"/>
                                      <w:marRight w:val="0"/>
                                      <w:marTop w:val="0"/>
                                      <w:marBottom w:val="0"/>
                                      <w:divBdr>
                                        <w:top w:val="none" w:sz="0" w:space="0" w:color="auto"/>
                                        <w:left w:val="none" w:sz="0" w:space="0" w:color="auto"/>
                                        <w:bottom w:val="none" w:sz="0" w:space="0" w:color="auto"/>
                                        <w:right w:val="none" w:sz="0" w:space="0" w:color="auto"/>
                                      </w:divBdr>
                                      <w:divsChild>
                                        <w:div w:id="1670906748">
                                          <w:marLeft w:val="0"/>
                                          <w:marRight w:val="0"/>
                                          <w:marTop w:val="0"/>
                                          <w:marBottom w:val="0"/>
                                          <w:divBdr>
                                            <w:top w:val="none" w:sz="0" w:space="0" w:color="auto"/>
                                            <w:left w:val="none" w:sz="0" w:space="0" w:color="auto"/>
                                            <w:bottom w:val="none" w:sz="0" w:space="0" w:color="auto"/>
                                            <w:right w:val="none" w:sz="0" w:space="0" w:color="auto"/>
                                          </w:divBdr>
                                          <w:divsChild>
                                            <w:div w:id="1474175605">
                                              <w:marLeft w:val="0"/>
                                              <w:marRight w:val="0"/>
                                              <w:marTop w:val="0"/>
                                              <w:marBottom w:val="0"/>
                                              <w:divBdr>
                                                <w:top w:val="none" w:sz="0" w:space="0" w:color="auto"/>
                                                <w:left w:val="none" w:sz="0" w:space="0" w:color="auto"/>
                                                <w:bottom w:val="none" w:sz="0" w:space="0" w:color="auto"/>
                                                <w:right w:val="none" w:sz="0" w:space="0" w:color="auto"/>
                                              </w:divBdr>
                                              <w:divsChild>
                                                <w:div w:id="1704094109">
                                                  <w:marLeft w:val="0"/>
                                                  <w:marRight w:val="0"/>
                                                  <w:marTop w:val="0"/>
                                                  <w:marBottom w:val="0"/>
                                                  <w:divBdr>
                                                    <w:top w:val="none" w:sz="0" w:space="0" w:color="auto"/>
                                                    <w:left w:val="none" w:sz="0" w:space="0" w:color="auto"/>
                                                    <w:bottom w:val="none" w:sz="0" w:space="0" w:color="auto"/>
                                                    <w:right w:val="none" w:sz="0" w:space="0" w:color="auto"/>
                                                  </w:divBdr>
                                                  <w:divsChild>
                                                    <w:div w:id="687754838">
                                                      <w:marLeft w:val="0"/>
                                                      <w:marRight w:val="0"/>
                                                      <w:marTop w:val="0"/>
                                                      <w:marBottom w:val="0"/>
                                                      <w:divBdr>
                                                        <w:top w:val="none" w:sz="0" w:space="0" w:color="auto"/>
                                                        <w:left w:val="none" w:sz="0" w:space="0" w:color="auto"/>
                                                        <w:bottom w:val="none" w:sz="0" w:space="0" w:color="auto"/>
                                                        <w:right w:val="none" w:sz="0" w:space="0" w:color="auto"/>
                                                      </w:divBdr>
                                                      <w:divsChild>
                                                        <w:div w:id="1150170667">
                                                          <w:marLeft w:val="0"/>
                                                          <w:marRight w:val="0"/>
                                                          <w:marTop w:val="0"/>
                                                          <w:marBottom w:val="0"/>
                                                          <w:divBdr>
                                                            <w:top w:val="none" w:sz="0" w:space="0" w:color="auto"/>
                                                            <w:left w:val="none" w:sz="0" w:space="0" w:color="auto"/>
                                                            <w:bottom w:val="none" w:sz="0" w:space="0" w:color="auto"/>
                                                            <w:right w:val="none" w:sz="0" w:space="0" w:color="auto"/>
                                                          </w:divBdr>
                                                          <w:divsChild>
                                                            <w:div w:id="1567646642">
                                                              <w:marLeft w:val="0"/>
                                                              <w:marRight w:val="0"/>
                                                              <w:marTop w:val="0"/>
                                                              <w:marBottom w:val="0"/>
                                                              <w:divBdr>
                                                                <w:top w:val="none" w:sz="0" w:space="0" w:color="auto"/>
                                                                <w:left w:val="none" w:sz="0" w:space="0" w:color="auto"/>
                                                                <w:bottom w:val="none" w:sz="0" w:space="0" w:color="auto"/>
                                                                <w:right w:val="none" w:sz="0" w:space="0" w:color="auto"/>
                                                              </w:divBdr>
                                                              <w:divsChild>
                                                                <w:div w:id="607810574">
                                                                  <w:marLeft w:val="0"/>
                                                                  <w:marRight w:val="0"/>
                                                                  <w:marTop w:val="0"/>
                                                                  <w:marBottom w:val="0"/>
                                                                  <w:divBdr>
                                                                    <w:top w:val="none" w:sz="0" w:space="0" w:color="auto"/>
                                                                    <w:left w:val="none" w:sz="0" w:space="0" w:color="auto"/>
                                                                    <w:bottom w:val="none" w:sz="0" w:space="0" w:color="auto"/>
                                                                    <w:right w:val="none" w:sz="0" w:space="0" w:color="auto"/>
                                                                  </w:divBdr>
                                                                  <w:divsChild>
                                                                    <w:div w:id="88179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57516284">
      <w:bodyDiv w:val="1"/>
      <w:marLeft w:val="0"/>
      <w:marRight w:val="0"/>
      <w:marTop w:val="0"/>
      <w:marBottom w:val="0"/>
      <w:divBdr>
        <w:top w:val="none" w:sz="0" w:space="0" w:color="auto"/>
        <w:left w:val="none" w:sz="0" w:space="0" w:color="auto"/>
        <w:bottom w:val="none" w:sz="0" w:space="0" w:color="auto"/>
        <w:right w:val="none" w:sz="0" w:space="0" w:color="auto"/>
      </w:divBdr>
    </w:div>
    <w:div w:id="1257903280">
      <w:bodyDiv w:val="1"/>
      <w:marLeft w:val="0"/>
      <w:marRight w:val="0"/>
      <w:marTop w:val="0"/>
      <w:marBottom w:val="0"/>
      <w:divBdr>
        <w:top w:val="none" w:sz="0" w:space="0" w:color="auto"/>
        <w:left w:val="none" w:sz="0" w:space="0" w:color="auto"/>
        <w:bottom w:val="none" w:sz="0" w:space="0" w:color="auto"/>
        <w:right w:val="none" w:sz="0" w:space="0" w:color="auto"/>
      </w:divBdr>
    </w:div>
    <w:div w:id="1258367362">
      <w:bodyDiv w:val="1"/>
      <w:marLeft w:val="0"/>
      <w:marRight w:val="0"/>
      <w:marTop w:val="0"/>
      <w:marBottom w:val="0"/>
      <w:divBdr>
        <w:top w:val="none" w:sz="0" w:space="0" w:color="auto"/>
        <w:left w:val="none" w:sz="0" w:space="0" w:color="auto"/>
        <w:bottom w:val="none" w:sz="0" w:space="0" w:color="auto"/>
        <w:right w:val="none" w:sz="0" w:space="0" w:color="auto"/>
      </w:divBdr>
    </w:div>
    <w:div w:id="1262839046">
      <w:bodyDiv w:val="1"/>
      <w:marLeft w:val="0"/>
      <w:marRight w:val="0"/>
      <w:marTop w:val="0"/>
      <w:marBottom w:val="0"/>
      <w:divBdr>
        <w:top w:val="none" w:sz="0" w:space="0" w:color="auto"/>
        <w:left w:val="none" w:sz="0" w:space="0" w:color="auto"/>
        <w:bottom w:val="none" w:sz="0" w:space="0" w:color="auto"/>
        <w:right w:val="none" w:sz="0" w:space="0" w:color="auto"/>
      </w:divBdr>
    </w:div>
    <w:div w:id="1269848989">
      <w:bodyDiv w:val="1"/>
      <w:marLeft w:val="0"/>
      <w:marRight w:val="0"/>
      <w:marTop w:val="0"/>
      <w:marBottom w:val="0"/>
      <w:divBdr>
        <w:top w:val="none" w:sz="0" w:space="0" w:color="auto"/>
        <w:left w:val="none" w:sz="0" w:space="0" w:color="auto"/>
        <w:bottom w:val="none" w:sz="0" w:space="0" w:color="auto"/>
        <w:right w:val="none" w:sz="0" w:space="0" w:color="auto"/>
      </w:divBdr>
    </w:div>
    <w:div w:id="1276714134">
      <w:bodyDiv w:val="1"/>
      <w:marLeft w:val="0"/>
      <w:marRight w:val="0"/>
      <w:marTop w:val="0"/>
      <w:marBottom w:val="0"/>
      <w:divBdr>
        <w:top w:val="none" w:sz="0" w:space="0" w:color="auto"/>
        <w:left w:val="none" w:sz="0" w:space="0" w:color="auto"/>
        <w:bottom w:val="none" w:sz="0" w:space="0" w:color="auto"/>
        <w:right w:val="none" w:sz="0" w:space="0" w:color="auto"/>
      </w:divBdr>
    </w:div>
    <w:div w:id="1277836276">
      <w:bodyDiv w:val="1"/>
      <w:marLeft w:val="0"/>
      <w:marRight w:val="0"/>
      <w:marTop w:val="0"/>
      <w:marBottom w:val="0"/>
      <w:divBdr>
        <w:top w:val="none" w:sz="0" w:space="0" w:color="auto"/>
        <w:left w:val="none" w:sz="0" w:space="0" w:color="auto"/>
        <w:bottom w:val="none" w:sz="0" w:space="0" w:color="auto"/>
        <w:right w:val="none" w:sz="0" w:space="0" w:color="auto"/>
      </w:divBdr>
    </w:div>
    <w:div w:id="1282305846">
      <w:bodyDiv w:val="1"/>
      <w:marLeft w:val="0"/>
      <w:marRight w:val="0"/>
      <w:marTop w:val="0"/>
      <w:marBottom w:val="0"/>
      <w:divBdr>
        <w:top w:val="none" w:sz="0" w:space="0" w:color="auto"/>
        <w:left w:val="none" w:sz="0" w:space="0" w:color="auto"/>
        <w:bottom w:val="none" w:sz="0" w:space="0" w:color="auto"/>
        <w:right w:val="none" w:sz="0" w:space="0" w:color="auto"/>
      </w:divBdr>
    </w:div>
    <w:div w:id="1284507290">
      <w:bodyDiv w:val="1"/>
      <w:marLeft w:val="0"/>
      <w:marRight w:val="0"/>
      <w:marTop w:val="0"/>
      <w:marBottom w:val="0"/>
      <w:divBdr>
        <w:top w:val="none" w:sz="0" w:space="0" w:color="auto"/>
        <w:left w:val="none" w:sz="0" w:space="0" w:color="auto"/>
        <w:bottom w:val="none" w:sz="0" w:space="0" w:color="auto"/>
        <w:right w:val="none" w:sz="0" w:space="0" w:color="auto"/>
      </w:divBdr>
    </w:div>
    <w:div w:id="1286812003">
      <w:bodyDiv w:val="1"/>
      <w:marLeft w:val="0"/>
      <w:marRight w:val="0"/>
      <w:marTop w:val="0"/>
      <w:marBottom w:val="0"/>
      <w:divBdr>
        <w:top w:val="none" w:sz="0" w:space="0" w:color="auto"/>
        <w:left w:val="none" w:sz="0" w:space="0" w:color="auto"/>
        <w:bottom w:val="none" w:sz="0" w:space="0" w:color="auto"/>
        <w:right w:val="none" w:sz="0" w:space="0" w:color="auto"/>
      </w:divBdr>
    </w:div>
    <w:div w:id="1290011308">
      <w:bodyDiv w:val="1"/>
      <w:marLeft w:val="0"/>
      <w:marRight w:val="0"/>
      <w:marTop w:val="0"/>
      <w:marBottom w:val="0"/>
      <w:divBdr>
        <w:top w:val="none" w:sz="0" w:space="0" w:color="auto"/>
        <w:left w:val="none" w:sz="0" w:space="0" w:color="auto"/>
        <w:bottom w:val="none" w:sz="0" w:space="0" w:color="auto"/>
        <w:right w:val="none" w:sz="0" w:space="0" w:color="auto"/>
      </w:divBdr>
    </w:div>
    <w:div w:id="1299335433">
      <w:bodyDiv w:val="1"/>
      <w:marLeft w:val="0"/>
      <w:marRight w:val="0"/>
      <w:marTop w:val="0"/>
      <w:marBottom w:val="0"/>
      <w:divBdr>
        <w:top w:val="none" w:sz="0" w:space="0" w:color="auto"/>
        <w:left w:val="none" w:sz="0" w:space="0" w:color="auto"/>
        <w:bottom w:val="none" w:sz="0" w:space="0" w:color="auto"/>
        <w:right w:val="none" w:sz="0" w:space="0" w:color="auto"/>
      </w:divBdr>
    </w:div>
    <w:div w:id="1299339854">
      <w:bodyDiv w:val="1"/>
      <w:marLeft w:val="0"/>
      <w:marRight w:val="0"/>
      <w:marTop w:val="0"/>
      <w:marBottom w:val="0"/>
      <w:divBdr>
        <w:top w:val="none" w:sz="0" w:space="0" w:color="auto"/>
        <w:left w:val="none" w:sz="0" w:space="0" w:color="auto"/>
        <w:bottom w:val="none" w:sz="0" w:space="0" w:color="auto"/>
        <w:right w:val="none" w:sz="0" w:space="0" w:color="auto"/>
      </w:divBdr>
    </w:div>
    <w:div w:id="1299536368">
      <w:bodyDiv w:val="1"/>
      <w:marLeft w:val="0"/>
      <w:marRight w:val="0"/>
      <w:marTop w:val="0"/>
      <w:marBottom w:val="0"/>
      <w:divBdr>
        <w:top w:val="none" w:sz="0" w:space="0" w:color="auto"/>
        <w:left w:val="none" w:sz="0" w:space="0" w:color="auto"/>
        <w:bottom w:val="none" w:sz="0" w:space="0" w:color="auto"/>
        <w:right w:val="none" w:sz="0" w:space="0" w:color="auto"/>
      </w:divBdr>
    </w:div>
    <w:div w:id="1303585561">
      <w:bodyDiv w:val="1"/>
      <w:marLeft w:val="0"/>
      <w:marRight w:val="0"/>
      <w:marTop w:val="0"/>
      <w:marBottom w:val="0"/>
      <w:divBdr>
        <w:top w:val="none" w:sz="0" w:space="0" w:color="auto"/>
        <w:left w:val="none" w:sz="0" w:space="0" w:color="auto"/>
        <w:bottom w:val="none" w:sz="0" w:space="0" w:color="auto"/>
        <w:right w:val="none" w:sz="0" w:space="0" w:color="auto"/>
      </w:divBdr>
    </w:div>
    <w:div w:id="1308317901">
      <w:bodyDiv w:val="1"/>
      <w:marLeft w:val="0"/>
      <w:marRight w:val="0"/>
      <w:marTop w:val="0"/>
      <w:marBottom w:val="0"/>
      <w:divBdr>
        <w:top w:val="none" w:sz="0" w:space="0" w:color="auto"/>
        <w:left w:val="none" w:sz="0" w:space="0" w:color="auto"/>
        <w:bottom w:val="none" w:sz="0" w:space="0" w:color="auto"/>
        <w:right w:val="none" w:sz="0" w:space="0" w:color="auto"/>
      </w:divBdr>
    </w:div>
    <w:div w:id="1310402496">
      <w:bodyDiv w:val="1"/>
      <w:marLeft w:val="0"/>
      <w:marRight w:val="0"/>
      <w:marTop w:val="0"/>
      <w:marBottom w:val="0"/>
      <w:divBdr>
        <w:top w:val="none" w:sz="0" w:space="0" w:color="auto"/>
        <w:left w:val="none" w:sz="0" w:space="0" w:color="auto"/>
        <w:bottom w:val="none" w:sz="0" w:space="0" w:color="auto"/>
        <w:right w:val="none" w:sz="0" w:space="0" w:color="auto"/>
      </w:divBdr>
    </w:div>
    <w:div w:id="1311788871">
      <w:bodyDiv w:val="1"/>
      <w:marLeft w:val="0"/>
      <w:marRight w:val="0"/>
      <w:marTop w:val="0"/>
      <w:marBottom w:val="0"/>
      <w:divBdr>
        <w:top w:val="none" w:sz="0" w:space="0" w:color="auto"/>
        <w:left w:val="none" w:sz="0" w:space="0" w:color="auto"/>
        <w:bottom w:val="none" w:sz="0" w:space="0" w:color="auto"/>
        <w:right w:val="none" w:sz="0" w:space="0" w:color="auto"/>
      </w:divBdr>
    </w:div>
    <w:div w:id="1312902722">
      <w:bodyDiv w:val="1"/>
      <w:marLeft w:val="0"/>
      <w:marRight w:val="0"/>
      <w:marTop w:val="0"/>
      <w:marBottom w:val="0"/>
      <w:divBdr>
        <w:top w:val="none" w:sz="0" w:space="0" w:color="auto"/>
        <w:left w:val="none" w:sz="0" w:space="0" w:color="auto"/>
        <w:bottom w:val="none" w:sz="0" w:space="0" w:color="auto"/>
        <w:right w:val="none" w:sz="0" w:space="0" w:color="auto"/>
      </w:divBdr>
    </w:div>
    <w:div w:id="1315839231">
      <w:bodyDiv w:val="1"/>
      <w:marLeft w:val="0"/>
      <w:marRight w:val="0"/>
      <w:marTop w:val="0"/>
      <w:marBottom w:val="0"/>
      <w:divBdr>
        <w:top w:val="none" w:sz="0" w:space="0" w:color="auto"/>
        <w:left w:val="none" w:sz="0" w:space="0" w:color="auto"/>
        <w:bottom w:val="none" w:sz="0" w:space="0" w:color="auto"/>
        <w:right w:val="none" w:sz="0" w:space="0" w:color="auto"/>
      </w:divBdr>
    </w:div>
    <w:div w:id="1316568148">
      <w:bodyDiv w:val="1"/>
      <w:marLeft w:val="0"/>
      <w:marRight w:val="0"/>
      <w:marTop w:val="0"/>
      <w:marBottom w:val="0"/>
      <w:divBdr>
        <w:top w:val="none" w:sz="0" w:space="0" w:color="auto"/>
        <w:left w:val="none" w:sz="0" w:space="0" w:color="auto"/>
        <w:bottom w:val="none" w:sz="0" w:space="0" w:color="auto"/>
        <w:right w:val="none" w:sz="0" w:space="0" w:color="auto"/>
      </w:divBdr>
    </w:div>
    <w:div w:id="1316911764">
      <w:bodyDiv w:val="1"/>
      <w:marLeft w:val="0"/>
      <w:marRight w:val="0"/>
      <w:marTop w:val="0"/>
      <w:marBottom w:val="0"/>
      <w:divBdr>
        <w:top w:val="none" w:sz="0" w:space="0" w:color="auto"/>
        <w:left w:val="none" w:sz="0" w:space="0" w:color="auto"/>
        <w:bottom w:val="none" w:sz="0" w:space="0" w:color="auto"/>
        <w:right w:val="none" w:sz="0" w:space="0" w:color="auto"/>
      </w:divBdr>
    </w:div>
    <w:div w:id="1317756542">
      <w:bodyDiv w:val="1"/>
      <w:marLeft w:val="0"/>
      <w:marRight w:val="0"/>
      <w:marTop w:val="0"/>
      <w:marBottom w:val="0"/>
      <w:divBdr>
        <w:top w:val="none" w:sz="0" w:space="0" w:color="auto"/>
        <w:left w:val="none" w:sz="0" w:space="0" w:color="auto"/>
        <w:bottom w:val="none" w:sz="0" w:space="0" w:color="auto"/>
        <w:right w:val="none" w:sz="0" w:space="0" w:color="auto"/>
      </w:divBdr>
    </w:div>
    <w:div w:id="1330476244">
      <w:bodyDiv w:val="1"/>
      <w:marLeft w:val="0"/>
      <w:marRight w:val="0"/>
      <w:marTop w:val="0"/>
      <w:marBottom w:val="0"/>
      <w:divBdr>
        <w:top w:val="none" w:sz="0" w:space="0" w:color="auto"/>
        <w:left w:val="none" w:sz="0" w:space="0" w:color="auto"/>
        <w:bottom w:val="none" w:sz="0" w:space="0" w:color="auto"/>
        <w:right w:val="none" w:sz="0" w:space="0" w:color="auto"/>
      </w:divBdr>
    </w:div>
    <w:div w:id="1331715164">
      <w:bodyDiv w:val="1"/>
      <w:marLeft w:val="0"/>
      <w:marRight w:val="0"/>
      <w:marTop w:val="0"/>
      <w:marBottom w:val="0"/>
      <w:divBdr>
        <w:top w:val="none" w:sz="0" w:space="0" w:color="auto"/>
        <w:left w:val="none" w:sz="0" w:space="0" w:color="auto"/>
        <w:bottom w:val="none" w:sz="0" w:space="0" w:color="auto"/>
        <w:right w:val="none" w:sz="0" w:space="0" w:color="auto"/>
      </w:divBdr>
    </w:div>
    <w:div w:id="1332759844">
      <w:bodyDiv w:val="1"/>
      <w:marLeft w:val="0"/>
      <w:marRight w:val="0"/>
      <w:marTop w:val="0"/>
      <w:marBottom w:val="0"/>
      <w:divBdr>
        <w:top w:val="none" w:sz="0" w:space="0" w:color="auto"/>
        <w:left w:val="none" w:sz="0" w:space="0" w:color="auto"/>
        <w:bottom w:val="none" w:sz="0" w:space="0" w:color="auto"/>
        <w:right w:val="none" w:sz="0" w:space="0" w:color="auto"/>
      </w:divBdr>
    </w:div>
    <w:div w:id="1343507293">
      <w:bodyDiv w:val="1"/>
      <w:marLeft w:val="0"/>
      <w:marRight w:val="0"/>
      <w:marTop w:val="0"/>
      <w:marBottom w:val="0"/>
      <w:divBdr>
        <w:top w:val="none" w:sz="0" w:space="0" w:color="auto"/>
        <w:left w:val="none" w:sz="0" w:space="0" w:color="auto"/>
        <w:bottom w:val="none" w:sz="0" w:space="0" w:color="auto"/>
        <w:right w:val="none" w:sz="0" w:space="0" w:color="auto"/>
      </w:divBdr>
    </w:div>
    <w:div w:id="1349718240">
      <w:bodyDiv w:val="1"/>
      <w:marLeft w:val="0"/>
      <w:marRight w:val="0"/>
      <w:marTop w:val="0"/>
      <w:marBottom w:val="0"/>
      <w:divBdr>
        <w:top w:val="none" w:sz="0" w:space="0" w:color="auto"/>
        <w:left w:val="none" w:sz="0" w:space="0" w:color="auto"/>
        <w:bottom w:val="none" w:sz="0" w:space="0" w:color="auto"/>
        <w:right w:val="none" w:sz="0" w:space="0" w:color="auto"/>
      </w:divBdr>
    </w:div>
    <w:div w:id="1353604126">
      <w:bodyDiv w:val="1"/>
      <w:marLeft w:val="0"/>
      <w:marRight w:val="0"/>
      <w:marTop w:val="0"/>
      <w:marBottom w:val="0"/>
      <w:divBdr>
        <w:top w:val="none" w:sz="0" w:space="0" w:color="auto"/>
        <w:left w:val="none" w:sz="0" w:space="0" w:color="auto"/>
        <w:bottom w:val="none" w:sz="0" w:space="0" w:color="auto"/>
        <w:right w:val="none" w:sz="0" w:space="0" w:color="auto"/>
      </w:divBdr>
    </w:div>
    <w:div w:id="1355767147">
      <w:bodyDiv w:val="1"/>
      <w:marLeft w:val="0"/>
      <w:marRight w:val="0"/>
      <w:marTop w:val="0"/>
      <w:marBottom w:val="0"/>
      <w:divBdr>
        <w:top w:val="none" w:sz="0" w:space="0" w:color="auto"/>
        <w:left w:val="none" w:sz="0" w:space="0" w:color="auto"/>
        <w:bottom w:val="none" w:sz="0" w:space="0" w:color="auto"/>
        <w:right w:val="none" w:sz="0" w:space="0" w:color="auto"/>
      </w:divBdr>
    </w:div>
    <w:div w:id="1356230051">
      <w:bodyDiv w:val="1"/>
      <w:marLeft w:val="0"/>
      <w:marRight w:val="0"/>
      <w:marTop w:val="0"/>
      <w:marBottom w:val="0"/>
      <w:divBdr>
        <w:top w:val="none" w:sz="0" w:space="0" w:color="auto"/>
        <w:left w:val="none" w:sz="0" w:space="0" w:color="auto"/>
        <w:bottom w:val="none" w:sz="0" w:space="0" w:color="auto"/>
        <w:right w:val="none" w:sz="0" w:space="0" w:color="auto"/>
      </w:divBdr>
    </w:div>
    <w:div w:id="1361541333">
      <w:bodyDiv w:val="1"/>
      <w:marLeft w:val="0"/>
      <w:marRight w:val="0"/>
      <w:marTop w:val="0"/>
      <w:marBottom w:val="0"/>
      <w:divBdr>
        <w:top w:val="none" w:sz="0" w:space="0" w:color="auto"/>
        <w:left w:val="none" w:sz="0" w:space="0" w:color="auto"/>
        <w:bottom w:val="none" w:sz="0" w:space="0" w:color="auto"/>
        <w:right w:val="none" w:sz="0" w:space="0" w:color="auto"/>
      </w:divBdr>
    </w:div>
    <w:div w:id="1369406268">
      <w:bodyDiv w:val="1"/>
      <w:marLeft w:val="0"/>
      <w:marRight w:val="0"/>
      <w:marTop w:val="0"/>
      <w:marBottom w:val="0"/>
      <w:divBdr>
        <w:top w:val="none" w:sz="0" w:space="0" w:color="auto"/>
        <w:left w:val="none" w:sz="0" w:space="0" w:color="auto"/>
        <w:bottom w:val="none" w:sz="0" w:space="0" w:color="auto"/>
        <w:right w:val="none" w:sz="0" w:space="0" w:color="auto"/>
      </w:divBdr>
    </w:div>
    <w:div w:id="1377850926">
      <w:bodyDiv w:val="1"/>
      <w:marLeft w:val="0"/>
      <w:marRight w:val="0"/>
      <w:marTop w:val="0"/>
      <w:marBottom w:val="0"/>
      <w:divBdr>
        <w:top w:val="none" w:sz="0" w:space="0" w:color="auto"/>
        <w:left w:val="none" w:sz="0" w:space="0" w:color="auto"/>
        <w:bottom w:val="none" w:sz="0" w:space="0" w:color="auto"/>
        <w:right w:val="none" w:sz="0" w:space="0" w:color="auto"/>
      </w:divBdr>
    </w:div>
    <w:div w:id="1377971132">
      <w:bodyDiv w:val="1"/>
      <w:marLeft w:val="0"/>
      <w:marRight w:val="0"/>
      <w:marTop w:val="0"/>
      <w:marBottom w:val="0"/>
      <w:divBdr>
        <w:top w:val="none" w:sz="0" w:space="0" w:color="auto"/>
        <w:left w:val="none" w:sz="0" w:space="0" w:color="auto"/>
        <w:bottom w:val="none" w:sz="0" w:space="0" w:color="auto"/>
        <w:right w:val="none" w:sz="0" w:space="0" w:color="auto"/>
      </w:divBdr>
    </w:div>
    <w:div w:id="1384405424">
      <w:bodyDiv w:val="1"/>
      <w:marLeft w:val="0"/>
      <w:marRight w:val="0"/>
      <w:marTop w:val="0"/>
      <w:marBottom w:val="0"/>
      <w:divBdr>
        <w:top w:val="none" w:sz="0" w:space="0" w:color="auto"/>
        <w:left w:val="none" w:sz="0" w:space="0" w:color="auto"/>
        <w:bottom w:val="none" w:sz="0" w:space="0" w:color="auto"/>
        <w:right w:val="none" w:sz="0" w:space="0" w:color="auto"/>
      </w:divBdr>
    </w:div>
    <w:div w:id="1390349326">
      <w:bodyDiv w:val="1"/>
      <w:marLeft w:val="0"/>
      <w:marRight w:val="0"/>
      <w:marTop w:val="0"/>
      <w:marBottom w:val="0"/>
      <w:divBdr>
        <w:top w:val="none" w:sz="0" w:space="0" w:color="auto"/>
        <w:left w:val="none" w:sz="0" w:space="0" w:color="auto"/>
        <w:bottom w:val="none" w:sz="0" w:space="0" w:color="auto"/>
        <w:right w:val="none" w:sz="0" w:space="0" w:color="auto"/>
      </w:divBdr>
    </w:div>
    <w:div w:id="1391272802">
      <w:bodyDiv w:val="1"/>
      <w:marLeft w:val="0"/>
      <w:marRight w:val="0"/>
      <w:marTop w:val="0"/>
      <w:marBottom w:val="0"/>
      <w:divBdr>
        <w:top w:val="none" w:sz="0" w:space="0" w:color="auto"/>
        <w:left w:val="none" w:sz="0" w:space="0" w:color="auto"/>
        <w:bottom w:val="none" w:sz="0" w:space="0" w:color="auto"/>
        <w:right w:val="none" w:sz="0" w:space="0" w:color="auto"/>
      </w:divBdr>
    </w:div>
    <w:div w:id="1399399696">
      <w:bodyDiv w:val="1"/>
      <w:marLeft w:val="0"/>
      <w:marRight w:val="0"/>
      <w:marTop w:val="0"/>
      <w:marBottom w:val="0"/>
      <w:divBdr>
        <w:top w:val="none" w:sz="0" w:space="0" w:color="auto"/>
        <w:left w:val="none" w:sz="0" w:space="0" w:color="auto"/>
        <w:bottom w:val="none" w:sz="0" w:space="0" w:color="auto"/>
        <w:right w:val="none" w:sz="0" w:space="0" w:color="auto"/>
      </w:divBdr>
    </w:div>
    <w:div w:id="1406957422">
      <w:bodyDiv w:val="1"/>
      <w:marLeft w:val="0"/>
      <w:marRight w:val="0"/>
      <w:marTop w:val="0"/>
      <w:marBottom w:val="0"/>
      <w:divBdr>
        <w:top w:val="none" w:sz="0" w:space="0" w:color="auto"/>
        <w:left w:val="none" w:sz="0" w:space="0" w:color="auto"/>
        <w:bottom w:val="none" w:sz="0" w:space="0" w:color="auto"/>
        <w:right w:val="none" w:sz="0" w:space="0" w:color="auto"/>
      </w:divBdr>
    </w:div>
    <w:div w:id="1414475192">
      <w:bodyDiv w:val="1"/>
      <w:marLeft w:val="0"/>
      <w:marRight w:val="0"/>
      <w:marTop w:val="0"/>
      <w:marBottom w:val="0"/>
      <w:divBdr>
        <w:top w:val="none" w:sz="0" w:space="0" w:color="auto"/>
        <w:left w:val="none" w:sz="0" w:space="0" w:color="auto"/>
        <w:bottom w:val="none" w:sz="0" w:space="0" w:color="auto"/>
        <w:right w:val="none" w:sz="0" w:space="0" w:color="auto"/>
      </w:divBdr>
    </w:div>
    <w:div w:id="1416626472">
      <w:bodyDiv w:val="1"/>
      <w:marLeft w:val="0"/>
      <w:marRight w:val="0"/>
      <w:marTop w:val="0"/>
      <w:marBottom w:val="0"/>
      <w:divBdr>
        <w:top w:val="none" w:sz="0" w:space="0" w:color="auto"/>
        <w:left w:val="none" w:sz="0" w:space="0" w:color="auto"/>
        <w:bottom w:val="none" w:sz="0" w:space="0" w:color="auto"/>
        <w:right w:val="none" w:sz="0" w:space="0" w:color="auto"/>
      </w:divBdr>
    </w:div>
    <w:div w:id="1420056776">
      <w:bodyDiv w:val="1"/>
      <w:marLeft w:val="0"/>
      <w:marRight w:val="0"/>
      <w:marTop w:val="0"/>
      <w:marBottom w:val="0"/>
      <w:divBdr>
        <w:top w:val="none" w:sz="0" w:space="0" w:color="auto"/>
        <w:left w:val="none" w:sz="0" w:space="0" w:color="auto"/>
        <w:bottom w:val="none" w:sz="0" w:space="0" w:color="auto"/>
        <w:right w:val="none" w:sz="0" w:space="0" w:color="auto"/>
      </w:divBdr>
    </w:div>
    <w:div w:id="1421297068">
      <w:bodyDiv w:val="1"/>
      <w:marLeft w:val="0"/>
      <w:marRight w:val="0"/>
      <w:marTop w:val="0"/>
      <w:marBottom w:val="0"/>
      <w:divBdr>
        <w:top w:val="none" w:sz="0" w:space="0" w:color="auto"/>
        <w:left w:val="none" w:sz="0" w:space="0" w:color="auto"/>
        <w:bottom w:val="none" w:sz="0" w:space="0" w:color="auto"/>
        <w:right w:val="none" w:sz="0" w:space="0" w:color="auto"/>
      </w:divBdr>
    </w:div>
    <w:div w:id="1421683579">
      <w:bodyDiv w:val="1"/>
      <w:marLeft w:val="0"/>
      <w:marRight w:val="0"/>
      <w:marTop w:val="0"/>
      <w:marBottom w:val="0"/>
      <w:divBdr>
        <w:top w:val="none" w:sz="0" w:space="0" w:color="auto"/>
        <w:left w:val="none" w:sz="0" w:space="0" w:color="auto"/>
        <w:bottom w:val="none" w:sz="0" w:space="0" w:color="auto"/>
        <w:right w:val="none" w:sz="0" w:space="0" w:color="auto"/>
      </w:divBdr>
    </w:div>
    <w:div w:id="1426808195">
      <w:bodyDiv w:val="1"/>
      <w:marLeft w:val="0"/>
      <w:marRight w:val="0"/>
      <w:marTop w:val="0"/>
      <w:marBottom w:val="0"/>
      <w:divBdr>
        <w:top w:val="none" w:sz="0" w:space="0" w:color="auto"/>
        <w:left w:val="none" w:sz="0" w:space="0" w:color="auto"/>
        <w:bottom w:val="none" w:sz="0" w:space="0" w:color="auto"/>
        <w:right w:val="none" w:sz="0" w:space="0" w:color="auto"/>
      </w:divBdr>
    </w:div>
    <w:div w:id="1427574470">
      <w:bodyDiv w:val="1"/>
      <w:marLeft w:val="0"/>
      <w:marRight w:val="0"/>
      <w:marTop w:val="0"/>
      <w:marBottom w:val="0"/>
      <w:divBdr>
        <w:top w:val="none" w:sz="0" w:space="0" w:color="auto"/>
        <w:left w:val="none" w:sz="0" w:space="0" w:color="auto"/>
        <w:bottom w:val="none" w:sz="0" w:space="0" w:color="auto"/>
        <w:right w:val="none" w:sz="0" w:space="0" w:color="auto"/>
      </w:divBdr>
    </w:div>
    <w:div w:id="1429350546">
      <w:bodyDiv w:val="1"/>
      <w:marLeft w:val="0"/>
      <w:marRight w:val="0"/>
      <w:marTop w:val="0"/>
      <w:marBottom w:val="0"/>
      <w:divBdr>
        <w:top w:val="none" w:sz="0" w:space="0" w:color="auto"/>
        <w:left w:val="none" w:sz="0" w:space="0" w:color="auto"/>
        <w:bottom w:val="none" w:sz="0" w:space="0" w:color="auto"/>
        <w:right w:val="none" w:sz="0" w:space="0" w:color="auto"/>
      </w:divBdr>
    </w:div>
    <w:div w:id="1429540814">
      <w:bodyDiv w:val="1"/>
      <w:marLeft w:val="0"/>
      <w:marRight w:val="0"/>
      <w:marTop w:val="0"/>
      <w:marBottom w:val="0"/>
      <w:divBdr>
        <w:top w:val="none" w:sz="0" w:space="0" w:color="auto"/>
        <w:left w:val="none" w:sz="0" w:space="0" w:color="auto"/>
        <w:bottom w:val="none" w:sz="0" w:space="0" w:color="auto"/>
        <w:right w:val="none" w:sz="0" w:space="0" w:color="auto"/>
      </w:divBdr>
    </w:div>
    <w:div w:id="1435132024">
      <w:bodyDiv w:val="1"/>
      <w:marLeft w:val="0"/>
      <w:marRight w:val="0"/>
      <w:marTop w:val="0"/>
      <w:marBottom w:val="0"/>
      <w:divBdr>
        <w:top w:val="none" w:sz="0" w:space="0" w:color="auto"/>
        <w:left w:val="none" w:sz="0" w:space="0" w:color="auto"/>
        <w:bottom w:val="none" w:sz="0" w:space="0" w:color="auto"/>
        <w:right w:val="none" w:sz="0" w:space="0" w:color="auto"/>
      </w:divBdr>
    </w:div>
    <w:div w:id="1458523575">
      <w:bodyDiv w:val="1"/>
      <w:marLeft w:val="0"/>
      <w:marRight w:val="0"/>
      <w:marTop w:val="0"/>
      <w:marBottom w:val="0"/>
      <w:divBdr>
        <w:top w:val="none" w:sz="0" w:space="0" w:color="auto"/>
        <w:left w:val="none" w:sz="0" w:space="0" w:color="auto"/>
        <w:bottom w:val="none" w:sz="0" w:space="0" w:color="auto"/>
        <w:right w:val="none" w:sz="0" w:space="0" w:color="auto"/>
      </w:divBdr>
    </w:div>
    <w:div w:id="1459255633">
      <w:bodyDiv w:val="1"/>
      <w:marLeft w:val="0"/>
      <w:marRight w:val="0"/>
      <w:marTop w:val="0"/>
      <w:marBottom w:val="0"/>
      <w:divBdr>
        <w:top w:val="none" w:sz="0" w:space="0" w:color="auto"/>
        <w:left w:val="none" w:sz="0" w:space="0" w:color="auto"/>
        <w:bottom w:val="none" w:sz="0" w:space="0" w:color="auto"/>
        <w:right w:val="none" w:sz="0" w:space="0" w:color="auto"/>
      </w:divBdr>
    </w:div>
    <w:div w:id="1465469837">
      <w:bodyDiv w:val="1"/>
      <w:marLeft w:val="0"/>
      <w:marRight w:val="0"/>
      <w:marTop w:val="0"/>
      <w:marBottom w:val="0"/>
      <w:divBdr>
        <w:top w:val="none" w:sz="0" w:space="0" w:color="auto"/>
        <w:left w:val="none" w:sz="0" w:space="0" w:color="auto"/>
        <w:bottom w:val="none" w:sz="0" w:space="0" w:color="auto"/>
        <w:right w:val="none" w:sz="0" w:space="0" w:color="auto"/>
      </w:divBdr>
    </w:div>
    <w:div w:id="1465848684">
      <w:bodyDiv w:val="1"/>
      <w:marLeft w:val="0"/>
      <w:marRight w:val="0"/>
      <w:marTop w:val="0"/>
      <w:marBottom w:val="0"/>
      <w:divBdr>
        <w:top w:val="none" w:sz="0" w:space="0" w:color="auto"/>
        <w:left w:val="none" w:sz="0" w:space="0" w:color="auto"/>
        <w:bottom w:val="none" w:sz="0" w:space="0" w:color="auto"/>
        <w:right w:val="none" w:sz="0" w:space="0" w:color="auto"/>
      </w:divBdr>
    </w:div>
    <w:div w:id="1468664673">
      <w:bodyDiv w:val="1"/>
      <w:marLeft w:val="0"/>
      <w:marRight w:val="0"/>
      <w:marTop w:val="0"/>
      <w:marBottom w:val="0"/>
      <w:divBdr>
        <w:top w:val="none" w:sz="0" w:space="0" w:color="auto"/>
        <w:left w:val="none" w:sz="0" w:space="0" w:color="auto"/>
        <w:bottom w:val="none" w:sz="0" w:space="0" w:color="auto"/>
        <w:right w:val="none" w:sz="0" w:space="0" w:color="auto"/>
      </w:divBdr>
    </w:div>
    <w:div w:id="1471707789">
      <w:bodyDiv w:val="1"/>
      <w:marLeft w:val="0"/>
      <w:marRight w:val="0"/>
      <w:marTop w:val="0"/>
      <w:marBottom w:val="0"/>
      <w:divBdr>
        <w:top w:val="none" w:sz="0" w:space="0" w:color="auto"/>
        <w:left w:val="none" w:sz="0" w:space="0" w:color="auto"/>
        <w:bottom w:val="none" w:sz="0" w:space="0" w:color="auto"/>
        <w:right w:val="none" w:sz="0" w:space="0" w:color="auto"/>
      </w:divBdr>
    </w:div>
    <w:div w:id="1491091906">
      <w:bodyDiv w:val="1"/>
      <w:marLeft w:val="0"/>
      <w:marRight w:val="0"/>
      <w:marTop w:val="0"/>
      <w:marBottom w:val="0"/>
      <w:divBdr>
        <w:top w:val="none" w:sz="0" w:space="0" w:color="auto"/>
        <w:left w:val="none" w:sz="0" w:space="0" w:color="auto"/>
        <w:bottom w:val="none" w:sz="0" w:space="0" w:color="auto"/>
        <w:right w:val="none" w:sz="0" w:space="0" w:color="auto"/>
      </w:divBdr>
    </w:div>
    <w:div w:id="1491797670">
      <w:bodyDiv w:val="1"/>
      <w:marLeft w:val="0"/>
      <w:marRight w:val="0"/>
      <w:marTop w:val="0"/>
      <w:marBottom w:val="0"/>
      <w:divBdr>
        <w:top w:val="none" w:sz="0" w:space="0" w:color="auto"/>
        <w:left w:val="none" w:sz="0" w:space="0" w:color="auto"/>
        <w:bottom w:val="none" w:sz="0" w:space="0" w:color="auto"/>
        <w:right w:val="none" w:sz="0" w:space="0" w:color="auto"/>
      </w:divBdr>
    </w:div>
    <w:div w:id="1492719019">
      <w:bodyDiv w:val="1"/>
      <w:marLeft w:val="0"/>
      <w:marRight w:val="0"/>
      <w:marTop w:val="0"/>
      <w:marBottom w:val="0"/>
      <w:divBdr>
        <w:top w:val="none" w:sz="0" w:space="0" w:color="auto"/>
        <w:left w:val="none" w:sz="0" w:space="0" w:color="auto"/>
        <w:bottom w:val="none" w:sz="0" w:space="0" w:color="auto"/>
        <w:right w:val="none" w:sz="0" w:space="0" w:color="auto"/>
      </w:divBdr>
    </w:div>
    <w:div w:id="1496334782">
      <w:bodyDiv w:val="1"/>
      <w:marLeft w:val="0"/>
      <w:marRight w:val="0"/>
      <w:marTop w:val="0"/>
      <w:marBottom w:val="0"/>
      <w:divBdr>
        <w:top w:val="none" w:sz="0" w:space="0" w:color="auto"/>
        <w:left w:val="none" w:sz="0" w:space="0" w:color="auto"/>
        <w:bottom w:val="none" w:sz="0" w:space="0" w:color="auto"/>
        <w:right w:val="none" w:sz="0" w:space="0" w:color="auto"/>
      </w:divBdr>
    </w:div>
    <w:div w:id="1500459114">
      <w:bodyDiv w:val="1"/>
      <w:marLeft w:val="0"/>
      <w:marRight w:val="0"/>
      <w:marTop w:val="0"/>
      <w:marBottom w:val="0"/>
      <w:divBdr>
        <w:top w:val="none" w:sz="0" w:space="0" w:color="auto"/>
        <w:left w:val="none" w:sz="0" w:space="0" w:color="auto"/>
        <w:bottom w:val="none" w:sz="0" w:space="0" w:color="auto"/>
        <w:right w:val="none" w:sz="0" w:space="0" w:color="auto"/>
      </w:divBdr>
    </w:div>
    <w:div w:id="1504736836">
      <w:bodyDiv w:val="1"/>
      <w:marLeft w:val="0"/>
      <w:marRight w:val="0"/>
      <w:marTop w:val="0"/>
      <w:marBottom w:val="0"/>
      <w:divBdr>
        <w:top w:val="none" w:sz="0" w:space="0" w:color="auto"/>
        <w:left w:val="none" w:sz="0" w:space="0" w:color="auto"/>
        <w:bottom w:val="none" w:sz="0" w:space="0" w:color="auto"/>
        <w:right w:val="none" w:sz="0" w:space="0" w:color="auto"/>
      </w:divBdr>
    </w:div>
    <w:div w:id="1505243323">
      <w:bodyDiv w:val="1"/>
      <w:marLeft w:val="0"/>
      <w:marRight w:val="0"/>
      <w:marTop w:val="0"/>
      <w:marBottom w:val="0"/>
      <w:divBdr>
        <w:top w:val="none" w:sz="0" w:space="0" w:color="auto"/>
        <w:left w:val="none" w:sz="0" w:space="0" w:color="auto"/>
        <w:bottom w:val="none" w:sz="0" w:space="0" w:color="auto"/>
        <w:right w:val="none" w:sz="0" w:space="0" w:color="auto"/>
      </w:divBdr>
    </w:div>
    <w:div w:id="1506900496">
      <w:bodyDiv w:val="1"/>
      <w:marLeft w:val="0"/>
      <w:marRight w:val="0"/>
      <w:marTop w:val="0"/>
      <w:marBottom w:val="0"/>
      <w:divBdr>
        <w:top w:val="none" w:sz="0" w:space="0" w:color="auto"/>
        <w:left w:val="none" w:sz="0" w:space="0" w:color="auto"/>
        <w:bottom w:val="none" w:sz="0" w:space="0" w:color="auto"/>
        <w:right w:val="none" w:sz="0" w:space="0" w:color="auto"/>
      </w:divBdr>
    </w:div>
    <w:div w:id="1510362707">
      <w:bodyDiv w:val="1"/>
      <w:marLeft w:val="0"/>
      <w:marRight w:val="0"/>
      <w:marTop w:val="0"/>
      <w:marBottom w:val="0"/>
      <w:divBdr>
        <w:top w:val="none" w:sz="0" w:space="0" w:color="auto"/>
        <w:left w:val="none" w:sz="0" w:space="0" w:color="auto"/>
        <w:bottom w:val="none" w:sz="0" w:space="0" w:color="auto"/>
        <w:right w:val="none" w:sz="0" w:space="0" w:color="auto"/>
      </w:divBdr>
    </w:div>
    <w:div w:id="1514343263">
      <w:bodyDiv w:val="1"/>
      <w:marLeft w:val="0"/>
      <w:marRight w:val="0"/>
      <w:marTop w:val="0"/>
      <w:marBottom w:val="0"/>
      <w:divBdr>
        <w:top w:val="none" w:sz="0" w:space="0" w:color="auto"/>
        <w:left w:val="none" w:sz="0" w:space="0" w:color="auto"/>
        <w:bottom w:val="none" w:sz="0" w:space="0" w:color="auto"/>
        <w:right w:val="none" w:sz="0" w:space="0" w:color="auto"/>
      </w:divBdr>
    </w:div>
    <w:div w:id="1519464566">
      <w:bodyDiv w:val="1"/>
      <w:marLeft w:val="0"/>
      <w:marRight w:val="0"/>
      <w:marTop w:val="0"/>
      <w:marBottom w:val="0"/>
      <w:divBdr>
        <w:top w:val="none" w:sz="0" w:space="0" w:color="auto"/>
        <w:left w:val="none" w:sz="0" w:space="0" w:color="auto"/>
        <w:bottom w:val="none" w:sz="0" w:space="0" w:color="auto"/>
        <w:right w:val="none" w:sz="0" w:space="0" w:color="auto"/>
      </w:divBdr>
    </w:div>
    <w:div w:id="1524200791">
      <w:bodyDiv w:val="1"/>
      <w:marLeft w:val="0"/>
      <w:marRight w:val="0"/>
      <w:marTop w:val="0"/>
      <w:marBottom w:val="0"/>
      <w:divBdr>
        <w:top w:val="none" w:sz="0" w:space="0" w:color="auto"/>
        <w:left w:val="none" w:sz="0" w:space="0" w:color="auto"/>
        <w:bottom w:val="none" w:sz="0" w:space="0" w:color="auto"/>
        <w:right w:val="none" w:sz="0" w:space="0" w:color="auto"/>
      </w:divBdr>
    </w:div>
    <w:div w:id="1533105400">
      <w:bodyDiv w:val="1"/>
      <w:marLeft w:val="0"/>
      <w:marRight w:val="0"/>
      <w:marTop w:val="0"/>
      <w:marBottom w:val="0"/>
      <w:divBdr>
        <w:top w:val="none" w:sz="0" w:space="0" w:color="auto"/>
        <w:left w:val="none" w:sz="0" w:space="0" w:color="auto"/>
        <w:bottom w:val="none" w:sz="0" w:space="0" w:color="auto"/>
        <w:right w:val="none" w:sz="0" w:space="0" w:color="auto"/>
      </w:divBdr>
    </w:div>
    <w:div w:id="1533106902">
      <w:bodyDiv w:val="1"/>
      <w:marLeft w:val="0"/>
      <w:marRight w:val="0"/>
      <w:marTop w:val="0"/>
      <w:marBottom w:val="0"/>
      <w:divBdr>
        <w:top w:val="none" w:sz="0" w:space="0" w:color="auto"/>
        <w:left w:val="none" w:sz="0" w:space="0" w:color="auto"/>
        <w:bottom w:val="none" w:sz="0" w:space="0" w:color="auto"/>
        <w:right w:val="none" w:sz="0" w:space="0" w:color="auto"/>
      </w:divBdr>
    </w:div>
    <w:div w:id="1539707696">
      <w:bodyDiv w:val="1"/>
      <w:marLeft w:val="0"/>
      <w:marRight w:val="0"/>
      <w:marTop w:val="0"/>
      <w:marBottom w:val="0"/>
      <w:divBdr>
        <w:top w:val="none" w:sz="0" w:space="0" w:color="auto"/>
        <w:left w:val="none" w:sz="0" w:space="0" w:color="auto"/>
        <w:bottom w:val="none" w:sz="0" w:space="0" w:color="auto"/>
        <w:right w:val="none" w:sz="0" w:space="0" w:color="auto"/>
      </w:divBdr>
    </w:div>
    <w:div w:id="1540166690">
      <w:bodyDiv w:val="1"/>
      <w:marLeft w:val="0"/>
      <w:marRight w:val="0"/>
      <w:marTop w:val="0"/>
      <w:marBottom w:val="0"/>
      <w:divBdr>
        <w:top w:val="none" w:sz="0" w:space="0" w:color="auto"/>
        <w:left w:val="none" w:sz="0" w:space="0" w:color="auto"/>
        <w:bottom w:val="none" w:sz="0" w:space="0" w:color="auto"/>
        <w:right w:val="none" w:sz="0" w:space="0" w:color="auto"/>
      </w:divBdr>
    </w:div>
    <w:div w:id="1548760092">
      <w:bodyDiv w:val="1"/>
      <w:marLeft w:val="0"/>
      <w:marRight w:val="0"/>
      <w:marTop w:val="0"/>
      <w:marBottom w:val="0"/>
      <w:divBdr>
        <w:top w:val="none" w:sz="0" w:space="0" w:color="auto"/>
        <w:left w:val="none" w:sz="0" w:space="0" w:color="auto"/>
        <w:bottom w:val="none" w:sz="0" w:space="0" w:color="auto"/>
        <w:right w:val="none" w:sz="0" w:space="0" w:color="auto"/>
      </w:divBdr>
    </w:div>
    <w:div w:id="1560358775">
      <w:bodyDiv w:val="1"/>
      <w:marLeft w:val="0"/>
      <w:marRight w:val="0"/>
      <w:marTop w:val="0"/>
      <w:marBottom w:val="0"/>
      <w:divBdr>
        <w:top w:val="none" w:sz="0" w:space="0" w:color="auto"/>
        <w:left w:val="none" w:sz="0" w:space="0" w:color="auto"/>
        <w:bottom w:val="none" w:sz="0" w:space="0" w:color="auto"/>
        <w:right w:val="none" w:sz="0" w:space="0" w:color="auto"/>
      </w:divBdr>
    </w:div>
    <w:div w:id="1565028252">
      <w:bodyDiv w:val="1"/>
      <w:marLeft w:val="0"/>
      <w:marRight w:val="0"/>
      <w:marTop w:val="0"/>
      <w:marBottom w:val="0"/>
      <w:divBdr>
        <w:top w:val="none" w:sz="0" w:space="0" w:color="auto"/>
        <w:left w:val="none" w:sz="0" w:space="0" w:color="auto"/>
        <w:bottom w:val="none" w:sz="0" w:space="0" w:color="auto"/>
        <w:right w:val="none" w:sz="0" w:space="0" w:color="auto"/>
      </w:divBdr>
    </w:div>
    <w:div w:id="1565682613">
      <w:bodyDiv w:val="1"/>
      <w:marLeft w:val="0"/>
      <w:marRight w:val="0"/>
      <w:marTop w:val="0"/>
      <w:marBottom w:val="0"/>
      <w:divBdr>
        <w:top w:val="none" w:sz="0" w:space="0" w:color="auto"/>
        <w:left w:val="none" w:sz="0" w:space="0" w:color="auto"/>
        <w:bottom w:val="none" w:sz="0" w:space="0" w:color="auto"/>
        <w:right w:val="none" w:sz="0" w:space="0" w:color="auto"/>
      </w:divBdr>
    </w:div>
    <w:div w:id="1568420211">
      <w:bodyDiv w:val="1"/>
      <w:marLeft w:val="0"/>
      <w:marRight w:val="0"/>
      <w:marTop w:val="0"/>
      <w:marBottom w:val="0"/>
      <w:divBdr>
        <w:top w:val="none" w:sz="0" w:space="0" w:color="auto"/>
        <w:left w:val="none" w:sz="0" w:space="0" w:color="auto"/>
        <w:bottom w:val="none" w:sz="0" w:space="0" w:color="auto"/>
        <w:right w:val="none" w:sz="0" w:space="0" w:color="auto"/>
      </w:divBdr>
    </w:div>
    <w:div w:id="1572999933">
      <w:bodyDiv w:val="1"/>
      <w:marLeft w:val="0"/>
      <w:marRight w:val="0"/>
      <w:marTop w:val="0"/>
      <w:marBottom w:val="0"/>
      <w:divBdr>
        <w:top w:val="none" w:sz="0" w:space="0" w:color="auto"/>
        <w:left w:val="none" w:sz="0" w:space="0" w:color="auto"/>
        <w:bottom w:val="none" w:sz="0" w:space="0" w:color="auto"/>
        <w:right w:val="none" w:sz="0" w:space="0" w:color="auto"/>
      </w:divBdr>
    </w:div>
    <w:div w:id="1576739689">
      <w:bodyDiv w:val="1"/>
      <w:marLeft w:val="0"/>
      <w:marRight w:val="0"/>
      <w:marTop w:val="0"/>
      <w:marBottom w:val="0"/>
      <w:divBdr>
        <w:top w:val="none" w:sz="0" w:space="0" w:color="auto"/>
        <w:left w:val="none" w:sz="0" w:space="0" w:color="auto"/>
        <w:bottom w:val="none" w:sz="0" w:space="0" w:color="auto"/>
        <w:right w:val="none" w:sz="0" w:space="0" w:color="auto"/>
      </w:divBdr>
    </w:div>
    <w:div w:id="1578713036">
      <w:bodyDiv w:val="1"/>
      <w:marLeft w:val="0"/>
      <w:marRight w:val="0"/>
      <w:marTop w:val="0"/>
      <w:marBottom w:val="0"/>
      <w:divBdr>
        <w:top w:val="none" w:sz="0" w:space="0" w:color="auto"/>
        <w:left w:val="none" w:sz="0" w:space="0" w:color="auto"/>
        <w:bottom w:val="none" w:sz="0" w:space="0" w:color="auto"/>
        <w:right w:val="none" w:sz="0" w:space="0" w:color="auto"/>
      </w:divBdr>
    </w:div>
    <w:div w:id="1582332644">
      <w:bodyDiv w:val="1"/>
      <w:marLeft w:val="0"/>
      <w:marRight w:val="0"/>
      <w:marTop w:val="0"/>
      <w:marBottom w:val="0"/>
      <w:divBdr>
        <w:top w:val="none" w:sz="0" w:space="0" w:color="auto"/>
        <w:left w:val="none" w:sz="0" w:space="0" w:color="auto"/>
        <w:bottom w:val="none" w:sz="0" w:space="0" w:color="auto"/>
        <w:right w:val="none" w:sz="0" w:space="0" w:color="auto"/>
      </w:divBdr>
    </w:div>
    <w:div w:id="1585259700">
      <w:bodyDiv w:val="1"/>
      <w:marLeft w:val="0"/>
      <w:marRight w:val="0"/>
      <w:marTop w:val="0"/>
      <w:marBottom w:val="0"/>
      <w:divBdr>
        <w:top w:val="none" w:sz="0" w:space="0" w:color="auto"/>
        <w:left w:val="none" w:sz="0" w:space="0" w:color="auto"/>
        <w:bottom w:val="none" w:sz="0" w:space="0" w:color="auto"/>
        <w:right w:val="none" w:sz="0" w:space="0" w:color="auto"/>
      </w:divBdr>
    </w:div>
    <w:div w:id="1585721399">
      <w:bodyDiv w:val="1"/>
      <w:marLeft w:val="0"/>
      <w:marRight w:val="0"/>
      <w:marTop w:val="0"/>
      <w:marBottom w:val="0"/>
      <w:divBdr>
        <w:top w:val="none" w:sz="0" w:space="0" w:color="auto"/>
        <w:left w:val="none" w:sz="0" w:space="0" w:color="auto"/>
        <w:bottom w:val="none" w:sz="0" w:space="0" w:color="auto"/>
        <w:right w:val="none" w:sz="0" w:space="0" w:color="auto"/>
      </w:divBdr>
    </w:div>
    <w:div w:id="1591815150">
      <w:bodyDiv w:val="1"/>
      <w:marLeft w:val="0"/>
      <w:marRight w:val="0"/>
      <w:marTop w:val="0"/>
      <w:marBottom w:val="0"/>
      <w:divBdr>
        <w:top w:val="none" w:sz="0" w:space="0" w:color="auto"/>
        <w:left w:val="none" w:sz="0" w:space="0" w:color="auto"/>
        <w:bottom w:val="none" w:sz="0" w:space="0" w:color="auto"/>
        <w:right w:val="none" w:sz="0" w:space="0" w:color="auto"/>
      </w:divBdr>
    </w:div>
    <w:div w:id="1593782196">
      <w:bodyDiv w:val="1"/>
      <w:marLeft w:val="0"/>
      <w:marRight w:val="0"/>
      <w:marTop w:val="0"/>
      <w:marBottom w:val="0"/>
      <w:divBdr>
        <w:top w:val="none" w:sz="0" w:space="0" w:color="auto"/>
        <w:left w:val="none" w:sz="0" w:space="0" w:color="auto"/>
        <w:bottom w:val="none" w:sz="0" w:space="0" w:color="auto"/>
        <w:right w:val="none" w:sz="0" w:space="0" w:color="auto"/>
      </w:divBdr>
    </w:div>
    <w:div w:id="1593974398">
      <w:bodyDiv w:val="1"/>
      <w:marLeft w:val="0"/>
      <w:marRight w:val="0"/>
      <w:marTop w:val="0"/>
      <w:marBottom w:val="0"/>
      <w:divBdr>
        <w:top w:val="none" w:sz="0" w:space="0" w:color="auto"/>
        <w:left w:val="none" w:sz="0" w:space="0" w:color="auto"/>
        <w:bottom w:val="none" w:sz="0" w:space="0" w:color="auto"/>
        <w:right w:val="none" w:sz="0" w:space="0" w:color="auto"/>
      </w:divBdr>
    </w:div>
    <w:div w:id="1597978001">
      <w:bodyDiv w:val="1"/>
      <w:marLeft w:val="0"/>
      <w:marRight w:val="0"/>
      <w:marTop w:val="0"/>
      <w:marBottom w:val="0"/>
      <w:divBdr>
        <w:top w:val="none" w:sz="0" w:space="0" w:color="auto"/>
        <w:left w:val="none" w:sz="0" w:space="0" w:color="auto"/>
        <w:bottom w:val="none" w:sz="0" w:space="0" w:color="auto"/>
        <w:right w:val="none" w:sz="0" w:space="0" w:color="auto"/>
      </w:divBdr>
    </w:div>
    <w:div w:id="1598324078">
      <w:bodyDiv w:val="1"/>
      <w:marLeft w:val="0"/>
      <w:marRight w:val="0"/>
      <w:marTop w:val="0"/>
      <w:marBottom w:val="0"/>
      <w:divBdr>
        <w:top w:val="none" w:sz="0" w:space="0" w:color="auto"/>
        <w:left w:val="none" w:sz="0" w:space="0" w:color="auto"/>
        <w:bottom w:val="none" w:sz="0" w:space="0" w:color="auto"/>
        <w:right w:val="none" w:sz="0" w:space="0" w:color="auto"/>
      </w:divBdr>
    </w:div>
    <w:div w:id="1599559126">
      <w:bodyDiv w:val="1"/>
      <w:marLeft w:val="0"/>
      <w:marRight w:val="0"/>
      <w:marTop w:val="0"/>
      <w:marBottom w:val="0"/>
      <w:divBdr>
        <w:top w:val="none" w:sz="0" w:space="0" w:color="auto"/>
        <w:left w:val="none" w:sz="0" w:space="0" w:color="auto"/>
        <w:bottom w:val="none" w:sz="0" w:space="0" w:color="auto"/>
        <w:right w:val="none" w:sz="0" w:space="0" w:color="auto"/>
      </w:divBdr>
    </w:div>
    <w:div w:id="1601641314">
      <w:bodyDiv w:val="1"/>
      <w:marLeft w:val="0"/>
      <w:marRight w:val="0"/>
      <w:marTop w:val="0"/>
      <w:marBottom w:val="0"/>
      <w:divBdr>
        <w:top w:val="none" w:sz="0" w:space="0" w:color="auto"/>
        <w:left w:val="none" w:sz="0" w:space="0" w:color="auto"/>
        <w:bottom w:val="none" w:sz="0" w:space="0" w:color="auto"/>
        <w:right w:val="none" w:sz="0" w:space="0" w:color="auto"/>
      </w:divBdr>
    </w:div>
    <w:div w:id="1609198180">
      <w:bodyDiv w:val="1"/>
      <w:marLeft w:val="0"/>
      <w:marRight w:val="0"/>
      <w:marTop w:val="0"/>
      <w:marBottom w:val="0"/>
      <w:divBdr>
        <w:top w:val="none" w:sz="0" w:space="0" w:color="auto"/>
        <w:left w:val="none" w:sz="0" w:space="0" w:color="auto"/>
        <w:bottom w:val="none" w:sz="0" w:space="0" w:color="auto"/>
        <w:right w:val="none" w:sz="0" w:space="0" w:color="auto"/>
      </w:divBdr>
    </w:div>
    <w:div w:id="1609389598">
      <w:bodyDiv w:val="1"/>
      <w:marLeft w:val="0"/>
      <w:marRight w:val="0"/>
      <w:marTop w:val="0"/>
      <w:marBottom w:val="0"/>
      <w:divBdr>
        <w:top w:val="none" w:sz="0" w:space="0" w:color="auto"/>
        <w:left w:val="none" w:sz="0" w:space="0" w:color="auto"/>
        <w:bottom w:val="none" w:sz="0" w:space="0" w:color="auto"/>
        <w:right w:val="none" w:sz="0" w:space="0" w:color="auto"/>
      </w:divBdr>
    </w:div>
    <w:div w:id="1625620595">
      <w:bodyDiv w:val="1"/>
      <w:marLeft w:val="0"/>
      <w:marRight w:val="0"/>
      <w:marTop w:val="0"/>
      <w:marBottom w:val="0"/>
      <w:divBdr>
        <w:top w:val="none" w:sz="0" w:space="0" w:color="auto"/>
        <w:left w:val="none" w:sz="0" w:space="0" w:color="auto"/>
        <w:bottom w:val="none" w:sz="0" w:space="0" w:color="auto"/>
        <w:right w:val="none" w:sz="0" w:space="0" w:color="auto"/>
      </w:divBdr>
    </w:div>
    <w:div w:id="1649898413">
      <w:bodyDiv w:val="1"/>
      <w:marLeft w:val="0"/>
      <w:marRight w:val="0"/>
      <w:marTop w:val="0"/>
      <w:marBottom w:val="0"/>
      <w:divBdr>
        <w:top w:val="none" w:sz="0" w:space="0" w:color="auto"/>
        <w:left w:val="none" w:sz="0" w:space="0" w:color="auto"/>
        <w:bottom w:val="none" w:sz="0" w:space="0" w:color="auto"/>
        <w:right w:val="none" w:sz="0" w:space="0" w:color="auto"/>
      </w:divBdr>
    </w:div>
    <w:div w:id="1653752460">
      <w:bodyDiv w:val="1"/>
      <w:marLeft w:val="0"/>
      <w:marRight w:val="0"/>
      <w:marTop w:val="0"/>
      <w:marBottom w:val="0"/>
      <w:divBdr>
        <w:top w:val="none" w:sz="0" w:space="0" w:color="auto"/>
        <w:left w:val="none" w:sz="0" w:space="0" w:color="auto"/>
        <w:bottom w:val="none" w:sz="0" w:space="0" w:color="auto"/>
        <w:right w:val="none" w:sz="0" w:space="0" w:color="auto"/>
      </w:divBdr>
    </w:div>
    <w:div w:id="1654480574">
      <w:bodyDiv w:val="1"/>
      <w:marLeft w:val="0"/>
      <w:marRight w:val="0"/>
      <w:marTop w:val="0"/>
      <w:marBottom w:val="0"/>
      <w:divBdr>
        <w:top w:val="none" w:sz="0" w:space="0" w:color="auto"/>
        <w:left w:val="none" w:sz="0" w:space="0" w:color="auto"/>
        <w:bottom w:val="none" w:sz="0" w:space="0" w:color="auto"/>
        <w:right w:val="none" w:sz="0" w:space="0" w:color="auto"/>
      </w:divBdr>
    </w:div>
    <w:div w:id="1656570620">
      <w:bodyDiv w:val="1"/>
      <w:marLeft w:val="0"/>
      <w:marRight w:val="0"/>
      <w:marTop w:val="0"/>
      <w:marBottom w:val="0"/>
      <w:divBdr>
        <w:top w:val="none" w:sz="0" w:space="0" w:color="auto"/>
        <w:left w:val="none" w:sz="0" w:space="0" w:color="auto"/>
        <w:bottom w:val="none" w:sz="0" w:space="0" w:color="auto"/>
        <w:right w:val="none" w:sz="0" w:space="0" w:color="auto"/>
      </w:divBdr>
    </w:div>
    <w:div w:id="1663704206">
      <w:bodyDiv w:val="1"/>
      <w:marLeft w:val="0"/>
      <w:marRight w:val="0"/>
      <w:marTop w:val="0"/>
      <w:marBottom w:val="0"/>
      <w:divBdr>
        <w:top w:val="none" w:sz="0" w:space="0" w:color="auto"/>
        <w:left w:val="none" w:sz="0" w:space="0" w:color="auto"/>
        <w:bottom w:val="none" w:sz="0" w:space="0" w:color="auto"/>
        <w:right w:val="none" w:sz="0" w:space="0" w:color="auto"/>
      </w:divBdr>
    </w:div>
    <w:div w:id="1667049719">
      <w:bodyDiv w:val="1"/>
      <w:marLeft w:val="0"/>
      <w:marRight w:val="0"/>
      <w:marTop w:val="0"/>
      <w:marBottom w:val="0"/>
      <w:divBdr>
        <w:top w:val="none" w:sz="0" w:space="0" w:color="auto"/>
        <w:left w:val="none" w:sz="0" w:space="0" w:color="auto"/>
        <w:bottom w:val="none" w:sz="0" w:space="0" w:color="auto"/>
        <w:right w:val="none" w:sz="0" w:space="0" w:color="auto"/>
      </w:divBdr>
    </w:div>
    <w:div w:id="1670137550">
      <w:bodyDiv w:val="1"/>
      <w:marLeft w:val="0"/>
      <w:marRight w:val="0"/>
      <w:marTop w:val="0"/>
      <w:marBottom w:val="0"/>
      <w:divBdr>
        <w:top w:val="none" w:sz="0" w:space="0" w:color="auto"/>
        <w:left w:val="none" w:sz="0" w:space="0" w:color="auto"/>
        <w:bottom w:val="none" w:sz="0" w:space="0" w:color="auto"/>
        <w:right w:val="none" w:sz="0" w:space="0" w:color="auto"/>
      </w:divBdr>
    </w:div>
    <w:div w:id="1676110244">
      <w:bodyDiv w:val="1"/>
      <w:marLeft w:val="0"/>
      <w:marRight w:val="0"/>
      <w:marTop w:val="0"/>
      <w:marBottom w:val="0"/>
      <w:divBdr>
        <w:top w:val="none" w:sz="0" w:space="0" w:color="auto"/>
        <w:left w:val="none" w:sz="0" w:space="0" w:color="auto"/>
        <w:bottom w:val="none" w:sz="0" w:space="0" w:color="auto"/>
        <w:right w:val="none" w:sz="0" w:space="0" w:color="auto"/>
      </w:divBdr>
    </w:div>
    <w:div w:id="1680546646">
      <w:bodyDiv w:val="1"/>
      <w:marLeft w:val="0"/>
      <w:marRight w:val="0"/>
      <w:marTop w:val="0"/>
      <w:marBottom w:val="0"/>
      <w:divBdr>
        <w:top w:val="none" w:sz="0" w:space="0" w:color="auto"/>
        <w:left w:val="none" w:sz="0" w:space="0" w:color="auto"/>
        <w:bottom w:val="none" w:sz="0" w:space="0" w:color="auto"/>
        <w:right w:val="none" w:sz="0" w:space="0" w:color="auto"/>
      </w:divBdr>
    </w:div>
    <w:div w:id="1681082377">
      <w:bodyDiv w:val="1"/>
      <w:marLeft w:val="0"/>
      <w:marRight w:val="0"/>
      <w:marTop w:val="0"/>
      <w:marBottom w:val="0"/>
      <w:divBdr>
        <w:top w:val="none" w:sz="0" w:space="0" w:color="auto"/>
        <w:left w:val="none" w:sz="0" w:space="0" w:color="auto"/>
        <w:bottom w:val="none" w:sz="0" w:space="0" w:color="auto"/>
        <w:right w:val="none" w:sz="0" w:space="0" w:color="auto"/>
      </w:divBdr>
    </w:div>
    <w:div w:id="1686439079">
      <w:bodyDiv w:val="1"/>
      <w:marLeft w:val="0"/>
      <w:marRight w:val="0"/>
      <w:marTop w:val="0"/>
      <w:marBottom w:val="0"/>
      <w:divBdr>
        <w:top w:val="none" w:sz="0" w:space="0" w:color="auto"/>
        <w:left w:val="none" w:sz="0" w:space="0" w:color="auto"/>
        <w:bottom w:val="none" w:sz="0" w:space="0" w:color="auto"/>
        <w:right w:val="none" w:sz="0" w:space="0" w:color="auto"/>
      </w:divBdr>
    </w:div>
    <w:div w:id="1690453345">
      <w:bodyDiv w:val="1"/>
      <w:marLeft w:val="0"/>
      <w:marRight w:val="0"/>
      <w:marTop w:val="0"/>
      <w:marBottom w:val="0"/>
      <w:divBdr>
        <w:top w:val="none" w:sz="0" w:space="0" w:color="auto"/>
        <w:left w:val="none" w:sz="0" w:space="0" w:color="auto"/>
        <w:bottom w:val="none" w:sz="0" w:space="0" w:color="auto"/>
        <w:right w:val="none" w:sz="0" w:space="0" w:color="auto"/>
      </w:divBdr>
    </w:div>
    <w:div w:id="1696153453">
      <w:bodyDiv w:val="1"/>
      <w:marLeft w:val="0"/>
      <w:marRight w:val="0"/>
      <w:marTop w:val="0"/>
      <w:marBottom w:val="0"/>
      <w:divBdr>
        <w:top w:val="none" w:sz="0" w:space="0" w:color="auto"/>
        <w:left w:val="none" w:sz="0" w:space="0" w:color="auto"/>
        <w:bottom w:val="none" w:sz="0" w:space="0" w:color="auto"/>
        <w:right w:val="none" w:sz="0" w:space="0" w:color="auto"/>
      </w:divBdr>
    </w:div>
    <w:div w:id="1703825117">
      <w:bodyDiv w:val="1"/>
      <w:marLeft w:val="0"/>
      <w:marRight w:val="0"/>
      <w:marTop w:val="0"/>
      <w:marBottom w:val="0"/>
      <w:divBdr>
        <w:top w:val="none" w:sz="0" w:space="0" w:color="auto"/>
        <w:left w:val="none" w:sz="0" w:space="0" w:color="auto"/>
        <w:bottom w:val="none" w:sz="0" w:space="0" w:color="auto"/>
        <w:right w:val="none" w:sz="0" w:space="0" w:color="auto"/>
      </w:divBdr>
    </w:div>
    <w:div w:id="1709143364">
      <w:bodyDiv w:val="1"/>
      <w:marLeft w:val="0"/>
      <w:marRight w:val="0"/>
      <w:marTop w:val="0"/>
      <w:marBottom w:val="0"/>
      <w:divBdr>
        <w:top w:val="none" w:sz="0" w:space="0" w:color="auto"/>
        <w:left w:val="none" w:sz="0" w:space="0" w:color="auto"/>
        <w:bottom w:val="none" w:sz="0" w:space="0" w:color="auto"/>
        <w:right w:val="none" w:sz="0" w:space="0" w:color="auto"/>
      </w:divBdr>
    </w:div>
    <w:div w:id="1711220091">
      <w:bodyDiv w:val="1"/>
      <w:marLeft w:val="0"/>
      <w:marRight w:val="0"/>
      <w:marTop w:val="0"/>
      <w:marBottom w:val="0"/>
      <w:divBdr>
        <w:top w:val="none" w:sz="0" w:space="0" w:color="auto"/>
        <w:left w:val="none" w:sz="0" w:space="0" w:color="auto"/>
        <w:bottom w:val="none" w:sz="0" w:space="0" w:color="auto"/>
        <w:right w:val="none" w:sz="0" w:space="0" w:color="auto"/>
      </w:divBdr>
    </w:div>
    <w:div w:id="1720087713">
      <w:bodyDiv w:val="1"/>
      <w:marLeft w:val="0"/>
      <w:marRight w:val="0"/>
      <w:marTop w:val="0"/>
      <w:marBottom w:val="0"/>
      <w:divBdr>
        <w:top w:val="none" w:sz="0" w:space="0" w:color="auto"/>
        <w:left w:val="none" w:sz="0" w:space="0" w:color="auto"/>
        <w:bottom w:val="none" w:sz="0" w:space="0" w:color="auto"/>
        <w:right w:val="none" w:sz="0" w:space="0" w:color="auto"/>
      </w:divBdr>
    </w:div>
    <w:div w:id="1728990119">
      <w:bodyDiv w:val="1"/>
      <w:marLeft w:val="0"/>
      <w:marRight w:val="0"/>
      <w:marTop w:val="0"/>
      <w:marBottom w:val="0"/>
      <w:divBdr>
        <w:top w:val="none" w:sz="0" w:space="0" w:color="auto"/>
        <w:left w:val="none" w:sz="0" w:space="0" w:color="auto"/>
        <w:bottom w:val="none" w:sz="0" w:space="0" w:color="auto"/>
        <w:right w:val="none" w:sz="0" w:space="0" w:color="auto"/>
      </w:divBdr>
    </w:div>
    <w:div w:id="1730766874">
      <w:bodyDiv w:val="1"/>
      <w:marLeft w:val="0"/>
      <w:marRight w:val="0"/>
      <w:marTop w:val="0"/>
      <w:marBottom w:val="0"/>
      <w:divBdr>
        <w:top w:val="none" w:sz="0" w:space="0" w:color="auto"/>
        <w:left w:val="none" w:sz="0" w:space="0" w:color="auto"/>
        <w:bottom w:val="none" w:sz="0" w:space="0" w:color="auto"/>
        <w:right w:val="none" w:sz="0" w:space="0" w:color="auto"/>
      </w:divBdr>
    </w:div>
    <w:div w:id="1732995312">
      <w:bodyDiv w:val="1"/>
      <w:marLeft w:val="0"/>
      <w:marRight w:val="0"/>
      <w:marTop w:val="0"/>
      <w:marBottom w:val="0"/>
      <w:divBdr>
        <w:top w:val="none" w:sz="0" w:space="0" w:color="auto"/>
        <w:left w:val="none" w:sz="0" w:space="0" w:color="auto"/>
        <w:bottom w:val="none" w:sz="0" w:space="0" w:color="auto"/>
        <w:right w:val="none" w:sz="0" w:space="0" w:color="auto"/>
      </w:divBdr>
    </w:div>
    <w:div w:id="1737781656">
      <w:bodyDiv w:val="1"/>
      <w:marLeft w:val="0"/>
      <w:marRight w:val="0"/>
      <w:marTop w:val="0"/>
      <w:marBottom w:val="0"/>
      <w:divBdr>
        <w:top w:val="none" w:sz="0" w:space="0" w:color="auto"/>
        <w:left w:val="none" w:sz="0" w:space="0" w:color="auto"/>
        <w:bottom w:val="none" w:sz="0" w:space="0" w:color="auto"/>
        <w:right w:val="none" w:sz="0" w:space="0" w:color="auto"/>
      </w:divBdr>
    </w:div>
    <w:div w:id="1737969766">
      <w:bodyDiv w:val="1"/>
      <w:marLeft w:val="0"/>
      <w:marRight w:val="0"/>
      <w:marTop w:val="0"/>
      <w:marBottom w:val="0"/>
      <w:divBdr>
        <w:top w:val="none" w:sz="0" w:space="0" w:color="auto"/>
        <w:left w:val="none" w:sz="0" w:space="0" w:color="auto"/>
        <w:bottom w:val="none" w:sz="0" w:space="0" w:color="auto"/>
        <w:right w:val="none" w:sz="0" w:space="0" w:color="auto"/>
      </w:divBdr>
    </w:div>
    <w:div w:id="1738825401">
      <w:bodyDiv w:val="1"/>
      <w:marLeft w:val="0"/>
      <w:marRight w:val="0"/>
      <w:marTop w:val="0"/>
      <w:marBottom w:val="0"/>
      <w:divBdr>
        <w:top w:val="none" w:sz="0" w:space="0" w:color="auto"/>
        <w:left w:val="none" w:sz="0" w:space="0" w:color="auto"/>
        <w:bottom w:val="none" w:sz="0" w:space="0" w:color="auto"/>
        <w:right w:val="none" w:sz="0" w:space="0" w:color="auto"/>
      </w:divBdr>
    </w:div>
    <w:div w:id="1740980431">
      <w:bodyDiv w:val="1"/>
      <w:marLeft w:val="0"/>
      <w:marRight w:val="0"/>
      <w:marTop w:val="0"/>
      <w:marBottom w:val="0"/>
      <w:divBdr>
        <w:top w:val="none" w:sz="0" w:space="0" w:color="auto"/>
        <w:left w:val="none" w:sz="0" w:space="0" w:color="auto"/>
        <w:bottom w:val="none" w:sz="0" w:space="0" w:color="auto"/>
        <w:right w:val="none" w:sz="0" w:space="0" w:color="auto"/>
      </w:divBdr>
    </w:div>
    <w:div w:id="1741126009">
      <w:bodyDiv w:val="1"/>
      <w:marLeft w:val="0"/>
      <w:marRight w:val="0"/>
      <w:marTop w:val="0"/>
      <w:marBottom w:val="0"/>
      <w:divBdr>
        <w:top w:val="none" w:sz="0" w:space="0" w:color="auto"/>
        <w:left w:val="none" w:sz="0" w:space="0" w:color="auto"/>
        <w:bottom w:val="none" w:sz="0" w:space="0" w:color="auto"/>
        <w:right w:val="none" w:sz="0" w:space="0" w:color="auto"/>
      </w:divBdr>
    </w:div>
    <w:div w:id="1743797775">
      <w:bodyDiv w:val="1"/>
      <w:marLeft w:val="0"/>
      <w:marRight w:val="0"/>
      <w:marTop w:val="0"/>
      <w:marBottom w:val="0"/>
      <w:divBdr>
        <w:top w:val="none" w:sz="0" w:space="0" w:color="auto"/>
        <w:left w:val="none" w:sz="0" w:space="0" w:color="auto"/>
        <w:bottom w:val="none" w:sz="0" w:space="0" w:color="auto"/>
        <w:right w:val="none" w:sz="0" w:space="0" w:color="auto"/>
      </w:divBdr>
    </w:div>
    <w:div w:id="1750999055">
      <w:bodyDiv w:val="1"/>
      <w:marLeft w:val="0"/>
      <w:marRight w:val="0"/>
      <w:marTop w:val="0"/>
      <w:marBottom w:val="0"/>
      <w:divBdr>
        <w:top w:val="none" w:sz="0" w:space="0" w:color="auto"/>
        <w:left w:val="none" w:sz="0" w:space="0" w:color="auto"/>
        <w:bottom w:val="none" w:sz="0" w:space="0" w:color="auto"/>
        <w:right w:val="none" w:sz="0" w:space="0" w:color="auto"/>
      </w:divBdr>
    </w:div>
    <w:div w:id="1755319218">
      <w:bodyDiv w:val="1"/>
      <w:marLeft w:val="0"/>
      <w:marRight w:val="0"/>
      <w:marTop w:val="0"/>
      <w:marBottom w:val="0"/>
      <w:divBdr>
        <w:top w:val="none" w:sz="0" w:space="0" w:color="auto"/>
        <w:left w:val="none" w:sz="0" w:space="0" w:color="auto"/>
        <w:bottom w:val="none" w:sz="0" w:space="0" w:color="auto"/>
        <w:right w:val="none" w:sz="0" w:space="0" w:color="auto"/>
      </w:divBdr>
    </w:div>
    <w:div w:id="1760712025">
      <w:bodyDiv w:val="1"/>
      <w:marLeft w:val="0"/>
      <w:marRight w:val="0"/>
      <w:marTop w:val="0"/>
      <w:marBottom w:val="0"/>
      <w:divBdr>
        <w:top w:val="none" w:sz="0" w:space="0" w:color="auto"/>
        <w:left w:val="none" w:sz="0" w:space="0" w:color="auto"/>
        <w:bottom w:val="none" w:sz="0" w:space="0" w:color="auto"/>
        <w:right w:val="none" w:sz="0" w:space="0" w:color="auto"/>
      </w:divBdr>
    </w:div>
    <w:div w:id="1764302481">
      <w:bodyDiv w:val="1"/>
      <w:marLeft w:val="0"/>
      <w:marRight w:val="0"/>
      <w:marTop w:val="0"/>
      <w:marBottom w:val="0"/>
      <w:divBdr>
        <w:top w:val="none" w:sz="0" w:space="0" w:color="auto"/>
        <w:left w:val="none" w:sz="0" w:space="0" w:color="auto"/>
        <w:bottom w:val="none" w:sz="0" w:space="0" w:color="auto"/>
        <w:right w:val="none" w:sz="0" w:space="0" w:color="auto"/>
      </w:divBdr>
    </w:div>
    <w:div w:id="1766806961">
      <w:bodyDiv w:val="1"/>
      <w:marLeft w:val="0"/>
      <w:marRight w:val="0"/>
      <w:marTop w:val="0"/>
      <w:marBottom w:val="0"/>
      <w:divBdr>
        <w:top w:val="none" w:sz="0" w:space="0" w:color="auto"/>
        <w:left w:val="none" w:sz="0" w:space="0" w:color="auto"/>
        <w:bottom w:val="none" w:sz="0" w:space="0" w:color="auto"/>
        <w:right w:val="none" w:sz="0" w:space="0" w:color="auto"/>
      </w:divBdr>
    </w:div>
    <w:div w:id="1767145179">
      <w:bodyDiv w:val="1"/>
      <w:marLeft w:val="0"/>
      <w:marRight w:val="0"/>
      <w:marTop w:val="0"/>
      <w:marBottom w:val="0"/>
      <w:divBdr>
        <w:top w:val="none" w:sz="0" w:space="0" w:color="auto"/>
        <w:left w:val="none" w:sz="0" w:space="0" w:color="auto"/>
        <w:bottom w:val="none" w:sz="0" w:space="0" w:color="auto"/>
        <w:right w:val="none" w:sz="0" w:space="0" w:color="auto"/>
      </w:divBdr>
    </w:div>
    <w:div w:id="1767341440">
      <w:bodyDiv w:val="1"/>
      <w:marLeft w:val="0"/>
      <w:marRight w:val="0"/>
      <w:marTop w:val="0"/>
      <w:marBottom w:val="0"/>
      <w:divBdr>
        <w:top w:val="none" w:sz="0" w:space="0" w:color="auto"/>
        <w:left w:val="none" w:sz="0" w:space="0" w:color="auto"/>
        <w:bottom w:val="none" w:sz="0" w:space="0" w:color="auto"/>
        <w:right w:val="none" w:sz="0" w:space="0" w:color="auto"/>
      </w:divBdr>
    </w:div>
    <w:div w:id="1767730264">
      <w:bodyDiv w:val="1"/>
      <w:marLeft w:val="0"/>
      <w:marRight w:val="0"/>
      <w:marTop w:val="0"/>
      <w:marBottom w:val="0"/>
      <w:divBdr>
        <w:top w:val="none" w:sz="0" w:space="0" w:color="auto"/>
        <w:left w:val="none" w:sz="0" w:space="0" w:color="auto"/>
        <w:bottom w:val="none" w:sz="0" w:space="0" w:color="auto"/>
        <w:right w:val="none" w:sz="0" w:space="0" w:color="auto"/>
      </w:divBdr>
    </w:div>
    <w:div w:id="1773670348">
      <w:bodyDiv w:val="1"/>
      <w:marLeft w:val="0"/>
      <w:marRight w:val="0"/>
      <w:marTop w:val="0"/>
      <w:marBottom w:val="0"/>
      <w:divBdr>
        <w:top w:val="none" w:sz="0" w:space="0" w:color="auto"/>
        <w:left w:val="none" w:sz="0" w:space="0" w:color="auto"/>
        <w:bottom w:val="none" w:sz="0" w:space="0" w:color="auto"/>
        <w:right w:val="none" w:sz="0" w:space="0" w:color="auto"/>
      </w:divBdr>
    </w:div>
    <w:div w:id="1774398086">
      <w:bodyDiv w:val="1"/>
      <w:marLeft w:val="0"/>
      <w:marRight w:val="0"/>
      <w:marTop w:val="0"/>
      <w:marBottom w:val="0"/>
      <w:divBdr>
        <w:top w:val="none" w:sz="0" w:space="0" w:color="auto"/>
        <w:left w:val="none" w:sz="0" w:space="0" w:color="auto"/>
        <w:bottom w:val="none" w:sz="0" w:space="0" w:color="auto"/>
        <w:right w:val="none" w:sz="0" w:space="0" w:color="auto"/>
      </w:divBdr>
    </w:div>
    <w:div w:id="1791170985">
      <w:bodyDiv w:val="1"/>
      <w:marLeft w:val="0"/>
      <w:marRight w:val="0"/>
      <w:marTop w:val="0"/>
      <w:marBottom w:val="0"/>
      <w:divBdr>
        <w:top w:val="none" w:sz="0" w:space="0" w:color="auto"/>
        <w:left w:val="none" w:sz="0" w:space="0" w:color="auto"/>
        <w:bottom w:val="none" w:sz="0" w:space="0" w:color="auto"/>
        <w:right w:val="none" w:sz="0" w:space="0" w:color="auto"/>
      </w:divBdr>
    </w:div>
    <w:div w:id="1791315763">
      <w:bodyDiv w:val="1"/>
      <w:marLeft w:val="0"/>
      <w:marRight w:val="0"/>
      <w:marTop w:val="0"/>
      <w:marBottom w:val="0"/>
      <w:divBdr>
        <w:top w:val="none" w:sz="0" w:space="0" w:color="auto"/>
        <w:left w:val="none" w:sz="0" w:space="0" w:color="auto"/>
        <w:bottom w:val="none" w:sz="0" w:space="0" w:color="auto"/>
        <w:right w:val="none" w:sz="0" w:space="0" w:color="auto"/>
      </w:divBdr>
    </w:div>
    <w:div w:id="1791781820">
      <w:bodyDiv w:val="1"/>
      <w:marLeft w:val="0"/>
      <w:marRight w:val="0"/>
      <w:marTop w:val="0"/>
      <w:marBottom w:val="0"/>
      <w:divBdr>
        <w:top w:val="none" w:sz="0" w:space="0" w:color="auto"/>
        <w:left w:val="none" w:sz="0" w:space="0" w:color="auto"/>
        <w:bottom w:val="none" w:sz="0" w:space="0" w:color="auto"/>
        <w:right w:val="none" w:sz="0" w:space="0" w:color="auto"/>
      </w:divBdr>
    </w:div>
    <w:div w:id="1795441386">
      <w:bodyDiv w:val="1"/>
      <w:marLeft w:val="0"/>
      <w:marRight w:val="0"/>
      <w:marTop w:val="0"/>
      <w:marBottom w:val="0"/>
      <w:divBdr>
        <w:top w:val="none" w:sz="0" w:space="0" w:color="auto"/>
        <w:left w:val="none" w:sz="0" w:space="0" w:color="auto"/>
        <w:bottom w:val="none" w:sz="0" w:space="0" w:color="auto"/>
        <w:right w:val="none" w:sz="0" w:space="0" w:color="auto"/>
      </w:divBdr>
    </w:div>
    <w:div w:id="1795557892">
      <w:bodyDiv w:val="1"/>
      <w:marLeft w:val="0"/>
      <w:marRight w:val="0"/>
      <w:marTop w:val="0"/>
      <w:marBottom w:val="0"/>
      <w:divBdr>
        <w:top w:val="none" w:sz="0" w:space="0" w:color="auto"/>
        <w:left w:val="none" w:sz="0" w:space="0" w:color="auto"/>
        <w:bottom w:val="none" w:sz="0" w:space="0" w:color="auto"/>
        <w:right w:val="none" w:sz="0" w:space="0" w:color="auto"/>
      </w:divBdr>
    </w:div>
    <w:div w:id="1796636375">
      <w:bodyDiv w:val="1"/>
      <w:marLeft w:val="0"/>
      <w:marRight w:val="0"/>
      <w:marTop w:val="0"/>
      <w:marBottom w:val="0"/>
      <w:divBdr>
        <w:top w:val="none" w:sz="0" w:space="0" w:color="auto"/>
        <w:left w:val="none" w:sz="0" w:space="0" w:color="auto"/>
        <w:bottom w:val="none" w:sz="0" w:space="0" w:color="auto"/>
        <w:right w:val="none" w:sz="0" w:space="0" w:color="auto"/>
      </w:divBdr>
    </w:div>
    <w:div w:id="1799643166">
      <w:bodyDiv w:val="1"/>
      <w:marLeft w:val="0"/>
      <w:marRight w:val="0"/>
      <w:marTop w:val="0"/>
      <w:marBottom w:val="0"/>
      <w:divBdr>
        <w:top w:val="none" w:sz="0" w:space="0" w:color="auto"/>
        <w:left w:val="none" w:sz="0" w:space="0" w:color="auto"/>
        <w:bottom w:val="none" w:sz="0" w:space="0" w:color="auto"/>
        <w:right w:val="none" w:sz="0" w:space="0" w:color="auto"/>
      </w:divBdr>
    </w:div>
    <w:div w:id="1807431581">
      <w:bodyDiv w:val="1"/>
      <w:marLeft w:val="0"/>
      <w:marRight w:val="0"/>
      <w:marTop w:val="0"/>
      <w:marBottom w:val="0"/>
      <w:divBdr>
        <w:top w:val="none" w:sz="0" w:space="0" w:color="auto"/>
        <w:left w:val="none" w:sz="0" w:space="0" w:color="auto"/>
        <w:bottom w:val="none" w:sz="0" w:space="0" w:color="auto"/>
        <w:right w:val="none" w:sz="0" w:space="0" w:color="auto"/>
      </w:divBdr>
    </w:div>
    <w:div w:id="1811171625">
      <w:bodyDiv w:val="1"/>
      <w:marLeft w:val="0"/>
      <w:marRight w:val="0"/>
      <w:marTop w:val="0"/>
      <w:marBottom w:val="0"/>
      <w:divBdr>
        <w:top w:val="none" w:sz="0" w:space="0" w:color="auto"/>
        <w:left w:val="none" w:sz="0" w:space="0" w:color="auto"/>
        <w:bottom w:val="none" w:sz="0" w:space="0" w:color="auto"/>
        <w:right w:val="none" w:sz="0" w:space="0" w:color="auto"/>
      </w:divBdr>
    </w:div>
    <w:div w:id="1814519383">
      <w:bodyDiv w:val="1"/>
      <w:marLeft w:val="0"/>
      <w:marRight w:val="0"/>
      <w:marTop w:val="0"/>
      <w:marBottom w:val="0"/>
      <w:divBdr>
        <w:top w:val="none" w:sz="0" w:space="0" w:color="auto"/>
        <w:left w:val="none" w:sz="0" w:space="0" w:color="auto"/>
        <w:bottom w:val="none" w:sz="0" w:space="0" w:color="auto"/>
        <w:right w:val="none" w:sz="0" w:space="0" w:color="auto"/>
      </w:divBdr>
    </w:div>
    <w:div w:id="1819112117">
      <w:bodyDiv w:val="1"/>
      <w:marLeft w:val="0"/>
      <w:marRight w:val="0"/>
      <w:marTop w:val="0"/>
      <w:marBottom w:val="0"/>
      <w:divBdr>
        <w:top w:val="none" w:sz="0" w:space="0" w:color="auto"/>
        <w:left w:val="none" w:sz="0" w:space="0" w:color="auto"/>
        <w:bottom w:val="none" w:sz="0" w:space="0" w:color="auto"/>
        <w:right w:val="none" w:sz="0" w:space="0" w:color="auto"/>
      </w:divBdr>
    </w:div>
    <w:div w:id="1824733105">
      <w:bodyDiv w:val="1"/>
      <w:marLeft w:val="0"/>
      <w:marRight w:val="0"/>
      <w:marTop w:val="0"/>
      <w:marBottom w:val="0"/>
      <w:divBdr>
        <w:top w:val="none" w:sz="0" w:space="0" w:color="auto"/>
        <w:left w:val="none" w:sz="0" w:space="0" w:color="auto"/>
        <w:bottom w:val="none" w:sz="0" w:space="0" w:color="auto"/>
        <w:right w:val="none" w:sz="0" w:space="0" w:color="auto"/>
      </w:divBdr>
    </w:div>
    <w:div w:id="1828744026">
      <w:bodyDiv w:val="1"/>
      <w:marLeft w:val="0"/>
      <w:marRight w:val="0"/>
      <w:marTop w:val="0"/>
      <w:marBottom w:val="0"/>
      <w:divBdr>
        <w:top w:val="none" w:sz="0" w:space="0" w:color="auto"/>
        <w:left w:val="none" w:sz="0" w:space="0" w:color="auto"/>
        <w:bottom w:val="none" w:sz="0" w:space="0" w:color="auto"/>
        <w:right w:val="none" w:sz="0" w:space="0" w:color="auto"/>
      </w:divBdr>
    </w:div>
    <w:div w:id="1833182256">
      <w:bodyDiv w:val="1"/>
      <w:marLeft w:val="0"/>
      <w:marRight w:val="0"/>
      <w:marTop w:val="0"/>
      <w:marBottom w:val="0"/>
      <w:divBdr>
        <w:top w:val="none" w:sz="0" w:space="0" w:color="auto"/>
        <w:left w:val="none" w:sz="0" w:space="0" w:color="auto"/>
        <w:bottom w:val="none" w:sz="0" w:space="0" w:color="auto"/>
        <w:right w:val="none" w:sz="0" w:space="0" w:color="auto"/>
      </w:divBdr>
    </w:div>
    <w:div w:id="1838768275">
      <w:bodyDiv w:val="1"/>
      <w:marLeft w:val="0"/>
      <w:marRight w:val="0"/>
      <w:marTop w:val="0"/>
      <w:marBottom w:val="0"/>
      <w:divBdr>
        <w:top w:val="none" w:sz="0" w:space="0" w:color="auto"/>
        <w:left w:val="none" w:sz="0" w:space="0" w:color="auto"/>
        <w:bottom w:val="none" w:sz="0" w:space="0" w:color="auto"/>
        <w:right w:val="none" w:sz="0" w:space="0" w:color="auto"/>
      </w:divBdr>
    </w:div>
    <w:div w:id="1839881938">
      <w:bodyDiv w:val="1"/>
      <w:marLeft w:val="0"/>
      <w:marRight w:val="0"/>
      <w:marTop w:val="0"/>
      <w:marBottom w:val="0"/>
      <w:divBdr>
        <w:top w:val="none" w:sz="0" w:space="0" w:color="auto"/>
        <w:left w:val="none" w:sz="0" w:space="0" w:color="auto"/>
        <w:bottom w:val="none" w:sz="0" w:space="0" w:color="auto"/>
        <w:right w:val="none" w:sz="0" w:space="0" w:color="auto"/>
      </w:divBdr>
    </w:div>
    <w:div w:id="1839885125">
      <w:bodyDiv w:val="1"/>
      <w:marLeft w:val="0"/>
      <w:marRight w:val="0"/>
      <w:marTop w:val="0"/>
      <w:marBottom w:val="0"/>
      <w:divBdr>
        <w:top w:val="none" w:sz="0" w:space="0" w:color="auto"/>
        <w:left w:val="none" w:sz="0" w:space="0" w:color="auto"/>
        <w:bottom w:val="none" w:sz="0" w:space="0" w:color="auto"/>
        <w:right w:val="none" w:sz="0" w:space="0" w:color="auto"/>
      </w:divBdr>
    </w:div>
    <w:div w:id="1849439338">
      <w:bodyDiv w:val="1"/>
      <w:marLeft w:val="0"/>
      <w:marRight w:val="0"/>
      <w:marTop w:val="0"/>
      <w:marBottom w:val="0"/>
      <w:divBdr>
        <w:top w:val="none" w:sz="0" w:space="0" w:color="auto"/>
        <w:left w:val="none" w:sz="0" w:space="0" w:color="auto"/>
        <w:bottom w:val="none" w:sz="0" w:space="0" w:color="auto"/>
        <w:right w:val="none" w:sz="0" w:space="0" w:color="auto"/>
      </w:divBdr>
    </w:div>
    <w:div w:id="1849440004">
      <w:bodyDiv w:val="1"/>
      <w:marLeft w:val="0"/>
      <w:marRight w:val="0"/>
      <w:marTop w:val="0"/>
      <w:marBottom w:val="0"/>
      <w:divBdr>
        <w:top w:val="none" w:sz="0" w:space="0" w:color="auto"/>
        <w:left w:val="none" w:sz="0" w:space="0" w:color="auto"/>
        <w:bottom w:val="none" w:sz="0" w:space="0" w:color="auto"/>
        <w:right w:val="none" w:sz="0" w:space="0" w:color="auto"/>
      </w:divBdr>
    </w:div>
    <w:div w:id="1857109840">
      <w:bodyDiv w:val="1"/>
      <w:marLeft w:val="0"/>
      <w:marRight w:val="0"/>
      <w:marTop w:val="0"/>
      <w:marBottom w:val="0"/>
      <w:divBdr>
        <w:top w:val="none" w:sz="0" w:space="0" w:color="auto"/>
        <w:left w:val="none" w:sz="0" w:space="0" w:color="auto"/>
        <w:bottom w:val="none" w:sz="0" w:space="0" w:color="auto"/>
        <w:right w:val="none" w:sz="0" w:space="0" w:color="auto"/>
      </w:divBdr>
    </w:div>
    <w:div w:id="1857571916">
      <w:bodyDiv w:val="1"/>
      <w:marLeft w:val="0"/>
      <w:marRight w:val="0"/>
      <w:marTop w:val="0"/>
      <w:marBottom w:val="0"/>
      <w:divBdr>
        <w:top w:val="none" w:sz="0" w:space="0" w:color="auto"/>
        <w:left w:val="none" w:sz="0" w:space="0" w:color="auto"/>
        <w:bottom w:val="none" w:sz="0" w:space="0" w:color="auto"/>
        <w:right w:val="none" w:sz="0" w:space="0" w:color="auto"/>
      </w:divBdr>
    </w:div>
    <w:div w:id="1865435284">
      <w:bodyDiv w:val="1"/>
      <w:marLeft w:val="0"/>
      <w:marRight w:val="0"/>
      <w:marTop w:val="0"/>
      <w:marBottom w:val="0"/>
      <w:divBdr>
        <w:top w:val="none" w:sz="0" w:space="0" w:color="auto"/>
        <w:left w:val="none" w:sz="0" w:space="0" w:color="auto"/>
        <w:bottom w:val="none" w:sz="0" w:space="0" w:color="auto"/>
        <w:right w:val="none" w:sz="0" w:space="0" w:color="auto"/>
      </w:divBdr>
    </w:div>
    <w:div w:id="1868179652">
      <w:bodyDiv w:val="1"/>
      <w:marLeft w:val="0"/>
      <w:marRight w:val="0"/>
      <w:marTop w:val="0"/>
      <w:marBottom w:val="0"/>
      <w:divBdr>
        <w:top w:val="none" w:sz="0" w:space="0" w:color="auto"/>
        <w:left w:val="none" w:sz="0" w:space="0" w:color="auto"/>
        <w:bottom w:val="none" w:sz="0" w:space="0" w:color="auto"/>
        <w:right w:val="none" w:sz="0" w:space="0" w:color="auto"/>
      </w:divBdr>
    </w:div>
    <w:div w:id="1880820298">
      <w:bodyDiv w:val="1"/>
      <w:marLeft w:val="0"/>
      <w:marRight w:val="0"/>
      <w:marTop w:val="0"/>
      <w:marBottom w:val="0"/>
      <w:divBdr>
        <w:top w:val="none" w:sz="0" w:space="0" w:color="auto"/>
        <w:left w:val="none" w:sz="0" w:space="0" w:color="auto"/>
        <w:bottom w:val="none" w:sz="0" w:space="0" w:color="auto"/>
        <w:right w:val="none" w:sz="0" w:space="0" w:color="auto"/>
      </w:divBdr>
    </w:div>
    <w:div w:id="1881088023">
      <w:bodyDiv w:val="1"/>
      <w:marLeft w:val="0"/>
      <w:marRight w:val="0"/>
      <w:marTop w:val="0"/>
      <w:marBottom w:val="0"/>
      <w:divBdr>
        <w:top w:val="none" w:sz="0" w:space="0" w:color="auto"/>
        <w:left w:val="none" w:sz="0" w:space="0" w:color="auto"/>
        <w:bottom w:val="none" w:sz="0" w:space="0" w:color="auto"/>
        <w:right w:val="none" w:sz="0" w:space="0" w:color="auto"/>
      </w:divBdr>
    </w:div>
    <w:div w:id="1883518696">
      <w:bodyDiv w:val="1"/>
      <w:marLeft w:val="0"/>
      <w:marRight w:val="0"/>
      <w:marTop w:val="0"/>
      <w:marBottom w:val="0"/>
      <w:divBdr>
        <w:top w:val="none" w:sz="0" w:space="0" w:color="auto"/>
        <w:left w:val="none" w:sz="0" w:space="0" w:color="auto"/>
        <w:bottom w:val="none" w:sz="0" w:space="0" w:color="auto"/>
        <w:right w:val="none" w:sz="0" w:space="0" w:color="auto"/>
      </w:divBdr>
    </w:div>
    <w:div w:id="1913464001">
      <w:bodyDiv w:val="1"/>
      <w:marLeft w:val="0"/>
      <w:marRight w:val="0"/>
      <w:marTop w:val="0"/>
      <w:marBottom w:val="0"/>
      <w:divBdr>
        <w:top w:val="none" w:sz="0" w:space="0" w:color="auto"/>
        <w:left w:val="none" w:sz="0" w:space="0" w:color="auto"/>
        <w:bottom w:val="none" w:sz="0" w:space="0" w:color="auto"/>
        <w:right w:val="none" w:sz="0" w:space="0" w:color="auto"/>
      </w:divBdr>
    </w:div>
    <w:div w:id="1913542247">
      <w:bodyDiv w:val="1"/>
      <w:marLeft w:val="0"/>
      <w:marRight w:val="0"/>
      <w:marTop w:val="0"/>
      <w:marBottom w:val="0"/>
      <w:divBdr>
        <w:top w:val="none" w:sz="0" w:space="0" w:color="auto"/>
        <w:left w:val="none" w:sz="0" w:space="0" w:color="auto"/>
        <w:bottom w:val="none" w:sz="0" w:space="0" w:color="auto"/>
        <w:right w:val="none" w:sz="0" w:space="0" w:color="auto"/>
      </w:divBdr>
    </w:div>
    <w:div w:id="1920481202">
      <w:bodyDiv w:val="1"/>
      <w:marLeft w:val="0"/>
      <w:marRight w:val="0"/>
      <w:marTop w:val="0"/>
      <w:marBottom w:val="0"/>
      <w:divBdr>
        <w:top w:val="none" w:sz="0" w:space="0" w:color="auto"/>
        <w:left w:val="none" w:sz="0" w:space="0" w:color="auto"/>
        <w:bottom w:val="none" w:sz="0" w:space="0" w:color="auto"/>
        <w:right w:val="none" w:sz="0" w:space="0" w:color="auto"/>
      </w:divBdr>
    </w:div>
    <w:div w:id="1930431216">
      <w:bodyDiv w:val="1"/>
      <w:marLeft w:val="0"/>
      <w:marRight w:val="0"/>
      <w:marTop w:val="0"/>
      <w:marBottom w:val="0"/>
      <w:divBdr>
        <w:top w:val="none" w:sz="0" w:space="0" w:color="auto"/>
        <w:left w:val="none" w:sz="0" w:space="0" w:color="auto"/>
        <w:bottom w:val="none" w:sz="0" w:space="0" w:color="auto"/>
        <w:right w:val="none" w:sz="0" w:space="0" w:color="auto"/>
      </w:divBdr>
    </w:div>
    <w:div w:id="1932353418">
      <w:bodyDiv w:val="1"/>
      <w:marLeft w:val="0"/>
      <w:marRight w:val="0"/>
      <w:marTop w:val="0"/>
      <w:marBottom w:val="0"/>
      <w:divBdr>
        <w:top w:val="none" w:sz="0" w:space="0" w:color="auto"/>
        <w:left w:val="none" w:sz="0" w:space="0" w:color="auto"/>
        <w:bottom w:val="none" w:sz="0" w:space="0" w:color="auto"/>
        <w:right w:val="none" w:sz="0" w:space="0" w:color="auto"/>
      </w:divBdr>
    </w:div>
    <w:div w:id="1932739352">
      <w:bodyDiv w:val="1"/>
      <w:marLeft w:val="0"/>
      <w:marRight w:val="0"/>
      <w:marTop w:val="0"/>
      <w:marBottom w:val="0"/>
      <w:divBdr>
        <w:top w:val="none" w:sz="0" w:space="0" w:color="auto"/>
        <w:left w:val="none" w:sz="0" w:space="0" w:color="auto"/>
        <w:bottom w:val="none" w:sz="0" w:space="0" w:color="auto"/>
        <w:right w:val="none" w:sz="0" w:space="0" w:color="auto"/>
      </w:divBdr>
    </w:div>
    <w:div w:id="1933927912">
      <w:bodyDiv w:val="1"/>
      <w:marLeft w:val="0"/>
      <w:marRight w:val="0"/>
      <w:marTop w:val="0"/>
      <w:marBottom w:val="0"/>
      <w:divBdr>
        <w:top w:val="none" w:sz="0" w:space="0" w:color="auto"/>
        <w:left w:val="none" w:sz="0" w:space="0" w:color="auto"/>
        <w:bottom w:val="none" w:sz="0" w:space="0" w:color="auto"/>
        <w:right w:val="none" w:sz="0" w:space="0" w:color="auto"/>
      </w:divBdr>
    </w:div>
    <w:div w:id="1936399509">
      <w:bodyDiv w:val="1"/>
      <w:marLeft w:val="0"/>
      <w:marRight w:val="0"/>
      <w:marTop w:val="0"/>
      <w:marBottom w:val="0"/>
      <w:divBdr>
        <w:top w:val="none" w:sz="0" w:space="0" w:color="auto"/>
        <w:left w:val="none" w:sz="0" w:space="0" w:color="auto"/>
        <w:bottom w:val="none" w:sz="0" w:space="0" w:color="auto"/>
        <w:right w:val="none" w:sz="0" w:space="0" w:color="auto"/>
      </w:divBdr>
    </w:div>
    <w:div w:id="1943492451">
      <w:bodyDiv w:val="1"/>
      <w:marLeft w:val="0"/>
      <w:marRight w:val="0"/>
      <w:marTop w:val="0"/>
      <w:marBottom w:val="0"/>
      <w:divBdr>
        <w:top w:val="none" w:sz="0" w:space="0" w:color="auto"/>
        <w:left w:val="none" w:sz="0" w:space="0" w:color="auto"/>
        <w:bottom w:val="none" w:sz="0" w:space="0" w:color="auto"/>
        <w:right w:val="none" w:sz="0" w:space="0" w:color="auto"/>
      </w:divBdr>
    </w:div>
    <w:div w:id="1944651350">
      <w:bodyDiv w:val="1"/>
      <w:marLeft w:val="0"/>
      <w:marRight w:val="0"/>
      <w:marTop w:val="0"/>
      <w:marBottom w:val="0"/>
      <w:divBdr>
        <w:top w:val="none" w:sz="0" w:space="0" w:color="auto"/>
        <w:left w:val="none" w:sz="0" w:space="0" w:color="auto"/>
        <w:bottom w:val="none" w:sz="0" w:space="0" w:color="auto"/>
        <w:right w:val="none" w:sz="0" w:space="0" w:color="auto"/>
      </w:divBdr>
    </w:div>
    <w:div w:id="1956597691">
      <w:bodyDiv w:val="1"/>
      <w:marLeft w:val="0"/>
      <w:marRight w:val="0"/>
      <w:marTop w:val="0"/>
      <w:marBottom w:val="0"/>
      <w:divBdr>
        <w:top w:val="none" w:sz="0" w:space="0" w:color="auto"/>
        <w:left w:val="none" w:sz="0" w:space="0" w:color="auto"/>
        <w:bottom w:val="none" w:sz="0" w:space="0" w:color="auto"/>
        <w:right w:val="none" w:sz="0" w:space="0" w:color="auto"/>
      </w:divBdr>
    </w:div>
    <w:div w:id="1959528206">
      <w:bodyDiv w:val="1"/>
      <w:marLeft w:val="0"/>
      <w:marRight w:val="0"/>
      <w:marTop w:val="0"/>
      <w:marBottom w:val="0"/>
      <w:divBdr>
        <w:top w:val="none" w:sz="0" w:space="0" w:color="auto"/>
        <w:left w:val="none" w:sz="0" w:space="0" w:color="auto"/>
        <w:bottom w:val="none" w:sz="0" w:space="0" w:color="auto"/>
        <w:right w:val="none" w:sz="0" w:space="0" w:color="auto"/>
      </w:divBdr>
    </w:div>
    <w:div w:id="1960454078">
      <w:bodyDiv w:val="1"/>
      <w:marLeft w:val="0"/>
      <w:marRight w:val="0"/>
      <w:marTop w:val="0"/>
      <w:marBottom w:val="0"/>
      <w:divBdr>
        <w:top w:val="none" w:sz="0" w:space="0" w:color="auto"/>
        <w:left w:val="none" w:sz="0" w:space="0" w:color="auto"/>
        <w:bottom w:val="none" w:sz="0" w:space="0" w:color="auto"/>
        <w:right w:val="none" w:sz="0" w:space="0" w:color="auto"/>
      </w:divBdr>
    </w:div>
    <w:div w:id="1966160863">
      <w:bodyDiv w:val="1"/>
      <w:marLeft w:val="0"/>
      <w:marRight w:val="0"/>
      <w:marTop w:val="0"/>
      <w:marBottom w:val="0"/>
      <w:divBdr>
        <w:top w:val="none" w:sz="0" w:space="0" w:color="auto"/>
        <w:left w:val="none" w:sz="0" w:space="0" w:color="auto"/>
        <w:bottom w:val="none" w:sz="0" w:space="0" w:color="auto"/>
        <w:right w:val="none" w:sz="0" w:space="0" w:color="auto"/>
      </w:divBdr>
    </w:div>
    <w:div w:id="1968924853">
      <w:bodyDiv w:val="1"/>
      <w:marLeft w:val="0"/>
      <w:marRight w:val="0"/>
      <w:marTop w:val="0"/>
      <w:marBottom w:val="0"/>
      <w:divBdr>
        <w:top w:val="none" w:sz="0" w:space="0" w:color="auto"/>
        <w:left w:val="none" w:sz="0" w:space="0" w:color="auto"/>
        <w:bottom w:val="none" w:sz="0" w:space="0" w:color="auto"/>
        <w:right w:val="none" w:sz="0" w:space="0" w:color="auto"/>
      </w:divBdr>
    </w:div>
    <w:div w:id="1969235439">
      <w:bodyDiv w:val="1"/>
      <w:marLeft w:val="0"/>
      <w:marRight w:val="0"/>
      <w:marTop w:val="0"/>
      <w:marBottom w:val="0"/>
      <w:divBdr>
        <w:top w:val="none" w:sz="0" w:space="0" w:color="auto"/>
        <w:left w:val="none" w:sz="0" w:space="0" w:color="auto"/>
        <w:bottom w:val="none" w:sz="0" w:space="0" w:color="auto"/>
        <w:right w:val="none" w:sz="0" w:space="0" w:color="auto"/>
      </w:divBdr>
    </w:div>
    <w:div w:id="1972779892">
      <w:bodyDiv w:val="1"/>
      <w:marLeft w:val="0"/>
      <w:marRight w:val="0"/>
      <w:marTop w:val="0"/>
      <w:marBottom w:val="0"/>
      <w:divBdr>
        <w:top w:val="none" w:sz="0" w:space="0" w:color="auto"/>
        <w:left w:val="none" w:sz="0" w:space="0" w:color="auto"/>
        <w:bottom w:val="none" w:sz="0" w:space="0" w:color="auto"/>
        <w:right w:val="none" w:sz="0" w:space="0" w:color="auto"/>
      </w:divBdr>
    </w:div>
    <w:div w:id="1975869129">
      <w:bodyDiv w:val="1"/>
      <w:marLeft w:val="0"/>
      <w:marRight w:val="0"/>
      <w:marTop w:val="0"/>
      <w:marBottom w:val="0"/>
      <w:divBdr>
        <w:top w:val="none" w:sz="0" w:space="0" w:color="auto"/>
        <w:left w:val="none" w:sz="0" w:space="0" w:color="auto"/>
        <w:bottom w:val="none" w:sz="0" w:space="0" w:color="auto"/>
        <w:right w:val="none" w:sz="0" w:space="0" w:color="auto"/>
      </w:divBdr>
    </w:div>
    <w:div w:id="1981230343">
      <w:bodyDiv w:val="1"/>
      <w:marLeft w:val="0"/>
      <w:marRight w:val="0"/>
      <w:marTop w:val="0"/>
      <w:marBottom w:val="0"/>
      <w:divBdr>
        <w:top w:val="none" w:sz="0" w:space="0" w:color="auto"/>
        <w:left w:val="none" w:sz="0" w:space="0" w:color="auto"/>
        <w:bottom w:val="none" w:sz="0" w:space="0" w:color="auto"/>
        <w:right w:val="none" w:sz="0" w:space="0" w:color="auto"/>
      </w:divBdr>
    </w:div>
    <w:div w:id="1984459044">
      <w:bodyDiv w:val="1"/>
      <w:marLeft w:val="0"/>
      <w:marRight w:val="0"/>
      <w:marTop w:val="0"/>
      <w:marBottom w:val="0"/>
      <w:divBdr>
        <w:top w:val="none" w:sz="0" w:space="0" w:color="auto"/>
        <w:left w:val="none" w:sz="0" w:space="0" w:color="auto"/>
        <w:bottom w:val="none" w:sz="0" w:space="0" w:color="auto"/>
        <w:right w:val="none" w:sz="0" w:space="0" w:color="auto"/>
      </w:divBdr>
    </w:div>
    <w:div w:id="1987079406">
      <w:bodyDiv w:val="1"/>
      <w:marLeft w:val="0"/>
      <w:marRight w:val="0"/>
      <w:marTop w:val="0"/>
      <w:marBottom w:val="0"/>
      <w:divBdr>
        <w:top w:val="none" w:sz="0" w:space="0" w:color="auto"/>
        <w:left w:val="none" w:sz="0" w:space="0" w:color="auto"/>
        <w:bottom w:val="none" w:sz="0" w:space="0" w:color="auto"/>
        <w:right w:val="none" w:sz="0" w:space="0" w:color="auto"/>
      </w:divBdr>
    </w:div>
    <w:div w:id="1988627933">
      <w:bodyDiv w:val="1"/>
      <w:marLeft w:val="0"/>
      <w:marRight w:val="0"/>
      <w:marTop w:val="0"/>
      <w:marBottom w:val="0"/>
      <w:divBdr>
        <w:top w:val="none" w:sz="0" w:space="0" w:color="auto"/>
        <w:left w:val="none" w:sz="0" w:space="0" w:color="auto"/>
        <w:bottom w:val="none" w:sz="0" w:space="0" w:color="auto"/>
        <w:right w:val="none" w:sz="0" w:space="0" w:color="auto"/>
      </w:divBdr>
    </w:div>
    <w:div w:id="1995523020">
      <w:bodyDiv w:val="1"/>
      <w:marLeft w:val="0"/>
      <w:marRight w:val="0"/>
      <w:marTop w:val="0"/>
      <w:marBottom w:val="0"/>
      <w:divBdr>
        <w:top w:val="none" w:sz="0" w:space="0" w:color="auto"/>
        <w:left w:val="none" w:sz="0" w:space="0" w:color="auto"/>
        <w:bottom w:val="none" w:sz="0" w:space="0" w:color="auto"/>
        <w:right w:val="none" w:sz="0" w:space="0" w:color="auto"/>
      </w:divBdr>
    </w:div>
    <w:div w:id="1997564261">
      <w:bodyDiv w:val="1"/>
      <w:marLeft w:val="0"/>
      <w:marRight w:val="0"/>
      <w:marTop w:val="0"/>
      <w:marBottom w:val="0"/>
      <w:divBdr>
        <w:top w:val="none" w:sz="0" w:space="0" w:color="auto"/>
        <w:left w:val="none" w:sz="0" w:space="0" w:color="auto"/>
        <w:bottom w:val="none" w:sz="0" w:space="0" w:color="auto"/>
        <w:right w:val="none" w:sz="0" w:space="0" w:color="auto"/>
      </w:divBdr>
    </w:div>
    <w:div w:id="1998679549">
      <w:bodyDiv w:val="1"/>
      <w:marLeft w:val="0"/>
      <w:marRight w:val="0"/>
      <w:marTop w:val="0"/>
      <w:marBottom w:val="0"/>
      <w:divBdr>
        <w:top w:val="none" w:sz="0" w:space="0" w:color="auto"/>
        <w:left w:val="none" w:sz="0" w:space="0" w:color="auto"/>
        <w:bottom w:val="none" w:sz="0" w:space="0" w:color="auto"/>
        <w:right w:val="none" w:sz="0" w:space="0" w:color="auto"/>
      </w:divBdr>
    </w:div>
    <w:div w:id="1999724071">
      <w:bodyDiv w:val="1"/>
      <w:marLeft w:val="0"/>
      <w:marRight w:val="0"/>
      <w:marTop w:val="0"/>
      <w:marBottom w:val="0"/>
      <w:divBdr>
        <w:top w:val="none" w:sz="0" w:space="0" w:color="auto"/>
        <w:left w:val="none" w:sz="0" w:space="0" w:color="auto"/>
        <w:bottom w:val="none" w:sz="0" w:space="0" w:color="auto"/>
        <w:right w:val="none" w:sz="0" w:space="0" w:color="auto"/>
      </w:divBdr>
    </w:div>
    <w:div w:id="2006861548">
      <w:bodyDiv w:val="1"/>
      <w:marLeft w:val="0"/>
      <w:marRight w:val="0"/>
      <w:marTop w:val="0"/>
      <w:marBottom w:val="0"/>
      <w:divBdr>
        <w:top w:val="none" w:sz="0" w:space="0" w:color="auto"/>
        <w:left w:val="none" w:sz="0" w:space="0" w:color="auto"/>
        <w:bottom w:val="none" w:sz="0" w:space="0" w:color="auto"/>
        <w:right w:val="none" w:sz="0" w:space="0" w:color="auto"/>
      </w:divBdr>
    </w:div>
    <w:div w:id="2008972737">
      <w:bodyDiv w:val="1"/>
      <w:marLeft w:val="0"/>
      <w:marRight w:val="0"/>
      <w:marTop w:val="0"/>
      <w:marBottom w:val="0"/>
      <w:divBdr>
        <w:top w:val="none" w:sz="0" w:space="0" w:color="auto"/>
        <w:left w:val="none" w:sz="0" w:space="0" w:color="auto"/>
        <w:bottom w:val="none" w:sz="0" w:space="0" w:color="auto"/>
        <w:right w:val="none" w:sz="0" w:space="0" w:color="auto"/>
      </w:divBdr>
    </w:div>
    <w:div w:id="2013868353">
      <w:bodyDiv w:val="1"/>
      <w:marLeft w:val="0"/>
      <w:marRight w:val="0"/>
      <w:marTop w:val="0"/>
      <w:marBottom w:val="0"/>
      <w:divBdr>
        <w:top w:val="none" w:sz="0" w:space="0" w:color="auto"/>
        <w:left w:val="none" w:sz="0" w:space="0" w:color="auto"/>
        <w:bottom w:val="none" w:sz="0" w:space="0" w:color="auto"/>
        <w:right w:val="none" w:sz="0" w:space="0" w:color="auto"/>
      </w:divBdr>
    </w:div>
    <w:div w:id="2019111539">
      <w:bodyDiv w:val="1"/>
      <w:marLeft w:val="0"/>
      <w:marRight w:val="0"/>
      <w:marTop w:val="0"/>
      <w:marBottom w:val="0"/>
      <w:divBdr>
        <w:top w:val="none" w:sz="0" w:space="0" w:color="auto"/>
        <w:left w:val="none" w:sz="0" w:space="0" w:color="auto"/>
        <w:bottom w:val="none" w:sz="0" w:space="0" w:color="auto"/>
        <w:right w:val="none" w:sz="0" w:space="0" w:color="auto"/>
      </w:divBdr>
    </w:div>
    <w:div w:id="2036299530">
      <w:bodyDiv w:val="1"/>
      <w:marLeft w:val="0"/>
      <w:marRight w:val="0"/>
      <w:marTop w:val="0"/>
      <w:marBottom w:val="0"/>
      <w:divBdr>
        <w:top w:val="none" w:sz="0" w:space="0" w:color="auto"/>
        <w:left w:val="none" w:sz="0" w:space="0" w:color="auto"/>
        <w:bottom w:val="none" w:sz="0" w:space="0" w:color="auto"/>
        <w:right w:val="none" w:sz="0" w:space="0" w:color="auto"/>
      </w:divBdr>
    </w:div>
    <w:div w:id="2042628276">
      <w:bodyDiv w:val="1"/>
      <w:marLeft w:val="0"/>
      <w:marRight w:val="0"/>
      <w:marTop w:val="0"/>
      <w:marBottom w:val="0"/>
      <w:divBdr>
        <w:top w:val="none" w:sz="0" w:space="0" w:color="auto"/>
        <w:left w:val="none" w:sz="0" w:space="0" w:color="auto"/>
        <w:bottom w:val="none" w:sz="0" w:space="0" w:color="auto"/>
        <w:right w:val="none" w:sz="0" w:space="0" w:color="auto"/>
      </w:divBdr>
    </w:div>
    <w:div w:id="2047098981">
      <w:bodyDiv w:val="1"/>
      <w:marLeft w:val="0"/>
      <w:marRight w:val="0"/>
      <w:marTop w:val="0"/>
      <w:marBottom w:val="0"/>
      <w:divBdr>
        <w:top w:val="none" w:sz="0" w:space="0" w:color="auto"/>
        <w:left w:val="none" w:sz="0" w:space="0" w:color="auto"/>
        <w:bottom w:val="none" w:sz="0" w:space="0" w:color="auto"/>
        <w:right w:val="none" w:sz="0" w:space="0" w:color="auto"/>
      </w:divBdr>
    </w:div>
    <w:div w:id="2056154792">
      <w:bodyDiv w:val="1"/>
      <w:marLeft w:val="0"/>
      <w:marRight w:val="0"/>
      <w:marTop w:val="0"/>
      <w:marBottom w:val="0"/>
      <w:divBdr>
        <w:top w:val="none" w:sz="0" w:space="0" w:color="auto"/>
        <w:left w:val="none" w:sz="0" w:space="0" w:color="auto"/>
        <w:bottom w:val="none" w:sz="0" w:space="0" w:color="auto"/>
        <w:right w:val="none" w:sz="0" w:space="0" w:color="auto"/>
      </w:divBdr>
    </w:div>
    <w:div w:id="2057047176">
      <w:bodyDiv w:val="1"/>
      <w:marLeft w:val="0"/>
      <w:marRight w:val="0"/>
      <w:marTop w:val="0"/>
      <w:marBottom w:val="0"/>
      <w:divBdr>
        <w:top w:val="none" w:sz="0" w:space="0" w:color="auto"/>
        <w:left w:val="none" w:sz="0" w:space="0" w:color="auto"/>
        <w:bottom w:val="none" w:sz="0" w:space="0" w:color="auto"/>
        <w:right w:val="none" w:sz="0" w:space="0" w:color="auto"/>
      </w:divBdr>
    </w:div>
    <w:div w:id="2063748391">
      <w:bodyDiv w:val="1"/>
      <w:marLeft w:val="0"/>
      <w:marRight w:val="0"/>
      <w:marTop w:val="0"/>
      <w:marBottom w:val="0"/>
      <w:divBdr>
        <w:top w:val="none" w:sz="0" w:space="0" w:color="auto"/>
        <w:left w:val="none" w:sz="0" w:space="0" w:color="auto"/>
        <w:bottom w:val="none" w:sz="0" w:space="0" w:color="auto"/>
        <w:right w:val="none" w:sz="0" w:space="0" w:color="auto"/>
      </w:divBdr>
    </w:div>
    <w:div w:id="2065374512">
      <w:bodyDiv w:val="1"/>
      <w:marLeft w:val="0"/>
      <w:marRight w:val="0"/>
      <w:marTop w:val="0"/>
      <w:marBottom w:val="0"/>
      <w:divBdr>
        <w:top w:val="none" w:sz="0" w:space="0" w:color="auto"/>
        <w:left w:val="none" w:sz="0" w:space="0" w:color="auto"/>
        <w:bottom w:val="none" w:sz="0" w:space="0" w:color="auto"/>
        <w:right w:val="none" w:sz="0" w:space="0" w:color="auto"/>
      </w:divBdr>
    </w:div>
    <w:div w:id="2066564805">
      <w:bodyDiv w:val="1"/>
      <w:marLeft w:val="0"/>
      <w:marRight w:val="0"/>
      <w:marTop w:val="0"/>
      <w:marBottom w:val="0"/>
      <w:divBdr>
        <w:top w:val="none" w:sz="0" w:space="0" w:color="auto"/>
        <w:left w:val="none" w:sz="0" w:space="0" w:color="auto"/>
        <w:bottom w:val="none" w:sz="0" w:space="0" w:color="auto"/>
        <w:right w:val="none" w:sz="0" w:space="0" w:color="auto"/>
      </w:divBdr>
    </w:div>
    <w:div w:id="2068916481">
      <w:bodyDiv w:val="1"/>
      <w:marLeft w:val="0"/>
      <w:marRight w:val="0"/>
      <w:marTop w:val="0"/>
      <w:marBottom w:val="0"/>
      <w:divBdr>
        <w:top w:val="none" w:sz="0" w:space="0" w:color="auto"/>
        <w:left w:val="none" w:sz="0" w:space="0" w:color="auto"/>
        <w:bottom w:val="none" w:sz="0" w:space="0" w:color="auto"/>
        <w:right w:val="none" w:sz="0" w:space="0" w:color="auto"/>
      </w:divBdr>
    </w:div>
    <w:div w:id="2080473045">
      <w:bodyDiv w:val="1"/>
      <w:marLeft w:val="0"/>
      <w:marRight w:val="0"/>
      <w:marTop w:val="0"/>
      <w:marBottom w:val="0"/>
      <w:divBdr>
        <w:top w:val="none" w:sz="0" w:space="0" w:color="auto"/>
        <w:left w:val="none" w:sz="0" w:space="0" w:color="auto"/>
        <w:bottom w:val="none" w:sz="0" w:space="0" w:color="auto"/>
        <w:right w:val="none" w:sz="0" w:space="0" w:color="auto"/>
      </w:divBdr>
    </w:div>
    <w:div w:id="2084909113">
      <w:bodyDiv w:val="1"/>
      <w:marLeft w:val="0"/>
      <w:marRight w:val="0"/>
      <w:marTop w:val="0"/>
      <w:marBottom w:val="0"/>
      <w:divBdr>
        <w:top w:val="none" w:sz="0" w:space="0" w:color="auto"/>
        <w:left w:val="none" w:sz="0" w:space="0" w:color="auto"/>
        <w:bottom w:val="none" w:sz="0" w:space="0" w:color="auto"/>
        <w:right w:val="none" w:sz="0" w:space="0" w:color="auto"/>
      </w:divBdr>
    </w:div>
    <w:div w:id="2086027866">
      <w:bodyDiv w:val="1"/>
      <w:marLeft w:val="0"/>
      <w:marRight w:val="0"/>
      <w:marTop w:val="0"/>
      <w:marBottom w:val="0"/>
      <w:divBdr>
        <w:top w:val="none" w:sz="0" w:space="0" w:color="auto"/>
        <w:left w:val="none" w:sz="0" w:space="0" w:color="auto"/>
        <w:bottom w:val="none" w:sz="0" w:space="0" w:color="auto"/>
        <w:right w:val="none" w:sz="0" w:space="0" w:color="auto"/>
      </w:divBdr>
    </w:div>
    <w:div w:id="2086878335">
      <w:bodyDiv w:val="1"/>
      <w:marLeft w:val="0"/>
      <w:marRight w:val="0"/>
      <w:marTop w:val="0"/>
      <w:marBottom w:val="0"/>
      <w:divBdr>
        <w:top w:val="none" w:sz="0" w:space="0" w:color="auto"/>
        <w:left w:val="none" w:sz="0" w:space="0" w:color="auto"/>
        <w:bottom w:val="none" w:sz="0" w:space="0" w:color="auto"/>
        <w:right w:val="none" w:sz="0" w:space="0" w:color="auto"/>
      </w:divBdr>
    </w:div>
    <w:div w:id="2094469484">
      <w:bodyDiv w:val="1"/>
      <w:marLeft w:val="0"/>
      <w:marRight w:val="0"/>
      <w:marTop w:val="0"/>
      <w:marBottom w:val="0"/>
      <w:divBdr>
        <w:top w:val="none" w:sz="0" w:space="0" w:color="auto"/>
        <w:left w:val="none" w:sz="0" w:space="0" w:color="auto"/>
        <w:bottom w:val="none" w:sz="0" w:space="0" w:color="auto"/>
        <w:right w:val="none" w:sz="0" w:space="0" w:color="auto"/>
      </w:divBdr>
    </w:div>
    <w:div w:id="2101246468">
      <w:bodyDiv w:val="1"/>
      <w:marLeft w:val="0"/>
      <w:marRight w:val="0"/>
      <w:marTop w:val="0"/>
      <w:marBottom w:val="0"/>
      <w:divBdr>
        <w:top w:val="none" w:sz="0" w:space="0" w:color="auto"/>
        <w:left w:val="none" w:sz="0" w:space="0" w:color="auto"/>
        <w:bottom w:val="none" w:sz="0" w:space="0" w:color="auto"/>
        <w:right w:val="none" w:sz="0" w:space="0" w:color="auto"/>
      </w:divBdr>
    </w:div>
    <w:div w:id="2107454739">
      <w:bodyDiv w:val="1"/>
      <w:marLeft w:val="0"/>
      <w:marRight w:val="0"/>
      <w:marTop w:val="0"/>
      <w:marBottom w:val="0"/>
      <w:divBdr>
        <w:top w:val="none" w:sz="0" w:space="0" w:color="auto"/>
        <w:left w:val="none" w:sz="0" w:space="0" w:color="auto"/>
        <w:bottom w:val="none" w:sz="0" w:space="0" w:color="auto"/>
        <w:right w:val="none" w:sz="0" w:space="0" w:color="auto"/>
      </w:divBdr>
    </w:div>
    <w:div w:id="2109957786">
      <w:bodyDiv w:val="1"/>
      <w:marLeft w:val="0"/>
      <w:marRight w:val="0"/>
      <w:marTop w:val="0"/>
      <w:marBottom w:val="0"/>
      <w:divBdr>
        <w:top w:val="none" w:sz="0" w:space="0" w:color="auto"/>
        <w:left w:val="none" w:sz="0" w:space="0" w:color="auto"/>
        <w:bottom w:val="none" w:sz="0" w:space="0" w:color="auto"/>
        <w:right w:val="none" w:sz="0" w:space="0" w:color="auto"/>
      </w:divBdr>
    </w:div>
    <w:div w:id="2110000616">
      <w:bodyDiv w:val="1"/>
      <w:marLeft w:val="0"/>
      <w:marRight w:val="0"/>
      <w:marTop w:val="0"/>
      <w:marBottom w:val="0"/>
      <w:divBdr>
        <w:top w:val="none" w:sz="0" w:space="0" w:color="auto"/>
        <w:left w:val="none" w:sz="0" w:space="0" w:color="auto"/>
        <w:bottom w:val="none" w:sz="0" w:space="0" w:color="auto"/>
        <w:right w:val="none" w:sz="0" w:space="0" w:color="auto"/>
      </w:divBdr>
    </w:div>
    <w:div w:id="2115397279">
      <w:bodyDiv w:val="1"/>
      <w:marLeft w:val="0"/>
      <w:marRight w:val="0"/>
      <w:marTop w:val="0"/>
      <w:marBottom w:val="0"/>
      <w:divBdr>
        <w:top w:val="none" w:sz="0" w:space="0" w:color="auto"/>
        <w:left w:val="none" w:sz="0" w:space="0" w:color="auto"/>
        <w:bottom w:val="none" w:sz="0" w:space="0" w:color="auto"/>
        <w:right w:val="none" w:sz="0" w:space="0" w:color="auto"/>
      </w:divBdr>
    </w:div>
    <w:div w:id="2118212662">
      <w:bodyDiv w:val="1"/>
      <w:marLeft w:val="0"/>
      <w:marRight w:val="0"/>
      <w:marTop w:val="0"/>
      <w:marBottom w:val="0"/>
      <w:divBdr>
        <w:top w:val="none" w:sz="0" w:space="0" w:color="auto"/>
        <w:left w:val="none" w:sz="0" w:space="0" w:color="auto"/>
        <w:bottom w:val="none" w:sz="0" w:space="0" w:color="auto"/>
        <w:right w:val="none" w:sz="0" w:space="0" w:color="auto"/>
      </w:divBdr>
    </w:div>
    <w:div w:id="2120249863">
      <w:bodyDiv w:val="1"/>
      <w:marLeft w:val="0"/>
      <w:marRight w:val="0"/>
      <w:marTop w:val="0"/>
      <w:marBottom w:val="0"/>
      <w:divBdr>
        <w:top w:val="none" w:sz="0" w:space="0" w:color="auto"/>
        <w:left w:val="none" w:sz="0" w:space="0" w:color="auto"/>
        <w:bottom w:val="none" w:sz="0" w:space="0" w:color="auto"/>
        <w:right w:val="none" w:sz="0" w:space="0" w:color="auto"/>
      </w:divBdr>
    </w:div>
    <w:div w:id="2121878298">
      <w:bodyDiv w:val="1"/>
      <w:marLeft w:val="0"/>
      <w:marRight w:val="0"/>
      <w:marTop w:val="0"/>
      <w:marBottom w:val="0"/>
      <w:divBdr>
        <w:top w:val="none" w:sz="0" w:space="0" w:color="auto"/>
        <w:left w:val="none" w:sz="0" w:space="0" w:color="auto"/>
        <w:bottom w:val="none" w:sz="0" w:space="0" w:color="auto"/>
        <w:right w:val="none" w:sz="0" w:space="0" w:color="auto"/>
      </w:divBdr>
    </w:div>
    <w:div w:id="2128506729">
      <w:bodyDiv w:val="1"/>
      <w:marLeft w:val="0"/>
      <w:marRight w:val="0"/>
      <w:marTop w:val="0"/>
      <w:marBottom w:val="0"/>
      <w:divBdr>
        <w:top w:val="none" w:sz="0" w:space="0" w:color="auto"/>
        <w:left w:val="none" w:sz="0" w:space="0" w:color="auto"/>
        <w:bottom w:val="none" w:sz="0" w:space="0" w:color="auto"/>
        <w:right w:val="none" w:sz="0" w:space="0" w:color="auto"/>
      </w:divBdr>
    </w:div>
    <w:div w:id="2135904102">
      <w:bodyDiv w:val="1"/>
      <w:marLeft w:val="0"/>
      <w:marRight w:val="0"/>
      <w:marTop w:val="0"/>
      <w:marBottom w:val="0"/>
      <w:divBdr>
        <w:top w:val="none" w:sz="0" w:space="0" w:color="auto"/>
        <w:left w:val="none" w:sz="0" w:space="0" w:color="auto"/>
        <w:bottom w:val="none" w:sz="0" w:space="0" w:color="auto"/>
        <w:right w:val="none" w:sz="0" w:space="0" w:color="auto"/>
      </w:divBdr>
    </w:div>
    <w:div w:id="2141651496">
      <w:bodyDiv w:val="1"/>
      <w:marLeft w:val="0"/>
      <w:marRight w:val="0"/>
      <w:marTop w:val="0"/>
      <w:marBottom w:val="0"/>
      <w:divBdr>
        <w:top w:val="none" w:sz="0" w:space="0" w:color="auto"/>
        <w:left w:val="none" w:sz="0" w:space="0" w:color="auto"/>
        <w:bottom w:val="none" w:sz="0" w:space="0" w:color="auto"/>
        <w:right w:val="none" w:sz="0" w:space="0" w:color="auto"/>
      </w:divBdr>
    </w:div>
    <w:div w:id="2145390832">
      <w:bodyDiv w:val="1"/>
      <w:marLeft w:val="0"/>
      <w:marRight w:val="0"/>
      <w:marTop w:val="0"/>
      <w:marBottom w:val="0"/>
      <w:divBdr>
        <w:top w:val="none" w:sz="0" w:space="0" w:color="auto"/>
        <w:left w:val="none" w:sz="0" w:space="0" w:color="auto"/>
        <w:bottom w:val="none" w:sz="0" w:space="0" w:color="auto"/>
        <w:right w:val="none" w:sz="0" w:space="0" w:color="auto"/>
      </w:divBdr>
    </w:div>
    <w:div w:id="2146776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library.fes.de/pdf-files/id/ipa/13259.pdf" TargetMode="External"/><Relationship Id="rId21" Type="http://schemas.openxmlformats.org/officeDocument/2006/relationships/chart" Target="charts/chart2.xml"/><Relationship Id="rId42" Type="http://schemas.openxmlformats.org/officeDocument/2006/relationships/chart" Target="charts/chart23.xml"/><Relationship Id="rId63" Type="http://schemas.openxmlformats.org/officeDocument/2006/relationships/chart" Target="charts/chart43.xml"/><Relationship Id="rId84" Type="http://schemas.openxmlformats.org/officeDocument/2006/relationships/chart" Target="charts/chart63.xml"/><Relationship Id="rId138" Type="http://schemas.openxmlformats.org/officeDocument/2006/relationships/hyperlink" Target="https://www.european-agency.org/sites/default/files/mipie-report_0.pdf" TargetMode="External"/><Relationship Id="rId159" Type="http://schemas.openxmlformats.org/officeDocument/2006/relationships/hyperlink" Target="https://fra.europa.eu/en/publication/2018/roma-inclusion" TargetMode="External"/><Relationship Id="rId170" Type="http://schemas.openxmlformats.org/officeDocument/2006/relationships/hyperlink" Target="http://www.finance.gov.sk/Default.aspx?CatID=9887" TargetMode="External"/><Relationship Id="rId191" Type="http://schemas.openxmlformats.org/officeDocument/2006/relationships/hyperlink" Target="https://ncse.ie/wp-content/uploads/2014/10/Access_to_the_Curriculum_19_10_12-2.pdf" TargetMode="External"/><Relationship Id="rId205" Type="http://schemas.openxmlformats.org/officeDocument/2006/relationships/hyperlink" Target="https://www.oecd-ilibrary.org/social-issues-migration-health/health-at-a-glance-2019_4dd50c09-en" TargetMode="External"/><Relationship Id="rId226" Type="http://schemas.openxmlformats.org/officeDocument/2006/relationships/hyperlink" Target="https://opac.crzp.sk/?fn=detailBiblioForm&amp;sid=67B569DE93B0833F174A60AEA79E&amp;seo=CRZP-detail-kniha" TargetMode="External"/><Relationship Id="rId247" Type="http://schemas.openxmlformats.org/officeDocument/2006/relationships/hyperlink" Target="https://www.minv.sk/?atlas-romskych-komunit-2019" TargetMode="External"/><Relationship Id="rId107" Type="http://schemas.openxmlformats.org/officeDocument/2006/relationships/chart" Target="charts/chart86.xml"/><Relationship Id="rId268" Type="http://schemas.openxmlformats.org/officeDocument/2006/relationships/theme" Target="theme/theme1.xml"/><Relationship Id="rId11" Type="http://schemas.openxmlformats.org/officeDocument/2006/relationships/image" Target="media/image4.png"/><Relationship Id="rId32" Type="http://schemas.openxmlformats.org/officeDocument/2006/relationships/chart" Target="charts/chart13.xml"/><Relationship Id="rId53" Type="http://schemas.openxmlformats.org/officeDocument/2006/relationships/chart" Target="charts/chart33.xml"/><Relationship Id="rId74" Type="http://schemas.openxmlformats.org/officeDocument/2006/relationships/chart" Target="charts/chart54.xml"/><Relationship Id="rId128" Type="http://schemas.openxmlformats.org/officeDocument/2006/relationships/hyperlink" Target="https://www.econstor.eu/bitstream/10419/35007/1/559459408.pdf" TargetMode="External"/><Relationship Id="rId149" Type="http://schemas.openxmlformats.org/officeDocument/2006/relationships/hyperlink" Target="http://eurydice.indire.it/wp-content/uploads/2017/02/Early_Childhood_Education_and_Care_.pdf" TargetMode="External"/><Relationship Id="rId5" Type="http://schemas.openxmlformats.org/officeDocument/2006/relationships/webSettings" Target="webSettings.xml"/><Relationship Id="rId95" Type="http://schemas.openxmlformats.org/officeDocument/2006/relationships/chart" Target="charts/chart74.xml"/><Relationship Id="rId160" Type="http://schemas.openxmlformats.org/officeDocument/2006/relationships/hyperlink" Target="https://asociaciavi.sk/wp-content/uploads/2019/02/Spr%C3%A1va_o_stave_v%C4%8Dasnej_intervencie_na_Slovensku_2018.pdf" TargetMode="External"/><Relationship Id="rId181" Type="http://schemas.openxmlformats.org/officeDocument/2006/relationships/hyperlink" Target="http://stary-web.governance.sk/assets/files/publikacie/AKTIVACNE_PRACE_SGI_SK_ZHRNUTIE.pdf" TargetMode="External"/><Relationship Id="rId216" Type="http://schemas.openxmlformats.org/officeDocument/2006/relationships/hyperlink" Target="https://www.feantsa.org/download/np_response6502075727440568644.pdf" TargetMode="External"/><Relationship Id="rId237" Type="http://schemas.openxmlformats.org/officeDocument/2006/relationships/hyperlink" Target="https://www.ssiba.sk/admin/fckeditor/editor/userfiles/file/Dokumenty/Vyhodnotenie_0_rocnik_2017_final%281%29.pdf" TargetMode="External"/><Relationship Id="rId258" Type="http://schemas.openxmlformats.org/officeDocument/2006/relationships/chart" Target="charts/chart92.xml"/><Relationship Id="rId22" Type="http://schemas.openxmlformats.org/officeDocument/2006/relationships/chart" Target="charts/chart3.xml"/><Relationship Id="rId43" Type="http://schemas.openxmlformats.org/officeDocument/2006/relationships/chart" Target="charts/chart24.xml"/><Relationship Id="rId64" Type="http://schemas.openxmlformats.org/officeDocument/2006/relationships/chart" Target="charts/chart44.xml"/><Relationship Id="rId118" Type="http://schemas.openxmlformats.org/officeDocument/2006/relationships/hyperlink" Target="http://doku.iab.de/discussionpapers-/2008/dp0508.pdf" TargetMode="External"/><Relationship Id="rId139" Type="http://schemas.openxmlformats.org/officeDocument/2006/relationships/hyperlink" Target="https://www.european-agency.org/sites/default/files/participation-in-inclusive-education-a-framework-for-developing-indicators_Participation-in-Inclusive-Education.pdf" TargetMode="External"/><Relationship Id="rId85" Type="http://schemas.openxmlformats.org/officeDocument/2006/relationships/chart" Target="charts/chart64.xml"/><Relationship Id="rId150" Type="http://schemas.openxmlformats.org/officeDocument/2006/relationships/hyperlink" Target="https://publications.europa.eu/en/publication-detail/-/publication/f0dc0d44-d581-11e7-a5b9-01aa75ed71a1/language-en/format-PDF" TargetMode="External"/><Relationship Id="rId171" Type="http://schemas.openxmlformats.org/officeDocument/2006/relationships/hyperlink" Target="https://www.imf.org/en/Publications/Policy-Papers/Issues/2018/05/31/pp053118pursuing-womens-economic-empowerment" TargetMode="External"/><Relationship Id="rId192" Type="http://schemas.openxmlformats.org/officeDocument/2006/relationships/hyperlink" Target="https://ncse.ie/wp-content/uploads/2014/10/Report_13_Continuum_07_08_13.pdf" TargetMode="External"/><Relationship Id="rId206" Type="http://schemas.openxmlformats.org/officeDocument/2006/relationships/hyperlink" Target="http://www.nber.org/papers/w23051" TargetMode="External"/><Relationship Id="rId227" Type="http://schemas.openxmlformats.org/officeDocument/2006/relationships/hyperlink" Target="https://www.zmos.sk/download_file_f.php?id=1254271" TargetMode="External"/><Relationship Id="rId248" Type="http://schemas.openxmlformats.org/officeDocument/2006/relationships/hyperlink" Target="https://www.minedu.sk/data/att/15248.pdf" TargetMode="External"/><Relationship Id="rId12" Type="http://schemas.openxmlformats.org/officeDocument/2006/relationships/image" Target="media/image5.png"/><Relationship Id="rId33" Type="http://schemas.openxmlformats.org/officeDocument/2006/relationships/chart" Target="charts/chart14.xml"/><Relationship Id="rId108" Type="http://schemas.openxmlformats.org/officeDocument/2006/relationships/chart" Target="charts/chart87.xml"/><Relationship Id="rId129" Type="http://schemas.openxmlformats.org/officeDocument/2006/relationships/hyperlink" Target="https://www.eurlyaid.eu/wp-content/uploads/2019/12/2019-12-Agora-project-summary-report-A4-version.pdf" TargetMode="External"/><Relationship Id="rId54" Type="http://schemas.openxmlformats.org/officeDocument/2006/relationships/chart" Target="charts/chart34.xml"/><Relationship Id="rId75" Type="http://schemas.openxmlformats.org/officeDocument/2006/relationships/chart" Target="charts/chart55.xml"/><Relationship Id="rId96" Type="http://schemas.openxmlformats.org/officeDocument/2006/relationships/chart" Target="charts/chart75.xml"/><Relationship Id="rId140" Type="http://schemas.openxmlformats.org/officeDocument/2006/relationships/hyperlink" Target="https://www.european-agency.org/sites/default/files/Evidence%20%E2%80%93%20A%20Review%20of%20the%20Literature_0.pdf" TargetMode="External"/><Relationship Id="rId161" Type="http://schemas.openxmlformats.org/officeDocument/2006/relationships/hyperlink" Target="http://documents.worldbank.org/curated/en/292771468196732276/Being-fair-faring-better-promoting-equality-of-opportunity-for-marginalized-Roma" TargetMode="External"/><Relationship Id="rId182" Type="http://schemas.openxmlformats.org/officeDocument/2006/relationships/hyperlink" Target="http://www.sociologia.sav.sk/cms/uploaded/1858_attach_tienova_sprava_2013_full.pdf" TargetMode="External"/><Relationship Id="rId217" Type="http://schemas.openxmlformats.org/officeDocument/2006/relationships/hyperlink" Target="ftp://193.87.31.84/0212900/Statistika_v_suvislostiach-Rodinne_spravanie_populacie_Slovenska.pdf" TargetMode="External"/><Relationship Id="rId6" Type="http://schemas.openxmlformats.org/officeDocument/2006/relationships/footnotes" Target="footnotes.xml"/><Relationship Id="rId238" Type="http://schemas.openxmlformats.org/officeDocument/2006/relationships/hyperlink" Target="https://www.ssiba.sk/admin/fckeditor/editor/userfiles/file/Dokumenty/SVVP_ZVPaP_152_153.pdf" TargetMode="External"/><Relationship Id="rId259" Type="http://schemas.openxmlformats.org/officeDocument/2006/relationships/hyperlink" Target="http://www.minedu.sk/data/files/3772.pdf" TargetMode="External"/><Relationship Id="rId23" Type="http://schemas.openxmlformats.org/officeDocument/2006/relationships/chart" Target="charts/chart4.xml"/><Relationship Id="rId28" Type="http://schemas.openxmlformats.org/officeDocument/2006/relationships/chart" Target="charts/chart9.xml"/><Relationship Id="rId49" Type="http://schemas.openxmlformats.org/officeDocument/2006/relationships/chart" Target="charts/chart30.xml"/><Relationship Id="rId114" Type="http://schemas.openxmlformats.org/officeDocument/2006/relationships/hyperlink" Target="https://dennikn.sk/1145558/ludi-trpiacich-dlhotrvajucim-zdravotnym-problemom-je-u-nas-menej-nez-tvrdia-statistiky/" TargetMode="External"/><Relationship Id="rId119" Type="http://schemas.openxmlformats.org/officeDocument/2006/relationships/hyperlink" Target="http://maximisingtas.co.uk/assets/content/disss1w123r.pdf" TargetMode="External"/><Relationship Id="rId44" Type="http://schemas.openxmlformats.org/officeDocument/2006/relationships/chart" Target="charts/chart25.xml"/><Relationship Id="rId60" Type="http://schemas.openxmlformats.org/officeDocument/2006/relationships/chart" Target="charts/chart40.xml"/><Relationship Id="rId65" Type="http://schemas.openxmlformats.org/officeDocument/2006/relationships/chart" Target="charts/chart45.xml"/><Relationship Id="rId81" Type="http://schemas.openxmlformats.org/officeDocument/2006/relationships/chart" Target="charts/chart60.xml"/><Relationship Id="rId86" Type="http://schemas.openxmlformats.org/officeDocument/2006/relationships/chart" Target="charts/chart65.xml"/><Relationship Id="rId130" Type="http://schemas.openxmlformats.org/officeDocument/2006/relationships/hyperlink" Target="http://nesetweb.eu/NESETII_Structural_Indicators.pdf" TargetMode="External"/><Relationship Id="rId135" Type="http://schemas.openxmlformats.org/officeDocument/2006/relationships/hyperlink" Target="https://www.european-agency.org/sites/default/files/european-patterns-of-successful-practice-in-vet_VET-Report_SK.pdf" TargetMode="External"/><Relationship Id="rId151" Type="http://schemas.openxmlformats.org/officeDocument/2006/relationships/hyperlink" Target="https://eacea.ec.europa.eu/national-policies/eurydice/sites/eurydice/files/structural_indicators_2018.pdf" TargetMode="External"/><Relationship Id="rId156" Type="http://schemas.openxmlformats.org/officeDocument/2006/relationships/hyperlink" Target="https://ec.europa.eu/social/BlobServlet-?docId=6964&amp;langId=en" TargetMode="External"/><Relationship Id="rId177" Type="http://schemas.openxmlformats.org/officeDocument/2006/relationships/hyperlink" Target="https://pdfs.semanticscholar.org/aba8/400531ca8e78475bdff4db97a54d6cf76015.pdf?_ga=2.170159968.1940455536.1562077099-978996208.1562077099" TargetMode="External"/><Relationship Id="rId198" Type="http://schemas.openxmlformats.org/officeDocument/2006/relationships/hyperlink" Target="https://www.oecd-ilibrary.org/social-issues-migration-health/equal-opportunities_9789264086395-en" TargetMode="External"/><Relationship Id="rId172" Type="http://schemas.openxmlformats.org/officeDocument/2006/relationships/hyperlink" Target="https://www.minedu.sk/data/att/11679.pdf" TargetMode="External"/><Relationship Id="rId193" Type="http://schemas.openxmlformats.org/officeDocument/2006/relationships/hyperlink" Target="https://ncse.ie/wp-content/uploads/2015/01/NCSE-SNA-Scheme-Information-Pamphlet.FINALwebaccessibleversion.16.01.151.pdf" TargetMode="External"/><Relationship Id="rId202" Type="http://schemas.openxmlformats.org/officeDocument/2006/relationships/hyperlink" Target="http://dx.doi.org/10.1787/9789264287457-en" TargetMode="External"/><Relationship Id="rId207" Type="http://schemas.openxmlformats.org/officeDocument/2006/relationships/hyperlink" Target="https://www.ceit.sk/IVPR/images/IVPR/vyskum/2018/Ondrusova/rozvoj_spoluprace_agentur_2018.pdf" TargetMode="External"/><Relationship Id="rId223" Type="http://schemas.openxmlformats.org/officeDocument/2006/relationships/hyperlink" Target="https://socialnibydleni.org/wp-content/uploads/2018/12/RRH_Zaverecna-evaluacni-zprava_web.pdf" TargetMode="External"/><Relationship Id="rId228" Type="http://schemas.openxmlformats.org/officeDocument/2006/relationships/hyperlink" Target="https://www.tsp.gov.sk/wp-content/uploads/2016/02/Evaluacia-dopadu-terennej-socialnej-prace-2018.pdf" TargetMode="External"/><Relationship Id="rId244" Type="http://schemas.openxmlformats.org/officeDocument/2006/relationships/hyperlink" Target="https://www.employment.gov.sk/files/undp-sprava-2010_na-web.pdf" TargetMode="External"/><Relationship Id="rId249" Type="http://schemas.openxmlformats.org/officeDocument/2006/relationships/hyperlink" Target="https://www.vop.gov.sk/files/Sprava%20bezbarierovost%20skoly.pdf" TargetMode="External"/><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chart" Target="charts/chart20.xml"/><Relationship Id="rId109" Type="http://schemas.openxmlformats.org/officeDocument/2006/relationships/chart" Target="charts/chart88.xml"/><Relationship Id="rId260" Type="http://schemas.openxmlformats.org/officeDocument/2006/relationships/chart" Target="charts/chart93.xml"/><Relationship Id="rId265" Type="http://schemas.openxmlformats.org/officeDocument/2006/relationships/hyperlink" Target="https://www.iz.sk/kalkulacka" TargetMode="External"/><Relationship Id="rId34" Type="http://schemas.openxmlformats.org/officeDocument/2006/relationships/chart" Target="charts/chart15.xml"/><Relationship Id="rId50" Type="http://schemas.openxmlformats.org/officeDocument/2006/relationships/chart" Target="charts/chart31.xml"/><Relationship Id="rId55" Type="http://schemas.openxmlformats.org/officeDocument/2006/relationships/chart" Target="charts/chart35.xml"/><Relationship Id="rId76" Type="http://schemas.openxmlformats.org/officeDocument/2006/relationships/chart" Target="charts/chart56.xml"/><Relationship Id="rId97" Type="http://schemas.openxmlformats.org/officeDocument/2006/relationships/chart" Target="charts/chart76.xml"/><Relationship Id="rId104" Type="http://schemas.openxmlformats.org/officeDocument/2006/relationships/chart" Target="charts/chart83.xml"/><Relationship Id="rId120" Type="http://schemas.openxmlformats.org/officeDocument/2006/relationships/hyperlink" Target="https://prohuman.sk/socialna-praca/socialne-byvanie-na-slovensku" TargetMode="External"/><Relationship Id="rId125" Type="http://schemas.openxmlformats.org/officeDocument/2006/relationships/hyperlink" Target="https://www.researchgate.net/profile/Robert_Cimera/publication/260782022_Supported_versus_sheltered_employment_Cumulative_costs_hours_worked_and_wages_earned/links/00b4953231da881061000000/Supported-versus-sheltered-employment-Cumulative-costs-hours-worked-and-wages-earned.pdf" TargetMode="External"/><Relationship Id="rId141" Type="http://schemas.openxmlformats.org/officeDocument/2006/relationships/hyperlink" Target="https://www.european-agency.org/data/cross-country-reports" TargetMode="External"/><Relationship Id="rId146" Type="http://schemas.openxmlformats.org/officeDocument/2006/relationships/hyperlink" Target="https://ec.europa.eu/social/BlobServlet?docId=16601&amp;langId=en" TargetMode="External"/><Relationship Id="rId167" Type="http://schemas.openxmlformats.org/officeDocument/2006/relationships/hyperlink" Target="http://www.finance.gov.sk/Default.aspx?CatID=11228" TargetMode="External"/><Relationship Id="rId188" Type="http://schemas.openxmlformats.org/officeDocument/2006/relationships/hyperlink" Target="https://www.minedu.sk/analyza-zaskolenosti-deti-v-materskych-skolach/" TargetMode="External"/><Relationship Id="rId7" Type="http://schemas.openxmlformats.org/officeDocument/2006/relationships/endnotes" Target="endnotes.xml"/><Relationship Id="rId71" Type="http://schemas.openxmlformats.org/officeDocument/2006/relationships/chart" Target="charts/chart51.xml"/><Relationship Id="rId92" Type="http://schemas.openxmlformats.org/officeDocument/2006/relationships/chart" Target="charts/chart71.xml"/><Relationship Id="rId162" Type="http://schemas.openxmlformats.org/officeDocument/2006/relationships/hyperlink" Target="http://www.nbs.sk/_img/Documents/_Publikacie/rozpocet20/Rozpocet_20_Seminar_FV.pdf?fbclid=IwAR3dcYuHHnAgDE6E76wajPEM7XM2PN-ZTks7r7jhX2yc-SDo_V4aJ2SDzdQ" TargetMode="External"/><Relationship Id="rId183" Type="http://schemas.openxmlformats.org/officeDocument/2006/relationships/hyperlink" Target="https://www.academia.edu/25636031/Poskytovanie_slu%C5%BEieb_b%C3%BDvania_mimovl%C3%A1dnym_neziskov%C3%BDm_sektorom_Providing_Housing_Services_through_Non-governmental_Non-profit_Sector" TargetMode="External"/><Relationship Id="rId213" Type="http://schemas.openxmlformats.org/officeDocument/2006/relationships/hyperlink" Target="https://www.asb.sk/architektura/bytove-domy/ako-vyzera-socialne-byvanie-vo-viedni" TargetMode="External"/><Relationship Id="rId218" Type="http://schemas.openxmlformats.org/officeDocument/2006/relationships/hyperlink" Target="http://www.gitanos.org/upload/13/60/Eslovaquia-corrected.pdf" TargetMode="External"/><Relationship Id="rId234" Type="http://schemas.openxmlformats.org/officeDocument/2006/relationships/hyperlink" Target="https://www.ssiba.sk/admin/fckeditor/editor/userfiles/file/Dokumenty/SPRAVY/2017/UZP_Inkluzia_ZS_2016_2017.pdf" TargetMode="External"/><Relationship Id="rId239" Type="http://schemas.openxmlformats.org/officeDocument/2006/relationships/hyperlink" Target="https://www.ssiba.sk/admin/fckeditor/editor/userfiles/file/Dokumenty/SPRAVY/2019/UZP_SVVP_MS_18_19.pdf" TargetMode="External"/><Relationship Id="rId2" Type="http://schemas.openxmlformats.org/officeDocument/2006/relationships/numbering" Target="numbering.xml"/><Relationship Id="rId29" Type="http://schemas.openxmlformats.org/officeDocument/2006/relationships/chart" Target="charts/chart10.xml"/><Relationship Id="rId250" Type="http://schemas.openxmlformats.org/officeDocument/2006/relationships/hyperlink" Target="http://www.euro.who.int/en/publications/abstracts/european-child-health-services-and-systems.-lessons-without-borders-2013" TargetMode="External"/><Relationship Id="rId255" Type="http://schemas.openxmlformats.org/officeDocument/2006/relationships/footer" Target="footer3.xml"/><Relationship Id="rId24" Type="http://schemas.openxmlformats.org/officeDocument/2006/relationships/chart" Target="charts/chart5.xml"/><Relationship Id="rId40" Type="http://schemas.openxmlformats.org/officeDocument/2006/relationships/chart" Target="charts/chart21.xml"/><Relationship Id="rId45" Type="http://schemas.openxmlformats.org/officeDocument/2006/relationships/chart" Target="charts/chart26.xml"/><Relationship Id="rId66" Type="http://schemas.openxmlformats.org/officeDocument/2006/relationships/chart" Target="charts/chart46.xml"/><Relationship Id="rId87" Type="http://schemas.openxmlformats.org/officeDocument/2006/relationships/chart" Target="charts/chart66.xml"/><Relationship Id="rId110" Type="http://schemas.openxmlformats.org/officeDocument/2006/relationships/hyperlink" Target="https://www.independent.co.uk/travel/news-and-advice/vienna-best-city-live-quality-life-ranking-mercer-australia-europe-a8820396.html" TargetMode="External"/><Relationship Id="rId115" Type="http://schemas.openxmlformats.org/officeDocument/2006/relationships/hyperlink" Target="https://unesdoc.unesco.org/ark:/48223/pf0000212270" TargetMode="External"/><Relationship Id="rId131" Type="http://schemas.openxmlformats.org/officeDocument/2006/relationships/hyperlink" Target="https://www.minzp.sk/iep/publikacie/ekonomicke-analyzy/praca-ludmi-bez-domova-prinasa-ovocie-celej-spolocnosti.html" TargetMode="External"/><Relationship Id="rId136" Type="http://schemas.openxmlformats.org/officeDocument/2006/relationships/hyperlink" Target="https://www.european" TargetMode="External"/><Relationship Id="rId157" Type="http://schemas.openxmlformats.org/officeDocument/2006/relationships/hyperlink" Target="http://www.transparency.sk/wp-content/uploads/2015/05/FOCUS-Percepcia-korupcie-na-Slovensku-feb.2015.pdf" TargetMode="External"/><Relationship Id="rId178" Type="http://schemas.openxmlformats.org/officeDocument/2006/relationships/hyperlink" Target="https://www.mfsr.sk/sk/financie/institut-financnej-politiky/publikacie-ifp/ekonomicke-analyzy/53-najme-dalej-zajdes-podpora-byvania-slovensku.html" TargetMode="External"/><Relationship Id="rId61" Type="http://schemas.openxmlformats.org/officeDocument/2006/relationships/chart" Target="charts/chart41.xml"/><Relationship Id="rId82" Type="http://schemas.openxmlformats.org/officeDocument/2006/relationships/chart" Target="charts/chart61.xml"/><Relationship Id="rId152" Type="http://schemas.openxmlformats.org/officeDocument/2006/relationships/hyperlink" Target="http://documents.worldbank.org/curated/en/535371478531675550/Cash-transfers-and-health-evidence-from-Tanzania" TargetMode="External"/><Relationship Id="rId173" Type="http://schemas.openxmlformats.org/officeDocument/2006/relationships/hyperlink" Target="https://www.minv.sk/swift_data/source/mvsr_a_eu/oplz/vyzvy/vyzva_byvanie_2018/Priloha%20c.%2011%20-%20Zasady%20a%20odporucania.pdf" TargetMode="External"/><Relationship Id="rId194" Type="http://schemas.openxmlformats.org/officeDocument/2006/relationships/hyperlink" Target="https://ncse.ie/wp-content/uploads/2016/01/2-NCSE-2016-Changing-Schools-2-final-web-27.01.16.pdf" TargetMode="External"/><Relationship Id="rId199" Type="http://schemas.openxmlformats.org/officeDocument/2006/relationships/hyperlink" Target="http://ifuturo.org/documentacion/Employment%20outlook%202015.pdf" TargetMode="External"/><Relationship Id="rId203" Type="http://schemas.openxmlformats.org/officeDocument/2006/relationships/hyperlink" Target="http://dx.doi.org/10.1787/9789264085145-en" TargetMode="External"/><Relationship Id="rId208" Type="http://schemas.openxmlformats.org/officeDocument/2006/relationships/hyperlink" Target="https://www.ceit.sk/IVPR/images/IVPR/vyskum/2016/Ondrusova/zaverecna_sprava_scitanie_ondrusova_2016.pdf" TargetMode="External"/><Relationship Id="rId229" Type="http://schemas.openxmlformats.org/officeDocument/2006/relationships/hyperlink" Target="https://www.ceit.sk/IVPR/images/IVPR/vyskum/2018/Skobla/system_podpory_byvania_maj.pdf" TargetMode="External"/><Relationship Id="rId19" Type="http://schemas.openxmlformats.org/officeDocument/2006/relationships/footer" Target="footer1.xml"/><Relationship Id="rId224" Type="http://schemas.openxmlformats.org/officeDocument/2006/relationships/hyperlink" Target="https://mpc-edu.sk/sites/default/files/rocepo-dokumenty/na-pomoc-pedagogom/mpc_2012_rc2.pdf" TargetMode="External"/><Relationship Id="rId240" Type="http://schemas.openxmlformats.org/officeDocument/2006/relationships/hyperlink" Target="https://www.ssiba.sk/admin/fckeditor/editor/userfiles/file/Dokumenty/UZP_KURZ_ZS_SOS.pdf" TargetMode="External"/><Relationship Id="rId245" Type="http://schemas.openxmlformats.org/officeDocument/2006/relationships/hyperlink" Target="https://www.unicef-irc.org/publications/pdf/rc8_eng.pdf" TargetMode="External"/><Relationship Id="rId261" Type="http://schemas.openxmlformats.org/officeDocument/2006/relationships/footer" Target="footer4.xml"/><Relationship Id="rId266" Type="http://schemas.openxmlformats.org/officeDocument/2006/relationships/hyperlink" Target="https://www.minedu.sk/data/att/11075.pdf" TargetMode="External"/><Relationship Id="rId14" Type="http://schemas.openxmlformats.org/officeDocument/2006/relationships/image" Target="media/image7.png"/><Relationship Id="rId30" Type="http://schemas.openxmlformats.org/officeDocument/2006/relationships/chart" Target="charts/chart11.xml"/><Relationship Id="rId35" Type="http://schemas.openxmlformats.org/officeDocument/2006/relationships/chart" Target="charts/chart16.xml"/><Relationship Id="rId56" Type="http://schemas.openxmlformats.org/officeDocument/2006/relationships/chart" Target="charts/chart36.xml"/><Relationship Id="rId77" Type="http://schemas.openxmlformats.org/officeDocument/2006/relationships/chart" Target="charts/chart57.xml"/><Relationship Id="rId100" Type="http://schemas.openxmlformats.org/officeDocument/2006/relationships/chart" Target="charts/chart79.xml"/><Relationship Id="rId105" Type="http://schemas.openxmlformats.org/officeDocument/2006/relationships/chart" Target="charts/chart84.xml"/><Relationship Id="rId126" Type="http://schemas.openxmlformats.org/officeDocument/2006/relationships/hyperlink" Target="https://www.attainmentcompany.com/dcat/samples/AIlign-IEPs-Sample.pdf" TargetMode="External"/><Relationship Id="rId147" Type="http://schemas.openxmlformats.org/officeDocument/2006/relationships/hyperlink" Target="https://eacea.ec.europa.eu/national-policies/eurydice/sites/eurydice/files/compulsory_education_2018_19.pdf" TargetMode="External"/><Relationship Id="rId168" Type="http://schemas.openxmlformats.org/officeDocument/2006/relationships/hyperlink" Target="https://uniba.sk/fileadmin/ruk/cezap/Architektonicke_bariery_voVSprostredi.pdf" TargetMode="External"/><Relationship Id="rId8" Type="http://schemas.openxmlformats.org/officeDocument/2006/relationships/image" Target="media/image1.png"/><Relationship Id="rId51" Type="http://schemas.openxmlformats.org/officeDocument/2006/relationships/chart" Target="charts/chart32.xml"/><Relationship Id="rId72" Type="http://schemas.openxmlformats.org/officeDocument/2006/relationships/chart" Target="charts/chart52.xml"/><Relationship Id="rId93" Type="http://schemas.openxmlformats.org/officeDocument/2006/relationships/chart" Target="charts/chart72.xml"/><Relationship Id="rId98" Type="http://schemas.openxmlformats.org/officeDocument/2006/relationships/chart" Target="charts/chart77.xml"/><Relationship Id="rId121" Type="http://schemas.openxmlformats.org/officeDocument/2006/relationships/hyperlink" Target="https://www.oecd-ilibrary.org/economics/income-distribution-and-poverty-in-selected-oecd-countries_730801800603" TargetMode="External"/><Relationship Id="rId142" Type="http://schemas.openxmlformats.org/officeDocument/2006/relationships/hyperlink" Target="https://www.european-agency.org/sites/default/files/AgencyFlyer2017-SK_A4_electronic.pdf" TargetMode="External"/><Relationship Id="rId163" Type="http://schemas.openxmlformats.org/officeDocument/2006/relationships/hyperlink" Target="https://www.researchgate.net/publication/265143256_The_-Wider_Labour_Market_Impact_of_Employment_Zones" TargetMode="External"/><Relationship Id="rId184" Type="http://schemas.openxmlformats.org/officeDocument/2006/relationships/hyperlink" Target="http://cvek.sk/riesenie-nezamestnanosti-romov-od-mytu-k-praxi-a-spat/" TargetMode="External"/><Relationship Id="rId189" Type="http://schemas.openxmlformats.org/officeDocument/2006/relationships/hyperlink" Target="https://indd.adobe.com/view/ce456704-8e75-46a4-a7e6-700b024ed409" TargetMode="External"/><Relationship Id="rId219" Type="http://schemas.openxmlformats.org/officeDocument/2006/relationships/hyperlink" Target="https://openknowledge.worldbank.org/handle/10986/18119" TargetMode="External"/><Relationship Id="rId3" Type="http://schemas.openxmlformats.org/officeDocument/2006/relationships/styles" Target="styles.xml"/><Relationship Id="rId214" Type="http://schemas.openxmlformats.org/officeDocument/2006/relationships/hyperlink" Target="https://www.employment.gov.sk/files/slovensky/ministerstvo/analyticke-centrum/analyticke-komentare/kto_chce_zat_musi_siat.pdf" TargetMode="External"/><Relationship Id="rId230" Type="http://schemas.openxmlformats.org/officeDocument/2006/relationships/hyperlink" Target="https://www.minv.sk/swift_data/source/romovia/publikacie/kniznica/FINALuplatnitelnost_systemu_prestupneho_byvania_housing_first_VU_20161%20(1).pdf" TargetMode="External"/><Relationship Id="rId235" Type="http://schemas.openxmlformats.org/officeDocument/2006/relationships/hyperlink" Target="https://www.ssiba.sk/admin/fckeditor/editor/userfiles/file/Dokumenty/SPRAVY/2017/152_TI_CSPP_CPPP_2016_17_SR_2.pdf" TargetMode="External"/><Relationship Id="rId251" Type="http://schemas.openxmlformats.org/officeDocument/2006/relationships/hyperlink" Target="https://ysaatio.fi/assets/files/2018/01/A_Home_of_Your_Own_lowres_spreads.pdf" TargetMode="External"/><Relationship Id="rId256" Type="http://schemas.openxmlformats.org/officeDocument/2006/relationships/chart" Target="charts/chart90.xml"/><Relationship Id="rId25" Type="http://schemas.openxmlformats.org/officeDocument/2006/relationships/chart" Target="charts/chart6.xml"/><Relationship Id="rId46" Type="http://schemas.openxmlformats.org/officeDocument/2006/relationships/chart" Target="charts/chart27.xml"/><Relationship Id="rId67" Type="http://schemas.openxmlformats.org/officeDocument/2006/relationships/chart" Target="charts/chart47.xml"/><Relationship Id="rId116" Type="http://schemas.openxmlformats.org/officeDocument/2006/relationships/hyperlink" Target="https://www.nadacnyfondtelekom.sk/wp-content/uploads/2018/10/Analyza_nakladov_a_prinosov_terennej_vcasnej_intervencie.pdf" TargetMode="External"/><Relationship Id="rId137" Type="http://schemas.openxmlformats.org/officeDocument/2006/relationships/hyperlink" Target="https://www.european-agency.org/sites/default/files/special-needs-education-in-europe_sne_europe_en.pdf" TargetMode="External"/><Relationship Id="rId158" Type="http://schemas.openxmlformats.org/officeDocument/2006/relationships/hyperlink" Target="http://fra.europa.eu/sites/default/files/fra_uploads/fra-2016-eu-minorities-survey-roma-selected-findings_sk.pdf" TargetMode="External"/><Relationship Id="rId20" Type="http://schemas.openxmlformats.org/officeDocument/2006/relationships/chart" Target="charts/chart1.xml"/><Relationship Id="rId41" Type="http://schemas.openxmlformats.org/officeDocument/2006/relationships/chart" Target="charts/chart22.xml"/><Relationship Id="rId62" Type="http://schemas.openxmlformats.org/officeDocument/2006/relationships/chart" Target="charts/chart42.xml"/><Relationship Id="rId83" Type="http://schemas.openxmlformats.org/officeDocument/2006/relationships/chart" Target="charts/chart62.xml"/><Relationship Id="rId88" Type="http://schemas.openxmlformats.org/officeDocument/2006/relationships/chart" Target="charts/chart67.xml"/><Relationship Id="rId111" Type="http://schemas.openxmlformats.org/officeDocument/2006/relationships/hyperlink" Target="https://pediatrics.aappublications.org/content/pediatrics/121/5/1052.full.pdf" TargetMode="External"/><Relationship Id="rId132" Type="http://schemas.openxmlformats.org/officeDocument/2006/relationships/hyperlink" Target="https://www.researchgate.net/publication/228928956_Outsourcing_Employment_Services_What_Have_We_Learned_From_The_Job_Network" TargetMode="External"/><Relationship Id="rId153" Type="http://schemas.openxmlformats.org/officeDocument/2006/relationships/hyperlink" Target="https://www.ceit.sk/IVPR/images/IVPR/vyskum/2019/Fico/prieskum_najomneho_byvania_fico_ondrusova_skobla_2019.pdf" TargetMode="External"/><Relationship Id="rId174" Type="http://schemas.openxmlformats.org/officeDocument/2006/relationships/hyperlink" Target="http://www.clovekaspolocnost.sk/jquery/pdf.php?gui=4C1CAWW8VEC76AVNLGD191A7C" TargetMode="External"/><Relationship Id="rId179" Type="http://schemas.openxmlformats.org/officeDocument/2006/relationships/hyperlink" Target="https://www.mfsr.sk/sk/financie/institut-financnej-politiky/publikacie-ifp/ekonomicke-analyzy/53-najme-dalej-zajdes-podpora-byvania-slovensku.html" TargetMode="External"/><Relationship Id="rId195" Type="http://schemas.openxmlformats.org/officeDocument/2006/relationships/hyperlink" Target="https://www.nucem.sk/dl/818/Pokyny_pre_koordinatorov_T9_2018_final.pdf" TargetMode="External"/><Relationship Id="rId209" Type="http://schemas.openxmlformats.org/officeDocument/2006/relationships/hyperlink" Target="https://www.ceit.sk/IVPR/images/IVPR/vyskum/2018/Ondrusova/podkladovy_material_koncepcie_ondrusova_2018.pdf" TargetMode="External"/><Relationship Id="rId190" Type="http://schemas.openxmlformats.org/officeDocument/2006/relationships/hyperlink" Target="https://www.nbs.sk/_img/Documents/_PUBLIK_NBS_FSR/Biatec/Rok2015/09-2015/biatec_09_2015_03Car.pdf" TargetMode="External"/><Relationship Id="rId204" Type="http://schemas.openxmlformats.org/officeDocument/2006/relationships/hyperlink" Target="https://www.oecd.org/pisa/pisa-2015-results-in-focus.pdf" TargetMode="External"/><Relationship Id="rId220" Type="http://schemas.openxmlformats.org/officeDocument/2006/relationships/hyperlink" Target="http://osf.sk/wp-content/uploads/2017/07/RECI_Slovak-Republic-report_ENG-06-18-2017.pdf" TargetMode="External"/><Relationship Id="rId225" Type="http://schemas.openxmlformats.org/officeDocument/2006/relationships/hyperlink" Target="https://www.researchgate.net/publication/303548553_New_Deal_for_Disabled_People_Third_synthesis_report_-_key_findings_from_the_evaluation" TargetMode="External"/><Relationship Id="rId241" Type="http://schemas.openxmlformats.org/officeDocument/2006/relationships/hyperlink" Target="https://analyza.todarozum.sk/data/19081607260001hyi1/" TargetMode="External"/><Relationship Id="rId246" Type="http://schemas.openxmlformats.org/officeDocument/2006/relationships/hyperlink" Target="http://www.minv.sk/swift_data/source/romovia/publikacie/Metodicky%20vyklad%20k%20pouzivaniu%20etnickych%20kategorii%20pri%20nastavovani%20statnych%20integracnych%20politik.pdf" TargetMode="External"/><Relationship Id="rId267" Type="http://schemas.openxmlformats.org/officeDocument/2006/relationships/fontTable" Target="fontTable.xml"/><Relationship Id="rId15" Type="http://schemas.openxmlformats.org/officeDocument/2006/relationships/image" Target="media/image8.png"/><Relationship Id="rId36" Type="http://schemas.openxmlformats.org/officeDocument/2006/relationships/chart" Target="charts/chart17.xml"/><Relationship Id="rId57" Type="http://schemas.openxmlformats.org/officeDocument/2006/relationships/chart" Target="charts/chart37.xml"/><Relationship Id="rId106" Type="http://schemas.openxmlformats.org/officeDocument/2006/relationships/chart" Target="charts/chart85.xml"/><Relationship Id="rId127" Type="http://schemas.openxmlformats.org/officeDocument/2006/relationships/hyperlink" Target="http://cvek.sk/monitorovacia-sprava-obcianskej-spolocnosti-o-implementacii-narodnej-strategie-integracie-romov-na-slovensku/" TargetMode="External"/><Relationship Id="rId262" Type="http://schemas.openxmlformats.org/officeDocument/2006/relationships/footer" Target="footer5.xml"/><Relationship Id="rId10" Type="http://schemas.openxmlformats.org/officeDocument/2006/relationships/image" Target="media/image3.png"/><Relationship Id="rId31" Type="http://schemas.openxmlformats.org/officeDocument/2006/relationships/chart" Target="charts/chart12.xml"/><Relationship Id="rId52" Type="http://schemas.openxmlformats.org/officeDocument/2006/relationships/hyperlink" Target="https://www.minedu.sk/data/att/5853.pdf" TargetMode="External"/><Relationship Id="rId73" Type="http://schemas.openxmlformats.org/officeDocument/2006/relationships/chart" Target="charts/chart53.xml"/><Relationship Id="rId78" Type="http://schemas.openxmlformats.org/officeDocument/2006/relationships/chart" Target="charts/chart58.xml"/><Relationship Id="rId94" Type="http://schemas.openxmlformats.org/officeDocument/2006/relationships/chart" Target="charts/chart73.xml"/><Relationship Id="rId99" Type="http://schemas.openxmlformats.org/officeDocument/2006/relationships/chart" Target="charts/chart78.xml"/><Relationship Id="rId101" Type="http://schemas.openxmlformats.org/officeDocument/2006/relationships/chart" Target="charts/chart80.xml"/><Relationship Id="rId122" Type="http://schemas.openxmlformats.org/officeDocument/2006/relationships/hyperlink" Target="http://www.rpsp.sk/joomla/images/publikacie/vcasna_intervencia.pdf" TargetMode="External"/><Relationship Id="rId143" Type="http://schemas.openxmlformats.org/officeDocument/2006/relationships/hyperlink" Target="http://ec.europa.eu/social/BlobServlet?docId=10932&amp;langId=en" TargetMode="External"/><Relationship Id="rId148" Type="http://schemas.openxmlformats.org/officeDocument/2006/relationships/hyperlink" Target="https://www.poradna-prava.sk/sk/dokumenty/sprava-o-uplatnovani-antidiskriminacnej-legislativy-na-slovensku/" TargetMode="External"/><Relationship Id="rId164" Type="http://schemas.openxmlformats.org/officeDocument/2006/relationships/hyperlink" Target="file:///C:\Users\thellebrandt\Downloads\material%20for%20publication_accessible.pdf" TargetMode="External"/><Relationship Id="rId169" Type="http://schemas.openxmlformats.org/officeDocument/2006/relationships/hyperlink" Target="https://www.mfsr.sk/sk/financie/verejne-financie/regulacny-komplex-pravnych-noriem-metodickych-postupov-z-oblasti-rozpoctoveho-procesu/rozpoctova-klasifikacia/uplne-znenie-metodickeho-usmernenia-ministerstva-financii-slovenskej-republiky-k-c-mf/010175/2004-42-zo-dna-3.html" TargetMode="External"/><Relationship Id="rId185" Type="http://schemas.openxmlformats.org/officeDocument/2006/relationships/hyperlink" Target="https://www.rand.org/content/dam/rand/pubs/monographs/2005/RAND_MG341.pdf"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celsi.sk/media/research_reports/celsi_rr_8_final.pdf" TargetMode="External"/><Relationship Id="rId210" Type="http://schemas.openxmlformats.org/officeDocument/2006/relationships/hyperlink" Target="https://www.unwomen.org/en/what-we-do/economic-empowerment/facts-and-figures" TargetMode="External"/><Relationship Id="rId215" Type="http://schemas.openxmlformats.org/officeDocument/2006/relationships/hyperlink" Target="https://www.employment.gov.sk/sk/ministerstvo/vyskum-oblasti-prace-socialnych-veci-institut-socialnej-politiky/analyticke-komentare/docasna-praca-ako-sanca-znevyhodnenych.html" TargetMode="External"/><Relationship Id="rId236" Type="http://schemas.openxmlformats.org/officeDocument/2006/relationships/hyperlink" Target="https://www.ssiba.sk/admin/fckeditor/editor/userfiles/file/Dokumenty/SPRAVY/2017/151_TI_SZS_2016_17_SR_1.pdf" TargetMode="External"/><Relationship Id="rId257" Type="http://schemas.openxmlformats.org/officeDocument/2006/relationships/chart" Target="charts/chart91.xml"/><Relationship Id="rId26" Type="http://schemas.openxmlformats.org/officeDocument/2006/relationships/chart" Target="charts/chart7.xml"/><Relationship Id="rId231" Type="http://schemas.openxmlformats.org/officeDocument/2006/relationships/hyperlink" Target="http://www.infostat.sk/vdc/pdf/Prognoza_rodin.pdf" TargetMode="External"/><Relationship Id="rId252" Type="http://schemas.openxmlformats.org/officeDocument/2006/relationships/hyperlink" Target="https://www.stuba.sk/buxus/docs/stu/ustavy/ustav_manazmentu/NAB2008_2/clanok1.pdf" TargetMode="External"/><Relationship Id="rId47" Type="http://schemas.openxmlformats.org/officeDocument/2006/relationships/chart" Target="charts/chart28.xml"/><Relationship Id="rId68" Type="http://schemas.openxmlformats.org/officeDocument/2006/relationships/chart" Target="charts/chart48.xml"/><Relationship Id="rId89" Type="http://schemas.openxmlformats.org/officeDocument/2006/relationships/chart" Target="charts/chart68.xml"/><Relationship Id="rId112" Type="http://schemas.openxmlformats.org/officeDocument/2006/relationships/hyperlink" Target="https://asociaciavi.sk/obsah-a-kvalita-sluzby-vcasnej-intervencie-podla-aktualnych-trendov/" TargetMode="External"/><Relationship Id="rId133" Type="http://schemas.openxmlformats.org/officeDocument/2006/relationships/hyperlink" Target="https://ec.europa.eu/employment_social/social_inclusion/docs/2007/study_homelessness_en.pdf" TargetMode="External"/><Relationship Id="rId154" Type="http://schemas.openxmlformats.org/officeDocument/2006/relationships/hyperlink" Target="https://docs.wixstatic.com/ugd/5f2ca1_99da834d21f14edb8a96a4df37e3f7c5.pdf" TargetMode="External"/><Relationship Id="rId175" Type="http://schemas.openxmlformats.org/officeDocument/2006/relationships/hyperlink" Target="https://www.ceit.sk/IVPR/images/IVPR/vyskum/2018/Keselova/kvalita_sluzieb_zamestnanosti_keselova_2018.pdf" TargetMode="External"/><Relationship Id="rId196" Type="http://schemas.openxmlformats.org/officeDocument/2006/relationships/hyperlink" Target="https://www.education.ie/en/Press-Events/Events/Gaeltacht-Education-Policy-Proposals/Education-Provision-through-Minority-Languages_Review-of-International-Research_May-2015.pdf" TargetMode="External"/><Relationship Id="rId200" Type="http://schemas.openxmlformats.org/officeDocument/2006/relationships/hyperlink" Target="https://read.oecd-ilibrary.org/social-issues-migration-health/integrating-the-delivery-of-social-services-for-vulnerable-groups_9789264233775-en" TargetMode="External"/><Relationship Id="rId16" Type="http://schemas.openxmlformats.org/officeDocument/2006/relationships/oleObject" Target="embeddings/oleObject1.bin"/><Relationship Id="rId221" Type="http://schemas.openxmlformats.org/officeDocument/2006/relationships/hyperlink" Target="https://www.ia.gov.sk/npkiku/wp-content/uploads/2019/06/IA_Dopadova&#769;-zpra&#769;va-z-evaluace_17.pdf" TargetMode="External"/><Relationship Id="rId242" Type="http://schemas.openxmlformats.org/officeDocument/2006/relationships/hyperlink" Target="http://www.finance.gov.sk/Default.aspx?CatID=11158" TargetMode="External"/><Relationship Id="rId263" Type="http://schemas.openxmlformats.org/officeDocument/2006/relationships/chart" Target="charts/chart94.xml"/><Relationship Id="rId37" Type="http://schemas.openxmlformats.org/officeDocument/2006/relationships/chart" Target="charts/chart18.xml"/><Relationship Id="rId58" Type="http://schemas.openxmlformats.org/officeDocument/2006/relationships/chart" Target="charts/chart38.xml"/><Relationship Id="rId79" Type="http://schemas.openxmlformats.org/officeDocument/2006/relationships/chart" Target="charts/chart59.xml"/><Relationship Id="rId102" Type="http://schemas.openxmlformats.org/officeDocument/2006/relationships/chart" Target="charts/chart81.xml"/><Relationship Id="rId123" Type="http://schemas.openxmlformats.org/officeDocument/2006/relationships/hyperlink" Target="https://www.nber.org/papers/w21431" TargetMode="External"/><Relationship Id="rId144" Type="http://schemas.openxmlformats.org/officeDocument/2006/relationships/hyperlink" Target="https://eige.europa.eu/resources/2014_roma_health_report_en.pdf" TargetMode="External"/><Relationship Id="rId90" Type="http://schemas.openxmlformats.org/officeDocument/2006/relationships/chart" Target="charts/chart69.xml"/><Relationship Id="rId165" Type="http://schemas.openxmlformats.org/officeDocument/2006/relationships/hyperlink" Target="https://www.finance.gov.sk/files/archiv/priloha-stranky/19961/63/Women_employment_20180511_final.pdf" TargetMode="External"/><Relationship Id="rId186" Type="http://schemas.openxmlformats.org/officeDocument/2006/relationships/hyperlink" Target="https://www.gender.gov.sk/wp-content/uploads/2019/06/SSRR_2018-final.pdf" TargetMode="External"/><Relationship Id="rId211" Type="http://schemas.openxmlformats.org/officeDocument/2006/relationships/hyperlink" Target="https://www.oecd-ilibrary.org/social-issues-migration-health/health-care-coverage-in-oecd-countries-in-2012_5jlz3kbf7pzv-en" TargetMode="External"/><Relationship Id="rId232" Type="http://schemas.openxmlformats.org/officeDocument/2006/relationships/hyperlink" Target="http://www.infostat.sk/vdc/pdf/Romovia.pdf" TargetMode="External"/><Relationship Id="rId253" Type="http://schemas.openxmlformats.org/officeDocument/2006/relationships/footer" Target="footer2.xml"/><Relationship Id="rId27" Type="http://schemas.openxmlformats.org/officeDocument/2006/relationships/chart" Target="charts/chart8.xml"/><Relationship Id="rId48" Type="http://schemas.openxmlformats.org/officeDocument/2006/relationships/chart" Target="charts/chart29.xml"/><Relationship Id="rId69" Type="http://schemas.openxmlformats.org/officeDocument/2006/relationships/chart" Target="charts/chart49.xml"/><Relationship Id="rId113" Type="http://schemas.openxmlformats.org/officeDocument/2006/relationships/hyperlink" Target="https://www.anao.gov.au/sites/default/files/ANAO_Report_2017-18_04.pdf" TargetMode="External"/><Relationship Id="rId134" Type="http://schemas.openxmlformats.org/officeDocument/2006/relationships/hyperlink" Target="file:///C:\Users\micha\Downloads\gp_daily_WEB_EC0114484ENC_002.pdf.en.pdf" TargetMode="External"/><Relationship Id="rId80" Type="http://schemas.openxmlformats.org/officeDocument/2006/relationships/hyperlink" Target="https://www.iz.sk/kalkulacka" TargetMode="External"/><Relationship Id="rId155" Type="http://schemas.openxmlformats.org/officeDocument/2006/relationships/hyperlink" Target="https://www.tsp.gov.sk/wp-content/uploads/2019/08/KONTEXTOV&#193;-EVALU&#193;CIA-TER&#201;NNEJ-SOCI&#193;LNEJ-PR&#193;CE-Zhrnutie-z&#225;vere&#269;nej-spr&#225;vy.pdf" TargetMode="External"/><Relationship Id="rId176" Type="http://schemas.openxmlformats.org/officeDocument/2006/relationships/hyperlink" Target="https://dennikn.sk/898985/slovencinu-mozu-ucit-ako-cudzi-jazyk-nova-mapa-ukazuje-kde-sa-miesa-s-romcinou/" TargetMode="External"/><Relationship Id="rId197" Type="http://schemas.openxmlformats.org/officeDocument/2006/relationships/hyperlink" Target="https://www.oecd.org/education/school/45179151.pdf" TargetMode="External"/><Relationship Id="rId201" Type="http://schemas.openxmlformats.org/officeDocument/2006/relationships/hyperlink" Target="https://www.oecd-ilibrary.org/education/low-performing-students_9789264250246-en" TargetMode="External"/><Relationship Id="rId222" Type="http://schemas.openxmlformats.org/officeDocument/2006/relationships/hyperlink" Target="http://www.worldofinclusion.com/res/internat/Commonwealth_Guide.doc" TargetMode="External"/><Relationship Id="rId243" Type="http://schemas.openxmlformats.org/officeDocument/2006/relationships/hyperlink" Target="http://www.finance.gov.sk/Default.aspx?CatID=11158" TargetMode="External"/><Relationship Id="rId264" Type="http://schemas.openxmlformats.org/officeDocument/2006/relationships/chart" Target="charts/chart95.xml"/><Relationship Id="rId17" Type="http://schemas.openxmlformats.org/officeDocument/2006/relationships/image" Target="media/image9.png"/><Relationship Id="rId38" Type="http://schemas.openxmlformats.org/officeDocument/2006/relationships/chart" Target="charts/chart19.xml"/><Relationship Id="rId59" Type="http://schemas.openxmlformats.org/officeDocument/2006/relationships/chart" Target="charts/chart39.xml"/><Relationship Id="rId103" Type="http://schemas.openxmlformats.org/officeDocument/2006/relationships/chart" Target="charts/chart82.xml"/><Relationship Id="rId124" Type="http://schemas.openxmlformats.org/officeDocument/2006/relationships/hyperlink" Target="http://muep.mau.se/bitstream/handle/2043/7982/ThematicSOCfinal.pdf?sequence=1" TargetMode="External"/><Relationship Id="rId70" Type="http://schemas.openxmlformats.org/officeDocument/2006/relationships/chart" Target="charts/chart50.xml"/><Relationship Id="rId91" Type="http://schemas.openxmlformats.org/officeDocument/2006/relationships/chart" Target="charts/chart70.xml"/><Relationship Id="rId145" Type="http://schemas.openxmlformats.org/officeDocument/2006/relationships/hyperlink" Target="http://ec.europa.eu/dgs/education_culture/repository/education/library/study/2016/teacher-diversity_en.pdf" TargetMode="External"/><Relationship Id="rId166" Type="http://schemas.openxmlformats.org/officeDocument/2006/relationships/hyperlink" Target="https://www.finance.gov.sk/files/archiv/priloha-stranky/17297/35/2018_18_Inkluzia_final.pdf" TargetMode="External"/><Relationship Id="rId187" Type="http://schemas.openxmlformats.org/officeDocument/2006/relationships/hyperlink" Target="https://www.minedu.sk/sprava-o-hospodareni/" TargetMode="External"/><Relationship Id="rId1" Type="http://schemas.openxmlformats.org/officeDocument/2006/relationships/customXml" Target="../customXml/item1.xml"/><Relationship Id="rId212" Type="http://schemas.openxmlformats.org/officeDocument/2006/relationships/hyperlink" Target="https://www.eurasia.undp.org/content/rbec/en/home/library/roma/the-housing-situation-of-roma-communities.html" TargetMode="External"/><Relationship Id="rId233" Type="http://schemas.openxmlformats.org/officeDocument/2006/relationships/hyperlink" Target="http://www.statpedu.sk/sk/deti-ziaci-so-svvp/deti-ziaci-so-zdravotnym-znevyhodnenim-vseobecnym-intelektovym-nadanim/vzdelavacie-programy/vzdelavacie-programy-ziakov-so-zdravotnym-znevyhodnenim-vseobecnym-intelektovym-nadanim/zakladne-vzdelavanie-primarne-vzdelavanie-nizsie-s/" TargetMode="External"/><Relationship Id="rId254" Type="http://schemas.openxmlformats.org/officeDocument/2006/relationships/chart" Target="charts/chart89.xml"/></Relationships>
</file>

<file path=word/_rels/footnotes.xml.rels><?xml version="1.0" encoding="UTF-8" standalone="yes"?>
<Relationships xmlns="http://schemas.openxmlformats.org/package/2006/relationships"><Relationship Id="rId26" Type="http://schemas.openxmlformats.org/officeDocument/2006/relationships/hyperlink" Target="https://www.minedu.sk/normativne-financovanie/" TargetMode="External"/><Relationship Id="rId21" Type="http://schemas.openxmlformats.org/officeDocument/2006/relationships/hyperlink" Target="https://www.minedu.sk/financovanie/" TargetMode="External"/><Relationship Id="rId42" Type="http://schemas.openxmlformats.org/officeDocument/2006/relationships/hyperlink" Target="http://www.statpedu.sk/files/sk/deti-ziaci-so-svvp/deti-ziaci-so-zdravotnym-znevyhodnenim-vseobecnym-intelektovym-nadanim/vzdelavacie-programy/vp-deti-so-zz-schvalene-maj-2017.pdf" TargetMode="External"/><Relationship Id="rId47" Type="http://schemas.openxmlformats.org/officeDocument/2006/relationships/hyperlink" Target="https://vudpap.sk/odborny-portal/informacie/informacie-pre-odbornych-a-pedagogickych-zamestnancov/vudpap-informacie-pre-odbornych-sprava-z-diagnostickeho-vysetrenia-dietata/" TargetMode="External"/><Relationship Id="rId63" Type="http://schemas.openxmlformats.org/officeDocument/2006/relationships/hyperlink" Target="https://www.employment.gov.sk/sk/informacie-media/aktuality/otvaranie-poradenskych-centier-socialnej-ekonomiky.html" TargetMode="External"/><Relationship Id="rId68" Type="http://schemas.openxmlformats.org/officeDocument/2006/relationships/hyperlink" Target="http://docstore.ohchr.org/SelfServices/FilesHandler.ashx?enc=6QkG1d%2FPPRiCAqhKb7yhsiV%2Bq2wB82cxwrVotBOWJsruvUpS5Q9q%2F%2B4PqUC1g032rG1f%2B%2BWGWZJDq6htoJ%2BbYAqiVre7GR2VVx%2Fc14x6Nu5HkFhf3Fyawe8kMOaflQXu" TargetMode="External"/><Relationship Id="rId84" Type="http://schemas.openxmlformats.org/officeDocument/2006/relationships/hyperlink" Target="https://www.minv.sk/swift_data/source/romovia/publikacie/Sprievodca%20vysporiadanim%20pozemkov%20v%20obciach%20s%20romskymi%20osidleniami.pdf" TargetMode="External"/><Relationship Id="rId89" Type="http://schemas.openxmlformats.org/officeDocument/2006/relationships/hyperlink" Target="https://www.tsp.gov.sk/wp-content/uploads/2016/02/Formy-podpory-1.pdf" TargetMode="External"/><Relationship Id="rId7" Type="http://schemas.openxmlformats.org/officeDocument/2006/relationships/hyperlink" Target="https://vudpap.sk/x/projekty/standardy/" TargetMode="External"/><Relationship Id="rId71" Type="http://schemas.openxmlformats.org/officeDocument/2006/relationships/hyperlink" Target="https://reality.etrend.sk/byvanie/prieskum-ukazal-ze-starostovia-a-primatori-podporuju-najomne-byvanie.html" TargetMode="External"/><Relationship Id="rId92" Type="http://schemas.openxmlformats.org/officeDocument/2006/relationships/hyperlink" Target="https://www.ia.gov.sk/npkiku/o-projekte/zakladne-informacie-2/" TargetMode="External"/><Relationship Id="rId2" Type="http://schemas.openxmlformats.org/officeDocument/2006/relationships/hyperlink" Target="http://www.eu2020.gov.sk/strategia-europa-2020/" TargetMode="External"/><Relationship Id="rId16" Type="http://schemas.openxmlformats.org/officeDocument/2006/relationships/hyperlink" Target="https://www.nucem.sk/sk/merania/narodne-merania/testovanie-5/roky/2018-2019" TargetMode="External"/><Relationship Id="rId29" Type="http://schemas.openxmlformats.org/officeDocument/2006/relationships/hyperlink" Target="https://www.minedu.sk/data/files/7461_dodatok-c-1_vjnm.pdf" TargetMode="External"/><Relationship Id="rId11" Type="http://schemas.openxmlformats.org/officeDocument/2006/relationships/hyperlink" Target="https://vudpap.sk/x/projekty/standardy/" TargetMode="External"/><Relationship Id="rId24" Type="http://schemas.openxmlformats.org/officeDocument/2006/relationships/hyperlink" Target="https://www.minedu.sk/data/files/5853_usmernenie_cpppap_diagnostika.pdf" TargetMode="External"/><Relationship Id="rId32" Type="http://schemas.openxmlformats.org/officeDocument/2006/relationships/hyperlink" Target="http://www.podtatranske-noviny.sk/2017/02/kvoli-segregacii-vypovedali-janovciam-skolsky-obvod/" TargetMode="External"/><Relationship Id="rId37" Type="http://schemas.openxmlformats.org/officeDocument/2006/relationships/hyperlink" Target="https://www.minedu.sk/zmeny-v-karierovom-poradenstve-v-systeme-regionalneho-skolstva-od-192019/" TargetMode="External"/><Relationship Id="rId40" Type="http://schemas.openxmlformats.org/officeDocument/2006/relationships/hyperlink" Target="https://www.minedu.sk/pokyn-ministra-c-392017-ktorym-sa-vydavaju-profesijne-standardy-pre-jednotlive-kategorie-a-podkategorie-pedagogickych-zamestnancov-a-odbornych-zamestnancov-skol-a-skolskych-zariadeni/" TargetMode="External"/><Relationship Id="rId45" Type="http://schemas.openxmlformats.org/officeDocument/2006/relationships/hyperlink" Target="https://www.minedu.sk/pokyn-ministra-c-392017-ktorym-sa-vydavaju-profesijne-standardy-pre-jednotlive-kategorie-a-podkategorie-pedagogickych-zamestnancov-a-odbornych-zamestnancov-skol-a-skolskych-zariadeni/" TargetMode="External"/><Relationship Id="rId53" Type="http://schemas.openxmlformats.org/officeDocument/2006/relationships/hyperlink" Target="https://vudpap.sk/x/projekty/standardy/" TargetMode="External"/><Relationship Id="rId58" Type="http://schemas.openxmlformats.org/officeDocument/2006/relationships/hyperlink" Target="https://www.minedu.sk/data/att/13930.pdf" TargetMode="External"/><Relationship Id="rId66" Type="http://schemas.openxmlformats.org/officeDocument/2006/relationships/hyperlink" Target="https://www.disability-europe.net/downloads/1045-europe-2020-data-people-with-disabilities-tables-eu-silc-2017" TargetMode="External"/><Relationship Id="rId74" Type="http://schemas.openxmlformats.org/officeDocument/2006/relationships/hyperlink" Target="https://www.iamexpat.nl/housing/netherlands-rentals/social-housing-private-free-sector" TargetMode="External"/><Relationship Id="rId79" Type="http://schemas.openxmlformats.org/officeDocument/2006/relationships/hyperlink" Target="https://www.theguardian.com/cities/2019/jun/03/its-a-miracle-helsinkis-radical-solution-to-homelessness" TargetMode="External"/><Relationship Id="rId87" Type="http://schemas.openxmlformats.org/officeDocument/2006/relationships/hyperlink" Target="https://www.tsp.gov.sk/" TargetMode="External"/><Relationship Id="rId102" Type="http://schemas.openxmlformats.org/officeDocument/2006/relationships/hyperlink" Target="http://ncse.ie/wp-content/uploads/2014/10/ChildrenWithSpecialEdNeeds1.pdf" TargetMode="External"/><Relationship Id="rId5" Type="http://schemas.openxmlformats.org/officeDocument/2006/relationships/hyperlink" Target="http://www.minv.sk/?zber-dat-od-ministerstiev-a-ostatnych-organov-statnej-a-verejnej-spravy" TargetMode="External"/><Relationship Id="rId61" Type="http://schemas.openxmlformats.org/officeDocument/2006/relationships/hyperlink" Target="https://www.minv.sk/swift_data/source/romovia/publikacie/Dobra%20prax%20aktivacnej%20prace.pdf" TargetMode="External"/><Relationship Id="rId82" Type="http://schemas.openxmlformats.org/officeDocument/2006/relationships/hyperlink" Target="https://www.finance.gov.sk/files/archiv/33/Aktualizacia2.pdf" TargetMode="External"/><Relationship Id="rId90" Type="http://schemas.openxmlformats.org/officeDocument/2006/relationships/hyperlink" Target="https://zdraveregiony.eu/wp-content/uploads/2019/05/V&#253;ro&#269;n&#225;-spr&#225;va-ZR-2018.pdf" TargetMode="External"/><Relationship Id="rId95" Type="http://schemas.openxmlformats.org/officeDocument/2006/relationships/hyperlink" Target="http://prined.mpc-edu.sk/" TargetMode="External"/><Relationship Id="rId19" Type="http://schemas.openxmlformats.org/officeDocument/2006/relationships/hyperlink" Target="http://www.nucem.sk/documents/27/medzinarodne_merania/timss/publikacie/Prve_vysledky_Slovenska_v_studii_IEA_TIMSS_2015.pdf" TargetMode="External"/><Relationship Id="rId14" Type="http://schemas.openxmlformats.org/officeDocument/2006/relationships/hyperlink" Target="https://www.minv.sk/?atlas-romskych-komunit-2019" TargetMode="External"/><Relationship Id="rId22" Type="http://schemas.openxmlformats.org/officeDocument/2006/relationships/hyperlink" Target="https://www.minedu.sk/data/files/6342_isvp_platne_od-1_9_2015.pdf" TargetMode="External"/><Relationship Id="rId27" Type="http://schemas.openxmlformats.org/officeDocument/2006/relationships/hyperlink" Target="https://www.minedu.sk/data/att/14770.pdf" TargetMode="External"/><Relationship Id="rId30" Type="http://schemas.openxmlformats.org/officeDocument/2006/relationships/hyperlink" Target="http://www.ssiba.sk/admin/fckeditor/editor/userfiles/file/Dokumenty/ZS_UZP_Inkluzia_2017_2018.pdf" TargetMode="External"/><Relationship Id="rId35" Type="http://schemas.openxmlformats.org/officeDocument/2006/relationships/hyperlink" Target="http://www.amnesty.sk/ai-slovensko-a-poradna-pre-obcianske-a-ludske-prava-vyzvali-mesto-presov-aby-odstranilo-segregaciu-romskych-deti-na-skolach/" TargetMode="External"/><Relationship Id="rId43" Type="http://schemas.openxmlformats.org/officeDocument/2006/relationships/hyperlink" Target="https://www.minedu.sk/rozvojove-projekty-v-regionalnom-skolstve/" TargetMode="External"/><Relationship Id="rId48" Type="http://schemas.openxmlformats.org/officeDocument/2006/relationships/hyperlink" Target="http://healthinschools.org/issue-areas/other-school-health-issues/school-health-services/medication-management/state-policies-on-administration-of-medication-in-schools/" TargetMode="External"/><Relationship Id="rId56" Type="http://schemas.openxmlformats.org/officeDocument/2006/relationships/hyperlink" Target="https://www.minedu.sk/vyrocne-spravy-o-stave-vysokeho-skolstva/" TargetMode="External"/><Relationship Id="rId64" Type="http://schemas.openxmlformats.org/officeDocument/2006/relationships/hyperlink" Target="http://docstore.ohchr.org/SelfServices/FilesHandler.ashx?enc=6QkG1d%2FPPRiCAqhKb7yhsiV%2Bq2wB82cxwrVotBOWJsruvUpS5Q9q%2F%2B4PqUC1g032rG1f%2B%2BWGWZJDq6htoJ%2BbYAqiVre7GR2VVx%2Fc14x6Nu5HkFhf3Fyawe8kMOaflQXu" TargetMode="External"/><Relationship Id="rId69" Type="http://schemas.openxmlformats.org/officeDocument/2006/relationships/hyperlink" Target="https://ec.europa.eu/eurostat/statistics-explained/index.php/Glossary:Overcrowding_rate" TargetMode="External"/><Relationship Id="rId77" Type="http://schemas.openxmlformats.org/officeDocument/2006/relationships/hyperlink" Target="https://www.minv.sk/swift_data/source/mvsr_a_eu/oplz/vyzvy/vyzva_byvanie_2018/P11%20Zasady%20a%20odp%20v%20zneni%20Zmeny%20c.%201.pdf" TargetMode="External"/><Relationship Id="rId100" Type="http://schemas.openxmlformats.org/officeDocument/2006/relationships/hyperlink" Target="http://www.minedu.sk/data/files/3772.pdf" TargetMode="External"/><Relationship Id="rId105" Type="http://schemas.openxmlformats.org/officeDocument/2006/relationships/hyperlink" Target="https://www.itms2014.sk/vyzva?id=344eaa93-7846-4629-bc31-88f0a2d8415e" TargetMode="External"/><Relationship Id="rId8" Type="http://schemas.openxmlformats.org/officeDocument/2006/relationships/hyperlink" Target="https://webcache.googleusercontent.com/search?q=cache:z288-kxO6V8J:https://www.health.gov.sk/Zdroje%3F/Sources/dokumenty/SDTP/standardy/Primarna_pediatria/Psychomotoricky_vyvin_dietata.pdf+&amp;cd=1&amp;hl=en&amp;ct=clnk&amp;gl=sk" TargetMode="External"/><Relationship Id="rId51" Type="http://schemas.openxmlformats.org/officeDocument/2006/relationships/hyperlink" Target="http://www.nuv.cz/vystupy/nova-klasifikace-vzdelani-v-europassu" TargetMode="External"/><Relationship Id="rId72" Type="http://schemas.openxmlformats.org/officeDocument/2006/relationships/hyperlink" Target="https://katarinasmatanova.com/2018/05/06/socialne-byvanie-na-slovensku-prehlad/" TargetMode="External"/><Relationship Id="rId80" Type="http://schemas.openxmlformats.org/officeDocument/2006/relationships/hyperlink" Target="https://www.vagus.sk/housing-first-cverna/21/o-programe/" TargetMode="External"/><Relationship Id="rId85" Type="http://schemas.openxmlformats.org/officeDocument/2006/relationships/hyperlink" Target="https://www.oecd.org/els/family/PH3-2-Key-characteristics-of-housing-allowances.pdf" TargetMode="External"/><Relationship Id="rId93" Type="http://schemas.openxmlformats.org/officeDocument/2006/relationships/hyperlink" Target="https://www.minv.sk/?NP-KC-1" TargetMode="External"/><Relationship Id="rId98" Type="http://schemas.openxmlformats.org/officeDocument/2006/relationships/hyperlink" Target="https://www.partnerskadohoda.gov.sk/data/files/3071_oplz_2019_06_28_np_pomahajuce-profesie-v-edukacii-deti-a-ziakov.pdf" TargetMode="External"/><Relationship Id="rId3" Type="http://schemas.openxmlformats.org/officeDocument/2006/relationships/hyperlink" Target="http://www.finance.gov.sk/Default.aspx?CatID=11158" TargetMode="External"/><Relationship Id="rId12" Type="http://schemas.openxmlformats.org/officeDocument/2006/relationships/hyperlink" Target="https://ec.europa.eu/education/sites/education/files/document-library-docs/et-monitor-report-2019-slovakia_en.pdf" TargetMode="External"/><Relationship Id="rId17" Type="http://schemas.openxmlformats.org/officeDocument/2006/relationships/hyperlink" Target="https://www.nucem.sk/sk/merania/narodne-merania/testovanie-9/roky/2018-2019?componentId=730" TargetMode="External"/><Relationship Id="rId25" Type="http://schemas.openxmlformats.org/officeDocument/2006/relationships/hyperlink" Target="https://www.nrsr.sk/web/Default.aspx?sid=zakony/zakon&amp;MasterID=7467" TargetMode="External"/><Relationship Id="rId33" Type="http://schemas.openxmlformats.org/officeDocument/2006/relationships/hyperlink" Target="http://www.vop.gov.sk/files/Sprava%20VOP-Vzdelavanie%20Romov.pdf" TargetMode="External"/><Relationship Id="rId38" Type="http://schemas.openxmlformats.org/officeDocument/2006/relationships/hyperlink" Target="http://www.minv.sk/?aktualne-vyzvy-na-predkladanie-ziadosti-o-nenavratny-financny-prispevok&amp;sprava=vyzva-zamerana-na-poskytovanie-mentorskej-a-tutorskej-podpory-pre-ziakov-z-mrk-s-dorazom-na-uspesne-ukoncenie-zs-a-plynuly-prechod-na-ss-oplz-po5-2017-2" TargetMode="External"/><Relationship Id="rId46" Type="http://schemas.openxmlformats.org/officeDocument/2006/relationships/hyperlink" Target="https://www.minedu.sk/asistenti-ucitela-pre-ziakov-so-zdravotnym-znevyhodnenim/" TargetMode="External"/><Relationship Id="rId59" Type="http://schemas.openxmlformats.org/officeDocument/2006/relationships/hyperlink" Target="http://www1.mfsr.sk/LoadDocument.aspx?categoryId=11154&amp;documentId=16566" TargetMode="External"/><Relationship Id="rId67" Type="http://schemas.openxmlformats.org/officeDocument/2006/relationships/hyperlink" Target="https://ec.europa.eu/info/sites/info/files/economy-finance/final_country_fiche_sk.pdf" TargetMode="External"/><Relationship Id="rId103" Type="http://schemas.openxmlformats.org/officeDocument/2006/relationships/hyperlink" Target="https://ncse.ie/" TargetMode="External"/><Relationship Id="rId20" Type="http://schemas.openxmlformats.org/officeDocument/2006/relationships/hyperlink" Target="http://www.nucem.sk/documents/27/medzinarodne_merania/pirls/publikacie/Prv%C3%A9_v%C3%BDsledky_Slovenska_v_%C5%A1t%C3%BAdii_IEA_PIRLS_2016.pdf" TargetMode="External"/><Relationship Id="rId41" Type="http://schemas.openxmlformats.org/officeDocument/2006/relationships/hyperlink" Target="https://www.minedu.sk/asistenti-ucitela-pre-ziakov-so-zdravotnym-znevyhodnenim/" TargetMode="External"/><Relationship Id="rId54" Type="http://schemas.openxmlformats.org/officeDocument/2006/relationships/hyperlink" Target="https://vudpap.sk/na-com-pracujeme/hlavne-ulohy/vyskumy/ukoncene-vyskumy/" TargetMode="External"/><Relationship Id="rId62" Type="http://schemas.openxmlformats.org/officeDocument/2006/relationships/hyperlink" Target="https://www.upsvr.gov.sk/sluzby-zamestnanosti/nestatne-sluzby-zamestnanosti/agentury-podporovaneho-zamestnavania.html?page_id=13042" TargetMode="External"/><Relationship Id="rId70" Type="http://schemas.openxmlformats.org/officeDocument/2006/relationships/hyperlink" Target="https://www.mindop.sk/ministerstvo-1/vystavba-5/bytova-politika/dokumenty/koncepcie" TargetMode="External"/><Relationship Id="rId75" Type="http://schemas.openxmlformats.org/officeDocument/2006/relationships/hyperlink" Target="https://www.government.nl/topics/housing/housing-associations" TargetMode="External"/><Relationship Id="rId83" Type="http://schemas.openxmlformats.org/officeDocument/2006/relationships/hyperlink" Target="http://etp.sk/ukoncene-projekty/budujeme-nadej-z-chatrce-do-3e-domu/" TargetMode="External"/><Relationship Id="rId88" Type="http://schemas.openxmlformats.org/officeDocument/2006/relationships/hyperlink" Target="https://www.minv.sk/?NP-TSP" TargetMode="External"/><Relationship Id="rId91" Type="http://schemas.openxmlformats.org/officeDocument/2006/relationships/hyperlink" Target="https://zdraveregiony.eu/wp-content/uploads/2019/05/V&#253;ro&#269;n&#225;-spr&#225;va-ZR-2018.pdf" TargetMode="External"/><Relationship Id="rId96" Type="http://schemas.openxmlformats.org/officeDocument/2006/relationships/hyperlink" Target="http://npsov.mpc-edu.sk/" TargetMode="External"/><Relationship Id="rId1" Type="http://schemas.openxmlformats.org/officeDocument/2006/relationships/hyperlink" Target="https://siov.sk/projekty/aktualne-projekty/narodny-projekt-dualne-vzdelavanie/" TargetMode="External"/><Relationship Id="rId6" Type="http://schemas.openxmlformats.org/officeDocument/2006/relationships/hyperlink" Target="https://www.health.gov.sk/Clanok?standardne-diagnosticke-postupy" TargetMode="External"/><Relationship Id="rId15" Type="http://schemas.openxmlformats.org/officeDocument/2006/relationships/hyperlink" Target="https://www.minv.sk/?pre-materske-skoly" TargetMode="External"/><Relationship Id="rId23" Type="http://schemas.openxmlformats.org/officeDocument/2006/relationships/hyperlink" Target="https://www.nrsr.sk/web/Default.aspx?sid=zakony/zakon&amp;MasterID=7467" TargetMode="External"/><Relationship Id="rId28" Type="http://schemas.openxmlformats.org/officeDocument/2006/relationships/hyperlink" Target="http://www.statpedu.sk/files/articles/dokumenty/inovovany-statny-vzdelavaci-program/rup_zs_pre-z-s-vyu_ovan_m-jazyka-n_rodnostnej-men_iny.pdf" TargetMode="External"/><Relationship Id="rId36" Type="http://schemas.openxmlformats.org/officeDocument/2006/relationships/hyperlink" Target="https://ec.europa.eu/eurostat/documents/1978984/6037342/EU-LFS-explanatory-notes-from-2017-onwards.pdf" TargetMode="External"/><Relationship Id="rId49" Type="http://schemas.openxmlformats.org/officeDocument/2006/relationships/hyperlink" Target="http://www.minedu.sk/data/files/3772.pdf" TargetMode="External"/><Relationship Id="rId57" Type="http://schemas.openxmlformats.org/officeDocument/2006/relationships/hyperlink" Target="https://www.minedu.sk/rada-ministra-na-podporu-studia-studentov-so-specifickymi-potrebami/" TargetMode="External"/><Relationship Id="rId10" Type="http://schemas.openxmlformats.org/officeDocument/2006/relationships/hyperlink" Target="https://www.minedu.sk/data/files/9126_skol_5-01_2019.pdf" TargetMode="External"/><Relationship Id="rId31" Type="http://schemas.openxmlformats.org/officeDocument/2006/relationships/hyperlink" Target="https://presov.korzar.sme.sk/c/7901842/lipany-rusia-spolocny-skolsky-obvod-s-torysou.html" TargetMode="External"/><Relationship Id="rId44" Type="http://schemas.openxmlformats.org/officeDocument/2006/relationships/hyperlink" Target="http://www.statpedu.sk/files/sk/deti-ziaci-so-svvp/deti-ziaci-so-zdravotnym-znevyhodnenim-vseobecnym-intelektovym-nadanim/vzdelavacie-programy/vzdelavacie-programy-ziakov-so-zdravotnym-znevyhodnenim-vseobecnym-intelektovym-nadanim/zakladne-vzdelavanie-primarne-vzdelavanie-nizsie-stredne-vzdelavanie/vp_pre_ziakov_s_mentalnym_postihnutim.pdf" TargetMode="External"/><Relationship Id="rId52" Type="http://schemas.openxmlformats.org/officeDocument/2006/relationships/hyperlink" Target="https://www.czso.cz/documents/10180/23169548/cz-isced+2011.pdf/fa446ca2-e212-4dd8-a61e-a80a3152f7cb?version=1.0" TargetMode="External"/><Relationship Id="rId60" Type="http://schemas.openxmlformats.org/officeDocument/2006/relationships/hyperlink" Target="https://ec.europa.eu/social/main.jsp?catId=738&amp;langId=en&amp;pubId=8126&amp;furtherPubs=yes" TargetMode="External"/><Relationship Id="rId65" Type="http://schemas.openxmlformats.org/officeDocument/2006/relationships/hyperlink" Target="https://www.upsvr.gov.sk/buxus/docs/KGR/narodne_projekty/Zosuladenie_rod_a_prac_zivota/Oznamenie_NP_ZRaPZ_Aktualizacia_2.pdf" TargetMode="External"/><Relationship Id="rId73" Type="http://schemas.openxmlformats.org/officeDocument/2006/relationships/hyperlink" Target="https://www.minv.sk/swift_data/source/romovia/publikacie/Velky%20Krtis%20final.pdf" TargetMode="External"/><Relationship Id="rId78" Type="http://schemas.openxmlformats.org/officeDocument/2006/relationships/hyperlink" Target="https://www.ceit.sk/IVPR/images/IVPR/2019/os1_mikuska.pdf" TargetMode="External"/><Relationship Id="rId81" Type="http://schemas.openxmlformats.org/officeDocument/2006/relationships/hyperlink" Target="https://www.dobrenoviny.sk/c/151413/fantasticke-vysledky-vdaka-projektu-housing-cverna-sa-uz-po-par-mesiacoch-ludia-bez-domova-postavili-na-vlastne-nohy" TargetMode="External"/><Relationship Id="rId86" Type="http://schemas.openxmlformats.org/officeDocument/2006/relationships/hyperlink" Target="https://www.minv.sk/?spravy_rk&amp;sprava=aktualny-zoznam-obci-zapojenych-do-narodneho-projektu-take-away" TargetMode="External"/><Relationship Id="rId94" Type="http://schemas.openxmlformats.org/officeDocument/2006/relationships/hyperlink" Target="http://www.autismeurope.org/about-autism/prevalence-rate-of-autism/" TargetMode="External"/><Relationship Id="rId99" Type="http://schemas.openxmlformats.org/officeDocument/2006/relationships/hyperlink" Target="https://www.minv.sk/?narodny-projekt-prim-projekt-inkluzie-v-materskych-skolach" TargetMode="External"/><Relationship Id="rId101" Type="http://schemas.openxmlformats.org/officeDocument/2006/relationships/hyperlink" Target="https://www.education.ie/en/Circulars-and-Forms/Active-Circulars/cl0030_2014.pdf" TargetMode="External"/><Relationship Id="rId4" Type="http://schemas.openxmlformats.org/officeDocument/2006/relationships/hyperlink" Target="https://www.employment.gov.sk/sk/esf/programove-obdobie-2014-2020/spravy-implementacii/op-ludske-zdroje/" TargetMode="External"/><Relationship Id="rId9" Type="http://schemas.openxmlformats.org/officeDocument/2006/relationships/hyperlink" Target="https://www.minedu.sk/data/files/198_koncepcia_spp.pdf" TargetMode="External"/><Relationship Id="rId13" Type="http://schemas.openxmlformats.org/officeDocument/2006/relationships/hyperlink" Target="https://www.minedu.sk/prispevok-na-vychovu-a-vzdelavanie-pre-ms/" TargetMode="External"/><Relationship Id="rId18" Type="http://schemas.openxmlformats.org/officeDocument/2006/relationships/hyperlink" Target="https://www.oecd.org/pisa/Combined_Executive_Summaries_PISA_2018.pdf" TargetMode="External"/><Relationship Id="rId39" Type="http://schemas.openxmlformats.org/officeDocument/2006/relationships/hyperlink" Target="https://edicnyportal.iedu.sk/Forms/Show/476" TargetMode="External"/><Relationship Id="rId34" Type="http://schemas.openxmlformats.org/officeDocument/2006/relationships/hyperlink" Target="http://www.noveskolstvo.sk/upload/pdf/OSF_2012.pdf" TargetMode="External"/><Relationship Id="rId50" Type="http://schemas.openxmlformats.org/officeDocument/2006/relationships/hyperlink" Target="https://www.employment.gov.sk/files/slovensky/uvod/legislativa/socialna-pomoc-podpora/dohovor-osn-pravach-osob-so-zdravotnym-postihnutim-opcny-protokol-sk-aj.pdf" TargetMode="External"/><Relationship Id="rId55" Type="http://schemas.openxmlformats.org/officeDocument/2006/relationships/hyperlink" Target="https://siov.sk/projekty/aktualne-projekty/narodny-projekt-dualne-vzdelavanie/" TargetMode="External"/><Relationship Id="rId76" Type="http://schemas.openxmlformats.org/officeDocument/2006/relationships/hyperlink" Target="https://www.feantsa.org/download/en-16822651433655843804.pdf" TargetMode="External"/><Relationship Id="rId97" Type="http://schemas.openxmlformats.org/officeDocument/2006/relationships/hyperlink" Target="https://www.partnerskadohoda.gov.sk/data/files/3071_oplz_2019_06_28_np_pomahajuce-profesie-v-edukacii-deti-a-ziakov.pdf" TargetMode="External"/><Relationship Id="rId104" Type="http://schemas.openxmlformats.org/officeDocument/2006/relationships/hyperlink" Target="http://www.minv.sk/?aktualne-vyzvy-na-predkladanie-ziadosti-o-nenavratny-financny-prispevok&amp;sprava=vyzva-zamerana-na-poskytovanie-mentorskej-a-tutorskej-podpory-pre-ziakov-z-mrk-s-dorazom-na-uspesne-ukoncenie-zs-a-plynuly-prechod-na-ss-oplz-po5-2017-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EU15,%20V3\01%20Diagnostika\Agregatne%20ukazovatel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mf.mfsr.sk\DfsRoot\ADRESARE\UHP\00_HODNOTA_ZA_PENIAZE\00_SPENDING_REVIEW\14_SOCI&#193;LNA_INKL&#218;ZIA\03_OBLASTI_REV&#205;ZIE\A_MRK\01_Vzdel&#225;vanie\01%20Pred&#353;kolsk&#225;%20v&#253;chova\Predskolska%20vychov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mf.mfsr.sk\DfsRoot\ADRESARE\UHP\00_HODNOTA_ZA_PENIAZE\00_SPENDING_REVIEW\14_SOCI&#193;LNA_INKL&#218;ZIA\03_OBLASTI_REV&#205;ZIE\A_MRK\01_Vzdel&#225;vanie\01%20Pred&#353;kolsk&#225;%20v&#253;chova\Predskolska%20vychov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mf.mfsr.sk\DfsRoot\ADRESARE\UHP\00_HODNOTA_ZA_PENIAZE\00_SPENDING_REVIEW\14_SOCI&#193;LNA_INKL&#218;ZIA\03_OBLASTI_REV&#205;ZIE\A_MRK\01_Vzdel&#225;vanie\04%20Opakovanie%20ro&#269;n&#237;ka\Opakovanie%20rocnika.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A_MRK\01_Vzdel&#225;vanie\01%20Pred&#353;kolsk&#225;%20v&#253;chova\Predskolska%20vychova.xlsx" TargetMode="External"/><Relationship Id="rId2" Type="http://schemas.microsoft.com/office/2011/relationships/chartColorStyle" Target="colors10.xml"/><Relationship Id="rId1" Type="http://schemas.microsoft.com/office/2011/relationships/chartStyle" Target="style10.xml"/></Relationships>
</file>

<file path=word/charts/_rels/chart14.xml.rels><?xml version="1.0" encoding="UTF-8" standalone="yes"?>
<Relationships xmlns="http://schemas.openxmlformats.org/package/2006/relationships"><Relationship Id="rId1" Type="http://schemas.openxmlformats.org/officeDocument/2006/relationships/oleObject" Target="file:///\\mf.mfsr.sk\DfsRoot\ADRESARE\UHP\00_HODNOTA_ZA_PENIAZE\00_SPENDING_REVIEW\14_SOCI&#193;LNA_INKL&#218;ZIA\03_OBLASTI_REV&#205;ZIE\A_MRK\01_Vzdel&#225;vanie\01%20Pred&#353;kolsk&#225;%20v&#253;chova\Kapacity%20a%20za&#353;kolenos&#357;\Kapacita%20a%20zaskolenost.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mf.mfsr.sk\DfsRoot\ADRESARE\UHP\00_HODNOTA_ZA_PENIAZE\00_SPENDING_REVIEW\14_SOCI&#193;LNA_INKL&#218;ZIA\03_OBLASTI_REV&#205;ZIE\A_MRK\01_Vzdel&#225;vanie\01%20Pred&#353;kolsk&#225;%20v&#253;chova\Kapacity%20a%20za&#353;kolenos&#357;\Kapacita%20a%20zaskolenost.xlsx" TargetMode="External"/></Relationships>
</file>

<file path=word/charts/_rels/chart16.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A_MRK\01_Vzdel&#225;vanie\04%20Opakovanie%20ro&#269;n&#237;ka\Opakovanie%20rocnika.xlsx" TargetMode="External"/><Relationship Id="rId2" Type="http://schemas.microsoft.com/office/2011/relationships/chartColorStyle" Target="colors11.xml"/><Relationship Id="rId1" Type="http://schemas.microsoft.com/office/2011/relationships/chartStyle" Target="style11.xml"/></Relationships>
</file>

<file path=word/charts/_rels/chart17.xml.rels><?xml version="1.0" encoding="UTF-8" standalone="yes"?>
<Relationships xmlns="http://schemas.openxmlformats.org/package/2006/relationships"><Relationship Id="rId1" Type="http://schemas.openxmlformats.org/officeDocument/2006/relationships/oleObject" Target="file:///\\mf.mfsr.sk\DfsRoot\ADRESARE\UHP\00_HODNOTA_ZA_PENIAZE\00_SPENDING_REVIEW\14_SOCI&#193;LNA_INKL&#218;ZIA\03_OBLASTI_REV&#205;ZIE\A_MRK\01_Vzdel&#225;vanie\05%20Pokra&#269;ovanie%20po%20ukon&#269;en&#237;%20P&#352;D\Uplatnenie%20na%20trhu%20pr&#225;ce%20pod&#318;a%20PU&#352;D.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mf.mfsr.sk\DfsRoot\ADRESARE\UHP\00_HODNOTA_ZA_PENIAZE\00_SPENDING_REVIEW\14_SOCI&#193;LNA_INKL&#218;ZIA\03_OBLASTI_REV&#205;ZIE\A_MRK\01_Vzdel&#225;vanie\05%20Pokra&#269;ovanie%20po%20ukon&#269;en&#237;%20P&#352;D\F%20odbory\Results.xlsx" TargetMode="External"/></Relationships>
</file>

<file path=word/charts/_rels/chart19.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A_MRK\01_Vzdel&#225;vanie\05%20Pokra&#269;ovanie%20po%20ukon&#269;en&#237;%20P&#352;D\Pokra&#269;ovanie%20po%20ukon&#269;n&#237;%20P&#352;D.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EU15,%20V3\01%20Diagnostika\Agregatne%20ukazovatele.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A_MRK\01_Vzdel&#225;vanie\05%20Pokra&#269;ovanie%20po%20ukon&#269;en&#237;%20P&#352;D\Pokra&#269;ovanie%20po%20ukon&#269;n&#237;%20P&#352;D.xlsx" TargetMode="External"/><Relationship Id="rId2" Type="http://schemas.microsoft.com/office/2011/relationships/chartColorStyle" Target="colors13.xml"/><Relationship Id="rId1" Type="http://schemas.microsoft.com/office/2011/relationships/chartStyle" Target="style13.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michaela.farenzenova\Documents\revizia\ohrozene%20skupiny\zaverecna%20sprava\ZZ%20v%20MS\ZZ_Grafy.xlsx" TargetMode="External"/><Relationship Id="rId2" Type="http://schemas.microsoft.com/office/2011/relationships/chartColorStyle" Target="colors14.xml"/><Relationship Id="rId1" Type="http://schemas.microsoft.com/office/2011/relationships/chartStyle" Target="style14.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michaela.farenzenova\Documents\revizia%20praca\ohrozene%20skupiny\zaverecna%20sprava\ZZ%20v%20MS\Revizia_Zaverecna%20sprava_Zdrojove%20data_MS.xlsx" TargetMode="External"/><Relationship Id="rId2" Type="http://schemas.microsoft.com/office/2011/relationships/chartColorStyle" Target="colors15.xml"/><Relationship Id="rId1" Type="http://schemas.microsoft.com/office/2011/relationships/chartStyle" Target="style15.xml"/></Relationships>
</file>

<file path=word/charts/_rels/chart23.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B_Zdravotne_znev&#253;hodnen&#253;\01_Vzdelanie\ZZ%20zdrojove%20data_2511.xlsx" TargetMode="External"/><Relationship Id="rId2" Type="http://schemas.microsoft.com/office/2011/relationships/chartColorStyle" Target="colors16.xml"/><Relationship Id="rId1" Type="http://schemas.microsoft.com/office/2011/relationships/chartStyle" Target="style16.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michaela.farenzenova\Documents\revizia%20praca\ohrozene%20skupiny\zaverecna%20sprava\ZZ%20v%20ZS\ZS_Data_zaverecna.xlsx" TargetMode="External"/><Relationship Id="rId2" Type="http://schemas.microsoft.com/office/2011/relationships/chartColorStyle" Target="colors17.xml"/><Relationship Id="rId1" Type="http://schemas.microsoft.com/office/2011/relationships/chartStyle" Target="style17.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tommy\Desktop\14_SOCI&#193;LNA_INKL&#218;ZIA\03_OBLASTI_REV&#205;ZIE\A_MRK\01_Vzdel&#225;vanie\03%20Segreg&#225;cia\Segregacia.xlsx" TargetMode="Externa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chartUserShapes" Target="../drawings/drawing3.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michaela.farenzenova\Documents\revizia%20praca\ohrozene%20skupiny\zaverecna%20sprava\ZZ%20v%20ZS\ZZ_ZS%20tabulky.xlsx" TargetMode="External"/><Relationship Id="rId2" Type="http://schemas.microsoft.com/office/2011/relationships/chartColorStyle" Target="colors19.xml"/><Relationship Id="rId1" Type="http://schemas.microsoft.com/office/2011/relationships/chartStyle" Target="style19.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michaela.farenzenova\Documents\revizia%20praca\ohrozene%20skupiny\zaverecna%20sprava\ZZ%20v%20ZS\ZZ_ZS%20tabulky.xlsx" TargetMode="External"/><Relationship Id="rId2" Type="http://schemas.microsoft.com/office/2011/relationships/chartColorStyle" Target="colors20.xml"/><Relationship Id="rId1" Type="http://schemas.microsoft.com/office/2011/relationships/chartStyle" Target="style20.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michaela.farenzenova\Documents\revizia%20praca\ohrozene%20skupiny\zaverecna%20sprava\ZZ%20v%20ZS\ZZ_ZS_Asistenti%20ucitela.xlsx" TargetMode="External"/><Relationship Id="rId2" Type="http://schemas.microsoft.com/office/2011/relationships/chartColorStyle" Target="colors21.xml"/><Relationship Id="rId1" Type="http://schemas.microsoft.com/office/2011/relationships/chartStyle" Target="style21.xml"/></Relationships>
</file>

<file path=word/charts/_rels/chart29.xml.rels><?xml version="1.0" encoding="UTF-8" standalone="yes"?>
<Relationships xmlns="http://schemas.openxmlformats.org/package/2006/relationships"><Relationship Id="rId3" Type="http://schemas.openxmlformats.org/officeDocument/2006/relationships/oleObject" Target="file:///D:\revizia%20praca\ohrozene%20skupiny\zaverecna%20sprava\text\externi%20recenzenti\ZZ%20zdrojove%20data.xlsx"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EU15,%20V3\01%20Diagnostika\Agregatne%20ukazovatele.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A_MRK\02_Pr&#225;ca_a_soci&#225;lne_veci\IFP%20koment&#225;r%20Inkluzia_data_final.xlsx" TargetMode="External"/><Relationship Id="rId2" Type="http://schemas.microsoft.com/office/2011/relationships/chartColorStyle" Target="colors23.xml"/><Relationship Id="rId1" Type="http://schemas.microsoft.com/office/2011/relationships/chartStyle" Target="style23.xml"/></Relationships>
</file>

<file path=word/charts/_rels/chart31.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A_MRK\02_Pr&#225;ca_a_soci&#225;lne_veci\IFP%20koment&#225;r%20Inkluzia_data_final.xlsx" TargetMode="External"/><Relationship Id="rId2" Type="http://schemas.microsoft.com/office/2011/relationships/chartColorStyle" Target="colors24.xml"/><Relationship Id="rId1" Type="http://schemas.microsoft.com/office/2011/relationships/chartStyle" Target="style24.xml"/></Relationships>
</file>

<file path=word/charts/_rels/chart32.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A_MRK\01_Vzdel&#225;vanie\05%20Pokra&#269;ovanie%20po%20ukon&#269;en&#237;%20P&#352;D\Pokra&#269;ovanie%20po%20ukon&#269;n&#237;%20P&#352;D.xlsx" TargetMode="Externa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chartUserShapes" Target="../drawings/drawing4.xml"/></Relationships>
</file>

<file path=word/charts/_rels/chart33.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EU15,%20V3\03%20Trh%20pr&#225;ce\Aktualiz&#225;cia%20pre%20Lauru_LS%202.xlsx" TargetMode="External"/><Relationship Id="rId2" Type="http://schemas.microsoft.com/office/2011/relationships/chartColorStyle" Target="colors26.xml"/><Relationship Id="rId1" Type="http://schemas.microsoft.com/office/2011/relationships/chartStyle" Target="style26.xml"/></Relationships>
</file>

<file path=word/charts/_rels/chart34.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B_Zdravotne_znev&#253;hodnen&#253;\02_Pr&#225;ca%20a%20soci&#225;lne%20veci\Laura%20Data%20k%20trhu%20prace%20-%20revizia.xlsx" TargetMode="External"/><Relationship Id="rId2" Type="http://schemas.microsoft.com/office/2011/relationships/chartColorStyle" Target="colors27.xml"/><Relationship Id="rId1" Type="http://schemas.microsoft.com/office/2011/relationships/chartStyle" Target="style27.xm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mf.mfsr.sk\DfsRoot\ADRESARE\UHP\00_HODNOTA_ZA_PENIAZE\00_SPENDING_REVIEW\14_SOCI&#193;LNA_INKL&#218;ZIA\03_OBLASTI_REV&#205;ZIE\EU15,%20V3\03%20Trh%20pr&#225;ce\Analysis%20slobodn&#233;%20matky.xlsx" TargetMode="External"/></Relationships>
</file>

<file path=word/charts/_rels/chart36.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C_Slobodn&#233;%20matky\SU%20TABULKA_CENZOVADOMACNOST_AGREGAT.xlsx" TargetMode="External"/><Relationship Id="rId2" Type="http://schemas.microsoft.com/office/2011/relationships/chartColorStyle" Target="colors29.xml"/><Relationship Id="rId1" Type="http://schemas.microsoft.com/office/2011/relationships/chartStyle" Target="style29.xml"/></Relationships>
</file>

<file path=word/charts/_rels/chart37.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C_Slobodn&#233;%20matky\SU%20TABULKA_CENZOVADOMACNOST_AGREGAT.xlsx" TargetMode="External"/><Relationship Id="rId2" Type="http://schemas.microsoft.com/office/2011/relationships/chartColorStyle" Target="colors30.xml"/><Relationship Id="rId1" Type="http://schemas.microsoft.com/office/2011/relationships/chartStyle" Target="style30.xml"/></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mf.mfsr.sk\DfsRoot\ADRESARE\UHP\00_HODNOTA_ZA_PENIAZE\00_SPENDING_REVIEW\14_SOCI&#193;LNA_INKL&#218;ZIA\03_OBLASTI_REV&#205;ZIE\EU15,%20V3\03%20Trh%20pr&#225;ce\Analysis%20trh%20prace.xls"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mf.mfsr.sk\DfsRoot\ADRESARE\UHP\00_HODNOTA_ZA_PENIAZE\00_SPENDING_REVIEW\14_SOCI&#193;LNA_INKL&#218;ZIA\03_OBLASTI_REV&#205;ZIE\EU15,%20V3\03%20Trh%20pr&#225;ce\Analysis%20trh%20prace.xls"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01_Diagnostika%20skup&#237;n\Diagnostika%20skupin.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1" Type="http://schemas.openxmlformats.org/officeDocument/2006/relationships/oleObject" Target="file:///\\mf.mfsr.sk\DfsRoot\ADRESARE\UHP\00_HODNOTA_ZA_PENIAZE\00_SPENDING_REVIEW\14_SOCI&#193;LNA_INKL&#218;ZIA\03_OBLASTI_REV&#205;ZIE\A_MRK\02_Pr&#225;ca_a_soci&#225;lne_veci\Analysis%20trh%20prace.xls" TargetMode="External"/></Relationships>
</file>

<file path=word/charts/_rels/chart41.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B_Zdravotne_znev&#253;hodnen&#253;\02_Pr&#225;ca%20a%20soci&#225;lne%20veci\Laura%20Data%20k%20trhu%20prace%20-%20revizia.xlsx" TargetMode="External"/><Relationship Id="rId2" Type="http://schemas.microsoft.com/office/2011/relationships/chartColorStyle" Target="colors31.xml"/><Relationship Id="rId1" Type="http://schemas.microsoft.com/office/2011/relationships/chartStyle" Target="style31.xml"/></Relationships>
</file>

<file path=word/charts/_rels/chart42.xml.rels><?xml version="1.0" encoding="UTF-8" standalone="yes"?>
<Relationships xmlns="http://schemas.openxmlformats.org/package/2006/relationships"><Relationship Id="rId3" Type="http://schemas.openxmlformats.org/officeDocument/2006/relationships/oleObject" Target="file:///E:\UHP%20Ohrozene%20skupiny\B_Zdravotne_znev&#253;hodnen&#253;\02_Pr&#225;ca%20a%20soci&#225;lne%20veci\Laura%20Data%20k%20trhu%20prace%20-%20revizia.xlsx" TargetMode="External"/><Relationship Id="rId2" Type="http://schemas.microsoft.com/office/2011/relationships/chartColorStyle" Target="colors32.xml"/><Relationship Id="rId1" Type="http://schemas.microsoft.com/office/2011/relationships/chartStyle" Target="style32.xml"/></Relationships>
</file>

<file path=word/charts/_rels/chart43.xml.rels><?xml version="1.0" encoding="UTF-8" standalone="yes"?>
<Relationships xmlns="http://schemas.openxmlformats.org/package/2006/relationships"><Relationship Id="rId3" Type="http://schemas.openxmlformats.org/officeDocument/2006/relationships/oleObject" Target="file:///E:\UHP%20Ohrozene%20skupiny\B_Zdravotne_znev&#253;hodnen&#253;\02_Pr&#225;ca%20a%20soci&#225;lne%20veci\Laura%20Data%20k%20trhu%20prace%20-%20revizia.xlsx" TargetMode="External"/><Relationship Id="rId2" Type="http://schemas.microsoft.com/office/2011/relationships/chartColorStyle" Target="colors33.xml"/><Relationship Id="rId1" Type="http://schemas.microsoft.com/office/2011/relationships/chartStyle" Target="style33.xml"/></Relationships>
</file>

<file path=word/charts/_rels/chart44.xml.rels><?xml version="1.0" encoding="UTF-8" standalone="yes"?>
<Relationships xmlns="http://schemas.openxmlformats.org/package/2006/relationships"><Relationship Id="rId3" Type="http://schemas.openxmlformats.org/officeDocument/2006/relationships/oleObject" Target="file:///E:\UHP%20Ohrozene%20skupiny\B_Zdravotne_znev&#253;hodnen&#253;\02_Pr&#225;ca%20a%20soci&#225;lne%20veci\Laura%20Data%20k%20trhu%20prace%20-%20revizia.xlsx" TargetMode="External"/><Relationship Id="rId2" Type="http://schemas.microsoft.com/office/2011/relationships/chartColorStyle" Target="colors34.xml"/><Relationship Id="rId1" Type="http://schemas.microsoft.com/office/2011/relationships/chartStyle" Target="style34.xml"/></Relationships>
</file>

<file path=word/charts/_rels/chart45.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C_Slobodn&#233;%20matky\OECD%20PF3-3-Informal-childcare-arrangements%202017.xlsx" TargetMode="Externa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chartUserShapes" Target="../drawings/drawing6.xml"/></Relationships>
</file>

<file path=word/charts/_rels/chart46.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C_Slobodn&#233;%20matky\Poplatky%20jasle%20dec%202019.xlsx" TargetMode="External"/><Relationship Id="rId2" Type="http://schemas.microsoft.com/office/2011/relationships/chartColorStyle" Target="colors36.xml"/><Relationship Id="rId1" Type="http://schemas.microsoft.com/office/2011/relationships/chartStyle" Target="style36.xml"/></Relationships>
</file>

<file path=word/charts/_rels/chart47.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A_MRK\02_Pr&#225;ca_a_soci&#225;lne_veci\Analysis%20soci&#225;lna%20pomoc.xlsx" TargetMode="External"/><Relationship Id="rId2" Type="http://schemas.microsoft.com/office/2011/relationships/chartColorStyle" Target="colors37.xml"/><Relationship Id="rId1" Type="http://schemas.microsoft.com/office/2011/relationships/chartStyle" Target="style37.xml"/></Relationships>
</file>

<file path=word/charts/_rels/chart48.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A_MRK\02_Pr&#225;ca_a_soci&#225;lne_veci\Analysis%20soci&#225;lna%20pomoc.xlsx" TargetMode="Externa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chartUserShapes" Target="../drawings/drawing7.xml"/></Relationships>
</file>

<file path=word/charts/_rels/chart49.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EU15,%20V3\03%20Trh%20pr&#225;ce\Analysis%20soci&#225;lna%20pomoc.xlsx" TargetMode="Externa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chartUserShapes" Target="../drawings/drawing8.xml"/></Relationships>
</file>

<file path=word/charts/_rels/chart5.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EU15,%20V3\01%20Diagnostika\Diagnostika%20skupin.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A_MRK\02_Pr&#225;ca_a_soci&#225;lne_veci\Analysis%20soci&#225;lna%20pomoc.xlsx" TargetMode="Externa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chartUserShapes" Target="../drawings/drawing9.xml"/></Relationships>
</file>

<file path=word/charts/_rels/chart51.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A_MRK\02_Pr&#225;ca_a_soci&#225;lne_veci\Analysis%20soci&#225;lna%20pomoc.xlsx" TargetMode="External"/><Relationship Id="rId2" Type="http://schemas.microsoft.com/office/2011/relationships/chartColorStyle" Target="colors41.xml"/><Relationship Id="rId1" Type="http://schemas.microsoft.com/office/2011/relationships/chartStyle" Target="style41.xml"/></Relationships>
</file>

<file path=word/charts/_rels/chart52.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A_MRK\02_Pr&#225;ca_a_soci&#225;lne_veci\Analysis%20soci&#225;lna%20pomoc.xlsx" TargetMode="External"/><Relationship Id="rId2" Type="http://schemas.microsoft.com/office/2011/relationships/chartColorStyle" Target="colors42.xml"/><Relationship Id="rId1" Type="http://schemas.microsoft.com/office/2011/relationships/chartStyle" Target="style42.xml"/></Relationships>
</file>

<file path=word/charts/_rels/chart53.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A_MRK\02_Pr&#225;ca_a_soci&#225;lne_veci\Analysis%20soci&#225;lna%20pomoc.xlsx" TargetMode="External"/><Relationship Id="rId2" Type="http://schemas.microsoft.com/office/2011/relationships/chartColorStyle" Target="colors43.xml"/><Relationship Id="rId1" Type="http://schemas.microsoft.com/office/2011/relationships/chartStyle" Target="style43.xml"/></Relationships>
</file>

<file path=word/charts/_rels/chart54.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A_MRK\02_Pr&#225;ca_a_soci&#225;lne_veci\Analysis%20soci&#225;lna%20pomoc.xlsx" TargetMode="External"/><Relationship Id="rId2" Type="http://schemas.microsoft.com/office/2011/relationships/chartColorStyle" Target="colors44.xml"/><Relationship Id="rId1" Type="http://schemas.microsoft.com/office/2011/relationships/chartStyle" Target="style44.xml"/></Relationships>
</file>

<file path=word/charts/_rels/chart55.xml.rels><?xml version="1.0" encoding="UTF-8" standalone="yes"?>
<Relationships xmlns="http://schemas.openxmlformats.org/package/2006/relationships"><Relationship Id="rId1" Type="http://schemas.openxmlformats.org/officeDocument/2006/relationships/oleObject" Target="file:///\\mf.mfsr.sk\DfsRoot\ADRESARE\UHP\00_HODNOTA_ZA_PENIAZE\00_SPENDING_REVIEW\14_SOCI&#193;LNA_INKL&#218;ZIA\03_OBLASTI_REV&#205;ZIE\A_MRK\02_Pr&#225;ca_a_soci&#225;lne_veci\Analysis%20soci&#225;lna%20pomoc.xlsx" TargetMode="External"/></Relationships>
</file>

<file path=word/charts/_rels/chart56.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A_MRK\02_Pr&#225;ca_a_soci&#225;lne_veci\Analysis%20soci&#225;lna%20pomoc.xlsx" TargetMode="External"/><Relationship Id="rId2" Type="http://schemas.microsoft.com/office/2011/relationships/chartColorStyle" Target="colors45.xml"/><Relationship Id="rId1" Type="http://schemas.microsoft.com/office/2011/relationships/chartStyle" Target="style45.xml"/></Relationships>
</file>

<file path=word/charts/_rels/chart57.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A_MRK\02_Pr&#225;ca_a_soci&#225;lne_veci\Analysis%20soci&#225;lna%20pomoc.xlsx" TargetMode="Externa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chartUserShapes" Target="../drawings/drawing10.xml"/></Relationships>
</file>

<file path=word/charts/_rels/chart58.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EU15,%20V3\03%20Trh%20pr&#225;ce\Analysis%20soci&#225;lna%20pomoc.xlsx" TargetMode="External"/><Relationship Id="rId2" Type="http://schemas.microsoft.com/office/2011/relationships/chartColorStyle" Target="colors47.xml"/><Relationship Id="rId1" Type="http://schemas.microsoft.com/office/2011/relationships/chartStyle" Target="style47.xml"/></Relationships>
</file>

<file path=word/charts/_rels/chart59.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A_MRK\02_Pr&#225;ca_a_soci&#225;lne_veci\Analysis%20soci&#225;lna%20pomoc.xlsx" TargetMode="Externa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chartUserShapes" Target="../drawings/drawing11.xml"/></Relationships>
</file>

<file path=word/charts/_rels/chart6.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01_Diagnostika%20skup&#237;n\Diagnostika%20skupin.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EU15,%20V3\03%20Trh%20pr&#225;ce\Analysis%20soci&#225;lna%20pomoc.xlsx" TargetMode="Externa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chartUserShapes" Target="../drawings/drawing12.xml"/></Relationships>
</file>

<file path=word/charts/_rels/chart61.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EU15,%20V3\03%20Trh%20pr&#225;ce\Analysis%20soci&#225;lna%20pomoc.xlsx" TargetMode="Externa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chartUserShapes" Target="../drawings/drawing13.xml"/></Relationships>
</file>

<file path=word/charts/_rels/chart62.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A_MRK\02_Pr&#225;ca_a_soci&#225;lne_veci\Analysis%20soci&#225;lna%20pomoc.xlsx" TargetMode="Externa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chartUserShapes" Target="../drawings/drawing14.xml"/></Relationships>
</file>

<file path=word/charts/_rels/chart63.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oleObject" Target="file:///\\mf.mfsr.sk\DfsRoot\ADRESARE\UHP\00_HODNOTA_ZA_PENIAZE\00_SPENDING_REVIEW\14_SOCI&#193;LNA_INKL&#218;ZIA\03_OBLASTI_REV&#205;ZIE\A_MRK\02_Pr&#225;ca_a_soci&#225;lne_veci\K&#243;pia%20-%20graf%20-%20HN%20+narodenie%20die&#357;a&#357;a%20(002).xlsx" TargetMode="External"/><Relationship Id="rId1" Type="http://schemas.openxmlformats.org/officeDocument/2006/relationships/themeOverride" Target="../theme/themeOverride2.xml"/></Relationships>
</file>

<file path=word/charts/_rels/chart64.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EU15,%20V3\03%20Trh%20pr&#225;ce\Aktualiz&#225;cia%20pre%20Lauru_LS%202.xlsx" TargetMode="Externa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chartUserShapes" Target="../drawings/drawing16.xml"/></Relationships>
</file>

<file path=word/charts/_rels/chart65.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B_Zdravotne_znev&#253;hodnen&#253;\03_%20Soci&#225;lne%20politiky\Data%20k%20socialnemu%20zabezpeceniu%20-revizia.xlsx" TargetMode="External"/><Relationship Id="rId2" Type="http://schemas.microsoft.com/office/2011/relationships/chartColorStyle" Target="colors53.xml"/><Relationship Id="rId1" Type="http://schemas.microsoft.com/office/2011/relationships/chartStyle" Target="style53.xml"/></Relationships>
</file>

<file path=word/charts/_rels/chart66.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B_Zdravotne_znev&#253;hodnen&#253;\03_%20Soci&#225;lne%20politiky\Data%20k%20socialnemu%20zabezpeceniu%20-revizia.xlsx" TargetMode="External"/><Relationship Id="rId2" Type="http://schemas.microsoft.com/office/2011/relationships/chartColorStyle" Target="colors54.xml"/><Relationship Id="rId1" Type="http://schemas.microsoft.com/office/2011/relationships/chartStyle" Target="style54.xml"/><Relationship Id="rId4" Type="http://schemas.openxmlformats.org/officeDocument/2006/relationships/chartUserShapes" Target="../drawings/drawing17.xml"/></Relationships>
</file>

<file path=word/charts/_rels/chart67.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B_Zdravotne_znev&#253;hodnen&#253;\03_%20Soci&#225;lne%20politiky\Data%20k%20socialnemu%20zabezpeceniu%20-revizia.xlsx" TargetMode="External"/><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chartUserShapes" Target="../drawings/drawing18.xml"/></Relationships>
</file>

<file path=word/charts/_rels/chart68.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B_Zdravotne_znev&#253;hodnen&#253;\03_%20Soci&#225;lne%20politiky\Data%20k%20socialnemu%20zabezpeceniu%20-revizia.xlsx" TargetMode="External"/><Relationship Id="rId2" Type="http://schemas.microsoft.com/office/2011/relationships/chartColorStyle" Target="colors56.xml"/><Relationship Id="rId1" Type="http://schemas.microsoft.com/office/2011/relationships/chartStyle" Target="style56.xml"/></Relationships>
</file>

<file path=word/charts/_rels/chart69.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B_Zdravotne_znev&#253;hodnen&#253;\03_%20Soci&#225;lne%20politiky\Kr&#225;tenie%20ID\Data_ifp_public.xlsx" TargetMode="External"/><Relationship Id="rId2" Type="http://schemas.microsoft.com/office/2011/relationships/chartColorStyle" Target="colors57.xml"/><Relationship Id="rId1" Type="http://schemas.microsoft.com/office/2011/relationships/chartStyle" Target="style57.xml"/></Relationships>
</file>

<file path=word/charts/_rels/chart7.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EU15,%20V3\02%20V&#253;davky\Vydavky_updat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xml"/></Relationships>
</file>

<file path=word/charts/_rels/chart70.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EU15,%20V3\05%20B&#253;vanie\Kvalita%20b&#253;vania.xlsx" TargetMode="External"/><Relationship Id="rId2" Type="http://schemas.microsoft.com/office/2011/relationships/chartColorStyle" Target="colors58.xml"/><Relationship Id="rId1" Type="http://schemas.microsoft.com/office/2011/relationships/chartStyle" Target="style58.xml"/><Relationship Id="rId4" Type="http://schemas.openxmlformats.org/officeDocument/2006/relationships/chartUserShapes" Target="../drawings/drawing19.xml"/></Relationships>
</file>

<file path=word/charts/_rels/chart71.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9.xml"/><Relationship Id="rId1" Type="http://schemas.microsoft.com/office/2011/relationships/chartStyle" Target="style59.xml"/><Relationship Id="rId4" Type="http://schemas.openxmlformats.org/officeDocument/2006/relationships/oleObject" Target="file:///\\mf.mfsr.sk\DfsRoot\ADRESARE\UHP\00_HODNOTA_ZA_PENIAZE\00_SPENDING_REVIEW\14_SOCI&#193;LNA_INKL&#218;ZIA\03_OBLASTI_REV&#205;ZIE\EU15,%20V3\05%20B&#253;vanie\Kvalita%20b&#253;vania.xlsx" TargetMode="External"/></Relationships>
</file>

<file path=word/charts/_rels/chart72.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A_MRK\04_B&#253;vanie_a_infra&#353;trukt&#250;ra\Kvalita%20b&#253;vania.xlsx" TargetMode="External"/><Relationship Id="rId2" Type="http://schemas.microsoft.com/office/2011/relationships/chartColorStyle" Target="colors60.xml"/><Relationship Id="rId1" Type="http://schemas.microsoft.com/office/2011/relationships/chartStyle" Target="style60.xml"/></Relationships>
</file>

<file path=word/charts/_rels/chart73.xml.rels><?xml version="1.0" encoding="UTF-8" standalone="yes"?>
<Relationships xmlns="http://schemas.openxmlformats.org/package/2006/relationships"><Relationship Id="rId3" Type="http://schemas.openxmlformats.org/officeDocument/2006/relationships/oleObject" Target="file:///C:\Users\tommy\Desktop\UHP%20Ohrozene%20skupiny\03_OBLASTI_REV&#205;ZIE\A_MRK\04_B&#253;vanie_a_infra&#353;trukt&#250;ra\Kvalita%20b&#253;vania.xlsx" TargetMode="External"/><Relationship Id="rId2" Type="http://schemas.microsoft.com/office/2011/relationships/chartColorStyle" Target="colors61.xml"/><Relationship Id="rId1" Type="http://schemas.microsoft.com/office/2011/relationships/chartStyle" Target="style61.xml"/><Relationship Id="rId4" Type="http://schemas.openxmlformats.org/officeDocument/2006/relationships/chartUserShapes" Target="../drawings/drawing20.xml"/></Relationships>
</file>

<file path=word/charts/_rels/chart74.xml.rels><?xml version="1.0" encoding="UTF-8" standalone="yes"?>
<Relationships xmlns="http://schemas.openxmlformats.org/package/2006/relationships"><Relationship Id="rId3" Type="http://schemas.openxmlformats.org/officeDocument/2006/relationships/oleObject" Target="file:///C:\Users\zcarnogurska\Desktop\inkluzia%20a%20chudoba\01%20v&#253;chodiskov&#233;%20data\Atlas%20romskych%20komunit%202019.xlsx" TargetMode="External"/><Relationship Id="rId2" Type="http://schemas.microsoft.com/office/2011/relationships/chartColorStyle" Target="colors62.xml"/><Relationship Id="rId1" Type="http://schemas.microsoft.com/office/2011/relationships/chartStyle" Target="style62.xml"/></Relationships>
</file>

<file path=word/charts/_rels/chart75.xml.rels><?xml version="1.0" encoding="UTF-8" standalone="yes"?>
<Relationships xmlns="http://schemas.openxmlformats.org/package/2006/relationships"><Relationship Id="rId3" Type="http://schemas.openxmlformats.org/officeDocument/2006/relationships/oleObject" Target="file:///E:\UHP%20Ohrozene%20skupiny\03_OBLASTI_REV&#205;ZIE\04_B&#253;vanie_a_infra&#353;trukt&#250;ra\Kvalita%20b&#253;vania.xlsx" TargetMode="External"/><Relationship Id="rId2" Type="http://schemas.microsoft.com/office/2011/relationships/chartColorStyle" Target="colors63.xml"/><Relationship Id="rId1" Type="http://schemas.microsoft.com/office/2011/relationships/chartStyle" Target="style63.xml"/></Relationships>
</file>

<file path=word/charts/_rels/chart76.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A_MRK\04_B&#253;vanie_a_infra&#353;trukt&#250;ra\Atlas%20infra&#353;trukt&#250;ra\2019\Zuzka%20Atlas%20romskych%20komunit%202019_infra&#353;trukt&#250;ra.xlsx" TargetMode="External"/><Relationship Id="rId2" Type="http://schemas.microsoft.com/office/2011/relationships/chartColorStyle" Target="colors64.xml"/><Relationship Id="rId1" Type="http://schemas.microsoft.com/office/2011/relationships/chartStyle" Target="style64.xml"/></Relationships>
</file>

<file path=word/charts/_rels/chart77.xml.rels><?xml version="1.0" encoding="UTF-8" standalone="yes"?>
<Relationships xmlns="http://schemas.openxmlformats.org/package/2006/relationships"><Relationship Id="rId3" Type="http://schemas.openxmlformats.org/officeDocument/2006/relationships/oleObject" Target="file:///C:\Users\zcarnogurska\Desktop\inkluzia%20a%20chudoba\01%20v&#253;chodiskov&#233;%20data\Atlas%20romskych%20komunit%202019_infra&#353;trukt&#250;ra.xlsx" TargetMode="External"/><Relationship Id="rId2" Type="http://schemas.microsoft.com/office/2011/relationships/chartColorStyle" Target="colors65.xml"/><Relationship Id="rId1" Type="http://schemas.microsoft.com/office/2011/relationships/chartStyle" Target="style65.xml"/></Relationships>
</file>

<file path=word/charts/_rels/chart78.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EU15,%20V3\05%20B&#253;vanie\Kvalita%20b&#253;vania.xlsx" TargetMode="External"/><Relationship Id="rId2" Type="http://schemas.microsoft.com/office/2011/relationships/chartColorStyle" Target="colors66.xml"/><Relationship Id="rId1" Type="http://schemas.microsoft.com/office/2011/relationships/chartStyle" Target="style66.xml"/><Relationship Id="rId4" Type="http://schemas.openxmlformats.org/officeDocument/2006/relationships/chartUserShapes" Target="../drawings/drawing21.xml"/></Relationships>
</file>

<file path=word/charts/_rels/chart79.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A_MRK\04_B&#253;vanie_a_infra&#353;trukt&#250;ra\Kvalita%20b&#253;vania.xlsx" TargetMode="External"/><Relationship Id="rId2" Type="http://schemas.microsoft.com/office/2011/relationships/chartColorStyle" Target="colors67.xml"/><Relationship Id="rId1" Type="http://schemas.microsoft.com/office/2011/relationships/chartStyle" Target="style67.xml"/></Relationships>
</file>

<file path=word/charts/_rels/chart8.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02_V&#253;davky\Zuzka%20grafy%20&#269;erpanie.xlsx" TargetMode="External"/><Relationship Id="rId2" Type="http://schemas.microsoft.com/office/2011/relationships/chartColorStyle" Target="colors8.xml"/><Relationship Id="rId1" Type="http://schemas.microsoft.com/office/2011/relationships/chartStyle" Target="style8.xml"/></Relationships>
</file>

<file path=word/charts/_rels/chart80.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A_MRK\04_B&#253;vanie_a_infra&#353;trukt&#250;ra\IFP%20-%20data_priloha_v_najme_dalej_zajdes.xlsx" TargetMode="External"/><Relationship Id="rId2" Type="http://schemas.microsoft.com/office/2011/relationships/chartColorStyle" Target="colors68.xml"/><Relationship Id="rId1" Type="http://schemas.microsoft.com/office/2011/relationships/chartStyle" Target="style68.xml"/></Relationships>
</file>

<file path=word/charts/_rels/chart81.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A_MRK\04_B&#253;vanie_a_infra&#353;trukt&#250;ra\IFP%20-%20data_priloha_v_najme_dalej_zajdes.xlsx" TargetMode="External"/><Relationship Id="rId2" Type="http://schemas.microsoft.com/office/2011/relationships/chartColorStyle" Target="colors69.xml"/><Relationship Id="rId1" Type="http://schemas.microsoft.com/office/2011/relationships/chartStyle" Target="style69.xml"/></Relationships>
</file>

<file path=word/charts/_rels/chart82.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A_MRK\04_B&#253;vanie_a_infra&#353;trukt&#250;ra\Kvalita%20b&#253;vania.xlsx" TargetMode="External"/><Relationship Id="rId2" Type="http://schemas.microsoft.com/office/2011/relationships/chartColorStyle" Target="colors70.xml"/><Relationship Id="rId1" Type="http://schemas.microsoft.com/office/2011/relationships/chartStyle" Target="style70.xml"/><Relationship Id="rId4" Type="http://schemas.openxmlformats.org/officeDocument/2006/relationships/chartUserShapes" Target="../drawings/drawing22.xml"/></Relationships>
</file>

<file path=word/charts/_rels/chart83.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EU15,%20V3\05%20B&#253;vanie\Kvalita%20b&#253;vania.xlsx" TargetMode="External"/><Relationship Id="rId2" Type="http://schemas.microsoft.com/office/2011/relationships/chartColorStyle" Target="colors71.xml"/><Relationship Id="rId1" Type="http://schemas.microsoft.com/office/2011/relationships/chartStyle" Target="style71.xml"/><Relationship Id="rId4" Type="http://schemas.openxmlformats.org/officeDocument/2006/relationships/chartUserShapes" Target="../drawings/drawing23.xml"/></Relationships>
</file>

<file path=word/charts/_rels/chart84.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A_MRK\03_Zdravotn&#237;ctvo\Analysis%20zdravotnictvo.xlsx" TargetMode="External"/><Relationship Id="rId2" Type="http://schemas.microsoft.com/office/2011/relationships/chartColorStyle" Target="colors72.xml"/><Relationship Id="rId1" Type="http://schemas.microsoft.com/office/2011/relationships/chartStyle" Target="style72.xml"/></Relationships>
</file>

<file path=word/charts/_rels/chart85.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A_MRK\03_Zdravotn&#237;ctvo\Analysis%20zdravotnictvo.xlsx" TargetMode="External"/><Relationship Id="rId2" Type="http://schemas.microsoft.com/office/2011/relationships/chartColorStyle" Target="colors73.xml"/><Relationship Id="rId1" Type="http://schemas.microsoft.com/office/2011/relationships/chartStyle" Target="style73.xml"/><Relationship Id="rId4" Type="http://schemas.openxmlformats.org/officeDocument/2006/relationships/chartUserShapes" Target="../drawings/drawing24.xml"/></Relationships>
</file>

<file path=word/charts/_rels/chart86.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A_MRK\03_Zdravotn&#237;ctvo\Analysis%20zdravotnictvo.xlsx" TargetMode="External"/><Relationship Id="rId2" Type="http://schemas.microsoft.com/office/2011/relationships/chartColorStyle" Target="colors74.xml"/><Relationship Id="rId1" Type="http://schemas.microsoft.com/office/2011/relationships/chartStyle" Target="style74.xml"/><Relationship Id="rId4" Type="http://schemas.openxmlformats.org/officeDocument/2006/relationships/chartUserShapes" Target="../drawings/drawing25.xml"/></Relationships>
</file>

<file path=word/charts/_rels/chart87.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A_MRK\03_Zdravotn&#237;ctvo\Analysis%20zdravotnictvo.xlsx" TargetMode="External"/><Relationship Id="rId2" Type="http://schemas.microsoft.com/office/2011/relationships/chartColorStyle" Target="colors75.xml"/><Relationship Id="rId1" Type="http://schemas.microsoft.com/office/2011/relationships/chartStyle" Target="style75.xml"/></Relationships>
</file>

<file path=word/charts/_rels/chart88.xml.rels><?xml version="1.0" encoding="UTF-8" standalone="yes"?>
<Relationships xmlns="http://schemas.openxmlformats.org/package/2006/relationships"><Relationship Id="rId3" Type="http://schemas.openxmlformats.org/officeDocument/2006/relationships/oleObject" Target="file:///C:\Users\zcarnogurska\Desktop\inkluzia%20a%20chudoba\01%20v&#253;chodiskov&#233;%20data\Atlas%20romskych%20komunit%202019_slu&#382;by.xlsx" TargetMode="External"/><Relationship Id="rId2" Type="http://schemas.microsoft.com/office/2011/relationships/chartColorStyle" Target="colors76.xml"/><Relationship Id="rId1" Type="http://schemas.microsoft.com/office/2011/relationships/chartStyle" Target="style76.xml"/></Relationships>
</file>

<file path=word/charts/_rels/chart89.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A_MRK\01_Vzdel&#225;vanie\01%20Pred&#353;kolsk&#225;%20v&#253;chova\IVP_kapacity_zdrojove%20data.xlsx" TargetMode="External"/><Relationship Id="rId2" Type="http://schemas.microsoft.com/office/2011/relationships/chartColorStyle" Target="colors77.xml"/><Relationship Id="rId1" Type="http://schemas.microsoft.com/office/2011/relationships/chartStyle" Target="style77.xml"/></Relationships>
</file>

<file path=word/charts/_rels/chart9.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02_V&#253;davky\Zuzka%20grafy%20&#269;erpanie.xlsx" TargetMode="External"/><Relationship Id="rId2" Type="http://schemas.microsoft.com/office/2011/relationships/chartColorStyle" Target="colors9.xml"/><Relationship Id="rId1" Type="http://schemas.microsoft.com/office/2011/relationships/chartStyle" Target="style9.xml"/></Relationships>
</file>

<file path=word/charts/_rels/chart90.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A_MRK\01_Vzdel&#225;vanie\03%20Segreg&#225;cia\Segregacia.xlsx" TargetMode="External"/><Relationship Id="rId2" Type="http://schemas.microsoft.com/office/2011/relationships/chartColorStyle" Target="colors78.xml"/><Relationship Id="rId1" Type="http://schemas.microsoft.com/office/2011/relationships/chartStyle" Target="style78.xml"/></Relationships>
</file>

<file path=word/charts/_rels/chart91.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A_MRK\01_Vzdel&#225;vanie\03%20Segreg&#225;cia\Segregacia.xlsx" TargetMode="External"/><Relationship Id="rId2" Type="http://schemas.microsoft.com/office/2011/relationships/chartColorStyle" Target="colors79.xml"/><Relationship Id="rId1" Type="http://schemas.microsoft.com/office/2011/relationships/chartStyle" Target="style79.xml"/></Relationships>
</file>

<file path=word/charts/_rels/chart92.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A_MRK\01_Vzdel&#225;vanie\05%20Pokra&#269;ovanie%20po%20ukon&#269;en&#237;%20P&#352;D\F%20odbory\Results.xlsx" TargetMode="External"/><Relationship Id="rId2" Type="http://schemas.microsoft.com/office/2011/relationships/chartColorStyle" Target="colors80.xml"/><Relationship Id="rId1" Type="http://schemas.microsoft.com/office/2011/relationships/chartStyle" Target="style80.xml"/><Relationship Id="rId4" Type="http://schemas.openxmlformats.org/officeDocument/2006/relationships/chartUserShapes" Target="../drawings/drawing26.xml"/></Relationships>
</file>

<file path=word/charts/_rels/chart93.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B_Zdravotne_znev&#253;hodnen&#253;\01_Vzdelanie\ZZ%20zdrojove%20data_2511.xlsx" TargetMode="External"/><Relationship Id="rId2" Type="http://schemas.microsoft.com/office/2011/relationships/chartColorStyle" Target="colors81.xml"/><Relationship Id="rId1" Type="http://schemas.microsoft.com/office/2011/relationships/chartStyle" Target="style81.xml"/></Relationships>
</file>

<file path=word/charts/_rels/chart94.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B_Zdravotne_znev&#253;hodnen&#253;\01_Vzdelanie\ZZ%20zdrojove%20data_2511.xlsx" TargetMode="External"/><Relationship Id="rId2" Type="http://schemas.microsoft.com/office/2011/relationships/chartColorStyle" Target="colors82.xml"/><Relationship Id="rId1" Type="http://schemas.microsoft.com/office/2011/relationships/chartStyle" Target="style82.xml"/></Relationships>
</file>

<file path=word/charts/_rels/chart95.xml.rels><?xml version="1.0" encoding="UTF-8" standalone="yes"?>
<Relationships xmlns="http://schemas.openxmlformats.org/package/2006/relationships"><Relationship Id="rId3" Type="http://schemas.openxmlformats.org/officeDocument/2006/relationships/oleObject" Target="file:///\\mf.mfsr.sk\DfsRoot\ADRESARE\UHP\00_HODNOTA_ZA_PENIAZE\00_SPENDING_REVIEW\14_SOCI&#193;LNA_INKL&#218;ZIA\03_OBLASTI_REV&#205;ZIE\A_MRK\02_Pr&#225;ca_a_soci&#225;lne_veci\Analysis%20soci&#225;lna%20pomoc_KV.xlsx" TargetMode="External"/><Relationship Id="rId2" Type="http://schemas.microsoft.com/office/2011/relationships/chartColorStyle" Target="colors83.xml"/><Relationship Id="rId1" Type="http://schemas.microsoft.com/office/2011/relationships/chartStyle" Target="style8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77976160623234"/>
          <c:y val="5.0925925925925923E-2"/>
          <c:w val="0.85151110888209036"/>
          <c:h val="0.84438429987126129"/>
        </c:manualLayout>
      </c:layout>
      <c:barChart>
        <c:barDir val="col"/>
        <c:grouping val="clustered"/>
        <c:varyColors val="0"/>
        <c:ser>
          <c:idx val="0"/>
          <c:order val="0"/>
          <c:tx>
            <c:strRef>
              <c:f>'Poverty or social exclusion'!$A$2</c:f>
              <c:strCache>
                <c:ptCount val="1"/>
                <c:pt idx="0">
                  <c:v>SR</c:v>
                </c:pt>
              </c:strCache>
            </c:strRef>
          </c:tx>
          <c:spPr>
            <a:solidFill>
              <a:schemeClr val="accent1"/>
            </a:solidFill>
            <a:ln>
              <a:solidFill>
                <a:schemeClr val="accent1"/>
              </a:solidFill>
            </a:ln>
            <a:effectLst/>
          </c:spPr>
          <c:invertIfNegative val="0"/>
          <c:cat>
            <c:numRef>
              <c:f>'Poverty or social exclusion'!$B$1:$J$1</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'Poverty or social exclusion'!$B$2:$J$2</c:f>
              <c:numCache>
                <c:formatCode>General</c:formatCode>
                <c:ptCount val="9"/>
                <c:pt idx="0">
                  <c:v>20.6</c:v>
                </c:pt>
                <c:pt idx="1">
                  <c:v>20.6</c:v>
                </c:pt>
                <c:pt idx="2">
                  <c:v>20.5</c:v>
                </c:pt>
                <c:pt idx="3">
                  <c:v>19.8</c:v>
                </c:pt>
                <c:pt idx="4">
                  <c:v>18.399999999999999</c:v>
                </c:pt>
                <c:pt idx="5">
                  <c:v>18.399999999999999</c:v>
                </c:pt>
                <c:pt idx="6">
                  <c:v>18.100000000000001</c:v>
                </c:pt>
                <c:pt idx="7">
                  <c:v>16.3</c:v>
                </c:pt>
                <c:pt idx="8">
                  <c:v>16.3</c:v>
                </c:pt>
              </c:numCache>
            </c:numRef>
          </c:val>
        </c:ser>
        <c:dLbls>
          <c:showLegendKey val="0"/>
          <c:showVal val="0"/>
          <c:showCatName val="0"/>
          <c:showSerName val="0"/>
          <c:showPercent val="0"/>
          <c:showBubbleSize val="0"/>
        </c:dLbls>
        <c:gapWidth val="100"/>
        <c:axId val="130512408"/>
        <c:axId val="169403312"/>
      </c:barChart>
      <c:lineChart>
        <c:grouping val="standard"/>
        <c:varyColors val="0"/>
        <c:ser>
          <c:idx val="2"/>
          <c:order val="2"/>
          <c:tx>
            <c:strRef>
              <c:f>'Poverty or social exclusion'!$A$4</c:f>
              <c:strCache>
                <c:ptCount val="1"/>
                <c:pt idx="0">
                  <c:v>EÚ15</c:v>
                </c:pt>
              </c:strCache>
            </c:strRef>
          </c:tx>
          <c:spPr>
            <a:ln w="25400" cap="rnd">
              <a:noFill/>
              <a:round/>
            </a:ln>
            <a:effectLst/>
          </c:spPr>
          <c:marker>
            <c:symbol val="diamond"/>
            <c:size val="9"/>
            <c:spPr>
              <a:solidFill>
                <a:schemeClr val="tx1"/>
              </a:solidFill>
              <a:ln w="9525">
                <a:solidFill>
                  <a:schemeClr val="tx1"/>
                </a:solidFill>
              </a:ln>
              <a:effectLst/>
            </c:spPr>
          </c:marker>
          <c:cat>
            <c:numRef>
              <c:f>'Poverty or social exclusion'!$B$1:$J$1</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'Poverty or social exclusion'!$B$4:$J$4</c:f>
              <c:numCache>
                <c:formatCode>0.0</c:formatCode>
                <c:ptCount val="9"/>
                <c:pt idx="0">
                  <c:v>20.853333333333332</c:v>
                </c:pt>
                <c:pt idx="1">
                  <c:v>21.219999999999995</c:v>
                </c:pt>
                <c:pt idx="2">
                  <c:v>21.879999999999995</c:v>
                </c:pt>
                <c:pt idx="3">
                  <c:v>22.386666666666667</c:v>
                </c:pt>
                <c:pt idx="4">
                  <c:v>22.613333333333337</c:v>
                </c:pt>
                <c:pt idx="5">
                  <c:v>22.74666666666667</c:v>
                </c:pt>
                <c:pt idx="6">
                  <c:v>22.293333333333337</c:v>
                </c:pt>
                <c:pt idx="7">
                  <c:v>22</c:v>
                </c:pt>
                <c:pt idx="8">
                  <c:v>21.45333333333333</c:v>
                </c:pt>
              </c:numCache>
            </c:numRef>
          </c:val>
          <c:smooth val="0"/>
        </c:ser>
        <c:ser>
          <c:idx val="3"/>
          <c:order val="3"/>
          <c:tx>
            <c:strRef>
              <c:f>'Poverty or social exclusion'!$A$5</c:f>
              <c:strCache>
                <c:ptCount val="1"/>
                <c:pt idx="0">
                  <c:v>V3</c:v>
                </c:pt>
              </c:strCache>
            </c:strRef>
          </c:tx>
          <c:spPr>
            <a:ln w="25400" cap="rnd">
              <a:noFill/>
              <a:round/>
            </a:ln>
            <a:effectLst/>
          </c:spPr>
          <c:marker>
            <c:symbol val="triangle"/>
            <c:size val="7"/>
            <c:spPr>
              <a:solidFill>
                <a:schemeClr val="accent3"/>
              </a:solidFill>
              <a:ln w="9525">
                <a:solidFill>
                  <a:schemeClr val="accent3"/>
                </a:solidFill>
              </a:ln>
              <a:effectLst/>
            </c:spPr>
          </c:marker>
          <c:cat>
            <c:numRef>
              <c:f>'Poverty or social exclusion'!$B$1:$J$1</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'Poverty or social exclusion'!$B$5:$J$5</c:f>
              <c:numCache>
                <c:formatCode>0.0</c:formatCode>
                <c:ptCount val="9"/>
                <c:pt idx="0">
                  <c:v>23.8</c:v>
                </c:pt>
                <c:pt idx="1">
                  <c:v>24.033333333333331</c:v>
                </c:pt>
                <c:pt idx="2">
                  <c:v>24.666666666666668</c:v>
                </c:pt>
                <c:pt idx="3">
                  <c:v>25.2</c:v>
                </c:pt>
                <c:pt idx="4">
                  <c:v>25.066666666666666</c:v>
                </c:pt>
                <c:pt idx="5">
                  <c:v>23.766666666666666</c:v>
                </c:pt>
                <c:pt idx="6">
                  <c:v>21.866666666666664</c:v>
                </c:pt>
                <c:pt idx="7">
                  <c:v>20.5</c:v>
                </c:pt>
                <c:pt idx="8">
                  <c:v>19.099999999999998</c:v>
                </c:pt>
              </c:numCache>
            </c:numRef>
          </c:val>
          <c:smooth val="0"/>
        </c:ser>
        <c:dLbls>
          <c:showLegendKey val="0"/>
          <c:showVal val="0"/>
          <c:showCatName val="0"/>
          <c:showSerName val="0"/>
          <c:showPercent val="0"/>
          <c:showBubbleSize val="0"/>
        </c:dLbls>
        <c:marker val="1"/>
        <c:smooth val="0"/>
        <c:axId val="130512408"/>
        <c:axId val="169403312"/>
        <c:extLst>
          <c:ext xmlns:c15="http://schemas.microsoft.com/office/drawing/2012/chart" uri="{02D57815-91ED-43cb-92C2-25804820EDAC}">
            <c15:filteredLineSeries>
              <c15:ser>
                <c:idx val="1"/>
                <c:order val="1"/>
                <c:tx>
                  <c:strRef>
                    <c:extLst>
                      <c:ext uri="{02D57815-91ED-43cb-92C2-25804820EDAC}">
                        <c15:formulaRef>
                          <c15:sqref>'Poverty or social exclusion'!$A$3</c15:sqref>
                        </c15:formulaRef>
                      </c:ext>
                    </c:extLst>
                    <c:strCache>
                      <c:ptCount val="1"/>
                      <c:pt idx="0">
                        <c:v>EÚ</c:v>
                      </c:pt>
                    </c:strCache>
                  </c:strRef>
                </c:tx>
                <c:spPr>
                  <a:ln w="28575" cap="rnd">
                    <a:noFill/>
                    <a:round/>
                  </a:ln>
                  <a:effectLst/>
                </c:spPr>
                <c:marker>
                  <c:symbol val="diamond"/>
                  <c:size val="9"/>
                  <c:spPr>
                    <a:solidFill>
                      <a:schemeClr val="tx1"/>
                    </a:solidFill>
                    <a:ln w="9525">
                      <a:solidFill>
                        <a:schemeClr val="tx1"/>
                      </a:solidFill>
                    </a:ln>
                    <a:effectLst/>
                  </c:spPr>
                </c:marker>
                <c:cat>
                  <c:numRef>
                    <c:extLst>
                      <c:ext uri="{02D57815-91ED-43cb-92C2-25804820EDAC}">
                        <c15:formulaRef>
                          <c15:sqref>'Poverty or social exclusion'!$B$1:$J$1</c15:sqref>
                        </c15:formulaRef>
                      </c:ext>
                    </c:extLst>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extLst>
                      <c:ext uri="{02D57815-91ED-43cb-92C2-25804820EDAC}">
                        <c15:formulaRef>
                          <c15:sqref>'Poverty or social exclusion'!$B$3:$J$3</c15:sqref>
                        </c15:formulaRef>
                      </c:ext>
                    </c:extLst>
                    <c:numCache>
                      <c:formatCode>General</c:formatCode>
                      <c:ptCount val="9"/>
                      <c:pt idx="0">
                        <c:v>23.8</c:v>
                      </c:pt>
                      <c:pt idx="1">
                        <c:v>24.3</c:v>
                      </c:pt>
                      <c:pt idx="2">
                        <c:v>24.8</c:v>
                      </c:pt>
                      <c:pt idx="3">
                        <c:v>24.6</c:v>
                      </c:pt>
                      <c:pt idx="4">
                        <c:v>24.4</c:v>
                      </c:pt>
                      <c:pt idx="5">
                        <c:v>23.8</c:v>
                      </c:pt>
                      <c:pt idx="6">
                        <c:v>23.5</c:v>
                      </c:pt>
                      <c:pt idx="7">
                        <c:v>22.5</c:v>
                      </c:pt>
                      <c:pt idx="8">
                        <c:v>21.9</c:v>
                      </c:pt>
                    </c:numCache>
                  </c:numRef>
                </c:val>
                <c:smooth val="0"/>
              </c15:ser>
            </c15:filteredLineSeries>
          </c:ext>
        </c:extLst>
      </c:lineChart>
      <c:catAx>
        <c:axId val="130512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169403312"/>
        <c:crosses val="autoZero"/>
        <c:auto val="1"/>
        <c:lblAlgn val="ctr"/>
        <c:lblOffset val="100"/>
        <c:noMultiLvlLbl val="0"/>
      </c:catAx>
      <c:valAx>
        <c:axId val="169403312"/>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130512408"/>
        <c:crosses val="autoZero"/>
        <c:crossBetween val="between"/>
      </c:valAx>
      <c:spPr>
        <a:noFill/>
        <a:ln>
          <a:noFill/>
        </a:ln>
        <a:effectLst/>
      </c:spPr>
    </c:plotArea>
    <c:legend>
      <c:legendPos val="b"/>
      <c:layout>
        <c:manualLayout>
          <c:xMode val="edge"/>
          <c:yMode val="edge"/>
          <c:x val="0.58756707959275789"/>
          <c:y val="6.076334208223972E-2"/>
          <c:w val="0.34449236839025693"/>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71105534885062E-2"/>
          <c:y val="5.9139784946236562E-2"/>
          <c:w val="0.86199590435810913"/>
          <c:h val="0.71561171789010247"/>
        </c:manualLayout>
      </c:layout>
      <c:barChart>
        <c:barDir val="col"/>
        <c:grouping val="clustered"/>
        <c:varyColors val="0"/>
        <c:ser>
          <c:idx val="0"/>
          <c:order val="0"/>
          <c:tx>
            <c:strRef>
              <c:f>'Škôlky (1819)'!$B$2</c:f>
              <c:strCache>
                <c:ptCount val="1"/>
                <c:pt idx="0">
                  <c:v>mimo MRK, mimo PHN</c:v>
                </c:pt>
              </c:strCache>
            </c:strRef>
          </c:tx>
          <c:spPr>
            <a:solidFill>
              <a:schemeClr val="accent1"/>
            </a:solidFill>
            <a:ln>
              <a:noFill/>
            </a:ln>
            <a:effectLst/>
          </c:spPr>
          <c:invertIfNegative val="0"/>
          <c:cat>
            <c:strRef>
              <c:f>'Škôlky (1819)'!$A$3:$A$5</c:f>
              <c:strCache>
                <c:ptCount val="3"/>
                <c:pt idx="0">
                  <c:v>3 roky</c:v>
                </c:pt>
                <c:pt idx="1">
                  <c:v>4 roky</c:v>
                </c:pt>
                <c:pt idx="2">
                  <c:v>5 rokov</c:v>
                </c:pt>
              </c:strCache>
            </c:strRef>
          </c:cat>
          <c:val>
            <c:numRef>
              <c:f>'Škôlky (1819)'!$B$3:$B$5</c:f>
              <c:numCache>
                <c:formatCode>0.00</c:formatCode>
                <c:ptCount val="3"/>
                <c:pt idx="0">
                  <c:v>74.15718187364935</c:v>
                </c:pt>
                <c:pt idx="1">
                  <c:v>84.301980371545397</c:v>
                </c:pt>
                <c:pt idx="2">
                  <c:v>86.192759989459276</c:v>
                </c:pt>
              </c:numCache>
            </c:numRef>
          </c:val>
          <c:extLst xmlns:c16r2="http://schemas.microsoft.com/office/drawing/2015/06/chart">
            <c:ext xmlns:c16="http://schemas.microsoft.com/office/drawing/2014/chart" uri="{C3380CC4-5D6E-409C-BE32-E72D297353CC}">
              <c16:uniqueId val="{00000000-5079-420E-A796-3E7D32232903}"/>
            </c:ext>
          </c:extLst>
        </c:ser>
        <c:ser>
          <c:idx val="1"/>
          <c:order val="1"/>
          <c:tx>
            <c:strRef>
              <c:f>'Škôlky (1819)'!$C$2</c:f>
              <c:strCache>
                <c:ptCount val="1"/>
                <c:pt idx="0">
                  <c:v>mimo MRK, PHN</c:v>
                </c:pt>
              </c:strCache>
            </c:strRef>
          </c:tx>
          <c:spPr>
            <a:solidFill>
              <a:schemeClr val="accent5"/>
            </a:solidFill>
            <a:ln>
              <a:noFill/>
            </a:ln>
            <a:effectLst/>
          </c:spPr>
          <c:invertIfNegative val="0"/>
          <c:cat>
            <c:strRef>
              <c:f>'Škôlky (1819)'!$A$3:$A$5</c:f>
              <c:strCache>
                <c:ptCount val="3"/>
                <c:pt idx="0">
                  <c:v>3 roky</c:v>
                </c:pt>
                <c:pt idx="1">
                  <c:v>4 roky</c:v>
                </c:pt>
                <c:pt idx="2">
                  <c:v>5 rokov</c:v>
                </c:pt>
              </c:strCache>
            </c:strRef>
          </c:cat>
          <c:val>
            <c:numRef>
              <c:f>'Škôlky (1819)'!$C$3:$C$5</c:f>
              <c:numCache>
                <c:formatCode>0.00</c:formatCode>
                <c:ptCount val="3"/>
                <c:pt idx="0">
                  <c:v>35.923016189421098</c:v>
                </c:pt>
                <c:pt idx="1">
                  <c:v>51.137371973801216</c:v>
                </c:pt>
                <c:pt idx="2">
                  <c:v>67.628962931408154</c:v>
                </c:pt>
              </c:numCache>
            </c:numRef>
          </c:val>
          <c:extLst xmlns:c16r2="http://schemas.microsoft.com/office/drawing/2015/06/chart">
            <c:ext xmlns:c16="http://schemas.microsoft.com/office/drawing/2014/chart" uri="{C3380CC4-5D6E-409C-BE32-E72D297353CC}">
              <c16:uniqueId val="{00000001-5079-420E-A796-3E7D32232903}"/>
            </c:ext>
          </c:extLst>
        </c:ser>
        <c:ser>
          <c:idx val="2"/>
          <c:order val="2"/>
          <c:tx>
            <c:strRef>
              <c:f>'Škôlky (1819)'!$D$2</c:f>
              <c:strCache>
                <c:ptCount val="1"/>
                <c:pt idx="0">
                  <c:v>MRK, mimo PHN</c:v>
                </c:pt>
              </c:strCache>
            </c:strRef>
          </c:tx>
          <c:spPr>
            <a:solidFill>
              <a:schemeClr val="accent3"/>
            </a:solidFill>
            <a:ln>
              <a:noFill/>
            </a:ln>
            <a:effectLst/>
          </c:spPr>
          <c:invertIfNegative val="0"/>
          <c:cat>
            <c:strRef>
              <c:f>'Škôlky (1819)'!$A$3:$A$5</c:f>
              <c:strCache>
                <c:ptCount val="3"/>
                <c:pt idx="0">
                  <c:v>3 roky</c:v>
                </c:pt>
                <c:pt idx="1">
                  <c:v>4 roky</c:v>
                </c:pt>
                <c:pt idx="2">
                  <c:v>5 rokov</c:v>
                </c:pt>
              </c:strCache>
            </c:strRef>
          </c:cat>
          <c:val>
            <c:numRef>
              <c:f>'Škôlky (1819)'!$D$3:$D$5</c:f>
              <c:numCache>
                <c:formatCode>0.00</c:formatCode>
                <c:ptCount val="3"/>
                <c:pt idx="0">
                  <c:v>19.122253366840646</c:v>
                </c:pt>
                <c:pt idx="1">
                  <c:v>28.955558750670317</c:v>
                </c:pt>
                <c:pt idx="2">
                  <c:v>47.744997514054873</c:v>
                </c:pt>
              </c:numCache>
            </c:numRef>
          </c:val>
          <c:extLst xmlns:c16r2="http://schemas.microsoft.com/office/drawing/2015/06/chart">
            <c:ext xmlns:c16="http://schemas.microsoft.com/office/drawing/2014/chart" uri="{C3380CC4-5D6E-409C-BE32-E72D297353CC}">
              <c16:uniqueId val="{00000002-5079-420E-A796-3E7D32232903}"/>
            </c:ext>
          </c:extLst>
        </c:ser>
        <c:ser>
          <c:idx val="3"/>
          <c:order val="3"/>
          <c:tx>
            <c:strRef>
              <c:f>'Škôlky (1819)'!$E$2</c:f>
              <c:strCache>
                <c:ptCount val="1"/>
                <c:pt idx="0">
                  <c:v>MRK, PHN</c:v>
                </c:pt>
              </c:strCache>
            </c:strRef>
          </c:tx>
          <c:spPr>
            <a:solidFill>
              <a:schemeClr val="bg2">
                <a:lumMod val="50000"/>
              </a:schemeClr>
            </a:solidFill>
            <a:ln>
              <a:noFill/>
            </a:ln>
            <a:effectLst/>
          </c:spPr>
          <c:invertIfNegative val="0"/>
          <c:cat>
            <c:strRef>
              <c:f>'Škôlky (1819)'!$A$3:$A$5</c:f>
              <c:strCache>
                <c:ptCount val="3"/>
                <c:pt idx="0">
                  <c:v>3 roky</c:v>
                </c:pt>
                <c:pt idx="1">
                  <c:v>4 roky</c:v>
                </c:pt>
                <c:pt idx="2">
                  <c:v>5 rokov</c:v>
                </c:pt>
              </c:strCache>
            </c:strRef>
          </c:cat>
          <c:val>
            <c:numRef>
              <c:f>'Škôlky (1819)'!$E$3:$E$5</c:f>
              <c:numCache>
                <c:formatCode>0.00</c:formatCode>
                <c:ptCount val="3"/>
                <c:pt idx="0">
                  <c:v>16.445814264482038</c:v>
                </c:pt>
                <c:pt idx="1">
                  <c:v>31.696525041599529</c:v>
                </c:pt>
                <c:pt idx="2">
                  <c:v>50.839884107297472</c:v>
                </c:pt>
              </c:numCache>
            </c:numRef>
          </c:val>
          <c:extLst xmlns:c16r2="http://schemas.microsoft.com/office/drawing/2015/06/chart">
            <c:ext xmlns:c16="http://schemas.microsoft.com/office/drawing/2014/chart" uri="{C3380CC4-5D6E-409C-BE32-E72D297353CC}">
              <c16:uniqueId val="{00000003-5079-420E-A796-3E7D32232903}"/>
            </c:ext>
          </c:extLst>
        </c:ser>
        <c:dLbls>
          <c:showLegendKey val="0"/>
          <c:showVal val="0"/>
          <c:showCatName val="0"/>
          <c:showSerName val="0"/>
          <c:showPercent val="0"/>
          <c:showBubbleSize val="0"/>
        </c:dLbls>
        <c:gapWidth val="219"/>
        <c:overlap val="-27"/>
        <c:axId val="220261640"/>
        <c:axId val="220262032"/>
      </c:barChart>
      <c:catAx>
        <c:axId val="220261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0262032"/>
        <c:crosses val="autoZero"/>
        <c:auto val="1"/>
        <c:lblAlgn val="ctr"/>
        <c:lblOffset val="100"/>
        <c:noMultiLvlLbl val="0"/>
      </c:catAx>
      <c:valAx>
        <c:axId val="220262032"/>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0261640"/>
        <c:crosses val="autoZero"/>
        <c:crossBetween val="between"/>
      </c:valAx>
      <c:spPr>
        <a:noFill/>
        <a:ln>
          <a:noFill/>
        </a:ln>
        <a:effectLst/>
      </c:spPr>
    </c:plotArea>
    <c:legend>
      <c:legendPos val="b"/>
      <c:layout>
        <c:manualLayout>
          <c:xMode val="edge"/>
          <c:yMode val="edge"/>
          <c:x val="4.1073231230711549E-2"/>
          <c:y val="0.88227627368496742"/>
          <c:w val="0.93616855585359526"/>
          <c:h val="0.1173433286592600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457882982018556E-2"/>
          <c:y val="5.057471264367816E-2"/>
          <c:w val="0.86099346277367506"/>
          <c:h val="0.82278106615983349"/>
        </c:manualLayout>
      </c:layout>
      <c:barChart>
        <c:barDir val="col"/>
        <c:grouping val="clustered"/>
        <c:varyColors val="0"/>
        <c:ser>
          <c:idx val="0"/>
          <c:order val="0"/>
          <c:tx>
            <c:strRef>
              <c:f>'Nulty HN (1819)'!$B$13</c:f>
              <c:strCache>
                <c:ptCount val="1"/>
                <c:pt idx="0">
                  <c:v>2+ rokov MŠ</c:v>
                </c:pt>
              </c:strCache>
            </c:strRef>
          </c:tx>
          <c:spPr>
            <a:solidFill>
              <a:schemeClr val="accent5">
                <a:lumMod val="75000"/>
              </a:schemeClr>
            </a:solidFill>
            <a:ln>
              <a:noFill/>
            </a:ln>
            <a:effectLst/>
          </c:spPr>
          <c:invertIfNegative val="0"/>
          <c:cat>
            <c:strRef>
              <c:f>'Nulty HN (1819)'!$A$14:$A$17</c:f>
              <c:strCache>
                <c:ptCount val="4"/>
                <c:pt idx="0">
                  <c:v>mimo MRK, mimo PHN</c:v>
                </c:pt>
                <c:pt idx="1">
                  <c:v>mimo MRK, PHN</c:v>
                </c:pt>
                <c:pt idx="2">
                  <c:v>MRK, mimo PHN</c:v>
                </c:pt>
                <c:pt idx="3">
                  <c:v>MRK, PHN</c:v>
                </c:pt>
              </c:strCache>
            </c:strRef>
          </c:cat>
          <c:val>
            <c:numRef>
              <c:f>'Nulty HN (1819)'!$B$14:$B$17</c:f>
              <c:numCache>
                <c:formatCode>General</c:formatCode>
                <c:ptCount val="4"/>
                <c:pt idx="0">
                  <c:v>0.21618282890673254</c:v>
                </c:pt>
                <c:pt idx="1">
                  <c:v>6.8399452804377567</c:v>
                </c:pt>
                <c:pt idx="2">
                  <c:v>11.902113459399333</c:v>
                </c:pt>
                <c:pt idx="3">
                  <c:v>28.544423440453688</c:v>
                </c:pt>
              </c:numCache>
            </c:numRef>
          </c:val>
          <c:extLst xmlns:c16r2="http://schemas.microsoft.com/office/drawing/2015/06/chart">
            <c:ext xmlns:c16="http://schemas.microsoft.com/office/drawing/2014/chart" uri="{C3380CC4-5D6E-409C-BE32-E72D297353CC}">
              <c16:uniqueId val="{00000000-392B-4279-B1B1-4393AEA0AA2A}"/>
            </c:ext>
          </c:extLst>
        </c:ser>
        <c:ser>
          <c:idx val="1"/>
          <c:order val="1"/>
          <c:tx>
            <c:strRef>
              <c:f>'Nulty HN (1819)'!$C$13</c:f>
              <c:strCache>
                <c:ptCount val="1"/>
                <c:pt idx="0">
                  <c:v>1 rok MŠ</c:v>
                </c:pt>
              </c:strCache>
            </c:strRef>
          </c:tx>
          <c:spPr>
            <a:solidFill>
              <a:schemeClr val="accent1"/>
            </a:solidFill>
            <a:ln>
              <a:noFill/>
            </a:ln>
            <a:effectLst/>
          </c:spPr>
          <c:invertIfNegative val="0"/>
          <c:cat>
            <c:strRef>
              <c:f>'Nulty HN (1819)'!$A$14:$A$17</c:f>
              <c:strCache>
                <c:ptCount val="4"/>
                <c:pt idx="0">
                  <c:v>mimo MRK, mimo PHN</c:v>
                </c:pt>
                <c:pt idx="1">
                  <c:v>mimo MRK, PHN</c:v>
                </c:pt>
                <c:pt idx="2">
                  <c:v>MRK, mimo PHN</c:v>
                </c:pt>
                <c:pt idx="3">
                  <c:v>MRK, PHN</c:v>
                </c:pt>
              </c:strCache>
            </c:strRef>
          </c:cat>
          <c:val>
            <c:numRef>
              <c:f>'Nulty HN (1819)'!$C$14:$C$17</c:f>
              <c:numCache>
                <c:formatCode>General</c:formatCode>
                <c:ptCount val="4"/>
                <c:pt idx="0">
                  <c:v>0.93405038211151992</c:v>
                </c:pt>
                <c:pt idx="1">
                  <c:v>13.103448275862069</c:v>
                </c:pt>
                <c:pt idx="2">
                  <c:v>29.463171036204745</c:v>
                </c:pt>
                <c:pt idx="3">
                  <c:v>44.976816074188562</c:v>
                </c:pt>
              </c:numCache>
            </c:numRef>
          </c:val>
          <c:extLst xmlns:c16r2="http://schemas.microsoft.com/office/drawing/2015/06/chart">
            <c:ext xmlns:c16="http://schemas.microsoft.com/office/drawing/2014/chart" uri="{C3380CC4-5D6E-409C-BE32-E72D297353CC}">
              <c16:uniqueId val="{00000001-392B-4279-B1B1-4393AEA0AA2A}"/>
            </c:ext>
          </c:extLst>
        </c:ser>
        <c:ser>
          <c:idx val="2"/>
          <c:order val="2"/>
          <c:tx>
            <c:strRef>
              <c:f>'Nulty HN (1819)'!$D$13</c:f>
              <c:strCache>
                <c:ptCount val="1"/>
                <c:pt idx="0">
                  <c:v>Bez MŠ</c:v>
                </c:pt>
              </c:strCache>
            </c:strRef>
          </c:tx>
          <c:spPr>
            <a:solidFill>
              <a:schemeClr val="accent3"/>
            </a:solidFill>
            <a:ln>
              <a:noFill/>
            </a:ln>
            <a:effectLst/>
          </c:spPr>
          <c:invertIfNegative val="0"/>
          <c:cat>
            <c:strRef>
              <c:f>'Nulty HN (1819)'!$A$14:$A$17</c:f>
              <c:strCache>
                <c:ptCount val="4"/>
                <c:pt idx="0">
                  <c:v>mimo MRK, mimo PHN</c:v>
                </c:pt>
                <c:pt idx="1">
                  <c:v>mimo MRK, PHN</c:v>
                </c:pt>
                <c:pt idx="2">
                  <c:v>MRK, mimo PHN</c:v>
                </c:pt>
                <c:pt idx="3">
                  <c:v>MRK, PHN</c:v>
                </c:pt>
              </c:strCache>
            </c:strRef>
          </c:cat>
          <c:val>
            <c:numRef>
              <c:f>'Nulty HN (1819)'!$D$14:$D$17</c:f>
              <c:numCache>
                <c:formatCode>General</c:formatCode>
                <c:ptCount val="4"/>
                <c:pt idx="0">
                  <c:v>6.9641170915958455</c:v>
                </c:pt>
                <c:pt idx="1">
                  <c:v>38.368055555555557</c:v>
                </c:pt>
                <c:pt idx="2">
                  <c:v>51.997380484610346</c:v>
                </c:pt>
                <c:pt idx="3">
                  <c:v>63.593004769475357</c:v>
                </c:pt>
              </c:numCache>
            </c:numRef>
          </c:val>
          <c:extLst xmlns:c16r2="http://schemas.microsoft.com/office/drawing/2015/06/chart">
            <c:ext xmlns:c16="http://schemas.microsoft.com/office/drawing/2014/chart" uri="{C3380CC4-5D6E-409C-BE32-E72D297353CC}">
              <c16:uniqueId val="{00000002-392B-4279-B1B1-4393AEA0AA2A}"/>
            </c:ext>
          </c:extLst>
        </c:ser>
        <c:dLbls>
          <c:showLegendKey val="0"/>
          <c:showVal val="0"/>
          <c:showCatName val="0"/>
          <c:showSerName val="0"/>
          <c:showPercent val="0"/>
          <c:showBubbleSize val="0"/>
        </c:dLbls>
        <c:gapWidth val="219"/>
        <c:overlap val="-27"/>
        <c:axId val="220263600"/>
        <c:axId val="220263208"/>
      </c:barChart>
      <c:catAx>
        <c:axId val="22026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0263208"/>
        <c:crosses val="autoZero"/>
        <c:auto val="1"/>
        <c:lblAlgn val="ctr"/>
        <c:lblOffset val="100"/>
        <c:noMultiLvlLbl val="0"/>
      </c:catAx>
      <c:valAx>
        <c:axId val="220263208"/>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0263600"/>
        <c:crosses val="autoZero"/>
        <c:crossBetween val="between"/>
      </c:valAx>
      <c:spPr>
        <a:noFill/>
        <a:ln>
          <a:noFill/>
        </a:ln>
        <a:effectLst/>
      </c:spPr>
    </c:plotArea>
    <c:legend>
      <c:legendPos val="b"/>
      <c:layout>
        <c:manualLayout>
          <c:xMode val="edge"/>
          <c:yMode val="edge"/>
          <c:x val="8.9993245556408863E-2"/>
          <c:y val="7.3938693443136125E-2"/>
          <c:w val="0.61865016872890888"/>
          <c:h val="7.396832292515159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sk-SK"/>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457882982018556E-2"/>
          <c:y val="5.057471264367816E-2"/>
          <c:w val="0.86099346277367506"/>
          <c:h val="0.82278106615983349"/>
        </c:manualLayout>
      </c:layout>
      <c:barChart>
        <c:barDir val="col"/>
        <c:grouping val="clustered"/>
        <c:varyColors val="0"/>
        <c:ser>
          <c:idx val="0"/>
          <c:order val="0"/>
          <c:tx>
            <c:strRef>
              <c:f>'Dopad MS'!$B$13</c:f>
              <c:strCache>
                <c:ptCount val="1"/>
                <c:pt idx="0">
                  <c:v>So škôlkou</c:v>
                </c:pt>
              </c:strCache>
            </c:strRef>
          </c:tx>
          <c:spPr>
            <a:solidFill>
              <a:schemeClr val="accent1"/>
            </a:solidFill>
            <a:ln>
              <a:noFill/>
            </a:ln>
            <a:effectLst/>
          </c:spPr>
          <c:invertIfNegative val="0"/>
          <c:cat>
            <c:strRef>
              <c:f>'Dopad MS'!$A$14:$A$17</c:f>
              <c:strCache>
                <c:ptCount val="4"/>
                <c:pt idx="0">
                  <c:v>mimo MRK, mimo PHN</c:v>
                </c:pt>
                <c:pt idx="1">
                  <c:v>mimo MRK, PHN</c:v>
                </c:pt>
                <c:pt idx="2">
                  <c:v>MRK, mimo PHN</c:v>
                </c:pt>
                <c:pt idx="3">
                  <c:v>MRK, PHN</c:v>
                </c:pt>
              </c:strCache>
            </c:strRef>
          </c:cat>
          <c:val>
            <c:numRef>
              <c:f>'Dopad MS'!$B$14:$B$17</c:f>
              <c:numCache>
                <c:formatCode>General</c:formatCode>
                <c:ptCount val="4"/>
                <c:pt idx="0">
                  <c:v>0.74992704989786985</c:v>
                </c:pt>
                <c:pt idx="1">
                  <c:v>12.926391382405745</c:v>
                </c:pt>
                <c:pt idx="2">
                  <c:v>9.6008629989212508</c:v>
                </c:pt>
                <c:pt idx="3">
                  <c:v>21.520618556701031</c:v>
                </c:pt>
              </c:numCache>
            </c:numRef>
          </c:val>
          <c:extLst xmlns:c16r2="http://schemas.microsoft.com/office/drawing/2015/06/chart">
            <c:ext xmlns:c16="http://schemas.microsoft.com/office/drawing/2014/chart" uri="{C3380CC4-5D6E-409C-BE32-E72D297353CC}">
              <c16:uniqueId val="{00000000-0EC9-4073-9A6C-358880E3B498}"/>
            </c:ext>
          </c:extLst>
        </c:ser>
        <c:ser>
          <c:idx val="1"/>
          <c:order val="1"/>
          <c:tx>
            <c:strRef>
              <c:f>'Dopad MS'!$C$13</c:f>
              <c:strCache>
                <c:ptCount val="1"/>
                <c:pt idx="0">
                  <c:v>Bez škôlky</c:v>
                </c:pt>
              </c:strCache>
            </c:strRef>
          </c:tx>
          <c:spPr>
            <a:solidFill>
              <a:schemeClr val="accent3"/>
            </a:solidFill>
            <a:ln>
              <a:noFill/>
            </a:ln>
            <a:effectLst/>
          </c:spPr>
          <c:invertIfNegative val="0"/>
          <c:cat>
            <c:strRef>
              <c:f>'Dopad MS'!$A$14:$A$17</c:f>
              <c:strCache>
                <c:ptCount val="4"/>
                <c:pt idx="0">
                  <c:v>mimo MRK, mimo PHN</c:v>
                </c:pt>
                <c:pt idx="1">
                  <c:v>mimo MRK, PHN</c:v>
                </c:pt>
                <c:pt idx="2">
                  <c:v>MRK, mimo PHN</c:v>
                </c:pt>
                <c:pt idx="3">
                  <c:v>MRK, PHN</c:v>
                </c:pt>
              </c:strCache>
            </c:strRef>
          </c:cat>
          <c:val>
            <c:numRef>
              <c:f>'Dopad MS'!$C$14:$C$17</c:f>
              <c:numCache>
                <c:formatCode>General</c:formatCode>
                <c:ptCount val="4"/>
                <c:pt idx="0">
                  <c:v>3.9837030330466274</c:v>
                </c:pt>
                <c:pt idx="1">
                  <c:v>28.623629719853838</c:v>
                </c:pt>
                <c:pt idx="2">
                  <c:v>28.802992518703242</c:v>
                </c:pt>
                <c:pt idx="3">
                  <c:v>29.848229342327151</c:v>
                </c:pt>
              </c:numCache>
            </c:numRef>
          </c:val>
          <c:extLst xmlns:c16r2="http://schemas.microsoft.com/office/drawing/2015/06/chart">
            <c:ext xmlns:c16="http://schemas.microsoft.com/office/drawing/2014/chart" uri="{C3380CC4-5D6E-409C-BE32-E72D297353CC}">
              <c16:uniqueId val="{00000001-0EC9-4073-9A6C-358880E3B498}"/>
            </c:ext>
          </c:extLst>
        </c:ser>
        <c:dLbls>
          <c:showLegendKey val="0"/>
          <c:showVal val="0"/>
          <c:showCatName val="0"/>
          <c:showSerName val="0"/>
          <c:showPercent val="0"/>
          <c:showBubbleSize val="0"/>
        </c:dLbls>
        <c:gapWidth val="219"/>
        <c:overlap val="-27"/>
        <c:axId val="220264776"/>
        <c:axId val="220265168"/>
      </c:barChart>
      <c:catAx>
        <c:axId val="220264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0265168"/>
        <c:crosses val="autoZero"/>
        <c:auto val="1"/>
        <c:lblAlgn val="ctr"/>
        <c:lblOffset val="100"/>
        <c:noMultiLvlLbl val="0"/>
      </c:catAx>
      <c:valAx>
        <c:axId val="220265168"/>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0264776"/>
        <c:crosses val="autoZero"/>
        <c:crossBetween val="between"/>
      </c:valAx>
      <c:spPr>
        <a:noFill/>
        <a:ln>
          <a:noFill/>
        </a:ln>
        <a:effectLst/>
      </c:spPr>
    </c:plotArea>
    <c:legend>
      <c:legendPos val="b"/>
      <c:layout>
        <c:manualLayout>
          <c:xMode val="edge"/>
          <c:yMode val="edge"/>
          <c:x val="0.18376867197549315"/>
          <c:y val="6.7475857970583863E-2"/>
          <c:w val="0.44577525635382531"/>
          <c:h val="7.396832292515159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sk-SK"/>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596704100512032E-2"/>
          <c:y val="5.5321944406072056E-2"/>
          <c:w val="0.81556713833608563"/>
          <c:h val="0.72463906923915211"/>
        </c:manualLayout>
      </c:layout>
      <c:barChart>
        <c:barDir val="col"/>
        <c:grouping val="stacked"/>
        <c:varyColors val="0"/>
        <c:ser>
          <c:idx val="0"/>
          <c:order val="0"/>
          <c:tx>
            <c:strRef>
              <c:f>'Dostupnost MRK new'!$B$1</c:f>
              <c:strCache>
                <c:ptCount val="1"/>
                <c:pt idx="0">
                  <c:v>Rómovia</c:v>
                </c:pt>
              </c:strCache>
            </c:strRef>
          </c:tx>
          <c:spPr>
            <a:solidFill>
              <a:schemeClr val="accent1"/>
            </a:solidFill>
            <a:ln>
              <a:noFill/>
            </a:ln>
            <a:effectLst/>
          </c:spPr>
          <c:invertIfNegative val="0"/>
          <c:cat>
            <c:strRef>
              <c:f>'Dostupnost MRK new'!$A$2:$A$7</c:f>
              <c:strCache>
                <c:ptCount val="6"/>
                <c:pt idx="0">
                  <c:v>0</c:v>
                </c:pt>
                <c:pt idx="1">
                  <c:v>1</c:v>
                </c:pt>
                <c:pt idx="2">
                  <c:v>2</c:v>
                </c:pt>
                <c:pt idx="3">
                  <c:v>3</c:v>
                </c:pt>
                <c:pt idx="4">
                  <c:v>4</c:v>
                </c:pt>
                <c:pt idx="5">
                  <c:v>5 a viac</c:v>
                </c:pt>
              </c:strCache>
            </c:strRef>
          </c:cat>
          <c:val>
            <c:numRef>
              <c:f>'Dostupnost MRK new'!$B$2:$B$7</c:f>
              <c:numCache>
                <c:formatCode>0.00</c:formatCode>
                <c:ptCount val="6"/>
                <c:pt idx="0">
                  <c:v>45.990899081392804</c:v>
                </c:pt>
                <c:pt idx="1">
                  <c:v>31.317847310388448</c:v>
                </c:pt>
                <c:pt idx="2">
                  <c:v>32.310168716219877</c:v>
                </c:pt>
                <c:pt idx="3">
                  <c:v>14.893075966770628</c:v>
                </c:pt>
                <c:pt idx="4">
                  <c:v>15.661723075698458</c:v>
                </c:pt>
                <c:pt idx="5">
                  <c:v>6.1181759924168819</c:v>
                </c:pt>
              </c:numCache>
            </c:numRef>
          </c:val>
          <c:extLst xmlns:c16r2="http://schemas.microsoft.com/office/drawing/2015/06/chart">
            <c:ext xmlns:c16="http://schemas.microsoft.com/office/drawing/2014/chart" uri="{C3380CC4-5D6E-409C-BE32-E72D297353CC}">
              <c16:uniqueId val="{00000000-F97D-4453-8D61-23D124A2C05D}"/>
            </c:ext>
          </c:extLst>
        </c:ser>
        <c:ser>
          <c:idx val="1"/>
          <c:order val="1"/>
          <c:tx>
            <c:strRef>
              <c:f>'Dostupnost MRK new'!$C$1</c:f>
              <c:strCache>
                <c:ptCount val="1"/>
                <c:pt idx="0">
                  <c:v>Majorita</c:v>
                </c:pt>
              </c:strCache>
            </c:strRef>
          </c:tx>
          <c:spPr>
            <a:solidFill>
              <a:schemeClr val="accent1">
                <a:lumMod val="40000"/>
                <a:lumOff val="60000"/>
              </a:schemeClr>
            </a:solidFill>
            <a:ln>
              <a:noFill/>
            </a:ln>
            <a:effectLst/>
          </c:spPr>
          <c:invertIfNegative val="0"/>
          <c:cat>
            <c:strRef>
              <c:f>'Dostupnost MRK new'!$A$2:$A$7</c:f>
              <c:strCache>
                <c:ptCount val="6"/>
                <c:pt idx="0">
                  <c:v>0</c:v>
                </c:pt>
                <c:pt idx="1">
                  <c:v>1</c:v>
                </c:pt>
                <c:pt idx="2">
                  <c:v>2</c:v>
                </c:pt>
                <c:pt idx="3">
                  <c:v>3</c:v>
                </c:pt>
                <c:pt idx="4">
                  <c:v>4</c:v>
                </c:pt>
                <c:pt idx="5">
                  <c:v>5 a viac</c:v>
                </c:pt>
              </c:strCache>
            </c:strRef>
          </c:cat>
          <c:val>
            <c:numRef>
              <c:f>'Dostupnost MRK new'!$C$2:$C$7</c:f>
              <c:numCache>
                <c:formatCode>0.00</c:formatCode>
                <c:ptCount val="6"/>
                <c:pt idx="0">
                  <c:v>54.00910091860721</c:v>
                </c:pt>
                <c:pt idx="1">
                  <c:v>68.682152689611542</c:v>
                </c:pt>
                <c:pt idx="2">
                  <c:v>67.689831283780123</c:v>
                </c:pt>
                <c:pt idx="3">
                  <c:v>85.106924033229362</c:v>
                </c:pt>
                <c:pt idx="4">
                  <c:v>84.338276924301525</c:v>
                </c:pt>
                <c:pt idx="5">
                  <c:v>93.881824007583106</c:v>
                </c:pt>
              </c:numCache>
            </c:numRef>
          </c:val>
          <c:extLst xmlns:c16r2="http://schemas.microsoft.com/office/drawing/2015/06/chart">
            <c:ext xmlns:c16="http://schemas.microsoft.com/office/drawing/2014/chart" uri="{C3380CC4-5D6E-409C-BE32-E72D297353CC}">
              <c16:uniqueId val="{00000001-F97D-4453-8D61-23D124A2C05D}"/>
            </c:ext>
          </c:extLst>
        </c:ser>
        <c:dLbls>
          <c:showLegendKey val="0"/>
          <c:showVal val="0"/>
          <c:showCatName val="0"/>
          <c:showSerName val="0"/>
          <c:showPercent val="0"/>
          <c:showBubbleSize val="0"/>
        </c:dLbls>
        <c:gapWidth val="100"/>
        <c:overlap val="100"/>
        <c:axId val="220266736"/>
        <c:axId val="220266344"/>
      </c:barChart>
      <c:catAx>
        <c:axId val="220266736"/>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en-US" sz="900">
                    <a:solidFill>
                      <a:sysClr val="windowText" lastClr="000000"/>
                    </a:solidFill>
                    <a:latin typeface="Arial Narrow" panose="020B0606020202030204" pitchFamily="34" charset="0"/>
                  </a:rPr>
                  <a:t>počet MŠ/ŠMŠ v obci</a:t>
                </a:r>
              </a:p>
            </c:rich>
          </c:tx>
          <c:layout>
            <c:manualLayout>
              <c:xMode val="edge"/>
              <c:yMode val="edge"/>
              <c:x val="0.33946050292100588"/>
              <c:y val="0.9120370370370370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0266344"/>
        <c:crosses val="autoZero"/>
        <c:auto val="1"/>
        <c:lblAlgn val="ctr"/>
        <c:lblOffset val="100"/>
        <c:noMultiLvlLbl val="0"/>
      </c:catAx>
      <c:valAx>
        <c:axId val="220266344"/>
        <c:scaling>
          <c:orientation val="minMax"/>
          <c:max val="100"/>
        </c:scaling>
        <c:delete val="0"/>
        <c:axPos val="l"/>
        <c:majorGridlines>
          <c:spPr>
            <a:ln w="9525" cap="flat" cmpd="sng" algn="ctr">
              <a:solidFill>
                <a:schemeClr val="tx1">
                  <a:lumMod val="15000"/>
                  <a:lumOff val="85000"/>
                </a:schemeClr>
              </a:solidFill>
              <a:prstDash val="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02667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97284641745362"/>
          <c:y val="5.0925925925925923E-2"/>
          <c:w val="0.79217342018294223"/>
          <c:h val="0.78391987459900825"/>
        </c:manualLayout>
      </c:layout>
      <c:bubbleChart>
        <c:varyColors val="0"/>
        <c:ser>
          <c:idx val="0"/>
          <c:order val="0"/>
          <c:spPr>
            <a:noFill/>
            <a:ln w="6350">
              <a:solidFill>
                <a:schemeClr val="accent1"/>
              </a:solidFill>
            </a:ln>
            <a:effectLst/>
          </c:spPr>
          <c:invertIfNegative val="0"/>
          <c:xVal>
            <c:numRef>
              <c:f>Hárok1!$P$2:$P$165</c:f>
              <c:numCache>
                <c:formatCode>General</c:formatCode>
                <c:ptCount val="164"/>
                <c:pt idx="0">
                  <c:v>21.359220000000001</c:v>
                </c:pt>
                <c:pt idx="1">
                  <c:v>18.644069999999999</c:v>
                </c:pt>
                <c:pt idx="2">
                  <c:v>13.725490000000001</c:v>
                </c:pt>
                <c:pt idx="3">
                  <c:v>22.457630000000002</c:v>
                </c:pt>
                <c:pt idx="4">
                  <c:v>13.076919999999999</c:v>
                </c:pt>
                <c:pt idx="5">
                  <c:v>32.5</c:v>
                </c:pt>
                <c:pt idx="6">
                  <c:v>78.125</c:v>
                </c:pt>
                <c:pt idx="7">
                  <c:v>15.82278</c:v>
                </c:pt>
                <c:pt idx="8">
                  <c:v>40.909089999999999</c:v>
                </c:pt>
                <c:pt idx="9">
                  <c:v>10.84337</c:v>
                </c:pt>
                <c:pt idx="10">
                  <c:v>27</c:v>
                </c:pt>
                <c:pt idx="11">
                  <c:v>20.12987</c:v>
                </c:pt>
                <c:pt idx="12">
                  <c:v>34.375</c:v>
                </c:pt>
                <c:pt idx="13">
                  <c:v>41.237110000000001</c:v>
                </c:pt>
                <c:pt idx="14">
                  <c:v>53.333339999999993</c:v>
                </c:pt>
                <c:pt idx="15">
                  <c:v>24.16226</c:v>
                </c:pt>
                <c:pt idx="16">
                  <c:v>23.78049</c:v>
                </c:pt>
                <c:pt idx="17">
                  <c:v>49.137930000000004</c:v>
                </c:pt>
                <c:pt idx="18">
                  <c:v>67.1875</c:v>
                </c:pt>
                <c:pt idx="19">
                  <c:v>45.454549999999998</c:v>
                </c:pt>
                <c:pt idx="20">
                  <c:v>43.421050000000001</c:v>
                </c:pt>
                <c:pt idx="21">
                  <c:v>10.20115</c:v>
                </c:pt>
                <c:pt idx="22">
                  <c:v>50.909089999999999</c:v>
                </c:pt>
                <c:pt idx="23">
                  <c:v>38.235289999999999</c:v>
                </c:pt>
                <c:pt idx="24">
                  <c:v>22.37762</c:v>
                </c:pt>
                <c:pt idx="25">
                  <c:v>43.939390000000003</c:v>
                </c:pt>
                <c:pt idx="26">
                  <c:v>17.412939999999999</c:v>
                </c:pt>
                <c:pt idx="27">
                  <c:v>21.4511</c:v>
                </c:pt>
                <c:pt idx="28">
                  <c:v>51.063829999999996</c:v>
                </c:pt>
                <c:pt idx="29">
                  <c:v>29.68037</c:v>
                </c:pt>
                <c:pt idx="30">
                  <c:v>40</c:v>
                </c:pt>
                <c:pt idx="31">
                  <c:v>28.571429999999999</c:v>
                </c:pt>
                <c:pt idx="32">
                  <c:v>37.623759999999997</c:v>
                </c:pt>
                <c:pt idx="33">
                  <c:v>30.407519999999998</c:v>
                </c:pt>
                <c:pt idx="34">
                  <c:v>16.622690000000002</c:v>
                </c:pt>
                <c:pt idx="35">
                  <c:v>22.988510000000002</c:v>
                </c:pt>
                <c:pt idx="36">
                  <c:v>15.232560000000001</c:v>
                </c:pt>
                <c:pt idx="37">
                  <c:v>42.105260000000001</c:v>
                </c:pt>
                <c:pt idx="38">
                  <c:v>66.666669999999996</c:v>
                </c:pt>
                <c:pt idx="39">
                  <c:v>42.307690000000001</c:v>
                </c:pt>
                <c:pt idx="40">
                  <c:v>20</c:v>
                </c:pt>
                <c:pt idx="41">
                  <c:v>46.634609999999995</c:v>
                </c:pt>
                <c:pt idx="42">
                  <c:v>10.012210000000001</c:v>
                </c:pt>
                <c:pt idx="43">
                  <c:v>38.043480000000002</c:v>
                </c:pt>
                <c:pt idx="44">
                  <c:v>15.247530000000001</c:v>
                </c:pt>
                <c:pt idx="45">
                  <c:v>39.0625</c:v>
                </c:pt>
                <c:pt idx="46">
                  <c:v>50.53763</c:v>
                </c:pt>
                <c:pt idx="47">
                  <c:v>30.198019999999996</c:v>
                </c:pt>
                <c:pt idx="48">
                  <c:v>75.70093</c:v>
                </c:pt>
                <c:pt idx="49">
                  <c:v>41.12903</c:v>
                </c:pt>
                <c:pt idx="50">
                  <c:v>29.145729999999997</c:v>
                </c:pt>
                <c:pt idx="51">
                  <c:v>56.000000000000007</c:v>
                </c:pt>
                <c:pt idx="52">
                  <c:v>65.363129999999998</c:v>
                </c:pt>
                <c:pt idx="53">
                  <c:v>61.252899999999997</c:v>
                </c:pt>
                <c:pt idx="54">
                  <c:v>48.529409999999999</c:v>
                </c:pt>
                <c:pt idx="55">
                  <c:v>37.647059999999996</c:v>
                </c:pt>
                <c:pt idx="56">
                  <c:v>42.857140000000001</c:v>
                </c:pt>
                <c:pt idx="57">
                  <c:v>12.707180000000001</c:v>
                </c:pt>
                <c:pt idx="58">
                  <c:v>77.822580000000002</c:v>
                </c:pt>
                <c:pt idx="59">
                  <c:v>16.30537</c:v>
                </c:pt>
                <c:pt idx="60">
                  <c:v>39.705880000000001</c:v>
                </c:pt>
                <c:pt idx="61">
                  <c:v>25</c:v>
                </c:pt>
                <c:pt idx="62">
                  <c:v>21.35417</c:v>
                </c:pt>
                <c:pt idx="63">
                  <c:v>61.983469999999997</c:v>
                </c:pt>
                <c:pt idx="64">
                  <c:v>61.855669999999996</c:v>
                </c:pt>
                <c:pt idx="65">
                  <c:v>72.455089999999998</c:v>
                </c:pt>
                <c:pt idx="66">
                  <c:v>79.661020000000008</c:v>
                </c:pt>
                <c:pt idx="67">
                  <c:v>75</c:v>
                </c:pt>
                <c:pt idx="68">
                  <c:v>53.846159999999998</c:v>
                </c:pt>
                <c:pt idx="69">
                  <c:v>31.1828</c:v>
                </c:pt>
                <c:pt idx="70">
                  <c:v>75.875479999999996</c:v>
                </c:pt>
                <c:pt idx="71">
                  <c:v>33.78378</c:v>
                </c:pt>
                <c:pt idx="72">
                  <c:v>79.738560000000007</c:v>
                </c:pt>
                <c:pt idx="73">
                  <c:v>73.015870000000007</c:v>
                </c:pt>
                <c:pt idx="74">
                  <c:v>43.478259999999999</c:v>
                </c:pt>
                <c:pt idx="75">
                  <c:v>63.917520000000003</c:v>
                </c:pt>
                <c:pt idx="76">
                  <c:v>33.819240000000001</c:v>
                </c:pt>
                <c:pt idx="77">
                  <c:v>43.636360000000003</c:v>
                </c:pt>
                <c:pt idx="78">
                  <c:v>41.269840000000002</c:v>
                </c:pt>
                <c:pt idx="79">
                  <c:v>53.623190000000001</c:v>
                </c:pt>
                <c:pt idx="80">
                  <c:v>25.581399999999999</c:v>
                </c:pt>
                <c:pt idx="81">
                  <c:v>43.617020000000004</c:v>
                </c:pt>
                <c:pt idx="82">
                  <c:v>52.272730000000003</c:v>
                </c:pt>
                <c:pt idx="83">
                  <c:v>81.949460000000002</c:v>
                </c:pt>
                <c:pt idx="84">
                  <c:v>54.285720000000005</c:v>
                </c:pt>
                <c:pt idx="85">
                  <c:v>36.206899999999997</c:v>
                </c:pt>
                <c:pt idx="86">
                  <c:v>51.666670000000003</c:v>
                </c:pt>
                <c:pt idx="87">
                  <c:v>46.067419999999998</c:v>
                </c:pt>
                <c:pt idx="88">
                  <c:v>30.672270000000001</c:v>
                </c:pt>
                <c:pt idx="89">
                  <c:v>56.934309999999996</c:v>
                </c:pt>
                <c:pt idx="90">
                  <c:v>35.384619999999998</c:v>
                </c:pt>
                <c:pt idx="91">
                  <c:v>25.053999999999998</c:v>
                </c:pt>
                <c:pt idx="92">
                  <c:v>87.113399999999999</c:v>
                </c:pt>
                <c:pt idx="93">
                  <c:v>29.126210000000004</c:v>
                </c:pt>
                <c:pt idx="94">
                  <c:v>32.857140000000001</c:v>
                </c:pt>
                <c:pt idx="95">
                  <c:v>30.303029999999996</c:v>
                </c:pt>
                <c:pt idx="96">
                  <c:v>67.142859999999999</c:v>
                </c:pt>
                <c:pt idx="97">
                  <c:v>13.100439999999999</c:v>
                </c:pt>
                <c:pt idx="98">
                  <c:v>22.787189999999999</c:v>
                </c:pt>
                <c:pt idx="99">
                  <c:v>48.046879999999994</c:v>
                </c:pt>
                <c:pt idx="100">
                  <c:v>25.581399999999999</c:v>
                </c:pt>
                <c:pt idx="101">
                  <c:v>51.063829999999996</c:v>
                </c:pt>
                <c:pt idx="102">
                  <c:v>73.831769999999992</c:v>
                </c:pt>
                <c:pt idx="103">
                  <c:v>31.333329999999997</c:v>
                </c:pt>
                <c:pt idx="104">
                  <c:v>49.275359999999999</c:v>
                </c:pt>
                <c:pt idx="105">
                  <c:v>30.769229999999997</c:v>
                </c:pt>
                <c:pt idx="106">
                  <c:v>19.223990000000001</c:v>
                </c:pt>
                <c:pt idx="107">
                  <c:v>40.740739999999995</c:v>
                </c:pt>
                <c:pt idx="108">
                  <c:v>11.049720000000001</c:v>
                </c:pt>
                <c:pt idx="109">
                  <c:v>66.935490000000001</c:v>
                </c:pt>
                <c:pt idx="110">
                  <c:v>19</c:v>
                </c:pt>
                <c:pt idx="111">
                  <c:v>29.641689999999997</c:v>
                </c:pt>
                <c:pt idx="112">
                  <c:v>48.387099999999997</c:v>
                </c:pt>
                <c:pt idx="113">
                  <c:v>46.610170000000004</c:v>
                </c:pt>
                <c:pt idx="114">
                  <c:v>48.809519999999999</c:v>
                </c:pt>
                <c:pt idx="115">
                  <c:v>76.530609999999996</c:v>
                </c:pt>
                <c:pt idx="116">
                  <c:v>26.865670000000001</c:v>
                </c:pt>
                <c:pt idx="117">
                  <c:v>32.424239999999998</c:v>
                </c:pt>
                <c:pt idx="118">
                  <c:v>44.264069999999997</c:v>
                </c:pt>
                <c:pt idx="119">
                  <c:v>50</c:v>
                </c:pt>
                <c:pt idx="120">
                  <c:v>32.188839999999999</c:v>
                </c:pt>
                <c:pt idx="121">
                  <c:v>32.25806</c:v>
                </c:pt>
                <c:pt idx="122">
                  <c:v>45.454549999999998</c:v>
                </c:pt>
                <c:pt idx="123">
                  <c:v>58.571429999999999</c:v>
                </c:pt>
                <c:pt idx="124">
                  <c:v>45.161290000000001</c:v>
                </c:pt>
                <c:pt idx="125">
                  <c:v>40.650410000000001</c:v>
                </c:pt>
                <c:pt idx="126">
                  <c:v>38.709679999999999</c:v>
                </c:pt>
                <c:pt idx="127">
                  <c:v>72.142859999999999</c:v>
                </c:pt>
                <c:pt idx="128">
                  <c:v>50</c:v>
                </c:pt>
                <c:pt idx="129">
                  <c:v>54.929580000000001</c:v>
                </c:pt>
                <c:pt idx="130">
                  <c:v>72.5</c:v>
                </c:pt>
                <c:pt idx="131">
                  <c:v>82.876710000000003</c:v>
                </c:pt>
                <c:pt idx="132">
                  <c:v>67.924530000000004</c:v>
                </c:pt>
                <c:pt idx="133">
                  <c:v>10.87379</c:v>
                </c:pt>
                <c:pt idx="134">
                  <c:v>40.816330000000001</c:v>
                </c:pt>
                <c:pt idx="135">
                  <c:v>48.837209999999999</c:v>
                </c:pt>
                <c:pt idx="136">
                  <c:v>42.431190000000001</c:v>
                </c:pt>
                <c:pt idx="137">
                  <c:v>32.624110000000002</c:v>
                </c:pt>
                <c:pt idx="138">
                  <c:v>34.765629999999994</c:v>
                </c:pt>
                <c:pt idx="139">
                  <c:v>84.364819999999995</c:v>
                </c:pt>
                <c:pt idx="140">
                  <c:v>37.864080000000001</c:v>
                </c:pt>
                <c:pt idx="141">
                  <c:v>87.550200000000004</c:v>
                </c:pt>
                <c:pt idx="142">
                  <c:v>32.142859999999999</c:v>
                </c:pt>
                <c:pt idx="143">
                  <c:v>30.240549999999999</c:v>
                </c:pt>
                <c:pt idx="144">
                  <c:v>63.613230000000001</c:v>
                </c:pt>
                <c:pt idx="145">
                  <c:v>21.929819999999999</c:v>
                </c:pt>
                <c:pt idx="146">
                  <c:v>50</c:v>
                </c:pt>
                <c:pt idx="147">
                  <c:v>42.307690000000001</c:v>
                </c:pt>
                <c:pt idx="148">
                  <c:v>57.142859999999999</c:v>
                </c:pt>
                <c:pt idx="149">
                  <c:v>70.212760000000003</c:v>
                </c:pt>
                <c:pt idx="150">
                  <c:v>28.506789999999999</c:v>
                </c:pt>
                <c:pt idx="151">
                  <c:v>65.753419999999991</c:v>
                </c:pt>
                <c:pt idx="152">
                  <c:v>15.971220000000001</c:v>
                </c:pt>
                <c:pt idx="153">
                  <c:v>72.641509999999997</c:v>
                </c:pt>
                <c:pt idx="154">
                  <c:v>35.227269999999997</c:v>
                </c:pt>
                <c:pt idx="155">
                  <c:v>74.358980000000003</c:v>
                </c:pt>
                <c:pt idx="156">
                  <c:v>49.673200000000001</c:v>
                </c:pt>
                <c:pt idx="157">
                  <c:v>41.304349999999999</c:v>
                </c:pt>
                <c:pt idx="158">
                  <c:v>37.349400000000003</c:v>
                </c:pt>
                <c:pt idx="159">
                  <c:v>68.49315</c:v>
                </c:pt>
                <c:pt idx="160">
                  <c:v>54.545459999999999</c:v>
                </c:pt>
                <c:pt idx="161">
                  <c:v>28.723399999999998</c:v>
                </c:pt>
                <c:pt idx="162">
                  <c:v>30.43478</c:v>
                </c:pt>
                <c:pt idx="163">
                  <c:v>28.160920000000001</c:v>
                </c:pt>
              </c:numCache>
            </c:numRef>
          </c:xVal>
          <c:yVal>
            <c:numRef>
              <c:f>Hárok1!$L$2:$L$165</c:f>
              <c:numCache>
                <c:formatCode>General</c:formatCode>
                <c:ptCount val="164"/>
                <c:pt idx="0">
                  <c:v>77.669910000000002</c:v>
                </c:pt>
                <c:pt idx="1">
                  <c:v>106.77970000000001</c:v>
                </c:pt>
                <c:pt idx="2">
                  <c:v>68.627449999999996</c:v>
                </c:pt>
                <c:pt idx="3">
                  <c:v>77.542370000000005</c:v>
                </c:pt>
                <c:pt idx="4">
                  <c:v>108.4615</c:v>
                </c:pt>
                <c:pt idx="5">
                  <c:v>52.5</c:v>
                </c:pt>
                <c:pt idx="6">
                  <c:v>78.75</c:v>
                </c:pt>
                <c:pt idx="7">
                  <c:v>150.63290000000001</c:v>
                </c:pt>
                <c:pt idx="8">
                  <c:v>79.870130000000003</c:v>
                </c:pt>
                <c:pt idx="9">
                  <c:v>109.6386</c:v>
                </c:pt>
                <c:pt idx="10">
                  <c:v>42</c:v>
                </c:pt>
                <c:pt idx="11">
                  <c:v>101.2987</c:v>
                </c:pt>
                <c:pt idx="12">
                  <c:v>65.625</c:v>
                </c:pt>
                <c:pt idx="13">
                  <c:v>64.948459999999997</c:v>
                </c:pt>
                <c:pt idx="14">
                  <c:v>111.11109999999999</c:v>
                </c:pt>
                <c:pt idx="15">
                  <c:v>92.063490000000002</c:v>
                </c:pt>
                <c:pt idx="16">
                  <c:v>76.829269999999994</c:v>
                </c:pt>
                <c:pt idx="17">
                  <c:v>51.724139999999998</c:v>
                </c:pt>
                <c:pt idx="18">
                  <c:v>32.8125</c:v>
                </c:pt>
                <c:pt idx="19">
                  <c:v>90.909090000000006</c:v>
                </c:pt>
                <c:pt idx="20">
                  <c:v>55.263159999999999</c:v>
                </c:pt>
                <c:pt idx="21">
                  <c:v>105.8908</c:v>
                </c:pt>
                <c:pt idx="22">
                  <c:v>38.181820000000002</c:v>
                </c:pt>
                <c:pt idx="23">
                  <c:v>95.588229999999996</c:v>
                </c:pt>
                <c:pt idx="24">
                  <c:v>123.7762</c:v>
                </c:pt>
                <c:pt idx="25">
                  <c:v>27.272729999999999</c:v>
                </c:pt>
                <c:pt idx="26">
                  <c:v>88.805970000000002</c:v>
                </c:pt>
                <c:pt idx="27">
                  <c:v>105.836</c:v>
                </c:pt>
                <c:pt idx="28">
                  <c:v>44.68085</c:v>
                </c:pt>
                <c:pt idx="29">
                  <c:v>85.388130000000004</c:v>
                </c:pt>
                <c:pt idx="30">
                  <c:v>57.142859999999999</c:v>
                </c:pt>
                <c:pt idx="31">
                  <c:v>81.818179999999998</c:v>
                </c:pt>
                <c:pt idx="32">
                  <c:v>99.009900000000002</c:v>
                </c:pt>
                <c:pt idx="33">
                  <c:v>92.16301</c:v>
                </c:pt>
                <c:pt idx="34">
                  <c:v>127.1768</c:v>
                </c:pt>
                <c:pt idx="35">
                  <c:v>96.551730000000006</c:v>
                </c:pt>
                <c:pt idx="36">
                  <c:v>114.4186</c:v>
                </c:pt>
                <c:pt idx="37">
                  <c:v>110.52630000000001</c:v>
                </c:pt>
                <c:pt idx="38">
                  <c:v>40.740740000000002</c:v>
                </c:pt>
                <c:pt idx="39">
                  <c:v>48.717950000000002</c:v>
                </c:pt>
                <c:pt idx="40">
                  <c:v>104</c:v>
                </c:pt>
                <c:pt idx="41">
                  <c:v>40.384619999999998</c:v>
                </c:pt>
                <c:pt idx="42">
                  <c:v>137.72890000000001</c:v>
                </c:pt>
                <c:pt idx="43">
                  <c:v>86.956519999999998</c:v>
                </c:pt>
                <c:pt idx="44">
                  <c:v>134.4554</c:v>
                </c:pt>
                <c:pt idx="45">
                  <c:v>65.625</c:v>
                </c:pt>
                <c:pt idx="46">
                  <c:v>45.161290000000001</c:v>
                </c:pt>
                <c:pt idx="47">
                  <c:v>49.504950000000001</c:v>
                </c:pt>
                <c:pt idx="48">
                  <c:v>18.691590000000001</c:v>
                </c:pt>
                <c:pt idx="49">
                  <c:v>36.290320000000001</c:v>
                </c:pt>
                <c:pt idx="50">
                  <c:v>23.115580000000001</c:v>
                </c:pt>
                <c:pt idx="51">
                  <c:v>42</c:v>
                </c:pt>
                <c:pt idx="52">
                  <c:v>77.094970000000004</c:v>
                </c:pt>
                <c:pt idx="53">
                  <c:v>81.670529999999999</c:v>
                </c:pt>
                <c:pt idx="54">
                  <c:v>44.117649999999998</c:v>
                </c:pt>
                <c:pt idx="55">
                  <c:v>98.823530000000005</c:v>
                </c:pt>
                <c:pt idx="56">
                  <c:v>98.214290000000005</c:v>
                </c:pt>
                <c:pt idx="57">
                  <c:v>89.502759999999995</c:v>
                </c:pt>
                <c:pt idx="58">
                  <c:v>19.354839999999999</c:v>
                </c:pt>
                <c:pt idx="59">
                  <c:v>96.983980000000003</c:v>
                </c:pt>
                <c:pt idx="60">
                  <c:v>55.882350000000002</c:v>
                </c:pt>
                <c:pt idx="61">
                  <c:v>11.170210000000001</c:v>
                </c:pt>
                <c:pt idx="62">
                  <c:v>120.3125</c:v>
                </c:pt>
                <c:pt idx="63">
                  <c:v>24.793389999999999</c:v>
                </c:pt>
                <c:pt idx="64">
                  <c:v>63.917529999999999</c:v>
                </c:pt>
                <c:pt idx="65">
                  <c:v>43.712569999999999</c:v>
                </c:pt>
                <c:pt idx="66">
                  <c:v>47.457630000000002</c:v>
                </c:pt>
                <c:pt idx="67">
                  <c:v>41.666670000000003</c:v>
                </c:pt>
                <c:pt idx="68">
                  <c:v>40.384619999999998</c:v>
                </c:pt>
                <c:pt idx="69">
                  <c:v>65.591399999999993</c:v>
                </c:pt>
                <c:pt idx="70">
                  <c:v>58.754860000000001</c:v>
                </c:pt>
                <c:pt idx="71">
                  <c:v>113.51349999999999</c:v>
                </c:pt>
                <c:pt idx="72">
                  <c:v>27.450980000000001</c:v>
                </c:pt>
                <c:pt idx="73">
                  <c:v>22.22222</c:v>
                </c:pt>
                <c:pt idx="74">
                  <c:v>91.304339999999996</c:v>
                </c:pt>
                <c:pt idx="75">
                  <c:v>52.57732</c:v>
                </c:pt>
                <c:pt idx="76">
                  <c:v>32.653060000000004</c:v>
                </c:pt>
                <c:pt idx="77">
                  <c:v>65.454539999999994</c:v>
                </c:pt>
                <c:pt idx="78">
                  <c:v>66.666659999999993</c:v>
                </c:pt>
                <c:pt idx="79">
                  <c:v>91.304339999999996</c:v>
                </c:pt>
                <c:pt idx="80">
                  <c:v>62.790700000000001</c:v>
                </c:pt>
                <c:pt idx="81">
                  <c:v>35.106380000000001</c:v>
                </c:pt>
                <c:pt idx="82">
                  <c:v>47.727269999999997</c:v>
                </c:pt>
                <c:pt idx="83">
                  <c:v>37.906140000000001</c:v>
                </c:pt>
                <c:pt idx="84">
                  <c:v>40</c:v>
                </c:pt>
                <c:pt idx="85">
                  <c:v>68.965519999999998</c:v>
                </c:pt>
                <c:pt idx="86">
                  <c:v>45</c:v>
                </c:pt>
                <c:pt idx="87">
                  <c:v>94.382019999999997</c:v>
                </c:pt>
                <c:pt idx="88">
                  <c:v>120.1681</c:v>
                </c:pt>
                <c:pt idx="89">
                  <c:v>76.642330000000001</c:v>
                </c:pt>
                <c:pt idx="90">
                  <c:v>64.615390000000005</c:v>
                </c:pt>
                <c:pt idx="91">
                  <c:v>91.360690000000005</c:v>
                </c:pt>
                <c:pt idx="92">
                  <c:v>44.329900000000002</c:v>
                </c:pt>
                <c:pt idx="93">
                  <c:v>99.029129999999995</c:v>
                </c:pt>
                <c:pt idx="94">
                  <c:v>90</c:v>
                </c:pt>
                <c:pt idx="95">
                  <c:v>95.454539999999994</c:v>
                </c:pt>
                <c:pt idx="96">
                  <c:v>57.142859999999999</c:v>
                </c:pt>
                <c:pt idx="97">
                  <c:v>73.362440000000007</c:v>
                </c:pt>
                <c:pt idx="98">
                  <c:v>119.3974</c:v>
                </c:pt>
                <c:pt idx="99">
                  <c:v>46.875</c:v>
                </c:pt>
                <c:pt idx="100">
                  <c:v>65.116280000000003</c:v>
                </c:pt>
                <c:pt idx="101">
                  <c:v>44.68085</c:v>
                </c:pt>
                <c:pt idx="102">
                  <c:v>57.943919999999999</c:v>
                </c:pt>
                <c:pt idx="103">
                  <c:v>100</c:v>
                </c:pt>
                <c:pt idx="104">
                  <c:v>30.43478</c:v>
                </c:pt>
                <c:pt idx="105">
                  <c:v>81.538460000000001</c:v>
                </c:pt>
                <c:pt idx="106">
                  <c:v>105.5556</c:v>
                </c:pt>
                <c:pt idx="107">
                  <c:v>80.24691</c:v>
                </c:pt>
                <c:pt idx="108">
                  <c:v>88.950280000000006</c:v>
                </c:pt>
                <c:pt idx="109">
                  <c:v>70.161289999999994</c:v>
                </c:pt>
                <c:pt idx="110">
                  <c:v>20.5</c:v>
                </c:pt>
                <c:pt idx="111">
                  <c:v>78.338759999999994</c:v>
                </c:pt>
                <c:pt idx="112">
                  <c:v>40.322580000000002</c:v>
                </c:pt>
                <c:pt idx="113">
                  <c:v>38.135590000000001</c:v>
                </c:pt>
                <c:pt idx="114">
                  <c:v>33.333329999999997</c:v>
                </c:pt>
                <c:pt idx="115">
                  <c:v>40.816330000000001</c:v>
                </c:pt>
                <c:pt idx="116">
                  <c:v>133.209</c:v>
                </c:pt>
                <c:pt idx="117">
                  <c:v>95.454539999999994</c:v>
                </c:pt>
                <c:pt idx="118">
                  <c:v>67.748919999999998</c:v>
                </c:pt>
                <c:pt idx="119">
                  <c:v>33.333329999999997</c:v>
                </c:pt>
                <c:pt idx="120">
                  <c:v>66.952789999999993</c:v>
                </c:pt>
                <c:pt idx="121">
                  <c:v>56.451610000000002</c:v>
                </c:pt>
                <c:pt idx="122">
                  <c:v>32.467529999999996</c:v>
                </c:pt>
                <c:pt idx="123">
                  <c:v>45.714289999999998</c:v>
                </c:pt>
                <c:pt idx="124">
                  <c:v>56.451610000000002</c:v>
                </c:pt>
                <c:pt idx="125">
                  <c:v>67.208669999999998</c:v>
                </c:pt>
                <c:pt idx="126">
                  <c:v>48.387099999999997</c:v>
                </c:pt>
                <c:pt idx="127">
                  <c:v>75</c:v>
                </c:pt>
                <c:pt idx="128">
                  <c:v>73.255809999999997</c:v>
                </c:pt>
                <c:pt idx="129">
                  <c:v>43.661969999999997</c:v>
                </c:pt>
                <c:pt idx="130">
                  <c:v>67.5</c:v>
                </c:pt>
                <c:pt idx="131">
                  <c:v>23.9726</c:v>
                </c:pt>
                <c:pt idx="132">
                  <c:v>61.00629</c:v>
                </c:pt>
                <c:pt idx="133">
                  <c:v>135.53399999999999</c:v>
                </c:pt>
                <c:pt idx="134">
                  <c:v>42.857140000000001</c:v>
                </c:pt>
                <c:pt idx="135">
                  <c:v>48.837209999999999</c:v>
                </c:pt>
                <c:pt idx="136">
                  <c:v>38.761470000000003</c:v>
                </c:pt>
                <c:pt idx="137">
                  <c:v>29.787230000000001</c:v>
                </c:pt>
                <c:pt idx="138">
                  <c:v>86.132810000000006</c:v>
                </c:pt>
                <c:pt idx="139">
                  <c:v>9.1205219999999994</c:v>
                </c:pt>
                <c:pt idx="140">
                  <c:v>40.776699999999998</c:v>
                </c:pt>
                <c:pt idx="141">
                  <c:v>28.112449999999999</c:v>
                </c:pt>
                <c:pt idx="142">
                  <c:v>75</c:v>
                </c:pt>
                <c:pt idx="143">
                  <c:v>13.745699999999999</c:v>
                </c:pt>
                <c:pt idx="144">
                  <c:v>22.137409999999999</c:v>
                </c:pt>
                <c:pt idx="145">
                  <c:v>109.6491</c:v>
                </c:pt>
                <c:pt idx="146">
                  <c:v>59</c:v>
                </c:pt>
                <c:pt idx="147">
                  <c:v>102.5641</c:v>
                </c:pt>
                <c:pt idx="148">
                  <c:v>59.523809999999997</c:v>
                </c:pt>
                <c:pt idx="149">
                  <c:v>62.76596</c:v>
                </c:pt>
                <c:pt idx="150">
                  <c:v>107.2398</c:v>
                </c:pt>
                <c:pt idx="151">
                  <c:v>86.301370000000006</c:v>
                </c:pt>
                <c:pt idx="152">
                  <c:v>109.49639999999999</c:v>
                </c:pt>
                <c:pt idx="153">
                  <c:v>45.28302</c:v>
                </c:pt>
                <c:pt idx="154">
                  <c:v>119.3182</c:v>
                </c:pt>
                <c:pt idx="155">
                  <c:v>51.282049999999998</c:v>
                </c:pt>
                <c:pt idx="156">
                  <c:v>68.627449999999996</c:v>
                </c:pt>
                <c:pt idx="157">
                  <c:v>45.652169999999998</c:v>
                </c:pt>
                <c:pt idx="158">
                  <c:v>37.951810000000002</c:v>
                </c:pt>
                <c:pt idx="159">
                  <c:v>28.767119999999998</c:v>
                </c:pt>
                <c:pt idx="160">
                  <c:v>62.382449999999999</c:v>
                </c:pt>
                <c:pt idx="161">
                  <c:v>76.595740000000006</c:v>
                </c:pt>
                <c:pt idx="162">
                  <c:v>91.304339999999996</c:v>
                </c:pt>
                <c:pt idx="163">
                  <c:v>80.459770000000006</c:v>
                </c:pt>
              </c:numCache>
            </c:numRef>
          </c:yVal>
          <c:bubbleSize>
            <c:numRef>
              <c:f>Hárok1!$F$2:$F$165</c:f>
              <c:numCache>
                <c:formatCode>General</c:formatCode>
                <c:ptCount val="164"/>
                <c:pt idx="0">
                  <c:v>22</c:v>
                </c:pt>
                <c:pt idx="1">
                  <c:v>22</c:v>
                </c:pt>
                <c:pt idx="2">
                  <c:v>21</c:v>
                </c:pt>
                <c:pt idx="3">
                  <c:v>53</c:v>
                </c:pt>
                <c:pt idx="4">
                  <c:v>34</c:v>
                </c:pt>
                <c:pt idx="5">
                  <c:v>26</c:v>
                </c:pt>
                <c:pt idx="6">
                  <c:v>125</c:v>
                </c:pt>
                <c:pt idx="7">
                  <c:v>25</c:v>
                </c:pt>
                <c:pt idx="8">
                  <c:v>63</c:v>
                </c:pt>
                <c:pt idx="9">
                  <c:v>27</c:v>
                </c:pt>
                <c:pt idx="10">
                  <c:v>27</c:v>
                </c:pt>
                <c:pt idx="11">
                  <c:v>31</c:v>
                </c:pt>
                <c:pt idx="12">
                  <c:v>22</c:v>
                </c:pt>
                <c:pt idx="13">
                  <c:v>40</c:v>
                </c:pt>
                <c:pt idx="14">
                  <c:v>24</c:v>
                </c:pt>
                <c:pt idx="15">
                  <c:v>137</c:v>
                </c:pt>
                <c:pt idx="16">
                  <c:v>39</c:v>
                </c:pt>
                <c:pt idx="17">
                  <c:v>57</c:v>
                </c:pt>
                <c:pt idx="18">
                  <c:v>43</c:v>
                </c:pt>
                <c:pt idx="19">
                  <c:v>25</c:v>
                </c:pt>
                <c:pt idx="20">
                  <c:v>33</c:v>
                </c:pt>
                <c:pt idx="21">
                  <c:v>71</c:v>
                </c:pt>
                <c:pt idx="22">
                  <c:v>28</c:v>
                </c:pt>
                <c:pt idx="23">
                  <c:v>26</c:v>
                </c:pt>
                <c:pt idx="24">
                  <c:v>32</c:v>
                </c:pt>
                <c:pt idx="25">
                  <c:v>29</c:v>
                </c:pt>
                <c:pt idx="26">
                  <c:v>70</c:v>
                </c:pt>
                <c:pt idx="27">
                  <c:v>136</c:v>
                </c:pt>
                <c:pt idx="28">
                  <c:v>24</c:v>
                </c:pt>
                <c:pt idx="29">
                  <c:v>65</c:v>
                </c:pt>
                <c:pt idx="30">
                  <c:v>28</c:v>
                </c:pt>
                <c:pt idx="31">
                  <c:v>22</c:v>
                </c:pt>
                <c:pt idx="32">
                  <c:v>76</c:v>
                </c:pt>
                <c:pt idx="33">
                  <c:v>97</c:v>
                </c:pt>
                <c:pt idx="34">
                  <c:v>63</c:v>
                </c:pt>
                <c:pt idx="35">
                  <c:v>20</c:v>
                </c:pt>
                <c:pt idx="36">
                  <c:v>131</c:v>
                </c:pt>
                <c:pt idx="37">
                  <c:v>56</c:v>
                </c:pt>
                <c:pt idx="38">
                  <c:v>54</c:v>
                </c:pt>
                <c:pt idx="39">
                  <c:v>33</c:v>
                </c:pt>
                <c:pt idx="40">
                  <c:v>20</c:v>
                </c:pt>
                <c:pt idx="41">
                  <c:v>97</c:v>
                </c:pt>
                <c:pt idx="42">
                  <c:v>82</c:v>
                </c:pt>
                <c:pt idx="43">
                  <c:v>70</c:v>
                </c:pt>
                <c:pt idx="44">
                  <c:v>77</c:v>
                </c:pt>
                <c:pt idx="45">
                  <c:v>25</c:v>
                </c:pt>
                <c:pt idx="46">
                  <c:v>47</c:v>
                </c:pt>
                <c:pt idx="47">
                  <c:v>61</c:v>
                </c:pt>
                <c:pt idx="48">
                  <c:v>81</c:v>
                </c:pt>
                <c:pt idx="49">
                  <c:v>51</c:v>
                </c:pt>
                <c:pt idx="50">
                  <c:v>58</c:v>
                </c:pt>
                <c:pt idx="51">
                  <c:v>28</c:v>
                </c:pt>
                <c:pt idx="52">
                  <c:v>117</c:v>
                </c:pt>
                <c:pt idx="53">
                  <c:v>264</c:v>
                </c:pt>
                <c:pt idx="54">
                  <c:v>33</c:v>
                </c:pt>
                <c:pt idx="55">
                  <c:v>32</c:v>
                </c:pt>
                <c:pt idx="56">
                  <c:v>24</c:v>
                </c:pt>
                <c:pt idx="57">
                  <c:v>23</c:v>
                </c:pt>
                <c:pt idx="58">
                  <c:v>193</c:v>
                </c:pt>
                <c:pt idx="59">
                  <c:v>173</c:v>
                </c:pt>
                <c:pt idx="60">
                  <c:v>27</c:v>
                </c:pt>
                <c:pt idx="61">
                  <c:v>47</c:v>
                </c:pt>
                <c:pt idx="62">
                  <c:v>41</c:v>
                </c:pt>
                <c:pt idx="63">
                  <c:v>75</c:v>
                </c:pt>
                <c:pt idx="64">
                  <c:v>60</c:v>
                </c:pt>
                <c:pt idx="65">
                  <c:v>121</c:v>
                </c:pt>
                <c:pt idx="66">
                  <c:v>141</c:v>
                </c:pt>
                <c:pt idx="67">
                  <c:v>108</c:v>
                </c:pt>
                <c:pt idx="68">
                  <c:v>56</c:v>
                </c:pt>
                <c:pt idx="69">
                  <c:v>58</c:v>
                </c:pt>
                <c:pt idx="70">
                  <c:v>195</c:v>
                </c:pt>
                <c:pt idx="71">
                  <c:v>25</c:v>
                </c:pt>
                <c:pt idx="72">
                  <c:v>122</c:v>
                </c:pt>
                <c:pt idx="73">
                  <c:v>138</c:v>
                </c:pt>
                <c:pt idx="74">
                  <c:v>30</c:v>
                </c:pt>
                <c:pt idx="75">
                  <c:v>62</c:v>
                </c:pt>
                <c:pt idx="76">
                  <c:v>116</c:v>
                </c:pt>
                <c:pt idx="77">
                  <c:v>24</c:v>
                </c:pt>
                <c:pt idx="78">
                  <c:v>26</c:v>
                </c:pt>
                <c:pt idx="79">
                  <c:v>37</c:v>
                </c:pt>
                <c:pt idx="80">
                  <c:v>22</c:v>
                </c:pt>
                <c:pt idx="81">
                  <c:v>41</c:v>
                </c:pt>
                <c:pt idx="82">
                  <c:v>23</c:v>
                </c:pt>
                <c:pt idx="83">
                  <c:v>227</c:v>
                </c:pt>
                <c:pt idx="84">
                  <c:v>57</c:v>
                </c:pt>
                <c:pt idx="85">
                  <c:v>21</c:v>
                </c:pt>
                <c:pt idx="86">
                  <c:v>31</c:v>
                </c:pt>
                <c:pt idx="87">
                  <c:v>41</c:v>
                </c:pt>
                <c:pt idx="88">
                  <c:v>73</c:v>
                </c:pt>
                <c:pt idx="89">
                  <c:v>78</c:v>
                </c:pt>
                <c:pt idx="90">
                  <c:v>23</c:v>
                </c:pt>
                <c:pt idx="91">
                  <c:v>116</c:v>
                </c:pt>
                <c:pt idx="92">
                  <c:v>169</c:v>
                </c:pt>
                <c:pt idx="93">
                  <c:v>30</c:v>
                </c:pt>
                <c:pt idx="94">
                  <c:v>23</c:v>
                </c:pt>
                <c:pt idx="95">
                  <c:v>20</c:v>
                </c:pt>
                <c:pt idx="96">
                  <c:v>47</c:v>
                </c:pt>
                <c:pt idx="97">
                  <c:v>30</c:v>
                </c:pt>
                <c:pt idx="98">
                  <c:v>121</c:v>
                </c:pt>
                <c:pt idx="99">
                  <c:v>123</c:v>
                </c:pt>
                <c:pt idx="100">
                  <c:v>33</c:v>
                </c:pt>
                <c:pt idx="101">
                  <c:v>24</c:v>
                </c:pt>
                <c:pt idx="102">
                  <c:v>79</c:v>
                </c:pt>
                <c:pt idx="103">
                  <c:v>94</c:v>
                </c:pt>
                <c:pt idx="104">
                  <c:v>34</c:v>
                </c:pt>
                <c:pt idx="105">
                  <c:v>20</c:v>
                </c:pt>
                <c:pt idx="106">
                  <c:v>218</c:v>
                </c:pt>
                <c:pt idx="107">
                  <c:v>33</c:v>
                </c:pt>
                <c:pt idx="108">
                  <c:v>20</c:v>
                </c:pt>
                <c:pt idx="109">
                  <c:v>83</c:v>
                </c:pt>
                <c:pt idx="110">
                  <c:v>38</c:v>
                </c:pt>
                <c:pt idx="111">
                  <c:v>182</c:v>
                </c:pt>
                <c:pt idx="112">
                  <c:v>30</c:v>
                </c:pt>
                <c:pt idx="113">
                  <c:v>55</c:v>
                </c:pt>
                <c:pt idx="114">
                  <c:v>41</c:v>
                </c:pt>
                <c:pt idx="115">
                  <c:v>75</c:v>
                </c:pt>
                <c:pt idx="116">
                  <c:v>72</c:v>
                </c:pt>
                <c:pt idx="117">
                  <c:v>107</c:v>
                </c:pt>
                <c:pt idx="118">
                  <c:v>409</c:v>
                </c:pt>
                <c:pt idx="119">
                  <c:v>24</c:v>
                </c:pt>
                <c:pt idx="120">
                  <c:v>75</c:v>
                </c:pt>
                <c:pt idx="121">
                  <c:v>20</c:v>
                </c:pt>
                <c:pt idx="122">
                  <c:v>35</c:v>
                </c:pt>
                <c:pt idx="123">
                  <c:v>41</c:v>
                </c:pt>
                <c:pt idx="124">
                  <c:v>28</c:v>
                </c:pt>
                <c:pt idx="125">
                  <c:v>150</c:v>
                </c:pt>
                <c:pt idx="126">
                  <c:v>24</c:v>
                </c:pt>
                <c:pt idx="127">
                  <c:v>101</c:v>
                </c:pt>
                <c:pt idx="128">
                  <c:v>43</c:v>
                </c:pt>
                <c:pt idx="129">
                  <c:v>39</c:v>
                </c:pt>
                <c:pt idx="130">
                  <c:v>87</c:v>
                </c:pt>
                <c:pt idx="131">
                  <c:v>121</c:v>
                </c:pt>
                <c:pt idx="132">
                  <c:v>108</c:v>
                </c:pt>
                <c:pt idx="133">
                  <c:v>56</c:v>
                </c:pt>
                <c:pt idx="134">
                  <c:v>20</c:v>
                </c:pt>
                <c:pt idx="135">
                  <c:v>21</c:v>
                </c:pt>
                <c:pt idx="136">
                  <c:v>185</c:v>
                </c:pt>
                <c:pt idx="137">
                  <c:v>46</c:v>
                </c:pt>
                <c:pt idx="138">
                  <c:v>178</c:v>
                </c:pt>
                <c:pt idx="139">
                  <c:v>259</c:v>
                </c:pt>
                <c:pt idx="140">
                  <c:v>39</c:v>
                </c:pt>
                <c:pt idx="141">
                  <c:v>218</c:v>
                </c:pt>
                <c:pt idx="142">
                  <c:v>27</c:v>
                </c:pt>
                <c:pt idx="143">
                  <c:v>88</c:v>
                </c:pt>
                <c:pt idx="144">
                  <c:v>250</c:v>
                </c:pt>
                <c:pt idx="145">
                  <c:v>25</c:v>
                </c:pt>
                <c:pt idx="146">
                  <c:v>50</c:v>
                </c:pt>
                <c:pt idx="147">
                  <c:v>33</c:v>
                </c:pt>
                <c:pt idx="148">
                  <c:v>48</c:v>
                </c:pt>
                <c:pt idx="149">
                  <c:v>66</c:v>
                </c:pt>
                <c:pt idx="150">
                  <c:v>63</c:v>
                </c:pt>
                <c:pt idx="151">
                  <c:v>48</c:v>
                </c:pt>
                <c:pt idx="152">
                  <c:v>111</c:v>
                </c:pt>
                <c:pt idx="153">
                  <c:v>77</c:v>
                </c:pt>
                <c:pt idx="154">
                  <c:v>31</c:v>
                </c:pt>
                <c:pt idx="155">
                  <c:v>87</c:v>
                </c:pt>
                <c:pt idx="156">
                  <c:v>76</c:v>
                </c:pt>
                <c:pt idx="157">
                  <c:v>38</c:v>
                </c:pt>
                <c:pt idx="158">
                  <c:v>62</c:v>
                </c:pt>
                <c:pt idx="159">
                  <c:v>50</c:v>
                </c:pt>
                <c:pt idx="160">
                  <c:v>174</c:v>
                </c:pt>
                <c:pt idx="161">
                  <c:v>27</c:v>
                </c:pt>
                <c:pt idx="162">
                  <c:v>21</c:v>
                </c:pt>
                <c:pt idx="163">
                  <c:v>49</c:v>
                </c:pt>
              </c:numCache>
            </c:numRef>
          </c:bubbleSize>
          <c:bubble3D val="0"/>
          <c:extLst xmlns:c16r2="http://schemas.microsoft.com/office/drawing/2015/06/chart">
            <c:ext xmlns:c16="http://schemas.microsoft.com/office/drawing/2014/chart" uri="{C3380CC4-5D6E-409C-BE32-E72D297353CC}">
              <c16:uniqueId val="{00000000-9C8D-4289-8A5C-A542D52DCB97}"/>
            </c:ext>
          </c:extLst>
        </c:ser>
        <c:dLbls>
          <c:showLegendKey val="0"/>
          <c:showVal val="0"/>
          <c:showCatName val="0"/>
          <c:showSerName val="0"/>
          <c:showPercent val="0"/>
          <c:showBubbleSize val="0"/>
        </c:dLbls>
        <c:bubbleScale val="20"/>
        <c:showNegBubbles val="0"/>
        <c:axId val="220267128"/>
        <c:axId val="220267912"/>
      </c:bubbleChart>
      <c:valAx>
        <c:axId val="220267128"/>
        <c:scaling>
          <c:orientation val="minMax"/>
        </c:scaling>
        <c:delete val="0"/>
        <c:axPos val="b"/>
        <c:majorGridlines>
          <c:spPr>
            <a:ln w="9525" cap="flat" cmpd="sng" algn="ctr">
              <a:solidFill>
                <a:schemeClr val="tx1">
                  <a:lumMod val="15000"/>
                  <a:lumOff val="85000"/>
                </a:schemeClr>
              </a:solidFill>
              <a:prstDash val="dash"/>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r>
                  <a:rPr lang="en-US">
                    <a:solidFill>
                      <a:sysClr val="windowText" lastClr="000000"/>
                    </a:solidFill>
                    <a:latin typeface="Arial Narrow" panose="020B0606020202030204" pitchFamily="34" charset="0"/>
                  </a:rPr>
                  <a:t>Podiel MRK</a:t>
                </a:r>
                <a:r>
                  <a:rPr lang="sk-SK">
                    <a:solidFill>
                      <a:sysClr val="windowText" lastClr="000000"/>
                    </a:solidFill>
                    <a:latin typeface="Arial Narrow" panose="020B0606020202030204" pitchFamily="34" charset="0"/>
                  </a:rPr>
                  <a:t> detí</a:t>
                </a:r>
                <a:r>
                  <a:rPr lang="en-US">
                    <a:solidFill>
                      <a:sysClr val="windowText" lastClr="000000"/>
                    </a:solidFill>
                    <a:latin typeface="Arial Narrow" panose="020B0606020202030204" pitchFamily="34" charset="0"/>
                  </a:rPr>
                  <a:t> v obci (</a:t>
                </a:r>
                <a:r>
                  <a:rPr lang="sk-SK">
                    <a:solidFill>
                      <a:sysClr val="windowText" lastClr="000000"/>
                    </a:solidFill>
                    <a:latin typeface="Arial Narrow" panose="020B0606020202030204" pitchFamily="34" charset="0"/>
                  </a:rPr>
                  <a:t>3-5 rokov,</a:t>
                </a:r>
                <a:r>
                  <a:rPr lang="sk-SK" baseline="0">
                    <a:solidFill>
                      <a:sysClr val="windowText" lastClr="000000"/>
                    </a:solidFill>
                    <a:latin typeface="Arial Narrow" panose="020B0606020202030204" pitchFamily="34" charset="0"/>
                  </a:rPr>
                  <a:t> </a:t>
                </a:r>
                <a:r>
                  <a:rPr lang="en-US">
                    <a:solidFill>
                      <a:sysClr val="windowText" lastClr="000000"/>
                    </a:solidFill>
                    <a:latin typeface="Arial Narrow" panose="020B0606020202030204" pitchFamily="34" charset="0"/>
                  </a:rPr>
                  <a:t>%)</a:t>
                </a:r>
              </a:p>
            </c:rich>
          </c:tx>
          <c:layout>
            <c:manualLayout>
              <c:xMode val="edge"/>
              <c:yMode val="edge"/>
              <c:x val="0.2050955414012739"/>
              <c:y val="0.9286075620264447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0267912"/>
        <c:crosses val="autoZero"/>
        <c:crossBetween val="midCat"/>
      </c:valAx>
      <c:valAx>
        <c:axId val="220267912"/>
        <c:scaling>
          <c:orientation val="minMax"/>
          <c:max val="140"/>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r>
                  <a:rPr lang="en-US">
                    <a:solidFill>
                      <a:sysClr val="windowText" lastClr="000000"/>
                    </a:solidFill>
                    <a:latin typeface="Arial Narrow" panose="020B0606020202030204" pitchFamily="34" charset="0"/>
                  </a:rPr>
                  <a:t>Kapacita MŠ ako % všetkých detí v obci</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026712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650485794538841"/>
          <c:y val="5.0925925925925923E-2"/>
          <c:w val="0.74060358244693103"/>
          <c:h val="0.78362699388314838"/>
        </c:manualLayout>
      </c:layout>
      <c:bubbleChart>
        <c:varyColors val="0"/>
        <c:ser>
          <c:idx val="0"/>
          <c:order val="0"/>
          <c:spPr>
            <a:noFill/>
            <a:ln>
              <a:solidFill>
                <a:schemeClr val="tx1"/>
              </a:solidFill>
            </a:ln>
            <a:effectLst/>
          </c:spPr>
          <c:invertIfNegative val="0"/>
          <c:xVal>
            <c:numRef>
              <c:f>Hárok1!$L$2:$L$165</c:f>
              <c:numCache>
                <c:formatCode>General</c:formatCode>
                <c:ptCount val="164"/>
                <c:pt idx="0">
                  <c:v>77.669910000000002</c:v>
                </c:pt>
                <c:pt idx="1">
                  <c:v>106.77970000000001</c:v>
                </c:pt>
                <c:pt idx="2">
                  <c:v>68.627449999999996</c:v>
                </c:pt>
                <c:pt idx="3">
                  <c:v>77.542370000000005</c:v>
                </c:pt>
                <c:pt idx="4">
                  <c:v>108.4615</c:v>
                </c:pt>
                <c:pt idx="5">
                  <c:v>52.5</c:v>
                </c:pt>
                <c:pt idx="6">
                  <c:v>78.75</c:v>
                </c:pt>
                <c:pt idx="7">
                  <c:v>150.63290000000001</c:v>
                </c:pt>
                <c:pt idx="8">
                  <c:v>79.870130000000003</c:v>
                </c:pt>
                <c:pt idx="9">
                  <c:v>109.6386</c:v>
                </c:pt>
                <c:pt idx="10">
                  <c:v>42</c:v>
                </c:pt>
                <c:pt idx="11">
                  <c:v>101.2987</c:v>
                </c:pt>
                <c:pt idx="12">
                  <c:v>65.625</c:v>
                </c:pt>
                <c:pt idx="13">
                  <c:v>64.948459999999997</c:v>
                </c:pt>
                <c:pt idx="14">
                  <c:v>111.11109999999999</c:v>
                </c:pt>
                <c:pt idx="15">
                  <c:v>92.063490000000002</c:v>
                </c:pt>
                <c:pt idx="16">
                  <c:v>76.829269999999994</c:v>
                </c:pt>
                <c:pt idx="17">
                  <c:v>51.724139999999998</c:v>
                </c:pt>
                <c:pt idx="18">
                  <c:v>32.8125</c:v>
                </c:pt>
                <c:pt idx="19">
                  <c:v>90.909090000000006</c:v>
                </c:pt>
                <c:pt idx="20">
                  <c:v>55.263159999999999</c:v>
                </c:pt>
                <c:pt idx="21">
                  <c:v>105.8908</c:v>
                </c:pt>
                <c:pt idx="22">
                  <c:v>38.181820000000002</c:v>
                </c:pt>
                <c:pt idx="23">
                  <c:v>95.588229999999996</c:v>
                </c:pt>
                <c:pt idx="24">
                  <c:v>123.7762</c:v>
                </c:pt>
                <c:pt idx="25">
                  <c:v>27.272729999999999</c:v>
                </c:pt>
                <c:pt idx="26">
                  <c:v>88.805970000000002</c:v>
                </c:pt>
                <c:pt idx="27">
                  <c:v>105.836</c:v>
                </c:pt>
                <c:pt idx="28">
                  <c:v>44.68085</c:v>
                </c:pt>
                <c:pt idx="29">
                  <c:v>85.388130000000004</c:v>
                </c:pt>
                <c:pt idx="30">
                  <c:v>57.142859999999999</c:v>
                </c:pt>
                <c:pt idx="31">
                  <c:v>81.818179999999998</c:v>
                </c:pt>
                <c:pt idx="32">
                  <c:v>99.009900000000002</c:v>
                </c:pt>
                <c:pt idx="33">
                  <c:v>92.16301</c:v>
                </c:pt>
                <c:pt idx="34">
                  <c:v>127.1768</c:v>
                </c:pt>
                <c:pt idx="35">
                  <c:v>96.551730000000006</c:v>
                </c:pt>
                <c:pt idx="36">
                  <c:v>114.4186</c:v>
                </c:pt>
                <c:pt idx="37">
                  <c:v>110.52630000000001</c:v>
                </c:pt>
                <c:pt idx="38">
                  <c:v>40.740740000000002</c:v>
                </c:pt>
                <c:pt idx="39">
                  <c:v>48.717950000000002</c:v>
                </c:pt>
                <c:pt idx="40">
                  <c:v>104</c:v>
                </c:pt>
                <c:pt idx="41">
                  <c:v>40.384619999999998</c:v>
                </c:pt>
                <c:pt idx="42">
                  <c:v>137.72890000000001</c:v>
                </c:pt>
                <c:pt idx="43">
                  <c:v>86.956519999999998</c:v>
                </c:pt>
                <c:pt idx="44">
                  <c:v>134.4554</c:v>
                </c:pt>
                <c:pt idx="45">
                  <c:v>65.625</c:v>
                </c:pt>
                <c:pt idx="46">
                  <c:v>45.161290000000001</c:v>
                </c:pt>
                <c:pt idx="47">
                  <c:v>49.504950000000001</c:v>
                </c:pt>
                <c:pt idx="48">
                  <c:v>18.691590000000001</c:v>
                </c:pt>
                <c:pt idx="49">
                  <c:v>36.290320000000001</c:v>
                </c:pt>
                <c:pt idx="50">
                  <c:v>23.115580000000001</c:v>
                </c:pt>
                <c:pt idx="51">
                  <c:v>42</c:v>
                </c:pt>
                <c:pt idx="52">
                  <c:v>77.094970000000004</c:v>
                </c:pt>
                <c:pt idx="53">
                  <c:v>81.670529999999999</c:v>
                </c:pt>
                <c:pt idx="54">
                  <c:v>44.117649999999998</c:v>
                </c:pt>
                <c:pt idx="55">
                  <c:v>98.823530000000005</c:v>
                </c:pt>
                <c:pt idx="56">
                  <c:v>98.214290000000005</c:v>
                </c:pt>
                <c:pt idx="57">
                  <c:v>89.502759999999995</c:v>
                </c:pt>
                <c:pt idx="58">
                  <c:v>19.354839999999999</c:v>
                </c:pt>
                <c:pt idx="59">
                  <c:v>96.983980000000003</c:v>
                </c:pt>
                <c:pt idx="60">
                  <c:v>55.882350000000002</c:v>
                </c:pt>
                <c:pt idx="61">
                  <c:v>11.170210000000001</c:v>
                </c:pt>
                <c:pt idx="62">
                  <c:v>120.3125</c:v>
                </c:pt>
                <c:pt idx="63">
                  <c:v>24.793389999999999</c:v>
                </c:pt>
                <c:pt idx="64">
                  <c:v>63.917529999999999</c:v>
                </c:pt>
                <c:pt idx="65">
                  <c:v>43.712569999999999</c:v>
                </c:pt>
                <c:pt idx="66">
                  <c:v>47.457630000000002</c:v>
                </c:pt>
                <c:pt idx="67">
                  <c:v>41.666670000000003</c:v>
                </c:pt>
                <c:pt idx="68">
                  <c:v>40.384619999999998</c:v>
                </c:pt>
                <c:pt idx="69">
                  <c:v>65.591399999999993</c:v>
                </c:pt>
                <c:pt idx="70">
                  <c:v>58.754860000000001</c:v>
                </c:pt>
                <c:pt idx="71">
                  <c:v>113.51349999999999</c:v>
                </c:pt>
                <c:pt idx="72">
                  <c:v>27.450980000000001</c:v>
                </c:pt>
                <c:pt idx="73">
                  <c:v>22.22222</c:v>
                </c:pt>
                <c:pt idx="74">
                  <c:v>91.304339999999996</c:v>
                </c:pt>
                <c:pt idx="75">
                  <c:v>52.57732</c:v>
                </c:pt>
                <c:pt idx="76">
                  <c:v>32.653060000000004</c:v>
                </c:pt>
                <c:pt idx="77">
                  <c:v>65.454539999999994</c:v>
                </c:pt>
                <c:pt idx="78">
                  <c:v>66.666659999999993</c:v>
                </c:pt>
                <c:pt idx="79">
                  <c:v>91.304339999999996</c:v>
                </c:pt>
                <c:pt idx="80">
                  <c:v>62.790700000000001</c:v>
                </c:pt>
                <c:pt idx="81">
                  <c:v>35.106380000000001</c:v>
                </c:pt>
                <c:pt idx="82">
                  <c:v>47.727269999999997</c:v>
                </c:pt>
                <c:pt idx="83">
                  <c:v>37.906140000000001</c:v>
                </c:pt>
                <c:pt idx="84">
                  <c:v>40</c:v>
                </c:pt>
                <c:pt idx="85">
                  <c:v>68.965519999999998</c:v>
                </c:pt>
                <c:pt idx="86">
                  <c:v>45</c:v>
                </c:pt>
                <c:pt idx="87">
                  <c:v>94.382019999999997</c:v>
                </c:pt>
                <c:pt idx="88">
                  <c:v>120.1681</c:v>
                </c:pt>
                <c:pt idx="89">
                  <c:v>76.642330000000001</c:v>
                </c:pt>
                <c:pt idx="90">
                  <c:v>64.615390000000005</c:v>
                </c:pt>
                <c:pt idx="91">
                  <c:v>91.360690000000005</c:v>
                </c:pt>
                <c:pt idx="92">
                  <c:v>44.329900000000002</c:v>
                </c:pt>
                <c:pt idx="93">
                  <c:v>99.029129999999995</c:v>
                </c:pt>
                <c:pt idx="94">
                  <c:v>90</c:v>
                </c:pt>
                <c:pt idx="95">
                  <c:v>95.454539999999994</c:v>
                </c:pt>
                <c:pt idx="96">
                  <c:v>57.142859999999999</c:v>
                </c:pt>
                <c:pt idx="97">
                  <c:v>73.362440000000007</c:v>
                </c:pt>
                <c:pt idx="98">
                  <c:v>119.3974</c:v>
                </c:pt>
                <c:pt idx="99">
                  <c:v>46.875</c:v>
                </c:pt>
                <c:pt idx="100">
                  <c:v>65.116280000000003</c:v>
                </c:pt>
                <c:pt idx="101">
                  <c:v>44.68085</c:v>
                </c:pt>
                <c:pt idx="102">
                  <c:v>57.943919999999999</c:v>
                </c:pt>
                <c:pt idx="103">
                  <c:v>100</c:v>
                </c:pt>
                <c:pt idx="104">
                  <c:v>30.43478</c:v>
                </c:pt>
                <c:pt idx="105">
                  <c:v>81.538460000000001</c:v>
                </c:pt>
                <c:pt idx="106">
                  <c:v>105.5556</c:v>
                </c:pt>
                <c:pt idx="107">
                  <c:v>80.24691</c:v>
                </c:pt>
                <c:pt idx="108">
                  <c:v>88.950280000000006</c:v>
                </c:pt>
                <c:pt idx="109">
                  <c:v>70.161289999999994</c:v>
                </c:pt>
                <c:pt idx="110">
                  <c:v>20.5</c:v>
                </c:pt>
                <c:pt idx="111">
                  <c:v>78.338759999999994</c:v>
                </c:pt>
                <c:pt idx="112">
                  <c:v>40.322580000000002</c:v>
                </c:pt>
                <c:pt idx="113">
                  <c:v>38.135590000000001</c:v>
                </c:pt>
                <c:pt idx="114">
                  <c:v>33.333329999999997</c:v>
                </c:pt>
                <c:pt idx="115">
                  <c:v>40.816330000000001</c:v>
                </c:pt>
                <c:pt idx="116">
                  <c:v>133.209</c:v>
                </c:pt>
                <c:pt idx="117">
                  <c:v>95.454539999999994</c:v>
                </c:pt>
                <c:pt idx="118">
                  <c:v>67.748919999999998</c:v>
                </c:pt>
                <c:pt idx="119">
                  <c:v>33.333329999999997</c:v>
                </c:pt>
                <c:pt idx="120">
                  <c:v>66.952789999999993</c:v>
                </c:pt>
                <c:pt idx="121">
                  <c:v>56.451610000000002</c:v>
                </c:pt>
                <c:pt idx="122">
                  <c:v>32.467529999999996</c:v>
                </c:pt>
                <c:pt idx="123">
                  <c:v>45.714289999999998</c:v>
                </c:pt>
                <c:pt idx="124">
                  <c:v>56.451610000000002</c:v>
                </c:pt>
                <c:pt idx="125">
                  <c:v>67.208669999999998</c:v>
                </c:pt>
                <c:pt idx="126">
                  <c:v>48.387099999999997</c:v>
                </c:pt>
                <c:pt idx="127">
                  <c:v>75</c:v>
                </c:pt>
                <c:pt idx="128">
                  <c:v>73.255809999999997</c:v>
                </c:pt>
                <c:pt idx="129">
                  <c:v>43.661969999999997</c:v>
                </c:pt>
                <c:pt idx="130">
                  <c:v>67.5</c:v>
                </c:pt>
                <c:pt idx="131">
                  <c:v>23.9726</c:v>
                </c:pt>
                <c:pt idx="132">
                  <c:v>61.00629</c:v>
                </c:pt>
                <c:pt idx="133">
                  <c:v>135.53399999999999</c:v>
                </c:pt>
                <c:pt idx="134">
                  <c:v>42.857140000000001</c:v>
                </c:pt>
                <c:pt idx="135">
                  <c:v>48.837209999999999</c:v>
                </c:pt>
                <c:pt idx="136">
                  <c:v>38.761470000000003</c:v>
                </c:pt>
                <c:pt idx="137">
                  <c:v>29.787230000000001</c:v>
                </c:pt>
                <c:pt idx="138">
                  <c:v>86.132810000000006</c:v>
                </c:pt>
                <c:pt idx="139">
                  <c:v>9.1205219999999994</c:v>
                </c:pt>
                <c:pt idx="140">
                  <c:v>40.776699999999998</c:v>
                </c:pt>
                <c:pt idx="141">
                  <c:v>28.112449999999999</c:v>
                </c:pt>
                <c:pt idx="142">
                  <c:v>75</c:v>
                </c:pt>
                <c:pt idx="143">
                  <c:v>13.745699999999999</c:v>
                </c:pt>
                <c:pt idx="144">
                  <c:v>22.137409999999999</c:v>
                </c:pt>
                <c:pt idx="145">
                  <c:v>109.6491</c:v>
                </c:pt>
                <c:pt idx="146">
                  <c:v>59</c:v>
                </c:pt>
                <c:pt idx="147">
                  <c:v>102.5641</c:v>
                </c:pt>
                <c:pt idx="148">
                  <c:v>59.523809999999997</c:v>
                </c:pt>
                <c:pt idx="149">
                  <c:v>62.76596</c:v>
                </c:pt>
                <c:pt idx="150">
                  <c:v>107.2398</c:v>
                </c:pt>
                <c:pt idx="151">
                  <c:v>86.301370000000006</c:v>
                </c:pt>
                <c:pt idx="152">
                  <c:v>109.49639999999999</c:v>
                </c:pt>
                <c:pt idx="153">
                  <c:v>45.28302</c:v>
                </c:pt>
                <c:pt idx="154">
                  <c:v>119.3182</c:v>
                </c:pt>
                <c:pt idx="155">
                  <c:v>51.282049999999998</c:v>
                </c:pt>
                <c:pt idx="156">
                  <c:v>68.627449999999996</c:v>
                </c:pt>
                <c:pt idx="157">
                  <c:v>45.652169999999998</c:v>
                </c:pt>
                <c:pt idx="158">
                  <c:v>37.951810000000002</c:v>
                </c:pt>
                <c:pt idx="159">
                  <c:v>28.767119999999998</c:v>
                </c:pt>
                <c:pt idx="160">
                  <c:v>62.382449999999999</c:v>
                </c:pt>
                <c:pt idx="161">
                  <c:v>76.595740000000006</c:v>
                </c:pt>
                <c:pt idx="162">
                  <c:v>91.304339999999996</c:v>
                </c:pt>
                <c:pt idx="163">
                  <c:v>80.459770000000006</c:v>
                </c:pt>
              </c:numCache>
            </c:numRef>
          </c:xVal>
          <c:yVal>
            <c:numRef>
              <c:f>Hárok1!$J$2:$J$165</c:f>
              <c:numCache>
                <c:formatCode>General</c:formatCode>
                <c:ptCount val="164"/>
                <c:pt idx="0">
                  <c:v>85.185190000000006</c:v>
                </c:pt>
                <c:pt idx="1">
                  <c:v>88.541659999999993</c:v>
                </c:pt>
                <c:pt idx="2">
                  <c:v>74.242419999999996</c:v>
                </c:pt>
                <c:pt idx="3">
                  <c:v>71.584699999999998</c:v>
                </c:pt>
                <c:pt idx="4">
                  <c:v>78.318579999999997</c:v>
                </c:pt>
                <c:pt idx="5">
                  <c:v>87.037040000000005</c:v>
                </c:pt>
                <c:pt idx="6">
                  <c:v>82.857140000000001</c:v>
                </c:pt>
                <c:pt idx="7">
                  <c:v>84.962400000000002</c:v>
                </c:pt>
                <c:pt idx="8">
                  <c:v>82.417580000000001</c:v>
                </c:pt>
                <c:pt idx="9">
                  <c:v>86.936940000000007</c:v>
                </c:pt>
                <c:pt idx="10">
                  <c:v>61.643839999999997</c:v>
                </c:pt>
                <c:pt idx="11">
                  <c:v>87.804879999999997</c:v>
                </c:pt>
                <c:pt idx="12">
                  <c:v>78.571430000000007</c:v>
                </c:pt>
                <c:pt idx="13">
                  <c:v>75.438599999999994</c:v>
                </c:pt>
                <c:pt idx="14">
                  <c:v>85.714290000000005</c:v>
                </c:pt>
                <c:pt idx="15">
                  <c:v>89.534880000000001</c:v>
                </c:pt>
                <c:pt idx="16">
                  <c:v>86.4</c:v>
                </c:pt>
                <c:pt idx="17">
                  <c:v>83.050849999999997</c:v>
                </c:pt>
                <c:pt idx="18">
                  <c:v>57.142859999999999</c:v>
                </c:pt>
                <c:pt idx="19">
                  <c:v>93.333340000000007</c:v>
                </c:pt>
                <c:pt idx="20">
                  <c:v>81.395349999999993</c:v>
                </c:pt>
                <c:pt idx="21">
                  <c:v>80.319999999999993</c:v>
                </c:pt>
                <c:pt idx="22">
                  <c:v>59.259259999999998</c:v>
                </c:pt>
                <c:pt idx="23">
                  <c:v>92.857140000000001</c:v>
                </c:pt>
                <c:pt idx="24">
                  <c:v>80.180179999999993</c:v>
                </c:pt>
                <c:pt idx="25">
                  <c:v>43.24324</c:v>
                </c:pt>
                <c:pt idx="26">
                  <c:v>86.746989999999997</c:v>
                </c:pt>
                <c:pt idx="27">
                  <c:v>78.915660000000003</c:v>
                </c:pt>
                <c:pt idx="28">
                  <c:v>65.217389999999995</c:v>
                </c:pt>
                <c:pt idx="29">
                  <c:v>73.376630000000006</c:v>
                </c:pt>
                <c:pt idx="30">
                  <c:v>57.142859999999999</c:v>
                </c:pt>
                <c:pt idx="31">
                  <c:v>70.909090000000006</c:v>
                </c:pt>
                <c:pt idx="32">
                  <c:v>81.746030000000005</c:v>
                </c:pt>
                <c:pt idx="33">
                  <c:v>80.630629999999996</c:v>
                </c:pt>
                <c:pt idx="34">
                  <c:v>91.139240000000001</c:v>
                </c:pt>
                <c:pt idx="35">
                  <c:v>94.029849999999996</c:v>
                </c:pt>
                <c:pt idx="36">
                  <c:v>85.185190000000006</c:v>
                </c:pt>
                <c:pt idx="37">
                  <c:v>84.415580000000006</c:v>
                </c:pt>
                <c:pt idx="38">
                  <c:v>66.666659999999993</c:v>
                </c:pt>
                <c:pt idx="39">
                  <c:v>73.333340000000007</c:v>
                </c:pt>
                <c:pt idx="40">
                  <c:v>83.75</c:v>
                </c:pt>
                <c:pt idx="41">
                  <c:v>56.75676</c:v>
                </c:pt>
                <c:pt idx="42">
                  <c:v>88.873810000000006</c:v>
                </c:pt>
                <c:pt idx="43">
                  <c:v>88.596490000000003</c:v>
                </c:pt>
                <c:pt idx="44">
                  <c:v>87.616820000000004</c:v>
                </c:pt>
                <c:pt idx="45">
                  <c:v>92.307689999999994</c:v>
                </c:pt>
                <c:pt idx="46">
                  <c:v>89.130430000000004</c:v>
                </c:pt>
                <c:pt idx="47">
                  <c:v>73.758870000000002</c:v>
                </c:pt>
                <c:pt idx="48">
                  <c:v>80.769229999999993</c:v>
                </c:pt>
                <c:pt idx="49">
                  <c:v>90.410960000000003</c:v>
                </c:pt>
                <c:pt idx="50">
                  <c:v>30.496449999999999</c:v>
                </c:pt>
                <c:pt idx="51">
                  <c:v>90.909090000000006</c:v>
                </c:pt>
                <c:pt idx="52">
                  <c:v>88.709680000000006</c:v>
                </c:pt>
                <c:pt idx="53">
                  <c:v>93.413169999999994</c:v>
                </c:pt>
                <c:pt idx="54">
                  <c:v>85.714290000000005</c:v>
                </c:pt>
                <c:pt idx="55">
                  <c:v>90.566040000000001</c:v>
                </c:pt>
                <c:pt idx="56">
                  <c:v>84.375</c:v>
                </c:pt>
                <c:pt idx="57">
                  <c:v>81.012659999999997</c:v>
                </c:pt>
                <c:pt idx="58">
                  <c:v>80</c:v>
                </c:pt>
                <c:pt idx="59">
                  <c:v>84.23424</c:v>
                </c:pt>
                <c:pt idx="60">
                  <c:v>31.707319999999999</c:v>
                </c:pt>
                <c:pt idx="61">
                  <c:v>22.695039999999999</c:v>
                </c:pt>
                <c:pt idx="62">
                  <c:v>64.238410000000002</c:v>
                </c:pt>
                <c:pt idx="63">
                  <c:v>58.695650000000001</c:v>
                </c:pt>
                <c:pt idx="64">
                  <c:v>100</c:v>
                </c:pt>
                <c:pt idx="65">
                  <c:v>91.304339999999996</c:v>
                </c:pt>
                <c:pt idx="66">
                  <c:v>83.333340000000007</c:v>
                </c:pt>
                <c:pt idx="67">
                  <c:v>55.55556</c:v>
                </c:pt>
                <c:pt idx="68">
                  <c:v>85.416659999999993</c:v>
                </c:pt>
                <c:pt idx="69">
                  <c:v>89.0625</c:v>
                </c:pt>
                <c:pt idx="70">
                  <c:v>70.967740000000006</c:v>
                </c:pt>
                <c:pt idx="71">
                  <c:v>95.918369999999996</c:v>
                </c:pt>
                <c:pt idx="72">
                  <c:v>96.774190000000004</c:v>
                </c:pt>
                <c:pt idx="73">
                  <c:v>37.254899999999999</c:v>
                </c:pt>
                <c:pt idx="74">
                  <c:v>94.871799999999993</c:v>
                </c:pt>
                <c:pt idx="75">
                  <c:v>65.714290000000005</c:v>
                </c:pt>
                <c:pt idx="76">
                  <c:v>36.123350000000002</c:v>
                </c:pt>
                <c:pt idx="77">
                  <c:v>80.645160000000004</c:v>
                </c:pt>
                <c:pt idx="78">
                  <c:v>91.891890000000004</c:v>
                </c:pt>
                <c:pt idx="79">
                  <c:v>75</c:v>
                </c:pt>
                <c:pt idx="80">
                  <c:v>84.375</c:v>
                </c:pt>
                <c:pt idx="81">
                  <c:v>67.924530000000004</c:v>
                </c:pt>
                <c:pt idx="82">
                  <c:v>95.238100000000003</c:v>
                </c:pt>
                <c:pt idx="83">
                  <c:v>34</c:v>
                </c:pt>
                <c:pt idx="84">
                  <c:v>85.416659999999993</c:v>
                </c:pt>
                <c:pt idx="85">
                  <c:v>100</c:v>
                </c:pt>
                <c:pt idx="86">
                  <c:v>96.551730000000006</c:v>
                </c:pt>
                <c:pt idx="87">
                  <c:v>93.75</c:v>
                </c:pt>
                <c:pt idx="88">
                  <c:v>92.121219999999994</c:v>
                </c:pt>
                <c:pt idx="89">
                  <c:v>89.830510000000004</c:v>
                </c:pt>
                <c:pt idx="90">
                  <c:v>92.857140000000001</c:v>
                </c:pt>
                <c:pt idx="91">
                  <c:v>90.201729999999998</c:v>
                </c:pt>
                <c:pt idx="92">
                  <c:v>92</c:v>
                </c:pt>
                <c:pt idx="93">
                  <c:v>82.191779999999994</c:v>
                </c:pt>
                <c:pt idx="94">
                  <c:v>89.361699999999999</c:v>
                </c:pt>
                <c:pt idx="95">
                  <c:v>93.478260000000006</c:v>
                </c:pt>
                <c:pt idx="96">
                  <c:v>91.304339999999996</c:v>
                </c:pt>
                <c:pt idx="97">
                  <c:v>80.402010000000004</c:v>
                </c:pt>
                <c:pt idx="98">
                  <c:v>84.390240000000006</c:v>
                </c:pt>
                <c:pt idx="99">
                  <c:v>46.616540000000001</c:v>
                </c:pt>
                <c:pt idx="100">
                  <c:v>48.958329999999997</c:v>
                </c:pt>
                <c:pt idx="101">
                  <c:v>52.173909999999999</c:v>
                </c:pt>
                <c:pt idx="102">
                  <c:v>82.142859999999999</c:v>
                </c:pt>
                <c:pt idx="103">
                  <c:v>86.893199999999993</c:v>
                </c:pt>
                <c:pt idx="104">
                  <c:v>54.285710000000002</c:v>
                </c:pt>
                <c:pt idx="105">
                  <c:v>46.666670000000003</c:v>
                </c:pt>
                <c:pt idx="106">
                  <c:v>85.917029999999997</c:v>
                </c:pt>
                <c:pt idx="107">
                  <c:v>95.833340000000007</c:v>
                </c:pt>
                <c:pt idx="108">
                  <c:v>73.291920000000005</c:v>
                </c:pt>
                <c:pt idx="109">
                  <c:v>80.487809999999996</c:v>
                </c:pt>
                <c:pt idx="110">
                  <c:v>19.1358</c:v>
                </c:pt>
                <c:pt idx="111">
                  <c:v>83.333340000000007</c:v>
                </c:pt>
                <c:pt idx="112">
                  <c:v>87.5</c:v>
                </c:pt>
                <c:pt idx="113">
                  <c:v>92.063490000000002</c:v>
                </c:pt>
                <c:pt idx="114">
                  <c:v>93.023250000000004</c:v>
                </c:pt>
                <c:pt idx="115">
                  <c:v>100</c:v>
                </c:pt>
                <c:pt idx="116">
                  <c:v>84.183670000000006</c:v>
                </c:pt>
                <c:pt idx="117">
                  <c:v>84.304929999999999</c:v>
                </c:pt>
                <c:pt idx="118">
                  <c:v>72.233009999999993</c:v>
                </c:pt>
                <c:pt idx="119">
                  <c:v>70.833340000000007</c:v>
                </c:pt>
                <c:pt idx="120">
                  <c:v>71.518990000000002</c:v>
                </c:pt>
                <c:pt idx="121">
                  <c:v>71.428569999999993</c:v>
                </c:pt>
                <c:pt idx="122">
                  <c:v>64.285709999999995</c:v>
                </c:pt>
                <c:pt idx="123">
                  <c:v>58.620690000000003</c:v>
                </c:pt>
                <c:pt idx="124">
                  <c:v>85.294120000000007</c:v>
                </c:pt>
                <c:pt idx="125">
                  <c:v>69.406390000000002</c:v>
                </c:pt>
                <c:pt idx="126">
                  <c:v>86.842100000000002</c:v>
                </c:pt>
                <c:pt idx="127">
                  <c:v>87.179490000000001</c:v>
                </c:pt>
                <c:pt idx="128">
                  <c:v>93.023250000000004</c:v>
                </c:pt>
                <c:pt idx="129">
                  <c:v>90.625</c:v>
                </c:pt>
                <c:pt idx="130">
                  <c:v>78.787880000000001</c:v>
                </c:pt>
                <c:pt idx="131">
                  <c:v>88</c:v>
                </c:pt>
                <c:pt idx="132">
                  <c:v>90.196079999999995</c:v>
                </c:pt>
                <c:pt idx="133">
                  <c:v>89.978210000000004</c:v>
                </c:pt>
                <c:pt idx="134">
                  <c:v>62.06897</c:v>
                </c:pt>
                <c:pt idx="135">
                  <c:v>81.818179999999998</c:v>
                </c:pt>
                <c:pt idx="136">
                  <c:v>59.760959999999997</c:v>
                </c:pt>
                <c:pt idx="137">
                  <c:v>32.63158</c:v>
                </c:pt>
                <c:pt idx="138">
                  <c:v>87.125749999999996</c:v>
                </c:pt>
                <c:pt idx="139">
                  <c:v>87.5</c:v>
                </c:pt>
                <c:pt idx="140">
                  <c:v>56.25</c:v>
                </c:pt>
                <c:pt idx="141">
                  <c:v>67.74194</c:v>
                </c:pt>
                <c:pt idx="142">
                  <c:v>75.438599999999994</c:v>
                </c:pt>
                <c:pt idx="143">
                  <c:v>9.3596059999999994</c:v>
                </c:pt>
                <c:pt idx="144">
                  <c:v>32.167830000000002</c:v>
                </c:pt>
                <c:pt idx="145">
                  <c:v>87.640450000000001</c:v>
                </c:pt>
                <c:pt idx="146">
                  <c:v>40</c:v>
                </c:pt>
                <c:pt idx="147">
                  <c:v>97.777780000000007</c:v>
                </c:pt>
                <c:pt idx="148">
                  <c:v>91.666659999999993</c:v>
                </c:pt>
                <c:pt idx="149">
                  <c:v>75</c:v>
                </c:pt>
                <c:pt idx="150">
                  <c:v>81.012659999999997</c:v>
                </c:pt>
                <c:pt idx="151">
                  <c:v>92</c:v>
                </c:pt>
                <c:pt idx="152">
                  <c:v>83.390410000000003</c:v>
                </c:pt>
                <c:pt idx="153">
                  <c:v>89.655169999999998</c:v>
                </c:pt>
                <c:pt idx="154">
                  <c:v>96.491230000000002</c:v>
                </c:pt>
                <c:pt idx="155">
                  <c:v>96.666659999999993</c:v>
                </c:pt>
                <c:pt idx="156">
                  <c:v>88.311689999999999</c:v>
                </c:pt>
                <c:pt idx="157">
                  <c:v>59.259259999999998</c:v>
                </c:pt>
                <c:pt idx="158">
                  <c:v>53.846150000000002</c:v>
                </c:pt>
                <c:pt idx="159">
                  <c:v>73.913039999999995</c:v>
                </c:pt>
                <c:pt idx="160">
                  <c:v>92.413799999999995</c:v>
                </c:pt>
                <c:pt idx="161">
                  <c:v>98.507459999999995</c:v>
                </c:pt>
                <c:pt idx="162">
                  <c:v>81.25</c:v>
                </c:pt>
                <c:pt idx="163">
                  <c:v>88.8</c:v>
                </c:pt>
              </c:numCache>
            </c:numRef>
          </c:yVal>
          <c:bubbleSize>
            <c:numRef>
              <c:f>Hárok1!$E$2:$E$165</c:f>
              <c:numCache>
                <c:formatCode>General</c:formatCode>
                <c:ptCount val="164"/>
                <c:pt idx="0">
                  <c:v>81</c:v>
                </c:pt>
                <c:pt idx="1">
                  <c:v>96</c:v>
                </c:pt>
                <c:pt idx="2">
                  <c:v>132</c:v>
                </c:pt>
                <c:pt idx="3">
                  <c:v>183</c:v>
                </c:pt>
                <c:pt idx="4">
                  <c:v>226</c:v>
                </c:pt>
                <c:pt idx="5">
                  <c:v>54</c:v>
                </c:pt>
                <c:pt idx="6">
                  <c:v>35</c:v>
                </c:pt>
                <c:pt idx="7">
                  <c:v>133</c:v>
                </c:pt>
                <c:pt idx="8">
                  <c:v>91</c:v>
                </c:pt>
                <c:pt idx="9">
                  <c:v>222</c:v>
                </c:pt>
                <c:pt idx="10">
                  <c:v>73</c:v>
                </c:pt>
                <c:pt idx="11">
                  <c:v>123</c:v>
                </c:pt>
                <c:pt idx="12">
                  <c:v>42</c:v>
                </c:pt>
                <c:pt idx="13">
                  <c:v>57</c:v>
                </c:pt>
                <c:pt idx="14">
                  <c:v>21</c:v>
                </c:pt>
                <c:pt idx="15">
                  <c:v>430</c:v>
                </c:pt>
                <c:pt idx="16">
                  <c:v>125</c:v>
                </c:pt>
                <c:pt idx="17">
                  <c:v>59</c:v>
                </c:pt>
                <c:pt idx="18">
                  <c:v>21</c:v>
                </c:pt>
                <c:pt idx="19">
                  <c:v>30</c:v>
                </c:pt>
                <c:pt idx="20">
                  <c:v>43</c:v>
                </c:pt>
                <c:pt idx="21">
                  <c:v>625</c:v>
                </c:pt>
                <c:pt idx="22">
                  <c:v>27</c:v>
                </c:pt>
                <c:pt idx="23">
                  <c:v>42</c:v>
                </c:pt>
                <c:pt idx="24">
                  <c:v>111</c:v>
                </c:pt>
                <c:pt idx="25">
                  <c:v>37</c:v>
                </c:pt>
                <c:pt idx="26">
                  <c:v>332</c:v>
                </c:pt>
                <c:pt idx="27">
                  <c:v>498</c:v>
                </c:pt>
                <c:pt idx="28">
                  <c:v>23</c:v>
                </c:pt>
                <c:pt idx="29">
                  <c:v>154</c:v>
                </c:pt>
                <c:pt idx="30">
                  <c:v>42</c:v>
                </c:pt>
                <c:pt idx="31">
                  <c:v>55</c:v>
                </c:pt>
                <c:pt idx="32">
                  <c:v>126</c:v>
                </c:pt>
                <c:pt idx="33">
                  <c:v>222</c:v>
                </c:pt>
                <c:pt idx="34">
                  <c:v>316</c:v>
                </c:pt>
                <c:pt idx="35">
                  <c:v>67</c:v>
                </c:pt>
                <c:pt idx="36">
                  <c:v>729</c:v>
                </c:pt>
                <c:pt idx="37">
                  <c:v>77</c:v>
                </c:pt>
                <c:pt idx="38">
                  <c:v>27</c:v>
                </c:pt>
                <c:pt idx="39">
                  <c:v>45</c:v>
                </c:pt>
                <c:pt idx="40">
                  <c:v>80</c:v>
                </c:pt>
                <c:pt idx="41">
                  <c:v>111</c:v>
                </c:pt>
                <c:pt idx="42">
                  <c:v>737</c:v>
                </c:pt>
                <c:pt idx="43">
                  <c:v>114</c:v>
                </c:pt>
                <c:pt idx="44">
                  <c:v>428</c:v>
                </c:pt>
                <c:pt idx="45">
                  <c:v>39</c:v>
                </c:pt>
                <c:pt idx="46">
                  <c:v>46</c:v>
                </c:pt>
                <c:pt idx="47">
                  <c:v>141</c:v>
                </c:pt>
                <c:pt idx="48">
                  <c:v>26</c:v>
                </c:pt>
                <c:pt idx="49">
                  <c:v>73</c:v>
                </c:pt>
                <c:pt idx="50">
                  <c:v>141</c:v>
                </c:pt>
                <c:pt idx="51">
                  <c:v>22</c:v>
                </c:pt>
                <c:pt idx="52">
                  <c:v>62</c:v>
                </c:pt>
                <c:pt idx="53">
                  <c:v>167</c:v>
                </c:pt>
                <c:pt idx="54">
                  <c:v>35</c:v>
                </c:pt>
                <c:pt idx="55">
                  <c:v>53</c:v>
                </c:pt>
                <c:pt idx="56">
                  <c:v>32</c:v>
                </c:pt>
                <c:pt idx="57">
                  <c:v>158</c:v>
                </c:pt>
                <c:pt idx="58">
                  <c:v>55</c:v>
                </c:pt>
                <c:pt idx="59">
                  <c:v>888</c:v>
                </c:pt>
                <c:pt idx="60">
                  <c:v>41</c:v>
                </c:pt>
                <c:pt idx="61">
                  <c:v>141</c:v>
                </c:pt>
                <c:pt idx="62">
                  <c:v>151</c:v>
                </c:pt>
                <c:pt idx="63">
                  <c:v>46</c:v>
                </c:pt>
                <c:pt idx="64">
                  <c:v>37</c:v>
                </c:pt>
                <c:pt idx="65">
                  <c:v>46</c:v>
                </c:pt>
                <c:pt idx="66">
                  <c:v>36</c:v>
                </c:pt>
                <c:pt idx="67">
                  <c:v>36</c:v>
                </c:pt>
                <c:pt idx="68">
                  <c:v>48</c:v>
                </c:pt>
                <c:pt idx="69">
                  <c:v>128</c:v>
                </c:pt>
                <c:pt idx="70">
                  <c:v>62</c:v>
                </c:pt>
                <c:pt idx="71">
                  <c:v>49</c:v>
                </c:pt>
                <c:pt idx="72">
                  <c:v>31</c:v>
                </c:pt>
                <c:pt idx="73">
                  <c:v>51</c:v>
                </c:pt>
                <c:pt idx="74">
                  <c:v>39</c:v>
                </c:pt>
                <c:pt idx="75">
                  <c:v>35</c:v>
                </c:pt>
                <c:pt idx="76">
                  <c:v>227</c:v>
                </c:pt>
                <c:pt idx="77">
                  <c:v>31</c:v>
                </c:pt>
                <c:pt idx="78">
                  <c:v>37</c:v>
                </c:pt>
                <c:pt idx="79">
                  <c:v>32</c:v>
                </c:pt>
                <c:pt idx="80">
                  <c:v>64</c:v>
                </c:pt>
                <c:pt idx="81">
                  <c:v>53</c:v>
                </c:pt>
                <c:pt idx="82">
                  <c:v>21</c:v>
                </c:pt>
                <c:pt idx="83">
                  <c:v>50</c:v>
                </c:pt>
                <c:pt idx="84">
                  <c:v>48</c:v>
                </c:pt>
                <c:pt idx="85">
                  <c:v>37</c:v>
                </c:pt>
                <c:pt idx="86">
                  <c:v>29</c:v>
                </c:pt>
                <c:pt idx="87">
                  <c:v>48</c:v>
                </c:pt>
                <c:pt idx="88">
                  <c:v>165</c:v>
                </c:pt>
                <c:pt idx="89">
                  <c:v>59</c:v>
                </c:pt>
                <c:pt idx="90">
                  <c:v>42</c:v>
                </c:pt>
                <c:pt idx="91">
                  <c:v>347</c:v>
                </c:pt>
                <c:pt idx="92">
                  <c:v>25</c:v>
                </c:pt>
                <c:pt idx="93">
                  <c:v>73</c:v>
                </c:pt>
                <c:pt idx="94">
                  <c:v>47</c:v>
                </c:pt>
                <c:pt idx="95">
                  <c:v>46</c:v>
                </c:pt>
                <c:pt idx="96">
                  <c:v>23</c:v>
                </c:pt>
                <c:pt idx="97">
                  <c:v>199</c:v>
                </c:pt>
                <c:pt idx="98">
                  <c:v>410</c:v>
                </c:pt>
                <c:pt idx="99">
                  <c:v>133</c:v>
                </c:pt>
                <c:pt idx="100">
                  <c:v>96</c:v>
                </c:pt>
                <c:pt idx="101">
                  <c:v>23</c:v>
                </c:pt>
                <c:pt idx="102">
                  <c:v>28</c:v>
                </c:pt>
                <c:pt idx="103">
                  <c:v>206</c:v>
                </c:pt>
                <c:pt idx="104">
                  <c:v>35</c:v>
                </c:pt>
                <c:pt idx="105">
                  <c:v>45</c:v>
                </c:pt>
                <c:pt idx="106">
                  <c:v>916</c:v>
                </c:pt>
                <c:pt idx="107">
                  <c:v>48</c:v>
                </c:pt>
                <c:pt idx="108">
                  <c:v>161</c:v>
                </c:pt>
                <c:pt idx="109">
                  <c:v>41</c:v>
                </c:pt>
                <c:pt idx="110">
                  <c:v>162</c:v>
                </c:pt>
                <c:pt idx="111">
                  <c:v>432</c:v>
                </c:pt>
                <c:pt idx="112">
                  <c:v>32</c:v>
                </c:pt>
                <c:pt idx="113">
                  <c:v>63</c:v>
                </c:pt>
                <c:pt idx="114">
                  <c:v>43</c:v>
                </c:pt>
                <c:pt idx="115">
                  <c:v>23</c:v>
                </c:pt>
                <c:pt idx="116">
                  <c:v>196</c:v>
                </c:pt>
                <c:pt idx="117">
                  <c:v>223</c:v>
                </c:pt>
                <c:pt idx="118">
                  <c:v>515</c:v>
                </c:pt>
                <c:pt idx="119">
                  <c:v>24</c:v>
                </c:pt>
                <c:pt idx="120">
                  <c:v>158</c:v>
                </c:pt>
                <c:pt idx="121">
                  <c:v>42</c:v>
                </c:pt>
                <c:pt idx="122">
                  <c:v>42</c:v>
                </c:pt>
                <c:pt idx="123">
                  <c:v>29</c:v>
                </c:pt>
                <c:pt idx="124">
                  <c:v>34</c:v>
                </c:pt>
                <c:pt idx="125">
                  <c:v>219</c:v>
                </c:pt>
                <c:pt idx="126">
                  <c:v>38</c:v>
                </c:pt>
                <c:pt idx="127">
                  <c:v>39</c:v>
                </c:pt>
                <c:pt idx="128">
                  <c:v>43</c:v>
                </c:pt>
                <c:pt idx="129">
                  <c:v>32</c:v>
                </c:pt>
                <c:pt idx="130">
                  <c:v>33</c:v>
                </c:pt>
                <c:pt idx="131">
                  <c:v>25</c:v>
                </c:pt>
                <c:pt idx="132">
                  <c:v>51</c:v>
                </c:pt>
                <c:pt idx="133">
                  <c:v>459</c:v>
                </c:pt>
                <c:pt idx="134">
                  <c:v>29</c:v>
                </c:pt>
                <c:pt idx="135">
                  <c:v>22</c:v>
                </c:pt>
                <c:pt idx="136">
                  <c:v>251</c:v>
                </c:pt>
                <c:pt idx="137">
                  <c:v>95</c:v>
                </c:pt>
                <c:pt idx="138">
                  <c:v>334</c:v>
                </c:pt>
                <c:pt idx="139">
                  <c:v>48</c:v>
                </c:pt>
                <c:pt idx="140">
                  <c:v>64</c:v>
                </c:pt>
                <c:pt idx="141">
                  <c:v>31</c:v>
                </c:pt>
                <c:pt idx="142">
                  <c:v>57</c:v>
                </c:pt>
                <c:pt idx="143">
                  <c:v>203</c:v>
                </c:pt>
                <c:pt idx="144">
                  <c:v>143</c:v>
                </c:pt>
                <c:pt idx="145">
                  <c:v>89</c:v>
                </c:pt>
                <c:pt idx="146">
                  <c:v>50</c:v>
                </c:pt>
                <c:pt idx="147">
                  <c:v>45</c:v>
                </c:pt>
                <c:pt idx="148">
                  <c:v>36</c:v>
                </c:pt>
                <c:pt idx="149">
                  <c:v>28</c:v>
                </c:pt>
                <c:pt idx="150">
                  <c:v>158</c:v>
                </c:pt>
                <c:pt idx="151">
                  <c:v>25</c:v>
                </c:pt>
                <c:pt idx="152">
                  <c:v>584</c:v>
                </c:pt>
                <c:pt idx="153">
                  <c:v>29</c:v>
                </c:pt>
                <c:pt idx="154">
                  <c:v>57</c:v>
                </c:pt>
                <c:pt idx="155">
                  <c:v>30</c:v>
                </c:pt>
                <c:pt idx="156">
                  <c:v>77</c:v>
                </c:pt>
                <c:pt idx="157">
                  <c:v>54</c:v>
                </c:pt>
                <c:pt idx="158">
                  <c:v>104</c:v>
                </c:pt>
                <c:pt idx="159">
                  <c:v>23</c:v>
                </c:pt>
                <c:pt idx="160">
                  <c:v>145</c:v>
                </c:pt>
                <c:pt idx="161">
                  <c:v>67</c:v>
                </c:pt>
                <c:pt idx="162">
                  <c:v>48</c:v>
                </c:pt>
                <c:pt idx="163">
                  <c:v>125</c:v>
                </c:pt>
              </c:numCache>
            </c:numRef>
          </c:bubbleSize>
          <c:bubble3D val="0"/>
          <c:extLst xmlns:c16r2="http://schemas.microsoft.com/office/drawing/2015/06/chart">
            <c:ext xmlns:c16="http://schemas.microsoft.com/office/drawing/2014/chart" uri="{C3380CC4-5D6E-409C-BE32-E72D297353CC}">
              <c16:uniqueId val="{00000000-F63E-432C-8410-0038C2A5963E}"/>
            </c:ext>
          </c:extLst>
        </c:ser>
        <c:ser>
          <c:idx val="1"/>
          <c:order val="1"/>
          <c:spPr>
            <a:noFill/>
            <a:ln w="9525">
              <a:solidFill>
                <a:schemeClr val="accent1"/>
              </a:solidFill>
            </a:ln>
            <a:effectLst/>
          </c:spPr>
          <c:invertIfNegative val="0"/>
          <c:xVal>
            <c:numRef>
              <c:f>Hárok1!$L$2:$L$165</c:f>
              <c:numCache>
                <c:formatCode>General</c:formatCode>
                <c:ptCount val="164"/>
                <c:pt idx="0">
                  <c:v>77.669910000000002</c:v>
                </c:pt>
                <c:pt idx="1">
                  <c:v>106.77970000000001</c:v>
                </c:pt>
                <c:pt idx="2">
                  <c:v>68.627449999999996</c:v>
                </c:pt>
                <c:pt idx="3">
                  <c:v>77.542370000000005</c:v>
                </c:pt>
                <c:pt idx="4">
                  <c:v>108.4615</c:v>
                </c:pt>
                <c:pt idx="5">
                  <c:v>52.5</c:v>
                </c:pt>
                <c:pt idx="6">
                  <c:v>78.75</c:v>
                </c:pt>
                <c:pt idx="7">
                  <c:v>150.63290000000001</c:v>
                </c:pt>
                <c:pt idx="8">
                  <c:v>79.870130000000003</c:v>
                </c:pt>
                <c:pt idx="9">
                  <c:v>109.6386</c:v>
                </c:pt>
                <c:pt idx="10">
                  <c:v>42</c:v>
                </c:pt>
                <c:pt idx="11">
                  <c:v>101.2987</c:v>
                </c:pt>
                <c:pt idx="12">
                  <c:v>65.625</c:v>
                </c:pt>
                <c:pt idx="13">
                  <c:v>64.948459999999997</c:v>
                </c:pt>
                <c:pt idx="14">
                  <c:v>111.11109999999999</c:v>
                </c:pt>
                <c:pt idx="15">
                  <c:v>92.063490000000002</c:v>
                </c:pt>
                <c:pt idx="16">
                  <c:v>76.829269999999994</c:v>
                </c:pt>
                <c:pt idx="17">
                  <c:v>51.724139999999998</c:v>
                </c:pt>
                <c:pt idx="18">
                  <c:v>32.8125</c:v>
                </c:pt>
                <c:pt idx="19">
                  <c:v>90.909090000000006</c:v>
                </c:pt>
                <c:pt idx="20">
                  <c:v>55.263159999999999</c:v>
                </c:pt>
                <c:pt idx="21">
                  <c:v>105.8908</c:v>
                </c:pt>
                <c:pt idx="22">
                  <c:v>38.181820000000002</c:v>
                </c:pt>
                <c:pt idx="23">
                  <c:v>95.588229999999996</c:v>
                </c:pt>
                <c:pt idx="24">
                  <c:v>123.7762</c:v>
                </c:pt>
                <c:pt idx="25">
                  <c:v>27.272729999999999</c:v>
                </c:pt>
                <c:pt idx="26">
                  <c:v>88.805970000000002</c:v>
                </c:pt>
                <c:pt idx="27">
                  <c:v>105.836</c:v>
                </c:pt>
                <c:pt idx="28">
                  <c:v>44.68085</c:v>
                </c:pt>
                <c:pt idx="29">
                  <c:v>85.388130000000004</c:v>
                </c:pt>
                <c:pt idx="30">
                  <c:v>57.142859999999999</c:v>
                </c:pt>
                <c:pt idx="31">
                  <c:v>81.818179999999998</c:v>
                </c:pt>
                <c:pt idx="32">
                  <c:v>99.009900000000002</c:v>
                </c:pt>
                <c:pt idx="33">
                  <c:v>92.16301</c:v>
                </c:pt>
                <c:pt idx="34">
                  <c:v>127.1768</c:v>
                </c:pt>
                <c:pt idx="35">
                  <c:v>96.551730000000006</c:v>
                </c:pt>
                <c:pt idx="36">
                  <c:v>114.4186</c:v>
                </c:pt>
                <c:pt idx="37">
                  <c:v>110.52630000000001</c:v>
                </c:pt>
                <c:pt idx="38">
                  <c:v>40.740740000000002</c:v>
                </c:pt>
                <c:pt idx="39">
                  <c:v>48.717950000000002</c:v>
                </c:pt>
                <c:pt idx="40">
                  <c:v>104</c:v>
                </c:pt>
                <c:pt idx="41">
                  <c:v>40.384619999999998</c:v>
                </c:pt>
                <c:pt idx="42">
                  <c:v>137.72890000000001</c:v>
                </c:pt>
                <c:pt idx="43">
                  <c:v>86.956519999999998</c:v>
                </c:pt>
                <c:pt idx="44">
                  <c:v>134.4554</c:v>
                </c:pt>
                <c:pt idx="45">
                  <c:v>65.625</c:v>
                </c:pt>
                <c:pt idx="46">
                  <c:v>45.161290000000001</c:v>
                </c:pt>
                <c:pt idx="47">
                  <c:v>49.504950000000001</c:v>
                </c:pt>
                <c:pt idx="48">
                  <c:v>18.691590000000001</c:v>
                </c:pt>
                <c:pt idx="49">
                  <c:v>36.290320000000001</c:v>
                </c:pt>
                <c:pt idx="50">
                  <c:v>23.115580000000001</c:v>
                </c:pt>
                <c:pt idx="51">
                  <c:v>42</c:v>
                </c:pt>
                <c:pt idx="52">
                  <c:v>77.094970000000004</c:v>
                </c:pt>
                <c:pt idx="53">
                  <c:v>81.670529999999999</c:v>
                </c:pt>
                <c:pt idx="54">
                  <c:v>44.117649999999998</c:v>
                </c:pt>
                <c:pt idx="55">
                  <c:v>98.823530000000005</c:v>
                </c:pt>
                <c:pt idx="56">
                  <c:v>98.214290000000005</c:v>
                </c:pt>
                <c:pt idx="57">
                  <c:v>89.502759999999995</c:v>
                </c:pt>
                <c:pt idx="58">
                  <c:v>19.354839999999999</c:v>
                </c:pt>
                <c:pt idx="59">
                  <c:v>96.983980000000003</c:v>
                </c:pt>
                <c:pt idx="60">
                  <c:v>55.882350000000002</c:v>
                </c:pt>
                <c:pt idx="61">
                  <c:v>11.170210000000001</c:v>
                </c:pt>
                <c:pt idx="62">
                  <c:v>120.3125</c:v>
                </c:pt>
                <c:pt idx="63">
                  <c:v>24.793389999999999</c:v>
                </c:pt>
                <c:pt idx="64">
                  <c:v>63.917529999999999</c:v>
                </c:pt>
                <c:pt idx="65">
                  <c:v>43.712569999999999</c:v>
                </c:pt>
                <c:pt idx="66">
                  <c:v>47.457630000000002</c:v>
                </c:pt>
                <c:pt idx="67">
                  <c:v>41.666670000000003</c:v>
                </c:pt>
                <c:pt idx="68">
                  <c:v>40.384619999999998</c:v>
                </c:pt>
                <c:pt idx="69">
                  <c:v>65.591399999999993</c:v>
                </c:pt>
                <c:pt idx="70">
                  <c:v>58.754860000000001</c:v>
                </c:pt>
                <c:pt idx="71">
                  <c:v>113.51349999999999</c:v>
                </c:pt>
                <c:pt idx="72">
                  <c:v>27.450980000000001</c:v>
                </c:pt>
                <c:pt idx="73">
                  <c:v>22.22222</c:v>
                </c:pt>
                <c:pt idx="74">
                  <c:v>91.304339999999996</c:v>
                </c:pt>
                <c:pt idx="75">
                  <c:v>52.57732</c:v>
                </c:pt>
                <c:pt idx="76">
                  <c:v>32.653060000000004</c:v>
                </c:pt>
                <c:pt idx="77">
                  <c:v>65.454539999999994</c:v>
                </c:pt>
                <c:pt idx="78">
                  <c:v>66.666659999999993</c:v>
                </c:pt>
                <c:pt idx="79">
                  <c:v>91.304339999999996</c:v>
                </c:pt>
                <c:pt idx="80">
                  <c:v>62.790700000000001</c:v>
                </c:pt>
                <c:pt idx="81">
                  <c:v>35.106380000000001</c:v>
                </c:pt>
                <c:pt idx="82">
                  <c:v>47.727269999999997</c:v>
                </c:pt>
                <c:pt idx="83">
                  <c:v>37.906140000000001</c:v>
                </c:pt>
                <c:pt idx="84">
                  <c:v>40</c:v>
                </c:pt>
                <c:pt idx="85">
                  <c:v>68.965519999999998</c:v>
                </c:pt>
                <c:pt idx="86">
                  <c:v>45</c:v>
                </c:pt>
                <c:pt idx="87">
                  <c:v>94.382019999999997</c:v>
                </c:pt>
                <c:pt idx="88">
                  <c:v>120.1681</c:v>
                </c:pt>
                <c:pt idx="89">
                  <c:v>76.642330000000001</c:v>
                </c:pt>
                <c:pt idx="90">
                  <c:v>64.615390000000005</c:v>
                </c:pt>
                <c:pt idx="91">
                  <c:v>91.360690000000005</c:v>
                </c:pt>
                <c:pt idx="92">
                  <c:v>44.329900000000002</c:v>
                </c:pt>
                <c:pt idx="93">
                  <c:v>99.029129999999995</c:v>
                </c:pt>
                <c:pt idx="94">
                  <c:v>90</c:v>
                </c:pt>
                <c:pt idx="95">
                  <c:v>95.454539999999994</c:v>
                </c:pt>
                <c:pt idx="96">
                  <c:v>57.142859999999999</c:v>
                </c:pt>
                <c:pt idx="97">
                  <c:v>73.362440000000007</c:v>
                </c:pt>
                <c:pt idx="98">
                  <c:v>119.3974</c:v>
                </c:pt>
                <c:pt idx="99">
                  <c:v>46.875</c:v>
                </c:pt>
                <c:pt idx="100">
                  <c:v>65.116280000000003</c:v>
                </c:pt>
                <c:pt idx="101">
                  <c:v>44.68085</c:v>
                </c:pt>
                <c:pt idx="102">
                  <c:v>57.943919999999999</c:v>
                </c:pt>
                <c:pt idx="103">
                  <c:v>100</c:v>
                </c:pt>
                <c:pt idx="104">
                  <c:v>30.43478</c:v>
                </c:pt>
                <c:pt idx="105">
                  <c:v>81.538460000000001</c:v>
                </c:pt>
                <c:pt idx="106">
                  <c:v>105.5556</c:v>
                </c:pt>
                <c:pt idx="107">
                  <c:v>80.24691</c:v>
                </c:pt>
                <c:pt idx="108">
                  <c:v>88.950280000000006</c:v>
                </c:pt>
                <c:pt idx="109">
                  <c:v>70.161289999999994</c:v>
                </c:pt>
                <c:pt idx="110">
                  <c:v>20.5</c:v>
                </c:pt>
                <c:pt idx="111">
                  <c:v>78.338759999999994</c:v>
                </c:pt>
                <c:pt idx="112">
                  <c:v>40.322580000000002</c:v>
                </c:pt>
                <c:pt idx="113">
                  <c:v>38.135590000000001</c:v>
                </c:pt>
                <c:pt idx="114">
                  <c:v>33.333329999999997</c:v>
                </c:pt>
                <c:pt idx="115">
                  <c:v>40.816330000000001</c:v>
                </c:pt>
                <c:pt idx="116">
                  <c:v>133.209</c:v>
                </c:pt>
                <c:pt idx="117">
                  <c:v>95.454539999999994</c:v>
                </c:pt>
                <c:pt idx="118">
                  <c:v>67.748919999999998</c:v>
                </c:pt>
                <c:pt idx="119">
                  <c:v>33.333329999999997</c:v>
                </c:pt>
                <c:pt idx="120">
                  <c:v>66.952789999999993</c:v>
                </c:pt>
                <c:pt idx="121">
                  <c:v>56.451610000000002</c:v>
                </c:pt>
                <c:pt idx="122">
                  <c:v>32.467529999999996</c:v>
                </c:pt>
                <c:pt idx="123">
                  <c:v>45.714289999999998</c:v>
                </c:pt>
                <c:pt idx="124">
                  <c:v>56.451610000000002</c:v>
                </c:pt>
                <c:pt idx="125">
                  <c:v>67.208669999999998</c:v>
                </c:pt>
                <c:pt idx="126">
                  <c:v>48.387099999999997</c:v>
                </c:pt>
                <c:pt idx="127">
                  <c:v>75</c:v>
                </c:pt>
                <c:pt idx="128">
                  <c:v>73.255809999999997</c:v>
                </c:pt>
                <c:pt idx="129">
                  <c:v>43.661969999999997</c:v>
                </c:pt>
                <c:pt idx="130">
                  <c:v>67.5</c:v>
                </c:pt>
                <c:pt idx="131">
                  <c:v>23.9726</c:v>
                </c:pt>
                <c:pt idx="132">
                  <c:v>61.00629</c:v>
                </c:pt>
                <c:pt idx="133">
                  <c:v>135.53399999999999</c:v>
                </c:pt>
                <c:pt idx="134">
                  <c:v>42.857140000000001</c:v>
                </c:pt>
                <c:pt idx="135">
                  <c:v>48.837209999999999</c:v>
                </c:pt>
                <c:pt idx="136">
                  <c:v>38.761470000000003</c:v>
                </c:pt>
                <c:pt idx="137">
                  <c:v>29.787230000000001</c:v>
                </c:pt>
                <c:pt idx="138">
                  <c:v>86.132810000000006</c:v>
                </c:pt>
                <c:pt idx="139">
                  <c:v>9.1205219999999994</c:v>
                </c:pt>
                <c:pt idx="140">
                  <c:v>40.776699999999998</c:v>
                </c:pt>
                <c:pt idx="141">
                  <c:v>28.112449999999999</c:v>
                </c:pt>
                <c:pt idx="142">
                  <c:v>75</c:v>
                </c:pt>
                <c:pt idx="143">
                  <c:v>13.745699999999999</c:v>
                </c:pt>
                <c:pt idx="144">
                  <c:v>22.137409999999999</c:v>
                </c:pt>
                <c:pt idx="145">
                  <c:v>109.6491</c:v>
                </c:pt>
                <c:pt idx="146">
                  <c:v>59</c:v>
                </c:pt>
                <c:pt idx="147">
                  <c:v>102.5641</c:v>
                </c:pt>
                <c:pt idx="148">
                  <c:v>59.523809999999997</c:v>
                </c:pt>
                <c:pt idx="149">
                  <c:v>62.76596</c:v>
                </c:pt>
                <c:pt idx="150">
                  <c:v>107.2398</c:v>
                </c:pt>
                <c:pt idx="151">
                  <c:v>86.301370000000006</c:v>
                </c:pt>
                <c:pt idx="152">
                  <c:v>109.49639999999999</c:v>
                </c:pt>
                <c:pt idx="153">
                  <c:v>45.28302</c:v>
                </c:pt>
                <c:pt idx="154">
                  <c:v>119.3182</c:v>
                </c:pt>
                <c:pt idx="155">
                  <c:v>51.282049999999998</c:v>
                </c:pt>
                <c:pt idx="156">
                  <c:v>68.627449999999996</c:v>
                </c:pt>
                <c:pt idx="157">
                  <c:v>45.652169999999998</c:v>
                </c:pt>
                <c:pt idx="158">
                  <c:v>37.951810000000002</c:v>
                </c:pt>
                <c:pt idx="159">
                  <c:v>28.767119999999998</c:v>
                </c:pt>
                <c:pt idx="160">
                  <c:v>62.382449999999999</c:v>
                </c:pt>
                <c:pt idx="161">
                  <c:v>76.595740000000006</c:v>
                </c:pt>
                <c:pt idx="162">
                  <c:v>91.304339999999996</c:v>
                </c:pt>
                <c:pt idx="163">
                  <c:v>80.459770000000006</c:v>
                </c:pt>
              </c:numCache>
            </c:numRef>
          </c:xVal>
          <c:yVal>
            <c:numRef>
              <c:f>Hárok1!$I$2:$I$165</c:f>
              <c:numCache>
                <c:formatCode>General</c:formatCode>
                <c:ptCount val="164"/>
                <c:pt idx="0">
                  <c:v>31.818180000000002</c:v>
                </c:pt>
                <c:pt idx="1">
                  <c:v>68.181820000000002</c:v>
                </c:pt>
                <c:pt idx="2">
                  <c:v>61.904760000000003</c:v>
                </c:pt>
                <c:pt idx="3">
                  <c:v>11.32076</c:v>
                </c:pt>
                <c:pt idx="4">
                  <c:v>35.294119999999999</c:v>
                </c:pt>
                <c:pt idx="5">
                  <c:v>50</c:v>
                </c:pt>
                <c:pt idx="6">
                  <c:v>38.4</c:v>
                </c:pt>
                <c:pt idx="7">
                  <c:v>64</c:v>
                </c:pt>
                <c:pt idx="8">
                  <c:v>73.015879999999996</c:v>
                </c:pt>
                <c:pt idx="9">
                  <c:v>59.259259999999998</c:v>
                </c:pt>
                <c:pt idx="10">
                  <c:v>25.925930000000001</c:v>
                </c:pt>
                <c:pt idx="11">
                  <c:v>77.419359999999998</c:v>
                </c:pt>
                <c:pt idx="12">
                  <c:v>27.272729999999999</c:v>
                </c:pt>
                <c:pt idx="13">
                  <c:v>72.5</c:v>
                </c:pt>
                <c:pt idx="14">
                  <c:v>83.333340000000007</c:v>
                </c:pt>
                <c:pt idx="15">
                  <c:v>14.59854</c:v>
                </c:pt>
                <c:pt idx="16">
                  <c:v>48.717950000000002</c:v>
                </c:pt>
                <c:pt idx="17">
                  <c:v>17.543859999999999</c:v>
                </c:pt>
                <c:pt idx="18">
                  <c:v>30.232559999999999</c:v>
                </c:pt>
                <c:pt idx="19">
                  <c:v>32</c:v>
                </c:pt>
                <c:pt idx="20">
                  <c:v>33.333329999999997</c:v>
                </c:pt>
                <c:pt idx="21">
                  <c:v>43.661969999999997</c:v>
                </c:pt>
                <c:pt idx="22">
                  <c:v>42.857140000000001</c:v>
                </c:pt>
                <c:pt idx="23">
                  <c:v>38.461539999999999</c:v>
                </c:pt>
                <c:pt idx="24">
                  <c:v>59.375</c:v>
                </c:pt>
                <c:pt idx="25">
                  <c:v>31.034479999999999</c:v>
                </c:pt>
                <c:pt idx="26">
                  <c:v>54.285710000000002</c:v>
                </c:pt>
                <c:pt idx="27">
                  <c:v>26.470590000000001</c:v>
                </c:pt>
                <c:pt idx="28">
                  <c:v>62.5</c:v>
                </c:pt>
                <c:pt idx="29">
                  <c:v>38.461539999999999</c:v>
                </c:pt>
                <c:pt idx="30">
                  <c:v>60.714289999999998</c:v>
                </c:pt>
                <c:pt idx="31">
                  <c:v>45.454540000000001</c:v>
                </c:pt>
                <c:pt idx="32">
                  <c:v>40.789470000000001</c:v>
                </c:pt>
                <c:pt idx="33">
                  <c:v>48.453609999999998</c:v>
                </c:pt>
                <c:pt idx="34">
                  <c:v>58.730159999999998</c:v>
                </c:pt>
                <c:pt idx="35">
                  <c:v>65</c:v>
                </c:pt>
                <c:pt idx="36">
                  <c:v>59.541980000000002</c:v>
                </c:pt>
                <c:pt idx="37">
                  <c:v>53.571429999999999</c:v>
                </c:pt>
                <c:pt idx="38">
                  <c:v>27.77778</c:v>
                </c:pt>
                <c:pt idx="39">
                  <c:v>18.181819999999998</c:v>
                </c:pt>
                <c:pt idx="40">
                  <c:v>70</c:v>
                </c:pt>
                <c:pt idx="41">
                  <c:v>28.86598</c:v>
                </c:pt>
                <c:pt idx="42">
                  <c:v>30.4878</c:v>
                </c:pt>
                <c:pt idx="43">
                  <c:v>32.857140000000001</c:v>
                </c:pt>
                <c:pt idx="44">
                  <c:v>74.025970000000001</c:v>
                </c:pt>
                <c:pt idx="45">
                  <c:v>52</c:v>
                </c:pt>
                <c:pt idx="46">
                  <c:v>17.021280000000001</c:v>
                </c:pt>
                <c:pt idx="47">
                  <c:v>4.9180330000000003</c:v>
                </c:pt>
                <c:pt idx="48">
                  <c:v>8.6419750000000004</c:v>
                </c:pt>
                <c:pt idx="49">
                  <c:v>15.68627</c:v>
                </c:pt>
                <c:pt idx="50">
                  <c:v>12.06897</c:v>
                </c:pt>
                <c:pt idx="51">
                  <c:v>7.1428570000000002</c:v>
                </c:pt>
                <c:pt idx="52">
                  <c:v>47.00855</c:v>
                </c:pt>
                <c:pt idx="53">
                  <c:v>24.242419999999999</c:v>
                </c:pt>
                <c:pt idx="54">
                  <c:v>9.0909089999999999</c:v>
                </c:pt>
                <c:pt idx="55">
                  <c:v>28.125</c:v>
                </c:pt>
                <c:pt idx="56">
                  <c:v>58.333329999999997</c:v>
                </c:pt>
                <c:pt idx="57">
                  <c:v>26.086960000000001</c:v>
                </c:pt>
                <c:pt idx="58">
                  <c:v>4.6632119999999997</c:v>
                </c:pt>
                <c:pt idx="59">
                  <c:v>7.5144510000000002</c:v>
                </c:pt>
                <c:pt idx="60">
                  <c:v>33.333329999999997</c:v>
                </c:pt>
                <c:pt idx="61">
                  <c:v>17.021280000000001</c:v>
                </c:pt>
                <c:pt idx="62">
                  <c:v>4.8780489999999999</c:v>
                </c:pt>
                <c:pt idx="63">
                  <c:v>4</c:v>
                </c:pt>
                <c:pt idx="64">
                  <c:v>15</c:v>
                </c:pt>
                <c:pt idx="65">
                  <c:v>23.140499999999999</c:v>
                </c:pt>
                <c:pt idx="66">
                  <c:v>30.496449999999999</c:v>
                </c:pt>
                <c:pt idx="67">
                  <c:v>38.888890000000004</c:v>
                </c:pt>
                <c:pt idx="68">
                  <c:v>7.1428570000000002</c:v>
                </c:pt>
                <c:pt idx="69">
                  <c:v>6.8965519999999998</c:v>
                </c:pt>
                <c:pt idx="70">
                  <c:v>64.615390000000005</c:v>
                </c:pt>
                <c:pt idx="71">
                  <c:v>60</c:v>
                </c:pt>
                <c:pt idx="72">
                  <c:v>4.9180330000000003</c:v>
                </c:pt>
                <c:pt idx="73">
                  <c:v>25.36232</c:v>
                </c:pt>
                <c:pt idx="74">
                  <c:v>60</c:v>
                </c:pt>
                <c:pt idx="75">
                  <c:v>40.322580000000002</c:v>
                </c:pt>
                <c:pt idx="76">
                  <c:v>18.103449999999999</c:v>
                </c:pt>
                <c:pt idx="77">
                  <c:v>54.166670000000003</c:v>
                </c:pt>
                <c:pt idx="78">
                  <c:v>38.461539999999999</c:v>
                </c:pt>
                <c:pt idx="79">
                  <c:v>54.054049999999997</c:v>
                </c:pt>
                <c:pt idx="80">
                  <c:v>27.272729999999999</c:v>
                </c:pt>
                <c:pt idx="81">
                  <c:v>19.5122</c:v>
                </c:pt>
                <c:pt idx="82">
                  <c:v>39.13044</c:v>
                </c:pt>
                <c:pt idx="83">
                  <c:v>34.361229999999999</c:v>
                </c:pt>
                <c:pt idx="84">
                  <c:v>21.052630000000001</c:v>
                </c:pt>
                <c:pt idx="85">
                  <c:v>0</c:v>
                </c:pt>
                <c:pt idx="86">
                  <c:v>51.612900000000003</c:v>
                </c:pt>
                <c:pt idx="87">
                  <c:v>80.487809999999996</c:v>
                </c:pt>
                <c:pt idx="88">
                  <c:v>82.191779999999994</c:v>
                </c:pt>
                <c:pt idx="89">
                  <c:v>35.89743</c:v>
                </c:pt>
                <c:pt idx="90">
                  <c:v>34.782609999999998</c:v>
                </c:pt>
                <c:pt idx="91">
                  <c:v>37.93103</c:v>
                </c:pt>
                <c:pt idx="92">
                  <c:v>27.21894</c:v>
                </c:pt>
                <c:pt idx="93">
                  <c:v>43.333329999999997</c:v>
                </c:pt>
                <c:pt idx="94">
                  <c:v>60.86956</c:v>
                </c:pt>
                <c:pt idx="95">
                  <c:v>75</c:v>
                </c:pt>
                <c:pt idx="96">
                  <c:v>76.595740000000006</c:v>
                </c:pt>
                <c:pt idx="97">
                  <c:v>3.3333330000000001</c:v>
                </c:pt>
                <c:pt idx="98">
                  <c:v>53.719009999999997</c:v>
                </c:pt>
                <c:pt idx="99">
                  <c:v>33.333329999999997</c:v>
                </c:pt>
                <c:pt idx="100">
                  <c:v>48.484850000000002</c:v>
                </c:pt>
                <c:pt idx="101">
                  <c:v>45.833329999999997</c:v>
                </c:pt>
                <c:pt idx="102">
                  <c:v>56.962020000000003</c:v>
                </c:pt>
                <c:pt idx="103">
                  <c:v>39.361699999999999</c:v>
                </c:pt>
                <c:pt idx="104">
                  <c:v>11.764709999999999</c:v>
                </c:pt>
                <c:pt idx="105">
                  <c:v>30</c:v>
                </c:pt>
                <c:pt idx="106">
                  <c:v>42.201839999999997</c:v>
                </c:pt>
                <c:pt idx="107">
                  <c:v>81.818179999999998</c:v>
                </c:pt>
                <c:pt idx="108">
                  <c:v>25</c:v>
                </c:pt>
                <c:pt idx="109">
                  <c:v>51.807229999999997</c:v>
                </c:pt>
                <c:pt idx="110">
                  <c:v>13.1579</c:v>
                </c:pt>
                <c:pt idx="111">
                  <c:v>10.43956</c:v>
                </c:pt>
                <c:pt idx="112">
                  <c:v>16.66667</c:v>
                </c:pt>
                <c:pt idx="113">
                  <c:v>30.909089999999999</c:v>
                </c:pt>
                <c:pt idx="114">
                  <c:v>0</c:v>
                </c:pt>
                <c:pt idx="115">
                  <c:v>33.333329999999997</c:v>
                </c:pt>
                <c:pt idx="116">
                  <c:v>48.611109999999996</c:v>
                </c:pt>
                <c:pt idx="117">
                  <c:v>25.233640000000001</c:v>
                </c:pt>
                <c:pt idx="118">
                  <c:v>3.9119799999999998</c:v>
                </c:pt>
                <c:pt idx="119">
                  <c:v>16.66667</c:v>
                </c:pt>
                <c:pt idx="120">
                  <c:v>40</c:v>
                </c:pt>
                <c:pt idx="121">
                  <c:v>10</c:v>
                </c:pt>
                <c:pt idx="122">
                  <c:v>11.428570000000001</c:v>
                </c:pt>
                <c:pt idx="123">
                  <c:v>31.707319999999999</c:v>
                </c:pt>
                <c:pt idx="124">
                  <c:v>25</c:v>
                </c:pt>
                <c:pt idx="125">
                  <c:v>24.66667</c:v>
                </c:pt>
                <c:pt idx="126">
                  <c:v>25</c:v>
                </c:pt>
                <c:pt idx="127">
                  <c:v>41.584159999999997</c:v>
                </c:pt>
                <c:pt idx="128">
                  <c:v>72.093029999999999</c:v>
                </c:pt>
                <c:pt idx="129">
                  <c:v>10.256410000000001</c:v>
                </c:pt>
                <c:pt idx="130">
                  <c:v>58.620690000000003</c:v>
                </c:pt>
                <c:pt idx="131">
                  <c:v>10.7438</c:v>
                </c:pt>
                <c:pt idx="132">
                  <c:v>50.925930000000001</c:v>
                </c:pt>
                <c:pt idx="133">
                  <c:v>28.571429999999999</c:v>
                </c:pt>
                <c:pt idx="134">
                  <c:v>30</c:v>
                </c:pt>
                <c:pt idx="135">
                  <c:v>33.333329999999997</c:v>
                </c:pt>
                <c:pt idx="136">
                  <c:v>10.81081</c:v>
                </c:pt>
                <c:pt idx="137">
                  <c:v>15.21739</c:v>
                </c:pt>
                <c:pt idx="138">
                  <c:v>50</c:v>
                </c:pt>
                <c:pt idx="139">
                  <c:v>11.58301</c:v>
                </c:pt>
                <c:pt idx="140">
                  <c:v>25.641030000000001</c:v>
                </c:pt>
                <c:pt idx="141">
                  <c:v>21.100919999999999</c:v>
                </c:pt>
                <c:pt idx="142">
                  <c:v>22.22222</c:v>
                </c:pt>
                <c:pt idx="143">
                  <c:v>17.045449999999999</c:v>
                </c:pt>
                <c:pt idx="144">
                  <c:v>10.8</c:v>
                </c:pt>
                <c:pt idx="145">
                  <c:v>36</c:v>
                </c:pt>
                <c:pt idx="146">
                  <c:v>68</c:v>
                </c:pt>
                <c:pt idx="147">
                  <c:v>27.272729999999999</c:v>
                </c:pt>
                <c:pt idx="148">
                  <c:v>62.5</c:v>
                </c:pt>
                <c:pt idx="149">
                  <c:v>40.909089999999999</c:v>
                </c:pt>
                <c:pt idx="150">
                  <c:v>52.380949999999999</c:v>
                </c:pt>
                <c:pt idx="151">
                  <c:v>33.333329999999997</c:v>
                </c:pt>
                <c:pt idx="152">
                  <c:v>27.92793</c:v>
                </c:pt>
                <c:pt idx="153">
                  <c:v>33.766240000000003</c:v>
                </c:pt>
                <c:pt idx="154">
                  <c:v>80.645160000000004</c:v>
                </c:pt>
                <c:pt idx="155">
                  <c:v>33.333329999999997</c:v>
                </c:pt>
                <c:pt idx="156">
                  <c:v>47.36842</c:v>
                </c:pt>
                <c:pt idx="157">
                  <c:v>31.578949999999999</c:v>
                </c:pt>
                <c:pt idx="158">
                  <c:v>20.967739999999999</c:v>
                </c:pt>
                <c:pt idx="159">
                  <c:v>8</c:v>
                </c:pt>
                <c:pt idx="160">
                  <c:v>39.080460000000002</c:v>
                </c:pt>
                <c:pt idx="161">
                  <c:v>29.629629999999999</c:v>
                </c:pt>
                <c:pt idx="162">
                  <c:v>23.809519999999999</c:v>
                </c:pt>
                <c:pt idx="163">
                  <c:v>14.28571</c:v>
                </c:pt>
              </c:numCache>
            </c:numRef>
          </c:yVal>
          <c:bubbleSize>
            <c:numRef>
              <c:f>Hárok1!$F$2:$F$165</c:f>
              <c:numCache>
                <c:formatCode>General</c:formatCode>
                <c:ptCount val="164"/>
                <c:pt idx="0">
                  <c:v>22</c:v>
                </c:pt>
                <c:pt idx="1">
                  <c:v>22</c:v>
                </c:pt>
                <c:pt idx="2">
                  <c:v>21</c:v>
                </c:pt>
                <c:pt idx="3">
                  <c:v>53</c:v>
                </c:pt>
                <c:pt idx="4">
                  <c:v>34</c:v>
                </c:pt>
                <c:pt idx="5">
                  <c:v>26</c:v>
                </c:pt>
                <c:pt idx="6">
                  <c:v>125</c:v>
                </c:pt>
                <c:pt idx="7">
                  <c:v>25</c:v>
                </c:pt>
                <c:pt idx="8">
                  <c:v>63</c:v>
                </c:pt>
                <c:pt idx="9">
                  <c:v>27</c:v>
                </c:pt>
                <c:pt idx="10">
                  <c:v>27</c:v>
                </c:pt>
                <c:pt idx="11">
                  <c:v>31</c:v>
                </c:pt>
                <c:pt idx="12">
                  <c:v>22</c:v>
                </c:pt>
                <c:pt idx="13">
                  <c:v>40</c:v>
                </c:pt>
                <c:pt idx="14">
                  <c:v>24</c:v>
                </c:pt>
                <c:pt idx="15">
                  <c:v>137</c:v>
                </c:pt>
                <c:pt idx="16">
                  <c:v>39</c:v>
                </c:pt>
                <c:pt idx="17">
                  <c:v>57</c:v>
                </c:pt>
                <c:pt idx="18">
                  <c:v>43</c:v>
                </c:pt>
                <c:pt idx="19">
                  <c:v>25</c:v>
                </c:pt>
                <c:pt idx="20">
                  <c:v>33</c:v>
                </c:pt>
                <c:pt idx="21">
                  <c:v>71</c:v>
                </c:pt>
                <c:pt idx="22">
                  <c:v>28</c:v>
                </c:pt>
                <c:pt idx="23">
                  <c:v>26</c:v>
                </c:pt>
                <c:pt idx="24">
                  <c:v>32</c:v>
                </c:pt>
                <c:pt idx="25">
                  <c:v>29</c:v>
                </c:pt>
                <c:pt idx="26">
                  <c:v>70</c:v>
                </c:pt>
                <c:pt idx="27">
                  <c:v>136</c:v>
                </c:pt>
                <c:pt idx="28">
                  <c:v>24</c:v>
                </c:pt>
                <c:pt idx="29">
                  <c:v>65</c:v>
                </c:pt>
                <c:pt idx="30">
                  <c:v>28</c:v>
                </c:pt>
                <c:pt idx="31">
                  <c:v>22</c:v>
                </c:pt>
                <c:pt idx="32">
                  <c:v>76</c:v>
                </c:pt>
                <c:pt idx="33">
                  <c:v>97</c:v>
                </c:pt>
                <c:pt idx="34">
                  <c:v>63</c:v>
                </c:pt>
                <c:pt idx="35">
                  <c:v>20</c:v>
                </c:pt>
                <c:pt idx="36">
                  <c:v>131</c:v>
                </c:pt>
                <c:pt idx="37">
                  <c:v>56</c:v>
                </c:pt>
                <c:pt idx="38">
                  <c:v>54</c:v>
                </c:pt>
                <c:pt idx="39">
                  <c:v>33</c:v>
                </c:pt>
                <c:pt idx="40">
                  <c:v>20</c:v>
                </c:pt>
                <c:pt idx="41">
                  <c:v>97</c:v>
                </c:pt>
                <c:pt idx="42">
                  <c:v>82</c:v>
                </c:pt>
                <c:pt idx="43">
                  <c:v>70</c:v>
                </c:pt>
                <c:pt idx="44">
                  <c:v>77</c:v>
                </c:pt>
                <c:pt idx="45">
                  <c:v>25</c:v>
                </c:pt>
                <c:pt idx="46">
                  <c:v>47</c:v>
                </c:pt>
                <c:pt idx="47">
                  <c:v>61</c:v>
                </c:pt>
                <c:pt idx="48">
                  <c:v>81</c:v>
                </c:pt>
                <c:pt idx="49">
                  <c:v>51</c:v>
                </c:pt>
                <c:pt idx="50">
                  <c:v>58</c:v>
                </c:pt>
                <c:pt idx="51">
                  <c:v>28</c:v>
                </c:pt>
                <c:pt idx="52">
                  <c:v>117</c:v>
                </c:pt>
                <c:pt idx="53">
                  <c:v>264</c:v>
                </c:pt>
                <c:pt idx="54">
                  <c:v>33</c:v>
                </c:pt>
                <c:pt idx="55">
                  <c:v>32</c:v>
                </c:pt>
                <c:pt idx="56">
                  <c:v>24</c:v>
                </c:pt>
                <c:pt idx="57">
                  <c:v>23</c:v>
                </c:pt>
                <c:pt idx="58">
                  <c:v>193</c:v>
                </c:pt>
                <c:pt idx="59">
                  <c:v>173</c:v>
                </c:pt>
                <c:pt idx="60">
                  <c:v>27</c:v>
                </c:pt>
                <c:pt idx="61">
                  <c:v>47</c:v>
                </c:pt>
                <c:pt idx="62">
                  <c:v>41</c:v>
                </c:pt>
                <c:pt idx="63">
                  <c:v>75</c:v>
                </c:pt>
                <c:pt idx="64">
                  <c:v>60</c:v>
                </c:pt>
                <c:pt idx="65">
                  <c:v>121</c:v>
                </c:pt>
                <c:pt idx="66">
                  <c:v>141</c:v>
                </c:pt>
                <c:pt idx="67">
                  <c:v>108</c:v>
                </c:pt>
                <c:pt idx="68">
                  <c:v>56</c:v>
                </c:pt>
                <c:pt idx="69">
                  <c:v>58</c:v>
                </c:pt>
                <c:pt idx="70">
                  <c:v>195</c:v>
                </c:pt>
                <c:pt idx="71">
                  <c:v>25</c:v>
                </c:pt>
                <c:pt idx="72">
                  <c:v>122</c:v>
                </c:pt>
                <c:pt idx="73">
                  <c:v>138</c:v>
                </c:pt>
                <c:pt idx="74">
                  <c:v>30</c:v>
                </c:pt>
                <c:pt idx="75">
                  <c:v>62</c:v>
                </c:pt>
                <c:pt idx="76">
                  <c:v>116</c:v>
                </c:pt>
                <c:pt idx="77">
                  <c:v>24</c:v>
                </c:pt>
                <c:pt idx="78">
                  <c:v>26</c:v>
                </c:pt>
                <c:pt idx="79">
                  <c:v>37</c:v>
                </c:pt>
                <c:pt idx="80">
                  <c:v>22</c:v>
                </c:pt>
                <c:pt idx="81">
                  <c:v>41</c:v>
                </c:pt>
                <c:pt idx="82">
                  <c:v>23</c:v>
                </c:pt>
                <c:pt idx="83">
                  <c:v>227</c:v>
                </c:pt>
                <c:pt idx="84">
                  <c:v>57</c:v>
                </c:pt>
                <c:pt idx="85">
                  <c:v>21</c:v>
                </c:pt>
                <c:pt idx="86">
                  <c:v>31</c:v>
                </c:pt>
                <c:pt idx="87">
                  <c:v>41</c:v>
                </c:pt>
                <c:pt idx="88">
                  <c:v>73</c:v>
                </c:pt>
                <c:pt idx="89">
                  <c:v>78</c:v>
                </c:pt>
                <c:pt idx="90">
                  <c:v>23</c:v>
                </c:pt>
                <c:pt idx="91">
                  <c:v>116</c:v>
                </c:pt>
                <c:pt idx="92">
                  <c:v>169</c:v>
                </c:pt>
                <c:pt idx="93">
                  <c:v>30</c:v>
                </c:pt>
                <c:pt idx="94">
                  <c:v>23</c:v>
                </c:pt>
                <c:pt idx="95">
                  <c:v>20</c:v>
                </c:pt>
                <c:pt idx="96">
                  <c:v>47</c:v>
                </c:pt>
                <c:pt idx="97">
                  <c:v>30</c:v>
                </c:pt>
                <c:pt idx="98">
                  <c:v>121</c:v>
                </c:pt>
                <c:pt idx="99">
                  <c:v>123</c:v>
                </c:pt>
                <c:pt idx="100">
                  <c:v>33</c:v>
                </c:pt>
                <c:pt idx="101">
                  <c:v>24</c:v>
                </c:pt>
                <c:pt idx="102">
                  <c:v>79</c:v>
                </c:pt>
                <c:pt idx="103">
                  <c:v>94</c:v>
                </c:pt>
                <c:pt idx="104">
                  <c:v>34</c:v>
                </c:pt>
                <c:pt idx="105">
                  <c:v>20</c:v>
                </c:pt>
                <c:pt idx="106">
                  <c:v>218</c:v>
                </c:pt>
                <c:pt idx="107">
                  <c:v>33</c:v>
                </c:pt>
                <c:pt idx="108">
                  <c:v>20</c:v>
                </c:pt>
                <c:pt idx="109">
                  <c:v>83</c:v>
                </c:pt>
                <c:pt idx="110">
                  <c:v>38</c:v>
                </c:pt>
                <c:pt idx="111">
                  <c:v>182</c:v>
                </c:pt>
                <c:pt idx="112">
                  <c:v>30</c:v>
                </c:pt>
                <c:pt idx="113">
                  <c:v>55</c:v>
                </c:pt>
                <c:pt idx="114">
                  <c:v>41</c:v>
                </c:pt>
                <c:pt idx="115">
                  <c:v>75</c:v>
                </c:pt>
                <c:pt idx="116">
                  <c:v>72</c:v>
                </c:pt>
                <c:pt idx="117">
                  <c:v>107</c:v>
                </c:pt>
                <c:pt idx="118">
                  <c:v>409</c:v>
                </c:pt>
                <c:pt idx="119">
                  <c:v>24</c:v>
                </c:pt>
                <c:pt idx="120">
                  <c:v>75</c:v>
                </c:pt>
                <c:pt idx="121">
                  <c:v>20</c:v>
                </c:pt>
                <c:pt idx="122">
                  <c:v>35</c:v>
                </c:pt>
                <c:pt idx="123">
                  <c:v>41</c:v>
                </c:pt>
                <c:pt idx="124">
                  <c:v>28</c:v>
                </c:pt>
                <c:pt idx="125">
                  <c:v>150</c:v>
                </c:pt>
                <c:pt idx="126">
                  <c:v>24</c:v>
                </c:pt>
                <c:pt idx="127">
                  <c:v>101</c:v>
                </c:pt>
                <c:pt idx="128">
                  <c:v>43</c:v>
                </c:pt>
                <c:pt idx="129">
                  <c:v>39</c:v>
                </c:pt>
                <c:pt idx="130">
                  <c:v>87</c:v>
                </c:pt>
                <c:pt idx="131">
                  <c:v>121</c:v>
                </c:pt>
                <c:pt idx="132">
                  <c:v>108</c:v>
                </c:pt>
                <c:pt idx="133">
                  <c:v>56</c:v>
                </c:pt>
                <c:pt idx="134">
                  <c:v>20</c:v>
                </c:pt>
                <c:pt idx="135">
                  <c:v>21</c:v>
                </c:pt>
                <c:pt idx="136">
                  <c:v>185</c:v>
                </c:pt>
                <c:pt idx="137">
                  <c:v>46</c:v>
                </c:pt>
                <c:pt idx="138">
                  <c:v>178</c:v>
                </c:pt>
                <c:pt idx="139">
                  <c:v>259</c:v>
                </c:pt>
                <c:pt idx="140">
                  <c:v>39</c:v>
                </c:pt>
                <c:pt idx="141">
                  <c:v>218</c:v>
                </c:pt>
                <c:pt idx="142">
                  <c:v>27</c:v>
                </c:pt>
                <c:pt idx="143">
                  <c:v>88</c:v>
                </c:pt>
                <c:pt idx="144">
                  <c:v>250</c:v>
                </c:pt>
                <c:pt idx="145">
                  <c:v>25</c:v>
                </c:pt>
                <c:pt idx="146">
                  <c:v>50</c:v>
                </c:pt>
                <c:pt idx="147">
                  <c:v>33</c:v>
                </c:pt>
                <c:pt idx="148">
                  <c:v>48</c:v>
                </c:pt>
                <c:pt idx="149">
                  <c:v>66</c:v>
                </c:pt>
                <c:pt idx="150">
                  <c:v>63</c:v>
                </c:pt>
                <c:pt idx="151">
                  <c:v>48</c:v>
                </c:pt>
                <c:pt idx="152">
                  <c:v>111</c:v>
                </c:pt>
                <c:pt idx="153">
                  <c:v>77</c:v>
                </c:pt>
                <c:pt idx="154">
                  <c:v>31</c:v>
                </c:pt>
                <c:pt idx="155">
                  <c:v>87</c:v>
                </c:pt>
                <c:pt idx="156">
                  <c:v>76</c:v>
                </c:pt>
                <c:pt idx="157">
                  <c:v>38</c:v>
                </c:pt>
                <c:pt idx="158">
                  <c:v>62</c:v>
                </c:pt>
                <c:pt idx="159">
                  <c:v>50</c:v>
                </c:pt>
                <c:pt idx="160">
                  <c:v>174</c:v>
                </c:pt>
                <c:pt idx="161">
                  <c:v>27</c:v>
                </c:pt>
                <c:pt idx="162">
                  <c:v>21</c:v>
                </c:pt>
                <c:pt idx="163">
                  <c:v>49</c:v>
                </c:pt>
              </c:numCache>
            </c:numRef>
          </c:bubbleSize>
          <c:bubble3D val="0"/>
          <c:extLst xmlns:c16r2="http://schemas.microsoft.com/office/drawing/2015/06/chart">
            <c:ext xmlns:c16="http://schemas.microsoft.com/office/drawing/2014/chart" uri="{C3380CC4-5D6E-409C-BE32-E72D297353CC}">
              <c16:uniqueId val="{00000001-F63E-432C-8410-0038C2A5963E}"/>
            </c:ext>
          </c:extLst>
        </c:ser>
        <c:dLbls>
          <c:showLegendKey val="0"/>
          <c:showVal val="0"/>
          <c:showCatName val="0"/>
          <c:showSerName val="0"/>
          <c:showPercent val="0"/>
          <c:showBubbleSize val="0"/>
        </c:dLbls>
        <c:bubbleScale val="20"/>
        <c:showNegBubbles val="0"/>
        <c:axId val="220269088"/>
        <c:axId val="220078152"/>
      </c:bubbleChart>
      <c:valAx>
        <c:axId val="220269088"/>
        <c:scaling>
          <c:orientation val="minMax"/>
        </c:scaling>
        <c:delete val="0"/>
        <c:axPos val="b"/>
        <c:majorGridlines>
          <c:spPr>
            <a:ln w="9525" cap="flat" cmpd="sng" algn="ctr">
              <a:solidFill>
                <a:schemeClr val="tx1">
                  <a:lumMod val="15000"/>
                  <a:lumOff val="85000"/>
                </a:schemeClr>
              </a:solidFill>
              <a:prstDash val="dash"/>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r>
                  <a:rPr lang="en-US">
                    <a:solidFill>
                      <a:sysClr val="windowText" lastClr="000000"/>
                    </a:solidFill>
                    <a:latin typeface="Arial Narrow" panose="020B0606020202030204" pitchFamily="34" charset="0"/>
                  </a:rPr>
                  <a:t>Kapacita MŠ ako % všetkých detí v obci</a:t>
                </a:r>
              </a:p>
            </c:rich>
          </c:tx>
          <c:layout>
            <c:manualLayout>
              <c:xMode val="edge"/>
              <c:yMode val="edge"/>
              <c:x val="0.20797605562462587"/>
              <c:y val="0.9246608414454522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0078152"/>
        <c:crosses val="autoZero"/>
        <c:crossBetween val="midCat"/>
        <c:majorUnit val="20"/>
      </c:valAx>
      <c:valAx>
        <c:axId val="220078152"/>
        <c:scaling>
          <c:orientation val="minMax"/>
          <c:max val="100"/>
          <c:min val="0"/>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r>
                  <a:rPr lang="en-US">
                    <a:solidFill>
                      <a:sysClr val="windowText" lastClr="000000"/>
                    </a:solidFill>
                    <a:latin typeface="Arial Narrow" panose="020B0606020202030204" pitchFamily="34" charset="0"/>
                  </a:rPr>
                  <a:t>Zaškolenosť (</a:t>
                </a:r>
                <a:r>
                  <a:rPr lang="sk-SK">
                    <a:solidFill>
                      <a:sysClr val="windowText" lastClr="000000"/>
                    </a:solidFill>
                    <a:latin typeface="Arial Narrow" panose="020B0606020202030204" pitchFamily="34" charset="0"/>
                  </a:rPr>
                  <a:t>3-5 rokov, </a:t>
                </a:r>
                <a:r>
                  <a:rPr lang="en-US">
                    <a:solidFill>
                      <a:sysClr val="windowText" lastClr="000000"/>
                    </a:solidFill>
                    <a:latin typeface="Arial Narrow" panose="020B0606020202030204" pitchFamily="34" charset="0"/>
                  </a:rPr>
                  <a:t>%)</a:t>
                </a:r>
              </a:p>
            </c:rich>
          </c:tx>
          <c:layout>
            <c:manualLayout>
              <c:xMode val="edge"/>
              <c:yMode val="edge"/>
              <c:x val="0"/>
              <c:y val="0.1987845808067094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026908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435503488893155E-2"/>
          <c:y val="5.0925925925925923E-2"/>
          <c:w val="0.85784904935663531"/>
          <c:h val="0.76852745009204515"/>
        </c:manualLayout>
      </c:layout>
      <c:barChart>
        <c:barDir val="col"/>
        <c:grouping val="stacked"/>
        <c:varyColors val="0"/>
        <c:ser>
          <c:idx val="0"/>
          <c:order val="0"/>
          <c:tx>
            <c:strRef>
              <c:f>'Podiel skupin podla rocnika'!$W$14</c:f>
              <c:strCache>
                <c:ptCount val="1"/>
                <c:pt idx="0">
                  <c:v>SZP, MRK</c:v>
                </c:pt>
              </c:strCache>
            </c:strRef>
          </c:tx>
          <c:spPr>
            <a:solidFill>
              <a:schemeClr val="accent5">
                <a:lumMod val="75000"/>
              </a:schemeClr>
            </a:solidFill>
            <a:ln>
              <a:noFill/>
            </a:ln>
            <a:effectLst/>
          </c:spPr>
          <c:invertIfNegative val="0"/>
          <c:cat>
            <c:numRef>
              <c:f>'Podiel skupin podla rocnika'!$A$15:$A$23</c:f>
              <c:numCache>
                <c:formatCode>General</c:formatCode>
                <c:ptCount val="9"/>
                <c:pt idx="0">
                  <c:v>1</c:v>
                </c:pt>
                <c:pt idx="1">
                  <c:v>2</c:v>
                </c:pt>
                <c:pt idx="2">
                  <c:v>3</c:v>
                </c:pt>
                <c:pt idx="3">
                  <c:v>4</c:v>
                </c:pt>
                <c:pt idx="4">
                  <c:v>5</c:v>
                </c:pt>
                <c:pt idx="5">
                  <c:v>6</c:v>
                </c:pt>
                <c:pt idx="6">
                  <c:v>7</c:v>
                </c:pt>
                <c:pt idx="7">
                  <c:v>8</c:v>
                </c:pt>
                <c:pt idx="8">
                  <c:v>9</c:v>
                </c:pt>
              </c:numCache>
            </c:numRef>
          </c:cat>
          <c:val>
            <c:numRef>
              <c:f>'Podiel skupin podla rocnika'!$W$15:$W$23</c:f>
              <c:numCache>
                <c:formatCode>General</c:formatCode>
                <c:ptCount val="9"/>
                <c:pt idx="0">
                  <c:v>8.914666237044198</c:v>
                </c:pt>
                <c:pt idx="1">
                  <c:v>7.1461317000715168</c:v>
                </c:pt>
                <c:pt idx="2">
                  <c:v>6.849365526640514</c:v>
                </c:pt>
                <c:pt idx="3">
                  <c:v>6.0862198795180724</c:v>
                </c:pt>
                <c:pt idx="4">
                  <c:v>6.189627870150435</c:v>
                </c:pt>
                <c:pt idx="5">
                  <c:v>6.0719574875860269</c:v>
                </c:pt>
                <c:pt idx="6">
                  <c:v>5.2208653016752171</c:v>
                </c:pt>
                <c:pt idx="7">
                  <c:v>4.4720178787596607</c:v>
                </c:pt>
                <c:pt idx="8">
                  <c:v>2.9108078659264254</c:v>
                </c:pt>
              </c:numCache>
            </c:numRef>
          </c:val>
          <c:extLst xmlns:c16r2="http://schemas.microsoft.com/office/drawing/2015/06/chart">
            <c:ext xmlns:c16="http://schemas.microsoft.com/office/drawing/2014/chart" uri="{C3380CC4-5D6E-409C-BE32-E72D297353CC}">
              <c16:uniqueId val="{00000000-089C-4C04-AEE1-D37D3EEF914A}"/>
            </c:ext>
          </c:extLst>
        </c:ser>
        <c:ser>
          <c:idx val="1"/>
          <c:order val="1"/>
          <c:tx>
            <c:strRef>
              <c:f>'Podiel skupin podla rocnika'!$X$14</c:f>
              <c:strCache>
                <c:ptCount val="1"/>
                <c:pt idx="0">
                  <c:v>mimo SZP, MRK</c:v>
                </c:pt>
              </c:strCache>
            </c:strRef>
          </c:tx>
          <c:spPr>
            <a:solidFill>
              <a:schemeClr val="accent1"/>
            </a:solidFill>
            <a:ln>
              <a:noFill/>
            </a:ln>
            <a:effectLst/>
          </c:spPr>
          <c:invertIfNegative val="0"/>
          <c:cat>
            <c:numRef>
              <c:f>'Podiel skupin podla rocnika'!$A$15:$A$23</c:f>
              <c:numCache>
                <c:formatCode>General</c:formatCode>
                <c:ptCount val="9"/>
                <c:pt idx="0">
                  <c:v>1</c:v>
                </c:pt>
                <c:pt idx="1">
                  <c:v>2</c:v>
                </c:pt>
                <c:pt idx="2">
                  <c:v>3</c:v>
                </c:pt>
                <c:pt idx="3">
                  <c:v>4</c:v>
                </c:pt>
                <c:pt idx="4">
                  <c:v>5</c:v>
                </c:pt>
                <c:pt idx="5">
                  <c:v>6</c:v>
                </c:pt>
                <c:pt idx="6">
                  <c:v>7</c:v>
                </c:pt>
                <c:pt idx="7">
                  <c:v>8</c:v>
                </c:pt>
                <c:pt idx="8">
                  <c:v>9</c:v>
                </c:pt>
              </c:numCache>
            </c:numRef>
          </c:cat>
          <c:val>
            <c:numRef>
              <c:f>'Podiel skupin podla rocnika'!$X$15:$X$23</c:f>
              <c:numCache>
                <c:formatCode>General</c:formatCode>
                <c:ptCount val="9"/>
                <c:pt idx="0">
                  <c:v>4.0581422408391958</c:v>
                </c:pt>
                <c:pt idx="1">
                  <c:v>3.7170153851796162</c:v>
                </c:pt>
                <c:pt idx="2">
                  <c:v>3.7073871484612408</c:v>
                </c:pt>
                <c:pt idx="3">
                  <c:v>4.2168674698795181</c:v>
                </c:pt>
                <c:pt idx="4">
                  <c:v>3.9627870150435469</c:v>
                </c:pt>
                <c:pt idx="5">
                  <c:v>4.2251067166129452</c:v>
                </c:pt>
                <c:pt idx="6">
                  <c:v>3.9701275707086756</c:v>
                </c:pt>
                <c:pt idx="7">
                  <c:v>3.589719713194897</c:v>
                </c:pt>
                <c:pt idx="8">
                  <c:v>2.9808540445182379</c:v>
                </c:pt>
              </c:numCache>
            </c:numRef>
          </c:val>
          <c:extLst xmlns:c16r2="http://schemas.microsoft.com/office/drawing/2015/06/chart">
            <c:ext xmlns:c16="http://schemas.microsoft.com/office/drawing/2014/chart" uri="{C3380CC4-5D6E-409C-BE32-E72D297353CC}">
              <c16:uniqueId val="{00000001-089C-4C04-AEE1-D37D3EEF914A}"/>
            </c:ext>
          </c:extLst>
        </c:ser>
        <c:ser>
          <c:idx val="2"/>
          <c:order val="2"/>
          <c:tx>
            <c:strRef>
              <c:f>'Podiel skupin podla rocnika'!$Y$14</c:f>
              <c:strCache>
                <c:ptCount val="1"/>
                <c:pt idx="0">
                  <c:v>SZP, mimo MRK</c:v>
                </c:pt>
              </c:strCache>
            </c:strRef>
          </c:tx>
          <c:spPr>
            <a:solidFill>
              <a:schemeClr val="accent3"/>
            </a:solidFill>
            <a:ln>
              <a:noFill/>
            </a:ln>
            <a:effectLst/>
          </c:spPr>
          <c:invertIfNegative val="0"/>
          <c:cat>
            <c:numRef>
              <c:f>'Podiel skupin podla rocnika'!$A$15:$A$23</c:f>
              <c:numCache>
                <c:formatCode>General</c:formatCode>
                <c:ptCount val="9"/>
                <c:pt idx="0">
                  <c:v>1</c:v>
                </c:pt>
                <c:pt idx="1">
                  <c:v>2</c:v>
                </c:pt>
                <c:pt idx="2">
                  <c:v>3</c:v>
                </c:pt>
                <c:pt idx="3">
                  <c:v>4</c:v>
                </c:pt>
                <c:pt idx="4">
                  <c:v>5</c:v>
                </c:pt>
                <c:pt idx="5">
                  <c:v>6</c:v>
                </c:pt>
                <c:pt idx="6">
                  <c:v>7</c:v>
                </c:pt>
                <c:pt idx="7">
                  <c:v>8</c:v>
                </c:pt>
                <c:pt idx="8">
                  <c:v>9</c:v>
                </c:pt>
              </c:numCache>
            </c:numRef>
          </c:cat>
          <c:val>
            <c:numRef>
              <c:f>'Podiel skupin podla rocnika'!$Y$15:$Y$23</c:f>
              <c:numCache>
                <c:formatCode>General</c:formatCode>
                <c:ptCount val="9"/>
                <c:pt idx="0">
                  <c:v>5.6047831301577071</c:v>
                </c:pt>
                <c:pt idx="1">
                  <c:v>5.0959969192965726</c:v>
                </c:pt>
                <c:pt idx="2">
                  <c:v>4.8400464114039448</c:v>
                </c:pt>
                <c:pt idx="3">
                  <c:v>4.7552710843373491</c:v>
                </c:pt>
                <c:pt idx="4">
                  <c:v>4.9109263657957243</c:v>
                </c:pt>
                <c:pt idx="5">
                  <c:v>5.0483491593344372</c:v>
                </c:pt>
                <c:pt idx="6">
                  <c:v>5.123257819948245</c:v>
                </c:pt>
                <c:pt idx="7">
                  <c:v>4.3276841419126546</c:v>
                </c:pt>
                <c:pt idx="8">
                  <c:v>3.7435791002957504</c:v>
                </c:pt>
              </c:numCache>
            </c:numRef>
          </c:val>
          <c:extLst xmlns:c16r2="http://schemas.microsoft.com/office/drawing/2015/06/chart">
            <c:ext xmlns:c16="http://schemas.microsoft.com/office/drawing/2014/chart" uri="{C3380CC4-5D6E-409C-BE32-E72D297353CC}">
              <c16:uniqueId val="{00000002-089C-4C04-AEE1-D37D3EEF914A}"/>
            </c:ext>
          </c:extLst>
        </c:ser>
        <c:dLbls>
          <c:showLegendKey val="0"/>
          <c:showVal val="0"/>
          <c:showCatName val="0"/>
          <c:showSerName val="0"/>
          <c:showPercent val="0"/>
          <c:showBubbleSize val="0"/>
        </c:dLbls>
        <c:gapWidth val="150"/>
        <c:overlap val="100"/>
        <c:axId val="220078544"/>
        <c:axId val="220078936"/>
      </c:barChart>
      <c:catAx>
        <c:axId val="220078544"/>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en-US" sz="900">
                    <a:solidFill>
                      <a:sysClr val="windowText" lastClr="000000"/>
                    </a:solidFill>
                    <a:latin typeface="Arial Narrow" panose="020B0606020202030204" pitchFamily="34" charset="0"/>
                  </a:rPr>
                  <a:t>Ročník</a:t>
                </a:r>
              </a:p>
            </c:rich>
          </c:tx>
          <c:layout>
            <c:manualLayout>
              <c:xMode val="edge"/>
              <c:yMode val="edge"/>
              <c:x val="0.44455447509238954"/>
              <c:y val="0.9029494583388292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0078936"/>
        <c:crosses val="autoZero"/>
        <c:auto val="1"/>
        <c:lblAlgn val="ctr"/>
        <c:lblOffset val="100"/>
        <c:noMultiLvlLbl val="0"/>
      </c:catAx>
      <c:valAx>
        <c:axId val="220078936"/>
        <c:scaling>
          <c:orientation val="minMax"/>
          <c:max val="20"/>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0078544"/>
        <c:crosses val="autoZero"/>
        <c:crossBetween val="between"/>
        <c:majorUnit val="2"/>
      </c:valAx>
      <c:spPr>
        <a:noFill/>
        <a:ln>
          <a:noFill/>
        </a:ln>
        <a:effectLst/>
      </c:spPr>
    </c:plotArea>
    <c:legend>
      <c:legendPos val="b"/>
      <c:layout>
        <c:manualLayout>
          <c:xMode val="edge"/>
          <c:yMode val="edge"/>
          <c:x val="0.15442729068978736"/>
          <c:y val="2.6248107508116628E-2"/>
          <c:w val="0.82597636278124198"/>
          <c:h val="0.1392366579177602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09242499186753E-2"/>
          <c:y val="5.9379217273954114E-2"/>
          <c:w val="0.92400661292550657"/>
          <c:h val="0.66722344541055589"/>
        </c:manualLayout>
      </c:layout>
      <c:barChart>
        <c:barDir val="col"/>
        <c:grouping val="clustered"/>
        <c:varyColors val="0"/>
        <c:ser>
          <c:idx val="0"/>
          <c:order val="0"/>
          <c:tx>
            <c:strRef>
              <c:f>Hárok1!$C$1</c:f>
              <c:strCache>
                <c:ptCount val="1"/>
                <c:pt idx="0">
                  <c:v>15-24-roční</c:v>
                </c:pt>
              </c:strCache>
            </c:strRef>
          </c:tx>
          <c:spPr>
            <a:solidFill>
              <a:schemeClr val="accent1"/>
            </a:solidFill>
            <a:ln>
              <a:noFill/>
            </a:ln>
            <a:effectLst/>
          </c:spPr>
          <c:invertIfNegative val="0"/>
          <c:cat>
            <c:multiLvlStrRef>
              <c:f>Hárok1!$A$2:$B$7</c:f>
              <c:multiLvlStrCache>
                <c:ptCount val="6"/>
                <c:lvl>
                  <c:pt idx="0">
                    <c:v>Pracujú, podnikajú</c:v>
                  </c:pt>
                  <c:pt idx="1">
                    <c:v>Pracujú z domu</c:v>
                  </c:pt>
                  <c:pt idx="4">
                    <c:v>Trvalo postihnutí</c:v>
                  </c:pt>
                  <c:pt idx="5">
                    <c:v>Inak neaktívne osoby</c:v>
                  </c:pt>
                </c:lvl>
                <c:lvl>
                  <c:pt idx="0">
                    <c:v>Zamestnaní</c:v>
                  </c:pt>
                  <c:pt idx="2">
                    <c:v>Nezamestnaní</c:v>
                  </c:pt>
                  <c:pt idx="3">
                    <c:v>Študujú</c:v>
                  </c:pt>
                  <c:pt idx="4">
                    <c:v>Neaktívni</c:v>
                  </c:pt>
                </c:lvl>
              </c:multiLvlStrCache>
            </c:multiLvlStrRef>
          </c:cat>
          <c:val>
            <c:numRef>
              <c:f>Hárok1!$C$2:$C$7</c:f>
              <c:numCache>
                <c:formatCode>General</c:formatCode>
                <c:ptCount val="6"/>
                <c:pt idx="0">
                  <c:v>23.14</c:v>
                </c:pt>
                <c:pt idx="1">
                  <c:v>1.73</c:v>
                </c:pt>
                <c:pt idx="2">
                  <c:v>7.19</c:v>
                </c:pt>
                <c:pt idx="3">
                  <c:v>67.55</c:v>
                </c:pt>
                <c:pt idx="4">
                  <c:v>0.27</c:v>
                </c:pt>
                <c:pt idx="5">
                  <c:v>0.11</c:v>
                </c:pt>
              </c:numCache>
            </c:numRef>
          </c:val>
          <c:extLst xmlns:c16r2="http://schemas.microsoft.com/office/drawing/2015/06/chart">
            <c:ext xmlns:c16="http://schemas.microsoft.com/office/drawing/2014/chart" uri="{C3380CC4-5D6E-409C-BE32-E72D297353CC}">
              <c16:uniqueId val="{00000000-BE36-4CA1-AB66-CA2C085FC389}"/>
            </c:ext>
          </c:extLst>
        </c:ser>
        <c:ser>
          <c:idx val="1"/>
          <c:order val="1"/>
          <c:tx>
            <c:strRef>
              <c:f>Hárok1!$D$1</c:f>
              <c:strCache>
                <c:ptCount val="1"/>
                <c:pt idx="0">
                  <c:v>15-24-roční s PUŠD</c:v>
                </c:pt>
              </c:strCache>
            </c:strRef>
          </c:tx>
          <c:spPr>
            <a:solidFill>
              <a:schemeClr val="accent3"/>
            </a:solidFill>
            <a:ln>
              <a:noFill/>
            </a:ln>
            <a:effectLst/>
          </c:spPr>
          <c:invertIfNegative val="0"/>
          <c:cat>
            <c:multiLvlStrRef>
              <c:f>Hárok1!$A$2:$B$7</c:f>
              <c:multiLvlStrCache>
                <c:ptCount val="6"/>
                <c:lvl>
                  <c:pt idx="0">
                    <c:v>Pracujú, podnikajú</c:v>
                  </c:pt>
                  <c:pt idx="1">
                    <c:v>Pracujú z domu</c:v>
                  </c:pt>
                  <c:pt idx="4">
                    <c:v>Trvalo postihnutí</c:v>
                  </c:pt>
                  <c:pt idx="5">
                    <c:v>Inak neaktívne osoby</c:v>
                  </c:pt>
                </c:lvl>
                <c:lvl>
                  <c:pt idx="0">
                    <c:v>Zamestnaní</c:v>
                  </c:pt>
                  <c:pt idx="2">
                    <c:v>Nezamestnaní</c:v>
                  </c:pt>
                  <c:pt idx="3">
                    <c:v>Študujú</c:v>
                  </c:pt>
                  <c:pt idx="4">
                    <c:v>Neaktívni</c:v>
                  </c:pt>
                </c:lvl>
              </c:multiLvlStrCache>
            </c:multiLvlStrRef>
          </c:cat>
          <c:val>
            <c:numRef>
              <c:f>Hárok1!$D$2:$D$7</c:f>
              <c:numCache>
                <c:formatCode>General</c:formatCode>
                <c:ptCount val="6"/>
                <c:pt idx="0">
                  <c:v>15.67</c:v>
                </c:pt>
                <c:pt idx="1">
                  <c:v>25.44</c:v>
                </c:pt>
                <c:pt idx="2">
                  <c:v>45.43</c:v>
                </c:pt>
                <c:pt idx="3">
                  <c:v>0</c:v>
                </c:pt>
                <c:pt idx="4">
                  <c:v>12.35</c:v>
                </c:pt>
                <c:pt idx="5">
                  <c:v>1.1100000000000001</c:v>
                </c:pt>
              </c:numCache>
            </c:numRef>
          </c:val>
          <c:extLst xmlns:c16r2="http://schemas.microsoft.com/office/drawing/2015/06/chart">
            <c:ext xmlns:c16="http://schemas.microsoft.com/office/drawing/2014/chart" uri="{C3380CC4-5D6E-409C-BE32-E72D297353CC}">
              <c16:uniqueId val="{00000001-BE36-4CA1-AB66-CA2C085FC389}"/>
            </c:ext>
          </c:extLst>
        </c:ser>
        <c:dLbls>
          <c:showLegendKey val="0"/>
          <c:showVal val="0"/>
          <c:showCatName val="0"/>
          <c:showSerName val="0"/>
          <c:showPercent val="0"/>
          <c:showBubbleSize val="0"/>
        </c:dLbls>
        <c:gapWidth val="219"/>
        <c:overlap val="-27"/>
        <c:axId val="220079720"/>
        <c:axId val="220080112"/>
      </c:barChart>
      <c:catAx>
        <c:axId val="220079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t" anchorCtr="0"/>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0080112"/>
        <c:crosses val="autoZero"/>
        <c:auto val="1"/>
        <c:lblAlgn val="ctr"/>
        <c:lblOffset val="100"/>
        <c:noMultiLvlLbl val="0"/>
      </c:catAx>
      <c:valAx>
        <c:axId val="220080112"/>
        <c:scaling>
          <c:orientation val="minMax"/>
          <c:max val="70"/>
          <c:min val="0"/>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0079720"/>
        <c:crosses val="autoZero"/>
        <c:crossBetween val="between"/>
        <c:majorUnit val="10"/>
      </c:valAx>
      <c:spPr>
        <a:noFill/>
        <a:ln>
          <a:noFill/>
        </a:ln>
        <a:effectLst/>
      </c:spPr>
    </c:plotArea>
    <c:legend>
      <c:legendPos val="tr"/>
      <c:layout>
        <c:manualLayout>
          <c:xMode val="edge"/>
          <c:yMode val="edge"/>
          <c:x val="0.77773297862385182"/>
          <c:y val="5.3981106612685563E-2"/>
          <c:w val="0.1837837163393625"/>
          <c:h val="0.1736907987716110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nchor="t" anchorCtr="0"/>
    <a:lstStyle/>
    <a:p>
      <a:pPr>
        <a:defRPr/>
      </a:pPr>
      <a:endParaRPr lang="sk-SK"/>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500143817639235"/>
          <c:y val="2.7322404371584699E-2"/>
          <c:w val="0.67051235033976919"/>
          <c:h val="0.8676505354384807"/>
        </c:manualLayout>
      </c:layout>
      <c:barChart>
        <c:barDir val="bar"/>
        <c:grouping val="clustered"/>
        <c:varyColors val="0"/>
        <c:ser>
          <c:idx val="0"/>
          <c:order val="0"/>
          <c:tx>
            <c:strRef>
              <c:f>'F disag'!$J$18</c:f>
              <c:strCache>
                <c:ptCount val="1"/>
                <c:pt idx="0">
                  <c:v>Zamestnanosť</c:v>
                </c:pt>
              </c:strCache>
            </c:strRef>
          </c:tx>
          <c:spPr>
            <a:solidFill>
              <a:schemeClr val="accent1"/>
            </a:solidFill>
            <a:ln>
              <a:noFill/>
            </a:ln>
            <a:effectLst/>
          </c:spPr>
          <c:invertIfNegative val="0"/>
          <c:dPt>
            <c:idx val="10"/>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1-EE7A-4F1B-A375-CF1B0FAE94B5}"/>
              </c:ext>
            </c:extLst>
          </c:dPt>
          <c:dPt>
            <c:idx val="11"/>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3-EE7A-4F1B-A375-CF1B0FAE94B5}"/>
              </c:ext>
            </c:extLst>
          </c:dPt>
          <c:cat>
            <c:strRef>
              <c:f>'F disag'!$I$19:$I$30</c:f>
              <c:strCache>
                <c:ptCount val="12"/>
                <c:pt idx="0">
                  <c:v>ostatné (15)</c:v>
                </c:pt>
                <c:pt idx="1">
                  <c:v>lesná výroba (57)</c:v>
                </c:pt>
                <c:pt idx="2">
                  <c:v>potravinárska výroba (43)</c:v>
                </c:pt>
                <c:pt idx="3">
                  <c:v>praktická žena (91)</c:v>
                </c:pt>
                <c:pt idx="4">
                  <c:v>strojárska výroba (96)</c:v>
                </c:pt>
                <c:pt idx="5">
                  <c:v>výroba konfekcie (206)</c:v>
                </c:pt>
                <c:pt idx="6">
                  <c:v>stavebná výroba (256)</c:v>
                </c:pt>
                <c:pt idx="7">
                  <c:v>technické služby v autoservise (42)</c:v>
                </c:pt>
                <c:pt idx="8">
                  <c:v>spracúvanie dreva (39)</c:v>
                </c:pt>
                <c:pt idx="9">
                  <c:v>poľnohospodárska výroba (41)</c:v>
                </c:pt>
                <c:pt idx="10">
                  <c:v>F odbory celkovo (886)</c:v>
                </c:pt>
                <c:pt idx="11">
                  <c:v>ukončená základná škola (2 062)</c:v>
                </c:pt>
              </c:strCache>
            </c:strRef>
          </c:cat>
          <c:val>
            <c:numRef>
              <c:f>'F disag'!$J$19:$J$30</c:f>
              <c:numCache>
                <c:formatCode>General</c:formatCode>
                <c:ptCount val="12"/>
                <c:pt idx="0">
                  <c:v>35.29</c:v>
                </c:pt>
                <c:pt idx="1">
                  <c:v>5.26</c:v>
                </c:pt>
                <c:pt idx="2">
                  <c:v>9.3000000000000007</c:v>
                </c:pt>
                <c:pt idx="3">
                  <c:v>12.09</c:v>
                </c:pt>
                <c:pt idx="4">
                  <c:v>14.58</c:v>
                </c:pt>
                <c:pt idx="5">
                  <c:v>17.48</c:v>
                </c:pt>
                <c:pt idx="6">
                  <c:v>22.83</c:v>
                </c:pt>
                <c:pt idx="7">
                  <c:v>35.71</c:v>
                </c:pt>
                <c:pt idx="8">
                  <c:v>38.46</c:v>
                </c:pt>
                <c:pt idx="9">
                  <c:v>39.020000000000003</c:v>
                </c:pt>
                <c:pt idx="10">
                  <c:v>20.09</c:v>
                </c:pt>
                <c:pt idx="11">
                  <c:v>14.26</c:v>
                </c:pt>
              </c:numCache>
            </c:numRef>
          </c:val>
          <c:extLst xmlns:c16r2="http://schemas.microsoft.com/office/drawing/2015/06/chart">
            <c:ext xmlns:c16="http://schemas.microsoft.com/office/drawing/2014/chart" uri="{C3380CC4-5D6E-409C-BE32-E72D297353CC}">
              <c16:uniqueId val="{00000004-EE7A-4F1B-A375-CF1B0FAE94B5}"/>
            </c:ext>
          </c:extLst>
        </c:ser>
        <c:dLbls>
          <c:showLegendKey val="0"/>
          <c:showVal val="0"/>
          <c:showCatName val="0"/>
          <c:showSerName val="0"/>
          <c:showPercent val="0"/>
          <c:showBubbleSize val="0"/>
        </c:dLbls>
        <c:gapWidth val="182"/>
        <c:axId val="220080896"/>
        <c:axId val="220081288"/>
      </c:barChart>
      <c:catAx>
        <c:axId val="22008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0081288"/>
        <c:crosses val="autoZero"/>
        <c:auto val="1"/>
        <c:lblAlgn val="ctr"/>
        <c:lblOffset val="100"/>
        <c:noMultiLvlLbl val="0"/>
      </c:catAx>
      <c:valAx>
        <c:axId val="220081288"/>
        <c:scaling>
          <c:orientation val="minMax"/>
          <c:max val="40"/>
        </c:scaling>
        <c:delete val="0"/>
        <c:axPos val="b"/>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00808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435503488893155E-2"/>
          <c:y val="7.8703703703703706E-2"/>
          <c:w val="0.85784904935663531"/>
          <c:h val="0.76259988334791473"/>
        </c:manualLayout>
      </c:layout>
      <c:barChart>
        <c:barDir val="col"/>
        <c:grouping val="stacked"/>
        <c:varyColors val="0"/>
        <c:ser>
          <c:idx val="0"/>
          <c:order val="0"/>
          <c:tx>
            <c:strRef>
              <c:f>'Podla rocnika'!$N$13</c:f>
              <c:strCache>
                <c:ptCount val="1"/>
                <c:pt idx="0">
                  <c:v>PHN, MRK</c:v>
                </c:pt>
              </c:strCache>
            </c:strRef>
          </c:tx>
          <c:spPr>
            <a:solidFill>
              <a:schemeClr val="accent5">
                <a:lumMod val="75000"/>
              </a:schemeClr>
            </a:solidFill>
            <a:ln>
              <a:noFill/>
            </a:ln>
            <a:effectLst/>
          </c:spPr>
          <c:invertIfNegative val="0"/>
          <c:cat>
            <c:numRef>
              <c:f>'Podla rocnika'!$A$14:$A$17</c:f>
              <c:numCache>
                <c:formatCode>General</c:formatCode>
                <c:ptCount val="4"/>
                <c:pt idx="0">
                  <c:v>1</c:v>
                </c:pt>
                <c:pt idx="1">
                  <c:v>2</c:v>
                </c:pt>
                <c:pt idx="2">
                  <c:v>3</c:v>
                </c:pt>
                <c:pt idx="3">
                  <c:v>4</c:v>
                </c:pt>
              </c:numCache>
            </c:numRef>
          </c:cat>
          <c:val>
            <c:numRef>
              <c:f>'Podla rocnika'!$N$14:$N$17</c:f>
              <c:numCache>
                <c:formatCode>General</c:formatCode>
                <c:ptCount val="4"/>
                <c:pt idx="0">
                  <c:v>3.6735891725792809</c:v>
                </c:pt>
                <c:pt idx="1">
                  <c:v>2.7373933033908768</c:v>
                </c:pt>
                <c:pt idx="2">
                  <c:v>1.3682403848478255</c:v>
                </c:pt>
                <c:pt idx="3">
                  <c:v>0.27111213659437011</c:v>
                </c:pt>
              </c:numCache>
            </c:numRef>
          </c:val>
          <c:extLst xmlns:c16r2="http://schemas.microsoft.com/office/drawing/2015/06/chart">
            <c:ext xmlns:c16="http://schemas.microsoft.com/office/drawing/2014/chart" uri="{C3380CC4-5D6E-409C-BE32-E72D297353CC}">
              <c16:uniqueId val="{00000000-1F9F-4491-9120-57402AE3C40D}"/>
            </c:ext>
          </c:extLst>
        </c:ser>
        <c:ser>
          <c:idx val="1"/>
          <c:order val="1"/>
          <c:tx>
            <c:strRef>
              <c:f>'Podla rocnika'!$O$13</c:f>
              <c:strCache>
                <c:ptCount val="1"/>
                <c:pt idx="0">
                  <c:v>mimo PHN, MRK</c:v>
                </c:pt>
              </c:strCache>
            </c:strRef>
          </c:tx>
          <c:spPr>
            <a:solidFill>
              <a:schemeClr val="accent1"/>
            </a:solidFill>
            <a:ln>
              <a:noFill/>
            </a:ln>
            <a:effectLst/>
          </c:spPr>
          <c:invertIfNegative val="0"/>
          <c:cat>
            <c:numRef>
              <c:f>'Podla rocnika'!$A$14:$A$17</c:f>
              <c:numCache>
                <c:formatCode>General</c:formatCode>
                <c:ptCount val="4"/>
                <c:pt idx="0">
                  <c:v>1</c:v>
                </c:pt>
                <c:pt idx="1">
                  <c:v>2</c:v>
                </c:pt>
                <c:pt idx="2">
                  <c:v>3</c:v>
                </c:pt>
                <c:pt idx="3">
                  <c:v>4</c:v>
                </c:pt>
              </c:numCache>
            </c:numRef>
          </c:cat>
          <c:val>
            <c:numRef>
              <c:f>'Podla rocnika'!$O$14:$O$17</c:f>
              <c:numCache>
                <c:formatCode>General</c:formatCode>
                <c:ptCount val="4"/>
                <c:pt idx="0">
                  <c:v>3.7978835430800837</c:v>
                </c:pt>
                <c:pt idx="1">
                  <c:v>3.2759317993145873</c:v>
                </c:pt>
                <c:pt idx="2">
                  <c:v>2.3859598230473567</c:v>
                </c:pt>
                <c:pt idx="3">
                  <c:v>1.4853484079372403</c:v>
                </c:pt>
              </c:numCache>
            </c:numRef>
          </c:val>
          <c:extLst xmlns:c16r2="http://schemas.microsoft.com/office/drawing/2015/06/chart">
            <c:ext xmlns:c16="http://schemas.microsoft.com/office/drawing/2014/chart" uri="{C3380CC4-5D6E-409C-BE32-E72D297353CC}">
              <c16:uniqueId val="{00000001-1F9F-4491-9120-57402AE3C40D}"/>
            </c:ext>
          </c:extLst>
        </c:ser>
        <c:ser>
          <c:idx val="2"/>
          <c:order val="2"/>
          <c:tx>
            <c:strRef>
              <c:f>'Podla rocnika'!$P$13</c:f>
              <c:strCache>
                <c:ptCount val="1"/>
                <c:pt idx="0">
                  <c:v>PHN, mimo MRK</c:v>
                </c:pt>
              </c:strCache>
            </c:strRef>
          </c:tx>
          <c:spPr>
            <a:solidFill>
              <a:schemeClr val="accent3"/>
            </a:solidFill>
            <a:ln>
              <a:noFill/>
            </a:ln>
            <a:effectLst/>
          </c:spPr>
          <c:invertIfNegative val="0"/>
          <c:cat>
            <c:numRef>
              <c:f>'Podla rocnika'!$A$14:$A$17</c:f>
              <c:numCache>
                <c:formatCode>General</c:formatCode>
                <c:ptCount val="4"/>
                <c:pt idx="0">
                  <c:v>1</c:v>
                </c:pt>
                <c:pt idx="1">
                  <c:v>2</c:v>
                </c:pt>
                <c:pt idx="2">
                  <c:v>3</c:v>
                </c:pt>
                <c:pt idx="3">
                  <c:v>4</c:v>
                </c:pt>
              </c:numCache>
            </c:numRef>
          </c:cat>
          <c:val>
            <c:numRef>
              <c:f>'Podla rocnika'!$P$14:$P$17</c:f>
              <c:numCache>
                <c:formatCode>General</c:formatCode>
                <c:ptCount val="4"/>
                <c:pt idx="0">
                  <c:v>3.4957791703350769</c:v>
                </c:pt>
                <c:pt idx="1">
                  <c:v>2.9396113156942465</c:v>
                </c:pt>
                <c:pt idx="2">
                  <c:v>2.1804820267362874</c:v>
                </c:pt>
                <c:pt idx="3">
                  <c:v>1.1709736963544071</c:v>
                </c:pt>
              </c:numCache>
            </c:numRef>
          </c:val>
          <c:extLst xmlns:c16r2="http://schemas.microsoft.com/office/drawing/2015/06/chart">
            <c:ext xmlns:c16="http://schemas.microsoft.com/office/drawing/2014/chart" uri="{C3380CC4-5D6E-409C-BE32-E72D297353CC}">
              <c16:uniqueId val="{00000002-1F9F-4491-9120-57402AE3C40D}"/>
            </c:ext>
          </c:extLst>
        </c:ser>
        <c:dLbls>
          <c:showLegendKey val="0"/>
          <c:showVal val="0"/>
          <c:showCatName val="0"/>
          <c:showSerName val="0"/>
          <c:showPercent val="0"/>
          <c:showBubbleSize val="0"/>
        </c:dLbls>
        <c:gapWidth val="150"/>
        <c:overlap val="100"/>
        <c:axId val="220082464"/>
        <c:axId val="220082856"/>
      </c:barChart>
      <c:catAx>
        <c:axId val="22008246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r>
                  <a:rPr lang="en-US">
                    <a:solidFill>
                      <a:sysClr val="windowText" lastClr="000000"/>
                    </a:solidFill>
                    <a:latin typeface="Arial Narrow" panose="020B0606020202030204" pitchFamily="34" charset="0"/>
                  </a:rPr>
                  <a:t>Ročník</a:t>
                </a:r>
              </a:p>
            </c:rich>
          </c:tx>
          <c:layout>
            <c:manualLayout>
              <c:xMode val="edge"/>
              <c:yMode val="edge"/>
              <c:x val="0.4348354778823379"/>
              <c:y val="0.9116659375911344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0082856"/>
        <c:crosses val="autoZero"/>
        <c:auto val="1"/>
        <c:lblAlgn val="ctr"/>
        <c:lblOffset val="100"/>
        <c:noMultiLvlLbl val="0"/>
      </c:catAx>
      <c:valAx>
        <c:axId val="220082856"/>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0082464"/>
        <c:crosses val="autoZero"/>
        <c:crossBetween val="between"/>
      </c:valAx>
      <c:spPr>
        <a:noFill/>
        <a:ln>
          <a:noFill/>
        </a:ln>
        <a:effectLst/>
      </c:spPr>
    </c:plotArea>
    <c:legend>
      <c:legendPos val="b"/>
      <c:layout>
        <c:manualLayout>
          <c:xMode val="edge"/>
          <c:yMode val="edge"/>
          <c:x val="5.3258251303292668E-2"/>
          <c:y val="5.7815689705453398E-4"/>
          <c:w val="0.92085795152042293"/>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77976160623234"/>
          <c:y val="5.0925925925925923E-2"/>
          <c:w val="0.85151110888209036"/>
          <c:h val="0.83386649430015281"/>
        </c:manualLayout>
      </c:layout>
      <c:barChart>
        <c:barDir val="col"/>
        <c:grouping val="clustered"/>
        <c:varyColors val="0"/>
        <c:ser>
          <c:idx val="0"/>
          <c:order val="0"/>
          <c:tx>
            <c:strRef>
              <c:f>'Severe material deprivation'!$A$2</c:f>
              <c:strCache>
                <c:ptCount val="1"/>
                <c:pt idx="0">
                  <c:v>SR</c:v>
                </c:pt>
              </c:strCache>
            </c:strRef>
          </c:tx>
          <c:spPr>
            <a:solidFill>
              <a:schemeClr val="accent1"/>
            </a:solidFill>
            <a:ln>
              <a:noFill/>
            </a:ln>
            <a:effectLst/>
          </c:spPr>
          <c:invertIfNegative val="0"/>
          <c:cat>
            <c:numRef>
              <c:f>'Severe material deprivation'!$B$1:$J$1</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'Severe material deprivation'!$B$2:$J$2</c:f>
              <c:numCache>
                <c:formatCode>General</c:formatCode>
                <c:ptCount val="9"/>
                <c:pt idx="0">
                  <c:v>11.4</c:v>
                </c:pt>
                <c:pt idx="1">
                  <c:v>10.6</c:v>
                </c:pt>
                <c:pt idx="2">
                  <c:v>10.5</c:v>
                </c:pt>
                <c:pt idx="3">
                  <c:v>10.199999999999999</c:v>
                </c:pt>
                <c:pt idx="4">
                  <c:v>9.9</c:v>
                </c:pt>
                <c:pt idx="5">
                  <c:v>9</c:v>
                </c:pt>
                <c:pt idx="6">
                  <c:v>8.1999999999999993</c:v>
                </c:pt>
                <c:pt idx="7">
                  <c:v>7</c:v>
                </c:pt>
                <c:pt idx="8">
                  <c:v>7</c:v>
                </c:pt>
              </c:numCache>
            </c:numRef>
          </c:val>
        </c:ser>
        <c:dLbls>
          <c:showLegendKey val="0"/>
          <c:showVal val="0"/>
          <c:showCatName val="0"/>
          <c:showSerName val="0"/>
          <c:showPercent val="0"/>
          <c:showBubbleSize val="0"/>
        </c:dLbls>
        <c:gapWidth val="100"/>
        <c:axId val="129872816"/>
        <c:axId val="170556600"/>
      </c:barChart>
      <c:lineChart>
        <c:grouping val="standard"/>
        <c:varyColors val="0"/>
        <c:ser>
          <c:idx val="2"/>
          <c:order val="2"/>
          <c:tx>
            <c:strRef>
              <c:f>'Severe material deprivation'!$A$4</c:f>
              <c:strCache>
                <c:ptCount val="1"/>
                <c:pt idx="0">
                  <c:v>EÚ15</c:v>
                </c:pt>
              </c:strCache>
            </c:strRef>
          </c:tx>
          <c:spPr>
            <a:ln w="25400" cap="rnd">
              <a:noFill/>
              <a:round/>
            </a:ln>
            <a:effectLst/>
          </c:spPr>
          <c:marker>
            <c:symbol val="diamond"/>
            <c:size val="9"/>
            <c:spPr>
              <a:solidFill>
                <a:schemeClr val="tx1"/>
              </a:solidFill>
              <a:ln w="9525">
                <a:solidFill>
                  <a:schemeClr val="tx1"/>
                </a:solidFill>
              </a:ln>
              <a:effectLst/>
            </c:spPr>
          </c:marker>
          <c:cat>
            <c:numRef>
              <c:f>'Severe material deprivation'!$B$1:$J$1</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'Severe material deprivation'!$B$4:$J$4</c:f>
              <c:numCache>
                <c:formatCode>0.0</c:formatCode>
                <c:ptCount val="9"/>
                <c:pt idx="0">
                  <c:v>4.9333333333333336</c:v>
                </c:pt>
                <c:pt idx="1">
                  <c:v>5.5400000000000009</c:v>
                </c:pt>
                <c:pt idx="2">
                  <c:v>6.506666666666665</c:v>
                </c:pt>
                <c:pt idx="3">
                  <c:v>6.6533333333333342</c:v>
                </c:pt>
                <c:pt idx="4">
                  <c:v>6.5266666666666673</c:v>
                </c:pt>
                <c:pt idx="5">
                  <c:v>6.213333333333332</c:v>
                </c:pt>
                <c:pt idx="6">
                  <c:v>5.8</c:v>
                </c:pt>
                <c:pt idx="7">
                  <c:v>5.2600000000000007</c:v>
                </c:pt>
                <c:pt idx="8">
                  <c:v>4.8733333333333322</c:v>
                </c:pt>
              </c:numCache>
            </c:numRef>
          </c:val>
          <c:smooth val="0"/>
        </c:ser>
        <c:ser>
          <c:idx val="3"/>
          <c:order val="3"/>
          <c:tx>
            <c:strRef>
              <c:f>'Severe material deprivation'!$A$5</c:f>
              <c:strCache>
                <c:ptCount val="1"/>
                <c:pt idx="0">
                  <c:v>V3</c:v>
                </c:pt>
              </c:strCache>
            </c:strRef>
          </c:tx>
          <c:spPr>
            <a:ln w="25400" cap="rnd">
              <a:noFill/>
              <a:round/>
            </a:ln>
            <a:effectLst/>
          </c:spPr>
          <c:marker>
            <c:symbol val="triangle"/>
            <c:size val="7"/>
            <c:spPr>
              <a:solidFill>
                <a:schemeClr val="accent3"/>
              </a:solidFill>
              <a:ln w="9525">
                <a:solidFill>
                  <a:schemeClr val="accent3"/>
                </a:solidFill>
              </a:ln>
              <a:effectLst/>
            </c:spPr>
          </c:marker>
          <c:cat>
            <c:numRef>
              <c:f>'Severe material deprivation'!$B$1:$J$1</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'Severe material deprivation'!$B$5:$J$5</c:f>
              <c:numCache>
                <c:formatCode>0.0</c:formatCode>
                <c:ptCount val="9"/>
                <c:pt idx="0">
                  <c:v>14</c:v>
                </c:pt>
                <c:pt idx="1">
                  <c:v>14.166666666666666</c:v>
                </c:pt>
                <c:pt idx="2">
                  <c:v>15.466666666666667</c:v>
                </c:pt>
                <c:pt idx="3">
                  <c:v>15.433333333333332</c:v>
                </c:pt>
                <c:pt idx="4">
                  <c:v>13.700000000000001</c:v>
                </c:pt>
                <c:pt idx="5">
                  <c:v>11.033333333333333</c:v>
                </c:pt>
                <c:pt idx="6">
                  <c:v>9.2333333333333325</c:v>
                </c:pt>
                <c:pt idx="7">
                  <c:v>8.0333333333333332</c:v>
                </c:pt>
                <c:pt idx="8">
                  <c:v>5.8666666666666663</c:v>
                </c:pt>
              </c:numCache>
            </c:numRef>
          </c:val>
          <c:smooth val="0"/>
        </c:ser>
        <c:dLbls>
          <c:showLegendKey val="0"/>
          <c:showVal val="0"/>
          <c:showCatName val="0"/>
          <c:showSerName val="0"/>
          <c:showPercent val="0"/>
          <c:showBubbleSize val="0"/>
        </c:dLbls>
        <c:marker val="1"/>
        <c:smooth val="0"/>
        <c:axId val="129872816"/>
        <c:axId val="170556600"/>
        <c:extLst>
          <c:ext xmlns:c15="http://schemas.microsoft.com/office/drawing/2012/chart" uri="{02D57815-91ED-43cb-92C2-25804820EDAC}">
            <c15:filteredLineSeries>
              <c15:ser>
                <c:idx val="1"/>
                <c:order val="1"/>
                <c:tx>
                  <c:strRef>
                    <c:extLst>
                      <c:ext uri="{02D57815-91ED-43cb-92C2-25804820EDAC}">
                        <c15:formulaRef>
                          <c15:sqref>'Severe material deprivation'!$A$3</c15:sqref>
                        </c15:formulaRef>
                      </c:ext>
                    </c:extLst>
                    <c:strCache>
                      <c:ptCount val="1"/>
                      <c:pt idx="0">
                        <c:v>EÚ</c:v>
                      </c:pt>
                    </c:strCache>
                  </c:strRef>
                </c:tx>
                <c:spPr>
                  <a:ln w="28575" cap="rnd">
                    <a:noFill/>
                    <a:round/>
                  </a:ln>
                  <a:effectLst/>
                </c:spPr>
                <c:marker>
                  <c:symbol val="diamond"/>
                  <c:size val="9"/>
                  <c:spPr>
                    <a:solidFill>
                      <a:schemeClr val="tx1"/>
                    </a:solidFill>
                    <a:ln w="9525">
                      <a:solidFill>
                        <a:schemeClr val="tx1"/>
                      </a:solidFill>
                    </a:ln>
                    <a:effectLst/>
                  </c:spPr>
                </c:marker>
                <c:cat>
                  <c:numRef>
                    <c:extLst>
                      <c:ext uri="{02D57815-91ED-43cb-92C2-25804820EDAC}">
                        <c15:formulaRef>
                          <c15:sqref>'Severe material deprivation'!$B$1:$J$1</c15:sqref>
                        </c15:formulaRef>
                      </c:ext>
                    </c:extLst>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extLst>
                      <c:ext uri="{02D57815-91ED-43cb-92C2-25804820EDAC}">
                        <c15:formulaRef>
                          <c15:sqref>'Severe material deprivation'!$B$3:$J$3</c15:sqref>
                        </c15:formulaRef>
                      </c:ext>
                    </c:extLst>
                    <c:numCache>
                      <c:formatCode>General</c:formatCode>
                      <c:ptCount val="9"/>
                      <c:pt idx="0">
                        <c:v>8.4</c:v>
                      </c:pt>
                      <c:pt idx="1">
                        <c:v>8.8000000000000007</c:v>
                      </c:pt>
                      <c:pt idx="2">
                        <c:v>9.9</c:v>
                      </c:pt>
                      <c:pt idx="3">
                        <c:v>9.6</c:v>
                      </c:pt>
                      <c:pt idx="4">
                        <c:v>8.9</c:v>
                      </c:pt>
                      <c:pt idx="5">
                        <c:v>8.1</c:v>
                      </c:pt>
                      <c:pt idx="6">
                        <c:v>7.5</c:v>
                      </c:pt>
                      <c:pt idx="7">
                        <c:v>6.9</c:v>
                      </c:pt>
                      <c:pt idx="8">
                        <c:v>5.9</c:v>
                      </c:pt>
                    </c:numCache>
                  </c:numRef>
                </c:val>
                <c:smooth val="0"/>
              </c15:ser>
            </c15:filteredLineSeries>
          </c:ext>
        </c:extLst>
      </c:lineChart>
      <c:catAx>
        <c:axId val="12987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170556600"/>
        <c:crosses val="autoZero"/>
        <c:auto val="1"/>
        <c:lblAlgn val="ctr"/>
        <c:lblOffset val="100"/>
        <c:noMultiLvlLbl val="0"/>
      </c:catAx>
      <c:valAx>
        <c:axId val="170556600"/>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129872816"/>
        <c:crosses val="autoZero"/>
        <c:crossBetween val="between"/>
      </c:valAx>
      <c:spPr>
        <a:noFill/>
        <a:ln>
          <a:noFill/>
        </a:ln>
        <a:effectLst/>
      </c:spPr>
    </c:plotArea>
    <c:legend>
      <c:legendPos val="b"/>
      <c:layout>
        <c:manualLayout>
          <c:xMode val="edge"/>
          <c:yMode val="edge"/>
          <c:x val="0.6326555729893909"/>
          <c:y val="6.0763404574428199E-2"/>
          <c:w val="0.34449236839025693"/>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090860535207484"/>
          <c:y val="5.0925925925925923E-2"/>
          <c:w val="0.67220308226165226"/>
          <c:h val="0.66302472464914486"/>
        </c:manualLayout>
      </c:layout>
      <c:barChart>
        <c:barDir val="bar"/>
        <c:grouping val="stacked"/>
        <c:varyColors val="0"/>
        <c:ser>
          <c:idx val="0"/>
          <c:order val="0"/>
          <c:tx>
            <c:strRef>
              <c:f>'Typ skoly (stredoskolaci)'!$A$62</c:f>
              <c:strCache>
                <c:ptCount val="1"/>
                <c:pt idx="0">
                  <c:v>Odborné učilište/praktická škola</c:v>
                </c:pt>
              </c:strCache>
            </c:strRef>
          </c:tx>
          <c:spPr>
            <a:solidFill>
              <a:schemeClr val="accent5">
                <a:lumMod val="75000"/>
              </a:schemeClr>
            </a:solidFill>
            <a:ln>
              <a:noFill/>
            </a:ln>
            <a:effectLst/>
          </c:spPr>
          <c:invertIfNegative val="0"/>
          <c:cat>
            <c:strRef>
              <c:f>'Typ skoly (stredoskolaci)'!$P$51:$S$51</c:f>
              <c:strCache>
                <c:ptCount val="4"/>
                <c:pt idx="0">
                  <c:v>HN, mimo MRK</c:v>
                </c:pt>
                <c:pt idx="1">
                  <c:v>mimo HN, MRK</c:v>
                </c:pt>
                <c:pt idx="2">
                  <c:v>HN, MRK</c:v>
                </c:pt>
                <c:pt idx="3">
                  <c:v> mimo HN, mimo MRK</c:v>
                </c:pt>
              </c:strCache>
            </c:strRef>
          </c:cat>
          <c:val>
            <c:numRef>
              <c:f>'Typ skoly (stredoskolaci)'!$P$62:$S$62</c:f>
              <c:numCache>
                <c:formatCode>General</c:formatCode>
                <c:ptCount val="4"/>
                <c:pt idx="0">
                  <c:v>19.848061886076511</c:v>
                </c:pt>
                <c:pt idx="1">
                  <c:v>13.287441304667535</c:v>
                </c:pt>
                <c:pt idx="2">
                  <c:v>8.2175525969584502</c:v>
                </c:pt>
                <c:pt idx="3">
                  <c:v>1.2832660314388147</c:v>
                </c:pt>
              </c:numCache>
            </c:numRef>
          </c:val>
          <c:extLst xmlns:c16r2="http://schemas.microsoft.com/office/drawing/2015/06/chart">
            <c:ext xmlns:c16="http://schemas.microsoft.com/office/drawing/2014/chart" uri="{C3380CC4-5D6E-409C-BE32-E72D297353CC}">
              <c16:uniqueId val="{00000000-A3A2-4A84-AC28-870315A8BF85}"/>
            </c:ext>
          </c:extLst>
        </c:ser>
        <c:ser>
          <c:idx val="1"/>
          <c:order val="1"/>
          <c:tx>
            <c:strRef>
              <c:f>'Typ skoly (stredoskolaci)'!$A$63</c:f>
              <c:strCache>
                <c:ptCount val="1"/>
                <c:pt idx="0">
                  <c:v>Stredná odborná škola</c:v>
                </c:pt>
              </c:strCache>
            </c:strRef>
          </c:tx>
          <c:spPr>
            <a:solidFill>
              <a:schemeClr val="accent1">
                <a:lumMod val="60000"/>
                <a:lumOff val="40000"/>
              </a:schemeClr>
            </a:solidFill>
            <a:ln>
              <a:noFill/>
            </a:ln>
            <a:effectLst/>
          </c:spPr>
          <c:invertIfNegative val="0"/>
          <c:cat>
            <c:strRef>
              <c:f>'Typ skoly (stredoskolaci)'!$P$51:$S$51</c:f>
              <c:strCache>
                <c:ptCount val="4"/>
                <c:pt idx="0">
                  <c:v>HN, mimo MRK</c:v>
                </c:pt>
                <c:pt idx="1">
                  <c:v>mimo HN, MRK</c:v>
                </c:pt>
                <c:pt idx="2">
                  <c:v>HN, MRK</c:v>
                </c:pt>
                <c:pt idx="3">
                  <c:v> mimo HN, mimo MRK</c:v>
                </c:pt>
              </c:strCache>
            </c:strRef>
          </c:cat>
          <c:val>
            <c:numRef>
              <c:f>'Typ skoly (stredoskolaci)'!$P$63:$S$63</c:f>
              <c:numCache>
                <c:formatCode>General</c:formatCode>
                <c:ptCount val="4"/>
                <c:pt idx="0">
                  <c:v>78.98935814231298</c:v>
                </c:pt>
                <c:pt idx="1">
                  <c:v>76.932494445621927</c:v>
                </c:pt>
                <c:pt idx="2">
                  <c:v>84.508740320897061</c:v>
                </c:pt>
                <c:pt idx="3">
                  <c:v>65.210861194195857</c:v>
                </c:pt>
              </c:numCache>
            </c:numRef>
          </c:val>
          <c:extLst xmlns:c16r2="http://schemas.microsoft.com/office/drawing/2015/06/chart">
            <c:ext xmlns:c16="http://schemas.microsoft.com/office/drawing/2014/chart" uri="{C3380CC4-5D6E-409C-BE32-E72D297353CC}">
              <c16:uniqueId val="{00000001-A3A2-4A84-AC28-870315A8BF85}"/>
            </c:ext>
          </c:extLst>
        </c:ser>
        <c:ser>
          <c:idx val="2"/>
          <c:order val="2"/>
          <c:tx>
            <c:strRef>
              <c:f>'Typ skoly (stredoskolaci)'!$A$64</c:f>
              <c:strCache>
                <c:ptCount val="1"/>
                <c:pt idx="0">
                  <c:v>Konzervatórium</c:v>
                </c:pt>
              </c:strCache>
            </c:strRef>
          </c:tx>
          <c:spPr>
            <a:solidFill>
              <a:schemeClr val="tx1"/>
            </a:solidFill>
            <a:ln>
              <a:noFill/>
            </a:ln>
            <a:effectLst/>
          </c:spPr>
          <c:invertIfNegative val="0"/>
          <c:cat>
            <c:strRef>
              <c:f>'Typ skoly (stredoskolaci)'!$P$51:$S$51</c:f>
              <c:strCache>
                <c:ptCount val="4"/>
                <c:pt idx="0">
                  <c:v>HN, mimo MRK</c:v>
                </c:pt>
                <c:pt idx="1">
                  <c:v>mimo HN, MRK</c:v>
                </c:pt>
                <c:pt idx="2">
                  <c:v>HN, MRK</c:v>
                </c:pt>
                <c:pt idx="3">
                  <c:v> mimo HN, mimo MRK</c:v>
                </c:pt>
              </c:strCache>
            </c:strRef>
          </c:cat>
          <c:val>
            <c:numRef>
              <c:f>'Typ skoly (stredoskolaci)'!$P$64:$S$64</c:f>
              <c:numCache>
                <c:formatCode>General</c:formatCode>
                <c:ptCount val="4"/>
                <c:pt idx="0">
                  <c:v>0.22126209655767681</c:v>
                </c:pt>
                <c:pt idx="1">
                  <c:v>1.2851434213974662</c:v>
                </c:pt>
                <c:pt idx="2">
                  <c:v>1.0697811043678287</c:v>
                </c:pt>
                <c:pt idx="3">
                  <c:v>1.6081265520690291</c:v>
                </c:pt>
              </c:numCache>
            </c:numRef>
          </c:val>
          <c:extLst xmlns:c16r2="http://schemas.microsoft.com/office/drawing/2015/06/chart">
            <c:ext xmlns:c16="http://schemas.microsoft.com/office/drawing/2014/chart" uri="{C3380CC4-5D6E-409C-BE32-E72D297353CC}">
              <c16:uniqueId val="{00000002-A3A2-4A84-AC28-870315A8BF85}"/>
            </c:ext>
          </c:extLst>
        </c:ser>
        <c:ser>
          <c:idx val="3"/>
          <c:order val="3"/>
          <c:tx>
            <c:strRef>
              <c:f>'Typ skoly (stredoskolaci)'!$A$65</c:f>
              <c:strCache>
                <c:ptCount val="1"/>
                <c:pt idx="0">
                  <c:v>Gymnázium</c:v>
                </c:pt>
              </c:strCache>
            </c:strRef>
          </c:tx>
          <c:spPr>
            <a:solidFill>
              <a:schemeClr val="accent3"/>
            </a:solidFill>
            <a:ln>
              <a:noFill/>
            </a:ln>
            <a:effectLst/>
          </c:spPr>
          <c:invertIfNegative val="0"/>
          <c:cat>
            <c:strRef>
              <c:f>'Typ skoly (stredoskolaci)'!$P$51:$S$51</c:f>
              <c:strCache>
                <c:ptCount val="4"/>
                <c:pt idx="0">
                  <c:v>HN, mimo MRK</c:v>
                </c:pt>
                <c:pt idx="1">
                  <c:v>mimo HN, MRK</c:v>
                </c:pt>
                <c:pt idx="2">
                  <c:v>HN, MRK</c:v>
                </c:pt>
                <c:pt idx="3">
                  <c:v> mimo HN, mimo MRK</c:v>
                </c:pt>
              </c:strCache>
            </c:strRef>
          </c:cat>
          <c:val>
            <c:numRef>
              <c:f>'Typ skoly (stredoskolaci)'!$P$65:$S$65</c:f>
              <c:numCache>
                <c:formatCode>General</c:formatCode>
                <c:ptCount val="4"/>
                <c:pt idx="0">
                  <c:v>0.74829017539858245</c:v>
                </c:pt>
                <c:pt idx="1">
                  <c:v>7.7976880480880233</c:v>
                </c:pt>
                <c:pt idx="2">
                  <c:v>6.0743050761135118</c:v>
                </c:pt>
                <c:pt idx="3">
                  <c:v>31.396502066866677</c:v>
                </c:pt>
              </c:numCache>
            </c:numRef>
          </c:val>
          <c:extLst xmlns:c16r2="http://schemas.microsoft.com/office/drawing/2015/06/chart">
            <c:ext xmlns:c16="http://schemas.microsoft.com/office/drawing/2014/chart" uri="{C3380CC4-5D6E-409C-BE32-E72D297353CC}">
              <c16:uniqueId val="{00000003-A3A2-4A84-AC28-870315A8BF85}"/>
            </c:ext>
          </c:extLst>
        </c:ser>
        <c:ser>
          <c:idx val="4"/>
          <c:order val="4"/>
          <c:tx>
            <c:strRef>
              <c:f>'Typ skoly (stredoskolaci)'!$A$66</c:f>
              <c:strCache>
                <c:ptCount val="1"/>
                <c:pt idx="0">
                  <c:v>Iné</c:v>
                </c:pt>
              </c:strCache>
            </c:strRef>
          </c:tx>
          <c:spPr>
            <a:solidFill>
              <a:schemeClr val="accent1">
                <a:lumMod val="50000"/>
              </a:schemeClr>
            </a:solidFill>
            <a:ln>
              <a:noFill/>
            </a:ln>
            <a:effectLst/>
          </c:spPr>
          <c:invertIfNegative val="0"/>
          <c:cat>
            <c:strRef>
              <c:f>'Typ skoly (stredoskolaci)'!$P$51:$S$51</c:f>
              <c:strCache>
                <c:ptCount val="4"/>
                <c:pt idx="0">
                  <c:v>HN, mimo MRK</c:v>
                </c:pt>
                <c:pt idx="1">
                  <c:v>mimo HN, MRK</c:v>
                </c:pt>
                <c:pt idx="2">
                  <c:v>HN, MRK</c:v>
                </c:pt>
                <c:pt idx="3">
                  <c:v> mimo HN, mimo MRK</c:v>
                </c:pt>
              </c:strCache>
            </c:strRef>
          </c:cat>
          <c:val>
            <c:numRef>
              <c:f>'Typ skoly (stredoskolaci)'!$P$66:$S$66</c:f>
              <c:numCache>
                <c:formatCode>General</c:formatCode>
                <c:ptCount val="4"/>
                <c:pt idx="0">
                  <c:v>0.19302769965425254</c:v>
                </c:pt>
                <c:pt idx="1">
                  <c:v>0.69723278022503965</c:v>
                </c:pt>
                <c:pt idx="2">
                  <c:v>0.12962090166313472</c:v>
                </c:pt>
                <c:pt idx="3">
                  <c:v>0.50124415542962009</c:v>
                </c:pt>
              </c:numCache>
            </c:numRef>
          </c:val>
          <c:extLst xmlns:c16r2="http://schemas.microsoft.com/office/drawing/2015/06/chart">
            <c:ext xmlns:c16="http://schemas.microsoft.com/office/drawing/2014/chart" uri="{C3380CC4-5D6E-409C-BE32-E72D297353CC}">
              <c16:uniqueId val="{00000004-A3A2-4A84-AC28-870315A8BF85}"/>
            </c:ext>
          </c:extLst>
        </c:ser>
        <c:dLbls>
          <c:showLegendKey val="0"/>
          <c:showVal val="0"/>
          <c:showCatName val="0"/>
          <c:showSerName val="0"/>
          <c:showPercent val="0"/>
          <c:showBubbleSize val="0"/>
        </c:dLbls>
        <c:gapWidth val="100"/>
        <c:overlap val="100"/>
        <c:axId val="220083640"/>
        <c:axId val="220084032"/>
      </c:barChart>
      <c:catAx>
        <c:axId val="220083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0084032"/>
        <c:crosses val="autoZero"/>
        <c:auto val="1"/>
        <c:lblAlgn val="ctr"/>
        <c:lblOffset val="100"/>
        <c:noMultiLvlLbl val="0"/>
      </c:catAx>
      <c:valAx>
        <c:axId val="220084032"/>
        <c:scaling>
          <c:orientation val="minMax"/>
          <c:max val="100"/>
        </c:scaling>
        <c:delete val="0"/>
        <c:axPos val="b"/>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0083640"/>
        <c:crosses val="autoZero"/>
        <c:crossBetween val="between"/>
      </c:valAx>
      <c:spPr>
        <a:noFill/>
        <a:ln>
          <a:noFill/>
        </a:ln>
        <a:effectLst/>
      </c:spPr>
    </c:plotArea>
    <c:legend>
      <c:legendPos val="b"/>
      <c:layout>
        <c:manualLayout>
          <c:xMode val="edge"/>
          <c:yMode val="edge"/>
          <c:x val="6.1512534232146653E-3"/>
          <c:y val="0.81032514771270026"/>
          <c:w val="0.98649756414743506"/>
          <c:h val="0.1896748522872997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49601152797077"/>
          <c:y val="5.0749711649365627E-2"/>
          <c:w val="0.73503988472029236"/>
          <c:h val="0.75994237929561126"/>
        </c:manualLayout>
      </c:layout>
      <c:barChart>
        <c:barDir val="col"/>
        <c:grouping val="clustered"/>
        <c:varyColors val="0"/>
        <c:ser>
          <c:idx val="1"/>
          <c:order val="0"/>
          <c:tx>
            <c:strRef>
              <c:f>' zaskolenost ZZ a bez ZZ'!$A$3</c:f>
              <c:strCache>
                <c:ptCount val="1"/>
                <c:pt idx="0">
                  <c:v>Deti so ZZ</c:v>
                </c:pt>
              </c:strCache>
            </c:strRef>
          </c:tx>
          <c:spPr>
            <a:solidFill>
              <a:schemeClr val="accent3"/>
            </a:solidFill>
            <a:ln>
              <a:noFill/>
            </a:ln>
            <a:effectLst/>
          </c:spPr>
          <c:invertIfNegative val="0"/>
          <c:dPt>
            <c:idx val="0"/>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1-BB09-417D-B0D8-ED37265D6545}"/>
              </c:ext>
            </c:extLst>
          </c:dPt>
          <c:dPt>
            <c:idx val="1"/>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3-BB09-417D-B0D8-ED37265D654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zaskolenost ZZ a bez ZZ'!$B$1:$C$1</c:f>
              <c:strCache>
                <c:ptCount val="2"/>
                <c:pt idx="0">
                  <c:v>4-roční</c:v>
                </c:pt>
                <c:pt idx="1">
                  <c:v>Predškoláci</c:v>
                </c:pt>
              </c:strCache>
            </c:strRef>
          </c:cat>
          <c:val>
            <c:numRef>
              <c:f>' zaskolenost ZZ a bez ZZ'!$B$3:$C$3</c:f>
              <c:numCache>
                <c:formatCode>0%</c:formatCode>
                <c:ptCount val="2"/>
                <c:pt idx="0">
                  <c:v>0.56999999999999995</c:v>
                </c:pt>
                <c:pt idx="1">
                  <c:v>0.67</c:v>
                </c:pt>
              </c:numCache>
            </c:numRef>
          </c:val>
          <c:extLst xmlns:c16r2="http://schemas.microsoft.com/office/drawing/2015/06/chart">
            <c:ext xmlns:c16="http://schemas.microsoft.com/office/drawing/2014/chart" uri="{C3380CC4-5D6E-409C-BE32-E72D297353CC}">
              <c16:uniqueId val="{00000004-BB09-417D-B0D8-ED37265D6545}"/>
            </c:ext>
          </c:extLst>
        </c:ser>
        <c:ser>
          <c:idx val="0"/>
          <c:order val="1"/>
          <c:tx>
            <c:strRef>
              <c:f>' zaskolenost ZZ a bez ZZ'!$A$2</c:f>
              <c:strCache>
                <c:ptCount val="1"/>
                <c:pt idx="0">
                  <c:v>Deti bez ZZ</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zaskolenost ZZ a bez ZZ'!$B$1:$C$1</c:f>
              <c:strCache>
                <c:ptCount val="2"/>
                <c:pt idx="0">
                  <c:v>4-roční</c:v>
                </c:pt>
                <c:pt idx="1">
                  <c:v>Predškoláci</c:v>
                </c:pt>
              </c:strCache>
            </c:strRef>
          </c:cat>
          <c:val>
            <c:numRef>
              <c:f>' zaskolenost ZZ a bez ZZ'!$B$2:$C$2</c:f>
              <c:numCache>
                <c:formatCode>0%</c:formatCode>
                <c:ptCount val="2"/>
                <c:pt idx="0">
                  <c:v>0.72</c:v>
                </c:pt>
                <c:pt idx="1">
                  <c:v>0.85</c:v>
                </c:pt>
              </c:numCache>
            </c:numRef>
          </c:val>
          <c:extLst xmlns:c16r2="http://schemas.microsoft.com/office/drawing/2015/06/chart">
            <c:ext xmlns:c16="http://schemas.microsoft.com/office/drawing/2014/chart" uri="{C3380CC4-5D6E-409C-BE32-E72D297353CC}">
              <c16:uniqueId val="{00000005-BB09-417D-B0D8-ED37265D6545}"/>
            </c:ext>
          </c:extLst>
        </c:ser>
        <c:dLbls>
          <c:dLblPos val="outEnd"/>
          <c:showLegendKey val="0"/>
          <c:showVal val="1"/>
          <c:showCatName val="0"/>
          <c:showSerName val="0"/>
          <c:showPercent val="0"/>
          <c:showBubbleSize val="0"/>
        </c:dLbls>
        <c:gapWidth val="486"/>
        <c:overlap val="-27"/>
        <c:axId val="220084816"/>
        <c:axId val="220085208"/>
      </c:barChart>
      <c:catAx>
        <c:axId val="22008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crossAx val="220085208"/>
        <c:crosses val="autoZero"/>
        <c:auto val="1"/>
        <c:lblAlgn val="ctr"/>
        <c:lblOffset val="100"/>
        <c:noMultiLvlLbl val="0"/>
      </c:catAx>
      <c:valAx>
        <c:axId val="220085208"/>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crossAx val="220084816"/>
        <c:crosses val="autoZero"/>
        <c:crossBetween val="between"/>
      </c:valAx>
      <c:spPr>
        <a:noFill/>
        <a:ln>
          <a:noFill/>
        </a:ln>
        <a:effectLst/>
      </c:spPr>
    </c:plotArea>
    <c:legend>
      <c:legendPos val="b"/>
      <c:layout>
        <c:manualLayout>
          <c:xMode val="edge"/>
          <c:yMode val="edge"/>
          <c:x val="4.9999828452815948E-2"/>
          <c:y val="0.91263187450405914"/>
          <c:w val="0.89999965690563188"/>
          <c:h val="8.736812549594091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baseline="0">
          <a:solidFill>
            <a:schemeClr val="tx1"/>
          </a:solidFill>
          <a:latin typeface="Arial Narrow" panose="020B0606020202030204" pitchFamily="34" charset="0"/>
        </a:defRPr>
      </a:pPr>
      <a:endParaRPr lang="sk-SK"/>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120174298601037E-2"/>
          <c:y val="5.2293796054195388E-2"/>
          <c:w val="0.85472033228856104"/>
          <c:h val="0.71336523866297075"/>
        </c:manualLayout>
      </c:layout>
      <c:barChart>
        <c:barDir val="col"/>
        <c:grouping val="clustered"/>
        <c:varyColors val="0"/>
        <c:ser>
          <c:idx val="0"/>
          <c:order val="0"/>
          <c:tx>
            <c:strRef>
              <c:f>'[ZZ_Grafy.xlsx]taskolenost predskolaci'!$B$1</c:f>
              <c:strCache>
                <c:ptCount val="1"/>
                <c:pt idx="0">
                  <c:v>Miera zaškolenosti</c:v>
                </c:pt>
              </c:strCache>
            </c:strRef>
          </c:tx>
          <c:spPr>
            <a:solidFill>
              <a:schemeClr val="accent1"/>
            </a:solidFill>
            <a:ln>
              <a:noFill/>
            </a:ln>
            <a:effectLst/>
          </c:spPr>
          <c:invertIfNegative val="0"/>
          <c:cat>
            <c:strRef>
              <c:f>'[ZZ_Grafy.xlsx]taskolenost predskolaci'!$A$2:$A$9</c:f>
              <c:strCache>
                <c:ptCount val="8"/>
                <c:pt idx="0">
                  <c:v>PAP</c:v>
                </c:pt>
                <c:pt idx="1">
                  <c:v>NKS</c:v>
                </c:pt>
                <c:pt idx="2">
                  <c:v>AUT</c:v>
                </c:pt>
                <c:pt idx="3">
                  <c:v>TEL</c:v>
                </c:pt>
                <c:pt idx="4">
                  <c:v>SLU</c:v>
                </c:pt>
                <c:pt idx="5">
                  <c:v>PU</c:v>
                </c:pt>
                <c:pt idx="6">
                  <c:v>MEN</c:v>
                </c:pt>
                <c:pt idx="7">
                  <c:v>ZRA</c:v>
                </c:pt>
              </c:strCache>
            </c:strRef>
          </c:cat>
          <c:val>
            <c:numRef>
              <c:f>'[ZZ_Grafy.xlsx]taskolenost predskolaci'!$B$2:$B$9</c:f>
              <c:numCache>
                <c:formatCode>0%</c:formatCode>
                <c:ptCount val="8"/>
                <c:pt idx="0">
                  <c:v>0.87323943661971826</c:v>
                </c:pt>
                <c:pt idx="1">
                  <c:v>0.87056737588652477</c:v>
                </c:pt>
                <c:pt idx="2">
                  <c:v>0.85483870967741937</c:v>
                </c:pt>
                <c:pt idx="3">
                  <c:v>0.78</c:v>
                </c:pt>
                <c:pt idx="4">
                  <c:v>0.75</c:v>
                </c:pt>
                <c:pt idx="5">
                  <c:v>0.66666666666666663</c:v>
                </c:pt>
                <c:pt idx="6">
                  <c:v>0.52906976744186052</c:v>
                </c:pt>
                <c:pt idx="7">
                  <c:v>0.5</c:v>
                </c:pt>
              </c:numCache>
            </c:numRef>
          </c:val>
          <c:extLst xmlns:c16r2="http://schemas.microsoft.com/office/drawing/2015/06/chart">
            <c:ext xmlns:c16="http://schemas.microsoft.com/office/drawing/2014/chart" uri="{C3380CC4-5D6E-409C-BE32-E72D297353CC}">
              <c16:uniqueId val="{00000000-03D3-4F47-BE7B-3A5439DF4AD3}"/>
            </c:ext>
          </c:extLst>
        </c:ser>
        <c:dLbls>
          <c:showLegendKey val="0"/>
          <c:showVal val="0"/>
          <c:showCatName val="0"/>
          <c:showSerName val="0"/>
          <c:showPercent val="0"/>
          <c:showBubbleSize val="0"/>
        </c:dLbls>
        <c:gapWidth val="219"/>
        <c:overlap val="-27"/>
        <c:axId val="221229248"/>
        <c:axId val="221229640"/>
      </c:barChart>
      <c:lineChart>
        <c:grouping val="standard"/>
        <c:varyColors val="0"/>
        <c:ser>
          <c:idx val="1"/>
          <c:order val="1"/>
          <c:tx>
            <c:strRef>
              <c:f>'[ZZ_Grafy.xlsx]taskolenost predskolaci'!$C$1</c:f>
              <c:strCache>
                <c:ptCount val="1"/>
                <c:pt idx="0">
                  <c:v>Zaškolenosť detí so ZZ</c:v>
                </c:pt>
              </c:strCache>
            </c:strRef>
          </c:tx>
          <c:spPr>
            <a:ln w="28575" cap="rnd">
              <a:solidFill>
                <a:schemeClr val="accent3"/>
              </a:solidFill>
              <a:round/>
            </a:ln>
            <a:effectLst/>
          </c:spPr>
          <c:marker>
            <c:symbol val="none"/>
          </c:marker>
          <c:cat>
            <c:strRef>
              <c:f>'[ZZ_Grafy.xlsx]taskolenost predskolaci'!$A$2:$A$9</c:f>
              <c:strCache>
                <c:ptCount val="8"/>
                <c:pt idx="0">
                  <c:v>PAP</c:v>
                </c:pt>
                <c:pt idx="1">
                  <c:v>NKS</c:v>
                </c:pt>
                <c:pt idx="2">
                  <c:v>AUT</c:v>
                </c:pt>
                <c:pt idx="3">
                  <c:v>TEL</c:v>
                </c:pt>
                <c:pt idx="4">
                  <c:v>SLU</c:v>
                </c:pt>
                <c:pt idx="5">
                  <c:v>PU</c:v>
                </c:pt>
                <c:pt idx="6">
                  <c:v>MEN</c:v>
                </c:pt>
                <c:pt idx="7">
                  <c:v>ZRA</c:v>
                </c:pt>
              </c:strCache>
            </c:strRef>
          </c:cat>
          <c:val>
            <c:numRef>
              <c:f>'[ZZ_Grafy.xlsx]taskolenost predskolaci'!$C$2:$C$9</c:f>
              <c:numCache>
                <c:formatCode>0%</c:formatCode>
                <c:ptCount val="8"/>
                <c:pt idx="0">
                  <c:v>0.67</c:v>
                </c:pt>
                <c:pt idx="1">
                  <c:v>0.67</c:v>
                </c:pt>
                <c:pt idx="2">
                  <c:v>0.67</c:v>
                </c:pt>
                <c:pt idx="3">
                  <c:v>0.67</c:v>
                </c:pt>
                <c:pt idx="4">
                  <c:v>0.67</c:v>
                </c:pt>
                <c:pt idx="5">
                  <c:v>0.67</c:v>
                </c:pt>
                <c:pt idx="6">
                  <c:v>0.67</c:v>
                </c:pt>
                <c:pt idx="7">
                  <c:v>0.67</c:v>
                </c:pt>
              </c:numCache>
            </c:numRef>
          </c:val>
          <c:smooth val="0"/>
          <c:extLst xmlns:c16r2="http://schemas.microsoft.com/office/drawing/2015/06/chart">
            <c:ext xmlns:c16="http://schemas.microsoft.com/office/drawing/2014/chart" uri="{C3380CC4-5D6E-409C-BE32-E72D297353CC}">
              <c16:uniqueId val="{00000001-03D3-4F47-BE7B-3A5439DF4AD3}"/>
            </c:ext>
          </c:extLst>
        </c:ser>
        <c:ser>
          <c:idx val="2"/>
          <c:order val="2"/>
          <c:tx>
            <c:strRef>
              <c:f>'[ZZ_Grafy.xlsx]taskolenost predskolaci'!$D$1</c:f>
              <c:strCache>
                <c:ptCount val="1"/>
                <c:pt idx="0">
                  <c:v>Zaškolenosť detí bez ZZ</c:v>
                </c:pt>
              </c:strCache>
            </c:strRef>
          </c:tx>
          <c:spPr>
            <a:ln w="28575" cap="rnd">
              <a:solidFill>
                <a:schemeClr val="accent5"/>
              </a:solidFill>
              <a:round/>
            </a:ln>
            <a:effectLst/>
          </c:spPr>
          <c:marker>
            <c:symbol val="none"/>
          </c:marker>
          <c:cat>
            <c:strRef>
              <c:f>'[ZZ_Grafy.xlsx]taskolenost predskolaci'!$A$2:$A$9</c:f>
              <c:strCache>
                <c:ptCount val="8"/>
                <c:pt idx="0">
                  <c:v>PAP</c:v>
                </c:pt>
                <c:pt idx="1">
                  <c:v>NKS</c:v>
                </c:pt>
                <c:pt idx="2">
                  <c:v>AUT</c:v>
                </c:pt>
                <c:pt idx="3">
                  <c:v>TEL</c:v>
                </c:pt>
                <c:pt idx="4">
                  <c:v>SLU</c:v>
                </c:pt>
                <c:pt idx="5">
                  <c:v>PU</c:v>
                </c:pt>
                <c:pt idx="6">
                  <c:v>MEN</c:v>
                </c:pt>
                <c:pt idx="7">
                  <c:v>ZRA</c:v>
                </c:pt>
              </c:strCache>
            </c:strRef>
          </c:cat>
          <c:val>
            <c:numRef>
              <c:f>'[ZZ_Grafy.xlsx]taskolenost predskolaci'!$D$2:$D$9</c:f>
              <c:numCache>
                <c:formatCode>0%</c:formatCode>
                <c:ptCount val="8"/>
                <c:pt idx="0">
                  <c:v>0.85</c:v>
                </c:pt>
                <c:pt idx="1">
                  <c:v>0.85</c:v>
                </c:pt>
                <c:pt idx="2">
                  <c:v>0.85</c:v>
                </c:pt>
                <c:pt idx="3">
                  <c:v>0.85</c:v>
                </c:pt>
                <c:pt idx="4">
                  <c:v>0.85</c:v>
                </c:pt>
                <c:pt idx="5">
                  <c:v>0.85</c:v>
                </c:pt>
                <c:pt idx="6">
                  <c:v>0.85</c:v>
                </c:pt>
                <c:pt idx="7">
                  <c:v>0.85</c:v>
                </c:pt>
              </c:numCache>
            </c:numRef>
          </c:val>
          <c:smooth val="0"/>
          <c:extLst xmlns:c16r2="http://schemas.microsoft.com/office/drawing/2015/06/chart">
            <c:ext xmlns:c16="http://schemas.microsoft.com/office/drawing/2014/chart" uri="{C3380CC4-5D6E-409C-BE32-E72D297353CC}">
              <c16:uniqueId val="{00000002-03D3-4F47-BE7B-3A5439DF4AD3}"/>
            </c:ext>
          </c:extLst>
        </c:ser>
        <c:dLbls>
          <c:showLegendKey val="0"/>
          <c:showVal val="0"/>
          <c:showCatName val="0"/>
          <c:showSerName val="0"/>
          <c:showPercent val="0"/>
          <c:showBubbleSize val="0"/>
        </c:dLbls>
        <c:marker val="1"/>
        <c:smooth val="0"/>
        <c:axId val="221229248"/>
        <c:axId val="221229640"/>
      </c:lineChart>
      <c:catAx>
        <c:axId val="22122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crossAx val="221229640"/>
        <c:crosses val="autoZero"/>
        <c:auto val="1"/>
        <c:lblAlgn val="ctr"/>
        <c:lblOffset val="100"/>
        <c:noMultiLvlLbl val="0"/>
      </c:catAx>
      <c:valAx>
        <c:axId val="221229640"/>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crossAx val="221229248"/>
        <c:crosses val="autoZero"/>
        <c:crossBetween val="between"/>
      </c:valAx>
      <c:spPr>
        <a:noFill/>
        <a:ln>
          <a:noFill/>
        </a:ln>
        <a:effectLst/>
      </c:spPr>
    </c:plotArea>
    <c:legend>
      <c:legendPos val="b"/>
      <c:layout>
        <c:manualLayout>
          <c:xMode val="edge"/>
          <c:yMode val="edge"/>
          <c:x val="8.1545433830417496E-3"/>
          <c:y val="0.87794096453417536"/>
          <c:w val="0.97717058679562163"/>
          <c:h val="0.120911341989073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Arial Narrow" panose="020B0606020202030204" pitchFamily="34" charset="0"/>
        </a:defRPr>
      </a:pPr>
      <a:endParaRPr lang="sk-SK"/>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994291338582676"/>
          <c:y val="8.3333333333333329E-2"/>
          <c:w val="0.55156408573928262"/>
          <c:h val="0.79595654709827934"/>
        </c:manualLayout>
      </c:layout>
      <c:barChart>
        <c:barDir val="bar"/>
        <c:grouping val="stacked"/>
        <c:varyColors val="0"/>
        <c:ser>
          <c:idx val="0"/>
          <c:order val="0"/>
          <c:tx>
            <c:strRef>
              <c:f>'MS prúdy'!$B$3</c:f>
              <c:strCache>
                <c:ptCount val="1"/>
                <c:pt idx="0">
                  <c:v>Bežný</c:v>
                </c:pt>
              </c:strCache>
            </c:strRef>
          </c:tx>
          <c:spPr>
            <a:solidFill>
              <a:schemeClr val="accent1"/>
            </a:solidFill>
            <a:ln>
              <a:noFill/>
            </a:ln>
            <a:effectLst/>
          </c:spPr>
          <c:invertIfNegative val="0"/>
          <c:cat>
            <c:strRef>
              <c:f>'MS prúdy'!$A$4:$A$12</c:f>
              <c:strCache>
                <c:ptCount val="9"/>
                <c:pt idx="0">
                  <c:v>SPOLU</c:v>
                </c:pt>
                <c:pt idx="1">
                  <c:v>Sluchové postihnutie</c:v>
                </c:pt>
                <c:pt idx="2">
                  <c:v>Mentálne postihnutie</c:v>
                </c:pt>
                <c:pt idx="3">
                  <c:v>Telesné postihnutie</c:v>
                </c:pt>
                <c:pt idx="4">
                  <c:v>Autizmus</c:v>
                </c:pt>
                <c:pt idx="5">
                  <c:v>Narušená komunikačná schopnosť</c:v>
                </c:pt>
                <c:pt idx="6">
                  <c:v>Zrakové postihnutie</c:v>
                </c:pt>
                <c:pt idx="7">
                  <c:v>Poruchy aktivity a pozornosti</c:v>
                </c:pt>
                <c:pt idx="8">
                  <c:v>Vývinové popruchy učenia</c:v>
                </c:pt>
              </c:strCache>
            </c:strRef>
          </c:cat>
          <c:val>
            <c:numRef>
              <c:f>'MS prúdy'!$B$4:$B$12</c:f>
              <c:numCache>
                <c:formatCode>0%</c:formatCode>
                <c:ptCount val="9"/>
                <c:pt idx="0">
                  <c:v>0.71</c:v>
                </c:pt>
                <c:pt idx="1">
                  <c:v>0.51</c:v>
                </c:pt>
                <c:pt idx="2">
                  <c:v>0.52</c:v>
                </c:pt>
                <c:pt idx="3">
                  <c:v>0.77</c:v>
                </c:pt>
                <c:pt idx="4">
                  <c:v>0.83</c:v>
                </c:pt>
                <c:pt idx="5">
                  <c:v>0.86</c:v>
                </c:pt>
                <c:pt idx="6">
                  <c:v>0.92</c:v>
                </c:pt>
                <c:pt idx="7">
                  <c:v>0.94</c:v>
                </c:pt>
                <c:pt idx="8">
                  <c:v>1</c:v>
                </c:pt>
              </c:numCache>
            </c:numRef>
          </c:val>
        </c:ser>
        <c:ser>
          <c:idx val="1"/>
          <c:order val="1"/>
          <c:tx>
            <c:strRef>
              <c:f>'MS prúdy'!$C$3</c:f>
              <c:strCache>
                <c:ptCount val="1"/>
                <c:pt idx="0">
                  <c:v>Špeciálny</c:v>
                </c:pt>
              </c:strCache>
            </c:strRef>
          </c:tx>
          <c:spPr>
            <a:solidFill>
              <a:schemeClr val="accent3"/>
            </a:solidFill>
            <a:ln>
              <a:noFill/>
            </a:ln>
            <a:effectLst/>
          </c:spPr>
          <c:invertIfNegative val="0"/>
          <c:cat>
            <c:strRef>
              <c:f>'MS prúdy'!$A$4:$A$12</c:f>
              <c:strCache>
                <c:ptCount val="9"/>
                <c:pt idx="0">
                  <c:v>SPOLU</c:v>
                </c:pt>
                <c:pt idx="1">
                  <c:v>Sluchové postihnutie</c:v>
                </c:pt>
                <c:pt idx="2">
                  <c:v>Mentálne postihnutie</c:v>
                </c:pt>
                <c:pt idx="3">
                  <c:v>Telesné postihnutie</c:v>
                </c:pt>
                <c:pt idx="4">
                  <c:v>Autizmus</c:v>
                </c:pt>
                <c:pt idx="5">
                  <c:v>Narušená komunikačná schopnosť</c:v>
                </c:pt>
                <c:pt idx="6">
                  <c:v>Zrakové postihnutie</c:v>
                </c:pt>
                <c:pt idx="7">
                  <c:v>Poruchy aktivity a pozornosti</c:v>
                </c:pt>
                <c:pt idx="8">
                  <c:v>Vývinové popruchy učenia</c:v>
                </c:pt>
              </c:strCache>
            </c:strRef>
          </c:cat>
          <c:val>
            <c:numRef>
              <c:f>'MS prúdy'!$C$4:$C$12</c:f>
              <c:numCache>
                <c:formatCode>0%</c:formatCode>
                <c:ptCount val="9"/>
                <c:pt idx="0">
                  <c:v>0.28999999999999998</c:v>
                </c:pt>
                <c:pt idx="1">
                  <c:v>0.49</c:v>
                </c:pt>
                <c:pt idx="2">
                  <c:v>0.48</c:v>
                </c:pt>
                <c:pt idx="3">
                  <c:v>0.23</c:v>
                </c:pt>
                <c:pt idx="4">
                  <c:v>0.17</c:v>
                </c:pt>
                <c:pt idx="5">
                  <c:v>0.14000000000000001</c:v>
                </c:pt>
                <c:pt idx="6">
                  <c:v>0.08</c:v>
                </c:pt>
                <c:pt idx="7">
                  <c:v>0.06</c:v>
                </c:pt>
                <c:pt idx="8">
                  <c:v>0</c:v>
                </c:pt>
              </c:numCache>
            </c:numRef>
          </c:val>
        </c:ser>
        <c:dLbls>
          <c:showLegendKey val="0"/>
          <c:showVal val="0"/>
          <c:showCatName val="0"/>
          <c:showSerName val="0"/>
          <c:showPercent val="0"/>
          <c:showBubbleSize val="0"/>
        </c:dLbls>
        <c:gapWidth val="150"/>
        <c:overlap val="100"/>
        <c:axId val="221230424"/>
        <c:axId val="221230816"/>
      </c:barChart>
      <c:catAx>
        <c:axId val="221230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crossAx val="221230816"/>
        <c:crosses val="autoZero"/>
        <c:auto val="1"/>
        <c:lblAlgn val="ctr"/>
        <c:lblOffset val="100"/>
        <c:noMultiLvlLbl val="0"/>
      </c:catAx>
      <c:valAx>
        <c:axId val="221230816"/>
        <c:scaling>
          <c:orientation val="minMax"/>
          <c:max val="1"/>
        </c:scaling>
        <c:delete val="0"/>
        <c:axPos val="b"/>
        <c:majorGridlines>
          <c:spPr>
            <a:ln w="9525" cap="flat" cmpd="sng" algn="ctr">
              <a:solidFill>
                <a:schemeClr val="tx1">
                  <a:lumMod val="15000"/>
                  <a:lumOff val="85000"/>
                </a:schemeClr>
              </a:solidFill>
              <a:prstDash val="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1230424"/>
        <c:crosses val="autoZero"/>
        <c:crossBetween val="between"/>
      </c:valAx>
      <c:spPr>
        <a:noFill/>
        <a:ln>
          <a:noFill/>
        </a:ln>
        <a:effectLst/>
      </c:spPr>
    </c:plotArea>
    <c:legend>
      <c:legendPos val="b"/>
      <c:layout>
        <c:manualLayout>
          <c:xMode val="edge"/>
          <c:yMode val="edge"/>
          <c:x val="0.71238326792214579"/>
          <c:y val="6.0569339365556365E-3"/>
          <c:w val="0.22293718358125167"/>
          <c:h val="8.4618576750981944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230650829663239"/>
          <c:y val="1.6898687664042031E-3"/>
          <c:w val="0.62043934338716134"/>
          <c:h val="0.88069279622750196"/>
        </c:manualLayout>
      </c:layout>
      <c:barChart>
        <c:barDir val="bar"/>
        <c:grouping val="stacked"/>
        <c:varyColors val="0"/>
        <c:ser>
          <c:idx val="0"/>
          <c:order val="0"/>
          <c:tx>
            <c:strRef>
              <c:f>'ZZ podla settingu'!$B$28</c:f>
              <c:strCache>
                <c:ptCount val="1"/>
                <c:pt idx="0">
                  <c:v>Integrácia</c:v>
                </c:pt>
              </c:strCache>
            </c:strRef>
          </c:tx>
          <c:spPr>
            <a:solidFill>
              <a:schemeClr val="accent1"/>
            </a:solidFill>
            <a:ln>
              <a:noFill/>
            </a:ln>
            <a:effectLst/>
          </c:spPr>
          <c:invertIfNegative val="0"/>
          <c:cat>
            <c:strRef>
              <c:f>'ZZ podla settingu'!$A$29:$A$40</c:f>
              <c:strCache>
                <c:ptCount val="12"/>
                <c:pt idx="0">
                  <c:v>SPOLU</c:v>
                </c:pt>
                <c:pt idx="1">
                  <c:v>Mentálne postihnutie</c:v>
                </c:pt>
                <c:pt idx="2">
                  <c:v>Poruchy správania</c:v>
                </c:pt>
                <c:pt idx="3">
                  <c:v>Narušená komunikačná schopnosť</c:v>
                </c:pt>
                <c:pt idx="4">
                  <c:v>Sluchové postihnutie</c:v>
                </c:pt>
                <c:pt idx="5">
                  <c:v>Telesné postihnutie</c:v>
                </c:pt>
                <c:pt idx="6">
                  <c:v>Zrakové postihnutie</c:v>
                </c:pt>
                <c:pt idx="7">
                  <c:v>Poruchy učenia</c:v>
                </c:pt>
                <c:pt idx="8">
                  <c:v>Chorí a zdravotne oslabení</c:v>
                </c:pt>
                <c:pt idx="9">
                  <c:v>Vývinové poruchy aktivity a pozornosti</c:v>
                </c:pt>
                <c:pt idx="10">
                  <c:v>Autizmus</c:v>
                </c:pt>
                <c:pt idx="11">
                  <c:v>Viacnásobné postihnutie</c:v>
                </c:pt>
              </c:strCache>
            </c:strRef>
          </c:cat>
          <c:val>
            <c:numRef>
              <c:f>'ZZ podla settingu'!$B$29:$B$40</c:f>
              <c:numCache>
                <c:formatCode>0.0%</c:formatCode>
                <c:ptCount val="12"/>
                <c:pt idx="0">
                  <c:v>0.54340393810086907</c:v>
                </c:pt>
                <c:pt idx="1">
                  <c:v>0.14533533670263626</c:v>
                </c:pt>
                <c:pt idx="2">
                  <c:v>0.5923269989243457</c:v>
                </c:pt>
                <c:pt idx="3">
                  <c:v>0.61459760665022378</c:v>
                </c:pt>
                <c:pt idx="4">
                  <c:v>0.65329370975730561</c:v>
                </c:pt>
                <c:pt idx="5">
                  <c:v>0.70948155067725371</c:v>
                </c:pt>
                <c:pt idx="6">
                  <c:v>0.71319796954314718</c:v>
                </c:pt>
                <c:pt idx="7">
                  <c:v>0.96751920429821059</c:v>
                </c:pt>
                <c:pt idx="8">
                  <c:v>1</c:v>
                </c:pt>
                <c:pt idx="9">
                  <c:v>1</c:v>
                </c:pt>
                <c:pt idx="10">
                  <c:v>1</c:v>
                </c:pt>
                <c:pt idx="11">
                  <c:v>1</c:v>
                </c:pt>
              </c:numCache>
            </c:numRef>
          </c:val>
          <c:extLst xmlns:c16r2="http://schemas.microsoft.com/office/drawing/2015/06/chart">
            <c:ext xmlns:c16="http://schemas.microsoft.com/office/drawing/2014/chart" uri="{C3380CC4-5D6E-409C-BE32-E72D297353CC}">
              <c16:uniqueId val="{00000000-169E-415C-8F49-FA637305CCDC}"/>
            </c:ext>
          </c:extLst>
        </c:ser>
        <c:ser>
          <c:idx val="1"/>
          <c:order val="1"/>
          <c:tx>
            <c:strRef>
              <c:f>'ZZ podla settingu'!$C$28</c:f>
              <c:strCache>
                <c:ptCount val="1"/>
                <c:pt idx="0">
                  <c:v>Špeciálne triedy</c:v>
                </c:pt>
              </c:strCache>
            </c:strRef>
          </c:tx>
          <c:spPr>
            <a:solidFill>
              <a:schemeClr val="accent3"/>
            </a:solidFill>
            <a:ln>
              <a:noFill/>
            </a:ln>
            <a:effectLst/>
          </c:spPr>
          <c:invertIfNegative val="0"/>
          <c:cat>
            <c:strRef>
              <c:f>'ZZ podla settingu'!$A$29:$A$40</c:f>
              <c:strCache>
                <c:ptCount val="12"/>
                <c:pt idx="0">
                  <c:v>SPOLU</c:v>
                </c:pt>
                <c:pt idx="1">
                  <c:v>Mentálne postihnutie</c:v>
                </c:pt>
                <c:pt idx="2">
                  <c:v>Poruchy správania</c:v>
                </c:pt>
                <c:pt idx="3">
                  <c:v>Narušená komunikačná schopnosť</c:v>
                </c:pt>
                <c:pt idx="4">
                  <c:v>Sluchové postihnutie</c:v>
                </c:pt>
                <c:pt idx="5">
                  <c:v>Telesné postihnutie</c:v>
                </c:pt>
                <c:pt idx="6">
                  <c:v>Zrakové postihnutie</c:v>
                </c:pt>
                <c:pt idx="7">
                  <c:v>Poruchy učenia</c:v>
                </c:pt>
                <c:pt idx="8">
                  <c:v>Chorí a zdravotne oslabení</c:v>
                </c:pt>
                <c:pt idx="9">
                  <c:v>Vývinové poruchy aktivity a pozornosti</c:v>
                </c:pt>
                <c:pt idx="10">
                  <c:v>Autizmus</c:v>
                </c:pt>
                <c:pt idx="11">
                  <c:v>Viacnásobné postihnutie</c:v>
                </c:pt>
              </c:strCache>
            </c:strRef>
          </c:cat>
          <c:val>
            <c:numRef>
              <c:f>'ZZ podla settingu'!$C$29:$C$40</c:f>
              <c:numCache>
                <c:formatCode>0.0%</c:formatCode>
                <c:ptCount val="12"/>
                <c:pt idx="0">
                  <c:v>0.13356639761451855</c:v>
                </c:pt>
                <c:pt idx="1">
                  <c:v>0.25317579565633108</c:v>
                </c:pt>
                <c:pt idx="2">
                  <c:v>5.0197203298673375E-3</c:v>
                </c:pt>
                <c:pt idx="3">
                  <c:v>0.11601351968575867</c:v>
                </c:pt>
                <c:pt idx="4">
                  <c:v>0</c:v>
                </c:pt>
                <c:pt idx="5">
                  <c:v>9.6216721158337237E-2</c:v>
                </c:pt>
                <c:pt idx="6">
                  <c:v>0</c:v>
                </c:pt>
                <c:pt idx="7">
                  <c:v>1.6850939123484749E-2</c:v>
                </c:pt>
                <c:pt idx="8">
                  <c:v>0</c:v>
                </c:pt>
                <c:pt idx="9">
                  <c:v>0</c:v>
                </c:pt>
                <c:pt idx="10">
                  <c:v>0</c:v>
                </c:pt>
                <c:pt idx="11">
                  <c:v>0</c:v>
                </c:pt>
              </c:numCache>
            </c:numRef>
          </c:val>
          <c:extLst xmlns:c16r2="http://schemas.microsoft.com/office/drawing/2015/06/chart">
            <c:ext xmlns:c16="http://schemas.microsoft.com/office/drawing/2014/chart" uri="{C3380CC4-5D6E-409C-BE32-E72D297353CC}">
              <c16:uniqueId val="{00000001-169E-415C-8F49-FA637305CCDC}"/>
            </c:ext>
          </c:extLst>
        </c:ser>
        <c:ser>
          <c:idx val="2"/>
          <c:order val="2"/>
          <c:tx>
            <c:strRef>
              <c:f>'ZZ podla settingu'!$D$28</c:f>
              <c:strCache>
                <c:ptCount val="1"/>
                <c:pt idx="0">
                  <c:v>Špeciálne školy</c:v>
                </c:pt>
              </c:strCache>
            </c:strRef>
          </c:tx>
          <c:spPr>
            <a:solidFill>
              <a:schemeClr val="accent5"/>
            </a:solidFill>
            <a:ln>
              <a:noFill/>
            </a:ln>
            <a:effectLst/>
          </c:spPr>
          <c:invertIfNegative val="0"/>
          <c:cat>
            <c:strRef>
              <c:f>'ZZ podla settingu'!$A$29:$A$40</c:f>
              <c:strCache>
                <c:ptCount val="12"/>
                <c:pt idx="0">
                  <c:v>SPOLU</c:v>
                </c:pt>
                <c:pt idx="1">
                  <c:v>Mentálne postihnutie</c:v>
                </c:pt>
                <c:pt idx="2">
                  <c:v>Poruchy správania</c:v>
                </c:pt>
                <c:pt idx="3">
                  <c:v>Narušená komunikačná schopnosť</c:v>
                </c:pt>
                <c:pt idx="4">
                  <c:v>Sluchové postihnutie</c:v>
                </c:pt>
                <c:pt idx="5">
                  <c:v>Telesné postihnutie</c:v>
                </c:pt>
                <c:pt idx="6">
                  <c:v>Zrakové postihnutie</c:v>
                </c:pt>
                <c:pt idx="7">
                  <c:v>Poruchy učenia</c:v>
                </c:pt>
                <c:pt idx="8">
                  <c:v>Chorí a zdravotne oslabení</c:v>
                </c:pt>
                <c:pt idx="9">
                  <c:v>Vývinové poruchy aktivity a pozornosti</c:v>
                </c:pt>
                <c:pt idx="10">
                  <c:v>Autizmus</c:v>
                </c:pt>
                <c:pt idx="11">
                  <c:v>Viacnásobné postihnutie</c:v>
                </c:pt>
              </c:strCache>
            </c:strRef>
          </c:cat>
          <c:val>
            <c:numRef>
              <c:f>'ZZ podla settingu'!$D$29:$D$40</c:f>
              <c:numCache>
                <c:formatCode>0.0%</c:formatCode>
                <c:ptCount val="12"/>
                <c:pt idx="0">
                  <c:v>0.32302966428461266</c:v>
                </c:pt>
                <c:pt idx="1">
                  <c:v>0.60148886764103271</c:v>
                </c:pt>
                <c:pt idx="2">
                  <c:v>0.40265328074578705</c:v>
                </c:pt>
                <c:pt idx="3">
                  <c:v>0.26938887366401754</c:v>
                </c:pt>
                <c:pt idx="4">
                  <c:v>0.34670629024269439</c:v>
                </c:pt>
                <c:pt idx="5">
                  <c:v>0.19430172816440916</c:v>
                </c:pt>
                <c:pt idx="6">
                  <c:v>0.28680203045685282</c:v>
                </c:pt>
                <c:pt idx="7">
                  <c:v>1.5629856578304693E-2</c:v>
                </c:pt>
                <c:pt idx="8">
                  <c:v>0</c:v>
                </c:pt>
                <c:pt idx="9">
                  <c:v>0</c:v>
                </c:pt>
                <c:pt idx="10">
                  <c:v>0</c:v>
                </c:pt>
                <c:pt idx="11">
                  <c:v>0</c:v>
                </c:pt>
              </c:numCache>
            </c:numRef>
          </c:val>
          <c:extLst xmlns:c16r2="http://schemas.microsoft.com/office/drawing/2015/06/chart">
            <c:ext xmlns:c16="http://schemas.microsoft.com/office/drawing/2014/chart" uri="{C3380CC4-5D6E-409C-BE32-E72D297353CC}">
              <c16:uniqueId val="{00000002-169E-415C-8F49-FA637305CCDC}"/>
            </c:ext>
          </c:extLst>
        </c:ser>
        <c:dLbls>
          <c:showLegendKey val="0"/>
          <c:showVal val="0"/>
          <c:showCatName val="0"/>
          <c:showSerName val="0"/>
          <c:showPercent val="0"/>
          <c:showBubbleSize val="0"/>
        </c:dLbls>
        <c:gapWidth val="150"/>
        <c:overlap val="100"/>
        <c:axId val="221231600"/>
        <c:axId val="221231992"/>
      </c:barChart>
      <c:catAx>
        <c:axId val="221231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sk-SK"/>
          </a:p>
        </c:txPr>
        <c:crossAx val="221231992"/>
        <c:crosses val="autoZero"/>
        <c:auto val="1"/>
        <c:lblAlgn val="ctr"/>
        <c:lblOffset val="100"/>
        <c:noMultiLvlLbl val="0"/>
      </c:catAx>
      <c:valAx>
        <c:axId val="221231992"/>
        <c:scaling>
          <c:orientation val="minMax"/>
          <c:max val="1"/>
        </c:scaling>
        <c:delete val="0"/>
        <c:axPos val="b"/>
        <c:majorGridlines>
          <c:spPr>
            <a:ln w="9525" cap="flat" cmpd="sng" algn="ctr">
              <a:solidFill>
                <a:schemeClr val="tx1">
                  <a:lumMod val="15000"/>
                  <a:lumOff val="85000"/>
                </a:schemeClr>
              </a:solidFill>
              <a:prstDash val="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sk-SK"/>
          </a:p>
        </c:txPr>
        <c:crossAx val="221231600"/>
        <c:crosses val="autoZero"/>
        <c:crossBetween val="between"/>
      </c:valAx>
      <c:spPr>
        <a:noFill/>
        <a:ln>
          <a:noFill/>
        </a:ln>
        <a:effectLst/>
      </c:spPr>
    </c:plotArea>
    <c:legend>
      <c:legendPos val="b"/>
      <c:layout>
        <c:manualLayout>
          <c:xMode val="edge"/>
          <c:yMode val="edge"/>
          <c:x val="0"/>
          <c:y val="0.79361637795275586"/>
          <c:w val="0.2067298367365096"/>
          <c:h val="0.2061691671257142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900">
          <a:solidFill>
            <a:schemeClr val="tx1"/>
          </a:solidFill>
          <a:latin typeface="Arial Narrow" panose="020B0606020202030204" pitchFamily="34" charset="0"/>
        </a:defRPr>
      </a:pPr>
      <a:endParaRPr lang="sk-SK"/>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47003499562555E-2"/>
          <c:y val="0.11473674224456883"/>
          <c:w val="0.87318963254593174"/>
          <c:h val="0.71405327346129921"/>
        </c:manualLayout>
      </c:layout>
      <c:bubbleChart>
        <c:varyColors val="0"/>
        <c:ser>
          <c:idx val="0"/>
          <c:order val="0"/>
          <c:spPr>
            <a:noFill/>
            <a:ln>
              <a:solidFill>
                <a:schemeClr val="accent1"/>
              </a:solidFill>
            </a:ln>
            <a:effectLst/>
          </c:spPr>
          <c:invertIfNegative val="0"/>
          <c:xVal>
            <c:numRef>
              <c:f>'Scatter MRK mental'!$V$4:$V$137</c:f>
              <c:numCache>
                <c:formatCode>General</c:formatCode>
                <c:ptCount val="134"/>
                <c:pt idx="0">
                  <c:v>1</c:v>
                </c:pt>
                <c:pt idx="1">
                  <c:v>0.9830508</c:v>
                </c:pt>
                <c:pt idx="2">
                  <c:v>0.95151509999999995</c:v>
                </c:pt>
                <c:pt idx="3">
                  <c:v>0.94827589999999995</c:v>
                </c:pt>
                <c:pt idx="4">
                  <c:v>0.90540540000000003</c:v>
                </c:pt>
                <c:pt idx="5">
                  <c:v>0.9</c:v>
                </c:pt>
                <c:pt idx="6">
                  <c:v>0.8783784</c:v>
                </c:pt>
                <c:pt idx="7">
                  <c:v>0.87804879999999996</c:v>
                </c:pt>
                <c:pt idx="8">
                  <c:v>0.87692309999999996</c:v>
                </c:pt>
                <c:pt idx="9">
                  <c:v>0.87356319999999998</c:v>
                </c:pt>
                <c:pt idx="10">
                  <c:v>0.86813189999999996</c:v>
                </c:pt>
                <c:pt idx="11">
                  <c:v>0.86475409999999997</c:v>
                </c:pt>
                <c:pt idx="12">
                  <c:v>0.85416669999999995</c:v>
                </c:pt>
                <c:pt idx="13">
                  <c:v>0.85051549999999998</c:v>
                </c:pt>
                <c:pt idx="14">
                  <c:v>0.84210529999999995</c:v>
                </c:pt>
                <c:pt idx="15">
                  <c:v>0.83529410000000004</c:v>
                </c:pt>
                <c:pt idx="16">
                  <c:v>0.83333330000000005</c:v>
                </c:pt>
                <c:pt idx="17">
                  <c:v>0.82857139999999996</c:v>
                </c:pt>
                <c:pt idx="18">
                  <c:v>0.82822079999999998</c:v>
                </c:pt>
                <c:pt idx="19">
                  <c:v>0.82</c:v>
                </c:pt>
                <c:pt idx="20">
                  <c:v>0.81081080000000005</c:v>
                </c:pt>
                <c:pt idx="21">
                  <c:v>0.78787879999999999</c:v>
                </c:pt>
                <c:pt idx="22">
                  <c:v>0.76991149999999997</c:v>
                </c:pt>
                <c:pt idx="23">
                  <c:v>0.76315789999999994</c:v>
                </c:pt>
                <c:pt idx="24">
                  <c:v>0.737931</c:v>
                </c:pt>
                <c:pt idx="25">
                  <c:v>0.73529409999999995</c:v>
                </c:pt>
                <c:pt idx="26">
                  <c:v>0.72340420000000005</c:v>
                </c:pt>
                <c:pt idx="27">
                  <c:v>0.7111111</c:v>
                </c:pt>
                <c:pt idx="28">
                  <c:v>0.70270270000000001</c:v>
                </c:pt>
                <c:pt idx="29">
                  <c:v>0.67796610000000002</c:v>
                </c:pt>
                <c:pt idx="30">
                  <c:v>0.65217389999999997</c:v>
                </c:pt>
                <c:pt idx="31">
                  <c:v>0.62758619999999998</c:v>
                </c:pt>
                <c:pt idx="32">
                  <c:v>0.62295080000000003</c:v>
                </c:pt>
                <c:pt idx="33">
                  <c:v>0.6086956</c:v>
                </c:pt>
                <c:pt idx="34">
                  <c:v>0.58666660000000004</c:v>
                </c:pt>
                <c:pt idx="35">
                  <c:v>0.58139529999999995</c:v>
                </c:pt>
                <c:pt idx="36">
                  <c:v>0.56164380000000003</c:v>
                </c:pt>
                <c:pt idx="37">
                  <c:v>0.55395680000000003</c:v>
                </c:pt>
                <c:pt idx="38">
                  <c:v>0.5526316</c:v>
                </c:pt>
                <c:pt idx="39">
                  <c:v>0.55200000000000005</c:v>
                </c:pt>
                <c:pt idx="40">
                  <c:v>0.53896109999999997</c:v>
                </c:pt>
                <c:pt idx="41">
                  <c:v>0.52564100000000002</c:v>
                </c:pt>
                <c:pt idx="42">
                  <c:v>0.52380959999999999</c:v>
                </c:pt>
                <c:pt idx="43">
                  <c:v>0.5163934</c:v>
                </c:pt>
                <c:pt idx="44">
                  <c:v>0.50909090000000001</c:v>
                </c:pt>
                <c:pt idx="45">
                  <c:v>0.50769229999999999</c:v>
                </c:pt>
                <c:pt idx="46">
                  <c:v>0.44615379999999999</c:v>
                </c:pt>
                <c:pt idx="47">
                  <c:v>0.43540669999999998</c:v>
                </c:pt>
                <c:pt idx="48">
                  <c:v>0.43333329999999998</c:v>
                </c:pt>
                <c:pt idx="49">
                  <c:v>0.43055559999999998</c:v>
                </c:pt>
                <c:pt idx="50">
                  <c:v>0.41428569999999998</c:v>
                </c:pt>
                <c:pt idx="51">
                  <c:v>0.41333330000000001</c:v>
                </c:pt>
                <c:pt idx="52">
                  <c:v>0.36470590000000003</c:v>
                </c:pt>
                <c:pt idx="53">
                  <c:v>0.33064519999999997</c:v>
                </c:pt>
                <c:pt idx="54">
                  <c:v>0.32786880000000002</c:v>
                </c:pt>
                <c:pt idx="55">
                  <c:v>0.3026316</c:v>
                </c:pt>
                <c:pt idx="56">
                  <c:v>0.28999999999999998</c:v>
                </c:pt>
                <c:pt idx="57">
                  <c:v>0.25</c:v>
                </c:pt>
                <c:pt idx="58">
                  <c:v>0.1953125</c:v>
                </c:pt>
                <c:pt idx="59">
                  <c:v>0.16111110000000001</c:v>
                </c:pt>
                <c:pt idx="60">
                  <c:v>0.15384619999999999</c:v>
                </c:pt>
                <c:pt idx="61">
                  <c:v>0.1244019</c:v>
                </c:pt>
                <c:pt idx="62">
                  <c:v>0.1125</c:v>
                </c:pt>
                <c:pt idx="63">
                  <c:v>8.3333299999999999E-2</c:v>
                </c:pt>
              </c:numCache>
            </c:numRef>
          </c:xVal>
          <c:yVal>
            <c:numRef>
              <c:f>'Scatter MRK mental'!$U$4:$U$137</c:f>
              <c:numCache>
                <c:formatCode>General</c:formatCode>
                <c:ptCount val="134"/>
                <c:pt idx="0">
                  <c:v>0.81081080000000005</c:v>
                </c:pt>
                <c:pt idx="1">
                  <c:v>0.66949150000000002</c:v>
                </c:pt>
                <c:pt idx="2">
                  <c:v>0.69090910000000005</c:v>
                </c:pt>
                <c:pt idx="3">
                  <c:v>0.74137929999999996</c:v>
                </c:pt>
                <c:pt idx="4">
                  <c:v>0.78378380000000003</c:v>
                </c:pt>
                <c:pt idx="5">
                  <c:v>0.56000000000000005</c:v>
                </c:pt>
                <c:pt idx="6">
                  <c:v>0.24324319999999999</c:v>
                </c:pt>
                <c:pt idx="7">
                  <c:v>0.67073170000000004</c:v>
                </c:pt>
                <c:pt idx="8">
                  <c:v>0.73846160000000005</c:v>
                </c:pt>
                <c:pt idx="9">
                  <c:v>0.77011499999999999</c:v>
                </c:pt>
                <c:pt idx="10">
                  <c:v>0.83516480000000004</c:v>
                </c:pt>
                <c:pt idx="11">
                  <c:v>0.43442619999999998</c:v>
                </c:pt>
                <c:pt idx="12">
                  <c:v>0.8125</c:v>
                </c:pt>
                <c:pt idx="13">
                  <c:v>0.6958763</c:v>
                </c:pt>
                <c:pt idx="14">
                  <c:v>1</c:v>
                </c:pt>
                <c:pt idx="15">
                  <c:v>0.72941180000000005</c:v>
                </c:pt>
                <c:pt idx="16">
                  <c:v>0.60833329999999997</c:v>
                </c:pt>
                <c:pt idx="17">
                  <c:v>0.7571428</c:v>
                </c:pt>
                <c:pt idx="18">
                  <c:v>0.80368099999999998</c:v>
                </c:pt>
                <c:pt idx="19">
                  <c:v>0.49</c:v>
                </c:pt>
                <c:pt idx="20">
                  <c:v>0.80180180000000001</c:v>
                </c:pt>
                <c:pt idx="21">
                  <c:v>0.40909089999999998</c:v>
                </c:pt>
                <c:pt idx="22">
                  <c:v>0.44247789999999998</c:v>
                </c:pt>
                <c:pt idx="23">
                  <c:v>0.8223684</c:v>
                </c:pt>
                <c:pt idx="24">
                  <c:v>0.62068959999999995</c:v>
                </c:pt>
                <c:pt idx="25">
                  <c:v>0.5073529</c:v>
                </c:pt>
                <c:pt idx="26">
                  <c:v>0.67375890000000005</c:v>
                </c:pt>
                <c:pt idx="27">
                  <c:v>0.3333333</c:v>
                </c:pt>
                <c:pt idx="28">
                  <c:v>0.60360360000000002</c:v>
                </c:pt>
                <c:pt idx="29">
                  <c:v>0.75706209999999996</c:v>
                </c:pt>
                <c:pt idx="30">
                  <c:v>0.45652169999999997</c:v>
                </c:pt>
                <c:pt idx="31">
                  <c:v>2.0689699999999998E-2</c:v>
                </c:pt>
                <c:pt idx="32">
                  <c:v>0.21311479999999999</c:v>
                </c:pt>
                <c:pt idx="33">
                  <c:v>1</c:v>
                </c:pt>
                <c:pt idx="34">
                  <c:v>0.50666670000000003</c:v>
                </c:pt>
                <c:pt idx="35">
                  <c:v>0.90697680000000003</c:v>
                </c:pt>
                <c:pt idx="36">
                  <c:v>0.73972599999999999</c:v>
                </c:pt>
                <c:pt idx="37">
                  <c:v>0.60431650000000003</c:v>
                </c:pt>
                <c:pt idx="38">
                  <c:v>0.63157890000000005</c:v>
                </c:pt>
                <c:pt idx="39">
                  <c:v>0.65600000000000003</c:v>
                </c:pt>
                <c:pt idx="40">
                  <c:v>0.51948050000000001</c:v>
                </c:pt>
                <c:pt idx="41">
                  <c:v>0.53846159999999998</c:v>
                </c:pt>
                <c:pt idx="42">
                  <c:v>0.50476189999999999</c:v>
                </c:pt>
                <c:pt idx="43">
                  <c:v>0.53278689999999995</c:v>
                </c:pt>
                <c:pt idx="44">
                  <c:v>0.85454549999999996</c:v>
                </c:pt>
                <c:pt idx="45">
                  <c:v>0.86153849999999998</c:v>
                </c:pt>
                <c:pt idx="46">
                  <c:v>0.73846160000000005</c:v>
                </c:pt>
                <c:pt idx="47">
                  <c:v>0.46889950000000002</c:v>
                </c:pt>
                <c:pt idx="48">
                  <c:v>0.56666669999999997</c:v>
                </c:pt>
                <c:pt idx="49">
                  <c:v>0.15277779999999999</c:v>
                </c:pt>
                <c:pt idx="50">
                  <c:v>0.28571429999999998</c:v>
                </c:pt>
                <c:pt idx="51">
                  <c:v>0.70666660000000003</c:v>
                </c:pt>
                <c:pt idx="52">
                  <c:v>0.31764710000000002</c:v>
                </c:pt>
                <c:pt idx="53">
                  <c:v>0.29838710000000002</c:v>
                </c:pt>
                <c:pt idx="54">
                  <c:v>0.72131149999999999</c:v>
                </c:pt>
                <c:pt idx="55">
                  <c:v>0.76315789999999994</c:v>
                </c:pt>
                <c:pt idx="56">
                  <c:v>0.73</c:v>
                </c:pt>
                <c:pt idx="57">
                  <c:v>0.33928570000000002</c:v>
                </c:pt>
                <c:pt idx="58">
                  <c:v>3.90625E-2</c:v>
                </c:pt>
                <c:pt idx="59">
                  <c:v>0.1222222</c:v>
                </c:pt>
                <c:pt idx="60">
                  <c:v>0.74358979999999997</c:v>
                </c:pt>
                <c:pt idx="61">
                  <c:v>8.6124400000000004E-2</c:v>
                </c:pt>
                <c:pt idx="62">
                  <c:v>6.25E-2</c:v>
                </c:pt>
                <c:pt idx="63">
                  <c:v>2.7777799999999998E-2</c:v>
                </c:pt>
              </c:numCache>
            </c:numRef>
          </c:yVal>
          <c:bubbleSize>
            <c:numRef>
              <c:f>'Scatter MRK mental'!$W$4:$W$137</c:f>
              <c:numCache>
                <c:formatCode>General</c:formatCode>
                <c:ptCount val="134"/>
                <c:pt idx="0">
                  <c:v>74</c:v>
                </c:pt>
                <c:pt idx="1">
                  <c:v>118</c:v>
                </c:pt>
                <c:pt idx="2">
                  <c:v>165</c:v>
                </c:pt>
                <c:pt idx="3">
                  <c:v>58</c:v>
                </c:pt>
                <c:pt idx="4">
                  <c:v>74</c:v>
                </c:pt>
                <c:pt idx="5">
                  <c:v>100</c:v>
                </c:pt>
                <c:pt idx="6">
                  <c:v>74</c:v>
                </c:pt>
                <c:pt idx="7">
                  <c:v>82</c:v>
                </c:pt>
                <c:pt idx="8">
                  <c:v>65</c:v>
                </c:pt>
                <c:pt idx="9">
                  <c:v>174</c:v>
                </c:pt>
                <c:pt idx="10">
                  <c:v>182</c:v>
                </c:pt>
                <c:pt idx="11">
                  <c:v>244</c:v>
                </c:pt>
                <c:pt idx="12">
                  <c:v>48</c:v>
                </c:pt>
                <c:pt idx="13">
                  <c:v>194</c:v>
                </c:pt>
                <c:pt idx="14">
                  <c:v>19</c:v>
                </c:pt>
                <c:pt idx="15">
                  <c:v>170</c:v>
                </c:pt>
                <c:pt idx="16">
                  <c:v>120</c:v>
                </c:pt>
                <c:pt idx="17">
                  <c:v>70</c:v>
                </c:pt>
                <c:pt idx="18">
                  <c:v>163</c:v>
                </c:pt>
                <c:pt idx="19">
                  <c:v>100</c:v>
                </c:pt>
                <c:pt idx="20">
                  <c:v>111</c:v>
                </c:pt>
                <c:pt idx="21">
                  <c:v>66</c:v>
                </c:pt>
                <c:pt idx="22">
                  <c:v>113</c:v>
                </c:pt>
                <c:pt idx="23">
                  <c:v>152</c:v>
                </c:pt>
                <c:pt idx="24">
                  <c:v>145</c:v>
                </c:pt>
                <c:pt idx="25">
                  <c:v>136</c:v>
                </c:pt>
                <c:pt idx="26">
                  <c:v>141</c:v>
                </c:pt>
                <c:pt idx="27">
                  <c:v>135</c:v>
                </c:pt>
                <c:pt idx="28">
                  <c:v>111</c:v>
                </c:pt>
                <c:pt idx="29">
                  <c:v>177</c:v>
                </c:pt>
                <c:pt idx="30">
                  <c:v>46</c:v>
                </c:pt>
                <c:pt idx="31">
                  <c:v>145</c:v>
                </c:pt>
                <c:pt idx="32">
                  <c:v>61</c:v>
                </c:pt>
                <c:pt idx="33">
                  <c:v>23</c:v>
                </c:pt>
                <c:pt idx="34">
                  <c:v>75</c:v>
                </c:pt>
                <c:pt idx="35">
                  <c:v>43</c:v>
                </c:pt>
                <c:pt idx="36">
                  <c:v>73</c:v>
                </c:pt>
                <c:pt idx="37">
                  <c:v>139</c:v>
                </c:pt>
                <c:pt idx="38">
                  <c:v>114</c:v>
                </c:pt>
                <c:pt idx="39">
                  <c:v>125</c:v>
                </c:pt>
                <c:pt idx="40">
                  <c:v>154</c:v>
                </c:pt>
                <c:pt idx="41">
                  <c:v>78</c:v>
                </c:pt>
                <c:pt idx="42">
                  <c:v>105</c:v>
                </c:pt>
                <c:pt idx="43">
                  <c:v>122</c:v>
                </c:pt>
                <c:pt idx="44">
                  <c:v>55</c:v>
                </c:pt>
                <c:pt idx="45">
                  <c:v>130</c:v>
                </c:pt>
                <c:pt idx="46">
                  <c:v>65</c:v>
                </c:pt>
                <c:pt idx="47">
                  <c:v>209</c:v>
                </c:pt>
                <c:pt idx="48">
                  <c:v>30</c:v>
                </c:pt>
                <c:pt idx="49">
                  <c:v>72</c:v>
                </c:pt>
                <c:pt idx="50">
                  <c:v>70</c:v>
                </c:pt>
                <c:pt idx="51">
                  <c:v>75</c:v>
                </c:pt>
                <c:pt idx="52">
                  <c:v>85</c:v>
                </c:pt>
                <c:pt idx="53">
                  <c:v>124</c:v>
                </c:pt>
                <c:pt idx="54">
                  <c:v>122</c:v>
                </c:pt>
                <c:pt idx="55">
                  <c:v>76</c:v>
                </c:pt>
                <c:pt idx="56">
                  <c:v>100</c:v>
                </c:pt>
                <c:pt idx="57">
                  <c:v>112</c:v>
                </c:pt>
                <c:pt idx="58">
                  <c:v>128</c:v>
                </c:pt>
                <c:pt idx="59">
                  <c:v>180</c:v>
                </c:pt>
                <c:pt idx="60">
                  <c:v>39</c:v>
                </c:pt>
                <c:pt idx="61">
                  <c:v>209</c:v>
                </c:pt>
                <c:pt idx="62">
                  <c:v>80</c:v>
                </c:pt>
                <c:pt idx="63">
                  <c:v>144</c:v>
                </c:pt>
              </c:numCache>
            </c:numRef>
          </c:bubbleSize>
          <c:bubble3D val="0"/>
          <c:extLst xmlns:c16r2="http://schemas.microsoft.com/office/drawing/2015/06/chart">
            <c:ext xmlns:c16="http://schemas.microsoft.com/office/drawing/2014/chart" uri="{C3380CC4-5D6E-409C-BE32-E72D297353CC}">
              <c16:uniqueId val="{00000000-24C7-4E38-9B58-7F9D063935AF}"/>
            </c:ext>
          </c:extLst>
        </c:ser>
        <c:ser>
          <c:idx val="1"/>
          <c:order val="1"/>
          <c:spPr>
            <a:noFill/>
            <a:ln>
              <a:noFill/>
            </a:ln>
            <a:effectLst/>
          </c:spPr>
          <c:invertIfNegative val="0"/>
          <c:trendline>
            <c:spPr>
              <a:ln w="19050" cap="rnd">
                <a:solidFill>
                  <a:schemeClr val="accent2"/>
                </a:solidFill>
                <a:prstDash val="sysDot"/>
              </a:ln>
              <a:effectLst/>
            </c:spPr>
            <c:trendlineType val="linear"/>
            <c:dispRSqr val="0"/>
            <c:dispEq val="0"/>
          </c:trendline>
          <c:trendline>
            <c:spPr>
              <a:ln w="19050" cap="rnd">
                <a:solidFill>
                  <a:schemeClr val="accent3"/>
                </a:solidFill>
                <a:prstDash val="sysDot"/>
              </a:ln>
              <a:effectLst/>
            </c:spPr>
            <c:trendlineType val="linear"/>
            <c:dispRSqr val="0"/>
            <c:dispEq val="0"/>
          </c:trendline>
          <c:xVal>
            <c:numRef>
              <c:f>'Scatter MRK mental'!$V$4:$V$67</c:f>
              <c:numCache>
                <c:formatCode>General</c:formatCode>
                <c:ptCount val="64"/>
                <c:pt idx="0">
                  <c:v>1</c:v>
                </c:pt>
                <c:pt idx="1">
                  <c:v>0.9830508</c:v>
                </c:pt>
                <c:pt idx="2">
                  <c:v>0.95151509999999995</c:v>
                </c:pt>
                <c:pt idx="3">
                  <c:v>0.94827589999999995</c:v>
                </c:pt>
                <c:pt idx="4">
                  <c:v>0.90540540000000003</c:v>
                </c:pt>
                <c:pt idx="5">
                  <c:v>0.9</c:v>
                </c:pt>
                <c:pt idx="6">
                  <c:v>0.8783784</c:v>
                </c:pt>
                <c:pt idx="7">
                  <c:v>0.87804879999999996</c:v>
                </c:pt>
                <c:pt idx="8">
                  <c:v>0.87692309999999996</c:v>
                </c:pt>
                <c:pt idx="9">
                  <c:v>0.87356319999999998</c:v>
                </c:pt>
                <c:pt idx="10">
                  <c:v>0.86813189999999996</c:v>
                </c:pt>
                <c:pt idx="11">
                  <c:v>0.86475409999999997</c:v>
                </c:pt>
                <c:pt idx="12">
                  <c:v>0.85416669999999995</c:v>
                </c:pt>
                <c:pt idx="13">
                  <c:v>0.85051549999999998</c:v>
                </c:pt>
                <c:pt idx="14">
                  <c:v>0.84210529999999995</c:v>
                </c:pt>
                <c:pt idx="15">
                  <c:v>0.83529410000000004</c:v>
                </c:pt>
                <c:pt idx="16">
                  <c:v>0.83333330000000005</c:v>
                </c:pt>
                <c:pt idx="17">
                  <c:v>0.82857139999999996</c:v>
                </c:pt>
                <c:pt idx="18">
                  <c:v>0.82822079999999998</c:v>
                </c:pt>
                <c:pt idx="19">
                  <c:v>0.82</c:v>
                </c:pt>
                <c:pt idx="20">
                  <c:v>0.81081080000000005</c:v>
                </c:pt>
                <c:pt idx="21">
                  <c:v>0.78787879999999999</c:v>
                </c:pt>
                <c:pt idx="22">
                  <c:v>0.76991149999999997</c:v>
                </c:pt>
                <c:pt idx="23">
                  <c:v>0.76315789999999994</c:v>
                </c:pt>
                <c:pt idx="24">
                  <c:v>0.737931</c:v>
                </c:pt>
                <c:pt idx="25">
                  <c:v>0.73529409999999995</c:v>
                </c:pt>
                <c:pt idx="26">
                  <c:v>0.72340420000000005</c:v>
                </c:pt>
                <c:pt idx="27">
                  <c:v>0.7111111</c:v>
                </c:pt>
                <c:pt idx="28">
                  <c:v>0.70270270000000001</c:v>
                </c:pt>
                <c:pt idx="29">
                  <c:v>0.67796610000000002</c:v>
                </c:pt>
                <c:pt idx="30">
                  <c:v>0.65217389999999997</c:v>
                </c:pt>
                <c:pt idx="31">
                  <c:v>0.62758619999999998</c:v>
                </c:pt>
                <c:pt idx="32">
                  <c:v>0.62295080000000003</c:v>
                </c:pt>
                <c:pt idx="33">
                  <c:v>0.6086956</c:v>
                </c:pt>
                <c:pt idx="34">
                  <c:v>0.58666660000000004</c:v>
                </c:pt>
                <c:pt idx="35">
                  <c:v>0.58139529999999995</c:v>
                </c:pt>
                <c:pt idx="36">
                  <c:v>0.56164380000000003</c:v>
                </c:pt>
                <c:pt idx="37">
                  <c:v>0.55395680000000003</c:v>
                </c:pt>
                <c:pt idx="38">
                  <c:v>0.5526316</c:v>
                </c:pt>
                <c:pt idx="39">
                  <c:v>0.55200000000000005</c:v>
                </c:pt>
                <c:pt idx="40">
                  <c:v>0.53896109999999997</c:v>
                </c:pt>
                <c:pt idx="41">
                  <c:v>0.52564100000000002</c:v>
                </c:pt>
                <c:pt idx="42">
                  <c:v>0.52380959999999999</c:v>
                </c:pt>
                <c:pt idx="43">
                  <c:v>0.5163934</c:v>
                </c:pt>
                <c:pt idx="44">
                  <c:v>0.50909090000000001</c:v>
                </c:pt>
                <c:pt idx="45">
                  <c:v>0.50769229999999999</c:v>
                </c:pt>
                <c:pt idx="46">
                  <c:v>0.44615379999999999</c:v>
                </c:pt>
                <c:pt idx="47">
                  <c:v>0.43540669999999998</c:v>
                </c:pt>
                <c:pt idx="48">
                  <c:v>0.43333329999999998</c:v>
                </c:pt>
                <c:pt idx="49">
                  <c:v>0.43055559999999998</c:v>
                </c:pt>
                <c:pt idx="50">
                  <c:v>0.41428569999999998</c:v>
                </c:pt>
                <c:pt idx="51">
                  <c:v>0.41333330000000001</c:v>
                </c:pt>
                <c:pt idx="52">
                  <c:v>0.36470590000000003</c:v>
                </c:pt>
                <c:pt idx="53">
                  <c:v>0.33064519999999997</c:v>
                </c:pt>
                <c:pt idx="54">
                  <c:v>0.32786880000000002</c:v>
                </c:pt>
                <c:pt idx="55">
                  <c:v>0.3026316</c:v>
                </c:pt>
                <c:pt idx="56">
                  <c:v>0.28999999999999998</c:v>
                </c:pt>
                <c:pt idx="57">
                  <c:v>0.25</c:v>
                </c:pt>
                <c:pt idx="58">
                  <c:v>0.1953125</c:v>
                </c:pt>
                <c:pt idx="59">
                  <c:v>0.16111110000000001</c:v>
                </c:pt>
                <c:pt idx="60">
                  <c:v>0.15384619999999999</c:v>
                </c:pt>
                <c:pt idx="61">
                  <c:v>0.1244019</c:v>
                </c:pt>
                <c:pt idx="62">
                  <c:v>0.1125</c:v>
                </c:pt>
                <c:pt idx="63">
                  <c:v>8.3333299999999999E-2</c:v>
                </c:pt>
              </c:numCache>
            </c:numRef>
          </c:xVal>
          <c:yVal>
            <c:numRef>
              <c:f>'Scatter MRK mental'!$Z$4:$Z$67</c:f>
              <c:numCache>
                <c:formatCode>General</c:formatCode>
                <c:ptCount val="64"/>
                <c:pt idx="0">
                  <c:v>0.76534760000000002</c:v>
                </c:pt>
                <c:pt idx="1">
                  <c:v>0.75564144739911998</c:v>
                </c:pt>
                <c:pt idx="2">
                  <c:v>0.73758216928713993</c:v>
                </c:pt>
                <c:pt idx="3">
                  <c:v>0.73572720448025997</c:v>
                </c:pt>
                <c:pt idx="4">
                  <c:v>0.71117692393156007</c:v>
                </c:pt>
                <c:pt idx="5">
                  <c:v>0.70808146000000005</c:v>
                </c:pt>
                <c:pt idx="6">
                  <c:v>0.69569960427375999</c:v>
                </c:pt>
                <c:pt idx="7">
                  <c:v>0.69551085507632004</c:v>
                </c:pt>
                <c:pt idx="8">
                  <c:v>0.69486621013834005</c:v>
                </c:pt>
                <c:pt idx="9">
                  <c:v>0.69294212510048003</c:v>
                </c:pt>
                <c:pt idx="10">
                  <c:v>0.68983182923865993</c:v>
                </c:pt>
                <c:pt idx="11">
                  <c:v>0.68789749356174001</c:v>
                </c:pt>
                <c:pt idx="12">
                  <c:v>0.68183449825538001</c:v>
                </c:pt>
                <c:pt idx="13">
                  <c:v>0.67974359695169995</c:v>
                </c:pt>
                <c:pt idx="14">
                  <c:v>0.67492740004541996</c:v>
                </c:pt>
                <c:pt idx="15">
                  <c:v>0.67102688871773997</c:v>
                </c:pt>
                <c:pt idx="16">
                  <c:v>0.66990401424461998</c:v>
                </c:pt>
                <c:pt idx="17">
                  <c:v>0.66717705792395998</c:v>
                </c:pt>
                <c:pt idx="18">
                  <c:v>0.66697628283711996</c:v>
                </c:pt>
                <c:pt idx="19">
                  <c:v>0.66226854800000001</c:v>
                </c:pt>
                <c:pt idx="20">
                  <c:v>0.65700624786312001</c:v>
                </c:pt>
                <c:pt idx="21">
                  <c:v>0.64387397663832002</c:v>
                </c:pt>
                <c:pt idx="22">
                  <c:v>0.63358479746609997</c:v>
                </c:pt>
                <c:pt idx="23">
                  <c:v>0.62971727143505996</c:v>
                </c:pt>
                <c:pt idx="24">
                  <c:v>0.61527079956340003</c:v>
                </c:pt>
                <c:pt idx="25">
                  <c:v>0.61376074871774</c:v>
                </c:pt>
                <c:pt idx="26">
                  <c:v>0.60695186193787998</c:v>
                </c:pt>
                <c:pt idx="27">
                  <c:v>0.59991207808154001</c:v>
                </c:pt>
                <c:pt idx="28">
                  <c:v>0.59509691196577996</c:v>
                </c:pt>
                <c:pt idx="29">
                  <c:v>0.58093121597854003</c:v>
                </c:pt>
                <c:pt idx="30">
                  <c:v>0.56616101861745993</c:v>
                </c:pt>
                <c:pt idx="31">
                  <c:v>0.55208059191268</c:v>
                </c:pt>
                <c:pt idx="32">
                  <c:v>0.54942607725911996</c:v>
                </c:pt>
                <c:pt idx="33">
                  <c:v>0.54126267446984</c:v>
                </c:pt>
                <c:pt idx="34">
                  <c:v>0.52864751648924002</c:v>
                </c:pt>
                <c:pt idx="35">
                  <c:v>0.52562884645141994</c:v>
                </c:pt>
                <c:pt idx="36">
                  <c:v>0.51431792480932004</c:v>
                </c:pt>
                <c:pt idx="37">
                  <c:v>0.50991587662752003</c:v>
                </c:pt>
                <c:pt idx="38">
                  <c:v>0.50915698574024004</c:v>
                </c:pt>
                <c:pt idx="39">
                  <c:v>0.50879529280000002</c:v>
                </c:pt>
                <c:pt idx="40">
                  <c:v>0.50132841807153994</c:v>
                </c:pt>
                <c:pt idx="41">
                  <c:v>0.49370051095739997</c:v>
                </c:pt>
                <c:pt idx="42">
                  <c:v>0.49265173886944003</c:v>
                </c:pt>
                <c:pt idx="43">
                  <c:v>0.48840476739476002</c:v>
                </c:pt>
                <c:pt idx="44">
                  <c:v>0.48422290752125996</c:v>
                </c:pt>
                <c:pt idx="45">
                  <c:v>0.48342198328721997</c:v>
                </c:pt>
                <c:pt idx="46">
                  <c:v>0.44818125972332001</c:v>
                </c:pt>
                <c:pt idx="47">
                  <c:v>0.44202681039137998</c:v>
                </c:pt>
                <c:pt idx="48">
                  <c:v>0.44083945424462001</c:v>
                </c:pt>
                <c:pt idx="49">
                  <c:v>0.43924877267383999</c:v>
                </c:pt>
                <c:pt idx="50">
                  <c:v>0.42993162896198001</c:v>
                </c:pt>
                <c:pt idx="51">
                  <c:v>0.42938622624461997</c:v>
                </c:pt>
                <c:pt idx="52">
                  <c:v>0.40153919128226001</c:v>
                </c:pt>
                <c:pt idx="53">
                  <c:v>0.38203394313527994</c:v>
                </c:pt>
                <c:pt idx="54">
                  <c:v>0.38044400602432005</c:v>
                </c:pt>
                <c:pt idx="55">
                  <c:v>0.36599163574023996</c:v>
                </c:pt>
                <c:pt idx="56">
                  <c:v>0.35875800599999996</c:v>
                </c:pt>
                <c:pt idx="57">
                  <c:v>0.33585155</c:v>
                </c:pt>
                <c:pt idx="58">
                  <c:v>0.30453412968749999</c:v>
                </c:pt>
                <c:pt idx="59">
                  <c:v>0.28494830808154004</c:v>
                </c:pt>
                <c:pt idx="60">
                  <c:v>0.28078798027668</c:v>
                </c:pt>
                <c:pt idx="61">
                  <c:v>0.26392636621665999</c:v>
                </c:pt>
                <c:pt idx="62">
                  <c:v>0.25711060750000003</c:v>
                </c:pt>
                <c:pt idx="63">
                  <c:v>0.24040796424461999</c:v>
                </c:pt>
              </c:numCache>
            </c:numRef>
          </c:yVal>
          <c:bubbleSize>
            <c:numRef>
              <c:f>'Scatter MRK mental'!$W$4:$W$67</c:f>
              <c:numCache>
                <c:formatCode>General</c:formatCode>
                <c:ptCount val="64"/>
                <c:pt idx="0">
                  <c:v>74</c:v>
                </c:pt>
                <c:pt idx="1">
                  <c:v>118</c:v>
                </c:pt>
                <c:pt idx="2">
                  <c:v>165</c:v>
                </c:pt>
                <c:pt idx="3">
                  <c:v>58</c:v>
                </c:pt>
                <c:pt idx="4">
                  <c:v>74</c:v>
                </c:pt>
                <c:pt idx="5">
                  <c:v>100</c:v>
                </c:pt>
                <c:pt idx="6">
                  <c:v>74</c:v>
                </c:pt>
                <c:pt idx="7">
                  <c:v>82</c:v>
                </c:pt>
                <c:pt idx="8">
                  <c:v>65</c:v>
                </c:pt>
                <c:pt idx="9">
                  <c:v>174</c:v>
                </c:pt>
                <c:pt idx="10">
                  <c:v>182</c:v>
                </c:pt>
                <c:pt idx="11">
                  <c:v>244</c:v>
                </c:pt>
                <c:pt idx="12">
                  <c:v>48</c:v>
                </c:pt>
                <c:pt idx="13">
                  <c:v>194</c:v>
                </c:pt>
                <c:pt idx="14">
                  <c:v>19</c:v>
                </c:pt>
                <c:pt idx="15">
                  <c:v>170</c:v>
                </c:pt>
                <c:pt idx="16">
                  <c:v>120</c:v>
                </c:pt>
                <c:pt idx="17">
                  <c:v>70</c:v>
                </c:pt>
                <c:pt idx="18">
                  <c:v>163</c:v>
                </c:pt>
                <c:pt idx="19">
                  <c:v>100</c:v>
                </c:pt>
                <c:pt idx="20">
                  <c:v>111</c:v>
                </c:pt>
                <c:pt idx="21">
                  <c:v>66</c:v>
                </c:pt>
                <c:pt idx="22">
                  <c:v>113</c:v>
                </c:pt>
                <c:pt idx="23">
                  <c:v>152</c:v>
                </c:pt>
                <c:pt idx="24">
                  <c:v>145</c:v>
                </c:pt>
                <c:pt idx="25">
                  <c:v>136</c:v>
                </c:pt>
                <c:pt idx="26">
                  <c:v>141</c:v>
                </c:pt>
                <c:pt idx="27">
                  <c:v>135</c:v>
                </c:pt>
                <c:pt idx="28">
                  <c:v>111</c:v>
                </c:pt>
                <c:pt idx="29">
                  <c:v>177</c:v>
                </c:pt>
                <c:pt idx="30">
                  <c:v>46</c:v>
                </c:pt>
                <c:pt idx="31">
                  <c:v>145</c:v>
                </c:pt>
                <c:pt idx="32">
                  <c:v>61</c:v>
                </c:pt>
                <c:pt idx="33">
                  <c:v>23</c:v>
                </c:pt>
                <c:pt idx="34">
                  <c:v>75</c:v>
                </c:pt>
                <c:pt idx="35">
                  <c:v>43</c:v>
                </c:pt>
                <c:pt idx="36">
                  <c:v>73</c:v>
                </c:pt>
                <c:pt idx="37">
                  <c:v>139</c:v>
                </c:pt>
                <c:pt idx="38">
                  <c:v>114</c:v>
                </c:pt>
                <c:pt idx="39">
                  <c:v>125</c:v>
                </c:pt>
                <c:pt idx="40">
                  <c:v>154</c:v>
                </c:pt>
                <c:pt idx="41">
                  <c:v>78</c:v>
                </c:pt>
                <c:pt idx="42">
                  <c:v>105</c:v>
                </c:pt>
                <c:pt idx="43">
                  <c:v>122</c:v>
                </c:pt>
                <c:pt idx="44">
                  <c:v>55</c:v>
                </c:pt>
                <c:pt idx="45">
                  <c:v>130</c:v>
                </c:pt>
                <c:pt idx="46">
                  <c:v>65</c:v>
                </c:pt>
                <c:pt idx="47">
                  <c:v>209</c:v>
                </c:pt>
                <c:pt idx="48">
                  <c:v>30</c:v>
                </c:pt>
                <c:pt idx="49">
                  <c:v>72</c:v>
                </c:pt>
                <c:pt idx="50">
                  <c:v>70</c:v>
                </c:pt>
                <c:pt idx="51">
                  <c:v>75</c:v>
                </c:pt>
                <c:pt idx="52">
                  <c:v>85</c:v>
                </c:pt>
                <c:pt idx="53">
                  <c:v>124</c:v>
                </c:pt>
                <c:pt idx="54">
                  <c:v>122</c:v>
                </c:pt>
                <c:pt idx="55">
                  <c:v>76</c:v>
                </c:pt>
                <c:pt idx="56">
                  <c:v>100</c:v>
                </c:pt>
                <c:pt idx="57">
                  <c:v>112</c:v>
                </c:pt>
                <c:pt idx="58">
                  <c:v>128</c:v>
                </c:pt>
                <c:pt idx="59">
                  <c:v>180</c:v>
                </c:pt>
                <c:pt idx="60">
                  <c:v>39</c:v>
                </c:pt>
                <c:pt idx="61">
                  <c:v>209</c:v>
                </c:pt>
                <c:pt idx="62">
                  <c:v>80</c:v>
                </c:pt>
                <c:pt idx="63">
                  <c:v>144</c:v>
                </c:pt>
              </c:numCache>
            </c:numRef>
          </c:bubbleSize>
          <c:bubble3D val="0"/>
          <c:extLst xmlns:c16r2="http://schemas.microsoft.com/office/drawing/2015/06/chart">
            <c:ext xmlns:c16="http://schemas.microsoft.com/office/drawing/2014/chart" uri="{C3380CC4-5D6E-409C-BE32-E72D297353CC}">
              <c16:uniqueId val="{00000003-24C7-4E38-9B58-7F9D063935AF}"/>
            </c:ext>
          </c:extLst>
        </c:ser>
        <c:dLbls>
          <c:showLegendKey val="0"/>
          <c:showVal val="0"/>
          <c:showCatName val="0"/>
          <c:showSerName val="0"/>
          <c:showPercent val="0"/>
          <c:showBubbleSize val="0"/>
        </c:dLbls>
        <c:bubbleScale val="50"/>
        <c:showNegBubbles val="0"/>
        <c:axId val="220725440"/>
        <c:axId val="220725832"/>
      </c:bubbleChart>
      <c:valAx>
        <c:axId val="220725440"/>
        <c:scaling>
          <c:orientation val="minMax"/>
          <c:max val="1.1000000000000001"/>
          <c:min val="0"/>
        </c:scaling>
        <c:delete val="0"/>
        <c:axPos val="b"/>
        <c:majorGridlines>
          <c:spPr>
            <a:ln w="9525" cap="flat" cmpd="sng" algn="ctr">
              <a:solidFill>
                <a:schemeClr val="tx1">
                  <a:lumMod val="15000"/>
                  <a:lumOff val="85000"/>
                </a:schemeClr>
              </a:solidFill>
              <a:prstDash val="sysDash"/>
              <a:round/>
            </a:ln>
            <a:effectLst/>
          </c:spPr>
        </c:majorGridlines>
        <c:numFmt formatCode="#,##0.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0725832"/>
        <c:crosses val="autoZero"/>
        <c:crossBetween val="midCat"/>
        <c:majorUnit val="0.1"/>
      </c:valAx>
      <c:valAx>
        <c:axId val="220725832"/>
        <c:scaling>
          <c:orientation val="minMax"/>
        </c:scaling>
        <c:delete val="0"/>
        <c:axPos val="l"/>
        <c:majorGridlines>
          <c:spPr>
            <a:ln w="9525" cap="flat" cmpd="sng" algn="ctr">
              <a:solidFill>
                <a:schemeClr val="tx1">
                  <a:lumMod val="15000"/>
                  <a:lumOff val="85000"/>
                </a:schemeClr>
              </a:solidFill>
              <a:prstDash val="sysDash"/>
              <a:round/>
            </a:ln>
            <a:effectLst/>
          </c:spPr>
        </c:majorGridlines>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072544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userShapes r:id="rId4"/>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9104150442733"/>
          <c:y val="5.0925925925925923E-2"/>
          <c:w val="0.79869285570072968"/>
          <c:h val="0.7191784433059405"/>
        </c:manualLayout>
      </c:layout>
      <c:barChart>
        <c:barDir val="bar"/>
        <c:grouping val="percentStacked"/>
        <c:varyColors val="0"/>
        <c:ser>
          <c:idx val="0"/>
          <c:order val="0"/>
          <c:tx>
            <c:strRef>
              <c:f>'prúdy 2008-2018 graf'!$A$8</c:f>
              <c:strCache>
                <c:ptCount val="1"/>
                <c:pt idx="0">
                  <c:v>Integrácia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'prúdy 2008-2018 graf'!$B$7:$C$7</c:f>
              <c:numCache>
                <c:formatCode>General</c:formatCode>
                <c:ptCount val="2"/>
                <c:pt idx="0">
                  <c:v>2018</c:v>
                </c:pt>
                <c:pt idx="1">
                  <c:v>2008</c:v>
                </c:pt>
              </c:numCache>
            </c:numRef>
          </c:cat>
          <c:val>
            <c:numRef>
              <c:f>'prúdy 2008-2018 graf'!$B$8:$C$8</c:f>
              <c:numCache>
                <c:formatCode>0%</c:formatCode>
                <c:ptCount val="2"/>
                <c:pt idx="0">
                  <c:v>0.54953477730323363</c:v>
                </c:pt>
                <c:pt idx="1">
                  <c:v>0.37799887274242167</c:v>
                </c:pt>
              </c:numCache>
            </c:numRef>
          </c:val>
          <c:extLst xmlns:c16r2="http://schemas.microsoft.com/office/drawing/2015/06/chart">
            <c:ext xmlns:c16="http://schemas.microsoft.com/office/drawing/2014/chart" uri="{C3380CC4-5D6E-409C-BE32-E72D297353CC}">
              <c16:uniqueId val="{00000000-2BFC-4F36-8C07-F84D64BB5CD2}"/>
            </c:ext>
          </c:extLst>
        </c:ser>
        <c:ser>
          <c:idx val="1"/>
          <c:order val="1"/>
          <c:tx>
            <c:strRef>
              <c:f>'prúdy 2008-2018 graf'!$A$9</c:f>
              <c:strCache>
                <c:ptCount val="1"/>
                <c:pt idx="0">
                  <c:v>Špeciálne triedy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'prúdy 2008-2018 graf'!$B$7:$C$7</c:f>
              <c:numCache>
                <c:formatCode>General</c:formatCode>
                <c:ptCount val="2"/>
                <c:pt idx="0">
                  <c:v>2018</c:v>
                </c:pt>
                <c:pt idx="1">
                  <c:v>2008</c:v>
                </c:pt>
              </c:numCache>
            </c:numRef>
          </c:cat>
          <c:val>
            <c:numRef>
              <c:f>'prúdy 2008-2018 graf'!$B$9:$C$9</c:f>
              <c:numCache>
                <c:formatCode>0%</c:formatCode>
                <c:ptCount val="2"/>
                <c:pt idx="0">
                  <c:v>0.13100000000000001</c:v>
                </c:pt>
                <c:pt idx="1">
                  <c:v>0.18158649251353934</c:v>
                </c:pt>
              </c:numCache>
            </c:numRef>
          </c:val>
          <c:extLst xmlns:c16r2="http://schemas.microsoft.com/office/drawing/2015/06/chart">
            <c:ext xmlns:c16="http://schemas.microsoft.com/office/drawing/2014/chart" uri="{C3380CC4-5D6E-409C-BE32-E72D297353CC}">
              <c16:uniqueId val="{00000001-2BFC-4F36-8C07-F84D64BB5CD2}"/>
            </c:ext>
          </c:extLst>
        </c:ser>
        <c:ser>
          <c:idx val="2"/>
          <c:order val="2"/>
          <c:tx>
            <c:strRef>
              <c:f>'prúdy 2008-2018 graf'!$A$10</c:f>
              <c:strCache>
                <c:ptCount val="1"/>
                <c:pt idx="0">
                  <c:v>Špeciálne školy</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'prúdy 2008-2018 graf'!$B$7:$C$7</c:f>
              <c:numCache>
                <c:formatCode>General</c:formatCode>
                <c:ptCount val="2"/>
                <c:pt idx="0">
                  <c:v>2018</c:v>
                </c:pt>
                <c:pt idx="1">
                  <c:v>2008</c:v>
                </c:pt>
              </c:numCache>
            </c:numRef>
          </c:cat>
          <c:val>
            <c:numRef>
              <c:f>'prúdy 2008-2018 graf'!$B$10:$C$10</c:f>
              <c:numCache>
                <c:formatCode>0%</c:formatCode>
                <c:ptCount val="2"/>
                <c:pt idx="0">
                  <c:v>0.31871568029286151</c:v>
                </c:pt>
                <c:pt idx="1">
                  <c:v>0.44041463474403902</c:v>
                </c:pt>
              </c:numCache>
            </c:numRef>
          </c:val>
          <c:extLst xmlns:c16r2="http://schemas.microsoft.com/office/drawing/2015/06/chart">
            <c:ext xmlns:c16="http://schemas.microsoft.com/office/drawing/2014/chart" uri="{C3380CC4-5D6E-409C-BE32-E72D297353CC}">
              <c16:uniqueId val="{00000002-2BFC-4F36-8C07-F84D64BB5CD2}"/>
            </c:ext>
          </c:extLst>
        </c:ser>
        <c:dLbls>
          <c:dLblPos val="ctr"/>
          <c:showLegendKey val="0"/>
          <c:showVal val="1"/>
          <c:showCatName val="0"/>
          <c:showSerName val="0"/>
          <c:showPercent val="0"/>
          <c:showBubbleSize val="0"/>
        </c:dLbls>
        <c:gapWidth val="150"/>
        <c:overlap val="100"/>
        <c:axId val="220726616"/>
        <c:axId val="220727008"/>
      </c:barChart>
      <c:catAx>
        <c:axId val="220726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crossAx val="220727008"/>
        <c:crosses val="autoZero"/>
        <c:auto val="1"/>
        <c:lblAlgn val="ctr"/>
        <c:lblOffset val="100"/>
        <c:noMultiLvlLbl val="0"/>
      </c:catAx>
      <c:valAx>
        <c:axId val="220727008"/>
        <c:scaling>
          <c:orientation val="minMax"/>
        </c:scaling>
        <c:delete val="0"/>
        <c:axPos val="b"/>
        <c:majorGridlines>
          <c:spPr>
            <a:ln w="9525" cap="flat" cmpd="sng" algn="ctr">
              <a:solidFill>
                <a:schemeClr val="tx1">
                  <a:lumMod val="15000"/>
                  <a:lumOff val="85000"/>
                </a:schemeClr>
              </a:solidFill>
              <a:prstDash val="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crossAx val="220726616"/>
        <c:crosses val="autoZero"/>
        <c:crossBetween val="between"/>
      </c:valAx>
      <c:spPr>
        <a:noFill/>
        <a:ln w="25400">
          <a:noFill/>
        </a:ln>
        <a:effectLst/>
      </c:spPr>
    </c:plotArea>
    <c:legend>
      <c:legendPos val="b"/>
      <c:layout>
        <c:manualLayout>
          <c:xMode val="edge"/>
          <c:yMode val="edge"/>
          <c:x val="4.6111928316652721E-2"/>
          <c:y val="0.92187463466629993"/>
          <c:w val="0.95061617297837775"/>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baseline="0">
          <a:solidFill>
            <a:schemeClr val="tx1"/>
          </a:solidFill>
          <a:latin typeface="Arial Narrow" panose="020B0606020202030204" pitchFamily="34" charset="0"/>
        </a:defRPr>
      </a:pPr>
      <a:endParaRPr lang="sk-SK"/>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12984808125751"/>
          <c:y val="5.0925925925925923E-2"/>
          <c:w val="0.83475173850691342"/>
          <c:h val="0.84881202076814632"/>
        </c:manualLayout>
      </c:layout>
      <c:barChart>
        <c:barDir val="col"/>
        <c:grouping val="clustered"/>
        <c:varyColors val="0"/>
        <c:ser>
          <c:idx val="0"/>
          <c:order val="0"/>
          <c:tx>
            <c:strRef>
              <c:f>'prúdy 2008-2018 graf'!$B$1</c:f>
              <c:strCache>
                <c:ptCount val="1"/>
                <c:pt idx="0">
                  <c:v>2008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'prúdy 2008-2018 graf'!$A$2:$A$4</c:f>
              <c:strCache>
                <c:ptCount val="3"/>
                <c:pt idx="0">
                  <c:v>Integrácia</c:v>
                </c:pt>
                <c:pt idx="1">
                  <c:v>Špeciálne triedy</c:v>
                </c:pt>
                <c:pt idx="2">
                  <c:v>Špeciálne školy</c:v>
                </c:pt>
              </c:strCache>
            </c:strRef>
          </c:cat>
          <c:val>
            <c:numRef>
              <c:f>'prúdy 2008-2018 graf'!$B$2:$B$4</c:f>
              <c:numCache>
                <c:formatCode>General</c:formatCode>
                <c:ptCount val="3"/>
                <c:pt idx="0">
                  <c:v>15425</c:v>
                </c:pt>
                <c:pt idx="1">
                  <c:v>7410</c:v>
                </c:pt>
                <c:pt idx="2">
                  <c:v>17972</c:v>
                </c:pt>
              </c:numCache>
            </c:numRef>
          </c:val>
          <c:extLst xmlns:c16r2="http://schemas.microsoft.com/office/drawing/2015/06/chart">
            <c:ext xmlns:c16="http://schemas.microsoft.com/office/drawing/2014/chart" uri="{C3380CC4-5D6E-409C-BE32-E72D297353CC}">
              <c16:uniqueId val="{00000000-C58D-4DF0-A4A8-0EC79F6292CD}"/>
            </c:ext>
          </c:extLst>
        </c:ser>
        <c:ser>
          <c:idx val="1"/>
          <c:order val="1"/>
          <c:tx>
            <c:strRef>
              <c:f>'prúdy 2008-2018 graf'!$C$1</c:f>
              <c:strCache>
                <c:ptCount val="1"/>
                <c:pt idx="0">
                  <c:v>2018</c:v>
                </c:pt>
              </c:strCache>
            </c:strRef>
          </c:tx>
          <c:spPr>
            <a:solidFill>
              <a:schemeClr val="accent3"/>
            </a:solidFill>
            <a:ln>
              <a:noFill/>
            </a:ln>
            <a:effectLst/>
          </c:spPr>
          <c:invertIfNegative val="0"/>
          <c:dLbls>
            <c:dLbl>
              <c:idx val="2"/>
              <c:layout>
                <c:manualLayout>
                  <c:x val="1.3745704467353783E-2"/>
                  <c:y val="1.164483260553129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7CA-41B0-80A7-BDD604C54BB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'prúdy 2008-2018 graf'!$A$2:$A$4</c:f>
              <c:strCache>
                <c:ptCount val="3"/>
                <c:pt idx="0">
                  <c:v>Integrácia</c:v>
                </c:pt>
                <c:pt idx="1">
                  <c:v>Špeciálne triedy</c:v>
                </c:pt>
                <c:pt idx="2">
                  <c:v>Špeciálne školy</c:v>
                </c:pt>
              </c:strCache>
            </c:strRef>
          </c:cat>
          <c:val>
            <c:numRef>
              <c:f>'prúdy 2008-2018 graf'!$C$2:$C$4</c:f>
              <c:numCache>
                <c:formatCode>General</c:formatCode>
                <c:ptCount val="3"/>
                <c:pt idx="0">
                  <c:v>28822</c:v>
                </c:pt>
                <c:pt idx="1">
                  <c:v>6910</c:v>
                </c:pt>
                <c:pt idx="2">
                  <c:v>16716</c:v>
                </c:pt>
              </c:numCache>
            </c:numRef>
          </c:val>
          <c:extLst xmlns:c16r2="http://schemas.microsoft.com/office/drawing/2015/06/chart">
            <c:ext xmlns:c16="http://schemas.microsoft.com/office/drawing/2014/chart" uri="{C3380CC4-5D6E-409C-BE32-E72D297353CC}">
              <c16:uniqueId val="{00000001-C58D-4DF0-A4A8-0EC79F6292CD}"/>
            </c:ext>
          </c:extLst>
        </c:ser>
        <c:dLbls>
          <c:dLblPos val="outEnd"/>
          <c:showLegendKey val="0"/>
          <c:showVal val="1"/>
          <c:showCatName val="0"/>
          <c:showSerName val="0"/>
          <c:showPercent val="0"/>
          <c:showBubbleSize val="0"/>
        </c:dLbls>
        <c:gapWidth val="219"/>
        <c:overlap val="-27"/>
        <c:axId val="220727792"/>
        <c:axId val="220728184"/>
      </c:barChart>
      <c:catAx>
        <c:axId val="22072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crossAx val="220728184"/>
        <c:crosses val="autoZero"/>
        <c:auto val="1"/>
        <c:lblAlgn val="ctr"/>
        <c:lblOffset val="100"/>
        <c:noMultiLvlLbl val="0"/>
      </c:catAx>
      <c:valAx>
        <c:axId val="220728184"/>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crossAx val="220727792"/>
        <c:crosses val="autoZero"/>
        <c:crossBetween val="between"/>
      </c:valAx>
      <c:spPr>
        <a:noFill/>
        <a:ln>
          <a:noFill/>
        </a:ln>
        <a:effectLst/>
      </c:spPr>
    </c:plotArea>
    <c:legend>
      <c:legendPos val="tr"/>
      <c:layout>
        <c:manualLayout>
          <c:xMode val="edge"/>
          <c:yMode val="edge"/>
          <c:x val="0.74986858601437711"/>
          <c:y val="6.9868995633187769E-2"/>
          <c:w val="0.22264000505091502"/>
          <c:h val="0.187343350640121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900" baseline="0">
          <a:solidFill>
            <a:schemeClr val="tx1"/>
          </a:solidFill>
          <a:latin typeface="Arial Narrow" panose="020B0606020202030204" pitchFamily="34" charset="0"/>
        </a:defRPr>
      </a:pPr>
      <a:endParaRPr lang="sk-SK"/>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559677921615728E-2"/>
          <c:y val="5.4120541205412057E-2"/>
          <c:w val="0.90558156501623732"/>
          <c:h val="0.74473836340077748"/>
        </c:manualLayout>
      </c:layout>
      <c:barChart>
        <c:barDir val="col"/>
        <c:grouping val="clustered"/>
        <c:varyColors val="0"/>
        <c:ser>
          <c:idx val="0"/>
          <c:order val="0"/>
          <c:tx>
            <c:strRef>
              <c:f>Výcucy!$A$32</c:f>
              <c:strCache>
                <c:ptCount val="1"/>
                <c:pt idx="0">
                  <c:v>Počet požadovaných PA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Výcucy!$B$31:$I$31</c:f>
              <c:numCache>
                <c:formatCode>General</c:formatCode>
                <c:ptCount val="8"/>
                <c:pt idx="0">
                  <c:v>2012</c:v>
                </c:pt>
                <c:pt idx="1">
                  <c:v>2013</c:v>
                </c:pt>
                <c:pt idx="2">
                  <c:v>2014</c:v>
                </c:pt>
                <c:pt idx="3">
                  <c:v>2015</c:v>
                </c:pt>
                <c:pt idx="4">
                  <c:v>2016</c:v>
                </c:pt>
                <c:pt idx="5">
                  <c:v>2017</c:v>
                </c:pt>
                <c:pt idx="6">
                  <c:v>2018</c:v>
                </c:pt>
                <c:pt idx="7">
                  <c:v>2019</c:v>
                </c:pt>
              </c:numCache>
            </c:numRef>
          </c:cat>
          <c:val>
            <c:numRef>
              <c:f>Výcucy!$B$32:$I$32</c:f>
              <c:numCache>
                <c:formatCode>General</c:formatCode>
                <c:ptCount val="8"/>
                <c:pt idx="0">
                  <c:v>1338</c:v>
                </c:pt>
                <c:pt idx="1">
                  <c:v>1399</c:v>
                </c:pt>
                <c:pt idx="2">
                  <c:v>1640</c:v>
                </c:pt>
                <c:pt idx="3">
                  <c:v>2820</c:v>
                </c:pt>
                <c:pt idx="4">
                  <c:v>3371</c:v>
                </c:pt>
                <c:pt idx="5">
                  <c:v>3902</c:v>
                </c:pt>
                <c:pt idx="6">
                  <c:v>5274</c:v>
                </c:pt>
                <c:pt idx="7">
                  <c:v>5845</c:v>
                </c:pt>
              </c:numCache>
            </c:numRef>
          </c:val>
          <c:extLst xmlns:c16r2="http://schemas.microsoft.com/office/drawing/2015/06/chart">
            <c:ext xmlns:c16="http://schemas.microsoft.com/office/drawing/2014/chart" uri="{C3380CC4-5D6E-409C-BE32-E72D297353CC}">
              <c16:uniqueId val="{00000000-4FFE-46FD-ADEF-FC79BB2C2E42}"/>
            </c:ext>
          </c:extLst>
        </c:ser>
        <c:ser>
          <c:idx val="1"/>
          <c:order val="1"/>
          <c:tx>
            <c:strRef>
              <c:f>Výcucy!$A$33</c:f>
              <c:strCache>
                <c:ptCount val="1"/>
                <c:pt idx="0">
                  <c:v>Počet pridelených PA</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Výcucy!$B$31:$I$31</c:f>
              <c:numCache>
                <c:formatCode>General</c:formatCode>
                <c:ptCount val="8"/>
                <c:pt idx="0">
                  <c:v>2012</c:v>
                </c:pt>
                <c:pt idx="1">
                  <c:v>2013</c:v>
                </c:pt>
                <c:pt idx="2">
                  <c:v>2014</c:v>
                </c:pt>
                <c:pt idx="3">
                  <c:v>2015</c:v>
                </c:pt>
                <c:pt idx="4">
                  <c:v>2016</c:v>
                </c:pt>
                <c:pt idx="5">
                  <c:v>2017</c:v>
                </c:pt>
                <c:pt idx="6">
                  <c:v>2018</c:v>
                </c:pt>
                <c:pt idx="7">
                  <c:v>2019</c:v>
                </c:pt>
              </c:numCache>
            </c:numRef>
          </c:cat>
          <c:val>
            <c:numRef>
              <c:f>Výcucy!$B$33:$I$33</c:f>
              <c:numCache>
                <c:formatCode>General</c:formatCode>
                <c:ptCount val="8"/>
                <c:pt idx="0">
                  <c:v>622</c:v>
                </c:pt>
                <c:pt idx="1">
                  <c:v>723</c:v>
                </c:pt>
                <c:pt idx="2" formatCode="0">
                  <c:v>1037</c:v>
                </c:pt>
                <c:pt idx="3" formatCode="0">
                  <c:v>1649</c:v>
                </c:pt>
                <c:pt idx="4" formatCode="0">
                  <c:v>1680</c:v>
                </c:pt>
                <c:pt idx="5" formatCode="0">
                  <c:v>1720</c:v>
                </c:pt>
                <c:pt idx="6" formatCode="0">
                  <c:v>2319</c:v>
                </c:pt>
                <c:pt idx="7" formatCode="0">
                  <c:v>2621</c:v>
                </c:pt>
              </c:numCache>
            </c:numRef>
          </c:val>
          <c:extLst xmlns:c16r2="http://schemas.microsoft.com/office/drawing/2015/06/chart">
            <c:ext xmlns:c16="http://schemas.microsoft.com/office/drawing/2014/chart" uri="{C3380CC4-5D6E-409C-BE32-E72D297353CC}">
              <c16:uniqueId val="{00000001-4FFE-46FD-ADEF-FC79BB2C2E42}"/>
            </c:ext>
          </c:extLst>
        </c:ser>
        <c:dLbls>
          <c:dLblPos val="outEnd"/>
          <c:showLegendKey val="0"/>
          <c:showVal val="1"/>
          <c:showCatName val="0"/>
          <c:showSerName val="0"/>
          <c:showPercent val="0"/>
          <c:showBubbleSize val="0"/>
        </c:dLbls>
        <c:gapWidth val="219"/>
        <c:overlap val="-27"/>
        <c:axId val="220728968"/>
        <c:axId val="220729360"/>
      </c:barChart>
      <c:catAx>
        <c:axId val="220728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0729360"/>
        <c:crosses val="autoZero"/>
        <c:auto val="1"/>
        <c:lblAlgn val="ctr"/>
        <c:lblOffset val="100"/>
        <c:noMultiLvlLbl val="0"/>
      </c:catAx>
      <c:valAx>
        <c:axId val="220729360"/>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0728968"/>
        <c:crosses val="autoZero"/>
        <c:crossBetween val="between"/>
      </c:valAx>
      <c:spPr>
        <a:noFill/>
        <a:ln>
          <a:noFill/>
        </a:ln>
        <a:effectLst/>
      </c:spPr>
    </c:plotArea>
    <c:legend>
      <c:legendPos val="b"/>
      <c:layout>
        <c:manualLayout>
          <c:xMode val="edge"/>
          <c:yMode val="edge"/>
          <c:x val="0.21902575737354865"/>
          <c:y val="0.89961472528111108"/>
          <c:w val="0.62277974628171484"/>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sk-SK"/>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506896369497442"/>
          <c:y val="8.9835334828956434E-2"/>
          <c:w val="0.60920960383307787"/>
          <c:h val="0.77307585155207559"/>
        </c:manualLayout>
      </c:layout>
      <c:barChart>
        <c:barDir val="bar"/>
        <c:grouping val="stacked"/>
        <c:varyColors val="0"/>
        <c:ser>
          <c:idx val="0"/>
          <c:order val="0"/>
          <c:tx>
            <c:strRef>
              <c:f>Hárok19!$B$3</c:f>
              <c:strCache>
                <c:ptCount val="1"/>
                <c:pt idx="0">
                  <c:v>Integrácia</c:v>
                </c:pt>
              </c:strCache>
            </c:strRef>
          </c:tx>
          <c:spPr>
            <a:solidFill>
              <a:schemeClr val="accent1"/>
            </a:solidFill>
            <a:ln>
              <a:noFill/>
            </a:ln>
            <a:effectLst/>
          </c:spPr>
          <c:invertIfNegative val="0"/>
          <c:cat>
            <c:strRef>
              <c:f>Hárok19!$A$4:$A$12</c:f>
              <c:strCache>
                <c:ptCount val="9"/>
                <c:pt idx="0">
                  <c:v>SPOLU</c:v>
                </c:pt>
                <c:pt idx="1">
                  <c:v>Mentálne postihnutí</c:v>
                </c:pt>
                <c:pt idx="2">
                  <c:v>Poruchy správania</c:v>
                </c:pt>
                <c:pt idx="3">
                  <c:v>Telesne postihnutí</c:v>
                </c:pt>
                <c:pt idx="4">
                  <c:v>Sluchovo postihnutí </c:v>
                </c:pt>
                <c:pt idx="5">
                  <c:v>Zrakovo postihnutí</c:v>
                </c:pt>
                <c:pt idx="6">
                  <c:v>Vývinové poruchy učenia</c:v>
                </c:pt>
                <c:pt idx="7">
                  <c:v>Vývinové poruchy aktivity a pozornosti</c:v>
                </c:pt>
                <c:pt idx="8">
                  <c:v>Autizmus</c:v>
                </c:pt>
              </c:strCache>
            </c:strRef>
          </c:cat>
          <c:val>
            <c:numRef>
              <c:f>Hárok19!$B$4:$B$12</c:f>
              <c:numCache>
                <c:formatCode>0%</c:formatCode>
                <c:ptCount val="9"/>
                <c:pt idx="0">
                  <c:v>0.64</c:v>
                </c:pt>
                <c:pt idx="1">
                  <c:v>0</c:v>
                </c:pt>
                <c:pt idx="2">
                  <c:v>0.28000000000000003</c:v>
                </c:pt>
                <c:pt idx="3">
                  <c:v>0.49</c:v>
                </c:pt>
                <c:pt idx="4">
                  <c:v>0.61</c:v>
                </c:pt>
                <c:pt idx="5">
                  <c:v>0.78</c:v>
                </c:pt>
                <c:pt idx="6">
                  <c:v>1</c:v>
                </c:pt>
                <c:pt idx="7">
                  <c:v>1</c:v>
                </c:pt>
                <c:pt idx="8">
                  <c:v>1</c:v>
                </c:pt>
              </c:numCache>
            </c:numRef>
          </c:val>
          <c:extLst xmlns:c16r2="http://schemas.microsoft.com/office/drawing/2015/06/chart">
            <c:ext xmlns:c16="http://schemas.microsoft.com/office/drawing/2014/chart" uri="{C3380CC4-5D6E-409C-BE32-E72D297353CC}">
              <c16:uniqueId val="{00000000-E09C-496B-B9EE-3126A641DB79}"/>
            </c:ext>
          </c:extLst>
        </c:ser>
        <c:ser>
          <c:idx val="1"/>
          <c:order val="1"/>
          <c:tx>
            <c:strRef>
              <c:f>Hárok19!$C$3</c:f>
              <c:strCache>
                <c:ptCount val="1"/>
                <c:pt idx="0">
                  <c:v>Špeciálne školy</c:v>
                </c:pt>
              </c:strCache>
            </c:strRef>
          </c:tx>
          <c:spPr>
            <a:solidFill>
              <a:schemeClr val="accent3"/>
            </a:solidFill>
            <a:ln>
              <a:noFill/>
            </a:ln>
            <a:effectLst/>
          </c:spPr>
          <c:invertIfNegative val="0"/>
          <c:cat>
            <c:strRef>
              <c:f>Hárok19!$A$4:$A$12</c:f>
              <c:strCache>
                <c:ptCount val="9"/>
                <c:pt idx="0">
                  <c:v>SPOLU</c:v>
                </c:pt>
                <c:pt idx="1">
                  <c:v>Mentálne postihnutí</c:v>
                </c:pt>
                <c:pt idx="2">
                  <c:v>Poruchy správania</c:v>
                </c:pt>
                <c:pt idx="3">
                  <c:v>Telesne postihnutí</c:v>
                </c:pt>
                <c:pt idx="4">
                  <c:v>Sluchovo postihnutí </c:v>
                </c:pt>
                <c:pt idx="5">
                  <c:v>Zrakovo postihnutí</c:v>
                </c:pt>
                <c:pt idx="6">
                  <c:v>Vývinové poruchy učenia</c:v>
                </c:pt>
                <c:pt idx="7">
                  <c:v>Vývinové poruchy aktivity a pozornosti</c:v>
                </c:pt>
                <c:pt idx="8">
                  <c:v>Autizmus</c:v>
                </c:pt>
              </c:strCache>
            </c:strRef>
          </c:cat>
          <c:val>
            <c:numRef>
              <c:f>Hárok19!$C$4:$C$12</c:f>
              <c:numCache>
                <c:formatCode>0%</c:formatCode>
                <c:ptCount val="9"/>
                <c:pt idx="0">
                  <c:v>0.36</c:v>
                </c:pt>
                <c:pt idx="1">
                  <c:v>1</c:v>
                </c:pt>
                <c:pt idx="2">
                  <c:v>0.72</c:v>
                </c:pt>
                <c:pt idx="3">
                  <c:v>0.51</c:v>
                </c:pt>
                <c:pt idx="4">
                  <c:v>0.39</c:v>
                </c:pt>
                <c:pt idx="5">
                  <c:v>0.22</c:v>
                </c:pt>
                <c:pt idx="6">
                  <c:v>0</c:v>
                </c:pt>
                <c:pt idx="7">
                  <c:v>0</c:v>
                </c:pt>
                <c:pt idx="8">
                  <c:v>0</c:v>
                </c:pt>
              </c:numCache>
            </c:numRef>
          </c:val>
          <c:extLst xmlns:c16r2="http://schemas.microsoft.com/office/drawing/2015/06/chart">
            <c:ext xmlns:c16="http://schemas.microsoft.com/office/drawing/2014/chart" uri="{C3380CC4-5D6E-409C-BE32-E72D297353CC}">
              <c16:uniqueId val="{00000001-E09C-496B-B9EE-3126A641DB79}"/>
            </c:ext>
          </c:extLst>
        </c:ser>
        <c:dLbls>
          <c:showLegendKey val="0"/>
          <c:showVal val="0"/>
          <c:showCatName val="0"/>
          <c:showSerName val="0"/>
          <c:showPercent val="0"/>
          <c:showBubbleSize val="0"/>
        </c:dLbls>
        <c:gapWidth val="150"/>
        <c:overlap val="100"/>
        <c:axId val="220730928"/>
        <c:axId val="220731320"/>
      </c:barChart>
      <c:catAx>
        <c:axId val="220730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sk-SK"/>
          </a:p>
        </c:txPr>
        <c:crossAx val="220731320"/>
        <c:crosses val="autoZero"/>
        <c:auto val="1"/>
        <c:lblAlgn val="ctr"/>
        <c:lblOffset val="100"/>
        <c:noMultiLvlLbl val="0"/>
      </c:catAx>
      <c:valAx>
        <c:axId val="220731320"/>
        <c:scaling>
          <c:orientation val="minMax"/>
          <c:max val="1"/>
        </c:scaling>
        <c:delete val="0"/>
        <c:axPos val="b"/>
        <c:majorGridlines>
          <c:spPr>
            <a:ln w="9525" cap="flat" cmpd="sng" algn="ctr">
              <a:solidFill>
                <a:schemeClr val="tx1">
                  <a:lumMod val="15000"/>
                  <a:lumOff val="85000"/>
                </a:schemeClr>
              </a:solidFill>
              <a:prstDash val="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crossAx val="220730928"/>
        <c:crosses val="autoZero"/>
        <c:crossBetween val="between"/>
      </c:valAx>
      <c:spPr>
        <a:noFill/>
        <a:ln>
          <a:noFill/>
        </a:ln>
        <a:effectLst/>
      </c:spPr>
    </c:plotArea>
    <c:legend>
      <c:legendPos val="b"/>
      <c:layout>
        <c:manualLayout>
          <c:xMode val="edge"/>
          <c:yMode val="edge"/>
          <c:x val="0.4865345523084782"/>
          <c:y val="4.1150163492133657E-3"/>
          <c:w val="0.30433564093078969"/>
          <c:h val="7.968394575678040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Arial Narrow" panose="020B0606020202030204" pitchFamily="34" charset="0"/>
        </a:defRPr>
      </a:pPr>
      <a:endParaRPr lang="sk-S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533690198885635"/>
          <c:y val="0.10199146981627297"/>
          <c:w val="0.41499740711260213"/>
          <c:h val="0.78532480314960618"/>
        </c:manualLayout>
      </c:layout>
      <c:radarChart>
        <c:radarStyle val="marker"/>
        <c:varyColors val="0"/>
        <c:ser>
          <c:idx val="0"/>
          <c:order val="0"/>
          <c:tx>
            <c:strRef>
              <c:f>'Spider chart (2018)'!$A$3</c:f>
              <c:strCache>
                <c:ptCount val="1"/>
                <c:pt idx="0">
                  <c:v>SR</c:v>
                </c:pt>
              </c:strCache>
            </c:strRef>
          </c:tx>
          <c:spPr>
            <a:ln w="28575" cap="rnd">
              <a:solidFill>
                <a:schemeClr val="accent1"/>
              </a:solidFill>
              <a:round/>
            </a:ln>
            <a:effectLst/>
          </c:spPr>
          <c:marker>
            <c:symbol val="none"/>
          </c:marker>
          <c:cat>
            <c:strRef>
              <c:f>'Spider chart (2018)'!$B$2:$G$2</c:f>
              <c:strCache>
                <c:ptCount val="6"/>
                <c:pt idx="0">
                  <c:v>Závažná materiálna deprivácia</c:v>
                </c:pt>
                <c:pt idx="1">
                  <c:v>Domácnosť s veľmi nízkou pracovnou intenzitou (0-59)</c:v>
                </c:pt>
                <c:pt idx="2">
                  <c:v>Pod hranicou rizika chudoby</c:v>
                </c:pt>
                <c:pt idx="3">
                  <c:v>Predčasné ukončenie školskej dochádzky mladých</c:v>
                </c:pt>
                <c:pt idx="4">
                  <c:v>Nenaplnená potreba medicínskeho vyšetrenia alebo liečby (16 a viac roční)</c:v>
                </c:pt>
                <c:pt idx="5">
                  <c:v>Závažná deprivácia v bývaní</c:v>
                </c:pt>
              </c:strCache>
            </c:strRef>
          </c:cat>
          <c:val>
            <c:numRef>
              <c:f>'Spider chart (2018)'!$B$3:$G$3</c:f>
              <c:numCache>
                <c:formatCode>0.0</c:formatCode>
                <c:ptCount val="6"/>
                <c:pt idx="0">
                  <c:v>7</c:v>
                </c:pt>
                <c:pt idx="1">
                  <c:v>5.2</c:v>
                </c:pt>
                <c:pt idx="2">
                  <c:v>12.2</c:v>
                </c:pt>
                <c:pt idx="3">
                  <c:v>8.6</c:v>
                </c:pt>
                <c:pt idx="4">
                  <c:v>2.6</c:v>
                </c:pt>
                <c:pt idx="5">
                  <c:v>3.7</c:v>
                </c:pt>
              </c:numCache>
            </c:numRef>
          </c:val>
          <c:extLst xmlns:c16r2="http://schemas.microsoft.com/office/drawing/2015/06/chart">
            <c:ext xmlns:c16="http://schemas.microsoft.com/office/drawing/2014/chart" uri="{C3380CC4-5D6E-409C-BE32-E72D297353CC}">
              <c16:uniqueId val="{00000000-2459-4954-A271-11AC66135BA3}"/>
            </c:ext>
          </c:extLst>
        </c:ser>
        <c:ser>
          <c:idx val="2"/>
          <c:order val="2"/>
          <c:tx>
            <c:strRef>
              <c:f>'Spider chart (2018)'!$A$5</c:f>
              <c:strCache>
                <c:ptCount val="1"/>
                <c:pt idx="0">
                  <c:v>EÚ15</c:v>
                </c:pt>
              </c:strCache>
            </c:strRef>
          </c:tx>
          <c:spPr>
            <a:ln w="28575" cap="rnd">
              <a:solidFill>
                <a:schemeClr val="accent5">
                  <a:lumMod val="75000"/>
                </a:schemeClr>
              </a:solidFill>
              <a:round/>
            </a:ln>
            <a:effectLst/>
          </c:spPr>
          <c:marker>
            <c:symbol val="none"/>
          </c:marker>
          <c:cat>
            <c:strRef>
              <c:f>'Spider chart (2018)'!$B$2:$G$2</c:f>
              <c:strCache>
                <c:ptCount val="6"/>
                <c:pt idx="0">
                  <c:v>Závažná materiálna deprivácia</c:v>
                </c:pt>
                <c:pt idx="1">
                  <c:v>Domácnosť s veľmi nízkou pracovnou intenzitou (0-59)</c:v>
                </c:pt>
                <c:pt idx="2">
                  <c:v>Pod hranicou rizika chudoby</c:v>
                </c:pt>
                <c:pt idx="3">
                  <c:v>Predčasné ukončenie školskej dochádzky mladých</c:v>
                </c:pt>
                <c:pt idx="4">
                  <c:v>Nenaplnená potreba medicínskeho vyšetrenia alebo liečby (16 a viac roční)</c:v>
                </c:pt>
                <c:pt idx="5">
                  <c:v>Závažná deprivácia v bývaní</c:v>
                </c:pt>
              </c:strCache>
            </c:strRef>
          </c:cat>
          <c:val>
            <c:numRef>
              <c:f>'Spider chart (2018)'!$B$5:$G$5</c:f>
              <c:numCache>
                <c:formatCode>0.0</c:formatCode>
                <c:ptCount val="6"/>
                <c:pt idx="0">
                  <c:v>4.8733333333333322</c:v>
                </c:pt>
                <c:pt idx="1">
                  <c:v>9.9266666666666659</c:v>
                </c:pt>
                <c:pt idx="2">
                  <c:v>16.280000000000005</c:v>
                </c:pt>
                <c:pt idx="3">
                  <c:v>9.2866666666666635</c:v>
                </c:pt>
                <c:pt idx="4">
                  <c:v>2.0866666666666669</c:v>
                </c:pt>
                <c:pt idx="5">
                  <c:v>2.6799999999999997</c:v>
                </c:pt>
              </c:numCache>
            </c:numRef>
          </c:val>
        </c:ser>
        <c:ser>
          <c:idx val="3"/>
          <c:order val="3"/>
          <c:tx>
            <c:strRef>
              <c:f>'Spider chart (2018)'!$A$6</c:f>
              <c:strCache>
                <c:ptCount val="1"/>
                <c:pt idx="0">
                  <c:v>V3</c:v>
                </c:pt>
              </c:strCache>
            </c:strRef>
          </c:tx>
          <c:spPr>
            <a:ln w="28575" cap="rnd">
              <a:solidFill>
                <a:schemeClr val="accent3"/>
              </a:solidFill>
              <a:prstDash val="sysDash"/>
              <a:round/>
            </a:ln>
            <a:effectLst/>
          </c:spPr>
          <c:marker>
            <c:symbol val="none"/>
          </c:marker>
          <c:cat>
            <c:strRef>
              <c:f>'Spider chart (2018)'!$B$2:$G$2</c:f>
              <c:strCache>
                <c:ptCount val="6"/>
                <c:pt idx="0">
                  <c:v>Závažná materiálna deprivácia</c:v>
                </c:pt>
                <c:pt idx="1">
                  <c:v>Domácnosť s veľmi nízkou pracovnou intenzitou (0-59)</c:v>
                </c:pt>
                <c:pt idx="2">
                  <c:v>Pod hranicou rizika chudoby</c:v>
                </c:pt>
                <c:pt idx="3">
                  <c:v>Predčasné ukončenie školskej dochádzky mladých</c:v>
                </c:pt>
                <c:pt idx="4">
                  <c:v>Nenaplnená potreba medicínskeho vyšetrenia alebo liečby (16 a viac roční)</c:v>
                </c:pt>
                <c:pt idx="5">
                  <c:v>Závažná deprivácia v bývaní</c:v>
                </c:pt>
              </c:strCache>
            </c:strRef>
          </c:cat>
          <c:val>
            <c:numRef>
              <c:f>'Spider chart (2018)'!$B$6:$G$6</c:f>
              <c:numCache>
                <c:formatCode>0.0</c:formatCode>
                <c:ptCount val="6"/>
                <c:pt idx="0">
                  <c:v>5.8666666666666663</c:v>
                </c:pt>
                <c:pt idx="1">
                  <c:v>5.2666666666666666</c:v>
                </c:pt>
                <c:pt idx="2">
                  <c:v>12.4</c:v>
                </c:pt>
                <c:pt idx="3">
                  <c:v>7.833333333333333</c:v>
                </c:pt>
                <c:pt idx="4">
                  <c:v>1.7666666666666668</c:v>
                </c:pt>
                <c:pt idx="5">
                  <c:v>6.1333333333333329</c:v>
                </c:pt>
              </c:numCache>
            </c:numRef>
          </c:val>
        </c:ser>
        <c:dLbls>
          <c:showLegendKey val="0"/>
          <c:showVal val="0"/>
          <c:showCatName val="0"/>
          <c:showSerName val="0"/>
          <c:showPercent val="0"/>
          <c:showBubbleSize val="0"/>
        </c:dLbls>
        <c:axId val="169265488"/>
        <c:axId val="169265096"/>
        <c:extLst>
          <c:ext xmlns:c15="http://schemas.microsoft.com/office/drawing/2012/chart" uri="{02D57815-91ED-43cb-92C2-25804820EDAC}">
            <c15:filteredRadarSeries>
              <c15:ser>
                <c:idx val="1"/>
                <c:order val="1"/>
                <c:tx>
                  <c:strRef>
                    <c:extLst>
                      <c:ext uri="{02D57815-91ED-43cb-92C2-25804820EDAC}">
                        <c15:formulaRef>
                          <c15:sqref>'Spider chart (2018)'!$A$4</c15:sqref>
                        </c15:formulaRef>
                      </c:ext>
                    </c:extLst>
                    <c:strCache>
                      <c:ptCount val="1"/>
                      <c:pt idx="0">
                        <c:v>EÚ</c:v>
                      </c:pt>
                    </c:strCache>
                  </c:strRef>
                </c:tx>
                <c:spPr>
                  <a:ln w="28575" cap="rnd">
                    <a:solidFill>
                      <a:schemeClr val="tx2"/>
                    </a:solidFill>
                    <a:prstDash val="sysDash"/>
                    <a:round/>
                  </a:ln>
                  <a:effectLst/>
                </c:spPr>
                <c:marker>
                  <c:symbol val="none"/>
                </c:marker>
                <c:cat>
                  <c:strRef>
                    <c:extLst>
                      <c:ext uri="{02D57815-91ED-43cb-92C2-25804820EDAC}">
                        <c15:formulaRef>
                          <c15:sqref>'Spider chart (2018)'!$B$2:$G$2</c15:sqref>
                        </c15:formulaRef>
                      </c:ext>
                    </c:extLst>
                    <c:strCache>
                      <c:ptCount val="6"/>
                      <c:pt idx="0">
                        <c:v>Závažná materiálna deprivácia</c:v>
                      </c:pt>
                      <c:pt idx="1">
                        <c:v>Domácnosť s veľmi nízkou pracovnou intenzitou (0-59)</c:v>
                      </c:pt>
                      <c:pt idx="2">
                        <c:v>Pod hranicou rizika chudoby</c:v>
                      </c:pt>
                      <c:pt idx="3">
                        <c:v>Predčasné ukončenie školskej dochádzky mladých</c:v>
                      </c:pt>
                      <c:pt idx="4">
                        <c:v>Nenaplnená potreba medicínskeho vyšetrenia alebo liečby (16 a viac roční)</c:v>
                      </c:pt>
                      <c:pt idx="5">
                        <c:v>Závažná deprivácia v bývaní</c:v>
                      </c:pt>
                    </c:strCache>
                  </c:strRef>
                </c:cat>
                <c:val>
                  <c:numRef>
                    <c:extLst>
                      <c:ext uri="{02D57815-91ED-43cb-92C2-25804820EDAC}">
                        <c15:formulaRef>
                          <c15:sqref>'Spider chart (2018)'!$B$4:$G$4</c15:sqref>
                        </c15:formulaRef>
                      </c:ext>
                    </c:extLst>
                    <c:numCache>
                      <c:formatCode>0.0</c:formatCode>
                      <c:ptCount val="6"/>
                      <c:pt idx="0">
                        <c:v>5.9</c:v>
                      </c:pt>
                      <c:pt idx="1">
                        <c:v>8.8000000000000007</c:v>
                      </c:pt>
                      <c:pt idx="2">
                        <c:v>17.100000000000001</c:v>
                      </c:pt>
                      <c:pt idx="3">
                        <c:v>10.6</c:v>
                      </c:pt>
                      <c:pt idx="4">
                        <c:v>2</c:v>
                      </c:pt>
                      <c:pt idx="5">
                        <c:v>4</c:v>
                      </c:pt>
                    </c:numCache>
                  </c:numRef>
                </c:val>
                <c:extLst xmlns:c16r2="http://schemas.microsoft.com/office/drawing/2015/06/chart">
                  <c:ext xmlns:c16="http://schemas.microsoft.com/office/drawing/2014/chart" uri="{C3380CC4-5D6E-409C-BE32-E72D297353CC}">
                    <c16:uniqueId val="{00000001-2459-4954-A271-11AC66135BA3}"/>
                  </c:ext>
                </c:extLst>
              </c15:ser>
            </c15:filteredRadarSeries>
          </c:ext>
        </c:extLst>
      </c:radarChart>
      <c:catAx>
        <c:axId val="169265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crossAx val="169265096"/>
        <c:crosses val="autoZero"/>
        <c:auto val="1"/>
        <c:lblAlgn val="ctr"/>
        <c:lblOffset val="100"/>
        <c:noMultiLvlLbl val="0"/>
      </c:catAx>
      <c:valAx>
        <c:axId val="169265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169265488"/>
        <c:crosses val="autoZero"/>
        <c:crossBetween val="between"/>
      </c:valAx>
      <c:spPr>
        <a:noFill/>
        <a:ln>
          <a:noFill/>
        </a:ln>
        <a:effectLst/>
      </c:spPr>
    </c:plotArea>
    <c:legend>
      <c:legendPos val="t"/>
      <c:layout>
        <c:manualLayout>
          <c:xMode val="edge"/>
          <c:yMode val="edge"/>
          <c:x val="0.63484426946631667"/>
          <c:y val="8.3333333333333329E-2"/>
          <c:w val="0.3651557928494869"/>
          <c:h val="7.448199183435404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Graf_3!$A$4</c:f>
              <c:strCache>
                <c:ptCount val="1"/>
                <c:pt idx="0">
                  <c:v>mimo MRK</c:v>
                </c:pt>
              </c:strCache>
            </c:strRef>
          </c:tx>
          <c:spPr>
            <a:solidFill>
              <a:schemeClr val="accent1"/>
            </a:solidFill>
            <a:ln>
              <a:noFill/>
            </a:ln>
            <a:effectLst/>
          </c:spPr>
          <c:invertIfNegative val="0"/>
          <c:cat>
            <c:multiLvlStrRef>
              <c:f>Graf_3!$B$2:$E$3</c:f>
              <c:multiLvlStrCache>
                <c:ptCount val="4"/>
                <c:lvl>
                  <c:pt idx="0">
                    <c:v>2004</c:v>
                  </c:pt>
                  <c:pt idx="1">
                    <c:v>2017</c:v>
                  </c:pt>
                  <c:pt idx="2">
                    <c:v>2004</c:v>
                  </c:pt>
                  <c:pt idx="3">
                    <c:v>2017</c:v>
                  </c:pt>
                </c:lvl>
                <c:lvl>
                  <c:pt idx="0">
                    <c:v>Muži</c:v>
                  </c:pt>
                  <c:pt idx="2">
                    <c:v>Ženy</c:v>
                  </c:pt>
                </c:lvl>
              </c:multiLvlStrCache>
            </c:multiLvlStrRef>
          </c:cat>
          <c:val>
            <c:numRef>
              <c:f>Graf_3!$B$4:$E$4</c:f>
              <c:numCache>
                <c:formatCode>0.00</c:formatCode>
                <c:ptCount val="4"/>
                <c:pt idx="0">
                  <c:v>52.27780588582511</c:v>
                </c:pt>
                <c:pt idx="1">
                  <c:v>53.38447472129323</c:v>
                </c:pt>
                <c:pt idx="2">
                  <c:v>46.852949998846306</c:v>
                </c:pt>
                <c:pt idx="3">
                  <c:v>49.295906256750293</c:v>
                </c:pt>
              </c:numCache>
            </c:numRef>
          </c:val>
          <c:extLst xmlns:c16r2="http://schemas.microsoft.com/office/drawing/2015/06/chart">
            <c:ext xmlns:c16="http://schemas.microsoft.com/office/drawing/2014/chart" uri="{C3380CC4-5D6E-409C-BE32-E72D297353CC}">
              <c16:uniqueId val="{00000000-BF60-43F5-AA17-F33B10E35AAD}"/>
            </c:ext>
          </c:extLst>
        </c:ser>
        <c:ser>
          <c:idx val="1"/>
          <c:order val="1"/>
          <c:tx>
            <c:strRef>
              <c:f>Graf_3!$A$5</c:f>
              <c:strCache>
                <c:ptCount val="1"/>
                <c:pt idx="0">
                  <c:v>MRK</c:v>
                </c:pt>
              </c:strCache>
            </c:strRef>
          </c:tx>
          <c:spPr>
            <a:solidFill>
              <a:schemeClr val="accent3"/>
            </a:solidFill>
            <a:ln>
              <a:noFill/>
            </a:ln>
            <a:effectLst/>
          </c:spPr>
          <c:invertIfNegative val="0"/>
          <c:cat>
            <c:multiLvlStrRef>
              <c:f>Graf_3!$B$2:$E$3</c:f>
              <c:multiLvlStrCache>
                <c:ptCount val="4"/>
                <c:lvl>
                  <c:pt idx="0">
                    <c:v>2004</c:v>
                  </c:pt>
                  <c:pt idx="1">
                    <c:v>2017</c:v>
                  </c:pt>
                  <c:pt idx="2">
                    <c:v>2004</c:v>
                  </c:pt>
                  <c:pt idx="3">
                    <c:v>2017</c:v>
                  </c:pt>
                </c:lvl>
                <c:lvl>
                  <c:pt idx="0">
                    <c:v>Muži</c:v>
                  </c:pt>
                  <c:pt idx="2">
                    <c:v>Ženy</c:v>
                  </c:pt>
                </c:lvl>
              </c:multiLvlStrCache>
            </c:multiLvlStrRef>
          </c:cat>
          <c:val>
            <c:numRef>
              <c:f>Graf_3!$B$5:$E$5</c:f>
              <c:numCache>
                <c:formatCode>0.00</c:formatCode>
                <c:ptCount val="4"/>
                <c:pt idx="0">
                  <c:v>18.400655021834062</c:v>
                </c:pt>
                <c:pt idx="1">
                  <c:v>25.565459219911368</c:v>
                </c:pt>
                <c:pt idx="2">
                  <c:v>13.541856010290973</c:v>
                </c:pt>
                <c:pt idx="3">
                  <c:v>15.762609576220044</c:v>
                </c:pt>
              </c:numCache>
            </c:numRef>
          </c:val>
          <c:extLst xmlns:c16r2="http://schemas.microsoft.com/office/drawing/2015/06/chart">
            <c:ext xmlns:c16="http://schemas.microsoft.com/office/drawing/2014/chart" uri="{C3380CC4-5D6E-409C-BE32-E72D297353CC}">
              <c16:uniqueId val="{00000001-BF60-43F5-AA17-F33B10E35AAD}"/>
            </c:ext>
          </c:extLst>
        </c:ser>
        <c:dLbls>
          <c:showLegendKey val="0"/>
          <c:showVal val="0"/>
          <c:showCatName val="0"/>
          <c:showSerName val="0"/>
          <c:showPercent val="0"/>
          <c:showBubbleSize val="0"/>
        </c:dLbls>
        <c:gapWidth val="219"/>
        <c:overlap val="-27"/>
        <c:axId val="220732496"/>
        <c:axId val="220732104"/>
      </c:barChart>
      <c:catAx>
        <c:axId val="22073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0732104"/>
        <c:crosses val="autoZero"/>
        <c:auto val="1"/>
        <c:lblAlgn val="ctr"/>
        <c:lblOffset val="100"/>
        <c:noMultiLvlLbl val="0"/>
      </c:catAx>
      <c:valAx>
        <c:axId val="220732104"/>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0732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Graf_2!$A$3</c:f>
              <c:strCache>
                <c:ptCount val="1"/>
                <c:pt idx="0">
                  <c:v>mimo MRK</c:v>
                </c:pt>
              </c:strCache>
            </c:strRef>
          </c:tx>
          <c:spPr>
            <a:ln w="28575" cap="rnd">
              <a:solidFill>
                <a:schemeClr val="accent1"/>
              </a:solidFill>
              <a:round/>
            </a:ln>
            <a:effectLst/>
          </c:spPr>
          <c:marker>
            <c:symbol val="none"/>
          </c:marker>
          <c:cat>
            <c:strRef>
              <c:f>Graf_2!$B$2:$N$2</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Graf_2!$B$3:$N$3</c:f>
              <c:numCache>
                <c:formatCode>0.00</c:formatCode>
                <c:ptCount val="13"/>
                <c:pt idx="0">
                  <c:v>1.2278401017868621</c:v>
                </c:pt>
                <c:pt idx="1">
                  <c:v>1.603798745829381</c:v>
                </c:pt>
                <c:pt idx="2">
                  <c:v>2.1296659520620542</c:v>
                </c:pt>
                <c:pt idx="3">
                  <c:v>1.665778442308254E-2</c:v>
                </c:pt>
                <c:pt idx="4">
                  <c:v>-6.2472885529142834</c:v>
                </c:pt>
                <c:pt idx="5">
                  <c:v>-2.0884969366351092</c:v>
                </c:pt>
                <c:pt idx="6">
                  <c:v>3.3294738870111237E-2</c:v>
                </c:pt>
                <c:pt idx="7">
                  <c:v>-0.91193480890880085</c:v>
                </c:pt>
                <c:pt idx="8">
                  <c:v>0.56140549516908211</c:v>
                </c:pt>
                <c:pt idx="9">
                  <c:v>1.9487266096823326</c:v>
                </c:pt>
                <c:pt idx="10">
                  <c:v>2.0729041334757605</c:v>
                </c:pt>
                <c:pt idx="11">
                  <c:v>3.1127826960899818</c:v>
                </c:pt>
                <c:pt idx="12">
                  <c:v>3.312737661980321</c:v>
                </c:pt>
              </c:numCache>
            </c:numRef>
          </c:val>
          <c:smooth val="0"/>
          <c:extLst xmlns:c16r2="http://schemas.microsoft.com/office/drawing/2015/06/chart">
            <c:ext xmlns:c16="http://schemas.microsoft.com/office/drawing/2014/chart" uri="{C3380CC4-5D6E-409C-BE32-E72D297353CC}">
              <c16:uniqueId val="{00000000-DD9C-4CCF-8EF5-7E0D480B9030}"/>
            </c:ext>
          </c:extLst>
        </c:ser>
        <c:ser>
          <c:idx val="1"/>
          <c:order val="1"/>
          <c:tx>
            <c:strRef>
              <c:f>Graf_2!$A$4</c:f>
              <c:strCache>
                <c:ptCount val="1"/>
                <c:pt idx="0">
                  <c:v>MRK</c:v>
                </c:pt>
              </c:strCache>
            </c:strRef>
          </c:tx>
          <c:spPr>
            <a:ln w="28575" cap="rnd">
              <a:solidFill>
                <a:schemeClr val="accent3"/>
              </a:solidFill>
              <a:round/>
            </a:ln>
            <a:effectLst/>
          </c:spPr>
          <c:marker>
            <c:symbol val="none"/>
          </c:marker>
          <c:cat>
            <c:strRef>
              <c:f>Graf_2!$B$2:$N$2</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Graf_2!$B$4:$N$4</c:f>
              <c:numCache>
                <c:formatCode>0.00</c:formatCode>
                <c:ptCount val="13"/>
                <c:pt idx="0">
                  <c:v>2.8841469355938809</c:v>
                </c:pt>
                <c:pt idx="1">
                  <c:v>7.5812103418884362</c:v>
                </c:pt>
                <c:pt idx="2">
                  <c:v>9.4634446938685688</c:v>
                </c:pt>
                <c:pt idx="3">
                  <c:v>2.8710442719852023</c:v>
                </c:pt>
                <c:pt idx="4">
                  <c:v>-17.511628816010631</c:v>
                </c:pt>
                <c:pt idx="5">
                  <c:v>-2.5967871866559258</c:v>
                </c:pt>
                <c:pt idx="6">
                  <c:v>3.7411821941133545</c:v>
                </c:pt>
                <c:pt idx="7">
                  <c:v>-2.8700056274620147</c:v>
                </c:pt>
                <c:pt idx="8">
                  <c:v>2.3416376979528777</c:v>
                </c:pt>
                <c:pt idx="9">
                  <c:v>8.2511676180591582</c:v>
                </c:pt>
                <c:pt idx="10">
                  <c:v>14.708445916499608</c:v>
                </c:pt>
                <c:pt idx="11">
                  <c:v>11.865050719957448</c:v>
                </c:pt>
                <c:pt idx="12">
                  <c:v>16.09495992392338</c:v>
                </c:pt>
              </c:numCache>
            </c:numRef>
          </c:val>
          <c:smooth val="0"/>
          <c:extLst xmlns:c16r2="http://schemas.microsoft.com/office/drawing/2015/06/chart">
            <c:ext xmlns:c16="http://schemas.microsoft.com/office/drawing/2014/chart" uri="{C3380CC4-5D6E-409C-BE32-E72D297353CC}">
              <c16:uniqueId val="{00000001-DD9C-4CCF-8EF5-7E0D480B9030}"/>
            </c:ext>
          </c:extLst>
        </c:ser>
        <c:dLbls>
          <c:showLegendKey val="0"/>
          <c:showVal val="0"/>
          <c:showCatName val="0"/>
          <c:showSerName val="0"/>
          <c:showPercent val="0"/>
          <c:showBubbleSize val="0"/>
        </c:dLbls>
        <c:smooth val="0"/>
        <c:axId val="220910904"/>
        <c:axId val="220910512"/>
      </c:lineChart>
      <c:catAx>
        <c:axId val="2209109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0910512"/>
        <c:crosses val="autoZero"/>
        <c:auto val="1"/>
        <c:lblAlgn val="ctr"/>
        <c:lblOffset val="100"/>
        <c:noMultiLvlLbl val="0"/>
      </c:catAx>
      <c:valAx>
        <c:axId val="220910512"/>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0910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758260730716648E-2"/>
          <c:y val="5.0925925925925923E-2"/>
          <c:w val="0.91135834256459392"/>
          <c:h val="0.60839995000624925"/>
        </c:manualLayout>
      </c:layout>
      <c:barChart>
        <c:barDir val="col"/>
        <c:grouping val="clustered"/>
        <c:varyColors val="0"/>
        <c:ser>
          <c:idx val="0"/>
          <c:order val="0"/>
          <c:tx>
            <c:strRef>
              <c:f>'U by education'!$H$2</c:f>
              <c:strCache>
                <c:ptCount val="1"/>
                <c:pt idx="0">
                  <c:v>ISCED 0 až 2</c:v>
                </c:pt>
              </c:strCache>
            </c:strRef>
          </c:tx>
          <c:spPr>
            <a:solidFill>
              <a:schemeClr val="accent1"/>
            </a:solidFill>
            <a:ln>
              <a:noFill/>
            </a:ln>
            <a:effectLst/>
          </c:spPr>
          <c:invertIfNegative val="0"/>
          <c:cat>
            <c:strRef>
              <c:f>'U by education'!$G$3:$G$30</c:f>
              <c:strCache>
                <c:ptCount val="28"/>
                <c:pt idx="0">
                  <c:v>Malta</c:v>
                </c:pt>
                <c:pt idx="1">
                  <c:v>Holandsko</c:v>
                </c:pt>
                <c:pt idx="2">
                  <c:v>Spojené Kráľ.</c:v>
                </c:pt>
                <c:pt idx="3">
                  <c:v>Rumunsko</c:v>
                </c:pt>
                <c:pt idx="4">
                  <c:v>Dánsko</c:v>
                </c:pt>
                <c:pt idx="5">
                  <c:v>Luxembursko</c:v>
                </c:pt>
                <c:pt idx="6">
                  <c:v>Portugalsko</c:v>
                </c:pt>
                <c:pt idx="7">
                  <c:v>Írsko</c:v>
                </c:pt>
                <c:pt idx="8">
                  <c:v>Estónsko</c:v>
                </c:pt>
                <c:pt idx="9">
                  <c:v>Nemecko</c:v>
                </c:pt>
                <c:pt idx="10">
                  <c:v>Slovinsko</c:v>
                </c:pt>
                <c:pt idx="11">
                  <c:v>Maďarsko</c:v>
                </c:pt>
                <c:pt idx="12">
                  <c:v>Cyprus</c:v>
                </c:pt>
                <c:pt idx="13">
                  <c:v>Poľsko</c:v>
                </c:pt>
                <c:pt idx="14">
                  <c:v>Česká Rep.</c:v>
                </c:pt>
                <c:pt idx="15">
                  <c:v>Rakúsko</c:v>
                </c:pt>
                <c:pt idx="16">
                  <c:v>Chorvátsko</c:v>
                </c:pt>
                <c:pt idx="17">
                  <c:v>Belgicko</c:v>
                </c:pt>
                <c:pt idx="18">
                  <c:v>Fínsko</c:v>
                </c:pt>
                <c:pt idx="19">
                  <c:v>Taliansko</c:v>
                </c:pt>
                <c:pt idx="20">
                  <c:v>Bulharsko</c:v>
                </c:pt>
                <c:pt idx="21">
                  <c:v>Francúzsko</c:v>
                </c:pt>
                <c:pt idx="22">
                  <c:v>Lotyšsko</c:v>
                </c:pt>
                <c:pt idx="23">
                  <c:v>Švédsko</c:v>
                </c:pt>
                <c:pt idx="24">
                  <c:v>Litva</c:v>
                </c:pt>
                <c:pt idx="25">
                  <c:v>Španielsko</c:v>
                </c:pt>
                <c:pt idx="26">
                  <c:v>Grécko</c:v>
                </c:pt>
                <c:pt idx="27">
                  <c:v>Slovensko</c:v>
                </c:pt>
              </c:strCache>
            </c:strRef>
          </c:cat>
          <c:val>
            <c:numRef>
              <c:f>'U by education'!$H$3:$H$30</c:f>
              <c:numCache>
                <c:formatCode>General</c:formatCode>
                <c:ptCount val="28"/>
                <c:pt idx="0">
                  <c:v>4.9000000000000004</c:v>
                </c:pt>
                <c:pt idx="1">
                  <c:v>5.5</c:v>
                </c:pt>
                <c:pt idx="2">
                  <c:v>5.6</c:v>
                </c:pt>
                <c:pt idx="3">
                  <c:v>5.8</c:v>
                </c:pt>
                <c:pt idx="4">
                  <c:v>6.9</c:v>
                </c:pt>
                <c:pt idx="5">
                  <c:v>6.9</c:v>
                </c:pt>
                <c:pt idx="6">
                  <c:v>7.3</c:v>
                </c:pt>
                <c:pt idx="7">
                  <c:v>9</c:v>
                </c:pt>
                <c:pt idx="8">
                  <c:v>9.1</c:v>
                </c:pt>
                <c:pt idx="9">
                  <c:v>9.1999999999999993</c:v>
                </c:pt>
                <c:pt idx="10">
                  <c:v>9.1999999999999993</c:v>
                </c:pt>
                <c:pt idx="11">
                  <c:v>9.8000000000000007</c:v>
                </c:pt>
                <c:pt idx="12">
                  <c:v>10</c:v>
                </c:pt>
                <c:pt idx="13">
                  <c:v>10.1</c:v>
                </c:pt>
                <c:pt idx="14">
                  <c:v>10.3</c:v>
                </c:pt>
                <c:pt idx="15">
                  <c:v>11.5</c:v>
                </c:pt>
                <c:pt idx="16">
                  <c:v>12.1</c:v>
                </c:pt>
                <c:pt idx="17">
                  <c:v>12.9</c:v>
                </c:pt>
                <c:pt idx="18">
                  <c:v>12.9</c:v>
                </c:pt>
                <c:pt idx="19">
                  <c:v>14.5</c:v>
                </c:pt>
                <c:pt idx="20">
                  <c:v>15.4</c:v>
                </c:pt>
                <c:pt idx="21">
                  <c:v>15.9</c:v>
                </c:pt>
                <c:pt idx="22">
                  <c:v>16.899999999999999</c:v>
                </c:pt>
                <c:pt idx="23">
                  <c:v>17.3</c:v>
                </c:pt>
                <c:pt idx="24">
                  <c:v>19.399999999999999</c:v>
                </c:pt>
                <c:pt idx="25">
                  <c:v>21.6</c:v>
                </c:pt>
                <c:pt idx="26">
                  <c:v>22.6</c:v>
                </c:pt>
                <c:pt idx="27">
                  <c:v>28.7</c:v>
                </c:pt>
              </c:numCache>
            </c:numRef>
          </c:val>
          <c:extLst xmlns:c16r2="http://schemas.microsoft.com/office/drawing/2015/06/chart">
            <c:ext xmlns:c16="http://schemas.microsoft.com/office/drawing/2014/chart" uri="{C3380CC4-5D6E-409C-BE32-E72D297353CC}">
              <c16:uniqueId val="{00000000-E400-421B-BFE7-80E79E68B033}"/>
            </c:ext>
          </c:extLst>
        </c:ser>
        <c:ser>
          <c:idx val="1"/>
          <c:order val="1"/>
          <c:tx>
            <c:strRef>
              <c:f>'U by education'!$I$2</c:f>
              <c:strCache>
                <c:ptCount val="1"/>
                <c:pt idx="0">
                  <c:v>ISCED 3 až 4</c:v>
                </c:pt>
              </c:strCache>
            </c:strRef>
          </c:tx>
          <c:spPr>
            <a:solidFill>
              <a:schemeClr val="accent5">
                <a:lumMod val="75000"/>
              </a:schemeClr>
            </a:solidFill>
            <a:ln>
              <a:noFill/>
            </a:ln>
            <a:effectLst/>
          </c:spPr>
          <c:invertIfNegative val="0"/>
          <c:cat>
            <c:strRef>
              <c:f>'U by education'!$G$3:$G$30</c:f>
              <c:strCache>
                <c:ptCount val="28"/>
                <c:pt idx="0">
                  <c:v>Malta</c:v>
                </c:pt>
                <c:pt idx="1">
                  <c:v>Holandsko</c:v>
                </c:pt>
                <c:pt idx="2">
                  <c:v>Spojené Kráľ.</c:v>
                </c:pt>
                <c:pt idx="3">
                  <c:v>Rumunsko</c:v>
                </c:pt>
                <c:pt idx="4">
                  <c:v>Dánsko</c:v>
                </c:pt>
                <c:pt idx="5">
                  <c:v>Luxembursko</c:v>
                </c:pt>
                <c:pt idx="6">
                  <c:v>Portugalsko</c:v>
                </c:pt>
                <c:pt idx="7">
                  <c:v>Írsko</c:v>
                </c:pt>
                <c:pt idx="8">
                  <c:v>Estónsko</c:v>
                </c:pt>
                <c:pt idx="9">
                  <c:v>Nemecko</c:v>
                </c:pt>
                <c:pt idx="10">
                  <c:v>Slovinsko</c:v>
                </c:pt>
                <c:pt idx="11">
                  <c:v>Maďarsko</c:v>
                </c:pt>
                <c:pt idx="12">
                  <c:v>Cyprus</c:v>
                </c:pt>
                <c:pt idx="13">
                  <c:v>Poľsko</c:v>
                </c:pt>
                <c:pt idx="14">
                  <c:v>Česká Rep.</c:v>
                </c:pt>
                <c:pt idx="15">
                  <c:v>Rakúsko</c:v>
                </c:pt>
                <c:pt idx="16">
                  <c:v>Chorvátsko</c:v>
                </c:pt>
                <c:pt idx="17">
                  <c:v>Belgicko</c:v>
                </c:pt>
                <c:pt idx="18">
                  <c:v>Fínsko</c:v>
                </c:pt>
                <c:pt idx="19">
                  <c:v>Taliansko</c:v>
                </c:pt>
                <c:pt idx="20">
                  <c:v>Bulharsko</c:v>
                </c:pt>
                <c:pt idx="21">
                  <c:v>Francúzsko</c:v>
                </c:pt>
                <c:pt idx="22">
                  <c:v>Lotyšsko</c:v>
                </c:pt>
                <c:pt idx="23">
                  <c:v>Švédsko</c:v>
                </c:pt>
                <c:pt idx="24">
                  <c:v>Litva</c:v>
                </c:pt>
                <c:pt idx="25">
                  <c:v>Španielsko</c:v>
                </c:pt>
                <c:pt idx="26">
                  <c:v>Grécko</c:v>
                </c:pt>
                <c:pt idx="27">
                  <c:v>Slovensko</c:v>
                </c:pt>
              </c:strCache>
            </c:strRef>
          </c:cat>
          <c:val>
            <c:numRef>
              <c:f>'U by education'!$I$3:$I$30</c:f>
              <c:numCache>
                <c:formatCode>General</c:formatCode>
                <c:ptCount val="28"/>
                <c:pt idx="0">
                  <c:v>2.9</c:v>
                </c:pt>
                <c:pt idx="1">
                  <c:v>3.5</c:v>
                </c:pt>
                <c:pt idx="2">
                  <c:v>3.9</c:v>
                </c:pt>
                <c:pt idx="3">
                  <c:v>4.2</c:v>
                </c:pt>
                <c:pt idx="4">
                  <c:v>3.9</c:v>
                </c:pt>
                <c:pt idx="5">
                  <c:v>5.5</c:v>
                </c:pt>
                <c:pt idx="6">
                  <c:v>7.8</c:v>
                </c:pt>
                <c:pt idx="7">
                  <c:v>6.4</c:v>
                </c:pt>
                <c:pt idx="8">
                  <c:v>5.6</c:v>
                </c:pt>
                <c:pt idx="9">
                  <c:v>2.9</c:v>
                </c:pt>
                <c:pt idx="10">
                  <c:v>5.5</c:v>
                </c:pt>
                <c:pt idx="11">
                  <c:v>3.3</c:v>
                </c:pt>
                <c:pt idx="12">
                  <c:v>8.6</c:v>
                </c:pt>
                <c:pt idx="13">
                  <c:v>4.3</c:v>
                </c:pt>
                <c:pt idx="14">
                  <c:v>2</c:v>
                </c:pt>
                <c:pt idx="15">
                  <c:v>4.2</c:v>
                </c:pt>
                <c:pt idx="16">
                  <c:v>8.6</c:v>
                </c:pt>
                <c:pt idx="17">
                  <c:v>5.9</c:v>
                </c:pt>
                <c:pt idx="18">
                  <c:v>8.1999999999999993</c:v>
                </c:pt>
                <c:pt idx="19">
                  <c:v>9.9</c:v>
                </c:pt>
                <c:pt idx="20">
                  <c:v>4.4000000000000004</c:v>
                </c:pt>
                <c:pt idx="21">
                  <c:v>9.4</c:v>
                </c:pt>
                <c:pt idx="22">
                  <c:v>8.6</c:v>
                </c:pt>
                <c:pt idx="23">
                  <c:v>4.5</c:v>
                </c:pt>
                <c:pt idx="24">
                  <c:v>8.1999999999999993</c:v>
                </c:pt>
                <c:pt idx="25">
                  <c:v>15.1</c:v>
                </c:pt>
                <c:pt idx="26">
                  <c:v>21.6</c:v>
                </c:pt>
                <c:pt idx="27">
                  <c:v>5.7</c:v>
                </c:pt>
              </c:numCache>
            </c:numRef>
          </c:val>
          <c:extLst xmlns:c16r2="http://schemas.microsoft.com/office/drawing/2015/06/chart">
            <c:ext xmlns:c16="http://schemas.microsoft.com/office/drawing/2014/chart" uri="{C3380CC4-5D6E-409C-BE32-E72D297353CC}">
              <c16:uniqueId val="{00000001-E400-421B-BFE7-80E79E68B033}"/>
            </c:ext>
          </c:extLst>
        </c:ser>
        <c:ser>
          <c:idx val="2"/>
          <c:order val="2"/>
          <c:tx>
            <c:strRef>
              <c:f>'U by education'!$J$2</c:f>
              <c:strCache>
                <c:ptCount val="1"/>
                <c:pt idx="0">
                  <c:v>ISCED 5 až 8</c:v>
                </c:pt>
              </c:strCache>
            </c:strRef>
          </c:tx>
          <c:spPr>
            <a:solidFill>
              <a:schemeClr val="accent3"/>
            </a:solidFill>
            <a:ln>
              <a:noFill/>
            </a:ln>
            <a:effectLst/>
          </c:spPr>
          <c:invertIfNegative val="0"/>
          <c:cat>
            <c:strRef>
              <c:f>'U by education'!$G$3:$G$30</c:f>
              <c:strCache>
                <c:ptCount val="28"/>
                <c:pt idx="0">
                  <c:v>Malta</c:v>
                </c:pt>
                <c:pt idx="1">
                  <c:v>Holandsko</c:v>
                </c:pt>
                <c:pt idx="2">
                  <c:v>Spojené Kráľ.</c:v>
                </c:pt>
                <c:pt idx="3">
                  <c:v>Rumunsko</c:v>
                </c:pt>
                <c:pt idx="4">
                  <c:v>Dánsko</c:v>
                </c:pt>
                <c:pt idx="5">
                  <c:v>Luxembursko</c:v>
                </c:pt>
                <c:pt idx="6">
                  <c:v>Portugalsko</c:v>
                </c:pt>
                <c:pt idx="7">
                  <c:v>Írsko</c:v>
                </c:pt>
                <c:pt idx="8">
                  <c:v>Estónsko</c:v>
                </c:pt>
                <c:pt idx="9">
                  <c:v>Nemecko</c:v>
                </c:pt>
                <c:pt idx="10">
                  <c:v>Slovinsko</c:v>
                </c:pt>
                <c:pt idx="11">
                  <c:v>Maďarsko</c:v>
                </c:pt>
                <c:pt idx="12">
                  <c:v>Cyprus</c:v>
                </c:pt>
                <c:pt idx="13">
                  <c:v>Poľsko</c:v>
                </c:pt>
                <c:pt idx="14">
                  <c:v>Česká Rep.</c:v>
                </c:pt>
                <c:pt idx="15">
                  <c:v>Rakúsko</c:v>
                </c:pt>
                <c:pt idx="16">
                  <c:v>Chorvátsko</c:v>
                </c:pt>
                <c:pt idx="17">
                  <c:v>Belgicko</c:v>
                </c:pt>
                <c:pt idx="18">
                  <c:v>Fínsko</c:v>
                </c:pt>
                <c:pt idx="19">
                  <c:v>Taliansko</c:v>
                </c:pt>
                <c:pt idx="20">
                  <c:v>Bulharsko</c:v>
                </c:pt>
                <c:pt idx="21">
                  <c:v>Francúzsko</c:v>
                </c:pt>
                <c:pt idx="22">
                  <c:v>Lotyšsko</c:v>
                </c:pt>
                <c:pt idx="23">
                  <c:v>Švédsko</c:v>
                </c:pt>
                <c:pt idx="24">
                  <c:v>Litva</c:v>
                </c:pt>
                <c:pt idx="25">
                  <c:v>Španielsko</c:v>
                </c:pt>
                <c:pt idx="26">
                  <c:v>Grécko</c:v>
                </c:pt>
                <c:pt idx="27">
                  <c:v>Slovensko</c:v>
                </c:pt>
              </c:strCache>
            </c:strRef>
          </c:cat>
          <c:val>
            <c:numRef>
              <c:f>'U by education'!$J$3:$J$30</c:f>
              <c:numCache>
                <c:formatCode>General</c:formatCode>
                <c:ptCount val="28"/>
                <c:pt idx="0">
                  <c:v>2</c:v>
                </c:pt>
                <c:pt idx="1">
                  <c:v>2.4</c:v>
                </c:pt>
                <c:pt idx="2">
                  <c:v>2.5</c:v>
                </c:pt>
                <c:pt idx="3">
                  <c:v>2.1</c:v>
                </c:pt>
                <c:pt idx="4">
                  <c:v>4.0999999999999996</c:v>
                </c:pt>
                <c:pt idx="5">
                  <c:v>4.3</c:v>
                </c:pt>
                <c:pt idx="6">
                  <c:v>5.4</c:v>
                </c:pt>
                <c:pt idx="7">
                  <c:v>3.8</c:v>
                </c:pt>
                <c:pt idx="8">
                  <c:v>3.5</c:v>
                </c:pt>
                <c:pt idx="9">
                  <c:v>1.9</c:v>
                </c:pt>
                <c:pt idx="10">
                  <c:v>3.7</c:v>
                </c:pt>
                <c:pt idx="11">
                  <c:v>1.5</c:v>
                </c:pt>
                <c:pt idx="12">
                  <c:v>7.7</c:v>
                </c:pt>
                <c:pt idx="13">
                  <c:v>2</c:v>
                </c:pt>
                <c:pt idx="14">
                  <c:v>1.2</c:v>
                </c:pt>
                <c:pt idx="15">
                  <c:v>3.2</c:v>
                </c:pt>
                <c:pt idx="16">
                  <c:v>6.1</c:v>
                </c:pt>
                <c:pt idx="17">
                  <c:v>3.5</c:v>
                </c:pt>
                <c:pt idx="18">
                  <c:v>4.3</c:v>
                </c:pt>
                <c:pt idx="19">
                  <c:v>6.1</c:v>
                </c:pt>
                <c:pt idx="20">
                  <c:v>2.4</c:v>
                </c:pt>
                <c:pt idx="21">
                  <c:v>5.5</c:v>
                </c:pt>
                <c:pt idx="22">
                  <c:v>3.8</c:v>
                </c:pt>
                <c:pt idx="23">
                  <c:v>3.6</c:v>
                </c:pt>
                <c:pt idx="24">
                  <c:v>2.9</c:v>
                </c:pt>
                <c:pt idx="25">
                  <c:v>9</c:v>
                </c:pt>
                <c:pt idx="26">
                  <c:v>14.3</c:v>
                </c:pt>
                <c:pt idx="27">
                  <c:v>3.1</c:v>
                </c:pt>
              </c:numCache>
            </c:numRef>
          </c:val>
          <c:extLst xmlns:c16r2="http://schemas.microsoft.com/office/drawing/2015/06/chart">
            <c:ext xmlns:c16="http://schemas.microsoft.com/office/drawing/2014/chart" uri="{C3380CC4-5D6E-409C-BE32-E72D297353CC}">
              <c16:uniqueId val="{00000002-E400-421B-BFE7-80E79E68B033}"/>
            </c:ext>
          </c:extLst>
        </c:ser>
        <c:dLbls>
          <c:showLegendKey val="0"/>
          <c:showVal val="0"/>
          <c:showCatName val="0"/>
          <c:showSerName val="0"/>
          <c:showPercent val="0"/>
          <c:showBubbleSize val="0"/>
        </c:dLbls>
        <c:gapWidth val="100"/>
        <c:overlap val="-27"/>
        <c:axId val="220911296"/>
        <c:axId val="220912080"/>
      </c:barChart>
      <c:catAx>
        <c:axId val="220911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0912080"/>
        <c:crosses val="autoZero"/>
        <c:auto val="1"/>
        <c:lblAlgn val="ctr"/>
        <c:lblOffset val="100"/>
        <c:noMultiLvlLbl val="0"/>
      </c:catAx>
      <c:valAx>
        <c:axId val="220912080"/>
        <c:scaling>
          <c:orientation val="minMax"/>
          <c:max val="30"/>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0911296"/>
        <c:crosses val="autoZero"/>
        <c:crossBetween val="between"/>
      </c:valAx>
      <c:spPr>
        <a:noFill/>
        <a:ln>
          <a:noFill/>
        </a:ln>
        <a:effectLst/>
      </c:spPr>
    </c:plotArea>
    <c:legend>
      <c:legendPos val="b"/>
      <c:layout>
        <c:manualLayout>
          <c:xMode val="edge"/>
          <c:yMode val="edge"/>
          <c:x val="0.18702174585591247"/>
          <c:y val="6.5392971711869308E-2"/>
          <c:w val="0.60428370408071619"/>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userShapes r:id="rId4"/>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32923810055658"/>
          <c:y val="5.0925925925925923E-2"/>
          <c:w val="0.834661305634668"/>
          <c:h val="0.73603419364246148"/>
        </c:manualLayout>
      </c:layout>
      <c:barChart>
        <c:barDir val="col"/>
        <c:grouping val="clustered"/>
        <c:varyColors val="0"/>
        <c:ser>
          <c:idx val="0"/>
          <c:order val="0"/>
          <c:tx>
            <c:strRef>
              <c:f>'Graf 33'!$A$20</c:f>
              <c:strCache>
                <c:ptCount val="1"/>
                <c:pt idx="0">
                  <c:v>Zdravotne znevýhodnení</c:v>
                </c:pt>
              </c:strCache>
            </c:strRef>
          </c:tx>
          <c:spPr>
            <a:solidFill>
              <a:schemeClr val="accent1"/>
            </a:solidFill>
            <a:ln>
              <a:noFill/>
            </a:ln>
            <a:effectLst/>
          </c:spPr>
          <c:invertIfNegative val="0"/>
          <c:cat>
            <c:multiLvlStrRef>
              <c:f>'Graf 33'!$B$18:$G$19</c:f>
              <c:multiLvlStrCache>
                <c:ptCount val="6"/>
                <c:lvl>
                  <c:pt idx="0">
                    <c:v>SILC 2017</c:v>
                  </c:pt>
                  <c:pt idx="1">
                    <c:v>LFS 2011</c:v>
                  </c:pt>
                  <c:pt idx="2">
                    <c:v>SILC 2017</c:v>
                  </c:pt>
                  <c:pt idx="3">
                    <c:v>LFS 2011</c:v>
                  </c:pt>
                  <c:pt idx="4">
                    <c:v>SILC 2017</c:v>
                  </c:pt>
                  <c:pt idx="5">
                    <c:v>LFS 2011</c:v>
                  </c:pt>
                </c:lvl>
                <c:lvl>
                  <c:pt idx="0">
                    <c:v>Slovensko</c:v>
                  </c:pt>
                  <c:pt idx="2">
                    <c:v>V3</c:v>
                  </c:pt>
                  <c:pt idx="4">
                    <c:v>EÚ 15</c:v>
                  </c:pt>
                </c:lvl>
              </c:multiLvlStrCache>
            </c:multiLvlStrRef>
          </c:cat>
          <c:val>
            <c:numRef>
              <c:f>'Graf 33'!$B$20:$G$20</c:f>
              <c:numCache>
                <c:formatCode>General</c:formatCode>
                <c:ptCount val="6"/>
                <c:pt idx="0">
                  <c:v>57.7</c:v>
                </c:pt>
                <c:pt idx="1">
                  <c:v>32.4</c:v>
                </c:pt>
                <c:pt idx="2" formatCode="0.0">
                  <c:v>46.2</c:v>
                </c:pt>
                <c:pt idx="3" formatCode="0.0">
                  <c:v>32.5</c:v>
                </c:pt>
                <c:pt idx="4">
                  <c:v>50.14</c:v>
                </c:pt>
                <c:pt idx="5">
                  <c:v>50.4</c:v>
                </c:pt>
              </c:numCache>
            </c:numRef>
          </c:val>
        </c:ser>
        <c:ser>
          <c:idx val="1"/>
          <c:order val="1"/>
          <c:tx>
            <c:strRef>
              <c:f>'Graf 33'!$A$21</c:f>
              <c:strCache>
                <c:ptCount val="1"/>
                <c:pt idx="0">
                  <c:v>Bez znevýhodnenia</c:v>
                </c:pt>
              </c:strCache>
            </c:strRef>
          </c:tx>
          <c:spPr>
            <a:solidFill>
              <a:schemeClr val="accent3"/>
            </a:solidFill>
            <a:ln>
              <a:noFill/>
            </a:ln>
            <a:effectLst/>
          </c:spPr>
          <c:invertIfNegative val="0"/>
          <c:cat>
            <c:multiLvlStrRef>
              <c:f>'Graf 33'!$B$18:$G$19</c:f>
              <c:multiLvlStrCache>
                <c:ptCount val="6"/>
                <c:lvl>
                  <c:pt idx="0">
                    <c:v>SILC 2017</c:v>
                  </c:pt>
                  <c:pt idx="1">
                    <c:v>LFS 2011</c:v>
                  </c:pt>
                  <c:pt idx="2">
                    <c:v>SILC 2017</c:v>
                  </c:pt>
                  <c:pt idx="3">
                    <c:v>LFS 2011</c:v>
                  </c:pt>
                  <c:pt idx="4">
                    <c:v>SILC 2017</c:v>
                  </c:pt>
                  <c:pt idx="5">
                    <c:v>LFS 2011</c:v>
                  </c:pt>
                </c:lvl>
                <c:lvl>
                  <c:pt idx="0">
                    <c:v>Slovensko</c:v>
                  </c:pt>
                  <c:pt idx="2">
                    <c:v>V3</c:v>
                  </c:pt>
                  <c:pt idx="4">
                    <c:v>EÚ 15</c:v>
                  </c:pt>
                </c:lvl>
              </c:multiLvlStrCache>
            </c:multiLvlStrRef>
          </c:cat>
          <c:val>
            <c:numRef>
              <c:f>'Graf 33'!$B$21:$G$21</c:f>
              <c:numCache>
                <c:formatCode>General</c:formatCode>
                <c:ptCount val="6"/>
                <c:pt idx="0">
                  <c:v>80</c:v>
                </c:pt>
                <c:pt idx="1">
                  <c:v>69.2</c:v>
                </c:pt>
                <c:pt idx="2">
                  <c:v>76.599999999999994</c:v>
                </c:pt>
                <c:pt idx="3" formatCode="0.0">
                  <c:v>70.7</c:v>
                </c:pt>
                <c:pt idx="4">
                  <c:v>74.62</c:v>
                </c:pt>
                <c:pt idx="5">
                  <c:v>74.099999999999994</c:v>
                </c:pt>
              </c:numCache>
            </c:numRef>
          </c:val>
        </c:ser>
        <c:dLbls>
          <c:showLegendKey val="0"/>
          <c:showVal val="0"/>
          <c:showCatName val="0"/>
          <c:showSerName val="0"/>
          <c:showPercent val="0"/>
          <c:showBubbleSize val="0"/>
        </c:dLbls>
        <c:gapWidth val="219"/>
        <c:overlap val="-27"/>
        <c:axId val="220913256"/>
        <c:axId val="220913648"/>
      </c:barChart>
      <c:catAx>
        <c:axId val="220913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0913648"/>
        <c:crosses val="autoZero"/>
        <c:auto val="1"/>
        <c:lblAlgn val="ctr"/>
        <c:lblOffset val="100"/>
        <c:noMultiLvlLbl val="0"/>
      </c:catAx>
      <c:valAx>
        <c:axId val="220913648"/>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0913256"/>
        <c:crosses val="autoZero"/>
        <c:crossBetween val="between"/>
      </c:valAx>
      <c:spPr>
        <a:noFill/>
        <a:ln>
          <a:noFill/>
        </a:ln>
        <a:effectLst/>
      </c:spPr>
    </c:plotArea>
    <c:legend>
      <c:legendPos val="b"/>
      <c:layout>
        <c:manualLayout>
          <c:xMode val="edge"/>
          <c:yMode val="edge"/>
          <c:x val="9.9380502969043757E-2"/>
          <c:y val="4.687445319335079E-2"/>
          <c:w val="0.90061949703095623"/>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12954436058815"/>
          <c:y val="5.0925925925925923E-2"/>
          <c:w val="0.84512074399004622"/>
          <c:h val="0.6524424030329542"/>
        </c:manualLayout>
      </c:layout>
      <c:barChart>
        <c:barDir val="col"/>
        <c:grouping val="clustered"/>
        <c:varyColors val="0"/>
        <c:ser>
          <c:idx val="0"/>
          <c:order val="0"/>
          <c:tx>
            <c:strRef>
              <c:f>'Zamestnanosť invalidov'!$I$2</c:f>
              <c:strCache>
                <c:ptCount val="1"/>
                <c:pt idx="0">
                  <c:v>Invalidní dôchodcovia celkom</c:v>
                </c:pt>
              </c:strCache>
            </c:strRef>
          </c:tx>
          <c:spPr>
            <a:solidFill>
              <a:schemeClr val="accent1"/>
            </a:solidFill>
            <a:ln>
              <a:noFill/>
            </a:ln>
            <a:effectLst/>
          </c:spPr>
          <c:invertIfNegative val="0"/>
          <c:cat>
            <c:numRef>
              <c:f>'Zamestnanosť invalidov'!$H$3:$H$8</c:f>
              <c:numCache>
                <c:formatCode>General</c:formatCode>
                <c:ptCount val="6"/>
                <c:pt idx="0">
                  <c:v>2013</c:v>
                </c:pt>
                <c:pt idx="1">
                  <c:v>2014</c:v>
                </c:pt>
                <c:pt idx="2">
                  <c:v>2015</c:v>
                </c:pt>
                <c:pt idx="3">
                  <c:v>2016</c:v>
                </c:pt>
                <c:pt idx="4">
                  <c:v>2017</c:v>
                </c:pt>
                <c:pt idx="5">
                  <c:v>2018</c:v>
                </c:pt>
              </c:numCache>
            </c:numRef>
          </c:cat>
          <c:val>
            <c:numRef>
              <c:f>'Zamestnanosť invalidov'!$I$3:$I$8</c:f>
              <c:numCache>
                <c:formatCode>General</c:formatCode>
                <c:ptCount val="6"/>
                <c:pt idx="0">
                  <c:v>27.440036039931748</c:v>
                </c:pt>
                <c:pt idx="1">
                  <c:v>28.710425722901896</c:v>
                </c:pt>
                <c:pt idx="2">
                  <c:v>30.993747631365704</c:v>
                </c:pt>
                <c:pt idx="3">
                  <c:v>33.295603195995632</c:v>
                </c:pt>
                <c:pt idx="4">
                  <c:v>35.262290065566347</c:v>
                </c:pt>
                <c:pt idx="5">
                  <c:v>36.694396972716007</c:v>
                </c:pt>
              </c:numCache>
            </c:numRef>
          </c:val>
          <c:extLst xmlns:c16r2="http://schemas.microsoft.com/office/drawing/2015/06/chart">
            <c:ext xmlns:c16="http://schemas.microsoft.com/office/drawing/2014/chart" uri="{C3380CC4-5D6E-409C-BE32-E72D297353CC}">
              <c16:uniqueId val="{00000000-E626-4D92-8827-1DC137B0A745}"/>
            </c:ext>
          </c:extLst>
        </c:ser>
        <c:dLbls>
          <c:showLegendKey val="0"/>
          <c:showVal val="0"/>
          <c:showCatName val="0"/>
          <c:showSerName val="0"/>
          <c:showPercent val="0"/>
          <c:showBubbleSize val="0"/>
        </c:dLbls>
        <c:gapWidth val="219"/>
        <c:overlap val="-27"/>
        <c:axId val="220914432"/>
        <c:axId val="220914824"/>
      </c:barChart>
      <c:lineChart>
        <c:grouping val="standard"/>
        <c:varyColors val="0"/>
        <c:ser>
          <c:idx val="1"/>
          <c:order val="1"/>
          <c:tx>
            <c:strRef>
              <c:f>'Zamestnanosť invalidov'!$J$2</c:f>
              <c:strCache>
                <c:ptCount val="1"/>
                <c:pt idx="0">
                  <c:v>Čiastočná invalidita</c:v>
                </c:pt>
              </c:strCache>
            </c:strRef>
          </c:tx>
          <c:spPr>
            <a:ln w="28575" cap="rnd">
              <a:noFill/>
              <a:round/>
            </a:ln>
            <a:effectLst/>
          </c:spPr>
          <c:marker>
            <c:symbol val="diamond"/>
            <c:size val="7"/>
            <c:spPr>
              <a:solidFill>
                <a:schemeClr val="accent1">
                  <a:lumMod val="40000"/>
                  <a:lumOff val="60000"/>
                </a:schemeClr>
              </a:solidFill>
              <a:ln w="9525">
                <a:solidFill>
                  <a:schemeClr val="accent1">
                    <a:lumMod val="40000"/>
                    <a:lumOff val="60000"/>
                  </a:schemeClr>
                </a:solidFill>
              </a:ln>
              <a:effectLst/>
            </c:spPr>
          </c:marker>
          <c:cat>
            <c:numRef>
              <c:f>'Zamestnanosť invalidov'!$H$3:$H$8</c:f>
              <c:numCache>
                <c:formatCode>General</c:formatCode>
                <c:ptCount val="6"/>
                <c:pt idx="0">
                  <c:v>2013</c:v>
                </c:pt>
                <c:pt idx="1">
                  <c:v>2014</c:v>
                </c:pt>
                <c:pt idx="2">
                  <c:v>2015</c:v>
                </c:pt>
                <c:pt idx="3">
                  <c:v>2016</c:v>
                </c:pt>
                <c:pt idx="4">
                  <c:v>2017</c:v>
                </c:pt>
                <c:pt idx="5">
                  <c:v>2018</c:v>
                </c:pt>
              </c:numCache>
            </c:numRef>
          </c:cat>
          <c:val>
            <c:numRef>
              <c:f>'Zamestnanosť invalidov'!$J$3:$J$8</c:f>
              <c:numCache>
                <c:formatCode>General</c:formatCode>
                <c:ptCount val="6"/>
                <c:pt idx="0">
                  <c:v>42.911938760569697</c:v>
                </c:pt>
                <c:pt idx="1">
                  <c:v>43.606133079972473</c:v>
                </c:pt>
                <c:pt idx="2">
                  <c:v>45.718161135028261</c:v>
                </c:pt>
                <c:pt idx="3">
                  <c:v>48.011252609189754</c:v>
                </c:pt>
                <c:pt idx="4">
                  <c:v>49.720330430404772</c:v>
                </c:pt>
                <c:pt idx="5">
                  <c:v>50.807519522789988</c:v>
                </c:pt>
              </c:numCache>
            </c:numRef>
          </c:val>
          <c:smooth val="0"/>
          <c:extLst xmlns:c16r2="http://schemas.microsoft.com/office/drawing/2015/06/chart">
            <c:ext xmlns:c16="http://schemas.microsoft.com/office/drawing/2014/chart" uri="{C3380CC4-5D6E-409C-BE32-E72D297353CC}">
              <c16:uniqueId val="{00000001-E626-4D92-8827-1DC137B0A745}"/>
            </c:ext>
          </c:extLst>
        </c:ser>
        <c:ser>
          <c:idx val="2"/>
          <c:order val="2"/>
          <c:tx>
            <c:strRef>
              <c:f>'Zamestnanosť invalidov'!$K$2</c:f>
              <c:strCache>
                <c:ptCount val="1"/>
                <c:pt idx="0">
                  <c:v>Úplná invalidita</c:v>
                </c:pt>
              </c:strCache>
            </c:strRef>
          </c:tx>
          <c:spPr>
            <a:ln w="28575" cap="rnd">
              <a:noFill/>
              <a:round/>
            </a:ln>
            <a:effectLst/>
          </c:spPr>
          <c:marker>
            <c:symbol val="diamond"/>
            <c:size val="7"/>
            <c:spPr>
              <a:solidFill>
                <a:schemeClr val="accent5">
                  <a:lumMod val="75000"/>
                </a:schemeClr>
              </a:solidFill>
              <a:ln w="9525">
                <a:solidFill>
                  <a:schemeClr val="accent5">
                    <a:lumMod val="75000"/>
                  </a:schemeClr>
                </a:solidFill>
              </a:ln>
              <a:effectLst/>
            </c:spPr>
          </c:marker>
          <c:cat>
            <c:numRef>
              <c:f>'Zamestnanosť invalidov'!$H$3:$H$8</c:f>
              <c:numCache>
                <c:formatCode>General</c:formatCode>
                <c:ptCount val="6"/>
                <c:pt idx="0">
                  <c:v>2013</c:v>
                </c:pt>
                <c:pt idx="1">
                  <c:v>2014</c:v>
                </c:pt>
                <c:pt idx="2">
                  <c:v>2015</c:v>
                </c:pt>
                <c:pt idx="3">
                  <c:v>2016</c:v>
                </c:pt>
                <c:pt idx="4">
                  <c:v>2017</c:v>
                </c:pt>
                <c:pt idx="5">
                  <c:v>2018</c:v>
                </c:pt>
              </c:numCache>
            </c:numRef>
          </c:cat>
          <c:val>
            <c:numRef>
              <c:f>'Zamestnanosť invalidov'!$K$3:$K$8</c:f>
              <c:numCache>
                <c:formatCode>General</c:formatCode>
                <c:ptCount val="6"/>
                <c:pt idx="0">
                  <c:v>12.206931184917776</c:v>
                </c:pt>
                <c:pt idx="1">
                  <c:v>13.014250994255413</c:v>
                </c:pt>
                <c:pt idx="2">
                  <c:v>14.238638418589932</c:v>
                </c:pt>
                <c:pt idx="3">
                  <c:v>15.716667460582098</c:v>
                </c:pt>
                <c:pt idx="4">
                  <c:v>16.434355881727132</c:v>
                </c:pt>
                <c:pt idx="5">
                  <c:v>17.196601309830882</c:v>
                </c:pt>
              </c:numCache>
            </c:numRef>
          </c:val>
          <c:smooth val="0"/>
          <c:extLst xmlns:c16r2="http://schemas.microsoft.com/office/drawing/2015/06/chart">
            <c:ext xmlns:c16="http://schemas.microsoft.com/office/drawing/2014/chart" uri="{C3380CC4-5D6E-409C-BE32-E72D297353CC}">
              <c16:uniqueId val="{00000002-E626-4D92-8827-1DC137B0A745}"/>
            </c:ext>
          </c:extLst>
        </c:ser>
        <c:ser>
          <c:idx val="3"/>
          <c:order val="3"/>
          <c:tx>
            <c:strRef>
              <c:f>'Zamestnanosť invalidov'!$L$2</c:f>
              <c:strCache>
                <c:ptCount val="1"/>
                <c:pt idx="0">
                  <c:v>Medzera oproti priemeru SR (p.b.)</c:v>
                </c:pt>
              </c:strCache>
            </c:strRef>
          </c:tx>
          <c:spPr>
            <a:ln w="28575" cap="rnd">
              <a:solidFill>
                <a:schemeClr val="accent3"/>
              </a:solidFill>
              <a:round/>
            </a:ln>
            <a:effectLst/>
          </c:spPr>
          <c:marker>
            <c:symbol val="none"/>
          </c:marker>
          <c:cat>
            <c:numRef>
              <c:f>'Zamestnanosť invalidov'!$H$3:$H$8</c:f>
              <c:numCache>
                <c:formatCode>General</c:formatCode>
                <c:ptCount val="6"/>
                <c:pt idx="0">
                  <c:v>2013</c:v>
                </c:pt>
                <c:pt idx="1">
                  <c:v>2014</c:v>
                </c:pt>
                <c:pt idx="2">
                  <c:v>2015</c:v>
                </c:pt>
                <c:pt idx="3">
                  <c:v>2016</c:v>
                </c:pt>
                <c:pt idx="4">
                  <c:v>2017</c:v>
                </c:pt>
                <c:pt idx="5">
                  <c:v>2018</c:v>
                </c:pt>
              </c:numCache>
            </c:numRef>
          </c:cat>
          <c:val>
            <c:numRef>
              <c:f>'Zamestnanosť invalidov'!$L$3:$L$8</c:f>
              <c:numCache>
                <c:formatCode>0.0</c:formatCode>
                <c:ptCount val="6"/>
                <c:pt idx="0">
                  <c:v>37.559963960068252</c:v>
                </c:pt>
                <c:pt idx="1">
                  <c:v>37.18957427709811</c:v>
                </c:pt>
                <c:pt idx="2">
                  <c:v>36.706252368634303</c:v>
                </c:pt>
                <c:pt idx="3">
                  <c:v>36.504396804004365</c:v>
                </c:pt>
                <c:pt idx="4">
                  <c:v>35.837709934433647</c:v>
                </c:pt>
                <c:pt idx="5">
                  <c:v>35.705603027283992</c:v>
                </c:pt>
              </c:numCache>
            </c:numRef>
          </c:val>
          <c:smooth val="0"/>
          <c:extLst xmlns:c16r2="http://schemas.microsoft.com/office/drawing/2015/06/chart">
            <c:ext xmlns:c16="http://schemas.microsoft.com/office/drawing/2014/chart" uri="{C3380CC4-5D6E-409C-BE32-E72D297353CC}">
              <c16:uniqueId val="{00000003-E626-4D92-8827-1DC137B0A745}"/>
            </c:ext>
          </c:extLst>
        </c:ser>
        <c:dLbls>
          <c:showLegendKey val="0"/>
          <c:showVal val="0"/>
          <c:showCatName val="0"/>
          <c:showSerName val="0"/>
          <c:showPercent val="0"/>
          <c:showBubbleSize val="0"/>
        </c:dLbls>
        <c:marker val="1"/>
        <c:smooth val="0"/>
        <c:axId val="220914432"/>
        <c:axId val="220914824"/>
      </c:lineChart>
      <c:catAx>
        <c:axId val="22091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0914824"/>
        <c:crosses val="autoZero"/>
        <c:auto val="1"/>
        <c:lblAlgn val="ctr"/>
        <c:lblOffset val="100"/>
        <c:noMultiLvlLbl val="0"/>
      </c:catAx>
      <c:valAx>
        <c:axId val="220914824"/>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0914432"/>
        <c:crosses val="autoZero"/>
        <c:crossBetween val="between"/>
      </c:valAx>
      <c:spPr>
        <a:noFill/>
        <a:ln>
          <a:noFill/>
        </a:ln>
        <a:effectLst/>
      </c:spPr>
    </c:plotArea>
    <c:legend>
      <c:legendPos val="b"/>
      <c:layout>
        <c:manualLayout>
          <c:xMode val="edge"/>
          <c:yMode val="edge"/>
          <c:x val="3.1012905393746197E-3"/>
          <c:y val="0.80555336832895874"/>
          <c:w val="0.98918344549491855"/>
          <c:h val="0.189817002041411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01023900281017"/>
          <c:y val="5.0925925925925923E-2"/>
          <c:w val="0.86914406017269041"/>
          <c:h val="0.67963546223388749"/>
        </c:manualLayout>
      </c:layout>
      <c:barChart>
        <c:barDir val="col"/>
        <c:grouping val="clustered"/>
        <c:varyColors val="0"/>
        <c:ser>
          <c:idx val="0"/>
          <c:order val="0"/>
          <c:tx>
            <c:strRef>
              <c:f>Employment!$I$39</c:f>
              <c:strCache>
                <c:ptCount val="1"/>
                <c:pt idx="0">
                  <c:v>Osamelé matky</c:v>
                </c:pt>
              </c:strCache>
            </c:strRef>
          </c:tx>
          <c:spPr>
            <a:solidFill>
              <a:schemeClr val="accent1">
                <a:lumMod val="75000"/>
              </a:schemeClr>
            </a:solidFill>
            <a:ln>
              <a:noFill/>
            </a:ln>
            <a:effectLst/>
          </c:spPr>
          <c:invertIfNegative val="0"/>
          <c:cat>
            <c:strRef>
              <c:f>Employment!$J$38:$L$38</c:f>
              <c:strCache>
                <c:ptCount val="3"/>
                <c:pt idx="0">
                  <c:v>SK</c:v>
                </c:pt>
                <c:pt idx="1">
                  <c:v>EÚ15</c:v>
                </c:pt>
                <c:pt idx="2">
                  <c:v>V3</c:v>
                </c:pt>
              </c:strCache>
            </c:strRef>
          </c:cat>
          <c:val>
            <c:numRef>
              <c:f>Employment!$J$39:$L$39</c:f>
              <c:numCache>
                <c:formatCode>General</c:formatCode>
                <c:ptCount val="3"/>
                <c:pt idx="0" formatCode="0.0">
                  <c:v>72.900000000000006</c:v>
                </c:pt>
                <c:pt idx="1">
                  <c:v>68.933333333333323</c:v>
                </c:pt>
                <c:pt idx="2" formatCode="0.0">
                  <c:v>71.433333333333337</c:v>
                </c:pt>
              </c:numCache>
            </c:numRef>
          </c:val>
        </c:ser>
        <c:ser>
          <c:idx val="1"/>
          <c:order val="1"/>
          <c:tx>
            <c:strRef>
              <c:f>Employment!$I$40</c:f>
              <c:strCache>
                <c:ptCount val="1"/>
                <c:pt idx="0">
                  <c:v>Matky v úplných rodinách</c:v>
                </c:pt>
              </c:strCache>
            </c:strRef>
          </c:tx>
          <c:spPr>
            <a:solidFill>
              <a:schemeClr val="accent3">
                <a:lumMod val="75000"/>
              </a:schemeClr>
            </a:solidFill>
            <a:ln>
              <a:noFill/>
            </a:ln>
            <a:effectLst/>
          </c:spPr>
          <c:invertIfNegative val="0"/>
          <c:cat>
            <c:strRef>
              <c:f>Employment!$J$38:$L$38</c:f>
              <c:strCache>
                <c:ptCount val="3"/>
                <c:pt idx="0">
                  <c:v>SK</c:v>
                </c:pt>
                <c:pt idx="1">
                  <c:v>EÚ15</c:v>
                </c:pt>
                <c:pt idx="2">
                  <c:v>V3</c:v>
                </c:pt>
              </c:strCache>
            </c:strRef>
          </c:cat>
          <c:val>
            <c:numRef>
              <c:f>Employment!$J$40:$L$40</c:f>
              <c:numCache>
                <c:formatCode>General</c:formatCode>
                <c:ptCount val="3"/>
                <c:pt idx="0" formatCode="0.0">
                  <c:v>63.4</c:v>
                </c:pt>
                <c:pt idx="1">
                  <c:v>71.960000000000008</c:v>
                </c:pt>
                <c:pt idx="2" formatCode="0.0">
                  <c:v>69.633333333333326</c:v>
                </c:pt>
              </c:numCache>
            </c:numRef>
          </c:val>
        </c:ser>
        <c:ser>
          <c:idx val="2"/>
          <c:order val="2"/>
          <c:tx>
            <c:strRef>
              <c:f>Employment!$I$41</c:f>
              <c:strCache>
                <c:ptCount val="1"/>
                <c:pt idx="0">
                  <c:v>Osamelé matky (deti do 15 rokov)</c:v>
                </c:pt>
              </c:strCache>
            </c:strRef>
          </c:tx>
          <c:spPr>
            <a:solidFill>
              <a:schemeClr val="accent1">
                <a:lumMod val="60000"/>
                <a:lumOff val="40000"/>
              </a:schemeClr>
            </a:solidFill>
            <a:ln>
              <a:noFill/>
            </a:ln>
            <a:effectLst/>
          </c:spPr>
          <c:invertIfNegative val="0"/>
          <c:cat>
            <c:strRef>
              <c:f>Employment!$J$38:$L$38</c:f>
              <c:strCache>
                <c:ptCount val="3"/>
                <c:pt idx="0">
                  <c:v>SK</c:v>
                </c:pt>
                <c:pt idx="1">
                  <c:v>EÚ15</c:v>
                </c:pt>
                <c:pt idx="2">
                  <c:v>V3</c:v>
                </c:pt>
              </c:strCache>
            </c:strRef>
          </c:cat>
          <c:val>
            <c:numRef>
              <c:f>Employment!$J$41:$L$41</c:f>
              <c:numCache>
                <c:formatCode>General</c:formatCode>
                <c:ptCount val="3"/>
                <c:pt idx="0" formatCode="0.0">
                  <c:v>58.497726917266846</c:v>
                </c:pt>
                <c:pt idx="1">
                  <c:v>64.779923386573785</c:v>
                </c:pt>
                <c:pt idx="2" formatCode="0.0">
                  <c:v>61.325782537460327</c:v>
                </c:pt>
              </c:numCache>
            </c:numRef>
          </c:val>
        </c:ser>
        <c:ser>
          <c:idx val="3"/>
          <c:order val="3"/>
          <c:tx>
            <c:strRef>
              <c:f>Employment!$I$42</c:f>
              <c:strCache>
                <c:ptCount val="1"/>
                <c:pt idx="0">
                  <c:v>Matky v úplných rodinách (deti do 15 rokov)</c:v>
                </c:pt>
              </c:strCache>
            </c:strRef>
          </c:tx>
          <c:spPr>
            <a:solidFill>
              <a:schemeClr val="accent3">
                <a:lumMod val="60000"/>
                <a:lumOff val="40000"/>
              </a:schemeClr>
            </a:solidFill>
            <a:ln>
              <a:noFill/>
            </a:ln>
            <a:effectLst/>
          </c:spPr>
          <c:invertIfNegative val="0"/>
          <c:cat>
            <c:strRef>
              <c:f>Employment!$J$38:$L$38</c:f>
              <c:strCache>
                <c:ptCount val="3"/>
                <c:pt idx="0">
                  <c:v>SK</c:v>
                </c:pt>
                <c:pt idx="1">
                  <c:v>EÚ15</c:v>
                </c:pt>
                <c:pt idx="2">
                  <c:v>V3</c:v>
                </c:pt>
              </c:strCache>
            </c:strRef>
          </c:cat>
          <c:val>
            <c:numRef>
              <c:f>Employment!$J$42:$L$42</c:f>
              <c:numCache>
                <c:formatCode>General</c:formatCode>
                <c:ptCount val="3"/>
                <c:pt idx="0" formatCode="0.0">
                  <c:v>56.294345855712891</c:v>
                </c:pt>
                <c:pt idx="1">
                  <c:v>71.015262498855591</c:v>
                </c:pt>
                <c:pt idx="2" formatCode="0.0">
                  <c:v>62.645290295282997</c:v>
                </c:pt>
              </c:numCache>
            </c:numRef>
          </c:val>
        </c:ser>
        <c:dLbls>
          <c:showLegendKey val="0"/>
          <c:showVal val="0"/>
          <c:showCatName val="0"/>
          <c:showSerName val="0"/>
          <c:showPercent val="0"/>
          <c:showBubbleSize val="0"/>
        </c:dLbls>
        <c:gapWidth val="219"/>
        <c:overlap val="-27"/>
        <c:axId val="220916000"/>
        <c:axId val="220916392"/>
      </c:barChart>
      <c:catAx>
        <c:axId val="22091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0916392"/>
        <c:crosses val="autoZero"/>
        <c:auto val="1"/>
        <c:lblAlgn val="ctr"/>
        <c:lblOffset val="100"/>
        <c:noMultiLvlLbl val="0"/>
      </c:catAx>
      <c:valAx>
        <c:axId val="220916392"/>
        <c:scaling>
          <c:orientation val="minMax"/>
          <c:min val="0"/>
        </c:scaling>
        <c:delete val="0"/>
        <c:axPos val="l"/>
        <c:majorGridlines>
          <c:spPr>
            <a:ln w="9525" cap="flat" cmpd="sng" algn="ctr">
              <a:solidFill>
                <a:schemeClr val="tx1">
                  <a:lumMod val="15000"/>
                  <a:lumOff val="85000"/>
                </a:schemeClr>
              </a:solidFill>
              <a:prstDash val="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0916000"/>
        <c:crosses val="autoZero"/>
        <c:crossBetween val="between"/>
      </c:valAx>
      <c:spPr>
        <a:noFill/>
        <a:ln>
          <a:noFill/>
        </a:ln>
        <a:effectLst/>
      </c:spPr>
    </c:plotArea>
    <c:legend>
      <c:legendPos val="b"/>
      <c:layout>
        <c:manualLayout>
          <c:xMode val="edge"/>
          <c:yMode val="edge"/>
          <c:x val="8.5692291997069292E-3"/>
          <c:y val="0.81481262758821815"/>
          <c:w val="0.99143077080029307"/>
          <c:h val="0.1851873724117818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635349762167104E-2"/>
          <c:y val="5.0925925925925923E-2"/>
          <c:w val="0.87017458995100017"/>
          <c:h val="0.80140638670166231"/>
        </c:manualLayout>
      </c:layout>
      <c:lineChart>
        <c:grouping val="standard"/>
        <c:varyColors val="0"/>
        <c:ser>
          <c:idx val="0"/>
          <c:order val="0"/>
          <c:tx>
            <c:strRef>
              <c:f>Hárok3!$I$1</c:f>
              <c:strCache>
                <c:ptCount val="1"/>
                <c:pt idx="0">
                  <c:v>Osamelé matky</c:v>
                </c:pt>
              </c:strCache>
            </c:strRef>
          </c:tx>
          <c:spPr>
            <a:ln w="28575" cap="rnd">
              <a:solidFill>
                <a:schemeClr val="accent1"/>
              </a:solidFill>
              <a:round/>
            </a:ln>
            <a:effectLst/>
          </c:spPr>
          <c:marker>
            <c:symbol val="none"/>
          </c:marker>
          <c:cat>
            <c:numRef>
              <c:f>Hárok3!$H$2:$H$26</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cat>
          <c:val>
            <c:numRef>
              <c:f>Hárok3!$I$2:$I$26</c:f>
              <c:numCache>
                <c:formatCode>General</c:formatCode>
                <c:ptCount val="25"/>
                <c:pt idx="0">
                  <c:v>8.8708899816796833</c:v>
                </c:pt>
                <c:pt idx="1">
                  <c:v>14.799963546887815</c:v>
                </c:pt>
                <c:pt idx="2">
                  <c:v>22.342165521753351</c:v>
                </c:pt>
                <c:pt idx="3">
                  <c:v>49.926676443140913</c:v>
                </c:pt>
                <c:pt idx="4">
                  <c:v>59.577194106342091</c:v>
                </c:pt>
                <c:pt idx="5">
                  <c:v>63.485263879369434</c:v>
                </c:pt>
                <c:pt idx="6">
                  <c:v>67.250625670361103</c:v>
                </c:pt>
                <c:pt idx="7">
                  <c:v>71.147477108903175</c:v>
                </c:pt>
                <c:pt idx="8">
                  <c:v>73.140407288317263</c:v>
                </c:pt>
                <c:pt idx="9">
                  <c:v>73.455328310010771</c:v>
                </c:pt>
                <c:pt idx="10">
                  <c:v>74.730066445182729</c:v>
                </c:pt>
                <c:pt idx="11">
                  <c:v>75.671374577282677</c:v>
                </c:pt>
                <c:pt idx="12">
                  <c:v>75.959999999999994</c:v>
                </c:pt>
                <c:pt idx="13">
                  <c:v>76.756756756756758</c:v>
                </c:pt>
                <c:pt idx="14">
                  <c:v>76.903453689167975</c:v>
                </c:pt>
                <c:pt idx="15">
                  <c:v>78.813244047619051</c:v>
                </c:pt>
                <c:pt idx="16">
                  <c:v>82.149671401314393</c:v>
                </c:pt>
                <c:pt idx="17">
                  <c:v>80.407354001441959</c:v>
                </c:pt>
                <c:pt idx="18">
                  <c:v>80.234724292101347</c:v>
                </c:pt>
                <c:pt idx="19">
                  <c:v>81.610768879762716</c:v>
                </c:pt>
                <c:pt idx="20">
                  <c:v>82.514674080939145</c:v>
                </c:pt>
                <c:pt idx="21">
                  <c:v>83.480260636259104</c:v>
                </c:pt>
                <c:pt idx="22">
                  <c:v>82.027649769585253</c:v>
                </c:pt>
                <c:pt idx="23">
                  <c:v>79.679922405431626</c:v>
                </c:pt>
                <c:pt idx="24">
                  <c:v>77.810826888756694</c:v>
                </c:pt>
              </c:numCache>
            </c:numRef>
          </c:val>
          <c:smooth val="0"/>
          <c:extLst xmlns:c16r2="http://schemas.microsoft.com/office/drawing/2015/06/chart">
            <c:ext xmlns:c16="http://schemas.microsoft.com/office/drawing/2014/chart" uri="{C3380CC4-5D6E-409C-BE32-E72D297353CC}">
              <c16:uniqueId val="{00000000-64C7-4388-B47C-2B9DABF5847E}"/>
            </c:ext>
          </c:extLst>
        </c:ser>
        <c:ser>
          <c:idx val="1"/>
          <c:order val="1"/>
          <c:tx>
            <c:strRef>
              <c:f>Hárok3!$J$1</c:f>
              <c:strCache>
                <c:ptCount val="1"/>
                <c:pt idx="0">
                  <c:v>Osamelí otcovia</c:v>
                </c:pt>
              </c:strCache>
            </c:strRef>
          </c:tx>
          <c:spPr>
            <a:ln w="28575" cap="rnd">
              <a:solidFill>
                <a:schemeClr val="accent3"/>
              </a:solidFill>
              <a:prstDash val="solid"/>
              <a:round/>
            </a:ln>
            <a:effectLst/>
          </c:spPr>
          <c:marker>
            <c:symbol val="none"/>
          </c:marker>
          <c:cat>
            <c:numRef>
              <c:f>Hárok3!$H$2:$H$26</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cat>
          <c:val>
            <c:numRef>
              <c:f>Hárok3!$J$2:$J$26</c:f>
              <c:numCache>
                <c:formatCode>General</c:formatCode>
                <c:ptCount val="25"/>
                <c:pt idx="0">
                  <c:v>64.769874476987454</c:v>
                </c:pt>
                <c:pt idx="1">
                  <c:v>66.610597140454161</c:v>
                </c:pt>
                <c:pt idx="2">
                  <c:v>68.917576961271109</c:v>
                </c:pt>
                <c:pt idx="3">
                  <c:v>73.591160220994482</c:v>
                </c:pt>
                <c:pt idx="4">
                  <c:v>70.477247502774688</c:v>
                </c:pt>
                <c:pt idx="5">
                  <c:v>73.254437869822482</c:v>
                </c:pt>
                <c:pt idx="6">
                  <c:v>73.554735547355477</c:v>
                </c:pt>
                <c:pt idx="7">
                  <c:v>74.358974358974365</c:v>
                </c:pt>
                <c:pt idx="8">
                  <c:v>73.07692307692308</c:v>
                </c:pt>
                <c:pt idx="9">
                  <c:v>70.899470899470899</c:v>
                </c:pt>
                <c:pt idx="10">
                  <c:v>74.715261958997729</c:v>
                </c:pt>
                <c:pt idx="11">
                  <c:v>75.928008998875143</c:v>
                </c:pt>
                <c:pt idx="12">
                  <c:v>73.839662447257382</c:v>
                </c:pt>
                <c:pt idx="13">
                  <c:v>74.058127018299245</c:v>
                </c:pt>
                <c:pt idx="14">
                  <c:v>75.59354226020892</c:v>
                </c:pt>
                <c:pt idx="15">
                  <c:v>73.002754820936644</c:v>
                </c:pt>
                <c:pt idx="16">
                  <c:v>78.326612903225808</c:v>
                </c:pt>
                <c:pt idx="17">
                  <c:v>78.966455122393469</c:v>
                </c:pt>
                <c:pt idx="18">
                  <c:v>78.135313531353134</c:v>
                </c:pt>
                <c:pt idx="19">
                  <c:v>80.448065173116092</c:v>
                </c:pt>
                <c:pt idx="20">
                  <c:v>79.521674140508225</c:v>
                </c:pt>
                <c:pt idx="21">
                  <c:v>83.273381294964025</c:v>
                </c:pt>
                <c:pt idx="22">
                  <c:v>80.462184873949582</c:v>
                </c:pt>
                <c:pt idx="23">
                  <c:v>78.10526315789474</c:v>
                </c:pt>
                <c:pt idx="24">
                  <c:v>78.10650887573965</c:v>
                </c:pt>
              </c:numCache>
            </c:numRef>
          </c:val>
          <c:smooth val="0"/>
          <c:extLst xmlns:c16r2="http://schemas.microsoft.com/office/drawing/2015/06/chart">
            <c:ext xmlns:c16="http://schemas.microsoft.com/office/drawing/2014/chart" uri="{C3380CC4-5D6E-409C-BE32-E72D297353CC}">
              <c16:uniqueId val="{00000001-64C7-4388-B47C-2B9DABF5847E}"/>
            </c:ext>
          </c:extLst>
        </c:ser>
        <c:ser>
          <c:idx val="2"/>
          <c:order val="2"/>
          <c:tx>
            <c:strRef>
              <c:f>Hárok3!$K$1</c:f>
              <c:strCache>
                <c:ptCount val="1"/>
                <c:pt idx="0">
                  <c:v>Matky v úplných rodinách</c:v>
                </c:pt>
              </c:strCache>
            </c:strRef>
          </c:tx>
          <c:spPr>
            <a:ln w="28575" cap="rnd">
              <a:solidFill>
                <a:schemeClr val="accent1"/>
              </a:solidFill>
              <a:prstDash val="sysDash"/>
              <a:round/>
            </a:ln>
            <a:effectLst/>
          </c:spPr>
          <c:marker>
            <c:symbol val="none"/>
          </c:marker>
          <c:cat>
            <c:numRef>
              <c:f>Hárok3!$H$2:$H$26</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cat>
          <c:val>
            <c:numRef>
              <c:f>Hárok3!$K$2:$K$26</c:f>
              <c:numCache>
                <c:formatCode>General</c:formatCode>
                <c:ptCount val="25"/>
                <c:pt idx="0">
                  <c:v>12.654996353026988</c:v>
                </c:pt>
                <c:pt idx="1">
                  <c:v>17.65313145216793</c:v>
                </c:pt>
                <c:pt idx="2">
                  <c:v>26.94260054666146</c:v>
                </c:pt>
                <c:pt idx="3">
                  <c:v>56.323396567299007</c:v>
                </c:pt>
                <c:pt idx="4">
                  <c:v>65.255052935514925</c:v>
                </c:pt>
                <c:pt idx="5">
                  <c:v>68.249106687085245</c:v>
                </c:pt>
                <c:pt idx="6">
                  <c:v>73.549398849973869</c:v>
                </c:pt>
                <c:pt idx="7">
                  <c:v>75.0281848928974</c:v>
                </c:pt>
                <c:pt idx="8">
                  <c:v>76.524390243902445</c:v>
                </c:pt>
                <c:pt idx="9">
                  <c:v>76.114649681528661</c:v>
                </c:pt>
                <c:pt idx="10">
                  <c:v>77.091748413156381</c:v>
                </c:pt>
                <c:pt idx="11">
                  <c:v>80.033003300330037</c:v>
                </c:pt>
                <c:pt idx="12">
                  <c:v>80.493150684931507</c:v>
                </c:pt>
                <c:pt idx="13">
                  <c:v>79.880694143167034</c:v>
                </c:pt>
                <c:pt idx="14">
                  <c:v>79.549029889879392</c:v>
                </c:pt>
                <c:pt idx="15">
                  <c:v>79.980029955067394</c:v>
                </c:pt>
                <c:pt idx="16">
                  <c:v>83.713173985547527</c:v>
                </c:pt>
                <c:pt idx="17">
                  <c:v>85.018552875695732</c:v>
                </c:pt>
                <c:pt idx="18">
                  <c:v>84.493041749502979</c:v>
                </c:pt>
                <c:pt idx="19">
                  <c:v>85.522101217168483</c:v>
                </c:pt>
                <c:pt idx="20">
                  <c:v>87.049180327868854</c:v>
                </c:pt>
                <c:pt idx="21">
                  <c:v>85.670103092783506</c:v>
                </c:pt>
                <c:pt idx="22">
                  <c:v>86.423841059602651</c:v>
                </c:pt>
                <c:pt idx="23">
                  <c:v>86.550435865504355</c:v>
                </c:pt>
                <c:pt idx="24">
                  <c:v>83.421516754850089</c:v>
                </c:pt>
              </c:numCache>
            </c:numRef>
          </c:val>
          <c:smooth val="0"/>
          <c:extLst xmlns:c16r2="http://schemas.microsoft.com/office/drawing/2015/06/chart">
            <c:ext xmlns:c16="http://schemas.microsoft.com/office/drawing/2014/chart" uri="{C3380CC4-5D6E-409C-BE32-E72D297353CC}">
              <c16:uniqueId val="{00000002-64C7-4388-B47C-2B9DABF5847E}"/>
            </c:ext>
          </c:extLst>
        </c:ser>
        <c:ser>
          <c:idx val="3"/>
          <c:order val="3"/>
          <c:tx>
            <c:strRef>
              <c:f>Hárok3!$L$1</c:f>
              <c:strCache>
                <c:ptCount val="1"/>
                <c:pt idx="0">
                  <c:v>Otcovia v úplných rodinách</c:v>
                </c:pt>
              </c:strCache>
            </c:strRef>
          </c:tx>
          <c:spPr>
            <a:ln w="28575" cap="rnd">
              <a:solidFill>
                <a:schemeClr val="accent3"/>
              </a:solidFill>
              <a:prstDash val="sysDash"/>
              <a:round/>
            </a:ln>
            <a:effectLst/>
          </c:spPr>
          <c:marker>
            <c:symbol val="none"/>
          </c:marker>
          <c:cat>
            <c:numRef>
              <c:f>Hárok3!$H$2:$H$26</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cat>
          <c:val>
            <c:numRef>
              <c:f>Hárok3!$L$2:$L$26</c:f>
              <c:numCache>
                <c:formatCode>General</c:formatCode>
                <c:ptCount val="25"/>
                <c:pt idx="0">
                  <c:v>81.731498537219636</c:v>
                </c:pt>
                <c:pt idx="1">
                  <c:v>82.570695822366204</c:v>
                </c:pt>
                <c:pt idx="2">
                  <c:v>84.197276576267313</c:v>
                </c:pt>
                <c:pt idx="3">
                  <c:v>85.199181931353365</c:v>
                </c:pt>
                <c:pt idx="4">
                  <c:v>84.895505018668473</c:v>
                </c:pt>
                <c:pt idx="5">
                  <c:v>85.282258064516128</c:v>
                </c:pt>
                <c:pt idx="6">
                  <c:v>84.937351479801251</c:v>
                </c:pt>
                <c:pt idx="7">
                  <c:v>85.434078117004944</c:v>
                </c:pt>
                <c:pt idx="8">
                  <c:v>85.391538602828632</c:v>
                </c:pt>
                <c:pt idx="9">
                  <c:v>85.308380999751307</c:v>
                </c:pt>
                <c:pt idx="10">
                  <c:v>85.591333132711412</c:v>
                </c:pt>
                <c:pt idx="11">
                  <c:v>85.669199298655755</c:v>
                </c:pt>
                <c:pt idx="12">
                  <c:v>84.952435860478531</c:v>
                </c:pt>
                <c:pt idx="13">
                  <c:v>84.984493938539615</c:v>
                </c:pt>
                <c:pt idx="14">
                  <c:v>84.083547414274548</c:v>
                </c:pt>
                <c:pt idx="15">
                  <c:v>85.105462412114662</c:v>
                </c:pt>
                <c:pt idx="16">
                  <c:v>86.548773531089566</c:v>
                </c:pt>
                <c:pt idx="17">
                  <c:v>86.724895290632347</c:v>
                </c:pt>
                <c:pt idx="18">
                  <c:v>86.633335033926841</c:v>
                </c:pt>
                <c:pt idx="19">
                  <c:v>86.273159739609412</c:v>
                </c:pt>
                <c:pt idx="20">
                  <c:v>86.576508890558472</c:v>
                </c:pt>
                <c:pt idx="21">
                  <c:v>86.432358138621638</c:v>
                </c:pt>
                <c:pt idx="22">
                  <c:v>85.575148656961247</c:v>
                </c:pt>
                <c:pt idx="23">
                  <c:v>83.849765258215967</c:v>
                </c:pt>
                <c:pt idx="24">
                  <c:v>82.550751588408488</c:v>
                </c:pt>
              </c:numCache>
            </c:numRef>
          </c:val>
          <c:smooth val="0"/>
          <c:extLst xmlns:c16r2="http://schemas.microsoft.com/office/drawing/2015/06/chart">
            <c:ext xmlns:c16="http://schemas.microsoft.com/office/drawing/2014/chart" uri="{C3380CC4-5D6E-409C-BE32-E72D297353CC}">
              <c16:uniqueId val="{00000003-64C7-4388-B47C-2B9DABF5847E}"/>
            </c:ext>
          </c:extLst>
        </c:ser>
        <c:dLbls>
          <c:showLegendKey val="0"/>
          <c:showVal val="0"/>
          <c:showCatName val="0"/>
          <c:showSerName val="0"/>
          <c:showPercent val="0"/>
          <c:showBubbleSize val="0"/>
        </c:dLbls>
        <c:smooth val="0"/>
        <c:axId val="220917176"/>
        <c:axId val="220917568"/>
      </c:lineChart>
      <c:catAx>
        <c:axId val="22091717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r>
                  <a:rPr lang="en-US">
                    <a:solidFill>
                      <a:sysClr val="windowText" lastClr="000000"/>
                    </a:solidFill>
                    <a:latin typeface="Arial Narrow" panose="020B0606020202030204" pitchFamily="34" charset="0"/>
                  </a:rPr>
                  <a:t>Vek najmladšieho dieťaťa</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0917568"/>
        <c:crosses val="autoZero"/>
        <c:auto val="1"/>
        <c:lblAlgn val="ctr"/>
        <c:lblOffset val="100"/>
        <c:noMultiLvlLbl val="0"/>
      </c:catAx>
      <c:valAx>
        <c:axId val="220917568"/>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0917176"/>
        <c:crosses val="autoZero"/>
        <c:crossBetween val="between"/>
      </c:valAx>
      <c:spPr>
        <a:noFill/>
        <a:ln>
          <a:noFill/>
        </a:ln>
        <a:effectLst/>
      </c:spPr>
    </c:plotArea>
    <c:legend>
      <c:legendPos val="b"/>
      <c:layout>
        <c:manualLayout>
          <c:xMode val="edge"/>
          <c:yMode val="edge"/>
          <c:x val="0.18686983239723021"/>
          <c:y val="0.44594342373869933"/>
          <c:w val="0.80828500532996517"/>
          <c:h val="0.2160936132983377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734606183076673E-2"/>
          <c:y val="6.3218390804597707E-2"/>
          <c:w val="0.91630669175202661"/>
          <c:h val="0.74535568829758347"/>
        </c:manualLayout>
      </c:layout>
      <c:lineChart>
        <c:grouping val="standard"/>
        <c:varyColors val="0"/>
        <c:ser>
          <c:idx val="0"/>
          <c:order val="0"/>
          <c:tx>
            <c:strRef>
              <c:f>Hárok2!$H$1</c:f>
              <c:strCache>
                <c:ptCount val="1"/>
                <c:pt idx="0">
                  <c:v>Osamelé matky</c:v>
                </c:pt>
              </c:strCache>
            </c:strRef>
          </c:tx>
          <c:spPr>
            <a:ln w="28575" cap="rnd">
              <a:solidFill>
                <a:schemeClr val="accent1"/>
              </a:solidFill>
              <a:round/>
            </a:ln>
            <a:effectLst/>
          </c:spPr>
          <c:marker>
            <c:symbol val="none"/>
          </c:marker>
          <c:cat>
            <c:numRef>
              <c:f>Hárok2!$G$2:$G$26</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cat>
          <c:val>
            <c:numRef>
              <c:f>Hárok2!$H$2:$H$26</c:f>
              <c:numCache>
                <c:formatCode>General</c:formatCode>
                <c:ptCount val="25"/>
                <c:pt idx="0">
                  <c:v>7.817317934630263</c:v>
                </c:pt>
                <c:pt idx="1">
                  <c:v>8.5517463699052527</c:v>
                </c:pt>
                <c:pt idx="2">
                  <c:v>7.1571732914727813</c:v>
                </c:pt>
                <c:pt idx="3">
                  <c:v>5.8754274821999219</c:v>
                </c:pt>
                <c:pt idx="4">
                  <c:v>4.9041318607389135</c:v>
                </c:pt>
                <c:pt idx="5">
                  <c:v>4.5593429388350062</c:v>
                </c:pt>
                <c:pt idx="6">
                  <c:v>4.3505073723159722</c:v>
                </c:pt>
                <c:pt idx="7">
                  <c:v>3.9713797163200089</c:v>
                </c:pt>
                <c:pt idx="8">
                  <c:v>3.6181813085160059</c:v>
                </c:pt>
                <c:pt idx="9">
                  <c:v>3.5642204406570612</c:v>
                </c:pt>
                <c:pt idx="10">
                  <c:v>3.7176935583338007</c:v>
                </c:pt>
                <c:pt idx="11">
                  <c:v>3.8480405897852776</c:v>
                </c:pt>
                <c:pt idx="12">
                  <c:v>3.803189998318103</c:v>
                </c:pt>
                <c:pt idx="13">
                  <c:v>3.7807647025845155</c:v>
                </c:pt>
                <c:pt idx="14">
                  <c:v>3.8515445422436509</c:v>
                </c:pt>
                <c:pt idx="15">
                  <c:v>4.0085216123787628</c:v>
                </c:pt>
                <c:pt idx="16">
                  <c:v>3.335061949879464</c:v>
                </c:pt>
                <c:pt idx="17">
                  <c:v>3.9300330773112071</c:v>
                </c:pt>
                <c:pt idx="18">
                  <c:v>3.8003868363514042</c:v>
                </c:pt>
                <c:pt idx="19">
                  <c:v>3.102399506643494</c:v>
                </c:pt>
                <c:pt idx="20">
                  <c:v>2.2859785838425744</c:v>
                </c:pt>
                <c:pt idx="21">
                  <c:v>1.8458821550709199</c:v>
                </c:pt>
                <c:pt idx="22">
                  <c:v>1.6839995514940853</c:v>
                </c:pt>
                <c:pt idx="23">
                  <c:v>1.4534394797331389</c:v>
                </c:pt>
                <c:pt idx="24">
                  <c:v>1.1836351404384144</c:v>
                </c:pt>
              </c:numCache>
            </c:numRef>
          </c:val>
          <c:smooth val="0"/>
          <c:extLst xmlns:c16r2="http://schemas.microsoft.com/office/drawing/2015/06/chart">
            <c:ext xmlns:c16="http://schemas.microsoft.com/office/drawing/2014/chart" uri="{C3380CC4-5D6E-409C-BE32-E72D297353CC}">
              <c16:uniqueId val="{00000000-15F6-4C2C-8F05-FFE32D29BDE3}"/>
            </c:ext>
          </c:extLst>
        </c:ser>
        <c:ser>
          <c:idx val="1"/>
          <c:order val="1"/>
          <c:tx>
            <c:strRef>
              <c:f>Hárok2!$I$1</c:f>
              <c:strCache>
                <c:ptCount val="1"/>
                <c:pt idx="0">
                  <c:v>Matky v úplných rodinách</c:v>
                </c:pt>
              </c:strCache>
            </c:strRef>
          </c:tx>
          <c:spPr>
            <a:ln w="28575" cap="rnd">
              <a:solidFill>
                <a:schemeClr val="accent1">
                  <a:lumMod val="50000"/>
                </a:schemeClr>
              </a:solidFill>
              <a:round/>
            </a:ln>
            <a:effectLst/>
          </c:spPr>
          <c:marker>
            <c:symbol val="none"/>
          </c:marker>
          <c:cat>
            <c:numRef>
              <c:f>Hárok2!$G$2:$G$26</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cat>
          <c:val>
            <c:numRef>
              <c:f>Hárok2!$I$2:$I$26</c:f>
              <c:numCache>
                <c:formatCode>General</c:formatCode>
                <c:ptCount val="25"/>
                <c:pt idx="0">
                  <c:v>6.266911058741381</c:v>
                </c:pt>
                <c:pt idx="1">
                  <c:v>6.6356812429082659</c:v>
                </c:pt>
                <c:pt idx="2">
                  <c:v>5.8392249279916211</c:v>
                </c:pt>
                <c:pt idx="3">
                  <c:v>5.0624072619359346</c:v>
                </c:pt>
                <c:pt idx="4">
                  <c:v>4.7460068080649389</c:v>
                </c:pt>
                <c:pt idx="5">
                  <c:v>4.486340228681156</c:v>
                </c:pt>
                <c:pt idx="6">
                  <c:v>4.3423234703674609</c:v>
                </c:pt>
                <c:pt idx="7">
                  <c:v>4.0215588723051408</c:v>
                </c:pt>
                <c:pt idx="8">
                  <c:v>3.7247970672951034</c:v>
                </c:pt>
                <c:pt idx="9">
                  <c:v>3.5633237322161122</c:v>
                </c:pt>
                <c:pt idx="10">
                  <c:v>3.8971807628524044</c:v>
                </c:pt>
                <c:pt idx="11">
                  <c:v>4.1044776119402986</c:v>
                </c:pt>
                <c:pt idx="12">
                  <c:v>4.1022955398446364</c:v>
                </c:pt>
                <c:pt idx="13">
                  <c:v>4.1481190538535397</c:v>
                </c:pt>
                <c:pt idx="14">
                  <c:v>4.2724971633062756</c:v>
                </c:pt>
                <c:pt idx="15">
                  <c:v>4.4885223007768174</c:v>
                </c:pt>
                <c:pt idx="16">
                  <c:v>3.9451863489569696</c:v>
                </c:pt>
                <c:pt idx="17">
                  <c:v>4.7241860871083183</c:v>
                </c:pt>
                <c:pt idx="18">
                  <c:v>4.4230601379069565</c:v>
                </c:pt>
                <c:pt idx="19">
                  <c:v>3.4171249018067558</c:v>
                </c:pt>
                <c:pt idx="20">
                  <c:v>2.6774024613773237</c:v>
                </c:pt>
                <c:pt idx="21">
                  <c:v>2.1275202932704897</c:v>
                </c:pt>
                <c:pt idx="22">
                  <c:v>1.9813214628611329</c:v>
                </c:pt>
                <c:pt idx="23">
                  <c:v>1.7587501091036049</c:v>
                </c:pt>
                <c:pt idx="24">
                  <c:v>1.2437810945273631</c:v>
                </c:pt>
              </c:numCache>
            </c:numRef>
          </c:val>
          <c:smooth val="0"/>
          <c:extLst xmlns:c16r2="http://schemas.microsoft.com/office/drawing/2015/06/chart">
            <c:ext xmlns:c16="http://schemas.microsoft.com/office/drawing/2014/chart" uri="{C3380CC4-5D6E-409C-BE32-E72D297353CC}">
              <c16:uniqueId val="{00000001-15F6-4C2C-8F05-FFE32D29BDE3}"/>
            </c:ext>
          </c:extLst>
        </c:ser>
        <c:ser>
          <c:idx val="2"/>
          <c:order val="2"/>
          <c:tx>
            <c:strRef>
              <c:f>Hárok2!$J$1</c:f>
              <c:strCache>
                <c:ptCount val="1"/>
                <c:pt idx="0">
                  <c:v>Osamelí otcovia</c:v>
                </c:pt>
              </c:strCache>
            </c:strRef>
          </c:tx>
          <c:spPr>
            <a:ln w="28575" cap="rnd">
              <a:solidFill>
                <a:schemeClr val="accent3"/>
              </a:solidFill>
              <a:round/>
            </a:ln>
            <a:effectLst/>
          </c:spPr>
          <c:marker>
            <c:symbol val="none"/>
          </c:marker>
          <c:cat>
            <c:numRef>
              <c:f>Hárok2!$G$2:$G$26</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cat>
          <c:val>
            <c:numRef>
              <c:f>Hárok2!$J$2:$J$26</c:f>
              <c:numCache>
                <c:formatCode>General</c:formatCode>
                <c:ptCount val="25"/>
                <c:pt idx="0">
                  <c:v>5.5479932351606651</c:v>
                </c:pt>
                <c:pt idx="1">
                  <c:v>5.7954873571752668</c:v>
                </c:pt>
                <c:pt idx="2">
                  <c:v>4.9498824402920434</c:v>
                </c:pt>
                <c:pt idx="3">
                  <c:v>4.4012704698263416</c:v>
                </c:pt>
                <c:pt idx="4">
                  <c:v>4.4218949799942253</c:v>
                </c:pt>
                <c:pt idx="5">
                  <c:v>4.1042775234088191</c:v>
                </c:pt>
                <c:pt idx="6">
                  <c:v>3.9475312461329044</c:v>
                </c:pt>
                <c:pt idx="7">
                  <c:v>3.9269067359650207</c:v>
                </c:pt>
                <c:pt idx="8">
                  <c:v>3.4772924143051602</c:v>
                </c:pt>
                <c:pt idx="9">
                  <c:v>3.6010394753124615</c:v>
                </c:pt>
                <c:pt idx="10">
                  <c:v>4.1496514457781624</c:v>
                </c:pt>
                <c:pt idx="11">
                  <c:v>4.2445241925504273</c:v>
                </c:pt>
                <c:pt idx="12">
                  <c:v>4.3971455677927649</c:v>
                </c:pt>
                <c:pt idx="13">
                  <c:v>4.3806459596584579</c:v>
                </c:pt>
                <c:pt idx="14">
                  <c:v>4.9003836158891225</c:v>
                </c:pt>
                <c:pt idx="15">
                  <c:v>5.0076310687621168</c:v>
                </c:pt>
                <c:pt idx="16">
                  <c:v>4.1950253681475065</c:v>
                </c:pt>
                <c:pt idx="17">
                  <c:v>4.6941385142102874</c:v>
                </c:pt>
                <c:pt idx="18">
                  <c:v>5.1313781297694181</c:v>
                </c:pt>
                <c:pt idx="19">
                  <c:v>4.1331518376438563</c:v>
                </c:pt>
                <c:pt idx="20">
                  <c:v>2.8338076970671948</c:v>
                </c:pt>
                <c:pt idx="21">
                  <c:v>2.3346945510044135</c:v>
                </c:pt>
                <c:pt idx="22">
                  <c:v>2.0088272903518543</c:v>
                </c:pt>
                <c:pt idx="23">
                  <c:v>1.996452584251124</c:v>
                </c:pt>
                <c:pt idx="24">
                  <c:v>1.4189662995503858</c:v>
                </c:pt>
              </c:numCache>
            </c:numRef>
          </c:val>
          <c:smooth val="0"/>
          <c:extLst xmlns:c16r2="http://schemas.microsoft.com/office/drawing/2015/06/chart">
            <c:ext xmlns:c16="http://schemas.microsoft.com/office/drawing/2014/chart" uri="{C3380CC4-5D6E-409C-BE32-E72D297353CC}">
              <c16:uniqueId val="{00000002-15F6-4C2C-8F05-FFE32D29BDE3}"/>
            </c:ext>
          </c:extLst>
        </c:ser>
        <c:dLbls>
          <c:showLegendKey val="0"/>
          <c:showVal val="0"/>
          <c:showCatName val="0"/>
          <c:showSerName val="0"/>
          <c:showPercent val="0"/>
          <c:showBubbleSize val="0"/>
        </c:dLbls>
        <c:smooth val="0"/>
        <c:axId val="222232728"/>
        <c:axId val="222233120"/>
      </c:lineChart>
      <c:catAx>
        <c:axId val="22223272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r>
                  <a:rPr lang="en-US">
                    <a:solidFill>
                      <a:sysClr val="windowText" lastClr="000000"/>
                    </a:solidFill>
                    <a:latin typeface="Arial Narrow" panose="020B0606020202030204" pitchFamily="34" charset="0"/>
                  </a:rPr>
                  <a:t>Vek najmladšieho dieťaťa</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2233120"/>
        <c:crosses val="autoZero"/>
        <c:auto val="1"/>
        <c:lblAlgn val="ctr"/>
        <c:lblOffset val="100"/>
        <c:noMultiLvlLbl val="0"/>
      </c:catAx>
      <c:valAx>
        <c:axId val="222233120"/>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2232728"/>
        <c:crosses val="autoZero"/>
        <c:crossBetween val="between"/>
      </c:valAx>
      <c:spPr>
        <a:noFill/>
        <a:ln>
          <a:noFill/>
        </a:ln>
        <a:effectLst/>
      </c:spPr>
    </c:plotArea>
    <c:legend>
      <c:legendPos val="b"/>
      <c:layout>
        <c:manualLayout>
          <c:xMode val="edge"/>
          <c:yMode val="edge"/>
          <c:x val="0.13421522309711287"/>
          <c:y val="0.13848097112860894"/>
          <c:w val="0.73478475367570206"/>
          <c:h val="9.246040365643949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994382867746621E-2"/>
          <c:y val="7.8703703703703706E-2"/>
          <c:w val="0.81213434307972654"/>
          <c:h val="0.68441236512102643"/>
        </c:manualLayout>
      </c:layout>
      <c:barChart>
        <c:barDir val="col"/>
        <c:grouping val="clustered"/>
        <c:varyColors val="0"/>
        <c:ser>
          <c:idx val="0"/>
          <c:order val="0"/>
          <c:tx>
            <c:strRef>
              <c:f>'Total AOTP a LTU'!$H$1</c:f>
              <c:strCache>
                <c:ptCount val="1"/>
                <c:pt idx="0">
                  <c:v>Výdavky na AOTP (% HDP)</c:v>
                </c:pt>
              </c:strCache>
            </c:strRef>
          </c:tx>
          <c:spPr>
            <a:solidFill>
              <a:srgbClr val="5B9BD5"/>
            </a:solidFill>
            <a:ln w="25400">
              <a:noFill/>
            </a:ln>
          </c:spPr>
          <c:invertIfNegative val="0"/>
          <c:cat>
            <c:strRef>
              <c:f>'Total AOTP a LTU'!$G$2:$G$28</c:f>
              <c:strCache>
                <c:ptCount val="27"/>
                <c:pt idx="0">
                  <c:v>Dánsko</c:v>
                </c:pt>
                <c:pt idx="1">
                  <c:v>Švédsko</c:v>
                </c:pt>
                <c:pt idx="2">
                  <c:v>Maďarsko</c:v>
                </c:pt>
                <c:pt idx="3">
                  <c:v>Fínsko</c:v>
                </c:pt>
                <c:pt idx="4">
                  <c:v>Francúzsko</c:v>
                </c:pt>
                <c:pt idx="5">
                  <c:v>Luxembursko</c:v>
                </c:pt>
                <c:pt idx="6">
                  <c:v>Rakúsko</c:v>
                </c:pt>
                <c:pt idx="7">
                  <c:v>Belgicko</c:v>
                </c:pt>
                <c:pt idx="8">
                  <c:v>Holandsko</c:v>
                </c:pt>
                <c:pt idx="9">
                  <c:v>Španielsko</c:v>
                </c:pt>
                <c:pt idx="10">
                  <c:v>Portugalsko</c:v>
                </c:pt>
                <c:pt idx="11">
                  <c:v>Taliansko</c:v>
                </c:pt>
                <c:pt idx="12">
                  <c:v>Írsko</c:v>
                </c:pt>
                <c:pt idx="13">
                  <c:v>Poľsko</c:v>
                </c:pt>
                <c:pt idx="14">
                  <c:v>Chorvátsko</c:v>
                </c:pt>
                <c:pt idx="15">
                  <c:v>Nemecko</c:v>
                </c:pt>
                <c:pt idx="16">
                  <c:v>Česká Rep.</c:v>
                </c:pt>
                <c:pt idx="17">
                  <c:v>Litva</c:v>
                </c:pt>
                <c:pt idx="18">
                  <c:v>Slovensko</c:v>
                </c:pt>
                <c:pt idx="19">
                  <c:v>Estónsko</c:v>
                </c:pt>
                <c:pt idx="20">
                  <c:v>Grécko</c:v>
                </c:pt>
                <c:pt idx="21">
                  <c:v>Slovinsko</c:v>
                </c:pt>
                <c:pt idx="22">
                  <c:v>Lotyšsko</c:v>
                </c:pt>
                <c:pt idx="23">
                  <c:v>Malta</c:v>
                </c:pt>
                <c:pt idx="24">
                  <c:v>Bulharsko</c:v>
                </c:pt>
                <c:pt idx="25">
                  <c:v>Cyprus</c:v>
                </c:pt>
                <c:pt idx="26">
                  <c:v>Rumunsko</c:v>
                </c:pt>
              </c:strCache>
            </c:strRef>
          </c:cat>
          <c:val>
            <c:numRef>
              <c:f>'Total AOTP a LTU'!$H$2:$H$28</c:f>
              <c:numCache>
                <c:formatCode>General</c:formatCode>
                <c:ptCount val="27"/>
                <c:pt idx="0">
                  <c:v>1.4510000000000001</c:v>
                </c:pt>
                <c:pt idx="1">
                  <c:v>0.89600000000000002</c:v>
                </c:pt>
                <c:pt idx="2">
                  <c:v>0.86899999999999999</c:v>
                </c:pt>
                <c:pt idx="3">
                  <c:v>0.83799999999999997</c:v>
                </c:pt>
                <c:pt idx="4">
                  <c:v>0.70399999999999996</c:v>
                </c:pt>
                <c:pt idx="5">
                  <c:v>0.65500000000000003</c:v>
                </c:pt>
                <c:pt idx="6">
                  <c:v>0.58299999999999996</c:v>
                </c:pt>
                <c:pt idx="7">
                  <c:v>0.52500000000000002</c:v>
                </c:pt>
                <c:pt idx="8">
                  <c:v>0.48299999999999998</c:v>
                </c:pt>
                <c:pt idx="9">
                  <c:v>0.441</c:v>
                </c:pt>
                <c:pt idx="10">
                  <c:v>0.41599999999999998</c:v>
                </c:pt>
                <c:pt idx="11">
                  <c:v>0.41499999999999998</c:v>
                </c:pt>
                <c:pt idx="12">
                  <c:v>0.40100000000000002</c:v>
                </c:pt>
                <c:pt idx="13">
                  <c:v>0.36499999999999999</c:v>
                </c:pt>
                <c:pt idx="14">
                  <c:v>0.33700000000000002</c:v>
                </c:pt>
                <c:pt idx="15">
                  <c:v>0.26300000000000001</c:v>
                </c:pt>
                <c:pt idx="16">
                  <c:v>0.246</c:v>
                </c:pt>
                <c:pt idx="17">
                  <c:v>0.24099999999999999</c:v>
                </c:pt>
                <c:pt idx="18">
                  <c:v>0.20499999999999999</c:v>
                </c:pt>
                <c:pt idx="19">
                  <c:v>0.182</c:v>
                </c:pt>
                <c:pt idx="20">
                  <c:v>0.17599999999999999</c:v>
                </c:pt>
                <c:pt idx="21">
                  <c:v>0.16200000000000001</c:v>
                </c:pt>
                <c:pt idx="22">
                  <c:v>0.14199999999999999</c:v>
                </c:pt>
                <c:pt idx="23">
                  <c:v>0.13500000000000001</c:v>
                </c:pt>
                <c:pt idx="24">
                  <c:v>0.11899999999999999</c:v>
                </c:pt>
                <c:pt idx="25">
                  <c:v>0.106</c:v>
                </c:pt>
                <c:pt idx="26">
                  <c:v>2.4E-2</c:v>
                </c:pt>
              </c:numCache>
            </c:numRef>
          </c:val>
        </c:ser>
        <c:dLbls>
          <c:showLegendKey val="0"/>
          <c:showVal val="0"/>
          <c:showCatName val="0"/>
          <c:showSerName val="0"/>
          <c:showPercent val="0"/>
          <c:showBubbleSize val="0"/>
        </c:dLbls>
        <c:gapWidth val="100"/>
        <c:axId val="222233512"/>
        <c:axId val="222233904"/>
      </c:barChart>
      <c:lineChart>
        <c:grouping val="standard"/>
        <c:varyColors val="0"/>
        <c:ser>
          <c:idx val="2"/>
          <c:order val="2"/>
          <c:tx>
            <c:strRef>
              <c:f>'Total AOTP a LTU'!$J$1</c:f>
              <c:strCache>
                <c:ptCount val="1"/>
                <c:pt idx="0">
                  <c:v>Priemer EÚ15</c:v>
                </c:pt>
              </c:strCache>
            </c:strRef>
          </c:tx>
          <c:spPr>
            <a:ln w="19050">
              <a:solidFill>
                <a:schemeClr val="accent1"/>
              </a:solidFill>
              <a:prstDash val="sysDash"/>
            </a:ln>
          </c:spPr>
          <c:marker>
            <c:symbol val="none"/>
          </c:marker>
          <c:cat>
            <c:strRef>
              <c:f>'Total AOTP a LTU'!$G$2:$G$28</c:f>
              <c:strCache>
                <c:ptCount val="27"/>
                <c:pt idx="0">
                  <c:v>Dánsko</c:v>
                </c:pt>
                <c:pt idx="1">
                  <c:v>Švédsko</c:v>
                </c:pt>
                <c:pt idx="2">
                  <c:v>Maďarsko</c:v>
                </c:pt>
                <c:pt idx="3">
                  <c:v>Fínsko</c:v>
                </c:pt>
                <c:pt idx="4">
                  <c:v>Francúzsko</c:v>
                </c:pt>
                <c:pt idx="5">
                  <c:v>Luxembursko</c:v>
                </c:pt>
                <c:pt idx="6">
                  <c:v>Rakúsko</c:v>
                </c:pt>
                <c:pt idx="7">
                  <c:v>Belgicko</c:v>
                </c:pt>
                <c:pt idx="8">
                  <c:v>Holandsko</c:v>
                </c:pt>
                <c:pt idx="9">
                  <c:v>Španielsko</c:v>
                </c:pt>
                <c:pt idx="10">
                  <c:v>Portugalsko</c:v>
                </c:pt>
                <c:pt idx="11">
                  <c:v>Taliansko</c:v>
                </c:pt>
                <c:pt idx="12">
                  <c:v>Írsko</c:v>
                </c:pt>
                <c:pt idx="13">
                  <c:v>Poľsko</c:v>
                </c:pt>
                <c:pt idx="14">
                  <c:v>Chorvátsko</c:v>
                </c:pt>
                <c:pt idx="15">
                  <c:v>Nemecko</c:v>
                </c:pt>
                <c:pt idx="16">
                  <c:v>Česká Rep.</c:v>
                </c:pt>
                <c:pt idx="17">
                  <c:v>Litva</c:v>
                </c:pt>
                <c:pt idx="18">
                  <c:v>Slovensko</c:v>
                </c:pt>
                <c:pt idx="19">
                  <c:v>Estónsko</c:v>
                </c:pt>
                <c:pt idx="20">
                  <c:v>Grécko</c:v>
                </c:pt>
                <c:pt idx="21">
                  <c:v>Slovinsko</c:v>
                </c:pt>
                <c:pt idx="22">
                  <c:v>Lotyšsko</c:v>
                </c:pt>
                <c:pt idx="23">
                  <c:v>Malta</c:v>
                </c:pt>
                <c:pt idx="24">
                  <c:v>Bulharsko</c:v>
                </c:pt>
                <c:pt idx="25">
                  <c:v>Cyprus</c:v>
                </c:pt>
                <c:pt idx="26">
                  <c:v>Rumunsko</c:v>
                </c:pt>
              </c:strCache>
            </c:strRef>
          </c:cat>
          <c:val>
            <c:numRef>
              <c:f>'Total AOTP a LTU'!$J$2:$J$28</c:f>
              <c:numCache>
                <c:formatCode>0.00</c:formatCode>
                <c:ptCount val="27"/>
                <c:pt idx="0">
                  <c:v>0.58907142857142869</c:v>
                </c:pt>
                <c:pt idx="1">
                  <c:v>0.58907142857142869</c:v>
                </c:pt>
                <c:pt idx="2">
                  <c:v>0.58907142857142869</c:v>
                </c:pt>
                <c:pt idx="3">
                  <c:v>0.58907142857142869</c:v>
                </c:pt>
                <c:pt idx="4">
                  <c:v>0.58907142857142869</c:v>
                </c:pt>
                <c:pt idx="5">
                  <c:v>0.58907142857142869</c:v>
                </c:pt>
                <c:pt idx="6">
                  <c:v>0.58907142857142869</c:v>
                </c:pt>
                <c:pt idx="7">
                  <c:v>0.58907142857142869</c:v>
                </c:pt>
                <c:pt idx="8">
                  <c:v>0.58907142857142869</c:v>
                </c:pt>
                <c:pt idx="9">
                  <c:v>0.58907142857142869</c:v>
                </c:pt>
                <c:pt idx="10">
                  <c:v>0.58907142857142869</c:v>
                </c:pt>
                <c:pt idx="11">
                  <c:v>0.58907142857142869</c:v>
                </c:pt>
                <c:pt idx="12">
                  <c:v>0.58907142857142869</c:v>
                </c:pt>
                <c:pt idx="13">
                  <c:v>0.58907142857142869</c:v>
                </c:pt>
                <c:pt idx="14">
                  <c:v>0.58907142857142869</c:v>
                </c:pt>
                <c:pt idx="15">
                  <c:v>0.58907142857142869</c:v>
                </c:pt>
                <c:pt idx="16">
                  <c:v>0.58907142857142869</c:v>
                </c:pt>
                <c:pt idx="17">
                  <c:v>0.58907142857142869</c:v>
                </c:pt>
                <c:pt idx="18">
                  <c:v>0.58907142857142869</c:v>
                </c:pt>
                <c:pt idx="19">
                  <c:v>0.58907142857142869</c:v>
                </c:pt>
                <c:pt idx="20">
                  <c:v>0.58907142857142869</c:v>
                </c:pt>
                <c:pt idx="21">
                  <c:v>0.58907142857142869</c:v>
                </c:pt>
                <c:pt idx="22">
                  <c:v>0.58907142857142869</c:v>
                </c:pt>
                <c:pt idx="23">
                  <c:v>0.58907142857142869</c:v>
                </c:pt>
                <c:pt idx="24">
                  <c:v>0.58907142857142869</c:v>
                </c:pt>
                <c:pt idx="25">
                  <c:v>0.58907142857142869</c:v>
                </c:pt>
                <c:pt idx="26">
                  <c:v>0.58907142857142869</c:v>
                </c:pt>
              </c:numCache>
            </c:numRef>
          </c:val>
          <c:smooth val="0"/>
        </c:ser>
        <c:dLbls>
          <c:showLegendKey val="0"/>
          <c:showVal val="0"/>
          <c:showCatName val="0"/>
          <c:showSerName val="0"/>
          <c:showPercent val="0"/>
          <c:showBubbleSize val="0"/>
        </c:dLbls>
        <c:marker val="1"/>
        <c:smooth val="0"/>
        <c:axId val="222233512"/>
        <c:axId val="222233904"/>
      </c:lineChart>
      <c:lineChart>
        <c:grouping val="standard"/>
        <c:varyColors val="0"/>
        <c:ser>
          <c:idx val="1"/>
          <c:order val="1"/>
          <c:tx>
            <c:strRef>
              <c:f>'Total AOTP a LTU'!$I$1</c:f>
              <c:strCache>
                <c:ptCount val="1"/>
                <c:pt idx="0">
                  <c:v>Miera DN (pravá os, %)</c:v>
                </c:pt>
              </c:strCache>
            </c:strRef>
          </c:tx>
          <c:spPr>
            <a:ln w="19050">
              <a:noFill/>
            </a:ln>
          </c:spPr>
          <c:marker>
            <c:symbol val="diamond"/>
            <c:size val="5"/>
            <c:spPr>
              <a:solidFill>
                <a:schemeClr val="accent3">
                  <a:lumMod val="75000"/>
                </a:schemeClr>
              </a:solidFill>
              <a:ln w="15875">
                <a:solidFill>
                  <a:schemeClr val="accent3">
                    <a:lumMod val="75000"/>
                  </a:schemeClr>
                </a:solidFill>
              </a:ln>
              <a:effectLst/>
            </c:spPr>
          </c:marker>
          <c:cat>
            <c:strRef>
              <c:f>'Total AOTP a LTU'!$G$2:$G$28</c:f>
              <c:strCache>
                <c:ptCount val="27"/>
                <c:pt idx="0">
                  <c:v>Dánsko</c:v>
                </c:pt>
                <c:pt idx="1">
                  <c:v>Švédsko</c:v>
                </c:pt>
                <c:pt idx="2">
                  <c:v>Maďarsko</c:v>
                </c:pt>
                <c:pt idx="3">
                  <c:v>Fínsko</c:v>
                </c:pt>
                <c:pt idx="4">
                  <c:v>Francúzsko</c:v>
                </c:pt>
                <c:pt idx="5">
                  <c:v>Luxembursko</c:v>
                </c:pt>
                <c:pt idx="6">
                  <c:v>Rakúsko</c:v>
                </c:pt>
                <c:pt idx="7">
                  <c:v>Belgicko</c:v>
                </c:pt>
                <c:pt idx="8">
                  <c:v>Holandsko</c:v>
                </c:pt>
                <c:pt idx="9">
                  <c:v>Španielsko</c:v>
                </c:pt>
                <c:pt idx="10">
                  <c:v>Portugalsko</c:v>
                </c:pt>
                <c:pt idx="11">
                  <c:v>Taliansko</c:v>
                </c:pt>
                <c:pt idx="12">
                  <c:v>Írsko</c:v>
                </c:pt>
                <c:pt idx="13">
                  <c:v>Poľsko</c:v>
                </c:pt>
                <c:pt idx="14">
                  <c:v>Chorvátsko</c:v>
                </c:pt>
                <c:pt idx="15">
                  <c:v>Nemecko</c:v>
                </c:pt>
                <c:pt idx="16">
                  <c:v>Česká Rep.</c:v>
                </c:pt>
                <c:pt idx="17">
                  <c:v>Litva</c:v>
                </c:pt>
                <c:pt idx="18">
                  <c:v>Slovensko</c:v>
                </c:pt>
                <c:pt idx="19">
                  <c:v>Estónsko</c:v>
                </c:pt>
                <c:pt idx="20">
                  <c:v>Grécko</c:v>
                </c:pt>
                <c:pt idx="21">
                  <c:v>Slovinsko</c:v>
                </c:pt>
                <c:pt idx="22">
                  <c:v>Lotyšsko</c:v>
                </c:pt>
                <c:pt idx="23">
                  <c:v>Malta</c:v>
                </c:pt>
                <c:pt idx="24">
                  <c:v>Bulharsko</c:v>
                </c:pt>
                <c:pt idx="25">
                  <c:v>Cyprus</c:v>
                </c:pt>
                <c:pt idx="26">
                  <c:v>Rumunsko</c:v>
                </c:pt>
              </c:strCache>
            </c:strRef>
          </c:cat>
          <c:val>
            <c:numRef>
              <c:f>'Total AOTP a LTU'!$I$2:$I$28</c:f>
              <c:numCache>
                <c:formatCode>General</c:formatCode>
                <c:ptCount val="27"/>
                <c:pt idx="0">
                  <c:v>1.4</c:v>
                </c:pt>
                <c:pt idx="1">
                  <c:v>1.3</c:v>
                </c:pt>
                <c:pt idx="2">
                  <c:v>1.7</c:v>
                </c:pt>
                <c:pt idx="3">
                  <c:v>2.2000000000000002</c:v>
                </c:pt>
                <c:pt idx="4">
                  <c:v>4.2</c:v>
                </c:pt>
                <c:pt idx="5">
                  <c:v>2.1</c:v>
                </c:pt>
                <c:pt idx="6">
                  <c:v>1.9</c:v>
                </c:pt>
                <c:pt idx="7">
                  <c:v>3.6</c:v>
                </c:pt>
                <c:pt idx="8">
                  <c:v>2</c:v>
                </c:pt>
                <c:pt idx="9">
                  <c:v>7.7</c:v>
                </c:pt>
                <c:pt idx="10">
                  <c:v>4.5999999999999996</c:v>
                </c:pt>
                <c:pt idx="11">
                  <c:v>6.5</c:v>
                </c:pt>
                <c:pt idx="12">
                  <c:v>3.1</c:v>
                </c:pt>
                <c:pt idx="13">
                  <c:v>1.5</c:v>
                </c:pt>
                <c:pt idx="14">
                  <c:v>4.5999999999999996</c:v>
                </c:pt>
                <c:pt idx="15">
                  <c:v>1.6</c:v>
                </c:pt>
                <c:pt idx="16">
                  <c:v>1</c:v>
                </c:pt>
                <c:pt idx="17">
                  <c:v>2.8</c:v>
                </c:pt>
                <c:pt idx="18">
                  <c:v>5</c:v>
                </c:pt>
                <c:pt idx="19">
                  <c:v>2</c:v>
                </c:pt>
                <c:pt idx="20">
                  <c:v>15.7</c:v>
                </c:pt>
                <c:pt idx="21">
                  <c:v>3.2</c:v>
                </c:pt>
                <c:pt idx="22">
                  <c:v>3.3</c:v>
                </c:pt>
                <c:pt idx="23">
                  <c:v>1.8</c:v>
                </c:pt>
                <c:pt idx="24">
                  <c:v>3.4</c:v>
                </c:pt>
                <c:pt idx="25">
                  <c:v>4.5999999999999996</c:v>
                </c:pt>
                <c:pt idx="26">
                  <c:v>2</c:v>
                </c:pt>
              </c:numCache>
            </c:numRef>
          </c:val>
          <c:smooth val="0"/>
        </c:ser>
        <c:dLbls>
          <c:showLegendKey val="0"/>
          <c:showVal val="0"/>
          <c:showCatName val="0"/>
          <c:showSerName val="0"/>
          <c:showPercent val="0"/>
          <c:showBubbleSize val="0"/>
        </c:dLbls>
        <c:marker val="1"/>
        <c:smooth val="0"/>
        <c:axId val="222234296"/>
        <c:axId val="222234688"/>
      </c:lineChart>
      <c:catAx>
        <c:axId val="222233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sz="800" b="0" i="0" u="none" strike="noStrike" baseline="0">
                <a:solidFill>
                  <a:srgbClr val="000000"/>
                </a:solidFill>
                <a:latin typeface="Arial Narrow"/>
                <a:ea typeface="Arial Narrow"/>
                <a:cs typeface="Arial Narrow"/>
              </a:defRPr>
            </a:pPr>
            <a:endParaRPr lang="sk-SK"/>
          </a:p>
        </c:txPr>
        <c:crossAx val="222233904"/>
        <c:crosses val="autoZero"/>
        <c:auto val="1"/>
        <c:lblAlgn val="ctr"/>
        <c:lblOffset val="100"/>
        <c:tickLblSkip val="1"/>
        <c:noMultiLvlLbl val="0"/>
      </c:catAx>
      <c:valAx>
        <c:axId val="222233904"/>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ln w="6350">
            <a:noFill/>
          </a:ln>
        </c:spPr>
        <c:txPr>
          <a:bodyPr rot="0" vert="horz"/>
          <a:lstStyle/>
          <a:p>
            <a:pPr>
              <a:defRPr sz="900" b="0" i="0" u="none" strike="noStrike" baseline="0">
                <a:solidFill>
                  <a:srgbClr val="000000"/>
                </a:solidFill>
                <a:latin typeface="Arial Narrow"/>
                <a:ea typeface="Arial Narrow"/>
                <a:cs typeface="Arial Narrow"/>
              </a:defRPr>
            </a:pPr>
            <a:endParaRPr lang="sk-SK"/>
          </a:p>
        </c:txPr>
        <c:crossAx val="222233512"/>
        <c:crosses val="autoZero"/>
        <c:crossBetween val="between"/>
      </c:valAx>
      <c:catAx>
        <c:axId val="222234296"/>
        <c:scaling>
          <c:orientation val="minMax"/>
        </c:scaling>
        <c:delete val="1"/>
        <c:axPos val="b"/>
        <c:numFmt formatCode="General" sourceLinked="1"/>
        <c:majorTickMark val="out"/>
        <c:minorTickMark val="none"/>
        <c:tickLblPos val="nextTo"/>
        <c:crossAx val="222234688"/>
        <c:crosses val="autoZero"/>
        <c:auto val="1"/>
        <c:lblAlgn val="ctr"/>
        <c:lblOffset val="100"/>
        <c:noMultiLvlLbl val="0"/>
      </c:catAx>
      <c:valAx>
        <c:axId val="222234688"/>
        <c:scaling>
          <c:orientation val="minMax"/>
        </c:scaling>
        <c:delete val="0"/>
        <c:axPos val="r"/>
        <c:numFmt formatCode="General" sourceLinked="1"/>
        <c:majorTickMark val="out"/>
        <c:minorTickMark val="none"/>
        <c:tickLblPos val="nextTo"/>
        <c:spPr>
          <a:ln w="6350">
            <a:noFill/>
          </a:ln>
        </c:spPr>
        <c:txPr>
          <a:bodyPr rot="0" vert="horz"/>
          <a:lstStyle/>
          <a:p>
            <a:pPr>
              <a:defRPr sz="900" b="0" i="0" u="none" strike="noStrike" baseline="0">
                <a:solidFill>
                  <a:srgbClr val="000000"/>
                </a:solidFill>
                <a:latin typeface="Arial Narrow"/>
                <a:ea typeface="Arial Narrow"/>
                <a:cs typeface="Arial Narrow"/>
              </a:defRPr>
            </a:pPr>
            <a:endParaRPr lang="sk-SK"/>
          </a:p>
        </c:txPr>
        <c:crossAx val="222234296"/>
        <c:crosses val="max"/>
        <c:crossBetween val="between"/>
      </c:valAx>
      <c:spPr>
        <a:noFill/>
        <a:ln w="25400">
          <a:noFill/>
        </a:ln>
      </c:spPr>
    </c:plotArea>
    <c:legend>
      <c:legendPos val="r"/>
      <c:layout>
        <c:manualLayout>
          <c:xMode val="edge"/>
          <c:yMode val="edge"/>
          <c:x val="8.3333333333333332E-3"/>
          <c:y val="6.9444444444444441E-3"/>
          <c:w val="0.72745964566929133"/>
          <c:h val="0.17493729950422862"/>
        </c:manualLayout>
      </c:layout>
      <c:overlay val="0"/>
      <c:spPr>
        <a:noFill/>
        <a:ln w="25400">
          <a:noFill/>
        </a:ln>
      </c:spPr>
      <c:txPr>
        <a:bodyPr/>
        <a:lstStyle/>
        <a:p>
          <a:pPr>
            <a:defRPr sz="900" b="0" i="0" u="none" strike="noStrike" baseline="0">
              <a:solidFill>
                <a:srgbClr val="000000"/>
              </a:solidFill>
              <a:latin typeface="Arial Narrow"/>
              <a:ea typeface="Arial Narrow"/>
              <a:cs typeface="Arial Narrow"/>
            </a:defRPr>
          </a:pPr>
          <a:endParaRPr lang="sk-SK"/>
        </a:p>
      </c:tx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Arial Narrow"/>
          <a:ea typeface="Arial Narrow"/>
          <a:cs typeface="Arial Narrow"/>
        </a:defRPr>
      </a:pPr>
      <a:endParaRPr lang="sk-SK"/>
    </a:p>
  </c:txPr>
  <c:externalData r:id="rId1">
    <c:autoUpdate val="0"/>
  </c:externalData>
  <c:userShapes r:id="rId2"/>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535149308006059"/>
          <c:y val="0.11338845364007404"/>
          <c:w val="0.76197041612060756"/>
          <c:h val="0.57496250739637134"/>
        </c:manualLayout>
      </c:layout>
      <c:barChart>
        <c:barDir val="col"/>
        <c:grouping val="clustered"/>
        <c:varyColors val="0"/>
        <c:ser>
          <c:idx val="0"/>
          <c:order val="0"/>
          <c:tx>
            <c:strRef>
              <c:f>'AOTP str.'!$B$31</c:f>
              <c:strCache>
                <c:ptCount val="1"/>
                <c:pt idx="0">
                  <c:v>Slovensko</c:v>
                </c:pt>
              </c:strCache>
            </c:strRef>
          </c:tx>
          <c:spPr>
            <a:solidFill>
              <a:srgbClr val="5B9BD5"/>
            </a:solidFill>
            <a:ln w="25400">
              <a:noFill/>
            </a:ln>
          </c:spPr>
          <c:invertIfNegative val="0"/>
          <c:cat>
            <c:strRef>
              <c:f>'AOTP str.'!$C$30:$G$30</c:f>
              <c:strCache>
                <c:ptCount val="5"/>
                <c:pt idx="0">
                  <c:v>Vzdelávanie</c:v>
                </c:pt>
                <c:pt idx="1">
                  <c:v>Stimuly k 
zamestnávaniu</c:v>
                </c:pt>
                <c:pt idx="2">
                  <c:v>Podporné 
zamestnávanie 
a reintegrácia</c:v>
                </c:pt>
                <c:pt idx="3">
                  <c:v>Priama tvorba 
pracovných miest</c:v>
                </c:pt>
                <c:pt idx="4">
                  <c:v>Stimuly k 
podnikaniu</c:v>
                </c:pt>
              </c:strCache>
            </c:strRef>
          </c:cat>
          <c:val>
            <c:numRef>
              <c:f>'AOTP str.'!$C$31:$G$31</c:f>
              <c:numCache>
                <c:formatCode>General</c:formatCode>
                <c:ptCount val="5"/>
                <c:pt idx="0">
                  <c:v>1.0999999999999999E-2</c:v>
                </c:pt>
                <c:pt idx="1">
                  <c:v>0.115</c:v>
                </c:pt>
                <c:pt idx="2">
                  <c:v>0.04</c:v>
                </c:pt>
                <c:pt idx="3">
                  <c:v>7.0000000000000001E-3</c:v>
                </c:pt>
                <c:pt idx="4">
                  <c:v>1.2E-2</c:v>
                </c:pt>
              </c:numCache>
            </c:numRef>
          </c:val>
        </c:ser>
        <c:dLbls>
          <c:showLegendKey val="0"/>
          <c:showVal val="0"/>
          <c:showCatName val="0"/>
          <c:showSerName val="0"/>
          <c:showPercent val="0"/>
          <c:showBubbleSize val="0"/>
        </c:dLbls>
        <c:gapWidth val="219"/>
        <c:overlap val="-27"/>
        <c:axId val="222235472"/>
        <c:axId val="222235864"/>
      </c:barChart>
      <c:lineChart>
        <c:grouping val="standard"/>
        <c:varyColors val="0"/>
        <c:ser>
          <c:idx val="2"/>
          <c:order val="1"/>
          <c:tx>
            <c:strRef>
              <c:f>'AOTP str.'!$B$33</c:f>
              <c:strCache>
                <c:ptCount val="1"/>
                <c:pt idx="0">
                  <c:v>V3</c:v>
                </c:pt>
              </c:strCache>
            </c:strRef>
          </c:tx>
          <c:spPr>
            <a:ln w="19050">
              <a:noFill/>
            </a:ln>
          </c:spPr>
          <c:marker>
            <c:symbol val="diamond"/>
            <c:size val="8"/>
            <c:spPr>
              <a:solidFill>
                <a:schemeClr val="accent3"/>
              </a:solidFill>
              <a:ln w="9525">
                <a:solidFill>
                  <a:schemeClr val="accent3"/>
                </a:solidFill>
              </a:ln>
              <a:effectLst/>
            </c:spPr>
          </c:marker>
          <c:cat>
            <c:strRef>
              <c:f>'AOTP str.'!$C$30:$G$30</c:f>
              <c:strCache>
                <c:ptCount val="5"/>
                <c:pt idx="0">
                  <c:v>Vzdelávanie</c:v>
                </c:pt>
                <c:pt idx="1">
                  <c:v>Stimuly k 
zamestnávaniu</c:v>
                </c:pt>
                <c:pt idx="2">
                  <c:v>Podporné 
zamestnávanie 
a reintegrácia</c:v>
                </c:pt>
                <c:pt idx="3">
                  <c:v>Priama tvorba 
pracovných miest</c:v>
                </c:pt>
                <c:pt idx="4">
                  <c:v>Stimuly k 
podnikaniu</c:v>
                </c:pt>
              </c:strCache>
            </c:strRef>
          </c:cat>
          <c:val>
            <c:numRef>
              <c:f>'AOTP str.'!$C$33:$G$33</c:f>
              <c:numCache>
                <c:formatCode>General</c:formatCode>
                <c:ptCount val="5"/>
                <c:pt idx="0">
                  <c:v>1.5333333333333332E-2</c:v>
                </c:pt>
                <c:pt idx="1">
                  <c:v>8.4666666666666668E-2</c:v>
                </c:pt>
                <c:pt idx="2">
                  <c:v>0.14100000000000001</c:v>
                </c:pt>
                <c:pt idx="3">
                  <c:v>0.22766666666666668</c:v>
                </c:pt>
                <c:pt idx="4">
                  <c:v>2.0666666666666667E-2</c:v>
                </c:pt>
              </c:numCache>
            </c:numRef>
          </c:val>
          <c:smooth val="0"/>
        </c:ser>
        <c:ser>
          <c:idx val="3"/>
          <c:order val="2"/>
          <c:tx>
            <c:strRef>
              <c:f>'AOTP str.'!$B$34</c:f>
              <c:strCache>
                <c:ptCount val="1"/>
                <c:pt idx="0">
                  <c:v>EÚ15</c:v>
                </c:pt>
              </c:strCache>
            </c:strRef>
          </c:tx>
          <c:spPr>
            <a:ln w="19050">
              <a:noFill/>
            </a:ln>
          </c:spPr>
          <c:marker>
            <c:symbol val="square"/>
            <c:size val="7"/>
            <c:spPr>
              <a:solidFill>
                <a:schemeClr val="tx2"/>
              </a:solidFill>
              <a:ln>
                <a:solidFill>
                  <a:schemeClr val="tx2"/>
                </a:solidFill>
              </a:ln>
            </c:spPr>
          </c:marker>
          <c:cat>
            <c:strRef>
              <c:f>'AOTP str.'!$C$30:$G$30</c:f>
              <c:strCache>
                <c:ptCount val="5"/>
                <c:pt idx="0">
                  <c:v>Vzdelávanie</c:v>
                </c:pt>
                <c:pt idx="1">
                  <c:v>Stimuly k 
zamestnávaniu</c:v>
                </c:pt>
                <c:pt idx="2">
                  <c:v>Podporné 
zamestnávanie 
a reintegrácia</c:v>
                </c:pt>
                <c:pt idx="3">
                  <c:v>Priama tvorba 
pracovných miest</c:v>
                </c:pt>
                <c:pt idx="4">
                  <c:v>Stimuly k 
podnikaniu</c:v>
                </c:pt>
              </c:strCache>
            </c:strRef>
          </c:cat>
          <c:val>
            <c:numRef>
              <c:f>'AOTP str.'!$C$34:$G$34</c:f>
              <c:numCache>
                <c:formatCode>General</c:formatCode>
                <c:ptCount val="5"/>
                <c:pt idx="0">
                  <c:v>0.1962142857142857</c:v>
                </c:pt>
                <c:pt idx="1">
                  <c:v>0.15135714285714283</c:v>
                </c:pt>
                <c:pt idx="2">
                  <c:v>0.14150000000000001</c:v>
                </c:pt>
                <c:pt idx="3">
                  <c:v>8.7727272727272737E-2</c:v>
                </c:pt>
                <c:pt idx="4">
                  <c:v>2.7583333333333331E-2</c:v>
                </c:pt>
              </c:numCache>
            </c:numRef>
          </c:val>
          <c:smooth val="0"/>
        </c:ser>
        <c:dLbls>
          <c:showLegendKey val="0"/>
          <c:showVal val="0"/>
          <c:showCatName val="0"/>
          <c:showSerName val="0"/>
          <c:showPercent val="0"/>
          <c:showBubbleSize val="0"/>
        </c:dLbls>
        <c:marker val="1"/>
        <c:smooth val="0"/>
        <c:axId val="222235472"/>
        <c:axId val="222235864"/>
      </c:lineChart>
      <c:catAx>
        <c:axId val="222235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sz="900" b="0" i="0" u="none" strike="noStrike" baseline="0">
                <a:solidFill>
                  <a:srgbClr val="000000"/>
                </a:solidFill>
                <a:latin typeface="Arial Narrow"/>
                <a:ea typeface="Arial Narrow"/>
                <a:cs typeface="Arial Narrow"/>
              </a:defRPr>
            </a:pPr>
            <a:endParaRPr lang="sk-SK"/>
          </a:p>
        </c:txPr>
        <c:crossAx val="222235864"/>
        <c:crosses val="autoZero"/>
        <c:auto val="0"/>
        <c:lblAlgn val="ctr"/>
        <c:lblOffset val="100"/>
        <c:tickLblSkip val="1"/>
        <c:noMultiLvlLbl val="0"/>
      </c:catAx>
      <c:valAx>
        <c:axId val="222235864"/>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ln w="6350">
            <a:noFill/>
          </a:ln>
        </c:spPr>
        <c:txPr>
          <a:bodyPr rot="0" vert="horz"/>
          <a:lstStyle/>
          <a:p>
            <a:pPr>
              <a:defRPr sz="900" b="0" i="0" u="none" strike="noStrike" baseline="0">
                <a:solidFill>
                  <a:srgbClr val="000000"/>
                </a:solidFill>
                <a:latin typeface="Arial Narrow"/>
                <a:ea typeface="Arial Narrow"/>
                <a:cs typeface="Arial Narrow"/>
              </a:defRPr>
            </a:pPr>
            <a:endParaRPr lang="sk-SK"/>
          </a:p>
        </c:txPr>
        <c:crossAx val="222235472"/>
        <c:crosses val="autoZero"/>
        <c:crossBetween val="between"/>
      </c:valAx>
      <c:spPr>
        <a:noFill/>
        <a:ln w="25400">
          <a:noFill/>
        </a:ln>
      </c:spPr>
    </c:plotArea>
    <c:legend>
      <c:legendPos val="r"/>
      <c:layout>
        <c:manualLayout>
          <c:xMode val="edge"/>
          <c:yMode val="edge"/>
          <c:x val="0.23724792408066431"/>
          <c:y val="3.2490974729241874E-2"/>
          <c:w val="0.61565836298932386"/>
          <c:h val="6.7388688327316482E-2"/>
        </c:manualLayout>
      </c:layout>
      <c:overlay val="0"/>
      <c:spPr>
        <a:noFill/>
        <a:ln w="25400">
          <a:noFill/>
        </a:ln>
      </c:spPr>
      <c:txPr>
        <a:bodyPr/>
        <a:lstStyle/>
        <a:p>
          <a:pPr>
            <a:defRPr sz="900" b="0" i="0" u="none" strike="noStrike" baseline="0">
              <a:solidFill>
                <a:srgbClr val="000000"/>
              </a:solidFill>
              <a:latin typeface="Arial Narrow"/>
              <a:ea typeface="Arial Narrow"/>
              <a:cs typeface="Arial Narrow"/>
            </a:defRPr>
          </a:pPr>
          <a:endParaRPr lang="sk-SK"/>
        </a:p>
      </c:tx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Arial Narrow"/>
          <a:ea typeface="Arial Narrow"/>
          <a:cs typeface="Arial Narrow"/>
        </a:defRPr>
      </a:pPr>
      <a:endParaRPr lang="sk-SK"/>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533690198885635"/>
          <c:y val="0.10199146981627297"/>
          <c:w val="0.41499740711260213"/>
          <c:h val="0.78532480314960618"/>
        </c:manualLayout>
      </c:layout>
      <c:radarChart>
        <c:radarStyle val="marker"/>
        <c:varyColors val="0"/>
        <c:ser>
          <c:idx val="0"/>
          <c:order val="0"/>
          <c:tx>
            <c:strRef>
              <c:f>'Spider chart 2017'!$A$2</c:f>
              <c:strCache>
                <c:ptCount val="1"/>
                <c:pt idx="0">
                  <c:v>SR</c:v>
                </c:pt>
              </c:strCache>
            </c:strRef>
          </c:tx>
          <c:spPr>
            <a:ln w="28575" cap="rnd">
              <a:solidFill>
                <a:schemeClr val="accent1"/>
              </a:solidFill>
              <a:round/>
            </a:ln>
            <a:effectLst/>
          </c:spPr>
          <c:marker>
            <c:symbol val="none"/>
          </c:marker>
          <c:cat>
            <c:strRef>
              <c:f>'Spider chart 2017'!$B$1:$G$1</c:f>
              <c:strCache>
                <c:ptCount val="6"/>
                <c:pt idx="0">
                  <c:v>Závažná materiálna deprivácia</c:v>
                </c:pt>
                <c:pt idx="1">
                  <c:v>Domácnosť s veľmi nízkou pracovnou intenzitou (0-59)</c:v>
                </c:pt>
                <c:pt idx="2">
                  <c:v>Pod hranicou rizika chudoby</c:v>
                </c:pt>
                <c:pt idx="3">
                  <c:v>Predčasné ukončenie školskej dochádzky mladých</c:v>
                </c:pt>
                <c:pt idx="4">
                  <c:v>Nenaplnená potreba medicínskeho vyšetrenia alebo liečby (16 a viac roční)</c:v>
                </c:pt>
                <c:pt idx="5">
                  <c:v>Závažná deprivácia v bývaní</c:v>
                </c:pt>
              </c:strCache>
            </c:strRef>
          </c:cat>
          <c:val>
            <c:numRef>
              <c:f>'Spider chart 2017'!$B$2:$G$2</c:f>
              <c:numCache>
                <c:formatCode>0.0</c:formatCode>
                <c:ptCount val="6"/>
                <c:pt idx="0" formatCode="General">
                  <c:v>7.02</c:v>
                </c:pt>
                <c:pt idx="1">
                  <c:v>5.32</c:v>
                </c:pt>
                <c:pt idx="2">
                  <c:v>12.36</c:v>
                </c:pt>
                <c:pt idx="3">
                  <c:v>5.78</c:v>
                </c:pt>
                <c:pt idx="4">
                  <c:v>2.4</c:v>
                </c:pt>
                <c:pt idx="5">
                  <c:v>5.21</c:v>
                </c:pt>
              </c:numCache>
            </c:numRef>
          </c:val>
          <c:extLst xmlns:c16r2="http://schemas.microsoft.com/office/drawing/2015/06/chart">
            <c:ext xmlns:c16="http://schemas.microsoft.com/office/drawing/2014/chart" uri="{C3380CC4-5D6E-409C-BE32-E72D297353CC}">
              <c16:uniqueId val="{00000000-8E04-4521-83BB-6DFA1A5217CD}"/>
            </c:ext>
          </c:extLst>
        </c:ser>
        <c:ser>
          <c:idx val="1"/>
          <c:order val="1"/>
          <c:tx>
            <c:strRef>
              <c:f>'Spider chart 2017'!$A$3</c:f>
              <c:strCache>
                <c:ptCount val="1"/>
                <c:pt idx="0">
                  <c:v>MRK (2016)</c:v>
                </c:pt>
              </c:strCache>
            </c:strRef>
          </c:tx>
          <c:spPr>
            <a:ln w="28575" cap="rnd">
              <a:solidFill>
                <a:schemeClr val="accent5">
                  <a:lumMod val="60000"/>
                  <a:lumOff val="40000"/>
                </a:schemeClr>
              </a:solidFill>
              <a:round/>
            </a:ln>
            <a:effectLst/>
          </c:spPr>
          <c:marker>
            <c:symbol val="none"/>
          </c:marker>
          <c:cat>
            <c:strRef>
              <c:f>'Spider chart 2017'!$B$1:$G$1</c:f>
              <c:strCache>
                <c:ptCount val="6"/>
                <c:pt idx="0">
                  <c:v>Závažná materiálna deprivácia</c:v>
                </c:pt>
                <c:pt idx="1">
                  <c:v>Domácnosť s veľmi nízkou pracovnou intenzitou (0-59)</c:v>
                </c:pt>
                <c:pt idx="2">
                  <c:v>Pod hranicou rizika chudoby</c:v>
                </c:pt>
                <c:pt idx="3">
                  <c:v>Predčasné ukončenie školskej dochádzky mladých</c:v>
                </c:pt>
                <c:pt idx="4">
                  <c:v>Nenaplnená potreba medicínskeho vyšetrenia alebo liečby (16 a viac roční)</c:v>
                </c:pt>
                <c:pt idx="5">
                  <c:v>Závažná deprivácia v bývaní</c:v>
                </c:pt>
              </c:strCache>
            </c:strRef>
          </c:cat>
          <c:val>
            <c:numRef>
              <c:f>'Spider chart 2017'!$B$3:$G$3</c:f>
              <c:numCache>
                <c:formatCode>0.0</c:formatCode>
                <c:ptCount val="6"/>
                <c:pt idx="1">
                  <c:v>53</c:v>
                </c:pt>
                <c:pt idx="2">
                  <c:v>87</c:v>
                </c:pt>
                <c:pt idx="3">
                  <c:v>58</c:v>
                </c:pt>
                <c:pt idx="4">
                  <c:v>6</c:v>
                </c:pt>
              </c:numCache>
            </c:numRef>
          </c:val>
          <c:extLst xmlns:c16r2="http://schemas.microsoft.com/office/drawing/2015/06/chart">
            <c:ext xmlns:c16="http://schemas.microsoft.com/office/drawing/2014/chart" uri="{C3380CC4-5D6E-409C-BE32-E72D297353CC}">
              <c16:uniqueId val="{00000001-8E04-4521-83BB-6DFA1A5217CD}"/>
            </c:ext>
          </c:extLst>
        </c:ser>
        <c:ser>
          <c:idx val="2"/>
          <c:order val="2"/>
          <c:tx>
            <c:strRef>
              <c:f>'Spider chart 2017'!$A$4</c:f>
              <c:strCache>
                <c:ptCount val="1"/>
                <c:pt idx="0">
                  <c:v>Deti zo SZP (2016)</c:v>
                </c:pt>
              </c:strCache>
            </c:strRef>
          </c:tx>
          <c:spPr>
            <a:ln w="28575" cap="rnd">
              <a:solidFill>
                <a:schemeClr val="tx1"/>
              </a:solidFill>
              <a:prstDash val="sysDash"/>
              <a:round/>
            </a:ln>
            <a:effectLst/>
          </c:spPr>
          <c:marker>
            <c:symbol val="none"/>
          </c:marker>
          <c:cat>
            <c:strRef>
              <c:f>'Spider chart 2017'!$B$1:$G$1</c:f>
              <c:strCache>
                <c:ptCount val="6"/>
                <c:pt idx="0">
                  <c:v>Závažná materiálna deprivácia</c:v>
                </c:pt>
                <c:pt idx="1">
                  <c:v>Domácnosť s veľmi nízkou pracovnou intenzitou (0-59)</c:v>
                </c:pt>
                <c:pt idx="2">
                  <c:v>Pod hranicou rizika chudoby</c:v>
                </c:pt>
                <c:pt idx="3">
                  <c:v>Predčasné ukončenie školskej dochádzky mladých</c:v>
                </c:pt>
                <c:pt idx="4">
                  <c:v>Nenaplnená potreba medicínskeho vyšetrenia alebo liečby (16 a viac roční)</c:v>
                </c:pt>
                <c:pt idx="5">
                  <c:v>Závažná deprivácia v bývaní</c:v>
                </c:pt>
              </c:strCache>
            </c:strRef>
          </c:cat>
          <c:val>
            <c:numRef>
              <c:f>'Spider chart 2017'!$B$4:$G$4</c:f>
              <c:numCache>
                <c:formatCode>0.0</c:formatCode>
                <c:ptCount val="6"/>
                <c:pt idx="0" formatCode="General">
                  <c:v>65.2</c:v>
                </c:pt>
                <c:pt idx="1">
                  <c:v>64.7</c:v>
                </c:pt>
                <c:pt idx="2">
                  <c:v>86.9</c:v>
                </c:pt>
                <c:pt idx="5">
                  <c:v>52.4</c:v>
                </c:pt>
              </c:numCache>
            </c:numRef>
          </c:val>
          <c:extLst xmlns:c16r2="http://schemas.microsoft.com/office/drawing/2015/06/chart">
            <c:ext xmlns:c16="http://schemas.microsoft.com/office/drawing/2014/chart" uri="{C3380CC4-5D6E-409C-BE32-E72D297353CC}">
              <c16:uniqueId val="{00000002-8E04-4521-83BB-6DFA1A5217CD}"/>
            </c:ext>
          </c:extLst>
        </c:ser>
        <c:ser>
          <c:idx val="3"/>
          <c:order val="3"/>
          <c:tx>
            <c:strRef>
              <c:f>'Spider chart 2017'!$A$5</c:f>
              <c:strCache>
                <c:ptCount val="1"/>
                <c:pt idx="0">
                  <c:v>Osamelí rodičia s deťmi</c:v>
                </c:pt>
              </c:strCache>
            </c:strRef>
          </c:tx>
          <c:spPr>
            <a:ln w="28575" cap="rnd">
              <a:solidFill>
                <a:schemeClr val="accent5">
                  <a:lumMod val="50000"/>
                </a:schemeClr>
              </a:solidFill>
              <a:prstDash val="sysDash"/>
              <a:round/>
            </a:ln>
            <a:effectLst/>
          </c:spPr>
          <c:marker>
            <c:symbol val="none"/>
          </c:marker>
          <c:cat>
            <c:strRef>
              <c:f>'Spider chart 2017'!$B$1:$G$1</c:f>
              <c:strCache>
                <c:ptCount val="6"/>
                <c:pt idx="0">
                  <c:v>Závažná materiálna deprivácia</c:v>
                </c:pt>
                <c:pt idx="1">
                  <c:v>Domácnosť s veľmi nízkou pracovnou intenzitou (0-59)</c:v>
                </c:pt>
                <c:pt idx="2">
                  <c:v>Pod hranicou rizika chudoby</c:v>
                </c:pt>
                <c:pt idx="3">
                  <c:v>Predčasné ukončenie školskej dochádzky mladých</c:v>
                </c:pt>
                <c:pt idx="4">
                  <c:v>Nenaplnená potreba medicínskeho vyšetrenia alebo liečby (16 a viac roční)</c:v>
                </c:pt>
                <c:pt idx="5">
                  <c:v>Závažná deprivácia v bývaní</c:v>
                </c:pt>
              </c:strCache>
            </c:strRef>
          </c:cat>
          <c:val>
            <c:numRef>
              <c:f>'Spider chart 2017'!$B$5:$G$5</c:f>
              <c:numCache>
                <c:formatCode>0.0</c:formatCode>
                <c:ptCount val="6"/>
                <c:pt idx="0" formatCode="General">
                  <c:v>22.74</c:v>
                </c:pt>
                <c:pt idx="1">
                  <c:v>15.54</c:v>
                </c:pt>
                <c:pt idx="2">
                  <c:v>37.340000000000003</c:v>
                </c:pt>
                <c:pt idx="3">
                  <c:v>0.6</c:v>
                </c:pt>
                <c:pt idx="4">
                  <c:v>2.39</c:v>
                </c:pt>
                <c:pt idx="5">
                  <c:v>13.8</c:v>
                </c:pt>
              </c:numCache>
            </c:numRef>
          </c:val>
          <c:extLst xmlns:c16r2="http://schemas.microsoft.com/office/drawing/2015/06/chart">
            <c:ext xmlns:c16="http://schemas.microsoft.com/office/drawing/2014/chart" uri="{C3380CC4-5D6E-409C-BE32-E72D297353CC}">
              <c16:uniqueId val="{00000003-8E04-4521-83BB-6DFA1A5217CD}"/>
            </c:ext>
          </c:extLst>
        </c:ser>
        <c:ser>
          <c:idx val="4"/>
          <c:order val="4"/>
          <c:tx>
            <c:strRef>
              <c:f>'Spider chart 2017'!$A$6</c:f>
              <c:strCache>
                <c:ptCount val="1"/>
                <c:pt idx="0">
                  <c:v>Zdravotne znevýhodnení</c:v>
                </c:pt>
              </c:strCache>
            </c:strRef>
          </c:tx>
          <c:spPr>
            <a:ln w="28575" cap="rnd">
              <a:solidFill>
                <a:schemeClr val="accent3"/>
              </a:solidFill>
              <a:round/>
            </a:ln>
            <a:effectLst/>
          </c:spPr>
          <c:marker>
            <c:symbol val="none"/>
          </c:marker>
          <c:cat>
            <c:strRef>
              <c:f>'Spider chart 2017'!$B$1:$G$1</c:f>
              <c:strCache>
                <c:ptCount val="6"/>
                <c:pt idx="0">
                  <c:v>Závažná materiálna deprivácia</c:v>
                </c:pt>
                <c:pt idx="1">
                  <c:v>Domácnosť s veľmi nízkou pracovnou intenzitou (0-59)</c:v>
                </c:pt>
                <c:pt idx="2">
                  <c:v>Pod hranicou rizika chudoby</c:v>
                </c:pt>
                <c:pt idx="3">
                  <c:v>Predčasné ukončenie školskej dochádzky mladých</c:v>
                </c:pt>
                <c:pt idx="4">
                  <c:v>Nenaplnená potreba medicínskeho vyšetrenia alebo liečby (16 a viac roční)</c:v>
                </c:pt>
                <c:pt idx="5">
                  <c:v>Závažná deprivácia v bývaní</c:v>
                </c:pt>
              </c:strCache>
            </c:strRef>
          </c:cat>
          <c:val>
            <c:numRef>
              <c:f>'Spider chart 2017'!$B$6:$G$6</c:f>
              <c:numCache>
                <c:formatCode>0.0</c:formatCode>
                <c:ptCount val="6"/>
                <c:pt idx="0" formatCode="General">
                  <c:v>12.69</c:v>
                </c:pt>
                <c:pt idx="1">
                  <c:v>20.5</c:v>
                </c:pt>
                <c:pt idx="2">
                  <c:v>13.35</c:v>
                </c:pt>
                <c:pt idx="3">
                  <c:v>22.04</c:v>
                </c:pt>
                <c:pt idx="4">
                  <c:v>8.06</c:v>
                </c:pt>
                <c:pt idx="5">
                  <c:v>6.36</c:v>
                </c:pt>
              </c:numCache>
            </c:numRef>
          </c:val>
          <c:extLst xmlns:c16r2="http://schemas.microsoft.com/office/drawing/2015/06/chart">
            <c:ext xmlns:c16="http://schemas.microsoft.com/office/drawing/2014/chart" uri="{C3380CC4-5D6E-409C-BE32-E72D297353CC}">
              <c16:uniqueId val="{00000004-8E04-4521-83BB-6DFA1A5217CD}"/>
            </c:ext>
          </c:extLst>
        </c:ser>
        <c:dLbls>
          <c:showLegendKey val="0"/>
          <c:showVal val="0"/>
          <c:showCatName val="0"/>
          <c:showSerName val="0"/>
          <c:showPercent val="0"/>
          <c:showBubbleSize val="0"/>
        </c:dLbls>
        <c:axId val="169268624"/>
        <c:axId val="169269016"/>
      </c:radarChart>
      <c:catAx>
        <c:axId val="16926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crossAx val="169269016"/>
        <c:crosses val="autoZero"/>
        <c:auto val="1"/>
        <c:lblAlgn val="ctr"/>
        <c:lblOffset val="100"/>
        <c:noMultiLvlLbl val="0"/>
      </c:catAx>
      <c:valAx>
        <c:axId val="169269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169268624"/>
        <c:crosses val="autoZero"/>
        <c:crossBetween val="between"/>
      </c:valAx>
      <c:spPr>
        <a:noFill/>
        <a:ln>
          <a:noFill/>
        </a:ln>
        <a:effectLst/>
      </c:spPr>
    </c:plotArea>
    <c:legend>
      <c:legendPos val="t"/>
      <c:layout>
        <c:manualLayout>
          <c:xMode val="edge"/>
          <c:yMode val="edge"/>
          <c:x val="0.66664849462274456"/>
          <c:y val="0.73148148148148162"/>
          <c:w val="0.31377963616357463"/>
          <c:h val="0.264296806649168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883810255425388"/>
          <c:y val="5.0925925925925923E-2"/>
          <c:w val="0.84644645029127452"/>
          <c:h val="0.73116616520495914"/>
        </c:manualLayout>
      </c:layout>
      <c:barChart>
        <c:barDir val="col"/>
        <c:grouping val="clustered"/>
        <c:varyColors val="0"/>
        <c:ser>
          <c:idx val="0"/>
          <c:order val="0"/>
          <c:tx>
            <c:strRef>
              <c:f>'Struktura AOTP'!$B$10</c:f>
              <c:strCache>
                <c:ptCount val="1"/>
                <c:pt idx="0">
                  <c:v>mimo MRK, mimo PHN</c:v>
                </c:pt>
              </c:strCache>
            </c:strRef>
          </c:tx>
          <c:spPr>
            <a:solidFill>
              <a:srgbClr val="5B9BD5"/>
            </a:solidFill>
            <a:ln w="25400">
              <a:noFill/>
            </a:ln>
          </c:spPr>
          <c:invertIfNegative val="0"/>
          <c:cat>
            <c:strRef>
              <c:f>'Struktura AOTP'!$A$11:$A$15</c:f>
              <c:strCache>
                <c:ptCount val="5"/>
                <c:pt idx="0">
                  <c:v>Vzdelávanie</c:v>
                </c:pt>
                <c:pt idx="1">
                  <c:v>Stimuly k 
zamestnávaniu</c:v>
                </c:pt>
                <c:pt idx="2">
                  <c:v>Podporné 
zamestnávanie 
a reintegrácia</c:v>
                </c:pt>
                <c:pt idx="3">
                  <c:v>Priama tvorba 
prac. miest</c:v>
                </c:pt>
                <c:pt idx="4">
                  <c:v>Stimuly k 
podnikaniu</c:v>
                </c:pt>
              </c:strCache>
            </c:strRef>
          </c:cat>
          <c:val>
            <c:numRef>
              <c:f>'Struktura AOTP'!$B$11:$B$15</c:f>
              <c:numCache>
                <c:formatCode>0.0</c:formatCode>
                <c:ptCount val="5"/>
                <c:pt idx="0">
                  <c:v>5.0131564521434058</c:v>
                </c:pt>
                <c:pt idx="1">
                  <c:v>57.421700836896548</c:v>
                </c:pt>
                <c:pt idx="2">
                  <c:v>17.055330190403097</c:v>
                </c:pt>
                <c:pt idx="3">
                  <c:v>5.1761502759200386</c:v>
                </c:pt>
                <c:pt idx="4">
                  <c:v>15.333662244636921</c:v>
                </c:pt>
              </c:numCache>
            </c:numRef>
          </c:val>
          <c:extLst xmlns:c16r2="http://schemas.microsoft.com/office/drawing/2015/06/chart">
            <c:ext xmlns:c16="http://schemas.microsoft.com/office/drawing/2014/chart" uri="{C3380CC4-5D6E-409C-BE32-E72D297353CC}">
              <c16:uniqueId val="{00000000-8C39-492E-AC2E-5DD5B153AB14}"/>
            </c:ext>
          </c:extLst>
        </c:ser>
        <c:ser>
          <c:idx val="1"/>
          <c:order val="1"/>
          <c:tx>
            <c:strRef>
              <c:f>'Struktura AOTP'!$C$10</c:f>
              <c:strCache>
                <c:ptCount val="1"/>
                <c:pt idx="0">
                  <c:v>mimo MRK, PHN</c:v>
                </c:pt>
              </c:strCache>
            </c:strRef>
          </c:tx>
          <c:spPr>
            <a:solidFill>
              <a:srgbClr val="4472C4"/>
            </a:solidFill>
            <a:ln w="25400">
              <a:noFill/>
            </a:ln>
          </c:spPr>
          <c:invertIfNegative val="0"/>
          <c:cat>
            <c:strRef>
              <c:f>'Struktura AOTP'!$A$11:$A$15</c:f>
              <c:strCache>
                <c:ptCount val="5"/>
                <c:pt idx="0">
                  <c:v>Vzdelávanie</c:v>
                </c:pt>
                <c:pt idx="1">
                  <c:v>Stimuly k 
zamestnávaniu</c:v>
                </c:pt>
                <c:pt idx="2">
                  <c:v>Podporné 
zamestnávanie 
a reintegrácia</c:v>
                </c:pt>
                <c:pt idx="3">
                  <c:v>Priama tvorba 
prac. miest</c:v>
                </c:pt>
                <c:pt idx="4">
                  <c:v>Stimuly k 
podnikaniu</c:v>
                </c:pt>
              </c:strCache>
            </c:strRef>
          </c:cat>
          <c:val>
            <c:numRef>
              <c:f>'Struktura AOTP'!$C$11:$C$15</c:f>
              <c:numCache>
                <c:formatCode>0.0</c:formatCode>
                <c:ptCount val="5"/>
                <c:pt idx="0">
                  <c:v>6.8483554606711605</c:v>
                </c:pt>
                <c:pt idx="1">
                  <c:v>36.541797318033225</c:v>
                </c:pt>
                <c:pt idx="2">
                  <c:v>0.16512108879845222</c:v>
                </c:pt>
                <c:pt idx="3">
                  <c:v>55.715858296083795</c:v>
                </c:pt>
                <c:pt idx="4">
                  <c:v>0.72886783641336983</c:v>
                </c:pt>
              </c:numCache>
            </c:numRef>
          </c:val>
          <c:extLst xmlns:c16r2="http://schemas.microsoft.com/office/drawing/2015/06/chart">
            <c:ext xmlns:c16="http://schemas.microsoft.com/office/drawing/2014/chart" uri="{C3380CC4-5D6E-409C-BE32-E72D297353CC}">
              <c16:uniqueId val="{00000001-8C39-492E-AC2E-5DD5B153AB14}"/>
            </c:ext>
          </c:extLst>
        </c:ser>
        <c:ser>
          <c:idx val="2"/>
          <c:order val="2"/>
          <c:tx>
            <c:strRef>
              <c:f>'Struktura AOTP'!$D$10</c:f>
              <c:strCache>
                <c:ptCount val="1"/>
                <c:pt idx="0">
                  <c:v>MRK, mimo PHN</c:v>
                </c:pt>
              </c:strCache>
            </c:strRef>
          </c:tx>
          <c:spPr>
            <a:solidFill>
              <a:srgbClr val="A5A5A5"/>
            </a:solidFill>
            <a:ln w="25400">
              <a:noFill/>
            </a:ln>
          </c:spPr>
          <c:invertIfNegative val="0"/>
          <c:cat>
            <c:strRef>
              <c:f>'Struktura AOTP'!$A$11:$A$15</c:f>
              <c:strCache>
                <c:ptCount val="5"/>
                <c:pt idx="0">
                  <c:v>Vzdelávanie</c:v>
                </c:pt>
                <c:pt idx="1">
                  <c:v>Stimuly k 
zamestnávaniu</c:v>
                </c:pt>
                <c:pt idx="2">
                  <c:v>Podporné 
zamestnávanie 
a reintegrácia</c:v>
                </c:pt>
                <c:pt idx="3">
                  <c:v>Priama tvorba 
prac. miest</c:v>
                </c:pt>
                <c:pt idx="4">
                  <c:v>Stimuly k 
podnikaniu</c:v>
                </c:pt>
              </c:strCache>
            </c:strRef>
          </c:cat>
          <c:val>
            <c:numRef>
              <c:f>'Struktura AOTP'!$D$11:$D$15</c:f>
              <c:numCache>
                <c:formatCode>0.0</c:formatCode>
                <c:ptCount val="5"/>
                <c:pt idx="0">
                  <c:v>3.9466554277801196</c:v>
                </c:pt>
                <c:pt idx="1">
                  <c:v>78.641098199771207</c:v>
                </c:pt>
                <c:pt idx="2">
                  <c:v>4.2386657836112951</c:v>
                </c:pt>
                <c:pt idx="3">
                  <c:v>9.028237702450479</c:v>
                </c:pt>
                <c:pt idx="4">
                  <c:v>4.1453428863868993</c:v>
                </c:pt>
              </c:numCache>
            </c:numRef>
          </c:val>
          <c:extLst xmlns:c16r2="http://schemas.microsoft.com/office/drawing/2015/06/chart">
            <c:ext xmlns:c16="http://schemas.microsoft.com/office/drawing/2014/chart" uri="{C3380CC4-5D6E-409C-BE32-E72D297353CC}">
              <c16:uniqueId val="{00000002-8C39-492E-AC2E-5DD5B153AB14}"/>
            </c:ext>
          </c:extLst>
        </c:ser>
        <c:ser>
          <c:idx val="3"/>
          <c:order val="3"/>
          <c:tx>
            <c:strRef>
              <c:f>'Struktura AOTP'!$E$10</c:f>
              <c:strCache>
                <c:ptCount val="1"/>
                <c:pt idx="0">
                  <c:v>MRK, PHN</c:v>
                </c:pt>
              </c:strCache>
            </c:strRef>
          </c:tx>
          <c:spPr>
            <a:solidFill>
              <a:schemeClr val="tx1">
                <a:lumMod val="50000"/>
                <a:lumOff val="50000"/>
              </a:schemeClr>
            </a:solidFill>
            <a:ln>
              <a:noFill/>
            </a:ln>
            <a:effectLst/>
          </c:spPr>
          <c:invertIfNegative val="0"/>
          <c:cat>
            <c:strRef>
              <c:f>'Struktura AOTP'!$A$11:$A$15</c:f>
              <c:strCache>
                <c:ptCount val="5"/>
                <c:pt idx="0">
                  <c:v>Vzdelávanie</c:v>
                </c:pt>
                <c:pt idx="1">
                  <c:v>Stimuly k 
zamestnávaniu</c:v>
                </c:pt>
                <c:pt idx="2">
                  <c:v>Podporné 
zamestnávanie 
a reintegrácia</c:v>
                </c:pt>
                <c:pt idx="3">
                  <c:v>Priama tvorba 
prac. miest</c:v>
                </c:pt>
                <c:pt idx="4">
                  <c:v>Stimuly k 
podnikaniu</c:v>
                </c:pt>
              </c:strCache>
            </c:strRef>
          </c:cat>
          <c:val>
            <c:numRef>
              <c:f>'Struktura AOTP'!$E$11:$E$15</c:f>
              <c:numCache>
                <c:formatCode>0.0</c:formatCode>
                <c:ptCount val="5"/>
                <c:pt idx="0">
                  <c:v>5.1438656789206023</c:v>
                </c:pt>
                <c:pt idx="1">
                  <c:v>19.869487471261699</c:v>
                </c:pt>
                <c:pt idx="2">
                  <c:v>2.3222869882260047E-3</c:v>
                </c:pt>
                <c:pt idx="3">
                  <c:v>74.951812544994326</c:v>
                </c:pt>
                <c:pt idx="4">
                  <c:v>3.2512017835164074E-2</c:v>
                </c:pt>
              </c:numCache>
            </c:numRef>
          </c:val>
          <c:extLst xmlns:c16r2="http://schemas.microsoft.com/office/drawing/2015/06/chart">
            <c:ext xmlns:c16="http://schemas.microsoft.com/office/drawing/2014/chart" uri="{C3380CC4-5D6E-409C-BE32-E72D297353CC}">
              <c16:uniqueId val="{00000003-8C39-492E-AC2E-5DD5B153AB14}"/>
            </c:ext>
          </c:extLst>
        </c:ser>
        <c:dLbls>
          <c:showLegendKey val="0"/>
          <c:showVal val="0"/>
          <c:showCatName val="0"/>
          <c:showSerName val="0"/>
          <c:showPercent val="0"/>
          <c:showBubbleSize val="0"/>
        </c:dLbls>
        <c:gapWidth val="219"/>
        <c:overlap val="-27"/>
        <c:axId val="222236648"/>
        <c:axId val="222237040"/>
      </c:barChart>
      <c:catAx>
        <c:axId val="222236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2237040"/>
        <c:crosses val="autoZero"/>
        <c:auto val="1"/>
        <c:lblAlgn val="ctr"/>
        <c:lblOffset val="100"/>
        <c:noMultiLvlLbl val="0"/>
      </c:catAx>
      <c:valAx>
        <c:axId val="222237040"/>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 sourceLinked="0"/>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2236648"/>
        <c:crosses val="autoZero"/>
        <c:crossBetween val="between"/>
      </c:valAx>
      <c:spPr>
        <a:noFill/>
        <a:ln w="25400">
          <a:noFill/>
        </a:ln>
      </c:spPr>
    </c:plotArea>
    <c:legend>
      <c:legendPos val="b"/>
      <c:layout>
        <c:manualLayout>
          <c:xMode val="edge"/>
          <c:yMode val="edge"/>
          <c:x val="0.11828787773209765"/>
          <c:y val="4.6856075980193194E-2"/>
          <c:w val="0.83160173906051671"/>
          <c:h val="0.11226977950713357"/>
        </c:manualLayout>
      </c:layout>
      <c:overlay val="0"/>
      <c:spPr>
        <a:noFill/>
        <a:ln w="25400">
          <a:noFill/>
        </a:ln>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705968572110308E-2"/>
          <c:y val="4.3781094527363187E-2"/>
          <c:w val="0.8546749838088421"/>
          <c:h val="0.62965054368203976"/>
        </c:manualLayout>
      </c:layout>
      <c:barChart>
        <c:barDir val="col"/>
        <c:grouping val="stacked"/>
        <c:varyColors val="0"/>
        <c:ser>
          <c:idx val="0"/>
          <c:order val="0"/>
          <c:tx>
            <c:strRef>
              <c:f>'Výdavky AOTP'!$A$20</c:f>
              <c:strCache>
                <c:ptCount val="1"/>
                <c:pt idx="0">
                  <c:v>Pp na zriadenie ch. dielne alebo ch. pracoviska</c:v>
                </c:pt>
              </c:strCache>
            </c:strRef>
          </c:tx>
          <c:spPr>
            <a:solidFill>
              <a:schemeClr val="accent1"/>
            </a:solidFill>
            <a:ln>
              <a:noFill/>
            </a:ln>
            <a:effectLst/>
          </c:spPr>
          <c:invertIfNegative val="0"/>
          <c:cat>
            <c:numRef>
              <c:f>'Výdavky AOTP'!$B$19:$H$19</c:f>
              <c:numCache>
                <c:formatCode>General</c:formatCode>
                <c:ptCount val="7"/>
                <c:pt idx="0">
                  <c:v>2012</c:v>
                </c:pt>
                <c:pt idx="1">
                  <c:v>2013</c:v>
                </c:pt>
                <c:pt idx="2">
                  <c:v>2014</c:v>
                </c:pt>
                <c:pt idx="3">
                  <c:v>2015</c:v>
                </c:pt>
                <c:pt idx="4">
                  <c:v>2016</c:v>
                </c:pt>
                <c:pt idx="5">
                  <c:v>2017</c:v>
                </c:pt>
                <c:pt idx="6">
                  <c:v>2018</c:v>
                </c:pt>
              </c:numCache>
            </c:numRef>
          </c:cat>
          <c:val>
            <c:numRef>
              <c:f>'Výdavky AOTP'!$B$20:$H$20</c:f>
              <c:numCache>
                <c:formatCode>General</c:formatCode>
                <c:ptCount val="7"/>
                <c:pt idx="0">
                  <c:v>14.720451000000001</c:v>
                </c:pt>
                <c:pt idx="1">
                  <c:v>17.623407</c:v>
                </c:pt>
                <c:pt idx="2">
                  <c:v>12.640458000000001</c:v>
                </c:pt>
                <c:pt idx="3">
                  <c:v>2.9297049999999998</c:v>
                </c:pt>
                <c:pt idx="4">
                  <c:v>1.310103</c:v>
                </c:pt>
                <c:pt idx="5">
                  <c:v>0.60755099999999995</c:v>
                </c:pt>
                <c:pt idx="6">
                  <c:v>0.68225199999999997</c:v>
                </c:pt>
              </c:numCache>
            </c:numRef>
          </c:val>
          <c:extLst xmlns:c16r2="http://schemas.microsoft.com/office/drawing/2015/06/chart">
            <c:ext xmlns:c16="http://schemas.microsoft.com/office/drawing/2014/chart" uri="{C3380CC4-5D6E-409C-BE32-E72D297353CC}">
              <c16:uniqueId val="{00000000-2CD5-437C-97C9-76D6BE5D4E61}"/>
            </c:ext>
          </c:extLst>
        </c:ser>
        <c:ser>
          <c:idx val="1"/>
          <c:order val="1"/>
          <c:tx>
            <c:strRef>
              <c:f>'Výdavky AOTP'!$A$21</c:f>
              <c:strCache>
                <c:ptCount val="1"/>
                <c:pt idx="0">
                  <c:v>Pp. na udržanie OZP v zamestnaní</c:v>
                </c:pt>
              </c:strCache>
            </c:strRef>
          </c:tx>
          <c:spPr>
            <a:solidFill>
              <a:schemeClr val="accent5">
                <a:lumMod val="50000"/>
              </a:schemeClr>
            </a:solidFill>
            <a:ln>
              <a:noFill/>
            </a:ln>
            <a:effectLst/>
          </c:spPr>
          <c:invertIfNegative val="0"/>
          <c:cat>
            <c:numRef>
              <c:f>'Výdavky AOTP'!$B$19:$H$19</c:f>
              <c:numCache>
                <c:formatCode>General</c:formatCode>
                <c:ptCount val="7"/>
                <c:pt idx="0">
                  <c:v>2012</c:v>
                </c:pt>
                <c:pt idx="1">
                  <c:v>2013</c:v>
                </c:pt>
                <c:pt idx="2">
                  <c:v>2014</c:v>
                </c:pt>
                <c:pt idx="3">
                  <c:v>2015</c:v>
                </c:pt>
                <c:pt idx="4">
                  <c:v>2016</c:v>
                </c:pt>
                <c:pt idx="5">
                  <c:v>2017</c:v>
                </c:pt>
                <c:pt idx="6">
                  <c:v>2018</c:v>
                </c:pt>
              </c:numCache>
            </c:numRef>
          </c:cat>
          <c:val>
            <c:numRef>
              <c:f>'Výdavky AOTP'!$B$21:$H$21</c:f>
              <c:numCache>
                <c:formatCode>General</c:formatCode>
                <c:ptCount val="7"/>
                <c:pt idx="0">
                  <c:v>0.75580499999999995</c:v>
                </c:pt>
                <c:pt idx="1">
                  <c:v>0.77555700000000005</c:v>
                </c:pt>
                <c:pt idx="2">
                  <c:v>0.16964299999999999</c:v>
                </c:pt>
                <c:pt idx="3">
                  <c:v>3.3049000000000002E-2</c:v>
                </c:pt>
                <c:pt idx="4">
                  <c:v>3.9544000000000003E-2</c:v>
                </c:pt>
                <c:pt idx="5">
                  <c:v>3.1179999999999999E-2</c:v>
                </c:pt>
                <c:pt idx="6">
                  <c:v>3.2195000000000001E-2</c:v>
                </c:pt>
              </c:numCache>
            </c:numRef>
          </c:val>
          <c:extLst xmlns:c16r2="http://schemas.microsoft.com/office/drawing/2015/06/chart">
            <c:ext xmlns:c16="http://schemas.microsoft.com/office/drawing/2014/chart" uri="{C3380CC4-5D6E-409C-BE32-E72D297353CC}">
              <c16:uniqueId val="{00000001-2CD5-437C-97C9-76D6BE5D4E61}"/>
            </c:ext>
          </c:extLst>
        </c:ser>
        <c:ser>
          <c:idx val="2"/>
          <c:order val="2"/>
          <c:tx>
            <c:strRef>
              <c:f>'Výdavky AOTP'!$A$22</c:f>
              <c:strCache>
                <c:ptCount val="1"/>
                <c:pt idx="0">
                  <c:v>Pp. OZP na prevádzkovanie alebo vykonávanie SZČ</c:v>
                </c:pt>
              </c:strCache>
            </c:strRef>
          </c:tx>
          <c:spPr>
            <a:solidFill>
              <a:schemeClr val="accent3"/>
            </a:solidFill>
            <a:ln>
              <a:noFill/>
            </a:ln>
            <a:effectLst/>
          </c:spPr>
          <c:invertIfNegative val="0"/>
          <c:cat>
            <c:numRef>
              <c:f>'Výdavky AOTP'!$B$19:$H$19</c:f>
              <c:numCache>
                <c:formatCode>General</c:formatCode>
                <c:ptCount val="7"/>
                <c:pt idx="0">
                  <c:v>2012</c:v>
                </c:pt>
                <c:pt idx="1">
                  <c:v>2013</c:v>
                </c:pt>
                <c:pt idx="2">
                  <c:v>2014</c:v>
                </c:pt>
                <c:pt idx="3">
                  <c:v>2015</c:v>
                </c:pt>
                <c:pt idx="4">
                  <c:v>2016</c:v>
                </c:pt>
                <c:pt idx="5">
                  <c:v>2017</c:v>
                </c:pt>
                <c:pt idx="6">
                  <c:v>2018</c:v>
                </c:pt>
              </c:numCache>
            </c:numRef>
          </c:cat>
          <c:val>
            <c:numRef>
              <c:f>'Výdavky AOTP'!$B$22:$H$22</c:f>
              <c:numCache>
                <c:formatCode>General</c:formatCode>
                <c:ptCount val="7"/>
                <c:pt idx="0">
                  <c:v>4.6769049999999996</c:v>
                </c:pt>
                <c:pt idx="1">
                  <c:v>2.464941</c:v>
                </c:pt>
                <c:pt idx="2">
                  <c:v>0.43109500000000001</c:v>
                </c:pt>
                <c:pt idx="3">
                  <c:v>0.39047300000000001</c:v>
                </c:pt>
                <c:pt idx="4">
                  <c:v>0.38649699999999998</c:v>
                </c:pt>
                <c:pt idx="5">
                  <c:v>0.393154</c:v>
                </c:pt>
                <c:pt idx="6">
                  <c:v>0.37929726000000002</c:v>
                </c:pt>
              </c:numCache>
            </c:numRef>
          </c:val>
          <c:extLst xmlns:c16r2="http://schemas.microsoft.com/office/drawing/2015/06/chart">
            <c:ext xmlns:c16="http://schemas.microsoft.com/office/drawing/2014/chart" uri="{C3380CC4-5D6E-409C-BE32-E72D297353CC}">
              <c16:uniqueId val="{00000002-2CD5-437C-97C9-76D6BE5D4E61}"/>
            </c:ext>
          </c:extLst>
        </c:ser>
        <c:ser>
          <c:idx val="3"/>
          <c:order val="3"/>
          <c:tx>
            <c:strRef>
              <c:f>'Výdavky AOTP'!$A$23</c:f>
              <c:strCache>
                <c:ptCount val="1"/>
                <c:pt idx="0">
                  <c:v>Pp. na činnosť pracovného asistenta</c:v>
                </c:pt>
              </c:strCache>
            </c:strRef>
          </c:tx>
          <c:spPr>
            <a:solidFill>
              <a:schemeClr val="accent1">
                <a:lumMod val="20000"/>
                <a:lumOff val="80000"/>
              </a:schemeClr>
            </a:solidFill>
            <a:ln>
              <a:noFill/>
            </a:ln>
            <a:effectLst/>
          </c:spPr>
          <c:invertIfNegative val="0"/>
          <c:cat>
            <c:numRef>
              <c:f>'Výdavky AOTP'!$B$19:$H$19</c:f>
              <c:numCache>
                <c:formatCode>General</c:formatCode>
                <c:ptCount val="7"/>
                <c:pt idx="0">
                  <c:v>2012</c:v>
                </c:pt>
                <c:pt idx="1">
                  <c:v>2013</c:v>
                </c:pt>
                <c:pt idx="2">
                  <c:v>2014</c:v>
                </c:pt>
                <c:pt idx="3">
                  <c:v>2015</c:v>
                </c:pt>
                <c:pt idx="4">
                  <c:v>2016</c:v>
                </c:pt>
                <c:pt idx="5">
                  <c:v>2017</c:v>
                </c:pt>
                <c:pt idx="6">
                  <c:v>2018</c:v>
                </c:pt>
              </c:numCache>
            </c:numRef>
          </c:cat>
          <c:val>
            <c:numRef>
              <c:f>'Výdavky AOTP'!$B$23:$H$23</c:f>
              <c:numCache>
                <c:formatCode>General</c:formatCode>
                <c:ptCount val="7"/>
                <c:pt idx="0">
                  <c:v>3.1520839999999999</c:v>
                </c:pt>
                <c:pt idx="1">
                  <c:v>3.6626780000000001</c:v>
                </c:pt>
                <c:pt idx="2">
                  <c:v>3.2207219999999999</c:v>
                </c:pt>
                <c:pt idx="3">
                  <c:v>3.2556769999999999</c:v>
                </c:pt>
                <c:pt idx="4">
                  <c:v>4.2068709999999996</c:v>
                </c:pt>
                <c:pt idx="5">
                  <c:v>4.9166249999999998</c:v>
                </c:pt>
                <c:pt idx="6">
                  <c:v>5.8015780000000001</c:v>
                </c:pt>
              </c:numCache>
            </c:numRef>
          </c:val>
          <c:extLst xmlns:c16r2="http://schemas.microsoft.com/office/drawing/2015/06/chart">
            <c:ext xmlns:c16="http://schemas.microsoft.com/office/drawing/2014/chart" uri="{C3380CC4-5D6E-409C-BE32-E72D297353CC}">
              <c16:uniqueId val="{00000003-2CD5-437C-97C9-76D6BE5D4E61}"/>
            </c:ext>
          </c:extLst>
        </c:ser>
        <c:ser>
          <c:idx val="4"/>
          <c:order val="4"/>
          <c:tx>
            <c:strRef>
              <c:f>'Výdavky AOTP'!$A$24</c:f>
              <c:strCache>
                <c:ptCount val="1"/>
                <c:pt idx="0">
                  <c:v>Pp. na úhradu prevádzk. nákladov ch. dielne/ch. pracoviska</c:v>
                </c:pt>
              </c:strCache>
            </c:strRef>
          </c:tx>
          <c:spPr>
            <a:solidFill>
              <a:schemeClr val="accent5"/>
            </a:solidFill>
            <a:ln>
              <a:noFill/>
            </a:ln>
            <a:effectLst/>
          </c:spPr>
          <c:invertIfNegative val="0"/>
          <c:cat>
            <c:numRef>
              <c:f>'Výdavky AOTP'!$B$19:$H$19</c:f>
              <c:numCache>
                <c:formatCode>General</c:formatCode>
                <c:ptCount val="7"/>
                <c:pt idx="0">
                  <c:v>2012</c:v>
                </c:pt>
                <c:pt idx="1">
                  <c:v>2013</c:v>
                </c:pt>
                <c:pt idx="2">
                  <c:v>2014</c:v>
                </c:pt>
                <c:pt idx="3">
                  <c:v>2015</c:v>
                </c:pt>
                <c:pt idx="4">
                  <c:v>2016</c:v>
                </c:pt>
                <c:pt idx="5">
                  <c:v>2017</c:v>
                </c:pt>
                <c:pt idx="6">
                  <c:v>2018</c:v>
                </c:pt>
              </c:numCache>
            </c:numRef>
          </c:cat>
          <c:val>
            <c:numRef>
              <c:f>'Výdavky AOTP'!$B$24:$H$24</c:f>
              <c:numCache>
                <c:formatCode>General</c:formatCode>
                <c:ptCount val="7"/>
                <c:pt idx="0">
                  <c:v>16.221311</c:v>
                </c:pt>
                <c:pt idx="1">
                  <c:v>17.745246999999999</c:v>
                </c:pt>
                <c:pt idx="2">
                  <c:v>20.258099999999999</c:v>
                </c:pt>
                <c:pt idx="3">
                  <c:v>23.614156999999999</c:v>
                </c:pt>
                <c:pt idx="4">
                  <c:v>26.633613</c:v>
                </c:pt>
                <c:pt idx="5">
                  <c:v>28.467161000000001</c:v>
                </c:pt>
                <c:pt idx="6">
                  <c:v>30.051863999999998</c:v>
                </c:pt>
              </c:numCache>
            </c:numRef>
          </c:val>
          <c:extLst xmlns:c16r2="http://schemas.microsoft.com/office/drawing/2015/06/chart">
            <c:ext xmlns:c16="http://schemas.microsoft.com/office/drawing/2014/chart" uri="{C3380CC4-5D6E-409C-BE32-E72D297353CC}">
              <c16:uniqueId val="{00000004-2CD5-437C-97C9-76D6BE5D4E61}"/>
            </c:ext>
          </c:extLst>
        </c:ser>
        <c:dLbls>
          <c:showLegendKey val="0"/>
          <c:showVal val="0"/>
          <c:showCatName val="0"/>
          <c:showSerName val="0"/>
          <c:showPercent val="0"/>
          <c:showBubbleSize val="0"/>
        </c:dLbls>
        <c:gapWidth val="150"/>
        <c:overlap val="100"/>
        <c:axId val="222238216"/>
        <c:axId val="222238608"/>
      </c:barChart>
      <c:catAx>
        <c:axId val="222238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2238608"/>
        <c:crosses val="autoZero"/>
        <c:auto val="1"/>
        <c:lblAlgn val="ctr"/>
        <c:lblOffset val="100"/>
        <c:noMultiLvlLbl val="0"/>
      </c:catAx>
      <c:valAx>
        <c:axId val="222238608"/>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2238216"/>
        <c:crosses val="autoZero"/>
        <c:crossBetween val="between"/>
        <c:majorUnit val="10"/>
      </c:valAx>
      <c:spPr>
        <a:noFill/>
        <a:ln>
          <a:noFill/>
        </a:ln>
        <a:effectLst/>
      </c:spPr>
    </c:plotArea>
    <c:legend>
      <c:legendPos val="b"/>
      <c:layout>
        <c:manualLayout>
          <c:xMode val="edge"/>
          <c:yMode val="edge"/>
          <c:x val="8.0468350547090676E-3"/>
          <c:y val="0.7503697037870265"/>
          <c:w val="0.99195316494529095"/>
          <c:h val="0.2496302962129733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778351129427412E-2"/>
          <c:y val="5.1103368176538912E-2"/>
          <c:w val="0.81721765230823917"/>
          <c:h val="0.72091781210275552"/>
        </c:manualLayout>
      </c:layout>
      <c:barChart>
        <c:barDir val="col"/>
        <c:grouping val="clustered"/>
        <c:varyColors val="0"/>
        <c:ser>
          <c:idx val="0"/>
          <c:order val="0"/>
          <c:tx>
            <c:strRef>
              <c:f>'Výdavky AOTP 2'!$A$11</c:f>
              <c:strCache>
                <c:ptCount val="1"/>
                <c:pt idx="0">
                  <c:v>CHD/CHP počet PM (tisíc)</c:v>
                </c:pt>
              </c:strCache>
            </c:strRef>
          </c:tx>
          <c:spPr>
            <a:solidFill>
              <a:schemeClr val="accent1"/>
            </a:solidFill>
            <a:ln>
              <a:noFill/>
            </a:ln>
            <a:effectLst/>
          </c:spPr>
          <c:invertIfNegative val="0"/>
          <c:cat>
            <c:numRef>
              <c:f>'Výdavky AOTP 2'!$B$10:$H$10</c:f>
              <c:numCache>
                <c:formatCode>General</c:formatCode>
                <c:ptCount val="7"/>
                <c:pt idx="0">
                  <c:v>2012</c:v>
                </c:pt>
                <c:pt idx="1">
                  <c:v>2013</c:v>
                </c:pt>
                <c:pt idx="2">
                  <c:v>2014</c:v>
                </c:pt>
                <c:pt idx="3">
                  <c:v>2015</c:v>
                </c:pt>
                <c:pt idx="4">
                  <c:v>2016</c:v>
                </c:pt>
                <c:pt idx="5">
                  <c:v>2017</c:v>
                </c:pt>
                <c:pt idx="6">
                  <c:v>2018</c:v>
                </c:pt>
              </c:numCache>
            </c:numRef>
          </c:cat>
          <c:val>
            <c:numRef>
              <c:f>'Výdavky AOTP 2'!$B$11:$H$11</c:f>
              <c:numCache>
                <c:formatCode>#,##0.00</c:formatCode>
                <c:ptCount val="7"/>
                <c:pt idx="0">
                  <c:v>8.0389999999999997</c:v>
                </c:pt>
                <c:pt idx="1">
                  <c:v>8.5190000000000001</c:v>
                </c:pt>
                <c:pt idx="2">
                  <c:v>10.012</c:v>
                </c:pt>
                <c:pt idx="3">
                  <c:v>10.164999999999999</c:v>
                </c:pt>
                <c:pt idx="4">
                  <c:v>9.9600000000000009</c:v>
                </c:pt>
                <c:pt idx="5">
                  <c:v>9.9179999999999993</c:v>
                </c:pt>
                <c:pt idx="6">
                  <c:v>9.5549999999999997</c:v>
                </c:pt>
              </c:numCache>
            </c:numRef>
          </c:val>
          <c:extLst xmlns:c16r2="http://schemas.microsoft.com/office/drawing/2015/06/chart">
            <c:ext xmlns:c16="http://schemas.microsoft.com/office/drawing/2014/chart" uri="{C3380CC4-5D6E-409C-BE32-E72D297353CC}">
              <c16:uniqueId val="{00000000-70F8-4A2D-9180-4710DF07BADA}"/>
            </c:ext>
          </c:extLst>
        </c:ser>
        <c:ser>
          <c:idx val="1"/>
          <c:order val="1"/>
          <c:tx>
            <c:strRef>
              <c:f>'Výdavky AOTP 2'!$A$12</c:f>
              <c:strCache>
                <c:ptCount val="1"/>
                <c:pt idx="0">
                  <c:v>OTP počet PM (tisíc)</c:v>
                </c:pt>
              </c:strCache>
            </c:strRef>
          </c:tx>
          <c:spPr>
            <a:solidFill>
              <a:schemeClr val="accent3"/>
            </a:solidFill>
            <a:ln>
              <a:noFill/>
            </a:ln>
            <a:effectLst/>
          </c:spPr>
          <c:invertIfNegative val="0"/>
          <c:cat>
            <c:numRef>
              <c:f>'Výdavky AOTP 2'!$B$10:$H$10</c:f>
              <c:numCache>
                <c:formatCode>General</c:formatCode>
                <c:ptCount val="7"/>
                <c:pt idx="0">
                  <c:v>2012</c:v>
                </c:pt>
                <c:pt idx="1">
                  <c:v>2013</c:v>
                </c:pt>
                <c:pt idx="2">
                  <c:v>2014</c:v>
                </c:pt>
                <c:pt idx="3">
                  <c:v>2015</c:v>
                </c:pt>
                <c:pt idx="4">
                  <c:v>2016</c:v>
                </c:pt>
                <c:pt idx="5">
                  <c:v>2017</c:v>
                </c:pt>
                <c:pt idx="6">
                  <c:v>2018</c:v>
                </c:pt>
              </c:numCache>
            </c:numRef>
          </c:cat>
          <c:val>
            <c:numRef>
              <c:f>'Výdavky AOTP 2'!$B$12:$H$12</c:f>
              <c:numCache>
                <c:formatCode>#,##0.00</c:formatCode>
                <c:ptCount val="7"/>
                <c:pt idx="0">
                  <c:v>1.59</c:v>
                </c:pt>
                <c:pt idx="1">
                  <c:v>1.292</c:v>
                </c:pt>
                <c:pt idx="2">
                  <c:v>0.89700000000000002</c:v>
                </c:pt>
                <c:pt idx="3">
                  <c:v>0.95</c:v>
                </c:pt>
                <c:pt idx="4">
                  <c:v>1.093</c:v>
                </c:pt>
                <c:pt idx="5">
                  <c:v>1.175</c:v>
                </c:pt>
                <c:pt idx="6">
                  <c:v>1.226</c:v>
                </c:pt>
              </c:numCache>
            </c:numRef>
          </c:val>
          <c:extLst xmlns:c16r2="http://schemas.microsoft.com/office/drawing/2015/06/chart">
            <c:ext xmlns:c16="http://schemas.microsoft.com/office/drawing/2014/chart" uri="{C3380CC4-5D6E-409C-BE32-E72D297353CC}">
              <c16:uniqueId val="{00000001-70F8-4A2D-9180-4710DF07BADA}"/>
            </c:ext>
          </c:extLst>
        </c:ser>
        <c:dLbls>
          <c:showLegendKey val="0"/>
          <c:showVal val="0"/>
          <c:showCatName val="0"/>
          <c:showSerName val="0"/>
          <c:showPercent val="0"/>
          <c:showBubbleSize val="0"/>
        </c:dLbls>
        <c:gapWidth val="219"/>
        <c:overlap val="-27"/>
        <c:axId val="222239784"/>
        <c:axId val="222601000"/>
      </c:barChart>
      <c:lineChart>
        <c:grouping val="standard"/>
        <c:varyColors val="0"/>
        <c:ser>
          <c:idx val="2"/>
          <c:order val="2"/>
          <c:tx>
            <c:strRef>
              <c:f>'Výdavky AOTP 2'!$A$13</c:f>
              <c:strCache>
                <c:ptCount val="1"/>
                <c:pt idx="0">
                  <c:v>CHD/CHP mil. € (pravá os)</c:v>
                </c:pt>
              </c:strCache>
            </c:strRef>
          </c:tx>
          <c:spPr>
            <a:ln w="28575" cap="rnd">
              <a:noFill/>
              <a:round/>
            </a:ln>
            <a:effectLst/>
          </c:spPr>
          <c:marker>
            <c:symbol val="diamond"/>
            <c:size val="6"/>
            <c:spPr>
              <a:solidFill>
                <a:schemeClr val="accent5">
                  <a:lumMod val="50000"/>
                </a:schemeClr>
              </a:solidFill>
              <a:ln w="9525">
                <a:solidFill>
                  <a:schemeClr val="accent5">
                    <a:lumMod val="50000"/>
                  </a:schemeClr>
                </a:solidFill>
              </a:ln>
              <a:effectLst/>
            </c:spPr>
          </c:marker>
          <c:cat>
            <c:numRef>
              <c:f>'Výdavky AOTP 2'!$B$10:$H$10</c:f>
              <c:numCache>
                <c:formatCode>General</c:formatCode>
                <c:ptCount val="7"/>
                <c:pt idx="0">
                  <c:v>2012</c:v>
                </c:pt>
                <c:pt idx="1">
                  <c:v>2013</c:v>
                </c:pt>
                <c:pt idx="2">
                  <c:v>2014</c:v>
                </c:pt>
                <c:pt idx="3">
                  <c:v>2015</c:v>
                </c:pt>
                <c:pt idx="4">
                  <c:v>2016</c:v>
                </c:pt>
                <c:pt idx="5">
                  <c:v>2017</c:v>
                </c:pt>
                <c:pt idx="6">
                  <c:v>2018</c:v>
                </c:pt>
              </c:numCache>
            </c:numRef>
          </c:cat>
          <c:val>
            <c:numRef>
              <c:f>'Výdavky AOTP 2'!$B$13:$H$13</c:f>
              <c:numCache>
                <c:formatCode>0.00</c:formatCode>
                <c:ptCount val="7"/>
                <c:pt idx="0">
                  <c:v>30.941762000000001</c:v>
                </c:pt>
                <c:pt idx="1">
                  <c:v>35.368653999999999</c:v>
                </c:pt>
                <c:pt idx="2">
                  <c:v>32.898558000000001</c:v>
                </c:pt>
                <c:pt idx="3">
                  <c:v>26.543862000000001</c:v>
                </c:pt>
                <c:pt idx="4">
                  <c:v>27.943715999999998</c:v>
                </c:pt>
                <c:pt idx="5">
                  <c:v>29.074712000000002</c:v>
                </c:pt>
                <c:pt idx="6">
                  <c:v>30.734116</c:v>
                </c:pt>
              </c:numCache>
            </c:numRef>
          </c:val>
          <c:smooth val="0"/>
          <c:extLst xmlns:c16r2="http://schemas.microsoft.com/office/drawing/2015/06/chart">
            <c:ext xmlns:c16="http://schemas.microsoft.com/office/drawing/2014/chart" uri="{C3380CC4-5D6E-409C-BE32-E72D297353CC}">
              <c16:uniqueId val="{00000002-70F8-4A2D-9180-4710DF07BADA}"/>
            </c:ext>
          </c:extLst>
        </c:ser>
        <c:ser>
          <c:idx val="3"/>
          <c:order val="3"/>
          <c:tx>
            <c:strRef>
              <c:f>'Výdavky AOTP 2'!$A$14</c:f>
              <c:strCache>
                <c:ptCount val="1"/>
                <c:pt idx="0">
                  <c:v>OTP mil. € (pravá os)</c:v>
                </c:pt>
              </c:strCache>
            </c:strRef>
          </c:tx>
          <c:spPr>
            <a:ln w="28575" cap="rnd">
              <a:noFill/>
              <a:round/>
            </a:ln>
            <a:effectLst/>
          </c:spPr>
          <c:marker>
            <c:symbol val="diamond"/>
            <c:size val="6"/>
            <c:spPr>
              <a:solidFill>
                <a:schemeClr val="accent3">
                  <a:lumMod val="50000"/>
                </a:schemeClr>
              </a:solidFill>
              <a:ln w="9525">
                <a:solidFill>
                  <a:schemeClr val="accent3">
                    <a:lumMod val="50000"/>
                  </a:schemeClr>
                </a:solidFill>
              </a:ln>
              <a:effectLst/>
            </c:spPr>
          </c:marker>
          <c:cat>
            <c:numRef>
              <c:f>'Výdavky AOTP 2'!$B$10:$H$10</c:f>
              <c:numCache>
                <c:formatCode>General</c:formatCode>
                <c:ptCount val="7"/>
                <c:pt idx="0">
                  <c:v>2012</c:v>
                </c:pt>
                <c:pt idx="1">
                  <c:v>2013</c:v>
                </c:pt>
                <c:pt idx="2">
                  <c:v>2014</c:v>
                </c:pt>
                <c:pt idx="3">
                  <c:v>2015</c:v>
                </c:pt>
                <c:pt idx="4">
                  <c:v>2016</c:v>
                </c:pt>
                <c:pt idx="5">
                  <c:v>2017</c:v>
                </c:pt>
                <c:pt idx="6">
                  <c:v>2018</c:v>
                </c:pt>
              </c:numCache>
            </c:numRef>
          </c:cat>
          <c:val>
            <c:numRef>
              <c:f>'Výdavky AOTP 2'!$B$14:$H$14</c:f>
              <c:numCache>
                <c:formatCode>0.00</c:formatCode>
                <c:ptCount val="7"/>
                <c:pt idx="0">
                  <c:v>8.5847940000000005</c:v>
                </c:pt>
                <c:pt idx="1">
                  <c:v>6.9031760000000002</c:v>
                </c:pt>
                <c:pt idx="2">
                  <c:v>3.8214600000000001</c:v>
                </c:pt>
                <c:pt idx="3">
                  <c:v>3.6791990000000001</c:v>
                </c:pt>
                <c:pt idx="4">
                  <c:v>4.6329120000000001</c:v>
                </c:pt>
                <c:pt idx="5">
                  <c:v>5.3409589999999998</c:v>
                </c:pt>
                <c:pt idx="6">
                  <c:v>6.2130702599999994</c:v>
                </c:pt>
              </c:numCache>
            </c:numRef>
          </c:val>
          <c:smooth val="0"/>
          <c:extLst xmlns:c16r2="http://schemas.microsoft.com/office/drawing/2015/06/chart">
            <c:ext xmlns:c16="http://schemas.microsoft.com/office/drawing/2014/chart" uri="{C3380CC4-5D6E-409C-BE32-E72D297353CC}">
              <c16:uniqueId val="{00000003-70F8-4A2D-9180-4710DF07BADA}"/>
            </c:ext>
          </c:extLst>
        </c:ser>
        <c:dLbls>
          <c:showLegendKey val="0"/>
          <c:showVal val="0"/>
          <c:showCatName val="0"/>
          <c:showSerName val="0"/>
          <c:showPercent val="0"/>
          <c:showBubbleSize val="0"/>
        </c:dLbls>
        <c:marker val="1"/>
        <c:smooth val="0"/>
        <c:axId val="222601784"/>
        <c:axId val="222601392"/>
      </c:lineChart>
      <c:catAx>
        <c:axId val="222239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2601000"/>
        <c:crosses val="autoZero"/>
        <c:auto val="1"/>
        <c:lblAlgn val="ctr"/>
        <c:lblOffset val="100"/>
        <c:noMultiLvlLbl val="0"/>
      </c:catAx>
      <c:valAx>
        <c:axId val="222601000"/>
        <c:scaling>
          <c:orientation val="minMax"/>
          <c:max val="11"/>
        </c:scaling>
        <c:delete val="0"/>
        <c:axPos val="l"/>
        <c:majorGridlines>
          <c:spPr>
            <a:ln w="9525" cap="flat" cmpd="sng" algn="ctr">
              <a:solidFill>
                <a:schemeClr val="tx1">
                  <a:lumMod val="15000"/>
                  <a:lumOff val="85000"/>
                </a:schemeClr>
              </a:solidFill>
              <a:prstDash val="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2239784"/>
        <c:crosses val="autoZero"/>
        <c:crossBetween val="between"/>
        <c:majorUnit val="1"/>
      </c:valAx>
      <c:valAx>
        <c:axId val="222601392"/>
        <c:scaling>
          <c:orientation val="minMax"/>
          <c:max val="6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2601784"/>
        <c:crosses val="max"/>
        <c:crossBetween val="between"/>
        <c:majorUnit val="5"/>
      </c:valAx>
      <c:catAx>
        <c:axId val="222601784"/>
        <c:scaling>
          <c:orientation val="minMax"/>
        </c:scaling>
        <c:delete val="1"/>
        <c:axPos val="b"/>
        <c:numFmt formatCode="General" sourceLinked="1"/>
        <c:majorTickMark val="out"/>
        <c:minorTickMark val="none"/>
        <c:tickLblPos val="nextTo"/>
        <c:crossAx val="222601392"/>
        <c:crosses val="autoZero"/>
        <c:auto val="1"/>
        <c:lblAlgn val="ctr"/>
        <c:lblOffset val="100"/>
        <c:noMultiLvlLbl val="0"/>
      </c:catAx>
      <c:spPr>
        <a:noFill/>
        <a:ln>
          <a:noFill/>
        </a:ln>
        <a:effectLst/>
      </c:spPr>
    </c:plotArea>
    <c:legend>
      <c:legendPos val="b"/>
      <c:layout>
        <c:manualLayout>
          <c:xMode val="edge"/>
          <c:yMode val="edge"/>
          <c:x val="2.0339078559836511E-2"/>
          <c:y val="0.86736865208922054"/>
          <c:w val="0.96336212518889686"/>
          <c:h val="0.1280821604616496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45609058951081E-2"/>
          <c:y val="0.15476190476190477"/>
          <c:w val="0.88111112327926999"/>
          <c:h val="0.7288547264925217"/>
        </c:manualLayout>
      </c:layout>
      <c:barChart>
        <c:barDir val="col"/>
        <c:grouping val="stacked"/>
        <c:varyColors val="0"/>
        <c:ser>
          <c:idx val="1"/>
          <c:order val="1"/>
          <c:tx>
            <c:strRef>
              <c:f>Povinny_podiel!$C$1</c:f>
              <c:strCache>
                <c:ptCount val="1"/>
                <c:pt idx="0">
                  <c:v>PSVZČ &lt; 70%</c:v>
                </c:pt>
              </c:strCache>
            </c:strRef>
          </c:tx>
          <c:spPr>
            <a:solidFill>
              <a:schemeClr val="accent1"/>
            </a:solidFill>
            <a:ln>
              <a:noFill/>
            </a:ln>
            <a:effectLst/>
          </c:spPr>
          <c:invertIfNegative val="0"/>
          <c:cat>
            <c:numRef>
              <c:f>Povinny_podiel!$A$12:$A$16</c:f>
              <c:numCache>
                <c:formatCode>General</c:formatCode>
                <c:ptCount val="5"/>
                <c:pt idx="0">
                  <c:v>2013</c:v>
                </c:pt>
                <c:pt idx="1">
                  <c:v>2014</c:v>
                </c:pt>
                <c:pt idx="2">
                  <c:v>2015</c:v>
                </c:pt>
                <c:pt idx="3">
                  <c:v>2016</c:v>
                </c:pt>
                <c:pt idx="4">
                  <c:v>2017</c:v>
                </c:pt>
              </c:numCache>
            </c:numRef>
          </c:cat>
          <c:val>
            <c:numRef>
              <c:f>Povinny_podiel!$C$12:$C$16</c:f>
              <c:numCache>
                <c:formatCode>General</c:formatCode>
                <c:ptCount val="5"/>
                <c:pt idx="0">
                  <c:v>30.047999999999998</c:v>
                </c:pt>
                <c:pt idx="1">
                  <c:v>32.646000000000001</c:v>
                </c:pt>
                <c:pt idx="2">
                  <c:v>35.555</c:v>
                </c:pt>
                <c:pt idx="3">
                  <c:v>39.012</c:v>
                </c:pt>
                <c:pt idx="4">
                  <c:v>43.356999999999999</c:v>
                </c:pt>
              </c:numCache>
            </c:numRef>
          </c:val>
          <c:extLst xmlns:c16r2="http://schemas.microsoft.com/office/drawing/2015/06/chart">
            <c:ext xmlns:c16="http://schemas.microsoft.com/office/drawing/2014/chart" uri="{C3380CC4-5D6E-409C-BE32-E72D297353CC}">
              <c16:uniqueId val="{00000000-2B4D-4F7B-8D17-42F5C4E620FE}"/>
            </c:ext>
          </c:extLst>
        </c:ser>
        <c:ser>
          <c:idx val="2"/>
          <c:order val="2"/>
          <c:tx>
            <c:strRef>
              <c:f>Povinny_podiel!$D$1</c:f>
              <c:strCache>
                <c:ptCount val="1"/>
                <c:pt idx="0">
                  <c:v>PSVZČ &gt; 70% (x3)</c:v>
                </c:pt>
              </c:strCache>
            </c:strRef>
          </c:tx>
          <c:spPr>
            <a:solidFill>
              <a:schemeClr val="accent3"/>
            </a:solidFill>
            <a:ln>
              <a:noFill/>
            </a:ln>
            <a:effectLst/>
          </c:spPr>
          <c:invertIfNegative val="0"/>
          <c:cat>
            <c:numRef>
              <c:f>Povinny_podiel!$A$12:$A$16</c:f>
              <c:numCache>
                <c:formatCode>General</c:formatCode>
                <c:ptCount val="5"/>
                <c:pt idx="0">
                  <c:v>2013</c:v>
                </c:pt>
                <c:pt idx="1">
                  <c:v>2014</c:v>
                </c:pt>
                <c:pt idx="2">
                  <c:v>2015</c:v>
                </c:pt>
                <c:pt idx="3">
                  <c:v>2016</c:v>
                </c:pt>
                <c:pt idx="4">
                  <c:v>2017</c:v>
                </c:pt>
              </c:numCache>
            </c:numRef>
          </c:cat>
          <c:val>
            <c:numRef>
              <c:f>Povinny_podiel!$D$12:$D$16</c:f>
              <c:numCache>
                <c:formatCode>General</c:formatCode>
                <c:ptCount val="5"/>
                <c:pt idx="0">
                  <c:v>15.157</c:v>
                </c:pt>
                <c:pt idx="1">
                  <c:v>16.962</c:v>
                </c:pt>
                <c:pt idx="2">
                  <c:v>18.423999999999999</c:v>
                </c:pt>
                <c:pt idx="3">
                  <c:v>19.895</c:v>
                </c:pt>
                <c:pt idx="4">
                  <c:v>21.477</c:v>
                </c:pt>
              </c:numCache>
            </c:numRef>
          </c:val>
          <c:extLst xmlns:c16r2="http://schemas.microsoft.com/office/drawing/2015/06/chart">
            <c:ext xmlns:c16="http://schemas.microsoft.com/office/drawing/2014/chart" uri="{C3380CC4-5D6E-409C-BE32-E72D297353CC}">
              <c16:uniqueId val="{00000001-2B4D-4F7B-8D17-42F5C4E620FE}"/>
            </c:ext>
          </c:extLst>
        </c:ser>
        <c:ser>
          <c:idx val="3"/>
          <c:order val="3"/>
          <c:tx>
            <c:strRef>
              <c:f>Povinny_podiel!$E$1</c:f>
              <c:strCache>
                <c:ptCount val="1"/>
                <c:pt idx="0">
                  <c:v>Odvody</c:v>
                </c:pt>
              </c:strCache>
            </c:strRef>
          </c:tx>
          <c:spPr>
            <a:solidFill>
              <a:schemeClr val="accent5">
                <a:lumMod val="50000"/>
              </a:schemeClr>
            </a:solidFill>
            <a:ln>
              <a:noFill/>
            </a:ln>
            <a:effectLst/>
          </c:spPr>
          <c:invertIfNegative val="0"/>
          <c:cat>
            <c:numRef>
              <c:f>Povinny_podiel!$A$12:$A$16</c:f>
              <c:numCache>
                <c:formatCode>General</c:formatCode>
                <c:ptCount val="5"/>
                <c:pt idx="0">
                  <c:v>2013</c:v>
                </c:pt>
                <c:pt idx="1">
                  <c:v>2014</c:v>
                </c:pt>
                <c:pt idx="2">
                  <c:v>2015</c:v>
                </c:pt>
                <c:pt idx="3">
                  <c:v>2016</c:v>
                </c:pt>
                <c:pt idx="4">
                  <c:v>2017</c:v>
                </c:pt>
              </c:numCache>
            </c:numRef>
          </c:cat>
          <c:val>
            <c:numRef>
              <c:f>Povinny_podiel!$E$12:$E$16</c:f>
              <c:numCache>
                <c:formatCode>General</c:formatCode>
                <c:ptCount val="5"/>
                <c:pt idx="0">
                  <c:v>2.9790000000000001</c:v>
                </c:pt>
                <c:pt idx="1">
                  <c:v>2.5139999999999998</c:v>
                </c:pt>
                <c:pt idx="2">
                  <c:v>2.0760000000000001</c:v>
                </c:pt>
                <c:pt idx="3">
                  <c:v>1.7729999999999999</c:v>
                </c:pt>
                <c:pt idx="4">
                  <c:v>1.659</c:v>
                </c:pt>
              </c:numCache>
            </c:numRef>
          </c:val>
          <c:extLst xmlns:c16r2="http://schemas.microsoft.com/office/drawing/2015/06/chart">
            <c:ext xmlns:c16="http://schemas.microsoft.com/office/drawing/2014/chart" uri="{C3380CC4-5D6E-409C-BE32-E72D297353CC}">
              <c16:uniqueId val="{00000002-2B4D-4F7B-8D17-42F5C4E620FE}"/>
            </c:ext>
          </c:extLst>
        </c:ser>
        <c:ser>
          <c:idx val="4"/>
          <c:order val="4"/>
          <c:tx>
            <c:strRef>
              <c:f>Povinny_podiel!$F$1</c:f>
              <c:strCache>
                <c:ptCount val="1"/>
                <c:pt idx="0">
                  <c:v>Zákazky</c:v>
                </c:pt>
              </c:strCache>
            </c:strRef>
          </c:tx>
          <c:spPr>
            <a:solidFill>
              <a:schemeClr val="accent5"/>
            </a:solidFill>
            <a:ln>
              <a:noFill/>
            </a:ln>
            <a:effectLst/>
          </c:spPr>
          <c:invertIfNegative val="0"/>
          <c:cat>
            <c:numRef>
              <c:f>Povinny_podiel!$A$12:$A$16</c:f>
              <c:numCache>
                <c:formatCode>General</c:formatCode>
                <c:ptCount val="5"/>
                <c:pt idx="0">
                  <c:v>2013</c:v>
                </c:pt>
                <c:pt idx="1">
                  <c:v>2014</c:v>
                </c:pt>
                <c:pt idx="2">
                  <c:v>2015</c:v>
                </c:pt>
                <c:pt idx="3">
                  <c:v>2016</c:v>
                </c:pt>
                <c:pt idx="4">
                  <c:v>2017</c:v>
                </c:pt>
              </c:numCache>
            </c:numRef>
          </c:cat>
          <c:val>
            <c:numRef>
              <c:f>Povinny_podiel!$F$12:$F$16</c:f>
              <c:numCache>
                <c:formatCode>General</c:formatCode>
                <c:ptCount val="5"/>
                <c:pt idx="0">
                  <c:v>17.347000000000001</c:v>
                </c:pt>
                <c:pt idx="1">
                  <c:v>17.216999999999999</c:v>
                </c:pt>
                <c:pt idx="2">
                  <c:v>16.931999999999999</c:v>
                </c:pt>
                <c:pt idx="3">
                  <c:v>16.303999999999998</c:v>
                </c:pt>
                <c:pt idx="4">
                  <c:v>13.747999999999999</c:v>
                </c:pt>
              </c:numCache>
            </c:numRef>
          </c:val>
          <c:extLst xmlns:c16r2="http://schemas.microsoft.com/office/drawing/2015/06/chart">
            <c:ext xmlns:c16="http://schemas.microsoft.com/office/drawing/2014/chart" uri="{C3380CC4-5D6E-409C-BE32-E72D297353CC}">
              <c16:uniqueId val="{00000003-2B4D-4F7B-8D17-42F5C4E620FE}"/>
            </c:ext>
          </c:extLst>
        </c:ser>
        <c:dLbls>
          <c:showLegendKey val="0"/>
          <c:showVal val="0"/>
          <c:showCatName val="0"/>
          <c:showSerName val="0"/>
          <c:showPercent val="0"/>
          <c:showBubbleSize val="0"/>
        </c:dLbls>
        <c:gapWidth val="150"/>
        <c:overlap val="100"/>
        <c:axId val="222602960"/>
        <c:axId val="222603352"/>
      </c:barChart>
      <c:lineChart>
        <c:grouping val="standard"/>
        <c:varyColors val="0"/>
        <c:ser>
          <c:idx val="0"/>
          <c:order val="0"/>
          <c:tx>
            <c:strRef>
              <c:f>Povinny_podiel!$B$1</c:f>
              <c:strCache>
                <c:ptCount val="1"/>
                <c:pt idx="0">
                  <c:v>Potrebný počet</c:v>
                </c:pt>
              </c:strCache>
            </c:strRef>
          </c:tx>
          <c:spPr>
            <a:ln w="28575" cap="rnd">
              <a:solidFill>
                <a:schemeClr val="tx1"/>
              </a:solidFill>
              <a:prstDash val="sysDash"/>
              <a:round/>
            </a:ln>
            <a:effectLst/>
          </c:spPr>
          <c:marker>
            <c:symbol val="none"/>
          </c:marker>
          <c:cat>
            <c:numRef>
              <c:f>Povinny_podiel!$A$12:$A$16</c:f>
              <c:numCache>
                <c:formatCode>General</c:formatCode>
                <c:ptCount val="5"/>
                <c:pt idx="0">
                  <c:v>2013</c:v>
                </c:pt>
                <c:pt idx="1">
                  <c:v>2014</c:v>
                </c:pt>
                <c:pt idx="2">
                  <c:v>2015</c:v>
                </c:pt>
                <c:pt idx="3">
                  <c:v>2016</c:v>
                </c:pt>
                <c:pt idx="4">
                  <c:v>2017</c:v>
                </c:pt>
              </c:numCache>
            </c:numRef>
          </c:cat>
          <c:val>
            <c:numRef>
              <c:f>Povinny_podiel!$B$12:$B$16</c:f>
              <c:numCache>
                <c:formatCode>General</c:formatCode>
                <c:ptCount val="5"/>
                <c:pt idx="0">
                  <c:v>37.966000000000001</c:v>
                </c:pt>
                <c:pt idx="1">
                  <c:v>39.207000000000001</c:v>
                </c:pt>
                <c:pt idx="2">
                  <c:v>39.695999999999998</c:v>
                </c:pt>
                <c:pt idx="3">
                  <c:v>40.298000000000002</c:v>
                </c:pt>
                <c:pt idx="4">
                  <c:v>41.335999999999999</c:v>
                </c:pt>
              </c:numCache>
            </c:numRef>
          </c:val>
          <c:smooth val="0"/>
          <c:extLst xmlns:c16r2="http://schemas.microsoft.com/office/drawing/2015/06/chart">
            <c:ext xmlns:c16="http://schemas.microsoft.com/office/drawing/2014/chart" uri="{C3380CC4-5D6E-409C-BE32-E72D297353CC}">
              <c16:uniqueId val="{00000004-2B4D-4F7B-8D17-42F5C4E620FE}"/>
            </c:ext>
          </c:extLst>
        </c:ser>
        <c:dLbls>
          <c:showLegendKey val="0"/>
          <c:showVal val="0"/>
          <c:showCatName val="0"/>
          <c:showSerName val="0"/>
          <c:showPercent val="0"/>
          <c:showBubbleSize val="0"/>
        </c:dLbls>
        <c:marker val="1"/>
        <c:smooth val="0"/>
        <c:axId val="222602960"/>
        <c:axId val="222603352"/>
      </c:lineChart>
      <c:catAx>
        <c:axId val="22260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2603352"/>
        <c:crosses val="autoZero"/>
        <c:auto val="1"/>
        <c:lblAlgn val="ctr"/>
        <c:lblOffset val="100"/>
        <c:noMultiLvlLbl val="0"/>
      </c:catAx>
      <c:valAx>
        <c:axId val="222603352"/>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2602960"/>
        <c:crosses val="autoZero"/>
        <c:crossBetween val="between"/>
      </c:valAx>
      <c:spPr>
        <a:noFill/>
        <a:ln>
          <a:noFill/>
        </a:ln>
        <a:effectLst/>
      </c:spPr>
    </c:plotArea>
    <c:legend>
      <c:legendPos val="b"/>
      <c:layout>
        <c:manualLayout>
          <c:xMode val="edge"/>
          <c:yMode val="edge"/>
          <c:x val="0.1047004223809772"/>
          <c:y val="3.3498468941382323E-2"/>
          <c:w val="0.88772939806365259"/>
          <c:h val="0.1792944689253292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353310242125527E-2"/>
          <c:y val="5.0925925925925923E-2"/>
          <c:w val="0.87702953816969265"/>
          <c:h val="0.68072871099445897"/>
        </c:manualLayout>
      </c:layout>
      <c:lineChart>
        <c:grouping val="standard"/>
        <c:varyColors val="0"/>
        <c:ser>
          <c:idx val="0"/>
          <c:order val="0"/>
          <c:tx>
            <c:strRef>
              <c:f>Povinny_podiel!$H$55</c:f>
              <c:strCache>
                <c:ptCount val="1"/>
                <c:pt idx="0">
                  <c:v>Spolu</c:v>
                </c:pt>
              </c:strCache>
            </c:strRef>
          </c:tx>
          <c:spPr>
            <a:ln w="28575" cap="rnd">
              <a:solidFill>
                <a:schemeClr val="tx1"/>
              </a:solidFill>
              <a:round/>
            </a:ln>
            <a:effectLst/>
          </c:spPr>
          <c:marker>
            <c:symbol val="none"/>
          </c:marker>
          <c:cat>
            <c:numRef>
              <c:f>Povinny_podiel!$I$54:$M$54</c:f>
              <c:numCache>
                <c:formatCode>General</c:formatCode>
                <c:ptCount val="5"/>
                <c:pt idx="0">
                  <c:v>2013</c:v>
                </c:pt>
                <c:pt idx="1">
                  <c:v>2014</c:v>
                </c:pt>
                <c:pt idx="2">
                  <c:v>2015</c:v>
                </c:pt>
                <c:pt idx="3">
                  <c:v>2016</c:v>
                </c:pt>
                <c:pt idx="4">
                  <c:v>2017</c:v>
                </c:pt>
              </c:numCache>
            </c:numRef>
          </c:cat>
          <c:val>
            <c:numRef>
              <c:f>Povinny_podiel!$I$55:$M$55</c:f>
              <c:numCache>
                <c:formatCode>General</c:formatCode>
                <c:ptCount val="5"/>
                <c:pt idx="0">
                  <c:v>39.899435426958362</c:v>
                </c:pt>
                <c:pt idx="1">
                  <c:v>42.316433566433567</c:v>
                </c:pt>
                <c:pt idx="2">
                  <c:v>44.845134684566112</c:v>
                </c:pt>
                <c:pt idx="3">
                  <c:v>47.55398854120758</c:v>
                </c:pt>
                <c:pt idx="4">
                  <c:v>50.459887583035254</c:v>
                </c:pt>
              </c:numCache>
            </c:numRef>
          </c:val>
          <c:smooth val="0"/>
          <c:extLst xmlns:c16r2="http://schemas.microsoft.com/office/drawing/2015/06/chart">
            <c:ext xmlns:c16="http://schemas.microsoft.com/office/drawing/2014/chart" uri="{C3380CC4-5D6E-409C-BE32-E72D297353CC}">
              <c16:uniqueId val="{00000000-436D-483B-A5AD-5CE5DCB75D10}"/>
            </c:ext>
          </c:extLst>
        </c:ser>
        <c:ser>
          <c:idx val="1"/>
          <c:order val="1"/>
          <c:tx>
            <c:strRef>
              <c:f>Povinny_podiel!$H$56</c:f>
              <c:strCache>
                <c:ptCount val="1"/>
                <c:pt idx="0">
                  <c:v>Súkromné tuzemské</c:v>
                </c:pt>
              </c:strCache>
            </c:strRef>
          </c:tx>
          <c:spPr>
            <a:ln w="28575" cap="rnd">
              <a:solidFill>
                <a:schemeClr val="accent1"/>
              </a:solidFill>
              <a:round/>
            </a:ln>
            <a:effectLst/>
          </c:spPr>
          <c:marker>
            <c:symbol val="none"/>
          </c:marker>
          <c:cat>
            <c:numRef>
              <c:f>Povinny_podiel!$I$54:$M$54</c:f>
              <c:numCache>
                <c:formatCode>General</c:formatCode>
                <c:ptCount val="5"/>
                <c:pt idx="0">
                  <c:v>2013</c:v>
                </c:pt>
                <c:pt idx="1">
                  <c:v>2014</c:v>
                </c:pt>
                <c:pt idx="2">
                  <c:v>2015</c:v>
                </c:pt>
                <c:pt idx="3">
                  <c:v>2016</c:v>
                </c:pt>
                <c:pt idx="4">
                  <c:v>2017</c:v>
                </c:pt>
              </c:numCache>
            </c:numRef>
          </c:cat>
          <c:val>
            <c:numRef>
              <c:f>Povinny_podiel!$I$56:$M$56</c:f>
              <c:numCache>
                <c:formatCode>General</c:formatCode>
                <c:ptCount val="5"/>
                <c:pt idx="0">
                  <c:v>37.125614662494414</c:v>
                </c:pt>
                <c:pt idx="1">
                  <c:v>38.925294888597641</c:v>
                </c:pt>
                <c:pt idx="2">
                  <c:v>41.721708498458824</c:v>
                </c:pt>
                <c:pt idx="3">
                  <c:v>44.308852895495896</c:v>
                </c:pt>
                <c:pt idx="4">
                  <c:v>47.3739275999163</c:v>
                </c:pt>
              </c:numCache>
            </c:numRef>
          </c:val>
          <c:smooth val="0"/>
          <c:extLst xmlns:c16r2="http://schemas.microsoft.com/office/drawing/2015/06/chart">
            <c:ext xmlns:c16="http://schemas.microsoft.com/office/drawing/2014/chart" uri="{C3380CC4-5D6E-409C-BE32-E72D297353CC}">
              <c16:uniqueId val="{00000001-436D-483B-A5AD-5CE5DCB75D10}"/>
            </c:ext>
          </c:extLst>
        </c:ser>
        <c:ser>
          <c:idx val="2"/>
          <c:order val="2"/>
          <c:tx>
            <c:strRef>
              <c:f>Povinny_podiel!$H$57</c:f>
              <c:strCache>
                <c:ptCount val="1"/>
                <c:pt idx="0">
                  <c:v>Verejné</c:v>
                </c:pt>
              </c:strCache>
            </c:strRef>
          </c:tx>
          <c:spPr>
            <a:ln w="28575" cap="rnd">
              <a:solidFill>
                <a:schemeClr val="accent1">
                  <a:lumMod val="75000"/>
                </a:schemeClr>
              </a:solidFill>
              <a:round/>
            </a:ln>
            <a:effectLst/>
          </c:spPr>
          <c:marker>
            <c:symbol val="none"/>
          </c:marker>
          <c:cat>
            <c:numRef>
              <c:f>Povinny_podiel!$I$54:$M$54</c:f>
              <c:numCache>
                <c:formatCode>General</c:formatCode>
                <c:ptCount val="5"/>
                <c:pt idx="0">
                  <c:v>2013</c:v>
                </c:pt>
                <c:pt idx="1">
                  <c:v>2014</c:v>
                </c:pt>
                <c:pt idx="2">
                  <c:v>2015</c:v>
                </c:pt>
                <c:pt idx="3">
                  <c:v>2016</c:v>
                </c:pt>
                <c:pt idx="4">
                  <c:v>2017</c:v>
                </c:pt>
              </c:numCache>
            </c:numRef>
          </c:cat>
          <c:val>
            <c:numRef>
              <c:f>Povinny_podiel!$I$57:$M$57</c:f>
              <c:numCache>
                <c:formatCode>General</c:formatCode>
                <c:ptCount val="5"/>
                <c:pt idx="0">
                  <c:v>50.901960784313729</c:v>
                </c:pt>
                <c:pt idx="1">
                  <c:v>53.789083200847912</c:v>
                </c:pt>
                <c:pt idx="2">
                  <c:v>57.047517351841968</c:v>
                </c:pt>
                <c:pt idx="3">
                  <c:v>60</c:v>
                </c:pt>
                <c:pt idx="4">
                  <c:v>62.222808870116154</c:v>
                </c:pt>
              </c:numCache>
            </c:numRef>
          </c:val>
          <c:smooth val="0"/>
          <c:extLst xmlns:c16r2="http://schemas.microsoft.com/office/drawing/2015/06/chart">
            <c:ext xmlns:c16="http://schemas.microsoft.com/office/drawing/2014/chart" uri="{C3380CC4-5D6E-409C-BE32-E72D297353CC}">
              <c16:uniqueId val="{00000002-436D-483B-A5AD-5CE5DCB75D10}"/>
            </c:ext>
          </c:extLst>
        </c:ser>
        <c:ser>
          <c:idx val="3"/>
          <c:order val="3"/>
          <c:tx>
            <c:strRef>
              <c:f>Povinny_podiel!$H$58</c:f>
              <c:strCache>
                <c:ptCount val="1"/>
                <c:pt idx="0">
                  <c:v>Zahraničné</c:v>
                </c:pt>
              </c:strCache>
            </c:strRef>
          </c:tx>
          <c:spPr>
            <a:ln w="28575" cap="rnd">
              <a:solidFill>
                <a:schemeClr val="accent1">
                  <a:lumMod val="20000"/>
                  <a:lumOff val="80000"/>
                </a:schemeClr>
              </a:solidFill>
              <a:round/>
            </a:ln>
            <a:effectLst/>
          </c:spPr>
          <c:marker>
            <c:symbol val="none"/>
          </c:marker>
          <c:cat>
            <c:numRef>
              <c:f>Povinny_podiel!$I$54:$M$54</c:f>
              <c:numCache>
                <c:formatCode>General</c:formatCode>
                <c:ptCount val="5"/>
                <c:pt idx="0">
                  <c:v>2013</c:v>
                </c:pt>
                <c:pt idx="1">
                  <c:v>2014</c:v>
                </c:pt>
                <c:pt idx="2">
                  <c:v>2015</c:v>
                </c:pt>
                <c:pt idx="3">
                  <c:v>2016</c:v>
                </c:pt>
                <c:pt idx="4">
                  <c:v>2017</c:v>
                </c:pt>
              </c:numCache>
            </c:numRef>
          </c:cat>
          <c:val>
            <c:numRef>
              <c:f>Povinny_podiel!$I$58:$M$58</c:f>
              <c:numCache>
                <c:formatCode>General</c:formatCode>
                <c:ptCount val="5"/>
                <c:pt idx="0">
                  <c:v>17.905405405405407</c:v>
                </c:pt>
                <c:pt idx="1">
                  <c:v>22.27146814404432</c:v>
                </c:pt>
                <c:pt idx="2">
                  <c:v>23.265974877116331</c:v>
                </c:pt>
                <c:pt idx="3">
                  <c:v>26.225895316804408</c:v>
                </c:pt>
                <c:pt idx="4">
                  <c:v>30.744336569579289</c:v>
                </c:pt>
              </c:numCache>
            </c:numRef>
          </c:val>
          <c:smooth val="0"/>
          <c:extLst xmlns:c16r2="http://schemas.microsoft.com/office/drawing/2015/06/chart">
            <c:ext xmlns:c16="http://schemas.microsoft.com/office/drawing/2014/chart" uri="{C3380CC4-5D6E-409C-BE32-E72D297353CC}">
              <c16:uniqueId val="{00000003-436D-483B-A5AD-5CE5DCB75D10}"/>
            </c:ext>
          </c:extLst>
        </c:ser>
        <c:ser>
          <c:idx val="4"/>
          <c:order val="4"/>
          <c:tx>
            <c:strRef>
              <c:f>Povinny_podiel!$H$59</c:f>
              <c:strCache>
                <c:ptCount val="1"/>
                <c:pt idx="0">
                  <c:v>Medzinárodné</c:v>
                </c:pt>
              </c:strCache>
            </c:strRef>
          </c:tx>
          <c:spPr>
            <a:ln w="28575" cap="rnd">
              <a:solidFill>
                <a:schemeClr val="accent1">
                  <a:lumMod val="60000"/>
                  <a:lumOff val="40000"/>
                </a:schemeClr>
              </a:solidFill>
              <a:round/>
            </a:ln>
            <a:effectLst/>
          </c:spPr>
          <c:marker>
            <c:symbol val="none"/>
          </c:marker>
          <c:cat>
            <c:numRef>
              <c:f>Povinny_podiel!$I$54:$M$54</c:f>
              <c:numCache>
                <c:formatCode>General</c:formatCode>
                <c:ptCount val="5"/>
                <c:pt idx="0">
                  <c:v>2013</c:v>
                </c:pt>
                <c:pt idx="1">
                  <c:v>2014</c:v>
                </c:pt>
                <c:pt idx="2">
                  <c:v>2015</c:v>
                </c:pt>
                <c:pt idx="3">
                  <c:v>2016</c:v>
                </c:pt>
                <c:pt idx="4">
                  <c:v>2017</c:v>
                </c:pt>
              </c:numCache>
            </c:numRef>
          </c:cat>
          <c:val>
            <c:numRef>
              <c:f>Povinny_podiel!$I$59:$M$59</c:f>
              <c:numCache>
                <c:formatCode>General</c:formatCode>
                <c:ptCount val="5"/>
                <c:pt idx="0">
                  <c:v>26.796116504854368</c:v>
                </c:pt>
                <c:pt idx="1">
                  <c:v>28.195488721804512</c:v>
                </c:pt>
                <c:pt idx="2">
                  <c:v>30.0187617260788</c:v>
                </c:pt>
                <c:pt idx="3">
                  <c:v>31.588785046728972</c:v>
                </c:pt>
                <c:pt idx="4">
                  <c:v>37.226277372262771</c:v>
                </c:pt>
              </c:numCache>
            </c:numRef>
          </c:val>
          <c:smooth val="0"/>
          <c:extLst xmlns:c16r2="http://schemas.microsoft.com/office/drawing/2015/06/chart">
            <c:ext xmlns:c16="http://schemas.microsoft.com/office/drawing/2014/chart" uri="{C3380CC4-5D6E-409C-BE32-E72D297353CC}">
              <c16:uniqueId val="{00000004-436D-483B-A5AD-5CE5DCB75D10}"/>
            </c:ext>
          </c:extLst>
        </c:ser>
        <c:ser>
          <c:idx val="5"/>
          <c:order val="5"/>
          <c:tx>
            <c:strRef>
              <c:f>Povinny_podiel!$H$60</c:f>
              <c:strCache>
                <c:ptCount val="1"/>
                <c:pt idx="0">
                  <c:v>Ostatné*</c:v>
                </c:pt>
              </c:strCache>
            </c:strRef>
          </c:tx>
          <c:spPr>
            <a:ln w="28575" cap="rnd">
              <a:solidFill>
                <a:schemeClr val="accent1">
                  <a:lumMod val="50000"/>
                </a:schemeClr>
              </a:solidFill>
              <a:round/>
            </a:ln>
            <a:effectLst/>
          </c:spPr>
          <c:marker>
            <c:symbol val="none"/>
          </c:marker>
          <c:cat>
            <c:numRef>
              <c:f>Povinny_podiel!$I$54:$M$54</c:f>
              <c:numCache>
                <c:formatCode>General</c:formatCode>
                <c:ptCount val="5"/>
                <c:pt idx="0">
                  <c:v>2013</c:v>
                </c:pt>
                <c:pt idx="1">
                  <c:v>2014</c:v>
                </c:pt>
                <c:pt idx="2">
                  <c:v>2015</c:v>
                </c:pt>
                <c:pt idx="3">
                  <c:v>2016</c:v>
                </c:pt>
                <c:pt idx="4">
                  <c:v>2017</c:v>
                </c:pt>
              </c:numCache>
            </c:numRef>
          </c:cat>
          <c:val>
            <c:numRef>
              <c:f>Povinny_podiel!$I$60:$M$60</c:f>
              <c:numCache>
                <c:formatCode>General</c:formatCode>
                <c:ptCount val="5"/>
                <c:pt idx="0">
                  <c:v>61.859838274932613</c:v>
                </c:pt>
                <c:pt idx="1">
                  <c:v>63.6</c:v>
                </c:pt>
                <c:pt idx="2">
                  <c:v>66.263440860215056</c:v>
                </c:pt>
                <c:pt idx="3">
                  <c:v>68.299319727891159</c:v>
                </c:pt>
                <c:pt idx="4">
                  <c:v>69.414893617021278</c:v>
                </c:pt>
              </c:numCache>
            </c:numRef>
          </c:val>
          <c:smooth val="0"/>
          <c:extLst xmlns:c16r2="http://schemas.microsoft.com/office/drawing/2015/06/chart">
            <c:ext xmlns:c16="http://schemas.microsoft.com/office/drawing/2014/chart" uri="{C3380CC4-5D6E-409C-BE32-E72D297353CC}">
              <c16:uniqueId val="{00000005-436D-483B-A5AD-5CE5DCB75D10}"/>
            </c:ext>
          </c:extLst>
        </c:ser>
        <c:dLbls>
          <c:showLegendKey val="0"/>
          <c:showVal val="0"/>
          <c:showCatName val="0"/>
          <c:showSerName val="0"/>
          <c:showPercent val="0"/>
          <c:showBubbleSize val="0"/>
        </c:dLbls>
        <c:smooth val="0"/>
        <c:axId val="222604528"/>
        <c:axId val="222604920"/>
      </c:lineChart>
      <c:catAx>
        <c:axId val="22260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2604920"/>
        <c:crosses val="autoZero"/>
        <c:auto val="1"/>
        <c:lblAlgn val="ctr"/>
        <c:lblOffset val="100"/>
        <c:noMultiLvlLbl val="0"/>
      </c:catAx>
      <c:valAx>
        <c:axId val="222604920"/>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2604528"/>
        <c:crosses val="autoZero"/>
        <c:crossBetween val="between"/>
      </c:valAx>
      <c:spPr>
        <a:noFill/>
        <a:ln>
          <a:noFill/>
        </a:ln>
        <a:effectLst/>
      </c:spPr>
    </c:plotArea>
    <c:legend>
      <c:legendPos val="b"/>
      <c:layout>
        <c:manualLayout>
          <c:xMode val="edge"/>
          <c:yMode val="edge"/>
          <c:x val="4.9056314769164493E-2"/>
          <c:y val="0.82979476523767859"/>
          <c:w val="0.92620316077511589"/>
          <c:h val="0.1702052347623213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83651541885022"/>
          <c:y val="5.0925925925925923E-2"/>
          <c:w val="0.81910234464839038"/>
          <c:h val="0.79186539929520761"/>
        </c:manualLayout>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dPt>
            <c:idx val="19"/>
            <c:marker>
              <c:symbol val="circle"/>
              <c:size val="5"/>
              <c:spPr>
                <a:solidFill>
                  <a:srgbClr val="FF0000"/>
                </a:solidFill>
                <a:ln w="9525">
                  <a:solidFill>
                    <a:srgbClr val="FF0000"/>
                  </a:solidFill>
                </a:ln>
                <a:effectLst/>
              </c:spPr>
            </c:marker>
            <c:bubble3D val="0"/>
          </c:dPt>
          <c:dPt>
            <c:idx val="20"/>
            <c:marker>
              <c:symbol val="circle"/>
              <c:size val="5"/>
              <c:spPr>
                <a:solidFill>
                  <a:schemeClr val="accent1"/>
                </a:solidFill>
                <a:ln w="9525">
                  <a:solidFill>
                    <a:schemeClr val="accent1"/>
                  </a:solidFill>
                </a:ln>
                <a:effectLst/>
              </c:spPr>
            </c:marker>
            <c:bubble3D val="0"/>
          </c:dPt>
          <c:xVal>
            <c:numRef>
              <c:f>Graf!$D$2:$D$33</c:f>
              <c:numCache>
                <c:formatCode>General</c:formatCode>
                <c:ptCount val="32"/>
                <c:pt idx="0">
                  <c:v>56.599360704421997</c:v>
                </c:pt>
                <c:pt idx="1">
                  <c:v>49.939143657684326</c:v>
                </c:pt>
                <c:pt idx="2">
                  <c:v>49.300089478492737</c:v>
                </c:pt>
                <c:pt idx="3">
                  <c:v>48.39874804019928</c:v>
                </c:pt>
                <c:pt idx="4">
                  <c:v>44.442400336265564</c:v>
                </c:pt>
                <c:pt idx="5">
                  <c:v>41.310414671897888</c:v>
                </c:pt>
                <c:pt idx="7">
                  <c:v>38.273018598556519</c:v>
                </c:pt>
                <c:pt idx="8">
                  <c:v>35.398635268211365</c:v>
                </c:pt>
                <c:pt idx="9">
                  <c:v>34.903800487518311</c:v>
                </c:pt>
                <c:pt idx="10">
                  <c:v>33.968526124954224</c:v>
                </c:pt>
                <c:pt idx="11">
                  <c:v>32.928323745727539</c:v>
                </c:pt>
                <c:pt idx="12">
                  <c:v>32.826873660087585</c:v>
                </c:pt>
                <c:pt idx="13">
                  <c:v>31.698727607727051</c:v>
                </c:pt>
                <c:pt idx="14">
                  <c:v>28.508013486862183</c:v>
                </c:pt>
                <c:pt idx="16">
                  <c:v>26.963329315185547</c:v>
                </c:pt>
                <c:pt idx="18">
                  <c:v>26.270043849945068</c:v>
                </c:pt>
                <c:pt idx="19">
                  <c:v>25.457552075386047</c:v>
                </c:pt>
                <c:pt idx="20">
                  <c:v>25.192025303840637</c:v>
                </c:pt>
                <c:pt idx="21">
                  <c:v>23.13075065612793</c:v>
                </c:pt>
                <c:pt idx="22">
                  <c:v>18.992169201374054</c:v>
                </c:pt>
                <c:pt idx="24">
                  <c:v>18.475329875946045</c:v>
                </c:pt>
                <c:pt idx="25">
                  <c:v>12.012147903442383</c:v>
                </c:pt>
                <c:pt idx="26">
                  <c:v>10.575643926858902</c:v>
                </c:pt>
                <c:pt idx="27">
                  <c:v>10.322068631649017</c:v>
                </c:pt>
                <c:pt idx="28">
                  <c:v>6.380452960729599</c:v>
                </c:pt>
                <c:pt idx="29">
                  <c:v>1.4329444617033005</c:v>
                </c:pt>
                <c:pt idx="30">
                  <c:v>1.0536861605942249</c:v>
                </c:pt>
                <c:pt idx="31">
                  <c:v>0.29257549904286861</c:v>
                </c:pt>
              </c:numCache>
            </c:numRef>
          </c:xVal>
          <c:yVal>
            <c:numRef>
              <c:f>Graf!$F$2:$F$33</c:f>
              <c:numCache>
                <c:formatCode>0.0</c:formatCode>
                <c:ptCount val="32"/>
                <c:pt idx="0">
                  <c:v>59.277039950225443</c:v>
                </c:pt>
                <c:pt idx="1">
                  <c:v>23.439398407936096</c:v>
                </c:pt>
                <c:pt idx="2">
                  <c:v>16.803902387619019</c:v>
                </c:pt>
                <c:pt idx="3">
                  <c:v>41.07660122304474</c:v>
                </c:pt>
                <c:pt idx="4">
                  <c:v>31.714412569999695</c:v>
                </c:pt>
                <c:pt idx="5">
                  <c:v>9.4952348278612195</c:v>
                </c:pt>
                <c:pt idx="7">
                  <c:v>8.2489140331745148</c:v>
                </c:pt>
                <c:pt idx="8">
                  <c:v>36.708087426129936</c:v>
                </c:pt>
                <c:pt idx="9">
                  <c:v>37.742659449577332</c:v>
                </c:pt>
                <c:pt idx="10">
                  <c:v>16.305410632846346</c:v>
                </c:pt>
                <c:pt idx="11">
                  <c:v>29.671874642372131</c:v>
                </c:pt>
                <c:pt idx="12">
                  <c:v>19.448208808898926</c:v>
                </c:pt>
                <c:pt idx="13">
                  <c:v>21.037362399002223</c:v>
                </c:pt>
                <c:pt idx="14">
                  <c:v>29.083390764989662</c:v>
                </c:pt>
                <c:pt idx="16">
                  <c:v>54.846340417861938</c:v>
                </c:pt>
                <c:pt idx="18">
                  <c:v>63.342511653900146</c:v>
                </c:pt>
                <c:pt idx="19">
                  <c:v>1.290497463196516</c:v>
                </c:pt>
                <c:pt idx="20">
                  <c:v>32.052531838417053</c:v>
                </c:pt>
                <c:pt idx="21">
                  <c:v>24.841424937497951</c:v>
                </c:pt>
                <c:pt idx="22">
                  <c:v>56.32016658782959</c:v>
                </c:pt>
                <c:pt idx="24">
                  <c:v>56.1470627784729</c:v>
                </c:pt>
                <c:pt idx="25">
                  <c:v>36.408949180827882</c:v>
                </c:pt>
                <c:pt idx="26">
                  <c:v>9.4347365200519562</c:v>
                </c:pt>
                <c:pt idx="27">
                  <c:v>31.349316239356995</c:v>
                </c:pt>
                <c:pt idx="28">
                  <c:v>56.301867075766921</c:v>
                </c:pt>
                <c:pt idx="29">
                  <c:v>31.160139116300748</c:v>
                </c:pt>
                <c:pt idx="30">
                  <c:v>55.445555567915108</c:v>
                </c:pt>
                <c:pt idx="31">
                  <c:v>46.550162680709761</c:v>
                </c:pt>
              </c:numCache>
            </c:numRef>
          </c:yVal>
          <c:smooth val="0"/>
        </c:ser>
        <c:dLbls>
          <c:showLegendKey val="0"/>
          <c:showVal val="0"/>
          <c:showCatName val="0"/>
          <c:showSerName val="0"/>
          <c:showPercent val="0"/>
          <c:showBubbleSize val="0"/>
        </c:dLbls>
        <c:axId val="222605312"/>
        <c:axId val="222605704"/>
      </c:scatterChart>
      <c:valAx>
        <c:axId val="222605312"/>
        <c:scaling>
          <c:orientation val="minMax"/>
          <c:max val="60"/>
        </c:scaling>
        <c:delete val="0"/>
        <c:axPos val="b"/>
        <c:majorGridlines>
          <c:spPr>
            <a:ln w="9525" cap="flat" cmpd="sng" algn="ctr">
              <a:solidFill>
                <a:schemeClr val="tx1">
                  <a:lumMod val="15000"/>
                  <a:lumOff val="85000"/>
                </a:schemeClr>
              </a:solidFill>
              <a:prstDash val="dash"/>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r>
                  <a:rPr lang="en-US">
                    <a:solidFill>
                      <a:sysClr val="windowText" lastClr="000000"/>
                    </a:solidFill>
                    <a:latin typeface="Arial Narrow" panose="020B0606020202030204" pitchFamily="34" charset="0"/>
                  </a:rPr>
                  <a:t>Neformálna starostlivosť</a:t>
                </a:r>
              </a:p>
            </c:rich>
          </c:tx>
          <c:layout>
            <c:manualLayout>
              <c:xMode val="edge"/>
              <c:yMode val="edge"/>
              <c:x val="0.31587812393016085"/>
              <c:y val="0.9231073605839110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2605704"/>
        <c:crosses val="autoZero"/>
        <c:crossBetween val="midCat"/>
        <c:majorUnit val="10"/>
      </c:valAx>
      <c:valAx>
        <c:axId val="222605704"/>
        <c:scaling>
          <c:orientation val="minMax"/>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r>
                  <a:rPr lang="en-US">
                    <a:solidFill>
                      <a:sysClr val="windowText" lastClr="000000"/>
                    </a:solidFill>
                    <a:latin typeface="Arial Narrow" panose="020B0606020202030204" pitchFamily="34" charset="0"/>
                  </a:rPr>
                  <a:t>Formálna starostlivosť</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260531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userShapes r:id="rId4"/>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Graf!$B$1</c:f>
              <c:strCache>
                <c:ptCount val="1"/>
                <c:pt idx="0">
                  <c:v>BA</c:v>
                </c:pt>
              </c:strCache>
            </c:strRef>
          </c:tx>
          <c:spPr>
            <a:solidFill>
              <a:schemeClr val="accent1"/>
            </a:solidFill>
            <a:ln>
              <a:noFill/>
            </a:ln>
            <a:effectLst/>
          </c:spPr>
          <c:invertIfNegative val="0"/>
          <c:cat>
            <c:strRef>
              <c:f>Graf!$A$2:$A$7</c:f>
              <c:strCache>
                <c:ptCount val="6"/>
                <c:pt idx="0">
                  <c:v>&lt; 280</c:v>
                </c:pt>
                <c:pt idx="1">
                  <c:v>280 až 289</c:v>
                </c:pt>
                <c:pt idx="2">
                  <c:v>290 až 349</c:v>
                </c:pt>
                <c:pt idx="3">
                  <c:v>350 až 399</c:v>
                </c:pt>
                <c:pt idx="4">
                  <c:v>400 až 499</c:v>
                </c:pt>
                <c:pt idx="5">
                  <c:v>500 a viac</c:v>
                </c:pt>
              </c:strCache>
            </c:strRef>
          </c:cat>
          <c:val>
            <c:numRef>
              <c:f>Graf!$B$2:$B$7</c:f>
              <c:numCache>
                <c:formatCode>#,##0.00</c:formatCode>
                <c:ptCount val="6"/>
                <c:pt idx="0">
                  <c:v>8</c:v>
                </c:pt>
                <c:pt idx="1">
                  <c:v>137</c:v>
                </c:pt>
                <c:pt idx="2">
                  <c:v>377</c:v>
                </c:pt>
                <c:pt idx="3">
                  <c:v>318</c:v>
                </c:pt>
                <c:pt idx="4">
                  <c:v>130</c:v>
                </c:pt>
                <c:pt idx="5">
                  <c:v>25</c:v>
                </c:pt>
              </c:numCache>
            </c:numRef>
          </c:val>
          <c:extLst xmlns:c16r2="http://schemas.microsoft.com/office/drawing/2015/06/chart">
            <c:ext xmlns:c16="http://schemas.microsoft.com/office/drawing/2014/chart" uri="{C3380CC4-5D6E-409C-BE32-E72D297353CC}">
              <c16:uniqueId val="{00000000-120F-4166-81E0-73EB74094EA8}"/>
            </c:ext>
          </c:extLst>
        </c:ser>
        <c:ser>
          <c:idx val="1"/>
          <c:order val="1"/>
          <c:tx>
            <c:strRef>
              <c:f>Graf!$C$1</c:f>
              <c:strCache>
                <c:ptCount val="1"/>
                <c:pt idx="0">
                  <c:v>TT</c:v>
                </c:pt>
              </c:strCache>
            </c:strRef>
          </c:tx>
          <c:spPr>
            <a:pattFill prst="dkDnDiag">
              <a:fgClr>
                <a:schemeClr val="accent5">
                  <a:lumMod val="50000"/>
                </a:schemeClr>
              </a:fgClr>
              <a:bgClr>
                <a:schemeClr val="bg1"/>
              </a:bgClr>
            </a:pattFill>
            <a:ln>
              <a:noFill/>
            </a:ln>
            <a:effectLst/>
          </c:spPr>
          <c:invertIfNegative val="0"/>
          <c:cat>
            <c:strRef>
              <c:f>Graf!$A$2:$A$7</c:f>
              <c:strCache>
                <c:ptCount val="6"/>
                <c:pt idx="0">
                  <c:v>&lt; 280</c:v>
                </c:pt>
                <c:pt idx="1">
                  <c:v>280 až 289</c:v>
                </c:pt>
                <c:pt idx="2">
                  <c:v>290 až 349</c:v>
                </c:pt>
                <c:pt idx="3">
                  <c:v>350 až 399</c:v>
                </c:pt>
                <c:pt idx="4">
                  <c:v>400 až 499</c:v>
                </c:pt>
                <c:pt idx="5">
                  <c:v>500 a viac</c:v>
                </c:pt>
              </c:strCache>
            </c:strRef>
          </c:cat>
          <c:val>
            <c:numRef>
              <c:f>Graf!$C$2:$C$7</c:f>
              <c:numCache>
                <c:formatCode>#,##0.00</c:formatCode>
                <c:ptCount val="6"/>
                <c:pt idx="0">
                  <c:v>10</c:v>
                </c:pt>
                <c:pt idx="1">
                  <c:v>100</c:v>
                </c:pt>
                <c:pt idx="2">
                  <c:v>92</c:v>
                </c:pt>
                <c:pt idx="3">
                  <c:v>69</c:v>
                </c:pt>
                <c:pt idx="4">
                  <c:v>14</c:v>
                </c:pt>
                <c:pt idx="5">
                  <c:v>0</c:v>
                </c:pt>
              </c:numCache>
            </c:numRef>
          </c:val>
          <c:extLst xmlns:c16r2="http://schemas.microsoft.com/office/drawing/2015/06/chart">
            <c:ext xmlns:c16="http://schemas.microsoft.com/office/drawing/2014/chart" uri="{C3380CC4-5D6E-409C-BE32-E72D297353CC}">
              <c16:uniqueId val="{00000001-120F-4166-81E0-73EB74094EA8}"/>
            </c:ext>
          </c:extLst>
        </c:ser>
        <c:ser>
          <c:idx val="2"/>
          <c:order val="2"/>
          <c:tx>
            <c:strRef>
              <c:f>Graf!$D$1</c:f>
              <c:strCache>
                <c:ptCount val="1"/>
                <c:pt idx="0">
                  <c:v>TN</c:v>
                </c:pt>
              </c:strCache>
            </c:strRef>
          </c:tx>
          <c:spPr>
            <a:solidFill>
              <a:schemeClr val="accent3"/>
            </a:solidFill>
            <a:ln>
              <a:noFill/>
            </a:ln>
            <a:effectLst/>
          </c:spPr>
          <c:invertIfNegative val="0"/>
          <c:cat>
            <c:strRef>
              <c:f>Graf!$A$2:$A$7</c:f>
              <c:strCache>
                <c:ptCount val="6"/>
                <c:pt idx="0">
                  <c:v>&lt; 280</c:v>
                </c:pt>
                <c:pt idx="1">
                  <c:v>280 až 289</c:v>
                </c:pt>
                <c:pt idx="2">
                  <c:v>290 až 349</c:v>
                </c:pt>
                <c:pt idx="3">
                  <c:v>350 až 399</c:v>
                </c:pt>
                <c:pt idx="4">
                  <c:v>400 až 499</c:v>
                </c:pt>
                <c:pt idx="5">
                  <c:v>500 a viac</c:v>
                </c:pt>
              </c:strCache>
            </c:strRef>
          </c:cat>
          <c:val>
            <c:numRef>
              <c:f>Graf!$D$2:$D$7</c:f>
              <c:numCache>
                <c:formatCode>#,##0.00</c:formatCode>
                <c:ptCount val="6"/>
                <c:pt idx="0">
                  <c:v>3</c:v>
                </c:pt>
                <c:pt idx="1">
                  <c:v>15</c:v>
                </c:pt>
                <c:pt idx="2">
                  <c:v>80</c:v>
                </c:pt>
                <c:pt idx="3">
                  <c:v>36</c:v>
                </c:pt>
                <c:pt idx="4">
                  <c:v>10</c:v>
                </c:pt>
                <c:pt idx="5">
                  <c:v>1</c:v>
                </c:pt>
              </c:numCache>
            </c:numRef>
          </c:val>
          <c:extLst xmlns:c16r2="http://schemas.microsoft.com/office/drawing/2015/06/chart">
            <c:ext xmlns:c16="http://schemas.microsoft.com/office/drawing/2014/chart" uri="{C3380CC4-5D6E-409C-BE32-E72D297353CC}">
              <c16:uniqueId val="{00000002-120F-4166-81E0-73EB74094EA8}"/>
            </c:ext>
          </c:extLst>
        </c:ser>
        <c:ser>
          <c:idx val="3"/>
          <c:order val="3"/>
          <c:tx>
            <c:strRef>
              <c:f>Graf!$E$1</c:f>
              <c:strCache>
                <c:ptCount val="1"/>
                <c:pt idx="0">
                  <c:v>NI</c:v>
                </c:pt>
              </c:strCache>
            </c:strRef>
          </c:tx>
          <c:spPr>
            <a:pattFill prst="pct25">
              <a:fgClr>
                <a:schemeClr val="accent5">
                  <a:lumMod val="75000"/>
                </a:schemeClr>
              </a:fgClr>
              <a:bgClr>
                <a:schemeClr val="bg1"/>
              </a:bgClr>
            </a:pattFill>
            <a:ln>
              <a:noFill/>
            </a:ln>
            <a:effectLst/>
          </c:spPr>
          <c:invertIfNegative val="0"/>
          <c:cat>
            <c:strRef>
              <c:f>Graf!$A$2:$A$7</c:f>
              <c:strCache>
                <c:ptCount val="6"/>
                <c:pt idx="0">
                  <c:v>&lt; 280</c:v>
                </c:pt>
                <c:pt idx="1">
                  <c:v>280 až 289</c:v>
                </c:pt>
                <c:pt idx="2">
                  <c:v>290 až 349</c:v>
                </c:pt>
                <c:pt idx="3">
                  <c:v>350 až 399</c:v>
                </c:pt>
                <c:pt idx="4">
                  <c:v>400 až 499</c:v>
                </c:pt>
                <c:pt idx="5">
                  <c:v>500 a viac</c:v>
                </c:pt>
              </c:strCache>
            </c:strRef>
          </c:cat>
          <c:val>
            <c:numRef>
              <c:f>Graf!$E$2:$E$7</c:f>
              <c:numCache>
                <c:formatCode>#,##0.00</c:formatCode>
                <c:ptCount val="6"/>
                <c:pt idx="0">
                  <c:v>9</c:v>
                </c:pt>
                <c:pt idx="1">
                  <c:v>107</c:v>
                </c:pt>
                <c:pt idx="2">
                  <c:v>139</c:v>
                </c:pt>
                <c:pt idx="3">
                  <c:v>26</c:v>
                </c:pt>
                <c:pt idx="4">
                  <c:v>3</c:v>
                </c:pt>
                <c:pt idx="5">
                  <c:v>1</c:v>
                </c:pt>
              </c:numCache>
            </c:numRef>
          </c:val>
          <c:extLst xmlns:c16r2="http://schemas.microsoft.com/office/drawing/2015/06/chart">
            <c:ext xmlns:c16="http://schemas.microsoft.com/office/drawing/2014/chart" uri="{C3380CC4-5D6E-409C-BE32-E72D297353CC}">
              <c16:uniqueId val="{00000003-120F-4166-81E0-73EB74094EA8}"/>
            </c:ext>
          </c:extLst>
        </c:ser>
        <c:ser>
          <c:idx val="4"/>
          <c:order val="4"/>
          <c:tx>
            <c:strRef>
              <c:f>Graf!$F$1</c:f>
              <c:strCache>
                <c:ptCount val="1"/>
                <c:pt idx="0">
                  <c:v>ZA</c:v>
                </c:pt>
              </c:strCache>
            </c:strRef>
          </c:tx>
          <c:spPr>
            <a:solidFill>
              <a:schemeClr val="accent5"/>
            </a:solidFill>
            <a:ln>
              <a:noFill/>
            </a:ln>
            <a:effectLst/>
          </c:spPr>
          <c:invertIfNegative val="0"/>
          <c:cat>
            <c:strRef>
              <c:f>Graf!$A$2:$A$7</c:f>
              <c:strCache>
                <c:ptCount val="6"/>
                <c:pt idx="0">
                  <c:v>&lt; 280</c:v>
                </c:pt>
                <c:pt idx="1">
                  <c:v>280 až 289</c:v>
                </c:pt>
                <c:pt idx="2">
                  <c:v>290 až 349</c:v>
                </c:pt>
                <c:pt idx="3">
                  <c:v>350 až 399</c:v>
                </c:pt>
                <c:pt idx="4">
                  <c:v>400 až 499</c:v>
                </c:pt>
                <c:pt idx="5">
                  <c:v>500 a viac</c:v>
                </c:pt>
              </c:strCache>
            </c:strRef>
          </c:cat>
          <c:val>
            <c:numRef>
              <c:f>Graf!$F$2:$F$7</c:f>
              <c:numCache>
                <c:formatCode>#,##0.00</c:formatCode>
                <c:ptCount val="6"/>
                <c:pt idx="0">
                  <c:v>6</c:v>
                </c:pt>
                <c:pt idx="1">
                  <c:v>126</c:v>
                </c:pt>
                <c:pt idx="2">
                  <c:v>106</c:v>
                </c:pt>
                <c:pt idx="3">
                  <c:v>21</c:v>
                </c:pt>
                <c:pt idx="4">
                  <c:v>15</c:v>
                </c:pt>
                <c:pt idx="5">
                  <c:v>1</c:v>
                </c:pt>
              </c:numCache>
            </c:numRef>
          </c:val>
          <c:extLst xmlns:c16r2="http://schemas.microsoft.com/office/drawing/2015/06/chart">
            <c:ext xmlns:c16="http://schemas.microsoft.com/office/drawing/2014/chart" uri="{C3380CC4-5D6E-409C-BE32-E72D297353CC}">
              <c16:uniqueId val="{00000004-120F-4166-81E0-73EB74094EA8}"/>
            </c:ext>
          </c:extLst>
        </c:ser>
        <c:ser>
          <c:idx val="5"/>
          <c:order val="5"/>
          <c:tx>
            <c:strRef>
              <c:f>Graf!$G$1</c:f>
              <c:strCache>
                <c:ptCount val="1"/>
                <c:pt idx="0">
                  <c:v>BB</c:v>
                </c:pt>
              </c:strCache>
            </c:strRef>
          </c:tx>
          <c:spPr>
            <a:pattFill prst="dkUpDiag">
              <a:fgClr>
                <a:schemeClr val="accent3"/>
              </a:fgClr>
              <a:bgClr>
                <a:schemeClr val="bg1"/>
              </a:bgClr>
            </a:pattFill>
            <a:ln>
              <a:noFill/>
            </a:ln>
            <a:effectLst/>
          </c:spPr>
          <c:invertIfNegative val="0"/>
          <c:cat>
            <c:strRef>
              <c:f>Graf!$A$2:$A$7</c:f>
              <c:strCache>
                <c:ptCount val="6"/>
                <c:pt idx="0">
                  <c:v>&lt; 280</c:v>
                </c:pt>
                <c:pt idx="1">
                  <c:v>280 až 289</c:v>
                </c:pt>
                <c:pt idx="2">
                  <c:v>290 až 349</c:v>
                </c:pt>
                <c:pt idx="3">
                  <c:v>350 až 399</c:v>
                </c:pt>
                <c:pt idx="4">
                  <c:v>400 až 499</c:v>
                </c:pt>
                <c:pt idx="5">
                  <c:v>500 a viac</c:v>
                </c:pt>
              </c:strCache>
            </c:strRef>
          </c:cat>
          <c:val>
            <c:numRef>
              <c:f>Graf!$G$2:$G$7</c:f>
              <c:numCache>
                <c:formatCode>#,##0.00</c:formatCode>
                <c:ptCount val="6"/>
                <c:pt idx="0">
                  <c:v>8</c:v>
                </c:pt>
                <c:pt idx="1">
                  <c:v>120</c:v>
                </c:pt>
                <c:pt idx="2">
                  <c:v>67</c:v>
                </c:pt>
                <c:pt idx="3">
                  <c:v>33</c:v>
                </c:pt>
                <c:pt idx="4">
                  <c:v>7</c:v>
                </c:pt>
                <c:pt idx="5">
                  <c:v>4</c:v>
                </c:pt>
              </c:numCache>
            </c:numRef>
          </c:val>
          <c:extLst xmlns:c16r2="http://schemas.microsoft.com/office/drawing/2015/06/chart">
            <c:ext xmlns:c16="http://schemas.microsoft.com/office/drawing/2014/chart" uri="{C3380CC4-5D6E-409C-BE32-E72D297353CC}">
              <c16:uniqueId val="{00000005-120F-4166-81E0-73EB74094EA8}"/>
            </c:ext>
          </c:extLst>
        </c:ser>
        <c:ser>
          <c:idx val="6"/>
          <c:order val="6"/>
          <c:tx>
            <c:strRef>
              <c:f>Graf!$H$1</c:f>
              <c:strCache>
                <c:ptCount val="1"/>
                <c:pt idx="0">
                  <c:v>PE</c:v>
                </c:pt>
              </c:strCache>
            </c:strRef>
          </c:tx>
          <c:spPr>
            <a:solidFill>
              <a:schemeClr val="accent1">
                <a:lumMod val="50000"/>
              </a:schemeClr>
            </a:solidFill>
            <a:ln>
              <a:noFill/>
            </a:ln>
            <a:effectLst/>
          </c:spPr>
          <c:invertIfNegative val="0"/>
          <c:cat>
            <c:strRef>
              <c:f>Graf!$A$2:$A$7</c:f>
              <c:strCache>
                <c:ptCount val="6"/>
                <c:pt idx="0">
                  <c:v>&lt; 280</c:v>
                </c:pt>
                <c:pt idx="1">
                  <c:v>280 až 289</c:v>
                </c:pt>
                <c:pt idx="2">
                  <c:v>290 až 349</c:v>
                </c:pt>
                <c:pt idx="3">
                  <c:v>350 až 399</c:v>
                </c:pt>
                <c:pt idx="4">
                  <c:v>400 až 499</c:v>
                </c:pt>
                <c:pt idx="5">
                  <c:v>500 a viac</c:v>
                </c:pt>
              </c:strCache>
            </c:strRef>
          </c:cat>
          <c:val>
            <c:numRef>
              <c:f>Graf!$H$2:$H$7</c:f>
              <c:numCache>
                <c:formatCode>#,##0.00</c:formatCode>
                <c:ptCount val="6"/>
                <c:pt idx="0">
                  <c:v>5</c:v>
                </c:pt>
                <c:pt idx="1">
                  <c:v>136</c:v>
                </c:pt>
                <c:pt idx="2">
                  <c:v>27</c:v>
                </c:pt>
                <c:pt idx="3">
                  <c:v>7</c:v>
                </c:pt>
                <c:pt idx="4">
                  <c:v>5</c:v>
                </c:pt>
                <c:pt idx="5">
                  <c:v>0</c:v>
                </c:pt>
              </c:numCache>
            </c:numRef>
          </c:val>
          <c:extLst xmlns:c16r2="http://schemas.microsoft.com/office/drawing/2015/06/chart">
            <c:ext xmlns:c16="http://schemas.microsoft.com/office/drawing/2014/chart" uri="{C3380CC4-5D6E-409C-BE32-E72D297353CC}">
              <c16:uniqueId val="{00000006-120F-4166-81E0-73EB74094EA8}"/>
            </c:ext>
          </c:extLst>
        </c:ser>
        <c:ser>
          <c:idx val="7"/>
          <c:order val="7"/>
          <c:tx>
            <c:strRef>
              <c:f>Graf!$I$1</c:f>
              <c:strCache>
                <c:ptCount val="1"/>
                <c:pt idx="0">
                  <c:v>KE</c:v>
                </c:pt>
              </c:strCache>
            </c:strRef>
          </c:tx>
          <c:spPr>
            <a:solidFill>
              <a:schemeClr val="accent3">
                <a:lumMod val="40000"/>
                <a:lumOff val="60000"/>
              </a:schemeClr>
            </a:solidFill>
            <a:ln>
              <a:noFill/>
            </a:ln>
            <a:effectLst/>
          </c:spPr>
          <c:invertIfNegative val="0"/>
          <c:cat>
            <c:strRef>
              <c:f>Graf!$A$2:$A$7</c:f>
              <c:strCache>
                <c:ptCount val="6"/>
                <c:pt idx="0">
                  <c:v>&lt; 280</c:v>
                </c:pt>
                <c:pt idx="1">
                  <c:v>280 až 289</c:v>
                </c:pt>
                <c:pt idx="2">
                  <c:v>290 až 349</c:v>
                </c:pt>
                <c:pt idx="3">
                  <c:v>350 až 399</c:v>
                </c:pt>
                <c:pt idx="4">
                  <c:v>400 až 499</c:v>
                </c:pt>
                <c:pt idx="5">
                  <c:v>500 a viac</c:v>
                </c:pt>
              </c:strCache>
            </c:strRef>
          </c:cat>
          <c:val>
            <c:numRef>
              <c:f>Graf!$I$2:$I$7</c:f>
              <c:numCache>
                <c:formatCode>#,##0.00</c:formatCode>
                <c:ptCount val="6"/>
                <c:pt idx="0">
                  <c:v>14</c:v>
                </c:pt>
                <c:pt idx="1">
                  <c:v>211</c:v>
                </c:pt>
                <c:pt idx="2">
                  <c:v>87</c:v>
                </c:pt>
                <c:pt idx="3">
                  <c:v>10</c:v>
                </c:pt>
                <c:pt idx="4">
                  <c:v>2</c:v>
                </c:pt>
                <c:pt idx="5">
                  <c:v>0</c:v>
                </c:pt>
              </c:numCache>
            </c:numRef>
          </c:val>
          <c:extLst xmlns:c16r2="http://schemas.microsoft.com/office/drawing/2015/06/chart">
            <c:ext xmlns:c16="http://schemas.microsoft.com/office/drawing/2014/chart" uri="{C3380CC4-5D6E-409C-BE32-E72D297353CC}">
              <c16:uniqueId val="{00000007-120F-4166-81E0-73EB74094EA8}"/>
            </c:ext>
          </c:extLst>
        </c:ser>
        <c:dLbls>
          <c:showLegendKey val="0"/>
          <c:showVal val="0"/>
          <c:showCatName val="0"/>
          <c:showSerName val="0"/>
          <c:showPercent val="0"/>
          <c:showBubbleSize val="0"/>
        </c:dLbls>
        <c:gapWidth val="150"/>
        <c:overlap val="100"/>
        <c:axId val="222606880"/>
        <c:axId val="222607272"/>
      </c:barChart>
      <c:catAx>
        <c:axId val="222606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2607272"/>
        <c:crosses val="autoZero"/>
        <c:auto val="1"/>
        <c:lblAlgn val="ctr"/>
        <c:lblOffset val="100"/>
        <c:noMultiLvlLbl val="0"/>
      </c:catAx>
      <c:valAx>
        <c:axId val="222607272"/>
        <c:scaling>
          <c:orientation val="minMax"/>
          <c:max val="1000"/>
        </c:scaling>
        <c:delete val="0"/>
        <c:axPos val="l"/>
        <c:majorGridlines>
          <c:spPr>
            <a:ln w="9525" cap="flat" cmpd="sng" algn="ctr">
              <a:solidFill>
                <a:schemeClr val="tx1">
                  <a:lumMod val="15000"/>
                  <a:lumOff val="85000"/>
                </a:schemeClr>
              </a:solidFill>
              <a:prstDash val="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2606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49474654226216"/>
          <c:y val="0.13466717701953923"/>
          <c:w val="0.84252824196348497"/>
          <c:h val="0.7336194954797316"/>
        </c:manualLayout>
      </c:layout>
      <c:barChart>
        <c:barDir val="col"/>
        <c:grouping val="clustered"/>
        <c:varyColors val="0"/>
        <c:ser>
          <c:idx val="1"/>
          <c:order val="1"/>
          <c:tx>
            <c:strRef>
              <c:f>'Time series ZM a HN'!$A$41</c:f>
              <c:strCache>
                <c:ptCount val="1"/>
                <c:pt idx="0">
                  <c:v>Ročné výdavky (milión Eur)</c:v>
                </c:pt>
              </c:strCache>
            </c:strRef>
          </c:tx>
          <c:spPr>
            <a:solidFill>
              <a:schemeClr val="accent1"/>
            </a:solidFill>
            <a:ln>
              <a:noFill/>
            </a:ln>
            <a:effectLst/>
          </c:spPr>
          <c:invertIfNegative val="0"/>
          <c:cat>
            <c:numRef>
              <c:f>'Time series ZM a HN'!$B$39:$O$39</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'Time series ZM a HN'!$B$41:$O$41</c:f>
              <c:numCache>
                <c:formatCode>0.000</c:formatCode>
                <c:ptCount val="14"/>
                <c:pt idx="0">
                  <c:v>234.26684591382858</c:v>
                </c:pt>
                <c:pt idx="1">
                  <c:v>256.64538936466835</c:v>
                </c:pt>
                <c:pt idx="2">
                  <c:v>256.51653057159928</c:v>
                </c:pt>
                <c:pt idx="3">
                  <c:v>205.85361481776539</c:v>
                </c:pt>
                <c:pt idx="4">
                  <c:v>233.476159</c:v>
                </c:pt>
                <c:pt idx="5">
                  <c:v>283.23879199999999</c:v>
                </c:pt>
                <c:pt idx="6">
                  <c:v>273.44336499999997</c:v>
                </c:pt>
                <c:pt idx="7">
                  <c:v>269.99393300000003</c:v>
                </c:pt>
                <c:pt idx="8">
                  <c:v>270.57639699999999</c:v>
                </c:pt>
                <c:pt idx="9">
                  <c:v>245.903547</c:v>
                </c:pt>
                <c:pt idx="10">
                  <c:v>213.68579700000001</c:v>
                </c:pt>
                <c:pt idx="11">
                  <c:v>183.004863</c:v>
                </c:pt>
                <c:pt idx="12">
                  <c:v>154.49973499999999</c:v>
                </c:pt>
                <c:pt idx="13">
                  <c:v>126.251149</c:v>
                </c:pt>
              </c:numCache>
            </c:numRef>
          </c:val>
          <c:extLst xmlns:c16r2="http://schemas.microsoft.com/office/drawing/2015/06/chart">
            <c:ext xmlns:c16="http://schemas.microsoft.com/office/drawing/2014/chart" uri="{C3380CC4-5D6E-409C-BE32-E72D297353CC}">
              <c16:uniqueId val="{00000000-64F3-47EF-A239-08B24B2F4B0D}"/>
            </c:ext>
          </c:extLst>
        </c:ser>
        <c:dLbls>
          <c:showLegendKey val="0"/>
          <c:showVal val="0"/>
          <c:showCatName val="0"/>
          <c:showSerName val="0"/>
          <c:showPercent val="0"/>
          <c:showBubbleSize val="0"/>
        </c:dLbls>
        <c:gapWidth val="150"/>
        <c:axId val="221395816"/>
        <c:axId val="221396208"/>
      </c:barChart>
      <c:lineChart>
        <c:grouping val="standard"/>
        <c:varyColors val="0"/>
        <c:ser>
          <c:idx val="0"/>
          <c:order val="0"/>
          <c:tx>
            <c:strRef>
              <c:f>'Time series ZM a HN'!$A$40</c:f>
              <c:strCache>
                <c:ptCount val="1"/>
                <c:pt idx="0">
                  <c:v>Počet príjemcov PHN (tisíc)</c:v>
                </c:pt>
              </c:strCache>
            </c:strRef>
          </c:tx>
          <c:spPr>
            <a:ln w="28575" cap="rnd">
              <a:solidFill>
                <a:schemeClr val="tx2"/>
              </a:solidFill>
              <a:round/>
            </a:ln>
            <a:effectLst/>
          </c:spPr>
          <c:marker>
            <c:symbol val="none"/>
          </c:marker>
          <c:cat>
            <c:numRef>
              <c:f>'Time series ZM a HN'!$B$39:$O$39</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'Time series ZM a HN'!$B$40:$O$40</c:f>
              <c:numCache>
                <c:formatCode>General</c:formatCode>
                <c:ptCount val="14"/>
                <c:pt idx="0">
                  <c:v>175.74600000000001</c:v>
                </c:pt>
                <c:pt idx="1">
                  <c:v>181.2</c:v>
                </c:pt>
                <c:pt idx="2">
                  <c:v>197.20599999999999</c:v>
                </c:pt>
                <c:pt idx="3">
                  <c:v>165.71299999999999</c:v>
                </c:pt>
                <c:pt idx="4">
                  <c:v>164.70699999999999</c:v>
                </c:pt>
                <c:pt idx="5">
                  <c:v>189.65299999999999</c:v>
                </c:pt>
                <c:pt idx="6">
                  <c:v>187.13900000000001</c:v>
                </c:pt>
                <c:pt idx="7">
                  <c:v>183.083</c:v>
                </c:pt>
                <c:pt idx="8">
                  <c:v>184.886</c:v>
                </c:pt>
                <c:pt idx="9">
                  <c:v>162.904</c:v>
                </c:pt>
                <c:pt idx="10">
                  <c:v>128.04</c:v>
                </c:pt>
                <c:pt idx="11">
                  <c:v>105.59</c:v>
                </c:pt>
                <c:pt idx="12">
                  <c:v>87.727000000000004</c:v>
                </c:pt>
                <c:pt idx="13" formatCode="0.000">
                  <c:v>72.024000000000001</c:v>
                </c:pt>
              </c:numCache>
            </c:numRef>
          </c:val>
          <c:smooth val="0"/>
          <c:extLst xmlns:c16r2="http://schemas.microsoft.com/office/drawing/2015/06/chart">
            <c:ext xmlns:c16="http://schemas.microsoft.com/office/drawing/2014/chart" uri="{C3380CC4-5D6E-409C-BE32-E72D297353CC}">
              <c16:uniqueId val="{00000001-64F3-47EF-A239-08B24B2F4B0D}"/>
            </c:ext>
          </c:extLst>
        </c:ser>
        <c:dLbls>
          <c:showLegendKey val="0"/>
          <c:showVal val="0"/>
          <c:showCatName val="0"/>
          <c:showSerName val="0"/>
          <c:showPercent val="0"/>
          <c:showBubbleSize val="0"/>
        </c:dLbls>
        <c:marker val="1"/>
        <c:smooth val="0"/>
        <c:axId val="221395816"/>
        <c:axId val="221396208"/>
      </c:lineChart>
      <c:catAx>
        <c:axId val="221395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1396208"/>
        <c:crosses val="autoZero"/>
        <c:auto val="1"/>
        <c:lblAlgn val="ctr"/>
        <c:lblOffset val="100"/>
        <c:noMultiLvlLbl val="0"/>
      </c:catAx>
      <c:valAx>
        <c:axId val="221396208"/>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1395816"/>
        <c:crosses val="autoZero"/>
        <c:crossBetween val="between"/>
      </c:valAx>
      <c:spPr>
        <a:noFill/>
        <a:ln>
          <a:noFill/>
        </a:ln>
        <a:effectLst/>
      </c:spPr>
    </c:plotArea>
    <c:legend>
      <c:legendPos val="t"/>
      <c:layout>
        <c:manualLayout>
          <c:xMode val="edge"/>
          <c:yMode val="edge"/>
          <c:x val="1.2704728523354639E-2"/>
          <c:y val="0"/>
          <c:w val="0.98729527147664531"/>
          <c:h val="0.1197208574856876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sk-SK"/>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63202602869529"/>
          <c:y val="5.0925925925925923E-2"/>
          <c:w val="0.83950961401390323"/>
          <c:h val="0.67452537182852157"/>
        </c:manualLayout>
      </c:layout>
      <c:lineChart>
        <c:grouping val="standard"/>
        <c:varyColors val="0"/>
        <c:ser>
          <c:idx val="0"/>
          <c:order val="0"/>
          <c:tx>
            <c:strRef>
              <c:f>'Time series ZM a HN'!$A$15</c:f>
              <c:strCache>
                <c:ptCount val="1"/>
                <c:pt idx="0">
                  <c:v>ŽM: jednotlivec</c:v>
                </c:pt>
              </c:strCache>
            </c:strRef>
          </c:tx>
          <c:spPr>
            <a:ln w="28575" cap="rnd">
              <a:solidFill>
                <a:schemeClr val="accent1"/>
              </a:solidFill>
              <a:round/>
            </a:ln>
            <a:effectLst/>
          </c:spPr>
          <c:marker>
            <c:symbol val="none"/>
          </c:marker>
          <c:cat>
            <c:numRef>
              <c:f>'Time series ZM a HN'!$B$14:$O$14</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'Time series ZM a HN'!$B$15:$O$15</c:f>
              <c:numCache>
                <c:formatCode>General</c:formatCode>
                <c:ptCount val="14"/>
                <c:pt idx="0">
                  <c:v>50.106471396439204</c:v>
                </c:pt>
                <c:pt idx="1">
                  <c:v>46.727696405652573</c:v>
                </c:pt>
                <c:pt idx="2">
                  <c:v>41.64008244573985</c:v>
                </c:pt>
                <c:pt idx="3">
                  <c:v>39.962450865972031</c:v>
                </c:pt>
                <c:pt idx="4">
                  <c:v>39.186739552107213</c:v>
                </c:pt>
                <c:pt idx="5">
                  <c:v>36.36882833787466</c:v>
                </c:pt>
                <c:pt idx="6">
                  <c:v>36.119873150105711</c:v>
                </c:pt>
                <c:pt idx="7">
                  <c:v>33.709720885466801</c:v>
                </c:pt>
                <c:pt idx="8">
                  <c:v>35.285700148441364</c:v>
                </c:pt>
                <c:pt idx="9">
                  <c:v>34.905726872246696</c:v>
                </c:pt>
                <c:pt idx="10">
                  <c:v>34.301298701298698</c:v>
                </c:pt>
                <c:pt idx="11">
                  <c:v>34.194389834572043</c:v>
                </c:pt>
                <c:pt idx="12">
                  <c:v>33.323805104408351</c:v>
                </c:pt>
                <c:pt idx="13">
                  <c:v>32.987131367292221</c:v>
                </c:pt>
              </c:numCache>
            </c:numRef>
          </c:val>
          <c:smooth val="0"/>
          <c:extLst xmlns:c16r2="http://schemas.microsoft.com/office/drawing/2015/06/chart">
            <c:ext xmlns:c16="http://schemas.microsoft.com/office/drawing/2014/chart" uri="{C3380CC4-5D6E-409C-BE32-E72D297353CC}">
              <c16:uniqueId val="{00000000-3D7B-4268-A951-4343FB29FDBC}"/>
            </c:ext>
          </c:extLst>
        </c:ser>
        <c:ser>
          <c:idx val="1"/>
          <c:order val="1"/>
          <c:tx>
            <c:strRef>
              <c:f>'Time series ZM a HN'!$A$16</c:f>
              <c:strCache>
                <c:ptCount val="1"/>
                <c:pt idx="0">
                  <c:v>ŽM: dvojica s 2 deťmi</c:v>
                </c:pt>
              </c:strCache>
            </c:strRef>
          </c:tx>
          <c:spPr>
            <a:ln w="28575" cap="rnd">
              <a:solidFill>
                <a:schemeClr val="accent3"/>
              </a:solidFill>
              <a:round/>
            </a:ln>
            <a:effectLst/>
          </c:spPr>
          <c:marker>
            <c:symbol val="none"/>
          </c:marker>
          <c:cat>
            <c:numRef>
              <c:f>'Time series ZM a HN'!$B$14:$O$14</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'Time series ZM a HN'!$B$16:$O$16</c:f>
              <c:numCache>
                <c:formatCode>General</c:formatCode>
                <c:ptCount val="14"/>
                <c:pt idx="0">
                  <c:v>62.203388820107072</c:v>
                </c:pt>
                <c:pt idx="1">
                  <c:v>58.08578972521881</c:v>
                </c:pt>
                <c:pt idx="2">
                  <c:v>51.754877343984532</c:v>
                </c:pt>
                <c:pt idx="3">
                  <c:v>49.675398602780263</c:v>
                </c:pt>
                <c:pt idx="4">
                  <c:v>48.706297229219139</c:v>
                </c:pt>
                <c:pt idx="5">
                  <c:v>45.207629427792916</c:v>
                </c:pt>
                <c:pt idx="6">
                  <c:v>44.908244178728758</c:v>
                </c:pt>
                <c:pt idx="7">
                  <c:v>41.903208065994498</c:v>
                </c:pt>
                <c:pt idx="8">
                  <c:v>43.85986570856403</c:v>
                </c:pt>
                <c:pt idx="9">
                  <c:v>43.394685314685319</c:v>
                </c:pt>
                <c:pt idx="10">
                  <c:v>42.639303710490154</c:v>
                </c:pt>
                <c:pt idx="11">
                  <c:v>42.512719799040873</c:v>
                </c:pt>
                <c:pt idx="12">
                  <c:v>41.426052369903879</c:v>
                </c:pt>
                <c:pt idx="13">
                  <c:v>41.022988505747129</c:v>
                </c:pt>
              </c:numCache>
            </c:numRef>
          </c:val>
          <c:smooth val="0"/>
          <c:extLst xmlns:c16r2="http://schemas.microsoft.com/office/drawing/2015/06/chart">
            <c:ext xmlns:c16="http://schemas.microsoft.com/office/drawing/2014/chart" uri="{C3380CC4-5D6E-409C-BE32-E72D297353CC}">
              <c16:uniqueId val="{00000001-3D7B-4268-A951-4343FB29FDBC}"/>
            </c:ext>
          </c:extLst>
        </c:ser>
        <c:ser>
          <c:idx val="2"/>
          <c:order val="2"/>
          <c:tx>
            <c:strRef>
              <c:f>'Time series ZM a HN'!$A$17</c:f>
              <c:strCache>
                <c:ptCount val="1"/>
                <c:pt idx="0">
                  <c:v>PHN: jednotlivec</c:v>
                </c:pt>
              </c:strCache>
            </c:strRef>
          </c:tx>
          <c:spPr>
            <a:ln w="28575" cap="rnd">
              <a:solidFill>
                <a:schemeClr val="accent1"/>
              </a:solidFill>
              <a:prstDash val="sysDash"/>
              <a:round/>
            </a:ln>
            <a:effectLst/>
          </c:spPr>
          <c:marker>
            <c:symbol val="none"/>
          </c:marker>
          <c:cat>
            <c:numRef>
              <c:f>'Time series ZM a HN'!$B$14:$O$14</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'Time series ZM a HN'!$B$17:$O$17</c:f>
              <c:numCache>
                <c:formatCode>General</c:formatCode>
                <c:ptCount val="14"/>
                <c:pt idx="0">
                  <c:v>28.160613769316601</c:v>
                </c:pt>
                <c:pt idx="1">
                  <c:v>28.461983754447015</c:v>
                </c:pt>
                <c:pt idx="2">
                  <c:v>25.839037515062731</c:v>
                </c:pt>
                <c:pt idx="3">
                  <c:v>24.343236922067067</c:v>
                </c:pt>
                <c:pt idx="4">
                  <c:v>24.221477693528477</c:v>
                </c:pt>
                <c:pt idx="5">
                  <c:v>23.208719346049048</c:v>
                </c:pt>
                <c:pt idx="6">
                  <c:v>22.509513742071881</c:v>
                </c:pt>
                <c:pt idx="7">
                  <c:v>20.494706448508182</c:v>
                </c:pt>
                <c:pt idx="8">
                  <c:v>21.072736269173678</c:v>
                </c:pt>
                <c:pt idx="9">
                  <c:v>20.687224669603523</c:v>
                </c:pt>
                <c:pt idx="10">
                  <c:v>20.329004329004331</c:v>
                </c:pt>
                <c:pt idx="11">
                  <c:v>20.26564373052026</c:v>
                </c:pt>
                <c:pt idx="12">
                  <c:v>19.612064965197213</c:v>
                </c:pt>
                <c:pt idx="13">
                  <c:v>18.884718498659517</c:v>
                </c:pt>
              </c:numCache>
            </c:numRef>
          </c:val>
          <c:smooth val="0"/>
          <c:extLst xmlns:c16r2="http://schemas.microsoft.com/office/drawing/2015/06/chart">
            <c:ext xmlns:c16="http://schemas.microsoft.com/office/drawing/2014/chart" uri="{C3380CC4-5D6E-409C-BE32-E72D297353CC}">
              <c16:uniqueId val="{00000002-3D7B-4268-A951-4343FB29FDBC}"/>
            </c:ext>
          </c:extLst>
        </c:ser>
        <c:ser>
          <c:idx val="3"/>
          <c:order val="3"/>
          <c:tx>
            <c:strRef>
              <c:f>'Time series ZM a HN'!$A$18</c:f>
              <c:strCache>
                <c:ptCount val="1"/>
                <c:pt idx="0">
                  <c:v>PHN: dvojica s 2 deťmi</c:v>
                </c:pt>
              </c:strCache>
            </c:strRef>
          </c:tx>
          <c:spPr>
            <a:ln w="28575" cap="rnd">
              <a:solidFill>
                <a:schemeClr val="accent3"/>
              </a:solidFill>
              <a:prstDash val="sysDash"/>
              <a:round/>
            </a:ln>
            <a:effectLst/>
          </c:spPr>
          <c:marker>
            <c:symbol val="none"/>
          </c:marker>
          <c:cat>
            <c:numRef>
              <c:f>'Time series ZM a HN'!$B$14:$O$14</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'Time series ZM a HN'!$B$18:$O$18</c:f>
              <c:numCache>
                <c:formatCode>General</c:formatCode>
                <c:ptCount val="14"/>
                <c:pt idx="0">
                  <c:v>28.47835603321203</c:v>
                </c:pt>
                <c:pt idx="1">
                  <c:v>27.598197015597545</c:v>
                </c:pt>
                <c:pt idx="2">
                  <c:v>25.059307053534951</c:v>
                </c:pt>
                <c:pt idx="3">
                  <c:v>24.066853859911308</c:v>
                </c:pt>
                <c:pt idx="4">
                  <c:v>28.1551637279597</c:v>
                </c:pt>
                <c:pt idx="5">
                  <c:v>27.017516543402103</c:v>
                </c:pt>
                <c:pt idx="6">
                  <c:v>26.208181246066708</c:v>
                </c:pt>
                <c:pt idx="7">
                  <c:v>23.857011915673692</c:v>
                </c:pt>
                <c:pt idx="8">
                  <c:v>24.528684179526447</c:v>
                </c:pt>
                <c:pt idx="9">
                  <c:v>23.832167832167833</c:v>
                </c:pt>
                <c:pt idx="10">
                  <c:v>23.417315620705452</c:v>
                </c:pt>
                <c:pt idx="11">
                  <c:v>23.347796300525232</c:v>
                </c:pt>
                <c:pt idx="12">
                  <c:v>22.591978786874378</c:v>
                </c:pt>
                <c:pt idx="13">
                  <c:v>21.762452107279692</c:v>
                </c:pt>
              </c:numCache>
            </c:numRef>
          </c:val>
          <c:smooth val="0"/>
          <c:extLst xmlns:c16r2="http://schemas.microsoft.com/office/drawing/2015/06/chart">
            <c:ext xmlns:c16="http://schemas.microsoft.com/office/drawing/2014/chart" uri="{C3380CC4-5D6E-409C-BE32-E72D297353CC}">
              <c16:uniqueId val="{00000003-3D7B-4268-A951-4343FB29FDBC}"/>
            </c:ext>
          </c:extLst>
        </c:ser>
        <c:dLbls>
          <c:showLegendKey val="0"/>
          <c:showVal val="0"/>
          <c:showCatName val="0"/>
          <c:showSerName val="0"/>
          <c:showPercent val="0"/>
          <c:showBubbleSize val="0"/>
        </c:dLbls>
        <c:smooth val="0"/>
        <c:axId val="221397384"/>
        <c:axId val="221397776"/>
      </c:lineChart>
      <c:catAx>
        <c:axId val="221397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1397776"/>
        <c:crosses val="autoZero"/>
        <c:auto val="1"/>
        <c:lblAlgn val="ctr"/>
        <c:lblOffset val="100"/>
        <c:noMultiLvlLbl val="0"/>
      </c:catAx>
      <c:valAx>
        <c:axId val="221397776"/>
        <c:scaling>
          <c:orientation val="minMax"/>
          <c:min val="0"/>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1397384"/>
        <c:crosses val="autoZero"/>
        <c:crossBetween val="between"/>
      </c:valAx>
      <c:spPr>
        <a:noFill/>
        <a:ln>
          <a:noFill/>
        </a:ln>
        <a:effectLst/>
      </c:spPr>
    </c:plotArea>
    <c:legend>
      <c:legendPos val="b"/>
      <c:layout>
        <c:manualLayout>
          <c:xMode val="edge"/>
          <c:yMode val="edge"/>
          <c:x val="2.2237803258943523E-2"/>
          <c:y val="0.86382234698004134"/>
          <c:w val="0.95463392954474935"/>
          <c:h val="0.1335761154855643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sk-SK"/>
    </a:p>
  </c:txPr>
  <c:externalData r:id="rId3">
    <c:autoUpdate val="0"/>
  </c:externalData>
  <c:userShapes r:id="rId4"/>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694663167104106E-2"/>
          <c:y val="9.2592592592592587E-2"/>
          <c:w val="0.90674978127734029"/>
          <c:h val="0.63121569573918201"/>
        </c:manualLayout>
      </c:layout>
      <c:barChart>
        <c:barDir val="col"/>
        <c:grouping val="clustered"/>
        <c:varyColors val="0"/>
        <c:ser>
          <c:idx val="0"/>
          <c:order val="0"/>
          <c:tx>
            <c:strRef>
              <c:f>'Country compare'!$H$2</c:f>
              <c:strCache>
                <c:ptCount val="1"/>
                <c:pt idx="0">
                  <c:v>Jednotlivec</c:v>
                </c:pt>
              </c:strCache>
            </c:strRef>
          </c:tx>
          <c:spPr>
            <a:solidFill>
              <a:schemeClr val="accent1"/>
            </a:solidFill>
            <a:ln>
              <a:noFill/>
            </a:ln>
            <a:effectLst/>
          </c:spPr>
          <c:invertIfNegative val="0"/>
          <c:cat>
            <c:strRef>
              <c:f>'Country compare'!$G$3:$G$30</c:f>
              <c:strCache>
                <c:ptCount val="28"/>
                <c:pt idx="0">
                  <c:v>Dánsko</c:v>
                </c:pt>
                <c:pt idx="1">
                  <c:v>Poľsko</c:v>
                </c:pt>
                <c:pt idx="2">
                  <c:v>Spojené Kráľ.</c:v>
                </c:pt>
                <c:pt idx="3">
                  <c:v>Írsko</c:v>
                </c:pt>
                <c:pt idx="4">
                  <c:v>Nemecko</c:v>
                </c:pt>
                <c:pt idx="5">
                  <c:v>Slovinsko</c:v>
                </c:pt>
                <c:pt idx="6">
                  <c:v>Fínsko</c:v>
                </c:pt>
                <c:pt idx="7">
                  <c:v>Holandsko</c:v>
                </c:pt>
                <c:pt idx="8">
                  <c:v>Rakúsko</c:v>
                </c:pt>
                <c:pt idx="9">
                  <c:v>Belgicko</c:v>
                </c:pt>
                <c:pt idx="10">
                  <c:v>Francúzsko</c:v>
                </c:pt>
                <c:pt idx="11">
                  <c:v>Cyprus</c:v>
                </c:pt>
                <c:pt idx="12">
                  <c:v>Litva</c:v>
                </c:pt>
                <c:pt idx="13">
                  <c:v>Luxembursko</c:v>
                </c:pt>
                <c:pt idx="14">
                  <c:v>Chorvátsko</c:v>
                </c:pt>
                <c:pt idx="15">
                  <c:v>Estónsko</c:v>
                </c:pt>
                <c:pt idx="16">
                  <c:v>Malta</c:v>
                </c:pt>
                <c:pt idx="17">
                  <c:v>Švédsko</c:v>
                </c:pt>
                <c:pt idx="18">
                  <c:v>Česká Rep.</c:v>
                </c:pt>
                <c:pt idx="19">
                  <c:v>Portugalsko</c:v>
                </c:pt>
                <c:pt idx="20">
                  <c:v>Bulharsko</c:v>
                </c:pt>
                <c:pt idx="21">
                  <c:v>Lotyšsko</c:v>
                </c:pt>
                <c:pt idx="22">
                  <c:v>Grécko</c:v>
                </c:pt>
                <c:pt idx="23">
                  <c:v>Španielsko</c:v>
                </c:pt>
                <c:pt idx="24">
                  <c:v>Slovensko</c:v>
                </c:pt>
                <c:pt idx="25">
                  <c:v>Maďarsko</c:v>
                </c:pt>
                <c:pt idx="26">
                  <c:v>Rumunsko</c:v>
                </c:pt>
                <c:pt idx="27">
                  <c:v>Taliansko</c:v>
                </c:pt>
              </c:strCache>
            </c:strRef>
          </c:cat>
          <c:val>
            <c:numRef>
              <c:f>'Country compare'!$H$3:$H$30</c:f>
              <c:numCache>
                <c:formatCode>General</c:formatCode>
                <c:ptCount val="28"/>
                <c:pt idx="0">
                  <c:v>63</c:v>
                </c:pt>
                <c:pt idx="1">
                  <c:v>28</c:v>
                </c:pt>
                <c:pt idx="2">
                  <c:v>54</c:v>
                </c:pt>
                <c:pt idx="3">
                  <c:v>64</c:v>
                </c:pt>
                <c:pt idx="4">
                  <c:v>46</c:v>
                </c:pt>
                <c:pt idx="5">
                  <c:v>30</c:v>
                </c:pt>
                <c:pt idx="6">
                  <c:v>53</c:v>
                </c:pt>
                <c:pt idx="7">
                  <c:v>60</c:v>
                </c:pt>
                <c:pt idx="8">
                  <c:v>42</c:v>
                </c:pt>
                <c:pt idx="9">
                  <c:v>40</c:v>
                </c:pt>
                <c:pt idx="10">
                  <c:v>40</c:v>
                </c:pt>
                <c:pt idx="11">
                  <c:v>47</c:v>
                </c:pt>
                <c:pt idx="12">
                  <c:v>22</c:v>
                </c:pt>
                <c:pt idx="13">
                  <c:v>45</c:v>
                </c:pt>
                <c:pt idx="14">
                  <c:v>27</c:v>
                </c:pt>
                <c:pt idx="15">
                  <c:v>30</c:v>
                </c:pt>
                <c:pt idx="16">
                  <c:v>49</c:v>
                </c:pt>
                <c:pt idx="17">
                  <c:v>47</c:v>
                </c:pt>
                <c:pt idx="18">
                  <c:v>44</c:v>
                </c:pt>
                <c:pt idx="19">
                  <c:v>22</c:v>
                </c:pt>
                <c:pt idx="20">
                  <c:v>14</c:v>
                </c:pt>
                <c:pt idx="21">
                  <c:v>24</c:v>
                </c:pt>
                <c:pt idx="22">
                  <c:v>28</c:v>
                </c:pt>
                <c:pt idx="23">
                  <c:v>30</c:v>
                </c:pt>
                <c:pt idx="24">
                  <c:v>17</c:v>
                </c:pt>
                <c:pt idx="25">
                  <c:v>15</c:v>
                </c:pt>
                <c:pt idx="26">
                  <c:v>11</c:v>
                </c:pt>
                <c:pt idx="27">
                  <c:v>0</c:v>
                </c:pt>
              </c:numCache>
            </c:numRef>
          </c:val>
          <c:extLst xmlns:c16r2="http://schemas.microsoft.com/office/drawing/2015/06/chart">
            <c:ext xmlns:c16="http://schemas.microsoft.com/office/drawing/2014/chart" uri="{C3380CC4-5D6E-409C-BE32-E72D297353CC}">
              <c16:uniqueId val="{00000000-34E1-4317-9026-80067F335BE5}"/>
            </c:ext>
          </c:extLst>
        </c:ser>
        <c:ser>
          <c:idx val="1"/>
          <c:order val="1"/>
          <c:tx>
            <c:strRef>
              <c:f>'Country compare'!$I$2</c:f>
              <c:strCache>
                <c:ptCount val="1"/>
                <c:pt idx="0">
                  <c:v>Manželia s dvoma deťmi</c:v>
                </c:pt>
              </c:strCache>
            </c:strRef>
          </c:tx>
          <c:spPr>
            <a:solidFill>
              <a:schemeClr val="accent3"/>
            </a:solidFill>
            <a:ln>
              <a:noFill/>
            </a:ln>
            <a:effectLst/>
          </c:spPr>
          <c:invertIfNegative val="0"/>
          <c:cat>
            <c:strRef>
              <c:f>'Country compare'!$G$3:$G$30</c:f>
              <c:strCache>
                <c:ptCount val="28"/>
                <c:pt idx="0">
                  <c:v>Dánsko</c:v>
                </c:pt>
                <c:pt idx="1">
                  <c:v>Poľsko</c:v>
                </c:pt>
                <c:pt idx="2">
                  <c:v>Spojené Kráľ.</c:v>
                </c:pt>
                <c:pt idx="3">
                  <c:v>Írsko</c:v>
                </c:pt>
                <c:pt idx="4">
                  <c:v>Nemecko</c:v>
                </c:pt>
                <c:pt idx="5">
                  <c:v>Slovinsko</c:v>
                </c:pt>
                <c:pt idx="6">
                  <c:v>Fínsko</c:v>
                </c:pt>
                <c:pt idx="7">
                  <c:v>Holandsko</c:v>
                </c:pt>
                <c:pt idx="8">
                  <c:v>Rakúsko</c:v>
                </c:pt>
                <c:pt idx="9">
                  <c:v>Belgicko</c:v>
                </c:pt>
                <c:pt idx="10">
                  <c:v>Francúzsko</c:v>
                </c:pt>
                <c:pt idx="11">
                  <c:v>Cyprus</c:v>
                </c:pt>
                <c:pt idx="12">
                  <c:v>Litva</c:v>
                </c:pt>
                <c:pt idx="13">
                  <c:v>Luxembursko</c:v>
                </c:pt>
                <c:pt idx="14">
                  <c:v>Chorvátsko</c:v>
                </c:pt>
                <c:pt idx="15">
                  <c:v>Estónsko</c:v>
                </c:pt>
                <c:pt idx="16">
                  <c:v>Malta</c:v>
                </c:pt>
                <c:pt idx="17">
                  <c:v>Švédsko</c:v>
                </c:pt>
                <c:pt idx="18">
                  <c:v>Česká Rep.</c:v>
                </c:pt>
                <c:pt idx="19">
                  <c:v>Portugalsko</c:v>
                </c:pt>
                <c:pt idx="20">
                  <c:v>Bulharsko</c:v>
                </c:pt>
                <c:pt idx="21">
                  <c:v>Lotyšsko</c:v>
                </c:pt>
                <c:pt idx="22">
                  <c:v>Grécko</c:v>
                </c:pt>
                <c:pt idx="23">
                  <c:v>Španielsko</c:v>
                </c:pt>
                <c:pt idx="24">
                  <c:v>Slovensko</c:v>
                </c:pt>
                <c:pt idx="25">
                  <c:v>Maďarsko</c:v>
                </c:pt>
                <c:pt idx="26">
                  <c:v>Rumunsko</c:v>
                </c:pt>
                <c:pt idx="27">
                  <c:v>Taliansko</c:v>
                </c:pt>
              </c:strCache>
            </c:strRef>
          </c:cat>
          <c:val>
            <c:numRef>
              <c:f>'Country compare'!$I$3:$I$30</c:f>
              <c:numCache>
                <c:formatCode>General</c:formatCode>
                <c:ptCount val="28"/>
                <c:pt idx="0">
                  <c:v>60</c:v>
                </c:pt>
                <c:pt idx="1">
                  <c:v>59</c:v>
                </c:pt>
                <c:pt idx="2">
                  <c:v>58</c:v>
                </c:pt>
                <c:pt idx="3">
                  <c:v>55</c:v>
                </c:pt>
                <c:pt idx="4">
                  <c:v>53</c:v>
                </c:pt>
                <c:pt idx="5">
                  <c:v>53</c:v>
                </c:pt>
                <c:pt idx="6">
                  <c:v>49</c:v>
                </c:pt>
                <c:pt idx="7">
                  <c:v>49</c:v>
                </c:pt>
                <c:pt idx="8">
                  <c:v>48</c:v>
                </c:pt>
                <c:pt idx="9">
                  <c:v>47</c:v>
                </c:pt>
                <c:pt idx="10">
                  <c:v>47</c:v>
                </c:pt>
                <c:pt idx="11">
                  <c:v>45</c:v>
                </c:pt>
                <c:pt idx="12">
                  <c:v>43</c:v>
                </c:pt>
                <c:pt idx="13">
                  <c:v>43</c:v>
                </c:pt>
                <c:pt idx="14">
                  <c:v>42</c:v>
                </c:pt>
                <c:pt idx="15">
                  <c:v>41</c:v>
                </c:pt>
                <c:pt idx="16">
                  <c:v>39</c:v>
                </c:pt>
                <c:pt idx="17">
                  <c:v>38</c:v>
                </c:pt>
                <c:pt idx="18">
                  <c:v>37</c:v>
                </c:pt>
                <c:pt idx="19">
                  <c:v>32</c:v>
                </c:pt>
                <c:pt idx="20">
                  <c:v>32</c:v>
                </c:pt>
                <c:pt idx="21">
                  <c:v>31</c:v>
                </c:pt>
                <c:pt idx="22">
                  <c:v>28</c:v>
                </c:pt>
                <c:pt idx="23">
                  <c:v>28</c:v>
                </c:pt>
                <c:pt idx="24">
                  <c:v>22</c:v>
                </c:pt>
                <c:pt idx="25">
                  <c:v>21</c:v>
                </c:pt>
                <c:pt idx="26">
                  <c:v>18</c:v>
                </c:pt>
                <c:pt idx="27">
                  <c:v>14</c:v>
                </c:pt>
              </c:numCache>
            </c:numRef>
          </c:val>
          <c:extLst xmlns:c16r2="http://schemas.microsoft.com/office/drawing/2015/06/chart">
            <c:ext xmlns:c16="http://schemas.microsoft.com/office/drawing/2014/chart" uri="{C3380CC4-5D6E-409C-BE32-E72D297353CC}">
              <c16:uniqueId val="{00000001-34E1-4317-9026-80067F335BE5}"/>
            </c:ext>
          </c:extLst>
        </c:ser>
        <c:dLbls>
          <c:showLegendKey val="0"/>
          <c:showVal val="0"/>
          <c:showCatName val="0"/>
          <c:showSerName val="0"/>
          <c:showPercent val="0"/>
          <c:showBubbleSize val="0"/>
        </c:dLbls>
        <c:gapWidth val="219"/>
        <c:overlap val="-27"/>
        <c:axId val="221398560"/>
        <c:axId val="221398952"/>
      </c:barChart>
      <c:lineChart>
        <c:grouping val="standard"/>
        <c:varyColors val="0"/>
        <c:ser>
          <c:idx val="2"/>
          <c:order val="2"/>
          <c:tx>
            <c:strRef>
              <c:f>'Country compare'!$J$2</c:f>
              <c:strCache>
                <c:ptCount val="1"/>
              </c:strCache>
            </c:strRef>
          </c:tx>
          <c:spPr>
            <a:ln w="22225" cap="rnd">
              <a:solidFill>
                <a:schemeClr val="accent1"/>
              </a:solidFill>
              <a:prstDash val="sysDash"/>
              <a:round/>
            </a:ln>
            <a:effectLst/>
          </c:spPr>
          <c:marker>
            <c:symbol val="none"/>
          </c:marker>
          <c:cat>
            <c:strRef>
              <c:f>'Country compare'!$G$3:$G$30</c:f>
              <c:strCache>
                <c:ptCount val="28"/>
                <c:pt idx="0">
                  <c:v>Dánsko</c:v>
                </c:pt>
                <c:pt idx="1">
                  <c:v>Poľsko</c:v>
                </c:pt>
                <c:pt idx="2">
                  <c:v>Spojené Kráľ.</c:v>
                </c:pt>
                <c:pt idx="3">
                  <c:v>Írsko</c:v>
                </c:pt>
                <c:pt idx="4">
                  <c:v>Nemecko</c:v>
                </c:pt>
                <c:pt idx="5">
                  <c:v>Slovinsko</c:v>
                </c:pt>
                <c:pt idx="6">
                  <c:v>Fínsko</c:v>
                </c:pt>
                <c:pt idx="7">
                  <c:v>Holandsko</c:v>
                </c:pt>
                <c:pt idx="8">
                  <c:v>Rakúsko</c:v>
                </c:pt>
                <c:pt idx="9">
                  <c:v>Belgicko</c:v>
                </c:pt>
                <c:pt idx="10">
                  <c:v>Francúzsko</c:v>
                </c:pt>
                <c:pt idx="11">
                  <c:v>Cyprus</c:v>
                </c:pt>
                <c:pt idx="12">
                  <c:v>Litva</c:v>
                </c:pt>
                <c:pt idx="13">
                  <c:v>Luxembursko</c:v>
                </c:pt>
                <c:pt idx="14">
                  <c:v>Chorvátsko</c:v>
                </c:pt>
                <c:pt idx="15">
                  <c:v>Estónsko</c:v>
                </c:pt>
                <c:pt idx="16">
                  <c:v>Malta</c:v>
                </c:pt>
                <c:pt idx="17">
                  <c:v>Švédsko</c:v>
                </c:pt>
                <c:pt idx="18">
                  <c:v>Česká Rep.</c:v>
                </c:pt>
                <c:pt idx="19">
                  <c:v>Portugalsko</c:v>
                </c:pt>
                <c:pt idx="20">
                  <c:v>Bulharsko</c:v>
                </c:pt>
                <c:pt idx="21">
                  <c:v>Lotyšsko</c:v>
                </c:pt>
                <c:pt idx="22">
                  <c:v>Grécko</c:v>
                </c:pt>
                <c:pt idx="23">
                  <c:v>Španielsko</c:v>
                </c:pt>
                <c:pt idx="24">
                  <c:v>Slovensko</c:v>
                </c:pt>
                <c:pt idx="25">
                  <c:v>Maďarsko</c:v>
                </c:pt>
                <c:pt idx="26">
                  <c:v>Rumunsko</c:v>
                </c:pt>
                <c:pt idx="27">
                  <c:v>Taliansko</c:v>
                </c:pt>
              </c:strCache>
            </c:strRef>
          </c:cat>
          <c:val>
            <c:numRef>
              <c:f>'Country compare'!$J$3:$J$30</c:f>
              <c:numCache>
                <c:formatCode>General</c:formatCode>
                <c:ptCount val="28"/>
                <c:pt idx="0">
                  <c:v>42.266666666666666</c:v>
                </c:pt>
                <c:pt idx="1">
                  <c:v>42.266666666666666</c:v>
                </c:pt>
                <c:pt idx="2">
                  <c:v>42.266666666666666</c:v>
                </c:pt>
                <c:pt idx="3">
                  <c:v>42.266666666666666</c:v>
                </c:pt>
                <c:pt idx="4">
                  <c:v>42.266666666666666</c:v>
                </c:pt>
                <c:pt idx="5">
                  <c:v>42.266666666666666</c:v>
                </c:pt>
                <c:pt idx="6">
                  <c:v>42.266666666666666</c:v>
                </c:pt>
                <c:pt idx="7">
                  <c:v>42.266666666666666</c:v>
                </c:pt>
                <c:pt idx="8">
                  <c:v>42.266666666666666</c:v>
                </c:pt>
                <c:pt idx="9">
                  <c:v>42.266666666666666</c:v>
                </c:pt>
                <c:pt idx="10">
                  <c:v>42.266666666666666</c:v>
                </c:pt>
                <c:pt idx="11">
                  <c:v>42.266666666666666</c:v>
                </c:pt>
                <c:pt idx="12">
                  <c:v>42.266666666666666</c:v>
                </c:pt>
                <c:pt idx="13">
                  <c:v>42.266666666666666</c:v>
                </c:pt>
                <c:pt idx="14">
                  <c:v>42.266666666666666</c:v>
                </c:pt>
                <c:pt idx="15">
                  <c:v>42.266666666666666</c:v>
                </c:pt>
                <c:pt idx="16">
                  <c:v>42.266666666666666</c:v>
                </c:pt>
                <c:pt idx="17">
                  <c:v>42.266666666666666</c:v>
                </c:pt>
                <c:pt idx="18">
                  <c:v>42.266666666666666</c:v>
                </c:pt>
                <c:pt idx="19">
                  <c:v>42.266666666666666</c:v>
                </c:pt>
                <c:pt idx="20">
                  <c:v>42.266666666666666</c:v>
                </c:pt>
                <c:pt idx="21">
                  <c:v>42.266666666666666</c:v>
                </c:pt>
                <c:pt idx="22">
                  <c:v>42.266666666666666</c:v>
                </c:pt>
                <c:pt idx="23">
                  <c:v>42.266666666666666</c:v>
                </c:pt>
                <c:pt idx="24">
                  <c:v>42.266666666666666</c:v>
                </c:pt>
                <c:pt idx="25">
                  <c:v>42.266666666666666</c:v>
                </c:pt>
                <c:pt idx="26">
                  <c:v>42.266666666666666</c:v>
                </c:pt>
                <c:pt idx="27">
                  <c:v>42.266666666666666</c:v>
                </c:pt>
              </c:numCache>
            </c:numRef>
          </c:val>
          <c:smooth val="0"/>
          <c:extLst xmlns:c16r2="http://schemas.microsoft.com/office/drawing/2015/06/chart">
            <c:ext xmlns:c16="http://schemas.microsoft.com/office/drawing/2014/chart" uri="{C3380CC4-5D6E-409C-BE32-E72D297353CC}">
              <c16:uniqueId val="{00000000-2E3A-4246-ACEA-CB1B8C7A7693}"/>
            </c:ext>
          </c:extLst>
        </c:ser>
        <c:ser>
          <c:idx val="3"/>
          <c:order val="3"/>
          <c:tx>
            <c:strRef>
              <c:f>'Country compare'!$K$2</c:f>
              <c:strCache>
                <c:ptCount val="1"/>
              </c:strCache>
            </c:strRef>
          </c:tx>
          <c:spPr>
            <a:ln w="22225" cap="rnd">
              <a:solidFill>
                <a:schemeClr val="accent3"/>
              </a:solidFill>
              <a:prstDash val="sysDash"/>
              <a:round/>
            </a:ln>
            <a:effectLst/>
          </c:spPr>
          <c:marker>
            <c:symbol val="none"/>
          </c:marker>
          <c:cat>
            <c:strRef>
              <c:f>'Country compare'!$G$3:$G$30</c:f>
              <c:strCache>
                <c:ptCount val="28"/>
                <c:pt idx="0">
                  <c:v>Dánsko</c:v>
                </c:pt>
                <c:pt idx="1">
                  <c:v>Poľsko</c:v>
                </c:pt>
                <c:pt idx="2">
                  <c:v>Spojené Kráľ.</c:v>
                </c:pt>
                <c:pt idx="3">
                  <c:v>Írsko</c:v>
                </c:pt>
                <c:pt idx="4">
                  <c:v>Nemecko</c:v>
                </c:pt>
                <c:pt idx="5">
                  <c:v>Slovinsko</c:v>
                </c:pt>
                <c:pt idx="6">
                  <c:v>Fínsko</c:v>
                </c:pt>
                <c:pt idx="7">
                  <c:v>Holandsko</c:v>
                </c:pt>
                <c:pt idx="8">
                  <c:v>Rakúsko</c:v>
                </c:pt>
                <c:pt idx="9">
                  <c:v>Belgicko</c:v>
                </c:pt>
                <c:pt idx="10">
                  <c:v>Francúzsko</c:v>
                </c:pt>
                <c:pt idx="11">
                  <c:v>Cyprus</c:v>
                </c:pt>
                <c:pt idx="12">
                  <c:v>Litva</c:v>
                </c:pt>
                <c:pt idx="13">
                  <c:v>Luxembursko</c:v>
                </c:pt>
                <c:pt idx="14">
                  <c:v>Chorvátsko</c:v>
                </c:pt>
                <c:pt idx="15">
                  <c:v>Estónsko</c:v>
                </c:pt>
                <c:pt idx="16">
                  <c:v>Malta</c:v>
                </c:pt>
                <c:pt idx="17">
                  <c:v>Švédsko</c:v>
                </c:pt>
                <c:pt idx="18">
                  <c:v>Česká Rep.</c:v>
                </c:pt>
                <c:pt idx="19">
                  <c:v>Portugalsko</c:v>
                </c:pt>
                <c:pt idx="20">
                  <c:v>Bulharsko</c:v>
                </c:pt>
                <c:pt idx="21">
                  <c:v>Lotyšsko</c:v>
                </c:pt>
                <c:pt idx="22">
                  <c:v>Grécko</c:v>
                </c:pt>
                <c:pt idx="23">
                  <c:v>Španielsko</c:v>
                </c:pt>
                <c:pt idx="24">
                  <c:v>Slovensko</c:v>
                </c:pt>
                <c:pt idx="25">
                  <c:v>Maďarsko</c:v>
                </c:pt>
                <c:pt idx="26">
                  <c:v>Rumunsko</c:v>
                </c:pt>
                <c:pt idx="27">
                  <c:v>Taliansko</c:v>
                </c:pt>
              </c:strCache>
            </c:strRef>
          </c:cat>
          <c:val>
            <c:numRef>
              <c:f>'Country compare'!$K$3:$K$30</c:f>
              <c:numCache>
                <c:formatCode>General</c:formatCode>
                <c:ptCount val="28"/>
                <c:pt idx="0">
                  <c:v>43.266666666666666</c:v>
                </c:pt>
                <c:pt idx="1">
                  <c:v>43.266666666666666</c:v>
                </c:pt>
                <c:pt idx="2">
                  <c:v>43.266666666666666</c:v>
                </c:pt>
                <c:pt idx="3">
                  <c:v>43.266666666666666</c:v>
                </c:pt>
                <c:pt idx="4">
                  <c:v>43.266666666666666</c:v>
                </c:pt>
                <c:pt idx="5">
                  <c:v>43.266666666666666</c:v>
                </c:pt>
                <c:pt idx="6">
                  <c:v>43.266666666666666</c:v>
                </c:pt>
                <c:pt idx="7">
                  <c:v>43.266666666666666</c:v>
                </c:pt>
                <c:pt idx="8">
                  <c:v>43.266666666666666</c:v>
                </c:pt>
                <c:pt idx="9">
                  <c:v>43.266666666666666</c:v>
                </c:pt>
                <c:pt idx="10">
                  <c:v>43.266666666666666</c:v>
                </c:pt>
                <c:pt idx="11">
                  <c:v>43.266666666666666</c:v>
                </c:pt>
                <c:pt idx="12">
                  <c:v>43.266666666666666</c:v>
                </c:pt>
                <c:pt idx="13">
                  <c:v>43.266666666666666</c:v>
                </c:pt>
                <c:pt idx="14">
                  <c:v>43.266666666666666</c:v>
                </c:pt>
                <c:pt idx="15">
                  <c:v>43.266666666666666</c:v>
                </c:pt>
                <c:pt idx="16">
                  <c:v>43.266666666666666</c:v>
                </c:pt>
                <c:pt idx="17">
                  <c:v>43.266666666666666</c:v>
                </c:pt>
                <c:pt idx="18">
                  <c:v>43.266666666666666</c:v>
                </c:pt>
                <c:pt idx="19">
                  <c:v>43.266666666666666</c:v>
                </c:pt>
                <c:pt idx="20">
                  <c:v>43.266666666666666</c:v>
                </c:pt>
                <c:pt idx="21">
                  <c:v>43.266666666666666</c:v>
                </c:pt>
                <c:pt idx="22">
                  <c:v>43.266666666666666</c:v>
                </c:pt>
                <c:pt idx="23">
                  <c:v>43.266666666666666</c:v>
                </c:pt>
                <c:pt idx="24">
                  <c:v>43.266666666666666</c:v>
                </c:pt>
                <c:pt idx="25">
                  <c:v>43.266666666666666</c:v>
                </c:pt>
                <c:pt idx="26">
                  <c:v>43.266666666666666</c:v>
                </c:pt>
                <c:pt idx="27">
                  <c:v>43.266666666666666</c:v>
                </c:pt>
              </c:numCache>
            </c:numRef>
          </c:val>
          <c:smooth val="0"/>
          <c:extLst xmlns:c16r2="http://schemas.microsoft.com/office/drawing/2015/06/chart">
            <c:ext xmlns:c16="http://schemas.microsoft.com/office/drawing/2014/chart" uri="{C3380CC4-5D6E-409C-BE32-E72D297353CC}">
              <c16:uniqueId val="{00000001-2E3A-4246-ACEA-CB1B8C7A7693}"/>
            </c:ext>
          </c:extLst>
        </c:ser>
        <c:dLbls>
          <c:showLegendKey val="0"/>
          <c:showVal val="0"/>
          <c:showCatName val="0"/>
          <c:showSerName val="0"/>
          <c:showPercent val="0"/>
          <c:showBubbleSize val="0"/>
        </c:dLbls>
        <c:marker val="1"/>
        <c:smooth val="0"/>
        <c:axId val="221398560"/>
        <c:axId val="221398952"/>
      </c:lineChart>
      <c:catAx>
        <c:axId val="221398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1398952"/>
        <c:crosses val="autoZero"/>
        <c:auto val="1"/>
        <c:lblAlgn val="ctr"/>
        <c:lblOffset val="100"/>
        <c:noMultiLvlLbl val="0"/>
      </c:catAx>
      <c:valAx>
        <c:axId val="221398952"/>
        <c:scaling>
          <c:orientation val="minMax"/>
          <c:max val="70"/>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1398560"/>
        <c:crosses val="autoZero"/>
        <c:crossBetween val="between"/>
      </c:valAx>
      <c:spPr>
        <a:noFill/>
        <a:ln>
          <a:noFill/>
        </a:ln>
        <a:effectLst/>
      </c:spPr>
    </c:plotArea>
    <c:legend>
      <c:legendPos val="b"/>
      <c:layout>
        <c:manualLayout>
          <c:xMode val="edge"/>
          <c:yMode val="edge"/>
          <c:x val="0.23929351372514901"/>
          <c:y val="1.3480971128608923E-2"/>
          <c:w val="0.55935596448234026"/>
          <c:h val="7.448199183435404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sk-SK"/>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189149846315004E-2"/>
          <c:y val="5.0925925925925923E-2"/>
          <c:w val="0.85990579770625897"/>
          <c:h val="0.82155037911927675"/>
        </c:manualLayout>
      </c:layout>
      <c:barChart>
        <c:barDir val="col"/>
        <c:grouping val="clustered"/>
        <c:varyColors val="0"/>
        <c:ser>
          <c:idx val="0"/>
          <c:order val="0"/>
          <c:tx>
            <c:strRef>
              <c:f>'Porovnanie skupin SK EU'!$B$2</c:f>
              <c:strCache>
                <c:ptCount val="1"/>
                <c:pt idx="0">
                  <c:v>SR</c:v>
                </c:pt>
              </c:strCache>
            </c:strRef>
          </c:tx>
          <c:spPr>
            <a:solidFill>
              <a:schemeClr val="accent1"/>
            </a:solidFill>
            <a:ln>
              <a:noFill/>
            </a:ln>
            <a:effectLst/>
          </c:spPr>
          <c:invertIfNegative val="0"/>
          <c:cat>
            <c:strRef>
              <c:f>'Porovnanie skupin SK EU'!$A$3:$A$5</c:f>
              <c:strCache>
                <c:ptCount val="3"/>
                <c:pt idx="0">
                  <c:v>Zdravotne znevýhodnení</c:v>
                </c:pt>
                <c:pt idx="1">
                  <c:v>Osamelí rodičia s deťmi</c:v>
                </c:pt>
                <c:pt idx="2">
                  <c:v>Deti rodičov s nízkym vzdelaním</c:v>
                </c:pt>
              </c:strCache>
            </c:strRef>
          </c:cat>
          <c:val>
            <c:numRef>
              <c:f>'Porovnanie skupin SK EU'!$B$3:$B$5</c:f>
              <c:numCache>
                <c:formatCode>0.0</c:formatCode>
                <c:ptCount val="3"/>
                <c:pt idx="0">
                  <c:v>18.8</c:v>
                </c:pt>
                <c:pt idx="1">
                  <c:v>45.7</c:v>
                </c:pt>
                <c:pt idx="2">
                  <c:v>84.2</c:v>
                </c:pt>
              </c:numCache>
            </c:numRef>
          </c:val>
          <c:extLst xmlns:c16r2="http://schemas.microsoft.com/office/drawing/2015/06/chart">
            <c:ext xmlns:c16="http://schemas.microsoft.com/office/drawing/2014/chart" uri="{C3380CC4-5D6E-409C-BE32-E72D297353CC}">
              <c16:uniqueId val="{00000000-BCC2-4BA9-BB27-EF8004168098}"/>
            </c:ext>
          </c:extLst>
        </c:ser>
        <c:ser>
          <c:idx val="1"/>
          <c:order val="1"/>
          <c:tx>
            <c:strRef>
              <c:f>'Porovnanie skupin SK EU'!$C$2</c:f>
              <c:strCache>
                <c:ptCount val="1"/>
                <c:pt idx="0">
                  <c:v>V3</c:v>
                </c:pt>
              </c:strCache>
            </c:strRef>
          </c:tx>
          <c:spPr>
            <a:solidFill>
              <a:schemeClr val="accent3"/>
            </a:solidFill>
            <a:ln>
              <a:noFill/>
            </a:ln>
            <a:effectLst/>
          </c:spPr>
          <c:invertIfNegative val="0"/>
          <c:cat>
            <c:strRef>
              <c:f>'Porovnanie skupin SK EU'!$A$3:$A$5</c:f>
              <c:strCache>
                <c:ptCount val="3"/>
                <c:pt idx="0">
                  <c:v>Zdravotne znevýhodnení</c:v>
                </c:pt>
                <c:pt idx="1">
                  <c:v>Osamelí rodičia s deťmi</c:v>
                </c:pt>
                <c:pt idx="2">
                  <c:v>Deti rodičov s nízkym vzdelaním</c:v>
                </c:pt>
              </c:strCache>
            </c:strRef>
          </c:cat>
          <c:val>
            <c:numRef>
              <c:f>'Porovnanie skupin SK EU'!$C$3:$C$5</c:f>
              <c:numCache>
                <c:formatCode>0.0</c:formatCode>
                <c:ptCount val="3"/>
                <c:pt idx="0">
                  <c:v>26.900000000000002</c:v>
                </c:pt>
                <c:pt idx="1">
                  <c:v>40.333333333333336</c:v>
                </c:pt>
                <c:pt idx="2">
                  <c:v>60.666666666666664</c:v>
                </c:pt>
              </c:numCache>
            </c:numRef>
          </c:val>
          <c:extLst xmlns:c16r2="http://schemas.microsoft.com/office/drawing/2015/06/chart">
            <c:ext xmlns:c16="http://schemas.microsoft.com/office/drawing/2014/chart" uri="{C3380CC4-5D6E-409C-BE32-E72D297353CC}">
              <c16:uniqueId val="{00000001-BCC2-4BA9-BB27-EF8004168098}"/>
            </c:ext>
          </c:extLst>
        </c:ser>
        <c:ser>
          <c:idx val="3"/>
          <c:order val="2"/>
          <c:tx>
            <c:strRef>
              <c:f>'Porovnanie skupin SK EU'!$D$2</c:f>
              <c:strCache>
                <c:ptCount val="1"/>
                <c:pt idx="0">
                  <c:v>EÚ15</c:v>
                </c:pt>
              </c:strCache>
            </c:strRef>
          </c:tx>
          <c:spPr>
            <a:solidFill>
              <a:schemeClr val="accent5">
                <a:lumMod val="50000"/>
              </a:schemeClr>
            </a:solidFill>
            <a:ln>
              <a:noFill/>
            </a:ln>
            <a:effectLst/>
          </c:spPr>
          <c:invertIfNegative val="0"/>
          <c:cat>
            <c:strRef>
              <c:f>'Porovnanie skupin SK EU'!$A$3:$A$5</c:f>
              <c:strCache>
                <c:ptCount val="3"/>
                <c:pt idx="0">
                  <c:v>Zdravotne znevýhodnení</c:v>
                </c:pt>
                <c:pt idx="1">
                  <c:v>Osamelí rodičia s deťmi</c:v>
                </c:pt>
                <c:pt idx="2">
                  <c:v>Deti rodičov s nízkym vzdelaním</c:v>
                </c:pt>
              </c:strCache>
            </c:strRef>
          </c:cat>
          <c:val>
            <c:numRef>
              <c:f>'Porovnanie skupin SK EU'!$D$3:$D$5</c:f>
              <c:numCache>
                <c:formatCode>0.0</c:formatCode>
                <c:ptCount val="3"/>
                <c:pt idx="0">
                  <c:v>28.246666666666663</c:v>
                </c:pt>
                <c:pt idx="1">
                  <c:v>45.286666666666662</c:v>
                </c:pt>
                <c:pt idx="2">
                  <c:v>59.106666666666669</c:v>
                </c:pt>
              </c:numCache>
            </c:numRef>
          </c:val>
        </c:ser>
        <c:dLbls>
          <c:showLegendKey val="0"/>
          <c:showVal val="0"/>
          <c:showCatName val="0"/>
          <c:showSerName val="0"/>
          <c:showPercent val="0"/>
          <c:showBubbleSize val="0"/>
        </c:dLbls>
        <c:gapWidth val="219"/>
        <c:overlap val="-27"/>
        <c:axId val="219221736"/>
        <c:axId val="219222128"/>
      </c:barChart>
      <c:catAx>
        <c:axId val="219221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19222128"/>
        <c:crosses val="autoZero"/>
        <c:auto val="1"/>
        <c:lblAlgn val="ctr"/>
        <c:lblOffset val="100"/>
        <c:noMultiLvlLbl val="0"/>
      </c:catAx>
      <c:valAx>
        <c:axId val="219222128"/>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19221736"/>
        <c:crosses val="autoZero"/>
        <c:crossBetween val="between"/>
      </c:valAx>
      <c:spPr>
        <a:noFill/>
        <a:ln>
          <a:noFill/>
        </a:ln>
        <a:effectLst/>
      </c:spPr>
    </c:plotArea>
    <c:legend>
      <c:legendPos val="b"/>
      <c:layout>
        <c:manualLayout>
          <c:xMode val="edge"/>
          <c:yMode val="edge"/>
          <c:x val="0.14956142109161363"/>
          <c:y val="5.9777267424905217E-2"/>
          <c:w val="0.35318620754602315"/>
          <c:h val="7.448199183435404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54830014935003"/>
          <c:y val="5.0925925925925923E-2"/>
          <c:w val="0.80206898380126723"/>
          <c:h val="0.68484324876057157"/>
        </c:manualLayout>
      </c:layout>
      <c:barChart>
        <c:barDir val="col"/>
        <c:grouping val="stacked"/>
        <c:varyColors val="0"/>
        <c:ser>
          <c:idx val="0"/>
          <c:order val="0"/>
          <c:tx>
            <c:strRef>
              <c:f>'Podpora rodin (2020)'!$A$4</c:f>
              <c:strCache>
                <c:ptCount val="1"/>
                <c:pt idx="0">
                  <c:v>Dávka v hmotnej núdzi</c:v>
                </c:pt>
              </c:strCache>
            </c:strRef>
          </c:tx>
          <c:spPr>
            <a:solidFill>
              <a:schemeClr val="accent1"/>
            </a:solidFill>
            <a:ln>
              <a:noFill/>
            </a:ln>
            <a:effectLst/>
          </c:spPr>
          <c:invertIfNegative val="0"/>
          <c:cat>
            <c:strRef>
              <c:f>'Podpora rodin (2020)'!$B$3:$H$3</c:f>
              <c:strCache>
                <c:ptCount val="7"/>
                <c:pt idx="0">
                  <c:v>J+0D</c:v>
                </c:pt>
                <c:pt idx="1">
                  <c:v>J+1D</c:v>
                </c:pt>
                <c:pt idx="2">
                  <c:v>J+2D</c:v>
                </c:pt>
                <c:pt idx="3">
                  <c:v>J+3D</c:v>
                </c:pt>
                <c:pt idx="4">
                  <c:v>J+4D</c:v>
                </c:pt>
                <c:pt idx="5">
                  <c:v>J+5D</c:v>
                </c:pt>
                <c:pt idx="6">
                  <c:v>J+6D</c:v>
                </c:pt>
              </c:strCache>
            </c:strRef>
          </c:cat>
          <c:val>
            <c:numRef>
              <c:f>'Podpora rodin (2020)'!$B$4:$H$4</c:f>
              <c:numCache>
                <c:formatCode>0.00</c:formatCode>
                <c:ptCount val="7"/>
                <c:pt idx="0">
                  <c:v>66.3</c:v>
                </c:pt>
                <c:pt idx="1">
                  <c:v>126.2</c:v>
                </c:pt>
                <c:pt idx="2">
                  <c:v>126.2</c:v>
                </c:pt>
                <c:pt idx="3">
                  <c:v>126.2</c:v>
                </c:pt>
                <c:pt idx="4">
                  <c:v>126.2</c:v>
                </c:pt>
                <c:pt idx="5">
                  <c:v>184.3</c:v>
                </c:pt>
                <c:pt idx="6">
                  <c:v>184.3</c:v>
                </c:pt>
              </c:numCache>
            </c:numRef>
          </c:val>
          <c:extLst xmlns:c16r2="http://schemas.microsoft.com/office/drawing/2015/06/chart">
            <c:ext xmlns:c16="http://schemas.microsoft.com/office/drawing/2014/chart" uri="{C3380CC4-5D6E-409C-BE32-E72D297353CC}">
              <c16:uniqueId val="{00000000-FB3C-4861-866C-3156D4969AB1}"/>
            </c:ext>
          </c:extLst>
        </c:ser>
        <c:ser>
          <c:idx val="1"/>
          <c:order val="1"/>
          <c:tx>
            <c:strRef>
              <c:f>'Podpora rodin (2020)'!$A$5</c:f>
              <c:strCache>
                <c:ptCount val="1"/>
                <c:pt idx="0">
                  <c:v>Aktivačný príspevok</c:v>
                </c:pt>
              </c:strCache>
            </c:strRef>
          </c:tx>
          <c:spPr>
            <a:solidFill>
              <a:schemeClr val="accent1">
                <a:lumMod val="40000"/>
                <a:lumOff val="60000"/>
              </a:schemeClr>
            </a:solidFill>
            <a:ln>
              <a:noFill/>
            </a:ln>
            <a:effectLst/>
          </c:spPr>
          <c:invertIfNegative val="0"/>
          <c:cat>
            <c:strRef>
              <c:f>'Podpora rodin (2020)'!$B$3:$H$3</c:f>
              <c:strCache>
                <c:ptCount val="7"/>
                <c:pt idx="0">
                  <c:v>J+0D</c:v>
                </c:pt>
                <c:pt idx="1">
                  <c:v>J+1D</c:v>
                </c:pt>
                <c:pt idx="2">
                  <c:v>J+2D</c:v>
                </c:pt>
                <c:pt idx="3">
                  <c:v>J+3D</c:v>
                </c:pt>
                <c:pt idx="4">
                  <c:v>J+4D</c:v>
                </c:pt>
                <c:pt idx="5">
                  <c:v>J+5D</c:v>
                </c:pt>
                <c:pt idx="6">
                  <c:v>J+6D</c:v>
                </c:pt>
              </c:strCache>
            </c:strRef>
          </c:cat>
          <c:val>
            <c:numRef>
              <c:f>'Podpora rodin (2020)'!$B$5:$H$5</c:f>
              <c:numCache>
                <c:formatCode>0.00</c:formatCode>
                <c:ptCount val="7"/>
                <c:pt idx="0">
                  <c:v>67.900000000000006</c:v>
                </c:pt>
                <c:pt idx="1">
                  <c:v>67.900000000000006</c:v>
                </c:pt>
                <c:pt idx="2">
                  <c:v>67.900000000000006</c:v>
                </c:pt>
                <c:pt idx="3">
                  <c:v>67.900000000000006</c:v>
                </c:pt>
                <c:pt idx="4">
                  <c:v>67.900000000000006</c:v>
                </c:pt>
                <c:pt idx="5">
                  <c:v>67.900000000000006</c:v>
                </c:pt>
                <c:pt idx="6">
                  <c:v>67.900000000000006</c:v>
                </c:pt>
              </c:numCache>
            </c:numRef>
          </c:val>
          <c:extLst xmlns:c16r2="http://schemas.microsoft.com/office/drawing/2015/06/chart">
            <c:ext xmlns:c16="http://schemas.microsoft.com/office/drawing/2014/chart" uri="{C3380CC4-5D6E-409C-BE32-E72D297353CC}">
              <c16:uniqueId val="{00000001-FB3C-4861-866C-3156D4969AB1}"/>
            </c:ext>
          </c:extLst>
        </c:ser>
        <c:ser>
          <c:idx val="2"/>
          <c:order val="2"/>
          <c:tx>
            <c:strRef>
              <c:f>'Podpora rodin (2020)'!$A$6</c:f>
              <c:strCache>
                <c:ptCount val="1"/>
                <c:pt idx="0">
                  <c:v>Pp na nezaop. dieťa</c:v>
                </c:pt>
              </c:strCache>
            </c:strRef>
          </c:tx>
          <c:spPr>
            <a:solidFill>
              <a:schemeClr val="accent1">
                <a:lumMod val="50000"/>
              </a:schemeClr>
            </a:solidFill>
            <a:ln>
              <a:noFill/>
            </a:ln>
            <a:effectLst/>
          </c:spPr>
          <c:invertIfNegative val="0"/>
          <c:cat>
            <c:strRef>
              <c:f>'Podpora rodin (2020)'!$B$3:$H$3</c:f>
              <c:strCache>
                <c:ptCount val="7"/>
                <c:pt idx="0">
                  <c:v>J+0D</c:v>
                </c:pt>
                <c:pt idx="1">
                  <c:v>J+1D</c:v>
                </c:pt>
                <c:pt idx="2">
                  <c:v>J+2D</c:v>
                </c:pt>
                <c:pt idx="3">
                  <c:v>J+3D</c:v>
                </c:pt>
                <c:pt idx="4">
                  <c:v>J+4D</c:v>
                </c:pt>
                <c:pt idx="5">
                  <c:v>J+5D</c:v>
                </c:pt>
                <c:pt idx="6">
                  <c:v>J+6D</c:v>
                </c:pt>
              </c:strCache>
            </c:strRef>
          </c:cat>
          <c:val>
            <c:numRef>
              <c:f>'Podpora rodin (2020)'!$B$6:$H$6</c:f>
              <c:numCache>
                <c:formatCode>0.00</c:formatCode>
                <c:ptCount val="7"/>
                <c:pt idx="0">
                  <c:v>0</c:v>
                </c:pt>
                <c:pt idx="1">
                  <c:v>18.600000000000001</c:v>
                </c:pt>
                <c:pt idx="2">
                  <c:v>37.200000000000003</c:v>
                </c:pt>
                <c:pt idx="3">
                  <c:v>55.800000000000004</c:v>
                </c:pt>
                <c:pt idx="4">
                  <c:v>74.400000000000006</c:v>
                </c:pt>
                <c:pt idx="5">
                  <c:v>93</c:v>
                </c:pt>
                <c:pt idx="6">
                  <c:v>111.60000000000001</c:v>
                </c:pt>
              </c:numCache>
            </c:numRef>
          </c:val>
          <c:extLst xmlns:c16r2="http://schemas.microsoft.com/office/drawing/2015/06/chart">
            <c:ext xmlns:c16="http://schemas.microsoft.com/office/drawing/2014/chart" uri="{C3380CC4-5D6E-409C-BE32-E72D297353CC}">
              <c16:uniqueId val="{00000002-FB3C-4861-866C-3156D4969AB1}"/>
            </c:ext>
          </c:extLst>
        </c:ser>
        <c:ser>
          <c:idx val="3"/>
          <c:order val="3"/>
          <c:tx>
            <c:strRef>
              <c:f>'Podpora rodin (2020)'!$A$7</c:f>
              <c:strCache>
                <c:ptCount val="1"/>
                <c:pt idx="0">
                  <c:v>Prídavok na dieťa</c:v>
                </c:pt>
              </c:strCache>
            </c:strRef>
          </c:tx>
          <c:spPr>
            <a:solidFill>
              <a:schemeClr val="tx1">
                <a:lumMod val="50000"/>
                <a:lumOff val="50000"/>
              </a:schemeClr>
            </a:solidFill>
            <a:ln>
              <a:noFill/>
            </a:ln>
            <a:effectLst/>
          </c:spPr>
          <c:invertIfNegative val="0"/>
          <c:cat>
            <c:strRef>
              <c:f>'Podpora rodin (2020)'!$B$3:$H$3</c:f>
              <c:strCache>
                <c:ptCount val="7"/>
                <c:pt idx="0">
                  <c:v>J+0D</c:v>
                </c:pt>
                <c:pt idx="1">
                  <c:v>J+1D</c:v>
                </c:pt>
                <c:pt idx="2">
                  <c:v>J+2D</c:v>
                </c:pt>
                <c:pt idx="3">
                  <c:v>J+3D</c:v>
                </c:pt>
                <c:pt idx="4">
                  <c:v>J+4D</c:v>
                </c:pt>
                <c:pt idx="5">
                  <c:v>J+5D</c:v>
                </c:pt>
                <c:pt idx="6">
                  <c:v>J+6D</c:v>
                </c:pt>
              </c:strCache>
            </c:strRef>
          </c:cat>
          <c:val>
            <c:numRef>
              <c:f>'Podpora rodin (2020)'!$B$7:$H$7</c:f>
              <c:numCache>
                <c:formatCode>0.00</c:formatCode>
                <c:ptCount val="7"/>
                <c:pt idx="0">
                  <c:v>0</c:v>
                </c:pt>
                <c:pt idx="1">
                  <c:v>24.95</c:v>
                </c:pt>
                <c:pt idx="2">
                  <c:v>49.9</c:v>
                </c:pt>
                <c:pt idx="3">
                  <c:v>74.849999999999994</c:v>
                </c:pt>
                <c:pt idx="4">
                  <c:v>99.8</c:v>
                </c:pt>
                <c:pt idx="5">
                  <c:v>124.75</c:v>
                </c:pt>
                <c:pt idx="6">
                  <c:v>149.69999999999999</c:v>
                </c:pt>
              </c:numCache>
            </c:numRef>
          </c:val>
          <c:extLst xmlns:c16r2="http://schemas.microsoft.com/office/drawing/2015/06/chart">
            <c:ext xmlns:c16="http://schemas.microsoft.com/office/drawing/2014/chart" uri="{C3380CC4-5D6E-409C-BE32-E72D297353CC}">
              <c16:uniqueId val="{00000003-FB3C-4861-866C-3156D4969AB1}"/>
            </c:ext>
          </c:extLst>
        </c:ser>
        <c:dLbls>
          <c:showLegendKey val="0"/>
          <c:showVal val="0"/>
          <c:showCatName val="0"/>
          <c:showSerName val="0"/>
          <c:showPercent val="0"/>
          <c:showBubbleSize val="0"/>
        </c:dLbls>
        <c:gapWidth val="150"/>
        <c:overlap val="100"/>
        <c:axId val="221400128"/>
        <c:axId val="221400520"/>
      </c:barChart>
      <c:lineChart>
        <c:grouping val="standard"/>
        <c:varyColors val="0"/>
        <c:ser>
          <c:idx val="4"/>
          <c:order val="4"/>
          <c:tx>
            <c:strRef>
              <c:f>'Podpora rodin (2020)'!$A$8</c:f>
              <c:strCache>
                <c:ptCount val="1"/>
                <c:pt idx="0">
                  <c:v>OECD ekvival. škála</c:v>
                </c:pt>
              </c:strCache>
            </c:strRef>
          </c:tx>
          <c:spPr>
            <a:ln w="28575" cap="rnd">
              <a:solidFill>
                <a:schemeClr val="tx1"/>
              </a:solidFill>
              <a:prstDash val="sysDash"/>
              <a:round/>
            </a:ln>
            <a:effectLst/>
          </c:spPr>
          <c:marker>
            <c:symbol val="none"/>
          </c:marker>
          <c:cat>
            <c:strRef>
              <c:f>'Podpora rodin (2020)'!$B$3:$H$3</c:f>
              <c:strCache>
                <c:ptCount val="7"/>
                <c:pt idx="0">
                  <c:v>J+0D</c:v>
                </c:pt>
                <c:pt idx="1">
                  <c:v>J+1D</c:v>
                </c:pt>
                <c:pt idx="2">
                  <c:v>J+2D</c:v>
                </c:pt>
                <c:pt idx="3">
                  <c:v>J+3D</c:v>
                </c:pt>
                <c:pt idx="4">
                  <c:v>J+4D</c:v>
                </c:pt>
                <c:pt idx="5">
                  <c:v>J+5D</c:v>
                </c:pt>
                <c:pt idx="6">
                  <c:v>J+6D</c:v>
                </c:pt>
              </c:strCache>
            </c:strRef>
          </c:cat>
          <c:val>
            <c:numRef>
              <c:f>'Podpora rodin (2020)'!$B$8:$H$8</c:f>
              <c:numCache>
                <c:formatCode>0.00</c:formatCode>
                <c:ptCount val="7"/>
                <c:pt idx="0">
                  <c:v>210.2</c:v>
                </c:pt>
                <c:pt idx="1">
                  <c:v>273.26</c:v>
                </c:pt>
                <c:pt idx="2">
                  <c:v>336.32</c:v>
                </c:pt>
                <c:pt idx="3">
                  <c:v>399.38</c:v>
                </c:pt>
                <c:pt idx="4">
                  <c:v>462.43999999999994</c:v>
                </c:pt>
                <c:pt idx="5">
                  <c:v>525.5</c:v>
                </c:pt>
                <c:pt idx="6">
                  <c:v>588.55999999999995</c:v>
                </c:pt>
              </c:numCache>
            </c:numRef>
          </c:val>
          <c:smooth val="0"/>
          <c:extLst xmlns:c16r2="http://schemas.microsoft.com/office/drawing/2015/06/chart">
            <c:ext xmlns:c16="http://schemas.microsoft.com/office/drawing/2014/chart" uri="{C3380CC4-5D6E-409C-BE32-E72D297353CC}">
              <c16:uniqueId val="{00000004-FB3C-4861-866C-3156D4969AB1}"/>
            </c:ext>
          </c:extLst>
        </c:ser>
        <c:dLbls>
          <c:showLegendKey val="0"/>
          <c:showVal val="0"/>
          <c:showCatName val="0"/>
          <c:showSerName val="0"/>
          <c:showPercent val="0"/>
          <c:showBubbleSize val="0"/>
        </c:dLbls>
        <c:marker val="1"/>
        <c:smooth val="0"/>
        <c:axId val="221400128"/>
        <c:axId val="221400520"/>
      </c:lineChart>
      <c:catAx>
        <c:axId val="22140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1400520"/>
        <c:crosses val="autoZero"/>
        <c:auto val="1"/>
        <c:lblAlgn val="ctr"/>
        <c:lblOffset val="100"/>
        <c:noMultiLvlLbl val="0"/>
      </c:catAx>
      <c:valAx>
        <c:axId val="221400520"/>
        <c:scaling>
          <c:orientation val="minMax"/>
          <c:max val="600"/>
        </c:scaling>
        <c:delete val="0"/>
        <c:axPos val="l"/>
        <c:majorGridlines>
          <c:spPr>
            <a:ln w="9525" cap="flat" cmpd="sng" algn="ctr">
              <a:solidFill>
                <a:schemeClr val="tx1">
                  <a:lumMod val="15000"/>
                  <a:lumOff val="85000"/>
                </a:schemeClr>
              </a:solidFill>
              <a:prstDash val="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1400128"/>
        <c:crosses val="autoZero"/>
        <c:crossBetween val="between"/>
      </c:valAx>
      <c:spPr>
        <a:noFill/>
        <a:ln>
          <a:noFill/>
        </a:ln>
        <a:effectLst/>
      </c:spPr>
    </c:plotArea>
    <c:legend>
      <c:legendPos val="b"/>
      <c:layout>
        <c:manualLayout>
          <c:xMode val="edge"/>
          <c:yMode val="edge"/>
          <c:x val="0"/>
          <c:y val="0.85242782152230967"/>
          <c:w val="1"/>
          <c:h val="0.147572178477690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userShapes r:id="rId4"/>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54830014935003"/>
          <c:y val="5.0925925925925923E-2"/>
          <c:w val="0.80206898380126723"/>
          <c:h val="0.68484324876057157"/>
        </c:manualLayout>
      </c:layout>
      <c:barChart>
        <c:barDir val="col"/>
        <c:grouping val="stacked"/>
        <c:varyColors val="0"/>
        <c:ser>
          <c:idx val="0"/>
          <c:order val="0"/>
          <c:tx>
            <c:strRef>
              <c:f>'Podpora rodin (2020)'!$A$23</c:f>
              <c:strCache>
                <c:ptCount val="1"/>
                <c:pt idx="0">
                  <c:v>Dávka v hmotnej núdzi</c:v>
                </c:pt>
              </c:strCache>
            </c:strRef>
          </c:tx>
          <c:spPr>
            <a:solidFill>
              <a:schemeClr val="accent1"/>
            </a:solidFill>
            <a:ln>
              <a:noFill/>
            </a:ln>
            <a:effectLst/>
          </c:spPr>
          <c:invertIfNegative val="0"/>
          <c:cat>
            <c:strRef>
              <c:f>'Podpora rodin (2020)'!$B$22:$H$22</c:f>
              <c:strCache>
                <c:ptCount val="7"/>
                <c:pt idx="0">
                  <c:v>J+0D</c:v>
                </c:pt>
                <c:pt idx="1">
                  <c:v>J+1D</c:v>
                </c:pt>
                <c:pt idx="2">
                  <c:v>J+2D</c:v>
                </c:pt>
                <c:pt idx="3">
                  <c:v>J+3D</c:v>
                </c:pt>
                <c:pt idx="4">
                  <c:v>J+4D</c:v>
                </c:pt>
                <c:pt idx="5">
                  <c:v>J+5D</c:v>
                </c:pt>
                <c:pt idx="6">
                  <c:v>J+6D</c:v>
                </c:pt>
              </c:strCache>
            </c:strRef>
          </c:cat>
          <c:val>
            <c:numRef>
              <c:f>'Podpora rodin (2020)'!$B$23:$H$23</c:f>
              <c:numCache>
                <c:formatCode>0.00</c:formatCode>
                <c:ptCount val="7"/>
                <c:pt idx="0">
                  <c:v>79.559999999999988</c:v>
                </c:pt>
                <c:pt idx="1">
                  <c:v>142.29999999999998</c:v>
                </c:pt>
                <c:pt idx="2">
                  <c:v>142.29999999999998</c:v>
                </c:pt>
                <c:pt idx="3">
                  <c:v>142.29999999999998</c:v>
                </c:pt>
                <c:pt idx="4">
                  <c:v>142.29999999999998</c:v>
                </c:pt>
                <c:pt idx="5">
                  <c:v>142.29999999999998</c:v>
                </c:pt>
                <c:pt idx="6">
                  <c:v>142.29999999999998</c:v>
                </c:pt>
              </c:numCache>
            </c:numRef>
          </c:val>
          <c:extLst xmlns:c16r2="http://schemas.microsoft.com/office/drawing/2015/06/chart">
            <c:ext xmlns:c16="http://schemas.microsoft.com/office/drawing/2014/chart" uri="{C3380CC4-5D6E-409C-BE32-E72D297353CC}">
              <c16:uniqueId val="{00000000-DE26-4D42-96CD-246D9E91AECC}"/>
            </c:ext>
          </c:extLst>
        </c:ser>
        <c:ser>
          <c:idx val="1"/>
          <c:order val="1"/>
          <c:tx>
            <c:strRef>
              <c:f>'Podpora rodin (2020)'!$A$24</c:f>
              <c:strCache>
                <c:ptCount val="1"/>
                <c:pt idx="0">
                  <c:v>Aktivačný príspevok</c:v>
                </c:pt>
              </c:strCache>
            </c:strRef>
          </c:tx>
          <c:spPr>
            <a:solidFill>
              <a:schemeClr val="accent1">
                <a:lumMod val="40000"/>
                <a:lumOff val="60000"/>
              </a:schemeClr>
            </a:solidFill>
            <a:ln>
              <a:noFill/>
            </a:ln>
            <a:effectLst/>
          </c:spPr>
          <c:invertIfNegative val="0"/>
          <c:cat>
            <c:strRef>
              <c:f>'Podpora rodin (2020)'!$B$22:$H$22</c:f>
              <c:strCache>
                <c:ptCount val="7"/>
                <c:pt idx="0">
                  <c:v>J+0D</c:v>
                </c:pt>
                <c:pt idx="1">
                  <c:v>J+1D</c:v>
                </c:pt>
                <c:pt idx="2">
                  <c:v>J+2D</c:v>
                </c:pt>
                <c:pt idx="3">
                  <c:v>J+3D</c:v>
                </c:pt>
                <c:pt idx="4">
                  <c:v>J+4D</c:v>
                </c:pt>
                <c:pt idx="5">
                  <c:v>J+5D</c:v>
                </c:pt>
                <c:pt idx="6">
                  <c:v>J+6D</c:v>
                </c:pt>
              </c:strCache>
            </c:strRef>
          </c:cat>
          <c:val>
            <c:numRef>
              <c:f>'Podpora rodin (2020)'!$B$24:$H$24</c:f>
              <c:numCache>
                <c:formatCode>0.00</c:formatCode>
                <c:ptCount val="7"/>
                <c:pt idx="0">
                  <c:v>67.900000000000006</c:v>
                </c:pt>
                <c:pt idx="1">
                  <c:v>67.900000000000006</c:v>
                </c:pt>
                <c:pt idx="2">
                  <c:v>67.900000000000006</c:v>
                </c:pt>
                <c:pt idx="3">
                  <c:v>67.900000000000006</c:v>
                </c:pt>
                <c:pt idx="4">
                  <c:v>67.900000000000006</c:v>
                </c:pt>
                <c:pt idx="5">
                  <c:v>67.900000000000006</c:v>
                </c:pt>
                <c:pt idx="6">
                  <c:v>67.900000000000006</c:v>
                </c:pt>
              </c:numCache>
            </c:numRef>
          </c:val>
          <c:extLst xmlns:c16r2="http://schemas.microsoft.com/office/drawing/2015/06/chart">
            <c:ext xmlns:c16="http://schemas.microsoft.com/office/drawing/2014/chart" uri="{C3380CC4-5D6E-409C-BE32-E72D297353CC}">
              <c16:uniqueId val="{00000001-DE26-4D42-96CD-246D9E91AECC}"/>
            </c:ext>
          </c:extLst>
        </c:ser>
        <c:ser>
          <c:idx val="2"/>
          <c:order val="2"/>
          <c:tx>
            <c:strRef>
              <c:f>'Podpora rodin (2020)'!$A$25</c:f>
              <c:strCache>
                <c:ptCount val="1"/>
                <c:pt idx="0">
                  <c:v>Pp na nezaop. dieťa</c:v>
                </c:pt>
              </c:strCache>
            </c:strRef>
          </c:tx>
          <c:spPr>
            <a:solidFill>
              <a:schemeClr val="accent1">
                <a:lumMod val="50000"/>
              </a:schemeClr>
            </a:solidFill>
            <a:ln>
              <a:noFill/>
            </a:ln>
            <a:effectLst/>
          </c:spPr>
          <c:invertIfNegative val="0"/>
          <c:cat>
            <c:strRef>
              <c:f>'Podpora rodin (2020)'!$B$22:$H$22</c:f>
              <c:strCache>
                <c:ptCount val="7"/>
                <c:pt idx="0">
                  <c:v>J+0D</c:v>
                </c:pt>
                <c:pt idx="1">
                  <c:v>J+1D</c:v>
                </c:pt>
                <c:pt idx="2">
                  <c:v>J+2D</c:v>
                </c:pt>
                <c:pt idx="3">
                  <c:v>J+3D</c:v>
                </c:pt>
                <c:pt idx="4">
                  <c:v>J+4D</c:v>
                </c:pt>
                <c:pt idx="5">
                  <c:v>J+5D</c:v>
                </c:pt>
                <c:pt idx="6">
                  <c:v>J+6D</c:v>
                </c:pt>
              </c:strCache>
            </c:strRef>
          </c:cat>
          <c:val>
            <c:numRef>
              <c:f>'Podpora rodin (2020)'!$B$25:$H$25</c:f>
              <c:numCache>
                <c:formatCode>0.00</c:formatCode>
                <c:ptCount val="7"/>
                <c:pt idx="0">
                  <c:v>0</c:v>
                </c:pt>
                <c:pt idx="1">
                  <c:v>38.110000000000014</c:v>
                </c:pt>
                <c:pt idx="2">
                  <c:v>76.220000000000027</c:v>
                </c:pt>
                <c:pt idx="3">
                  <c:v>114.33000000000004</c:v>
                </c:pt>
                <c:pt idx="4">
                  <c:v>152.43999999999994</c:v>
                </c:pt>
                <c:pt idx="5">
                  <c:v>190.55</c:v>
                </c:pt>
                <c:pt idx="6">
                  <c:v>228.65999999999997</c:v>
                </c:pt>
              </c:numCache>
            </c:numRef>
          </c:val>
          <c:extLst xmlns:c16r2="http://schemas.microsoft.com/office/drawing/2015/06/chart">
            <c:ext xmlns:c16="http://schemas.microsoft.com/office/drawing/2014/chart" uri="{C3380CC4-5D6E-409C-BE32-E72D297353CC}">
              <c16:uniqueId val="{00000002-DE26-4D42-96CD-246D9E91AECC}"/>
            </c:ext>
          </c:extLst>
        </c:ser>
        <c:ser>
          <c:idx val="3"/>
          <c:order val="3"/>
          <c:tx>
            <c:strRef>
              <c:f>'Podpora rodin (2020)'!$A$26</c:f>
              <c:strCache>
                <c:ptCount val="1"/>
                <c:pt idx="0">
                  <c:v>Prídavok na dieťa</c:v>
                </c:pt>
              </c:strCache>
            </c:strRef>
          </c:tx>
          <c:spPr>
            <a:solidFill>
              <a:schemeClr val="tx1">
                <a:lumMod val="50000"/>
                <a:lumOff val="50000"/>
              </a:schemeClr>
            </a:solidFill>
            <a:ln>
              <a:noFill/>
            </a:ln>
            <a:effectLst/>
          </c:spPr>
          <c:invertIfNegative val="0"/>
          <c:cat>
            <c:strRef>
              <c:f>'Podpora rodin (2020)'!$B$22:$H$22</c:f>
              <c:strCache>
                <c:ptCount val="7"/>
                <c:pt idx="0">
                  <c:v>J+0D</c:v>
                </c:pt>
                <c:pt idx="1">
                  <c:v>J+1D</c:v>
                </c:pt>
                <c:pt idx="2">
                  <c:v>J+2D</c:v>
                </c:pt>
                <c:pt idx="3">
                  <c:v>J+3D</c:v>
                </c:pt>
                <c:pt idx="4">
                  <c:v>J+4D</c:v>
                </c:pt>
                <c:pt idx="5">
                  <c:v>J+5D</c:v>
                </c:pt>
                <c:pt idx="6">
                  <c:v>J+6D</c:v>
                </c:pt>
              </c:strCache>
            </c:strRef>
          </c:cat>
          <c:val>
            <c:numRef>
              <c:f>'Podpora rodin (2020)'!$B$26:$H$26</c:f>
              <c:numCache>
                <c:formatCode>0.00</c:formatCode>
                <c:ptCount val="7"/>
                <c:pt idx="0">
                  <c:v>0</c:v>
                </c:pt>
                <c:pt idx="1">
                  <c:v>24.95</c:v>
                </c:pt>
                <c:pt idx="2">
                  <c:v>49.9</c:v>
                </c:pt>
                <c:pt idx="3">
                  <c:v>74.849999999999994</c:v>
                </c:pt>
                <c:pt idx="4">
                  <c:v>99.8</c:v>
                </c:pt>
                <c:pt idx="5">
                  <c:v>124.75</c:v>
                </c:pt>
                <c:pt idx="6">
                  <c:v>149.69999999999999</c:v>
                </c:pt>
              </c:numCache>
            </c:numRef>
          </c:val>
          <c:extLst xmlns:c16r2="http://schemas.microsoft.com/office/drawing/2015/06/chart">
            <c:ext xmlns:c16="http://schemas.microsoft.com/office/drawing/2014/chart" uri="{C3380CC4-5D6E-409C-BE32-E72D297353CC}">
              <c16:uniqueId val="{00000003-DE26-4D42-96CD-246D9E91AECC}"/>
            </c:ext>
          </c:extLst>
        </c:ser>
        <c:dLbls>
          <c:showLegendKey val="0"/>
          <c:showVal val="0"/>
          <c:showCatName val="0"/>
          <c:showSerName val="0"/>
          <c:showPercent val="0"/>
          <c:showBubbleSize val="0"/>
        </c:dLbls>
        <c:gapWidth val="150"/>
        <c:overlap val="100"/>
        <c:axId val="221401696"/>
        <c:axId val="221402088"/>
      </c:barChart>
      <c:lineChart>
        <c:grouping val="standard"/>
        <c:varyColors val="0"/>
        <c:ser>
          <c:idx val="4"/>
          <c:order val="4"/>
          <c:tx>
            <c:strRef>
              <c:f>'Podpora rodin (2020)'!$A$27</c:f>
              <c:strCache>
                <c:ptCount val="1"/>
                <c:pt idx="0">
                  <c:v>OECD ekvival. škála</c:v>
                </c:pt>
              </c:strCache>
            </c:strRef>
          </c:tx>
          <c:spPr>
            <a:ln w="28575" cap="rnd">
              <a:solidFill>
                <a:schemeClr val="tx1"/>
              </a:solidFill>
              <a:prstDash val="sysDash"/>
              <a:round/>
            </a:ln>
            <a:effectLst/>
          </c:spPr>
          <c:marker>
            <c:symbol val="none"/>
          </c:marker>
          <c:cat>
            <c:strRef>
              <c:f>'Podpora rodin (2020)'!$B$22:$H$22</c:f>
              <c:strCache>
                <c:ptCount val="7"/>
                <c:pt idx="0">
                  <c:v>J+0D</c:v>
                </c:pt>
                <c:pt idx="1">
                  <c:v>J+1D</c:v>
                </c:pt>
                <c:pt idx="2">
                  <c:v>J+2D</c:v>
                </c:pt>
                <c:pt idx="3">
                  <c:v>J+3D</c:v>
                </c:pt>
                <c:pt idx="4">
                  <c:v>J+4D</c:v>
                </c:pt>
                <c:pt idx="5">
                  <c:v>J+5D</c:v>
                </c:pt>
                <c:pt idx="6">
                  <c:v>J+6D</c:v>
                </c:pt>
              </c:strCache>
            </c:strRef>
          </c:cat>
          <c:val>
            <c:numRef>
              <c:f>'Podpora rodin (2020)'!$B$27:$H$27</c:f>
              <c:numCache>
                <c:formatCode>0.00</c:formatCode>
                <c:ptCount val="7"/>
                <c:pt idx="0">
                  <c:v>210.2</c:v>
                </c:pt>
                <c:pt idx="1">
                  <c:v>273.26</c:v>
                </c:pt>
                <c:pt idx="2">
                  <c:v>336.32</c:v>
                </c:pt>
                <c:pt idx="3">
                  <c:v>399.38</c:v>
                </c:pt>
                <c:pt idx="4">
                  <c:v>462.43999999999994</c:v>
                </c:pt>
                <c:pt idx="5">
                  <c:v>525.5</c:v>
                </c:pt>
                <c:pt idx="6">
                  <c:v>588.55999999999995</c:v>
                </c:pt>
              </c:numCache>
            </c:numRef>
          </c:val>
          <c:smooth val="0"/>
          <c:extLst xmlns:c16r2="http://schemas.microsoft.com/office/drawing/2015/06/chart">
            <c:ext xmlns:c16="http://schemas.microsoft.com/office/drawing/2014/chart" uri="{C3380CC4-5D6E-409C-BE32-E72D297353CC}">
              <c16:uniqueId val="{00000004-DE26-4D42-96CD-246D9E91AECC}"/>
            </c:ext>
          </c:extLst>
        </c:ser>
        <c:dLbls>
          <c:showLegendKey val="0"/>
          <c:showVal val="0"/>
          <c:showCatName val="0"/>
          <c:showSerName val="0"/>
          <c:showPercent val="0"/>
          <c:showBubbleSize val="0"/>
        </c:dLbls>
        <c:marker val="1"/>
        <c:smooth val="0"/>
        <c:axId val="221401696"/>
        <c:axId val="221402088"/>
      </c:lineChart>
      <c:catAx>
        <c:axId val="22140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1402088"/>
        <c:crosses val="autoZero"/>
        <c:auto val="1"/>
        <c:lblAlgn val="ctr"/>
        <c:lblOffset val="100"/>
        <c:noMultiLvlLbl val="0"/>
      </c:catAx>
      <c:valAx>
        <c:axId val="221402088"/>
        <c:scaling>
          <c:orientation val="minMax"/>
          <c:max val="600"/>
        </c:scaling>
        <c:delete val="0"/>
        <c:axPos val="l"/>
        <c:majorGridlines>
          <c:spPr>
            <a:ln w="9525" cap="flat" cmpd="sng" algn="ctr">
              <a:solidFill>
                <a:schemeClr val="tx1">
                  <a:lumMod val="15000"/>
                  <a:lumOff val="85000"/>
                </a:schemeClr>
              </a:solidFill>
              <a:prstDash val="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1401696"/>
        <c:crosses val="autoZero"/>
        <c:crossBetween val="between"/>
      </c:valAx>
      <c:spPr>
        <a:noFill/>
        <a:ln>
          <a:noFill/>
        </a:ln>
        <a:effectLst/>
      </c:spPr>
    </c:plotArea>
    <c:legend>
      <c:legendPos val="b"/>
      <c:layout>
        <c:manualLayout>
          <c:xMode val="edge"/>
          <c:yMode val="edge"/>
          <c:x val="0"/>
          <c:y val="0.85242782152230967"/>
          <c:w val="1"/>
          <c:h val="0.147572178477690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54830014935003"/>
          <c:y val="5.0925925925925923E-2"/>
          <c:w val="0.80206898380126723"/>
          <c:h val="0.68484324876057157"/>
        </c:manualLayout>
      </c:layout>
      <c:barChart>
        <c:barDir val="col"/>
        <c:grouping val="stacked"/>
        <c:varyColors val="0"/>
        <c:ser>
          <c:idx val="0"/>
          <c:order val="0"/>
          <c:tx>
            <c:strRef>
              <c:f>'Podpora rodin (2020)'!$A$4</c:f>
              <c:strCache>
                <c:ptCount val="1"/>
                <c:pt idx="0">
                  <c:v>Dávka v hmotnej núdzi</c:v>
                </c:pt>
              </c:strCache>
            </c:strRef>
          </c:tx>
          <c:spPr>
            <a:solidFill>
              <a:schemeClr val="accent1"/>
            </a:solidFill>
            <a:ln>
              <a:noFill/>
            </a:ln>
            <a:effectLst/>
          </c:spPr>
          <c:invertIfNegative val="0"/>
          <c:cat>
            <c:strRef>
              <c:f>'Podpora rodin (2020)'!$Q$3:$W$3</c:f>
              <c:strCache>
                <c:ptCount val="7"/>
                <c:pt idx="0">
                  <c:v>P+0D</c:v>
                </c:pt>
                <c:pt idx="1">
                  <c:v>P+1D</c:v>
                </c:pt>
                <c:pt idx="2">
                  <c:v>P+2D</c:v>
                </c:pt>
                <c:pt idx="3">
                  <c:v>P+3D</c:v>
                </c:pt>
                <c:pt idx="4">
                  <c:v>P+4D</c:v>
                </c:pt>
                <c:pt idx="5">
                  <c:v>P+5D</c:v>
                </c:pt>
                <c:pt idx="6">
                  <c:v>P+6D</c:v>
                </c:pt>
              </c:strCache>
            </c:strRef>
          </c:cat>
          <c:val>
            <c:numRef>
              <c:f>'Podpora rodin (2020)'!$Q$4:$W$4</c:f>
              <c:numCache>
                <c:formatCode>0.00</c:formatCode>
                <c:ptCount val="7"/>
                <c:pt idx="0">
                  <c:v>115.3</c:v>
                </c:pt>
                <c:pt idx="1">
                  <c:v>172.6</c:v>
                </c:pt>
                <c:pt idx="2">
                  <c:v>172.6</c:v>
                </c:pt>
                <c:pt idx="3">
                  <c:v>172.6</c:v>
                </c:pt>
                <c:pt idx="4">
                  <c:v>172.6</c:v>
                </c:pt>
                <c:pt idx="5">
                  <c:v>232.6</c:v>
                </c:pt>
                <c:pt idx="6">
                  <c:v>232.6</c:v>
                </c:pt>
              </c:numCache>
            </c:numRef>
          </c:val>
          <c:extLst xmlns:c16r2="http://schemas.microsoft.com/office/drawing/2015/06/chart">
            <c:ext xmlns:c16="http://schemas.microsoft.com/office/drawing/2014/chart" uri="{C3380CC4-5D6E-409C-BE32-E72D297353CC}">
              <c16:uniqueId val="{00000000-C2F0-417E-86BB-896FF3404502}"/>
            </c:ext>
          </c:extLst>
        </c:ser>
        <c:ser>
          <c:idx val="1"/>
          <c:order val="1"/>
          <c:tx>
            <c:strRef>
              <c:f>'Podpora rodin (2020)'!$A$5</c:f>
              <c:strCache>
                <c:ptCount val="1"/>
                <c:pt idx="0">
                  <c:v>Aktivačný príspevok</c:v>
                </c:pt>
              </c:strCache>
            </c:strRef>
          </c:tx>
          <c:spPr>
            <a:solidFill>
              <a:schemeClr val="accent1">
                <a:lumMod val="40000"/>
                <a:lumOff val="60000"/>
              </a:schemeClr>
            </a:solidFill>
            <a:ln>
              <a:noFill/>
            </a:ln>
            <a:effectLst/>
          </c:spPr>
          <c:invertIfNegative val="0"/>
          <c:cat>
            <c:strRef>
              <c:f>'Podpora rodin (2020)'!$Q$3:$W$3</c:f>
              <c:strCache>
                <c:ptCount val="7"/>
                <c:pt idx="0">
                  <c:v>P+0D</c:v>
                </c:pt>
                <c:pt idx="1">
                  <c:v>P+1D</c:v>
                </c:pt>
                <c:pt idx="2">
                  <c:v>P+2D</c:v>
                </c:pt>
                <c:pt idx="3">
                  <c:v>P+3D</c:v>
                </c:pt>
                <c:pt idx="4">
                  <c:v>P+4D</c:v>
                </c:pt>
                <c:pt idx="5">
                  <c:v>P+5D</c:v>
                </c:pt>
                <c:pt idx="6">
                  <c:v>P+6D</c:v>
                </c:pt>
              </c:strCache>
            </c:strRef>
          </c:cat>
          <c:val>
            <c:numRef>
              <c:f>'Podpora rodin (2020)'!$Q$5:$W$5</c:f>
              <c:numCache>
                <c:formatCode>0.00</c:formatCode>
                <c:ptCount val="7"/>
                <c:pt idx="0">
                  <c:v>135.80000000000001</c:v>
                </c:pt>
                <c:pt idx="1">
                  <c:v>135.80000000000001</c:v>
                </c:pt>
                <c:pt idx="2">
                  <c:v>135.80000000000001</c:v>
                </c:pt>
                <c:pt idx="3">
                  <c:v>135.80000000000001</c:v>
                </c:pt>
                <c:pt idx="4">
                  <c:v>135.80000000000001</c:v>
                </c:pt>
                <c:pt idx="5">
                  <c:v>135.80000000000001</c:v>
                </c:pt>
                <c:pt idx="6">
                  <c:v>135.80000000000001</c:v>
                </c:pt>
              </c:numCache>
            </c:numRef>
          </c:val>
          <c:extLst xmlns:c16r2="http://schemas.microsoft.com/office/drawing/2015/06/chart">
            <c:ext xmlns:c16="http://schemas.microsoft.com/office/drawing/2014/chart" uri="{C3380CC4-5D6E-409C-BE32-E72D297353CC}">
              <c16:uniqueId val="{00000001-C2F0-417E-86BB-896FF3404502}"/>
            </c:ext>
          </c:extLst>
        </c:ser>
        <c:ser>
          <c:idx val="2"/>
          <c:order val="2"/>
          <c:tx>
            <c:strRef>
              <c:f>'Podpora rodin (2020)'!$A$6</c:f>
              <c:strCache>
                <c:ptCount val="1"/>
                <c:pt idx="0">
                  <c:v>Pp na nezaop. dieťa</c:v>
                </c:pt>
              </c:strCache>
            </c:strRef>
          </c:tx>
          <c:spPr>
            <a:solidFill>
              <a:schemeClr val="accent1">
                <a:lumMod val="50000"/>
              </a:schemeClr>
            </a:solidFill>
            <a:ln>
              <a:noFill/>
            </a:ln>
            <a:effectLst/>
          </c:spPr>
          <c:invertIfNegative val="0"/>
          <c:cat>
            <c:strRef>
              <c:f>'Podpora rodin (2020)'!$Q$3:$W$3</c:f>
              <c:strCache>
                <c:ptCount val="7"/>
                <c:pt idx="0">
                  <c:v>P+0D</c:v>
                </c:pt>
                <c:pt idx="1">
                  <c:v>P+1D</c:v>
                </c:pt>
                <c:pt idx="2">
                  <c:v>P+2D</c:v>
                </c:pt>
                <c:pt idx="3">
                  <c:v>P+3D</c:v>
                </c:pt>
                <c:pt idx="4">
                  <c:v>P+4D</c:v>
                </c:pt>
                <c:pt idx="5">
                  <c:v>P+5D</c:v>
                </c:pt>
                <c:pt idx="6">
                  <c:v>P+6D</c:v>
                </c:pt>
              </c:strCache>
            </c:strRef>
          </c:cat>
          <c:val>
            <c:numRef>
              <c:f>'Podpora rodin (2020)'!$Q$6:$W$6</c:f>
              <c:numCache>
                <c:formatCode>0.00</c:formatCode>
                <c:ptCount val="7"/>
                <c:pt idx="0">
                  <c:v>0</c:v>
                </c:pt>
                <c:pt idx="1">
                  <c:v>18.600000000000001</c:v>
                </c:pt>
                <c:pt idx="2">
                  <c:v>37.200000000000003</c:v>
                </c:pt>
                <c:pt idx="3">
                  <c:v>55.800000000000004</c:v>
                </c:pt>
                <c:pt idx="4">
                  <c:v>74.400000000000006</c:v>
                </c:pt>
                <c:pt idx="5">
                  <c:v>93</c:v>
                </c:pt>
                <c:pt idx="6">
                  <c:v>111.60000000000001</c:v>
                </c:pt>
              </c:numCache>
            </c:numRef>
          </c:val>
          <c:extLst xmlns:c16r2="http://schemas.microsoft.com/office/drawing/2015/06/chart">
            <c:ext xmlns:c16="http://schemas.microsoft.com/office/drawing/2014/chart" uri="{C3380CC4-5D6E-409C-BE32-E72D297353CC}">
              <c16:uniqueId val="{00000002-C2F0-417E-86BB-896FF3404502}"/>
            </c:ext>
          </c:extLst>
        </c:ser>
        <c:ser>
          <c:idx val="3"/>
          <c:order val="3"/>
          <c:tx>
            <c:strRef>
              <c:f>'Podpora rodin (2020)'!$A$7</c:f>
              <c:strCache>
                <c:ptCount val="1"/>
                <c:pt idx="0">
                  <c:v>Prídavok na dieťa</c:v>
                </c:pt>
              </c:strCache>
            </c:strRef>
          </c:tx>
          <c:spPr>
            <a:solidFill>
              <a:schemeClr val="tx1">
                <a:lumMod val="50000"/>
                <a:lumOff val="50000"/>
              </a:schemeClr>
            </a:solidFill>
            <a:ln>
              <a:noFill/>
            </a:ln>
            <a:effectLst/>
          </c:spPr>
          <c:invertIfNegative val="0"/>
          <c:cat>
            <c:strRef>
              <c:f>'Podpora rodin (2020)'!$Q$3:$W$3</c:f>
              <c:strCache>
                <c:ptCount val="7"/>
                <c:pt idx="0">
                  <c:v>P+0D</c:v>
                </c:pt>
                <c:pt idx="1">
                  <c:v>P+1D</c:v>
                </c:pt>
                <c:pt idx="2">
                  <c:v>P+2D</c:v>
                </c:pt>
                <c:pt idx="3">
                  <c:v>P+3D</c:v>
                </c:pt>
                <c:pt idx="4">
                  <c:v>P+4D</c:v>
                </c:pt>
                <c:pt idx="5">
                  <c:v>P+5D</c:v>
                </c:pt>
                <c:pt idx="6">
                  <c:v>P+6D</c:v>
                </c:pt>
              </c:strCache>
            </c:strRef>
          </c:cat>
          <c:val>
            <c:numRef>
              <c:f>'Podpora rodin (2020)'!$Q$7:$W$7</c:f>
              <c:numCache>
                <c:formatCode>0.00</c:formatCode>
                <c:ptCount val="7"/>
                <c:pt idx="0">
                  <c:v>0</c:v>
                </c:pt>
                <c:pt idx="1">
                  <c:v>24.95</c:v>
                </c:pt>
                <c:pt idx="2">
                  <c:v>49.9</c:v>
                </c:pt>
                <c:pt idx="3">
                  <c:v>74.849999999999994</c:v>
                </c:pt>
                <c:pt idx="4">
                  <c:v>99.8</c:v>
                </c:pt>
                <c:pt idx="5">
                  <c:v>124.75</c:v>
                </c:pt>
                <c:pt idx="6">
                  <c:v>149.69999999999999</c:v>
                </c:pt>
              </c:numCache>
            </c:numRef>
          </c:val>
          <c:extLst xmlns:c16r2="http://schemas.microsoft.com/office/drawing/2015/06/chart">
            <c:ext xmlns:c16="http://schemas.microsoft.com/office/drawing/2014/chart" uri="{C3380CC4-5D6E-409C-BE32-E72D297353CC}">
              <c16:uniqueId val="{00000003-C2F0-417E-86BB-896FF3404502}"/>
            </c:ext>
          </c:extLst>
        </c:ser>
        <c:dLbls>
          <c:showLegendKey val="0"/>
          <c:showVal val="0"/>
          <c:showCatName val="0"/>
          <c:showSerName val="0"/>
          <c:showPercent val="0"/>
          <c:showBubbleSize val="0"/>
        </c:dLbls>
        <c:gapWidth val="150"/>
        <c:overlap val="100"/>
        <c:axId val="221403264"/>
        <c:axId val="223636752"/>
      </c:barChart>
      <c:lineChart>
        <c:grouping val="standard"/>
        <c:varyColors val="0"/>
        <c:ser>
          <c:idx val="4"/>
          <c:order val="4"/>
          <c:tx>
            <c:strRef>
              <c:f>'Podpora rodin (2020)'!$A$8</c:f>
              <c:strCache>
                <c:ptCount val="1"/>
                <c:pt idx="0">
                  <c:v>OECD ekvival. škála</c:v>
                </c:pt>
              </c:strCache>
            </c:strRef>
          </c:tx>
          <c:spPr>
            <a:ln w="28575" cap="rnd">
              <a:solidFill>
                <a:schemeClr val="tx1"/>
              </a:solidFill>
              <a:prstDash val="sysDash"/>
              <a:round/>
            </a:ln>
            <a:effectLst/>
          </c:spPr>
          <c:marker>
            <c:symbol val="none"/>
          </c:marker>
          <c:cat>
            <c:strRef>
              <c:f>'Podpora rodin (2020)'!$Q$3:$W$3</c:f>
              <c:strCache>
                <c:ptCount val="7"/>
                <c:pt idx="0">
                  <c:v>P+0D</c:v>
                </c:pt>
                <c:pt idx="1">
                  <c:v>P+1D</c:v>
                </c:pt>
                <c:pt idx="2">
                  <c:v>P+2D</c:v>
                </c:pt>
                <c:pt idx="3">
                  <c:v>P+3D</c:v>
                </c:pt>
                <c:pt idx="4">
                  <c:v>P+4D</c:v>
                </c:pt>
                <c:pt idx="5">
                  <c:v>P+5D</c:v>
                </c:pt>
                <c:pt idx="6">
                  <c:v>P+6D</c:v>
                </c:pt>
              </c:strCache>
            </c:strRef>
          </c:cat>
          <c:val>
            <c:numRef>
              <c:f>'Podpora rodin (2020)'!$Q$8:$W$8</c:f>
              <c:numCache>
                <c:formatCode>0.00</c:formatCode>
                <c:ptCount val="7"/>
                <c:pt idx="0">
                  <c:v>315.29999999999995</c:v>
                </c:pt>
                <c:pt idx="1">
                  <c:v>378.35999999999996</c:v>
                </c:pt>
                <c:pt idx="2">
                  <c:v>441.41999999999996</c:v>
                </c:pt>
                <c:pt idx="3">
                  <c:v>504.4799999999999</c:v>
                </c:pt>
                <c:pt idx="4">
                  <c:v>567.54</c:v>
                </c:pt>
                <c:pt idx="5">
                  <c:v>630.59999999999991</c:v>
                </c:pt>
                <c:pt idx="6">
                  <c:v>693.65999999999985</c:v>
                </c:pt>
              </c:numCache>
            </c:numRef>
          </c:val>
          <c:smooth val="0"/>
          <c:extLst xmlns:c16r2="http://schemas.microsoft.com/office/drawing/2015/06/chart">
            <c:ext xmlns:c16="http://schemas.microsoft.com/office/drawing/2014/chart" uri="{C3380CC4-5D6E-409C-BE32-E72D297353CC}">
              <c16:uniqueId val="{00000004-C2F0-417E-86BB-896FF3404502}"/>
            </c:ext>
          </c:extLst>
        </c:ser>
        <c:dLbls>
          <c:showLegendKey val="0"/>
          <c:showVal val="0"/>
          <c:showCatName val="0"/>
          <c:showSerName val="0"/>
          <c:showPercent val="0"/>
          <c:showBubbleSize val="0"/>
        </c:dLbls>
        <c:marker val="1"/>
        <c:smooth val="0"/>
        <c:axId val="221403264"/>
        <c:axId val="223636752"/>
      </c:lineChart>
      <c:catAx>
        <c:axId val="221403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3636752"/>
        <c:crosses val="autoZero"/>
        <c:auto val="1"/>
        <c:lblAlgn val="ctr"/>
        <c:lblOffset val="100"/>
        <c:noMultiLvlLbl val="0"/>
      </c:catAx>
      <c:valAx>
        <c:axId val="223636752"/>
        <c:scaling>
          <c:orientation val="minMax"/>
          <c:max val="800"/>
        </c:scaling>
        <c:delete val="0"/>
        <c:axPos val="l"/>
        <c:majorGridlines>
          <c:spPr>
            <a:ln w="9525" cap="flat" cmpd="sng" algn="ctr">
              <a:solidFill>
                <a:schemeClr val="tx1">
                  <a:lumMod val="15000"/>
                  <a:lumOff val="85000"/>
                </a:schemeClr>
              </a:solidFill>
              <a:prstDash val="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1403264"/>
        <c:crosses val="autoZero"/>
        <c:crossBetween val="between"/>
      </c:valAx>
      <c:spPr>
        <a:noFill/>
        <a:ln>
          <a:noFill/>
        </a:ln>
        <a:effectLst/>
      </c:spPr>
    </c:plotArea>
    <c:legend>
      <c:legendPos val="b"/>
      <c:layout>
        <c:manualLayout>
          <c:xMode val="edge"/>
          <c:yMode val="edge"/>
          <c:x val="0"/>
          <c:y val="0.85242782152230967"/>
          <c:w val="1"/>
          <c:h val="0.147572178477690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54830014935003"/>
          <c:y val="5.0925925925925923E-2"/>
          <c:w val="0.80206898380126723"/>
          <c:h val="0.68484324876057157"/>
        </c:manualLayout>
      </c:layout>
      <c:barChart>
        <c:barDir val="col"/>
        <c:grouping val="stacked"/>
        <c:varyColors val="0"/>
        <c:ser>
          <c:idx val="0"/>
          <c:order val="0"/>
          <c:tx>
            <c:strRef>
              <c:f>'Podpora rodin (2020)'!$A$23</c:f>
              <c:strCache>
                <c:ptCount val="1"/>
                <c:pt idx="0">
                  <c:v>Dávka v hmotnej núdzi</c:v>
                </c:pt>
              </c:strCache>
            </c:strRef>
          </c:tx>
          <c:spPr>
            <a:solidFill>
              <a:schemeClr val="accent1"/>
            </a:solidFill>
            <a:ln>
              <a:noFill/>
            </a:ln>
            <a:effectLst/>
          </c:spPr>
          <c:invertIfNegative val="0"/>
          <c:cat>
            <c:strRef>
              <c:f>'Podpora rodin (2020)'!$Q$22:$W$22</c:f>
              <c:strCache>
                <c:ptCount val="7"/>
                <c:pt idx="0">
                  <c:v>P+0D</c:v>
                </c:pt>
                <c:pt idx="1">
                  <c:v>P+1D</c:v>
                </c:pt>
                <c:pt idx="2">
                  <c:v>P+2D</c:v>
                </c:pt>
                <c:pt idx="3">
                  <c:v>P+3D</c:v>
                </c:pt>
                <c:pt idx="4">
                  <c:v>P+4D</c:v>
                </c:pt>
                <c:pt idx="5">
                  <c:v>P+5D</c:v>
                </c:pt>
                <c:pt idx="6">
                  <c:v>P+6D</c:v>
                </c:pt>
              </c:strCache>
            </c:strRef>
          </c:cat>
          <c:val>
            <c:numRef>
              <c:f>'Podpora rodin (2020)'!$Q$23:$W$23</c:f>
              <c:numCache>
                <c:formatCode>0.00</c:formatCode>
                <c:ptCount val="7"/>
                <c:pt idx="0">
                  <c:v>138.35999999999999</c:v>
                </c:pt>
                <c:pt idx="1">
                  <c:v>179.49999999999994</c:v>
                </c:pt>
                <c:pt idx="2">
                  <c:v>179.49999999999994</c:v>
                </c:pt>
                <c:pt idx="3">
                  <c:v>179.49999999999994</c:v>
                </c:pt>
                <c:pt idx="4">
                  <c:v>179.49999999999994</c:v>
                </c:pt>
                <c:pt idx="5">
                  <c:v>179.49999999999994</c:v>
                </c:pt>
                <c:pt idx="6">
                  <c:v>179.49999999999994</c:v>
                </c:pt>
              </c:numCache>
            </c:numRef>
          </c:val>
          <c:extLst xmlns:c16r2="http://schemas.microsoft.com/office/drawing/2015/06/chart">
            <c:ext xmlns:c16="http://schemas.microsoft.com/office/drawing/2014/chart" uri="{C3380CC4-5D6E-409C-BE32-E72D297353CC}">
              <c16:uniqueId val="{00000000-B664-46B4-A188-1655D30E9D8F}"/>
            </c:ext>
          </c:extLst>
        </c:ser>
        <c:ser>
          <c:idx val="1"/>
          <c:order val="1"/>
          <c:tx>
            <c:strRef>
              <c:f>'Podpora rodin (2020)'!$A$24</c:f>
              <c:strCache>
                <c:ptCount val="1"/>
                <c:pt idx="0">
                  <c:v>Aktivačný príspevok</c:v>
                </c:pt>
              </c:strCache>
            </c:strRef>
          </c:tx>
          <c:spPr>
            <a:solidFill>
              <a:schemeClr val="accent1">
                <a:lumMod val="40000"/>
                <a:lumOff val="60000"/>
              </a:schemeClr>
            </a:solidFill>
            <a:ln>
              <a:noFill/>
            </a:ln>
            <a:effectLst/>
          </c:spPr>
          <c:invertIfNegative val="0"/>
          <c:cat>
            <c:strRef>
              <c:f>'Podpora rodin (2020)'!$Q$22:$W$22</c:f>
              <c:strCache>
                <c:ptCount val="7"/>
                <c:pt idx="0">
                  <c:v>P+0D</c:v>
                </c:pt>
                <c:pt idx="1">
                  <c:v>P+1D</c:v>
                </c:pt>
                <c:pt idx="2">
                  <c:v>P+2D</c:v>
                </c:pt>
                <c:pt idx="3">
                  <c:v>P+3D</c:v>
                </c:pt>
                <c:pt idx="4">
                  <c:v>P+4D</c:v>
                </c:pt>
                <c:pt idx="5">
                  <c:v>P+5D</c:v>
                </c:pt>
                <c:pt idx="6">
                  <c:v>P+6D</c:v>
                </c:pt>
              </c:strCache>
            </c:strRef>
          </c:cat>
          <c:val>
            <c:numRef>
              <c:f>'Podpora rodin (2020)'!$Q$24:$W$24</c:f>
              <c:numCache>
                <c:formatCode>0.00</c:formatCode>
                <c:ptCount val="7"/>
                <c:pt idx="0">
                  <c:v>135.80000000000001</c:v>
                </c:pt>
                <c:pt idx="1">
                  <c:v>135.80000000000001</c:v>
                </c:pt>
                <c:pt idx="2">
                  <c:v>135.80000000000001</c:v>
                </c:pt>
                <c:pt idx="3">
                  <c:v>135.80000000000001</c:v>
                </c:pt>
                <c:pt idx="4">
                  <c:v>135.80000000000001</c:v>
                </c:pt>
                <c:pt idx="5">
                  <c:v>135.80000000000001</c:v>
                </c:pt>
                <c:pt idx="6">
                  <c:v>135.80000000000001</c:v>
                </c:pt>
              </c:numCache>
            </c:numRef>
          </c:val>
          <c:extLst xmlns:c16r2="http://schemas.microsoft.com/office/drawing/2015/06/chart">
            <c:ext xmlns:c16="http://schemas.microsoft.com/office/drawing/2014/chart" uri="{C3380CC4-5D6E-409C-BE32-E72D297353CC}">
              <c16:uniqueId val="{00000001-B664-46B4-A188-1655D30E9D8F}"/>
            </c:ext>
          </c:extLst>
        </c:ser>
        <c:ser>
          <c:idx val="2"/>
          <c:order val="2"/>
          <c:tx>
            <c:strRef>
              <c:f>'Podpora rodin (2020)'!$A$25</c:f>
              <c:strCache>
                <c:ptCount val="1"/>
                <c:pt idx="0">
                  <c:v>Pp na nezaop. dieťa</c:v>
                </c:pt>
              </c:strCache>
            </c:strRef>
          </c:tx>
          <c:spPr>
            <a:solidFill>
              <a:schemeClr val="accent1">
                <a:lumMod val="50000"/>
              </a:schemeClr>
            </a:solidFill>
            <a:ln>
              <a:noFill/>
            </a:ln>
            <a:effectLst/>
          </c:spPr>
          <c:invertIfNegative val="0"/>
          <c:cat>
            <c:strRef>
              <c:f>'Podpora rodin (2020)'!$Q$22:$W$22</c:f>
              <c:strCache>
                <c:ptCount val="7"/>
                <c:pt idx="0">
                  <c:v>P+0D</c:v>
                </c:pt>
                <c:pt idx="1">
                  <c:v>P+1D</c:v>
                </c:pt>
                <c:pt idx="2">
                  <c:v>P+2D</c:v>
                </c:pt>
                <c:pt idx="3">
                  <c:v>P+3D</c:v>
                </c:pt>
                <c:pt idx="4">
                  <c:v>P+4D</c:v>
                </c:pt>
                <c:pt idx="5">
                  <c:v>P+5D</c:v>
                </c:pt>
                <c:pt idx="6">
                  <c:v>P+6D</c:v>
                </c:pt>
              </c:strCache>
            </c:strRef>
          </c:cat>
          <c:val>
            <c:numRef>
              <c:f>'Podpora rodin (2020)'!$Q$25:$W$25</c:f>
              <c:numCache>
                <c:formatCode>0.00</c:formatCode>
                <c:ptCount val="7"/>
                <c:pt idx="0">
                  <c:v>0</c:v>
                </c:pt>
                <c:pt idx="1">
                  <c:v>38.110000000000014</c:v>
                </c:pt>
                <c:pt idx="2">
                  <c:v>76.220000000000027</c:v>
                </c:pt>
                <c:pt idx="3">
                  <c:v>114.33000000000004</c:v>
                </c:pt>
                <c:pt idx="4">
                  <c:v>152.43999999999994</c:v>
                </c:pt>
                <c:pt idx="5">
                  <c:v>190.55</c:v>
                </c:pt>
                <c:pt idx="6">
                  <c:v>228.65999999999997</c:v>
                </c:pt>
              </c:numCache>
            </c:numRef>
          </c:val>
          <c:extLst xmlns:c16r2="http://schemas.microsoft.com/office/drawing/2015/06/chart">
            <c:ext xmlns:c16="http://schemas.microsoft.com/office/drawing/2014/chart" uri="{C3380CC4-5D6E-409C-BE32-E72D297353CC}">
              <c16:uniqueId val="{00000002-B664-46B4-A188-1655D30E9D8F}"/>
            </c:ext>
          </c:extLst>
        </c:ser>
        <c:ser>
          <c:idx val="3"/>
          <c:order val="3"/>
          <c:tx>
            <c:strRef>
              <c:f>'Podpora rodin (2020)'!$A$26</c:f>
              <c:strCache>
                <c:ptCount val="1"/>
                <c:pt idx="0">
                  <c:v>Prídavok na dieťa</c:v>
                </c:pt>
              </c:strCache>
            </c:strRef>
          </c:tx>
          <c:spPr>
            <a:solidFill>
              <a:schemeClr val="tx1">
                <a:lumMod val="50000"/>
                <a:lumOff val="50000"/>
              </a:schemeClr>
            </a:solidFill>
            <a:ln>
              <a:noFill/>
            </a:ln>
            <a:effectLst/>
          </c:spPr>
          <c:invertIfNegative val="0"/>
          <c:cat>
            <c:strRef>
              <c:f>'Podpora rodin (2020)'!$Q$22:$W$22</c:f>
              <c:strCache>
                <c:ptCount val="7"/>
                <c:pt idx="0">
                  <c:v>P+0D</c:v>
                </c:pt>
                <c:pt idx="1">
                  <c:v>P+1D</c:v>
                </c:pt>
                <c:pt idx="2">
                  <c:v>P+2D</c:v>
                </c:pt>
                <c:pt idx="3">
                  <c:v>P+3D</c:v>
                </c:pt>
                <c:pt idx="4">
                  <c:v>P+4D</c:v>
                </c:pt>
                <c:pt idx="5">
                  <c:v>P+5D</c:v>
                </c:pt>
                <c:pt idx="6">
                  <c:v>P+6D</c:v>
                </c:pt>
              </c:strCache>
            </c:strRef>
          </c:cat>
          <c:val>
            <c:numRef>
              <c:f>'Podpora rodin (2020)'!$Q$26:$W$26</c:f>
              <c:numCache>
                <c:formatCode>0.00</c:formatCode>
                <c:ptCount val="7"/>
                <c:pt idx="0">
                  <c:v>0</c:v>
                </c:pt>
                <c:pt idx="1">
                  <c:v>24.95</c:v>
                </c:pt>
                <c:pt idx="2">
                  <c:v>49.9</c:v>
                </c:pt>
                <c:pt idx="3">
                  <c:v>74.849999999999994</c:v>
                </c:pt>
                <c:pt idx="4">
                  <c:v>99.8</c:v>
                </c:pt>
                <c:pt idx="5">
                  <c:v>124.75</c:v>
                </c:pt>
                <c:pt idx="6">
                  <c:v>149.69999999999999</c:v>
                </c:pt>
              </c:numCache>
            </c:numRef>
          </c:val>
          <c:extLst xmlns:c16r2="http://schemas.microsoft.com/office/drawing/2015/06/chart">
            <c:ext xmlns:c16="http://schemas.microsoft.com/office/drawing/2014/chart" uri="{C3380CC4-5D6E-409C-BE32-E72D297353CC}">
              <c16:uniqueId val="{00000003-B664-46B4-A188-1655D30E9D8F}"/>
            </c:ext>
          </c:extLst>
        </c:ser>
        <c:dLbls>
          <c:showLegendKey val="0"/>
          <c:showVal val="0"/>
          <c:showCatName val="0"/>
          <c:showSerName val="0"/>
          <c:showPercent val="0"/>
          <c:showBubbleSize val="0"/>
        </c:dLbls>
        <c:gapWidth val="150"/>
        <c:overlap val="100"/>
        <c:axId val="223637928"/>
        <c:axId val="223638320"/>
      </c:barChart>
      <c:lineChart>
        <c:grouping val="standard"/>
        <c:varyColors val="0"/>
        <c:ser>
          <c:idx val="4"/>
          <c:order val="4"/>
          <c:tx>
            <c:strRef>
              <c:f>'Podpora rodin (2020)'!$A$27</c:f>
              <c:strCache>
                <c:ptCount val="1"/>
                <c:pt idx="0">
                  <c:v>OECD ekvival. škála</c:v>
                </c:pt>
              </c:strCache>
            </c:strRef>
          </c:tx>
          <c:spPr>
            <a:ln w="28575" cap="rnd">
              <a:solidFill>
                <a:schemeClr val="tx1"/>
              </a:solidFill>
              <a:prstDash val="sysDash"/>
              <a:round/>
            </a:ln>
            <a:effectLst/>
          </c:spPr>
          <c:marker>
            <c:symbol val="none"/>
          </c:marker>
          <c:cat>
            <c:strRef>
              <c:f>'Podpora rodin (2020)'!$Q$22:$W$22</c:f>
              <c:strCache>
                <c:ptCount val="7"/>
                <c:pt idx="0">
                  <c:v>P+0D</c:v>
                </c:pt>
                <c:pt idx="1">
                  <c:v>P+1D</c:v>
                </c:pt>
                <c:pt idx="2">
                  <c:v>P+2D</c:v>
                </c:pt>
                <c:pt idx="3">
                  <c:v>P+3D</c:v>
                </c:pt>
                <c:pt idx="4">
                  <c:v>P+4D</c:v>
                </c:pt>
                <c:pt idx="5">
                  <c:v>P+5D</c:v>
                </c:pt>
                <c:pt idx="6">
                  <c:v>P+6D</c:v>
                </c:pt>
              </c:strCache>
            </c:strRef>
          </c:cat>
          <c:val>
            <c:numRef>
              <c:f>'Podpora rodin (2020)'!$Q$27:$W$27</c:f>
              <c:numCache>
                <c:formatCode>0.00</c:formatCode>
                <c:ptCount val="7"/>
                <c:pt idx="0">
                  <c:v>315.29999999999995</c:v>
                </c:pt>
                <c:pt idx="1">
                  <c:v>378.35999999999996</c:v>
                </c:pt>
                <c:pt idx="2">
                  <c:v>441.41999999999996</c:v>
                </c:pt>
                <c:pt idx="3">
                  <c:v>504.4799999999999</c:v>
                </c:pt>
                <c:pt idx="4">
                  <c:v>567.54</c:v>
                </c:pt>
                <c:pt idx="5">
                  <c:v>630.59999999999991</c:v>
                </c:pt>
                <c:pt idx="6">
                  <c:v>693.65999999999985</c:v>
                </c:pt>
              </c:numCache>
            </c:numRef>
          </c:val>
          <c:smooth val="0"/>
          <c:extLst xmlns:c16r2="http://schemas.microsoft.com/office/drawing/2015/06/chart">
            <c:ext xmlns:c16="http://schemas.microsoft.com/office/drawing/2014/chart" uri="{C3380CC4-5D6E-409C-BE32-E72D297353CC}">
              <c16:uniqueId val="{00000004-B664-46B4-A188-1655D30E9D8F}"/>
            </c:ext>
          </c:extLst>
        </c:ser>
        <c:dLbls>
          <c:showLegendKey val="0"/>
          <c:showVal val="0"/>
          <c:showCatName val="0"/>
          <c:showSerName val="0"/>
          <c:showPercent val="0"/>
          <c:showBubbleSize val="0"/>
        </c:dLbls>
        <c:marker val="1"/>
        <c:smooth val="0"/>
        <c:axId val="223637928"/>
        <c:axId val="223638320"/>
      </c:lineChart>
      <c:catAx>
        <c:axId val="223637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3638320"/>
        <c:crosses val="autoZero"/>
        <c:auto val="1"/>
        <c:lblAlgn val="ctr"/>
        <c:lblOffset val="100"/>
        <c:noMultiLvlLbl val="0"/>
      </c:catAx>
      <c:valAx>
        <c:axId val="223638320"/>
        <c:scaling>
          <c:orientation val="minMax"/>
          <c:max val="800"/>
        </c:scaling>
        <c:delete val="0"/>
        <c:axPos val="l"/>
        <c:majorGridlines>
          <c:spPr>
            <a:ln w="9525" cap="flat" cmpd="sng" algn="ctr">
              <a:solidFill>
                <a:schemeClr val="tx1">
                  <a:lumMod val="15000"/>
                  <a:lumOff val="85000"/>
                </a:schemeClr>
              </a:solidFill>
              <a:prstDash val="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3637928"/>
        <c:crosses val="autoZero"/>
        <c:crossBetween val="between"/>
      </c:valAx>
      <c:spPr>
        <a:noFill/>
        <a:ln>
          <a:noFill/>
        </a:ln>
        <a:effectLst/>
      </c:spPr>
    </c:plotArea>
    <c:legend>
      <c:legendPos val="b"/>
      <c:layout>
        <c:manualLayout>
          <c:xMode val="edge"/>
          <c:yMode val="edge"/>
          <c:x val="0"/>
          <c:y val="0.85242782152230967"/>
          <c:w val="1"/>
          <c:h val="0.147572178477690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310986126734162E-2"/>
          <c:y val="5.0925925925925923E-2"/>
          <c:w val="0.86678425196850395"/>
          <c:h val="0.86482283464566934"/>
        </c:manualLayout>
      </c:layout>
      <c:barChart>
        <c:barDir val="col"/>
        <c:grouping val="stacked"/>
        <c:varyColors val="0"/>
        <c:ser>
          <c:idx val="0"/>
          <c:order val="0"/>
          <c:tx>
            <c:strRef>
              <c:f>'Aktivacny prispevok'!$A$29</c:f>
              <c:strCache>
                <c:ptCount val="1"/>
                <c:pt idx="0">
                  <c:v>Aktivačné práce</c:v>
                </c:pt>
              </c:strCache>
            </c:strRef>
          </c:tx>
          <c:spPr>
            <a:solidFill>
              <a:schemeClr val="accent1">
                <a:lumMod val="75000"/>
              </a:schemeClr>
            </a:solidFill>
            <a:ln>
              <a:noFill/>
            </a:ln>
            <a:effectLst/>
          </c:spPr>
          <c:invertIfNegative val="0"/>
          <c:cat>
            <c:numRef>
              <c:f>'Aktivacny prispevok'!$B$28:$G$28</c:f>
              <c:numCache>
                <c:formatCode>General</c:formatCode>
                <c:ptCount val="6"/>
                <c:pt idx="0">
                  <c:v>2013</c:v>
                </c:pt>
                <c:pt idx="1">
                  <c:v>2014</c:v>
                </c:pt>
                <c:pt idx="2">
                  <c:v>2015</c:v>
                </c:pt>
                <c:pt idx="3">
                  <c:v>2016</c:v>
                </c:pt>
                <c:pt idx="4">
                  <c:v>2017</c:v>
                </c:pt>
                <c:pt idx="5">
                  <c:v>2018</c:v>
                </c:pt>
              </c:numCache>
            </c:numRef>
          </c:cat>
          <c:val>
            <c:numRef>
              <c:f>'Aktivacny prispevok'!$B$29:$G$29</c:f>
              <c:numCache>
                <c:formatCode>General</c:formatCode>
                <c:ptCount val="6"/>
                <c:pt idx="0">
                  <c:v>34.139622202171317</c:v>
                </c:pt>
                <c:pt idx="1">
                  <c:v>37.446934739617667</c:v>
                </c:pt>
                <c:pt idx="2">
                  <c:v>40.405656152025081</c:v>
                </c:pt>
                <c:pt idx="3">
                  <c:v>41.728195777159996</c:v>
                </c:pt>
                <c:pt idx="4">
                  <c:v>42.438010164792857</c:v>
                </c:pt>
                <c:pt idx="5">
                  <c:v>42.127385512355509</c:v>
                </c:pt>
              </c:numCache>
            </c:numRef>
          </c:val>
          <c:extLst xmlns:c16r2="http://schemas.microsoft.com/office/drawing/2015/06/chart">
            <c:ext xmlns:c16="http://schemas.microsoft.com/office/drawing/2014/chart" uri="{C3380CC4-5D6E-409C-BE32-E72D297353CC}">
              <c16:uniqueId val="{00000000-1B09-4689-ACE6-9137F1F0D474}"/>
            </c:ext>
          </c:extLst>
        </c:ser>
        <c:ser>
          <c:idx val="1"/>
          <c:order val="1"/>
          <c:tx>
            <c:strRef>
              <c:f>'Aktivacny prispevok'!$A$30</c:f>
              <c:strCache>
                <c:ptCount val="1"/>
                <c:pt idx="0">
                  <c:v>Iná aktivačná činnosť</c:v>
                </c:pt>
              </c:strCache>
            </c:strRef>
          </c:tx>
          <c:spPr>
            <a:solidFill>
              <a:schemeClr val="accent3"/>
            </a:solidFill>
            <a:ln>
              <a:noFill/>
            </a:ln>
            <a:effectLst/>
          </c:spPr>
          <c:invertIfNegative val="0"/>
          <c:cat>
            <c:numRef>
              <c:f>'Aktivacny prispevok'!$B$28:$G$28</c:f>
              <c:numCache>
                <c:formatCode>General</c:formatCode>
                <c:ptCount val="6"/>
                <c:pt idx="0">
                  <c:v>2013</c:v>
                </c:pt>
                <c:pt idx="1">
                  <c:v>2014</c:v>
                </c:pt>
                <c:pt idx="2">
                  <c:v>2015</c:v>
                </c:pt>
                <c:pt idx="3">
                  <c:v>2016</c:v>
                </c:pt>
                <c:pt idx="4">
                  <c:v>2017</c:v>
                </c:pt>
                <c:pt idx="5">
                  <c:v>2018</c:v>
                </c:pt>
              </c:numCache>
            </c:numRef>
          </c:cat>
          <c:val>
            <c:numRef>
              <c:f>'Aktivacny prispevok'!$B$30:$G$30</c:f>
              <c:numCache>
                <c:formatCode>0.00</c:formatCode>
                <c:ptCount val="6"/>
                <c:pt idx="0">
                  <c:v>1.0484035276653998</c:v>
                </c:pt>
                <c:pt idx="1">
                  <c:v>0.67501647989453062</c:v>
                </c:pt>
                <c:pt idx="2">
                  <c:v>1.5460042229189312</c:v>
                </c:pt>
                <c:pt idx="3">
                  <c:v>3.2573062704889466</c:v>
                </c:pt>
                <c:pt idx="4">
                  <c:v>6.4659376764720946</c:v>
                </c:pt>
                <c:pt idx="5">
                  <c:v>11.574183925968612</c:v>
                </c:pt>
              </c:numCache>
            </c:numRef>
          </c:val>
          <c:extLst xmlns:c16r2="http://schemas.microsoft.com/office/drawing/2015/06/chart">
            <c:ext xmlns:c16="http://schemas.microsoft.com/office/drawing/2014/chart" uri="{C3380CC4-5D6E-409C-BE32-E72D297353CC}">
              <c16:uniqueId val="{00000001-1B09-4689-ACE6-9137F1F0D474}"/>
            </c:ext>
          </c:extLst>
        </c:ser>
        <c:dLbls>
          <c:showLegendKey val="0"/>
          <c:showVal val="0"/>
          <c:showCatName val="0"/>
          <c:showSerName val="0"/>
          <c:showPercent val="0"/>
          <c:showBubbleSize val="0"/>
        </c:dLbls>
        <c:gapWidth val="150"/>
        <c:overlap val="100"/>
        <c:axId val="223639496"/>
        <c:axId val="223639888"/>
      </c:barChart>
      <c:catAx>
        <c:axId val="223639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3639888"/>
        <c:crosses val="autoZero"/>
        <c:auto val="1"/>
        <c:lblAlgn val="ctr"/>
        <c:lblOffset val="100"/>
        <c:noMultiLvlLbl val="0"/>
      </c:catAx>
      <c:valAx>
        <c:axId val="223639888"/>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3639496"/>
        <c:crosses val="autoZero"/>
        <c:crossBetween val="between"/>
      </c:valAx>
      <c:spPr>
        <a:noFill/>
        <a:ln>
          <a:noFill/>
        </a:ln>
        <a:effectLst/>
      </c:spPr>
    </c:plotArea>
    <c:legend>
      <c:legendPos val="b"/>
      <c:layout>
        <c:manualLayout>
          <c:xMode val="edge"/>
          <c:yMode val="edge"/>
          <c:x val="5.9495542933294343E-2"/>
          <c:y val="7.4652230971128566E-2"/>
          <c:w val="0.80582709669031305"/>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929169568089703"/>
          <c:y val="5.253104106972302E-2"/>
          <c:w val="0.74023211384291254"/>
          <c:h val="0.79536490230387868"/>
        </c:manualLayout>
      </c:layout>
      <c:scatterChart>
        <c:scatterStyle val="lineMarker"/>
        <c:varyColors val="0"/>
        <c:ser>
          <c:idx val="0"/>
          <c:order val="0"/>
          <c:spPr>
            <a:ln w="19050">
              <a:noFill/>
            </a:ln>
          </c:spPr>
          <c:marker>
            <c:symbol val="diamond"/>
            <c:size val="2"/>
            <c:spPr>
              <a:solidFill>
                <a:schemeClr val="accent1"/>
              </a:solidFill>
              <a:ln w="9525">
                <a:solidFill>
                  <a:schemeClr val="accent1"/>
                </a:solidFill>
              </a:ln>
              <a:effectLst/>
            </c:spPr>
          </c:marker>
          <c:xVal>
            <c:numRef>
              <c:f>'AP scatter'!$C$2:$C$940</c:f>
              <c:numCache>
                <c:formatCode>General</c:formatCode>
                <c:ptCount val="939"/>
                <c:pt idx="0">
                  <c:v>1.4549000000000001E-3</c:v>
                </c:pt>
                <c:pt idx="1">
                  <c:v>8.3271999999999999E-3</c:v>
                </c:pt>
                <c:pt idx="2">
                  <c:v>4.8666999999999998E-3</c:v>
                </c:pt>
                <c:pt idx="3">
                  <c:v>5.9246000000000004E-3</c:v>
                </c:pt>
                <c:pt idx="4">
                  <c:v>6.6350999999999997E-3</c:v>
                </c:pt>
                <c:pt idx="5">
                  <c:v>3.62554E-2</c:v>
                </c:pt>
                <c:pt idx="6">
                  <c:v>1.8618200000000001E-2</c:v>
                </c:pt>
                <c:pt idx="7">
                  <c:v>1.8449199999999999E-2</c:v>
                </c:pt>
                <c:pt idx="8">
                  <c:v>5.2930100000000001E-2</c:v>
                </c:pt>
                <c:pt idx="9">
                  <c:v>1.04102E-2</c:v>
                </c:pt>
                <c:pt idx="10">
                  <c:v>1.2811899999999999E-2</c:v>
                </c:pt>
                <c:pt idx="11">
                  <c:v>1.8088400000000001E-2</c:v>
                </c:pt>
                <c:pt idx="12">
                  <c:v>2.69853E-2</c:v>
                </c:pt>
                <c:pt idx="13">
                  <c:v>2.1590499999999999E-2</c:v>
                </c:pt>
                <c:pt idx="14">
                  <c:v>9.9269000000000007E-3</c:v>
                </c:pt>
                <c:pt idx="15">
                  <c:v>1.3912000000000001E-2</c:v>
                </c:pt>
                <c:pt idx="16">
                  <c:v>2.31285E-2</c:v>
                </c:pt>
                <c:pt idx="17">
                  <c:v>1.03491E-2</c:v>
                </c:pt>
                <c:pt idx="18">
                  <c:v>4.1295699999999998E-2</c:v>
                </c:pt>
                <c:pt idx="19">
                  <c:v>6.9575000000000001E-3</c:v>
                </c:pt>
                <c:pt idx="20">
                  <c:v>6.4111000000000003E-3</c:v>
                </c:pt>
                <c:pt idx="21">
                  <c:v>4.3281999999999999E-3</c:v>
                </c:pt>
                <c:pt idx="22">
                  <c:v>1.3686800000000001E-2</c:v>
                </c:pt>
                <c:pt idx="23">
                  <c:v>1.0557199999999999E-2</c:v>
                </c:pt>
                <c:pt idx="24">
                  <c:v>5.2208999999999997E-3</c:v>
                </c:pt>
                <c:pt idx="25">
                  <c:v>7.8270999999999993E-2</c:v>
                </c:pt>
                <c:pt idx="26">
                  <c:v>1.9917600000000001E-2</c:v>
                </c:pt>
                <c:pt idx="27">
                  <c:v>2.5174999999999999E-2</c:v>
                </c:pt>
                <c:pt idx="28">
                  <c:v>6.0310299999999997E-2</c:v>
                </c:pt>
                <c:pt idx="29">
                  <c:v>2.03547E-2</c:v>
                </c:pt>
                <c:pt idx="30">
                  <c:v>3.6624200000000003E-2</c:v>
                </c:pt>
                <c:pt idx="31">
                  <c:v>2.3350699999999999E-2</c:v>
                </c:pt>
                <c:pt idx="32">
                  <c:v>7.90043E-2</c:v>
                </c:pt>
                <c:pt idx="33">
                  <c:v>3.9703299999999997E-2</c:v>
                </c:pt>
                <c:pt idx="34">
                  <c:v>2.9190199999999999E-2</c:v>
                </c:pt>
                <c:pt idx="35">
                  <c:v>1.7324200000000001E-2</c:v>
                </c:pt>
                <c:pt idx="36">
                  <c:v>3.9527300000000001E-2</c:v>
                </c:pt>
                <c:pt idx="37">
                  <c:v>1.8429500000000001E-2</c:v>
                </c:pt>
                <c:pt idx="38">
                  <c:v>5.6379800000000001E-2</c:v>
                </c:pt>
                <c:pt idx="39">
                  <c:v>4.64684E-2</c:v>
                </c:pt>
                <c:pt idx="40">
                  <c:v>2.4216499999999998E-2</c:v>
                </c:pt>
                <c:pt idx="41">
                  <c:v>1.6349300000000001E-2</c:v>
                </c:pt>
                <c:pt idx="42">
                  <c:v>1.2025900000000001E-2</c:v>
                </c:pt>
                <c:pt idx="43">
                  <c:v>6.0779800000000002E-2</c:v>
                </c:pt>
                <c:pt idx="44">
                  <c:v>7.7289800000000006E-2</c:v>
                </c:pt>
                <c:pt idx="45">
                  <c:v>2.61675E-2</c:v>
                </c:pt>
                <c:pt idx="46">
                  <c:v>8.5821000000000005E-3</c:v>
                </c:pt>
                <c:pt idx="47">
                  <c:v>7.7858899999999995E-2</c:v>
                </c:pt>
                <c:pt idx="48">
                  <c:v>2.9324200000000002E-2</c:v>
                </c:pt>
                <c:pt idx="49">
                  <c:v>1.01387E-2</c:v>
                </c:pt>
                <c:pt idx="50">
                  <c:v>1.6557700000000002E-2</c:v>
                </c:pt>
                <c:pt idx="51">
                  <c:v>2.1825E-3</c:v>
                </c:pt>
                <c:pt idx="52">
                  <c:v>3.6444400000000002E-2</c:v>
                </c:pt>
                <c:pt idx="53">
                  <c:v>5.8314999999999999E-3</c:v>
                </c:pt>
                <c:pt idx="54">
                  <c:v>1.5815099999999999E-2</c:v>
                </c:pt>
                <c:pt idx="55">
                  <c:v>2.0532600000000002E-2</c:v>
                </c:pt>
                <c:pt idx="56">
                  <c:v>8.3134999999999997E-3</c:v>
                </c:pt>
                <c:pt idx="57">
                  <c:v>3.503E-3</c:v>
                </c:pt>
                <c:pt idx="58">
                  <c:v>9.3800000000000003E-4</c:v>
                </c:pt>
                <c:pt idx="59">
                  <c:v>7.2896999999999997E-3</c:v>
                </c:pt>
                <c:pt idx="60">
                  <c:v>1.2657E-3</c:v>
                </c:pt>
                <c:pt idx="61">
                  <c:v>2.3603000000000001E-3</c:v>
                </c:pt>
                <c:pt idx="62">
                  <c:v>4.4922E-3</c:v>
                </c:pt>
                <c:pt idx="63">
                  <c:v>1.3838400000000001E-2</c:v>
                </c:pt>
                <c:pt idx="64">
                  <c:v>2.9301000000000002E-3</c:v>
                </c:pt>
                <c:pt idx="65">
                  <c:v>3.3713699999999999E-2</c:v>
                </c:pt>
                <c:pt idx="66">
                  <c:v>1.9851999999999999E-3</c:v>
                </c:pt>
                <c:pt idx="67">
                  <c:v>3.3595100000000003E-2</c:v>
                </c:pt>
                <c:pt idx="68">
                  <c:v>2.1078999999999998E-3</c:v>
                </c:pt>
                <c:pt idx="69">
                  <c:v>8.8839999999999995E-3</c:v>
                </c:pt>
                <c:pt idx="70">
                  <c:v>1.7699099999999999E-2</c:v>
                </c:pt>
                <c:pt idx="71">
                  <c:v>5.0331999999999998E-3</c:v>
                </c:pt>
                <c:pt idx="72">
                  <c:v>5.9388000000000002E-3</c:v>
                </c:pt>
                <c:pt idx="73">
                  <c:v>1.7183000000000001E-3</c:v>
                </c:pt>
                <c:pt idx="74">
                  <c:v>3.8114999999999998E-3</c:v>
                </c:pt>
                <c:pt idx="75">
                  <c:v>7.3360000000000005E-4</c:v>
                </c:pt>
                <c:pt idx="76">
                  <c:v>1.3990000000000001E-3</c:v>
                </c:pt>
                <c:pt idx="77">
                  <c:v>2.0282E-3</c:v>
                </c:pt>
                <c:pt idx="78">
                  <c:v>1.1691E-3</c:v>
                </c:pt>
                <c:pt idx="79">
                  <c:v>1.0290000000000001E-2</c:v>
                </c:pt>
                <c:pt idx="80">
                  <c:v>8.4098000000000003E-3</c:v>
                </c:pt>
                <c:pt idx="81">
                  <c:v>4.8672000000000003E-3</c:v>
                </c:pt>
                <c:pt idx="82">
                  <c:v>1.4905E-2</c:v>
                </c:pt>
                <c:pt idx="83">
                  <c:v>2.3240899999999998E-2</c:v>
                </c:pt>
                <c:pt idx="84">
                  <c:v>3.3813700000000002E-2</c:v>
                </c:pt>
                <c:pt idx="85">
                  <c:v>4.3269200000000001E-2</c:v>
                </c:pt>
                <c:pt idx="86">
                  <c:v>2.1739100000000001E-2</c:v>
                </c:pt>
                <c:pt idx="87">
                  <c:v>2.2668199999999999E-2</c:v>
                </c:pt>
                <c:pt idx="88">
                  <c:v>1.48199E-2</c:v>
                </c:pt>
                <c:pt idx="89">
                  <c:v>1.4513099999999999E-2</c:v>
                </c:pt>
                <c:pt idx="90">
                  <c:v>1.6744499999999999E-2</c:v>
                </c:pt>
                <c:pt idx="91">
                  <c:v>1.3028100000000001E-2</c:v>
                </c:pt>
                <c:pt idx="92">
                  <c:v>1.3393499999999999E-2</c:v>
                </c:pt>
                <c:pt idx="93">
                  <c:v>2.20406E-2</c:v>
                </c:pt>
                <c:pt idx="94">
                  <c:v>2.2414900000000001E-2</c:v>
                </c:pt>
                <c:pt idx="95">
                  <c:v>1.7490800000000001E-2</c:v>
                </c:pt>
                <c:pt idx="96">
                  <c:v>7.2550000000000002E-3</c:v>
                </c:pt>
                <c:pt idx="97">
                  <c:v>9.3062599999999995E-2</c:v>
                </c:pt>
                <c:pt idx="98">
                  <c:v>0.1235135</c:v>
                </c:pt>
                <c:pt idx="99">
                  <c:v>3.4331E-2</c:v>
                </c:pt>
                <c:pt idx="100">
                  <c:v>8.7336200000000003E-2</c:v>
                </c:pt>
                <c:pt idx="101">
                  <c:v>3.7288300000000003E-2</c:v>
                </c:pt>
                <c:pt idx="102">
                  <c:v>3.7479000000000002E-3</c:v>
                </c:pt>
                <c:pt idx="103">
                  <c:v>7.3860999999999996E-3</c:v>
                </c:pt>
                <c:pt idx="104">
                  <c:v>6.8663999999999999E-3</c:v>
                </c:pt>
                <c:pt idx="105">
                  <c:v>5.0112999999999998E-3</c:v>
                </c:pt>
                <c:pt idx="106">
                  <c:v>7.2795000000000004E-3</c:v>
                </c:pt>
                <c:pt idx="107">
                  <c:v>1.90402E-2</c:v>
                </c:pt>
                <c:pt idx="108">
                  <c:v>1.17749E-2</c:v>
                </c:pt>
                <c:pt idx="109">
                  <c:v>1.25769E-2</c:v>
                </c:pt>
                <c:pt idx="110">
                  <c:v>1.12741E-2</c:v>
                </c:pt>
                <c:pt idx="111">
                  <c:v>5.6711000000000001E-3</c:v>
                </c:pt>
                <c:pt idx="112">
                  <c:v>2.53239E-2</c:v>
                </c:pt>
                <c:pt idx="113">
                  <c:v>3.8233E-3</c:v>
                </c:pt>
                <c:pt idx="114">
                  <c:v>2.60805E-2</c:v>
                </c:pt>
                <c:pt idx="115">
                  <c:v>3.3137000000000002E-3</c:v>
                </c:pt>
                <c:pt idx="116">
                  <c:v>5.6481999999999999E-3</c:v>
                </c:pt>
                <c:pt idx="117">
                  <c:v>5.9991000000000003E-3</c:v>
                </c:pt>
                <c:pt idx="118">
                  <c:v>2.9732000000000001E-3</c:v>
                </c:pt>
                <c:pt idx="119">
                  <c:v>8.1335999999999995E-3</c:v>
                </c:pt>
                <c:pt idx="120">
                  <c:v>9.4570999999999995E-3</c:v>
                </c:pt>
                <c:pt idx="121">
                  <c:v>5.6436000000000004E-3</c:v>
                </c:pt>
                <c:pt idx="122">
                  <c:v>4.9328999999999996E-3</c:v>
                </c:pt>
                <c:pt idx="123">
                  <c:v>1.61882E-2</c:v>
                </c:pt>
                <c:pt idx="124">
                  <c:v>6.1676999999999999E-3</c:v>
                </c:pt>
                <c:pt idx="125">
                  <c:v>8.0447999999999995E-3</c:v>
                </c:pt>
                <c:pt idx="126">
                  <c:v>3.1895999999999999E-3</c:v>
                </c:pt>
                <c:pt idx="127">
                  <c:v>4.5718E-3</c:v>
                </c:pt>
                <c:pt idx="128">
                  <c:v>5.0054000000000001E-3</c:v>
                </c:pt>
                <c:pt idx="129">
                  <c:v>8.8243000000000002E-3</c:v>
                </c:pt>
                <c:pt idx="130">
                  <c:v>3.5818999999999998E-3</c:v>
                </c:pt>
                <c:pt idx="131">
                  <c:v>5.0004999999999997E-3</c:v>
                </c:pt>
                <c:pt idx="132">
                  <c:v>1.2135399999999999E-2</c:v>
                </c:pt>
                <c:pt idx="133">
                  <c:v>1.3754499999999999E-2</c:v>
                </c:pt>
                <c:pt idx="134">
                  <c:v>1.16457E-2</c:v>
                </c:pt>
                <c:pt idx="135">
                  <c:v>1.63465E-2</c:v>
                </c:pt>
                <c:pt idx="136">
                  <c:v>1.12751E-2</c:v>
                </c:pt>
                <c:pt idx="137">
                  <c:v>9.7932000000000002E-3</c:v>
                </c:pt>
                <c:pt idx="138">
                  <c:v>1.22673E-2</c:v>
                </c:pt>
                <c:pt idx="139">
                  <c:v>4.6864000000000003E-3</c:v>
                </c:pt>
                <c:pt idx="140">
                  <c:v>1.6460900000000001E-2</c:v>
                </c:pt>
                <c:pt idx="141">
                  <c:v>6.9217899999999999E-2</c:v>
                </c:pt>
                <c:pt idx="142">
                  <c:v>1.36981E-2</c:v>
                </c:pt>
                <c:pt idx="143">
                  <c:v>1.2208999999999999E-2</c:v>
                </c:pt>
                <c:pt idx="144">
                  <c:v>4.5218300000000003E-2</c:v>
                </c:pt>
                <c:pt idx="145">
                  <c:v>1.8061299999999999E-2</c:v>
                </c:pt>
                <c:pt idx="146">
                  <c:v>2.1383599999999999E-2</c:v>
                </c:pt>
                <c:pt idx="147">
                  <c:v>9.4006599999999996E-2</c:v>
                </c:pt>
                <c:pt idx="148">
                  <c:v>4.1666700000000001E-2</c:v>
                </c:pt>
                <c:pt idx="149">
                  <c:v>5.4827800000000003E-2</c:v>
                </c:pt>
                <c:pt idx="150">
                  <c:v>0.1921397</c:v>
                </c:pt>
                <c:pt idx="151">
                  <c:v>0.13118579999999999</c:v>
                </c:pt>
                <c:pt idx="152">
                  <c:v>4.2363400000000002E-2</c:v>
                </c:pt>
                <c:pt idx="153">
                  <c:v>5.6488099999999999E-2</c:v>
                </c:pt>
                <c:pt idx="154">
                  <c:v>5.9643500000000002E-2</c:v>
                </c:pt>
                <c:pt idx="155">
                  <c:v>6.5812700000000002E-2</c:v>
                </c:pt>
                <c:pt idx="156">
                  <c:v>1.7149999999999999E-2</c:v>
                </c:pt>
                <c:pt idx="157">
                  <c:v>9.3994800000000003E-2</c:v>
                </c:pt>
                <c:pt idx="158">
                  <c:v>0.110179</c:v>
                </c:pt>
                <c:pt idx="159">
                  <c:v>0.15523600000000001</c:v>
                </c:pt>
                <c:pt idx="160">
                  <c:v>1.8383199999999999E-2</c:v>
                </c:pt>
                <c:pt idx="161">
                  <c:v>9.4975500000000004E-2</c:v>
                </c:pt>
                <c:pt idx="162">
                  <c:v>6.4493999999999996E-2</c:v>
                </c:pt>
                <c:pt idx="163">
                  <c:v>3.67064E-2</c:v>
                </c:pt>
                <c:pt idx="164">
                  <c:v>4.4590600000000001E-2</c:v>
                </c:pt>
                <c:pt idx="165">
                  <c:v>6.5399100000000002E-2</c:v>
                </c:pt>
                <c:pt idx="166">
                  <c:v>6.8939399999999998E-2</c:v>
                </c:pt>
                <c:pt idx="167">
                  <c:v>7.5972399999999995E-2</c:v>
                </c:pt>
                <c:pt idx="168">
                  <c:v>9.6215800000000004E-2</c:v>
                </c:pt>
                <c:pt idx="169">
                  <c:v>0.1003472</c:v>
                </c:pt>
                <c:pt idx="170">
                  <c:v>2.1396399999999999E-2</c:v>
                </c:pt>
                <c:pt idx="171">
                  <c:v>0.14513889999999999</c:v>
                </c:pt>
                <c:pt idx="172">
                  <c:v>8.5658899999999996E-2</c:v>
                </c:pt>
                <c:pt idx="173">
                  <c:v>3.6186500000000003E-2</c:v>
                </c:pt>
                <c:pt idx="174">
                  <c:v>3.5265699999999997E-2</c:v>
                </c:pt>
                <c:pt idx="175">
                  <c:v>0.13988100000000001</c:v>
                </c:pt>
                <c:pt idx="176">
                  <c:v>3.7528699999999998E-2</c:v>
                </c:pt>
                <c:pt idx="177">
                  <c:v>0.19871800000000001</c:v>
                </c:pt>
                <c:pt idx="178">
                  <c:v>6.6193299999999997E-2</c:v>
                </c:pt>
                <c:pt idx="179">
                  <c:v>0.10436380000000001</c:v>
                </c:pt>
                <c:pt idx="180">
                  <c:v>6.0828399999999998E-2</c:v>
                </c:pt>
                <c:pt idx="181">
                  <c:v>3.5770400000000001E-2</c:v>
                </c:pt>
                <c:pt idx="182">
                  <c:v>0.1105341</c:v>
                </c:pt>
                <c:pt idx="183">
                  <c:v>7.89242E-2</c:v>
                </c:pt>
                <c:pt idx="184">
                  <c:v>0.12744440000000001</c:v>
                </c:pt>
                <c:pt idx="185">
                  <c:v>4.3199599999999998E-2</c:v>
                </c:pt>
                <c:pt idx="186">
                  <c:v>5.6752900000000002E-2</c:v>
                </c:pt>
                <c:pt idx="187">
                  <c:v>4.66028E-2</c:v>
                </c:pt>
                <c:pt idx="188">
                  <c:v>6.9401400000000002E-2</c:v>
                </c:pt>
                <c:pt idx="189">
                  <c:v>7.92181E-2</c:v>
                </c:pt>
                <c:pt idx="190">
                  <c:v>8.3135399999999998E-2</c:v>
                </c:pt>
                <c:pt idx="191">
                  <c:v>3.8243000000000001E-3</c:v>
                </c:pt>
                <c:pt idx="192">
                  <c:v>1.9401999999999999E-2</c:v>
                </c:pt>
                <c:pt idx="193">
                  <c:v>2.8079699999999999E-2</c:v>
                </c:pt>
                <c:pt idx="194">
                  <c:v>7.3385999999999998E-3</c:v>
                </c:pt>
                <c:pt idx="195">
                  <c:v>3.4898499999999999E-2</c:v>
                </c:pt>
                <c:pt idx="196">
                  <c:v>3.9583999999999999E-3</c:v>
                </c:pt>
                <c:pt idx="197">
                  <c:v>5.1418000000000002E-3</c:v>
                </c:pt>
                <c:pt idx="198">
                  <c:v>1.6844000000000001E-2</c:v>
                </c:pt>
                <c:pt idx="199">
                  <c:v>1.4805E-3</c:v>
                </c:pt>
                <c:pt idx="200">
                  <c:v>9.1975000000000008E-3</c:v>
                </c:pt>
                <c:pt idx="201">
                  <c:v>1.2605E-2</c:v>
                </c:pt>
                <c:pt idx="202">
                  <c:v>3.1554999999999999E-3</c:v>
                </c:pt>
                <c:pt idx="203">
                  <c:v>5.48697E-2</c:v>
                </c:pt>
                <c:pt idx="204">
                  <c:v>3.8507800000000002E-2</c:v>
                </c:pt>
                <c:pt idx="205">
                  <c:v>8.9333300000000004E-2</c:v>
                </c:pt>
                <c:pt idx="206">
                  <c:v>5.7909599999999999E-2</c:v>
                </c:pt>
                <c:pt idx="207">
                  <c:v>0.1776961</c:v>
                </c:pt>
                <c:pt idx="208">
                  <c:v>5.4615000000000002E-3</c:v>
                </c:pt>
                <c:pt idx="209">
                  <c:v>9.8606000000000006E-3</c:v>
                </c:pt>
                <c:pt idx="210">
                  <c:v>1.23386E-2</c:v>
                </c:pt>
                <c:pt idx="211">
                  <c:v>6.1016000000000004E-3</c:v>
                </c:pt>
                <c:pt idx="212">
                  <c:v>3.4814400000000002E-2</c:v>
                </c:pt>
                <c:pt idx="213">
                  <c:v>0.3738244</c:v>
                </c:pt>
                <c:pt idx="214">
                  <c:v>0.12796070000000001</c:v>
                </c:pt>
                <c:pt idx="215">
                  <c:v>0.15586420000000001</c:v>
                </c:pt>
                <c:pt idx="216">
                  <c:v>0.12824450000000001</c:v>
                </c:pt>
                <c:pt idx="217">
                  <c:v>0.20579710000000001</c:v>
                </c:pt>
                <c:pt idx="218">
                  <c:v>0.38066339999999999</c:v>
                </c:pt>
                <c:pt idx="219">
                  <c:v>0.1355198</c:v>
                </c:pt>
                <c:pt idx="220">
                  <c:v>0.11873640000000001</c:v>
                </c:pt>
                <c:pt idx="221">
                  <c:v>0.27690290000000001</c:v>
                </c:pt>
                <c:pt idx="222">
                  <c:v>0.1603464</c:v>
                </c:pt>
                <c:pt idx="223">
                  <c:v>0.1549797</c:v>
                </c:pt>
                <c:pt idx="224">
                  <c:v>0.28846149999999998</c:v>
                </c:pt>
                <c:pt idx="225">
                  <c:v>0.1025528</c:v>
                </c:pt>
                <c:pt idx="226">
                  <c:v>8.0618200000000001E-2</c:v>
                </c:pt>
                <c:pt idx="227">
                  <c:v>0.18238480000000001</c:v>
                </c:pt>
                <c:pt idx="228">
                  <c:v>0.1577491</c:v>
                </c:pt>
                <c:pt idx="229">
                  <c:v>6.4918199999999995E-2</c:v>
                </c:pt>
                <c:pt idx="230">
                  <c:v>0.25522470000000003</c:v>
                </c:pt>
                <c:pt idx="231">
                  <c:v>0.1098485</c:v>
                </c:pt>
                <c:pt idx="232">
                  <c:v>4.9054E-2</c:v>
                </c:pt>
                <c:pt idx="233">
                  <c:v>0.2113225</c:v>
                </c:pt>
                <c:pt idx="234">
                  <c:v>0.1510417</c:v>
                </c:pt>
                <c:pt idx="235">
                  <c:v>0.22453699999999999</c:v>
                </c:pt>
                <c:pt idx="236">
                  <c:v>0.33756039999999998</c:v>
                </c:pt>
                <c:pt idx="237">
                  <c:v>3.3589300000000002E-2</c:v>
                </c:pt>
                <c:pt idx="238">
                  <c:v>7.5463699999999995E-2</c:v>
                </c:pt>
                <c:pt idx="239">
                  <c:v>2.3181799999999999E-2</c:v>
                </c:pt>
                <c:pt idx="240">
                  <c:v>0.1197411</c:v>
                </c:pt>
                <c:pt idx="241">
                  <c:v>0.1173633</c:v>
                </c:pt>
                <c:pt idx="242">
                  <c:v>0.1765253</c:v>
                </c:pt>
                <c:pt idx="243">
                  <c:v>0.25</c:v>
                </c:pt>
                <c:pt idx="244">
                  <c:v>0.1380719</c:v>
                </c:pt>
                <c:pt idx="245">
                  <c:v>0.1778132</c:v>
                </c:pt>
                <c:pt idx="246">
                  <c:v>0.3356808</c:v>
                </c:pt>
                <c:pt idx="247">
                  <c:v>8.3276900000000001E-2</c:v>
                </c:pt>
                <c:pt idx="248">
                  <c:v>0.26321139999999998</c:v>
                </c:pt>
                <c:pt idx="249">
                  <c:v>0.30879119999999999</c:v>
                </c:pt>
                <c:pt idx="250">
                  <c:v>0.27142860000000002</c:v>
                </c:pt>
                <c:pt idx="251">
                  <c:v>5.0991599999999998E-2</c:v>
                </c:pt>
                <c:pt idx="252">
                  <c:v>0.21276600000000001</c:v>
                </c:pt>
                <c:pt idx="253">
                  <c:v>0.19444439999999999</c:v>
                </c:pt>
                <c:pt idx="254">
                  <c:v>0.13698630000000001</c:v>
                </c:pt>
                <c:pt idx="255">
                  <c:v>0.1030466</c:v>
                </c:pt>
                <c:pt idx="256">
                  <c:v>0.25905800000000001</c:v>
                </c:pt>
                <c:pt idx="257">
                  <c:v>9.9773200000000006E-2</c:v>
                </c:pt>
                <c:pt idx="258">
                  <c:v>0.44503549999999997</c:v>
                </c:pt>
                <c:pt idx="259">
                  <c:v>0.23621549999999999</c:v>
                </c:pt>
                <c:pt idx="260">
                  <c:v>0.1973684</c:v>
                </c:pt>
                <c:pt idx="261">
                  <c:v>0.12861739999999999</c:v>
                </c:pt>
                <c:pt idx="262">
                  <c:v>0.1796875</c:v>
                </c:pt>
                <c:pt idx="263">
                  <c:v>4.5394999999999998E-2</c:v>
                </c:pt>
                <c:pt idx="264">
                  <c:v>0.14249999999999999</c:v>
                </c:pt>
                <c:pt idx="265">
                  <c:v>0.31511470000000003</c:v>
                </c:pt>
                <c:pt idx="266">
                  <c:v>0.4208094</c:v>
                </c:pt>
                <c:pt idx="267">
                  <c:v>0.1355893</c:v>
                </c:pt>
                <c:pt idx="268">
                  <c:v>6.5618800000000005E-2</c:v>
                </c:pt>
                <c:pt idx="269">
                  <c:v>0.33198820000000001</c:v>
                </c:pt>
                <c:pt idx="270">
                  <c:v>4.6779099999999997E-2</c:v>
                </c:pt>
                <c:pt idx="271">
                  <c:v>9.8331299999999996E-2</c:v>
                </c:pt>
                <c:pt idx="272">
                  <c:v>0.1562963</c:v>
                </c:pt>
                <c:pt idx="273">
                  <c:v>0.19629630000000001</c:v>
                </c:pt>
                <c:pt idx="274">
                  <c:v>0.18793099999999999</c:v>
                </c:pt>
                <c:pt idx="275">
                  <c:v>0.31722689999999998</c:v>
                </c:pt>
                <c:pt idx="276">
                  <c:v>5.27375E-2</c:v>
                </c:pt>
                <c:pt idx="277">
                  <c:v>0.12967119999999999</c:v>
                </c:pt>
                <c:pt idx="278">
                  <c:v>0.1568628</c:v>
                </c:pt>
                <c:pt idx="279">
                  <c:v>5.8473400000000002E-2</c:v>
                </c:pt>
                <c:pt idx="280">
                  <c:v>0.35821599999999998</c:v>
                </c:pt>
                <c:pt idx="281">
                  <c:v>8.6123199999999997E-2</c:v>
                </c:pt>
                <c:pt idx="282">
                  <c:v>0.21109439999999999</c:v>
                </c:pt>
                <c:pt idx="283">
                  <c:v>0.1250715</c:v>
                </c:pt>
                <c:pt idx="284">
                  <c:v>0.19256760000000001</c:v>
                </c:pt>
                <c:pt idx="285">
                  <c:v>0.14944279999999999</c:v>
                </c:pt>
                <c:pt idx="286">
                  <c:v>3.4754800000000002E-2</c:v>
                </c:pt>
                <c:pt idx="287">
                  <c:v>0.21755730000000001</c:v>
                </c:pt>
                <c:pt idx="288">
                  <c:v>0.17645930000000001</c:v>
                </c:pt>
                <c:pt idx="289">
                  <c:v>0.13985790000000001</c:v>
                </c:pt>
                <c:pt idx="290">
                  <c:v>4.1432999999999998E-2</c:v>
                </c:pt>
                <c:pt idx="291">
                  <c:v>9.29812E-2</c:v>
                </c:pt>
                <c:pt idx="292">
                  <c:v>0.34523809999999999</c:v>
                </c:pt>
                <c:pt idx="293">
                  <c:v>0.31598989999999999</c:v>
                </c:pt>
                <c:pt idx="294">
                  <c:v>0.27854509999999999</c:v>
                </c:pt>
                <c:pt idx="295">
                  <c:v>0.17245369999999999</c:v>
                </c:pt>
                <c:pt idx="296">
                  <c:v>0.17164180000000001</c:v>
                </c:pt>
                <c:pt idx="297">
                  <c:v>0.26942349999999998</c:v>
                </c:pt>
                <c:pt idx="298">
                  <c:v>1.4468699999999999E-2</c:v>
                </c:pt>
                <c:pt idx="299">
                  <c:v>2.1055399999999998E-2</c:v>
                </c:pt>
                <c:pt idx="300">
                  <c:v>1.54936E-2</c:v>
                </c:pt>
                <c:pt idx="301">
                  <c:v>0.10789799999999999</c:v>
                </c:pt>
                <c:pt idx="302">
                  <c:v>4.75234E-2</c:v>
                </c:pt>
                <c:pt idx="303">
                  <c:v>3.5732100000000003E-2</c:v>
                </c:pt>
                <c:pt idx="304">
                  <c:v>3.74238E-2</c:v>
                </c:pt>
                <c:pt idx="305">
                  <c:v>3.3938799999999998E-2</c:v>
                </c:pt>
                <c:pt idx="306">
                  <c:v>3.61041E-2</c:v>
                </c:pt>
                <c:pt idx="307">
                  <c:v>3.2433700000000003E-2</c:v>
                </c:pt>
                <c:pt idx="308">
                  <c:v>3.3677499999999999E-2</c:v>
                </c:pt>
                <c:pt idx="309">
                  <c:v>5.6734E-2</c:v>
                </c:pt>
                <c:pt idx="310">
                  <c:v>0.17225090000000001</c:v>
                </c:pt>
                <c:pt idx="311">
                  <c:v>9.0277800000000005E-2</c:v>
                </c:pt>
                <c:pt idx="312">
                  <c:v>5.9807300000000001E-2</c:v>
                </c:pt>
                <c:pt idx="313">
                  <c:v>8.5530800000000004E-2</c:v>
                </c:pt>
                <c:pt idx="314">
                  <c:v>5.0494400000000002E-2</c:v>
                </c:pt>
                <c:pt idx="315">
                  <c:v>3.94737E-2</c:v>
                </c:pt>
                <c:pt idx="316">
                  <c:v>3.8443199999999997E-2</c:v>
                </c:pt>
                <c:pt idx="317">
                  <c:v>6.2388600000000002E-2</c:v>
                </c:pt>
                <c:pt idx="318">
                  <c:v>0.29651159999999999</c:v>
                </c:pt>
                <c:pt idx="319">
                  <c:v>0.1625817</c:v>
                </c:pt>
                <c:pt idx="320">
                  <c:v>1.46006E-2</c:v>
                </c:pt>
                <c:pt idx="321">
                  <c:v>1.7497800000000001E-2</c:v>
                </c:pt>
                <c:pt idx="322">
                  <c:v>8.0538999999999993E-3</c:v>
                </c:pt>
                <c:pt idx="323">
                  <c:v>2.6801800000000001E-2</c:v>
                </c:pt>
                <c:pt idx="324">
                  <c:v>2.08904E-2</c:v>
                </c:pt>
                <c:pt idx="325">
                  <c:v>2.2514900000000001E-2</c:v>
                </c:pt>
                <c:pt idx="326">
                  <c:v>5.0104200000000002E-2</c:v>
                </c:pt>
                <c:pt idx="327">
                  <c:v>1.5011500000000001E-2</c:v>
                </c:pt>
                <c:pt idx="328">
                  <c:v>2.21014E-2</c:v>
                </c:pt>
                <c:pt idx="329">
                  <c:v>3.5883699999999998E-2</c:v>
                </c:pt>
                <c:pt idx="330">
                  <c:v>1.25688E-2</c:v>
                </c:pt>
                <c:pt idx="331">
                  <c:v>4.15033E-2</c:v>
                </c:pt>
                <c:pt idx="332">
                  <c:v>9.5083000000000008E-3</c:v>
                </c:pt>
                <c:pt idx="333">
                  <c:v>0.1392544</c:v>
                </c:pt>
                <c:pt idx="334">
                  <c:v>3.1775499999999998E-2</c:v>
                </c:pt>
                <c:pt idx="335">
                  <c:v>2.5991799999999999E-2</c:v>
                </c:pt>
                <c:pt idx="336">
                  <c:v>2.5624999999999998E-2</c:v>
                </c:pt>
                <c:pt idx="337">
                  <c:v>1.4851100000000001E-2</c:v>
                </c:pt>
                <c:pt idx="338">
                  <c:v>2.8776000000000001E-3</c:v>
                </c:pt>
                <c:pt idx="339">
                  <c:v>4.4406999999999997E-3</c:v>
                </c:pt>
                <c:pt idx="340">
                  <c:v>8.5815000000000006E-3</c:v>
                </c:pt>
                <c:pt idx="341">
                  <c:v>1.01259E-2</c:v>
                </c:pt>
                <c:pt idx="342">
                  <c:v>1.35379E-2</c:v>
                </c:pt>
                <c:pt idx="343">
                  <c:v>3.0848E-3</c:v>
                </c:pt>
                <c:pt idx="344">
                  <c:v>1.06038E-2</c:v>
                </c:pt>
                <c:pt idx="345">
                  <c:v>9.7090000000000006E-3</c:v>
                </c:pt>
                <c:pt idx="346">
                  <c:v>7.1596000000000003E-3</c:v>
                </c:pt>
                <c:pt idx="347">
                  <c:v>7.7345300000000006E-2</c:v>
                </c:pt>
                <c:pt idx="348">
                  <c:v>7.5686E-3</c:v>
                </c:pt>
                <c:pt idx="349">
                  <c:v>3.2934100000000001E-2</c:v>
                </c:pt>
                <c:pt idx="350">
                  <c:v>4.8912999999999998E-2</c:v>
                </c:pt>
                <c:pt idx="351">
                  <c:v>1.5776200000000001E-2</c:v>
                </c:pt>
                <c:pt idx="352">
                  <c:v>3.1917500000000001E-2</c:v>
                </c:pt>
                <c:pt idx="353">
                  <c:v>6.5426999999999999E-2</c:v>
                </c:pt>
                <c:pt idx="354">
                  <c:v>6.6796400000000006E-2</c:v>
                </c:pt>
                <c:pt idx="355">
                  <c:v>1.78479E-2</c:v>
                </c:pt>
                <c:pt idx="356">
                  <c:v>6.5615300000000001E-2</c:v>
                </c:pt>
                <c:pt idx="357">
                  <c:v>1.8914500000000001E-2</c:v>
                </c:pt>
                <c:pt idx="358">
                  <c:v>2.18579E-2</c:v>
                </c:pt>
                <c:pt idx="359">
                  <c:v>2.6884600000000002E-2</c:v>
                </c:pt>
                <c:pt idx="360">
                  <c:v>4.5032900000000001E-2</c:v>
                </c:pt>
                <c:pt idx="361">
                  <c:v>1.63646E-2</c:v>
                </c:pt>
                <c:pt idx="362">
                  <c:v>7.3059399999999997E-2</c:v>
                </c:pt>
                <c:pt idx="363">
                  <c:v>1.31916E-2</c:v>
                </c:pt>
                <c:pt idx="364">
                  <c:v>7.3079E-3</c:v>
                </c:pt>
                <c:pt idx="365">
                  <c:v>0.17374729999999999</c:v>
                </c:pt>
                <c:pt idx="366">
                  <c:v>3.8488700000000001E-2</c:v>
                </c:pt>
                <c:pt idx="367">
                  <c:v>8.9928099999999997E-2</c:v>
                </c:pt>
                <c:pt idx="368">
                  <c:v>1.45711E-2</c:v>
                </c:pt>
                <c:pt idx="369">
                  <c:v>1.3756300000000001E-2</c:v>
                </c:pt>
                <c:pt idx="370">
                  <c:v>1.8771699999999999E-2</c:v>
                </c:pt>
                <c:pt idx="371">
                  <c:v>4.14823E-2</c:v>
                </c:pt>
                <c:pt idx="372">
                  <c:v>4.3425E-3</c:v>
                </c:pt>
                <c:pt idx="373">
                  <c:v>8.9947100000000002E-2</c:v>
                </c:pt>
                <c:pt idx="374">
                  <c:v>5.02347E-2</c:v>
                </c:pt>
                <c:pt idx="375">
                  <c:v>1.1500399999999999E-2</c:v>
                </c:pt>
                <c:pt idx="376">
                  <c:v>1.86103E-2</c:v>
                </c:pt>
                <c:pt idx="377">
                  <c:v>1.3989700000000001E-2</c:v>
                </c:pt>
                <c:pt idx="378">
                  <c:v>0.39771459999999997</c:v>
                </c:pt>
                <c:pt idx="379">
                  <c:v>0.1158777</c:v>
                </c:pt>
                <c:pt idx="380">
                  <c:v>6.6305500000000003E-2</c:v>
                </c:pt>
                <c:pt idx="381">
                  <c:v>6.3104099999999996E-2</c:v>
                </c:pt>
                <c:pt idx="382">
                  <c:v>1.65965E-2</c:v>
                </c:pt>
                <c:pt idx="383">
                  <c:v>0.21452379999999999</c:v>
                </c:pt>
                <c:pt idx="384">
                  <c:v>3.9832300000000001E-2</c:v>
                </c:pt>
                <c:pt idx="385">
                  <c:v>1.78385E-2</c:v>
                </c:pt>
                <c:pt idx="386">
                  <c:v>2.6200399999999999E-2</c:v>
                </c:pt>
                <c:pt idx="387">
                  <c:v>0.1123702</c:v>
                </c:pt>
                <c:pt idx="388">
                  <c:v>0.1502222</c:v>
                </c:pt>
                <c:pt idx="389">
                  <c:v>0.2291667</c:v>
                </c:pt>
                <c:pt idx="390">
                  <c:v>3.7011200000000001E-2</c:v>
                </c:pt>
                <c:pt idx="391">
                  <c:v>0.1381636</c:v>
                </c:pt>
                <c:pt idx="392">
                  <c:v>8.8240700000000005E-2</c:v>
                </c:pt>
                <c:pt idx="393">
                  <c:v>9.375E-2</c:v>
                </c:pt>
                <c:pt idx="394">
                  <c:v>0.1173356</c:v>
                </c:pt>
                <c:pt idx="395">
                  <c:v>0.24365400000000001</c:v>
                </c:pt>
                <c:pt idx="396">
                  <c:v>1.9091799999999999E-2</c:v>
                </c:pt>
                <c:pt idx="397">
                  <c:v>7.7662700000000001E-2</c:v>
                </c:pt>
                <c:pt idx="398">
                  <c:v>0.19120029999999999</c:v>
                </c:pt>
                <c:pt idx="399">
                  <c:v>4.9111099999999998E-2</c:v>
                </c:pt>
                <c:pt idx="400">
                  <c:v>0.20323740000000001</c:v>
                </c:pt>
                <c:pt idx="401">
                  <c:v>2.48822E-2</c:v>
                </c:pt>
                <c:pt idx="402">
                  <c:v>7.3241500000000001E-2</c:v>
                </c:pt>
                <c:pt idx="403">
                  <c:v>1.50362E-2</c:v>
                </c:pt>
                <c:pt idx="404">
                  <c:v>1.3459799999999999E-2</c:v>
                </c:pt>
                <c:pt idx="405">
                  <c:v>2.4491499999999999E-2</c:v>
                </c:pt>
                <c:pt idx="406">
                  <c:v>0.1939891</c:v>
                </c:pt>
                <c:pt idx="407">
                  <c:v>0.10158730000000001</c:v>
                </c:pt>
                <c:pt idx="408">
                  <c:v>1.21151E-2</c:v>
                </c:pt>
                <c:pt idx="409">
                  <c:v>4.8689099999999999E-2</c:v>
                </c:pt>
                <c:pt idx="410">
                  <c:v>3.3286799999999998E-2</c:v>
                </c:pt>
                <c:pt idx="411">
                  <c:v>1.69377E-2</c:v>
                </c:pt>
                <c:pt idx="412">
                  <c:v>3.1343299999999998E-2</c:v>
                </c:pt>
                <c:pt idx="413">
                  <c:v>5.9085800000000001E-2</c:v>
                </c:pt>
                <c:pt idx="414">
                  <c:v>7.7759200000000001E-2</c:v>
                </c:pt>
                <c:pt idx="415">
                  <c:v>6.0457499999999997E-2</c:v>
                </c:pt>
                <c:pt idx="416">
                  <c:v>2.4792100000000001E-2</c:v>
                </c:pt>
                <c:pt idx="417">
                  <c:v>4.9806900000000001E-2</c:v>
                </c:pt>
                <c:pt idx="418">
                  <c:v>6.10517E-2</c:v>
                </c:pt>
                <c:pt idx="419">
                  <c:v>4.5238100000000003E-2</c:v>
                </c:pt>
                <c:pt idx="420">
                  <c:v>0.1238889</c:v>
                </c:pt>
                <c:pt idx="421">
                  <c:v>9.9009899999999998E-2</c:v>
                </c:pt>
                <c:pt idx="422">
                  <c:v>2.0197699999999999E-2</c:v>
                </c:pt>
                <c:pt idx="423">
                  <c:v>4.2296100000000003E-2</c:v>
                </c:pt>
                <c:pt idx="424">
                  <c:v>5.7306599999999999E-2</c:v>
                </c:pt>
                <c:pt idx="425">
                  <c:v>7.3737399999999995E-2</c:v>
                </c:pt>
                <c:pt idx="426">
                  <c:v>2.2662000000000002E-2</c:v>
                </c:pt>
                <c:pt idx="427">
                  <c:v>3.5172099999999998E-2</c:v>
                </c:pt>
                <c:pt idx="428">
                  <c:v>2.3300999999999999E-2</c:v>
                </c:pt>
                <c:pt idx="429">
                  <c:v>6.97937E-2</c:v>
                </c:pt>
                <c:pt idx="430">
                  <c:v>6.6034899999999994E-2</c:v>
                </c:pt>
                <c:pt idx="431">
                  <c:v>0.1076389</c:v>
                </c:pt>
                <c:pt idx="432">
                  <c:v>0.28505609999999998</c:v>
                </c:pt>
                <c:pt idx="433">
                  <c:v>2.57865E-2</c:v>
                </c:pt>
                <c:pt idx="434">
                  <c:v>0.1698413</c:v>
                </c:pt>
                <c:pt idx="435">
                  <c:v>4.60845E-2</c:v>
                </c:pt>
                <c:pt idx="436">
                  <c:v>4.2534700000000002E-2</c:v>
                </c:pt>
                <c:pt idx="437">
                  <c:v>0.23249300000000001</c:v>
                </c:pt>
                <c:pt idx="438">
                  <c:v>2.84768E-2</c:v>
                </c:pt>
                <c:pt idx="439">
                  <c:v>2.81818E-2</c:v>
                </c:pt>
                <c:pt idx="440">
                  <c:v>0.16112480000000001</c:v>
                </c:pt>
                <c:pt idx="441">
                  <c:v>1.37749E-2</c:v>
                </c:pt>
                <c:pt idx="442">
                  <c:v>1.0634299999999999E-2</c:v>
                </c:pt>
                <c:pt idx="443">
                  <c:v>4.5097999999999999E-2</c:v>
                </c:pt>
                <c:pt idx="444">
                  <c:v>0.18911510000000001</c:v>
                </c:pt>
                <c:pt idx="445">
                  <c:v>5.67333E-2</c:v>
                </c:pt>
                <c:pt idx="446">
                  <c:v>5.1908799999999998E-2</c:v>
                </c:pt>
                <c:pt idx="447">
                  <c:v>7.8775999999999999E-2</c:v>
                </c:pt>
                <c:pt idx="448">
                  <c:v>3.5714299999999997E-2</c:v>
                </c:pt>
                <c:pt idx="449">
                  <c:v>3.5333299999999998E-2</c:v>
                </c:pt>
                <c:pt idx="450">
                  <c:v>0.1102616</c:v>
                </c:pt>
                <c:pt idx="451">
                  <c:v>0.2126691</c:v>
                </c:pt>
                <c:pt idx="452">
                  <c:v>2.0361400000000002E-2</c:v>
                </c:pt>
                <c:pt idx="453">
                  <c:v>2.7691500000000001E-2</c:v>
                </c:pt>
                <c:pt idx="454">
                  <c:v>4.4769999999999997E-2</c:v>
                </c:pt>
                <c:pt idx="455">
                  <c:v>5.7107199999999997E-2</c:v>
                </c:pt>
                <c:pt idx="456">
                  <c:v>5.0441300000000001E-2</c:v>
                </c:pt>
                <c:pt idx="457">
                  <c:v>4.6709100000000003E-2</c:v>
                </c:pt>
                <c:pt idx="458">
                  <c:v>3.4375000000000003E-2</c:v>
                </c:pt>
                <c:pt idx="459">
                  <c:v>0.15678520000000001</c:v>
                </c:pt>
                <c:pt idx="460">
                  <c:v>5.24535E-2</c:v>
                </c:pt>
                <c:pt idx="461">
                  <c:v>6.1221100000000001E-2</c:v>
                </c:pt>
                <c:pt idx="462">
                  <c:v>4.1053899999999997E-2</c:v>
                </c:pt>
                <c:pt idx="463">
                  <c:v>8.0769199999999999E-2</c:v>
                </c:pt>
                <c:pt idx="464">
                  <c:v>1.84379E-2</c:v>
                </c:pt>
                <c:pt idx="465">
                  <c:v>1.28091E-2</c:v>
                </c:pt>
                <c:pt idx="466">
                  <c:v>0.28263159999999998</c:v>
                </c:pt>
                <c:pt idx="467">
                  <c:v>1.6260199999999999E-2</c:v>
                </c:pt>
                <c:pt idx="468">
                  <c:v>1.3818799999999999E-2</c:v>
                </c:pt>
                <c:pt idx="469">
                  <c:v>2.7891599999999999E-2</c:v>
                </c:pt>
                <c:pt idx="470">
                  <c:v>1.8229200000000001E-2</c:v>
                </c:pt>
                <c:pt idx="471">
                  <c:v>1.31752E-2</c:v>
                </c:pt>
                <c:pt idx="472">
                  <c:v>4.3557400000000003E-2</c:v>
                </c:pt>
                <c:pt idx="473">
                  <c:v>8.5686300000000007E-2</c:v>
                </c:pt>
                <c:pt idx="474">
                  <c:v>1.42487E-2</c:v>
                </c:pt>
                <c:pt idx="475">
                  <c:v>1.5776999999999999E-2</c:v>
                </c:pt>
                <c:pt idx="476">
                  <c:v>6.9850499999999996E-2</c:v>
                </c:pt>
                <c:pt idx="477">
                  <c:v>0.14285709999999999</c:v>
                </c:pt>
                <c:pt idx="478">
                  <c:v>0.1659378</c:v>
                </c:pt>
                <c:pt idx="479">
                  <c:v>1.9071299999999999E-2</c:v>
                </c:pt>
                <c:pt idx="480">
                  <c:v>5.4744500000000001E-2</c:v>
                </c:pt>
                <c:pt idx="481">
                  <c:v>2.0997399999999999E-2</c:v>
                </c:pt>
                <c:pt idx="482">
                  <c:v>1.2844700000000001E-2</c:v>
                </c:pt>
                <c:pt idx="483">
                  <c:v>5.2357500000000001E-2</c:v>
                </c:pt>
                <c:pt idx="484">
                  <c:v>0.12896830000000001</c:v>
                </c:pt>
                <c:pt idx="485">
                  <c:v>0.10256410000000001</c:v>
                </c:pt>
                <c:pt idx="486">
                  <c:v>3.2682500000000003E-2</c:v>
                </c:pt>
                <c:pt idx="487">
                  <c:v>2.66032E-2</c:v>
                </c:pt>
                <c:pt idx="488">
                  <c:v>2.79948E-2</c:v>
                </c:pt>
                <c:pt idx="489">
                  <c:v>3.4109500000000001E-2</c:v>
                </c:pt>
                <c:pt idx="490">
                  <c:v>4.5150500000000003E-2</c:v>
                </c:pt>
                <c:pt idx="491">
                  <c:v>7.7302599999999999E-2</c:v>
                </c:pt>
                <c:pt idx="492">
                  <c:v>2.7941199999999999E-2</c:v>
                </c:pt>
                <c:pt idx="493">
                  <c:v>5.5180199999999999E-2</c:v>
                </c:pt>
                <c:pt idx="494">
                  <c:v>7.1428599999999995E-2</c:v>
                </c:pt>
                <c:pt idx="495">
                  <c:v>2.2424199999999998E-2</c:v>
                </c:pt>
                <c:pt idx="496">
                  <c:v>0.15942029999999999</c:v>
                </c:pt>
                <c:pt idx="497">
                  <c:v>9.7351999999999994E-2</c:v>
                </c:pt>
                <c:pt idx="498">
                  <c:v>0.1253387</c:v>
                </c:pt>
                <c:pt idx="499">
                  <c:v>3.7878799999999997E-2</c:v>
                </c:pt>
                <c:pt idx="500">
                  <c:v>4.6327699999999999E-2</c:v>
                </c:pt>
                <c:pt idx="501">
                  <c:v>7.2916700000000001E-2</c:v>
                </c:pt>
                <c:pt idx="502">
                  <c:v>3.1999100000000003E-2</c:v>
                </c:pt>
                <c:pt idx="503">
                  <c:v>0.13590749999999999</c:v>
                </c:pt>
                <c:pt idx="504">
                  <c:v>3.8082400000000002E-2</c:v>
                </c:pt>
                <c:pt idx="505">
                  <c:v>7.0327600000000004E-2</c:v>
                </c:pt>
                <c:pt idx="506">
                  <c:v>4.36403E-2</c:v>
                </c:pt>
                <c:pt idx="507">
                  <c:v>0.13441159999999999</c:v>
                </c:pt>
                <c:pt idx="508">
                  <c:v>0.17586109999999999</c:v>
                </c:pt>
                <c:pt idx="509">
                  <c:v>3.1362000000000001E-2</c:v>
                </c:pt>
                <c:pt idx="510">
                  <c:v>3.9973500000000002E-2</c:v>
                </c:pt>
                <c:pt idx="511">
                  <c:v>8.1054699999999993E-2</c:v>
                </c:pt>
                <c:pt idx="512">
                  <c:v>4.95407E-2</c:v>
                </c:pt>
                <c:pt idx="513">
                  <c:v>3.5603700000000002E-2</c:v>
                </c:pt>
                <c:pt idx="514">
                  <c:v>7.2916700000000001E-2</c:v>
                </c:pt>
                <c:pt idx="515">
                  <c:v>4.0196099999999998E-2</c:v>
                </c:pt>
                <c:pt idx="516">
                  <c:v>5.6521700000000001E-2</c:v>
                </c:pt>
                <c:pt idx="517">
                  <c:v>8.6409799999999995E-2</c:v>
                </c:pt>
                <c:pt idx="518">
                  <c:v>5.4500699999999999E-2</c:v>
                </c:pt>
                <c:pt idx="519">
                  <c:v>3.4740500000000001E-2</c:v>
                </c:pt>
                <c:pt idx="520">
                  <c:v>4.5512799999999999E-2</c:v>
                </c:pt>
                <c:pt idx="521">
                  <c:v>3.8008100000000003E-2</c:v>
                </c:pt>
                <c:pt idx="522">
                  <c:v>1.61169E-2</c:v>
                </c:pt>
                <c:pt idx="523">
                  <c:v>7.39316E-2</c:v>
                </c:pt>
                <c:pt idx="524">
                  <c:v>7.1173100000000003E-2</c:v>
                </c:pt>
                <c:pt idx="525">
                  <c:v>0.1033835</c:v>
                </c:pt>
                <c:pt idx="526">
                  <c:v>6.7421300000000003E-2</c:v>
                </c:pt>
                <c:pt idx="527">
                  <c:v>5.8215000000000003E-2</c:v>
                </c:pt>
                <c:pt idx="528">
                  <c:v>1.8416499999999999E-2</c:v>
                </c:pt>
                <c:pt idx="529">
                  <c:v>4.4357800000000003E-2</c:v>
                </c:pt>
                <c:pt idx="530">
                  <c:v>0.13614080000000001</c:v>
                </c:pt>
                <c:pt idx="531">
                  <c:v>4.3918899999999997E-2</c:v>
                </c:pt>
                <c:pt idx="532">
                  <c:v>0.1012787</c:v>
                </c:pt>
                <c:pt idx="533">
                  <c:v>2.87081E-2</c:v>
                </c:pt>
                <c:pt idx="534">
                  <c:v>0.12192500000000001</c:v>
                </c:pt>
                <c:pt idx="535">
                  <c:v>1.98838E-2</c:v>
                </c:pt>
                <c:pt idx="536">
                  <c:v>9.9690999999999998E-3</c:v>
                </c:pt>
                <c:pt idx="537">
                  <c:v>0.2162568</c:v>
                </c:pt>
                <c:pt idx="538">
                  <c:v>2.1169400000000001E-2</c:v>
                </c:pt>
                <c:pt idx="539">
                  <c:v>4.8638099999999997E-2</c:v>
                </c:pt>
                <c:pt idx="540">
                  <c:v>4.0887899999999998E-2</c:v>
                </c:pt>
                <c:pt idx="541">
                  <c:v>1.7895299999999999E-2</c:v>
                </c:pt>
                <c:pt idx="542">
                  <c:v>8.6490899999999996E-2</c:v>
                </c:pt>
                <c:pt idx="543">
                  <c:v>8.1954999999999997E-3</c:v>
                </c:pt>
                <c:pt idx="544">
                  <c:v>4.5422299999999999E-2</c:v>
                </c:pt>
                <c:pt idx="545">
                  <c:v>5.4638399999999997E-2</c:v>
                </c:pt>
                <c:pt idx="546">
                  <c:v>4.92176E-2</c:v>
                </c:pt>
                <c:pt idx="547">
                  <c:v>5.8249200000000001E-2</c:v>
                </c:pt>
                <c:pt idx="548">
                  <c:v>6.4339199999999999E-2</c:v>
                </c:pt>
                <c:pt idx="549">
                  <c:v>8.8731599999999994E-2</c:v>
                </c:pt>
                <c:pt idx="550">
                  <c:v>7.6145299999999999E-2</c:v>
                </c:pt>
                <c:pt idx="551">
                  <c:v>0.12787809999999999</c:v>
                </c:pt>
                <c:pt idx="552">
                  <c:v>6.9774000000000003E-2</c:v>
                </c:pt>
                <c:pt idx="553">
                  <c:v>0.22347929999999999</c:v>
                </c:pt>
                <c:pt idx="554">
                  <c:v>9.3396E-3</c:v>
                </c:pt>
                <c:pt idx="555">
                  <c:v>4.9334500000000003E-2</c:v>
                </c:pt>
                <c:pt idx="556">
                  <c:v>0.18362829999999999</c:v>
                </c:pt>
                <c:pt idx="557">
                  <c:v>5.6312999999999997E-3</c:v>
                </c:pt>
                <c:pt idx="558">
                  <c:v>6.6999100000000006E-2</c:v>
                </c:pt>
                <c:pt idx="559">
                  <c:v>3.2603199999999999E-2</c:v>
                </c:pt>
                <c:pt idx="560">
                  <c:v>2.89016E-2</c:v>
                </c:pt>
                <c:pt idx="561">
                  <c:v>2.6725599999999999E-2</c:v>
                </c:pt>
                <c:pt idx="562">
                  <c:v>1.39925E-2</c:v>
                </c:pt>
                <c:pt idx="563">
                  <c:v>7.5268799999999997E-2</c:v>
                </c:pt>
                <c:pt idx="564">
                  <c:v>0.17773600000000001</c:v>
                </c:pt>
                <c:pt idx="565">
                  <c:v>0.23230909999999999</c:v>
                </c:pt>
                <c:pt idx="566">
                  <c:v>3.2156200000000003E-2</c:v>
                </c:pt>
                <c:pt idx="567">
                  <c:v>1.6118299999999999E-2</c:v>
                </c:pt>
                <c:pt idx="568">
                  <c:v>1.6417600000000001E-2</c:v>
                </c:pt>
                <c:pt idx="569">
                  <c:v>1.1990000000000001E-2</c:v>
                </c:pt>
                <c:pt idx="570">
                  <c:v>2.7083300000000001E-2</c:v>
                </c:pt>
                <c:pt idx="571">
                  <c:v>7.9632099999999997E-2</c:v>
                </c:pt>
                <c:pt idx="572">
                  <c:v>3.7613000000000001E-2</c:v>
                </c:pt>
                <c:pt idx="573">
                  <c:v>0.31078339999999999</c:v>
                </c:pt>
                <c:pt idx="574">
                  <c:v>4.4844000000000004E-3</c:v>
                </c:pt>
                <c:pt idx="575">
                  <c:v>7.2350000000000001E-3</c:v>
                </c:pt>
                <c:pt idx="576">
                  <c:v>1.9919599999999999E-2</c:v>
                </c:pt>
                <c:pt idx="577">
                  <c:v>5.4294000000000002E-2</c:v>
                </c:pt>
                <c:pt idx="578">
                  <c:v>2.4268399999999999E-2</c:v>
                </c:pt>
                <c:pt idx="579">
                  <c:v>7.4415999999999996E-2</c:v>
                </c:pt>
                <c:pt idx="580">
                  <c:v>2.81421E-2</c:v>
                </c:pt>
                <c:pt idx="581">
                  <c:v>2.7777799999999998E-2</c:v>
                </c:pt>
                <c:pt idx="582">
                  <c:v>3.6059099999999997E-2</c:v>
                </c:pt>
                <c:pt idx="583">
                  <c:v>2.8439900000000001E-2</c:v>
                </c:pt>
                <c:pt idx="584">
                  <c:v>0.27921750000000001</c:v>
                </c:pt>
                <c:pt idx="585">
                  <c:v>0.1426056</c:v>
                </c:pt>
                <c:pt idx="586">
                  <c:v>9.0294999999999993E-3</c:v>
                </c:pt>
                <c:pt idx="587">
                  <c:v>4.7400600000000001E-2</c:v>
                </c:pt>
                <c:pt idx="588">
                  <c:v>1.35453E-2</c:v>
                </c:pt>
                <c:pt idx="589">
                  <c:v>8.4089999999999998E-3</c:v>
                </c:pt>
                <c:pt idx="590">
                  <c:v>0.14593909999999999</c:v>
                </c:pt>
                <c:pt idx="591">
                  <c:v>1.15481E-2</c:v>
                </c:pt>
                <c:pt idx="592">
                  <c:v>0.21357909999999999</c:v>
                </c:pt>
                <c:pt idx="593">
                  <c:v>2.52398E-2</c:v>
                </c:pt>
                <c:pt idx="594">
                  <c:v>2.8561799999999998E-2</c:v>
                </c:pt>
                <c:pt idx="595">
                  <c:v>1.6326500000000001E-2</c:v>
                </c:pt>
                <c:pt idx="596">
                  <c:v>9.3085000000000008E-3</c:v>
                </c:pt>
                <c:pt idx="597">
                  <c:v>6.5936700000000001E-2</c:v>
                </c:pt>
                <c:pt idx="598">
                  <c:v>5.9707900000000001E-2</c:v>
                </c:pt>
                <c:pt idx="599">
                  <c:v>5.9469099999999997E-2</c:v>
                </c:pt>
                <c:pt idx="600">
                  <c:v>1.54967E-2</c:v>
                </c:pt>
                <c:pt idx="601">
                  <c:v>0.18593660000000001</c:v>
                </c:pt>
                <c:pt idx="602">
                  <c:v>0.16013379999999999</c:v>
                </c:pt>
                <c:pt idx="603">
                  <c:v>0.27670840000000002</c:v>
                </c:pt>
                <c:pt idx="604">
                  <c:v>2.0285600000000001E-2</c:v>
                </c:pt>
                <c:pt idx="605">
                  <c:v>2.8363800000000002E-2</c:v>
                </c:pt>
                <c:pt idx="606">
                  <c:v>4.4170000000000001E-2</c:v>
                </c:pt>
                <c:pt idx="607">
                  <c:v>6.7443500000000003E-2</c:v>
                </c:pt>
                <c:pt idx="608">
                  <c:v>0.22723769999999999</c:v>
                </c:pt>
                <c:pt idx="609">
                  <c:v>3.5091999999999998E-2</c:v>
                </c:pt>
                <c:pt idx="610">
                  <c:v>0.28682170000000001</c:v>
                </c:pt>
                <c:pt idx="611">
                  <c:v>7.8947400000000001E-2</c:v>
                </c:pt>
                <c:pt idx="612">
                  <c:v>3.7108099999999998E-2</c:v>
                </c:pt>
                <c:pt idx="613">
                  <c:v>0.127943</c:v>
                </c:pt>
                <c:pt idx="614">
                  <c:v>0.2394387</c:v>
                </c:pt>
                <c:pt idx="615">
                  <c:v>6.9399799999999998E-2</c:v>
                </c:pt>
                <c:pt idx="616">
                  <c:v>2.69608E-2</c:v>
                </c:pt>
                <c:pt idx="617">
                  <c:v>9.6549800000000005E-2</c:v>
                </c:pt>
                <c:pt idx="618">
                  <c:v>2.8224099999999998E-2</c:v>
                </c:pt>
                <c:pt idx="619">
                  <c:v>2.0859900000000001E-2</c:v>
                </c:pt>
                <c:pt idx="620">
                  <c:v>2.9836499999999998E-2</c:v>
                </c:pt>
                <c:pt idx="621">
                  <c:v>0.1792098</c:v>
                </c:pt>
                <c:pt idx="622">
                  <c:v>8.9801000000000006E-2</c:v>
                </c:pt>
                <c:pt idx="623">
                  <c:v>7.6136400000000007E-2</c:v>
                </c:pt>
                <c:pt idx="624">
                  <c:v>1.0579699999999999E-2</c:v>
                </c:pt>
                <c:pt idx="625">
                  <c:v>7.3036400000000001E-2</c:v>
                </c:pt>
                <c:pt idx="626">
                  <c:v>0.1066711</c:v>
                </c:pt>
                <c:pt idx="627">
                  <c:v>4.9019600000000003E-2</c:v>
                </c:pt>
                <c:pt idx="628">
                  <c:v>4.6050399999999998E-2</c:v>
                </c:pt>
                <c:pt idx="629">
                  <c:v>0.12220259999999999</c:v>
                </c:pt>
                <c:pt idx="630">
                  <c:v>0.10833329999999999</c:v>
                </c:pt>
                <c:pt idx="631">
                  <c:v>0.1510358</c:v>
                </c:pt>
                <c:pt idx="632">
                  <c:v>2.94402E-2</c:v>
                </c:pt>
                <c:pt idx="633">
                  <c:v>2.0226500000000001E-2</c:v>
                </c:pt>
                <c:pt idx="634">
                  <c:v>0.17124809999999999</c:v>
                </c:pt>
                <c:pt idx="635">
                  <c:v>3.6857000000000001E-2</c:v>
                </c:pt>
                <c:pt idx="636">
                  <c:v>0.1526217</c:v>
                </c:pt>
                <c:pt idx="637">
                  <c:v>3.3304E-2</c:v>
                </c:pt>
                <c:pt idx="638">
                  <c:v>0.3045504</c:v>
                </c:pt>
                <c:pt idx="639">
                  <c:v>9.6367499999999995E-2</c:v>
                </c:pt>
                <c:pt idx="640">
                  <c:v>0.2147222</c:v>
                </c:pt>
                <c:pt idx="641">
                  <c:v>4.20168E-2</c:v>
                </c:pt>
                <c:pt idx="642">
                  <c:v>8.7012300000000001E-2</c:v>
                </c:pt>
                <c:pt idx="643">
                  <c:v>0.1132114</c:v>
                </c:pt>
                <c:pt idx="644">
                  <c:v>0.14811540000000001</c:v>
                </c:pt>
                <c:pt idx="645">
                  <c:v>6.0088799999999998E-2</c:v>
                </c:pt>
                <c:pt idx="646">
                  <c:v>0.1484375</c:v>
                </c:pt>
                <c:pt idx="647">
                  <c:v>5.7376999999999997E-2</c:v>
                </c:pt>
                <c:pt idx="648">
                  <c:v>0.32083329999999999</c:v>
                </c:pt>
                <c:pt idx="649">
                  <c:v>8.8159600000000005E-2</c:v>
                </c:pt>
                <c:pt idx="650">
                  <c:v>4.2545699999999999E-2</c:v>
                </c:pt>
                <c:pt idx="651">
                  <c:v>5.1782300000000003E-2</c:v>
                </c:pt>
                <c:pt idx="652">
                  <c:v>0.1582953</c:v>
                </c:pt>
                <c:pt idx="653">
                  <c:v>0.15404039999999999</c:v>
                </c:pt>
                <c:pt idx="654">
                  <c:v>4.0590399999999999E-2</c:v>
                </c:pt>
                <c:pt idx="655">
                  <c:v>2.72109E-2</c:v>
                </c:pt>
                <c:pt idx="656">
                  <c:v>8.4874199999999997E-2</c:v>
                </c:pt>
                <c:pt idx="657">
                  <c:v>0.1776228</c:v>
                </c:pt>
                <c:pt idx="658">
                  <c:v>9.4202900000000006E-2</c:v>
                </c:pt>
                <c:pt idx="659">
                  <c:v>0.16321840000000001</c:v>
                </c:pt>
                <c:pt idx="660">
                  <c:v>3.415E-2</c:v>
                </c:pt>
                <c:pt idx="661">
                  <c:v>0.1403325</c:v>
                </c:pt>
                <c:pt idx="662">
                  <c:v>0.1647246</c:v>
                </c:pt>
                <c:pt idx="663">
                  <c:v>0.23043640000000001</c:v>
                </c:pt>
                <c:pt idx="664">
                  <c:v>5.4166699999999998E-2</c:v>
                </c:pt>
                <c:pt idx="665">
                  <c:v>0.1032609</c:v>
                </c:pt>
                <c:pt idx="666">
                  <c:v>9.7677600000000003E-2</c:v>
                </c:pt>
                <c:pt idx="667">
                  <c:v>0.1372727</c:v>
                </c:pt>
                <c:pt idx="668">
                  <c:v>0.21518989999999999</c:v>
                </c:pt>
                <c:pt idx="669">
                  <c:v>5.8531699999999999E-2</c:v>
                </c:pt>
                <c:pt idx="670">
                  <c:v>0.1676048</c:v>
                </c:pt>
                <c:pt idx="671">
                  <c:v>0.13250519999999999</c:v>
                </c:pt>
                <c:pt idx="672">
                  <c:v>8.3776000000000003E-2</c:v>
                </c:pt>
                <c:pt idx="673">
                  <c:v>0.19599630000000001</c:v>
                </c:pt>
                <c:pt idx="674">
                  <c:v>3.53604E-2</c:v>
                </c:pt>
                <c:pt idx="675">
                  <c:v>0.29322429999999999</c:v>
                </c:pt>
                <c:pt idx="676">
                  <c:v>8.0076400000000006E-2</c:v>
                </c:pt>
                <c:pt idx="677">
                  <c:v>0.12790699999999999</c:v>
                </c:pt>
                <c:pt idx="678">
                  <c:v>2.61354E-2</c:v>
                </c:pt>
                <c:pt idx="679">
                  <c:v>0.1247987</c:v>
                </c:pt>
                <c:pt idx="680">
                  <c:v>2.6510700000000002E-2</c:v>
                </c:pt>
                <c:pt idx="681">
                  <c:v>0.1704167</c:v>
                </c:pt>
                <c:pt idx="682">
                  <c:v>0.23446330000000001</c:v>
                </c:pt>
                <c:pt idx="683">
                  <c:v>0.168379</c:v>
                </c:pt>
                <c:pt idx="684">
                  <c:v>6.21728E-2</c:v>
                </c:pt>
                <c:pt idx="685">
                  <c:v>2.9775300000000001E-2</c:v>
                </c:pt>
                <c:pt idx="686">
                  <c:v>8.1349199999999997E-2</c:v>
                </c:pt>
                <c:pt idx="687">
                  <c:v>0.11549710000000001</c:v>
                </c:pt>
                <c:pt idx="688">
                  <c:v>0.13980809999999999</c:v>
                </c:pt>
                <c:pt idx="689">
                  <c:v>0.16419139999999999</c:v>
                </c:pt>
                <c:pt idx="690">
                  <c:v>0.22705310000000001</c:v>
                </c:pt>
                <c:pt idx="691">
                  <c:v>0.1132422</c:v>
                </c:pt>
                <c:pt idx="692">
                  <c:v>0.133547</c:v>
                </c:pt>
                <c:pt idx="693">
                  <c:v>9.32476E-2</c:v>
                </c:pt>
                <c:pt idx="694">
                  <c:v>9.9494899999999997E-2</c:v>
                </c:pt>
                <c:pt idx="695">
                  <c:v>1.2482099999999999E-2</c:v>
                </c:pt>
                <c:pt idx="696">
                  <c:v>0.1017103</c:v>
                </c:pt>
                <c:pt idx="697">
                  <c:v>3.9756899999999998E-2</c:v>
                </c:pt>
                <c:pt idx="698">
                  <c:v>3.98079E-2</c:v>
                </c:pt>
                <c:pt idx="699">
                  <c:v>9.6045900000000003E-2</c:v>
                </c:pt>
                <c:pt idx="700">
                  <c:v>4.17854E-2</c:v>
                </c:pt>
                <c:pt idx="701">
                  <c:v>0.2244544</c:v>
                </c:pt>
                <c:pt idx="702">
                  <c:v>5.9588599999999999E-2</c:v>
                </c:pt>
                <c:pt idx="703">
                  <c:v>2.0544E-2</c:v>
                </c:pt>
                <c:pt idx="704">
                  <c:v>5.6801600000000001E-2</c:v>
                </c:pt>
                <c:pt idx="705">
                  <c:v>5.08949E-2</c:v>
                </c:pt>
                <c:pt idx="706">
                  <c:v>5.6991100000000003E-2</c:v>
                </c:pt>
                <c:pt idx="707">
                  <c:v>3.8654599999999997E-2</c:v>
                </c:pt>
                <c:pt idx="708">
                  <c:v>4.0935699999999998E-2</c:v>
                </c:pt>
                <c:pt idx="709">
                  <c:v>0.10426539999999999</c:v>
                </c:pt>
                <c:pt idx="710">
                  <c:v>1.43964E-2</c:v>
                </c:pt>
                <c:pt idx="711">
                  <c:v>4.23766E-2</c:v>
                </c:pt>
                <c:pt idx="712">
                  <c:v>1.19048E-2</c:v>
                </c:pt>
                <c:pt idx="713">
                  <c:v>4.7711400000000001E-2</c:v>
                </c:pt>
                <c:pt idx="714">
                  <c:v>2.9130799999999998E-2</c:v>
                </c:pt>
                <c:pt idx="715">
                  <c:v>6.1893200000000002E-2</c:v>
                </c:pt>
                <c:pt idx="716">
                  <c:v>0.16758110000000001</c:v>
                </c:pt>
                <c:pt idx="717">
                  <c:v>2.3753900000000001E-2</c:v>
                </c:pt>
                <c:pt idx="718">
                  <c:v>6.3254000000000001E-3</c:v>
                </c:pt>
                <c:pt idx="719">
                  <c:v>1.91506E-2</c:v>
                </c:pt>
                <c:pt idx="720">
                  <c:v>7.1346199999999999E-2</c:v>
                </c:pt>
                <c:pt idx="721">
                  <c:v>2.4865100000000001E-2</c:v>
                </c:pt>
                <c:pt idx="722">
                  <c:v>5.4530700000000001E-2</c:v>
                </c:pt>
                <c:pt idx="723">
                  <c:v>8.5565500000000003E-2</c:v>
                </c:pt>
                <c:pt idx="724">
                  <c:v>4.3437200000000002E-2</c:v>
                </c:pt>
                <c:pt idx="725">
                  <c:v>0.4166667</c:v>
                </c:pt>
                <c:pt idx="726">
                  <c:v>0.13011700000000001</c:v>
                </c:pt>
                <c:pt idx="727">
                  <c:v>5.1257900000000002E-2</c:v>
                </c:pt>
                <c:pt idx="728">
                  <c:v>8.4429799999999999E-2</c:v>
                </c:pt>
                <c:pt idx="729">
                  <c:v>0.10188560000000001</c:v>
                </c:pt>
                <c:pt idx="730">
                  <c:v>0.1213152</c:v>
                </c:pt>
                <c:pt idx="731">
                  <c:v>0.1436508</c:v>
                </c:pt>
                <c:pt idx="732">
                  <c:v>0.2931145</c:v>
                </c:pt>
                <c:pt idx="733">
                  <c:v>0.15625</c:v>
                </c:pt>
                <c:pt idx="734">
                  <c:v>0.20489479999999999</c:v>
                </c:pt>
                <c:pt idx="735">
                  <c:v>0.1377863</c:v>
                </c:pt>
                <c:pt idx="736">
                  <c:v>8.4666699999999998E-2</c:v>
                </c:pt>
                <c:pt idx="737">
                  <c:v>0.2091346</c:v>
                </c:pt>
                <c:pt idx="738">
                  <c:v>4.9122800000000001E-2</c:v>
                </c:pt>
                <c:pt idx="739">
                  <c:v>3.4387599999999997E-2</c:v>
                </c:pt>
                <c:pt idx="740">
                  <c:v>0.22372059999999999</c:v>
                </c:pt>
                <c:pt idx="741">
                  <c:v>7.92625E-2</c:v>
                </c:pt>
                <c:pt idx="742">
                  <c:v>5.0320299999999998E-2</c:v>
                </c:pt>
                <c:pt idx="743">
                  <c:v>0.21041670000000001</c:v>
                </c:pt>
                <c:pt idx="744">
                  <c:v>8.1128699999999998E-2</c:v>
                </c:pt>
                <c:pt idx="745">
                  <c:v>8.8975700000000005E-2</c:v>
                </c:pt>
                <c:pt idx="746">
                  <c:v>4.0862299999999997E-2</c:v>
                </c:pt>
                <c:pt idx="747">
                  <c:v>3.6844099999999998E-2</c:v>
                </c:pt>
                <c:pt idx="748">
                  <c:v>0.2383672</c:v>
                </c:pt>
                <c:pt idx="749">
                  <c:v>0.158994</c:v>
                </c:pt>
                <c:pt idx="750">
                  <c:v>0.16737589999999999</c:v>
                </c:pt>
                <c:pt idx="751">
                  <c:v>7.6193200000000003E-2</c:v>
                </c:pt>
                <c:pt idx="752">
                  <c:v>7.96602E-2</c:v>
                </c:pt>
                <c:pt idx="753">
                  <c:v>0.10349750000000001</c:v>
                </c:pt>
                <c:pt idx="754">
                  <c:v>2.5533899999999998E-2</c:v>
                </c:pt>
                <c:pt idx="755">
                  <c:v>0.18238589999999999</c:v>
                </c:pt>
                <c:pt idx="756">
                  <c:v>3.5485299999999997E-2</c:v>
                </c:pt>
                <c:pt idx="757">
                  <c:v>5.79345E-2</c:v>
                </c:pt>
                <c:pt idx="758">
                  <c:v>2.5641000000000001E-2</c:v>
                </c:pt>
                <c:pt idx="759">
                  <c:v>6.38021E-2</c:v>
                </c:pt>
                <c:pt idx="760">
                  <c:v>2.6804100000000001E-2</c:v>
                </c:pt>
                <c:pt idx="761">
                  <c:v>7.50725E-2</c:v>
                </c:pt>
                <c:pt idx="762">
                  <c:v>0.13155140000000001</c:v>
                </c:pt>
                <c:pt idx="763">
                  <c:v>8.7404200000000001E-2</c:v>
                </c:pt>
                <c:pt idx="764">
                  <c:v>0.16950460000000001</c:v>
                </c:pt>
                <c:pt idx="765">
                  <c:v>0.19084190000000001</c:v>
                </c:pt>
                <c:pt idx="766">
                  <c:v>9.5012600000000003E-2</c:v>
                </c:pt>
                <c:pt idx="767">
                  <c:v>5.8704800000000001E-2</c:v>
                </c:pt>
                <c:pt idx="768">
                  <c:v>8.8953099999999993E-2</c:v>
                </c:pt>
                <c:pt idx="769">
                  <c:v>0.12650790000000001</c:v>
                </c:pt>
                <c:pt idx="770">
                  <c:v>2.3040100000000001E-2</c:v>
                </c:pt>
                <c:pt idx="771">
                  <c:v>0.10290390000000001</c:v>
                </c:pt>
                <c:pt idx="772">
                  <c:v>6.5165899999999999E-2</c:v>
                </c:pt>
                <c:pt idx="773">
                  <c:v>0.1483333</c:v>
                </c:pt>
                <c:pt idx="774">
                  <c:v>5.3416699999999998E-2</c:v>
                </c:pt>
                <c:pt idx="775">
                  <c:v>7.5416700000000003E-2</c:v>
                </c:pt>
                <c:pt idx="776">
                  <c:v>9.1962500000000003E-2</c:v>
                </c:pt>
                <c:pt idx="777">
                  <c:v>0.1371925</c:v>
                </c:pt>
                <c:pt idx="778">
                  <c:v>0.16943340000000001</c:v>
                </c:pt>
                <c:pt idx="779">
                  <c:v>4.6926700000000002E-2</c:v>
                </c:pt>
                <c:pt idx="780">
                  <c:v>9.7980999999999999E-2</c:v>
                </c:pt>
                <c:pt idx="781">
                  <c:v>3.2638300000000002E-2</c:v>
                </c:pt>
                <c:pt idx="782">
                  <c:v>8.6510000000000005E-4</c:v>
                </c:pt>
                <c:pt idx="783">
                  <c:v>2.8752400000000001E-2</c:v>
                </c:pt>
                <c:pt idx="784">
                  <c:v>5.12723E-2</c:v>
                </c:pt>
                <c:pt idx="785">
                  <c:v>2.64858E-2</c:v>
                </c:pt>
                <c:pt idx="786">
                  <c:v>5.1940600000000003E-2</c:v>
                </c:pt>
                <c:pt idx="787">
                  <c:v>2.4625299999999999E-2</c:v>
                </c:pt>
                <c:pt idx="788">
                  <c:v>7.9545500000000005E-2</c:v>
                </c:pt>
                <c:pt idx="789">
                  <c:v>0.1191239</c:v>
                </c:pt>
                <c:pt idx="790">
                  <c:v>4.6037799999999997E-2</c:v>
                </c:pt>
                <c:pt idx="791">
                  <c:v>7.8320799999999996E-2</c:v>
                </c:pt>
                <c:pt idx="792">
                  <c:v>0.13145899999999999</c:v>
                </c:pt>
                <c:pt idx="793">
                  <c:v>0.10080649999999999</c:v>
                </c:pt>
                <c:pt idx="794">
                  <c:v>4.01508E-2</c:v>
                </c:pt>
                <c:pt idx="795">
                  <c:v>9.9941699999999994E-2</c:v>
                </c:pt>
                <c:pt idx="796">
                  <c:v>0.16836090000000001</c:v>
                </c:pt>
                <c:pt idx="797">
                  <c:v>5.5465399999999998E-2</c:v>
                </c:pt>
                <c:pt idx="798">
                  <c:v>2.7508100000000001E-2</c:v>
                </c:pt>
                <c:pt idx="799">
                  <c:v>9.4390500000000002E-2</c:v>
                </c:pt>
                <c:pt idx="800">
                  <c:v>7.9423300000000002E-2</c:v>
                </c:pt>
                <c:pt idx="801">
                  <c:v>2.6666700000000002E-2</c:v>
                </c:pt>
                <c:pt idx="802">
                  <c:v>6.18557E-2</c:v>
                </c:pt>
                <c:pt idx="803">
                  <c:v>5.1049600000000001E-2</c:v>
                </c:pt>
                <c:pt idx="804">
                  <c:v>1.7593500000000001E-2</c:v>
                </c:pt>
                <c:pt idx="805">
                  <c:v>9.3166700000000005E-2</c:v>
                </c:pt>
                <c:pt idx="806">
                  <c:v>3.12705E-2</c:v>
                </c:pt>
                <c:pt idx="807">
                  <c:v>0.12349400000000001</c:v>
                </c:pt>
                <c:pt idx="808">
                  <c:v>0.22054599999999999</c:v>
                </c:pt>
                <c:pt idx="809">
                  <c:v>6.8437999999999999E-2</c:v>
                </c:pt>
                <c:pt idx="810">
                  <c:v>6.5062700000000001E-2</c:v>
                </c:pt>
                <c:pt idx="811">
                  <c:v>1.43299E-2</c:v>
                </c:pt>
                <c:pt idx="812">
                  <c:v>3.1347399999999997E-2</c:v>
                </c:pt>
                <c:pt idx="813">
                  <c:v>0.1124561</c:v>
                </c:pt>
                <c:pt idx="814">
                  <c:v>8.7138300000000002E-2</c:v>
                </c:pt>
                <c:pt idx="815">
                  <c:v>2.8415300000000001E-2</c:v>
                </c:pt>
                <c:pt idx="816">
                  <c:v>0.1197652</c:v>
                </c:pt>
                <c:pt idx="817">
                  <c:v>3.2988400000000001E-2</c:v>
                </c:pt>
                <c:pt idx="818">
                  <c:v>0.13909250000000001</c:v>
                </c:pt>
                <c:pt idx="819">
                  <c:v>0.19118660000000001</c:v>
                </c:pt>
                <c:pt idx="820">
                  <c:v>6.7540000000000005E-4</c:v>
                </c:pt>
                <c:pt idx="821">
                  <c:v>7.5359999999999999E-4</c:v>
                </c:pt>
                <c:pt idx="822">
                  <c:v>5.8279999999999996E-4</c:v>
                </c:pt>
                <c:pt idx="823">
                  <c:v>9.6639999999999996E-4</c:v>
                </c:pt>
                <c:pt idx="824">
                  <c:v>4.6190000000000001E-4</c:v>
                </c:pt>
                <c:pt idx="825">
                  <c:v>5.1829999999999997E-4</c:v>
                </c:pt>
                <c:pt idx="826">
                  <c:v>6.5123000000000004E-3</c:v>
                </c:pt>
                <c:pt idx="827">
                  <c:v>7.6168E-3</c:v>
                </c:pt>
                <c:pt idx="828">
                  <c:v>9.71968E-2</c:v>
                </c:pt>
                <c:pt idx="829">
                  <c:v>4.2522400000000002E-2</c:v>
                </c:pt>
                <c:pt idx="830">
                  <c:v>7.424E-2</c:v>
                </c:pt>
                <c:pt idx="831">
                  <c:v>2.3433200000000001E-2</c:v>
                </c:pt>
                <c:pt idx="832">
                  <c:v>2.71512E-2</c:v>
                </c:pt>
                <c:pt idx="833">
                  <c:v>1.34352E-2</c:v>
                </c:pt>
                <c:pt idx="834">
                  <c:v>2.43295E-2</c:v>
                </c:pt>
                <c:pt idx="835">
                  <c:v>3.6477599999999999E-2</c:v>
                </c:pt>
                <c:pt idx="836">
                  <c:v>7.6580099999999998E-2</c:v>
                </c:pt>
                <c:pt idx="837">
                  <c:v>3.3372800000000001E-2</c:v>
                </c:pt>
                <c:pt idx="838">
                  <c:v>9.3732999999999993E-3</c:v>
                </c:pt>
                <c:pt idx="839">
                  <c:v>9.7932099999999994E-2</c:v>
                </c:pt>
                <c:pt idx="840">
                  <c:v>6.9276199999999996E-2</c:v>
                </c:pt>
                <c:pt idx="841">
                  <c:v>0.1170997</c:v>
                </c:pt>
                <c:pt idx="842">
                  <c:v>1.6334899999999999E-2</c:v>
                </c:pt>
                <c:pt idx="843">
                  <c:v>5.3612100000000003E-2</c:v>
                </c:pt>
                <c:pt idx="844">
                  <c:v>3.3896900000000001E-2</c:v>
                </c:pt>
                <c:pt idx="845">
                  <c:v>0.2075726</c:v>
                </c:pt>
                <c:pt idx="846">
                  <c:v>6.4346399999999998E-2</c:v>
                </c:pt>
                <c:pt idx="847">
                  <c:v>2.6895599999999999E-2</c:v>
                </c:pt>
                <c:pt idx="848">
                  <c:v>6.5850800000000001E-2</c:v>
                </c:pt>
                <c:pt idx="849">
                  <c:v>4.6338400000000002E-2</c:v>
                </c:pt>
                <c:pt idx="850">
                  <c:v>2.9427700000000001E-2</c:v>
                </c:pt>
                <c:pt idx="851">
                  <c:v>6.5005099999999996E-2</c:v>
                </c:pt>
                <c:pt idx="852">
                  <c:v>1.30458E-2</c:v>
                </c:pt>
                <c:pt idx="853">
                  <c:v>3.9809400000000002E-2</c:v>
                </c:pt>
                <c:pt idx="854">
                  <c:v>2.97089E-2</c:v>
                </c:pt>
                <c:pt idx="855">
                  <c:v>0.1140902</c:v>
                </c:pt>
                <c:pt idx="856">
                  <c:v>8.9368600000000006E-2</c:v>
                </c:pt>
                <c:pt idx="857">
                  <c:v>3.9669000000000003E-2</c:v>
                </c:pt>
                <c:pt idx="858">
                  <c:v>7.0168900000000006E-2</c:v>
                </c:pt>
                <c:pt idx="859">
                  <c:v>0.13825760000000001</c:v>
                </c:pt>
                <c:pt idx="860">
                  <c:v>8.8760500000000006E-2</c:v>
                </c:pt>
                <c:pt idx="861">
                  <c:v>0.10503469999999999</c:v>
                </c:pt>
                <c:pt idx="862">
                  <c:v>3.4893800000000003E-2</c:v>
                </c:pt>
                <c:pt idx="863">
                  <c:v>7.6543200000000006E-2</c:v>
                </c:pt>
                <c:pt idx="864">
                  <c:v>2.5971999999999999E-2</c:v>
                </c:pt>
                <c:pt idx="865">
                  <c:v>5.4259700000000001E-2</c:v>
                </c:pt>
                <c:pt idx="866">
                  <c:v>3.5662300000000001E-2</c:v>
                </c:pt>
                <c:pt idx="867">
                  <c:v>5.3459100000000002E-2</c:v>
                </c:pt>
                <c:pt idx="868">
                  <c:v>0.13903860000000001</c:v>
                </c:pt>
                <c:pt idx="869">
                  <c:v>0.12268759999999999</c:v>
                </c:pt>
                <c:pt idx="870">
                  <c:v>7.2055999999999995E-2</c:v>
                </c:pt>
                <c:pt idx="871">
                  <c:v>7.4884000000000006E-2</c:v>
                </c:pt>
                <c:pt idx="872">
                  <c:v>7.0555599999999996E-2</c:v>
                </c:pt>
                <c:pt idx="873">
                  <c:v>9.8302500000000001E-2</c:v>
                </c:pt>
                <c:pt idx="874">
                  <c:v>6.5209299999999998E-2</c:v>
                </c:pt>
                <c:pt idx="875">
                  <c:v>0.173545</c:v>
                </c:pt>
                <c:pt idx="876">
                  <c:v>6.9985599999999995E-2</c:v>
                </c:pt>
                <c:pt idx="877">
                  <c:v>8.9521500000000004E-2</c:v>
                </c:pt>
                <c:pt idx="878">
                  <c:v>0.1086182</c:v>
                </c:pt>
                <c:pt idx="879">
                  <c:v>8.65152E-2</c:v>
                </c:pt>
                <c:pt idx="880">
                  <c:v>5.7838300000000002E-2</c:v>
                </c:pt>
                <c:pt idx="881">
                  <c:v>5.1414399999999999E-2</c:v>
                </c:pt>
                <c:pt idx="882">
                  <c:v>5.4865400000000002E-2</c:v>
                </c:pt>
                <c:pt idx="883">
                  <c:v>2.7879500000000002E-2</c:v>
                </c:pt>
                <c:pt idx="884">
                  <c:v>0.13786699999999999</c:v>
                </c:pt>
                <c:pt idx="885">
                  <c:v>3.0646400000000001E-2</c:v>
                </c:pt>
                <c:pt idx="886">
                  <c:v>0.17540720000000001</c:v>
                </c:pt>
                <c:pt idx="887">
                  <c:v>0.2195011</c:v>
                </c:pt>
                <c:pt idx="888">
                  <c:v>8.9430899999999994E-2</c:v>
                </c:pt>
                <c:pt idx="889">
                  <c:v>6.1463999999999998E-2</c:v>
                </c:pt>
                <c:pt idx="890">
                  <c:v>7.91935E-2</c:v>
                </c:pt>
                <c:pt idx="891">
                  <c:v>7.4212999999999996E-3</c:v>
                </c:pt>
                <c:pt idx="892">
                  <c:v>5.1605499999999999E-2</c:v>
                </c:pt>
                <c:pt idx="893">
                  <c:v>1.7208000000000001E-2</c:v>
                </c:pt>
                <c:pt idx="894">
                  <c:v>9.9241999999999993E-3</c:v>
                </c:pt>
                <c:pt idx="895">
                  <c:v>7.8132599999999996E-2</c:v>
                </c:pt>
                <c:pt idx="896">
                  <c:v>6.6037700000000005E-2</c:v>
                </c:pt>
                <c:pt idx="897">
                  <c:v>6.1688999999999997E-3</c:v>
                </c:pt>
                <c:pt idx="898">
                  <c:v>0.21168339999999999</c:v>
                </c:pt>
                <c:pt idx="899">
                  <c:v>0.1193548</c:v>
                </c:pt>
                <c:pt idx="900">
                  <c:v>0.3292484</c:v>
                </c:pt>
                <c:pt idx="901">
                  <c:v>0.23628689999999999</c:v>
                </c:pt>
                <c:pt idx="902">
                  <c:v>7.86052E-2</c:v>
                </c:pt>
                <c:pt idx="903">
                  <c:v>0.25501249999999998</c:v>
                </c:pt>
                <c:pt idx="904">
                  <c:v>0.13778219999999999</c:v>
                </c:pt>
                <c:pt idx="905">
                  <c:v>0.16756270000000001</c:v>
                </c:pt>
                <c:pt idx="906">
                  <c:v>2.23602E-2</c:v>
                </c:pt>
                <c:pt idx="907">
                  <c:v>1.4917E-2</c:v>
                </c:pt>
                <c:pt idx="908">
                  <c:v>0.10598639999999999</c:v>
                </c:pt>
                <c:pt idx="909">
                  <c:v>5.16292E-2</c:v>
                </c:pt>
                <c:pt idx="910">
                  <c:v>0.13264480000000001</c:v>
                </c:pt>
                <c:pt idx="911">
                  <c:v>4.1567199999999999E-2</c:v>
                </c:pt>
                <c:pt idx="912">
                  <c:v>0.11869830000000001</c:v>
                </c:pt>
                <c:pt idx="913">
                  <c:v>5.5728000000000001E-3</c:v>
                </c:pt>
                <c:pt idx="914">
                  <c:v>3.0613700000000001E-2</c:v>
                </c:pt>
                <c:pt idx="915">
                  <c:v>1.76043E-2</c:v>
                </c:pt>
                <c:pt idx="916">
                  <c:v>5.98039E-2</c:v>
                </c:pt>
                <c:pt idx="917">
                  <c:v>9.5498799999999995E-2</c:v>
                </c:pt>
                <c:pt idx="918">
                  <c:v>5.8411200000000003E-2</c:v>
                </c:pt>
                <c:pt idx="919">
                  <c:v>2.60916E-2</c:v>
                </c:pt>
                <c:pt idx="920">
                  <c:v>4.6868800000000002E-2</c:v>
                </c:pt>
                <c:pt idx="921">
                  <c:v>6.5204700000000004E-2</c:v>
                </c:pt>
                <c:pt idx="922">
                  <c:v>5.42763E-2</c:v>
                </c:pt>
                <c:pt idx="923">
                  <c:v>1.3888899999999999E-2</c:v>
                </c:pt>
                <c:pt idx="924">
                  <c:v>2.09588E-2</c:v>
                </c:pt>
                <c:pt idx="925">
                  <c:v>8.5193000000000005E-3</c:v>
                </c:pt>
                <c:pt idx="926">
                  <c:v>9.6054999999999995E-3</c:v>
                </c:pt>
                <c:pt idx="927">
                  <c:v>8.0876999999999998E-3</c:v>
                </c:pt>
                <c:pt idx="928">
                  <c:v>5.7140000000000003E-3</c:v>
                </c:pt>
                <c:pt idx="929">
                  <c:v>9.6968000000000002E-3</c:v>
                </c:pt>
                <c:pt idx="930">
                  <c:v>6.3756000000000004E-3</c:v>
                </c:pt>
                <c:pt idx="931">
                  <c:v>9.1716999999999996E-3</c:v>
                </c:pt>
                <c:pt idx="932">
                  <c:v>5.9072999999999999E-3</c:v>
                </c:pt>
                <c:pt idx="933">
                  <c:v>7.0042000000000004E-3</c:v>
                </c:pt>
                <c:pt idx="934">
                  <c:v>1.4872099999999999E-2</c:v>
                </c:pt>
                <c:pt idx="935">
                  <c:v>5.5985000000000002E-3</c:v>
                </c:pt>
                <c:pt idx="936">
                  <c:v>5.4142000000000001E-3</c:v>
                </c:pt>
                <c:pt idx="937">
                  <c:v>6.6159200000000001E-2</c:v>
                </c:pt>
                <c:pt idx="938">
                  <c:v>6.6334199999999996E-2</c:v>
                </c:pt>
              </c:numCache>
            </c:numRef>
          </c:xVal>
          <c:yVal>
            <c:numRef>
              <c:f>'AP scatter'!$D$2:$D$940</c:f>
              <c:numCache>
                <c:formatCode>General</c:formatCode>
                <c:ptCount val="939"/>
                <c:pt idx="0">
                  <c:v>0.13459399999999999</c:v>
                </c:pt>
                <c:pt idx="1">
                  <c:v>0.54814819999999997</c:v>
                </c:pt>
                <c:pt idx="2">
                  <c:v>0.49266860000000001</c:v>
                </c:pt>
                <c:pt idx="3">
                  <c:v>0.55291970000000001</c:v>
                </c:pt>
                <c:pt idx="4">
                  <c:v>0.33982200000000001</c:v>
                </c:pt>
                <c:pt idx="5">
                  <c:v>0.46567160000000002</c:v>
                </c:pt>
                <c:pt idx="6">
                  <c:v>0.51807230000000004</c:v>
                </c:pt>
                <c:pt idx="7">
                  <c:v>0.35024149999999998</c:v>
                </c:pt>
                <c:pt idx="8">
                  <c:v>0.63988100000000003</c:v>
                </c:pt>
                <c:pt idx="9">
                  <c:v>0.60696519999999998</c:v>
                </c:pt>
                <c:pt idx="10">
                  <c:v>0.31690819999999997</c:v>
                </c:pt>
                <c:pt idx="11">
                  <c:v>0.4630996</c:v>
                </c:pt>
                <c:pt idx="12">
                  <c:v>0.5066079</c:v>
                </c:pt>
                <c:pt idx="13">
                  <c:v>0.32579190000000002</c:v>
                </c:pt>
                <c:pt idx="14">
                  <c:v>0.39200000000000002</c:v>
                </c:pt>
                <c:pt idx="15">
                  <c:v>0.63455150000000005</c:v>
                </c:pt>
                <c:pt idx="16">
                  <c:v>0.7633588</c:v>
                </c:pt>
                <c:pt idx="17">
                  <c:v>0.34328360000000002</c:v>
                </c:pt>
                <c:pt idx="18">
                  <c:v>0.70059879999999997</c:v>
                </c:pt>
                <c:pt idx="19">
                  <c:v>0.50375939999999997</c:v>
                </c:pt>
                <c:pt idx="20">
                  <c:v>0.54716980000000004</c:v>
                </c:pt>
                <c:pt idx="21">
                  <c:v>0.34722219999999998</c:v>
                </c:pt>
                <c:pt idx="22">
                  <c:v>3.79747E-2</c:v>
                </c:pt>
                <c:pt idx="23">
                  <c:v>0.11340210000000001</c:v>
                </c:pt>
                <c:pt idx="24">
                  <c:v>0.31365310000000002</c:v>
                </c:pt>
                <c:pt idx="25">
                  <c:v>0.70646770000000003</c:v>
                </c:pt>
                <c:pt idx="26">
                  <c:v>0.4942529</c:v>
                </c:pt>
                <c:pt idx="27">
                  <c:v>0.43315510000000002</c:v>
                </c:pt>
                <c:pt idx="28">
                  <c:v>0.54771789999999998</c:v>
                </c:pt>
                <c:pt idx="29">
                  <c:v>0.55445549999999999</c:v>
                </c:pt>
                <c:pt idx="30">
                  <c:v>0.70289860000000004</c:v>
                </c:pt>
                <c:pt idx="31">
                  <c:v>0.45724910000000002</c:v>
                </c:pt>
                <c:pt idx="32">
                  <c:v>0.75538159999999999</c:v>
                </c:pt>
                <c:pt idx="33">
                  <c:v>0.59340660000000001</c:v>
                </c:pt>
                <c:pt idx="34">
                  <c:v>0.4112903</c:v>
                </c:pt>
                <c:pt idx="35">
                  <c:v>0.45255469999999998</c:v>
                </c:pt>
                <c:pt idx="36">
                  <c:v>0.68556700000000004</c:v>
                </c:pt>
                <c:pt idx="37">
                  <c:v>0.55072460000000001</c:v>
                </c:pt>
                <c:pt idx="38">
                  <c:v>0.53947369999999994</c:v>
                </c:pt>
                <c:pt idx="39">
                  <c:v>0.6</c:v>
                </c:pt>
                <c:pt idx="40">
                  <c:v>0.5630252</c:v>
                </c:pt>
                <c:pt idx="41">
                  <c:v>0.37130800000000003</c:v>
                </c:pt>
                <c:pt idx="42">
                  <c:v>0.59136690000000003</c:v>
                </c:pt>
                <c:pt idx="43">
                  <c:v>0.40251569999999998</c:v>
                </c:pt>
                <c:pt idx="44">
                  <c:v>0.33700439999999998</c:v>
                </c:pt>
                <c:pt idx="45">
                  <c:v>0.62905990000000001</c:v>
                </c:pt>
                <c:pt idx="46">
                  <c:v>0.47899160000000002</c:v>
                </c:pt>
                <c:pt idx="47">
                  <c:v>0.640625</c:v>
                </c:pt>
                <c:pt idx="48">
                  <c:v>0.46567160000000002</c:v>
                </c:pt>
                <c:pt idx="49">
                  <c:v>0.39405210000000002</c:v>
                </c:pt>
                <c:pt idx="50">
                  <c:v>0.53947369999999994</c:v>
                </c:pt>
                <c:pt idx="51">
                  <c:v>0.1261398</c:v>
                </c:pt>
                <c:pt idx="52">
                  <c:v>0.58536580000000005</c:v>
                </c:pt>
                <c:pt idx="53">
                  <c:v>0.29017860000000001</c:v>
                </c:pt>
                <c:pt idx="54">
                  <c:v>0.54487180000000002</c:v>
                </c:pt>
                <c:pt idx="55">
                  <c:v>0.50627610000000001</c:v>
                </c:pt>
                <c:pt idx="56">
                  <c:v>0.468254</c:v>
                </c:pt>
                <c:pt idx="57">
                  <c:v>0.41428569999999998</c:v>
                </c:pt>
                <c:pt idx="58">
                  <c:v>2.47934E-2</c:v>
                </c:pt>
                <c:pt idx="59">
                  <c:v>0.30215829999999999</c:v>
                </c:pt>
                <c:pt idx="60">
                  <c:v>8.0745300000000006E-2</c:v>
                </c:pt>
                <c:pt idx="61">
                  <c:v>0.16421569999999999</c:v>
                </c:pt>
                <c:pt idx="62">
                  <c:v>0.1529903</c:v>
                </c:pt>
                <c:pt idx="63">
                  <c:v>2.91971E-2</c:v>
                </c:pt>
                <c:pt idx="64">
                  <c:v>0.1516245</c:v>
                </c:pt>
                <c:pt idx="65">
                  <c:v>1.53846E-2</c:v>
                </c:pt>
                <c:pt idx="66">
                  <c:v>0.1352941</c:v>
                </c:pt>
                <c:pt idx="67">
                  <c:v>0.30519479999999999</c:v>
                </c:pt>
                <c:pt idx="68">
                  <c:v>0.33463029999999999</c:v>
                </c:pt>
                <c:pt idx="69">
                  <c:v>9.9415199999999995E-2</c:v>
                </c:pt>
                <c:pt idx="70">
                  <c:v>2.3148100000000001E-2</c:v>
                </c:pt>
                <c:pt idx="71">
                  <c:v>0.19824220000000001</c:v>
                </c:pt>
                <c:pt idx="72">
                  <c:v>0.14299999999999999</c:v>
                </c:pt>
                <c:pt idx="73">
                  <c:v>0.28792129999999999</c:v>
                </c:pt>
                <c:pt idx="74">
                  <c:v>0.19354840000000001</c:v>
                </c:pt>
                <c:pt idx="75">
                  <c:v>0.137741</c:v>
                </c:pt>
                <c:pt idx="76">
                  <c:v>0.17857139999999999</c:v>
                </c:pt>
                <c:pt idx="77">
                  <c:v>2.58824E-2</c:v>
                </c:pt>
                <c:pt idx="78">
                  <c:v>0.41628959999999998</c:v>
                </c:pt>
                <c:pt idx="79">
                  <c:v>0.119171</c:v>
                </c:pt>
                <c:pt idx="80">
                  <c:v>0.34710740000000001</c:v>
                </c:pt>
                <c:pt idx="81">
                  <c:v>0.41816300000000001</c:v>
                </c:pt>
                <c:pt idx="82">
                  <c:v>0.3642241</c:v>
                </c:pt>
                <c:pt idx="83">
                  <c:v>0.51160220000000001</c:v>
                </c:pt>
                <c:pt idx="84">
                  <c:v>0.68306009999999995</c:v>
                </c:pt>
                <c:pt idx="85">
                  <c:v>0.70370370000000004</c:v>
                </c:pt>
                <c:pt idx="86">
                  <c:v>0.4166667</c:v>
                </c:pt>
                <c:pt idx="87">
                  <c:v>0.47131149999999999</c:v>
                </c:pt>
                <c:pt idx="88">
                  <c:v>7.6923099999999994E-2</c:v>
                </c:pt>
                <c:pt idx="89">
                  <c:v>0.50806450000000003</c:v>
                </c:pt>
                <c:pt idx="90">
                  <c:v>0.55813959999999996</c:v>
                </c:pt>
                <c:pt idx="91">
                  <c:v>8.2840200000000003E-2</c:v>
                </c:pt>
                <c:pt idx="92">
                  <c:v>0.31632650000000001</c:v>
                </c:pt>
                <c:pt idx="93">
                  <c:v>0.25842700000000002</c:v>
                </c:pt>
                <c:pt idx="94">
                  <c:v>0.20209060000000001</c:v>
                </c:pt>
                <c:pt idx="95">
                  <c:v>0.27225129999999997</c:v>
                </c:pt>
                <c:pt idx="96">
                  <c:v>0.48633880000000002</c:v>
                </c:pt>
                <c:pt idx="97">
                  <c:v>0.40909089999999998</c:v>
                </c:pt>
                <c:pt idx="98">
                  <c:v>0.29613420000000001</c:v>
                </c:pt>
                <c:pt idx="99">
                  <c:v>0.64850430000000003</c:v>
                </c:pt>
                <c:pt idx="100">
                  <c:v>0.2291667</c:v>
                </c:pt>
                <c:pt idx="101">
                  <c:v>0.36547429999999997</c:v>
                </c:pt>
                <c:pt idx="102">
                  <c:v>0.2414734</c:v>
                </c:pt>
                <c:pt idx="103">
                  <c:v>0.27862599999999998</c:v>
                </c:pt>
                <c:pt idx="104">
                  <c:v>6.0606100000000003E-2</c:v>
                </c:pt>
                <c:pt idx="105">
                  <c:v>0.14981269999999999</c:v>
                </c:pt>
                <c:pt idx="106">
                  <c:v>0.22094359999999999</c:v>
                </c:pt>
                <c:pt idx="107">
                  <c:v>0.35616439999999999</c:v>
                </c:pt>
                <c:pt idx="108">
                  <c:v>0.28771930000000001</c:v>
                </c:pt>
                <c:pt idx="109">
                  <c:v>0.27338129999999999</c:v>
                </c:pt>
                <c:pt idx="110">
                  <c:v>0.32530120000000001</c:v>
                </c:pt>
                <c:pt idx="111">
                  <c:v>0.1309524</c:v>
                </c:pt>
                <c:pt idx="112">
                  <c:v>0.40116279999999999</c:v>
                </c:pt>
                <c:pt idx="113">
                  <c:v>0.15568860000000001</c:v>
                </c:pt>
                <c:pt idx="114">
                  <c:v>0.26666669999999998</c:v>
                </c:pt>
                <c:pt idx="115">
                  <c:v>0.20740739999999999</c:v>
                </c:pt>
                <c:pt idx="116">
                  <c:v>0.26984130000000001</c:v>
                </c:pt>
                <c:pt idx="117">
                  <c:v>0.27272730000000001</c:v>
                </c:pt>
                <c:pt idx="118">
                  <c:v>3.3707899999999999E-2</c:v>
                </c:pt>
                <c:pt idx="119">
                  <c:v>8.77193E-2</c:v>
                </c:pt>
                <c:pt idx="120">
                  <c:v>0.81764700000000001</c:v>
                </c:pt>
                <c:pt idx="121">
                  <c:v>0.29950490000000002</c:v>
                </c:pt>
                <c:pt idx="122">
                  <c:v>0.38524589999999997</c:v>
                </c:pt>
                <c:pt idx="123">
                  <c:v>0.31527090000000002</c:v>
                </c:pt>
                <c:pt idx="124">
                  <c:v>0.39097739999999997</c:v>
                </c:pt>
                <c:pt idx="125">
                  <c:v>0.33103450000000001</c:v>
                </c:pt>
                <c:pt idx="126">
                  <c:v>0.37878790000000001</c:v>
                </c:pt>
                <c:pt idx="127">
                  <c:v>0.41463410000000001</c:v>
                </c:pt>
                <c:pt idx="128">
                  <c:v>0.34459459999999997</c:v>
                </c:pt>
                <c:pt idx="129">
                  <c:v>0.4084507</c:v>
                </c:pt>
                <c:pt idx="130">
                  <c:v>0.1927711</c:v>
                </c:pt>
                <c:pt idx="131">
                  <c:v>0.19617229999999999</c:v>
                </c:pt>
                <c:pt idx="132">
                  <c:v>0.2056452</c:v>
                </c:pt>
                <c:pt idx="133">
                  <c:v>0.56088669999999996</c:v>
                </c:pt>
                <c:pt idx="134">
                  <c:v>0.57377049999999996</c:v>
                </c:pt>
                <c:pt idx="135">
                  <c:v>0.58247420000000005</c:v>
                </c:pt>
                <c:pt idx="136">
                  <c:v>0.41975309999999999</c:v>
                </c:pt>
                <c:pt idx="137">
                  <c:v>0.40654210000000002</c:v>
                </c:pt>
                <c:pt idx="138">
                  <c:v>0.35172409999999998</c:v>
                </c:pt>
                <c:pt idx="139">
                  <c:v>0.2801556</c:v>
                </c:pt>
                <c:pt idx="140">
                  <c:v>0.36057689999999998</c:v>
                </c:pt>
                <c:pt idx="141">
                  <c:v>0.4969788</c:v>
                </c:pt>
                <c:pt idx="142">
                  <c:v>0.42774960000000001</c:v>
                </c:pt>
                <c:pt idx="143">
                  <c:v>0.48837209999999998</c:v>
                </c:pt>
                <c:pt idx="144">
                  <c:v>0.51596430000000004</c:v>
                </c:pt>
                <c:pt idx="145">
                  <c:v>0.24050630000000001</c:v>
                </c:pt>
                <c:pt idx="146">
                  <c:v>0.53699450000000004</c:v>
                </c:pt>
                <c:pt idx="147">
                  <c:v>0.4978166</c:v>
                </c:pt>
                <c:pt idx="148">
                  <c:v>0.70673079999999999</c:v>
                </c:pt>
                <c:pt idx="149">
                  <c:v>0.53014790000000001</c:v>
                </c:pt>
                <c:pt idx="150">
                  <c:v>0.65467169999999997</c:v>
                </c:pt>
                <c:pt idx="151">
                  <c:v>0.56049819999999995</c:v>
                </c:pt>
                <c:pt idx="152">
                  <c:v>0.6513158</c:v>
                </c:pt>
                <c:pt idx="153">
                  <c:v>0.71933959999999997</c:v>
                </c:pt>
                <c:pt idx="154">
                  <c:v>0.37578060000000002</c:v>
                </c:pt>
                <c:pt idx="155">
                  <c:v>0.38031320000000002</c:v>
                </c:pt>
                <c:pt idx="156">
                  <c:v>0.58181819999999995</c:v>
                </c:pt>
                <c:pt idx="157">
                  <c:v>0.50462960000000001</c:v>
                </c:pt>
                <c:pt idx="158">
                  <c:v>0.82233500000000004</c:v>
                </c:pt>
                <c:pt idx="159">
                  <c:v>0.71496440000000006</c:v>
                </c:pt>
                <c:pt idx="160">
                  <c:v>0.50993379999999999</c:v>
                </c:pt>
                <c:pt idx="161">
                  <c:v>0.68387100000000001</c:v>
                </c:pt>
                <c:pt idx="162">
                  <c:v>0.52731410000000001</c:v>
                </c:pt>
                <c:pt idx="163">
                  <c:v>0.72972970000000004</c:v>
                </c:pt>
                <c:pt idx="164">
                  <c:v>0.61475409999999997</c:v>
                </c:pt>
                <c:pt idx="165">
                  <c:v>0.5814433</c:v>
                </c:pt>
                <c:pt idx="166">
                  <c:v>0.7032967</c:v>
                </c:pt>
                <c:pt idx="167">
                  <c:v>0.59808609999999995</c:v>
                </c:pt>
                <c:pt idx="168">
                  <c:v>0.68619249999999998</c:v>
                </c:pt>
                <c:pt idx="169">
                  <c:v>0.51557090000000005</c:v>
                </c:pt>
                <c:pt idx="170">
                  <c:v>0.62105259999999995</c:v>
                </c:pt>
                <c:pt idx="171">
                  <c:v>0.6937799</c:v>
                </c:pt>
                <c:pt idx="172">
                  <c:v>0.69230769999999997</c:v>
                </c:pt>
                <c:pt idx="173">
                  <c:v>0.62019230000000003</c:v>
                </c:pt>
                <c:pt idx="174">
                  <c:v>0.50684929999999995</c:v>
                </c:pt>
                <c:pt idx="175">
                  <c:v>0.6099291</c:v>
                </c:pt>
                <c:pt idx="176">
                  <c:v>0.59400889999999995</c:v>
                </c:pt>
                <c:pt idx="177">
                  <c:v>0.73387100000000005</c:v>
                </c:pt>
                <c:pt idx="178">
                  <c:v>0.6054254</c:v>
                </c:pt>
                <c:pt idx="179">
                  <c:v>0.65113350000000003</c:v>
                </c:pt>
                <c:pt idx="180">
                  <c:v>0.7533512</c:v>
                </c:pt>
                <c:pt idx="181">
                  <c:v>0.51648349999999998</c:v>
                </c:pt>
                <c:pt idx="182">
                  <c:v>0.65771809999999997</c:v>
                </c:pt>
                <c:pt idx="183">
                  <c:v>0.58100560000000001</c:v>
                </c:pt>
                <c:pt idx="184">
                  <c:v>0.63905840000000003</c:v>
                </c:pt>
                <c:pt idx="185">
                  <c:v>0.47096769999999999</c:v>
                </c:pt>
                <c:pt idx="186">
                  <c:v>0.55063289999999998</c:v>
                </c:pt>
                <c:pt idx="187">
                  <c:v>0.5389408</c:v>
                </c:pt>
                <c:pt idx="188">
                  <c:v>0.64312270000000005</c:v>
                </c:pt>
                <c:pt idx="189">
                  <c:v>0.63265309999999997</c:v>
                </c:pt>
                <c:pt idx="190">
                  <c:v>0.6023809</c:v>
                </c:pt>
                <c:pt idx="191">
                  <c:v>0.41158349999999999</c:v>
                </c:pt>
                <c:pt idx="192">
                  <c:v>0.32377050000000002</c:v>
                </c:pt>
                <c:pt idx="193">
                  <c:v>0.4967742</c:v>
                </c:pt>
                <c:pt idx="194">
                  <c:v>0.2734375</c:v>
                </c:pt>
                <c:pt idx="195">
                  <c:v>0.45454549999999999</c:v>
                </c:pt>
                <c:pt idx="196">
                  <c:v>0.48167539999999998</c:v>
                </c:pt>
                <c:pt idx="197">
                  <c:v>0.35344829999999999</c:v>
                </c:pt>
                <c:pt idx="198">
                  <c:v>0.4473684</c:v>
                </c:pt>
                <c:pt idx="199">
                  <c:v>0.17985609999999999</c:v>
                </c:pt>
                <c:pt idx="200">
                  <c:v>0.58389259999999998</c:v>
                </c:pt>
                <c:pt idx="201">
                  <c:v>0.45299149999999999</c:v>
                </c:pt>
                <c:pt idx="202">
                  <c:v>0.37471779999999999</c:v>
                </c:pt>
                <c:pt idx="203">
                  <c:v>0.61875000000000002</c:v>
                </c:pt>
                <c:pt idx="204">
                  <c:v>0.4609375</c:v>
                </c:pt>
                <c:pt idx="205">
                  <c:v>0.50746270000000004</c:v>
                </c:pt>
                <c:pt idx="206">
                  <c:v>0.53048779999999995</c:v>
                </c:pt>
                <c:pt idx="207">
                  <c:v>0.74137929999999996</c:v>
                </c:pt>
                <c:pt idx="208">
                  <c:v>0.39696520000000002</c:v>
                </c:pt>
                <c:pt idx="209">
                  <c:v>0.17293230000000001</c:v>
                </c:pt>
                <c:pt idx="210">
                  <c:v>0.44231949999999998</c:v>
                </c:pt>
                <c:pt idx="211">
                  <c:v>0.26027400000000001</c:v>
                </c:pt>
                <c:pt idx="212">
                  <c:v>0.55653039999999998</c:v>
                </c:pt>
                <c:pt idx="213">
                  <c:v>0.87561149999999999</c:v>
                </c:pt>
                <c:pt idx="214">
                  <c:v>0.76636570000000004</c:v>
                </c:pt>
                <c:pt idx="215">
                  <c:v>0.83168319999999996</c:v>
                </c:pt>
                <c:pt idx="216">
                  <c:v>0.80159789999999997</c:v>
                </c:pt>
                <c:pt idx="217">
                  <c:v>0.73239430000000005</c:v>
                </c:pt>
                <c:pt idx="218">
                  <c:v>0.88947929999999997</c:v>
                </c:pt>
                <c:pt idx="219">
                  <c:v>0.84627090000000005</c:v>
                </c:pt>
                <c:pt idx="220">
                  <c:v>0.51376149999999998</c:v>
                </c:pt>
                <c:pt idx="221">
                  <c:v>0.91706160000000003</c:v>
                </c:pt>
                <c:pt idx="222">
                  <c:v>0.72408760000000005</c:v>
                </c:pt>
                <c:pt idx="223">
                  <c:v>0.83770489999999997</c:v>
                </c:pt>
                <c:pt idx="224">
                  <c:v>0.75449730000000004</c:v>
                </c:pt>
                <c:pt idx="225">
                  <c:v>0.67095850000000001</c:v>
                </c:pt>
                <c:pt idx="226">
                  <c:v>0.69689120000000004</c:v>
                </c:pt>
                <c:pt idx="227">
                  <c:v>0.76745920000000001</c:v>
                </c:pt>
                <c:pt idx="228">
                  <c:v>0.67446390000000001</c:v>
                </c:pt>
                <c:pt idx="229">
                  <c:v>0.70773640000000004</c:v>
                </c:pt>
                <c:pt idx="230">
                  <c:v>0.89252819999999999</c:v>
                </c:pt>
                <c:pt idx="231">
                  <c:v>0.68520579999999998</c:v>
                </c:pt>
                <c:pt idx="232">
                  <c:v>0.4698425</c:v>
                </c:pt>
                <c:pt idx="233">
                  <c:v>0.80497209999999997</c:v>
                </c:pt>
                <c:pt idx="234">
                  <c:v>0.70443350000000005</c:v>
                </c:pt>
                <c:pt idx="235">
                  <c:v>0.79320800000000002</c:v>
                </c:pt>
                <c:pt idx="236">
                  <c:v>0.785331</c:v>
                </c:pt>
                <c:pt idx="237">
                  <c:v>0.6476191</c:v>
                </c:pt>
                <c:pt idx="238">
                  <c:v>0.44692739999999997</c:v>
                </c:pt>
                <c:pt idx="239">
                  <c:v>0.46405229999999997</c:v>
                </c:pt>
                <c:pt idx="240">
                  <c:v>0.92567569999999999</c:v>
                </c:pt>
                <c:pt idx="241">
                  <c:v>0.74200909999999998</c:v>
                </c:pt>
                <c:pt idx="242">
                  <c:v>0.80189679999999997</c:v>
                </c:pt>
                <c:pt idx="243">
                  <c:v>0.75203249999999999</c:v>
                </c:pt>
                <c:pt idx="244">
                  <c:v>0.69230769999999997</c:v>
                </c:pt>
                <c:pt idx="245">
                  <c:v>0.74029849999999997</c:v>
                </c:pt>
                <c:pt idx="246">
                  <c:v>0.90734269999999995</c:v>
                </c:pt>
                <c:pt idx="247">
                  <c:v>0.71225459999999996</c:v>
                </c:pt>
                <c:pt idx="248">
                  <c:v>0.7528958</c:v>
                </c:pt>
                <c:pt idx="249">
                  <c:v>0.76749710000000004</c:v>
                </c:pt>
                <c:pt idx="250">
                  <c:v>0.8991228</c:v>
                </c:pt>
                <c:pt idx="251">
                  <c:v>0.40588760000000002</c:v>
                </c:pt>
                <c:pt idx="252">
                  <c:v>0.83333330000000005</c:v>
                </c:pt>
                <c:pt idx="253">
                  <c:v>0.87301589999999996</c:v>
                </c:pt>
                <c:pt idx="254">
                  <c:v>0.64166670000000003</c:v>
                </c:pt>
                <c:pt idx="255">
                  <c:v>0.58260869999999998</c:v>
                </c:pt>
                <c:pt idx="256">
                  <c:v>0.87412590000000001</c:v>
                </c:pt>
                <c:pt idx="257">
                  <c:v>0.75</c:v>
                </c:pt>
                <c:pt idx="258">
                  <c:v>0.62151400000000001</c:v>
                </c:pt>
                <c:pt idx="259">
                  <c:v>0.81432360000000004</c:v>
                </c:pt>
                <c:pt idx="260">
                  <c:v>0.84444450000000004</c:v>
                </c:pt>
                <c:pt idx="261">
                  <c:v>0.63958329999999997</c:v>
                </c:pt>
                <c:pt idx="262">
                  <c:v>0.78502419999999995</c:v>
                </c:pt>
                <c:pt idx="263">
                  <c:v>0.55956680000000003</c:v>
                </c:pt>
                <c:pt idx="264">
                  <c:v>0.83625729999999998</c:v>
                </c:pt>
                <c:pt idx="265">
                  <c:v>0.90471089999999998</c:v>
                </c:pt>
                <c:pt idx="266">
                  <c:v>0.86558120000000005</c:v>
                </c:pt>
                <c:pt idx="267">
                  <c:v>0.61799660000000001</c:v>
                </c:pt>
                <c:pt idx="268">
                  <c:v>0.40684409999999999</c:v>
                </c:pt>
                <c:pt idx="269">
                  <c:v>0.84683949999999997</c:v>
                </c:pt>
                <c:pt idx="270">
                  <c:v>0.48087429999999998</c:v>
                </c:pt>
                <c:pt idx="271">
                  <c:v>0.67474749999999994</c:v>
                </c:pt>
                <c:pt idx="272">
                  <c:v>0.81753549999999997</c:v>
                </c:pt>
                <c:pt idx="273">
                  <c:v>0.64150940000000001</c:v>
                </c:pt>
                <c:pt idx="274">
                  <c:v>0.67584100000000003</c:v>
                </c:pt>
                <c:pt idx="275">
                  <c:v>0.81456949999999995</c:v>
                </c:pt>
                <c:pt idx="276">
                  <c:v>0.58778629999999998</c:v>
                </c:pt>
                <c:pt idx="277">
                  <c:v>0.55043229999999999</c:v>
                </c:pt>
                <c:pt idx="278">
                  <c:v>0.77500000000000002</c:v>
                </c:pt>
                <c:pt idx="279">
                  <c:v>0.56886230000000004</c:v>
                </c:pt>
                <c:pt idx="280">
                  <c:v>0.81192660000000005</c:v>
                </c:pt>
                <c:pt idx="281">
                  <c:v>0.62873369999999995</c:v>
                </c:pt>
                <c:pt idx="282">
                  <c:v>0.86801430000000002</c:v>
                </c:pt>
                <c:pt idx="283">
                  <c:v>0.61142859999999999</c:v>
                </c:pt>
                <c:pt idx="284">
                  <c:v>0.77387919999999999</c:v>
                </c:pt>
                <c:pt idx="285">
                  <c:v>0.72711870000000001</c:v>
                </c:pt>
                <c:pt idx="286">
                  <c:v>0.6390593</c:v>
                </c:pt>
                <c:pt idx="287">
                  <c:v>0.71345029999999998</c:v>
                </c:pt>
                <c:pt idx="288">
                  <c:v>0.77257889999999996</c:v>
                </c:pt>
                <c:pt idx="289">
                  <c:v>0.85103930000000005</c:v>
                </c:pt>
                <c:pt idx="290">
                  <c:v>0.50375939999999997</c:v>
                </c:pt>
                <c:pt idx="291">
                  <c:v>0.56160829999999995</c:v>
                </c:pt>
                <c:pt idx="292">
                  <c:v>0.82758620000000005</c:v>
                </c:pt>
                <c:pt idx="293">
                  <c:v>0.82195450000000003</c:v>
                </c:pt>
                <c:pt idx="294">
                  <c:v>0.78512389999999999</c:v>
                </c:pt>
                <c:pt idx="295">
                  <c:v>0.76510069999999997</c:v>
                </c:pt>
                <c:pt idx="296">
                  <c:v>0.90579710000000002</c:v>
                </c:pt>
                <c:pt idx="297">
                  <c:v>0.64186049999999994</c:v>
                </c:pt>
                <c:pt idx="298">
                  <c:v>0.52209729999999999</c:v>
                </c:pt>
                <c:pt idx="299">
                  <c:v>0.4852321</c:v>
                </c:pt>
                <c:pt idx="300">
                  <c:v>0.62142850000000005</c:v>
                </c:pt>
                <c:pt idx="301">
                  <c:v>0.68876079999999995</c:v>
                </c:pt>
                <c:pt idx="302">
                  <c:v>0.6901408</c:v>
                </c:pt>
                <c:pt idx="303">
                  <c:v>0.80769230000000003</c:v>
                </c:pt>
                <c:pt idx="304">
                  <c:v>0.63953490000000002</c:v>
                </c:pt>
                <c:pt idx="305">
                  <c:v>0.314554</c:v>
                </c:pt>
                <c:pt idx="306">
                  <c:v>0.85465120000000006</c:v>
                </c:pt>
                <c:pt idx="307">
                  <c:v>0.61313870000000004</c:v>
                </c:pt>
                <c:pt idx="308">
                  <c:v>0.41605839999999999</c:v>
                </c:pt>
                <c:pt idx="309">
                  <c:v>0.61127600000000004</c:v>
                </c:pt>
                <c:pt idx="310">
                  <c:v>0.77306739999999996</c:v>
                </c:pt>
                <c:pt idx="311">
                  <c:v>0.74725280000000005</c:v>
                </c:pt>
                <c:pt idx="312">
                  <c:v>0.43127959999999999</c:v>
                </c:pt>
                <c:pt idx="313">
                  <c:v>0.56126480000000001</c:v>
                </c:pt>
                <c:pt idx="314">
                  <c:v>0.79020979999999996</c:v>
                </c:pt>
                <c:pt idx="315">
                  <c:v>0.80286740000000001</c:v>
                </c:pt>
                <c:pt idx="316">
                  <c:v>0.45962730000000002</c:v>
                </c:pt>
                <c:pt idx="317">
                  <c:v>0.76785709999999996</c:v>
                </c:pt>
                <c:pt idx="318">
                  <c:v>0.86274510000000004</c:v>
                </c:pt>
                <c:pt idx="319">
                  <c:v>0.72361810000000004</c:v>
                </c:pt>
                <c:pt idx="320">
                  <c:v>0.48584909999999998</c:v>
                </c:pt>
                <c:pt idx="321">
                  <c:v>0.51875000000000004</c:v>
                </c:pt>
                <c:pt idx="322">
                  <c:v>0.26156580000000001</c:v>
                </c:pt>
                <c:pt idx="323">
                  <c:v>0.33193279999999997</c:v>
                </c:pt>
                <c:pt idx="324">
                  <c:v>0.33879779999999998</c:v>
                </c:pt>
                <c:pt idx="325">
                  <c:v>0.45109660000000001</c:v>
                </c:pt>
                <c:pt idx="326">
                  <c:v>0.503251</c:v>
                </c:pt>
                <c:pt idx="327">
                  <c:v>0.66666669999999995</c:v>
                </c:pt>
                <c:pt idx="328">
                  <c:v>0.27322410000000003</c:v>
                </c:pt>
                <c:pt idx="329">
                  <c:v>0.30578509999999998</c:v>
                </c:pt>
                <c:pt idx="330">
                  <c:v>0.3873085</c:v>
                </c:pt>
                <c:pt idx="331">
                  <c:v>0.60629920000000004</c:v>
                </c:pt>
                <c:pt idx="332">
                  <c:v>0.35952849999999997</c:v>
                </c:pt>
                <c:pt idx="333">
                  <c:v>0.86614170000000001</c:v>
                </c:pt>
                <c:pt idx="334">
                  <c:v>0.51750969999999996</c:v>
                </c:pt>
                <c:pt idx="335">
                  <c:v>0.741228</c:v>
                </c:pt>
                <c:pt idx="336">
                  <c:v>0.64227639999999997</c:v>
                </c:pt>
                <c:pt idx="337">
                  <c:v>0.482659</c:v>
                </c:pt>
                <c:pt idx="338">
                  <c:v>0.1727079</c:v>
                </c:pt>
                <c:pt idx="339">
                  <c:v>0.2526042</c:v>
                </c:pt>
                <c:pt idx="340">
                  <c:v>0.26506020000000002</c:v>
                </c:pt>
                <c:pt idx="341">
                  <c:v>0.76351349999999996</c:v>
                </c:pt>
                <c:pt idx="342">
                  <c:v>0.5388889</c:v>
                </c:pt>
                <c:pt idx="343">
                  <c:v>3.4482800000000001E-2</c:v>
                </c:pt>
                <c:pt idx="344">
                  <c:v>0.28235300000000002</c:v>
                </c:pt>
                <c:pt idx="345">
                  <c:v>0.54071659999999999</c:v>
                </c:pt>
                <c:pt idx="346">
                  <c:v>0.26442310000000002</c:v>
                </c:pt>
                <c:pt idx="347">
                  <c:v>0.54838710000000002</c:v>
                </c:pt>
                <c:pt idx="348">
                  <c:v>0.27708329999999998</c:v>
                </c:pt>
                <c:pt idx="349">
                  <c:v>0.50757580000000002</c:v>
                </c:pt>
                <c:pt idx="350">
                  <c:v>0.46666669999999999</c:v>
                </c:pt>
                <c:pt idx="351">
                  <c:v>0.59509199999999995</c:v>
                </c:pt>
                <c:pt idx="352">
                  <c:v>0.52140070000000005</c:v>
                </c:pt>
                <c:pt idx="353">
                  <c:v>0.51578939999999995</c:v>
                </c:pt>
                <c:pt idx="354">
                  <c:v>0.45631070000000001</c:v>
                </c:pt>
                <c:pt idx="355">
                  <c:v>0.54639170000000004</c:v>
                </c:pt>
                <c:pt idx="356">
                  <c:v>0.71513349999999998</c:v>
                </c:pt>
                <c:pt idx="357">
                  <c:v>0.75362320000000005</c:v>
                </c:pt>
                <c:pt idx="358">
                  <c:v>0.66666669999999995</c:v>
                </c:pt>
                <c:pt idx="359">
                  <c:v>0.54152820000000002</c:v>
                </c:pt>
                <c:pt idx="360">
                  <c:v>0.66445180000000004</c:v>
                </c:pt>
                <c:pt idx="361">
                  <c:v>0.56153850000000005</c:v>
                </c:pt>
                <c:pt idx="362">
                  <c:v>0.8046875</c:v>
                </c:pt>
                <c:pt idx="363">
                  <c:v>0.46133679999999999</c:v>
                </c:pt>
                <c:pt idx="364">
                  <c:v>0.1884817</c:v>
                </c:pt>
                <c:pt idx="365">
                  <c:v>0.63949840000000002</c:v>
                </c:pt>
                <c:pt idx="366">
                  <c:v>0.55963300000000005</c:v>
                </c:pt>
                <c:pt idx="367">
                  <c:v>0.59333329999999995</c:v>
                </c:pt>
                <c:pt idx="368">
                  <c:v>0.46441949999999999</c:v>
                </c:pt>
                <c:pt idx="369">
                  <c:v>0.50413220000000003</c:v>
                </c:pt>
                <c:pt idx="370">
                  <c:v>0.72832370000000002</c:v>
                </c:pt>
                <c:pt idx="371">
                  <c:v>0.69111109999999998</c:v>
                </c:pt>
                <c:pt idx="372">
                  <c:v>0.32515339999999998</c:v>
                </c:pt>
                <c:pt idx="373">
                  <c:v>0.53676469999999998</c:v>
                </c:pt>
                <c:pt idx="374">
                  <c:v>0.6028038</c:v>
                </c:pt>
                <c:pt idx="375">
                  <c:v>0.6</c:v>
                </c:pt>
                <c:pt idx="376">
                  <c:v>0.47258480000000003</c:v>
                </c:pt>
                <c:pt idx="377">
                  <c:v>0.26088210000000001</c:v>
                </c:pt>
                <c:pt idx="378">
                  <c:v>0.64891379999999999</c:v>
                </c:pt>
                <c:pt idx="379">
                  <c:v>0.5404255</c:v>
                </c:pt>
                <c:pt idx="380">
                  <c:v>0.57198439999999995</c:v>
                </c:pt>
                <c:pt idx="381">
                  <c:v>0.49582720000000002</c:v>
                </c:pt>
                <c:pt idx="382">
                  <c:v>0.584507</c:v>
                </c:pt>
                <c:pt idx="383">
                  <c:v>0.73473920000000004</c:v>
                </c:pt>
                <c:pt idx="384">
                  <c:v>0.4802631</c:v>
                </c:pt>
                <c:pt idx="385">
                  <c:v>0.70802920000000003</c:v>
                </c:pt>
                <c:pt idx="386">
                  <c:v>0.69162990000000002</c:v>
                </c:pt>
                <c:pt idx="387">
                  <c:v>0.60084029999999999</c:v>
                </c:pt>
                <c:pt idx="388">
                  <c:v>0.7100592</c:v>
                </c:pt>
                <c:pt idx="389">
                  <c:v>0.77674699999999997</c:v>
                </c:pt>
                <c:pt idx="390">
                  <c:v>0.41509430000000003</c:v>
                </c:pt>
                <c:pt idx="391">
                  <c:v>0.65196849999999995</c:v>
                </c:pt>
                <c:pt idx="392">
                  <c:v>0.57502620000000004</c:v>
                </c:pt>
                <c:pt idx="393">
                  <c:v>0.71269839999999995</c:v>
                </c:pt>
                <c:pt idx="394">
                  <c:v>0.7577197</c:v>
                </c:pt>
                <c:pt idx="395">
                  <c:v>0.6901988</c:v>
                </c:pt>
                <c:pt idx="396">
                  <c:v>0.51351349999999996</c:v>
                </c:pt>
                <c:pt idx="397">
                  <c:v>0.73650800000000005</c:v>
                </c:pt>
                <c:pt idx="398">
                  <c:v>0.78048779999999995</c:v>
                </c:pt>
                <c:pt idx="399">
                  <c:v>0.60180999999999996</c:v>
                </c:pt>
                <c:pt idx="400">
                  <c:v>0.72861359999999997</c:v>
                </c:pt>
                <c:pt idx="401">
                  <c:v>0.55424059999999997</c:v>
                </c:pt>
                <c:pt idx="402">
                  <c:v>0.36369010000000002</c:v>
                </c:pt>
                <c:pt idx="403">
                  <c:v>0.25873059999999998</c:v>
                </c:pt>
                <c:pt idx="404">
                  <c:v>0.28415299999999999</c:v>
                </c:pt>
                <c:pt idx="405">
                  <c:v>0.41525420000000002</c:v>
                </c:pt>
                <c:pt idx="406">
                  <c:v>0.8169014</c:v>
                </c:pt>
                <c:pt idx="407">
                  <c:v>0.7109375</c:v>
                </c:pt>
                <c:pt idx="408">
                  <c:v>0.320442</c:v>
                </c:pt>
                <c:pt idx="409">
                  <c:v>0.4166667</c:v>
                </c:pt>
                <c:pt idx="410">
                  <c:v>0.42657339999999999</c:v>
                </c:pt>
                <c:pt idx="411">
                  <c:v>0.43333329999999998</c:v>
                </c:pt>
                <c:pt idx="412">
                  <c:v>0.39682539999999999</c:v>
                </c:pt>
                <c:pt idx="413">
                  <c:v>0.56132079999999995</c:v>
                </c:pt>
                <c:pt idx="414">
                  <c:v>0.48745519999999998</c:v>
                </c:pt>
                <c:pt idx="415">
                  <c:v>0.43693690000000002</c:v>
                </c:pt>
                <c:pt idx="416">
                  <c:v>0.41290320000000003</c:v>
                </c:pt>
                <c:pt idx="417">
                  <c:v>0.5378984</c:v>
                </c:pt>
                <c:pt idx="418">
                  <c:v>0.27372259999999998</c:v>
                </c:pt>
                <c:pt idx="419">
                  <c:v>0.60902259999999997</c:v>
                </c:pt>
                <c:pt idx="420">
                  <c:v>0.52914799999999995</c:v>
                </c:pt>
                <c:pt idx="421">
                  <c:v>0.6</c:v>
                </c:pt>
                <c:pt idx="422">
                  <c:v>0.45454549999999999</c:v>
                </c:pt>
                <c:pt idx="423">
                  <c:v>0.58928570000000002</c:v>
                </c:pt>
                <c:pt idx="424">
                  <c:v>0.36249999999999999</c:v>
                </c:pt>
                <c:pt idx="425">
                  <c:v>0.59246580000000004</c:v>
                </c:pt>
                <c:pt idx="426">
                  <c:v>0.54076769999999996</c:v>
                </c:pt>
                <c:pt idx="427">
                  <c:v>0.60790279999999997</c:v>
                </c:pt>
                <c:pt idx="428">
                  <c:v>0.32638889999999998</c:v>
                </c:pt>
                <c:pt idx="429">
                  <c:v>0.64434179999999996</c:v>
                </c:pt>
                <c:pt idx="430">
                  <c:v>0.61503419999999998</c:v>
                </c:pt>
                <c:pt idx="431">
                  <c:v>0.42580649999999998</c:v>
                </c:pt>
                <c:pt idx="432">
                  <c:v>0.63598030000000005</c:v>
                </c:pt>
                <c:pt idx="433">
                  <c:v>0.41312739999999998</c:v>
                </c:pt>
                <c:pt idx="434">
                  <c:v>0.80062310000000003</c:v>
                </c:pt>
                <c:pt idx="435">
                  <c:v>0.35714289999999999</c:v>
                </c:pt>
                <c:pt idx="436">
                  <c:v>0.68367339999999999</c:v>
                </c:pt>
                <c:pt idx="437">
                  <c:v>0.79894580000000004</c:v>
                </c:pt>
                <c:pt idx="438">
                  <c:v>0.21317829999999999</c:v>
                </c:pt>
                <c:pt idx="439">
                  <c:v>0.35483870000000001</c:v>
                </c:pt>
                <c:pt idx="440">
                  <c:v>0.6547771</c:v>
                </c:pt>
                <c:pt idx="441">
                  <c:v>0.47516560000000002</c:v>
                </c:pt>
                <c:pt idx="442">
                  <c:v>0.54385969999999995</c:v>
                </c:pt>
                <c:pt idx="443">
                  <c:v>0.57246379999999997</c:v>
                </c:pt>
                <c:pt idx="444">
                  <c:v>0.68391999999999997</c:v>
                </c:pt>
                <c:pt idx="445">
                  <c:v>0.49644129999999997</c:v>
                </c:pt>
                <c:pt idx="446">
                  <c:v>0.26457399999999998</c:v>
                </c:pt>
                <c:pt idx="447">
                  <c:v>0.38016529999999998</c:v>
                </c:pt>
                <c:pt idx="448">
                  <c:v>0.70370370000000004</c:v>
                </c:pt>
                <c:pt idx="449">
                  <c:v>0.72327039999999998</c:v>
                </c:pt>
                <c:pt idx="450">
                  <c:v>0.4171803</c:v>
                </c:pt>
                <c:pt idx="451">
                  <c:v>0.65810400000000002</c:v>
                </c:pt>
                <c:pt idx="452">
                  <c:v>0.64900659999999999</c:v>
                </c:pt>
                <c:pt idx="453">
                  <c:v>0.42056070000000001</c:v>
                </c:pt>
                <c:pt idx="454">
                  <c:v>0.61136360000000001</c:v>
                </c:pt>
                <c:pt idx="455">
                  <c:v>0.66799209999999998</c:v>
                </c:pt>
                <c:pt idx="456">
                  <c:v>0.49125170000000001</c:v>
                </c:pt>
                <c:pt idx="457">
                  <c:v>0.37610860000000002</c:v>
                </c:pt>
                <c:pt idx="458">
                  <c:v>0.5</c:v>
                </c:pt>
                <c:pt idx="459">
                  <c:v>0.48109239999999998</c:v>
                </c:pt>
                <c:pt idx="460">
                  <c:v>0.58064510000000003</c:v>
                </c:pt>
                <c:pt idx="461">
                  <c:v>0.38544469999999997</c:v>
                </c:pt>
                <c:pt idx="462">
                  <c:v>0.66666669999999995</c:v>
                </c:pt>
                <c:pt idx="463">
                  <c:v>0.84126990000000001</c:v>
                </c:pt>
                <c:pt idx="464">
                  <c:v>0.39370080000000002</c:v>
                </c:pt>
                <c:pt idx="465">
                  <c:v>0.39382240000000002</c:v>
                </c:pt>
                <c:pt idx="466">
                  <c:v>0.77157039999999999</c:v>
                </c:pt>
                <c:pt idx="467">
                  <c:v>0.44583329999999999</c:v>
                </c:pt>
                <c:pt idx="468">
                  <c:v>0.2695652</c:v>
                </c:pt>
                <c:pt idx="469">
                  <c:v>0.56326529999999997</c:v>
                </c:pt>
                <c:pt idx="470">
                  <c:v>0.38571430000000001</c:v>
                </c:pt>
                <c:pt idx="471">
                  <c:v>0.4166667</c:v>
                </c:pt>
                <c:pt idx="472">
                  <c:v>0.72025720000000004</c:v>
                </c:pt>
                <c:pt idx="473">
                  <c:v>0.53318080000000001</c:v>
                </c:pt>
                <c:pt idx="474">
                  <c:v>0.47272730000000002</c:v>
                </c:pt>
                <c:pt idx="475">
                  <c:v>0.37030069999999998</c:v>
                </c:pt>
                <c:pt idx="476">
                  <c:v>0.56627910000000004</c:v>
                </c:pt>
                <c:pt idx="477">
                  <c:v>0.64444449999999998</c:v>
                </c:pt>
                <c:pt idx="478">
                  <c:v>0.77598829999999996</c:v>
                </c:pt>
                <c:pt idx="479">
                  <c:v>0.61594199999999999</c:v>
                </c:pt>
                <c:pt idx="480">
                  <c:v>0.62777780000000005</c:v>
                </c:pt>
                <c:pt idx="481">
                  <c:v>0.53571429999999998</c:v>
                </c:pt>
                <c:pt idx="482">
                  <c:v>0.29740159999999999</c:v>
                </c:pt>
                <c:pt idx="483">
                  <c:v>0.34554970000000002</c:v>
                </c:pt>
                <c:pt idx="484">
                  <c:v>0.76153839999999995</c:v>
                </c:pt>
                <c:pt idx="485">
                  <c:v>0.6774194</c:v>
                </c:pt>
                <c:pt idx="486">
                  <c:v>0.45021640000000002</c:v>
                </c:pt>
                <c:pt idx="487">
                  <c:v>0.60264899999999999</c:v>
                </c:pt>
                <c:pt idx="488">
                  <c:v>0.59689919999999996</c:v>
                </c:pt>
                <c:pt idx="489">
                  <c:v>0.53293409999999997</c:v>
                </c:pt>
                <c:pt idx="490">
                  <c:v>0.1666667</c:v>
                </c:pt>
                <c:pt idx="491">
                  <c:v>0.61702129999999999</c:v>
                </c:pt>
                <c:pt idx="492">
                  <c:v>0.3157895</c:v>
                </c:pt>
                <c:pt idx="493">
                  <c:v>0.20068030000000001</c:v>
                </c:pt>
                <c:pt idx="494">
                  <c:v>0.41358020000000001</c:v>
                </c:pt>
                <c:pt idx="495">
                  <c:v>0.47972969999999998</c:v>
                </c:pt>
                <c:pt idx="496">
                  <c:v>0.79734850000000002</c:v>
                </c:pt>
                <c:pt idx="497">
                  <c:v>0.56799999999999995</c:v>
                </c:pt>
                <c:pt idx="498">
                  <c:v>0.58108110000000002</c:v>
                </c:pt>
                <c:pt idx="499">
                  <c:v>0.39200000000000002</c:v>
                </c:pt>
                <c:pt idx="500">
                  <c:v>0.46341460000000001</c:v>
                </c:pt>
                <c:pt idx="501">
                  <c:v>0.66883119999999996</c:v>
                </c:pt>
                <c:pt idx="502">
                  <c:v>0.57243820000000001</c:v>
                </c:pt>
                <c:pt idx="503">
                  <c:v>0.67415729999999996</c:v>
                </c:pt>
                <c:pt idx="504">
                  <c:v>0.50196079999999998</c:v>
                </c:pt>
                <c:pt idx="505">
                  <c:v>0.66210040000000003</c:v>
                </c:pt>
                <c:pt idx="506">
                  <c:v>0.42713570000000001</c:v>
                </c:pt>
                <c:pt idx="507">
                  <c:v>0.76073190000000002</c:v>
                </c:pt>
                <c:pt idx="508">
                  <c:v>0.79585059999999996</c:v>
                </c:pt>
                <c:pt idx="509">
                  <c:v>0.41632649999999999</c:v>
                </c:pt>
                <c:pt idx="510">
                  <c:v>0.37753219999999998</c:v>
                </c:pt>
                <c:pt idx="511">
                  <c:v>0.75502009999999997</c:v>
                </c:pt>
                <c:pt idx="512">
                  <c:v>0.70198669999999996</c:v>
                </c:pt>
                <c:pt idx="513">
                  <c:v>0.49275360000000001</c:v>
                </c:pt>
                <c:pt idx="514">
                  <c:v>0.74725280000000005</c:v>
                </c:pt>
                <c:pt idx="515">
                  <c:v>0.61324040000000002</c:v>
                </c:pt>
                <c:pt idx="516">
                  <c:v>0.30615379999999998</c:v>
                </c:pt>
                <c:pt idx="517">
                  <c:v>0.77554179999999995</c:v>
                </c:pt>
                <c:pt idx="518">
                  <c:v>0.57419350000000002</c:v>
                </c:pt>
                <c:pt idx="519">
                  <c:v>0.113924</c:v>
                </c:pt>
                <c:pt idx="520">
                  <c:v>0.7957746</c:v>
                </c:pt>
                <c:pt idx="521">
                  <c:v>0.48128339999999997</c:v>
                </c:pt>
                <c:pt idx="522">
                  <c:v>0.48837209999999998</c:v>
                </c:pt>
                <c:pt idx="523">
                  <c:v>0.68786130000000001</c:v>
                </c:pt>
                <c:pt idx="524">
                  <c:v>0.47989949999999998</c:v>
                </c:pt>
                <c:pt idx="525">
                  <c:v>0.74545450000000002</c:v>
                </c:pt>
                <c:pt idx="526">
                  <c:v>0.77128949999999996</c:v>
                </c:pt>
                <c:pt idx="527">
                  <c:v>0.6875</c:v>
                </c:pt>
                <c:pt idx="528">
                  <c:v>0.53582560000000001</c:v>
                </c:pt>
                <c:pt idx="529">
                  <c:v>0.61506280000000002</c:v>
                </c:pt>
                <c:pt idx="530">
                  <c:v>0.79541740000000005</c:v>
                </c:pt>
                <c:pt idx="531">
                  <c:v>0.51794870000000004</c:v>
                </c:pt>
                <c:pt idx="532">
                  <c:v>0.64418940000000002</c:v>
                </c:pt>
                <c:pt idx="533">
                  <c:v>0.63888889999999998</c:v>
                </c:pt>
                <c:pt idx="534">
                  <c:v>0.67465319999999995</c:v>
                </c:pt>
                <c:pt idx="535">
                  <c:v>0.53370790000000001</c:v>
                </c:pt>
                <c:pt idx="536">
                  <c:v>0.5070422</c:v>
                </c:pt>
                <c:pt idx="537">
                  <c:v>0.67909030000000004</c:v>
                </c:pt>
                <c:pt idx="538">
                  <c:v>0.48412699999999997</c:v>
                </c:pt>
                <c:pt idx="539">
                  <c:v>0.34666669999999999</c:v>
                </c:pt>
                <c:pt idx="540">
                  <c:v>0.4428571</c:v>
                </c:pt>
                <c:pt idx="541">
                  <c:v>0.40298509999999998</c:v>
                </c:pt>
                <c:pt idx="542">
                  <c:v>0.66507939999999999</c:v>
                </c:pt>
                <c:pt idx="543">
                  <c:v>0.27891359999999998</c:v>
                </c:pt>
                <c:pt idx="544">
                  <c:v>0.1497396</c:v>
                </c:pt>
                <c:pt idx="545">
                  <c:v>0.61151080000000002</c:v>
                </c:pt>
                <c:pt idx="546">
                  <c:v>0.51201479999999999</c:v>
                </c:pt>
                <c:pt idx="547">
                  <c:v>0.50578029999999996</c:v>
                </c:pt>
                <c:pt idx="548">
                  <c:v>0.51559250000000001</c:v>
                </c:pt>
                <c:pt idx="549">
                  <c:v>0.37167689999999998</c:v>
                </c:pt>
                <c:pt idx="550">
                  <c:v>0.4933921</c:v>
                </c:pt>
                <c:pt idx="551">
                  <c:v>0.58240999999999998</c:v>
                </c:pt>
                <c:pt idx="552">
                  <c:v>0.31039139999999998</c:v>
                </c:pt>
                <c:pt idx="553">
                  <c:v>0.43494830000000001</c:v>
                </c:pt>
                <c:pt idx="554">
                  <c:v>0.43622450000000002</c:v>
                </c:pt>
                <c:pt idx="555">
                  <c:v>9.6774200000000005E-2</c:v>
                </c:pt>
                <c:pt idx="556">
                  <c:v>0.50237310000000002</c:v>
                </c:pt>
                <c:pt idx="557">
                  <c:v>0.31838569999999999</c:v>
                </c:pt>
                <c:pt idx="558">
                  <c:v>0.21727969999999999</c:v>
                </c:pt>
                <c:pt idx="559">
                  <c:v>0.1312741</c:v>
                </c:pt>
                <c:pt idx="560">
                  <c:v>0.41251330000000003</c:v>
                </c:pt>
                <c:pt idx="561">
                  <c:v>3.9370099999999998E-2</c:v>
                </c:pt>
                <c:pt idx="562">
                  <c:v>4.4444400000000002E-2</c:v>
                </c:pt>
                <c:pt idx="563">
                  <c:v>0.65476190000000001</c:v>
                </c:pt>
                <c:pt idx="564">
                  <c:v>0.59106930000000002</c:v>
                </c:pt>
                <c:pt idx="565">
                  <c:v>0.54909819999999998</c:v>
                </c:pt>
                <c:pt idx="566">
                  <c:v>0.67410709999999996</c:v>
                </c:pt>
                <c:pt idx="567">
                  <c:v>0.45078980000000002</c:v>
                </c:pt>
                <c:pt idx="568">
                  <c:v>0.41034480000000001</c:v>
                </c:pt>
                <c:pt idx="569">
                  <c:v>0.2437811</c:v>
                </c:pt>
                <c:pt idx="570">
                  <c:v>5.7692300000000002E-2</c:v>
                </c:pt>
                <c:pt idx="571">
                  <c:v>0.13521130000000001</c:v>
                </c:pt>
                <c:pt idx="572">
                  <c:v>0.58657239999999999</c:v>
                </c:pt>
                <c:pt idx="573">
                  <c:v>0.49937229999999999</c:v>
                </c:pt>
                <c:pt idx="574">
                  <c:v>0.1497976</c:v>
                </c:pt>
                <c:pt idx="575">
                  <c:v>3.10881E-2</c:v>
                </c:pt>
                <c:pt idx="576">
                  <c:v>0.3119266</c:v>
                </c:pt>
                <c:pt idx="577">
                  <c:v>0.46134350000000002</c:v>
                </c:pt>
                <c:pt idx="578">
                  <c:v>0.69852939999999997</c:v>
                </c:pt>
                <c:pt idx="579">
                  <c:v>0.53586489999999998</c:v>
                </c:pt>
                <c:pt idx="580">
                  <c:v>0.19093850000000001</c:v>
                </c:pt>
                <c:pt idx="581">
                  <c:v>0.496</c:v>
                </c:pt>
                <c:pt idx="582">
                  <c:v>5.3149599999999998E-2</c:v>
                </c:pt>
                <c:pt idx="583">
                  <c:v>0.59047620000000001</c:v>
                </c:pt>
                <c:pt idx="584">
                  <c:v>0.56869879999999995</c:v>
                </c:pt>
                <c:pt idx="585">
                  <c:v>0.43292180000000002</c:v>
                </c:pt>
                <c:pt idx="586">
                  <c:v>0.1068702</c:v>
                </c:pt>
                <c:pt idx="587">
                  <c:v>0.47419349999999999</c:v>
                </c:pt>
                <c:pt idx="588">
                  <c:v>0.36956519999999998</c:v>
                </c:pt>
                <c:pt idx="589">
                  <c:v>0.36216599999999999</c:v>
                </c:pt>
                <c:pt idx="590">
                  <c:v>0.80289849999999996</c:v>
                </c:pt>
                <c:pt idx="591">
                  <c:v>0.52027029999999996</c:v>
                </c:pt>
                <c:pt idx="592">
                  <c:v>0.60210529999999995</c:v>
                </c:pt>
                <c:pt idx="593">
                  <c:v>0.61995250000000002</c:v>
                </c:pt>
                <c:pt idx="594">
                  <c:v>0.55882350000000003</c:v>
                </c:pt>
                <c:pt idx="595">
                  <c:v>0.70833330000000005</c:v>
                </c:pt>
                <c:pt idx="596">
                  <c:v>0.42857139999999999</c:v>
                </c:pt>
                <c:pt idx="597">
                  <c:v>0.5590406</c:v>
                </c:pt>
                <c:pt idx="598">
                  <c:v>0.53237409999999996</c:v>
                </c:pt>
                <c:pt idx="599">
                  <c:v>0.65021459999999998</c:v>
                </c:pt>
                <c:pt idx="600">
                  <c:v>0.46357619999999999</c:v>
                </c:pt>
                <c:pt idx="601">
                  <c:v>0.65467350000000002</c:v>
                </c:pt>
                <c:pt idx="602">
                  <c:v>0.70547260000000001</c:v>
                </c:pt>
                <c:pt idx="603">
                  <c:v>0.70767389999999997</c:v>
                </c:pt>
                <c:pt idx="604">
                  <c:v>0.38675959999999998</c:v>
                </c:pt>
                <c:pt idx="605">
                  <c:v>0.51652889999999996</c:v>
                </c:pt>
                <c:pt idx="606">
                  <c:v>0.47355160000000002</c:v>
                </c:pt>
                <c:pt idx="607">
                  <c:v>0.64816759999999995</c:v>
                </c:pt>
                <c:pt idx="608">
                  <c:v>0.57045840000000003</c:v>
                </c:pt>
                <c:pt idx="609">
                  <c:v>0.71487120000000004</c:v>
                </c:pt>
                <c:pt idx="610">
                  <c:v>0.74549549999999998</c:v>
                </c:pt>
                <c:pt idx="611">
                  <c:v>0.71604939999999995</c:v>
                </c:pt>
                <c:pt idx="612">
                  <c:v>0.35344829999999999</c:v>
                </c:pt>
                <c:pt idx="613">
                  <c:v>0.56174329999999995</c:v>
                </c:pt>
                <c:pt idx="614">
                  <c:v>0.79939579999999999</c:v>
                </c:pt>
                <c:pt idx="615">
                  <c:v>0.47335909999999998</c:v>
                </c:pt>
                <c:pt idx="616">
                  <c:v>0.70532919999999999</c:v>
                </c:pt>
                <c:pt idx="617">
                  <c:v>0.58789619999999998</c:v>
                </c:pt>
                <c:pt idx="618">
                  <c:v>0.29562040000000001</c:v>
                </c:pt>
                <c:pt idx="619">
                  <c:v>0.28061219999999998</c:v>
                </c:pt>
                <c:pt idx="620">
                  <c:v>0.5887656</c:v>
                </c:pt>
                <c:pt idx="621">
                  <c:v>0.75678040000000002</c:v>
                </c:pt>
                <c:pt idx="622">
                  <c:v>0.73407199999999995</c:v>
                </c:pt>
                <c:pt idx="623">
                  <c:v>0.42786069999999998</c:v>
                </c:pt>
                <c:pt idx="624">
                  <c:v>0.456621</c:v>
                </c:pt>
                <c:pt idx="625">
                  <c:v>0.51475409999999999</c:v>
                </c:pt>
                <c:pt idx="626">
                  <c:v>0.76057790000000003</c:v>
                </c:pt>
                <c:pt idx="627">
                  <c:v>0.48461539999999997</c:v>
                </c:pt>
                <c:pt idx="628">
                  <c:v>0.4621072</c:v>
                </c:pt>
                <c:pt idx="629">
                  <c:v>0.67469880000000004</c:v>
                </c:pt>
                <c:pt idx="630">
                  <c:v>0.66666669999999995</c:v>
                </c:pt>
                <c:pt idx="631">
                  <c:v>0.75436409999999998</c:v>
                </c:pt>
                <c:pt idx="632">
                  <c:v>0.49925370000000002</c:v>
                </c:pt>
                <c:pt idx="633">
                  <c:v>0.33666669999999999</c:v>
                </c:pt>
                <c:pt idx="634">
                  <c:v>0.83007960000000003</c:v>
                </c:pt>
                <c:pt idx="635">
                  <c:v>0.42977149999999997</c:v>
                </c:pt>
                <c:pt idx="636">
                  <c:v>0.73006139999999997</c:v>
                </c:pt>
                <c:pt idx="637">
                  <c:v>0.4977974</c:v>
                </c:pt>
                <c:pt idx="638">
                  <c:v>0.78397839999999996</c:v>
                </c:pt>
                <c:pt idx="639">
                  <c:v>0.73392460000000004</c:v>
                </c:pt>
                <c:pt idx="640">
                  <c:v>0.79818889999999998</c:v>
                </c:pt>
                <c:pt idx="641">
                  <c:v>0.56111109999999997</c:v>
                </c:pt>
                <c:pt idx="642">
                  <c:v>0.54388210000000003</c:v>
                </c:pt>
                <c:pt idx="643">
                  <c:v>0.44883299999999998</c:v>
                </c:pt>
                <c:pt idx="644">
                  <c:v>0.65076210000000001</c:v>
                </c:pt>
                <c:pt idx="645">
                  <c:v>0.67205539999999997</c:v>
                </c:pt>
                <c:pt idx="646">
                  <c:v>0.68671680000000002</c:v>
                </c:pt>
                <c:pt idx="647">
                  <c:v>0.8015873</c:v>
                </c:pt>
                <c:pt idx="648">
                  <c:v>0.74025980000000002</c:v>
                </c:pt>
                <c:pt idx="649">
                  <c:v>0.72262780000000004</c:v>
                </c:pt>
                <c:pt idx="650">
                  <c:v>0.75206609999999996</c:v>
                </c:pt>
                <c:pt idx="651">
                  <c:v>0.60232560000000002</c:v>
                </c:pt>
                <c:pt idx="652">
                  <c:v>0.66586540000000005</c:v>
                </c:pt>
                <c:pt idx="653">
                  <c:v>0.74349080000000001</c:v>
                </c:pt>
                <c:pt idx="654">
                  <c:v>0.34848479999999998</c:v>
                </c:pt>
                <c:pt idx="655">
                  <c:v>0.61875000000000002</c:v>
                </c:pt>
                <c:pt idx="656">
                  <c:v>0.55925360000000002</c:v>
                </c:pt>
                <c:pt idx="657">
                  <c:v>0.77850470000000005</c:v>
                </c:pt>
                <c:pt idx="658">
                  <c:v>0.472028</c:v>
                </c:pt>
                <c:pt idx="659">
                  <c:v>0.86971830000000006</c:v>
                </c:pt>
                <c:pt idx="660">
                  <c:v>0.67391310000000004</c:v>
                </c:pt>
                <c:pt idx="661">
                  <c:v>0.68215680000000001</c:v>
                </c:pt>
                <c:pt idx="662">
                  <c:v>0.74276520000000001</c:v>
                </c:pt>
                <c:pt idx="663">
                  <c:v>0.6481633</c:v>
                </c:pt>
                <c:pt idx="664">
                  <c:v>0.57211540000000005</c:v>
                </c:pt>
                <c:pt idx="665">
                  <c:v>0.52534119999999995</c:v>
                </c:pt>
                <c:pt idx="666">
                  <c:v>0.88811189999999995</c:v>
                </c:pt>
                <c:pt idx="667">
                  <c:v>0.73068429999999995</c:v>
                </c:pt>
                <c:pt idx="668">
                  <c:v>0.66176469999999998</c:v>
                </c:pt>
                <c:pt idx="669">
                  <c:v>0.31450090000000003</c:v>
                </c:pt>
                <c:pt idx="670">
                  <c:v>0.62033579999999999</c:v>
                </c:pt>
                <c:pt idx="671">
                  <c:v>0.38671879999999997</c:v>
                </c:pt>
                <c:pt idx="672">
                  <c:v>0.34346100000000002</c:v>
                </c:pt>
                <c:pt idx="673">
                  <c:v>0.78384799999999999</c:v>
                </c:pt>
                <c:pt idx="674">
                  <c:v>0.62420379999999998</c:v>
                </c:pt>
                <c:pt idx="675">
                  <c:v>0.75830010000000003</c:v>
                </c:pt>
                <c:pt idx="676">
                  <c:v>0.79172509999999996</c:v>
                </c:pt>
                <c:pt idx="677">
                  <c:v>0.59595960000000003</c:v>
                </c:pt>
                <c:pt idx="678">
                  <c:v>0.65573769999999998</c:v>
                </c:pt>
                <c:pt idx="679">
                  <c:v>0.52419349999999998</c:v>
                </c:pt>
                <c:pt idx="680">
                  <c:v>0.38624120000000001</c:v>
                </c:pt>
                <c:pt idx="681">
                  <c:v>0.88019559999999997</c:v>
                </c:pt>
                <c:pt idx="682">
                  <c:v>0.77409640000000002</c:v>
                </c:pt>
                <c:pt idx="683">
                  <c:v>0.65084739999999996</c:v>
                </c:pt>
                <c:pt idx="684">
                  <c:v>0.59298249999999997</c:v>
                </c:pt>
                <c:pt idx="685">
                  <c:v>0.4842767</c:v>
                </c:pt>
                <c:pt idx="686">
                  <c:v>0.71646339999999997</c:v>
                </c:pt>
                <c:pt idx="687">
                  <c:v>0.80379750000000005</c:v>
                </c:pt>
                <c:pt idx="688">
                  <c:v>0.67924530000000005</c:v>
                </c:pt>
                <c:pt idx="689">
                  <c:v>0.78726969999999996</c:v>
                </c:pt>
                <c:pt idx="690">
                  <c:v>0.81382980000000005</c:v>
                </c:pt>
                <c:pt idx="691">
                  <c:v>0.62297210000000003</c:v>
                </c:pt>
                <c:pt idx="692">
                  <c:v>0.59199999999999997</c:v>
                </c:pt>
                <c:pt idx="693">
                  <c:v>0.75095780000000001</c:v>
                </c:pt>
                <c:pt idx="694">
                  <c:v>0.65989850000000005</c:v>
                </c:pt>
                <c:pt idx="695">
                  <c:v>0.34337529999999999</c:v>
                </c:pt>
                <c:pt idx="696">
                  <c:v>0.48300539999999997</c:v>
                </c:pt>
                <c:pt idx="697">
                  <c:v>0.64192139999999998</c:v>
                </c:pt>
                <c:pt idx="698">
                  <c:v>0.54863810000000002</c:v>
                </c:pt>
                <c:pt idx="699">
                  <c:v>0.5595618</c:v>
                </c:pt>
                <c:pt idx="700">
                  <c:v>0.43181819999999999</c:v>
                </c:pt>
                <c:pt idx="701">
                  <c:v>0.66408840000000002</c:v>
                </c:pt>
                <c:pt idx="702">
                  <c:v>0.62436550000000002</c:v>
                </c:pt>
                <c:pt idx="703">
                  <c:v>0.59758549999999999</c:v>
                </c:pt>
                <c:pt idx="704">
                  <c:v>0.58747990000000005</c:v>
                </c:pt>
                <c:pt idx="705">
                  <c:v>0.57142859999999995</c:v>
                </c:pt>
                <c:pt idx="706">
                  <c:v>0.20215900000000001</c:v>
                </c:pt>
                <c:pt idx="707">
                  <c:v>0.59740260000000001</c:v>
                </c:pt>
                <c:pt idx="708">
                  <c:v>0.53571429999999998</c:v>
                </c:pt>
                <c:pt idx="709">
                  <c:v>0.67234850000000002</c:v>
                </c:pt>
                <c:pt idx="710">
                  <c:v>0.23842840000000001</c:v>
                </c:pt>
                <c:pt idx="711">
                  <c:v>0.24226800000000001</c:v>
                </c:pt>
                <c:pt idx="712">
                  <c:v>0.125</c:v>
                </c:pt>
                <c:pt idx="713">
                  <c:v>0.13555790000000001</c:v>
                </c:pt>
                <c:pt idx="714">
                  <c:v>0.2418033</c:v>
                </c:pt>
                <c:pt idx="715">
                  <c:v>0.42483660000000001</c:v>
                </c:pt>
                <c:pt idx="716">
                  <c:v>0.24299750000000001</c:v>
                </c:pt>
                <c:pt idx="717">
                  <c:v>0.2459016</c:v>
                </c:pt>
                <c:pt idx="718">
                  <c:v>0.51677850000000003</c:v>
                </c:pt>
                <c:pt idx="719">
                  <c:v>0.45188279999999997</c:v>
                </c:pt>
                <c:pt idx="720">
                  <c:v>0.25040390000000001</c:v>
                </c:pt>
                <c:pt idx="721">
                  <c:v>0.55215579999999997</c:v>
                </c:pt>
                <c:pt idx="722">
                  <c:v>0.66172109999999995</c:v>
                </c:pt>
                <c:pt idx="723">
                  <c:v>0.72463770000000005</c:v>
                </c:pt>
                <c:pt idx="724">
                  <c:v>0.65760870000000005</c:v>
                </c:pt>
                <c:pt idx="725">
                  <c:v>0.95199999999999996</c:v>
                </c:pt>
                <c:pt idx="726">
                  <c:v>0.74719100000000005</c:v>
                </c:pt>
                <c:pt idx="727">
                  <c:v>0.208589</c:v>
                </c:pt>
                <c:pt idx="728">
                  <c:v>0.71428570000000002</c:v>
                </c:pt>
                <c:pt idx="729">
                  <c:v>0.79402980000000001</c:v>
                </c:pt>
                <c:pt idx="730">
                  <c:v>0.72897199999999995</c:v>
                </c:pt>
                <c:pt idx="731">
                  <c:v>0.69613259999999999</c:v>
                </c:pt>
                <c:pt idx="732">
                  <c:v>0.78046099999999996</c:v>
                </c:pt>
                <c:pt idx="733">
                  <c:v>0.78333339999999996</c:v>
                </c:pt>
                <c:pt idx="734">
                  <c:v>0.83909180000000005</c:v>
                </c:pt>
                <c:pt idx="735">
                  <c:v>0.83933519999999995</c:v>
                </c:pt>
                <c:pt idx="736">
                  <c:v>0.71259839999999997</c:v>
                </c:pt>
                <c:pt idx="737">
                  <c:v>0.79693480000000005</c:v>
                </c:pt>
                <c:pt idx="738">
                  <c:v>0.72619040000000001</c:v>
                </c:pt>
                <c:pt idx="739">
                  <c:v>0.78832120000000006</c:v>
                </c:pt>
                <c:pt idx="740">
                  <c:v>0.81143739999999998</c:v>
                </c:pt>
                <c:pt idx="741">
                  <c:v>0.75226590000000004</c:v>
                </c:pt>
                <c:pt idx="742">
                  <c:v>0.62496940000000001</c:v>
                </c:pt>
                <c:pt idx="743">
                  <c:v>0.63696370000000002</c:v>
                </c:pt>
                <c:pt idx="744">
                  <c:v>0.63043479999999996</c:v>
                </c:pt>
                <c:pt idx="745">
                  <c:v>0.78536589999999995</c:v>
                </c:pt>
                <c:pt idx="746">
                  <c:v>0.59842519999999999</c:v>
                </c:pt>
                <c:pt idx="747">
                  <c:v>0.5218912</c:v>
                </c:pt>
                <c:pt idx="748">
                  <c:v>0.82697430000000005</c:v>
                </c:pt>
                <c:pt idx="749">
                  <c:v>0.70777480000000004</c:v>
                </c:pt>
                <c:pt idx="750">
                  <c:v>0.88983049999999997</c:v>
                </c:pt>
                <c:pt idx="751">
                  <c:v>0.66584460000000001</c:v>
                </c:pt>
                <c:pt idx="752">
                  <c:v>0.66282419999999997</c:v>
                </c:pt>
                <c:pt idx="753">
                  <c:v>0.70344830000000003</c:v>
                </c:pt>
                <c:pt idx="754">
                  <c:v>0.55909089999999995</c:v>
                </c:pt>
                <c:pt idx="755">
                  <c:v>0.74025980000000002</c:v>
                </c:pt>
                <c:pt idx="756">
                  <c:v>0.60645159999999998</c:v>
                </c:pt>
                <c:pt idx="757">
                  <c:v>0.66304350000000001</c:v>
                </c:pt>
                <c:pt idx="758">
                  <c:v>0.4166667</c:v>
                </c:pt>
                <c:pt idx="759">
                  <c:v>0.64489790000000002</c:v>
                </c:pt>
                <c:pt idx="760">
                  <c:v>0.46153850000000002</c:v>
                </c:pt>
                <c:pt idx="761">
                  <c:v>0.77992280000000003</c:v>
                </c:pt>
                <c:pt idx="762">
                  <c:v>0.7908366</c:v>
                </c:pt>
                <c:pt idx="763">
                  <c:v>0.64696679999999995</c:v>
                </c:pt>
                <c:pt idx="764">
                  <c:v>0.72298320000000005</c:v>
                </c:pt>
                <c:pt idx="765">
                  <c:v>0.81669150000000001</c:v>
                </c:pt>
                <c:pt idx="766">
                  <c:v>0.58471759999999995</c:v>
                </c:pt>
                <c:pt idx="767">
                  <c:v>0.58872080000000004</c:v>
                </c:pt>
                <c:pt idx="768">
                  <c:v>0.3429603</c:v>
                </c:pt>
                <c:pt idx="769">
                  <c:v>0.64366380000000001</c:v>
                </c:pt>
                <c:pt idx="770">
                  <c:v>0.55194810000000005</c:v>
                </c:pt>
                <c:pt idx="771">
                  <c:v>0.6784384</c:v>
                </c:pt>
                <c:pt idx="772">
                  <c:v>0.63030299999999995</c:v>
                </c:pt>
                <c:pt idx="773">
                  <c:v>0.73544430000000005</c:v>
                </c:pt>
                <c:pt idx="774">
                  <c:v>0.57657659999999999</c:v>
                </c:pt>
                <c:pt idx="775">
                  <c:v>0.69060770000000005</c:v>
                </c:pt>
                <c:pt idx="776">
                  <c:v>0.62198390000000003</c:v>
                </c:pt>
                <c:pt idx="777">
                  <c:v>0.65172589999999997</c:v>
                </c:pt>
                <c:pt idx="778">
                  <c:v>0.75767470000000003</c:v>
                </c:pt>
                <c:pt idx="779">
                  <c:v>0.75314859999999995</c:v>
                </c:pt>
                <c:pt idx="780">
                  <c:v>0.6585858</c:v>
                </c:pt>
                <c:pt idx="781">
                  <c:v>0.51851849999999999</c:v>
                </c:pt>
                <c:pt idx="782">
                  <c:v>3.85852E-2</c:v>
                </c:pt>
                <c:pt idx="783">
                  <c:v>0.16271189999999999</c:v>
                </c:pt>
                <c:pt idx="784">
                  <c:v>0.66749380000000003</c:v>
                </c:pt>
                <c:pt idx="785">
                  <c:v>0.41463410000000001</c:v>
                </c:pt>
                <c:pt idx="786">
                  <c:v>0.51648349999999998</c:v>
                </c:pt>
                <c:pt idx="787">
                  <c:v>0.39855069999999998</c:v>
                </c:pt>
                <c:pt idx="788">
                  <c:v>0.6749482</c:v>
                </c:pt>
                <c:pt idx="789">
                  <c:v>0.78475340000000005</c:v>
                </c:pt>
                <c:pt idx="790">
                  <c:v>0.62940280000000004</c:v>
                </c:pt>
                <c:pt idx="791">
                  <c:v>0.53759999999999997</c:v>
                </c:pt>
                <c:pt idx="792">
                  <c:v>0.70327550000000005</c:v>
                </c:pt>
                <c:pt idx="793">
                  <c:v>0.66444440000000005</c:v>
                </c:pt>
                <c:pt idx="794">
                  <c:v>0.44226929999999998</c:v>
                </c:pt>
                <c:pt idx="795">
                  <c:v>0.56851309999999999</c:v>
                </c:pt>
                <c:pt idx="796">
                  <c:v>0.67735849999999997</c:v>
                </c:pt>
                <c:pt idx="797">
                  <c:v>0.60487809999999997</c:v>
                </c:pt>
                <c:pt idx="798">
                  <c:v>0.3823529</c:v>
                </c:pt>
                <c:pt idx="799">
                  <c:v>0.66571429999999998</c:v>
                </c:pt>
                <c:pt idx="800">
                  <c:v>0.45230769999999998</c:v>
                </c:pt>
                <c:pt idx="801">
                  <c:v>8.3333299999999999E-2</c:v>
                </c:pt>
                <c:pt idx="802">
                  <c:v>0.58333330000000005</c:v>
                </c:pt>
                <c:pt idx="803">
                  <c:v>0.50934579999999996</c:v>
                </c:pt>
                <c:pt idx="804">
                  <c:v>0.43902439999999998</c:v>
                </c:pt>
                <c:pt idx="805">
                  <c:v>0.45080500000000001</c:v>
                </c:pt>
                <c:pt idx="806">
                  <c:v>0.5811518</c:v>
                </c:pt>
                <c:pt idx="807">
                  <c:v>0.67886179999999996</c:v>
                </c:pt>
                <c:pt idx="808">
                  <c:v>0.63192179999999998</c:v>
                </c:pt>
                <c:pt idx="809">
                  <c:v>0.43823529999999999</c:v>
                </c:pt>
                <c:pt idx="810">
                  <c:v>0.36793330000000002</c:v>
                </c:pt>
                <c:pt idx="811">
                  <c:v>0.4181185</c:v>
                </c:pt>
                <c:pt idx="812">
                  <c:v>0.29503109999999999</c:v>
                </c:pt>
                <c:pt idx="813">
                  <c:v>0.42745709999999998</c:v>
                </c:pt>
                <c:pt idx="814">
                  <c:v>0.4114391</c:v>
                </c:pt>
                <c:pt idx="815">
                  <c:v>0.55288459999999995</c:v>
                </c:pt>
                <c:pt idx="816">
                  <c:v>0.45916119999999999</c:v>
                </c:pt>
                <c:pt idx="817">
                  <c:v>0.30718960000000001</c:v>
                </c:pt>
                <c:pt idx="818">
                  <c:v>0.47208280000000002</c:v>
                </c:pt>
                <c:pt idx="819">
                  <c:v>0.63318379999999996</c:v>
                </c:pt>
                <c:pt idx="820">
                  <c:v>4.8544E-3</c:v>
                </c:pt>
                <c:pt idx="821">
                  <c:v>0</c:v>
                </c:pt>
                <c:pt idx="822">
                  <c:v>1.03093E-2</c:v>
                </c:pt>
                <c:pt idx="823">
                  <c:v>1.9531300000000001E-2</c:v>
                </c:pt>
                <c:pt idx="824">
                  <c:v>3.5971200000000002E-2</c:v>
                </c:pt>
                <c:pt idx="825">
                  <c:v>4.3956000000000004E-3</c:v>
                </c:pt>
                <c:pt idx="826">
                  <c:v>0.38888889999999998</c:v>
                </c:pt>
                <c:pt idx="827">
                  <c:v>0.2894737</c:v>
                </c:pt>
                <c:pt idx="828">
                  <c:v>0.60344830000000005</c:v>
                </c:pt>
                <c:pt idx="829">
                  <c:v>0.67801860000000003</c:v>
                </c:pt>
                <c:pt idx="830">
                  <c:v>0.48080440000000002</c:v>
                </c:pt>
                <c:pt idx="831">
                  <c:v>0.72189349999999997</c:v>
                </c:pt>
                <c:pt idx="832">
                  <c:v>0.59230769999999999</c:v>
                </c:pt>
                <c:pt idx="833">
                  <c:v>0.41176469999999998</c:v>
                </c:pt>
                <c:pt idx="834">
                  <c:v>0.54330710000000004</c:v>
                </c:pt>
                <c:pt idx="835">
                  <c:v>0.42549599999999999</c:v>
                </c:pt>
                <c:pt idx="836">
                  <c:v>0.52482879999999998</c:v>
                </c:pt>
                <c:pt idx="837">
                  <c:v>0.51235229999999998</c:v>
                </c:pt>
                <c:pt idx="838">
                  <c:v>0.54014600000000002</c:v>
                </c:pt>
                <c:pt idx="839">
                  <c:v>0.64749210000000001</c:v>
                </c:pt>
                <c:pt idx="840">
                  <c:v>0.39910309999999999</c:v>
                </c:pt>
                <c:pt idx="841">
                  <c:v>0.32730130000000002</c:v>
                </c:pt>
                <c:pt idx="842">
                  <c:v>0.2890625</c:v>
                </c:pt>
                <c:pt idx="843">
                  <c:v>0.50397879999999995</c:v>
                </c:pt>
                <c:pt idx="844">
                  <c:v>0.5</c:v>
                </c:pt>
                <c:pt idx="845">
                  <c:v>0.84832249999999998</c:v>
                </c:pt>
                <c:pt idx="846">
                  <c:v>0.38577830000000002</c:v>
                </c:pt>
                <c:pt idx="847">
                  <c:v>0.54255319999999996</c:v>
                </c:pt>
                <c:pt idx="848">
                  <c:v>0.69026549999999998</c:v>
                </c:pt>
                <c:pt idx="849">
                  <c:v>0.57493190000000005</c:v>
                </c:pt>
                <c:pt idx="850">
                  <c:v>0.47926269999999999</c:v>
                </c:pt>
                <c:pt idx="851">
                  <c:v>0.55219510000000005</c:v>
                </c:pt>
                <c:pt idx="852">
                  <c:v>0.43440230000000002</c:v>
                </c:pt>
                <c:pt idx="853">
                  <c:v>0.38133869999999997</c:v>
                </c:pt>
                <c:pt idx="854">
                  <c:v>0.315</c:v>
                </c:pt>
                <c:pt idx="855">
                  <c:v>0.56672069999999997</c:v>
                </c:pt>
                <c:pt idx="856">
                  <c:v>0.39480520000000002</c:v>
                </c:pt>
                <c:pt idx="857">
                  <c:v>0.87050360000000004</c:v>
                </c:pt>
                <c:pt idx="858">
                  <c:v>0.70619469999999995</c:v>
                </c:pt>
                <c:pt idx="859">
                  <c:v>0.79452060000000002</c:v>
                </c:pt>
                <c:pt idx="860">
                  <c:v>0.71301780000000003</c:v>
                </c:pt>
                <c:pt idx="861">
                  <c:v>0.69421489999999997</c:v>
                </c:pt>
                <c:pt idx="862">
                  <c:v>0.50155280000000002</c:v>
                </c:pt>
                <c:pt idx="863">
                  <c:v>0.52419349999999998</c:v>
                </c:pt>
                <c:pt idx="864">
                  <c:v>0.28220859999999998</c:v>
                </c:pt>
                <c:pt idx="865">
                  <c:v>0.58358739999999998</c:v>
                </c:pt>
                <c:pt idx="866">
                  <c:v>0.51020410000000005</c:v>
                </c:pt>
                <c:pt idx="867">
                  <c:v>0.35294120000000001</c:v>
                </c:pt>
                <c:pt idx="868">
                  <c:v>0.81098539999999997</c:v>
                </c:pt>
                <c:pt idx="869">
                  <c:v>0.66856329999999997</c:v>
                </c:pt>
                <c:pt idx="870">
                  <c:v>0.58319600000000005</c:v>
                </c:pt>
                <c:pt idx="871">
                  <c:v>0.71681419999999996</c:v>
                </c:pt>
                <c:pt idx="872">
                  <c:v>0.2913386</c:v>
                </c:pt>
                <c:pt idx="873">
                  <c:v>0.43956040000000002</c:v>
                </c:pt>
                <c:pt idx="874">
                  <c:v>0.59121299999999999</c:v>
                </c:pt>
                <c:pt idx="875">
                  <c:v>0.74695120000000004</c:v>
                </c:pt>
                <c:pt idx="876">
                  <c:v>0.556701</c:v>
                </c:pt>
                <c:pt idx="877">
                  <c:v>0.63133640000000002</c:v>
                </c:pt>
                <c:pt idx="878">
                  <c:v>0.60983600000000004</c:v>
                </c:pt>
                <c:pt idx="879">
                  <c:v>0.6725044</c:v>
                </c:pt>
                <c:pt idx="880">
                  <c:v>0.58773180000000003</c:v>
                </c:pt>
                <c:pt idx="881">
                  <c:v>0.55390329999999999</c:v>
                </c:pt>
                <c:pt idx="882">
                  <c:v>0.66509430000000003</c:v>
                </c:pt>
                <c:pt idx="883">
                  <c:v>0.49028929999999998</c:v>
                </c:pt>
                <c:pt idx="884">
                  <c:v>0.62492689999999995</c:v>
                </c:pt>
                <c:pt idx="885">
                  <c:v>0.42433700000000002</c:v>
                </c:pt>
                <c:pt idx="886">
                  <c:v>0.67595170000000004</c:v>
                </c:pt>
                <c:pt idx="887">
                  <c:v>0.66270660000000003</c:v>
                </c:pt>
                <c:pt idx="888">
                  <c:v>0.63068179999999996</c:v>
                </c:pt>
                <c:pt idx="889">
                  <c:v>0.32237959999999999</c:v>
                </c:pt>
                <c:pt idx="890">
                  <c:v>0.59728939999999997</c:v>
                </c:pt>
                <c:pt idx="891">
                  <c:v>0.4274809</c:v>
                </c:pt>
                <c:pt idx="892">
                  <c:v>0.49876540000000003</c:v>
                </c:pt>
                <c:pt idx="893">
                  <c:v>0.28089890000000001</c:v>
                </c:pt>
                <c:pt idx="894">
                  <c:v>0.25954199999999999</c:v>
                </c:pt>
                <c:pt idx="895">
                  <c:v>0.54489169999999998</c:v>
                </c:pt>
                <c:pt idx="896">
                  <c:v>0.48412699999999997</c:v>
                </c:pt>
                <c:pt idx="897">
                  <c:v>0.2906977</c:v>
                </c:pt>
                <c:pt idx="898">
                  <c:v>0.8516321</c:v>
                </c:pt>
                <c:pt idx="899">
                  <c:v>0.90540540000000003</c:v>
                </c:pt>
                <c:pt idx="900">
                  <c:v>0.76923079999999999</c:v>
                </c:pt>
                <c:pt idx="901">
                  <c:v>0.86383929999999998</c:v>
                </c:pt>
                <c:pt idx="902">
                  <c:v>0.82706769999999996</c:v>
                </c:pt>
                <c:pt idx="903">
                  <c:v>0.67813270000000003</c:v>
                </c:pt>
                <c:pt idx="904">
                  <c:v>0.80481930000000002</c:v>
                </c:pt>
                <c:pt idx="905">
                  <c:v>0.67647060000000003</c:v>
                </c:pt>
                <c:pt idx="906">
                  <c:v>0.4166667</c:v>
                </c:pt>
                <c:pt idx="907">
                  <c:v>0.12781960000000001</c:v>
                </c:pt>
                <c:pt idx="908">
                  <c:v>0.65159129999999998</c:v>
                </c:pt>
                <c:pt idx="909">
                  <c:v>0.5373135</c:v>
                </c:pt>
                <c:pt idx="910">
                  <c:v>0.58396950000000003</c:v>
                </c:pt>
                <c:pt idx="911">
                  <c:v>0.34449760000000001</c:v>
                </c:pt>
                <c:pt idx="912">
                  <c:v>0.6022187</c:v>
                </c:pt>
                <c:pt idx="913">
                  <c:v>0.5</c:v>
                </c:pt>
                <c:pt idx="914">
                  <c:v>0.22462099999999999</c:v>
                </c:pt>
                <c:pt idx="915">
                  <c:v>0.52173910000000001</c:v>
                </c:pt>
                <c:pt idx="916">
                  <c:v>0.74590160000000005</c:v>
                </c:pt>
                <c:pt idx="917">
                  <c:v>0.72452229999999995</c:v>
                </c:pt>
                <c:pt idx="918">
                  <c:v>0.63777779999999995</c:v>
                </c:pt>
                <c:pt idx="919">
                  <c:v>0.244898</c:v>
                </c:pt>
                <c:pt idx="920">
                  <c:v>0.55391120000000005</c:v>
                </c:pt>
                <c:pt idx="921">
                  <c:v>0.60538119999999995</c:v>
                </c:pt>
                <c:pt idx="922">
                  <c:v>0.51010100000000003</c:v>
                </c:pt>
                <c:pt idx="923">
                  <c:v>0.5703125</c:v>
                </c:pt>
                <c:pt idx="924">
                  <c:v>0.4734043</c:v>
                </c:pt>
                <c:pt idx="925">
                  <c:v>0.28047810000000001</c:v>
                </c:pt>
                <c:pt idx="926">
                  <c:v>0.35390949999999999</c:v>
                </c:pt>
                <c:pt idx="927">
                  <c:v>0.25465310000000002</c:v>
                </c:pt>
                <c:pt idx="928">
                  <c:v>0.38761060000000003</c:v>
                </c:pt>
                <c:pt idx="929">
                  <c:v>0.37563449999999998</c:v>
                </c:pt>
                <c:pt idx="930">
                  <c:v>0.34117649999999999</c:v>
                </c:pt>
                <c:pt idx="931">
                  <c:v>0.39612190000000003</c:v>
                </c:pt>
                <c:pt idx="932">
                  <c:v>0.21941749999999999</c:v>
                </c:pt>
                <c:pt idx="933">
                  <c:v>0.32960889999999998</c:v>
                </c:pt>
                <c:pt idx="934">
                  <c:v>0.49924590000000002</c:v>
                </c:pt>
                <c:pt idx="935">
                  <c:v>0.26827089999999998</c:v>
                </c:pt>
                <c:pt idx="936">
                  <c:v>0.27166069999999998</c:v>
                </c:pt>
                <c:pt idx="937">
                  <c:v>0.50442480000000001</c:v>
                </c:pt>
                <c:pt idx="938">
                  <c:v>0.63408520000000002</c:v>
                </c:pt>
              </c:numCache>
            </c:numRef>
          </c:yVal>
          <c:smooth val="0"/>
          <c:extLst xmlns:c16r2="http://schemas.microsoft.com/office/drawing/2015/06/chart">
            <c:ext xmlns:c16="http://schemas.microsoft.com/office/drawing/2014/chart" uri="{C3380CC4-5D6E-409C-BE32-E72D297353CC}">
              <c16:uniqueId val="{00000000-459A-4EE5-BDB0-6D2DD9763ACF}"/>
            </c:ext>
          </c:extLst>
        </c:ser>
        <c:dLbls>
          <c:showLegendKey val="0"/>
          <c:showVal val="0"/>
          <c:showCatName val="0"/>
          <c:showSerName val="0"/>
          <c:showPercent val="0"/>
          <c:showBubbleSize val="0"/>
        </c:dLbls>
        <c:axId val="223640672"/>
        <c:axId val="223641064"/>
      </c:scatterChart>
      <c:valAx>
        <c:axId val="223640672"/>
        <c:scaling>
          <c:orientation val="minMax"/>
        </c:scaling>
        <c:delete val="0"/>
        <c:axPos val="b"/>
        <c:majorGridlines>
          <c:spPr>
            <a:ln w="9525" cap="flat" cmpd="sng" algn="ctr">
              <a:solidFill>
                <a:schemeClr val="tx1">
                  <a:lumMod val="15000"/>
                  <a:lumOff val="85000"/>
                </a:schemeClr>
              </a:solidFill>
              <a:prstDash val="dash"/>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en-US" sz="900">
                    <a:solidFill>
                      <a:sysClr val="windowText" lastClr="000000"/>
                    </a:solidFill>
                    <a:latin typeface="Arial Narrow" panose="020B0606020202030204" pitchFamily="34" charset="0"/>
                  </a:rPr>
                  <a:t>Podiel populácie obce, ktorí tvoria UoZ v systéme PHN</a:t>
                </a:r>
              </a:p>
            </c:rich>
          </c:tx>
          <c:layout>
            <c:manualLayout>
              <c:xMode val="edge"/>
              <c:yMode val="edge"/>
              <c:x val="0.14925954444968828"/>
              <c:y val="0.92550123942840479"/>
            </c:manualLayout>
          </c:layout>
          <c:overlay val="0"/>
          <c:spPr>
            <a:noFill/>
            <a:ln w="25400">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000000"/>
                </a:solidFill>
                <a:latin typeface="Arial Narrow"/>
                <a:ea typeface="Arial Narrow"/>
                <a:cs typeface="Arial Narrow"/>
              </a:defRPr>
            </a:pPr>
            <a:endParaRPr lang="sk-SK"/>
          </a:p>
        </c:txPr>
        <c:crossAx val="223641064"/>
        <c:crosses val="autoZero"/>
        <c:crossBetween val="midCat"/>
        <c:majorUnit val="0.1"/>
      </c:valAx>
      <c:valAx>
        <c:axId val="223641064"/>
        <c:scaling>
          <c:orientation val="minMax"/>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en-US" sz="900">
                    <a:solidFill>
                      <a:sysClr val="windowText" lastClr="000000"/>
                    </a:solidFill>
                    <a:latin typeface="Arial Narrow" panose="020B0606020202030204" pitchFamily="34" charset="0"/>
                  </a:rPr>
                  <a:t>Pokrytie AP (Podiel UoZ v systéme PHN, ktorí majú nárok na AP)</a:t>
                </a:r>
              </a:p>
            </c:rich>
          </c:tx>
          <c:layout>
            <c:manualLayout>
              <c:xMode val="edge"/>
              <c:yMode val="edge"/>
              <c:x val="1.2562678131491234E-2"/>
              <c:y val="5.7306430446194226E-2"/>
            </c:manualLayout>
          </c:layout>
          <c:overlay val="0"/>
          <c:spPr>
            <a:noFill/>
            <a:ln w="25400">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3640672"/>
        <c:crosses val="autoZero"/>
        <c:crossBetween val="midCat"/>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45845723987983"/>
          <c:y val="4.1666666666666664E-2"/>
          <c:w val="0.83489589064373837"/>
          <c:h val="0.70306102362204725"/>
        </c:manualLayout>
      </c:layout>
      <c:barChart>
        <c:barDir val="col"/>
        <c:grouping val="stacked"/>
        <c:varyColors val="0"/>
        <c:ser>
          <c:idx val="0"/>
          <c:order val="0"/>
          <c:tx>
            <c:strRef>
              <c:f>'Osobitný príspevok'!$B$1</c:f>
              <c:strCache>
                <c:ptCount val="1"/>
                <c:pt idx="0">
                  <c:v>Počet poberateľov MRK (mesačný priemer, tisíc)</c:v>
                </c:pt>
              </c:strCache>
            </c:strRef>
          </c:tx>
          <c:spPr>
            <a:solidFill>
              <a:schemeClr val="accent1"/>
            </a:solidFill>
            <a:ln>
              <a:noFill/>
            </a:ln>
            <a:effectLst/>
          </c:spPr>
          <c:invertIfNegative val="0"/>
          <c:cat>
            <c:numRef>
              <c:f>'Osobitný príspevok'!$A$2:$A$6</c:f>
              <c:numCache>
                <c:formatCode>General</c:formatCode>
                <c:ptCount val="5"/>
                <c:pt idx="0">
                  <c:v>2014</c:v>
                </c:pt>
                <c:pt idx="1">
                  <c:v>2015</c:v>
                </c:pt>
                <c:pt idx="2">
                  <c:v>2016</c:v>
                </c:pt>
                <c:pt idx="3">
                  <c:v>2017</c:v>
                </c:pt>
                <c:pt idx="4">
                  <c:v>2018</c:v>
                </c:pt>
              </c:numCache>
            </c:numRef>
          </c:cat>
          <c:val>
            <c:numRef>
              <c:f>'Osobitný príspevok'!$B$2:$B$6</c:f>
              <c:numCache>
                <c:formatCode>#,##0.00</c:formatCode>
                <c:ptCount val="5"/>
                <c:pt idx="1">
                  <c:v>1.4338490600396339</c:v>
                </c:pt>
                <c:pt idx="2">
                  <c:v>1.8930190755561582</c:v>
                </c:pt>
                <c:pt idx="3" formatCode="0.00">
                  <c:v>2.0574591097406403</c:v>
                </c:pt>
                <c:pt idx="4" formatCode="0.00">
                  <c:v>2.0969167499999997</c:v>
                </c:pt>
              </c:numCache>
            </c:numRef>
          </c:val>
          <c:extLst xmlns:c16r2="http://schemas.microsoft.com/office/drawing/2015/06/chart">
            <c:ext xmlns:c16="http://schemas.microsoft.com/office/drawing/2014/chart" uri="{C3380CC4-5D6E-409C-BE32-E72D297353CC}">
              <c16:uniqueId val="{00000000-19A1-4F32-B7A9-CE1D1A0149C5}"/>
            </c:ext>
          </c:extLst>
        </c:ser>
        <c:ser>
          <c:idx val="1"/>
          <c:order val="1"/>
          <c:tx>
            <c:strRef>
              <c:f>'Osobitný príspevok'!$C$1</c:f>
              <c:strCache>
                <c:ptCount val="1"/>
                <c:pt idx="0">
                  <c:v>Počet poberateľov mimo MRK (mesačný priemer, tisíc)</c:v>
                </c:pt>
              </c:strCache>
            </c:strRef>
          </c:tx>
          <c:spPr>
            <a:solidFill>
              <a:schemeClr val="accent3"/>
            </a:solidFill>
            <a:ln>
              <a:noFill/>
            </a:ln>
            <a:effectLst/>
          </c:spPr>
          <c:invertIfNegative val="0"/>
          <c:dPt>
            <c:idx val="0"/>
            <c:invertIfNegative val="0"/>
            <c:bubble3D val="0"/>
            <c:spPr>
              <a:pattFill prst="dkUpDiag">
                <a:fgClr>
                  <a:schemeClr val="accent3"/>
                </a:fgClr>
                <a:bgClr>
                  <a:schemeClr val="accent1"/>
                </a:bgClr>
              </a:pattFill>
              <a:ln>
                <a:noFill/>
              </a:ln>
              <a:effectLst/>
            </c:spPr>
            <c:extLst xmlns:c16r2="http://schemas.microsoft.com/office/drawing/2015/06/chart">
              <c:ext xmlns:c16="http://schemas.microsoft.com/office/drawing/2014/chart" uri="{C3380CC4-5D6E-409C-BE32-E72D297353CC}">
                <c16:uniqueId val="{00000002-19A1-4F32-B7A9-CE1D1A0149C5}"/>
              </c:ext>
            </c:extLst>
          </c:dPt>
          <c:dPt>
            <c:idx val="4"/>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4-19A1-4F32-B7A9-CE1D1A0149C5}"/>
              </c:ext>
            </c:extLst>
          </c:dPt>
          <c:cat>
            <c:numRef>
              <c:f>'Osobitný príspevok'!$A$2:$A$6</c:f>
              <c:numCache>
                <c:formatCode>General</c:formatCode>
                <c:ptCount val="5"/>
                <c:pt idx="0">
                  <c:v>2014</c:v>
                </c:pt>
                <c:pt idx="1">
                  <c:v>2015</c:v>
                </c:pt>
                <c:pt idx="2">
                  <c:v>2016</c:v>
                </c:pt>
                <c:pt idx="3">
                  <c:v>2017</c:v>
                </c:pt>
                <c:pt idx="4">
                  <c:v>2018</c:v>
                </c:pt>
              </c:numCache>
            </c:numRef>
          </c:cat>
          <c:val>
            <c:numRef>
              <c:f>'Osobitný príspevok'!$C$2:$C$6</c:f>
              <c:numCache>
                <c:formatCode>#,##0.00</c:formatCode>
                <c:ptCount val="5"/>
                <c:pt idx="0">
                  <c:v>3.6080000000000001</c:v>
                </c:pt>
                <c:pt idx="1">
                  <c:v>6.4871509399603662</c:v>
                </c:pt>
                <c:pt idx="2">
                  <c:v>7.5179809244438411</c:v>
                </c:pt>
                <c:pt idx="3" formatCode="0.00">
                  <c:v>6.3435408902593595</c:v>
                </c:pt>
                <c:pt idx="4" formatCode="0.00">
                  <c:v>4.6800832500000009</c:v>
                </c:pt>
              </c:numCache>
            </c:numRef>
          </c:val>
          <c:extLst xmlns:c16r2="http://schemas.microsoft.com/office/drawing/2015/06/chart">
            <c:ext xmlns:c16="http://schemas.microsoft.com/office/drawing/2014/chart" uri="{C3380CC4-5D6E-409C-BE32-E72D297353CC}">
              <c16:uniqueId val="{00000005-19A1-4F32-B7A9-CE1D1A0149C5}"/>
            </c:ext>
          </c:extLst>
        </c:ser>
        <c:dLbls>
          <c:showLegendKey val="0"/>
          <c:showVal val="0"/>
          <c:showCatName val="0"/>
          <c:showSerName val="0"/>
          <c:showPercent val="0"/>
          <c:showBubbleSize val="0"/>
        </c:dLbls>
        <c:gapWidth val="150"/>
        <c:overlap val="100"/>
        <c:axId val="223642240"/>
        <c:axId val="223642632"/>
      </c:barChart>
      <c:lineChart>
        <c:grouping val="standard"/>
        <c:varyColors val="0"/>
        <c:ser>
          <c:idx val="2"/>
          <c:order val="2"/>
          <c:tx>
            <c:strRef>
              <c:f>'Osobitný príspevok'!$D$1</c:f>
              <c:strCache>
                <c:ptCount val="1"/>
                <c:pt idx="0">
                  <c:v>Ročné výdavky (milión Eur)</c:v>
                </c:pt>
              </c:strCache>
            </c:strRef>
          </c:tx>
          <c:spPr>
            <a:ln w="28575" cap="rnd">
              <a:solidFill>
                <a:schemeClr val="accent5">
                  <a:lumMod val="50000"/>
                </a:schemeClr>
              </a:solidFill>
              <a:round/>
            </a:ln>
            <a:effectLst/>
          </c:spPr>
          <c:marker>
            <c:symbol val="none"/>
          </c:marker>
          <c:cat>
            <c:numRef>
              <c:f>'Osobitný príspevok'!$A$2:$A$6</c:f>
              <c:numCache>
                <c:formatCode>General</c:formatCode>
                <c:ptCount val="5"/>
                <c:pt idx="0">
                  <c:v>2014</c:v>
                </c:pt>
                <c:pt idx="1">
                  <c:v>2015</c:v>
                </c:pt>
                <c:pt idx="2">
                  <c:v>2016</c:v>
                </c:pt>
                <c:pt idx="3">
                  <c:v>2017</c:v>
                </c:pt>
                <c:pt idx="4">
                  <c:v>2018</c:v>
                </c:pt>
              </c:numCache>
            </c:numRef>
          </c:cat>
          <c:val>
            <c:numRef>
              <c:f>'Osobitný príspevok'!$D$2:$D$6</c:f>
              <c:numCache>
                <c:formatCode>#,##0.00</c:formatCode>
                <c:ptCount val="5"/>
                <c:pt idx="0">
                  <c:v>2.7306787200000002</c:v>
                </c:pt>
                <c:pt idx="1">
                  <c:v>10.10154348</c:v>
                </c:pt>
                <c:pt idx="2">
                  <c:v>11.549747</c:v>
                </c:pt>
                <c:pt idx="3" formatCode="0.00">
                  <c:v>10.413504</c:v>
                </c:pt>
                <c:pt idx="4" formatCode="0.00">
                  <c:v>7.7601329999999997</c:v>
                </c:pt>
              </c:numCache>
            </c:numRef>
          </c:val>
          <c:smooth val="0"/>
          <c:extLst xmlns:c16r2="http://schemas.microsoft.com/office/drawing/2015/06/chart">
            <c:ext xmlns:c16="http://schemas.microsoft.com/office/drawing/2014/chart" uri="{C3380CC4-5D6E-409C-BE32-E72D297353CC}">
              <c16:uniqueId val="{00000006-19A1-4F32-B7A9-CE1D1A0149C5}"/>
            </c:ext>
          </c:extLst>
        </c:ser>
        <c:dLbls>
          <c:showLegendKey val="0"/>
          <c:showVal val="0"/>
          <c:showCatName val="0"/>
          <c:showSerName val="0"/>
          <c:showPercent val="0"/>
          <c:showBubbleSize val="0"/>
        </c:dLbls>
        <c:marker val="1"/>
        <c:smooth val="0"/>
        <c:axId val="223642240"/>
        <c:axId val="223642632"/>
      </c:lineChart>
      <c:catAx>
        <c:axId val="223642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3642632"/>
        <c:crosses val="autoZero"/>
        <c:auto val="1"/>
        <c:lblAlgn val="ctr"/>
        <c:lblOffset val="100"/>
        <c:noMultiLvlLbl val="0"/>
      </c:catAx>
      <c:valAx>
        <c:axId val="223642632"/>
        <c:scaling>
          <c:orientation val="minMax"/>
          <c:max val="12"/>
        </c:scaling>
        <c:delete val="0"/>
        <c:axPos val="l"/>
        <c:majorGridlines>
          <c:spPr>
            <a:ln w="9525" cap="flat" cmpd="sng" algn="ctr">
              <a:solidFill>
                <a:schemeClr val="tx1">
                  <a:lumMod val="15000"/>
                  <a:lumOff val="85000"/>
                </a:schemeClr>
              </a:solidFill>
              <a:prstDash val="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3642240"/>
        <c:crosses val="autoZero"/>
        <c:crossBetween val="between"/>
      </c:valAx>
      <c:spPr>
        <a:noFill/>
        <a:ln>
          <a:noFill/>
        </a:ln>
        <a:effectLst/>
      </c:spPr>
    </c:plotArea>
    <c:legend>
      <c:legendPos val="b"/>
      <c:layout>
        <c:manualLayout>
          <c:xMode val="edge"/>
          <c:yMode val="edge"/>
          <c:x val="9.6831660275758513E-3"/>
          <c:y val="0.84286781860600757"/>
          <c:w val="0.9806336679448483"/>
          <c:h val="0.1525025517643628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247594050743664E-2"/>
          <c:y val="9.3009259259259264E-2"/>
          <c:w val="0.89019685039370078"/>
          <c:h val="0.7486654272382619"/>
        </c:manualLayout>
      </c:layout>
      <c:lineChart>
        <c:grouping val="standard"/>
        <c:varyColors val="0"/>
        <c:ser>
          <c:idx val="0"/>
          <c:order val="0"/>
          <c:spPr>
            <a:ln w="28575" cap="rnd">
              <a:solidFill>
                <a:schemeClr val="accent1"/>
              </a:solidFill>
              <a:round/>
            </a:ln>
            <a:effectLst/>
          </c:spPr>
          <c:marker>
            <c:symbol val="none"/>
          </c:marker>
          <c:cat>
            <c:numRef>
              <c:f>'Osobitný príspevok'!$C$54:$C$72</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'Osobitný príspevok'!$K$54:$K$72</c:f>
              <c:numCache>
                <c:formatCode>General</c:formatCode>
                <c:ptCount val="19"/>
                <c:pt idx="0">
                  <c:v>0</c:v>
                </c:pt>
                <c:pt idx="1">
                  <c:v>3.4195402298850581</c:v>
                </c:pt>
                <c:pt idx="2">
                  <c:v>6.9755747126436773</c:v>
                </c:pt>
                <c:pt idx="3">
                  <c:v>12.011494252873561</c:v>
                </c:pt>
                <c:pt idx="4">
                  <c:v>15.431034482758619</c:v>
                </c:pt>
                <c:pt idx="5">
                  <c:v>19.331896551724142</c:v>
                </c:pt>
                <c:pt idx="6">
                  <c:v>25.402298850574724</c:v>
                </c:pt>
                <c:pt idx="7">
                  <c:v>29.389367816091962</c:v>
                </c:pt>
                <c:pt idx="8">
                  <c:v>33.275862068965523</c:v>
                </c:pt>
                <c:pt idx="9">
                  <c:v>49.612068965517246</c:v>
                </c:pt>
                <c:pt idx="10">
                  <c:v>51.903735632183917</c:v>
                </c:pt>
                <c:pt idx="11">
                  <c:v>54.295977011494259</c:v>
                </c:pt>
                <c:pt idx="12">
                  <c:v>57.708333333333336</c:v>
                </c:pt>
                <c:pt idx="13">
                  <c:v>60.452586206896555</c:v>
                </c:pt>
                <c:pt idx="14">
                  <c:v>63.017241379310349</c:v>
                </c:pt>
                <c:pt idx="15">
                  <c:v>69.231321839080465</c:v>
                </c:pt>
                <c:pt idx="16">
                  <c:v>72.349137931034491</c:v>
                </c:pt>
                <c:pt idx="17">
                  <c:v>75.323275862068968</c:v>
                </c:pt>
                <c:pt idx="18">
                  <c:v>78.448275862068968</c:v>
                </c:pt>
              </c:numCache>
            </c:numRef>
          </c:val>
          <c:smooth val="0"/>
          <c:extLst xmlns:c16r2="http://schemas.microsoft.com/office/drawing/2015/06/chart">
            <c:ext xmlns:c16="http://schemas.microsoft.com/office/drawing/2014/chart" uri="{C3380CC4-5D6E-409C-BE32-E72D297353CC}">
              <c16:uniqueId val="{00000000-BC89-40BF-AF19-0CA897E1D0F9}"/>
            </c:ext>
          </c:extLst>
        </c:ser>
        <c:dLbls>
          <c:showLegendKey val="0"/>
          <c:showVal val="0"/>
          <c:showCatName val="0"/>
          <c:showSerName val="0"/>
          <c:showPercent val="0"/>
          <c:showBubbleSize val="0"/>
        </c:dLbls>
        <c:smooth val="0"/>
        <c:axId val="223643416"/>
        <c:axId val="223643808"/>
      </c:lineChart>
      <c:catAx>
        <c:axId val="22364341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r>
                  <a:rPr lang="en-US">
                    <a:solidFill>
                      <a:sysClr val="windowText" lastClr="000000"/>
                    </a:solidFill>
                    <a:latin typeface="Arial Narrow" panose="020B0606020202030204" pitchFamily="34" charset="0"/>
                  </a:rPr>
                  <a:t>Mesiac od začatia poberania OP</a:t>
                </a:r>
              </a:p>
            </c:rich>
          </c:tx>
          <c:layout>
            <c:manualLayout>
              <c:xMode val="edge"/>
              <c:yMode val="edge"/>
              <c:x val="0.24166754996971532"/>
              <c:y val="0.9293764272245751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3643808"/>
        <c:crosses val="autoZero"/>
        <c:auto val="1"/>
        <c:lblAlgn val="ctr"/>
        <c:lblOffset val="100"/>
        <c:noMultiLvlLbl val="0"/>
      </c:catAx>
      <c:valAx>
        <c:axId val="223643808"/>
        <c:scaling>
          <c:orientation val="minMax"/>
          <c:max val="100"/>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36434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userShapes r:id="rId4"/>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233814523184602E-2"/>
          <c:y val="5.0925925925925923E-2"/>
          <c:w val="0.89521062992125988"/>
          <c:h val="0.74988825260478809"/>
        </c:manualLayout>
      </c:layout>
      <c:barChart>
        <c:barDir val="col"/>
        <c:grouping val="clustered"/>
        <c:varyColors val="0"/>
        <c:ser>
          <c:idx val="0"/>
          <c:order val="0"/>
          <c:tx>
            <c:strRef>
              <c:f>'PTR chart'!$A$3</c:f>
              <c:strCache>
                <c:ptCount val="1"/>
                <c:pt idx="0">
                  <c:v>EU15</c:v>
                </c:pt>
              </c:strCache>
            </c:strRef>
          </c:tx>
          <c:spPr>
            <a:solidFill>
              <a:schemeClr val="accent1"/>
            </a:solidFill>
            <a:ln>
              <a:noFill/>
            </a:ln>
            <a:effectLst/>
          </c:spPr>
          <c:invertIfNegative val="0"/>
          <c:cat>
            <c:strRef>
              <c:f>'PTR chart'!$B$1:$E$1</c:f>
              <c:strCache>
                <c:ptCount val="4"/>
                <c:pt idx="0">
                  <c:v>Jednotlivec</c:v>
                </c:pt>
                <c:pt idx="1">
                  <c:v>Jednotlivec s dvoma deťmi</c:v>
                </c:pt>
                <c:pt idx="2">
                  <c:v>Manželia bez detí</c:v>
                </c:pt>
                <c:pt idx="3">
                  <c:v>Manželia s 
dvoma deťmi</c:v>
                </c:pt>
              </c:strCache>
            </c:strRef>
          </c:cat>
          <c:val>
            <c:numRef>
              <c:f>'PTR chart'!$B$3:$E$3</c:f>
              <c:numCache>
                <c:formatCode>0.0</c:formatCode>
                <c:ptCount val="4"/>
                <c:pt idx="0">
                  <c:v>65.727272727272734</c:v>
                </c:pt>
                <c:pt idx="1">
                  <c:v>58.727272727272727</c:v>
                </c:pt>
                <c:pt idx="2">
                  <c:v>75.727272727272734</c:v>
                </c:pt>
                <c:pt idx="3">
                  <c:v>73.181818181818187</c:v>
                </c:pt>
              </c:numCache>
            </c:numRef>
          </c:val>
          <c:extLst xmlns:c16r2="http://schemas.microsoft.com/office/drawing/2015/06/chart">
            <c:ext xmlns:c16="http://schemas.microsoft.com/office/drawing/2014/chart" uri="{C3380CC4-5D6E-409C-BE32-E72D297353CC}">
              <c16:uniqueId val="{00000000-8280-42D6-8BBC-D159CB2D5D14}"/>
            </c:ext>
          </c:extLst>
        </c:ser>
        <c:ser>
          <c:idx val="1"/>
          <c:order val="1"/>
          <c:tx>
            <c:strRef>
              <c:f>'PTR chart'!$A$4</c:f>
              <c:strCache>
                <c:ptCount val="1"/>
                <c:pt idx="0">
                  <c:v>V3</c:v>
                </c:pt>
              </c:strCache>
            </c:strRef>
          </c:tx>
          <c:spPr>
            <a:solidFill>
              <a:srgbClr val="002060"/>
            </a:solidFill>
            <a:ln>
              <a:noFill/>
            </a:ln>
            <a:effectLst/>
          </c:spPr>
          <c:invertIfNegative val="0"/>
          <c:cat>
            <c:strRef>
              <c:f>'PTR chart'!$B$1:$E$1</c:f>
              <c:strCache>
                <c:ptCount val="4"/>
                <c:pt idx="0">
                  <c:v>Jednotlivec</c:v>
                </c:pt>
                <c:pt idx="1">
                  <c:v>Jednotlivec s dvoma deťmi</c:v>
                </c:pt>
                <c:pt idx="2">
                  <c:v>Manželia bez detí</c:v>
                </c:pt>
                <c:pt idx="3">
                  <c:v>Manželia s 
dvoma deťmi</c:v>
                </c:pt>
              </c:strCache>
            </c:strRef>
          </c:cat>
          <c:val>
            <c:numRef>
              <c:f>'PTR chart'!$B$4:$E$4</c:f>
              <c:numCache>
                <c:formatCode>0.0</c:formatCode>
                <c:ptCount val="4"/>
                <c:pt idx="0">
                  <c:v>59.333333333333336</c:v>
                </c:pt>
                <c:pt idx="1">
                  <c:v>47.333333333333336</c:v>
                </c:pt>
                <c:pt idx="2">
                  <c:v>63.666666666666664</c:v>
                </c:pt>
                <c:pt idx="3">
                  <c:v>67.666666666666671</c:v>
                </c:pt>
              </c:numCache>
            </c:numRef>
          </c:val>
          <c:extLst xmlns:c16r2="http://schemas.microsoft.com/office/drawing/2015/06/chart">
            <c:ext xmlns:c16="http://schemas.microsoft.com/office/drawing/2014/chart" uri="{C3380CC4-5D6E-409C-BE32-E72D297353CC}">
              <c16:uniqueId val="{00000001-8280-42D6-8BBC-D159CB2D5D14}"/>
            </c:ext>
          </c:extLst>
        </c:ser>
        <c:ser>
          <c:idx val="2"/>
          <c:order val="2"/>
          <c:tx>
            <c:strRef>
              <c:f>'PTR chart'!$A$5</c:f>
              <c:strCache>
                <c:ptCount val="1"/>
                <c:pt idx="0">
                  <c:v>SVK</c:v>
                </c:pt>
              </c:strCache>
            </c:strRef>
          </c:tx>
          <c:spPr>
            <a:solidFill>
              <a:schemeClr val="accent3"/>
            </a:solidFill>
            <a:ln>
              <a:noFill/>
            </a:ln>
            <a:effectLst/>
          </c:spPr>
          <c:invertIfNegative val="0"/>
          <c:cat>
            <c:strRef>
              <c:f>'PTR chart'!$B$1:$E$1</c:f>
              <c:strCache>
                <c:ptCount val="4"/>
                <c:pt idx="0">
                  <c:v>Jednotlivec</c:v>
                </c:pt>
                <c:pt idx="1">
                  <c:v>Jednotlivec s dvoma deťmi</c:v>
                </c:pt>
                <c:pt idx="2">
                  <c:v>Manželia bez detí</c:v>
                </c:pt>
                <c:pt idx="3">
                  <c:v>Manželia s 
dvoma deťmi</c:v>
                </c:pt>
              </c:strCache>
            </c:strRef>
          </c:cat>
          <c:val>
            <c:numRef>
              <c:f>'PTR chart'!$B$5:$E$5</c:f>
              <c:numCache>
                <c:formatCode>General</c:formatCode>
                <c:ptCount val="4"/>
                <c:pt idx="0">
                  <c:v>14</c:v>
                </c:pt>
                <c:pt idx="1">
                  <c:v>-18</c:v>
                </c:pt>
                <c:pt idx="2">
                  <c:v>17</c:v>
                </c:pt>
                <c:pt idx="3">
                  <c:v>8</c:v>
                </c:pt>
              </c:numCache>
            </c:numRef>
          </c:val>
          <c:extLst xmlns:c16r2="http://schemas.microsoft.com/office/drawing/2015/06/chart">
            <c:ext xmlns:c16="http://schemas.microsoft.com/office/drawing/2014/chart" uri="{C3380CC4-5D6E-409C-BE32-E72D297353CC}">
              <c16:uniqueId val="{00000002-8280-42D6-8BBC-D159CB2D5D14}"/>
            </c:ext>
          </c:extLst>
        </c:ser>
        <c:dLbls>
          <c:showLegendKey val="0"/>
          <c:showVal val="0"/>
          <c:showCatName val="0"/>
          <c:showSerName val="0"/>
          <c:showPercent val="0"/>
          <c:showBubbleSize val="0"/>
        </c:dLbls>
        <c:gapWidth val="219"/>
        <c:overlap val="-27"/>
        <c:axId val="224146176"/>
        <c:axId val="224146568"/>
        <c:extLst>
          <c:ext xmlns:c15="http://schemas.microsoft.com/office/drawing/2012/chart" uri="{02D57815-91ED-43cb-92C2-25804820EDAC}">
            <c15:filteredBarSeries>
              <c15:ser>
                <c:idx val="3"/>
                <c:order val="3"/>
                <c:tx>
                  <c:strRef>
                    <c:extLst>
                      <c:ext uri="{02D57815-91ED-43cb-92C2-25804820EDAC}">
                        <c15:formulaRef>
                          <c15:sqref>'PTR chart'!$A$3</c15:sqref>
                        </c15:formulaRef>
                      </c:ext>
                    </c:extLst>
                    <c:strCache>
                      <c:ptCount val="1"/>
                      <c:pt idx="0">
                        <c:v>EU15</c:v>
                      </c:pt>
                    </c:strCache>
                  </c:strRef>
                </c:tx>
                <c:spPr>
                  <a:solidFill>
                    <a:schemeClr val="accent4"/>
                  </a:solidFill>
                  <a:ln>
                    <a:noFill/>
                  </a:ln>
                  <a:effectLst/>
                </c:spPr>
                <c:invertIfNegative val="0"/>
                <c:val>
                  <c:numRef>
                    <c:extLst>
                      <c:ext uri="{02D57815-91ED-43cb-92C2-25804820EDAC}">
                        <c15:formulaRef>
                          <c15:sqref>'PTR chart'!$B$3:$E$3</c15:sqref>
                        </c15:formulaRef>
                      </c:ext>
                    </c:extLst>
                    <c:numCache>
                      <c:formatCode>0.0</c:formatCode>
                      <c:ptCount val="4"/>
                      <c:pt idx="0">
                        <c:v>65.727272727272734</c:v>
                      </c:pt>
                      <c:pt idx="1">
                        <c:v>58.727272727272727</c:v>
                      </c:pt>
                      <c:pt idx="2">
                        <c:v>75.727272727272734</c:v>
                      </c:pt>
                      <c:pt idx="3">
                        <c:v>73.181818181818187</c:v>
                      </c:pt>
                    </c:numCache>
                  </c:numRef>
                </c:val>
              </c15:ser>
            </c15:filteredBarSeries>
          </c:ext>
        </c:extLst>
      </c:barChart>
      <c:catAx>
        <c:axId val="2241461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4146568"/>
        <c:crosses val="autoZero"/>
        <c:auto val="1"/>
        <c:lblAlgn val="ctr"/>
        <c:lblOffset val="100"/>
        <c:noMultiLvlLbl val="0"/>
      </c:catAx>
      <c:valAx>
        <c:axId val="224146568"/>
        <c:scaling>
          <c:orientation val="minMax"/>
          <c:max val="80"/>
          <c:min val="-20"/>
        </c:scaling>
        <c:delete val="0"/>
        <c:axPos val="l"/>
        <c:majorGridlines>
          <c:spPr>
            <a:ln w="9525" cap="flat" cmpd="sng" algn="ctr">
              <a:solidFill>
                <a:schemeClr val="tx1">
                  <a:lumMod val="15000"/>
                  <a:lumOff val="85000"/>
                </a:schemeClr>
              </a:solidFill>
              <a:prstDash val="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4146176"/>
        <c:crosses val="autoZero"/>
        <c:crossBetween val="between"/>
      </c:valAx>
      <c:spPr>
        <a:noFill/>
        <a:ln>
          <a:noFill/>
        </a:ln>
        <a:effectLst/>
      </c:spPr>
    </c:plotArea>
    <c:legend>
      <c:legendPos val="b"/>
      <c:layout>
        <c:manualLayout>
          <c:xMode val="edge"/>
          <c:yMode val="edge"/>
          <c:x val="0.14499789165698551"/>
          <c:y val="4.7646235033341679E-2"/>
          <c:w val="0.37530811927197627"/>
          <c:h val="7.579792808584438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sk-SK"/>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13814492911569"/>
          <c:y val="5.0925925925925923E-2"/>
          <c:w val="0.82897528812358645"/>
          <c:h val="0.72733231262758824"/>
        </c:manualLayout>
      </c:layout>
      <c:barChart>
        <c:barDir val="col"/>
        <c:grouping val="clustered"/>
        <c:varyColors val="0"/>
        <c:ser>
          <c:idx val="0"/>
          <c:order val="0"/>
          <c:tx>
            <c:strRef>
              <c:f>'Mzdová kalkulačka (2020)'!$D$1</c:f>
              <c:strCache>
                <c:ptCount val="1"/>
                <c:pt idx="0">
                  <c:v>Príjem z dávok</c:v>
                </c:pt>
              </c:strCache>
            </c:strRef>
          </c:tx>
          <c:spPr>
            <a:solidFill>
              <a:schemeClr val="accent3"/>
            </a:solidFill>
            <a:ln>
              <a:noFill/>
            </a:ln>
            <a:effectLst/>
          </c:spPr>
          <c:invertIfNegative val="0"/>
          <c:cat>
            <c:numRef>
              <c:f>'Mzdová kalkulačka (2020)'!$B$2:$B$9</c:f>
              <c:numCache>
                <c:formatCode>General</c:formatCode>
                <c:ptCount val="8"/>
                <c:pt idx="0">
                  <c:v>2016</c:v>
                </c:pt>
                <c:pt idx="1">
                  <c:v>2020</c:v>
                </c:pt>
                <c:pt idx="2">
                  <c:v>2016</c:v>
                </c:pt>
                <c:pt idx="3">
                  <c:v>2020</c:v>
                </c:pt>
                <c:pt idx="4">
                  <c:v>2016</c:v>
                </c:pt>
                <c:pt idx="5">
                  <c:v>2020</c:v>
                </c:pt>
                <c:pt idx="6">
                  <c:v>2016</c:v>
                </c:pt>
                <c:pt idx="7">
                  <c:v>2020</c:v>
                </c:pt>
              </c:numCache>
            </c:numRef>
          </c:cat>
          <c:val>
            <c:numRef>
              <c:f>'Mzdová kalkulačka (2020)'!$D$2:$D$9</c:f>
              <c:numCache>
                <c:formatCode>0.00</c:formatCode>
                <c:ptCount val="8"/>
                <c:pt idx="0" formatCode="General">
                  <c:v>117.4</c:v>
                </c:pt>
                <c:pt idx="1">
                  <c:v>123.5</c:v>
                </c:pt>
                <c:pt idx="2" formatCode="General">
                  <c:v>328.76</c:v>
                </c:pt>
                <c:pt idx="3">
                  <c:v>347.85</c:v>
                </c:pt>
                <c:pt idx="4" formatCode="General">
                  <c:v>371.76</c:v>
                </c:pt>
                <c:pt idx="5">
                  <c:v>394.85</c:v>
                </c:pt>
                <c:pt idx="6" formatCode="General">
                  <c:v>549.32000000000005</c:v>
                </c:pt>
                <c:pt idx="7">
                  <c:v>585.70000000000005</c:v>
                </c:pt>
              </c:numCache>
            </c:numRef>
          </c:val>
          <c:extLst xmlns:c16r2="http://schemas.microsoft.com/office/drawing/2015/06/chart">
            <c:ext xmlns:c16="http://schemas.microsoft.com/office/drawing/2014/chart" uri="{C3380CC4-5D6E-409C-BE32-E72D297353CC}">
              <c16:uniqueId val="{00000000-D577-40AA-9B5B-22F17362CA32}"/>
            </c:ext>
          </c:extLst>
        </c:ser>
        <c:ser>
          <c:idx val="1"/>
          <c:order val="1"/>
          <c:tx>
            <c:strRef>
              <c:f>'Mzdová kalkulačka (2020)'!$E$1</c:f>
              <c:strCache>
                <c:ptCount val="1"/>
                <c:pt idx="0">
                  <c:v>Prvý príjem po nastúpení do práce</c:v>
                </c:pt>
              </c:strCache>
            </c:strRef>
          </c:tx>
          <c:spPr>
            <a:solidFill>
              <a:schemeClr val="accent5">
                <a:lumMod val="75000"/>
              </a:schemeClr>
            </a:solidFill>
            <a:ln>
              <a:noFill/>
            </a:ln>
            <a:effectLst/>
          </c:spPr>
          <c:invertIfNegative val="0"/>
          <c:cat>
            <c:numRef>
              <c:f>'Mzdová kalkulačka (2020)'!$B$2:$B$9</c:f>
              <c:numCache>
                <c:formatCode>General</c:formatCode>
                <c:ptCount val="8"/>
                <c:pt idx="0">
                  <c:v>2016</c:v>
                </c:pt>
                <c:pt idx="1">
                  <c:v>2020</c:v>
                </c:pt>
                <c:pt idx="2">
                  <c:v>2016</c:v>
                </c:pt>
                <c:pt idx="3">
                  <c:v>2020</c:v>
                </c:pt>
                <c:pt idx="4">
                  <c:v>2016</c:v>
                </c:pt>
                <c:pt idx="5">
                  <c:v>2020</c:v>
                </c:pt>
                <c:pt idx="6">
                  <c:v>2016</c:v>
                </c:pt>
                <c:pt idx="7">
                  <c:v>2020</c:v>
                </c:pt>
              </c:numCache>
            </c:numRef>
          </c:cat>
          <c:val>
            <c:numRef>
              <c:f>'Mzdová kalkulačka (2020)'!$E$2:$E$9</c:f>
              <c:numCache>
                <c:formatCode>General</c:formatCode>
                <c:ptCount val="8"/>
                <c:pt idx="0">
                  <c:v>547.33000000000004</c:v>
                </c:pt>
                <c:pt idx="1">
                  <c:v>749.18</c:v>
                </c:pt>
                <c:pt idx="2">
                  <c:v>901.92</c:v>
                </c:pt>
                <c:pt idx="3">
                  <c:v>1207.6300000000001</c:v>
                </c:pt>
                <c:pt idx="4">
                  <c:v>918.65</c:v>
                </c:pt>
                <c:pt idx="5">
                  <c:v>1261.21</c:v>
                </c:pt>
                <c:pt idx="6">
                  <c:v>1070.04</c:v>
                </c:pt>
                <c:pt idx="7">
                  <c:v>1466.26</c:v>
                </c:pt>
              </c:numCache>
            </c:numRef>
          </c:val>
          <c:extLst xmlns:c16r2="http://schemas.microsoft.com/office/drawing/2015/06/chart">
            <c:ext xmlns:c16="http://schemas.microsoft.com/office/drawing/2014/chart" uri="{C3380CC4-5D6E-409C-BE32-E72D297353CC}">
              <c16:uniqueId val="{00000001-D577-40AA-9B5B-22F17362CA32}"/>
            </c:ext>
          </c:extLst>
        </c:ser>
        <c:ser>
          <c:idx val="2"/>
          <c:order val="2"/>
          <c:tx>
            <c:strRef>
              <c:f>'Mzdová kalkulačka (2020)'!$F$1</c:f>
              <c:strCache>
                <c:ptCount val="1"/>
                <c:pt idx="0">
                  <c:v>Príjem po roku od nástupu do práce</c:v>
                </c:pt>
              </c:strCache>
            </c:strRef>
          </c:tx>
          <c:spPr>
            <a:solidFill>
              <a:schemeClr val="accent1"/>
            </a:solidFill>
            <a:ln>
              <a:noFill/>
            </a:ln>
            <a:effectLst/>
          </c:spPr>
          <c:invertIfNegative val="0"/>
          <c:cat>
            <c:numRef>
              <c:f>'Mzdová kalkulačka (2020)'!$B$2:$B$9</c:f>
              <c:numCache>
                <c:formatCode>General</c:formatCode>
                <c:ptCount val="8"/>
                <c:pt idx="0">
                  <c:v>2016</c:v>
                </c:pt>
                <c:pt idx="1">
                  <c:v>2020</c:v>
                </c:pt>
                <c:pt idx="2">
                  <c:v>2016</c:v>
                </c:pt>
                <c:pt idx="3">
                  <c:v>2020</c:v>
                </c:pt>
                <c:pt idx="4">
                  <c:v>2016</c:v>
                </c:pt>
                <c:pt idx="5">
                  <c:v>2020</c:v>
                </c:pt>
                <c:pt idx="6">
                  <c:v>2016</c:v>
                </c:pt>
                <c:pt idx="7">
                  <c:v>2020</c:v>
                </c:pt>
              </c:numCache>
            </c:numRef>
          </c:cat>
          <c:val>
            <c:numRef>
              <c:f>'Mzdová kalkulačka (2020)'!$F$2:$F$9</c:f>
              <c:numCache>
                <c:formatCode>General</c:formatCode>
                <c:ptCount val="8"/>
                <c:pt idx="0">
                  <c:v>409.43</c:v>
                </c:pt>
                <c:pt idx="1">
                  <c:v>604.21</c:v>
                </c:pt>
                <c:pt idx="2">
                  <c:v>764.02</c:v>
                </c:pt>
                <c:pt idx="3">
                  <c:v>1062.6600000000001</c:v>
                </c:pt>
                <c:pt idx="4">
                  <c:v>777.42</c:v>
                </c:pt>
                <c:pt idx="5">
                  <c:v>1106.4000000000001</c:v>
                </c:pt>
                <c:pt idx="6">
                  <c:v>928.81</c:v>
                </c:pt>
                <c:pt idx="7">
                  <c:v>1311.45</c:v>
                </c:pt>
              </c:numCache>
            </c:numRef>
          </c:val>
          <c:extLst xmlns:c16r2="http://schemas.microsoft.com/office/drawing/2015/06/chart">
            <c:ext xmlns:c16="http://schemas.microsoft.com/office/drawing/2014/chart" uri="{C3380CC4-5D6E-409C-BE32-E72D297353CC}">
              <c16:uniqueId val="{00000002-D577-40AA-9B5B-22F17362CA32}"/>
            </c:ext>
          </c:extLst>
        </c:ser>
        <c:dLbls>
          <c:showLegendKey val="0"/>
          <c:showVal val="0"/>
          <c:showCatName val="0"/>
          <c:showSerName val="0"/>
          <c:showPercent val="0"/>
          <c:showBubbleSize val="0"/>
        </c:dLbls>
        <c:gapWidth val="219"/>
        <c:overlap val="-27"/>
        <c:axId val="224147744"/>
        <c:axId val="224148136"/>
      </c:barChart>
      <c:catAx>
        <c:axId val="22414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4148136"/>
        <c:crosses val="autoZero"/>
        <c:auto val="1"/>
        <c:lblAlgn val="ctr"/>
        <c:lblOffset val="100"/>
        <c:noMultiLvlLbl val="0"/>
      </c:catAx>
      <c:valAx>
        <c:axId val="224148136"/>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4147744"/>
        <c:crosses val="autoZero"/>
        <c:crossBetween val="between"/>
      </c:valAx>
      <c:spPr>
        <a:noFill/>
        <a:ln>
          <a:noFill/>
        </a:ln>
        <a:effectLst/>
      </c:spPr>
    </c:plotArea>
    <c:legend>
      <c:legendPos val="b"/>
      <c:layout>
        <c:manualLayout>
          <c:xMode val="edge"/>
          <c:yMode val="edge"/>
          <c:x val="5.4421768707482991E-2"/>
          <c:y val="4.5715952172645083E-2"/>
          <c:w val="0.69390968986019608"/>
          <c:h val="0.15335812190142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9498882256179"/>
          <c:y val="5.0925925925925923E-2"/>
          <c:w val="0.83657208300114627"/>
          <c:h val="0.74212044595343019"/>
        </c:manualLayout>
      </c:layout>
      <c:barChart>
        <c:barDir val="col"/>
        <c:grouping val="clustered"/>
        <c:varyColors val="0"/>
        <c:ser>
          <c:idx val="0"/>
          <c:order val="0"/>
          <c:tx>
            <c:strRef>
              <c:f>'Porovnanie Romov'!$A$3</c:f>
              <c:strCache>
                <c:ptCount val="1"/>
                <c:pt idx="0">
                  <c:v>SR</c:v>
                </c:pt>
              </c:strCache>
            </c:strRef>
          </c:tx>
          <c:spPr>
            <a:solidFill>
              <a:schemeClr val="accent1"/>
            </a:solidFill>
            <a:ln>
              <a:noFill/>
            </a:ln>
            <a:effectLst/>
          </c:spPr>
          <c:invertIfNegative val="0"/>
          <c:cat>
            <c:strRef>
              <c:f>'Porovnanie Romov'!$B$2:$D$2</c:f>
              <c:strCache>
                <c:ptCount val="3"/>
                <c:pt idx="0">
                  <c:v>Pod hranicou rizika chudoby</c:v>
                </c:pt>
                <c:pt idx="1">
                  <c:v>Domácnosť s nízkou pracovnou intenzitou</c:v>
                </c:pt>
                <c:pt idx="2">
                  <c:v>Predčasné ukončenie školskej dochádzky mladých</c:v>
                </c:pt>
              </c:strCache>
            </c:strRef>
          </c:cat>
          <c:val>
            <c:numRef>
              <c:f>'Porovnanie Romov'!$B$3:$D$3</c:f>
              <c:numCache>
                <c:formatCode>General</c:formatCode>
                <c:ptCount val="3"/>
                <c:pt idx="0">
                  <c:v>87</c:v>
                </c:pt>
                <c:pt idx="1">
                  <c:v>53</c:v>
                </c:pt>
                <c:pt idx="2">
                  <c:v>64</c:v>
                </c:pt>
              </c:numCache>
            </c:numRef>
          </c:val>
          <c:extLst xmlns:c16r2="http://schemas.microsoft.com/office/drawing/2015/06/chart">
            <c:ext xmlns:c16="http://schemas.microsoft.com/office/drawing/2014/chart" uri="{C3380CC4-5D6E-409C-BE32-E72D297353CC}">
              <c16:uniqueId val="{00000000-CDBF-4AFA-84C1-A28E8FFBEB35}"/>
            </c:ext>
          </c:extLst>
        </c:ser>
        <c:ser>
          <c:idx val="1"/>
          <c:order val="1"/>
          <c:tx>
            <c:strRef>
              <c:f>'Porovnanie Romov'!$A$4</c:f>
              <c:strCache>
                <c:ptCount val="1"/>
                <c:pt idx="0">
                  <c:v>ČR</c:v>
                </c:pt>
              </c:strCache>
            </c:strRef>
          </c:tx>
          <c:spPr>
            <a:solidFill>
              <a:schemeClr val="accent3"/>
            </a:solidFill>
            <a:ln>
              <a:noFill/>
            </a:ln>
            <a:effectLst/>
          </c:spPr>
          <c:invertIfNegative val="0"/>
          <c:cat>
            <c:strRef>
              <c:f>'Porovnanie Romov'!$B$2:$D$2</c:f>
              <c:strCache>
                <c:ptCount val="3"/>
                <c:pt idx="0">
                  <c:v>Pod hranicou rizika chudoby</c:v>
                </c:pt>
                <c:pt idx="1">
                  <c:v>Domácnosť s nízkou pracovnou intenzitou</c:v>
                </c:pt>
                <c:pt idx="2">
                  <c:v>Predčasné ukončenie školskej dochádzky mladých</c:v>
                </c:pt>
              </c:strCache>
            </c:strRef>
          </c:cat>
          <c:val>
            <c:numRef>
              <c:f>'Porovnanie Romov'!$B$4:$D$4</c:f>
              <c:numCache>
                <c:formatCode>General</c:formatCode>
                <c:ptCount val="3"/>
                <c:pt idx="0">
                  <c:v>58</c:v>
                </c:pt>
                <c:pt idx="1">
                  <c:v>34</c:v>
                </c:pt>
                <c:pt idx="2">
                  <c:v>62</c:v>
                </c:pt>
              </c:numCache>
            </c:numRef>
          </c:val>
          <c:extLst xmlns:c16r2="http://schemas.microsoft.com/office/drawing/2015/06/chart">
            <c:ext xmlns:c16="http://schemas.microsoft.com/office/drawing/2014/chart" uri="{C3380CC4-5D6E-409C-BE32-E72D297353CC}">
              <c16:uniqueId val="{00000001-CDBF-4AFA-84C1-A28E8FFBEB35}"/>
            </c:ext>
          </c:extLst>
        </c:ser>
        <c:ser>
          <c:idx val="2"/>
          <c:order val="2"/>
          <c:tx>
            <c:strRef>
              <c:f>'Porovnanie Romov'!$A$5</c:f>
              <c:strCache>
                <c:ptCount val="1"/>
                <c:pt idx="0">
                  <c:v>HU</c:v>
                </c:pt>
              </c:strCache>
            </c:strRef>
          </c:tx>
          <c:spPr>
            <a:solidFill>
              <a:schemeClr val="accent5">
                <a:lumMod val="50000"/>
              </a:schemeClr>
            </a:solidFill>
            <a:ln>
              <a:noFill/>
            </a:ln>
            <a:effectLst/>
          </c:spPr>
          <c:invertIfNegative val="0"/>
          <c:cat>
            <c:strRef>
              <c:f>'Porovnanie Romov'!$B$2:$D$2</c:f>
              <c:strCache>
                <c:ptCount val="3"/>
                <c:pt idx="0">
                  <c:v>Pod hranicou rizika chudoby</c:v>
                </c:pt>
                <c:pt idx="1">
                  <c:v>Domácnosť s nízkou pracovnou intenzitou</c:v>
                </c:pt>
                <c:pt idx="2">
                  <c:v>Predčasné ukončenie školskej dochádzky mladých</c:v>
                </c:pt>
              </c:strCache>
            </c:strRef>
          </c:cat>
          <c:val>
            <c:numRef>
              <c:f>'Porovnanie Romov'!$B$5:$D$5</c:f>
              <c:numCache>
                <c:formatCode>General</c:formatCode>
                <c:ptCount val="3"/>
                <c:pt idx="0">
                  <c:v>75</c:v>
                </c:pt>
                <c:pt idx="1">
                  <c:v>27</c:v>
                </c:pt>
                <c:pt idx="2">
                  <c:v>80</c:v>
                </c:pt>
              </c:numCache>
            </c:numRef>
          </c:val>
          <c:extLst xmlns:c16r2="http://schemas.microsoft.com/office/drawing/2015/06/chart">
            <c:ext xmlns:c16="http://schemas.microsoft.com/office/drawing/2014/chart" uri="{C3380CC4-5D6E-409C-BE32-E72D297353CC}">
              <c16:uniqueId val="{00000002-CDBF-4AFA-84C1-A28E8FFBEB35}"/>
            </c:ext>
          </c:extLst>
        </c:ser>
        <c:ser>
          <c:idx val="3"/>
          <c:order val="3"/>
          <c:tx>
            <c:strRef>
              <c:f>'Porovnanie Romov'!$A$6</c:f>
              <c:strCache>
                <c:ptCount val="1"/>
                <c:pt idx="0">
                  <c:v>Priemer 9 krajín</c:v>
                </c:pt>
              </c:strCache>
            </c:strRef>
          </c:tx>
          <c:spPr>
            <a:solidFill>
              <a:schemeClr val="accent5">
                <a:lumMod val="75000"/>
              </a:schemeClr>
            </a:solidFill>
            <a:ln>
              <a:noFill/>
            </a:ln>
            <a:effectLst/>
          </c:spPr>
          <c:invertIfNegative val="0"/>
          <c:cat>
            <c:strRef>
              <c:f>'Porovnanie Romov'!$B$2:$D$2</c:f>
              <c:strCache>
                <c:ptCount val="3"/>
                <c:pt idx="0">
                  <c:v>Pod hranicou rizika chudoby</c:v>
                </c:pt>
                <c:pt idx="1">
                  <c:v>Domácnosť s nízkou pracovnou intenzitou</c:v>
                </c:pt>
                <c:pt idx="2">
                  <c:v>Predčasné ukončenie školskej dochádzky mladých</c:v>
                </c:pt>
              </c:strCache>
            </c:strRef>
          </c:cat>
          <c:val>
            <c:numRef>
              <c:f>'Porovnanie Romov'!$B$6:$D$6</c:f>
              <c:numCache>
                <c:formatCode>General</c:formatCode>
                <c:ptCount val="3"/>
                <c:pt idx="0">
                  <c:v>80</c:v>
                </c:pt>
                <c:pt idx="1">
                  <c:v>44</c:v>
                </c:pt>
                <c:pt idx="2">
                  <c:v>72</c:v>
                </c:pt>
              </c:numCache>
            </c:numRef>
          </c:val>
          <c:extLst xmlns:c16r2="http://schemas.microsoft.com/office/drawing/2015/06/chart">
            <c:ext xmlns:c16="http://schemas.microsoft.com/office/drawing/2014/chart" uri="{C3380CC4-5D6E-409C-BE32-E72D297353CC}">
              <c16:uniqueId val="{00000003-CDBF-4AFA-84C1-A28E8FFBEB35}"/>
            </c:ext>
          </c:extLst>
        </c:ser>
        <c:dLbls>
          <c:showLegendKey val="0"/>
          <c:showVal val="0"/>
          <c:showCatName val="0"/>
          <c:showSerName val="0"/>
          <c:showPercent val="0"/>
          <c:showBubbleSize val="0"/>
        </c:dLbls>
        <c:gapWidth val="219"/>
        <c:overlap val="-27"/>
        <c:axId val="219222912"/>
        <c:axId val="219223304"/>
      </c:barChart>
      <c:catAx>
        <c:axId val="21922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219223304"/>
        <c:crosses val="autoZero"/>
        <c:auto val="1"/>
        <c:lblAlgn val="ctr"/>
        <c:lblOffset val="100"/>
        <c:noMultiLvlLbl val="0"/>
      </c:catAx>
      <c:valAx>
        <c:axId val="219223304"/>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19222912"/>
        <c:crosses val="autoZero"/>
        <c:crossBetween val="between"/>
      </c:valAx>
      <c:spPr>
        <a:noFill/>
        <a:ln>
          <a:noFill/>
        </a:ln>
        <a:effectLst/>
      </c:spPr>
    </c:plotArea>
    <c:legend>
      <c:legendPos val="b"/>
      <c:layout>
        <c:manualLayout>
          <c:xMode val="edge"/>
          <c:yMode val="edge"/>
          <c:x val="0.20760645721960344"/>
          <c:y val="5.4565239430908047E-2"/>
          <c:w val="0.63348322309984362"/>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900481189851279E-2"/>
          <c:y val="0.1111111111111111"/>
          <c:w val="0.89521062992125988"/>
          <c:h val="0.62729841061533975"/>
        </c:manualLayout>
      </c:layout>
      <c:barChart>
        <c:barDir val="col"/>
        <c:grouping val="clustered"/>
        <c:varyColors val="0"/>
        <c:ser>
          <c:idx val="2"/>
          <c:order val="2"/>
          <c:tx>
            <c:strRef>
              <c:f>'Child poverty (2018)'!$K$2</c:f>
              <c:strCache>
                <c:ptCount val="1"/>
                <c:pt idx="0">
                  <c:v>% zmena</c:v>
                </c:pt>
              </c:strCache>
            </c:strRef>
          </c:tx>
          <c:spPr>
            <a:solidFill>
              <a:schemeClr val="accent3"/>
            </a:solidFill>
            <a:ln>
              <a:noFill/>
            </a:ln>
            <a:effectLst/>
          </c:spPr>
          <c:invertIfNegative val="0"/>
          <c:cat>
            <c:strRef>
              <c:f>'Child poverty (2018)'!$H$3:$H$30</c:f>
              <c:strCache>
                <c:ptCount val="28"/>
                <c:pt idx="0">
                  <c:v>Maďarsko</c:v>
                </c:pt>
                <c:pt idx="1">
                  <c:v>Fínsko</c:v>
                </c:pt>
                <c:pt idx="2">
                  <c:v>Írsko</c:v>
                </c:pt>
                <c:pt idx="3">
                  <c:v>Poľsko</c:v>
                </c:pt>
                <c:pt idx="4">
                  <c:v>Nemecko</c:v>
                </c:pt>
                <c:pt idx="5">
                  <c:v>Slovinsko</c:v>
                </c:pt>
                <c:pt idx="6">
                  <c:v>Dánsko</c:v>
                </c:pt>
                <c:pt idx="7">
                  <c:v>Rakúsko</c:v>
                </c:pt>
                <c:pt idx="8">
                  <c:v>Estónsko</c:v>
                </c:pt>
                <c:pt idx="9">
                  <c:v>Francúzsko</c:v>
                </c:pt>
                <c:pt idx="10">
                  <c:v>Švédsko</c:v>
                </c:pt>
                <c:pt idx="11">
                  <c:v>Česká Rep.</c:v>
                </c:pt>
                <c:pt idx="12">
                  <c:v>Cyprus</c:v>
                </c:pt>
                <c:pt idx="13">
                  <c:v>Spojené Kráľ.</c:v>
                </c:pt>
                <c:pt idx="14">
                  <c:v>Luxembursko</c:v>
                </c:pt>
                <c:pt idx="15">
                  <c:v>Holandsko</c:v>
                </c:pt>
                <c:pt idx="16">
                  <c:v>Lotyšsko</c:v>
                </c:pt>
                <c:pt idx="17">
                  <c:v>Belgicko</c:v>
                </c:pt>
                <c:pt idx="18">
                  <c:v>Litva</c:v>
                </c:pt>
                <c:pt idx="19">
                  <c:v>Chorvátsko</c:v>
                </c:pt>
                <c:pt idx="20">
                  <c:v>Grécko</c:v>
                </c:pt>
                <c:pt idx="21">
                  <c:v>Slovensko</c:v>
                </c:pt>
                <c:pt idx="22">
                  <c:v>Bulharsko</c:v>
                </c:pt>
                <c:pt idx="23">
                  <c:v>Taliansko</c:v>
                </c:pt>
                <c:pt idx="24">
                  <c:v>Portugalsko</c:v>
                </c:pt>
                <c:pt idx="25">
                  <c:v>Malta</c:v>
                </c:pt>
                <c:pt idx="26">
                  <c:v>Rumunsko</c:v>
                </c:pt>
                <c:pt idx="27">
                  <c:v>Španielsko</c:v>
                </c:pt>
              </c:strCache>
            </c:strRef>
          </c:cat>
          <c:val>
            <c:numRef>
              <c:f>'Child poverty (2018)'!$K$3:$K$30</c:f>
              <c:numCache>
                <c:formatCode>General</c:formatCode>
                <c:ptCount val="28"/>
                <c:pt idx="0">
                  <c:v>-68.304668304668297</c:v>
                </c:pt>
                <c:pt idx="1">
                  <c:v>-65.116279069767401</c:v>
                </c:pt>
                <c:pt idx="2">
                  <c:v>-63.366336633663359</c:v>
                </c:pt>
                <c:pt idx="3">
                  <c:v>-60.256410256410255</c:v>
                </c:pt>
                <c:pt idx="4">
                  <c:v>-54.285714285714292</c:v>
                </c:pt>
                <c:pt idx="5">
                  <c:v>-51.028806584362144</c:v>
                </c:pt>
                <c:pt idx="6">
                  <c:v>-50.869565217391298</c:v>
                </c:pt>
                <c:pt idx="7">
                  <c:v>-50.127877237851656</c:v>
                </c:pt>
                <c:pt idx="8">
                  <c:v>-50</c:v>
                </c:pt>
                <c:pt idx="9">
                  <c:v>-46.849315068493155</c:v>
                </c:pt>
                <c:pt idx="10">
                  <c:v>-44.729344729344731</c:v>
                </c:pt>
                <c:pt idx="11">
                  <c:v>-43.085106382978736</c:v>
                </c:pt>
                <c:pt idx="12">
                  <c:v>-42.617449664429529</c:v>
                </c:pt>
                <c:pt idx="13">
                  <c:v>-42.130750605326874</c:v>
                </c:pt>
                <c:pt idx="14">
                  <c:v>-38.718662952646234</c:v>
                </c:pt>
                <c:pt idx="15">
                  <c:v>-38.095238095238095</c:v>
                </c:pt>
                <c:pt idx="16">
                  <c:v>-36.718750000000014</c:v>
                </c:pt>
                <c:pt idx="17">
                  <c:v>-32.441471571906355</c:v>
                </c:pt>
                <c:pt idx="18">
                  <c:v>-31.714285714285715</c:v>
                </c:pt>
                <c:pt idx="19">
                  <c:v>-31.672597864768694</c:v>
                </c:pt>
                <c:pt idx="20">
                  <c:v>-29.084967320261445</c:v>
                </c:pt>
                <c:pt idx="21">
                  <c:v>-28.873239436619713</c:v>
                </c:pt>
                <c:pt idx="22">
                  <c:v>-28.723404255319153</c:v>
                </c:pt>
                <c:pt idx="23">
                  <c:v>-26.33053221288516</c:v>
                </c:pt>
                <c:pt idx="24">
                  <c:v>-25.702811244979916</c:v>
                </c:pt>
                <c:pt idx="25">
                  <c:v>-25.352112676056336</c:v>
                </c:pt>
                <c:pt idx="26">
                  <c:v>-20.499999999999996</c:v>
                </c:pt>
                <c:pt idx="27">
                  <c:v>-18.125000000000004</c:v>
                </c:pt>
              </c:numCache>
            </c:numRef>
          </c:val>
          <c:extLst xmlns:c16r2="http://schemas.microsoft.com/office/drawing/2015/06/chart">
            <c:ext xmlns:c16="http://schemas.microsoft.com/office/drawing/2014/chart" uri="{C3380CC4-5D6E-409C-BE32-E72D297353CC}">
              <c16:uniqueId val="{00000000-E50C-4A6F-BF31-E34AE029D2B6}"/>
            </c:ext>
          </c:extLst>
        </c:ser>
        <c:dLbls>
          <c:showLegendKey val="0"/>
          <c:showVal val="0"/>
          <c:showCatName val="0"/>
          <c:showSerName val="0"/>
          <c:showPercent val="0"/>
          <c:showBubbleSize val="0"/>
        </c:dLbls>
        <c:gapWidth val="219"/>
        <c:overlap val="-27"/>
        <c:axId val="224148920"/>
        <c:axId val="224149312"/>
      </c:barChart>
      <c:lineChart>
        <c:grouping val="standard"/>
        <c:varyColors val="0"/>
        <c:ser>
          <c:idx val="0"/>
          <c:order val="0"/>
          <c:tx>
            <c:strRef>
              <c:f>'Child poverty (2018)'!$I$2</c:f>
              <c:strCache>
                <c:ptCount val="1"/>
                <c:pt idx="0">
                  <c:v>Pred transfermi</c:v>
                </c:pt>
              </c:strCache>
            </c:strRef>
          </c:tx>
          <c:spPr>
            <a:ln w="28575" cap="rnd">
              <a:noFill/>
              <a:round/>
            </a:ln>
            <a:effectLst/>
          </c:spPr>
          <c:marker>
            <c:symbol val="circle"/>
            <c:size val="5"/>
            <c:spPr>
              <a:solidFill>
                <a:schemeClr val="accent1"/>
              </a:solidFill>
              <a:ln w="9525">
                <a:solidFill>
                  <a:schemeClr val="accent1"/>
                </a:solidFill>
              </a:ln>
              <a:effectLst/>
            </c:spPr>
          </c:marker>
          <c:cat>
            <c:strRef>
              <c:f>'Child poverty (2018)'!$H$3:$H$30</c:f>
              <c:strCache>
                <c:ptCount val="28"/>
                <c:pt idx="0">
                  <c:v>Maďarsko</c:v>
                </c:pt>
                <c:pt idx="1">
                  <c:v>Fínsko</c:v>
                </c:pt>
                <c:pt idx="2">
                  <c:v>Írsko</c:v>
                </c:pt>
                <c:pt idx="3">
                  <c:v>Poľsko</c:v>
                </c:pt>
                <c:pt idx="4">
                  <c:v>Nemecko</c:v>
                </c:pt>
                <c:pt idx="5">
                  <c:v>Slovinsko</c:v>
                </c:pt>
                <c:pt idx="6">
                  <c:v>Dánsko</c:v>
                </c:pt>
                <c:pt idx="7">
                  <c:v>Rakúsko</c:v>
                </c:pt>
                <c:pt idx="8">
                  <c:v>Estónsko</c:v>
                </c:pt>
                <c:pt idx="9">
                  <c:v>Francúzsko</c:v>
                </c:pt>
                <c:pt idx="10">
                  <c:v>Švédsko</c:v>
                </c:pt>
                <c:pt idx="11">
                  <c:v>Česká Rep.</c:v>
                </c:pt>
                <c:pt idx="12">
                  <c:v>Cyprus</c:v>
                </c:pt>
                <c:pt idx="13">
                  <c:v>Spojené Kráľ.</c:v>
                </c:pt>
                <c:pt idx="14">
                  <c:v>Luxembursko</c:v>
                </c:pt>
                <c:pt idx="15">
                  <c:v>Holandsko</c:v>
                </c:pt>
                <c:pt idx="16">
                  <c:v>Lotyšsko</c:v>
                </c:pt>
                <c:pt idx="17">
                  <c:v>Belgicko</c:v>
                </c:pt>
                <c:pt idx="18">
                  <c:v>Litva</c:v>
                </c:pt>
                <c:pt idx="19">
                  <c:v>Chorvátsko</c:v>
                </c:pt>
                <c:pt idx="20">
                  <c:v>Grécko</c:v>
                </c:pt>
                <c:pt idx="21">
                  <c:v>Slovensko</c:v>
                </c:pt>
                <c:pt idx="22">
                  <c:v>Bulharsko</c:v>
                </c:pt>
                <c:pt idx="23">
                  <c:v>Taliansko</c:v>
                </c:pt>
                <c:pt idx="24">
                  <c:v>Portugalsko</c:v>
                </c:pt>
                <c:pt idx="25">
                  <c:v>Malta</c:v>
                </c:pt>
                <c:pt idx="26">
                  <c:v>Rumunsko</c:v>
                </c:pt>
                <c:pt idx="27">
                  <c:v>Španielsko</c:v>
                </c:pt>
              </c:strCache>
            </c:strRef>
          </c:cat>
          <c:val>
            <c:numRef>
              <c:f>'Child poverty (2018)'!$I$3:$I$30</c:f>
              <c:numCache>
                <c:formatCode>General</c:formatCode>
                <c:ptCount val="28"/>
                <c:pt idx="0">
                  <c:v>40.700000000000003</c:v>
                </c:pt>
                <c:pt idx="1">
                  <c:v>30.1</c:v>
                </c:pt>
                <c:pt idx="2">
                  <c:v>40.4</c:v>
                </c:pt>
                <c:pt idx="3">
                  <c:v>31.2</c:v>
                </c:pt>
                <c:pt idx="4">
                  <c:v>31.5</c:v>
                </c:pt>
                <c:pt idx="5">
                  <c:v>24.3</c:v>
                </c:pt>
                <c:pt idx="6">
                  <c:v>23</c:v>
                </c:pt>
                <c:pt idx="7">
                  <c:v>39.1</c:v>
                </c:pt>
                <c:pt idx="8">
                  <c:v>30</c:v>
                </c:pt>
                <c:pt idx="9">
                  <c:v>36.5</c:v>
                </c:pt>
                <c:pt idx="10">
                  <c:v>35.1</c:v>
                </c:pt>
                <c:pt idx="11">
                  <c:v>18.8</c:v>
                </c:pt>
                <c:pt idx="12">
                  <c:v>29.8</c:v>
                </c:pt>
                <c:pt idx="13">
                  <c:v>41.3</c:v>
                </c:pt>
                <c:pt idx="14">
                  <c:v>35.9</c:v>
                </c:pt>
                <c:pt idx="15">
                  <c:v>21</c:v>
                </c:pt>
                <c:pt idx="16">
                  <c:v>25.6</c:v>
                </c:pt>
                <c:pt idx="17">
                  <c:v>29.9</c:v>
                </c:pt>
                <c:pt idx="18">
                  <c:v>35</c:v>
                </c:pt>
                <c:pt idx="19">
                  <c:v>28.1</c:v>
                </c:pt>
                <c:pt idx="20">
                  <c:v>30.6</c:v>
                </c:pt>
                <c:pt idx="21">
                  <c:v>28.4</c:v>
                </c:pt>
                <c:pt idx="22">
                  <c:v>37.6</c:v>
                </c:pt>
                <c:pt idx="23">
                  <c:v>35.700000000000003</c:v>
                </c:pt>
                <c:pt idx="24">
                  <c:v>24.9</c:v>
                </c:pt>
                <c:pt idx="25">
                  <c:v>28.4</c:v>
                </c:pt>
                <c:pt idx="26">
                  <c:v>40</c:v>
                </c:pt>
                <c:pt idx="27">
                  <c:v>32</c:v>
                </c:pt>
              </c:numCache>
            </c:numRef>
          </c:val>
          <c:smooth val="0"/>
          <c:extLst xmlns:c16r2="http://schemas.microsoft.com/office/drawing/2015/06/chart">
            <c:ext xmlns:c16="http://schemas.microsoft.com/office/drawing/2014/chart" uri="{C3380CC4-5D6E-409C-BE32-E72D297353CC}">
              <c16:uniqueId val="{00000001-E50C-4A6F-BF31-E34AE029D2B6}"/>
            </c:ext>
          </c:extLst>
        </c:ser>
        <c:ser>
          <c:idx val="1"/>
          <c:order val="1"/>
          <c:tx>
            <c:strRef>
              <c:f>'Child poverty (2018)'!$J$2</c:f>
              <c:strCache>
                <c:ptCount val="1"/>
                <c:pt idx="0">
                  <c:v>Po transferoch</c:v>
                </c:pt>
              </c:strCache>
            </c:strRef>
          </c:tx>
          <c:spPr>
            <a:ln w="28575" cap="rnd">
              <a:noFill/>
              <a:round/>
            </a:ln>
            <a:effectLst/>
          </c:spPr>
          <c:marker>
            <c:symbol val="circle"/>
            <c:size val="5"/>
            <c:spPr>
              <a:solidFill>
                <a:schemeClr val="accent5">
                  <a:lumMod val="75000"/>
                </a:schemeClr>
              </a:solidFill>
              <a:ln w="9525">
                <a:solidFill>
                  <a:schemeClr val="accent5">
                    <a:lumMod val="75000"/>
                  </a:schemeClr>
                </a:solidFill>
              </a:ln>
              <a:effectLst/>
            </c:spPr>
          </c:marker>
          <c:cat>
            <c:strRef>
              <c:f>'Child poverty (2018)'!$H$3:$H$30</c:f>
              <c:strCache>
                <c:ptCount val="28"/>
                <c:pt idx="0">
                  <c:v>Maďarsko</c:v>
                </c:pt>
                <c:pt idx="1">
                  <c:v>Fínsko</c:v>
                </c:pt>
                <c:pt idx="2">
                  <c:v>Írsko</c:v>
                </c:pt>
                <c:pt idx="3">
                  <c:v>Poľsko</c:v>
                </c:pt>
                <c:pt idx="4">
                  <c:v>Nemecko</c:v>
                </c:pt>
                <c:pt idx="5">
                  <c:v>Slovinsko</c:v>
                </c:pt>
                <c:pt idx="6">
                  <c:v>Dánsko</c:v>
                </c:pt>
                <c:pt idx="7">
                  <c:v>Rakúsko</c:v>
                </c:pt>
                <c:pt idx="8">
                  <c:v>Estónsko</c:v>
                </c:pt>
                <c:pt idx="9">
                  <c:v>Francúzsko</c:v>
                </c:pt>
                <c:pt idx="10">
                  <c:v>Švédsko</c:v>
                </c:pt>
                <c:pt idx="11">
                  <c:v>Česká Rep.</c:v>
                </c:pt>
                <c:pt idx="12">
                  <c:v>Cyprus</c:v>
                </c:pt>
                <c:pt idx="13">
                  <c:v>Spojené Kráľ.</c:v>
                </c:pt>
                <c:pt idx="14">
                  <c:v>Luxembursko</c:v>
                </c:pt>
                <c:pt idx="15">
                  <c:v>Holandsko</c:v>
                </c:pt>
                <c:pt idx="16">
                  <c:v>Lotyšsko</c:v>
                </c:pt>
                <c:pt idx="17">
                  <c:v>Belgicko</c:v>
                </c:pt>
                <c:pt idx="18">
                  <c:v>Litva</c:v>
                </c:pt>
                <c:pt idx="19">
                  <c:v>Chorvátsko</c:v>
                </c:pt>
                <c:pt idx="20">
                  <c:v>Grécko</c:v>
                </c:pt>
                <c:pt idx="21">
                  <c:v>Slovensko</c:v>
                </c:pt>
                <c:pt idx="22">
                  <c:v>Bulharsko</c:v>
                </c:pt>
                <c:pt idx="23">
                  <c:v>Taliansko</c:v>
                </c:pt>
                <c:pt idx="24">
                  <c:v>Portugalsko</c:v>
                </c:pt>
                <c:pt idx="25">
                  <c:v>Malta</c:v>
                </c:pt>
                <c:pt idx="26">
                  <c:v>Rumunsko</c:v>
                </c:pt>
                <c:pt idx="27">
                  <c:v>Španielsko</c:v>
                </c:pt>
              </c:strCache>
            </c:strRef>
          </c:cat>
          <c:val>
            <c:numRef>
              <c:f>'Child poverty (2018)'!$J$3:$J$30</c:f>
              <c:numCache>
                <c:formatCode>General</c:formatCode>
                <c:ptCount val="28"/>
                <c:pt idx="0">
                  <c:v>12.9</c:v>
                </c:pt>
                <c:pt idx="1">
                  <c:v>10.5</c:v>
                </c:pt>
                <c:pt idx="2">
                  <c:v>14.8</c:v>
                </c:pt>
                <c:pt idx="3">
                  <c:v>12.4</c:v>
                </c:pt>
                <c:pt idx="4">
                  <c:v>14.4</c:v>
                </c:pt>
                <c:pt idx="5">
                  <c:v>11.9</c:v>
                </c:pt>
                <c:pt idx="6">
                  <c:v>11.3</c:v>
                </c:pt>
                <c:pt idx="7">
                  <c:v>19.5</c:v>
                </c:pt>
                <c:pt idx="8">
                  <c:v>15</c:v>
                </c:pt>
                <c:pt idx="9">
                  <c:v>19.399999999999999</c:v>
                </c:pt>
                <c:pt idx="10">
                  <c:v>19.399999999999999</c:v>
                </c:pt>
                <c:pt idx="11">
                  <c:v>10.7</c:v>
                </c:pt>
                <c:pt idx="12">
                  <c:v>17.100000000000001</c:v>
                </c:pt>
                <c:pt idx="13">
                  <c:v>23.9</c:v>
                </c:pt>
                <c:pt idx="14">
                  <c:v>22</c:v>
                </c:pt>
                <c:pt idx="15">
                  <c:v>13</c:v>
                </c:pt>
                <c:pt idx="16">
                  <c:v>16.2</c:v>
                </c:pt>
                <c:pt idx="17">
                  <c:v>20.2</c:v>
                </c:pt>
                <c:pt idx="18">
                  <c:v>23.9</c:v>
                </c:pt>
                <c:pt idx="19">
                  <c:v>19.2</c:v>
                </c:pt>
                <c:pt idx="20">
                  <c:v>21.7</c:v>
                </c:pt>
                <c:pt idx="21">
                  <c:v>20.2</c:v>
                </c:pt>
                <c:pt idx="22">
                  <c:v>26.8</c:v>
                </c:pt>
                <c:pt idx="23">
                  <c:v>26.3</c:v>
                </c:pt>
                <c:pt idx="24">
                  <c:v>18.5</c:v>
                </c:pt>
                <c:pt idx="25">
                  <c:v>21.2</c:v>
                </c:pt>
                <c:pt idx="26">
                  <c:v>31.8</c:v>
                </c:pt>
                <c:pt idx="27">
                  <c:v>26.2</c:v>
                </c:pt>
              </c:numCache>
            </c:numRef>
          </c:val>
          <c:smooth val="0"/>
          <c:extLst xmlns:c16r2="http://schemas.microsoft.com/office/drawing/2015/06/chart">
            <c:ext xmlns:c16="http://schemas.microsoft.com/office/drawing/2014/chart" uri="{C3380CC4-5D6E-409C-BE32-E72D297353CC}">
              <c16:uniqueId val="{00000002-E50C-4A6F-BF31-E34AE029D2B6}"/>
            </c:ext>
          </c:extLst>
        </c:ser>
        <c:ser>
          <c:idx val="3"/>
          <c:order val="3"/>
          <c:tx>
            <c:strRef>
              <c:f>'Child poverty (2018)'!$L$2</c:f>
              <c:strCache>
                <c:ptCount val="1"/>
              </c:strCache>
            </c:strRef>
          </c:tx>
          <c:spPr>
            <a:ln w="12700" cap="rnd">
              <a:solidFill>
                <a:schemeClr val="accent1"/>
              </a:solidFill>
              <a:prstDash val="sysDash"/>
              <a:round/>
            </a:ln>
            <a:effectLst/>
          </c:spPr>
          <c:marker>
            <c:symbol val="none"/>
          </c:marker>
          <c:cat>
            <c:strRef>
              <c:f>'Child poverty (2018)'!$H$3:$H$30</c:f>
              <c:strCache>
                <c:ptCount val="28"/>
                <c:pt idx="0">
                  <c:v>Maďarsko</c:v>
                </c:pt>
                <c:pt idx="1">
                  <c:v>Fínsko</c:v>
                </c:pt>
                <c:pt idx="2">
                  <c:v>Írsko</c:v>
                </c:pt>
                <c:pt idx="3">
                  <c:v>Poľsko</c:v>
                </c:pt>
                <c:pt idx="4">
                  <c:v>Nemecko</c:v>
                </c:pt>
                <c:pt idx="5">
                  <c:v>Slovinsko</c:v>
                </c:pt>
                <c:pt idx="6">
                  <c:v>Dánsko</c:v>
                </c:pt>
                <c:pt idx="7">
                  <c:v>Rakúsko</c:v>
                </c:pt>
                <c:pt idx="8">
                  <c:v>Estónsko</c:v>
                </c:pt>
                <c:pt idx="9">
                  <c:v>Francúzsko</c:v>
                </c:pt>
                <c:pt idx="10">
                  <c:v>Švédsko</c:v>
                </c:pt>
                <c:pt idx="11">
                  <c:v>Česká Rep.</c:v>
                </c:pt>
                <c:pt idx="12">
                  <c:v>Cyprus</c:v>
                </c:pt>
                <c:pt idx="13">
                  <c:v>Spojené Kráľ.</c:v>
                </c:pt>
                <c:pt idx="14">
                  <c:v>Luxembursko</c:v>
                </c:pt>
                <c:pt idx="15">
                  <c:v>Holandsko</c:v>
                </c:pt>
                <c:pt idx="16">
                  <c:v>Lotyšsko</c:v>
                </c:pt>
                <c:pt idx="17">
                  <c:v>Belgicko</c:v>
                </c:pt>
                <c:pt idx="18">
                  <c:v>Litva</c:v>
                </c:pt>
                <c:pt idx="19">
                  <c:v>Chorvátsko</c:v>
                </c:pt>
                <c:pt idx="20">
                  <c:v>Grécko</c:v>
                </c:pt>
                <c:pt idx="21">
                  <c:v>Slovensko</c:v>
                </c:pt>
                <c:pt idx="22">
                  <c:v>Bulharsko</c:v>
                </c:pt>
                <c:pt idx="23">
                  <c:v>Taliansko</c:v>
                </c:pt>
                <c:pt idx="24">
                  <c:v>Portugalsko</c:v>
                </c:pt>
                <c:pt idx="25">
                  <c:v>Malta</c:v>
                </c:pt>
                <c:pt idx="26">
                  <c:v>Rumunsko</c:v>
                </c:pt>
                <c:pt idx="27">
                  <c:v>Španielsko</c:v>
                </c:pt>
              </c:strCache>
            </c:strRef>
          </c:cat>
          <c:val>
            <c:numRef>
              <c:f>'Child poverty (2018)'!$L$3:$L$30</c:f>
              <c:numCache>
                <c:formatCode>General</c:formatCode>
                <c:ptCount val="28"/>
                <c:pt idx="0">
                  <c:v>32.466666666666661</c:v>
                </c:pt>
                <c:pt idx="1">
                  <c:v>32.466666666666661</c:v>
                </c:pt>
                <c:pt idx="2">
                  <c:v>32.466666666666661</c:v>
                </c:pt>
                <c:pt idx="3">
                  <c:v>32.466666666666661</c:v>
                </c:pt>
                <c:pt idx="4">
                  <c:v>32.466666666666661</c:v>
                </c:pt>
                <c:pt idx="5">
                  <c:v>32.466666666666661</c:v>
                </c:pt>
                <c:pt idx="6">
                  <c:v>32.466666666666661</c:v>
                </c:pt>
                <c:pt idx="7">
                  <c:v>32.466666666666661</c:v>
                </c:pt>
                <c:pt idx="8">
                  <c:v>32.466666666666661</c:v>
                </c:pt>
                <c:pt idx="9">
                  <c:v>32.466666666666661</c:v>
                </c:pt>
                <c:pt idx="10">
                  <c:v>32.466666666666661</c:v>
                </c:pt>
                <c:pt idx="11">
                  <c:v>32.466666666666661</c:v>
                </c:pt>
                <c:pt idx="12">
                  <c:v>32.466666666666661</c:v>
                </c:pt>
                <c:pt idx="13">
                  <c:v>32.466666666666661</c:v>
                </c:pt>
                <c:pt idx="14">
                  <c:v>32.466666666666661</c:v>
                </c:pt>
                <c:pt idx="15">
                  <c:v>32.466666666666661</c:v>
                </c:pt>
                <c:pt idx="16">
                  <c:v>32.466666666666661</c:v>
                </c:pt>
                <c:pt idx="17">
                  <c:v>32.466666666666661</c:v>
                </c:pt>
                <c:pt idx="18">
                  <c:v>32.466666666666661</c:v>
                </c:pt>
                <c:pt idx="19">
                  <c:v>32.466666666666661</c:v>
                </c:pt>
                <c:pt idx="20">
                  <c:v>32.466666666666661</c:v>
                </c:pt>
                <c:pt idx="21">
                  <c:v>32.466666666666661</c:v>
                </c:pt>
                <c:pt idx="22">
                  <c:v>32.466666666666661</c:v>
                </c:pt>
                <c:pt idx="23">
                  <c:v>32.466666666666661</c:v>
                </c:pt>
                <c:pt idx="24">
                  <c:v>32.466666666666661</c:v>
                </c:pt>
                <c:pt idx="25">
                  <c:v>32.466666666666661</c:v>
                </c:pt>
                <c:pt idx="26">
                  <c:v>32.466666666666661</c:v>
                </c:pt>
                <c:pt idx="27">
                  <c:v>32.466666666666661</c:v>
                </c:pt>
              </c:numCache>
            </c:numRef>
          </c:val>
          <c:smooth val="0"/>
          <c:extLst xmlns:c16r2="http://schemas.microsoft.com/office/drawing/2015/06/chart">
            <c:ext xmlns:c16="http://schemas.microsoft.com/office/drawing/2014/chart" uri="{C3380CC4-5D6E-409C-BE32-E72D297353CC}">
              <c16:uniqueId val="{00000003-E50C-4A6F-BF31-E34AE029D2B6}"/>
            </c:ext>
          </c:extLst>
        </c:ser>
        <c:ser>
          <c:idx val="4"/>
          <c:order val="4"/>
          <c:tx>
            <c:strRef>
              <c:f>'Child poverty (2018)'!$M$2</c:f>
              <c:strCache>
                <c:ptCount val="1"/>
              </c:strCache>
            </c:strRef>
          </c:tx>
          <c:spPr>
            <a:ln w="12700" cap="rnd">
              <a:solidFill>
                <a:schemeClr val="accent5">
                  <a:lumMod val="75000"/>
                </a:schemeClr>
              </a:solidFill>
              <a:prstDash val="sysDash"/>
              <a:round/>
            </a:ln>
            <a:effectLst/>
          </c:spPr>
          <c:marker>
            <c:symbol val="none"/>
          </c:marker>
          <c:cat>
            <c:strRef>
              <c:f>'Child poverty (2018)'!$H$3:$H$30</c:f>
              <c:strCache>
                <c:ptCount val="28"/>
                <c:pt idx="0">
                  <c:v>Maďarsko</c:v>
                </c:pt>
                <c:pt idx="1">
                  <c:v>Fínsko</c:v>
                </c:pt>
                <c:pt idx="2">
                  <c:v>Írsko</c:v>
                </c:pt>
                <c:pt idx="3">
                  <c:v>Poľsko</c:v>
                </c:pt>
                <c:pt idx="4">
                  <c:v>Nemecko</c:v>
                </c:pt>
                <c:pt idx="5">
                  <c:v>Slovinsko</c:v>
                </c:pt>
                <c:pt idx="6">
                  <c:v>Dánsko</c:v>
                </c:pt>
                <c:pt idx="7">
                  <c:v>Rakúsko</c:v>
                </c:pt>
                <c:pt idx="8">
                  <c:v>Estónsko</c:v>
                </c:pt>
                <c:pt idx="9">
                  <c:v>Francúzsko</c:v>
                </c:pt>
                <c:pt idx="10">
                  <c:v>Švédsko</c:v>
                </c:pt>
                <c:pt idx="11">
                  <c:v>Česká Rep.</c:v>
                </c:pt>
                <c:pt idx="12">
                  <c:v>Cyprus</c:v>
                </c:pt>
                <c:pt idx="13">
                  <c:v>Spojené Kráľ.</c:v>
                </c:pt>
                <c:pt idx="14">
                  <c:v>Luxembursko</c:v>
                </c:pt>
                <c:pt idx="15">
                  <c:v>Holandsko</c:v>
                </c:pt>
                <c:pt idx="16">
                  <c:v>Lotyšsko</c:v>
                </c:pt>
                <c:pt idx="17">
                  <c:v>Belgicko</c:v>
                </c:pt>
                <c:pt idx="18">
                  <c:v>Litva</c:v>
                </c:pt>
                <c:pt idx="19">
                  <c:v>Chorvátsko</c:v>
                </c:pt>
                <c:pt idx="20">
                  <c:v>Grécko</c:v>
                </c:pt>
                <c:pt idx="21">
                  <c:v>Slovensko</c:v>
                </c:pt>
                <c:pt idx="22">
                  <c:v>Bulharsko</c:v>
                </c:pt>
                <c:pt idx="23">
                  <c:v>Taliansko</c:v>
                </c:pt>
                <c:pt idx="24">
                  <c:v>Portugalsko</c:v>
                </c:pt>
                <c:pt idx="25">
                  <c:v>Malta</c:v>
                </c:pt>
                <c:pt idx="26">
                  <c:v>Rumunsko</c:v>
                </c:pt>
                <c:pt idx="27">
                  <c:v>Španielsko</c:v>
                </c:pt>
              </c:strCache>
            </c:strRef>
          </c:cat>
          <c:val>
            <c:numRef>
              <c:f>'Child poverty (2018)'!$M$3:$M$30</c:f>
              <c:numCache>
                <c:formatCode>General</c:formatCode>
                <c:ptCount val="28"/>
                <c:pt idx="0">
                  <c:v>18.740000000000002</c:v>
                </c:pt>
                <c:pt idx="1">
                  <c:v>18.740000000000002</c:v>
                </c:pt>
                <c:pt idx="2">
                  <c:v>18.740000000000002</c:v>
                </c:pt>
                <c:pt idx="3">
                  <c:v>18.740000000000002</c:v>
                </c:pt>
                <c:pt idx="4">
                  <c:v>18.740000000000002</c:v>
                </c:pt>
                <c:pt idx="5">
                  <c:v>18.740000000000002</c:v>
                </c:pt>
                <c:pt idx="6">
                  <c:v>18.740000000000002</c:v>
                </c:pt>
                <c:pt idx="7">
                  <c:v>18.740000000000002</c:v>
                </c:pt>
                <c:pt idx="8">
                  <c:v>18.740000000000002</c:v>
                </c:pt>
                <c:pt idx="9">
                  <c:v>18.740000000000002</c:v>
                </c:pt>
                <c:pt idx="10">
                  <c:v>18.740000000000002</c:v>
                </c:pt>
                <c:pt idx="11">
                  <c:v>18.740000000000002</c:v>
                </c:pt>
                <c:pt idx="12">
                  <c:v>18.740000000000002</c:v>
                </c:pt>
                <c:pt idx="13">
                  <c:v>18.740000000000002</c:v>
                </c:pt>
                <c:pt idx="14">
                  <c:v>18.740000000000002</c:v>
                </c:pt>
                <c:pt idx="15">
                  <c:v>18.740000000000002</c:v>
                </c:pt>
                <c:pt idx="16">
                  <c:v>18.740000000000002</c:v>
                </c:pt>
                <c:pt idx="17">
                  <c:v>18.740000000000002</c:v>
                </c:pt>
                <c:pt idx="18">
                  <c:v>18.740000000000002</c:v>
                </c:pt>
                <c:pt idx="19">
                  <c:v>18.740000000000002</c:v>
                </c:pt>
                <c:pt idx="20">
                  <c:v>18.740000000000002</c:v>
                </c:pt>
                <c:pt idx="21">
                  <c:v>18.740000000000002</c:v>
                </c:pt>
                <c:pt idx="22">
                  <c:v>18.740000000000002</c:v>
                </c:pt>
                <c:pt idx="23">
                  <c:v>18.740000000000002</c:v>
                </c:pt>
                <c:pt idx="24">
                  <c:v>18.740000000000002</c:v>
                </c:pt>
                <c:pt idx="25">
                  <c:v>18.740000000000002</c:v>
                </c:pt>
                <c:pt idx="26">
                  <c:v>18.740000000000002</c:v>
                </c:pt>
                <c:pt idx="27">
                  <c:v>18.740000000000002</c:v>
                </c:pt>
              </c:numCache>
            </c:numRef>
          </c:val>
          <c:smooth val="0"/>
          <c:extLst xmlns:c16r2="http://schemas.microsoft.com/office/drawing/2015/06/chart">
            <c:ext xmlns:c16="http://schemas.microsoft.com/office/drawing/2014/chart" uri="{C3380CC4-5D6E-409C-BE32-E72D297353CC}">
              <c16:uniqueId val="{00000004-E50C-4A6F-BF31-E34AE029D2B6}"/>
            </c:ext>
          </c:extLst>
        </c:ser>
        <c:ser>
          <c:idx val="5"/>
          <c:order val="5"/>
          <c:tx>
            <c:strRef>
              <c:f>'Child poverty (2018)'!$N$2</c:f>
              <c:strCache>
                <c:ptCount val="1"/>
              </c:strCache>
            </c:strRef>
          </c:tx>
          <c:spPr>
            <a:ln w="12700" cap="rnd">
              <a:solidFill>
                <a:schemeClr val="accent3"/>
              </a:solidFill>
              <a:prstDash val="sysDash"/>
              <a:round/>
            </a:ln>
            <a:effectLst/>
          </c:spPr>
          <c:marker>
            <c:symbol val="none"/>
          </c:marker>
          <c:cat>
            <c:strRef>
              <c:f>'Child poverty (2018)'!$H$3:$H$30</c:f>
              <c:strCache>
                <c:ptCount val="28"/>
                <c:pt idx="0">
                  <c:v>Maďarsko</c:v>
                </c:pt>
                <c:pt idx="1">
                  <c:v>Fínsko</c:v>
                </c:pt>
                <c:pt idx="2">
                  <c:v>Írsko</c:v>
                </c:pt>
                <c:pt idx="3">
                  <c:v>Poľsko</c:v>
                </c:pt>
                <c:pt idx="4">
                  <c:v>Nemecko</c:v>
                </c:pt>
                <c:pt idx="5">
                  <c:v>Slovinsko</c:v>
                </c:pt>
                <c:pt idx="6">
                  <c:v>Dánsko</c:v>
                </c:pt>
                <c:pt idx="7">
                  <c:v>Rakúsko</c:v>
                </c:pt>
                <c:pt idx="8">
                  <c:v>Estónsko</c:v>
                </c:pt>
                <c:pt idx="9">
                  <c:v>Francúzsko</c:v>
                </c:pt>
                <c:pt idx="10">
                  <c:v>Švédsko</c:v>
                </c:pt>
                <c:pt idx="11">
                  <c:v>Česká Rep.</c:v>
                </c:pt>
                <c:pt idx="12">
                  <c:v>Cyprus</c:v>
                </c:pt>
                <c:pt idx="13">
                  <c:v>Spojené Kráľ.</c:v>
                </c:pt>
                <c:pt idx="14">
                  <c:v>Luxembursko</c:v>
                </c:pt>
                <c:pt idx="15">
                  <c:v>Holandsko</c:v>
                </c:pt>
                <c:pt idx="16">
                  <c:v>Lotyšsko</c:v>
                </c:pt>
                <c:pt idx="17">
                  <c:v>Belgicko</c:v>
                </c:pt>
                <c:pt idx="18">
                  <c:v>Litva</c:v>
                </c:pt>
                <c:pt idx="19">
                  <c:v>Chorvátsko</c:v>
                </c:pt>
                <c:pt idx="20">
                  <c:v>Grécko</c:v>
                </c:pt>
                <c:pt idx="21">
                  <c:v>Slovensko</c:v>
                </c:pt>
                <c:pt idx="22">
                  <c:v>Bulharsko</c:v>
                </c:pt>
                <c:pt idx="23">
                  <c:v>Taliansko</c:v>
                </c:pt>
                <c:pt idx="24">
                  <c:v>Portugalsko</c:v>
                </c:pt>
                <c:pt idx="25">
                  <c:v>Malta</c:v>
                </c:pt>
                <c:pt idx="26">
                  <c:v>Rumunsko</c:v>
                </c:pt>
                <c:pt idx="27">
                  <c:v>Španielsko</c:v>
                </c:pt>
              </c:strCache>
            </c:strRef>
          </c:cat>
          <c:val>
            <c:numRef>
              <c:f>'Child poverty (2018)'!$N$3:$N$30</c:f>
              <c:numCache>
                <c:formatCode>General</c:formatCode>
                <c:ptCount val="28"/>
                <c:pt idx="0">
                  <c:v>-41.731591083031319</c:v>
                </c:pt>
                <c:pt idx="1">
                  <c:v>-41.731591083031319</c:v>
                </c:pt>
                <c:pt idx="2">
                  <c:v>-41.731591083031319</c:v>
                </c:pt>
                <c:pt idx="3">
                  <c:v>-41.731591083031319</c:v>
                </c:pt>
                <c:pt idx="4">
                  <c:v>-41.731591083031319</c:v>
                </c:pt>
                <c:pt idx="5">
                  <c:v>-41.731591083031319</c:v>
                </c:pt>
                <c:pt idx="6">
                  <c:v>-41.731591083031319</c:v>
                </c:pt>
                <c:pt idx="7">
                  <c:v>-41.731591083031319</c:v>
                </c:pt>
                <c:pt idx="8">
                  <c:v>-41.731591083031319</c:v>
                </c:pt>
                <c:pt idx="9">
                  <c:v>-41.731591083031319</c:v>
                </c:pt>
                <c:pt idx="10">
                  <c:v>-41.731591083031319</c:v>
                </c:pt>
                <c:pt idx="11">
                  <c:v>-41.731591083031319</c:v>
                </c:pt>
                <c:pt idx="12">
                  <c:v>-41.731591083031319</c:v>
                </c:pt>
                <c:pt idx="13">
                  <c:v>-41.731591083031319</c:v>
                </c:pt>
                <c:pt idx="14">
                  <c:v>-41.731591083031319</c:v>
                </c:pt>
                <c:pt idx="15">
                  <c:v>-41.731591083031319</c:v>
                </c:pt>
                <c:pt idx="16">
                  <c:v>-41.731591083031319</c:v>
                </c:pt>
                <c:pt idx="17">
                  <c:v>-41.731591083031319</c:v>
                </c:pt>
                <c:pt idx="18">
                  <c:v>-41.731591083031319</c:v>
                </c:pt>
                <c:pt idx="19">
                  <c:v>-41.731591083031319</c:v>
                </c:pt>
                <c:pt idx="20">
                  <c:v>-41.731591083031319</c:v>
                </c:pt>
                <c:pt idx="21">
                  <c:v>-41.731591083031319</c:v>
                </c:pt>
                <c:pt idx="22">
                  <c:v>-41.731591083031319</c:v>
                </c:pt>
                <c:pt idx="23">
                  <c:v>-41.731591083031319</c:v>
                </c:pt>
                <c:pt idx="24">
                  <c:v>-41.731591083031319</c:v>
                </c:pt>
                <c:pt idx="25">
                  <c:v>-41.731591083031319</c:v>
                </c:pt>
                <c:pt idx="26">
                  <c:v>-41.731591083031319</c:v>
                </c:pt>
                <c:pt idx="27">
                  <c:v>-41.731591083031319</c:v>
                </c:pt>
              </c:numCache>
            </c:numRef>
          </c:val>
          <c:smooth val="0"/>
          <c:extLst xmlns:c16r2="http://schemas.microsoft.com/office/drawing/2015/06/chart">
            <c:ext xmlns:c16="http://schemas.microsoft.com/office/drawing/2014/chart" uri="{C3380CC4-5D6E-409C-BE32-E72D297353CC}">
              <c16:uniqueId val="{00000005-E50C-4A6F-BF31-E34AE029D2B6}"/>
            </c:ext>
          </c:extLst>
        </c:ser>
        <c:dLbls>
          <c:showLegendKey val="0"/>
          <c:showVal val="0"/>
          <c:showCatName val="0"/>
          <c:showSerName val="0"/>
          <c:showPercent val="0"/>
          <c:showBubbleSize val="0"/>
        </c:dLbls>
        <c:marker val="1"/>
        <c:smooth val="0"/>
        <c:axId val="224148920"/>
        <c:axId val="224149312"/>
      </c:lineChart>
      <c:catAx>
        <c:axId val="22414892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4149312"/>
        <c:crosses val="autoZero"/>
        <c:auto val="1"/>
        <c:lblAlgn val="ctr"/>
        <c:lblOffset val="100"/>
        <c:tickLblSkip val="1"/>
        <c:noMultiLvlLbl val="0"/>
      </c:catAx>
      <c:valAx>
        <c:axId val="224149312"/>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4148920"/>
        <c:crosses val="autoZero"/>
        <c:crossBetween val="between"/>
      </c:valAx>
      <c:spPr>
        <a:noFill/>
        <a:ln>
          <a:noFill/>
        </a:ln>
        <a:effectLst/>
      </c:spPr>
    </c:plotArea>
    <c:legend>
      <c:legendPos val="b"/>
      <c:layout>
        <c:manualLayout>
          <c:xMode val="edge"/>
          <c:yMode val="edge"/>
          <c:x val="1.7038722265495462E-2"/>
          <c:y val="1.7360017497812821E-2"/>
          <c:w val="0.97475070758172855"/>
          <c:h val="7.523257509477981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userShapes r:id="rId4"/>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79291718969911"/>
          <c:y val="0.10648148148148148"/>
          <c:w val="0.83106698619194341"/>
          <c:h val="0.79595654709827934"/>
        </c:manualLayout>
      </c:layout>
      <c:barChart>
        <c:barDir val="col"/>
        <c:grouping val="clustered"/>
        <c:varyColors val="0"/>
        <c:ser>
          <c:idx val="0"/>
          <c:order val="0"/>
          <c:tx>
            <c:strRef>
              <c:f>'Child pov gap (2018)'!$B$1</c:f>
              <c:strCache>
                <c:ptCount val="1"/>
                <c:pt idx="0">
                  <c:v>Slovensko</c:v>
                </c:pt>
              </c:strCache>
            </c:strRef>
          </c:tx>
          <c:spPr>
            <a:solidFill>
              <a:schemeClr val="accent1"/>
            </a:solidFill>
            <a:ln>
              <a:noFill/>
            </a:ln>
            <a:effectLst/>
          </c:spPr>
          <c:invertIfNegative val="0"/>
          <c:cat>
            <c:strRef>
              <c:f>'Child pov gap (2018)'!$A$2:$A$4</c:f>
              <c:strCache>
                <c:ptCount val="3"/>
                <c:pt idx="0">
                  <c:v>0 až 5 rokov</c:v>
                </c:pt>
                <c:pt idx="1">
                  <c:v>6 až 11 rokov</c:v>
                </c:pt>
                <c:pt idx="2">
                  <c:v>12 až 17 rokov</c:v>
                </c:pt>
              </c:strCache>
            </c:strRef>
          </c:cat>
          <c:val>
            <c:numRef>
              <c:f>'Child pov gap (2018)'!$B$2:$B$4</c:f>
              <c:numCache>
                <c:formatCode>0.0</c:formatCode>
                <c:ptCount val="3"/>
                <c:pt idx="0">
                  <c:v>25.1</c:v>
                </c:pt>
                <c:pt idx="1">
                  <c:v>26.1</c:v>
                </c:pt>
                <c:pt idx="2">
                  <c:v>26.4</c:v>
                </c:pt>
              </c:numCache>
            </c:numRef>
          </c:val>
          <c:extLst xmlns:c16r2="http://schemas.microsoft.com/office/drawing/2015/06/chart">
            <c:ext xmlns:c16="http://schemas.microsoft.com/office/drawing/2014/chart" uri="{C3380CC4-5D6E-409C-BE32-E72D297353CC}">
              <c16:uniqueId val="{00000000-0BD3-42B6-B49F-2E25D2554519}"/>
            </c:ext>
          </c:extLst>
        </c:ser>
        <c:ser>
          <c:idx val="1"/>
          <c:order val="1"/>
          <c:tx>
            <c:strRef>
              <c:f>'Child pov gap (2018)'!$C$1</c:f>
              <c:strCache>
                <c:ptCount val="1"/>
                <c:pt idx="0">
                  <c:v>EÚ15</c:v>
                </c:pt>
              </c:strCache>
            </c:strRef>
          </c:tx>
          <c:spPr>
            <a:solidFill>
              <a:schemeClr val="accent5">
                <a:lumMod val="50000"/>
              </a:schemeClr>
            </a:solidFill>
            <a:ln>
              <a:noFill/>
            </a:ln>
            <a:effectLst/>
          </c:spPr>
          <c:invertIfNegative val="0"/>
          <c:cat>
            <c:strRef>
              <c:f>'Child pov gap (2018)'!$A$2:$A$4</c:f>
              <c:strCache>
                <c:ptCount val="3"/>
                <c:pt idx="0">
                  <c:v>0 až 5 rokov</c:v>
                </c:pt>
                <c:pt idx="1">
                  <c:v>6 až 11 rokov</c:v>
                </c:pt>
                <c:pt idx="2">
                  <c:v>12 až 17 rokov</c:v>
                </c:pt>
              </c:strCache>
            </c:strRef>
          </c:cat>
          <c:val>
            <c:numRef>
              <c:f>'Child pov gap (2018)'!$C$2:$C$4</c:f>
              <c:numCache>
                <c:formatCode>0.0</c:formatCode>
                <c:ptCount val="3"/>
                <c:pt idx="0">
                  <c:v>21.453333333333333</c:v>
                </c:pt>
                <c:pt idx="1">
                  <c:v>21.606666666666666</c:v>
                </c:pt>
                <c:pt idx="2">
                  <c:v>22.386666666666663</c:v>
                </c:pt>
              </c:numCache>
            </c:numRef>
          </c:val>
          <c:extLst xmlns:c16r2="http://schemas.microsoft.com/office/drawing/2015/06/chart">
            <c:ext xmlns:c16="http://schemas.microsoft.com/office/drawing/2014/chart" uri="{C3380CC4-5D6E-409C-BE32-E72D297353CC}">
              <c16:uniqueId val="{00000001-0BD3-42B6-B49F-2E25D2554519}"/>
            </c:ext>
          </c:extLst>
        </c:ser>
        <c:ser>
          <c:idx val="2"/>
          <c:order val="2"/>
          <c:tx>
            <c:strRef>
              <c:f>'Child pov gap (2018)'!$D$1</c:f>
              <c:strCache>
                <c:ptCount val="1"/>
                <c:pt idx="0">
                  <c:v>ČR</c:v>
                </c:pt>
              </c:strCache>
            </c:strRef>
          </c:tx>
          <c:spPr>
            <a:solidFill>
              <a:schemeClr val="accent3"/>
            </a:solidFill>
            <a:ln>
              <a:noFill/>
            </a:ln>
            <a:effectLst/>
          </c:spPr>
          <c:invertIfNegative val="0"/>
          <c:cat>
            <c:strRef>
              <c:f>'Child pov gap (2018)'!$A$2:$A$4</c:f>
              <c:strCache>
                <c:ptCount val="3"/>
                <c:pt idx="0">
                  <c:v>0 až 5 rokov</c:v>
                </c:pt>
                <c:pt idx="1">
                  <c:v>6 až 11 rokov</c:v>
                </c:pt>
                <c:pt idx="2">
                  <c:v>12 až 17 rokov</c:v>
                </c:pt>
              </c:strCache>
            </c:strRef>
          </c:cat>
          <c:val>
            <c:numRef>
              <c:f>'Child pov gap (2018)'!$D$2:$D$4</c:f>
              <c:numCache>
                <c:formatCode>0.0</c:formatCode>
                <c:ptCount val="3"/>
                <c:pt idx="0">
                  <c:v>17.7</c:v>
                </c:pt>
                <c:pt idx="1">
                  <c:v>22.1</c:v>
                </c:pt>
                <c:pt idx="2">
                  <c:v>17.8</c:v>
                </c:pt>
              </c:numCache>
            </c:numRef>
          </c:val>
          <c:extLst xmlns:c16r2="http://schemas.microsoft.com/office/drawing/2015/06/chart">
            <c:ext xmlns:c16="http://schemas.microsoft.com/office/drawing/2014/chart" uri="{C3380CC4-5D6E-409C-BE32-E72D297353CC}">
              <c16:uniqueId val="{00000002-0BD3-42B6-B49F-2E25D2554519}"/>
            </c:ext>
          </c:extLst>
        </c:ser>
        <c:ser>
          <c:idx val="3"/>
          <c:order val="3"/>
          <c:tx>
            <c:strRef>
              <c:f>'Child pov gap (2018)'!$E$1</c:f>
              <c:strCache>
                <c:ptCount val="1"/>
                <c:pt idx="0">
                  <c:v>Poľsko</c:v>
                </c:pt>
              </c:strCache>
            </c:strRef>
          </c:tx>
          <c:spPr>
            <a:solidFill>
              <a:schemeClr val="accent3">
                <a:lumMod val="75000"/>
              </a:schemeClr>
            </a:solidFill>
            <a:ln>
              <a:noFill/>
            </a:ln>
            <a:effectLst/>
          </c:spPr>
          <c:invertIfNegative val="0"/>
          <c:cat>
            <c:strRef>
              <c:f>'Child pov gap (2018)'!$A$2:$A$4</c:f>
              <c:strCache>
                <c:ptCount val="3"/>
                <c:pt idx="0">
                  <c:v>0 až 5 rokov</c:v>
                </c:pt>
                <c:pt idx="1">
                  <c:v>6 až 11 rokov</c:v>
                </c:pt>
                <c:pt idx="2">
                  <c:v>12 až 17 rokov</c:v>
                </c:pt>
              </c:strCache>
            </c:strRef>
          </c:cat>
          <c:val>
            <c:numRef>
              <c:f>'Child pov gap (2018)'!$E$2:$E$4</c:f>
              <c:numCache>
                <c:formatCode>General</c:formatCode>
                <c:ptCount val="3"/>
                <c:pt idx="0">
                  <c:v>19</c:v>
                </c:pt>
                <c:pt idx="1">
                  <c:v>20.3</c:v>
                </c:pt>
                <c:pt idx="2">
                  <c:v>19.899999999999999</c:v>
                </c:pt>
              </c:numCache>
            </c:numRef>
          </c:val>
        </c:ser>
        <c:dLbls>
          <c:showLegendKey val="0"/>
          <c:showVal val="0"/>
          <c:showCatName val="0"/>
          <c:showSerName val="0"/>
          <c:showPercent val="0"/>
          <c:showBubbleSize val="0"/>
        </c:dLbls>
        <c:gapWidth val="219"/>
        <c:overlap val="-27"/>
        <c:axId val="224150096"/>
        <c:axId val="224150488"/>
      </c:barChart>
      <c:catAx>
        <c:axId val="224150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4150488"/>
        <c:crosses val="autoZero"/>
        <c:auto val="1"/>
        <c:lblAlgn val="ctr"/>
        <c:lblOffset val="100"/>
        <c:noMultiLvlLbl val="0"/>
      </c:catAx>
      <c:valAx>
        <c:axId val="224150488"/>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4150096"/>
        <c:crosses val="autoZero"/>
        <c:crossBetween val="between"/>
      </c:valAx>
      <c:spPr>
        <a:noFill/>
        <a:ln>
          <a:noFill/>
        </a:ln>
        <a:effectLst/>
      </c:spPr>
    </c:plotArea>
    <c:legend>
      <c:legendPos val="b"/>
      <c:layout>
        <c:manualLayout>
          <c:xMode val="edge"/>
          <c:yMode val="edge"/>
          <c:x val="0.13077982407010838"/>
          <c:y val="0.12557815689705451"/>
          <c:w val="0.7651175611416775"/>
          <c:h val="7.448199183435404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userShapes r:id="rId4"/>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642886506656542E-2"/>
          <c:y val="0.15682925051035287"/>
          <c:w val="0.80222812509882047"/>
          <c:h val="0.68949001166520851"/>
        </c:manualLayout>
      </c:layout>
      <c:lineChart>
        <c:grouping val="standard"/>
        <c:varyColors val="0"/>
        <c:ser>
          <c:idx val="0"/>
          <c:order val="0"/>
          <c:tx>
            <c:strRef>
              <c:f>'Rodicovsky prispevok (2020)'!$L$2</c:f>
              <c:strCache>
                <c:ptCount val="1"/>
                <c:pt idx="0">
                  <c:v>Nárast % (ľavá os)</c:v>
                </c:pt>
              </c:strCache>
            </c:strRef>
          </c:tx>
          <c:spPr>
            <a:ln w="28575" cap="rnd">
              <a:solidFill>
                <a:schemeClr val="accent1"/>
              </a:solidFill>
              <a:round/>
            </a:ln>
            <a:effectLst/>
          </c:spPr>
          <c:marker>
            <c:symbol val="none"/>
          </c:marker>
          <c:cat>
            <c:numRef>
              <c:f>'Rodicovsky prispevok (2020)'!$A$3:$A$73</c:f>
              <c:numCache>
                <c:formatCode>General</c:formatCode>
                <c:ptCount val="7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numCache>
            </c:numRef>
          </c:cat>
          <c:val>
            <c:numRef>
              <c:f>'Rodicovsky prispevok (2020)'!$L$3:$L$73</c:f>
              <c:numCache>
                <c:formatCode>0.00</c:formatCode>
                <c:ptCount val="7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1.0511421063270854</c:v>
                </c:pt>
                <c:pt idx="19">
                  <c:v>2.5543041029766789</c:v>
                </c:pt>
                <c:pt idx="20">
                  <c:v>4.0424254552731798</c:v>
                </c:pt>
                <c:pt idx="21">
                  <c:v>5.5157307845479897</c:v>
                </c:pt>
                <c:pt idx="22">
                  <c:v>6.9744402615415257</c:v>
                </c:pt>
                <c:pt idx="23">
                  <c:v>8.4187697160883488</c:v>
                </c:pt>
                <c:pt idx="24">
                  <c:v>9.8489307435746696</c:v>
                </c:pt>
                <c:pt idx="25">
                  <c:v>11.265130808278023</c:v>
                </c:pt>
                <c:pt idx="26">
                  <c:v>12.66757334369537</c:v>
                </c:pt>
                <c:pt idx="27">
                  <c:v>14.056457849961346</c:v>
                </c:pt>
                <c:pt idx="28">
                  <c:v>15.431979988454891</c:v>
                </c:pt>
                <c:pt idx="29">
                  <c:v>16.794331673688244</c:v>
                </c:pt>
                <c:pt idx="30">
                  <c:v>18.143701162569094</c:v>
                </c:pt>
                <c:pt idx="31">
                  <c:v>19.480273141122929</c:v>
                </c:pt>
                <c:pt idx="32">
                  <c:v>20.804228808759696</c:v>
                </c:pt>
                <c:pt idx="33">
                  <c:v>22.115745960165366</c:v>
                </c:pt>
                <c:pt idx="34">
                  <c:v>23.414999064896215</c:v>
                </c:pt>
                <c:pt idx="35">
                  <c:v>24.702159344750573</c:v>
                </c:pt>
                <c:pt idx="36">
                  <c:v>25.977394848990198</c:v>
                </c:pt>
                <c:pt idx="37">
                  <c:v>27.240870527480652</c:v>
                </c:pt>
                <c:pt idx="38">
                  <c:v>28.492748301817517</c:v>
                </c:pt>
                <c:pt idx="39">
                  <c:v>29.733187134502927</c:v>
                </c:pt>
                <c:pt idx="40">
                  <c:v>30.962343096234314</c:v>
                </c:pt>
                <c:pt idx="41">
                  <c:v>32.180369431365463</c:v>
                </c:pt>
                <c:pt idx="42">
                  <c:v>33.387416621597275</c:v>
                </c:pt>
                <c:pt idx="43">
                  <c:v>34.583632447954059</c:v>
                </c:pt>
                <c:pt idx="44">
                  <c:v>35.76916205109881</c:v>
                </c:pt>
                <c:pt idx="45">
                  <c:v>36.944147990039156</c:v>
                </c:pt>
                <c:pt idx="46">
                  <c:v>38.108730299273972</c:v>
                </c:pt>
                <c:pt idx="47">
                  <c:v>39.263046544428782</c:v>
                </c:pt>
                <c:pt idx="48">
                  <c:v>40.407231876426209</c:v>
                </c:pt>
                <c:pt idx="49">
                  <c:v>41.541419084236296</c:v>
                </c:pt>
                <c:pt idx="50">
                  <c:v>42.665738646250226</c:v>
                </c:pt>
                <c:pt idx="51">
                  <c:v>43.78031878031878</c:v>
                </c:pt>
                <c:pt idx="52">
                  <c:v>44.885285492496131</c:v>
                </c:pt>
                <c:pt idx="53">
                  <c:v>45.980762624527657</c:v>
                </c:pt>
                <c:pt idx="54">
                  <c:v>45.77046957111375</c:v>
                </c:pt>
                <c:pt idx="55">
                  <c:v>45.007501250208357</c:v>
                </c:pt>
                <c:pt idx="56">
                  <c:v>44.269552385636992</c:v>
                </c:pt>
                <c:pt idx="57">
                  <c:v>43.555412163252136</c:v>
                </c:pt>
                <c:pt idx="58">
                  <c:v>42.863946658199723</c:v>
                </c:pt>
                <c:pt idx="59">
                  <c:v>42.194092827004212</c:v>
                </c:pt>
                <c:pt idx="60">
                  <c:v>41.544853054316057</c:v>
                </c:pt>
                <c:pt idx="61">
                  <c:v>40.915290195484168</c:v>
                </c:pt>
                <c:pt idx="62">
                  <c:v>40.304523063143762</c:v>
                </c:pt>
                <c:pt idx="63">
                  <c:v>39.711722312104712</c:v>
                </c:pt>
                <c:pt idx="64">
                  <c:v>39.136106682127838</c:v>
                </c:pt>
                <c:pt idx="65">
                  <c:v>38.576939562794685</c:v>
                </c:pt>
                <c:pt idx="66">
                  <c:v>38.033525848711093</c:v>
                </c:pt>
                <c:pt idx="67">
                  <c:v>37.505209056813449</c:v>
                </c:pt>
                <c:pt idx="68">
                  <c:v>36.991368680641187</c:v>
                </c:pt>
                <c:pt idx="69">
                  <c:v>36.491417759156654</c:v>
                </c:pt>
                <c:pt idx="70">
                  <c:v>36.004800640085357</c:v>
                </c:pt>
              </c:numCache>
            </c:numRef>
          </c:val>
          <c:smooth val="0"/>
          <c:extLst xmlns:c16r2="http://schemas.microsoft.com/office/drawing/2015/06/chart">
            <c:ext xmlns:c16="http://schemas.microsoft.com/office/drawing/2014/chart" uri="{C3380CC4-5D6E-409C-BE32-E72D297353CC}">
              <c16:uniqueId val="{00000000-913C-4332-8F96-994AE6C0C567}"/>
            </c:ext>
          </c:extLst>
        </c:ser>
        <c:dLbls>
          <c:showLegendKey val="0"/>
          <c:showVal val="0"/>
          <c:showCatName val="0"/>
          <c:showSerName val="0"/>
          <c:showPercent val="0"/>
          <c:showBubbleSize val="0"/>
        </c:dLbls>
        <c:marker val="1"/>
        <c:smooth val="0"/>
        <c:axId val="224151664"/>
        <c:axId val="224152056"/>
      </c:lineChart>
      <c:lineChart>
        <c:grouping val="standard"/>
        <c:varyColors val="0"/>
        <c:ser>
          <c:idx val="1"/>
          <c:order val="1"/>
          <c:tx>
            <c:strRef>
              <c:f>'Rodicovsky prispevok (2020)'!$M$2</c:f>
              <c:strCache>
                <c:ptCount val="1"/>
                <c:pt idx="0">
                  <c:v>Nárast eur (pravá os)</c:v>
                </c:pt>
              </c:strCache>
            </c:strRef>
          </c:tx>
          <c:spPr>
            <a:ln w="28575" cap="rnd">
              <a:solidFill>
                <a:schemeClr val="accent3"/>
              </a:solidFill>
              <a:round/>
            </a:ln>
            <a:effectLst/>
          </c:spPr>
          <c:marker>
            <c:symbol val="none"/>
          </c:marker>
          <c:val>
            <c:numRef>
              <c:f>'Rodicovsky prispevok (2020)'!$M$3:$M$73</c:f>
              <c:numCache>
                <c:formatCode>General</c:formatCode>
                <c:ptCount val="7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5.2000000000000455</c:v>
                </c:pt>
                <c:pt idx="19">
                  <c:v>12.700000000000045</c:v>
                </c:pt>
                <c:pt idx="20">
                  <c:v>20.200000000000045</c:v>
                </c:pt>
                <c:pt idx="21">
                  <c:v>27.700000000000045</c:v>
                </c:pt>
                <c:pt idx="22">
                  <c:v>35.200000000000045</c:v>
                </c:pt>
                <c:pt idx="23">
                  <c:v>42.700000000000045</c:v>
                </c:pt>
                <c:pt idx="24">
                  <c:v>50.200000000000045</c:v>
                </c:pt>
                <c:pt idx="25">
                  <c:v>57.700000000000045</c:v>
                </c:pt>
                <c:pt idx="26">
                  <c:v>65.200000000000045</c:v>
                </c:pt>
                <c:pt idx="27">
                  <c:v>72.700000000000045</c:v>
                </c:pt>
                <c:pt idx="28">
                  <c:v>80.200000000000045</c:v>
                </c:pt>
                <c:pt idx="29">
                  <c:v>87.700000000000045</c:v>
                </c:pt>
                <c:pt idx="30">
                  <c:v>95.200000000000045</c:v>
                </c:pt>
                <c:pt idx="31">
                  <c:v>102.70000000000005</c:v>
                </c:pt>
                <c:pt idx="32">
                  <c:v>110.20000000000005</c:v>
                </c:pt>
                <c:pt idx="33">
                  <c:v>117.70000000000005</c:v>
                </c:pt>
                <c:pt idx="34">
                  <c:v>125.20000000000005</c:v>
                </c:pt>
                <c:pt idx="35">
                  <c:v>132.70000000000005</c:v>
                </c:pt>
                <c:pt idx="36">
                  <c:v>140.20000000000005</c:v>
                </c:pt>
                <c:pt idx="37">
                  <c:v>147.70000000000005</c:v>
                </c:pt>
                <c:pt idx="38">
                  <c:v>155.20000000000005</c:v>
                </c:pt>
                <c:pt idx="39">
                  <c:v>162.70000000000005</c:v>
                </c:pt>
                <c:pt idx="40">
                  <c:v>170.20000000000005</c:v>
                </c:pt>
                <c:pt idx="41">
                  <c:v>177.70000000000005</c:v>
                </c:pt>
                <c:pt idx="42">
                  <c:v>185.20000000000005</c:v>
                </c:pt>
                <c:pt idx="43">
                  <c:v>192.70000000000005</c:v>
                </c:pt>
                <c:pt idx="44">
                  <c:v>200.20000000000005</c:v>
                </c:pt>
                <c:pt idx="45">
                  <c:v>207.70000000000005</c:v>
                </c:pt>
                <c:pt idx="46">
                  <c:v>215.20000000000005</c:v>
                </c:pt>
                <c:pt idx="47">
                  <c:v>222.70000000000005</c:v>
                </c:pt>
                <c:pt idx="48">
                  <c:v>230.20000000000005</c:v>
                </c:pt>
                <c:pt idx="49">
                  <c:v>237.70000000000005</c:v>
                </c:pt>
                <c:pt idx="50">
                  <c:v>245.20000000000005</c:v>
                </c:pt>
                <c:pt idx="51">
                  <c:v>252.70000000000005</c:v>
                </c:pt>
                <c:pt idx="52">
                  <c:v>260.20000000000005</c:v>
                </c:pt>
                <c:pt idx="53">
                  <c:v>267.70000000000005</c:v>
                </c:pt>
                <c:pt idx="54">
                  <c:v>270</c:v>
                </c:pt>
                <c:pt idx="55">
                  <c:v>270</c:v>
                </c:pt>
                <c:pt idx="56">
                  <c:v>270</c:v>
                </c:pt>
                <c:pt idx="57">
                  <c:v>270</c:v>
                </c:pt>
                <c:pt idx="58">
                  <c:v>270</c:v>
                </c:pt>
                <c:pt idx="59">
                  <c:v>270</c:v>
                </c:pt>
                <c:pt idx="60">
                  <c:v>270</c:v>
                </c:pt>
                <c:pt idx="61">
                  <c:v>270</c:v>
                </c:pt>
                <c:pt idx="62">
                  <c:v>270</c:v>
                </c:pt>
                <c:pt idx="63">
                  <c:v>270</c:v>
                </c:pt>
                <c:pt idx="64">
                  <c:v>270</c:v>
                </c:pt>
                <c:pt idx="65">
                  <c:v>270</c:v>
                </c:pt>
                <c:pt idx="66">
                  <c:v>270</c:v>
                </c:pt>
                <c:pt idx="67">
                  <c:v>270</c:v>
                </c:pt>
                <c:pt idx="68">
                  <c:v>270</c:v>
                </c:pt>
                <c:pt idx="69">
                  <c:v>270</c:v>
                </c:pt>
                <c:pt idx="70">
                  <c:v>270</c:v>
                </c:pt>
              </c:numCache>
            </c:numRef>
          </c:val>
          <c:smooth val="0"/>
          <c:extLst xmlns:c16r2="http://schemas.microsoft.com/office/drawing/2015/06/chart">
            <c:ext xmlns:c16="http://schemas.microsoft.com/office/drawing/2014/chart" uri="{C3380CC4-5D6E-409C-BE32-E72D297353CC}">
              <c16:uniqueId val="{00000000-1965-4AFE-8AC5-E35B8F766E01}"/>
            </c:ext>
          </c:extLst>
        </c:ser>
        <c:dLbls>
          <c:showLegendKey val="0"/>
          <c:showVal val="0"/>
          <c:showCatName val="0"/>
          <c:showSerName val="0"/>
          <c:showPercent val="0"/>
          <c:showBubbleSize val="0"/>
        </c:dLbls>
        <c:marker val="1"/>
        <c:smooth val="0"/>
        <c:axId val="224152840"/>
        <c:axId val="224152448"/>
      </c:lineChart>
      <c:catAx>
        <c:axId val="22415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4152056"/>
        <c:crosses val="autoZero"/>
        <c:auto val="1"/>
        <c:lblAlgn val="ctr"/>
        <c:lblOffset val="50"/>
        <c:tickLblSkip val="10"/>
        <c:noMultiLvlLbl val="0"/>
      </c:catAx>
      <c:valAx>
        <c:axId val="224152056"/>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4151664"/>
        <c:crosses val="autoZero"/>
        <c:crossBetween val="between"/>
      </c:valAx>
      <c:valAx>
        <c:axId val="224152448"/>
        <c:scaling>
          <c:orientation val="minMax"/>
          <c:max val="40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4152840"/>
        <c:crosses val="max"/>
        <c:crossBetween val="between"/>
      </c:valAx>
      <c:catAx>
        <c:axId val="224152840"/>
        <c:scaling>
          <c:orientation val="minMax"/>
        </c:scaling>
        <c:delete val="1"/>
        <c:axPos val="b"/>
        <c:majorTickMark val="out"/>
        <c:minorTickMark val="none"/>
        <c:tickLblPos val="nextTo"/>
        <c:crossAx val="224152448"/>
        <c:crosses val="autoZero"/>
        <c:auto val="1"/>
        <c:lblAlgn val="ctr"/>
        <c:lblOffset val="100"/>
        <c:noMultiLvlLbl val="0"/>
      </c:catAx>
      <c:spPr>
        <a:noFill/>
        <a:ln>
          <a:noFill/>
        </a:ln>
        <a:effectLst/>
      </c:spPr>
    </c:plotArea>
    <c:legend>
      <c:legendPos val="t"/>
      <c:layout>
        <c:manualLayout>
          <c:xMode val="edge"/>
          <c:yMode val="edge"/>
          <c:x val="0.1283636117701738"/>
          <c:y val="1.2048192771084338E-2"/>
          <c:w val="0.61842838909174114"/>
          <c:h val="0.1335350852227808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userShapes r:id="rId4"/>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234548991267733"/>
          <c:y val="3.9233320060613253E-2"/>
          <c:w val="0.88024007839111273"/>
          <c:h val="0.62834041887063175"/>
        </c:manualLayout>
      </c:layout>
      <c:barChart>
        <c:barDir val="col"/>
        <c:grouping val="stacked"/>
        <c:varyColors val="0"/>
        <c:ser>
          <c:idx val="1"/>
          <c:order val="0"/>
          <c:tx>
            <c:strRef>
              <c:f>'Hárok1 (2020)'!$B$3</c:f>
              <c:strCache>
                <c:ptCount val="1"/>
                <c:pt idx="0">
                  <c:v>PHN-dávka, pp. bývanie</c:v>
                </c:pt>
              </c:strCache>
            </c:strRef>
          </c:tx>
          <c:spPr>
            <a:solidFill>
              <a:sysClr val="window" lastClr="FFFFFF">
                <a:lumMod val="65000"/>
              </a:sysClr>
            </a:solidFill>
          </c:spPr>
          <c:invertIfNegative val="0"/>
          <c:cat>
            <c:numRef>
              <c:f>'Hárok1 (2020)'!$A$4:$A$10</c:f>
              <c:numCache>
                <c:formatCode>General</c:formatCode>
                <c:ptCount val="7"/>
                <c:pt idx="0">
                  <c:v>-2</c:v>
                </c:pt>
                <c:pt idx="1">
                  <c:v>-1</c:v>
                </c:pt>
                <c:pt idx="2">
                  <c:v>0</c:v>
                </c:pt>
                <c:pt idx="3">
                  <c:v>1</c:v>
                </c:pt>
                <c:pt idx="4">
                  <c:v>2</c:v>
                </c:pt>
                <c:pt idx="5">
                  <c:v>3</c:v>
                </c:pt>
                <c:pt idx="6">
                  <c:v>4</c:v>
                </c:pt>
              </c:numCache>
            </c:numRef>
          </c:cat>
          <c:val>
            <c:numRef>
              <c:f>'Hárok1 (2020)'!$B$4:$B$10</c:f>
              <c:numCache>
                <c:formatCode>General</c:formatCode>
                <c:ptCount val="7"/>
                <c:pt idx="0">
                  <c:v>206.7</c:v>
                </c:pt>
                <c:pt idx="1">
                  <c:v>206.7</c:v>
                </c:pt>
                <c:pt idx="2">
                  <c:v>0</c:v>
                </c:pt>
                <c:pt idx="3">
                  <c:v>0</c:v>
                </c:pt>
                <c:pt idx="4">
                  <c:v>0</c:v>
                </c:pt>
                <c:pt idx="5">
                  <c:v>264</c:v>
                </c:pt>
                <c:pt idx="6">
                  <c:v>264</c:v>
                </c:pt>
              </c:numCache>
            </c:numRef>
          </c:val>
          <c:extLst xmlns:c16r2="http://schemas.microsoft.com/office/drawing/2015/06/chart">
            <c:ext xmlns:c16="http://schemas.microsoft.com/office/drawing/2014/chart" uri="{C3380CC4-5D6E-409C-BE32-E72D297353CC}">
              <c16:uniqueId val="{00000000-EC19-4928-8EF0-5227DD332268}"/>
            </c:ext>
          </c:extLst>
        </c:ser>
        <c:ser>
          <c:idx val="2"/>
          <c:order val="1"/>
          <c:tx>
            <c:strRef>
              <c:f>'Hárok1 (2020)'!$C$3</c:f>
              <c:strCache>
                <c:ptCount val="1"/>
                <c:pt idx="0">
                  <c:v>PHN-aktivačný príspevok</c:v>
                </c:pt>
              </c:strCache>
            </c:strRef>
          </c:tx>
          <c:spPr>
            <a:pattFill prst="dkUpDiag">
              <a:fgClr>
                <a:srgbClr val="1F497D">
                  <a:lumMod val="75000"/>
                </a:srgbClr>
              </a:fgClr>
              <a:bgClr>
                <a:sysClr val="window" lastClr="FFFFFF"/>
              </a:bgClr>
            </a:pattFill>
          </c:spPr>
          <c:invertIfNegative val="0"/>
          <c:cat>
            <c:numRef>
              <c:f>'Hárok1 (2020)'!$A$4:$A$10</c:f>
              <c:numCache>
                <c:formatCode>General</c:formatCode>
                <c:ptCount val="7"/>
                <c:pt idx="0">
                  <c:v>-2</c:v>
                </c:pt>
                <c:pt idx="1">
                  <c:v>-1</c:v>
                </c:pt>
                <c:pt idx="2">
                  <c:v>0</c:v>
                </c:pt>
                <c:pt idx="3">
                  <c:v>1</c:v>
                </c:pt>
                <c:pt idx="4">
                  <c:v>2</c:v>
                </c:pt>
                <c:pt idx="5">
                  <c:v>3</c:v>
                </c:pt>
                <c:pt idx="6">
                  <c:v>4</c:v>
                </c:pt>
              </c:numCache>
            </c:numRef>
          </c:cat>
          <c:val>
            <c:numRef>
              <c:f>'Hárok1 (2020)'!$C$4:$C$10</c:f>
              <c:numCache>
                <c:formatCode>General</c:formatCode>
                <c:ptCount val="7"/>
                <c:pt idx="0">
                  <c:v>135.80000000000001</c:v>
                </c:pt>
                <c:pt idx="1">
                  <c:v>135.80000000000001</c:v>
                </c:pt>
                <c:pt idx="2">
                  <c:v>61.900000000000006</c:v>
                </c:pt>
                <c:pt idx="3">
                  <c:v>61.900000000000006</c:v>
                </c:pt>
                <c:pt idx="4">
                  <c:v>61.900000000000006</c:v>
                </c:pt>
                <c:pt idx="5">
                  <c:v>135.80000000000001</c:v>
                </c:pt>
                <c:pt idx="6">
                  <c:v>135.80000000000001</c:v>
                </c:pt>
              </c:numCache>
            </c:numRef>
          </c:val>
          <c:extLst xmlns:c16r2="http://schemas.microsoft.com/office/drawing/2015/06/chart">
            <c:ext xmlns:c16="http://schemas.microsoft.com/office/drawing/2014/chart" uri="{C3380CC4-5D6E-409C-BE32-E72D297353CC}">
              <c16:uniqueId val="{00000001-EC19-4928-8EF0-5227DD332268}"/>
            </c:ext>
          </c:extLst>
        </c:ser>
        <c:ser>
          <c:idx val="3"/>
          <c:order val="2"/>
          <c:tx>
            <c:strRef>
              <c:f>'Hárok1 (2020)'!$D$3</c:f>
              <c:strCache>
                <c:ptCount val="1"/>
                <c:pt idx="0">
                  <c:v>PHN-ochranný príspevok</c:v>
                </c:pt>
              </c:strCache>
            </c:strRef>
          </c:tx>
          <c:spPr>
            <a:solidFill>
              <a:srgbClr val="4F81BD">
                <a:lumMod val="40000"/>
                <a:lumOff val="60000"/>
              </a:srgbClr>
            </a:solidFill>
          </c:spPr>
          <c:invertIfNegative val="0"/>
          <c:cat>
            <c:numRef>
              <c:f>'Hárok1 (2020)'!$A$4:$A$10</c:f>
              <c:numCache>
                <c:formatCode>General</c:formatCode>
                <c:ptCount val="7"/>
                <c:pt idx="0">
                  <c:v>-2</c:v>
                </c:pt>
                <c:pt idx="1">
                  <c:v>-1</c:v>
                </c:pt>
                <c:pt idx="2">
                  <c:v>0</c:v>
                </c:pt>
                <c:pt idx="3">
                  <c:v>1</c:v>
                </c:pt>
                <c:pt idx="4">
                  <c:v>2</c:v>
                </c:pt>
                <c:pt idx="5">
                  <c:v>3</c:v>
                </c:pt>
                <c:pt idx="6">
                  <c:v>4</c:v>
                </c:pt>
              </c:numCache>
            </c:numRef>
          </c:cat>
          <c:val>
            <c:numRef>
              <c:f>'Hárok1 (2020)'!$D$4:$D$10</c:f>
              <c:numCache>
                <c:formatCode>General</c:formatCode>
                <c:ptCount val="7"/>
                <c:pt idx="0">
                  <c:v>0</c:v>
                </c:pt>
                <c:pt idx="1">
                  <c:v>0</c:v>
                </c:pt>
                <c:pt idx="2">
                  <c:v>14.6</c:v>
                </c:pt>
                <c:pt idx="3">
                  <c:v>0</c:v>
                </c:pt>
                <c:pt idx="4">
                  <c:v>0</c:v>
                </c:pt>
                <c:pt idx="5">
                  <c:v>0</c:v>
                </c:pt>
                <c:pt idx="6">
                  <c:v>0</c:v>
                </c:pt>
              </c:numCache>
            </c:numRef>
          </c:val>
          <c:extLst xmlns:c16r2="http://schemas.microsoft.com/office/drawing/2015/06/chart">
            <c:ext xmlns:c16="http://schemas.microsoft.com/office/drawing/2014/chart" uri="{C3380CC4-5D6E-409C-BE32-E72D297353CC}">
              <c16:uniqueId val="{00000002-EC19-4928-8EF0-5227DD332268}"/>
            </c:ext>
          </c:extLst>
        </c:ser>
        <c:ser>
          <c:idx val="4"/>
          <c:order val="3"/>
          <c:tx>
            <c:strRef>
              <c:f>'Hárok1 (2020)'!$E$3</c:f>
              <c:strCache>
                <c:ptCount val="1"/>
                <c:pt idx="0">
                  <c:v>Prídavok na dieťa</c:v>
                </c:pt>
              </c:strCache>
            </c:strRef>
          </c:tx>
          <c:spPr>
            <a:solidFill>
              <a:sysClr val="windowText" lastClr="000000">
                <a:lumMod val="65000"/>
                <a:lumOff val="35000"/>
              </a:sysClr>
            </a:solidFill>
          </c:spPr>
          <c:invertIfNegative val="0"/>
          <c:cat>
            <c:numRef>
              <c:f>'Hárok1 (2020)'!$A$4:$A$10</c:f>
              <c:numCache>
                <c:formatCode>General</c:formatCode>
                <c:ptCount val="7"/>
                <c:pt idx="0">
                  <c:v>-2</c:v>
                </c:pt>
                <c:pt idx="1">
                  <c:v>-1</c:v>
                </c:pt>
                <c:pt idx="2">
                  <c:v>0</c:v>
                </c:pt>
                <c:pt idx="3">
                  <c:v>1</c:v>
                </c:pt>
                <c:pt idx="4">
                  <c:v>2</c:v>
                </c:pt>
                <c:pt idx="5">
                  <c:v>3</c:v>
                </c:pt>
                <c:pt idx="6">
                  <c:v>4</c:v>
                </c:pt>
              </c:numCache>
            </c:numRef>
          </c:cat>
          <c:val>
            <c:numRef>
              <c:f>'Hárok1 (2020)'!$E$4:$E$10</c:f>
              <c:numCache>
                <c:formatCode>General</c:formatCode>
                <c:ptCount val="7"/>
                <c:pt idx="0">
                  <c:v>0</c:v>
                </c:pt>
                <c:pt idx="1">
                  <c:v>0</c:v>
                </c:pt>
                <c:pt idx="2">
                  <c:v>24.95</c:v>
                </c:pt>
                <c:pt idx="3">
                  <c:v>24.95</c:v>
                </c:pt>
                <c:pt idx="4">
                  <c:v>24.95</c:v>
                </c:pt>
                <c:pt idx="5">
                  <c:v>24.95</c:v>
                </c:pt>
                <c:pt idx="6">
                  <c:v>24.95</c:v>
                </c:pt>
              </c:numCache>
            </c:numRef>
          </c:val>
          <c:extLst xmlns:c16r2="http://schemas.microsoft.com/office/drawing/2015/06/chart">
            <c:ext xmlns:c16="http://schemas.microsoft.com/office/drawing/2014/chart" uri="{C3380CC4-5D6E-409C-BE32-E72D297353CC}">
              <c16:uniqueId val="{00000003-EC19-4928-8EF0-5227DD332268}"/>
            </c:ext>
          </c:extLst>
        </c:ser>
        <c:ser>
          <c:idx val="5"/>
          <c:order val="4"/>
          <c:tx>
            <c:strRef>
              <c:f>'Hárok1 (2020)'!$F$3</c:f>
              <c:strCache>
                <c:ptCount val="1"/>
                <c:pt idx="0">
                  <c:v>Rodičovský príspevok</c:v>
                </c:pt>
              </c:strCache>
            </c:strRef>
          </c:tx>
          <c:spPr>
            <a:solidFill>
              <a:srgbClr val="1F497D">
                <a:lumMod val="60000"/>
                <a:lumOff val="40000"/>
              </a:srgbClr>
            </a:solidFill>
          </c:spPr>
          <c:invertIfNegative val="0"/>
          <c:cat>
            <c:numRef>
              <c:f>'Hárok1 (2020)'!$A$4:$A$10</c:f>
              <c:numCache>
                <c:formatCode>General</c:formatCode>
                <c:ptCount val="7"/>
                <c:pt idx="0">
                  <c:v>-2</c:v>
                </c:pt>
                <c:pt idx="1">
                  <c:v>-1</c:v>
                </c:pt>
                <c:pt idx="2">
                  <c:v>0</c:v>
                </c:pt>
                <c:pt idx="3">
                  <c:v>1</c:v>
                </c:pt>
                <c:pt idx="4">
                  <c:v>2</c:v>
                </c:pt>
                <c:pt idx="5">
                  <c:v>3</c:v>
                </c:pt>
                <c:pt idx="6">
                  <c:v>4</c:v>
                </c:pt>
              </c:numCache>
            </c:numRef>
          </c:cat>
          <c:val>
            <c:numRef>
              <c:f>'Hárok1 (2020)'!$F$4:$F$10</c:f>
              <c:numCache>
                <c:formatCode>General</c:formatCode>
                <c:ptCount val="7"/>
                <c:pt idx="0">
                  <c:v>0</c:v>
                </c:pt>
                <c:pt idx="1">
                  <c:v>0</c:v>
                </c:pt>
                <c:pt idx="2">
                  <c:v>270</c:v>
                </c:pt>
                <c:pt idx="3">
                  <c:v>270</c:v>
                </c:pt>
                <c:pt idx="4">
                  <c:v>270</c:v>
                </c:pt>
                <c:pt idx="5">
                  <c:v>0</c:v>
                </c:pt>
                <c:pt idx="6">
                  <c:v>0</c:v>
                </c:pt>
              </c:numCache>
            </c:numRef>
          </c:val>
          <c:extLst xmlns:c16r2="http://schemas.microsoft.com/office/drawing/2015/06/chart">
            <c:ext xmlns:c16="http://schemas.microsoft.com/office/drawing/2014/chart" uri="{C3380CC4-5D6E-409C-BE32-E72D297353CC}">
              <c16:uniqueId val="{00000004-EC19-4928-8EF0-5227DD332268}"/>
            </c:ext>
          </c:extLst>
        </c:ser>
        <c:dLbls>
          <c:showLegendKey val="0"/>
          <c:showVal val="0"/>
          <c:showCatName val="0"/>
          <c:showSerName val="0"/>
          <c:showPercent val="0"/>
          <c:showBubbleSize val="0"/>
        </c:dLbls>
        <c:gapWidth val="150"/>
        <c:overlap val="100"/>
        <c:axId val="224153232"/>
        <c:axId val="224153624"/>
      </c:barChart>
      <c:lineChart>
        <c:grouping val="standard"/>
        <c:varyColors val="0"/>
        <c:ser>
          <c:idx val="6"/>
          <c:order val="5"/>
          <c:tx>
            <c:strRef>
              <c:f>'Hárok1 (2020)'!$H$3</c:f>
              <c:strCache>
                <c:ptCount val="1"/>
                <c:pt idx="0">
                  <c:v>Životné minimum</c:v>
                </c:pt>
              </c:strCache>
            </c:strRef>
          </c:tx>
          <c:spPr>
            <a:ln>
              <a:solidFill>
                <a:sysClr val="windowText" lastClr="000000"/>
              </a:solidFill>
            </a:ln>
          </c:spPr>
          <c:marker>
            <c:symbol val="none"/>
          </c:marker>
          <c:val>
            <c:numRef>
              <c:f>'Hárok1 (2020)'!$H$4:$H$10</c:f>
              <c:numCache>
                <c:formatCode>0.0</c:formatCode>
                <c:ptCount val="7"/>
                <c:pt idx="0">
                  <c:v>356.84</c:v>
                </c:pt>
                <c:pt idx="1">
                  <c:v>356.84</c:v>
                </c:pt>
                <c:pt idx="2">
                  <c:v>452.79999999999995</c:v>
                </c:pt>
                <c:pt idx="3">
                  <c:v>452.79999999999995</c:v>
                </c:pt>
                <c:pt idx="4">
                  <c:v>452.79999999999995</c:v>
                </c:pt>
                <c:pt idx="5">
                  <c:v>452.79999999999995</c:v>
                </c:pt>
                <c:pt idx="6">
                  <c:v>452.79999999999995</c:v>
                </c:pt>
              </c:numCache>
            </c:numRef>
          </c:val>
          <c:smooth val="0"/>
          <c:extLst xmlns:c16r2="http://schemas.microsoft.com/office/drawing/2015/06/chart">
            <c:ext xmlns:c16="http://schemas.microsoft.com/office/drawing/2014/chart" uri="{C3380CC4-5D6E-409C-BE32-E72D297353CC}">
              <c16:uniqueId val="{00000005-EC19-4928-8EF0-5227DD332268}"/>
            </c:ext>
          </c:extLst>
        </c:ser>
        <c:dLbls>
          <c:showLegendKey val="0"/>
          <c:showVal val="0"/>
          <c:showCatName val="0"/>
          <c:showSerName val="0"/>
          <c:showPercent val="0"/>
          <c:showBubbleSize val="0"/>
        </c:dLbls>
        <c:marker val="1"/>
        <c:smooth val="0"/>
        <c:axId val="224153232"/>
        <c:axId val="224153624"/>
      </c:lineChart>
      <c:catAx>
        <c:axId val="224153232"/>
        <c:scaling>
          <c:orientation val="minMax"/>
        </c:scaling>
        <c:delete val="0"/>
        <c:axPos val="b"/>
        <c:title>
          <c:tx>
            <c:rich>
              <a:bodyPr/>
              <a:lstStyle/>
              <a:p>
                <a:pPr>
                  <a:defRPr sz="900"/>
                </a:pPr>
                <a:r>
                  <a:rPr lang="sk-SK" sz="900" b="0" i="0" u="none" strike="noStrike" baseline="0">
                    <a:effectLst/>
                  </a:rPr>
                  <a:t>rok od narodenia dieťaťa (0</a:t>
                </a:r>
                <a:r>
                  <a:rPr lang="sk-SK" sz="900" b="0" i="0" u="none" strike="noStrike" kern="1200" baseline="0">
                    <a:solidFill>
                      <a:sysClr val="windowText" lastClr="000000"/>
                    </a:solidFill>
                    <a:effectLst/>
                    <a:latin typeface="Arial Narrow" pitchFamily="34" charset="0"/>
                    <a:ea typeface="+mn-ea"/>
                    <a:cs typeface="+mn-cs"/>
                  </a:rPr>
                  <a:t> </a:t>
                </a:r>
                <a:r>
                  <a:rPr lang="sk-SK" sz="900" b="0" i="0" u="none" strike="noStrike" baseline="0">
                    <a:effectLst/>
                  </a:rPr>
                  <a:t>= narodenie dieťaťa)</a:t>
                </a:r>
                <a:endParaRPr lang="sk-SK" sz="900"/>
              </a:p>
            </c:rich>
          </c:tx>
          <c:overlay val="0"/>
        </c:title>
        <c:numFmt formatCode="General" sourceLinked="1"/>
        <c:majorTickMark val="none"/>
        <c:minorTickMark val="none"/>
        <c:tickLblPos val="nextTo"/>
        <c:spPr>
          <a:ln>
            <a:solidFill>
              <a:srgbClr val="D5D5D5"/>
            </a:solidFill>
          </a:ln>
        </c:spPr>
        <c:txPr>
          <a:bodyPr/>
          <a:lstStyle/>
          <a:p>
            <a:pPr>
              <a:defRPr sz="800"/>
            </a:pPr>
            <a:endParaRPr lang="sk-SK"/>
          </a:p>
        </c:txPr>
        <c:crossAx val="224153624"/>
        <c:crosses val="autoZero"/>
        <c:auto val="1"/>
        <c:lblAlgn val="ctr"/>
        <c:lblOffset val="100"/>
        <c:noMultiLvlLbl val="0"/>
      </c:catAx>
      <c:valAx>
        <c:axId val="224153624"/>
        <c:scaling>
          <c:orientation val="minMax"/>
        </c:scaling>
        <c:delete val="0"/>
        <c:axPos val="l"/>
        <c:majorGridlines>
          <c:spPr>
            <a:ln>
              <a:solidFill>
                <a:sysClr val="window" lastClr="FFFFFF">
                  <a:lumMod val="85000"/>
                </a:sysClr>
              </a:solidFill>
              <a:prstDash val="dash"/>
            </a:ln>
          </c:spPr>
        </c:majorGridlines>
        <c:numFmt formatCode="General" sourceLinked="1"/>
        <c:majorTickMark val="none"/>
        <c:minorTickMark val="none"/>
        <c:tickLblPos val="nextTo"/>
        <c:spPr>
          <a:noFill/>
          <a:ln>
            <a:noFill/>
          </a:ln>
        </c:spPr>
        <c:txPr>
          <a:bodyPr/>
          <a:lstStyle/>
          <a:p>
            <a:pPr>
              <a:defRPr sz="800"/>
            </a:pPr>
            <a:endParaRPr lang="sk-SK"/>
          </a:p>
        </c:txPr>
        <c:crossAx val="224153232"/>
        <c:crosses val="autoZero"/>
        <c:crossBetween val="between"/>
      </c:valAx>
      <c:spPr>
        <a:noFill/>
        <a:ln>
          <a:noFill/>
        </a:ln>
      </c:spPr>
    </c:plotArea>
    <c:legend>
      <c:legendPos val="t"/>
      <c:layout>
        <c:manualLayout>
          <c:xMode val="edge"/>
          <c:yMode val="edge"/>
          <c:x val="1.1401256097200795E-2"/>
          <c:y val="0.82588638834692385"/>
          <c:w val="0.97904585513720133"/>
          <c:h val="0.16774656392333426"/>
        </c:manualLayout>
      </c:layout>
      <c:overlay val="1"/>
      <c:txPr>
        <a:bodyPr/>
        <a:lstStyle/>
        <a:p>
          <a:pPr>
            <a:defRPr sz="800"/>
          </a:pPr>
          <a:endParaRPr lang="sk-SK"/>
        </a:p>
      </c:txPr>
    </c:legend>
    <c:plotVisOnly val="1"/>
    <c:dispBlanksAs val="gap"/>
    <c:showDLblsOverMax val="0"/>
  </c:chart>
  <c:spPr>
    <a:ln>
      <a:noFill/>
    </a:ln>
  </c:spPr>
  <c:txPr>
    <a:bodyPr/>
    <a:lstStyle/>
    <a:p>
      <a:pPr>
        <a:defRPr baseline="0">
          <a:latin typeface="Arial Narrow" pitchFamily="34" charset="0"/>
        </a:defRPr>
      </a:pPr>
      <a:endParaRPr lang="sk-SK"/>
    </a:p>
  </c:txPr>
  <c:externalData r:id="rId2">
    <c:autoUpdate val="0"/>
  </c:externalData>
  <c:userShapes r:id="rId3"/>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388183619904655E-2"/>
          <c:y val="0.10807503713198641"/>
          <c:w val="0.89540093202635385"/>
          <c:h val="0.62662678793057836"/>
        </c:manualLayout>
      </c:layout>
      <c:barChart>
        <c:barDir val="col"/>
        <c:grouping val="clustered"/>
        <c:varyColors val="0"/>
        <c:ser>
          <c:idx val="2"/>
          <c:order val="2"/>
          <c:tx>
            <c:strRef>
              <c:f>'Graf 59'!$K$33</c:f>
              <c:strCache>
                <c:ptCount val="1"/>
                <c:pt idx="0">
                  <c:v>% zmena</c:v>
                </c:pt>
              </c:strCache>
            </c:strRef>
          </c:tx>
          <c:spPr>
            <a:solidFill>
              <a:schemeClr val="accent3"/>
            </a:solidFill>
            <a:ln>
              <a:noFill/>
            </a:ln>
            <a:effectLst/>
          </c:spPr>
          <c:invertIfNegative val="0"/>
          <c:cat>
            <c:strRef>
              <c:f>'Graf 59'!$H$34:$H$61</c:f>
              <c:strCache>
                <c:ptCount val="28"/>
                <c:pt idx="0">
                  <c:v>Slovensko</c:v>
                </c:pt>
                <c:pt idx="1">
                  <c:v>Francúzsko</c:v>
                </c:pt>
                <c:pt idx="2">
                  <c:v>Grécko</c:v>
                </c:pt>
                <c:pt idx="3">
                  <c:v>Maďarsko</c:v>
                </c:pt>
                <c:pt idx="4">
                  <c:v>Fínsko</c:v>
                </c:pt>
                <c:pt idx="5">
                  <c:v>Holandsko</c:v>
                </c:pt>
                <c:pt idx="6">
                  <c:v>Dánsko</c:v>
                </c:pt>
                <c:pt idx="7">
                  <c:v>Rakúsko</c:v>
                </c:pt>
                <c:pt idx="8">
                  <c:v>Česká Rep.</c:v>
                </c:pt>
                <c:pt idx="9">
                  <c:v>Taliansko</c:v>
                </c:pt>
                <c:pt idx="10">
                  <c:v>Slovinsko</c:v>
                </c:pt>
                <c:pt idx="11">
                  <c:v>Poľsko</c:v>
                </c:pt>
                <c:pt idx="12">
                  <c:v>Portugalsko</c:v>
                </c:pt>
                <c:pt idx="13">
                  <c:v>Belgicko</c:v>
                </c:pt>
                <c:pt idx="14">
                  <c:v>Luxembursko</c:v>
                </c:pt>
                <c:pt idx="15">
                  <c:v>Španielsko</c:v>
                </c:pt>
                <c:pt idx="16">
                  <c:v>Malta</c:v>
                </c:pt>
                <c:pt idx="17">
                  <c:v>Cyprus</c:v>
                </c:pt>
                <c:pt idx="18">
                  <c:v>Švédsko</c:v>
                </c:pt>
                <c:pt idx="19">
                  <c:v>Spojené kráľ.</c:v>
                </c:pt>
                <c:pt idx="20">
                  <c:v>Rumunsko</c:v>
                </c:pt>
                <c:pt idx="21">
                  <c:v>Nemecko</c:v>
                </c:pt>
                <c:pt idx="22">
                  <c:v>Írsko</c:v>
                </c:pt>
                <c:pt idx="23">
                  <c:v>Bulharsko</c:v>
                </c:pt>
                <c:pt idx="24">
                  <c:v>Chorvátsko</c:v>
                </c:pt>
                <c:pt idx="25">
                  <c:v>Litva</c:v>
                </c:pt>
                <c:pt idx="26">
                  <c:v>Lotyšsko</c:v>
                </c:pt>
                <c:pt idx="27">
                  <c:v>Estónsko</c:v>
                </c:pt>
              </c:strCache>
            </c:strRef>
          </c:cat>
          <c:val>
            <c:numRef>
              <c:f>'Graf 59'!$K$34:$K$61</c:f>
              <c:numCache>
                <c:formatCode>General</c:formatCode>
                <c:ptCount val="28"/>
                <c:pt idx="0">
                  <c:v>-80.27681660899654</c:v>
                </c:pt>
                <c:pt idx="1">
                  <c:v>-79.970760233918128</c:v>
                </c:pt>
                <c:pt idx="2">
                  <c:v>-79.404466501240691</c:v>
                </c:pt>
                <c:pt idx="3">
                  <c:v>-77.16643741403027</c:v>
                </c:pt>
                <c:pt idx="4">
                  <c:v>-74.418604651162795</c:v>
                </c:pt>
                <c:pt idx="5">
                  <c:v>-73.68421052631578</c:v>
                </c:pt>
                <c:pt idx="6">
                  <c:v>-73.514431239388784</c:v>
                </c:pt>
                <c:pt idx="7">
                  <c:v>-73.234811165845642</c:v>
                </c:pt>
                <c:pt idx="8">
                  <c:v>-73.060648801128352</c:v>
                </c:pt>
                <c:pt idx="9">
                  <c:v>-71.469329529243936</c:v>
                </c:pt>
                <c:pt idx="10">
                  <c:v>-69.090909090909093</c:v>
                </c:pt>
                <c:pt idx="11">
                  <c:v>-68.473609129814548</c:v>
                </c:pt>
                <c:pt idx="12">
                  <c:v>-67.15976331360946</c:v>
                </c:pt>
                <c:pt idx="13">
                  <c:v>-66.810344827586192</c:v>
                </c:pt>
                <c:pt idx="14">
                  <c:v>-65.68483063328425</c:v>
                </c:pt>
                <c:pt idx="15">
                  <c:v>-66.523605150214593</c:v>
                </c:pt>
                <c:pt idx="16">
                  <c:v>-66.043165467625897</c:v>
                </c:pt>
                <c:pt idx="17">
                  <c:v>-65.084226646248084</c:v>
                </c:pt>
                <c:pt idx="18">
                  <c:v>-64.534075104311555</c:v>
                </c:pt>
                <c:pt idx="19">
                  <c:v>-64.307228915662648</c:v>
                </c:pt>
                <c:pt idx="20">
                  <c:v>-62.865497076023402</c:v>
                </c:pt>
                <c:pt idx="21">
                  <c:v>-61.299852289512557</c:v>
                </c:pt>
                <c:pt idx="22">
                  <c:v>-60</c:v>
                </c:pt>
                <c:pt idx="23">
                  <c:v>-57.951482479784367</c:v>
                </c:pt>
                <c:pt idx="24">
                  <c:v>-57.553956834532372</c:v>
                </c:pt>
                <c:pt idx="25">
                  <c:v>-48.830409356725148</c:v>
                </c:pt>
                <c:pt idx="26">
                  <c:v>-39.052287581699353</c:v>
                </c:pt>
                <c:pt idx="27">
                  <c:v>-38.202247191011232</c:v>
                </c:pt>
              </c:numCache>
            </c:numRef>
          </c:val>
        </c:ser>
        <c:dLbls>
          <c:showLegendKey val="0"/>
          <c:showVal val="0"/>
          <c:showCatName val="0"/>
          <c:showSerName val="0"/>
          <c:showPercent val="0"/>
          <c:showBubbleSize val="0"/>
        </c:dLbls>
        <c:gapWidth val="219"/>
        <c:overlap val="-27"/>
        <c:axId val="220497976"/>
        <c:axId val="220498368"/>
      </c:barChart>
      <c:lineChart>
        <c:grouping val="standard"/>
        <c:varyColors val="0"/>
        <c:ser>
          <c:idx val="0"/>
          <c:order val="0"/>
          <c:tx>
            <c:strRef>
              <c:f>'Graf 59'!$I$33</c:f>
              <c:strCache>
                <c:ptCount val="1"/>
                <c:pt idx="0">
                  <c:v>Pred transfermi</c:v>
                </c:pt>
              </c:strCache>
            </c:strRef>
          </c:tx>
          <c:spPr>
            <a:ln w="28575" cap="rnd">
              <a:noFill/>
              <a:round/>
            </a:ln>
            <a:effectLst/>
          </c:spPr>
          <c:marker>
            <c:symbol val="circle"/>
            <c:size val="5"/>
            <c:spPr>
              <a:solidFill>
                <a:schemeClr val="accent1"/>
              </a:solidFill>
              <a:ln w="9525">
                <a:solidFill>
                  <a:schemeClr val="accent1"/>
                </a:solidFill>
              </a:ln>
              <a:effectLst/>
            </c:spPr>
          </c:marker>
          <c:cat>
            <c:strRef>
              <c:f>'Graf 59'!$H$34:$H$61</c:f>
              <c:strCache>
                <c:ptCount val="28"/>
                <c:pt idx="0">
                  <c:v>Slovensko</c:v>
                </c:pt>
                <c:pt idx="1">
                  <c:v>Francúzsko</c:v>
                </c:pt>
                <c:pt idx="2">
                  <c:v>Grécko</c:v>
                </c:pt>
                <c:pt idx="3">
                  <c:v>Maďarsko</c:v>
                </c:pt>
                <c:pt idx="4">
                  <c:v>Fínsko</c:v>
                </c:pt>
                <c:pt idx="5">
                  <c:v>Holandsko</c:v>
                </c:pt>
                <c:pt idx="6">
                  <c:v>Dánsko</c:v>
                </c:pt>
                <c:pt idx="7">
                  <c:v>Rakúsko</c:v>
                </c:pt>
                <c:pt idx="8">
                  <c:v>Česká Rep.</c:v>
                </c:pt>
                <c:pt idx="9">
                  <c:v>Taliansko</c:v>
                </c:pt>
                <c:pt idx="10">
                  <c:v>Slovinsko</c:v>
                </c:pt>
                <c:pt idx="11">
                  <c:v>Poľsko</c:v>
                </c:pt>
                <c:pt idx="12">
                  <c:v>Portugalsko</c:v>
                </c:pt>
                <c:pt idx="13">
                  <c:v>Belgicko</c:v>
                </c:pt>
                <c:pt idx="14">
                  <c:v>Luxembursko</c:v>
                </c:pt>
                <c:pt idx="15">
                  <c:v>Španielsko</c:v>
                </c:pt>
                <c:pt idx="16">
                  <c:v>Malta</c:v>
                </c:pt>
                <c:pt idx="17">
                  <c:v>Cyprus</c:v>
                </c:pt>
                <c:pt idx="18">
                  <c:v>Švédsko</c:v>
                </c:pt>
                <c:pt idx="19">
                  <c:v>Spojené kráľ.</c:v>
                </c:pt>
                <c:pt idx="20">
                  <c:v>Rumunsko</c:v>
                </c:pt>
                <c:pt idx="21">
                  <c:v>Nemecko</c:v>
                </c:pt>
                <c:pt idx="22">
                  <c:v>Írsko</c:v>
                </c:pt>
                <c:pt idx="23">
                  <c:v>Bulharsko</c:v>
                </c:pt>
                <c:pt idx="24">
                  <c:v>Chorvátsko</c:v>
                </c:pt>
                <c:pt idx="25">
                  <c:v>Litva</c:v>
                </c:pt>
                <c:pt idx="26">
                  <c:v>Lotyšsko</c:v>
                </c:pt>
                <c:pt idx="27">
                  <c:v>Estónsko</c:v>
                </c:pt>
              </c:strCache>
            </c:strRef>
          </c:cat>
          <c:val>
            <c:numRef>
              <c:f>'Graf 59'!$I$34:$I$61</c:f>
              <c:numCache>
                <c:formatCode>General</c:formatCode>
                <c:ptCount val="28"/>
                <c:pt idx="0">
                  <c:v>57.8</c:v>
                </c:pt>
                <c:pt idx="1">
                  <c:v>68.400000000000006</c:v>
                </c:pt>
                <c:pt idx="2">
                  <c:v>80.599999999999994</c:v>
                </c:pt>
                <c:pt idx="3">
                  <c:v>72.7</c:v>
                </c:pt>
                <c:pt idx="4">
                  <c:v>60.2</c:v>
                </c:pt>
                <c:pt idx="5">
                  <c:v>58.9</c:v>
                </c:pt>
                <c:pt idx="6">
                  <c:v>58.9</c:v>
                </c:pt>
                <c:pt idx="7">
                  <c:v>60.9</c:v>
                </c:pt>
                <c:pt idx="8">
                  <c:v>70.900000000000006</c:v>
                </c:pt>
                <c:pt idx="9">
                  <c:v>70.099999999999994</c:v>
                </c:pt>
                <c:pt idx="10">
                  <c:v>60.5</c:v>
                </c:pt>
                <c:pt idx="11">
                  <c:v>70.099999999999994</c:v>
                </c:pt>
                <c:pt idx="12">
                  <c:v>67.599999999999994</c:v>
                </c:pt>
                <c:pt idx="13">
                  <c:v>69.599999999999994</c:v>
                </c:pt>
                <c:pt idx="14">
                  <c:v>67.900000000000006</c:v>
                </c:pt>
                <c:pt idx="15">
                  <c:v>69.900000000000006</c:v>
                </c:pt>
                <c:pt idx="16">
                  <c:v>69.5</c:v>
                </c:pt>
                <c:pt idx="17">
                  <c:v>65.3</c:v>
                </c:pt>
                <c:pt idx="18">
                  <c:v>71.900000000000006</c:v>
                </c:pt>
                <c:pt idx="19">
                  <c:v>66.400000000000006</c:v>
                </c:pt>
                <c:pt idx="20">
                  <c:v>68.400000000000006</c:v>
                </c:pt>
                <c:pt idx="21">
                  <c:v>67.7</c:v>
                </c:pt>
                <c:pt idx="22">
                  <c:v>71</c:v>
                </c:pt>
                <c:pt idx="23">
                  <c:v>74.2</c:v>
                </c:pt>
                <c:pt idx="24">
                  <c:v>69.5</c:v>
                </c:pt>
                <c:pt idx="25">
                  <c:v>68.400000000000006</c:v>
                </c:pt>
                <c:pt idx="26">
                  <c:v>61.2</c:v>
                </c:pt>
                <c:pt idx="27">
                  <c:v>62.3</c:v>
                </c:pt>
              </c:numCache>
            </c:numRef>
          </c:val>
          <c:smooth val="0"/>
        </c:ser>
        <c:ser>
          <c:idx val="1"/>
          <c:order val="1"/>
          <c:tx>
            <c:strRef>
              <c:f>'Graf 59'!$J$33</c:f>
              <c:strCache>
                <c:ptCount val="1"/>
                <c:pt idx="0">
                  <c:v>Po transferoch</c:v>
                </c:pt>
              </c:strCache>
            </c:strRef>
          </c:tx>
          <c:spPr>
            <a:ln w="28575" cap="rnd">
              <a:noFill/>
              <a:round/>
            </a:ln>
            <a:effectLst/>
          </c:spPr>
          <c:marker>
            <c:symbol val="circle"/>
            <c:size val="5"/>
            <c:spPr>
              <a:solidFill>
                <a:schemeClr val="accent5">
                  <a:lumMod val="75000"/>
                </a:schemeClr>
              </a:solidFill>
              <a:ln w="9525">
                <a:solidFill>
                  <a:schemeClr val="accent5">
                    <a:lumMod val="75000"/>
                  </a:schemeClr>
                </a:solidFill>
              </a:ln>
              <a:effectLst/>
            </c:spPr>
          </c:marker>
          <c:cat>
            <c:strRef>
              <c:f>'Graf 59'!$H$34:$H$61</c:f>
              <c:strCache>
                <c:ptCount val="28"/>
                <c:pt idx="0">
                  <c:v>Slovensko</c:v>
                </c:pt>
                <c:pt idx="1">
                  <c:v>Francúzsko</c:v>
                </c:pt>
                <c:pt idx="2">
                  <c:v>Grécko</c:v>
                </c:pt>
                <c:pt idx="3">
                  <c:v>Maďarsko</c:v>
                </c:pt>
                <c:pt idx="4">
                  <c:v>Fínsko</c:v>
                </c:pt>
                <c:pt idx="5">
                  <c:v>Holandsko</c:v>
                </c:pt>
                <c:pt idx="6">
                  <c:v>Dánsko</c:v>
                </c:pt>
                <c:pt idx="7">
                  <c:v>Rakúsko</c:v>
                </c:pt>
                <c:pt idx="8">
                  <c:v>Česká Rep.</c:v>
                </c:pt>
                <c:pt idx="9">
                  <c:v>Taliansko</c:v>
                </c:pt>
                <c:pt idx="10">
                  <c:v>Slovinsko</c:v>
                </c:pt>
                <c:pt idx="11">
                  <c:v>Poľsko</c:v>
                </c:pt>
                <c:pt idx="12">
                  <c:v>Portugalsko</c:v>
                </c:pt>
                <c:pt idx="13">
                  <c:v>Belgicko</c:v>
                </c:pt>
                <c:pt idx="14">
                  <c:v>Luxembursko</c:v>
                </c:pt>
                <c:pt idx="15">
                  <c:v>Španielsko</c:v>
                </c:pt>
                <c:pt idx="16">
                  <c:v>Malta</c:v>
                </c:pt>
                <c:pt idx="17">
                  <c:v>Cyprus</c:v>
                </c:pt>
                <c:pt idx="18">
                  <c:v>Švédsko</c:v>
                </c:pt>
                <c:pt idx="19">
                  <c:v>Spojené kráľ.</c:v>
                </c:pt>
                <c:pt idx="20">
                  <c:v>Rumunsko</c:v>
                </c:pt>
                <c:pt idx="21">
                  <c:v>Nemecko</c:v>
                </c:pt>
                <c:pt idx="22">
                  <c:v>Írsko</c:v>
                </c:pt>
                <c:pt idx="23">
                  <c:v>Bulharsko</c:v>
                </c:pt>
                <c:pt idx="24">
                  <c:v>Chorvátsko</c:v>
                </c:pt>
                <c:pt idx="25">
                  <c:v>Litva</c:v>
                </c:pt>
                <c:pt idx="26">
                  <c:v>Lotyšsko</c:v>
                </c:pt>
                <c:pt idx="27">
                  <c:v>Estónsko</c:v>
                </c:pt>
              </c:strCache>
            </c:strRef>
          </c:cat>
          <c:val>
            <c:numRef>
              <c:f>'Graf 59'!$J$34:$J$61</c:f>
              <c:numCache>
                <c:formatCode>General</c:formatCode>
                <c:ptCount val="28"/>
                <c:pt idx="0">
                  <c:v>11.4</c:v>
                </c:pt>
                <c:pt idx="1">
                  <c:v>13.7</c:v>
                </c:pt>
                <c:pt idx="2">
                  <c:v>16.600000000000001</c:v>
                </c:pt>
                <c:pt idx="3">
                  <c:v>16.600000000000001</c:v>
                </c:pt>
                <c:pt idx="4">
                  <c:v>15.4</c:v>
                </c:pt>
                <c:pt idx="5">
                  <c:v>15.5</c:v>
                </c:pt>
                <c:pt idx="6">
                  <c:v>15.6</c:v>
                </c:pt>
                <c:pt idx="7">
                  <c:v>16.3</c:v>
                </c:pt>
                <c:pt idx="8">
                  <c:v>19.100000000000001</c:v>
                </c:pt>
                <c:pt idx="9">
                  <c:v>20</c:v>
                </c:pt>
                <c:pt idx="10">
                  <c:v>18.7</c:v>
                </c:pt>
                <c:pt idx="11">
                  <c:v>22.1</c:v>
                </c:pt>
                <c:pt idx="12">
                  <c:v>22.2</c:v>
                </c:pt>
                <c:pt idx="13">
                  <c:v>23.1</c:v>
                </c:pt>
                <c:pt idx="14">
                  <c:v>23.3</c:v>
                </c:pt>
                <c:pt idx="15">
                  <c:v>23.4</c:v>
                </c:pt>
                <c:pt idx="16">
                  <c:v>23.6</c:v>
                </c:pt>
                <c:pt idx="17">
                  <c:v>22.8</c:v>
                </c:pt>
                <c:pt idx="18">
                  <c:v>25.5</c:v>
                </c:pt>
                <c:pt idx="19">
                  <c:v>23.7</c:v>
                </c:pt>
                <c:pt idx="20">
                  <c:v>25.4</c:v>
                </c:pt>
                <c:pt idx="21">
                  <c:v>26.2</c:v>
                </c:pt>
                <c:pt idx="22">
                  <c:v>28.4</c:v>
                </c:pt>
                <c:pt idx="23">
                  <c:v>31.2</c:v>
                </c:pt>
                <c:pt idx="24">
                  <c:v>29.5</c:v>
                </c:pt>
                <c:pt idx="25">
                  <c:v>35</c:v>
                </c:pt>
                <c:pt idx="26">
                  <c:v>37.299999999999997</c:v>
                </c:pt>
                <c:pt idx="27">
                  <c:v>38.5</c:v>
                </c:pt>
              </c:numCache>
            </c:numRef>
          </c:val>
          <c:smooth val="0"/>
        </c:ser>
        <c:ser>
          <c:idx val="3"/>
          <c:order val="3"/>
          <c:tx>
            <c:strRef>
              <c:f>'Graf 59'!$L$33</c:f>
              <c:strCache>
                <c:ptCount val="1"/>
                <c:pt idx="0">
                  <c:v>EU</c:v>
                </c:pt>
              </c:strCache>
            </c:strRef>
          </c:tx>
          <c:spPr>
            <a:ln w="12700" cap="rnd">
              <a:solidFill>
                <a:schemeClr val="accent1"/>
              </a:solidFill>
              <a:prstDash val="sysDash"/>
              <a:round/>
            </a:ln>
            <a:effectLst/>
          </c:spPr>
          <c:marker>
            <c:symbol val="none"/>
          </c:marker>
          <c:cat>
            <c:strRef>
              <c:f>'Graf 59'!$H$34:$H$61</c:f>
              <c:strCache>
                <c:ptCount val="28"/>
                <c:pt idx="0">
                  <c:v>Slovensko</c:v>
                </c:pt>
                <c:pt idx="1">
                  <c:v>Francúzsko</c:v>
                </c:pt>
                <c:pt idx="2">
                  <c:v>Grécko</c:v>
                </c:pt>
                <c:pt idx="3">
                  <c:v>Maďarsko</c:v>
                </c:pt>
                <c:pt idx="4">
                  <c:v>Fínsko</c:v>
                </c:pt>
                <c:pt idx="5">
                  <c:v>Holandsko</c:v>
                </c:pt>
                <c:pt idx="6">
                  <c:v>Dánsko</c:v>
                </c:pt>
                <c:pt idx="7">
                  <c:v>Rakúsko</c:v>
                </c:pt>
                <c:pt idx="8">
                  <c:v>Česká Rep.</c:v>
                </c:pt>
                <c:pt idx="9">
                  <c:v>Taliansko</c:v>
                </c:pt>
                <c:pt idx="10">
                  <c:v>Slovinsko</c:v>
                </c:pt>
                <c:pt idx="11">
                  <c:v>Poľsko</c:v>
                </c:pt>
                <c:pt idx="12">
                  <c:v>Portugalsko</c:v>
                </c:pt>
                <c:pt idx="13">
                  <c:v>Belgicko</c:v>
                </c:pt>
                <c:pt idx="14">
                  <c:v>Luxembursko</c:v>
                </c:pt>
                <c:pt idx="15">
                  <c:v>Španielsko</c:v>
                </c:pt>
                <c:pt idx="16">
                  <c:v>Malta</c:v>
                </c:pt>
                <c:pt idx="17">
                  <c:v>Cyprus</c:v>
                </c:pt>
                <c:pt idx="18">
                  <c:v>Švédsko</c:v>
                </c:pt>
                <c:pt idx="19">
                  <c:v>Spojené kráľ.</c:v>
                </c:pt>
                <c:pt idx="20">
                  <c:v>Rumunsko</c:v>
                </c:pt>
                <c:pt idx="21">
                  <c:v>Nemecko</c:v>
                </c:pt>
                <c:pt idx="22">
                  <c:v>Írsko</c:v>
                </c:pt>
                <c:pt idx="23">
                  <c:v>Bulharsko</c:v>
                </c:pt>
                <c:pt idx="24">
                  <c:v>Chorvátsko</c:v>
                </c:pt>
                <c:pt idx="25">
                  <c:v>Litva</c:v>
                </c:pt>
                <c:pt idx="26">
                  <c:v>Lotyšsko</c:v>
                </c:pt>
                <c:pt idx="27">
                  <c:v>Estónsko</c:v>
                </c:pt>
              </c:strCache>
            </c:strRef>
          </c:cat>
          <c:val>
            <c:numRef>
              <c:f>'Graf 59'!$L$34:$L$61</c:f>
              <c:numCache>
                <c:formatCode>General</c:formatCode>
                <c:ptCount val="28"/>
                <c:pt idx="0">
                  <c:v>67.171428571428592</c:v>
                </c:pt>
                <c:pt idx="1">
                  <c:v>67.171428571428592</c:v>
                </c:pt>
                <c:pt idx="2">
                  <c:v>67.171428571428592</c:v>
                </c:pt>
                <c:pt idx="3">
                  <c:v>67.171428571428592</c:v>
                </c:pt>
                <c:pt idx="4">
                  <c:v>67.171428571428592</c:v>
                </c:pt>
                <c:pt idx="5">
                  <c:v>67.171428571428592</c:v>
                </c:pt>
                <c:pt idx="6">
                  <c:v>67.171428571428592</c:v>
                </c:pt>
                <c:pt idx="7">
                  <c:v>67.171428571428592</c:v>
                </c:pt>
                <c:pt idx="8">
                  <c:v>67.171428571428592</c:v>
                </c:pt>
                <c:pt idx="9">
                  <c:v>67.171428571428592</c:v>
                </c:pt>
                <c:pt idx="10">
                  <c:v>67.171428571428592</c:v>
                </c:pt>
                <c:pt idx="11">
                  <c:v>67.171428571428592</c:v>
                </c:pt>
                <c:pt idx="12">
                  <c:v>67.171428571428592</c:v>
                </c:pt>
                <c:pt idx="13">
                  <c:v>67.171428571428592</c:v>
                </c:pt>
                <c:pt idx="14">
                  <c:v>67.171428571428592</c:v>
                </c:pt>
                <c:pt idx="15">
                  <c:v>67.171428571428592</c:v>
                </c:pt>
                <c:pt idx="16">
                  <c:v>67.171428571428592</c:v>
                </c:pt>
                <c:pt idx="17">
                  <c:v>67.171428571428592</c:v>
                </c:pt>
                <c:pt idx="18">
                  <c:v>67.171428571428592</c:v>
                </c:pt>
                <c:pt idx="19">
                  <c:v>67.171428571428592</c:v>
                </c:pt>
                <c:pt idx="20">
                  <c:v>67.171428571428592</c:v>
                </c:pt>
                <c:pt idx="21">
                  <c:v>67.171428571428592</c:v>
                </c:pt>
                <c:pt idx="22">
                  <c:v>67.171428571428592</c:v>
                </c:pt>
                <c:pt idx="23">
                  <c:v>67.171428571428592</c:v>
                </c:pt>
                <c:pt idx="24">
                  <c:v>67.171428571428592</c:v>
                </c:pt>
                <c:pt idx="25">
                  <c:v>67.171428571428592</c:v>
                </c:pt>
                <c:pt idx="26">
                  <c:v>67.171428571428592</c:v>
                </c:pt>
                <c:pt idx="27">
                  <c:v>67.171428571428592</c:v>
                </c:pt>
              </c:numCache>
            </c:numRef>
          </c:val>
          <c:smooth val="0"/>
        </c:ser>
        <c:ser>
          <c:idx val="4"/>
          <c:order val="4"/>
          <c:tx>
            <c:strRef>
              <c:f>'Graf 59'!$M$33</c:f>
              <c:strCache>
                <c:ptCount val="1"/>
                <c:pt idx="0">
                  <c:v>EU </c:v>
                </c:pt>
              </c:strCache>
            </c:strRef>
          </c:tx>
          <c:spPr>
            <a:ln w="12700" cap="rnd">
              <a:solidFill>
                <a:schemeClr val="accent5">
                  <a:lumMod val="75000"/>
                </a:schemeClr>
              </a:solidFill>
              <a:prstDash val="sysDash"/>
              <a:round/>
            </a:ln>
            <a:effectLst/>
          </c:spPr>
          <c:marker>
            <c:symbol val="none"/>
          </c:marker>
          <c:cat>
            <c:strRef>
              <c:f>'Graf 59'!$H$34:$H$61</c:f>
              <c:strCache>
                <c:ptCount val="28"/>
                <c:pt idx="0">
                  <c:v>Slovensko</c:v>
                </c:pt>
                <c:pt idx="1">
                  <c:v>Francúzsko</c:v>
                </c:pt>
                <c:pt idx="2">
                  <c:v>Grécko</c:v>
                </c:pt>
                <c:pt idx="3">
                  <c:v>Maďarsko</c:v>
                </c:pt>
                <c:pt idx="4">
                  <c:v>Fínsko</c:v>
                </c:pt>
                <c:pt idx="5">
                  <c:v>Holandsko</c:v>
                </c:pt>
                <c:pt idx="6">
                  <c:v>Dánsko</c:v>
                </c:pt>
                <c:pt idx="7">
                  <c:v>Rakúsko</c:v>
                </c:pt>
                <c:pt idx="8">
                  <c:v>Česká Rep.</c:v>
                </c:pt>
                <c:pt idx="9">
                  <c:v>Taliansko</c:v>
                </c:pt>
                <c:pt idx="10">
                  <c:v>Slovinsko</c:v>
                </c:pt>
                <c:pt idx="11">
                  <c:v>Poľsko</c:v>
                </c:pt>
                <c:pt idx="12">
                  <c:v>Portugalsko</c:v>
                </c:pt>
                <c:pt idx="13">
                  <c:v>Belgicko</c:v>
                </c:pt>
                <c:pt idx="14">
                  <c:v>Luxembursko</c:v>
                </c:pt>
                <c:pt idx="15">
                  <c:v>Španielsko</c:v>
                </c:pt>
                <c:pt idx="16">
                  <c:v>Malta</c:v>
                </c:pt>
                <c:pt idx="17">
                  <c:v>Cyprus</c:v>
                </c:pt>
                <c:pt idx="18">
                  <c:v>Švédsko</c:v>
                </c:pt>
                <c:pt idx="19">
                  <c:v>Spojené kráľ.</c:v>
                </c:pt>
                <c:pt idx="20">
                  <c:v>Rumunsko</c:v>
                </c:pt>
                <c:pt idx="21">
                  <c:v>Nemecko</c:v>
                </c:pt>
                <c:pt idx="22">
                  <c:v>Írsko</c:v>
                </c:pt>
                <c:pt idx="23">
                  <c:v>Bulharsko</c:v>
                </c:pt>
                <c:pt idx="24">
                  <c:v>Chorvátsko</c:v>
                </c:pt>
                <c:pt idx="25">
                  <c:v>Litva</c:v>
                </c:pt>
                <c:pt idx="26">
                  <c:v>Lotyšsko</c:v>
                </c:pt>
                <c:pt idx="27">
                  <c:v>Estónsko</c:v>
                </c:pt>
              </c:strCache>
            </c:strRef>
          </c:cat>
          <c:val>
            <c:numRef>
              <c:f>'Graf 59'!$M$34:$M$61</c:f>
              <c:numCache>
                <c:formatCode>General</c:formatCode>
                <c:ptCount val="28"/>
                <c:pt idx="0">
                  <c:v>22.860714285714284</c:v>
                </c:pt>
                <c:pt idx="1">
                  <c:v>22.860714285714284</c:v>
                </c:pt>
                <c:pt idx="2">
                  <c:v>22.860714285714284</c:v>
                </c:pt>
                <c:pt idx="3">
                  <c:v>22.860714285714284</c:v>
                </c:pt>
                <c:pt idx="4">
                  <c:v>22.860714285714284</c:v>
                </c:pt>
                <c:pt idx="5">
                  <c:v>22.860714285714284</c:v>
                </c:pt>
                <c:pt idx="6">
                  <c:v>22.860714285714284</c:v>
                </c:pt>
                <c:pt idx="7">
                  <c:v>22.860714285714284</c:v>
                </c:pt>
                <c:pt idx="8">
                  <c:v>22.860714285714284</c:v>
                </c:pt>
                <c:pt idx="9">
                  <c:v>22.860714285714284</c:v>
                </c:pt>
                <c:pt idx="10">
                  <c:v>22.860714285714284</c:v>
                </c:pt>
                <c:pt idx="11">
                  <c:v>22.860714285714284</c:v>
                </c:pt>
                <c:pt idx="12">
                  <c:v>22.860714285714284</c:v>
                </c:pt>
                <c:pt idx="13">
                  <c:v>22.860714285714284</c:v>
                </c:pt>
                <c:pt idx="14">
                  <c:v>22.860714285714284</c:v>
                </c:pt>
                <c:pt idx="15">
                  <c:v>22.860714285714284</c:v>
                </c:pt>
                <c:pt idx="16">
                  <c:v>22.860714285714284</c:v>
                </c:pt>
                <c:pt idx="17">
                  <c:v>22.860714285714284</c:v>
                </c:pt>
                <c:pt idx="18">
                  <c:v>22.860714285714284</c:v>
                </c:pt>
                <c:pt idx="19">
                  <c:v>22.860714285714284</c:v>
                </c:pt>
                <c:pt idx="20">
                  <c:v>22.860714285714284</c:v>
                </c:pt>
                <c:pt idx="21">
                  <c:v>22.860714285714284</c:v>
                </c:pt>
                <c:pt idx="22">
                  <c:v>22.860714285714284</c:v>
                </c:pt>
                <c:pt idx="23">
                  <c:v>22.860714285714284</c:v>
                </c:pt>
                <c:pt idx="24">
                  <c:v>22.860714285714284</c:v>
                </c:pt>
                <c:pt idx="25">
                  <c:v>22.860714285714284</c:v>
                </c:pt>
                <c:pt idx="26">
                  <c:v>22.860714285714284</c:v>
                </c:pt>
                <c:pt idx="27">
                  <c:v>22.860714285714284</c:v>
                </c:pt>
              </c:numCache>
            </c:numRef>
          </c:val>
          <c:smooth val="0"/>
        </c:ser>
        <c:ser>
          <c:idx val="5"/>
          <c:order val="5"/>
          <c:tx>
            <c:strRef>
              <c:f>'Graf 59'!$N$33</c:f>
              <c:strCache>
                <c:ptCount val="1"/>
                <c:pt idx="0">
                  <c:v>EU</c:v>
                </c:pt>
              </c:strCache>
            </c:strRef>
          </c:tx>
          <c:spPr>
            <a:ln w="12700" cap="rnd">
              <a:solidFill>
                <a:schemeClr val="accent3"/>
              </a:solidFill>
              <a:prstDash val="sysDash"/>
              <a:round/>
            </a:ln>
            <a:effectLst/>
          </c:spPr>
          <c:marker>
            <c:symbol val="none"/>
          </c:marker>
          <c:cat>
            <c:strRef>
              <c:f>'Graf 59'!$H$34:$H$61</c:f>
              <c:strCache>
                <c:ptCount val="28"/>
                <c:pt idx="0">
                  <c:v>Slovensko</c:v>
                </c:pt>
                <c:pt idx="1">
                  <c:v>Francúzsko</c:v>
                </c:pt>
                <c:pt idx="2">
                  <c:v>Grécko</c:v>
                </c:pt>
                <c:pt idx="3">
                  <c:v>Maďarsko</c:v>
                </c:pt>
                <c:pt idx="4">
                  <c:v>Fínsko</c:v>
                </c:pt>
                <c:pt idx="5">
                  <c:v>Holandsko</c:v>
                </c:pt>
                <c:pt idx="6">
                  <c:v>Dánsko</c:v>
                </c:pt>
                <c:pt idx="7">
                  <c:v>Rakúsko</c:v>
                </c:pt>
                <c:pt idx="8">
                  <c:v>Česká Rep.</c:v>
                </c:pt>
                <c:pt idx="9">
                  <c:v>Taliansko</c:v>
                </c:pt>
                <c:pt idx="10">
                  <c:v>Slovinsko</c:v>
                </c:pt>
                <c:pt idx="11">
                  <c:v>Poľsko</c:v>
                </c:pt>
                <c:pt idx="12">
                  <c:v>Portugalsko</c:v>
                </c:pt>
                <c:pt idx="13">
                  <c:v>Belgicko</c:v>
                </c:pt>
                <c:pt idx="14">
                  <c:v>Luxembursko</c:v>
                </c:pt>
                <c:pt idx="15">
                  <c:v>Španielsko</c:v>
                </c:pt>
                <c:pt idx="16">
                  <c:v>Malta</c:v>
                </c:pt>
                <c:pt idx="17">
                  <c:v>Cyprus</c:v>
                </c:pt>
                <c:pt idx="18">
                  <c:v>Švédsko</c:v>
                </c:pt>
                <c:pt idx="19">
                  <c:v>Spojené kráľ.</c:v>
                </c:pt>
                <c:pt idx="20">
                  <c:v>Rumunsko</c:v>
                </c:pt>
                <c:pt idx="21">
                  <c:v>Nemecko</c:v>
                </c:pt>
                <c:pt idx="22">
                  <c:v>Írsko</c:v>
                </c:pt>
                <c:pt idx="23">
                  <c:v>Bulharsko</c:v>
                </c:pt>
                <c:pt idx="24">
                  <c:v>Chorvátsko</c:v>
                </c:pt>
                <c:pt idx="25">
                  <c:v>Litva</c:v>
                </c:pt>
                <c:pt idx="26">
                  <c:v>Lotyšsko</c:v>
                </c:pt>
                <c:pt idx="27">
                  <c:v>Estónsko</c:v>
                </c:pt>
              </c:strCache>
            </c:strRef>
          </c:cat>
          <c:val>
            <c:numRef>
              <c:f>'Graf 59'!$N$34:$N$61</c:f>
              <c:numCache>
                <c:formatCode>General</c:formatCode>
                <c:ptCount val="28"/>
                <c:pt idx="0">
                  <c:v>-65.916714562850899</c:v>
                </c:pt>
                <c:pt idx="1">
                  <c:v>-65.916714562850899</c:v>
                </c:pt>
                <c:pt idx="2">
                  <c:v>-65.916714562850899</c:v>
                </c:pt>
                <c:pt idx="3">
                  <c:v>-65.916714562850899</c:v>
                </c:pt>
                <c:pt idx="4">
                  <c:v>-65.916714562850899</c:v>
                </c:pt>
                <c:pt idx="5">
                  <c:v>-65.916714562850899</c:v>
                </c:pt>
                <c:pt idx="6">
                  <c:v>-65.916714562850899</c:v>
                </c:pt>
                <c:pt idx="7">
                  <c:v>-65.916714562850899</c:v>
                </c:pt>
                <c:pt idx="8">
                  <c:v>-65.916714562850899</c:v>
                </c:pt>
                <c:pt idx="9">
                  <c:v>-65.916714562850899</c:v>
                </c:pt>
                <c:pt idx="10">
                  <c:v>-65.916714562850899</c:v>
                </c:pt>
                <c:pt idx="11">
                  <c:v>-65.916714562850899</c:v>
                </c:pt>
                <c:pt idx="12">
                  <c:v>-65.916714562850899</c:v>
                </c:pt>
                <c:pt idx="13">
                  <c:v>-65.916714562850899</c:v>
                </c:pt>
                <c:pt idx="14">
                  <c:v>-65.916714562850899</c:v>
                </c:pt>
                <c:pt idx="15">
                  <c:v>-65.916714562850899</c:v>
                </c:pt>
                <c:pt idx="16">
                  <c:v>-65.916714562850899</c:v>
                </c:pt>
                <c:pt idx="17">
                  <c:v>-65.916714562850899</c:v>
                </c:pt>
                <c:pt idx="18">
                  <c:v>-65.916714562850899</c:v>
                </c:pt>
                <c:pt idx="19">
                  <c:v>-65.916714562850899</c:v>
                </c:pt>
                <c:pt idx="20">
                  <c:v>-65.916714562850899</c:v>
                </c:pt>
                <c:pt idx="21">
                  <c:v>-65.916714562850899</c:v>
                </c:pt>
                <c:pt idx="22">
                  <c:v>-65.916714562850899</c:v>
                </c:pt>
                <c:pt idx="23">
                  <c:v>-65.916714562850899</c:v>
                </c:pt>
                <c:pt idx="24">
                  <c:v>-65.916714562850899</c:v>
                </c:pt>
                <c:pt idx="25">
                  <c:v>-65.916714562850899</c:v>
                </c:pt>
                <c:pt idx="26">
                  <c:v>-65.916714562850899</c:v>
                </c:pt>
                <c:pt idx="27">
                  <c:v>-65.916714562850899</c:v>
                </c:pt>
              </c:numCache>
            </c:numRef>
          </c:val>
          <c:smooth val="0"/>
        </c:ser>
        <c:dLbls>
          <c:showLegendKey val="0"/>
          <c:showVal val="0"/>
          <c:showCatName val="0"/>
          <c:showSerName val="0"/>
          <c:showPercent val="0"/>
          <c:showBubbleSize val="0"/>
        </c:dLbls>
        <c:marker val="1"/>
        <c:smooth val="0"/>
        <c:axId val="220497976"/>
        <c:axId val="220498368"/>
      </c:lineChart>
      <c:catAx>
        <c:axId val="2204979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0498368"/>
        <c:crosses val="autoZero"/>
        <c:auto val="1"/>
        <c:lblAlgn val="ctr"/>
        <c:lblOffset val="100"/>
        <c:noMultiLvlLbl val="0"/>
      </c:catAx>
      <c:valAx>
        <c:axId val="220498368"/>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0497976"/>
        <c:crosses val="autoZero"/>
        <c:crossBetween val="between"/>
      </c:valAx>
      <c:spPr>
        <a:noFill/>
        <a:ln>
          <a:noFill/>
        </a:ln>
        <a:effectLst/>
      </c:spPr>
    </c:plotArea>
    <c:legend>
      <c:legendPos val="b"/>
      <c:layout>
        <c:manualLayout>
          <c:xMode val="edge"/>
          <c:yMode val="edge"/>
          <c:x val="0.14166664231906076"/>
          <c:y val="1.6082117642271399E-2"/>
          <c:w val="0.73424549204076761"/>
          <c:h val="5.051204398266784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userShapes r:id="rId4"/>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7558757704862"/>
          <c:y val="4.0884889388826388E-2"/>
          <c:w val="0.87518166165598321"/>
          <c:h val="0.55233084500801033"/>
        </c:manualLayout>
      </c:layout>
      <c:barChart>
        <c:barDir val="col"/>
        <c:grouping val="stacked"/>
        <c:varyColors val="0"/>
        <c:ser>
          <c:idx val="0"/>
          <c:order val="0"/>
          <c:tx>
            <c:strRef>
              <c:f>'Kompenzacie-prehlad'!$K$2</c:f>
              <c:strCache>
                <c:ptCount val="1"/>
                <c:pt idx="0">
                  <c:v>Osobná asistencia</c:v>
                </c:pt>
              </c:strCache>
            </c:strRef>
          </c:tx>
          <c:spPr>
            <a:solidFill>
              <a:schemeClr val="accent1"/>
            </a:solidFill>
            <a:ln>
              <a:noFill/>
            </a:ln>
            <a:effectLst/>
          </c:spPr>
          <c:invertIfNegative val="0"/>
          <c:cat>
            <c:numRef>
              <c:f>'Kompenzacie-prehlad'!$L$1:$T$1</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'Kompenzacie-prehlad'!$L$2:$T$2</c:f>
              <c:numCache>
                <c:formatCode>General</c:formatCode>
                <c:ptCount val="9"/>
                <c:pt idx="0">
                  <c:v>29221895</c:v>
                </c:pt>
                <c:pt idx="1">
                  <c:v>31998516</c:v>
                </c:pt>
                <c:pt idx="2">
                  <c:v>35605177</c:v>
                </c:pt>
                <c:pt idx="3">
                  <c:v>38826770</c:v>
                </c:pt>
                <c:pt idx="4">
                  <c:v>41533694</c:v>
                </c:pt>
                <c:pt idx="5">
                  <c:v>43049704</c:v>
                </c:pt>
                <c:pt idx="6">
                  <c:v>44505527</c:v>
                </c:pt>
                <c:pt idx="7">
                  <c:v>45835122</c:v>
                </c:pt>
                <c:pt idx="8">
                  <c:v>55045675</c:v>
                </c:pt>
              </c:numCache>
            </c:numRef>
          </c:val>
          <c:extLst xmlns:c16r2="http://schemas.microsoft.com/office/drawing/2015/06/chart">
            <c:ext xmlns:c16="http://schemas.microsoft.com/office/drawing/2014/chart" uri="{C3380CC4-5D6E-409C-BE32-E72D297353CC}">
              <c16:uniqueId val="{00000000-C317-4861-8857-F2A10C903D5B}"/>
            </c:ext>
          </c:extLst>
        </c:ser>
        <c:ser>
          <c:idx val="1"/>
          <c:order val="1"/>
          <c:tx>
            <c:strRef>
              <c:f>'Kompenzacie-prehlad'!$K$3</c:f>
              <c:strCache>
                <c:ptCount val="1"/>
                <c:pt idx="0">
                  <c:v>Preprava</c:v>
                </c:pt>
              </c:strCache>
            </c:strRef>
          </c:tx>
          <c:spPr>
            <a:solidFill>
              <a:schemeClr val="accent5">
                <a:lumMod val="50000"/>
              </a:schemeClr>
            </a:solidFill>
            <a:ln>
              <a:noFill/>
            </a:ln>
            <a:effectLst/>
          </c:spPr>
          <c:invertIfNegative val="0"/>
          <c:cat>
            <c:numRef>
              <c:f>'Kompenzacie-prehlad'!$L$1:$T$1</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'Kompenzacie-prehlad'!$L$3:$T$3</c:f>
              <c:numCache>
                <c:formatCode>General</c:formatCode>
                <c:ptCount val="9"/>
                <c:pt idx="0">
                  <c:v>2646031</c:v>
                </c:pt>
                <c:pt idx="1">
                  <c:v>2746365</c:v>
                </c:pt>
                <c:pt idx="2">
                  <c:v>2891833</c:v>
                </c:pt>
                <c:pt idx="3">
                  <c:v>3005623</c:v>
                </c:pt>
                <c:pt idx="4">
                  <c:v>2987269</c:v>
                </c:pt>
                <c:pt idx="5">
                  <c:v>3014428</c:v>
                </c:pt>
                <c:pt idx="6">
                  <c:v>3080390</c:v>
                </c:pt>
                <c:pt idx="7">
                  <c:v>3135013</c:v>
                </c:pt>
                <c:pt idx="8">
                  <c:v>3221829</c:v>
                </c:pt>
              </c:numCache>
            </c:numRef>
          </c:val>
          <c:extLst xmlns:c16r2="http://schemas.microsoft.com/office/drawing/2015/06/chart">
            <c:ext xmlns:c16="http://schemas.microsoft.com/office/drawing/2014/chart" uri="{C3380CC4-5D6E-409C-BE32-E72D297353CC}">
              <c16:uniqueId val="{00000001-C317-4861-8857-F2A10C903D5B}"/>
            </c:ext>
          </c:extLst>
        </c:ser>
        <c:ser>
          <c:idx val="2"/>
          <c:order val="2"/>
          <c:tx>
            <c:strRef>
              <c:f>'Kompenzacie-prehlad'!$K$4</c:f>
              <c:strCache>
                <c:ptCount val="1"/>
                <c:pt idx="0">
                  <c:v>Kompenzácia zvýšených výdavkov</c:v>
                </c:pt>
              </c:strCache>
            </c:strRef>
          </c:tx>
          <c:spPr>
            <a:solidFill>
              <a:schemeClr val="accent3"/>
            </a:solidFill>
            <a:ln>
              <a:noFill/>
            </a:ln>
            <a:effectLst/>
          </c:spPr>
          <c:invertIfNegative val="0"/>
          <c:cat>
            <c:numRef>
              <c:f>'Kompenzacie-prehlad'!$L$1:$T$1</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'Kompenzacie-prehlad'!$L$4:$T$4</c:f>
              <c:numCache>
                <c:formatCode>General</c:formatCode>
                <c:ptCount val="9"/>
                <c:pt idx="0">
                  <c:v>53877907</c:v>
                </c:pt>
                <c:pt idx="1">
                  <c:v>56732897</c:v>
                </c:pt>
                <c:pt idx="2">
                  <c:v>60186745</c:v>
                </c:pt>
                <c:pt idx="3">
                  <c:v>62656833</c:v>
                </c:pt>
                <c:pt idx="4">
                  <c:v>64133628</c:v>
                </c:pt>
                <c:pt idx="5">
                  <c:v>63883538</c:v>
                </c:pt>
                <c:pt idx="6">
                  <c:v>63058208</c:v>
                </c:pt>
                <c:pt idx="7">
                  <c:v>62007899</c:v>
                </c:pt>
                <c:pt idx="8">
                  <c:v>61884759</c:v>
                </c:pt>
              </c:numCache>
            </c:numRef>
          </c:val>
          <c:extLst xmlns:c16r2="http://schemas.microsoft.com/office/drawing/2015/06/chart">
            <c:ext xmlns:c16="http://schemas.microsoft.com/office/drawing/2014/chart" uri="{C3380CC4-5D6E-409C-BE32-E72D297353CC}">
              <c16:uniqueId val="{00000002-C317-4861-8857-F2A10C903D5B}"/>
            </c:ext>
          </c:extLst>
        </c:ser>
        <c:ser>
          <c:idx val="3"/>
          <c:order val="3"/>
          <c:tx>
            <c:strRef>
              <c:f>'Kompenzacie-prehlad'!$K$5</c:f>
              <c:strCache>
                <c:ptCount val="1"/>
                <c:pt idx="0">
                  <c:v>Opatrovanie</c:v>
                </c:pt>
              </c:strCache>
            </c:strRef>
          </c:tx>
          <c:spPr>
            <a:pattFill prst="dkUpDiag">
              <a:fgClr>
                <a:schemeClr val="accent1"/>
              </a:fgClr>
              <a:bgClr>
                <a:schemeClr val="bg1"/>
              </a:bgClr>
            </a:pattFill>
            <a:ln>
              <a:noFill/>
            </a:ln>
            <a:effectLst/>
          </c:spPr>
          <c:invertIfNegative val="0"/>
          <c:cat>
            <c:numRef>
              <c:f>'Kompenzacie-prehlad'!$L$1:$T$1</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'Kompenzacie-prehlad'!$L$5:$T$5</c:f>
              <c:numCache>
                <c:formatCode>General</c:formatCode>
                <c:ptCount val="9"/>
                <c:pt idx="0">
                  <c:v>96161310</c:v>
                </c:pt>
                <c:pt idx="1">
                  <c:v>95931591</c:v>
                </c:pt>
                <c:pt idx="2">
                  <c:v>103855374</c:v>
                </c:pt>
                <c:pt idx="3">
                  <c:v>105814295</c:v>
                </c:pt>
                <c:pt idx="4">
                  <c:v>104309411</c:v>
                </c:pt>
                <c:pt idx="5">
                  <c:v>97335801</c:v>
                </c:pt>
                <c:pt idx="6">
                  <c:v>92364482</c:v>
                </c:pt>
                <c:pt idx="7">
                  <c:v>110681082</c:v>
                </c:pt>
                <c:pt idx="8">
                  <c:v>149431226</c:v>
                </c:pt>
              </c:numCache>
            </c:numRef>
          </c:val>
          <c:extLst xmlns:c16r2="http://schemas.microsoft.com/office/drawing/2015/06/chart">
            <c:ext xmlns:c16="http://schemas.microsoft.com/office/drawing/2014/chart" uri="{C3380CC4-5D6E-409C-BE32-E72D297353CC}">
              <c16:uniqueId val="{00000003-C317-4861-8857-F2A10C903D5B}"/>
            </c:ext>
          </c:extLst>
        </c:ser>
        <c:ser>
          <c:idx val="4"/>
          <c:order val="4"/>
          <c:tx>
            <c:strRef>
              <c:f>'Kompenzacie-prehlad'!$K$6</c:f>
              <c:strCache>
                <c:ptCount val="1"/>
                <c:pt idx="0">
                  <c:v>Kúpa, úprava, oprava alebo výcvik používania pomôcky</c:v>
                </c:pt>
              </c:strCache>
            </c:strRef>
          </c:tx>
          <c:spPr>
            <a:solidFill>
              <a:schemeClr val="bg2">
                <a:lumMod val="50000"/>
              </a:schemeClr>
            </a:solidFill>
            <a:ln>
              <a:noFill/>
            </a:ln>
            <a:effectLst/>
          </c:spPr>
          <c:invertIfNegative val="0"/>
          <c:cat>
            <c:numRef>
              <c:f>'Kompenzacie-prehlad'!$L$1:$T$1</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'Kompenzacie-prehlad'!$L$6:$T$6</c:f>
              <c:numCache>
                <c:formatCode>General</c:formatCode>
                <c:ptCount val="9"/>
                <c:pt idx="0">
                  <c:v>2985535</c:v>
                </c:pt>
                <c:pt idx="1">
                  <c:v>2670799</c:v>
                </c:pt>
                <c:pt idx="2">
                  <c:v>2639539</c:v>
                </c:pt>
                <c:pt idx="3">
                  <c:v>2562733</c:v>
                </c:pt>
                <c:pt idx="4">
                  <c:v>2691849</c:v>
                </c:pt>
                <c:pt idx="5">
                  <c:v>2672123</c:v>
                </c:pt>
                <c:pt idx="6">
                  <c:v>2486970</c:v>
                </c:pt>
                <c:pt idx="7">
                  <c:v>2571420</c:v>
                </c:pt>
                <c:pt idx="8">
                  <c:v>2313964</c:v>
                </c:pt>
              </c:numCache>
            </c:numRef>
          </c:val>
          <c:extLst xmlns:c16r2="http://schemas.microsoft.com/office/drawing/2015/06/chart">
            <c:ext xmlns:c16="http://schemas.microsoft.com/office/drawing/2014/chart" uri="{C3380CC4-5D6E-409C-BE32-E72D297353CC}">
              <c16:uniqueId val="{00000004-C317-4861-8857-F2A10C903D5B}"/>
            </c:ext>
          </c:extLst>
        </c:ser>
        <c:ser>
          <c:idx val="5"/>
          <c:order val="5"/>
          <c:tx>
            <c:strRef>
              <c:f>'Kompenzacie-prehlad'!$K$7</c:f>
              <c:strCache>
                <c:ptCount val="1"/>
                <c:pt idx="0">
                  <c:v>Kúpa zdvíhacieho zariadenia </c:v>
                </c:pt>
              </c:strCache>
            </c:strRef>
          </c:tx>
          <c:spPr>
            <a:solidFill>
              <a:schemeClr val="accent1">
                <a:lumMod val="20000"/>
                <a:lumOff val="80000"/>
              </a:schemeClr>
            </a:solidFill>
            <a:ln>
              <a:noFill/>
            </a:ln>
            <a:effectLst/>
          </c:spPr>
          <c:invertIfNegative val="0"/>
          <c:cat>
            <c:numRef>
              <c:f>'Kompenzacie-prehlad'!$L$1:$T$1</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'Kompenzacie-prehlad'!$L$7:$T$7</c:f>
              <c:numCache>
                <c:formatCode>General</c:formatCode>
                <c:ptCount val="9"/>
                <c:pt idx="0">
                  <c:v>4014455</c:v>
                </c:pt>
                <c:pt idx="1">
                  <c:v>4855864</c:v>
                </c:pt>
                <c:pt idx="2">
                  <c:v>5162691</c:v>
                </c:pt>
                <c:pt idx="3">
                  <c:v>5208925</c:v>
                </c:pt>
                <c:pt idx="4">
                  <c:v>6151107</c:v>
                </c:pt>
                <c:pt idx="5">
                  <c:v>7191197</c:v>
                </c:pt>
                <c:pt idx="6">
                  <c:v>7312849</c:v>
                </c:pt>
                <c:pt idx="7">
                  <c:v>6933928</c:v>
                </c:pt>
                <c:pt idx="8">
                  <c:v>8466655</c:v>
                </c:pt>
              </c:numCache>
            </c:numRef>
          </c:val>
          <c:extLst xmlns:c16r2="http://schemas.microsoft.com/office/drawing/2015/06/chart">
            <c:ext xmlns:c16="http://schemas.microsoft.com/office/drawing/2014/chart" uri="{C3380CC4-5D6E-409C-BE32-E72D297353CC}">
              <c16:uniqueId val="{00000005-C317-4861-8857-F2A10C903D5B}"/>
            </c:ext>
          </c:extLst>
        </c:ser>
        <c:ser>
          <c:idx val="6"/>
          <c:order val="6"/>
          <c:tx>
            <c:strRef>
              <c:f>'Kompenzacie-prehlad'!$K$8</c:f>
              <c:strCache>
                <c:ptCount val="1"/>
                <c:pt idx="0">
                  <c:v>Kúpa osobného motorového vozidla </c:v>
                </c:pt>
              </c:strCache>
            </c:strRef>
          </c:tx>
          <c:spPr>
            <a:pattFill prst="pct60">
              <a:fgClr>
                <a:schemeClr val="accent1">
                  <a:lumMod val="50000"/>
                </a:schemeClr>
              </a:fgClr>
              <a:bgClr>
                <a:schemeClr val="bg1"/>
              </a:bgClr>
            </a:pattFill>
            <a:ln>
              <a:noFill/>
            </a:ln>
            <a:effectLst/>
          </c:spPr>
          <c:invertIfNegative val="0"/>
          <c:cat>
            <c:numRef>
              <c:f>'Kompenzacie-prehlad'!$L$1:$T$1</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'Kompenzacie-prehlad'!$L$8:$T$8</c:f>
              <c:numCache>
                <c:formatCode>General</c:formatCode>
                <c:ptCount val="9"/>
                <c:pt idx="0">
                  <c:v>11252676</c:v>
                </c:pt>
                <c:pt idx="1">
                  <c:v>9777104</c:v>
                </c:pt>
                <c:pt idx="2">
                  <c:v>10144434</c:v>
                </c:pt>
                <c:pt idx="3">
                  <c:v>9952625</c:v>
                </c:pt>
                <c:pt idx="4">
                  <c:v>9871432</c:v>
                </c:pt>
                <c:pt idx="5">
                  <c:v>10433095</c:v>
                </c:pt>
                <c:pt idx="6">
                  <c:v>10296779</c:v>
                </c:pt>
                <c:pt idx="7">
                  <c:v>9715316</c:v>
                </c:pt>
                <c:pt idx="8">
                  <c:v>9516086</c:v>
                </c:pt>
              </c:numCache>
            </c:numRef>
          </c:val>
          <c:extLst xmlns:c16r2="http://schemas.microsoft.com/office/drawing/2015/06/chart">
            <c:ext xmlns:c16="http://schemas.microsoft.com/office/drawing/2014/chart" uri="{C3380CC4-5D6E-409C-BE32-E72D297353CC}">
              <c16:uniqueId val="{00000006-C317-4861-8857-F2A10C903D5B}"/>
            </c:ext>
          </c:extLst>
        </c:ser>
        <c:ser>
          <c:idx val="7"/>
          <c:order val="7"/>
          <c:tx>
            <c:strRef>
              <c:f>'Kompenzacie-prehlad'!$K$9</c:f>
              <c:strCache>
                <c:ptCount val="1"/>
                <c:pt idx="0">
                  <c:v>Úprava vozidla/bytu/domu/garáže </c:v>
                </c:pt>
              </c:strCache>
            </c:strRef>
          </c:tx>
          <c:spPr>
            <a:solidFill>
              <a:schemeClr val="accent5"/>
            </a:solidFill>
            <a:ln>
              <a:noFill/>
            </a:ln>
            <a:effectLst/>
          </c:spPr>
          <c:invertIfNegative val="0"/>
          <c:cat>
            <c:numRef>
              <c:f>'Kompenzacie-prehlad'!$L$1:$T$1</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'Kompenzacie-prehlad'!$L$9:$T$9</c:f>
              <c:numCache>
                <c:formatCode>General</c:formatCode>
                <c:ptCount val="9"/>
                <c:pt idx="0">
                  <c:v>6951587</c:v>
                </c:pt>
                <c:pt idx="1">
                  <c:v>5927260</c:v>
                </c:pt>
                <c:pt idx="2">
                  <c:v>5156829</c:v>
                </c:pt>
                <c:pt idx="3">
                  <c:v>4550293</c:v>
                </c:pt>
                <c:pt idx="4">
                  <c:v>4224139</c:v>
                </c:pt>
                <c:pt idx="5">
                  <c:v>3917073</c:v>
                </c:pt>
                <c:pt idx="6">
                  <c:v>3388090</c:v>
                </c:pt>
                <c:pt idx="7">
                  <c:v>3072194</c:v>
                </c:pt>
                <c:pt idx="8">
                  <c:v>3090552</c:v>
                </c:pt>
              </c:numCache>
            </c:numRef>
          </c:val>
          <c:extLst xmlns:c16r2="http://schemas.microsoft.com/office/drawing/2015/06/chart">
            <c:ext xmlns:c16="http://schemas.microsoft.com/office/drawing/2014/chart" uri="{C3380CC4-5D6E-409C-BE32-E72D297353CC}">
              <c16:uniqueId val="{00000007-C317-4861-8857-F2A10C903D5B}"/>
            </c:ext>
          </c:extLst>
        </c:ser>
        <c:dLbls>
          <c:showLegendKey val="0"/>
          <c:showVal val="0"/>
          <c:showCatName val="0"/>
          <c:showSerName val="0"/>
          <c:showPercent val="0"/>
          <c:showBubbleSize val="0"/>
        </c:dLbls>
        <c:gapWidth val="150"/>
        <c:overlap val="100"/>
        <c:axId val="220498760"/>
        <c:axId val="220499152"/>
      </c:barChart>
      <c:catAx>
        <c:axId val="220498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0499152"/>
        <c:crosses val="autoZero"/>
        <c:auto val="1"/>
        <c:lblAlgn val="ctr"/>
        <c:lblOffset val="100"/>
        <c:noMultiLvlLbl val="0"/>
      </c:catAx>
      <c:valAx>
        <c:axId val="220499152"/>
        <c:scaling>
          <c:orientation val="minMax"/>
          <c:max val="300000000"/>
        </c:scaling>
        <c:delete val="0"/>
        <c:axPos val="l"/>
        <c:majorGridlines>
          <c:spPr>
            <a:ln w="9525" cap="flat" cmpd="sng" algn="ctr">
              <a:solidFill>
                <a:schemeClr val="tx1">
                  <a:lumMod val="15000"/>
                  <a:lumOff val="85000"/>
                </a:schemeClr>
              </a:solidFill>
              <a:prstDash val="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0498760"/>
        <c:crosses val="autoZero"/>
        <c:crossBetween val="between"/>
        <c:majorUnit val="50000000"/>
        <c:dispUnits>
          <c:builtInUnit val="millions"/>
        </c:dispUnits>
      </c:valAx>
      <c:spPr>
        <a:noFill/>
        <a:ln>
          <a:noFill/>
        </a:ln>
        <a:effectLst/>
      </c:spPr>
    </c:plotArea>
    <c:legend>
      <c:legendPos val="b"/>
      <c:layout>
        <c:manualLayout>
          <c:xMode val="edge"/>
          <c:yMode val="edge"/>
          <c:x val="1.1055974852725834E-2"/>
          <c:y val="0.69057981388690048"/>
          <c:w val="0.96736148449327153"/>
          <c:h val="0.3041292565702014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07691967796955"/>
          <c:y val="5.0925925925925923E-2"/>
          <c:w val="0.76431754111544137"/>
          <c:h val="0.6805380577427822"/>
        </c:manualLayout>
      </c:layout>
      <c:barChart>
        <c:barDir val="col"/>
        <c:grouping val="clustered"/>
        <c:varyColors val="0"/>
        <c:ser>
          <c:idx val="0"/>
          <c:order val="0"/>
          <c:tx>
            <c:strRef>
              <c:f>'opatrovanie-vyska PP'!$A$19</c:f>
              <c:strCache>
                <c:ptCount val="1"/>
                <c:pt idx="0">
                  <c:v>Príspevok, eur</c:v>
                </c:pt>
              </c:strCache>
            </c:strRef>
          </c:tx>
          <c:spPr>
            <a:solidFill>
              <a:schemeClr val="accent1"/>
            </a:solidFill>
            <a:ln>
              <a:noFill/>
            </a:ln>
            <a:effectLst/>
          </c:spPr>
          <c:invertIfNegative val="0"/>
          <c:cat>
            <c:numRef>
              <c:f>'opatrovanie-vyska PP'!$B$18:$K$18</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'opatrovanie-vyska PP'!$B$19:$K$19</c:f>
              <c:numCache>
                <c:formatCode>0.0</c:formatCode>
                <c:ptCount val="10"/>
                <c:pt idx="0">
                  <c:v>206.37</c:v>
                </c:pt>
                <c:pt idx="1">
                  <c:v>211.32</c:v>
                </c:pt>
                <c:pt idx="2">
                  <c:v>216.61</c:v>
                </c:pt>
                <c:pt idx="3">
                  <c:v>220.52</c:v>
                </c:pt>
                <c:pt idx="4">
                  <c:v>220.52</c:v>
                </c:pt>
                <c:pt idx="5">
                  <c:v>220.52</c:v>
                </c:pt>
                <c:pt idx="6">
                  <c:v>220.52</c:v>
                </c:pt>
                <c:pt idx="7">
                  <c:v>249.35</c:v>
                </c:pt>
                <c:pt idx="8">
                  <c:v>369.36</c:v>
                </c:pt>
                <c:pt idx="9">
                  <c:v>430.35</c:v>
                </c:pt>
              </c:numCache>
            </c:numRef>
          </c:val>
          <c:extLst xmlns:c16r2="http://schemas.microsoft.com/office/drawing/2015/06/chart">
            <c:ext xmlns:c16="http://schemas.microsoft.com/office/drawing/2014/chart" uri="{C3380CC4-5D6E-409C-BE32-E72D297353CC}">
              <c16:uniqueId val="{00000000-2BA4-4D26-A3A2-697C245D706F}"/>
            </c:ext>
          </c:extLst>
        </c:ser>
        <c:dLbls>
          <c:showLegendKey val="0"/>
          <c:showVal val="0"/>
          <c:showCatName val="0"/>
          <c:showSerName val="0"/>
          <c:showPercent val="0"/>
          <c:showBubbleSize val="0"/>
        </c:dLbls>
        <c:gapWidth val="219"/>
        <c:overlap val="-27"/>
        <c:axId val="220499936"/>
        <c:axId val="220500328"/>
      </c:barChart>
      <c:lineChart>
        <c:grouping val="standard"/>
        <c:varyColors val="0"/>
        <c:ser>
          <c:idx val="1"/>
          <c:order val="1"/>
          <c:tx>
            <c:strRef>
              <c:f>'opatrovanie-vyska PP'!$A$20</c:f>
              <c:strCache>
                <c:ptCount val="1"/>
                <c:pt idx="0">
                  <c:v>% stredného príjmu - pravá os</c:v>
                </c:pt>
              </c:strCache>
            </c:strRef>
          </c:tx>
          <c:spPr>
            <a:ln w="28575" cap="rnd">
              <a:solidFill>
                <a:schemeClr val="accent5">
                  <a:lumMod val="50000"/>
                </a:schemeClr>
              </a:solidFill>
              <a:round/>
            </a:ln>
            <a:effectLst/>
          </c:spPr>
          <c:marker>
            <c:symbol val="none"/>
          </c:marker>
          <c:dPt>
            <c:idx val="9"/>
            <c:marker>
              <c:symbol val="none"/>
            </c:marker>
            <c:bubble3D val="0"/>
            <c:spPr>
              <a:ln w="28575" cap="rnd">
                <a:solidFill>
                  <a:schemeClr val="accent5">
                    <a:lumMod val="50000"/>
                  </a:schemeClr>
                </a:solidFill>
                <a:prstDash val="sysDot"/>
                <a:round/>
              </a:ln>
              <a:effectLst/>
            </c:spPr>
            <c:extLst xmlns:c16r2="http://schemas.microsoft.com/office/drawing/2015/06/chart">
              <c:ext xmlns:c16="http://schemas.microsoft.com/office/drawing/2014/chart" uri="{C3380CC4-5D6E-409C-BE32-E72D297353CC}">
                <c16:uniqueId val="{00000002-2BA4-4D26-A3A2-697C245D706F}"/>
              </c:ext>
            </c:extLst>
          </c:dPt>
          <c:cat>
            <c:numRef>
              <c:f>'opatrovanie-vyska PP'!$B$18:$K$18</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'opatrovanie-vyska PP'!$B$20:$K$20</c:f>
              <c:numCache>
                <c:formatCode>0</c:formatCode>
                <c:ptCount val="10"/>
                <c:pt idx="0">
                  <c:v>40.486757493188016</c:v>
                </c:pt>
                <c:pt idx="1">
                  <c:v>40.208879492600424</c:v>
                </c:pt>
                <c:pt idx="2">
                  <c:v>37.526275264677579</c:v>
                </c:pt>
                <c:pt idx="3">
                  <c:v>39.281147946561113</c:v>
                </c:pt>
                <c:pt idx="4">
                  <c:v>38.858149779735683</c:v>
                </c:pt>
                <c:pt idx="5">
                  <c:v>38.185281385281385</c:v>
                </c:pt>
                <c:pt idx="6">
                  <c:v>38.066267082234482</c:v>
                </c:pt>
                <c:pt idx="7">
                  <c:v>41.654756380510399</c:v>
                </c:pt>
                <c:pt idx="8">
                  <c:v>59.414477211796253</c:v>
                </c:pt>
                <c:pt idx="9">
                  <c:v>66.657867878012524</c:v>
                </c:pt>
              </c:numCache>
            </c:numRef>
          </c:val>
          <c:smooth val="0"/>
          <c:extLst xmlns:c16r2="http://schemas.microsoft.com/office/drawing/2015/06/chart">
            <c:ext xmlns:c16="http://schemas.microsoft.com/office/drawing/2014/chart" uri="{C3380CC4-5D6E-409C-BE32-E72D297353CC}">
              <c16:uniqueId val="{00000003-2BA4-4D26-A3A2-697C245D706F}"/>
            </c:ext>
          </c:extLst>
        </c:ser>
        <c:ser>
          <c:idx val="2"/>
          <c:order val="2"/>
          <c:tx>
            <c:strRef>
              <c:f>'opatrovanie-vyska PP'!$A$21</c:f>
              <c:strCache>
                <c:ptCount val="1"/>
                <c:pt idx="0">
                  <c:v>Hranica rizika chudoby - pravá os</c:v>
                </c:pt>
              </c:strCache>
            </c:strRef>
          </c:tx>
          <c:spPr>
            <a:ln w="28575" cap="rnd">
              <a:solidFill>
                <a:schemeClr val="tx1"/>
              </a:solidFill>
              <a:prstDash val="sysDash"/>
              <a:round/>
            </a:ln>
            <a:effectLst/>
          </c:spPr>
          <c:marker>
            <c:symbol val="none"/>
          </c:marker>
          <c:cat>
            <c:numRef>
              <c:f>'opatrovanie-vyska PP'!$B$18:$K$18</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'opatrovanie-vyska PP'!$B$21:$K$21</c:f>
              <c:numCache>
                <c:formatCode>0</c:formatCode>
                <c:ptCount val="10"/>
                <c:pt idx="0">
                  <c:v>60</c:v>
                </c:pt>
                <c:pt idx="1">
                  <c:v>60</c:v>
                </c:pt>
                <c:pt idx="2">
                  <c:v>60</c:v>
                </c:pt>
                <c:pt idx="3">
                  <c:v>60</c:v>
                </c:pt>
                <c:pt idx="4">
                  <c:v>60</c:v>
                </c:pt>
                <c:pt idx="5">
                  <c:v>60</c:v>
                </c:pt>
                <c:pt idx="6">
                  <c:v>60</c:v>
                </c:pt>
                <c:pt idx="7">
                  <c:v>60</c:v>
                </c:pt>
                <c:pt idx="8">
                  <c:v>60</c:v>
                </c:pt>
                <c:pt idx="9">
                  <c:v>60</c:v>
                </c:pt>
              </c:numCache>
            </c:numRef>
          </c:val>
          <c:smooth val="0"/>
          <c:extLst xmlns:c16r2="http://schemas.microsoft.com/office/drawing/2015/06/chart">
            <c:ext xmlns:c16="http://schemas.microsoft.com/office/drawing/2014/chart" uri="{C3380CC4-5D6E-409C-BE32-E72D297353CC}">
              <c16:uniqueId val="{00000004-2BA4-4D26-A3A2-697C245D706F}"/>
            </c:ext>
          </c:extLst>
        </c:ser>
        <c:dLbls>
          <c:showLegendKey val="0"/>
          <c:showVal val="0"/>
          <c:showCatName val="0"/>
          <c:showSerName val="0"/>
          <c:showPercent val="0"/>
          <c:showBubbleSize val="0"/>
        </c:dLbls>
        <c:marker val="1"/>
        <c:smooth val="0"/>
        <c:axId val="220501112"/>
        <c:axId val="220500720"/>
      </c:lineChart>
      <c:catAx>
        <c:axId val="220499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0500328"/>
        <c:crosses val="autoZero"/>
        <c:auto val="1"/>
        <c:lblAlgn val="ctr"/>
        <c:lblOffset val="100"/>
        <c:noMultiLvlLbl val="0"/>
      </c:catAx>
      <c:valAx>
        <c:axId val="220500328"/>
        <c:scaling>
          <c:orientation val="minMax"/>
          <c:max val="450"/>
        </c:scaling>
        <c:delete val="0"/>
        <c:axPos val="l"/>
        <c:majorGridlines>
          <c:spPr>
            <a:ln w="9525" cap="flat" cmpd="sng" algn="ctr">
              <a:solidFill>
                <a:schemeClr val="tx1">
                  <a:lumMod val="15000"/>
                  <a:lumOff val="85000"/>
                </a:schemeClr>
              </a:solidFill>
              <a:prstDash val="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0499936"/>
        <c:crosses val="autoZero"/>
        <c:crossBetween val="between"/>
      </c:valAx>
      <c:valAx>
        <c:axId val="220500720"/>
        <c:scaling>
          <c:orientation val="minMax"/>
          <c:max val="9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0501112"/>
        <c:crosses val="max"/>
        <c:crossBetween val="between"/>
      </c:valAx>
      <c:catAx>
        <c:axId val="220501112"/>
        <c:scaling>
          <c:orientation val="minMax"/>
        </c:scaling>
        <c:delete val="1"/>
        <c:axPos val="b"/>
        <c:numFmt formatCode="General" sourceLinked="1"/>
        <c:majorTickMark val="out"/>
        <c:minorTickMark val="none"/>
        <c:tickLblPos val="nextTo"/>
        <c:crossAx val="220500720"/>
        <c:crosses val="autoZero"/>
        <c:auto val="1"/>
        <c:lblAlgn val="ctr"/>
        <c:lblOffset val="100"/>
        <c:noMultiLvlLbl val="0"/>
      </c:catAx>
      <c:spPr>
        <a:noFill/>
        <a:ln>
          <a:noFill/>
        </a:ln>
        <a:effectLst/>
      </c:spPr>
    </c:plotArea>
    <c:legend>
      <c:legendPos val="b"/>
      <c:layout>
        <c:manualLayout>
          <c:xMode val="edge"/>
          <c:yMode val="edge"/>
          <c:x val="0.10833726592256776"/>
          <c:y val="0.87904928550597838"/>
          <c:w val="0.83719716853575121"/>
          <c:h val="0.1070618256051326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userShapes r:id="rId4"/>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261581760111306E-2"/>
          <c:y val="0.11428102372838927"/>
          <c:w val="0.85956171141257942"/>
          <c:h val="0.67267004015350307"/>
        </c:manualLayout>
      </c:layout>
      <c:lineChart>
        <c:grouping val="standard"/>
        <c:varyColors val="0"/>
        <c:ser>
          <c:idx val="0"/>
          <c:order val="0"/>
          <c:tx>
            <c:strRef>
              <c:f>'Graf 62'!$S$1</c:f>
              <c:strCache>
                <c:ptCount val="1"/>
                <c:pt idx="0">
                  <c:v>Príjem zo zamestnania</c:v>
                </c:pt>
              </c:strCache>
            </c:strRef>
          </c:tx>
          <c:spPr>
            <a:ln w="28575" cap="rnd">
              <a:solidFill>
                <a:schemeClr val="accent1"/>
              </a:solidFill>
              <a:round/>
            </a:ln>
            <a:effectLst/>
          </c:spPr>
          <c:marker>
            <c:symbol val="none"/>
          </c:marker>
          <c:cat>
            <c:numRef>
              <c:f>'Graf 62'!$R$2:$R$104</c:f>
              <c:numCache>
                <c:formatCode>General</c:formatCode>
                <c:ptCount val="103"/>
                <c:pt idx="0">
                  <c:v>480</c:v>
                </c:pt>
                <c:pt idx="1">
                  <c:v>490</c:v>
                </c:pt>
                <c:pt idx="2">
                  <c:v>500</c:v>
                </c:pt>
                <c:pt idx="3">
                  <c:v>510</c:v>
                </c:pt>
                <c:pt idx="4">
                  <c:v>520</c:v>
                </c:pt>
                <c:pt idx="5">
                  <c:v>530</c:v>
                </c:pt>
                <c:pt idx="6">
                  <c:v>540</c:v>
                </c:pt>
                <c:pt idx="7">
                  <c:v>550</c:v>
                </c:pt>
                <c:pt idx="8">
                  <c:v>560</c:v>
                </c:pt>
                <c:pt idx="9">
                  <c:v>570</c:v>
                </c:pt>
                <c:pt idx="10">
                  <c:v>580</c:v>
                </c:pt>
                <c:pt idx="11">
                  <c:v>590</c:v>
                </c:pt>
                <c:pt idx="12">
                  <c:v>600</c:v>
                </c:pt>
                <c:pt idx="13">
                  <c:v>610</c:v>
                </c:pt>
                <c:pt idx="14">
                  <c:v>620</c:v>
                </c:pt>
                <c:pt idx="15">
                  <c:v>630</c:v>
                </c:pt>
                <c:pt idx="16">
                  <c:v>640</c:v>
                </c:pt>
                <c:pt idx="17">
                  <c:v>650</c:v>
                </c:pt>
                <c:pt idx="18">
                  <c:v>660</c:v>
                </c:pt>
                <c:pt idx="19">
                  <c:v>670</c:v>
                </c:pt>
                <c:pt idx="20">
                  <c:v>680</c:v>
                </c:pt>
                <c:pt idx="21">
                  <c:v>690</c:v>
                </c:pt>
                <c:pt idx="22">
                  <c:v>700</c:v>
                </c:pt>
                <c:pt idx="23">
                  <c:v>710</c:v>
                </c:pt>
                <c:pt idx="24">
                  <c:v>720</c:v>
                </c:pt>
                <c:pt idx="25">
                  <c:v>730</c:v>
                </c:pt>
                <c:pt idx="26">
                  <c:v>740</c:v>
                </c:pt>
                <c:pt idx="27">
                  <c:v>750</c:v>
                </c:pt>
                <c:pt idx="28">
                  <c:v>760</c:v>
                </c:pt>
                <c:pt idx="29">
                  <c:v>770</c:v>
                </c:pt>
                <c:pt idx="30">
                  <c:v>780</c:v>
                </c:pt>
                <c:pt idx="31">
                  <c:v>790</c:v>
                </c:pt>
                <c:pt idx="32">
                  <c:v>800</c:v>
                </c:pt>
                <c:pt idx="33">
                  <c:v>810</c:v>
                </c:pt>
                <c:pt idx="34">
                  <c:v>820</c:v>
                </c:pt>
                <c:pt idx="35">
                  <c:v>830</c:v>
                </c:pt>
                <c:pt idx="36">
                  <c:v>840</c:v>
                </c:pt>
                <c:pt idx="37">
                  <c:v>850</c:v>
                </c:pt>
                <c:pt idx="38">
                  <c:v>860</c:v>
                </c:pt>
                <c:pt idx="39">
                  <c:v>870</c:v>
                </c:pt>
                <c:pt idx="40">
                  <c:v>880</c:v>
                </c:pt>
                <c:pt idx="41">
                  <c:v>890</c:v>
                </c:pt>
                <c:pt idx="42">
                  <c:v>900</c:v>
                </c:pt>
                <c:pt idx="43">
                  <c:v>910</c:v>
                </c:pt>
                <c:pt idx="44">
                  <c:v>920</c:v>
                </c:pt>
                <c:pt idx="45">
                  <c:v>930</c:v>
                </c:pt>
                <c:pt idx="46">
                  <c:v>940</c:v>
                </c:pt>
                <c:pt idx="47">
                  <c:v>950</c:v>
                </c:pt>
                <c:pt idx="48">
                  <c:v>960</c:v>
                </c:pt>
                <c:pt idx="49">
                  <c:v>970</c:v>
                </c:pt>
                <c:pt idx="50">
                  <c:v>980</c:v>
                </c:pt>
                <c:pt idx="51">
                  <c:v>990</c:v>
                </c:pt>
                <c:pt idx="52">
                  <c:v>1000</c:v>
                </c:pt>
                <c:pt idx="53">
                  <c:v>1010</c:v>
                </c:pt>
                <c:pt idx="54">
                  <c:v>1020</c:v>
                </c:pt>
                <c:pt idx="55">
                  <c:v>1030</c:v>
                </c:pt>
                <c:pt idx="56">
                  <c:v>1040</c:v>
                </c:pt>
                <c:pt idx="57">
                  <c:v>1050</c:v>
                </c:pt>
                <c:pt idx="58">
                  <c:v>1060</c:v>
                </c:pt>
                <c:pt idx="59">
                  <c:v>1070</c:v>
                </c:pt>
                <c:pt idx="60">
                  <c:v>1080</c:v>
                </c:pt>
                <c:pt idx="61">
                  <c:v>1090</c:v>
                </c:pt>
                <c:pt idx="62">
                  <c:v>1100</c:v>
                </c:pt>
                <c:pt idx="63">
                  <c:v>1110</c:v>
                </c:pt>
                <c:pt idx="64">
                  <c:v>1120</c:v>
                </c:pt>
                <c:pt idx="65">
                  <c:v>1130</c:v>
                </c:pt>
                <c:pt idx="66">
                  <c:v>1140</c:v>
                </c:pt>
                <c:pt idx="67">
                  <c:v>1150</c:v>
                </c:pt>
                <c:pt idx="68">
                  <c:v>1160</c:v>
                </c:pt>
                <c:pt idx="69">
                  <c:v>1170</c:v>
                </c:pt>
                <c:pt idx="70">
                  <c:v>1180</c:v>
                </c:pt>
                <c:pt idx="71">
                  <c:v>1190</c:v>
                </c:pt>
                <c:pt idx="72">
                  <c:v>1200</c:v>
                </c:pt>
                <c:pt idx="73">
                  <c:v>1210</c:v>
                </c:pt>
                <c:pt idx="74">
                  <c:v>1220</c:v>
                </c:pt>
                <c:pt idx="75">
                  <c:v>1230</c:v>
                </c:pt>
                <c:pt idx="76">
                  <c:v>1240</c:v>
                </c:pt>
                <c:pt idx="77">
                  <c:v>1250</c:v>
                </c:pt>
                <c:pt idx="78">
                  <c:v>1260</c:v>
                </c:pt>
                <c:pt idx="79">
                  <c:v>1270</c:v>
                </c:pt>
                <c:pt idx="80">
                  <c:v>1280</c:v>
                </c:pt>
                <c:pt idx="81">
                  <c:v>1290</c:v>
                </c:pt>
                <c:pt idx="82">
                  <c:v>1300</c:v>
                </c:pt>
                <c:pt idx="83">
                  <c:v>1310</c:v>
                </c:pt>
                <c:pt idx="84">
                  <c:v>1320</c:v>
                </c:pt>
                <c:pt idx="85">
                  <c:v>1330</c:v>
                </c:pt>
                <c:pt idx="86">
                  <c:v>1340</c:v>
                </c:pt>
                <c:pt idx="87">
                  <c:v>1350</c:v>
                </c:pt>
                <c:pt idx="88">
                  <c:v>1360</c:v>
                </c:pt>
                <c:pt idx="89">
                  <c:v>1370</c:v>
                </c:pt>
                <c:pt idx="90">
                  <c:v>1380</c:v>
                </c:pt>
                <c:pt idx="91">
                  <c:v>1390</c:v>
                </c:pt>
                <c:pt idx="92">
                  <c:v>1400</c:v>
                </c:pt>
                <c:pt idx="93">
                  <c:v>1410</c:v>
                </c:pt>
                <c:pt idx="94">
                  <c:v>1420</c:v>
                </c:pt>
                <c:pt idx="95">
                  <c:v>1430</c:v>
                </c:pt>
                <c:pt idx="96">
                  <c:v>1440</c:v>
                </c:pt>
                <c:pt idx="97">
                  <c:v>1450</c:v>
                </c:pt>
                <c:pt idx="98">
                  <c:v>1460</c:v>
                </c:pt>
                <c:pt idx="99">
                  <c:v>1470</c:v>
                </c:pt>
                <c:pt idx="100">
                  <c:v>1480</c:v>
                </c:pt>
                <c:pt idx="101">
                  <c:v>1490</c:v>
                </c:pt>
                <c:pt idx="102">
                  <c:v>1500</c:v>
                </c:pt>
              </c:numCache>
            </c:numRef>
          </c:cat>
          <c:val>
            <c:numRef>
              <c:f>'Graf 62'!$S$2:$S$104</c:f>
              <c:numCache>
                <c:formatCode>0.0</c:formatCode>
                <c:ptCount val="103"/>
                <c:pt idx="0">
                  <c:v>16.004166666666652</c:v>
                </c:pt>
                <c:pt idx="1">
                  <c:v>16.418367346938791</c:v>
                </c:pt>
                <c:pt idx="2">
                  <c:v>16.817999999999987</c:v>
                </c:pt>
                <c:pt idx="3">
                  <c:v>17.200000000000003</c:v>
                </c:pt>
                <c:pt idx="4">
                  <c:v>17.567307692307701</c:v>
                </c:pt>
                <c:pt idx="5">
                  <c:v>17.922641509433966</c:v>
                </c:pt>
                <c:pt idx="6">
                  <c:v>18.262962962962959</c:v>
                </c:pt>
                <c:pt idx="7">
                  <c:v>18.59090909090909</c:v>
                </c:pt>
                <c:pt idx="8">
                  <c:v>18.908928571428575</c:v>
                </c:pt>
                <c:pt idx="9">
                  <c:v>19.214035087719296</c:v>
                </c:pt>
                <c:pt idx="10">
                  <c:v>19.39827586206896</c:v>
                </c:pt>
                <c:pt idx="11">
                  <c:v>19.574576271186437</c:v>
                </c:pt>
                <c:pt idx="12">
                  <c:v>19.74666666666667</c:v>
                </c:pt>
                <c:pt idx="13">
                  <c:v>19.911475409836076</c:v>
                </c:pt>
                <c:pt idx="14">
                  <c:v>20.072580645161299</c:v>
                </c:pt>
                <c:pt idx="15">
                  <c:v>20.226984126984139</c:v>
                </c:pt>
                <c:pt idx="16">
                  <c:v>20.378125000000015</c:v>
                </c:pt>
                <c:pt idx="17">
                  <c:v>20.523076923076921</c:v>
                </c:pt>
                <c:pt idx="18">
                  <c:v>20.665151515151514</c:v>
                </c:pt>
                <c:pt idx="19">
                  <c:v>20.801492537313436</c:v>
                </c:pt>
                <c:pt idx="20">
                  <c:v>20.935294117647064</c:v>
                </c:pt>
                <c:pt idx="21">
                  <c:v>21.065217391304348</c:v>
                </c:pt>
                <c:pt idx="22">
                  <c:v>21.190000000000008</c:v>
                </c:pt>
                <c:pt idx="23">
                  <c:v>21.312676056338031</c:v>
                </c:pt>
                <c:pt idx="24">
                  <c:v>21.430555555555554</c:v>
                </c:pt>
                <c:pt idx="25">
                  <c:v>21.546575342465747</c:v>
                </c:pt>
                <c:pt idx="26">
                  <c:v>21.658108108108109</c:v>
                </c:pt>
                <c:pt idx="27">
                  <c:v>21.767999999999997</c:v>
                </c:pt>
                <c:pt idx="28">
                  <c:v>21.873684210526314</c:v>
                </c:pt>
                <c:pt idx="29">
                  <c:v>21.977922077922084</c:v>
                </c:pt>
                <c:pt idx="30">
                  <c:v>22.078205128205131</c:v>
                </c:pt>
                <c:pt idx="31">
                  <c:v>22.177215189873422</c:v>
                </c:pt>
                <c:pt idx="32">
                  <c:v>22.272500000000008</c:v>
                </c:pt>
                <c:pt idx="33">
                  <c:v>22.36617283950617</c:v>
                </c:pt>
                <c:pt idx="34">
                  <c:v>22.458536585365863</c:v>
                </c:pt>
                <c:pt idx="35">
                  <c:v>22.546987951807239</c:v>
                </c:pt>
                <c:pt idx="36">
                  <c:v>22.634523809523799</c:v>
                </c:pt>
                <c:pt idx="37">
                  <c:v>22.718823529411758</c:v>
                </c:pt>
                <c:pt idx="38">
                  <c:v>22.802325581395365</c:v>
                </c:pt>
                <c:pt idx="39">
                  <c:v>22.882758620689671</c:v>
                </c:pt>
                <c:pt idx="40">
                  <c:v>22.962499999999999</c:v>
                </c:pt>
                <c:pt idx="41">
                  <c:v>23.039325842696623</c:v>
                </c:pt>
                <c:pt idx="42">
                  <c:v>23.115555555555556</c:v>
                </c:pt>
                <c:pt idx="43">
                  <c:v>23.189010989010981</c:v>
                </c:pt>
                <c:pt idx="44">
                  <c:v>23.261956521739123</c:v>
                </c:pt>
                <c:pt idx="45">
                  <c:v>23.332258064516132</c:v>
                </c:pt>
                <c:pt idx="46">
                  <c:v>23.402127659574468</c:v>
                </c:pt>
                <c:pt idx="47">
                  <c:v>23.470526315789474</c:v>
                </c:pt>
                <c:pt idx="48">
                  <c:v>23.536458333333343</c:v>
                </c:pt>
                <c:pt idx="49">
                  <c:v>23.602061855670108</c:v>
                </c:pt>
                <c:pt idx="50">
                  <c:v>23.66530612244896</c:v>
                </c:pt>
                <c:pt idx="51">
                  <c:v>23.728282828282833</c:v>
                </c:pt>
                <c:pt idx="52">
                  <c:v>23.789000000000005</c:v>
                </c:pt>
                <c:pt idx="53">
                  <c:v>23.849504950495039</c:v>
                </c:pt>
                <c:pt idx="54">
                  <c:v>23.907843137254893</c:v>
                </c:pt>
                <c:pt idx="55">
                  <c:v>23.966019417475735</c:v>
                </c:pt>
                <c:pt idx="56">
                  <c:v>24.022115384615393</c:v>
                </c:pt>
                <c:pt idx="57">
                  <c:v>24.07809523809523</c:v>
                </c:pt>
                <c:pt idx="58">
                  <c:v>24.133018867924527</c:v>
                </c:pt>
                <c:pt idx="59">
                  <c:v>24.185981308411208</c:v>
                </c:pt>
                <c:pt idx="60">
                  <c:v>24.238888888888887</c:v>
                </c:pt>
                <c:pt idx="61">
                  <c:v>24.744954128440366</c:v>
                </c:pt>
                <c:pt idx="62">
                  <c:v>25.429090909090913</c:v>
                </c:pt>
                <c:pt idx="63">
                  <c:v>26.100900900900903</c:v>
                </c:pt>
                <c:pt idx="64">
                  <c:v>26.760714285714293</c:v>
                </c:pt>
                <c:pt idx="65">
                  <c:v>27.408849557522132</c:v>
                </c:pt>
                <c:pt idx="66">
                  <c:v>28.045614035087716</c:v>
                </c:pt>
                <c:pt idx="67">
                  <c:v>28.671304347826087</c:v>
                </c:pt>
                <c:pt idx="68">
                  <c:v>29.286206896551725</c:v>
                </c:pt>
                <c:pt idx="69">
                  <c:v>29.890598290598291</c:v>
                </c:pt>
                <c:pt idx="70">
                  <c:v>30.484745762711864</c:v>
                </c:pt>
                <c:pt idx="71">
                  <c:v>31.068907563025217</c:v>
                </c:pt>
                <c:pt idx="72">
                  <c:v>31.643333333333334</c:v>
                </c:pt>
                <c:pt idx="73">
                  <c:v>32.208264462809922</c:v>
                </c:pt>
                <c:pt idx="74">
                  <c:v>32.763934426229511</c:v>
                </c:pt>
                <c:pt idx="75">
                  <c:v>33.310569105691059</c:v>
                </c:pt>
                <c:pt idx="76">
                  <c:v>33.848387096774189</c:v>
                </c:pt>
                <c:pt idx="77">
                  <c:v>34.377599999999994</c:v>
                </c:pt>
                <c:pt idx="78">
                  <c:v>34.898412698412699</c:v>
                </c:pt>
                <c:pt idx="79">
                  <c:v>35.411023622047246</c:v>
                </c:pt>
                <c:pt idx="80">
                  <c:v>35.915625000000006</c:v>
                </c:pt>
                <c:pt idx="81">
                  <c:v>36.412403100775194</c:v>
                </c:pt>
                <c:pt idx="82">
                  <c:v>36.901538461538465</c:v>
                </c:pt>
                <c:pt idx="83">
                  <c:v>37.383206106870226</c:v>
                </c:pt>
                <c:pt idx="84">
                  <c:v>37.857575757575759</c:v>
                </c:pt>
                <c:pt idx="85">
                  <c:v>38.324812030075194</c:v>
                </c:pt>
                <c:pt idx="86">
                  <c:v>38.785074626865679</c:v>
                </c:pt>
                <c:pt idx="87">
                  <c:v>39.238518518518518</c:v>
                </c:pt>
                <c:pt idx="88">
                  <c:v>39.685294117647061</c:v>
                </c:pt>
                <c:pt idx="89">
                  <c:v>40.125547445255471</c:v>
                </c:pt>
                <c:pt idx="90">
                  <c:v>40.559420289855076</c:v>
                </c:pt>
                <c:pt idx="91">
                  <c:v>40.987050359712228</c:v>
                </c:pt>
                <c:pt idx="92">
                  <c:v>41.408571428571427</c:v>
                </c:pt>
                <c:pt idx="93">
                  <c:v>41.824113475177306</c:v>
                </c:pt>
                <c:pt idx="94">
                  <c:v>42.233802816901409</c:v>
                </c:pt>
                <c:pt idx="95">
                  <c:v>42.637762237762246</c:v>
                </c:pt>
                <c:pt idx="96">
                  <c:v>43.036111111111111</c:v>
                </c:pt>
                <c:pt idx="97">
                  <c:v>43.42896551724138</c:v>
                </c:pt>
                <c:pt idx="98">
                  <c:v>43.81643835616439</c:v>
                </c:pt>
                <c:pt idx="99">
                  <c:v>44.19863945578232</c:v>
                </c:pt>
                <c:pt idx="100">
                  <c:v>44.575675675675676</c:v>
                </c:pt>
                <c:pt idx="101">
                  <c:v>44.947651006711411</c:v>
                </c:pt>
                <c:pt idx="102">
                  <c:v>45.314666666666668</c:v>
                </c:pt>
              </c:numCache>
            </c:numRef>
          </c:val>
          <c:smooth val="0"/>
          <c:extLst xmlns:c16r2="http://schemas.microsoft.com/office/drawing/2015/06/chart">
            <c:ext xmlns:c16="http://schemas.microsoft.com/office/drawing/2014/chart" uri="{C3380CC4-5D6E-409C-BE32-E72D297353CC}">
              <c16:uniqueId val="{00000000-081A-444C-9BEF-DB2579267D9D}"/>
            </c:ext>
          </c:extLst>
        </c:ser>
        <c:ser>
          <c:idx val="1"/>
          <c:order val="1"/>
          <c:tx>
            <c:strRef>
              <c:f>'Graf 62'!$T$1</c:f>
              <c:strCache>
                <c:ptCount val="1"/>
                <c:pt idx="0">
                  <c:v>Príjem zo zam. + čiastočný ID</c:v>
                </c:pt>
              </c:strCache>
            </c:strRef>
          </c:tx>
          <c:spPr>
            <a:ln w="28575" cap="rnd">
              <a:solidFill>
                <a:schemeClr val="accent5">
                  <a:lumMod val="50000"/>
                </a:schemeClr>
              </a:solidFill>
              <a:round/>
            </a:ln>
            <a:effectLst/>
          </c:spPr>
          <c:marker>
            <c:symbol val="none"/>
          </c:marker>
          <c:cat>
            <c:numRef>
              <c:f>'Graf 62'!$R$2:$R$104</c:f>
              <c:numCache>
                <c:formatCode>General</c:formatCode>
                <c:ptCount val="103"/>
                <c:pt idx="0">
                  <c:v>480</c:v>
                </c:pt>
                <c:pt idx="1">
                  <c:v>490</c:v>
                </c:pt>
                <c:pt idx="2">
                  <c:v>500</c:v>
                </c:pt>
                <c:pt idx="3">
                  <c:v>510</c:v>
                </c:pt>
                <c:pt idx="4">
                  <c:v>520</c:v>
                </c:pt>
                <c:pt idx="5">
                  <c:v>530</c:v>
                </c:pt>
                <c:pt idx="6">
                  <c:v>540</c:v>
                </c:pt>
                <c:pt idx="7">
                  <c:v>550</c:v>
                </c:pt>
                <c:pt idx="8">
                  <c:v>560</c:v>
                </c:pt>
                <c:pt idx="9">
                  <c:v>570</c:v>
                </c:pt>
                <c:pt idx="10">
                  <c:v>580</c:v>
                </c:pt>
                <c:pt idx="11">
                  <c:v>590</c:v>
                </c:pt>
                <c:pt idx="12">
                  <c:v>600</c:v>
                </c:pt>
                <c:pt idx="13">
                  <c:v>610</c:v>
                </c:pt>
                <c:pt idx="14">
                  <c:v>620</c:v>
                </c:pt>
                <c:pt idx="15">
                  <c:v>630</c:v>
                </c:pt>
                <c:pt idx="16">
                  <c:v>640</c:v>
                </c:pt>
                <c:pt idx="17">
                  <c:v>650</c:v>
                </c:pt>
                <c:pt idx="18">
                  <c:v>660</c:v>
                </c:pt>
                <c:pt idx="19">
                  <c:v>670</c:v>
                </c:pt>
                <c:pt idx="20">
                  <c:v>680</c:v>
                </c:pt>
                <c:pt idx="21">
                  <c:v>690</c:v>
                </c:pt>
                <c:pt idx="22">
                  <c:v>700</c:v>
                </c:pt>
                <c:pt idx="23">
                  <c:v>710</c:v>
                </c:pt>
                <c:pt idx="24">
                  <c:v>720</c:v>
                </c:pt>
                <c:pt idx="25">
                  <c:v>730</c:v>
                </c:pt>
                <c:pt idx="26">
                  <c:v>740</c:v>
                </c:pt>
                <c:pt idx="27">
                  <c:v>750</c:v>
                </c:pt>
                <c:pt idx="28">
                  <c:v>760</c:v>
                </c:pt>
                <c:pt idx="29">
                  <c:v>770</c:v>
                </c:pt>
                <c:pt idx="30">
                  <c:v>780</c:v>
                </c:pt>
                <c:pt idx="31">
                  <c:v>790</c:v>
                </c:pt>
                <c:pt idx="32">
                  <c:v>800</c:v>
                </c:pt>
                <c:pt idx="33">
                  <c:v>810</c:v>
                </c:pt>
                <c:pt idx="34">
                  <c:v>820</c:v>
                </c:pt>
                <c:pt idx="35">
                  <c:v>830</c:v>
                </c:pt>
                <c:pt idx="36">
                  <c:v>840</c:v>
                </c:pt>
                <c:pt idx="37">
                  <c:v>850</c:v>
                </c:pt>
                <c:pt idx="38">
                  <c:v>860</c:v>
                </c:pt>
                <c:pt idx="39">
                  <c:v>870</c:v>
                </c:pt>
                <c:pt idx="40">
                  <c:v>880</c:v>
                </c:pt>
                <c:pt idx="41">
                  <c:v>890</c:v>
                </c:pt>
                <c:pt idx="42">
                  <c:v>900</c:v>
                </c:pt>
                <c:pt idx="43">
                  <c:v>910</c:v>
                </c:pt>
                <c:pt idx="44">
                  <c:v>920</c:v>
                </c:pt>
                <c:pt idx="45">
                  <c:v>930</c:v>
                </c:pt>
                <c:pt idx="46">
                  <c:v>940</c:v>
                </c:pt>
                <c:pt idx="47">
                  <c:v>950</c:v>
                </c:pt>
                <c:pt idx="48">
                  <c:v>960</c:v>
                </c:pt>
                <c:pt idx="49">
                  <c:v>970</c:v>
                </c:pt>
                <c:pt idx="50">
                  <c:v>980</c:v>
                </c:pt>
                <c:pt idx="51">
                  <c:v>990</c:v>
                </c:pt>
                <c:pt idx="52">
                  <c:v>1000</c:v>
                </c:pt>
                <c:pt idx="53">
                  <c:v>1010</c:v>
                </c:pt>
                <c:pt idx="54">
                  <c:v>1020</c:v>
                </c:pt>
                <c:pt idx="55">
                  <c:v>1030</c:v>
                </c:pt>
                <c:pt idx="56">
                  <c:v>1040</c:v>
                </c:pt>
                <c:pt idx="57">
                  <c:v>1050</c:v>
                </c:pt>
                <c:pt idx="58">
                  <c:v>1060</c:v>
                </c:pt>
                <c:pt idx="59">
                  <c:v>1070</c:v>
                </c:pt>
                <c:pt idx="60">
                  <c:v>1080</c:v>
                </c:pt>
                <c:pt idx="61">
                  <c:v>1090</c:v>
                </c:pt>
                <c:pt idx="62">
                  <c:v>1100</c:v>
                </c:pt>
                <c:pt idx="63">
                  <c:v>1110</c:v>
                </c:pt>
                <c:pt idx="64">
                  <c:v>1120</c:v>
                </c:pt>
                <c:pt idx="65">
                  <c:v>1130</c:v>
                </c:pt>
                <c:pt idx="66">
                  <c:v>1140</c:v>
                </c:pt>
                <c:pt idx="67">
                  <c:v>1150</c:v>
                </c:pt>
                <c:pt idx="68">
                  <c:v>1160</c:v>
                </c:pt>
                <c:pt idx="69">
                  <c:v>1170</c:v>
                </c:pt>
                <c:pt idx="70">
                  <c:v>1180</c:v>
                </c:pt>
                <c:pt idx="71">
                  <c:v>1190</c:v>
                </c:pt>
                <c:pt idx="72">
                  <c:v>1200</c:v>
                </c:pt>
                <c:pt idx="73">
                  <c:v>1210</c:v>
                </c:pt>
                <c:pt idx="74">
                  <c:v>1220</c:v>
                </c:pt>
                <c:pt idx="75">
                  <c:v>1230</c:v>
                </c:pt>
                <c:pt idx="76">
                  <c:v>1240</c:v>
                </c:pt>
                <c:pt idx="77">
                  <c:v>1250</c:v>
                </c:pt>
                <c:pt idx="78">
                  <c:v>1260</c:v>
                </c:pt>
                <c:pt idx="79">
                  <c:v>1270</c:v>
                </c:pt>
                <c:pt idx="80">
                  <c:v>1280</c:v>
                </c:pt>
                <c:pt idx="81">
                  <c:v>1290</c:v>
                </c:pt>
                <c:pt idx="82">
                  <c:v>1300</c:v>
                </c:pt>
                <c:pt idx="83">
                  <c:v>1310</c:v>
                </c:pt>
                <c:pt idx="84">
                  <c:v>1320</c:v>
                </c:pt>
                <c:pt idx="85">
                  <c:v>1330</c:v>
                </c:pt>
                <c:pt idx="86">
                  <c:v>1340</c:v>
                </c:pt>
                <c:pt idx="87">
                  <c:v>1350</c:v>
                </c:pt>
                <c:pt idx="88">
                  <c:v>1360</c:v>
                </c:pt>
                <c:pt idx="89">
                  <c:v>1370</c:v>
                </c:pt>
                <c:pt idx="90">
                  <c:v>1380</c:v>
                </c:pt>
                <c:pt idx="91">
                  <c:v>1390</c:v>
                </c:pt>
                <c:pt idx="92">
                  <c:v>1400</c:v>
                </c:pt>
                <c:pt idx="93">
                  <c:v>1410</c:v>
                </c:pt>
                <c:pt idx="94">
                  <c:v>1420</c:v>
                </c:pt>
                <c:pt idx="95">
                  <c:v>1430</c:v>
                </c:pt>
                <c:pt idx="96">
                  <c:v>1440</c:v>
                </c:pt>
                <c:pt idx="97">
                  <c:v>1450</c:v>
                </c:pt>
                <c:pt idx="98">
                  <c:v>1460</c:v>
                </c:pt>
                <c:pt idx="99">
                  <c:v>1470</c:v>
                </c:pt>
                <c:pt idx="100">
                  <c:v>1480</c:v>
                </c:pt>
                <c:pt idx="101">
                  <c:v>1490</c:v>
                </c:pt>
                <c:pt idx="102">
                  <c:v>1500</c:v>
                </c:pt>
              </c:numCache>
            </c:numRef>
          </c:cat>
          <c:val>
            <c:numRef>
              <c:f>'Graf 62'!$T$2:$T$104</c:f>
              <c:numCache>
                <c:formatCode>0.0</c:formatCode>
                <c:ptCount val="103"/>
                <c:pt idx="0">
                  <c:v>16.004166666666652</c:v>
                </c:pt>
                <c:pt idx="1">
                  <c:v>16.418367346938791</c:v>
                </c:pt>
                <c:pt idx="2">
                  <c:v>16.817999999999987</c:v>
                </c:pt>
                <c:pt idx="3">
                  <c:v>17.200000000000003</c:v>
                </c:pt>
                <c:pt idx="4">
                  <c:v>17.567307692307722</c:v>
                </c:pt>
                <c:pt idx="5">
                  <c:v>17.922641509433966</c:v>
                </c:pt>
                <c:pt idx="6">
                  <c:v>18.26296296296298</c:v>
                </c:pt>
                <c:pt idx="7">
                  <c:v>18.59090909090909</c:v>
                </c:pt>
                <c:pt idx="8">
                  <c:v>18.908928571428586</c:v>
                </c:pt>
                <c:pt idx="9">
                  <c:v>19.214035087719296</c:v>
                </c:pt>
                <c:pt idx="10">
                  <c:v>19.39827586206896</c:v>
                </c:pt>
                <c:pt idx="11">
                  <c:v>19.574576271186437</c:v>
                </c:pt>
                <c:pt idx="12">
                  <c:v>19.74666666666667</c:v>
                </c:pt>
                <c:pt idx="13">
                  <c:v>19.911475409836076</c:v>
                </c:pt>
                <c:pt idx="14">
                  <c:v>20.072580645161299</c:v>
                </c:pt>
                <c:pt idx="15">
                  <c:v>20.226984126984139</c:v>
                </c:pt>
                <c:pt idx="16">
                  <c:v>20.378125000000015</c:v>
                </c:pt>
                <c:pt idx="17">
                  <c:v>20.523076923076932</c:v>
                </c:pt>
                <c:pt idx="18">
                  <c:v>20.665151515151525</c:v>
                </c:pt>
                <c:pt idx="19">
                  <c:v>20.80149253731345</c:v>
                </c:pt>
                <c:pt idx="20">
                  <c:v>20.935294117647075</c:v>
                </c:pt>
                <c:pt idx="21">
                  <c:v>21.065217391304369</c:v>
                </c:pt>
                <c:pt idx="22">
                  <c:v>21.190000000000019</c:v>
                </c:pt>
                <c:pt idx="23">
                  <c:v>21.312676056338052</c:v>
                </c:pt>
                <c:pt idx="24">
                  <c:v>21.430555555555554</c:v>
                </c:pt>
                <c:pt idx="25">
                  <c:v>21.546575342465747</c:v>
                </c:pt>
                <c:pt idx="26">
                  <c:v>21.658108108108109</c:v>
                </c:pt>
                <c:pt idx="27">
                  <c:v>21.767999999999997</c:v>
                </c:pt>
                <c:pt idx="28">
                  <c:v>21.873684210526314</c:v>
                </c:pt>
                <c:pt idx="29">
                  <c:v>21.977922077922084</c:v>
                </c:pt>
                <c:pt idx="30">
                  <c:v>22.078205128205131</c:v>
                </c:pt>
                <c:pt idx="31">
                  <c:v>22.177215189873422</c:v>
                </c:pt>
                <c:pt idx="32">
                  <c:v>22.926250000000014</c:v>
                </c:pt>
                <c:pt idx="33">
                  <c:v>23.877777777777787</c:v>
                </c:pt>
                <c:pt idx="34">
                  <c:v>24.806097560975616</c:v>
                </c:pt>
                <c:pt idx="35">
                  <c:v>25.712048192771096</c:v>
                </c:pt>
                <c:pt idx="36">
                  <c:v>26.596428571428575</c:v>
                </c:pt>
                <c:pt idx="37">
                  <c:v>27.460000000000008</c:v>
                </c:pt>
                <c:pt idx="38">
                  <c:v>28.303488372093032</c:v>
                </c:pt>
                <c:pt idx="39">
                  <c:v>29.127586206896559</c:v>
                </c:pt>
                <c:pt idx="40">
                  <c:v>29.93295454545456</c:v>
                </c:pt>
                <c:pt idx="41">
                  <c:v>30.720224719101129</c:v>
                </c:pt>
                <c:pt idx="42">
                  <c:v>31.490000000000006</c:v>
                </c:pt>
                <c:pt idx="43">
                  <c:v>32.242857142857147</c:v>
                </c:pt>
                <c:pt idx="44">
                  <c:v>32.979347826086972</c:v>
                </c:pt>
                <c:pt idx="45">
                  <c:v>33.70000000000001</c:v>
                </c:pt>
                <c:pt idx="46">
                  <c:v>34.405319148936172</c:v>
                </c:pt>
                <c:pt idx="47">
                  <c:v>35.095789473684228</c:v>
                </c:pt>
                <c:pt idx="48">
                  <c:v>35.771875000000009</c:v>
                </c:pt>
                <c:pt idx="49">
                  <c:v>36.434020618556708</c:v>
                </c:pt>
                <c:pt idx="50">
                  <c:v>37.082653061224505</c:v>
                </c:pt>
                <c:pt idx="51">
                  <c:v>37.718181818181826</c:v>
                </c:pt>
                <c:pt idx="52">
                  <c:v>38.341000000000001</c:v>
                </c:pt>
                <c:pt idx="53">
                  <c:v>38.951485148514863</c:v>
                </c:pt>
                <c:pt idx="54">
                  <c:v>39.550000000000004</c:v>
                </c:pt>
                <c:pt idx="55">
                  <c:v>40.136893203883503</c:v>
                </c:pt>
                <c:pt idx="56">
                  <c:v>40.712500000000006</c:v>
                </c:pt>
                <c:pt idx="57">
                  <c:v>41.27714285714287</c:v>
                </c:pt>
                <c:pt idx="58">
                  <c:v>41.831132075471714</c:v>
                </c:pt>
                <c:pt idx="59">
                  <c:v>42.374766355140196</c:v>
                </c:pt>
                <c:pt idx="60">
                  <c:v>42.908333333333339</c:v>
                </c:pt>
                <c:pt idx="61">
                  <c:v>43.432110091743127</c:v>
                </c:pt>
                <c:pt idx="62">
                  <c:v>43.946363636363643</c:v>
                </c:pt>
                <c:pt idx="63">
                  <c:v>44.451351351351356</c:v>
                </c:pt>
                <c:pt idx="64">
                  <c:v>44.947321428571442</c:v>
                </c:pt>
                <c:pt idx="65">
                  <c:v>45.434513274336283</c:v>
                </c:pt>
                <c:pt idx="66">
                  <c:v>45.913157894736841</c:v>
                </c:pt>
                <c:pt idx="67">
                  <c:v>46.383478260869573</c:v>
                </c:pt>
                <c:pt idx="68">
                  <c:v>46.845689655172421</c:v>
                </c:pt>
                <c:pt idx="69">
                  <c:v>47.300000000000011</c:v>
                </c:pt>
                <c:pt idx="70">
                  <c:v>47.746610169491532</c:v>
                </c:pt>
                <c:pt idx="71">
                  <c:v>48.18571428571429</c:v>
                </c:pt>
                <c:pt idx="72">
                  <c:v>48.6175</c:v>
                </c:pt>
                <c:pt idx="73">
                  <c:v>49.042148760330583</c:v>
                </c:pt>
                <c:pt idx="74">
                  <c:v>49.459836065573782</c:v>
                </c:pt>
                <c:pt idx="75">
                  <c:v>49.870731707317084</c:v>
                </c:pt>
                <c:pt idx="76">
                  <c:v>50.275000000000006</c:v>
                </c:pt>
                <c:pt idx="77">
                  <c:v>50.672800000000009</c:v>
                </c:pt>
                <c:pt idx="78">
                  <c:v>51.064285714285717</c:v>
                </c:pt>
                <c:pt idx="79">
                  <c:v>51.449606299212604</c:v>
                </c:pt>
                <c:pt idx="80">
                  <c:v>51.828906250000003</c:v>
                </c:pt>
                <c:pt idx="81">
                  <c:v>52.20232558139535</c:v>
                </c:pt>
                <c:pt idx="82">
                  <c:v>52.570000000000007</c:v>
                </c:pt>
                <c:pt idx="83">
                  <c:v>52.932061068702296</c:v>
                </c:pt>
                <c:pt idx="84">
                  <c:v>53.288636363636364</c:v>
                </c:pt>
                <c:pt idx="85">
                  <c:v>53.639849624060155</c:v>
                </c:pt>
                <c:pt idx="86">
                  <c:v>53.985820895522394</c:v>
                </c:pt>
                <c:pt idx="87">
                  <c:v>54.326666666666682</c:v>
                </c:pt>
                <c:pt idx="88">
                  <c:v>54.662500000000016</c:v>
                </c:pt>
                <c:pt idx="89">
                  <c:v>54.993430656934315</c:v>
                </c:pt>
                <c:pt idx="90">
                  <c:v>55.319565217391307</c:v>
                </c:pt>
                <c:pt idx="91">
                  <c:v>55.641007194244608</c:v>
                </c:pt>
                <c:pt idx="92">
                  <c:v>55.957857142857151</c:v>
                </c:pt>
                <c:pt idx="93">
                  <c:v>56.270212765957453</c:v>
                </c:pt>
                <c:pt idx="94">
                  <c:v>56.578169014084509</c:v>
                </c:pt>
                <c:pt idx="95">
                  <c:v>56.62587412587412</c:v>
                </c:pt>
                <c:pt idx="96">
                  <c:v>56.44025883838404</c:v>
                </c:pt>
                <c:pt idx="97">
                  <c:v>56.257241379310344</c:v>
                </c:pt>
                <c:pt idx="98">
                  <c:v>56.076058530510274</c:v>
                </c:pt>
                <c:pt idx="99">
                  <c:v>55.897959183673471</c:v>
                </c:pt>
                <c:pt idx="100">
                  <c:v>55.721621621621622</c:v>
                </c:pt>
                <c:pt idx="101">
                  <c:v>55.548322147651021</c:v>
                </c:pt>
                <c:pt idx="102">
                  <c:v>55.376666666666672</c:v>
                </c:pt>
              </c:numCache>
            </c:numRef>
          </c:val>
          <c:smooth val="0"/>
          <c:extLst xmlns:c16r2="http://schemas.microsoft.com/office/drawing/2015/06/chart">
            <c:ext xmlns:c16="http://schemas.microsoft.com/office/drawing/2014/chart" uri="{C3380CC4-5D6E-409C-BE32-E72D297353CC}">
              <c16:uniqueId val="{00000001-081A-444C-9BEF-DB2579267D9D}"/>
            </c:ext>
          </c:extLst>
        </c:ser>
        <c:ser>
          <c:idx val="2"/>
          <c:order val="2"/>
          <c:tx>
            <c:strRef>
              <c:f>'Graf 62'!$U$1</c:f>
              <c:strCache>
                <c:ptCount val="1"/>
                <c:pt idx="0">
                  <c:v>Bez zohľadnenia príjmu</c:v>
                </c:pt>
              </c:strCache>
            </c:strRef>
          </c:tx>
          <c:spPr>
            <a:ln w="28575" cap="rnd">
              <a:solidFill>
                <a:schemeClr val="accent3"/>
              </a:solidFill>
              <a:round/>
            </a:ln>
            <a:effectLst/>
          </c:spPr>
          <c:marker>
            <c:symbol val="none"/>
          </c:marker>
          <c:cat>
            <c:numRef>
              <c:f>'Graf 62'!$R$2:$R$104</c:f>
              <c:numCache>
                <c:formatCode>General</c:formatCode>
                <c:ptCount val="103"/>
                <c:pt idx="0">
                  <c:v>480</c:v>
                </c:pt>
                <c:pt idx="1">
                  <c:v>490</c:v>
                </c:pt>
                <c:pt idx="2">
                  <c:v>500</c:v>
                </c:pt>
                <c:pt idx="3">
                  <c:v>510</c:v>
                </c:pt>
                <c:pt idx="4">
                  <c:v>520</c:v>
                </c:pt>
                <c:pt idx="5">
                  <c:v>530</c:v>
                </c:pt>
                <c:pt idx="6">
                  <c:v>540</c:v>
                </c:pt>
                <c:pt idx="7">
                  <c:v>550</c:v>
                </c:pt>
                <c:pt idx="8">
                  <c:v>560</c:v>
                </c:pt>
                <c:pt idx="9">
                  <c:v>570</c:v>
                </c:pt>
                <c:pt idx="10">
                  <c:v>580</c:v>
                </c:pt>
                <c:pt idx="11">
                  <c:v>590</c:v>
                </c:pt>
                <c:pt idx="12">
                  <c:v>600</c:v>
                </c:pt>
                <c:pt idx="13">
                  <c:v>610</c:v>
                </c:pt>
                <c:pt idx="14">
                  <c:v>620</c:v>
                </c:pt>
                <c:pt idx="15">
                  <c:v>630</c:v>
                </c:pt>
                <c:pt idx="16">
                  <c:v>640</c:v>
                </c:pt>
                <c:pt idx="17">
                  <c:v>650</c:v>
                </c:pt>
                <c:pt idx="18">
                  <c:v>660</c:v>
                </c:pt>
                <c:pt idx="19">
                  <c:v>670</c:v>
                </c:pt>
                <c:pt idx="20">
                  <c:v>680</c:v>
                </c:pt>
                <c:pt idx="21">
                  <c:v>690</c:v>
                </c:pt>
                <c:pt idx="22">
                  <c:v>700</c:v>
                </c:pt>
                <c:pt idx="23">
                  <c:v>710</c:v>
                </c:pt>
                <c:pt idx="24">
                  <c:v>720</c:v>
                </c:pt>
                <c:pt idx="25">
                  <c:v>730</c:v>
                </c:pt>
                <c:pt idx="26">
                  <c:v>740</c:v>
                </c:pt>
                <c:pt idx="27">
                  <c:v>750</c:v>
                </c:pt>
                <c:pt idx="28">
                  <c:v>760</c:v>
                </c:pt>
                <c:pt idx="29">
                  <c:v>770</c:v>
                </c:pt>
                <c:pt idx="30">
                  <c:v>780</c:v>
                </c:pt>
                <c:pt idx="31">
                  <c:v>790</c:v>
                </c:pt>
                <c:pt idx="32">
                  <c:v>800</c:v>
                </c:pt>
                <c:pt idx="33">
                  <c:v>810</c:v>
                </c:pt>
                <c:pt idx="34">
                  <c:v>820</c:v>
                </c:pt>
                <c:pt idx="35">
                  <c:v>830</c:v>
                </c:pt>
                <c:pt idx="36">
                  <c:v>840</c:v>
                </c:pt>
                <c:pt idx="37">
                  <c:v>850</c:v>
                </c:pt>
                <c:pt idx="38">
                  <c:v>860</c:v>
                </c:pt>
                <c:pt idx="39">
                  <c:v>870</c:v>
                </c:pt>
                <c:pt idx="40">
                  <c:v>880</c:v>
                </c:pt>
                <c:pt idx="41">
                  <c:v>890</c:v>
                </c:pt>
                <c:pt idx="42">
                  <c:v>900</c:v>
                </c:pt>
                <c:pt idx="43">
                  <c:v>910</c:v>
                </c:pt>
                <c:pt idx="44">
                  <c:v>920</c:v>
                </c:pt>
                <c:pt idx="45">
                  <c:v>930</c:v>
                </c:pt>
                <c:pt idx="46">
                  <c:v>940</c:v>
                </c:pt>
                <c:pt idx="47">
                  <c:v>950</c:v>
                </c:pt>
                <c:pt idx="48">
                  <c:v>960</c:v>
                </c:pt>
                <c:pt idx="49">
                  <c:v>970</c:v>
                </c:pt>
                <c:pt idx="50">
                  <c:v>980</c:v>
                </c:pt>
                <c:pt idx="51">
                  <c:v>990</c:v>
                </c:pt>
                <c:pt idx="52">
                  <c:v>1000</c:v>
                </c:pt>
                <c:pt idx="53">
                  <c:v>1010</c:v>
                </c:pt>
                <c:pt idx="54">
                  <c:v>1020</c:v>
                </c:pt>
                <c:pt idx="55">
                  <c:v>1030</c:v>
                </c:pt>
                <c:pt idx="56">
                  <c:v>1040</c:v>
                </c:pt>
                <c:pt idx="57">
                  <c:v>1050</c:v>
                </c:pt>
                <c:pt idx="58">
                  <c:v>1060</c:v>
                </c:pt>
                <c:pt idx="59">
                  <c:v>1070</c:v>
                </c:pt>
                <c:pt idx="60">
                  <c:v>1080</c:v>
                </c:pt>
                <c:pt idx="61">
                  <c:v>1090</c:v>
                </c:pt>
                <c:pt idx="62">
                  <c:v>1100</c:v>
                </c:pt>
                <c:pt idx="63">
                  <c:v>1110</c:v>
                </c:pt>
                <c:pt idx="64">
                  <c:v>1120</c:v>
                </c:pt>
                <c:pt idx="65">
                  <c:v>1130</c:v>
                </c:pt>
                <c:pt idx="66">
                  <c:v>1140</c:v>
                </c:pt>
                <c:pt idx="67">
                  <c:v>1150</c:v>
                </c:pt>
                <c:pt idx="68">
                  <c:v>1160</c:v>
                </c:pt>
                <c:pt idx="69">
                  <c:v>1170</c:v>
                </c:pt>
                <c:pt idx="70">
                  <c:v>1180</c:v>
                </c:pt>
                <c:pt idx="71">
                  <c:v>1190</c:v>
                </c:pt>
                <c:pt idx="72">
                  <c:v>1200</c:v>
                </c:pt>
                <c:pt idx="73">
                  <c:v>1210</c:v>
                </c:pt>
                <c:pt idx="74">
                  <c:v>1220</c:v>
                </c:pt>
                <c:pt idx="75">
                  <c:v>1230</c:v>
                </c:pt>
                <c:pt idx="76">
                  <c:v>1240</c:v>
                </c:pt>
                <c:pt idx="77">
                  <c:v>1250</c:v>
                </c:pt>
                <c:pt idx="78">
                  <c:v>1260</c:v>
                </c:pt>
                <c:pt idx="79">
                  <c:v>1270</c:v>
                </c:pt>
                <c:pt idx="80">
                  <c:v>1280</c:v>
                </c:pt>
                <c:pt idx="81">
                  <c:v>1290</c:v>
                </c:pt>
                <c:pt idx="82">
                  <c:v>1300</c:v>
                </c:pt>
                <c:pt idx="83">
                  <c:v>1310</c:v>
                </c:pt>
                <c:pt idx="84">
                  <c:v>1320</c:v>
                </c:pt>
                <c:pt idx="85">
                  <c:v>1330</c:v>
                </c:pt>
                <c:pt idx="86">
                  <c:v>1340</c:v>
                </c:pt>
                <c:pt idx="87">
                  <c:v>1350</c:v>
                </c:pt>
                <c:pt idx="88">
                  <c:v>1360</c:v>
                </c:pt>
                <c:pt idx="89">
                  <c:v>1370</c:v>
                </c:pt>
                <c:pt idx="90">
                  <c:v>1380</c:v>
                </c:pt>
                <c:pt idx="91">
                  <c:v>1390</c:v>
                </c:pt>
                <c:pt idx="92">
                  <c:v>1400</c:v>
                </c:pt>
                <c:pt idx="93">
                  <c:v>1410</c:v>
                </c:pt>
                <c:pt idx="94">
                  <c:v>1420</c:v>
                </c:pt>
                <c:pt idx="95">
                  <c:v>1430</c:v>
                </c:pt>
                <c:pt idx="96">
                  <c:v>1440</c:v>
                </c:pt>
                <c:pt idx="97">
                  <c:v>1450</c:v>
                </c:pt>
                <c:pt idx="98">
                  <c:v>1460</c:v>
                </c:pt>
                <c:pt idx="99">
                  <c:v>1470</c:v>
                </c:pt>
                <c:pt idx="100">
                  <c:v>1480</c:v>
                </c:pt>
                <c:pt idx="101">
                  <c:v>1490</c:v>
                </c:pt>
                <c:pt idx="102">
                  <c:v>1500</c:v>
                </c:pt>
              </c:numCache>
            </c:numRef>
          </c:cat>
          <c:val>
            <c:numRef>
              <c:f>'Graf 62'!$U$2:$U$104</c:f>
              <c:numCache>
                <c:formatCode>0.0</c:formatCode>
                <c:ptCount val="103"/>
                <c:pt idx="0">
                  <c:v>16.004166666666652</c:v>
                </c:pt>
                <c:pt idx="1">
                  <c:v>16.418367346938791</c:v>
                </c:pt>
                <c:pt idx="2">
                  <c:v>16.817999999999987</c:v>
                </c:pt>
                <c:pt idx="3">
                  <c:v>17.200000000000003</c:v>
                </c:pt>
                <c:pt idx="4">
                  <c:v>17.567307692307701</c:v>
                </c:pt>
                <c:pt idx="5">
                  <c:v>17.922641509433966</c:v>
                </c:pt>
                <c:pt idx="6">
                  <c:v>18.262962962962959</c:v>
                </c:pt>
                <c:pt idx="7">
                  <c:v>18.59090909090909</c:v>
                </c:pt>
                <c:pt idx="8">
                  <c:v>18.908928571428575</c:v>
                </c:pt>
                <c:pt idx="9">
                  <c:v>19.214035087719296</c:v>
                </c:pt>
                <c:pt idx="10">
                  <c:v>19.39827586206896</c:v>
                </c:pt>
                <c:pt idx="11">
                  <c:v>19.574576271186437</c:v>
                </c:pt>
                <c:pt idx="12">
                  <c:v>19.74666666666667</c:v>
                </c:pt>
                <c:pt idx="13">
                  <c:v>19.911475409836076</c:v>
                </c:pt>
                <c:pt idx="14">
                  <c:v>20.072580645161299</c:v>
                </c:pt>
                <c:pt idx="15">
                  <c:v>20.226984126984139</c:v>
                </c:pt>
                <c:pt idx="16">
                  <c:v>20.378125000000015</c:v>
                </c:pt>
                <c:pt idx="17">
                  <c:v>20.523076923076921</c:v>
                </c:pt>
                <c:pt idx="18">
                  <c:v>20.665151515151514</c:v>
                </c:pt>
                <c:pt idx="19">
                  <c:v>20.801492537313436</c:v>
                </c:pt>
                <c:pt idx="20">
                  <c:v>20.935294117647064</c:v>
                </c:pt>
                <c:pt idx="21">
                  <c:v>21.065217391304348</c:v>
                </c:pt>
                <c:pt idx="22">
                  <c:v>21.190000000000008</c:v>
                </c:pt>
                <c:pt idx="23">
                  <c:v>21.312676056338031</c:v>
                </c:pt>
                <c:pt idx="24">
                  <c:v>21.430555555555554</c:v>
                </c:pt>
                <c:pt idx="25">
                  <c:v>21.546575342465747</c:v>
                </c:pt>
                <c:pt idx="26">
                  <c:v>21.658108108108109</c:v>
                </c:pt>
                <c:pt idx="27">
                  <c:v>21.767999999999997</c:v>
                </c:pt>
                <c:pt idx="28">
                  <c:v>21.873684210526314</c:v>
                </c:pt>
                <c:pt idx="29">
                  <c:v>21.977922077922084</c:v>
                </c:pt>
                <c:pt idx="30">
                  <c:v>22.078205128205131</c:v>
                </c:pt>
                <c:pt idx="31">
                  <c:v>22.177215189873422</c:v>
                </c:pt>
                <c:pt idx="32">
                  <c:v>22.272500000000008</c:v>
                </c:pt>
                <c:pt idx="33">
                  <c:v>22.36617283950617</c:v>
                </c:pt>
                <c:pt idx="34">
                  <c:v>22.458536585365863</c:v>
                </c:pt>
                <c:pt idx="35">
                  <c:v>22.546987951807239</c:v>
                </c:pt>
                <c:pt idx="36">
                  <c:v>22.634523809523799</c:v>
                </c:pt>
                <c:pt idx="37">
                  <c:v>22.718823529411758</c:v>
                </c:pt>
                <c:pt idx="38">
                  <c:v>22.802325581395365</c:v>
                </c:pt>
                <c:pt idx="39">
                  <c:v>22.882758620689671</c:v>
                </c:pt>
                <c:pt idx="40">
                  <c:v>22.962499999999999</c:v>
                </c:pt>
                <c:pt idx="41">
                  <c:v>23.039325842696623</c:v>
                </c:pt>
                <c:pt idx="42">
                  <c:v>23.115555555555556</c:v>
                </c:pt>
                <c:pt idx="43">
                  <c:v>23.189010989010981</c:v>
                </c:pt>
                <c:pt idx="44">
                  <c:v>23.261956521739123</c:v>
                </c:pt>
                <c:pt idx="45">
                  <c:v>23.332258064516132</c:v>
                </c:pt>
                <c:pt idx="46">
                  <c:v>23.402127659574468</c:v>
                </c:pt>
                <c:pt idx="47">
                  <c:v>23.470526315789474</c:v>
                </c:pt>
                <c:pt idx="48">
                  <c:v>23.536458333333343</c:v>
                </c:pt>
                <c:pt idx="49">
                  <c:v>23.602061855670108</c:v>
                </c:pt>
                <c:pt idx="50">
                  <c:v>23.66530612244896</c:v>
                </c:pt>
                <c:pt idx="51">
                  <c:v>23.728282828282833</c:v>
                </c:pt>
                <c:pt idx="52">
                  <c:v>23.789000000000005</c:v>
                </c:pt>
                <c:pt idx="53">
                  <c:v>23.849504950495039</c:v>
                </c:pt>
                <c:pt idx="54">
                  <c:v>23.907843137254893</c:v>
                </c:pt>
                <c:pt idx="55">
                  <c:v>23.966019417475735</c:v>
                </c:pt>
                <c:pt idx="56">
                  <c:v>24.022115384615393</c:v>
                </c:pt>
                <c:pt idx="57">
                  <c:v>24.07809523809523</c:v>
                </c:pt>
                <c:pt idx="58">
                  <c:v>24.133018867924527</c:v>
                </c:pt>
                <c:pt idx="59">
                  <c:v>24.185981308411208</c:v>
                </c:pt>
                <c:pt idx="60">
                  <c:v>24.238888888888887</c:v>
                </c:pt>
                <c:pt idx="61">
                  <c:v>24.289908256880732</c:v>
                </c:pt>
                <c:pt idx="62">
                  <c:v>24.34090909090909</c:v>
                </c:pt>
                <c:pt idx="63">
                  <c:v>24.390090090090087</c:v>
                </c:pt>
                <c:pt idx="64">
                  <c:v>24.43928571428572</c:v>
                </c:pt>
                <c:pt idx="65">
                  <c:v>24.486725663716811</c:v>
                </c:pt>
                <c:pt idx="66">
                  <c:v>24.534210526315793</c:v>
                </c:pt>
                <c:pt idx="67">
                  <c:v>24.579999999999991</c:v>
                </c:pt>
                <c:pt idx="68">
                  <c:v>24.625862068965521</c:v>
                </c:pt>
                <c:pt idx="69">
                  <c:v>24.670085470085478</c:v>
                </c:pt>
                <c:pt idx="70">
                  <c:v>24.714406779661001</c:v>
                </c:pt>
                <c:pt idx="71">
                  <c:v>24.757983193277322</c:v>
                </c:pt>
                <c:pt idx="72">
                  <c:v>24.800000000000011</c:v>
                </c:pt>
                <c:pt idx="73">
                  <c:v>24.842148760330574</c:v>
                </c:pt>
                <c:pt idx="74">
                  <c:v>24.882786885245899</c:v>
                </c:pt>
                <c:pt idx="75">
                  <c:v>24.923577235772353</c:v>
                </c:pt>
                <c:pt idx="76">
                  <c:v>24.962903225806443</c:v>
                </c:pt>
                <c:pt idx="77">
                  <c:v>25.002400000000002</c:v>
                </c:pt>
                <c:pt idx="78">
                  <c:v>25.040476190476191</c:v>
                </c:pt>
                <c:pt idx="79">
                  <c:v>25.078740157480318</c:v>
                </c:pt>
                <c:pt idx="80">
                  <c:v>25.115624999999998</c:v>
                </c:pt>
                <c:pt idx="81">
                  <c:v>25.152713178294572</c:v>
                </c:pt>
                <c:pt idx="82">
                  <c:v>25.188461538461539</c:v>
                </c:pt>
                <c:pt idx="83">
                  <c:v>25.224427480916034</c:v>
                </c:pt>
                <c:pt idx="84">
                  <c:v>25.25984848484849</c:v>
                </c:pt>
                <c:pt idx="85">
                  <c:v>25.294039644565935</c:v>
                </c:pt>
                <c:pt idx="86">
                  <c:v>25.328358208955216</c:v>
                </c:pt>
                <c:pt idx="87">
                  <c:v>25.361481481481473</c:v>
                </c:pt>
                <c:pt idx="88">
                  <c:v>25.394852941176481</c:v>
                </c:pt>
                <c:pt idx="89">
                  <c:v>25.427007299270088</c:v>
                </c:pt>
                <c:pt idx="90">
                  <c:v>25.459420289855061</c:v>
                </c:pt>
                <c:pt idx="91">
                  <c:v>25.490647482014385</c:v>
                </c:pt>
                <c:pt idx="92">
                  <c:v>25.52214285714285</c:v>
                </c:pt>
                <c:pt idx="93">
                  <c:v>25.552482269503539</c:v>
                </c:pt>
                <c:pt idx="94">
                  <c:v>25.583098591549291</c:v>
                </c:pt>
                <c:pt idx="95">
                  <c:v>25.612587412587406</c:v>
                </c:pt>
                <c:pt idx="96">
                  <c:v>25.64234217171737</c:v>
                </c:pt>
                <c:pt idx="97">
                  <c:v>25.67172413793104</c:v>
                </c:pt>
                <c:pt idx="98">
                  <c:v>25.70003113324999</c:v>
                </c:pt>
                <c:pt idx="99">
                  <c:v>25.728571428571435</c:v>
                </c:pt>
                <c:pt idx="100">
                  <c:v>25.756081081081085</c:v>
                </c:pt>
                <c:pt idx="101">
                  <c:v>25.783892617449666</c:v>
                </c:pt>
                <c:pt idx="102">
                  <c:v>25.81066666666667</c:v>
                </c:pt>
              </c:numCache>
            </c:numRef>
          </c:val>
          <c:smooth val="0"/>
          <c:extLst xmlns:c16r2="http://schemas.microsoft.com/office/drawing/2015/06/chart">
            <c:ext xmlns:c16="http://schemas.microsoft.com/office/drawing/2014/chart" uri="{C3380CC4-5D6E-409C-BE32-E72D297353CC}">
              <c16:uniqueId val="{00000002-081A-444C-9BEF-DB2579267D9D}"/>
            </c:ext>
          </c:extLst>
        </c:ser>
        <c:dLbls>
          <c:showLegendKey val="0"/>
          <c:showVal val="0"/>
          <c:showCatName val="0"/>
          <c:showSerName val="0"/>
          <c:showPercent val="0"/>
          <c:showBubbleSize val="0"/>
        </c:dLbls>
        <c:smooth val="0"/>
        <c:axId val="220501896"/>
        <c:axId val="220502288"/>
      </c:lineChart>
      <c:catAx>
        <c:axId val="22050189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r>
                  <a:rPr lang="en-US">
                    <a:solidFill>
                      <a:sysClr val="windowText" lastClr="000000"/>
                    </a:solidFill>
                    <a:latin typeface="Arial Narrow" panose="020B0606020202030204" pitchFamily="34" charset="0"/>
                  </a:rPr>
                  <a:t>Hrubá mzda</a:t>
                </a:r>
              </a:p>
            </c:rich>
          </c:tx>
          <c:layout>
            <c:manualLayout>
              <c:xMode val="edge"/>
              <c:yMode val="edge"/>
              <c:x val="0.41507858204471432"/>
              <c:y val="0.9233085447652377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0502288"/>
        <c:crosses val="autoZero"/>
        <c:auto val="1"/>
        <c:lblAlgn val="ctr"/>
        <c:lblOffset val="100"/>
        <c:noMultiLvlLbl val="0"/>
      </c:catAx>
      <c:valAx>
        <c:axId val="220502288"/>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0501896"/>
        <c:crosses val="autoZero"/>
        <c:crossBetween val="between"/>
      </c:valAx>
      <c:spPr>
        <a:noFill/>
        <a:ln>
          <a:noFill/>
        </a:ln>
        <a:effectLst/>
      </c:spPr>
    </c:plotArea>
    <c:legend>
      <c:legendPos val="b"/>
      <c:layout>
        <c:manualLayout>
          <c:xMode val="edge"/>
          <c:yMode val="edge"/>
          <c:x val="9.9092728351484805E-2"/>
          <c:y val="1.4658250787514773E-2"/>
          <c:w val="0.9"/>
          <c:h val="9.26600811414587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userShapes r:id="rId4"/>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927300183367493E-2"/>
          <c:y val="4.2553191489361701E-2"/>
          <c:w val="0.87410922949699776"/>
          <c:h val="0.74906647307384444"/>
        </c:manualLayout>
      </c:layout>
      <c:barChart>
        <c:barDir val="col"/>
        <c:grouping val="clustered"/>
        <c:varyColors val="0"/>
        <c:ser>
          <c:idx val="0"/>
          <c:order val="0"/>
          <c:tx>
            <c:strRef>
              <c:f>'Invalidne-vyska'!$B$19</c:f>
              <c:strCache>
                <c:ptCount val="1"/>
                <c:pt idx="0">
                  <c:v>Čiastočný ID</c:v>
                </c:pt>
              </c:strCache>
            </c:strRef>
          </c:tx>
          <c:spPr>
            <a:solidFill>
              <a:schemeClr val="accent1"/>
            </a:solidFill>
            <a:ln>
              <a:noFill/>
            </a:ln>
            <a:effectLst/>
          </c:spPr>
          <c:invertIfNegative val="0"/>
          <c:cat>
            <c:numRef>
              <c:f>'Invalidne-vyska'!$A$20:$A$29</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'Invalidne-vyska'!$B$20:$B$29</c:f>
              <c:numCache>
                <c:formatCode>General</c:formatCode>
                <c:ptCount val="10"/>
                <c:pt idx="0">
                  <c:v>37.121716132823984</c:v>
                </c:pt>
                <c:pt idx="1">
                  <c:v>35.700163487738422</c:v>
                </c:pt>
                <c:pt idx="2">
                  <c:v>35.049735729386889</c:v>
                </c:pt>
                <c:pt idx="3">
                  <c:v>32.858084696823873</c:v>
                </c:pt>
                <c:pt idx="4">
                  <c:v>34.5990103908956</c:v>
                </c:pt>
                <c:pt idx="5">
                  <c:v>34.759030837004396</c:v>
                </c:pt>
                <c:pt idx="6">
                  <c:v>34.302597402597407</c:v>
                </c:pt>
                <c:pt idx="7">
                  <c:v>34.129081754974827</c:v>
                </c:pt>
                <c:pt idx="8">
                  <c:v>33.49517401392108</c:v>
                </c:pt>
                <c:pt idx="9">
                  <c:v>32.794906166219839</c:v>
                </c:pt>
              </c:numCache>
            </c:numRef>
          </c:val>
          <c:extLst xmlns:c16r2="http://schemas.microsoft.com/office/drawing/2015/06/chart">
            <c:ext xmlns:c16="http://schemas.microsoft.com/office/drawing/2014/chart" uri="{C3380CC4-5D6E-409C-BE32-E72D297353CC}">
              <c16:uniqueId val="{00000000-89A0-4584-917F-0AE6752F2EE2}"/>
            </c:ext>
          </c:extLst>
        </c:ser>
        <c:ser>
          <c:idx val="1"/>
          <c:order val="1"/>
          <c:tx>
            <c:strRef>
              <c:f>'Invalidne-vyska'!$C$19</c:f>
              <c:strCache>
                <c:ptCount val="1"/>
                <c:pt idx="0">
                  <c:v>Plný ID</c:v>
                </c:pt>
              </c:strCache>
            </c:strRef>
          </c:tx>
          <c:spPr>
            <a:solidFill>
              <a:schemeClr val="accent5">
                <a:lumMod val="75000"/>
              </a:schemeClr>
            </a:solidFill>
            <a:ln>
              <a:noFill/>
            </a:ln>
            <a:effectLst/>
          </c:spPr>
          <c:invertIfNegative val="0"/>
          <c:cat>
            <c:numRef>
              <c:f>'Invalidne-vyska'!$A$20:$A$29</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'Invalidne-vyska'!$C$20:$C$29</c:f>
              <c:numCache>
                <c:formatCode>General</c:formatCode>
                <c:ptCount val="10"/>
                <c:pt idx="0">
                  <c:v>64.3819570966794</c:v>
                </c:pt>
                <c:pt idx="1">
                  <c:v>66.690449603291214</c:v>
                </c:pt>
                <c:pt idx="2">
                  <c:v>68.022685865412882</c:v>
                </c:pt>
                <c:pt idx="3">
                  <c:v>70.36097560975611</c:v>
                </c:pt>
                <c:pt idx="4">
                  <c:v>72.427211284161046</c:v>
                </c:pt>
                <c:pt idx="5">
                  <c:v>73.971907140758177</c:v>
                </c:pt>
                <c:pt idx="6">
                  <c:v>74.713311783720272</c:v>
                </c:pt>
                <c:pt idx="7">
                  <c:v>74.837437555098447</c:v>
                </c:pt>
                <c:pt idx="8">
                  <c:v>76.260652365559807</c:v>
                </c:pt>
                <c:pt idx="9">
                  <c:v>77.82421392888628</c:v>
                </c:pt>
              </c:numCache>
            </c:numRef>
          </c:val>
          <c:extLst xmlns:c16r2="http://schemas.microsoft.com/office/drawing/2015/06/chart">
            <c:ext xmlns:c16="http://schemas.microsoft.com/office/drawing/2014/chart" uri="{C3380CC4-5D6E-409C-BE32-E72D297353CC}">
              <c16:uniqueId val="{00000001-89A0-4584-917F-0AE6752F2EE2}"/>
            </c:ext>
          </c:extLst>
        </c:ser>
        <c:ser>
          <c:idx val="2"/>
          <c:order val="2"/>
          <c:tx>
            <c:strRef>
              <c:f>'Invalidne-vyska'!$D$19</c:f>
              <c:strCache>
                <c:ptCount val="1"/>
                <c:pt idx="0">
                  <c:v>ID z mladosti</c:v>
                </c:pt>
              </c:strCache>
            </c:strRef>
          </c:tx>
          <c:spPr>
            <a:solidFill>
              <a:schemeClr val="accent3"/>
            </a:solidFill>
            <a:ln>
              <a:noFill/>
            </a:ln>
            <a:effectLst/>
          </c:spPr>
          <c:invertIfNegative val="0"/>
          <c:cat>
            <c:numRef>
              <c:f>'Invalidne-vyska'!$A$20:$A$29</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'Invalidne-vyska'!$D$20:$D$29</c:f>
              <c:numCache>
                <c:formatCode>General</c:formatCode>
                <c:ptCount val="10"/>
                <c:pt idx="0">
                  <c:v>49.645724360858061</c:v>
                </c:pt>
                <c:pt idx="1">
                  <c:v>50.997884219806053</c:v>
                </c:pt>
                <c:pt idx="2">
                  <c:v>51.570202762268586</c:v>
                </c:pt>
                <c:pt idx="3">
                  <c:v>52.783426388480748</c:v>
                </c:pt>
                <c:pt idx="4">
                  <c:v>53.915897737290628</c:v>
                </c:pt>
                <c:pt idx="5">
                  <c:v>54.916661769027343</c:v>
                </c:pt>
                <c:pt idx="6">
                  <c:v>55.272289156626499</c:v>
                </c:pt>
                <c:pt idx="7">
                  <c:v>55.218160446664712</c:v>
                </c:pt>
                <c:pt idx="8">
                  <c:v>56.323302967969454</c:v>
                </c:pt>
                <c:pt idx="9">
                  <c:v>57.571613282397877</c:v>
                </c:pt>
              </c:numCache>
            </c:numRef>
          </c:val>
          <c:extLst xmlns:c16r2="http://schemas.microsoft.com/office/drawing/2015/06/chart">
            <c:ext xmlns:c16="http://schemas.microsoft.com/office/drawing/2014/chart" uri="{C3380CC4-5D6E-409C-BE32-E72D297353CC}">
              <c16:uniqueId val="{00000002-89A0-4584-917F-0AE6752F2EE2}"/>
            </c:ext>
          </c:extLst>
        </c:ser>
        <c:dLbls>
          <c:showLegendKey val="0"/>
          <c:showVal val="0"/>
          <c:showCatName val="0"/>
          <c:showSerName val="0"/>
          <c:showPercent val="0"/>
          <c:showBubbleSize val="0"/>
        </c:dLbls>
        <c:gapWidth val="219"/>
        <c:overlap val="-27"/>
        <c:axId val="220503072"/>
        <c:axId val="220503464"/>
      </c:barChart>
      <c:lineChart>
        <c:grouping val="standard"/>
        <c:varyColors val="0"/>
        <c:ser>
          <c:idx val="3"/>
          <c:order val="3"/>
          <c:tx>
            <c:strRef>
              <c:f>'Invalidne-vyska'!$E$19</c:f>
              <c:strCache>
                <c:ptCount val="1"/>
                <c:pt idx="0">
                  <c:v>Hranica r.  chudoby</c:v>
                </c:pt>
              </c:strCache>
            </c:strRef>
          </c:tx>
          <c:spPr>
            <a:ln w="15875" cap="rnd">
              <a:solidFill>
                <a:schemeClr val="tx1"/>
              </a:solidFill>
              <a:prstDash val="sysDash"/>
              <a:round/>
            </a:ln>
            <a:effectLst/>
          </c:spPr>
          <c:marker>
            <c:symbol val="none"/>
          </c:marker>
          <c:cat>
            <c:numRef>
              <c:f>'Invalidne-vyska'!$A$20:$A$29</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'Invalidne-vyska'!$E$20:$E$29</c:f>
              <c:numCache>
                <c:formatCode>General</c:formatCode>
                <c:ptCount val="10"/>
                <c:pt idx="0">
                  <c:v>60</c:v>
                </c:pt>
                <c:pt idx="1">
                  <c:v>60</c:v>
                </c:pt>
                <c:pt idx="2">
                  <c:v>60</c:v>
                </c:pt>
                <c:pt idx="3">
                  <c:v>60</c:v>
                </c:pt>
                <c:pt idx="4">
                  <c:v>60</c:v>
                </c:pt>
                <c:pt idx="5">
                  <c:v>60</c:v>
                </c:pt>
                <c:pt idx="6">
                  <c:v>60</c:v>
                </c:pt>
                <c:pt idx="7">
                  <c:v>60</c:v>
                </c:pt>
                <c:pt idx="8">
                  <c:v>60</c:v>
                </c:pt>
                <c:pt idx="9">
                  <c:v>60</c:v>
                </c:pt>
              </c:numCache>
            </c:numRef>
          </c:val>
          <c:smooth val="0"/>
          <c:extLst xmlns:c16r2="http://schemas.microsoft.com/office/drawing/2015/06/chart">
            <c:ext xmlns:c16="http://schemas.microsoft.com/office/drawing/2014/chart" uri="{C3380CC4-5D6E-409C-BE32-E72D297353CC}">
              <c16:uniqueId val="{00000003-89A0-4584-917F-0AE6752F2EE2}"/>
            </c:ext>
          </c:extLst>
        </c:ser>
        <c:dLbls>
          <c:showLegendKey val="0"/>
          <c:showVal val="0"/>
          <c:showCatName val="0"/>
          <c:showSerName val="0"/>
          <c:showPercent val="0"/>
          <c:showBubbleSize val="0"/>
        </c:dLbls>
        <c:marker val="1"/>
        <c:smooth val="0"/>
        <c:axId val="220503072"/>
        <c:axId val="220503464"/>
      </c:lineChart>
      <c:catAx>
        <c:axId val="220503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0503464"/>
        <c:crosses val="autoZero"/>
        <c:auto val="1"/>
        <c:lblAlgn val="ctr"/>
        <c:lblOffset val="100"/>
        <c:noMultiLvlLbl val="0"/>
      </c:catAx>
      <c:valAx>
        <c:axId val="220503464"/>
        <c:scaling>
          <c:orientation val="minMax"/>
          <c:max val="80"/>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0503072"/>
        <c:crosses val="autoZero"/>
        <c:crossBetween val="between"/>
      </c:valAx>
      <c:spPr>
        <a:noFill/>
        <a:ln>
          <a:noFill/>
        </a:ln>
        <a:effectLst/>
      </c:spPr>
    </c:plotArea>
    <c:legend>
      <c:legendPos val="b"/>
      <c:layout>
        <c:manualLayout>
          <c:xMode val="edge"/>
          <c:yMode val="edge"/>
          <c:x val="4.3035271276022004E-2"/>
          <c:y val="0.89195063383034567"/>
          <c:w val="0.92306151799518232"/>
          <c:h val="0.1080493661696543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712485013447393E-2"/>
          <c:y val="4.6296296296296294E-2"/>
          <c:w val="0.89082660963675842"/>
          <c:h val="0.70799139690871971"/>
        </c:manualLayout>
      </c:layout>
      <c:barChart>
        <c:barDir val="col"/>
        <c:grouping val="stacked"/>
        <c:varyColors val="0"/>
        <c:ser>
          <c:idx val="0"/>
          <c:order val="0"/>
          <c:tx>
            <c:strRef>
              <c:f>Graf_21!$B$7</c:f>
              <c:strCache>
                <c:ptCount val="1"/>
                <c:pt idx="0">
                  <c:v>Zvýšil sa (zarábal pred aj po)</c:v>
                </c:pt>
              </c:strCache>
            </c:strRef>
          </c:tx>
          <c:spPr>
            <a:solidFill>
              <a:schemeClr val="accent1">
                <a:lumMod val="50000"/>
              </a:schemeClr>
            </a:solidFill>
            <a:ln>
              <a:noFill/>
            </a:ln>
            <a:effectLst/>
          </c:spPr>
          <c:invertIfNegative val="0"/>
          <c:cat>
            <c:numRef>
              <c:f>Graf_21!$A$8:$A$15</c:f>
              <c:numCache>
                <c:formatCode>General</c:formatCode>
                <c:ptCount val="8"/>
                <c:pt idx="0">
                  <c:v>2008</c:v>
                </c:pt>
                <c:pt idx="1">
                  <c:v>2009</c:v>
                </c:pt>
                <c:pt idx="2">
                  <c:v>2010</c:v>
                </c:pt>
                <c:pt idx="3">
                  <c:v>2011</c:v>
                </c:pt>
                <c:pt idx="4">
                  <c:v>2012</c:v>
                </c:pt>
                <c:pt idx="5">
                  <c:v>2013</c:v>
                </c:pt>
                <c:pt idx="6">
                  <c:v>2014</c:v>
                </c:pt>
                <c:pt idx="7">
                  <c:v>2015</c:v>
                </c:pt>
              </c:numCache>
            </c:numRef>
          </c:cat>
          <c:val>
            <c:numRef>
              <c:f>Graf_21!$B$8:$B$15</c:f>
              <c:numCache>
                <c:formatCode>0.0</c:formatCode>
                <c:ptCount val="8"/>
                <c:pt idx="0">
                  <c:v>8.9545807118848568</c:v>
                </c:pt>
                <c:pt idx="1">
                  <c:v>18.079449483891146</c:v>
                </c:pt>
                <c:pt idx="2">
                  <c:v>10.176577026268173</c:v>
                </c:pt>
                <c:pt idx="3">
                  <c:v>24.627827082736903</c:v>
                </c:pt>
                <c:pt idx="4">
                  <c:v>25.930264608599778</c:v>
                </c:pt>
                <c:pt idx="5">
                  <c:v>27.195707427280428</c:v>
                </c:pt>
                <c:pt idx="6">
                  <c:v>28.711494332800225</c:v>
                </c:pt>
                <c:pt idx="7">
                  <c:v>31.401403667647728</c:v>
                </c:pt>
              </c:numCache>
            </c:numRef>
          </c:val>
          <c:extLst xmlns:c16r2="http://schemas.microsoft.com/office/drawing/2015/06/chart">
            <c:ext xmlns:c16="http://schemas.microsoft.com/office/drawing/2014/chart" uri="{C3380CC4-5D6E-409C-BE32-E72D297353CC}">
              <c16:uniqueId val="{00000000-BE42-4E62-844A-0FB765AFAD20}"/>
            </c:ext>
          </c:extLst>
        </c:ser>
        <c:ser>
          <c:idx val="1"/>
          <c:order val="1"/>
          <c:tx>
            <c:strRef>
              <c:f>Graf_21!$C$7</c:f>
              <c:strCache>
                <c:ptCount val="1"/>
                <c:pt idx="0">
                  <c:v>Zvýšil sa (zarábal len po)</c:v>
                </c:pt>
              </c:strCache>
            </c:strRef>
          </c:tx>
          <c:spPr>
            <a:solidFill>
              <a:schemeClr val="accent1"/>
            </a:solidFill>
            <a:ln>
              <a:noFill/>
            </a:ln>
            <a:effectLst/>
          </c:spPr>
          <c:invertIfNegative val="0"/>
          <c:cat>
            <c:numRef>
              <c:f>Graf_21!$A$8:$A$15</c:f>
              <c:numCache>
                <c:formatCode>General</c:formatCode>
                <c:ptCount val="8"/>
                <c:pt idx="0">
                  <c:v>2008</c:v>
                </c:pt>
                <c:pt idx="1">
                  <c:v>2009</c:v>
                </c:pt>
                <c:pt idx="2">
                  <c:v>2010</c:v>
                </c:pt>
                <c:pt idx="3">
                  <c:v>2011</c:v>
                </c:pt>
                <c:pt idx="4">
                  <c:v>2012</c:v>
                </c:pt>
                <c:pt idx="5">
                  <c:v>2013</c:v>
                </c:pt>
                <c:pt idx="6">
                  <c:v>2014</c:v>
                </c:pt>
                <c:pt idx="7">
                  <c:v>2015</c:v>
                </c:pt>
              </c:numCache>
            </c:numRef>
          </c:cat>
          <c:val>
            <c:numRef>
              <c:f>Graf_21!$C$8:$C$15</c:f>
              <c:numCache>
                <c:formatCode>0.0</c:formatCode>
                <c:ptCount val="8"/>
                <c:pt idx="0">
                  <c:v>5.5071964147203305</c:v>
                </c:pt>
                <c:pt idx="1">
                  <c:v>3.4563653425086014</c:v>
                </c:pt>
                <c:pt idx="2">
                  <c:v>5.6155238035814561</c:v>
                </c:pt>
                <c:pt idx="3">
                  <c:v>5.3392499284282851</c:v>
                </c:pt>
                <c:pt idx="4">
                  <c:v>5.1130099228224912</c:v>
                </c:pt>
                <c:pt idx="5">
                  <c:v>5.1256707144874323</c:v>
                </c:pt>
                <c:pt idx="6">
                  <c:v>6.1122314164522633</c:v>
                </c:pt>
                <c:pt idx="7">
                  <c:v>6.1278394083465404</c:v>
                </c:pt>
              </c:numCache>
            </c:numRef>
          </c:val>
          <c:extLst xmlns:c16r2="http://schemas.microsoft.com/office/drawing/2015/06/chart">
            <c:ext xmlns:c16="http://schemas.microsoft.com/office/drawing/2014/chart" uri="{C3380CC4-5D6E-409C-BE32-E72D297353CC}">
              <c16:uniqueId val="{00000001-BE42-4E62-844A-0FB765AFAD20}"/>
            </c:ext>
          </c:extLst>
        </c:ser>
        <c:ser>
          <c:idx val="2"/>
          <c:order val="2"/>
          <c:tx>
            <c:strRef>
              <c:f>Graf_21!$D$7</c:f>
              <c:strCache>
                <c:ptCount val="1"/>
                <c:pt idx="0">
                  <c:v>Znížil sa viac ako o 10 %</c:v>
                </c:pt>
              </c:strCache>
            </c:strRef>
          </c:tx>
          <c:spPr>
            <a:solidFill>
              <a:schemeClr val="bg1">
                <a:lumMod val="85000"/>
              </a:schemeClr>
            </a:solidFill>
            <a:ln>
              <a:noFill/>
            </a:ln>
            <a:effectLst/>
          </c:spPr>
          <c:invertIfNegative val="0"/>
          <c:cat>
            <c:numRef>
              <c:f>Graf_21!$A$8:$A$15</c:f>
              <c:numCache>
                <c:formatCode>General</c:formatCode>
                <c:ptCount val="8"/>
                <c:pt idx="0">
                  <c:v>2008</c:v>
                </c:pt>
                <c:pt idx="1">
                  <c:v>2009</c:v>
                </c:pt>
                <c:pt idx="2">
                  <c:v>2010</c:v>
                </c:pt>
                <c:pt idx="3">
                  <c:v>2011</c:v>
                </c:pt>
                <c:pt idx="4">
                  <c:v>2012</c:v>
                </c:pt>
                <c:pt idx="5">
                  <c:v>2013</c:v>
                </c:pt>
                <c:pt idx="6">
                  <c:v>2014</c:v>
                </c:pt>
                <c:pt idx="7">
                  <c:v>2015</c:v>
                </c:pt>
              </c:numCache>
            </c:numRef>
          </c:cat>
          <c:val>
            <c:numRef>
              <c:f>Graf_21!$D$8:$D$15</c:f>
              <c:numCache>
                <c:formatCode>0.0</c:formatCode>
                <c:ptCount val="8"/>
                <c:pt idx="0">
                  <c:v>16.969749202792382</c:v>
                </c:pt>
                <c:pt idx="1">
                  <c:v>18.079449483891146</c:v>
                </c:pt>
                <c:pt idx="2">
                  <c:v>16.453484744493668</c:v>
                </c:pt>
                <c:pt idx="3">
                  <c:v>18.408245061551675</c:v>
                </c:pt>
                <c:pt idx="4">
                  <c:v>18.88781697905182</c:v>
                </c:pt>
                <c:pt idx="5">
                  <c:v>17.742163230725783</c:v>
                </c:pt>
                <c:pt idx="6">
                  <c:v>17.091996384117934</c:v>
                </c:pt>
                <c:pt idx="7">
                  <c:v>17.493019394762658</c:v>
                </c:pt>
              </c:numCache>
            </c:numRef>
          </c:val>
          <c:extLst xmlns:c16r2="http://schemas.microsoft.com/office/drawing/2015/06/chart">
            <c:ext xmlns:c16="http://schemas.microsoft.com/office/drawing/2014/chart" uri="{C3380CC4-5D6E-409C-BE32-E72D297353CC}">
              <c16:uniqueId val="{00000002-BE42-4E62-844A-0FB765AFAD20}"/>
            </c:ext>
          </c:extLst>
        </c:ser>
        <c:ser>
          <c:idx val="3"/>
          <c:order val="3"/>
          <c:tx>
            <c:strRef>
              <c:f>Graf_21!$E$7</c:f>
              <c:strCache>
                <c:ptCount val="1"/>
                <c:pt idx="0">
                  <c:v>Znížil sa do 10 %</c:v>
                </c:pt>
              </c:strCache>
            </c:strRef>
          </c:tx>
          <c:spPr>
            <a:solidFill>
              <a:schemeClr val="bg1">
                <a:lumMod val="65000"/>
              </a:schemeClr>
            </a:solidFill>
            <a:ln>
              <a:noFill/>
            </a:ln>
            <a:effectLst/>
          </c:spPr>
          <c:invertIfNegative val="0"/>
          <c:cat>
            <c:numRef>
              <c:f>Graf_21!$A$8:$A$15</c:f>
              <c:numCache>
                <c:formatCode>General</c:formatCode>
                <c:ptCount val="8"/>
                <c:pt idx="0">
                  <c:v>2008</c:v>
                </c:pt>
                <c:pt idx="1">
                  <c:v>2009</c:v>
                </c:pt>
                <c:pt idx="2">
                  <c:v>2010</c:v>
                </c:pt>
                <c:pt idx="3">
                  <c:v>2011</c:v>
                </c:pt>
                <c:pt idx="4">
                  <c:v>2012</c:v>
                </c:pt>
                <c:pt idx="5">
                  <c:v>2013</c:v>
                </c:pt>
                <c:pt idx="6">
                  <c:v>2014</c:v>
                </c:pt>
                <c:pt idx="7">
                  <c:v>2015</c:v>
                </c:pt>
              </c:numCache>
            </c:numRef>
          </c:cat>
          <c:val>
            <c:numRef>
              <c:f>Graf_21!$E$8:$E$15</c:f>
              <c:numCache>
                <c:formatCode>0.0</c:formatCode>
                <c:ptCount val="8"/>
                <c:pt idx="0">
                  <c:v>20.184435059898306</c:v>
                </c:pt>
                <c:pt idx="1">
                  <c:v>8.8833281201126013</c:v>
                </c:pt>
                <c:pt idx="2">
                  <c:v>19.485867598427653</c:v>
                </c:pt>
                <c:pt idx="3">
                  <c:v>8.1233896364156877</c:v>
                </c:pt>
                <c:pt idx="4">
                  <c:v>8.076074972436615</c:v>
                </c:pt>
                <c:pt idx="5">
                  <c:v>8.6345665066365598</c:v>
                </c:pt>
                <c:pt idx="6">
                  <c:v>8.8102357276962664</c:v>
                </c:pt>
                <c:pt idx="7">
                  <c:v>7.2598294468341962</c:v>
                </c:pt>
              </c:numCache>
            </c:numRef>
          </c:val>
          <c:extLst xmlns:c16r2="http://schemas.microsoft.com/office/drawing/2015/06/chart">
            <c:ext xmlns:c16="http://schemas.microsoft.com/office/drawing/2014/chart" uri="{C3380CC4-5D6E-409C-BE32-E72D297353CC}">
              <c16:uniqueId val="{00000003-BE42-4E62-844A-0FB765AFAD20}"/>
            </c:ext>
          </c:extLst>
        </c:ser>
        <c:ser>
          <c:idx val="4"/>
          <c:order val="4"/>
          <c:tx>
            <c:strRef>
              <c:f>Graf_21!$F$7</c:f>
              <c:strCache>
                <c:ptCount val="1"/>
                <c:pt idx="0">
                  <c:v>Znížil sa (nezarábal po)</c:v>
                </c:pt>
              </c:strCache>
            </c:strRef>
          </c:tx>
          <c:spPr>
            <a:solidFill>
              <a:schemeClr val="tx1">
                <a:lumMod val="50000"/>
                <a:lumOff val="50000"/>
              </a:schemeClr>
            </a:solidFill>
            <a:ln>
              <a:noFill/>
            </a:ln>
            <a:effectLst/>
          </c:spPr>
          <c:invertIfNegative val="0"/>
          <c:cat>
            <c:numRef>
              <c:f>Graf_21!$A$8:$A$15</c:f>
              <c:numCache>
                <c:formatCode>General</c:formatCode>
                <c:ptCount val="8"/>
                <c:pt idx="0">
                  <c:v>2008</c:v>
                </c:pt>
                <c:pt idx="1">
                  <c:v>2009</c:v>
                </c:pt>
                <c:pt idx="2">
                  <c:v>2010</c:v>
                </c:pt>
                <c:pt idx="3">
                  <c:v>2011</c:v>
                </c:pt>
                <c:pt idx="4">
                  <c:v>2012</c:v>
                </c:pt>
                <c:pt idx="5">
                  <c:v>2013</c:v>
                </c:pt>
                <c:pt idx="6">
                  <c:v>2014</c:v>
                </c:pt>
                <c:pt idx="7">
                  <c:v>2015</c:v>
                </c:pt>
              </c:numCache>
            </c:numRef>
          </c:cat>
          <c:val>
            <c:numRef>
              <c:f>Graf_21!$F$8:$F$15</c:f>
              <c:numCache>
                <c:formatCode>0.0</c:formatCode>
                <c:ptCount val="8"/>
                <c:pt idx="0">
                  <c:v>48.384038610704124</c:v>
                </c:pt>
                <c:pt idx="1">
                  <c:v>51.501407569596495</c:v>
                </c:pt>
                <c:pt idx="2">
                  <c:v>48.268546827229052</c:v>
                </c:pt>
                <c:pt idx="3">
                  <c:v>43.50128829086745</c:v>
                </c:pt>
                <c:pt idx="4">
                  <c:v>41.992833517089309</c:v>
                </c:pt>
                <c:pt idx="5">
                  <c:v>41.301892120869809</c:v>
                </c:pt>
                <c:pt idx="6">
                  <c:v>39.274042138933311</c:v>
                </c:pt>
                <c:pt idx="7">
                  <c:v>37.717908082408876</c:v>
                </c:pt>
              </c:numCache>
            </c:numRef>
          </c:val>
          <c:extLst xmlns:c16r2="http://schemas.microsoft.com/office/drawing/2015/06/chart">
            <c:ext xmlns:c16="http://schemas.microsoft.com/office/drawing/2014/chart" uri="{C3380CC4-5D6E-409C-BE32-E72D297353CC}">
              <c16:uniqueId val="{00000004-BE42-4E62-844A-0FB765AFAD20}"/>
            </c:ext>
          </c:extLst>
        </c:ser>
        <c:dLbls>
          <c:showLegendKey val="0"/>
          <c:showVal val="0"/>
          <c:showCatName val="0"/>
          <c:showSerName val="0"/>
          <c:showPercent val="0"/>
          <c:showBubbleSize val="0"/>
        </c:dLbls>
        <c:gapWidth val="150"/>
        <c:overlap val="100"/>
        <c:axId val="220504248"/>
        <c:axId val="220504640"/>
      </c:barChart>
      <c:catAx>
        <c:axId val="220504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0504640"/>
        <c:crosses val="autoZero"/>
        <c:auto val="1"/>
        <c:lblAlgn val="ctr"/>
        <c:lblOffset val="100"/>
        <c:noMultiLvlLbl val="0"/>
      </c:catAx>
      <c:valAx>
        <c:axId val="220504640"/>
        <c:scaling>
          <c:orientation val="minMax"/>
          <c:max val="100"/>
        </c:scaling>
        <c:delete val="0"/>
        <c:axPos val="l"/>
        <c:majorGridlines>
          <c:spPr>
            <a:ln w="9525" cap="flat" cmpd="sng" algn="ctr">
              <a:solidFill>
                <a:schemeClr val="tx1">
                  <a:lumMod val="15000"/>
                  <a:lumOff val="85000"/>
                </a:schemeClr>
              </a:solidFill>
              <a:prstDash val="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0504248"/>
        <c:crosses val="autoZero"/>
        <c:crossBetween val="between"/>
      </c:valAx>
      <c:spPr>
        <a:noFill/>
        <a:ln>
          <a:noFill/>
        </a:ln>
        <a:effectLst/>
      </c:spPr>
    </c:plotArea>
    <c:legend>
      <c:legendPos val="b"/>
      <c:layout>
        <c:manualLayout>
          <c:xMode val="edge"/>
          <c:yMode val="edge"/>
          <c:x val="5.7165280292008651E-3"/>
          <c:y val="0.85705745115193932"/>
          <c:w val="0.99428347197079914"/>
          <c:h val="0.1429425488480606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580927384076991E-2"/>
          <c:y val="5.0925925925925923E-2"/>
          <c:w val="0.90286351706036749"/>
          <c:h val="0.68285396617089533"/>
        </c:manualLayout>
      </c:layout>
      <c:barChart>
        <c:barDir val="col"/>
        <c:grouping val="stacked"/>
        <c:varyColors val="0"/>
        <c:ser>
          <c:idx val="0"/>
          <c:order val="0"/>
          <c:tx>
            <c:strRef>
              <c:f>'Intern. comp. 16'!$Y$1</c:f>
              <c:strCache>
                <c:ptCount val="1"/>
                <c:pt idx="0">
                  <c:v>zdravotné postihnutie</c:v>
                </c:pt>
              </c:strCache>
            </c:strRef>
          </c:tx>
          <c:spPr>
            <a:solidFill>
              <a:schemeClr val="accent1"/>
            </a:solidFill>
            <a:ln>
              <a:noFill/>
            </a:ln>
            <a:effectLst/>
          </c:spPr>
          <c:invertIfNegative val="0"/>
          <c:cat>
            <c:strRef>
              <c:f>'Intern. comp. 16'!$X$2:$X$28</c:f>
              <c:strCache>
                <c:ptCount val="27"/>
                <c:pt idx="0">
                  <c:v>Dánsko</c:v>
                </c:pt>
                <c:pt idx="1">
                  <c:v>Fínsko</c:v>
                </c:pt>
                <c:pt idx="2">
                  <c:v>Francúzsko</c:v>
                </c:pt>
                <c:pt idx="3">
                  <c:v>Belgicko</c:v>
                </c:pt>
                <c:pt idx="4">
                  <c:v>Luxembursko</c:v>
                </c:pt>
                <c:pt idx="5">
                  <c:v>Nemecko</c:v>
                </c:pt>
                <c:pt idx="6">
                  <c:v>Švédsko</c:v>
                </c:pt>
                <c:pt idx="7">
                  <c:v>Rakúsko</c:v>
                </c:pt>
                <c:pt idx="8">
                  <c:v>Španielsko</c:v>
                </c:pt>
                <c:pt idx="9">
                  <c:v>Taliansko</c:v>
                </c:pt>
                <c:pt idx="10">
                  <c:v>Chorvátsko</c:v>
                </c:pt>
                <c:pt idx="11">
                  <c:v>Spojené Kráľ.</c:v>
                </c:pt>
                <c:pt idx="12">
                  <c:v>Holandsko</c:v>
                </c:pt>
                <c:pt idx="13">
                  <c:v>Cyprus</c:v>
                </c:pt>
                <c:pt idx="14">
                  <c:v>Grécko</c:v>
                </c:pt>
                <c:pt idx="15">
                  <c:v>Portugalsko</c:v>
                </c:pt>
                <c:pt idx="16">
                  <c:v>Slovinsko</c:v>
                </c:pt>
                <c:pt idx="17">
                  <c:v>Poľsko</c:v>
                </c:pt>
                <c:pt idx="18">
                  <c:v>Maďarsko</c:v>
                </c:pt>
                <c:pt idx="19">
                  <c:v>Slovensko</c:v>
                </c:pt>
                <c:pt idx="20">
                  <c:v>Bulharsko</c:v>
                </c:pt>
                <c:pt idx="21">
                  <c:v>Írsko</c:v>
                </c:pt>
                <c:pt idx="22">
                  <c:v>Estónsko</c:v>
                </c:pt>
                <c:pt idx="23">
                  <c:v>Česká Rep.</c:v>
                </c:pt>
                <c:pt idx="24">
                  <c:v>Lotyšsko</c:v>
                </c:pt>
                <c:pt idx="25">
                  <c:v>Malta</c:v>
                </c:pt>
                <c:pt idx="26">
                  <c:v>Litva</c:v>
                </c:pt>
              </c:strCache>
            </c:strRef>
          </c:cat>
          <c:val>
            <c:numRef>
              <c:f>'Intern. comp. 16'!$Y$2:$Y$28</c:f>
              <c:numCache>
                <c:formatCode>General</c:formatCode>
                <c:ptCount val="27"/>
                <c:pt idx="0">
                  <c:v>3.23</c:v>
                </c:pt>
                <c:pt idx="1">
                  <c:v>2.91</c:v>
                </c:pt>
                <c:pt idx="2">
                  <c:v>2</c:v>
                </c:pt>
                <c:pt idx="3">
                  <c:v>2.25</c:v>
                </c:pt>
                <c:pt idx="4">
                  <c:v>2.19</c:v>
                </c:pt>
                <c:pt idx="5">
                  <c:v>2.12</c:v>
                </c:pt>
                <c:pt idx="6">
                  <c:v>2.87</c:v>
                </c:pt>
                <c:pt idx="7">
                  <c:v>1.71</c:v>
                </c:pt>
                <c:pt idx="8">
                  <c:v>1.68</c:v>
                </c:pt>
                <c:pt idx="9">
                  <c:v>1.62</c:v>
                </c:pt>
                <c:pt idx="10">
                  <c:v>2.2400000000000002</c:v>
                </c:pt>
                <c:pt idx="11">
                  <c:v>1.72</c:v>
                </c:pt>
                <c:pt idx="12">
                  <c:v>1.86</c:v>
                </c:pt>
                <c:pt idx="13">
                  <c:v>0.79</c:v>
                </c:pt>
                <c:pt idx="14">
                  <c:v>1.42</c:v>
                </c:pt>
                <c:pt idx="15">
                  <c:v>1.65</c:v>
                </c:pt>
                <c:pt idx="16">
                  <c:v>1.22</c:v>
                </c:pt>
                <c:pt idx="17">
                  <c:v>1.2</c:v>
                </c:pt>
                <c:pt idx="18">
                  <c:v>1.18</c:v>
                </c:pt>
                <c:pt idx="19">
                  <c:v>1.57</c:v>
                </c:pt>
                <c:pt idx="20">
                  <c:v>1.25</c:v>
                </c:pt>
                <c:pt idx="21">
                  <c:v>0.81</c:v>
                </c:pt>
                <c:pt idx="22">
                  <c:v>1.84</c:v>
                </c:pt>
                <c:pt idx="23">
                  <c:v>1.18</c:v>
                </c:pt>
                <c:pt idx="24">
                  <c:v>1.34</c:v>
                </c:pt>
                <c:pt idx="25">
                  <c:v>0.57999999999999996</c:v>
                </c:pt>
                <c:pt idx="26">
                  <c:v>1.36</c:v>
                </c:pt>
              </c:numCache>
            </c:numRef>
          </c:val>
          <c:extLst xmlns:c16r2="http://schemas.microsoft.com/office/drawing/2015/06/chart">
            <c:ext xmlns:c16="http://schemas.microsoft.com/office/drawing/2014/chart" uri="{C3380CC4-5D6E-409C-BE32-E72D297353CC}">
              <c16:uniqueId val="{00000000-32D3-4B40-AA42-03183E831D40}"/>
            </c:ext>
          </c:extLst>
        </c:ser>
        <c:ser>
          <c:idx val="1"/>
          <c:order val="1"/>
          <c:tx>
            <c:strRef>
              <c:f>'Intern. comp. 16'!$Z$1</c:f>
              <c:strCache>
                <c:ptCount val="1"/>
                <c:pt idx="0">
                  <c:v>pozostalí</c:v>
                </c:pt>
              </c:strCache>
            </c:strRef>
          </c:tx>
          <c:spPr>
            <a:solidFill>
              <a:schemeClr val="tx2"/>
            </a:solidFill>
            <a:ln>
              <a:noFill/>
            </a:ln>
            <a:effectLst/>
          </c:spPr>
          <c:invertIfNegative val="0"/>
          <c:cat>
            <c:strRef>
              <c:f>'Intern. comp. 16'!$X$2:$X$28</c:f>
              <c:strCache>
                <c:ptCount val="27"/>
                <c:pt idx="0">
                  <c:v>Dánsko</c:v>
                </c:pt>
                <c:pt idx="1">
                  <c:v>Fínsko</c:v>
                </c:pt>
                <c:pt idx="2">
                  <c:v>Francúzsko</c:v>
                </c:pt>
                <c:pt idx="3">
                  <c:v>Belgicko</c:v>
                </c:pt>
                <c:pt idx="4">
                  <c:v>Luxembursko</c:v>
                </c:pt>
                <c:pt idx="5">
                  <c:v>Nemecko</c:v>
                </c:pt>
                <c:pt idx="6">
                  <c:v>Švédsko</c:v>
                </c:pt>
                <c:pt idx="7">
                  <c:v>Rakúsko</c:v>
                </c:pt>
                <c:pt idx="8">
                  <c:v>Španielsko</c:v>
                </c:pt>
                <c:pt idx="9">
                  <c:v>Taliansko</c:v>
                </c:pt>
                <c:pt idx="10">
                  <c:v>Chorvátsko</c:v>
                </c:pt>
                <c:pt idx="11">
                  <c:v>Spojené Kráľ.</c:v>
                </c:pt>
                <c:pt idx="12">
                  <c:v>Holandsko</c:v>
                </c:pt>
                <c:pt idx="13">
                  <c:v>Cyprus</c:v>
                </c:pt>
                <c:pt idx="14">
                  <c:v>Grécko</c:v>
                </c:pt>
                <c:pt idx="15">
                  <c:v>Portugalsko</c:v>
                </c:pt>
                <c:pt idx="16">
                  <c:v>Slovinsko</c:v>
                </c:pt>
                <c:pt idx="17">
                  <c:v>Poľsko</c:v>
                </c:pt>
                <c:pt idx="18">
                  <c:v>Maďarsko</c:v>
                </c:pt>
                <c:pt idx="19">
                  <c:v>Slovensko</c:v>
                </c:pt>
                <c:pt idx="20">
                  <c:v>Bulharsko</c:v>
                </c:pt>
                <c:pt idx="21">
                  <c:v>Írsko</c:v>
                </c:pt>
                <c:pt idx="22">
                  <c:v>Estónsko</c:v>
                </c:pt>
                <c:pt idx="23">
                  <c:v>Česká Rep.</c:v>
                </c:pt>
                <c:pt idx="24">
                  <c:v>Lotyšsko</c:v>
                </c:pt>
                <c:pt idx="25">
                  <c:v>Malta</c:v>
                </c:pt>
                <c:pt idx="26">
                  <c:v>Litva</c:v>
                </c:pt>
              </c:strCache>
            </c:strRef>
          </c:cat>
          <c:val>
            <c:numRef>
              <c:f>'Intern. comp. 16'!$Z$2:$Z$28</c:f>
              <c:numCache>
                <c:formatCode>General</c:formatCode>
                <c:ptCount val="27"/>
                <c:pt idx="0">
                  <c:v>1.1200000000000001</c:v>
                </c:pt>
                <c:pt idx="1">
                  <c:v>0.68</c:v>
                </c:pt>
                <c:pt idx="2">
                  <c:v>1.61</c:v>
                </c:pt>
                <c:pt idx="3">
                  <c:v>1.58</c:v>
                </c:pt>
                <c:pt idx="4">
                  <c:v>1.46</c:v>
                </c:pt>
                <c:pt idx="5">
                  <c:v>1.55</c:v>
                </c:pt>
                <c:pt idx="6">
                  <c:v>0.25</c:v>
                </c:pt>
                <c:pt idx="7">
                  <c:v>1.47</c:v>
                </c:pt>
                <c:pt idx="8">
                  <c:v>2.2400000000000002</c:v>
                </c:pt>
                <c:pt idx="9">
                  <c:v>2.19</c:v>
                </c:pt>
                <c:pt idx="10">
                  <c:v>1.89</c:v>
                </c:pt>
                <c:pt idx="11">
                  <c:v>7.0000000000000007E-2</c:v>
                </c:pt>
                <c:pt idx="12">
                  <c:v>0.74</c:v>
                </c:pt>
                <c:pt idx="13">
                  <c:v>1.4</c:v>
                </c:pt>
                <c:pt idx="14">
                  <c:v>2.3199999999999998</c:v>
                </c:pt>
                <c:pt idx="15">
                  <c:v>1.69</c:v>
                </c:pt>
                <c:pt idx="16">
                  <c:v>1.41</c:v>
                </c:pt>
                <c:pt idx="17">
                  <c:v>1.55</c:v>
                </c:pt>
                <c:pt idx="18">
                  <c:v>1.04</c:v>
                </c:pt>
                <c:pt idx="19">
                  <c:v>0.87</c:v>
                </c:pt>
                <c:pt idx="20">
                  <c:v>0.92</c:v>
                </c:pt>
                <c:pt idx="21">
                  <c:v>0.31</c:v>
                </c:pt>
                <c:pt idx="22">
                  <c:v>0.06</c:v>
                </c:pt>
                <c:pt idx="23">
                  <c:v>0.6</c:v>
                </c:pt>
                <c:pt idx="24">
                  <c:v>0.18</c:v>
                </c:pt>
                <c:pt idx="25">
                  <c:v>1.33</c:v>
                </c:pt>
                <c:pt idx="26">
                  <c:v>0.42</c:v>
                </c:pt>
              </c:numCache>
            </c:numRef>
          </c:val>
          <c:extLst xmlns:c16r2="http://schemas.microsoft.com/office/drawing/2015/06/chart">
            <c:ext xmlns:c16="http://schemas.microsoft.com/office/drawing/2014/chart" uri="{C3380CC4-5D6E-409C-BE32-E72D297353CC}">
              <c16:uniqueId val="{00000001-32D3-4B40-AA42-03183E831D40}"/>
            </c:ext>
          </c:extLst>
        </c:ser>
        <c:ser>
          <c:idx val="2"/>
          <c:order val="2"/>
          <c:tx>
            <c:strRef>
              <c:f>'Intern. comp. 16'!$AA$1</c:f>
              <c:strCache>
                <c:ptCount val="1"/>
                <c:pt idx="0">
                  <c:v>rodina,deti</c:v>
                </c:pt>
              </c:strCache>
            </c:strRef>
          </c:tx>
          <c:spPr>
            <a:solidFill>
              <a:schemeClr val="accent3">
                <a:lumMod val="75000"/>
              </a:schemeClr>
            </a:solidFill>
            <a:ln>
              <a:noFill/>
            </a:ln>
            <a:effectLst/>
          </c:spPr>
          <c:invertIfNegative val="0"/>
          <c:cat>
            <c:strRef>
              <c:f>'Intern. comp. 16'!$X$2:$X$28</c:f>
              <c:strCache>
                <c:ptCount val="27"/>
                <c:pt idx="0">
                  <c:v>Dánsko</c:v>
                </c:pt>
                <c:pt idx="1">
                  <c:v>Fínsko</c:v>
                </c:pt>
                <c:pt idx="2">
                  <c:v>Francúzsko</c:v>
                </c:pt>
                <c:pt idx="3">
                  <c:v>Belgicko</c:v>
                </c:pt>
                <c:pt idx="4">
                  <c:v>Luxembursko</c:v>
                </c:pt>
                <c:pt idx="5">
                  <c:v>Nemecko</c:v>
                </c:pt>
                <c:pt idx="6">
                  <c:v>Švédsko</c:v>
                </c:pt>
                <c:pt idx="7">
                  <c:v>Rakúsko</c:v>
                </c:pt>
                <c:pt idx="8">
                  <c:v>Španielsko</c:v>
                </c:pt>
                <c:pt idx="9">
                  <c:v>Taliansko</c:v>
                </c:pt>
                <c:pt idx="10">
                  <c:v>Chorvátsko</c:v>
                </c:pt>
                <c:pt idx="11">
                  <c:v>Spojené Kráľ.</c:v>
                </c:pt>
                <c:pt idx="12">
                  <c:v>Holandsko</c:v>
                </c:pt>
                <c:pt idx="13">
                  <c:v>Cyprus</c:v>
                </c:pt>
                <c:pt idx="14">
                  <c:v>Grécko</c:v>
                </c:pt>
                <c:pt idx="15">
                  <c:v>Portugalsko</c:v>
                </c:pt>
                <c:pt idx="16">
                  <c:v>Slovinsko</c:v>
                </c:pt>
                <c:pt idx="17">
                  <c:v>Poľsko</c:v>
                </c:pt>
                <c:pt idx="18">
                  <c:v>Maďarsko</c:v>
                </c:pt>
                <c:pt idx="19">
                  <c:v>Slovensko</c:v>
                </c:pt>
                <c:pt idx="20">
                  <c:v>Bulharsko</c:v>
                </c:pt>
                <c:pt idx="21">
                  <c:v>Írsko</c:v>
                </c:pt>
                <c:pt idx="22">
                  <c:v>Estónsko</c:v>
                </c:pt>
                <c:pt idx="23">
                  <c:v>Česká Rep.</c:v>
                </c:pt>
                <c:pt idx="24">
                  <c:v>Lotyšsko</c:v>
                </c:pt>
                <c:pt idx="25">
                  <c:v>Malta</c:v>
                </c:pt>
                <c:pt idx="26">
                  <c:v>Litva</c:v>
                </c:pt>
              </c:strCache>
            </c:strRef>
          </c:cat>
          <c:val>
            <c:numRef>
              <c:f>'Intern. comp. 16'!$AA$2:$AA$28</c:f>
              <c:numCache>
                <c:formatCode>General</c:formatCode>
                <c:ptCount val="27"/>
                <c:pt idx="0">
                  <c:v>3.25</c:v>
                </c:pt>
                <c:pt idx="1">
                  <c:v>2.95</c:v>
                </c:pt>
                <c:pt idx="2">
                  <c:v>2.39</c:v>
                </c:pt>
                <c:pt idx="3">
                  <c:v>2.08</c:v>
                </c:pt>
                <c:pt idx="4">
                  <c:v>3.25</c:v>
                </c:pt>
                <c:pt idx="5">
                  <c:v>3.15</c:v>
                </c:pt>
                <c:pt idx="6">
                  <c:v>2.83</c:v>
                </c:pt>
                <c:pt idx="7">
                  <c:v>2.78</c:v>
                </c:pt>
                <c:pt idx="8">
                  <c:v>1.24</c:v>
                </c:pt>
                <c:pt idx="9">
                  <c:v>1.73</c:v>
                </c:pt>
                <c:pt idx="10">
                  <c:v>1.79</c:v>
                </c:pt>
                <c:pt idx="11">
                  <c:v>2.57</c:v>
                </c:pt>
                <c:pt idx="12">
                  <c:v>1.1200000000000001</c:v>
                </c:pt>
                <c:pt idx="13">
                  <c:v>1.32</c:v>
                </c:pt>
                <c:pt idx="14">
                  <c:v>1</c:v>
                </c:pt>
                <c:pt idx="15">
                  <c:v>1.18</c:v>
                </c:pt>
                <c:pt idx="16">
                  <c:v>1.66</c:v>
                </c:pt>
                <c:pt idx="17">
                  <c:v>2.46</c:v>
                </c:pt>
                <c:pt idx="18">
                  <c:v>2.1800000000000002</c:v>
                </c:pt>
                <c:pt idx="19">
                  <c:v>1.6</c:v>
                </c:pt>
                <c:pt idx="20">
                  <c:v>1.78</c:v>
                </c:pt>
                <c:pt idx="21">
                  <c:v>1.3</c:v>
                </c:pt>
                <c:pt idx="22">
                  <c:v>2.0099999999999998</c:v>
                </c:pt>
                <c:pt idx="23">
                  <c:v>1.6</c:v>
                </c:pt>
                <c:pt idx="24">
                  <c:v>1.65</c:v>
                </c:pt>
                <c:pt idx="25">
                  <c:v>0.94</c:v>
                </c:pt>
                <c:pt idx="26">
                  <c:v>1.02</c:v>
                </c:pt>
              </c:numCache>
            </c:numRef>
          </c:val>
          <c:extLst xmlns:c16r2="http://schemas.microsoft.com/office/drawing/2015/06/chart">
            <c:ext xmlns:c16="http://schemas.microsoft.com/office/drawing/2014/chart" uri="{C3380CC4-5D6E-409C-BE32-E72D297353CC}">
              <c16:uniqueId val="{00000002-32D3-4B40-AA42-03183E831D40}"/>
            </c:ext>
          </c:extLst>
        </c:ser>
        <c:ser>
          <c:idx val="3"/>
          <c:order val="3"/>
          <c:tx>
            <c:strRef>
              <c:f>'Intern. comp. 16'!$AB$1</c:f>
              <c:strCache>
                <c:ptCount val="1"/>
                <c:pt idx="0">
                  <c:v>nezamestnanosť</c:v>
                </c:pt>
              </c:strCache>
            </c:strRef>
          </c:tx>
          <c:spPr>
            <a:solidFill>
              <a:srgbClr val="0070C0"/>
            </a:solidFill>
            <a:ln>
              <a:noFill/>
            </a:ln>
            <a:effectLst/>
          </c:spPr>
          <c:invertIfNegative val="0"/>
          <c:cat>
            <c:strRef>
              <c:f>'Intern. comp. 16'!$X$2:$X$28</c:f>
              <c:strCache>
                <c:ptCount val="27"/>
                <c:pt idx="0">
                  <c:v>Dánsko</c:v>
                </c:pt>
                <c:pt idx="1">
                  <c:v>Fínsko</c:v>
                </c:pt>
                <c:pt idx="2">
                  <c:v>Francúzsko</c:v>
                </c:pt>
                <c:pt idx="3">
                  <c:v>Belgicko</c:v>
                </c:pt>
                <c:pt idx="4">
                  <c:v>Luxembursko</c:v>
                </c:pt>
                <c:pt idx="5">
                  <c:v>Nemecko</c:v>
                </c:pt>
                <c:pt idx="6">
                  <c:v>Švédsko</c:v>
                </c:pt>
                <c:pt idx="7">
                  <c:v>Rakúsko</c:v>
                </c:pt>
                <c:pt idx="8">
                  <c:v>Španielsko</c:v>
                </c:pt>
                <c:pt idx="9">
                  <c:v>Taliansko</c:v>
                </c:pt>
                <c:pt idx="10">
                  <c:v>Chorvátsko</c:v>
                </c:pt>
                <c:pt idx="11">
                  <c:v>Spojené Kráľ.</c:v>
                </c:pt>
                <c:pt idx="12">
                  <c:v>Holandsko</c:v>
                </c:pt>
                <c:pt idx="13">
                  <c:v>Cyprus</c:v>
                </c:pt>
                <c:pt idx="14">
                  <c:v>Grécko</c:v>
                </c:pt>
                <c:pt idx="15">
                  <c:v>Portugalsko</c:v>
                </c:pt>
                <c:pt idx="16">
                  <c:v>Slovinsko</c:v>
                </c:pt>
                <c:pt idx="17">
                  <c:v>Poľsko</c:v>
                </c:pt>
                <c:pt idx="18">
                  <c:v>Maďarsko</c:v>
                </c:pt>
                <c:pt idx="19">
                  <c:v>Slovensko</c:v>
                </c:pt>
                <c:pt idx="20">
                  <c:v>Bulharsko</c:v>
                </c:pt>
                <c:pt idx="21">
                  <c:v>Írsko</c:v>
                </c:pt>
                <c:pt idx="22">
                  <c:v>Estónsko</c:v>
                </c:pt>
                <c:pt idx="23">
                  <c:v>Česká Rep.</c:v>
                </c:pt>
                <c:pt idx="24">
                  <c:v>Lotyšsko</c:v>
                </c:pt>
                <c:pt idx="25">
                  <c:v>Malta</c:v>
                </c:pt>
                <c:pt idx="26">
                  <c:v>Litva</c:v>
                </c:pt>
              </c:strCache>
            </c:strRef>
          </c:cat>
          <c:val>
            <c:numRef>
              <c:f>'Intern. comp. 16'!$AB$2:$AB$28</c:f>
              <c:numCache>
                <c:formatCode>General</c:formatCode>
                <c:ptCount val="27"/>
                <c:pt idx="0">
                  <c:v>1.1000000000000001</c:v>
                </c:pt>
                <c:pt idx="1">
                  <c:v>2.17</c:v>
                </c:pt>
                <c:pt idx="2">
                  <c:v>1.85</c:v>
                </c:pt>
                <c:pt idx="3">
                  <c:v>2.37</c:v>
                </c:pt>
                <c:pt idx="4">
                  <c:v>1.02</c:v>
                </c:pt>
                <c:pt idx="5">
                  <c:v>0.96</c:v>
                </c:pt>
                <c:pt idx="6">
                  <c:v>0.85</c:v>
                </c:pt>
                <c:pt idx="7">
                  <c:v>1.64</c:v>
                </c:pt>
                <c:pt idx="8">
                  <c:v>1.84</c:v>
                </c:pt>
                <c:pt idx="9">
                  <c:v>1.46</c:v>
                </c:pt>
                <c:pt idx="10">
                  <c:v>0.5</c:v>
                </c:pt>
                <c:pt idx="11">
                  <c:v>0.35</c:v>
                </c:pt>
                <c:pt idx="12">
                  <c:v>0.82</c:v>
                </c:pt>
                <c:pt idx="13">
                  <c:v>1.04</c:v>
                </c:pt>
                <c:pt idx="14">
                  <c:v>0.95</c:v>
                </c:pt>
                <c:pt idx="15">
                  <c:v>0.91</c:v>
                </c:pt>
                <c:pt idx="16">
                  <c:v>0.57999999999999996</c:v>
                </c:pt>
                <c:pt idx="17">
                  <c:v>0.16</c:v>
                </c:pt>
                <c:pt idx="18">
                  <c:v>0.28000000000000003</c:v>
                </c:pt>
                <c:pt idx="19">
                  <c:v>0.49</c:v>
                </c:pt>
                <c:pt idx="20">
                  <c:v>0.54</c:v>
                </c:pt>
                <c:pt idx="21">
                  <c:v>1.53</c:v>
                </c:pt>
                <c:pt idx="22">
                  <c:v>0.4</c:v>
                </c:pt>
                <c:pt idx="23">
                  <c:v>0.43</c:v>
                </c:pt>
                <c:pt idx="24">
                  <c:v>0.67</c:v>
                </c:pt>
                <c:pt idx="25">
                  <c:v>0.44</c:v>
                </c:pt>
                <c:pt idx="26">
                  <c:v>0.43</c:v>
                </c:pt>
              </c:numCache>
            </c:numRef>
          </c:val>
          <c:extLst xmlns:c16r2="http://schemas.microsoft.com/office/drawing/2015/06/chart">
            <c:ext xmlns:c16="http://schemas.microsoft.com/office/drawing/2014/chart" uri="{C3380CC4-5D6E-409C-BE32-E72D297353CC}">
              <c16:uniqueId val="{00000003-32D3-4B40-AA42-03183E831D40}"/>
            </c:ext>
          </c:extLst>
        </c:ser>
        <c:ser>
          <c:idx val="4"/>
          <c:order val="4"/>
          <c:tx>
            <c:strRef>
              <c:f>'Intern. comp. 16'!$AC$1</c:f>
              <c:strCache>
                <c:ptCount val="1"/>
                <c:pt idx="0">
                  <c:v>bývanie</c:v>
                </c:pt>
              </c:strCache>
            </c:strRef>
          </c:tx>
          <c:spPr>
            <a:solidFill>
              <a:schemeClr val="tx1"/>
            </a:solidFill>
            <a:ln>
              <a:noFill/>
            </a:ln>
            <a:effectLst/>
          </c:spPr>
          <c:invertIfNegative val="0"/>
          <c:cat>
            <c:strRef>
              <c:f>'Intern. comp. 16'!$X$2:$X$28</c:f>
              <c:strCache>
                <c:ptCount val="27"/>
                <c:pt idx="0">
                  <c:v>Dánsko</c:v>
                </c:pt>
                <c:pt idx="1">
                  <c:v>Fínsko</c:v>
                </c:pt>
                <c:pt idx="2">
                  <c:v>Francúzsko</c:v>
                </c:pt>
                <c:pt idx="3">
                  <c:v>Belgicko</c:v>
                </c:pt>
                <c:pt idx="4">
                  <c:v>Luxembursko</c:v>
                </c:pt>
                <c:pt idx="5">
                  <c:v>Nemecko</c:v>
                </c:pt>
                <c:pt idx="6">
                  <c:v>Švédsko</c:v>
                </c:pt>
                <c:pt idx="7">
                  <c:v>Rakúsko</c:v>
                </c:pt>
                <c:pt idx="8">
                  <c:v>Španielsko</c:v>
                </c:pt>
                <c:pt idx="9">
                  <c:v>Taliansko</c:v>
                </c:pt>
                <c:pt idx="10">
                  <c:v>Chorvátsko</c:v>
                </c:pt>
                <c:pt idx="11">
                  <c:v>Spojené Kráľ.</c:v>
                </c:pt>
                <c:pt idx="12">
                  <c:v>Holandsko</c:v>
                </c:pt>
                <c:pt idx="13">
                  <c:v>Cyprus</c:v>
                </c:pt>
                <c:pt idx="14">
                  <c:v>Grécko</c:v>
                </c:pt>
                <c:pt idx="15">
                  <c:v>Portugalsko</c:v>
                </c:pt>
                <c:pt idx="16">
                  <c:v>Slovinsko</c:v>
                </c:pt>
                <c:pt idx="17">
                  <c:v>Poľsko</c:v>
                </c:pt>
                <c:pt idx="18">
                  <c:v>Maďarsko</c:v>
                </c:pt>
                <c:pt idx="19">
                  <c:v>Slovensko</c:v>
                </c:pt>
                <c:pt idx="20">
                  <c:v>Bulharsko</c:v>
                </c:pt>
                <c:pt idx="21">
                  <c:v>Írsko</c:v>
                </c:pt>
                <c:pt idx="22">
                  <c:v>Estónsko</c:v>
                </c:pt>
                <c:pt idx="23">
                  <c:v>Česká Rep.</c:v>
                </c:pt>
                <c:pt idx="24">
                  <c:v>Lotyšsko</c:v>
                </c:pt>
                <c:pt idx="25">
                  <c:v>Malta</c:v>
                </c:pt>
                <c:pt idx="26">
                  <c:v>Litva</c:v>
                </c:pt>
              </c:strCache>
            </c:strRef>
          </c:cat>
          <c:val>
            <c:numRef>
              <c:f>'Intern. comp. 16'!$AC$2:$AC$28</c:f>
              <c:numCache>
                <c:formatCode>General</c:formatCode>
                <c:ptCount val="27"/>
                <c:pt idx="0">
                  <c:v>0.68</c:v>
                </c:pt>
                <c:pt idx="1">
                  <c:v>0.76</c:v>
                </c:pt>
                <c:pt idx="2">
                  <c:v>0.82</c:v>
                </c:pt>
                <c:pt idx="3">
                  <c:v>0.24</c:v>
                </c:pt>
                <c:pt idx="4">
                  <c:v>0.35</c:v>
                </c:pt>
                <c:pt idx="5">
                  <c:v>0.55000000000000004</c:v>
                </c:pt>
                <c:pt idx="6">
                  <c:v>0.42</c:v>
                </c:pt>
                <c:pt idx="7">
                  <c:v>0.12</c:v>
                </c:pt>
                <c:pt idx="8">
                  <c:v>0.11</c:v>
                </c:pt>
                <c:pt idx="9">
                  <c:v>0.04</c:v>
                </c:pt>
                <c:pt idx="10">
                  <c:v>0.02</c:v>
                </c:pt>
                <c:pt idx="11">
                  <c:v>1.27</c:v>
                </c:pt>
                <c:pt idx="12">
                  <c:v>0.47</c:v>
                </c:pt>
                <c:pt idx="13">
                  <c:v>0.35</c:v>
                </c:pt>
                <c:pt idx="14">
                  <c:v>0.02</c:v>
                </c:pt>
                <c:pt idx="15">
                  <c:v>0</c:v>
                </c:pt>
                <c:pt idx="16">
                  <c:v>0.02</c:v>
                </c:pt>
                <c:pt idx="17">
                  <c:v>0.04</c:v>
                </c:pt>
                <c:pt idx="18">
                  <c:v>0.35</c:v>
                </c:pt>
                <c:pt idx="19">
                  <c:v>0.04</c:v>
                </c:pt>
                <c:pt idx="20">
                  <c:v>0</c:v>
                </c:pt>
                <c:pt idx="21">
                  <c:v>0.52</c:v>
                </c:pt>
                <c:pt idx="22">
                  <c:v>0.03</c:v>
                </c:pt>
                <c:pt idx="23">
                  <c:v>0.26</c:v>
                </c:pt>
                <c:pt idx="24">
                  <c:v>0.08</c:v>
                </c:pt>
                <c:pt idx="25">
                  <c:v>0.15</c:v>
                </c:pt>
                <c:pt idx="26">
                  <c:v>0.06</c:v>
                </c:pt>
              </c:numCache>
            </c:numRef>
          </c:val>
          <c:extLst xmlns:c16r2="http://schemas.microsoft.com/office/drawing/2015/06/chart">
            <c:ext xmlns:c16="http://schemas.microsoft.com/office/drawing/2014/chart" uri="{C3380CC4-5D6E-409C-BE32-E72D297353CC}">
              <c16:uniqueId val="{00000004-32D3-4B40-AA42-03183E831D40}"/>
            </c:ext>
          </c:extLst>
        </c:ser>
        <c:ser>
          <c:idx val="5"/>
          <c:order val="5"/>
          <c:tx>
            <c:strRef>
              <c:f>'Intern. comp. 16'!$AD$1</c:f>
              <c:strCache>
                <c:ptCount val="1"/>
                <c:pt idx="0">
                  <c:v>sociálne vylúčenie i. n.</c:v>
                </c:pt>
              </c:strCache>
            </c:strRef>
          </c:tx>
          <c:spPr>
            <a:solidFill>
              <a:schemeClr val="accent1">
                <a:lumMod val="40000"/>
                <a:lumOff val="60000"/>
              </a:schemeClr>
            </a:solidFill>
            <a:ln>
              <a:noFill/>
            </a:ln>
            <a:effectLst/>
          </c:spPr>
          <c:invertIfNegative val="0"/>
          <c:cat>
            <c:strRef>
              <c:f>'Intern. comp. 16'!$X$2:$X$28</c:f>
              <c:strCache>
                <c:ptCount val="27"/>
                <c:pt idx="0">
                  <c:v>Dánsko</c:v>
                </c:pt>
                <c:pt idx="1">
                  <c:v>Fínsko</c:v>
                </c:pt>
                <c:pt idx="2">
                  <c:v>Francúzsko</c:v>
                </c:pt>
                <c:pt idx="3">
                  <c:v>Belgicko</c:v>
                </c:pt>
                <c:pt idx="4">
                  <c:v>Luxembursko</c:v>
                </c:pt>
                <c:pt idx="5">
                  <c:v>Nemecko</c:v>
                </c:pt>
                <c:pt idx="6">
                  <c:v>Švédsko</c:v>
                </c:pt>
                <c:pt idx="7">
                  <c:v>Rakúsko</c:v>
                </c:pt>
                <c:pt idx="8">
                  <c:v>Španielsko</c:v>
                </c:pt>
                <c:pt idx="9">
                  <c:v>Taliansko</c:v>
                </c:pt>
                <c:pt idx="10">
                  <c:v>Chorvátsko</c:v>
                </c:pt>
                <c:pt idx="11">
                  <c:v>Spojené Kráľ.</c:v>
                </c:pt>
                <c:pt idx="12">
                  <c:v>Holandsko</c:v>
                </c:pt>
                <c:pt idx="13">
                  <c:v>Cyprus</c:v>
                </c:pt>
                <c:pt idx="14">
                  <c:v>Grécko</c:v>
                </c:pt>
                <c:pt idx="15">
                  <c:v>Portugalsko</c:v>
                </c:pt>
                <c:pt idx="16">
                  <c:v>Slovinsko</c:v>
                </c:pt>
                <c:pt idx="17">
                  <c:v>Poľsko</c:v>
                </c:pt>
                <c:pt idx="18">
                  <c:v>Maďarsko</c:v>
                </c:pt>
                <c:pt idx="19">
                  <c:v>Slovensko</c:v>
                </c:pt>
                <c:pt idx="20">
                  <c:v>Bulharsko</c:v>
                </c:pt>
                <c:pt idx="21">
                  <c:v>Írsko</c:v>
                </c:pt>
                <c:pt idx="22">
                  <c:v>Estónsko</c:v>
                </c:pt>
                <c:pt idx="23">
                  <c:v>Česká Rep.</c:v>
                </c:pt>
                <c:pt idx="24">
                  <c:v>Lotyšsko</c:v>
                </c:pt>
                <c:pt idx="25">
                  <c:v>Malta</c:v>
                </c:pt>
                <c:pt idx="26">
                  <c:v>Litva</c:v>
                </c:pt>
              </c:strCache>
            </c:strRef>
          </c:cat>
          <c:val>
            <c:numRef>
              <c:f>'Intern. comp. 16'!$AD$2:$AD$28</c:f>
              <c:numCache>
                <c:formatCode>General</c:formatCode>
                <c:ptCount val="27"/>
                <c:pt idx="0">
                  <c:v>1.33</c:v>
                </c:pt>
                <c:pt idx="1">
                  <c:v>1.0900000000000001</c:v>
                </c:pt>
                <c:pt idx="2">
                  <c:v>0.98</c:v>
                </c:pt>
                <c:pt idx="3">
                  <c:v>0.69</c:v>
                </c:pt>
                <c:pt idx="4">
                  <c:v>0.48</c:v>
                </c:pt>
                <c:pt idx="5">
                  <c:v>0.41</c:v>
                </c:pt>
                <c:pt idx="6">
                  <c:v>1.37</c:v>
                </c:pt>
                <c:pt idx="7">
                  <c:v>0.75</c:v>
                </c:pt>
                <c:pt idx="8">
                  <c:v>0.24</c:v>
                </c:pt>
                <c:pt idx="9">
                  <c:v>0.26</c:v>
                </c:pt>
                <c:pt idx="10">
                  <c:v>0.28999999999999998</c:v>
                </c:pt>
                <c:pt idx="11">
                  <c:v>0.61</c:v>
                </c:pt>
                <c:pt idx="12">
                  <c:v>1.1599999999999999</c:v>
                </c:pt>
                <c:pt idx="13">
                  <c:v>1.23</c:v>
                </c:pt>
                <c:pt idx="14">
                  <c:v>0.21</c:v>
                </c:pt>
                <c:pt idx="15">
                  <c:v>0.23</c:v>
                </c:pt>
                <c:pt idx="16">
                  <c:v>0.71</c:v>
                </c:pt>
                <c:pt idx="17">
                  <c:v>0.12</c:v>
                </c:pt>
                <c:pt idx="18">
                  <c:v>0.1</c:v>
                </c:pt>
                <c:pt idx="19">
                  <c:v>0.27</c:v>
                </c:pt>
                <c:pt idx="20">
                  <c:v>0.27</c:v>
                </c:pt>
                <c:pt idx="21">
                  <c:v>0.11</c:v>
                </c:pt>
                <c:pt idx="22">
                  <c:v>0.09</c:v>
                </c:pt>
                <c:pt idx="23">
                  <c:v>0.25</c:v>
                </c:pt>
                <c:pt idx="24">
                  <c:v>0.1</c:v>
                </c:pt>
                <c:pt idx="25">
                  <c:v>0.21</c:v>
                </c:pt>
                <c:pt idx="26">
                  <c:v>0.27</c:v>
                </c:pt>
              </c:numCache>
            </c:numRef>
          </c:val>
          <c:extLst xmlns:c16r2="http://schemas.microsoft.com/office/drawing/2015/06/chart">
            <c:ext xmlns:c16="http://schemas.microsoft.com/office/drawing/2014/chart" uri="{C3380CC4-5D6E-409C-BE32-E72D297353CC}">
              <c16:uniqueId val="{00000005-32D3-4B40-AA42-03183E831D40}"/>
            </c:ext>
          </c:extLst>
        </c:ser>
        <c:dLbls>
          <c:showLegendKey val="0"/>
          <c:showVal val="0"/>
          <c:showCatName val="0"/>
          <c:showSerName val="0"/>
          <c:showPercent val="0"/>
          <c:showBubbleSize val="0"/>
        </c:dLbls>
        <c:gapWidth val="100"/>
        <c:overlap val="100"/>
        <c:axId val="219224088"/>
        <c:axId val="219224480"/>
      </c:barChart>
      <c:lineChart>
        <c:grouping val="standard"/>
        <c:varyColors val="0"/>
        <c:ser>
          <c:idx val="7"/>
          <c:order val="6"/>
          <c:tx>
            <c:strRef>
              <c:f>'Intern. comp. 16'!$AF$1</c:f>
              <c:strCache>
                <c:ptCount val="1"/>
                <c:pt idx="0">
                  <c:v>V3</c:v>
                </c:pt>
              </c:strCache>
            </c:strRef>
          </c:tx>
          <c:spPr>
            <a:ln w="15875" cap="rnd">
              <a:solidFill>
                <a:schemeClr val="bg1">
                  <a:lumMod val="65000"/>
                </a:schemeClr>
              </a:solidFill>
              <a:prstDash val="dashDot"/>
              <a:round/>
            </a:ln>
            <a:effectLst/>
          </c:spPr>
          <c:marker>
            <c:symbol val="none"/>
          </c:marker>
          <c:cat>
            <c:strRef>
              <c:f>'Intern. comp. 16'!$X$2:$X$28</c:f>
              <c:strCache>
                <c:ptCount val="27"/>
                <c:pt idx="0">
                  <c:v>Dánsko</c:v>
                </c:pt>
                <c:pt idx="1">
                  <c:v>Fínsko</c:v>
                </c:pt>
                <c:pt idx="2">
                  <c:v>Francúzsko</c:v>
                </c:pt>
                <c:pt idx="3">
                  <c:v>Belgicko</c:v>
                </c:pt>
                <c:pt idx="4">
                  <c:v>Luxembursko</c:v>
                </c:pt>
                <c:pt idx="5">
                  <c:v>Nemecko</c:v>
                </c:pt>
                <c:pt idx="6">
                  <c:v>Švédsko</c:v>
                </c:pt>
                <c:pt idx="7">
                  <c:v>Rakúsko</c:v>
                </c:pt>
                <c:pt idx="8">
                  <c:v>Španielsko</c:v>
                </c:pt>
                <c:pt idx="9">
                  <c:v>Taliansko</c:v>
                </c:pt>
                <c:pt idx="10">
                  <c:v>Chorvátsko</c:v>
                </c:pt>
                <c:pt idx="11">
                  <c:v>Spojené Kráľ.</c:v>
                </c:pt>
                <c:pt idx="12">
                  <c:v>Holandsko</c:v>
                </c:pt>
                <c:pt idx="13">
                  <c:v>Cyprus</c:v>
                </c:pt>
                <c:pt idx="14">
                  <c:v>Grécko</c:v>
                </c:pt>
                <c:pt idx="15">
                  <c:v>Portugalsko</c:v>
                </c:pt>
                <c:pt idx="16">
                  <c:v>Slovinsko</c:v>
                </c:pt>
                <c:pt idx="17">
                  <c:v>Poľsko</c:v>
                </c:pt>
                <c:pt idx="18">
                  <c:v>Maďarsko</c:v>
                </c:pt>
                <c:pt idx="19">
                  <c:v>Slovensko</c:v>
                </c:pt>
                <c:pt idx="20">
                  <c:v>Bulharsko</c:v>
                </c:pt>
                <c:pt idx="21">
                  <c:v>Írsko</c:v>
                </c:pt>
                <c:pt idx="22">
                  <c:v>Estónsko</c:v>
                </c:pt>
                <c:pt idx="23">
                  <c:v>Česká Rep.</c:v>
                </c:pt>
                <c:pt idx="24">
                  <c:v>Lotyšsko</c:v>
                </c:pt>
                <c:pt idx="25">
                  <c:v>Malta</c:v>
                </c:pt>
                <c:pt idx="26">
                  <c:v>Litva</c:v>
                </c:pt>
              </c:strCache>
            </c:strRef>
          </c:cat>
          <c:val>
            <c:numRef>
              <c:f>'Intern. comp. 16'!$AF$2:$AF$28</c:f>
              <c:numCache>
                <c:formatCode>0.000</c:formatCode>
                <c:ptCount val="27"/>
                <c:pt idx="0">
                  <c:v>4.9933333333333332</c:v>
                </c:pt>
                <c:pt idx="1">
                  <c:v>4.9933333333333332</c:v>
                </c:pt>
                <c:pt idx="2">
                  <c:v>4.9933333333333332</c:v>
                </c:pt>
                <c:pt idx="3">
                  <c:v>4.9933333333333332</c:v>
                </c:pt>
                <c:pt idx="4">
                  <c:v>4.9933333333333332</c:v>
                </c:pt>
                <c:pt idx="5">
                  <c:v>4.9933333333333332</c:v>
                </c:pt>
                <c:pt idx="6">
                  <c:v>4.9933333333333332</c:v>
                </c:pt>
                <c:pt idx="7">
                  <c:v>4.9933333333333332</c:v>
                </c:pt>
                <c:pt idx="8">
                  <c:v>4.9933333333333332</c:v>
                </c:pt>
                <c:pt idx="9">
                  <c:v>4.9933333333333332</c:v>
                </c:pt>
                <c:pt idx="10">
                  <c:v>4.9933333333333332</c:v>
                </c:pt>
                <c:pt idx="11">
                  <c:v>4.9933333333333332</c:v>
                </c:pt>
                <c:pt idx="12">
                  <c:v>4.9933333333333332</c:v>
                </c:pt>
                <c:pt idx="13">
                  <c:v>4.9933333333333332</c:v>
                </c:pt>
                <c:pt idx="14">
                  <c:v>4.9933333333333332</c:v>
                </c:pt>
                <c:pt idx="15">
                  <c:v>4.9933333333333332</c:v>
                </c:pt>
                <c:pt idx="16">
                  <c:v>4.9933333333333332</c:v>
                </c:pt>
                <c:pt idx="17">
                  <c:v>4.9933333333333332</c:v>
                </c:pt>
                <c:pt idx="18">
                  <c:v>4.9933333333333332</c:v>
                </c:pt>
                <c:pt idx="19">
                  <c:v>4.9933333333333332</c:v>
                </c:pt>
                <c:pt idx="20">
                  <c:v>4.9933333333333332</c:v>
                </c:pt>
                <c:pt idx="21">
                  <c:v>4.9933333333333332</c:v>
                </c:pt>
                <c:pt idx="22">
                  <c:v>4.9933333333333332</c:v>
                </c:pt>
                <c:pt idx="23">
                  <c:v>4.9933333333333332</c:v>
                </c:pt>
                <c:pt idx="24">
                  <c:v>4.9933333333333332</c:v>
                </c:pt>
                <c:pt idx="25">
                  <c:v>4.9933333333333332</c:v>
                </c:pt>
                <c:pt idx="26">
                  <c:v>4.9933333333333332</c:v>
                </c:pt>
              </c:numCache>
            </c:numRef>
          </c:val>
          <c:smooth val="0"/>
        </c:ser>
        <c:ser>
          <c:idx val="8"/>
          <c:order val="7"/>
          <c:tx>
            <c:strRef>
              <c:f>'Intern. comp. 16'!$AG$1</c:f>
              <c:strCache>
                <c:ptCount val="1"/>
                <c:pt idx="0">
                  <c:v>EÚ15</c:v>
                </c:pt>
              </c:strCache>
            </c:strRef>
          </c:tx>
          <c:spPr>
            <a:ln w="15875" cap="rnd">
              <a:solidFill>
                <a:schemeClr val="tx1"/>
              </a:solidFill>
              <a:prstDash val="sysDash"/>
              <a:round/>
            </a:ln>
            <a:effectLst/>
          </c:spPr>
          <c:marker>
            <c:symbol val="none"/>
          </c:marker>
          <c:cat>
            <c:strRef>
              <c:f>'Intern. comp. 16'!$X$2:$X$28</c:f>
              <c:strCache>
                <c:ptCount val="27"/>
                <c:pt idx="0">
                  <c:v>Dánsko</c:v>
                </c:pt>
                <c:pt idx="1">
                  <c:v>Fínsko</c:v>
                </c:pt>
                <c:pt idx="2">
                  <c:v>Francúzsko</c:v>
                </c:pt>
                <c:pt idx="3">
                  <c:v>Belgicko</c:v>
                </c:pt>
                <c:pt idx="4">
                  <c:v>Luxembursko</c:v>
                </c:pt>
                <c:pt idx="5">
                  <c:v>Nemecko</c:v>
                </c:pt>
                <c:pt idx="6">
                  <c:v>Švédsko</c:v>
                </c:pt>
                <c:pt idx="7">
                  <c:v>Rakúsko</c:v>
                </c:pt>
                <c:pt idx="8">
                  <c:v>Španielsko</c:v>
                </c:pt>
                <c:pt idx="9">
                  <c:v>Taliansko</c:v>
                </c:pt>
                <c:pt idx="10">
                  <c:v>Chorvátsko</c:v>
                </c:pt>
                <c:pt idx="11">
                  <c:v>Spojené Kráľ.</c:v>
                </c:pt>
                <c:pt idx="12">
                  <c:v>Holandsko</c:v>
                </c:pt>
                <c:pt idx="13">
                  <c:v>Cyprus</c:v>
                </c:pt>
                <c:pt idx="14">
                  <c:v>Grécko</c:v>
                </c:pt>
                <c:pt idx="15">
                  <c:v>Portugalsko</c:v>
                </c:pt>
                <c:pt idx="16">
                  <c:v>Slovinsko</c:v>
                </c:pt>
                <c:pt idx="17">
                  <c:v>Poľsko</c:v>
                </c:pt>
                <c:pt idx="18">
                  <c:v>Maďarsko</c:v>
                </c:pt>
                <c:pt idx="19">
                  <c:v>Slovensko</c:v>
                </c:pt>
                <c:pt idx="20">
                  <c:v>Bulharsko</c:v>
                </c:pt>
                <c:pt idx="21">
                  <c:v>Írsko</c:v>
                </c:pt>
                <c:pt idx="22">
                  <c:v>Estónsko</c:v>
                </c:pt>
                <c:pt idx="23">
                  <c:v>Česká Rep.</c:v>
                </c:pt>
                <c:pt idx="24">
                  <c:v>Lotyšsko</c:v>
                </c:pt>
                <c:pt idx="25">
                  <c:v>Malta</c:v>
                </c:pt>
                <c:pt idx="26">
                  <c:v>Litva</c:v>
                </c:pt>
              </c:strCache>
            </c:strRef>
          </c:cat>
          <c:val>
            <c:numRef>
              <c:f>'Intern. comp. 16'!$AG$2:$AG$28</c:f>
              <c:numCache>
                <c:formatCode>0.000</c:formatCode>
                <c:ptCount val="27"/>
                <c:pt idx="0">
                  <c:v>7.8833333333333337</c:v>
                </c:pt>
                <c:pt idx="1">
                  <c:v>7.8833333333333337</c:v>
                </c:pt>
                <c:pt idx="2">
                  <c:v>7.8833333333333337</c:v>
                </c:pt>
                <c:pt idx="3">
                  <c:v>7.8833333333333337</c:v>
                </c:pt>
                <c:pt idx="4">
                  <c:v>7.8833333333333337</c:v>
                </c:pt>
                <c:pt idx="5">
                  <c:v>7.8833333333333337</c:v>
                </c:pt>
                <c:pt idx="6">
                  <c:v>7.8833333333333337</c:v>
                </c:pt>
                <c:pt idx="7">
                  <c:v>7.8833333333333337</c:v>
                </c:pt>
                <c:pt idx="8">
                  <c:v>7.8833333333333337</c:v>
                </c:pt>
                <c:pt idx="9">
                  <c:v>7.8833333333333337</c:v>
                </c:pt>
                <c:pt idx="10">
                  <c:v>7.8833333333333337</c:v>
                </c:pt>
                <c:pt idx="11">
                  <c:v>7.8833333333333337</c:v>
                </c:pt>
                <c:pt idx="12">
                  <c:v>7.8833333333333337</c:v>
                </c:pt>
                <c:pt idx="13">
                  <c:v>7.8833333333333337</c:v>
                </c:pt>
                <c:pt idx="14">
                  <c:v>7.8833333333333337</c:v>
                </c:pt>
                <c:pt idx="15">
                  <c:v>7.8833333333333337</c:v>
                </c:pt>
                <c:pt idx="16">
                  <c:v>7.8833333333333337</c:v>
                </c:pt>
                <c:pt idx="17">
                  <c:v>7.8833333333333337</c:v>
                </c:pt>
                <c:pt idx="18">
                  <c:v>7.8833333333333337</c:v>
                </c:pt>
                <c:pt idx="19">
                  <c:v>7.8833333333333337</c:v>
                </c:pt>
                <c:pt idx="20">
                  <c:v>7.8833333333333337</c:v>
                </c:pt>
                <c:pt idx="21">
                  <c:v>7.8833333333333337</c:v>
                </c:pt>
                <c:pt idx="22">
                  <c:v>7.8833333333333337</c:v>
                </c:pt>
                <c:pt idx="23">
                  <c:v>7.8833333333333337</c:v>
                </c:pt>
                <c:pt idx="24">
                  <c:v>7.8833333333333337</c:v>
                </c:pt>
                <c:pt idx="25">
                  <c:v>7.8833333333333337</c:v>
                </c:pt>
                <c:pt idx="26">
                  <c:v>7.8833333333333337</c:v>
                </c:pt>
              </c:numCache>
            </c:numRef>
          </c:val>
          <c:smooth val="0"/>
        </c:ser>
        <c:dLbls>
          <c:showLegendKey val="0"/>
          <c:showVal val="0"/>
          <c:showCatName val="0"/>
          <c:showSerName val="0"/>
          <c:showPercent val="0"/>
          <c:showBubbleSize val="0"/>
        </c:dLbls>
        <c:marker val="1"/>
        <c:smooth val="0"/>
        <c:axId val="219224088"/>
        <c:axId val="219224480"/>
      </c:lineChart>
      <c:catAx>
        <c:axId val="219224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19224480"/>
        <c:crosses val="autoZero"/>
        <c:auto val="1"/>
        <c:lblAlgn val="ctr"/>
        <c:lblOffset val="100"/>
        <c:noMultiLvlLbl val="0"/>
      </c:catAx>
      <c:valAx>
        <c:axId val="219224480"/>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19224088"/>
        <c:crosses val="autoZero"/>
        <c:crossBetween val="between"/>
      </c:valAx>
      <c:spPr>
        <a:noFill/>
        <a:ln>
          <a:noFill/>
        </a:ln>
        <a:effectLst/>
      </c:spPr>
    </c:plotArea>
    <c:legend>
      <c:legendPos val="b"/>
      <c:layout>
        <c:manualLayout>
          <c:xMode val="edge"/>
          <c:yMode val="edge"/>
          <c:x val="0.30746369203849522"/>
          <c:y val="5.4397054534849811E-2"/>
          <c:w val="0.69253630796150489"/>
          <c:h val="0.2072422717993584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userShapes r:id="rId4"/>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580927384076991E-2"/>
          <c:y val="5.0925925925925923E-2"/>
          <c:w val="0.90286351706036749"/>
          <c:h val="0.669381743948673"/>
        </c:manualLayout>
      </c:layout>
      <c:barChart>
        <c:barDir val="col"/>
        <c:grouping val="clustered"/>
        <c:varyColors val="0"/>
        <c:ser>
          <c:idx val="0"/>
          <c:order val="0"/>
          <c:tx>
            <c:strRef>
              <c:f>'Housing depr.'!$AH$68</c:f>
              <c:strCache>
                <c:ptCount val="1"/>
                <c:pt idx="0">
                  <c:v>Celková populácia</c:v>
                </c:pt>
              </c:strCache>
            </c:strRef>
          </c:tx>
          <c:spPr>
            <a:solidFill>
              <a:schemeClr val="accent1"/>
            </a:solidFill>
            <a:ln>
              <a:noFill/>
            </a:ln>
            <a:effectLst/>
          </c:spPr>
          <c:invertIfNegative val="0"/>
          <c:cat>
            <c:strRef>
              <c:f>'Housing depr.'!$AG$124:$AG$151</c:f>
              <c:strCache>
                <c:ptCount val="28"/>
                <c:pt idx="0">
                  <c:v>Írsko</c:v>
                </c:pt>
                <c:pt idx="1">
                  <c:v>Fínsko</c:v>
                </c:pt>
                <c:pt idx="2">
                  <c:v>Estónsko</c:v>
                </c:pt>
                <c:pt idx="3">
                  <c:v>Cyprus</c:v>
                </c:pt>
                <c:pt idx="4">
                  <c:v>Holandsko</c:v>
                </c:pt>
                <c:pt idx="5">
                  <c:v>Spojené Kráľ.</c:v>
                </c:pt>
                <c:pt idx="6">
                  <c:v>Malta</c:v>
                </c:pt>
                <c:pt idx="7">
                  <c:v>Španielsko</c:v>
                </c:pt>
                <c:pt idx="8">
                  <c:v>Česká R.</c:v>
                </c:pt>
                <c:pt idx="9">
                  <c:v>Luxembursko</c:v>
                </c:pt>
                <c:pt idx="10">
                  <c:v>Nemecko</c:v>
                </c:pt>
                <c:pt idx="11">
                  <c:v>Francúzsko</c:v>
                </c:pt>
                <c:pt idx="12">
                  <c:v>Švédsko</c:v>
                </c:pt>
                <c:pt idx="13">
                  <c:v>Slovinsko</c:v>
                </c:pt>
                <c:pt idx="14">
                  <c:v>Belgicko</c:v>
                </c:pt>
                <c:pt idx="15">
                  <c:v>Portugalsko</c:v>
                </c:pt>
                <c:pt idx="16">
                  <c:v>Taliansko</c:v>
                </c:pt>
                <c:pt idx="17">
                  <c:v>Litva</c:v>
                </c:pt>
                <c:pt idx="18">
                  <c:v>Rakúsko</c:v>
                </c:pt>
                <c:pt idx="19">
                  <c:v>Chorvátsko</c:v>
                </c:pt>
                <c:pt idx="20">
                  <c:v>Grécko</c:v>
                </c:pt>
                <c:pt idx="21">
                  <c:v>Dánsko</c:v>
                </c:pt>
                <c:pt idx="22">
                  <c:v>Slovensko</c:v>
                </c:pt>
                <c:pt idx="23">
                  <c:v>Maďarsko</c:v>
                </c:pt>
                <c:pt idx="24">
                  <c:v>Poľsko</c:v>
                </c:pt>
                <c:pt idx="25">
                  <c:v>Lotyšsko</c:v>
                </c:pt>
                <c:pt idx="26">
                  <c:v>Bulharsko</c:v>
                </c:pt>
                <c:pt idx="27">
                  <c:v>Rumunsko</c:v>
                </c:pt>
              </c:strCache>
            </c:strRef>
          </c:cat>
          <c:val>
            <c:numRef>
              <c:f>'Housing depr.'!$AH$124:$AH$151</c:f>
              <c:numCache>
                <c:formatCode>General</c:formatCode>
                <c:ptCount val="28"/>
                <c:pt idx="0">
                  <c:v>0.8</c:v>
                </c:pt>
                <c:pt idx="1">
                  <c:v>0.9</c:v>
                </c:pt>
                <c:pt idx="2">
                  <c:v>2.9</c:v>
                </c:pt>
                <c:pt idx="3">
                  <c:v>1.1000000000000001</c:v>
                </c:pt>
                <c:pt idx="4">
                  <c:v>1.3</c:v>
                </c:pt>
                <c:pt idx="5">
                  <c:v>1.9</c:v>
                </c:pt>
                <c:pt idx="6">
                  <c:v>1.2</c:v>
                </c:pt>
                <c:pt idx="7">
                  <c:v>1.5</c:v>
                </c:pt>
                <c:pt idx="8">
                  <c:v>2.2999999999999998</c:v>
                </c:pt>
                <c:pt idx="9">
                  <c:v>2.2000000000000002</c:v>
                </c:pt>
                <c:pt idx="10">
                  <c:v>2.2999999999999998</c:v>
                </c:pt>
                <c:pt idx="11">
                  <c:v>2.7</c:v>
                </c:pt>
                <c:pt idx="12">
                  <c:v>2.9</c:v>
                </c:pt>
                <c:pt idx="13">
                  <c:v>4.8</c:v>
                </c:pt>
                <c:pt idx="14">
                  <c:v>2.2999999999999998</c:v>
                </c:pt>
                <c:pt idx="15">
                  <c:v>4.0999999999999996</c:v>
                </c:pt>
                <c:pt idx="16">
                  <c:v>5</c:v>
                </c:pt>
                <c:pt idx="17">
                  <c:v>6.9</c:v>
                </c:pt>
                <c:pt idx="18">
                  <c:v>3.2</c:v>
                </c:pt>
                <c:pt idx="19">
                  <c:v>6.2</c:v>
                </c:pt>
                <c:pt idx="20">
                  <c:v>5.9</c:v>
                </c:pt>
                <c:pt idx="21">
                  <c:v>3.2</c:v>
                </c:pt>
                <c:pt idx="22">
                  <c:v>3.7</c:v>
                </c:pt>
                <c:pt idx="23">
                  <c:v>7.5</c:v>
                </c:pt>
                <c:pt idx="24">
                  <c:v>8.6</c:v>
                </c:pt>
                <c:pt idx="25">
                  <c:v>14.9</c:v>
                </c:pt>
                <c:pt idx="26">
                  <c:v>10.1</c:v>
                </c:pt>
                <c:pt idx="27">
                  <c:v>16.100000000000001</c:v>
                </c:pt>
              </c:numCache>
            </c:numRef>
          </c:val>
          <c:extLst xmlns:c16r2="http://schemas.microsoft.com/office/drawing/2015/06/chart">
            <c:ext xmlns:c16="http://schemas.microsoft.com/office/drawing/2014/chart" uri="{C3380CC4-5D6E-409C-BE32-E72D297353CC}">
              <c16:uniqueId val="{00000000-9292-476B-AC8D-1DDF97186749}"/>
            </c:ext>
          </c:extLst>
        </c:ser>
        <c:ser>
          <c:idx val="1"/>
          <c:order val="1"/>
          <c:tx>
            <c:strRef>
              <c:f>'Housing depr.'!$AI$68</c:f>
              <c:strCache>
                <c:ptCount val="1"/>
                <c:pt idx="0">
                  <c:v>Pod hranicou rizika chudoby</c:v>
                </c:pt>
              </c:strCache>
            </c:strRef>
          </c:tx>
          <c:spPr>
            <a:solidFill>
              <a:schemeClr val="accent5">
                <a:lumMod val="75000"/>
              </a:schemeClr>
            </a:solidFill>
            <a:ln>
              <a:noFill/>
            </a:ln>
            <a:effectLst/>
          </c:spPr>
          <c:invertIfNegative val="0"/>
          <c:cat>
            <c:strRef>
              <c:f>'Housing depr.'!$AG$124:$AG$151</c:f>
              <c:strCache>
                <c:ptCount val="28"/>
                <c:pt idx="0">
                  <c:v>Írsko</c:v>
                </c:pt>
                <c:pt idx="1">
                  <c:v>Fínsko</c:v>
                </c:pt>
                <c:pt idx="2">
                  <c:v>Estónsko</c:v>
                </c:pt>
                <c:pt idx="3">
                  <c:v>Cyprus</c:v>
                </c:pt>
                <c:pt idx="4">
                  <c:v>Holandsko</c:v>
                </c:pt>
                <c:pt idx="5">
                  <c:v>Spojené Kráľ.</c:v>
                </c:pt>
                <c:pt idx="6">
                  <c:v>Malta</c:v>
                </c:pt>
                <c:pt idx="7">
                  <c:v>Španielsko</c:v>
                </c:pt>
                <c:pt idx="8">
                  <c:v>Česká R.</c:v>
                </c:pt>
                <c:pt idx="9">
                  <c:v>Luxembursko</c:v>
                </c:pt>
                <c:pt idx="10">
                  <c:v>Nemecko</c:v>
                </c:pt>
                <c:pt idx="11">
                  <c:v>Francúzsko</c:v>
                </c:pt>
                <c:pt idx="12">
                  <c:v>Švédsko</c:v>
                </c:pt>
                <c:pt idx="13">
                  <c:v>Slovinsko</c:v>
                </c:pt>
                <c:pt idx="14">
                  <c:v>Belgicko</c:v>
                </c:pt>
                <c:pt idx="15">
                  <c:v>Portugalsko</c:v>
                </c:pt>
                <c:pt idx="16">
                  <c:v>Taliansko</c:v>
                </c:pt>
                <c:pt idx="17">
                  <c:v>Litva</c:v>
                </c:pt>
                <c:pt idx="18">
                  <c:v>Rakúsko</c:v>
                </c:pt>
                <c:pt idx="19">
                  <c:v>Chorvátsko</c:v>
                </c:pt>
                <c:pt idx="20">
                  <c:v>Grécko</c:v>
                </c:pt>
                <c:pt idx="21">
                  <c:v>Dánsko</c:v>
                </c:pt>
                <c:pt idx="22">
                  <c:v>Slovensko</c:v>
                </c:pt>
                <c:pt idx="23">
                  <c:v>Maďarsko</c:v>
                </c:pt>
                <c:pt idx="24">
                  <c:v>Poľsko</c:v>
                </c:pt>
                <c:pt idx="25">
                  <c:v>Lotyšsko</c:v>
                </c:pt>
                <c:pt idx="26">
                  <c:v>Bulharsko</c:v>
                </c:pt>
                <c:pt idx="27">
                  <c:v>Rumunsko</c:v>
                </c:pt>
              </c:strCache>
            </c:strRef>
          </c:cat>
          <c:val>
            <c:numRef>
              <c:f>'Housing depr.'!$AI$124:$AI$151</c:f>
              <c:numCache>
                <c:formatCode>General</c:formatCode>
                <c:ptCount val="28"/>
                <c:pt idx="0">
                  <c:v>1.5</c:v>
                </c:pt>
                <c:pt idx="1">
                  <c:v>2.2999999999999998</c:v>
                </c:pt>
                <c:pt idx="2">
                  <c:v>2.8</c:v>
                </c:pt>
                <c:pt idx="3">
                  <c:v>3.2</c:v>
                </c:pt>
                <c:pt idx="4">
                  <c:v>3.5</c:v>
                </c:pt>
                <c:pt idx="5">
                  <c:v>3.7</c:v>
                </c:pt>
                <c:pt idx="6">
                  <c:v>4.3</c:v>
                </c:pt>
                <c:pt idx="7">
                  <c:v>4.9000000000000004</c:v>
                </c:pt>
                <c:pt idx="8">
                  <c:v>5.3</c:v>
                </c:pt>
                <c:pt idx="9">
                  <c:v>5.3</c:v>
                </c:pt>
                <c:pt idx="10">
                  <c:v>5.9</c:v>
                </c:pt>
                <c:pt idx="11">
                  <c:v>8.3000000000000007</c:v>
                </c:pt>
                <c:pt idx="12">
                  <c:v>8.4</c:v>
                </c:pt>
                <c:pt idx="13">
                  <c:v>8.6</c:v>
                </c:pt>
                <c:pt idx="14">
                  <c:v>8.6999999999999993</c:v>
                </c:pt>
                <c:pt idx="15">
                  <c:v>8.6999999999999993</c:v>
                </c:pt>
                <c:pt idx="16">
                  <c:v>9.6999999999999993</c:v>
                </c:pt>
                <c:pt idx="17">
                  <c:v>10.5</c:v>
                </c:pt>
                <c:pt idx="18">
                  <c:v>10.6</c:v>
                </c:pt>
                <c:pt idx="19">
                  <c:v>10.9</c:v>
                </c:pt>
                <c:pt idx="20">
                  <c:v>12.1</c:v>
                </c:pt>
                <c:pt idx="21">
                  <c:v>12.4</c:v>
                </c:pt>
                <c:pt idx="22">
                  <c:v>14.3</c:v>
                </c:pt>
                <c:pt idx="23">
                  <c:v>14.5</c:v>
                </c:pt>
                <c:pt idx="24">
                  <c:v>15.8</c:v>
                </c:pt>
                <c:pt idx="25">
                  <c:v>21.1</c:v>
                </c:pt>
                <c:pt idx="26">
                  <c:v>26.2</c:v>
                </c:pt>
                <c:pt idx="27">
                  <c:v>37.4</c:v>
                </c:pt>
              </c:numCache>
            </c:numRef>
          </c:val>
          <c:extLst xmlns:c16r2="http://schemas.microsoft.com/office/drawing/2015/06/chart">
            <c:ext xmlns:c16="http://schemas.microsoft.com/office/drawing/2014/chart" uri="{C3380CC4-5D6E-409C-BE32-E72D297353CC}">
              <c16:uniqueId val="{00000001-9292-476B-AC8D-1DDF97186749}"/>
            </c:ext>
          </c:extLst>
        </c:ser>
        <c:dLbls>
          <c:showLegendKey val="0"/>
          <c:showVal val="0"/>
          <c:showCatName val="0"/>
          <c:showSerName val="0"/>
          <c:showPercent val="0"/>
          <c:showBubbleSize val="0"/>
        </c:dLbls>
        <c:gapWidth val="219"/>
        <c:overlap val="-27"/>
        <c:axId val="221981928"/>
        <c:axId val="221982320"/>
      </c:barChart>
      <c:lineChart>
        <c:grouping val="standard"/>
        <c:varyColors val="0"/>
        <c:ser>
          <c:idx val="2"/>
          <c:order val="2"/>
          <c:tx>
            <c:strRef>
              <c:f>'Housing depr.'!$AJ$68</c:f>
              <c:strCache>
                <c:ptCount val="1"/>
              </c:strCache>
            </c:strRef>
          </c:tx>
          <c:spPr>
            <a:ln w="12700" cap="rnd">
              <a:solidFill>
                <a:schemeClr val="accent1"/>
              </a:solidFill>
              <a:prstDash val="sysDash"/>
              <a:round/>
            </a:ln>
            <a:effectLst/>
          </c:spPr>
          <c:marker>
            <c:symbol val="none"/>
          </c:marker>
          <c:cat>
            <c:strRef>
              <c:f>'Housing depr.'!$AG$124:$AG$151</c:f>
              <c:strCache>
                <c:ptCount val="28"/>
                <c:pt idx="0">
                  <c:v>Írsko</c:v>
                </c:pt>
                <c:pt idx="1">
                  <c:v>Fínsko</c:v>
                </c:pt>
                <c:pt idx="2">
                  <c:v>Estónsko</c:v>
                </c:pt>
                <c:pt idx="3">
                  <c:v>Cyprus</c:v>
                </c:pt>
                <c:pt idx="4">
                  <c:v>Holandsko</c:v>
                </c:pt>
                <c:pt idx="5">
                  <c:v>Spojené Kráľ.</c:v>
                </c:pt>
                <c:pt idx="6">
                  <c:v>Malta</c:v>
                </c:pt>
                <c:pt idx="7">
                  <c:v>Španielsko</c:v>
                </c:pt>
                <c:pt idx="8">
                  <c:v>Česká R.</c:v>
                </c:pt>
                <c:pt idx="9">
                  <c:v>Luxembursko</c:v>
                </c:pt>
                <c:pt idx="10">
                  <c:v>Nemecko</c:v>
                </c:pt>
                <c:pt idx="11">
                  <c:v>Francúzsko</c:v>
                </c:pt>
                <c:pt idx="12">
                  <c:v>Švédsko</c:v>
                </c:pt>
                <c:pt idx="13">
                  <c:v>Slovinsko</c:v>
                </c:pt>
                <c:pt idx="14">
                  <c:v>Belgicko</c:v>
                </c:pt>
                <c:pt idx="15">
                  <c:v>Portugalsko</c:v>
                </c:pt>
                <c:pt idx="16">
                  <c:v>Taliansko</c:v>
                </c:pt>
                <c:pt idx="17">
                  <c:v>Litva</c:v>
                </c:pt>
                <c:pt idx="18">
                  <c:v>Rakúsko</c:v>
                </c:pt>
                <c:pt idx="19">
                  <c:v>Chorvátsko</c:v>
                </c:pt>
                <c:pt idx="20">
                  <c:v>Grécko</c:v>
                </c:pt>
                <c:pt idx="21">
                  <c:v>Dánsko</c:v>
                </c:pt>
                <c:pt idx="22">
                  <c:v>Slovensko</c:v>
                </c:pt>
                <c:pt idx="23">
                  <c:v>Maďarsko</c:v>
                </c:pt>
                <c:pt idx="24">
                  <c:v>Poľsko</c:v>
                </c:pt>
                <c:pt idx="25">
                  <c:v>Lotyšsko</c:v>
                </c:pt>
                <c:pt idx="26">
                  <c:v>Bulharsko</c:v>
                </c:pt>
                <c:pt idx="27">
                  <c:v>Rumunsko</c:v>
                </c:pt>
              </c:strCache>
            </c:strRef>
          </c:cat>
          <c:val>
            <c:numRef>
              <c:f>'Housing depr.'!$AJ$124:$AJ$151</c:f>
              <c:numCache>
                <c:formatCode>General</c:formatCode>
                <c:ptCount val="28"/>
                <c:pt idx="0">
                  <c:v>2.62</c:v>
                </c:pt>
                <c:pt idx="1">
                  <c:v>2.62</c:v>
                </c:pt>
                <c:pt idx="2">
                  <c:v>2.62</c:v>
                </c:pt>
                <c:pt idx="3">
                  <c:v>2.62</c:v>
                </c:pt>
                <c:pt idx="4">
                  <c:v>2.62</c:v>
                </c:pt>
                <c:pt idx="5">
                  <c:v>2.62</c:v>
                </c:pt>
                <c:pt idx="6">
                  <c:v>2.62</c:v>
                </c:pt>
                <c:pt idx="7">
                  <c:v>2.62</c:v>
                </c:pt>
                <c:pt idx="8">
                  <c:v>2.62</c:v>
                </c:pt>
                <c:pt idx="9">
                  <c:v>2.62</c:v>
                </c:pt>
                <c:pt idx="10">
                  <c:v>2.62</c:v>
                </c:pt>
                <c:pt idx="11">
                  <c:v>2.62</c:v>
                </c:pt>
                <c:pt idx="12">
                  <c:v>2.62</c:v>
                </c:pt>
                <c:pt idx="13">
                  <c:v>2.62</c:v>
                </c:pt>
                <c:pt idx="14">
                  <c:v>2.62</c:v>
                </c:pt>
                <c:pt idx="15">
                  <c:v>2.62</c:v>
                </c:pt>
                <c:pt idx="16">
                  <c:v>2.62</c:v>
                </c:pt>
                <c:pt idx="17">
                  <c:v>2.62</c:v>
                </c:pt>
                <c:pt idx="18">
                  <c:v>2.62</c:v>
                </c:pt>
                <c:pt idx="19">
                  <c:v>2.62</c:v>
                </c:pt>
                <c:pt idx="20">
                  <c:v>2.62</c:v>
                </c:pt>
                <c:pt idx="21">
                  <c:v>2.62</c:v>
                </c:pt>
                <c:pt idx="22">
                  <c:v>2.62</c:v>
                </c:pt>
                <c:pt idx="23">
                  <c:v>2.62</c:v>
                </c:pt>
                <c:pt idx="24">
                  <c:v>2.62</c:v>
                </c:pt>
                <c:pt idx="25">
                  <c:v>2.62</c:v>
                </c:pt>
                <c:pt idx="26">
                  <c:v>2.62</c:v>
                </c:pt>
                <c:pt idx="27">
                  <c:v>2.62</c:v>
                </c:pt>
              </c:numCache>
            </c:numRef>
          </c:val>
          <c:smooth val="0"/>
          <c:extLst xmlns:c16r2="http://schemas.microsoft.com/office/drawing/2015/06/chart">
            <c:ext xmlns:c16="http://schemas.microsoft.com/office/drawing/2014/chart" uri="{C3380CC4-5D6E-409C-BE32-E72D297353CC}">
              <c16:uniqueId val="{00000000-966E-4994-BB0B-4DFDAB131ED4}"/>
            </c:ext>
          </c:extLst>
        </c:ser>
        <c:ser>
          <c:idx val="3"/>
          <c:order val="3"/>
          <c:tx>
            <c:strRef>
              <c:f>'Housing depr.'!$AK$68</c:f>
              <c:strCache>
                <c:ptCount val="1"/>
              </c:strCache>
            </c:strRef>
          </c:tx>
          <c:spPr>
            <a:ln w="12700" cap="rnd">
              <a:solidFill>
                <a:schemeClr val="accent5">
                  <a:lumMod val="75000"/>
                </a:schemeClr>
              </a:solidFill>
              <a:prstDash val="sysDash"/>
              <a:round/>
            </a:ln>
            <a:effectLst/>
          </c:spPr>
          <c:marker>
            <c:symbol val="none"/>
          </c:marker>
          <c:cat>
            <c:strRef>
              <c:f>'Housing depr.'!$AG$124:$AG$151</c:f>
              <c:strCache>
                <c:ptCount val="28"/>
                <c:pt idx="0">
                  <c:v>Írsko</c:v>
                </c:pt>
                <c:pt idx="1">
                  <c:v>Fínsko</c:v>
                </c:pt>
                <c:pt idx="2">
                  <c:v>Estónsko</c:v>
                </c:pt>
                <c:pt idx="3">
                  <c:v>Cyprus</c:v>
                </c:pt>
                <c:pt idx="4">
                  <c:v>Holandsko</c:v>
                </c:pt>
                <c:pt idx="5">
                  <c:v>Spojené Kráľ.</c:v>
                </c:pt>
                <c:pt idx="6">
                  <c:v>Malta</c:v>
                </c:pt>
                <c:pt idx="7">
                  <c:v>Španielsko</c:v>
                </c:pt>
                <c:pt idx="8">
                  <c:v>Česká R.</c:v>
                </c:pt>
                <c:pt idx="9">
                  <c:v>Luxembursko</c:v>
                </c:pt>
                <c:pt idx="10">
                  <c:v>Nemecko</c:v>
                </c:pt>
                <c:pt idx="11">
                  <c:v>Francúzsko</c:v>
                </c:pt>
                <c:pt idx="12">
                  <c:v>Švédsko</c:v>
                </c:pt>
                <c:pt idx="13">
                  <c:v>Slovinsko</c:v>
                </c:pt>
                <c:pt idx="14">
                  <c:v>Belgicko</c:v>
                </c:pt>
                <c:pt idx="15">
                  <c:v>Portugalsko</c:v>
                </c:pt>
                <c:pt idx="16">
                  <c:v>Taliansko</c:v>
                </c:pt>
                <c:pt idx="17">
                  <c:v>Litva</c:v>
                </c:pt>
                <c:pt idx="18">
                  <c:v>Rakúsko</c:v>
                </c:pt>
                <c:pt idx="19">
                  <c:v>Chorvátsko</c:v>
                </c:pt>
                <c:pt idx="20">
                  <c:v>Grécko</c:v>
                </c:pt>
                <c:pt idx="21">
                  <c:v>Dánsko</c:v>
                </c:pt>
                <c:pt idx="22">
                  <c:v>Slovensko</c:v>
                </c:pt>
                <c:pt idx="23">
                  <c:v>Maďarsko</c:v>
                </c:pt>
                <c:pt idx="24">
                  <c:v>Poľsko</c:v>
                </c:pt>
                <c:pt idx="25">
                  <c:v>Lotyšsko</c:v>
                </c:pt>
                <c:pt idx="26">
                  <c:v>Bulharsko</c:v>
                </c:pt>
                <c:pt idx="27">
                  <c:v>Rumunsko</c:v>
                </c:pt>
              </c:strCache>
            </c:strRef>
          </c:cat>
          <c:val>
            <c:numRef>
              <c:f>'Housing depr.'!$AK$124:$AK$151</c:f>
              <c:numCache>
                <c:formatCode>General</c:formatCode>
                <c:ptCount val="28"/>
                <c:pt idx="0">
                  <c:v>7</c:v>
                </c:pt>
                <c:pt idx="1">
                  <c:v>7</c:v>
                </c:pt>
                <c:pt idx="2">
                  <c:v>7</c:v>
                </c:pt>
                <c:pt idx="3">
                  <c:v>7</c:v>
                </c:pt>
                <c:pt idx="4">
                  <c:v>7</c:v>
                </c:pt>
                <c:pt idx="5">
                  <c:v>7</c:v>
                </c:pt>
                <c:pt idx="6">
                  <c:v>7</c:v>
                </c:pt>
                <c:pt idx="7">
                  <c:v>7</c:v>
                </c:pt>
                <c:pt idx="8">
                  <c:v>7</c:v>
                </c:pt>
                <c:pt idx="9">
                  <c:v>7</c:v>
                </c:pt>
                <c:pt idx="10">
                  <c:v>7</c:v>
                </c:pt>
                <c:pt idx="11">
                  <c:v>7</c:v>
                </c:pt>
                <c:pt idx="12">
                  <c:v>7</c:v>
                </c:pt>
                <c:pt idx="13">
                  <c:v>7</c:v>
                </c:pt>
                <c:pt idx="14">
                  <c:v>7</c:v>
                </c:pt>
                <c:pt idx="15">
                  <c:v>7</c:v>
                </c:pt>
                <c:pt idx="16">
                  <c:v>7</c:v>
                </c:pt>
                <c:pt idx="17">
                  <c:v>7</c:v>
                </c:pt>
                <c:pt idx="18">
                  <c:v>7</c:v>
                </c:pt>
                <c:pt idx="19">
                  <c:v>7</c:v>
                </c:pt>
                <c:pt idx="20">
                  <c:v>7</c:v>
                </c:pt>
                <c:pt idx="21">
                  <c:v>7</c:v>
                </c:pt>
                <c:pt idx="22">
                  <c:v>7</c:v>
                </c:pt>
                <c:pt idx="23">
                  <c:v>7</c:v>
                </c:pt>
                <c:pt idx="24">
                  <c:v>7</c:v>
                </c:pt>
                <c:pt idx="25">
                  <c:v>7</c:v>
                </c:pt>
                <c:pt idx="26">
                  <c:v>7</c:v>
                </c:pt>
                <c:pt idx="27">
                  <c:v>7</c:v>
                </c:pt>
              </c:numCache>
            </c:numRef>
          </c:val>
          <c:smooth val="0"/>
          <c:extLst xmlns:c16r2="http://schemas.microsoft.com/office/drawing/2015/06/chart">
            <c:ext xmlns:c16="http://schemas.microsoft.com/office/drawing/2014/chart" uri="{C3380CC4-5D6E-409C-BE32-E72D297353CC}">
              <c16:uniqueId val="{00000001-966E-4994-BB0B-4DFDAB131ED4}"/>
            </c:ext>
          </c:extLst>
        </c:ser>
        <c:dLbls>
          <c:showLegendKey val="0"/>
          <c:showVal val="0"/>
          <c:showCatName val="0"/>
          <c:showSerName val="0"/>
          <c:showPercent val="0"/>
          <c:showBubbleSize val="0"/>
        </c:dLbls>
        <c:marker val="1"/>
        <c:smooth val="0"/>
        <c:axId val="221981928"/>
        <c:axId val="221982320"/>
      </c:lineChart>
      <c:catAx>
        <c:axId val="221981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1982320"/>
        <c:crosses val="autoZero"/>
        <c:auto val="1"/>
        <c:lblAlgn val="ctr"/>
        <c:lblOffset val="100"/>
        <c:noMultiLvlLbl val="0"/>
      </c:catAx>
      <c:valAx>
        <c:axId val="221982320"/>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1981928"/>
        <c:crosses val="autoZero"/>
        <c:crossBetween val="between"/>
      </c:valAx>
      <c:spPr>
        <a:noFill/>
        <a:ln>
          <a:noFill/>
        </a:ln>
        <a:effectLst/>
      </c:spPr>
    </c:plotArea>
    <c:legend>
      <c:legendPos val="b"/>
      <c:layout>
        <c:manualLayout>
          <c:xMode val="edge"/>
          <c:yMode val="edge"/>
          <c:x val="9.8707349081364831E-2"/>
          <c:y val="5.1504082822980461E-2"/>
          <c:w val="0.62671293521938076"/>
          <c:h val="8.412083783644691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userShapes r:id="rId4"/>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261581760111306E-2"/>
          <c:y val="5.0925925925925923E-2"/>
          <c:w val="0.85956171141257942"/>
          <c:h val="0.77353137675972317"/>
        </c:manualLayout>
      </c:layout>
      <c:lineChart>
        <c:grouping val="standard"/>
        <c:varyColors val="0"/>
        <c:ser>
          <c:idx val="1"/>
          <c:order val="0"/>
          <c:tx>
            <c:strRef>
              <c:f>'Housing depr.'!$U$4</c:f>
              <c:strCache>
                <c:ptCount val="1"/>
                <c:pt idx="0">
                  <c:v>Slovensko</c:v>
                </c:pt>
              </c:strCache>
            </c:strRef>
          </c:tx>
          <c:spPr>
            <a:ln w="28575" cap="rnd">
              <a:solidFill>
                <a:schemeClr val="accent5">
                  <a:lumMod val="75000"/>
                </a:schemeClr>
              </a:solidFill>
              <a:round/>
            </a:ln>
            <a:effectLst/>
          </c:spPr>
          <c:marker>
            <c:symbol val="none"/>
          </c:marker>
          <c:cat>
            <c:strRef>
              <c:f>'Housing depr.'!$V$2:$AI$2</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'Housing depr.'!$V$4:$AI$4</c:f>
              <c:numCache>
                <c:formatCode>General</c:formatCode>
                <c:ptCount val="14"/>
                <c:pt idx="0">
                  <c:v>13.1</c:v>
                </c:pt>
                <c:pt idx="1">
                  <c:v>11.7</c:v>
                </c:pt>
                <c:pt idx="2">
                  <c:v>12.4</c:v>
                </c:pt>
                <c:pt idx="3">
                  <c:v>11.9</c:v>
                </c:pt>
                <c:pt idx="4">
                  <c:v>11.3</c:v>
                </c:pt>
                <c:pt idx="5">
                  <c:v>10.7</c:v>
                </c:pt>
                <c:pt idx="6">
                  <c:v>14.4</c:v>
                </c:pt>
                <c:pt idx="7">
                  <c:v>15.3</c:v>
                </c:pt>
                <c:pt idx="8">
                  <c:v>16.3</c:v>
                </c:pt>
                <c:pt idx="9">
                  <c:v>19.7</c:v>
                </c:pt>
                <c:pt idx="10">
                  <c:v>15.2</c:v>
                </c:pt>
                <c:pt idx="11">
                  <c:v>16</c:v>
                </c:pt>
                <c:pt idx="12">
                  <c:v>20.7</c:v>
                </c:pt>
                <c:pt idx="13">
                  <c:v>14.3</c:v>
                </c:pt>
              </c:numCache>
            </c:numRef>
          </c:val>
          <c:smooth val="0"/>
          <c:extLst xmlns:c16r2="http://schemas.microsoft.com/office/drawing/2015/06/chart">
            <c:ext xmlns:c16="http://schemas.microsoft.com/office/drawing/2014/chart" uri="{C3380CC4-5D6E-409C-BE32-E72D297353CC}">
              <c16:uniqueId val="{00000001-32D4-46C3-9939-43996C0FFC67}"/>
            </c:ext>
          </c:extLst>
        </c:ser>
        <c:ser>
          <c:idx val="2"/>
          <c:order val="1"/>
          <c:tx>
            <c:strRef>
              <c:f>'Housing depr.'!$U$5</c:f>
              <c:strCache>
                <c:ptCount val="1"/>
                <c:pt idx="0">
                  <c:v>V3</c:v>
                </c:pt>
              </c:strCache>
            </c:strRef>
          </c:tx>
          <c:spPr>
            <a:ln w="28575" cap="rnd">
              <a:solidFill>
                <a:schemeClr val="accent3"/>
              </a:solidFill>
              <a:round/>
            </a:ln>
            <a:effectLst/>
          </c:spPr>
          <c:marker>
            <c:symbol val="none"/>
          </c:marker>
          <c:cat>
            <c:strRef>
              <c:f>'Housing depr.'!$V$2:$AI$2</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'Housing depr.'!$V$5:$AI$5</c:f>
              <c:numCache>
                <c:formatCode>0.0</c:formatCode>
                <c:ptCount val="14"/>
                <c:pt idx="0">
                  <c:v>36.300000000000004</c:v>
                </c:pt>
                <c:pt idx="1">
                  <c:v>38.699999999999996</c:v>
                </c:pt>
                <c:pt idx="2">
                  <c:v>33.766666666666673</c:v>
                </c:pt>
                <c:pt idx="3">
                  <c:v>30.633333333333336</c:v>
                </c:pt>
                <c:pt idx="4">
                  <c:v>26.100000000000005</c:v>
                </c:pt>
                <c:pt idx="5">
                  <c:v>27.7</c:v>
                </c:pt>
                <c:pt idx="6">
                  <c:v>25.7</c:v>
                </c:pt>
                <c:pt idx="7">
                  <c:v>27.633333333333336</c:v>
                </c:pt>
                <c:pt idx="8">
                  <c:v>25.666666666666668</c:v>
                </c:pt>
                <c:pt idx="9">
                  <c:v>24.966666666666669</c:v>
                </c:pt>
                <c:pt idx="10">
                  <c:v>21.933333333333334</c:v>
                </c:pt>
                <c:pt idx="11">
                  <c:v>20.766666666666666</c:v>
                </c:pt>
                <c:pt idx="12">
                  <c:v>15.266666666666666</c:v>
                </c:pt>
                <c:pt idx="13">
                  <c:v>11.866666666666667</c:v>
                </c:pt>
              </c:numCache>
            </c:numRef>
          </c:val>
          <c:smooth val="0"/>
          <c:extLst xmlns:c16r2="http://schemas.microsoft.com/office/drawing/2015/06/chart">
            <c:ext xmlns:c16="http://schemas.microsoft.com/office/drawing/2014/chart" uri="{C3380CC4-5D6E-409C-BE32-E72D297353CC}">
              <c16:uniqueId val="{00000002-32D4-46C3-9939-43996C0FFC67}"/>
            </c:ext>
          </c:extLst>
        </c:ser>
        <c:ser>
          <c:idx val="3"/>
          <c:order val="2"/>
          <c:tx>
            <c:strRef>
              <c:f>'Housing depr.'!$U$6</c:f>
              <c:strCache>
                <c:ptCount val="1"/>
                <c:pt idx="0">
                  <c:v>EÚ15</c:v>
                </c:pt>
              </c:strCache>
            </c:strRef>
          </c:tx>
          <c:spPr>
            <a:ln w="28575" cap="rnd">
              <a:solidFill>
                <a:srgbClr val="5B9BD5"/>
              </a:solidFill>
              <a:round/>
            </a:ln>
            <a:effectLst/>
          </c:spPr>
          <c:marker>
            <c:symbol val="none"/>
          </c:marker>
          <c:cat>
            <c:strRef>
              <c:f>'Housing depr.'!$V$2:$AI$2</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'Housing depr.'!$V$6:$AI$6</c:f>
              <c:numCache>
                <c:formatCode>0.0</c:formatCode>
                <c:ptCount val="14"/>
                <c:pt idx="0">
                  <c:v>7.3333333333333321</c:v>
                </c:pt>
                <c:pt idx="1">
                  <c:v>6.6599999999999993</c:v>
                </c:pt>
                <c:pt idx="2">
                  <c:v>7.2933333333333357</c:v>
                </c:pt>
                <c:pt idx="3">
                  <c:v>6.9466666666666672</c:v>
                </c:pt>
                <c:pt idx="4">
                  <c:v>7.04</c:v>
                </c:pt>
                <c:pt idx="5">
                  <c:v>7</c:v>
                </c:pt>
                <c:pt idx="6">
                  <c:v>6.7866666666666671</c:v>
                </c:pt>
                <c:pt idx="7">
                  <c:v>6.8</c:v>
                </c:pt>
                <c:pt idx="8">
                  <c:v>7.24</c:v>
                </c:pt>
                <c:pt idx="9">
                  <c:v>7.1266666666666669</c:v>
                </c:pt>
                <c:pt idx="10">
                  <c:v>7.6066666666666665</c:v>
                </c:pt>
                <c:pt idx="11">
                  <c:v>7.2066666666666661</c:v>
                </c:pt>
                <c:pt idx="12">
                  <c:v>6.8357142857142872</c:v>
                </c:pt>
                <c:pt idx="13">
                  <c:v>7.0666666666666664</c:v>
                </c:pt>
              </c:numCache>
            </c:numRef>
          </c:val>
          <c:smooth val="0"/>
        </c:ser>
        <c:dLbls>
          <c:showLegendKey val="0"/>
          <c:showVal val="0"/>
          <c:showCatName val="0"/>
          <c:showSerName val="0"/>
          <c:showPercent val="0"/>
          <c:showBubbleSize val="0"/>
        </c:dLbls>
        <c:smooth val="0"/>
        <c:axId val="221983104"/>
        <c:axId val="221983496"/>
      </c:lineChart>
      <c:catAx>
        <c:axId val="221983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1983496"/>
        <c:crosses val="autoZero"/>
        <c:auto val="1"/>
        <c:lblAlgn val="ctr"/>
        <c:lblOffset val="100"/>
        <c:noMultiLvlLbl val="0"/>
      </c:catAx>
      <c:valAx>
        <c:axId val="221983496"/>
        <c:scaling>
          <c:orientation val="minMax"/>
          <c:max val="40"/>
        </c:scaling>
        <c:delete val="0"/>
        <c:axPos val="l"/>
        <c:majorGridlines>
          <c:spPr>
            <a:ln w="9525" cap="flat" cmpd="sng" algn="ctr">
              <a:solidFill>
                <a:schemeClr val="tx1">
                  <a:lumMod val="15000"/>
                  <a:lumOff val="85000"/>
                </a:schemeClr>
              </a:solidFill>
              <a:prstDash val="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1983104"/>
        <c:crosses val="autoZero"/>
        <c:crossBetween val="between"/>
      </c:valAx>
      <c:spPr>
        <a:noFill/>
        <a:ln>
          <a:noFill/>
        </a:ln>
        <a:effectLst/>
      </c:spPr>
    </c:plotArea>
    <c:legend>
      <c:legendPos val="b"/>
      <c:layout>
        <c:manualLayout>
          <c:xMode val="edge"/>
          <c:yMode val="edge"/>
          <c:x val="0.28642932372306967"/>
          <c:y val="4.2581722739203055E-2"/>
          <c:w val="0.65498940644467618"/>
          <c:h val="0.1059033245844269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4">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'SODB standard'!$A$2</c:f>
              <c:strCache>
                <c:ptCount val="1"/>
                <c:pt idx="0">
                  <c:v>1. kat</c:v>
                </c:pt>
              </c:strCache>
            </c:strRef>
          </c:tx>
          <c:spPr>
            <a:solidFill>
              <a:schemeClr val="accent1">
                <a:lumMod val="50000"/>
              </a:schemeClr>
            </a:solidFill>
            <a:ln>
              <a:noFill/>
            </a:ln>
            <a:effectLst/>
          </c:spPr>
          <c:invertIfNegative val="0"/>
          <c:cat>
            <c:numRef>
              <c:f>'SODB standard'!$B$1:$G$1</c:f>
              <c:numCache>
                <c:formatCode>General</c:formatCode>
                <c:ptCount val="6"/>
                <c:pt idx="0">
                  <c:v>1961</c:v>
                </c:pt>
                <c:pt idx="1">
                  <c:v>1971</c:v>
                </c:pt>
                <c:pt idx="2">
                  <c:v>1981</c:v>
                </c:pt>
                <c:pt idx="3">
                  <c:v>1991</c:v>
                </c:pt>
                <c:pt idx="4">
                  <c:v>2001</c:v>
                </c:pt>
                <c:pt idx="5">
                  <c:v>2011</c:v>
                </c:pt>
              </c:numCache>
            </c:numRef>
          </c:cat>
          <c:val>
            <c:numRef>
              <c:f>'SODB standard'!$B$2:$G$2</c:f>
              <c:numCache>
                <c:formatCode>General</c:formatCode>
                <c:ptCount val="6"/>
                <c:pt idx="0">
                  <c:v>7.4</c:v>
                </c:pt>
                <c:pt idx="1">
                  <c:v>23.1</c:v>
                </c:pt>
                <c:pt idx="2">
                  <c:v>46.2</c:v>
                </c:pt>
                <c:pt idx="3">
                  <c:v>75.900000000000006</c:v>
                </c:pt>
                <c:pt idx="4">
                  <c:v>77.8</c:v>
                </c:pt>
                <c:pt idx="5">
                  <c:v>72.2</c:v>
                </c:pt>
              </c:numCache>
            </c:numRef>
          </c:val>
          <c:extLst xmlns:c16r2="http://schemas.microsoft.com/office/drawing/2015/06/chart">
            <c:ext xmlns:c16="http://schemas.microsoft.com/office/drawing/2014/chart" uri="{C3380CC4-5D6E-409C-BE32-E72D297353CC}">
              <c16:uniqueId val="{00000000-AA9E-44C5-BE61-0C439603E368}"/>
            </c:ext>
          </c:extLst>
        </c:ser>
        <c:ser>
          <c:idx val="1"/>
          <c:order val="1"/>
          <c:tx>
            <c:strRef>
              <c:f>'SODB standard'!$A$3</c:f>
              <c:strCache>
                <c:ptCount val="1"/>
                <c:pt idx="0">
                  <c:v>2. kat</c:v>
                </c:pt>
              </c:strCache>
            </c:strRef>
          </c:tx>
          <c:spPr>
            <a:pattFill prst="dkUpDiag">
              <a:fgClr>
                <a:schemeClr val="accent1">
                  <a:lumMod val="75000"/>
                </a:schemeClr>
              </a:fgClr>
              <a:bgClr>
                <a:schemeClr val="bg1"/>
              </a:bgClr>
            </a:pattFill>
            <a:ln>
              <a:noFill/>
            </a:ln>
            <a:effectLst/>
          </c:spPr>
          <c:invertIfNegative val="0"/>
          <c:cat>
            <c:numRef>
              <c:f>'SODB standard'!$B$1:$G$1</c:f>
              <c:numCache>
                <c:formatCode>General</c:formatCode>
                <c:ptCount val="6"/>
                <c:pt idx="0">
                  <c:v>1961</c:v>
                </c:pt>
                <c:pt idx="1">
                  <c:v>1971</c:v>
                </c:pt>
                <c:pt idx="2">
                  <c:v>1981</c:v>
                </c:pt>
                <c:pt idx="3">
                  <c:v>1991</c:v>
                </c:pt>
                <c:pt idx="4">
                  <c:v>2001</c:v>
                </c:pt>
                <c:pt idx="5">
                  <c:v>2011</c:v>
                </c:pt>
              </c:numCache>
            </c:numRef>
          </c:cat>
          <c:val>
            <c:numRef>
              <c:f>'SODB standard'!$B$3:$G$3</c:f>
              <c:numCache>
                <c:formatCode>General</c:formatCode>
                <c:ptCount val="6"/>
                <c:pt idx="0">
                  <c:v>10.3</c:v>
                </c:pt>
                <c:pt idx="1">
                  <c:v>15.1</c:v>
                </c:pt>
                <c:pt idx="2">
                  <c:v>18.8</c:v>
                </c:pt>
                <c:pt idx="3">
                  <c:v>9.3000000000000007</c:v>
                </c:pt>
                <c:pt idx="4">
                  <c:v>11.8</c:v>
                </c:pt>
                <c:pt idx="5">
                  <c:v>14.7</c:v>
                </c:pt>
              </c:numCache>
            </c:numRef>
          </c:val>
          <c:extLst xmlns:c16r2="http://schemas.microsoft.com/office/drawing/2015/06/chart">
            <c:ext xmlns:c16="http://schemas.microsoft.com/office/drawing/2014/chart" uri="{C3380CC4-5D6E-409C-BE32-E72D297353CC}">
              <c16:uniqueId val="{00000001-AA9E-44C5-BE61-0C439603E368}"/>
            </c:ext>
          </c:extLst>
        </c:ser>
        <c:ser>
          <c:idx val="2"/>
          <c:order val="2"/>
          <c:tx>
            <c:strRef>
              <c:f>'SODB standard'!$A$4</c:f>
              <c:strCache>
                <c:ptCount val="1"/>
                <c:pt idx="0">
                  <c:v>3 kat.</c:v>
                </c:pt>
              </c:strCache>
            </c:strRef>
          </c:tx>
          <c:spPr>
            <a:solidFill>
              <a:schemeClr val="accent1"/>
            </a:solidFill>
            <a:ln>
              <a:noFill/>
            </a:ln>
            <a:effectLst/>
          </c:spPr>
          <c:invertIfNegative val="0"/>
          <c:cat>
            <c:numRef>
              <c:f>'SODB standard'!$B$1:$G$1</c:f>
              <c:numCache>
                <c:formatCode>General</c:formatCode>
                <c:ptCount val="6"/>
                <c:pt idx="0">
                  <c:v>1961</c:v>
                </c:pt>
                <c:pt idx="1">
                  <c:v>1971</c:v>
                </c:pt>
                <c:pt idx="2">
                  <c:v>1981</c:v>
                </c:pt>
                <c:pt idx="3">
                  <c:v>1991</c:v>
                </c:pt>
                <c:pt idx="4">
                  <c:v>2001</c:v>
                </c:pt>
                <c:pt idx="5">
                  <c:v>2011</c:v>
                </c:pt>
              </c:numCache>
            </c:numRef>
          </c:cat>
          <c:val>
            <c:numRef>
              <c:f>'SODB standard'!$B$4:$G$4</c:f>
              <c:numCache>
                <c:formatCode>General</c:formatCode>
                <c:ptCount val="6"/>
                <c:pt idx="0">
                  <c:v>5</c:v>
                </c:pt>
                <c:pt idx="1">
                  <c:v>11.4</c:v>
                </c:pt>
                <c:pt idx="2">
                  <c:v>12.8</c:v>
                </c:pt>
                <c:pt idx="3">
                  <c:v>4.9000000000000004</c:v>
                </c:pt>
                <c:pt idx="4">
                  <c:v>2.9</c:v>
                </c:pt>
                <c:pt idx="5">
                  <c:v>1.5</c:v>
                </c:pt>
              </c:numCache>
            </c:numRef>
          </c:val>
          <c:extLst xmlns:c16r2="http://schemas.microsoft.com/office/drawing/2015/06/chart">
            <c:ext xmlns:c16="http://schemas.microsoft.com/office/drawing/2014/chart" uri="{C3380CC4-5D6E-409C-BE32-E72D297353CC}">
              <c16:uniqueId val="{00000002-AA9E-44C5-BE61-0C439603E368}"/>
            </c:ext>
          </c:extLst>
        </c:ser>
        <c:ser>
          <c:idx val="3"/>
          <c:order val="3"/>
          <c:tx>
            <c:strRef>
              <c:f>'SODB standard'!$A$5</c:f>
              <c:strCache>
                <c:ptCount val="1"/>
                <c:pt idx="0">
                  <c:v>4 kat.</c:v>
                </c:pt>
              </c:strCache>
            </c:strRef>
          </c:tx>
          <c:spPr>
            <a:pattFill prst="pct60">
              <a:fgClr>
                <a:schemeClr val="accent1">
                  <a:lumMod val="40000"/>
                  <a:lumOff val="60000"/>
                </a:schemeClr>
              </a:fgClr>
              <a:bgClr>
                <a:schemeClr val="bg1"/>
              </a:bgClr>
            </a:pattFill>
            <a:ln>
              <a:noFill/>
            </a:ln>
            <a:effectLst/>
          </c:spPr>
          <c:invertIfNegative val="0"/>
          <c:cat>
            <c:numRef>
              <c:f>'SODB standard'!$B$1:$G$1</c:f>
              <c:numCache>
                <c:formatCode>General</c:formatCode>
                <c:ptCount val="6"/>
                <c:pt idx="0">
                  <c:v>1961</c:v>
                </c:pt>
                <c:pt idx="1">
                  <c:v>1971</c:v>
                </c:pt>
                <c:pt idx="2">
                  <c:v>1981</c:v>
                </c:pt>
                <c:pt idx="3">
                  <c:v>1991</c:v>
                </c:pt>
                <c:pt idx="4">
                  <c:v>2001</c:v>
                </c:pt>
                <c:pt idx="5">
                  <c:v>2011</c:v>
                </c:pt>
              </c:numCache>
            </c:numRef>
          </c:cat>
          <c:val>
            <c:numRef>
              <c:f>'SODB standard'!$B$5:$G$5</c:f>
              <c:numCache>
                <c:formatCode>General</c:formatCode>
                <c:ptCount val="6"/>
                <c:pt idx="0">
                  <c:v>77.3</c:v>
                </c:pt>
                <c:pt idx="1">
                  <c:v>50.4</c:v>
                </c:pt>
                <c:pt idx="2">
                  <c:v>22.2</c:v>
                </c:pt>
                <c:pt idx="3">
                  <c:v>9.9</c:v>
                </c:pt>
                <c:pt idx="4">
                  <c:v>7.5</c:v>
                </c:pt>
                <c:pt idx="5">
                  <c:v>11.6</c:v>
                </c:pt>
              </c:numCache>
            </c:numRef>
          </c:val>
          <c:extLst xmlns:c16r2="http://schemas.microsoft.com/office/drawing/2015/06/chart">
            <c:ext xmlns:c16="http://schemas.microsoft.com/office/drawing/2014/chart" uri="{C3380CC4-5D6E-409C-BE32-E72D297353CC}">
              <c16:uniqueId val="{00000003-AA9E-44C5-BE61-0C439603E368}"/>
            </c:ext>
          </c:extLst>
        </c:ser>
        <c:dLbls>
          <c:showLegendKey val="0"/>
          <c:showVal val="0"/>
          <c:showCatName val="0"/>
          <c:showSerName val="0"/>
          <c:showPercent val="0"/>
          <c:showBubbleSize val="0"/>
        </c:dLbls>
        <c:gapWidth val="150"/>
        <c:overlap val="100"/>
        <c:axId val="221984280"/>
        <c:axId val="221984672"/>
      </c:barChart>
      <c:catAx>
        <c:axId val="221984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1984672"/>
        <c:crosses val="autoZero"/>
        <c:auto val="1"/>
        <c:lblAlgn val="ctr"/>
        <c:lblOffset val="100"/>
        <c:noMultiLvlLbl val="0"/>
      </c:catAx>
      <c:valAx>
        <c:axId val="221984672"/>
        <c:scaling>
          <c:orientation val="minMax"/>
          <c:max val="100"/>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1984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473198261284534E-2"/>
          <c:y val="5.4421758107166845E-2"/>
          <c:w val="0.91154129449233867"/>
          <c:h val="0.71691567400228817"/>
        </c:manualLayout>
      </c:layout>
      <c:barChart>
        <c:barDir val="col"/>
        <c:grouping val="clustered"/>
        <c:varyColors val="0"/>
        <c:ser>
          <c:idx val="0"/>
          <c:order val="0"/>
          <c:tx>
            <c:strRef>
              <c:f>'FRA combined'!$C$1</c:f>
              <c:strCache>
                <c:ptCount val="1"/>
                <c:pt idx="0">
                  <c:v>MRK</c:v>
                </c:pt>
              </c:strCache>
            </c:strRef>
          </c:tx>
          <c:spPr>
            <a:solidFill>
              <a:schemeClr val="accent1"/>
            </a:solidFill>
            <a:ln>
              <a:noFill/>
            </a:ln>
            <a:effectLst/>
          </c:spPr>
          <c:invertIfNegative val="0"/>
          <c:cat>
            <c:strRef>
              <c:f>'FRA combined'!$B$2:$B$10</c:f>
              <c:strCache>
                <c:ptCount val="9"/>
                <c:pt idx="0">
                  <c:v>SK</c:v>
                </c:pt>
                <c:pt idx="1">
                  <c:v>CZ</c:v>
                </c:pt>
                <c:pt idx="2">
                  <c:v>HU</c:v>
                </c:pt>
                <c:pt idx="3">
                  <c:v>SK</c:v>
                </c:pt>
                <c:pt idx="4">
                  <c:v>CZ</c:v>
                </c:pt>
                <c:pt idx="5">
                  <c:v>HU</c:v>
                </c:pt>
                <c:pt idx="6">
                  <c:v>SK</c:v>
                </c:pt>
                <c:pt idx="7">
                  <c:v>CZ</c:v>
                </c:pt>
                <c:pt idx="8">
                  <c:v>HU</c:v>
                </c:pt>
              </c:strCache>
            </c:strRef>
          </c:cat>
          <c:val>
            <c:numRef>
              <c:f>'FRA combined'!$C$2:$C$10</c:f>
              <c:numCache>
                <c:formatCode>General</c:formatCode>
                <c:ptCount val="9"/>
                <c:pt idx="0">
                  <c:v>84</c:v>
                </c:pt>
                <c:pt idx="1">
                  <c:v>83</c:v>
                </c:pt>
                <c:pt idx="2">
                  <c:v>88</c:v>
                </c:pt>
                <c:pt idx="3">
                  <c:v>43</c:v>
                </c:pt>
                <c:pt idx="4">
                  <c:v>8</c:v>
                </c:pt>
                <c:pt idx="5">
                  <c:v>43</c:v>
                </c:pt>
                <c:pt idx="6">
                  <c:v>34</c:v>
                </c:pt>
                <c:pt idx="7">
                  <c:v>18</c:v>
                </c:pt>
                <c:pt idx="8">
                  <c:v>46</c:v>
                </c:pt>
              </c:numCache>
            </c:numRef>
          </c:val>
          <c:extLst xmlns:c16r2="http://schemas.microsoft.com/office/drawing/2015/06/chart">
            <c:ext xmlns:c16="http://schemas.microsoft.com/office/drawing/2014/chart" uri="{C3380CC4-5D6E-409C-BE32-E72D297353CC}">
              <c16:uniqueId val="{00000000-B203-41EC-A1F1-7D9588845B5E}"/>
            </c:ext>
          </c:extLst>
        </c:ser>
        <c:ser>
          <c:idx val="1"/>
          <c:order val="1"/>
          <c:tx>
            <c:strRef>
              <c:f>'FRA combined'!$D$1</c:f>
              <c:strCache>
                <c:ptCount val="1"/>
                <c:pt idx="0">
                  <c:v>Celková populácia</c:v>
                </c:pt>
              </c:strCache>
            </c:strRef>
          </c:tx>
          <c:spPr>
            <a:solidFill>
              <a:schemeClr val="accent3"/>
            </a:solidFill>
            <a:ln>
              <a:noFill/>
            </a:ln>
            <a:effectLst/>
          </c:spPr>
          <c:invertIfNegative val="0"/>
          <c:cat>
            <c:strRef>
              <c:f>'FRA combined'!$B$2:$B$10</c:f>
              <c:strCache>
                <c:ptCount val="9"/>
                <c:pt idx="0">
                  <c:v>SK</c:v>
                </c:pt>
                <c:pt idx="1">
                  <c:v>CZ</c:v>
                </c:pt>
                <c:pt idx="2">
                  <c:v>HU</c:v>
                </c:pt>
                <c:pt idx="3">
                  <c:v>SK</c:v>
                </c:pt>
                <c:pt idx="4">
                  <c:v>CZ</c:v>
                </c:pt>
                <c:pt idx="5">
                  <c:v>HU</c:v>
                </c:pt>
                <c:pt idx="6">
                  <c:v>SK</c:v>
                </c:pt>
                <c:pt idx="7">
                  <c:v>CZ</c:v>
                </c:pt>
                <c:pt idx="8">
                  <c:v>HU</c:v>
                </c:pt>
              </c:strCache>
            </c:strRef>
          </c:cat>
          <c:val>
            <c:numRef>
              <c:f>'FRA combined'!$D$2:$D$10</c:f>
              <c:numCache>
                <c:formatCode>General</c:formatCode>
                <c:ptCount val="9"/>
                <c:pt idx="0">
                  <c:v>37.9</c:v>
                </c:pt>
                <c:pt idx="1">
                  <c:v>17.899999999999999</c:v>
                </c:pt>
                <c:pt idx="2">
                  <c:v>40.4</c:v>
                </c:pt>
                <c:pt idx="3">
                  <c:v>0.8</c:v>
                </c:pt>
                <c:pt idx="4">
                  <c:v>0.2</c:v>
                </c:pt>
                <c:pt idx="5">
                  <c:v>3.8</c:v>
                </c:pt>
                <c:pt idx="6">
                  <c:v>6.2</c:v>
                </c:pt>
                <c:pt idx="7">
                  <c:v>8.1999999999999993</c:v>
                </c:pt>
                <c:pt idx="8">
                  <c:v>26.7</c:v>
                </c:pt>
              </c:numCache>
            </c:numRef>
          </c:val>
          <c:extLst xmlns:c16r2="http://schemas.microsoft.com/office/drawing/2015/06/chart">
            <c:ext xmlns:c16="http://schemas.microsoft.com/office/drawing/2014/chart" uri="{C3380CC4-5D6E-409C-BE32-E72D297353CC}">
              <c16:uniqueId val="{00000001-B203-41EC-A1F1-7D9588845B5E}"/>
            </c:ext>
          </c:extLst>
        </c:ser>
        <c:dLbls>
          <c:showLegendKey val="0"/>
          <c:showVal val="0"/>
          <c:showCatName val="0"/>
          <c:showSerName val="0"/>
          <c:showPercent val="0"/>
          <c:showBubbleSize val="0"/>
        </c:dLbls>
        <c:gapWidth val="100"/>
        <c:overlap val="-27"/>
        <c:axId val="221985848"/>
        <c:axId val="221986240"/>
      </c:barChart>
      <c:catAx>
        <c:axId val="221985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1986240"/>
        <c:crosses val="autoZero"/>
        <c:auto val="1"/>
        <c:lblAlgn val="ctr"/>
        <c:lblOffset val="100"/>
        <c:noMultiLvlLbl val="0"/>
      </c:catAx>
      <c:valAx>
        <c:axId val="221986240"/>
        <c:scaling>
          <c:orientation val="minMax"/>
          <c:max val="90"/>
          <c:min val="0"/>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1985848"/>
        <c:crosses val="autoZero"/>
        <c:crossBetween val="between"/>
        <c:majorUnit val="10"/>
      </c:valAx>
      <c:spPr>
        <a:noFill/>
        <a:ln>
          <a:noFill/>
        </a:ln>
        <a:effectLst/>
      </c:spPr>
    </c:plotArea>
    <c:legend>
      <c:legendPos val="b"/>
      <c:layout>
        <c:manualLayout>
          <c:xMode val="edge"/>
          <c:yMode val="edge"/>
          <c:x val="0.45414003091510796"/>
          <c:y val="5.6451374139653163E-2"/>
          <c:w val="0.39286176727909011"/>
          <c:h val="8.348850871137691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userShapes r:id="rId4"/>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563520196717032E-2"/>
          <c:y val="5.5972222222222236E-2"/>
          <c:w val="0.88451248121780979"/>
          <c:h val="0.69636373578302713"/>
        </c:manualLayout>
      </c:layout>
      <c:barChart>
        <c:barDir val="col"/>
        <c:grouping val="stacked"/>
        <c:varyColors val="0"/>
        <c:ser>
          <c:idx val="0"/>
          <c:order val="0"/>
          <c:tx>
            <c:strRef>
              <c:f>'Atlas osídlenia'!$B$28</c:f>
              <c:strCache>
                <c:ptCount val="1"/>
                <c:pt idx="0">
                  <c:v>V rozptyle</c:v>
                </c:pt>
              </c:strCache>
            </c:strRef>
          </c:tx>
          <c:spPr>
            <a:solidFill>
              <a:schemeClr val="bg2">
                <a:lumMod val="75000"/>
              </a:schemeClr>
            </a:solidFill>
            <a:ln>
              <a:noFill/>
            </a:ln>
            <a:effectLst/>
          </c:spPr>
          <c:invertIfNegative val="0"/>
          <c:cat>
            <c:strRef>
              <c:f>'Atlas osídlenia'!$A$29:$A$37</c:f>
              <c:strCache>
                <c:ptCount val="9"/>
                <c:pt idx="0">
                  <c:v>KE</c:v>
                </c:pt>
                <c:pt idx="1">
                  <c:v>PO</c:v>
                </c:pt>
                <c:pt idx="2">
                  <c:v>BB</c:v>
                </c:pt>
                <c:pt idx="3">
                  <c:v>NR</c:v>
                </c:pt>
                <c:pt idx="4">
                  <c:v>TT</c:v>
                </c:pt>
                <c:pt idx="5">
                  <c:v>ZA</c:v>
                </c:pt>
                <c:pt idx="6">
                  <c:v>TN</c:v>
                </c:pt>
                <c:pt idx="7">
                  <c:v>BA</c:v>
                </c:pt>
                <c:pt idx="8">
                  <c:v>Celkom</c:v>
                </c:pt>
              </c:strCache>
            </c:strRef>
          </c:cat>
          <c:val>
            <c:numRef>
              <c:f>'Atlas osídlenia'!$B$29:$B$37</c:f>
              <c:numCache>
                <c:formatCode>0.0</c:formatCode>
                <c:ptCount val="9"/>
                <c:pt idx="0">
                  <c:v>24.22289383291459</c:v>
                </c:pt>
                <c:pt idx="1">
                  <c:v>52.120166738536724</c:v>
                </c:pt>
                <c:pt idx="2">
                  <c:v>10.259079866612346</c:v>
                </c:pt>
                <c:pt idx="3">
                  <c:v>30.488010807159743</c:v>
                </c:pt>
                <c:pt idx="4">
                  <c:v>11.965388007054674</c:v>
                </c:pt>
                <c:pt idx="5">
                  <c:v>44.699560332193457</c:v>
                </c:pt>
                <c:pt idx="6">
                  <c:v>42.873519296904853</c:v>
                </c:pt>
                <c:pt idx="7">
                  <c:v>46.23215539433653</c:v>
                </c:pt>
                <c:pt idx="8">
                  <c:v>18.256449000553054</c:v>
                </c:pt>
              </c:numCache>
            </c:numRef>
          </c:val>
          <c:extLst xmlns:c16r2="http://schemas.microsoft.com/office/drawing/2015/06/chart">
            <c:ext xmlns:c16="http://schemas.microsoft.com/office/drawing/2014/chart" uri="{C3380CC4-5D6E-409C-BE32-E72D297353CC}">
              <c16:uniqueId val="{00000000-3F17-4DEF-B948-5712F83AD0E6}"/>
            </c:ext>
          </c:extLst>
        </c:ser>
        <c:ser>
          <c:idx val="1"/>
          <c:order val="1"/>
          <c:tx>
            <c:strRef>
              <c:f>'Atlas osídlenia'!$C$28</c:f>
              <c:strCache>
                <c:ptCount val="1"/>
                <c:pt idx="0">
                  <c:v>Osídlenie v obci</c:v>
                </c:pt>
              </c:strCache>
            </c:strRef>
          </c:tx>
          <c:spPr>
            <a:solidFill>
              <a:schemeClr val="accent1">
                <a:lumMod val="20000"/>
                <a:lumOff val="80000"/>
              </a:schemeClr>
            </a:solidFill>
            <a:ln>
              <a:noFill/>
            </a:ln>
            <a:effectLst/>
          </c:spPr>
          <c:invertIfNegative val="0"/>
          <c:cat>
            <c:strRef>
              <c:f>'Atlas osídlenia'!$A$29:$A$37</c:f>
              <c:strCache>
                <c:ptCount val="9"/>
                <c:pt idx="0">
                  <c:v>KE</c:v>
                </c:pt>
                <c:pt idx="1">
                  <c:v>PO</c:v>
                </c:pt>
                <c:pt idx="2">
                  <c:v>BB</c:v>
                </c:pt>
                <c:pt idx="3">
                  <c:v>NR</c:v>
                </c:pt>
                <c:pt idx="4">
                  <c:v>TT</c:v>
                </c:pt>
                <c:pt idx="5">
                  <c:v>ZA</c:v>
                </c:pt>
                <c:pt idx="6">
                  <c:v>TN</c:v>
                </c:pt>
                <c:pt idx="7">
                  <c:v>BA</c:v>
                </c:pt>
                <c:pt idx="8">
                  <c:v>Celkom</c:v>
                </c:pt>
              </c:strCache>
            </c:strRef>
          </c:cat>
          <c:val>
            <c:numRef>
              <c:f>'Atlas osídlenia'!$C$29:$C$37</c:f>
              <c:numCache>
                <c:formatCode>0.0</c:formatCode>
                <c:ptCount val="9"/>
                <c:pt idx="0">
                  <c:v>53.478012841520105</c:v>
                </c:pt>
                <c:pt idx="1">
                  <c:v>13.080350725887596</c:v>
                </c:pt>
                <c:pt idx="2">
                  <c:v>28.495767507129599</c:v>
                </c:pt>
                <c:pt idx="3">
                  <c:v>49.311887875717666</c:v>
                </c:pt>
                <c:pt idx="4">
                  <c:v>17.624086671705719</c:v>
                </c:pt>
                <c:pt idx="5">
                  <c:v>23.571079628724963</c:v>
                </c:pt>
                <c:pt idx="6">
                  <c:v>38.69570755317794</c:v>
                </c:pt>
                <c:pt idx="7">
                  <c:v>26.328106716592558</c:v>
                </c:pt>
                <c:pt idx="8">
                  <c:v>31.371227384056255</c:v>
                </c:pt>
              </c:numCache>
            </c:numRef>
          </c:val>
          <c:extLst xmlns:c16r2="http://schemas.microsoft.com/office/drawing/2015/06/chart">
            <c:ext xmlns:c16="http://schemas.microsoft.com/office/drawing/2014/chart" uri="{C3380CC4-5D6E-409C-BE32-E72D297353CC}">
              <c16:uniqueId val="{00000001-3F17-4DEF-B948-5712F83AD0E6}"/>
            </c:ext>
          </c:extLst>
        </c:ser>
        <c:ser>
          <c:idx val="2"/>
          <c:order val="2"/>
          <c:tx>
            <c:strRef>
              <c:f>'Atlas osídlenia'!$D$28</c:f>
              <c:strCache>
                <c:ptCount val="1"/>
                <c:pt idx="0">
                  <c:v>Osídlenie na okraji obce</c:v>
                </c:pt>
              </c:strCache>
            </c:strRef>
          </c:tx>
          <c:spPr>
            <a:solidFill>
              <a:schemeClr val="accent1">
                <a:lumMod val="60000"/>
                <a:lumOff val="40000"/>
              </a:schemeClr>
            </a:solidFill>
            <a:ln>
              <a:noFill/>
            </a:ln>
            <a:effectLst/>
          </c:spPr>
          <c:invertIfNegative val="0"/>
          <c:cat>
            <c:strRef>
              <c:f>'Atlas osídlenia'!$A$29:$A$37</c:f>
              <c:strCache>
                <c:ptCount val="9"/>
                <c:pt idx="0">
                  <c:v>KE</c:v>
                </c:pt>
                <c:pt idx="1">
                  <c:v>PO</c:v>
                </c:pt>
                <c:pt idx="2">
                  <c:v>BB</c:v>
                </c:pt>
                <c:pt idx="3">
                  <c:v>NR</c:v>
                </c:pt>
                <c:pt idx="4">
                  <c:v>TT</c:v>
                </c:pt>
                <c:pt idx="5">
                  <c:v>ZA</c:v>
                </c:pt>
                <c:pt idx="6">
                  <c:v>TN</c:v>
                </c:pt>
                <c:pt idx="7">
                  <c:v>BA</c:v>
                </c:pt>
                <c:pt idx="8">
                  <c:v>Celkom</c:v>
                </c:pt>
              </c:strCache>
            </c:strRef>
          </c:cat>
          <c:val>
            <c:numRef>
              <c:f>'Atlas osídlenia'!$D$29:$D$37</c:f>
              <c:numCache>
                <c:formatCode>0.0</c:formatCode>
                <c:ptCount val="9"/>
                <c:pt idx="0">
                  <c:v>13.543070070033622</c:v>
                </c:pt>
                <c:pt idx="1">
                  <c:v>33.836423745867471</c:v>
                </c:pt>
                <c:pt idx="2">
                  <c:v>46.855431321956154</c:v>
                </c:pt>
                <c:pt idx="3">
                  <c:v>12.124282337048294</c:v>
                </c:pt>
                <c:pt idx="4">
                  <c:v>49.006361803980852</c:v>
                </c:pt>
                <c:pt idx="5">
                  <c:v>31.094284318514898</c:v>
                </c:pt>
                <c:pt idx="6">
                  <c:v>14.04279709591135</c:v>
                </c:pt>
                <c:pt idx="7">
                  <c:v>19.833840393166394</c:v>
                </c:pt>
                <c:pt idx="8">
                  <c:v>36.337846646124675</c:v>
                </c:pt>
              </c:numCache>
            </c:numRef>
          </c:val>
          <c:extLst xmlns:c16r2="http://schemas.microsoft.com/office/drawing/2015/06/chart">
            <c:ext xmlns:c16="http://schemas.microsoft.com/office/drawing/2014/chart" uri="{C3380CC4-5D6E-409C-BE32-E72D297353CC}">
              <c16:uniqueId val="{00000002-3F17-4DEF-B948-5712F83AD0E6}"/>
            </c:ext>
          </c:extLst>
        </c:ser>
        <c:ser>
          <c:idx val="3"/>
          <c:order val="3"/>
          <c:tx>
            <c:strRef>
              <c:f>'Atlas osídlenia'!$E$28</c:f>
              <c:strCache>
                <c:ptCount val="1"/>
                <c:pt idx="0">
                  <c:v>Osídlenie mimo obce</c:v>
                </c:pt>
              </c:strCache>
            </c:strRef>
          </c:tx>
          <c:spPr>
            <a:solidFill>
              <a:schemeClr val="accent1">
                <a:lumMod val="75000"/>
              </a:schemeClr>
            </a:solidFill>
            <a:ln>
              <a:noFill/>
            </a:ln>
            <a:effectLst/>
          </c:spPr>
          <c:invertIfNegative val="0"/>
          <c:cat>
            <c:strRef>
              <c:f>'Atlas osídlenia'!$A$29:$A$37</c:f>
              <c:strCache>
                <c:ptCount val="9"/>
                <c:pt idx="0">
                  <c:v>KE</c:v>
                </c:pt>
                <c:pt idx="1">
                  <c:v>PO</c:v>
                </c:pt>
                <c:pt idx="2">
                  <c:v>BB</c:v>
                </c:pt>
                <c:pt idx="3">
                  <c:v>NR</c:v>
                </c:pt>
                <c:pt idx="4">
                  <c:v>TT</c:v>
                </c:pt>
                <c:pt idx="5">
                  <c:v>ZA</c:v>
                </c:pt>
                <c:pt idx="6">
                  <c:v>TN</c:v>
                </c:pt>
                <c:pt idx="7">
                  <c:v>BA</c:v>
                </c:pt>
                <c:pt idx="8">
                  <c:v>Celkom</c:v>
                </c:pt>
              </c:strCache>
            </c:strRef>
          </c:cat>
          <c:val>
            <c:numRef>
              <c:f>'Atlas osídlenia'!$E$29:$E$37</c:f>
              <c:numCache>
                <c:formatCode>0.0</c:formatCode>
                <c:ptCount val="9"/>
                <c:pt idx="0">
                  <c:v>8.7560232555316855</c:v>
                </c:pt>
                <c:pt idx="1">
                  <c:v>0.96305878970820746</c:v>
                </c:pt>
                <c:pt idx="2">
                  <c:v>14.389721304301903</c:v>
                </c:pt>
                <c:pt idx="3">
                  <c:v>8.075818980074299</c:v>
                </c:pt>
                <c:pt idx="4">
                  <c:v>21.404163517258755</c:v>
                </c:pt>
                <c:pt idx="5">
                  <c:v>0.63507572056668293</c:v>
                </c:pt>
                <c:pt idx="6">
                  <c:v>4.3879760540058594</c:v>
                </c:pt>
                <c:pt idx="7">
                  <c:v>7.6058974959045162</c:v>
                </c:pt>
                <c:pt idx="8">
                  <c:v>14.034476969266018</c:v>
                </c:pt>
              </c:numCache>
            </c:numRef>
          </c:val>
          <c:extLst xmlns:c16r2="http://schemas.microsoft.com/office/drawing/2015/06/chart">
            <c:ext xmlns:c16="http://schemas.microsoft.com/office/drawing/2014/chart" uri="{C3380CC4-5D6E-409C-BE32-E72D297353CC}">
              <c16:uniqueId val="{00000003-3F17-4DEF-B948-5712F83AD0E6}"/>
            </c:ext>
          </c:extLst>
        </c:ser>
        <c:dLbls>
          <c:showLegendKey val="0"/>
          <c:showVal val="0"/>
          <c:showCatName val="0"/>
          <c:showSerName val="0"/>
          <c:showPercent val="0"/>
          <c:showBubbleSize val="0"/>
        </c:dLbls>
        <c:gapWidth val="150"/>
        <c:overlap val="100"/>
        <c:axId val="221987024"/>
        <c:axId val="221987416"/>
      </c:barChart>
      <c:lineChart>
        <c:grouping val="standard"/>
        <c:varyColors val="0"/>
        <c:ser>
          <c:idx val="4"/>
          <c:order val="4"/>
          <c:tx>
            <c:strRef>
              <c:f>'Atlas osídlenia'!$F$28</c:f>
              <c:strCache>
                <c:ptCount val="1"/>
                <c:pt idx="0">
                  <c:v>Počet Rómov (pravá os, tisíc)</c:v>
                </c:pt>
              </c:strCache>
            </c:strRef>
          </c:tx>
          <c:spPr>
            <a:ln w="28575" cap="rnd">
              <a:noFill/>
              <a:round/>
            </a:ln>
            <a:effectLst/>
          </c:spPr>
          <c:marker>
            <c:symbol val="diamond"/>
            <c:size val="8"/>
            <c:spPr>
              <a:solidFill>
                <a:schemeClr val="tx1"/>
              </a:solidFill>
              <a:ln w="9525">
                <a:solidFill>
                  <a:schemeClr val="tx1"/>
                </a:solidFill>
              </a:ln>
              <a:effectLst/>
            </c:spPr>
          </c:marker>
          <c:cat>
            <c:strRef>
              <c:f>'Atlas osídlenia'!$A$29:$A$37</c:f>
              <c:strCache>
                <c:ptCount val="9"/>
                <c:pt idx="0">
                  <c:v>KE</c:v>
                </c:pt>
                <c:pt idx="1">
                  <c:v>PO</c:v>
                </c:pt>
                <c:pt idx="2">
                  <c:v>BB</c:v>
                </c:pt>
                <c:pt idx="3">
                  <c:v>NR</c:v>
                </c:pt>
                <c:pt idx="4">
                  <c:v>TT</c:v>
                </c:pt>
                <c:pt idx="5">
                  <c:v>ZA</c:v>
                </c:pt>
                <c:pt idx="6">
                  <c:v>TN</c:v>
                </c:pt>
                <c:pt idx="7">
                  <c:v>BA</c:v>
                </c:pt>
                <c:pt idx="8">
                  <c:v>Celkom</c:v>
                </c:pt>
              </c:strCache>
            </c:strRef>
          </c:cat>
          <c:val>
            <c:numRef>
              <c:f>'Atlas osídlenia'!$F$29:$F$37</c:f>
              <c:numCache>
                <c:formatCode>General</c:formatCode>
                <c:ptCount val="9"/>
                <c:pt idx="0">
                  <c:v>132546</c:v>
                </c:pt>
                <c:pt idx="1">
                  <c:v>127008</c:v>
                </c:pt>
                <c:pt idx="2">
                  <c:v>82389</c:v>
                </c:pt>
                <c:pt idx="3">
                  <c:v>23688</c:v>
                </c:pt>
                <c:pt idx="4">
                  <c:v>15702</c:v>
                </c:pt>
                <c:pt idx="5">
                  <c:v>8546</c:v>
                </c:pt>
                <c:pt idx="6">
                  <c:v>8188</c:v>
                </c:pt>
                <c:pt idx="7">
                  <c:v>6957</c:v>
                </c:pt>
              </c:numCache>
            </c:numRef>
          </c:val>
          <c:smooth val="0"/>
          <c:extLst xmlns:c16r2="http://schemas.microsoft.com/office/drawing/2015/06/chart">
            <c:ext xmlns:c16="http://schemas.microsoft.com/office/drawing/2014/chart" uri="{C3380CC4-5D6E-409C-BE32-E72D297353CC}">
              <c16:uniqueId val="{00000004-3F17-4DEF-B948-5712F83AD0E6}"/>
            </c:ext>
          </c:extLst>
        </c:ser>
        <c:dLbls>
          <c:showLegendKey val="0"/>
          <c:showVal val="0"/>
          <c:showCatName val="0"/>
          <c:showSerName val="0"/>
          <c:showPercent val="0"/>
          <c:showBubbleSize val="0"/>
        </c:dLbls>
        <c:marker val="1"/>
        <c:smooth val="0"/>
        <c:axId val="221988200"/>
        <c:axId val="221987808"/>
      </c:lineChart>
      <c:catAx>
        <c:axId val="221987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1987416"/>
        <c:crosses val="autoZero"/>
        <c:auto val="1"/>
        <c:lblAlgn val="ctr"/>
        <c:lblOffset val="100"/>
        <c:noMultiLvlLbl val="0"/>
      </c:catAx>
      <c:valAx>
        <c:axId val="221987416"/>
        <c:scaling>
          <c:orientation val="minMax"/>
          <c:max val="100"/>
        </c:scaling>
        <c:delete val="0"/>
        <c:axPos val="l"/>
        <c:majorGridlines>
          <c:spPr>
            <a:ln w="9525" cap="flat" cmpd="sng" algn="ctr">
              <a:solidFill>
                <a:schemeClr val="tx1">
                  <a:lumMod val="15000"/>
                  <a:lumOff val="85000"/>
                </a:schemeClr>
              </a:solidFill>
              <a:prstDash val="dash"/>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1987024"/>
        <c:crosses val="autoZero"/>
        <c:crossBetween val="between"/>
        <c:majorUnit val="10"/>
      </c:valAx>
      <c:valAx>
        <c:axId val="221987808"/>
        <c:scaling>
          <c:orientation val="minMax"/>
          <c:max val="15000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1988200"/>
        <c:crosses val="max"/>
        <c:crossBetween val="between"/>
        <c:majorUnit val="15000"/>
        <c:dispUnits>
          <c:builtInUnit val="thousands"/>
        </c:dispUnits>
      </c:valAx>
      <c:catAx>
        <c:axId val="221988200"/>
        <c:scaling>
          <c:orientation val="minMax"/>
        </c:scaling>
        <c:delete val="1"/>
        <c:axPos val="b"/>
        <c:numFmt formatCode="General" sourceLinked="1"/>
        <c:majorTickMark val="out"/>
        <c:minorTickMark val="none"/>
        <c:tickLblPos val="nextTo"/>
        <c:crossAx val="221987808"/>
        <c:crosses val="autoZero"/>
        <c:auto val="1"/>
        <c:lblAlgn val="ctr"/>
        <c:lblOffset val="100"/>
        <c:noMultiLvlLbl val="0"/>
      </c:catAx>
      <c:spPr>
        <a:noFill/>
        <a:ln>
          <a:noFill/>
        </a:ln>
        <a:effectLst/>
      </c:spPr>
    </c:plotArea>
    <c:legend>
      <c:legendPos val="b"/>
      <c:layout>
        <c:manualLayout>
          <c:xMode val="edge"/>
          <c:yMode val="edge"/>
          <c:x val="4.5261221909305135E-2"/>
          <c:y val="0.85242782152230967"/>
          <c:w val="0.91428530375308925"/>
          <c:h val="0.1290536599591717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sk-SK"/>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85039245433799"/>
          <c:y val="5.0925925925925923E-2"/>
          <c:w val="0.81731195070675988"/>
          <c:h val="0.63745990084572757"/>
        </c:manualLayout>
      </c:layout>
      <c:barChart>
        <c:barDir val="col"/>
        <c:grouping val="stacked"/>
        <c:varyColors val="0"/>
        <c:ser>
          <c:idx val="0"/>
          <c:order val="0"/>
          <c:tx>
            <c:strRef>
              <c:f>'Atlas druh bytu'!$B$9</c:f>
              <c:strCache>
                <c:ptCount val="1"/>
                <c:pt idx="0">
                  <c:v>Legálne</c:v>
                </c:pt>
              </c:strCache>
            </c:strRef>
          </c:tx>
          <c:spPr>
            <a:solidFill>
              <a:schemeClr val="accent1"/>
            </a:solidFill>
            <a:ln>
              <a:noFill/>
            </a:ln>
            <a:effectLst/>
          </c:spPr>
          <c:invertIfNegative val="0"/>
          <c:cat>
            <c:strRef>
              <c:f>'Atlas druh bytu'!$A$10:$A$13</c:f>
              <c:strCache>
                <c:ptCount val="4"/>
                <c:pt idx="0">
                  <c:v>V obci</c:v>
                </c:pt>
                <c:pt idx="1">
                  <c:v>Na okraji obce</c:v>
                </c:pt>
                <c:pt idx="2">
                  <c:v>Mimo obce</c:v>
                </c:pt>
                <c:pt idx="3">
                  <c:v>Celkom</c:v>
                </c:pt>
              </c:strCache>
            </c:strRef>
          </c:cat>
          <c:val>
            <c:numRef>
              <c:f>'Atlas druh bytu'!$B$10:$B$13</c:f>
              <c:numCache>
                <c:formatCode>0.0</c:formatCode>
                <c:ptCount val="4"/>
                <c:pt idx="0">
                  <c:v>89.820514481954248</c:v>
                </c:pt>
                <c:pt idx="1">
                  <c:v>67.420543043569779</c:v>
                </c:pt>
                <c:pt idx="2">
                  <c:v>54.028679653679653</c:v>
                </c:pt>
                <c:pt idx="3">
                  <c:v>67.639693549960739</c:v>
                </c:pt>
              </c:numCache>
            </c:numRef>
          </c:val>
          <c:extLst xmlns:c16r2="http://schemas.microsoft.com/office/drawing/2015/06/chart">
            <c:ext xmlns:c16="http://schemas.microsoft.com/office/drawing/2014/chart" uri="{C3380CC4-5D6E-409C-BE32-E72D297353CC}">
              <c16:uniqueId val="{00000000-D10F-4F52-ABF5-F110B9A1ABC5}"/>
            </c:ext>
          </c:extLst>
        </c:ser>
        <c:ser>
          <c:idx val="1"/>
          <c:order val="1"/>
          <c:tx>
            <c:strRef>
              <c:f>'Atlas druh bytu'!$C$9</c:f>
              <c:strCache>
                <c:ptCount val="1"/>
                <c:pt idx="0">
                  <c:v>Nelegálne s dostatočnou kvalitou</c:v>
                </c:pt>
              </c:strCache>
            </c:strRef>
          </c:tx>
          <c:spPr>
            <a:solidFill>
              <a:schemeClr val="accent3">
                <a:lumMod val="60000"/>
                <a:lumOff val="40000"/>
              </a:schemeClr>
            </a:solidFill>
            <a:ln>
              <a:noFill/>
            </a:ln>
            <a:effectLst/>
          </c:spPr>
          <c:invertIfNegative val="0"/>
          <c:cat>
            <c:strRef>
              <c:f>'Atlas druh bytu'!$A$10:$A$13</c:f>
              <c:strCache>
                <c:ptCount val="4"/>
                <c:pt idx="0">
                  <c:v>V obci</c:v>
                </c:pt>
                <c:pt idx="1">
                  <c:v>Na okraji obce</c:v>
                </c:pt>
                <c:pt idx="2">
                  <c:v>Mimo obce</c:v>
                </c:pt>
                <c:pt idx="3">
                  <c:v>Celkom</c:v>
                </c:pt>
              </c:strCache>
            </c:strRef>
          </c:cat>
          <c:val>
            <c:numRef>
              <c:f>'Atlas druh bytu'!$C$10:$C$13</c:f>
              <c:numCache>
                <c:formatCode>0.0</c:formatCode>
                <c:ptCount val="4"/>
                <c:pt idx="0">
                  <c:v>6.3392297889803233</c:v>
                </c:pt>
                <c:pt idx="1">
                  <c:v>16.740686171332349</c:v>
                </c:pt>
                <c:pt idx="2">
                  <c:v>20.265151515151516</c:v>
                </c:pt>
                <c:pt idx="3">
                  <c:v>15.713695008804166</c:v>
                </c:pt>
              </c:numCache>
            </c:numRef>
          </c:val>
          <c:extLst xmlns:c16r2="http://schemas.microsoft.com/office/drawing/2015/06/chart">
            <c:ext xmlns:c16="http://schemas.microsoft.com/office/drawing/2014/chart" uri="{C3380CC4-5D6E-409C-BE32-E72D297353CC}">
              <c16:uniqueId val="{00000001-D10F-4F52-ABF5-F110B9A1ABC5}"/>
            </c:ext>
          </c:extLst>
        </c:ser>
        <c:ser>
          <c:idx val="2"/>
          <c:order val="2"/>
          <c:tx>
            <c:strRef>
              <c:f>'Atlas druh bytu'!$D$9</c:f>
              <c:strCache>
                <c:ptCount val="1"/>
                <c:pt idx="0">
                  <c:v>Nelegálne s nedostatočnou kvalitou a iné</c:v>
                </c:pt>
              </c:strCache>
            </c:strRef>
          </c:tx>
          <c:spPr>
            <a:solidFill>
              <a:schemeClr val="accent3">
                <a:lumMod val="75000"/>
              </a:schemeClr>
            </a:solidFill>
            <a:ln>
              <a:noFill/>
            </a:ln>
            <a:effectLst/>
          </c:spPr>
          <c:invertIfNegative val="0"/>
          <c:cat>
            <c:strRef>
              <c:f>'Atlas druh bytu'!$A$10:$A$13</c:f>
              <c:strCache>
                <c:ptCount val="4"/>
                <c:pt idx="0">
                  <c:v>V obci</c:v>
                </c:pt>
                <c:pt idx="1">
                  <c:v>Na okraji obce</c:v>
                </c:pt>
                <c:pt idx="2">
                  <c:v>Mimo obce</c:v>
                </c:pt>
                <c:pt idx="3">
                  <c:v>Celkom</c:v>
                </c:pt>
              </c:strCache>
            </c:strRef>
          </c:cat>
          <c:val>
            <c:numRef>
              <c:f>'Atlas druh bytu'!$D$10:$D$13</c:f>
              <c:numCache>
                <c:formatCode>0.0</c:formatCode>
                <c:ptCount val="4"/>
                <c:pt idx="0">
                  <c:v>3.8402557290654227</c:v>
                </c:pt>
                <c:pt idx="1">
                  <c:v>15.838770785097875</c:v>
                </c:pt>
                <c:pt idx="2">
                  <c:v>25.706168831168831</c:v>
                </c:pt>
                <c:pt idx="3">
                  <c:v>16.646611441235091</c:v>
                </c:pt>
              </c:numCache>
            </c:numRef>
          </c:val>
          <c:extLst xmlns:c16r2="http://schemas.microsoft.com/office/drawing/2015/06/chart">
            <c:ext xmlns:c16="http://schemas.microsoft.com/office/drawing/2014/chart" uri="{C3380CC4-5D6E-409C-BE32-E72D297353CC}">
              <c16:uniqueId val="{00000002-D10F-4F52-ABF5-F110B9A1ABC5}"/>
            </c:ext>
          </c:extLst>
        </c:ser>
        <c:dLbls>
          <c:showLegendKey val="0"/>
          <c:showVal val="0"/>
          <c:showCatName val="0"/>
          <c:showSerName val="0"/>
          <c:showPercent val="0"/>
          <c:showBubbleSize val="0"/>
        </c:dLbls>
        <c:gapWidth val="150"/>
        <c:overlap val="100"/>
        <c:axId val="225220128"/>
        <c:axId val="225220520"/>
      </c:barChart>
      <c:catAx>
        <c:axId val="22522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5220520"/>
        <c:crosses val="autoZero"/>
        <c:auto val="1"/>
        <c:lblAlgn val="ctr"/>
        <c:lblOffset val="100"/>
        <c:noMultiLvlLbl val="0"/>
      </c:catAx>
      <c:valAx>
        <c:axId val="225220520"/>
        <c:scaling>
          <c:orientation val="minMax"/>
          <c:max val="100"/>
        </c:scaling>
        <c:delete val="0"/>
        <c:axPos val="l"/>
        <c:majorGridlines>
          <c:spPr>
            <a:ln w="9525" cap="flat" cmpd="sng" algn="ctr">
              <a:solidFill>
                <a:schemeClr val="tx1">
                  <a:lumMod val="15000"/>
                  <a:lumOff val="85000"/>
                </a:schemeClr>
              </a:solidFill>
              <a:prstDash val="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5220128"/>
        <c:crosses val="autoZero"/>
        <c:crossBetween val="between"/>
      </c:valAx>
      <c:spPr>
        <a:noFill/>
        <a:ln>
          <a:noFill/>
        </a:ln>
        <a:effectLst/>
      </c:spPr>
    </c:plotArea>
    <c:legend>
      <c:legendPos val="b"/>
      <c:layout>
        <c:manualLayout>
          <c:xMode val="edge"/>
          <c:yMode val="edge"/>
          <c:x val="6.4895342477318645E-3"/>
          <c:y val="0.81539297171186931"/>
          <c:w val="0.98048336167553929"/>
          <c:h val="0.1660885097696121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Infraštruktúra!$G$34</c:f>
              <c:strCache>
                <c:ptCount val="1"/>
                <c:pt idx="0">
                  <c:v>Iba v osídlení</c:v>
                </c:pt>
              </c:strCache>
            </c:strRef>
          </c:tx>
          <c:spPr>
            <a:solidFill>
              <a:schemeClr val="accent1"/>
            </a:solidFill>
            <a:ln>
              <a:noFill/>
            </a:ln>
            <a:effectLst/>
          </c:spPr>
          <c:invertIfNegative val="0"/>
          <c:cat>
            <c:multiLvlStrRef>
              <c:f>Infraštruktúra!$E$35:$F$46</c:f>
              <c:multiLvlStrCache>
                <c:ptCount val="12"/>
                <c:lvl>
                  <c:pt idx="0">
                    <c:v>V obci</c:v>
                  </c:pt>
                  <c:pt idx="1">
                    <c:v>Na okraji</c:v>
                  </c:pt>
                  <c:pt idx="2">
                    <c:v>Mimo obce</c:v>
                  </c:pt>
                  <c:pt idx="3">
                    <c:v>V obci</c:v>
                  </c:pt>
                  <c:pt idx="4">
                    <c:v>Na okraji</c:v>
                  </c:pt>
                  <c:pt idx="5">
                    <c:v>Mimo obce</c:v>
                  </c:pt>
                  <c:pt idx="6">
                    <c:v>V obci</c:v>
                  </c:pt>
                  <c:pt idx="7">
                    <c:v>Na okraji</c:v>
                  </c:pt>
                  <c:pt idx="8">
                    <c:v>Mimo obce</c:v>
                  </c:pt>
                  <c:pt idx="9">
                    <c:v>V obci</c:v>
                  </c:pt>
                  <c:pt idx="10">
                    <c:v>Na okraji</c:v>
                  </c:pt>
                  <c:pt idx="11">
                    <c:v>Mimo obce</c:v>
                  </c:pt>
                </c:lvl>
                <c:lvl>
                  <c:pt idx="0">
                    <c:v>Elektrina</c:v>
                  </c:pt>
                  <c:pt idx="3">
                    <c:v>Voda</c:v>
                  </c:pt>
                  <c:pt idx="6">
                    <c:v>Kanalizácia</c:v>
                  </c:pt>
                  <c:pt idx="9">
                    <c:v>Plyn</c:v>
                  </c:pt>
                </c:lvl>
              </c:multiLvlStrCache>
            </c:multiLvlStrRef>
          </c:cat>
          <c:val>
            <c:numRef>
              <c:f>Infraštruktúra!$G$35:$G$46</c:f>
              <c:numCache>
                <c:formatCode>General</c:formatCode>
                <c:ptCount val="12"/>
                <c:pt idx="0">
                  <c:v>0.6420666993994788</c:v>
                </c:pt>
                <c:pt idx="1">
                  <c:v>2.3756752543429784</c:v>
                </c:pt>
                <c:pt idx="2">
                  <c:v>1.3118991554981145</c:v>
                </c:pt>
                <c:pt idx="3">
                  <c:v>4.1734335460966125</c:v>
                </c:pt>
                <c:pt idx="4">
                  <c:v>11.78484041291337</c:v>
                </c:pt>
                <c:pt idx="5">
                  <c:v>16.362445337535188</c:v>
                </c:pt>
                <c:pt idx="6">
                  <c:v>4.7682894587755413</c:v>
                </c:pt>
                <c:pt idx="7">
                  <c:v>19.349044646427675</c:v>
                </c:pt>
                <c:pt idx="8">
                  <c:v>23.06003576297293</c:v>
                </c:pt>
                <c:pt idx="9">
                  <c:v>25.603353854288628</c:v>
                </c:pt>
                <c:pt idx="10">
                  <c:v>47.196974318306594</c:v>
                </c:pt>
                <c:pt idx="11">
                  <c:v>55.491032700104455</c:v>
                </c:pt>
              </c:numCache>
            </c:numRef>
          </c:val>
          <c:extLst xmlns:c16r2="http://schemas.microsoft.com/office/drawing/2015/06/chart">
            <c:ext xmlns:c16="http://schemas.microsoft.com/office/drawing/2014/chart" uri="{C3380CC4-5D6E-409C-BE32-E72D297353CC}">
              <c16:uniqueId val="{00000000-97C0-4D7E-9D9E-06833F88AA3D}"/>
            </c:ext>
          </c:extLst>
        </c:ser>
        <c:ser>
          <c:idx val="1"/>
          <c:order val="1"/>
          <c:tx>
            <c:strRef>
              <c:f>Infraštruktúra!$H$34</c:f>
              <c:strCache>
                <c:ptCount val="1"/>
                <c:pt idx="0">
                  <c:v>V obci aj osídlení</c:v>
                </c:pt>
              </c:strCache>
            </c:strRef>
          </c:tx>
          <c:spPr>
            <a:solidFill>
              <a:schemeClr val="bg1">
                <a:lumMod val="75000"/>
              </a:schemeClr>
            </a:solidFill>
            <a:ln>
              <a:noFill/>
            </a:ln>
            <a:effectLst/>
          </c:spPr>
          <c:invertIfNegative val="0"/>
          <c:cat>
            <c:multiLvlStrRef>
              <c:f>Infraštruktúra!$E$35:$F$46</c:f>
              <c:multiLvlStrCache>
                <c:ptCount val="12"/>
                <c:lvl>
                  <c:pt idx="0">
                    <c:v>V obci</c:v>
                  </c:pt>
                  <c:pt idx="1">
                    <c:v>Na okraji</c:v>
                  </c:pt>
                  <c:pt idx="2">
                    <c:v>Mimo obce</c:v>
                  </c:pt>
                  <c:pt idx="3">
                    <c:v>V obci</c:v>
                  </c:pt>
                  <c:pt idx="4">
                    <c:v>Na okraji</c:v>
                  </c:pt>
                  <c:pt idx="5">
                    <c:v>Mimo obce</c:v>
                  </c:pt>
                  <c:pt idx="6">
                    <c:v>V obci</c:v>
                  </c:pt>
                  <c:pt idx="7">
                    <c:v>Na okraji</c:v>
                  </c:pt>
                  <c:pt idx="8">
                    <c:v>Mimo obce</c:v>
                  </c:pt>
                  <c:pt idx="9">
                    <c:v>V obci</c:v>
                  </c:pt>
                  <c:pt idx="10">
                    <c:v>Na okraji</c:v>
                  </c:pt>
                  <c:pt idx="11">
                    <c:v>Mimo obce</c:v>
                  </c:pt>
                </c:lvl>
                <c:lvl>
                  <c:pt idx="0">
                    <c:v>Elektrina</c:v>
                  </c:pt>
                  <c:pt idx="3">
                    <c:v>Voda</c:v>
                  </c:pt>
                  <c:pt idx="6">
                    <c:v>Kanalizácia</c:v>
                  </c:pt>
                  <c:pt idx="9">
                    <c:v>Plyn</c:v>
                  </c:pt>
                </c:lvl>
              </c:multiLvlStrCache>
            </c:multiLvlStrRef>
          </c:cat>
          <c:val>
            <c:numRef>
              <c:f>Infraštruktúra!$H$35:$H$46</c:f>
              <c:numCache>
                <c:formatCode>General</c:formatCode>
                <c:ptCount val="12"/>
                <c:pt idx="0">
                  <c:v>0</c:v>
                </c:pt>
                <c:pt idx="1">
                  <c:v>0</c:v>
                </c:pt>
                <c:pt idx="2">
                  <c:v>0</c:v>
                </c:pt>
                <c:pt idx="3">
                  <c:v>3.7164331306416889</c:v>
                </c:pt>
                <c:pt idx="4">
                  <c:v>8.6669784528626721</c:v>
                </c:pt>
                <c:pt idx="5">
                  <c:v>7.3119345643822031</c:v>
                </c:pt>
                <c:pt idx="6">
                  <c:v>18.831438607092949</c:v>
                </c:pt>
                <c:pt idx="7">
                  <c:v>26.037536346814697</c:v>
                </c:pt>
                <c:pt idx="8">
                  <c:v>27.714533576474338</c:v>
                </c:pt>
                <c:pt idx="9">
                  <c:v>4.0714582467802245</c:v>
                </c:pt>
                <c:pt idx="10">
                  <c:v>11.982756867768764</c:v>
                </c:pt>
                <c:pt idx="11">
                  <c:v>17.045836800453234</c:v>
                </c:pt>
              </c:numCache>
            </c:numRef>
          </c:val>
          <c:extLst xmlns:c16r2="http://schemas.microsoft.com/office/drawing/2015/06/chart">
            <c:ext xmlns:c16="http://schemas.microsoft.com/office/drawing/2014/chart" uri="{C3380CC4-5D6E-409C-BE32-E72D297353CC}">
              <c16:uniqueId val="{00000001-97C0-4D7E-9D9E-06833F88AA3D}"/>
            </c:ext>
          </c:extLst>
        </c:ser>
        <c:dLbls>
          <c:showLegendKey val="0"/>
          <c:showVal val="0"/>
          <c:showCatName val="0"/>
          <c:showSerName val="0"/>
          <c:showPercent val="0"/>
          <c:showBubbleSize val="0"/>
        </c:dLbls>
        <c:gapWidth val="150"/>
        <c:overlap val="100"/>
        <c:axId val="225221304"/>
        <c:axId val="225221696"/>
      </c:barChart>
      <c:catAx>
        <c:axId val="225221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5221696"/>
        <c:crosses val="autoZero"/>
        <c:auto val="1"/>
        <c:lblAlgn val="ctr"/>
        <c:lblOffset val="100"/>
        <c:noMultiLvlLbl val="0"/>
      </c:catAx>
      <c:valAx>
        <c:axId val="225221696"/>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5221304"/>
        <c:crosses val="autoZero"/>
        <c:crossBetween val="between"/>
      </c:valAx>
      <c:spPr>
        <a:noFill/>
        <a:ln>
          <a:noFill/>
        </a:ln>
        <a:effectLst/>
      </c:spPr>
    </c:plotArea>
    <c:legend>
      <c:legendPos val="t"/>
      <c:layout>
        <c:manualLayout>
          <c:xMode val="edge"/>
          <c:yMode val="edge"/>
          <c:x val="0.13928346456692914"/>
          <c:y val="5.7388800537918332E-2"/>
          <c:w val="0.72822539370078743"/>
          <c:h val="7.1862009634874352E-2"/>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'Atlas voda'!$A$22</c:f>
              <c:strCache>
                <c:ptCount val="1"/>
                <c:pt idx="0">
                  <c:v>Verejný vodovod</c:v>
                </c:pt>
              </c:strCache>
            </c:strRef>
          </c:tx>
          <c:spPr>
            <a:solidFill>
              <a:schemeClr val="accent1"/>
            </a:solidFill>
            <a:ln>
              <a:noFill/>
            </a:ln>
            <a:effectLst/>
          </c:spPr>
          <c:invertIfNegative val="0"/>
          <c:cat>
            <c:strRef>
              <c:f>'Atlas voda'!$B$21:$E$21</c:f>
              <c:strCache>
                <c:ptCount val="4"/>
                <c:pt idx="0">
                  <c:v>Vo vnútri obce</c:v>
                </c:pt>
                <c:pt idx="1">
                  <c:v>Na okraji obce</c:v>
                </c:pt>
                <c:pt idx="2">
                  <c:v>Mimo obce</c:v>
                </c:pt>
                <c:pt idx="3">
                  <c:v>Celkom</c:v>
                </c:pt>
              </c:strCache>
            </c:strRef>
          </c:cat>
          <c:val>
            <c:numRef>
              <c:f>'Atlas voda'!$B$22:$E$22</c:f>
              <c:numCache>
                <c:formatCode>0.0</c:formatCode>
                <c:ptCount val="4"/>
                <c:pt idx="0">
                  <c:v>72.932944606413997</c:v>
                </c:pt>
                <c:pt idx="1">
                  <c:v>59.299389002036662</c:v>
                </c:pt>
                <c:pt idx="2">
                  <c:v>47.204188481675395</c:v>
                </c:pt>
                <c:pt idx="3">
                  <c:v>61.607804878048782</c:v>
                </c:pt>
              </c:numCache>
            </c:numRef>
          </c:val>
          <c:extLst xmlns:c16r2="http://schemas.microsoft.com/office/drawing/2015/06/chart">
            <c:ext xmlns:c16="http://schemas.microsoft.com/office/drawing/2014/chart" uri="{C3380CC4-5D6E-409C-BE32-E72D297353CC}">
              <c16:uniqueId val="{00000000-2AE3-490D-ADCA-FCBAC0D3DB47}"/>
            </c:ext>
          </c:extLst>
        </c:ser>
        <c:ser>
          <c:idx val="1"/>
          <c:order val="1"/>
          <c:tx>
            <c:strRef>
              <c:f>'Atlas voda'!$A$23</c:f>
              <c:strCache>
                <c:ptCount val="1"/>
                <c:pt idx="0">
                  <c:v>Vlastná studňa</c:v>
                </c:pt>
              </c:strCache>
            </c:strRef>
          </c:tx>
          <c:spPr>
            <a:solidFill>
              <a:schemeClr val="accent3"/>
            </a:solidFill>
            <a:ln>
              <a:noFill/>
            </a:ln>
            <a:effectLst/>
          </c:spPr>
          <c:invertIfNegative val="0"/>
          <c:cat>
            <c:strRef>
              <c:f>'Atlas voda'!$B$21:$E$21</c:f>
              <c:strCache>
                <c:ptCount val="4"/>
                <c:pt idx="0">
                  <c:v>Vo vnútri obce</c:v>
                </c:pt>
                <c:pt idx="1">
                  <c:v>Na okraji obce</c:v>
                </c:pt>
                <c:pt idx="2">
                  <c:v>Mimo obce</c:v>
                </c:pt>
                <c:pt idx="3">
                  <c:v>Celkom</c:v>
                </c:pt>
              </c:strCache>
            </c:strRef>
          </c:cat>
          <c:val>
            <c:numRef>
              <c:f>'Atlas voda'!$B$23:$E$23</c:f>
              <c:numCache>
                <c:formatCode>0.0</c:formatCode>
                <c:ptCount val="4"/>
                <c:pt idx="0">
                  <c:v>17.402332361516034</c:v>
                </c:pt>
                <c:pt idx="1">
                  <c:v>21.028513238289207</c:v>
                </c:pt>
                <c:pt idx="2">
                  <c:v>24.6282722513089</c:v>
                </c:pt>
                <c:pt idx="3">
                  <c:v>20.485853658536584</c:v>
                </c:pt>
              </c:numCache>
            </c:numRef>
          </c:val>
          <c:extLst xmlns:c16r2="http://schemas.microsoft.com/office/drawing/2015/06/chart">
            <c:ext xmlns:c16="http://schemas.microsoft.com/office/drawing/2014/chart" uri="{C3380CC4-5D6E-409C-BE32-E72D297353CC}">
              <c16:uniqueId val="{00000001-2AE3-490D-ADCA-FCBAC0D3DB47}"/>
            </c:ext>
          </c:extLst>
        </c:ser>
        <c:ser>
          <c:idx val="2"/>
          <c:order val="2"/>
          <c:tx>
            <c:strRef>
              <c:f>'Atlas voda'!$A$24</c:f>
              <c:strCache>
                <c:ptCount val="1"/>
                <c:pt idx="0">
                  <c:v>Bez vlastného prístupu</c:v>
                </c:pt>
              </c:strCache>
            </c:strRef>
          </c:tx>
          <c:spPr>
            <a:solidFill>
              <a:schemeClr val="accent5"/>
            </a:solidFill>
            <a:ln>
              <a:noFill/>
            </a:ln>
            <a:effectLst/>
          </c:spPr>
          <c:invertIfNegative val="0"/>
          <c:cat>
            <c:strRef>
              <c:f>'Atlas voda'!$B$21:$E$21</c:f>
              <c:strCache>
                <c:ptCount val="4"/>
                <c:pt idx="0">
                  <c:v>Vo vnútri obce</c:v>
                </c:pt>
                <c:pt idx="1">
                  <c:v>Na okraji obce</c:v>
                </c:pt>
                <c:pt idx="2">
                  <c:v>Mimo obce</c:v>
                </c:pt>
                <c:pt idx="3">
                  <c:v>Celkom</c:v>
                </c:pt>
              </c:strCache>
            </c:strRef>
          </c:cat>
          <c:val>
            <c:numRef>
              <c:f>'Atlas voda'!$B$24:$E$24</c:f>
              <c:numCache>
                <c:formatCode>0.0</c:formatCode>
                <c:ptCount val="4"/>
                <c:pt idx="0">
                  <c:v>9.6647230320699702</c:v>
                </c:pt>
                <c:pt idx="1">
                  <c:v>19.672097759674134</c:v>
                </c:pt>
                <c:pt idx="2">
                  <c:v>28.010471204188484</c:v>
                </c:pt>
                <c:pt idx="3">
                  <c:v>17.877073170731705</c:v>
                </c:pt>
              </c:numCache>
            </c:numRef>
          </c:val>
          <c:extLst xmlns:c16r2="http://schemas.microsoft.com/office/drawing/2015/06/chart">
            <c:ext xmlns:c16="http://schemas.microsoft.com/office/drawing/2014/chart" uri="{C3380CC4-5D6E-409C-BE32-E72D297353CC}">
              <c16:uniqueId val="{00000002-2AE3-490D-ADCA-FCBAC0D3DB47}"/>
            </c:ext>
          </c:extLst>
        </c:ser>
        <c:dLbls>
          <c:showLegendKey val="0"/>
          <c:showVal val="0"/>
          <c:showCatName val="0"/>
          <c:showSerName val="0"/>
          <c:showPercent val="0"/>
          <c:showBubbleSize val="0"/>
        </c:dLbls>
        <c:gapWidth val="219"/>
        <c:overlap val="-27"/>
        <c:axId val="225222480"/>
        <c:axId val="225222872"/>
      </c:barChart>
      <c:catAx>
        <c:axId val="22522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5222872"/>
        <c:crosses val="autoZero"/>
        <c:auto val="1"/>
        <c:lblAlgn val="ctr"/>
        <c:lblOffset val="100"/>
        <c:noMultiLvlLbl val="0"/>
      </c:catAx>
      <c:valAx>
        <c:axId val="225222872"/>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5222480"/>
        <c:crosses val="autoZero"/>
        <c:crossBetween val="between"/>
      </c:valAx>
      <c:spPr>
        <a:noFill/>
        <a:ln>
          <a:noFill/>
        </a:ln>
        <a:effectLst/>
      </c:spPr>
    </c:plotArea>
    <c:legend>
      <c:legendPos val="t"/>
      <c:layout>
        <c:manualLayout>
          <c:xMode val="edge"/>
          <c:yMode val="edge"/>
          <c:x val="0.29731761430373688"/>
          <c:y val="9.4157591129881243E-2"/>
          <c:w val="0.52416272563217503"/>
          <c:h val="8.3628920227148268E-2"/>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948483916987854E-2"/>
          <c:y val="5.0925925925925923E-2"/>
          <c:w val="0.90803149606299216"/>
          <c:h val="0.72156459609215506"/>
        </c:manualLayout>
      </c:layout>
      <c:barChart>
        <c:barDir val="col"/>
        <c:grouping val="stacked"/>
        <c:varyColors val="0"/>
        <c:ser>
          <c:idx val="0"/>
          <c:order val="0"/>
          <c:tx>
            <c:strRef>
              <c:f>'Eurostat pop by tenure status'!$R$17</c:f>
              <c:strCache>
                <c:ptCount val="1"/>
                <c:pt idx="0">
                  <c:v>Regulovaný nájom</c:v>
                </c:pt>
              </c:strCache>
            </c:strRef>
          </c:tx>
          <c:spPr>
            <a:solidFill>
              <a:schemeClr val="accent1"/>
            </a:solidFill>
            <a:ln>
              <a:noFill/>
            </a:ln>
            <a:effectLst/>
          </c:spPr>
          <c:invertIfNegative val="0"/>
          <c:cat>
            <c:strRef>
              <c:f>'Eurostat pop by tenure status'!$Q$18:$Q$45</c:f>
              <c:strCache>
                <c:ptCount val="28"/>
                <c:pt idx="0">
                  <c:v>Nemecko</c:v>
                </c:pt>
                <c:pt idx="1">
                  <c:v>Rakúsko</c:v>
                </c:pt>
                <c:pt idx="2">
                  <c:v>Dánsko</c:v>
                </c:pt>
                <c:pt idx="3">
                  <c:v>Švédsko</c:v>
                </c:pt>
                <c:pt idx="4">
                  <c:v>Francúzsko</c:v>
                </c:pt>
                <c:pt idx="5">
                  <c:v>Spojené Kráľ.</c:v>
                </c:pt>
                <c:pt idx="6">
                  <c:v>Holandsko</c:v>
                </c:pt>
                <c:pt idx="7">
                  <c:v>Cyprus</c:v>
                </c:pt>
                <c:pt idx="8">
                  <c:v>Írsko</c:v>
                </c:pt>
                <c:pt idx="9">
                  <c:v>Luxembursko</c:v>
                </c:pt>
                <c:pt idx="10">
                  <c:v>Fínsko</c:v>
                </c:pt>
                <c:pt idx="11">
                  <c:v>Taliansko</c:v>
                </c:pt>
                <c:pt idx="12">
                  <c:v>Belgicko</c:v>
                </c:pt>
                <c:pt idx="13">
                  <c:v>Grécko</c:v>
                </c:pt>
                <c:pt idx="14">
                  <c:v>Portugalsko</c:v>
                </c:pt>
                <c:pt idx="15">
                  <c:v>Slovinsko</c:v>
                </c:pt>
                <c:pt idx="16">
                  <c:v>Španielsko</c:v>
                </c:pt>
                <c:pt idx="17">
                  <c:v>Česká R.</c:v>
                </c:pt>
                <c:pt idx="18">
                  <c:v>Lotyšsko</c:v>
                </c:pt>
                <c:pt idx="19">
                  <c:v>Malta</c:v>
                </c:pt>
                <c:pt idx="20">
                  <c:v>Estónsko</c:v>
                </c:pt>
                <c:pt idx="21">
                  <c:v>Bulharsko</c:v>
                </c:pt>
                <c:pt idx="22">
                  <c:v>Poľsko</c:v>
                </c:pt>
                <c:pt idx="23">
                  <c:v>Maďarsko</c:v>
                </c:pt>
                <c:pt idx="24">
                  <c:v>Litva</c:v>
                </c:pt>
                <c:pt idx="25">
                  <c:v>Chorvátsko</c:v>
                </c:pt>
                <c:pt idx="26">
                  <c:v>Slovensko</c:v>
                </c:pt>
                <c:pt idx="27">
                  <c:v>Rumunsko</c:v>
                </c:pt>
              </c:strCache>
            </c:strRef>
          </c:cat>
          <c:val>
            <c:numRef>
              <c:f>'Eurostat pop by tenure status'!$R$18:$R$45</c:f>
              <c:numCache>
                <c:formatCode>General</c:formatCode>
                <c:ptCount val="28"/>
                <c:pt idx="0">
                  <c:v>7.7</c:v>
                </c:pt>
                <c:pt idx="1">
                  <c:v>14.9</c:v>
                </c:pt>
                <c:pt idx="2">
                  <c:v>0.1</c:v>
                </c:pt>
                <c:pt idx="3">
                  <c:v>0.9</c:v>
                </c:pt>
                <c:pt idx="4">
                  <c:v>16.3</c:v>
                </c:pt>
                <c:pt idx="5">
                  <c:v>5.0999999999999996</c:v>
                </c:pt>
                <c:pt idx="6">
                  <c:v>1</c:v>
                </c:pt>
                <c:pt idx="7">
                  <c:v>14.9</c:v>
                </c:pt>
                <c:pt idx="8">
                  <c:v>17.7</c:v>
                </c:pt>
                <c:pt idx="9">
                  <c:v>5.4</c:v>
                </c:pt>
                <c:pt idx="10">
                  <c:v>14.8</c:v>
                </c:pt>
                <c:pt idx="11">
                  <c:v>8.8000000000000007</c:v>
                </c:pt>
                <c:pt idx="12">
                  <c:v>8.3000000000000007</c:v>
                </c:pt>
                <c:pt idx="13">
                  <c:v>5.2</c:v>
                </c:pt>
                <c:pt idx="14">
                  <c:v>12.9</c:v>
                </c:pt>
                <c:pt idx="15">
                  <c:v>18.899999999999999</c:v>
                </c:pt>
                <c:pt idx="16">
                  <c:v>8.4</c:v>
                </c:pt>
                <c:pt idx="17">
                  <c:v>5.6</c:v>
                </c:pt>
                <c:pt idx="18">
                  <c:v>10.9</c:v>
                </c:pt>
                <c:pt idx="19">
                  <c:v>11.6</c:v>
                </c:pt>
                <c:pt idx="20">
                  <c:v>13.5</c:v>
                </c:pt>
                <c:pt idx="21">
                  <c:v>13.5</c:v>
                </c:pt>
                <c:pt idx="22">
                  <c:v>11.7</c:v>
                </c:pt>
                <c:pt idx="23">
                  <c:v>9.1</c:v>
                </c:pt>
                <c:pt idx="24">
                  <c:v>8.9</c:v>
                </c:pt>
                <c:pt idx="25">
                  <c:v>8.6</c:v>
                </c:pt>
                <c:pt idx="26">
                  <c:v>1.2</c:v>
                </c:pt>
                <c:pt idx="27">
                  <c:v>2.4</c:v>
                </c:pt>
              </c:numCache>
            </c:numRef>
          </c:val>
          <c:extLst xmlns:c16r2="http://schemas.microsoft.com/office/drawing/2015/06/chart">
            <c:ext xmlns:c16="http://schemas.microsoft.com/office/drawing/2014/chart" uri="{C3380CC4-5D6E-409C-BE32-E72D297353CC}">
              <c16:uniqueId val="{00000000-73E2-4164-BB0C-053B05BBE862}"/>
            </c:ext>
          </c:extLst>
        </c:ser>
        <c:ser>
          <c:idx val="1"/>
          <c:order val="1"/>
          <c:tx>
            <c:strRef>
              <c:f>'Eurostat pop by tenure status'!$S$17</c:f>
              <c:strCache>
                <c:ptCount val="1"/>
                <c:pt idx="0">
                  <c:v>Trhový nájom</c:v>
                </c:pt>
              </c:strCache>
            </c:strRef>
          </c:tx>
          <c:spPr>
            <a:solidFill>
              <a:schemeClr val="accent3"/>
            </a:solidFill>
            <a:ln>
              <a:noFill/>
            </a:ln>
            <a:effectLst/>
          </c:spPr>
          <c:invertIfNegative val="0"/>
          <c:cat>
            <c:strRef>
              <c:f>'Eurostat pop by tenure status'!$Q$18:$Q$45</c:f>
              <c:strCache>
                <c:ptCount val="28"/>
                <c:pt idx="0">
                  <c:v>Nemecko</c:v>
                </c:pt>
                <c:pt idx="1">
                  <c:v>Rakúsko</c:v>
                </c:pt>
                <c:pt idx="2">
                  <c:v>Dánsko</c:v>
                </c:pt>
                <c:pt idx="3">
                  <c:v>Švédsko</c:v>
                </c:pt>
                <c:pt idx="4">
                  <c:v>Francúzsko</c:v>
                </c:pt>
                <c:pt idx="5">
                  <c:v>Spojené Kráľ.</c:v>
                </c:pt>
                <c:pt idx="6">
                  <c:v>Holandsko</c:v>
                </c:pt>
                <c:pt idx="7">
                  <c:v>Cyprus</c:v>
                </c:pt>
                <c:pt idx="8">
                  <c:v>Írsko</c:v>
                </c:pt>
                <c:pt idx="9">
                  <c:v>Luxembursko</c:v>
                </c:pt>
                <c:pt idx="10">
                  <c:v>Fínsko</c:v>
                </c:pt>
                <c:pt idx="11">
                  <c:v>Taliansko</c:v>
                </c:pt>
                <c:pt idx="12">
                  <c:v>Belgicko</c:v>
                </c:pt>
                <c:pt idx="13">
                  <c:v>Grécko</c:v>
                </c:pt>
                <c:pt idx="14">
                  <c:v>Portugalsko</c:v>
                </c:pt>
                <c:pt idx="15">
                  <c:v>Slovinsko</c:v>
                </c:pt>
                <c:pt idx="16">
                  <c:v>Španielsko</c:v>
                </c:pt>
                <c:pt idx="17">
                  <c:v>Česká R.</c:v>
                </c:pt>
                <c:pt idx="18">
                  <c:v>Lotyšsko</c:v>
                </c:pt>
                <c:pt idx="19">
                  <c:v>Malta</c:v>
                </c:pt>
                <c:pt idx="20">
                  <c:v>Estónsko</c:v>
                </c:pt>
                <c:pt idx="21">
                  <c:v>Bulharsko</c:v>
                </c:pt>
                <c:pt idx="22">
                  <c:v>Poľsko</c:v>
                </c:pt>
                <c:pt idx="23">
                  <c:v>Maďarsko</c:v>
                </c:pt>
                <c:pt idx="24">
                  <c:v>Litva</c:v>
                </c:pt>
                <c:pt idx="25">
                  <c:v>Chorvátsko</c:v>
                </c:pt>
                <c:pt idx="26">
                  <c:v>Slovensko</c:v>
                </c:pt>
                <c:pt idx="27">
                  <c:v>Rumunsko</c:v>
                </c:pt>
              </c:strCache>
            </c:strRef>
          </c:cat>
          <c:val>
            <c:numRef>
              <c:f>'Eurostat pop by tenure status'!$S$18:$S$45</c:f>
              <c:numCache>
                <c:formatCode>General</c:formatCode>
                <c:ptCount val="28"/>
                <c:pt idx="0">
                  <c:v>40.799999999999997</c:v>
                </c:pt>
                <c:pt idx="1">
                  <c:v>29.7</c:v>
                </c:pt>
                <c:pt idx="2">
                  <c:v>39.4</c:v>
                </c:pt>
                <c:pt idx="3">
                  <c:v>35</c:v>
                </c:pt>
                <c:pt idx="4">
                  <c:v>18.600000000000001</c:v>
                </c:pt>
                <c:pt idx="5">
                  <c:v>29.7</c:v>
                </c:pt>
                <c:pt idx="6">
                  <c:v>30.2</c:v>
                </c:pt>
                <c:pt idx="7">
                  <c:v>14.9</c:v>
                </c:pt>
                <c:pt idx="8">
                  <c:v>12</c:v>
                </c:pt>
                <c:pt idx="9">
                  <c:v>23.4</c:v>
                </c:pt>
                <c:pt idx="10">
                  <c:v>13.6</c:v>
                </c:pt>
                <c:pt idx="11">
                  <c:v>18.8</c:v>
                </c:pt>
                <c:pt idx="12">
                  <c:v>19.100000000000001</c:v>
                </c:pt>
                <c:pt idx="13">
                  <c:v>21.3</c:v>
                </c:pt>
                <c:pt idx="14">
                  <c:v>12.6</c:v>
                </c:pt>
                <c:pt idx="15">
                  <c:v>6</c:v>
                </c:pt>
                <c:pt idx="16">
                  <c:v>15.3</c:v>
                </c:pt>
                <c:pt idx="17">
                  <c:v>15.7</c:v>
                </c:pt>
                <c:pt idx="18">
                  <c:v>7.5</c:v>
                </c:pt>
                <c:pt idx="19">
                  <c:v>6.8</c:v>
                </c:pt>
                <c:pt idx="20">
                  <c:v>4.0999999999999996</c:v>
                </c:pt>
                <c:pt idx="21">
                  <c:v>2.9</c:v>
                </c:pt>
                <c:pt idx="22">
                  <c:v>4.3</c:v>
                </c:pt>
                <c:pt idx="23">
                  <c:v>4.9000000000000004</c:v>
                </c:pt>
                <c:pt idx="24">
                  <c:v>1.2</c:v>
                </c:pt>
                <c:pt idx="25">
                  <c:v>1.3</c:v>
                </c:pt>
                <c:pt idx="26">
                  <c:v>7.4</c:v>
                </c:pt>
                <c:pt idx="27">
                  <c:v>1.2</c:v>
                </c:pt>
              </c:numCache>
            </c:numRef>
          </c:val>
          <c:extLst xmlns:c16r2="http://schemas.microsoft.com/office/drawing/2015/06/chart">
            <c:ext xmlns:c16="http://schemas.microsoft.com/office/drawing/2014/chart" uri="{C3380CC4-5D6E-409C-BE32-E72D297353CC}">
              <c16:uniqueId val="{00000001-73E2-4164-BB0C-053B05BBE862}"/>
            </c:ext>
          </c:extLst>
        </c:ser>
        <c:dLbls>
          <c:showLegendKey val="0"/>
          <c:showVal val="0"/>
          <c:showCatName val="0"/>
          <c:showSerName val="0"/>
          <c:showPercent val="0"/>
          <c:showBubbleSize val="0"/>
        </c:dLbls>
        <c:gapWidth val="150"/>
        <c:overlap val="100"/>
        <c:axId val="225223656"/>
        <c:axId val="225224048"/>
      </c:barChart>
      <c:lineChart>
        <c:grouping val="standard"/>
        <c:varyColors val="0"/>
        <c:ser>
          <c:idx val="2"/>
          <c:order val="2"/>
          <c:tx>
            <c:strRef>
              <c:f>'Eurostat pop by tenure status'!$T$17</c:f>
              <c:strCache>
                <c:ptCount val="1"/>
              </c:strCache>
            </c:strRef>
          </c:tx>
          <c:spPr>
            <a:ln w="12700" cap="rnd">
              <a:solidFill>
                <a:schemeClr val="accent1"/>
              </a:solidFill>
              <a:prstDash val="sysDash"/>
              <a:round/>
            </a:ln>
            <a:effectLst/>
          </c:spPr>
          <c:marker>
            <c:symbol val="none"/>
          </c:marker>
          <c:cat>
            <c:strRef>
              <c:f>'Eurostat pop by tenure status'!$Q$18:$Q$45</c:f>
              <c:strCache>
                <c:ptCount val="28"/>
                <c:pt idx="0">
                  <c:v>Nemecko</c:v>
                </c:pt>
                <c:pt idx="1">
                  <c:v>Rakúsko</c:v>
                </c:pt>
                <c:pt idx="2">
                  <c:v>Dánsko</c:v>
                </c:pt>
                <c:pt idx="3">
                  <c:v>Švédsko</c:v>
                </c:pt>
                <c:pt idx="4">
                  <c:v>Francúzsko</c:v>
                </c:pt>
                <c:pt idx="5">
                  <c:v>Spojené Kráľ.</c:v>
                </c:pt>
                <c:pt idx="6">
                  <c:v>Holandsko</c:v>
                </c:pt>
                <c:pt idx="7">
                  <c:v>Cyprus</c:v>
                </c:pt>
                <c:pt idx="8">
                  <c:v>Írsko</c:v>
                </c:pt>
                <c:pt idx="9">
                  <c:v>Luxembursko</c:v>
                </c:pt>
                <c:pt idx="10">
                  <c:v>Fínsko</c:v>
                </c:pt>
                <c:pt idx="11">
                  <c:v>Taliansko</c:v>
                </c:pt>
                <c:pt idx="12">
                  <c:v>Belgicko</c:v>
                </c:pt>
                <c:pt idx="13">
                  <c:v>Grécko</c:v>
                </c:pt>
                <c:pt idx="14">
                  <c:v>Portugalsko</c:v>
                </c:pt>
                <c:pt idx="15">
                  <c:v>Slovinsko</c:v>
                </c:pt>
                <c:pt idx="16">
                  <c:v>Španielsko</c:v>
                </c:pt>
                <c:pt idx="17">
                  <c:v>Česká R.</c:v>
                </c:pt>
                <c:pt idx="18">
                  <c:v>Lotyšsko</c:v>
                </c:pt>
                <c:pt idx="19">
                  <c:v>Malta</c:v>
                </c:pt>
                <c:pt idx="20">
                  <c:v>Estónsko</c:v>
                </c:pt>
                <c:pt idx="21">
                  <c:v>Bulharsko</c:v>
                </c:pt>
                <c:pt idx="22">
                  <c:v>Poľsko</c:v>
                </c:pt>
                <c:pt idx="23">
                  <c:v>Maďarsko</c:v>
                </c:pt>
                <c:pt idx="24">
                  <c:v>Litva</c:v>
                </c:pt>
                <c:pt idx="25">
                  <c:v>Chorvátsko</c:v>
                </c:pt>
                <c:pt idx="26">
                  <c:v>Slovensko</c:v>
                </c:pt>
                <c:pt idx="27">
                  <c:v>Rumunsko</c:v>
                </c:pt>
              </c:strCache>
            </c:strRef>
          </c:cat>
          <c:val>
            <c:numRef>
              <c:f>'Eurostat pop by tenure status'!$T$18:$T$45</c:f>
              <c:numCache>
                <c:formatCode>General</c:formatCode>
                <c:ptCount val="28"/>
                <c:pt idx="0">
                  <c:v>8.5000000000000018</c:v>
                </c:pt>
                <c:pt idx="1">
                  <c:v>8.5000000000000018</c:v>
                </c:pt>
                <c:pt idx="2">
                  <c:v>8.5000000000000018</c:v>
                </c:pt>
                <c:pt idx="3">
                  <c:v>8.5000000000000018</c:v>
                </c:pt>
                <c:pt idx="4">
                  <c:v>8.5000000000000018</c:v>
                </c:pt>
                <c:pt idx="5">
                  <c:v>8.5000000000000018</c:v>
                </c:pt>
                <c:pt idx="6">
                  <c:v>8.5000000000000018</c:v>
                </c:pt>
                <c:pt idx="7">
                  <c:v>8.5000000000000018</c:v>
                </c:pt>
                <c:pt idx="8">
                  <c:v>8.5000000000000018</c:v>
                </c:pt>
                <c:pt idx="9">
                  <c:v>8.5000000000000018</c:v>
                </c:pt>
                <c:pt idx="10">
                  <c:v>8.5000000000000018</c:v>
                </c:pt>
                <c:pt idx="11">
                  <c:v>8.5000000000000018</c:v>
                </c:pt>
                <c:pt idx="12">
                  <c:v>8.5000000000000018</c:v>
                </c:pt>
                <c:pt idx="13">
                  <c:v>8.5000000000000018</c:v>
                </c:pt>
                <c:pt idx="14">
                  <c:v>8.5000000000000018</c:v>
                </c:pt>
                <c:pt idx="15">
                  <c:v>8.5000000000000018</c:v>
                </c:pt>
                <c:pt idx="16">
                  <c:v>8.5000000000000018</c:v>
                </c:pt>
                <c:pt idx="17">
                  <c:v>8.5000000000000018</c:v>
                </c:pt>
                <c:pt idx="18">
                  <c:v>8.5000000000000018</c:v>
                </c:pt>
                <c:pt idx="19">
                  <c:v>8.5000000000000018</c:v>
                </c:pt>
                <c:pt idx="20">
                  <c:v>8.5000000000000018</c:v>
                </c:pt>
                <c:pt idx="21">
                  <c:v>8.5000000000000018</c:v>
                </c:pt>
                <c:pt idx="22">
                  <c:v>8.5000000000000018</c:v>
                </c:pt>
                <c:pt idx="23">
                  <c:v>8.5000000000000018</c:v>
                </c:pt>
                <c:pt idx="24">
                  <c:v>8.5000000000000018</c:v>
                </c:pt>
                <c:pt idx="25">
                  <c:v>8.5000000000000018</c:v>
                </c:pt>
                <c:pt idx="26">
                  <c:v>8.5000000000000018</c:v>
                </c:pt>
                <c:pt idx="27">
                  <c:v>8.5000000000000018</c:v>
                </c:pt>
              </c:numCache>
            </c:numRef>
          </c:val>
          <c:smooth val="0"/>
          <c:extLst xmlns:c16r2="http://schemas.microsoft.com/office/drawing/2015/06/chart">
            <c:ext xmlns:c16="http://schemas.microsoft.com/office/drawing/2014/chart" uri="{C3380CC4-5D6E-409C-BE32-E72D297353CC}">
              <c16:uniqueId val="{00000002-73E2-4164-BB0C-053B05BBE862}"/>
            </c:ext>
          </c:extLst>
        </c:ser>
        <c:ser>
          <c:idx val="3"/>
          <c:order val="3"/>
          <c:tx>
            <c:strRef>
              <c:f>'Eurostat pop by tenure status'!$U$17</c:f>
              <c:strCache>
                <c:ptCount val="1"/>
              </c:strCache>
            </c:strRef>
          </c:tx>
          <c:spPr>
            <a:ln w="12700" cap="rnd">
              <a:solidFill>
                <a:schemeClr val="accent3"/>
              </a:solidFill>
              <a:prstDash val="sysDash"/>
              <a:round/>
            </a:ln>
            <a:effectLst/>
          </c:spPr>
          <c:marker>
            <c:symbol val="none"/>
          </c:marker>
          <c:cat>
            <c:strRef>
              <c:f>'Eurostat pop by tenure status'!$Q$18:$Q$45</c:f>
              <c:strCache>
                <c:ptCount val="28"/>
                <c:pt idx="0">
                  <c:v>Nemecko</c:v>
                </c:pt>
                <c:pt idx="1">
                  <c:v>Rakúsko</c:v>
                </c:pt>
                <c:pt idx="2">
                  <c:v>Dánsko</c:v>
                </c:pt>
                <c:pt idx="3">
                  <c:v>Švédsko</c:v>
                </c:pt>
                <c:pt idx="4">
                  <c:v>Francúzsko</c:v>
                </c:pt>
                <c:pt idx="5">
                  <c:v>Spojené Kráľ.</c:v>
                </c:pt>
                <c:pt idx="6">
                  <c:v>Holandsko</c:v>
                </c:pt>
                <c:pt idx="7">
                  <c:v>Cyprus</c:v>
                </c:pt>
                <c:pt idx="8">
                  <c:v>Írsko</c:v>
                </c:pt>
                <c:pt idx="9">
                  <c:v>Luxembursko</c:v>
                </c:pt>
                <c:pt idx="10">
                  <c:v>Fínsko</c:v>
                </c:pt>
                <c:pt idx="11">
                  <c:v>Taliansko</c:v>
                </c:pt>
                <c:pt idx="12">
                  <c:v>Belgicko</c:v>
                </c:pt>
                <c:pt idx="13">
                  <c:v>Grécko</c:v>
                </c:pt>
                <c:pt idx="14">
                  <c:v>Portugalsko</c:v>
                </c:pt>
                <c:pt idx="15">
                  <c:v>Slovinsko</c:v>
                </c:pt>
                <c:pt idx="16">
                  <c:v>Španielsko</c:v>
                </c:pt>
                <c:pt idx="17">
                  <c:v>Česká R.</c:v>
                </c:pt>
                <c:pt idx="18">
                  <c:v>Lotyšsko</c:v>
                </c:pt>
                <c:pt idx="19">
                  <c:v>Malta</c:v>
                </c:pt>
                <c:pt idx="20">
                  <c:v>Estónsko</c:v>
                </c:pt>
                <c:pt idx="21">
                  <c:v>Bulharsko</c:v>
                </c:pt>
                <c:pt idx="22">
                  <c:v>Poľsko</c:v>
                </c:pt>
                <c:pt idx="23">
                  <c:v>Maďarsko</c:v>
                </c:pt>
                <c:pt idx="24">
                  <c:v>Litva</c:v>
                </c:pt>
                <c:pt idx="25">
                  <c:v>Chorvátsko</c:v>
                </c:pt>
                <c:pt idx="26">
                  <c:v>Slovensko</c:v>
                </c:pt>
                <c:pt idx="27">
                  <c:v>Rumunsko</c:v>
                </c:pt>
              </c:strCache>
            </c:strRef>
          </c:cat>
          <c:val>
            <c:numRef>
              <c:f>'Eurostat pop by tenure status'!$U$18:$U$45</c:f>
              <c:numCache>
                <c:formatCode>General</c:formatCode>
                <c:ptCount val="28"/>
                <c:pt idx="0">
                  <c:v>32.466666666666661</c:v>
                </c:pt>
                <c:pt idx="1">
                  <c:v>32.466666666666661</c:v>
                </c:pt>
                <c:pt idx="2">
                  <c:v>32.466666666666661</c:v>
                </c:pt>
                <c:pt idx="3">
                  <c:v>32.466666666666661</c:v>
                </c:pt>
                <c:pt idx="4">
                  <c:v>32.466666666666661</c:v>
                </c:pt>
                <c:pt idx="5">
                  <c:v>32.466666666666661</c:v>
                </c:pt>
                <c:pt idx="6">
                  <c:v>32.466666666666661</c:v>
                </c:pt>
                <c:pt idx="7">
                  <c:v>32.466666666666661</c:v>
                </c:pt>
                <c:pt idx="8">
                  <c:v>32.466666666666661</c:v>
                </c:pt>
                <c:pt idx="9">
                  <c:v>32.466666666666661</c:v>
                </c:pt>
                <c:pt idx="10">
                  <c:v>32.466666666666661</c:v>
                </c:pt>
                <c:pt idx="11">
                  <c:v>32.466666666666661</c:v>
                </c:pt>
                <c:pt idx="12">
                  <c:v>32.466666666666661</c:v>
                </c:pt>
                <c:pt idx="13">
                  <c:v>32.466666666666661</c:v>
                </c:pt>
                <c:pt idx="14">
                  <c:v>32.466666666666661</c:v>
                </c:pt>
                <c:pt idx="15">
                  <c:v>32.466666666666661</c:v>
                </c:pt>
                <c:pt idx="16">
                  <c:v>32.466666666666661</c:v>
                </c:pt>
                <c:pt idx="17">
                  <c:v>32.466666666666661</c:v>
                </c:pt>
                <c:pt idx="18">
                  <c:v>32.466666666666661</c:v>
                </c:pt>
                <c:pt idx="19">
                  <c:v>32.466666666666661</c:v>
                </c:pt>
                <c:pt idx="20">
                  <c:v>32.466666666666661</c:v>
                </c:pt>
                <c:pt idx="21">
                  <c:v>32.466666666666661</c:v>
                </c:pt>
                <c:pt idx="22">
                  <c:v>32.466666666666661</c:v>
                </c:pt>
                <c:pt idx="23">
                  <c:v>32.466666666666661</c:v>
                </c:pt>
                <c:pt idx="24">
                  <c:v>32.466666666666661</c:v>
                </c:pt>
                <c:pt idx="25">
                  <c:v>32.466666666666661</c:v>
                </c:pt>
                <c:pt idx="26">
                  <c:v>32.466666666666661</c:v>
                </c:pt>
                <c:pt idx="27">
                  <c:v>32.466666666666661</c:v>
                </c:pt>
              </c:numCache>
            </c:numRef>
          </c:val>
          <c:smooth val="0"/>
          <c:extLst xmlns:c16r2="http://schemas.microsoft.com/office/drawing/2015/06/chart">
            <c:ext xmlns:c16="http://schemas.microsoft.com/office/drawing/2014/chart" uri="{C3380CC4-5D6E-409C-BE32-E72D297353CC}">
              <c16:uniqueId val="{00000003-73E2-4164-BB0C-053B05BBE862}"/>
            </c:ext>
          </c:extLst>
        </c:ser>
        <c:dLbls>
          <c:showLegendKey val="0"/>
          <c:showVal val="0"/>
          <c:showCatName val="0"/>
          <c:showSerName val="0"/>
          <c:showPercent val="0"/>
          <c:showBubbleSize val="0"/>
        </c:dLbls>
        <c:marker val="1"/>
        <c:smooth val="0"/>
        <c:axId val="225223656"/>
        <c:axId val="225224048"/>
      </c:lineChart>
      <c:catAx>
        <c:axId val="225223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225224048"/>
        <c:crosses val="autoZero"/>
        <c:auto val="1"/>
        <c:lblAlgn val="ctr"/>
        <c:lblOffset val="100"/>
        <c:tickLblSkip val="1"/>
        <c:noMultiLvlLbl val="0"/>
      </c:catAx>
      <c:valAx>
        <c:axId val="225224048"/>
        <c:scaling>
          <c:orientation val="minMax"/>
          <c:max val="50"/>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5223656"/>
        <c:crosses val="autoZero"/>
        <c:crossBetween val="between"/>
      </c:valAx>
      <c:spPr>
        <a:noFill/>
        <a:ln>
          <a:noFill/>
        </a:ln>
        <a:effectLst/>
      </c:spPr>
    </c:plotArea>
    <c:legend>
      <c:legendPos val="b"/>
      <c:layout>
        <c:manualLayout>
          <c:xMode val="edge"/>
          <c:yMode val="edge"/>
          <c:x val="0.10817329802801197"/>
          <c:y val="4.5888378536016329E-2"/>
          <c:w val="0.84182670197198783"/>
          <c:h val="7.448199183435404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userShapes r:id="rId4"/>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00073675001152"/>
          <c:y val="5.0925925925925923E-2"/>
          <c:w val="0.80453727494589489"/>
          <c:h val="0.69385972586759992"/>
        </c:manualLayout>
      </c:layout>
      <c:lineChart>
        <c:grouping val="standard"/>
        <c:varyColors val="0"/>
        <c:ser>
          <c:idx val="0"/>
          <c:order val="0"/>
          <c:tx>
            <c:strRef>
              <c:f>'Dokončené byty'!$A$24</c:f>
              <c:strCache>
                <c:ptCount val="1"/>
                <c:pt idx="0">
                  <c:v>Dokončené byty v obecnom vlastníctve</c:v>
                </c:pt>
              </c:strCache>
            </c:strRef>
          </c:tx>
          <c:spPr>
            <a:ln w="28575" cap="rnd">
              <a:solidFill>
                <a:schemeClr val="accent1"/>
              </a:solidFill>
              <a:round/>
            </a:ln>
            <a:effectLst/>
          </c:spPr>
          <c:marker>
            <c:symbol val="none"/>
          </c:marker>
          <c:cat>
            <c:numRef>
              <c:f>'Dokončené byty'!$E$3:$S$3</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'Dokončené byty'!$E$24:$S$24</c:f>
              <c:numCache>
                <c:formatCode>General</c:formatCode>
                <c:ptCount val="15"/>
                <c:pt idx="0">
                  <c:v>1528</c:v>
                </c:pt>
                <c:pt idx="1">
                  <c:v>2032</c:v>
                </c:pt>
                <c:pt idx="2">
                  <c:v>2143</c:v>
                </c:pt>
                <c:pt idx="3">
                  <c:v>3149</c:v>
                </c:pt>
                <c:pt idx="4">
                  <c:v>2631</c:v>
                </c:pt>
                <c:pt idx="5">
                  <c:v>2305</c:v>
                </c:pt>
                <c:pt idx="6">
                  <c:v>2481</c:v>
                </c:pt>
                <c:pt idx="7">
                  <c:v>1544</c:v>
                </c:pt>
                <c:pt idx="8">
                  <c:v>1544</c:v>
                </c:pt>
                <c:pt idx="9">
                  <c:v>1064</c:v>
                </c:pt>
                <c:pt idx="10">
                  <c:v>680</c:v>
                </c:pt>
                <c:pt idx="11">
                  <c:v>339</c:v>
                </c:pt>
                <c:pt idx="12">
                  <c:v>336</c:v>
                </c:pt>
                <c:pt idx="13">
                  <c:v>226</c:v>
                </c:pt>
                <c:pt idx="14">
                  <c:v>195</c:v>
                </c:pt>
              </c:numCache>
            </c:numRef>
          </c:val>
          <c:smooth val="0"/>
          <c:extLst xmlns:c16r2="http://schemas.microsoft.com/office/drawing/2015/06/chart">
            <c:ext xmlns:c16="http://schemas.microsoft.com/office/drawing/2014/chart" uri="{C3380CC4-5D6E-409C-BE32-E72D297353CC}">
              <c16:uniqueId val="{00000000-7520-498C-9232-F986CE13E0FF}"/>
            </c:ext>
          </c:extLst>
        </c:ser>
        <c:ser>
          <c:idx val="1"/>
          <c:order val="1"/>
          <c:tx>
            <c:strRef>
              <c:f>'Dokončené byty'!$A$25</c:f>
              <c:strCache>
                <c:ptCount val="1"/>
                <c:pt idx="0">
                  <c:v>Byty v verejnom nájom. sektore podporené zo ŠR</c:v>
                </c:pt>
              </c:strCache>
            </c:strRef>
          </c:tx>
          <c:spPr>
            <a:ln w="28575" cap="rnd">
              <a:solidFill>
                <a:schemeClr val="accent1">
                  <a:lumMod val="50000"/>
                </a:schemeClr>
              </a:solidFill>
              <a:round/>
            </a:ln>
            <a:effectLst/>
          </c:spPr>
          <c:marker>
            <c:symbol val="none"/>
          </c:marker>
          <c:cat>
            <c:numRef>
              <c:f>'Dokončené byty'!$E$3:$S$3</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'Dokončené byty'!$E$25:$S$25</c:f>
              <c:numCache>
                <c:formatCode>General</c:formatCode>
                <c:ptCount val="15"/>
                <c:pt idx="0">
                  <c:v>2528</c:v>
                </c:pt>
                <c:pt idx="1">
                  <c:v>2678</c:v>
                </c:pt>
                <c:pt idx="2">
                  <c:v>3569</c:v>
                </c:pt>
                <c:pt idx="3">
                  <c:v>2777</c:v>
                </c:pt>
                <c:pt idx="4">
                  <c:v>3409</c:v>
                </c:pt>
                <c:pt idx="5">
                  <c:v>2653</c:v>
                </c:pt>
                <c:pt idx="6">
                  <c:v>2344</c:v>
                </c:pt>
                <c:pt idx="7">
                  <c:v>1589</c:v>
                </c:pt>
                <c:pt idx="8">
                  <c:v>1288</c:v>
                </c:pt>
                <c:pt idx="9">
                  <c:v>1399</c:v>
                </c:pt>
                <c:pt idx="10">
                  <c:v>2007</c:v>
                </c:pt>
                <c:pt idx="11">
                  <c:v>1900</c:v>
                </c:pt>
                <c:pt idx="12">
                  <c:v>1350</c:v>
                </c:pt>
                <c:pt idx="13">
                  <c:v>1524</c:v>
                </c:pt>
                <c:pt idx="14">
                  <c:v>1385</c:v>
                </c:pt>
              </c:numCache>
            </c:numRef>
          </c:val>
          <c:smooth val="0"/>
          <c:extLst xmlns:c16r2="http://schemas.microsoft.com/office/drawing/2015/06/chart">
            <c:ext xmlns:c16="http://schemas.microsoft.com/office/drawing/2014/chart" uri="{C3380CC4-5D6E-409C-BE32-E72D297353CC}">
              <c16:uniqueId val="{00000001-7520-498C-9232-F986CE13E0FF}"/>
            </c:ext>
          </c:extLst>
        </c:ser>
        <c:dLbls>
          <c:showLegendKey val="0"/>
          <c:showVal val="0"/>
          <c:showCatName val="0"/>
          <c:showSerName val="0"/>
          <c:showPercent val="0"/>
          <c:showBubbleSize val="0"/>
        </c:dLbls>
        <c:smooth val="0"/>
        <c:axId val="225224832"/>
        <c:axId val="225225224"/>
      </c:lineChart>
      <c:catAx>
        <c:axId val="22522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5225224"/>
        <c:crosses val="autoZero"/>
        <c:auto val="1"/>
        <c:lblAlgn val="ctr"/>
        <c:lblOffset val="100"/>
        <c:noMultiLvlLbl val="0"/>
      </c:catAx>
      <c:valAx>
        <c:axId val="225225224"/>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5224832"/>
        <c:crosses val="autoZero"/>
        <c:crossBetween val="between"/>
      </c:valAx>
      <c:spPr>
        <a:noFill/>
        <a:ln>
          <a:noFill/>
        </a:ln>
        <a:effectLst/>
      </c:spPr>
    </c:plotArea>
    <c:legend>
      <c:legendPos val="b"/>
      <c:layout>
        <c:manualLayout>
          <c:xMode val="edge"/>
          <c:yMode val="edge"/>
          <c:x val="1.2430446194225722E-2"/>
          <c:y val="0.88112860892388456"/>
          <c:w val="0.97513873923654282"/>
          <c:h val="0.1096121318168562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842005860378564E-2"/>
          <c:y val="5.2757793764988008E-2"/>
          <c:w val="0.92290755322251383"/>
          <c:h val="0.62763345229328349"/>
        </c:manualLayout>
      </c:layout>
      <c:barChart>
        <c:barDir val="col"/>
        <c:grouping val="stacked"/>
        <c:varyColors val="0"/>
        <c:ser>
          <c:idx val="0"/>
          <c:order val="0"/>
          <c:tx>
            <c:strRef>
              <c:f>PO_5!$C$35</c:f>
              <c:strCache>
                <c:ptCount val="1"/>
                <c:pt idx="0">
                  <c:v>Čerpanie</c:v>
                </c:pt>
              </c:strCache>
            </c:strRef>
          </c:tx>
          <c:spPr>
            <a:solidFill>
              <a:schemeClr val="accent1">
                <a:lumMod val="75000"/>
              </a:schemeClr>
            </a:solidFill>
            <a:ln>
              <a:noFill/>
            </a:ln>
            <a:effectLst/>
          </c:spPr>
          <c:invertIfNegative val="0"/>
          <c:cat>
            <c:strRef>
              <c:f>PO_5!$B$36:$B$43</c:f>
              <c:strCache>
                <c:ptCount val="8"/>
                <c:pt idx="0">
                  <c:v>Terénna soc. Práca</c:v>
                </c:pt>
                <c:pt idx="1">
                  <c:v>Komunitné centrá</c:v>
                </c:pt>
                <c:pt idx="2">
                  <c:v>Vysporiadanie pozemkov</c:v>
                </c:pt>
                <c:pt idx="3">
                  <c:v>Monitorovanie/ hodnotenie politík</c:v>
                </c:pt>
                <c:pt idx="4">
                  <c:v>Zdravé komunity</c:v>
                </c:pt>
                <c:pt idx="5">
                  <c:v>Podpora predprimárneho vzdelávania</c:v>
                </c:pt>
                <c:pt idx="6">
                  <c:v>MOPS</c:v>
                </c:pt>
                <c:pt idx="7">
                  <c:v>Mentorská a tútorská podpora pre žiakov</c:v>
                </c:pt>
              </c:strCache>
            </c:strRef>
          </c:cat>
          <c:val>
            <c:numRef>
              <c:f>PO_5!$C$36:$C$43</c:f>
              <c:numCache>
                <c:formatCode>_-* #\ ##0\ _€_-;\-* #\ ##0\ _€_-;_-* "-"??\ _€_-;_-@_-</c:formatCode>
                <c:ptCount val="8"/>
                <c:pt idx="0">
                  <c:v>6247359.8941176496</c:v>
                </c:pt>
                <c:pt idx="1">
                  <c:v>1874800.3176470583</c:v>
                </c:pt>
                <c:pt idx="2">
                  <c:v>136770.4</c:v>
                </c:pt>
                <c:pt idx="3">
                  <c:v>178634.27058823532</c:v>
                </c:pt>
                <c:pt idx="4">
                  <c:v>4111123.8117647064</c:v>
                </c:pt>
                <c:pt idx="5">
                  <c:v>143202.15294117646</c:v>
                </c:pt>
                <c:pt idx="6">
                  <c:v>5304344.0235293601</c:v>
                </c:pt>
                <c:pt idx="7">
                  <c:v>0</c:v>
                </c:pt>
              </c:numCache>
            </c:numRef>
          </c:val>
          <c:extLst xmlns:c16r2="http://schemas.microsoft.com/office/drawing/2015/06/chart">
            <c:ext xmlns:c16="http://schemas.microsoft.com/office/drawing/2014/chart" uri="{C3380CC4-5D6E-409C-BE32-E72D297353CC}">
              <c16:uniqueId val="{00000000-BD38-4C06-90E1-1E357929457B}"/>
            </c:ext>
          </c:extLst>
        </c:ser>
        <c:ser>
          <c:idx val="1"/>
          <c:order val="1"/>
          <c:tx>
            <c:strRef>
              <c:f>PO_5!$D$35</c:f>
              <c:strCache>
                <c:ptCount val="1"/>
                <c:pt idx="0">
                  <c:v>Nevyčerpané kontrahované zdroje</c:v>
                </c:pt>
              </c:strCache>
            </c:strRef>
          </c:tx>
          <c:spPr>
            <a:solidFill>
              <a:schemeClr val="accent1">
                <a:lumMod val="40000"/>
                <a:lumOff val="60000"/>
              </a:schemeClr>
            </a:solidFill>
            <a:ln>
              <a:noFill/>
            </a:ln>
            <a:effectLst/>
          </c:spPr>
          <c:invertIfNegative val="0"/>
          <c:cat>
            <c:strRef>
              <c:f>PO_5!$B$36:$B$43</c:f>
              <c:strCache>
                <c:ptCount val="8"/>
                <c:pt idx="0">
                  <c:v>Terénna soc. Práca</c:v>
                </c:pt>
                <c:pt idx="1">
                  <c:v>Komunitné centrá</c:v>
                </c:pt>
                <c:pt idx="2">
                  <c:v>Vysporiadanie pozemkov</c:v>
                </c:pt>
                <c:pt idx="3">
                  <c:v>Monitorovanie/ hodnotenie politík</c:v>
                </c:pt>
                <c:pt idx="4">
                  <c:v>Zdravé komunity</c:v>
                </c:pt>
                <c:pt idx="5">
                  <c:v>Podpora predprimárneho vzdelávania</c:v>
                </c:pt>
                <c:pt idx="6">
                  <c:v>MOPS</c:v>
                </c:pt>
                <c:pt idx="7">
                  <c:v>Mentorská a tútorská podpora pre žiakov</c:v>
                </c:pt>
              </c:strCache>
            </c:strRef>
          </c:cat>
          <c:val>
            <c:numRef>
              <c:f>PO_5!$D$36:$D$43</c:f>
              <c:numCache>
                <c:formatCode>_-* #\ ##0\ _€_-;\-* #\ ##0\ _€_-;_-* "-"??\ _€_-;_-@_-</c:formatCode>
                <c:ptCount val="8"/>
                <c:pt idx="0">
                  <c:v>20263771.19588235</c:v>
                </c:pt>
                <c:pt idx="1">
                  <c:v>16813925.982352942</c:v>
                </c:pt>
                <c:pt idx="2">
                  <c:v>2235565.16</c:v>
                </c:pt>
                <c:pt idx="3">
                  <c:v>2928085.9894117643</c:v>
                </c:pt>
                <c:pt idx="4">
                  <c:v>7184730.7582352944</c:v>
                </c:pt>
                <c:pt idx="5">
                  <c:v>19822201.477058824</c:v>
                </c:pt>
                <c:pt idx="6">
                  <c:v>14770550.69411769</c:v>
                </c:pt>
                <c:pt idx="7">
                  <c:v>950692.4</c:v>
                </c:pt>
              </c:numCache>
            </c:numRef>
          </c:val>
          <c:extLst xmlns:c16r2="http://schemas.microsoft.com/office/drawing/2015/06/chart">
            <c:ext xmlns:c16="http://schemas.microsoft.com/office/drawing/2014/chart" uri="{C3380CC4-5D6E-409C-BE32-E72D297353CC}">
              <c16:uniqueId val="{00000001-BD38-4C06-90E1-1E357929457B}"/>
            </c:ext>
          </c:extLst>
        </c:ser>
        <c:dLbls>
          <c:showLegendKey val="0"/>
          <c:showVal val="0"/>
          <c:showCatName val="0"/>
          <c:showSerName val="0"/>
          <c:showPercent val="0"/>
          <c:showBubbleSize val="0"/>
        </c:dLbls>
        <c:gapWidth val="150"/>
        <c:overlap val="100"/>
        <c:axId val="219225264"/>
        <c:axId val="219225656"/>
      </c:barChart>
      <c:barChart>
        <c:barDir val="col"/>
        <c:grouping val="clustered"/>
        <c:varyColors val="0"/>
        <c:ser>
          <c:idx val="2"/>
          <c:order val="2"/>
          <c:tx>
            <c:strRef>
              <c:f>PO_5!$E$35</c:f>
              <c:strCache>
                <c:ptCount val="1"/>
                <c:pt idx="0">
                  <c:v>Alokácia</c:v>
                </c:pt>
              </c:strCache>
            </c:strRef>
          </c:tx>
          <c:spPr>
            <a:noFill/>
            <a:ln>
              <a:solidFill>
                <a:schemeClr val="tx1"/>
              </a:solidFill>
            </a:ln>
            <a:effectLst/>
          </c:spPr>
          <c:invertIfNegative val="0"/>
          <c:cat>
            <c:strRef>
              <c:f>PO_5!$B$36:$B$43</c:f>
              <c:strCache>
                <c:ptCount val="8"/>
                <c:pt idx="0">
                  <c:v>Terénna soc. Práca</c:v>
                </c:pt>
                <c:pt idx="1">
                  <c:v>Komunitné centrá</c:v>
                </c:pt>
                <c:pt idx="2">
                  <c:v>Vysporiadanie pozemkov</c:v>
                </c:pt>
                <c:pt idx="3">
                  <c:v>Monitorovanie/ hodnotenie politík</c:v>
                </c:pt>
                <c:pt idx="4">
                  <c:v>Zdravé komunity</c:v>
                </c:pt>
                <c:pt idx="5">
                  <c:v>Podpora predprimárneho vzdelávania</c:v>
                </c:pt>
                <c:pt idx="6">
                  <c:v>MOPS</c:v>
                </c:pt>
                <c:pt idx="7">
                  <c:v>Mentorská a tútorská podpora pre žiakov</c:v>
                </c:pt>
              </c:strCache>
            </c:strRef>
          </c:cat>
          <c:val>
            <c:numRef>
              <c:f>PO_5!$E$36:$E$43</c:f>
              <c:numCache>
                <c:formatCode>#\ ##0_ ;\-#\ ##0\ </c:formatCode>
                <c:ptCount val="8"/>
                <c:pt idx="0">
                  <c:v>30120000</c:v>
                </c:pt>
                <c:pt idx="1">
                  <c:v>27600000</c:v>
                </c:pt>
                <c:pt idx="2">
                  <c:v>3120000</c:v>
                </c:pt>
                <c:pt idx="3">
                  <c:v>3876000</c:v>
                </c:pt>
                <c:pt idx="4">
                  <c:v>15360000</c:v>
                </c:pt>
                <c:pt idx="5">
                  <c:v>21265318.423529413</c:v>
                </c:pt>
                <c:pt idx="6">
                  <c:v>20235294.117647059</c:v>
                </c:pt>
                <c:pt idx="7">
                  <c:v>5882352.9411764704</c:v>
                </c:pt>
              </c:numCache>
            </c:numRef>
          </c:val>
          <c:extLst xmlns:c16r2="http://schemas.microsoft.com/office/drawing/2015/06/chart">
            <c:ext xmlns:c16="http://schemas.microsoft.com/office/drawing/2014/chart" uri="{C3380CC4-5D6E-409C-BE32-E72D297353CC}">
              <c16:uniqueId val="{00000002-BD38-4C06-90E1-1E357929457B}"/>
            </c:ext>
          </c:extLst>
        </c:ser>
        <c:dLbls>
          <c:showLegendKey val="0"/>
          <c:showVal val="0"/>
          <c:showCatName val="0"/>
          <c:showSerName val="0"/>
          <c:showPercent val="0"/>
          <c:showBubbleSize val="0"/>
        </c:dLbls>
        <c:gapWidth val="150"/>
        <c:axId val="219226440"/>
        <c:axId val="219226048"/>
      </c:barChart>
      <c:catAx>
        <c:axId val="21922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19225656"/>
        <c:crosses val="autoZero"/>
        <c:auto val="1"/>
        <c:lblAlgn val="ctr"/>
        <c:lblOffset val="100"/>
        <c:tickLblSkip val="1"/>
        <c:noMultiLvlLbl val="0"/>
      </c:catAx>
      <c:valAx>
        <c:axId val="219225656"/>
        <c:scaling>
          <c:orientation val="minMax"/>
          <c:max val="35000000"/>
        </c:scaling>
        <c:delete val="0"/>
        <c:axPos val="l"/>
        <c:majorGridlines>
          <c:spPr>
            <a:ln w="9525" cap="flat" cmpd="sng" algn="ctr">
              <a:solidFill>
                <a:schemeClr val="tx1">
                  <a:lumMod val="15000"/>
                  <a:lumOff val="85000"/>
                </a:schemeClr>
              </a:solidFill>
              <a:prstDash val="dash"/>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19225264"/>
        <c:crossesAt val="1"/>
        <c:crossBetween val="between"/>
        <c:dispUnits>
          <c:builtInUnit val="millions"/>
        </c:dispUnits>
      </c:valAx>
      <c:valAx>
        <c:axId val="219226048"/>
        <c:scaling>
          <c:orientation val="minMax"/>
        </c:scaling>
        <c:delete val="1"/>
        <c:axPos val="r"/>
        <c:numFmt formatCode="#\ ##0_ ;\-#\ ##0\ " sourceLinked="1"/>
        <c:majorTickMark val="out"/>
        <c:minorTickMark val="none"/>
        <c:tickLblPos val="nextTo"/>
        <c:crossAx val="219226440"/>
        <c:crosses val="max"/>
        <c:crossBetween val="between"/>
      </c:valAx>
      <c:catAx>
        <c:axId val="219226440"/>
        <c:scaling>
          <c:orientation val="minMax"/>
        </c:scaling>
        <c:delete val="1"/>
        <c:axPos val="b"/>
        <c:numFmt formatCode="General" sourceLinked="1"/>
        <c:majorTickMark val="out"/>
        <c:minorTickMark val="none"/>
        <c:tickLblPos val="nextTo"/>
        <c:crossAx val="219226048"/>
        <c:crosses val="autoZero"/>
        <c:auto val="1"/>
        <c:lblAlgn val="ctr"/>
        <c:lblOffset val="100"/>
        <c:noMultiLvlLbl val="0"/>
      </c:catAx>
      <c:spPr>
        <a:noFill/>
        <a:ln>
          <a:noFill/>
        </a:ln>
        <a:effectLst/>
      </c:spPr>
    </c:plotArea>
    <c:legend>
      <c:legendPos val="tr"/>
      <c:layout>
        <c:manualLayout>
          <c:xMode val="edge"/>
          <c:yMode val="edge"/>
          <c:x val="0.36082568626290135"/>
          <c:y val="1.9347035028797123E-2"/>
          <c:w val="0.62849341200770958"/>
          <c:h val="0.1556286161436535"/>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12160979877515"/>
          <c:y val="0.16203703703703703"/>
          <c:w val="0.85520045288456592"/>
          <c:h val="0.70220545348498109"/>
        </c:manualLayout>
      </c:layout>
      <c:barChart>
        <c:barDir val="col"/>
        <c:grouping val="stacked"/>
        <c:varyColors val="0"/>
        <c:ser>
          <c:idx val="0"/>
          <c:order val="0"/>
          <c:tx>
            <c:strRef>
              <c:f>'Graf 13'!$A$6</c:f>
              <c:strCache>
                <c:ptCount val="1"/>
                <c:pt idx="0">
                  <c:v>Nájomný byt (obstaranie)</c:v>
                </c:pt>
              </c:strCache>
            </c:strRef>
          </c:tx>
          <c:spPr>
            <a:solidFill>
              <a:schemeClr val="accent1"/>
            </a:solidFill>
            <a:ln>
              <a:noFill/>
            </a:ln>
            <a:effectLst/>
          </c:spPr>
          <c:invertIfNegative val="0"/>
          <c:cat>
            <c:numRef>
              <c:f>'Graf 13'!$B$5:$O$5</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'Graf 13'!$B$6:$O$6</c:f>
              <c:numCache>
                <c:formatCode>0.0</c:formatCode>
                <c:ptCount val="14"/>
                <c:pt idx="0">
                  <c:v>30.327391621854876</c:v>
                </c:pt>
                <c:pt idx="1">
                  <c:v>41.492166235145717</c:v>
                </c:pt>
                <c:pt idx="2">
                  <c:v>33.17069</c:v>
                </c:pt>
                <c:pt idx="3">
                  <c:v>29.803260000000009</c:v>
                </c:pt>
                <c:pt idx="4">
                  <c:v>18.993400000000001</c:v>
                </c:pt>
                <c:pt idx="5">
                  <c:v>16.028740000000006</c:v>
                </c:pt>
                <c:pt idx="6">
                  <c:v>16.311799999999998</c:v>
                </c:pt>
                <c:pt idx="7">
                  <c:v>33.479540000000014</c:v>
                </c:pt>
                <c:pt idx="8">
                  <c:v>31.182190000000002</c:v>
                </c:pt>
                <c:pt idx="9">
                  <c:v>24.503139999999991</c:v>
                </c:pt>
                <c:pt idx="10">
                  <c:v>25.958590000000001</c:v>
                </c:pt>
                <c:pt idx="11">
                  <c:v>26.344360000000002</c:v>
                </c:pt>
                <c:pt idx="12">
                  <c:v>18.139700000000001</c:v>
                </c:pt>
              </c:numCache>
            </c:numRef>
          </c:val>
          <c:extLst xmlns:c16r2="http://schemas.microsoft.com/office/drawing/2015/06/chart">
            <c:ext xmlns:c16="http://schemas.microsoft.com/office/drawing/2014/chart" uri="{C3380CC4-5D6E-409C-BE32-E72D297353CC}">
              <c16:uniqueId val="{00000000-0966-4836-B87F-A7B43436319D}"/>
            </c:ext>
          </c:extLst>
        </c:ser>
        <c:ser>
          <c:idx val="1"/>
          <c:order val="1"/>
          <c:tx>
            <c:strRef>
              <c:f>'Graf 13'!$A$7</c:f>
              <c:strCache>
                <c:ptCount val="1"/>
                <c:pt idx="0">
                  <c:v>Technická vybavenosť</c:v>
                </c:pt>
              </c:strCache>
            </c:strRef>
          </c:tx>
          <c:spPr>
            <a:solidFill>
              <a:schemeClr val="accent1">
                <a:lumMod val="50000"/>
              </a:schemeClr>
            </a:solidFill>
            <a:ln>
              <a:noFill/>
            </a:ln>
            <a:effectLst/>
          </c:spPr>
          <c:invertIfNegative val="0"/>
          <c:cat>
            <c:numRef>
              <c:f>'Graf 13'!$B$5:$O$5</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'Graf 13'!$B$7:$O$7</c:f>
              <c:numCache>
                <c:formatCode>0.0</c:formatCode>
                <c:ptCount val="14"/>
                <c:pt idx="0">
                  <c:v>4.347673106286928</c:v>
                </c:pt>
                <c:pt idx="1">
                  <c:v>5.2693022638252662</c:v>
                </c:pt>
                <c:pt idx="2">
                  <c:v>4.03078</c:v>
                </c:pt>
                <c:pt idx="3">
                  <c:v>3.0056200000000013</c:v>
                </c:pt>
                <c:pt idx="4">
                  <c:v>1.1736800000000005</c:v>
                </c:pt>
                <c:pt idx="5">
                  <c:v>1.0329600000000001</c:v>
                </c:pt>
                <c:pt idx="6">
                  <c:v>1.05196</c:v>
                </c:pt>
                <c:pt idx="7">
                  <c:v>2.7109200000000007</c:v>
                </c:pt>
                <c:pt idx="8">
                  <c:v>1.9489900000000007</c:v>
                </c:pt>
                <c:pt idx="9">
                  <c:v>1.1490499999999999</c:v>
                </c:pt>
                <c:pt idx="10">
                  <c:v>1.7476400000000001</c:v>
                </c:pt>
                <c:pt idx="11">
                  <c:v>1.51797</c:v>
                </c:pt>
                <c:pt idx="12">
                  <c:v>1.139937</c:v>
                </c:pt>
              </c:numCache>
            </c:numRef>
          </c:val>
          <c:extLst xmlns:c16r2="http://schemas.microsoft.com/office/drawing/2015/06/chart">
            <c:ext xmlns:c16="http://schemas.microsoft.com/office/drawing/2014/chart" uri="{C3380CC4-5D6E-409C-BE32-E72D297353CC}">
              <c16:uniqueId val="{00000001-0966-4836-B87F-A7B43436319D}"/>
            </c:ext>
          </c:extLst>
        </c:ser>
        <c:ser>
          <c:idx val="2"/>
          <c:order val="2"/>
          <c:tx>
            <c:strRef>
              <c:f>'Graf 13'!$A$8</c:f>
              <c:strCache>
                <c:ptCount val="1"/>
                <c:pt idx="0">
                  <c:v>Odstránenie systémovej poruchy</c:v>
                </c:pt>
              </c:strCache>
            </c:strRef>
          </c:tx>
          <c:spPr>
            <a:solidFill>
              <a:schemeClr val="accent1">
                <a:lumMod val="40000"/>
                <a:lumOff val="60000"/>
              </a:schemeClr>
            </a:solidFill>
            <a:ln>
              <a:noFill/>
            </a:ln>
            <a:effectLst/>
          </c:spPr>
          <c:invertIfNegative val="0"/>
          <c:cat>
            <c:numRef>
              <c:f>'Graf 13'!$B$5:$O$5</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'Graf 13'!$B$8:$O$8</c:f>
              <c:numCache>
                <c:formatCode>0.0</c:formatCode>
                <c:ptCount val="14"/>
                <c:pt idx="0">
                  <c:v>15.539467569541259</c:v>
                </c:pt>
                <c:pt idx="1">
                  <c:v>14.542952931023034</c:v>
                </c:pt>
                <c:pt idx="2">
                  <c:v>19.615024999999999</c:v>
                </c:pt>
                <c:pt idx="3">
                  <c:v>7.6064499999999962</c:v>
                </c:pt>
                <c:pt idx="4">
                  <c:v>14.332240000000001</c:v>
                </c:pt>
                <c:pt idx="5">
                  <c:v>2.9919799999999999</c:v>
                </c:pt>
                <c:pt idx="6">
                  <c:v>4.3967300000000007</c:v>
                </c:pt>
                <c:pt idx="7">
                  <c:v>1.6848299999999998</c:v>
                </c:pt>
                <c:pt idx="8">
                  <c:v>1.7202000000000002</c:v>
                </c:pt>
                <c:pt idx="9">
                  <c:v>1.83647</c:v>
                </c:pt>
                <c:pt idx="10">
                  <c:v>1.4028799999999999</c:v>
                </c:pt>
                <c:pt idx="11">
                  <c:v>1.45034</c:v>
                </c:pt>
                <c:pt idx="12">
                  <c:v>2.5295000000000001</c:v>
                </c:pt>
              </c:numCache>
            </c:numRef>
          </c:val>
          <c:extLst xmlns:c16r2="http://schemas.microsoft.com/office/drawing/2015/06/chart">
            <c:ext xmlns:c16="http://schemas.microsoft.com/office/drawing/2014/chart" uri="{C3380CC4-5D6E-409C-BE32-E72D297353CC}">
              <c16:uniqueId val="{00000002-0966-4836-B87F-A7B43436319D}"/>
            </c:ext>
          </c:extLst>
        </c:ser>
        <c:dLbls>
          <c:showLegendKey val="0"/>
          <c:showVal val="0"/>
          <c:showCatName val="0"/>
          <c:showSerName val="0"/>
          <c:showPercent val="0"/>
          <c:showBubbleSize val="0"/>
        </c:dLbls>
        <c:gapWidth val="150"/>
        <c:overlap val="100"/>
        <c:axId val="225226008"/>
        <c:axId val="225226400"/>
      </c:barChart>
      <c:lineChart>
        <c:grouping val="standard"/>
        <c:varyColors val="0"/>
        <c:ser>
          <c:idx val="3"/>
          <c:order val="3"/>
          <c:tx>
            <c:strRef>
              <c:f>'Graf 13'!$A$9</c:f>
              <c:strCache>
                <c:ptCount val="1"/>
                <c:pt idx="0">
                  <c:v>Rozpočet (bez zohľadnenia rozpočtových opatrení)</c:v>
                </c:pt>
              </c:strCache>
            </c:strRef>
          </c:tx>
          <c:spPr>
            <a:ln w="28575" cap="rnd">
              <a:noFill/>
              <a:round/>
            </a:ln>
            <a:effectLst/>
          </c:spPr>
          <c:marker>
            <c:symbol val="diamond"/>
            <c:size val="5"/>
            <c:spPr>
              <a:solidFill>
                <a:schemeClr val="tx1"/>
              </a:solidFill>
              <a:ln w="9525">
                <a:solidFill>
                  <a:schemeClr val="tx1"/>
                </a:solidFill>
              </a:ln>
              <a:effectLst/>
            </c:spPr>
          </c:marker>
          <c:cat>
            <c:numRef>
              <c:f>'Graf 13'!$B$5:$O$5</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'Graf 13'!$B$9:$O$9</c:f>
              <c:numCache>
                <c:formatCode>0.0</c:formatCode>
                <c:ptCount val="14"/>
                <c:pt idx="0">
                  <c:v>58.368684860000002</c:v>
                </c:pt>
                <c:pt idx="1">
                  <c:v>51.716125609999999</c:v>
                </c:pt>
                <c:pt idx="2">
                  <c:v>56.927570000000003</c:v>
                </c:pt>
                <c:pt idx="3">
                  <c:v>47.068976999999997</c:v>
                </c:pt>
                <c:pt idx="4">
                  <c:v>31.8</c:v>
                </c:pt>
                <c:pt idx="5">
                  <c:v>25.5</c:v>
                </c:pt>
                <c:pt idx="6">
                  <c:v>25</c:v>
                </c:pt>
                <c:pt idx="7">
                  <c:v>20</c:v>
                </c:pt>
                <c:pt idx="8">
                  <c:v>20</c:v>
                </c:pt>
                <c:pt idx="9">
                  <c:v>40</c:v>
                </c:pt>
                <c:pt idx="10">
                  <c:v>40</c:v>
                </c:pt>
                <c:pt idx="11">
                  <c:v>40</c:v>
                </c:pt>
                <c:pt idx="12">
                  <c:v>40</c:v>
                </c:pt>
                <c:pt idx="13">
                  <c:v>20</c:v>
                </c:pt>
              </c:numCache>
            </c:numRef>
          </c:val>
          <c:smooth val="0"/>
          <c:extLst xmlns:c16r2="http://schemas.microsoft.com/office/drawing/2015/06/chart">
            <c:ext xmlns:c16="http://schemas.microsoft.com/office/drawing/2014/chart" uri="{C3380CC4-5D6E-409C-BE32-E72D297353CC}">
              <c16:uniqueId val="{00000003-0966-4836-B87F-A7B43436319D}"/>
            </c:ext>
          </c:extLst>
        </c:ser>
        <c:dLbls>
          <c:showLegendKey val="0"/>
          <c:showVal val="0"/>
          <c:showCatName val="0"/>
          <c:showSerName val="0"/>
          <c:showPercent val="0"/>
          <c:showBubbleSize val="0"/>
        </c:dLbls>
        <c:marker val="1"/>
        <c:smooth val="0"/>
        <c:axId val="225226008"/>
        <c:axId val="225226400"/>
      </c:lineChart>
      <c:catAx>
        <c:axId val="225226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5226400"/>
        <c:crosses val="autoZero"/>
        <c:auto val="1"/>
        <c:lblAlgn val="ctr"/>
        <c:lblOffset val="100"/>
        <c:noMultiLvlLbl val="0"/>
      </c:catAx>
      <c:valAx>
        <c:axId val="225226400"/>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5226008"/>
        <c:crosses val="autoZero"/>
        <c:crossBetween val="between"/>
      </c:valAx>
      <c:spPr>
        <a:noFill/>
        <a:ln>
          <a:noFill/>
        </a:ln>
        <a:effectLst/>
      </c:spPr>
    </c:plotArea>
    <c:legend>
      <c:legendPos val="b"/>
      <c:layout>
        <c:manualLayout>
          <c:xMode val="edge"/>
          <c:yMode val="edge"/>
          <c:x val="0.10946498469698206"/>
          <c:y val="4.0492855059784246E-3"/>
          <c:w val="0.87497879374074783"/>
          <c:h val="0.21227981918926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247594050743664E-2"/>
          <c:y val="7.8703703703703706E-2"/>
          <c:w val="0.89019685039370078"/>
          <c:h val="0.80030147273257513"/>
        </c:manualLayout>
      </c:layout>
      <c:barChart>
        <c:barDir val="col"/>
        <c:grouping val="stacked"/>
        <c:varyColors val="0"/>
        <c:ser>
          <c:idx val="0"/>
          <c:order val="0"/>
          <c:tx>
            <c:strRef>
              <c:f>'Graf 12'!$A$6</c:f>
              <c:strCache>
                <c:ptCount val="1"/>
                <c:pt idx="0">
                  <c:v>Kúpa alebo výstavba bytu</c:v>
                </c:pt>
              </c:strCache>
            </c:strRef>
          </c:tx>
          <c:spPr>
            <a:solidFill>
              <a:schemeClr val="accent1"/>
            </a:solidFill>
            <a:ln>
              <a:noFill/>
            </a:ln>
            <a:effectLst/>
          </c:spPr>
          <c:invertIfNegative val="0"/>
          <c:cat>
            <c:numRef>
              <c:f>'Graf 12'!$B$5:$Q$5</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'Graf 12'!$B$6:$Q$6</c:f>
              <c:numCache>
                <c:formatCode>0.0</c:formatCode>
                <c:ptCount val="16"/>
                <c:pt idx="0">
                  <c:v>86.009051929997696</c:v>
                </c:pt>
                <c:pt idx="1">
                  <c:v>101.4041345900006</c:v>
                </c:pt>
                <c:pt idx="2">
                  <c:v>118.72764493000081</c:v>
                </c:pt>
                <c:pt idx="3">
                  <c:v>132.29370055000069</c:v>
                </c:pt>
                <c:pt idx="4">
                  <c:v>102.38740712000046</c:v>
                </c:pt>
                <c:pt idx="5">
                  <c:v>125.27922705999987</c:v>
                </c:pt>
                <c:pt idx="6">
                  <c:v>111.08009694</c:v>
                </c:pt>
                <c:pt idx="7">
                  <c:v>93.016296510000004</c:v>
                </c:pt>
                <c:pt idx="8">
                  <c:v>65.413231449999984</c:v>
                </c:pt>
                <c:pt idx="9">
                  <c:v>46.654625109999998</c:v>
                </c:pt>
                <c:pt idx="10">
                  <c:v>50.957251460000002</c:v>
                </c:pt>
                <c:pt idx="11">
                  <c:v>60.508319999999998</c:v>
                </c:pt>
                <c:pt idx="12">
                  <c:v>62.374409999999997</c:v>
                </c:pt>
                <c:pt idx="13">
                  <c:v>41.150419999999997</c:v>
                </c:pt>
                <c:pt idx="14">
                  <c:v>54.677239999999998</c:v>
                </c:pt>
                <c:pt idx="15">
                  <c:v>43.516289999999998</c:v>
                </c:pt>
              </c:numCache>
            </c:numRef>
          </c:val>
          <c:extLst xmlns:c16r2="http://schemas.microsoft.com/office/drawing/2015/06/chart">
            <c:ext xmlns:c16="http://schemas.microsoft.com/office/drawing/2014/chart" uri="{C3380CC4-5D6E-409C-BE32-E72D297353CC}">
              <c16:uniqueId val="{00000000-164C-484F-82A7-902CF77B4D40}"/>
            </c:ext>
          </c:extLst>
        </c:ser>
        <c:ser>
          <c:idx val="1"/>
          <c:order val="1"/>
          <c:tx>
            <c:strRef>
              <c:f>'Graf 12'!$A$7</c:f>
              <c:strCache>
                <c:ptCount val="1"/>
                <c:pt idx="0">
                  <c:v>Obnova bytovej budovy</c:v>
                </c:pt>
              </c:strCache>
            </c:strRef>
          </c:tx>
          <c:spPr>
            <a:solidFill>
              <a:schemeClr val="bg1">
                <a:lumMod val="75000"/>
              </a:schemeClr>
            </a:solidFill>
            <a:ln>
              <a:noFill/>
            </a:ln>
            <a:effectLst/>
          </c:spPr>
          <c:invertIfNegative val="0"/>
          <c:cat>
            <c:numRef>
              <c:f>'Graf 12'!$B$5:$Q$5</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'Graf 12'!$B$7:$Q$7</c:f>
              <c:numCache>
                <c:formatCode>0.0</c:formatCode>
                <c:ptCount val="16"/>
                <c:pt idx="0">
                  <c:v>3.9967137799999994</c:v>
                </c:pt>
                <c:pt idx="1">
                  <c:v>10.720241660000001</c:v>
                </c:pt>
                <c:pt idx="2">
                  <c:v>8.2984797300000004</c:v>
                </c:pt>
                <c:pt idx="3">
                  <c:v>23.104859589999997</c:v>
                </c:pt>
                <c:pt idx="4">
                  <c:v>33.279884489999993</c:v>
                </c:pt>
                <c:pt idx="5">
                  <c:v>23.333598820000013</c:v>
                </c:pt>
                <c:pt idx="6">
                  <c:v>26.299497050000006</c:v>
                </c:pt>
                <c:pt idx="7">
                  <c:v>34.055526969999995</c:v>
                </c:pt>
                <c:pt idx="8">
                  <c:v>52.091583730000004</c:v>
                </c:pt>
                <c:pt idx="9">
                  <c:v>70.476950979999984</c:v>
                </c:pt>
                <c:pt idx="10">
                  <c:v>84.32747040000001</c:v>
                </c:pt>
                <c:pt idx="11">
                  <c:v>110.375383</c:v>
                </c:pt>
                <c:pt idx="12">
                  <c:v>199.24279999999999</c:v>
                </c:pt>
                <c:pt idx="13">
                  <c:v>155.96907999999999</c:v>
                </c:pt>
                <c:pt idx="14">
                  <c:v>130.82868999999999</c:v>
                </c:pt>
                <c:pt idx="15">
                  <c:v>132.27958000000001</c:v>
                </c:pt>
              </c:numCache>
            </c:numRef>
          </c:val>
          <c:extLst xmlns:c16r2="http://schemas.microsoft.com/office/drawing/2015/06/chart">
            <c:ext xmlns:c16="http://schemas.microsoft.com/office/drawing/2014/chart" uri="{C3380CC4-5D6E-409C-BE32-E72D297353CC}">
              <c16:uniqueId val="{00000001-164C-484F-82A7-902CF77B4D40}"/>
            </c:ext>
          </c:extLst>
        </c:ser>
        <c:ser>
          <c:idx val="2"/>
          <c:order val="2"/>
          <c:tx>
            <c:strRef>
              <c:f>'Graf 12'!$A$8</c:f>
              <c:strCache>
                <c:ptCount val="1"/>
                <c:pt idx="0">
                  <c:v>Výstavba (rekonštrukcia) zariadenia soc. služieb</c:v>
                </c:pt>
              </c:strCache>
            </c:strRef>
          </c:tx>
          <c:spPr>
            <a:solidFill>
              <a:schemeClr val="tx2">
                <a:lumMod val="75000"/>
              </a:schemeClr>
            </a:solidFill>
            <a:ln>
              <a:noFill/>
            </a:ln>
            <a:effectLst/>
          </c:spPr>
          <c:invertIfNegative val="0"/>
          <c:cat>
            <c:numRef>
              <c:f>'Graf 12'!$B$5:$Q$5</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'Graf 12'!$B$8:$Q$8</c:f>
              <c:numCache>
                <c:formatCode>0.0</c:formatCode>
                <c:ptCount val="16"/>
                <c:pt idx="0">
                  <c:v>0</c:v>
                </c:pt>
                <c:pt idx="1">
                  <c:v>0</c:v>
                </c:pt>
                <c:pt idx="2">
                  <c:v>0.26585009999999998</c:v>
                </c:pt>
                <c:pt idx="3">
                  <c:v>0.49170152</c:v>
                </c:pt>
                <c:pt idx="4">
                  <c:v>0.78304455000000006</c:v>
                </c:pt>
                <c:pt idx="5">
                  <c:v>0.81823009999999985</c:v>
                </c:pt>
                <c:pt idx="6">
                  <c:v>0.238507</c:v>
                </c:pt>
                <c:pt idx="7">
                  <c:v>0</c:v>
                </c:pt>
                <c:pt idx="8">
                  <c:v>0.80328080000000002</c:v>
                </c:pt>
                <c:pt idx="9">
                  <c:v>1.2559523500000001</c:v>
                </c:pt>
                <c:pt idx="10">
                  <c:v>0.29572085999999997</c:v>
                </c:pt>
                <c:pt idx="11">
                  <c:v>0.71087999999999996</c:v>
                </c:pt>
                <c:pt idx="12">
                  <c:v>0.61819999999999997</c:v>
                </c:pt>
                <c:pt idx="13">
                  <c:v>0</c:v>
                </c:pt>
                <c:pt idx="14">
                  <c:v>0</c:v>
                </c:pt>
                <c:pt idx="15">
                  <c:v>0.87050000000000005</c:v>
                </c:pt>
              </c:numCache>
            </c:numRef>
          </c:val>
          <c:extLst xmlns:c16r2="http://schemas.microsoft.com/office/drawing/2015/06/chart">
            <c:ext xmlns:c16="http://schemas.microsoft.com/office/drawing/2014/chart" uri="{C3380CC4-5D6E-409C-BE32-E72D297353CC}">
              <c16:uniqueId val="{00000002-164C-484F-82A7-902CF77B4D40}"/>
            </c:ext>
          </c:extLst>
        </c:ser>
        <c:ser>
          <c:idx val="3"/>
          <c:order val="3"/>
          <c:tx>
            <c:strRef>
              <c:f>'Graf 12'!$A$9</c:f>
              <c:strCache>
                <c:ptCount val="1"/>
                <c:pt idx="0">
                  <c:v>Ostatné</c:v>
                </c:pt>
              </c:strCache>
            </c:strRef>
          </c:tx>
          <c:spPr>
            <a:solidFill>
              <a:schemeClr val="accent1">
                <a:lumMod val="40000"/>
                <a:lumOff val="60000"/>
              </a:schemeClr>
            </a:solidFill>
            <a:ln>
              <a:noFill/>
            </a:ln>
            <a:effectLst/>
          </c:spPr>
          <c:invertIfNegative val="0"/>
          <c:cat>
            <c:numRef>
              <c:f>'Graf 12'!$B$5:$Q$5</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'Graf 12'!$B$9:$Q$9</c:f>
              <c:numCache>
                <c:formatCode>0.0</c:formatCode>
                <c:ptCount val="16"/>
                <c:pt idx="0">
                  <c:v>4.1771559200000006</c:v>
                </c:pt>
                <c:pt idx="1">
                  <c:v>0</c:v>
                </c:pt>
                <c:pt idx="2">
                  <c:v>0</c:v>
                </c:pt>
                <c:pt idx="3">
                  <c:v>0</c:v>
                </c:pt>
                <c:pt idx="4">
                  <c:v>8.1551154000000068</c:v>
                </c:pt>
                <c:pt idx="5">
                  <c:v>6.6120627799999943</c:v>
                </c:pt>
                <c:pt idx="6">
                  <c:v>6.6484073600000002</c:v>
                </c:pt>
                <c:pt idx="7">
                  <c:v>6.634263540000001</c:v>
                </c:pt>
                <c:pt idx="8">
                  <c:v>4.0282907799999998</c:v>
                </c:pt>
                <c:pt idx="9">
                  <c:v>4.1682335200000002</c:v>
                </c:pt>
                <c:pt idx="10">
                  <c:v>0</c:v>
                </c:pt>
                <c:pt idx="11">
                  <c:v>0.51881999999999995</c:v>
                </c:pt>
                <c:pt idx="12">
                  <c:v>0</c:v>
                </c:pt>
                <c:pt idx="13">
                  <c:v>0</c:v>
                </c:pt>
                <c:pt idx="14">
                  <c:v>0</c:v>
                </c:pt>
                <c:pt idx="15">
                  <c:v>0</c:v>
                </c:pt>
              </c:numCache>
            </c:numRef>
          </c:val>
          <c:extLst xmlns:c16r2="http://schemas.microsoft.com/office/drawing/2015/06/chart">
            <c:ext xmlns:c16="http://schemas.microsoft.com/office/drawing/2014/chart" uri="{C3380CC4-5D6E-409C-BE32-E72D297353CC}">
              <c16:uniqueId val="{00000003-164C-484F-82A7-902CF77B4D40}"/>
            </c:ext>
          </c:extLst>
        </c:ser>
        <c:dLbls>
          <c:showLegendKey val="0"/>
          <c:showVal val="0"/>
          <c:showCatName val="0"/>
          <c:showSerName val="0"/>
          <c:showPercent val="0"/>
          <c:showBubbleSize val="0"/>
        </c:dLbls>
        <c:gapWidth val="150"/>
        <c:overlap val="100"/>
        <c:axId val="225227184"/>
        <c:axId val="225227576"/>
      </c:barChart>
      <c:catAx>
        <c:axId val="225227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5227576"/>
        <c:crosses val="autoZero"/>
        <c:auto val="1"/>
        <c:lblAlgn val="ctr"/>
        <c:lblOffset val="100"/>
        <c:noMultiLvlLbl val="0"/>
      </c:catAx>
      <c:valAx>
        <c:axId val="225227576"/>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5227184"/>
        <c:crosses val="autoZero"/>
        <c:crossBetween val="between"/>
      </c:valAx>
      <c:spPr>
        <a:noFill/>
        <a:ln>
          <a:noFill/>
        </a:ln>
        <a:effectLst/>
      </c:spPr>
    </c:plotArea>
    <c:legend>
      <c:legendPos val="b"/>
      <c:layout>
        <c:manualLayout>
          <c:xMode val="edge"/>
          <c:yMode val="edge"/>
          <c:x val="5.0210832736816986E-2"/>
          <c:y val="4.6274424030329541E-3"/>
          <c:w val="0.86748117269655023"/>
          <c:h val="0.2731503353747447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60511724113954"/>
          <c:y val="3.7037037037037035E-2"/>
          <c:w val="0.78871947297978484"/>
          <c:h val="0.80411354274665847"/>
        </c:manualLayout>
      </c:layout>
      <c:scatterChart>
        <c:scatterStyle val="lineMarker"/>
        <c:varyColors val="0"/>
        <c:ser>
          <c:idx val="0"/>
          <c:order val="0"/>
          <c:spPr>
            <a:ln w="19050" cap="rnd">
              <a:noFill/>
              <a:round/>
            </a:ln>
            <a:effectLst/>
          </c:spPr>
          <c:marker>
            <c:symbol val="circle"/>
            <c:size val="4"/>
            <c:spPr>
              <a:solidFill>
                <a:schemeClr val="accent1"/>
              </a:solidFill>
              <a:ln w="9525">
                <a:solidFill>
                  <a:schemeClr val="accent1"/>
                </a:solidFill>
              </a:ln>
              <a:effectLst/>
            </c:spPr>
          </c:marker>
          <c:trendline>
            <c:spPr>
              <a:ln w="19050" cap="rnd">
                <a:solidFill>
                  <a:schemeClr val="tx1"/>
                </a:solidFill>
                <a:prstDash val="sysDot"/>
              </a:ln>
              <a:effectLst/>
            </c:spPr>
            <c:trendlineType val="linear"/>
            <c:dispRSqr val="0"/>
            <c:dispEq val="0"/>
          </c:trendline>
          <c:xVal>
            <c:numRef>
              <c:f>'PP na bývanie (2018)'!$C$9:$C$454</c:f>
              <c:numCache>
                <c:formatCode>General</c:formatCode>
                <c:ptCount val="446"/>
                <c:pt idx="0">
                  <c:v>0.28653299999999998</c:v>
                </c:pt>
                <c:pt idx="1">
                  <c:v>0.2403846</c:v>
                </c:pt>
                <c:pt idx="2">
                  <c:v>13.79311</c:v>
                </c:pt>
                <c:pt idx="3">
                  <c:v>26.071840000000002</c:v>
                </c:pt>
                <c:pt idx="4">
                  <c:v>36.216650000000001</c:v>
                </c:pt>
                <c:pt idx="5">
                  <c:v>1.347305</c:v>
                </c:pt>
                <c:pt idx="6">
                  <c:v>41.66666</c:v>
                </c:pt>
                <c:pt idx="7">
                  <c:v>33.551340000000003</c:v>
                </c:pt>
                <c:pt idx="8">
                  <c:v>26.95749</c:v>
                </c:pt>
                <c:pt idx="9">
                  <c:v>27.594069999999999</c:v>
                </c:pt>
                <c:pt idx="10">
                  <c:v>24.610050000000001</c:v>
                </c:pt>
                <c:pt idx="11">
                  <c:v>14.2</c:v>
                </c:pt>
                <c:pt idx="12">
                  <c:v>96.48657</c:v>
                </c:pt>
                <c:pt idx="13">
                  <c:v>16.489360000000001</c:v>
                </c:pt>
                <c:pt idx="14">
                  <c:v>27.46686</c:v>
                </c:pt>
                <c:pt idx="15">
                  <c:v>21.925129999999999</c:v>
                </c:pt>
                <c:pt idx="16">
                  <c:v>23.465699999999998</c:v>
                </c:pt>
                <c:pt idx="17">
                  <c:v>16.080400000000001</c:v>
                </c:pt>
                <c:pt idx="18">
                  <c:v>56.941180000000003</c:v>
                </c:pt>
                <c:pt idx="19">
                  <c:v>55.801830000000002</c:v>
                </c:pt>
                <c:pt idx="20">
                  <c:v>21.248139999999999</c:v>
                </c:pt>
                <c:pt idx="21">
                  <c:v>0.27450980000000003</c:v>
                </c:pt>
                <c:pt idx="22">
                  <c:v>11.33297</c:v>
                </c:pt>
                <c:pt idx="23">
                  <c:v>27.113240000000001</c:v>
                </c:pt>
                <c:pt idx="24">
                  <c:v>21.392530000000001</c:v>
                </c:pt>
                <c:pt idx="25">
                  <c:v>21.41844</c:v>
                </c:pt>
                <c:pt idx="26">
                  <c:v>23.12105</c:v>
                </c:pt>
                <c:pt idx="27">
                  <c:v>25.024439999999998</c:v>
                </c:pt>
                <c:pt idx="28">
                  <c:v>33.341050000000003</c:v>
                </c:pt>
                <c:pt idx="29">
                  <c:v>58.329900000000002</c:v>
                </c:pt>
                <c:pt idx="30">
                  <c:v>12.24784</c:v>
                </c:pt>
                <c:pt idx="31">
                  <c:v>26.393439999999998</c:v>
                </c:pt>
                <c:pt idx="32">
                  <c:v>33.377479999999998</c:v>
                </c:pt>
                <c:pt idx="33">
                  <c:v>34.489550000000001</c:v>
                </c:pt>
                <c:pt idx="34">
                  <c:v>10.149520000000001</c:v>
                </c:pt>
                <c:pt idx="35">
                  <c:v>62.84751</c:v>
                </c:pt>
                <c:pt idx="36">
                  <c:v>5.637092</c:v>
                </c:pt>
                <c:pt idx="37">
                  <c:v>11.694839999999999</c:v>
                </c:pt>
                <c:pt idx="38">
                  <c:v>18.39348</c:v>
                </c:pt>
                <c:pt idx="39">
                  <c:v>17.957059999999998</c:v>
                </c:pt>
                <c:pt idx="40">
                  <c:v>40.411990000000003</c:v>
                </c:pt>
                <c:pt idx="41">
                  <c:v>0.80321290000000001</c:v>
                </c:pt>
                <c:pt idx="42">
                  <c:v>22.98536</c:v>
                </c:pt>
                <c:pt idx="43">
                  <c:v>1.256732</c:v>
                </c:pt>
                <c:pt idx="44">
                  <c:v>0.79443900000000001</c:v>
                </c:pt>
                <c:pt idx="45">
                  <c:v>5.5620609999999999</c:v>
                </c:pt>
                <c:pt idx="46">
                  <c:v>47.74044</c:v>
                </c:pt>
                <c:pt idx="47">
                  <c:v>34.259</c:v>
                </c:pt>
                <c:pt idx="48">
                  <c:v>14.816839999999999</c:v>
                </c:pt>
                <c:pt idx="49">
                  <c:v>28.904589999999999</c:v>
                </c:pt>
                <c:pt idx="50">
                  <c:v>38.162880000000001</c:v>
                </c:pt>
                <c:pt idx="51">
                  <c:v>52.039149999999999</c:v>
                </c:pt>
                <c:pt idx="52">
                  <c:v>81.666659999999993</c:v>
                </c:pt>
                <c:pt idx="53">
                  <c:v>4.5974820000000003</c:v>
                </c:pt>
                <c:pt idx="54">
                  <c:v>0.22488749999999999</c:v>
                </c:pt>
                <c:pt idx="55">
                  <c:v>61.454940000000001</c:v>
                </c:pt>
                <c:pt idx="56">
                  <c:v>13.58189</c:v>
                </c:pt>
                <c:pt idx="57">
                  <c:v>1.1441650000000001</c:v>
                </c:pt>
                <c:pt idx="58">
                  <c:v>1.9607840000000001</c:v>
                </c:pt>
                <c:pt idx="59">
                  <c:v>1.8166089999999999</c:v>
                </c:pt>
                <c:pt idx="60">
                  <c:v>32.092500000000001</c:v>
                </c:pt>
                <c:pt idx="61">
                  <c:v>20.415400000000002</c:v>
                </c:pt>
                <c:pt idx="62">
                  <c:v>5.3080569999999998</c:v>
                </c:pt>
                <c:pt idx="63">
                  <c:v>43.491129999999998</c:v>
                </c:pt>
                <c:pt idx="64">
                  <c:v>2.0618560000000001</c:v>
                </c:pt>
                <c:pt idx="65">
                  <c:v>32.536259999999999</c:v>
                </c:pt>
                <c:pt idx="66">
                  <c:v>22.451409999999999</c:v>
                </c:pt>
                <c:pt idx="67">
                  <c:v>7.6131690000000001</c:v>
                </c:pt>
                <c:pt idx="68">
                  <c:v>1.7699119999999999</c:v>
                </c:pt>
                <c:pt idx="69">
                  <c:v>23.076920000000001</c:v>
                </c:pt>
                <c:pt idx="70">
                  <c:v>25.218050000000002</c:v>
                </c:pt>
                <c:pt idx="71">
                  <c:v>26.732669999999999</c:v>
                </c:pt>
                <c:pt idx="72">
                  <c:v>0.4608295</c:v>
                </c:pt>
                <c:pt idx="73">
                  <c:v>22.461369999999999</c:v>
                </c:pt>
                <c:pt idx="74">
                  <c:v>24.393719999999998</c:v>
                </c:pt>
                <c:pt idx="75">
                  <c:v>3.7854890000000001</c:v>
                </c:pt>
                <c:pt idx="76">
                  <c:v>13.708869999999999</c:v>
                </c:pt>
                <c:pt idx="77">
                  <c:v>78.994929999999997</c:v>
                </c:pt>
                <c:pt idx="78">
                  <c:v>40.419939999999997</c:v>
                </c:pt>
                <c:pt idx="79">
                  <c:v>38.125</c:v>
                </c:pt>
                <c:pt idx="80">
                  <c:v>50.527050000000003</c:v>
                </c:pt>
                <c:pt idx="81">
                  <c:v>30.204429999999999</c:v>
                </c:pt>
                <c:pt idx="82">
                  <c:v>19.67145</c:v>
                </c:pt>
                <c:pt idx="83">
                  <c:v>22.096579999999999</c:v>
                </c:pt>
                <c:pt idx="84">
                  <c:v>40.794220000000003</c:v>
                </c:pt>
                <c:pt idx="85">
                  <c:v>43.635950000000001</c:v>
                </c:pt>
                <c:pt idx="86">
                  <c:v>70.197980000000001</c:v>
                </c:pt>
                <c:pt idx="87">
                  <c:v>80.130650000000003</c:v>
                </c:pt>
                <c:pt idx="88">
                  <c:v>36.159170000000003</c:v>
                </c:pt>
                <c:pt idx="89">
                  <c:v>69.267139999999998</c:v>
                </c:pt>
                <c:pt idx="90">
                  <c:v>79.734570000000005</c:v>
                </c:pt>
                <c:pt idx="91">
                  <c:v>87.949920000000006</c:v>
                </c:pt>
                <c:pt idx="92">
                  <c:v>82.870959999999997</c:v>
                </c:pt>
                <c:pt idx="93">
                  <c:v>51.264919999999996</c:v>
                </c:pt>
                <c:pt idx="94">
                  <c:v>79.268299999999996</c:v>
                </c:pt>
                <c:pt idx="95">
                  <c:v>1.6826920000000001</c:v>
                </c:pt>
                <c:pt idx="96">
                  <c:v>69.050479999999993</c:v>
                </c:pt>
                <c:pt idx="97">
                  <c:v>19.34901</c:v>
                </c:pt>
                <c:pt idx="98">
                  <c:v>70.712909999999994</c:v>
                </c:pt>
                <c:pt idx="99">
                  <c:v>19.51952</c:v>
                </c:pt>
                <c:pt idx="100">
                  <c:v>28.178699999999999</c:v>
                </c:pt>
                <c:pt idx="101">
                  <c:v>27.221170000000001</c:v>
                </c:pt>
                <c:pt idx="102">
                  <c:v>84.548929999999999</c:v>
                </c:pt>
                <c:pt idx="103">
                  <c:v>44.68938</c:v>
                </c:pt>
                <c:pt idx="104">
                  <c:v>33.6</c:v>
                </c:pt>
                <c:pt idx="105">
                  <c:v>30.111419999999999</c:v>
                </c:pt>
                <c:pt idx="106">
                  <c:v>1.0935600000000001</c:v>
                </c:pt>
                <c:pt idx="107">
                  <c:v>56.309649999999998</c:v>
                </c:pt>
                <c:pt idx="108">
                  <c:v>85.342179999999999</c:v>
                </c:pt>
                <c:pt idx="109">
                  <c:v>9.6974400000000002E-2</c:v>
                </c:pt>
                <c:pt idx="110">
                  <c:v>63.03192</c:v>
                </c:pt>
                <c:pt idx="111">
                  <c:v>1.576873</c:v>
                </c:pt>
                <c:pt idx="112">
                  <c:v>49.392400000000002</c:v>
                </c:pt>
                <c:pt idx="113">
                  <c:v>46.019300000000001</c:v>
                </c:pt>
                <c:pt idx="114">
                  <c:v>2.193784</c:v>
                </c:pt>
                <c:pt idx="115">
                  <c:v>0.52724079999999995</c:v>
                </c:pt>
                <c:pt idx="116">
                  <c:v>2.782931</c:v>
                </c:pt>
                <c:pt idx="117">
                  <c:v>0.28985509999999998</c:v>
                </c:pt>
                <c:pt idx="118">
                  <c:v>87.334590000000006</c:v>
                </c:pt>
                <c:pt idx="119">
                  <c:v>1.3698630000000001</c:v>
                </c:pt>
                <c:pt idx="120">
                  <c:v>59.320810000000002</c:v>
                </c:pt>
                <c:pt idx="121">
                  <c:v>17.17557</c:v>
                </c:pt>
                <c:pt idx="122">
                  <c:v>65.659779999999998</c:v>
                </c:pt>
                <c:pt idx="123">
                  <c:v>25.4771</c:v>
                </c:pt>
                <c:pt idx="124">
                  <c:v>0.23255809999999999</c:v>
                </c:pt>
                <c:pt idx="125">
                  <c:v>1.388889</c:v>
                </c:pt>
                <c:pt idx="126">
                  <c:v>6.6872429999999996</c:v>
                </c:pt>
                <c:pt idx="127">
                  <c:v>26.870899999999999</c:v>
                </c:pt>
                <c:pt idx="128">
                  <c:v>0.70257619999999998</c:v>
                </c:pt>
                <c:pt idx="129">
                  <c:v>39.725619999999999</c:v>
                </c:pt>
                <c:pt idx="130">
                  <c:v>46.721310000000003</c:v>
                </c:pt>
                <c:pt idx="131">
                  <c:v>18.504670000000001</c:v>
                </c:pt>
                <c:pt idx="132">
                  <c:v>0.70671379999999995</c:v>
                </c:pt>
                <c:pt idx="133">
                  <c:v>0.74441690000000005</c:v>
                </c:pt>
                <c:pt idx="134">
                  <c:v>55.523260000000001</c:v>
                </c:pt>
                <c:pt idx="135">
                  <c:v>0.37523450000000003</c:v>
                </c:pt>
                <c:pt idx="136">
                  <c:v>49.422820000000002</c:v>
                </c:pt>
                <c:pt idx="137">
                  <c:v>29.215589999999999</c:v>
                </c:pt>
                <c:pt idx="138">
                  <c:v>47.205979999999997</c:v>
                </c:pt>
                <c:pt idx="139">
                  <c:v>75.289829999999995</c:v>
                </c:pt>
                <c:pt idx="140">
                  <c:v>69.742159999999998</c:v>
                </c:pt>
                <c:pt idx="141">
                  <c:v>69.653009999999995</c:v>
                </c:pt>
                <c:pt idx="142">
                  <c:v>67.439409999999995</c:v>
                </c:pt>
                <c:pt idx="143">
                  <c:v>43.092829999999999</c:v>
                </c:pt>
                <c:pt idx="144">
                  <c:v>0.12936610000000001</c:v>
                </c:pt>
                <c:pt idx="145">
                  <c:v>0.49751250000000002</c:v>
                </c:pt>
                <c:pt idx="146">
                  <c:v>60.582830000000001</c:v>
                </c:pt>
                <c:pt idx="147">
                  <c:v>1.8505819999999999</c:v>
                </c:pt>
                <c:pt idx="148">
                  <c:v>0.51387459999999996</c:v>
                </c:pt>
                <c:pt idx="149">
                  <c:v>79.52928</c:v>
                </c:pt>
                <c:pt idx="150">
                  <c:v>27.755790000000001</c:v>
                </c:pt>
                <c:pt idx="151">
                  <c:v>57.95185</c:v>
                </c:pt>
                <c:pt idx="152">
                  <c:v>50.117370000000001</c:v>
                </c:pt>
                <c:pt idx="153">
                  <c:v>83.863079999999997</c:v>
                </c:pt>
                <c:pt idx="154">
                  <c:v>41.629710000000003</c:v>
                </c:pt>
                <c:pt idx="155">
                  <c:v>0.76103500000000002</c:v>
                </c:pt>
                <c:pt idx="156">
                  <c:v>0.21842010000000001</c:v>
                </c:pt>
                <c:pt idx="157">
                  <c:v>8.0178170000000009</c:v>
                </c:pt>
                <c:pt idx="158">
                  <c:v>67.012799999999999</c:v>
                </c:pt>
                <c:pt idx="159">
                  <c:v>68.207179999999994</c:v>
                </c:pt>
                <c:pt idx="160">
                  <c:v>5.6756760000000002</c:v>
                </c:pt>
                <c:pt idx="161">
                  <c:v>35.820900000000002</c:v>
                </c:pt>
                <c:pt idx="162">
                  <c:v>61.661659999999998</c:v>
                </c:pt>
                <c:pt idx="163">
                  <c:v>0.90777050000000004</c:v>
                </c:pt>
                <c:pt idx="164">
                  <c:v>0.23740710000000001</c:v>
                </c:pt>
                <c:pt idx="165">
                  <c:v>39.385620000000003</c:v>
                </c:pt>
                <c:pt idx="166">
                  <c:v>0.14104369999999999</c:v>
                </c:pt>
                <c:pt idx="167">
                  <c:v>20.408159999999999</c:v>
                </c:pt>
                <c:pt idx="168">
                  <c:v>0.4156011</c:v>
                </c:pt>
                <c:pt idx="169">
                  <c:v>56.724510000000002</c:v>
                </c:pt>
                <c:pt idx="170">
                  <c:v>1.0238910000000001</c:v>
                </c:pt>
                <c:pt idx="171">
                  <c:v>37.543170000000003</c:v>
                </c:pt>
                <c:pt idx="172">
                  <c:v>0.62176169999999997</c:v>
                </c:pt>
                <c:pt idx="173">
                  <c:v>0.32414910000000002</c:v>
                </c:pt>
                <c:pt idx="174">
                  <c:v>3.502189</c:v>
                </c:pt>
                <c:pt idx="175">
                  <c:v>79.846580000000003</c:v>
                </c:pt>
                <c:pt idx="176">
                  <c:v>36.969000000000001</c:v>
                </c:pt>
                <c:pt idx="177">
                  <c:v>34.660769999999999</c:v>
                </c:pt>
                <c:pt idx="178">
                  <c:v>54.684910000000002</c:v>
                </c:pt>
                <c:pt idx="179">
                  <c:v>0.22598869999999999</c:v>
                </c:pt>
                <c:pt idx="180">
                  <c:v>71.279079999999993</c:v>
                </c:pt>
                <c:pt idx="181">
                  <c:v>30.499079999999999</c:v>
                </c:pt>
                <c:pt idx="182">
                  <c:v>70.677959999999999</c:v>
                </c:pt>
                <c:pt idx="183">
                  <c:v>2.3346300000000002</c:v>
                </c:pt>
                <c:pt idx="184">
                  <c:v>29.272349999999999</c:v>
                </c:pt>
                <c:pt idx="185">
                  <c:v>75.576769999999996</c:v>
                </c:pt>
                <c:pt idx="186">
                  <c:v>46.865200000000002</c:v>
                </c:pt>
                <c:pt idx="187">
                  <c:v>11.17928</c:v>
                </c:pt>
                <c:pt idx="188">
                  <c:v>27.04082</c:v>
                </c:pt>
                <c:pt idx="189">
                  <c:v>15.750920000000001</c:v>
                </c:pt>
                <c:pt idx="190">
                  <c:v>59.146000000000001</c:v>
                </c:pt>
                <c:pt idx="191">
                  <c:v>80.930369999999996</c:v>
                </c:pt>
                <c:pt idx="192">
                  <c:v>97.159099999999995</c:v>
                </c:pt>
                <c:pt idx="193">
                  <c:v>85.278270000000006</c:v>
                </c:pt>
                <c:pt idx="194">
                  <c:v>95.458370000000002</c:v>
                </c:pt>
                <c:pt idx="195">
                  <c:v>88.496380000000002</c:v>
                </c:pt>
                <c:pt idx="196">
                  <c:v>97.959180000000003</c:v>
                </c:pt>
                <c:pt idx="197">
                  <c:v>95.372510000000005</c:v>
                </c:pt>
                <c:pt idx="198">
                  <c:v>98.381079999999997</c:v>
                </c:pt>
                <c:pt idx="199">
                  <c:v>95.405270000000002</c:v>
                </c:pt>
                <c:pt idx="200">
                  <c:v>91.706540000000004</c:v>
                </c:pt>
                <c:pt idx="201">
                  <c:v>82.972589999999997</c:v>
                </c:pt>
                <c:pt idx="202">
                  <c:v>79.148740000000004</c:v>
                </c:pt>
                <c:pt idx="203">
                  <c:v>40.925820000000002</c:v>
                </c:pt>
                <c:pt idx="204">
                  <c:v>82.857150000000004</c:v>
                </c:pt>
                <c:pt idx="205">
                  <c:v>96.066670000000002</c:v>
                </c:pt>
                <c:pt idx="206">
                  <c:v>77.521010000000004</c:v>
                </c:pt>
                <c:pt idx="207">
                  <c:v>95.560509999999994</c:v>
                </c:pt>
                <c:pt idx="208">
                  <c:v>83.861419999999995</c:v>
                </c:pt>
                <c:pt idx="209">
                  <c:v>0.6622517</c:v>
                </c:pt>
                <c:pt idx="210">
                  <c:v>17.63862</c:v>
                </c:pt>
                <c:pt idx="211">
                  <c:v>81.342320000000001</c:v>
                </c:pt>
                <c:pt idx="212">
                  <c:v>78.557730000000006</c:v>
                </c:pt>
                <c:pt idx="213">
                  <c:v>98.102379999999997</c:v>
                </c:pt>
                <c:pt idx="214">
                  <c:v>92.213319999999996</c:v>
                </c:pt>
                <c:pt idx="215">
                  <c:v>0.11474470000000001</c:v>
                </c:pt>
                <c:pt idx="216">
                  <c:v>85.652299999999997</c:v>
                </c:pt>
                <c:pt idx="217">
                  <c:v>84.490009999999998</c:v>
                </c:pt>
                <c:pt idx="218">
                  <c:v>46.553660000000001</c:v>
                </c:pt>
                <c:pt idx="219">
                  <c:v>8.2101800000000003E-2</c:v>
                </c:pt>
                <c:pt idx="220">
                  <c:v>1.0507880000000001</c:v>
                </c:pt>
                <c:pt idx="221">
                  <c:v>82.688180000000003</c:v>
                </c:pt>
                <c:pt idx="222">
                  <c:v>46.30753</c:v>
                </c:pt>
                <c:pt idx="223">
                  <c:v>51.936869999999999</c:v>
                </c:pt>
                <c:pt idx="224">
                  <c:v>87.582310000000007</c:v>
                </c:pt>
                <c:pt idx="225">
                  <c:v>75.269000000000005</c:v>
                </c:pt>
                <c:pt idx="226">
                  <c:v>36.793610000000001</c:v>
                </c:pt>
                <c:pt idx="227">
                  <c:v>87.869820000000004</c:v>
                </c:pt>
                <c:pt idx="228">
                  <c:v>93.460639999999998</c:v>
                </c:pt>
                <c:pt idx="229">
                  <c:v>82.170270000000002</c:v>
                </c:pt>
                <c:pt idx="230">
                  <c:v>43.138300000000001</c:v>
                </c:pt>
                <c:pt idx="231">
                  <c:v>92.733890000000002</c:v>
                </c:pt>
                <c:pt idx="232">
                  <c:v>94.813419999999994</c:v>
                </c:pt>
                <c:pt idx="233">
                  <c:v>86.568190000000001</c:v>
                </c:pt>
                <c:pt idx="234">
                  <c:v>56.513159999999999</c:v>
                </c:pt>
                <c:pt idx="235">
                  <c:v>1.447527</c:v>
                </c:pt>
                <c:pt idx="236">
                  <c:v>70.407039999999995</c:v>
                </c:pt>
                <c:pt idx="237">
                  <c:v>93.157889999999995</c:v>
                </c:pt>
                <c:pt idx="238">
                  <c:v>33.462029999999999</c:v>
                </c:pt>
                <c:pt idx="239">
                  <c:v>75.138120000000001</c:v>
                </c:pt>
                <c:pt idx="240">
                  <c:v>94.862219999999994</c:v>
                </c:pt>
                <c:pt idx="241">
                  <c:v>55.58061</c:v>
                </c:pt>
                <c:pt idx="242">
                  <c:v>81.865669999999994</c:v>
                </c:pt>
                <c:pt idx="243">
                  <c:v>56.610320000000002</c:v>
                </c:pt>
                <c:pt idx="244">
                  <c:v>84.907489999999996</c:v>
                </c:pt>
                <c:pt idx="245">
                  <c:v>72.270229999999998</c:v>
                </c:pt>
                <c:pt idx="246">
                  <c:v>82.582319999999996</c:v>
                </c:pt>
                <c:pt idx="247">
                  <c:v>92.679850000000002</c:v>
                </c:pt>
                <c:pt idx="248">
                  <c:v>97.092420000000004</c:v>
                </c:pt>
                <c:pt idx="249">
                  <c:v>98.907880000000006</c:v>
                </c:pt>
                <c:pt idx="250">
                  <c:v>96.505759999999995</c:v>
                </c:pt>
                <c:pt idx="251">
                  <c:v>82.97766</c:v>
                </c:pt>
                <c:pt idx="252">
                  <c:v>87.339609999999993</c:v>
                </c:pt>
                <c:pt idx="253">
                  <c:v>83.825450000000004</c:v>
                </c:pt>
                <c:pt idx="254">
                  <c:v>41.913240000000002</c:v>
                </c:pt>
                <c:pt idx="255">
                  <c:v>95.254450000000006</c:v>
                </c:pt>
                <c:pt idx="256">
                  <c:v>96.607699999999994</c:v>
                </c:pt>
                <c:pt idx="257">
                  <c:v>86.223780000000005</c:v>
                </c:pt>
                <c:pt idx="258">
                  <c:v>88.854100000000003</c:v>
                </c:pt>
                <c:pt idx="259">
                  <c:v>97.168369999999996</c:v>
                </c:pt>
                <c:pt idx="260">
                  <c:v>89.233029999999999</c:v>
                </c:pt>
                <c:pt idx="261">
                  <c:v>88.472629999999995</c:v>
                </c:pt>
                <c:pt idx="262">
                  <c:v>75.033940000000001</c:v>
                </c:pt>
                <c:pt idx="263">
                  <c:v>2.6966290000000002</c:v>
                </c:pt>
                <c:pt idx="264">
                  <c:v>34.604900000000001</c:v>
                </c:pt>
                <c:pt idx="265">
                  <c:v>11.40584</c:v>
                </c:pt>
                <c:pt idx="266">
                  <c:v>50.37453</c:v>
                </c:pt>
                <c:pt idx="267">
                  <c:v>41.060400000000001</c:v>
                </c:pt>
                <c:pt idx="268">
                  <c:v>72.403369999999995</c:v>
                </c:pt>
                <c:pt idx="269">
                  <c:v>46.180549999999997</c:v>
                </c:pt>
                <c:pt idx="270">
                  <c:v>77.772319999999993</c:v>
                </c:pt>
                <c:pt idx="271">
                  <c:v>88.307689999999994</c:v>
                </c:pt>
                <c:pt idx="272">
                  <c:v>97.251189999999994</c:v>
                </c:pt>
                <c:pt idx="273">
                  <c:v>49.660789999999999</c:v>
                </c:pt>
                <c:pt idx="274">
                  <c:v>96.417270000000002</c:v>
                </c:pt>
                <c:pt idx="275">
                  <c:v>54.757930000000002</c:v>
                </c:pt>
                <c:pt idx="276">
                  <c:v>80.892060000000001</c:v>
                </c:pt>
                <c:pt idx="277">
                  <c:v>91.300190000000001</c:v>
                </c:pt>
                <c:pt idx="278">
                  <c:v>88.348879999999994</c:v>
                </c:pt>
                <c:pt idx="279">
                  <c:v>67.976510000000005</c:v>
                </c:pt>
                <c:pt idx="280">
                  <c:v>82.255840000000006</c:v>
                </c:pt>
                <c:pt idx="281">
                  <c:v>87.385220000000004</c:v>
                </c:pt>
                <c:pt idx="282">
                  <c:v>94.528049999999993</c:v>
                </c:pt>
                <c:pt idx="283">
                  <c:v>74.298060000000007</c:v>
                </c:pt>
                <c:pt idx="284">
                  <c:v>91.223730000000003</c:v>
                </c:pt>
                <c:pt idx="285">
                  <c:v>88.904110000000003</c:v>
                </c:pt>
                <c:pt idx="286">
                  <c:v>96.643870000000007</c:v>
                </c:pt>
                <c:pt idx="287">
                  <c:v>79.436859999999996</c:v>
                </c:pt>
                <c:pt idx="288">
                  <c:v>15.52941</c:v>
                </c:pt>
                <c:pt idx="289">
                  <c:v>89.522350000000003</c:v>
                </c:pt>
                <c:pt idx="290">
                  <c:v>75.693529999999996</c:v>
                </c:pt>
                <c:pt idx="291">
                  <c:v>92.551599999999993</c:v>
                </c:pt>
                <c:pt idx="292">
                  <c:v>55.592649999999999</c:v>
                </c:pt>
                <c:pt idx="293">
                  <c:v>76.210650000000001</c:v>
                </c:pt>
                <c:pt idx="294">
                  <c:v>96.663020000000003</c:v>
                </c:pt>
                <c:pt idx="295">
                  <c:v>96.238820000000004</c:v>
                </c:pt>
                <c:pt idx="296">
                  <c:v>73.303830000000005</c:v>
                </c:pt>
                <c:pt idx="297">
                  <c:v>94.544039999999995</c:v>
                </c:pt>
                <c:pt idx="298">
                  <c:v>98.658590000000004</c:v>
                </c:pt>
                <c:pt idx="299">
                  <c:v>51.851100000000002</c:v>
                </c:pt>
                <c:pt idx="300">
                  <c:v>97.576980000000006</c:v>
                </c:pt>
                <c:pt idx="301">
                  <c:v>61.307690000000001</c:v>
                </c:pt>
                <c:pt idx="302">
                  <c:v>97.670649999999995</c:v>
                </c:pt>
                <c:pt idx="303">
                  <c:v>96.06447</c:v>
                </c:pt>
                <c:pt idx="304">
                  <c:v>87.030940000000001</c:v>
                </c:pt>
                <c:pt idx="305">
                  <c:v>57.943550000000002</c:v>
                </c:pt>
                <c:pt idx="306">
                  <c:v>85.686840000000004</c:v>
                </c:pt>
                <c:pt idx="307">
                  <c:v>17.660039999999999</c:v>
                </c:pt>
                <c:pt idx="308">
                  <c:v>60.480150000000002</c:v>
                </c:pt>
                <c:pt idx="309">
                  <c:v>0.69101679999999999</c:v>
                </c:pt>
                <c:pt idx="310">
                  <c:v>50.421939999999999</c:v>
                </c:pt>
                <c:pt idx="311">
                  <c:v>90.666399999999996</c:v>
                </c:pt>
                <c:pt idx="312">
                  <c:v>60.988770000000002</c:v>
                </c:pt>
                <c:pt idx="313">
                  <c:v>76.23545</c:v>
                </c:pt>
                <c:pt idx="314">
                  <c:v>27.872859999999999</c:v>
                </c:pt>
                <c:pt idx="315">
                  <c:v>0.18335170000000001</c:v>
                </c:pt>
                <c:pt idx="316">
                  <c:v>65.070679999999996</c:v>
                </c:pt>
                <c:pt idx="317">
                  <c:v>88.872720000000001</c:v>
                </c:pt>
                <c:pt idx="318">
                  <c:v>0.46153850000000002</c:v>
                </c:pt>
                <c:pt idx="319">
                  <c:v>11.767770000000001</c:v>
                </c:pt>
                <c:pt idx="320">
                  <c:v>13.237640000000001</c:v>
                </c:pt>
                <c:pt idx="321">
                  <c:v>91.878169999999997</c:v>
                </c:pt>
                <c:pt idx="322">
                  <c:v>85.076639999999998</c:v>
                </c:pt>
                <c:pt idx="323">
                  <c:v>98.496639999999999</c:v>
                </c:pt>
                <c:pt idx="324">
                  <c:v>76.312129999999996</c:v>
                </c:pt>
                <c:pt idx="325">
                  <c:v>69.519199999999998</c:v>
                </c:pt>
                <c:pt idx="326">
                  <c:v>92.515529999999998</c:v>
                </c:pt>
                <c:pt idx="327">
                  <c:v>85.809240000000003</c:v>
                </c:pt>
                <c:pt idx="328">
                  <c:v>0.27748869999999998</c:v>
                </c:pt>
                <c:pt idx="329">
                  <c:v>55.040419999999997</c:v>
                </c:pt>
                <c:pt idx="330">
                  <c:v>99.514849999999996</c:v>
                </c:pt>
                <c:pt idx="331">
                  <c:v>85.679010000000005</c:v>
                </c:pt>
                <c:pt idx="332">
                  <c:v>86.902079999999998</c:v>
                </c:pt>
                <c:pt idx="333">
                  <c:v>90.012330000000006</c:v>
                </c:pt>
                <c:pt idx="334">
                  <c:v>98.181820000000002</c:v>
                </c:pt>
                <c:pt idx="335">
                  <c:v>61.313009999999998</c:v>
                </c:pt>
                <c:pt idx="336">
                  <c:v>80.287769999999995</c:v>
                </c:pt>
                <c:pt idx="337">
                  <c:v>71.368129999999994</c:v>
                </c:pt>
                <c:pt idx="338">
                  <c:v>49.447310000000002</c:v>
                </c:pt>
                <c:pt idx="339">
                  <c:v>89.717370000000003</c:v>
                </c:pt>
                <c:pt idx="340">
                  <c:v>83.986369999999994</c:v>
                </c:pt>
                <c:pt idx="341">
                  <c:v>96.376819999999995</c:v>
                </c:pt>
                <c:pt idx="342">
                  <c:v>53.42295</c:v>
                </c:pt>
                <c:pt idx="343">
                  <c:v>31.034479999999999</c:v>
                </c:pt>
                <c:pt idx="344">
                  <c:v>40.968060000000001</c:v>
                </c:pt>
                <c:pt idx="345">
                  <c:v>31.541219999999999</c:v>
                </c:pt>
                <c:pt idx="346">
                  <c:v>91.76</c:v>
                </c:pt>
                <c:pt idx="347">
                  <c:v>1.9213169999999999</c:v>
                </c:pt>
                <c:pt idx="348">
                  <c:v>72.904820000000001</c:v>
                </c:pt>
                <c:pt idx="349">
                  <c:v>0.63246659999999999</c:v>
                </c:pt>
                <c:pt idx="350">
                  <c:v>0.98814230000000003</c:v>
                </c:pt>
                <c:pt idx="351">
                  <c:v>37.20008</c:v>
                </c:pt>
                <c:pt idx="352">
                  <c:v>37.054259999999999</c:v>
                </c:pt>
                <c:pt idx="353">
                  <c:v>37.801609999999997</c:v>
                </c:pt>
                <c:pt idx="354">
                  <c:v>77.972350000000006</c:v>
                </c:pt>
                <c:pt idx="355">
                  <c:v>56.99615</c:v>
                </c:pt>
                <c:pt idx="356">
                  <c:v>29.411770000000001</c:v>
                </c:pt>
                <c:pt idx="357">
                  <c:v>56.280189999999997</c:v>
                </c:pt>
                <c:pt idx="358">
                  <c:v>69.342820000000003</c:v>
                </c:pt>
                <c:pt idx="359">
                  <c:v>0.22563179999999999</c:v>
                </c:pt>
                <c:pt idx="360">
                  <c:v>89.861410000000006</c:v>
                </c:pt>
                <c:pt idx="361">
                  <c:v>17.35379</c:v>
                </c:pt>
                <c:pt idx="362">
                  <c:v>81.792469999999994</c:v>
                </c:pt>
                <c:pt idx="363">
                  <c:v>83.491010000000003</c:v>
                </c:pt>
                <c:pt idx="364">
                  <c:v>36.21022</c:v>
                </c:pt>
                <c:pt idx="365">
                  <c:v>50.364199999999997</c:v>
                </c:pt>
                <c:pt idx="366">
                  <c:v>35.436329999999998</c:v>
                </c:pt>
                <c:pt idx="367">
                  <c:v>65.427139999999994</c:v>
                </c:pt>
                <c:pt idx="368">
                  <c:v>83.038349999999994</c:v>
                </c:pt>
                <c:pt idx="369">
                  <c:v>57.086219999999997</c:v>
                </c:pt>
                <c:pt idx="370">
                  <c:v>50.947850000000003</c:v>
                </c:pt>
                <c:pt idx="371">
                  <c:v>2.3529409999999999</c:v>
                </c:pt>
                <c:pt idx="372">
                  <c:v>95.158540000000002</c:v>
                </c:pt>
                <c:pt idx="373">
                  <c:v>60.317459999999997</c:v>
                </c:pt>
                <c:pt idx="374">
                  <c:v>53.385599999999997</c:v>
                </c:pt>
                <c:pt idx="375">
                  <c:v>64.464969999999994</c:v>
                </c:pt>
                <c:pt idx="376">
                  <c:v>0.79302139999999999</c:v>
                </c:pt>
                <c:pt idx="377">
                  <c:v>3.5460999999999999E-2</c:v>
                </c:pt>
                <c:pt idx="378">
                  <c:v>72.694599999999994</c:v>
                </c:pt>
                <c:pt idx="379">
                  <c:v>3.4700310000000001</c:v>
                </c:pt>
                <c:pt idx="380">
                  <c:v>85.604609999999994</c:v>
                </c:pt>
                <c:pt idx="381">
                  <c:v>87.024190000000004</c:v>
                </c:pt>
                <c:pt idx="382">
                  <c:v>41.132289999999998</c:v>
                </c:pt>
                <c:pt idx="383">
                  <c:v>69.538970000000006</c:v>
                </c:pt>
                <c:pt idx="384">
                  <c:v>67.695220000000006</c:v>
                </c:pt>
                <c:pt idx="385">
                  <c:v>94.332589999999996</c:v>
                </c:pt>
                <c:pt idx="386">
                  <c:v>17.378679999999999</c:v>
                </c:pt>
                <c:pt idx="387">
                  <c:v>94.934330000000003</c:v>
                </c:pt>
                <c:pt idx="388">
                  <c:v>93.885350000000003</c:v>
                </c:pt>
                <c:pt idx="389">
                  <c:v>36.190480000000001</c:v>
                </c:pt>
                <c:pt idx="390">
                  <c:v>61.418680000000002</c:v>
                </c:pt>
                <c:pt idx="391">
                  <c:v>41.127690000000001</c:v>
                </c:pt>
                <c:pt idx="392">
                  <c:v>64.163820000000001</c:v>
                </c:pt>
                <c:pt idx="393">
                  <c:v>55.918140000000001</c:v>
                </c:pt>
                <c:pt idx="394">
                  <c:v>5.4393310000000001</c:v>
                </c:pt>
                <c:pt idx="395">
                  <c:v>55.212359999999997</c:v>
                </c:pt>
                <c:pt idx="396">
                  <c:v>81.491</c:v>
                </c:pt>
                <c:pt idx="397">
                  <c:v>84.069100000000006</c:v>
                </c:pt>
                <c:pt idx="398">
                  <c:v>30.6538</c:v>
                </c:pt>
                <c:pt idx="399">
                  <c:v>0.44444440000000002</c:v>
                </c:pt>
                <c:pt idx="400">
                  <c:v>18.130310000000001</c:v>
                </c:pt>
                <c:pt idx="401">
                  <c:v>40.361060000000002</c:v>
                </c:pt>
                <c:pt idx="402">
                  <c:v>38.190959999999997</c:v>
                </c:pt>
                <c:pt idx="403">
                  <c:v>66.688469999999995</c:v>
                </c:pt>
                <c:pt idx="404">
                  <c:v>89.758179999999996</c:v>
                </c:pt>
                <c:pt idx="405">
                  <c:v>96.869</c:v>
                </c:pt>
                <c:pt idx="406">
                  <c:v>92.124110000000002</c:v>
                </c:pt>
                <c:pt idx="407">
                  <c:v>26.127050000000001</c:v>
                </c:pt>
                <c:pt idx="408">
                  <c:v>87.933880000000002</c:v>
                </c:pt>
                <c:pt idx="409">
                  <c:v>65.222340000000003</c:v>
                </c:pt>
                <c:pt idx="410">
                  <c:v>45.009320000000002</c:v>
                </c:pt>
                <c:pt idx="411">
                  <c:v>96.330789999999993</c:v>
                </c:pt>
                <c:pt idx="412">
                  <c:v>74.119910000000004</c:v>
                </c:pt>
                <c:pt idx="413">
                  <c:v>91.960449999999994</c:v>
                </c:pt>
                <c:pt idx="414">
                  <c:v>13.268610000000001</c:v>
                </c:pt>
                <c:pt idx="415">
                  <c:v>92.563820000000007</c:v>
                </c:pt>
                <c:pt idx="416">
                  <c:v>75.594660000000005</c:v>
                </c:pt>
                <c:pt idx="417">
                  <c:v>20.315899999999999</c:v>
                </c:pt>
                <c:pt idx="418">
                  <c:v>58.564439999999998</c:v>
                </c:pt>
                <c:pt idx="419">
                  <c:v>0.77220080000000002</c:v>
                </c:pt>
                <c:pt idx="420">
                  <c:v>53.465350000000001</c:v>
                </c:pt>
                <c:pt idx="421">
                  <c:v>26.14331</c:v>
                </c:pt>
                <c:pt idx="422">
                  <c:v>0.57899089999999998</c:v>
                </c:pt>
                <c:pt idx="423">
                  <c:v>78.148960000000002</c:v>
                </c:pt>
                <c:pt idx="424">
                  <c:v>53.908389999999997</c:v>
                </c:pt>
                <c:pt idx="425">
                  <c:v>66.968900000000005</c:v>
                </c:pt>
                <c:pt idx="426">
                  <c:v>5.4347800000000002E-2</c:v>
                </c:pt>
                <c:pt idx="427">
                  <c:v>58.520060000000001</c:v>
                </c:pt>
                <c:pt idx="428">
                  <c:v>23.092449999999999</c:v>
                </c:pt>
                <c:pt idx="429">
                  <c:v>1.7621150000000001</c:v>
                </c:pt>
                <c:pt idx="430">
                  <c:v>0.39968029999999999</c:v>
                </c:pt>
                <c:pt idx="431">
                  <c:v>68.895650000000003</c:v>
                </c:pt>
                <c:pt idx="432">
                  <c:v>67.383510000000001</c:v>
                </c:pt>
                <c:pt idx="433">
                  <c:v>64.578720000000004</c:v>
                </c:pt>
                <c:pt idx="434">
                  <c:v>9.3023249999999997</c:v>
                </c:pt>
                <c:pt idx="435">
                  <c:v>67.256100000000004</c:v>
                </c:pt>
                <c:pt idx="436">
                  <c:v>42.150039999999997</c:v>
                </c:pt>
                <c:pt idx="437">
                  <c:v>69.976910000000004</c:v>
                </c:pt>
                <c:pt idx="438">
                  <c:v>0.59221659999999998</c:v>
                </c:pt>
                <c:pt idx="439">
                  <c:v>1.657459</c:v>
                </c:pt>
                <c:pt idx="440">
                  <c:v>3.4341360000000001</c:v>
                </c:pt>
                <c:pt idx="441">
                  <c:v>0.36656889999999998</c:v>
                </c:pt>
                <c:pt idx="442">
                  <c:v>1.359003</c:v>
                </c:pt>
                <c:pt idx="443">
                  <c:v>5.7233700000000001</c:v>
                </c:pt>
                <c:pt idx="444">
                  <c:v>78.279070000000004</c:v>
                </c:pt>
                <c:pt idx="445">
                  <c:v>1.8237080000000001</c:v>
                </c:pt>
              </c:numCache>
            </c:numRef>
          </c:xVal>
          <c:yVal>
            <c:numRef>
              <c:f>'PP na bývanie (2018)'!$D$9:$D$454</c:f>
              <c:numCache>
                <c:formatCode>General</c:formatCode>
                <c:ptCount val="446"/>
                <c:pt idx="0">
                  <c:v>45.717590000000001</c:v>
                </c:pt>
                <c:pt idx="1">
                  <c:v>54.492750000000001</c:v>
                </c:pt>
                <c:pt idx="2">
                  <c:v>37.969090000000001</c:v>
                </c:pt>
                <c:pt idx="3">
                  <c:v>33.814430000000002</c:v>
                </c:pt>
                <c:pt idx="4">
                  <c:v>31.99513</c:v>
                </c:pt>
                <c:pt idx="5">
                  <c:v>36.672629999999998</c:v>
                </c:pt>
                <c:pt idx="6">
                  <c:v>52.183030000000002</c:v>
                </c:pt>
                <c:pt idx="7">
                  <c:v>52.744630000000001</c:v>
                </c:pt>
                <c:pt idx="8">
                  <c:v>51.963050000000003</c:v>
                </c:pt>
                <c:pt idx="9">
                  <c:v>43.811880000000002</c:v>
                </c:pt>
                <c:pt idx="10">
                  <c:v>75</c:v>
                </c:pt>
                <c:pt idx="11">
                  <c:v>53.993609999999997</c:v>
                </c:pt>
                <c:pt idx="12">
                  <c:v>40.748899999999999</c:v>
                </c:pt>
                <c:pt idx="13">
                  <c:v>53.978499999999997</c:v>
                </c:pt>
                <c:pt idx="14">
                  <c:v>46.484380000000002</c:v>
                </c:pt>
                <c:pt idx="15">
                  <c:v>73.255809999999997</c:v>
                </c:pt>
                <c:pt idx="16">
                  <c:v>44.01041</c:v>
                </c:pt>
                <c:pt idx="17">
                  <c:v>60.154440000000001</c:v>
                </c:pt>
                <c:pt idx="18">
                  <c:v>69.461070000000007</c:v>
                </c:pt>
                <c:pt idx="19">
                  <c:v>43.75</c:v>
                </c:pt>
                <c:pt idx="20">
                  <c:v>33.318840000000002</c:v>
                </c:pt>
                <c:pt idx="21">
                  <c:v>49.321019999999997</c:v>
                </c:pt>
                <c:pt idx="22">
                  <c:v>60.01529</c:v>
                </c:pt>
                <c:pt idx="23">
                  <c:v>42.123289999999997</c:v>
                </c:pt>
                <c:pt idx="24">
                  <c:v>33.169130000000003</c:v>
                </c:pt>
                <c:pt idx="25">
                  <c:v>34.924619999999997</c:v>
                </c:pt>
                <c:pt idx="26">
                  <c:v>51.644440000000003</c:v>
                </c:pt>
                <c:pt idx="27">
                  <c:v>36.263739999999999</c:v>
                </c:pt>
                <c:pt idx="28">
                  <c:v>43.686279999999996</c:v>
                </c:pt>
                <c:pt idx="29">
                  <c:v>36.736159999999998</c:v>
                </c:pt>
                <c:pt idx="30">
                  <c:v>61.498370000000001</c:v>
                </c:pt>
                <c:pt idx="31">
                  <c:v>53.11871</c:v>
                </c:pt>
                <c:pt idx="32">
                  <c:v>53.929540000000003</c:v>
                </c:pt>
                <c:pt idx="33">
                  <c:v>60.512500000000003</c:v>
                </c:pt>
                <c:pt idx="34">
                  <c:v>59.272399999999998</c:v>
                </c:pt>
                <c:pt idx="35">
                  <c:v>66.650859999999994</c:v>
                </c:pt>
                <c:pt idx="36">
                  <c:v>54.163229999999999</c:v>
                </c:pt>
                <c:pt idx="37">
                  <c:v>54.640529999999998</c:v>
                </c:pt>
                <c:pt idx="38">
                  <c:v>67.081850000000003</c:v>
                </c:pt>
                <c:pt idx="39">
                  <c:v>50.998950000000001</c:v>
                </c:pt>
                <c:pt idx="40">
                  <c:v>53.484769999999997</c:v>
                </c:pt>
                <c:pt idx="41">
                  <c:v>73.78049</c:v>
                </c:pt>
                <c:pt idx="42">
                  <c:v>47.867609999999999</c:v>
                </c:pt>
                <c:pt idx="43">
                  <c:v>60.352420000000002</c:v>
                </c:pt>
                <c:pt idx="44">
                  <c:v>59.2</c:v>
                </c:pt>
                <c:pt idx="45">
                  <c:v>63.262599999999999</c:v>
                </c:pt>
                <c:pt idx="46">
                  <c:v>54.90605</c:v>
                </c:pt>
                <c:pt idx="47">
                  <c:v>51.978769999999997</c:v>
                </c:pt>
                <c:pt idx="48">
                  <c:v>49.519579999999998</c:v>
                </c:pt>
                <c:pt idx="49">
                  <c:v>45.959409999999998</c:v>
                </c:pt>
                <c:pt idx="50">
                  <c:v>48.351649999999999</c:v>
                </c:pt>
                <c:pt idx="51">
                  <c:v>44.785269999999997</c:v>
                </c:pt>
                <c:pt idx="52">
                  <c:v>47.727269999999997</c:v>
                </c:pt>
                <c:pt idx="53">
                  <c:v>55.152000000000001</c:v>
                </c:pt>
                <c:pt idx="54">
                  <c:v>58.855589999999999</c:v>
                </c:pt>
                <c:pt idx="55">
                  <c:v>55.398229999999998</c:v>
                </c:pt>
                <c:pt idx="56">
                  <c:v>55.384619999999998</c:v>
                </c:pt>
                <c:pt idx="57">
                  <c:v>59.403669999999998</c:v>
                </c:pt>
                <c:pt idx="58">
                  <c:v>53.27225</c:v>
                </c:pt>
                <c:pt idx="59">
                  <c:v>58.004779999999997</c:v>
                </c:pt>
                <c:pt idx="60">
                  <c:v>40.148699999999998</c:v>
                </c:pt>
                <c:pt idx="61">
                  <c:v>59.595959999999998</c:v>
                </c:pt>
                <c:pt idx="62">
                  <c:v>52.67062</c:v>
                </c:pt>
                <c:pt idx="63">
                  <c:v>54.330710000000003</c:v>
                </c:pt>
                <c:pt idx="64">
                  <c:v>53.38646</c:v>
                </c:pt>
                <c:pt idx="65">
                  <c:v>52.997079999999997</c:v>
                </c:pt>
                <c:pt idx="66">
                  <c:v>50.354610000000001</c:v>
                </c:pt>
                <c:pt idx="67">
                  <c:v>72.945210000000003</c:v>
                </c:pt>
                <c:pt idx="68">
                  <c:v>64.078940000000003</c:v>
                </c:pt>
                <c:pt idx="69">
                  <c:v>66.233760000000004</c:v>
                </c:pt>
                <c:pt idx="70">
                  <c:v>57.570569999999996</c:v>
                </c:pt>
                <c:pt idx="71">
                  <c:v>65.822779999999995</c:v>
                </c:pt>
                <c:pt idx="72">
                  <c:v>48.032130000000002</c:v>
                </c:pt>
                <c:pt idx="73">
                  <c:v>57.463880000000003</c:v>
                </c:pt>
                <c:pt idx="74">
                  <c:v>65.342160000000007</c:v>
                </c:pt>
                <c:pt idx="75">
                  <c:v>70.040490000000005</c:v>
                </c:pt>
                <c:pt idx="76">
                  <c:v>57.786540000000002</c:v>
                </c:pt>
                <c:pt idx="77">
                  <c:v>38.485320000000002</c:v>
                </c:pt>
                <c:pt idx="78">
                  <c:v>44.860010000000003</c:v>
                </c:pt>
                <c:pt idx="79">
                  <c:v>45.359020000000001</c:v>
                </c:pt>
                <c:pt idx="80">
                  <c:v>54.834910000000001</c:v>
                </c:pt>
                <c:pt idx="81">
                  <c:v>61.437629999999999</c:v>
                </c:pt>
                <c:pt idx="82">
                  <c:v>48.94068</c:v>
                </c:pt>
                <c:pt idx="83">
                  <c:v>48.57246</c:v>
                </c:pt>
                <c:pt idx="84">
                  <c:v>48.830410000000001</c:v>
                </c:pt>
                <c:pt idx="85">
                  <c:v>63.859110000000001</c:v>
                </c:pt>
                <c:pt idx="86">
                  <c:v>35.185600000000001</c:v>
                </c:pt>
                <c:pt idx="87">
                  <c:v>23.856439999999999</c:v>
                </c:pt>
                <c:pt idx="88">
                  <c:v>41.563049999999997</c:v>
                </c:pt>
                <c:pt idx="89">
                  <c:v>31.828980000000001</c:v>
                </c:pt>
                <c:pt idx="90">
                  <c:v>42.983750000000001</c:v>
                </c:pt>
                <c:pt idx="91">
                  <c:v>31.70213</c:v>
                </c:pt>
                <c:pt idx="92">
                  <c:v>26.08117</c:v>
                </c:pt>
                <c:pt idx="93">
                  <c:v>51.785710000000002</c:v>
                </c:pt>
                <c:pt idx="94">
                  <c:v>48.109969999999997</c:v>
                </c:pt>
                <c:pt idx="95">
                  <c:v>53.034300000000002</c:v>
                </c:pt>
                <c:pt idx="96">
                  <c:v>46.259259999999998</c:v>
                </c:pt>
                <c:pt idx="97">
                  <c:v>68.497110000000006</c:v>
                </c:pt>
                <c:pt idx="98">
                  <c:v>38.616709999999998</c:v>
                </c:pt>
                <c:pt idx="99">
                  <c:v>48.951050000000002</c:v>
                </c:pt>
                <c:pt idx="100">
                  <c:v>55.432369999999999</c:v>
                </c:pt>
                <c:pt idx="101">
                  <c:v>56.061720000000001</c:v>
                </c:pt>
                <c:pt idx="102">
                  <c:v>33.920699999999997</c:v>
                </c:pt>
                <c:pt idx="103">
                  <c:v>48.788930000000001</c:v>
                </c:pt>
                <c:pt idx="104">
                  <c:v>59.815950000000001</c:v>
                </c:pt>
                <c:pt idx="105">
                  <c:v>42.83943</c:v>
                </c:pt>
                <c:pt idx="106">
                  <c:v>41.116750000000003</c:v>
                </c:pt>
                <c:pt idx="107">
                  <c:v>46.558109999999999</c:v>
                </c:pt>
                <c:pt idx="108">
                  <c:v>31.095890000000001</c:v>
                </c:pt>
                <c:pt idx="109">
                  <c:v>48.208530000000003</c:v>
                </c:pt>
                <c:pt idx="110">
                  <c:v>54.389719999999997</c:v>
                </c:pt>
                <c:pt idx="111">
                  <c:v>69.627499999999998</c:v>
                </c:pt>
                <c:pt idx="112">
                  <c:v>50.878480000000003</c:v>
                </c:pt>
                <c:pt idx="113">
                  <c:v>42.661180000000002</c:v>
                </c:pt>
                <c:pt idx="114">
                  <c:v>42.033900000000003</c:v>
                </c:pt>
                <c:pt idx="115">
                  <c:v>68.172039999999996</c:v>
                </c:pt>
                <c:pt idx="116">
                  <c:v>56.369419999999998</c:v>
                </c:pt>
                <c:pt idx="117">
                  <c:v>45.60669</c:v>
                </c:pt>
                <c:pt idx="118">
                  <c:v>31.353919999999999</c:v>
                </c:pt>
                <c:pt idx="119">
                  <c:v>51.903120000000001</c:v>
                </c:pt>
                <c:pt idx="120">
                  <c:v>40.494300000000003</c:v>
                </c:pt>
                <c:pt idx="121">
                  <c:v>82.183909999999997</c:v>
                </c:pt>
                <c:pt idx="122">
                  <c:v>49.140900000000002</c:v>
                </c:pt>
                <c:pt idx="123">
                  <c:v>54.18327</c:v>
                </c:pt>
                <c:pt idx="124">
                  <c:v>46.5154</c:v>
                </c:pt>
                <c:pt idx="125">
                  <c:v>41.694920000000003</c:v>
                </c:pt>
                <c:pt idx="126">
                  <c:v>42.857140000000001</c:v>
                </c:pt>
                <c:pt idx="127">
                  <c:v>61.23959</c:v>
                </c:pt>
                <c:pt idx="128">
                  <c:v>74.035089999999997</c:v>
                </c:pt>
                <c:pt idx="129">
                  <c:v>72.458309999999997</c:v>
                </c:pt>
                <c:pt idx="130">
                  <c:v>54.019289999999998</c:v>
                </c:pt>
                <c:pt idx="131">
                  <c:v>64.634150000000005</c:v>
                </c:pt>
                <c:pt idx="132">
                  <c:v>67.708330000000004</c:v>
                </c:pt>
                <c:pt idx="133">
                  <c:v>51.718989999999998</c:v>
                </c:pt>
                <c:pt idx="134">
                  <c:v>33.405410000000003</c:v>
                </c:pt>
                <c:pt idx="135">
                  <c:v>47.06897</c:v>
                </c:pt>
                <c:pt idx="136">
                  <c:v>56.225769999999997</c:v>
                </c:pt>
                <c:pt idx="137">
                  <c:v>62.175699999999999</c:v>
                </c:pt>
                <c:pt idx="138">
                  <c:v>53.236789999999999</c:v>
                </c:pt>
                <c:pt idx="139">
                  <c:v>40.695070000000001</c:v>
                </c:pt>
                <c:pt idx="140">
                  <c:v>56.269120000000001</c:v>
                </c:pt>
                <c:pt idx="141">
                  <c:v>59.786479999999997</c:v>
                </c:pt>
                <c:pt idx="142">
                  <c:v>41.743119999999998</c:v>
                </c:pt>
                <c:pt idx="143">
                  <c:v>53.882429999999999</c:v>
                </c:pt>
                <c:pt idx="144">
                  <c:v>33.869439999999997</c:v>
                </c:pt>
                <c:pt idx="145">
                  <c:v>49.402979999999999</c:v>
                </c:pt>
                <c:pt idx="146">
                  <c:v>53.483600000000003</c:v>
                </c:pt>
                <c:pt idx="147">
                  <c:v>50.679850000000002</c:v>
                </c:pt>
                <c:pt idx="148">
                  <c:v>78.524950000000004</c:v>
                </c:pt>
                <c:pt idx="149">
                  <c:v>52.168370000000003</c:v>
                </c:pt>
                <c:pt idx="150">
                  <c:v>61.07555</c:v>
                </c:pt>
                <c:pt idx="151">
                  <c:v>47.156109999999998</c:v>
                </c:pt>
                <c:pt idx="152">
                  <c:v>59.734720000000003</c:v>
                </c:pt>
                <c:pt idx="153">
                  <c:v>73.813059999999993</c:v>
                </c:pt>
                <c:pt idx="154">
                  <c:v>67.986800000000002</c:v>
                </c:pt>
                <c:pt idx="155">
                  <c:v>35.207819999999998</c:v>
                </c:pt>
                <c:pt idx="156">
                  <c:v>53.771929999999998</c:v>
                </c:pt>
                <c:pt idx="157">
                  <c:v>67.307689999999994</c:v>
                </c:pt>
                <c:pt idx="158">
                  <c:v>38.703139999999998</c:v>
                </c:pt>
                <c:pt idx="159">
                  <c:v>52.521410000000003</c:v>
                </c:pt>
                <c:pt idx="160">
                  <c:v>62.989319999999999</c:v>
                </c:pt>
                <c:pt idx="161">
                  <c:v>56.947609999999997</c:v>
                </c:pt>
                <c:pt idx="162">
                  <c:v>69.910179999999997</c:v>
                </c:pt>
                <c:pt idx="163">
                  <c:v>40.934199999999997</c:v>
                </c:pt>
                <c:pt idx="164">
                  <c:v>47.538249999999998</c:v>
                </c:pt>
                <c:pt idx="165">
                  <c:v>41.816009999999999</c:v>
                </c:pt>
                <c:pt idx="166">
                  <c:v>54.829540000000001</c:v>
                </c:pt>
                <c:pt idx="167">
                  <c:v>93.076920000000001</c:v>
                </c:pt>
                <c:pt idx="168">
                  <c:v>47.156149999999997</c:v>
                </c:pt>
                <c:pt idx="169">
                  <c:v>54.374160000000003</c:v>
                </c:pt>
                <c:pt idx="170">
                  <c:v>56.262430000000002</c:v>
                </c:pt>
                <c:pt idx="171">
                  <c:v>46.541499999999999</c:v>
                </c:pt>
                <c:pt idx="172">
                  <c:v>64.954679999999996</c:v>
                </c:pt>
                <c:pt idx="173">
                  <c:v>56.652360000000002</c:v>
                </c:pt>
                <c:pt idx="174">
                  <c:v>57.603090000000002</c:v>
                </c:pt>
                <c:pt idx="175">
                  <c:v>33.742330000000003</c:v>
                </c:pt>
                <c:pt idx="176">
                  <c:v>78.234579999999994</c:v>
                </c:pt>
                <c:pt idx="177">
                  <c:v>44.266669999999998</c:v>
                </c:pt>
                <c:pt idx="178">
                  <c:v>55.36007</c:v>
                </c:pt>
                <c:pt idx="179">
                  <c:v>50.602409999999999</c:v>
                </c:pt>
                <c:pt idx="180">
                  <c:v>36.543909999999997</c:v>
                </c:pt>
                <c:pt idx="181">
                  <c:v>49.392710000000001</c:v>
                </c:pt>
                <c:pt idx="182">
                  <c:v>55.893540000000002</c:v>
                </c:pt>
                <c:pt idx="183">
                  <c:v>45.161290000000001</c:v>
                </c:pt>
                <c:pt idx="184">
                  <c:v>47.203919999999997</c:v>
                </c:pt>
                <c:pt idx="185">
                  <c:v>26.072610000000001</c:v>
                </c:pt>
                <c:pt idx="186">
                  <c:v>51.448270000000001</c:v>
                </c:pt>
                <c:pt idx="187">
                  <c:v>50.872819999999997</c:v>
                </c:pt>
                <c:pt idx="188">
                  <c:v>43.123539999999998</c:v>
                </c:pt>
                <c:pt idx="189">
                  <c:v>48.137740000000001</c:v>
                </c:pt>
                <c:pt idx="190">
                  <c:v>45.872880000000002</c:v>
                </c:pt>
                <c:pt idx="191">
                  <c:v>47.044330000000002</c:v>
                </c:pt>
                <c:pt idx="192">
                  <c:v>48.815170000000002</c:v>
                </c:pt>
                <c:pt idx="193">
                  <c:v>71.673820000000006</c:v>
                </c:pt>
                <c:pt idx="194">
                  <c:v>54.179569999999998</c:v>
                </c:pt>
                <c:pt idx="195">
                  <c:v>40.359169999999999</c:v>
                </c:pt>
                <c:pt idx="196">
                  <c:v>59.798999999999999</c:v>
                </c:pt>
                <c:pt idx="197">
                  <c:v>37.860959999999999</c:v>
                </c:pt>
                <c:pt idx="198">
                  <c:v>62.679430000000004</c:v>
                </c:pt>
                <c:pt idx="199">
                  <c:v>45.469799999999999</c:v>
                </c:pt>
                <c:pt idx="200">
                  <c:v>93.430660000000003</c:v>
                </c:pt>
                <c:pt idx="201">
                  <c:v>75.536479999999997</c:v>
                </c:pt>
                <c:pt idx="202">
                  <c:v>48.668880000000001</c:v>
                </c:pt>
                <c:pt idx="203">
                  <c:v>48.606810000000003</c:v>
                </c:pt>
                <c:pt idx="204">
                  <c:v>57.983199999999997</c:v>
                </c:pt>
                <c:pt idx="205">
                  <c:v>69.518709999999999</c:v>
                </c:pt>
                <c:pt idx="206">
                  <c:v>35.660850000000003</c:v>
                </c:pt>
                <c:pt idx="207">
                  <c:v>12.841089999999999</c:v>
                </c:pt>
                <c:pt idx="208">
                  <c:v>44.93609</c:v>
                </c:pt>
                <c:pt idx="209">
                  <c:v>41.467300000000002</c:v>
                </c:pt>
                <c:pt idx="210">
                  <c:v>43.940469999999998</c:v>
                </c:pt>
                <c:pt idx="211">
                  <c:v>26.875</c:v>
                </c:pt>
                <c:pt idx="212">
                  <c:v>48.665300000000002</c:v>
                </c:pt>
                <c:pt idx="213">
                  <c:v>18.946190000000001</c:v>
                </c:pt>
                <c:pt idx="214">
                  <c:v>40.525779999999997</c:v>
                </c:pt>
                <c:pt idx="215">
                  <c:v>53.169469999999997</c:v>
                </c:pt>
                <c:pt idx="216">
                  <c:v>23.35304</c:v>
                </c:pt>
                <c:pt idx="217">
                  <c:v>42.677160000000001</c:v>
                </c:pt>
                <c:pt idx="218">
                  <c:v>12.73509</c:v>
                </c:pt>
                <c:pt idx="219">
                  <c:v>35.320419999999999</c:v>
                </c:pt>
                <c:pt idx="220">
                  <c:v>93.679460000000006</c:v>
                </c:pt>
                <c:pt idx="221">
                  <c:v>41.333329999999997</c:v>
                </c:pt>
                <c:pt idx="222">
                  <c:v>49.576990000000002</c:v>
                </c:pt>
                <c:pt idx="223">
                  <c:v>45.03546</c:v>
                </c:pt>
                <c:pt idx="224">
                  <c:v>40.048540000000003</c:v>
                </c:pt>
                <c:pt idx="225">
                  <c:v>50.28669</c:v>
                </c:pt>
                <c:pt idx="226">
                  <c:v>59.288989999999998</c:v>
                </c:pt>
                <c:pt idx="227">
                  <c:v>49.162010000000002</c:v>
                </c:pt>
                <c:pt idx="228">
                  <c:v>71.494609999999994</c:v>
                </c:pt>
                <c:pt idx="229">
                  <c:v>44.530540000000002</c:v>
                </c:pt>
                <c:pt idx="230">
                  <c:v>50.243220000000001</c:v>
                </c:pt>
                <c:pt idx="231">
                  <c:v>37.444279999999999</c:v>
                </c:pt>
                <c:pt idx="232">
                  <c:v>17.115390000000001</c:v>
                </c:pt>
                <c:pt idx="233">
                  <c:v>29.64554</c:v>
                </c:pt>
                <c:pt idx="234">
                  <c:v>31.68317</c:v>
                </c:pt>
                <c:pt idx="235">
                  <c:v>56.451610000000002</c:v>
                </c:pt>
                <c:pt idx="236">
                  <c:v>40.114609999999999</c:v>
                </c:pt>
                <c:pt idx="237">
                  <c:v>21.340630000000001</c:v>
                </c:pt>
                <c:pt idx="238">
                  <c:v>51.24118</c:v>
                </c:pt>
                <c:pt idx="239">
                  <c:v>55.15587</c:v>
                </c:pt>
                <c:pt idx="240">
                  <c:v>65.435900000000004</c:v>
                </c:pt>
                <c:pt idx="241">
                  <c:v>42</c:v>
                </c:pt>
                <c:pt idx="242">
                  <c:v>33.971290000000003</c:v>
                </c:pt>
                <c:pt idx="243">
                  <c:v>31.400970000000001</c:v>
                </c:pt>
                <c:pt idx="244">
                  <c:v>48.837209999999999</c:v>
                </c:pt>
                <c:pt idx="245">
                  <c:v>63.576160000000002</c:v>
                </c:pt>
                <c:pt idx="246">
                  <c:v>37.951810000000002</c:v>
                </c:pt>
                <c:pt idx="247">
                  <c:v>25.884239999999998</c:v>
                </c:pt>
                <c:pt idx="248">
                  <c:v>32.778700000000001</c:v>
                </c:pt>
                <c:pt idx="249">
                  <c:v>23.062380000000001</c:v>
                </c:pt>
                <c:pt idx="250">
                  <c:v>19.351099999999999</c:v>
                </c:pt>
                <c:pt idx="251">
                  <c:v>45.30791</c:v>
                </c:pt>
                <c:pt idx="252">
                  <c:v>48.701300000000003</c:v>
                </c:pt>
                <c:pt idx="253">
                  <c:v>26.384979999999999</c:v>
                </c:pt>
                <c:pt idx="254">
                  <c:v>53.883490000000002</c:v>
                </c:pt>
                <c:pt idx="255">
                  <c:v>26.119399999999999</c:v>
                </c:pt>
                <c:pt idx="256">
                  <c:v>18.472909999999999</c:v>
                </c:pt>
                <c:pt idx="257">
                  <c:v>57.422969999999999</c:v>
                </c:pt>
                <c:pt idx="258">
                  <c:v>46.707039999999999</c:v>
                </c:pt>
                <c:pt idx="259">
                  <c:v>16.410260000000001</c:v>
                </c:pt>
                <c:pt idx="260">
                  <c:v>43.36016</c:v>
                </c:pt>
                <c:pt idx="261">
                  <c:v>49.180329999999998</c:v>
                </c:pt>
                <c:pt idx="262">
                  <c:v>41.982140000000001</c:v>
                </c:pt>
                <c:pt idx="263">
                  <c:v>74.902730000000005</c:v>
                </c:pt>
                <c:pt idx="264">
                  <c:v>68.859650000000002</c:v>
                </c:pt>
                <c:pt idx="265">
                  <c:v>78.453040000000001</c:v>
                </c:pt>
                <c:pt idx="266">
                  <c:v>78.536590000000004</c:v>
                </c:pt>
                <c:pt idx="267">
                  <c:v>65.639870000000002</c:v>
                </c:pt>
                <c:pt idx="268">
                  <c:v>66.099289999999996</c:v>
                </c:pt>
                <c:pt idx="269">
                  <c:v>49.618319999999997</c:v>
                </c:pt>
                <c:pt idx="270">
                  <c:v>28.455719999999999</c:v>
                </c:pt>
                <c:pt idx="271">
                  <c:v>28.785810000000001</c:v>
                </c:pt>
                <c:pt idx="272">
                  <c:v>36.899560000000001</c:v>
                </c:pt>
                <c:pt idx="273">
                  <c:v>44.868029999999997</c:v>
                </c:pt>
                <c:pt idx="274">
                  <c:v>70.403589999999994</c:v>
                </c:pt>
                <c:pt idx="275">
                  <c:v>73.837209999999999</c:v>
                </c:pt>
                <c:pt idx="276">
                  <c:v>45.642769999999999</c:v>
                </c:pt>
                <c:pt idx="277">
                  <c:v>71.287130000000005</c:v>
                </c:pt>
                <c:pt idx="278">
                  <c:v>70.296350000000004</c:v>
                </c:pt>
                <c:pt idx="279">
                  <c:v>66.902739999999994</c:v>
                </c:pt>
                <c:pt idx="280">
                  <c:v>66.828479999999999</c:v>
                </c:pt>
                <c:pt idx="281">
                  <c:v>78.947370000000006</c:v>
                </c:pt>
                <c:pt idx="282">
                  <c:v>31.955480000000001</c:v>
                </c:pt>
                <c:pt idx="283">
                  <c:v>68.58408</c:v>
                </c:pt>
                <c:pt idx="284">
                  <c:v>63.239870000000003</c:v>
                </c:pt>
                <c:pt idx="285">
                  <c:v>75.800709999999995</c:v>
                </c:pt>
                <c:pt idx="286">
                  <c:v>24.91554</c:v>
                </c:pt>
                <c:pt idx="287">
                  <c:v>38.504669999999997</c:v>
                </c:pt>
                <c:pt idx="288">
                  <c:v>53.183520000000001</c:v>
                </c:pt>
                <c:pt idx="289">
                  <c:v>66.359449999999995</c:v>
                </c:pt>
                <c:pt idx="290">
                  <c:v>59.591839999999998</c:v>
                </c:pt>
                <c:pt idx="291">
                  <c:v>22.621559999999999</c:v>
                </c:pt>
                <c:pt idx="292">
                  <c:v>52.254640000000002</c:v>
                </c:pt>
                <c:pt idx="293">
                  <c:v>38.461539999999999</c:v>
                </c:pt>
                <c:pt idx="294">
                  <c:v>52.309139999999999</c:v>
                </c:pt>
                <c:pt idx="295">
                  <c:v>17.074829999999999</c:v>
                </c:pt>
                <c:pt idx="296">
                  <c:v>41.554049999999997</c:v>
                </c:pt>
                <c:pt idx="297">
                  <c:v>64.573570000000004</c:v>
                </c:pt>
                <c:pt idx="298">
                  <c:v>60.398859999999999</c:v>
                </c:pt>
                <c:pt idx="299">
                  <c:v>56.87236</c:v>
                </c:pt>
                <c:pt idx="300">
                  <c:v>37.01003</c:v>
                </c:pt>
                <c:pt idx="301">
                  <c:v>46.819789999999998</c:v>
                </c:pt>
                <c:pt idx="302">
                  <c:v>43.939390000000003</c:v>
                </c:pt>
                <c:pt idx="303">
                  <c:v>62.937660000000001</c:v>
                </c:pt>
                <c:pt idx="304">
                  <c:v>53.566229999999997</c:v>
                </c:pt>
                <c:pt idx="305">
                  <c:v>32.116790000000002</c:v>
                </c:pt>
                <c:pt idx="306">
                  <c:v>35.844149999999999</c:v>
                </c:pt>
                <c:pt idx="307">
                  <c:v>40.594920000000002</c:v>
                </c:pt>
                <c:pt idx="308">
                  <c:v>44.112769999999998</c:v>
                </c:pt>
                <c:pt idx="309">
                  <c:v>64.215680000000006</c:v>
                </c:pt>
                <c:pt idx="310">
                  <c:v>40.997459999999997</c:v>
                </c:pt>
                <c:pt idx="311">
                  <c:v>55.586260000000003</c:v>
                </c:pt>
                <c:pt idx="312">
                  <c:v>46.78492</c:v>
                </c:pt>
                <c:pt idx="313">
                  <c:v>55.04175</c:v>
                </c:pt>
                <c:pt idx="314">
                  <c:v>36.45834</c:v>
                </c:pt>
                <c:pt idx="315">
                  <c:v>51.322749999999999</c:v>
                </c:pt>
                <c:pt idx="316">
                  <c:v>49.54683</c:v>
                </c:pt>
                <c:pt idx="317">
                  <c:v>34.247219999999999</c:v>
                </c:pt>
                <c:pt idx="318">
                  <c:v>37.323039999999999</c:v>
                </c:pt>
                <c:pt idx="319">
                  <c:v>44.617229999999999</c:v>
                </c:pt>
                <c:pt idx="320">
                  <c:v>51.389389999999999</c:v>
                </c:pt>
                <c:pt idx="321">
                  <c:v>46.171169999999996</c:v>
                </c:pt>
                <c:pt idx="322">
                  <c:v>28.571429999999999</c:v>
                </c:pt>
                <c:pt idx="323">
                  <c:v>34.458669999999998</c:v>
                </c:pt>
                <c:pt idx="324">
                  <c:v>38.011699999999998</c:v>
                </c:pt>
                <c:pt idx="325">
                  <c:v>25.809619999999999</c:v>
                </c:pt>
                <c:pt idx="326">
                  <c:v>16.021830000000001</c:v>
                </c:pt>
                <c:pt idx="327">
                  <c:v>23.483370000000001</c:v>
                </c:pt>
                <c:pt idx="328">
                  <c:v>33.526679999999999</c:v>
                </c:pt>
                <c:pt idx="329">
                  <c:v>18.548010000000001</c:v>
                </c:pt>
                <c:pt idx="330">
                  <c:v>28.55893</c:v>
                </c:pt>
                <c:pt idx="331">
                  <c:v>20.625889999999998</c:v>
                </c:pt>
                <c:pt idx="332">
                  <c:v>22.401479999999999</c:v>
                </c:pt>
                <c:pt idx="333">
                  <c:v>54.33437</c:v>
                </c:pt>
                <c:pt idx="334">
                  <c:v>23.853210000000001</c:v>
                </c:pt>
                <c:pt idx="335">
                  <c:v>29.611650000000001</c:v>
                </c:pt>
                <c:pt idx="336">
                  <c:v>42.24924</c:v>
                </c:pt>
                <c:pt idx="337">
                  <c:v>39.378239999999998</c:v>
                </c:pt>
                <c:pt idx="338">
                  <c:v>45.481479999999998</c:v>
                </c:pt>
                <c:pt idx="339">
                  <c:v>30.657330000000002</c:v>
                </c:pt>
                <c:pt idx="340">
                  <c:v>40.390880000000003</c:v>
                </c:pt>
                <c:pt idx="341">
                  <c:v>21.635090000000002</c:v>
                </c:pt>
                <c:pt idx="342">
                  <c:v>38.589689999999997</c:v>
                </c:pt>
                <c:pt idx="343">
                  <c:v>80.132450000000006</c:v>
                </c:pt>
                <c:pt idx="344">
                  <c:v>50.735430000000001</c:v>
                </c:pt>
                <c:pt idx="345">
                  <c:v>73.714290000000005</c:v>
                </c:pt>
                <c:pt idx="346">
                  <c:v>54.805190000000003</c:v>
                </c:pt>
                <c:pt idx="347">
                  <c:v>63.043480000000002</c:v>
                </c:pt>
                <c:pt idx="348">
                  <c:v>66.104870000000005</c:v>
                </c:pt>
                <c:pt idx="349">
                  <c:v>46.743290000000002</c:v>
                </c:pt>
                <c:pt idx="350">
                  <c:v>67.669169999999994</c:v>
                </c:pt>
                <c:pt idx="351">
                  <c:v>53.643140000000002</c:v>
                </c:pt>
                <c:pt idx="352">
                  <c:v>27.06334</c:v>
                </c:pt>
                <c:pt idx="353">
                  <c:v>54.166670000000003</c:v>
                </c:pt>
                <c:pt idx="354">
                  <c:v>43.213290000000001</c:v>
                </c:pt>
                <c:pt idx="355">
                  <c:v>48.967550000000003</c:v>
                </c:pt>
                <c:pt idx="356">
                  <c:v>69.640910000000005</c:v>
                </c:pt>
                <c:pt idx="357">
                  <c:v>79.807689999999994</c:v>
                </c:pt>
                <c:pt idx="358">
                  <c:v>44.970410000000001</c:v>
                </c:pt>
                <c:pt idx="359">
                  <c:v>46.237459999999999</c:v>
                </c:pt>
                <c:pt idx="360">
                  <c:v>45.217390000000002</c:v>
                </c:pt>
                <c:pt idx="361">
                  <c:v>60.779820000000001</c:v>
                </c:pt>
                <c:pt idx="362">
                  <c:v>36.252690000000001</c:v>
                </c:pt>
                <c:pt idx="363">
                  <c:v>26.614170000000001</c:v>
                </c:pt>
                <c:pt idx="364">
                  <c:v>24.51362</c:v>
                </c:pt>
                <c:pt idx="365">
                  <c:v>50.810809999999996</c:v>
                </c:pt>
                <c:pt idx="366">
                  <c:v>70.192819999999998</c:v>
                </c:pt>
                <c:pt idx="367">
                  <c:v>51.694920000000003</c:v>
                </c:pt>
                <c:pt idx="368">
                  <c:v>47.410359999999997</c:v>
                </c:pt>
                <c:pt idx="369">
                  <c:v>45.475110000000001</c:v>
                </c:pt>
                <c:pt idx="370">
                  <c:v>50.11703</c:v>
                </c:pt>
                <c:pt idx="371">
                  <c:v>73.841059999999999</c:v>
                </c:pt>
                <c:pt idx="372">
                  <c:v>61.086480000000002</c:v>
                </c:pt>
                <c:pt idx="373">
                  <c:v>82.885090000000005</c:v>
                </c:pt>
                <c:pt idx="374">
                  <c:v>61.624209999999998</c:v>
                </c:pt>
                <c:pt idx="375">
                  <c:v>38.18759</c:v>
                </c:pt>
                <c:pt idx="376">
                  <c:v>30.406849999999999</c:v>
                </c:pt>
                <c:pt idx="377">
                  <c:v>42.277070000000002</c:v>
                </c:pt>
                <c:pt idx="378">
                  <c:v>50.26596</c:v>
                </c:pt>
                <c:pt idx="379">
                  <c:v>82.183909999999997</c:v>
                </c:pt>
                <c:pt idx="380">
                  <c:v>81.978800000000007</c:v>
                </c:pt>
                <c:pt idx="381">
                  <c:v>21.560220000000001</c:v>
                </c:pt>
                <c:pt idx="382">
                  <c:v>58.366799999999998</c:v>
                </c:pt>
                <c:pt idx="383">
                  <c:v>58.310250000000003</c:v>
                </c:pt>
                <c:pt idx="384">
                  <c:v>77.74436</c:v>
                </c:pt>
                <c:pt idx="385">
                  <c:v>33.492820000000002</c:v>
                </c:pt>
                <c:pt idx="386">
                  <c:v>34.719009999999997</c:v>
                </c:pt>
                <c:pt idx="387">
                  <c:v>58.31664</c:v>
                </c:pt>
                <c:pt idx="388">
                  <c:v>39.082059999999998</c:v>
                </c:pt>
                <c:pt idx="389">
                  <c:v>61.82573</c:v>
                </c:pt>
                <c:pt idx="390">
                  <c:v>43.973939999999999</c:v>
                </c:pt>
                <c:pt idx="391">
                  <c:v>50.324669999999998</c:v>
                </c:pt>
                <c:pt idx="392">
                  <c:v>53.009709999999998</c:v>
                </c:pt>
                <c:pt idx="393">
                  <c:v>61.294670000000004</c:v>
                </c:pt>
                <c:pt idx="394">
                  <c:v>47.734459999999999</c:v>
                </c:pt>
                <c:pt idx="395">
                  <c:v>43.445999999999998</c:v>
                </c:pt>
                <c:pt idx="396">
                  <c:v>59.45946</c:v>
                </c:pt>
                <c:pt idx="397">
                  <c:v>38.862560000000002</c:v>
                </c:pt>
                <c:pt idx="398">
                  <c:v>52.5</c:v>
                </c:pt>
                <c:pt idx="399">
                  <c:v>66.844920000000002</c:v>
                </c:pt>
                <c:pt idx="400">
                  <c:v>87.974689999999995</c:v>
                </c:pt>
                <c:pt idx="401">
                  <c:v>46.853149999999999</c:v>
                </c:pt>
                <c:pt idx="402">
                  <c:v>54.409559999999999</c:v>
                </c:pt>
                <c:pt idx="403">
                  <c:v>46.539920000000002</c:v>
                </c:pt>
                <c:pt idx="404">
                  <c:v>47.908740000000002</c:v>
                </c:pt>
                <c:pt idx="405">
                  <c:v>15.09901</c:v>
                </c:pt>
                <c:pt idx="406">
                  <c:v>49.779739999999997</c:v>
                </c:pt>
                <c:pt idx="407">
                  <c:v>60.824739999999998</c:v>
                </c:pt>
                <c:pt idx="408">
                  <c:v>43.79562</c:v>
                </c:pt>
                <c:pt idx="409">
                  <c:v>35.069980000000001</c:v>
                </c:pt>
                <c:pt idx="410">
                  <c:v>60.560749999999999</c:v>
                </c:pt>
                <c:pt idx="411">
                  <c:v>17.68892</c:v>
                </c:pt>
                <c:pt idx="412">
                  <c:v>35.229680000000002</c:v>
                </c:pt>
                <c:pt idx="413">
                  <c:v>71.153850000000006</c:v>
                </c:pt>
                <c:pt idx="414">
                  <c:v>46.954320000000003</c:v>
                </c:pt>
                <c:pt idx="415">
                  <c:v>41.026499999999999</c:v>
                </c:pt>
                <c:pt idx="416">
                  <c:v>30.97597</c:v>
                </c:pt>
                <c:pt idx="417">
                  <c:v>49.584820000000001</c:v>
                </c:pt>
                <c:pt idx="418">
                  <c:v>34.990789999999997</c:v>
                </c:pt>
                <c:pt idx="419">
                  <c:v>61.035420000000002</c:v>
                </c:pt>
                <c:pt idx="420">
                  <c:v>37.845120000000001</c:v>
                </c:pt>
                <c:pt idx="421">
                  <c:v>51.66066</c:v>
                </c:pt>
                <c:pt idx="422">
                  <c:v>64.991619999999998</c:v>
                </c:pt>
                <c:pt idx="423">
                  <c:v>24.32433</c:v>
                </c:pt>
                <c:pt idx="424">
                  <c:v>61.50282</c:v>
                </c:pt>
                <c:pt idx="425">
                  <c:v>45.627380000000002</c:v>
                </c:pt>
                <c:pt idx="426">
                  <c:v>62.295079999999999</c:v>
                </c:pt>
                <c:pt idx="427">
                  <c:v>47.833620000000003</c:v>
                </c:pt>
                <c:pt idx="428">
                  <c:v>43.503230000000002</c:v>
                </c:pt>
                <c:pt idx="429">
                  <c:v>60.428849999999997</c:v>
                </c:pt>
                <c:pt idx="430">
                  <c:v>46.080759999999998</c:v>
                </c:pt>
                <c:pt idx="431">
                  <c:v>54.71698</c:v>
                </c:pt>
                <c:pt idx="432">
                  <c:v>48.94614</c:v>
                </c:pt>
                <c:pt idx="433">
                  <c:v>31.811489999999999</c:v>
                </c:pt>
                <c:pt idx="434">
                  <c:v>64.118899999999996</c:v>
                </c:pt>
                <c:pt idx="435">
                  <c:v>29.881920000000001</c:v>
                </c:pt>
                <c:pt idx="436">
                  <c:v>61.649479999999997</c:v>
                </c:pt>
                <c:pt idx="437">
                  <c:v>66.494839999999996</c:v>
                </c:pt>
                <c:pt idx="438">
                  <c:v>55.607480000000002</c:v>
                </c:pt>
                <c:pt idx="439">
                  <c:v>51.862459999999999</c:v>
                </c:pt>
                <c:pt idx="440">
                  <c:v>59.360729999999997</c:v>
                </c:pt>
                <c:pt idx="441">
                  <c:v>58.578850000000003</c:v>
                </c:pt>
                <c:pt idx="442">
                  <c:v>64.900660000000002</c:v>
                </c:pt>
                <c:pt idx="443">
                  <c:v>49.65278</c:v>
                </c:pt>
                <c:pt idx="444">
                  <c:v>30.16591</c:v>
                </c:pt>
                <c:pt idx="445">
                  <c:v>66.949150000000003</c:v>
                </c:pt>
              </c:numCache>
            </c:numRef>
          </c:yVal>
          <c:smooth val="0"/>
          <c:extLst xmlns:c16r2="http://schemas.microsoft.com/office/drawing/2015/06/chart">
            <c:ext xmlns:c16="http://schemas.microsoft.com/office/drawing/2014/chart" uri="{C3380CC4-5D6E-409C-BE32-E72D297353CC}">
              <c16:uniqueId val="{00000001-3A0D-405B-8A27-FA846DE3BFCA}"/>
            </c:ext>
          </c:extLst>
        </c:ser>
        <c:dLbls>
          <c:showLegendKey val="0"/>
          <c:showVal val="0"/>
          <c:showCatName val="0"/>
          <c:showSerName val="0"/>
          <c:showPercent val="0"/>
          <c:showBubbleSize val="0"/>
        </c:dLbls>
        <c:axId val="225896768"/>
        <c:axId val="225897160"/>
      </c:scatterChart>
      <c:valAx>
        <c:axId val="225896768"/>
        <c:scaling>
          <c:orientation val="minMax"/>
          <c:max val="100"/>
        </c:scaling>
        <c:delete val="0"/>
        <c:axPos val="b"/>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5897160"/>
        <c:crosses val="autoZero"/>
        <c:crossBetween val="midCat"/>
      </c:valAx>
      <c:valAx>
        <c:axId val="225897160"/>
        <c:scaling>
          <c:orientation val="minMax"/>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r>
                  <a:rPr lang="en-US">
                    <a:solidFill>
                      <a:sysClr val="windowText" lastClr="000000"/>
                    </a:solidFill>
                    <a:latin typeface="Arial Narrow" panose="020B0606020202030204" pitchFamily="34" charset="0"/>
                  </a:rPr>
                  <a:t>Pokrytie príspevku na bývanie (%)</a:t>
                </a:r>
              </a:p>
            </c:rich>
          </c:tx>
          <c:layout>
            <c:manualLayout>
              <c:xMode val="edge"/>
              <c:yMode val="edge"/>
              <c:x val="1.4545549355999374E-2"/>
              <c:y val="0.110395755690681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589676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userShapes r:id="rId4"/>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38179823161226E-2"/>
          <c:y val="5.0925925925925923E-2"/>
          <c:w val="0.88058479355097341"/>
          <c:h val="0.71172717993584134"/>
        </c:manualLayout>
      </c:layout>
      <c:barChart>
        <c:barDir val="col"/>
        <c:grouping val="clustered"/>
        <c:varyColors val="0"/>
        <c:ser>
          <c:idx val="0"/>
          <c:order val="0"/>
          <c:spPr>
            <a:solidFill>
              <a:schemeClr val="accent1"/>
            </a:solidFill>
            <a:ln>
              <a:noFill/>
            </a:ln>
            <a:effectLst/>
          </c:spPr>
          <c:invertIfNegative val="0"/>
          <c:cat>
            <c:strRef>
              <c:f>'PP na bývanie 2 2017'!$S$6:$S$34</c:f>
              <c:strCache>
                <c:ptCount val="29"/>
                <c:pt idx="0">
                  <c:v>Írsko</c:v>
                </c:pt>
                <c:pt idx="1">
                  <c:v>Fínsko</c:v>
                </c:pt>
                <c:pt idx="2">
                  <c:v>Francúzsko</c:v>
                </c:pt>
                <c:pt idx="3">
                  <c:v>Holandsko</c:v>
                </c:pt>
                <c:pt idx="4">
                  <c:v>Dánsko</c:v>
                </c:pt>
                <c:pt idx="5">
                  <c:v>Švédsko</c:v>
                </c:pt>
                <c:pt idx="6">
                  <c:v>Malta</c:v>
                </c:pt>
                <c:pt idx="7">
                  <c:v>Spojené Kráľ.</c:v>
                </c:pt>
                <c:pt idx="8">
                  <c:v>Nemecko</c:v>
                </c:pt>
                <c:pt idx="9">
                  <c:v>Lotyšsko</c:v>
                </c:pt>
                <c:pt idx="10">
                  <c:v>Nórsko</c:v>
                </c:pt>
                <c:pt idx="11">
                  <c:v>Rakúsko</c:v>
                </c:pt>
                <c:pt idx="12">
                  <c:v>Česká Rep.</c:v>
                </c:pt>
                <c:pt idx="13">
                  <c:v>Maďarsko</c:v>
                </c:pt>
                <c:pt idx="14">
                  <c:v>Luxembursko</c:v>
                </c:pt>
                <c:pt idx="15">
                  <c:v>Cyprus</c:v>
                </c:pt>
                <c:pt idx="16">
                  <c:v>Litva</c:v>
                </c:pt>
                <c:pt idx="17">
                  <c:v>Chrovátsko</c:v>
                </c:pt>
                <c:pt idx="18">
                  <c:v>Poľsko</c:v>
                </c:pt>
                <c:pt idx="19">
                  <c:v>Estónsko</c:v>
                </c:pt>
                <c:pt idx="20">
                  <c:v>Slovinsko</c:v>
                </c:pt>
                <c:pt idx="21">
                  <c:v>Portugalsko</c:v>
                </c:pt>
                <c:pt idx="22">
                  <c:v>Španielsko</c:v>
                </c:pt>
                <c:pt idx="23">
                  <c:v>Taliansko</c:v>
                </c:pt>
                <c:pt idx="24">
                  <c:v>Belgicko</c:v>
                </c:pt>
                <c:pt idx="25">
                  <c:v>Slovensko</c:v>
                </c:pt>
                <c:pt idx="26">
                  <c:v>Bulharsko</c:v>
                </c:pt>
                <c:pt idx="27">
                  <c:v>Grécko</c:v>
                </c:pt>
                <c:pt idx="28">
                  <c:v>Rumunsko</c:v>
                </c:pt>
              </c:strCache>
            </c:strRef>
          </c:cat>
          <c:val>
            <c:numRef>
              <c:f>'PP na bývanie 2 2017'!$T$6:$T$34</c:f>
              <c:numCache>
                <c:formatCode>General</c:formatCode>
                <c:ptCount val="29"/>
                <c:pt idx="0">
                  <c:v>60.820841789245605</c:v>
                </c:pt>
                <c:pt idx="1">
                  <c:v>57.272911071777344</c:v>
                </c:pt>
                <c:pt idx="2">
                  <c:v>55.660980939865112</c:v>
                </c:pt>
                <c:pt idx="3">
                  <c:v>45.235010981559753</c:v>
                </c:pt>
                <c:pt idx="4">
                  <c:v>40.801474452018738</c:v>
                </c:pt>
                <c:pt idx="5">
                  <c:v>38.274982571601868</c:v>
                </c:pt>
                <c:pt idx="6">
                  <c:v>31.608453392982483</c:v>
                </c:pt>
                <c:pt idx="7">
                  <c:v>31.457334756851196</c:v>
                </c:pt>
                <c:pt idx="8">
                  <c:v>27.793201804161072</c:v>
                </c:pt>
                <c:pt idx="9">
                  <c:v>17.975553870201111</c:v>
                </c:pt>
                <c:pt idx="10">
                  <c:v>14.042529463768005</c:v>
                </c:pt>
                <c:pt idx="11">
                  <c:v>13.197198510169983</c:v>
                </c:pt>
                <c:pt idx="12">
                  <c:v>12.548193335533142</c:v>
                </c:pt>
                <c:pt idx="13">
                  <c:v>11.324150860309601</c:v>
                </c:pt>
                <c:pt idx="14">
                  <c:v>9.5134273171424866</c:v>
                </c:pt>
                <c:pt idx="15">
                  <c:v>7.4399136006832123</c:v>
                </c:pt>
                <c:pt idx="16">
                  <c:v>5.9035666286945343</c:v>
                </c:pt>
                <c:pt idx="17">
                  <c:v>5.7726241648197174</c:v>
                </c:pt>
                <c:pt idx="18">
                  <c:v>4.8286814242601395</c:v>
                </c:pt>
                <c:pt idx="19">
                  <c:v>4.5464366674423218</c:v>
                </c:pt>
                <c:pt idx="20">
                  <c:v>4.1112668812274933</c:v>
                </c:pt>
                <c:pt idx="21">
                  <c:v>3.7034451961517334</c:v>
                </c:pt>
                <c:pt idx="22">
                  <c:v>3.502412885427475</c:v>
                </c:pt>
                <c:pt idx="23">
                  <c:v>1.8471337854862213</c:v>
                </c:pt>
                <c:pt idx="24">
                  <c:v>0.5467255599796772</c:v>
                </c:pt>
                <c:pt idx="25">
                  <c:v>0.37003760226070881</c:v>
                </c:pt>
                <c:pt idx="26">
                  <c:v>0</c:v>
                </c:pt>
                <c:pt idx="27">
                  <c:v>0</c:v>
                </c:pt>
                <c:pt idx="28">
                  <c:v>0</c:v>
                </c:pt>
              </c:numCache>
            </c:numRef>
          </c:val>
          <c:extLst xmlns:c16r2="http://schemas.microsoft.com/office/drawing/2015/06/chart">
            <c:ext xmlns:c16="http://schemas.microsoft.com/office/drawing/2014/chart" uri="{C3380CC4-5D6E-409C-BE32-E72D297353CC}">
              <c16:uniqueId val="{00000000-90D5-410F-B4B3-78855F4C949E}"/>
            </c:ext>
          </c:extLst>
        </c:ser>
        <c:dLbls>
          <c:showLegendKey val="0"/>
          <c:showVal val="0"/>
          <c:showCatName val="0"/>
          <c:showSerName val="0"/>
          <c:showPercent val="0"/>
          <c:showBubbleSize val="0"/>
        </c:dLbls>
        <c:gapWidth val="219"/>
        <c:overlap val="-27"/>
        <c:axId val="225897944"/>
        <c:axId val="225898336"/>
      </c:barChart>
      <c:lineChart>
        <c:grouping val="standard"/>
        <c:varyColors val="0"/>
        <c:ser>
          <c:idx val="1"/>
          <c:order val="1"/>
          <c:spPr>
            <a:ln w="12700" cap="rnd">
              <a:solidFill>
                <a:schemeClr val="accent1"/>
              </a:solidFill>
              <a:prstDash val="sysDash"/>
              <a:round/>
            </a:ln>
            <a:effectLst/>
          </c:spPr>
          <c:marker>
            <c:symbol val="none"/>
          </c:marker>
          <c:cat>
            <c:strRef>
              <c:f>'PP na bývanie 2'!$S$6:$S$33</c:f>
              <c:strCache>
                <c:ptCount val="28"/>
                <c:pt idx="0">
                  <c:v>Fínsko</c:v>
                </c:pt>
                <c:pt idx="1">
                  <c:v>Írsko</c:v>
                </c:pt>
                <c:pt idx="2">
                  <c:v>Francúzsko</c:v>
                </c:pt>
                <c:pt idx="3">
                  <c:v>Holandsko</c:v>
                </c:pt>
                <c:pt idx="4">
                  <c:v>Dánsko</c:v>
                </c:pt>
                <c:pt idx="5">
                  <c:v>Malta</c:v>
                </c:pt>
                <c:pt idx="6">
                  <c:v>Švédsko</c:v>
                </c:pt>
                <c:pt idx="7">
                  <c:v>Spojené Kráľ.</c:v>
                </c:pt>
                <c:pt idx="8">
                  <c:v>Maďarsko</c:v>
                </c:pt>
                <c:pt idx="9">
                  <c:v>Lotyšsko</c:v>
                </c:pt>
                <c:pt idx="10">
                  <c:v>Rakúsko</c:v>
                </c:pt>
                <c:pt idx="11">
                  <c:v>Česká Rep.</c:v>
                </c:pt>
                <c:pt idx="12">
                  <c:v>Nórsko</c:v>
                </c:pt>
                <c:pt idx="13">
                  <c:v>Luxembursko</c:v>
                </c:pt>
                <c:pt idx="14">
                  <c:v>Poľsko</c:v>
                </c:pt>
                <c:pt idx="15">
                  <c:v>Litva</c:v>
                </c:pt>
                <c:pt idx="16">
                  <c:v>Estónsko</c:v>
                </c:pt>
                <c:pt idx="17">
                  <c:v>Chrovátsko</c:v>
                </c:pt>
                <c:pt idx="18">
                  <c:v>Cyprus</c:v>
                </c:pt>
                <c:pt idx="19">
                  <c:v>Slovinsko</c:v>
                </c:pt>
                <c:pt idx="20">
                  <c:v>Portugalsko</c:v>
                </c:pt>
                <c:pt idx="21">
                  <c:v>Taliansko</c:v>
                </c:pt>
                <c:pt idx="22">
                  <c:v>Španielsko</c:v>
                </c:pt>
                <c:pt idx="23">
                  <c:v>Belgicko</c:v>
                </c:pt>
                <c:pt idx="24">
                  <c:v>Slovensko</c:v>
                </c:pt>
                <c:pt idx="25">
                  <c:v>Bulharsko</c:v>
                </c:pt>
                <c:pt idx="26">
                  <c:v>Grécko</c:v>
                </c:pt>
                <c:pt idx="27">
                  <c:v>Rumunsko</c:v>
                </c:pt>
              </c:strCache>
            </c:strRef>
          </c:cat>
          <c:val>
            <c:numRef>
              <c:f>'PP na bývanie 2 2017'!$U$6:$U$34</c:f>
              <c:numCache>
                <c:formatCode>General</c:formatCode>
                <c:ptCount val="29"/>
                <c:pt idx="0">
                  <c:v>25.975138774762552</c:v>
                </c:pt>
                <c:pt idx="1">
                  <c:v>25.975138774762552</c:v>
                </c:pt>
                <c:pt idx="2">
                  <c:v>25.975138774762552</c:v>
                </c:pt>
                <c:pt idx="3">
                  <c:v>25.975138774762552</c:v>
                </c:pt>
                <c:pt idx="4">
                  <c:v>25.975138774762552</c:v>
                </c:pt>
                <c:pt idx="5">
                  <c:v>25.975138774762552</c:v>
                </c:pt>
                <c:pt idx="6">
                  <c:v>25.975138774762552</c:v>
                </c:pt>
                <c:pt idx="7">
                  <c:v>25.975138774762552</c:v>
                </c:pt>
                <c:pt idx="8">
                  <c:v>25.975138774762552</c:v>
                </c:pt>
                <c:pt idx="9">
                  <c:v>25.975138774762552</c:v>
                </c:pt>
                <c:pt idx="10">
                  <c:v>25.975138774762552</c:v>
                </c:pt>
                <c:pt idx="11">
                  <c:v>25.975138774762552</c:v>
                </c:pt>
                <c:pt idx="12">
                  <c:v>25.975138774762552</c:v>
                </c:pt>
                <c:pt idx="13">
                  <c:v>25.975138774762552</c:v>
                </c:pt>
                <c:pt idx="14">
                  <c:v>25.975138774762552</c:v>
                </c:pt>
                <c:pt idx="15">
                  <c:v>25.975138774762552</c:v>
                </c:pt>
                <c:pt idx="16">
                  <c:v>25.975138774762552</c:v>
                </c:pt>
                <c:pt idx="17">
                  <c:v>25.975138774762552</c:v>
                </c:pt>
                <c:pt idx="18">
                  <c:v>25.975138774762552</c:v>
                </c:pt>
                <c:pt idx="19">
                  <c:v>25.975138774762552</c:v>
                </c:pt>
                <c:pt idx="20">
                  <c:v>25.975138774762552</c:v>
                </c:pt>
                <c:pt idx="21">
                  <c:v>25.975138774762552</c:v>
                </c:pt>
                <c:pt idx="22">
                  <c:v>25.975138774762552</c:v>
                </c:pt>
                <c:pt idx="23">
                  <c:v>25.975138774762552</c:v>
                </c:pt>
                <c:pt idx="24">
                  <c:v>25.975138774762552</c:v>
                </c:pt>
                <c:pt idx="25">
                  <c:v>25.975138774762552</c:v>
                </c:pt>
                <c:pt idx="26">
                  <c:v>25.975138774762552</c:v>
                </c:pt>
                <c:pt idx="27">
                  <c:v>25.975138774762552</c:v>
                </c:pt>
                <c:pt idx="28">
                  <c:v>25.975138774762552</c:v>
                </c:pt>
              </c:numCache>
            </c:numRef>
          </c:val>
          <c:smooth val="0"/>
          <c:extLst xmlns:c16r2="http://schemas.microsoft.com/office/drawing/2015/06/chart">
            <c:ext xmlns:c16="http://schemas.microsoft.com/office/drawing/2014/chart" uri="{C3380CC4-5D6E-409C-BE32-E72D297353CC}">
              <c16:uniqueId val="{00000001-90D5-410F-B4B3-78855F4C949E}"/>
            </c:ext>
          </c:extLst>
        </c:ser>
        <c:ser>
          <c:idx val="2"/>
          <c:order val="2"/>
          <c:spPr>
            <a:ln w="28575" cap="rnd">
              <a:solidFill>
                <a:schemeClr val="accent3"/>
              </a:solidFill>
              <a:round/>
            </a:ln>
            <a:effectLst/>
          </c:spPr>
          <c:marker>
            <c:symbol val="diamond"/>
            <c:size val="5"/>
            <c:spPr>
              <a:solidFill>
                <a:schemeClr val="accent1"/>
              </a:solidFill>
              <a:ln w="9525">
                <a:noFill/>
              </a:ln>
              <a:effectLst/>
            </c:spPr>
          </c:marker>
          <c:cat>
            <c:strRef>
              <c:f>'PP na bývanie 2'!$S$6:$S$33</c:f>
              <c:strCache>
                <c:ptCount val="28"/>
                <c:pt idx="0">
                  <c:v>Fínsko</c:v>
                </c:pt>
                <c:pt idx="1">
                  <c:v>Írsko</c:v>
                </c:pt>
                <c:pt idx="2">
                  <c:v>Francúzsko</c:v>
                </c:pt>
                <c:pt idx="3">
                  <c:v>Holandsko</c:v>
                </c:pt>
                <c:pt idx="4">
                  <c:v>Dánsko</c:v>
                </c:pt>
                <c:pt idx="5">
                  <c:v>Malta</c:v>
                </c:pt>
                <c:pt idx="6">
                  <c:v>Švédsko</c:v>
                </c:pt>
                <c:pt idx="7">
                  <c:v>Spojené Kráľ.</c:v>
                </c:pt>
                <c:pt idx="8">
                  <c:v>Maďarsko</c:v>
                </c:pt>
                <c:pt idx="9">
                  <c:v>Lotyšsko</c:v>
                </c:pt>
                <c:pt idx="10">
                  <c:v>Rakúsko</c:v>
                </c:pt>
                <c:pt idx="11">
                  <c:v>Česká Rep.</c:v>
                </c:pt>
                <c:pt idx="12">
                  <c:v>Nórsko</c:v>
                </c:pt>
                <c:pt idx="13">
                  <c:v>Luxembursko</c:v>
                </c:pt>
                <c:pt idx="14">
                  <c:v>Poľsko</c:v>
                </c:pt>
                <c:pt idx="15">
                  <c:v>Litva</c:v>
                </c:pt>
                <c:pt idx="16">
                  <c:v>Estónsko</c:v>
                </c:pt>
                <c:pt idx="17">
                  <c:v>Chrovátsko</c:v>
                </c:pt>
                <c:pt idx="18">
                  <c:v>Cyprus</c:v>
                </c:pt>
                <c:pt idx="19">
                  <c:v>Slovinsko</c:v>
                </c:pt>
                <c:pt idx="20">
                  <c:v>Portugalsko</c:v>
                </c:pt>
                <c:pt idx="21">
                  <c:v>Taliansko</c:v>
                </c:pt>
                <c:pt idx="22">
                  <c:v>Španielsko</c:v>
                </c:pt>
                <c:pt idx="23">
                  <c:v>Belgicko</c:v>
                </c:pt>
                <c:pt idx="24">
                  <c:v>Slovensko</c:v>
                </c:pt>
                <c:pt idx="25">
                  <c:v>Bulharsko</c:v>
                </c:pt>
                <c:pt idx="26">
                  <c:v>Grécko</c:v>
                </c:pt>
                <c:pt idx="27">
                  <c:v>Rumunsko</c:v>
                </c:pt>
              </c:strCache>
            </c:strRef>
          </c:cat>
          <c:val>
            <c:numRef>
              <c:f>'PP na bývanie 2 2017'!$V$6:$V$34</c:f>
              <c:numCache>
                <c:formatCode>General</c:formatCode>
                <c:ptCount val="29"/>
                <c:pt idx="25">
                  <c:v>8.5152044231049029</c:v>
                </c:pt>
              </c:numCache>
            </c:numRef>
          </c:val>
          <c:smooth val="0"/>
        </c:ser>
        <c:dLbls>
          <c:showLegendKey val="0"/>
          <c:showVal val="0"/>
          <c:showCatName val="0"/>
          <c:showSerName val="0"/>
          <c:showPercent val="0"/>
          <c:showBubbleSize val="0"/>
        </c:dLbls>
        <c:marker val="1"/>
        <c:smooth val="0"/>
        <c:axId val="225897944"/>
        <c:axId val="225898336"/>
      </c:lineChart>
      <c:catAx>
        <c:axId val="225897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225898336"/>
        <c:crosses val="autoZero"/>
        <c:auto val="1"/>
        <c:lblAlgn val="ctr"/>
        <c:lblOffset val="100"/>
        <c:tickLblSkip val="1"/>
        <c:noMultiLvlLbl val="0"/>
      </c:catAx>
      <c:valAx>
        <c:axId val="225898336"/>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58979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userShapes r:id="rId4"/>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580927384076991E-2"/>
          <c:y val="5.0925925925925923E-2"/>
          <c:w val="0.90286351706036749"/>
          <c:h val="0.80385398770624605"/>
        </c:manualLayout>
      </c:layout>
      <c:lineChart>
        <c:grouping val="standard"/>
        <c:varyColors val="0"/>
        <c:ser>
          <c:idx val="0"/>
          <c:order val="0"/>
          <c:tx>
            <c:strRef>
              <c:f>'Dojcenska umrtnost vek matk (2'!$B$19</c:f>
              <c:strCache>
                <c:ptCount val="1"/>
                <c:pt idx="0">
                  <c:v>MRK</c:v>
                </c:pt>
              </c:strCache>
            </c:strRef>
          </c:tx>
          <c:spPr>
            <a:ln w="28575" cap="rnd">
              <a:solidFill>
                <a:schemeClr val="accent1"/>
              </a:solidFill>
              <a:round/>
            </a:ln>
            <a:effectLst/>
          </c:spPr>
          <c:marker>
            <c:symbol val="none"/>
          </c:marker>
          <c:cat>
            <c:strRef>
              <c:f>'Dojcenska umrtnost vek matk (2'!$A$21:$A$27</c:f>
              <c:strCache>
                <c:ptCount val="7"/>
                <c:pt idx="0">
                  <c:v>15 až 16</c:v>
                </c:pt>
                <c:pt idx="1">
                  <c:v>17 až 19</c:v>
                </c:pt>
                <c:pt idx="2">
                  <c:v>20 až 24</c:v>
                </c:pt>
                <c:pt idx="3">
                  <c:v>25 až 29</c:v>
                </c:pt>
                <c:pt idx="4">
                  <c:v>30 až 34</c:v>
                </c:pt>
                <c:pt idx="5">
                  <c:v>35 až 39</c:v>
                </c:pt>
                <c:pt idx="6">
                  <c:v>40 až 45</c:v>
                </c:pt>
              </c:strCache>
            </c:strRef>
          </c:cat>
          <c:val>
            <c:numRef>
              <c:f>'Dojcenska umrtnost vek matk (2'!$B$21:$B$27</c:f>
              <c:numCache>
                <c:formatCode>General</c:formatCode>
                <c:ptCount val="7"/>
                <c:pt idx="0">
                  <c:v>7.1199715201139195</c:v>
                </c:pt>
                <c:pt idx="1">
                  <c:v>11.203007518796992</c:v>
                </c:pt>
                <c:pt idx="2">
                  <c:v>11.974094954107068</c:v>
                </c:pt>
                <c:pt idx="3">
                  <c:v>14.96758173541178</c:v>
                </c:pt>
                <c:pt idx="4">
                  <c:v>13.315430233859237</c:v>
                </c:pt>
                <c:pt idx="5">
                  <c:v>15.910154422087038</c:v>
                </c:pt>
                <c:pt idx="6">
                  <c:v>14.348785871964679</c:v>
                </c:pt>
              </c:numCache>
            </c:numRef>
          </c:val>
          <c:smooth val="0"/>
          <c:extLst xmlns:c16r2="http://schemas.microsoft.com/office/drawing/2015/06/chart">
            <c:ext xmlns:c16="http://schemas.microsoft.com/office/drawing/2014/chart" uri="{C3380CC4-5D6E-409C-BE32-E72D297353CC}">
              <c16:uniqueId val="{00000000-C6D1-4E62-A2B2-775CFDDFA440}"/>
            </c:ext>
          </c:extLst>
        </c:ser>
        <c:ser>
          <c:idx val="1"/>
          <c:order val="1"/>
          <c:tx>
            <c:strRef>
              <c:f>'Dojcenska umrtnost vek matk (2'!$C$19</c:f>
              <c:strCache>
                <c:ptCount val="1"/>
                <c:pt idx="0">
                  <c:v>mimo MRK</c:v>
                </c:pt>
              </c:strCache>
            </c:strRef>
          </c:tx>
          <c:spPr>
            <a:ln w="28575" cap="rnd">
              <a:solidFill>
                <a:schemeClr val="accent3"/>
              </a:solidFill>
              <a:round/>
            </a:ln>
            <a:effectLst/>
          </c:spPr>
          <c:marker>
            <c:symbol val="none"/>
          </c:marker>
          <c:cat>
            <c:strRef>
              <c:f>'Dojcenska umrtnost vek matk (2'!$A$21:$A$27</c:f>
              <c:strCache>
                <c:ptCount val="7"/>
                <c:pt idx="0">
                  <c:v>15 až 16</c:v>
                </c:pt>
                <c:pt idx="1">
                  <c:v>17 až 19</c:v>
                </c:pt>
                <c:pt idx="2">
                  <c:v>20 až 24</c:v>
                </c:pt>
                <c:pt idx="3">
                  <c:v>25 až 29</c:v>
                </c:pt>
                <c:pt idx="4">
                  <c:v>30 až 34</c:v>
                </c:pt>
                <c:pt idx="5">
                  <c:v>35 až 39</c:v>
                </c:pt>
                <c:pt idx="6">
                  <c:v>40 až 45</c:v>
                </c:pt>
              </c:strCache>
            </c:strRef>
          </c:cat>
          <c:val>
            <c:numRef>
              <c:f>'Dojcenska umrtnost vek matk (2'!$C$21:$C$27</c:f>
              <c:numCache>
                <c:formatCode>General</c:formatCode>
                <c:ptCount val="7"/>
                <c:pt idx="0">
                  <c:v>20.932069510268562</c:v>
                </c:pt>
                <c:pt idx="1">
                  <c:v>8.7034973199596664</c:v>
                </c:pt>
                <c:pt idx="2">
                  <c:v>6.0817500353590122</c:v>
                </c:pt>
                <c:pt idx="3">
                  <c:v>4.052610457656721</c:v>
                </c:pt>
                <c:pt idx="4">
                  <c:v>3.896613754753576</c:v>
                </c:pt>
                <c:pt idx="5">
                  <c:v>4.8606759090839615</c:v>
                </c:pt>
                <c:pt idx="6">
                  <c:v>7.3918689441614225</c:v>
                </c:pt>
              </c:numCache>
            </c:numRef>
          </c:val>
          <c:smooth val="0"/>
          <c:extLst xmlns:c16r2="http://schemas.microsoft.com/office/drawing/2015/06/chart">
            <c:ext xmlns:c16="http://schemas.microsoft.com/office/drawing/2014/chart" uri="{C3380CC4-5D6E-409C-BE32-E72D297353CC}">
              <c16:uniqueId val="{00000001-C6D1-4E62-A2B2-775CFDDFA440}"/>
            </c:ext>
          </c:extLst>
        </c:ser>
        <c:dLbls>
          <c:showLegendKey val="0"/>
          <c:showVal val="0"/>
          <c:showCatName val="0"/>
          <c:showSerName val="0"/>
          <c:showPercent val="0"/>
          <c:showBubbleSize val="0"/>
        </c:dLbls>
        <c:smooth val="0"/>
        <c:axId val="225899120"/>
        <c:axId val="225899512"/>
      </c:lineChart>
      <c:catAx>
        <c:axId val="22589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5899512"/>
        <c:crosses val="autoZero"/>
        <c:auto val="1"/>
        <c:lblAlgn val="ctr"/>
        <c:lblOffset val="100"/>
        <c:noMultiLvlLbl val="0"/>
      </c:catAx>
      <c:valAx>
        <c:axId val="225899512"/>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5899120"/>
        <c:crosses val="autoZero"/>
        <c:crossBetween val="between"/>
      </c:valAx>
      <c:spPr>
        <a:noFill/>
        <a:ln>
          <a:noFill/>
        </a:ln>
        <a:effectLst/>
      </c:spPr>
    </c:plotArea>
    <c:legend>
      <c:legendPos val="b"/>
      <c:layout>
        <c:manualLayout>
          <c:xMode val="edge"/>
          <c:yMode val="edge"/>
          <c:x val="0.43403197158081708"/>
          <c:y val="5.971310653429894E-2"/>
          <c:w val="0.31848990457009924"/>
          <c:h val="0.1260512653414601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532683414573176E-2"/>
          <c:y val="4.9497281059787457E-2"/>
          <c:w val="0.91460528972339994"/>
          <c:h val="0.74587238470689909"/>
        </c:manualLayout>
      </c:layout>
      <c:barChart>
        <c:barDir val="col"/>
        <c:grouping val="clustered"/>
        <c:varyColors val="0"/>
        <c:ser>
          <c:idx val="0"/>
          <c:order val="0"/>
          <c:tx>
            <c:strRef>
              <c:f>'TZP podla veku (2018)'!$F$3</c:f>
              <c:strCache>
                <c:ptCount val="1"/>
                <c:pt idx="0">
                  <c:v>Celková populácia</c:v>
                </c:pt>
              </c:strCache>
            </c:strRef>
          </c:tx>
          <c:spPr>
            <a:solidFill>
              <a:schemeClr val="accent3"/>
            </a:solidFill>
            <a:ln>
              <a:noFill/>
            </a:ln>
            <a:effectLst/>
          </c:spPr>
          <c:invertIfNegative val="0"/>
          <c:cat>
            <c:strRef>
              <c:f>'TZP podla veku (2018)'!$G$2:$M$2</c:f>
              <c:strCache>
                <c:ptCount val="7"/>
                <c:pt idx="0">
                  <c:v>20 až 29</c:v>
                </c:pt>
                <c:pt idx="1">
                  <c:v>30 až 39</c:v>
                </c:pt>
                <c:pt idx="2">
                  <c:v>40 až 49</c:v>
                </c:pt>
                <c:pt idx="3">
                  <c:v>50 až 59</c:v>
                </c:pt>
                <c:pt idx="4">
                  <c:v>60 až 69</c:v>
                </c:pt>
                <c:pt idx="5">
                  <c:v>70 až 79</c:v>
                </c:pt>
                <c:pt idx="6">
                  <c:v>Celkom</c:v>
                </c:pt>
              </c:strCache>
            </c:strRef>
          </c:cat>
          <c:val>
            <c:numRef>
              <c:f>'TZP podla veku (2018)'!$G$3:$M$3</c:f>
              <c:numCache>
                <c:formatCode>General</c:formatCode>
                <c:ptCount val="7"/>
                <c:pt idx="0">
                  <c:v>2.36</c:v>
                </c:pt>
                <c:pt idx="1">
                  <c:v>2.2400000000000002</c:v>
                </c:pt>
                <c:pt idx="2">
                  <c:v>3.56</c:v>
                </c:pt>
                <c:pt idx="3">
                  <c:v>8.06</c:v>
                </c:pt>
                <c:pt idx="4">
                  <c:v>12.73</c:v>
                </c:pt>
                <c:pt idx="5">
                  <c:v>16.010000000000002</c:v>
                </c:pt>
                <c:pt idx="6">
                  <c:v>6.23</c:v>
                </c:pt>
              </c:numCache>
            </c:numRef>
          </c:val>
          <c:extLst xmlns:c16r2="http://schemas.microsoft.com/office/drawing/2015/06/chart">
            <c:ext xmlns:c16="http://schemas.microsoft.com/office/drawing/2014/chart" uri="{C3380CC4-5D6E-409C-BE32-E72D297353CC}">
              <c16:uniqueId val="{00000000-55A3-4386-8D1E-4E2515945072}"/>
            </c:ext>
          </c:extLst>
        </c:ser>
        <c:ser>
          <c:idx val="1"/>
          <c:order val="1"/>
          <c:tx>
            <c:strRef>
              <c:f>'TZP podla veku (2018)'!$F$4</c:f>
              <c:strCache>
                <c:ptCount val="1"/>
                <c:pt idx="0">
                  <c:v>MRK</c:v>
                </c:pt>
              </c:strCache>
            </c:strRef>
          </c:tx>
          <c:spPr>
            <a:solidFill>
              <a:schemeClr val="accent1"/>
            </a:solidFill>
            <a:ln>
              <a:noFill/>
            </a:ln>
            <a:effectLst/>
          </c:spPr>
          <c:invertIfNegative val="0"/>
          <c:cat>
            <c:strRef>
              <c:f>'TZP podla veku (2018)'!$G$2:$M$2</c:f>
              <c:strCache>
                <c:ptCount val="7"/>
                <c:pt idx="0">
                  <c:v>20 až 29</c:v>
                </c:pt>
                <c:pt idx="1">
                  <c:v>30 až 39</c:v>
                </c:pt>
                <c:pt idx="2">
                  <c:v>40 až 49</c:v>
                </c:pt>
                <c:pt idx="3">
                  <c:v>50 až 59</c:v>
                </c:pt>
                <c:pt idx="4">
                  <c:v>60 až 69</c:v>
                </c:pt>
                <c:pt idx="5">
                  <c:v>70 až 79</c:v>
                </c:pt>
                <c:pt idx="6">
                  <c:v>Celkom</c:v>
                </c:pt>
              </c:strCache>
            </c:strRef>
          </c:cat>
          <c:val>
            <c:numRef>
              <c:f>'TZP podla veku (2018)'!$G$4:$M$4</c:f>
              <c:numCache>
                <c:formatCode>General</c:formatCode>
                <c:ptCount val="7"/>
                <c:pt idx="0">
                  <c:v>2.64</c:v>
                </c:pt>
                <c:pt idx="1">
                  <c:v>2.56</c:v>
                </c:pt>
                <c:pt idx="2">
                  <c:v>4.54</c:v>
                </c:pt>
                <c:pt idx="3">
                  <c:v>11.18</c:v>
                </c:pt>
                <c:pt idx="4">
                  <c:v>19.350000000000001</c:v>
                </c:pt>
                <c:pt idx="5">
                  <c:v>23.32</c:v>
                </c:pt>
                <c:pt idx="6">
                  <c:v>4.83</c:v>
                </c:pt>
              </c:numCache>
            </c:numRef>
          </c:val>
          <c:extLst xmlns:c16r2="http://schemas.microsoft.com/office/drawing/2015/06/chart">
            <c:ext xmlns:c16="http://schemas.microsoft.com/office/drawing/2014/chart" uri="{C3380CC4-5D6E-409C-BE32-E72D297353CC}">
              <c16:uniqueId val="{00000001-55A3-4386-8D1E-4E2515945072}"/>
            </c:ext>
          </c:extLst>
        </c:ser>
        <c:dLbls>
          <c:showLegendKey val="0"/>
          <c:showVal val="0"/>
          <c:showCatName val="0"/>
          <c:showSerName val="0"/>
          <c:showPercent val="0"/>
          <c:showBubbleSize val="0"/>
        </c:dLbls>
        <c:gapWidth val="219"/>
        <c:overlap val="-27"/>
        <c:axId val="225900296"/>
        <c:axId val="225900688"/>
      </c:barChart>
      <c:catAx>
        <c:axId val="225900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5900688"/>
        <c:crosses val="autoZero"/>
        <c:auto val="1"/>
        <c:lblAlgn val="ctr"/>
        <c:lblOffset val="100"/>
        <c:noMultiLvlLbl val="0"/>
      </c:catAx>
      <c:valAx>
        <c:axId val="225900688"/>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5900296"/>
        <c:crosses val="autoZero"/>
        <c:crossBetween val="between"/>
      </c:valAx>
      <c:spPr>
        <a:noFill/>
        <a:ln>
          <a:noFill/>
        </a:ln>
        <a:effectLst/>
      </c:spPr>
    </c:plotArea>
    <c:legend>
      <c:legendPos val="b"/>
      <c:layout>
        <c:manualLayout>
          <c:xMode val="edge"/>
          <c:yMode val="edge"/>
          <c:x val="0.22682510839991155"/>
          <c:y val="9.1260124776019955E-2"/>
          <c:w val="0.27852729947218136"/>
          <c:h val="9.953971426038103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userShapes r:id="rId4"/>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Health_PCG!$V$23</c:f>
              <c:strCache>
                <c:ptCount val="1"/>
                <c:pt idx="0">
                  <c:v>RKO, muži</c:v>
                </c:pt>
              </c:strCache>
            </c:strRef>
          </c:tx>
          <c:spPr>
            <a:solidFill>
              <a:schemeClr val="accent1"/>
            </a:solidFill>
            <a:ln>
              <a:noFill/>
            </a:ln>
            <a:effectLst/>
          </c:spPr>
          <c:invertIfNegative val="0"/>
          <c:dPt>
            <c:idx val="18"/>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1-8026-43BD-B2E3-D30DE120D6E3}"/>
              </c:ext>
            </c:extLst>
          </c:dPt>
          <c:dPt>
            <c:idx val="19"/>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3-8026-43BD-B2E3-D30DE120D6E3}"/>
              </c:ext>
            </c:extLst>
          </c:dPt>
          <c:dPt>
            <c:idx val="20"/>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8026-43BD-B2E3-D30DE120D6E3}"/>
              </c:ext>
            </c:extLst>
          </c:dPt>
          <c:dPt>
            <c:idx val="21"/>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7-8026-43BD-B2E3-D30DE120D6E3}"/>
              </c:ext>
            </c:extLst>
          </c:dPt>
          <c:dPt>
            <c:idx val="2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9-8026-43BD-B2E3-D30DE120D6E3}"/>
              </c:ext>
            </c:extLst>
          </c:dPt>
          <c:dPt>
            <c:idx val="23"/>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B-8026-43BD-B2E3-D30DE120D6E3}"/>
              </c:ext>
            </c:extLst>
          </c:dPt>
          <c:dPt>
            <c:idx val="24"/>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D-8026-43BD-B2E3-D30DE120D6E3}"/>
              </c:ext>
            </c:extLst>
          </c:dPt>
          <c:dPt>
            <c:idx val="25"/>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F-8026-43BD-B2E3-D30DE120D6E3}"/>
              </c:ext>
            </c:extLst>
          </c:dPt>
          <c:dPt>
            <c:idx val="26"/>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11-8026-43BD-B2E3-D30DE120D6E3}"/>
              </c:ext>
            </c:extLst>
          </c:dPt>
          <c:dPt>
            <c:idx val="27"/>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13-8026-43BD-B2E3-D30DE120D6E3}"/>
              </c:ext>
            </c:extLst>
          </c:dPt>
          <c:dPt>
            <c:idx val="28"/>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15-8026-43BD-B2E3-D30DE120D6E3}"/>
              </c:ext>
            </c:extLst>
          </c:dPt>
          <c:dPt>
            <c:idx val="29"/>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17-8026-43BD-B2E3-D30DE120D6E3}"/>
              </c:ext>
            </c:extLst>
          </c:dPt>
          <c:dPt>
            <c:idx val="30"/>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19-8026-43BD-B2E3-D30DE120D6E3}"/>
              </c:ext>
            </c:extLst>
          </c:dPt>
          <c:dPt>
            <c:idx val="31"/>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1B-8026-43BD-B2E3-D30DE120D6E3}"/>
              </c:ext>
            </c:extLst>
          </c:dPt>
          <c:dPt>
            <c:idx val="3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1D-8026-43BD-B2E3-D30DE120D6E3}"/>
              </c:ext>
            </c:extLst>
          </c:dPt>
          <c:dPt>
            <c:idx val="33"/>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1F-8026-43BD-B2E3-D30DE120D6E3}"/>
              </c:ext>
            </c:extLst>
          </c:dPt>
          <c:dPt>
            <c:idx val="34"/>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21-8026-43BD-B2E3-D30DE120D6E3}"/>
              </c:ext>
            </c:extLst>
          </c:dPt>
          <c:cat>
            <c:strRef>
              <c:f>Health_PCG!$U$24:$U$58</c:f>
              <c:strCache>
                <c:ptCount val="35"/>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a viac</c:v>
                </c:pt>
                <c:pt idx="18">
                  <c:v>0 - 4</c:v>
                </c:pt>
                <c:pt idx="19">
                  <c:v>5 - 9</c:v>
                </c:pt>
                <c:pt idx="20">
                  <c:v>10 - 14</c:v>
                </c:pt>
                <c:pt idx="21">
                  <c:v>15 - 19</c:v>
                </c:pt>
                <c:pt idx="22">
                  <c:v>20 - 24</c:v>
                </c:pt>
                <c:pt idx="23">
                  <c:v>25 - 29</c:v>
                </c:pt>
                <c:pt idx="24">
                  <c:v>30 - 34</c:v>
                </c:pt>
                <c:pt idx="25">
                  <c:v>35 - 39</c:v>
                </c:pt>
                <c:pt idx="26">
                  <c:v>40 - 44</c:v>
                </c:pt>
                <c:pt idx="27">
                  <c:v>45 - 49</c:v>
                </c:pt>
                <c:pt idx="28">
                  <c:v>50 - 54</c:v>
                </c:pt>
                <c:pt idx="29">
                  <c:v>55 - 59</c:v>
                </c:pt>
                <c:pt idx="30">
                  <c:v>60 - 64</c:v>
                </c:pt>
                <c:pt idx="31">
                  <c:v>65 - 69</c:v>
                </c:pt>
                <c:pt idx="32">
                  <c:v>70 - 74</c:v>
                </c:pt>
                <c:pt idx="33">
                  <c:v>75 - 79</c:v>
                </c:pt>
                <c:pt idx="34">
                  <c:v>80 a viac</c:v>
                </c:pt>
              </c:strCache>
            </c:strRef>
          </c:cat>
          <c:val>
            <c:numRef>
              <c:f>Health_PCG!$V$24:$V$58</c:f>
              <c:numCache>
                <c:formatCode>General</c:formatCode>
                <c:ptCount val="35"/>
                <c:pt idx="0">
                  <c:v>110.62253318980983</c:v>
                </c:pt>
                <c:pt idx="1">
                  <c:v>64.211600612349045</c:v>
                </c:pt>
                <c:pt idx="2">
                  <c:v>58.685971415914764</c:v>
                </c:pt>
                <c:pt idx="3">
                  <c:v>61.85423419773096</c:v>
                </c:pt>
                <c:pt idx="4">
                  <c:v>67.142762018910631</c:v>
                </c:pt>
                <c:pt idx="5">
                  <c:v>63.40587495012123</c:v>
                </c:pt>
                <c:pt idx="6">
                  <c:v>77.470651902422773</c:v>
                </c:pt>
                <c:pt idx="7">
                  <c:v>79.152480097979179</c:v>
                </c:pt>
                <c:pt idx="8">
                  <c:v>99.291404427622027</c:v>
                </c:pt>
                <c:pt idx="9">
                  <c:v>102.15112271919324</c:v>
                </c:pt>
                <c:pt idx="10">
                  <c:v>100.51667257409275</c:v>
                </c:pt>
                <c:pt idx="11">
                  <c:v>105.43418113253951</c:v>
                </c:pt>
                <c:pt idx="12">
                  <c:v>103.42919910521715</c:v>
                </c:pt>
                <c:pt idx="13">
                  <c:v>113.34637117066615</c:v>
                </c:pt>
                <c:pt idx="14">
                  <c:v>95.53705123991088</c:v>
                </c:pt>
                <c:pt idx="15">
                  <c:v>99.502569333326889</c:v>
                </c:pt>
                <c:pt idx="16">
                  <c:v>81.313030363600021</c:v>
                </c:pt>
                <c:pt idx="18">
                  <c:v>111.85410960314681</c:v>
                </c:pt>
                <c:pt idx="19">
                  <c:v>64.708696875879539</c:v>
                </c:pt>
                <c:pt idx="20">
                  <c:v>62.854354971240753</c:v>
                </c:pt>
                <c:pt idx="21">
                  <c:v>107.63993467240758</c:v>
                </c:pt>
                <c:pt idx="22">
                  <c:v>150.27515340411023</c:v>
                </c:pt>
                <c:pt idx="23">
                  <c:v>91.505109182530802</c:v>
                </c:pt>
                <c:pt idx="24">
                  <c:v>73.523832108133732</c:v>
                </c:pt>
                <c:pt idx="25">
                  <c:v>81.759653181060827</c:v>
                </c:pt>
                <c:pt idx="26">
                  <c:v>83.487711085102816</c:v>
                </c:pt>
                <c:pt idx="27">
                  <c:v>89.687526534771166</c:v>
                </c:pt>
                <c:pt idx="28">
                  <c:v>97.079465700701846</c:v>
                </c:pt>
                <c:pt idx="29">
                  <c:v>104.48092020466353</c:v>
                </c:pt>
                <c:pt idx="30">
                  <c:v>106.71472744029009</c:v>
                </c:pt>
                <c:pt idx="31">
                  <c:v>117.39358502706712</c:v>
                </c:pt>
                <c:pt idx="32">
                  <c:v>101.84708155260232</c:v>
                </c:pt>
                <c:pt idx="33">
                  <c:v>100.77430027482058</c:v>
                </c:pt>
                <c:pt idx="34">
                  <c:v>83.863944941242565</c:v>
                </c:pt>
              </c:numCache>
            </c:numRef>
          </c:val>
          <c:extLst xmlns:c16r2="http://schemas.microsoft.com/office/drawing/2015/06/chart">
            <c:ext xmlns:c16="http://schemas.microsoft.com/office/drawing/2014/chart" uri="{C3380CC4-5D6E-409C-BE32-E72D297353CC}">
              <c16:uniqueId val="{00000022-8026-43BD-B2E3-D30DE120D6E3}"/>
            </c:ext>
          </c:extLst>
        </c:ser>
        <c:dLbls>
          <c:showLegendKey val="0"/>
          <c:showVal val="0"/>
          <c:showCatName val="0"/>
          <c:showSerName val="0"/>
          <c:showPercent val="0"/>
          <c:showBubbleSize val="0"/>
        </c:dLbls>
        <c:gapWidth val="100"/>
        <c:overlap val="-27"/>
        <c:axId val="225902648"/>
        <c:axId val="225902256"/>
      </c:barChart>
      <c:lineChart>
        <c:grouping val="standard"/>
        <c:varyColors val="0"/>
        <c:ser>
          <c:idx val="1"/>
          <c:order val="1"/>
          <c:tx>
            <c:strRef>
              <c:f>Health_PCG!$W$23</c:f>
              <c:strCache>
                <c:ptCount val="1"/>
                <c:pt idx="0">
                  <c:v>Vačšinová populácia - muži</c:v>
                </c:pt>
              </c:strCache>
            </c:strRef>
          </c:tx>
          <c:spPr>
            <a:ln w="22225" cap="rnd">
              <a:solidFill>
                <a:schemeClr val="tx1"/>
              </a:solidFill>
              <a:round/>
            </a:ln>
            <a:effectLst/>
          </c:spPr>
          <c:marker>
            <c:symbol val="none"/>
          </c:marker>
          <c:cat>
            <c:strRef>
              <c:f>Health_PCG!$U$24:$U$58</c:f>
              <c:strCache>
                <c:ptCount val="35"/>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a viac</c:v>
                </c:pt>
                <c:pt idx="18">
                  <c:v>0 - 4</c:v>
                </c:pt>
                <c:pt idx="19">
                  <c:v>5 - 9</c:v>
                </c:pt>
                <c:pt idx="20">
                  <c:v>10 - 14</c:v>
                </c:pt>
                <c:pt idx="21">
                  <c:v>15 - 19</c:v>
                </c:pt>
                <c:pt idx="22">
                  <c:v>20 - 24</c:v>
                </c:pt>
                <c:pt idx="23">
                  <c:v>25 - 29</c:v>
                </c:pt>
                <c:pt idx="24">
                  <c:v>30 - 34</c:v>
                </c:pt>
                <c:pt idx="25">
                  <c:v>35 - 39</c:v>
                </c:pt>
                <c:pt idx="26">
                  <c:v>40 - 44</c:v>
                </c:pt>
                <c:pt idx="27">
                  <c:v>45 - 49</c:v>
                </c:pt>
                <c:pt idx="28">
                  <c:v>50 - 54</c:v>
                </c:pt>
                <c:pt idx="29">
                  <c:v>55 - 59</c:v>
                </c:pt>
                <c:pt idx="30">
                  <c:v>60 - 64</c:v>
                </c:pt>
                <c:pt idx="31">
                  <c:v>65 - 69</c:v>
                </c:pt>
                <c:pt idx="32">
                  <c:v>70 - 74</c:v>
                </c:pt>
                <c:pt idx="33">
                  <c:v>75 - 79</c:v>
                </c:pt>
                <c:pt idx="34">
                  <c:v>80 a viac</c:v>
                </c:pt>
              </c:strCache>
            </c:strRef>
          </c:cat>
          <c:val>
            <c:numRef>
              <c:f>Health_PCG!$W$24:$W$58</c:f>
              <c:numCache>
                <c:formatCode>General</c:formatCode>
                <c:ptCount val="35"/>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pt idx="27">
                  <c:v>100</c:v>
                </c:pt>
                <c:pt idx="28">
                  <c:v>100</c:v>
                </c:pt>
                <c:pt idx="29">
                  <c:v>100</c:v>
                </c:pt>
                <c:pt idx="30">
                  <c:v>100</c:v>
                </c:pt>
                <c:pt idx="31">
                  <c:v>100</c:v>
                </c:pt>
                <c:pt idx="32">
                  <c:v>100</c:v>
                </c:pt>
                <c:pt idx="33">
                  <c:v>100</c:v>
                </c:pt>
                <c:pt idx="34">
                  <c:v>100</c:v>
                </c:pt>
              </c:numCache>
            </c:numRef>
          </c:val>
          <c:smooth val="0"/>
          <c:extLst xmlns:c16r2="http://schemas.microsoft.com/office/drawing/2015/06/chart">
            <c:ext xmlns:c16="http://schemas.microsoft.com/office/drawing/2014/chart" uri="{C3380CC4-5D6E-409C-BE32-E72D297353CC}">
              <c16:uniqueId val="{00000023-8026-43BD-B2E3-D30DE120D6E3}"/>
            </c:ext>
          </c:extLst>
        </c:ser>
        <c:dLbls>
          <c:showLegendKey val="0"/>
          <c:showVal val="0"/>
          <c:showCatName val="0"/>
          <c:showSerName val="0"/>
          <c:showPercent val="0"/>
          <c:showBubbleSize val="0"/>
        </c:dLbls>
        <c:marker val="1"/>
        <c:smooth val="0"/>
        <c:axId val="225901472"/>
        <c:axId val="225901864"/>
      </c:lineChart>
      <c:catAx>
        <c:axId val="22590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5901864"/>
        <c:crosses val="autoZero"/>
        <c:auto val="1"/>
        <c:lblAlgn val="ctr"/>
        <c:lblOffset val="100"/>
        <c:noMultiLvlLbl val="0"/>
      </c:catAx>
      <c:valAx>
        <c:axId val="225901864"/>
        <c:scaling>
          <c:orientation val="minMax"/>
          <c:max val="160"/>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5901472"/>
        <c:crosses val="autoZero"/>
        <c:crossBetween val="between"/>
      </c:valAx>
      <c:valAx>
        <c:axId val="22590225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5902648"/>
        <c:crosses val="max"/>
        <c:crossBetween val="between"/>
      </c:valAx>
      <c:catAx>
        <c:axId val="225902648"/>
        <c:scaling>
          <c:orientation val="minMax"/>
        </c:scaling>
        <c:delete val="1"/>
        <c:axPos val="b"/>
        <c:numFmt formatCode="General" sourceLinked="1"/>
        <c:majorTickMark val="out"/>
        <c:minorTickMark val="none"/>
        <c:tickLblPos val="nextTo"/>
        <c:crossAx val="22590225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userShapes r:id="rId4"/>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028863364556499E-2"/>
          <c:y val="0.1111111111111111"/>
          <c:w val="0.86311894499426101"/>
          <c:h val="0.66576224846894139"/>
        </c:manualLayout>
      </c:layout>
      <c:barChart>
        <c:barDir val="col"/>
        <c:grouping val="clustered"/>
        <c:varyColors val="0"/>
        <c:ser>
          <c:idx val="0"/>
          <c:order val="0"/>
          <c:tx>
            <c:strRef>
              <c:f>'Dôvody UNDP'!$B$1</c:f>
              <c:strCache>
                <c:ptCount val="1"/>
                <c:pt idx="0">
                  <c:v>Rómovia</c:v>
                </c:pt>
              </c:strCache>
            </c:strRef>
          </c:tx>
          <c:spPr>
            <a:solidFill>
              <a:schemeClr val="accent1"/>
            </a:solidFill>
            <a:ln>
              <a:noFill/>
            </a:ln>
            <a:effectLst/>
          </c:spPr>
          <c:invertIfNegative val="0"/>
          <c:cat>
            <c:strRef>
              <c:f>'Dôvody UNDP'!$A$2:$A$6</c:f>
              <c:strCache>
                <c:ptCount val="5"/>
                <c:pt idx="0">
                  <c:v>nemohli si dovoliť</c:v>
                </c:pt>
                <c:pt idx="1">
                  <c:v>počkanie na zlepšenie problému</c:v>
                </c:pt>
                <c:pt idx="2">
                  <c:v>nebolo to potrebné</c:v>
                </c:pt>
                <c:pt idx="3">
                  <c:v>iný dôvod</c:v>
                </c:pt>
                <c:pt idx="4">
                  <c:v>nevie, neodpovedal</c:v>
                </c:pt>
              </c:strCache>
            </c:strRef>
          </c:cat>
          <c:val>
            <c:numRef>
              <c:f>'Dôvody UNDP'!$B$2:$B$6</c:f>
              <c:numCache>
                <c:formatCode>General</c:formatCode>
                <c:ptCount val="5"/>
                <c:pt idx="0">
                  <c:v>17.7</c:v>
                </c:pt>
                <c:pt idx="1">
                  <c:v>21.7</c:v>
                </c:pt>
                <c:pt idx="2">
                  <c:v>32.799999999999997</c:v>
                </c:pt>
                <c:pt idx="3">
                  <c:v>15.8</c:v>
                </c:pt>
                <c:pt idx="4">
                  <c:v>12</c:v>
                </c:pt>
              </c:numCache>
            </c:numRef>
          </c:val>
          <c:extLst xmlns:c16r2="http://schemas.microsoft.com/office/drawing/2015/06/chart">
            <c:ext xmlns:c16="http://schemas.microsoft.com/office/drawing/2014/chart" uri="{C3380CC4-5D6E-409C-BE32-E72D297353CC}">
              <c16:uniqueId val="{00000000-F466-4D7A-8E5A-01E7BAFC08A6}"/>
            </c:ext>
          </c:extLst>
        </c:ser>
        <c:ser>
          <c:idx val="1"/>
          <c:order val="1"/>
          <c:tx>
            <c:strRef>
              <c:f>'Dôvody UNDP'!$C$1</c:f>
              <c:strCache>
                <c:ptCount val="1"/>
                <c:pt idx="0">
                  <c:v>Geograficky blízke majoritné obyvateľstvo</c:v>
                </c:pt>
              </c:strCache>
            </c:strRef>
          </c:tx>
          <c:spPr>
            <a:solidFill>
              <a:schemeClr val="accent3"/>
            </a:solidFill>
            <a:ln>
              <a:noFill/>
            </a:ln>
            <a:effectLst/>
          </c:spPr>
          <c:invertIfNegative val="0"/>
          <c:cat>
            <c:strRef>
              <c:f>'Dôvody UNDP'!$A$2:$A$6</c:f>
              <c:strCache>
                <c:ptCount val="5"/>
                <c:pt idx="0">
                  <c:v>nemohli si dovoliť</c:v>
                </c:pt>
                <c:pt idx="1">
                  <c:v>počkanie na zlepšenie problému</c:v>
                </c:pt>
                <c:pt idx="2">
                  <c:v>nebolo to potrebné</c:v>
                </c:pt>
                <c:pt idx="3">
                  <c:v>iný dôvod</c:v>
                </c:pt>
                <c:pt idx="4">
                  <c:v>nevie, neodpovedal</c:v>
                </c:pt>
              </c:strCache>
            </c:strRef>
          </c:cat>
          <c:val>
            <c:numRef>
              <c:f>'Dôvody UNDP'!$C$2:$C$6</c:f>
              <c:numCache>
                <c:formatCode>General</c:formatCode>
                <c:ptCount val="5"/>
                <c:pt idx="0">
                  <c:v>1.4</c:v>
                </c:pt>
                <c:pt idx="1">
                  <c:v>26.5</c:v>
                </c:pt>
                <c:pt idx="2">
                  <c:v>46.4</c:v>
                </c:pt>
                <c:pt idx="3">
                  <c:v>12.9</c:v>
                </c:pt>
                <c:pt idx="4">
                  <c:v>12.8</c:v>
                </c:pt>
              </c:numCache>
            </c:numRef>
          </c:val>
          <c:extLst xmlns:c16r2="http://schemas.microsoft.com/office/drawing/2015/06/chart">
            <c:ext xmlns:c16="http://schemas.microsoft.com/office/drawing/2014/chart" uri="{C3380CC4-5D6E-409C-BE32-E72D297353CC}">
              <c16:uniqueId val="{00000001-F466-4D7A-8E5A-01E7BAFC08A6}"/>
            </c:ext>
          </c:extLst>
        </c:ser>
        <c:dLbls>
          <c:showLegendKey val="0"/>
          <c:showVal val="0"/>
          <c:showCatName val="0"/>
          <c:showSerName val="0"/>
          <c:showPercent val="0"/>
          <c:showBubbleSize val="0"/>
        </c:dLbls>
        <c:gapWidth val="219"/>
        <c:overlap val="-27"/>
        <c:axId val="225903432"/>
        <c:axId val="223170360"/>
      </c:barChart>
      <c:catAx>
        <c:axId val="225903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3170360"/>
        <c:crosses val="autoZero"/>
        <c:auto val="1"/>
        <c:lblAlgn val="ctr"/>
        <c:lblOffset val="100"/>
        <c:noMultiLvlLbl val="0"/>
      </c:catAx>
      <c:valAx>
        <c:axId val="223170360"/>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5903432"/>
        <c:crosses val="autoZero"/>
        <c:crossBetween val="between"/>
      </c:valAx>
      <c:spPr>
        <a:noFill/>
        <a:ln>
          <a:noFill/>
        </a:ln>
        <a:effectLst/>
      </c:spPr>
    </c:plotArea>
    <c:legend>
      <c:legendPos val="b"/>
      <c:layout>
        <c:manualLayout>
          <c:xMode val="edge"/>
          <c:yMode val="edge"/>
          <c:x val="7.4464912069477543E-2"/>
          <c:y val="1.8110600758238549E-2"/>
          <c:w val="0.91630972733912852"/>
          <c:h val="7.448199183435404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28894895600737"/>
          <c:y val="5.299927728258251E-2"/>
          <c:w val="0.83298468288478866"/>
          <c:h val="0.75279156715865825"/>
        </c:manualLayout>
      </c:layout>
      <c:barChart>
        <c:barDir val="col"/>
        <c:grouping val="clustered"/>
        <c:varyColors val="0"/>
        <c:ser>
          <c:idx val="0"/>
          <c:order val="0"/>
          <c:tx>
            <c:strRef>
              <c:f>'Vzdialenosť - lekár'!$M$4</c:f>
              <c:strCache>
                <c:ptCount val="1"/>
                <c:pt idx="0">
                  <c:v>Rómovia</c:v>
                </c:pt>
              </c:strCache>
            </c:strRef>
          </c:tx>
          <c:spPr>
            <a:solidFill>
              <a:schemeClr val="accent1"/>
            </a:solidFill>
            <a:ln>
              <a:noFill/>
            </a:ln>
            <a:effectLst/>
          </c:spPr>
          <c:invertIfNegative val="0"/>
          <c:cat>
            <c:strRef>
              <c:f>'Vzdialenosť - lekár'!$L$5:$L$7</c:f>
              <c:strCache>
                <c:ptCount val="3"/>
                <c:pt idx="0">
                  <c:v>Praktický</c:v>
                </c:pt>
                <c:pt idx="1">
                  <c:v>Pediater</c:v>
                </c:pt>
                <c:pt idx="2">
                  <c:v>Gynekológ</c:v>
                </c:pt>
              </c:strCache>
            </c:strRef>
          </c:cat>
          <c:val>
            <c:numRef>
              <c:f>'Vzdialenosť - lekár'!$M$5:$M$7</c:f>
              <c:numCache>
                <c:formatCode>General</c:formatCode>
                <c:ptCount val="3"/>
                <c:pt idx="0">
                  <c:v>5.0643912459508575</c:v>
                </c:pt>
                <c:pt idx="1">
                  <c:v>13.322420399778778</c:v>
                </c:pt>
                <c:pt idx="2">
                  <c:v>29.536768191514575</c:v>
                </c:pt>
              </c:numCache>
            </c:numRef>
          </c:val>
          <c:extLst xmlns:c16r2="http://schemas.microsoft.com/office/drawing/2015/06/chart">
            <c:ext xmlns:c16="http://schemas.microsoft.com/office/drawing/2014/chart" uri="{C3380CC4-5D6E-409C-BE32-E72D297353CC}">
              <c16:uniqueId val="{00000000-6586-4102-AB41-AB9C610E966C}"/>
            </c:ext>
          </c:extLst>
        </c:ser>
        <c:ser>
          <c:idx val="1"/>
          <c:order val="1"/>
          <c:tx>
            <c:strRef>
              <c:f>'Vzdialenosť - lekár'!$N$4</c:f>
              <c:strCache>
                <c:ptCount val="1"/>
                <c:pt idx="0">
                  <c:v>Ostatní obyvatelia obcí v Atlase</c:v>
                </c:pt>
              </c:strCache>
            </c:strRef>
          </c:tx>
          <c:spPr>
            <a:solidFill>
              <a:schemeClr val="accent3"/>
            </a:solidFill>
            <a:ln>
              <a:noFill/>
            </a:ln>
            <a:effectLst/>
          </c:spPr>
          <c:invertIfNegative val="0"/>
          <c:cat>
            <c:strRef>
              <c:f>'Vzdialenosť - lekár'!$L$5:$L$7</c:f>
              <c:strCache>
                <c:ptCount val="3"/>
                <c:pt idx="0">
                  <c:v>Praktický</c:v>
                </c:pt>
                <c:pt idx="1">
                  <c:v>Pediater</c:v>
                </c:pt>
                <c:pt idx="2">
                  <c:v>Gynekológ</c:v>
                </c:pt>
              </c:strCache>
            </c:strRef>
          </c:cat>
          <c:val>
            <c:numRef>
              <c:f>'Vzdialenosť - lekár'!$N$5:$N$7</c:f>
              <c:numCache>
                <c:formatCode>General</c:formatCode>
                <c:ptCount val="3"/>
                <c:pt idx="0">
                  <c:v>1.5120673670885563</c:v>
                </c:pt>
                <c:pt idx="1">
                  <c:v>4.3436841325838182</c:v>
                </c:pt>
                <c:pt idx="2">
                  <c:v>10.54929494604831</c:v>
                </c:pt>
              </c:numCache>
            </c:numRef>
          </c:val>
          <c:extLst xmlns:c16r2="http://schemas.microsoft.com/office/drawing/2015/06/chart">
            <c:ext xmlns:c16="http://schemas.microsoft.com/office/drawing/2014/chart" uri="{C3380CC4-5D6E-409C-BE32-E72D297353CC}">
              <c16:uniqueId val="{00000001-6586-4102-AB41-AB9C610E966C}"/>
            </c:ext>
          </c:extLst>
        </c:ser>
        <c:dLbls>
          <c:showLegendKey val="0"/>
          <c:showVal val="0"/>
          <c:showCatName val="0"/>
          <c:showSerName val="0"/>
          <c:showPercent val="0"/>
          <c:showBubbleSize val="0"/>
        </c:dLbls>
        <c:gapWidth val="219"/>
        <c:overlap val="-27"/>
        <c:axId val="223171144"/>
        <c:axId val="223171536"/>
      </c:barChart>
      <c:catAx>
        <c:axId val="223171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crossAx val="223171536"/>
        <c:crosses val="autoZero"/>
        <c:auto val="1"/>
        <c:lblAlgn val="ctr"/>
        <c:lblOffset val="100"/>
        <c:noMultiLvlLbl val="0"/>
      </c:catAx>
      <c:valAx>
        <c:axId val="223171536"/>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crossAx val="223171144"/>
        <c:crosses val="autoZero"/>
        <c:crossBetween val="between"/>
      </c:valAx>
      <c:spPr>
        <a:noFill/>
        <a:ln>
          <a:noFill/>
        </a:ln>
        <a:effectLst/>
      </c:spPr>
    </c:plotArea>
    <c:legend>
      <c:legendPos val="b"/>
      <c:layout>
        <c:manualLayout>
          <c:xMode val="edge"/>
          <c:yMode val="edge"/>
          <c:x val="4.9999900955776756E-2"/>
          <c:y val="0.91521417530318594"/>
          <c:w val="0.89999980191155349"/>
          <c:h val="8.478582469681408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Arial Narrow" panose="020B0606020202030204" pitchFamily="34" charset="0"/>
        </a:defRPr>
      </a:pPr>
      <a:endParaRPr lang="sk-SK"/>
    </a:p>
  </c:txPr>
  <c:externalData r:id="rId3">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0548551833822874"/>
          <c:y val="4.0627885503231764E-2"/>
          <c:w val="0.85285657156253014"/>
          <c:h val="0.79521628834052649"/>
        </c:manualLayout>
      </c:layout>
      <c:scatterChart>
        <c:scatterStyle val="lineMarker"/>
        <c:varyColors val="0"/>
        <c:ser>
          <c:idx val="0"/>
          <c:order val="0"/>
          <c:tx>
            <c:strRef>
              <c:f>Hárok5!$B$2</c:f>
              <c:strCache>
                <c:ptCount val="1"/>
                <c:pt idx="0">
                  <c:v>Voľná kapacita v materskej škole</c:v>
                </c:pt>
              </c:strCache>
            </c:strRef>
          </c:tx>
          <c:spPr>
            <a:ln w="19050" cap="rnd">
              <a:noFill/>
              <a:round/>
            </a:ln>
            <a:effectLst/>
          </c:spPr>
          <c:marker>
            <c:symbol val="diamond"/>
            <c:size val="6"/>
            <c:spPr>
              <a:solidFill>
                <a:schemeClr val="accent1"/>
              </a:solidFill>
              <a:ln w="9525">
                <a:noFill/>
              </a:ln>
              <a:effectLst/>
            </c:spPr>
          </c:marker>
          <c:xVal>
            <c:numRef>
              <c:f>Hárok5!$A$3:$A$3003</c:f>
              <c:numCache>
                <c:formatCode>General</c:formatCode>
                <c:ptCount val="3001"/>
                <c:pt idx="0">
                  <c:v>0</c:v>
                </c:pt>
                <c:pt idx="1">
                  <c:v>0</c:v>
                </c:pt>
                <c:pt idx="2">
                  <c:v>32</c:v>
                </c:pt>
                <c:pt idx="3">
                  <c:v>0</c:v>
                </c:pt>
                <c:pt idx="4">
                  <c:v>0</c:v>
                </c:pt>
                <c:pt idx="5">
                  <c:v>84</c:v>
                </c:pt>
                <c:pt idx="6">
                  <c:v>0</c:v>
                </c:pt>
                <c:pt idx="7">
                  <c:v>0</c:v>
                </c:pt>
                <c:pt idx="8">
                  <c:v>0</c:v>
                </c:pt>
                <c:pt idx="9">
                  <c:v>17</c:v>
                </c:pt>
                <c:pt idx="10">
                  <c:v>86</c:v>
                </c:pt>
                <c:pt idx="11">
                  <c:v>138</c:v>
                </c:pt>
                <c:pt idx="12">
                  <c:v>0</c:v>
                </c:pt>
                <c:pt idx="13">
                  <c:v>0</c:v>
                </c:pt>
                <c:pt idx="14">
                  <c:v>45</c:v>
                </c:pt>
                <c:pt idx="15">
                  <c:v>0</c:v>
                </c:pt>
                <c:pt idx="16">
                  <c:v>0</c:v>
                </c:pt>
                <c:pt idx="17">
                  <c:v>6</c:v>
                </c:pt>
                <c:pt idx="18">
                  <c:v>0</c:v>
                </c:pt>
                <c:pt idx="19">
                  <c:v>32</c:v>
                </c:pt>
                <c:pt idx="20">
                  <c:v>91</c:v>
                </c:pt>
                <c:pt idx="21">
                  <c:v>118</c:v>
                </c:pt>
                <c:pt idx="22">
                  <c:v>84</c:v>
                </c:pt>
                <c:pt idx="23">
                  <c:v>49</c:v>
                </c:pt>
                <c:pt idx="24">
                  <c:v>30</c:v>
                </c:pt>
                <c:pt idx="25">
                  <c:v>0</c:v>
                </c:pt>
                <c:pt idx="26">
                  <c:v>0</c:v>
                </c:pt>
                <c:pt idx="27">
                  <c:v>19</c:v>
                </c:pt>
                <c:pt idx="28">
                  <c:v>0</c:v>
                </c:pt>
                <c:pt idx="29">
                  <c:v>65</c:v>
                </c:pt>
                <c:pt idx="30">
                  <c:v>6</c:v>
                </c:pt>
                <c:pt idx="31">
                  <c:v>12</c:v>
                </c:pt>
                <c:pt idx="32">
                  <c:v>0</c:v>
                </c:pt>
                <c:pt idx="33">
                  <c:v>0</c:v>
                </c:pt>
                <c:pt idx="34">
                  <c:v>23</c:v>
                </c:pt>
                <c:pt idx="35">
                  <c:v>126</c:v>
                </c:pt>
                <c:pt idx="36">
                  <c:v>0</c:v>
                </c:pt>
                <c:pt idx="37">
                  <c:v>3</c:v>
                </c:pt>
                <c:pt idx="38">
                  <c:v>32</c:v>
                </c:pt>
                <c:pt idx="39">
                  <c:v>136</c:v>
                </c:pt>
                <c:pt idx="40">
                  <c:v>36</c:v>
                </c:pt>
                <c:pt idx="41">
                  <c:v>2</c:v>
                </c:pt>
                <c:pt idx="42">
                  <c:v>0</c:v>
                </c:pt>
                <c:pt idx="43">
                  <c:v>91</c:v>
                </c:pt>
                <c:pt idx="44">
                  <c:v>0</c:v>
                </c:pt>
                <c:pt idx="45">
                  <c:v>1</c:v>
                </c:pt>
                <c:pt idx="46">
                  <c:v>10</c:v>
                </c:pt>
                <c:pt idx="47">
                  <c:v>32</c:v>
                </c:pt>
                <c:pt idx="48">
                  <c:v>0</c:v>
                </c:pt>
                <c:pt idx="49">
                  <c:v>0</c:v>
                </c:pt>
                <c:pt idx="50">
                  <c:v>5</c:v>
                </c:pt>
                <c:pt idx="51">
                  <c:v>0</c:v>
                </c:pt>
                <c:pt idx="52">
                  <c:v>0</c:v>
                </c:pt>
                <c:pt idx="53">
                  <c:v>6</c:v>
                </c:pt>
                <c:pt idx="54">
                  <c:v>12</c:v>
                </c:pt>
                <c:pt idx="55">
                  <c:v>0</c:v>
                </c:pt>
                <c:pt idx="56">
                  <c:v>0</c:v>
                </c:pt>
                <c:pt idx="57">
                  <c:v>43</c:v>
                </c:pt>
                <c:pt idx="58">
                  <c:v>0</c:v>
                </c:pt>
                <c:pt idx="59">
                  <c:v>0</c:v>
                </c:pt>
                <c:pt idx="60">
                  <c:v>28</c:v>
                </c:pt>
                <c:pt idx="61">
                  <c:v>26</c:v>
                </c:pt>
                <c:pt idx="62">
                  <c:v>2</c:v>
                </c:pt>
                <c:pt idx="63">
                  <c:v>0</c:v>
                </c:pt>
                <c:pt idx="64">
                  <c:v>0</c:v>
                </c:pt>
                <c:pt idx="65">
                  <c:v>0</c:v>
                </c:pt>
                <c:pt idx="66">
                  <c:v>0</c:v>
                </c:pt>
                <c:pt idx="67">
                  <c:v>0</c:v>
                </c:pt>
                <c:pt idx="68">
                  <c:v>1</c:v>
                </c:pt>
                <c:pt idx="69">
                  <c:v>34</c:v>
                </c:pt>
                <c:pt idx="70">
                  <c:v>0</c:v>
                </c:pt>
                <c:pt idx="71">
                  <c:v>0</c:v>
                </c:pt>
                <c:pt idx="72">
                  <c:v>0</c:v>
                </c:pt>
                <c:pt idx="73">
                  <c:v>0</c:v>
                </c:pt>
                <c:pt idx="74">
                  <c:v>0</c:v>
                </c:pt>
                <c:pt idx="75">
                  <c:v>1</c:v>
                </c:pt>
                <c:pt idx="76">
                  <c:v>0</c:v>
                </c:pt>
                <c:pt idx="77">
                  <c:v>0</c:v>
                </c:pt>
                <c:pt idx="78">
                  <c:v>5</c:v>
                </c:pt>
                <c:pt idx="79">
                  <c:v>21</c:v>
                </c:pt>
                <c:pt idx="80">
                  <c:v>0</c:v>
                </c:pt>
                <c:pt idx="81">
                  <c:v>44</c:v>
                </c:pt>
                <c:pt idx="82">
                  <c:v>59</c:v>
                </c:pt>
                <c:pt idx="83">
                  <c:v>38</c:v>
                </c:pt>
                <c:pt idx="84">
                  <c:v>0</c:v>
                </c:pt>
                <c:pt idx="85">
                  <c:v>0</c:v>
                </c:pt>
                <c:pt idx="86">
                  <c:v>0</c:v>
                </c:pt>
                <c:pt idx="87">
                  <c:v>9</c:v>
                </c:pt>
                <c:pt idx="88">
                  <c:v>0</c:v>
                </c:pt>
                <c:pt idx="89">
                  <c:v>0</c:v>
                </c:pt>
                <c:pt idx="90">
                  <c:v>0</c:v>
                </c:pt>
                <c:pt idx="91">
                  <c:v>16</c:v>
                </c:pt>
                <c:pt idx="92">
                  <c:v>28</c:v>
                </c:pt>
                <c:pt idx="93">
                  <c:v>7</c:v>
                </c:pt>
                <c:pt idx="94">
                  <c:v>12</c:v>
                </c:pt>
                <c:pt idx="95">
                  <c:v>2</c:v>
                </c:pt>
                <c:pt idx="96">
                  <c:v>0</c:v>
                </c:pt>
                <c:pt idx="97">
                  <c:v>6</c:v>
                </c:pt>
                <c:pt idx="98">
                  <c:v>48</c:v>
                </c:pt>
                <c:pt idx="99">
                  <c:v>0</c:v>
                </c:pt>
                <c:pt idx="100">
                  <c:v>0</c:v>
                </c:pt>
                <c:pt idx="101">
                  <c:v>0</c:v>
                </c:pt>
                <c:pt idx="102">
                  <c:v>0</c:v>
                </c:pt>
                <c:pt idx="103">
                  <c:v>29</c:v>
                </c:pt>
                <c:pt idx="104">
                  <c:v>0</c:v>
                </c:pt>
                <c:pt idx="105">
                  <c:v>5</c:v>
                </c:pt>
                <c:pt idx="106">
                  <c:v>0</c:v>
                </c:pt>
                <c:pt idx="107">
                  <c:v>0</c:v>
                </c:pt>
                <c:pt idx="108">
                  <c:v>6</c:v>
                </c:pt>
                <c:pt idx="109">
                  <c:v>18</c:v>
                </c:pt>
                <c:pt idx="110">
                  <c:v>0</c:v>
                </c:pt>
                <c:pt idx="111">
                  <c:v>0</c:v>
                </c:pt>
                <c:pt idx="112">
                  <c:v>0</c:v>
                </c:pt>
                <c:pt idx="113">
                  <c:v>0</c:v>
                </c:pt>
                <c:pt idx="114">
                  <c:v>0</c:v>
                </c:pt>
                <c:pt idx="115">
                  <c:v>8</c:v>
                </c:pt>
                <c:pt idx="116">
                  <c:v>0</c:v>
                </c:pt>
                <c:pt idx="117">
                  <c:v>0</c:v>
                </c:pt>
                <c:pt idx="118">
                  <c:v>0</c:v>
                </c:pt>
                <c:pt idx="119">
                  <c:v>8</c:v>
                </c:pt>
                <c:pt idx="120">
                  <c:v>10</c:v>
                </c:pt>
                <c:pt idx="121">
                  <c:v>4</c:v>
                </c:pt>
                <c:pt idx="122">
                  <c:v>7</c:v>
                </c:pt>
                <c:pt idx="123">
                  <c:v>0</c:v>
                </c:pt>
                <c:pt idx="124">
                  <c:v>37</c:v>
                </c:pt>
                <c:pt idx="125">
                  <c:v>2</c:v>
                </c:pt>
                <c:pt idx="126">
                  <c:v>0</c:v>
                </c:pt>
                <c:pt idx="127">
                  <c:v>10</c:v>
                </c:pt>
                <c:pt idx="128">
                  <c:v>8</c:v>
                </c:pt>
                <c:pt idx="129">
                  <c:v>9</c:v>
                </c:pt>
                <c:pt idx="130">
                  <c:v>2</c:v>
                </c:pt>
                <c:pt idx="131">
                  <c:v>15</c:v>
                </c:pt>
                <c:pt idx="132">
                  <c:v>8</c:v>
                </c:pt>
                <c:pt idx="133">
                  <c:v>17</c:v>
                </c:pt>
                <c:pt idx="134">
                  <c:v>3</c:v>
                </c:pt>
                <c:pt idx="135">
                  <c:v>4</c:v>
                </c:pt>
                <c:pt idx="136">
                  <c:v>10</c:v>
                </c:pt>
                <c:pt idx="137">
                  <c:v>0</c:v>
                </c:pt>
                <c:pt idx="138">
                  <c:v>7</c:v>
                </c:pt>
                <c:pt idx="139">
                  <c:v>0</c:v>
                </c:pt>
                <c:pt idx="140">
                  <c:v>0</c:v>
                </c:pt>
                <c:pt idx="141">
                  <c:v>13</c:v>
                </c:pt>
                <c:pt idx="142">
                  <c:v>1</c:v>
                </c:pt>
                <c:pt idx="143">
                  <c:v>0</c:v>
                </c:pt>
                <c:pt idx="144">
                  <c:v>0</c:v>
                </c:pt>
                <c:pt idx="145">
                  <c:v>0</c:v>
                </c:pt>
                <c:pt idx="146">
                  <c:v>0</c:v>
                </c:pt>
                <c:pt idx="147">
                  <c:v>0</c:v>
                </c:pt>
                <c:pt idx="148">
                  <c:v>2</c:v>
                </c:pt>
                <c:pt idx="149">
                  <c:v>0</c:v>
                </c:pt>
                <c:pt idx="150">
                  <c:v>42</c:v>
                </c:pt>
                <c:pt idx="151">
                  <c:v>0</c:v>
                </c:pt>
                <c:pt idx="152">
                  <c:v>10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18</c:v>
                </c:pt>
                <c:pt idx="168">
                  <c:v>0</c:v>
                </c:pt>
                <c:pt idx="169">
                  <c:v>2</c:v>
                </c:pt>
                <c:pt idx="170">
                  <c:v>0</c:v>
                </c:pt>
                <c:pt idx="171">
                  <c:v>3</c:v>
                </c:pt>
                <c:pt idx="172">
                  <c:v>0</c:v>
                </c:pt>
                <c:pt idx="173">
                  <c:v>0</c:v>
                </c:pt>
                <c:pt idx="174">
                  <c:v>0</c:v>
                </c:pt>
                <c:pt idx="175">
                  <c:v>3</c:v>
                </c:pt>
                <c:pt idx="176">
                  <c:v>0</c:v>
                </c:pt>
                <c:pt idx="177">
                  <c:v>0</c:v>
                </c:pt>
                <c:pt idx="178">
                  <c:v>0</c:v>
                </c:pt>
                <c:pt idx="179">
                  <c:v>0</c:v>
                </c:pt>
                <c:pt idx="180">
                  <c:v>0</c:v>
                </c:pt>
                <c:pt idx="181">
                  <c:v>0</c:v>
                </c:pt>
                <c:pt idx="182">
                  <c:v>4</c:v>
                </c:pt>
                <c:pt idx="183">
                  <c:v>0</c:v>
                </c:pt>
                <c:pt idx="184">
                  <c:v>0</c:v>
                </c:pt>
                <c:pt idx="185">
                  <c:v>0</c:v>
                </c:pt>
                <c:pt idx="186">
                  <c:v>0</c:v>
                </c:pt>
                <c:pt idx="187">
                  <c:v>0</c:v>
                </c:pt>
                <c:pt idx="188">
                  <c:v>8</c:v>
                </c:pt>
                <c:pt idx="189">
                  <c:v>26</c:v>
                </c:pt>
                <c:pt idx="190">
                  <c:v>10</c:v>
                </c:pt>
                <c:pt idx="191">
                  <c:v>20</c:v>
                </c:pt>
                <c:pt idx="192">
                  <c:v>3</c:v>
                </c:pt>
                <c:pt idx="193">
                  <c:v>10</c:v>
                </c:pt>
                <c:pt idx="194">
                  <c:v>0</c:v>
                </c:pt>
                <c:pt idx="195">
                  <c:v>0</c:v>
                </c:pt>
                <c:pt idx="196">
                  <c:v>3</c:v>
                </c:pt>
                <c:pt idx="197">
                  <c:v>4</c:v>
                </c:pt>
                <c:pt idx="198">
                  <c:v>8</c:v>
                </c:pt>
                <c:pt idx="199">
                  <c:v>0</c:v>
                </c:pt>
                <c:pt idx="200">
                  <c:v>5</c:v>
                </c:pt>
                <c:pt idx="201">
                  <c:v>3</c:v>
                </c:pt>
                <c:pt idx="202">
                  <c:v>11</c:v>
                </c:pt>
                <c:pt idx="203">
                  <c:v>5</c:v>
                </c:pt>
                <c:pt idx="204">
                  <c:v>5</c:v>
                </c:pt>
                <c:pt idx="205">
                  <c:v>1</c:v>
                </c:pt>
                <c:pt idx="206">
                  <c:v>14</c:v>
                </c:pt>
                <c:pt idx="207">
                  <c:v>0</c:v>
                </c:pt>
                <c:pt idx="208">
                  <c:v>0</c:v>
                </c:pt>
                <c:pt idx="209">
                  <c:v>7</c:v>
                </c:pt>
                <c:pt idx="210">
                  <c:v>3</c:v>
                </c:pt>
                <c:pt idx="211">
                  <c:v>20</c:v>
                </c:pt>
                <c:pt idx="212">
                  <c:v>16</c:v>
                </c:pt>
                <c:pt idx="213">
                  <c:v>3</c:v>
                </c:pt>
                <c:pt idx="214">
                  <c:v>3</c:v>
                </c:pt>
                <c:pt idx="215">
                  <c:v>9</c:v>
                </c:pt>
                <c:pt idx="216">
                  <c:v>0</c:v>
                </c:pt>
                <c:pt idx="217">
                  <c:v>33</c:v>
                </c:pt>
                <c:pt idx="218">
                  <c:v>14</c:v>
                </c:pt>
                <c:pt idx="219">
                  <c:v>0</c:v>
                </c:pt>
                <c:pt idx="220">
                  <c:v>0</c:v>
                </c:pt>
                <c:pt idx="221">
                  <c:v>0</c:v>
                </c:pt>
                <c:pt idx="222">
                  <c:v>13</c:v>
                </c:pt>
                <c:pt idx="223">
                  <c:v>0</c:v>
                </c:pt>
                <c:pt idx="224">
                  <c:v>25</c:v>
                </c:pt>
                <c:pt idx="225">
                  <c:v>12</c:v>
                </c:pt>
                <c:pt idx="226">
                  <c:v>6</c:v>
                </c:pt>
                <c:pt idx="227">
                  <c:v>0</c:v>
                </c:pt>
                <c:pt idx="228">
                  <c:v>0</c:v>
                </c:pt>
                <c:pt idx="229">
                  <c:v>3</c:v>
                </c:pt>
                <c:pt idx="230">
                  <c:v>1</c:v>
                </c:pt>
                <c:pt idx="231">
                  <c:v>12</c:v>
                </c:pt>
                <c:pt idx="232">
                  <c:v>0</c:v>
                </c:pt>
                <c:pt idx="233">
                  <c:v>2</c:v>
                </c:pt>
                <c:pt idx="234">
                  <c:v>0</c:v>
                </c:pt>
                <c:pt idx="235">
                  <c:v>0</c:v>
                </c:pt>
                <c:pt idx="236">
                  <c:v>10</c:v>
                </c:pt>
                <c:pt idx="237">
                  <c:v>20</c:v>
                </c:pt>
                <c:pt idx="238">
                  <c:v>0</c:v>
                </c:pt>
                <c:pt idx="239">
                  <c:v>0</c:v>
                </c:pt>
                <c:pt idx="240">
                  <c:v>9</c:v>
                </c:pt>
                <c:pt idx="241">
                  <c:v>0</c:v>
                </c:pt>
                <c:pt idx="242">
                  <c:v>0</c:v>
                </c:pt>
                <c:pt idx="243">
                  <c:v>0</c:v>
                </c:pt>
                <c:pt idx="244">
                  <c:v>0</c:v>
                </c:pt>
                <c:pt idx="245">
                  <c:v>0</c:v>
                </c:pt>
                <c:pt idx="246">
                  <c:v>3</c:v>
                </c:pt>
                <c:pt idx="247">
                  <c:v>1</c:v>
                </c:pt>
                <c:pt idx="248">
                  <c:v>0</c:v>
                </c:pt>
                <c:pt idx="249">
                  <c:v>0</c:v>
                </c:pt>
                <c:pt idx="250">
                  <c:v>2</c:v>
                </c:pt>
                <c:pt idx="251">
                  <c:v>27</c:v>
                </c:pt>
                <c:pt idx="252">
                  <c:v>15</c:v>
                </c:pt>
                <c:pt idx="253">
                  <c:v>23</c:v>
                </c:pt>
                <c:pt idx="254">
                  <c:v>11</c:v>
                </c:pt>
                <c:pt idx="255">
                  <c:v>1</c:v>
                </c:pt>
                <c:pt idx="256">
                  <c:v>0</c:v>
                </c:pt>
                <c:pt idx="257">
                  <c:v>0</c:v>
                </c:pt>
                <c:pt idx="258">
                  <c:v>5</c:v>
                </c:pt>
                <c:pt idx="259">
                  <c:v>15</c:v>
                </c:pt>
                <c:pt idx="260">
                  <c:v>19</c:v>
                </c:pt>
                <c:pt idx="261">
                  <c:v>37</c:v>
                </c:pt>
                <c:pt idx="262">
                  <c:v>25</c:v>
                </c:pt>
                <c:pt idx="263">
                  <c:v>21</c:v>
                </c:pt>
                <c:pt idx="264">
                  <c:v>13</c:v>
                </c:pt>
                <c:pt idx="265">
                  <c:v>0</c:v>
                </c:pt>
                <c:pt idx="266">
                  <c:v>0</c:v>
                </c:pt>
                <c:pt idx="267">
                  <c:v>9</c:v>
                </c:pt>
                <c:pt idx="268">
                  <c:v>0</c:v>
                </c:pt>
                <c:pt idx="269">
                  <c:v>2</c:v>
                </c:pt>
                <c:pt idx="270">
                  <c:v>0</c:v>
                </c:pt>
                <c:pt idx="271">
                  <c:v>15</c:v>
                </c:pt>
                <c:pt idx="272">
                  <c:v>0</c:v>
                </c:pt>
                <c:pt idx="273">
                  <c:v>0</c:v>
                </c:pt>
                <c:pt idx="274">
                  <c:v>0</c:v>
                </c:pt>
                <c:pt idx="275">
                  <c:v>0</c:v>
                </c:pt>
                <c:pt idx="276">
                  <c:v>0</c:v>
                </c:pt>
                <c:pt idx="277">
                  <c:v>12</c:v>
                </c:pt>
                <c:pt idx="278">
                  <c:v>10</c:v>
                </c:pt>
                <c:pt idx="279">
                  <c:v>0</c:v>
                </c:pt>
                <c:pt idx="280">
                  <c:v>0</c:v>
                </c:pt>
                <c:pt idx="281">
                  <c:v>5</c:v>
                </c:pt>
                <c:pt idx="282">
                  <c:v>6</c:v>
                </c:pt>
                <c:pt idx="283">
                  <c:v>0</c:v>
                </c:pt>
                <c:pt idx="284">
                  <c:v>4</c:v>
                </c:pt>
                <c:pt idx="285">
                  <c:v>0</c:v>
                </c:pt>
                <c:pt idx="286">
                  <c:v>0</c:v>
                </c:pt>
                <c:pt idx="287">
                  <c:v>0</c:v>
                </c:pt>
                <c:pt idx="288">
                  <c:v>0</c:v>
                </c:pt>
                <c:pt idx="289">
                  <c:v>0</c:v>
                </c:pt>
                <c:pt idx="290">
                  <c:v>0</c:v>
                </c:pt>
                <c:pt idx="291">
                  <c:v>48</c:v>
                </c:pt>
                <c:pt idx="292">
                  <c:v>0</c:v>
                </c:pt>
                <c:pt idx="293">
                  <c:v>0</c:v>
                </c:pt>
                <c:pt idx="294">
                  <c:v>5</c:v>
                </c:pt>
                <c:pt idx="295">
                  <c:v>3</c:v>
                </c:pt>
                <c:pt idx="296">
                  <c:v>0</c:v>
                </c:pt>
                <c:pt idx="297">
                  <c:v>14</c:v>
                </c:pt>
                <c:pt idx="298">
                  <c:v>8</c:v>
                </c:pt>
                <c:pt idx="299">
                  <c:v>20</c:v>
                </c:pt>
                <c:pt idx="300">
                  <c:v>14</c:v>
                </c:pt>
                <c:pt idx="301">
                  <c:v>6</c:v>
                </c:pt>
                <c:pt idx="302">
                  <c:v>0</c:v>
                </c:pt>
                <c:pt idx="303">
                  <c:v>0</c:v>
                </c:pt>
                <c:pt idx="304">
                  <c:v>0</c:v>
                </c:pt>
                <c:pt idx="305">
                  <c:v>0</c:v>
                </c:pt>
                <c:pt idx="306">
                  <c:v>0</c:v>
                </c:pt>
                <c:pt idx="307">
                  <c:v>1</c:v>
                </c:pt>
                <c:pt idx="308">
                  <c:v>2</c:v>
                </c:pt>
                <c:pt idx="309">
                  <c:v>0</c:v>
                </c:pt>
                <c:pt idx="310">
                  <c:v>1</c:v>
                </c:pt>
                <c:pt idx="311">
                  <c:v>0</c:v>
                </c:pt>
                <c:pt idx="312">
                  <c:v>0</c:v>
                </c:pt>
                <c:pt idx="313">
                  <c:v>0</c:v>
                </c:pt>
                <c:pt idx="314">
                  <c:v>21</c:v>
                </c:pt>
                <c:pt idx="315">
                  <c:v>0</c:v>
                </c:pt>
                <c:pt idx="316">
                  <c:v>0</c:v>
                </c:pt>
                <c:pt idx="317">
                  <c:v>20</c:v>
                </c:pt>
                <c:pt idx="318">
                  <c:v>0</c:v>
                </c:pt>
                <c:pt idx="319">
                  <c:v>22</c:v>
                </c:pt>
                <c:pt idx="320">
                  <c:v>0</c:v>
                </c:pt>
                <c:pt idx="321">
                  <c:v>50</c:v>
                </c:pt>
                <c:pt idx="322">
                  <c:v>64</c:v>
                </c:pt>
                <c:pt idx="323">
                  <c:v>65</c:v>
                </c:pt>
                <c:pt idx="324">
                  <c:v>25</c:v>
                </c:pt>
                <c:pt idx="325">
                  <c:v>0</c:v>
                </c:pt>
                <c:pt idx="326">
                  <c:v>0</c:v>
                </c:pt>
                <c:pt idx="327">
                  <c:v>17</c:v>
                </c:pt>
                <c:pt idx="328">
                  <c:v>0</c:v>
                </c:pt>
                <c:pt idx="329">
                  <c:v>0</c:v>
                </c:pt>
                <c:pt idx="330">
                  <c:v>0</c:v>
                </c:pt>
                <c:pt idx="331">
                  <c:v>15</c:v>
                </c:pt>
                <c:pt idx="332">
                  <c:v>4</c:v>
                </c:pt>
                <c:pt idx="333">
                  <c:v>0</c:v>
                </c:pt>
                <c:pt idx="334">
                  <c:v>28</c:v>
                </c:pt>
                <c:pt idx="335">
                  <c:v>0</c:v>
                </c:pt>
                <c:pt idx="336">
                  <c:v>0</c:v>
                </c:pt>
                <c:pt idx="337">
                  <c:v>0</c:v>
                </c:pt>
                <c:pt idx="338">
                  <c:v>0</c:v>
                </c:pt>
                <c:pt idx="339">
                  <c:v>16</c:v>
                </c:pt>
                <c:pt idx="340">
                  <c:v>13</c:v>
                </c:pt>
                <c:pt idx="341">
                  <c:v>0</c:v>
                </c:pt>
                <c:pt idx="342">
                  <c:v>0</c:v>
                </c:pt>
                <c:pt idx="343">
                  <c:v>19</c:v>
                </c:pt>
                <c:pt idx="344">
                  <c:v>10</c:v>
                </c:pt>
                <c:pt idx="345">
                  <c:v>45</c:v>
                </c:pt>
                <c:pt idx="346">
                  <c:v>0</c:v>
                </c:pt>
                <c:pt idx="347">
                  <c:v>0</c:v>
                </c:pt>
                <c:pt idx="348">
                  <c:v>0</c:v>
                </c:pt>
                <c:pt idx="349">
                  <c:v>0</c:v>
                </c:pt>
                <c:pt idx="350">
                  <c:v>0</c:v>
                </c:pt>
                <c:pt idx="351">
                  <c:v>0</c:v>
                </c:pt>
                <c:pt idx="352">
                  <c:v>8</c:v>
                </c:pt>
                <c:pt idx="353">
                  <c:v>0</c:v>
                </c:pt>
                <c:pt idx="354">
                  <c:v>0</c:v>
                </c:pt>
                <c:pt idx="355">
                  <c:v>4</c:v>
                </c:pt>
                <c:pt idx="356">
                  <c:v>0</c:v>
                </c:pt>
                <c:pt idx="357">
                  <c:v>19</c:v>
                </c:pt>
                <c:pt idx="358">
                  <c:v>0</c:v>
                </c:pt>
                <c:pt idx="359">
                  <c:v>0</c:v>
                </c:pt>
                <c:pt idx="360">
                  <c:v>0</c:v>
                </c:pt>
                <c:pt idx="361">
                  <c:v>6</c:v>
                </c:pt>
                <c:pt idx="362">
                  <c:v>0</c:v>
                </c:pt>
                <c:pt idx="363">
                  <c:v>0</c:v>
                </c:pt>
                <c:pt idx="364">
                  <c:v>0</c:v>
                </c:pt>
                <c:pt idx="365">
                  <c:v>24</c:v>
                </c:pt>
                <c:pt idx="366">
                  <c:v>10</c:v>
                </c:pt>
                <c:pt idx="367">
                  <c:v>7</c:v>
                </c:pt>
                <c:pt idx="368">
                  <c:v>0</c:v>
                </c:pt>
                <c:pt idx="369">
                  <c:v>0</c:v>
                </c:pt>
                <c:pt idx="370">
                  <c:v>0</c:v>
                </c:pt>
                <c:pt idx="371">
                  <c:v>0</c:v>
                </c:pt>
                <c:pt idx="372">
                  <c:v>0</c:v>
                </c:pt>
                <c:pt idx="373">
                  <c:v>2</c:v>
                </c:pt>
                <c:pt idx="374">
                  <c:v>0</c:v>
                </c:pt>
                <c:pt idx="375">
                  <c:v>0</c:v>
                </c:pt>
                <c:pt idx="376">
                  <c:v>38</c:v>
                </c:pt>
                <c:pt idx="377">
                  <c:v>0</c:v>
                </c:pt>
                <c:pt idx="378">
                  <c:v>5</c:v>
                </c:pt>
                <c:pt idx="379">
                  <c:v>5</c:v>
                </c:pt>
                <c:pt idx="380">
                  <c:v>20</c:v>
                </c:pt>
                <c:pt idx="381">
                  <c:v>32</c:v>
                </c:pt>
                <c:pt idx="382">
                  <c:v>11</c:v>
                </c:pt>
                <c:pt idx="383">
                  <c:v>5</c:v>
                </c:pt>
                <c:pt idx="384">
                  <c:v>0</c:v>
                </c:pt>
                <c:pt idx="385">
                  <c:v>0</c:v>
                </c:pt>
                <c:pt idx="386">
                  <c:v>25</c:v>
                </c:pt>
                <c:pt idx="387">
                  <c:v>43</c:v>
                </c:pt>
                <c:pt idx="388">
                  <c:v>0</c:v>
                </c:pt>
                <c:pt idx="389">
                  <c:v>7</c:v>
                </c:pt>
                <c:pt idx="390">
                  <c:v>8</c:v>
                </c:pt>
                <c:pt idx="391">
                  <c:v>17</c:v>
                </c:pt>
                <c:pt idx="392">
                  <c:v>0</c:v>
                </c:pt>
                <c:pt idx="393">
                  <c:v>0</c:v>
                </c:pt>
                <c:pt idx="394">
                  <c:v>0</c:v>
                </c:pt>
                <c:pt idx="395">
                  <c:v>14</c:v>
                </c:pt>
                <c:pt idx="396">
                  <c:v>0</c:v>
                </c:pt>
                <c:pt idx="397">
                  <c:v>0</c:v>
                </c:pt>
                <c:pt idx="398">
                  <c:v>6</c:v>
                </c:pt>
                <c:pt idx="399">
                  <c:v>0</c:v>
                </c:pt>
                <c:pt idx="400">
                  <c:v>0</c:v>
                </c:pt>
                <c:pt idx="401">
                  <c:v>0</c:v>
                </c:pt>
                <c:pt idx="402">
                  <c:v>131</c:v>
                </c:pt>
                <c:pt idx="403">
                  <c:v>0</c:v>
                </c:pt>
                <c:pt idx="404">
                  <c:v>86</c:v>
                </c:pt>
                <c:pt idx="405">
                  <c:v>0</c:v>
                </c:pt>
                <c:pt idx="406">
                  <c:v>0</c:v>
                </c:pt>
                <c:pt idx="407">
                  <c:v>0</c:v>
                </c:pt>
                <c:pt idx="408">
                  <c:v>0</c:v>
                </c:pt>
                <c:pt idx="409">
                  <c:v>0</c:v>
                </c:pt>
                <c:pt idx="410">
                  <c:v>0</c:v>
                </c:pt>
                <c:pt idx="411">
                  <c:v>0</c:v>
                </c:pt>
                <c:pt idx="412">
                  <c:v>0</c:v>
                </c:pt>
                <c:pt idx="413">
                  <c:v>1</c:v>
                </c:pt>
                <c:pt idx="414">
                  <c:v>63</c:v>
                </c:pt>
                <c:pt idx="415">
                  <c:v>0</c:v>
                </c:pt>
                <c:pt idx="416">
                  <c:v>25</c:v>
                </c:pt>
                <c:pt idx="417">
                  <c:v>4</c:v>
                </c:pt>
                <c:pt idx="418">
                  <c:v>0</c:v>
                </c:pt>
                <c:pt idx="419">
                  <c:v>0</c:v>
                </c:pt>
                <c:pt idx="420">
                  <c:v>0</c:v>
                </c:pt>
                <c:pt idx="421">
                  <c:v>0</c:v>
                </c:pt>
                <c:pt idx="422">
                  <c:v>0</c:v>
                </c:pt>
                <c:pt idx="423">
                  <c:v>0</c:v>
                </c:pt>
                <c:pt idx="424">
                  <c:v>0</c:v>
                </c:pt>
                <c:pt idx="425">
                  <c:v>34</c:v>
                </c:pt>
                <c:pt idx="426">
                  <c:v>0</c:v>
                </c:pt>
                <c:pt idx="427">
                  <c:v>12</c:v>
                </c:pt>
                <c:pt idx="428">
                  <c:v>0</c:v>
                </c:pt>
                <c:pt idx="429">
                  <c:v>0</c:v>
                </c:pt>
                <c:pt idx="430">
                  <c:v>0</c:v>
                </c:pt>
                <c:pt idx="431">
                  <c:v>0</c:v>
                </c:pt>
                <c:pt idx="432">
                  <c:v>0</c:v>
                </c:pt>
                <c:pt idx="433">
                  <c:v>0</c:v>
                </c:pt>
                <c:pt idx="434">
                  <c:v>17</c:v>
                </c:pt>
                <c:pt idx="435">
                  <c:v>0</c:v>
                </c:pt>
                <c:pt idx="436">
                  <c:v>0</c:v>
                </c:pt>
                <c:pt idx="437">
                  <c:v>4</c:v>
                </c:pt>
                <c:pt idx="438">
                  <c:v>2</c:v>
                </c:pt>
                <c:pt idx="439">
                  <c:v>0</c:v>
                </c:pt>
                <c:pt idx="440">
                  <c:v>0</c:v>
                </c:pt>
                <c:pt idx="441">
                  <c:v>0</c:v>
                </c:pt>
                <c:pt idx="442">
                  <c:v>0</c:v>
                </c:pt>
                <c:pt idx="443">
                  <c:v>0</c:v>
                </c:pt>
                <c:pt idx="444">
                  <c:v>2</c:v>
                </c:pt>
                <c:pt idx="445">
                  <c:v>0</c:v>
                </c:pt>
                <c:pt idx="446">
                  <c:v>0</c:v>
                </c:pt>
                <c:pt idx="447">
                  <c:v>0</c:v>
                </c:pt>
                <c:pt idx="448">
                  <c:v>0</c:v>
                </c:pt>
                <c:pt idx="449">
                  <c:v>22</c:v>
                </c:pt>
                <c:pt idx="450">
                  <c:v>0</c:v>
                </c:pt>
                <c:pt idx="451">
                  <c:v>28</c:v>
                </c:pt>
                <c:pt idx="452">
                  <c:v>12</c:v>
                </c:pt>
                <c:pt idx="453">
                  <c:v>43</c:v>
                </c:pt>
                <c:pt idx="454">
                  <c:v>82</c:v>
                </c:pt>
                <c:pt idx="455">
                  <c:v>115</c:v>
                </c:pt>
                <c:pt idx="456">
                  <c:v>80</c:v>
                </c:pt>
                <c:pt idx="457">
                  <c:v>60</c:v>
                </c:pt>
                <c:pt idx="458">
                  <c:v>57</c:v>
                </c:pt>
                <c:pt idx="459">
                  <c:v>32</c:v>
                </c:pt>
                <c:pt idx="460">
                  <c:v>0</c:v>
                </c:pt>
                <c:pt idx="461">
                  <c:v>23</c:v>
                </c:pt>
                <c:pt idx="462">
                  <c:v>0</c:v>
                </c:pt>
                <c:pt idx="463">
                  <c:v>16</c:v>
                </c:pt>
                <c:pt idx="464">
                  <c:v>0</c:v>
                </c:pt>
                <c:pt idx="465">
                  <c:v>0</c:v>
                </c:pt>
                <c:pt idx="466">
                  <c:v>0</c:v>
                </c:pt>
                <c:pt idx="467">
                  <c:v>13</c:v>
                </c:pt>
                <c:pt idx="468">
                  <c:v>0</c:v>
                </c:pt>
                <c:pt idx="469">
                  <c:v>13</c:v>
                </c:pt>
                <c:pt idx="470">
                  <c:v>0</c:v>
                </c:pt>
                <c:pt idx="471">
                  <c:v>7</c:v>
                </c:pt>
                <c:pt idx="472">
                  <c:v>0</c:v>
                </c:pt>
                <c:pt idx="473">
                  <c:v>8</c:v>
                </c:pt>
                <c:pt idx="474">
                  <c:v>8</c:v>
                </c:pt>
                <c:pt idx="475">
                  <c:v>10</c:v>
                </c:pt>
                <c:pt idx="476">
                  <c:v>7</c:v>
                </c:pt>
                <c:pt idx="477">
                  <c:v>26</c:v>
                </c:pt>
                <c:pt idx="478">
                  <c:v>56</c:v>
                </c:pt>
                <c:pt idx="479">
                  <c:v>57</c:v>
                </c:pt>
                <c:pt idx="480">
                  <c:v>82</c:v>
                </c:pt>
                <c:pt idx="481">
                  <c:v>0</c:v>
                </c:pt>
                <c:pt idx="482">
                  <c:v>77</c:v>
                </c:pt>
                <c:pt idx="483">
                  <c:v>46</c:v>
                </c:pt>
                <c:pt idx="484">
                  <c:v>68</c:v>
                </c:pt>
                <c:pt idx="485">
                  <c:v>41</c:v>
                </c:pt>
                <c:pt idx="486">
                  <c:v>44</c:v>
                </c:pt>
                <c:pt idx="487">
                  <c:v>8</c:v>
                </c:pt>
                <c:pt idx="488">
                  <c:v>0</c:v>
                </c:pt>
                <c:pt idx="489">
                  <c:v>2</c:v>
                </c:pt>
                <c:pt idx="490">
                  <c:v>118</c:v>
                </c:pt>
                <c:pt idx="491">
                  <c:v>10</c:v>
                </c:pt>
                <c:pt idx="492">
                  <c:v>7</c:v>
                </c:pt>
                <c:pt idx="493">
                  <c:v>0</c:v>
                </c:pt>
                <c:pt idx="494">
                  <c:v>7</c:v>
                </c:pt>
                <c:pt idx="495">
                  <c:v>13</c:v>
                </c:pt>
                <c:pt idx="496">
                  <c:v>0</c:v>
                </c:pt>
                <c:pt idx="497">
                  <c:v>0</c:v>
                </c:pt>
                <c:pt idx="498">
                  <c:v>50</c:v>
                </c:pt>
                <c:pt idx="499">
                  <c:v>10</c:v>
                </c:pt>
                <c:pt idx="500">
                  <c:v>71</c:v>
                </c:pt>
                <c:pt idx="501">
                  <c:v>39</c:v>
                </c:pt>
                <c:pt idx="502">
                  <c:v>0</c:v>
                </c:pt>
                <c:pt idx="503">
                  <c:v>18</c:v>
                </c:pt>
                <c:pt idx="504">
                  <c:v>19</c:v>
                </c:pt>
                <c:pt idx="505">
                  <c:v>4</c:v>
                </c:pt>
                <c:pt idx="506">
                  <c:v>0</c:v>
                </c:pt>
                <c:pt idx="507">
                  <c:v>8</c:v>
                </c:pt>
                <c:pt idx="508">
                  <c:v>45</c:v>
                </c:pt>
                <c:pt idx="509">
                  <c:v>21</c:v>
                </c:pt>
                <c:pt idx="510">
                  <c:v>2</c:v>
                </c:pt>
                <c:pt idx="511">
                  <c:v>0</c:v>
                </c:pt>
                <c:pt idx="512">
                  <c:v>0</c:v>
                </c:pt>
                <c:pt idx="513">
                  <c:v>0</c:v>
                </c:pt>
                <c:pt idx="514">
                  <c:v>0</c:v>
                </c:pt>
                <c:pt idx="515">
                  <c:v>0</c:v>
                </c:pt>
                <c:pt idx="516">
                  <c:v>17</c:v>
                </c:pt>
                <c:pt idx="517">
                  <c:v>0</c:v>
                </c:pt>
                <c:pt idx="518">
                  <c:v>0</c:v>
                </c:pt>
                <c:pt idx="519">
                  <c:v>4</c:v>
                </c:pt>
                <c:pt idx="520">
                  <c:v>5</c:v>
                </c:pt>
                <c:pt idx="521">
                  <c:v>27</c:v>
                </c:pt>
                <c:pt idx="522">
                  <c:v>0</c:v>
                </c:pt>
                <c:pt idx="523">
                  <c:v>8</c:v>
                </c:pt>
                <c:pt idx="524">
                  <c:v>9</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2</c:v>
                </c:pt>
                <c:pt idx="541">
                  <c:v>24</c:v>
                </c:pt>
                <c:pt idx="542">
                  <c:v>13</c:v>
                </c:pt>
                <c:pt idx="543">
                  <c:v>11</c:v>
                </c:pt>
                <c:pt idx="544">
                  <c:v>1</c:v>
                </c:pt>
                <c:pt idx="545">
                  <c:v>2</c:v>
                </c:pt>
                <c:pt idx="546">
                  <c:v>18</c:v>
                </c:pt>
                <c:pt idx="547">
                  <c:v>0</c:v>
                </c:pt>
                <c:pt idx="548">
                  <c:v>0</c:v>
                </c:pt>
                <c:pt idx="549">
                  <c:v>0</c:v>
                </c:pt>
                <c:pt idx="550">
                  <c:v>5</c:v>
                </c:pt>
                <c:pt idx="551">
                  <c:v>0</c:v>
                </c:pt>
                <c:pt idx="552">
                  <c:v>0</c:v>
                </c:pt>
                <c:pt idx="553">
                  <c:v>4</c:v>
                </c:pt>
                <c:pt idx="554">
                  <c:v>0</c:v>
                </c:pt>
                <c:pt idx="555">
                  <c:v>0</c:v>
                </c:pt>
                <c:pt idx="556">
                  <c:v>0</c:v>
                </c:pt>
                <c:pt idx="557">
                  <c:v>1</c:v>
                </c:pt>
                <c:pt idx="558">
                  <c:v>6</c:v>
                </c:pt>
                <c:pt idx="559">
                  <c:v>0</c:v>
                </c:pt>
                <c:pt idx="560">
                  <c:v>0</c:v>
                </c:pt>
                <c:pt idx="561">
                  <c:v>0</c:v>
                </c:pt>
                <c:pt idx="562">
                  <c:v>4</c:v>
                </c:pt>
                <c:pt idx="563">
                  <c:v>0</c:v>
                </c:pt>
                <c:pt idx="564">
                  <c:v>60</c:v>
                </c:pt>
                <c:pt idx="565">
                  <c:v>16</c:v>
                </c:pt>
                <c:pt idx="566">
                  <c:v>0</c:v>
                </c:pt>
                <c:pt idx="567">
                  <c:v>0</c:v>
                </c:pt>
                <c:pt idx="568">
                  <c:v>5</c:v>
                </c:pt>
                <c:pt idx="569">
                  <c:v>6</c:v>
                </c:pt>
                <c:pt idx="570">
                  <c:v>0</c:v>
                </c:pt>
                <c:pt idx="571">
                  <c:v>0</c:v>
                </c:pt>
                <c:pt idx="572">
                  <c:v>0</c:v>
                </c:pt>
                <c:pt idx="573">
                  <c:v>0</c:v>
                </c:pt>
                <c:pt idx="574">
                  <c:v>4</c:v>
                </c:pt>
                <c:pt idx="575">
                  <c:v>0</c:v>
                </c:pt>
                <c:pt idx="576">
                  <c:v>0</c:v>
                </c:pt>
                <c:pt idx="577">
                  <c:v>0</c:v>
                </c:pt>
                <c:pt idx="578">
                  <c:v>0</c:v>
                </c:pt>
                <c:pt idx="579">
                  <c:v>7</c:v>
                </c:pt>
                <c:pt idx="580">
                  <c:v>11</c:v>
                </c:pt>
                <c:pt idx="581">
                  <c:v>27</c:v>
                </c:pt>
                <c:pt idx="582">
                  <c:v>4</c:v>
                </c:pt>
                <c:pt idx="583">
                  <c:v>39</c:v>
                </c:pt>
                <c:pt idx="584">
                  <c:v>4</c:v>
                </c:pt>
                <c:pt idx="585">
                  <c:v>4</c:v>
                </c:pt>
                <c:pt idx="586">
                  <c:v>0</c:v>
                </c:pt>
                <c:pt idx="587">
                  <c:v>0</c:v>
                </c:pt>
                <c:pt idx="588">
                  <c:v>0</c:v>
                </c:pt>
                <c:pt idx="589">
                  <c:v>0</c:v>
                </c:pt>
                <c:pt idx="590">
                  <c:v>0</c:v>
                </c:pt>
                <c:pt idx="591">
                  <c:v>0</c:v>
                </c:pt>
                <c:pt idx="592">
                  <c:v>0</c:v>
                </c:pt>
                <c:pt idx="593">
                  <c:v>10</c:v>
                </c:pt>
                <c:pt idx="594">
                  <c:v>0</c:v>
                </c:pt>
                <c:pt idx="595">
                  <c:v>0</c:v>
                </c:pt>
                <c:pt idx="596">
                  <c:v>0</c:v>
                </c:pt>
                <c:pt idx="597">
                  <c:v>0</c:v>
                </c:pt>
                <c:pt idx="598">
                  <c:v>12</c:v>
                </c:pt>
                <c:pt idx="599">
                  <c:v>0</c:v>
                </c:pt>
                <c:pt idx="600">
                  <c:v>0</c:v>
                </c:pt>
                <c:pt idx="601">
                  <c:v>8</c:v>
                </c:pt>
                <c:pt idx="602">
                  <c:v>0</c:v>
                </c:pt>
                <c:pt idx="603">
                  <c:v>0</c:v>
                </c:pt>
                <c:pt idx="604">
                  <c:v>0</c:v>
                </c:pt>
                <c:pt idx="605">
                  <c:v>0</c:v>
                </c:pt>
                <c:pt idx="606">
                  <c:v>0</c:v>
                </c:pt>
                <c:pt idx="607">
                  <c:v>0</c:v>
                </c:pt>
                <c:pt idx="608">
                  <c:v>8</c:v>
                </c:pt>
                <c:pt idx="609">
                  <c:v>0</c:v>
                </c:pt>
                <c:pt idx="610">
                  <c:v>0</c:v>
                </c:pt>
                <c:pt idx="611">
                  <c:v>0</c:v>
                </c:pt>
                <c:pt idx="612">
                  <c:v>0</c:v>
                </c:pt>
                <c:pt idx="613">
                  <c:v>3</c:v>
                </c:pt>
                <c:pt idx="614">
                  <c:v>3</c:v>
                </c:pt>
                <c:pt idx="615">
                  <c:v>0</c:v>
                </c:pt>
                <c:pt idx="616">
                  <c:v>0</c:v>
                </c:pt>
                <c:pt idx="617">
                  <c:v>1</c:v>
                </c:pt>
                <c:pt idx="618">
                  <c:v>0</c:v>
                </c:pt>
                <c:pt idx="619">
                  <c:v>10</c:v>
                </c:pt>
                <c:pt idx="620">
                  <c:v>0</c:v>
                </c:pt>
                <c:pt idx="621">
                  <c:v>0</c:v>
                </c:pt>
                <c:pt idx="622">
                  <c:v>0</c:v>
                </c:pt>
                <c:pt idx="623">
                  <c:v>2</c:v>
                </c:pt>
                <c:pt idx="624">
                  <c:v>0</c:v>
                </c:pt>
                <c:pt idx="625">
                  <c:v>0</c:v>
                </c:pt>
                <c:pt idx="626">
                  <c:v>8</c:v>
                </c:pt>
                <c:pt idx="627">
                  <c:v>0</c:v>
                </c:pt>
                <c:pt idx="628">
                  <c:v>0</c:v>
                </c:pt>
                <c:pt idx="629">
                  <c:v>12</c:v>
                </c:pt>
                <c:pt idx="630">
                  <c:v>4</c:v>
                </c:pt>
                <c:pt idx="631">
                  <c:v>4</c:v>
                </c:pt>
                <c:pt idx="632">
                  <c:v>0</c:v>
                </c:pt>
                <c:pt idx="633">
                  <c:v>10</c:v>
                </c:pt>
                <c:pt idx="634">
                  <c:v>0</c:v>
                </c:pt>
                <c:pt idx="635">
                  <c:v>0</c:v>
                </c:pt>
                <c:pt idx="636">
                  <c:v>0</c:v>
                </c:pt>
                <c:pt idx="637">
                  <c:v>6</c:v>
                </c:pt>
                <c:pt idx="638">
                  <c:v>10</c:v>
                </c:pt>
                <c:pt idx="639">
                  <c:v>14</c:v>
                </c:pt>
                <c:pt idx="640">
                  <c:v>5</c:v>
                </c:pt>
                <c:pt idx="641">
                  <c:v>0</c:v>
                </c:pt>
                <c:pt idx="642">
                  <c:v>0</c:v>
                </c:pt>
                <c:pt idx="643">
                  <c:v>0</c:v>
                </c:pt>
                <c:pt idx="644">
                  <c:v>12</c:v>
                </c:pt>
                <c:pt idx="645">
                  <c:v>1</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2</c:v>
                </c:pt>
                <c:pt idx="674">
                  <c:v>5</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4</c:v>
                </c:pt>
                <c:pt idx="689">
                  <c:v>0</c:v>
                </c:pt>
                <c:pt idx="690">
                  <c:v>0</c:v>
                </c:pt>
                <c:pt idx="691">
                  <c:v>0</c:v>
                </c:pt>
                <c:pt idx="692">
                  <c:v>0</c:v>
                </c:pt>
                <c:pt idx="693">
                  <c:v>0</c:v>
                </c:pt>
                <c:pt idx="694">
                  <c:v>0</c:v>
                </c:pt>
                <c:pt idx="695">
                  <c:v>0</c:v>
                </c:pt>
                <c:pt idx="696">
                  <c:v>0</c:v>
                </c:pt>
                <c:pt idx="697">
                  <c:v>0</c:v>
                </c:pt>
                <c:pt idx="698">
                  <c:v>0</c:v>
                </c:pt>
                <c:pt idx="699">
                  <c:v>0</c:v>
                </c:pt>
                <c:pt idx="700">
                  <c:v>2</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2</c:v>
                </c:pt>
                <c:pt idx="715">
                  <c:v>2</c:v>
                </c:pt>
                <c:pt idx="716">
                  <c:v>0</c:v>
                </c:pt>
                <c:pt idx="717">
                  <c:v>0</c:v>
                </c:pt>
                <c:pt idx="718">
                  <c:v>0</c:v>
                </c:pt>
                <c:pt idx="719">
                  <c:v>0</c:v>
                </c:pt>
                <c:pt idx="720">
                  <c:v>4</c:v>
                </c:pt>
                <c:pt idx="721">
                  <c:v>0</c:v>
                </c:pt>
                <c:pt idx="722">
                  <c:v>0</c:v>
                </c:pt>
                <c:pt idx="723">
                  <c:v>0</c:v>
                </c:pt>
                <c:pt idx="724">
                  <c:v>0</c:v>
                </c:pt>
                <c:pt idx="725">
                  <c:v>0</c:v>
                </c:pt>
                <c:pt idx="726">
                  <c:v>0</c:v>
                </c:pt>
                <c:pt idx="727">
                  <c:v>0</c:v>
                </c:pt>
                <c:pt idx="728">
                  <c:v>0</c:v>
                </c:pt>
                <c:pt idx="729">
                  <c:v>0</c:v>
                </c:pt>
                <c:pt idx="730">
                  <c:v>18</c:v>
                </c:pt>
                <c:pt idx="731">
                  <c:v>0</c:v>
                </c:pt>
                <c:pt idx="732">
                  <c:v>0</c:v>
                </c:pt>
                <c:pt idx="733">
                  <c:v>0</c:v>
                </c:pt>
                <c:pt idx="734">
                  <c:v>0</c:v>
                </c:pt>
                <c:pt idx="735">
                  <c:v>0</c:v>
                </c:pt>
                <c:pt idx="736">
                  <c:v>0</c:v>
                </c:pt>
                <c:pt idx="737">
                  <c:v>0</c:v>
                </c:pt>
                <c:pt idx="738">
                  <c:v>3</c:v>
                </c:pt>
                <c:pt idx="739">
                  <c:v>0</c:v>
                </c:pt>
                <c:pt idx="740">
                  <c:v>0</c:v>
                </c:pt>
                <c:pt idx="741">
                  <c:v>0</c:v>
                </c:pt>
                <c:pt idx="742">
                  <c:v>0</c:v>
                </c:pt>
                <c:pt idx="743">
                  <c:v>0</c:v>
                </c:pt>
                <c:pt idx="744">
                  <c:v>0</c:v>
                </c:pt>
                <c:pt idx="745">
                  <c:v>0</c:v>
                </c:pt>
                <c:pt idx="746">
                  <c:v>6</c:v>
                </c:pt>
                <c:pt idx="747">
                  <c:v>0</c:v>
                </c:pt>
                <c:pt idx="748">
                  <c:v>0</c:v>
                </c:pt>
                <c:pt idx="749">
                  <c:v>8</c:v>
                </c:pt>
                <c:pt idx="750">
                  <c:v>9</c:v>
                </c:pt>
                <c:pt idx="751">
                  <c:v>10</c:v>
                </c:pt>
                <c:pt idx="752">
                  <c:v>0</c:v>
                </c:pt>
                <c:pt idx="753">
                  <c:v>0</c:v>
                </c:pt>
                <c:pt idx="754">
                  <c:v>0</c:v>
                </c:pt>
                <c:pt idx="755">
                  <c:v>0</c:v>
                </c:pt>
                <c:pt idx="756">
                  <c:v>0</c:v>
                </c:pt>
                <c:pt idx="757">
                  <c:v>0</c:v>
                </c:pt>
                <c:pt idx="758">
                  <c:v>8</c:v>
                </c:pt>
                <c:pt idx="759">
                  <c:v>0</c:v>
                </c:pt>
                <c:pt idx="760">
                  <c:v>0</c:v>
                </c:pt>
                <c:pt idx="761">
                  <c:v>0</c:v>
                </c:pt>
                <c:pt idx="762">
                  <c:v>3</c:v>
                </c:pt>
                <c:pt idx="763">
                  <c:v>2</c:v>
                </c:pt>
                <c:pt idx="764">
                  <c:v>0</c:v>
                </c:pt>
                <c:pt idx="765">
                  <c:v>14</c:v>
                </c:pt>
                <c:pt idx="766">
                  <c:v>7</c:v>
                </c:pt>
                <c:pt idx="767">
                  <c:v>0</c:v>
                </c:pt>
                <c:pt idx="768">
                  <c:v>0</c:v>
                </c:pt>
                <c:pt idx="769">
                  <c:v>0</c:v>
                </c:pt>
                <c:pt idx="770">
                  <c:v>0</c:v>
                </c:pt>
                <c:pt idx="771">
                  <c:v>11</c:v>
                </c:pt>
                <c:pt idx="772">
                  <c:v>11</c:v>
                </c:pt>
                <c:pt idx="773">
                  <c:v>0</c:v>
                </c:pt>
                <c:pt idx="774">
                  <c:v>0</c:v>
                </c:pt>
                <c:pt idx="775">
                  <c:v>0</c:v>
                </c:pt>
                <c:pt idx="776">
                  <c:v>0</c:v>
                </c:pt>
                <c:pt idx="777">
                  <c:v>0</c:v>
                </c:pt>
                <c:pt idx="778">
                  <c:v>0</c:v>
                </c:pt>
                <c:pt idx="779">
                  <c:v>2</c:v>
                </c:pt>
                <c:pt idx="780">
                  <c:v>0</c:v>
                </c:pt>
                <c:pt idx="781">
                  <c:v>6</c:v>
                </c:pt>
                <c:pt idx="782">
                  <c:v>10</c:v>
                </c:pt>
                <c:pt idx="783">
                  <c:v>0</c:v>
                </c:pt>
                <c:pt idx="784">
                  <c:v>0</c:v>
                </c:pt>
                <c:pt idx="785">
                  <c:v>0</c:v>
                </c:pt>
                <c:pt idx="786">
                  <c:v>0</c:v>
                </c:pt>
                <c:pt idx="787">
                  <c:v>0</c:v>
                </c:pt>
                <c:pt idx="788">
                  <c:v>7</c:v>
                </c:pt>
                <c:pt idx="789">
                  <c:v>3</c:v>
                </c:pt>
                <c:pt idx="790">
                  <c:v>0</c:v>
                </c:pt>
                <c:pt idx="791">
                  <c:v>0</c:v>
                </c:pt>
                <c:pt idx="792">
                  <c:v>14</c:v>
                </c:pt>
                <c:pt idx="793">
                  <c:v>5</c:v>
                </c:pt>
                <c:pt idx="794">
                  <c:v>0</c:v>
                </c:pt>
                <c:pt idx="795">
                  <c:v>0</c:v>
                </c:pt>
                <c:pt idx="796">
                  <c:v>0</c:v>
                </c:pt>
                <c:pt idx="797">
                  <c:v>2</c:v>
                </c:pt>
                <c:pt idx="798">
                  <c:v>1</c:v>
                </c:pt>
                <c:pt idx="799">
                  <c:v>0</c:v>
                </c:pt>
                <c:pt idx="800">
                  <c:v>5</c:v>
                </c:pt>
                <c:pt idx="801">
                  <c:v>4</c:v>
                </c:pt>
                <c:pt idx="802">
                  <c:v>0</c:v>
                </c:pt>
                <c:pt idx="803">
                  <c:v>0</c:v>
                </c:pt>
                <c:pt idx="804">
                  <c:v>2</c:v>
                </c:pt>
                <c:pt idx="805">
                  <c:v>0</c:v>
                </c:pt>
                <c:pt idx="806">
                  <c:v>0</c:v>
                </c:pt>
                <c:pt idx="807">
                  <c:v>0</c:v>
                </c:pt>
                <c:pt idx="808">
                  <c:v>0</c:v>
                </c:pt>
                <c:pt idx="809">
                  <c:v>0</c:v>
                </c:pt>
                <c:pt idx="810">
                  <c:v>0</c:v>
                </c:pt>
                <c:pt idx="811">
                  <c:v>0</c:v>
                </c:pt>
                <c:pt idx="812">
                  <c:v>0</c:v>
                </c:pt>
                <c:pt idx="813">
                  <c:v>0</c:v>
                </c:pt>
                <c:pt idx="814">
                  <c:v>0</c:v>
                </c:pt>
                <c:pt idx="815">
                  <c:v>11</c:v>
                </c:pt>
                <c:pt idx="816">
                  <c:v>0</c:v>
                </c:pt>
                <c:pt idx="817">
                  <c:v>0</c:v>
                </c:pt>
                <c:pt idx="818">
                  <c:v>0</c:v>
                </c:pt>
                <c:pt idx="819">
                  <c:v>0</c:v>
                </c:pt>
                <c:pt idx="820">
                  <c:v>0</c:v>
                </c:pt>
                <c:pt idx="821">
                  <c:v>1</c:v>
                </c:pt>
                <c:pt idx="822">
                  <c:v>0</c:v>
                </c:pt>
                <c:pt idx="823">
                  <c:v>0</c:v>
                </c:pt>
                <c:pt idx="824">
                  <c:v>33</c:v>
                </c:pt>
                <c:pt idx="825">
                  <c:v>0</c:v>
                </c:pt>
                <c:pt idx="826">
                  <c:v>0</c:v>
                </c:pt>
                <c:pt idx="827">
                  <c:v>10</c:v>
                </c:pt>
                <c:pt idx="828">
                  <c:v>0</c:v>
                </c:pt>
                <c:pt idx="829">
                  <c:v>20</c:v>
                </c:pt>
                <c:pt idx="830">
                  <c:v>6</c:v>
                </c:pt>
                <c:pt idx="831">
                  <c:v>0</c:v>
                </c:pt>
                <c:pt idx="832">
                  <c:v>0</c:v>
                </c:pt>
                <c:pt idx="833">
                  <c:v>0</c:v>
                </c:pt>
                <c:pt idx="834">
                  <c:v>0</c:v>
                </c:pt>
                <c:pt idx="835">
                  <c:v>0</c:v>
                </c:pt>
                <c:pt idx="836">
                  <c:v>0</c:v>
                </c:pt>
                <c:pt idx="837">
                  <c:v>1</c:v>
                </c:pt>
                <c:pt idx="838">
                  <c:v>0</c:v>
                </c:pt>
                <c:pt idx="839">
                  <c:v>13</c:v>
                </c:pt>
                <c:pt idx="840">
                  <c:v>0</c:v>
                </c:pt>
                <c:pt idx="841">
                  <c:v>0</c:v>
                </c:pt>
                <c:pt idx="842">
                  <c:v>0</c:v>
                </c:pt>
                <c:pt idx="843">
                  <c:v>0</c:v>
                </c:pt>
                <c:pt idx="844">
                  <c:v>7</c:v>
                </c:pt>
                <c:pt idx="845">
                  <c:v>0</c:v>
                </c:pt>
                <c:pt idx="846">
                  <c:v>0</c:v>
                </c:pt>
                <c:pt idx="847">
                  <c:v>1</c:v>
                </c:pt>
                <c:pt idx="848">
                  <c:v>0</c:v>
                </c:pt>
                <c:pt idx="849">
                  <c:v>5</c:v>
                </c:pt>
                <c:pt idx="850">
                  <c:v>4</c:v>
                </c:pt>
                <c:pt idx="851">
                  <c:v>0</c:v>
                </c:pt>
                <c:pt idx="852">
                  <c:v>0</c:v>
                </c:pt>
                <c:pt idx="853">
                  <c:v>0</c:v>
                </c:pt>
                <c:pt idx="854">
                  <c:v>0</c:v>
                </c:pt>
                <c:pt idx="855">
                  <c:v>2</c:v>
                </c:pt>
                <c:pt idx="856">
                  <c:v>0</c:v>
                </c:pt>
                <c:pt idx="857">
                  <c:v>0</c:v>
                </c:pt>
                <c:pt idx="858">
                  <c:v>0</c:v>
                </c:pt>
                <c:pt idx="859">
                  <c:v>0</c:v>
                </c:pt>
                <c:pt idx="860">
                  <c:v>0</c:v>
                </c:pt>
                <c:pt idx="861">
                  <c:v>14</c:v>
                </c:pt>
                <c:pt idx="862">
                  <c:v>0</c:v>
                </c:pt>
                <c:pt idx="863">
                  <c:v>0</c:v>
                </c:pt>
                <c:pt idx="864">
                  <c:v>0</c:v>
                </c:pt>
                <c:pt idx="865">
                  <c:v>0</c:v>
                </c:pt>
                <c:pt idx="866">
                  <c:v>0</c:v>
                </c:pt>
                <c:pt idx="867">
                  <c:v>0</c:v>
                </c:pt>
                <c:pt idx="868">
                  <c:v>0</c:v>
                </c:pt>
                <c:pt idx="869">
                  <c:v>25</c:v>
                </c:pt>
                <c:pt idx="870">
                  <c:v>0</c:v>
                </c:pt>
                <c:pt idx="871">
                  <c:v>0</c:v>
                </c:pt>
                <c:pt idx="872">
                  <c:v>2</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1</c:v>
                </c:pt>
                <c:pt idx="887">
                  <c:v>0</c:v>
                </c:pt>
                <c:pt idx="888">
                  <c:v>0</c:v>
                </c:pt>
                <c:pt idx="889">
                  <c:v>2</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11</c:v>
                </c:pt>
                <c:pt idx="908">
                  <c:v>0</c:v>
                </c:pt>
                <c:pt idx="909">
                  <c:v>0</c:v>
                </c:pt>
                <c:pt idx="910">
                  <c:v>0</c:v>
                </c:pt>
                <c:pt idx="911">
                  <c:v>0</c:v>
                </c:pt>
                <c:pt idx="912">
                  <c:v>7</c:v>
                </c:pt>
                <c:pt idx="913">
                  <c:v>0</c:v>
                </c:pt>
                <c:pt idx="914">
                  <c:v>0</c:v>
                </c:pt>
                <c:pt idx="915">
                  <c:v>0</c:v>
                </c:pt>
                <c:pt idx="916">
                  <c:v>0</c:v>
                </c:pt>
                <c:pt idx="917">
                  <c:v>8</c:v>
                </c:pt>
                <c:pt idx="918">
                  <c:v>0</c:v>
                </c:pt>
                <c:pt idx="919">
                  <c:v>0</c:v>
                </c:pt>
                <c:pt idx="920">
                  <c:v>0</c:v>
                </c:pt>
                <c:pt idx="921">
                  <c:v>0</c:v>
                </c:pt>
                <c:pt idx="922">
                  <c:v>3</c:v>
                </c:pt>
                <c:pt idx="923">
                  <c:v>0</c:v>
                </c:pt>
                <c:pt idx="924">
                  <c:v>2</c:v>
                </c:pt>
                <c:pt idx="925">
                  <c:v>0</c:v>
                </c:pt>
                <c:pt idx="926">
                  <c:v>0</c:v>
                </c:pt>
                <c:pt idx="927">
                  <c:v>0</c:v>
                </c:pt>
                <c:pt idx="928">
                  <c:v>13</c:v>
                </c:pt>
                <c:pt idx="929">
                  <c:v>0</c:v>
                </c:pt>
                <c:pt idx="930">
                  <c:v>0</c:v>
                </c:pt>
                <c:pt idx="931">
                  <c:v>0</c:v>
                </c:pt>
                <c:pt idx="932">
                  <c:v>0</c:v>
                </c:pt>
                <c:pt idx="933">
                  <c:v>0</c:v>
                </c:pt>
                <c:pt idx="934">
                  <c:v>2</c:v>
                </c:pt>
                <c:pt idx="935">
                  <c:v>0</c:v>
                </c:pt>
                <c:pt idx="936">
                  <c:v>0</c:v>
                </c:pt>
                <c:pt idx="937">
                  <c:v>0</c:v>
                </c:pt>
                <c:pt idx="938">
                  <c:v>0</c:v>
                </c:pt>
                <c:pt idx="939">
                  <c:v>0</c:v>
                </c:pt>
                <c:pt idx="940">
                  <c:v>0</c:v>
                </c:pt>
                <c:pt idx="941">
                  <c:v>0</c:v>
                </c:pt>
                <c:pt idx="942">
                  <c:v>0</c:v>
                </c:pt>
                <c:pt idx="943">
                  <c:v>5</c:v>
                </c:pt>
                <c:pt idx="944">
                  <c:v>10</c:v>
                </c:pt>
                <c:pt idx="945">
                  <c:v>6</c:v>
                </c:pt>
                <c:pt idx="946">
                  <c:v>0</c:v>
                </c:pt>
                <c:pt idx="947">
                  <c:v>0</c:v>
                </c:pt>
                <c:pt idx="948">
                  <c:v>2</c:v>
                </c:pt>
                <c:pt idx="949">
                  <c:v>3</c:v>
                </c:pt>
                <c:pt idx="950">
                  <c:v>0</c:v>
                </c:pt>
                <c:pt idx="951">
                  <c:v>0</c:v>
                </c:pt>
                <c:pt idx="952">
                  <c:v>1</c:v>
                </c:pt>
                <c:pt idx="953">
                  <c:v>6</c:v>
                </c:pt>
                <c:pt idx="954">
                  <c:v>0</c:v>
                </c:pt>
                <c:pt idx="955">
                  <c:v>0</c:v>
                </c:pt>
                <c:pt idx="956">
                  <c:v>0</c:v>
                </c:pt>
                <c:pt idx="957">
                  <c:v>4</c:v>
                </c:pt>
                <c:pt idx="958">
                  <c:v>0</c:v>
                </c:pt>
                <c:pt idx="959">
                  <c:v>0</c:v>
                </c:pt>
                <c:pt idx="960">
                  <c:v>0</c:v>
                </c:pt>
                <c:pt idx="961">
                  <c:v>0</c:v>
                </c:pt>
                <c:pt idx="962">
                  <c:v>7</c:v>
                </c:pt>
                <c:pt idx="963">
                  <c:v>0</c:v>
                </c:pt>
                <c:pt idx="964">
                  <c:v>0</c:v>
                </c:pt>
                <c:pt idx="965">
                  <c:v>0</c:v>
                </c:pt>
                <c:pt idx="966">
                  <c:v>0</c:v>
                </c:pt>
                <c:pt idx="967">
                  <c:v>0</c:v>
                </c:pt>
                <c:pt idx="968">
                  <c:v>0</c:v>
                </c:pt>
                <c:pt idx="969">
                  <c:v>0</c:v>
                </c:pt>
                <c:pt idx="970">
                  <c:v>2</c:v>
                </c:pt>
                <c:pt idx="971">
                  <c:v>2</c:v>
                </c:pt>
                <c:pt idx="972">
                  <c:v>0</c:v>
                </c:pt>
                <c:pt idx="973">
                  <c:v>0</c:v>
                </c:pt>
                <c:pt idx="974">
                  <c:v>0</c:v>
                </c:pt>
                <c:pt idx="975">
                  <c:v>0</c:v>
                </c:pt>
                <c:pt idx="976">
                  <c:v>0</c:v>
                </c:pt>
                <c:pt idx="977">
                  <c:v>0</c:v>
                </c:pt>
                <c:pt idx="978">
                  <c:v>0</c:v>
                </c:pt>
                <c:pt idx="979">
                  <c:v>0</c:v>
                </c:pt>
                <c:pt idx="980">
                  <c:v>0</c:v>
                </c:pt>
                <c:pt idx="981">
                  <c:v>4</c:v>
                </c:pt>
                <c:pt idx="982">
                  <c:v>1</c:v>
                </c:pt>
                <c:pt idx="983">
                  <c:v>0</c:v>
                </c:pt>
                <c:pt idx="984">
                  <c:v>0</c:v>
                </c:pt>
                <c:pt idx="985">
                  <c:v>0</c:v>
                </c:pt>
                <c:pt idx="986">
                  <c:v>0</c:v>
                </c:pt>
                <c:pt idx="987">
                  <c:v>9</c:v>
                </c:pt>
                <c:pt idx="988">
                  <c:v>4</c:v>
                </c:pt>
                <c:pt idx="989">
                  <c:v>0</c:v>
                </c:pt>
                <c:pt idx="990">
                  <c:v>0</c:v>
                </c:pt>
                <c:pt idx="991">
                  <c:v>17</c:v>
                </c:pt>
                <c:pt idx="992">
                  <c:v>0</c:v>
                </c:pt>
                <c:pt idx="993">
                  <c:v>3</c:v>
                </c:pt>
                <c:pt idx="994">
                  <c:v>0</c:v>
                </c:pt>
                <c:pt idx="995">
                  <c:v>0</c:v>
                </c:pt>
                <c:pt idx="996">
                  <c:v>2</c:v>
                </c:pt>
                <c:pt idx="997">
                  <c:v>0</c:v>
                </c:pt>
                <c:pt idx="998">
                  <c:v>5</c:v>
                </c:pt>
                <c:pt idx="999">
                  <c:v>0</c:v>
                </c:pt>
                <c:pt idx="1000">
                  <c:v>0</c:v>
                </c:pt>
                <c:pt idx="1001">
                  <c:v>0</c:v>
                </c:pt>
                <c:pt idx="1002">
                  <c:v>0</c:v>
                </c:pt>
                <c:pt idx="1003">
                  <c:v>2</c:v>
                </c:pt>
                <c:pt idx="1004">
                  <c:v>1</c:v>
                </c:pt>
                <c:pt idx="1005">
                  <c:v>7</c:v>
                </c:pt>
                <c:pt idx="1006">
                  <c:v>0</c:v>
                </c:pt>
                <c:pt idx="1007">
                  <c:v>0</c:v>
                </c:pt>
                <c:pt idx="1008">
                  <c:v>0</c:v>
                </c:pt>
                <c:pt idx="1009">
                  <c:v>0</c:v>
                </c:pt>
                <c:pt idx="1010">
                  <c:v>7</c:v>
                </c:pt>
                <c:pt idx="1011">
                  <c:v>0</c:v>
                </c:pt>
                <c:pt idx="1012">
                  <c:v>0</c:v>
                </c:pt>
                <c:pt idx="1013">
                  <c:v>0</c:v>
                </c:pt>
                <c:pt idx="1014">
                  <c:v>1</c:v>
                </c:pt>
                <c:pt idx="1015">
                  <c:v>0</c:v>
                </c:pt>
                <c:pt idx="1016">
                  <c:v>0</c:v>
                </c:pt>
                <c:pt idx="1017">
                  <c:v>3</c:v>
                </c:pt>
                <c:pt idx="1018">
                  <c:v>3</c:v>
                </c:pt>
                <c:pt idx="1019">
                  <c:v>0</c:v>
                </c:pt>
                <c:pt idx="1020">
                  <c:v>17</c:v>
                </c:pt>
                <c:pt idx="1021">
                  <c:v>3</c:v>
                </c:pt>
                <c:pt idx="1022">
                  <c:v>0</c:v>
                </c:pt>
                <c:pt idx="1023">
                  <c:v>2</c:v>
                </c:pt>
                <c:pt idx="1024">
                  <c:v>1</c:v>
                </c:pt>
                <c:pt idx="1025">
                  <c:v>0</c:v>
                </c:pt>
                <c:pt idx="1026">
                  <c:v>4</c:v>
                </c:pt>
                <c:pt idx="1027">
                  <c:v>3</c:v>
                </c:pt>
                <c:pt idx="1028">
                  <c:v>0</c:v>
                </c:pt>
                <c:pt idx="1029">
                  <c:v>0</c:v>
                </c:pt>
                <c:pt idx="1030">
                  <c:v>2</c:v>
                </c:pt>
                <c:pt idx="1031">
                  <c:v>0</c:v>
                </c:pt>
                <c:pt idx="1032">
                  <c:v>0</c:v>
                </c:pt>
                <c:pt idx="1033">
                  <c:v>0</c:v>
                </c:pt>
                <c:pt idx="1034">
                  <c:v>4</c:v>
                </c:pt>
                <c:pt idx="1035">
                  <c:v>12</c:v>
                </c:pt>
                <c:pt idx="1036">
                  <c:v>0</c:v>
                </c:pt>
                <c:pt idx="1037">
                  <c:v>0</c:v>
                </c:pt>
                <c:pt idx="1038">
                  <c:v>0</c:v>
                </c:pt>
                <c:pt idx="1039">
                  <c:v>0</c:v>
                </c:pt>
                <c:pt idx="1040">
                  <c:v>2</c:v>
                </c:pt>
                <c:pt idx="1041">
                  <c:v>6</c:v>
                </c:pt>
                <c:pt idx="1042">
                  <c:v>0</c:v>
                </c:pt>
                <c:pt idx="1043">
                  <c:v>0</c:v>
                </c:pt>
                <c:pt idx="1044">
                  <c:v>8</c:v>
                </c:pt>
                <c:pt idx="1045">
                  <c:v>2</c:v>
                </c:pt>
                <c:pt idx="1046">
                  <c:v>19</c:v>
                </c:pt>
                <c:pt idx="1047">
                  <c:v>8</c:v>
                </c:pt>
                <c:pt idx="1048">
                  <c:v>0</c:v>
                </c:pt>
                <c:pt idx="1049">
                  <c:v>2</c:v>
                </c:pt>
                <c:pt idx="1050">
                  <c:v>3</c:v>
                </c:pt>
                <c:pt idx="1051">
                  <c:v>0</c:v>
                </c:pt>
                <c:pt idx="1052">
                  <c:v>0</c:v>
                </c:pt>
                <c:pt idx="1053">
                  <c:v>1</c:v>
                </c:pt>
                <c:pt idx="1054">
                  <c:v>24</c:v>
                </c:pt>
                <c:pt idx="1055">
                  <c:v>0</c:v>
                </c:pt>
                <c:pt idx="1056">
                  <c:v>0</c:v>
                </c:pt>
                <c:pt idx="1057">
                  <c:v>0</c:v>
                </c:pt>
                <c:pt idx="1058">
                  <c:v>0</c:v>
                </c:pt>
                <c:pt idx="1059">
                  <c:v>6</c:v>
                </c:pt>
                <c:pt idx="1060">
                  <c:v>0</c:v>
                </c:pt>
                <c:pt idx="1061">
                  <c:v>0</c:v>
                </c:pt>
                <c:pt idx="1062">
                  <c:v>0</c:v>
                </c:pt>
                <c:pt idx="1063">
                  <c:v>0</c:v>
                </c:pt>
                <c:pt idx="1064">
                  <c:v>0</c:v>
                </c:pt>
                <c:pt idx="1065">
                  <c:v>18</c:v>
                </c:pt>
                <c:pt idx="1066">
                  <c:v>1</c:v>
                </c:pt>
                <c:pt idx="1067">
                  <c:v>0</c:v>
                </c:pt>
                <c:pt idx="1068">
                  <c:v>0</c:v>
                </c:pt>
                <c:pt idx="1069">
                  <c:v>4</c:v>
                </c:pt>
                <c:pt idx="1070">
                  <c:v>5</c:v>
                </c:pt>
                <c:pt idx="1071">
                  <c:v>11</c:v>
                </c:pt>
                <c:pt idx="1072">
                  <c:v>6</c:v>
                </c:pt>
                <c:pt idx="1073">
                  <c:v>0</c:v>
                </c:pt>
                <c:pt idx="1074">
                  <c:v>2</c:v>
                </c:pt>
                <c:pt idx="1075">
                  <c:v>0</c:v>
                </c:pt>
                <c:pt idx="1076">
                  <c:v>0</c:v>
                </c:pt>
                <c:pt idx="1077">
                  <c:v>0</c:v>
                </c:pt>
                <c:pt idx="1078">
                  <c:v>0</c:v>
                </c:pt>
                <c:pt idx="1079">
                  <c:v>0</c:v>
                </c:pt>
                <c:pt idx="1080">
                  <c:v>0</c:v>
                </c:pt>
                <c:pt idx="1081">
                  <c:v>0</c:v>
                </c:pt>
                <c:pt idx="1082">
                  <c:v>3</c:v>
                </c:pt>
                <c:pt idx="1083">
                  <c:v>0</c:v>
                </c:pt>
                <c:pt idx="1084">
                  <c:v>0</c:v>
                </c:pt>
                <c:pt idx="1085">
                  <c:v>0</c:v>
                </c:pt>
                <c:pt idx="1086">
                  <c:v>4</c:v>
                </c:pt>
                <c:pt idx="1087">
                  <c:v>2</c:v>
                </c:pt>
                <c:pt idx="1088">
                  <c:v>8</c:v>
                </c:pt>
                <c:pt idx="1089">
                  <c:v>0</c:v>
                </c:pt>
                <c:pt idx="1090">
                  <c:v>0</c:v>
                </c:pt>
                <c:pt idx="1091">
                  <c:v>0</c:v>
                </c:pt>
                <c:pt idx="1092">
                  <c:v>0</c:v>
                </c:pt>
                <c:pt idx="1093">
                  <c:v>2</c:v>
                </c:pt>
                <c:pt idx="1094">
                  <c:v>10</c:v>
                </c:pt>
                <c:pt idx="1095">
                  <c:v>8</c:v>
                </c:pt>
                <c:pt idx="1096">
                  <c:v>0</c:v>
                </c:pt>
                <c:pt idx="1097">
                  <c:v>16</c:v>
                </c:pt>
                <c:pt idx="1098">
                  <c:v>0</c:v>
                </c:pt>
                <c:pt idx="1099">
                  <c:v>0</c:v>
                </c:pt>
                <c:pt idx="1100">
                  <c:v>0</c:v>
                </c:pt>
                <c:pt idx="1101">
                  <c:v>3</c:v>
                </c:pt>
                <c:pt idx="1102">
                  <c:v>3</c:v>
                </c:pt>
                <c:pt idx="1103">
                  <c:v>0</c:v>
                </c:pt>
                <c:pt idx="1104">
                  <c:v>0</c:v>
                </c:pt>
                <c:pt idx="1105">
                  <c:v>2</c:v>
                </c:pt>
                <c:pt idx="1106">
                  <c:v>0</c:v>
                </c:pt>
                <c:pt idx="1107">
                  <c:v>0</c:v>
                </c:pt>
                <c:pt idx="1108">
                  <c:v>0</c:v>
                </c:pt>
                <c:pt idx="1109">
                  <c:v>1</c:v>
                </c:pt>
                <c:pt idx="1110">
                  <c:v>0</c:v>
                </c:pt>
                <c:pt idx="1111">
                  <c:v>0</c:v>
                </c:pt>
                <c:pt idx="1112">
                  <c:v>30</c:v>
                </c:pt>
                <c:pt idx="1113">
                  <c:v>0</c:v>
                </c:pt>
                <c:pt idx="1114">
                  <c:v>2</c:v>
                </c:pt>
                <c:pt idx="1115">
                  <c:v>10</c:v>
                </c:pt>
                <c:pt idx="1116">
                  <c:v>7</c:v>
                </c:pt>
                <c:pt idx="1117">
                  <c:v>8</c:v>
                </c:pt>
                <c:pt idx="1118">
                  <c:v>31</c:v>
                </c:pt>
                <c:pt idx="1119">
                  <c:v>8</c:v>
                </c:pt>
                <c:pt idx="1120">
                  <c:v>2</c:v>
                </c:pt>
                <c:pt idx="1121">
                  <c:v>0</c:v>
                </c:pt>
                <c:pt idx="1122">
                  <c:v>0</c:v>
                </c:pt>
                <c:pt idx="1123">
                  <c:v>0</c:v>
                </c:pt>
                <c:pt idx="1124">
                  <c:v>6</c:v>
                </c:pt>
                <c:pt idx="1125">
                  <c:v>0</c:v>
                </c:pt>
                <c:pt idx="1126">
                  <c:v>1</c:v>
                </c:pt>
                <c:pt idx="1127">
                  <c:v>0</c:v>
                </c:pt>
                <c:pt idx="1128">
                  <c:v>0</c:v>
                </c:pt>
                <c:pt idx="1129">
                  <c:v>0</c:v>
                </c:pt>
                <c:pt idx="1130">
                  <c:v>4</c:v>
                </c:pt>
                <c:pt idx="1131">
                  <c:v>0</c:v>
                </c:pt>
                <c:pt idx="1132">
                  <c:v>25</c:v>
                </c:pt>
                <c:pt idx="1133">
                  <c:v>17</c:v>
                </c:pt>
                <c:pt idx="1134">
                  <c:v>2</c:v>
                </c:pt>
                <c:pt idx="1135">
                  <c:v>10</c:v>
                </c:pt>
                <c:pt idx="1136">
                  <c:v>0</c:v>
                </c:pt>
                <c:pt idx="1137">
                  <c:v>19</c:v>
                </c:pt>
                <c:pt idx="1138">
                  <c:v>0</c:v>
                </c:pt>
                <c:pt idx="1139">
                  <c:v>9</c:v>
                </c:pt>
                <c:pt idx="1140">
                  <c:v>12</c:v>
                </c:pt>
                <c:pt idx="1141">
                  <c:v>12</c:v>
                </c:pt>
                <c:pt idx="1142">
                  <c:v>0</c:v>
                </c:pt>
                <c:pt idx="1143">
                  <c:v>2</c:v>
                </c:pt>
                <c:pt idx="1144">
                  <c:v>0</c:v>
                </c:pt>
                <c:pt idx="1145">
                  <c:v>0</c:v>
                </c:pt>
                <c:pt idx="1146">
                  <c:v>14</c:v>
                </c:pt>
                <c:pt idx="1147">
                  <c:v>7</c:v>
                </c:pt>
                <c:pt idx="1148">
                  <c:v>0</c:v>
                </c:pt>
                <c:pt idx="1149">
                  <c:v>0</c:v>
                </c:pt>
                <c:pt idx="1150">
                  <c:v>0</c:v>
                </c:pt>
                <c:pt idx="1151">
                  <c:v>0</c:v>
                </c:pt>
                <c:pt idx="1152">
                  <c:v>10</c:v>
                </c:pt>
                <c:pt idx="1153">
                  <c:v>0</c:v>
                </c:pt>
                <c:pt idx="1154">
                  <c:v>0</c:v>
                </c:pt>
                <c:pt idx="1155">
                  <c:v>0</c:v>
                </c:pt>
                <c:pt idx="1156">
                  <c:v>6</c:v>
                </c:pt>
                <c:pt idx="1157">
                  <c:v>0</c:v>
                </c:pt>
                <c:pt idx="1158">
                  <c:v>0</c:v>
                </c:pt>
                <c:pt idx="1159">
                  <c:v>0</c:v>
                </c:pt>
                <c:pt idx="1160">
                  <c:v>0</c:v>
                </c:pt>
                <c:pt idx="1161">
                  <c:v>0</c:v>
                </c:pt>
                <c:pt idx="1162">
                  <c:v>0</c:v>
                </c:pt>
                <c:pt idx="1163">
                  <c:v>0</c:v>
                </c:pt>
                <c:pt idx="1164">
                  <c:v>0</c:v>
                </c:pt>
                <c:pt idx="1165">
                  <c:v>0</c:v>
                </c:pt>
                <c:pt idx="1166">
                  <c:v>0</c:v>
                </c:pt>
                <c:pt idx="1167">
                  <c:v>0</c:v>
                </c:pt>
                <c:pt idx="1168">
                  <c:v>2</c:v>
                </c:pt>
                <c:pt idx="1169">
                  <c:v>0</c:v>
                </c:pt>
                <c:pt idx="1170">
                  <c:v>0</c:v>
                </c:pt>
                <c:pt idx="1171">
                  <c:v>0</c:v>
                </c:pt>
                <c:pt idx="1172">
                  <c:v>0</c:v>
                </c:pt>
                <c:pt idx="1173">
                  <c:v>3</c:v>
                </c:pt>
                <c:pt idx="1174">
                  <c:v>0</c:v>
                </c:pt>
                <c:pt idx="1175">
                  <c:v>0</c:v>
                </c:pt>
                <c:pt idx="1176">
                  <c:v>5</c:v>
                </c:pt>
                <c:pt idx="1177">
                  <c:v>0</c:v>
                </c:pt>
                <c:pt idx="1178">
                  <c:v>0</c:v>
                </c:pt>
                <c:pt idx="1179">
                  <c:v>0</c:v>
                </c:pt>
                <c:pt idx="1180">
                  <c:v>0</c:v>
                </c:pt>
                <c:pt idx="1181">
                  <c:v>0</c:v>
                </c:pt>
                <c:pt idx="1182">
                  <c:v>3</c:v>
                </c:pt>
                <c:pt idx="1183">
                  <c:v>0</c:v>
                </c:pt>
                <c:pt idx="1184">
                  <c:v>13</c:v>
                </c:pt>
                <c:pt idx="1185">
                  <c:v>0</c:v>
                </c:pt>
                <c:pt idx="1186">
                  <c:v>1</c:v>
                </c:pt>
                <c:pt idx="1187">
                  <c:v>1</c:v>
                </c:pt>
                <c:pt idx="1188">
                  <c:v>0</c:v>
                </c:pt>
                <c:pt idx="1189">
                  <c:v>0</c:v>
                </c:pt>
                <c:pt idx="1190">
                  <c:v>0</c:v>
                </c:pt>
                <c:pt idx="1191">
                  <c:v>1</c:v>
                </c:pt>
                <c:pt idx="1192">
                  <c:v>0</c:v>
                </c:pt>
                <c:pt idx="1193">
                  <c:v>0</c:v>
                </c:pt>
                <c:pt idx="1194">
                  <c:v>0</c:v>
                </c:pt>
                <c:pt idx="1195">
                  <c:v>0</c:v>
                </c:pt>
                <c:pt idx="1196">
                  <c:v>5</c:v>
                </c:pt>
                <c:pt idx="1197">
                  <c:v>0</c:v>
                </c:pt>
                <c:pt idx="1198">
                  <c:v>3</c:v>
                </c:pt>
                <c:pt idx="1199">
                  <c:v>0</c:v>
                </c:pt>
                <c:pt idx="1200">
                  <c:v>0</c:v>
                </c:pt>
                <c:pt idx="1201">
                  <c:v>11</c:v>
                </c:pt>
                <c:pt idx="1202">
                  <c:v>0</c:v>
                </c:pt>
                <c:pt idx="1203">
                  <c:v>0</c:v>
                </c:pt>
                <c:pt idx="1204">
                  <c:v>7</c:v>
                </c:pt>
                <c:pt idx="1205">
                  <c:v>0</c:v>
                </c:pt>
                <c:pt idx="1206">
                  <c:v>0</c:v>
                </c:pt>
                <c:pt idx="1207">
                  <c:v>1</c:v>
                </c:pt>
                <c:pt idx="1208">
                  <c:v>7</c:v>
                </c:pt>
                <c:pt idx="1209">
                  <c:v>6</c:v>
                </c:pt>
                <c:pt idx="1210">
                  <c:v>7</c:v>
                </c:pt>
                <c:pt idx="1211">
                  <c:v>0</c:v>
                </c:pt>
                <c:pt idx="1212">
                  <c:v>0</c:v>
                </c:pt>
                <c:pt idx="1213">
                  <c:v>0</c:v>
                </c:pt>
                <c:pt idx="1214">
                  <c:v>0</c:v>
                </c:pt>
                <c:pt idx="1215">
                  <c:v>0</c:v>
                </c:pt>
                <c:pt idx="1216">
                  <c:v>0</c:v>
                </c:pt>
                <c:pt idx="1217">
                  <c:v>1</c:v>
                </c:pt>
                <c:pt idx="1218">
                  <c:v>0</c:v>
                </c:pt>
                <c:pt idx="1219">
                  <c:v>0</c:v>
                </c:pt>
                <c:pt idx="1220">
                  <c:v>0</c:v>
                </c:pt>
                <c:pt idx="1221">
                  <c:v>0</c:v>
                </c:pt>
                <c:pt idx="1222">
                  <c:v>7</c:v>
                </c:pt>
                <c:pt idx="1223">
                  <c:v>0</c:v>
                </c:pt>
                <c:pt idx="1224">
                  <c:v>0</c:v>
                </c:pt>
                <c:pt idx="1225">
                  <c:v>5</c:v>
                </c:pt>
                <c:pt idx="1226">
                  <c:v>7</c:v>
                </c:pt>
                <c:pt idx="1227">
                  <c:v>4</c:v>
                </c:pt>
                <c:pt idx="1228">
                  <c:v>0</c:v>
                </c:pt>
                <c:pt idx="1229">
                  <c:v>10</c:v>
                </c:pt>
                <c:pt idx="1230">
                  <c:v>41</c:v>
                </c:pt>
                <c:pt idx="1231">
                  <c:v>0</c:v>
                </c:pt>
                <c:pt idx="1232">
                  <c:v>0</c:v>
                </c:pt>
                <c:pt idx="1233">
                  <c:v>0</c:v>
                </c:pt>
                <c:pt idx="1234">
                  <c:v>0</c:v>
                </c:pt>
                <c:pt idx="1235">
                  <c:v>0</c:v>
                </c:pt>
                <c:pt idx="1236">
                  <c:v>0</c:v>
                </c:pt>
                <c:pt idx="1237">
                  <c:v>0</c:v>
                </c:pt>
                <c:pt idx="1238">
                  <c:v>4</c:v>
                </c:pt>
                <c:pt idx="1239">
                  <c:v>7</c:v>
                </c:pt>
                <c:pt idx="1240">
                  <c:v>19</c:v>
                </c:pt>
                <c:pt idx="1241">
                  <c:v>0</c:v>
                </c:pt>
                <c:pt idx="1242">
                  <c:v>0</c:v>
                </c:pt>
                <c:pt idx="1243">
                  <c:v>4</c:v>
                </c:pt>
                <c:pt idx="1244">
                  <c:v>0</c:v>
                </c:pt>
                <c:pt idx="1245">
                  <c:v>0</c:v>
                </c:pt>
                <c:pt idx="1246">
                  <c:v>2</c:v>
                </c:pt>
                <c:pt idx="1247">
                  <c:v>0</c:v>
                </c:pt>
                <c:pt idx="1248">
                  <c:v>1</c:v>
                </c:pt>
                <c:pt idx="1249">
                  <c:v>0</c:v>
                </c:pt>
                <c:pt idx="1250">
                  <c:v>3</c:v>
                </c:pt>
                <c:pt idx="1251">
                  <c:v>2</c:v>
                </c:pt>
                <c:pt idx="1252">
                  <c:v>0</c:v>
                </c:pt>
                <c:pt idx="1253">
                  <c:v>0</c:v>
                </c:pt>
                <c:pt idx="1254">
                  <c:v>0</c:v>
                </c:pt>
                <c:pt idx="1255">
                  <c:v>5</c:v>
                </c:pt>
                <c:pt idx="1256">
                  <c:v>0</c:v>
                </c:pt>
                <c:pt idx="1257">
                  <c:v>0</c:v>
                </c:pt>
                <c:pt idx="1258">
                  <c:v>0</c:v>
                </c:pt>
                <c:pt idx="1259">
                  <c:v>0</c:v>
                </c:pt>
                <c:pt idx="1260">
                  <c:v>0</c:v>
                </c:pt>
                <c:pt idx="1261">
                  <c:v>0</c:v>
                </c:pt>
                <c:pt idx="1262">
                  <c:v>0</c:v>
                </c:pt>
                <c:pt idx="1263">
                  <c:v>8</c:v>
                </c:pt>
                <c:pt idx="1264">
                  <c:v>0</c:v>
                </c:pt>
                <c:pt idx="1265">
                  <c:v>0</c:v>
                </c:pt>
                <c:pt idx="1266">
                  <c:v>0</c:v>
                </c:pt>
                <c:pt idx="1267">
                  <c:v>0</c:v>
                </c:pt>
                <c:pt idx="1268">
                  <c:v>0</c:v>
                </c:pt>
                <c:pt idx="1269">
                  <c:v>0</c:v>
                </c:pt>
                <c:pt idx="1270">
                  <c:v>0</c:v>
                </c:pt>
                <c:pt idx="1271">
                  <c:v>0</c:v>
                </c:pt>
                <c:pt idx="1272">
                  <c:v>3</c:v>
                </c:pt>
                <c:pt idx="1273">
                  <c:v>0</c:v>
                </c:pt>
                <c:pt idx="1274">
                  <c:v>0</c:v>
                </c:pt>
                <c:pt idx="1275">
                  <c:v>0</c:v>
                </c:pt>
                <c:pt idx="1276">
                  <c:v>0</c:v>
                </c:pt>
                <c:pt idx="1277">
                  <c:v>5</c:v>
                </c:pt>
                <c:pt idx="1278">
                  <c:v>6</c:v>
                </c:pt>
                <c:pt idx="1279">
                  <c:v>3</c:v>
                </c:pt>
                <c:pt idx="1280">
                  <c:v>0</c:v>
                </c:pt>
                <c:pt idx="1281">
                  <c:v>0</c:v>
                </c:pt>
                <c:pt idx="1282">
                  <c:v>0</c:v>
                </c:pt>
                <c:pt idx="1283">
                  <c:v>4</c:v>
                </c:pt>
                <c:pt idx="1284">
                  <c:v>0</c:v>
                </c:pt>
                <c:pt idx="1285">
                  <c:v>0</c:v>
                </c:pt>
                <c:pt idx="1286">
                  <c:v>7</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1</c:v>
                </c:pt>
                <c:pt idx="1312">
                  <c:v>0</c:v>
                </c:pt>
                <c:pt idx="1313">
                  <c:v>0</c:v>
                </c:pt>
                <c:pt idx="1314">
                  <c:v>0</c:v>
                </c:pt>
                <c:pt idx="1315">
                  <c:v>11</c:v>
                </c:pt>
                <c:pt idx="1316">
                  <c:v>0</c:v>
                </c:pt>
                <c:pt idx="1317">
                  <c:v>3</c:v>
                </c:pt>
                <c:pt idx="1318">
                  <c:v>18</c:v>
                </c:pt>
                <c:pt idx="1319">
                  <c:v>0</c:v>
                </c:pt>
                <c:pt idx="1320">
                  <c:v>0</c:v>
                </c:pt>
                <c:pt idx="1321">
                  <c:v>0</c:v>
                </c:pt>
                <c:pt idx="1322">
                  <c:v>0</c:v>
                </c:pt>
                <c:pt idx="1323">
                  <c:v>8</c:v>
                </c:pt>
                <c:pt idx="1324">
                  <c:v>0</c:v>
                </c:pt>
                <c:pt idx="1325">
                  <c:v>0</c:v>
                </c:pt>
                <c:pt idx="1326">
                  <c:v>0</c:v>
                </c:pt>
                <c:pt idx="1327">
                  <c:v>0</c:v>
                </c:pt>
                <c:pt idx="1328">
                  <c:v>0</c:v>
                </c:pt>
                <c:pt idx="1329">
                  <c:v>4</c:v>
                </c:pt>
                <c:pt idx="1330">
                  <c:v>0</c:v>
                </c:pt>
                <c:pt idx="1331">
                  <c:v>0</c:v>
                </c:pt>
                <c:pt idx="1332">
                  <c:v>0</c:v>
                </c:pt>
                <c:pt idx="1333">
                  <c:v>0</c:v>
                </c:pt>
                <c:pt idx="1334">
                  <c:v>0</c:v>
                </c:pt>
                <c:pt idx="1335">
                  <c:v>0</c:v>
                </c:pt>
                <c:pt idx="1336">
                  <c:v>0</c:v>
                </c:pt>
                <c:pt idx="1337">
                  <c:v>0</c:v>
                </c:pt>
                <c:pt idx="1338">
                  <c:v>5</c:v>
                </c:pt>
                <c:pt idx="1339">
                  <c:v>0</c:v>
                </c:pt>
                <c:pt idx="1340">
                  <c:v>6</c:v>
                </c:pt>
                <c:pt idx="1341">
                  <c:v>0</c:v>
                </c:pt>
                <c:pt idx="1342">
                  <c:v>0</c:v>
                </c:pt>
                <c:pt idx="1343">
                  <c:v>0</c:v>
                </c:pt>
                <c:pt idx="1344">
                  <c:v>11</c:v>
                </c:pt>
                <c:pt idx="1345">
                  <c:v>0</c:v>
                </c:pt>
                <c:pt idx="1346">
                  <c:v>0</c:v>
                </c:pt>
                <c:pt idx="1347">
                  <c:v>0</c:v>
                </c:pt>
                <c:pt idx="1348">
                  <c:v>10</c:v>
                </c:pt>
                <c:pt idx="1349">
                  <c:v>6</c:v>
                </c:pt>
                <c:pt idx="1350">
                  <c:v>5</c:v>
                </c:pt>
                <c:pt idx="1351">
                  <c:v>2</c:v>
                </c:pt>
                <c:pt idx="1352">
                  <c:v>5</c:v>
                </c:pt>
                <c:pt idx="1353">
                  <c:v>12</c:v>
                </c:pt>
                <c:pt idx="1354">
                  <c:v>0</c:v>
                </c:pt>
                <c:pt idx="1355">
                  <c:v>0</c:v>
                </c:pt>
                <c:pt idx="1356">
                  <c:v>0</c:v>
                </c:pt>
                <c:pt idx="1357">
                  <c:v>2</c:v>
                </c:pt>
                <c:pt idx="1358">
                  <c:v>0</c:v>
                </c:pt>
                <c:pt idx="1359">
                  <c:v>0</c:v>
                </c:pt>
                <c:pt idx="1360">
                  <c:v>0</c:v>
                </c:pt>
                <c:pt idx="1361">
                  <c:v>5</c:v>
                </c:pt>
                <c:pt idx="1362">
                  <c:v>0</c:v>
                </c:pt>
                <c:pt idx="1363">
                  <c:v>7</c:v>
                </c:pt>
                <c:pt idx="1364">
                  <c:v>0</c:v>
                </c:pt>
                <c:pt idx="1365">
                  <c:v>0</c:v>
                </c:pt>
                <c:pt idx="1366">
                  <c:v>0</c:v>
                </c:pt>
                <c:pt idx="1367">
                  <c:v>0</c:v>
                </c:pt>
                <c:pt idx="1368">
                  <c:v>2</c:v>
                </c:pt>
                <c:pt idx="1369">
                  <c:v>0</c:v>
                </c:pt>
                <c:pt idx="1370">
                  <c:v>10</c:v>
                </c:pt>
                <c:pt idx="1371">
                  <c:v>0</c:v>
                </c:pt>
                <c:pt idx="1372">
                  <c:v>0</c:v>
                </c:pt>
                <c:pt idx="1373">
                  <c:v>0</c:v>
                </c:pt>
                <c:pt idx="1374">
                  <c:v>1</c:v>
                </c:pt>
                <c:pt idx="1375">
                  <c:v>0</c:v>
                </c:pt>
                <c:pt idx="1376">
                  <c:v>7</c:v>
                </c:pt>
                <c:pt idx="1377">
                  <c:v>12</c:v>
                </c:pt>
                <c:pt idx="1378">
                  <c:v>0</c:v>
                </c:pt>
                <c:pt idx="1379">
                  <c:v>9</c:v>
                </c:pt>
                <c:pt idx="1380">
                  <c:v>0</c:v>
                </c:pt>
                <c:pt idx="1381">
                  <c:v>0</c:v>
                </c:pt>
                <c:pt idx="1382">
                  <c:v>0</c:v>
                </c:pt>
                <c:pt idx="1383">
                  <c:v>0</c:v>
                </c:pt>
                <c:pt idx="1384">
                  <c:v>1</c:v>
                </c:pt>
                <c:pt idx="1385">
                  <c:v>1</c:v>
                </c:pt>
                <c:pt idx="1386">
                  <c:v>13</c:v>
                </c:pt>
                <c:pt idx="1387">
                  <c:v>0</c:v>
                </c:pt>
                <c:pt idx="1388">
                  <c:v>0</c:v>
                </c:pt>
                <c:pt idx="1389">
                  <c:v>1</c:v>
                </c:pt>
                <c:pt idx="1390">
                  <c:v>0</c:v>
                </c:pt>
                <c:pt idx="1391">
                  <c:v>29</c:v>
                </c:pt>
                <c:pt idx="1392">
                  <c:v>15</c:v>
                </c:pt>
                <c:pt idx="1393">
                  <c:v>1</c:v>
                </c:pt>
                <c:pt idx="1394">
                  <c:v>9</c:v>
                </c:pt>
                <c:pt idx="1395">
                  <c:v>0</c:v>
                </c:pt>
                <c:pt idx="1396">
                  <c:v>0</c:v>
                </c:pt>
                <c:pt idx="1397">
                  <c:v>1</c:v>
                </c:pt>
                <c:pt idx="1398">
                  <c:v>0</c:v>
                </c:pt>
                <c:pt idx="1399">
                  <c:v>0</c:v>
                </c:pt>
                <c:pt idx="1400">
                  <c:v>0</c:v>
                </c:pt>
                <c:pt idx="1401">
                  <c:v>0</c:v>
                </c:pt>
                <c:pt idx="1402">
                  <c:v>0</c:v>
                </c:pt>
                <c:pt idx="1403">
                  <c:v>0</c:v>
                </c:pt>
                <c:pt idx="1404">
                  <c:v>0</c:v>
                </c:pt>
                <c:pt idx="1405">
                  <c:v>4</c:v>
                </c:pt>
                <c:pt idx="1406">
                  <c:v>0</c:v>
                </c:pt>
                <c:pt idx="1407">
                  <c:v>0</c:v>
                </c:pt>
                <c:pt idx="1408">
                  <c:v>8</c:v>
                </c:pt>
                <c:pt idx="1409">
                  <c:v>2</c:v>
                </c:pt>
                <c:pt idx="1410">
                  <c:v>0</c:v>
                </c:pt>
                <c:pt idx="1411">
                  <c:v>0</c:v>
                </c:pt>
                <c:pt idx="1412">
                  <c:v>3</c:v>
                </c:pt>
                <c:pt idx="1413">
                  <c:v>1</c:v>
                </c:pt>
                <c:pt idx="1414">
                  <c:v>10</c:v>
                </c:pt>
                <c:pt idx="1415">
                  <c:v>2</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5</c:v>
                </c:pt>
                <c:pt idx="1433">
                  <c:v>2</c:v>
                </c:pt>
                <c:pt idx="1434">
                  <c:v>8</c:v>
                </c:pt>
                <c:pt idx="1435">
                  <c:v>0</c:v>
                </c:pt>
                <c:pt idx="1436">
                  <c:v>0</c:v>
                </c:pt>
                <c:pt idx="1437">
                  <c:v>0</c:v>
                </c:pt>
                <c:pt idx="1438">
                  <c:v>0</c:v>
                </c:pt>
                <c:pt idx="1439">
                  <c:v>0</c:v>
                </c:pt>
                <c:pt idx="1440">
                  <c:v>0</c:v>
                </c:pt>
                <c:pt idx="1441">
                  <c:v>5</c:v>
                </c:pt>
                <c:pt idx="1442">
                  <c:v>3</c:v>
                </c:pt>
                <c:pt idx="1443">
                  <c:v>0</c:v>
                </c:pt>
                <c:pt idx="1444">
                  <c:v>0</c:v>
                </c:pt>
                <c:pt idx="1445">
                  <c:v>0</c:v>
                </c:pt>
                <c:pt idx="1446">
                  <c:v>0</c:v>
                </c:pt>
                <c:pt idx="1447">
                  <c:v>12</c:v>
                </c:pt>
                <c:pt idx="1448">
                  <c:v>0</c:v>
                </c:pt>
                <c:pt idx="1449">
                  <c:v>0</c:v>
                </c:pt>
                <c:pt idx="1450">
                  <c:v>0</c:v>
                </c:pt>
                <c:pt idx="1451">
                  <c:v>0</c:v>
                </c:pt>
                <c:pt idx="1452">
                  <c:v>0</c:v>
                </c:pt>
                <c:pt idx="1453">
                  <c:v>0</c:v>
                </c:pt>
                <c:pt idx="1454">
                  <c:v>0</c:v>
                </c:pt>
                <c:pt idx="1455">
                  <c:v>0</c:v>
                </c:pt>
                <c:pt idx="1456">
                  <c:v>0</c:v>
                </c:pt>
                <c:pt idx="1457">
                  <c:v>0</c:v>
                </c:pt>
                <c:pt idx="1458">
                  <c:v>2</c:v>
                </c:pt>
                <c:pt idx="1459">
                  <c:v>0</c:v>
                </c:pt>
                <c:pt idx="1460">
                  <c:v>0</c:v>
                </c:pt>
                <c:pt idx="1461">
                  <c:v>5</c:v>
                </c:pt>
                <c:pt idx="1462">
                  <c:v>0</c:v>
                </c:pt>
                <c:pt idx="1463">
                  <c:v>0</c:v>
                </c:pt>
                <c:pt idx="1464">
                  <c:v>0</c:v>
                </c:pt>
                <c:pt idx="1465">
                  <c:v>0</c:v>
                </c:pt>
                <c:pt idx="1466">
                  <c:v>0</c:v>
                </c:pt>
                <c:pt idx="1467">
                  <c:v>0</c:v>
                </c:pt>
                <c:pt idx="1468">
                  <c:v>0</c:v>
                </c:pt>
                <c:pt idx="1469">
                  <c:v>10</c:v>
                </c:pt>
                <c:pt idx="1470">
                  <c:v>0</c:v>
                </c:pt>
                <c:pt idx="1471">
                  <c:v>0</c:v>
                </c:pt>
                <c:pt idx="1472">
                  <c:v>2</c:v>
                </c:pt>
                <c:pt idx="1473">
                  <c:v>0</c:v>
                </c:pt>
                <c:pt idx="1474">
                  <c:v>14</c:v>
                </c:pt>
                <c:pt idx="1475">
                  <c:v>0</c:v>
                </c:pt>
                <c:pt idx="1476">
                  <c:v>0</c:v>
                </c:pt>
                <c:pt idx="1477">
                  <c:v>0</c:v>
                </c:pt>
                <c:pt idx="1478">
                  <c:v>0</c:v>
                </c:pt>
                <c:pt idx="1479">
                  <c:v>0</c:v>
                </c:pt>
                <c:pt idx="1480">
                  <c:v>0</c:v>
                </c:pt>
                <c:pt idx="1481">
                  <c:v>0</c:v>
                </c:pt>
                <c:pt idx="1482">
                  <c:v>0</c:v>
                </c:pt>
                <c:pt idx="1483">
                  <c:v>20</c:v>
                </c:pt>
                <c:pt idx="1484">
                  <c:v>0</c:v>
                </c:pt>
                <c:pt idx="1485">
                  <c:v>2</c:v>
                </c:pt>
                <c:pt idx="1486">
                  <c:v>0</c:v>
                </c:pt>
                <c:pt idx="1487">
                  <c:v>0</c:v>
                </c:pt>
                <c:pt idx="1488">
                  <c:v>0</c:v>
                </c:pt>
                <c:pt idx="1489">
                  <c:v>0</c:v>
                </c:pt>
                <c:pt idx="1490">
                  <c:v>0</c:v>
                </c:pt>
                <c:pt idx="1491">
                  <c:v>0</c:v>
                </c:pt>
                <c:pt idx="1492">
                  <c:v>0</c:v>
                </c:pt>
                <c:pt idx="1493">
                  <c:v>1</c:v>
                </c:pt>
                <c:pt idx="1494">
                  <c:v>2</c:v>
                </c:pt>
                <c:pt idx="1495">
                  <c:v>0</c:v>
                </c:pt>
                <c:pt idx="1496">
                  <c:v>6</c:v>
                </c:pt>
                <c:pt idx="1497">
                  <c:v>0</c:v>
                </c:pt>
                <c:pt idx="1498">
                  <c:v>0</c:v>
                </c:pt>
                <c:pt idx="1499">
                  <c:v>0</c:v>
                </c:pt>
                <c:pt idx="1500">
                  <c:v>0</c:v>
                </c:pt>
                <c:pt idx="1501">
                  <c:v>0</c:v>
                </c:pt>
                <c:pt idx="1502">
                  <c:v>0</c:v>
                </c:pt>
                <c:pt idx="1503">
                  <c:v>0</c:v>
                </c:pt>
                <c:pt idx="1504">
                  <c:v>0</c:v>
                </c:pt>
                <c:pt idx="1505">
                  <c:v>7</c:v>
                </c:pt>
                <c:pt idx="1506">
                  <c:v>0</c:v>
                </c:pt>
                <c:pt idx="1507">
                  <c:v>0</c:v>
                </c:pt>
                <c:pt idx="1508">
                  <c:v>1</c:v>
                </c:pt>
                <c:pt idx="1509">
                  <c:v>2</c:v>
                </c:pt>
                <c:pt idx="1510">
                  <c:v>0</c:v>
                </c:pt>
                <c:pt idx="1511">
                  <c:v>2</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1</c:v>
                </c:pt>
                <c:pt idx="1537">
                  <c:v>0</c:v>
                </c:pt>
                <c:pt idx="1538">
                  <c:v>0</c:v>
                </c:pt>
                <c:pt idx="1539">
                  <c:v>3</c:v>
                </c:pt>
                <c:pt idx="1540">
                  <c:v>0</c:v>
                </c:pt>
                <c:pt idx="1541">
                  <c:v>0</c:v>
                </c:pt>
                <c:pt idx="1542">
                  <c:v>0</c:v>
                </c:pt>
                <c:pt idx="1543">
                  <c:v>0</c:v>
                </c:pt>
                <c:pt idx="1544">
                  <c:v>0</c:v>
                </c:pt>
                <c:pt idx="1545">
                  <c:v>0</c:v>
                </c:pt>
                <c:pt idx="1546">
                  <c:v>4</c:v>
                </c:pt>
                <c:pt idx="1547">
                  <c:v>0</c:v>
                </c:pt>
                <c:pt idx="1548">
                  <c:v>0</c:v>
                </c:pt>
                <c:pt idx="1549">
                  <c:v>0</c:v>
                </c:pt>
                <c:pt idx="1550">
                  <c:v>0</c:v>
                </c:pt>
                <c:pt idx="1551">
                  <c:v>0</c:v>
                </c:pt>
                <c:pt idx="1552">
                  <c:v>1</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1</c:v>
                </c:pt>
                <c:pt idx="1576">
                  <c:v>0</c:v>
                </c:pt>
                <c:pt idx="1577">
                  <c:v>0</c:v>
                </c:pt>
                <c:pt idx="1578">
                  <c:v>0</c:v>
                </c:pt>
                <c:pt idx="1579">
                  <c:v>0</c:v>
                </c:pt>
                <c:pt idx="1580">
                  <c:v>0</c:v>
                </c:pt>
                <c:pt idx="1581">
                  <c:v>0</c:v>
                </c:pt>
                <c:pt idx="1582">
                  <c:v>0</c:v>
                </c:pt>
                <c:pt idx="1583">
                  <c:v>0</c:v>
                </c:pt>
                <c:pt idx="1584">
                  <c:v>2</c:v>
                </c:pt>
                <c:pt idx="1585">
                  <c:v>0</c:v>
                </c:pt>
                <c:pt idx="1586">
                  <c:v>0</c:v>
                </c:pt>
                <c:pt idx="1587">
                  <c:v>0</c:v>
                </c:pt>
                <c:pt idx="1588">
                  <c:v>0</c:v>
                </c:pt>
                <c:pt idx="1589">
                  <c:v>0</c:v>
                </c:pt>
                <c:pt idx="1590">
                  <c:v>2</c:v>
                </c:pt>
                <c:pt idx="1591">
                  <c:v>0</c:v>
                </c:pt>
                <c:pt idx="1592">
                  <c:v>0</c:v>
                </c:pt>
                <c:pt idx="1593">
                  <c:v>2</c:v>
                </c:pt>
                <c:pt idx="1594">
                  <c:v>1</c:v>
                </c:pt>
                <c:pt idx="1595">
                  <c:v>0</c:v>
                </c:pt>
                <c:pt idx="1596">
                  <c:v>3</c:v>
                </c:pt>
                <c:pt idx="1597">
                  <c:v>0</c:v>
                </c:pt>
                <c:pt idx="1598">
                  <c:v>0</c:v>
                </c:pt>
                <c:pt idx="1599">
                  <c:v>0</c:v>
                </c:pt>
                <c:pt idx="1600">
                  <c:v>0</c:v>
                </c:pt>
                <c:pt idx="1601">
                  <c:v>0</c:v>
                </c:pt>
                <c:pt idx="1602">
                  <c:v>0</c:v>
                </c:pt>
                <c:pt idx="1603">
                  <c:v>0</c:v>
                </c:pt>
                <c:pt idx="1604">
                  <c:v>0</c:v>
                </c:pt>
                <c:pt idx="1605">
                  <c:v>0</c:v>
                </c:pt>
                <c:pt idx="1606">
                  <c:v>2</c:v>
                </c:pt>
                <c:pt idx="1607">
                  <c:v>2</c:v>
                </c:pt>
                <c:pt idx="1608">
                  <c:v>0</c:v>
                </c:pt>
                <c:pt idx="1609">
                  <c:v>4</c:v>
                </c:pt>
                <c:pt idx="1610">
                  <c:v>0</c:v>
                </c:pt>
                <c:pt idx="1611">
                  <c:v>0</c:v>
                </c:pt>
                <c:pt idx="1612">
                  <c:v>8</c:v>
                </c:pt>
                <c:pt idx="1613">
                  <c:v>0</c:v>
                </c:pt>
                <c:pt idx="1614">
                  <c:v>0</c:v>
                </c:pt>
                <c:pt idx="1615">
                  <c:v>7</c:v>
                </c:pt>
                <c:pt idx="1616">
                  <c:v>2</c:v>
                </c:pt>
                <c:pt idx="1617">
                  <c:v>17</c:v>
                </c:pt>
                <c:pt idx="1618">
                  <c:v>27</c:v>
                </c:pt>
                <c:pt idx="1619">
                  <c:v>0</c:v>
                </c:pt>
                <c:pt idx="1620">
                  <c:v>0</c:v>
                </c:pt>
                <c:pt idx="1621">
                  <c:v>0</c:v>
                </c:pt>
                <c:pt idx="1622">
                  <c:v>7</c:v>
                </c:pt>
                <c:pt idx="1623">
                  <c:v>4</c:v>
                </c:pt>
                <c:pt idx="1624">
                  <c:v>0</c:v>
                </c:pt>
                <c:pt idx="1625">
                  <c:v>14</c:v>
                </c:pt>
                <c:pt idx="1626">
                  <c:v>12</c:v>
                </c:pt>
                <c:pt idx="1627">
                  <c:v>3</c:v>
                </c:pt>
                <c:pt idx="1628">
                  <c:v>0</c:v>
                </c:pt>
                <c:pt idx="1629">
                  <c:v>3</c:v>
                </c:pt>
                <c:pt idx="1630">
                  <c:v>0</c:v>
                </c:pt>
                <c:pt idx="1631">
                  <c:v>0</c:v>
                </c:pt>
                <c:pt idx="1632">
                  <c:v>9</c:v>
                </c:pt>
                <c:pt idx="1633">
                  <c:v>5</c:v>
                </c:pt>
                <c:pt idx="1634">
                  <c:v>12</c:v>
                </c:pt>
                <c:pt idx="1635">
                  <c:v>0</c:v>
                </c:pt>
                <c:pt idx="1636">
                  <c:v>0</c:v>
                </c:pt>
                <c:pt idx="1637">
                  <c:v>0</c:v>
                </c:pt>
                <c:pt idx="1638">
                  <c:v>6</c:v>
                </c:pt>
                <c:pt idx="1639">
                  <c:v>5</c:v>
                </c:pt>
                <c:pt idx="1640">
                  <c:v>1</c:v>
                </c:pt>
                <c:pt idx="1641">
                  <c:v>0</c:v>
                </c:pt>
                <c:pt idx="1642">
                  <c:v>0</c:v>
                </c:pt>
                <c:pt idx="1643">
                  <c:v>0</c:v>
                </c:pt>
                <c:pt idx="1644">
                  <c:v>5</c:v>
                </c:pt>
                <c:pt idx="1645">
                  <c:v>1</c:v>
                </c:pt>
                <c:pt idx="1646">
                  <c:v>0</c:v>
                </c:pt>
                <c:pt idx="1647">
                  <c:v>0</c:v>
                </c:pt>
                <c:pt idx="1648">
                  <c:v>0</c:v>
                </c:pt>
                <c:pt idx="1649">
                  <c:v>26</c:v>
                </c:pt>
                <c:pt idx="1650">
                  <c:v>0</c:v>
                </c:pt>
                <c:pt idx="1651">
                  <c:v>28</c:v>
                </c:pt>
                <c:pt idx="1652">
                  <c:v>4</c:v>
                </c:pt>
                <c:pt idx="1653">
                  <c:v>24</c:v>
                </c:pt>
                <c:pt idx="1654">
                  <c:v>6</c:v>
                </c:pt>
                <c:pt idx="1655">
                  <c:v>1</c:v>
                </c:pt>
                <c:pt idx="1656">
                  <c:v>0</c:v>
                </c:pt>
                <c:pt idx="1657">
                  <c:v>5</c:v>
                </c:pt>
                <c:pt idx="1658">
                  <c:v>21</c:v>
                </c:pt>
                <c:pt idx="1659">
                  <c:v>0</c:v>
                </c:pt>
                <c:pt idx="1660">
                  <c:v>0</c:v>
                </c:pt>
                <c:pt idx="1661">
                  <c:v>0</c:v>
                </c:pt>
                <c:pt idx="1662">
                  <c:v>0</c:v>
                </c:pt>
                <c:pt idx="1663">
                  <c:v>0</c:v>
                </c:pt>
                <c:pt idx="1664">
                  <c:v>0</c:v>
                </c:pt>
                <c:pt idx="1665">
                  <c:v>0</c:v>
                </c:pt>
                <c:pt idx="1666">
                  <c:v>0</c:v>
                </c:pt>
                <c:pt idx="1667">
                  <c:v>0</c:v>
                </c:pt>
                <c:pt idx="1668">
                  <c:v>1</c:v>
                </c:pt>
                <c:pt idx="1669">
                  <c:v>0</c:v>
                </c:pt>
                <c:pt idx="1670">
                  <c:v>0</c:v>
                </c:pt>
                <c:pt idx="1671">
                  <c:v>0</c:v>
                </c:pt>
                <c:pt idx="1672">
                  <c:v>0</c:v>
                </c:pt>
                <c:pt idx="1673">
                  <c:v>0</c:v>
                </c:pt>
                <c:pt idx="1674">
                  <c:v>0</c:v>
                </c:pt>
                <c:pt idx="1675">
                  <c:v>0</c:v>
                </c:pt>
                <c:pt idx="1676">
                  <c:v>0</c:v>
                </c:pt>
                <c:pt idx="1677">
                  <c:v>0</c:v>
                </c:pt>
                <c:pt idx="1678">
                  <c:v>3</c:v>
                </c:pt>
                <c:pt idx="1679">
                  <c:v>0</c:v>
                </c:pt>
                <c:pt idx="1680">
                  <c:v>0</c:v>
                </c:pt>
                <c:pt idx="1681">
                  <c:v>2</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5</c:v>
                </c:pt>
                <c:pt idx="1706">
                  <c:v>0</c:v>
                </c:pt>
                <c:pt idx="1707">
                  <c:v>0</c:v>
                </c:pt>
                <c:pt idx="1708">
                  <c:v>0</c:v>
                </c:pt>
                <c:pt idx="1709">
                  <c:v>0</c:v>
                </c:pt>
                <c:pt idx="1710">
                  <c:v>0</c:v>
                </c:pt>
                <c:pt idx="1711">
                  <c:v>0</c:v>
                </c:pt>
                <c:pt idx="1712">
                  <c:v>0</c:v>
                </c:pt>
                <c:pt idx="1713">
                  <c:v>0</c:v>
                </c:pt>
                <c:pt idx="1714">
                  <c:v>0</c:v>
                </c:pt>
                <c:pt idx="1715">
                  <c:v>2</c:v>
                </c:pt>
                <c:pt idx="1716">
                  <c:v>0</c:v>
                </c:pt>
                <c:pt idx="1717">
                  <c:v>0</c:v>
                </c:pt>
                <c:pt idx="1718">
                  <c:v>5</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6</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3</c:v>
                </c:pt>
                <c:pt idx="1753">
                  <c:v>0</c:v>
                </c:pt>
                <c:pt idx="1754">
                  <c:v>0</c:v>
                </c:pt>
                <c:pt idx="1755">
                  <c:v>0</c:v>
                </c:pt>
                <c:pt idx="1756">
                  <c:v>0</c:v>
                </c:pt>
                <c:pt idx="1757">
                  <c:v>0</c:v>
                </c:pt>
                <c:pt idx="1758">
                  <c:v>0</c:v>
                </c:pt>
                <c:pt idx="1759">
                  <c:v>7</c:v>
                </c:pt>
                <c:pt idx="1760">
                  <c:v>0</c:v>
                </c:pt>
                <c:pt idx="1761">
                  <c:v>0</c:v>
                </c:pt>
                <c:pt idx="1762">
                  <c:v>0</c:v>
                </c:pt>
                <c:pt idx="1763">
                  <c:v>2</c:v>
                </c:pt>
                <c:pt idx="1764">
                  <c:v>0</c:v>
                </c:pt>
                <c:pt idx="1765">
                  <c:v>7</c:v>
                </c:pt>
                <c:pt idx="1766">
                  <c:v>0</c:v>
                </c:pt>
                <c:pt idx="1767">
                  <c:v>0</c:v>
                </c:pt>
                <c:pt idx="1768">
                  <c:v>0</c:v>
                </c:pt>
                <c:pt idx="1769">
                  <c:v>0</c:v>
                </c:pt>
                <c:pt idx="1770">
                  <c:v>0</c:v>
                </c:pt>
                <c:pt idx="1771">
                  <c:v>41</c:v>
                </c:pt>
                <c:pt idx="1772">
                  <c:v>7</c:v>
                </c:pt>
                <c:pt idx="1773">
                  <c:v>31</c:v>
                </c:pt>
                <c:pt idx="1774">
                  <c:v>0</c:v>
                </c:pt>
                <c:pt idx="1775">
                  <c:v>17</c:v>
                </c:pt>
                <c:pt idx="1776">
                  <c:v>7</c:v>
                </c:pt>
                <c:pt idx="1777">
                  <c:v>27</c:v>
                </c:pt>
                <c:pt idx="1778">
                  <c:v>16</c:v>
                </c:pt>
                <c:pt idx="1779">
                  <c:v>0</c:v>
                </c:pt>
                <c:pt idx="1780">
                  <c:v>0</c:v>
                </c:pt>
                <c:pt idx="1781">
                  <c:v>0</c:v>
                </c:pt>
                <c:pt idx="1782">
                  <c:v>0</c:v>
                </c:pt>
                <c:pt idx="1783">
                  <c:v>6</c:v>
                </c:pt>
                <c:pt idx="1784">
                  <c:v>0</c:v>
                </c:pt>
                <c:pt idx="1785">
                  <c:v>13</c:v>
                </c:pt>
                <c:pt idx="1786">
                  <c:v>7</c:v>
                </c:pt>
                <c:pt idx="1787">
                  <c:v>4</c:v>
                </c:pt>
                <c:pt idx="1788">
                  <c:v>4</c:v>
                </c:pt>
                <c:pt idx="1789">
                  <c:v>0</c:v>
                </c:pt>
                <c:pt idx="1790">
                  <c:v>0</c:v>
                </c:pt>
                <c:pt idx="1791">
                  <c:v>0</c:v>
                </c:pt>
                <c:pt idx="1792">
                  <c:v>0</c:v>
                </c:pt>
                <c:pt idx="1793">
                  <c:v>0</c:v>
                </c:pt>
                <c:pt idx="1794">
                  <c:v>2</c:v>
                </c:pt>
                <c:pt idx="1795">
                  <c:v>0</c:v>
                </c:pt>
                <c:pt idx="1796">
                  <c:v>0</c:v>
                </c:pt>
                <c:pt idx="1797">
                  <c:v>11</c:v>
                </c:pt>
                <c:pt idx="1798">
                  <c:v>3</c:v>
                </c:pt>
                <c:pt idx="1799">
                  <c:v>6</c:v>
                </c:pt>
                <c:pt idx="1800">
                  <c:v>3</c:v>
                </c:pt>
                <c:pt idx="1801">
                  <c:v>6</c:v>
                </c:pt>
                <c:pt idx="1802">
                  <c:v>0</c:v>
                </c:pt>
                <c:pt idx="1803">
                  <c:v>4</c:v>
                </c:pt>
                <c:pt idx="1804">
                  <c:v>0</c:v>
                </c:pt>
                <c:pt idx="1805">
                  <c:v>2</c:v>
                </c:pt>
                <c:pt idx="1806">
                  <c:v>0</c:v>
                </c:pt>
                <c:pt idx="1807">
                  <c:v>0</c:v>
                </c:pt>
                <c:pt idx="1808">
                  <c:v>25</c:v>
                </c:pt>
                <c:pt idx="1809">
                  <c:v>0</c:v>
                </c:pt>
                <c:pt idx="1810">
                  <c:v>0</c:v>
                </c:pt>
                <c:pt idx="1811">
                  <c:v>0</c:v>
                </c:pt>
                <c:pt idx="1812">
                  <c:v>0</c:v>
                </c:pt>
                <c:pt idx="1813">
                  <c:v>3</c:v>
                </c:pt>
                <c:pt idx="1814">
                  <c:v>5</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4</c:v>
                </c:pt>
                <c:pt idx="1835">
                  <c:v>0</c:v>
                </c:pt>
                <c:pt idx="1836">
                  <c:v>0</c:v>
                </c:pt>
                <c:pt idx="1837">
                  <c:v>0</c:v>
                </c:pt>
                <c:pt idx="1838">
                  <c:v>1</c:v>
                </c:pt>
                <c:pt idx="1839">
                  <c:v>0</c:v>
                </c:pt>
                <c:pt idx="1840">
                  <c:v>0</c:v>
                </c:pt>
                <c:pt idx="1841">
                  <c:v>0</c:v>
                </c:pt>
                <c:pt idx="1842">
                  <c:v>4</c:v>
                </c:pt>
                <c:pt idx="1843">
                  <c:v>13</c:v>
                </c:pt>
                <c:pt idx="1844">
                  <c:v>0</c:v>
                </c:pt>
                <c:pt idx="1845">
                  <c:v>0</c:v>
                </c:pt>
                <c:pt idx="1846">
                  <c:v>0</c:v>
                </c:pt>
                <c:pt idx="1847">
                  <c:v>0</c:v>
                </c:pt>
                <c:pt idx="1848">
                  <c:v>3</c:v>
                </c:pt>
                <c:pt idx="1849">
                  <c:v>0</c:v>
                </c:pt>
                <c:pt idx="1850">
                  <c:v>0</c:v>
                </c:pt>
                <c:pt idx="1851">
                  <c:v>4</c:v>
                </c:pt>
                <c:pt idx="1852">
                  <c:v>0</c:v>
                </c:pt>
                <c:pt idx="1853">
                  <c:v>0</c:v>
                </c:pt>
                <c:pt idx="1854">
                  <c:v>0</c:v>
                </c:pt>
                <c:pt idx="1855">
                  <c:v>0</c:v>
                </c:pt>
                <c:pt idx="1856">
                  <c:v>0</c:v>
                </c:pt>
                <c:pt idx="1857">
                  <c:v>8</c:v>
                </c:pt>
                <c:pt idx="1858">
                  <c:v>0</c:v>
                </c:pt>
                <c:pt idx="1859">
                  <c:v>0</c:v>
                </c:pt>
                <c:pt idx="1860">
                  <c:v>0</c:v>
                </c:pt>
                <c:pt idx="1861">
                  <c:v>0</c:v>
                </c:pt>
                <c:pt idx="1862">
                  <c:v>1</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7</c:v>
                </c:pt>
                <c:pt idx="1879">
                  <c:v>4</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1</c:v>
                </c:pt>
                <c:pt idx="1903">
                  <c:v>0</c:v>
                </c:pt>
                <c:pt idx="1904">
                  <c:v>1</c:v>
                </c:pt>
                <c:pt idx="1905">
                  <c:v>0</c:v>
                </c:pt>
                <c:pt idx="1906">
                  <c:v>0</c:v>
                </c:pt>
                <c:pt idx="1907">
                  <c:v>0</c:v>
                </c:pt>
                <c:pt idx="1908">
                  <c:v>0</c:v>
                </c:pt>
                <c:pt idx="1909">
                  <c:v>0</c:v>
                </c:pt>
                <c:pt idx="1910">
                  <c:v>0</c:v>
                </c:pt>
                <c:pt idx="1911">
                  <c:v>0</c:v>
                </c:pt>
                <c:pt idx="1912">
                  <c:v>0</c:v>
                </c:pt>
                <c:pt idx="1913">
                  <c:v>0</c:v>
                </c:pt>
                <c:pt idx="1914">
                  <c:v>6</c:v>
                </c:pt>
                <c:pt idx="1915">
                  <c:v>0</c:v>
                </c:pt>
                <c:pt idx="1916">
                  <c:v>8</c:v>
                </c:pt>
                <c:pt idx="1917">
                  <c:v>8</c:v>
                </c:pt>
                <c:pt idx="1918">
                  <c:v>0</c:v>
                </c:pt>
                <c:pt idx="1919">
                  <c:v>0</c:v>
                </c:pt>
                <c:pt idx="1920">
                  <c:v>0</c:v>
                </c:pt>
                <c:pt idx="1921">
                  <c:v>4</c:v>
                </c:pt>
                <c:pt idx="1922">
                  <c:v>0</c:v>
                </c:pt>
                <c:pt idx="1923">
                  <c:v>0</c:v>
                </c:pt>
                <c:pt idx="1924">
                  <c:v>0</c:v>
                </c:pt>
                <c:pt idx="1925">
                  <c:v>0</c:v>
                </c:pt>
                <c:pt idx="1926">
                  <c:v>0</c:v>
                </c:pt>
                <c:pt idx="1927">
                  <c:v>2</c:v>
                </c:pt>
                <c:pt idx="1928">
                  <c:v>0</c:v>
                </c:pt>
                <c:pt idx="1929">
                  <c:v>0</c:v>
                </c:pt>
                <c:pt idx="1930">
                  <c:v>0</c:v>
                </c:pt>
                <c:pt idx="1931">
                  <c:v>2</c:v>
                </c:pt>
                <c:pt idx="1932">
                  <c:v>0</c:v>
                </c:pt>
                <c:pt idx="1933">
                  <c:v>20</c:v>
                </c:pt>
                <c:pt idx="1934">
                  <c:v>0</c:v>
                </c:pt>
                <c:pt idx="1935">
                  <c:v>16</c:v>
                </c:pt>
                <c:pt idx="1936">
                  <c:v>0</c:v>
                </c:pt>
                <c:pt idx="1937">
                  <c:v>0</c:v>
                </c:pt>
                <c:pt idx="1938">
                  <c:v>10</c:v>
                </c:pt>
                <c:pt idx="1939">
                  <c:v>0</c:v>
                </c:pt>
                <c:pt idx="1940">
                  <c:v>0</c:v>
                </c:pt>
                <c:pt idx="1941">
                  <c:v>1</c:v>
                </c:pt>
                <c:pt idx="1942">
                  <c:v>1</c:v>
                </c:pt>
                <c:pt idx="1943">
                  <c:v>0</c:v>
                </c:pt>
                <c:pt idx="1944">
                  <c:v>0</c:v>
                </c:pt>
                <c:pt idx="1945">
                  <c:v>0</c:v>
                </c:pt>
                <c:pt idx="1946">
                  <c:v>0</c:v>
                </c:pt>
                <c:pt idx="1947">
                  <c:v>0</c:v>
                </c:pt>
                <c:pt idx="1948">
                  <c:v>0</c:v>
                </c:pt>
                <c:pt idx="1949">
                  <c:v>0</c:v>
                </c:pt>
                <c:pt idx="1950">
                  <c:v>0</c:v>
                </c:pt>
                <c:pt idx="1951">
                  <c:v>10</c:v>
                </c:pt>
                <c:pt idx="1952">
                  <c:v>0</c:v>
                </c:pt>
                <c:pt idx="1953">
                  <c:v>0</c:v>
                </c:pt>
                <c:pt idx="1954">
                  <c:v>0</c:v>
                </c:pt>
                <c:pt idx="1955">
                  <c:v>0</c:v>
                </c:pt>
                <c:pt idx="1956">
                  <c:v>0</c:v>
                </c:pt>
                <c:pt idx="1957">
                  <c:v>0</c:v>
                </c:pt>
                <c:pt idx="1958">
                  <c:v>0</c:v>
                </c:pt>
                <c:pt idx="1959">
                  <c:v>0</c:v>
                </c:pt>
                <c:pt idx="1960">
                  <c:v>1</c:v>
                </c:pt>
                <c:pt idx="1961">
                  <c:v>0</c:v>
                </c:pt>
                <c:pt idx="1962">
                  <c:v>0</c:v>
                </c:pt>
                <c:pt idx="1963">
                  <c:v>7</c:v>
                </c:pt>
                <c:pt idx="1964">
                  <c:v>0</c:v>
                </c:pt>
                <c:pt idx="1965">
                  <c:v>0</c:v>
                </c:pt>
                <c:pt idx="1966">
                  <c:v>0</c:v>
                </c:pt>
                <c:pt idx="1967">
                  <c:v>4</c:v>
                </c:pt>
                <c:pt idx="1968">
                  <c:v>0</c:v>
                </c:pt>
                <c:pt idx="1969">
                  <c:v>0</c:v>
                </c:pt>
                <c:pt idx="1970">
                  <c:v>0</c:v>
                </c:pt>
                <c:pt idx="1971">
                  <c:v>0</c:v>
                </c:pt>
                <c:pt idx="1972">
                  <c:v>0</c:v>
                </c:pt>
                <c:pt idx="1973">
                  <c:v>0</c:v>
                </c:pt>
                <c:pt idx="1974">
                  <c:v>0</c:v>
                </c:pt>
                <c:pt idx="1975">
                  <c:v>0</c:v>
                </c:pt>
                <c:pt idx="1976">
                  <c:v>12</c:v>
                </c:pt>
                <c:pt idx="1977">
                  <c:v>0</c:v>
                </c:pt>
                <c:pt idx="1978">
                  <c:v>4</c:v>
                </c:pt>
                <c:pt idx="1979">
                  <c:v>8</c:v>
                </c:pt>
                <c:pt idx="1980">
                  <c:v>0</c:v>
                </c:pt>
                <c:pt idx="1981">
                  <c:v>0</c:v>
                </c:pt>
                <c:pt idx="1982">
                  <c:v>1</c:v>
                </c:pt>
                <c:pt idx="1983">
                  <c:v>1</c:v>
                </c:pt>
                <c:pt idx="1984">
                  <c:v>0</c:v>
                </c:pt>
                <c:pt idx="1985">
                  <c:v>0</c:v>
                </c:pt>
                <c:pt idx="1986">
                  <c:v>7</c:v>
                </c:pt>
                <c:pt idx="1987">
                  <c:v>0</c:v>
                </c:pt>
                <c:pt idx="1988">
                  <c:v>0</c:v>
                </c:pt>
                <c:pt idx="1989">
                  <c:v>3</c:v>
                </c:pt>
                <c:pt idx="1990">
                  <c:v>5</c:v>
                </c:pt>
                <c:pt idx="1991">
                  <c:v>0</c:v>
                </c:pt>
                <c:pt idx="1992">
                  <c:v>3</c:v>
                </c:pt>
                <c:pt idx="1993">
                  <c:v>0</c:v>
                </c:pt>
                <c:pt idx="1994">
                  <c:v>0</c:v>
                </c:pt>
                <c:pt idx="1995">
                  <c:v>0</c:v>
                </c:pt>
                <c:pt idx="1996">
                  <c:v>0</c:v>
                </c:pt>
                <c:pt idx="1997">
                  <c:v>2</c:v>
                </c:pt>
                <c:pt idx="1998">
                  <c:v>4</c:v>
                </c:pt>
                <c:pt idx="1999">
                  <c:v>0</c:v>
                </c:pt>
                <c:pt idx="2000">
                  <c:v>0</c:v>
                </c:pt>
                <c:pt idx="2001">
                  <c:v>4</c:v>
                </c:pt>
                <c:pt idx="2002">
                  <c:v>0</c:v>
                </c:pt>
                <c:pt idx="2003">
                  <c:v>0</c:v>
                </c:pt>
                <c:pt idx="2004">
                  <c:v>0</c:v>
                </c:pt>
                <c:pt idx="2005">
                  <c:v>1</c:v>
                </c:pt>
                <c:pt idx="2006">
                  <c:v>0</c:v>
                </c:pt>
                <c:pt idx="2007">
                  <c:v>0</c:v>
                </c:pt>
                <c:pt idx="2008">
                  <c:v>0</c:v>
                </c:pt>
                <c:pt idx="2009">
                  <c:v>21</c:v>
                </c:pt>
                <c:pt idx="2010">
                  <c:v>3</c:v>
                </c:pt>
                <c:pt idx="2011">
                  <c:v>0</c:v>
                </c:pt>
                <c:pt idx="2012">
                  <c:v>8</c:v>
                </c:pt>
                <c:pt idx="2013">
                  <c:v>0</c:v>
                </c:pt>
                <c:pt idx="2014">
                  <c:v>0</c:v>
                </c:pt>
                <c:pt idx="2015">
                  <c:v>0</c:v>
                </c:pt>
                <c:pt idx="2016">
                  <c:v>0</c:v>
                </c:pt>
                <c:pt idx="2017">
                  <c:v>0</c:v>
                </c:pt>
                <c:pt idx="2018">
                  <c:v>1</c:v>
                </c:pt>
                <c:pt idx="2019">
                  <c:v>7</c:v>
                </c:pt>
                <c:pt idx="2020">
                  <c:v>0</c:v>
                </c:pt>
                <c:pt idx="2021">
                  <c:v>1</c:v>
                </c:pt>
                <c:pt idx="2022">
                  <c:v>9</c:v>
                </c:pt>
                <c:pt idx="2023">
                  <c:v>18</c:v>
                </c:pt>
                <c:pt idx="2024">
                  <c:v>11</c:v>
                </c:pt>
                <c:pt idx="2025">
                  <c:v>0</c:v>
                </c:pt>
                <c:pt idx="2026">
                  <c:v>0</c:v>
                </c:pt>
                <c:pt idx="2027">
                  <c:v>0</c:v>
                </c:pt>
                <c:pt idx="2028">
                  <c:v>0</c:v>
                </c:pt>
                <c:pt idx="2029">
                  <c:v>0</c:v>
                </c:pt>
                <c:pt idx="2030">
                  <c:v>0</c:v>
                </c:pt>
                <c:pt idx="2031">
                  <c:v>0</c:v>
                </c:pt>
                <c:pt idx="2032">
                  <c:v>0</c:v>
                </c:pt>
                <c:pt idx="2033">
                  <c:v>9</c:v>
                </c:pt>
                <c:pt idx="2034">
                  <c:v>0</c:v>
                </c:pt>
                <c:pt idx="2035">
                  <c:v>0</c:v>
                </c:pt>
                <c:pt idx="2036">
                  <c:v>0</c:v>
                </c:pt>
                <c:pt idx="2037">
                  <c:v>0</c:v>
                </c:pt>
                <c:pt idx="2038">
                  <c:v>0</c:v>
                </c:pt>
                <c:pt idx="2039">
                  <c:v>0</c:v>
                </c:pt>
                <c:pt idx="2040">
                  <c:v>0</c:v>
                </c:pt>
                <c:pt idx="2041">
                  <c:v>0</c:v>
                </c:pt>
                <c:pt idx="2042">
                  <c:v>0</c:v>
                </c:pt>
                <c:pt idx="2043">
                  <c:v>0</c:v>
                </c:pt>
                <c:pt idx="2044">
                  <c:v>3</c:v>
                </c:pt>
                <c:pt idx="2045">
                  <c:v>2</c:v>
                </c:pt>
                <c:pt idx="2046">
                  <c:v>0</c:v>
                </c:pt>
                <c:pt idx="2047">
                  <c:v>3</c:v>
                </c:pt>
                <c:pt idx="2048">
                  <c:v>2</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1</c:v>
                </c:pt>
                <c:pt idx="2063">
                  <c:v>0</c:v>
                </c:pt>
                <c:pt idx="2064">
                  <c:v>2</c:v>
                </c:pt>
                <c:pt idx="2065">
                  <c:v>0</c:v>
                </c:pt>
                <c:pt idx="2066">
                  <c:v>0</c:v>
                </c:pt>
                <c:pt idx="2067">
                  <c:v>0</c:v>
                </c:pt>
                <c:pt idx="2068">
                  <c:v>0</c:v>
                </c:pt>
                <c:pt idx="2069">
                  <c:v>3</c:v>
                </c:pt>
                <c:pt idx="2070">
                  <c:v>0</c:v>
                </c:pt>
                <c:pt idx="2071">
                  <c:v>0</c:v>
                </c:pt>
                <c:pt idx="2072">
                  <c:v>0</c:v>
                </c:pt>
                <c:pt idx="2073">
                  <c:v>0</c:v>
                </c:pt>
                <c:pt idx="2074">
                  <c:v>0</c:v>
                </c:pt>
                <c:pt idx="2075">
                  <c:v>0</c:v>
                </c:pt>
                <c:pt idx="2076">
                  <c:v>0</c:v>
                </c:pt>
                <c:pt idx="2077">
                  <c:v>0</c:v>
                </c:pt>
                <c:pt idx="2078">
                  <c:v>0</c:v>
                </c:pt>
                <c:pt idx="2079">
                  <c:v>0</c:v>
                </c:pt>
                <c:pt idx="2080">
                  <c:v>0</c:v>
                </c:pt>
                <c:pt idx="2081">
                  <c:v>0</c:v>
                </c:pt>
                <c:pt idx="2082">
                  <c:v>1</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4</c:v>
                </c:pt>
                <c:pt idx="2098">
                  <c:v>0</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0</c:v>
                </c:pt>
                <c:pt idx="2131">
                  <c:v>14</c:v>
                </c:pt>
                <c:pt idx="2132">
                  <c:v>0</c:v>
                </c:pt>
                <c:pt idx="2133">
                  <c:v>1</c:v>
                </c:pt>
                <c:pt idx="2134">
                  <c:v>0</c:v>
                </c:pt>
                <c:pt idx="2135">
                  <c:v>0</c:v>
                </c:pt>
                <c:pt idx="2136">
                  <c:v>0</c:v>
                </c:pt>
                <c:pt idx="2137">
                  <c:v>0</c:v>
                </c:pt>
                <c:pt idx="2138">
                  <c:v>6</c:v>
                </c:pt>
                <c:pt idx="2139">
                  <c:v>0</c:v>
                </c:pt>
                <c:pt idx="2140">
                  <c:v>0</c:v>
                </c:pt>
                <c:pt idx="2141">
                  <c:v>0</c:v>
                </c:pt>
                <c:pt idx="2142">
                  <c:v>0</c:v>
                </c:pt>
                <c:pt idx="2143">
                  <c:v>0</c:v>
                </c:pt>
                <c:pt idx="2144">
                  <c:v>0</c:v>
                </c:pt>
                <c:pt idx="2145">
                  <c:v>0</c:v>
                </c:pt>
                <c:pt idx="2146">
                  <c:v>0</c:v>
                </c:pt>
                <c:pt idx="2147">
                  <c:v>0</c:v>
                </c:pt>
                <c:pt idx="2148">
                  <c:v>0</c:v>
                </c:pt>
                <c:pt idx="2149">
                  <c:v>0</c:v>
                </c:pt>
                <c:pt idx="2150">
                  <c:v>5</c:v>
                </c:pt>
                <c:pt idx="2151">
                  <c:v>0</c:v>
                </c:pt>
                <c:pt idx="2152">
                  <c:v>0</c:v>
                </c:pt>
                <c:pt idx="2153">
                  <c:v>0</c:v>
                </c:pt>
                <c:pt idx="2154">
                  <c:v>0</c:v>
                </c:pt>
                <c:pt idx="2155">
                  <c:v>0</c:v>
                </c:pt>
                <c:pt idx="2156">
                  <c:v>0</c:v>
                </c:pt>
                <c:pt idx="2157">
                  <c:v>17</c:v>
                </c:pt>
                <c:pt idx="2158">
                  <c:v>0</c:v>
                </c:pt>
                <c:pt idx="2159">
                  <c:v>0</c:v>
                </c:pt>
                <c:pt idx="2160">
                  <c:v>0</c:v>
                </c:pt>
                <c:pt idx="2161">
                  <c:v>2</c:v>
                </c:pt>
                <c:pt idx="2162">
                  <c:v>0</c:v>
                </c:pt>
                <c:pt idx="2163">
                  <c:v>0</c:v>
                </c:pt>
                <c:pt idx="2164">
                  <c:v>8</c:v>
                </c:pt>
                <c:pt idx="2165">
                  <c:v>0</c:v>
                </c:pt>
                <c:pt idx="2166">
                  <c:v>0</c:v>
                </c:pt>
                <c:pt idx="2167">
                  <c:v>0</c:v>
                </c:pt>
                <c:pt idx="2168">
                  <c:v>0</c:v>
                </c:pt>
                <c:pt idx="2169">
                  <c:v>0</c:v>
                </c:pt>
                <c:pt idx="2170">
                  <c:v>0</c:v>
                </c:pt>
                <c:pt idx="2171">
                  <c:v>5</c:v>
                </c:pt>
                <c:pt idx="2172">
                  <c:v>0</c:v>
                </c:pt>
                <c:pt idx="2173">
                  <c:v>0</c:v>
                </c:pt>
                <c:pt idx="2174">
                  <c:v>0</c:v>
                </c:pt>
                <c:pt idx="2175">
                  <c:v>0</c:v>
                </c:pt>
                <c:pt idx="2176">
                  <c:v>0</c:v>
                </c:pt>
                <c:pt idx="2177">
                  <c:v>0</c:v>
                </c:pt>
                <c:pt idx="2178">
                  <c:v>2</c:v>
                </c:pt>
                <c:pt idx="2179">
                  <c:v>0</c:v>
                </c:pt>
                <c:pt idx="2180">
                  <c:v>0</c:v>
                </c:pt>
                <c:pt idx="2181">
                  <c:v>4</c:v>
                </c:pt>
                <c:pt idx="2182">
                  <c:v>42</c:v>
                </c:pt>
                <c:pt idx="2183">
                  <c:v>0</c:v>
                </c:pt>
                <c:pt idx="2184">
                  <c:v>0</c:v>
                </c:pt>
                <c:pt idx="2185">
                  <c:v>2</c:v>
                </c:pt>
                <c:pt idx="2186">
                  <c:v>8</c:v>
                </c:pt>
                <c:pt idx="2187">
                  <c:v>0</c:v>
                </c:pt>
                <c:pt idx="2188">
                  <c:v>0</c:v>
                </c:pt>
                <c:pt idx="2189">
                  <c:v>3</c:v>
                </c:pt>
                <c:pt idx="2190">
                  <c:v>0</c:v>
                </c:pt>
                <c:pt idx="2191">
                  <c:v>0</c:v>
                </c:pt>
                <c:pt idx="2192">
                  <c:v>0</c:v>
                </c:pt>
                <c:pt idx="2193">
                  <c:v>0</c:v>
                </c:pt>
                <c:pt idx="2194">
                  <c:v>0</c:v>
                </c:pt>
                <c:pt idx="2195">
                  <c:v>0</c:v>
                </c:pt>
                <c:pt idx="2196">
                  <c:v>0</c:v>
                </c:pt>
                <c:pt idx="2197">
                  <c:v>0</c:v>
                </c:pt>
                <c:pt idx="2198">
                  <c:v>5</c:v>
                </c:pt>
                <c:pt idx="2199">
                  <c:v>0</c:v>
                </c:pt>
                <c:pt idx="2200">
                  <c:v>0</c:v>
                </c:pt>
                <c:pt idx="2201">
                  <c:v>0</c:v>
                </c:pt>
                <c:pt idx="2202">
                  <c:v>0</c:v>
                </c:pt>
                <c:pt idx="2203">
                  <c:v>0</c:v>
                </c:pt>
                <c:pt idx="2204">
                  <c:v>0</c:v>
                </c:pt>
                <c:pt idx="2205">
                  <c:v>0</c:v>
                </c:pt>
                <c:pt idx="2206">
                  <c:v>0</c:v>
                </c:pt>
                <c:pt idx="2207">
                  <c:v>3</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0</c:v>
                </c:pt>
                <c:pt idx="2226">
                  <c:v>0</c:v>
                </c:pt>
                <c:pt idx="2227">
                  <c:v>0</c:v>
                </c:pt>
                <c:pt idx="2228">
                  <c:v>0</c:v>
                </c:pt>
                <c:pt idx="2229">
                  <c:v>8</c:v>
                </c:pt>
                <c:pt idx="2230">
                  <c:v>0</c:v>
                </c:pt>
                <c:pt idx="2231">
                  <c:v>0</c:v>
                </c:pt>
                <c:pt idx="2232">
                  <c:v>0</c:v>
                </c:pt>
                <c:pt idx="2233">
                  <c:v>0</c:v>
                </c:pt>
                <c:pt idx="2234">
                  <c:v>2</c:v>
                </c:pt>
                <c:pt idx="2235">
                  <c:v>0</c:v>
                </c:pt>
                <c:pt idx="2236">
                  <c:v>3</c:v>
                </c:pt>
                <c:pt idx="2237">
                  <c:v>1</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25</c:v>
                </c:pt>
                <c:pt idx="2254">
                  <c:v>0</c:v>
                </c:pt>
                <c:pt idx="2255">
                  <c:v>0</c:v>
                </c:pt>
                <c:pt idx="2256">
                  <c:v>0</c:v>
                </c:pt>
                <c:pt idx="2257">
                  <c:v>4</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4</c:v>
                </c:pt>
                <c:pt idx="2276">
                  <c:v>0</c:v>
                </c:pt>
                <c:pt idx="2277">
                  <c:v>0</c:v>
                </c:pt>
                <c:pt idx="2278">
                  <c:v>0</c:v>
                </c:pt>
                <c:pt idx="2279">
                  <c:v>0</c:v>
                </c:pt>
                <c:pt idx="2280">
                  <c:v>6</c:v>
                </c:pt>
                <c:pt idx="2281">
                  <c:v>0</c:v>
                </c:pt>
                <c:pt idx="2282">
                  <c:v>0</c:v>
                </c:pt>
                <c:pt idx="2283">
                  <c:v>0</c:v>
                </c:pt>
                <c:pt idx="2284">
                  <c:v>0</c:v>
                </c:pt>
                <c:pt idx="2285">
                  <c:v>0</c:v>
                </c:pt>
                <c:pt idx="2286">
                  <c:v>5</c:v>
                </c:pt>
                <c:pt idx="2287">
                  <c:v>0</c:v>
                </c:pt>
                <c:pt idx="2288">
                  <c:v>0</c:v>
                </c:pt>
                <c:pt idx="2289">
                  <c:v>0</c:v>
                </c:pt>
                <c:pt idx="2290">
                  <c:v>1</c:v>
                </c:pt>
                <c:pt idx="2291">
                  <c:v>0</c:v>
                </c:pt>
                <c:pt idx="2292">
                  <c:v>0</c:v>
                </c:pt>
                <c:pt idx="2293">
                  <c:v>0</c:v>
                </c:pt>
                <c:pt idx="2294">
                  <c:v>0</c:v>
                </c:pt>
                <c:pt idx="2295">
                  <c:v>0</c:v>
                </c:pt>
                <c:pt idx="2296">
                  <c:v>4</c:v>
                </c:pt>
                <c:pt idx="2297">
                  <c:v>0</c:v>
                </c:pt>
                <c:pt idx="2298">
                  <c:v>0</c:v>
                </c:pt>
                <c:pt idx="2299">
                  <c:v>3</c:v>
                </c:pt>
                <c:pt idx="2300">
                  <c:v>0</c:v>
                </c:pt>
                <c:pt idx="2301">
                  <c:v>0</c:v>
                </c:pt>
                <c:pt idx="2302">
                  <c:v>0</c:v>
                </c:pt>
                <c:pt idx="2303">
                  <c:v>0</c:v>
                </c:pt>
                <c:pt idx="2304">
                  <c:v>0</c:v>
                </c:pt>
                <c:pt idx="2305">
                  <c:v>0</c:v>
                </c:pt>
                <c:pt idx="2306">
                  <c:v>0</c:v>
                </c:pt>
                <c:pt idx="2307">
                  <c:v>0</c:v>
                </c:pt>
                <c:pt idx="2308">
                  <c:v>0</c:v>
                </c:pt>
                <c:pt idx="2309">
                  <c:v>0</c:v>
                </c:pt>
                <c:pt idx="2310">
                  <c:v>0</c:v>
                </c:pt>
                <c:pt idx="2311">
                  <c:v>0</c:v>
                </c:pt>
                <c:pt idx="2312">
                  <c:v>1</c:v>
                </c:pt>
                <c:pt idx="2313">
                  <c:v>0</c:v>
                </c:pt>
                <c:pt idx="2314">
                  <c:v>0</c:v>
                </c:pt>
                <c:pt idx="2315">
                  <c:v>0</c:v>
                </c:pt>
                <c:pt idx="2316">
                  <c:v>0</c:v>
                </c:pt>
                <c:pt idx="2317">
                  <c:v>0</c:v>
                </c:pt>
                <c:pt idx="2318">
                  <c:v>0</c:v>
                </c:pt>
                <c:pt idx="2319">
                  <c:v>5</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2</c:v>
                </c:pt>
                <c:pt idx="2337">
                  <c:v>17</c:v>
                </c:pt>
                <c:pt idx="2338">
                  <c:v>29</c:v>
                </c:pt>
                <c:pt idx="2339">
                  <c:v>30</c:v>
                </c:pt>
                <c:pt idx="2340">
                  <c:v>130</c:v>
                </c:pt>
                <c:pt idx="2341">
                  <c:v>47</c:v>
                </c:pt>
                <c:pt idx="2342">
                  <c:v>103</c:v>
                </c:pt>
                <c:pt idx="2343">
                  <c:v>52</c:v>
                </c:pt>
                <c:pt idx="2344">
                  <c:v>87</c:v>
                </c:pt>
                <c:pt idx="2345">
                  <c:v>37</c:v>
                </c:pt>
                <c:pt idx="2346">
                  <c:v>122</c:v>
                </c:pt>
                <c:pt idx="2347">
                  <c:v>84</c:v>
                </c:pt>
                <c:pt idx="2348">
                  <c:v>85</c:v>
                </c:pt>
                <c:pt idx="2349">
                  <c:v>108</c:v>
                </c:pt>
                <c:pt idx="2350">
                  <c:v>64</c:v>
                </c:pt>
                <c:pt idx="2351">
                  <c:v>9</c:v>
                </c:pt>
                <c:pt idx="2352">
                  <c:v>12</c:v>
                </c:pt>
                <c:pt idx="2353">
                  <c:v>22</c:v>
                </c:pt>
                <c:pt idx="2354">
                  <c:v>38</c:v>
                </c:pt>
                <c:pt idx="2355">
                  <c:v>3</c:v>
                </c:pt>
                <c:pt idx="2356">
                  <c:v>0</c:v>
                </c:pt>
                <c:pt idx="2357">
                  <c:v>0</c:v>
                </c:pt>
                <c:pt idx="2358">
                  <c:v>0</c:v>
                </c:pt>
                <c:pt idx="2359">
                  <c:v>0</c:v>
                </c:pt>
                <c:pt idx="2360">
                  <c:v>0</c:v>
                </c:pt>
                <c:pt idx="2361">
                  <c:v>0</c:v>
                </c:pt>
                <c:pt idx="2362">
                  <c:v>0</c:v>
                </c:pt>
                <c:pt idx="2363">
                  <c:v>0</c:v>
                </c:pt>
                <c:pt idx="2364">
                  <c:v>20</c:v>
                </c:pt>
                <c:pt idx="2365">
                  <c:v>0</c:v>
                </c:pt>
                <c:pt idx="2366">
                  <c:v>4</c:v>
                </c:pt>
                <c:pt idx="2367">
                  <c:v>1</c:v>
                </c:pt>
                <c:pt idx="2368">
                  <c:v>7</c:v>
                </c:pt>
                <c:pt idx="2369">
                  <c:v>2</c:v>
                </c:pt>
                <c:pt idx="2370">
                  <c:v>0</c:v>
                </c:pt>
                <c:pt idx="2371">
                  <c:v>5</c:v>
                </c:pt>
                <c:pt idx="2372">
                  <c:v>0</c:v>
                </c:pt>
                <c:pt idx="2373">
                  <c:v>9</c:v>
                </c:pt>
                <c:pt idx="2374">
                  <c:v>17</c:v>
                </c:pt>
                <c:pt idx="2375">
                  <c:v>8</c:v>
                </c:pt>
                <c:pt idx="2376">
                  <c:v>3</c:v>
                </c:pt>
                <c:pt idx="2377">
                  <c:v>4</c:v>
                </c:pt>
                <c:pt idx="2378">
                  <c:v>0</c:v>
                </c:pt>
                <c:pt idx="2379">
                  <c:v>2</c:v>
                </c:pt>
                <c:pt idx="2380">
                  <c:v>0</c:v>
                </c:pt>
                <c:pt idx="2381">
                  <c:v>12</c:v>
                </c:pt>
                <c:pt idx="2382">
                  <c:v>6</c:v>
                </c:pt>
                <c:pt idx="2383">
                  <c:v>0</c:v>
                </c:pt>
                <c:pt idx="2384">
                  <c:v>0</c:v>
                </c:pt>
                <c:pt idx="2385">
                  <c:v>0</c:v>
                </c:pt>
                <c:pt idx="2386">
                  <c:v>0</c:v>
                </c:pt>
                <c:pt idx="2387">
                  <c:v>4</c:v>
                </c:pt>
                <c:pt idx="2388">
                  <c:v>8</c:v>
                </c:pt>
                <c:pt idx="2389">
                  <c:v>0</c:v>
                </c:pt>
                <c:pt idx="2390">
                  <c:v>2</c:v>
                </c:pt>
                <c:pt idx="2391">
                  <c:v>2</c:v>
                </c:pt>
                <c:pt idx="2392">
                  <c:v>18</c:v>
                </c:pt>
                <c:pt idx="2393">
                  <c:v>0</c:v>
                </c:pt>
                <c:pt idx="2394">
                  <c:v>6</c:v>
                </c:pt>
                <c:pt idx="2395">
                  <c:v>15</c:v>
                </c:pt>
                <c:pt idx="2396">
                  <c:v>5</c:v>
                </c:pt>
                <c:pt idx="2397">
                  <c:v>17</c:v>
                </c:pt>
                <c:pt idx="2398">
                  <c:v>14</c:v>
                </c:pt>
                <c:pt idx="2399">
                  <c:v>18</c:v>
                </c:pt>
                <c:pt idx="2400">
                  <c:v>0</c:v>
                </c:pt>
                <c:pt idx="2401">
                  <c:v>5</c:v>
                </c:pt>
                <c:pt idx="2402">
                  <c:v>24</c:v>
                </c:pt>
                <c:pt idx="2403">
                  <c:v>16</c:v>
                </c:pt>
                <c:pt idx="2404">
                  <c:v>8</c:v>
                </c:pt>
                <c:pt idx="2405">
                  <c:v>0</c:v>
                </c:pt>
                <c:pt idx="2406">
                  <c:v>35</c:v>
                </c:pt>
                <c:pt idx="2407">
                  <c:v>35</c:v>
                </c:pt>
                <c:pt idx="2408">
                  <c:v>0</c:v>
                </c:pt>
                <c:pt idx="2409">
                  <c:v>1</c:v>
                </c:pt>
                <c:pt idx="2410">
                  <c:v>0</c:v>
                </c:pt>
                <c:pt idx="2411">
                  <c:v>0</c:v>
                </c:pt>
                <c:pt idx="2412">
                  <c:v>0</c:v>
                </c:pt>
                <c:pt idx="2413">
                  <c:v>0</c:v>
                </c:pt>
                <c:pt idx="2414">
                  <c:v>0</c:v>
                </c:pt>
                <c:pt idx="2415">
                  <c:v>0</c:v>
                </c:pt>
                <c:pt idx="2416">
                  <c:v>0</c:v>
                </c:pt>
                <c:pt idx="2417">
                  <c:v>0</c:v>
                </c:pt>
                <c:pt idx="2418">
                  <c:v>0</c:v>
                </c:pt>
                <c:pt idx="2419">
                  <c:v>6</c:v>
                </c:pt>
                <c:pt idx="2420">
                  <c:v>0</c:v>
                </c:pt>
                <c:pt idx="2421">
                  <c:v>0</c:v>
                </c:pt>
                <c:pt idx="2422">
                  <c:v>0</c:v>
                </c:pt>
                <c:pt idx="2423">
                  <c:v>0</c:v>
                </c:pt>
                <c:pt idx="2424">
                  <c:v>24</c:v>
                </c:pt>
                <c:pt idx="2425">
                  <c:v>0</c:v>
                </c:pt>
                <c:pt idx="2426">
                  <c:v>0</c:v>
                </c:pt>
                <c:pt idx="2427">
                  <c:v>0</c:v>
                </c:pt>
                <c:pt idx="2428">
                  <c:v>3</c:v>
                </c:pt>
                <c:pt idx="2429">
                  <c:v>0</c:v>
                </c:pt>
                <c:pt idx="2430">
                  <c:v>14</c:v>
                </c:pt>
                <c:pt idx="2431">
                  <c:v>0</c:v>
                </c:pt>
                <c:pt idx="2432">
                  <c:v>13</c:v>
                </c:pt>
                <c:pt idx="2433">
                  <c:v>0</c:v>
                </c:pt>
                <c:pt idx="2434">
                  <c:v>2</c:v>
                </c:pt>
                <c:pt idx="2435">
                  <c:v>12</c:v>
                </c:pt>
                <c:pt idx="2436">
                  <c:v>0</c:v>
                </c:pt>
                <c:pt idx="2437">
                  <c:v>26</c:v>
                </c:pt>
                <c:pt idx="2438">
                  <c:v>0</c:v>
                </c:pt>
                <c:pt idx="2439">
                  <c:v>0</c:v>
                </c:pt>
                <c:pt idx="2440">
                  <c:v>0</c:v>
                </c:pt>
                <c:pt idx="2441">
                  <c:v>11</c:v>
                </c:pt>
                <c:pt idx="2442">
                  <c:v>0</c:v>
                </c:pt>
                <c:pt idx="2443">
                  <c:v>0</c:v>
                </c:pt>
                <c:pt idx="2444">
                  <c:v>1</c:v>
                </c:pt>
                <c:pt idx="2445">
                  <c:v>0</c:v>
                </c:pt>
                <c:pt idx="2446">
                  <c:v>6</c:v>
                </c:pt>
                <c:pt idx="2447">
                  <c:v>11</c:v>
                </c:pt>
                <c:pt idx="2448">
                  <c:v>0</c:v>
                </c:pt>
                <c:pt idx="2449">
                  <c:v>5</c:v>
                </c:pt>
                <c:pt idx="2450">
                  <c:v>0</c:v>
                </c:pt>
                <c:pt idx="2451">
                  <c:v>8</c:v>
                </c:pt>
                <c:pt idx="2452">
                  <c:v>7</c:v>
                </c:pt>
                <c:pt idx="2453">
                  <c:v>7</c:v>
                </c:pt>
                <c:pt idx="2454">
                  <c:v>0</c:v>
                </c:pt>
                <c:pt idx="2455">
                  <c:v>0</c:v>
                </c:pt>
                <c:pt idx="2456">
                  <c:v>0</c:v>
                </c:pt>
                <c:pt idx="2457">
                  <c:v>0</c:v>
                </c:pt>
                <c:pt idx="2458">
                  <c:v>0</c:v>
                </c:pt>
                <c:pt idx="2459">
                  <c:v>0</c:v>
                </c:pt>
                <c:pt idx="2460">
                  <c:v>0</c:v>
                </c:pt>
                <c:pt idx="2461">
                  <c:v>0</c:v>
                </c:pt>
                <c:pt idx="2462">
                  <c:v>0</c:v>
                </c:pt>
                <c:pt idx="2463">
                  <c:v>1</c:v>
                </c:pt>
                <c:pt idx="2464">
                  <c:v>0</c:v>
                </c:pt>
                <c:pt idx="2465">
                  <c:v>2</c:v>
                </c:pt>
                <c:pt idx="2466">
                  <c:v>3</c:v>
                </c:pt>
                <c:pt idx="2467">
                  <c:v>4</c:v>
                </c:pt>
                <c:pt idx="2468">
                  <c:v>0</c:v>
                </c:pt>
                <c:pt idx="2469">
                  <c:v>0</c:v>
                </c:pt>
                <c:pt idx="2470">
                  <c:v>0</c:v>
                </c:pt>
                <c:pt idx="2471">
                  <c:v>2</c:v>
                </c:pt>
                <c:pt idx="2472">
                  <c:v>23</c:v>
                </c:pt>
                <c:pt idx="2473">
                  <c:v>9</c:v>
                </c:pt>
                <c:pt idx="2474">
                  <c:v>6</c:v>
                </c:pt>
                <c:pt idx="2475">
                  <c:v>0</c:v>
                </c:pt>
                <c:pt idx="2476">
                  <c:v>0</c:v>
                </c:pt>
                <c:pt idx="2477">
                  <c:v>6</c:v>
                </c:pt>
                <c:pt idx="2478">
                  <c:v>0</c:v>
                </c:pt>
                <c:pt idx="2479">
                  <c:v>0</c:v>
                </c:pt>
                <c:pt idx="2480">
                  <c:v>0</c:v>
                </c:pt>
                <c:pt idx="2481">
                  <c:v>0</c:v>
                </c:pt>
                <c:pt idx="2482">
                  <c:v>0</c:v>
                </c:pt>
                <c:pt idx="2483">
                  <c:v>0</c:v>
                </c:pt>
                <c:pt idx="2484">
                  <c:v>0</c:v>
                </c:pt>
                <c:pt idx="2485">
                  <c:v>0</c:v>
                </c:pt>
                <c:pt idx="2486">
                  <c:v>0</c:v>
                </c:pt>
                <c:pt idx="2487">
                  <c:v>1</c:v>
                </c:pt>
                <c:pt idx="2488">
                  <c:v>30</c:v>
                </c:pt>
                <c:pt idx="2489">
                  <c:v>0</c:v>
                </c:pt>
                <c:pt idx="2490">
                  <c:v>34</c:v>
                </c:pt>
                <c:pt idx="2491">
                  <c:v>0</c:v>
                </c:pt>
                <c:pt idx="2492">
                  <c:v>52</c:v>
                </c:pt>
                <c:pt idx="2493">
                  <c:v>30</c:v>
                </c:pt>
                <c:pt idx="2494">
                  <c:v>31</c:v>
                </c:pt>
                <c:pt idx="2495">
                  <c:v>33</c:v>
                </c:pt>
                <c:pt idx="2496">
                  <c:v>23</c:v>
                </c:pt>
                <c:pt idx="2497">
                  <c:v>2</c:v>
                </c:pt>
                <c:pt idx="2498">
                  <c:v>13</c:v>
                </c:pt>
                <c:pt idx="2499">
                  <c:v>19</c:v>
                </c:pt>
                <c:pt idx="2500">
                  <c:v>27</c:v>
                </c:pt>
                <c:pt idx="2501">
                  <c:v>7</c:v>
                </c:pt>
                <c:pt idx="2502">
                  <c:v>15</c:v>
                </c:pt>
                <c:pt idx="2503">
                  <c:v>6</c:v>
                </c:pt>
                <c:pt idx="2504">
                  <c:v>0</c:v>
                </c:pt>
                <c:pt idx="2505">
                  <c:v>4</c:v>
                </c:pt>
                <c:pt idx="2506">
                  <c:v>52</c:v>
                </c:pt>
                <c:pt idx="2507">
                  <c:v>38</c:v>
                </c:pt>
                <c:pt idx="2508">
                  <c:v>0</c:v>
                </c:pt>
                <c:pt idx="2509">
                  <c:v>0</c:v>
                </c:pt>
                <c:pt idx="2510">
                  <c:v>14</c:v>
                </c:pt>
                <c:pt idx="2511">
                  <c:v>21</c:v>
                </c:pt>
                <c:pt idx="2512">
                  <c:v>0</c:v>
                </c:pt>
                <c:pt idx="2513">
                  <c:v>0</c:v>
                </c:pt>
                <c:pt idx="2514">
                  <c:v>3</c:v>
                </c:pt>
                <c:pt idx="2515">
                  <c:v>0</c:v>
                </c:pt>
                <c:pt idx="2516">
                  <c:v>0</c:v>
                </c:pt>
                <c:pt idx="2517">
                  <c:v>0</c:v>
                </c:pt>
                <c:pt idx="2518">
                  <c:v>0</c:v>
                </c:pt>
                <c:pt idx="2519">
                  <c:v>0</c:v>
                </c:pt>
                <c:pt idx="2520">
                  <c:v>0</c:v>
                </c:pt>
                <c:pt idx="2521">
                  <c:v>0</c:v>
                </c:pt>
                <c:pt idx="2522">
                  <c:v>0</c:v>
                </c:pt>
                <c:pt idx="2523">
                  <c:v>0</c:v>
                </c:pt>
                <c:pt idx="2524">
                  <c:v>0</c:v>
                </c:pt>
                <c:pt idx="2525">
                  <c:v>25</c:v>
                </c:pt>
                <c:pt idx="2526">
                  <c:v>0</c:v>
                </c:pt>
                <c:pt idx="2527">
                  <c:v>0</c:v>
                </c:pt>
                <c:pt idx="2528">
                  <c:v>0</c:v>
                </c:pt>
                <c:pt idx="2529">
                  <c:v>0</c:v>
                </c:pt>
                <c:pt idx="2530">
                  <c:v>0</c:v>
                </c:pt>
                <c:pt idx="2531">
                  <c:v>0</c:v>
                </c:pt>
                <c:pt idx="2532">
                  <c:v>0</c:v>
                </c:pt>
                <c:pt idx="2533">
                  <c:v>0</c:v>
                </c:pt>
                <c:pt idx="2534">
                  <c:v>0</c:v>
                </c:pt>
                <c:pt idx="2535">
                  <c:v>2</c:v>
                </c:pt>
                <c:pt idx="2536">
                  <c:v>0</c:v>
                </c:pt>
                <c:pt idx="2537">
                  <c:v>7</c:v>
                </c:pt>
                <c:pt idx="2538">
                  <c:v>0</c:v>
                </c:pt>
                <c:pt idx="2539">
                  <c:v>2</c:v>
                </c:pt>
                <c:pt idx="2540">
                  <c:v>0</c:v>
                </c:pt>
                <c:pt idx="2541">
                  <c:v>0</c:v>
                </c:pt>
                <c:pt idx="2542">
                  <c:v>0</c:v>
                </c:pt>
                <c:pt idx="2543">
                  <c:v>0</c:v>
                </c:pt>
                <c:pt idx="2544">
                  <c:v>2</c:v>
                </c:pt>
                <c:pt idx="2545">
                  <c:v>0</c:v>
                </c:pt>
                <c:pt idx="2546">
                  <c:v>0</c:v>
                </c:pt>
                <c:pt idx="2547">
                  <c:v>6</c:v>
                </c:pt>
                <c:pt idx="2548">
                  <c:v>5</c:v>
                </c:pt>
                <c:pt idx="2549">
                  <c:v>1</c:v>
                </c:pt>
                <c:pt idx="2550">
                  <c:v>0</c:v>
                </c:pt>
                <c:pt idx="2551">
                  <c:v>6</c:v>
                </c:pt>
                <c:pt idx="2552">
                  <c:v>0</c:v>
                </c:pt>
                <c:pt idx="2553">
                  <c:v>15</c:v>
                </c:pt>
                <c:pt idx="2554">
                  <c:v>0</c:v>
                </c:pt>
                <c:pt idx="2555">
                  <c:v>0</c:v>
                </c:pt>
                <c:pt idx="2556">
                  <c:v>2</c:v>
                </c:pt>
                <c:pt idx="2557">
                  <c:v>5</c:v>
                </c:pt>
                <c:pt idx="2558">
                  <c:v>0</c:v>
                </c:pt>
                <c:pt idx="2559">
                  <c:v>2</c:v>
                </c:pt>
                <c:pt idx="2560">
                  <c:v>0</c:v>
                </c:pt>
                <c:pt idx="2561">
                  <c:v>0</c:v>
                </c:pt>
                <c:pt idx="2562">
                  <c:v>5</c:v>
                </c:pt>
                <c:pt idx="2563">
                  <c:v>1</c:v>
                </c:pt>
                <c:pt idx="2564">
                  <c:v>1</c:v>
                </c:pt>
                <c:pt idx="2565">
                  <c:v>4</c:v>
                </c:pt>
                <c:pt idx="2566">
                  <c:v>0</c:v>
                </c:pt>
                <c:pt idx="2567">
                  <c:v>0</c:v>
                </c:pt>
                <c:pt idx="2568">
                  <c:v>0</c:v>
                </c:pt>
                <c:pt idx="2569">
                  <c:v>0</c:v>
                </c:pt>
                <c:pt idx="2570">
                  <c:v>0</c:v>
                </c:pt>
                <c:pt idx="2571">
                  <c:v>0</c:v>
                </c:pt>
                <c:pt idx="2572">
                  <c:v>0</c:v>
                </c:pt>
                <c:pt idx="2573">
                  <c:v>5</c:v>
                </c:pt>
                <c:pt idx="2574">
                  <c:v>0</c:v>
                </c:pt>
                <c:pt idx="2575">
                  <c:v>6</c:v>
                </c:pt>
                <c:pt idx="2576">
                  <c:v>0</c:v>
                </c:pt>
                <c:pt idx="2577">
                  <c:v>9</c:v>
                </c:pt>
                <c:pt idx="2578">
                  <c:v>0</c:v>
                </c:pt>
                <c:pt idx="2579">
                  <c:v>0</c:v>
                </c:pt>
                <c:pt idx="2580">
                  <c:v>0</c:v>
                </c:pt>
                <c:pt idx="2581">
                  <c:v>8</c:v>
                </c:pt>
                <c:pt idx="2582">
                  <c:v>12</c:v>
                </c:pt>
                <c:pt idx="2583">
                  <c:v>1</c:v>
                </c:pt>
                <c:pt idx="2584">
                  <c:v>0</c:v>
                </c:pt>
                <c:pt idx="2585">
                  <c:v>4</c:v>
                </c:pt>
                <c:pt idx="2586">
                  <c:v>0</c:v>
                </c:pt>
                <c:pt idx="2587">
                  <c:v>20</c:v>
                </c:pt>
                <c:pt idx="2588">
                  <c:v>14</c:v>
                </c:pt>
                <c:pt idx="2589">
                  <c:v>7</c:v>
                </c:pt>
                <c:pt idx="2590">
                  <c:v>0</c:v>
                </c:pt>
                <c:pt idx="2591">
                  <c:v>23</c:v>
                </c:pt>
                <c:pt idx="2592">
                  <c:v>0</c:v>
                </c:pt>
                <c:pt idx="2593">
                  <c:v>3</c:v>
                </c:pt>
                <c:pt idx="2594">
                  <c:v>0</c:v>
                </c:pt>
                <c:pt idx="2595">
                  <c:v>0</c:v>
                </c:pt>
                <c:pt idx="2596">
                  <c:v>0</c:v>
                </c:pt>
                <c:pt idx="2597">
                  <c:v>0</c:v>
                </c:pt>
                <c:pt idx="2598">
                  <c:v>8</c:v>
                </c:pt>
                <c:pt idx="2599">
                  <c:v>0</c:v>
                </c:pt>
                <c:pt idx="2600">
                  <c:v>0</c:v>
                </c:pt>
                <c:pt idx="2601">
                  <c:v>0</c:v>
                </c:pt>
                <c:pt idx="2602">
                  <c:v>0</c:v>
                </c:pt>
                <c:pt idx="2603">
                  <c:v>12</c:v>
                </c:pt>
                <c:pt idx="2604">
                  <c:v>0</c:v>
                </c:pt>
                <c:pt idx="2605">
                  <c:v>61</c:v>
                </c:pt>
                <c:pt idx="2606">
                  <c:v>0</c:v>
                </c:pt>
                <c:pt idx="2607">
                  <c:v>0</c:v>
                </c:pt>
                <c:pt idx="2608">
                  <c:v>0</c:v>
                </c:pt>
                <c:pt idx="2609">
                  <c:v>5</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3</c:v>
                </c:pt>
                <c:pt idx="2623">
                  <c:v>0</c:v>
                </c:pt>
                <c:pt idx="2624">
                  <c:v>0</c:v>
                </c:pt>
                <c:pt idx="2625">
                  <c:v>0</c:v>
                </c:pt>
                <c:pt idx="2626">
                  <c:v>0</c:v>
                </c:pt>
                <c:pt idx="2627">
                  <c:v>0</c:v>
                </c:pt>
                <c:pt idx="2628">
                  <c:v>9</c:v>
                </c:pt>
                <c:pt idx="2629">
                  <c:v>2</c:v>
                </c:pt>
                <c:pt idx="2630">
                  <c:v>0</c:v>
                </c:pt>
                <c:pt idx="2631">
                  <c:v>0</c:v>
                </c:pt>
                <c:pt idx="2632">
                  <c:v>0</c:v>
                </c:pt>
                <c:pt idx="2633">
                  <c:v>2</c:v>
                </c:pt>
                <c:pt idx="2634">
                  <c:v>2</c:v>
                </c:pt>
                <c:pt idx="2635">
                  <c:v>0</c:v>
                </c:pt>
                <c:pt idx="2636">
                  <c:v>0</c:v>
                </c:pt>
                <c:pt idx="2637">
                  <c:v>0</c:v>
                </c:pt>
                <c:pt idx="2638">
                  <c:v>0</c:v>
                </c:pt>
                <c:pt idx="2639">
                  <c:v>4</c:v>
                </c:pt>
                <c:pt idx="2640">
                  <c:v>19</c:v>
                </c:pt>
                <c:pt idx="2641">
                  <c:v>16</c:v>
                </c:pt>
                <c:pt idx="2642">
                  <c:v>5</c:v>
                </c:pt>
                <c:pt idx="2643">
                  <c:v>0</c:v>
                </c:pt>
                <c:pt idx="2644">
                  <c:v>14</c:v>
                </c:pt>
                <c:pt idx="2645">
                  <c:v>0</c:v>
                </c:pt>
                <c:pt idx="2646">
                  <c:v>0</c:v>
                </c:pt>
                <c:pt idx="2647">
                  <c:v>2</c:v>
                </c:pt>
                <c:pt idx="2648">
                  <c:v>0</c:v>
                </c:pt>
                <c:pt idx="2649">
                  <c:v>0</c:v>
                </c:pt>
                <c:pt idx="2650">
                  <c:v>0</c:v>
                </c:pt>
                <c:pt idx="2651">
                  <c:v>0</c:v>
                </c:pt>
                <c:pt idx="2652">
                  <c:v>0</c:v>
                </c:pt>
                <c:pt idx="2653">
                  <c:v>0</c:v>
                </c:pt>
                <c:pt idx="2654">
                  <c:v>0</c:v>
                </c:pt>
                <c:pt idx="2655">
                  <c:v>0</c:v>
                </c:pt>
                <c:pt idx="2656">
                  <c:v>0</c:v>
                </c:pt>
                <c:pt idx="2657">
                  <c:v>7</c:v>
                </c:pt>
                <c:pt idx="2658">
                  <c:v>0</c:v>
                </c:pt>
                <c:pt idx="2659">
                  <c:v>0</c:v>
                </c:pt>
                <c:pt idx="2660">
                  <c:v>0</c:v>
                </c:pt>
                <c:pt idx="2661">
                  <c:v>0</c:v>
                </c:pt>
                <c:pt idx="2662">
                  <c:v>0</c:v>
                </c:pt>
                <c:pt idx="2663">
                  <c:v>0</c:v>
                </c:pt>
                <c:pt idx="2664">
                  <c:v>0</c:v>
                </c:pt>
                <c:pt idx="2665">
                  <c:v>2</c:v>
                </c:pt>
                <c:pt idx="2666">
                  <c:v>0</c:v>
                </c:pt>
                <c:pt idx="2667">
                  <c:v>1</c:v>
                </c:pt>
                <c:pt idx="2668">
                  <c:v>0</c:v>
                </c:pt>
                <c:pt idx="2669">
                  <c:v>0</c:v>
                </c:pt>
                <c:pt idx="2670">
                  <c:v>1</c:v>
                </c:pt>
                <c:pt idx="2671">
                  <c:v>0</c:v>
                </c:pt>
                <c:pt idx="2672">
                  <c:v>0</c:v>
                </c:pt>
                <c:pt idx="2673">
                  <c:v>7</c:v>
                </c:pt>
                <c:pt idx="2674">
                  <c:v>0</c:v>
                </c:pt>
                <c:pt idx="2675">
                  <c:v>0</c:v>
                </c:pt>
                <c:pt idx="2676">
                  <c:v>10</c:v>
                </c:pt>
                <c:pt idx="2677">
                  <c:v>0</c:v>
                </c:pt>
                <c:pt idx="2678">
                  <c:v>0</c:v>
                </c:pt>
                <c:pt idx="2679">
                  <c:v>0</c:v>
                </c:pt>
                <c:pt idx="2680">
                  <c:v>6</c:v>
                </c:pt>
                <c:pt idx="2681">
                  <c:v>10</c:v>
                </c:pt>
                <c:pt idx="2682">
                  <c:v>0</c:v>
                </c:pt>
                <c:pt idx="2683">
                  <c:v>11</c:v>
                </c:pt>
                <c:pt idx="2684">
                  <c:v>0</c:v>
                </c:pt>
                <c:pt idx="2685">
                  <c:v>0</c:v>
                </c:pt>
                <c:pt idx="2686">
                  <c:v>27</c:v>
                </c:pt>
                <c:pt idx="2687">
                  <c:v>0</c:v>
                </c:pt>
                <c:pt idx="2688">
                  <c:v>0</c:v>
                </c:pt>
                <c:pt idx="2689">
                  <c:v>0</c:v>
                </c:pt>
                <c:pt idx="2690">
                  <c:v>0</c:v>
                </c:pt>
                <c:pt idx="2691">
                  <c:v>2</c:v>
                </c:pt>
                <c:pt idx="2692">
                  <c:v>7</c:v>
                </c:pt>
                <c:pt idx="2693">
                  <c:v>0</c:v>
                </c:pt>
                <c:pt idx="2694">
                  <c:v>0</c:v>
                </c:pt>
                <c:pt idx="2695">
                  <c:v>0</c:v>
                </c:pt>
                <c:pt idx="2696">
                  <c:v>0</c:v>
                </c:pt>
                <c:pt idx="2697">
                  <c:v>0</c:v>
                </c:pt>
                <c:pt idx="2698">
                  <c:v>0</c:v>
                </c:pt>
                <c:pt idx="2699">
                  <c:v>0</c:v>
                </c:pt>
                <c:pt idx="2700">
                  <c:v>2</c:v>
                </c:pt>
                <c:pt idx="2701">
                  <c:v>0</c:v>
                </c:pt>
                <c:pt idx="2702">
                  <c:v>8</c:v>
                </c:pt>
                <c:pt idx="2703">
                  <c:v>0</c:v>
                </c:pt>
                <c:pt idx="2704">
                  <c:v>42</c:v>
                </c:pt>
                <c:pt idx="2705">
                  <c:v>0</c:v>
                </c:pt>
                <c:pt idx="2706">
                  <c:v>0</c:v>
                </c:pt>
                <c:pt idx="2707">
                  <c:v>0</c:v>
                </c:pt>
                <c:pt idx="2708">
                  <c:v>0</c:v>
                </c:pt>
                <c:pt idx="2709">
                  <c:v>0</c:v>
                </c:pt>
                <c:pt idx="2710">
                  <c:v>3</c:v>
                </c:pt>
                <c:pt idx="2711">
                  <c:v>0</c:v>
                </c:pt>
                <c:pt idx="2712">
                  <c:v>3</c:v>
                </c:pt>
                <c:pt idx="2713">
                  <c:v>0</c:v>
                </c:pt>
                <c:pt idx="2714">
                  <c:v>0</c:v>
                </c:pt>
                <c:pt idx="2715">
                  <c:v>0</c:v>
                </c:pt>
                <c:pt idx="2716">
                  <c:v>0</c:v>
                </c:pt>
                <c:pt idx="2717">
                  <c:v>0</c:v>
                </c:pt>
                <c:pt idx="2718">
                  <c:v>1</c:v>
                </c:pt>
                <c:pt idx="2719">
                  <c:v>0</c:v>
                </c:pt>
                <c:pt idx="2720">
                  <c:v>6</c:v>
                </c:pt>
                <c:pt idx="2721">
                  <c:v>0</c:v>
                </c:pt>
                <c:pt idx="2722">
                  <c:v>0</c:v>
                </c:pt>
                <c:pt idx="2723">
                  <c:v>10</c:v>
                </c:pt>
                <c:pt idx="2724">
                  <c:v>0</c:v>
                </c:pt>
                <c:pt idx="2725">
                  <c:v>0</c:v>
                </c:pt>
                <c:pt idx="2726">
                  <c:v>0</c:v>
                </c:pt>
                <c:pt idx="2727">
                  <c:v>0</c:v>
                </c:pt>
                <c:pt idx="2728">
                  <c:v>0</c:v>
                </c:pt>
                <c:pt idx="2729">
                  <c:v>0</c:v>
                </c:pt>
                <c:pt idx="2730">
                  <c:v>0</c:v>
                </c:pt>
                <c:pt idx="2731">
                  <c:v>0</c:v>
                </c:pt>
                <c:pt idx="2732">
                  <c:v>16</c:v>
                </c:pt>
                <c:pt idx="2733">
                  <c:v>0</c:v>
                </c:pt>
                <c:pt idx="2734">
                  <c:v>0</c:v>
                </c:pt>
                <c:pt idx="2735">
                  <c:v>0</c:v>
                </c:pt>
                <c:pt idx="2736">
                  <c:v>2</c:v>
                </c:pt>
                <c:pt idx="2737">
                  <c:v>0</c:v>
                </c:pt>
                <c:pt idx="2738">
                  <c:v>0</c:v>
                </c:pt>
                <c:pt idx="2739">
                  <c:v>0</c:v>
                </c:pt>
                <c:pt idx="2740">
                  <c:v>0</c:v>
                </c:pt>
                <c:pt idx="2741">
                  <c:v>1</c:v>
                </c:pt>
                <c:pt idx="2742">
                  <c:v>0</c:v>
                </c:pt>
                <c:pt idx="2743">
                  <c:v>14</c:v>
                </c:pt>
                <c:pt idx="2744">
                  <c:v>0</c:v>
                </c:pt>
                <c:pt idx="2745">
                  <c:v>0</c:v>
                </c:pt>
                <c:pt idx="2746">
                  <c:v>0</c:v>
                </c:pt>
                <c:pt idx="2747">
                  <c:v>0</c:v>
                </c:pt>
                <c:pt idx="2748">
                  <c:v>0</c:v>
                </c:pt>
                <c:pt idx="2749">
                  <c:v>0</c:v>
                </c:pt>
                <c:pt idx="2750">
                  <c:v>2</c:v>
                </c:pt>
                <c:pt idx="2751">
                  <c:v>15</c:v>
                </c:pt>
                <c:pt idx="2752">
                  <c:v>0</c:v>
                </c:pt>
                <c:pt idx="2753">
                  <c:v>4</c:v>
                </c:pt>
                <c:pt idx="2754">
                  <c:v>20</c:v>
                </c:pt>
                <c:pt idx="2755">
                  <c:v>0</c:v>
                </c:pt>
                <c:pt idx="2756">
                  <c:v>0</c:v>
                </c:pt>
                <c:pt idx="2757">
                  <c:v>0</c:v>
                </c:pt>
                <c:pt idx="2758">
                  <c:v>12</c:v>
                </c:pt>
                <c:pt idx="2759">
                  <c:v>3</c:v>
                </c:pt>
                <c:pt idx="2760">
                  <c:v>0</c:v>
                </c:pt>
                <c:pt idx="2761">
                  <c:v>0</c:v>
                </c:pt>
                <c:pt idx="2762">
                  <c:v>0</c:v>
                </c:pt>
                <c:pt idx="2763">
                  <c:v>0</c:v>
                </c:pt>
                <c:pt idx="2764">
                  <c:v>0</c:v>
                </c:pt>
                <c:pt idx="2765">
                  <c:v>0</c:v>
                </c:pt>
                <c:pt idx="2766">
                  <c:v>2</c:v>
                </c:pt>
                <c:pt idx="2767">
                  <c:v>0</c:v>
                </c:pt>
                <c:pt idx="2768">
                  <c:v>0</c:v>
                </c:pt>
                <c:pt idx="2769">
                  <c:v>0</c:v>
                </c:pt>
                <c:pt idx="2770">
                  <c:v>0</c:v>
                </c:pt>
                <c:pt idx="2771">
                  <c:v>18</c:v>
                </c:pt>
                <c:pt idx="2772">
                  <c:v>0</c:v>
                </c:pt>
                <c:pt idx="2773">
                  <c:v>27</c:v>
                </c:pt>
                <c:pt idx="2774">
                  <c:v>0</c:v>
                </c:pt>
                <c:pt idx="2775">
                  <c:v>0</c:v>
                </c:pt>
                <c:pt idx="2776">
                  <c:v>0</c:v>
                </c:pt>
                <c:pt idx="2777">
                  <c:v>0</c:v>
                </c:pt>
                <c:pt idx="2778">
                  <c:v>0</c:v>
                </c:pt>
                <c:pt idx="2779">
                  <c:v>14</c:v>
                </c:pt>
                <c:pt idx="2780">
                  <c:v>0</c:v>
                </c:pt>
                <c:pt idx="2781">
                  <c:v>11</c:v>
                </c:pt>
                <c:pt idx="2782">
                  <c:v>6</c:v>
                </c:pt>
                <c:pt idx="2783">
                  <c:v>4</c:v>
                </c:pt>
                <c:pt idx="2784">
                  <c:v>10</c:v>
                </c:pt>
                <c:pt idx="2785">
                  <c:v>0</c:v>
                </c:pt>
                <c:pt idx="2786">
                  <c:v>0</c:v>
                </c:pt>
                <c:pt idx="2787">
                  <c:v>0</c:v>
                </c:pt>
                <c:pt idx="2788">
                  <c:v>5</c:v>
                </c:pt>
                <c:pt idx="2789">
                  <c:v>0</c:v>
                </c:pt>
                <c:pt idx="2790">
                  <c:v>1</c:v>
                </c:pt>
                <c:pt idx="2791">
                  <c:v>0</c:v>
                </c:pt>
                <c:pt idx="2792">
                  <c:v>3</c:v>
                </c:pt>
                <c:pt idx="2793">
                  <c:v>0</c:v>
                </c:pt>
                <c:pt idx="2794">
                  <c:v>0</c:v>
                </c:pt>
                <c:pt idx="2795">
                  <c:v>0</c:v>
                </c:pt>
                <c:pt idx="2796">
                  <c:v>30</c:v>
                </c:pt>
                <c:pt idx="2797">
                  <c:v>0</c:v>
                </c:pt>
                <c:pt idx="2798">
                  <c:v>6</c:v>
                </c:pt>
                <c:pt idx="2799">
                  <c:v>0</c:v>
                </c:pt>
                <c:pt idx="2800">
                  <c:v>0</c:v>
                </c:pt>
                <c:pt idx="2801">
                  <c:v>28</c:v>
                </c:pt>
                <c:pt idx="2802">
                  <c:v>8</c:v>
                </c:pt>
                <c:pt idx="2803">
                  <c:v>0</c:v>
                </c:pt>
                <c:pt idx="2804">
                  <c:v>20</c:v>
                </c:pt>
                <c:pt idx="2805">
                  <c:v>8</c:v>
                </c:pt>
                <c:pt idx="2806">
                  <c:v>0</c:v>
                </c:pt>
                <c:pt idx="2807">
                  <c:v>4</c:v>
                </c:pt>
                <c:pt idx="2808">
                  <c:v>0</c:v>
                </c:pt>
                <c:pt idx="2809">
                  <c:v>4</c:v>
                </c:pt>
                <c:pt idx="2810">
                  <c:v>0</c:v>
                </c:pt>
                <c:pt idx="2811">
                  <c:v>0</c:v>
                </c:pt>
                <c:pt idx="2812">
                  <c:v>0</c:v>
                </c:pt>
                <c:pt idx="2813">
                  <c:v>0</c:v>
                </c:pt>
                <c:pt idx="2814">
                  <c:v>0</c:v>
                </c:pt>
                <c:pt idx="2815">
                  <c:v>0</c:v>
                </c:pt>
                <c:pt idx="2816">
                  <c:v>0</c:v>
                </c:pt>
                <c:pt idx="2817">
                  <c:v>0</c:v>
                </c:pt>
                <c:pt idx="2818">
                  <c:v>5</c:v>
                </c:pt>
                <c:pt idx="2819">
                  <c:v>0</c:v>
                </c:pt>
                <c:pt idx="2820">
                  <c:v>0</c:v>
                </c:pt>
                <c:pt idx="2821">
                  <c:v>0</c:v>
                </c:pt>
                <c:pt idx="2822">
                  <c:v>11</c:v>
                </c:pt>
                <c:pt idx="2823">
                  <c:v>0</c:v>
                </c:pt>
                <c:pt idx="2824">
                  <c:v>0</c:v>
                </c:pt>
                <c:pt idx="2825">
                  <c:v>0</c:v>
                </c:pt>
                <c:pt idx="2826">
                  <c:v>0</c:v>
                </c:pt>
                <c:pt idx="2827">
                  <c:v>18</c:v>
                </c:pt>
                <c:pt idx="2828">
                  <c:v>0</c:v>
                </c:pt>
                <c:pt idx="2829">
                  <c:v>0</c:v>
                </c:pt>
                <c:pt idx="2830">
                  <c:v>10</c:v>
                </c:pt>
                <c:pt idx="2831">
                  <c:v>0</c:v>
                </c:pt>
                <c:pt idx="2832">
                  <c:v>28</c:v>
                </c:pt>
                <c:pt idx="2833">
                  <c:v>0</c:v>
                </c:pt>
                <c:pt idx="2834">
                  <c:v>0</c:v>
                </c:pt>
                <c:pt idx="2835">
                  <c:v>2</c:v>
                </c:pt>
                <c:pt idx="2836">
                  <c:v>0</c:v>
                </c:pt>
                <c:pt idx="2837">
                  <c:v>0</c:v>
                </c:pt>
                <c:pt idx="2838">
                  <c:v>0</c:v>
                </c:pt>
                <c:pt idx="2839">
                  <c:v>0</c:v>
                </c:pt>
                <c:pt idx="2840">
                  <c:v>1</c:v>
                </c:pt>
                <c:pt idx="2841">
                  <c:v>4</c:v>
                </c:pt>
                <c:pt idx="2842">
                  <c:v>0</c:v>
                </c:pt>
                <c:pt idx="2843">
                  <c:v>1</c:v>
                </c:pt>
                <c:pt idx="2844">
                  <c:v>0</c:v>
                </c:pt>
                <c:pt idx="2845">
                  <c:v>0</c:v>
                </c:pt>
                <c:pt idx="2846">
                  <c:v>0</c:v>
                </c:pt>
                <c:pt idx="2847">
                  <c:v>0</c:v>
                </c:pt>
                <c:pt idx="2848">
                  <c:v>0</c:v>
                </c:pt>
                <c:pt idx="2849">
                  <c:v>0</c:v>
                </c:pt>
                <c:pt idx="2850">
                  <c:v>0</c:v>
                </c:pt>
                <c:pt idx="2851">
                  <c:v>30</c:v>
                </c:pt>
                <c:pt idx="2852">
                  <c:v>0</c:v>
                </c:pt>
                <c:pt idx="2853">
                  <c:v>0</c:v>
                </c:pt>
                <c:pt idx="2854">
                  <c:v>50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9</c:v>
                </c:pt>
                <c:pt idx="2871">
                  <c:v>0</c:v>
                </c:pt>
                <c:pt idx="2872">
                  <c:v>0</c:v>
                </c:pt>
                <c:pt idx="2873">
                  <c:v>0</c:v>
                </c:pt>
                <c:pt idx="2874">
                  <c:v>12</c:v>
                </c:pt>
                <c:pt idx="2875">
                  <c:v>0</c:v>
                </c:pt>
                <c:pt idx="2876">
                  <c:v>0</c:v>
                </c:pt>
                <c:pt idx="2877">
                  <c:v>24</c:v>
                </c:pt>
                <c:pt idx="2878">
                  <c:v>10</c:v>
                </c:pt>
                <c:pt idx="2879">
                  <c:v>8</c:v>
                </c:pt>
                <c:pt idx="2880">
                  <c:v>0</c:v>
                </c:pt>
                <c:pt idx="2881">
                  <c:v>0</c:v>
                </c:pt>
                <c:pt idx="2882">
                  <c:v>2</c:v>
                </c:pt>
                <c:pt idx="2883">
                  <c:v>14</c:v>
                </c:pt>
                <c:pt idx="2884">
                  <c:v>0</c:v>
                </c:pt>
                <c:pt idx="2885">
                  <c:v>0</c:v>
                </c:pt>
                <c:pt idx="2886">
                  <c:v>0</c:v>
                </c:pt>
                <c:pt idx="2887">
                  <c:v>0</c:v>
                </c:pt>
                <c:pt idx="2888">
                  <c:v>62</c:v>
                </c:pt>
                <c:pt idx="2889">
                  <c:v>0</c:v>
                </c:pt>
                <c:pt idx="2890">
                  <c:v>0</c:v>
                </c:pt>
                <c:pt idx="2891">
                  <c:v>5</c:v>
                </c:pt>
                <c:pt idx="2892">
                  <c:v>20</c:v>
                </c:pt>
                <c:pt idx="2893">
                  <c:v>11</c:v>
                </c:pt>
                <c:pt idx="2894">
                  <c:v>1</c:v>
                </c:pt>
                <c:pt idx="2895">
                  <c:v>0</c:v>
                </c:pt>
                <c:pt idx="2896">
                  <c:v>0</c:v>
                </c:pt>
                <c:pt idx="2897">
                  <c:v>34</c:v>
                </c:pt>
                <c:pt idx="2898">
                  <c:v>0</c:v>
                </c:pt>
                <c:pt idx="2899">
                  <c:v>2</c:v>
                </c:pt>
                <c:pt idx="2900">
                  <c:v>0</c:v>
                </c:pt>
                <c:pt idx="2901">
                  <c:v>0</c:v>
                </c:pt>
                <c:pt idx="2902">
                  <c:v>0</c:v>
                </c:pt>
                <c:pt idx="2903">
                  <c:v>0</c:v>
                </c:pt>
                <c:pt idx="2904">
                  <c:v>2</c:v>
                </c:pt>
                <c:pt idx="2905">
                  <c:v>0</c:v>
                </c:pt>
                <c:pt idx="2906">
                  <c:v>0</c:v>
                </c:pt>
                <c:pt idx="2907">
                  <c:v>13</c:v>
                </c:pt>
                <c:pt idx="2908">
                  <c:v>0</c:v>
                </c:pt>
                <c:pt idx="2909">
                  <c:v>0</c:v>
                </c:pt>
                <c:pt idx="2910">
                  <c:v>0</c:v>
                </c:pt>
                <c:pt idx="2911">
                  <c:v>4</c:v>
                </c:pt>
                <c:pt idx="2912">
                  <c:v>0</c:v>
                </c:pt>
                <c:pt idx="2913">
                  <c:v>0</c:v>
                </c:pt>
                <c:pt idx="2914">
                  <c:v>31</c:v>
                </c:pt>
                <c:pt idx="2915">
                  <c:v>16</c:v>
                </c:pt>
                <c:pt idx="2916">
                  <c:v>0</c:v>
                </c:pt>
                <c:pt idx="2917">
                  <c:v>0</c:v>
                </c:pt>
                <c:pt idx="2918">
                  <c:v>0</c:v>
                </c:pt>
                <c:pt idx="2919">
                  <c:v>0</c:v>
                </c:pt>
                <c:pt idx="2920">
                  <c:v>0</c:v>
                </c:pt>
                <c:pt idx="2921">
                  <c:v>0</c:v>
                </c:pt>
                <c:pt idx="2922">
                  <c:v>12</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11</c:v>
                </c:pt>
                <c:pt idx="2936">
                  <c:v>0</c:v>
                </c:pt>
                <c:pt idx="2937">
                  <c:v>0</c:v>
                </c:pt>
                <c:pt idx="2938">
                  <c:v>2</c:v>
                </c:pt>
                <c:pt idx="2939">
                  <c:v>0</c:v>
                </c:pt>
                <c:pt idx="2940">
                  <c:v>0</c:v>
                </c:pt>
                <c:pt idx="2941">
                  <c:v>0</c:v>
                </c:pt>
                <c:pt idx="2942">
                  <c:v>0</c:v>
                </c:pt>
                <c:pt idx="2943">
                  <c:v>0</c:v>
                </c:pt>
                <c:pt idx="2944">
                  <c:v>0</c:v>
                </c:pt>
                <c:pt idx="2945">
                  <c:v>3</c:v>
                </c:pt>
                <c:pt idx="2946">
                  <c:v>9</c:v>
                </c:pt>
                <c:pt idx="2947">
                  <c:v>0</c:v>
                </c:pt>
                <c:pt idx="2948">
                  <c:v>8</c:v>
                </c:pt>
                <c:pt idx="2949">
                  <c:v>0</c:v>
                </c:pt>
                <c:pt idx="2950">
                  <c:v>0</c:v>
                </c:pt>
                <c:pt idx="2951">
                  <c:v>0</c:v>
                </c:pt>
                <c:pt idx="2952">
                  <c:v>0</c:v>
                </c:pt>
                <c:pt idx="2953">
                  <c:v>12</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11</c:v>
                </c:pt>
                <c:pt idx="2970">
                  <c:v>2</c:v>
                </c:pt>
                <c:pt idx="2971">
                  <c:v>0</c:v>
                </c:pt>
                <c:pt idx="2972">
                  <c:v>12</c:v>
                </c:pt>
                <c:pt idx="2973">
                  <c:v>0</c:v>
                </c:pt>
                <c:pt idx="2974">
                  <c:v>5</c:v>
                </c:pt>
                <c:pt idx="2975">
                  <c:v>0</c:v>
                </c:pt>
                <c:pt idx="2976">
                  <c:v>87</c:v>
                </c:pt>
                <c:pt idx="2977">
                  <c:v>0</c:v>
                </c:pt>
                <c:pt idx="2978">
                  <c:v>5</c:v>
                </c:pt>
                <c:pt idx="2979">
                  <c:v>0</c:v>
                </c:pt>
                <c:pt idx="2980">
                  <c:v>0</c:v>
                </c:pt>
                <c:pt idx="2981">
                  <c:v>0</c:v>
                </c:pt>
                <c:pt idx="2982">
                  <c:v>2</c:v>
                </c:pt>
                <c:pt idx="2983">
                  <c:v>10</c:v>
                </c:pt>
                <c:pt idx="2984">
                  <c:v>4</c:v>
                </c:pt>
                <c:pt idx="2985">
                  <c:v>1</c:v>
                </c:pt>
                <c:pt idx="2986">
                  <c:v>0</c:v>
                </c:pt>
                <c:pt idx="2987">
                  <c:v>0</c:v>
                </c:pt>
                <c:pt idx="2988">
                  <c:v>0</c:v>
                </c:pt>
                <c:pt idx="2989">
                  <c:v>4</c:v>
                </c:pt>
                <c:pt idx="2990">
                  <c:v>88</c:v>
                </c:pt>
                <c:pt idx="2991">
                  <c:v>0</c:v>
                </c:pt>
                <c:pt idx="2992">
                  <c:v>0</c:v>
                </c:pt>
                <c:pt idx="2993">
                  <c:v>0</c:v>
                </c:pt>
                <c:pt idx="2994">
                  <c:v>0</c:v>
                </c:pt>
                <c:pt idx="2995">
                  <c:v>0</c:v>
                </c:pt>
                <c:pt idx="2996">
                  <c:v>0</c:v>
                </c:pt>
                <c:pt idx="2997">
                  <c:v>0</c:v>
                </c:pt>
                <c:pt idx="2998">
                  <c:v>0</c:v>
                </c:pt>
                <c:pt idx="2999">
                  <c:v>0</c:v>
                </c:pt>
                <c:pt idx="3000">
                  <c:v>0</c:v>
                </c:pt>
              </c:numCache>
            </c:numRef>
          </c:xVal>
          <c:yVal>
            <c:numRef>
              <c:f>Hárok5!$B$3:$B$3003</c:f>
              <c:numCache>
                <c:formatCode>General</c:formatCode>
                <c:ptCount val="3001"/>
                <c:pt idx="0">
                  <c:v>0</c:v>
                </c:pt>
                <c:pt idx="1">
                  <c:v>0</c:v>
                </c:pt>
                <c:pt idx="2">
                  <c:v>0</c:v>
                </c:pt>
                <c:pt idx="3">
                  <c:v>10</c:v>
                </c:pt>
                <c:pt idx="4">
                  <c:v>0</c:v>
                </c:pt>
                <c:pt idx="5">
                  <c:v>0</c:v>
                </c:pt>
                <c:pt idx="6">
                  <c:v>0</c:v>
                </c:pt>
                <c:pt idx="7">
                  <c:v>0</c:v>
                </c:pt>
                <c:pt idx="8">
                  <c:v>0</c:v>
                </c:pt>
                <c:pt idx="9">
                  <c:v>1</c:v>
                </c:pt>
                <c:pt idx="10">
                  <c:v>0</c:v>
                </c:pt>
                <c:pt idx="11">
                  <c:v>0</c:v>
                </c:pt>
                <c:pt idx="12">
                  <c:v>0</c:v>
                </c:pt>
                <c:pt idx="13">
                  <c:v>21</c:v>
                </c:pt>
                <c:pt idx="14">
                  <c:v>0</c:v>
                </c:pt>
                <c:pt idx="15">
                  <c:v>2</c:v>
                </c:pt>
                <c:pt idx="16">
                  <c:v>0</c:v>
                </c:pt>
                <c:pt idx="17">
                  <c:v>0</c:v>
                </c:pt>
                <c:pt idx="18">
                  <c:v>2</c:v>
                </c:pt>
                <c:pt idx="19">
                  <c:v>0</c:v>
                </c:pt>
                <c:pt idx="20">
                  <c:v>0</c:v>
                </c:pt>
                <c:pt idx="21">
                  <c:v>0</c:v>
                </c:pt>
                <c:pt idx="22">
                  <c:v>0</c:v>
                </c:pt>
                <c:pt idx="23">
                  <c:v>0</c:v>
                </c:pt>
                <c:pt idx="24">
                  <c:v>0</c:v>
                </c:pt>
                <c:pt idx="25">
                  <c:v>0</c:v>
                </c:pt>
                <c:pt idx="26">
                  <c:v>0</c:v>
                </c:pt>
                <c:pt idx="27">
                  <c:v>0</c:v>
                </c:pt>
                <c:pt idx="28">
                  <c:v>0</c:v>
                </c:pt>
                <c:pt idx="29">
                  <c:v>0</c:v>
                </c:pt>
                <c:pt idx="30">
                  <c:v>0</c:v>
                </c:pt>
                <c:pt idx="31">
                  <c:v>0</c:v>
                </c:pt>
                <c:pt idx="32">
                  <c:v>1</c:v>
                </c:pt>
                <c:pt idx="33">
                  <c:v>0</c:v>
                </c:pt>
                <c:pt idx="34">
                  <c:v>0</c:v>
                </c:pt>
                <c:pt idx="35">
                  <c:v>0</c:v>
                </c:pt>
                <c:pt idx="36">
                  <c:v>0</c:v>
                </c:pt>
                <c:pt idx="37">
                  <c:v>0</c:v>
                </c:pt>
                <c:pt idx="38">
                  <c:v>0</c:v>
                </c:pt>
                <c:pt idx="39">
                  <c:v>0</c:v>
                </c:pt>
                <c:pt idx="40">
                  <c:v>0</c:v>
                </c:pt>
                <c:pt idx="41">
                  <c:v>0</c:v>
                </c:pt>
                <c:pt idx="42">
                  <c:v>3</c:v>
                </c:pt>
                <c:pt idx="43">
                  <c:v>0</c:v>
                </c:pt>
                <c:pt idx="44">
                  <c:v>0</c:v>
                </c:pt>
                <c:pt idx="45">
                  <c:v>0</c:v>
                </c:pt>
                <c:pt idx="46">
                  <c:v>0</c:v>
                </c:pt>
                <c:pt idx="47">
                  <c:v>0</c:v>
                </c:pt>
                <c:pt idx="48">
                  <c:v>0</c:v>
                </c:pt>
                <c:pt idx="49">
                  <c:v>28</c:v>
                </c:pt>
                <c:pt idx="50">
                  <c:v>0</c:v>
                </c:pt>
                <c:pt idx="51">
                  <c:v>1</c:v>
                </c:pt>
                <c:pt idx="52">
                  <c:v>0</c:v>
                </c:pt>
                <c:pt idx="53">
                  <c:v>0</c:v>
                </c:pt>
                <c:pt idx="54">
                  <c:v>6</c:v>
                </c:pt>
                <c:pt idx="55">
                  <c:v>3</c:v>
                </c:pt>
                <c:pt idx="56">
                  <c:v>0</c:v>
                </c:pt>
                <c:pt idx="57">
                  <c:v>0</c:v>
                </c:pt>
                <c:pt idx="58">
                  <c:v>0</c:v>
                </c:pt>
                <c:pt idx="59">
                  <c:v>0</c:v>
                </c:pt>
                <c:pt idx="60">
                  <c:v>0</c:v>
                </c:pt>
                <c:pt idx="61">
                  <c:v>0</c:v>
                </c:pt>
                <c:pt idx="62">
                  <c:v>0</c:v>
                </c:pt>
                <c:pt idx="63">
                  <c:v>0</c:v>
                </c:pt>
                <c:pt idx="64">
                  <c:v>0</c:v>
                </c:pt>
                <c:pt idx="65">
                  <c:v>1</c:v>
                </c:pt>
                <c:pt idx="66">
                  <c:v>0</c:v>
                </c:pt>
                <c:pt idx="67">
                  <c:v>26</c:v>
                </c:pt>
                <c:pt idx="68">
                  <c:v>11</c:v>
                </c:pt>
                <c:pt idx="69">
                  <c:v>0</c:v>
                </c:pt>
                <c:pt idx="70">
                  <c:v>0</c:v>
                </c:pt>
                <c:pt idx="71">
                  <c:v>3</c:v>
                </c:pt>
                <c:pt idx="72">
                  <c:v>0</c:v>
                </c:pt>
                <c:pt idx="73">
                  <c:v>0</c:v>
                </c:pt>
                <c:pt idx="74">
                  <c:v>0</c:v>
                </c:pt>
                <c:pt idx="75">
                  <c:v>1</c:v>
                </c:pt>
                <c:pt idx="76">
                  <c:v>0</c:v>
                </c:pt>
                <c:pt idx="77">
                  <c:v>0</c:v>
                </c:pt>
                <c:pt idx="78">
                  <c:v>0</c:v>
                </c:pt>
                <c:pt idx="79">
                  <c:v>0</c:v>
                </c:pt>
                <c:pt idx="80">
                  <c:v>0</c:v>
                </c:pt>
                <c:pt idx="81">
                  <c:v>0</c:v>
                </c:pt>
                <c:pt idx="82">
                  <c:v>0</c:v>
                </c:pt>
                <c:pt idx="83">
                  <c:v>0</c:v>
                </c:pt>
                <c:pt idx="84">
                  <c:v>0</c:v>
                </c:pt>
                <c:pt idx="85">
                  <c:v>0</c:v>
                </c:pt>
                <c:pt idx="86">
                  <c:v>6</c:v>
                </c:pt>
                <c:pt idx="87">
                  <c:v>0</c:v>
                </c:pt>
                <c:pt idx="88">
                  <c:v>2</c:v>
                </c:pt>
                <c:pt idx="89">
                  <c:v>10</c:v>
                </c:pt>
                <c:pt idx="90">
                  <c:v>0</c:v>
                </c:pt>
                <c:pt idx="91">
                  <c:v>0</c:v>
                </c:pt>
                <c:pt idx="92">
                  <c:v>0</c:v>
                </c:pt>
                <c:pt idx="93">
                  <c:v>19</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12</c:v>
                </c:pt>
                <c:pt idx="108">
                  <c:v>0</c:v>
                </c:pt>
                <c:pt idx="109">
                  <c:v>0</c:v>
                </c:pt>
                <c:pt idx="110">
                  <c:v>0</c:v>
                </c:pt>
                <c:pt idx="111">
                  <c:v>0</c:v>
                </c:pt>
                <c:pt idx="112">
                  <c:v>7</c:v>
                </c:pt>
                <c:pt idx="113">
                  <c:v>6</c:v>
                </c:pt>
                <c:pt idx="114">
                  <c:v>0</c:v>
                </c:pt>
                <c:pt idx="115">
                  <c:v>0</c:v>
                </c:pt>
                <c:pt idx="116">
                  <c:v>8</c:v>
                </c:pt>
                <c:pt idx="117">
                  <c:v>0</c:v>
                </c:pt>
                <c:pt idx="118">
                  <c:v>4</c:v>
                </c:pt>
                <c:pt idx="119">
                  <c:v>0</c:v>
                </c:pt>
                <c:pt idx="120">
                  <c:v>0</c:v>
                </c:pt>
                <c:pt idx="121">
                  <c:v>0</c:v>
                </c:pt>
                <c:pt idx="122">
                  <c:v>0</c:v>
                </c:pt>
                <c:pt idx="123">
                  <c:v>0</c:v>
                </c:pt>
                <c:pt idx="124">
                  <c:v>0</c:v>
                </c:pt>
                <c:pt idx="125">
                  <c:v>9</c:v>
                </c:pt>
                <c:pt idx="126">
                  <c:v>0</c:v>
                </c:pt>
                <c:pt idx="127">
                  <c:v>0</c:v>
                </c:pt>
                <c:pt idx="128">
                  <c:v>0</c:v>
                </c:pt>
                <c:pt idx="129">
                  <c:v>0</c:v>
                </c:pt>
                <c:pt idx="130">
                  <c:v>0</c:v>
                </c:pt>
                <c:pt idx="131">
                  <c:v>0</c:v>
                </c:pt>
                <c:pt idx="132">
                  <c:v>0</c:v>
                </c:pt>
                <c:pt idx="133">
                  <c:v>4</c:v>
                </c:pt>
                <c:pt idx="134">
                  <c:v>2</c:v>
                </c:pt>
                <c:pt idx="135">
                  <c:v>0</c:v>
                </c:pt>
                <c:pt idx="136">
                  <c:v>0</c:v>
                </c:pt>
                <c:pt idx="137">
                  <c:v>0</c:v>
                </c:pt>
                <c:pt idx="138">
                  <c:v>0</c:v>
                </c:pt>
                <c:pt idx="139">
                  <c:v>0</c:v>
                </c:pt>
                <c:pt idx="140">
                  <c:v>0</c:v>
                </c:pt>
                <c:pt idx="141">
                  <c:v>0</c:v>
                </c:pt>
                <c:pt idx="142">
                  <c:v>1</c:v>
                </c:pt>
                <c:pt idx="143">
                  <c:v>0</c:v>
                </c:pt>
                <c:pt idx="144">
                  <c:v>3</c:v>
                </c:pt>
                <c:pt idx="145">
                  <c:v>0</c:v>
                </c:pt>
                <c:pt idx="146">
                  <c:v>0</c:v>
                </c:pt>
                <c:pt idx="147">
                  <c:v>0</c:v>
                </c:pt>
                <c:pt idx="148">
                  <c:v>0</c:v>
                </c:pt>
                <c:pt idx="149">
                  <c:v>1</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2</c:v>
                </c:pt>
                <c:pt idx="171">
                  <c:v>0</c:v>
                </c:pt>
                <c:pt idx="172">
                  <c:v>5</c:v>
                </c:pt>
                <c:pt idx="173">
                  <c:v>0</c:v>
                </c:pt>
                <c:pt idx="174">
                  <c:v>4</c:v>
                </c:pt>
                <c:pt idx="175">
                  <c:v>0</c:v>
                </c:pt>
                <c:pt idx="176">
                  <c:v>0</c:v>
                </c:pt>
                <c:pt idx="177">
                  <c:v>0</c:v>
                </c:pt>
                <c:pt idx="178">
                  <c:v>6</c:v>
                </c:pt>
                <c:pt idx="179">
                  <c:v>0</c:v>
                </c:pt>
                <c:pt idx="180">
                  <c:v>0</c:v>
                </c:pt>
                <c:pt idx="181">
                  <c:v>0</c:v>
                </c:pt>
                <c:pt idx="182">
                  <c:v>0</c:v>
                </c:pt>
                <c:pt idx="183">
                  <c:v>0</c:v>
                </c:pt>
                <c:pt idx="184">
                  <c:v>0</c:v>
                </c:pt>
                <c:pt idx="185">
                  <c:v>1</c:v>
                </c:pt>
                <c:pt idx="186">
                  <c:v>0</c:v>
                </c:pt>
                <c:pt idx="187">
                  <c:v>0</c:v>
                </c:pt>
                <c:pt idx="188">
                  <c:v>0</c:v>
                </c:pt>
                <c:pt idx="189">
                  <c:v>0</c:v>
                </c:pt>
                <c:pt idx="190">
                  <c:v>0</c:v>
                </c:pt>
                <c:pt idx="191">
                  <c:v>0</c:v>
                </c:pt>
                <c:pt idx="192">
                  <c:v>0</c:v>
                </c:pt>
                <c:pt idx="193">
                  <c:v>0</c:v>
                </c:pt>
                <c:pt idx="194">
                  <c:v>0</c:v>
                </c:pt>
                <c:pt idx="195">
                  <c:v>0</c:v>
                </c:pt>
                <c:pt idx="196">
                  <c:v>1</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2</c:v>
                </c:pt>
                <c:pt idx="233">
                  <c:v>1</c:v>
                </c:pt>
                <c:pt idx="234">
                  <c:v>10</c:v>
                </c:pt>
                <c:pt idx="235">
                  <c:v>4</c:v>
                </c:pt>
                <c:pt idx="236">
                  <c:v>0</c:v>
                </c:pt>
                <c:pt idx="237">
                  <c:v>0</c:v>
                </c:pt>
                <c:pt idx="238">
                  <c:v>0</c:v>
                </c:pt>
                <c:pt idx="239">
                  <c:v>0</c:v>
                </c:pt>
                <c:pt idx="240">
                  <c:v>0</c:v>
                </c:pt>
                <c:pt idx="241">
                  <c:v>0</c:v>
                </c:pt>
                <c:pt idx="242">
                  <c:v>0</c:v>
                </c:pt>
                <c:pt idx="243">
                  <c:v>0</c:v>
                </c:pt>
                <c:pt idx="244">
                  <c:v>0</c:v>
                </c:pt>
                <c:pt idx="245">
                  <c:v>0</c:v>
                </c:pt>
                <c:pt idx="246">
                  <c:v>4</c:v>
                </c:pt>
                <c:pt idx="247">
                  <c:v>0</c:v>
                </c:pt>
                <c:pt idx="248">
                  <c:v>16</c:v>
                </c:pt>
                <c:pt idx="249">
                  <c:v>0</c:v>
                </c:pt>
                <c:pt idx="250">
                  <c:v>2</c:v>
                </c:pt>
                <c:pt idx="251">
                  <c:v>0</c:v>
                </c:pt>
                <c:pt idx="252">
                  <c:v>0</c:v>
                </c:pt>
                <c:pt idx="253">
                  <c:v>0</c:v>
                </c:pt>
                <c:pt idx="254">
                  <c:v>0</c:v>
                </c:pt>
                <c:pt idx="255">
                  <c:v>2</c:v>
                </c:pt>
                <c:pt idx="256">
                  <c:v>4</c:v>
                </c:pt>
                <c:pt idx="257">
                  <c:v>0</c:v>
                </c:pt>
                <c:pt idx="258">
                  <c:v>18</c:v>
                </c:pt>
                <c:pt idx="259">
                  <c:v>0</c:v>
                </c:pt>
                <c:pt idx="260">
                  <c:v>0</c:v>
                </c:pt>
                <c:pt idx="261">
                  <c:v>0</c:v>
                </c:pt>
                <c:pt idx="262">
                  <c:v>0</c:v>
                </c:pt>
                <c:pt idx="263">
                  <c:v>0</c:v>
                </c:pt>
                <c:pt idx="264">
                  <c:v>0</c:v>
                </c:pt>
                <c:pt idx="265">
                  <c:v>0</c:v>
                </c:pt>
                <c:pt idx="266">
                  <c:v>9</c:v>
                </c:pt>
                <c:pt idx="267">
                  <c:v>0</c:v>
                </c:pt>
                <c:pt idx="268">
                  <c:v>0</c:v>
                </c:pt>
                <c:pt idx="269">
                  <c:v>0</c:v>
                </c:pt>
                <c:pt idx="270">
                  <c:v>0</c:v>
                </c:pt>
                <c:pt idx="271">
                  <c:v>0</c:v>
                </c:pt>
                <c:pt idx="272">
                  <c:v>0</c:v>
                </c:pt>
                <c:pt idx="273">
                  <c:v>0</c:v>
                </c:pt>
                <c:pt idx="274">
                  <c:v>0</c:v>
                </c:pt>
                <c:pt idx="275">
                  <c:v>10</c:v>
                </c:pt>
                <c:pt idx="276">
                  <c:v>0</c:v>
                </c:pt>
                <c:pt idx="277">
                  <c:v>0</c:v>
                </c:pt>
                <c:pt idx="278">
                  <c:v>0</c:v>
                </c:pt>
                <c:pt idx="279">
                  <c:v>0</c:v>
                </c:pt>
                <c:pt idx="280">
                  <c:v>0</c:v>
                </c:pt>
                <c:pt idx="281">
                  <c:v>0</c:v>
                </c:pt>
                <c:pt idx="282">
                  <c:v>0</c:v>
                </c:pt>
                <c:pt idx="283">
                  <c:v>1</c:v>
                </c:pt>
                <c:pt idx="284">
                  <c:v>0</c:v>
                </c:pt>
                <c:pt idx="285">
                  <c:v>4</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2</c:v>
                </c:pt>
                <c:pt idx="312">
                  <c:v>0</c:v>
                </c:pt>
                <c:pt idx="313">
                  <c:v>0</c:v>
                </c:pt>
                <c:pt idx="314">
                  <c:v>0</c:v>
                </c:pt>
                <c:pt idx="315">
                  <c:v>0</c:v>
                </c:pt>
                <c:pt idx="316">
                  <c:v>1</c:v>
                </c:pt>
                <c:pt idx="317">
                  <c:v>0</c:v>
                </c:pt>
                <c:pt idx="318">
                  <c:v>0</c:v>
                </c:pt>
                <c:pt idx="319">
                  <c:v>0</c:v>
                </c:pt>
                <c:pt idx="320">
                  <c:v>21</c:v>
                </c:pt>
                <c:pt idx="321">
                  <c:v>0</c:v>
                </c:pt>
                <c:pt idx="322">
                  <c:v>0</c:v>
                </c:pt>
                <c:pt idx="323">
                  <c:v>0</c:v>
                </c:pt>
                <c:pt idx="324">
                  <c:v>0</c:v>
                </c:pt>
                <c:pt idx="325">
                  <c:v>0</c:v>
                </c:pt>
                <c:pt idx="326">
                  <c:v>15</c:v>
                </c:pt>
                <c:pt idx="327">
                  <c:v>0</c:v>
                </c:pt>
                <c:pt idx="328">
                  <c:v>0</c:v>
                </c:pt>
                <c:pt idx="329">
                  <c:v>0</c:v>
                </c:pt>
                <c:pt idx="330">
                  <c:v>0</c:v>
                </c:pt>
                <c:pt idx="331">
                  <c:v>0</c:v>
                </c:pt>
                <c:pt idx="332">
                  <c:v>0</c:v>
                </c:pt>
                <c:pt idx="333">
                  <c:v>0</c:v>
                </c:pt>
                <c:pt idx="334">
                  <c:v>0</c:v>
                </c:pt>
                <c:pt idx="335">
                  <c:v>0</c:v>
                </c:pt>
                <c:pt idx="336">
                  <c:v>6</c:v>
                </c:pt>
                <c:pt idx="337">
                  <c:v>0</c:v>
                </c:pt>
                <c:pt idx="338">
                  <c:v>3</c:v>
                </c:pt>
                <c:pt idx="339">
                  <c:v>0</c:v>
                </c:pt>
                <c:pt idx="340">
                  <c:v>3</c:v>
                </c:pt>
                <c:pt idx="341">
                  <c:v>2</c:v>
                </c:pt>
                <c:pt idx="342">
                  <c:v>0</c:v>
                </c:pt>
                <c:pt idx="343">
                  <c:v>0</c:v>
                </c:pt>
                <c:pt idx="344">
                  <c:v>2</c:v>
                </c:pt>
                <c:pt idx="345">
                  <c:v>0</c:v>
                </c:pt>
                <c:pt idx="346">
                  <c:v>9</c:v>
                </c:pt>
                <c:pt idx="347">
                  <c:v>0</c:v>
                </c:pt>
                <c:pt idx="348">
                  <c:v>0</c:v>
                </c:pt>
                <c:pt idx="349">
                  <c:v>0</c:v>
                </c:pt>
                <c:pt idx="350">
                  <c:v>0</c:v>
                </c:pt>
                <c:pt idx="351">
                  <c:v>0</c:v>
                </c:pt>
                <c:pt idx="352">
                  <c:v>0</c:v>
                </c:pt>
                <c:pt idx="353">
                  <c:v>0</c:v>
                </c:pt>
                <c:pt idx="354">
                  <c:v>0</c:v>
                </c:pt>
                <c:pt idx="355">
                  <c:v>0</c:v>
                </c:pt>
                <c:pt idx="356">
                  <c:v>0</c:v>
                </c:pt>
                <c:pt idx="357">
                  <c:v>0</c:v>
                </c:pt>
                <c:pt idx="358">
                  <c:v>7</c:v>
                </c:pt>
                <c:pt idx="359">
                  <c:v>0</c:v>
                </c:pt>
                <c:pt idx="360">
                  <c:v>0</c:v>
                </c:pt>
                <c:pt idx="361">
                  <c:v>0</c:v>
                </c:pt>
                <c:pt idx="362">
                  <c:v>2</c:v>
                </c:pt>
                <c:pt idx="363">
                  <c:v>1</c:v>
                </c:pt>
                <c:pt idx="364">
                  <c:v>6</c:v>
                </c:pt>
                <c:pt idx="365">
                  <c:v>0</c:v>
                </c:pt>
                <c:pt idx="366">
                  <c:v>0</c:v>
                </c:pt>
                <c:pt idx="367">
                  <c:v>0</c:v>
                </c:pt>
                <c:pt idx="368">
                  <c:v>0</c:v>
                </c:pt>
                <c:pt idx="369">
                  <c:v>0</c:v>
                </c:pt>
                <c:pt idx="370">
                  <c:v>0</c:v>
                </c:pt>
                <c:pt idx="371">
                  <c:v>0</c:v>
                </c:pt>
                <c:pt idx="372">
                  <c:v>0</c:v>
                </c:pt>
                <c:pt idx="373">
                  <c:v>0</c:v>
                </c:pt>
                <c:pt idx="374">
                  <c:v>0</c:v>
                </c:pt>
                <c:pt idx="375">
                  <c:v>1</c:v>
                </c:pt>
                <c:pt idx="376">
                  <c:v>0</c:v>
                </c:pt>
                <c:pt idx="377">
                  <c:v>0</c:v>
                </c:pt>
                <c:pt idx="378">
                  <c:v>0</c:v>
                </c:pt>
                <c:pt idx="379">
                  <c:v>0</c:v>
                </c:pt>
                <c:pt idx="380">
                  <c:v>0</c:v>
                </c:pt>
                <c:pt idx="381">
                  <c:v>0</c:v>
                </c:pt>
                <c:pt idx="382">
                  <c:v>0</c:v>
                </c:pt>
                <c:pt idx="383">
                  <c:v>0</c:v>
                </c:pt>
                <c:pt idx="384">
                  <c:v>0</c:v>
                </c:pt>
                <c:pt idx="385">
                  <c:v>0</c:v>
                </c:pt>
                <c:pt idx="386">
                  <c:v>1</c:v>
                </c:pt>
                <c:pt idx="387">
                  <c:v>0</c:v>
                </c:pt>
                <c:pt idx="388">
                  <c:v>0</c:v>
                </c:pt>
                <c:pt idx="389">
                  <c:v>0</c:v>
                </c:pt>
                <c:pt idx="390">
                  <c:v>0</c:v>
                </c:pt>
                <c:pt idx="391">
                  <c:v>0</c:v>
                </c:pt>
                <c:pt idx="392">
                  <c:v>1</c:v>
                </c:pt>
                <c:pt idx="393">
                  <c:v>3</c:v>
                </c:pt>
                <c:pt idx="394">
                  <c:v>0</c:v>
                </c:pt>
                <c:pt idx="395">
                  <c:v>0</c:v>
                </c:pt>
                <c:pt idx="396">
                  <c:v>0</c:v>
                </c:pt>
                <c:pt idx="397">
                  <c:v>0</c:v>
                </c:pt>
                <c:pt idx="398">
                  <c:v>0</c:v>
                </c:pt>
                <c:pt idx="399">
                  <c:v>0</c:v>
                </c:pt>
                <c:pt idx="400">
                  <c:v>0</c:v>
                </c:pt>
                <c:pt idx="401">
                  <c:v>0</c:v>
                </c:pt>
                <c:pt idx="402">
                  <c:v>0</c:v>
                </c:pt>
                <c:pt idx="403">
                  <c:v>12</c:v>
                </c:pt>
                <c:pt idx="404">
                  <c:v>0</c:v>
                </c:pt>
                <c:pt idx="405">
                  <c:v>0</c:v>
                </c:pt>
                <c:pt idx="406">
                  <c:v>1</c:v>
                </c:pt>
                <c:pt idx="407">
                  <c:v>1</c:v>
                </c:pt>
                <c:pt idx="408">
                  <c:v>0</c:v>
                </c:pt>
                <c:pt idx="409">
                  <c:v>3</c:v>
                </c:pt>
                <c:pt idx="410">
                  <c:v>16</c:v>
                </c:pt>
                <c:pt idx="411">
                  <c:v>1</c:v>
                </c:pt>
                <c:pt idx="412">
                  <c:v>0</c:v>
                </c:pt>
                <c:pt idx="413">
                  <c:v>0</c:v>
                </c:pt>
                <c:pt idx="414">
                  <c:v>0</c:v>
                </c:pt>
                <c:pt idx="415">
                  <c:v>6</c:v>
                </c:pt>
                <c:pt idx="416">
                  <c:v>0</c:v>
                </c:pt>
                <c:pt idx="417">
                  <c:v>0</c:v>
                </c:pt>
                <c:pt idx="418">
                  <c:v>0</c:v>
                </c:pt>
                <c:pt idx="419">
                  <c:v>0</c:v>
                </c:pt>
                <c:pt idx="420">
                  <c:v>28</c:v>
                </c:pt>
                <c:pt idx="421">
                  <c:v>1</c:v>
                </c:pt>
                <c:pt idx="422">
                  <c:v>0</c:v>
                </c:pt>
                <c:pt idx="423">
                  <c:v>3</c:v>
                </c:pt>
                <c:pt idx="424">
                  <c:v>15</c:v>
                </c:pt>
                <c:pt idx="425">
                  <c:v>0</c:v>
                </c:pt>
                <c:pt idx="426">
                  <c:v>0</c:v>
                </c:pt>
                <c:pt idx="427">
                  <c:v>0</c:v>
                </c:pt>
                <c:pt idx="428">
                  <c:v>2</c:v>
                </c:pt>
                <c:pt idx="429">
                  <c:v>0</c:v>
                </c:pt>
                <c:pt idx="430">
                  <c:v>3</c:v>
                </c:pt>
                <c:pt idx="431">
                  <c:v>2</c:v>
                </c:pt>
                <c:pt idx="432">
                  <c:v>10</c:v>
                </c:pt>
                <c:pt idx="433">
                  <c:v>0</c:v>
                </c:pt>
                <c:pt idx="434">
                  <c:v>0</c:v>
                </c:pt>
                <c:pt idx="435">
                  <c:v>0</c:v>
                </c:pt>
                <c:pt idx="436">
                  <c:v>0</c:v>
                </c:pt>
                <c:pt idx="437">
                  <c:v>0</c:v>
                </c:pt>
                <c:pt idx="438">
                  <c:v>3</c:v>
                </c:pt>
                <c:pt idx="439">
                  <c:v>0</c:v>
                </c:pt>
                <c:pt idx="440">
                  <c:v>0</c:v>
                </c:pt>
                <c:pt idx="441">
                  <c:v>1</c:v>
                </c:pt>
                <c:pt idx="442">
                  <c:v>0</c:v>
                </c:pt>
                <c:pt idx="443">
                  <c:v>0</c:v>
                </c:pt>
                <c:pt idx="444">
                  <c:v>0</c:v>
                </c:pt>
                <c:pt idx="445">
                  <c:v>4</c:v>
                </c:pt>
                <c:pt idx="446">
                  <c:v>1</c:v>
                </c:pt>
                <c:pt idx="447">
                  <c:v>0</c:v>
                </c:pt>
                <c:pt idx="448">
                  <c:v>3</c:v>
                </c:pt>
                <c:pt idx="449">
                  <c:v>0</c:v>
                </c:pt>
                <c:pt idx="450">
                  <c:v>0</c:v>
                </c:pt>
                <c:pt idx="451">
                  <c:v>1</c:v>
                </c:pt>
                <c:pt idx="452">
                  <c:v>0</c:v>
                </c:pt>
                <c:pt idx="453">
                  <c:v>0</c:v>
                </c:pt>
                <c:pt idx="454">
                  <c:v>0</c:v>
                </c:pt>
                <c:pt idx="455">
                  <c:v>0</c:v>
                </c:pt>
                <c:pt idx="456">
                  <c:v>0</c:v>
                </c:pt>
                <c:pt idx="457">
                  <c:v>0</c:v>
                </c:pt>
                <c:pt idx="458">
                  <c:v>1</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6</c:v>
                </c:pt>
                <c:pt idx="476">
                  <c:v>0</c:v>
                </c:pt>
                <c:pt idx="477">
                  <c:v>2</c:v>
                </c:pt>
                <c:pt idx="478">
                  <c:v>0</c:v>
                </c:pt>
                <c:pt idx="479">
                  <c:v>0</c:v>
                </c:pt>
                <c:pt idx="480">
                  <c:v>0</c:v>
                </c:pt>
                <c:pt idx="481">
                  <c:v>0</c:v>
                </c:pt>
                <c:pt idx="482">
                  <c:v>0</c:v>
                </c:pt>
                <c:pt idx="483">
                  <c:v>0</c:v>
                </c:pt>
                <c:pt idx="484">
                  <c:v>0</c:v>
                </c:pt>
                <c:pt idx="485">
                  <c:v>0</c:v>
                </c:pt>
                <c:pt idx="486">
                  <c:v>0</c:v>
                </c:pt>
                <c:pt idx="487">
                  <c:v>0</c:v>
                </c:pt>
                <c:pt idx="488">
                  <c:v>0</c:v>
                </c:pt>
                <c:pt idx="489">
                  <c:v>7</c:v>
                </c:pt>
                <c:pt idx="490">
                  <c:v>0</c:v>
                </c:pt>
                <c:pt idx="491">
                  <c:v>0</c:v>
                </c:pt>
                <c:pt idx="492">
                  <c:v>0</c:v>
                </c:pt>
                <c:pt idx="493">
                  <c:v>0</c:v>
                </c:pt>
                <c:pt idx="494">
                  <c:v>0</c:v>
                </c:pt>
                <c:pt idx="495">
                  <c:v>2</c:v>
                </c:pt>
                <c:pt idx="496">
                  <c:v>8</c:v>
                </c:pt>
                <c:pt idx="497">
                  <c:v>7</c:v>
                </c:pt>
                <c:pt idx="498">
                  <c:v>7</c:v>
                </c:pt>
                <c:pt idx="499">
                  <c:v>0</c:v>
                </c:pt>
                <c:pt idx="500">
                  <c:v>2</c:v>
                </c:pt>
                <c:pt idx="501">
                  <c:v>0</c:v>
                </c:pt>
                <c:pt idx="502">
                  <c:v>6</c:v>
                </c:pt>
                <c:pt idx="503">
                  <c:v>0</c:v>
                </c:pt>
                <c:pt idx="504">
                  <c:v>0</c:v>
                </c:pt>
                <c:pt idx="505">
                  <c:v>0</c:v>
                </c:pt>
                <c:pt idx="506">
                  <c:v>21</c:v>
                </c:pt>
                <c:pt idx="507">
                  <c:v>0</c:v>
                </c:pt>
                <c:pt idx="508">
                  <c:v>0</c:v>
                </c:pt>
                <c:pt idx="509">
                  <c:v>0</c:v>
                </c:pt>
                <c:pt idx="510">
                  <c:v>0</c:v>
                </c:pt>
                <c:pt idx="511">
                  <c:v>3</c:v>
                </c:pt>
                <c:pt idx="512">
                  <c:v>0</c:v>
                </c:pt>
                <c:pt idx="513">
                  <c:v>1</c:v>
                </c:pt>
                <c:pt idx="514">
                  <c:v>2</c:v>
                </c:pt>
                <c:pt idx="515">
                  <c:v>0</c:v>
                </c:pt>
                <c:pt idx="516">
                  <c:v>0</c:v>
                </c:pt>
                <c:pt idx="517">
                  <c:v>1</c:v>
                </c:pt>
                <c:pt idx="518">
                  <c:v>0</c:v>
                </c:pt>
                <c:pt idx="519">
                  <c:v>3</c:v>
                </c:pt>
                <c:pt idx="520">
                  <c:v>0</c:v>
                </c:pt>
                <c:pt idx="521">
                  <c:v>0</c:v>
                </c:pt>
                <c:pt idx="522">
                  <c:v>0</c:v>
                </c:pt>
                <c:pt idx="523">
                  <c:v>0</c:v>
                </c:pt>
                <c:pt idx="524">
                  <c:v>0</c:v>
                </c:pt>
                <c:pt idx="525">
                  <c:v>0</c:v>
                </c:pt>
                <c:pt idx="526">
                  <c:v>13</c:v>
                </c:pt>
                <c:pt idx="527">
                  <c:v>3</c:v>
                </c:pt>
                <c:pt idx="528">
                  <c:v>0</c:v>
                </c:pt>
                <c:pt idx="529">
                  <c:v>4</c:v>
                </c:pt>
                <c:pt idx="530">
                  <c:v>22</c:v>
                </c:pt>
                <c:pt idx="531">
                  <c:v>2</c:v>
                </c:pt>
                <c:pt idx="532">
                  <c:v>4</c:v>
                </c:pt>
                <c:pt idx="533">
                  <c:v>4</c:v>
                </c:pt>
                <c:pt idx="534">
                  <c:v>0</c:v>
                </c:pt>
                <c:pt idx="535">
                  <c:v>5</c:v>
                </c:pt>
                <c:pt idx="536">
                  <c:v>20</c:v>
                </c:pt>
                <c:pt idx="537">
                  <c:v>5</c:v>
                </c:pt>
                <c:pt idx="538">
                  <c:v>3</c:v>
                </c:pt>
                <c:pt idx="539">
                  <c:v>1</c:v>
                </c:pt>
                <c:pt idx="540">
                  <c:v>4</c:v>
                </c:pt>
                <c:pt idx="541">
                  <c:v>0</c:v>
                </c:pt>
                <c:pt idx="542">
                  <c:v>0</c:v>
                </c:pt>
                <c:pt idx="543">
                  <c:v>0</c:v>
                </c:pt>
                <c:pt idx="544">
                  <c:v>0</c:v>
                </c:pt>
                <c:pt idx="545">
                  <c:v>2</c:v>
                </c:pt>
                <c:pt idx="546">
                  <c:v>0</c:v>
                </c:pt>
                <c:pt idx="547">
                  <c:v>0</c:v>
                </c:pt>
                <c:pt idx="548">
                  <c:v>0</c:v>
                </c:pt>
                <c:pt idx="549">
                  <c:v>0</c:v>
                </c:pt>
                <c:pt idx="550">
                  <c:v>0</c:v>
                </c:pt>
                <c:pt idx="551">
                  <c:v>4</c:v>
                </c:pt>
                <c:pt idx="552">
                  <c:v>5</c:v>
                </c:pt>
                <c:pt idx="553">
                  <c:v>2</c:v>
                </c:pt>
                <c:pt idx="554">
                  <c:v>8</c:v>
                </c:pt>
                <c:pt idx="555">
                  <c:v>11</c:v>
                </c:pt>
                <c:pt idx="556">
                  <c:v>5</c:v>
                </c:pt>
                <c:pt idx="557">
                  <c:v>0</c:v>
                </c:pt>
                <c:pt idx="558">
                  <c:v>0</c:v>
                </c:pt>
                <c:pt idx="559">
                  <c:v>13</c:v>
                </c:pt>
                <c:pt idx="560">
                  <c:v>12</c:v>
                </c:pt>
                <c:pt idx="561">
                  <c:v>15</c:v>
                </c:pt>
                <c:pt idx="562">
                  <c:v>4</c:v>
                </c:pt>
                <c:pt idx="563">
                  <c:v>2</c:v>
                </c:pt>
                <c:pt idx="564">
                  <c:v>0</c:v>
                </c:pt>
                <c:pt idx="565">
                  <c:v>0</c:v>
                </c:pt>
                <c:pt idx="566">
                  <c:v>8</c:v>
                </c:pt>
                <c:pt idx="567">
                  <c:v>2</c:v>
                </c:pt>
                <c:pt idx="568">
                  <c:v>1</c:v>
                </c:pt>
                <c:pt idx="569">
                  <c:v>0</c:v>
                </c:pt>
                <c:pt idx="570">
                  <c:v>0</c:v>
                </c:pt>
                <c:pt idx="571">
                  <c:v>2</c:v>
                </c:pt>
                <c:pt idx="572">
                  <c:v>21</c:v>
                </c:pt>
                <c:pt idx="573">
                  <c:v>5</c:v>
                </c:pt>
                <c:pt idx="574">
                  <c:v>0</c:v>
                </c:pt>
                <c:pt idx="575">
                  <c:v>6</c:v>
                </c:pt>
                <c:pt idx="576">
                  <c:v>0</c:v>
                </c:pt>
                <c:pt idx="577">
                  <c:v>0</c:v>
                </c:pt>
                <c:pt idx="578">
                  <c:v>5</c:v>
                </c:pt>
                <c:pt idx="579">
                  <c:v>0</c:v>
                </c:pt>
                <c:pt idx="580">
                  <c:v>0</c:v>
                </c:pt>
                <c:pt idx="581">
                  <c:v>0</c:v>
                </c:pt>
                <c:pt idx="582">
                  <c:v>0</c:v>
                </c:pt>
                <c:pt idx="583">
                  <c:v>0</c:v>
                </c:pt>
                <c:pt idx="584">
                  <c:v>0</c:v>
                </c:pt>
                <c:pt idx="585">
                  <c:v>0</c:v>
                </c:pt>
                <c:pt idx="586">
                  <c:v>2</c:v>
                </c:pt>
                <c:pt idx="587">
                  <c:v>9</c:v>
                </c:pt>
                <c:pt idx="588">
                  <c:v>1</c:v>
                </c:pt>
                <c:pt idx="589">
                  <c:v>7</c:v>
                </c:pt>
                <c:pt idx="590">
                  <c:v>0</c:v>
                </c:pt>
                <c:pt idx="591">
                  <c:v>2</c:v>
                </c:pt>
                <c:pt idx="592">
                  <c:v>2</c:v>
                </c:pt>
                <c:pt idx="593">
                  <c:v>3</c:v>
                </c:pt>
                <c:pt idx="594">
                  <c:v>9</c:v>
                </c:pt>
                <c:pt idx="595">
                  <c:v>11</c:v>
                </c:pt>
                <c:pt idx="596">
                  <c:v>4</c:v>
                </c:pt>
                <c:pt idx="597">
                  <c:v>4</c:v>
                </c:pt>
                <c:pt idx="598">
                  <c:v>0</c:v>
                </c:pt>
                <c:pt idx="599">
                  <c:v>0</c:v>
                </c:pt>
                <c:pt idx="600">
                  <c:v>3</c:v>
                </c:pt>
                <c:pt idx="601">
                  <c:v>0</c:v>
                </c:pt>
                <c:pt idx="602">
                  <c:v>2</c:v>
                </c:pt>
                <c:pt idx="603">
                  <c:v>0</c:v>
                </c:pt>
                <c:pt idx="604">
                  <c:v>12</c:v>
                </c:pt>
                <c:pt idx="605">
                  <c:v>5</c:v>
                </c:pt>
                <c:pt idx="606">
                  <c:v>12</c:v>
                </c:pt>
                <c:pt idx="607">
                  <c:v>0</c:v>
                </c:pt>
                <c:pt idx="608">
                  <c:v>0</c:v>
                </c:pt>
                <c:pt idx="609">
                  <c:v>0</c:v>
                </c:pt>
                <c:pt idx="610">
                  <c:v>0</c:v>
                </c:pt>
                <c:pt idx="611">
                  <c:v>7</c:v>
                </c:pt>
                <c:pt idx="612">
                  <c:v>0</c:v>
                </c:pt>
                <c:pt idx="613">
                  <c:v>0</c:v>
                </c:pt>
                <c:pt idx="614">
                  <c:v>0</c:v>
                </c:pt>
                <c:pt idx="615">
                  <c:v>0</c:v>
                </c:pt>
                <c:pt idx="616">
                  <c:v>3</c:v>
                </c:pt>
                <c:pt idx="617">
                  <c:v>0</c:v>
                </c:pt>
                <c:pt idx="618">
                  <c:v>1</c:v>
                </c:pt>
                <c:pt idx="619">
                  <c:v>10</c:v>
                </c:pt>
                <c:pt idx="620">
                  <c:v>1</c:v>
                </c:pt>
                <c:pt idx="621">
                  <c:v>0</c:v>
                </c:pt>
                <c:pt idx="622">
                  <c:v>2</c:v>
                </c:pt>
                <c:pt idx="623">
                  <c:v>0</c:v>
                </c:pt>
                <c:pt idx="624">
                  <c:v>0</c:v>
                </c:pt>
                <c:pt idx="625">
                  <c:v>0</c:v>
                </c:pt>
                <c:pt idx="626">
                  <c:v>0</c:v>
                </c:pt>
                <c:pt idx="627">
                  <c:v>5</c:v>
                </c:pt>
                <c:pt idx="628">
                  <c:v>3</c:v>
                </c:pt>
                <c:pt idx="629">
                  <c:v>3</c:v>
                </c:pt>
                <c:pt idx="630">
                  <c:v>0</c:v>
                </c:pt>
                <c:pt idx="631">
                  <c:v>0</c:v>
                </c:pt>
                <c:pt idx="632">
                  <c:v>0</c:v>
                </c:pt>
                <c:pt idx="633">
                  <c:v>0</c:v>
                </c:pt>
                <c:pt idx="634">
                  <c:v>0</c:v>
                </c:pt>
                <c:pt idx="635">
                  <c:v>0</c:v>
                </c:pt>
                <c:pt idx="636">
                  <c:v>4</c:v>
                </c:pt>
                <c:pt idx="637">
                  <c:v>0</c:v>
                </c:pt>
                <c:pt idx="638">
                  <c:v>0</c:v>
                </c:pt>
                <c:pt idx="639">
                  <c:v>0</c:v>
                </c:pt>
                <c:pt idx="640">
                  <c:v>0</c:v>
                </c:pt>
                <c:pt idx="641">
                  <c:v>8</c:v>
                </c:pt>
                <c:pt idx="642">
                  <c:v>0</c:v>
                </c:pt>
                <c:pt idx="643">
                  <c:v>8</c:v>
                </c:pt>
                <c:pt idx="644">
                  <c:v>0</c:v>
                </c:pt>
                <c:pt idx="645">
                  <c:v>0</c:v>
                </c:pt>
                <c:pt idx="646">
                  <c:v>6</c:v>
                </c:pt>
                <c:pt idx="647">
                  <c:v>10</c:v>
                </c:pt>
                <c:pt idx="648">
                  <c:v>2</c:v>
                </c:pt>
                <c:pt idx="649">
                  <c:v>4</c:v>
                </c:pt>
                <c:pt idx="650">
                  <c:v>13</c:v>
                </c:pt>
                <c:pt idx="651">
                  <c:v>0</c:v>
                </c:pt>
                <c:pt idx="652">
                  <c:v>0</c:v>
                </c:pt>
                <c:pt idx="653">
                  <c:v>6</c:v>
                </c:pt>
                <c:pt idx="654">
                  <c:v>0</c:v>
                </c:pt>
                <c:pt idx="655">
                  <c:v>3</c:v>
                </c:pt>
                <c:pt idx="656">
                  <c:v>14</c:v>
                </c:pt>
                <c:pt idx="657">
                  <c:v>0</c:v>
                </c:pt>
                <c:pt idx="658">
                  <c:v>0</c:v>
                </c:pt>
                <c:pt idx="659">
                  <c:v>4</c:v>
                </c:pt>
                <c:pt idx="660">
                  <c:v>0</c:v>
                </c:pt>
                <c:pt idx="661">
                  <c:v>0</c:v>
                </c:pt>
                <c:pt idx="662">
                  <c:v>2</c:v>
                </c:pt>
                <c:pt idx="663">
                  <c:v>9</c:v>
                </c:pt>
                <c:pt idx="664">
                  <c:v>3</c:v>
                </c:pt>
                <c:pt idx="665">
                  <c:v>1</c:v>
                </c:pt>
                <c:pt idx="666">
                  <c:v>2</c:v>
                </c:pt>
                <c:pt idx="667">
                  <c:v>7</c:v>
                </c:pt>
                <c:pt idx="668">
                  <c:v>0</c:v>
                </c:pt>
                <c:pt idx="669">
                  <c:v>0</c:v>
                </c:pt>
                <c:pt idx="670">
                  <c:v>0</c:v>
                </c:pt>
                <c:pt idx="671">
                  <c:v>2</c:v>
                </c:pt>
                <c:pt idx="672">
                  <c:v>4</c:v>
                </c:pt>
                <c:pt idx="673">
                  <c:v>2</c:v>
                </c:pt>
                <c:pt idx="674">
                  <c:v>0</c:v>
                </c:pt>
                <c:pt idx="675">
                  <c:v>7</c:v>
                </c:pt>
                <c:pt idx="676">
                  <c:v>2</c:v>
                </c:pt>
                <c:pt idx="677">
                  <c:v>7</c:v>
                </c:pt>
                <c:pt idx="678">
                  <c:v>12</c:v>
                </c:pt>
                <c:pt idx="679">
                  <c:v>0</c:v>
                </c:pt>
                <c:pt idx="680">
                  <c:v>1</c:v>
                </c:pt>
                <c:pt idx="681">
                  <c:v>0</c:v>
                </c:pt>
                <c:pt idx="682">
                  <c:v>14</c:v>
                </c:pt>
                <c:pt idx="683">
                  <c:v>6</c:v>
                </c:pt>
                <c:pt idx="684">
                  <c:v>3</c:v>
                </c:pt>
                <c:pt idx="685">
                  <c:v>0</c:v>
                </c:pt>
                <c:pt idx="686">
                  <c:v>13</c:v>
                </c:pt>
                <c:pt idx="687">
                  <c:v>4</c:v>
                </c:pt>
                <c:pt idx="688">
                  <c:v>1</c:v>
                </c:pt>
                <c:pt idx="689">
                  <c:v>0</c:v>
                </c:pt>
                <c:pt idx="690">
                  <c:v>0</c:v>
                </c:pt>
                <c:pt idx="691">
                  <c:v>13</c:v>
                </c:pt>
                <c:pt idx="692">
                  <c:v>10</c:v>
                </c:pt>
                <c:pt idx="693">
                  <c:v>0</c:v>
                </c:pt>
                <c:pt idx="694">
                  <c:v>1</c:v>
                </c:pt>
                <c:pt idx="695">
                  <c:v>3</c:v>
                </c:pt>
                <c:pt idx="696">
                  <c:v>18</c:v>
                </c:pt>
                <c:pt idx="697">
                  <c:v>2</c:v>
                </c:pt>
                <c:pt idx="698">
                  <c:v>7</c:v>
                </c:pt>
                <c:pt idx="699">
                  <c:v>2</c:v>
                </c:pt>
                <c:pt idx="700">
                  <c:v>3</c:v>
                </c:pt>
                <c:pt idx="701">
                  <c:v>4</c:v>
                </c:pt>
                <c:pt idx="702">
                  <c:v>0</c:v>
                </c:pt>
                <c:pt idx="703">
                  <c:v>11</c:v>
                </c:pt>
                <c:pt idx="704">
                  <c:v>12</c:v>
                </c:pt>
                <c:pt idx="705">
                  <c:v>5</c:v>
                </c:pt>
                <c:pt idx="706">
                  <c:v>5</c:v>
                </c:pt>
                <c:pt idx="707">
                  <c:v>0</c:v>
                </c:pt>
                <c:pt idx="708">
                  <c:v>8</c:v>
                </c:pt>
                <c:pt idx="709">
                  <c:v>0</c:v>
                </c:pt>
                <c:pt idx="710">
                  <c:v>0</c:v>
                </c:pt>
                <c:pt idx="711">
                  <c:v>2</c:v>
                </c:pt>
                <c:pt idx="712">
                  <c:v>15</c:v>
                </c:pt>
                <c:pt idx="713">
                  <c:v>7</c:v>
                </c:pt>
                <c:pt idx="714">
                  <c:v>0</c:v>
                </c:pt>
                <c:pt idx="715">
                  <c:v>0</c:v>
                </c:pt>
                <c:pt idx="716">
                  <c:v>10</c:v>
                </c:pt>
                <c:pt idx="717">
                  <c:v>2</c:v>
                </c:pt>
                <c:pt idx="718">
                  <c:v>10</c:v>
                </c:pt>
                <c:pt idx="719">
                  <c:v>5</c:v>
                </c:pt>
                <c:pt idx="720">
                  <c:v>0</c:v>
                </c:pt>
                <c:pt idx="721">
                  <c:v>9</c:v>
                </c:pt>
                <c:pt idx="722">
                  <c:v>2</c:v>
                </c:pt>
                <c:pt idx="723">
                  <c:v>11</c:v>
                </c:pt>
                <c:pt idx="724">
                  <c:v>6</c:v>
                </c:pt>
                <c:pt idx="725">
                  <c:v>7</c:v>
                </c:pt>
                <c:pt idx="726">
                  <c:v>12</c:v>
                </c:pt>
                <c:pt idx="727">
                  <c:v>7</c:v>
                </c:pt>
                <c:pt idx="728">
                  <c:v>5</c:v>
                </c:pt>
                <c:pt idx="729">
                  <c:v>17</c:v>
                </c:pt>
                <c:pt idx="730">
                  <c:v>13</c:v>
                </c:pt>
                <c:pt idx="731">
                  <c:v>0</c:v>
                </c:pt>
                <c:pt idx="732">
                  <c:v>9</c:v>
                </c:pt>
                <c:pt idx="733">
                  <c:v>2</c:v>
                </c:pt>
                <c:pt idx="734">
                  <c:v>5</c:v>
                </c:pt>
                <c:pt idx="735">
                  <c:v>5</c:v>
                </c:pt>
                <c:pt idx="736">
                  <c:v>7</c:v>
                </c:pt>
                <c:pt idx="737">
                  <c:v>1</c:v>
                </c:pt>
                <c:pt idx="738">
                  <c:v>0</c:v>
                </c:pt>
                <c:pt idx="739">
                  <c:v>0</c:v>
                </c:pt>
                <c:pt idx="740">
                  <c:v>0</c:v>
                </c:pt>
                <c:pt idx="741">
                  <c:v>12</c:v>
                </c:pt>
                <c:pt idx="742">
                  <c:v>1</c:v>
                </c:pt>
                <c:pt idx="743">
                  <c:v>0</c:v>
                </c:pt>
                <c:pt idx="744">
                  <c:v>4</c:v>
                </c:pt>
                <c:pt idx="745">
                  <c:v>0</c:v>
                </c:pt>
                <c:pt idx="746">
                  <c:v>0</c:v>
                </c:pt>
                <c:pt idx="747">
                  <c:v>1</c:v>
                </c:pt>
                <c:pt idx="748">
                  <c:v>15</c:v>
                </c:pt>
                <c:pt idx="749">
                  <c:v>2</c:v>
                </c:pt>
                <c:pt idx="750">
                  <c:v>3</c:v>
                </c:pt>
                <c:pt idx="751">
                  <c:v>0</c:v>
                </c:pt>
                <c:pt idx="752">
                  <c:v>3</c:v>
                </c:pt>
                <c:pt idx="753">
                  <c:v>0</c:v>
                </c:pt>
                <c:pt idx="754">
                  <c:v>0</c:v>
                </c:pt>
                <c:pt idx="755">
                  <c:v>1</c:v>
                </c:pt>
                <c:pt idx="756">
                  <c:v>1</c:v>
                </c:pt>
                <c:pt idx="757">
                  <c:v>17</c:v>
                </c:pt>
                <c:pt idx="758">
                  <c:v>4</c:v>
                </c:pt>
                <c:pt idx="759">
                  <c:v>13</c:v>
                </c:pt>
                <c:pt idx="760">
                  <c:v>1</c:v>
                </c:pt>
                <c:pt idx="761">
                  <c:v>7</c:v>
                </c:pt>
                <c:pt idx="762">
                  <c:v>0</c:v>
                </c:pt>
                <c:pt idx="763">
                  <c:v>0</c:v>
                </c:pt>
                <c:pt idx="764">
                  <c:v>0</c:v>
                </c:pt>
                <c:pt idx="765">
                  <c:v>2</c:v>
                </c:pt>
                <c:pt idx="766">
                  <c:v>0</c:v>
                </c:pt>
                <c:pt idx="767">
                  <c:v>0</c:v>
                </c:pt>
                <c:pt idx="768">
                  <c:v>0</c:v>
                </c:pt>
                <c:pt idx="769">
                  <c:v>2</c:v>
                </c:pt>
                <c:pt idx="770">
                  <c:v>1</c:v>
                </c:pt>
                <c:pt idx="771">
                  <c:v>0</c:v>
                </c:pt>
                <c:pt idx="772">
                  <c:v>2</c:v>
                </c:pt>
                <c:pt idx="773">
                  <c:v>0</c:v>
                </c:pt>
                <c:pt idx="774">
                  <c:v>0</c:v>
                </c:pt>
                <c:pt idx="775">
                  <c:v>2</c:v>
                </c:pt>
                <c:pt idx="776">
                  <c:v>8</c:v>
                </c:pt>
                <c:pt idx="777">
                  <c:v>6</c:v>
                </c:pt>
                <c:pt idx="778">
                  <c:v>0</c:v>
                </c:pt>
                <c:pt idx="779">
                  <c:v>0</c:v>
                </c:pt>
                <c:pt idx="780">
                  <c:v>5</c:v>
                </c:pt>
                <c:pt idx="781">
                  <c:v>0</c:v>
                </c:pt>
                <c:pt idx="782">
                  <c:v>0</c:v>
                </c:pt>
                <c:pt idx="783">
                  <c:v>6</c:v>
                </c:pt>
                <c:pt idx="784">
                  <c:v>4</c:v>
                </c:pt>
                <c:pt idx="785">
                  <c:v>0</c:v>
                </c:pt>
                <c:pt idx="786">
                  <c:v>0</c:v>
                </c:pt>
                <c:pt idx="787">
                  <c:v>0</c:v>
                </c:pt>
                <c:pt idx="788">
                  <c:v>0</c:v>
                </c:pt>
                <c:pt idx="789">
                  <c:v>2</c:v>
                </c:pt>
                <c:pt idx="790">
                  <c:v>3</c:v>
                </c:pt>
                <c:pt idx="791">
                  <c:v>14</c:v>
                </c:pt>
                <c:pt idx="792">
                  <c:v>1</c:v>
                </c:pt>
                <c:pt idx="793">
                  <c:v>8</c:v>
                </c:pt>
                <c:pt idx="794">
                  <c:v>3</c:v>
                </c:pt>
                <c:pt idx="795">
                  <c:v>1</c:v>
                </c:pt>
                <c:pt idx="796">
                  <c:v>0</c:v>
                </c:pt>
                <c:pt idx="797">
                  <c:v>11</c:v>
                </c:pt>
                <c:pt idx="798">
                  <c:v>12</c:v>
                </c:pt>
                <c:pt idx="799">
                  <c:v>14</c:v>
                </c:pt>
                <c:pt idx="800">
                  <c:v>2</c:v>
                </c:pt>
                <c:pt idx="801">
                  <c:v>0</c:v>
                </c:pt>
                <c:pt idx="802">
                  <c:v>3</c:v>
                </c:pt>
                <c:pt idx="803">
                  <c:v>0</c:v>
                </c:pt>
                <c:pt idx="804">
                  <c:v>0</c:v>
                </c:pt>
                <c:pt idx="805">
                  <c:v>2</c:v>
                </c:pt>
                <c:pt idx="806">
                  <c:v>6</c:v>
                </c:pt>
                <c:pt idx="807">
                  <c:v>15</c:v>
                </c:pt>
                <c:pt idx="808">
                  <c:v>5</c:v>
                </c:pt>
                <c:pt idx="809">
                  <c:v>13</c:v>
                </c:pt>
                <c:pt idx="810">
                  <c:v>1</c:v>
                </c:pt>
                <c:pt idx="811">
                  <c:v>9</c:v>
                </c:pt>
                <c:pt idx="812">
                  <c:v>0</c:v>
                </c:pt>
                <c:pt idx="813">
                  <c:v>2</c:v>
                </c:pt>
                <c:pt idx="814">
                  <c:v>6</c:v>
                </c:pt>
                <c:pt idx="815">
                  <c:v>7</c:v>
                </c:pt>
                <c:pt idx="816">
                  <c:v>5</c:v>
                </c:pt>
                <c:pt idx="817">
                  <c:v>4</c:v>
                </c:pt>
                <c:pt idx="818">
                  <c:v>2</c:v>
                </c:pt>
                <c:pt idx="819">
                  <c:v>0</c:v>
                </c:pt>
                <c:pt idx="820">
                  <c:v>5</c:v>
                </c:pt>
                <c:pt idx="821">
                  <c:v>0</c:v>
                </c:pt>
                <c:pt idx="822">
                  <c:v>0</c:v>
                </c:pt>
                <c:pt idx="823">
                  <c:v>0</c:v>
                </c:pt>
                <c:pt idx="824">
                  <c:v>0</c:v>
                </c:pt>
                <c:pt idx="825">
                  <c:v>3</c:v>
                </c:pt>
                <c:pt idx="826">
                  <c:v>0</c:v>
                </c:pt>
                <c:pt idx="827">
                  <c:v>4</c:v>
                </c:pt>
                <c:pt idx="828">
                  <c:v>8</c:v>
                </c:pt>
                <c:pt idx="829">
                  <c:v>0</c:v>
                </c:pt>
                <c:pt idx="830">
                  <c:v>0</c:v>
                </c:pt>
                <c:pt idx="831">
                  <c:v>8</c:v>
                </c:pt>
                <c:pt idx="832">
                  <c:v>0</c:v>
                </c:pt>
                <c:pt idx="833">
                  <c:v>7</c:v>
                </c:pt>
                <c:pt idx="834">
                  <c:v>7</c:v>
                </c:pt>
                <c:pt idx="835">
                  <c:v>2</c:v>
                </c:pt>
                <c:pt idx="836">
                  <c:v>0</c:v>
                </c:pt>
                <c:pt idx="837">
                  <c:v>12</c:v>
                </c:pt>
                <c:pt idx="838">
                  <c:v>7</c:v>
                </c:pt>
                <c:pt idx="839">
                  <c:v>0</c:v>
                </c:pt>
                <c:pt idx="840">
                  <c:v>4</c:v>
                </c:pt>
                <c:pt idx="841">
                  <c:v>0</c:v>
                </c:pt>
                <c:pt idx="842">
                  <c:v>11</c:v>
                </c:pt>
                <c:pt idx="843">
                  <c:v>7</c:v>
                </c:pt>
                <c:pt idx="844">
                  <c:v>0</c:v>
                </c:pt>
                <c:pt idx="845">
                  <c:v>4</c:v>
                </c:pt>
                <c:pt idx="846">
                  <c:v>9</c:v>
                </c:pt>
                <c:pt idx="847">
                  <c:v>0</c:v>
                </c:pt>
                <c:pt idx="848">
                  <c:v>0</c:v>
                </c:pt>
                <c:pt idx="849">
                  <c:v>4</c:v>
                </c:pt>
                <c:pt idx="850">
                  <c:v>1</c:v>
                </c:pt>
                <c:pt idx="851">
                  <c:v>15</c:v>
                </c:pt>
                <c:pt idx="852">
                  <c:v>10</c:v>
                </c:pt>
                <c:pt idx="853">
                  <c:v>14</c:v>
                </c:pt>
                <c:pt idx="854">
                  <c:v>0</c:v>
                </c:pt>
                <c:pt idx="855">
                  <c:v>0</c:v>
                </c:pt>
                <c:pt idx="856">
                  <c:v>10</c:v>
                </c:pt>
                <c:pt idx="857">
                  <c:v>10</c:v>
                </c:pt>
                <c:pt idx="858">
                  <c:v>0</c:v>
                </c:pt>
                <c:pt idx="859">
                  <c:v>0</c:v>
                </c:pt>
                <c:pt idx="860">
                  <c:v>1</c:v>
                </c:pt>
                <c:pt idx="861">
                  <c:v>0</c:v>
                </c:pt>
                <c:pt idx="862">
                  <c:v>2</c:v>
                </c:pt>
                <c:pt idx="863">
                  <c:v>5</c:v>
                </c:pt>
                <c:pt idx="864">
                  <c:v>7</c:v>
                </c:pt>
                <c:pt idx="865">
                  <c:v>7</c:v>
                </c:pt>
                <c:pt idx="866">
                  <c:v>13</c:v>
                </c:pt>
                <c:pt idx="867">
                  <c:v>0</c:v>
                </c:pt>
                <c:pt idx="868">
                  <c:v>1</c:v>
                </c:pt>
                <c:pt idx="869">
                  <c:v>0</c:v>
                </c:pt>
                <c:pt idx="870">
                  <c:v>3</c:v>
                </c:pt>
                <c:pt idx="871">
                  <c:v>3</c:v>
                </c:pt>
                <c:pt idx="872">
                  <c:v>11</c:v>
                </c:pt>
                <c:pt idx="873">
                  <c:v>5</c:v>
                </c:pt>
                <c:pt idx="874">
                  <c:v>0</c:v>
                </c:pt>
                <c:pt idx="875">
                  <c:v>0</c:v>
                </c:pt>
                <c:pt idx="876">
                  <c:v>6</c:v>
                </c:pt>
                <c:pt idx="877">
                  <c:v>0</c:v>
                </c:pt>
                <c:pt idx="878">
                  <c:v>13</c:v>
                </c:pt>
                <c:pt idx="879">
                  <c:v>7</c:v>
                </c:pt>
                <c:pt idx="880">
                  <c:v>3</c:v>
                </c:pt>
                <c:pt idx="881">
                  <c:v>0</c:v>
                </c:pt>
                <c:pt idx="882">
                  <c:v>0</c:v>
                </c:pt>
                <c:pt idx="883">
                  <c:v>0</c:v>
                </c:pt>
                <c:pt idx="884">
                  <c:v>0</c:v>
                </c:pt>
                <c:pt idx="885">
                  <c:v>0</c:v>
                </c:pt>
                <c:pt idx="886">
                  <c:v>0</c:v>
                </c:pt>
                <c:pt idx="887">
                  <c:v>13</c:v>
                </c:pt>
                <c:pt idx="888">
                  <c:v>2</c:v>
                </c:pt>
                <c:pt idx="889">
                  <c:v>0</c:v>
                </c:pt>
                <c:pt idx="890">
                  <c:v>3</c:v>
                </c:pt>
                <c:pt idx="891">
                  <c:v>5</c:v>
                </c:pt>
                <c:pt idx="892">
                  <c:v>0</c:v>
                </c:pt>
                <c:pt idx="893">
                  <c:v>1</c:v>
                </c:pt>
                <c:pt idx="894">
                  <c:v>11</c:v>
                </c:pt>
                <c:pt idx="895">
                  <c:v>3</c:v>
                </c:pt>
                <c:pt idx="896">
                  <c:v>0</c:v>
                </c:pt>
                <c:pt idx="897">
                  <c:v>0</c:v>
                </c:pt>
                <c:pt idx="898">
                  <c:v>6</c:v>
                </c:pt>
                <c:pt idx="899">
                  <c:v>0</c:v>
                </c:pt>
                <c:pt idx="900">
                  <c:v>0</c:v>
                </c:pt>
                <c:pt idx="901">
                  <c:v>2</c:v>
                </c:pt>
                <c:pt idx="902">
                  <c:v>4</c:v>
                </c:pt>
                <c:pt idx="903">
                  <c:v>4</c:v>
                </c:pt>
                <c:pt idx="904">
                  <c:v>3</c:v>
                </c:pt>
                <c:pt idx="905">
                  <c:v>8</c:v>
                </c:pt>
                <c:pt idx="906">
                  <c:v>0</c:v>
                </c:pt>
                <c:pt idx="907">
                  <c:v>0</c:v>
                </c:pt>
                <c:pt idx="908">
                  <c:v>0</c:v>
                </c:pt>
                <c:pt idx="909">
                  <c:v>5</c:v>
                </c:pt>
                <c:pt idx="910">
                  <c:v>7</c:v>
                </c:pt>
                <c:pt idx="911">
                  <c:v>4</c:v>
                </c:pt>
                <c:pt idx="912">
                  <c:v>0</c:v>
                </c:pt>
                <c:pt idx="913">
                  <c:v>0</c:v>
                </c:pt>
                <c:pt idx="914">
                  <c:v>0</c:v>
                </c:pt>
                <c:pt idx="915">
                  <c:v>8</c:v>
                </c:pt>
                <c:pt idx="916">
                  <c:v>0</c:v>
                </c:pt>
                <c:pt idx="917">
                  <c:v>0</c:v>
                </c:pt>
                <c:pt idx="918">
                  <c:v>0</c:v>
                </c:pt>
                <c:pt idx="919">
                  <c:v>7</c:v>
                </c:pt>
                <c:pt idx="920">
                  <c:v>4</c:v>
                </c:pt>
                <c:pt idx="921">
                  <c:v>3</c:v>
                </c:pt>
                <c:pt idx="922">
                  <c:v>0</c:v>
                </c:pt>
                <c:pt idx="923">
                  <c:v>1</c:v>
                </c:pt>
                <c:pt idx="924">
                  <c:v>0</c:v>
                </c:pt>
                <c:pt idx="925">
                  <c:v>0</c:v>
                </c:pt>
                <c:pt idx="926">
                  <c:v>0</c:v>
                </c:pt>
                <c:pt idx="927">
                  <c:v>2</c:v>
                </c:pt>
                <c:pt idx="928">
                  <c:v>0</c:v>
                </c:pt>
                <c:pt idx="929">
                  <c:v>6</c:v>
                </c:pt>
                <c:pt idx="930">
                  <c:v>3</c:v>
                </c:pt>
                <c:pt idx="931">
                  <c:v>2</c:v>
                </c:pt>
                <c:pt idx="932">
                  <c:v>3</c:v>
                </c:pt>
                <c:pt idx="933">
                  <c:v>3</c:v>
                </c:pt>
                <c:pt idx="934">
                  <c:v>0</c:v>
                </c:pt>
                <c:pt idx="935">
                  <c:v>11</c:v>
                </c:pt>
                <c:pt idx="936">
                  <c:v>0</c:v>
                </c:pt>
                <c:pt idx="937">
                  <c:v>1</c:v>
                </c:pt>
                <c:pt idx="938">
                  <c:v>1</c:v>
                </c:pt>
                <c:pt idx="939">
                  <c:v>0</c:v>
                </c:pt>
                <c:pt idx="940">
                  <c:v>1</c:v>
                </c:pt>
                <c:pt idx="941">
                  <c:v>0</c:v>
                </c:pt>
                <c:pt idx="942">
                  <c:v>0</c:v>
                </c:pt>
                <c:pt idx="943">
                  <c:v>0</c:v>
                </c:pt>
                <c:pt idx="944">
                  <c:v>0</c:v>
                </c:pt>
                <c:pt idx="945">
                  <c:v>0</c:v>
                </c:pt>
                <c:pt idx="946">
                  <c:v>4</c:v>
                </c:pt>
                <c:pt idx="947">
                  <c:v>9</c:v>
                </c:pt>
                <c:pt idx="948">
                  <c:v>0</c:v>
                </c:pt>
                <c:pt idx="949">
                  <c:v>0</c:v>
                </c:pt>
                <c:pt idx="950">
                  <c:v>2</c:v>
                </c:pt>
                <c:pt idx="951">
                  <c:v>3</c:v>
                </c:pt>
                <c:pt idx="952">
                  <c:v>0</c:v>
                </c:pt>
                <c:pt idx="953">
                  <c:v>0</c:v>
                </c:pt>
                <c:pt idx="954">
                  <c:v>0</c:v>
                </c:pt>
                <c:pt idx="955">
                  <c:v>13</c:v>
                </c:pt>
                <c:pt idx="956">
                  <c:v>0</c:v>
                </c:pt>
                <c:pt idx="957">
                  <c:v>0</c:v>
                </c:pt>
                <c:pt idx="958">
                  <c:v>0</c:v>
                </c:pt>
                <c:pt idx="959">
                  <c:v>0</c:v>
                </c:pt>
                <c:pt idx="960">
                  <c:v>3</c:v>
                </c:pt>
                <c:pt idx="961">
                  <c:v>3</c:v>
                </c:pt>
                <c:pt idx="962">
                  <c:v>0</c:v>
                </c:pt>
                <c:pt idx="963">
                  <c:v>6</c:v>
                </c:pt>
                <c:pt idx="964">
                  <c:v>0</c:v>
                </c:pt>
                <c:pt idx="965">
                  <c:v>3</c:v>
                </c:pt>
                <c:pt idx="966">
                  <c:v>4</c:v>
                </c:pt>
                <c:pt idx="967">
                  <c:v>0</c:v>
                </c:pt>
                <c:pt idx="968">
                  <c:v>0</c:v>
                </c:pt>
                <c:pt idx="969">
                  <c:v>2</c:v>
                </c:pt>
                <c:pt idx="970">
                  <c:v>0</c:v>
                </c:pt>
                <c:pt idx="971">
                  <c:v>0</c:v>
                </c:pt>
                <c:pt idx="972">
                  <c:v>3</c:v>
                </c:pt>
                <c:pt idx="973">
                  <c:v>4</c:v>
                </c:pt>
                <c:pt idx="974">
                  <c:v>2</c:v>
                </c:pt>
                <c:pt idx="975">
                  <c:v>0</c:v>
                </c:pt>
                <c:pt idx="976">
                  <c:v>2</c:v>
                </c:pt>
                <c:pt idx="977">
                  <c:v>0</c:v>
                </c:pt>
                <c:pt idx="978">
                  <c:v>0</c:v>
                </c:pt>
                <c:pt idx="979">
                  <c:v>1</c:v>
                </c:pt>
                <c:pt idx="980">
                  <c:v>4</c:v>
                </c:pt>
                <c:pt idx="981">
                  <c:v>0</c:v>
                </c:pt>
                <c:pt idx="982">
                  <c:v>7</c:v>
                </c:pt>
                <c:pt idx="983">
                  <c:v>0</c:v>
                </c:pt>
                <c:pt idx="984">
                  <c:v>3</c:v>
                </c:pt>
                <c:pt idx="985">
                  <c:v>3</c:v>
                </c:pt>
                <c:pt idx="986">
                  <c:v>1</c:v>
                </c:pt>
                <c:pt idx="987">
                  <c:v>0</c:v>
                </c:pt>
                <c:pt idx="988">
                  <c:v>0</c:v>
                </c:pt>
                <c:pt idx="989">
                  <c:v>11</c:v>
                </c:pt>
                <c:pt idx="990">
                  <c:v>0</c:v>
                </c:pt>
                <c:pt idx="991">
                  <c:v>0</c:v>
                </c:pt>
                <c:pt idx="992">
                  <c:v>1</c:v>
                </c:pt>
                <c:pt idx="993">
                  <c:v>0</c:v>
                </c:pt>
                <c:pt idx="994">
                  <c:v>0</c:v>
                </c:pt>
                <c:pt idx="995">
                  <c:v>2</c:v>
                </c:pt>
                <c:pt idx="996">
                  <c:v>0</c:v>
                </c:pt>
                <c:pt idx="997">
                  <c:v>0</c:v>
                </c:pt>
                <c:pt idx="998">
                  <c:v>2</c:v>
                </c:pt>
                <c:pt idx="999">
                  <c:v>6</c:v>
                </c:pt>
                <c:pt idx="1000">
                  <c:v>0</c:v>
                </c:pt>
                <c:pt idx="1001">
                  <c:v>2</c:v>
                </c:pt>
                <c:pt idx="1002">
                  <c:v>7</c:v>
                </c:pt>
                <c:pt idx="1003">
                  <c:v>0</c:v>
                </c:pt>
                <c:pt idx="1004">
                  <c:v>2</c:v>
                </c:pt>
                <c:pt idx="1005">
                  <c:v>0</c:v>
                </c:pt>
                <c:pt idx="1006">
                  <c:v>9</c:v>
                </c:pt>
                <c:pt idx="1007">
                  <c:v>3</c:v>
                </c:pt>
                <c:pt idx="1008">
                  <c:v>0</c:v>
                </c:pt>
                <c:pt idx="1009">
                  <c:v>0</c:v>
                </c:pt>
                <c:pt idx="1010">
                  <c:v>3</c:v>
                </c:pt>
                <c:pt idx="1011">
                  <c:v>0</c:v>
                </c:pt>
                <c:pt idx="1012">
                  <c:v>0</c:v>
                </c:pt>
                <c:pt idx="1013">
                  <c:v>0</c:v>
                </c:pt>
                <c:pt idx="1014">
                  <c:v>0</c:v>
                </c:pt>
                <c:pt idx="1015">
                  <c:v>4</c:v>
                </c:pt>
                <c:pt idx="1016">
                  <c:v>13</c:v>
                </c:pt>
                <c:pt idx="1017">
                  <c:v>0</c:v>
                </c:pt>
                <c:pt idx="1018">
                  <c:v>2</c:v>
                </c:pt>
                <c:pt idx="1019">
                  <c:v>9</c:v>
                </c:pt>
                <c:pt idx="1020">
                  <c:v>5</c:v>
                </c:pt>
                <c:pt idx="1021">
                  <c:v>4</c:v>
                </c:pt>
                <c:pt idx="1022">
                  <c:v>0</c:v>
                </c:pt>
                <c:pt idx="1023">
                  <c:v>0</c:v>
                </c:pt>
                <c:pt idx="1024">
                  <c:v>0</c:v>
                </c:pt>
                <c:pt idx="1025">
                  <c:v>0</c:v>
                </c:pt>
                <c:pt idx="1026">
                  <c:v>0</c:v>
                </c:pt>
                <c:pt idx="1027">
                  <c:v>0</c:v>
                </c:pt>
                <c:pt idx="1028">
                  <c:v>0</c:v>
                </c:pt>
                <c:pt idx="1029">
                  <c:v>0</c:v>
                </c:pt>
                <c:pt idx="1030">
                  <c:v>0</c:v>
                </c:pt>
                <c:pt idx="1031">
                  <c:v>0</c:v>
                </c:pt>
                <c:pt idx="1032">
                  <c:v>0</c:v>
                </c:pt>
                <c:pt idx="1033">
                  <c:v>1</c:v>
                </c:pt>
                <c:pt idx="1034">
                  <c:v>0</c:v>
                </c:pt>
                <c:pt idx="1035">
                  <c:v>0</c:v>
                </c:pt>
                <c:pt idx="1036">
                  <c:v>0</c:v>
                </c:pt>
                <c:pt idx="1037">
                  <c:v>0</c:v>
                </c:pt>
                <c:pt idx="1038">
                  <c:v>5</c:v>
                </c:pt>
                <c:pt idx="1039">
                  <c:v>0</c:v>
                </c:pt>
                <c:pt idx="1040">
                  <c:v>0</c:v>
                </c:pt>
                <c:pt idx="1041">
                  <c:v>10</c:v>
                </c:pt>
                <c:pt idx="1042">
                  <c:v>12</c:v>
                </c:pt>
                <c:pt idx="1043">
                  <c:v>3</c:v>
                </c:pt>
                <c:pt idx="1044">
                  <c:v>1</c:v>
                </c:pt>
                <c:pt idx="1045">
                  <c:v>0</c:v>
                </c:pt>
                <c:pt idx="1046">
                  <c:v>0</c:v>
                </c:pt>
                <c:pt idx="1047">
                  <c:v>10</c:v>
                </c:pt>
                <c:pt idx="1048">
                  <c:v>8</c:v>
                </c:pt>
                <c:pt idx="1049">
                  <c:v>12</c:v>
                </c:pt>
                <c:pt idx="1050">
                  <c:v>2</c:v>
                </c:pt>
                <c:pt idx="1051">
                  <c:v>2</c:v>
                </c:pt>
                <c:pt idx="1052">
                  <c:v>0</c:v>
                </c:pt>
                <c:pt idx="1053">
                  <c:v>2</c:v>
                </c:pt>
                <c:pt idx="1054">
                  <c:v>1</c:v>
                </c:pt>
                <c:pt idx="1055">
                  <c:v>4</c:v>
                </c:pt>
                <c:pt idx="1056">
                  <c:v>0</c:v>
                </c:pt>
                <c:pt idx="1057">
                  <c:v>9</c:v>
                </c:pt>
                <c:pt idx="1058">
                  <c:v>0</c:v>
                </c:pt>
                <c:pt idx="1059">
                  <c:v>0</c:v>
                </c:pt>
                <c:pt idx="1060">
                  <c:v>4</c:v>
                </c:pt>
                <c:pt idx="1061">
                  <c:v>0</c:v>
                </c:pt>
                <c:pt idx="1062">
                  <c:v>3</c:v>
                </c:pt>
                <c:pt idx="1063">
                  <c:v>0</c:v>
                </c:pt>
                <c:pt idx="1064">
                  <c:v>0</c:v>
                </c:pt>
                <c:pt idx="1065">
                  <c:v>0</c:v>
                </c:pt>
                <c:pt idx="1066">
                  <c:v>0</c:v>
                </c:pt>
                <c:pt idx="1067">
                  <c:v>0</c:v>
                </c:pt>
                <c:pt idx="1068">
                  <c:v>9</c:v>
                </c:pt>
                <c:pt idx="1069">
                  <c:v>0</c:v>
                </c:pt>
                <c:pt idx="1070">
                  <c:v>0</c:v>
                </c:pt>
                <c:pt idx="1071">
                  <c:v>0</c:v>
                </c:pt>
                <c:pt idx="1072">
                  <c:v>0</c:v>
                </c:pt>
                <c:pt idx="1073">
                  <c:v>0</c:v>
                </c:pt>
                <c:pt idx="1074">
                  <c:v>0</c:v>
                </c:pt>
                <c:pt idx="1075">
                  <c:v>6</c:v>
                </c:pt>
                <c:pt idx="1076">
                  <c:v>15</c:v>
                </c:pt>
                <c:pt idx="1077">
                  <c:v>3</c:v>
                </c:pt>
                <c:pt idx="1078">
                  <c:v>0</c:v>
                </c:pt>
                <c:pt idx="1079">
                  <c:v>8</c:v>
                </c:pt>
                <c:pt idx="1080">
                  <c:v>0</c:v>
                </c:pt>
                <c:pt idx="1081">
                  <c:v>0</c:v>
                </c:pt>
                <c:pt idx="1082">
                  <c:v>0</c:v>
                </c:pt>
                <c:pt idx="1083">
                  <c:v>9</c:v>
                </c:pt>
                <c:pt idx="1084">
                  <c:v>1</c:v>
                </c:pt>
                <c:pt idx="1085">
                  <c:v>1</c:v>
                </c:pt>
                <c:pt idx="1086">
                  <c:v>0</c:v>
                </c:pt>
                <c:pt idx="1087">
                  <c:v>0</c:v>
                </c:pt>
                <c:pt idx="1088">
                  <c:v>2</c:v>
                </c:pt>
                <c:pt idx="1089">
                  <c:v>3</c:v>
                </c:pt>
                <c:pt idx="1090">
                  <c:v>0</c:v>
                </c:pt>
                <c:pt idx="1091">
                  <c:v>9</c:v>
                </c:pt>
                <c:pt idx="1092">
                  <c:v>8</c:v>
                </c:pt>
                <c:pt idx="1093">
                  <c:v>0</c:v>
                </c:pt>
                <c:pt idx="1094">
                  <c:v>0</c:v>
                </c:pt>
                <c:pt idx="1095">
                  <c:v>4</c:v>
                </c:pt>
                <c:pt idx="1096">
                  <c:v>5</c:v>
                </c:pt>
                <c:pt idx="1097">
                  <c:v>0</c:v>
                </c:pt>
                <c:pt idx="1098">
                  <c:v>2</c:v>
                </c:pt>
                <c:pt idx="1099">
                  <c:v>5</c:v>
                </c:pt>
                <c:pt idx="1100">
                  <c:v>1</c:v>
                </c:pt>
                <c:pt idx="1101">
                  <c:v>0</c:v>
                </c:pt>
                <c:pt idx="1102">
                  <c:v>0</c:v>
                </c:pt>
                <c:pt idx="1103">
                  <c:v>0</c:v>
                </c:pt>
                <c:pt idx="1104">
                  <c:v>10</c:v>
                </c:pt>
                <c:pt idx="1105">
                  <c:v>3</c:v>
                </c:pt>
                <c:pt idx="1106">
                  <c:v>4</c:v>
                </c:pt>
                <c:pt idx="1107">
                  <c:v>2</c:v>
                </c:pt>
                <c:pt idx="1108">
                  <c:v>9</c:v>
                </c:pt>
                <c:pt idx="1109">
                  <c:v>0</c:v>
                </c:pt>
                <c:pt idx="1110">
                  <c:v>0</c:v>
                </c:pt>
                <c:pt idx="1111">
                  <c:v>3</c:v>
                </c:pt>
                <c:pt idx="1112">
                  <c:v>2</c:v>
                </c:pt>
                <c:pt idx="1113">
                  <c:v>0</c:v>
                </c:pt>
                <c:pt idx="1114">
                  <c:v>3</c:v>
                </c:pt>
                <c:pt idx="1115">
                  <c:v>0</c:v>
                </c:pt>
                <c:pt idx="1116">
                  <c:v>0</c:v>
                </c:pt>
                <c:pt idx="1117">
                  <c:v>0</c:v>
                </c:pt>
                <c:pt idx="1118">
                  <c:v>2</c:v>
                </c:pt>
                <c:pt idx="1119">
                  <c:v>3</c:v>
                </c:pt>
                <c:pt idx="1120">
                  <c:v>1</c:v>
                </c:pt>
                <c:pt idx="1121">
                  <c:v>10</c:v>
                </c:pt>
                <c:pt idx="1122">
                  <c:v>1</c:v>
                </c:pt>
                <c:pt idx="1123">
                  <c:v>10</c:v>
                </c:pt>
                <c:pt idx="1124">
                  <c:v>5</c:v>
                </c:pt>
                <c:pt idx="1125">
                  <c:v>0</c:v>
                </c:pt>
                <c:pt idx="1126">
                  <c:v>0</c:v>
                </c:pt>
                <c:pt idx="1127">
                  <c:v>4</c:v>
                </c:pt>
                <c:pt idx="1128">
                  <c:v>0</c:v>
                </c:pt>
                <c:pt idx="1129">
                  <c:v>0</c:v>
                </c:pt>
                <c:pt idx="1130">
                  <c:v>0</c:v>
                </c:pt>
                <c:pt idx="1131">
                  <c:v>6</c:v>
                </c:pt>
                <c:pt idx="1132">
                  <c:v>5</c:v>
                </c:pt>
                <c:pt idx="1133">
                  <c:v>0</c:v>
                </c:pt>
                <c:pt idx="1134">
                  <c:v>2</c:v>
                </c:pt>
                <c:pt idx="1135">
                  <c:v>1</c:v>
                </c:pt>
                <c:pt idx="1136">
                  <c:v>1</c:v>
                </c:pt>
                <c:pt idx="1137">
                  <c:v>0</c:v>
                </c:pt>
                <c:pt idx="1138">
                  <c:v>2</c:v>
                </c:pt>
                <c:pt idx="1139">
                  <c:v>1</c:v>
                </c:pt>
                <c:pt idx="1140">
                  <c:v>5</c:v>
                </c:pt>
                <c:pt idx="1141">
                  <c:v>0</c:v>
                </c:pt>
                <c:pt idx="1142">
                  <c:v>4</c:v>
                </c:pt>
                <c:pt idx="1143">
                  <c:v>0</c:v>
                </c:pt>
                <c:pt idx="1144">
                  <c:v>4</c:v>
                </c:pt>
                <c:pt idx="1145">
                  <c:v>0</c:v>
                </c:pt>
                <c:pt idx="1146">
                  <c:v>2</c:v>
                </c:pt>
                <c:pt idx="1147">
                  <c:v>6</c:v>
                </c:pt>
                <c:pt idx="1148">
                  <c:v>0</c:v>
                </c:pt>
                <c:pt idx="1149">
                  <c:v>0</c:v>
                </c:pt>
                <c:pt idx="1150">
                  <c:v>2</c:v>
                </c:pt>
                <c:pt idx="1151">
                  <c:v>0</c:v>
                </c:pt>
                <c:pt idx="1152">
                  <c:v>0</c:v>
                </c:pt>
                <c:pt idx="1153">
                  <c:v>0</c:v>
                </c:pt>
                <c:pt idx="1154">
                  <c:v>0</c:v>
                </c:pt>
                <c:pt idx="1155">
                  <c:v>1</c:v>
                </c:pt>
                <c:pt idx="1156">
                  <c:v>1</c:v>
                </c:pt>
                <c:pt idx="1157">
                  <c:v>0</c:v>
                </c:pt>
                <c:pt idx="1158">
                  <c:v>7</c:v>
                </c:pt>
                <c:pt idx="1159">
                  <c:v>0</c:v>
                </c:pt>
                <c:pt idx="1160">
                  <c:v>0</c:v>
                </c:pt>
                <c:pt idx="1161">
                  <c:v>1</c:v>
                </c:pt>
                <c:pt idx="1162">
                  <c:v>0</c:v>
                </c:pt>
                <c:pt idx="1163">
                  <c:v>5</c:v>
                </c:pt>
                <c:pt idx="1164">
                  <c:v>0</c:v>
                </c:pt>
                <c:pt idx="1165">
                  <c:v>2</c:v>
                </c:pt>
                <c:pt idx="1166">
                  <c:v>1</c:v>
                </c:pt>
                <c:pt idx="1167">
                  <c:v>0</c:v>
                </c:pt>
                <c:pt idx="1168">
                  <c:v>0</c:v>
                </c:pt>
                <c:pt idx="1169">
                  <c:v>7</c:v>
                </c:pt>
                <c:pt idx="1170">
                  <c:v>7</c:v>
                </c:pt>
                <c:pt idx="1171">
                  <c:v>0</c:v>
                </c:pt>
                <c:pt idx="1172">
                  <c:v>4</c:v>
                </c:pt>
                <c:pt idx="1173">
                  <c:v>0</c:v>
                </c:pt>
                <c:pt idx="1174">
                  <c:v>0</c:v>
                </c:pt>
                <c:pt idx="1175">
                  <c:v>7</c:v>
                </c:pt>
                <c:pt idx="1176">
                  <c:v>2</c:v>
                </c:pt>
                <c:pt idx="1177">
                  <c:v>6</c:v>
                </c:pt>
                <c:pt idx="1178">
                  <c:v>5</c:v>
                </c:pt>
                <c:pt idx="1179">
                  <c:v>0</c:v>
                </c:pt>
                <c:pt idx="1180">
                  <c:v>3</c:v>
                </c:pt>
                <c:pt idx="1181">
                  <c:v>0</c:v>
                </c:pt>
                <c:pt idx="1182">
                  <c:v>0</c:v>
                </c:pt>
                <c:pt idx="1183">
                  <c:v>1</c:v>
                </c:pt>
                <c:pt idx="1184">
                  <c:v>0</c:v>
                </c:pt>
                <c:pt idx="1185">
                  <c:v>0</c:v>
                </c:pt>
                <c:pt idx="1186">
                  <c:v>0</c:v>
                </c:pt>
                <c:pt idx="1187">
                  <c:v>0</c:v>
                </c:pt>
                <c:pt idx="1188">
                  <c:v>0</c:v>
                </c:pt>
                <c:pt idx="1189">
                  <c:v>2</c:v>
                </c:pt>
                <c:pt idx="1190">
                  <c:v>1</c:v>
                </c:pt>
                <c:pt idx="1191">
                  <c:v>0</c:v>
                </c:pt>
                <c:pt idx="1192">
                  <c:v>6</c:v>
                </c:pt>
                <c:pt idx="1193">
                  <c:v>3</c:v>
                </c:pt>
                <c:pt idx="1194">
                  <c:v>0</c:v>
                </c:pt>
                <c:pt idx="1195">
                  <c:v>0</c:v>
                </c:pt>
                <c:pt idx="1196">
                  <c:v>0</c:v>
                </c:pt>
                <c:pt idx="1197">
                  <c:v>2</c:v>
                </c:pt>
                <c:pt idx="1198">
                  <c:v>0</c:v>
                </c:pt>
                <c:pt idx="1199">
                  <c:v>6</c:v>
                </c:pt>
                <c:pt idx="1200">
                  <c:v>0</c:v>
                </c:pt>
                <c:pt idx="1201">
                  <c:v>0</c:v>
                </c:pt>
                <c:pt idx="1202">
                  <c:v>8</c:v>
                </c:pt>
                <c:pt idx="1203">
                  <c:v>0</c:v>
                </c:pt>
                <c:pt idx="1204">
                  <c:v>2</c:v>
                </c:pt>
                <c:pt idx="1205">
                  <c:v>0</c:v>
                </c:pt>
                <c:pt idx="1206">
                  <c:v>0</c:v>
                </c:pt>
                <c:pt idx="1207">
                  <c:v>0</c:v>
                </c:pt>
                <c:pt idx="1208">
                  <c:v>0</c:v>
                </c:pt>
                <c:pt idx="1209">
                  <c:v>0</c:v>
                </c:pt>
                <c:pt idx="1210">
                  <c:v>0</c:v>
                </c:pt>
                <c:pt idx="1211">
                  <c:v>0</c:v>
                </c:pt>
                <c:pt idx="1212">
                  <c:v>0</c:v>
                </c:pt>
                <c:pt idx="1213">
                  <c:v>0</c:v>
                </c:pt>
                <c:pt idx="1214">
                  <c:v>2</c:v>
                </c:pt>
                <c:pt idx="1215">
                  <c:v>0</c:v>
                </c:pt>
                <c:pt idx="1216">
                  <c:v>10</c:v>
                </c:pt>
                <c:pt idx="1217">
                  <c:v>0</c:v>
                </c:pt>
                <c:pt idx="1218">
                  <c:v>3</c:v>
                </c:pt>
                <c:pt idx="1219">
                  <c:v>0</c:v>
                </c:pt>
                <c:pt idx="1220">
                  <c:v>1</c:v>
                </c:pt>
                <c:pt idx="1221">
                  <c:v>0</c:v>
                </c:pt>
                <c:pt idx="1222">
                  <c:v>0</c:v>
                </c:pt>
                <c:pt idx="1223">
                  <c:v>0</c:v>
                </c:pt>
                <c:pt idx="1224">
                  <c:v>0</c:v>
                </c:pt>
                <c:pt idx="1225">
                  <c:v>0</c:v>
                </c:pt>
                <c:pt idx="1226">
                  <c:v>0</c:v>
                </c:pt>
                <c:pt idx="1227">
                  <c:v>0</c:v>
                </c:pt>
                <c:pt idx="1228">
                  <c:v>0</c:v>
                </c:pt>
                <c:pt idx="1229">
                  <c:v>0</c:v>
                </c:pt>
                <c:pt idx="1230">
                  <c:v>0</c:v>
                </c:pt>
                <c:pt idx="1231">
                  <c:v>7</c:v>
                </c:pt>
                <c:pt idx="1232">
                  <c:v>0</c:v>
                </c:pt>
                <c:pt idx="1233">
                  <c:v>2</c:v>
                </c:pt>
                <c:pt idx="1234">
                  <c:v>0</c:v>
                </c:pt>
                <c:pt idx="1235">
                  <c:v>0</c:v>
                </c:pt>
                <c:pt idx="1236">
                  <c:v>4</c:v>
                </c:pt>
                <c:pt idx="1237">
                  <c:v>2</c:v>
                </c:pt>
                <c:pt idx="1238">
                  <c:v>0</c:v>
                </c:pt>
                <c:pt idx="1239">
                  <c:v>0</c:v>
                </c:pt>
                <c:pt idx="1240">
                  <c:v>0</c:v>
                </c:pt>
                <c:pt idx="1241">
                  <c:v>4</c:v>
                </c:pt>
                <c:pt idx="1242">
                  <c:v>0</c:v>
                </c:pt>
                <c:pt idx="1243">
                  <c:v>0</c:v>
                </c:pt>
                <c:pt idx="1244">
                  <c:v>16</c:v>
                </c:pt>
                <c:pt idx="1245">
                  <c:v>0</c:v>
                </c:pt>
                <c:pt idx="1246">
                  <c:v>8</c:v>
                </c:pt>
                <c:pt idx="1247">
                  <c:v>0</c:v>
                </c:pt>
                <c:pt idx="1248">
                  <c:v>3</c:v>
                </c:pt>
                <c:pt idx="1249">
                  <c:v>0</c:v>
                </c:pt>
                <c:pt idx="1250">
                  <c:v>0</c:v>
                </c:pt>
                <c:pt idx="1251">
                  <c:v>0</c:v>
                </c:pt>
                <c:pt idx="1252">
                  <c:v>4</c:v>
                </c:pt>
                <c:pt idx="1253">
                  <c:v>2</c:v>
                </c:pt>
                <c:pt idx="1254">
                  <c:v>0</c:v>
                </c:pt>
                <c:pt idx="1255">
                  <c:v>0</c:v>
                </c:pt>
                <c:pt idx="1256">
                  <c:v>0</c:v>
                </c:pt>
                <c:pt idx="1257">
                  <c:v>0</c:v>
                </c:pt>
                <c:pt idx="1258">
                  <c:v>1</c:v>
                </c:pt>
                <c:pt idx="1259">
                  <c:v>0</c:v>
                </c:pt>
                <c:pt idx="1260">
                  <c:v>4</c:v>
                </c:pt>
                <c:pt idx="1261">
                  <c:v>4</c:v>
                </c:pt>
                <c:pt idx="1262">
                  <c:v>8</c:v>
                </c:pt>
                <c:pt idx="1263">
                  <c:v>0</c:v>
                </c:pt>
                <c:pt idx="1264">
                  <c:v>6</c:v>
                </c:pt>
                <c:pt idx="1265">
                  <c:v>12</c:v>
                </c:pt>
                <c:pt idx="1266">
                  <c:v>3</c:v>
                </c:pt>
                <c:pt idx="1267">
                  <c:v>0</c:v>
                </c:pt>
                <c:pt idx="1268">
                  <c:v>1</c:v>
                </c:pt>
                <c:pt idx="1269">
                  <c:v>8</c:v>
                </c:pt>
                <c:pt idx="1270">
                  <c:v>2</c:v>
                </c:pt>
                <c:pt idx="1271">
                  <c:v>0</c:v>
                </c:pt>
                <c:pt idx="1272">
                  <c:v>0</c:v>
                </c:pt>
                <c:pt idx="1273">
                  <c:v>1</c:v>
                </c:pt>
                <c:pt idx="1274">
                  <c:v>0</c:v>
                </c:pt>
                <c:pt idx="1275">
                  <c:v>2</c:v>
                </c:pt>
                <c:pt idx="1276">
                  <c:v>0</c:v>
                </c:pt>
                <c:pt idx="1277">
                  <c:v>1</c:v>
                </c:pt>
                <c:pt idx="1278">
                  <c:v>0</c:v>
                </c:pt>
                <c:pt idx="1279">
                  <c:v>0</c:v>
                </c:pt>
                <c:pt idx="1280">
                  <c:v>0</c:v>
                </c:pt>
                <c:pt idx="1281">
                  <c:v>3</c:v>
                </c:pt>
                <c:pt idx="1282">
                  <c:v>0</c:v>
                </c:pt>
                <c:pt idx="1283">
                  <c:v>1</c:v>
                </c:pt>
                <c:pt idx="1284">
                  <c:v>9</c:v>
                </c:pt>
                <c:pt idx="1285">
                  <c:v>4</c:v>
                </c:pt>
                <c:pt idx="1286">
                  <c:v>0</c:v>
                </c:pt>
                <c:pt idx="1287">
                  <c:v>0</c:v>
                </c:pt>
                <c:pt idx="1288">
                  <c:v>2</c:v>
                </c:pt>
                <c:pt idx="1289">
                  <c:v>4</c:v>
                </c:pt>
                <c:pt idx="1290">
                  <c:v>4</c:v>
                </c:pt>
                <c:pt idx="1291">
                  <c:v>0</c:v>
                </c:pt>
                <c:pt idx="1292">
                  <c:v>2</c:v>
                </c:pt>
                <c:pt idx="1293">
                  <c:v>0</c:v>
                </c:pt>
                <c:pt idx="1294">
                  <c:v>1</c:v>
                </c:pt>
                <c:pt idx="1295">
                  <c:v>0</c:v>
                </c:pt>
                <c:pt idx="1296">
                  <c:v>1</c:v>
                </c:pt>
                <c:pt idx="1297">
                  <c:v>0</c:v>
                </c:pt>
                <c:pt idx="1298">
                  <c:v>1</c:v>
                </c:pt>
                <c:pt idx="1299">
                  <c:v>5</c:v>
                </c:pt>
                <c:pt idx="1300">
                  <c:v>2</c:v>
                </c:pt>
                <c:pt idx="1301">
                  <c:v>0</c:v>
                </c:pt>
                <c:pt idx="1302">
                  <c:v>2</c:v>
                </c:pt>
                <c:pt idx="1303">
                  <c:v>2</c:v>
                </c:pt>
                <c:pt idx="1304">
                  <c:v>0</c:v>
                </c:pt>
                <c:pt idx="1305">
                  <c:v>2</c:v>
                </c:pt>
                <c:pt idx="1306">
                  <c:v>0</c:v>
                </c:pt>
                <c:pt idx="1307">
                  <c:v>4</c:v>
                </c:pt>
                <c:pt idx="1308">
                  <c:v>0</c:v>
                </c:pt>
                <c:pt idx="1309">
                  <c:v>3</c:v>
                </c:pt>
                <c:pt idx="1310">
                  <c:v>7</c:v>
                </c:pt>
                <c:pt idx="1311">
                  <c:v>1</c:v>
                </c:pt>
                <c:pt idx="1312">
                  <c:v>0</c:v>
                </c:pt>
                <c:pt idx="1313">
                  <c:v>1</c:v>
                </c:pt>
                <c:pt idx="1314">
                  <c:v>14</c:v>
                </c:pt>
                <c:pt idx="1315">
                  <c:v>0</c:v>
                </c:pt>
                <c:pt idx="1316">
                  <c:v>3</c:v>
                </c:pt>
                <c:pt idx="1317">
                  <c:v>10</c:v>
                </c:pt>
                <c:pt idx="1318">
                  <c:v>2</c:v>
                </c:pt>
                <c:pt idx="1319">
                  <c:v>0</c:v>
                </c:pt>
                <c:pt idx="1320">
                  <c:v>3</c:v>
                </c:pt>
                <c:pt idx="1321">
                  <c:v>8</c:v>
                </c:pt>
                <c:pt idx="1322">
                  <c:v>2</c:v>
                </c:pt>
                <c:pt idx="1323">
                  <c:v>1</c:v>
                </c:pt>
                <c:pt idx="1324">
                  <c:v>5</c:v>
                </c:pt>
                <c:pt idx="1325">
                  <c:v>1</c:v>
                </c:pt>
                <c:pt idx="1326">
                  <c:v>2</c:v>
                </c:pt>
                <c:pt idx="1327">
                  <c:v>2</c:v>
                </c:pt>
                <c:pt idx="1328">
                  <c:v>4</c:v>
                </c:pt>
                <c:pt idx="1329">
                  <c:v>0</c:v>
                </c:pt>
                <c:pt idx="1330">
                  <c:v>4</c:v>
                </c:pt>
                <c:pt idx="1331">
                  <c:v>11</c:v>
                </c:pt>
                <c:pt idx="1332">
                  <c:v>2</c:v>
                </c:pt>
                <c:pt idx="1333">
                  <c:v>2</c:v>
                </c:pt>
                <c:pt idx="1334">
                  <c:v>0</c:v>
                </c:pt>
                <c:pt idx="1335">
                  <c:v>3</c:v>
                </c:pt>
                <c:pt idx="1336">
                  <c:v>8</c:v>
                </c:pt>
                <c:pt idx="1337">
                  <c:v>3</c:v>
                </c:pt>
                <c:pt idx="1338">
                  <c:v>0</c:v>
                </c:pt>
                <c:pt idx="1339">
                  <c:v>0</c:v>
                </c:pt>
                <c:pt idx="1340">
                  <c:v>0</c:v>
                </c:pt>
                <c:pt idx="1341">
                  <c:v>1</c:v>
                </c:pt>
                <c:pt idx="1342">
                  <c:v>6</c:v>
                </c:pt>
                <c:pt idx="1343">
                  <c:v>11</c:v>
                </c:pt>
                <c:pt idx="1344">
                  <c:v>0</c:v>
                </c:pt>
                <c:pt idx="1345">
                  <c:v>2</c:v>
                </c:pt>
                <c:pt idx="1346">
                  <c:v>0</c:v>
                </c:pt>
                <c:pt idx="1347">
                  <c:v>4</c:v>
                </c:pt>
                <c:pt idx="1348">
                  <c:v>0</c:v>
                </c:pt>
                <c:pt idx="1349">
                  <c:v>0</c:v>
                </c:pt>
                <c:pt idx="1350">
                  <c:v>0</c:v>
                </c:pt>
                <c:pt idx="1351">
                  <c:v>0</c:v>
                </c:pt>
                <c:pt idx="1352">
                  <c:v>0</c:v>
                </c:pt>
                <c:pt idx="1353">
                  <c:v>0</c:v>
                </c:pt>
                <c:pt idx="1354">
                  <c:v>0</c:v>
                </c:pt>
                <c:pt idx="1355">
                  <c:v>2</c:v>
                </c:pt>
                <c:pt idx="1356">
                  <c:v>2</c:v>
                </c:pt>
                <c:pt idx="1357">
                  <c:v>0</c:v>
                </c:pt>
                <c:pt idx="1358">
                  <c:v>3</c:v>
                </c:pt>
                <c:pt idx="1359">
                  <c:v>5</c:v>
                </c:pt>
                <c:pt idx="1360">
                  <c:v>0</c:v>
                </c:pt>
                <c:pt idx="1361">
                  <c:v>0</c:v>
                </c:pt>
                <c:pt idx="1362">
                  <c:v>10</c:v>
                </c:pt>
                <c:pt idx="1363">
                  <c:v>0</c:v>
                </c:pt>
                <c:pt idx="1364">
                  <c:v>4</c:v>
                </c:pt>
                <c:pt idx="1365">
                  <c:v>16</c:v>
                </c:pt>
                <c:pt idx="1366">
                  <c:v>1</c:v>
                </c:pt>
                <c:pt idx="1367">
                  <c:v>6</c:v>
                </c:pt>
                <c:pt idx="1368">
                  <c:v>1</c:v>
                </c:pt>
                <c:pt idx="1369">
                  <c:v>3</c:v>
                </c:pt>
                <c:pt idx="1370">
                  <c:v>0</c:v>
                </c:pt>
                <c:pt idx="1371">
                  <c:v>0</c:v>
                </c:pt>
                <c:pt idx="1372">
                  <c:v>0</c:v>
                </c:pt>
                <c:pt idx="1373">
                  <c:v>0</c:v>
                </c:pt>
                <c:pt idx="1374">
                  <c:v>0</c:v>
                </c:pt>
                <c:pt idx="1375">
                  <c:v>0</c:v>
                </c:pt>
                <c:pt idx="1376">
                  <c:v>0</c:v>
                </c:pt>
                <c:pt idx="1377">
                  <c:v>0</c:v>
                </c:pt>
                <c:pt idx="1378">
                  <c:v>0</c:v>
                </c:pt>
                <c:pt idx="1379">
                  <c:v>0</c:v>
                </c:pt>
                <c:pt idx="1380">
                  <c:v>1</c:v>
                </c:pt>
                <c:pt idx="1381">
                  <c:v>1</c:v>
                </c:pt>
                <c:pt idx="1382">
                  <c:v>2</c:v>
                </c:pt>
                <c:pt idx="1383">
                  <c:v>0</c:v>
                </c:pt>
                <c:pt idx="1384">
                  <c:v>1</c:v>
                </c:pt>
                <c:pt idx="1385">
                  <c:v>0</c:v>
                </c:pt>
                <c:pt idx="1386">
                  <c:v>0</c:v>
                </c:pt>
                <c:pt idx="1387">
                  <c:v>0</c:v>
                </c:pt>
                <c:pt idx="1388">
                  <c:v>0</c:v>
                </c:pt>
                <c:pt idx="1389">
                  <c:v>3</c:v>
                </c:pt>
                <c:pt idx="1390">
                  <c:v>3</c:v>
                </c:pt>
                <c:pt idx="1391">
                  <c:v>0</c:v>
                </c:pt>
                <c:pt idx="1392">
                  <c:v>0</c:v>
                </c:pt>
                <c:pt idx="1393">
                  <c:v>1</c:v>
                </c:pt>
                <c:pt idx="1394">
                  <c:v>0</c:v>
                </c:pt>
                <c:pt idx="1395">
                  <c:v>0</c:v>
                </c:pt>
                <c:pt idx="1396">
                  <c:v>0</c:v>
                </c:pt>
                <c:pt idx="1397">
                  <c:v>0</c:v>
                </c:pt>
                <c:pt idx="1398">
                  <c:v>0</c:v>
                </c:pt>
                <c:pt idx="1399">
                  <c:v>1</c:v>
                </c:pt>
                <c:pt idx="1400">
                  <c:v>6</c:v>
                </c:pt>
                <c:pt idx="1401">
                  <c:v>1</c:v>
                </c:pt>
                <c:pt idx="1402">
                  <c:v>0</c:v>
                </c:pt>
                <c:pt idx="1403">
                  <c:v>0</c:v>
                </c:pt>
                <c:pt idx="1404">
                  <c:v>0</c:v>
                </c:pt>
                <c:pt idx="1405">
                  <c:v>0</c:v>
                </c:pt>
                <c:pt idx="1406">
                  <c:v>2</c:v>
                </c:pt>
                <c:pt idx="1407">
                  <c:v>10</c:v>
                </c:pt>
                <c:pt idx="1408">
                  <c:v>4</c:v>
                </c:pt>
                <c:pt idx="1409">
                  <c:v>5</c:v>
                </c:pt>
                <c:pt idx="1410">
                  <c:v>3</c:v>
                </c:pt>
                <c:pt idx="1411">
                  <c:v>2</c:v>
                </c:pt>
                <c:pt idx="1412">
                  <c:v>1</c:v>
                </c:pt>
                <c:pt idx="1413">
                  <c:v>0</c:v>
                </c:pt>
                <c:pt idx="1414">
                  <c:v>0</c:v>
                </c:pt>
                <c:pt idx="1415">
                  <c:v>2</c:v>
                </c:pt>
                <c:pt idx="1416">
                  <c:v>0</c:v>
                </c:pt>
                <c:pt idx="1417">
                  <c:v>9</c:v>
                </c:pt>
                <c:pt idx="1418">
                  <c:v>0</c:v>
                </c:pt>
                <c:pt idx="1419">
                  <c:v>3</c:v>
                </c:pt>
                <c:pt idx="1420">
                  <c:v>5</c:v>
                </c:pt>
                <c:pt idx="1421">
                  <c:v>2</c:v>
                </c:pt>
                <c:pt idx="1422">
                  <c:v>4</c:v>
                </c:pt>
                <c:pt idx="1423">
                  <c:v>1</c:v>
                </c:pt>
                <c:pt idx="1424">
                  <c:v>0</c:v>
                </c:pt>
                <c:pt idx="1425">
                  <c:v>4</c:v>
                </c:pt>
                <c:pt idx="1426">
                  <c:v>0</c:v>
                </c:pt>
                <c:pt idx="1427">
                  <c:v>0</c:v>
                </c:pt>
                <c:pt idx="1428">
                  <c:v>0</c:v>
                </c:pt>
                <c:pt idx="1429">
                  <c:v>5</c:v>
                </c:pt>
                <c:pt idx="1430">
                  <c:v>8</c:v>
                </c:pt>
                <c:pt idx="1431">
                  <c:v>2</c:v>
                </c:pt>
                <c:pt idx="1432">
                  <c:v>2</c:v>
                </c:pt>
                <c:pt idx="1433">
                  <c:v>0</c:v>
                </c:pt>
                <c:pt idx="1434">
                  <c:v>3</c:v>
                </c:pt>
                <c:pt idx="1435">
                  <c:v>6</c:v>
                </c:pt>
                <c:pt idx="1436">
                  <c:v>1</c:v>
                </c:pt>
                <c:pt idx="1437">
                  <c:v>3</c:v>
                </c:pt>
                <c:pt idx="1438">
                  <c:v>4</c:v>
                </c:pt>
                <c:pt idx="1439">
                  <c:v>0</c:v>
                </c:pt>
                <c:pt idx="1440">
                  <c:v>0</c:v>
                </c:pt>
                <c:pt idx="1441">
                  <c:v>0</c:v>
                </c:pt>
                <c:pt idx="1442">
                  <c:v>0</c:v>
                </c:pt>
                <c:pt idx="1443">
                  <c:v>6</c:v>
                </c:pt>
                <c:pt idx="1444">
                  <c:v>4</c:v>
                </c:pt>
                <c:pt idx="1445">
                  <c:v>6</c:v>
                </c:pt>
                <c:pt idx="1446">
                  <c:v>0</c:v>
                </c:pt>
                <c:pt idx="1447">
                  <c:v>0</c:v>
                </c:pt>
                <c:pt idx="1448">
                  <c:v>0</c:v>
                </c:pt>
                <c:pt idx="1449">
                  <c:v>4</c:v>
                </c:pt>
                <c:pt idx="1450">
                  <c:v>7</c:v>
                </c:pt>
                <c:pt idx="1451">
                  <c:v>1</c:v>
                </c:pt>
                <c:pt idx="1452">
                  <c:v>5</c:v>
                </c:pt>
                <c:pt idx="1453">
                  <c:v>6</c:v>
                </c:pt>
                <c:pt idx="1454">
                  <c:v>13</c:v>
                </c:pt>
                <c:pt idx="1455">
                  <c:v>1</c:v>
                </c:pt>
                <c:pt idx="1456">
                  <c:v>1</c:v>
                </c:pt>
                <c:pt idx="1457">
                  <c:v>7</c:v>
                </c:pt>
                <c:pt idx="1458">
                  <c:v>0</c:v>
                </c:pt>
                <c:pt idx="1459">
                  <c:v>1</c:v>
                </c:pt>
                <c:pt idx="1460">
                  <c:v>0</c:v>
                </c:pt>
                <c:pt idx="1461">
                  <c:v>0</c:v>
                </c:pt>
                <c:pt idx="1462">
                  <c:v>3</c:v>
                </c:pt>
                <c:pt idx="1463">
                  <c:v>0</c:v>
                </c:pt>
                <c:pt idx="1464">
                  <c:v>0</c:v>
                </c:pt>
                <c:pt idx="1465">
                  <c:v>3</c:v>
                </c:pt>
                <c:pt idx="1466">
                  <c:v>3</c:v>
                </c:pt>
                <c:pt idx="1467">
                  <c:v>0</c:v>
                </c:pt>
                <c:pt idx="1468">
                  <c:v>0</c:v>
                </c:pt>
                <c:pt idx="1469">
                  <c:v>0</c:v>
                </c:pt>
                <c:pt idx="1470">
                  <c:v>0</c:v>
                </c:pt>
                <c:pt idx="1471">
                  <c:v>5</c:v>
                </c:pt>
                <c:pt idx="1472">
                  <c:v>0</c:v>
                </c:pt>
                <c:pt idx="1473">
                  <c:v>0</c:v>
                </c:pt>
                <c:pt idx="1474">
                  <c:v>0</c:v>
                </c:pt>
                <c:pt idx="1475">
                  <c:v>3</c:v>
                </c:pt>
                <c:pt idx="1476">
                  <c:v>1</c:v>
                </c:pt>
                <c:pt idx="1477">
                  <c:v>5</c:v>
                </c:pt>
                <c:pt idx="1478">
                  <c:v>0</c:v>
                </c:pt>
                <c:pt idx="1479">
                  <c:v>4</c:v>
                </c:pt>
                <c:pt idx="1480">
                  <c:v>12</c:v>
                </c:pt>
                <c:pt idx="1481">
                  <c:v>1</c:v>
                </c:pt>
                <c:pt idx="1482">
                  <c:v>6</c:v>
                </c:pt>
                <c:pt idx="1483">
                  <c:v>0</c:v>
                </c:pt>
                <c:pt idx="1484">
                  <c:v>0</c:v>
                </c:pt>
                <c:pt idx="1485">
                  <c:v>0</c:v>
                </c:pt>
                <c:pt idx="1486">
                  <c:v>0</c:v>
                </c:pt>
                <c:pt idx="1487">
                  <c:v>4</c:v>
                </c:pt>
                <c:pt idx="1488">
                  <c:v>2</c:v>
                </c:pt>
                <c:pt idx="1489">
                  <c:v>6</c:v>
                </c:pt>
                <c:pt idx="1490">
                  <c:v>1</c:v>
                </c:pt>
                <c:pt idx="1491">
                  <c:v>3</c:v>
                </c:pt>
                <c:pt idx="1492">
                  <c:v>6</c:v>
                </c:pt>
                <c:pt idx="1493">
                  <c:v>0</c:v>
                </c:pt>
                <c:pt idx="1494">
                  <c:v>0</c:v>
                </c:pt>
                <c:pt idx="1495">
                  <c:v>0</c:v>
                </c:pt>
                <c:pt idx="1496">
                  <c:v>0</c:v>
                </c:pt>
                <c:pt idx="1497">
                  <c:v>5</c:v>
                </c:pt>
                <c:pt idx="1498">
                  <c:v>0</c:v>
                </c:pt>
                <c:pt idx="1499">
                  <c:v>3</c:v>
                </c:pt>
                <c:pt idx="1500">
                  <c:v>4</c:v>
                </c:pt>
                <c:pt idx="1501">
                  <c:v>0</c:v>
                </c:pt>
                <c:pt idx="1502">
                  <c:v>7</c:v>
                </c:pt>
                <c:pt idx="1503">
                  <c:v>0</c:v>
                </c:pt>
                <c:pt idx="1504">
                  <c:v>0</c:v>
                </c:pt>
                <c:pt idx="1505">
                  <c:v>0</c:v>
                </c:pt>
                <c:pt idx="1506">
                  <c:v>0</c:v>
                </c:pt>
                <c:pt idx="1507">
                  <c:v>6</c:v>
                </c:pt>
                <c:pt idx="1508">
                  <c:v>0</c:v>
                </c:pt>
                <c:pt idx="1509">
                  <c:v>0</c:v>
                </c:pt>
                <c:pt idx="1510">
                  <c:v>0</c:v>
                </c:pt>
                <c:pt idx="1511">
                  <c:v>0</c:v>
                </c:pt>
                <c:pt idx="1512">
                  <c:v>2</c:v>
                </c:pt>
                <c:pt idx="1513">
                  <c:v>0</c:v>
                </c:pt>
                <c:pt idx="1514">
                  <c:v>5</c:v>
                </c:pt>
                <c:pt idx="1515">
                  <c:v>0</c:v>
                </c:pt>
                <c:pt idx="1516">
                  <c:v>5</c:v>
                </c:pt>
                <c:pt idx="1517">
                  <c:v>6</c:v>
                </c:pt>
                <c:pt idx="1518">
                  <c:v>0</c:v>
                </c:pt>
                <c:pt idx="1519">
                  <c:v>6</c:v>
                </c:pt>
                <c:pt idx="1520">
                  <c:v>0</c:v>
                </c:pt>
                <c:pt idx="1521">
                  <c:v>5</c:v>
                </c:pt>
                <c:pt idx="1522">
                  <c:v>0</c:v>
                </c:pt>
                <c:pt idx="1523">
                  <c:v>0</c:v>
                </c:pt>
                <c:pt idx="1524">
                  <c:v>3</c:v>
                </c:pt>
                <c:pt idx="1525">
                  <c:v>6</c:v>
                </c:pt>
                <c:pt idx="1526">
                  <c:v>5</c:v>
                </c:pt>
                <c:pt idx="1527">
                  <c:v>0</c:v>
                </c:pt>
                <c:pt idx="1528">
                  <c:v>9</c:v>
                </c:pt>
                <c:pt idx="1529">
                  <c:v>4</c:v>
                </c:pt>
                <c:pt idx="1530">
                  <c:v>6</c:v>
                </c:pt>
                <c:pt idx="1531">
                  <c:v>4</c:v>
                </c:pt>
                <c:pt idx="1532">
                  <c:v>0</c:v>
                </c:pt>
                <c:pt idx="1533">
                  <c:v>3</c:v>
                </c:pt>
                <c:pt idx="1534">
                  <c:v>1</c:v>
                </c:pt>
                <c:pt idx="1535">
                  <c:v>1</c:v>
                </c:pt>
                <c:pt idx="1536">
                  <c:v>0</c:v>
                </c:pt>
                <c:pt idx="1537">
                  <c:v>3</c:v>
                </c:pt>
                <c:pt idx="1538">
                  <c:v>7</c:v>
                </c:pt>
                <c:pt idx="1539">
                  <c:v>0</c:v>
                </c:pt>
                <c:pt idx="1540">
                  <c:v>8</c:v>
                </c:pt>
                <c:pt idx="1541">
                  <c:v>0</c:v>
                </c:pt>
                <c:pt idx="1542">
                  <c:v>8</c:v>
                </c:pt>
                <c:pt idx="1543">
                  <c:v>0</c:v>
                </c:pt>
                <c:pt idx="1544">
                  <c:v>10</c:v>
                </c:pt>
                <c:pt idx="1545">
                  <c:v>1</c:v>
                </c:pt>
                <c:pt idx="1546">
                  <c:v>0</c:v>
                </c:pt>
                <c:pt idx="1547">
                  <c:v>0</c:v>
                </c:pt>
                <c:pt idx="1548">
                  <c:v>9</c:v>
                </c:pt>
                <c:pt idx="1549">
                  <c:v>1</c:v>
                </c:pt>
                <c:pt idx="1550">
                  <c:v>0</c:v>
                </c:pt>
                <c:pt idx="1551">
                  <c:v>6</c:v>
                </c:pt>
                <c:pt idx="1552">
                  <c:v>0</c:v>
                </c:pt>
                <c:pt idx="1553">
                  <c:v>0</c:v>
                </c:pt>
                <c:pt idx="1554">
                  <c:v>0</c:v>
                </c:pt>
                <c:pt idx="1555">
                  <c:v>12</c:v>
                </c:pt>
                <c:pt idx="1556">
                  <c:v>3</c:v>
                </c:pt>
                <c:pt idx="1557">
                  <c:v>0</c:v>
                </c:pt>
                <c:pt idx="1558">
                  <c:v>0</c:v>
                </c:pt>
                <c:pt idx="1559">
                  <c:v>1</c:v>
                </c:pt>
                <c:pt idx="1560">
                  <c:v>0</c:v>
                </c:pt>
                <c:pt idx="1561">
                  <c:v>9</c:v>
                </c:pt>
                <c:pt idx="1562">
                  <c:v>0</c:v>
                </c:pt>
                <c:pt idx="1563">
                  <c:v>0</c:v>
                </c:pt>
                <c:pt idx="1564">
                  <c:v>2</c:v>
                </c:pt>
                <c:pt idx="1565">
                  <c:v>18</c:v>
                </c:pt>
                <c:pt idx="1566">
                  <c:v>14</c:v>
                </c:pt>
                <c:pt idx="1567">
                  <c:v>4</c:v>
                </c:pt>
                <c:pt idx="1568">
                  <c:v>6</c:v>
                </c:pt>
                <c:pt idx="1569">
                  <c:v>0</c:v>
                </c:pt>
                <c:pt idx="1570">
                  <c:v>3</c:v>
                </c:pt>
                <c:pt idx="1571">
                  <c:v>1</c:v>
                </c:pt>
                <c:pt idx="1572">
                  <c:v>13</c:v>
                </c:pt>
                <c:pt idx="1573">
                  <c:v>4</c:v>
                </c:pt>
                <c:pt idx="1574">
                  <c:v>8</c:v>
                </c:pt>
                <c:pt idx="1575">
                  <c:v>2</c:v>
                </c:pt>
                <c:pt idx="1576">
                  <c:v>3</c:v>
                </c:pt>
                <c:pt idx="1577">
                  <c:v>2</c:v>
                </c:pt>
                <c:pt idx="1578">
                  <c:v>6</c:v>
                </c:pt>
                <c:pt idx="1579">
                  <c:v>6</c:v>
                </c:pt>
                <c:pt idx="1580">
                  <c:v>2</c:v>
                </c:pt>
                <c:pt idx="1581">
                  <c:v>6</c:v>
                </c:pt>
                <c:pt idx="1582">
                  <c:v>8</c:v>
                </c:pt>
                <c:pt idx="1583">
                  <c:v>10</c:v>
                </c:pt>
                <c:pt idx="1584">
                  <c:v>1</c:v>
                </c:pt>
                <c:pt idx="1585">
                  <c:v>5</c:v>
                </c:pt>
                <c:pt idx="1586">
                  <c:v>0</c:v>
                </c:pt>
                <c:pt idx="1587">
                  <c:v>6</c:v>
                </c:pt>
                <c:pt idx="1588">
                  <c:v>1</c:v>
                </c:pt>
                <c:pt idx="1589">
                  <c:v>15</c:v>
                </c:pt>
                <c:pt idx="1590">
                  <c:v>2</c:v>
                </c:pt>
                <c:pt idx="1591">
                  <c:v>0</c:v>
                </c:pt>
                <c:pt idx="1592">
                  <c:v>1</c:v>
                </c:pt>
                <c:pt idx="1593">
                  <c:v>6</c:v>
                </c:pt>
                <c:pt idx="1594">
                  <c:v>0</c:v>
                </c:pt>
                <c:pt idx="1595">
                  <c:v>1</c:v>
                </c:pt>
                <c:pt idx="1596">
                  <c:v>4</c:v>
                </c:pt>
                <c:pt idx="1597">
                  <c:v>6</c:v>
                </c:pt>
                <c:pt idx="1598">
                  <c:v>5</c:v>
                </c:pt>
                <c:pt idx="1599">
                  <c:v>4</c:v>
                </c:pt>
                <c:pt idx="1600">
                  <c:v>6</c:v>
                </c:pt>
                <c:pt idx="1601">
                  <c:v>10</c:v>
                </c:pt>
                <c:pt idx="1602">
                  <c:v>0</c:v>
                </c:pt>
                <c:pt idx="1603">
                  <c:v>0</c:v>
                </c:pt>
                <c:pt idx="1604">
                  <c:v>2</c:v>
                </c:pt>
                <c:pt idx="1605">
                  <c:v>2</c:v>
                </c:pt>
                <c:pt idx="1606">
                  <c:v>0</c:v>
                </c:pt>
                <c:pt idx="1607">
                  <c:v>0</c:v>
                </c:pt>
                <c:pt idx="1608">
                  <c:v>6</c:v>
                </c:pt>
                <c:pt idx="1609">
                  <c:v>0</c:v>
                </c:pt>
                <c:pt idx="1610">
                  <c:v>1</c:v>
                </c:pt>
                <c:pt idx="1611">
                  <c:v>2</c:v>
                </c:pt>
                <c:pt idx="1612">
                  <c:v>1</c:v>
                </c:pt>
                <c:pt idx="1613">
                  <c:v>0</c:v>
                </c:pt>
                <c:pt idx="1614">
                  <c:v>4</c:v>
                </c:pt>
                <c:pt idx="1615">
                  <c:v>0</c:v>
                </c:pt>
                <c:pt idx="1616">
                  <c:v>0</c:v>
                </c:pt>
                <c:pt idx="1617">
                  <c:v>0</c:v>
                </c:pt>
                <c:pt idx="1618">
                  <c:v>0</c:v>
                </c:pt>
                <c:pt idx="1619">
                  <c:v>3</c:v>
                </c:pt>
                <c:pt idx="1620">
                  <c:v>0</c:v>
                </c:pt>
                <c:pt idx="1621">
                  <c:v>0</c:v>
                </c:pt>
                <c:pt idx="1622">
                  <c:v>0</c:v>
                </c:pt>
                <c:pt idx="1623">
                  <c:v>1</c:v>
                </c:pt>
                <c:pt idx="1624">
                  <c:v>3</c:v>
                </c:pt>
                <c:pt idx="1625">
                  <c:v>0</c:v>
                </c:pt>
                <c:pt idx="1626">
                  <c:v>0</c:v>
                </c:pt>
                <c:pt idx="1627">
                  <c:v>0</c:v>
                </c:pt>
                <c:pt idx="1628">
                  <c:v>5</c:v>
                </c:pt>
                <c:pt idx="1629">
                  <c:v>0</c:v>
                </c:pt>
                <c:pt idx="1630">
                  <c:v>1</c:v>
                </c:pt>
                <c:pt idx="1631">
                  <c:v>1</c:v>
                </c:pt>
                <c:pt idx="1632">
                  <c:v>0</c:v>
                </c:pt>
                <c:pt idx="1633">
                  <c:v>2</c:v>
                </c:pt>
                <c:pt idx="1634">
                  <c:v>0</c:v>
                </c:pt>
                <c:pt idx="1635">
                  <c:v>3</c:v>
                </c:pt>
                <c:pt idx="1636">
                  <c:v>2</c:v>
                </c:pt>
                <c:pt idx="1637">
                  <c:v>0</c:v>
                </c:pt>
                <c:pt idx="1638">
                  <c:v>0</c:v>
                </c:pt>
                <c:pt idx="1639">
                  <c:v>0</c:v>
                </c:pt>
                <c:pt idx="1640">
                  <c:v>0</c:v>
                </c:pt>
                <c:pt idx="1641">
                  <c:v>9</c:v>
                </c:pt>
                <c:pt idx="1642">
                  <c:v>7</c:v>
                </c:pt>
                <c:pt idx="1643">
                  <c:v>0</c:v>
                </c:pt>
                <c:pt idx="1644">
                  <c:v>2</c:v>
                </c:pt>
                <c:pt idx="1645">
                  <c:v>6</c:v>
                </c:pt>
                <c:pt idx="1646">
                  <c:v>1</c:v>
                </c:pt>
                <c:pt idx="1647">
                  <c:v>2</c:v>
                </c:pt>
                <c:pt idx="1648">
                  <c:v>0</c:v>
                </c:pt>
                <c:pt idx="1649">
                  <c:v>0</c:v>
                </c:pt>
                <c:pt idx="1650">
                  <c:v>1</c:v>
                </c:pt>
                <c:pt idx="1651">
                  <c:v>0</c:v>
                </c:pt>
                <c:pt idx="1652">
                  <c:v>0</c:v>
                </c:pt>
                <c:pt idx="1653">
                  <c:v>0</c:v>
                </c:pt>
                <c:pt idx="1654">
                  <c:v>0</c:v>
                </c:pt>
                <c:pt idx="1655">
                  <c:v>2</c:v>
                </c:pt>
                <c:pt idx="1656">
                  <c:v>1</c:v>
                </c:pt>
                <c:pt idx="1657">
                  <c:v>0</c:v>
                </c:pt>
                <c:pt idx="1658">
                  <c:v>3</c:v>
                </c:pt>
                <c:pt idx="1659">
                  <c:v>0</c:v>
                </c:pt>
                <c:pt idx="1660">
                  <c:v>0</c:v>
                </c:pt>
                <c:pt idx="1661">
                  <c:v>13</c:v>
                </c:pt>
                <c:pt idx="1662">
                  <c:v>3</c:v>
                </c:pt>
                <c:pt idx="1663">
                  <c:v>0</c:v>
                </c:pt>
                <c:pt idx="1664">
                  <c:v>3</c:v>
                </c:pt>
                <c:pt idx="1665">
                  <c:v>1</c:v>
                </c:pt>
                <c:pt idx="1666">
                  <c:v>5</c:v>
                </c:pt>
                <c:pt idx="1667">
                  <c:v>0</c:v>
                </c:pt>
                <c:pt idx="1668">
                  <c:v>0</c:v>
                </c:pt>
                <c:pt idx="1669">
                  <c:v>0</c:v>
                </c:pt>
                <c:pt idx="1670">
                  <c:v>0</c:v>
                </c:pt>
                <c:pt idx="1671">
                  <c:v>4</c:v>
                </c:pt>
                <c:pt idx="1672">
                  <c:v>8</c:v>
                </c:pt>
                <c:pt idx="1673">
                  <c:v>1</c:v>
                </c:pt>
                <c:pt idx="1674">
                  <c:v>7</c:v>
                </c:pt>
                <c:pt idx="1675">
                  <c:v>4</c:v>
                </c:pt>
                <c:pt idx="1676">
                  <c:v>0</c:v>
                </c:pt>
                <c:pt idx="1677">
                  <c:v>1</c:v>
                </c:pt>
                <c:pt idx="1678">
                  <c:v>0</c:v>
                </c:pt>
                <c:pt idx="1679">
                  <c:v>2</c:v>
                </c:pt>
                <c:pt idx="1680">
                  <c:v>4</c:v>
                </c:pt>
                <c:pt idx="1681">
                  <c:v>0</c:v>
                </c:pt>
                <c:pt idx="1682">
                  <c:v>2</c:v>
                </c:pt>
                <c:pt idx="1683">
                  <c:v>0</c:v>
                </c:pt>
                <c:pt idx="1684">
                  <c:v>1</c:v>
                </c:pt>
                <c:pt idx="1685">
                  <c:v>8</c:v>
                </c:pt>
                <c:pt idx="1686">
                  <c:v>0</c:v>
                </c:pt>
                <c:pt idx="1687">
                  <c:v>3</c:v>
                </c:pt>
                <c:pt idx="1688">
                  <c:v>4</c:v>
                </c:pt>
                <c:pt idx="1689">
                  <c:v>0</c:v>
                </c:pt>
                <c:pt idx="1690">
                  <c:v>2</c:v>
                </c:pt>
                <c:pt idx="1691">
                  <c:v>4</c:v>
                </c:pt>
                <c:pt idx="1692">
                  <c:v>1</c:v>
                </c:pt>
                <c:pt idx="1693">
                  <c:v>0</c:v>
                </c:pt>
                <c:pt idx="1694">
                  <c:v>6</c:v>
                </c:pt>
                <c:pt idx="1695">
                  <c:v>0</c:v>
                </c:pt>
                <c:pt idx="1696">
                  <c:v>5</c:v>
                </c:pt>
                <c:pt idx="1697">
                  <c:v>11</c:v>
                </c:pt>
                <c:pt idx="1698">
                  <c:v>2</c:v>
                </c:pt>
                <c:pt idx="1699">
                  <c:v>8</c:v>
                </c:pt>
                <c:pt idx="1700">
                  <c:v>0</c:v>
                </c:pt>
                <c:pt idx="1701">
                  <c:v>0</c:v>
                </c:pt>
                <c:pt idx="1702">
                  <c:v>2</c:v>
                </c:pt>
                <c:pt idx="1703">
                  <c:v>0</c:v>
                </c:pt>
                <c:pt idx="1704">
                  <c:v>6</c:v>
                </c:pt>
                <c:pt idx="1705">
                  <c:v>0</c:v>
                </c:pt>
                <c:pt idx="1706">
                  <c:v>2</c:v>
                </c:pt>
                <c:pt idx="1707">
                  <c:v>0</c:v>
                </c:pt>
                <c:pt idx="1708">
                  <c:v>15</c:v>
                </c:pt>
                <c:pt idx="1709">
                  <c:v>6</c:v>
                </c:pt>
                <c:pt idx="1710">
                  <c:v>0</c:v>
                </c:pt>
                <c:pt idx="1711">
                  <c:v>2</c:v>
                </c:pt>
                <c:pt idx="1712">
                  <c:v>2</c:v>
                </c:pt>
                <c:pt idx="1713">
                  <c:v>2</c:v>
                </c:pt>
                <c:pt idx="1714">
                  <c:v>3</c:v>
                </c:pt>
                <c:pt idx="1715">
                  <c:v>0</c:v>
                </c:pt>
                <c:pt idx="1716">
                  <c:v>5</c:v>
                </c:pt>
                <c:pt idx="1717">
                  <c:v>0</c:v>
                </c:pt>
                <c:pt idx="1718">
                  <c:v>0</c:v>
                </c:pt>
                <c:pt idx="1719">
                  <c:v>7</c:v>
                </c:pt>
                <c:pt idx="1720">
                  <c:v>5</c:v>
                </c:pt>
                <c:pt idx="1721">
                  <c:v>3</c:v>
                </c:pt>
                <c:pt idx="1722">
                  <c:v>4</c:v>
                </c:pt>
                <c:pt idx="1723">
                  <c:v>4</c:v>
                </c:pt>
                <c:pt idx="1724">
                  <c:v>9</c:v>
                </c:pt>
                <c:pt idx="1725">
                  <c:v>8</c:v>
                </c:pt>
                <c:pt idx="1726">
                  <c:v>1</c:v>
                </c:pt>
                <c:pt idx="1727">
                  <c:v>8</c:v>
                </c:pt>
                <c:pt idx="1728">
                  <c:v>7</c:v>
                </c:pt>
                <c:pt idx="1729">
                  <c:v>1</c:v>
                </c:pt>
                <c:pt idx="1730">
                  <c:v>0</c:v>
                </c:pt>
                <c:pt idx="1731">
                  <c:v>11</c:v>
                </c:pt>
                <c:pt idx="1732">
                  <c:v>9</c:v>
                </c:pt>
                <c:pt idx="1733">
                  <c:v>0</c:v>
                </c:pt>
                <c:pt idx="1734">
                  <c:v>0</c:v>
                </c:pt>
                <c:pt idx="1735">
                  <c:v>0</c:v>
                </c:pt>
                <c:pt idx="1736">
                  <c:v>2</c:v>
                </c:pt>
                <c:pt idx="1737">
                  <c:v>0</c:v>
                </c:pt>
                <c:pt idx="1738">
                  <c:v>4</c:v>
                </c:pt>
                <c:pt idx="1739">
                  <c:v>14</c:v>
                </c:pt>
                <c:pt idx="1740">
                  <c:v>6</c:v>
                </c:pt>
                <c:pt idx="1741">
                  <c:v>0</c:v>
                </c:pt>
                <c:pt idx="1742">
                  <c:v>7</c:v>
                </c:pt>
                <c:pt idx="1743">
                  <c:v>5</c:v>
                </c:pt>
                <c:pt idx="1744">
                  <c:v>9</c:v>
                </c:pt>
                <c:pt idx="1745">
                  <c:v>0</c:v>
                </c:pt>
                <c:pt idx="1746">
                  <c:v>8</c:v>
                </c:pt>
                <c:pt idx="1747">
                  <c:v>0</c:v>
                </c:pt>
                <c:pt idx="1748">
                  <c:v>3</c:v>
                </c:pt>
                <c:pt idx="1749">
                  <c:v>1</c:v>
                </c:pt>
                <c:pt idx="1750">
                  <c:v>2</c:v>
                </c:pt>
                <c:pt idx="1751">
                  <c:v>12</c:v>
                </c:pt>
                <c:pt idx="1752">
                  <c:v>0</c:v>
                </c:pt>
                <c:pt idx="1753">
                  <c:v>6</c:v>
                </c:pt>
                <c:pt idx="1754">
                  <c:v>1</c:v>
                </c:pt>
                <c:pt idx="1755">
                  <c:v>7</c:v>
                </c:pt>
                <c:pt idx="1756">
                  <c:v>9</c:v>
                </c:pt>
                <c:pt idx="1757">
                  <c:v>4</c:v>
                </c:pt>
                <c:pt idx="1758">
                  <c:v>0</c:v>
                </c:pt>
                <c:pt idx="1759">
                  <c:v>0</c:v>
                </c:pt>
                <c:pt idx="1760">
                  <c:v>0</c:v>
                </c:pt>
                <c:pt idx="1761">
                  <c:v>0</c:v>
                </c:pt>
                <c:pt idx="1762">
                  <c:v>4</c:v>
                </c:pt>
                <c:pt idx="1763">
                  <c:v>1</c:v>
                </c:pt>
                <c:pt idx="1764">
                  <c:v>0</c:v>
                </c:pt>
                <c:pt idx="1765">
                  <c:v>0</c:v>
                </c:pt>
                <c:pt idx="1766">
                  <c:v>10</c:v>
                </c:pt>
                <c:pt idx="1767">
                  <c:v>5</c:v>
                </c:pt>
                <c:pt idx="1768">
                  <c:v>6</c:v>
                </c:pt>
                <c:pt idx="1769">
                  <c:v>2</c:v>
                </c:pt>
                <c:pt idx="1770">
                  <c:v>5</c:v>
                </c:pt>
                <c:pt idx="1771">
                  <c:v>0</c:v>
                </c:pt>
                <c:pt idx="1772">
                  <c:v>0</c:v>
                </c:pt>
                <c:pt idx="1773">
                  <c:v>0</c:v>
                </c:pt>
                <c:pt idx="1774">
                  <c:v>0</c:v>
                </c:pt>
                <c:pt idx="1775">
                  <c:v>0</c:v>
                </c:pt>
                <c:pt idx="1776">
                  <c:v>0</c:v>
                </c:pt>
                <c:pt idx="1777">
                  <c:v>0</c:v>
                </c:pt>
                <c:pt idx="1778">
                  <c:v>0</c:v>
                </c:pt>
                <c:pt idx="1779">
                  <c:v>0</c:v>
                </c:pt>
                <c:pt idx="1780">
                  <c:v>7</c:v>
                </c:pt>
                <c:pt idx="1781">
                  <c:v>0</c:v>
                </c:pt>
                <c:pt idx="1782">
                  <c:v>1</c:v>
                </c:pt>
                <c:pt idx="1783">
                  <c:v>7</c:v>
                </c:pt>
                <c:pt idx="1784">
                  <c:v>1</c:v>
                </c:pt>
                <c:pt idx="1785">
                  <c:v>0</c:v>
                </c:pt>
                <c:pt idx="1786">
                  <c:v>0</c:v>
                </c:pt>
                <c:pt idx="1787">
                  <c:v>0</c:v>
                </c:pt>
                <c:pt idx="1788">
                  <c:v>0</c:v>
                </c:pt>
                <c:pt idx="1789">
                  <c:v>0</c:v>
                </c:pt>
                <c:pt idx="1790">
                  <c:v>0</c:v>
                </c:pt>
                <c:pt idx="1791">
                  <c:v>0</c:v>
                </c:pt>
                <c:pt idx="1792">
                  <c:v>0</c:v>
                </c:pt>
                <c:pt idx="1793">
                  <c:v>4</c:v>
                </c:pt>
                <c:pt idx="1794">
                  <c:v>0</c:v>
                </c:pt>
                <c:pt idx="1795">
                  <c:v>0</c:v>
                </c:pt>
                <c:pt idx="1796">
                  <c:v>0</c:v>
                </c:pt>
                <c:pt idx="1797">
                  <c:v>0</c:v>
                </c:pt>
                <c:pt idx="1798">
                  <c:v>0</c:v>
                </c:pt>
                <c:pt idx="1799">
                  <c:v>0</c:v>
                </c:pt>
                <c:pt idx="1800">
                  <c:v>0</c:v>
                </c:pt>
                <c:pt idx="1801">
                  <c:v>0</c:v>
                </c:pt>
                <c:pt idx="1802">
                  <c:v>1</c:v>
                </c:pt>
                <c:pt idx="1803">
                  <c:v>1</c:v>
                </c:pt>
                <c:pt idx="1804">
                  <c:v>9</c:v>
                </c:pt>
                <c:pt idx="1805">
                  <c:v>0</c:v>
                </c:pt>
                <c:pt idx="1806">
                  <c:v>0</c:v>
                </c:pt>
                <c:pt idx="1807">
                  <c:v>0</c:v>
                </c:pt>
                <c:pt idx="1808">
                  <c:v>0</c:v>
                </c:pt>
                <c:pt idx="1809">
                  <c:v>1</c:v>
                </c:pt>
                <c:pt idx="1810">
                  <c:v>4</c:v>
                </c:pt>
                <c:pt idx="1811">
                  <c:v>2</c:v>
                </c:pt>
                <c:pt idx="1812">
                  <c:v>0</c:v>
                </c:pt>
                <c:pt idx="1813">
                  <c:v>0</c:v>
                </c:pt>
                <c:pt idx="1814">
                  <c:v>0</c:v>
                </c:pt>
                <c:pt idx="1815">
                  <c:v>0</c:v>
                </c:pt>
                <c:pt idx="1816">
                  <c:v>0</c:v>
                </c:pt>
                <c:pt idx="1817">
                  <c:v>9</c:v>
                </c:pt>
                <c:pt idx="1818">
                  <c:v>0</c:v>
                </c:pt>
                <c:pt idx="1819">
                  <c:v>0</c:v>
                </c:pt>
                <c:pt idx="1820">
                  <c:v>0</c:v>
                </c:pt>
                <c:pt idx="1821">
                  <c:v>2</c:v>
                </c:pt>
                <c:pt idx="1822">
                  <c:v>1</c:v>
                </c:pt>
                <c:pt idx="1823">
                  <c:v>0</c:v>
                </c:pt>
                <c:pt idx="1824">
                  <c:v>5</c:v>
                </c:pt>
                <c:pt idx="1825">
                  <c:v>2</c:v>
                </c:pt>
                <c:pt idx="1826">
                  <c:v>7</c:v>
                </c:pt>
                <c:pt idx="1827">
                  <c:v>7</c:v>
                </c:pt>
                <c:pt idx="1828">
                  <c:v>1</c:v>
                </c:pt>
                <c:pt idx="1829">
                  <c:v>4</c:v>
                </c:pt>
                <c:pt idx="1830">
                  <c:v>0</c:v>
                </c:pt>
                <c:pt idx="1831">
                  <c:v>9</c:v>
                </c:pt>
                <c:pt idx="1832">
                  <c:v>0</c:v>
                </c:pt>
                <c:pt idx="1833">
                  <c:v>0</c:v>
                </c:pt>
                <c:pt idx="1834">
                  <c:v>0</c:v>
                </c:pt>
                <c:pt idx="1835">
                  <c:v>2</c:v>
                </c:pt>
                <c:pt idx="1836">
                  <c:v>5</c:v>
                </c:pt>
                <c:pt idx="1837">
                  <c:v>0</c:v>
                </c:pt>
                <c:pt idx="1838">
                  <c:v>1</c:v>
                </c:pt>
                <c:pt idx="1839">
                  <c:v>8</c:v>
                </c:pt>
                <c:pt idx="1840">
                  <c:v>0</c:v>
                </c:pt>
                <c:pt idx="1841">
                  <c:v>9</c:v>
                </c:pt>
                <c:pt idx="1842">
                  <c:v>0</c:v>
                </c:pt>
                <c:pt idx="1843">
                  <c:v>0</c:v>
                </c:pt>
                <c:pt idx="1844">
                  <c:v>0</c:v>
                </c:pt>
                <c:pt idx="1845">
                  <c:v>0</c:v>
                </c:pt>
                <c:pt idx="1846">
                  <c:v>5</c:v>
                </c:pt>
                <c:pt idx="1847">
                  <c:v>0</c:v>
                </c:pt>
                <c:pt idx="1848">
                  <c:v>0</c:v>
                </c:pt>
                <c:pt idx="1849">
                  <c:v>1</c:v>
                </c:pt>
                <c:pt idx="1850">
                  <c:v>5</c:v>
                </c:pt>
                <c:pt idx="1851">
                  <c:v>0</c:v>
                </c:pt>
                <c:pt idx="1852">
                  <c:v>4</c:v>
                </c:pt>
                <c:pt idx="1853">
                  <c:v>0</c:v>
                </c:pt>
                <c:pt idx="1854">
                  <c:v>0</c:v>
                </c:pt>
                <c:pt idx="1855">
                  <c:v>3</c:v>
                </c:pt>
                <c:pt idx="1856">
                  <c:v>5</c:v>
                </c:pt>
                <c:pt idx="1857">
                  <c:v>0</c:v>
                </c:pt>
                <c:pt idx="1858">
                  <c:v>1</c:v>
                </c:pt>
                <c:pt idx="1859">
                  <c:v>3</c:v>
                </c:pt>
                <c:pt idx="1860">
                  <c:v>4</c:v>
                </c:pt>
                <c:pt idx="1861">
                  <c:v>6</c:v>
                </c:pt>
                <c:pt idx="1862">
                  <c:v>0</c:v>
                </c:pt>
                <c:pt idx="1863">
                  <c:v>0</c:v>
                </c:pt>
                <c:pt idx="1864">
                  <c:v>1</c:v>
                </c:pt>
                <c:pt idx="1865">
                  <c:v>12</c:v>
                </c:pt>
                <c:pt idx="1866">
                  <c:v>0</c:v>
                </c:pt>
                <c:pt idx="1867">
                  <c:v>4</c:v>
                </c:pt>
                <c:pt idx="1868">
                  <c:v>2</c:v>
                </c:pt>
                <c:pt idx="1869">
                  <c:v>0</c:v>
                </c:pt>
                <c:pt idx="1870">
                  <c:v>3</c:v>
                </c:pt>
                <c:pt idx="1871">
                  <c:v>4</c:v>
                </c:pt>
                <c:pt idx="1872">
                  <c:v>0</c:v>
                </c:pt>
                <c:pt idx="1873">
                  <c:v>4</c:v>
                </c:pt>
                <c:pt idx="1874">
                  <c:v>0</c:v>
                </c:pt>
                <c:pt idx="1875">
                  <c:v>5</c:v>
                </c:pt>
                <c:pt idx="1876">
                  <c:v>3</c:v>
                </c:pt>
                <c:pt idx="1877">
                  <c:v>3</c:v>
                </c:pt>
                <c:pt idx="1878">
                  <c:v>0</c:v>
                </c:pt>
                <c:pt idx="1879">
                  <c:v>0</c:v>
                </c:pt>
                <c:pt idx="1880">
                  <c:v>0</c:v>
                </c:pt>
                <c:pt idx="1881">
                  <c:v>5</c:v>
                </c:pt>
                <c:pt idx="1882">
                  <c:v>7</c:v>
                </c:pt>
                <c:pt idx="1883">
                  <c:v>0</c:v>
                </c:pt>
                <c:pt idx="1884">
                  <c:v>0</c:v>
                </c:pt>
                <c:pt idx="1885">
                  <c:v>0</c:v>
                </c:pt>
                <c:pt idx="1886">
                  <c:v>0</c:v>
                </c:pt>
                <c:pt idx="1887">
                  <c:v>2</c:v>
                </c:pt>
                <c:pt idx="1888">
                  <c:v>0</c:v>
                </c:pt>
                <c:pt idx="1889">
                  <c:v>4</c:v>
                </c:pt>
                <c:pt idx="1890">
                  <c:v>0</c:v>
                </c:pt>
                <c:pt idx="1891">
                  <c:v>5</c:v>
                </c:pt>
                <c:pt idx="1892">
                  <c:v>0</c:v>
                </c:pt>
                <c:pt idx="1893">
                  <c:v>2</c:v>
                </c:pt>
                <c:pt idx="1894">
                  <c:v>0</c:v>
                </c:pt>
                <c:pt idx="1895">
                  <c:v>2</c:v>
                </c:pt>
                <c:pt idx="1896">
                  <c:v>1</c:v>
                </c:pt>
                <c:pt idx="1897">
                  <c:v>0</c:v>
                </c:pt>
                <c:pt idx="1898">
                  <c:v>2</c:v>
                </c:pt>
                <c:pt idx="1899">
                  <c:v>4</c:v>
                </c:pt>
                <c:pt idx="1900">
                  <c:v>8</c:v>
                </c:pt>
                <c:pt idx="1901">
                  <c:v>0</c:v>
                </c:pt>
                <c:pt idx="1902">
                  <c:v>0</c:v>
                </c:pt>
                <c:pt idx="1903">
                  <c:v>10</c:v>
                </c:pt>
                <c:pt idx="1904">
                  <c:v>0</c:v>
                </c:pt>
                <c:pt idx="1905">
                  <c:v>6</c:v>
                </c:pt>
                <c:pt idx="1906">
                  <c:v>0</c:v>
                </c:pt>
                <c:pt idx="1907">
                  <c:v>1</c:v>
                </c:pt>
                <c:pt idx="1908">
                  <c:v>0</c:v>
                </c:pt>
                <c:pt idx="1909">
                  <c:v>6</c:v>
                </c:pt>
                <c:pt idx="1910">
                  <c:v>6</c:v>
                </c:pt>
                <c:pt idx="1911">
                  <c:v>3</c:v>
                </c:pt>
                <c:pt idx="1912">
                  <c:v>1</c:v>
                </c:pt>
                <c:pt idx="1913">
                  <c:v>2</c:v>
                </c:pt>
                <c:pt idx="1914">
                  <c:v>1</c:v>
                </c:pt>
                <c:pt idx="1915">
                  <c:v>0</c:v>
                </c:pt>
                <c:pt idx="1916">
                  <c:v>0</c:v>
                </c:pt>
                <c:pt idx="1917">
                  <c:v>0</c:v>
                </c:pt>
                <c:pt idx="1918">
                  <c:v>0</c:v>
                </c:pt>
                <c:pt idx="1919">
                  <c:v>0</c:v>
                </c:pt>
                <c:pt idx="1920">
                  <c:v>0</c:v>
                </c:pt>
                <c:pt idx="1921">
                  <c:v>0</c:v>
                </c:pt>
                <c:pt idx="1922">
                  <c:v>7</c:v>
                </c:pt>
                <c:pt idx="1923">
                  <c:v>0</c:v>
                </c:pt>
                <c:pt idx="1924">
                  <c:v>0</c:v>
                </c:pt>
                <c:pt idx="1925">
                  <c:v>12</c:v>
                </c:pt>
                <c:pt idx="1926">
                  <c:v>1</c:v>
                </c:pt>
                <c:pt idx="1927">
                  <c:v>0</c:v>
                </c:pt>
                <c:pt idx="1928">
                  <c:v>0</c:v>
                </c:pt>
                <c:pt idx="1929">
                  <c:v>0</c:v>
                </c:pt>
                <c:pt idx="1930">
                  <c:v>3</c:v>
                </c:pt>
                <c:pt idx="1931">
                  <c:v>0</c:v>
                </c:pt>
                <c:pt idx="1932">
                  <c:v>4</c:v>
                </c:pt>
                <c:pt idx="1933">
                  <c:v>0</c:v>
                </c:pt>
                <c:pt idx="1934">
                  <c:v>0</c:v>
                </c:pt>
                <c:pt idx="1935">
                  <c:v>0</c:v>
                </c:pt>
                <c:pt idx="1936">
                  <c:v>0</c:v>
                </c:pt>
                <c:pt idx="1937">
                  <c:v>7</c:v>
                </c:pt>
                <c:pt idx="1938">
                  <c:v>0</c:v>
                </c:pt>
                <c:pt idx="1939">
                  <c:v>3</c:v>
                </c:pt>
                <c:pt idx="1940">
                  <c:v>2</c:v>
                </c:pt>
                <c:pt idx="1941">
                  <c:v>0</c:v>
                </c:pt>
                <c:pt idx="1942">
                  <c:v>0</c:v>
                </c:pt>
                <c:pt idx="1943">
                  <c:v>0</c:v>
                </c:pt>
                <c:pt idx="1944">
                  <c:v>4</c:v>
                </c:pt>
                <c:pt idx="1945">
                  <c:v>2</c:v>
                </c:pt>
                <c:pt idx="1946">
                  <c:v>3</c:v>
                </c:pt>
                <c:pt idx="1947">
                  <c:v>2</c:v>
                </c:pt>
                <c:pt idx="1948">
                  <c:v>0</c:v>
                </c:pt>
                <c:pt idx="1949">
                  <c:v>1</c:v>
                </c:pt>
                <c:pt idx="1950">
                  <c:v>2</c:v>
                </c:pt>
                <c:pt idx="1951">
                  <c:v>0</c:v>
                </c:pt>
                <c:pt idx="1952">
                  <c:v>0</c:v>
                </c:pt>
                <c:pt idx="1953">
                  <c:v>3</c:v>
                </c:pt>
                <c:pt idx="1954">
                  <c:v>0</c:v>
                </c:pt>
                <c:pt idx="1955">
                  <c:v>0</c:v>
                </c:pt>
                <c:pt idx="1956">
                  <c:v>5</c:v>
                </c:pt>
                <c:pt idx="1957">
                  <c:v>0</c:v>
                </c:pt>
                <c:pt idx="1958">
                  <c:v>8</c:v>
                </c:pt>
                <c:pt idx="1959">
                  <c:v>0</c:v>
                </c:pt>
                <c:pt idx="1960">
                  <c:v>4</c:v>
                </c:pt>
                <c:pt idx="1961">
                  <c:v>0</c:v>
                </c:pt>
                <c:pt idx="1962">
                  <c:v>3</c:v>
                </c:pt>
                <c:pt idx="1963">
                  <c:v>0</c:v>
                </c:pt>
                <c:pt idx="1964">
                  <c:v>7</c:v>
                </c:pt>
                <c:pt idx="1965">
                  <c:v>5</c:v>
                </c:pt>
                <c:pt idx="1966">
                  <c:v>5</c:v>
                </c:pt>
                <c:pt idx="1967">
                  <c:v>0</c:v>
                </c:pt>
                <c:pt idx="1968">
                  <c:v>3</c:v>
                </c:pt>
                <c:pt idx="1969">
                  <c:v>5</c:v>
                </c:pt>
                <c:pt idx="1970">
                  <c:v>0</c:v>
                </c:pt>
                <c:pt idx="1971">
                  <c:v>0</c:v>
                </c:pt>
                <c:pt idx="1972">
                  <c:v>13</c:v>
                </c:pt>
                <c:pt idx="1973">
                  <c:v>5</c:v>
                </c:pt>
                <c:pt idx="1974">
                  <c:v>2</c:v>
                </c:pt>
                <c:pt idx="1975">
                  <c:v>4</c:v>
                </c:pt>
                <c:pt idx="1976">
                  <c:v>1</c:v>
                </c:pt>
                <c:pt idx="1977">
                  <c:v>4</c:v>
                </c:pt>
                <c:pt idx="1978">
                  <c:v>0</c:v>
                </c:pt>
                <c:pt idx="1979">
                  <c:v>0</c:v>
                </c:pt>
                <c:pt idx="1980">
                  <c:v>4</c:v>
                </c:pt>
                <c:pt idx="1981">
                  <c:v>0</c:v>
                </c:pt>
                <c:pt idx="1982">
                  <c:v>0</c:v>
                </c:pt>
                <c:pt idx="1983">
                  <c:v>0</c:v>
                </c:pt>
                <c:pt idx="1984">
                  <c:v>4</c:v>
                </c:pt>
                <c:pt idx="1985">
                  <c:v>0</c:v>
                </c:pt>
                <c:pt idx="1986">
                  <c:v>0</c:v>
                </c:pt>
                <c:pt idx="1987">
                  <c:v>0</c:v>
                </c:pt>
                <c:pt idx="1988">
                  <c:v>0</c:v>
                </c:pt>
                <c:pt idx="1989">
                  <c:v>0</c:v>
                </c:pt>
                <c:pt idx="1990">
                  <c:v>0</c:v>
                </c:pt>
                <c:pt idx="1991">
                  <c:v>15</c:v>
                </c:pt>
                <c:pt idx="1992">
                  <c:v>0</c:v>
                </c:pt>
                <c:pt idx="1993">
                  <c:v>4</c:v>
                </c:pt>
                <c:pt idx="1994">
                  <c:v>0</c:v>
                </c:pt>
                <c:pt idx="1995">
                  <c:v>1</c:v>
                </c:pt>
                <c:pt idx="1996">
                  <c:v>0</c:v>
                </c:pt>
                <c:pt idx="1997">
                  <c:v>2</c:v>
                </c:pt>
                <c:pt idx="1998">
                  <c:v>0</c:v>
                </c:pt>
                <c:pt idx="1999">
                  <c:v>0</c:v>
                </c:pt>
                <c:pt idx="2000">
                  <c:v>0</c:v>
                </c:pt>
                <c:pt idx="2001">
                  <c:v>1</c:v>
                </c:pt>
                <c:pt idx="2002">
                  <c:v>0</c:v>
                </c:pt>
                <c:pt idx="2003">
                  <c:v>7</c:v>
                </c:pt>
                <c:pt idx="2004">
                  <c:v>0</c:v>
                </c:pt>
                <c:pt idx="2005">
                  <c:v>0</c:v>
                </c:pt>
                <c:pt idx="2006">
                  <c:v>4</c:v>
                </c:pt>
                <c:pt idx="2007">
                  <c:v>4</c:v>
                </c:pt>
                <c:pt idx="2008">
                  <c:v>0</c:v>
                </c:pt>
                <c:pt idx="2009">
                  <c:v>5</c:v>
                </c:pt>
                <c:pt idx="2010">
                  <c:v>0</c:v>
                </c:pt>
                <c:pt idx="2011">
                  <c:v>11</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8</c:v>
                </c:pt>
                <c:pt idx="2029">
                  <c:v>9</c:v>
                </c:pt>
                <c:pt idx="2030">
                  <c:v>7</c:v>
                </c:pt>
                <c:pt idx="2031">
                  <c:v>1</c:v>
                </c:pt>
                <c:pt idx="2032">
                  <c:v>0</c:v>
                </c:pt>
                <c:pt idx="2033">
                  <c:v>0</c:v>
                </c:pt>
                <c:pt idx="2034">
                  <c:v>4</c:v>
                </c:pt>
                <c:pt idx="2035">
                  <c:v>2</c:v>
                </c:pt>
                <c:pt idx="2036">
                  <c:v>7</c:v>
                </c:pt>
                <c:pt idx="2037">
                  <c:v>1</c:v>
                </c:pt>
                <c:pt idx="2038">
                  <c:v>0</c:v>
                </c:pt>
                <c:pt idx="2039">
                  <c:v>5</c:v>
                </c:pt>
                <c:pt idx="2040">
                  <c:v>0</c:v>
                </c:pt>
                <c:pt idx="2041">
                  <c:v>0</c:v>
                </c:pt>
                <c:pt idx="2042">
                  <c:v>6</c:v>
                </c:pt>
                <c:pt idx="2043">
                  <c:v>0</c:v>
                </c:pt>
                <c:pt idx="2044">
                  <c:v>2</c:v>
                </c:pt>
                <c:pt idx="2045">
                  <c:v>0</c:v>
                </c:pt>
                <c:pt idx="2046">
                  <c:v>0</c:v>
                </c:pt>
                <c:pt idx="2047">
                  <c:v>0</c:v>
                </c:pt>
                <c:pt idx="2048">
                  <c:v>0</c:v>
                </c:pt>
                <c:pt idx="2049">
                  <c:v>6</c:v>
                </c:pt>
                <c:pt idx="2050">
                  <c:v>4</c:v>
                </c:pt>
                <c:pt idx="2051">
                  <c:v>12</c:v>
                </c:pt>
                <c:pt idx="2052">
                  <c:v>9</c:v>
                </c:pt>
                <c:pt idx="2053">
                  <c:v>1</c:v>
                </c:pt>
                <c:pt idx="2054">
                  <c:v>0</c:v>
                </c:pt>
                <c:pt idx="2055">
                  <c:v>5</c:v>
                </c:pt>
                <c:pt idx="2056">
                  <c:v>13</c:v>
                </c:pt>
                <c:pt idx="2057">
                  <c:v>4</c:v>
                </c:pt>
                <c:pt idx="2058">
                  <c:v>4</c:v>
                </c:pt>
                <c:pt idx="2059">
                  <c:v>11</c:v>
                </c:pt>
                <c:pt idx="2060">
                  <c:v>0</c:v>
                </c:pt>
                <c:pt idx="2061">
                  <c:v>7</c:v>
                </c:pt>
                <c:pt idx="2062">
                  <c:v>0</c:v>
                </c:pt>
                <c:pt idx="2063">
                  <c:v>0</c:v>
                </c:pt>
                <c:pt idx="2064">
                  <c:v>0</c:v>
                </c:pt>
                <c:pt idx="2065">
                  <c:v>0</c:v>
                </c:pt>
                <c:pt idx="2066">
                  <c:v>6</c:v>
                </c:pt>
                <c:pt idx="2067">
                  <c:v>0</c:v>
                </c:pt>
                <c:pt idx="2068">
                  <c:v>0</c:v>
                </c:pt>
                <c:pt idx="2069">
                  <c:v>0</c:v>
                </c:pt>
                <c:pt idx="2070">
                  <c:v>3</c:v>
                </c:pt>
                <c:pt idx="2071">
                  <c:v>1</c:v>
                </c:pt>
                <c:pt idx="2072">
                  <c:v>0</c:v>
                </c:pt>
                <c:pt idx="2073">
                  <c:v>5</c:v>
                </c:pt>
                <c:pt idx="2074">
                  <c:v>5</c:v>
                </c:pt>
                <c:pt idx="2075">
                  <c:v>10</c:v>
                </c:pt>
                <c:pt idx="2076">
                  <c:v>1</c:v>
                </c:pt>
                <c:pt idx="2077">
                  <c:v>0</c:v>
                </c:pt>
                <c:pt idx="2078">
                  <c:v>6</c:v>
                </c:pt>
                <c:pt idx="2079">
                  <c:v>0</c:v>
                </c:pt>
                <c:pt idx="2080">
                  <c:v>4</c:v>
                </c:pt>
                <c:pt idx="2081">
                  <c:v>3</c:v>
                </c:pt>
                <c:pt idx="2082">
                  <c:v>0</c:v>
                </c:pt>
                <c:pt idx="2083">
                  <c:v>0</c:v>
                </c:pt>
                <c:pt idx="2084">
                  <c:v>0</c:v>
                </c:pt>
                <c:pt idx="2085">
                  <c:v>2</c:v>
                </c:pt>
                <c:pt idx="2086">
                  <c:v>6</c:v>
                </c:pt>
                <c:pt idx="2087">
                  <c:v>0</c:v>
                </c:pt>
                <c:pt idx="2088">
                  <c:v>6</c:v>
                </c:pt>
                <c:pt idx="2089">
                  <c:v>0</c:v>
                </c:pt>
                <c:pt idx="2090">
                  <c:v>1</c:v>
                </c:pt>
                <c:pt idx="2091">
                  <c:v>1</c:v>
                </c:pt>
                <c:pt idx="2092">
                  <c:v>1</c:v>
                </c:pt>
                <c:pt idx="2093">
                  <c:v>6</c:v>
                </c:pt>
                <c:pt idx="2094">
                  <c:v>0</c:v>
                </c:pt>
                <c:pt idx="2095">
                  <c:v>2</c:v>
                </c:pt>
                <c:pt idx="2096">
                  <c:v>2</c:v>
                </c:pt>
                <c:pt idx="2097">
                  <c:v>0</c:v>
                </c:pt>
                <c:pt idx="2098">
                  <c:v>3</c:v>
                </c:pt>
                <c:pt idx="2099">
                  <c:v>0</c:v>
                </c:pt>
                <c:pt idx="2100">
                  <c:v>2</c:v>
                </c:pt>
                <c:pt idx="2101">
                  <c:v>1</c:v>
                </c:pt>
                <c:pt idx="2102">
                  <c:v>0</c:v>
                </c:pt>
                <c:pt idx="2103">
                  <c:v>0</c:v>
                </c:pt>
                <c:pt idx="2104">
                  <c:v>0</c:v>
                </c:pt>
                <c:pt idx="2105">
                  <c:v>0</c:v>
                </c:pt>
                <c:pt idx="2106">
                  <c:v>0</c:v>
                </c:pt>
                <c:pt idx="2107">
                  <c:v>0</c:v>
                </c:pt>
                <c:pt idx="2108">
                  <c:v>2</c:v>
                </c:pt>
                <c:pt idx="2109">
                  <c:v>0</c:v>
                </c:pt>
                <c:pt idx="2110">
                  <c:v>6</c:v>
                </c:pt>
                <c:pt idx="2111">
                  <c:v>0</c:v>
                </c:pt>
                <c:pt idx="2112">
                  <c:v>5</c:v>
                </c:pt>
                <c:pt idx="2113">
                  <c:v>6</c:v>
                </c:pt>
                <c:pt idx="2114">
                  <c:v>0</c:v>
                </c:pt>
                <c:pt idx="2115">
                  <c:v>5</c:v>
                </c:pt>
                <c:pt idx="2116">
                  <c:v>5</c:v>
                </c:pt>
                <c:pt idx="2117">
                  <c:v>0</c:v>
                </c:pt>
                <c:pt idx="2118">
                  <c:v>12</c:v>
                </c:pt>
                <c:pt idx="2119">
                  <c:v>0</c:v>
                </c:pt>
                <c:pt idx="2120">
                  <c:v>0</c:v>
                </c:pt>
                <c:pt idx="2121">
                  <c:v>6</c:v>
                </c:pt>
                <c:pt idx="2122">
                  <c:v>0</c:v>
                </c:pt>
                <c:pt idx="2123">
                  <c:v>5</c:v>
                </c:pt>
                <c:pt idx="2124">
                  <c:v>2</c:v>
                </c:pt>
                <c:pt idx="2125">
                  <c:v>2</c:v>
                </c:pt>
                <c:pt idx="2126">
                  <c:v>0</c:v>
                </c:pt>
                <c:pt idx="2127">
                  <c:v>0</c:v>
                </c:pt>
                <c:pt idx="2128">
                  <c:v>0</c:v>
                </c:pt>
                <c:pt idx="2129">
                  <c:v>0</c:v>
                </c:pt>
                <c:pt idx="2130">
                  <c:v>11</c:v>
                </c:pt>
                <c:pt idx="2131">
                  <c:v>5</c:v>
                </c:pt>
                <c:pt idx="2132">
                  <c:v>5</c:v>
                </c:pt>
                <c:pt idx="2133">
                  <c:v>0</c:v>
                </c:pt>
                <c:pt idx="2134">
                  <c:v>0</c:v>
                </c:pt>
                <c:pt idx="2135">
                  <c:v>9</c:v>
                </c:pt>
                <c:pt idx="2136">
                  <c:v>5</c:v>
                </c:pt>
                <c:pt idx="2137">
                  <c:v>2</c:v>
                </c:pt>
                <c:pt idx="2138">
                  <c:v>0</c:v>
                </c:pt>
                <c:pt idx="2139">
                  <c:v>3</c:v>
                </c:pt>
                <c:pt idx="2140">
                  <c:v>5</c:v>
                </c:pt>
                <c:pt idx="2141">
                  <c:v>0</c:v>
                </c:pt>
                <c:pt idx="2142">
                  <c:v>0</c:v>
                </c:pt>
                <c:pt idx="2143">
                  <c:v>0</c:v>
                </c:pt>
                <c:pt idx="2144">
                  <c:v>1</c:v>
                </c:pt>
                <c:pt idx="2145">
                  <c:v>19</c:v>
                </c:pt>
                <c:pt idx="2146">
                  <c:v>5</c:v>
                </c:pt>
                <c:pt idx="2147">
                  <c:v>0</c:v>
                </c:pt>
                <c:pt idx="2148">
                  <c:v>0</c:v>
                </c:pt>
                <c:pt idx="2149">
                  <c:v>1</c:v>
                </c:pt>
                <c:pt idx="2150">
                  <c:v>0</c:v>
                </c:pt>
                <c:pt idx="2151">
                  <c:v>0</c:v>
                </c:pt>
                <c:pt idx="2152">
                  <c:v>0</c:v>
                </c:pt>
                <c:pt idx="2153">
                  <c:v>0</c:v>
                </c:pt>
                <c:pt idx="2154">
                  <c:v>0</c:v>
                </c:pt>
                <c:pt idx="2155">
                  <c:v>0</c:v>
                </c:pt>
                <c:pt idx="2156">
                  <c:v>2</c:v>
                </c:pt>
                <c:pt idx="2157">
                  <c:v>0</c:v>
                </c:pt>
                <c:pt idx="2158">
                  <c:v>4</c:v>
                </c:pt>
                <c:pt idx="2159">
                  <c:v>0</c:v>
                </c:pt>
                <c:pt idx="2160">
                  <c:v>0</c:v>
                </c:pt>
                <c:pt idx="2161">
                  <c:v>0</c:v>
                </c:pt>
                <c:pt idx="2162">
                  <c:v>11</c:v>
                </c:pt>
                <c:pt idx="2163">
                  <c:v>2</c:v>
                </c:pt>
                <c:pt idx="2164">
                  <c:v>0</c:v>
                </c:pt>
                <c:pt idx="2165">
                  <c:v>3</c:v>
                </c:pt>
                <c:pt idx="2166">
                  <c:v>0</c:v>
                </c:pt>
                <c:pt idx="2167">
                  <c:v>4</c:v>
                </c:pt>
                <c:pt idx="2168">
                  <c:v>12</c:v>
                </c:pt>
                <c:pt idx="2169">
                  <c:v>0</c:v>
                </c:pt>
                <c:pt idx="2170">
                  <c:v>0</c:v>
                </c:pt>
                <c:pt idx="2171">
                  <c:v>0</c:v>
                </c:pt>
                <c:pt idx="2172">
                  <c:v>2</c:v>
                </c:pt>
                <c:pt idx="2173">
                  <c:v>0</c:v>
                </c:pt>
                <c:pt idx="2174">
                  <c:v>0</c:v>
                </c:pt>
                <c:pt idx="2175">
                  <c:v>5</c:v>
                </c:pt>
                <c:pt idx="2176">
                  <c:v>9</c:v>
                </c:pt>
                <c:pt idx="2177">
                  <c:v>3</c:v>
                </c:pt>
                <c:pt idx="2178">
                  <c:v>0</c:v>
                </c:pt>
                <c:pt idx="2179">
                  <c:v>1</c:v>
                </c:pt>
                <c:pt idx="2180">
                  <c:v>0</c:v>
                </c:pt>
                <c:pt idx="2181">
                  <c:v>4</c:v>
                </c:pt>
                <c:pt idx="2182">
                  <c:v>0</c:v>
                </c:pt>
                <c:pt idx="2183">
                  <c:v>4</c:v>
                </c:pt>
                <c:pt idx="2184">
                  <c:v>0</c:v>
                </c:pt>
                <c:pt idx="2185">
                  <c:v>0</c:v>
                </c:pt>
                <c:pt idx="2186">
                  <c:v>1</c:v>
                </c:pt>
                <c:pt idx="2187">
                  <c:v>0</c:v>
                </c:pt>
                <c:pt idx="2188">
                  <c:v>1</c:v>
                </c:pt>
                <c:pt idx="2189">
                  <c:v>0</c:v>
                </c:pt>
                <c:pt idx="2190">
                  <c:v>1</c:v>
                </c:pt>
                <c:pt idx="2191">
                  <c:v>2</c:v>
                </c:pt>
                <c:pt idx="2192">
                  <c:v>0</c:v>
                </c:pt>
                <c:pt idx="2193">
                  <c:v>3</c:v>
                </c:pt>
                <c:pt idx="2194">
                  <c:v>1</c:v>
                </c:pt>
                <c:pt idx="2195">
                  <c:v>7</c:v>
                </c:pt>
                <c:pt idx="2196">
                  <c:v>1</c:v>
                </c:pt>
                <c:pt idx="2197">
                  <c:v>0</c:v>
                </c:pt>
                <c:pt idx="2198">
                  <c:v>0</c:v>
                </c:pt>
                <c:pt idx="2199">
                  <c:v>1</c:v>
                </c:pt>
                <c:pt idx="2200">
                  <c:v>5</c:v>
                </c:pt>
                <c:pt idx="2201">
                  <c:v>1</c:v>
                </c:pt>
                <c:pt idx="2202">
                  <c:v>3</c:v>
                </c:pt>
                <c:pt idx="2203">
                  <c:v>0</c:v>
                </c:pt>
                <c:pt idx="2204">
                  <c:v>4</c:v>
                </c:pt>
                <c:pt idx="2205">
                  <c:v>6</c:v>
                </c:pt>
                <c:pt idx="2206">
                  <c:v>0</c:v>
                </c:pt>
                <c:pt idx="2207">
                  <c:v>1</c:v>
                </c:pt>
                <c:pt idx="2208">
                  <c:v>1</c:v>
                </c:pt>
                <c:pt idx="2209">
                  <c:v>0</c:v>
                </c:pt>
                <c:pt idx="2210">
                  <c:v>0</c:v>
                </c:pt>
                <c:pt idx="2211">
                  <c:v>4</c:v>
                </c:pt>
                <c:pt idx="2212">
                  <c:v>1</c:v>
                </c:pt>
                <c:pt idx="2213">
                  <c:v>8</c:v>
                </c:pt>
                <c:pt idx="2214">
                  <c:v>0</c:v>
                </c:pt>
                <c:pt idx="2215">
                  <c:v>9</c:v>
                </c:pt>
                <c:pt idx="2216">
                  <c:v>2</c:v>
                </c:pt>
                <c:pt idx="2217">
                  <c:v>0</c:v>
                </c:pt>
                <c:pt idx="2218">
                  <c:v>3</c:v>
                </c:pt>
                <c:pt idx="2219">
                  <c:v>3</c:v>
                </c:pt>
                <c:pt idx="2220">
                  <c:v>6</c:v>
                </c:pt>
                <c:pt idx="2221">
                  <c:v>0</c:v>
                </c:pt>
                <c:pt idx="2222">
                  <c:v>4</c:v>
                </c:pt>
                <c:pt idx="2223">
                  <c:v>0</c:v>
                </c:pt>
                <c:pt idx="2224">
                  <c:v>0</c:v>
                </c:pt>
                <c:pt idx="2225">
                  <c:v>13</c:v>
                </c:pt>
                <c:pt idx="2226">
                  <c:v>5</c:v>
                </c:pt>
                <c:pt idx="2227">
                  <c:v>0</c:v>
                </c:pt>
                <c:pt idx="2228">
                  <c:v>0</c:v>
                </c:pt>
                <c:pt idx="2229">
                  <c:v>0</c:v>
                </c:pt>
                <c:pt idx="2230">
                  <c:v>0</c:v>
                </c:pt>
                <c:pt idx="2231">
                  <c:v>1</c:v>
                </c:pt>
                <c:pt idx="2232">
                  <c:v>0</c:v>
                </c:pt>
                <c:pt idx="2233">
                  <c:v>3</c:v>
                </c:pt>
                <c:pt idx="2234">
                  <c:v>0</c:v>
                </c:pt>
                <c:pt idx="2235">
                  <c:v>5</c:v>
                </c:pt>
                <c:pt idx="2236">
                  <c:v>0</c:v>
                </c:pt>
                <c:pt idx="2237">
                  <c:v>0</c:v>
                </c:pt>
                <c:pt idx="2238">
                  <c:v>0</c:v>
                </c:pt>
                <c:pt idx="2239">
                  <c:v>0</c:v>
                </c:pt>
                <c:pt idx="2240">
                  <c:v>0</c:v>
                </c:pt>
                <c:pt idx="2241">
                  <c:v>7</c:v>
                </c:pt>
                <c:pt idx="2242">
                  <c:v>3</c:v>
                </c:pt>
                <c:pt idx="2243">
                  <c:v>3</c:v>
                </c:pt>
                <c:pt idx="2244">
                  <c:v>2</c:v>
                </c:pt>
                <c:pt idx="2245">
                  <c:v>6</c:v>
                </c:pt>
                <c:pt idx="2246">
                  <c:v>0</c:v>
                </c:pt>
                <c:pt idx="2247">
                  <c:v>1</c:v>
                </c:pt>
                <c:pt idx="2248">
                  <c:v>0</c:v>
                </c:pt>
                <c:pt idx="2249">
                  <c:v>5</c:v>
                </c:pt>
                <c:pt idx="2250">
                  <c:v>0</c:v>
                </c:pt>
                <c:pt idx="2251">
                  <c:v>17</c:v>
                </c:pt>
                <c:pt idx="2252">
                  <c:v>6</c:v>
                </c:pt>
                <c:pt idx="2253">
                  <c:v>0</c:v>
                </c:pt>
                <c:pt idx="2254">
                  <c:v>7</c:v>
                </c:pt>
                <c:pt idx="2255">
                  <c:v>1</c:v>
                </c:pt>
                <c:pt idx="2256">
                  <c:v>0</c:v>
                </c:pt>
                <c:pt idx="2257">
                  <c:v>0</c:v>
                </c:pt>
                <c:pt idx="2258">
                  <c:v>7</c:v>
                </c:pt>
                <c:pt idx="2259">
                  <c:v>3</c:v>
                </c:pt>
                <c:pt idx="2260">
                  <c:v>6</c:v>
                </c:pt>
                <c:pt idx="2261">
                  <c:v>3</c:v>
                </c:pt>
                <c:pt idx="2262">
                  <c:v>18</c:v>
                </c:pt>
                <c:pt idx="2263">
                  <c:v>0</c:v>
                </c:pt>
                <c:pt idx="2264">
                  <c:v>9</c:v>
                </c:pt>
                <c:pt idx="2265">
                  <c:v>9</c:v>
                </c:pt>
                <c:pt idx="2266">
                  <c:v>9</c:v>
                </c:pt>
                <c:pt idx="2267">
                  <c:v>2</c:v>
                </c:pt>
                <c:pt idx="2268">
                  <c:v>12</c:v>
                </c:pt>
                <c:pt idx="2269">
                  <c:v>0</c:v>
                </c:pt>
                <c:pt idx="2270">
                  <c:v>12</c:v>
                </c:pt>
                <c:pt idx="2271">
                  <c:v>3</c:v>
                </c:pt>
                <c:pt idx="2272">
                  <c:v>0</c:v>
                </c:pt>
                <c:pt idx="2273">
                  <c:v>0</c:v>
                </c:pt>
                <c:pt idx="2274">
                  <c:v>11</c:v>
                </c:pt>
                <c:pt idx="2275">
                  <c:v>0</c:v>
                </c:pt>
                <c:pt idx="2276">
                  <c:v>0</c:v>
                </c:pt>
                <c:pt idx="2277">
                  <c:v>0</c:v>
                </c:pt>
                <c:pt idx="2278">
                  <c:v>2</c:v>
                </c:pt>
                <c:pt idx="2279">
                  <c:v>8</c:v>
                </c:pt>
                <c:pt idx="2280">
                  <c:v>0</c:v>
                </c:pt>
                <c:pt idx="2281">
                  <c:v>0</c:v>
                </c:pt>
                <c:pt idx="2282">
                  <c:v>0</c:v>
                </c:pt>
                <c:pt idx="2283">
                  <c:v>0</c:v>
                </c:pt>
                <c:pt idx="2284">
                  <c:v>0</c:v>
                </c:pt>
                <c:pt idx="2285">
                  <c:v>6</c:v>
                </c:pt>
                <c:pt idx="2286">
                  <c:v>0</c:v>
                </c:pt>
                <c:pt idx="2287">
                  <c:v>0</c:v>
                </c:pt>
                <c:pt idx="2288">
                  <c:v>6</c:v>
                </c:pt>
                <c:pt idx="2289">
                  <c:v>0</c:v>
                </c:pt>
                <c:pt idx="2290">
                  <c:v>8</c:v>
                </c:pt>
                <c:pt idx="2291">
                  <c:v>0</c:v>
                </c:pt>
                <c:pt idx="2292">
                  <c:v>0</c:v>
                </c:pt>
                <c:pt idx="2293">
                  <c:v>1</c:v>
                </c:pt>
                <c:pt idx="2294">
                  <c:v>0</c:v>
                </c:pt>
                <c:pt idx="2295">
                  <c:v>6</c:v>
                </c:pt>
                <c:pt idx="2296">
                  <c:v>0</c:v>
                </c:pt>
                <c:pt idx="2297">
                  <c:v>8</c:v>
                </c:pt>
                <c:pt idx="2298">
                  <c:v>6</c:v>
                </c:pt>
                <c:pt idx="2299">
                  <c:v>0</c:v>
                </c:pt>
                <c:pt idx="2300">
                  <c:v>0</c:v>
                </c:pt>
                <c:pt idx="2301">
                  <c:v>1</c:v>
                </c:pt>
                <c:pt idx="2302">
                  <c:v>1</c:v>
                </c:pt>
                <c:pt idx="2303">
                  <c:v>0</c:v>
                </c:pt>
                <c:pt idx="2304">
                  <c:v>0</c:v>
                </c:pt>
                <c:pt idx="2305">
                  <c:v>11</c:v>
                </c:pt>
                <c:pt idx="2306">
                  <c:v>0</c:v>
                </c:pt>
                <c:pt idx="2307">
                  <c:v>2</c:v>
                </c:pt>
                <c:pt idx="2308">
                  <c:v>1</c:v>
                </c:pt>
                <c:pt idx="2309">
                  <c:v>5</c:v>
                </c:pt>
                <c:pt idx="2310">
                  <c:v>6</c:v>
                </c:pt>
                <c:pt idx="2311">
                  <c:v>7</c:v>
                </c:pt>
                <c:pt idx="2312">
                  <c:v>0</c:v>
                </c:pt>
                <c:pt idx="2313">
                  <c:v>5</c:v>
                </c:pt>
                <c:pt idx="2314">
                  <c:v>7</c:v>
                </c:pt>
                <c:pt idx="2315">
                  <c:v>3</c:v>
                </c:pt>
                <c:pt idx="2316">
                  <c:v>1</c:v>
                </c:pt>
                <c:pt idx="2317">
                  <c:v>17</c:v>
                </c:pt>
                <c:pt idx="2318">
                  <c:v>0</c:v>
                </c:pt>
                <c:pt idx="2319">
                  <c:v>0</c:v>
                </c:pt>
                <c:pt idx="2320">
                  <c:v>0</c:v>
                </c:pt>
                <c:pt idx="2321">
                  <c:v>1</c:v>
                </c:pt>
                <c:pt idx="2322">
                  <c:v>6</c:v>
                </c:pt>
                <c:pt idx="2323">
                  <c:v>0</c:v>
                </c:pt>
                <c:pt idx="2324">
                  <c:v>5</c:v>
                </c:pt>
                <c:pt idx="2325">
                  <c:v>1</c:v>
                </c:pt>
                <c:pt idx="2326">
                  <c:v>0</c:v>
                </c:pt>
                <c:pt idx="2327">
                  <c:v>2</c:v>
                </c:pt>
                <c:pt idx="2328">
                  <c:v>0</c:v>
                </c:pt>
                <c:pt idx="2329">
                  <c:v>1</c:v>
                </c:pt>
                <c:pt idx="2330">
                  <c:v>10</c:v>
                </c:pt>
                <c:pt idx="2331">
                  <c:v>0</c:v>
                </c:pt>
                <c:pt idx="2332">
                  <c:v>1</c:v>
                </c:pt>
                <c:pt idx="2333">
                  <c:v>0</c:v>
                </c:pt>
                <c:pt idx="2334">
                  <c:v>8</c:v>
                </c:pt>
                <c:pt idx="2335">
                  <c:v>0</c:v>
                </c:pt>
                <c:pt idx="2336">
                  <c:v>0</c:v>
                </c:pt>
                <c:pt idx="2337">
                  <c:v>0</c:v>
                </c:pt>
                <c:pt idx="2338">
                  <c:v>0</c:v>
                </c:pt>
                <c:pt idx="2339">
                  <c:v>0</c:v>
                </c:pt>
                <c:pt idx="2340">
                  <c:v>0</c:v>
                </c:pt>
                <c:pt idx="2341">
                  <c:v>0</c:v>
                </c:pt>
                <c:pt idx="2342">
                  <c:v>0</c:v>
                </c:pt>
                <c:pt idx="2343">
                  <c:v>0</c:v>
                </c:pt>
                <c:pt idx="2344">
                  <c:v>0</c:v>
                </c:pt>
                <c:pt idx="2345">
                  <c:v>0</c:v>
                </c:pt>
                <c:pt idx="2346">
                  <c:v>0</c:v>
                </c:pt>
                <c:pt idx="2347">
                  <c:v>0</c:v>
                </c:pt>
                <c:pt idx="2348">
                  <c:v>0</c:v>
                </c:pt>
                <c:pt idx="2349">
                  <c:v>0</c:v>
                </c:pt>
                <c:pt idx="2350">
                  <c:v>0</c:v>
                </c:pt>
                <c:pt idx="2351">
                  <c:v>1</c:v>
                </c:pt>
                <c:pt idx="2352">
                  <c:v>2</c:v>
                </c:pt>
                <c:pt idx="2353">
                  <c:v>10</c:v>
                </c:pt>
                <c:pt idx="2354">
                  <c:v>0</c:v>
                </c:pt>
                <c:pt idx="2355">
                  <c:v>0</c:v>
                </c:pt>
                <c:pt idx="2356">
                  <c:v>12</c:v>
                </c:pt>
                <c:pt idx="2357">
                  <c:v>0</c:v>
                </c:pt>
                <c:pt idx="2358">
                  <c:v>7</c:v>
                </c:pt>
                <c:pt idx="2359">
                  <c:v>20</c:v>
                </c:pt>
                <c:pt idx="2360">
                  <c:v>6</c:v>
                </c:pt>
                <c:pt idx="2361">
                  <c:v>6</c:v>
                </c:pt>
                <c:pt idx="2362">
                  <c:v>8</c:v>
                </c:pt>
                <c:pt idx="2363">
                  <c:v>5</c:v>
                </c:pt>
                <c:pt idx="2364">
                  <c:v>0</c:v>
                </c:pt>
                <c:pt idx="2365">
                  <c:v>13</c:v>
                </c:pt>
                <c:pt idx="2366">
                  <c:v>0</c:v>
                </c:pt>
                <c:pt idx="2367">
                  <c:v>0</c:v>
                </c:pt>
                <c:pt idx="2368">
                  <c:v>11</c:v>
                </c:pt>
                <c:pt idx="2369">
                  <c:v>0</c:v>
                </c:pt>
                <c:pt idx="2370">
                  <c:v>0</c:v>
                </c:pt>
                <c:pt idx="2371">
                  <c:v>0</c:v>
                </c:pt>
                <c:pt idx="2372">
                  <c:v>0</c:v>
                </c:pt>
                <c:pt idx="2373">
                  <c:v>0</c:v>
                </c:pt>
                <c:pt idx="2374">
                  <c:v>0</c:v>
                </c:pt>
                <c:pt idx="2375">
                  <c:v>0</c:v>
                </c:pt>
                <c:pt idx="2376">
                  <c:v>0</c:v>
                </c:pt>
                <c:pt idx="2377">
                  <c:v>0</c:v>
                </c:pt>
                <c:pt idx="2378">
                  <c:v>9</c:v>
                </c:pt>
                <c:pt idx="2379">
                  <c:v>0</c:v>
                </c:pt>
                <c:pt idx="2380">
                  <c:v>14</c:v>
                </c:pt>
                <c:pt idx="2381">
                  <c:v>5</c:v>
                </c:pt>
                <c:pt idx="2382">
                  <c:v>0</c:v>
                </c:pt>
                <c:pt idx="2383">
                  <c:v>0</c:v>
                </c:pt>
                <c:pt idx="2384">
                  <c:v>0</c:v>
                </c:pt>
                <c:pt idx="2385">
                  <c:v>0</c:v>
                </c:pt>
                <c:pt idx="2386">
                  <c:v>2</c:v>
                </c:pt>
                <c:pt idx="2387">
                  <c:v>0</c:v>
                </c:pt>
                <c:pt idx="2388">
                  <c:v>1</c:v>
                </c:pt>
                <c:pt idx="2389">
                  <c:v>0</c:v>
                </c:pt>
                <c:pt idx="2390">
                  <c:v>0</c:v>
                </c:pt>
                <c:pt idx="2391">
                  <c:v>6</c:v>
                </c:pt>
                <c:pt idx="2392">
                  <c:v>4</c:v>
                </c:pt>
                <c:pt idx="2393">
                  <c:v>16</c:v>
                </c:pt>
                <c:pt idx="2394">
                  <c:v>4</c:v>
                </c:pt>
                <c:pt idx="2395">
                  <c:v>5</c:v>
                </c:pt>
                <c:pt idx="2396">
                  <c:v>0</c:v>
                </c:pt>
                <c:pt idx="2397">
                  <c:v>8</c:v>
                </c:pt>
                <c:pt idx="2398">
                  <c:v>12</c:v>
                </c:pt>
                <c:pt idx="2399">
                  <c:v>8</c:v>
                </c:pt>
                <c:pt idx="2400">
                  <c:v>3</c:v>
                </c:pt>
                <c:pt idx="2401">
                  <c:v>0</c:v>
                </c:pt>
                <c:pt idx="2402">
                  <c:v>4</c:v>
                </c:pt>
                <c:pt idx="2403">
                  <c:v>1</c:v>
                </c:pt>
                <c:pt idx="2404">
                  <c:v>2</c:v>
                </c:pt>
                <c:pt idx="2405">
                  <c:v>0</c:v>
                </c:pt>
                <c:pt idx="2406">
                  <c:v>0</c:v>
                </c:pt>
                <c:pt idx="2407">
                  <c:v>1</c:v>
                </c:pt>
                <c:pt idx="2408">
                  <c:v>0</c:v>
                </c:pt>
                <c:pt idx="2409">
                  <c:v>0</c:v>
                </c:pt>
                <c:pt idx="2410">
                  <c:v>0</c:v>
                </c:pt>
                <c:pt idx="2411">
                  <c:v>2</c:v>
                </c:pt>
                <c:pt idx="2412">
                  <c:v>1</c:v>
                </c:pt>
                <c:pt idx="2413">
                  <c:v>2</c:v>
                </c:pt>
                <c:pt idx="2414">
                  <c:v>0</c:v>
                </c:pt>
                <c:pt idx="2415">
                  <c:v>2</c:v>
                </c:pt>
                <c:pt idx="2416">
                  <c:v>0</c:v>
                </c:pt>
                <c:pt idx="2417">
                  <c:v>0</c:v>
                </c:pt>
                <c:pt idx="2418">
                  <c:v>0</c:v>
                </c:pt>
                <c:pt idx="2419">
                  <c:v>0</c:v>
                </c:pt>
                <c:pt idx="2420">
                  <c:v>0</c:v>
                </c:pt>
                <c:pt idx="2421">
                  <c:v>0</c:v>
                </c:pt>
                <c:pt idx="2422">
                  <c:v>0</c:v>
                </c:pt>
                <c:pt idx="2423">
                  <c:v>0</c:v>
                </c:pt>
                <c:pt idx="2424">
                  <c:v>0</c:v>
                </c:pt>
                <c:pt idx="2425">
                  <c:v>0</c:v>
                </c:pt>
                <c:pt idx="2426">
                  <c:v>0</c:v>
                </c:pt>
                <c:pt idx="2427">
                  <c:v>7</c:v>
                </c:pt>
                <c:pt idx="2428">
                  <c:v>0</c:v>
                </c:pt>
                <c:pt idx="2429">
                  <c:v>4</c:v>
                </c:pt>
                <c:pt idx="2430">
                  <c:v>0</c:v>
                </c:pt>
                <c:pt idx="2431">
                  <c:v>2</c:v>
                </c:pt>
                <c:pt idx="2432">
                  <c:v>0</c:v>
                </c:pt>
                <c:pt idx="2433">
                  <c:v>0</c:v>
                </c:pt>
                <c:pt idx="2434">
                  <c:v>0</c:v>
                </c:pt>
                <c:pt idx="2435">
                  <c:v>0</c:v>
                </c:pt>
                <c:pt idx="2436">
                  <c:v>10</c:v>
                </c:pt>
                <c:pt idx="2437">
                  <c:v>0</c:v>
                </c:pt>
                <c:pt idx="2438">
                  <c:v>10</c:v>
                </c:pt>
                <c:pt idx="2439">
                  <c:v>3</c:v>
                </c:pt>
                <c:pt idx="2440">
                  <c:v>0</c:v>
                </c:pt>
                <c:pt idx="2441">
                  <c:v>0</c:v>
                </c:pt>
                <c:pt idx="2442">
                  <c:v>4</c:v>
                </c:pt>
                <c:pt idx="2443">
                  <c:v>4</c:v>
                </c:pt>
                <c:pt idx="2444">
                  <c:v>0</c:v>
                </c:pt>
                <c:pt idx="2445">
                  <c:v>14</c:v>
                </c:pt>
                <c:pt idx="2446">
                  <c:v>3</c:v>
                </c:pt>
                <c:pt idx="2447">
                  <c:v>0</c:v>
                </c:pt>
                <c:pt idx="2448">
                  <c:v>0</c:v>
                </c:pt>
                <c:pt idx="2449">
                  <c:v>0</c:v>
                </c:pt>
                <c:pt idx="2450">
                  <c:v>0</c:v>
                </c:pt>
                <c:pt idx="2451">
                  <c:v>0</c:v>
                </c:pt>
                <c:pt idx="2452">
                  <c:v>2</c:v>
                </c:pt>
                <c:pt idx="2453">
                  <c:v>13</c:v>
                </c:pt>
                <c:pt idx="2454">
                  <c:v>1</c:v>
                </c:pt>
                <c:pt idx="2455">
                  <c:v>1</c:v>
                </c:pt>
                <c:pt idx="2456">
                  <c:v>6</c:v>
                </c:pt>
                <c:pt idx="2457">
                  <c:v>0</c:v>
                </c:pt>
                <c:pt idx="2458">
                  <c:v>8</c:v>
                </c:pt>
                <c:pt idx="2459">
                  <c:v>11</c:v>
                </c:pt>
                <c:pt idx="2460">
                  <c:v>0</c:v>
                </c:pt>
                <c:pt idx="2461">
                  <c:v>0</c:v>
                </c:pt>
                <c:pt idx="2462">
                  <c:v>2</c:v>
                </c:pt>
                <c:pt idx="2463">
                  <c:v>0</c:v>
                </c:pt>
                <c:pt idx="2464">
                  <c:v>2</c:v>
                </c:pt>
                <c:pt idx="2465">
                  <c:v>0</c:v>
                </c:pt>
                <c:pt idx="2466">
                  <c:v>2</c:v>
                </c:pt>
                <c:pt idx="2467">
                  <c:v>0</c:v>
                </c:pt>
                <c:pt idx="2468">
                  <c:v>0</c:v>
                </c:pt>
                <c:pt idx="2469">
                  <c:v>6</c:v>
                </c:pt>
                <c:pt idx="2470">
                  <c:v>0</c:v>
                </c:pt>
                <c:pt idx="2471">
                  <c:v>0</c:v>
                </c:pt>
                <c:pt idx="2472">
                  <c:v>0</c:v>
                </c:pt>
                <c:pt idx="2473">
                  <c:v>0</c:v>
                </c:pt>
                <c:pt idx="2474">
                  <c:v>4</c:v>
                </c:pt>
                <c:pt idx="2475">
                  <c:v>4</c:v>
                </c:pt>
                <c:pt idx="2476">
                  <c:v>1</c:v>
                </c:pt>
                <c:pt idx="2477">
                  <c:v>4</c:v>
                </c:pt>
                <c:pt idx="2478">
                  <c:v>3</c:v>
                </c:pt>
                <c:pt idx="2479">
                  <c:v>0</c:v>
                </c:pt>
                <c:pt idx="2480">
                  <c:v>0</c:v>
                </c:pt>
                <c:pt idx="2481">
                  <c:v>0</c:v>
                </c:pt>
                <c:pt idx="2482">
                  <c:v>1</c:v>
                </c:pt>
                <c:pt idx="2483">
                  <c:v>17</c:v>
                </c:pt>
                <c:pt idx="2484">
                  <c:v>4</c:v>
                </c:pt>
                <c:pt idx="2485">
                  <c:v>1</c:v>
                </c:pt>
                <c:pt idx="2486">
                  <c:v>2</c:v>
                </c:pt>
                <c:pt idx="2487">
                  <c:v>0</c:v>
                </c:pt>
                <c:pt idx="2488">
                  <c:v>0</c:v>
                </c:pt>
                <c:pt idx="2489">
                  <c:v>16</c:v>
                </c:pt>
                <c:pt idx="2490">
                  <c:v>0</c:v>
                </c:pt>
                <c:pt idx="2491">
                  <c:v>0</c:v>
                </c:pt>
                <c:pt idx="2492">
                  <c:v>0</c:v>
                </c:pt>
                <c:pt idx="2493">
                  <c:v>0</c:v>
                </c:pt>
                <c:pt idx="2494">
                  <c:v>0</c:v>
                </c:pt>
                <c:pt idx="2495">
                  <c:v>0</c:v>
                </c:pt>
                <c:pt idx="2496">
                  <c:v>0</c:v>
                </c:pt>
                <c:pt idx="2497">
                  <c:v>3</c:v>
                </c:pt>
                <c:pt idx="2498">
                  <c:v>0</c:v>
                </c:pt>
                <c:pt idx="2499">
                  <c:v>0</c:v>
                </c:pt>
                <c:pt idx="2500">
                  <c:v>0</c:v>
                </c:pt>
                <c:pt idx="2501">
                  <c:v>0</c:v>
                </c:pt>
                <c:pt idx="2502">
                  <c:v>0</c:v>
                </c:pt>
                <c:pt idx="2503">
                  <c:v>18</c:v>
                </c:pt>
                <c:pt idx="2504">
                  <c:v>10</c:v>
                </c:pt>
                <c:pt idx="2505">
                  <c:v>4</c:v>
                </c:pt>
                <c:pt idx="2506">
                  <c:v>0</c:v>
                </c:pt>
                <c:pt idx="2507">
                  <c:v>0</c:v>
                </c:pt>
                <c:pt idx="2508">
                  <c:v>0</c:v>
                </c:pt>
                <c:pt idx="2509">
                  <c:v>2</c:v>
                </c:pt>
                <c:pt idx="2510">
                  <c:v>16</c:v>
                </c:pt>
                <c:pt idx="2511">
                  <c:v>3</c:v>
                </c:pt>
                <c:pt idx="2512">
                  <c:v>0</c:v>
                </c:pt>
                <c:pt idx="2513">
                  <c:v>12</c:v>
                </c:pt>
                <c:pt idx="2514">
                  <c:v>5</c:v>
                </c:pt>
                <c:pt idx="2515">
                  <c:v>0</c:v>
                </c:pt>
                <c:pt idx="2516">
                  <c:v>18</c:v>
                </c:pt>
                <c:pt idx="2517">
                  <c:v>0</c:v>
                </c:pt>
                <c:pt idx="2518">
                  <c:v>0</c:v>
                </c:pt>
                <c:pt idx="2519">
                  <c:v>2</c:v>
                </c:pt>
                <c:pt idx="2520">
                  <c:v>0</c:v>
                </c:pt>
                <c:pt idx="2521">
                  <c:v>2</c:v>
                </c:pt>
                <c:pt idx="2522">
                  <c:v>0</c:v>
                </c:pt>
                <c:pt idx="2523">
                  <c:v>0</c:v>
                </c:pt>
                <c:pt idx="2524">
                  <c:v>0</c:v>
                </c:pt>
                <c:pt idx="2525">
                  <c:v>0</c:v>
                </c:pt>
                <c:pt idx="2526">
                  <c:v>0</c:v>
                </c:pt>
                <c:pt idx="2527">
                  <c:v>0</c:v>
                </c:pt>
                <c:pt idx="2528">
                  <c:v>14</c:v>
                </c:pt>
                <c:pt idx="2529">
                  <c:v>0</c:v>
                </c:pt>
                <c:pt idx="2530">
                  <c:v>0</c:v>
                </c:pt>
                <c:pt idx="2531">
                  <c:v>0</c:v>
                </c:pt>
                <c:pt idx="2532">
                  <c:v>0</c:v>
                </c:pt>
                <c:pt idx="2533">
                  <c:v>0</c:v>
                </c:pt>
                <c:pt idx="2534">
                  <c:v>9</c:v>
                </c:pt>
                <c:pt idx="2535">
                  <c:v>7</c:v>
                </c:pt>
                <c:pt idx="2536">
                  <c:v>0</c:v>
                </c:pt>
                <c:pt idx="2537">
                  <c:v>0</c:v>
                </c:pt>
                <c:pt idx="2538">
                  <c:v>0</c:v>
                </c:pt>
                <c:pt idx="2539">
                  <c:v>0</c:v>
                </c:pt>
                <c:pt idx="2540">
                  <c:v>1</c:v>
                </c:pt>
                <c:pt idx="2541">
                  <c:v>3</c:v>
                </c:pt>
                <c:pt idx="2542">
                  <c:v>0</c:v>
                </c:pt>
                <c:pt idx="2543">
                  <c:v>26</c:v>
                </c:pt>
                <c:pt idx="2544">
                  <c:v>0</c:v>
                </c:pt>
                <c:pt idx="2545">
                  <c:v>1</c:v>
                </c:pt>
                <c:pt idx="2546">
                  <c:v>1</c:v>
                </c:pt>
                <c:pt idx="2547">
                  <c:v>0</c:v>
                </c:pt>
                <c:pt idx="2548">
                  <c:v>0</c:v>
                </c:pt>
                <c:pt idx="2549">
                  <c:v>0</c:v>
                </c:pt>
                <c:pt idx="2550">
                  <c:v>0</c:v>
                </c:pt>
                <c:pt idx="2551">
                  <c:v>13</c:v>
                </c:pt>
                <c:pt idx="2552">
                  <c:v>2</c:v>
                </c:pt>
                <c:pt idx="2553">
                  <c:v>0</c:v>
                </c:pt>
                <c:pt idx="2554">
                  <c:v>0</c:v>
                </c:pt>
                <c:pt idx="2555">
                  <c:v>8</c:v>
                </c:pt>
                <c:pt idx="2556">
                  <c:v>2</c:v>
                </c:pt>
                <c:pt idx="2557">
                  <c:v>10</c:v>
                </c:pt>
                <c:pt idx="2558">
                  <c:v>4</c:v>
                </c:pt>
                <c:pt idx="2559">
                  <c:v>0</c:v>
                </c:pt>
                <c:pt idx="2560">
                  <c:v>3</c:v>
                </c:pt>
                <c:pt idx="2561">
                  <c:v>5</c:v>
                </c:pt>
                <c:pt idx="2562">
                  <c:v>0</c:v>
                </c:pt>
                <c:pt idx="2563">
                  <c:v>0</c:v>
                </c:pt>
                <c:pt idx="2564">
                  <c:v>0</c:v>
                </c:pt>
                <c:pt idx="2565">
                  <c:v>27</c:v>
                </c:pt>
                <c:pt idx="2566">
                  <c:v>16</c:v>
                </c:pt>
                <c:pt idx="2567">
                  <c:v>0</c:v>
                </c:pt>
                <c:pt idx="2568">
                  <c:v>14</c:v>
                </c:pt>
                <c:pt idx="2569">
                  <c:v>0</c:v>
                </c:pt>
                <c:pt idx="2570">
                  <c:v>3</c:v>
                </c:pt>
                <c:pt idx="2571">
                  <c:v>0</c:v>
                </c:pt>
                <c:pt idx="2572">
                  <c:v>6</c:v>
                </c:pt>
                <c:pt idx="2573">
                  <c:v>0</c:v>
                </c:pt>
                <c:pt idx="2574">
                  <c:v>0</c:v>
                </c:pt>
                <c:pt idx="2575">
                  <c:v>0</c:v>
                </c:pt>
                <c:pt idx="2576">
                  <c:v>1</c:v>
                </c:pt>
                <c:pt idx="2577">
                  <c:v>0</c:v>
                </c:pt>
                <c:pt idx="2578">
                  <c:v>2</c:v>
                </c:pt>
                <c:pt idx="2579">
                  <c:v>3</c:v>
                </c:pt>
                <c:pt idx="2580">
                  <c:v>13</c:v>
                </c:pt>
                <c:pt idx="2581">
                  <c:v>0</c:v>
                </c:pt>
                <c:pt idx="2582">
                  <c:v>0</c:v>
                </c:pt>
                <c:pt idx="2583">
                  <c:v>3</c:v>
                </c:pt>
                <c:pt idx="2584">
                  <c:v>1</c:v>
                </c:pt>
                <c:pt idx="2585">
                  <c:v>0</c:v>
                </c:pt>
                <c:pt idx="2586">
                  <c:v>0</c:v>
                </c:pt>
                <c:pt idx="2587">
                  <c:v>0</c:v>
                </c:pt>
                <c:pt idx="2588">
                  <c:v>0</c:v>
                </c:pt>
                <c:pt idx="2589">
                  <c:v>0</c:v>
                </c:pt>
                <c:pt idx="2590">
                  <c:v>6</c:v>
                </c:pt>
                <c:pt idx="2591">
                  <c:v>0</c:v>
                </c:pt>
                <c:pt idx="2592">
                  <c:v>2</c:v>
                </c:pt>
                <c:pt idx="2593">
                  <c:v>7</c:v>
                </c:pt>
                <c:pt idx="2594">
                  <c:v>4</c:v>
                </c:pt>
                <c:pt idx="2595">
                  <c:v>0</c:v>
                </c:pt>
                <c:pt idx="2596">
                  <c:v>14</c:v>
                </c:pt>
                <c:pt idx="2597">
                  <c:v>0</c:v>
                </c:pt>
                <c:pt idx="2598">
                  <c:v>3</c:v>
                </c:pt>
                <c:pt idx="2599">
                  <c:v>0</c:v>
                </c:pt>
                <c:pt idx="2600">
                  <c:v>23</c:v>
                </c:pt>
                <c:pt idx="2601">
                  <c:v>6</c:v>
                </c:pt>
                <c:pt idx="2602">
                  <c:v>1</c:v>
                </c:pt>
                <c:pt idx="2603">
                  <c:v>0</c:v>
                </c:pt>
                <c:pt idx="2604">
                  <c:v>17</c:v>
                </c:pt>
                <c:pt idx="2605">
                  <c:v>0</c:v>
                </c:pt>
                <c:pt idx="2606">
                  <c:v>8</c:v>
                </c:pt>
                <c:pt idx="2607">
                  <c:v>7</c:v>
                </c:pt>
                <c:pt idx="2608">
                  <c:v>0</c:v>
                </c:pt>
                <c:pt idx="2609">
                  <c:v>0</c:v>
                </c:pt>
                <c:pt idx="2610">
                  <c:v>6</c:v>
                </c:pt>
                <c:pt idx="2611">
                  <c:v>0</c:v>
                </c:pt>
                <c:pt idx="2612">
                  <c:v>11</c:v>
                </c:pt>
                <c:pt idx="2613">
                  <c:v>2</c:v>
                </c:pt>
                <c:pt idx="2614">
                  <c:v>1</c:v>
                </c:pt>
                <c:pt idx="2615">
                  <c:v>0</c:v>
                </c:pt>
                <c:pt idx="2616">
                  <c:v>2</c:v>
                </c:pt>
                <c:pt idx="2617">
                  <c:v>11</c:v>
                </c:pt>
                <c:pt idx="2618">
                  <c:v>10</c:v>
                </c:pt>
                <c:pt idx="2619">
                  <c:v>2</c:v>
                </c:pt>
                <c:pt idx="2620">
                  <c:v>3</c:v>
                </c:pt>
                <c:pt idx="2621">
                  <c:v>1</c:v>
                </c:pt>
                <c:pt idx="2622">
                  <c:v>6</c:v>
                </c:pt>
                <c:pt idx="2623">
                  <c:v>0</c:v>
                </c:pt>
                <c:pt idx="2624">
                  <c:v>2</c:v>
                </c:pt>
                <c:pt idx="2625">
                  <c:v>0</c:v>
                </c:pt>
                <c:pt idx="2626">
                  <c:v>1</c:v>
                </c:pt>
                <c:pt idx="2627">
                  <c:v>11</c:v>
                </c:pt>
                <c:pt idx="2628">
                  <c:v>0</c:v>
                </c:pt>
                <c:pt idx="2629">
                  <c:v>0</c:v>
                </c:pt>
                <c:pt idx="2630">
                  <c:v>0</c:v>
                </c:pt>
                <c:pt idx="2631">
                  <c:v>0</c:v>
                </c:pt>
                <c:pt idx="2632">
                  <c:v>14</c:v>
                </c:pt>
                <c:pt idx="2633">
                  <c:v>1</c:v>
                </c:pt>
                <c:pt idx="2634">
                  <c:v>1</c:v>
                </c:pt>
                <c:pt idx="2635">
                  <c:v>7</c:v>
                </c:pt>
                <c:pt idx="2636">
                  <c:v>2</c:v>
                </c:pt>
                <c:pt idx="2637">
                  <c:v>0</c:v>
                </c:pt>
                <c:pt idx="2638">
                  <c:v>0</c:v>
                </c:pt>
                <c:pt idx="2639">
                  <c:v>0</c:v>
                </c:pt>
                <c:pt idx="2640">
                  <c:v>0</c:v>
                </c:pt>
                <c:pt idx="2641">
                  <c:v>0</c:v>
                </c:pt>
                <c:pt idx="2642">
                  <c:v>0</c:v>
                </c:pt>
                <c:pt idx="2643">
                  <c:v>15</c:v>
                </c:pt>
                <c:pt idx="2644">
                  <c:v>0</c:v>
                </c:pt>
                <c:pt idx="2645">
                  <c:v>0</c:v>
                </c:pt>
                <c:pt idx="2646">
                  <c:v>4</c:v>
                </c:pt>
                <c:pt idx="2647">
                  <c:v>0</c:v>
                </c:pt>
                <c:pt idx="2648">
                  <c:v>2</c:v>
                </c:pt>
                <c:pt idx="2649">
                  <c:v>0</c:v>
                </c:pt>
                <c:pt idx="2650">
                  <c:v>0</c:v>
                </c:pt>
                <c:pt idx="2651">
                  <c:v>0</c:v>
                </c:pt>
                <c:pt idx="2652">
                  <c:v>5</c:v>
                </c:pt>
                <c:pt idx="2653">
                  <c:v>5</c:v>
                </c:pt>
                <c:pt idx="2654">
                  <c:v>2</c:v>
                </c:pt>
                <c:pt idx="2655">
                  <c:v>0</c:v>
                </c:pt>
                <c:pt idx="2656">
                  <c:v>3</c:v>
                </c:pt>
                <c:pt idx="2657">
                  <c:v>0</c:v>
                </c:pt>
                <c:pt idx="2658">
                  <c:v>6</c:v>
                </c:pt>
                <c:pt idx="2659">
                  <c:v>3</c:v>
                </c:pt>
                <c:pt idx="2660">
                  <c:v>6</c:v>
                </c:pt>
                <c:pt idx="2661">
                  <c:v>0</c:v>
                </c:pt>
                <c:pt idx="2662">
                  <c:v>0</c:v>
                </c:pt>
                <c:pt idx="2663">
                  <c:v>14</c:v>
                </c:pt>
                <c:pt idx="2664">
                  <c:v>3</c:v>
                </c:pt>
                <c:pt idx="2665">
                  <c:v>0</c:v>
                </c:pt>
                <c:pt idx="2666">
                  <c:v>0</c:v>
                </c:pt>
                <c:pt idx="2667">
                  <c:v>7</c:v>
                </c:pt>
                <c:pt idx="2668">
                  <c:v>1</c:v>
                </c:pt>
                <c:pt idx="2669">
                  <c:v>0</c:v>
                </c:pt>
                <c:pt idx="2670">
                  <c:v>0</c:v>
                </c:pt>
                <c:pt idx="2671">
                  <c:v>0</c:v>
                </c:pt>
                <c:pt idx="2672">
                  <c:v>3</c:v>
                </c:pt>
                <c:pt idx="2673">
                  <c:v>0</c:v>
                </c:pt>
                <c:pt idx="2674">
                  <c:v>0</c:v>
                </c:pt>
                <c:pt idx="2675">
                  <c:v>7</c:v>
                </c:pt>
                <c:pt idx="2676">
                  <c:v>0</c:v>
                </c:pt>
                <c:pt idx="2677">
                  <c:v>2</c:v>
                </c:pt>
                <c:pt idx="2678">
                  <c:v>1</c:v>
                </c:pt>
                <c:pt idx="2679">
                  <c:v>3</c:v>
                </c:pt>
                <c:pt idx="2680">
                  <c:v>0</c:v>
                </c:pt>
                <c:pt idx="2681">
                  <c:v>0</c:v>
                </c:pt>
                <c:pt idx="2682">
                  <c:v>2</c:v>
                </c:pt>
                <c:pt idx="2683">
                  <c:v>0</c:v>
                </c:pt>
                <c:pt idx="2684">
                  <c:v>2</c:v>
                </c:pt>
                <c:pt idx="2685">
                  <c:v>0</c:v>
                </c:pt>
                <c:pt idx="2686">
                  <c:v>0</c:v>
                </c:pt>
                <c:pt idx="2687">
                  <c:v>3</c:v>
                </c:pt>
                <c:pt idx="2688">
                  <c:v>1</c:v>
                </c:pt>
                <c:pt idx="2689">
                  <c:v>2</c:v>
                </c:pt>
                <c:pt idx="2690">
                  <c:v>5</c:v>
                </c:pt>
                <c:pt idx="2691">
                  <c:v>0</c:v>
                </c:pt>
                <c:pt idx="2692">
                  <c:v>0</c:v>
                </c:pt>
                <c:pt idx="2693">
                  <c:v>6</c:v>
                </c:pt>
                <c:pt idx="2694">
                  <c:v>2</c:v>
                </c:pt>
                <c:pt idx="2695">
                  <c:v>0</c:v>
                </c:pt>
                <c:pt idx="2696">
                  <c:v>9</c:v>
                </c:pt>
                <c:pt idx="2697">
                  <c:v>1</c:v>
                </c:pt>
                <c:pt idx="2698">
                  <c:v>2</c:v>
                </c:pt>
                <c:pt idx="2699">
                  <c:v>4</c:v>
                </c:pt>
                <c:pt idx="2700">
                  <c:v>0</c:v>
                </c:pt>
                <c:pt idx="2701">
                  <c:v>0</c:v>
                </c:pt>
                <c:pt idx="2702">
                  <c:v>0</c:v>
                </c:pt>
                <c:pt idx="2703">
                  <c:v>8</c:v>
                </c:pt>
                <c:pt idx="2704">
                  <c:v>0</c:v>
                </c:pt>
                <c:pt idx="2705">
                  <c:v>4</c:v>
                </c:pt>
                <c:pt idx="2706">
                  <c:v>0</c:v>
                </c:pt>
                <c:pt idx="2707">
                  <c:v>0</c:v>
                </c:pt>
                <c:pt idx="2708">
                  <c:v>0</c:v>
                </c:pt>
                <c:pt idx="2709">
                  <c:v>4</c:v>
                </c:pt>
                <c:pt idx="2710">
                  <c:v>3</c:v>
                </c:pt>
                <c:pt idx="2711">
                  <c:v>0</c:v>
                </c:pt>
                <c:pt idx="2712">
                  <c:v>4</c:v>
                </c:pt>
                <c:pt idx="2713">
                  <c:v>9</c:v>
                </c:pt>
                <c:pt idx="2714">
                  <c:v>15</c:v>
                </c:pt>
                <c:pt idx="2715">
                  <c:v>11</c:v>
                </c:pt>
                <c:pt idx="2716">
                  <c:v>0</c:v>
                </c:pt>
                <c:pt idx="2717">
                  <c:v>8</c:v>
                </c:pt>
                <c:pt idx="2718">
                  <c:v>3</c:v>
                </c:pt>
                <c:pt idx="2719">
                  <c:v>0</c:v>
                </c:pt>
                <c:pt idx="2720">
                  <c:v>0</c:v>
                </c:pt>
                <c:pt idx="2721">
                  <c:v>5</c:v>
                </c:pt>
                <c:pt idx="2722">
                  <c:v>2</c:v>
                </c:pt>
                <c:pt idx="2723">
                  <c:v>0</c:v>
                </c:pt>
                <c:pt idx="2724">
                  <c:v>0</c:v>
                </c:pt>
                <c:pt idx="2725">
                  <c:v>1</c:v>
                </c:pt>
                <c:pt idx="2726">
                  <c:v>0</c:v>
                </c:pt>
                <c:pt idx="2727">
                  <c:v>0</c:v>
                </c:pt>
                <c:pt idx="2728">
                  <c:v>2</c:v>
                </c:pt>
                <c:pt idx="2729">
                  <c:v>0</c:v>
                </c:pt>
                <c:pt idx="2730">
                  <c:v>0</c:v>
                </c:pt>
                <c:pt idx="2731">
                  <c:v>0</c:v>
                </c:pt>
                <c:pt idx="2732">
                  <c:v>0</c:v>
                </c:pt>
                <c:pt idx="2733">
                  <c:v>0</c:v>
                </c:pt>
                <c:pt idx="2734">
                  <c:v>4</c:v>
                </c:pt>
                <c:pt idx="2735">
                  <c:v>0</c:v>
                </c:pt>
                <c:pt idx="2736">
                  <c:v>0</c:v>
                </c:pt>
                <c:pt idx="2737">
                  <c:v>0</c:v>
                </c:pt>
                <c:pt idx="2738">
                  <c:v>0</c:v>
                </c:pt>
                <c:pt idx="2739">
                  <c:v>10</c:v>
                </c:pt>
                <c:pt idx="2740">
                  <c:v>2</c:v>
                </c:pt>
                <c:pt idx="2741">
                  <c:v>3</c:v>
                </c:pt>
                <c:pt idx="2742">
                  <c:v>14</c:v>
                </c:pt>
                <c:pt idx="2743">
                  <c:v>0</c:v>
                </c:pt>
                <c:pt idx="2744">
                  <c:v>1</c:v>
                </c:pt>
                <c:pt idx="2745">
                  <c:v>0</c:v>
                </c:pt>
                <c:pt idx="2746">
                  <c:v>1</c:v>
                </c:pt>
                <c:pt idx="2747">
                  <c:v>2</c:v>
                </c:pt>
                <c:pt idx="2748">
                  <c:v>6</c:v>
                </c:pt>
                <c:pt idx="2749">
                  <c:v>1</c:v>
                </c:pt>
                <c:pt idx="2750">
                  <c:v>0</c:v>
                </c:pt>
                <c:pt idx="2751">
                  <c:v>0</c:v>
                </c:pt>
                <c:pt idx="2752">
                  <c:v>0</c:v>
                </c:pt>
                <c:pt idx="2753">
                  <c:v>0</c:v>
                </c:pt>
                <c:pt idx="2754">
                  <c:v>0</c:v>
                </c:pt>
                <c:pt idx="2755">
                  <c:v>0</c:v>
                </c:pt>
                <c:pt idx="2756">
                  <c:v>3</c:v>
                </c:pt>
                <c:pt idx="2757">
                  <c:v>4</c:v>
                </c:pt>
                <c:pt idx="2758">
                  <c:v>0</c:v>
                </c:pt>
                <c:pt idx="2759">
                  <c:v>0</c:v>
                </c:pt>
                <c:pt idx="2760">
                  <c:v>0</c:v>
                </c:pt>
                <c:pt idx="2761">
                  <c:v>0</c:v>
                </c:pt>
                <c:pt idx="2762">
                  <c:v>2</c:v>
                </c:pt>
                <c:pt idx="2763">
                  <c:v>3</c:v>
                </c:pt>
                <c:pt idx="2764">
                  <c:v>12</c:v>
                </c:pt>
                <c:pt idx="2765">
                  <c:v>0</c:v>
                </c:pt>
                <c:pt idx="2766">
                  <c:v>0</c:v>
                </c:pt>
                <c:pt idx="2767">
                  <c:v>0</c:v>
                </c:pt>
                <c:pt idx="2768">
                  <c:v>2</c:v>
                </c:pt>
                <c:pt idx="2769">
                  <c:v>0</c:v>
                </c:pt>
                <c:pt idx="2770">
                  <c:v>0</c:v>
                </c:pt>
                <c:pt idx="2771">
                  <c:v>0</c:v>
                </c:pt>
                <c:pt idx="2772">
                  <c:v>5</c:v>
                </c:pt>
                <c:pt idx="2773">
                  <c:v>4</c:v>
                </c:pt>
                <c:pt idx="2774">
                  <c:v>0</c:v>
                </c:pt>
                <c:pt idx="2775">
                  <c:v>4</c:v>
                </c:pt>
                <c:pt idx="2776">
                  <c:v>8</c:v>
                </c:pt>
                <c:pt idx="2777">
                  <c:v>4</c:v>
                </c:pt>
                <c:pt idx="2778">
                  <c:v>5</c:v>
                </c:pt>
                <c:pt idx="2779">
                  <c:v>0</c:v>
                </c:pt>
                <c:pt idx="2780">
                  <c:v>0</c:v>
                </c:pt>
                <c:pt idx="2781">
                  <c:v>0</c:v>
                </c:pt>
                <c:pt idx="2782">
                  <c:v>8</c:v>
                </c:pt>
                <c:pt idx="2783">
                  <c:v>0</c:v>
                </c:pt>
                <c:pt idx="2784">
                  <c:v>0</c:v>
                </c:pt>
                <c:pt idx="2785">
                  <c:v>3</c:v>
                </c:pt>
                <c:pt idx="2786">
                  <c:v>8</c:v>
                </c:pt>
                <c:pt idx="2787">
                  <c:v>0</c:v>
                </c:pt>
                <c:pt idx="2788">
                  <c:v>0</c:v>
                </c:pt>
                <c:pt idx="2789">
                  <c:v>1</c:v>
                </c:pt>
                <c:pt idx="2790">
                  <c:v>6</c:v>
                </c:pt>
                <c:pt idx="2791">
                  <c:v>0</c:v>
                </c:pt>
                <c:pt idx="2792">
                  <c:v>0</c:v>
                </c:pt>
                <c:pt idx="2793">
                  <c:v>0</c:v>
                </c:pt>
                <c:pt idx="2794">
                  <c:v>5</c:v>
                </c:pt>
                <c:pt idx="2795">
                  <c:v>9</c:v>
                </c:pt>
                <c:pt idx="2796">
                  <c:v>0</c:v>
                </c:pt>
                <c:pt idx="2797">
                  <c:v>9</c:v>
                </c:pt>
                <c:pt idx="2798">
                  <c:v>6</c:v>
                </c:pt>
                <c:pt idx="2799">
                  <c:v>0</c:v>
                </c:pt>
                <c:pt idx="2800">
                  <c:v>1</c:v>
                </c:pt>
                <c:pt idx="2801">
                  <c:v>0</c:v>
                </c:pt>
                <c:pt idx="2802">
                  <c:v>0</c:v>
                </c:pt>
                <c:pt idx="2803">
                  <c:v>2</c:v>
                </c:pt>
                <c:pt idx="2804">
                  <c:v>0</c:v>
                </c:pt>
                <c:pt idx="2805">
                  <c:v>0</c:v>
                </c:pt>
                <c:pt idx="2806">
                  <c:v>10</c:v>
                </c:pt>
                <c:pt idx="2807">
                  <c:v>1</c:v>
                </c:pt>
                <c:pt idx="2808">
                  <c:v>0</c:v>
                </c:pt>
                <c:pt idx="2809">
                  <c:v>0</c:v>
                </c:pt>
                <c:pt idx="2810">
                  <c:v>0</c:v>
                </c:pt>
                <c:pt idx="2811">
                  <c:v>0</c:v>
                </c:pt>
                <c:pt idx="2812">
                  <c:v>0</c:v>
                </c:pt>
                <c:pt idx="2813">
                  <c:v>0</c:v>
                </c:pt>
                <c:pt idx="2814">
                  <c:v>1</c:v>
                </c:pt>
                <c:pt idx="2815">
                  <c:v>12</c:v>
                </c:pt>
                <c:pt idx="2816">
                  <c:v>0</c:v>
                </c:pt>
                <c:pt idx="2817">
                  <c:v>11</c:v>
                </c:pt>
                <c:pt idx="2818">
                  <c:v>0</c:v>
                </c:pt>
                <c:pt idx="2819">
                  <c:v>6</c:v>
                </c:pt>
                <c:pt idx="2820">
                  <c:v>0</c:v>
                </c:pt>
                <c:pt idx="2821">
                  <c:v>0</c:v>
                </c:pt>
                <c:pt idx="2822">
                  <c:v>0</c:v>
                </c:pt>
                <c:pt idx="2823">
                  <c:v>0</c:v>
                </c:pt>
                <c:pt idx="2824">
                  <c:v>1</c:v>
                </c:pt>
                <c:pt idx="2825">
                  <c:v>3</c:v>
                </c:pt>
                <c:pt idx="2826">
                  <c:v>3</c:v>
                </c:pt>
                <c:pt idx="2827">
                  <c:v>0</c:v>
                </c:pt>
                <c:pt idx="2828">
                  <c:v>0</c:v>
                </c:pt>
                <c:pt idx="2829">
                  <c:v>0</c:v>
                </c:pt>
                <c:pt idx="2830">
                  <c:v>0</c:v>
                </c:pt>
                <c:pt idx="2831">
                  <c:v>0</c:v>
                </c:pt>
                <c:pt idx="2832">
                  <c:v>0</c:v>
                </c:pt>
                <c:pt idx="2833">
                  <c:v>0</c:v>
                </c:pt>
                <c:pt idx="2834">
                  <c:v>2</c:v>
                </c:pt>
                <c:pt idx="2835">
                  <c:v>0</c:v>
                </c:pt>
                <c:pt idx="2836">
                  <c:v>0</c:v>
                </c:pt>
                <c:pt idx="2837">
                  <c:v>11</c:v>
                </c:pt>
                <c:pt idx="2838">
                  <c:v>3</c:v>
                </c:pt>
                <c:pt idx="2839">
                  <c:v>0</c:v>
                </c:pt>
                <c:pt idx="2840">
                  <c:v>2</c:v>
                </c:pt>
                <c:pt idx="2841">
                  <c:v>0</c:v>
                </c:pt>
                <c:pt idx="2842">
                  <c:v>9</c:v>
                </c:pt>
                <c:pt idx="2843">
                  <c:v>0</c:v>
                </c:pt>
                <c:pt idx="2844">
                  <c:v>3</c:v>
                </c:pt>
                <c:pt idx="2845">
                  <c:v>0</c:v>
                </c:pt>
                <c:pt idx="2846">
                  <c:v>0</c:v>
                </c:pt>
                <c:pt idx="2847">
                  <c:v>0</c:v>
                </c:pt>
                <c:pt idx="2848">
                  <c:v>0</c:v>
                </c:pt>
                <c:pt idx="2849">
                  <c:v>0</c:v>
                </c:pt>
                <c:pt idx="2850">
                  <c:v>7</c:v>
                </c:pt>
                <c:pt idx="2851">
                  <c:v>0</c:v>
                </c:pt>
                <c:pt idx="2852">
                  <c:v>3</c:v>
                </c:pt>
                <c:pt idx="2853">
                  <c:v>9</c:v>
                </c:pt>
                <c:pt idx="2854">
                  <c:v>0</c:v>
                </c:pt>
                <c:pt idx="2855">
                  <c:v>0</c:v>
                </c:pt>
                <c:pt idx="2856">
                  <c:v>0</c:v>
                </c:pt>
                <c:pt idx="2857">
                  <c:v>0</c:v>
                </c:pt>
                <c:pt idx="2858">
                  <c:v>0</c:v>
                </c:pt>
                <c:pt idx="2859">
                  <c:v>0</c:v>
                </c:pt>
                <c:pt idx="2860">
                  <c:v>0</c:v>
                </c:pt>
                <c:pt idx="2861">
                  <c:v>0</c:v>
                </c:pt>
                <c:pt idx="2862">
                  <c:v>5</c:v>
                </c:pt>
                <c:pt idx="2863">
                  <c:v>0</c:v>
                </c:pt>
                <c:pt idx="2864">
                  <c:v>0</c:v>
                </c:pt>
                <c:pt idx="2865">
                  <c:v>0</c:v>
                </c:pt>
                <c:pt idx="2866">
                  <c:v>0</c:v>
                </c:pt>
                <c:pt idx="2867">
                  <c:v>2</c:v>
                </c:pt>
                <c:pt idx="2868">
                  <c:v>3</c:v>
                </c:pt>
                <c:pt idx="2869">
                  <c:v>0</c:v>
                </c:pt>
                <c:pt idx="2870">
                  <c:v>0</c:v>
                </c:pt>
                <c:pt idx="2871">
                  <c:v>9</c:v>
                </c:pt>
                <c:pt idx="2872">
                  <c:v>1</c:v>
                </c:pt>
                <c:pt idx="2873">
                  <c:v>3</c:v>
                </c:pt>
                <c:pt idx="2874">
                  <c:v>1</c:v>
                </c:pt>
                <c:pt idx="2875">
                  <c:v>0</c:v>
                </c:pt>
                <c:pt idx="2876">
                  <c:v>1</c:v>
                </c:pt>
                <c:pt idx="2877">
                  <c:v>0</c:v>
                </c:pt>
                <c:pt idx="2878">
                  <c:v>0</c:v>
                </c:pt>
                <c:pt idx="2879">
                  <c:v>0</c:v>
                </c:pt>
                <c:pt idx="2880">
                  <c:v>0</c:v>
                </c:pt>
                <c:pt idx="2881">
                  <c:v>0</c:v>
                </c:pt>
                <c:pt idx="2882">
                  <c:v>0</c:v>
                </c:pt>
                <c:pt idx="2883">
                  <c:v>4</c:v>
                </c:pt>
                <c:pt idx="2884">
                  <c:v>0</c:v>
                </c:pt>
                <c:pt idx="2885">
                  <c:v>0</c:v>
                </c:pt>
                <c:pt idx="2886">
                  <c:v>0</c:v>
                </c:pt>
                <c:pt idx="2887">
                  <c:v>0</c:v>
                </c:pt>
                <c:pt idx="2888">
                  <c:v>1</c:v>
                </c:pt>
                <c:pt idx="2889">
                  <c:v>5</c:v>
                </c:pt>
                <c:pt idx="2890">
                  <c:v>0</c:v>
                </c:pt>
                <c:pt idx="2891">
                  <c:v>0</c:v>
                </c:pt>
                <c:pt idx="2892">
                  <c:v>0</c:v>
                </c:pt>
                <c:pt idx="2893">
                  <c:v>0</c:v>
                </c:pt>
                <c:pt idx="2894">
                  <c:v>3</c:v>
                </c:pt>
                <c:pt idx="2895">
                  <c:v>6</c:v>
                </c:pt>
                <c:pt idx="2896">
                  <c:v>2</c:v>
                </c:pt>
                <c:pt idx="2897">
                  <c:v>0</c:v>
                </c:pt>
                <c:pt idx="2898">
                  <c:v>0</c:v>
                </c:pt>
                <c:pt idx="2899">
                  <c:v>1</c:v>
                </c:pt>
                <c:pt idx="2900">
                  <c:v>12</c:v>
                </c:pt>
                <c:pt idx="2901">
                  <c:v>11</c:v>
                </c:pt>
                <c:pt idx="2902">
                  <c:v>0</c:v>
                </c:pt>
                <c:pt idx="2903">
                  <c:v>9</c:v>
                </c:pt>
                <c:pt idx="2904">
                  <c:v>0</c:v>
                </c:pt>
                <c:pt idx="2905">
                  <c:v>0</c:v>
                </c:pt>
                <c:pt idx="2906">
                  <c:v>15</c:v>
                </c:pt>
                <c:pt idx="2907">
                  <c:v>0</c:v>
                </c:pt>
                <c:pt idx="2908">
                  <c:v>3</c:v>
                </c:pt>
                <c:pt idx="2909">
                  <c:v>1</c:v>
                </c:pt>
                <c:pt idx="2910">
                  <c:v>0</c:v>
                </c:pt>
                <c:pt idx="2911">
                  <c:v>0</c:v>
                </c:pt>
                <c:pt idx="2912">
                  <c:v>7</c:v>
                </c:pt>
                <c:pt idx="2913">
                  <c:v>1</c:v>
                </c:pt>
                <c:pt idx="2914">
                  <c:v>0</c:v>
                </c:pt>
                <c:pt idx="2915">
                  <c:v>3</c:v>
                </c:pt>
                <c:pt idx="2916">
                  <c:v>5</c:v>
                </c:pt>
                <c:pt idx="2917">
                  <c:v>0</c:v>
                </c:pt>
                <c:pt idx="2918">
                  <c:v>1</c:v>
                </c:pt>
                <c:pt idx="2919">
                  <c:v>0</c:v>
                </c:pt>
                <c:pt idx="2920">
                  <c:v>0</c:v>
                </c:pt>
                <c:pt idx="2921">
                  <c:v>0</c:v>
                </c:pt>
                <c:pt idx="2922">
                  <c:v>6</c:v>
                </c:pt>
                <c:pt idx="2923">
                  <c:v>0</c:v>
                </c:pt>
                <c:pt idx="2924">
                  <c:v>1</c:v>
                </c:pt>
                <c:pt idx="2925">
                  <c:v>0</c:v>
                </c:pt>
                <c:pt idx="2926">
                  <c:v>1</c:v>
                </c:pt>
                <c:pt idx="2927">
                  <c:v>0</c:v>
                </c:pt>
                <c:pt idx="2928">
                  <c:v>0</c:v>
                </c:pt>
                <c:pt idx="2929">
                  <c:v>0</c:v>
                </c:pt>
                <c:pt idx="2930">
                  <c:v>8</c:v>
                </c:pt>
                <c:pt idx="2931">
                  <c:v>0</c:v>
                </c:pt>
                <c:pt idx="2932">
                  <c:v>0</c:v>
                </c:pt>
                <c:pt idx="2933">
                  <c:v>11</c:v>
                </c:pt>
                <c:pt idx="2934">
                  <c:v>0</c:v>
                </c:pt>
                <c:pt idx="2935">
                  <c:v>0</c:v>
                </c:pt>
                <c:pt idx="2936">
                  <c:v>7</c:v>
                </c:pt>
                <c:pt idx="2937">
                  <c:v>0</c:v>
                </c:pt>
                <c:pt idx="2938">
                  <c:v>0</c:v>
                </c:pt>
                <c:pt idx="2939">
                  <c:v>0</c:v>
                </c:pt>
                <c:pt idx="2940">
                  <c:v>1</c:v>
                </c:pt>
                <c:pt idx="2941">
                  <c:v>1</c:v>
                </c:pt>
                <c:pt idx="2942">
                  <c:v>0</c:v>
                </c:pt>
                <c:pt idx="2943">
                  <c:v>6</c:v>
                </c:pt>
                <c:pt idx="2944">
                  <c:v>4</c:v>
                </c:pt>
                <c:pt idx="2945">
                  <c:v>0</c:v>
                </c:pt>
                <c:pt idx="2946">
                  <c:v>9</c:v>
                </c:pt>
                <c:pt idx="2947">
                  <c:v>0</c:v>
                </c:pt>
                <c:pt idx="2948">
                  <c:v>0</c:v>
                </c:pt>
                <c:pt idx="2949">
                  <c:v>7</c:v>
                </c:pt>
                <c:pt idx="2950">
                  <c:v>1</c:v>
                </c:pt>
                <c:pt idx="2951">
                  <c:v>0</c:v>
                </c:pt>
                <c:pt idx="2952">
                  <c:v>31</c:v>
                </c:pt>
                <c:pt idx="2953">
                  <c:v>0</c:v>
                </c:pt>
                <c:pt idx="2954">
                  <c:v>0</c:v>
                </c:pt>
                <c:pt idx="2955">
                  <c:v>0</c:v>
                </c:pt>
                <c:pt idx="2956">
                  <c:v>0</c:v>
                </c:pt>
                <c:pt idx="2957">
                  <c:v>5</c:v>
                </c:pt>
                <c:pt idx="2958">
                  <c:v>0</c:v>
                </c:pt>
                <c:pt idx="2959">
                  <c:v>0</c:v>
                </c:pt>
                <c:pt idx="2960">
                  <c:v>0</c:v>
                </c:pt>
                <c:pt idx="2961">
                  <c:v>0</c:v>
                </c:pt>
                <c:pt idx="2962">
                  <c:v>2</c:v>
                </c:pt>
                <c:pt idx="2963">
                  <c:v>0</c:v>
                </c:pt>
                <c:pt idx="2964">
                  <c:v>18</c:v>
                </c:pt>
                <c:pt idx="2965">
                  <c:v>10</c:v>
                </c:pt>
                <c:pt idx="2966">
                  <c:v>0</c:v>
                </c:pt>
                <c:pt idx="2967">
                  <c:v>8</c:v>
                </c:pt>
                <c:pt idx="2968">
                  <c:v>0</c:v>
                </c:pt>
                <c:pt idx="2969">
                  <c:v>0</c:v>
                </c:pt>
                <c:pt idx="2970">
                  <c:v>3</c:v>
                </c:pt>
                <c:pt idx="2971">
                  <c:v>0</c:v>
                </c:pt>
                <c:pt idx="2972">
                  <c:v>0</c:v>
                </c:pt>
                <c:pt idx="2973">
                  <c:v>5</c:v>
                </c:pt>
                <c:pt idx="2974">
                  <c:v>6</c:v>
                </c:pt>
                <c:pt idx="2975">
                  <c:v>4</c:v>
                </c:pt>
                <c:pt idx="2976">
                  <c:v>0</c:v>
                </c:pt>
                <c:pt idx="2977">
                  <c:v>0</c:v>
                </c:pt>
                <c:pt idx="2978">
                  <c:v>0</c:v>
                </c:pt>
                <c:pt idx="2979">
                  <c:v>0</c:v>
                </c:pt>
                <c:pt idx="2980">
                  <c:v>3</c:v>
                </c:pt>
                <c:pt idx="2981">
                  <c:v>0</c:v>
                </c:pt>
                <c:pt idx="2982">
                  <c:v>0</c:v>
                </c:pt>
                <c:pt idx="2983">
                  <c:v>6</c:v>
                </c:pt>
                <c:pt idx="2984">
                  <c:v>0</c:v>
                </c:pt>
                <c:pt idx="2985">
                  <c:v>0</c:v>
                </c:pt>
                <c:pt idx="2986">
                  <c:v>3</c:v>
                </c:pt>
                <c:pt idx="2987">
                  <c:v>0</c:v>
                </c:pt>
                <c:pt idx="2988">
                  <c:v>6</c:v>
                </c:pt>
                <c:pt idx="2989">
                  <c:v>0</c:v>
                </c:pt>
                <c:pt idx="2990">
                  <c:v>0</c:v>
                </c:pt>
                <c:pt idx="2991">
                  <c:v>12</c:v>
                </c:pt>
                <c:pt idx="2992">
                  <c:v>5</c:v>
                </c:pt>
                <c:pt idx="2993">
                  <c:v>8</c:v>
                </c:pt>
                <c:pt idx="2994">
                  <c:v>2</c:v>
                </c:pt>
                <c:pt idx="2995">
                  <c:v>0</c:v>
                </c:pt>
                <c:pt idx="2996">
                  <c:v>0</c:v>
                </c:pt>
                <c:pt idx="2997">
                  <c:v>1</c:v>
                </c:pt>
                <c:pt idx="2998">
                  <c:v>4</c:v>
                </c:pt>
                <c:pt idx="2999">
                  <c:v>2</c:v>
                </c:pt>
                <c:pt idx="3000">
                  <c:v>2</c:v>
                </c:pt>
              </c:numCache>
            </c:numRef>
          </c:yVal>
          <c:smooth val="0"/>
          <c:extLst xmlns:c16r2="http://schemas.microsoft.com/office/drawing/2015/06/chart">
            <c:ext xmlns:c16="http://schemas.microsoft.com/office/drawing/2014/chart" uri="{C3380CC4-5D6E-409C-BE32-E72D297353CC}">
              <c16:uniqueId val="{00000000-09BF-4115-8868-39C41E734A7D}"/>
            </c:ext>
          </c:extLst>
        </c:ser>
        <c:dLbls>
          <c:showLegendKey val="0"/>
          <c:showVal val="0"/>
          <c:showCatName val="0"/>
          <c:showSerName val="0"/>
          <c:showPercent val="0"/>
          <c:showBubbleSize val="0"/>
        </c:dLbls>
        <c:axId val="223171928"/>
        <c:axId val="223172712"/>
      </c:scatterChart>
      <c:valAx>
        <c:axId val="223171928"/>
        <c:scaling>
          <c:orientation val="minMax"/>
          <c:max val="140"/>
        </c:scaling>
        <c:delete val="0"/>
        <c:axPos val="b"/>
        <c:majorGridlines>
          <c:spPr>
            <a:ln w="9525" cap="flat" cmpd="sng" algn="ctr">
              <a:solidFill>
                <a:schemeClr val="tx1">
                  <a:lumMod val="15000"/>
                  <a:lumOff val="85000"/>
                </a:schemeClr>
              </a:solidFill>
              <a:prstDash val="dash"/>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r>
                  <a:rPr lang="sk-SK">
                    <a:latin typeface="Arial Narrow" panose="020B0606020202030204" pitchFamily="34" charset="0"/>
                  </a:rPr>
                  <a:t>Počet evidovaných žiadostí o prijatie v materskej škole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3172712"/>
        <c:crosses val="autoZero"/>
        <c:crossBetween val="midCat"/>
      </c:valAx>
      <c:valAx>
        <c:axId val="223172712"/>
        <c:scaling>
          <c:orientation val="minMax"/>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r>
                  <a:rPr lang="sk-SK">
                    <a:latin typeface="Arial Narrow" panose="020B0606020202030204" pitchFamily="34" charset="0"/>
                  </a:rPr>
                  <a:t>Voľná kapacita v materskej</a:t>
                </a:r>
                <a:r>
                  <a:rPr lang="sk-SK" baseline="0">
                    <a:latin typeface="Arial Narrow" panose="020B0606020202030204" pitchFamily="34" charset="0"/>
                  </a:rPr>
                  <a:t> škole</a:t>
                </a:r>
                <a:endParaRPr lang="sk-SK">
                  <a:latin typeface="Arial Narrow" panose="020B060602020203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317192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sk-SK"/>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842005860378564E-2"/>
          <c:y val="5.5710306406685235E-2"/>
          <c:w val="0.92290755322251383"/>
          <c:h val="0.64790847079794944"/>
        </c:manualLayout>
      </c:layout>
      <c:barChart>
        <c:barDir val="col"/>
        <c:grouping val="stacked"/>
        <c:varyColors val="0"/>
        <c:ser>
          <c:idx val="0"/>
          <c:order val="0"/>
          <c:tx>
            <c:strRef>
              <c:f>PO_6!$C$35</c:f>
              <c:strCache>
                <c:ptCount val="1"/>
                <c:pt idx="0">
                  <c:v>Čerpanie</c:v>
                </c:pt>
              </c:strCache>
            </c:strRef>
          </c:tx>
          <c:spPr>
            <a:solidFill>
              <a:schemeClr val="accent1">
                <a:lumMod val="75000"/>
              </a:schemeClr>
            </a:solidFill>
            <a:ln>
              <a:noFill/>
            </a:ln>
            <a:effectLst/>
          </c:spPr>
          <c:invertIfNegative val="0"/>
          <c:cat>
            <c:strRef>
              <c:f>PO_6!$B$36:$B$42</c:f>
              <c:strCache>
                <c:ptCount val="7"/>
                <c:pt idx="0">
                  <c:v>Finančné nástroje</c:v>
                </c:pt>
                <c:pt idx="1">
                  <c:v>Výstavba a rekonštrukcia MŠ (150 obcí ARK)</c:v>
                </c:pt>
                <c:pt idx="2">
                  <c:v>Výstavba a rekonštrukcia MŠ (mimo 150 ARK)</c:v>
                </c:pt>
                <c:pt idx="3">
                  <c:v>Rekonštrukcia a výstavba KC</c:v>
                </c:pt>
                <c:pt idx="4">
                  <c:v>Výstavba, modernizácia a rekonštrukcia KC, prestavba objektov na KC</c:v>
                </c:pt>
                <c:pt idx="5">
                  <c:v>Prístup k pitnej vode </c:v>
                </c:pt>
                <c:pt idx="6">
                  <c:v>Zber, odvoz odpadu a sanácia skládok</c:v>
                </c:pt>
              </c:strCache>
            </c:strRef>
          </c:cat>
          <c:val>
            <c:numRef>
              <c:f>PO_6!$C$36:$C$42</c:f>
              <c:numCache>
                <c:formatCode>#,##0.00</c:formatCode>
                <c:ptCount val="7"/>
                <c:pt idx="0">
                  <c:v>3392798.7529411763</c:v>
                </c:pt>
                <c:pt idx="1">
                  <c:v>4560004.5176470606</c:v>
                </c:pt>
                <c:pt idx="2">
                  <c:v>1883757.6588235295</c:v>
                </c:pt>
                <c:pt idx="3">
                  <c:v>2621303.4705882352</c:v>
                </c:pt>
                <c:pt idx="4">
                  <c:v>3950</c:v>
                </c:pt>
                <c:pt idx="5">
                  <c:v>287149.84705882357</c:v>
                </c:pt>
                <c:pt idx="6">
                  <c:v>3923332.2588235294</c:v>
                </c:pt>
              </c:numCache>
            </c:numRef>
          </c:val>
          <c:extLst xmlns:c16r2="http://schemas.microsoft.com/office/drawing/2015/06/chart">
            <c:ext xmlns:c16="http://schemas.microsoft.com/office/drawing/2014/chart" uri="{C3380CC4-5D6E-409C-BE32-E72D297353CC}">
              <c16:uniqueId val="{00000000-358D-48BD-A465-B947B8482BBF}"/>
            </c:ext>
          </c:extLst>
        </c:ser>
        <c:ser>
          <c:idx val="1"/>
          <c:order val="1"/>
          <c:tx>
            <c:strRef>
              <c:f>PO_6!$D$35</c:f>
              <c:strCache>
                <c:ptCount val="1"/>
                <c:pt idx="0">
                  <c:v>Nevyčerpané kontrahované zdroje</c:v>
                </c:pt>
              </c:strCache>
            </c:strRef>
          </c:tx>
          <c:spPr>
            <a:solidFill>
              <a:schemeClr val="accent1">
                <a:lumMod val="40000"/>
                <a:lumOff val="60000"/>
              </a:schemeClr>
            </a:solidFill>
            <a:ln>
              <a:noFill/>
            </a:ln>
            <a:effectLst/>
          </c:spPr>
          <c:invertIfNegative val="0"/>
          <c:cat>
            <c:strRef>
              <c:f>PO_6!$B$36:$B$42</c:f>
              <c:strCache>
                <c:ptCount val="7"/>
                <c:pt idx="0">
                  <c:v>Finančné nástroje</c:v>
                </c:pt>
                <c:pt idx="1">
                  <c:v>Výstavba a rekonštrukcia MŠ (150 obcí ARK)</c:v>
                </c:pt>
                <c:pt idx="2">
                  <c:v>Výstavba a rekonštrukcia MŠ (mimo 150 ARK)</c:v>
                </c:pt>
                <c:pt idx="3">
                  <c:v>Rekonštrukcia a výstavba KC</c:v>
                </c:pt>
                <c:pt idx="4">
                  <c:v>Výstavba, modernizácia a rekonštrukcia KC, prestavba objektov na KC</c:v>
                </c:pt>
                <c:pt idx="5">
                  <c:v>Prístup k pitnej vode </c:v>
                </c:pt>
                <c:pt idx="6">
                  <c:v>Zber, odvoz odpadu a sanácia skládok</c:v>
                </c:pt>
              </c:strCache>
            </c:strRef>
          </c:cat>
          <c:val>
            <c:numRef>
              <c:f>PO_6!$D$36:$D$42</c:f>
              <c:numCache>
                <c:formatCode>#,##0.00</c:formatCode>
                <c:ptCount val="7"/>
                <c:pt idx="0">
                  <c:v>10178396.247058824</c:v>
                </c:pt>
                <c:pt idx="1">
                  <c:v>14764457.632941175</c:v>
                </c:pt>
                <c:pt idx="2">
                  <c:v>6728630.574705882</c:v>
                </c:pt>
                <c:pt idx="3">
                  <c:v>11288114.224117648</c:v>
                </c:pt>
                <c:pt idx="4">
                  <c:v>9023494.8670588247</c:v>
                </c:pt>
                <c:pt idx="5">
                  <c:v>2254338.9529411765</c:v>
                </c:pt>
                <c:pt idx="6">
                  <c:v>11844969.224705882</c:v>
                </c:pt>
              </c:numCache>
            </c:numRef>
          </c:val>
          <c:extLst xmlns:c16r2="http://schemas.microsoft.com/office/drawing/2015/06/chart">
            <c:ext xmlns:c16="http://schemas.microsoft.com/office/drawing/2014/chart" uri="{C3380CC4-5D6E-409C-BE32-E72D297353CC}">
              <c16:uniqueId val="{00000001-358D-48BD-A465-B947B8482BBF}"/>
            </c:ext>
          </c:extLst>
        </c:ser>
        <c:dLbls>
          <c:showLegendKey val="0"/>
          <c:showVal val="0"/>
          <c:showCatName val="0"/>
          <c:showSerName val="0"/>
          <c:showPercent val="0"/>
          <c:showBubbleSize val="0"/>
        </c:dLbls>
        <c:gapWidth val="219"/>
        <c:overlap val="100"/>
        <c:axId val="169269800"/>
        <c:axId val="219227616"/>
      </c:barChart>
      <c:barChart>
        <c:barDir val="col"/>
        <c:grouping val="clustered"/>
        <c:varyColors val="0"/>
        <c:ser>
          <c:idx val="2"/>
          <c:order val="2"/>
          <c:tx>
            <c:strRef>
              <c:f>PO_6!$E$35</c:f>
              <c:strCache>
                <c:ptCount val="1"/>
                <c:pt idx="0">
                  <c:v>Alokácia</c:v>
                </c:pt>
              </c:strCache>
            </c:strRef>
          </c:tx>
          <c:spPr>
            <a:noFill/>
            <a:ln>
              <a:solidFill>
                <a:schemeClr val="tx1"/>
              </a:solidFill>
            </a:ln>
            <a:effectLst/>
          </c:spPr>
          <c:invertIfNegative val="0"/>
          <c:cat>
            <c:strRef>
              <c:f>PO_6!$B$36:$B$42</c:f>
              <c:strCache>
                <c:ptCount val="7"/>
                <c:pt idx="0">
                  <c:v>Finančné nástroje</c:v>
                </c:pt>
                <c:pt idx="1">
                  <c:v>Výstavba a rekonštrukcia MŠ (150 obcí ARK)</c:v>
                </c:pt>
                <c:pt idx="2">
                  <c:v>Výstavba a rekonštrukcia MŠ (mimo 150 ARK)</c:v>
                </c:pt>
                <c:pt idx="3">
                  <c:v>Rekonštrukcia a výstavba KC</c:v>
                </c:pt>
                <c:pt idx="4">
                  <c:v>Výstavba, modernizácia a rekonštrukcia KC, prestavba objektov na KC</c:v>
                </c:pt>
                <c:pt idx="5">
                  <c:v>Prístup k pitnej vode </c:v>
                </c:pt>
                <c:pt idx="6">
                  <c:v>Zber, odvoz odpadu a sanácia skládok</c:v>
                </c:pt>
              </c:strCache>
            </c:strRef>
          </c:cat>
          <c:val>
            <c:numRef>
              <c:f>PO_6!$E$36:$E$42</c:f>
              <c:numCache>
                <c:formatCode>#,##0.00</c:formatCode>
                <c:ptCount val="7"/>
                <c:pt idx="0">
                  <c:v>13571194.117647059</c:v>
                </c:pt>
                <c:pt idx="1">
                  <c:v>41176470.588235296</c:v>
                </c:pt>
                <c:pt idx="2">
                  <c:v>17647058.823529411</c:v>
                </c:pt>
                <c:pt idx="3">
                  <c:v>17647058.823529411</c:v>
                </c:pt>
                <c:pt idx="4">
                  <c:v>18596514.117647059</c:v>
                </c:pt>
                <c:pt idx="5">
                  <c:v>18823529.411764707</c:v>
                </c:pt>
                <c:pt idx="6">
                  <c:v>21365052.94117647</c:v>
                </c:pt>
              </c:numCache>
            </c:numRef>
          </c:val>
          <c:extLst xmlns:c16r2="http://schemas.microsoft.com/office/drawing/2015/06/chart">
            <c:ext xmlns:c16="http://schemas.microsoft.com/office/drawing/2014/chart" uri="{C3380CC4-5D6E-409C-BE32-E72D297353CC}">
              <c16:uniqueId val="{00000002-358D-48BD-A465-B947B8482BBF}"/>
            </c:ext>
          </c:extLst>
        </c:ser>
        <c:dLbls>
          <c:showLegendKey val="0"/>
          <c:showVal val="0"/>
          <c:showCatName val="0"/>
          <c:showSerName val="0"/>
          <c:showPercent val="0"/>
          <c:showBubbleSize val="0"/>
        </c:dLbls>
        <c:gapWidth val="219"/>
        <c:axId val="219228400"/>
        <c:axId val="219228008"/>
      </c:barChart>
      <c:catAx>
        <c:axId val="169269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19227616"/>
        <c:crosses val="autoZero"/>
        <c:auto val="1"/>
        <c:lblAlgn val="ctr"/>
        <c:lblOffset val="100"/>
        <c:noMultiLvlLbl val="0"/>
      </c:catAx>
      <c:valAx>
        <c:axId val="219227616"/>
        <c:scaling>
          <c:orientation val="minMax"/>
          <c:max val="45000000"/>
        </c:scaling>
        <c:delete val="0"/>
        <c:axPos val="l"/>
        <c:majorGridlines>
          <c:spPr>
            <a:ln w="9525" cap="flat" cmpd="sng" algn="ctr">
              <a:solidFill>
                <a:schemeClr val="tx1">
                  <a:lumMod val="15000"/>
                  <a:lumOff val="85000"/>
                </a:schemeClr>
              </a:solidFill>
              <a:prstDash val="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169269800"/>
        <c:crosses val="autoZero"/>
        <c:crossBetween val="between"/>
        <c:dispUnits>
          <c:builtInUnit val="millions"/>
        </c:dispUnits>
      </c:valAx>
      <c:valAx>
        <c:axId val="219228008"/>
        <c:scaling>
          <c:orientation val="minMax"/>
        </c:scaling>
        <c:delete val="1"/>
        <c:axPos val="r"/>
        <c:numFmt formatCode="#,##0.00" sourceLinked="1"/>
        <c:majorTickMark val="out"/>
        <c:minorTickMark val="none"/>
        <c:tickLblPos val="nextTo"/>
        <c:crossAx val="219228400"/>
        <c:crosses val="max"/>
        <c:crossBetween val="between"/>
      </c:valAx>
      <c:catAx>
        <c:axId val="219228400"/>
        <c:scaling>
          <c:orientation val="minMax"/>
        </c:scaling>
        <c:delete val="1"/>
        <c:axPos val="b"/>
        <c:numFmt formatCode="General" sourceLinked="1"/>
        <c:majorTickMark val="out"/>
        <c:minorTickMark val="none"/>
        <c:tickLblPos val="nextTo"/>
        <c:crossAx val="219228008"/>
        <c:crosses val="autoZero"/>
        <c:auto val="1"/>
        <c:lblAlgn val="ctr"/>
        <c:lblOffset val="100"/>
        <c:noMultiLvlLbl val="0"/>
      </c:catAx>
      <c:spPr>
        <a:noFill/>
        <a:ln>
          <a:noFill/>
        </a:ln>
        <a:effectLst/>
      </c:spPr>
    </c:plotArea>
    <c:legend>
      <c:legendPos val="tr"/>
      <c:layout>
        <c:manualLayout>
          <c:xMode val="edge"/>
          <c:yMode val="edge"/>
          <c:x val="0.41040329034798612"/>
          <c:y val="3.2964704395653507E-2"/>
          <c:w val="0.53932193258972683"/>
          <c:h val="9.8329353432253727E-2"/>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94920905157125"/>
          <c:y val="7.8925741837951119E-2"/>
          <c:w val="0.8457187446163823"/>
          <c:h val="0.68325456357707204"/>
        </c:manualLayout>
      </c:layout>
      <c:barChart>
        <c:barDir val="col"/>
        <c:grouping val="clustered"/>
        <c:varyColors val="0"/>
        <c:ser>
          <c:idx val="0"/>
          <c:order val="0"/>
          <c:spPr>
            <a:solidFill>
              <a:schemeClr val="accent1"/>
            </a:solidFill>
            <a:ln>
              <a:noFill/>
            </a:ln>
            <a:effectLst/>
          </c:spPr>
          <c:invertIfNegative val="0"/>
          <c:cat>
            <c:strRef>
              <c:f>'Hist. DI 1r.'!$G$3:$G$7</c:f>
              <c:strCache>
                <c:ptCount val="5"/>
                <c:pt idx="0">
                  <c:v>0 až 0,2</c:v>
                </c:pt>
                <c:pt idx="1">
                  <c:v>0,2 až 0,4</c:v>
                </c:pt>
                <c:pt idx="2">
                  <c:v>0,4 až 0,6</c:v>
                </c:pt>
                <c:pt idx="3">
                  <c:v>0,6 až 0,8</c:v>
                </c:pt>
                <c:pt idx="4">
                  <c:v>0,8 až 1,0</c:v>
                </c:pt>
              </c:strCache>
            </c:strRef>
          </c:cat>
          <c:val>
            <c:numRef>
              <c:f>'Hist. DI 1r.'!$H$3:$H$7</c:f>
              <c:numCache>
                <c:formatCode>General</c:formatCode>
                <c:ptCount val="5"/>
                <c:pt idx="0">
                  <c:v>29.16</c:v>
                </c:pt>
                <c:pt idx="1">
                  <c:v>33.159999999999997</c:v>
                </c:pt>
                <c:pt idx="2">
                  <c:v>17.88</c:v>
                </c:pt>
                <c:pt idx="3">
                  <c:v>16.28</c:v>
                </c:pt>
                <c:pt idx="4">
                  <c:v>3.53</c:v>
                </c:pt>
              </c:numCache>
            </c:numRef>
          </c:val>
          <c:extLst xmlns:c16r2="http://schemas.microsoft.com/office/drawing/2015/06/chart">
            <c:ext xmlns:c16="http://schemas.microsoft.com/office/drawing/2014/chart" uri="{C3380CC4-5D6E-409C-BE32-E72D297353CC}">
              <c16:uniqueId val="{00000000-ED61-4650-AF7D-265640269900}"/>
            </c:ext>
          </c:extLst>
        </c:ser>
        <c:dLbls>
          <c:showLegendKey val="0"/>
          <c:showVal val="0"/>
          <c:showCatName val="0"/>
          <c:showSerName val="0"/>
          <c:showPercent val="0"/>
          <c:showBubbleSize val="0"/>
        </c:dLbls>
        <c:gapWidth val="219"/>
        <c:overlap val="-27"/>
        <c:axId val="223174672"/>
        <c:axId val="223175064"/>
      </c:barChart>
      <c:catAx>
        <c:axId val="22317467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r>
                  <a:rPr lang="en-US">
                    <a:solidFill>
                      <a:sysClr val="windowText" lastClr="000000"/>
                    </a:solidFill>
                  </a:rPr>
                  <a:t>Hodnota indexu odlišnosti</a:t>
                </a:r>
              </a:p>
            </c:rich>
          </c:tx>
          <c:layout>
            <c:manualLayout>
              <c:xMode val="edge"/>
              <c:yMode val="edge"/>
              <c:x val="0.25822150609552186"/>
              <c:y val="0.8930892015361374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3175064"/>
        <c:crosses val="autoZero"/>
        <c:auto val="1"/>
        <c:lblAlgn val="ctr"/>
        <c:lblOffset val="100"/>
        <c:noMultiLvlLbl val="0"/>
      </c:catAx>
      <c:valAx>
        <c:axId val="223175064"/>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3174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sk-SK"/>
    </a:p>
  </c:txPr>
  <c:externalData r:id="rId3">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569169707445105"/>
          <c:y val="6.4327485380116955E-2"/>
          <c:w val="0.78468770671958687"/>
          <c:h val="0.62355988396187323"/>
        </c:manualLayout>
      </c:layout>
      <c:lineChart>
        <c:grouping val="standard"/>
        <c:varyColors val="0"/>
        <c:ser>
          <c:idx val="0"/>
          <c:order val="0"/>
          <c:tx>
            <c:strRef>
              <c:f>'Average index by year'!$J$2</c:f>
              <c:strCache>
                <c:ptCount val="1"/>
                <c:pt idx="0">
                  <c:v>Index odlišnosti (bežný prúd)</c:v>
                </c:pt>
              </c:strCache>
            </c:strRef>
          </c:tx>
          <c:spPr>
            <a:ln w="28575" cap="rnd">
              <a:solidFill>
                <a:schemeClr val="accent1"/>
              </a:solidFill>
              <a:round/>
            </a:ln>
            <a:effectLst/>
          </c:spPr>
          <c:marker>
            <c:symbol val="none"/>
          </c:marker>
          <c:cat>
            <c:numRef>
              <c:f>'Average index by year'!$E$3:$E$10</c:f>
              <c:numCache>
                <c:formatCode>General</c:formatCode>
                <c:ptCount val="8"/>
                <c:pt idx="0">
                  <c:v>1</c:v>
                </c:pt>
                <c:pt idx="1">
                  <c:v>2</c:v>
                </c:pt>
                <c:pt idx="2">
                  <c:v>3</c:v>
                </c:pt>
                <c:pt idx="3">
                  <c:v>4</c:v>
                </c:pt>
                <c:pt idx="4">
                  <c:v>5</c:v>
                </c:pt>
                <c:pt idx="5">
                  <c:v>6</c:v>
                </c:pt>
                <c:pt idx="6">
                  <c:v>7</c:v>
                </c:pt>
                <c:pt idx="7">
                  <c:v>8</c:v>
                </c:pt>
              </c:numCache>
            </c:numRef>
          </c:cat>
          <c:val>
            <c:numRef>
              <c:f>'Average index by year'!$J$3:$J$10</c:f>
              <c:numCache>
                <c:formatCode>General</c:formatCode>
                <c:ptCount val="8"/>
                <c:pt idx="0">
                  <c:v>0.34988669999999999</c:v>
                </c:pt>
                <c:pt idx="1">
                  <c:v>0.35250189999999998</c:v>
                </c:pt>
                <c:pt idx="2">
                  <c:v>0.34453694185767297</c:v>
                </c:pt>
                <c:pt idx="3">
                  <c:v>0.34112943882923558</c:v>
                </c:pt>
                <c:pt idx="4">
                  <c:v>0.36398975644821191</c:v>
                </c:pt>
                <c:pt idx="5">
                  <c:v>0.39286504744183731</c:v>
                </c:pt>
                <c:pt idx="6">
                  <c:v>0.37465712645447535</c:v>
                </c:pt>
                <c:pt idx="7">
                  <c:v>0.32147283018482792</c:v>
                </c:pt>
              </c:numCache>
            </c:numRef>
          </c:val>
          <c:smooth val="0"/>
          <c:extLst xmlns:c16r2="http://schemas.microsoft.com/office/drawing/2015/06/chart">
            <c:ext xmlns:c16="http://schemas.microsoft.com/office/drawing/2014/chart" uri="{C3380CC4-5D6E-409C-BE32-E72D297353CC}">
              <c16:uniqueId val="{00000000-7D05-47E4-A9C6-36DABA81A885}"/>
            </c:ext>
          </c:extLst>
        </c:ser>
        <c:ser>
          <c:idx val="1"/>
          <c:order val="1"/>
          <c:tx>
            <c:strRef>
              <c:f>'Average index by year'!$K$2</c:f>
              <c:strCache>
                <c:ptCount val="1"/>
                <c:pt idx="0">
                  <c:v>Index odlišnosti (všetky triedy)</c:v>
                </c:pt>
              </c:strCache>
            </c:strRef>
          </c:tx>
          <c:spPr>
            <a:ln w="28575" cap="rnd">
              <a:solidFill>
                <a:schemeClr val="accent3"/>
              </a:solidFill>
              <a:prstDash val="sysDash"/>
              <a:round/>
            </a:ln>
            <a:effectLst/>
          </c:spPr>
          <c:marker>
            <c:symbol val="none"/>
          </c:marker>
          <c:cat>
            <c:numRef>
              <c:f>'Average index by year'!$E$3:$E$10</c:f>
              <c:numCache>
                <c:formatCode>General</c:formatCode>
                <c:ptCount val="8"/>
                <c:pt idx="0">
                  <c:v>1</c:v>
                </c:pt>
                <c:pt idx="1">
                  <c:v>2</c:v>
                </c:pt>
                <c:pt idx="2">
                  <c:v>3</c:v>
                </c:pt>
                <c:pt idx="3">
                  <c:v>4</c:v>
                </c:pt>
                <c:pt idx="4">
                  <c:v>5</c:v>
                </c:pt>
                <c:pt idx="5">
                  <c:v>6</c:v>
                </c:pt>
                <c:pt idx="6">
                  <c:v>7</c:v>
                </c:pt>
                <c:pt idx="7">
                  <c:v>8</c:v>
                </c:pt>
              </c:numCache>
            </c:numRef>
          </c:cat>
          <c:val>
            <c:numRef>
              <c:f>'Average index by year'!$K$3:$K$10</c:f>
              <c:numCache>
                <c:formatCode>General</c:formatCode>
                <c:ptCount val="8"/>
                <c:pt idx="0">
                  <c:v>0.3531839</c:v>
                </c:pt>
                <c:pt idx="1">
                  <c:v>0.37062479999999998</c:v>
                </c:pt>
                <c:pt idx="2">
                  <c:v>0.3541550885202831</c:v>
                </c:pt>
                <c:pt idx="3">
                  <c:v>0.3591477842556583</c:v>
                </c:pt>
                <c:pt idx="4">
                  <c:v>0.40633640544444588</c:v>
                </c:pt>
                <c:pt idx="5">
                  <c:v>0.44243982379419405</c:v>
                </c:pt>
                <c:pt idx="6">
                  <c:v>0.43397588893296951</c:v>
                </c:pt>
                <c:pt idx="7">
                  <c:v>0.38882918384082538</c:v>
                </c:pt>
              </c:numCache>
            </c:numRef>
          </c:val>
          <c:smooth val="0"/>
          <c:extLst xmlns:c16r2="http://schemas.microsoft.com/office/drawing/2015/06/chart">
            <c:ext xmlns:c16="http://schemas.microsoft.com/office/drawing/2014/chart" uri="{C3380CC4-5D6E-409C-BE32-E72D297353CC}">
              <c16:uniqueId val="{00000001-7D05-47E4-A9C6-36DABA81A885}"/>
            </c:ext>
          </c:extLst>
        </c:ser>
        <c:dLbls>
          <c:showLegendKey val="0"/>
          <c:showVal val="0"/>
          <c:showCatName val="0"/>
          <c:showSerName val="0"/>
          <c:showPercent val="0"/>
          <c:showBubbleSize val="0"/>
        </c:dLbls>
        <c:smooth val="0"/>
        <c:axId val="223176240"/>
        <c:axId val="223176632"/>
      </c:lineChart>
      <c:catAx>
        <c:axId val="22317624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r>
                  <a:rPr lang="en-US">
                    <a:solidFill>
                      <a:sysClr val="windowText" lastClr="000000"/>
                    </a:solidFill>
                  </a:rPr>
                  <a:t>ročník</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3176632"/>
        <c:crosses val="autoZero"/>
        <c:auto val="1"/>
        <c:lblAlgn val="ctr"/>
        <c:lblOffset val="100"/>
        <c:noMultiLvlLbl val="0"/>
      </c:catAx>
      <c:valAx>
        <c:axId val="223176632"/>
        <c:scaling>
          <c:orientation val="minMax"/>
          <c:min val="0.30000000000000004"/>
        </c:scaling>
        <c:delete val="0"/>
        <c:axPos val="l"/>
        <c:majorGridlines>
          <c:spPr>
            <a:ln w="9525" cap="flat" cmpd="sng" algn="ctr">
              <a:solidFill>
                <a:schemeClr val="tx1">
                  <a:lumMod val="15000"/>
                  <a:lumOff val="85000"/>
                </a:schemeClr>
              </a:solidFill>
              <a:prstDash val="dash"/>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3176240"/>
        <c:crosses val="autoZero"/>
        <c:crossBetween val="between"/>
      </c:valAx>
      <c:spPr>
        <a:noFill/>
        <a:ln>
          <a:noFill/>
        </a:ln>
        <a:effectLst/>
      </c:spPr>
    </c:plotArea>
    <c:legend>
      <c:legendPos val="b"/>
      <c:layout>
        <c:manualLayout>
          <c:xMode val="edge"/>
          <c:yMode val="edge"/>
          <c:x val="6.9524358235708322E-2"/>
          <c:y val="0.8790864299857255"/>
          <c:w val="0.88263150033075122"/>
          <c:h val="0.1209135700142745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sk-SK"/>
    </a:p>
  </c:txPr>
  <c:externalData r:id="rId3">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247594050743664E-2"/>
          <c:y val="8.3333333333333329E-2"/>
          <c:w val="0.89019685039370078"/>
          <c:h val="0.55074037620297467"/>
        </c:manualLayout>
      </c:layout>
      <c:barChart>
        <c:barDir val="col"/>
        <c:grouping val="clustered"/>
        <c:varyColors val="0"/>
        <c:ser>
          <c:idx val="0"/>
          <c:order val="0"/>
          <c:tx>
            <c:strRef>
              <c:f>'MRK comp.'!$B$1</c:f>
              <c:strCache>
                <c:ptCount val="1"/>
                <c:pt idx="0">
                  <c:v>Zamestnanosť (mimo MRK)</c:v>
                </c:pt>
              </c:strCache>
            </c:strRef>
          </c:tx>
          <c:spPr>
            <a:solidFill>
              <a:schemeClr val="accent1"/>
            </a:solidFill>
            <a:ln>
              <a:noFill/>
            </a:ln>
            <a:effectLst/>
          </c:spPr>
          <c:invertIfNegative val="0"/>
          <c:cat>
            <c:strRef>
              <c:f>'MRK comp.'!$A$13:$A$20</c:f>
              <c:strCache>
                <c:ptCount val="8"/>
                <c:pt idx="0">
                  <c:v>ZŠ neukončená</c:v>
                </c:pt>
                <c:pt idx="1">
                  <c:v>ZŠ ukončená</c:v>
                </c:pt>
                <c:pt idx="2">
                  <c:v>SŠ (F odbor)</c:v>
                </c:pt>
                <c:pt idx="3">
                  <c:v>SŠ (H odbor)</c:v>
                </c:pt>
                <c:pt idx="4">
                  <c:v>ŠZŠ neukončená</c:v>
                </c:pt>
                <c:pt idx="5">
                  <c:v>ŠZŠ ukončená</c:v>
                </c:pt>
                <c:pt idx="6">
                  <c:v>SŠ (E odbor)</c:v>
                </c:pt>
                <c:pt idx="7">
                  <c:v>SŠ (G odbor)</c:v>
                </c:pt>
              </c:strCache>
            </c:strRef>
          </c:cat>
          <c:val>
            <c:numRef>
              <c:f>'MRK comp.'!$B$13:$B$20</c:f>
              <c:numCache>
                <c:formatCode>General</c:formatCode>
                <c:ptCount val="8"/>
                <c:pt idx="0">
                  <c:v>7</c:v>
                </c:pt>
                <c:pt idx="1">
                  <c:v>16.73</c:v>
                </c:pt>
                <c:pt idx="2">
                  <c:v>26.72</c:v>
                </c:pt>
                <c:pt idx="3">
                  <c:v>60.55</c:v>
                </c:pt>
                <c:pt idx="5">
                  <c:v>11.18</c:v>
                </c:pt>
                <c:pt idx="6">
                  <c:v>3.26</c:v>
                </c:pt>
                <c:pt idx="7">
                  <c:v>49.15</c:v>
                </c:pt>
              </c:numCache>
            </c:numRef>
          </c:val>
          <c:extLst xmlns:c16r2="http://schemas.microsoft.com/office/drawing/2015/06/chart">
            <c:ext xmlns:c16="http://schemas.microsoft.com/office/drawing/2014/chart" uri="{C3380CC4-5D6E-409C-BE32-E72D297353CC}">
              <c16:uniqueId val="{00000000-BAA9-4493-BE1D-269BC0A09DF9}"/>
            </c:ext>
          </c:extLst>
        </c:ser>
        <c:ser>
          <c:idx val="2"/>
          <c:order val="2"/>
          <c:tx>
            <c:strRef>
              <c:f>'MRK comp.'!$D$1</c:f>
              <c:strCache>
                <c:ptCount val="1"/>
                <c:pt idx="0">
                  <c:v>Zamestnanosť (MRK)</c:v>
                </c:pt>
              </c:strCache>
            </c:strRef>
          </c:tx>
          <c:spPr>
            <a:solidFill>
              <a:schemeClr val="accent3"/>
            </a:solidFill>
            <a:ln>
              <a:noFill/>
            </a:ln>
            <a:effectLst/>
          </c:spPr>
          <c:invertIfNegative val="0"/>
          <c:cat>
            <c:strRef>
              <c:f>'MRK comp.'!$A$13:$A$20</c:f>
              <c:strCache>
                <c:ptCount val="8"/>
                <c:pt idx="0">
                  <c:v>ZŠ neukončená</c:v>
                </c:pt>
                <c:pt idx="1">
                  <c:v>ZŠ ukončená</c:v>
                </c:pt>
                <c:pt idx="2">
                  <c:v>SŠ (F odbor)</c:v>
                </c:pt>
                <c:pt idx="3">
                  <c:v>SŠ (H odbor)</c:v>
                </c:pt>
                <c:pt idx="4">
                  <c:v>ŠZŠ neukončená</c:v>
                </c:pt>
                <c:pt idx="5">
                  <c:v>ŠZŠ ukončená</c:v>
                </c:pt>
                <c:pt idx="6">
                  <c:v>SŠ (E odbor)</c:v>
                </c:pt>
                <c:pt idx="7">
                  <c:v>SŠ (G odbor)</c:v>
                </c:pt>
              </c:strCache>
            </c:strRef>
          </c:cat>
          <c:val>
            <c:numRef>
              <c:f>'MRK comp.'!$D$13:$D$20</c:f>
              <c:numCache>
                <c:formatCode>General</c:formatCode>
                <c:ptCount val="8"/>
                <c:pt idx="0">
                  <c:v>1.49</c:v>
                </c:pt>
                <c:pt idx="1">
                  <c:v>9.44</c:v>
                </c:pt>
                <c:pt idx="2">
                  <c:v>15.8</c:v>
                </c:pt>
                <c:pt idx="3">
                  <c:v>40.24</c:v>
                </c:pt>
                <c:pt idx="4">
                  <c:v>1.44</c:v>
                </c:pt>
                <c:pt idx="5">
                  <c:v>6.08</c:v>
                </c:pt>
                <c:pt idx="6">
                  <c:v>4</c:v>
                </c:pt>
                <c:pt idx="7">
                  <c:v>35.53</c:v>
                </c:pt>
              </c:numCache>
            </c:numRef>
          </c:val>
          <c:extLst xmlns:c16r2="http://schemas.microsoft.com/office/drawing/2015/06/chart">
            <c:ext xmlns:c16="http://schemas.microsoft.com/office/drawing/2014/chart" uri="{C3380CC4-5D6E-409C-BE32-E72D297353CC}">
              <c16:uniqueId val="{00000001-BAA9-4493-BE1D-269BC0A09DF9}"/>
            </c:ext>
          </c:extLst>
        </c:ser>
        <c:dLbls>
          <c:showLegendKey val="0"/>
          <c:showVal val="0"/>
          <c:showCatName val="0"/>
          <c:showSerName val="0"/>
          <c:showPercent val="0"/>
          <c:showBubbleSize val="0"/>
        </c:dLbls>
        <c:gapWidth val="219"/>
        <c:overlap val="-27"/>
        <c:axId val="223177416"/>
        <c:axId val="223177808"/>
      </c:barChart>
      <c:lineChart>
        <c:grouping val="standard"/>
        <c:varyColors val="0"/>
        <c:ser>
          <c:idx val="1"/>
          <c:order val="1"/>
          <c:tx>
            <c:strRef>
              <c:f>'MRK comp.'!$C$1</c:f>
              <c:strCache>
                <c:ptCount val="1"/>
                <c:pt idx="0">
                  <c:v>Mzda (mimo MRK, pravá os)</c:v>
                </c:pt>
              </c:strCache>
            </c:strRef>
          </c:tx>
          <c:spPr>
            <a:ln w="25400" cap="rnd">
              <a:noFill/>
              <a:round/>
            </a:ln>
            <a:effectLst/>
          </c:spPr>
          <c:marker>
            <c:symbol val="circle"/>
            <c:size val="5"/>
            <c:spPr>
              <a:solidFill>
                <a:schemeClr val="accent1">
                  <a:lumMod val="75000"/>
                </a:schemeClr>
              </a:solidFill>
              <a:ln w="9525">
                <a:noFill/>
              </a:ln>
              <a:effectLst/>
            </c:spPr>
          </c:marker>
          <c:cat>
            <c:strRef>
              <c:f>'MRK comp.'!$A$13:$A$20</c:f>
              <c:strCache>
                <c:ptCount val="8"/>
                <c:pt idx="0">
                  <c:v>ZŠ neukončená</c:v>
                </c:pt>
                <c:pt idx="1">
                  <c:v>ZŠ ukončená</c:v>
                </c:pt>
                <c:pt idx="2">
                  <c:v>SŠ (F odbor)</c:v>
                </c:pt>
                <c:pt idx="3">
                  <c:v>SŠ (H odbor)</c:v>
                </c:pt>
                <c:pt idx="4">
                  <c:v>ŠZŠ neukončená</c:v>
                </c:pt>
                <c:pt idx="5">
                  <c:v>ŠZŠ ukončená</c:v>
                </c:pt>
                <c:pt idx="6">
                  <c:v>SŠ (E odbor)</c:v>
                </c:pt>
                <c:pt idx="7">
                  <c:v>SŠ (G odbor)</c:v>
                </c:pt>
              </c:strCache>
            </c:strRef>
          </c:cat>
          <c:val>
            <c:numRef>
              <c:f>'MRK comp.'!$C$13:$C$20</c:f>
              <c:numCache>
                <c:formatCode>General</c:formatCode>
                <c:ptCount val="8"/>
                <c:pt idx="0">
                  <c:v>528.33630000000005</c:v>
                </c:pt>
                <c:pt idx="1">
                  <c:v>694.11369999999999</c:v>
                </c:pt>
                <c:pt idx="2">
                  <c:v>692.36620000000005</c:v>
                </c:pt>
                <c:pt idx="3">
                  <c:v>721.89800000000002</c:v>
                </c:pt>
                <c:pt idx="5">
                  <c:v>615.64589999999998</c:v>
                </c:pt>
                <c:pt idx="6">
                  <c:v>705.63869999999997</c:v>
                </c:pt>
                <c:pt idx="7">
                  <c:v>700.71749999999997</c:v>
                </c:pt>
              </c:numCache>
            </c:numRef>
          </c:val>
          <c:smooth val="0"/>
          <c:extLst xmlns:c16r2="http://schemas.microsoft.com/office/drawing/2015/06/chart">
            <c:ext xmlns:c16="http://schemas.microsoft.com/office/drawing/2014/chart" uri="{C3380CC4-5D6E-409C-BE32-E72D297353CC}">
              <c16:uniqueId val="{00000002-BAA9-4493-BE1D-269BC0A09DF9}"/>
            </c:ext>
          </c:extLst>
        </c:ser>
        <c:ser>
          <c:idx val="3"/>
          <c:order val="3"/>
          <c:tx>
            <c:strRef>
              <c:f>'MRK comp.'!$E$1</c:f>
              <c:strCache>
                <c:ptCount val="1"/>
                <c:pt idx="0">
                  <c:v>Mzda (MRK, pravá os)</c:v>
                </c:pt>
              </c:strCache>
            </c:strRef>
          </c:tx>
          <c:spPr>
            <a:ln w="25400" cap="rnd">
              <a:noFill/>
              <a:round/>
            </a:ln>
            <a:effectLst/>
          </c:spPr>
          <c:marker>
            <c:symbol val="circle"/>
            <c:size val="5"/>
            <c:spPr>
              <a:solidFill>
                <a:schemeClr val="accent3">
                  <a:lumMod val="75000"/>
                </a:schemeClr>
              </a:solidFill>
              <a:ln w="9525">
                <a:noFill/>
              </a:ln>
              <a:effectLst/>
            </c:spPr>
          </c:marker>
          <c:cat>
            <c:strRef>
              <c:f>'MRK comp.'!$A$13:$A$20</c:f>
              <c:strCache>
                <c:ptCount val="8"/>
                <c:pt idx="0">
                  <c:v>ZŠ neukončená</c:v>
                </c:pt>
                <c:pt idx="1">
                  <c:v>ZŠ ukončená</c:v>
                </c:pt>
                <c:pt idx="2">
                  <c:v>SŠ (F odbor)</c:v>
                </c:pt>
                <c:pt idx="3">
                  <c:v>SŠ (H odbor)</c:v>
                </c:pt>
                <c:pt idx="4">
                  <c:v>ŠZŠ neukončená</c:v>
                </c:pt>
                <c:pt idx="5">
                  <c:v>ŠZŠ ukončená</c:v>
                </c:pt>
                <c:pt idx="6">
                  <c:v>SŠ (E odbor)</c:v>
                </c:pt>
                <c:pt idx="7">
                  <c:v>SŠ (G odbor)</c:v>
                </c:pt>
              </c:strCache>
            </c:strRef>
          </c:cat>
          <c:val>
            <c:numRef>
              <c:f>'MRK comp.'!$E$13:$E$20</c:f>
              <c:numCache>
                <c:formatCode>General</c:formatCode>
                <c:ptCount val="8"/>
                <c:pt idx="0">
                  <c:v>466.69119999999998</c:v>
                </c:pt>
                <c:pt idx="1">
                  <c:v>580.54840000000002</c:v>
                </c:pt>
                <c:pt idx="2">
                  <c:v>639.53679999999997</c:v>
                </c:pt>
                <c:pt idx="3">
                  <c:v>746.3614</c:v>
                </c:pt>
                <c:pt idx="4">
                  <c:v>510.33749999999998</c:v>
                </c:pt>
                <c:pt idx="5">
                  <c:v>588.80999999999995</c:v>
                </c:pt>
                <c:pt idx="6">
                  <c:v>528.1037</c:v>
                </c:pt>
                <c:pt idx="7">
                  <c:v>680.87860000000001</c:v>
                </c:pt>
              </c:numCache>
            </c:numRef>
          </c:val>
          <c:smooth val="0"/>
          <c:extLst xmlns:c16r2="http://schemas.microsoft.com/office/drawing/2015/06/chart">
            <c:ext xmlns:c16="http://schemas.microsoft.com/office/drawing/2014/chart" uri="{C3380CC4-5D6E-409C-BE32-E72D297353CC}">
              <c16:uniqueId val="{00000003-BAA9-4493-BE1D-269BC0A09DF9}"/>
            </c:ext>
          </c:extLst>
        </c:ser>
        <c:dLbls>
          <c:showLegendKey val="0"/>
          <c:showVal val="0"/>
          <c:showCatName val="0"/>
          <c:showSerName val="0"/>
          <c:showPercent val="0"/>
          <c:showBubbleSize val="0"/>
        </c:dLbls>
        <c:marker val="1"/>
        <c:smooth val="0"/>
        <c:axId val="226411384"/>
        <c:axId val="226410992"/>
      </c:lineChart>
      <c:catAx>
        <c:axId val="223177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3177808"/>
        <c:crosses val="autoZero"/>
        <c:auto val="1"/>
        <c:lblAlgn val="ctr"/>
        <c:lblOffset val="100"/>
        <c:noMultiLvlLbl val="0"/>
      </c:catAx>
      <c:valAx>
        <c:axId val="223177808"/>
        <c:scaling>
          <c:orientation val="minMax"/>
          <c:max val="70"/>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3177416"/>
        <c:crosses val="autoZero"/>
        <c:crossBetween val="between"/>
      </c:valAx>
      <c:valAx>
        <c:axId val="226410992"/>
        <c:scaling>
          <c:orientation val="minMax"/>
          <c:max val="1050"/>
          <c:min val="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6411384"/>
        <c:crosses val="max"/>
        <c:crossBetween val="between"/>
        <c:majorUnit val="150"/>
      </c:valAx>
      <c:catAx>
        <c:axId val="226411384"/>
        <c:scaling>
          <c:orientation val="minMax"/>
        </c:scaling>
        <c:delete val="1"/>
        <c:axPos val="b"/>
        <c:numFmt formatCode="General" sourceLinked="1"/>
        <c:majorTickMark val="out"/>
        <c:minorTickMark val="none"/>
        <c:tickLblPos val="nextTo"/>
        <c:crossAx val="226410992"/>
        <c:crosses val="autoZero"/>
        <c:auto val="1"/>
        <c:lblAlgn val="ctr"/>
        <c:lblOffset val="100"/>
        <c:noMultiLvlLbl val="0"/>
      </c:catAx>
      <c:spPr>
        <a:noFill/>
        <a:ln>
          <a:noFill/>
        </a:ln>
        <a:effectLst/>
      </c:spPr>
    </c:plotArea>
    <c:legend>
      <c:legendPos val="b"/>
      <c:layout>
        <c:manualLayout>
          <c:xMode val="edge"/>
          <c:yMode val="edge"/>
          <c:x val="0.15660586176727909"/>
          <c:y val="1.7360017497812772E-2"/>
          <c:w val="0.69209142607174101"/>
          <c:h val="0.1420195392242636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userShapes r:id="rId4"/>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100880535094418E-2"/>
          <c:y val="6.0185185185185182E-2"/>
          <c:w val="0.92889911946490555"/>
          <c:h val="0.70172277677888684"/>
        </c:manualLayout>
      </c:layout>
      <c:lineChart>
        <c:grouping val="standard"/>
        <c:varyColors val="0"/>
        <c:ser>
          <c:idx val="0"/>
          <c:order val="0"/>
          <c:tx>
            <c:strRef>
              <c:f>'[2]ZZ prudy v case ZS'!$A$8</c:f>
              <c:strCache>
                <c:ptCount val="1"/>
                <c:pt idx="0">
                  <c:v>Základné vzdelávanie</c:v>
                </c:pt>
              </c:strCache>
            </c:strRef>
          </c:tx>
          <c:spPr>
            <a:ln w="28575" cap="rnd">
              <a:solidFill>
                <a:schemeClr val="accent1"/>
              </a:solidFill>
              <a:round/>
            </a:ln>
            <a:effectLst/>
          </c:spPr>
          <c:marker>
            <c:symbol val="none"/>
          </c:marker>
          <c:cat>
            <c:numRef>
              <c:f>'[2]ZZ prudy v case ZS'!$B$7:$L$7</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'[2]ZZ prudy v case ZS'!$B$8:$L$8</c:f>
              <c:numCache>
                <c:formatCode>General</c:formatCode>
                <c:ptCount val="11"/>
                <c:pt idx="0">
                  <c:v>8.3706494961035952E-2</c:v>
                </c:pt>
                <c:pt idx="1">
                  <c:v>8.8332487618312708E-2</c:v>
                </c:pt>
                <c:pt idx="2">
                  <c:v>9.3591223648860619E-2</c:v>
                </c:pt>
                <c:pt idx="3">
                  <c:v>9.8136216962907807E-2</c:v>
                </c:pt>
                <c:pt idx="4">
                  <c:v>0.10148562860810301</c:v>
                </c:pt>
                <c:pt idx="5">
                  <c:v>0.10517936324840677</c:v>
                </c:pt>
                <c:pt idx="6">
                  <c:v>0.11140769322251146</c:v>
                </c:pt>
                <c:pt idx="7">
                  <c:v>0.1116059865044626</c:v>
                </c:pt>
                <c:pt idx="8">
                  <c:v>0.11056770150756393</c:v>
                </c:pt>
                <c:pt idx="9">
                  <c:v>0.11032848284432731</c:v>
                </c:pt>
                <c:pt idx="10">
                  <c:v>0.11067547321108279</c:v>
                </c:pt>
              </c:numCache>
            </c:numRef>
          </c:val>
          <c:smooth val="0"/>
          <c:extLst xmlns:c16r2="http://schemas.microsoft.com/office/drawing/2015/06/chart">
            <c:ext xmlns:c16="http://schemas.microsoft.com/office/drawing/2014/chart" uri="{C3380CC4-5D6E-409C-BE32-E72D297353CC}">
              <c16:uniqueId val="{00000000-6561-4AFC-9146-DB631EEF546E}"/>
            </c:ext>
          </c:extLst>
        </c:ser>
        <c:ser>
          <c:idx val="1"/>
          <c:order val="1"/>
          <c:tx>
            <c:strRef>
              <c:f>'[2]ZZ prudy v case ZS'!$A$9</c:f>
              <c:strCache>
                <c:ptCount val="1"/>
                <c:pt idx="0">
                  <c:v>Integrácia</c:v>
                </c:pt>
              </c:strCache>
            </c:strRef>
          </c:tx>
          <c:spPr>
            <a:ln w="28575" cap="rnd">
              <a:solidFill>
                <a:schemeClr val="accent3"/>
              </a:solidFill>
              <a:round/>
            </a:ln>
            <a:effectLst/>
          </c:spPr>
          <c:marker>
            <c:symbol val="none"/>
          </c:marker>
          <c:cat>
            <c:numRef>
              <c:f>'[2]ZZ prudy v case ZS'!$B$7:$L$7</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'[2]ZZ prudy v case ZS'!$B$9:$L$9</c:f>
              <c:numCache>
                <c:formatCode>General</c:formatCode>
                <c:ptCount val="11"/>
                <c:pt idx="0">
                  <c:v>3.1640960736490795E-2</c:v>
                </c:pt>
                <c:pt idx="1">
                  <c:v>3.5115345743677057E-2</c:v>
                </c:pt>
                <c:pt idx="2">
                  <c:v>3.8931081060895434E-2</c:v>
                </c:pt>
                <c:pt idx="3">
                  <c:v>4.2924207595428497E-2</c:v>
                </c:pt>
                <c:pt idx="4">
                  <c:v>4.5852465768649903E-2</c:v>
                </c:pt>
                <c:pt idx="5">
                  <c:v>4.9508554787040408E-2</c:v>
                </c:pt>
                <c:pt idx="6">
                  <c:v>5.6034197972964044E-2</c:v>
                </c:pt>
                <c:pt idx="7">
                  <c:v>5.6971889419129944E-2</c:v>
                </c:pt>
                <c:pt idx="8">
                  <c:v>5.8108905649241878E-2</c:v>
                </c:pt>
                <c:pt idx="9">
                  <c:v>5.9609037609649355E-2</c:v>
                </c:pt>
                <c:pt idx="10">
                  <c:v>6.0820021523982352E-2</c:v>
                </c:pt>
              </c:numCache>
            </c:numRef>
          </c:val>
          <c:smooth val="0"/>
          <c:extLst xmlns:c16r2="http://schemas.microsoft.com/office/drawing/2015/06/chart">
            <c:ext xmlns:c16="http://schemas.microsoft.com/office/drawing/2014/chart" uri="{C3380CC4-5D6E-409C-BE32-E72D297353CC}">
              <c16:uniqueId val="{00000001-6561-4AFC-9146-DB631EEF546E}"/>
            </c:ext>
          </c:extLst>
        </c:ser>
        <c:ser>
          <c:idx val="2"/>
          <c:order val="2"/>
          <c:tx>
            <c:strRef>
              <c:f>'[2]ZZ prudy v case ZS'!$A$10</c:f>
              <c:strCache>
                <c:ptCount val="1"/>
                <c:pt idx="0">
                  <c:v>Špeciálne triedy</c:v>
                </c:pt>
              </c:strCache>
            </c:strRef>
          </c:tx>
          <c:spPr>
            <a:ln w="28575" cap="rnd">
              <a:solidFill>
                <a:schemeClr val="accent5"/>
              </a:solidFill>
              <a:round/>
            </a:ln>
            <a:effectLst/>
          </c:spPr>
          <c:marker>
            <c:symbol val="none"/>
          </c:marker>
          <c:cat>
            <c:numRef>
              <c:f>'[2]ZZ prudy v case ZS'!$B$7:$L$7</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'[2]ZZ prudy v case ZS'!$B$10:$L$10</c:f>
              <c:numCache>
                <c:formatCode>General</c:formatCode>
                <c:ptCount val="11"/>
                <c:pt idx="0">
                  <c:v>1.5199968820576776E-2</c:v>
                </c:pt>
                <c:pt idx="1">
                  <c:v>1.583723690225072E-2</c:v>
                </c:pt>
                <c:pt idx="2">
                  <c:v>1.6672250401708836E-2</c:v>
                </c:pt>
                <c:pt idx="3">
                  <c:v>1.6837720292248087E-2</c:v>
                </c:pt>
                <c:pt idx="4">
                  <c:v>1.6638953238766255E-2</c:v>
                </c:pt>
                <c:pt idx="5">
                  <c:v>1.6572295735545018E-2</c:v>
                </c:pt>
                <c:pt idx="6">
                  <c:v>1.6372213486263991E-2</c:v>
                </c:pt>
                <c:pt idx="7">
                  <c:v>1.6145035319322678E-2</c:v>
                </c:pt>
                <c:pt idx="8">
                  <c:v>1.5448840902976071E-2</c:v>
                </c:pt>
                <c:pt idx="9">
                  <c:v>1.4838090063805714E-2</c:v>
                </c:pt>
                <c:pt idx="10">
                  <c:v>1.4581442950895777E-2</c:v>
                </c:pt>
              </c:numCache>
            </c:numRef>
          </c:val>
          <c:smooth val="0"/>
          <c:extLst xmlns:c16r2="http://schemas.microsoft.com/office/drawing/2015/06/chart">
            <c:ext xmlns:c16="http://schemas.microsoft.com/office/drawing/2014/chart" uri="{C3380CC4-5D6E-409C-BE32-E72D297353CC}">
              <c16:uniqueId val="{00000002-6561-4AFC-9146-DB631EEF546E}"/>
            </c:ext>
          </c:extLst>
        </c:ser>
        <c:ser>
          <c:idx val="3"/>
          <c:order val="3"/>
          <c:tx>
            <c:strRef>
              <c:f>'[2]ZZ prudy v case ZS'!$A$11</c:f>
              <c:strCache>
                <c:ptCount val="1"/>
                <c:pt idx="0">
                  <c:v>Špeciálne školy</c:v>
                </c:pt>
              </c:strCache>
            </c:strRef>
          </c:tx>
          <c:spPr>
            <a:ln w="28575" cap="rnd">
              <a:solidFill>
                <a:schemeClr val="accent1">
                  <a:lumMod val="60000"/>
                </a:schemeClr>
              </a:solidFill>
              <a:round/>
            </a:ln>
            <a:effectLst/>
          </c:spPr>
          <c:marker>
            <c:symbol val="none"/>
          </c:marker>
          <c:cat>
            <c:numRef>
              <c:f>'[2]ZZ prudy v case ZS'!$B$7:$L$7</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'[2]ZZ prudy v case ZS'!$B$11:$L$11</c:f>
              <c:numCache>
                <c:formatCode>General</c:formatCode>
                <c:ptCount val="11"/>
                <c:pt idx="0">
                  <c:v>3.6865565403968403E-2</c:v>
                </c:pt>
                <c:pt idx="1">
                  <c:v>3.7379904972384956E-2</c:v>
                </c:pt>
                <c:pt idx="2">
                  <c:v>3.7987892186256332E-2</c:v>
                </c:pt>
                <c:pt idx="3">
                  <c:v>3.8374289075231216E-2</c:v>
                </c:pt>
                <c:pt idx="4">
                  <c:v>3.8994209600686912E-2</c:v>
                </c:pt>
                <c:pt idx="5">
                  <c:v>3.9098512725821377E-2</c:v>
                </c:pt>
                <c:pt idx="6">
                  <c:v>3.9001281763283428E-2</c:v>
                </c:pt>
                <c:pt idx="7">
                  <c:v>3.8489061766010038E-2</c:v>
                </c:pt>
                <c:pt idx="8">
                  <c:v>3.7009954955345904E-2</c:v>
                </c:pt>
                <c:pt idx="9">
                  <c:v>3.5881355170872251E-2</c:v>
                </c:pt>
                <c:pt idx="10">
                  <c:v>3.5274008736204607E-2</c:v>
                </c:pt>
              </c:numCache>
            </c:numRef>
          </c:val>
          <c:smooth val="0"/>
          <c:extLst xmlns:c16r2="http://schemas.microsoft.com/office/drawing/2015/06/chart">
            <c:ext xmlns:c16="http://schemas.microsoft.com/office/drawing/2014/chart" uri="{C3380CC4-5D6E-409C-BE32-E72D297353CC}">
              <c16:uniqueId val="{00000003-6561-4AFC-9146-DB631EEF546E}"/>
            </c:ext>
          </c:extLst>
        </c:ser>
        <c:dLbls>
          <c:showLegendKey val="0"/>
          <c:showVal val="0"/>
          <c:showCatName val="0"/>
          <c:showSerName val="0"/>
          <c:showPercent val="0"/>
          <c:showBubbleSize val="0"/>
        </c:dLbls>
        <c:smooth val="0"/>
        <c:axId val="226412952"/>
        <c:axId val="226413344"/>
      </c:lineChart>
      <c:catAx>
        <c:axId val="226412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crossAx val="226413344"/>
        <c:crosses val="autoZero"/>
        <c:auto val="1"/>
        <c:lblAlgn val="ctr"/>
        <c:lblOffset val="100"/>
        <c:noMultiLvlLbl val="0"/>
      </c:catAx>
      <c:valAx>
        <c:axId val="226413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crossAx val="226412952"/>
        <c:crosses val="autoZero"/>
        <c:crossBetween val="between"/>
      </c:valAx>
      <c:spPr>
        <a:noFill/>
        <a:ln>
          <a:noFill/>
        </a:ln>
        <a:effectLst/>
      </c:spPr>
    </c:plotArea>
    <c:legend>
      <c:legendPos val="b"/>
      <c:layout>
        <c:manualLayout>
          <c:xMode val="edge"/>
          <c:yMode val="edge"/>
          <c:x val="7.047790527890499E-2"/>
          <c:y val="0.88148386963440595"/>
          <c:w val="0.9"/>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baseline="0">
          <a:solidFill>
            <a:schemeClr val="tx1"/>
          </a:solidFill>
          <a:latin typeface="Arial Narrow" panose="020B0606020202030204" pitchFamily="34" charset="0"/>
        </a:defRPr>
      </a:pPr>
      <a:endParaRPr lang="sk-SK"/>
    </a:p>
  </c:txPr>
  <c:externalData r:id="rId3">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Hárok16!$A$4</c:f>
              <c:strCache>
                <c:ptCount val="1"/>
                <c:pt idx="0">
                  <c:v>Stredné vzdelávanie</c:v>
                </c:pt>
              </c:strCache>
            </c:strRef>
          </c:tx>
          <c:spPr>
            <a:ln w="28575" cap="rnd">
              <a:solidFill>
                <a:schemeClr val="accent1"/>
              </a:solidFill>
              <a:round/>
            </a:ln>
            <a:effectLst/>
          </c:spPr>
          <c:marker>
            <c:symbol val="none"/>
          </c:marker>
          <c:cat>
            <c:numRef>
              <c:f>Hárok16!$B$3:$L$3</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Hárok16!$B$4:$L$4</c:f>
              <c:numCache>
                <c:formatCode>0.0%</c:formatCode>
                <c:ptCount val="11"/>
                <c:pt idx="0">
                  <c:v>2.8704903780933242E-2</c:v>
                </c:pt>
                <c:pt idx="1">
                  <c:v>3.2161157472990871E-2</c:v>
                </c:pt>
                <c:pt idx="2">
                  <c:v>3.632841131593708E-2</c:v>
                </c:pt>
                <c:pt idx="3">
                  <c:v>4.0496281879974436E-2</c:v>
                </c:pt>
                <c:pt idx="4">
                  <c:v>4.5591387863450274E-2</c:v>
                </c:pt>
                <c:pt idx="5">
                  <c:v>5.1508900105186765E-2</c:v>
                </c:pt>
                <c:pt idx="6">
                  <c:v>5.6628257251795835E-2</c:v>
                </c:pt>
                <c:pt idx="7">
                  <c:v>5.9416924219141187E-2</c:v>
                </c:pt>
                <c:pt idx="8">
                  <c:v>6.2534560784955603E-2</c:v>
                </c:pt>
                <c:pt idx="9">
                  <c:v>6.4954378295087545E-2</c:v>
                </c:pt>
                <c:pt idx="10">
                  <c:v>6.7691245829978139E-2</c:v>
                </c:pt>
              </c:numCache>
            </c:numRef>
          </c:val>
          <c:smooth val="0"/>
          <c:extLst xmlns:c16r2="http://schemas.microsoft.com/office/drawing/2015/06/chart">
            <c:ext xmlns:c16="http://schemas.microsoft.com/office/drawing/2014/chart" uri="{C3380CC4-5D6E-409C-BE32-E72D297353CC}">
              <c16:uniqueId val="{00000000-6A04-4B87-A5B2-4CEF56C2BE8E}"/>
            </c:ext>
          </c:extLst>
        </c:ser>
        <c:ser>
          <c:idx val="1"/>
          <c:order val="1"/>
          <c:tx>
            <c:strRef>
              <c:f>Hárok16!$A$5</c:f>
              <c:strCache>
                <c:ptCount val="1"/>
                <c:pt idx="0">
                  <c:v>Integrácia</c:v>
                </c:pt>
              </c:strCache>
            </c:strRef>
          </c:tx>
          <c:spPr>
            <a:ln w="28575" cap="rnd">
              <a:solidFill>
                <a:schemeClr val="accent3"/>
              </a:solidFill>
              <a:round/>
            </a:ln>
            <a:effectLst/>
          </c:spPr>
          <c:marker>
            <c:symbol val="none"/>
          </c:marker>
          <c:cat>
            <c:numRef>
              <c:f>Hárok16!$B$3:$L$3</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Hárok16!$B$5:$L$5</c:f>
              <c:numCache>
                <c:formatCode>0.0%</c:formatCode>
                <c:ptCount val="11"/>
                <c:pt idx="0">
                  <c:v>1.1260321696181489E-2</c:v>
                </c:pt>
                <c:pt idx="1">
                  <c:v>1.3916233085400445E-2</c:v>
                </c:pt>
                <c:pt idx="2">
                  <c:v>1.6861723543439584E-2</c:v>
                </c:pt>
                <c:pt idx="3">
                  <c:v>1.9879596816359729E-2</c:v>
                </c:pt>
                <c:pt idx="4">
                  <c:v>2.3588957767407305E-2</c:v>
                </c:pt>
                <c:pt idx="5">
                  <c:v>2.807834375687995E-2</c:v>
                </c:pt>
                <c:pt idx="6">
                  <c:v>3.2272334688546692E-2</c:v>
                </c:pt>
                <c:pt idx="7">
                  <c:v>3.5835764974014535E-2</c:v>
                </c:pt>
                <c:pt idx="8">
                  <c:v>3.8920420613047499E-2</c:v>
                </c:pt>
                <c:pt idx="9">
                  <c:v>4.1084170589789873E-2</c:v>
                </c:pt>
                <c:pt idx="10">
                  <c:v>4.3800759231565629E-2</c:v>
                </c:pt>
              </c:numCache>
            </c:numRef>
          </c:val>
          <c:smooth val="0"/>
          <c:extLst xmlns:c16r2="http://schemas.microsoft.com/office/drawing/2015/06/chart">
            <c:ext xmlns:c16="http://schemas.microsoft.com/office/drawing/2014/chart" uri="{C3380CC4-5D6E-409C-BE32-E72D297353CC}">
              <c16:uniqueId val="{00000001-6A04-4B87-A5B2-4CEF56C2BE8E}"/>
            </c:ext>
          </c:extLst>
        </c:ser>
        <c:ser>
          <c:idx val="2"/>
          <c:order val="2"/>
          <c:tx>
            <c:strRef>
              <c:f>Hárok16!$A$6</c:f>
              <c:strCache>
                <c:ptCount val="1"/>
                <c:pt idx="0">
                  <c:v>Špeciálne školy</c:v>
                </c:pt>
              </c:strCache>
            </c:strRef>
          </c:tx>
          <c:spPr>
            <a:ln w="28575" cap="rnd">
              <a:solidFill>
                <a:schemeClr val="accent5"/>
              </a:solidFill>
              <a:round/>
            </a:ln>
            <a:effectLst/>
          </c:spPr>
          <c:marker>
            <c:symbol val="none"/>
          </c:marker>
          <c:cat>
            <c:numRef>
              <c:f>Hárok16!$B$3:$L$3</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Hárok16!$B$6:$L$6</c:f>
              <c:numCache>
                <c:formatCode>0.0%</c:formatCode>
                <c:ptCount val="11"/>
                <c:pt idx="0">
                  <c:v>1.7444582084751754E-2</c:v>
                </c:pt>
                <c:pt idx="1">
                  <c:v>1.8244924387590428E-2</c:v>
                </c:pt>
                <c:pt idx="2">
                  <c:v>1.9466687772497496E-2</c:v>
                </c:pt>
                <c:pt idx="3">
                  <c:v>2.061668506361471E-2</c:v>
                </c:pt>
                <c:pt idx="4">
                  <c:v>2.2002430096042969E-2</c:v>
                </c:pt>
                <c:pt idx="5">
                  <c:v>2.3430556348306819E-2</c:v>
                </c:pt>
                <c:pt idx="6">
                  <c:v>2.435592256324914E-2</c:v>
                </c:pt>
                <c:pt idx="7">
                  <c:v>2.3581159245126646E-2</c:v>
                </c:pt>
                <c:pt idx="8">
                  <c:v>2.3614140171908108E-2</c:v>
                </c:pt>
                <c:pt idx="9">
                  <c:v>2.3870207705297672E-2</c:v>
                </c:pt>
                <c:pt idx="10">
                  <c:v>2.3890486598412516E-2</c:v>
                </c:pt>
              </c:numCache>
            </c:numRef>
          </c:val>
          <c:smooth val="0"/>
          <c:extLst xmlns:c16r2="http://schemas.microsoft.com/office/drawing/2015/06/chart">
            <c:ext xmlns:c16="http://schemas.microsoft.com/office/drawing/2014/chart" uri="{C3380CC4-5D6E-409C-BE32-E72D297353CC}">
              <c16:uniqueId val="{00000002-6A04-4B87-A5B2-4CEF56C2BE8E}"/>
            </c:ext>
          </c:extLst>
        </c:ser>
        <c:dLbls>
          <c:showLegendKey val="0"/>
          <c:showVal val="0"/>
          <c:showCatName val="0"/>
          <c:showSerName val="0"/>
          <c:showPercent val="0"/>
          <c:showBubbleSize val="0"/>
        </c:dLbls>
        <c:smooth val="0"/>
        <c:axId val="226414520"/>
        <c:axId val="226414912"/>
      </c:lineChart>
      <c:catAx>
        <c:axId val="226414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6414912"/>
        <c:crosses val="autoZero"/>
        <c:auto val="1"/>
        <c:lblAlgn val="ctr"/>
        <c:lblOffset val="100"/>
        <c:noMultiLvlLbl val="0"/>
      </c:catAx>
      <c:valAx>
        <c:axId val="226414912"/>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6414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3">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7.072350674034085E-2"/>
          <c:y val="0.10215053763440861"/>
          <c:w val="0.90464595138773796"/>
          <c:h val="0.68349335365337405"/>
        </c:manualLayout>
      </c:layout>
      <c:barChart>
        <c:barDir val="col"/>
        <c:grouping val="clustered"/>
        <c:varyColors val="0"/>
        <c:ser>
          <c:idx val="0"/>
          <c:order val="0"/>
          <c:tx>
            <c:strRef>
              <c:f>pasca_inaktivity_2020!$AN$43</c:f>
              <c:strCache>
                <c:ptCount val="1"/>
                <c:pt idx="0">
                  <c:v>December 2019 </c:v>
                </c:pt>
              </c:strCache>
            </c:strRef>
          </c:tx>
          <c:spPr>
            <a:solidFill>
              <a:srgbClr val="00B0F0"/>
            </a:solidFill>
            <a:ln>
              <a:noFill/>
            </a:ln>
            <a:effectLst/>
          </c:spPr>
          <c:invertIfNegative val="0"/>
          <c:cat>
            <c:strRef>
              <c:f>pasca_inaktivity_2020!$AO$42:$AV$42</c:f>
              <c:strCache>
                <c:ptCount val="8"/>
                <c:pt idx="0">
                  <c:v>Jednotlivec bez detí</c:v>
                </c:pt>
                <c:pt idx="1">
                  <c:v>Jednotlivec s jedným dieťaťom</c:v>
                </c:pt>
                <c:pt idx="2">
                  <c:v>Jednotlivec s dvoma deťmi</c:v>
                </c:pt>
                <c:pt idx="3">
                  <c:v>Jednotlivec s troma deťmi</c:v>
                </c:pt>
                <c:pt idx="4">
                  <c:v>Dvojica bez detí</c:v>
                </c:pt>
                <c:pt idx="5">
                  <c:v>Dvojica s jedným dieťaťom</c:v>
                </c:pt>
                <c:pt idx="6">
                  <c:v>Dvojica s dvoma deťmi</c:v>
                </c:pt>
                <c:pt idx="7">
                  <c:v>Dvojica s troma deťmi</c:v>
                </c:pt>
              </c:strCache>
            </c:strRef>
          </c:cat>
          <c:val>
            <c:numRef>
              <c:f>pasca_inaktivity_2020!$AO$43:$AV$43</c:f>
              <c:numCache>
                <c:formatCode>0%</c:formatCode>
                <c:ptCount val="8"/>
                <c:pt idx="0" formatCode="0.0%">
                  <c:v>2.2884615384614793E-3</c:v>
                </c:pt>
                <c:pt idx="1">
                  <c:v>-9.2134615384615481E-2</c:v>
                </c:pt>
                <c:pt idx="2">
                  <c:v>-0.17740384615384594</c:v>
                </c:pt>
                <c:pt idx="3" formatCode="0.0%">
                  <c:v>-0.22003846153846179</c:v>
                </c:pt>
                <c:pt idx="4">
                  <c:v>0.15142307692307699</c:v>
                </c:pt>
                <c:pt idx="5">
                  <c:v>-0.25076923076923074</c:v>
                </c:pt>
                <c:pt idx="6">
                  <c:v>-0.33603846153846156</c:v>
                </c:pt>
                <c:pt idx="7" formatCode="0.0%">
                  <c:v>-0.34386538461538463</c:v>
                </c:pt>
              </c:numCache>
            </c:numRef>
          </c:val>
          <c:extLst xmlns:c16r2="http://schemas.microsoft.com/office/drawing/2015/06/chart">
            <c:ext xmlns:c16="http://schemas.microsoft.com/office/drawing/2014/chart" uri="{C3380CC4-5D6E-409C-BE32-E72D297353CC}">
              <c16:uniqueId val="{00000000-54E0-4D1C-ADB0-ED13AB256473}"/>
            </c:ext>
          </c:extLst>
        </c:ser>
        <c:ser>
          <c:idx val="1"/>
          <c:order val="1"/>
          <c:tx>
            <c:strRef>
              <c:f>pasca_inaktivity_2020!$AN$44</c:f>
              <c:strCache>
                <c:ptCount val="1"/>
                <c:pt idx="0">
                  <c:v>Január 2020</c:v>
                </c:pt>
              </c:strCache>
            </c:strRef>
          </c:tx>
          <c:spPr>
            <a:solidFill>
              <a:srgbClr val="002060"/>
            </a:solidFill>
            <a:ln>
              <a:noFill/>
            </a:ln>
            <a:effectLst/>
          </c:spPr>
          <c:invertIfNegative val="0"/>
          <c:cat>
            <c:strRef>
              <c:f>pasca_inaktivity_2020!$AO$42:$AV$42</c:f>
              <c:strCache>
                <c:ptCount val="8"/>
                <c:pt idx="0">
                  <c:v>Jednotlivec bez detí</c:v>
                </c:pt>
                <c:pt idx="1">
                  <c:v>Jednotlivec s jedným dieťaťom</c:v>
                </c:pt>
                <c:pt idx="2">
                  <c:v>Jednotlivec s dvoma deťmi</c:v>
                </c:pt>
                <c:pt idx="3">
                  <c:v>Jednotlivec s troma deťmi</c:v>
                </c:pt>
                <c:pt idx="4">
                  <c:v>Dvojica bez detí</c:v>
                </c:pt>
                <c:pt idx="5">
                  <c:v>Dvojica s jedným dieťaťom</c:v>
                </c:pt>
                <c:pt idx="6">
                  <c:v>Dvojica s dvoma deťmi</c:v>
                </c:pt>
                <c:pt idx="7">
                  <c:v>Dvojica s troma deťmi</c:v>
                </c:pt>
              </c:strCache>
            </c:strRef>
          </c:cat>
          <c:val>
            <c:numRef>
              <c:f>pasca_inaktivity_2020!$AO$44:$AV$44</c:f>
              <c:numCache>
                <c:formatCode>0%</c:formatCode>
                <c:ptCount val="8"/>
                <c:pt idx="0" formatCode="0.0%">
                  <c:v>8.6551724137931708E-3</c:v>
                </c:pt>
                <c:pt idx="1">
                  <c:v>-8.3586206896551662E-2</c:v>
                </c:pt>
                <c:pt idx="2">
                  <c:v>-0.16193103448275875</c:v>
                </c:pt>
                <c:pt idx="3" formatCode="0.0%">
                  <c:v>-0.20110344827586205</c:v>
                </c:pt>
                <c:pt idx="4">
                  <c:v>0.14644827586206907</c:v>
                </c:pt>
                <c:pt idx="5">
                  <c:v>-0.29862068965517241</c:v>
                </c:pt>
                <c:pt idx="6">
                  <c:v>-0.3769655172413795</c:v>
                </c:pt>
                <c:pt idx="7" formatCode="0.0%">
                  <c:v>-0.38406896551724118</c:v>
                </c:pt>
              </c:numCache>
            </c:numRef>
          </c:val>
          <c:extLst xmlns:c16r2="http://schemas.microsoft.com/office/drawing/2015/06/chart">
            <c:ext xmlns:c16="http://schemas.microsoft.com/office/drawing/2014/chart" uri="{C3380CC4-5D6E-409C-BE32-E72D297353CC}">
              <c16:uniqueId val="{00000001-54E0-4D1C-ADB0-ED13AB256473}"/>
            </c:ext>
          </c:extLst>
        </c:ser>
        <c:ser>
          <c:idx val="2"/>
          <c:order val="2"/>
          <c:tx>
            <c:strRef>
              <c:f>pasca_inaktivity_2020!$AN$45</c:f>
              <c:strCache>
                <c:ptCount val="1"/>
                <c:pt idx="0">
                  <c:v>Návrh PHN</c:v>
                </c:pt>
              </c:strCache>
            </c:strRef>
          </c:tx>
          <c:spPr>
            <a:solidFill>
              <a:schemeClr val="bg1">
                <a:lumMod val="75000"/>
              </a:schemeClr>
            </a:solidFill>
            <a:ln>
              <a:noFill/>
            </a:ln>
            <a:effectLst/>
          </c:spPr>
          <c:invertIfNegative val="0"/>
          <c:cat>
            <c:strRef>
              <c:f>pasca_inaktivity_2020!$AO$42:$AV$42</c:f>
              <c:strCache>
                <c:ptCount val="8"/>
                <c:pt idx="0">
                  <c:v>Jednotlivec bez detí</c:v>
                </c:pt>
                <c:pt idx="1">
                  <c:v>Jednotlivec s jedným dieťaťom</c:v>
                </c:pt>
                <c:pt idx="2">
                  <c:v>Jednotlivec s dvoma deťmi</c:v>
                </c:pt>
                <c:pt idx="3">
                  <c:v>Jednotlivec s troma deťmi</c:v>
                </c:pt>
                <c:pt idx="4">
                  <c:v>Dvojica bez detí</c:v>
                </c:pt>
                <c:pt idx="5">
                  <c:v>Dvojica s jedným dieťaťom</c:v>
                </c:pt>
                <c:pt idx="6">
                  <c:v>Dvojica s dvoma deťmi</c:v>
                </c:pt>
                <c:pt idx="7">
                  <c:v>Dvojica s troma deťmi</c:v>
                </c:pt>
              </c:strCache>
            </c:strRef>
          </c:cat>
          <c:val>
            <c:numRef>
              <c:f>pasca_inaktivity_2020!$AO$45:$AV$45</c:f>
              <c:numCache>
                <c:formatCode>0%</c:formatCode>
                <c:ptCount val="8"/>
                <c:pt idx="0" formatCode="0.0%">
                  <c:v>3.1517241379310397E-2</c:v>
                </c:pt>
                <c:pt idx="1">
                  <c:v>-0.30106896551724127</c:v>
                </c:pt>
                <c:pt idx="2">
                  <c:v>-0.34900000000000014</c:v>
                </c:pt>
                <c:pt idx="3" formatCode="0.0%">
                  <c:v>-0.32141379310344842</c:v>
                </c:pt>
                <c:pt idx="4">
                  <c:v>0.18620689655172415</c:v>
                </c:pt>
                <c:pt idx="5">
                  <c:v>-0.21996551724137928</c:v>
                </c:pt>
                <c:pt idx="6">
                  <c:v>-0.23155172413793124</c:v>
                </c:pt>
                <c:pt idx="7" formatCode="0.0%">
                  <c:v>-0.20396551724137924</c:v>
                </c:pt>
              </c:numCache>
            </c:numRef>
          </c:val>
          <c:extLst xmlns:c16r2="http://schemas.microsoft.com/office/drawing/2015/06/chart">
            <c:ext xmlns:c16="http://schemas.microsoft.com/office/drawing/2014/chart" uri="{C3380CC4-5D6E-409C-BE32-E72D297353CC}">
              <c16:uniqueId val="{00000002-54E0-4D1C-ADB0-ED13AB256473}"/>
            </c:ext>
          </c:extLst>
        </c:ser>
        <c:dLbls>
          <c:showLegendKey val="0"/>
          <c:showVal val="0"/>
          <c:showCatName val="0"/>
          <c:showSerName val="0"/>
          <c:showPercent val="0"/>
          <c:showBubbleSize val="0"/>
        </c:dLbls>
        <c:gapWidth val="219"/>
        <c:overlap val="-27"/>
        <c:axId val="226416088"/>
        <c:axId val="226416480"/>
      </c:barChart>
      <c:catAx>
        <c:axId val="2264160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6416480"/>
        <c:crosses val="autoZero"/>
        <c:auto val="1"/>
        <c:lblAlgn val="ctr"/>
        <c:lblOffset val="0"/>
        <c:noMultiLvlLbl val="0"/>
      </c:catAx>
      <c:valAx>
        <c:axId val="226416480"/>
        <c:scaling>
          <c:orientation val="minMax"/>
          <c:max val="0.2"/>
          <c:min val="-0.4"/>
        </c:scaling>
        <c:delete val="0"/>
        <c:axPos val="l"/>
        <c:majorGridlines>
          <c:spPr>
            <a:ln w="9525" cap="flat" cmpd="sng" algn="ctr">
              <a:solidFill>
                <a:schemeClr val="bg1">
                  <a:lumMod val="75000"/>
                </a:schemeClr>
              </a:solidFill>
              <a:prstDash val="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226416088"/>
        <c:crosses val="autoZero"/>
        <c:crossBetween val="between"/>
      </c:valAx>
      <c:spPr>
        <a:noFill/>
        <a:ln>
          <a:noFill/>
        </a:ln>
        <a:effectLst/>
      </c:spPr>
    </c:plotArea>
    <c:legend>
      <c:legendPos val="b"/>
      <c:layout>
        <c:manualLayout>
          <c:xMode val="edge"/>
          <c:yMode val="edge"/>
          <c:x val="0.12400093797052798"/>
          <c:y val="1.3838794344255315E-3"/>
          <c:w val="0.72339819386983395"/>
          <c:h val="7.9111621463983664E-2"/>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withinLinear" id="19">
  <a:schemeClr val="accent6"/>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0.70209</cdr:x>
      <cdr:y>0.74653</cdr:y>
    </cdr:from>
    <cdr:to>
      <cdr:x>0.73542</cdr:x>
      <cdr:y>0.94445</cdr:y>
    </cdr:to>
    <cdr:sp macro="" textlink="">
      <cdr:nvSpPr>
        <cdr:cNvPr id="2" name="Obdĺžnik 1"/>
        <cdr:cNvSpPr/>
      </cdr:nvSpPr>
      <cdr:spPr>
        <a:xfrm xmlns:a="http://schemas.openxmlformats.org/drawingml/2006/main">
          <a:off x="3209940" y="2047875"/>
          <a:ext cx="152385" cy="542934"/>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sk-SK"/>
        </a:p>
      </cdr:txBody>
    </cdr:sp>
  </cdr:relSizeAnchor>
</c:userShapes>
</file>

<file path=word/drawings/drawing10.xml><?xml version="1.0" encoding="utf-8"?>
<c:userShapes xmlns:c="http://schemas.openxmlformats.org/drawingml/2006/chart">
  <cdr:relSizeAnchor xmlns:cdr="http://schemas.openxmlformats.org/drawingml/2006/chartDrawing">
    <cdr:from>
      <cdr:x>0.03704</cdr:x>
      <cdr:y>0.00347</cdr:y>
    </cdr:from>
    <cdr:to>
      <cdr:x>0.11785</cdr:x>
      <cdr:y>0.08681</cdr:y>
    </cdr:to>
    <cdr:sp macro="" textlink="">
      <cdr:nvSpPr>
        <cdr:cNvPr id="2" name="BlokTextu 1"/>
        <cdr:cNvSpPr txBox="1"/>
      </cdr:nvSpPr>
      <cdr:spPr>
        <a:xfrm xmlns:a="http://schemas.openxmlformats.org/drawingml/2006/main">
          <a:off x="104775" y="9525"/>
          <a:ext cx="2286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k-SK" sz="1100">
              <a:solidFill>
                <a:sysClr val="windowText" lastClr="000000"/>
              </a:solidFill>
              <a:latin typeface="Arial Narrow" panose="020B0606020202030204" pitchFamily="34" charset="0"/>
            </a:rPr>
            <a:t>%</a:t>
          </a:r>
        </a:p>
      </cdr:txBody>
    </cdr:sp>
  </cdr:relSizeAnchor>
</c:userShapes>
</file>

<file path=word/drawings/drawing11.xml><?xml version="1.0" encoding="utf-8"?>
<c:userShapes xmlns:c="http://schemas.openxmlformats.org/drawingml/2006/chart">
  <cdr:relSizeAnchor xmlns:cdr="http://schemas.openxmlformats.org/drawingml/2006/chartDrawing">
    <cdr:from>
      <cdr:x>0.33336</cdr:x>
      <cdr:y>0.73264</cdr:y>
    </cdr:from>
    <cdr:to>
      <cdr:x>0.33336</cdr:x>
      <cdr:y>1</cdr:y>
    </cdr:to>
    <cdr:cxnSp macro="">
      <cdr:nvCxnSpPr>
        <cdr:cNvPr id="3" name="Rovná spojnica 2">
          <a:extLst xmlns:a="http://schemas.openxmlformats.org/drawingml/2006/main">
            <a:ext uri="{FF2B5EF4-FFF2-40B4-BE49-F238E27FC236}">
              <a16:creationId xmlns="" xmlns:a16="http://schemas.microsoft.com/office/drawing/2014/main" id="{7DEF3473-FDEA-48DE-B8A5-E91AC46D31E6}"/>
            </a:ext>
          </a:extLst>
        </cdr:cNvPr>
        <cdr:cNvCxnSpPr/>
      </cdr:nvCxnSpPr>
      <cdr:spPr>
        <a:xfrm xmlns:a="http://schemas.openxmlformats.org/drawingml/2006/main">
          <a:off x="936701" y="1895798"/>
          <a:ext cx="0" cy="691827"/>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0.54196</cdr:x>
      <cdr:y>0.73263</cdr:y>
    </cdr:from>
    <cdr:to>
      <cdr:x>0.54196</cdr:x>
      <cdr:y>1</cdr:y>
    </cdr:to>
    <cdr:cxnSp macro="">
      <cdr:nvCxnSpPr>
        <cdr:cNvPr id="4" name="Rovná spojnica 3">
          <a:extLst xmlns:a="http://schemas.openxmlformats.org/drawingml/2006/main">
            <a:ext uri="{FF2B5EF4-FFF2-40B4-BE49-F238E27FC236}">
              <a16:creationId xmlns="" xmlns:a16="http://schemas.microsoft.com/office/drawing/2014/main" id="{52C0C1C3-34A1-4EB4-BC44-AB06D49B7C3D}"/>
            </a:ext>
          </a:extLst>
        </cdr:cNvPr>
        <cdr:cNvCxnSpPr/>
      </cdr:nvCxnSpPr>
      <cdr:spPr>
        <a:xfrm xmlns:a="http://schemas.openxmlformats.org/drawingml/2006/main">
          <a:off x="1522840" y="1895772"/>
          <a:ext cx="0" cy="691853"/>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0.74265</cdr:x>
      <cdr:y>0.73263</cdr:y>
    </cdr:from>
    <cdr:to>
      <cdr:x>0.74265</cdr:x>
      <cdr:y>1</cdr:y>
    </cdr:to>
    <cdr:cxnSp macro="">
      <cdr:nvCxnSpPr>
        <cdr:cNvPr id="5" name="Rovná spojnica 4">
          <a:extLst xmlns:a="http://schemas.openxmlformats.org/drawingml/2006/main">
            <a:ext uri="{FF2B5EF4-FFF2-40B4-BE49-F238E27FC236}">
              <a16:creationId xmlns="" xmlns:a16="http://schemas.microsoft.com/office/drawing/2014/main" id="{66675190-3AFA-467A-B242-CBCE6DC899FE}"/>
            </a:ext>
          </a:extLst>
        </cdr:cNvPr>
        <cdr:cNvCxnSpPr/>
      </cdr:nvCxnSpPr>
      <cdr:spPr>
        <a:xfrm xmlns:a="http://schemas.openxmlformats.org/drawingml/2006/main">
          <a:off x="2086755" y="1895772"/>
          <a:ext cx="0" cy="691853"/>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0.12925</cdr:x>
      <cdr:y>0.84722</cdr:y>
    </cdr:from>
    <cdr:to>
      <cdr:x>0.34354</cdr:x>
      <cdr:y>1</cdr:y>
    </cdr:to>
    <cdr:sp macro="" textlink="">
      <cdr:nvSpPr>
        <cdr:cNvPr id="6" name="BlokTextu 5"/>
        <cdr:cNvSpPr txBox="1"/>
      </cdr:nvSpPr>
      <cdr:spPr>
        <a:xfrm xmlns:a="http://schemas.openxmlformats.org/drawingml/2006/main">
          <a:off x="361950" y="2324100"/>
          <a:ext cx="600075" cy="4191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sk-SK" sz="800">
              <a:latin typeface="Arial Narrow" panose="020B0606020202030204" pitchFamily="34" charset="0"/>
            </a:rPr>
            <a:t>Jednotlivec bez detí</a:t>
          </a:r>
        </a:p>
      </cdr:txBody>
    </cdr:sp>
  </cdr:relSizeAnchor>
  <cdr:relSizeAnchor xmlns:cdr="http://schemas.openxmlformats.org/drawingml/2006/chartDrawing">
    <cdr:from>
      <cdr:x>0.34127</cdr:x>
      <cdr:y>0.84491</cdr:y>
    </cdr:from>
    <cdr:to>
      <cdr:x>0.55556</cdr:x>
      <cdr:y>0.99479</cdr:y>
    </cdr:to>
    <cdr:sp macro="" textlink="">
      <cdr:nvSpPr>
        <cdr:cNvPr id="7" name="BlokTextu 1"/>
        <cdr:cNvSpPr txBox="1"/>
      </cdr:nvSpPr>
      <cdr:spPr>
        <a:xfrm xmlns:a="http://schemas.openxmlformats.org/drawingml/2006/main">
          <a:off x="955675" y="2317750"/>
          <a:ext cx="600075" cy="41116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sk-SK" sz="800">
              <a:latin typeface="Arial Narrow" panose="020B0606020202030204" pitchFamily="34" charset="0"/>
            </a:rPr>
            <a:t>Jednotlivec s troma deťmi</a:t>
          </a:r>
        </a:p>
      </cdr:txBody>
    </cdr:sp>
  </cdr:relSizeAnchor>
  <cdr:relSizeAnchor xmlns:cdr="http://schemas.openxmlformats.org/drawingml/2006/chartDrawing">
    <cdr:from>
      <cdr:x>0.53855</cdr:x>
      <cdr:y>0.84549</cdr:y>
    </cdr:from>
    <cdr:to>
      <cdr:x>0.75283</cdr:x>
      <cdr:y>1</cdr:y>
    </cdr:to>
    <cdr:sp macro="" textlink="">
      <cdr:nvSpPr>
        <cdr:cNvPr id="8" name="BlokTextu 1"/>
        <cdr:cNvSpPr txBox="1"/>
      </cdr:nvSpPr>
      <cdr:spPr>
        <a:xfrm xmlns:a="http://schemas.openxmlformats.org/drawingml/2006/main">
          <a:off x="1508125" y="2319338"/>
          <a:ext cx="600075" cy="4238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sk-SK" sz="800">
              <a:latin typeface="Arial Narrow" panose="020B0606020202030204" pitchFamily="34" charset="0"/>
            </a:rPr>
            <a:t>Dvojica s troma deťmi</a:t>
          </a:r>
        </a:p>
      </cdr:txBody>
    </cdr:sp>
  </cdr:relSizeAnchor>
  <cdr:relSizeAnchor xmlns:cdr="http://schemas.openxmlformats.org/drawingml/2006/chartDrawing">
    <cdr:from>
      <cdr:x>0.75283</cdr:x>
      <cdr:y>0.84549</cdr:y>
    </cdr:from>
    <cdr:to>
      <cdr:x>0.96712</cdr:x>
      <cdr:y>1</cdr:y>
    </cdr:to>
    <cdr:sp macro="" textlink="">
      <cdr:nvSpPr>
        <cdr:cNvPr id="9" name="BlokTextu 1"/>
        <cdr:cNvSpPr txBox="1"/>
      </cdr:nvSpPr>
      <cdr:spPr>
        <a:xfrm xmlns:a="http://schemas.openxmlformats.org/drawingml/2006/main">
          <a:off x="2108200" y="2319338"/>
          <a:ext cx="600075" cy="4238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sk-SK" sz="800">
              <a:latin typeface="Arial Narrow" panose="020B0606020202030204" pitchFamily="34" charset="0"/>
            </a:rPr>
            <a:t>Dvojica so šiestimi deťmi</a:t>
          </a:r>
        </a:p>
      </cdr:txBody>
    </cdr:sp>
  </cdr:relSizeAnchor>
</c:userShapes>
</file>

<file path=word/drawings/drawing12.xml><?xml version="1.0" encoding="utf-8"?>
<c:userShapes xmlns:c="http://schemas.openxmlformats.org/drawingml/2006/chart">
  <cdr:relSizeAnchor xmlns:cdr="http://schemas.openxmlformats.org/drawingml/2006/chartDrawing">
    <cdr:from>
      <cdr:x>0.76456</cdr:x>
      <cdr:y>0.74213</cdr:y>
    </cdr:from>
    <cdr:to>
      <cdr:x>0.79373</cdr:x>
      <cdr:y>0.95393</cdr:y>
    </cdr:to>
    <cdr:sp macro="" textlink="">
      <cdr:nvSpPr>
        <cdr:cNvPr id="2" name="Obdĺžnik 1"/>
        <cdr:cNvSpPr/>
      </cdr:nvSpPr>
      <cdr:spPr>
        <a:xfrm xmlns:a="http://schemas.openxmlformats.org/drawingml/2006/main">
          <a:off x="2585249" y="1795472"/>
          <a:ext cx="98634" cy="512419"/>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sk-SK"/>
        </a:p>
      </cdr:txBody>
    </cdr:sp>
  </cdr:relSizeAnchor>
  <cdr:relSizeAnchor xmlns:cdr="http://schemas.openxmlformats.org/drawingml/2006/chartDrawing">
    <cdr:from>
      <cdr:x>0.73751</cdr:x>
      <cdr:y>0.55673</cdr:y>
    </cdr:from>
    <cdr:to>
      <cdr:x>1</cdr:x>
      <cdr:y>0.64036</cdr:y>
    </cdr:to>
    <cdr:sp macro="" textlink="">
      <cdr:nvSpPr>
        <cdr:cNvPr id="3" name="BlokTextu 2"/>
        <cdr:cNvSpPr txBox="1"/>
      </cdr:nvSpPr>
      <cdr:spPr>
        <a:xfrm xmlns:a="http://schemas.openxmlformats.org/drawingml/2006/main">
          <a:off x="2390768" y="1442365"/>
          <a:ext cx="850907" cy="2166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k-SK" sz="900">
              <a:solidFill>
                <a:schemeClr val="bg1">
                  <a:lumMod val="50000"/>
                </a:schemeClr>
              </a:solidFill>
              <a:latin typeface="Arial Narrow" panose="020B0606020202030204" pitchFamily="34" charset="0"/>
            </a:rPr>
            <a:t>priemer EÚ15</a:t>
          </a:r>
        </a:p>
      </cdr:txBody>
    </cdr:sp>
  </cdr:relSizeAnchor>
</c:userShapes>
</file>

<file path=word/drawings/drawing13.xml><?xml version="1.0" encoding="utf-8"?>
<c:userShapes xmlns:c="http://schemas.openxmlformats.org/drawingml/2006/chart">
  <cdr:relSizeAnchor xmlns:cdr="http://schemas.openxmlformats.org/drawingml/2006/chartDrawing">
    <cdr:from>
      <cdr:x>0.03766</cdr:x>
      <cdr:y>0.01736</cdr:y>
    </cdr:from>
    <cdr:to>
      <cdr:x>0.95397</cdr:x>
      <cdr:y>0.09375</cdr:y>
    </cdr:to>
    <cdr:sp macro="" textlink="">
      <cdr:nvSpPr>
        <cdr:cNvPr id="2" name="BlokTextu 1"/>
        <cdr:cNvSpPr txBox="1"/>
      </cdr:nvSpPr>
      <cdr:spPr>
        <a:xfrm xmlns:a="http://schemas.openxmlformats.org/drawingml/2006/main">
          <a:off x="85725" y="47626"/>
          <a:ext cx="2085975"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sk-SK" sz="800" baseline="0">
              <a:effectLst/>
              <a:latin typeface="Arial Narrow" panose="020B0606020202030204" pitchFamily="34" charset="0"/>
              <a:ea typeface="+mn-ea"/>
              <a:cs typeface="+mn-cs"/>
            </a:rPr>
            <a:t>príjmová medzera ako % hranice rizika chudoby</a:t>
          </a:r>
          <a:endParaRPr lang="sk-SK" sz="800">
            <a:effectLst/>
            <a:latin typeface="Arial Narrow" panose="020B0606020202030204" pitchFamily="34" charset="0"/>
          </a:endParaRPr>
        </a:p>
        <a:p xmlns:a="http://schemas.openxmlformats.org/drawingml/2006/main">
          <a:endParaRPr lang="sk-SK" sz="1100"/>
        </a:p>
      </cdr:txBody>
    </cdr:sp>
  </cdr:relSizeAnchor>
</c:userShapes>
</file>

<file path=word/drawings/drawing14.xml><?xml version="1.0" encoding="utf-8"?>
<c:userShapes xmlns:c="http://schemas.openxmlformats.org/drawingml/2006/chart">
  <cdr:relSizeAnchor xmlns:cdr="http://schemas.openxmlformats.org/drawingml/2006/chartDrawing">
    <cdr:from>
      <cdr:x>0.05422</cdr:x>
      <cdr:y>0.90625</cdr:y>
    </cdr:from>
    <cdr:to>
      <cdr:x>0.94277</cdr:x>
      <cdr:y>0.98611</cdr:y>
    </cdr:to>
    <cdr:sp macro="" textlink="">
      <cdr:nvSpPr>
        <cdr:cNvPr id="2" name="BlokTextu 1"/>
        <cdr:cNvSpPr txBox="1"/>
      </cdr:nvSpPr>
      <cdr:spPr>
        <a:xfrm xmlns:a="http://schemas.openxmlformats.org/drawingml/2006/main">
          <a:off x="171449" y="2486025"/>
          <a:ext cx="280987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sk-SK" sz="900">
              <a:latin typeface="Arial Narrow" panose="020B0606020202030204" pitchFamily="34" charset="0"/>
            </a:rPr>
            <a:t>Príjem zo závislej činnosti (eur za mesiac)</a:t>
          </a:r>
        </a:p>
      </cdr:txBody>
    </cdr:sp>
  </cdr:relSizeAnchor>
  <cdr:relSizeAnchor xmlns:cdr="http://schemas.openxmlformats.org/drawingml/2006/chartDrawing">
    <cdr:from>
      <cdr:x>0.19851</cdr:x>
      <cdr:y>0.70182</cdr:y>
    </cdr:from>
    <cdr:to>
      <cdr:x>0.27715</cdr:x>
      <cdr:y>0.83434</cdr:y>
    </cdr:to>
    <cdr:cxnSp macro="">
      <cdr:nvCxnSpPr>
        <cdr:cNvPr id="10" name="Rovná spojovacia šípka 9">
          <a:extLst xmlns:a="http://schemas.openxmlformats.org/drawingml/2006/main">
            <a:ext uri="{FF2B5EF4-FFF2-40B4-BE49-F238E27FC236}">
              <a16:creationId xmlns="" xmlns:a16="http://schemas.microsoft.com/office/drawing/2014/main" id="{0EEBAD25-67DC-4451-9A08-9173214F1FB5}"/>
            </a:ext>
          </a:extLst>
        </cdr:cNvPr>
        <cdr:cNvCxnSpPr/>
      </cdr:nvCxnSpPr>
      <cdr:spPr>
        <a:xfrm xmlns:a="http://schemas.openxmlformats.org/drawingml/2006/main">
          <a:off x="504836" y="2219351"/>
          <a:ext cx="200013" cy="419074"/>
        </a:xfrm>
        <a:prstGeom xmlns:a="http://schemas.openxmlformats.org/drawingml/2006/main" prst="straightConnector1">
          <a:avLst/>
        </a:prstGeom>
        <a:ln xmlns:a="http://schemas.openxmlformats.org/drawingml/2006/main">
          <a:solidFill>
            <a:schemeClr val="bg2">
              <a:lumMod val="5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0.05743</cdr:x>
      <cdr:y>0.57831</cdr:y>
    </cdr:from>
    <cdr:to>
      <cdr:x>0.37453</cdr:x>
      <cdr:y>0.71825</cdr:y>
    </cdr:to>
    <cdr:sp macro="" textlink="">
      <cdr:nvSpPr>
        <cdr:cNvPr id="11" name="BlokTextu 1"/>
        <cdr:cNvSpPr txBox="1"/>
      </cdr:nvSpPr>
      <cdr:spPr>
        <a:xfrm xmlns:a="http://schemas.openxmlformats.org/drawingml/2006/main">
          <a:off x="146050" y="1828795"/>
          <a:ext cx="806440" cy="44253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k-SK" sz="1000">
              <a:latin typeface="Arial Narrow" panose="020B0606020202030204" pitchFamily="34" charset="0"/>
            </a:rPr>
            <a:t>Strata nároku na PHN</a:t>
          </a:r>
        </a:p>
      </cdr:txBody>
    </cdr:sp>
  </cdr:relSizeAnchor>
</c:userShapes>
</file>

<file path=word/drawings/drawing15.xml><?xml version="1.0" encoding="utf-8"?>
<c:userShapes xmlns:c="http://schemas.openxmlformats.org/drawingml/2006/chart">
  <cdr:relSizeAnchor xmlns:cdr="http://schemas.openxmlformats.org/drawingml/2006/chartDrawing">
    <cdr:from>
      <cdr:x>0.56944</cdr:x>
      <cdr:y>0.01674</cdr:y>
    </cdr:from>
    <cdr:to>
      <cdr:x>0.92878</cdr:x>
      <cdr:y>0.07995</cdr:y>
    </cdr:to>
    <cdr:sp macro="" textlink="">
      <cdr:nvSpPr>
        <cdr:cNvPr id="2" name="BlokTextu 1"/>
        <cdr:cNvSpPr txBox="1"/>
      </cdr:nvSpPr>
      <cdr:spPr>
        <a:xfrm xmlns:a="http://schemas.openxmlformats.org/drawingml/2006/main">
          <a:off x="1523146" y="41286"/>
          <a:ext cx="961160" cy="1558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k-SK" sz="900">
              <a:latin typeface="Arial Narrow" panose="020B0606020202030204" pitchFamily="34" charset="0"/>
            </a:rPr>
            <a:t>Životné minimum</a:t>
          </a:r>
        </a:p>
      </cdr:txBody>
    </cdr:sp>
  </cdr:relSizeAnchor>
</c:userShapes>
</file>

<file path=word/drawings/drawing16.xml><?xml version="1.0" encoding="utf-8"?>
<c:userShapes xmlns:c="http://schemas.openxmlformats.org/drawingml/2006/chart">
  <cdr:relSizeAnchor xmlns:cdr="http://schemas.openxmlformats.org/drawingml/2006/chartDrawing">
    <cdr:from>
      <cdr:x>0.07613</cdr:x>
      <cdr:y>0.72766</cdr:y>
    </cdr:from>
    <cdr:to>
      <cdr:x>0.10582</cdr:x>
      <cdr:y>0.94083</cdr:y>
    </cdr:to>
    <cdr:sp macro="" textlink="">
      <cdr:nvSpPr>
        <cdr:cNvPr id="2" name="Obdĺžnik 1"/>
        <cdr:cNvSpPr/>
      </cdr:nvSpPr>
      <cdr:spPr>
        <a:xfrm xmlns:a="http://schemas.openxmlformats.org/drawingml/2006/main">
          <a:off x="406100" y="1677295"/>
          <a:ext cx="158367" cy="491368"/>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sk-SK"/>
        </a:p>
      </cdr:txBody>
    </cdr:sp>
  </cdr:relSizeAnchor>
</c:userShapes>
</file>

<file path=word/drawings/drawing17.xml><?xml version="1.0" encoding="utf-8"?>
<c:userShapes xmlns:c="http://schemas.openxmlformats.org/drawingml/2006/chart">
  <cdr:relSizeAnchor xmlns:cdr="http://schemas.openxmlformats.org/drawingml/2006/chartDrawing">
    <cdr:from>
      <cdr:x>0.12057</cdr:x>
      <cdr:y>0.19792</cdr:y>
    </cdr:from>
    <cdr:to>
      <cdr:x>0.58511</cdr:x>
      <cdr:y>0.27778</cdr:y>
    </cdr:to>
    <cdr:sp macro="" textlink="">
      <cdr:nvSpPr>
        <cdr:cNvPr id="2" name="BlokTextu 1"/>
        <cdr:cNvSpPr txBox="1"/>
      </cdr:nvSpPr>
      <cdr:spPr>
        <a:xfrm xmlns:a="http://schemas.openxmlformats.org/drawingml/2006/main">
          <a:off x="323849" y="542925"/>
          <a:ext cx="124777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latin typeface="Arial Narrow" panose="020B0606020202030204" pitchFamily="34" charset="0"/>
            </a:rPr>
            <a:t>Hranica rizika chudoby</a:t>
          </a:r>
          <a:endParaRPr lang="sk-SK" sz="900">
            <a:latin typeface="Arial Narrow" panose="020B0606020202030204" pitchFamily="34" charset="0"/>
          </a:endParaRPr>
        </a:p>
      </cdr:txBody>
    </cdr:sp>
  </cdr:relSizeAnchor>
</c:userShapes>
</file>

<file path=word/drawings/drawing18.xml><?xml version="1.0" encoding="utf-8"?>
<c:userShapes xmlns:c="http://schemas.openxmlformats.org/drawingml/2006/chart">
  <cdr:relSizeAnchor xmlns:cdr="http://schemas.openxmlformats.org/drawingml/2006/chartDrawing">
    <cdr:from>
      <cdr:x>0.48708</cdr:x>
      <cdr:y>0.16415</cdr:y>
    </cdr:from>
    <cdr:to>
      <cdr:x>0.54613</cdr:x>
      <cdr:y>0.16415</cdr:y>
    </cdr:to>
    <cdr:cxnSp macro="">
      <cdr:nvCxnSpPr>
        <cdr:cNvPr id="3" name="Rovná spojovacia šípka 2"/>
        <cdr:cNvCxnSpPr/>
      </cdr:nvCxnSpPr>
      <cdr:spPr>
        <a:xfrm xmlns:a="http://schemas.openxmlformats.org/drawingml/2006/main">
          <a:off x="2514600" y="361950"/>
          <a:ext cx="304800"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0.29705</cdr:x>
      <cdr:y>0.11663</cdr:y>
    </cdr:from>
    <cdr:to>
      <cdr:x>0.49815</cdr:x>
      <cdr:y>0.21166</cdr:y>
    </cdr:to>
    <cdr:sp macro="" textlink="">
      <cdr:nvSpPr>
        <cdr:cNvPr id="4" name="BlokTextu 3"/>
        <cdr:cNvSpPr txBox="1"/>
      </cdr:nvSpPr>
      <cdr:spPr>
        <a:xfrm xmlns:a="http://schemas.openxmlformats.org/drawingml/2006/main">
          <a:off x="1533525" y="257175"/>
          <a:ext cx="1038225"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k-SK" sz="800">
              <a:latin typeface="Arial Narrow" panose="020B0606020202030204" pitchFamily="34" charset="0"/>
            </a:rPr>
            <a:t>Priemerná hrubá mzda</a:t>
          </a:r>
        </a:p>
      </cdr:txBody>
    </cdr:sp>
  </cdr:relSizeAnchor>
  <cdr:relSizeAnchor xmlns:cdr="http://schemas.openxmlformats.org/drawingml/2006/chartDrawing">
    <cdr:from>
      <cdr:x>0.54613</cdr:x>
      <cdr:y>0.12959</cdr:y>
    </cdr:from>
    <cdr:to>
      <cdr:x>0.54613</cdr:x>
      <cdr:y>0.78186</cdr:y>
    </cdr:to>
    <cdr:cxnSp macro="">
      <cdr:nvCxnSpPr>
        <cdr:cNvPr id="8" name="Rovná spojnica 7"/>
        <cdr:cNvCxnSpPr/>
      </cdr:nvCxnSpPr>
      <cdr:spPr>
        <a:xfrm xmlns:a="http://schemas.openxmlformats.org/drawingml/2006/main" flipV="1">
          <a:off x="2819400" y="285750"/>
          <a:ext cx="0" cy="143827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9.xml><?xml version="1.0" encoding="utf-8"?>
<c:userShapes xmlns:c="http://schemas.openxmlformats.org/drawingml/2006/chart">
  <cdr:relSizeAnchor xmlns:cdr="http://schemas.openxmlformats.org/drawingml/2006/chartDrawing">
    <cdr:from>
      <cdr:x>0.77708</cdr:x>
      <cdr:y>0.73656</cdr:y>
    </cdr:from>
    <cdr:to>
      <cdr:x>0.80708</cdr:x>
      <cdr:y>0.96847</cdr:y>
    </cdr:to>
    <cdr:sp macro="" textlink="">
      <cdr:nvSpPr>
        <cdr:cNvPr id="2" name="Obdĺžnik 1"/>
        <cdr:cNvSpPr/>
      </cdr:nvSpPr>
      <cdr:spPr>
        <a:xfrm xmlns:a="http://schemas.openxmlformats.org/drawingml/2006/main">
          <a:off x="4181953" y="1557493"/>
          <a:ext cx="161447" cy="490382"/>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sk-SK"/>
        </a:p>
      </cdr:txBody>
    </cdr:sp>
  </cdr:relSizeAnchor>
  <cdr:relSizeAnchor xmlns:cdr="http://schemas.openxmlformats.org/drawingml/2006/chartDrawing">
    <cdr:from>
      <cdr:x>0.0625</cdr:x>
      <cdr:y>0.47059</cdr:y>
    </cdr:from>
    <cdr:to>
      <cdr:x>0.32292</cdr:x>
      <cdr:y>0.56471</cdr:y>
    </cdr:to>
    <cdr:sp macro="" textlink="">
      <cdr:nvSpPr>
        <cdr:cNvPr id="3" name="BlokTextu 2"/>
        <cdr:cNvSpPr txBox="1"/>
      </cdr:nvSpPr>
      <cdr:spPr>
        <a:xfrm xmlns:a="http://schemas.openxmlformats.org/drawingml/2006/main">
          <a:off x="285750" y="1143000"/>
          <a:ext cx="119062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k-SK" sz="900">
              <a:latin typeface="Arial Narrow" panose="020B0606020202030204" pitchFamily="34" charset="0"/>
            </a:rPr>
            <a:t>priemer EÚ15</a:t>
          </a:r>
        </a:p>
      </cdr:txBody>
    </cdr:sp>
  </cdr:relSizeAnchor>
  <cdr:relSizeAnchor xmlns:cdr="http://schemas.openxmlformats.org/drawingml/2006/chartDrawing">
    <cdr:from>
      <cdr:x>0.11458</cdr:x>
      <cdr:y>0.54902</cdr:y>
    </cdr:from>
    <cdr:to>
      <cdr:x>0.12292</cdr:x>
      <cdr:y>0.67843</cdr:y>
    </cdr:to>
    <cdr:cxnSp macro="">
      <cdr:nvCxnSpPr>
        <cdr:cNvPr id="5" name="Rovná spojovacia šípka 4"/>
        <cdr:cNvCxnSpPr/>
      </cdr:nvCxnSpPr>
      <cdr:spPr>
        <a:xfrm xmlns:a="http://schemas.openxmlformats.org/drawingml/2006/main" flipH="1">
          <a:off x="523875" y="1333500"/>
          <a:ext cx="38100" cy="314325"/>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0.14583</cdr:x>
      <cdr:y>0.5451</cdr:y>
    </cdr:from>
    <cdr:to>
      <cdr:x>0.16667</cdr:x>
      <cdr:y>0.6</cdr:y>
    </cdr:to>
    <cdr:cxnSp macro="">
      <cdr:nvCxnSpPr>
        <cdr:cNvPr id="7" name="Rovná spojovacia šípka 6"/>
        <cdr:cNvCxnSpPr/>
      </cdr:nvCxnSpPr>
      <cdr:spPr>
        <a:xfrm xmlns:a="http://schemas.openxmlformats.org/drawingml/2006/main">
          <a:off x="666750" y="1323975"/>
          <a:ext cx="95250" cy="133350"/>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0.72946</cdr:x>
      <cdr:y>0.03558</cdr:y>
    </cdr:from>
    <cdr:to>
      <cdr:x>1</cdr:x>
      <cdr:y>0.12131</cdr:y>
    </cdr:to>
    <cdr:sp macro="" textlink="">
      <cdr:nvSpPr>
        <cdr:cNvPr id="2" name="BlokTextu 1"/>
        <cdr:cNvSpPr txBox="1"/>
      </cdr:nvSpPr>
      <cdr:spPr>
        <a:xfrm xmlns:a="http://schemas.openxmlformats.org/drawingml/2006/main">
          <a:off x="1962145" y="94357"/>
          <a:ext cx="727715" cy="2273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k-SK" sz="900">
              <a:solidFill>
                <a:sysClr val="windowText" lastClr="000000"/>
              </a:solidFill>
              <a:latin typeface="Arial Narrow" panose="020B0606020202030204" pitchFamily="34" charset="0"/>
            </a:rPr>
            <a:t>mimo MRK</a:t>
          </a:r>
        </a:p>
      </cdr:txBody>
    </cdr:sp>
  </cdr:relSizeAnchor>
  <cdr:relSizeAnchor xmlns:cdr="http://schemas.openxmlformats.org/drawingml/2006/chartDrawing">
    <cdr:from>
      <cdr:x>0.71706</cdr:x>
      <cdr:y>0.69134</cdr:y>
    </cdr:from>
    <cdr:to>
      <cdr:x>0.88207</cdr:x>
      <cdr:y>0.76888</cdr:y>
    </cdr:to>
    <cdr:sp macro="" textlink="">
      <cdr:nvSpPr>
        <cdr:cNvPr id="3" name="BlokTextu 1"/>
        <cdr:cNvSpPr txBox="1"/>
      </cdr:nvSpPr>
      <cdr:spPr>
        <a:xfrm xmlns:a="http://schemas.openxmlformats.org/drawingml/2006/main">
          <a:off x="1946547" y="1872789"/>
          <a:ext cx="447940" cy="2100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k-SK" sz="900">
              <a:solidFill>
                <a:sysClr val="windowText" lastClr="000000"/>
              </a:solidFill>
              <a:latin typeface="Arial Narrow" panose="020B0606020202030204" pitchFamily="34" charset="0"/>
            </a:rPr>
            <a:t> </a:t>
          </a:r>
          <a:r>
            <a:rPr lang="sk-SK" sz="900">
              <a:solidFill>
                <a:schemeClr val="accent1"/>
              </a:solidFill>
              <a:latin typeface="Arial Narrow" panose="020B0606020202030204" pitchFamily="34" charset="0"/>
            </a:rPr>
            <a:t>MRK</a:t>
          </a:r>
        </a:p>
      </cdr:txBody>
    </cdr:sp>
  </cdr:relSizeAnchor>
</c:userShapes>
</file>

<file path=word/drawings/drawing20.xml><?xml version="1.0" encoding="utf-8"?>
<c:userShapes xmlns:c="http://schemas.openxmlformats.org/drawingml/2006/chart">
  <cdr:relSizeAnchor xmlns:cdr="http://schemas.openxmlformats.org/drawingml/2006/chartDrawing">
    <cdr:from>
      <cdr:x>0.35968</cdr:x>
      <cdr:y>0.13729</cdr:y>
    </cdr:from>
    <cdr:to>
      <cdr:x>0.35968</cdr:x>
      <cdr:y>0.96475</cdr:y>
    </cdr:to>
    <cdr:cxnSp macro="">
      <cdr:nvCxnSpPr>
        <cdr:cNvPr id="2" name="Rovná spojnica 1">
          <a:extLst xmlns:a="http://schemas.openxmlformats.org/drawingml/2006/main">
            <a:ext uri="{FF2B5EF4-FFF2-40B4-BE49-F238E27FC236}">
              <a16:creationId xmlns="" xmlns:a16="http://schemas.microsoft.com/office/drawing/2014/main" id="{87AFF49E-A049-473A-B046-09A2B65C6F04}"/>
            </a:ext>
          </a:extLst>
        </cdr:cNvPr>
        <cdr:cNvCxnSpPr/>
      </cdr:nvCxnSpPr>
      <cdr:spPr>
        <a:xfrm xmlns:a="http://schemas.openxmlformats.org/drawingml/2006/main">
          <a:off x="1733550" y="352425"/>
          <a:ext cx="0" cy="2124075"/>
        </a:xfrm>
        <a:prstGeom xmlns:a="http://schemas.openxmlformats.org/drawingml/2006/main" prst="line">
          <a:avLst/>
        </a:prstGeom>
        <a:ln xmlns:a="http://schemas.openxmlformats.org/drawingml/2006/main">
          <a:solidFill>
            <a:schemeClr val="tx1">
              <a:lumMod val="50000"/>
              <a:lumOff val="50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0.66667</cdr:x>
      <cdr:y>0.13482</cdr:y>
    </cdr:from>
    <cdr:to>
      <cdr:x>0.66667</cdr:x>
      <cdr:y>0.96228</cdr:y>
    </cdr:to>
    <cdr:cxnSp macro="">
      <cdr:nvCxnSpPr>
        <cdr:cNvPr id="7" name="Rovná spojnica 6">
          <a:extLst xmlns:a="http://schemas.openxmlformats.org/drawingml/2006/main">
            <a:ext uri="{FF2B5EF4-FFF2-40B4-BE49-F238E27FC236}">
              <a16:creationId xmlns="" xmlns:a16="http://schemas.microsoft.com/office/drawing/2014/main" id="{D4EF17DC-ED34-4D3A-88A0-6EDB796E3FE8}"/>
            </a:ext>
          </a:extLst>
        </cdr:cNvPr>
        <cdr:cNvCxnSpPr/>
      </cdr:nvCxnSpPr>
      <cdr:spPr>
        <a:xfrm xmlns:a="http://schemas.openxmlformats.org/drawingml/2006/main">
          <a:off x="3213100" y="346075"/>
          <a:ext cx="0" cy="2124075"/>
        </a:xfrm>
        <a:prstGeom xmlns:a="http://schemas.openxmlformats.org/drawingml/2006/main" prst="line">
          <a:avLst/>
        </a:prstGeom>
        <a:ln xmlns:a="http://schemas.openxmlformats.org/drawingml/2006/main">
          <a:solidFill>
            <a:schemeClr val="tx1">
              <a:lumMod val="50000"/>
              <a:lumOff val="50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0.05039</cdr:x>
      <cdr:y>0.86859</cdr:y>
    </cdr:from>
    <cdr:to>
      <cdr:x>0.35079</cdr:x>
      <cdr:y>1</cdr:y>
    </cdr:to>
    <cdr:sp macro="" textlink="">
      <cdr:nvSpPr>
        <cdr:cNvPr id="8" name="BlokTextu 7"/>
        <cdr:cNvSpPr txBox="1"/>
      </cdr:nvSpPr>
      <cdr:spPr>
        <a:xfrm xmlns:a="http://schemas.openxmlformats.org/drawingml/2006/main">
          <a:off x="242877" y="1290637"/>
          <a:ext cx="1447823" cy="19526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sk-SK" sz="900">
              <a:solidFill>
                <a:sysClr val="windowText" lastClr="000000"/>
              </a:solidFill>
              <a:latin typeface="Arial Narrow" panose="020B0606020202030204" pitchFamily="34" charset="0"/>
            </a:rPr>
            <a:t>Preplnené</a:t>
          </a:r>
          <a:r>
            <a:rPr lang="sk-SK" sz="900" baseline="0">
              <a:solidFill>
                <a:sysClr val="windowText" lastClr="000000"/>
              </a:solidFill>
              <a:latin typeface="Arial Narrow" panose="020B0606020202030204" pitchFamily="34" charset="0"/>
            </a:rPr>
            <a:t> bývanie</a:t>
          </a:r>
          <a:endParaRPr lang="sk-SK" sz="900">
            <a:solidFill>
              <a:sysClr val="windowText" lastClr="000000"/>
            </a:solidFill>
            <a:latin typeface="Arial Narrow" panose="020B0606020202030204" pitchFamily="34" charset="0"/>
          </a:endParaRPr>
        </a:p>
      </cdr:txBody>
    </cdr:sp>
  </cdr:relSizeAnchor>
  <cdr:relSizeAnchor xmlns:cdr="http://schemas.openxmlformats.org/drawingml/2006/chartDrawing">
    <cdr:from>
      <cdr:x>0.36726</cdr:x>
      <cdr:y>0.87179</cdr:y>
    </cdr:from>
    <cdr:to>
      <cdr:x>0.66765</cdr:x>
      <cdr:y>0.98353</cdr:y>
    </cdr:to>
    <cdr:sp macro="" textlink="">
      <cdr:nvSpPr>
        <cdr:cNvPr id="9" name="BlokTextu 1"/>
        <cdr:cNvSpPr txBox="1"/>
      </cdr:nvSpPr>
      <cdr:spPr>
        <a:xfrm xmlns:a="http://schemas.openxmlformats.org/drawingml/2006/main">
          <a:off x="1770086" y="1295400"/>
          <a:ext cx="1447775" cy="1660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sk-SK" sz="900">
              <a:solidFill>
                <a:sysClr val="windowText" lastClr="000000"/>
              </a:solidFill>
              <a:latin typeface="Arial Narrow" panose="020B0606020202030204" pitchFamily="34" charset="0"/>
            </a:rPr>
            <a:t>Chýbajúce hygenické zariad.</a:t>
          </a:r>
        </a:p>
      </cdr:txBody>
    </cdr:sp>
  </cdr:relSizeAnchor>
  <cdr:relSizeAnchor xmlns:cdr="http://schemas.openxmlformats.org/drawingml/2006/chartDrawing">
    <cdr:from>
      <cdr:x>0.66667</cdr:x>
      <cdr:y>0.86859</cdr:y>
    </cdr:from>
    <cdr:to>
      <cdr:x>0.96706</cdr:x>
      <cdr:y>0.97712</cdr:y>
    </cdr:to>
    <cdr:sp macro="" textlink="">
      <cdr:nvSpPr>
        <cdr:cNvPr id="10" name="BlokTextu 1"/>
        <cdr:cNvSpPr txBox="1"/>
      </cdr:nvSpPr>
      <cdr:spPr>
        <a:xfrm xmlns:a="http://schemas.openxmlformats.org/drawingml/2006/main">
          <a:off x="3213116" y="1290637"/>
          <a:ext cx="1447775" cy="16126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sk-SK" sz="900">
              <a:solidFill>
                <a:sysClr val="windowText" lastClr="000000"/>
              </a:solidFill>
              <a:latin typeface="Arial Narrow" panose="020B0606020202030204" pitchFamily="34" charset="0"/>
            </a:rPr>
            <a:t>Stavebné nedostatky</a:t>
          </a:r>
        </a:p>
      </cdr:txBody>
    </cdr:sp>
  </cdr:relSizeAnchor>
</c:userShapes>
</file>

<file path=word/drawings/drawing21.xml><?xml version="1.0" encoding="utf-8"?>
<c:userShapes xmlns:c="http://schemas.openxmlformats.org/drawingml/2006/chart">
  <cdr:relSizeAnchor xmlns:cdr="http://schemas.openxmlformats.org/drawingml/2006/chartDrawing">
    <cdr:from>
      <cdr:x>0.91955</cdr:x>
      <cdr:y>0.76206</cdr:y>
    </cdr:from>
    <cdr:to>
      <cdr:x>0.95259</cdr:x>
      <cdr:y>0.92526</cdr:y>
    </cdr:to>
    <cdr:sp macro="" textlink="">
      <cdr:nvSpPr>
        <cdr:cNvPr id="2" name="Obdĺžnik 1"/>
        <cdr:cNvSpPr/>
      </cdr:nvSpPr>
      <cdr:spPr>
        <a:xfrm xmlns:a="http://schemas.openxmlformats.org/drawingml/2006/main">
          <a:off x="2639284" y="1891605"/>
          <a:ext cx="94832" cy="405098"/>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sk-SK"/>
        </a:p>
      </cdr:txBody>
    </cdr:sp>
  </cdr:relSizeAnchor>
  <cdr:relSizeAnchor xmlns:cdr="http://schemas.openxmlformats.org/drawingml/2006/chartDrawing">
    <cdr:from>
      <cdr:x>0.72673</cdr:x>
      <cdr:y>0.40292</cdr:y>
    </cdr:from>
    <cdr:to>
      <cdr:x>1</cdr:x>
      <cdr:y>0.48958</cdr:y>
    </cdr:to>
    <cdr:sp macro="" textlink="">
      <cdr:nvSpPr>
        <cdr:cNvPr id="3" name="BlokTextu 2"/>
        <cdr:cNvSpPr txBox="1"/>
      </cdr:nvSpPr>
      <cdr:spPr>
        <a:xfrm xmlns:a="http://schemas.openxmlformats.org/drawingml/2006/main">
          <a:off x="2085860" y="1000126"/>
          <a:ext cx="784340" cy="2151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k-SK" sz="900">
              <a:latin typeface="Arial Narrow" panose="020B0606020202030204" pitchFamily="34" charset="0"/>
            </a:rPr>
            <a:t>priemer EÚ15</a:t>
          </a:r>
        </a:p>
      </cdr:txBody>
    </cdr:sp>
  </cdr:relSizeAnchor>
  <cdr:relSizeAnchor xmlns:cdr="http://schemas.openxmlformats.org/drawingml/2006/chartDrawing">
    <cdr:from>
      <cdr:x>0.81081</cdr:x>
      <cdr:y>0.29405</cdr:y>
    </cdr:from>
    <cdr:to>
      <cdr:x>0.82883</cdr:x>
      <cdr:y>0.40516</cdr:y>
    </cdr:to>
    <cdr:cxnSp macro="">
      <cdr:nvCxnSpPr>
        <cdr:cNvPr id="5" name="Rovná spojovacia šípka 4"/>
        <cdr:cNvCxnSpPr/>
      </cdr:nvCxnSpPr>
      <cdr:spPr>
        <a:xfrm xmlns:a="http://schemas.openxmlformats.org/drawingml/2006/main" flipH="1" flipV="1">
          <a:off x="2327187" y="729891"/>
          <a:ext cx="51721" cy="275799"/>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0.87119</cdr:x>
      <cdr:y>0.47039</cdr:y>
    </cdr:from>
    <cdr:to>
      <cdr:x>0.94626</cdr:x>
      <cdr:y>0.62664</cdr:y>
    </cdr:to>
    <cdr:cxnSp macro="">
      <cdr:nvCxnSpPr>
        <cdr:cNvPr id="7" name="Rovná spojovacia šípka 6"/>
        <cdr:cNvCxnSpPr/>
      </cdr:nvCxnSpPr>
      <cdr:spPr>
        <a:xfrm xmlns:a="http://schemas.openxmlformats.org/drawingml/2006/main">
          <a:off x="2500485" y="1167618"/>
          <a:ext cx="215466" cy="387846"/>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2.xml><?xml version="1.0" encoding="utf-8"?>
<c:userShapes xmlns:c="http://schemas.openxmlformats.org/drawingml/2006/chart">
  <cdr:relSizeAnchor xmlns:cdr="http://schemas.openxmlformats.org/drawingml/2006/chartDrawing">
    <cdr:from>
      <cdr:x>0.07616</cdr:x>
      <cdr:y>0.91459</cdr:y>
    </cdr:from>
    <cdr:to>
      <cdr:x>0.99338</cdr:x>
      <cdr:y>0.99288</cdr:y>
    </cdr:to>
    <cdr:sp macro="" textlink="">
      <cdr:nvSpPr>
        <cdr:cNvPr id="2" name="BlokTextu 1"/>
        <cdr:cNvSpPr txBox="1"/>
      </cdr:nvSpPr>
      <cdr:spPr>
        <a:xfrm xmlns:a="http://schemas.openxmlformats.org/drawingml/2006/main">
          <a:off x="219075" y="2447926"/>
          <a:ext cx="2638424"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en-US" sz="1000" b="0" i="0" baseline="0">
              <a:effectLst/>
              <a:latin typeface="Arial Narrow" panose="020B0606020202030204" pitchFamily="34" charset="0"/>
              <a:ea typeface="+mn-ea"/>
              <a:cs typeface="+mn-cs"/>
            </a:rPr>
            <a:t>Podiel MRK medzi osobami v systéme PHN (%)</a:t>
          </a:r>
          <a:endParaRPr lang="sk-SK" sz="1000">
            <a:effectLst/>
            <a:latin typeface="Arial Narrow" panose="020B0606020202030204" pitchFamily="34" charset="0"/>
          </a:endParaRPr>
        </a:p>
        <a:p xmlns:a="http://schemas.openxmlformats.org/drawingml/2006/main">
          <a:pPr algn="ctr"/>
          <a:endParaRPr lang="sk-SK" sz="1000">
            <a:latin typeface="Arial Narrow" panose="020B0606020202030204" pitchFamily="34" charset="0"/>
          </a:endParaRPr>
        </a:p>
      </cdr:txBody>
    </cdr:sp>
  </cdr:relSizeAnchor>
</c:userShapes>
</file>

<file path=word/drawings/drawing23.xml><?xml version="1.0" encoding="utf-8"?>
<c:userShapes xmlns:c="http://schemas.openxmlformats.org/drawingml/2006/chart">
  <cdr:relSizeAnchor xmlns:cdr="http://schemas.openxmlformats.org/drawingml/2006/chartDrawing">
    <cdr:from>
      <cdr:x>0.84134</cdr:x>
      <cdr:y>0.7799</cdr:y>
    </cdr:from>
    <cdr:to>
      <cdr:x>0.87582</cdr:x>
      <cdr:y>0.93962</cdr:y>
    </cdr:to>
    <cdr:sp macro="" textlink="">
      <cdr:nvSpPr>
        <cdr:cNvPr id="2" name="Obdĺžnik 1"/>
        <cdr:cNvSpPr/>
      </cdr:nvSpPr>
      <cdr:spPr>
        <a:xfrm xmlns:a="http://schemas.openxmlformats.org/drawingml/2006/main">
          <a:off x="2263087" y="2094841"/>
          <a:ext cx="92746" cy="429016"/>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sk-SK"/>
        </a:p>
      </cdr:txBody>
    </cdr:sp>
  </cdr:relSizeAnchor>
  <cdr:relSizeAnchor xmlns:cdr="http://schemas.openxmlformats.org/drawingml/2006/chartDrawing">
    <cdr:from>
      <cdr:x>0.81667</cdr:x>
      <cdr:y>0.58456</cdr:y>
    </cdr:from>
    <cdr:to>
      <cdr:x>0.84802</cdr:x>
      <cdr:y>0.64011</cdr:y>
    </cdr:to>
    <cdr:cxnSp macro="">
      <cdr:nvCxnSpPr>
        <cdr:cNvPr id="4" name="Rovná spojovacia šípka 3"/>
        <cdr:cNvCxnSpPr/>
      </cdr:nvCxnSpPr>
      <cdr:spPr>
        <a:xfrm xmlns:a="http://schemas.openxmlformats.org/drawingml/2006/main">
          <a:off x="2196740" y="1419828"/>
          <a:ext cx="84327" cy="134924"/>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0.49221</cdr:x>
      <cdr:y>0.50196</cdr:y>
    </cdr:from>
    <cdr:to>
      <cdr:x>0.97806</cdr:x>
      <cdr:y>0.66666</cdr:y>
    </cdr:to>
    <cdr:sp macro="" textlink="">
      <cdr:nvSpPr>
        <cdr:cNvPr id="5" name="BlokTextu 4"/>
        <cdr:cNvSpPr txBox="1"/>
      </cdr:nvSpPr>
      <cdr:spPr>
        <a:xfrm xmlns:a="http://schemas.openxmlformats.org/drawingml/2006/main">
          <a:off x="1323975" y="1219201"/>
          <a:ext cx="1306869" cy="4000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k-SK" sz="900">
              <a:latin typeface="Arial Narrow" panose="020B0606020202030204" pitchFamily="34" charset="0"/>
            </a:rPr>
            <a:t>Podľa</a:t>
          </a:r>
          <a:r>
            <a:rPr lang="sk-SK" sz="900" baseline="0">
              <a:latin typeface="Arial Narrow" panose="020B0606020202030204" pitchFamily="34" charset="0"/>
            </a:rPr>
            <a:t> administratívnych údajov</a:t>
          </a:r>
          <a:r>
            <a:rPr lang="en-US" sz="900" baseline="0">
              <a:latin typeface="Arial Narrow" panose="020B0606020202030204" pitchFamily="34" charset="0"/>
            </a:rPr>
            <a:t> (2018)</a:t>
          </a:r>
          <a:endParaRPr lang="sk-SK" sz="900">
            <a:latin typeface="Arial Narrow" panose="020B0606020202030204" pitchFamily="34" charset="0"/>
          </a:endParaRPr>
        </a:p>
      </cdr:txBody>
    </cdr:sp>
  </cdr:relSizeAnchor>
  <cdr:relSizeAnchor xmlns:cdr="http://schemas.openxmlformats.org/drawingml/2006/chartDrawing">
    <cdr:from>
      <cdr:x>0.63385</cdr:x>
      <cdr:y>0.40392</cdr:y>
    </cdr:from>
    <cdr:to>
      <cdr:x>0.95925</cdr:x>
      <cdr:y>0.49653</cdr:y>
    </cdr:to>
    <cdr:sp macro="" textlink="">
      <cdr:nvSpPr>
        <cdr:cNvPr id="8" name="BlokTextu 7"/>
        <cdr:cNvSpPr txBox="1"/>
      </cdr:nvSpPr>
      <cdr:spPr>
        <a:xfrm xmlns:a="http://schemas.openxmlformats.org/drawingml/2006/main">
          <a:off x="1704975" y="981076"/>
          <a:ext cx="875273" cy="2249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k-SK" sz="900">
              <a:solidFill>
                <a:schemeClr val="accent1"/>
              </a:solidFill>
              <a:latin typeface="Arial Narrow" panose="020B0606020202030204" pitchFamily="34" charset="0"/>
            </a:rPr>
            <a:t>priemer</a:t>
          </a:r>
          <a:r>
            <a:rPr lang="sk-SK" sz="900" baseline="0">
              <a:solidFill>
                <a:schemeClr val="accent1"/>
              </a:solidFill>
              <a:latin typeface="Arial Narrow" panose="020B0606020202030204" pitchFamily="34" charset="0"/>
            </a:rPr>
            <a:t> EÚ15</a:t>
          </a:r>
          <a:endParaRPr lang="sk-SK" sz="900">
            <a:solidFill>
              <a:schemeClr val="accent1"/>
            </a:solidFill>
            <a:latin typeface="Arial Narrow" panose="020B0606020202030204" pitchFamily="34" charset="0"/>
          </a:endParaRPr>
        </a:p>
      </cdr:txBody>
    </cdr:sp>
  </cdr:relSizeAnchor>
</c:userShapes>
</file>

<file path=word/drawings/drawing24.xml><?xml version="1.0" encoding="utf-8"?>
<c:userShapes xmlns:c="http://schemas.openxmlformats.org/drawingml/2006/chart">
  <cdr:relSizeAnchor xmlns:cdr="http://schemas.openxmlformats.org/drawingml/2006/chartDrawing">
    <cdr:from>
      <cdr:x>0.84432</cdr:x>
      <cdr:y>0.06729</cdr:y>
    </cdr:from>
    <cdr:to>
      <cdr:x>0.84432</cdr:x>
      <cdr:y>0.86079</cdr:y>
    </cdr:to>
    <cdr:cxnSp macro="">
      <cdr:nvCxnSpPr>
        <cdr:cNvPr id="3" name="Rovná spojnica 2"/>
        <cdr:cNvCxnSpPr/>
      </cdr:nvCxnSpPr>
      <cdr:spPr>
        <a:xfrm xmlns:a="http://schemas.openxmlformats.org/drawingml/2006/main" flipV="1">
          <a:off x="4391025" y="138113"/>
          <a:ext cx="0" cy="1628775"/>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0.37546</cdr:x>
      <cdr:y>0.88863</cdr:y>
    </cdr:from>
    <cdr:to>
      <cdr:x>0.62271</cdr:x>
      <cdr:y>0.99072</cdr:y>
    </cdr:to>
    <cdr:sp macro="" textlink="">
      <cdr:nvSpPr>
        <cdr:cNvPr id="4" name="BlokTextu 3"/>
        <cdr:cNvSpPr txBox="1"/>
      </cdr:nvSpPr>
      <cdr:spPr>
        <a:xfrm xmlns:a="http://schemas.openxmlformats.org/drawingml/2006/main">
          <a:off x="1952625" y="1824038"/>
          <a:ext cx="1285875" cy="2095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sk-SK" sz="1000">
              <a:latin typeface="Arial Narrow" panose="020B0606020202030204" pitchFamily="34" charset="0"/>
            </a:rPr>
            <a:t>Veková skupina</a:t>
          </a:r>
        </a:p>
      </cdr:txBody>
    </cdr:sp>
  </cdr:relSizeAnchor>
</c:userShapes>
</file>

<file path=word/drawings/drawing25.xml><?xml version="1.0" encoding="utf-8"?>
<c:userShapes xmlns:c="http://schemas.openxmlformats.org/drawingml/2006/chart">
  <cdr:relSizeAnchor xmlns:cdr="http://schemas.openxmlformats.org/drawingml/2006/chartDrawing">
    <cdr:from>
      <cdr:x>0.49854</cdr:x>
      <cdr:y>0.04861</cdr:y>
    </cdr:from>
    <cdr:to>
      <cdr:x>0.49854</cdr:x>
      <cdr:y>0.80208</cdr:y>
    </cdr:to>
    <cdr:cxnSp macro="">
      <cdr:nvCxnSpPr>
        <cdr:cNvPr id="3" name="Rovná spojnica 2"/>
        <cdr:cNvCxnSpPr/>
      </cdr:nvCxnSpPr>
      <cdr:spPr>
        <a:xfrm xmlns:a="http://schemas.openxmlformats.org/drawingml/2006/main" flipV="1">
          <a:off x="3257550" y="133350"/>
          <a:ext cx="0" cy="2066925"/>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0.65063</cdr:x>
      <cdr:y>0.05324</cdr:y>
    </cdr:from>
    <cdr:to>
      <cdr:x>0.85617</cdr:x>
      <cdr:y>0.15046</cdr:y>
    </cdr:to>
    <cdr:sp macro="" textlink="">
      <cdr:nvSpPr>
        <cdr:cNvPr id="4" name="BlokTextu 10"/>
        <cdr:cNvSpPr txBox="1"/>
      </cdr:nvSpPr>
      <cdr:spPr>
        <a:xfrm xmlns:a="http://schemas.openxmlformats.org/drawingml/2006/main">
          <a:off x="4251325" y="146050"/>
          <a:ext cx="1343025" cy="2667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sk-SK" sz="1100">
              <a:solidFill>
                <a:sysClr val="windowText" lastClr="000000"/>
              </a:solidFill>
              <a:latin typeface="Arial Narrow" panose="020B0606020202030204" pitchFamily="34" charset="0"/>
            </a:rPr>
            <a:t>ženy</a:t>
          </a:r>
        </a:p>
      </cdr:txBody>
    </cdr:sp>
  </cdr:relSizeAnchor>
  <cdr:relSizeAnchor xmlns:cdr="http://schemas.openxmlformats.org/drawingml/2006/chartDrawing">
    <cdr:from>
      <cdr:x>0.1448</cdr:x>
      <cdr:y>0.05324</cdr:y>
    </cdr:from>
    <cdr:to>
      <cdr:x>0.35034</cdr:x>
      <cdr:y>0.15046</cdr:y>
    </cdr:to>
    <cdr:sp macro="" textlink="">
      <cdr:nvSpPr>
        <cdr:cNvPr id="5" name="BlokTextu 10"/>
        <cdr:cNvSpPr txBox="1"/>
      </cdr:nvSpPr>
      <cdr:spPr>
        <a:xfrm xmlns:a="http://schemas.openxmlformats.org/drawingml/2006/main">
          <a:off x="946150" y="146050"/>
          <a:ext cx="1343025" cy="2667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1100">
              <a:solidFill>
                <a:sysClr val="windowText" lastClr="000000"/>
              </a:solidFill>
              <a:latin typeface="Arial Narrow" panose="020B0606020202030204" pitchFamily="34" charset="0"/>
            </a:rPr>
            <a:t>mu</a:t>
          </a:r>
          <a:r>
            <a:rPr lang="sk-SK" sz="1100">
              <a:solidFill>
                <a:sysClr val="windowText" lastClr="000000"/>
              </a:solidFill>
              <a:latin typeface="Arial Narrow" panose="020B0606020202030204" pitchFamily="34" charset="0"/>
            </a:rPr>
            <a:t>ži</a:t>
          </a:r>
        </a:p>
      </cdr:txBody>
    </cdr:sp>
  </cdr:relSizeAnchor>
</c:userShapes>
</file>

<file path=word/drawings/drawing26.xml><?xml version="1.0" encoding="utf-8"?>
<c:userShapes xmlns:c="http://schemas.openxmlformats.org/drawingml/2006/chart">
  <cdr:relSizeAnchor xmlns:cdr="http://schemas.openxmlformats.org/drawingml/2006/chartDrawing">
    <cdr:from>
      <cdr:x>0.02083</cdr:x>
      <cdr:y>0</cdr:y>
    </cdr:from>
    <cdr:to>
      <cdr:x>0.07917</cdr:x>
      <cdr:y>0.08681</cdr:y>
    </cdr:to>
    <cdr:sp macro="" textlink="">
      <cdr:nvSpPr>
        <cdr:cNvPr id="2" name="BlokTextu 1"/>
        <cdr:cNvSpPr txBox="1"/>
      </cdr:nvSpPr>
      <cdr:spPr>
        <a:xfrm xmlns:a="http://schemas.openxmlformats.org/drawingml/2006/main">
          <a:off x="95250" y="0"/>
          <a:ext cx="26670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solidFill>
                <a:sysClr val="windowText" lastClr="000000"/>
              </a:solidFill>
              <a:latin typeface="Arial Narrow" panose="020B0606020202030204" pitchFamily="34" charset="0"/>
            </a:rPr>
            <a:t>%</a:t>
          </a:r>
          <a:endParaRPr lang="sk-SK" sz="1000">
            <a:solidFill>
              <a:sysClr val="windowText" lastClr="000000"/>
            </a:solidFill>
            <a:latin typeface="Arial Narrow" panose="020B0606020202030204" pitchFamily="34" charset="0"/>
          </a:endParaRPr>
        </a:p>
      </cdr:txBody>
    </cdr:sp>
  </cdr:relSizeAnchor>
  <cdr:relSizeAnchor xmlns:cdr="http://schemas.openxmlformats.org/drawingml/2006/chartDrawing">
    <cdr:from>
      <cdr:x>0.88542</cdr:x>
      <cdr:y>0</cdr:y>
    </cdr:from>
    <cdr:to>
      <cdr:x>1</cdr:x>
      <cdr:y>0.07292</cdr:y>
    </cdr:to>
    <cdr:sp macro="" textlink="">
      <cdr:nvSpPr>
        <cdr:cNvPr id="3" name="BlokTextu 2"/>
        <cdr:cNvSpPr txBox="1"/>
      </cdr:nvSpPr>
      <cdr:spPr>
        <a:xfrm xmlns:a="http://schemas.openxmlformats.org/drawingml/2006/main">
          <a:off x="4048125" y="0"/>
          <a:ext cx="523875"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latin typeface="Arial Narrow" panose="020B0606020202030204" pitchFamily="34" charset="0"/>
            </a:rPr>
            <a:t>Eur</a:t>
          </a:r>
          <a:endParaRPr lang="sk-SK" sz="1000">
            <a:latin typeface="Arial Narrow" panose="020B0606020202030204" pitchFamily="34" charset="0"/>
          </a:endParaRPr>
        </a:p>
      </cdr:txBody>
    </cdr:sp>
  </cdr:relSizeAnchor>
  <cdr:relSizeAnchor xmlns:cdr="http://schemas.openxmlformats.org/drawingml/2006/chartDrawing">
    <cdr:from>
      <cdr:x>0.48958</cdr:x>
      <cdr:y>0.63194</cdr:y>
    </cdr:from>
    <cdr:to>
      <cdr:x>0.48958</cdr:x>
      <cdr:y>0.99306</cdr:y>
    </cdr:to>
    <cdr:cxnSp macro="">
      <cdr:nvCxnSpPr>
        <cdr:cNvPr id="5" name="Rovná spojnica 4"/>
        <cdr:cNvCxnSpPr/>
      </cdr:nvCxnSpPr>
      <cdr:spPr>
        <a:xfrm xmlns:a="http://schemas.openxmlformats.org/drawingml/2006/main">
          <a:off x="2238375" y="1733550"/>
          <a:ext cx="0" cy="990600"/>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cdr:x>
      <cdr:y>0.93487</cdr:y>
    </cdr:from>
    <cdr:to>
      <cdr:x>0.46458</cdr:x>
      <cdr:y>1</cdr:y>
    </cdr:to>
    <cdr:sp macro="" textlink="">
      <cdr:nvSpPr>
        <cdr:cNvPr id="6" name="BlokTextu 5"/>
        <cdr:cNvSpPr txBox="1"/>
      </cdr:nvSpPr>
      <cdr:spPr>
        <a:xfrm xmlns:a="http://schemas.openxmlformats.org/drawingml/2006/main">
          <a:off x="561975" y="2324100"/>
          <a:ext cx="2048848" cy="16192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sk-SK" sz="1000">
              <a:latin typeface="Arial Narrow" panose="020B0606020202030204" pitchFamily="34" charset="0"/>
            </a:rPr>
            <a:t>Bežný vzdelávací prúd</a:t>
          </a:r>
        </a:p>
      </cdr:txBody>
    </cdr:sp>
  </cdr:relSizeAnchor>
  <cdr:relSizeAnchor xmlns:cdr="http://schemas.openxmlformats.org/drawingml/2006/chartDrawing">
    <cdr:from>
      <cdr:x>0.55825</cdr:x>
      <cdr:y>0.93487</cdr:y>
    </cdr:from>
    <cdr:to>
      <cdr:x>0.92283</cdr:x>
      <cdr:y>1</cdr:y>
    </cdr:to>
    <cdr:sp macro="" textlink="">
      <cdr:nvSpPr>
        <cdr:cNvPr id="7" name="BlokTextu 1"/>
        <cdr:cNvSpPr txBox="1"/>
      </cdr:nvSpPr>
      <cdr:spPr>
        <a:xfrm xmlns:a="http://schemas.openxmlformats.org/drawingml/2006/main">
          <a:off x="3137224" y="2324100"/>
          <a:ext cx="2048849" cy="16192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sk-SK" sz="1000">
              <a:latin typeface="Arial Narrow" panose="020B0606020202030204" pitchFamily="34" charset="0"/>
            </a:rPr>
            <a:t>Špeciálny vzdelávací prúd</a:t>
          </a:r>
        </a:p>
      </cdr:txBody>
    </cdr:sp>
  </cdr:relSizeAnchor>
</c:userShapes>
</file>

<file path=word/drawings/drawing3.xml><?xml version="1.0" encoding="utf-8"?>
<c:userShapes xmlns:c="http://schemas.openxmlformats.org/drawingml/2006/chart">
  <cdr:relSizeAnchor xmlns:cdr="http://schemas.openxmlformats.org/drawingml/2006/chartDrawing">
    <cdr:from>
      <cdr:x>0.01801</cdr:x>
      <cdr:y>0</cdr:y>
    </cdr:from>
    <cdr:to>
      <cdr:x>0.97426</cdr:x>
      <cdr:y>0.08087</cdr:y>
    </cdr:to>
    <cdr:sp macro="" textlink="">
      <cdr:nvSpPr>
        <cdr:cNvPr id="2" name="BlokTextu 1"/>
        <cdr:cNvSpPr txBox="1"/>
      </cdr:nvSpPr>
      <cdr:spPr>
        <a:xfrm xmlns:a="http://schemas.openxmlformats.org/drawingml/2006/main">
          <a:off x="46673" y="0"/>
          <a:ext cx="2477452" cy="1917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900">
              <a:solidFill>
                <a:sysClr val="windowText" lastClr="000000"/>
              </a:solidFill>
              <a:latin typeface="Arial Narrow" panose="020B0606020202030204" pitchFamily="34" charset="0"/>
            </a:rPr>
            <a:t>Podiel</a:t>
          </a:r>
          <a:r>
            <a:rPr lang="en-US" sz="900" baseline="0">
              <a:solidFill>
                <a:sysClr val="windowText" lastClr="000000"/>
              </a:solidFill>
              <a:latin typeface="Arial Narrow" panose="020B0606020202030204" pitchFamily="34" charset="0"/>
            </a:rPr>
            <a:t> </a:t>
          </a:r>
          <a:r>
            <a:rPr lang="sk-SK" sz="900" baseline="0">
              <a:solidFill>
                <a:sysClr val="windowText" lastClr="000000"/>
              </a:solidFill>
              <a:latin typeface="Arial Narrow" panose="020B0606020202030204" pitchFamily="34" charset="0"/>
            </a:rPr>
            <a:t>žiakov s ľahkým mentálnym postihnutím </a:t>
          </a:r>
          <a:endParaRPr lang="sk-SK" sz="900">
            <a:solidFill>
              <a:sysClr val="windowText" lastClr="000000"/>
            </a:solidFill>
            <a:latin typeface="Arial Narrow" panose="020B0606020202030204" pitchFamily="34" charset="0"/>
          </a:endParaRPr>
        </a:p>
      </cdr:txBody>
    </cdr:sp>
  </cdr:relSizeAnchor>
  <cdr:relSizeAnchor xmlns:cdr="http://schemas.openxmlformats.org/drawingml/2006/chartDrawing">
    <cdr:from>
      <cdr:x>0.18015</cdr:x>
      <cdr:y>0.91566</cdr:y>
    </cdr:from>
    <cdr:to>
      <cdr:x>0.82721</cdr:x>
      <cdr:y>0.99598</cdr:y>
    </cdr:to>
    <cdr:sp macro="" textlink="">
      <cdr:nvSpPr>
        <cdr:cNvPr id="3" name="BlokTextu 1"/>
        <cdr:cNvSpPr txBox="1"/>
      </cdr:nvSpPr>
      <cdr:spPr>
        <a:xfrm xmlns:a="http://schemas.openxmlformats.org/drawingml/2006/main">
          <a:off x="466726" y="2171700"/>
          <a:ext cx="1676400" cy="1905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900">
              <a:solidFill>
                <a:sysClr val="windowText" lastClr="000000"/>
              </a:solidFill>
              <a:latin typeface="Arial Narrow" panose="020B0606020202030204" pitchFamily="34" charset="0"/>
            </a:rPr>
            <a:t>Podiel</a:t>
          </a:r>
          <a:r>
            <a:rPr lang="sk-SK" sz="900" baseline="0">
              <a:solidFill>
                <a:sysClr val="windowText" lastClr="000000"/>
              </a:solidFill>
              <a:latin typeface="Arial Narrow" panose="020B0606020202030204" pitchFamily="34" charset="0"/>
            </a:rPr>
            <a:t> žiakov z MRK v škole </a:t>
          </a:r>
          <a:endParaRPr lang="sk-SK" sz="900">
            <a:solidFill>
              <a:sysClr val="windowText" lastClr="000000"/>
            </a:solidFill>
            <a:latin typeface="Arial Narrow" panose="020B060602020203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0.94188</cdr:x>
      <cdr:y>0.67619</cdr:y>
    </cdr:from>
    <cdr:to>
      <cdr:x>0.97338</cdr:x>
      <cdr:y>0.94792</cdr:y>
    </cdr:to>
    <cdr:sp macro="" textlink="">
      <cdr:nvSpPr>
        <cdr:cNvPr id="2" name="Obdĺžnik 1"/>
        <cdr:cNvSpPr/>
      </cdr:nvSpPr>
      <cdr:spPr>
        <a:xfrm xmlns:a="http://schemas.openxmlformats.org/drawingml/2006/main">
          <a:off x="5248275" y="1352550"/>
          <a:ext cx="175520" cy="543527"/>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sk-SK"/>
        </a:p>
      </cdr:txBody>
    </cdr:sp>
  </cdr:relSizeAnchor>
</c:userShapes>
</file>

<file path=word/drawings/drawing5.xml><?xml version="1.0" encoding="utf-8"?>
<c:userShapes xmlns:c="http://schemas.openxmlformats.org/drawingml/2006/chart">
  <cdr:relSizeAnchor xmlns:cdr="http://schemas.openxmlformats.org/drawingml/2006/chartDrawing">
    <cdr:from>
      <cdr:x>0.62489</cdr:x>
      <cdr:y>0.77778</cdr:y>
    </cdr:from>
    <cdr:to>
      <cdr:x>0.65924</cdr:x>
      <cdr:y>0.94097</cdr:y>
    </cdr:to>
    <cdr:sp macro="" textlink="">
      <cdr:nvSpPr>
        <cdr:cNvPr id="2" name="Obdĺžnik 1"/>
        <cdr:cNvSpPr/>
      </cdr:nvSpPr>
      <cdr:spPr>
        <a:xfrm xmlns:a="http://schemas.openxmlformats.org/drawingml/2006/main">
          <a:off x="1868954" y="2133600"/>
          <a:ext cx="102721" cy="447676"/>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sk-SK"/>
        </a:p>
      </cdr:txBody>
    </cdr:sp>
  </cdr:relSizeAnchor>
</c:userShapes>
</file>

<file path=word/drawings/drawing6.xml><?xml version="1.0" encoding="utf-8"?>
<c:userShapes xmlns:c="http://schemas.openxmlformats.org/drawingml/2006/chart">
  <cdr:relSizeAnchor xmlns:cdr="http://schemas.openxmlformats.org/drawingml/2006/chartDrawing">
    <cdr:from>
      <cdr:x>0.27497</cdr:x>
      <cdr:y>0.75168</cdr:y>
    </cdr:from>
    <cdr:to>
      <cdr:x>0.51832</cdr:x>
      <cdr:y>0.84006</cdr:y>
    </cdr:to>
    <cdr:sp macro="" textlink="">
      <cdr:nvSpPr>
        <cdr:cNvPr id="2" name="BlokTextu 1"/>
        <cdr:cNvSpPr txBox="1"/>
      </cdr:nvSpPr>
      <cdr:spPr>
        <a:xfrm xmlns:a="http://schemas.openxmlformats.org/drawingml/2006/main">
          <a:off x="742953" y="1704977"/>
          <a:ext cx="657513" cy="2004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solidFill>
                <a:sysClr val="windowText" lastClr="000000"/>
              </a:solidFill>
              <a:latin typeface="Arial Narrow" panose="020B0606020202030204" pitchFamily="34" charset="0"/>
            </a:rPr>
            <a:t>Slovensko</a:t>
          </a:r>
          <a:endParaRPr lang="sk-SK" sz="900">
            <a:solidFill>
              <a:sysClr val="windowText" lastClr="000000"/>
            </a:solidFill>
            <a:latin typeface="Arial Narrow" panose="020B0606020202030204" pitchFamily="34" charset="0"/>
          </a:endParaRPr>
        </a:p>
      </cdr:txBody>
    </cdr:sp>
  </cdr:relSizeAnchor>
  <cdr:relSizeAnchor xmlns:cdr="http://schemas.openxmlformats.org/drawingml/2006/chartDrawing">
    <cdr:from>
      <cdr:x>0.54278</cdr:x>
      <cdr:y>0.74901</cdr:y>
    </cdr:from>
    <cdr:to>
      <cdr:x>0.86622</cdr:x>
      <cdr:y>0.82784</cdr:y>
    </cdr:to>
    <cdr:sp macro="" textlink="">
      <cdr:nvSpPr>
        <cdr:cNvPr id="3" name="BlokTextu 1"/>
        <cdr:cNvSpPr txBox="1"/>
      </cdr:nvSpPr>
      <cdr:spPr>
        <a:xfrm xmlns:a="http://schemas.openxmlformats.org/drawingml/2006/main">
          <a:off x="1545830" y="1790709"/>
          <a:ext cx="921149" cy="18846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k-SK" sz="900">
              <a:solidFill>
                <a:sysClr val="windowText" lastClr="000000"/>
              </a:solidFill>
              <a:latin typeface="Arial Narrow" panose="020B0606020202030204" pitchFamily="34" charset="0"/>
            </a:rPr>
            <a:t>Česká</a:t>
          </a:r>
          <a:r>
            <a:rPr lang="sk-SK" sz="900" baseline="0">
              <a:solidFill>
                <a:sysClr val="windowText" lastClr="000000"/>
              </a:solidFill>
              <a:latin typeface="Arial Narrow" panose="020B0606020202030204" pitchFamily="34" charset="0"/>
            </a:rPr>
            <a:t> R.</a:t>
          </a:r>
          <a:endParaRPr lang="sk-SK" sz="900">
            <a:solidFill>
              <a:sysClr val="windowText" lastClr="000000"/>
            </a:solidFill>
            <a:latin typeface="Arial Narrow" panose="020B0606020202030204" pitchFamily="34" charset="0"/>
          </a:endParaRPr>
        </a:p>
      </cdr:txBody>
    </cdr:sp>
  </cdr:relSizeAnchor>
  <cdr:relSizeAnchor xmlns:cdr="http://schemas.openxmlformats.org/drawingml/2006/chartDrawing">
    <cdr:from>
      <cdr:x>0.68955</cdr:x>
      <cdr:y>0.71315</cdr:y>
    </cdr:from>
    <cdr:to>
      <cdr:x>0.88963</cdr:x>
      <cdr:y>0.78804</cdr:y>
    </cdr:to>
    <cdr:sp macro="" textlink="">
      <cdr:nvSpPr>
        <cdr:cNvPr id="4" name="BlokTextu 1"/>
        <cdr:cNvSpPr txBox="1"/>
      </cdr:nvSpPr>
      <cdr:spPr>
        <a:xfrm xmlns:a="http://schemas.openxmlformats.org/drawingml/2006/main">
          <a:off x="1963816" y="1704971"/>
          <a:ext cx="569823" cy="17904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k-SK" sz="900">
              <a:solidFill>
                <a:sysClr val="windowText" lastClr="000000"/>
              </a:solidFill>
              <a:latin typeface="Arial Narrow" panose="020B0606020202030204" pitchFamily="34" charset="0"/>
            </a:rPr>
            <a:t>Poľsko</a:t>
          </a:r>
        </a:p>
      </cdr:txBody>
    </cdr:sp>
  </cdr:relSizeAnchor>
  <cdr:relSizeAnchor xmlns:cdr="http://schemas.openxmlformats.org/drawingml/2006/chartDrawing">
    <cdr:from>
      <cdr:x>0.58225</cdr:x>
      <cdr:y>0.63346</cdr:y>
    </cdr:from>
    <cdr:to>
      <cdr:x>0.82275</cdr:x>
      <cdr:y>0.70181</cdr:y>
    </cdr:to>
    <cdr:sp macro="" textlink="">
      <cdr:nvSpPr>
        <cdr:cNvPr id="5" name="BlokTextu 1"/>
        <cdr:cNvSpPr txBox="1"/>
      </cdr:nvSpPr>
      <cdr:spPr>
        <a:xfrm xmlns:a="http://schemas.openxmlformats.org/drawingml/2006/main">
          <a:off x="1658220" y="1514469"/>
          <a:ext cx="684938" cy="16341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k-SK" sz="900">
              <a:solidFill>
                <a:sysClr val="windowText" lastClr="000000"/>
              </a:solidFill>
              <a:latin typeface="Arial Narrow" panose="020B0606020202030204" pitchFamily="34" charset="0"/>
            </a:rPr>
            <a:t>Maďarsko</a:t>
          </a:r>
        </a:p>
      </cdr:txBody>
    </cdr:sp>
  </cdr:relSizeAnchor>
  <cdr:relSizeAnchor xmlns:cdr="http://schemas.openxmlformats.org/drawingml/2006/chartDrawing">
    <cdr:from>
      <cdr:x>0.73244</cdr:x>
      <cdr:y>0.07968</cdr:y>
    </cdr:from>
    <cdr:to>
      <cdr:x>0.97736</cdr:x>
      <cdr:y>0.16186</cdr:y>
    </cdr:to>
    <cdr:sp macro="" textlink="">
      <cdr:nvSpPr>
        <cdr:cNvPr id="6" name="BlokTextu 1"/>
        <cdr:cNvSpPr txBox="1"/>
      </cdr:nvSpPr>
      <cdr:spPr>
        <a:xfrm xmlns:a="http://schemas.openxmlformats.org/drawingml/2006/main">
          <a:off x="2085965" y="190498"/>
          <a:ext cx="697526" cy="19647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k-SK" sz="900">
              <a:solidFill>
                <a:sysClr val="windowText" lastClr="000000"/>
              </a:solidFill>
              <a:latin typeface="Arial Narrow" panose="020B0606020202030204" pitchFamily="34" charset="0"/>
            </a:rPr>
            <a:t>Holandsko</a:t>
          </a:r>
        </a:p>
      </cdr:txBody>
    </cdr:sp>
  </cdr:relSizeAnchor>
  <cdr:relSizeAnchor xmlns:cdr="http://schemas.openxmlformats.org/drawingml/2006/chartDrawing">
    <cdr:from>
      <cdr:x>0.47183</cdr:x>
      <cdr:y>0.04781</cdr:y>
    </cdr:from>
    <cdr:to>
      <cdr:x>0.47492</cdr:x>
      <cdr:y>0.84462</cdr:y>
    </cdr:to>
    <cdr:cxnSp macro="">
      <cdr:nvCxnSpPr>
        <cdr:cNvPr id="8" name="Rovná spojnica 7"/>
        <cdr:cNvCxnSpPr/>
      </cdr:nvCxnSpPr>
      <cdr:spPr>
        <a:xfrm xmlns:a="http://schemas.openxmlformats.org/drawingml/2006/main">
          <a:off x="1343762" y="114303"/>
          <a:ext cx="8800" cy="1904993"/>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0.12709</cdr:x>
      <cdr:y>0.36654</cdr:y>
    </cdr:from>
    <cdr:to>
      <cdr:x>0.95034</cdr:x>
      <cdr:y>0.36654</cdr:y>
    </cdr:to>
    <cdr:cxnSp macro="">
      <cdr:nvCxnSpPr>
        <cdr:cNvPr id="10" name="Rovná spojnica 9"/>
        <cdr:cNvCxnSpPr/>
      </cdr:nvCxnSpPr>
      <cdr:spPr>
        <a:xfrm xmlns:a="http://schemas.openxmlformats.org/drawingml/2006/main">
          <a:off x="361952" y="876321"/>
          <a:ext cx="2344596"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0.54474</cdr:x>
      <cdr:y>0.26036</cdr:y>
    </cdr:from>
    <cdr:to>
      <cdr:x>0.87779</cdr:x>
      <cdr:y>0.34118</cdr:y>
    </cdr:to>
    <cdr:sp macro="" textlink="">
      <cdr:nvSpPr>
        <cdr:cNvPr id="11" name="BlokTextu 1"/>
        <cdr:cNvSpPr txBox="1"/>
      </cdr:nvSpPr>
      <cdr:spPr>
        <a:xfrm xmlns:a="http://schemas.openxmlformats.org/drawingml/2006/main">
          <a:off x="1471847" y="590549"/>
          <a:ext cx="899878" cy="18332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solidFill>
                <a:sysClr val="windowText" lastClr="000000"/>
              </a:solidFill>
              <a:latin typeface="Arial Narrow" panose="020B0606020202030204" pitchFamily="34" charset="0"/>
            </a:rPr>
            <a:t>Priemer E</a:t>
          </a:r>
          <a:r>
            <a:rPr lang="sk-SK" sz="900">
              <a:solidFill>
                <a:sysClr val="windowText" lastClr="000000"/>
              </a:solidFill>
              <a:latin typeface="Arial Narrow" panose="020B0606020202030204" pitchFamily="34" charset="0"/>
            </a:rPr>
            <a:t>Ú</a:t>
          </a:r>
          <a:r>
            <a:rPr lang="en-US" sz="900">
              <a:solidFill>
                <a:sysClr val="windowText" lastClr="000000"/>
              </a:solidFill>
              <a:latin typeface="Arial Narrow" panose="020B0606020202030204" pitchFamily="34" charset="0"/>
            </a:rPr>
            <a:t>15</a:t>
          </a:r>
          <a:endParaRPr lang="sk-SK" sz="900">
            <a:solidFill>
              <a:sysClr val="windowText" lastClr="000000"/>
            </a:solidFill>
            <a:latin typeface="Arial Narrow" panose="020B0606020202030204" pitchFamily="34" charset="0"/>
          </a:endParaRPr>
        </a:p>
      </cdr:txBody>
    </cdr:sp>
  </cdr:relSizeAnchor>
  <cdr:relSizeAnchor xmlns:cdr="http://schemas.openxmlformats.org/drawingml/2006/chartDrawing">
    <cdr:from>
      <cdr:x>0.48325</cdr:x>
      <cdr:y>0.29881</cdr:y>
    </cdr:from>
    <cdr:to>
      <cdr:x>0.56724</cdr:x>
      <cdr:y>0.29881</cdr:y>
    </cdr:to>
    <cdr:cxnSp macro="">
      <cdr:nvCxnSpPr>
        <cdr:cNvPr id="13" name="Rovná spojovacia šípka 12"/>
        <cdr:cNvCxnSpPr/>
      </cdr:nvCxnSpPr>
      <cdr:spPr>
        <a:xfrm xmlns:a="http://schemas.openxmlformats.org/drawingml/2006/main" flipH="1">
          <a:off x="1376280" y="714387"/>
          <a:ext cx="239201" cy="0"/>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0.71906</cdr:x>
      <cdr:y>0.33466</cdr:y>
    </cdr:from>
    <cdr:to>
      <cdr:x>0.74916</cdr:x>
      <cdr:y>0.36653</cdr:y>
    </cdr:to>
    <cdr:cxnSp macro="">
      <cdr:nvCxnSpPr>
        <cdr:cNvPr id="15" name="Rovná spojovacia šípka 14"/>
        <cdr:cNvCxnSpPr/>
      </cdr:nvCxnSpPr>
      <cdr:spPr>
        <a:xfrm xmlns:a="http://schemas.openxmlformats.org/drawingml/2006/main">
          <a:off x="2047865" y="800097"/>
          <a:ext cx="85735" cy="76203"/>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0.11821</cdr:x>
      <cdr:y>0.14584</cdr:y>
    </cdr:from>
    <cdr:to>
      <cdr:x>0.95208</cdr:x>
      <cdr:y>0.14584</cdr:y>
    </cdr:to>
    <cdr:cxnSp macro="">
      <cdr:nvCxnSpPr>
        <cdr:cNvPr id="3" name="Rovná spojnica 2">
          <a:extLst xmlns:a="http://schemas.openxmlformats.org/drawingml/2006/main">
            <a:ext uri="{FF2B5EF4-FFF2-40B4-BE49-F238E27FC236}">
              <a16:creationId xmlns="" xmlns:a16="http://schemas.microsoft.com/office/drawing/2014/main" id="{05BE2CFB-F26B-460A-884C-C81006C6A093}"/>
            </a:ext>
          </a:extLst>
        </cdr:cNvPr>
        <cdr:cNvCxnSpPr/>
      </cdr:nvCxnSpPr>
      <cdr:spPr>
        <a:xfrm xmlns:a="http://schemas.openxmlformats.org/drawingml/2006/main">
          <a:off x="352422" y="400065"/>
          <a:ext cx="2486038" cy="0"/>
        </a:xfrm>
        <a:prstGeom xmlns:a="http://schemas.openxmlformats.org/drawingml/2006/main" prst="line">
          <a:avLst/>
        </a:prstGeom>
        <a:ln xmlns:a="http://schemas.openxmlformats.org/drawingml/2006/main" w="158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0.51907</cdr:x>
      <cdr:y>0.05665</cdr:y>
    </cdr:from>
    <cdr:to>
      <cdr:x>0.97764</cdr:x>
      <cdr:y>0.13889</cdr:y>
    </cdr:to>
    <cdr:sp macro="" textlink="">
      <cdr:nvSpPr>
        <cdr:cNvPr id="4" name="BlokTextu 3"/>
        <cdr:cNvSpPr txBox="1"/>
      </cdr:nvSpPr>
      <cdr:spPr>
        <a:xfrm xmlns:a="http://schemas.openxmlformats.org/drawingml/2006/main">
          <a:off x="1495425" y="142875"/>
          <a:ext cx="1321152" cy="2074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k-SK" sz="1000">
              <a:latin typeface="Arial Narrow" panose="020B0606020202030204" pitchFamily="34" charset="0"/>
            </a:rPr>
            <a:t>Hranica rizika chudoby</a:t>
          </a:r>
        </a:p>
      </cdr:txBody>
    </cdr:sp>
  </cdr:relSizeAnchor>
</c:userShapes>
</file>

<file path=word/drawings/drawing8.xml><?xml version="1.0" encoding="utf-8"?>
<c:userShapes xmlns:c="http://schemas.openxmlformats.org/drawingml/2006/chart">
  <cdr:relSizeAnchor xmlns:cdr="http://schemas.openxmlformats.org/drawingml/2006/chartDrawing">
    <cdr:from>
      <cdr:x>0.05858</cdr:x>
      <cdr:y>0.17984</cdr:y>
    </cdr:from>
    <cdr:to>
      <cdr:x>0.97524</cdr:x>
      <cdr:y>0.17984</cdr:y>
    </cdr:to>
    <cdr:cxnSp macro="">
      <cdr:nvCxnSpPr>
        <cdr:cNvPr id="3" name="Rovná spojnica 2">
          <a:extLst xmlns:a="http://schemas.openxmlformats.org/drawingml/2006/main">
            <a:ext uri="{FF2B5EF4-FFF2-40B4-BE49-F238E27FC236}">
              <a16:creationId xmlns="" xmlns:a16="http://schemas.microsoft.com/office/drawing/2014/main" id="{25FBE726-EF4B-4B78-AA39-2A3B286C2362}"/>
            </a:ext>
          </a:extLst>
        </cdr:cNvPr>
        <cdr:cNvCxnSpPr/>
      </cdr:nvCxnSpPr>
      <cdr:spPr>
        <a:xfrm xmlns:a="http://schemas.openxmlformats.org/drawingml/2006/main">
          <a:off x="302980" y="447080"/>
          <a:ext cx="474103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0.7698</cdr:x>
      <cdr:y>0.10237</cdr:y>
    </cdr:from>
    <cdr:to>
      <cdr:x>0.99448</cdr:x>
      <cdr:y>0.17645</cdr:y>
    </cdr:to>
    <cdr:sp macro="" textlink="">
      <cdr:nvSpPr>
        <cdr:cNvPr id="4" name="BlokTextu 1"/>
        <cdr:cNvSpPr txBox="1"/>
      </cdr:nvSpPr>
      <cdr:spPr>
        <a:xfrm xmlns:a="http://schemas.openxmlformats.org/drawingml/2006/main">
          <a:off x="3981455" y="254502"/>
          <a:ext cx="1162062" cy="1841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k-SK" sz="900">
              <a:latin typeface="Arial Narrow" panose="020B0606020202030204" pitchFamily="34" charset="0"/>
            </a:rPr>
            <a:t>Hranica</a:t>
          </a:r>
          <a:r>
            <a:rPr lang="en-US" sz="900">
              <a:latin typeface="Arial Narrow" panose="020B0606020202030204" pitchFamily="34" charset="0"/>
            </a:rPr>
            <a:t> rizika</a:t>
          </a:r>
          <a:r>
            <a:rPr lang="sk-SK" sz="900">
              <a:latin typeface="Arial Narrow" panose="020B0606020202030204" pitchFamily="34" charset="0"/>
            </a:rPr>
            <a:t> chudoby</a:t>
          </a:r>
        </a:p>
      </cdr:txBody>
    </cdr:sp>
  </cdr:relSizeAnchor>
  <cdr:relSizeAnchor xmlns:cdr="http://schemas.openxmlformats.org/drawingml/2006/chartDrawing">
    <cdr:from>
      <cdr:x>0.84162</cdr:x>
      <cdr:y>0.74055</cdr:y>
    </cdr:from>
    <cdr:to>
      <cdr:x>0.87292</cdr:x>
      <cdr:y>0.94193</cdr:y>
    </cdr:to>
    <cdr:sp macro="" textlink="">
      <cdr:nvSpPr>
        <cdr:cNvPr id="2" name="Obdĺžnik 1"/>
        <cdr:cNvSpPr/>
      </cdr:nvSpPr>
      <cdr:spPr>
        <a:xfrm xmlns:a="http://schemas.openxmlformats.org/drawingml/2006/main">
          <a:off x="4352930" y="1841026"/>
          <a:ext cx="161886" cy="500636"/>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sk-SK"/>
        </a:p>
      </cdr:txBody>
    </cdr:sp>
  </cdr:relSizeAnchor>
  <cdr:relSizeAnchor xmlns:cdr="http://schemas.openxmlformats.org/drawingml/2006/chartDrawing">
    <cdr:from>
      <cdr:x>0.81952</cdr:x>
      <cdr:y>0.2555</cdr:y>
    </cdr:from>
    <cdr:to>
      <cdr:x>0.99509</cdr:x>
      <cdr:y>0.33074</cdr:y>
    </cdr:to>
    <cdr:sp macro="" textlink="">
      <cdr:nvSpPr>
        <cdr:cNvPr id="5" name="BlokTextu 1"/>
        <cdr:cNvSpPr txBox="1"/>
      </cdr:nvSpPr>
      <cdr:spPr>
        <a:xfrm xmlns:a="http://schemas.openxmlformats.org/drawingml/2006/main">
          <a:off x="4238611" y="635190"/>
          <a:ext cx="908061" cy="1870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k-SK" sz="900">
              <a:latin typeface="Arial Narrow" panose="020B0606020202030204" pitchFamily="34" charset="0"/>
            </a:rPr>
            <a:t>priemer EÚ15</a:t>
          </a:r>
        </a:p>
      </cdr:txBody>
    </cdr:sp>
  </cdr:relSizeAnchor>
</c:userShapes>
</file>

<file path=word/drawings/drawing9.xml><?xml version="1.0" encoding="utf-8"?>
<c:userShapes xmlns:c="http://schemas.openxmlformats.org/drawingml/2006/chart">
  <cdr:relSizeAnchor xmlns:cdr="http://schemas.openxmlformats.org/drawingml/2006/chartDrawing">
    <cdr:from>
      <cdr:x>0.19931</cdr:x>
      <cdr:y>0.35992</cdr:y>
    </cdr:from>
    <cdr:to>
      <cdr:x>0.20962</cdr:x>
      <cdr:y>0.48929</cdr:y>
    </cdr:to>
    <cdr:cxnSp macro="">
      <cdr:nvCxnSpPr>
        <cdr:cNvPr id="3" name="Rovná spojovacia šípka 2">
          <a:extLst xmlns:a="http://schemas.openxmlformats.org/drawingml/2006/main">
            <a:ext uri="{FF2B5EF4-FFF2-40B4-BE49-F238E27FC236}">
              <a16:creationId xmlns="" xmlns:a16="http://schemas.microsoft.com/office/drawing/2014/main" id="{5C6E0BC2-C1AF-4BAB-9176-D32B361D24E5}"/>
            </a:ext>
          </a:extLst>
        </cdr:cNvPr>
        <cdr:cNvCxnSpPr/>
      </cdr:nvCxnSpPr>
      <cdr:spPr>
        <a:xfrm xmlns:a="http://schemas.openxmlformats.org/drawingml/2006/main" flipH="1">
          <a:off x="552442" y="959895"/>
          <a:ext cx="28577" cy="34503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0.13402</cdr:x>
      <cdr:y>0.17483</cdr:y>
    </cdr:from>
    <cdr:to>
      <cdr:x>0.36426</cdr:x>
      <cdr:y>0.38462</cdr:y>
    </cdr:to>
    <cdr:sp macro="" textlink="">
      <cdr:nvSpPr>
        <cdr:cNvPr id="4" name="BlokTextu 3"/>
        <cdr:cNvSpPr txBox="1"/>
      </cdr:nvSpPr>
      <cdr:spPr>
        <a:xfrm xmlns:a="http://schemas.openxmlformats.org/drawingml/2006/main">
          <a:off x="371475" y="476251"/>
          <a:ext cx="638175" cy="571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k-SK" sz="800">
              <a:latin typeface="Arial Narrow" panose="020B0606020202030204" pitchFamily="34" charset="0"/>
            </a:rPr>
            <a:t>Životné</a:t>
          </a:r>
          <a:r>
            <a:rPr lang="sk-SK" sz="800" baseline="0">
              <a:latin typeface="Arial Narrow" panose="020B0606020202030204" pitchFamily="34" charset="0"/>
            </a:rPr>
            <a:t> minimum jednotlivca bez detí</a:t>
          </a:r>
          <a:endParaRPr lang="sk-SK" sz="800">
            <a:latin typeface="Arial Narrow" panose="020B0606020202030204" pitchFamily="34" charset="0"/>
          </a:endParaRPr>
        </a:p>
      </cdr:txBody>
    </cdr:sp>
  </cdr:relSizeAnchor>
</c:userShape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ISP">
    <a:dk1>
      <a:sysClr val="windowText" lastClr="000000"/>
    </a:dk1>
    <a:lt1>
      <a:sysClr val="window" lastClr="FFFFFF"/>
    </a:lt1>
    <a:dk2>
      <a:srgbClr val="1F497D"/>
    </a:dk2>
    <a:lt2>
      <a:srgbClr val="EEECE1"/>
    </a:lt2>
    <a:accent1>
      <a:srgbClr val="9DC3E6"/>
    </a:accent1>
    <a:accent2>
      <a:srgbClr val="B7194A"/>
    </a:accent2>
    <a:accent3>
      <a:srgbClr val="A5A5A5"/>
    </a:accent3>
    <a:accent4>
      <a:srgbClr val="F7C1D2"/>
    </a:accent4>
    <a:accent5>
      <a:srgbClr val="5195D3"/>
    </a:accent5>
    <a:accent6>
      <a:srgbClr val="D5D5D5"/>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4E4601-D59C-4BCD-B1FF-997112EC4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61</Pages>
  <Words>122278</Words>
  <Characters>696991</Characters>
  <Application>Microsoft Office Word</Application>
  <DocSecurity>0</DocSecurity>
  <Lines>5808</Lines>
  <Paragraphs>1635</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Ministerstvo financií SR</Company>
  <LinksUpToDate>false</LinksUpToDate>
  <CharactersWithSpaces>817634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Hellebrandt Tomas</dc:creator>
  <cp:keywords/>
  <dc:description/>
  <cp:lastModifiedBy>Kubala Jozef</cp:lastModifiedBy>
  <cp:revision>89</cp:revision>
  <cp:lastPrinted>2020-03-12T10:01:00Z</cp:lastPrinted>
  <dcterms:created xsi:type="dcterms:W3CDTF">2020-03-09T08:31:00Z</dcterms:created>
  <dcterms:modified xsi:type="dcterms:W3CDTF">2020-05-15T09:03:00Z</dcterms:modified>
</cp:coreProperties>
</file>